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70" w:lineRule="exact"/>
        <w:rPr>
          <w:rFonts w:hint="eastAsia" w:eastAsia="方正仿宋_GBK"/>
          <w:sz w:val="32"/>
          <w:szCs w:val="32"/>
        </w:rPr>
      </w:pPr>
      <w:bookmarkStart w:id="783" w:name="_GoBack"/>
      <w:bookmarkEnd w:id="783"/>
      <w:r>
        <w:rPr>
          <w:rFonts w:hint="eastAsia" w:ascii="Times New Roman" w:eastAsia="方正黑体_GBK"/>
          <w:snapToGrid w:val="0"/>
          <w:kern w:val="0"/>
          <w:sz w:val="32"/>
          <w:szCs w:val="20"/>
        </w:rPr>
        <w:t>附件1</w:t>
      </w:r>
    </w:p>
    <w:p>
      <w:pPr>
        <w:jc w:val="center"/>
        <w:rPr>
          <w:rFonts w:ascii="Times New Roman" w:eastAsia="方正小标宋_GBK"/>
          <w:color w:val="000000"/>
          <w:sz w:val="44"/>
          <w:szCs w:val="44"/>
        </w:rPr>
      </w:pPr>
      <w:r>
        <w:rPr>
          <w:rFonts w:hint="eastAsia" w:ascii="Times New Roman" w:eastAsia="方正小标宋_GBK"/>
          <w:color w:val="000000"/>
          <w:sz w:val="44"/>
          <w:szCs w:val="44"/>
        </w:rPr>
        <w:t>保留文件目录</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268"/>
        <w:gridCol w:w="10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rFonts w:eastAsia="方正黑体_GBK"/>
                <w:color w:val="000000"/>
                <w:szCs w:val="21"/>
              </w:rPr>
            </w:pPr>
            <w:r>
              <w:rPr>
                <w:rFonts w:hint="eastAsia" w:eastAsia="方正黑体_GBK"/>
                <w:color w:val="000000"/>
                <w:szCs w:val="21"/>
              </w:rPr>
              <w:t>序号</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rFonts w:eastAsia="方正黑体_GBK"/>
                <w:color w:val="000000"/>
                <w:szCs w:val="21"/>
              </w:rPr>
            </w:pPr>
            <w:r>
              <w:rPr>
                <w:rFonts w:hint="eastAsia" w:eastAsia="方正黑体_GBK"/>
                <w:color w:val="000000"/>
                <w:szCs w:val="21"/>
              </w:rPr>
              <w:t>发文字号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rFonts w:eastAsia="方正黑体_GBK"/>
                <w:color w:val="000000"/>
                <w:szCs w:val="21"/>
              </w:rPr>
            </w:pPr>
            <w:r>
              <w:rPr>
                <w:rFonts w:hint="eastAsia" w:eastAsia="方正黑体_GBK"/>
                <w:color w:val="000000"/>
                <w:szCs w:val="21"/>
              </w:rPr>
              <w:t>规范性文件名称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1</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苏建函房〔</w:t>
            </w:r>
            <w:r>
              <w:rPr>
                <w:color w:val="000000"/>
                <w:sz w:val="18"/>
                <w:szCs w:val="18"/>
              </w:rPr>
              <w:t>2009</w:t>
            </w:r>
            <w:r>
              <w:rPr>
                <w:rFonts w:hint="eastAsia"/>
                <w:color w:val="000000"/>
                <w:sz w:val="18"/>
                <w:szCs w:val="18"/>
              </w:rPr>
              <w:t>〕</w:t>
            </w:r>
            <w:r>
              <w:rPr>
                <w:color w:val="000000"/>
                <w:sz w:val="18"/>
                <w:szCs w:val="18"/>
              </w:rPr>
              <w:t>669</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关于进一步规范商品房预（销）售行为的通知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2</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苏建房管〔</w:t>
            </w:r>
            <w:r>
              <w:rPr>
                <w:color w:val="000000"/>
                <w:sz w:val="18"/>
                <w:szCs w:val="18"/>
              </w:rPr>
              <w:t>2015</w:t>
            </w:r>
            <w:r>
              <w:rPr>
                <w:rFonts w:hint="eastAsia"/>
                <w:color w:val="000000"/>
                <w:sz w:val="18"/>
                <w:szCs w:val="18"/>
              </w:rPr>
              <w:t>〕</w:t>
            </w:r>
            <w:r>
              <w:rPr>
                <w:color w:val="000000"/>
                <w:sz w:val="18"/>
                <w:szCs w:val="18"/>
              </w:rPr>
              <w:t>82</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关于在全省住宅装修行业开展放心消费创建活动的通知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3</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苏建函房管〔</w:t>
            </w:r>
            <w:r>
              <w:rPr>
                <w:color w:val="000000"/>
                <w:sz w:val="18"/>
                <w:szCs w:val="18"/>
              </w:rPr>
              <w:t>2015</w:t>
            </w:r>
            <w:r>
              <w:rPr>
                <w:rFonts w:hint="eastAsia"/>
                <w:color w:val="000000"/>
                <w:sz w:val="18"/>
                <w:szCs w:val="18"/>
              </w:rPr>
              <w:t>〕</w:t>
            </w:r>
            <w:r>
              <w:rPr>
                <w:color w:val="000000"/>
                <w:sz w:val="18"/>
                <w:szCs w:val="18"/>
              </w:rPr>
              <w:t>369</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关于组织申报创建</w:t>
            </w:r>
            <w:r>
              <w:rPr>
                <w:color w:val="000000"/>
                <w:sz w:val="18"/>
                <w:szCs w:val="18"/>
              </w:rPr>
              <w:t>“</w:t>
            </w:r>
            <w:r>
              <w:rPr>
                <w:rFonts w:hint="eastAsia"/>
                <w:color w:val="000000"/>
                <w:sz w:val="18"/>
                <w:szCs w:val="18"/>
              </w:rPr>
              <w:t>江苏省住宅装修放心消费</w:t>
            </w:r>
            <w:r>
              <w:rPr>
                <w:color w:val="000000"/>
                <w:sz w:val="18"/>
                <w:szCs w:val="18"/>
              </w:rPr>
              <w:t>”</w:t>
            </w:r>
            <w:r>
              <w:rPr>
                <w:rFonts w:hint="eastAsia"/>
                <w:color w:val="000000"/>
                <w:sz w:val="18"/>
                <w:szCs w:val="18"/>
              </w:rPr>
              <w:t>优质企业试点的通知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4</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苏建城〔</w:t>
            </w:r>
            <w:r>
              <w:rPr>
                <w:color w:val="000000"/>
                <w:sz w:val="18"/>
                <w:szCs w:val="18"/>
              </w:rPr>
              <w:t>2001</w:t>
            </w:r>
            <w:r>
              <w:rPr>
                <w:rFonts w:hint="eastAsia"/>
                <w:color w:val="000000"/>
                <w:sz w:val="18"/>
                <w:szCs w:val="18"/>
              </w:rPr>
              <w:t>〕</w:t>
            </w:r>
            <w:r>
              <w:rPr>
                <w:color w:val="000000"/>
                <w:sz w:val="18"/>
                <w:szCs w:val="18"/>
              </w:rPr>
              <w:t>127</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关于无动力生活污水净化装置有关问题的通知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5</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苏建法〔</w:t>
            </w:r>
            <w:r>
              <w:rPr>
                <w:color w:val="000000"/>
                <w:sz w:val="18"/>
                <w:szCs w:val="18"/>
              </w:rPr>
              <w:t>2005</w:t>
            </w:r>
            <w:r>
              <w:rPr>
                <w:rFonts w:hint="eastAsia"/>
                <w:color w:val="000000"/>
                <w:sz w:val="18"/>
                <w:szCs w:val="18"/>
              </w:rPr>
              <w:t>〕</w:t>
            </w:r>
            <w:r>
              <w:rPr>
                <w:color w:val="000000"/>
                <w:sz w:val="18"/>
                <w:szCs w:val="18"/>
              </w:rPr>
              <w:t>256</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关于印发《江苏省瓶装燃气经营许可证和供应许可证管理办法》的通知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6</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苏建城〔</w:t>
            </w:r>
            <w:r>
              <w:rPr>
                <w:color w:val="000000"/>
                <w:sz w:val="18"/>
                <w:szCs w:val="18"/>
              </w:rPr>
              <w:t>2005</w:t>
            </w:r>
            <w:r>
              <w:rPr>
                <w:rFonts w:hint="eastAsia"/>
                <w:color w:val="000000"/>
                <w:sz w:val="18"/>
                <w:szCs w:val="18"/>
              </w:rPr>
              <w:t>〕</w:t>
            </w:r>
            <w:r>
              <w:rPr>
                <w:color w:val="000000"/>
                <w:sz w:val="18"/>
                <w:szCs w:val="18"/>
              </w:rPr>
              <w:t>591</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关于贯彻建设部《关于加强市政公用事业监管的意见》的通知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7</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苏建城〔</w:t>
            </w:r>
            <w:r>
              <w:rPr>
                <w:color w:val="000000"/>
                <w:sz w:val="18"/>
                <w:szCs w:val="18"/>
              </w:rPr>
              <w:t>2007</w:t>
            </w:r>
            <w:r>
              <w:rPr>
                <w:rFonts w:hint="eastAsia"/>
                <w:color w:val="000000"/>
                <w:sz w:val="18"/>
                <w:szCs w:val="18"/>
              </w:rPr>
              <w:t>〕</w:t>
            </w:r>
            <w:r>
              <w:rPr>
                <w:color w:val="000000"/>
                <w:sz w:val="18"/>
                <w:szCs w:val="18"/>
              </w:rPr>
              <w:t>205</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关于进一步加强城市供水管理、保障供水安全的通知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8</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苏建规字〔</w:t>
            </w:r>
            <w:r>
              <w:rPr>
                <w:color w:val="000000"/>
                <w:sz w:val="18"/>
                <w:szCs w:val="18"/>
              </w:rPr>
              <w:t>2009</w:t>
            </w:r>
            <w:r>
              <w:rPr>
                <w:rFonts w:hint="eastAsia"/>
                <w:color w:val="000000"/>
                <w:sz w:val="18"/>
                <w:szCs w:val="18"/>
              </w:rPr>
              <w:t>〕</w:t>
            </w:r>
            <w:r>
              <w:rPr>
                <w:color w:val="000000"/>
                <w:sz w:val="18"/>
                <w:szCs w:val="18"/>
              </w:rPr>
              <w:t>1</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关于印发《江苏省城市供水水质管理办法（试行）》的通知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9</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苏建函城〔</w:t>
            </w:r>
            <w:r>
              <w:rPr>
                <w:color w:val="000000"/>
                <w:sz w:val="18"/>
                <w:szCs w:val="18"/>
              </w:rPr>
              <w:t>2009</w:t>
            </w:r>
            <w:r>
              <w:rPr>
                <w:rFonts w:hint="eastAsia"/>
                <w:color w:val="000000"/>
                <w:sz w:val="18"/>
                <w:szCs w:val="18"/>
              </w:rPr>
              <w:t>〕</w:t>
            </w:r>
            <w:r>
              <w:rPr>
                <w:color w:val="000000"/>
                <w:sz w:val="18"/>
                <w:szCs w:val="18"/>
              </w:rPr>
              <w:t>139</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关于进一步加强城市供水水质检测确保城市安全供水的通知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10</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苏建城〔</w:t>
            </w:r>
            <w:r>
              <w:rPr>
                <w:color w:val="000000"/>
                <w:sz w:val="18"/>
                <w:szCs w:val="18"/>
              </w:rPr>
              <w:t>2010</w:t>
            </w:r>
            <w:r>
              <w:rPr>
                <w:rFonts w:hint="eastAsia"/>
                <w:color w:val="000000"/>
                <w:sz w:val="18"/>
                <w:szCs w:val="18"/>
              </w:rPr>
              <w:t>〕</w:t>
            </w:r>
            <w:r>
              <w:rPr>
                <w:color w:val="000000"/>
                <w:sz w:val="18"/>
                <w:szCs w:val="18"/>
              </w:rPr>
              <w:t>95</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关于进一步加强城乡饮用水安全保障工作的通知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11</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苏建函城〔</w:t>
            </w:r>
            <w:r>
              <w:rPr>
                <w:color w:val="000000"/>
                <w:sz w:val="18"/>
                <w:szCs w:val="18"/>
              </w:rPr>
              <w:t>2010</w:t>
            </w:r>
            <w:r>
              <w:rPr>
                <w:rFonts w:hint="eastAsia"/>
                <w:color w:val="000000"/>
                <w:sz w:val="18"/>
                <w:szCs w:val="18"/>
              </w:rPr>
              <w:t>〕</w:t>
            </w:r>
            <w:r>
              <w:rPr>
                <w:color w:val="000000"/>
                <w:sz w:val="18"/>
                <w:szCs w:val="18"/>
              </w:rPr>
              <w:t>176</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关于进一步规范管道燃气用户设施安全检查工作的通知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12</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苏建城〔</w:t>
            </w:r>
            <w:r>
              <w:rPr>
                <w:color w:val="000000"/>
                <w:sz w:val="18"/>
                <w:szCs w:val="18"/>
              </w:rPr>
              <w:t>2011</w:t>
            </w:r>
            <w:r>
              <w:rPr>
                <w:rFonts w:hint="eastAsia"/>
                <w:color w:val="000000"/>
                <w:sz w:val="18"/>
                <w:szCs w:val="18"/>
              </w:rPr>
              <w:t>〕</w:t>
            </w:r>
            <w:r>
              <w:rPr>
                <w:color w:val="000000"/>
                <w:sz w:val="18"/>
                <w:szCs w:val="18"/>
              </w:rPr>
              <w:t>254</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关于切实做好应急备用水源工程建设和管理的通知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13</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苏建城〔</w:t>
            </w:r>
            <w:r>
              <w:rPr>
                <w:color w:val="000000"/>
                <w:sz w:val="18"/>
                <w:szCs w:val="18"/>
              </w:rPr>
              <w:t>2011</w:t>
            </w:r>
            <w:r>
              <w:rPr>
                <w:rFonts w:hint="eastAsia"/>
                <w:color w:val="000000"/>
                <w:sz w:val="18"/>
                <w:szCs w:val="18"/>
              </w:rPr>
              <w:t>〕</w:t>
            </w:r>
            <w:r>
              <w:rPr>
                <w:color w:val="000000"/>
                <w:sz w:val="18"/>
                <w:szCs w:val="18"/>
              </w:rPr>
              <w:t>297</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关于进一步加强城乡供水工作确保安全度夏的通知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14</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苏建函城〔</w:t>
            </w:r>
            <w:r>
              <w:rPr>
                <w:color w:val="000000"/>
                <w:sz w:val="18"/>
                <w:szCs w:val="18"/>
              </w:rPr>
              <w:t>2011</w:t>
            </w:r>
            <w:r>
              <w:rPr>
                <w:rFonts w:hint="eastAsia"/>
                <w:color w:val="000000"/>
                <w:sz w:val="18"/>
                <w:szCs w:val="18"/>
              </w:rPr>
              <w:t>〕</w:t>
            </w:r>
            <w:r>
              <w:rPr>
                <w:color w:val="000000"/>
                <w:sz w:val="18"/>
                <w:szCs w:val="18"/>
              </w:rPr>
              <w:t>886</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关于实施燃气经营许可有关事项的通知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15</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苏建城〔</w:t>
            </w:r>
            <w:r>
              <w:rPr>
                <w:color w:val="000000"/>
                <w:sz w:val="18"/>
                <w:szCs w:val="18"/>
              </w:rPr>
              <w:t>2013</w:t>
            </w:r>
            <w:r>
              <w:rPr>
                <w:rFonts w:hint="eastAsia"/>
                <w:color w:val="000000"/>
                <w:sz w:val="18"/>
                <w:szCs w:val="18"/>
              </w:rPr>
              <w:t>〕</w:t>
            </w:r>
            <w:r>
              <w:rPr>
                <w:color w:val="000000"/>
                <w:sz w:val="18"/>
                <w:szCs w:val="18"/>
              </w:rPr>
              <w:t>89</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省住房城乡建设厅关于转发《住房城乡建设部关于加强城镇供水设施改造建设和运行管理工作的通知》的通知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16</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苏建函城〔</w:t>
            </w:r>
            <w:r>
              <w:rPr>
                <w:color w:val="000000"/>
                <w:sz w:val="18"/>
                <w:szCs w:val="18"/>
              </w:rPr>
              <w:t>2013</w:t>
            </w:r>
            <w:r>
              <w:rPr>
                <w:rFonts w:hint="eastAsia"/>
                <w:color w:val="000000"/>
                <w:sz w:val="18"/>
                <w:szCs w:val="18"/>
              </w:rPr>
              <w:t>〕</w:t>
            </w:r>
            <w:r>
              <w:rPr>
                <w:color w:val="000000"/>
                <w:sz w:val="18"/>
                <w:szCs w:val="18"/>
              </w:rPr>
              <w:t>338</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省住房和城乡建设厅关于印发《江苏太湖水源饮用水安全保障技术集成与综合示范课题管理办法》的通知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17</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苏建函城〔</w:t>
            </w:r>
            <w:r>
              <w:rPr>
                <w:color w:val="000000"/>
                <w:sz w:val="18"/>
                <w:szCs w:val="18"/>
              </w:rPr>
              <w:t>2015</w:t>
            </w:r>
            <w:r>
              <w:rPr>
                <w:rFonts w:hint="eastAsia"/>
                <w:color w:val="000000"/>
                <w:sz w:val="18"/>
                <w:szCs w:val="18"/>
              </w:rPr>
              <w:t>〕</w:t>
            </w:r>
            <w:r>
              <w:rPr>
                <w:color w:val="000000"/>
                <w:sz w:val="18"/>
                <w:szCs w:val="18"/>
              </w:rPr>
              <w:t>299</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省住房城乡建设厅关于印发《江苏省域城乡统筹供水技术集成与综合示范课题管理办法》、《江苏省域城乡统筹供水技术集成与综合示范课题中央财政经费管理暂行办法》的通知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18</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苏建城〔</w:t>
            </w:r>
            <w:r>
              <w:rPr>
                <w:color w:val="000000"/>
                <w:sz w:val="18"/>
                <w:szCs w:val="18"/>
              </w:rPr>
              <w:t>2015</w:t>
            </w:r>
            <w:r>
              <w:rPr>
                <w:rFonts w:hint="eastAsia"/>
                <w:color w:val="000000"/>
                <w:sz w:val="18"/>
                <w:szCs w:val="18"/>
              </w:rPr>
              <w:t>〕</w:t>
            </w:r>
            <w:r>
              <w:rPr>
                <w:color w:val="000000"/>
                <w:sz w:val="18"/>
                <w:szCs w:val="18"/>
              </w:rPr>
              <w:t>331</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省住房和城乡建设厅印发关于推进海绵城市建设指导意见的通知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19</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苏建函城〔</w:t>
            </w:r>
            <w:r>
              <w:rPr>
                <w:color w:val="000000"/>
                <w:sz w:val="18"/>
                <w:szCs w:val="18"/>
              </w:rPr>
              <w:t>2015</w:t>
            </w:r>
            <w:r>
              <w:rPr>
                <w:rFonts w:hint="eastAsia"/>
                <w:color w:val="000000"/>
                <w:sz w:val="18"/>
                <w:szCs w:val="18"/>
              </w:rPr>
              <w:t>〕</w:t>
            </w:r>
            <w:r>
              <w:rPr>
                <w:color w:val="000000"/>
                <w:sz w:val="18"/>
                <w:szCs w:val="18"/>
              </w:rPr>
              <w:t>361</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省住房城乡建设厅关于转发《住房城乡建设部</w:t>
            </w:r>
            <w:r>
              <w:rPr>
                <w:color w:val="000000"/>
                <w:sz w:val="18"/>
                <w:szCs w:val="18"/>
              </w:rPr>
              <w:t>&lt;</w:t>
            </w:r>
            <w:r>
              <w:rPr>
                <w:rFonts w:hint="eastAsia"/>
                <w:color w:val="000000"/>
                <w:sz w:val="18"/>
                <w:szCs w:val="18"/>
              </w:rPr>
              <w:t>关于印发燃气经营许可管理办法</w:t>
            </w:r>
            <w:r>
              <w:rPr>
                <w:color w:val="000000"/>
                <w:sz w:val="18"/>
                <w:szCs w:val="18"/>
              </w:rPr>
              <w:t>&gt;</w:t>
            </w:r>
            <w:r>
              <w:rPr>
                <w:rFonts w:hint="eastAsia"/>
                <w:color w:val="000000"/>
                <w:sz w:val="18"/>
                <w:szCs w:val="18"/>
              </w:rPr>
              <w:t>的通知》的通知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20</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苏建函城〔</w:t>
            </w:r>
            <w:r>
              <w:rPr>
                <w:color w:val="000000"/>
                <w:sz w:val="18"/>
                <w:szCs w:val="18"/>
              </w:rPr>
              <w:t>2015</w:t>
            </w:r>
            <w:r>
              <w:rPr>
                <w:rFonts w:hint="eastAsia"/>
                <w:color w:val="000000"/>
                <w:sz w:val="18"/>
                <w:szCs w:val="18"/>
              </w:rPr>
              <w:t>〕</w:t>
            </w:r>
            <w:r>
              <w:rPr>
                <w:color w:val="000000"/>
                <w:sz w:val="18"/>
                <w:szCs w:val="18"/>
              </w:rPr>
              <w:t>591</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省住房城乡建设厅关于加强城镇燃气地下管线隐患排查和安全管理的通知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21</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苏建规字〔</w:t>
            </w:r>
            <w:r>
              <w:rPr>
                <w:color w:val="000000"/>
                <w:sz w:val="18"/>
                <w:szCs w:val="18"/>
              </w:rPr>
              <w:t>2010</w:t>
            </w:r>
            <w:r>
              <w:rPr>
                <w:rFonts w:hint="eastAsia"/>
                <w:color w:val="000000"/>
                <w:sz w:val="18"/>
                <w:szCs w:val="18"/>
              </w:rPr>
              <w:t>〕</w:t>
            </w:r>
            <w:r>
              <w:rPr>
                <w:color w:val="000000"/>
                <w:sz w:val="18"/>
                <w:szCs w:val="18"/>
              </w:rPr>
              <w:t>1</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关于进一步加强我省城乡生活垃圾处理设施建设和运行管理工作的意见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22</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苏建规字〔</w:t>
            </w:r>
            <w:r>
              <w:rPr>
                <w:color w:val="000000"/>
                <w:sz w:val="18"/>
                <w:szCs w:val="18"/>
              </w:rPr>
              <w:t>2012</w:t>
            </w:r>
            <w:r>
              <w:rPr>
                <w:rFonts w:hint="eastAsia"/>
                <w:color w:val="000000"/>
                <w:sz w:val="18"/>
                <w:szCs w:val="18"/>
              </w:rPr>
              <w:t>〕</w:t>
            </w:r>
            <w:r>
              <w:rPr>
                <w:color w:val="000000"/>
                <w:sz w:val="18"/>
                <w:szCs w:val="18"/>
              </w:rPr>
              <w:t>1</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关于进一步加强建筑垃圾和工程渣土运输处置管理工作的意见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23</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苏建科〔</w:t>
            </w:r>
            <w:r>
              <w:rPr>
                <w:color w:val="000000"/>
                <w:sz w:val="18"/>
                <w:szCs w:val="18"/>
              </w:rPr>
              <w:t>2002</w:t>
            </w:r>
            <w:r>
              <w:rPr>
                <w:rFonts w:hint="eastAsia"/>
                <w:color w:val="000000"/>
                <w:sz w:val="18"/>
                <w:szCs w:val="18"/>
              </w:rPr>
              <w:t>〕</w:t>
            </w:r>
            <w:r>
              <w:rPr>
                <w:color w:val="000000"/>
                <w:sz w:val="18"/>
                <w:szCs w:val="18"/>
              </w:rPr>
              <w:t>199</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省住房和城乡建设厅关于印发《江苏省建设科技项目管理实施细则》的通知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24</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苏建科〔</w:t>
            </w:r>
            <w:r>
              <w:rPr>
                <w:color w:val="000000"/>
                <w:sz w:val="18"/>
                <w:szCs w:val="18"/>
              </w:rPr>
              <w:t>2003</w:t>
            </w:r>
            <w:r>
              <w:rPr>
                <w:rFonts w:hint="eastAsia"/>
                <w:color w:val="000000"/>
                <w:sz w:val="18"/>
                <w:szCs w:val="18"/>
              </w:rPr>
              <w:t>〕</w:t>
            </w:r>
            <w:r>
              <w:rPr>
                <w:color w:val="000000"/>
                <w:sz w:val="18"/>
                <w:szCs w:val="18"/>
              </w:rPr>
              <w:t>99</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关于印发《江苏省建设领域新技术产业化基地和科技示范工程管理实施细则》的通知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25</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苏建科〔</w:t>
            </w:r>
            <w:r>
              <w:rPr>
                <w:color w:val="000000"/>
                <w:sz w:val="18"/>
                <w:szCs w:val="18"/>
              </w:rPr>
              <w:t>2009</w:t>
            </w:r>
            <w:r>
              <w:rPr>
                <w:rFonts w:hint="eastAsia"/>
                <w:color w:val="000000"/>
                <w:sz w:val="18"/>
                <w:szCs w:val="18"/>
              </w:rPr>
              <w:t>〕</w:t>
            </w:r>
            <w:r>
              <w:rPr>
                <w:color w:val="000000"/>
                <w:sz w:val="18"/>
                <w:szCs w:val="18"/>
              </w:rPr>
              <w:t>97</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关于印发《〈江苏省机关办公建筑和大型公共建筑能耗统计管理办法〉和〈江苏省机关办公建筑和大型公共建筑能源审计管理办法〉》的通知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26</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苏建科〔</w:t>
            </w:r>
            <w:r>
              <w:rPr>
                <w:color w:val="000000"/>
                <w:sz w:val="18"/>
                <w:szCs w:val="18"/>
              </w:rPr>
              <w:t>2009</w:t>
            </w:r>
            <w:r>
              <w:rPr>
                <w:rFonts w:hint="eastAsia"/>
                <w:color w:val="000000"/>
                <w:sz w:val="18"/>
                <w:szCs w:val="18"/>
              </w:rPr>
              <w:t>〕</w:t>
            </w:r>
            <w:r>
              <w:rPr>
                <w:color w:val="000000"/>
                <w:sz w:val="18"/>
                <w:szCs w:val="18"/>
              </w:rPr>
              <w:t>103</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关于印发《江苏省绿色建筑创新奖评审办法》的通知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27</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苏建函科〔</w:t>
            </w:r>
            <w:r>
              <w:rPr>
                <w:color w:val="000000"/>
                <w:sz w:val="18"/>
                <w:szCs w:val="18"/>
              </w:rPr>
              <w:t>2009</w:t>
            </w:r>
            <w:r>
              <w:rPr>
                <w:rFonts w:hint="eastAsia"/>
                <w:color w:val="000000"/>
                <w:sz w:val="18"/>
                <w:szCs w:val="18"/>
              </w:rPr>
              <w:t>〕</w:t>
            </w:r>
            <w:r>
              <w:rPr>
                <w:color w:val="000000"/>
                <w:sz w:val="18"/>
                <w:szCs w:val="18"/>
              </w:rPr>
              <w:t>183</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关于贯彻执行住房和城乡建设部《国家机关办公建筑和大型公共建筑能耗监测系统相关技术导则、软件开发指导说明书》等要求的通知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28</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苏建科〔</w:t>
            </w:r>
            <w:r>
              <w:rPr>
                <w:color w:val="000000"/>
                <w:sz w:val="18"/>
                <w:szCs w:val="18"/>
              </w:rPr>
              <w:t>2009</w:t>
            </w:r>
            <w:r>
              <w:rPr>
                <w:rFonts w:hint="eastAsia"/>
                <w:color w:val="000000"/>
                <w:sz w:val="18"/>
                <w:szCs w:val="18"/>
              </w:rPr>
              <w:t>〕</w:t>
            </w:r>
            <w:r>
              <w:rPr>
                <w:color w:val="000000"/>
                <w:sz w:val="18"/>
                <w:szCs w:val="18"/>
              </w:rPr>
              <w:t>307</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关于印发《江苏省省级建筑节能专项引导资金绩效考核暂行办法》的通知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29</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苏建科〔</w:t>
            </w:r>
            <w:r>
              <w:rPr>
                <w:color w:val="000000"/>
                <w:sz w:val="18"/>
                <w:szCs w:val="18"/>
              </w:rPr>
              <w:t>2011</w:t>
            </w:r>
            <w:r>
              <w:rPr>
                <w:rFonts w:hint="eastAsia"/>
                <w:color w:val="000000"/>
                <w:sz w:val="18"/>
                <w:szCs w:val="18"/>
              </w:rPr>
              <w:t>〕</w:t>
            </w:r>
            <w:r>
              <w:rPr>
                <w:color w:val="000000"/>
                <w:sz w:val="18"/>
                <w:szCs w:val="18"/>
              </w:rPr>
              <w:t>816</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关于印发《江苏省建筑能效测评标识管理实施细则》的通知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30</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苏建函科〔</w:t>
            </w:r>
            <w:r>
              <w:rPr>
                <w:color w:val="000000"/>
                <w:sz w:val="18"/>
                <w:szCs w:val="18"/>
              </w:rPr>
              <w:t>2012</w:t>
            </w:r>
            <w:r>
              <w:rPr>
                <w:rFonts w:hint="eastAsia"/>
                <w:color w:val="000000"/>
                <w:sz w:val="18"/>
                <w:szCs w:val="18"/>
              </w:rPr>
              <w:t>〕</w:t>
            </w:r>
            <w:r>
              <w:rPr>
                <w:color w:val="000000"/>
                <w:sz w:val="18"/>
                <w:szCs w:val="18"/>
              </w:rPr>
              <w:t>386</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关于加强我省建筑幕墙管理的通知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31</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苏建函科〔</w:t>
            </w:r>
            <w:r>
              <w:rPr>
                <w:color w:val="000000"/>
                <w:sz w:val="18"/>
                <w:szCs w:val="18"/>
              </w:rPr>
              <w:t>2012</w:t>
            </w:r>
            <w:r>
              <w:rPr>
                <w:rFonts w:hint="eastAsia"/>
                <w:color w:val="000000"/>
                <w:sz w:val="18"/>
                <w:szCs w:val="18"/>
              </w:rPr>
              <w:t>〕</w:t>
            </w:r>
            <w:r>
              <w:rPr>
                <w:color w:val="000000"/>
                <w:sz w:val="18"/>
                <w:szCs w:val="18"/>
              </w:rPr>
              <w:t>426</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关于加快应用高强钢筋的实施意见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32</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苏建科〔</w:t>
            </w:r>
            <w:r>
              <w:rPr>
                <w:color w:val="000000"/>
                <w:sz w:val="18"/>
                <w:szCs w:val="18"/>
              </w:rPr>
              <w:t>2013</w:t>
            </w:r>
            <w:r>
              <w:rPr>
                <w:rFonts w:hint="eastAsia"/>
                <w:color w:val="000000"/>
                <w:sz w:val="18"/>
                <w:szCs w:val="18"/>
              </w:rPr>
              <w:t>〕</w:t>
            </w:r>
            <w:r>
              <w:rPr>
                <w:color w:val="000000"/>
                <w:sz w:val="18"/>
                <w:szCs w:val="18"/>
              </w:rPr>
              <w:t>370</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省住房城乡建设厅、省邮政管理局关于进一步加强我省住宅信报箱建设管理工作的通知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33</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苏建科〔</w:t>
            </w:r>
            <w:r>
              <w:rPr>
                <w:color w:val="000000"/>
                <w:sz w:val="18"/>
                <w:szCs w:val="18"/>
              </w:rPr>
              <w:t>2013</w:t>
            </w:r>
            <w:r>
              <w:rPr>
                <w:rFonts w:hint="eastAsia"/>
                <w:color w:val="000000"/>
                <w:sz w:val="18"/>
                <w:szCs w:val="18"/>
              </w:rPr>
              <w:t>〕</w:t>
            </w:r>
            <w:r>
              <w:rPr>
                <w:color w:val="000000"/>
                <w:sz w:val="18"/>
                <w:szCs w:val="18"/>
              </w:rPr>
              <w:t>552</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江苏省住房和城乡建设厅</w:t>
            </w:r>
            <w:r>
              <w:rPr>
                <w:color w:val="000000"/>
                <w:sz w:val="18"/>
                <w:szCs w:val="18"/>
              </w:rPr>
              <w:t xml:space="preserve"> </w:t>
            </w:r>
            <w:r>
              <w:rPr>
                <w:rFonts w:hint="eastAsia"/>
                <w:color w:val="000000"/>
                <w:sz w:val="18"/>
                <w:szCs w:val="18"/>
              </w:rPr>
              <w:t>财政厅关于印发《省级建筑节能和绿色建筑示范区验收评估细则》的通知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34</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苏建函科〔</w:t>
            </w:r>
            <w:r>
              <w:rPr>
                <w:color w:val="000000"/>
                <w:sz w:val="18"/>
                <w:szCs w:val="18"/>
              </w:rPr>
              <w:t>2013</w:t>
            </w:r>
            <w:r>
              <w:rPr>
                <w:rFonts w:hint="eastAsia"/>
                <w:color w:val="000000"/>
                <w:sz w:val="18"/>
                <w:szCs w:val="18"/>
              </w:rPr>
              <w:t>〕</w:t>
            </w:r>
            <w:r>
              <w:rPr>
                <w:color w:val="000000"/>
                <w:sz w:val="18"/>
                <w:szCs w:val="18"/>
              </w:rPr>
              <w:t>711</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省住房和城乡建设厅关于加强工程建设企业技术标准质量管理的通知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35</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苏建科〔</w:t>
            </w:r>
            <w:r>
              <w:rPr>
                <w:color w:val="000000"/>
                <w:sz w:val="18"/>
                <w:szCs w:val="18"/>
              </w:rPr>
              <w:t>2015</w:t>
            </w:r>
            <w:r>
              <w:rPr>
                <w:rFonts w:hint="eastAsia"/>
                <w:color w:val="000000"/>
                <w:sz w:val="18"/>
                <w:szCs w:val="18"/>
              </w:rPr>
              <w:t>〕</w:t>
            </w:r>
            <w:r>
              <w:rPr>
                <w:color w:val="000000"/>
                <w:sz w:val="18"/>
                <w:szCs w:val="18"/>
              </w:rPr>
              <w:t>439</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省住房城乡建设厅关于实施民用建筑设计方案绿色设计审查的通知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36</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苏建科〔</w:t>
            </w:r>
            <w:r>
              <w:rPr>
                <w:color w:val="000000"/>
                <w:sz w:val="18"/>
                <w:szCs w:val="18"/>
              </w:rPr>
              <w:t>2017</w:t>
            </w:r>
            <w:r>
              <w:rPr>
                <w:rFonts w:hint="eastAsia"/>
                <w:color w:val="000000"/>
                <w:sz w:val="18"/>
                <w:szCs w:val="18"/>
              </w:rPr>
              <w:t>〕</w:t>
            </w:r>
            <w:r>
              <w:rPr>
                <w:color w:val="000000"/>
                <w:sz w:val="18"/>
                <w:szCs w:val="18"/>
              </w:rPr>
              <w:t xml:space="preserve">43 </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省住房城乡建设厅省发展改革委省经信委省环保厅省质监局关于在新建建筑中加快推广应用预制内外墙板预制楼梯板预制楼板的通知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37</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苏建金管〔</w:t>
            </w:r>
            <w:r>
              <w:rPr>
                <w:color w:val="000000"/>
                <w:sz w:val="18"/>
                <w:szCs w:val="18"/>
              </w:rPr>
              <w:t>2005</w:t>
            </w:r>
            <w:r>
              <w:rPr>
                <w:rFonts w:hint="eastAsia"/>
                <w:color w:val="000000"/>
                <w:sz w:val="18"/>
                <w:szCs w:val="18"/>
              </w:rPr>
              <w:t>〕</w:t>
            </w:r>
            <w:r>
              <w:rPr>
                <w:color w:val="000000"/>
                <w:sz w:val="18"/>
                <w:szCs w:val="18"/>
              </w:rPr>
              <w:t>298</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关于住房公积金管理若干具体问题的指导意见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38</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苏建金管〔</w:t>
            </w:r>
            <w:r>
              <w:rPr>
                <w:color w:val="000000"/>
                <w:sz w:val="18"/>
                <w:szCs w:val="18"/>
              </w:rPr>
              <w:t>2011</w:t>
            </w:r>
            <w:r>
              <w:rPr>
                <w:rFonts w:hint="eastAsia"/>
                <w:color w:val="000000"/>
                <w:sz w:val="18"/>
                <w:szCs w:val="18"/>
              </w:rPr>
              <w:t>〕</w:t>
            </w:r>
            <w:r>
              <w:rPr>
                <w:color w:val="000000"/>
                <w:sz w:val="18"/>
                <w:szCs w:val="18"/>
              </w:rPr>
              <w:t>814</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关于调整全省机关事业单位住房公积金缴存比例的通知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39</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bookmarkStart w:id="0" w:name="_Toc18315780"/>
            <w:bookmarkStart w:id="1" w:name="_Toc20726639"/>
            <w:r>
              <w:rPr>
                <w:rFonts w:hint="eastAsia"/>
                <w:color w:val="000000"/>
                <w:sz w:val="18"/>
                <w:szCs w:val="18"/>
              </w:rPr>
              <w:t>苏建园〔</w:t>
            </w:r>
            <w:r>
              <w:rPr>
                <w:color w:val="000000"/>
                <w:sz w:val="18"/>
                <w:szCs w:val="18"/>
              </w:rPr>
              <w:t>2000</w:t>
            </w:r>
            <w:r>
              <w:rPr>
                <w:rFonts w:hint="eastAsia"/>
                <w:color w:val="000000"/>
                <w:sz w:val="18"/>
                <w:szCs w:val="18"/>
              </w:rPr>
              <w:t>〕</w:t>
            </w:r>
            <w:r>
              <w:rPr>
                <w:color w:val="000000"/>
                <w:sz w:val="18"/>
                <w:szCs w:val="18"/>
              </w:rPr>
              <w:t>320</w:t>
            </w:r>
            <w:r>
              <w:rPr>
                <w:rFonts w:hint="eastAsia"/>
                <w:color w:val="000000"/>
                <w:sz w:val="18"/>
                <w:szCs w:val="18"/>
              </w:rPr>
              <w:t>号</w:t>
            </w:r>
            <w:bookmarkEnd w:id="0"/>
            <w:bookmarkEnd w:id="1"/>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bookmarkStart w:id="2" w:name="_Toc18315779"/>
            <w:bookmarkStart w:id="3" w:name="_Toc20726638"/>
            <w:r>
              <w:rPr>
                <w:rFonts w:hint="eastAsia"/>
                <w:color w:val="000000"/>
                <w:sz w:val="18"/>
                <w:szCs w:val="18"/>
              </w:rPr>
              <w:t>关于印发《江苏省城市古树名木养护管理暂行规定》</w:t>
            </w:r>
            <w:r>
              <w:rPr>
                <w:color w:val="000000"/>
                <w:sz w:val="18"/>
                <w:szCs w:val="18"/>
              </w:rPr>
              <w:t xml:space="preserve">   </w:t>
            </w:r>
            <w:r>
              <w:rPr>
                <w:rFonts w:hint="eastAsia"/>
                <w:color w:val="000000"/>
                <w:sz w:val="18"/>
                <w:szCs w:val="18"/>
              </w:rPr>
              <w:t>的通知</w:t>
            </w:r>
            <w:bookmarkEnd w:id="2"/>
            <w:bookmarkEnd w:id="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40</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苏建园〔</w:t>
            </w:r>
            <w:r>
              <w:rPr>
                <w:color w:val="000000"/>
                <w:sz w:val="18"/>
                <w:szCs w:val="18"/>
              </w:rPr>
              <w:t>2013</w:t>
            </w:r>
            <w:r>
              <w:rPr>
                <w:rFonts w:hint="eastAsia"/>
                <w:color w:val="000000"/>
                <w:sz w:val="18"/>
                <w:szCs w:val="18"/>
              </w:rPr>
              <w:t>〕</w:t>
            </w:r>
            <w:r>
              <w:rPr>
                <w:color w:val="000000"/>
                <w:sz w:val="18"/>
                <w:szCs w:val="18"/>
              </w:rPr>
              <w:t>402</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省住房城乡建设厅关于进一步加强公园工作的意见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41</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苏建园〔</w:t>
            </w:r>
            <w:r>
              <w:rPr>
                <w:color w:val="000000"/>
                <w:sz w:val="18"/>
                <w:szCs w:val="18"/>
              </w:rPr>
              <w:t>2013</w:t>
            </w:r>
            <w:r>
              <w:rPr>
                <w:rFonts w:hint="eastAsia"/>
                <w:color w:val="000000"/>
                <w:sz w:val="18"/>
                <w:szCs w:val="18"/>
              </w:rPr>
              <w:t>〕</w:t>
            </w:r>
            <w:r>
              <w:rPr>
                <w:color w:val="000000"/>
                <w:sz w:val="18"/>
                <w:szCs w:val="18"/>
              </w:rPr>
              <w:t>537</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省住房城乡建设厅关于</w:t>
            </w:r>
            <w:r>
              <w:rPr>
                <w:color w:val="000000"/>
                <w:sz w:val="18"/>
                <w:szCs w:val="18"/>
              </w:rPr>
              <w:t>2013</w:t>
            </w:r>
            <w:r>
              <w:rPr>
                <w:rFonts w:hint="eastAsia"/>
                <w:color w:val="000000"/>
                <w:sz w:val="18"/>
                <w:szCs w:val="18"/>
              </w:rPr>
              <w:t>年江苏省城市古树名木核查结果的通知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42</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苏建建管〔</w:t>
            </w:r>
            <w:r>
              <w:rPr>
                <w:color w:val="000000"/>
                <w:sz w:val="18"/>
                <w:szCs w:val="18"/>
              </w:rPr>
              <w:t>2013</w:t>
            </w:r>
            <w:r>
              <w:rPr>
                <w:rFonts w:hint="eastAsia"/>
                <w:color w:val="000000"/>
                <w:sz w:val="18"/>
                <w:szCs w:val="18"/>
              </w:rPr>
              <w:t>〕</w:t>
            </w:r>
            <w:r>
              <w:rPr>
                <w:color w:val="000000"/>
                <w:sz w:val="18"/>
                <w:szCs w:val="18"/>
              </w:rPr>
              <w:t>266</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省住房城乡建设厅关于印发《江苏省高支模工程监理实施细则（标准化格式文本）》和《江苏省扣件式钢管脚手架搭设、拆除工程监理实施细则（标准化格式文本）》的通知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43</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苏建建管〔</w:t>
            </w:r>
            <w:r>
              <w:rPr>
                <w:color w:val="000000"/>
                <w:sz w:val="18"/>
                <w:szCs w:val="18"/>
              </w:rPr>
              <w:t>2013</w:t>
            </w:r>
            <w:r>
              <w:rPr>
                <w:rFonts w:hint="eastAsia"/>
                <w:color w:val="000000"/>
                <w:sz w:val="18"/>
                <w:szCs w:val="18"/>
              </w:rPr>
              <w:t>〕</w:t>
            </w:r>
            <w:r>
              <w:rPr>
                <w:color w:val="000000"/>
                <w:sz w:val="18"/>
                <w:szCs w:val="18"/>
              </w:rPr>
              <w:t>314</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省住房城乡建设厅关于印发《江苏省深基坑支护工程监理实施细则（标准化格式文本）》的通知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44</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苏建建管〔</w:t>
            </w:r>
            <w:r>
              <w:rPr>
                <w:color w:val="000000"/>
                <w:sz w:val="18"/>
                <w:szCs w:val="18"/>
              </w:rPr>
              <w:t>2013</w:t>
            </w:r>
            <w:r>
              <w:rPr>
                <w:rFonts w:hint="eastAsia"/>
                <w:color w:val="000000"/>
                <w:sz w:val="18"/>
                <w:szCs w:val="18"/>
              </w:rPr>
              <w:t>〕</w:t>
            </w:r>
            <w:r>
              <w:rPr>
                <w:color w:val="000000"/>
                <w:sz w:val="18"/>
                <w:szCs w:val="18"/>
              </w:rPr>
              <w:t>508</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省住房城乡建设厅关于简化建筑业企业跨区域施工开具相关证明手续的通知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45</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苏建建管〔</w:t>
            </w:r>
            <w:r>
              <w:rPr>
                <w:color w:val="000000"/>
                <w:sz w:val="18"/>
                <w:szCs w:val="18"/>
              </w:rPr>
              <w:t>2013</w:t>
            </w:r>
            <w:r>
              <w:rPr>
                <w:rFonts w:hint="eastAsia"/>
                <w:color w:val="000000"/>
                <w:sz w:val="18"/>
                <w:szCs w:val="18"/>
              </w:rPr>
              <w:t>〕</w:t>
            </w:r>
            <w:r>
              <w:rPr>
                <w:color w:val="000000"/>
                <w:sz w:val="18"/>
                <w:szCs w:val="18"/>
              </w:rPr>
              <w:t>662</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关于印发《江苏省建筑业企业信用综合评价办法（试行）的通知》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46</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苏建函建管〔</w:t>
            </w:r>
            <w:r>
              <w:rPr>
                <w:color w:val="000000"/>
                <w:sz w:val="18"/>
                <w:szCs w:val="18"/>
              </w:rPr>
              <w:t>2018</w:t>
            </w:r>
            <w:r>
              <w:rPr>
                <w:rFonts w:hint="eastAsia"/>
                <w:color w:val="000000"/>
                <w:sz w:val="18"/>
                <w:szCs w:val="18"/>
              </w:rPr>
              <w:t>〕</w:t>
            </w:r>
            <w:r>
              <w:rPr>
                <w:color w:val="000000"/>
                <w:sz w:val="18"/>
                <w:szCs w:val="18"/>
              </w:rPr>
              <w:t>759</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省住房城乡建设厅关于修订印发《江苏省项目监理机构工作评价标准》的通知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47</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苏建规字〔</w:t>
            </w:r>
            <w:r>
              <w:rPr>
                <w:color w:val="000000"/>
                <w:sz w:val="18"/>
                <w:szCs w:val="18"/>
              </w:rPr>
              <w:t>2019</w:t>
            </w:r>
            <w:r>
              <w:rPr>
                <w:rFonts w:hint="eastAsia"/>
                <w:color w:val="000000"/>
                <w:sz w:val="18"/>
                <w:szCs w:val="18"/>
              </w:rPr>
              <w:t>〕</w:t>
            </w:r>
            <w:r>
              <w:rPr>
                <w:color w:val="000000"/>
                <w:sz w:val="18"/>
                <w:szCs w:val="18"/>
              </w:rPr>
              <w:t>1</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江苏省住房和城乡建设厅关于试行调整部分建筑业企业资质承包工程范围的通知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48</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苏建规字</w:t>
            </w:r>
            <w:r>
              <w:rPr>
                <w:rFonts w:hint="eastAsia" w:ascii="Times New Roman" w:hAnsi="Times New Roman"/>
                <w:color w:val="000000"/>
                <w:sz w:val="18"/>
                <w:szCs w:val="18"/>
              </w:rPr>
              <w:t>〔</w:t>
            </w:r>
            <w:r>
              <w:rPr>
                <w:color w:val="000000"/>
                <w:sz w:val="18"/>
                <w:szCs w:val="18"/>
              </w:rPr>
              <w:t>2019</w:t>
            </w:r>
            <w:r>
              <w:rPr>
                <w:rFonts w:hint="eastAsia" w:ascii="Times New Roman" w:hAnsi="Times New Roman"/>
                <w:color w:val="000000"/>
                <w:sz w:val="18"/>
                <w:szCs w:val="18"/>
              </w:rPr>
              <w:t>〕</w:t>
            </w:r>
            <w:r>
              <w:rPr>
                <w:color w:val="000000"/>
                <w:sz w:val="18"/>
                <w:szCs w:val="18"/>
              </w:rPr>
              <w:t>2</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省住房城乡建设厅</w:t>
            </w:r>
            <w:r>
              <w:rPr>
                <w:color w:val="000000"/>
                <w:sz w:val="18"/>
                <w:szCs w:val="18"/>
              </w:rPr>
              <w:t xml:space="preserve"> </w:t>
            </w:r>
            <w:r>
              <w:rPr>
                <w:rFonts w:hint="eastAsia"/>
                <w:color w:val="000000"/>
                <w:sz w:val="18"/>
                <w:szCs w:val="18"/>
              </w:rPr>
              <w:t>省交通厅</w:t>
            </w:r>
            <w:r>
              <w:rPr>
                <w:color w:val="000000"/>
                <w:sz w:val="18"/>
                <w:szCs w:val="18"/>
              </w:rPr>
              <w:t xml:space="preserve"> </w:t>
            </w:r>
            <w:r>
              <w:rPr>
                <w:rFonts w:hint="eastAsia"/>
                <w:color w:val="000000"/>
                <w:sz w:val="18"/>
                <w:szCs w:val="18"/>
              </w:rPr>
              <w:t>省水利厅关于试行部分类别的施工总承包资质企业跨专业承接工程的通知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49</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napToGrid w:val="0"/>
              <w:spacing w:line="600" w:lineRule="exact"/>
              <w:jc w:val="center"/>
              <w:rPr>
                <w:color w:val="000000"/>
                <w:sz w:val="18"/>
                <w:szCs w:val="18"/>
              </w:rPr>
            </w:pPr>
            <w:r>
              <w:rPr>
                <w:rFonts w:hint="eastAsia"/>
                <w:color w:val="000000"/>
                <w:sz w:val="18"/>
                <w:szCs w:val="18"/>
              </w:rPr>
              <w:t>苏建规字〔</w:t>
            </w:r>
            <w:r>
              <w:rPr>
                <w:color w:val="000000"/>
                <w:sz w:val="18"/>
                <w:szCs w:val="18"/>
              </w:rPr>
              <w:t>2019</w:t>
            </w:r>
            <w:r>
              <w:rPr>
                <w:rFonts w:hint="eastAsia"/>
                <w:color w:val="000000"/>
                <w:sz w:val="18"/>
                <w:szCs w:val="18"/>
              </w:rPr>
              <w:t>〕</w:t>
            </w:r>
            <w:r>
              <w:rPr>
                <w:color w:val="000000"/>
                <w:sz w:val="18"/>
                <w:szCs w:val="18"/>
              </w:rPr>
              <w:t>4</w:t>
            </w:r>
            <w:r>
              <w:rPr>
                <w:rFonts w:hint="eastAsia"/>
                <w:color w:val="000000"/>
                <w:sz w:val="18"/>
                <w:szCs w:val="18"/>
              </w:rPr>
              <w:t>号</w:t>
            </w:r>
          </w:p>
          <w:p>
            <w:pPr>
              <w:spacing w:line="260" w:lineRule="exact"/>
              <w:jc w:val="center"/>
              <w:rPr>
                <w:color w:val="000000"/>
                <w:sz w:val="18"/>
                <w:szCs w:val="18"/>
              </w:rPr>
            </w:pP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关于印发《江苏省建筑工人实名制管理和工资支付保障实施办法（试行）》的通知</w:t>
            </w:r>
          </w:p>
          <w:p>
            <w:pPr>
              <w:spacing w:line="260" w:lineRule="exact"/>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50</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苏建建管〔</w:t>
            </w:r>
            <w:r>
              <w:rPr>
                <w:color w:val="000000"/>
                <w:sz w:val="18"/>
                <w:szCs w:val="18"/>
              </w:rPr>
              <w:t>2019</w:t>
            </w:r>
            <w:r>
              <w:rPr>
                <w:rFonts w:hint="eastAsia"/>
                <w:color w:val="000000"/>
                <w:sz w:val="18"/>
                <w:szCs w:val="18"/>
              </w:rPr>
              <w:t>〕</w:t>
            </w:r>
            <w:r>
              <w:rPr>
                <w:color w:val="000000"/>
                <w:sz w:val="18"/>
                <w:szCs w:val="18"/>
              </w:rPr>
              <w:t>204</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省住房城乡建设厅关于统一使用《江苏省建设工程监理现场用表（第六版）》的通知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51</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苏建规字〔</w:t>
            </w:r>
            <w:r>
              <w:rPr>
                <w:color w:val="000000"/>
                <w:sz w:val="18"/>
                <w:szCs w:val="18"/>
              </w:rPr>
              <w:t>2015</w:t>
            </w:r>
            <w:r>
              <w:rPr>
                <w:rFonts w:hint="eastAsia"/>
                <w:color w:val="000000"/>
                <w:sz w:val="18"/>
                <w:szCs w:val="18"/>
              </w:rPr>
              <w:t>〕</w:t>
            </w:r>
            <w:r>
              <w:rPr>
                <w:color w:val="000000"/>
                <w:sz w:val="18"/>
                <w:szCs w:val="18"/>
              </w:rPr>
              <w:t>2</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省住房城乡建设厅关于印发《江苏省优质工程奖</w:t>
            </w:r>
            <w:r>
              <w:rPr>
                <w:color w:val="000000"/>
                <w:sz w:val="18"/>
                <w:szCs w:val="18"/>
              </w:rPr>
              <w:t>“</w:t>
            </w:r>
            <w:r>
              <w:rPr>
                <w:rFonts w:hint="eastAsia"/>
                <w:color w:val="000000"/>
                <w:sz w:val="18"/>
                <w:szCs w:val="18"/>
              </w:rPr>
              <w:t>扬子杯</w:t>
            </w:r>
            <w:r>
              <w:rPr>
                <w:color w:val="000000"/>
                <w:sz w:val="18"/>
                <w:szCs w:val="18"/>
              </w:rPr>
              <w:t>”</w:t>
            </w:r>
            <w:r>
              <w:rPr>
                <w:rFonts w:hint="eastAsia"/>
                <w:color w:val="000000"/>
                <w:sz w:val="18"/>
                <w:szCs w:val="18"/>
              </w:rPr>
              <w:t>评选办法》的通知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52</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苏建审批〔</w:t>
            </w:r>
            <w:r>
              <w:rPr>
                <w:color w:val="000000"/>
                <w:sz w:val="18"/>
                <w:szCs w:val="18"/>
              </w:rPr>
              <w:t>2008</w:t>
            </w:r>
            <w:r>
              <w:rPr>
                <w:rFonts w:hint="eastAsia"/>
                <w:color w:val="000000"/>
                <w:sz w:val="18"/>
                <w:szCs w:val="18"/>
              </w:rPr>
              <w:t>〕</w:t>
            </w:r>
            <w:r>
              <w:rPr>
                <w:color w:val="000000"/>
                <w:sz w:val="18"/>
                <w:szCs w:val="18"/>
              </w:rPr>
              <w:t>271</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关于印发《江苏省房地产企业行政许可电子化工作实施细则（试行）》的通知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53</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苏建教〔</w:t>
            </w:r>
            <w:r>
              <w:rPr>
                <w:color w:val="000000"/>
                <w:sz w:val="18"/>
                <w:szCs w:val="18"/>
              </w:rPr>
              <w:t>2017</w:t>
            </w:r>
            <w:r>
              <w:rPr>
                <w:rFonts w:hint="eastAsia"/>
                <w:color w:val="000000"/>
                <w:sz w:val="18"/>
                <w:szCs w:val="18"/>
              </w:rPr>
              <w:t>〕</w:t>
            </w:r>
            <w:r>
              <w:rPr>
                <w:color w:val="000000"/>
                <w:sz w:val="18"/>
                <w:szCs w:val="18"/>
              </w:rPr>
              <w:t>16</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省住房城乡建设厅关于开展燃气经营企业从业人员专业培训考核的通知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54</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苏建教〔</w:t>
            </w:r>
            <w:r>
              <w:rPr>
                <w:color w:val="000000"/>
                <w:sz w:val="18"/>
                <w:szCs w:val="18"/>
              </w:rPr>
              <w:t>2017</w:t>
            </w:r>
            <w:r>
              <w:rPr>
                <w:rFonts w:hint="eastAsia"/>
                <w:color w:val="000000"/>
                <w:sz w:val="18"/>
                <w:szCs w:val="18"/>
              </w:rPr>
              <w:t>〕</w:t>
            </w:r>
            <w:r>
              <w:rPr>
                <w:color w:val="000000"/>
                <w:sz w:val="18"/>
                <w:szCs w:val="18"/>
              </w:rPr>
              <w:t>440</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省住房城乡建设厅关于进一步完善我省建筑施工企业主要负责人、项目负责人和专职安全生产管理人员安全生产知识考核管理工作的通知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55</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苏建价〔</w:t>
            </w:r>
            <w:r>
              <w:rPr>
                <w:color w:val="000000"/>
                <w:sz w:val="18"/>
                <w:szCs w:val="18"/>
              </w:rPr>
              <w:t>2007</w:t>
            </w:r>
            <w:r>
              <w:rPr>
                <w:rFonts w:hint="eastAsia"/>
                <w:color w:val="000000"/>
                <w:sz w:val="18"/>
                <w:szCs w:val="18"/>
              </w:rPr>
              <w:t>〕</w:t>
            </w:r>
            <w:r>
              <w:rPr>
                <w:color w:val="000000"/>
                <w:sz w:val="18"/>
                <w:szCs w:val="18"/>
              </w:rPr>
              <w:t>355</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关于贯彻实施《江苏省仿古建筑与园林工程计价表》的通知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56</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苏建价〔</w:t>
            </w:r>
            <w:r>
              <w:rPr>
                <w:color w:val="000000"/>
                <w:sz w:val="18"/>
                <w:szCs w:val="18"/>
              </w:rPr>
              <w:t>2008</w:t>
            </w:r>
            <w:r>
              <w:rPr>
                <w:rFonts w:hint="eastAsia"/>
                <w:color w:val="000000"/>
                <w:sz w:val="18"/>
                <w:szCs w:val="18"/>
              </w:rPr>
              <w:t>〕</w:t>
            </w:r>
            <w:r>
              <w:rPr>
                <w:color w:val="000000"/>
                <w:sz w:val="18"/>
                <w:szCs w:val="18"/>
              </w:rPr>
              <w:t>67</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关于加强建筑材料价格风险控制的指导意见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57</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苏建价〔</w:t>
            </w:r>
            <w:r>
              <w:rPr>
                <w:color w:val="000000"/>
                <w:sz w:val="18"/>
                <w:szCs w:val="18"/>
              </w:rPr>
              <w:t>2012</w:t>
            </w:r>
            <w:r>
              <w:rPr>
                <w:rFonts w:hint="eastAsia"/>
                <w:color w:val="000000"/>
                <w:sz w:val="18"/>
                <w:szCs w:val="18"/>
              </w:rPr>
              <w:t>〕</w:t>
            </w:r>
            <w:r>
              <w:rPr>
                <w:color w:val="000000"/>
                <w:sz w:val="18"/>
                <w:szCs w:val="18"/>
              </w:rPr>
              <w:t>633</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省住房和城乡建设厅关于对建设工程人工工资单价实行动态管理的通知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sz w:val="18"/>
                <w:szCs w:val="18"/>
              </w:rPr>
            </w:pPr>
            <w:r>
              <w:rPr>
                <w:sz w:val="18"/>
                <w:szCs w:val="18"/>
              </w:rPr>
              <w:t>58</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苏建价〔</w:t>
            </w:r>
            <w:r>
              <w:rPr>
                <w:color w:val="000000"/>
                <w:sz w:val="18"/>
                <w:szCs w:val="18"/>
              </w:rPr>
              <w:t>201</w:t>
            </w:r>
            <w:r>
              <w:rPr>
                <w:rFonts w:hint="eastAsia"/>
                <w:color w:val="000000"/>
                <w:sz w:val="18"/>
                <w:szCs w:val="18"/>
              </w:rPr>
              <w:t>4〕448号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sz w:val="18"/>
                <w:szCs w:val="18"/>
              </w:rPr>
            </w:pPr>
            <w:r>
              <w:rPr>
                <w:rFonts w:hint="eastAsia" w:ascii="Times New Roman" w:hAnsi="Times New Roman" w:cs="宋体"/>
                <w:spacing w:val="-6"/>
                <w:kern w:val="0"/>
                <w:sz w:val="18"/>
                <w:szCs w:val="18"/>
              </w:rPr>
              <w:t>省住房城乡建设厅关于&lt;建设工程工程量清单计价规范&gt;</w:t>
            </w:r>
            <w:r>
              <w:rPr>
                <w:rFonts w:hint="eastAsia"/>
                <w:color w:val="000000"/>
                <w:sz w:val="18"/>
                <w:szCs w:val="18"/>
              </w:rPr>
              <w:t>（GB50500-2013）</w:t>
            </w:r>
            <w:r>
              <w:rPr>
                <w:rFonts w:hint="eastAsia" w:ascii="Times New Roman" w:hAnsi="Times New Roman" w:cs="宋体"/>
                <w:spacing w:val="-6"/>
                <w:kern w:val="0"/>
                <w:sz w:val="18"/>
                <w:szCs w:val="18"/>
              </w:rPr>
              <w:t>及其9本工程量计算规范的贯彻意见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sz w:val="18"/>
                <w:szCs w:val="18"/>
              </w:rPr>
            </w:pPr>
            <w:r>
              <w:rPr>
                <w:sz w:val="18"/>
                <w:szCs w:val="18"/>
              </w:rPr>
              <w:t>59</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苏建规字〔2014〕4号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sz w:val="18"/>
                <w:szCs w:val="18"/>
              </w:rPr>
            </w:pPr>
            <w:r>
              <w:rPr>
                <w:rFonts w:hint="eastAsia" w:ascii="Times New Roman" w:hAnsi="Times New Roman" w:cs="宋体"/>
                <w:spacing w:val="-6"/>
                <w:kern w:val="0"/>
                <w:sz w:val="18"/>
                <w:szCs w:val="18"/>
              </w:rPr>
              <w:t xml:space="preserve">江苏省房屋建筑和市政基础设施工程评标专家管理办法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60</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苏建档〔</w:t>
            </w:r>
            <w:r>
              <w:rPr>
                <w:color w:val="000000"/>
                <w:sz w:val="18"/>
                <w:szCs w:val="18"/>
              </w:rPr>
              <w:t>2009</w:t>
            </w:r>
            <w:r>
              <w:rPr>
                <w:rFonts w:hint="eastAsia"/>
                <w:color w:val="000000"/>
                <w:sz w:val="18"/>
                <w:szCs w:val="18"/>
              </w:rPr>
              <w:t>〕</w:t>
            </w:r>
            <w:r>
              <w:rPr>
                <w:color w:val="000000"/>
                <w:sz w:val="18"/>
                <w:szCs w:val="18"/>
              </w:rPr>
              <w:t>262</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关于进一步加强村镇建设档案工作的通知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61</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苏建档〔</w:t>
            </w:r>
            <w:r>
              <w:rPr>
                <w:color w:val="000000"/>
                <w:sz w:val="18"/>
                <w:szCs w:val="18"/>
              </w:rPr>
              <w:t>2009</w:t>
            </w:r>
            <w:r>
              <w:rPr>
                <w:rFonts w:hint="eastAsia"/>
                <w:color w:val="000000"/>
                <w:sz w:val="18"/>
                <w:szCs w:val="18"/>
              </w:rPr>
              <w:t>〕</w:t>
            </w:r>
            <w:r>
              <w:rPr>
                <w:color w:val="000000"/>
                <w:sz w:val="18"/>
                <w:szCs w:val="18"/>
              </w:rPr>
              <w:t>285</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关于进一步加强开发区建设档案管理工作的通知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62</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苏建质〔</w:t>
            </w:r>
            <w:r>
              <w:rPr>
                <w:color w:val="000000"/>
                <w:sz w:val="18"/>
                <w:szCs w:val="18"/>
              </w:rPr>
              <w:t>2004</w:t>
            </w:r>
            <w:r>
              <w:rPr>
                <w:rFonts w:hint="eastAsia"/>
                <w:color w:val="000000"/>
                <w:sz w:val="18"/>
                <w:szCs w:val="18"/>
              </w:rPr>
              <w:t>〕</w:t>
            </w:r>
            <w:r>
              <w:rPr>
                <w:color w:val="000000"/>
                <w:sz w:val="18"/>
                <w:szCs w:val="18"/>
              </w:rPr>
              <w:t>372</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关于改变我省建设工程质量见证取样检测委托方有关事项的通知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63</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苏建质〔</w:t>
            </w:r>
            <w:r>
              <w:rPr>
                <w:color w:val="000000"/>
                <w:sz w:val="18"/>
                <w:szCs w:val="18"/>
              </w:rPr>
              <w:t>2006</w:t>
            </w:r>
            <w:r>
              <w:rPr>
                <w:rFonts w:hint="eastAsia"/>
                <w:color w:val="000000"/>
                <w:sz w:val="18"/>
                <w:szCs w:val="18"/>
              </w:rPr>
              <w:t>〕</w:t>
            </w:r>
            <w:r>
              <w:rPr>
                <w:color w:val="000000"/>
                <w:sz w:val="18"/>
                <w:szCs w:val="18"/>
              </w:rPr>
              <w:t>487</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关于印发《江苏省建设工程质量检测机构与人员信用管理规定》的通知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64</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苏建质安〔</w:t>
            </w:r>
            <w:r>
              <w:rPr>
                <w:color w:val="000000"/>
                <w:sz w:val="18"/>
                <w:szCs w:val="18"/>
              </w:rPr>
              <w:t>2016</w:t>
            </w:r>
            <w:r>
              <w:rPr>
                <w:rFonts w:hint="eastAsia"/>
                <w:color w:val="000000"/>
                <w:sz w:val="18"/>
                <w:szCs w:val="18"/>
              </w:rPr>
              <w:t>〕</w:t>
            </w:r>
            <w:r>
              <w:rPr>
                <w:color w:val="000000"/>
                <w:sz w:val="18"/>
                <w:szCs w:val="18"/>
              </w:rPr>
              <w:t>389</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关于加强建筑施工企业主要负责人、项目负责人和专职安全生产管理人员安全生产考核合格证书管理工作的通知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color w:val="000000"/>
                <w:sz w:val="18"/>
                <w:szCs w:val="18"/>
              </w:rPr>
              <w:t>65</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color w:val="000000"/>
                <w:sz w:val="18"/>
                <w:szCs w:val="18"/>
              </w:rPr>
            </w:pPr>
            <w:r>
              <w:rPr>
                <w:rFonts w:hint="eastAsia"/>
                <w:color w:val="000000"/>
                <w:sz w:val="18"/>
                <w:szCs w:val="18"/>
              </w:rPr>
              <w:t>苏建规字〔</w:t>
            </w:r>
            <w:r>
              <w:rPr>
                <w:color w:val="000000"/>
                <w:sz w:val="18"/>
                <w:szCs w:val="18"/>
              </w:rPr>
              <w:t>2019</w:t>
            </w:r>
            <w:r>
              <w:rPr>
                <w:rFonts w:hint="eastAsia"/>
                <w:color w:val="000000"/>
                <w:sz w:val="18"/>
                <w:szCs w:val="18"/>
              </w:rPr>
              <w:t>〕</w:t>
            </w:r>
            <w:r>
              <w:rPr>
                <w:color w:val="000000"/>
                <w:sz w:val="18"/>
                <w:szCs w:val="18"/>
              </w:rPr>
              <w:t>3</w:t>
            </w:r>
            <w:r>
              <w:rPr>
                <w:rFonts w:hint="eastAsia"/>
                <w:color w:val="000000"/>
                <w:sz w:val="18"/>
                <w:szCs w:val="18"/>
              </w:rPr>
              <w:t>号</w:t>
            </w:r>
          </w:p>
        </w:tc>
        <w:tc>
          <w:tcPr>
            <w:tcW w:w="1091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color w:val="000000"/>
                <w:sz w:val="18"/>
                <w:szCs w:val="18"/>
              </w:rPr>
            </w:pPr>
            <w:r>
              <w:rPr>
                <w:rFonts w:hint="eastAsia"/>
                <w:color w:val="000000"/>
                <w:sz w:val="18"/>
                <w:szCs w:val="18"/>
              </w:rPr>
              <w:t>江苏省二级造价工程师职业资格考试实施办法</w:t>
            </w:r>
            <w:r>
              <w:rPr>
                <w:color w:val="000000"/>
                <w:sz w:val="18"/>
                <w:szCs w:val="18"/>
              </w:rPr>
              <w:t>(</w:t>
            </w:r>
            <w:r>
              <w:rPr>
                <w:rFonts w:hint="eastAsia"/>
                <w:color w:val="000000"/>
                <w:sz w:val="18"/>
                <w:szCs w:val="18"/>
              </w:rPr>
              <w:t>试行</w:t>
            </w:r>
            <w:r>
              <w:rPr>
                <w:color w:val="000000"/>
                <w:sz w:val="18"/>
                <w:szCs w:val="18"/>
              </w:rPr>
              <w:t>)</w:t>
            </w:r>
          </w:p>
        </w:tc>
      </w:tr>
    </w:tbl>
    <w:p>
      <w:pPr>
        <w:rPr>
          <w:rFonts w:hint="eastAsia"/>
          <w:color w:val="000000"/>
          <w:sz w:val="18"/>
          <w:szCs w:val="18"/>
        </w:rPr>
      </w:pPr>
    </w:p>
    <w:p>
      <w:pPr>
        <w:rPr>
          <w:rFonts w:ascii="Times New Roman" w:eastAsia="方正黑体_GBK"/>
          <w:color w:val="000000"/>
          <w:sz w:val="44"/>
          <w:szCs w:val="44"/>
        </w:rPr>
      </w:pPr>
      <w:r>
        <w:rPr>
          <w:color w:val="000000"/>
          <w:sz w:val="18"/>
          <w:szCs w:val="18"/>
        </w:rPr>
        <w:br w:type="column"/>
      </w:r>
      <w:r>
        <w:rPr>
          <w:rFonts w:hint="eastAsia" w:ascii="Times New Roman" w:eastAsia="方正黑体_GBK"/>
          <w:color w:val="000000"/>
          <w:sz w:val="32"/>
          <w:szCs w:val="32"/>
        </w:rPr>
        <w:t>附件2</w:t>
      </w:r>
    </w:p>
    <w:p>
      <w:pPr>
        <w:jc w:val="center"/>
        <w:rPr>
          <w:rFonts w:hint="eastAsia" w:ascii="Times New Roman" w:eastAsia="方正黑体_GBK"/>
          <w:color w:val="000000"/>
          <w:sz w:val="52"/>
          <w:szCs w:val="52"/>
        </w:rPr>
      </w:pPr>
      <w:r>
        <w:rPr>
          <w:rFonts w:hint="eastAsia" w:ascii="Times New Roman" w:eastAsia="方正小标宋_GBK"/>
          <w:color w:val="000000"/>
          <w:sz w:val="44"/>
          <w:szCs w:val="44"/>
        </w:rPr>
        <w:t>废止文件目录</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268"/>
        <w:gridCol w:w="11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黑体_GBK"/>
                <w:color w:val="000000"/>
                <w:sz w:val="18"/>
                <w:szCs w:val="18"/>
              </w:rPr>
            </w:pPr>
            <w:r>
              <w:rPr>
                <w:rFonts w:hint="eastAsia" w:eastAsia="方正黑体_GBK"/>
                <w:color w:val="000000"/>
                <w:sz w:val="18"/>
                <w:szCs w:val="18"/>
              </w:rPr>
              <w:t>序号</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黑体_GBK"/>
                <w:color w:val="000000"/>
                <w:sz w:val="18"/>
                <w:szCs w:val="18"/>
              </w:rPr>
            </w:pPr>
            <w:r>
              <w:rPr>
                <w:rFonts w:hint="eastAsia" w:eastAsia="方正黑体_GBK"/>
                <w:color w:val="000000"/>
                <w:sz w:val="18"/>
                <w:szCs w:val="18"/>
              </w:rPr>
              <w:t>发文字号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黑体_GBK"/>
                <w:color w:val="000000"/>
                <w:sz w:val="18"/>
                <w:szCs w:val="18"/>
              </w:rPr>
            </w:pPr>
            <w:r>
              <w:rPr>
                <w:rFonts w:hint="eastAsia" w:eastAsia="方正黑体_GBK"/>
                <w:color w:val="000000"/>
                <w:sz w:val="18"/>
                <w:szCs w:val="18"/>
              </w:rPr>
              <w:t>规范性文件名称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color w:val="000000"/>
                <w:sz w:val="18"/>
                <w:szCs w:val="18"/>
              </w:rPr>
              <w:t>1</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hAnsi="Times New Roman"/>
                <w:color w:val="000000"/>
                <w:sz w:val="18"/>
                <w:szCs w:val="18"/>
              </w:rPr>
              <w:t>苏建城〔</w:t>
            </w:r>
            <w:r>
              <w:rPr>
                <w:color w:val="000000"/>
                <w:sz w:val="18"/>
                <w:szCs w:val="18"/>
              </w:rPr>
              <w:t>2001</w:t>
            </w:r>
            <w:r>
              <w:rPr>
                <w:rFonts w:hint="eastAsia" w:hAnsi="Times New Roman"/>
                <w:color w:val="000000"/>
                <w:sz w:val="18"/>
                <w:szCs w:val="18"/>
              </w:rPr>
              <w:t>〕</w:t>
            </w:r>
            <w:r>
              <w:rPr>
                <w:color w:val="000000"/>
                <w:sz w:val="18"/>
                <w:szCs w:val="18"/>
              </w:rPr>
              <w:t>128</w:t>
            </w:r>
            <w:r>
              <w:rPr>
                <w:rFonts w:hint="eastAsia" w:hAnsi="Times New Roman"/>
                <w:color w:val="000000"/>
                <w:sz w:val="18"/>
                <w:szCs w:val="18"/>
              </w:rPr>
              <w:t>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color w:val="000000"/>
                <w:sz w:val="18"/>
                <w:szCs w:val="18"/>
              </w:rPr>
            </w:pPr>
            <w:r>
              <w:rPr>
                <w:rFonts w:hint="eastAsia" w:hAnsi="Times New Roman"/>
                <w:color w:val="000000"/>
                <w:sz w:val="18"/>
                <w:szCs w:val="18"/>
              </w:rPr>
              <w:t>关于认真贯彻《省政府关于切实加强城市供水节水与水污染防治工作的通知》的意见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color w:val="000000"/>
                <w:sz w:val="18"/>
                <w:szCs w:val="18"/>
              </w:rPr>
              <w:t>2</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hAnsi="Times New Roman"/>
                <w:color w:val="000000"/>
                <w:sz w:val="18"/>
                <w:szCs w:val="18"/>
              </w:rPr>
              <w:t>苏建城〔</w:t>
            </w:r>
            <w:r>
              <w:rPr>
                <w:color w:val="000000"/>
                <w:sz w:val="18"/>
                <w:szCs w:val="18"/>
              </w:rPr>
              <w:t>2003</w:t>
            </w:r>
            <w:r>
              <w:rPr>
                <w:rFonts w:hint="eastAsia" w:hAnsi="Times New Roman"/>
                <w:color w:val="000000"/>
                <w:sz w:val="18"/>
                <w:szCs w:val="18"/>
              </w:rPr>
              <w:t>〕</w:t>
            </w:r>
            <w:r>
              <w:rPr>
                <w:color w:val="000000"/>
                <w:sz w:val="18"/>
                <w:szCs w:val="18"/>
              </w:rPr>
              <w:t>326</w:t>
            </w:r>
            <w:r>
              <w:rPr>
                <w:rFonts w:hint="eastAsia" w:hAnsi="Times New Roman"/>
                <w:color w:val="000000"/>
                <w:sz w:val="18"/>
                <w:szCs w:val="18"/>
              </w:rPr>
              <w:t>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color w:val="000000"/>
                <w:sz w:val="18"/>
                <w:szCs w:val="18"/>
              </w:rPr>
            </w:pPr>
            <w:r>
              <w:rPr>
                <w:rFonts w:hint="eastAsia" w:hAnsi="Times New Roman"/>
                <w:color w:val="000000"/>
                <w:sz w:val="18"/>
                <w:szCs w:val="18"/>
              </w:rPr>
              <w:t>关于进一步加强全省城市节约用水和保证供水安全工作的通知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color w:val="000000"/>
                <w:sz w:val="18"/>
                <w:szCs w:val="18"/>
              </w:rPr>
              <w:t>3</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hAnsi="Times New Roman"/>
                <w:color w:val="000000"/>
                <w:sz w:val="18"/>
                <w:szCs w:val="18"/>
              </w:rPr>
              <w:t>苏建城〔</w:t>
            </w:r>
            <w:r>
              <w:rPr>
                <w:color w:val="000000"/>
                <w:sz w:val="18"/>
                <w:szCs w:val="18"/>
              </w:rPr>
              <w:t>2004</w:t>
            </w:r>
            <w:r>
              <w:rPr>
                <w:rFonts w:hint="eastAsia" w:hAnsi="Times New Roman"/>
                <w:color w:val="000000"/>
                <w:sz w:val="18"/>
                <w:szCs w:val="18"/>
              </w:rPr>
              <w:t>〕</w:t>
            </w:r>
            <w:r>
              <w:rPr>
                <w:color w:val="000000"/>
                <w:sz w:val="18"/>
                <w:szCs w:val="18"/>
              </w:rPr>
              <w:t>258</w:t>
            </w:r>
            <w:r>
              <w:rPr>
                <w:rFonts w:hint="eastAsia" w:hAnsi="Times New Roman"/>
                <w:color w:val="000000"/>
                <w:sz w:val="18"/>
                <w:szCs w:val="18"/>
              </w:rPr>
              <w:t>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color w:val="000000"/>
                <w:sz w:val="18"/>
                <w:szCs w:val="18"/>
              </w:rPr>
            </w:pPr>
            <w:r>
              <w:rPr>
                <w:rFonts w:hint="eastAsia" w:hAnsi="Times New Roman"/>
                <w:color w:val="000000"/>
                <w:sz w:val="18"/>
                <w:szCs w:val="18"/>
              </w:rPr>
              <w:t>关于印发江苏省城市供水、燃气、公共交通等行业服务公开内容的通知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color w:val="000000"/>
                <w:sz w:val="18"/>
                <w:szCs w:val="18"/>
              </w:rPr>
              <w:t>4</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hAnsi="Times New Roman"/>
                <w:color w:val="000000"/>
                <w:sz w:val="18"/>
                <w:szCs w:val="18"/>
              </w:rPr>
              <w:t>苏建城〔</w:t>
            </w:r>
            <w:r>
              <w:rPr>
                <w:color w:val="000000"/>
                <w:sz w:val="18"/>
                <w:szCs w:val="18"/>
              </w:rPr>
              <w:t>2004</w:t>
            </w:r>
            <w:r>
              <w:rPr>
                <w:rFonts w:hint="eastAsia" w:hAnsi="Times New Roman"/>
                <w:color w:val="000000"/>
                <w:sz w:val="18"/>
                <w:szCs w:val="18"/>
              </w:rPr>
              <w:t>〕</w:t>
            </w:r>
            <w:r>
              <w:rPr>
                <w:color w:val="000000"/>
                <w:sz w:val="18"/>
                <w:szCs w:val="18"/>
              </w:rPr>
              <w:t>422</w:t>
            </w:r>
            <w:r>
              <w:rPr>
                <w:rFonts w:hint="eastAsia" w:hAnsi="Times New Roman"/>
                <w:color w:val="000000"/>
                <w:sz w:val="18"/>
                <w:szCs w:val="18"/>
              </w:rPr>
              <w:t>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color w:val="000000"/>
                <w:sz w:val="18"/>
                <w:szCs w:val="18"/>
              </w:rPr>
            </w:pPr>
            <w:r>
              <w:rPr>
                <w:rFonts w:hint="eastAsia" w:hAnsi="Times New Roman"/>
                <w:color w:val="000000"/>
                <w:sz w:val="18"/>
                <w:szCs w:val="18"/>
              </w:rPr>
              <w:t>关于贯彻落实《关于加强城市桥梁管理工作的通知》的通知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color w:val="000000"/>
                <w:sz w:val="18"/>
                <w:szCs w:val="18"/>
              </w:rPr>
              <w:t>5</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hAnsi="Times New Roman"/>
                <w:color w:val="000000"/>
                <w:sz w:val="18"/>
                <w:szCs w:val="18"/>
              </w:rPr>
              <w:t>苏建城〔</w:t>
            </w:r>
            <w:r>
              <w:rPr>
                <w:color w:val="000000"/>
                <w:sz w:val="18"/>
                <w:szCs w:val="18"/>
              </w:rPr>
              <w:t>2006</w:t>
            </w:r>
            <w:r>
              <w:rPr>
                <w:rFonts w:hint="eastAsia" w:hAnsi="Times New Roman"/>
                <w:color w:val="000000"/>
                <w:sz w:val="18"/>
                <w:szCs w:val="18"/>
              </w:rPr>
              <w:t>〕</w:t>
            </w:r>
            <w:r>
              <w:rPr>
                <w:color w:val="000000"/>
                <w:sz w:val="18"/>
                <w:szCs w:val="18"/>
              </w:rPr>
              <w:t>24</w:t>
            </w:r>
            <w:r>
              <w:rPr>
                <w:rFonts w:hint="eastAsia" w:hAnsi="Times New Roman"/>
                <w:color w:val="000000"/>
                <w:sz w:val="18"/>
                <w:szCs w:val="18"/>
              </w:rPr>
              <w:t>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color w:val="000000"/>
                <w:sz w:val="18"/>
                <w:szCs w:val="18"/>
              </w:rPr>
            </w:pPr>
            <w:r>
              <w:rPr>
                <w:rFonts w:hint="eastAsia" w:hAnsi="Times New Roman"/>
                <w:color w:val="000000"/>
                <w:sz w:val="18"/>
                <w:szCs w:val="18"/>
              </w:rPr>
              <w:t>关于贯彻实施《城市供水水质标准》加强城市供水水质安全保障和督察工作的通知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color w:val="000000"/>
                <w:sz w:val="18"/>
                <w:szCs w:val="18"/>
              </w:rPr>
              <w:t>6</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hAnsi="Times New Roman"/>
                <w:color w:val="000000"/>
                <w:sz w:val="18"/>
                <w:szCs w:val="18"/>
              </w:rPr>
              <w:t>苏建函城〔</w:t>
            </w:r>
            <w:r>
              <w:rPr>
                <w:color w:val="000000"/>
                <w:sz w:val="18"/>
                <w:szCs w:val="18"/>
              </w:rPr>
              <w:t>2007</w:t>
            </w:r>
            <w:r>
              <w:rPr>
                <w:rFonts w:hint="eastAsia" w:hAnsi="Times New Roman"/>
                <w:color w:val="000000"/>
                <w:sz w:val="18"/>
                <w:szCs w:val="18"/>
              </w:rPr>
              <w:t>〕</w:t>
            </w:r>
            <w:r>
              <w:rPr>
                <w:color w:val="000000"/>
                <w:sz w:val="18"/>
                <w:szCs w:val="18"/>
              </w:rPr>
              <w:t>425</w:t>
            </w:r>
            <w:r>
              <w:rPr>
                <w:rFonts w:hint="eastAsia" w:hAnsi="Times New Roman"/>
                <w:color w:val="000000"/>
                <w:sz w:val="18"/>
                <w:szCs w:val="18"/>
              </w:rPr>
              <w:t>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color w:val="000000"/>
                <w:sz w:val="18"/>
                <w:szCs w:val="18"/>
              </w:rPr>
            </w:pPr>
            <w:r>
              <w:rPr>
                <w:rFonts w:hint="eastAsia" w:hAnsi="Times New Roman"/>
                <w:color w:val="000000"/>
                <w:sz w:val="18"/>
                <w:szCs w:val="18"/>
              </w:rPr>
              <w:t>关于建立城市供水安全保供报告制度的通知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color w:val="000000"/>
                <w:sz w:val="18"/>
                <w:szCs w:val="18"/>
              </w:rPr>
              <w:t>7</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hAnsi="Times New Roman"/>
                <w:color w:val="000000"/>
                <w:sz w:val="18"/>
                <w:szCs w:val="18"/>
              </w:rPr>
              <w:t>苏建函城〔</w:t>
            </w:r>
            <w:r>
              <w:rPr>
                <w:color w:val="000000"/>
                <w:sz w:val="18"/>
                <w:szCs w:val="18"/>
              </w:rPr>
              <w:t>2009</w:t>
            </w:r>
            <w:r>
              <w:rPr>
                <w:rFonts w:hint="eastAsia" w:hAnsi="Times New Roman"/>
                <w:color w:val="000000"/>
                <w:sz w:val="18"/>
                <w:szCs w:val="18"/>
              </w:rPr>
              <w:t>〕</w:t>
            </w:r>
            <w:r>
              <w:rPr>
                <w:color w:val="000000"/>
                <w:sz w:val="18"/>
                <w:szCs w:val="18"/>
              </w:rPr>
              <w:t>3</w:t>
            </w:r>
            <w:r>
              <w:rPr>
                <w:rFonts w:hint="eastAsia" w:hAnsi="Times New Roman"/>
                <w:color w:val="000000"/>
                <w:sz w:val="18"/>
                <w:szCs w:val="18"/>
              </w:rPr>
              <w:t>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color w:val="000000"/>
                <w:sz w:val="18"/>
                <w:szCs w:val="18"/>
              </w:rPr>
            </w:pPr>
            <w:r>
              <w:rPr>
                <w:rFonts w:hint="eastAsia" w:hAnsi="Times New Roman"/>
                <w:color w:val="000000"/>
                <w:sz w:val="18"/>
                <w:szCs w:val="18"/>
              </w:rPr>
              <w:t>关于转发建设部《关于印发供水、供气、供热等公用事业单位信息公开实施办法的通知》的通知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color w:val="000000"/>
                <w:sz w:val="18"/>
                <w:szCs w:val="18"/>
              </w:rPr>
              <w:t>8</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hAnsi="Times New Roman"/>
                <w:color w:val="000000"/>
                <w:sz w:val="18"/>
                <w:szCs w:val="18"/>
              </w:rPr>
              <w:t>苏建城〔</w:t>
            </w:r>
            <w:r>
              <w:rPr>
                <w:color w:val="000000"/>
                <w:sz w:val="18"/>
                <w:szCs w:val="18"/>
              </w:rPr>
              <w:t>2013</w:t>
            </w:r>
            <w:r>
              <w:rPr>
                <w:rFonts w:hint="eastAsia" w:hAnsi="Times New Roman"/>
                <w:color w:val="000000"/>
                <w:sz w:val="18"/>
                <w:szCs w:val="18"/>
              </w:rPr>
              <w:t>〕</w:t>
            </w:r>
            <w:r>
              <w:rPr>
                <w:color w:val="000000"/>
                <w:sz w:val="18"/>
                <w:szCs w:val="18"/>
              </w:rPr>
              <w:t>451</w:t>
            </w:r>
            <w:r>
              <w:rPr>
                <w:rFonts w:hint="eastAsia" w:hAnsi="Times New Roman"/>
                <w:color w:val="000000"/>
                <w:sz w:val="18"/>
                <w:szCs w:val="18"/>
              </w:rPr>
              <w:t>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color w:val="000000"/>
                <w:sz w:val="18"/>
                <w:szCs w:val="18"/>
              </w:rPr>
            </w:pPr>
            <w:r>
              <w:rPr>
                <w:rFonts w:hint="eastAsia" w:hAnsi="Times New Roman"/>
                <w:color w:val="000000"/>
                <w:sz w:val="18"/>
                <w:szCs w:val="18"/>
              </w:rPr>
              <w:t>省住房城乡建设厅关于开展江苏省城市公共供水企业名录公告工作的通知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color w:val="000000"/>
                <w:sz w:val="18"/>
                <w:szCs w:val="18"/>
              </w:rPr>
              <w:t>9</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hAnsi="Times New Roman"/>
                <w:color w:val="000000"/>
                <w:sz w:val="18"/>
                <w:szCs w:val="18"/>
              </w:rPr>
              <w:t>苏建村（</w:t>
            </w:r>
            <w:r>
              <w:rPr>
                <w:color w:val="000000"/>
                <w:sz w:val="18"/>
                <w:szCs w:val="18"/>
              </w:rPr>
              <w:t>2004</w:t>
            </w:r>
            <w:r>
              <w:rPr>
                <w:rFonts w:hint="eastAsia" w:hAnsi="Times New Roman"/>
                <w:color w:val="000000"/>
                <w:sz w:val="18"/>
                <w:szCs w:val="18"/>
              </w:rPr>
              <w:t>）</w:t>
            </w:r>
            <w:r>
              <w:rPr>
                <w:color w:val="000000"/>
                <w:sz w:val="18"/>
                <w:szCs w:val="18"/>
              </w:rPr>
              <w:t>157</w:t>
            </w:r>
            <w:r>
              <w:rPr>
                <w:rFonts w:hint="eastAsia" w:hAnsi="Times New Roman"/>
                <w:color w:val="000000"/>
                <w:sz w:val="18"/>
                <w:szCs w:val="18"/>
              </w:rPr>
              <w:t>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color w:val="000000"/>
                <w:sz w:val="18"/>
                <w:szCs w:val="18"/>
              </w:rPr>
            </w:pPr>
            <w:r>
              <w:rPr>
                <w:rFonts w:hint="eastAsia" w:hAnsi="Times New Roman"/>
                <w:color w:val="000000"/>
                <w:sz w:val="18"/>
                <w:szCs w:val="18"/>
              </w:rPr>
              <w:t>关于进一步加强村镇建设抗震防灾工作的意见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color w:val="000000"/>
                <w:sz w:val="18"/>
                <w:szCs w:val="18"/>
              </w:rPr>
              <w:t>10</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hAnsi="Times New Roman"/>
                <w:color w:val="000000"/>
                <w:sz w:val="18"/>
                <w:szCs w:val="18"/>
              </w:rPr>
              <w:t>苏建办〔</w:t>
            </w:r>
            <w:r>
              <w:rPr>
                <w:color w:val="000000"/>
                <w:sz w:val="18"/>
                <w:szCs w:val="18"/>
              </w:rPr>
              <w:t>2010</w:t>
            </w:r>
            <w:r>
              <w:rPr>
                <w:rFonts w:hint="eastAsia" w:hAnsi="Times New Roman"/>
                <w:color w:val="000000"/>
                <w:sz w:val="18"/>
                <w:szCs w:val="18"/>
              </w:rPr>
              <w:t>〕</w:t>
            </w:r>
            <w:r>
              <w:rPr>
                <w:color w:val="000000"/>
                <w:sz w:val="18"/>
                <w:szCs w:val="18"/>
              </w:rPr>
              <w:t>242</w:t>
            </w:r>
            <w:r>
              <w:rPr>
                <w:rFonts w:hint="eastAsia" w:hAnsi="Times New Roman"/>
                <w:color w:val="000000"/>
                <w:sz w:val="18"/>
                <w:szCs w:val="18"/>
              </w:rPr>
              <w:t>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color w:val="000000"/>
                <w:sz w:val="18"/>
                <w:szCs w:val="18"/>
              </w:rPr>
            </w:pPr>
            <w:r>
              <w:rPr>
                <w:rFonts w:hint="eastAsia" w:hAnsi="Times New Roman"/>
                <w:color w:val="000000"/>
                <w:sz w:val="18"/>
                <w:szCs w:val="18"/>
              </w:rPr>
              <w:t>关于规范全省农民集中居住点房屋代建管理的意见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color w:val="000000"/>
                <w:sz w:val="18"/>
                <w:szCs w:val="18"/>
              </w:rPr>
              <w:t>11</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hAnsi="Times New Roman"/>
                <w:color w:val="000000"/>
                <w:sz w:val="18"/>
                <w:szCs w:val="18"/>
              </w:rPr>
              <w:t>苏建村〔</w:t>
            </w:r>
            <w:r>
              <w:rPr>
                <w:color w:val="000000"/>
                <w:sz w:val="18"/>
                <w:szCs w:val="18"/>
              </w:rPr>
              <w:t>2012</w:t>
            </w:r>
            <w:r>
              <w:rPr>
                <w:rFonts w:hint="eastAsia" w:hAnsi="Times New Roman"/>
                <w:color w:val="000000"/>
                <w:sz w:val="18"/>
                <w:szCs w:val="18"/>
              </w:rPr>
              <w:t>〕</w:t>
            </w:r>
            <w:r>
              <w:rPr>
                <w:color w:val="000000"/>
                <w:sz w:val="18"/>
                <w:szCs w:val="18"/>
              </w:rPr>
              <w:t>201</w:t>
            </w:r>
            <w:r>
              <w:rPr>
                <w:rFonts w:hint="eastAsia" w:hAnsi="Times New Roman"/>
                <w:color w:val="000000"/>
                <w:sz w:val="18"/>
                <w:szCs w:val="18"/>
              </w:rPr>
              <w:t>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color w:val="000000"/>
                <w:sz w:val="18"/>
                <w:szCs w:val="18"/>
              </w:rPr>
            </w:pPr>
            <w:r>
              <w:rPr>
                <w:rFonts w:hint="eastAsia" w:hAnsi="Times New Roman"/>
                <w:color w:val="000000"/>
                <w:sz w:val="18"/>
                <w:szCs w:val="18"/>
              </w:rPr>
              <w:t>关于印发《江苏省康居乡村乐游农家创建评定实施办法（试行）》的通知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color w:val="000000"/>
                <w:sz w:val="18"/>
                <w:szCs w:val="18"/>
              </w:rPr>
              <w:t>12</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hAnsi="Times New Roman"/>
                <w:color w:val="000000"/>
                <w:sz w:val="18"/>
                <w:szCs w:val="18"/>
              </w:rPr>
              <w:t>苏建科〔</w:t>
            </w:r>
            <w:r>
              <w:rPr>
                <w:color w:val="000000"/>
                <w:sz w:val="18"/>
                <w:szCs w:val="18"/>
              </w:rPr>
              <w:t>2008</w:t>
            </w:r>
            <w:r>
              <w:rPr>
                <w:rFonts w:hint="eastAsia" w:hAnsi="Times New Roman"/>
                <w:color w:val="000000"/>
                <w:sz w:val="18"/>
                <w:szCs w:val="18"/>
              </w:rPr>
              <w:t>〕</w:t>
            </w:r>
            <w:r>
              <w:rPr>
                <w:color w:val="000000"/>
                <w:sz w:val="18"/>
                <w:szCs w:val="18"/>
              </w:rPr>
              <w:t>206</w:t>
            </w:r>
            <w:r>
              <w:rPr>
                <w:rFonts w:hint="eastAsia" w:hAnsi="Times New Roman"/>
                <w:color w:val="000000"/>
                <w:sz w:val="18"/>
                <w:szCs w:val="18"/>
              </w:rPr>
              <w:t>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color w:val="000000"/>
                <w:sz w:val="18"/>
                <w:szCs w:val="18"/>
              </w:rPr>
            </w:pPr>
            <w:r>
              <w:rPr>
                <w:rFonts w:hint="eastAsia" w:hAnsi="Times New Roman"/>
                <w:color w:val="000000"/>
                <w:sz w:val="18"/>
                <w:szCs w:val="18"/>
              </w:rPr>
              <w:t>关于加强节能建筑墙体自保温推广应用的通知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color w:val="000000"/>
                <w:sz w:val="18"/>
                <w:szCs w:val="18"/>
              </w:rPr>
              <w:t>13</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hAnsi="Times New Roman"/>
                <w:color w:val="000000"/>
                <w:sz w:val="18"/>
                <w:szCs w:val="18"/>
              </w:rPr>
              <w:t>苏建科〔</w:t>
            </w:r>
            <w:r>
              <w:rPr>
                <w:color w:val="000000"/>
                <w:sz w:val="18"/>
                <w:szCs w:val="18"/>
              </w:rPr>
              <w:t>2008</w:t>
            </w:r>
            <w:r>
              <w:rPr>
                <w:rFonts w:hint="eastAsia" w:hAnsi="Times New Roman"/>
                <w:color w:val="000000"/>
                <w:sz w:val="18"/>
                <w:szCs w:val="18"/>
              </w:rPr>
              <w:t>〕</w:t>
            </w:r>
            <w:r>
              <w:rPr>
                <w:color w:val="000000"/>
                <w:sz w:val="18"/>
                <w:szCs w:val="18"/>
              </w:rPr>
              <w:t>353</w:t>
            </w:r>
            <w:r>
              <w:rPr>
                <w:rFonts w:hint="eastAsia" w:hAnsi="Times New Roman"/>
                <w:color w:val="000000"/>
                <w:sz w:val="18"/>
                <w:szCs w:val="18"/>
              </w:rPr>
              <w:t>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color w:val="000000"/>
                <w:sz w:val="18"/>
                <w:szCs w:val="18"/>
              </w:rPr>
            </w:pPr>
            <w:r>
              <w:rPr>
                <w:rFonts w:hint="eastAsia" w:hAnsi="Times New Roman"/>
                <w:color w:val="000000"/>
                <w:sz w:val="18"/>
                <w:szCs w:val="18"/>
              </w:rPr>
              <w:t>关于进一步加强太阳能热水系统推广应用和管理的通知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color w:val="000000"/>
                <w:sz w:val="18"/>
                <w:szCs w:val="18"/>
              </w:rPr>
              <w:t>14</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hAnsi="Times New Roman"/>
                <w:color w:val="000000"/>
                <w:sz w:val="18"/>
                <w:szCs w:val="18"/>
              </w:rPr>
              <w:t>苏建科〔</w:t>
            </w:r>
            <w:r>
              <w:rPr>
                <w:color w:val="000000"/>
                <w:sz w:val="18"/>
                <w:szCs w:val="18"/>
              </w:rPr>
              <w:t>2007</w:t>
            </w:r>
            <w:r>
              <w:rPr>
                <w:rFonts w:hint="eastAsia" w:hAnsi="Times New Roman"/>
                <w:color w:val="000000"/>
                <w:sz w:val="18"/>
                <w:szCs w:val="18"/>
              </w:rPr>
              <w:t>〕</w:t>
            </w:r>
            <w:r>
              <w:rPr>
                <w:color w:val="000000"/>
                <w:sz w:val="18"/>
                <w:szCs w:val="18"/>
              </w:rPr>
              <w:t>307</w:t>
            </w:r>
            <w:r>
              <w:rPr>
                <w:rFonts w:hint="eastAsia" w:hAnsi="Times New Roman"/>
                <w:color w:val="000000"/>
                <w:sz w:val="18"/>
                <w:szCs w:val="18"/>
              </w:rPr>
              <w:t>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color w:val="000000"/>
                <w:sz w:val="18"/>
                <w:szCs w:val="18"/>
              </w:rPr>
            </w:pPr>
            <w:r>
              <w:rPr>
                <w:rFonts w:hint="eastAsia" w:hAnsi="Times New Roman"/>
                <w:color w:val="000000"/>
                <w:sz w:val="18"/>
                <w:szCs w:val="18"/>
              </w:rPr>
              <w:t>关于印发《江苏省勘察设计企业诚信手册暂行管理办法》及《江苏省勘察设计企业诚信手册》的通知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color w:val="000000"/>
                <w:sz w:val="18"/>
                <w:szCs w:val="18"/>
              </w:rPr>
              <w:t>15</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hAnsi="Times New Roman"/>
                <w:color w:val="000000"/>
                <w:sz w:val="18"/>
                <w:szCs w:val="18"/>
              </w:rPr>
              <w:t>苏建科〔</w:t>
            </w:r>
            <w:r>
              <w:rPr>
                <w:color w:val="000000"/>
                <w:sz w:val="18"/>
                <w:szCs w:val="18"/>
              </w:rPr>
              <w:t>2008</w:t>
            </w:r>
            <w:r>
              <w:rPr>
                <w:rFonts w:hint="eastAsia" w:hAnsi="Times New Roman"/>
                <w:color w:val="000000"/>
                <w:sz w:val="18"/>
                <w:szCs w:val="18"/>
              </w:rPr>
              <w:t>〕</w:t>
            </w:r>
            <w:r>
              <w:rPr>
                <w:color w:val="000000"/>
                <w:sz w:val="18"/>
                <w:szCs w:val="18"/>
              </w:rPr>
              <w:t>323</w:t>
            </w:r>
            <w:r>
              <w:rPr>
                <w:rFonts w:hint="eastAsia" w:hAnsi="Times New Roman"/>
                <w:color w:val="000000"/>
                <w:sz w:val="18"/>
                <w:szCs w:val="18"/>
              </w:rPr>
              <w:t>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color w:val="000000"/>
                <w:sz w:val="18"/>
                <w:szCs w:val="18"/>
              </w:rPr>
            </w:pPr>
            <w:r>
              <w:rPr>
                <w:rFonts w:hint="eastAsia" w:hAnsi="Times New Roman"/>
                <w:color w:val="000000"/>
                <w:sz w:val="18"/>
                <w:szCs w:val="18"/>
              </w:rPr>
              <w:t>关于印发《省外勘察设计企业进江苏承接工程项目资质核验办法》的通知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color w:val="000000"/>
                <w:sz w:val="18"/>
                <w:szCs w:val="18"/>
              </w:rPr>
              <w:t>16</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hAnsi="Times New Roman"/>
                <w:color w:val="000000"/>
                <w:sz w:val="18"/>
                <w:szCs w:val="18"/>
              </w:rPr>
              <w:t>苏建规〔</w:t>
            </w:r>
            <w:r>
              <w:rPr>
                <w:color w:val="000000"/>
                <w:sz w:val="18"/>
                <w:szCs w:val="18"/>
              </w:rPr>
              <w:t>2009</w:t>
            </w:r>
            <w:r>
              <w:rPr>
                <w:rFonts w:hint="eastAsia" w:hAnsi="Times New Roman"/>
                <w:color w:val="000000"/>
                <w:sz w:val="18"/>
                <w:szCs w:val="18"/>
              </w:rPr>
              <w:t>〕</w:t>
            </w:r>
            <w:r>
              <w:rPr>
                <w:color w:val="000000"/>
                <w:sz w:val="18"/>
                <w:szCs w:val="18"/>
              </w:rPr>
              <w:t>218</w:t>
            </w:r>
            <w:r>
              <w:rPr>
                <w:rFonts w:hint="eastAsia" w:hAnsi="Times New Roman"/>
                <w:color w:val="000000"/>
                <w:sz w:val="18"/>
                <w:szCs w:val="18"/>
              </w:rPr>
              <w:t>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color w:val="000000"/>
                <w:sz w:val="18"/>
                <w:szCs w:val="18"/>
              </w:rPr>
            </w:pPr>
            <w:r>
              <w:rPr>
                <w:rFonts w:hint="eastAsia" w:hAnsi="Times New Roman"/>
                <w:color w:val="000000"/>
                <w:sz w:val="18"/>
                <w:szCs w:val="18"/>
              </w:rPr>
              <w:t>关于印发《江苏省城市规划公示制度（</w:t>
            </w:r>
            <w:r>
              <w:rPr>
                <w:color w:val="000000"/>
                <w:sz w:val="18"/>
                <w:szCs w:val="18"/>
              </w:rPr>
              <w:t>2009</w:t>
            </w:r>
            <w:r>
              <w:rPr>
                <w:rFonts w:hint="eastAsia" w:hAnsi="Times New Roman"/>
                <w:color w:val="000000"/>
                <w:sz w:val="18"/>
                <w:szCs w:val="18"/>
              </w:rPr>
              <w:t>）》的通知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color w:val="000000"/>
                <w:sz w:val="18"/>
                <w:szCs w:val="18"/>
              </w:rPr>
              <w:t>17</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hAnsi="Times New Roman"/>
                <w:color w:val="000000"/>
                <w:sz w:val="18"/>
                <w:szCs w:val="18"/>
              </w:rPr>
              <w:t>苏建规〔</w:t>
            </w:r>
            <w:r>
              <w:rPr>
                <w:color w:val="000000"/>
                <w:sz w:val="18"/>
                <w:szCs w:val="18"/>
              </w:rPr>
              <w:t>2010</w:t>
            </w:r>
            <w:r>
              <w:rPr>
                <w:rFonts w:hint="eastAsia" w:hAnsi="Times New Roman"/>
                <w:color w:val="000000"/>
                <w:sz w:val="18"/>
                <w:szCs w:val="18"/>
              </w:rPr>
              <w:t>〕</w:t>
            </w:r>
            <w:r>
              <w:rPr>
                <w:color w:val="000000"/>
                <w:sz w:val="18"/>
                <w:szCs w:val="18"/>
              </w:rPr>
              <w:t>180</w:t>
            </w:r>
            <w:r>
              <w:rPr>
                <w:rFonts w:hint="eastAsia" w:hAnsi="Times New Roman"/>
                <w:color w:val="000000"/>
                <w:sz w:val="18"/>
                <w:szCs w:val="18"/>
              </w:rPr>
              <w:t>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color w:val="000000"/>
                <w:sz w:val="18"/>
                <w:szCs w:val="18"/>
              </w:rPr>
            </w:pPr>
            <w:r>
              <w:rPr>
                <w:rFonts w:hint="eastAsia" w:hAnsi="Times New Roman"/>
                <w:color w:val="000000"/>
                <w:sz w:val="18"/>
                <w:szCs w:val="18"/>
              </w:rPr>
              <w:t>关于加强城市地下空间规划和管理工作的通知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color w:val="000000"/>
                <w:sz w:val="18"/>
                <w:szCs w:val="18"/>
              </w:rPr>
              <w:t>18</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hAnsi="Times New Roman"/>
                <w:color w:val="000000"/>
                <w:sz w:val="18"/>
                <w:szCs w:val="18"/>
              </w:rPr>
              <w:t>苏建函科〔</w:t>
            </w:r>
            <w:r>
              <w:rPr>
                <w:color w:val="000000"/>
                <w:sz w:val="18"/>
                <w:szCs w:val="18"/>
              </w:rPr>
              <w:t>2010</w:t>
            </w:r>
            <w:r>
              <w:rPr>
                <w:rFonts w:hint="eastAsia" w:hAnsi="Times New Roman"/>
                <w:color w:val="000000"/>
                <w:sz w:val="18"/>
                <w:szCs w:val="18"/>
              </w:rPr>
              <w:t>〕</w:t>
            </w:r>
            <w:r>
              <w:rPr>
                <w:color w:val="000000"/>
                <w:sz w:val="18"/>
                <w:szCs w:val="18"/>
              </w:rPr>
              <w:t>689</w:t>
            </w:r>
            <w:r>
              <w:rPr>
                <w:rFonts w:hint="eastAsia" w:hAnsi="Times New Roman"/>
                <w:color w:val="000000"/>
                <w:sz w:val="18"/>
                <w:szCs w:val="18"/>
              </w:rPr>
              <w:t>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color w:val="000000"/>
                <w:sz w:val="18"/>
                <w:szCs w:val="18"/>
              </w:rPr>
            </w:pPr>
            <w:r>
              <w:rPr>
                <w:rFonts w:hint="eastAsia" w:hAnsi="Times New Roman"/>
                <w:color w:val="000000"/>
                <w:sz w:val="18"/>
                <w:szCs w:val="18"/>
              </w:rPr>
              <w:t>关于实施建设工程勘察设计合同备案工作的通知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color w:val="000000"/>
                <w:sz w:val="18"/>
                <w:szCs w:val="18"/>
              </w:rPr>
              <w:t>19</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hAnsi="Times New Roman"/>
                <w:color w:val="000000"/>
                <w:sz w:val="18"/>
                <w:szCs w:val="18"/>
              </w:rPr>
              <w:t>苏建规字〔</w:t>
            </w:r>
            <w:r>
              <w:rPr>
                <w:color w:val="000000"/>
                <w:sz w:val="18"/>
                <w:szCs w:val="18"/>
              </w:rPr>
              <w:t>2011</w:t>
            </w:r>
            <w:r>
              <w:rPr>
                <w:rFonts w:hint="eastAsia" w:hAnsi="Times New Roman"/>
                <w:color w:val="000000"/>
                <w:sz w:val="18"/>
                <w:szCs w:val="18"/>
              </w:rPr>
              <w:t>〕</w:t>
            </w:r>
            <w:r>
              <w:rPr>
                <w:color w:val="000000"/>
                <w:sz w:val="18"/>
                <w:szCs w:val="18"/>
              </w:rPr>
              <w:t>1</w:t>
            </w:r>
            <w:r>
              <w:rPr>
                <w:rFonts w:hint="eastAsia" w:hAnsi="Times New Roman"/>
                <w:color w:val="000000"/>
                <w:sz w:val="18"/>
                <w:szCs w:val="18"/>
              </w:rPr>
              <w:t>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color w:val="000000"/>
                <w:sz w:val="18"/>
                <w:szCs w:val="18"/>
              </w:rPr>
            </w:pPr>
            <w:r>
              <w:rPr>
                <w:rFonts w:hint="eastAsia" w:hAnsi="Times New Roman"/>
                <w:color w:val="000000"/>
                <w:sz w:val="18"/>
                <w:szCs w:val="18"/>
              </w:rPr>
              <w:t>关于进一步规范国家和省重大建设项目选址管理的通知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color w:val="000000"/>
                <w:sz w:val="18"/>
                <w:szCs w:val="18"/>
              </w:rPr>
              <w:t>20</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hAnsi="Times New Roman"/>
                <w:color w:val="000000"/>
                <w:sz w:val="18"/>
                <w:szCs w:val="18"/>
              </w:rPr>
              <w:t>苏建规〔</w:t>
            </w:r>
            <w:r>
              <w:rPr>
                <w:color w:val="000000"/>
                <w:sz w:val="18"/>
                <w:szCs w:val="18"/>
              </w:rPr>
              <w:t>2011</w:t>
            </w:r>
            <w:r>
              <w:rPr>
                <w:rFonts w:hint="eastAsia" w:hAnsi="Times New Roman"/>
                <w:color w:val="000000"/>
                <w:sz w:val="18"/>
                <w:szCs w:val="18"/>
              </w:rPr>
              <w:t>〕</w:t>
            </w:r>
            <w:r>
              <w:rPr>
                <w:color w:val="000000"/>
                <w:sz w:val="18"/>
                <w:szCs w:val="18"/>
              </w:rPr>
              <w:t>183</w:t>
            </w:r>
            <w:r>
              <w:rPr>
                <w:rFonts w:hint="eastAsia" w:hAnsi="Times New Roman"/>
                <w:color w:val="000000"/>
                <w:sz w:val="18"/>
                <w:szCs w:val="18"/>
              </w:rPr>
              <w:t>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color w:val="000000"/>
                <w:sz w:val="18"/>
                <w:szCs w:val="18"/>
              </w:rPr>
            </w:pPr>
            <w:r>
              <w:rPr>
                <w:rFonts w:hint="eastAsia" w:hAnsi="Times New Roman"/>
                <w:color w:val="000000"/>
                <w:sz w:val="18"/>
                <w:szCs w:val="18"/>
              </w:rPr>
              <w:t>关于加强户外广告设置规划编制和实施管理的通知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color w:val="000000"/>
                <w:sz w:val="18"/>
                <w:szCs w:val="18"/>
              </w:rPr>
              <w:t>21</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hAnsi="Times New Roman"/>
                <w:color w:val="000000"/>
                <w:sz w:val="18"/>
                <w:szCs w:val="18"/>
              </w:rPr>
              <w:t>苏建规〔</w:t>
            </w:r>
            <w:r>
              <w:rPr>
                <w:color w:val="000000"/>
                <w:sz w:val="18"/>
                <w:szCs w:val="18"/>
              </w:rPr>
              <w:t>2012</w:t>
            </w:r>
            <w:r>
              <w:rPr>
                <w:rFonts w:hint="eastAsia" w:hAnsi="Times New Roman"/>
                <w:color w:val="000000"/>
                <w:sz w:val="18"/>
                <w:szCs w:val="18"/>
              </w:rPr>
              <w:t>〕</w:t>
            </w:r>
            <w:r>
              <w:rPr>
                <w:color w:val="000000"/>
                <w:sz w:val="18"/>
                <w:szCs w:val="18"/>
              </w:rPr>
              <w:t>587</w:t>
            </w:r>
            <w:r>
              <w:rPr>
                <w:rFonts w:hint="eastAsia" w:hAnsi="Times New Roman"/>
                <w:color w:val="000000"/>
                <w:sz w:val="18"/>
                <w:szCs w:val="18"/>
              </w:rPr>
              <w:t>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color w:val="000000"/>
                <w:sz w:val="18"/>
                <w:szCs w:val="18"/>
              </w:rPr>
            </w:pPr>
            <w:r>
              <w:rPr>
                <w:rFonts w:hint="eastAsia" w:hAnsi="Times New Roman"/>
                <w:color w:val="000000"/>
                <w:sz w:val="18"/>
                <w:szCs w:val="18"/>
              </w:rPr>
              <w:t>省住房城乡建设厅、公安厅关于加强城市规划交通影响评价工作的通知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color w:val="000000"/>
                <w:sz w:val="18"/>
                <w:szCs w:val="18"/>
              </w:rPr>
              <w:t>22</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hAnsi="Times New Roman"/>
                <w:color w:val="000000"/>
                <w:sz w:val="18"/>
                <w:szCs w:val="18"/>
              </w:rPr>
              <w:t>苏建规字〔</w:t>
            </w:r>
            <w:r>
              <w:rPr>
                <w:color w:val="000000"/>
                <w:sz w:val="18"/>
                <w:szCs w:val="18"/>
              </w:rPr>
              <w:t>2013</w:t>
            </w:r>
            <w:r>
              <w:rPr>
                <w:rFonts w:hint="eastAsia" w:hAnsi="Times New Roman"/>
                <w:color w:val="000000"/>
                <w:sz w:val="18"/>
                <w:szCs w:val="18"/>
              </w:rPr>
              <w:t>〕</w:t>
            </w:r>
            <w:r>
              <w:rPr>
                <w:color w:val="000000"/>
                <w:sz w:val="18"/>
                <w:szCs w:val="18"/>
              </w:rPr>
              <w:t>3</w:t>
            </w:r>
            <w:r>
              <w:rPr>
                <w:rFonts w:hint="eastAsia" w:hAnsi="Times New Roman"/>
                <w:color w:val="000000"/>
                <w:sz w:val="18"/>
                <w:szCs w:val="18"/>
              </w:rPr>
              <w:t>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color w:val="000000"/>
                <w:sz w:val="18"/>
                <w:szCs w:val="18"/>
              </w:rPr>
            </w:pPr>
            <w:r>
              <w:rPr>
                <w:rFonts w:hint="eastAsia" w:hAnsi="Times New Roman"/>
                <w:color w:val="000000"/>
                <w:sz w:val="18"/>
                <w:szCs w:val="18"/>
              </w:rPr>
              <w:t>省住房城乡建设厅关于进一步加强城乡规划编制市场管理的通知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color w:val="000000"/>
                <w:sz w:val="18"/>
                <w:szCs w:val="18"/>
              </w:rPr>
              <w:t>23</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hAnsi="Times New Roman"/>
                <w:color w:val="000000"/>
                <w:sz w:val="18"/>
                <w:szCs w:val="18"/>
              </w:rPr>
              <w:t>苏建科〔</w:t>
            </w:r>
            <w:r>
              <w:rPr>
                <w:color w:val="000000"/>
                <w:sz w:val="18"/>
                <w:szCs w:val="18"/>
              </w:rPr>
              <w:t>2013</w:t>
            </w:r>
            <w:r>
              <w:rPr>
                <w:rFonts w:hint="eastAsia" w:hAnsi="Times New Roman"/>
                <w:color w:val="000000"/>
                <w:sz w:val="18"/>
                <w:szCs w:val="18"/>
              </w:rPr>
              <w:t>〕</w:t>
            </w:r>
            <w:r>
              <w:rPr>
                <w:color w:val="000000"/>
                <w:sz w:val="18"/>
                <w:szCs w:val="18"/>
              </w:rPr>
              <w:t>434</w:t>
            </w:r>
            <w:r>
              <w:rPr>
                <w:rFonts w:hint="eastAsia" w:hAnsi="Times New Roman"/>
                <w:color w:val="000000"/>
                <w:sz w:val="18"/>
                <w:szCs w:val="18"/>
              </w:rPr>
              <w:t>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color w:val="000000"/>
                <w:sz w:val="18"/>
                <w:szCs w:val="18"/>
              </w:rPr>
            </w:pPr>
            <w:r>
              <w:rPr>
                <w:rFonts w:hint="eastAsia" w:hAnsi="Times New Roman"/>
                <w:color w:val="000000"/>
                <w:sz w:val="18"/>
                <w:szCs w:val="18"/>
              </w:rPr>
              <w:t>省住房城乡建设厅关于下放省外勘察设计企业进江苏承接勘察设计业务单项工程资质核验工作的通知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color w:val="000000"/>
                <w:sz w:val="18"/>
                <w:szCs w:val="18"/>
              </w:rPr>
              <w:t>24</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hAnsi="Times New Roman"/>
                <w:color w:val="000000"/>
                <w:sz w:val="18"/>
                <w:szCs w:val="18"/>
              </w:rPr>
              <w:t>苏建科〔</w:t>
            </w:r>
            <w:r>
              <w:rPr>
                <w:color w:val="000000"/>
                <w:sz w:val="18"/>
                <w:szCs w:val="18"/>
              </w:rPr>
              <w:t>2014</w:t>
            </w:r>
            <w:r>
              <w:rPr>
                <w:rFonts w:hint="eastAsia" w:hAnsi="Times New Roman"/>
                <w:color w:val="000000"/>
                <w:sz w:val="18"/>
                <w:szCs w:val="18"/>
              </w:rPr>
              <w:t>〕</w:t>
            </w:r>
            <w:r>
              <w:rPr>
                <w:color w:val="000000"/>
                <w:sz w:val="18"/>
                <w:szCs w:val="18"/>
              </w:rPr>
              <w:t>436</w:t>
            </w:r>
            <w:r>
              <w:rPr>
                <w:rFonts w:hint="eastAsia" w:hAnsi="Times New Roman"/>
                <w:color w:val="000000"/>
                <w:sz w:val="18"/>
                <w:szCs w:val="18"/>
              </w:rPr>
              <w:t>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color w:val="000000"/>
                <w:sz w:val="18"/>
                <w:szCs w:val="18"/>
              </w:rPr>
            </w:pPr>
            <w:r>
              <w:rPr>
                <w:rFonts w:hint="eastAsia" w:hAnsi="Times New Roman"/>
                <w:color w:val="000000"/>
                <w:sz w:val="18"/>
                <w:szCs w:val="18"/>
              </w:rPr>
              <w:t>住房城乡建设厅等部门关于加强养老服务设施规划建设工作的通知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color w:val="000000"/>
                <w:sz w:val="18"/>
                <w:szCs w:val="18"/>
              </w:rPr>
              <w:t>25</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hAnsi="Times New Roman"/>
                <w:color w:val="000000"/>
                <w:sz w:val="18"/>
                <w:szCs w:val="18"/>
              </w:rPr>
              <w:t>苏建函规〔</w:t>
            </w:r>
            <w:r>
              <w:rPr>
                <w:color w:val="000000"/>
                <w:sz w:val="18"/>
                <w:szCs w:val="18"/>
              </w:rPr>
              <w:t>2014</w:t>
            </w:r>
            <w:r>
              <w:rPr>
                <w:rFonts w:hint="eastAsia" w:hAnsi="Times New Roman"/>
                <w:color w:val="000000"/>
                <w:sz w:val="18"/>
                <w:szCs w:val="18"/>
              </w:rPr>
              <w:t>〕</w:t>
            </w:r>
            <w:r>
              <w:rPr>
                <w:color w:val="000000"/>
                <w:sz w:val="18"/>
                <w:szCs w:val="18"/>
              </w:rPr>
              <w:t>633</w:t>
            </w:r>
            <w:r>
              <w:rPr>
                <w:rFonts w:hint="eastAsia" w:hAnsi="Times New Roman"/>
                <w:color w:val="000000"/>
                <w:sz w:val="18"/>
                <w:szCs w:val="18"/>
              </w:rPr>
              <w:t>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color w:val="000000"/>
                <w:sz w:val="18"/>
                <w:szCs w:val="18"/>
              </w:rPr>
            </w:pPr>
            <w:r>
              <w:rPr>
                <w:rFonts w:hint="eastAsia" w:hAnsi="Times New Roman"/>
                <w:color w:val="000000"/>
                <w:sz w:val="18"/>
                <w:szCs w:val="18"/>
              </w:rPr>
              <w:t>省住房和城乡建设厅关于加强易燃易爆设施规划管理工作的通知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color w:val="000000"/>
                <w:sz w:val="18"/>
                <w:szCs w:val="18"/>
              </w:rPr>
              <w:t>26</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hAnsi="Times New Roman"/>
                <w:color w:val="000000"/>
                <w:sz w:val="18"/>
                <w:szCs w:val="18"/>
              </w:rPr>
              <w:t>苏建规字〔</w:t>
            </w:r>
            <w:r>
              <w:rPr>
                <w:color w:val="000000"/>
                <w:sz w:val="18"/>
                <w:szCs w:val="18"/>
              </w:rPr>
              <w:t>2010</w:t>
            </w:r>
            <w:r>
              <w:rPr>
                <w:rFonts w:hint="eastAsia" w:hAnsi="Times New Roman"/>
                <w:color w:val="000000"/>
                <w:sz w:val="18"/>
                <w:szCs w:val="18"/>
              </w:rPr>
              <w:t>〕</w:t>
            </w:r>
            <w:r>
              <w:rPr>
                <w:color w:val="000000"/>
                <w:sz w:val="18"/>
                <w:szCs w:val="18"/>
              </w:rPr>
              <w:t>7</w:t>
            </w:r>
            <w:r>
              <w:rPr>
                <w:rFonts w:hint="eastAsia" w:hAnsi="Times New Roman"/>
                <w:color w:val="000000"/>
                <w:sz w:val="18"/>
                <w:szCs w:val="18"/>
              </w:rPr>
              <w:t>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color w:val="000000"/>
                <w:sz w:val="18"/>
                <w:szCs w:val="18"/>
              </w:rPr>
            </w:pPr>
            <w:r>
              <w:rPr>
                <w:rFonts w:hint="eastAsia" w:hAnsi="Times New Roman"/>
                <w:color w:val="000000"/>
                <w:sz w:val="18"/>
                <w:szCs w:val="18"/>
              </w:rPr>
              <w:t>关于印发《江苏省省外建筑施工企业核验备案管理办法》的通知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color w:val="000000"/>
                <w:sz w:val="18"/>
                <w:szCs w:val="18"/>
              </w:rPr>
              <w:t>27</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hAnsi="Times New Roman"/>
                <w:color w:val="000000"/>
                <w:sz w:val="18"/>
                <w:szCs w:val="18"/>
              </w:rPr>
              <w:t>苏建建管〔</w:t>
            </w:r>
            <w:r>
              <w:rPr>
                <w:color w:val="000000"/>
                <w:sz w:val="18"/>
                <w:szCs w:val="18"/>
              </w:rPr>
              <w:t>2012</w:t>
            </w:r>
            <w:r>
              <w:rPr>
                <w:rFonts w:hint="eastAsia" w:hAnsi="Times New Roman"/>
                <w:color w:val="000000"/>
                <w:sz w:val="18"/>
                <w:szCs w:val="18"/>
              </w:rPr>
              <w:t>〕</w:t>
            </w:r>
            <w:r>
              <w:rPr>
                <w:color w:val="000000"/>
                <w:sz w:val="18"/>
                <w:szCs w:val="18"/>
              </w:rPr>
              <w:t>640</w:t>
            </w:r>
            <w:r>
              <w:rPr>
                <w:rFonts w:hint="eastAsia" w:hAnsi="Times New Roman"/>
                <w:color w:val="000000"/>
                <w:sz w:val="18"/>
                <w:szCs w:val="18"/>
              </w:rPr>
              <w:t>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color w:val="000000"/>
                <w:sz w:val="18"/>
                <w:szCs w:val="18"/>
              </w:rPr>
            </w:pPr>
            <w:r>
              <w:rPr>
                <w:rFonts w:hint="eastAsia" w:hAnsi="Times New Roman"/>
                <w:color w:val="000000"/>
                <w:sz w:val="18"/>
                <w:szCs w:val="18"/>
              </w:rPr>
              <w:t>省住房城乡建设厅关于加强建设工程企业资质申报业绩核查工作的通知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color w:val="000000"/>
                <w:sz w:val="18"/>
                <w:szCs w:val="18"/>
              </w:rPr>
              <w:t>28</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hAnsi="Times New Roman"/>
                <w:color w:val="000000"/>
                <w:sz w:val="18"/>
                <w:szCs w:val="18"/>
              </w:rPr>
              <w:t>苏建建管〔</w:t>
            </w:r>
            <w:r>
              <w:rPr>
                <w:color w:val="000000"/>
                <w:sz w:val="18"/>
                <w:szCs w:val="18"/>
              </w:rPr>
              <w:t>2012</w:t>
            </w:r>
            <w:r>
              <w:rPr>
                <w:rFonts w:hint="eastAsia" w:hAnsi="Times New Roman"/>
                <w:color w:val="000000"/>
                <w:sz w:val="18"/>
                <w:szCs w:val="18"/>
              </w:rPr>
              <w:t>〕</w:t>
            </w:r>
            <w:r>
              <w:rPr>
                <w:color w:val="000000"/>
                <w:sz w:val="18"/>
                <w:szCs w:val="18"/>
              </w:rPr>
              <w:t>690</w:t>
            </w:r>
            <w:r>
              <w:rPr>
                <w:rFonts w:hint="eastAsia" w:hAnsi="Times New Roman"/>
                <w:color w:val="000000"/>
                <w:sz w:val="18"/>
                <w:szCs w:val="18"/>
              </w:rPr>
              <w:t>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color w:val="000000"/>
                <w:sz w:val="18"/>
                <w:szCs w:val="18"/>
              </w:rPr>
            </w:pPr>
            <w:r>
              <w:rPr>
                <w:rFonts w:hint="eastAsia" w:hAnsi="Times New Roman"/>
                <w:color w:val="000000"/>
                <w:sz w:val="18"/>
                <w:szCs w:val="18"/>
              </w:rPr>
              <w:t>省住房城乡建设厅关于加强建设工程企业资质申报业绩核查工作的补充通知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color w:val="000000"/>
                <w:sz w:val="18"/>
                <w:szCs w:val="18"/>
              </w:rPr>
              <w:t>29</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hAnsi="Times New Roman"/>
                <w:color w:val="000000"/>
                <w:sz w:val="18"/>
                <w:szCs w:val="18"/>
              </w:rPr>
              <w:t>苏建建管〔</w:t>
            </w:r>
            <w:r>
              <w:rPr>
                <w:color w:val="000000"/>
                <w:sz w:val="18"/>
                <w:szCs w:val="18"/>
              </w:rPr>
              <w:t>2013</w:t>
            </w:r>
            <w:r>
              <w:rPr>
                <w:rFonts w:hint="eastAsia" w:hAnsi="Times New Roman"/>
                <w:color w:val="000000"/>
                <w:sz w:val="18"/>
                <w:szCs w:val="18"/>
              </w:rPr>
              <w:t>〕</w:t>
            </w:r>
            <w:r>
              <w:rPr>
                <w:color w:val="000000"/>
                <w:sz w:val="18"/>
                <w:szCs w:val="18"/>
              </w:rPr>
              <w:t>534</w:t>
            </w:r>
            <w:r>
              <w:rPr>
                <w:rFonts w:hint="eastAsia" w:hAnsi="Times New Roman"/>
                <w:color w:val="000000"/>
                <w:sz w:val="18"/>
                <w:szCs w:val="18"/>
              </w:rPr>
              <w:t>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color w:val="000000"/>
                <w:sz w:val="18"/>
                <w:szCs w:val="18"/>
              </w:rPr>
            </w:pPr>
            <w:r>
              <w:rPr>
                <w:rFonts w:hint="eastAsia" w:hAnsi="Times New Roman"/>
                <w:color w:val="000000"/>
                <w:sz w:val="18"/>
                <w:szCs w:val="18"/>
              </w:rPr>
              <w:t>省住房城乡建设厅关于简化省内工程监理企业跨区域承接监理业务开具相关证明手续的通知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color w:val="000000"/>
                <w:sz w:val="18"/>
                <w:szCs w:val="18"/>
              </w:rPr>
              <w:t>30</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hAnsi="Times New Roman"/>
                <w:color w:val="000000"/>
                <w:sz w:val="18"/>
                <w:szCs w:val="18"/>
              </w:rPr>
              <w:t>苏建建管〔</w:t>
            </w:r>
            <w:r>
              <w:rPr>
                <w:color w:val="000000"/>
                <w:sz w:val="18"/>
                <w:szCs w:val="18"/>
              </w:rPr>
              <w:t>2013</w:t>
            </w:r>
            <w:r>
              <w:rPr>
                <w:rFonts w:hint="eastAsia" w:hAnsi="Times New Roman"/>
                <w:color w:val="000000"/>
                <w:sz w:val="18"/>
                <w:szCs w:val="18"/>
              </w:rPr>
              <w:t>〕</w:t>
            </w:r>
            <w:r>
              <w:rPr>
                <w:color w:val="000000"/>
                <w:sz w:val="18"/>
                <w:szCs w:val="18"/>
              </w:rPr>
              <w:t>572</w:t>
            </w:r>
            <w:r>
              <w:rPr>
                <w:rFonts w:hint="eastAsia" w:hAnsi="Times New Roman"/>
                <w:color w:val="000000"/>
                <w:sz w:val="18"/>
                <w:szCs w:val="18"/>
              </w:rPr>
              <w:t>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color w:val="000000"/>
                <w:sz w:val="18"/>
                <w:szCs w:val="18"/>
              </w:rPr>
            </w:pPr>
            <w:r>
              <w:rPr>
                <w:rFonts w:hint="eastAsia" w:hAnsi="Times New Roman"/>
                <w:color w:val="000000"/>
                <w:sz w:val="18"/>
                <w:szCs w:val="18"/>
              </w:rPr>
              <w:t>省住房城乡建设厅关于调整省外建筑施工企业办理核验备案手续的通知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color w:val="000000"/>
                <w:sz w:val="18"/>
                <w:szCs w:val="18"/>
              </w:rPr>
              <w:t>31</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hAnsi="Times New Roman"/>
                <w:color w:val="000000"/>
                <w:sz w:val="18"/>
                <w:szCs w:val="18"/>
              </w:rPr>
              <w:t>苏建建管〔</w:t>
            </w:r>
            <w:r>
              <w:rPr>
                <w:color w:val="000000"/>
                <w:sz w:val="18"/>
                <w:szCs w:val="18"/>
              </w:rPr>
              <w:t>2014</w:t>
            </w:r>
            <w:r>
              <w:rPr>
                <w:rFonts w:hint="eastAsia" w:hAnsi="Times New Roman"/>
                <w:color w:val="000000"/>
                <w:sz w:val="18"/>
                <w:szCs w:val="18"/>
              </w:rPr>
              <w:t>〕</w:t>
            </w:r>
            <w:r>
              <w:rPr>
                <w:color w:val="000000"/>
                <w:sz w:val="18"/>
                <w:szCs w:val="18"/>
              </w:rPr>
              <w:t>86</w:t>
            </w:r>
            <w:r>
              <w:rPr>
                <w:rFonts w:hint="eastAsia" w:hAnsi="Times New Roman"/>
                <w:color w:val="000000"/>
                <w:sz w:val="18"/>
                <w:szCs w:val="18"/>
              </w:rPr>
              <w:t>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color w:val="000000"/>
                <w:sz w:val="18"/>
                <w:szCs w:val="18"/>
              </w:rPr>
            </w:pPr>
            <w:r>
              <w:rPr>
                <w:rFonts w:hint="eastAsia" w:hAnsi="Times New Roman"/>
                <w:color w:val="000000"/>
                <w:sz w:val="18"/>
                <w:szCs w:val="18"/>
              </w:rPr>
              <w:t>省住房城乡建设厅关于进一步规范建筑业企业资质申报业绩核查工作的通知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color w:val="000000"/>
                <w:sz w:val="18"/>
                <w:szCs w:val="18"/>
              </w:rPr>
              <w:t>32</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hAnsi="Times New Roman"/>
                <w:color w:val="000000"/>
                <w:sz w:val="18"/>
                <w:szCs w:val="18"/>
              </w:rPr>
              <w:t>苏建建管〔</w:t>
            </w:r>
            <w:r>
              <w:rPr>
                <w:color w:val="000000"/>
                <w:sz w:val="18"/>
                <w:szCs w:val="18"/>
              </w:rPr>
              <w:t>2014</w:t>
            </w:r>
            <w:r>
              <w:rPr>
                <w:rFonts w:hint="eastAsia" w:hAnsi="Times New Roman"/>
                <w:color w:val="000000"/>
                <w:sz w:val="18"/>
                <w:szCs w:val="18"/>
              </w:rPr>
              <w:t>〕</w:t>
            </w:r>
            <w:r>
              <w:rPr>
                <w:color w:val="000000"/>
                <w:sz w:val="18"/>
                <w:szCs w:val="18"/>
              </w:rPr>
              <w:t>701</w:t>
            </w:r>
            <w:r>
              <w:rPr>
                <w:rFonts w:hint="eastAsia" w:hAnsi="Times New Roman"/>
                <w:color w:val="000000"/>
                <w:sz w:val="18"/>
                <w:szCs w:val="18"/>
              </w:rPr>
              <w:t>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color w:val="000000"/>
                <w:sz w:val="18"/>
                <w:szCs w:val="18"/>
              </w:rPr>
            </w:pPr>
            <w:r>
              <w:rPr>
                <w:rFonts w:hint="eastAsia" w:hAnsi="Times New Roman"/>
                <w:color w:val="000000"/>
                <w:sz w:val="18"/>
                <w:szCs w:val="18"/>
              </w:rPr>
              <w:t>省住房城乡建设厅关于印发《江苏省建设工程施工项目经理部和项目监理机构主要管理人员配备办法》的通知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color w:val="000000"/>
                <w:sz w:val="18"/>
                <w:szCs w:val="18"/>
              </w:rPr>
              <w:t>33</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hAnsi="Times New Roman"/>
                <w:color w:val="000000"/>
                <w:sz w:val="18"/>
                <w:szCs w:val="18"/>
              </w:rPr>
              <w:t>苏建规字〔</w:t>
            </w:r>
            <w:r>
              <w:rPr>
                <w:color w:val="000000"/>
                <w:sz w:val="18"/>
                <w:szCs w:val="18"/>
              </w:rPr>
              <w:t>2015</w:t>
            </w:r>
            <w:r>
              <w:rPr>
                <w:rFonts w:hint="eastAsia" w:hAnsi="Times New Roman"/>
                <w:color w:val="000000"/>
                <w:sz w:val="18"/>
                <w:szCs w:val="18"/>
              </w:rPr>
              <w:t>〕</w:t>
            </w:r>
            <w:r>
              <w:rPr>
                <w:color w:val="000000"/>
                <w:sz w:val="18"/>
                <w:szCs w:val="18"/>
              </w:rPr>
              <w:t>1</w:t>
            </w:r>
            <w:r>
              <w:rPr>
                <w:rFonts w:hint="eastAsia" w:hAnsi="Times New Roman"/>
                <w:color w:val="000000"/>
                <w:sz w:val="18"/>
                <w:szCs w:val="18"/>
              </w:rPr>
              <w:t>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color w:val="000000"/>
                <w:sz w:val="18"/>
                <w:szCs w:val="18"/>
              </w:rPr>
            </w:pPr>
            <w:r>
              <w:rPr>
                <w:rFonts w:hint="eastAsia" w:hAnsi="Times New Roman"/>
                <w:color w:val="000000"/>
                <w:sz w:val="18"/>
                <w:szCs w:val="18"/>
              </w:rPr>
              <w:t>省住房城乡建设厅关于印发《江苏省建筑工程施工合同备案管理办法》的通知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color w:val="000000"/>
                <w:sz w:val="18"/>
                <w:szCs w:val="18"/>
              </w:rPr>
              <w:t>34</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hAnsi="Times New Roman"/>
                <w:color w:val="000000"/>
                <w:sz w:val="18"/>
                <w:szCs w:val="18"/>
              </w:rPr>
              <w:t>苏建函建管〔</w:t>
            </w:r>
            <w:r>
              <w:rPr>
                <w:color w:val="000000"/>
                <w:sz w:val="18"/>
                <w:szCs w:val="18"/>
              </w:rPr>
              <w:t>2015</w:t>
            </w:r>
            <w:r>
              <w:rPr>
                <w:rFonts w:hint="eastAsia" w:hAnsi="Times New Roman"/>
                <w:color w:val="000000"/>
                <w:sz w:val="18"/>
                <w:szCs w:val="18"/>
              </w:rPr>
              <w:t>〕</w:t>
            </w:r>
            <w:r>
              <w:rPr>
                <w:color w:val="000000"/>
                <w:sz w:val="18"/>
                <w:szCs w:val="18"/>
              </w:rPr>
              <w:t>482</w:t>
            </w:r>
            <w:r>
              <w:rPr>
                <w:rFonts w:hint="eastAsia" w:hAnsi="Times New Roman"/>
                <w:color w:val="000000"/>
                <w:sz w:val="18"/>
                <w:szCs w:val="18"/>
              </w:rPr>
              <w:t>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color w:val="000000"/>
                <w:sz w:val="18"/>
                <w:szCs w:val="18"/>
              </w:rPr>
            </w:pPr>
            <w:r>
              <w:rPr>
                <w:rFonts w:hint="eastAsia" w:hAnsi="Times New Roman"/>
                <w:color w:val="000000"/>
                <w:sz w:val="18"/>
                <w:szCs w:val="18"/>
              </w:rPr>
              <w:t>省住房城乡建设厅关于明确建筑工程施工合同网上备案管理几项具体工作的通知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color w:val="000000"/>
                <w:sz w:val="18"/>
                <w:szCs w:val="18"/>
              </w:rPr>
              <w:t>35</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hAnsi="Times New Roman"/>
                <w:color w:val="000000"/>
                <w:sz w:val="18"/>
                <w:szCs w:val="18"/>
              </w:rPr>
              <w:t>苏建规字〔</w:t>
            </w:r>
            <w:r>
              <w:rPr>
                <w:color w:val="000000"/>
                <w:sz w:val="18"/>
                <w:szCs w:val="18"/>
              </w:rPr>
              <w:t>2010</w:t>
            </w:r>
            <w:r>
              <w:rPr>
                <w:rFonts w:hint="eastAsia" w:hAnsi="Times New Roman"/>
                <w:color w:val="000000"/>
                <w:sz w:val="18"/>
                <w:szCs w:val="18"/>
              </w:rPr>
              <w:t>〕</w:t>
            </w:r>
            <w:r>
              <w:rPr>
                <w:color w:val="000000"/>
                <w:sz w:val="18"/>
                <w:szCs w:val="18"/>
              </w:rPr>
              <w:t>4</w:t>
            </w:r>
            <w:r>
              <w:rPr>
                <w:rFonts w:hint="eastAsia" w:hAnsi="Times New Roman"/>
                <w:color w:val="000000"/>
                <w:sz w:val="18"/>
                <w:szCs w:val="18"/>
              </w:rPr>
              <w:t>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color w:val="000000"/>
                <w:sz w:val="18"/>
                <w:szCs w:val="18"/>
              </w:rPr>
            </w:pPr>
            <w:r>
              <w:rPr>
                <w:rFonts w:hint="eastAsia" w:hAnsi="Times New Roman"/>
                <w:color w:val="000000"/>
                <w:sz w:val="18"/>
                <w:szCs w:val="18"/>
              </w:rPr>
              <w:t>关于印发《江苏省工程造价从业人员信用管理办法》的通知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color w:val="000000"/>
                <w:sz w:val="18"/>
                <w:szCs w:val="18"/>
              </w:rPr>
              <w:t>36</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hAnsi="Times New Roman"/>
                <w:color w:val="000000"/>
                <w:sz w:val="18"/>
                <w:szCs w:val="18"/>
              </w:rPr>
              <w:t>苏建招〔</w:t>
            </w:r>
            <w:r>
              <w:rPr>
                <w:color w:val="000000"/>
                <w:sz w:val="18"/>
                <w:szCs w:val="18"/>
              </w:rPr>
              <w:t>2013</w:t>
            </w:r>
            <w:r>
              <w:rPr>
                <w:rFonts w:hint="eastAsia" w:hAnsi="Times New Roman"/>
                <w:color w:val="000000"/>
                <w:sz w:val="18"/>
                <w:szCs w:val="18"/>
              </w:rPr>
              <w:t>〕</w:t>
            </w:r>
            <w:r>
              <w:rPr>
                <w:color w:val="000000"/>
                <w:sz w:val="18"/>
                <w:szCs w:val="18"/>
              </w:rPr>
              <w:t>493</w:t>
            </w:r>
            <w:r>
              <w:rPr>
                <w:rFonts w:hint="eastAsia" w:hAnsi="Times New Roman"/>
                <w:color w:val="000000"/>
                <w:sz w:val="18"/>
                <w:szCs w:val="18"/>
              </w:rPr>
              <w:t>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color w:val="000000"/>
                <w:sz w:val="18"/>
                <w:szCs w:val="18"/>
              </w:rPr>
            </w:pPr>
            <w:r>
              <w:rPr>
                <w:rFonts w:hint="eastAsia" w:hAnsi="Times New Roman"/>
                <w:color w:val="000000"/>
                <w:sz w:val="18"/>
                <w:szCs w:val="18"/>
              </w:rPr>
              <w:t>《省住房城乡建设厅关于调整招标代理机构管理方式的通知》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color w:val="000000"/>
                <w:sz w:val="18"/>
                <w:szCs w:val="18"/>
              </w:rPr>
              <w:t>37</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hAnsi="Times New Roman"/>
                <w:color w:val="000000"/>
                <w:sz w:val="18"/>
                <w:szCs w:val="18"/>
              </w:rPr>
              <w:t>苏建规字〔</w:t>
            </w:r>
            <w:r>
              <w:rPr>
                <w:color w:val="000000"/>
                <w:sz w:val="18"/>
                <w:szCs w:val="18"/>
              </w:rPr>
              <w:t>2016</w:t>
            </w:r>
            <w:r>
              <w:rPr>
                <w:rFonts w:hint="eastAsia" w:hAnsi="Times New Roman"/>
                <w:color w:val="000000"/>
                <w:sz w:val="18"/>
                <w:szCs w:val="18"/>
              </w:rPr>
              <w:t>〕</w:t>
            </w:r>
            <w:r>
              <w:rPr>
                <w:color w:val="000000"/>
                <w:sz w:val="18"/>
                <w:szCs w:val="18"/>
              </w:rPr>
              <w:t>1</w:t>
            </w:r>
            <w:r>
              <w:rPr>
                <w:rFonts w:hint="eastAsia" w:hAnsi="Times New Roman"/>
                <w:color w:val="000000"/>
                <w:sz w:val="18"/>
                <w:szCs w:val="18"/>
              </w:rPr>
              <w:t>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color w:val="000000"/>
                <w:sz w:val="18"/>
                <w:szCs w:val="18"/>
              </w:rPr>
            </w:pPr>
            <w:r>
              <w:rPr>
                <w:rFonts w:hint="eastAsia" w:hAnsi="Times New Roman"/>
                <w:color w:val="000000"/>
                <w:sz w:val="18"/>
                <w:szCs w:val="18"/>
              </w:rPr>
              <w:t>省住房城乡建设厅关于印发《江苏省装配式建筑（混凝土结构）项目招标投标活动的暂行意见》的通知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color w:val="000000"/>
                <w:sz w:val="18"/>
                <w:szCs w:val="18"/>
              </w:rPr>
              <w:t>38</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hAnsi="Times New Roman"/>
                <w:color w:val="000000"/>
                <w:sz w:val="18"/>
                <w:szCs w:val="18"/>
              </w:rPr>
              <w:t>苏建规字〔</w:t>
            </w:r>
            <w:r>
              <w:rPr>
                <w:color w:val="000000"/>
                <w:sz w:val="18"/>
                <w:szCs w:val="18"/>
              </w:rPr>
              <w:t>2016</w:t>
            </w:r>
            <w:r>
              <w:rPr>
                <w:rFonts w:hint="eastAsia" w:hAnsi="Times New Roman"/>
                <w:color w:val="000000"/>
                <w:sz w:val="18"/>
                <w:szCs w:val="18"/>
              </w:rPr>
              <w:t>〕</w:t>
            </w:r>
            <w:r>
              <w:rPr>
                <w:color w:val="000000"/>
                <w:sz w:val="18"/>
                <w:szCs w:val="18"/>
              </w:rPr>
              <w:t xml:space="preserve">3 </w:t>
            </w:r>
            <w:r>
              <w:rPr>
                <w:rFonts w:hint="eastAsia" w:hAnsi="Times New Roman"/>
                <w:color w:val="000000"/>
                <w:sz w:val="18"/>
                <w:szCs w:val="18"/>
              </w:rPr>
              <w:t>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color w:val="000000"/>
                <w:sz w:val="18"/>
                <w:szCs w:val="18"/>
              </w:rPr>
            </w:pPr>
            <w:r>
              <w:rPr>
                <w:rFonts w:hint="eastAsia" w:hAnsi="Times New Roman"/>
                <w:color w:val="000000"/>
                <w:sz w:val="18"/>
                <w:szCs w:val="18"/>
              </w:rPr>
              <w:t>省住房城乡建设厅关于印发《关于在工程建设项目招标投标中对省法院确定的失信被执行人实施联动惩戒的通知》的通知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color w:val="000000"/>
                <w:sz w:val="18"/>
                <w:szCs w:val="18"/>
              </w:rPr>
              <w:t>39</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hAnsi="Times New Roman"/>
                <w:color w:val="000000"/>
                <w:sz w:val="18"/>
                <w:szCs w:val="18"/>
              </w:rPr>
              <w:t>苏建质〔</w:t>
            </w:r>
            <w:r>
              <w:rPr>
                <w:color w:val="000000"/>
                <w:sz w:val="18"/>
                <w:szCs w:val="18"/>
              </w:rPr>
              <w:t>2004</w:t>
            </w:r>
            <w:r>
              <w:rPr>
                <w:rFonts w:hint="eastAsia" w:hAnsi="Times New Roman"/>
                <w:color w:val="000000"/>
                <w:sz w:val="18"/>
                <w:szCs w:val="18"/>
              </w:rPr>
              <w:t>〕</w:t>
            </w:r>
            <w:r>
              <w:rPr>
                <w:color w:val="000000"/>
                <w:sz w:val="18"/>
                <w:szCs w:val="18"/>
              </w:rPr>
              <w:t>318</w:t>
            </w:r>
            <w:r>
              <w:rPr>
                <w:rFonts w:hint="eastAsia" w:hAnsi="Times New Roman"/>
                <w:color w:val="000000"/>
                <w:sz w:val="18"/>
                <w:szCs w:val="18"/>
              </w:rPr>
              <w:t>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color w:val="000000"/>
                <w:sz w:val="18"/>
                <w:szCs w:val="18"/>
              </w:rPr>
            </w:pPr>
            <w:r>
              <w:rPr>
                <w:rFonts w:hint="eastAsia" w:hAnsi="Times New Roman"/>
                <w:color w:val="000000"/>
                <w:sz w:val="18"/>
                <w:szCs w:val="18"/>
              </w:rPr>
              <w:t>关于进一步加强我省建设工程质量检测管理的若干意见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color w:val="000000"/>
                <w:sz w:val="18"/>
                <w:szCs w:val="18"/>
              </w:rPr>
              <w:t>40</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hAnsi="Times New Roman"/>
                <w:color w:val="000000"/>
                <w:sz w:val="18"/>
                <w:szCs w:val="18"/>
              </w:rPr>
              <w:t>苏建工〔</w:t>
            </w:r>
            <w:r>
              <w:rPr>
                <w:color w:val="000000"/>
                <w:sz w:val="18"/>
                <w:szCs w:val="18"/>
              </w:rPr>
              <w:t>2009</w:t>
            </w:r>
            <w:r>
              <w:rPr>
                <w:rFonts w:hint="eastAsia" w:hAnsi="Times New Roman"/>
                <w:color w:val="000000"/>
                <w:sz w:val="18"/>
                <w:szCs w:val="18"/>
              </w:rPr>
              <w:t>〕</w:t>
            </w:r>
            <w:r>
              <w:rPr>
                <w:color w:val="000000"/>
                <w:sz w:val="18"/>
                <w:szCs w:val="18"/>
              </w:rPr>
              <w:t>139</w:t>
            </w:r>
            <w:r>
              <w:rPr>
                <w:rFonts w:hint="eastAsia" w:hAnsi="Times New Roman"/>
                <w:color w:val="000000"/>
                <w:sz w:val="18"/>
                <w:szCs w:val="18"/>
              </w:rPr>
              <w:t>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color w:val="000000"/>
                <w:sz w:val="18"/>
                <w:szCs w:val="18"/>
              </w:rPr>
            </w:pPr>
            <w:r>
              <w:rPr>
                <w:rFonts w:hint="eastAsia" w:hAnsi="Times New Roman"/>
                <w:color w:val="000000"/>
                <w:sz w:val="18"/>
                <w:szCs w:val="18"/>
              </w:rPr>
              <w:t>关于印发《江苏省地基基础工程检测机构资质管理实施意见》的通知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color w:val="000000"/>
                <w:sz w:val="18"/>
                <w:szCs w:val="18"/>
              </w:rPr>
              <w:t>41</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hAnsi="Times New Roman"/>
                <w:color w:val="000000"/>
                <w:sz w:val="18"/>
                <w:szCs w:val="18"/>
              </w:rPr>
              <w:t>苏建管企〔</w:t>
            </w:r>
            <w:r>
              <w:rPr>
                <w:color w:val="000000"/>
                <w:sz w:val="18"/>
                <w:szCs w:val="18"/>
              </w:rPr>
              <w:t>2007</w:t>
            </w:r>
            <w:r>
              <w:rPr>
                <w:rFonts w:hint="eastAsia" w:hAnsi="Times New Roman"/>
                <w:color w:val="000000"/>
                <w:sz w:val="18"/>
                <w:szCs w:val="18"/>
              </w:rPr>
              <w:t>〕</w:t>
            </w:r>
            <w:r>
              <w:rPr>
                <w:color w:val="000000"/>
                <w:sz w:val="18"/>
                <w:szCs w:val="18"/>
              </w:rPr>
              <w:t>21</w:t>
            </w:r>
            <w:r>
              <w:rPr>
                <w:rFonts w:hint="eastAsia" w:hAnsi="Times New Roman"/>
                <w:color w:val="000000"/>
                <w:sz w:val="18"/>
                <w:szCs w:val="18"/>
              </w:rPr>
              <w:t>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color w:val="000000"/>
                <w:sz w:val="18"/>
                <w:szCs w:val="18"/>
              </w:rPr>
            </w:pPr>
            <w:r>
              <w:rPr>
                <w:rFonts w:hint="eastAsia" w:hAnsi="Times New Roman"/>
                <w:color w:val="000000"/>
                <w:sz w:val="18"/>
                <w:szCs w:val="18"/>
              </w:rPr>
              <w:t>关于对《做好我省一级建造师初始注册有关工作的通知》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color w:val="000000"/>
                <w:sz w:val="18"/>
                <w:szCs w:val="18"/>
              </w:rPr>
              <w:t>42</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hAnsi="Times New Roman"/>
                <w:color w:val="000000"/>
                <w:sz w:val="18"/>
                <w:szCs w:val="18"/>
              </w:rPr>
              <w:t>苏建科〔</w:t>
            </w:r>
            <w:r>
              <w:rPr>
                <w:color w:val="000000"/>
                <w:sz w:val="18"/>
                <w:szCs w:val="18"/>
              </w:rPr>
              <w:t>2009</w:t>
            </w:r>
            <w:r>
              <w:rPr>
                <w:rFonts w:hint="eastAsia" w:hAnsi="Times New Roman"/>
                <w:color w:val="000000"/>
                <w:sz w:val="18"/>
                <w:szCs w:val="18"/>
              </w:rPr>
              <w:t>〕</w:t>
            </w:r>
            <w:r>
              <w:rPr>
                <w:color w:val="000000"/>
                <w:sz w:val="18"/>
                <w:szCs w:val="18"/>
              </w:rPr>
              <w:t>256</w:t>
            </w:r>
            <w:r>
              <w:rPr>
                <w:rFonts w:hint="eastAsia" w:hAnsi="Times New Roman"/>
                <w:color w:val="000000"/>
                <w:sz w:val="18"/>
                <w:szCs w:val="18"/>
              </w:rPr>
              <w:t>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color w:val="000000"/>
                <w:sz w:val="18"/>
                <w:szCs w:val="18"/>
              </w:rPr>
            </w:pPr>
            <w:r>
              <w:rPr>
                <w:rFonts w:hint="eastAsia" w:hAnsi="Times New Roman"/>
                <w:color w:val="000000"/>
                <w:sz w:val="18"/>
                <w:szCs w:val="18"/>
              </w:rPr>
              <w:t>关于转发住房和城乡建设部《关于印发</w:t>
            </w:r>
            <w:r>
              <w:rPr>
                <w:color w:val="000000"/>
                <w:sz w:val="18"/>
                <w:szCs w:val="18"/>
              </w:rPr>
              <w:t>&lt;</w:t>
            </w:r>
            <w:r>
              <w:rPr>
                <w:rFonts w:hint="eastAsia" w:hAnsi="Times New Roman"/>
                <w:color w:val="000000"/>
                <w:sz w:val="18"/>
                <w:szCs w:val="18"/>
              </w:rPr>
              <w:t>注册土木工程师（岩土）执业及管理工作暂行规定</w:t>
            </w:r>
            <w:r>
              <w:rPr>
                <w:color w:val="000000"/>
                <w:sz w:val="18"/>
                <w:szCs w:val="18"/>
              </w:rPr>
              <w:t>&gt;</w:t>
            </w:r>
            <w:r>
              <w:rPr>
                <w:rFonts w:hint="eastAsia" w:hAnsi="Times New Roman"/>
                <w:color w:val="000000"/>
                <w:sz w:val="18"/>
                <w:szCs w:val="18"/>
              </w:rPr>
              <w:t>的通知》的通知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color w:val="000000"/>
                <w:sz w:val="18"/>
                <w:szCs w:val="18"/>
              </w:rPr>
              <w:t>43</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hAnsi="Times New Roman"/>
                <w:color w:val="000000"/>
                <w:sz w:val="18"/>
                <w:szCs w:val="18"/>
              </w:rPr>
              <w:t>苏建规字〔</w:t>
            </w:r>
            <w:r>
              <w:rPr>
                <w:color w:val="000000"/>
                <w:sz w:val="18"/>
                <w:szCs w:val="18"/>
              </w:rPr>
              <w:t>2016</w:t>
            </w:r>
            <w:r>
              <w:rPr>
                <w:rFonts w:hint="eastAsia" w:hAnsi="Times New Roman"/>
                <w:color w:val="000000"/>
                <w:sz w:val="18"/>
                <w:szCs w:val="18"/>
              </w:rPr>
              <w:t>〕</w:t>
            </w:r>
            <w:r>
              <w:rPr>
                <w:color w:val="000000"/>
                <w:sz w:val="18"/>
                <w:szCs w:val="18"/>
              </w:rPr>
              <w:t>2</w:t>
            </w:r>
            <w:r>
              <w:rPr>
                <w:rFonts w:hint="eastAsia" w:hAnsi="Times New Roman"/>
                <w:color w:val="000000"/>
                <w:sz w:val="18"/>
                <w:szCs w:val="18"/>
              </w:rPr>
              <w:t>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color w:val="000000"/>
                <w:sz w:val="18"/>
                <w:szCs w:val="18"/>
              </w:rPr>
            </w:pPr>
            <w:r>
              <w:rPr>
                <w:rFonts w:hint="eastAsia" w:hAnsi="Times New Roman"/>
                <w:color w:val="000000"/>
                <w:sz w:val="18"/>
                <w:szCs w:val="18"/>
              </w:rPr>
              <w:t>省住房城乡建设厅关于印发《江苏省住房和城乡建设系统失信行为管理和惩戒办法（试行）》的通知</w:t>
            </w:r>
          </w:p>
        </w:tc>
      </w:tr>
    </w:tbl>
    <w:p>
      <w:pPr>
        <w:rPr>
          <w:rFonts w:hint="eastAsia" w:ascii="Times New Roman"/>
          <w:color w:val="000000"/>
          <w:sz w:val="18"/>
          <w:szCs w:val="18"/>
        </w:rPr>
      </w:pPr>
    </w:p>
    <w:p>
      <w:pPr>
        <w:widowControl/>
        <w:jc w:val="left"/>
        <w:rPr>
          <w:color w:val="000000"/>
          <w:sz w:val="18"/>
          <w:szCs w:val="18"/>
        </w:rPr>
        <w:sectPr>
          <w:pgSz w:w="16838" w:h="11906" w:orient="landscape"/>
          <w:pgMar w:top="1418" w:right="1440" w:bottom="1134" w:left="1440" w:header="851" w:footer="992" w:gutter="0"/>
          <w:pgNumType w:start="1"/>
          <w:cols w:space="720" w:num="1"/>
          <w:docGrid w:type="lines" w:linePitch="312" w:charSpace="0"/>
        </w:sectPr>
      </w:pPr>
    </w:p>
    <w:p>
      <w:pPr>
        <w:rPr>
          <w:rFonts w:hint="eastAsia" w:ascii="Times New Roman" w:eastAsia="方正黑体_GBK"/>
          <w:color w:val="000000"/>
          <w:sz w:val="32"/>
          <w:szCs w:val="32"/>
        </w:rPr>
      </w:pPr>
      <w:r>
        <w:rPr>
          <w:rFonts w:hint="eastAsia" w:ascii="Times New Roman" w:eastAsia="方正黑体_GBK"/>
          <w:color w:val="000000"/>
          <w:sz w:val="32"/>
          <w:szCs w:val="32"/>
        </w:rPr>
        <w:t xml:space="preserve">附件3 </w:t>
      </w:r>
    </w:p>
    <w:p>
      <w:pPr>
        <w:spacing w:line="500" w:lineRule="exact"/>
        <w:jc w:val="center"/>
        <w:rPr>
          <w:rFonts w:hint="eastAsia" w:ascii="Times New Roman" w:eastAsia="方正小标宋_GBK"/>
          <w:color w:val="000000"/>
          <w:sz w:val="44"/>
          <w:szCs w:val="44"/>
        </w:rPr>
      </w:pPr>
      <w:r>
        <w:rPr>
          <w:rFonts w:hint="eastAsia" w:ascii="Times New Roman" w:eastAsia="方正小标宋_GBK"/>
          <w:color w:val="000000"/>
          <w:sz w:val="44"/>
          <w:szCs w:val="44"/>
        </w:rPr>
        <w:t>修改文件目录</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2268"/>
        <w:gridCol w:w="11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768"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ind w:left="-42" w:leftChars="-20" w:right="-42" w:rightChars="-20"/>
              <w:jc w:val="center"/>
              <w:rPr>
                <w:rFonts w:ascii="Times New Roman" w:hAnsi="Times New Roman" w:eastAsia="方正黑体_GBK" w:cs="宋体"/>
                <w:bCs/>
                <w:color w:val="000000"/>
                <w:spacing w:val="-12"/>
                <w:kern w:val="0"/>
                <w:sz w:val="18"/>
                <w:szCs w:val="18"/>
              </w:rPr>
            </w:pPr>
            <w:r>
              <w:rPr>
                <w:rFonts w:hint="eastAsia" w:ascii="Times New Roman" w:hAnsi="Times New Roman" w:eastAsia="方正黑体_GBK" w:cs="宋体"/>
                <w:bCs/>
                <w:color w:val="000000"/>
                <w:spacing w:val="-12"/>
                <w:kern w:val="0"/>
                <w:sz w:val="18"/>
                <w:szCs w:val="18"/>
              </w:rPr>
              <w:t>序号</w:t>
            </w:r>
          </w:p>
        </w:tc>
        <w:tc>
          <w:tcPr>
            <w:tcW w:w="2268"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ind w:left="-42" w:leftChars="-20" w:right="-42" w:rightChars="-20"/>
              <w:jc w:val="center"/>
              <w:rPr>
                <w:rFonts w:ascii="Times New Roman" w:hAnsi="Times New Roman" w:eastAsia="方正黑体_GBK" w:cs="宋体"/>
                <w:bCs/>
                <w:color w:val="000000"/>
                <w:spacing w:val="-12"/>
                <w:kern w:val="0"/>
                <w:sz w:val="18"/>
                <w:szCs w:val="18"/>
              </w:rPr>
            </w:pPr>
            <w:r>
              <w:rPr>
                <w:rFonts w:hint="eastAsia" w:ascii="Times New Roman" w:hAnsi="Times New Roman" w:eastAsia="方正黑体_GBK" w:cs="宋体"/>
                <w:bCs/>
                <w:color w:val="000000"/>
                <w:spacing w:val="-12"/>
                <w:kern w:val="0"/>
                <w:sz w:val="18"/>
                <w:szCs w:val="18"/>
              </w:rPr>
              <w:t>发文字号</w:t>
            </w:r>
          </w:p>
        </w:tc>
        <w:tc>
          <w:tcPr>
            <w:tcW w:w="11057"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ind w:left="-42" w:leftChars="-20" w:right="-42" w:rightChars="-20"/>
              <w:jc w:val="center"/>
              <w:rPr>
                <w:rFonts w:ascii="Times New Roman" w:hAnsi="Times New Roman" w:eastAsia="方正黑体_GBK" w:cs="宋体"/>
                <w:bCs/>
                <w:color w:val="000000"/>
                <w:spacing w:val="-12"/>
                <w:kern w:val="0"/>
                <w:sz w:val="18"/>
                <w:szCs w:val="18"/>
              </w:rPr>
            </w:pPr>
            <w:r>
              <w:rPr>
                <w:rFonts w:hint="eastAsia" w:ascii="Times New Roman" w:hAnsi="Times New Roman" w:eastAsia="方正黑体_GBK" w:cs="宋体"/>
                <w:bCs/>
                <w:color w:val="000000"/>
                <w:spacing w:val="-12"/>
                <w:kern w:val="0"/>
                <w:sz w:val="18"/>
                <w:szCs w:val="18"/>
              </w:rPr>
              <w:t>文件名称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exact"/>
          <w:tblHeader/>
          <w:jc w:val="center"/>
        </w:trPr>
        <w:tc>
          <w:tcPr>
            <w:tcW w:w="76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eastAsia="方正黑体_GBK" w:cs="宋体"/>
                <w:bCs/>
                <w:color w:val="000000"/>
                <w:spacing w:val="-12"/>
                <w:kern w:val="0"/>
                <w:sz w:val="18"/>
                <w:szCs w:val="18"/>
              </w:rPr>
            </w:pPr>
          </w:p>
        </w:tc>
        <w:tc>
          <w:tcPr>
            <w:tcW w:w="226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eastAsia="方正黑体_GBK" w:cs="宋体"/>
                <w:bCs/>
                <w:color w:val="000000"/>
                <w:spacing w:val="-12"/>
                <w:kern w:val="0"/>
                <w:sz w:val="18"/>
                <w:szCs w:val="18"/>
              </w:rPr>
            </w:pPr>
          </w:p>
        </w:tc>
        <w:tc>
          <w:tcPr>
            <w:tcW w:w="1105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eastAsia="方正黑体_GBK" w:cs="宋体"/>
                <w:bCs/>
                <w:color w:val="000000"/>
                <w:spacing w:val="-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1</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苏建房</w:t>
            </w:r>
            <w:r>
              <w:rPr>
                <w:rFonts w:hint="eastAsia" w:ascii="Times New Roman" w:hAnsi="Times New Roman"/>
                <w:color w:val="000000"/>
                <w:sz w:val="18"/>
                <w:szCs w:val="18"/>
              </w:rPr>
              <w:t>〔</w:t>
            </w:r>
            <w:r>
              <w:rPr>
                <w:rFonts w:hint="eastAsia" w:hAnsi="Times New Roman"/>
                <w:color w:val="000000"/>
                <w:sz w:val="18"/>
                <w:szCs w:val="18"/>
              </w:rPr>
              <w:t>2001</w:t>
            </w:r>
            <w:r>
              <w:rPr>
                <w:rFonts w:hint="eastAsia" w:ascii="Times New Roman" w:hAnsi="Times New Roman"/>
                <w:color w:val="000000"/>
                <w:sz w:val="18"/>
                <w:szCs w:val="18"/>
              </w:rPr>
              <w:t>〕</w:t>
            </w:r>
            <w:r>
              <w:rPr>
                <w:rFonts w:hint="eastAsia" w:hAnsi="Times New Roman"/>
                <w:color w:val="000000"/>
                <w:sz w:val="18"/>
                <w:szCs w:val="18"/>
              </w:rPr>
              <w:t>250号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关于印发《江苏省实施&lt;房地产开发企业资质管理规定&gt;细则》的通知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2</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苏建房</w:t>
            </w:r>
            <w:r>
              <w:rPr>
                <w:rFonts w:hint="eastAsia" w:ascii="Times New Roman" w:hAnsi="Times New Roman"/>
                <w:color w:val="000000"/>
                <w:sz w:val="18"/>
                <w:szCs w:val="18"/>
              </w:rPr>
              <w:t>〔</w:t>
            </w:r>
            <w:r>
              <w:rPr>
                <w:rFonts w:hint="eastAsia" w:hAnsi="Times New Roman"/>
                <w:color w:val="000000"/>
                <w:sz w:val="18"/>
                <w:szCs w:val="18"/>
              </w:rPr>
              <w:t>2009</w:t>
            </w:r>
            <w:r>
              <w:rPr>
                <w:rFonts w:hint="eastAsia" w:ascii="Times New Roman" w:hAnsi="Times New Roman"/>
                <w:color w:val="000000"/>
                <w:sz w:val="18"/>
                <w:szCs w:val="18"/>
              </w:rPr>
              <w:t>〕</w:t>
            </w:r>
            <w:r>
              <w:rPr>
                <w:rFonts w:hint="eastAsia" w:hAnsi="Times New Roman"/>
                <w:color w:val="000000"/>
                <w:sz w:val="18"/>
                <w:szCs w:val="18"/>
              </w:rPr>
              <w:t>164号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关于实施房地产开发（电子）项目手册制度的通知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3</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苏建房管〔2013）432号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省住房城乡建设厅关于进一步加强商品房预售监管的通知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4</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苏建房管</w:t>
            </w:r>
            <w:r>
              <w:rPr>
                <w:rFonts w:hint="eastAsia" w:ascii="Times New Roman" w:hAnsi="Times New Roman"/>
                <w:color w:val="000000"/>
                <w:sz w:val="18"/>
                <w:szCs w:val="18"/>
              </w:rPr>
              <w:t>〔</w:t>
            </w:r>
            <w:r>
              <w:rPr>
                <w:rFonts w:hint="eastAsia" w:hAnsi="Times New Roman"/>
                <w:color w:val="000000"/>
                <w:sz w:val="18"/>
                <w:szCs w:val="18"/>
              </w:rPr>
              <w:t>2014</w:t>
            </w:r>
            <w:r>
              <w:rPr>
                <w:rFonts w:hint="eastAsia" w:ascii="Times New Roman" w:hAnsi="Times New Roman"/>
                <w:color w:val="000000"/>
                <w:sz w:val="18"/>
                <w:szCs w:val="18"/>
              </w:rPr>
              <w:t>〕</w:t>
            </w:r>
            <w:r>
              <w:rPr>
                <w:rFonts w:hint="eastAsia" w:hAnsi="Times New Roman"/>
                <w:color w:val="000000"/>
                <w:sz w:val="18"/>
                <w:szCs w:val="18"/>
              </w:rPr>
              <w:t>208号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江苏省住宅专项维修资金管理办法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5</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苏建城〔2006〕63号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关于印发《江苏省城市供水水质督察管理办法》的通知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6</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苏建法〔2006〕279号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关于印发《江苏省燃气工程项目初步设计管理办法》、《江苏省管道燃气特许经营管理办法》、《江苏省燃气器具气源适配性检测管理办法》的通知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7</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苏建城〔2007〕325号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关于印发《江苏省城市市政公用事业特许经营权招标投标制度》、《江苏省城市市政公用事业公益董事或监督员制度》、《江苏省城市市政公用事业公众参与监督制度》等制度的通知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8</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苏建城〔2008〕198号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关于加强太湖流域城镇生活污水处理系统接纳工业废水管理的通知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9</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苏建规字〔2010〕3号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关于印发《江苏省瓶装燃气送气服务管理规定》的通知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10</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苏建规字〔2013〕2号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省住房城乡建设厅关于修改《江苏省燃气工程项目初步设计管理办法》有关条文的通知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11</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苏建规字〔2014〕1号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省住房城乡建设厅关于规范城镇燃气设施建设和运行管理工作的若干意见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12</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苏建城〔2015〕235号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省住房城乡建设厅 省物价局 省公安厅 省卫生计生委关于转发《关于加强和改进城镇居民二次供水设施建设与管理确保水质安全的通知》的通知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13</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苏建城〔2012〕614号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关于进一步保障全省环卫行业职工合法权益的实施意见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14</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苏建科</w:t>
            </w:r>
            <w:r>
              <w:rPr>
                <w:rFonts w:hint="eastAsia" w:ascii="Times New Roman" w:hAnsi="Times New Roman"/>
                <w:color w:val="000000"/>
                <w:sz w:val="18"/>
                <w:szCs w:val="18"/>
              </w:rPr>
              <w:t>〔</w:t>
            </w:r>
            <w:r>
              <w:rPr>
                <w:rFonts w:hint="eastAsia" w:hAnsi="Times New Roman"/>
                <w:color w:val="000000"/>
                <w:sz w:val="18"/>
                <w:szCs w:val="18"/>
              </w:rPr>
              <w:t>2004</w:t>
            </w:r>
            <w:r>
              <w:rPr>
                <w:rFonts w:hint="eastAsia" w:ascii="Times New Roman" w:hAnsi="Times New Roman"/>
                <w:color w:val="000000"/>
                <w:sz w:val="18"/>
                <w:szCs w:val="18"/>
              </w:rPr>
              <w:t>〕</w:t>
            </w:r>
            <w:r>
              <w:rPr>
                <w:rFonts w:hint="eastAsia" w:hAnsi="Times New Roman"/>
                <w:color w:val="000000"/>
                <w:sz w:val="18"/>
                <w:szCs w:val="18"/>
              </w:rPr>
              <w:t>433号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关于做好我省施工图设计文件审查机构及审查人员认定工作的通知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15</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苏建科〔2005</w:t>
            </w:r>
            <w:r>
              <w:rPr>
                <w:rFonts w:hint="eastAsia" w:ascii="Times New Roman" w:hAnsi="Times New Roman"/>
                <w:color w:val="000000"/>
                <w:sz w:val="18"/>
                <w:szCs w:val="18"/>
              </w:rPr>
              <w:t>〕</w:t>
            </w:r>
            <w:r>
              <w:rPr>
                <w:rFonts w:hint="eastAsia" w:hAnsi="Times New Roman"/>
                <w:color w:val="000000"/>
                <w:sz w:val="18"/>
                <w:szCs w:val="18"/>
              </w:rPr>
              <w:t>226号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关于印发《江苏省房屋建筑和市政基础设施工程施工图设计文件审查管理实施意见》的通知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16</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苏建函科﹝2008﹞186号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《关于进一步加强施工图审查档案管理工作的通知》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17</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苏建科〔2010〕389号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关于印发《关于加强我省工程勘察市场及质量管理工作的实施意见》的通知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18</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苏建科〔2013〕348号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省住房城乡建设厅、省通信管理局关于全面贯彻落实光纤到户国家标准的通知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19</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苏建科〔2013〕623号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省住房城乡建设厅关于启用江苏省勘察设计行业管理信息系统的通知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20</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苏建科〔2014〕705号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省住房城乡建设厅关于加强全省工程勘察设计市场动态核查工作的通知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21</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苏建抗〔2015〕69号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省住房城乡建设厅关于印发《江苏省省级抗震加固专项资金项目绩效自评价办法》的通知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22</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苏建函科〔2015〕483号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省住房和城乡建设厅关于对省勘察设计行业协会《关于对人防工程设计管理有关问题的建议》的复函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23</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苏建科（2017）59号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关于印发《江苏省优秀工程勘察设计奖评选办法》《江苏省城乡建设系统优秀勘察设计奖评选办法》的通知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24</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苏建法〔2004〕92号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关于印发《江苏省工程建设标准设计管理办法》的通知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25</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苏建科〔2006〕363号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关于印发《江苏省工程建设地方标准管理办法》的通知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26</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苏建工〔2007〕168号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关于进一步加强我省建设工程监理管理的若干意见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27</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苏建建管〔2015〕227号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关于对省住房和城乡建设厅关于转发住房城乡建设部《建筑业企业资质管理规定和资质标准实施意见》的通知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28</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苏建建管〔2015〕363号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省住房城乡建设厅转发住房城乡建设部关于取消建筑智能化等4个工程设计与施工资质有关事项的通知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29</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苏建函建管〔2015〕674号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省住房城乡建设厅关于建立全省工程监理企业资质动态核查工作机制的通知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30</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苏建质安〔2010〕351号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关于印发《江苏省房屋建筑和市政基础设施拆除开挖安全管理办法》的通知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31</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苏建质安〔2011〕847号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关于加强全省建筑安全生产责任追究若干意见的通知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32</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苏建质安〔2014〕533号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省住房城乡建设厅关于转发《住房城乡建设部关于印发 &lt;建筑工程五方责任主体项目负责人质量终身责任追究暂行办法&gt;的通知》的通知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33</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苏建规字</w:t>
            </w:r>
            <w:r>
              <w:rPr>
                <w:rFonts w:hint="eastAsia" w:ascii="Times New Roman" w:hAnsi="Times New Roman"/>
                <w:color w:val="000000"/>
                <w:sz w:val="18"/>
                <w:szCs w:val="18"/>
              </w:rPr>
              <w:t>〔</w:t>
            </w:r>
            <w:r>
              <w:rPr>
                <w:rFonts w:hint="eastAsia" w:hAnsi="Times New Roman"/>
                <w:color w:val="000000"/>
                <w:sz w:val="18"/>
                <w:szCs w:val="18"/>
              </w:rPr>
              <w:t>2010</w:t>
            </w:r>
            <w:r>
              <w:rPr>
                <w:rFonts w:hint="eastAsia" w:ascii="Times New Roman" w:hAnsi="Times New Roman"/>
                <w:color w:val="000000"/>
                <w:sz w:val="18"/>
                <w:szCs w:val="18"/>
              </w:rPr>
              <w:t>〕</w:t>
            </w:r>
            <w:r>
              <w:rPr>
                <w:rFonts w:hint="eastAsia" w:hAnsi="Times New Roman"/>
                <w:color w:val="000000"/>
                <w:sz w:val="18"/>
                <w:szCs w:val="18"/>
              </w:rPr>
              <w:t>8号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关于印发《江苏省二级注册建造师继续教育管理暂行办法》的通知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34</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苏建函教〔2015〕528号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省住房城乡建设厅关于做好全省建筑施工现场管理人员、技术工人证书信息采集工作的通知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35</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苏建价〔2006〕383号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关于印发《江苏省建设工程计价解释与争议调解规定》的通知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36</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苏建价〔2006〕433号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关于印发《江苏省〈工程造价咨询企业管理办法〉实施细则》的通知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37</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苏建价〔2013〕501号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省住房城乡建设厅关于简化工程造价咨询企业设立分支机构备案程序等事项的通知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38</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苏建规字〔2014〕2号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省住房城乡建设厅关于印发《江苏省房屋建筑和市政基础设施工程招标投标中串通投标和弄虚作假行为认定处理办法（试行）》的通知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39</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苏建招〔</w:t>
            </w:r>
            <w:r>
              <w:rPr>
                <w:rFonts w:hAnsi="Times New Roman"/>
                <w:color w:val="000000"/>
                <w:sz w:val="18"/>
                <w:szCs w:val="18"/>
              </w:rPr>
              <w:t>2015</w:t>
            </w:r>
            <w:r>
              <w:rPr>
                <w:rFonts w:hint="eastAsia" w:hAnsi="Times New Roman"/>
                <w:color w:val="000000"/>
                <w:sz w:val="18"/>
                <w:szCs w:val="18"/>
              </w:rPr>
              <w:t>〕</w:t>
            </w:r>
            <w:r>
              <w:rPr>
                <w:rFonts w:hAnsi="Times New Roman"/>
                <w:color w:val="000000"/>
                <w:sz w:val="18"/>
                <w:szCs w:val="18"/>
              </w:rPr>
              <w:t>29</w:t>
            </w:r>
            <w:r>
              <w:rPr>
                <w:rFonts w:hint="eastAsia" w:hAnsi="Times New Roman"/>
                <w:color w:val="000000"/>
                <w:sz w:val="18"/>
                <w:szCs w:val="18"/>
              </w:rPr>
              <w:t>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江苏省住房和城乡建设厅关于明确非国有资金投资工程发包方式等有关问题的通知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40</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苏建规字〔2016〕4号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省住房城乡建设厅关于印发《江苏省房屋建筑和市政基础设施工程招标投标活动异议与投诉处理实施办法》的通知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41</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苏建规字</w:t>
            </w:r>
            <w:r>
              <w:rPr>
                <w:rFonts w:hint="eastAsia" w:ascii="Times New Roman" w:hAnsi="Times New Roman"/>
                <w:color w:val="000000"/>
                <w:sz w:val="18"/>
                <w:szCs w:val="18"/>
              </w:rPr>
              <w:t>〔</w:t>
            </w:r>
            <w:r>
              <w:rPr>
                <w:rFonts w:hint="eastAsia" w:hAnsi="Times New Roman"/>
                <w:color w:val="000000"/>
                <w:sz w:val="18"/>
                <w:szCs w:val="18"/>
              </w:rPr>
              <w:t>2017</w:t>
            </w:r>
            <w:r>
              <w:rPr>
                <w:rFonts w:hint="eastAsia" w:ascii="Times New Roman" w:hAnsi="Times New Roman"/>
                <w:color w:val="000000"/>
                <w:sz w:val="18"/>
                <w:szCs w:val="18"/>
              </w:rPr>
              <w:t>〕</w:t>
            </w:r>
            <w:r>
              <w:rPr>
                <w:rFonts w:hint="eastAsia" w:hAnsi="Times New Roman"/>
                <w:color w:val="000000"/>
                <w:sz w:val="18"/>
                <w:szCs w:val="18"/>
              </w:rPr>
              <w:t>1号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《省住房和城乡建设厅关于改革和完善房屋建筑和市政基础设施工程招标投标制度的实施意见》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42</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苏建规字〔2013〕1号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省住房城乡建设厅关于印发《江苏省建设工程声像档案管理办法（暂行）》的通知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43</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苏建函档〔2013〕81号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省住房城乡建设厅关于做好全省建设工程电子档案编报工作的通知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18"/>
                <w:szCs w:val="18"/>
              </w:rPr>
            </w:pPr>
            <w:r>
              <w:rPr>
                <w:rFonts w:hint="eastAsia"/>
                <w:color w:val="000000"/>
                <w:sz w:val="18"/>
                <w:szCs w:val="18"/>
              </w:rPr>
              <w:t>44</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hAnsi="Times New Roman"/>
                <w:color w:val="000000"/>
                <w:sz w:val="18"/>
                <w:szCs w:val="18"/>
              </w:rPr>
            </w:pPr>
            <w:r>
              <w:rPr>
                <w:rFonts w:hint="eastAsia" w:hAnsi="Times New Roman"/>
                <w:color w:val="000000"/>
                <w:sz w:val="18"/>
                <w:szCs w:val="18"/>
              </w:rPr>
              <w:t>苏建法〔2006〕97号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int="eastAsia" w:hAnsi="Times New Roman"/>
                <w:color w:val="000000"/>
                <w:sz w:val="18"/>
                <w:szCs w:val="18"/>
              </w:rPr>
            </w:pPr>
            <w:r>
              <w:rPr>
                <w:rFonts w:hint="eastAsia" w:hAnsi="Times New Roman"/>
                <w:color w:val="000000"/>
                <w:sz w:val="18"/>
                <w:szCs w:val="18"/>
              </w:rPr>
              <w:t>关于印发《江苏省建设工程质量检测管理实施细则》的通知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45</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苏建工〔2008〕343号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关于进一步加强我省地基基础工程检测管理的若干意见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46</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苏建规字〔2011〕2号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关于印发《江苏省房屋建筑和市政基础设施工程质量监督工作实施细则》的通知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47</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苏建管企</w:t>
            </w:r>
            <w:r>
              <w:rPr>
                <w:rFonts w:hint="eastAsia" w:ascii="Times New Roman" w:hAnsi="Times New Roman"/>
                <w:color w:val="000000"/>
                <w:sz w:val="18"/>
                <w:szCs w:val="18"/>
              </w:rPr>
              <w:t>〔</w:t>
            </w:r>
            <w:r>
              <w:rPr>
                <w:rFonts w:hint="eastAsia" w:hAnsi="Times New Roman"/>
                <w:color w:val="000000"/>
                <w:sz w:val="18"/>
                <w:szCs w:val="18"/>
              </w:rPr>
              <w:t>2007</w:t>
            </w:r>
            <w:r>
              <w:rPr>
                <w:rFonts w:hint="eastAsia" w:ascii="Times New Roman" w:hAnsi="Times New Roman"/>
                <w:color w:val="000000"/>
                <w:sz w:val="18"/>
                <w:szCs w:val="18"/>
              </w:rPr>
              <w:t>〕</w:t>
            </w:r>
            <w:r>
              <w:rPr>
                <w:rFonts w:hint="eastAsia" w:hAnsi="Times New Roman"/>
                <w:color w:val="000000"/>
                <w:sz w:val="18"/>
                <w:szCs w:val="18"/>
              </w:rPr>
              <w:t>22号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关于《江苏省二级建造师注册实施办法》的通知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48</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苏建函注册</w:t>
            </w:r>
            <w:r>
              <w:rPr>
                <w:rFonts w:hint="eastAsia" w:ascii="Times New Roman" w:hAnsi="Times New Roman"/>
                <w:color w:val="000000"/>
                <w:sz w:val="18"/>
                <w:szCs w:val="18"/>
              </w:rPr>
              <w:t>〔</w:t>
            </w:r>
            <w:r>
              <w:rPr>
                <w:rFonts w:hint="eastAsia" w:hAnsi="Times New Roman"/>
                <w:color w:val="000000"/>
                <w:sz w:val="18"/>
                <w:szCs w:val="18"/>
              </w:rPr>
              <w:t>2016</w:t>
            </w:r>
            <w:r>
              <w:rPr>
                <w:rFonts w:hint="eastAsia" w:ascii="Times New Roman" w:hAnsi="Times New Roman"/>
                <w:color w:val="000000"/>
                <w:sz w:val="18"/>
                <w:szCs w:val="18"/>
              </w:rPr>
              <w:t>〕</w:t>
            </w:r>
            <w:r>
              <w:rPr>
                <w:rFonts w:hint="eastAsia" w:hAnsi="Times New Roman"/>
                <w:color w:val="000000"/>
                <w:sz w:val="18"/>
                <w:szCs w:val="18"/>
              </w:rPr>
              <w:t>385号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省住房和城乡建设厅关于开展二级注册结构工程师注册电子化审批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18"/>
                <w:szCs w:val="18"/>
              </w:rPr>
            </w:pPr>
            <w:r>
              <w:rPr>
                <w:rFonts w:hint="eastAsia"/>
                <w:color w:val="000000"/>
                <w:sz w:val="18"/>
                <w:szCs w:val="18"/>
              </w:rPr>
              <w:t>49</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jc w:val="center"/>
              <w:rPr>
                <w:rFonts w:hAnsi="Times New Roman"/>
                <w:color w:val="000000"/>
                <w:sz w:val="18"/>
                <w:szCs w:val="18"/>
              </w:rPr>
            </w:pPr>
            <w:r>
              <w:rPr>
                <w:rFonts w:hint="eastAsia" w:hAnsi="Times New Roman"/>
                <w:color w:val="000000"/>
                <w:sz w:val="18"/>
                <w:szCs w:val="18"/>
              </w:rPr>
              <w:t>苏建函注册〔2018〕914号</w:t>
            </w:r>
          </w:p>
        </w:tc>
        <w:tc>
          <w:tcPr>
            <w:tcW w:w="11057" w:type="dxa"/>
            <w:tcBorders>
              <w:top w:val="single" w:color="auto" w:sz="4" w:space="0"/>
              <w:left w:val="single" w:color="auto" w:sz="4" w:space="0"/>
              <w:bottom w:val="single" w:color="auto" w:sz="4" w:space="0"/>
              <w:right w:val="single" w:color="auto" w:sz="4" w:space="0"/>
            </w:tcBorders>
            <w:noWrap w:val="0"/>
            <w:vAlign w:val="center"/>
          </w:tcPr>
          <w:p>
            <w:pPr>
              <w:rPr>
                <w:rFonts w:hAnsi="Times New Roman"/>
                <w:color w:val="000000"/>
                <w:sz w:val="18"/>
                <w:szCs w:val="18"/>
              </w:rPr>
            </w:pPr>
            <w:r>
              <w:rPr>
                <w:rFonts w:hint="eastAsia" w:hAnsi="Times New Roman"/>
                <w:color w:val="000000"/>
                <w:sz w:val="18"/>
                <w:szCs w:val="18"/>
              </w:rPr>
              <w:t>关于一级建造师执业资格注册有关事项通知</w:t>
            </w:r>
          </w:p>
        </w:tc>
      </w:tr>
    </w:tbl>
    <w:p>
      <w:pPr>
        <w:widowControl/>
        <w:jc w:val="left"/>
        <w:rPr>
          <w:color w:val="000000"/>
          <w:sz w:val="18"/>
          <w:szCs w:val="18"/>
        </w:rPr>
        <w:sectPr>
          <w:pgSz w:w="16838" w:h="11906" w:orient="landscape"/>
          <w:pgMar w:top="1418" w:right="1440" w:bottom="1134" w:left="1440" w:header="851" w:footer="992" w:gutter="0"/>
          <w:cols w:space="720" w:num="1"/>
          <w:docGrid w:type="lines" w:linePitch="312" w:charSpace="0"/>
        </w:sectPr>
      </w:pPr>
    </w:p>
    <w:p>
      <w:pPr>
        <w:spacing w:line="570" w:lineRule="exact"/>
        <w:rPr>
          <w:rFonts w:hint="eastAsia" w:ascii="Times New Roman" w:eastAsia="方正黑体_GBK"/>
          <w:snapToGrid w:val="0"/>
          <w:kern w:val="0"/>
          <w:sz w:val="32"/>
          <w:szCs w:val="20"/>
        </w:rPr>
      </w:pPr>
      <w:r>
        <w:rPr>
          <w:rFonts w:hint="eastAsia" w:ascii="Times New Roman" w:eastAsia="方正黑体_GBK"/>
          <w:snapToGrid w:val="0"/>
          <w:kern w:val="0"/>
          <w:sz w:val="32"/>
          <w:szCs w:val="20"/>
        </w:rPr>
        <w:t>附件4</w:t>
      </w:r>
    </w:p>
    <w:p>
      <w:pPr>
        <w:spacing w:line="570" w:lineRule="exact"/>
        <w:jc w:val="center"/>
        <w:rPr>
          <w:rFonts w:hint="eastAsia" w:ascii="Times New Roman" w:eastAsia="方正小标宋_GBK"/>
          <w:snapToGrid w:val="0"/>
          <w:kern w:val="0"/>
          <w:sz w:val="44"/>
          <w:szCs w:val="44"/>
        </w:rPr>
      </w:pPr>
    </w:p>
    <w:p>
      <w:pPr>
        <w:spacing w:line="570" w:lineRule="exact"/>
        <w:jc w:val="center"/>
        <w:rPr>
          <w:rFonts w:hint="eastAsia" w:ascii="Times New Roman" w:eastAsia="方正小标宋_GBK"/>
          <w:snapToGrid w:val="0"/>
          <w:kern w:val="0"/>
          <w:sz w:val="44"/>
          <w:szCs w:val="44"/>
        </w:rPr>
      </w:pPr>
      <w:r>
        <w:rPr>
          <w:rFonts w:hint="eastAsia" w:ascii="Times New Roman" w:eastAsia="方正小标宋_GBK"/>
          <w:snapToGrid w:val="0"/>
          <w:kern w:val="0"/>
          <w:sz w:val="44"/>
          <w:szCs w:val="44"/>
        </w:rPr>
        <w:t>江苏省住房和城乡建设厅清理后</w:t>
      </w:r>
    </w:p>
    <w:p>
      <w:pPr>
        <w:spacing w:line="570" w:lineRule="exact"/>
        <w:jc w:val="center"/>
        <w:rPr>
          <w:rFonts w:hint="eastAsia" w:ascii="Times New Roman" w:eastAsia="方正小标宋_GBK"/>
          <w:snapToGrid w:val="0"/>
          <w:kern w:val="0"/>
          <w:sz w:val="44"/>
          <w:szCs w:val="44"/>
        </w:rPr>
      </w:pPr>
      <w:r>
        <w:rPr>
          <w:rFonts w:hint="eastAsia" w:ascii="Times New Roman" w:eastAsia="方正小标宋_GBK"/>
          <w:snapToGrid w:val="0"/>
          <w:kern w:val="0"/>
          <w:sz w:val="44"/>
          <w:szCs w:val="44"/>
        </w:rPr>
        <w:t>有效规范性文件汇编</w:t>
      </w:r>
    </w:p>
    <w:p>
      <w:pPr>
        <w:spacing w:line="570" w:lineRule="exact"/>
        <w:jc w:val="center"/>
        <w:rPr>
          <w:rFonts w:hint="eastAsia" w:eastAsia="方正仿宋_GBK"/>
          <w:snapToGrid w:val="0"/>
          <w:kern w:val="0"/>
          <w:sz w:val="32"/>
          <w:szCs w:val="20"/>
        </w:rPr>
      </w:pPr>
    </w:p>
    <w:p>
      <w:pPr>
        <w:spacing w:line="570" w:lineRule="exact"/>
        <w:jc w:val="center"/>
        <w:rPr>
          <w:rFonts w:eastAsia="方正仿宋_GBK"/>
          <w:snapToGrid w:val="0"/>
          <w:kern w:val="0"/>
          <w:sz w:val="32"/>
          <w:szCs w:val="20"/>
        </w:rPr>
      </w:pPr>
    </w:p>
    <w:p>
      <w:pPr>
        <w:spacing w:line="570" w:lineRule="exact"/>
        <w:jc w:val="center"/>
        <w:rPr>
          <w:rFonts w:eastAsia="方正仿宋_GBK"/>
          <w:snapToGrid w:val="0"/>
          <w:kern w:val="0"/>
          <w:sz w:val="32"/>
          <w:szCs w:val="20"/>
        </w:rPr>
      </w:pPr>
    </w:p>
    <w:p>
      <w:pPr>
        <w:spacing w:line="570" w:lineRule="exact"/>
        <w:jc w:val="center"/>
        <w:rPr>
          <w:rFonts w:eastAsia="方正仿宋_GBK"/>
          <w:snapToGrid w:val="0"/>
          <w:kern w:val="0"/>
          <w:sz w:val="32"/>
          <w:szCs w:val="20"/>
        </w:rPr>
      </w:pPr>
    </w:p>
    <w:p>
      <w:pPr>
        <w:spacing w:line="570" w:lineRule="exact"/>
        <w:jc w:val="center"/>
        <w:rPr>
          <w:rFonts w:eastAsia="方正仿宋_GBK"/>
          <w:snapToGrid w:val="0"/>
          <w:kern w:val="0"/>
          <w:sz w:val="32"/>
          <w:szCs w:val="20"/>
        </w:rPr>
      </w:pPr>
    </w:p>
    <w:p>
      <w:pPr>
        <w:spacing w:line="570" w:lineRule="exact"/>
        <w:jc w:val="center"/>
        <w:rPr>
          <w:rFonts w:eastAsia="方正仿宋_GBK"/>
          <w:snapToGrid w:val="0"/>
          <w:kern w:val="0"/>
          <w:sz w:val="32"/>
          <w:szCs w:val="20"/>
        </w:rPr>
      </w:pPr>
    </w:p>
    <w:p>
      <w:pPr>
        <w:spacing w:line="570" w:lineRule="exact"/>
        <w:jc w:val="center"/>
        <w:rPr>
          <w:rFonts w:eastAsia="方正仿宋_GBK"/>
          <w:snapToGrid w:val="0"/>
          <w:kern w:val="0"/>
          <w:sz w:val="32"/>
          <w:szCs w:val="20"/>
        </w:rPr>
      </w:pPr>
    </w:p>
    <w:p>
      <w:pPr>
        <w:spacing w:line="570" w:lineRule="exact"/>
        <w:jc w:val="center"/>
        <w:rPr>
          <w:rFonts w:eastAsia="方正仿宋_GBK"/>
          <w:snapToGrid w:val="0"/>
          <w:kern w:val="0"/>
          <w:sz w:val="32"/>
          <w:szCs w:val="20"/>
        </w:rPr>
      </w:pPr>
    </w:p>
    <w:p>
      <w:pPr>
        <w:spacing w:line="570" w:lineRule="exact"/>
        <w:jc w:val="center"/>
        <w:rPr>
          <w:rFonts w:eastAsia="方正仿宋_GBK"/>
          <w:snapToGrid w:val="0"/>
          <w:kern w:val="0"/>
          <w:sz w:val="32"/>
          <w:szCs w:val="20"/>
        </w:rPr>
      </w:pPr>
    </w:p>
    <w:p>
      <w:pPr>
        <w:spacing w:line="570" w:lineRule="exact"/>
        <w:jc w:val="center"/>
        <w:rPr>
          <w:rFonts w:eastAsia="方正仿宋_GBK"/>
          <w:snapToGrid w:val="0"/>
          <w:kern w:val="0"/>
          <w:sz w:val="32"/>
          <w:szCs w:val="20"/>
        </w:rPr>
      </w:pPr>
    </w:p>
    <w:p>
      <w:pPr>
        <w:spacing w:line="570" w:lineRule="exact"/>
        <w:jc w:val="center"/>
        <w:rPr>
          <w:rFonts w:eastAsia="方正仿宋_GBK"/>
          <w:snapToGrid w:val="0"/>
          <w:kern w:val="0"/>
          <w:sz w:val="32"/>
          <w:szCs w:val="20"/>
        </w:rPr>
      </w:pPr>
    </w:p>
    <w:p>
      <w:pPr>
        <w:spacing w:line="570" w:lineRule="exact"/>
        <w:jc w:val="center"/>
        <w:rPr>
          <w:rFonts w:eastAsia="方正仿宋_GBK"/>
          <w:snapToGrid w:val="0"/>
          <w:kern w:val="0"/>
          <w:sz w:val="32"/>
          <w:szCs w:val="20"/>
        </w:rPr>
      </w:pPr>
    </w:p>
    <w:p>
      <w:pPr>
        <w:spacing w:line="570" w:lineRule="exact"/>
        <w:jc w:val="center"/>
        <w:rPr>
          <w:rFonts w:eastAsia="方正仿宋_GBK"/>
          <w:snapToGrid w:val="0"/>
          <w:kern w:val="0"/>
          <w:sz w:val="32"/>
          <w:szCs w:val="20"/>
        </w:rPr>
      </w:pPr>
    </w:p>
    <w:p>
      <w:pPr>
        <w:spacing w:line="570" w:lineRule="exact"/>
        <w:jc w:val="center"/>
        <w:rPr>
          <w:rFonts w:eastAsia="方正仿宋_GBK"/>
          <w:snapToGrid w:val="0"/>
          <w:kern w:val="0"/>
          <w:sz w:val="32"/>
          <w:szCs w:val="20"/>
        </w:rPr>
      </w:pPr>
    </w:p>
    <w:p>
      <w:pPr>
        <w:spacing w:line="570" w:lineRule="exact"/>
        <w:jc w:val="center"/>
        <w:rPr>
          <w:rFonts w:eastAsia="方正仿宋_GBK"/>
          <w:snapToGrid w:val="0"/>
          <w:kern w:val="0"/>
          <w:sz w:val="32"/>
          <w:szCs w:val="20"/>
        </w:rPr>
      </w:pPr>
    </w:p>
    <w:p>
      <w:pPr>
        <w:spacing w:line="570" w:lineRule="exact"/>
        <w:jc w:val="center"/>
        <w:rPr>
          <w:rFonts w:eastAsia="方正仿宋_GBK"/>
          <w:snapToGrid w:val="0"/>
          <w:kern w:val="0"/>
          <w:sz w:val="32"/>
          <w:szCs w:val="20"/>
        </w:rPr>
      </w:pPr>
    </w:p>
    <w:p>
      <w:pPr>
        <w:spacing w:line="570" w:lineRule="exact"/>
        <w:jc w:val="center"/>
        <w:rPr>
          <w:rFonts w:eastAsia="方正仿宋_GBK"/>
          <w:snapToGrid w:val="0"/>
          <w:kern w:val="0"/>
          <w:sz w:val="32"/>
          <w:szCs w:val="20"/>
        </w:rPr>
      </w:pPr>
    </w:p>
    <w:p>
      <w:pPr>
        <w:spacing w:line="570" w:lineRule="exact"/>
        <w:jc w:val="center"/>
        <w:rPr>
          <w:rFonts w:eastAsia="方正仿宋_GBK"/>
          <w:snapToGrid w:val="0"/>
          <w:kern w:val="0"/>
          <w:sz w:val="32"/>
          <w:szCs w:val="20"/>
        </w:rPr>
      </w:pPr>
    </w:p>
    <w:p>
      <w:pPr>
        <w:spacing w:line="570" w:lineRule="exact"/>
        <w:jc w:val="center"/>
        <w:rPr>
          <w:rFonts w:eastAsia="方正仿宋_GBK"/>
          <w:snapToGrid w:val="0"/>
          <w:kern w:val="0"/>
          <w:sz w:val="32"/>
          <w:szCs w:val="20"/>
        </w:rPr>
      </w:pPr>
      <w:r>
        <w:rPr>
          <w:rFonts w:eastAsia="方正仿宋_GBK"/>
          <w:snapToGrid w:val="0"/>
          <w:kern w:val="0"/>
          <w:sz w:val="32"/>
          <w:szCs w:val="20"/>
        </w:rPr>
        <w:t>(2019</w:t>
      </w:r>
      <w:r>
        <w:rPr>
          <w:rFonts w:hint="eastAsia" w:eastAsia="方正仿宋_GBK"/>
          <w:snapToGrid w:val="0"/>
          <w:kern w:val="0"/>
          <w:sz w:val="32"/>
          <w:szCs w:val="20"/>
        </w:rPr>
        <w:t>年度</w:t>
      </w:r>
      <w:r>
        <w:rPr>
          <w:rFonts w:eastAsia="方正仿宋_GBK"/>
          <w:snapToGrid w:val="0"/>
          <w:kern w:val="0"/>
          <w:sz w:val="32"/>
          <w:szCs w:val="20"/>
        </w:rPr>
        <w:t>)</w:t>
      </w:r>
    </w:p>
    <w:p>
      <w:pPr>
        <w:pStyle w:val="2"/>
        <w:spacing w:before="240" w:beforeLines="100" w:after="240" w:afterLines="100" w:line="240" w:lineRule="auto"/>
        <w:ind w:firstLine="720"/>
        <w:jc w:val="center"/>
        <w:rPr>
          <w:rFonts w:ascii="Times New Roman" w:eastAsia="方正小标宋_GBK"/>
          <w:b w:val="0"/>
          <w:sz w:val="36"/>
          <w:szCs w:val="36"/>
        </w:rPr>
      </w:pPr>
      <w:r>
        <w:rPr>
          <w:rFonts w:hint="eastAsia" w:ascii="Times New Roman" w:eastAsia="方正小标宋_GBK"/>
          <w:b w:val="0"/>
          <w:sz w:val="36"/>
          <w:szCs w:val="36"/>
        </w:rPr>
        <w:t>关于印发《江苏省实施〈房地产开发企业资质管理规定〉细则》的通知</w:t>
      </w:r>
    </w:p>
    <w:p>
      <w:pPr>
        <w:pStyle w:val="3"/>
        <w:spacing w:before="240" w:beforeLines="100" w:after="240" w:afterLines="100" w:line="240" w:lineRule="auto"/>
        <w:jc w:val="center"/>
        <w:rPr>
          <w:rFonts w:hint="eastAsia" w:ascii="Times New Roman" w:hAnsi="Times New Roman" w:eastAsia="方正楷体_GBK"/>
          <w:b w:val="0"/>
          <w:sz w:val="24"/>
          <w:szCs w:val="24"/>
        </w:rPr>
      </w:pPr>
      <w:r>
        <w:rPr>
          <w:rFonts w:hint="eastAsia" w:ascii="Times New Roman" w:hAnsi="Times New Roman" w:eastAsia="方正楷体_GBK"/>
          <w:b w:val="0"/>
          <w:sz w:val="24"/>
          <w:szCs w:val="24"/>
        </w:rPr>
        <w:t>苏建房</w:t>
      </w:r>
      <w:r>
        <w:rPr>
          <w:rFonts w:hint="eastAsia" w:ascii="Times New Roman" w:hAnsi="Times New Roman" w:eastAsia="方正楷体_GBK"/>
          <w:b w:val="0"/>
          <w:sz w:val="24"/>
          <w:szCs w:val="24"/>
          <w:lang w:eastAsia="zh-CN"/>
        </w:rPr>
        <w:t xml:space="preserve"> </w:t>
      </w:r>
      <w:r>
        <w:rPr>
          <w:rFonts w:hint="eastAsia" w:ascii="Times New Roman" w:hAnsi="Times New Roman" w:eastAsia="方正楷体_GBK"/>
          <w:b w:val="0"/>
          <w:sz w:val="24"/>
          <w:szCs w:val="24"/>
        </w:rPr>
        <w:t>〔</w:t>
      </w:r>
      <w:r>
        <w:rPr>
          <w:rFonts w:ascii="Times New Roman" w:hAnsi="Times New Roman" w:eastAsia="方正楷体_GBK"/>
          <w:b w:val="0"/>
          <w:sz w:val="24"/>
          <w:szCs w:val="24"/>
        </w:rPr>
        <w:t>2001</w:t>
      </w:r>
      <w:r>
        <w:rPr>
          <w:rFonts w:hint="eastAsia" w:ascii="Times New Roman" w:hAnsi="Times New Roman" w:eastAsia="方正楷体_GBK"/>
          <w:b w:val="0"/>
          <w:sz w:val="24"/>
          <w:szCs w:val="24"/>
        </w:rPr>
        <w:t>〕</w:t>
      </w:r>
      <w:r>
        <w:rPr>
          <w:rFonts w:ascii="Times New Roman" w:hAnsi="Times New Roman" w:eastAsia="方正楷体_GBK"/>
          <w:b w:val="0"/>
          <w:sz w:val="24"/>
          <w:szCs w:val="24"/>
        </w:rPr>
        <w:t>250</w:t>
      </w:r>
      <w:r>
        <w:rPr>
          <w:rFonts w:hint="eastAsia" w:ascii="Times New Roman" w:hAnsi="Times New Roman" w:eastAsia="方正楷体_GBK"/>
          <w:b w:val="0"/>
          <w:sz w:val="24"/>
          <w:szCs w:val="24"/>
        </w:rPr>
        <w:t>号</w:t>
      </w:r>
    </w:p>
    <w:p>
      <w:pPr>
        <w:spacing w:line="440" w:lineRule="exact"/>
        <w:jc w:val="left"/>
        <w:rPr>
          <w:rFonts w:eastAsia="方正仿宋_GBK"/>
          <w:color w:val="000000"/>
          <w:kern w:val="0"/>
          <w:sz w:val="24"/>
        </w:rPr>
      </w:pPr>
      <w:r>
        <w:rPr>
          <w:rFonts w:hint="eastAsia" w:eastAsia="方正仿宋_GBK"/>
          <w:color w:val="000000"/>
          <w:kern w:val="0"/>
          <w:sz w:val="24"/>
        </w:rPr>
        <w:t>各设区市建设局（委）、房管局</w:t>
      </w:r>
      <w:r>
        <w:rPr>
          <w:rFonts w:eastAsia="方正仿宋_GBK"/>
          <w:color w:val="000000"/>
          <w:kern w:val="0"/>
          <w:sz w:val="24"/>
        </w:rPr>
        <w:t>:</w:t>
      </w:r>
    </w:p>
    <w:p>
      <w:pPr>
        <w:spacing w:line="440" w:lineRule="exact"/>
        <w:ind w:firstLine="480" w:firstLineChars="200"/>
        <w:jc w:val="left"/>
        <w:rPr>
          <w:rFonts w:eastAsia="方正仿宋_GBK"/>
          <w:color w:val="000000"/>
          <w:kern w:val="0"/>
          <w:sz w:val="24"/>
        </w:rPr>
      </w:pPr>
      <w:r>
        <w:rPr>
          <w:rFonts w:hint="eastAsia" w:eastAsia="方正仿宋_GBK"/>
          <w:color w:val="000000"/>
          <w:kern w:val="0"/>
          <w:sz w:val="24"/>
        </w:rPr>
        <w:t>为贯彻</w:t>
      </w:r>
      <w:r>
        <w:rPr>
          <w:rFonts w:eastAsia="方正仿宋_GBK"/>
          <w:color w:val="000000"/>
          <w:kern w:val="0"/>
          <w:sz w:val="24"/>
        </w:rPr>
        <w:t xml:space="preserve"> </w:t>
      </w:r>
      <w:r>
        <w:rPr>
          <w:rFonts w:hint="eastAsia" w:eastAsia="方正仿宋_GBK"/>
          <w:color w:val="000000"/>
          <w:kern w:val="0"/>
          <w:sz w:val="24"/>
        </w:rPr>
        <w:t>住房和城乡建设部令第</w:t>
      </w:r>
      <w:r>
        <w:rPr>
          <w:rFonts w:eastAsia="方正仿宋_GBK"/>
          <w:color w:val="000000"/>
          <w:kern w:val="0"/>
          <w:sz w:val="24"/>
        </w:rPr>
        <w:t>24</w:t>
      </w:r>
      <w:r>
        <w:rPr>
          <w:rFonts w:hint="eastAsia" w:eastAsia="方正仿宋_GBK"/>
          <w:color w:val="000000"/>
          <w:kern w:val="0"/>
          <w:sz w:val="24"/>
        </w:rPr>
        <w:t>号《住房和城乡建设部关于修改</w:t>
      </w:r>
      <w:r>
        <w:rPr>
          <w:rFonts w:eastAsia="方正仿宋_GBK"/>
          <w:color w:val="000000"/>
          <w:kern w:val="0"/>
          <w:sz w:val="24"/>
        </w:rPr>
        <w:t>&lt;</w:t>
      </w:r>
      <w:r>
        <w:rPr>
          <w:rFonts w:hint="eastAsia" w:eastAsia="方正仿宋_GBK"/>
          <w:color w:val="000000"/>
          <w:kern w:val="0"/>
          <w:sz w:val="24"/>
        </w:rPr>
        <w:t>房地产开发企业资质管理规定</w:t>
      </w:r>
      <w:r>
        <w:rPr>
          <w:rFonts w:eastAsia="方正仿宋_GBK"/>
          <w:color w:val="000000"/>
          <w:kern w:val="0"/>
          <w:sz w:val="24"/>
        </w:rPr>
        <w:t>&gt;</w:t>
      </w:r>
      <w:r>
        <w:rPr>
          <w:rFonts w:hint="eastAsia" w:eastAsia="方正仿宋_GBK"/>
          <w:color w:val="000000"/>
          <w:kern w:val="0"/>
          <w:sz w:val="24"/>
        </w:rPr>
        <w:t>等部门规章的决定》，加强房地产开发企业管理，规范企业经营行为，现将《江苏省实施〈房地产开发企业资质管理规定〉细则》（以下简称《细则》</w:t>
      </w:r>
      <w:r>
        <w:rPr>
          <w:rFonts w:eastAsia="方正仿宋_GBK"/>
          <w:color w:val="000000"/>
          <w:kern w:val="0"/>
          <w:sz w:val="24"/>
        </w:rPr>
        <w:t>)</w:t>
      </w:r>
      <w:r>
        <w:rPr>
          <w:rFonts w:hint="eastAsia" w:eastAsia="方正仿宋_GBK"/>
          <w:color w:val="000000"/>
          <w:kern w:val="0"/>
          <w:sz w:val="24"/>
        </w:rPr>
        <w:t>印发给你们。请结合实际，认真贯彻落实。</w:t>
      </w:r>
      <w:r>
        <w:rPr>
          <w:rFonts w:eastAsia="方正仿宋_GBK"/>
          <w:color w:val="000000"/>
          <w:kern w:val="0"/>
          <w:sz w:val="24"/>
        </w:rPr>
        <w:t>  </w:t>
      </w:r>
    </w:p>
    <w:p>
      <w:pPr>
        <w:spacing w:line="440" w:lineRule="exact"/>
        <w:jc w:val="left"/>
        <w:rPr>
          <w:rFonts w:eastAsia="方正仿宋_GBK"/>
          <w:color w:val="000000"/>
          <w:kern w:val="0"/>
          <w:sz w:val="24"/>
        </w:rPr>
      </w:pPr>
      <w:r>
        <w:rPr>
          <w:rFonts w:eastAsia="方正仿宋_GBK"/>
          <w:color w:val="000000"/>
          <w:kern w:val="0"/>
          <w:sz w:val="24"/>
        </w:rPr>
        <w:t>  </w:t>
      </w:r>
      <w:r>
        <w:rPr>
          <w:rFonts w:hint="eastAsia" w:eastAsia="方正仿宋_GBK"/>
          <w:color w:val="000000"/>
          <w:kern w:val="0"/>
          <w:sz w:val="24"/>
        </w:rPr>
        <w:t>为进一步规范房地产开发企业的开发经营行为，贯彻落实《住房和城乡建设部关于进一步规范房地产开发企业经营行为维护房地产市场秩序的通知》（建房〔</w:t>
      </w:r>
      <w:r>
        <w:rPr>
          <w:rFonts w:eastAsia="方正仿宋_GBK"/>
          <w:color w:val="000000"/>
          <w:kern w:val="0"/>
          <w:sz w:val="24"/>
        </w:rPr>
        <w:t>2016</w:t>
      </w:r>
      <w:r>
        <w:rPr>
          <w:rFonts w:hint="eastAsia" w:eastAsia="方正仿宋_GBK"/>
          <w:color w:val="000000"/>
          <w:kern w:val="0"/>
          <w:sz w:val="24"/>
        </w:rPr>
        <w:t>〕</w:t>
      </w:r>
      <w:r>
        <w:rPr>
          <w:rFonts w:eastAsia="方正仿宋_GBK"/>
          <w:color w:val="000000"/>
          <w:kern w:val="0"/>
          <w:sz w:val="24"/>
        </w:rPr>
        <w:t>223</w:t>
      </w:r>
      <w:r>
        <w:rPr>
          <w:rFonts w:hint="eastAsia" w:eastAsia="方正仿宋_GBK"/>
          <w:color w:val="000000"/>
          <w:kern w:val="0"/>
          <w:sz w:val="24"/>
        </w:rPr>
        <w:t>号）文件精神，省住房和城乡建设厅每年将定期、不定期对全省房地产开发经营行为进行执法检查和督查，对有下列行为之一的企业，各地房地产开发主管部门应根据有关法律、法规和《细则》的规定，给予相应处罚</w:t>
      </w:r>
      <w:r>
        <w:rPr>
          <w:rFonts w:eastAsia="方正仿宋_GBK"/>
          <w:color w:val="000000"/>
          <w:kern w:val="0"/>
          <w:sz w:val="24"/>
        </w:rPr>
        <w:t>:</w:t>
      </w:r>
    </w:p>
    <w:p>
      <w:pPr>
        <w:spacing w:line="440" w:lineRule="exact"/>
        <w:ind w:firstLine="530" w:firstLineChars="221"/>
        <w:rPr>
          <w:rFonts w:eastAsia="方正仿宋_GBK"/>
          <w:color w:val="000000"/>
          <w:kern w:val="0"/>
          <w:sz w:val="24"/>
        </w:rPr>
      </w:pPr>
      <w:r>
        <w:rPr>
          <w:rFonts w:hint="eastAsia" w:eastAsia="方正仿宋_GBK"/>
          <w:color w:val="000000"/>
          <w:kern w:val="0"/>
          <w:sz w:val="24"/>
        </w:rPr>
        <w:t>（一）开发企业越级承担房地产开发经营业务的</w:t>
      </w:r>
      <w:r>
        <w:rPr>
          <w:rFonts w:eastAsia="方正仿宋_GBK"/>
          <w:color w:val="000000"/>
          <w:kern w:val="0"/>
          <w:sz w:val="24"/>
        </w:rPr>
        <w:t>;</w:t>
      </w:r>
    </w:p>
    <w:p>
      <w:pPr>
        <w:spacing w:line="440" w:lineRule="exact"/>
        <w:ind w:firstLine="530" w:firstLineChars="221"/>
        <w:rPr>
          <w:rFonts w:eastAsia="方正仿宋_GBK"/>
          <w:color w:val="000000"/>
          <w:sz w:val="24"/>
        </w:rPr>
      </w:pPr>
      <w:r>
        <w:rPr>
          <w:rFonts w:hint="eastAsia" w:eastAsia="方正仿宋_GBK"/>
          <w:color w:val="000000"/>
          <w:kern w:val="0"/>
          <w:sz w:val="24"/>
        </w:rPr>
        <w:t>（二）</w:t>
      </w:r>
      <w:r>
        <w:rPr>
          <w:rFonts w:eastAsia="方正仿宋_GBK"/>
          <w:color w:val="000000"/>
          <w:sz w:val="24"/>
        </w:rPr>
        <w:t xml:space="preserve"> </w:t>
      </w:r>
      <w:r>
        <w:rPr>
          <w:rFonts w:hint="eastAsia" w:eastAsia="方正仿宋_GBK"/>
          <w:color w:val="000000"/>
          <w:sz w:val="24"/>
        </w:rPr>
        <w:t>商品房销售中，未按照有关规定向购房人提供《住宅质量保证书》和《住宅使用说明书》，未按照《住宅质量保证书》承诺的内容对商品房进行保修的；</w:t>
      </w:r>
    </w:p>
    <w:p>
      <w:pPr>
        <w:spacing w:line="440" w:lineRule="exact"/>
        <w:ind w:firstLine="530" w:firstLineChars="221"/>
        <w:rPr>
          <w:rFonts w:eastAsia="方正仿宋_GBK"/>
          <w:color w:val="000000"/>
          <w:kern w:val="0"/>
          <w:sz w:val="24"/>
        </w:rPr>
      </w:pPr>
      <w:r>
        <w:rPr>
          <w:rFonts w:hint="eastAsia" w:eastAsia="方正仿宋_GBK"/>
          <w:color w:val="000000"/>
          <w:kern w:val="0"/>
          <w:sz w:val="24"/>
        </w:rPr>
        <w:t>（三）未按规定向房地产开发主管部门报送《房地产开发（电子）项目手册》，未按规定参加房地产开发企业年检的</w:t>
      </w:r>
      <w:r>
        <w:rPr>
          <w:rFonts w:eastAsia="方正仿宋_GBK"/>
          <w:color w:val="000000"/>
          <w:kern w:val="0"/>
          <w:sz w:val="24"/>
        </w:rPr>
        <w:t>;</w:t>
      </w:r>
    </w:p>
    <w:p>
      <w:pPr>
        <w:spacing w:line="440" w:lineRule="exact"/>
        <w:ind w:firstLine="530" w:firstLineChars="221"/>
        <w:rPr>
          <w:rFonts w:eastAsia="方正仿宋_GBK"/>
          <w:color w:val="000000"/>
          <w:sz w:val="24"/>
        </w:rPr>
      </w:pPr>
      <w:r>
        <w:rPr>
          <w:rFonts w:hint="eastAsia" w:eastAsia="方正仿宋_GBK"/>
          <w:color w:val="000000"/>
          <w:sz w:val="24"/>
        </w:rPr>
        <w:t>（四）未取得预售许可证销售商品房；不符合商品房销售条件，以认购、预订、排号、发卡等方式向买受人收取或者变相收取定金、预订款等费用，借机抬高价格；</w:t>
      </w:r>
    </w:p>
    <w:p>
      <w:pPr>
        <w:spacing w:line="440" w:lineRule="exact"/>
        <w:ind w:firstLine="530" w:firstLineChars="221"/>
        <w:rPr>
          <w:rFonts w:eastAsia="方正仿宋_GBK"/>
          <w:color w:val="000000"/>
          <w:sz w:val="24"/>
        </w:rPr>
      </w:pPr>
      <w:r>
        <w:rPr>
          <w:rFonts w:hint="eastAsia" w:eastAsia="方正仿宋_GBK"/>
          <w:color w:val="000000"/>
          <w:sz w:val="24"/>
        </w:rPr>
        <w:t>（五）捂盘惜售或者变相囤积房源；</w:t>
      </w:r>
    </w:p>
    <w:p>
      <w:pPr>
        <w:spacing w:line="440" w:lineRule="exact"/>
        <w:ind w:firstLine="530" w:firstLineChars="221"/>
        <w:rPr>
          <w:rFonts w:eastAsia="方正仿宋_GBK"/>
          <w:color w:val="000000"/>
          <w:sz w:val="24"/>
        </w:rPr>
      </w:pPr>
      <w:r>
        <w:rPr>
          <w:rFonts w:hint="eastAsia" w:eastAsia="方正仿宋_GBK"/>
          <w:color w:val="000000"/>
          <w:sz w:val="24"/>
        </w:rPr>
        <w:t>（六）商品房销售不予明码标价，在标价之外加价出售房屋或者收取未标明的费用，以捆绑搭售或者附加条件等限定方式，迫使购房人接受商品或者服务价格；</w:t>
      </w:r>
    </w:p>
    <w:p>
      <w:pPr>
        <w:spacing w:line="440" w:lineRule="exact"/>
        <w:ind w:firstLine="530" w:firstLineChars="221"/>
        <w:rPr>
          <w:rFonts w:eastAsia="方正仿宋_GBK"/>
          <w:color w:val="000000"/>
          <w:sz w:val="24"/>
        </w:rPr>
      </w:pPr>
      <w:r>
        <w:rPr>
          <w:rFonts w:hint="eastAsia" w:eastAsia="方正仿宋_GBK"/>
          <w:color w:val="000000"/>
          <w:sz w:val="24"/>
        </w:rPr>
        <w:t>（七）将已作为商品房销售合同标的物的商品房再销售给他人；</w:t>
      </w:r>
    </w:p>
    <w:p>
      <w:pPr>
        <w:spacing w:line="440" w:lineRule="exact"/>
        <w:ind w:firstLine="530" w:firstLineChars="221"/>
        <w:rPr>
          <w:rFonts w:eastAsia="方正仿宋_GBK"/>
          <w:color w:val="000000"/>
          <w:sz w:val="24"/>
        </w:rPr>
      </w:pPr>
      <w:r>
        <w:rPr>
          <w:rFonts w:hint="eastAsia" w:eastAsia="方正仿宋_GBK"/>
          <w:color w:val="000000"/>
          <w:sz w:val="24"/>
        </w:rPr>
        <w:t>（八）其他不正当经营行为。</w:t>
      </w:r>
    </w:p>
    <w:p>
      <w:pPr>
        <w:spacing w:line="440" w:lineRule="exact"/>
        <w:ind w:firstLine="530" w:firstLineChars="221"/>
        <w:rPr>
          <w:rFonts w:eastAsia="方正仿宋_GBK"/>
          <w:color w:val="000000"/>
          <w:kern w:val="0"/>
          <w:sz w:val="24"/>
        </w:rPr>
      </w:pPr>
      <w:r>
        <w:rPr>
          <w:rFonts w:hint="eastAsia" w:eastAsia="方正仿宋_GBK"/>
          <w:color w:val="000000"/>
          <w:kern w:val="0"/>
          <w:sz w:val="24"/>
        </w:rPr>
        <w:t>以上通知请一并贯彻执行。实施中有什么具体问题，请直接与省住房城乡建设厅房地产市场监管处联系。</w:t>
      </w:r>
    </w:p>
    <w:p>
      <w:pPr>
        <w:spacing w:line="440" w:lineRule="exact"/>
        <w:rPr>
          <w:rFonts w:eastAsia="黑体"/>
          <w:bCs/>
          <w:color w:val="000000"/>
          <w:kern w:val="36"/>
          <w:sz w:val="28"/>
          <w:szCs w:val="28"/>
        </w:rPr>
      </w:pPr>
      <w:r>
        <w:rPr>
          <w:rFonts w:eastAsia="方正仿宋_GBK"/>
          <w:color w:val="000000"/>
          <w:kern w:val="0"/>
          <w:sz w:val="24"/>
        </w:rPr>
        <w:br w:type="column"/>
      </w:r>
      <w:r>
        <w:rPr>
          <w:rFonts w:hint="eastAsia" w:eastAsia="黑体"/>
          <w:bCs/>
          <w:color w:val="000000"/>
          <w:kern w:val="36"/>
          <w:sz w:val="28"/>
          <w:szCs w:val="28"/>
        </w:rPr>
        <w:t>附件：</w:t>
      </w:r>
    </w:p>
    <w:p>
      <w:pPr>
        <w:shd w:val="clear" w:color="auto" w:fill="FFFFFF"/>
        <w:spacing w:line="460" w:lineRule="exact"/>
        <w:outlineLvl w:val="0"/>
        <w:rPr>
          <w:rFonts w:eastAsia="方正仿宋_GBK"/>
          <w:b/>
          <w:bCs/>
          <w:color w:val="000000"/>
          <w:kern w:val="36"/>
          <w:sz w:val="24"/>
        </w:rPr>
      </w:pPr>
    </w:p>
    <w:p>
      <w:pPr>
        <w:shd w:val="clear" w:color="auto" w:fill="FFFFFF"/>
        <w:spacing w:line="460" w:lineRule="exact"/>
        <w:jc w:val="center"/>
        <w:outlineLvl w:val="0"/>
        <w:rPr>
          <w:rFonts w:eastAsia="方正小标宋简体"/>
          <w:bCs/>
          <w:color w:val="000000"/>
          <w:kern w:val="36"/>
          <w:sz w:val="36"/>
          <w:szCs w:val="36"/>
        </w:rPr>
      </w:pPr>
      <w:bookmarkStart w:id="4" w:name="_Toc20667756"/>
      <w:bookmarkStart w:id="5" w:name="_Toc20726282"/>
      <w:bookmarkStart w:id="6" w:name="_Toc18315360"/>
      <w:r>
        <w:rPr>
          <w:rFonts w:hint="eastAsia" w:eastAsia="方正小标宋简体"/>
          <w:bCs/>
          <w:color w:val="000000"/>
          <w:kern w:val="36"/>
          <w:sz w:val="36"/>
          <w:szCs w:val="36"/>
        </w:rPr>
        <w:t>江苏省实施《房地产开发企业资质管理规定》细则</w:t>
      </w:r>
      <w:bookmarkEnd w:id="4"/>
      <w:bookmarkEnd w:id="5"/>
      <w:bookmarkEnd w:id="6"/>
    </w:p>
    <w:p>
      <w:pPr>
        <w:shd w:val="clear" w:color="auto" w:fill="FFFFFF"/>
        <w:spacing w:line="460" w:lineRule="exact"/>
        <w:ind w:firstLine="480" w:firstLineChars="200"/>
        <w:rPr>
          <w:rFonts w:eastAsia="方正仿宋_GBK"/>
          <w:color w:val="000000"/>
          <w:kern w:val="0"/>
          <w:sz w:val="24"/>
        </w:rPr>
      </w:pPr>
    </w:p>
    <w:p>
      <w:pPr>
        <w:shd w:val="clear" w:color="auto" w:fill="FFFFFF"/>
        <w:spacing w:line="460" w:lineRule="exact"/>
        <w:ind w:firstLine="480" w:firstLineChars="200"/>
        <w:rPr>
          <w:rFonts w:eastAsia="方正仿宋_GBK"/>
          <w:color w:val="000000"/>
          <w:kern w:val="0"/>
          <w:sz w:val="24"/>
        </w:rPr>
      </w:pPr>
      <w:r>
        <w:rPr>
          <w:rFonts w:hint="eastAsia" w:eastAsia="方正黑体_GBK"/>
          <w:color w:val="000000"/>
          <w:kern w:val="0"/>
          <w:sz w:val="24"/>
        </w:rPr>
        <w:t>第一条</w:t>
      </w:r>
      <w:r>
        <w:rPr>
          <w:rFonts w:eastAsia="方正仿宋_GBK"/>
          <w:color w:val="000000"/>
          <w:kern w:val="0"/>
          <w:sz w:val="24"/>
        </w:rPr>
        <w:t xml:space="preserve"> </w:t>
      </w:r>
      <w:r>
        <w:rPr>
          <w:rFonts w:hint="eastAsia" w:eastAsia="方正仿宋_GBK"/>
          <w:color w:val="000000"/>
          <w:kern w:val="0"/>
          <w:sz w:val="24"/>
        </w:rPr>
        <w:t>为加强对房地产开发企业的资质管理，</w:t>
      </w:r>
      <w:r>
        <w:fldChar w:fldCharType="begin"/>
      </w:r>
      <w:r>
        <w:instrText xml:space="preserve"> </w:instrText>
      </w:r>
      <w:r>
        <w:rPr>
          <w:rFonts w:hint="eastAsia"/>
        </w:rPr>
        <w:instrText xml:space="preserve">HYPERLINK "http://www.jianshe99.com/web/zhuanyeziliao/biaozhunguifan/" \o "规范" \t "_blank"</w:instrText>
      </w:r>
      <w:r>
        <w:instrText xml:space="preserve"> </w:instrText>
      </w:r>
      <w:r>
        <w:fldChar w:fldCharType="separate"/>
      </w:r>
      <w:r>
        <w:rPr>
          <w:rStyle w:val="16"/>
          <w:rFonts w:hint="eastAsia" w:eastAsia="方正仿宋_GBK"/>
          <w:kern w:val="0"/>
          <w:sz w:val="24"/>
        </w:rPr>
        <w:t>规范</w:t>
      </w:r>
      <w:r>
        <w:fldChar w:fldCharType="end"/>
      </w:r>
      <w:r>
        <w:rPr>
          <w:rFonts w:hint="eastAsia" w:eastAsia="方正仿宋_GBK"/>
          <w:color w:val="000000"/>
          <w:kern w:val="0"/>
          <w:sz w:val="24"/>
        </w:rPr>
        <w:t>房地产开发企业经营行为，根据《房地产开发企业资质管理规定》（住房和城乡建设部〔</w:t>
      </w:r>
      <w:r>
        <w:rPr>
          <w:rFonts w:eastAsia="方正仿宋_GBK"/>
          <w:color w:val="000000"/>
          <w:kern w:val="0"/>
          <w:sz w:val="24"/>
        </w:rPr>
        <w:t>2015</w:t>
      </w:r>
      <w:r>
        <w:rPr>
          <w:rFonts w:hint="eastAsia" w:eastAsia="方正仿宋_GBK"/>
          <w:color w:val="000000"/>
          <w:kern w:val="0"/>
          <w:sz w:val="24"/>
        </w:rPr>
        <w:t>〕第</w:t>
      </w:r>
      <w:r>
        <w:rPr>
          <w:rFonts w:eastAsia="方正仿宋_GBK"/>
          <w:color w:val="000000"/>
          <w:kern w:val="0"/>
          <w:sz w:val="24"/>
        </w:rPr>
        <w:t>24</w:t>
      </w:r>
      <w:r>
        <w:rPr>
          <w:rFonts w:hint="eastAsia" w:eastAsia="方正仿宋_GBK"/>
          <w:color w:val="000000"/>
          <w:kern w:val="0"/>
          <w:sz w:val="24"/>
        </w:rPr>
        <w:t>号令）结合本省实际，制定本细则。</w:t>
      </w:r>
    </w:p>
    <w:p>
      <w:pPr>
        <w:shd w:val="clear" w:color="auto" w:fill="FFFFFF"/>
        <w:spacing w:line="460" w:lineRule="exact"/>
        <w:ind w:firstLine="480" w:firstLineChars="200"/>
        <w:rPr>
          <w:rFonts w:eastAsia="方正仿宋_GBK"/>
          <w:color w:val="000000"/>
          <w:kern w:val="0"/>
          <w:sz w:val="24"/>
        </w:rPr>
      </w:pPr>
      <w:r>
        <w:rPr>
          <w:rFonts w:hint="eastAsia" w:eastAsia="方正黑体_GBK"/>
          <w:color w:val="000000"/>
          <w:kern w:val="0"/>
          <w:sz w:val="24"/>
        </w:rPr>
        <w:t>第二条</w:t>
      </w:r>
      <w:r>
        <w:rPr>
          <w:rFonts w:eastAsia="方正仿宋_GBK"/>
          <w:color w:val="000000"/>
          <w:kern w:val="0"/>
          <w:sz w:val="24"/>
        </w:rPr>
        <w:t xml:space="preserve"> </w:t>
      </w:r>
      <w:r>
        <w:rPr>
          <w:rFonts w:hint="eastAsia" w:eastAsia="方正仿宋_GBK"/>
          <w:color w:val="000000"/>
          <w:kern w:val="0"/>
          <w:sz w:val="24"/>
        </w:rPr>
        <w:t>本细则所称房地产开发企业是指依法设立、具有企业法人资格的经济实体。</w:t>
      </w:r>
      <w:r>
        <w:rPr>
          <w:rFonts w:hint="eastAsia" w:ascii="Times New Roman" w:hAnsi="Times New Roman" w:eastAsia="MingLiU_HKSCS" w:cs="MingLiU_HKSCS"/>
          <w:color w:val="000000"/>
          <w:kern w:val="0"/>
          <w:sz w:val="24"/>
        </w:rPr>
        <w:t xml:space="preserve"> </w:t>
      </w:r>
    </w:p>
    <w:p>
      <w:pPr>
        <w:shd w:val="clear" w:color="auto" w:fill="FFFFFF"/>
        <w:spacing w:line="460" w:lineRule="exact"/>
        <w:ind w:firstLine="480" w:firstLineChars="200"/>
        <w:rPr>
          <w:rFonts w:eastAsia="方正仿宋_GBK"/>
          <w:color w:val="000000"/>
          <w:kern w:val="0"/>
          <w:sz w:val="24"/>
        </w:rPr>
      </w:pPr>
      <w:r>
        <w:rPr>
          <w:rFonts w:hint="eastAsia" w:eastAsia="方正黑体_GBK"/>
          <w:color w:val="000000"/>
          <w:kern w:val="0"/>
          <w:sz w:val="24"/>
        </w:rPr>
        <w:t>第三条</w:t>
      </w:r>
      <w:r>
        <w:rPr>
          <w:rFonts w:eastAsia="方正仿宋_GBK"/>
          <w:color w:val="000000"/>
          <w:kern w:val="0"/>
          <w:sz w:val="24"/>
        </w:rPr>
        <w:t xml:space="preserve"> </w:t>
      </w:r>
      <w:r>
        <w:rPr>
          <w:rFonts w:hint="eastAsia" w:eastAsia="方正仿宋_GBK"/>
          <w:color w:val="000000"/>
          <w:kern w:val="0"/>
          <w:sz w:val="24"/>
        </w:rPr>
        <w:t>房地产开发企业应当按照本细则规定申请核定企业资质等级，领取房地产开发企业资质证书（以下简称资质证书），并按照核定的资质等级承担相应的房地产开发项目的开发经营业务。</w:t>
      </w:r>
      <w:r>
        <w:rPr>
          <w:rFonts w:hint="eastAsia" w:ascii="Times New Roman" w:hAnsi="Times New Roman" w:eastAsia="MingLiU_HKSCS" w:cs="MingLiU_HKSCS"/>
          <w:color w:val="000000"/>
          <w:kern w:val="0"/>
          <w:sz w:val="24"/>
        </w:rPr>
        <w:t xml:space="preserve"> </w:t>
      </w:r>
      <w:r>
        <w:rPr>
          <w:rFonts w:hint="eastAsia" w:eastAsia="方正仿宋_GBK"/>
          <w:color w:val="000000"/>
          <w:kern w:val="0"/>
          <w:sz w:val="24"/>
        </w:rPr>
        <w:t>未取得资质证书的企业，不得从事房地产开发经营业务。</w:t>
      </w:r>
      <w:r>
        <w:rPr>
          <w:rFonts w:hint="eastAsia" w:ascii="Times New Roman" w:hAnsi="Times New Roman" w:eastAsia="MingLiU_HKSCS" w:cs="MingLiU_HKSCS"/>
          <w:color w:val="000000"/>
          <w:kern w:val="0"/>
          <w:sz w:val="24"/>
        </w:rPr>
        <w:t xml:space="preserve"> </w:t>
      </w:r>
    </w:p>
    <w:p>
      <w:pPr>
        <w:shd w:val="clear" w:color="auto" w:fill="FFFFFF"/>
        <w:spacing w:line="460" w:lineRule="exact"/>
        <w:ind w:firstLine="480" w:firstLineChars="200"/>
        <w:rPr>
          <w:rFonts w:eastAsia="方正仿宋_GBK"/>
          <w:color w:val="000000"/>
          <w:kern w:val="0"/>
          <w:sz w:val="24"/>
        </w:rPr>
      </w:pPr>
      <w:r>
        <w:rPr>
          <w:rFonts w:hint="eastAsia" w:eastAsia="方正黑体_GBK"/>
          <w:color w:val="000000"/>
          <w:kern w:val="0"/>
          <w:sz w:val="24"/>
        </w:rPr>
        <w:t>第四条</w:t>
      </w:r>
      <w:r>
        <w:rPr>
          <w:rFonts w:eastAsia="方正仿宋_GBK"/>
          <w:color w:val="000000"/>
          <w:kern w:val="0"/>
          <w:sz w:val="24"/>
        </w:rPr>
        <w:t xml:space="preserve"> </w:t>
      </w:r>
      <w:r>
        <w:rPr>
          <w:rFonts w:hint="eastAsia" w:eastAsia="方正仿宋_GBK"/>
          <w:color w:val="000000"/>
          <w:kern w:val="0"/>
          <w:sz w:val="24"/>
        </w:rPr>
        <w:t>省建设行政主管部门负责全省房地产开发企业的资质管理工作。</w:t>
      </w:r>
      <w:r>
        <w:rPr>
          <w:rFonts w:hint="eastAsia" w:ascii="Times New Roman" w:hAnsi="Times New Roman" w:eastAsia="MingLiU_HKSCS" w:cs="MingLiU_HKSCS"/>
          <w:color w:val="000000"/>
          <w:kern w:val="0"/>
          <w:sz w:val="24"/>
        </w:rPr>
        <w:t xml:space="preserve"> </w:t>
      </w:r>
      <w:r>
        <w:rPr>
          <w:rFonts w:hint="eastAsia" w:eastAsia="方正仿宋_GBK"/>
          <w:color w:val="000000"/>
          <w:kern w:val="0"/>
          <w:sz w:val="24"/>
        </w:rPr>
        <w:t>市、县（市）地方人民政府房地产开发主管部门负责本行政区域内房地产开发企业的资质管理工作。</w:t>
      </w:r>
      <w:r>
        <w:rPr>
          <w:rFonts w:hint="eastAsia" w:ascii="Times New Roman" w:hAnsi="Times New Roman" w:eastAsia="MingLiU_HKSCS" w:cs="MingLiU_HKSCS"/>
          <w:color w:val="000000"/>
          <w:kern w:val="0"/>
          <w:sz w:val="24"/>
        </w:rPr>
        <w:t xml:space="preserve"> </w:t>
      </w:r>
    </w:p>
    <w:p>
      <w:pPr>
        <w:shd w:val="clear" w:color="auto" w:fill="FFFFFF"/>
        <w:spacing w:line="460" w:lineRule="exact"/>
        <w:ind w:firstLine="480" w:firstLineChars="200"/>
        <w:rPr>
          <w:rFonts w:eastAsia="方正仿宋_GBK"/>
          <w:color w:val="000000"/>
          <w:kern w:val="0"/>
          <w:sz w:val="24"/>
        </w:rPr>
      </w:pPr>
      <w:r>
        <w:rPr>
          <w:rFonts w:hint="eastAsia" w:eastAsia="方正黑体_GBK"/>
          <w:color w:val="000000"/>
          <w:kern w:val="0"/>
          <w:sz w:val="24"/>
        </w:rPr>
        <w:t>第五条</w:t>
      </w:r>
      <w:r>
        <w:rPr>
          <w:rFonts w:eastAsia="方正仿宋_GBK"/>
          <w:color w:val="000000"/>
          <w:kern w:val="0"/>
          <w:sz w:val="24"/>
        </w:rPr>
        <w:t xml:space="preserve"> </w:t>
      </w:r>
      <w:r>
        <w:rPr>
          <w:rFonts w:hint="eastAsia" w:eastAsia="方正仿宋_GBK"/>
          <w:color w:val="000000"/>
          <w:kern w:val="0"/>
          <w:sz w:val="24"/>
        </w:rPr>
        <w:t>房地产开发企业按照企业条件分为一、二、三、四四个资质等级。</w:t>
      </w:r>
    </w:p>
    <w:p>
      <w:pPr>
        <w:shd w:val="clear" w:color="auto" w:fill="FFFFFF"/>
        <w:spacing w:line="460" w:lineRule="exact"/>
        <w:ind w:firstLine="480" w:firstLineChars="200"/>
        <w:rPr>
          <w:rFonts w:eastAsia="方正仿宋_GBK"/>
          <w:color w:val="000000"/>
          <w:kern w:val="0"/>
          <w:sz w:val="24"/>
        </w:rPr>
      </w:pPr>
      <w:r>
        <w:rPr>
          <w:rFonts w:hint="eastAsia" w:eastAsia="方正黑体_GBK"/>
          <w:color w:val="000000"/>
          <w:kern w:val="0"/>
          <w:sz w:val="24"/>
        </w:rPr>
        <w:t>第六条</w:t>
      </w:r>
      <w:r>
        <w:rPr>
          <w:rFonts w:eastAsia="方正仿宋_GBK"/>
          <w:color w:val="000000"/>
          <w:kern w:val="0"/>
          <w:sz w:val="24"/>
        </w:rPr>
        <w:t xml:space="preserve"> </w:t>
      </w:r>
      <w:r>
        <w:rPr>
          <w:rFonts w:hint="eastAsia" w:eastAsia="方正仿宋_GBK"/>
          <w:color w:val="000000"/>
          <w:kern w:val="0"/>
          <w:sz w:val="24"/>
        </w:rPr>
        <w:t>申请一级资质的房地产开发企业必须符合下列条件：</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（一）从事房地产开发经营</w:t>
      </w:r>
      <w:r>
        <w:rPr>
          <w:rFonts w:eastAsia="方正仿宋_GBK"/>
          <w:color w:val="000000"/>
          <w:kern w:val="0"/>
          <w:sz w:val="24"/>
        </w:rPr>
        <w:t>5</w:t>
      </w:r>
      <w:r>
        <w:rPr>
          <w:rFonts w:hint="eastAsia" w:eastAsia="方正仿宋_GBK"/>
          <w:color w:val="000000"/>
          <w:kern w:val="0"/>
          <w:sz w:val="24"/>
        </w:rPr>
        <w:t>年以上；</w:t>
      </w:r>
      <w:r>
        <w:rPr>
          <w:rFonts w:hint="eastAsia" w:ascii="Times New Roman" w:hAnsi="Times New Roman" w:eastAsia="MingLiU_HKSCS" w:cs="MingLiU_HKSCS"/>
          <w:color w:val="000000"/>
          <w:kern w:val="0"/>
          <w:sz w:val="24"/>
        </w:rPr>
        <w:t xml:space="preserve"> </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（二）近</w:t>
      </w:r>
      <w:r>
        <w:rPr>
          <w:rFonts w:eastAsia="方正仿宋_GBK"/>
          <w:color w:val="000000"/>
          <w:kern w:val="0"/>
          <w:sz w:val="24"/>
        </w:rPr>
        <w:t>3</w:t>
      </w:r>
      <w:r>
        <w:rPr>
          <w:rFonts w:hint="eastAsia" w:eastAsia="方正仿宋_GBK"/>
          <w:color w:val="000000"/>
          <w:kern w:val="0"/>
          <w:sz w:val="24"/>
        </w:rPr>
        <w:t>年房屋建筑面积累计竣工</w:t>
      </w:r>
      <w:r>
        <w:rPr>
          <w:rFonts w:eastAsia="方正仿宋_GBK"/>
          <w:color w:val="000000"/>
          <w:kern w:val="0"/>
          <w:sz w:val="24"/>
        </w:rPr>
        <w:t>30</w:t>
      </w:r>
      <w:r>
        <w:rPr>
          <w:rFonts w:hint="eastAsia" w:eastAsia="方正仿宋_GBK"/>
          <w:color w:val="000000"/>
          <w:kern w:val="0"/>
          <w:sz w:val="24"/>
        </w:rPr>
        <w:t>万平方米以上，或者累计完成房地产开发投资额</w:t>
      </w:r>
      <w:r>
        <w:rPr>
          <w:rFonts w:eastAsia="方正仿宋_GBK"/>
          <w:color w:val="000000"/>
          <w:kern w:val="0"/>
          <w:sz w:val="24"/>
        </w:rPr>
        <w:t>3</w:t>
      </w:r>
      <w:r>
        <w:rPr>
          <w:rFonts w:hint="eastAsia" w:eastAsia="方正仿宋_GBK"/>
          <w:color w:val="000000"/>
          <w:kern w:val="0"/>
          <w:sz w:val="24"/>
        </w:rPr>
        <w:t>亿元以上；</w:t>
      </w:r>
      <w:r>
        <w:rPr>
          <w:rFonts w:hint="eastAsia" w:ascii="Times New Roman" w:hAnsi="Times New Roman" w:eastAsia="MingLiU_HKSCS" w:cs="MingLiU_HKSCS"/>
          <w:color w:val="000000"/>
          <w:kern w:val="0"/>
          <w:sz w:val="24"/>
        </w:rPr>
        <w:t xml:space="preserve"> </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（三）连续</w:t>
      </w:r>
      <w:r>
        <w:rPr>
          <w:rFonts w:eastAsia="方正仿宋_GBK"/>
          <w:color w:val="000000"/>
          <w:kern w:val="0"/>
          <w:sz w:val="24"/>
        </w:rPr>
        <w:t>5</w:t>
      </w:r>
      <w:r>
        <w:rPr>
          <w:rFonts w:hint="eastAsia" w:eastAsia="方正仿宋_GBK"/>
          <w:color w:val="000000"/>
          <w:kern w:val="0"/>
          <w:sz w:val="24"/>
        </w:rPr>
        <w:t>年建筑工程质量合格率达</w:t>
      </w:r>
      <w:r>
        <w:rPr>
          <w:rFonts w:eastAsia="方正仿宋_GBK"/>
          <w:color w:val="000000"/>
          <w:kern w:val="0"/>
          <w:sz w:val="24"/>
        </w:rPr>
        <w:t>100%</w:t>
      </w:r>
      <w:r>
        <w:rPr>
          <w:rFonts w:hint="eastAsia" w:eastAsia="方正仿宋_GBK"/>
          <w:color w:val="000000"/>
          <w:kern w:val="0"/>
          <w:sz w:val="24"/>
        </w:rPr>
        <w:t>；</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（四）上一年房屋建筑施工面积</w:t>
      </w:r>
      <w:r>
        <w:rPr>
          <w:rFonts w:eastAsia="方正仿宋_GBK"/>
          <w:color w:val="000000"/>
          <w:kern w:val="0"/>
          <w:sz w:val="24"/>
        </w:rPr>
        <w:t>15</w:t>
      </w:r>
      <w:r>
        <w:rPr>
          <w:rFonts w:hint="eastAsia" w:eastAsia="方正仿宋_GBK"/>
          <w:color w:val="000000"/>
          <w:kern w:val="0"/>
          <w:sz w:val="24"/>
        </w:rPr>
        <w:t>万平方米以上，或者完成房地产开发投资额</w:t>
      </w:r>
      <w:r>
        <w:rPr>
          <w:rFonts w:eastAsia="方正仿宋_GBK"/>
          <w:color w:val="000000"/>
          <w:kern w:val="0"/>
          <w:sz w:val="24"/>
        </w:rPr>
        <w:t>1</w:t>
      </w:r>
      <w:r>
        <w:rPr>
          <w:rFonts w:hint="eastAsia" w:eastAsia="方正仿宋_GBK"/>
          <w:color w:val="000000"/>
          <w:kern w:val="0"/>
          <w:sz w:val="24"/>
        </w:rPr>
        <w:t>亿</w:t>
      </w:r>
      <w:r>
        <w:rPr>
          <w:rFonts w:eastAsia="方正仿宋_GBK"/>
          <w:color w:val="000000"/>
          <w:kern w:val="0"/>
          <w:sz w:val="24"/>
        </w:rPr>
        <w:t>5</w:t>
      </w:r>
      <w:r>
        <w:rPr>
          <w:rFonts w:hint="eastAsia" w:eastAsia="方正仿宋_GBK"/>
          <w:color w:val="000000"/>
          <w:kern w:val="0"/>
          <w:sz w:val="24"/>
        </w:rPr>
        <w:t>千万元以上；</w:t>
      </w:r>
      <w:r>
        <w:rPr>
          <w:rFonts w:hint="eastAsia" w:ascii="Times New Roman" w:hAnsi="Times New Roman" w:eastAsia="MingLiU_HKSCS" w:cs="MingLiU_HKSCS"/>
          <w:color w:val="000000"/>
          <w:kern w:val="0"/>
          <w:sz w:val="24"/>
        </w:rPr>
        <w:t xml:space="preserve"> </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（五）有专业技术职称的建筑、结构、财务、房地产及有关经济类的专业管理人员不少于</w:t>
      </w:r>
      <w:r>
        <w:rPr>
          <w:rFonts w:eastAsia="方正仿宋_GBK"/>
          <w:color w:val="000000"/>
          <w:kern w:val="0"/>
          <w:sz w:val="24"/>
        </w:rPr>
        <w:t>40</w:t>
      </w:r>
      <w:r>
        <w:rPr>
          <w:rFonts w:hint="eastAsia" w:eastAsia="方正仿宋_GBK"/>
          <w:color w:val="000000"/>
          <w:kern w:val="0"/>
          <w:sz w:val="24"/>
        </w:rPr>
        <w:t>人，其中具有中级以上职称的管理人员不少于</w:t>
      </w:r>
      <w:r>
        <w:rPr>
          <w:rFonts w:eastAsia="方正仿宋_GBK"/>
          <w:color w:val="000000"/>
          <w:kern w:val="0"/>
          <w:sz w:val="24"/>
        </w:rPr>
        <w:t>20</w:t>
      </w:r>
      <w:r>
        <w:rPr>
          <w:rFonts w:hint="eastAsia" w:eastAsia="方正仿宋_GBK"/>
          <w:color w:val="000000"/>
          <w:kern w:val="0"/>
          <w:sz w:val="24"/>
        </w:rPr>
        <w:t>人，持有资格证书的专职会计人员不少于</w:t>
      </w:r>
      <w:r>
        <w:rPr>
          <w:rFonts w:eastAsia="方正仿宋_GBK"/>
          <w:color w:val="000000"/>
          <w:kern w:val="0"/>
          <w:sz w:val="24"/>
        </w:rPr>
        <w:t>4</w:t>
      </w:r>
      <w:r>
        <w:rPr>
          <w:rFonts w:hint="eastAsia" w:eastAsia="方正仿宋_GBK"/>
          <w:color w:val="000000"/>
          <w:kern w:val="0"/>
          <w:sz w:val="24"/>
        </w:rPr>
        <w:t>人；</w:t>
      </w:r>
      <w:r>
        <w:rPr>
          <w:rFonts w:eastAsia="方正仿宋_GBK"/>
          <w:color w:val="000000"/>
          <w:kern w:val="0"/>
          <w:sz w:val="24"/>
        </w:rPr>
        <w:t> </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（六）工程技术、财务、统计等业务负责人具有相应专业中级以上职称；</w:t>
      </w:r>
      <w:r>
        <w:rPr>
          <w:rFonts w:hint="eastAsia" w:ascii="Times New Roman" w:hAnsi="Times New Roman" w:eastAsia="MingLiU_HKSCS" w:cs="MingLiU_HKSCS"/>
          <w:color w:val="000000"/>
          <w:kern w:val="0"/>
          <w:sz w:val="24"/>
        </w:rPr>
        <w:t xml:space="preserve"> </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（七）具有完善的质量保证体系，商品住宅销售中实行了《住宅质量保证书》和《住宅使用说明书》制度；</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（八）未发生过重大工程质量事故。</w:t>
      </w:r>
      <w:r>
        <w:rPr>
          <w:rFonts w:hint="eastAsia" w:ascii="Times New Roman" w:hAnsi="Times New Roman" w:eastAsia="MingLiU_HKSCS" w:cs="MingLiU_HKSCS"/>
          <w:color w:val="000000"/>
          <w:kern w:val="0"/>
          <w:sz w:val="24"/>
        </w:rPr>
        <w:t xml:space="preserve"> </w:t>
      </w:r>
    </w:p>
    <w:p>
      <w:pPr>
        <w:shd w:val="clear" w:color="auto" w:fill="FFFFFF"/>
        <w:spacing w:line="460" w:lineRule="exact"/>
        <w:ind w:firstLine="480" w:firstLineChars="200"/>
        <w:rPr>
          <w:rFonts w:eastAsia="方正仿宋_GBK"/>
          <w:color w:val="000000"/>
          <w:kern w:val="0"/>
          <w:sz w:val="24"/>
        </w:rPr>
      </w:pPr>
      <w:r>
        <w:rPr>
          <w:rFonts w:hint="eastAsia" w:eastAsia="方正黑体_GBK"/>
          <w:color w:val="000000"/>
          <w:kern w:val="0"/>
          <w:sz w:val="24"/>
        </w:rPr>
        <w:t>第七条</w:t>
      </w:r>
      <w:r>
        <w:rPr>
          <w:rFonts w:eastAsia="方正仿宋_GBK"/>
          <w:color w:val="000000"/>
          <w:kern w:val="0"/>
          <w:sz w:val="24"/>
        </w:rPr>
        <w:t xml:space="preserve"> </w:t>
      </w:r>
      <w:r>
        <w:rPr>
          <w:rFonts w:hint="eastAsia" w:eastAsia="方正仿宋_GBK"/>
          <w:color w:val="000000"/>
          <w:kern w:val="0"/>
          <w:sz w:val="24"/>
        </w:rPr>
        <w:t>申请二级资质的房地产开发企业必须符合下列条件：</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（一）从事房地产开发经营</w:t>
      </w:r>
      <w:r>
        <w:rPr>
          <w:rFonts w:eastAsia="方正仿宋_GBK"/>
          <w:color w:val="000000"/>
          <w:kern w:val="0"/>
          <w:sz w:val="24"/>
        </w:rPr>
        <w:t>3</w:t>
      </w:r>
      <w:r>
        <w:rPr>
          <w:rFonts w:hint="eastAsia" w:eastAsia="方正仿宋_GBK"/>
          <w:color w:val="000000"/>
          <w:kern w:val="0"/>
          <w:sz w:val="24"/>
        </w:rPr>
        <w:t>年以上；</w:t>
      </w:r>
      <w:r>
        <w:rPr>
          <w:rFonts w:hint="eastAsia" w:ascii="Times New Roman" w:hAnsi="Times New Roman" w:eastAsia="MingLiU_HKSCS" w:cs="MingLiU_HKSCS"/>
          <w:color w:val="000000"/>
          <w:kern w:val="0"/>
          <w:sz w:val="24"/>
        </w:rPr>
        <w:t xml:space="preserve"> </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（二）近</w:t>
      </w:r>
      <w:r>
        <w:rPr>
          <w:rFonts w:eastAsia="方正仿宋_GBK"/>
          <w:color w:val="000000"/>
          <w:kern w:val="0"/>
          <w:sz w:val="24"/>
        </w:rPr>
        <w:t>3</w:t>
      </w:r>
      <w:r>
        <w:rPr>
          <w:rFonts w:hint="eastAsia" w:eastAsia="方正仿宋_GBK"/>
          <w:color w:val="000000"/>
          <w:kern w:val="0"/>
          <w:sz w:val="24"/>
        </w:rPr>
        <w:t>年房屋建筑面积累计竣工</w:t>
      </w:r>
      <w:r>
        <w:rPr>
          <w:rFonts w:eastAsia="方正仿宋_GBK"/>
          <w:color w:val="000000"/>
          <w:kern w:val="0"/>
          <w:sz w:val="24"/>
        </w:rPr>
        <w:t>15</w:t>
      </w:r>
      <w:r>
        <w:rPr>
          <w:rFonts w:hint="eastAsia" w:eastAsia="方正仿宋_GBK"/>
          <w:color w:val="000000"/>
          <w:kern w:val="0"/>
          <w:sz w:val="24"/>
        </w:rPr>
        <w:t>万平方米以上，或者上一年房屋建设面积竣工</w:t>
      </w:r>
      <w:r>
        <w:rPr>
          <w:rFonts w:eastAsia="方正仿宋_GBK"/>
          <w:color w:val="000000"/>
          <w:kern w:val="0"/>
          <w:sz w:val="24"/>
        </w:rPr>
        <w:t>8</w:t>
      </w:r>
      <w:r>
        <w:rPr>
          <w:rFonts w:hint="eastAsia" w:eastAsia="方正仿宋_GBK"/>
          <w:color w:val="000000"/>
          <w:kern w:val="0"/>
          <w:sz w:val="24"/>
        </w:rPr>
        <w:t>万平方米以上；</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（三）近</w:t>
      </w:r>
      <w:r>
        <w:rPr>
          <w:rFonts w:eastAsia="方正仿宋_GBK"/>
          <w:color w:val="000000"/>
          <w:kern w:val="0"/>
          <w:sz w:val="24"/>
        </w:rPr>
        <w:t>3</w:t>
      </w:r>
      <w:r>
        <w:rPr>
          <w:rFonts w:hint="eastAsia" w:eastAsia="方正仿宋_GBK"/>
          <w:color w:val="000000"/>
          <w:kern w:val="0"/>
          <w:sz w:val="24"/>
        </w:rPr>
        <w:t>年累计完成房地产开发投资额</w:t>
      </w:r>
      <w:r>
        <w:rPr>
          <w:rFonts w:eastAsia="方正仿宋_GBK"/>
          <w:color w:val="000000"/>
          <w:kern w:val="0"/>
          <w:sz w:val="24"/>
        </w:rPr>
        <w:t>1</w:t>
      </w:r>
      <w:r>
        <w:rPr>
          <w:rFonts w:hint="eastAsia" w:eastAsia="方正仿宋_GBK"/>
          <w:color w:val="000000"/>
          <w:kern w:val="0"/>
          <w:sz w:val="24"/>
        </w:rPr>
        <w:t>亿</w:t>
      </w:r>
      <w:r>
        <w:rPr>
          <w:rFonts w:eastAsia="方正仿宋_GBK"/>
          <w:color w:val="000000"/>
          <w:kern w:val="0"/>
          <w:sz w:val="24"/>
        </w:rPr>
        <w:t>5</w:t>
      </w:r>
      <w:r>
        <w:rPr>
          <w:rFonts w:hint="eastAsia" w:eastAsia="方正仿宋_GBK"/>
          <w:color w:val="000000"/>
          <w:kern w:val="0"/>
          <w:sz w:val="24"/>
        </w:rPr>
        <w:t>千万元以上或者上一年完成房地产开发投资额</w:t>
      </w:r>
      <w:r>
        <w:rPr>
          <w:rFonts w:eastAsia="方正仿宋_GBK"/>
          <w:color w:val="000000"/>
          <w:kern w:val="0"/>
          <w:sz w:val="24"/>
        </w:rPr>
        <w:t>8000</w:t>
      </w:r>
      <w:r>
        <w:rPr>
          <w:rFonts w:hint="eastAsia" w:eastAsia="方正仿宋_GBK"/>
          <w:color w:val="000000"/>
          <w:kern w:val="0"/>
          <w:sz w:val="24"/>
        </w:rPr>
        <w:t>万元以上；</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（四）连续</w:t>
      </w:r>
      <w:r>
        <w:rPr>
          <w:rFonts w:eastAsia="方正仿宋_GBK"/>
          <w:color w:val="000000"/>
          <w:kern w:val="0"/>
          <w:sz w:val="24"/>
        </w:rPr>
        <w:t>3</w:t>
      </w:r>
      <w:r>
        <w:rPr>
          <w:rFonts w:hint="eastAsia" w:eastAsia="方正仿宋_GBK"/>
          <w:color w:val="000000"/>
          <w:kern w:val="0"/>
          <w:sz w:val="24"/>
        </w:rPr>
        <w:t>年建筑工程质量合格率达</w:t>
      </w:r>
      <w:r>
        <w:rPr>
          <w:rFonts w:eastAsia="方正仿宋_GBK"/>
          <w:color w:val="000000"/>
          <w:kern w:val="0"/>
          <w:sz w:val="24"/>
        </w:rPr>
        <w:t>100%</w:t>
      </w:r>
      <w:r>
        <w:rPr>
          <w:rFonts w:hint="eastAsia" w:eastAsia="方正仿宋_GBK"/>
          <w:color w:val="000000"/>
          <w:kern w:val="0"/>
          <w:sz w:val="24"/>
        </w:rPr>
        <w:t>；</w:t>
      </w:r>
      <w:r>
        <w:rPr>
          <w:rFonts w:hint="eastAsia" w:ascii="Times New Roman" w:hAnsi="Times New Roman" w:eastAsia="MingLiU_HKSCS" w:cs="MingLiU_HKSCS"/>
          <w:color w:val="000000"/>
          <w:kern w:val="0"/>
          <w:sz w:val="24"/>
        </w:rPr>
        <w:t xml:space="preserve"> </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（五）有专业技术职称的建筑、结构、财务、房地产及有关经济类的专业管理人员不少于</w:t>
      </w:r>
      <w:r>
        <w:rPr>
          <w:rFonts w:eastAsia="方正仿宋_GBK"/>
          <w:color w:val="000000"/>
          <w:kern w:val="0"/>
          <w:sz w:val="24"/>
        </w:rPr>
        <w:t>20</w:t>
      </w:r>
      <w:r>
        <w:rPr>
          <w:rFonts w:hint="eastAsia" w:eastAsia="方正仿宋_GBK"/>
          <w:color w:val="000000"/>
          <w:kern w:val="0"/>
          <w:sz w:val="24"/>
        </w:rPr>
        <w:t>人，其中具有中级以上职称的管理人员不少于</w:t>
      </w:r>
      <w:r>
        <w:rPr>
          <w:rFonts w:eastAsia="方正仿宋_GBK"/>
          <w:color w:val="000000"/>
          <w:kern w:val="0"/>
          <w:sz w:val="24"/>
        </w:rPr>
        <w:t>10</w:t>
      </w:r>
      <w:r>
        <w:rPr>
          <w:rFonts w:hint="eastAsia" w:eastAsia="方正仿宋_GBK"/>
          <w:color w:val="000000"/>
          <w:kern w:val="0"/>
          <w:sz w:val="24"/>
        </w:rPr>
        <w:t>人，建筑、结构专业中级以上职称的管理人员不少于</w:t>
      </w:r>
      <w:r>
        <w:rPr>
          <w:rFonts w:eastAsia="方正仿宋_GBK"/>
          <w:color w:val="000000"/>
          <w:kern w:val="0"/>
          <w:sz w:val="24"/>
        </w:rPr>
        <w:t>4</w:t>
      </w:r>
      <w:r>
        <w:rPr>
          <w:rFonts w:hint="eastAsia" w:eastAsia="方正仿宋_GBK"/>
          <w:color w:val="000000"/>
          <w:kern w:val="0"/>
          <w:sz w:val="24"/>
        </w:rPr>
        <w:t>人，持有资格证书的专职会计人员不少于</w:t>
      </w:r>
      <w:r>
        <w:rPr>
          <w:rFonts w:eastAsia="方正仿宋_GBK"/>
          <w:color w:val="000000"/>
          <w:kern w:val="0"/>
          <w:sz w:val="24"/>
        </w:rPr>
        <w:t>3</w:t>
      </w:r>
      <w:r>
        <w:rPr>
          <w:rFonts w:hint="eastAsia" w:eastAsia="方正仿宋_GBK"/>
          <w:color w:val="000000"/>
          <w:kern w:val="0"/>
          <w:sz w:val="24"/>
        </w:rPr>
        <w:t>人；</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（六）工程技术、财务、统计等业务负责人具有相应专业中级以上职称；</w:t>
      </w:r>
      <w:r>
        <w:rPr>
          <w:rFonts w:hint="eastAsia" w:ascii="Times New Roman" w:hAnsi="Times New Roman" w:eastAsia="MingLiU_HKSCS" w:cs="MingLiU_HKSCS"/>
          <w:color w:val="000000"/>
          <w:kern w:val="0"/>
          <w:sz w:val="24"/>
        </w:rPr>
        <w:t xml:space="preserve"> </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（七）具有完善的质量保证体系，商品住宅销售中实行了《住宅质量保证书》和《住宅使用说明书》制度；</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（八）未发生过重大工程质量事故。</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前款第（二）、第（三）项所列条件，房地产开发企业具备其中一项即可。</w:t>
      </w:r>
    </w:p>
    <w:p>
      <w:pPr>
        <w:shd w:val="clear" w:color="auto" w:fill="FFFFFF"/>
        <w:spacing w:line="460" w:lineRule="exact"/>
        <w:ind w:firstLine="480" w:firstLineChars="200"/>
        <w:rPr>
          <w:rFonts w:eastAsia="方正仿宋_GBK"/>
          <w:color w:val="000000"/>
          <w:kern w:val="0"/>
          <w:sz w:val="24"/>
        </w:rPr>
      </w:pPr>
      <w:r>
        <w:rPr>
          <w:rFonts w:hint="eastAsia" w:eastAsia="方正黑体_GBK"/>
          <w:color w:val="000000"/>
          <w:kern w:val="0"/>
          <w:sz w:val="24"/>
        </w:rPr>
        <w:t>第八条</w:t>
      </w:r>
      <w:r>
        <w:rPr>
          <w:rFonts w:eastAsia="方正仿宋_GBK"/>
          <w:color w:val="000000"/>
          <w:kern w:val="0"/>
          <w:sz w:val="24"/>
        </w:rPr>
        <w:t xml:space="preserve"> </w:t>
      </w:r>
      <w:r>
        <w:rPr>
          <w:rFonts w:hint="eastAsia" w:eastAsia="方正仿宋_GBK"/>
          <w:color w:val="000000"/>
          <w:kern w:val="0"/>
          <w:sz w:val="24"/>
        </w:rPr>
        <w:t>申请三级资质的房地产开发企业必须符合下列条件：</w:t>
      </w:r>
      <w:r>
        <w:rPr>
          <w:rFonts w:hint="eastAsia" w:ascii="Times New Roman" w:hAnsi="Times New Roman" w:eastAsia="MingLiU_HKSCS" w:cs="MingLiU_HKSCS"/>
          <w:color w:val="000000"/>
          <w:kern w:val="0"/>
          <w:sz w:val="24"/>
        </w:rPr>
        <w:t xml:space="preserve"> </w:t>
      </w:r>
      <w:r>
        <w:rPr>
          <w:rFonts w:hint="eastAsia" w:eastAsia="方正仿宋_GBK"/>
          <w:color w:val="000000"/>
          <w:kern w:val="0"/>
          <w:sz w:val="24"/>
        </w:rPr>
        <w:t>　</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（一）从事房地产开发经营</w:t>
      </w:r>
      <w:r>
        <w:rPr>
          <w:rFonts w:eastAsia="方正仿宋_GBK"/>
          <w:color w:val="000000"/>
          <w:kern w:val="0"/>
          <w:sz w:val="24"/>
        </w:rPr>
        <w:t>1</w:t>
      </w:r>
      <w:r>
        <w:rPr>
          <w:rFonts w:hint="eastAsia" w:eastAsia="方正仿宋_GBK"/>
          <w:color w:val="000000"/>
          <w:kern w:val="0"/>
          <w:sz w:val="24"/>
        </w:rPr>
        <w:t>年以上；</w:t>
      </w:r>
      <w:r>
        <w:rPr>
          <w:rFonts w:hint="eastAsia" w:ascii="Times New Roman" w:hAnsi="Times New Roman" w:eastAsia="MingLiU_HKSCS" w:cs="MingLiU_HKSCS"/>
          <w:color w:val="000000"/>
          <w:kern w:val="0"/>
          <w:sz w:val="24"/>
        </w:rPr>
        <w:t xml:space="preserve"> </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（二）近</w:t>
      </w:r>
      <w:r>
        <w:rPr>
          <w:rFonts w:eastAsia="方正仿宋_GBK"/>
          <w:color w:val="000000"/>
          <w:kern w:val="0"/>
          <w:sz w:val="24"/>
        </w:rPr>
        <w:t>3</w:t>
      </w:r>
      <w:r>
        <w:rPr>
          <w:rFonts w:hint="eastAsia" w:eastAsia="方正仿宋_GBK"/>
          <w:color w:val="000000"/>
          <w:kern w:val="0"/>
          <w:sz w:val="24"/>
        </w:rPr>
        <w:t>年房屋建筑面积累计竣工</w:t>
      </w:r>
      <w:r>
        <w:rPr>
          <w:rFonts w:eastAsia="方正仿宋_GBK"/>
          <w:color w:val="000000"/>
          <w:kern w:val="0"/>
          <w:sz w:val="24"/>
        </w:rPr>
        <w:t>5</w:t>
      </w:r>
      <w:r>
        <w:rPr>
          <w:rFonts w:hint="eastAsia" w:eastAsia="方正仿宋_GBK"/>
          <w:color w:val="000000"/>
          <w:kern w:val="0"/>
          <w:sz w:val="24"/>
        </w:rPr>
        <w:t>万平方米以上，或者上一年房屋建筑面积竣工</w:t>
      </w:r>
      <w:r>
        <w:rPr>
          <w:rFonts w:eastAsia="方正仿宋_GBK"/>
          <w:color w:val="000000"/>
          <w:kern w:val="0"/>
          <w:sz w:val="24"/>
        </w:rPr>
        <w:t>3</w:t>
      </w:r>
      <w:r>
        <w:rPr>
          <w:rFonts w:hint="eastAsia" w:eastAsia="方正仿宋_GBK"/>
          <w:color w:val="000000"/>
          <w:kern w:val="0"/>
          <w:sz w:val="24"/>
        </w:rPr>
        <w:t>万平方米；</w:t>
      </w:r>
      <w:r>
        <w:rPr>
          <w:rFonts w:hint="eastAsia" w:ascii="Times New Roman" w:hAnsi="Times New Roman" w:eastAsia="MingLiU_HKSCS" w:cs="MingLiU_HKSCS"/>
          <w:color w:val="000000"/>
          <w:kern w:val="0"/>
          <w:sz w:val="24"/>
        </w:rPr>
        <w:t xml:space="preserve"> </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（三）近</w:t>
      </w:r>
      <w:r>
        <w:rPr>
          <w:rFonts w:eastAsia="方正仿宋_GBK"/>
          <w:color w:val="000000"/>
          <w:kern w:val="0"/>
          <w:sz w:val="24"/>
        </w:rPr>
        <w:t>3</w:t>
      </w:r>
      <w:r>
        <w:rPr>
          <w:rFonts w:hint="eastAsia" w:eastAsia="方正仿宋_GBK"/>
          <w:color w:val="000000"/>
          <w:kern w:val="0"/>
          <w:sz w:val="24"/>
        </w:rPr>
        <w:t>年累计完成房地产开发投资额</w:t>
      </w:r>
      <w:r>
        <w:rPr>
          <w:rFonts w:eastAsia="方正仿宋_GBK"/>
          <w:color w:val="000000"/>
          <w:kern w:val="0"/>
          <w:sz w:val="24"/>
        </w:rPr>
        <w:t>5000</w:t>
      </w:r>
      <w:r>
        <w:rPr>
          <w:rFonts w:hint="eastAsia" w:eastAsia="方正仿宋_GBK"/>
          <w:color w:val="000000"/>
          <w:kern w:val="0"/>
          <w:sz w:val="24"/>
        </w:rPr>
        <w:t>万元以上或者上一年完成房地产开发投资额</w:t>
      </w:r>
      <w:r>
        <w:rPr>
          <w:rFonts w:eastAsia="方正仿宋_GBK"/>
          <w:color w:val="000000"/>
          <w:kern w:val="0"/>
          <w:sz w:val="24"/>
        </w:rPr>
        <w:t>3000</w:t>
      </w:r>
      <w:r>
        <w:rPr>
          <w:rFonts w:hint="eastAsia" w:eastAsia="方正仿宋_GBK"/>
          <w:color w:val="000000"/>
          <w:kern w:val="0"/>
          <w:sz w:val="24"/>
        </w:rPr>
        <w:t>万元以上；</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（四）已竣工的建筑工程质量合格率达</w:t>
      </w:r>
      <w:r>
        <w:rPr>
          <w:rFonts w:eastAsia="方正仿宋_GBK"/>
          <w:color w:val="000000"/>
          <w:kern w:val="0"/>
          <w:sz w:val="24"/>
        </w:rPr>
        <w:t>100%</w:t>
      </w:r>
      <w:r>
        <w:rPr>
          <w:rFonts w:hint="eastAsia" w:eastAsia="方正仿宋_GBK"/>
          <w:color w:val="000000"/>
          <w:kern w:val="0"/>
          <w:sz w:val="24"/>
        </w:rPr>
        <w:t>；</w:t>
      </w:r>
      <w:r>
        <w:rPr>
          <w:rFonts w:hint="eastAsia" w:ascii="Times New Roman" w:hAnsi="Times New Roman" w:eastAsia="MingLiU_HKSCS" w:cs="MingLiU_HKSCS"/>
          <w:color w:val="000000"/>
          <w:kern w:val="0"/>
          <w:sz w:val="24"/>
        </w:rPr>
        <w:t xml:space="preserve"> </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（五）有专业技术职称的建筑、结构、财务、房地产及有关经济类的专业管理人员不少于</w:t>
      </w:r>
      <w:r>
        <w:rPr>
          <w:rFonts w:eastAsia="方正仿宋_GBK"/>
          <w:color w:val="000000"/>
          <w:kern w:val="0"/>
          <w:sz w:val="24"/>
        </w:rPr>
        <w:t>10</w:t>
      </w:r>
      <w:r>
        <w:rPr>
          <w:rFonts w:hint="eastAsia" w:eastAsia="方正仿宋_GBK"/>
          <w:color w:val="000000"/>
          <w:kern w:val="0"/>
          <w:sz w:val="24"/>
        </w:rPr>
        <w:t>人，其中具有中级以上职称的管理人员不少于</w:t>
      </w:r>
      <w:r>
        <w:rPr>
          <w:rFonts w:eastAsia="方正仿宋_GBK"/>
          <w:color w:val="000000"/>
          <w:kern w:val="0"/>
          <w:sz w:val="24"/>
        </w:rPr>
        <w:t>5</w:t>
      </w:r>
      <w:r>
        <w:rPr>
          <w:rFonts w:hint="eastAsia" w:eastAsia="方正仿宋_GBK"/>
          <w:color w:val="000000"/>
          <w:kern w:val="0"/>
          <w:sz w:val="24"/>
        </w:rPr>
        <w:t>人，建筑、结构专业中级以上职称的管理人员不于</w:t>
      </w:r>
      <w:r>
        <w:rPr>
          <w:rFonts w:eastAsia="方正仿宋_GBK"/>
          <w:color w:val="000000"/>
          <w:kern w:val="0"/>
          <w:sz w:val="24"/>
        </w:rPr>
        <w:t>2</w:t>
      </w:r>
      <w:r>
        <w:rPr>
          <w:rFonts w:hint="eastAsia" w:eastAsia="方正仿宋_GBK"/>
          <w:color w:val="000000"/>
          <w:kern w:val="0"/>
          <w:sz w:val="24"/>
        </w:rPr>
        <w:t>人，持有资格证书的专职会计人员不少于</w:t>
      </w:r>
      <w:r>
        <w:rPr>
          <w:rFonts w:eastAsia="方正仿宋_GBK"/>
          <w:color w:val="000000"/>
          <w:kern w:val="0"/>
          <w:sz w:val="24"/>
        </w:rPr>
        <w:t>2</w:t>
      </w:r>
      <w:r>
        <w:rPr>
          <w:rFonts w:hint="eastAsia" w:eastAsia="方正仿宋_GBK"/>
          <w:color w:val="000000"/>
          <w:kern w:val="0"/>
          <w:sz w:val="24"/>
        </w:rPr>
        <w:t>人；</w:t>
      </w:r>
      <w:r>
        <w:rPr>
          <w:rFonts w:hint="eastAsia" w:ascii="Times New Roman" w:hAnsi="Times New Roman" w:eastAsia="MingLiU_HKSCS" w:cs="MingLiU_HKSCS"/>
          <w:color w:val="000000"/>
          <w:kern w:val="0"/>
          <w:sz w:val="24"/>
        </w:rPr>
        <w:t xml:space="preserve"> </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（六）工程技术、财务等业务负责人具有相应专业中级以上职称，统计业务负责人具有相应专业初级以上职称；</w:t>
      </w:r>
      <w:r>
        <w:rPr>
          <w:rFonts w:hint="eastAsia" w:ascii="Times New Roman" w:hAnsi="Times New Roman" w:eastAsia="MingLiU_HKSCS" w:cs="MingLiU_HKSCS"/>
          <w:color w:val="000000"/>
          <w:kern w:val="0"/>
          <w:sz w:val="24"/>
        </w:rPr>
        <w:t xml:space="preserve"> </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（七）具有完善的质量保证体系，商品住宅销售中实行了《住宅质量保证书》和《住宅使用说明书》制度；</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（八）未发生过重大工程质量事故。</w:t>
      </w:r>
      <w:r>
        <w:rPr>
          <w:rFonts w:hint="eastAsia" w:ascii="Times New Roman" w:hAnsi="Times New Roman" w:eastAsia="MingLiU_HKSCS" w:cs="MingLiU_HKSCS"/>
          <w:color w:val="000000"/>
          <w:kern w:val="0"/>
          <w:sz w:val="24"/>
        </w:rPr>
        <w:t xml:space="preserve"> </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前款第（二）、第（三）项所列条件，房地产开发企业具备其中一项即可。</w:t>
      </w:r>
      <w:r>
        <w:rPr>
          <w:rFonts w:eastAsia="方正仿宋_GBK"/>
          <w:color w:val="000000"/>
          <w:kern w:val="0"/>
          <w:sz w:val="24"/>
        </w:rPr>
        <w:t xml:space="preserve"> </w:t>
      </w:r>
    </w:p>
    <w:p>
      <w:pPr>
        <w:shd w:val="clear" w:color="auto" w:fill="FFFFFF"/>
        <w:spacing w:line="460" w:lineRule="exact"/>
        <w:ind w:firstLine="480" w:firstLineChars="200"/>
        <w:rPr>
          <w:rFonts w:eastAsia="方正仿宋_GBK"/>
          <w:color w:val="000000"/>
          <w:kern w:val="0"/>
          <w:sz w:val="24"/>
        </w:rPr>
      </w:pPr>
      <w:r>
        <w:rPr>
          <w:rFonts w:hint="eastAsia" w:eastAsia="方正黑体_GBK"/>
          <w:color w:val="000000"/>
          <w:kern w:val="0"/>
          <w:sz w:val="24"/>
        </w:rPr>
        <w:t>第九条</w:t>
      </w:r>
      <w:r>
        <w:rPr>
          <w:rFonts w:eastAsia="方正仿宋_GBK"/>
          <w:color w:val="000000"/>
          <w:kern w:val="0"/>
          <w:sz w:val="24"/>
        </w:rPr>
        <w:t xml:space="preserve"> </w:t>
      </w:r>
      <w:r>
        <w:rPr>
          <w:rFonts w:hint="eastAsia" w:eastAsia="方正仿宋_GBK"/>
          <w:color w:val="000000"/>
          <w:kern w:val="0"/>
          <w:sz w:val="24"/>
        </w:rPr>
        <w:t>申请四级资质的房地产开发企业必须符合下列条件：</w:t>
      </w:r>
      <w:r>
        <w:rPr>
          <w:rFonts w:hint="eastAsia" w:ascii="Times New Roman" w:hAnsi="Times New Roman" w:eastAsia="MingLiU_HKSCS" w:cs="MingLiU_HKSCS"/>
          <w:color w:val="000000"/>
          <w:kern w:val="0"/>
          <w:sz w:val="24"/>
        </w:rPr>
        <w:t xml:space="preserve"> </w:t>
      </w:r>
      <w:r>
        <w:rPr>
          <w:rFonts w:hint="eastAsia" w:eastAsia="方正仿宋_GBK"/>
          <w:color w:val="000000"/>
          <w:kern w:val="0"/>
          <w:sz w:val="24"/>
        </w:rPr>
        <w:t>　</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（一）从事房地产开发经营</w:t>
      </w:r>
      <w:r>
        <w:rPr>
          <w:rFonts w:eastAsia="方正仿宋_GBK"/>
          <w:color w:val="000000"/>
          <w:kern w:val="0"/>
          <w:sz w:val="24"/>
        </w:rPr>
        <w:t>1</w:t>
      </w:r>
      <w:r>
        <w:rPr>
          <w:rFonts w:hint="eastAsia" w:eastAsia="方正仿宋_GBK"/>
          <w:color w:val="000000"/>
          <w:kern w:val="0"/>
          <w:sz w:val="24"/>
        </w:rPr>
        <w:t>年以上；</w:t>
      </w:r>
      <w:r>
        <w:rPr>
          <w:rFonts w:hint="eastAsia" w:ascii="Times New Roman" w:hAnsi="Times New Roman" w:eastAsia="MingLiU_HKSCS" w:cs="MingLiU_HKSCS"/>
          <w:color w:val="000000"/>
          <w:kern w:val="0"/>
          <w:sz w:val="24"/>
        </w:rPr>
        <w:t xml:space="preserve"> </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（二）近</w:t>
      </w:r>
      <w:r>
        <w:rPr>
          <w:rFonts w:eastAsia="方正仿宋_GBK"/>
          <w:color w:val="000000"/>
          <w:kern w:val="0"/>
          <w:sz w:val="24"/>
        </w:rPr>
        <w:t>3</w:t>
      </w:r>
      <w:r>
        <w:rPr>
          <w:rFonts w:hint="eastAsia" w:eastAsia="方正仿宋_GBK"/>
          <w:color w:val="000000"/>
          <w:kern w:val="0"/>
          <w:sz w:val="24"/>
        </w:rPr>
        <w:t>年房屋建筑面积累计竣工</w:t>
      </w:r>
      <w:r>
        <w:rPr>
          <w:rFonts w:eastAsia="方正仿宋_GBK"/>
          <w:color w:val="000000"/>
          <w:kern w:val="0"/>
          <w:sz w:val="24"/>
        </w:rPr>
        <w:t>2</w:t>
      </w:r>
      <w:r>
        <w:rPr>
          <w:rFonts w:hint="eastAsia" w:eastAsia="方正仿宋_GBK"/>
          <w:color w:val="000000"/>
          <w:kern w:val="0"/>
          <w:sz w:val="24"/>
        </w:rPr>
        <w:t>万平方米以上，或者上一年房屋建筑面积竣工</w:t>
      </w:r>
      <w:r>
        <w:rPr>
          <w:rFonts w:eastAsia="方正仿宋_GBK"/>
          <w:color w:val="000000"/>
          <w:kern w:val="0"/>
          <w:sz w:val="24"/>
        </w:rPr>
        <w:t>1</w:t>
      </w:r>
      <w:r>
        <w:rPr>
          <w:rFonts w:hint="eastAsia" w:eastAsia="方正仿宋_GBK"/>
          <w:color w:val="000000"/>
          <w:kern w:val="0"/>
          <w:sz w:val="24"/>
        </w:rPr>
        <w:t>万平方米以上；</w:t>
      </w:r>
      <w:r>
        <w:rPr>
          <w:rFonts w:hint="eastAsia" w:ascii="Times New Roman" w:hAnsi="Times New Roman" w:eastAsia="MingLiU_HKSCS" w:cs="MingLiU_HKSCS"/>
          <w:color w:val="000000"/>
          <w:kern w:val="0"/>
          <w:sz w:val="24"/>
        </w:rPr>
        <w:t xml:space="preserve"> </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（三）近</w:t>
      </w:r>
      <w:r>
        <w:rPr>
          <w:rFonts w:eastAsia="方正仿宋_GBK"/>
          <w:color w:val="000000"/>
          <w:kern w:val="0"/>
          <w:sz w:val="24"/>
        </w:rPr>
        <w:t>3</w:t>
      </w:r>
      <w:r>
        <w:rPr>
          <w:rFonts w:hint="eastAsia" w:eastAsia="方正仿宋_GBK"/>
          <w:color w:val="000000"/>
          <w:kern w:val="0"/>
          <w:sz w:val="24"/>
        </w:rPr>
        <w:t>年累计完成房地产开发投资额</w:t>
      </w:r>
      <w:r>
        <w:rPr>
          <w:rFonts w:eastAsia="方正仿宋_GBK"/>
          <w:color w:val="000000"/>
          <w:kern w:val="0"/>
          <w:sz w:val="24"/>
        </w:rPr>
        <w:t>2000</w:t>
      </w:r>
      <w:r>
        <w:rPr>
          <w:rFonts w:hint="eastAsia" w:eastAsia="方正仿宋_GBK"/>
          <w:color w:val="000000"/>
          <w:kern w:val="0"/>
          <w:sz w:val="24"/>
        </w:rPr>
        <w:t>万元以上或者上一年完成房地产开发投资额</w:t>
      </w:r>
      <w:r>
        <w:rPr>
          <w:rFonts w:eastAsia="方正仿宋_GBK"/>
          <w:color w:val="000000"/>
          <w:kern w:val="0"/>
          <w:sz w:val="24"/>
        </w:rPr>
        <w:t>1000</w:t>
      </w:r>
      <w:r>
        <w:rPr>
          <w:rFonts w:hint="eastAsia" w:eastAsia="方正仿宋_GBK"/>
          <w:color w:val="000000"/>
          <w:kern w:val="0"/>
          <w:sz w:val="24"/>
        </w:rPr>
        <w:t>万元以上；</w:t>
      </w:r>
      <w:r>
        <w:rPr>
          <w:rFonts w:hint="eastAsia" w:ascii="Times New Roman" w:hAnsi="Times New Roman" w:eastAsia="MingLiU_HKSCS" w:cs="MingLiU_HKSCS"/>
          <w:color w:val="000000"/>
          <w:kern w:val="0"/>
          <w:sz w:val="24"/>
        </w:rPr>
        <w:t xml:space="preserve"> </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（四）已竣工的建筑工程质量合格率达</w:t>
      </w:r>
      <w:r>
        <w:rPr>
          <w:rFonts w:eastAsia="方正仿宋_GBK"/>
          <w:color w:val="000000"/>
          <w:kern w:val="0"/>
          <w:sz w:val="24"/>
        </w:rPr>
        <w:t>100%</w:t>
      </w:r>
      <w:r>
        <w:rPr>
          <w:rFonts w:hint="eastAsia" w:eastAsia="方正仿宋_GBK"/>
          <w:color w:val="000000"/>
          <w:kern w:val="0"/>
          <w:sz w:val="24"/>
        </w:rPr>
        <w:t>；</w:t>
      </w:r>
      <w:r>
        <w:rPr>
          <w:rFonts w:hint="eastAsia" w:ascii="Times New Roman" w:hAnsi="Times New Roman" w:eastAsia="MingLiU_HKSCS" w:cs="MingLiU_HKSCS"/>
          <w:color w:val="000000"/>
          <w:kern w:val="0"/>
          <w:sz w:val="24"/>
        </w:rPr>
        <w:t xml:space="preserve"> </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（五）有专业技术职称的建筑、结构、财务、房地产及有关经济类的专业管理人员不少于</w:t>
      </w:r>
      <w:r>
        <w:rPr>
          <w:rFonts w:eastAsia="方正仿宋_GBK"/>
          <w:color w:val="000000"/>
          <w:kern w:val="0"/>
          <w:sz w:val="24"/>
        </w:rPr>
        <w:t>5</w:t>
      </w:r>
      <w:r>
        <w:rPr>
          <w:rFonts w:hint="eastAsia" w:eastAsia="方正仿宋_GBK"/>
          <w:color w:val="000000"/>
          <w:kern w:val="0"/>
          <w:sz w:val="24"/>
        </w:rPr>
        <w:t>人，持有资格证书的专职会计人员不少于</w:t>
      </w:r>
      <w:r>
        <w:rPr>
          <w:rFonts w:eastAsia="方正仿宋_GBK"/>
          <w:color w:val="000000"/>
          <w:kern w:val="0"/>
          <w:sz w:val="24"/>
        </w:rPr>
        <w:t>2</w:t>
      </w:r>
      <w:r>
        <w:rPr>
          <w:rFonts w:hint="eastAsia" w:eastAsia="方正仿宋_GBK"/>
          <w:color w:val="000000"/>
          <w:kern w:val="0"/>
          <w:sz w:val="24"/>
        </w:rPr>
        <w:t>人；</w:t>
      </w:r>
      <w:r>
        <w:rPr>
          <w:rFonts w:hint="eastAsia" w:ascii="Times New Roman" w:hAnsi="Times New Roman" w:eastAsia="MingLiU_HKSCS" w:cs="MingLiU_HKSCS"/>
          <w:color w:val="000000"/>
          <w:kern w:val="0"/>
          <w:sz w:val="24"/>
        </w:rPr>
        <w:t xml:space="preserve"> </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（六）工程技术负责人具有相应专业中级以上职称，财务负责人具有相应专业初级以上职称，配有专业统计人员；</w:t>
      </w:r>
      <w:r>
        <w:rPr>
          <w:rFonts w:hint="eastAsia" w:ascii="Times New Roman" w:hAnsi="Times New Roman" w:eastAsia="MingLiU_HKSCS" w:cs="MingLiU_HKSCS"/>
          <w:color w:val="000000"/>
          <w:kern w:val="0"/>
          <w:sz w:val="24"/>
        </w:rPr>
        <w:t xml:space="preserve"> </w:t>
      </w:r>
      <w:r>
        <w:rPr>
          <w:rFonts w:hint="eastAsia" w:eastAsia="方正仿宋_GBK"/>
          <w:color w:val="000000"/>
          <w:kern w:val="0"/>
          <w:sz w:val="24"/>
        </w:rPr>
        <w:t>　</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（八）具有完善的质量保证体系，商品住宅销售中实行了《住宅质量保证书》和《住宅使用说明书》制度；</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（七）未发生过重大工程质量事故。</w:t>
      </w:r>
      <w:r>
        <w:rPr>
          <w:rFonts w:hint="eastAsia" w:ascii="Times New Roman" w:hAnsi="Times New Roman" w:eastAsia="MingLiU_HKSCS" w:cs="MingLiU_HKSCS"/>
          <w:color w:val="000000"/>
          <w:kern w:val="0"/>
          <w:sz w:val="24"/>
        </w:rPr>
        <w:t xml:space="preserve"> </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前款第（二）、第（三）项所列条件，房地产开发企业具备其中一项即可。</w:t>
      </w:r>
      <w:r>
        <w:rPr>
          <w:rFonts w:hint="eastAsia" w:ascii="Times New Roman" w:hAnsi="Times New Roman" w:eastAsia="MingLiU_HKSCS" w:cs="MingLiU_HKSCS"/>
          <w:color w:val="000000"/>
          <w:kern w:val="0"/>
          <w:sz w:val="24"/>
        </w:rPr>
        <w:t xml:space="preserve"> </w:t>
      </w:r>
      <w:r>
        <w:rPr>
          <w:rFonts w:hint="eastAsia" w:eastAsia="方正仿宋_GBK"/>
          <w:color w:val="000000"/>
          <w:kern w:val="0"/>
          <w:sz w:val="24"/>
        </w:rPr>
        <w:t>　</w:t>
      </w:r>
    </w:p>
    <w:p>
      <w:pPr>
        <w:shd w:val="clear" w:color="auto" w:fill="FFFFFF"/>
        <w:spacing w:line="460" w:lineRule="exact"/>
        <w:ind w:firstLine="480" w:firstLineChars="200"/>
        <w:rPr>
          <w:rFonts w:eastAsia="方正仿宋_GBK"/>
          <w:color w:val="000000"/>
          <w:kern w:val="0"/>
          <w:sz w:val="24"/>
        </w:rPr>
      </w:pPr>
      <w:r>
        <w:rPr>
          <w:rFonts w:hint="eastAsia" w:eastAsia="方正黑体_GBK"/>
          <w:color w:val="000000"/>
          <w:kern w:val="0"/>
          <w:sz w:val="24"/>
        </w:rPr>
        <w:t>第十条</w:t>
      </w:r>
      <w:r>
        <w:rPr>
          <w:rFonts w:eastAsia="方正仿宋_GBK"/>
          <w:color w:val="000000"/>
          <w:kern w:val="0"/>
          <w:sz w:val="24"/>
        </w:rPr>
        <w:t xml:space="preserve"> </w:t>
      </w:r>
      <w:r>
        <w:rPr>
          <w:rFonts w:hint="eastAsia" w:eastAsia="方正仿宋_GBK"/>
          <w:color w:val="000000"/>
          <w:kern w:val="0"/>
          <w:sz w:val="24"/>
        </w:rPr>
        <w:t>临时聘用或者兼职的管理、技术人员不得列入企业管理、技术人员总数。</w:t>
      </w:r>
    </w:p>
    <w:p>
      <w:pPr>
        <w:shd w:val="clear" w:color="auto" w:fill="FFFFFF"/>
        <w:spacing w:line="460" w:lineRule="exact"/>
        <w:ind w:firstLine="480" w:firstLineChars="200"/>
        <w:rPr>
          <w:rFonts w:eastAsia="方正仿宋_GBK"/>
          <w:color w:val="000000"/>
          <w:kern w:val="0"/>
          <w:sz w:val="24"/>
        </w:rPr>
      </w:pPr>
      <w:r>
        <w:rPr>
          <w:rFonts w:hint="eastAsia" w:eastAsia="方正黑体_GBK"/>
          <w:color w:val="000000"/>
          <w:kern w:val="0"/>
          <w:sz w:val="24"/>
        </w:rPr>
        <w:t>第十一条</w:t>
      </w:r>
      <w:r>
        <w:rPr>
          <w:rFonts w:eastAsia="方正仿宋_GBK"/>
          <w:color w:val="000000"/>
          <w:kern w:val="0"/>
          <w:sz w:val="24"/>
        </w:rPr>
        <w:t xml:space="preserve"> </w:t>
      </w:r>
      <w:r>
        <w:rPr>
          <w:rFonts w:hint="eastAsia" w:eastAsia="方正仿宋_GBK"/>
          <w:color w:val="000000"/>
          <w:kern w:val="0"/>
          <w:sz w:val="24"/>
        </w:rPr>
        <w:t>新设立的房地产开发企业应当自领取营业执照之日起</w:t>
      </w:r>
      <w:r>
        <w:rPr>
          <w:rFonts w:eastAsia="方正仿宋_GBK"/>
          <w:color w:val="000000"/>
          <w:kern w:val="0"/>
          <w:sz w:val="24"/>
        </w:rPr>
        <w:t>30</w:t>
      </w:r>
      <w:r>
        <w:rPr>
          <w:rFonts w:hint="eastAsia" w:eastAsia="方正仿宋_GBK"/>
          <w:color w:val="000000"/>
          <w:kern w:val="0"/>
          <w:sz w:val="24"/>
        </w:rPr>
        <w:t>日内，持下列文件到登记机关所在地房地产开发主管部门申请办理备案手续；</w:t>
      </w:r>
      <w:r>
        <w:rPr>
          <w:rFonts w:hint="eastAsia" w:ascii="Times New Roman" w:hAnsi="Times New Roman" w:eastAsia="MingLiU_HKSCS" w:cs="MingLiU_HKSCS"/>
          <w:color w:val="000000"/>
          <w:kern w:val="0"/>
          <w:sz w:val="24"/>
        </w:rPr>
        <w:t xml:space="preserve"> </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（一）房地产开发企业资质申请报告；</w:t>
      </w:r>
      <w:r>
        <w:rPr>
          <w:rFonts w:hint="eastAsia" w:ascii="Times New Roman" w:hAnsi="Times New Roman" w:eastAsia="MingLiU_HKSCS" w:cs="MingLiU_HKSCS"/>
          <w:color w:val="000000"/>
          <w:kern w:val="0"/>
          <w:sz w:val="24"/>
        </w:rPr>
        <w:t xml:space="preserve"> </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（二）房地产开发企业资质申报表（</w:t>
      </w:r>
      <w:r>
        <w:rPr>
          <w:rFonts w:eastAsia="方正仿宋_GBK"/>
          <w:color w:val="000000"/>
          <w:kern w:val="0"/>
          <w:sz w:val="24"/>
        </w:rPr>
        <w:t>4</w:t>
      </w:r>
      <w:r>
        <w:rPr>
          <w:rFonts w:hint="eastAsia" w:eastAsia="方正仿宋_GBK"/>
          <w:color w:val="000000"/>
          <w:kern w:val="0"/>
          <w:sz w:val="24"/>
        </w:rPr>
        <w:t>份）；</w:t>
      </w:r>
      <w:r>
        <w:rPr>
          <w:rFonts w:hint="eastAsia" w:ascii="Times New Roman" w:hAnsi="Times New Roman" w:eastAsia="MingLiU_HKSCS" w:cs="MingLiU_HKSCS"/>
          <w:color w:val="000000"/>
          <w:kern w:val="0"/>
          <w:sz w:val="24"/>
        </w:rPr>
        <w:t xml:space="preserve"> </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（三）营业执照；</w:t>
      </w:r>
      <w:r>
        <w:rPr>
          <w:rFonts w:hint="eastAsia" w:ascii="Times New Roman" w:hAnsi="Times New Roman" w:eastAsia="MingLiU_HKSCS" w:cs="MingLiU_HKSCS"/>
          <w:color w:val="000000"/>
          <w:kern w:val="0"/>
          <w:sz w:val="24"/>
        </w:rPr>
        <w:t xml:space="preserve"> </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（四）企业章程；</w:t>
      </w:r>
      <w:r>
        <w:rPr>
          <w:rFonts w:hint="eastAsia" w:ascii="Times New Roman" w:hAnsi="Times New Roman" w:eastAsia="MingLiU_HKSCS" w:cs="MingLiU_HKSCS"/>
          <w:color w:val="000000"/>
          <w:kern w:val="0"/>
          <w:sz w:val="24"/>
        </w:rPr>
        <w:t xml:space="preserve">  </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（五）企业法定代表人的个人简历；</w:t>
      </w:r>
      <w:r>
        <w:rPr>
          <w:rFonts w:hint="eastAsia" w:ascii="Times New Roman" w:hAnsi="Times New Roman" w:eastAsia="MingLiU_HKSCS" w:cs="MingLiU_HKSCS"/>
          <w:color w:val="000000"/>
          <w:kern w:val="0"/>
          <w:sz w:val="24"/>
        </w:rPr>
        <w:t xml:space="preserve"> </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（六）企业董事会成员、部分负责人的任职文件、个人简历；</w:t>
      </w:r>
      <w:r>
        <w:rPr>
          <w:rFonts w:hint="eastAsia" w:ascii="Times New Roman" w:hAnsi="Times New Roman" w:eastAsia="MingLiU_HKSCS" w:cs="MingLiU_HKSCS"/>
          <w:color w:val="000000"/>
          <w:kern w:val="0"/>
          <w:sz w:val="24"/>
        </w:rPr>
        <w:t xml:space="preserve"> </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（七）专业技术人员的职称证书、劳动</w:t>
      </w:r>
      <w:r>
        <w:fldChar w:fldCharType="begin"/>
      </w:r>
      <w:r>
        <w:instrText xml:space="preserve"> </w:instrText>
      </w:r>
      <w:r>
        <w:rPr>
          <w:rFonts w:hint="eastAsia"/>
        </w:rPr>
        <w:instrText xml:space="preserve">HYPERLINK "http://www.jianshe99.com/web/zhuanyeziliao/hetongfanben/" \o "合同" \t "_blank"</w:instrText>
      </w:r>
      <w:r>
        <w:instrText xml:space="preserve"> </w:instrText>
      </w:r>
      <w:r>
        <w:fldChar w:fldCharType="separate"/>
      </w:r>
      <w:r>
        <w:rPr>
          <w:rStyle w:val="16"/>
          <w:rFonts w:hint="eastAsia" w:eastAsia="方正仿宋_GBK"/>
          <w:kern w:val="0"/>
          <w:sz w:val="24"/>
        </w:rPr>
        <w:t>合同</w:t>
      </w:r>
      <w:r>
        <w:fldChar w:fldCharType="end"/>
      </w:r>
      <w:r>
        <w:rPr>
          <w:rFonts w:hint="eastAsia" w:eastAsia="方正仿宋_GBK"/>
          <w:color w:val="000000"/>
          <w:kern w:val="0"/>
          <w:sz w:val="24"/>
        </w:rPr>
        <w:t>；</w:t>
      </w:r>
      <w:r>
        <w:rPr>
          <w:rFonts w:hint="eastAsia" w:ascii="Times New Roman" w:hAnsi="Times New Roman" w:eastAsia="MingLiU_HKSCS" w:cs="MingLiU_HKSCS"/>
          <w:color w:val="000000"/>
          <w:kern w:val="0"/>
          <w:sz w:val="24"/>
        </w:rPr>
        <w:t xml:space="preserve"> </w:t>
      </w:r>
      <w:r>
        <w:rPr>
          <w:rFonts w:hint="eastAsia" w:eastAsia="方正仿宋_GBK"/>
          <w:color w:val="000000"/>
          <w:kern w:val="0"/>
          <w:sz w:val="24"/>
        </w:rPr>
        <w:t>　</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（八）拟开发项目相关文本文件。</w:t>
      </w:r>
      <w:r>
        <w:rPr>
          <w:rFonts w:hint="eastAsia" w:ascii="Times New Roman" w:hAnsi="Times New Roman" w:eastAsia="MingLiU_HKSCS" w:cs="MingLiU_HKSCS"/>
          <w:color w:val="000000"/>
          <w:kern w:val="0"/>
          <w:sz w:val="24"/>
        </w:rPr>
        <w:t xml:space="preserve"> </w:t>
      </w:r>
    </w:p>
    <w:p>
      <w:pPr>
        <w:shd w:val="clear" w:color="auto" w:fill="FFFFFF"/>
        <w:spacing w:line="460" w:lineRule="exact"/>
        <w:ind w:firstLine="480" w:firstLineChars="200"/>
        <w:rPr>
          <w:rFonts w:eastAsia="方正仿宋_GBK"/>
          <w:color w:val="000000"/>
          <w:kern w:val="0"/>
          <w:sz w:val="24"/>
        </w:rPr>
      </w:pPr>
      <w:r>
        <w:rPr>
          <w:rFonts w:hint="eastAsia" w:eastAsia="方正黑体_GBK"/>
          <w:color w:val="000000"/>
          <w:kern w:val="0"/>
          <w:sz w:val="24"/>
        </w:rPr>
        <w:t>第十二条</w:t>
      </w:r>
      <w:r>
        <w:rPr>
          <w:rFonts w:eastAsia="方正仿宋_GBK"/>
          <w:color w:val="000000"/>
          <w:kern w:val="0"/>
          <w:sz w:val="24"/>
        </w:rPr>
        <w:t xml:space="preserve"> </w:t>
      </w:r>
      <w:r>
        <w:rPr>
          <w:rFonts w:hint="eastAsia" w:eastAsia="方正仿宋_GBK"/>
          <w:color w:val="000000"/>
          <w:kern w:val="0"/>
          <w:sz w:val="24"/>
        </w:rPr>
        <w:t>企业登记机关所在地的房地产开发主管部门应当在收到备案申请后</w:t>
      </w:r>
      <w:r>
        <w:rPr>
          <w:rFonts w:eastAsia="方正仿宋_GBK"/>
          <w:color w:val="000000"/>
          <w:kern w:val="0"/>
          <w:sz w:val="24"/>
        </w:rPr>
        <w:t>15</w:t>
      </w:r>
      <w:r>
        <w:rPr>
          <w:rFonts w:hint="eastAsia" w:eastAsia="方正仿宋_GBK"/>
          <w:color w:val="000000"/>
          <w:kern w:val="0"/>
          <w:sz w:val="24"/>
        </w:rPr>
        <w:t>个工作日内对申请备案的企业给予备案文件是否齐全的答复。备案文件齐全的企业经济设区的市房地产开发主管部门初审同意后，报送省建设行政主管部门核发相应等级</w:t>
      </w:r>
      <w:r>
        <w:fldChar w:fldCharType="begin"/>
      </w:r>
      <w:r>
        <w:instrText xml:space="preserve"> </w:instrText>
      </w:r>
      <w:r>
        <w:rPr>
          <w:rFonts w:hint="eastAsia"/>
        </w:rPr>
        <w:instrText xml:space="preserve">HYPERLINK "http://www.jianshe99.com/web/zhuanyeziliao/biaozhunguifan/" \o "标准" \t "_blank"</w:instrText>
      </w:r>
      <w:r>
        <w:instrText xml:space="preserve"> </w:instrText>
      </w:r>
      <w:r>
        <w:fldChar w:fldCharType="separate"/>
      </w:r>
      <w:r>
        <w:rPr>
          <w:rStyle w:val="16"/>
          <w:rFonts w:hint="eastAsia" w:eastAsia="方正仿宋_GBK"/>
          <w:kern w:val="0"/>
          <w:sz w:val="24"/>
        </w:rPr>
        <w:t>标准</w:t>
      </w:r>
      <w:r>
        <w:fldChar w:fldCharType="end"/>
      </w:r>
      <w:r>
        <w:rPr>
          <w:rFonts w:hint="eastAsia" w:eastAsia="方正仿宋_GBK"/>
          <w:color w:val="000000"/>
          <w:kern w:val="0"/>
          <w:sz w:val="24"/>
        </w:rPr>
        <w:t>的《暂定资质证书》。</w:t>
      </w:r>
      <w:r>
        <w:rPr>
          <w:rFonts w:hint="eastAsia" w:ascii="Times New Roman" w:hAnsi="Times New Roman" w:eastAsia="MingLiU_HKSCS" w:cs="MingLiU_HKSCS"/>
          <w:color w:val="000000"/>
          <w:kern w:val="0"/>
          <w:sz w:val="24"/>
        </w:rPr>
        <w:t xml:space="preserve"> </w:t>
      </w:r>
    </w:p>
    <w:p>
      <w:pPr>
        <w:shd w:val="clear" w:color="auto" w:fill="FFFFFF"/>
        <w:spacing w:line="460" w:lineRule="exact"/>
        <w:ind w:firstLine="480" w:firstLineChars="200"/>
        <w:rPr>
          <w:rFonts w:eastAsia="方正仿宋_GBK"/>
          <w:color w:val="000000"/>
          <w:kern w:val="0"/>
          <w:sz w:val="24"/>
        </w:rPr>
      </w:pPr>
      <w:r>
        <w:rPr>
          <w:rFonts w:hint="eastAsia" w:eastAsia="方正黑体_GBK"/>
          <w:color w:val="000000"/>
          <w:kern w:val="0"/>
          <w:sz w:val="24"/>
        </w:rPr>
        <w:t>第十三条</w:t>
      </w:r>
      <w:r>
        <w:rPr>
          <w:rFonts w:eastAsia="方正仿宋_GBK"/>
          <w:color w:val="000000"/>
          <w:kern w:val="0"/>
          <w:sz w:val="24"/>
        </w:rPr>
        <w:t xml:space="preserve"> </w:t>
      </w:r>
      <w:r>
        <w:rPr>
          <w:rFonts w:hint="eastAsia" w:eastAsia="方正仿宋_GBK"/>
          <w:color w:val="000000"/>
          <w:kern w:val="0"/>
          <w:sz w:val="24"/>
        </w:rPr>
        <w:t>申请《暂定资质证书》的条件不得低于四级资质企业的条件。</w:t>
      </w:r>
      <w:r>
        <w:rPr>
          <w:rFonts w:hint="eastAsia" w:ascii="Times New Roman" w:hAnsi="Times New Roman" w:eastAsia="MingLiU_HKSCS" w:cs="MingLiU_HKSCS"/>
          <w:color w:val="000000"/>
          <w:kern w:val="0"/>
          <w:sz w:val="24"/>
        </w:rPr>
        <w:t xml:space="preserve"> </w:t>
      </w:r>
      <w:r>
        <w:rPr>
          <w:rFonts w:hint="eastAsia" w:eastAsia="方正仿宋_GBK"/>
          <w:color w:val="000000"/>
          <w:kern w:val="0"/>
          <w:sz w:val="24"/>
        </w:rPr>
        <w:t>《暂定资质证书》有效期</w:t>
      </w:r>
      <w:r>
        <w:rPr>
          <w:rFonts w:eastAsia="方正仿宋_GBK"/>
          <w:color w:val="000000"/>
          <w:kern w:val="0"/>
          <w:sz w:val="24"/>
        </w:rPr>
        <w:t>1</w:t>
      </w:r>
      <w:r>
        <w:rPr>
          <w:rFonts w:hint="eastAsia" w:eastAsia="方正仿宋_GBK"/>
          <w:color w:val="000000"/>
          <w:kern w:val="0"/>
          <w:sz w:val="24"/>
        </w:rPr>
        <w:t>年。自领取《暂定资质证书》之日起</w:t>
      </w:r>
      <w:r>
        <w:rPr>
          <w:rFonts w:eastAsia="方正仿宋_GBK"/>
          <w:color w:val="000000"/>
          <w:kern w:val="0"/>
          <w:sz w:val="24"/>
        </w:rPr>
        <w:t>1</w:t>
      </w:r>
      <w:r>
        <w:rPr>
          <w:rFonts w:hint="eastAsia" w:eastAsia="方正仿宋_GBK"/>
          <w:color w:val="000000"/>
          <w:kern w:val="0"/>
          <w:sz w:val="24"/>
        </w:rPr>
        <w:t>年内无开发项目的《暂定资质证书》有效期不得延长。</w:t>
      </w:r>
    </w:p>
    <w:p>
      <w:pPr>
        <w:shd w:val="clear" w:color="auto" w:fill="FFFFFF"/>
        <w:spacing w:line="460" w:lineRule="exact"/>
        <w:ind w:firstLine="480" w:firstLineChars="200"/>
        <w:rPr>
          <w:rFonts w:eastAsia="方正仿宋_GBK"/>
          <w:color w:val="000000"/>
          <w:kern w:val="0"/>
          <w:sz w:val="24"/>
        </w:rPr>
      </w:pPr>
      <w:r>
        <w:rPr>
          <w:rFonts w:hint="eastAsia" w:eastAsia="方正黑体_GBK"/>
          <w:color w:val="000000"/>
          <w:kern w:val="0"/>
          <w:sz w:val="24"/>
        </w:rPr>
        <w:t>第十四条</w:t>
      </w:r>
      <w:r>
        <w:rPr>
          <w:rFonts w:eastAsia="方正仿宋_GBK"/>
          <w:color w:val="000000"/>
          <w:kern w:val="0"/>
          <w:sz w:val="24"/>
        </w:rPr>
        <w:t xml:space="preserve"> </w:t>
      </w:r>
      <w:r>
        <w:rPr>
          <w:rFonts w:hint="eastAsia" w:eastAsia="方正仿宋_GBK"/>
          <w:color w:val="000000"/>
          <w:kern w:val="0"/>
          <w:sz w:val="24"/>
        </w:rPr>
        <w:t>房地产开发企业应当在《暂定资质证书》有效期满前</w:t>
      </w:r>
      <w:r>
        <w:rPr>
          <w:rFonts w:eastAsia="方正仿宋_GBK"/>
          <w:color w:val="000000"/>
          <w:kern w:val="0"/>
          <w:sz w:val="24"/>
        </w:rPr>
        <w:t>1</w:t>
      </w:r>
      <w:r>
        <w:rPr>
          <w:rFonts w:hint="eastAsia" w:eastAsia="方正仿宋_GBK"/>
          <w:color w:val="000000"/>
          <w:kern w:val="0"/>
          <w:sz w:val="24"/>
        </w:rPr>
        <w:t>个月内，向登记机关所在地的房地产开发主管部门申请延长《暂定资质证书》有效期或核定资质等级。</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省建设行政主管部门应当根据设区的市房地产开发主管部门初审意见和企业开发经营情况给予企业延长《暂定资质证书》</w:t>
      </w:r>
      <w:r>
        <w:rPr>
          <w:rFonts w:eastAsia="方正仿宋_GBK"/>
          <w:color w:val="000000"/>
          <w:kern w:val="0"/>
          <w:sz w:val="24"/>
        </w:rPr>
        <w:t>1</w:t>
      </w:r>
      <w:r>
        <w:rPr>
          <w:rFonts w:hint="eastAsia" w:eastAsia="方正仿宋_GBK"/>
          <w:color w:val="000000"/>
          <w:kern w:val="0"/>
          <w:sz w:val="24"/>
        </w:rPr>
        <w:t>年有效期或核定相应的资质等级。</w:t>
      </w:r>
    </w:p>
    <w:p>
      <w:pPr>
        <w:shd w:val="clear" w:color="auto" w:fill="FFFFFF"/>
        <w:spacing w:line="460" w:lineRule="exact"/>
        <w:ind w:firstLine="480" w:firstLineChars="200"/>
        <w:rPr>
          <w:rFonts w:eastAsia="方正仿宋_GBK"/>
          <w:color w:val="000000"/>
          <w:kern w:val="0"/>
          <w:sz w:val="24"/>
        </w:rPr>
      </w:pPr>
      <w:r>
        <w:rPr>
          <w:rFonts w:hint="eastAsia" w:eastAsia="方正黑体_GBK"/>
          <w:color w:val="000000"/>
          <w:kern w:val="0"/>
          <w:sz w:val="24"/>
        </w:rPr>
        <w:t>第十五条</w:t>
      </w:r>
      <w:r>
        <w:rPr>
          <w:rFonts w:eastAsia="方正仿宋_GBK"/>
          <w:color w:val="000000"/>
          <w:kern w:val="0"/>
          <w:sz w:val="24"/>
        </w:rPr>
        <w:t xml:space="preserve"> </w:t>
      </w:r>
      <w:r>
        <w:rPr>
          <w:rFonts w:hint="eastAsia" w:eastAsia="方正仿宋_GBK"/>
          <w:color w:val="000000"/>
          <w:kern w:val="0"/>
          <w:sz w:val="24"/>
        </w:rPr>
        <w:t>申请延长《暂定资质证书》有效期的房地产开发企业应当提交下列证明文件：</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（一）企业申请延长有效期的报告；</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（二）房地产开发企业资质申报表（</w:t>
      </w:r>
      <w:r>
        <w:rPr>
          <w:rFonts w:eastAsia="方正仿宋_GBK"/>
          <w:color w:val="000000"/>
          <w:kern w:val="0"/>
          <w:sz w:val="24"/>
        </w:rPr>
        <w:t>4</w:t>
      </w:r>
      <w:r>
        <w:rPr>
          <w:rFonts w:hint="eastAsia" w:eastAsia="方正仿宋_GBK"/>
          <w:color w:val="000000"/>
          <w:kern w:val="0"/>
          <w:sz w:val="24"/>
        </w:rPr>
        <w:t>份）；</w:t>
      </w:r>
      <w:r>
        <w:rPr>
          <w:rFonts w:hint="eastAsia" w:ascii="Times New Roman" w:hAnsi="Times New Roman" w:eastAsia="MingLiU_HKSCS" w:cs="MingLiU_HKSCS"/>
          <w:color w:val="000000"/>
          <w:kern w:val="0"/>
          <w:sz w:val="24"/>
        </w:rPr>
        <w:t xml:space="preserve"> </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（三）企业资产负债表和审计报告（原件留档）；</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（四）项目立项文件。</w:t>
      </w:r>
      <w:r>
        <w:rPr>
          <w:rFonts w:hint="eastAsia" w:ascii="Times New Roman" w:hAnsi="Times New Roman" w:eastAsia="MingLiU_HKSCS" w:cs="MingLiU_HKSCS"/>
          <w:color w:val="000000"/>
          <w:kern w:val="0"/>
          <w:sz w:val="24"/>
        </w:rPr>
        <w:t xml:space="preserve"> </w:t>
      </w:r>
    </w:p>
    <w:p>
      <w:pPr>
        <w:shd w:val="clear" w:color="auto" w:fill="FFFFFF"/>
        <w:spacing w:line="460" w:lineRule="exact"/>
        <w:ind w:firstLine="480" w:firstLineChars="200"/>
        <w:rPr>
          <w:rFonts w:eastAsia="方正仿宋_GBK"/>
          <w:color w:val="000000"/>
          <w:kern w:val="0"/>
          <w:sz w:val="24"/>
        </w:rPr>
      </w:pPr>
      <w:r>
        <w:rPr>
          <w:rFonts w:hint="eastAsia" w:eastAsia="方正黑体_GBK"/>
          <w:color w:val="000000"/>
          <w:kern w:val="0"/>
          <w:sz w:val="24"/>
        </w:rPr>
        <w:t>第十六条</w:t>
      </w:r>
      <w:r>
        <w:rPr>
          <w:rFonts w:eastAsia="方正仿宋_GBK"/>
          <w:color w:val="000000"/>
          <w:kern w:val="0"/>
          <w:sz w:val="24"/>
        </w:rPr>
        <w:t xml:space="preserve"> </w:t>
      </w:r>
      <w:r>
        <w:rPr>
          <w:rFonts w:hint="eastAsia" w:eastAsia="方正仿宋_GBK"/>
          <w:color w:val="000000"/>
          <w:kern w:val="0"/>
          <w:sz w:val="24"/>
        </w:rPr>
        <w:t>申请核定资质等级的房地产开发企业应当提交下列证明文件：</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（一）企业申请核定资质等级报告；</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（二）房地产开发企业资质申报表（</w:t>
      </w:r>
      <w:r>
        <w:rPr>
          <w:rFonts w:eastAsia="方正仿宋_GBK"/>
          <w:color w:val="000000"/>
          <w:kern w:val="0"/>
          <w:sz w:val="24"/>
        </w:rPr>
        <w:t>4</w:t>
      </w:r>
      <w:r>
        <w:rPr>
          <w:rFonts w:hint="eastAsia" w:eastAsia="方正仿宋_GBK"/>
          <w:color w:val="000000"/>
          <w:kern w:val="0"/>
          <w:sz w:val="24"/>
        </w:rPr>
        <w:t>份）；</w:t>
      </w:r>
      <w:r>
        <w:rPr>
          <w:rFonts w:hint="eastAsia" w:ascii="Times New Roman" w:hAnsi="Times New Roman" w:eastAsia="MingLiU_HKSCS" w:cs="MingLiU_HKSCS"/>
          <w:color w:val="000000"/>
          <w:kern w:val="0"/>
          <w:sz w:val="24"/>
        </w:rPr>
        <w:t xml:space="preserve"> </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（三）专业技术人员的职称证书、劳动合同和身份证；</w:t>
      </w:r>
      <w:r>
        <w:rPr>
          <w:rFonts w:hint="eastAsia" w:ascii="Times New Roman" w:hAnsi="Times New Roman" w:eastAsia="MingLiU_HKSCS" w:cs="MingLiU_HKSCS"/>
          <w:color w:val="000000"/>
          <w:kern w:val="0"/>
          <w:sz w:val="24"/>
        </w:rPr>
        <w:t xml:space="preserve"> </w:t>
      </w:r>
      <w:r>
        <w:rPr>
          <w:rFonts w:hint="eastAsia" w:eastAsia="方正仿宋_GBK"/>
          <w:color w:val="000000"/>
          <w:kern w:val="0"/>
          <w:sz w:val="24"/>
        </w:rPr>
        <w:t>　</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（四）已开发项目的立项、规划、土地批准文件及工程验收证明；</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（五）房地产开发项目手册及《住宅质量保证书》、《住宅使用说明书》执行情况报告。</w:t>
      </w:r>
    </w:p>
    <w:p>
      <w:pPr>
        <w:shd w:val="clear" w:color="auto" w:fill="FFFFFF"/>
        <w:spacing w:line="460" w:lineRule="exact"/>
        <w:ind w:firstLine="480" w:firstLineChars="200"/>
        <w:rPr>
          <w:rFonts w:eastAsia="方正仿宋_GBK"/>
          <w:color w:val="000000"/>
          <w:kern w:val="0"/>
          <w:sz w:val="24"/>
        </w:rPr>
      </w:pPr>
      <w:r>
        <w:rPr>
          <w:rFonts w:hint="eastAsia" w:eastAsia="方正黑体_GBK"/>
          <w:color w:val="000000"/>
          <w:kern w:val="0"/>
          <w:sz w:val="24"/>
        </w:rPr>
        <w:t>第十七条</w:t>
      </w:r>
      <w:r>
        <w:rPr>
          <w:rFonts w:eastAsia="方正仿宋_GBK"/>
          <w:color w:val="000000"/>
          <w:kern w:val="0"/>
          <w:sz w:val="24"/>
        </w:rPr>
        <w:t xml:space="preserve"> </w:t>
      </w:r>
      <w:r>
        <w:rPr>
          <w:rFonts w:hint="eastAsia" w:eastAsia="方正仿宋_GBK"/>
          <w:color w:val="000000"/>
          <w:kern w:val="0"/>
          <w:sz w:val="24"/>
        </w:rPr>
        <w:t>房地产开发企业资质等级实行分级审批。</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一级资质由省建设行政主管部门初审，报国务院建筑行政主管部门审批。</w:t>
      </w:r>
    </w:p>
    <w:p>
      <w:pPr>
        <w:spacing w:line="460" w:lineRule="exact"/>
        <w:ind w:firstLine="480" w:firstLineChars="200"/>
        <w:rPr>
          <w:rFonts w:eastAsia="方正仿宋_GBK"/>
          <w:color w:val="000000"/>
          <w:sz w:val="24"/>
        </w:rPr>
      </w:pPr>
      <w:r>
        <w:rPr>
          <w:rFonts w:eastAsia="方正仿宋_GBK"/>
          <w:color w:val="000000"/>
          <w:sz w:val="24"/>
        </w:rPr>
        <w:t xml:space="preserve"> “</w:t>
      </w:r>
      <w:r>
        <w:rPr>
          <w:rFonts w:hint="eastAsia" w:eastAsia="方正仿宋_GBK"/>
          <w:color w:val="000000"/>
          <w:sz w:val="24"/>
        </w:rPr>
        <w:t>二级资质和暂定二级资质由设区市房地产开发主管部门初审，报省建设行政主管部门审批，三、四级资质和暂定资质由设区市建设行政主管部门审批。</w:t>
      </w:r>
      <w:r>
        <w:rPr>
          <w:rFonts w:eastAsia="方正仿宋_GBK"/>
          <w:color w:val="000000"/>
          <w:sz w:val="24"/>
        </w:rPr>
        <w:t>”</w:t>
      </w:r>
      <w:r>
        <w:rPr>
          <w:rFonts w:hint="eastAsia" w:eastAsia="方正仿宋_GBK"/>
          <w:color w:val="000000"/>
          <w:sz w:val="24"/>
        </w:rPr>
        <w:t>经资质审查合格的企业，由资质审批部门发给相应等级的、由国务院建设行政主管部门统一制作的资质证书。</w:t>
      </w:r>
    </w:p>
    <w:p>
      <w:pPr>
        <w:spacing w:line="460" w:lineRule="exact"/>
        <w:ind w:firstLine="480" w:firstLineChars="200"/>
        <w:rPr>
          <w:rFonts w:eastAsia="方正仿宋_GBK"/>
          <w:color w:val="000000"/>
          <w:kern w:val="0"/>
          <w:sz w:val="24"/>
        </w:rPr>
      </w:pPr>
      <w:r>
        <w:rPr>
          <w:rFonts w:hint="eastAsia" w:eastAsia="方正黑体_GBK"/>
          <w:color w:val="000000"/>
          <w:kern w:val="0"/>
          <w:sz w:val="24"/>
        </w:rPr>
        <w:t>第十八条</w:t>
      </w:r>
      <w:r>
        <w:rPr>
          <w:rFonts w:eastAsia="方正仿宋_GBK"/>
          <w:color w:val="000000"/>
          <w:kern w:val="0"/>
          <w:sz w:val="24"/>
        </w:rPr>
        <w:t xml:space="preserve"> </w:t>
      </w:r>
      <w:r>
        <w:rPr>
          <w:rFonts w:hint="eastAsia" w:eastAsia="方正仿宋_GBK"/>
          <w:color w:val="000000"/>
          <w:kern w:val="0"/>
          <w:sz w:val="24"/>
        </w:rPr>
        <w:t>任何单位和个人不得涂改、出租、出借、转让、出卖资质证书。</w:t>
      </w:r>
      <w:r>
        <w:rPr>
          <w:rFonts w:hint="eastAsia" w:ascii="Times New Roman" w:hAnsi="Times New Roman" w:eastAsia="MingLiU_HKSCS" w:cs="MingLiU_HKSCS"/>
          <w:color w:val="000000"/>
          <w:kern w:val="0"/>
          <w:sz w:val="24"/>
        </w:rPr>
        <w:t xml:space="preserve"> </w:t>
      </w:r>
      <w:r>
        <w:rPr>
          <w:rFonts w:hint="eastAsia" w:eastAsia="方正仿宋_GBK"/>
          <w:color w:val="000000"/>
          <w:kern w:val="0"/>
          <w:sz w:val="24"/>
        </w:rPr>
        <w:t>企业遗失资质证书，必须在新闻媒体上声明作废后，方可向原资质审批部门申请补领。</w:t>
      </w:r>
    </w:p>
    <w:p>
      <w:pPr>
        <w:spacing w:line="460" w:lineRule="exact"/>
        <w:ind w:firstLine="480" w:firstLineChars="200"/>
        <w:rPr>
          <w:rFonts w:eastAsia="方正仿宋_GBK"/>
          <w:color w:val="000000"/>
          <w:kern w:val="0"/>
          <w:sz w:val="24"/>
        </w:rPr>
      </w:pPr>
      <w:r>
        <w:rPr>
          <w:rFonts w:hint="eastAsia" w:eastAsia="方正黑体_GBK"/>
          <w:color w:val="000000"/>
          <w:kern w:val="0"/>
          <w:sz w:val="24"/>
        </w:rPr>
        <w:t>第十九条</w:t>
      </w:r>
      <w:r>
        <w:rPr>
          <w:rFonts w:eastAsia="方正仿宋_GBK"/>
          <w:color w:val="000000"/>
          <w:kern w:val="0"/>
          <w:sz w:val="24"/>
        </w:rPr>
        <w:t xml:space="preserve"> </w:t>
      </w:r>
      <w:r>
        <w:rPr>
          <w:rFonts w:hint="eastAsia" w:eastAsia="方正仿宋_GBK"/>
          <w:color w:val="000000"/>
          <w:kern w:val="0"/>
          <w:sz w:val="24"/>
        </w:rPr>
        <w:t>企业发生分立、合并的，应当在向工商行政管理部门输变更手续后的</w:t>
      </w:r>
      <w:r>
        <w:rPr>
          <w:rFonts w:eastAsia="方正仿宋_GBK"/>
          <w:color w:val="000000"/>
          <w:kern w:val="0"/>
          <w:sz w:val="24"/>
        </w:rPr>
        <w:t>30</w:t>
      </w:r>
      <w:r>
        <w:rPr>
          <w:rFonts w:hint="eastAsia" w:eastAsia="方正仿宋_GBK"/>
          <w:color w:val="000000"/>
          <w:kern w:val="0"/>
          <w:sz w:val="24"/>
        </w:rPr>
        <w:t>日内，到原资质审批部门申请办理资质证书注销手续。分立、合并后需要重新申领资质证书的企业，应当按照本细则的规定重新申领。</w:t>
      </w:r>
      <w:r>
        <w:rPr>
          <w:rFonts w:hint="eastAsia" w:ascii="Times New Roman" w:hAnsi="Times New Roman" w:eastAsia="MingLiU_HKSCS" w:cs="MingLiU_HKSCS"/>
          <w:color w:val="000000"/>
          <w:kern w:val="0"/>
          <w:sz w:val="24"/>
        </w:rPr>
        <w:t xml:space="preserve"> </w:t>
      </w:r>
    </w:p>
    <w:p>
      <w:pPr>
        <w:shd w:val="clear" w:color="auto" w:fill="FFFFFF"/>
        <w:spacing w:line="460" w:lineRule="exact"/>
        <w:ind w:firstLine="480" w:firstLineChars="200"/>
        <w:rPr>
          <w:rFonts w:eastAsia="方正仿宋_GBK"/>
          <w:color w:val="000000"/>
          <w:kern w:val="0"/>
          <w:sz w:val="24"/>
        </w:rPr>
      </w:pPr>
      <w:r>
        <w:rPr>
          <w:rFonts w:hint="eastAsia" w:eastAsia="方正黑体_GBK"/>
          <w:color w:val="000000"/>
          <w:kern w:val="0"/>
          <w:sz w:val="24"/>
        </w:rPr>
        <w:t>第二十条</w:t>
      </w:r>
      <w:r>
        <w:rPr>
          <w:rFonts w:eastAsia="方正仿宋_GBK"/>
          <w:color w:val="000000"/>
          <w:kern w:val="0"/>
          <w:sz w:val="24"/>
        </w:rPr>
        <w:t xml:space="preserve"> </w:t>
      </w:r>
      <w:r>
        <w:rPr>
          <w:rFonts w:hint="eastAsia" w:eastAsia="方正仿宋_GBK"/>
          <w:color w:val="000000"/>
          <w:kern w:val="0"/>
          <w:sz w:val="24"/>
        </w:rPr>
        <w:t>企业变更名称、法定代表人和主要管理、技术负责人，应当在变更后</w:t>
      </w:r>
      <w:r>
        <w:rPr>
          <w:rFonts w:eastAsia="方正仿宋_GBK"/>
          <w:color w:val="000000"/>
          <w:kern w:val="0"/>
          <w:sz w:val="24"/>
        </w:rPr>
        <w:t>30</w:t>
      </w:r>
      <w:r>
        <w:rPr>
          <w:rFonts w:hint="eastAsia" w:eastAsia="方正仿宋_GBK"/>
          <w:color w:val="000000"/>
          <w:kern w:val="0"/>
          <w:sz w:val="24"/>
        </w:rPr>
        <w:t>个工作日内，向原资质审批部门申请办理相应事项的变更手续。</w:t>
      </w:r>
      <w:r>
        <w:rPr>
          <w:rFonts w:hint="eastAsia" w:ascii="Times New Roman" w:hAnsi="Times New Roman" w:eastAsia="MingLiU_HKSCS" w:cs="MingLiU_HKSCS"/>
          <w:color w:val="000000"/>
          <w:kern w:val="0"/>
          <w:sz w:val="24"/>
        </w:rPr>
        <w:t xml:space="preserve"> </w:t>
      </w:r>
    </w:p>
    <w:p>
      <w:pPr>
        <w:shd w:val="clear" w:color="auto" w:fill="FFFFFF"/>
        <w:spacing w:line="460" w:lineRule="exact"/>
        <w:ind w:firstLine="480" w:firstLineChars="200"/>
        <w:rPr>
          <w:rFonts w:eastAsia="方正仿宋_GBK"/>
          <w:color w:val="000000"/>
          <w:kern w:val="0"/>
          <w:sz w:val="24"/>
        </w:rPr>
      </w:pPr>
      <w:r>
        <w:rPr>
          <w:rFonts w:hint="eastAsia" w:eastAsia="方正黑体_GBK"/>
          <w:color w:val="000000"/>
          <w:kern w:val="0"/>
          <w:sz w:val="24"/>
        </w:rPr>
        <w:t>第二十一条</w:t>
      </w:r>
      <w:r>
        <w:rPr>
          <w:rFonts w:eastAsia="方正仿宋_GBK"/>
          <w:color w:val="000000"/>
          <w:kern w:val="0"/>
          <w:sz w:val="24"/>
        </w:rPr>
        <w:t xml:space="preserve"> </w:t>
      </w:r>
      <w:r>
        <w:rPr>
          <w:rFonts w:hint="eastAsia" w:eastAsia="方正仿宋_GBK"/>
          <w:color w:val="000000"/>
          <w:kern w:val="0"/>
          <w:sz w:val="24"/>
        </w:rPr>
        <w:t>企业破产、歇业或者因其他原因终止业务时，应当在向工商行政管理部门办理注销营业执照后</w:t>
      </w:r>
      <w:r>
        <w:rPr>
          <w:rFonts w:eastAsia="方正仿宋_GBK"/>
          <w:color w:val="000000"/>
          <w:kern w:val="0"/>
          <w:sz w:val="24"/>
        </w:rPr>
        <w:t>15</w:t>
      </w:r>
      <w:r>
        <w:rPr>
          <w:rFonts w:hint="eastAsia" w:eastAsia="方正仿宋_GBK"/>
          <w:color w:val="000000"/>
          <w:kern w:val="0"/>
          <w:sz w:val="24"/>
        </w:rPr>
        <w:t>个工作日内，到原资质审批部门注销资质证书。</w:t>
      </w:r>
    </w:p>
    <w:p>
      <w:pPr>
        <w:shd w:val="clear" w:color="auto" w:fill="FFFFFF"/>
        <w:spacing w:line="460" w:lineRule="exact"/>
        <w:ind w:firstLine="480" w:firstLineChars="200"/>
        <w:rPr>
          <w:rFonts w:eastAsia="方正仿宋_GBK"/>
          <w:color w:val="000000"/>
          <w:kern w:val="0"/>
          <w:sz w:val="24"/>
        </w:rPr>
      </w:pPr>
      <w:r>
        <w:rPr>
          <w:rFonts w:hint="eastAsia" w:eastAsia="方正黑体_GBK"/>
          <w:color w:val="000000"/>
          <w:kern w:val="0"/>
          <w:sz w:val="24"/>
        </w:rPr>
        <w:t>第二十二条</w:t>
      </w:r>
      <w:r>
        <w:rPr>
          <w:rFonts w:eastAsia="方正仿宋_GBK"/>
          <w:color w:val="000000"/>
          <w:kern w:val="0"/>
          <w:sz w:val="24"/>
        </w:rPr>
        <w:t xml:space="preserve"> </w:t>
      </w:r>
      <w:r>
        <w:rPr>
          <w:rFonts w:hint="eastAsia" w:eastAsia="方正仿宋_GBK"/>
          <w:color w:val="000000"/>
          <w:kern w:val="0"/>
          <w:sz w:val="24"/>
        </w:rPr>
        <w:t>房地产开发企业的资质实行年检制度。</w:t>
      </w:r>
      <w:r>
        <w:rPr>
          <w:rFonts w:hint="eastAsia" w:ascii="Times New Roman" w:hAnsi="Times New Roman" w:eastAsia="MingLiU_HKSCS" w:cs="MingLiU_HKSCS"/>
          <w:color w:val="000000"/>
          <w:kern w:val="0"/>
          <w:sz w:val="24"/>
        </w:rPr>
        <w:t xml:space="preserve"> </w:t>
      </w:r>
      <w:r>
        <w:rPr>
          <w:rFonts w:hint="eastAsia" w:eastAsia="方正仿宋_GBK"/>
          <w:color w:val="000000"/>
          <w:kern w:val="0"/>
          <w:sz w:val="24"/>
        </w:rPr>
        <w:t>房地产开发企业的资质年检按照《江苏省城市房地产开发企业资质年检管理办法》执行。</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对于年检中按条件应当予以升、降的企业，参照核定资质等级的程序和文件，经设区的市房地产开发主管部门初审，由省建设行政主管部门予以资质升、降级。</w:t>
      </w:r>
      <w:r>
        <w:rPr>
          <w:rFonts w:hint="eastAsia" w:ascii="Times New Roman" w:hAnsi="Times New Roman" w:eastAsia="MingLiU_HKSCS" w:cs="MingLiU_HKSCS"/>
          <w:color w:val="000000"/>
          <w:kern w:val="0"/>
          <w:sz w:val="24"/>
        </w:rPr>
        <w:t xml:space="preserve"> </w:t>
      </w:r>
      <w:r>
        <w:rPr>
          <w:rFonts w:hint="eastAsia" w:eastAsia="方正仿宋_GBK"/>
          <w:color w:val="000000"/>
          <w:kern w:val="0"/>
          <w:sz w:val="24"/>
        </w:rPr>
        <w:t>房地产开发企业无正当理由不参加资质年检的视为年检不合格，经设区的市房地产开发主管部门初审，由省建设行政主管部门注销资质证书。</w:t>
      </w:r>
      <w:r>
        <w:rPr>
          <w:rFonts w:hint="eastAsia" w:ascii="Times New Roman" w:hAnsi="Times New Roman" w:eastAsia="MingLiU_HKSCS" w:cs="MingLiU_HKSCS"/>
          <w:color w:val="000000"/>
          <w:kern w:val="0"/>
          <w:sz w:val="24"/>
        </w:rPr>
        <w:t xml:space="preserve"> </w:t>
      </w:r>
      <w:r>
        <w:rPr>
          <w:rFonts w:hint="eastAsia" w:eastAsia="方正仿宋_GBK"/>
          <w:color w:val="000000"/>
          <w:kern w:val="0"/>
          <w:sz w:val="24"/>
        </w:rPr>
        <w:t>各级房地产开发主管部门应当将房地产开发企业年检结果向社会公布。</w:t>
      </w:r>
      <w:r>
        <w:rPr>
          <w:rFonts w:hint="eastAsia" w:ascii="Times New Roman" w:hAnsi="Times New Roman" w:eastAsia="MingLiU_HKSCS" w:cs="MingLiU_HKSCS"/>
          <w:color w:val="000000"/>
          <w:kern w:val="0"/>
          <w:sz w:val="24"/>
        </w:rPr>
        <w:t xml:space="preserve"> </w:t>
      </w:r>
    </w:p>
    <w:p>
      <w:pPr>
        <w:shd w:val="clear" w:color="auto" w:fill="FFFFFF"/>
        <w:spacing w:line="460" w:lineRule="exact"/>
        <w:ind w:firstLine="480" w:firstLineChars="200"/>
        <w:rPr>
          <w:rFonts w:eastAsia="方正仿宋_GBK"/>
          <w:color w:val="000000"/>
          <w:kern w:val="0"/>
          <w:sz w:val="24"/>
        </w:rPr>
      </w:pPr>
      <w:r>
        <w:rPr>
          <w:rFonts w:hint="eastAsia" w:eastAsia="方正黑体_GBK"/>
          <w:color w:val="000000"/>
          <w:kern w:val="0"/>
          <w:sz w:val="24"/>
        </w:rPr>
        <w:t>第二十三条</w:t>
      </w:r>
      <w:r>
        <w:rPr>
          <w:rFonts w:eastAsia="方正仿宋_GBK"/>
          <w:color w:val="000000"/>
          <w:kern w:val="0"/>
          <w:sz w:val="24"/>
        </w:rPr>
        <w:t xml:space="preserve"> </w:t>
      </w:r>
      <w:r>
        <w:rPr>
          <w:rFonts w:hint="eastAsia" w:eastAsia="方正仿宋_GBK"/>
          <w:color w:val="000000"/>
          <w:kern w:val="0"/>
          <w:sz w:val="24"/>
        </w:rPr>
        <w:t>一级资质的房地产开发企业承担房地产开发项目的建设规模不受限制，可以在全国范围承揽房地产开发项目。</w:t>
      </w:r>
      <w:r>
        <w:rPr>
          <w:rFonts w:hint="eastAsia" w:ascii="Times New Roman" w:hAnsi="Times New Roman" w:eastAsia="MingLiU_HKSCS" w:cs="MingLiU_HKSCS"/>
          <w:color w:val="000000"/>
          <w:kern w:val="0"/>
          <w:sz w:val="24"/>
        </w:rPr>
        <w:t xml:space="preserve"> </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二级资质的房地产开发企业可以在全省范围承揽房地产开发项目，承担建筑面积</w:t>
      </w:r>
      <w:r>
        <w:rPr>
          <w:rFonts w:eastAsia="方正仿宋_GBK"/>
          <w:color w:val="000000"/>
          <w:kern w:val="0"/>
          <w:sz w:val="24"/>
        </w:rPr>
        <w:t>25</w:t>
      </w:r>
      <w:r>
        <w:rPr>
          <w:rFonts w:hint="eastAsia" w:eastAsia="方正仿宋_GBK"/>
          <w:color w:val="000000"/>
          <w:kern w:val="0"/>
          <w:sz w:val="24"/>
        </w:rPr>
        <w:t>万平方米以下的开发建设项目，建设楼层不受限制。</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三级资质的房地产开发企业可以在设区市范围承揽房地产开发项目，承担建筑面积</w:t>
      </w:r>
      <w:r>
        <w:rPr>
          <w:rFonts w:eastAsia="方正仿宋_GBK"/>
          <w:color w:val="000000"/>
          <w:kern w:val="0"/>
          <w:sz w:val="24"/>
        </w:rPr>
        <w:t>15</w:t>
      </w:r>
      <w:r>
        <w:rPr>
          <w:rFonts w:hint="eastAsia" w:eastAsia="方正仿宋_GBK"/>
          <w:color w:val="000000"/>
          <w:kern w:val="0"/>
          <w:sz w:val="24"/>
        </w:rPr>
        <w:t>万平方米以下的开发建设项目，不得承担十六层（含）以上的建筑物的建设。</w:t>
      </w:r>
      <w:r>
        <w:rPr>
          <w:rFonts w:hint="eastAsia" w:ascii="Times New Roman" w:hAnsi="Times New Roman" w:eastAsia="MingLiU_HKSCS" w:cs="MingLiU_HKSCS"/>
          <w:color w:val="000000"/>
          <w:kern w:val="0"/>
          <w:sz w:val="24"/>
        </w:rPr>
        <w:t xml:space="preserve"> </w:t>
      </w:r>
      <w:r>
        <w:rPr>
          <w:rFonts w:hint="eastAsia" w:eastAsia="方正仿宋_GBK"/>
          <w:color w:val="000000"/>
          <w:kern w:val="0"/>
          <w:sz w:val="24"/>
        </w:rPr>
        <w:t>　四级资质的房地产开发企业限于在城市规划区以外的乡镇从事房地产开发企业，可以承担建筑面积</w:t>
      </w:r>
      <w:r>
        <w:rPr>
          <w:rFonts w:eastAsia="方正仿宋_GBK"/>
          <w:color w:val="000000"/>
          <w:kern w:val="0"/>
          <w:sz w:val="24"/>
        </w:rPr>
        <w:t>5</w:t>
      </w:r>
      <w:r>
        <w:rPr>
          <w:rFonts w:hint="eastAsia" w:eastAsia="方正仿宋_GBK"/>
          <w:color w:val="000000"/>
          <w:kern w:val="0"/>
          <w:sz w:val="24"/>
        </w:rPr>
        <w:t>万平方米以下的开发建设项目，不得承担七层（含）以上的建筑物的建设。</w:t>
      </w:r>
      <w:r>
        <w:rPr>
          <w:rFonts w:hint="eastAsia" w:ascii="Times New Roman" w:hAnsi="Times New Roman" w:eastAsia="MingLiU_HKSCS" w:cs="MingLiU_HKSCS"/>
          <w:color w:val="000000"/>
          <w:kern w:val="0"/>
          <w:sz w:val="24"/>
        </w:rPr>
        <w:t xml:space="preserve"> </w:t>
      </w:r>
    </w:p>
    <w:p>
      <w:pPr>
        <w:shd w:val="clear" w:color="auto" w:fill="FFFFFF"/>
        <w:spacing w:line="460" w:lineRule="exact"/>
        <w:ind w:firstLine="480" w:firstLineChars="200"/>
        <w:rPr>
          <w:rFonts w:eastAsia="方正仿宋_GBK"/>
          <w:color w:val="000000"/>
          <w:kern w:val="0"/>
          <w:sz w:val="24"/>
        </w:rPr>
      </w:pPr>
      <w:r>
        <w:rPr>
          <w:rFonts w:hint="eastAsia" w:eastAsia="方正仿宋_GBK"/>
          <w:color w:val="000000"/>
          <w:kern w:val="0"/>
          <w:sz w:val="24"/>
        </w:rPr>
        <w:t>领取《暂定资质证书》的房地产开发企业可以依据《暂定资质证书》核定的标准从事相应资质等级的开发建设项目。</w:t>
      </w:r>
      <w:r>
        <w:rPr>
          <w:rFonts w:hint="eastAsia" w:ascii="Times New Roman" w:hAnsi="Times New Roman" w:eastAsia="MingLiU_HKSCS" w:cs="MingLiU_HKSCS"/>
          <w:color w:val="000000"/>
          <w:kern w:val="0"/>
          <w:sz w:val="24"/>
        </w:rPr>
        <w:t xml:space="preserve"> </w:t>
      </w:r>
      <w:r>
        <w:rPr>
          <w:rFonts w:hint="eastAsia" w:eastAsia="方正仿宋_GBK"/>
          <w:color w:val="000000"/>
          <w:kern w:val="0"/>
          <w:sz w:val="24"/>
        </w:rPr>
        <w:t>　各资质等级企业应当在规定的业务范围内从事房地产开发业务，不得越级承担任务。</w:t>
      </w:r>
      <w:r>
        <w:rPr>
          <w:rFonts w:hint="eastAsia" w:ascii="Times New Roman" w:hAnsi="Times New Roman" w:eastAsia="MingLiU_HKSCS" w:cs="MingLiU_HKSCS"/>
          <w:color w:val="000000"/>
          <w:kern w:val="0"/>
          <w:sz w:val="24"/>
        </w:rPr>
        <w:t xml:space="preserve"> </w:t>
      </w:r>
    </w:p>
    <w:p>
      <w:pPr>
        <w:shd w:val="clear" w:color="auto" w:fill="FFFFFF"/>
        <w:spacing w:line="460" w:lineRule="exact"/>
        <w:ind w:firstLine="480" w:firstLineChars="200"/>
        <w:rPr>
          <w:rFonts w:eastAsia="方正仿宋_GBK"/>
          <w:color w:val="000000"/>
          <w:kern w:val="0"/>
          <w:sz w:val="24"/>
        </w:rPr>
      </w:pPr>
      <w:r>
        <w:rPr>
          <w:rFonts w:hint="eastAsia" w:eastAsia="方正黑体_GBK"/>
          <w:color w:val="000000"/>
          <w:kern w:val="0"/>
          <w:sz w:val="24"/>
        </w:rPr>
        <w:t>第二十四条</w:t>
      </w:r>
      <w:r>
        <w:rPr>
          <w:rFonts w:eastAsia="方正仿宋_GBK"/>
          <w:color w:val="000000"/>
          <w:kern w:val="0"/>
          <w:sz w:val="24"/>
        </w:rPr>
        <w:t xml:space="preserve"> </w:t>
      </w:r>
      <w:r>
        <w:rPr>
          <w:rFonts w:hint="eastAsia" w:eastAsia="方正仿宋_GBK"/>
          <w:color w:val="000000"/>
          <w:kern w:val="0"/>
          <w:sz w:val="24"/>
        </w:rPr>
        <w:t>房地产开发企业跨省、跨地区（省辖市）从事房地产开发经营业务时，必须向当地房地产开发主管部门申请登记备案，按照本细则的规定从事房地产开发经营业务。</w:t>
      </w:r>
      <w:r>
        <w:rPr>
          <w:rFonts w:hint="eastAsia" w:ascii="Times New Roman" w:hAnsi="Times New Roman" w:eastAsia="MingLiU_HKSCS" w:cs="MingLiU_HKSCS"/>
          <w:color w:val="000000"/>
          <w:kern w:val="0"/>
          <w:sz w:val="24"/>
        </w:rPr>
        <w:t xml:space="preserve"> </w:t>
      </w:r>
    </w:p>
    <w:p>
      <w:pPr>
        <w:shd w:val="clear" w:color="auto" w:fill="FFFFFF"/>
        <w:spacing w:line="460" w:lineRule="exact"/>
        <w:ind w:firstLine="480" w:firstLineChars="200"/>
        <w:rPr>
          <w:rFonts w:eastAsia="方正仿宋_GBK"/>
          <w:color w:val="000000"/>
          <w:kern w:val="0"/>
          <w:sz w:val="24"/>
        </w:rPr>
      </w:pPr>
      <w:r>
        <w:rPr>
          <w:rFonts w:hint="eastAsia" w:eastAsia="方正黑体_GBK"/>
          <w:color w:val="000000"/>
          <w:kern w:val="0"/>
          <w:sz w:val="24"/>
        </w:rPr>
        <w:t>第二十五条</w:t>
      </w:r>
      <w:r>
        <w:rPr>
          <w:rFonts w:eastAsia="方正仿宋_GBK"/>
          <w:color w:val="000000"/>
          <w:kern w:val="0"/>
          <w:sz w:val="24"/>
        </w:rPr>
        <w:t xml:space="preserve"> </w:t>
      </w:r>
      <w:r>
        <w:rPr>
          <w:rFonts w:hint="eastAsia" w:eastAsia="方正仿宋_GBK"/>
          <w:color w:val="000000"/>
          <w:kern w:val="0"/>
          <w:sz w:val="24"/>
        </w:rPr>
        <w:t>违反本细则的行为，由房地产开发主管部门按照国家有关法律法规及住房和城乡建设部〔</w:t>
      </w:r>
      <w:r>
        <w:rPr>
          <w:rFonts w:eastAsia="方正仿宋_GBK"/>
          <w:color w:val="000000"/>
          <w:kern w:val="0"/>
          <w:sz w:val="24"/>
        </w:rPr>
        <w:t>2015</w:t>
      </w:r>
      <w:r>
        <w:rPr>
          <w:rFonts w:hint="eastAsia" w:eastAsia="方正仿宋_GBK"/>
          <w:color w:val="000000"/>
          <w:kern w:val="0"/>
          <w:sz w:val="24"/>
        </w:rPr>
        <w:t>〕第</w:t>
      </w:r>
      <w:r>
        <w:rPr>
          <w:rFonts w:eastAsia="方正仿宋_GBK"/>
          <w:color w:val="000000"/>
          <w:kern w:val="0"/>
          <w:sz w:val="24"/>
        </w:rPr>
        <w:t>24</w:t>
      </w:r>
      <w:r>
        <w:rPr>
          <w:rFonts w:hint="eastAsia" w:eastAsia="方正仿宋_GBK"/>
          <w:color w:val="000000"/>
          <w:kern w:val="0"/>
          <w:sz w:val="24"/>
        </w:rPr>
        <w:t>号令的有关规定进行处罚。第二十六条</w:t>
      </w:r>
      <w:r>
        <w:rPr>
          <w:rFonts w:eastAsia="方正仿宋_GBK"/>
          <w:color w:val="000000"/>
          <w:kern w:val="0"/>
          <w:sz w:val="24"/>
        </w:rPr>
        <w:t xml:space="preserve"> </w:t>
      </w:r>
      <w:r>
        <w:rPr>
          <w:rFonts w:hint="eastAsia" w:eastAsia="方正仿宋_GBK"/>
          <w:color w:val="000000"/>
          <w:kern w:val="0"/>
          <w:sz w:val="24"/>
        </w:rPr>
        <w:t>各级房地产主管部门工作人员在资质审批和管理中玩忽职守、滥用职权、徇私舞弊的，由其所在单位或者上级主管部门给予行政处分，构成犯罪的，由司法机关依法追究刑事责任。</w:t>
      </w:r>
    </w:p>
    <w:p>
      <w:pPr>
        <w:shd w:val="clear" w:color="auto" w:fill="FFFFFF"/>
        <w:spacing w:line="460" w:lineRule="exact"/>
        <w:ind w:firstLine="480" w:firstLineChars="200"/>
        <w:rPr>
          <w:rFonts w:eastAsia="方正仿宋_GBK"/>
          <w:color w:val="000000"/>
          <w:kern w:val="0"/>
          <w:sz w:val="24"/>
        </w:rPr>
      </w:pPr>
      <w:r>
        <w:rPr>
          <w:rFonts w:hint="eastAsia" w:eastAsia="方正黑体_GBK"/>
          <w:color w:val="000000"/>
          <w:kern w:val="0"/>
          <w:sz w:val="24"/>
        </w:rPr>
        <w:t>第二十七条</w:t>
      </w:r>
      <w:r>
        <w:rPr>
          <w:rFonts w:eastAsia="方正仿宋_GBK"/>
          <w:color w:val="000000"/>
          <w:kern w:val="0"/>
          <w:sz w:val="24"/>
        </w:rPr>
        <w:t xml:space="preserve"> </w:t>
      </w:r>
      <w:r>
        <w:rPr>
          <w:rFonts w:hint="eastAsia" w:eastAsia="方正仿宋_GBK"/>
          <w:color w:val="000000"/>
          <w:kern w:val="0"/>
          <w:sz w:val="24"/>
        </w:rPr>
        <w:t>本细则由省建设行政主管部门负责解释。</w:t>
      </w:r>
    </w:p>
    <w:p>
      <w:pPr>
        <w:shd w:val="clear" w:color="auto" w:fill="FFFFFF"/>
        <w:spacing w:line="460" w:lineRule="exact"/>
        <w:jc w:val="left"/>
        <w:rPr>
          <w:rFonts w:eastAsia="方正黑体_GBK"/>
          <w:color w:val="000000"/>
          <w:kern w:val="0"/>
          <w:sz w:val="24"/>
        </w:rPr>
      </w:pPr>
    </w:p>
    <w:p>
      <w:pPr>
        <w:shd w:val="clear" w:color="auto" w:fill="FFFFFF"/>
        <w:spacing w:line="460" w:lineRule="exact"/>
        <w:jc w:val="left"/>
        <w:rPr>
          <w:rFonts w:eastAsia="方正黑体_GBK"/>
          <w:color w:val="000000"/>
          <w:kern w:val="0"/>
          <w:sz w:val="24"/>
        </w:rPr>
      </w:pPr>
    </w:p>
    <w:p>
      <w:pPr>
        <w:shd w:val="clear" w:color="auto" w:fill="FFFFFF"/>
        <w:spacing w:line="460" w:lineRule="exact"/>
        <w:jc w:val="left"/>
        <w:rPr>
          <w:rFonts w:eastAsia="方正黑体_GBK"/>
          <w:color w:val="000000"/>
          <w:kern w:val="0"/>
          <w:sz w:val="24"/>
        </w:rPr>
      </w:pPr>
    </w:p>
    <w:p>
      <w:pPr>
        <w:shd w:val="clear" w:color="auto" w:fill="FFFFFF"/>
        <w:spacing w:line="460" w:lineRule="exact"/>
        <w:jc w:val="left"/>
        <w:rPr>
          <w:rFonts w:eastAsia="方正黑体_GBK"/>
          <w:color w:val="000000"/>
          <w:kern w:val="0"/>
          <w:sz w:val="24"/>
        </w:rPr>
      </w:pPr>
    </w:p>
    <w:p>
      <w:pPr>
        <w:shd w:val="clear" w:color="auto" w:fill="FFFFFF"/>
        <w:spacing w:line="460" w:lineRule="exact"/>
        <w:jc w:val="left"/>
        <w:rPr>
          <w:rFonts w:eastAsia="方正黑体_GBK"/>
          <w:color w:val="000000"/>
          <w:kern w:val="0"/>
          <w:sz w:val="24"/>
        </w:rPr>
      </w:pPr>
    </w:p>
    <w:p>
      <w:pPr>
        <w:shd w:val="clear" w:color="auto" w:fill="FFFFFF"/>
        <w:spacing w:line="460" w:lineRule="exact"/>
        <w:jc w:val="left"/>
        <w:rPr>
          <w:rFonts w:eastAsia="方正黑体_GBK"/>
          <w:color w:val="000000"/>
          <w:kern w:val="0"/>
          <w:sz w:val="24"/>
        </w:rPr>
      </w:pPr>
    </w:p>
    <w:p>
      <w:pPr>
        <w:shd w:val="clear" w:color="auto" w:fill="FFFFFF"/>
        <w:spacing w:line="460" w:lineRule="exact"/>
        <w:jc w:val="left"/>
        <w:rPr>
          <w:rFonts w:eastAsia="方正黑体_GBK"/>
          <w:color w:val="000000"/>
          <w:kern w:val="0"/>
          <w:sz w:val="24"/>
        </w:rPr>
      </w:pPr>
    </w:p>
    <w:p>
      <w:pPr>
        <w:shd w:val="clear" w:color="auto" w:fill="FFFFFF"/>
        <w:spacing w:line="460" w:lineRule="exact"/>
        <w:jc w:val="left"/>
        <w:rPr>
          <w:rFonts w:eastAsia="方正黑体_GBK"/>
          <w:color w:val="000000"/>
          <w:kern w:val="0"/>
          <w:sz w:val="24"/>
        </w:rPr>
      </w:pPr>
    </w:p>
    <w:p>
      <w:pPr>
        <w:shd w:val="clear" w:color="auto" w:fill="FFFFFF"/>
        <w:spacing w:line="460" w:lineRule="exact"/>
        <w:jc w:val="left"/>
        <w:rPr>
          <w:rFonts w:eastAsia="方正黑体_GBK"/>
          <w:color w:val="000000"/>
          <w:kern w:val="0"/>
          <w:sz w:val="24"/>
        </w:rPr>
      </w:pPr>
    </w:p>
    <w:p>
      <w:pPr>
        <w:shd w:val="clear" w:color="auto" w:fill="FFFFFF"/>
        <w:spacing w:line="460" w:lineRule="exact"/>
        <w:jc w:val="left"/>
        <w:rPr>
          <w:rFonts w:eastAsia="方正黑体_GBK"/>
          <w:color w:val="000000"/>
          <w:kern w:val="0"/>
          <w:sz w:val="24"/>
        </w:rPr>
      </w:pPr>
    </w:p>
    <w:p>
      <w:pPr>
        <w:shd w:val="clear" w:color="auto" w:fill="FFFFFF"/>
        <w:spacing w:line="460" w:lineRule="exact"/>
        <w:jc w:val="left"/>
        <w:rPr>
          <w:rFonts w:eastAsia="方正黑体_GBK"/>
          <w:color w:val="000000"/>
          <w:kern w:val="0"/>
          <w:sz w:val="24"/>
        </w:rPr>
      </w:pPr>
    </w:p>
    <w:p>
      <w:pPr>
        <w:shd w:val="clear" w:color="auto" w:fill="FFFFFF"/>
        <w:spacing w:line="460" w:lineRule="exact"/>
        <w:jc w:val="left"/>
        <w:rPr>
          <w:rFonts w:eastAsia="方正黑体_GBK"/>
          <w:color w:val="000000"/>
          <w:kern w:val="0"/>
          <w:sz w:val="24"/>
        </w:rPr>
      </w:pPr>
    </w:p>
    <w:p>
      <w:pPr>
        <w:shd w:val="clear" w:color="auto" w:fill="FFFFFF"/>
        <w:spacing w:line="460" w:lineRule="exact"/>
        <w:jc w:val="left"/>
        <w:rPr>
          <w:rFonts w:eastAsia="方正黑体_GBK"/>
          <w:color w:val="000000"/>
          <w:kern w:val="0"/>
          <w:sz w:val="24"/>
        </w:rPr>
      </w:pPr>
    </w:p>
    <w:p>
      <w:pPr>
        <w:shd w:val="clear" w:color="auto" w:fill="FFFFFF"/>
        <w:spacing w:line="460" w:lineRule="exact"/>
        <w:jc w:val="left"/>
        <w:rPr>
          <w:rFonts w:eastAsia="方正黑体_GBK"/>
          <w:color w:val="000000"/>
          <w:kern w:val="0"/>
          <w:sz w:val="24"/>
        </w:rPr>
      </w:pPr>
    </w:p>
    <w:p>
      <w:pPr>
        <w:shd w:val="clear" w:color="auto" w:fill="FFFFFF"/>
        <w:spacing w:line="460" w:lineRule="exact"/>
        <w:jc w:val="left"/>
        <w:rPr>
          <w:rFonts w:eastAsia="方正黑体_GBK"/>
          <w:color w:val="000000"/>
          <w:kern w:val="0"/>
          <w:sz w:val="24"/>
        </w:rPr>
      </w:pPr>
    </w:p>
    <w:p>
      <w:pPr>
        <w:shd w:val="clear" w:color="auto" w:fill="FFFFFF"/>
        <w:spacing w:line="460" w:lineRule="exact"/>
        <w:jc w:val="left"/>
        <w:rPr>
          <w:rFonts w:eastAsia="方正黑体_GBK"/>
          <w:color w:val="000000"/>
          <w:kern w:val="0"/>
          <w:sz w:val="24"/>
        </w:rPr>
      </w:pPr>
    </w:p>
    <w:p>
      <w:pPr>
        <w:shd w:val="clear" w:color="auto" w:fill="FFFFFF"/>
        <w:spacing w:line="460" w:lineRule="exact"/>
        <w:jc w:val="left"/>
        <w:rPr>
          <w:rFonts w:eastAsia="方正黑体_GBK"/>
          <w:color w:val="000000"/>
          <w:kern w:val="0"/>
          <w:sz w:val="24"/>
        </w:rPr>
      </w:pPr>
    </w:p>
    <w:p>
      <w:pPr>
        <w:pStyle w:val="2"/>
        <w:spacing w:before="240" w:beforeLines="100" w:after="240" w:afterLines="100" w:line="240" w:lineRule="auto"/>
        <w:jc w:val="center"/>
        <w:rPr>
          <w:rFonts w:ascii="Times New Roman" w:eastAsia="方正小标宋_GBK"/>
          <w:b w:val="0"/>
          <w:sz w:val="36"/>
          <w:szCs w:val="36"/>
        </w:rPr>
      </w:pPr>
      <w:bookmarkStart w:id="7" w:name="_Toc20726283"/>
      <w:bookmarkStart w:id="8" w:name="_Toc18315361"/>
      <w:r>
        <w:rPr>
          <w:rFonts w:hint="eastAsia" w:ascii="Times New Roman" w:eastAsia="方正小标宋_GBK"/>
          <w:b w:val="0"/>
          <w:sz w:val="36"/>
          <w:szCs w:val="36"/>
        </w:rPr>
        <w:t>关于实施房地产开发（电子）项目手册制度的通知</w:t>
      </w:r>
      <w:bookmarkEnd w:id="7"/>
      <w:bookmarkEnd w:id="8"/>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9" w:name="_Toc20726284"/>
      <w:bookmarkStart w:id="10" w:name="_Toc18315362"/>
      <w:r>
        <w:rPr>
          <w:rFonts w:hint="eastAsia" w:ascii="Times New Roman" w:hAnsi="Times New Roman" w:eastAsia="方正楷体_GBK"/>
          <w:b w:val="0"/>
          <w:sz w:val="24"/>
          <w:szCs w:val="24"/>
        </w:rPr>
        <w:t>苏建房〔</w:t>
      </w:r>
      <w:r>
        <w:rPr>
          <w:rFonts w:ascii="Times New Roman" w:hAnsi="Times New Roman" w:eastAsia="方正楷体_GBK"/>
          <w:b w:val="0"/>
          <w:sz w:val="24"/>
          <w:szCs w:val="24"/>
        </w:rPr>
        <w:t>2009</w:t>
      </w:r>
      <w:r>
        <w:rPr>
          <w:rFonts w:hint="eastAsia" w:ascii="Times New Roman" w:hAnsi="Times New Roman" w:eastAsia="方正楷体_GBK"/>
          <w:b w:val="0"/>
          <w:sz w:val="24"/>
          <w:szCs w:val="24"/>
        </w:rPr>
        <w:t>〕</w:t>
      </w:r>
      <w:r>
        <w:rPr>
          <w:rFonts w:ascii="Times New Roman" w:hAnsi="Times New Roman" w:eastAsia="方正楷体_GBK"/>
          <w:b w:val="0"/>
          <w:sz w:val="24"/>
          <w:szCs w:val="24"/>
        </w:rPr>
        <w:t xml:space="preserve">164 </w:t>
      </w:r>
      <w:r>
        <w:rPr>
          <w:rFonts w:hint="eastAsia" w:ascii="Times New Roman" w:hAnsi="Times New Roman" w:eastAsia="方正楷体_GBK"/>
          <w:b w:val="0"/>
          <w:sz w:val="24"/>
          <w:szCs w:val="24"/>
        </w:rPr>
        <w:t>号</w:t>
      </w:r>
      <w:bookmarkEnd w:id="9"/>
      <w:bookmarkEnd w:id="10"/>
    </w:p>
    <w:p>
      <w:pPr>
        <w:spacing w:line="460" w:lineRule="exact"/>
        <w:rPr>
          <w:rFonts w:eastAsia="方正仿宋_GBK"/>
          <w:color w:val="000000"/>
          <w:spacing w:val="-2"/>
          <w:sz w:val="24"/>
        </w:rPr>
      </w:pPr>
      <w:r>
        <w:rPr>
          <w:rFonts w:hint="eastAsia" w:eastAsia="方正仿宋_GBK"/>
          <w:color w:val="000000"/>
          <w:spacing w:val="-2"/>
          <w:sz w:val="24"/>
        </w:rPr>
        <w:t>各省辖市建设局（委）、房管局：</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为了进一步改进和完善房地产开发项目手册制度，切实加强对房地产开发项目全过程的监管，提高各级房地产开发行政主管部门的办事效率和服务质量，提升行业管理水平，促进房地产市场健康发展，经研究决定，从</w:t>
      </w:r>
      <w:r>
        <w:rPr>
          <w:rFonts w:eastAsia="方正仿宋_GBK"/>
          <w:color w:val="000000"/>
          <w:spacing w:val="-2"/>
          <w:sz w:val="24"/>
        </w:rPr>
        <w:t>2009</w:t>
      </w:r>
      <w:r>
        <w:rPr>
          <w:rFonts w:hint="eastAsia" w:eastAsia="方正仿宋_GBK"/>
          <w:color w:val="000000"/>
          <w:spacing w:val="-2"/>
          <w:sz w:val="24"/>
        </w:rPr>
        <w:t>年</w:t>
      </w:r>
      <w:r>
        <w:rPr>
          <w:rFonts w:eastAsia="方正仿宋_GBK"/>
          <w:color w:val="000000"/>
          <w:spacing w:val="-2"/>
          <w:sz w:val="24"/>
        </w:rPr>
        <w:t>8</w:t>
      </w:r>
      <w:r>
        <w:rPr>
          <w:rFonts w:hint="eastAsia" w:eastAsia="方正仿宋_GBK"/>
          <w:color w:val="000000"/>
          <w:spacing w:val="-2"/>
          <w:sz w:val="24"/>
        </w:rPr>
        <w:t>月起在全省范围内实施房地产开发（电子）项目手册制度。现将《江苏省房地产开发（电子）项目手册管理办法》印发给你们，并就有关事项通知如下：</w:t>
      </w:r>
    </w:p>
    <w:p>
      <w:pPr>
        <w:spacing w:line="460" w:lineRule="exact"/>
        <w:ind w:firstLine="472" w:firstLineChars="200"/>
        <w:rPr>
          <w:rFonts w:eastAsia="方正黑体_GBK"/>
          <w:color w:val="000000"/>
          <w:spacing w:val="-2"/>
          <w:sz w:val="24"/>
        </w:rPr>
      </w:pPr>
      <w:r>
        <w:rPr>
          <w:rFonts w:hint="eastAsia" w:eastAsia="方正黑体_GBK"/>
          <w:color w:val="000000"/>
          <w:spacing w:val="-2"/>
          <w:sz w:val="24"/>
        </w:rPr>
        <w:t>一、要充分认识实施房地产开发（电子）项目手册制度的重要意义</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房地产开发项目手册制度是根据《城市房地产开发经营管理条例》及其他有关法律法规规定而建立的一项管理制度，是开发（建设）管理部门对开发项目进行全过程动态监督管理的重要手段。近年来，全省各级房地产开发行政主管部门通过实施房地产开发项目手册，切实加强对房地产开发项目全过程的监管，房地产市场秩序得到好转，企业经营行为不断规范。随着市场经济的不断完善和信息技术在行业管理领域的应用，纸质项目手册已越来越不能适应形势发展的需要。因此，在全省范围内实施房地产开发（电子）项目手册制度，对于进一步提高房地产开发行政主管部门依法行政能力和服务水平，进一步加强对房地产开发项目全过程特别是商品房预售许可、预售资金、质量标准和交付使用等重点环节的监管，加快房地产市场动态监测系统建设和加强房地产市场监测分析，促进房地产市场健康发展具有十分重要的意义。</w:t>
      </w:r>
    </w:p>
    <w:p>
      <w:pPr>
        <w:spacing w:line="460" w:lineRule="exact"/>
        <w:ind w:firstLine="472" w:firstLineChars="200"/>
        <w:rPr>
          <w:rFonts w:eastAsia="方正黑体_GBK"/>
          <w:color w:val="000000"/>
          <w:spacing w:val="-2"/>
          <w:sz w:val="24"/>
        </w:rPr>
      </w:pPr>
      <w:r>
        <w:rPr>
          <w:rFonts w:hint="eastAsia" w:eastAsia="方正黑体_GBK"/>
          <w:color w:val="000000"/>
          <w:spacing w:val="-2"/>
          <w:sz w:val="24"/>
        </w:rPr>
        <w:t>二、要采取有效措施扎实推进房地产开发（电子）项目手册制度的实施</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《江苏省房地产开发（电子）项目手册管理办法》自</w:t>
      </w:r>
      <w:r>
        <w:rPr>
          <w:rFonts w:eastAsia="方正仿宋_GBK"/>
          <w:color w:val="000000"/>
          <w:spacing w:val="-2"/>
          <w:sz w:val="24"/>
        </w:rPr>
        <w:t>2009</w:t>
      </w:r>
      <w:r>
        <w:rPr>
          <w:rFonts w:hint="eastAsia" w:eastAsia="方正仿宋_GBK"/>
          <w:color w:val="000000"/>
          <w:spacing w:val="-2"/>
          <w:sz w:val="24"/>
        </w:rPr>
        <w:t>年</w:t>
      </w:r>
      <w:r>
        <w:rPr>
          <w:rFonts w:eastAsia="方正仿宋_GBK"/>
          <w:color w:val="000000"/>
          <w:spacing w:val="-2"/>
          <w:sz w:val="24"/>
        </w:rPr>
        <w:t>8</w:t>
      </w:r>
      <w:r>
        <w:rPr>
          <w:rFonts w:hint="eastAsia" w:eastAsia="方正仿宋_GBK"/>
          <w:color w:val="000000"/>
          <w:spacing w:val="-2"/>
          <w:sz w:val="24"/>
        </w:rPr>
        <w:t>月</w:t>
      </w:r>
      <w:r>
        <w:rPr>
          <w:rFonts w:eastAsia="方正仿宋_GBK"/>
          <w:color w:val="000000"/>
          <w:spacing w:val="-2"/>
          <w:sz w:val="24"/>
        </w:rPr>
        <w:t>1</w:t>
      </w:r>
      <w:r>
        <w:rPr>
          <w:rFonts w:hint="eastAsia" w:eastAsia="方正仿宋_GBK"/>
          <w:color w:val="000000"/>
          <w:spacing w:val="-2"/>
          <w:sz w:val="24"/>
        </w:rPr>
        <w:t>日起施行。江苏省房地产开发项目手册信息纳入《江苏省住房与房地产电子政务平台》进行统一管理。</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凡在我省行政区域内从事房地产开发经营活动的房地产开发企业，必须按规定将房地产开发项目建设过程中的主要事项记录在房地产开发（电子）项目手册中。房地产开发主管部门要通过房地产开发（电子）项目手册对房地产开发项目实行全过程管理，对企业填报的情况进行定期查验和现场检查，并签署意见。</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要切实提高房地产开发（电子）项目手册的使用效率。项目手册作为企业申请核定资质等级的证明材料之一。房地产开发建设过程中涉及施工许可、商品房预（销）售、工程竣工验收以及按规定要求向相关主管部门报送开发项目有关信息的，相关主管部门应当查验《项目手册》，并将《项目手册》记录与企业提供的材料进行校验。</w:t>
      </w:r>
      <w:r>
        <w:rPr>
          <w:rFonts w:eastAsia="方正仿宋_GBK"/>
          <w:color w:val="000000"/>
          <w:spacing w:val="-2"/>
          <w:sz w:val="24"/>
        </w:rPr>
        <w:t xml:space="preserve"> </w:t>
      </w:r>
      <w:r>
        <w:rPr>
          <w:rFonts w:hint="eastAsia" w:eastAsia="方正仿宋_GBK"/>
          <w:color w:val="000000"/>
          <w:spacing w:val="-2"/>
          <w:sz w:val="24"/>
        </w:rPr>
        <w:t>对企业填报有错误的或内容不全的，应当责令其更正、补全项目信息；对企业故意弄虚作假的，根据《房地产开发企业资质管理规定》、《城市商品房预销售管理办法》的规定给予处罚。</w:t>
      </w:r>
    </w:p>
    <w:p>
      <w:pPr>
        <w:spacing w:line="460" w:lineRule="exact"/>
        <w:ind w:firstLine="472" w:firstLineChars="200"/>
        <w:rPr>
          <w:rFonts w:eastAsia="方正黑体_GBK"/>
          <w:color w:val="000000"/>
          <w:spacing w:val="-2"/>
          <w:sz w:val="24"/>
        </w:rPr>
      </w:pPr>
      <w:r>
        <w:rPr>
          <w:rFonts w:hint="eastAsia" w:eastAsia="方正黑体_GBK"/>
          <w:color w:val="000000"/>
          <w:spacing w:val="-2"/>
          <w:sz w:val="24"/>
        </w:rPr>
        <w:t>三、切实加强房地产开发（电子）项目手册制度的组织领导</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各级房地产主管部门要高度重视对房地产开发（电子）项目手册制度的管理，把房地产开发（电子）项目手册制度的实施作为一项常规性的监控措施，切实加强对房地产开发项目管理。要加强组织领导，明确专人负责，提供必要的工作条件。要加强宣传和指导，督促开发企业严格按照规定程序与时间认真填写（电子）项目手册。要把工程建设管理和房地产项目开发经营管理结合起来，完善相关管理制度，加强内部联动，主动加强与统计、金融、税务、国土等相关部门的沟通和配合，协调一致，共同把房地产开发（电子）项目手册制度真正落到实处。</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房地产开发（电子）项目手册管理系统由省建设厅住房与房地产业促进中心免费统一提供。省建设厅住房与房地产业促进中心要制定好培训计划，做好培训服务和技术指导工作。各地在实施工程中如有问题，请及时向省建设厅房地产业处或省建设厅住房与房地产业促进中心反馈。</w:t>
      </w:r>
    </w:p>
    <w:p>
      <w:pPr>
        <w:spacing w:line="460" w:lineRule="exact"/>
        <w:ind w:firstLine="472" w:firstLineChars="200"/>
        <w:rPr>
          <w:rFonts w:eastAsia="方正仿宋_GBK"/>
          <w:color w:val="000000"/>
          <w:spacing w:val="-2"/>
          <w:sz w:val="24"/>
        </w:rPr>
      </w:pP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附件：《江苏省房地产开发（电子）项目手册管理办法》</w:t>
      </w:r>
    </w:p>
    <w:p>
      <w:pPr>
        <w:spacing w:line="460" w:lineRule="exact"/>
        <w:ind w:firstLine="630"/>
        <w:rPr>
          <w:rFonts w:eastAsia="方正仿宋_GBK"/>
          <w:color w:val="000000"/>
          <w:spacing w:val="-2"/>
          <w:sz w:val="24"/>
        </w:rPr>
      </w:pPr>
    </w:p>
    <w:p>
      <w:pPr>
        <w:spacing w:line="460" w:lineRule="exact"/>
        <w:ind w:firstLine="6475" w:firstLineChars="2744"/>
        <w:rPr>
          <w:rFonts w:eastAsia="方正仿宋_GBK"/>
          <w:color w:val="000000"/>
          <w:spacing w:val="-2"/>
          <w:sz w:val="24"/>
        </w:rPr>
      </w:pPr>
      <w:r>
        <w:rPr>
          <w:rFonts w:hint="eastAsia" w:eastAsia="方正仿宋_GBK"/>
          <w:color w:val="000000"/>
          <w:spacing w:val="-2"/>
          <w:sz w:val="24"/>
        </w:rPr>
        <w:t>江苏省建设厅</w:t>
      </w:r>
    </w:p>
    <w:p>
      <w:pPr>
        <w:spacing w:line="460" w:lineRule="exact"/>
        <w:ind w:right="418" w:rightChars="199" w:firstLine="3528" w:firstLineChars="1495"/>
        <w:jc w:val="right"/>
        <w:rPr>
          <w:rFonts w:eastAsia="方正仿宋_GBK"/>
          <w:color w:val="000000"/>
          <w:spacing w:val="-2"/>
          <w:sz w:val="32"/>
          <w:szCs w:val="32"/>
        </w:rPr>
      </w:pPr>
      <w:r>
        <w:rPr>
          <w:rFonts w:hint="eastAsia" w:eastAsia="方正仿宋_GBK"/>
          <w:color w:val="000000"/>
          <w:spacing w:val="-2"/>
          <w:sz w:val="24"/>
        </w:rPr>
        <w:t>二〇〇九年五月二十六日</w:t>
      </w:r>
    </w:p>
    <w:p>
      <w:pPr>
        <w:spacing w:line="560" w:lineRule="exact"/>
        <w:rPr>
          <w:rFonts w:eastAsia="方正黑体_GBK"/>
          <w:color w:val="000000"/>
          <w:spacing w:val="-2"/>
          <w:sz w:val="28"/>
          <w:szCs w:val="28"/>
        </w:rPr>
      </w:pPr>
      <w:r>
        <w:rPr>
          <w:rFonts w:eastAsia="方正仿宋_GBK"/>
          <w:color w:val="000000"/>
          <w:spacing w:val="-2"/>
          <w:sz w:val="32"/>
          <w:szCs w:val="32"/>
        </w:rPr>
        <w:br w:type="column"/>
      </w:r>
      <w:r>
        <w:rPr>
          <w:rFonts w:hint="eastAsia" w:eastAsia="方正黑体_GBK"/>
          <w:color w:val="000000"/>
          <w:spacing w:val="-2"/>
          <w:sz w:val="28"/>
          <w:szCs w:val="28"/>
        </w:rPr>
        <w:t>附件：</w:t>
      </w:r>
    </w:p>
    <w:p>
      <w:pPr>
        <w:spacing w:line="460" w:lineRule="exact"/>
        <w:jc w:val="center"/>
        <w:rPr>
          <w:rFonts w:eastAsia="方正仿宋_GBK"/>
          <w:color w:val="000000"/>
          <w:spacing w:val="-2"/>
          <w:sz w:val="24"/>
        </w:rPr>
      </w:pPr>
    </w:p>
    <w:p>
      <w:pPr>
        <w:spacing w:line="460" w:lineRule="exact"/>
        <w:jc w:val="center"/>
        <w:rPr>
          <w:rFonts w:eastAsia="方正黑体_GBK"/>
          <w:color w:val="000000"/>
          <w:spacing w:val="-2"/>
          <w:sz w:val="36"/>
          <w:szCs w:val="36"/>
        </w:rPr>
      </w:pPr>
      <w:r>
        <w:rPr>
          <w:rFonts w:hint="eastAsia" w:eastAsia="方正黑体_GBK"/>
          <w:color w:val="000000"/>
          <w:spacing w:val="-2"/>
          <w:sz w:val="36"/>
          <w:szCs w:val="36"/>
        </w:rPr>
        <w:t>江苏省房地产开发（电子）项目手册管理办法</w:t>
      </w:r>
    </w:p>
    <w:p>
      <w:pPr>
        <w:spacing w:line="460" w:lineRule="exact"/>
        <w:jc w:val="center"/>
        <w:rPr>
          <w:rFonts w:eastAsia="方正仿宋_GBK"/>
          <w:b/>
          <w:color w:val="000000"/>
          <w:spacing w:val="-2"/>
          <w:sz w:val="24"/>
        </w:rPr>
      </w:pPr>
    </w:p>
    <w:p>
      <w:pPr>
        <w:spacing w:line="460" w:lineRule="exact"/>
        <w:ind w:firstLine="472" w:firstLineChars="200"/>
        <w:rPr>
          <w:rFonts w:eastAsia="方正仿宋_GBK"/>
          <w:color w:val="000000"/>
          <w:spacing w:val="-2"/>
          <w:sz w:val="24"/>
        </w:rPr>
      </w:pPr>
      <w:r>
        <w:rPr>
          <w:rFonts w:hint="eastAsia" w:eastAsia="方正黑体_GBK"/>
          <w:color w:val="000000"/>
          <w:spacing w:val="-2"/>
          <w:sz w:val="24"/>
        </w:rPr>
        <w:t>第一条</w:t>
      </w:r>
      <w:r>
        <w:rPr>
          <w:rFonts w:eastAsia="方正仿宋_GBK"/>
          <w:b/>
          <w:color w:val="000000"/>
          <w:spacing w:val="-2"/>
          <w:sz w:val="24"/>
        </w:rPr>
        <w:t xml:space="preserve">  </w:t>
      </w:r>
      <w:r>
        <w:rPr>
          <w:rFonts w:hint="eastAsia" w:eastAsia="方正仿宋_GBK"/>
          <w:color w:val="000000"/>
          <w:spacing w:val="-2"/>
          <w:sz w:val="24"/>
        </w:rPr>
        <w:t>为切实加强对房地产开发项目全过程的监管，规范房地产开发经营行为，根据国务院《城市房地产开发经营管理条例》和相关法规、规章，结合我省实际，制定本办法。</w:t>
      </w:r>
    </w:p>
    <w:p>
      <w:pPr>
        <w:spacing w:line="460" w:lineRule="exact"/>
        <w:ind w:firstLine="472" w:firstLineChars="200"/>
        <w:rPr>
          <w:rFonts w:eastAsia="方正仿宋_GBK"/>
          <w:color w:val="000000"/>
          <w:spacing w:val="-2"/>
          <w:sz w:val="24"/>
        </w:rPr>
      </w:pPr>
      <w:r>
        <w:rPr>
          <w:rFonts w:hint="eastAsia" w:eastAsia="方正黑体_GBK"/>
          <w:color w:val="000000"/>
          <w:spacing w:val="-2"/>
          <w:sz w:val="24"/>
        </w:rPr>
        <w:t>第二条</w:t>
      </w:r>
      <w:r>
        <w:rPr>
          <w:rFonts w:eastAsia="方正仿宋_GBK"/>
          <w:color w:val="000000"/>
          <w:spacing w:val="-2"/>
          <w:sz w:val="24"/>
        </w:rPr>
        <w:t xml:space="preserve">  </w:t>
      </w:r>
      <w:r>
        <w:rPr>
          <w:rFonts w:hint="eastAsia" w:eastAsia="方正仿宋_GBK"/>
          <w:color w:val="000000"/>
          <w:spacing w:val="-2"/>
          <w:sz w:val="24"/>
        </w:rPr>
        <w:t>本省实行《房地产开发（电子）项目手册》（以下简称《项目手册》）制度。凡在本省行政区域内从事房地产开发经营活动的房地产开发企业，均应当按照本办法规定将房地产开发项目建设过程中的主要事项记录在《现目手册》中。</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房地产开发项目建设过程中的主要事项包括涉及房地产开发项目建设的各类行政许可、备案管理所核定、要求的内容。包括土地使用权证书或者使用土地批准文件、项目批准意见书、建设用地规划许可证、建设工程规划许可证、建筑工程施工许可证、商品房（预）销售许可证、工程质量竣工验收记录、各相关行政管理部门的批准文书以及按照规定需要向房地产行政主管部门报送的数据和材料。</w:t>
      </w:r>
    </w:p>
    <w:p>
      <w:pPr>
        <w:spacing w:line="460" w:lineRule="exact"/>
        <w:ind w:firstLine="472" w:firstLineChars="200"/>
        <w:rPr>
          <w:rFonts w:eastAsia="方正仿宋_GBK"/>
          <w:color w:val="000000"/>
          <w:spacing w:val="-2"/>
          <w:sz w:val="24"/>
        </w:rPr>
      </w:pPr>
      <w:r>
        <w:rPr>
          <w:rFonts w:hint="eastAsia" w:eastAsia="方正黑体_GBK"/>
          <w:color w:val="000000"/>
          <w:spacing w:val="-2"/>
          <w:sz w:val="24"/>
        </w:rPr>
        <w:t>第三条</w:t>
      </w:r>
      <w:r>
        <w:rPr>
          <w:rFonts w:eastAsia="方正仿宋_GBK"/>
          <w:color w:val="000000"/>
          <w:spacing w:val="-2"/>
          <w:sz w:val="24"/>
        </w:rPr>
        <w:t xml:space="preserve">  </w:t>
      </w:r>
      <w:r>
        <w:rPr>
          <w:rFonts w:hint="eastAsia" w:eastAsia="方正仿宋_GBK"/>
          <w:color w:val="000000"/>
          <w:spacing w:val="-2"/>
          <w:sz w:val="24"/>
        </w:rPr>
        <w:t>江苏省建设厅负责全省范围内实施《项目手册》制度的监督管理。市、县（市）房地产开发行政主管部门负责辖区内《项目手册》制度的实施与管理。</w:t>
      </w:r>
    </w:p>
    <w:p>
      <w:pPr>
        <w:spacing w:line="460" w:lineRule="exact"/>
        <w:ind w:firstLine="472" w:firstLineChars="200"/>
        <w:rPr>
          <w:rFonts w:eastAsia="方正仿宋_GBK"/>
          <w:color w:val="000000"/>
          <w:spacing w:val="-2"/>
          <w:sz w:val="24"/>
        </w:rPr>
      </w:pPr>
      <w:r>
        <w:rPr>
          <w:rFonts w:hint="eastAsia" w:eastAsia="方正黑体_GBK"/>
          <w:color w:val="000000"/>
          <w:spacing w:val="-2"/>
          <w:sz w:val="24"/>
        </w:rPr>
        <w:t>第四条</w:t>
      </w:r>
      <w:r>
        <w:rPr>
          <w:rFonts w:eastAsia="方正仿宋_GBK"/>
          <w:b/>
          <w:color w:val="000000"/>
          <w:spacing w:val="-2"/>
          <w:sz w:val="24"/>
        </w:rPr>
        <w:t xml:space="preserve">  </w:t>
      </w:r>
      <w:r>
        <w:rPr>
          <w:rFonts w:hint="eastAsia" w:eastAsia="方正仿宋_GBK"/>
          <w:color w:val="000000"/>
          <w:spacing w:val="-2"/>
          <w:sz w:val="24"/>
        </w:rPr>
        <w:t>《项目手册》备案管理实行</w:t>
      </w:r>
      <w:r>
        <w:rPr>
          <w:rFonts w:eastAsia="方正仿宋_GBK"/>
          <w:color w:val="000000"/>
          <w:spacing w:val="-2"/>
          <w:sz w:val="24"/>
        </w:rPr>
        <w:t>“</w:t>
      </w:r>
      <w:r>
        <w:rPr>
          <w:rFonts w:hint="eastAsia" w:eastAsia="方正仿宋_GBK"/>
          <w:color w:val="000000"/>
          <w:spacing w:val="-2"/>
          <w:sz w:val="24"/>
        </w:rPr>
        <w:t>统一标准、统一要求、统一管理、资源共享</w:t>
      </w:r>
      <w:r>
        <w:rPr>
          <w:rFonts w:eastAsia="方正仿宋_GBK"/>
          <w:color w:val="000000"/>
          <w:spacing w:val="-2"/>
          <w:sz w:val="24"/>
        </w:rPr>
        <w:t xml:space="preserve">” </w:t>
      </w:r>
      <w:r>
        <w:rPr>
          <w:rFonts w:hint="eastAsia" w:eastAsia="方正仿宋_GBK"/>
          <w:color w:val="000000"/>
          <w:spacing w:val="-2"/>
          <w:sz w:val="24"/>
        </w:rPr>
        <w:t>的原则。</w:t>
      </w:r>
    </w:p>
    <w:p>
      <w:pPr>
        <w:spacing w:line="460" w:lineRule="exact"/>
        <w:ind w:firstLine="472" w:firstLineChars="200"/>
        <w:rPr>
          <w:rFonts w:eastAsia="方正仿宋_GBK"/>
          <w:color w:val="000000"/>
          <w:spacing w:val="-2"/>
          <w:sz w:val="24"/>
        </w:rPr>
      </w:pPr>
      <w:r>
        <w:rPr>
          <w:rFonts w:hint="eastAsia" w:eastAsia="方正黑体_GBK"/>
          <w:color w:val="000000"/>
          <w:spacing w:val="-2"/>
          <w:sz w:val="24"/>
        </w:rPr>
        <w:t>第五条</w:t>
      </w:r>
      <w:r>
        <w:rPr>
          <w:rFonts w:eastAsia="方正仿宋_GBK"/>
          <w:b/>
          <w:color w:val="000000"/>
          <w:spacing w:val="-2"/>
          <w:sz w:val="24"/>
        </w:rPr>
        <w:t xml:space="preserve">  </w:t>
      </w:r>
      <w:r>
        <w:rPr>
          <w:rFonts w:hint="eastAsia" w:eastAsia="方正仿宋_GBK"/>
          <w:color w:val="000000"/>
          <w:spacing w:val="-2"/>
          <w:sz w:val="24"/>
        </w:rPr>
        <w:t>《项目手册》的备案管理包括网上核查和现场检查。</w:t>
      </w:r>
    </w:p>
    <w:p>
      <w:pPr>
        <w:spacing w:line="460" w:lineRule="exact"/>
        <w:ind w:firstLine="472" w:firstLineChars="200"/>
        <w:rPr>
          <w:rFonts w:eastAsia="方正仿宋_GBK"/>
          <w:color w:val="000000"/>
          <w:spacing w:val="-2"/>
          <w:sz w:val="24"/>
        </w:rPr>
      </w:pPr>
      <w:r>
        <w:rPr>
          <w:rFonts w:hint="eastAsia" w:eastAsia="方正黑体_GBK"/>
          <w:color w:val="000000"/>
          <w:spacing w:val="-2"/>
          <w:sz w:val="24"/>
        </w:rPr>
        <w:t>第六条</w:t>
      </w:r>
      <w:r>
        <w:rPr>
          <w:rFonts w:eastAsia="方正仿宋_GBK"/>
          <w:b/>
          <w:color w:val="000000"/>
          <w:spacing w:val="-2"/>
          <w:sz w:val="24"/>
        </w:rPr>
        <w:t xml:space="preserve">  </w:t>
      </w:r>
      <w:r>
        <w:rPr>
          <w:rFonts w:hint="eastAsia" w:eastAsia="方正仿宋_GBK"/>
          <w:color w:val="000000"/>
          <w:spacing w:val="-2"/>
          <w:sz w:val="24"/>
        </w:rPr>
        <w:t>网上核查分为申领、核发、填报、验核、终止、归档等六个步骤。</w:t>
      </w:r>
    </w:p>
    <w:p>
      <w:pPr>
        <w:spacing w:line="460" w:lineRule="exact"/>
        <w:ind w:firstLine="472" w:firstLineChars="200"/>
        <w:rPr>
          <w:rFonts w:eastAsia="方正仿宋_GBK"/>
          <w:color w:val="000000"/>
          <w:spacing w:val="-2"/>
          <w:sz w:val="24"/>
        </w:rPr>
      </w:pPr>
      <w:r>
        <w:rPr>
          <w:rFonts w:hint="eastAsia" w:eastAsia="方正黑体_GBK"/>
          <w:color w:val="000000"/>
          <w:spacing w:val="-2"/>
          <w:sz w:val="24"/>
        </w:rPr>
        <w:t>第七条</w:t>
      </w:r>
      <w:r>
        <w:rPr>
          <w:rFonts w:eastAsia="方正仿宋_GBK"/>
          <w:b/>
          <w:color w:val="000000"/>
          <w:spacing w:val="-2"/>
          <w:sz w:val="24"/>
        </w:rPr>
        <w:t xml:space="preserve">  </w:t>
      </w:r>
      <w:r>
        <w:rPr>
          <w:rFonts w:hint="eastAsia" w:eastAsia="方正仿宋_GBK"/>
          <w:color w:val="000000"/>
          <w:spacing w:val="-2"/>
          <w:sz w:val="24"/>
        </w:rPr>
        <w:t>房地产开发企业应当在签订《国有土地出让合同》或者取得土地使用权批准文件</w:t>
      </w:r>
      <w:r>
        <w:rPr>
          <w:rFonts w:eastAsia="方正仿宋_GBK"/>
          <w:color w:val="000000"/>
          <w:spacing w:val="-2"/>
          <w:sz w:val="24"/>
        </w:rPr>
        <w:t>15</w:t>
      </w:r>
      <w:r>
        <w:rPr>
          <w:rFonts w:hint="eastAsia" w:eastAsia="方正仿宋_GBK"/>
          <w:color w:val="000000"/>
          <w:spacing w:val="-2"/>
          <w:sz w:val="24"/>
        </w:rPr>
        <w:t>日内向项目所在地房地产开发主管部门申领《项目手册》。</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房地产开发项目属联建的，由各参与联建的企业确定其中一家开发企业作为填报单位申领《项目手册》。</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转让房地产开发项目，转让人和受让人向当地房地产开发主管部门办理备案手续时一并申请转让《项目手册》的信息填报主体。</w:t>
      </w:r>
    </w:p>
    <w:p>
      <w:pPr>
        <w:spacing w:line="460" w:lineRule="exact"/>
        <w:ind w:firstLine="472" w:firstLineChars="200"/>
        <w:rPr>
          <w:rFonts w:eastAsia="方正仿宋_GBK"/>
          <w:color w:val="000000"/>
          <w:spacing w:val="-2"/>
          <w:sz w:val="24"/>
        </w:rPr>
      </w:pPr>
      <w:r>
        <w:rPr>
          <w:rFonts w:hint="eastAsia" w:eastAsia="方正黑体_GBK"/>
          <w:color w:val="000000"/>
          <w:spacing w:val="-2"/>
          <w:sz w:val="24"/>
        </w:rPr>
        <w:t>第八条</w:t>
      </w:r>
      <w:r>
        <w:rPr>
          <w:rFonts w:eastAsia="方正仿宋_GBK"/>
          <w:b/>
          <w:color w:val="000000"/>
          <w:spacing w:val="-2"/>
          <w:sz w:val="24"/>
        </w:rPr>
        <w:t xml:space="preserve">  </w:t>
      </w:r>
      <w:r>
        <w:rPr>
          <w:rFonts w:hint="eastAsia" w:eastAsia="方正仿宋_GBK"/>
          <w:color w:val="000000"/>
          <w:spacing w:val="-2"/>
          <w:sz w:val="24"/>
        </w:rPr>
        <w:t>房地产开发主管部门通过《江苏省住房与房地产电子政务平台》向申请人核发《项目手册》，建立编号，设定权限。</w:t>
      </w:r>
    </w:p>
    <w:p>
      <w:pPr>
        <w:spacing w:line="440" w:lineRule="exact"/>
        <w:ind w:firstLine="472" w:firstLineChars="200"/>
        <w:rPr>
          <w:rFonts w:eastAsia="方正仿宋_GBK"/>
          <w:color w:val="000000"/>
          <w:spacing w:val="-2"/>
          <w:sz w:val="24"/>
        </w:rPr>
      </w:pPr>
      <w:r>
        <w:rPr>
          <w:rFonts w:hint="eastAsia" w:eastAsia="方正仿宋_GBK"/>
          <w:color w:val="000000"/>
          <w:spacing w:val="-2"/>
          <w:sz w:val="24"/>
        </w:rPr>
        <w:t>转让房地产开发项目的，主管部门应当调整填报主体，转由受让人继续填报。</w:t>
      </w:r>
    </w:p>
    <w:p>
      <w:pPr>
        <w:spacing w:line="440" w:lineRule="exact"/>
        <w:ind w:firstLine="472" w:firstLineChars="200"/>
        <w:rPr>
          <w:rFonts w:eastAsia="方正仿宋_GBK"/>
          <w:color w:val="000000"/>
          <w:spacing w:val="-2"/>
          <w:sz w:val="24"/>
        </w:rPr>
      </w:pPr>
      <w:r>
        <w:rPr>
          <w:rFonts w:hint="eastAsia" w:eastAsia="方正黑体_GBK"/>
          <w:color w:val="000000"/>
          <w:spacing w:val="-2"/>
          <w:sz w:val="24"/>
        </w:rPr>
        <w:t>第九条</w:t>
      </w:r>
      <w:r>
        <w:rPr>
          <w:rFonts w:eastAsia="方正仿宋_GBK"/>
          <w:color w:val="000000"/>
          <w:spacing w:val="-2"/>
          <w:sz w:val="24"/>
        </w:rPr>
        <w:t xml:space="preserve">  </w:t>
      </w:r>
      <w:r>
        <w:rPr>
          <w:rFonts w:hint="eastAsia" w:eastAsia="方正仿宋_GBK"/>
          <w:color w:val="000000"/>
          <w:spacing w:val="-2"/>
          <w:sz w:val="24"/>
        </w:rPr>
        <w:t>房地产开发企业应当按照《江苏省房地产开发（电子）项目手册填报规范》，通过</w:t>
      </w:r>
      <w:r>
        <w:rPr>
          <w:rFonts w:eastAsia="方正仿宋_GBK"/>
          <w:color w:val="000000"/>
          <w:spacing w:val="-2"/>
          <w:sz w:val="24"/>
        </w:rPr>
        <w:t>“</w:t>
      </w:r>
      <w:r>
        <w:rPr>
          <w:rFonts w:hint="eastAsia" w:eastAsia="方正仿宋_GBK"/>
          <w:color w:val="000000"/>
          <w:spacing w:val="-2"/>
          <w:sz w:val="24"/>
        </w:rPr>
        <w:t>江苏省住房与房地产电子政务平台</w:t>
      </w:r>
      <w:r>
        <w:rPr>
          <w:rFonts w:eastAsia="方正仿宋_GBK"/>
          <w:color w:val="000000"/>
          <w:spacing w:val="-2"/>
          <w:sz w:val="24"/>
        </w:rPr>
        <w:t>”</w:t>
      </w:r>
      <w:r>
        <w:rPr>
          <w:rFonts w:hint="eastAsia" w:eastAsia="方正仿宋_GBK"/>
          <w:color w:val="000000"/>
          <w:spacing w:val="-2"/>
          <w:sz w:val="24"/>
        </w:rPr>
        <w:t>如实填报《项目手册》，并对填报信息的真实性、准确性负责。</w:t>
      </w:r>
    </w:p>
    <w:p>
      <w:pPr>
        <w:spacing w:line="440" w:lineRule="exact"/>
        <w:ind w:firstLine="472" w:firstLineChars="200"/>
        <w:rPr>
          <w:rFonts w:eastAsia="方正仿宋_GBK"/>
          <w:color w:val="000000"/>
          <w:spacing w:val="-2"/>
          <w:sz w:val="24"/>
        </w:rPr>
      </w:pPr>
      <w:r>
        <w:rPr>
          <w:rFonts w:hint="eastAsia" w:eastAsia="方正仿宋_GBK"/>
          <w:color w:val="000000"/>
          <w:spacing w:val="-2"/>
          <w:sz w:val="24"/>
        </w:rPr>
        <w:t>《项目手册》可按规定格式输出。</w:t>
      </w:r>
    </w:p>
    <w:p>
      <w:pPr>
        <w:spacing w:line="440" w:lineRule="exact"/>
        <w:ind w:firstLine="472" w:firstLineChars="200"/>
        <w:rPr>
          <w:rFonts w:eastAsia="方正仿宋_GBK"/>
          <w:color w:val="000000"/>
          <w:spacing w:val="-2"/>
          <w:sz w:val="24"/>
        </w:rPr>
      </w:pPr>
      <w:r>
        <w:rPr>
          <w:rFonts w:hint="eastAsia" w:eastAsia="方正黑体_GBK"/>
          <w:color w:val="000000"/>
          <w:spacing w:val="-2"/>
          <w:sz w:val="24"/>
        </w:rPr>
        <w:t>第十条</w:t>
      </w:r>
      <w:r>
        <w:rPr>
          <w:rFonts w:eastAsia="方正仿宋_GBK"/>
          <w:b/>
          <w:color w:val="000000"/>
          <w:spacing w:val="-2"/>
          <w:sz w:val="24"/>
        </w:rPr>
        <w:t xml:space="preserve">  </w:t>
      </w:r>
      <w:r>
        <w:rPr>
          <w:rFonts w:hint="eastAsia" w:eastAsia="方正仿宋_GBK"/>
          <w:color w:val="000000"/>
          <w:spacing w:val="-2"/>
          <w:sz w:val="24"/>
        </w:rPr>
        <w:t>《项目手册》实行月度填报制度，房地产开发企业于每月底填报本月发生的事项。</w:t>
      </w:r>
    </w:p>
    <w:p>
      <w:pPr>
        <w:spacing w:line="440" w:lineRule="exact"/>
        <w:ind w:firstLine="472" w:firstLineChars="200"/>
        <w:rPr>
          <w:rFonts w:eastAsia="方正仿宋_GBK"/>
          <w:color w:val="000000"/>
          <w:spacing w:val="-2"/>
          <w:sz w:val="24"/>
        </w:rPr>
      </w:pPr>
      <w:r>
        <w:rPr>
          <w:rFonts w:hint="eastAsia" w:eastAsia="方正仿宋_GBK"/>
          <w:color w:val="000000"/>
          <w:spacing w:val="-2"/>
          <w:sz w:val="24"/>
        </w:rPr>
        <w:t>到期无必须填报事项时，房地产开发企业须使用</w:t>
      </w:r>
      <w:r>
        <w:rPr>
          <w:rFonts w:eastAsia="方正仿宋_GBK"/>
          <w:color w:val="000000"/>
          <w:spacing w:val="-2"/>
          <w:sz w:val="24"/>
        </w:rPr>
        <w:t>“</w:t>
      </w:r>
      <w:r>
        <w:rPr>
          <w:rFonts w:hint="eastAsia" w:eastAsia="方正仿宋_GBK"/>
          <w:color w:val="000000"/>
          <w:spacing w:val="-2"/>
          <w:sz w:val="24"/>
        </w:rPr>
        <w:t>零申报</w:t>
      </w:r>
      <w:r>
        <w:rPr>
          <w:rFonts w:eastAsia="方正仿宋_GBK"/>
          <w:color w:val="000000"/>
          <w:spacing w:val="-2"/>
          <w:sz w:val="24"/>
        </w:rPr>
        <w:t>”</w:t>
      </w:r>
      <w:r>
        <w:rPr>
          <w:rFonts w:hint="eastAsia" w:eastAsia="方正仿宋_GBK"/>
          <w:color w:val="000000"/>
          <w:spacing w:val="-2"/>
          <w:sz w:val="24"/>
        </w:rPr>
        <w:t>方式告知主管部门。</w:t>
      </w:r>
    </w:p>
    <w:p>
      <w:pPr>
        <w:spacing w:line="440" w:lineRule="exact"/>
        <w:ind w:firstLine="472" w:firstLineChars="200"/>
        <w:rPr>
          <w:rFonts w:eastAsia="方正仿宋_GBK"/>
          <w:color w:val="000000"/>
          <w:spacing w:val="-2"/>
          <w:sz w:val="24"/>
        </w:rPr>
      </w:pPr>
      <w:r>
        <w:rPr>
          <w:rFonts w:hint="eastAsia" w:eastAsia="方正仿宋_GBK"/>
          <w:color w:val="000000"/>
          <w:spacing w:val="-2"/>
          <w:sz w:val="24"/>
        </w:rPr>
        <w:t>开发建设项目情况发生行政许可内容、开发建设方式、规划设计条件等重要变更的，或者按照本办法第二条规定需要向房地产行政主管报送数据和材料的，房地产开发企业应将变更信息及时载入《项目手册》。</w:t>
      </w:r>
    </w:p>
    <w:p>
      <w:pPr>
        <w:spacing w:line="440" w:lineRule="exact"/>
        <w:ind w:firstLine="472" w:firstLineChars="200"/>
        <w:rPr>
          <w:rFonts w:eastAsia="方正仿宋_GBK"/>
          <w:color w:val="000000"/>
          <w:spacing w:val="-2"/>
          <w:kern w:val="0"/>
          <w:sz w:val="24"/>
        </w:rPr>
      </w:pPr>
      <w:r>
        <w:rPr>
          <w:rFonts w:hint="eastAsia" w:eastAsia="方正黑体_GBK"/>
          <w:color w:val="000000"/>
          <w:spacing w:val="-2"/>
          <w:sz w:val="24"/>
        </w:rPr>
        <w:t>第十一条</w:t>
      </w:r>
      <w:r>
        <w:rPr>
          <w:rFonts w:eastAsia="方正仿宋_GBK"/>
          <w:b/>
          <w:color w:val="000000"/>
          <w:spacing w:val="-2"/>
          <w:sz w:val="24"/>
        </w:rPr>
        <w:t xml:space="preserve">  </w:t>
      </w:r>
      <w:r>
        <w:rPr>
          <w:rFonts w:hint="eastAsia" w:eastAsia="方正仿宋_GBK"/>
          <w:color w:val="000000"/>
          <w:spacing w:val="-2"/>
          <w:kern w:val="0"/>
          <w:sz w:val="24"/>
        </w:rPr>
        <w:t>房地产开发主管部门每月对房地产开发企业所填报的</w:t>
      </w:r>
      <w:r>
        <w:rPr>
          <w:rFonts w:hint="eastAsia" w:eastAsia="方正仿宋_GBK"/>
          <w:color w:val="000000"/>
          <w:spacing w:val="-2"/>
          <w:sz w:val="24"/>
        </w:rPr>
        <w:t>《项目手册》</w:t>
      </w:r>
      <w:r>
        <w:rPr>
          <w:rFonts w:hint="eastAsia" w:eastAsia="方正仿宋_GBK"/>
          <w:color w:val="000000"/>
          <w:spacing w:val="-2"/>
          <w:kern w:val="0"/>
          <w:sz w:val="24"/>
        </w:rPr>
        <w:t>内容进行验核并签署意见。</w:t>
      </w:r>
    </w:p>
    <w:p>
      <w:pPr>
        <w:spacing w:line="440" w:lineRule="exact"/>
        <w:ind w:firstLine="472" w:firstLineChars="200"/>
        <w:jc w:val="left"/>
        <w:rPr>
          <w:rFonts w:eastAsia="方正仿宋_GBK"/>
          <w:color w:val="000000"/>
          <w:spacing w:val="-2"/>
          <w:sz w:val="24"/>
        </w:rPr>
      </w:pPr>
      <w:r>
        <w:rPr>
          <w:rFonts w:hint="eastAsia" w:eastAsia="方正仿宋_GBK"/>
          <w:color w:val="000000"/>
          <w:spacing w:val="-2"/>
          <w:sz w:val="24"/>
        </w:rPr>
        <w:t>房地产开发主管部门要按一定比例，对房地产开发企业的项目建设、经营情况进行现场检查并签署意见。</w:t>
      </w:r>
    </w:p>
    <w:p>
      <w:pPr>
        <w:spacing w:line="440" w:lineRule="exact"/>
        <w:ind w:firstLine="472" w:firstLineChars="200"/>
        <w:jc w:val="left"/>
        <w:rPr>
          <w:rFonts w:eastAsia="方正仿宋_GBK"/>
          <w:color w:val="000000"/>
          <w:spacing w:val="-2"/>
          <w:sz w:val="24"/>
        </w:rPr>
      </w:pPr>
      <w:r>
        <w:rPr>
          <w:rFonts w:hint="eastAsia" w:eastAsia="方正仿宋_GBK"/>
          <w:color w:val="000000"/>
          <w:spacing w:val="-2"/>
          <w:sz w:val="24"/>
        </w:rPr>
        <w:t>《项目手册》作为核定企业资质等级的证明材料之一。</w:t>
      </w:r>
    </w:p>
    <w:p>
      <w:pPr>
        <w:spacing w:line="440" w:lineRule="exact"/>
        <w:ind w:firstLine="472" w:firstLineChars="200"/>
        <w:rPr>
          <w:rFonts w:eastAsia="方正仿宋_GBK"/>
          <w:color w:val="000000"/>
          <w:spacing w:val="-2"/>
          <w:sz w:val="24"/>
        </w:rPr>
      </w:pPr>
      <w:r>
        <w:rPr>
          <w:rFonts w:hint="eastAsia" w:eastAsia="方正黑体_GBK"/>
          <w:color w:val="000000"/>
          <w:spacing w:val="-2"/>
          <w:sz w:val="24"/>
        </w:rPr>
        <w:t>第十二条</w:t>
      </w:r>
      <w:r>
        <w:rPr>
          <w:rFonts w:eastAsia="方正仿宋_GBK"/>
          <w:b/>
          <w:color w:val="000000"/>
          <w:spacing w:val="-2"/>
          <w:sz w:val="24"/>
        </w:rPr>
        <w:t xml:space="preserve">  </w:t>
      </w:r>
      <w:r>
        <w:rPr>
          <w:rFonts w:hint="eastAsia" w:eastAsia="方正仿宋_GBK"/>
          <w:color w:val="000000"/>
          <w:spacing w:val="-2"/>
          <w:sz w:val="24"/>
        </w:rPr>
        <w:t>房地产开发项目正常或异常结束，由房地产开发企业填报终止申请，房地产开发行政主管部门终止对该《项目手册》的管理。</w:t>
      </w:r>
    </w:p>
    <w:p>
      <w:pPr>
        <w:spacing w:line="440" w:lineRule="exact"/>
        <w:ind w:firstLine="472" w:firstLineChars="200"/>
        <w:rPr>
          <w:rFonts w:eastAsia="方正仿宋_GBK"/>
          <w:color w:val="000000"/>
          <w:spacing w:val="-2"/>
          <w:sz w:val="24"/>
        </w:rPr>
      </w:pPr>
      <w:r>
        <w:rPr>
          <w:rFonts w:hint="eastAsia" w:eastAsia="方正黑体_GBK"/>
          <w:color w:val="000000"/>
          <w:spacing w:val="-2"/>
          <w:sz w:val="24"/>
        </w:rPr>
        <w:t>第十三条</w:t>
      </w:r>
      <w:r>
        <w:rPr>
          <w:rFonts w:eastAsia="方正仿宋_GBK"/>
          <w:b/>
          <w:color w:val="000000"/>
          <w:spacing w:val="-2"/>
          <w:sz w:val="24"/>
        </w:rPr>
        <w:t xml:space="preserve">  </w:t>
      </w:r>
      <w:r>
        <w:rPr>
          <w:rFonts w:hint="eastAsia" w:eastAsia="方正仿宋_GBK"/>
          <w:color w:val="000000"/>
          <w:spacing w:val="-2"/>
          <w:sz w:val="24"/>
        </w:rPr>
        <w:t>项目终止后，由房地产开发行政主管部门对《项目手册》进行归档处理，并移交城建档案部门。</w:t>
      </w:r>
    </w:p>
    <w:p>
      <w:pPr>
        <w:spacing w:line="440" w:lineRule="exact"/>
        <w:ind w:firstLine="472" w:firstLineChars="200"/>
        <w:rPr>
          <w:rFonts w:eastAsia="方正仿宋_GBK"/>
          <w:color w:val="000000"/>
          <w:spacing w:val="-2"/>
          <w:sz w:val="24"/>
        </w:rPr>
      </w:pPr>
      <w:r>
        <w:rPr>
          <w:rFonts w:hint="eastAsia" w:eastAsia="方正黑体_GBK"/>
          <w:color w:val="000000"/>
          <w:spacing w:val="-2"/>
          <w:sz w:val="24"/>
        </w:rPr>
        <w:t>第十四条</w:t>
      </w:r>
      <w:r>
        <w:rPr>
          <w:rFonts w:eastAsia="方正仿宋_GBK"/>
          <w:b/>
          <w:color w:val="000000"/>
          <w:spacing w:val="-2"/>
          <w:sz w:val="24"/>
        </w:rPr>
        <w:t xml:space="preserve"> </w:t>
      </w:r>
      <w:r>
        <w:rPr>
          <w:rFonts w:hint="eastAsia" w:eastAsia="方正仿宋_GBK"/>
          <w:color w:val="000000"/>
          <w:spacing w:val="-2"/>
          <w:sz w:val="24"/>
        </w:rPr>
        <w:t>房地产开发企业填报的《项目手册》的内容不全或者有错误的，责令其更正、补全项目信息；未按照本办法规定填报《项目手册》的，不予受理其核定资质等级的申请；弄虚作假填报《项目手册》的，根据《房地产开发企业资质管理规定》、《城市商品房预销售管理办法》的规定给予处罚。</w:t>
      </w:r>
    </w:p>
    <w:p>
      <w:pPr>
        <w:spacing w:line="440" w:lineRule="exact"/>
        <w:ind w:firstLine="472" w:firstLineChars="200"/>
        <w:rPr>
          <w:rFonts w:eastAsia="方正仿宋_GBK"/>
          <w:color w:val="000000"/>
          <w:spacing w:val="-2"/>
          <w:sz w:val="24"/>
        </w:rPr>
      </w:pPr>
      <w:r>
        <w:rPr>
          <w:rFonts w:hint="eastAsia" w:eastAsia="方正黑体_GBK"/>
          <w:color w:val="000000"/>
          <w:spacing w:val="-2"/>
          <w:sz w:val="24"/>
        </w:rPr>
        <w:t>第十五条</w:t>
      </w:r>
      <w:r>
        <w:rPr>
          <w:rFonts w:eastAsia="方正仿宋_GBK"/>
          <w:b/>
          <w:color w:val="000000"/>
          <w:spacing w:val="-2"/>
          <w:sz w:val="24"/>
        </w:rPr>
        <w:t xml:space="preserve">  </w:t>
      </w:r>
      <w:r>
        <w:rPr>
          <w:rFonts w:hint="eastAsia" w:eastAsia="方正仿宋_GBK"/>
          <w:color w:val="000000"/>
          <w:spacing w:val="-2"/>
          <w:sz w:val="24"/>
        </w:rPr>
        <w:t>本办法由江苏省建设厅负责解释。</w:t>
      </w:r>
    </w:p>
    <w:p>
      <w:pPr>
        <w:spacing w:line="440" w:lineRule="exact"/>
        <w:ind w:firstLine="472" w:firstLineChars="200"/>
        <w:rPr>
          <w:rFonts w:eastAsia="方正仿宋_GBK"/>
          <w:color w:val="000000"/>
          <w:spacing w:val="-2"/>
          <w:sz w:val="24"/>
        </w:rPr>
      </w:pPr>
      <w:r>
        <w:rPr>
          <w:rFonts w:hint="eastAsia" w:eastAsia="方正黑体_GBK"/>
          <w:color w:val="000000"/>
          <w:spacing w:val="-2"/>
          <w:sz w:val="24"/>
        </w:rPr>
        <w:t>第十六条</w:t>
      </w:r>
      <w:r>
        <w:rPr>
          <w:rFonts w:eastAsia="方正仿宋_GBK"/>
          <w:color w:val="000000"/>
          <w:spacing w:val="-2"/>
          <w:sz w:val="24"/>
        </w:rPr>
        <w:t xml:space="preserve">  </w:t>
      </w:r>
      <w:r>
        <w:rPr>
          <w:rFonts w:hint="eastAsia" w:eastAsia="方正仿宋_GBK"/>
          <w:color w:val="000000"/>
          <w:spacing w:val="-2"/>
          <w:sz w:val="24"/>
        </w:rPr>
        <w:t>本办法自</w:t>
      </w:r>
      <w:r>
        <w:rPr>
          <w:rFonts w:eastAsia="方正仿宋_GBK"/>
          <w:color w:val="000000"/>
          <w:spacing w:val="-2"/>
          <w:sz w:val="24"/>
        </w:rPr>
        <w:t>2009</w:t>
      </w:r>
      <w:r>
        <w:rPr>
          <w:rFonts w:hint="eastAsia" w:eastAsia="方正仿宋_GBK"/>
          <w:color w:val="000000"/>
          <w:spacing w:val="-2"/>
          <w:sz w:val="24"/>
        </w:rPr>
        <w:t>年</w:t>
      </w:r>
      <w:r>
        <w:rPr>
          <w:rFonts w:eastAsia="方正仿宋_GBK"/>
          <w:color w:val="000000"/>
          <w:spacing w:val="-2"/>
          <w:sz w:val="24"/>
        </w:rPr>
        <w:t>9</w:t>
      </w:r>
      <w:r>
        <w:rPr>
          <w:rFonts w:hint="eastAsia" w:eastAsia="方正仿宋_GBK"/>
          <w:color w:val="000000"/>
          <w:spacing w:val="-2"/>
          <w:sz w:val="24"/>
        </w:rPr>
        <w:t>月</w:t>
      </w:r>
      <w:r>
        <w:rPr>
          <w:rFonts w:eastAsia="方正仿宋_GBK"/>
          <w:color w:val="000000"/>
          <w:spacing w:val="-2"/>
          <w:sz w:val="24"/>
        </w:rPr>
        <w:t>1</w:t>
      </w:r>
      <w:r>
        <w:rPr>
          <w:rFonts w:hint="eastAsia" w:eastAsia="方正仿宋_GBK"/>
          <w:color w:val="000000"/>
          <w:spacing w:val="-2"/>
          <w:sz w:val="24"/>
        </w:rPr>
        <w:t>日起施行。</w:t>
      </w:r>
    </w:p>
    <w:p>
      <w:pPr>
        <w:shd w:val="clear" w:color="auto" w:fill="FFFFFF"/>
        <w:spacing w:line="460" w:lineRule="exact"/>
        <w:jc w:val="left"/>
        <w:rPr>
          <w:color w:val="000000"/>
          <w:kern w:val="0"/>
          <w:sz w:val="24"/>
        </w:rPr>
      </w:pPr>
      <w:r>
        <w:rPr>
          <w:rFonts w:hint="eastAsia"/>
          <w:b/>
          <w:bCs/>
          <w:color w:val="000000"/>
          <w:kern w:val="0"/>
          <w:sz w:val="24"/>
        </w:rPr>
        <w:t>　</w:t>
      </w:r>
    </w:p>
    <w:p/>
    <w:p/>
    <w:p/>
    <w:p/>
    <w:p/>
    <w:p/>
    <w:p>
      <w:pPr>
        <w:pStyle w:val="2"/>
        <w:spacing w:before="240" w:beforeLines="100" w:after="240" w:afterLines="100" w:line="240" w:lineRule="auto"/>
        <w:jc w:val="center"/>
        <w:rPr>
          <w:rFonts w:ascii="Times New Roman" w:eastAsia="方正小标宋_GBK"/>
          <w:b w:val="0"/>
          <w:sz w:val="36"/>
          <w:szCs w:val="36"/>
        </w:rPr>
      </w:pPr>
      <w:bookmarkStart w:id="11" w:name="_Toc20726285"/>
      <w:bookmarkStart w:id="12" w:name="_Toc18315363"/>
      <w:r>
        <w:rPr>
          <w:rFonts w:hint="eastAsia" w:ascii="Times New Roman" w:eastAsia="方正小标宋_GBK"/>
          <w:b w:val="0"/>
          <w:sz w:val="36"/>
          <w:szCs w:val="36"/>
        </w:rPr>
        <w:t>关于进一步规范商品房预（销）售行为的通知</w:t>
      </w:r>
      <w:bookmarkEnd w:id="11"/>
      <w:bookmarkEnd w:id="12"/>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13" w:name="_Toc18315364"/>
      <w:bookmarkStart w:id="14" w:name="_Toc20726286"/>
      <w:r>
        <w:rPr>
          <w:rFonts w:hint="eastAsia" w:ascii="Times New Roman" w:hAnsi="Times New Roman" w:eastAsia="方正楷体_GBK"/>
          <w:b w:val="0"/>
          <w:sz w:val="24"/>
          <w:szCs w:val="24"/>
        </w:rPr>
        <w:t>苏建函房〔</w:t>
      </w:r>
      <w:r>
        <w:rPr>
          <w:rFonts w:ascii="Times New Roman" w:hAnsi="Times New Roman" w:eastAsia="方正楷体_GBK"/>
          <w:b w:val="0"/>
          <w:sz w:val="24"/>
          <w:szCs w:val="24"/>
        </w:rPr>
        <w:t>2009</w:t>
      </w:r>
      <w:r>
        <w:rPr>
          <w:rFonts w:hint="eastAsia" w:ascii="Times New Roman" w:hAnsi="Times New Roman" w:eastAsia="方正楷体_GBK"/>
          <w:b w:val="0"/>
          <w:sz w:val="24"/>
          <w:szCs w:val="24"/>
        </w:rPr>
        <w:t>〕</w:t>
      </w:r>
      <w:r>
        <w:rPr>
          <w:rFonts w:ascii="Times New Roman" w:hAnsi="Times New Roman" w:eastAsia="方正楷体_GBK"/>
          <w:b w:val="0"/>
          <w:sz w:val="24"/>
          <w:szCs w:val="24"/>
        </w:rPr>
        <w:t>669</w:t>
      </w:r>
      <w:r>
        <w:rPr>
          <w:rFonts w:hint="eastAsia" w:ascii="Times New Roman" w:hAnsi="Times New Roman" w:eastAsia="方正楷体_GBK"/>
          <w:b w:val="0"/>
          <w:sz w:val="24"/>
          <w:szCs w:val="24"/>
        </w:rPr>
        <w:t>号</w:t>
      </w:r>
      <w:bookmarkEnd w:id="13"/>
      <w:bookmarkEnd w:id="14"/>
    </w:p>
    <w:p>
      <w:pPr>
        <w:spacing w:line="460" w:lineRule="exact"/>
        <w:rPr>
          <w:rFonts w:eastAsia="方正仿宋_GBK"/>
          <w:color w:val="000000"/>
          <w:spacing w:val="-2"/>
          <w:sz w:val="24"/>
        </w:rPr>
      </w:pPr>
      <w:r>
        <w:rPr>
          <w:rFonts w:hint="eastAsia" w:eastAsia="方正仿宋_GBK"/>
          <w:color w:val="000000"/>
          <w:spacing w:val="-2"/>
          <w:sz w:val="24"/>
        </w:rPr>
        <w:t>各市、县（市）建设局、房管局：</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最近，住房和城乡建设部下发了《关于转发</w:t>
      </w:r>
      <w:r>
        <w:rPr>
          <w:rFonts w:hint="eastAsia" w:ascii="Times New Roman" w:hAnsi="Times New Roman"/>
          <w:color w:val="000000"/>
          <w:spacing w:val="-2"/>
          <w:sz w:val="24"/>
        </w:rPr>
        <w:t>&lt;</w:t>
      </w:r>
      <w:r>
        <w:rPr>
          <w:rFonts w:hint="eastAsia" w:eastAsia="方正仿宋_GBK"/>
          <w:color w:val="000000"/>
          <w:spacing w:val="-2"/>
          <w:sz w:val="24"/>
        </w:rPr>
        <w:t>上海市商品房销售方案备案管理暂行规定</w:t>
      </w:r>
      <w:r>
        <w:rPr>
          <w:rFonts w:hint="eastAsia" w:ascii="Times New Roman" w:hAnsi="Times New Roman"/>
          <w:color w:val="000000"/>
          <w:spacing w:val="-2"/>
          <w:sz w:val="24"/>
        </w:rPr>
        <w:t>&gt;</w:t>
      </w:r>
      <w:r>
        <w:rPr>
          <w:rFonts w:hint="eastAsia" w:eastAsia="方正仿宋_GBK"/>
          <w:color w:val="000000"/>
          <w:spacing w:val="-2"/>
          <w:sz w:val="24"/>
        </w:rPr>
        <w:t>的通知》（建办房函〔</w:t>
      </w:r>
      <w:r>
        <w:rPr>
          <w:rFonts w:eastAsia="方正仿宋_GBK"/>
          <w:color w:val="000000"/>
          <w:spacing w:val="-2"/>
          <w:sz w:val="24"/>
        </w:rPr>
        <w:t>2009)785</w:t>
      </w:r>
      <w:r>
        <w:rPr>
          <w:rFonts w:hint="eastAsia" w:eastAsia="方正仿宋_GBK"/>
          <w:color w:val="000000"/>
          <w:spacing w:val="-2"/>
          <w:sz w:val="24"/>
        </w:rPr>
        <w:t>号），并对进一步规范房地产销售行为有关问题提出了六点要求。现将该《通知》转发给你们，并结合我省实际，就进一步加强商品房预售管理、规范商品房预（销）售行为通知如下：</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一是要加强商品房预售许可管理。</w:t>
      </w:r>
      <w:r>
        <w:rPr>
          <w:rFonts w:hint="eastAsia" w:eastAsia="方正仿宋_GBK"/>
          <w:color w:val="000000"/>
          <w:spacing w:val="-2"/>
          <w:sz w:val="24"/>
        </w:rPr>
        <w:t>各地要严格商品房预售许可条件。房地产开发企业预售商品房，原则上应当以项目为单位申请预售许可，不得分层、分单元申请预售许可；对开发建设规模较大、实行分期开发和分期交付的商品房项目，可按照分期开发的规模申请预售许可。</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二是要加强商品房预售方案管理。</w:t>
      </w:r>
      <w:r>
        <w:rPr>
          <w:rFonts w:hint="eastAsia" w:eastAsia="方正仿宋_GBK"/>
          <w:color w:val="000000"/>
          <w:spacing w:val="-2"/>
          <w:sz w:val="24"/>
        </w:rPr>
        <w:t>各地在核发预售许可证时，要加强对预售方案的审核。预售方案应当提供经有权部门批准的规划建设方案，详细说明项目基本情况、项目楼盘表、项目用于销售以及企业保留自有的情况、项目建设进度计划情况、落实预售资金监管情况、项目销售计划和销售方式、预售价格及价格调整方式等内容。</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三是要规范开发企业推盘销售行为。</w:t>
      </w:r>
      <w:r>
        <w:rPr>
          <w:rFonts w:hint="eastAsia" w:eastAsia="方正仿宋_GBK"/>
          <w:color w:val="000000"/>
          <w:spacing w:val="-2"/>
          <w:sz w:val="24"/>
        </w:rPr>
        <w:t>房地产开发企业取得《商品房预售许可证》后，应当在规定的时间内销售商品房。开发企业应一次将取得预售许可的全部房源上网销售，不得以各种借口分批、分次销售，严禁捂盘惜售、囤积房源，不得进行虚假交易、炒卖房号。未取得商品房预售许可证的项目，房地产开发企业不得非法预售商品房，也不得以认购</w:t>
      </w:r>
      <w:r>
        <w:rPr>
          <w:rFonts w:eastAsia="方正仿宋_GBK"/>
          <w:color w:val="000000"/>
          <w:spacing w:val="-2"/>
          <w:sz w:val="24"/>
        </w:rPr>
        <w:t>(</w:t>
      </w:r>
      <w:r>
        <w:rPr>
          <w:rFonts w:hint="eastAsia" w:eastAsia="方正仿宋_GBK"/>
          <w:color w:val="000000"/>
          <w:spacing w:val="-2"/>
          <w:sz w:val="24"/>
        </w:rPr>
        <w:t>包括认定、登记、选号等）的名义收取预订款性质费用等各种方式变相预售商品房。</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四是要加强现场预售信息公示管理。</w:t>
      </w:r>
      <w:r>
        <w:rPr>
          <w:rFonts w:hint="eastAsia" w:eastAsia="方正仿宋_GBK"/>
          <w:color w:val="000000"/>
          <w:spacing w:val="-2"/>
          <w:sz w:val="24"/>
        </w:rPr>
        <w:t>房地产开发企业预售商品房应将预售方案中相关信息在销售现场醒目位置进行公示。现场公示的信息必须与申请预售许可时提供的信息、房产管理部门网上公示的信息保持一致。开发企业预售商品房后必须通过商品房预（销）售合同网上备案系统进行即时备案，并及时修改现场楼盘表中的相关信息。</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五是要加强商品房预售许可后的变更管理。</w:t>
      </w:r>
      <w:r>
        <w:rPr>
          <w:rFonts w:hint="eastAsia" w:eastAsia="方正仿宋_GBK"/>
          <w:color w:val="000000"/>
          <w:spacing w:val="-2"/>
          <w:sz w:val="24"/>
        </w:rPr>
        <w:t>取得商品房预售许可证后的在售商品房项目，如因规划等发生变更使申请预售许可时的相关内容和预售方案发生变化，房地产开发企业应持相关变更文件，及时到原商品房预售许可管理部门办理变更登记手续。商品房预售许可管理部门应根据有关部门批准的变更文件办理预售许可变更登记手续，并及时更新网上公示内容。</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六是要落实房地产开发项目手册制度。</w:t>
      </w:r>
      <w:r>
        <w:rPr>
          <w:rFonts w:hint="eastAsia" w:eastAsia="方正仿宋_GBK"/>
          <w:color w:val="000000"/>
          <w:spacing w:val="-2"/>
          <w:sz w:val="24"/>
        </w:rPr>
        <w:t>各级房地产开发主管部门要加快推进房地产开发（电子</w:t>
      </w:r>
      <w:r>
        <w:rPr>
          <w:rFonts w:eastAsia="方正仿宋_GBK"/>
          <w:color w:val="000000"/>
          <w:spacing w:val="-2"/>
          <w:sz w:val="24"/>
        </w:rPr>
        <w:t>o</w:t>
      </w:r>
      <w:r>
        <w:rPr>
          <w:rFonts w:hint="eastAsia" w:eastAsia="方正仿宋_GBK"/>
          <w:color w:val="000000"/>
          <w:spacing w:val="-2"/>
          <w:sz w:val="24"/>
        </w:rPr>
        <w:t>）项目手册制度的实施，房地产开发企业在《房地产开发（</w:t>
      </w:r>
      <w:r>
        <w:rPr>
          <w:rFonts w:eastAsia="方正仿宋_GBK"/>
          <w:color w:val="000000"/>
          <w:spacing w:val="-2"/>
          <w:sz w:val="24"/>
        </w:rPr>
        <w:t>.</w:t>
      </w:r>
      <w:r>
        <w:rPr>
          <w:rFonts w:hint="eastAsia" w:eastAsia="方正仿宋_GBK"/>
          <w:color w:val="000000"/>
          <w:spacing w:val="-2"/>
          <w:sz w:val="24"/>
        </w:rPr>
        <w:t>电子）项目手册》上记录的内容必须真实反映项目开发建设状况，相关内容应与预售方案一致。</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七是要加强商品房预售资金监管。</w:t>
      </w:r>
      <w:r>
        <w:rPr>
          <w:rFonts w:hint="eastAsia" w:eastAsia="方正仿宋_GBK"/>
          <w:color w:val="000000"/>
          <w:spacing w:val="-2"/>
          <w:sz w:val="24"/>
        </w:rPr>
        <w:t>商品房预售资金必须专户存储，并专项用于购买开发建设必需的建筑材料、设备和支付项目建设的施工进度款、法定税费和其他相关费用，任何单位和个人不得挪用和违规使用商品房预售资金。</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八是要加强对违法违规行为的查处力度。</w:t>
      </w:r>
      <w:r>
        <w:rPr>
          <w:rFonts w:hint="eastAsia" w:eastAsia="方正仿宋_GBK"/>
          <w:color w:val="000000"/>
          <w:spacing w:val="-2"/>
          <w:sz w:val="24"/>
        </w:rPr>
        <w:t>要重点围绕房地产项目审批、开发、交易等环节，对在建并已进入预售环节的房地产开发项目定期开展执法检查，对违反商品房预售菅理有关规定的，要依法予以查处。要加快建立房地产开发企业、商品房预售代理机构和相关从业人员的信用档案制度，完善房地产市场诚信体系建设，对有关企业、从业人员在商品房预售活动中违反有关法律、法规、规章的，要记入信用档案并予以曝光。</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九是要建立和完善商品房预（销）售监管工作机制。</w:t>
      </w:r>
      <w:r>
        <w:rPr>
          <w:rFonts w:hint="eastAsia" w:eastAsia="方正仿宋_GBK"/>
          <w:color w:val="000000"/>
          <w:spacing w:val="-2"/>
          <w:sz w:val="24"/>
        </w:rPr>
        <w:t>各级房地产开发、房产管理部门要会同有关部门，根据职责分工，切实履行好监管职责。通过联合检查、会办和案件移交等方式建立部门联动机制，营造齐抓共管的良好局面，保持房地产市场持续稳定健康发展。</w:t>
      </w:r>
    </w:p>
    <w:p>
      <w:pPr>
        <w:spacing w:line="460" w:lineRule="exact"/>
        <w:ind w:firstLine="472" w:firstLineChars="200"/>
        <w:rPr>
          <w:rFonts w:eastAsia="方正仿宋_GBK"/>
          <w:color w:val="000000"/>
          <w:spacing w:val="-2"/>
          <w:sz w:val="24"/>
        </w:rPr>
      </w:pP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附件：住房和城乡建设部关于转发《上海市商品房销售方案备案管理暂行规定》的通知（建办房函（</w:t>
      </w:r>
      <w:r>
        <w:rPr>
          <w:rFonts w:eastAsia="方正仿宋_GBK"/>
          <w:color w:val="000000"/>
          <w:spacing w:val="-2"/>
          <w:sz w:val="24"/>
        </w:rPr>
        <w:t>2009)785</w:t>
      </w:r>
      <w:r>
        <w:rPr>
          <w:rFonts w:hint="eastAsia" w:eastAsia="方正仿宋_GBK"/>
          <w:color w:val="000000"/>
          <w:spacing w:val="-2"/>
          <w:sz w:val="24"/>
        </w:rPr>
        <w:t>号</w:t>
      </w:r>
      <w:r>
        <w:rPr>
          <w:rFonts w:eastAsia="方正仿宋_GBK"/>
          <w:color w:val="000000"/>
          <w:spacing w:val="-2"/>
          <w:sz w:val="24"/>
        </w:rPr>
        <w:t>)</w:t>
      </w:r>
    </w:p>
    <w:p>
      <w:pPr>
        <w:spacing w:line="460" w:lineRule="exact"/>
        <w:ind w:firstLine="472" w:firstLineChars="200"/>
        <w:rPr>
          <w:rFonts w:eastAsia="方正仿宋_GBK"/>
          <w:color w:val="000000"/>
          <w:spacing w:val="-2"/>
          <w:sz w:val="24"/>
        </w:rPr>
      </w:pPr>
    </w:p>
    <w:p>
      <w:pPr>
        <w:spacing w:line="460" w:lineRule="exact"/>
        <w:ind w:firstLine="472" w:firstLineChars="200"/>
        <w:rPr>
          <w:rFonts w:eastAsia="方正仿宋_GBK"/>
          <w:color w:val="000000"/>
          <w:spacing w:val="-2"/>
          <w:sz w:val="24"/>
        </w:rPr>
      </w:pPr>
    </w:p>
    <w:p>
      <w:pPr>
        <w:wordWrap w:val="0"/>
        <w:spacing w:line="460" w:lineRule="exact"/>
        <w:ind w:firstLine="472" w:firstLineChars="200"/>
        <w:jc w:val="right"/>
        <w:rPr>
          <w:rFonts w:eastAsia="方正仿宋_GBK"/>
          <w:color w:val="000000"/>
          <w:spacing w:val="-2"/>
          <w:sz w:val="24"/>
        </w:rPr>
      </w:pPr>
      <w:r>
        <w:rPr>
          <w:rFonts w:hint="eastAsia" w:eastAsia="方正仿宋_GBK"/>
          <w:color w:val="000000"/>
          <w:spacing w:val="-2"/>
          <w:sz w:val="24"/>
        </w:rPr>
        <w:t>江苏省建设厅</w:t>
      </w:r>
      <w:r>
        <w:rPr>
          <w:rFonts w:eastAsia="方正仿宋_GBK"/>
          <w:color w:val="000000"/>
          <w:spacing w:val="-2"/>
          <w:sz w:val="24"/>
        </w:rPr>
        <w:t xml:space="preserve">      </w:t>
      </w:r>
    </w:p>
    <w:p>
      <w:pPr>
        <w:wordWrap w:val="0"/>
        <w:spacing w:line="460" w:lineRule="exact"/>
        <w:ind w:firstLine="472" w:firstLineChars="200"/>
        <w:jc w:val="right"/>
        <w:rPr>
          <w:rFonts w:eastAsia="方正仿宋_GBK"/>
          <w:color w:val="000000"/>
          <w:spacing w:val="-2"/>
          <w:sz w:val="24"/>
        </w:rPr>
      </w:pPr>
      <w:r>
        <w:rPr>
          <w:rFonts w:eastAsia="方正仿宋_GBK"/>
          <w:color w:val="000000"/>
          <w:spacing w:val="-2"/>
          <w:sz w:val="24"/>
        </w:rPr>
        <w:t xml:space="preserve">  2009</w:t>
      </w:r>
      <w:r>
        <w:rPr>
          <w:rFonts w:hint="eastAsia" w:eastAsia="方正仿宋_GBK"/>
          <w:color w:val="000000"/>
          <w:spacing w:val="-2"/>
          <w:sz w:val="24"/>
        </w:rPr>
        <w:t>年</w:t>
      </w:r>
      <w:r>
        <w:rPr>
          <w:rFonts w:eastAsia="方正仿宋_GBK"/>
          <w:color w:val="000000"/>
          <w:spacing w:val="-2"/>
          <w:sz w:val="24"/>
        </w:rPr>
        <w:t>10</w:t>
      </w:r>
      <w:r>
        <w:rPr>
          <w:rFonts w:hint="eastAsia" w:eastAsia="方正仿宋_GBK"/>
          <w:color w:val="000000"/>
          <w:spacing w:val="-2"/>
          <w:sz w:val="24"/>
        </w:rPr>
        <w:t>月</w:t>
      </w:r>
      <w:r>
        <w:rPr>
          <w:rFonts w:eastAsia="方正仿宋_GBK"/>
          <w:color w:val="000000"/>
          <w:spacing w:val="-2"/>
          <w:sz w:val="24"/>
        </w:rPr>
        <w:t>12</w:t>
      </w:r>
      <w:r>
        <w:rPr>
          <w:rFonts w:hint="eastAsia" w:eastAsia="方正仿宋_GBK"/>
          <w:color w:val="000000"/>
          <w:spacing w:val="-2"/>
          <w:sz w:val="24"/>
        </w:rPr>
        <w:t>日</w:t>
      </w:r>
      <w:r>
        <w:rPr>
          <w:rFonts w:eastAsia="方正仿宋_GBK"/>
          <w:color w:val="000000"/>
          <w:spacing w:val="-2"/>
          <w:sz w:val="24"/>
        </w:rPr>
        <w:t xml:space="preserve">    </w:t>
      </w:r>
    </w:p>
    <w:p>
      <w:pPr>
        <w:spacing w:line="460" w:lineRule="exact"/>
        <w:rPr>
          <w:rFonts w:ascii="Times New Roman" w:eastAsia="方正黑体_GBK"/>
          <w:color w:val="000000"/>
          <w:spacing w:val="-2"/>
          <w:sz w:val="28"/>
          <w:szCs w:val="28"/>
        </w:rPr>
      </w:pPr>
      <w:r>
        <w:rPr>
          <w:rFonts w:eastAsia="方正仿宋_GBK"/>
          <w:color w:val="000000"/>
          <w:spacing w:val="-2"/>
          <w:sz w:val="24"/>
        </w:rPr>
        <w:br w:type="column"/>
      </w:r>
      <w:r>
        <w:rPr>
          <w:rFonts w:hint="eastAsia" w:ascii="Times New Roman" w:eastAsia="方正黑体_GBK"/>
          <w:color w:val="000000"/>
          <w:spacing w:val="-2"/>
          <w:sz w:val="28"/>
          <w:szCs w:val="28"/>
        </w:rPr>
        <w:t>附件：</w:t>
      </w:r>
    </w:p>
    <w:p>
      <w:pPr>
        <w:spacing w:line="460" w:lineRule="exact"/>
        <w:rPr>
          <w:rFonts w:hint="eastAsia" w:eastAsia="方正仿宋_GBK"/>
          <w:color w:val="000000"/>
          <w:spacing w:val="-2"/>
          <w:sz w:val="24"/>
        </w:rPr>
      </w:pPr>
    </w:p>
    <w:p>
      <w:pPr>
        <w:spacing w:line="460" w:lineRule="exact"/>
        <w:jc w:val="center"/>
        <w:rPr>
          <w:rFonts w:ascii="Times New Roman" w:eastAsia="方正黑体_GBK"/>
          <w:color w:val="000000"/>
          <w:spacing w:val="-2"/>
          <w:sz w:val="36"/>
          <w:szCs w:val="36"/>
        </w:rPr>
      </w:pPr>
      <w:r>
        <w:rPr>
          <w:rFonts w:hint="eastAsia" w:ascii="Times New Roman" w:eastAsia="方正黑体_GBK"/>
          <w:color w:val="000000"/>
          <w:spacing w:val="-2"/>
          <w:sz w:val="36"/>
          <w:szCs w:val="36"/>
        </w:rPr>
        <w:t>关于转发《上海市商品房</w:t>
      </w:r>
    </w:p>
    <w:p>
      <w:pPr>
        <w:spacing w:line="460" w:lineRule="exact"/>
        <w:jc w:val="center"/>
        <w:rPr>
          <w:rFonts w:hint="eastAsia" w:ascii="Times New Roman" w:eastAsia="方正黑体_GBK"/>
          <w:color w:val="000000"/>
          <w:spacing w:val="-2"/>
          <w:sz w:val="36"/>
          <w:szCs w:val="36"/>
        </w:rPr>
      </w:pPr>
      <w:r>
        <w:rPr>
          <w:rFonts w:hint="eastAsia" w:ascii="Times New Roman" w:eastAsia="方正黑体_GBK"/>
          <w:color w:val="000000"/>
          <w:spacing w:val="-2"/>
          <w:sz w:val="36"/>
          <w:szCs w:val="36"/>
        </w:rPr>
        <w:t>销售方案备案管理暂行规定》的通知</w:t>
      </w:r>
    </w:p>
    <w:p>
      <w:pPr>
        <w:spacing w:line="460" w:lineRule="exact"/>
        <w:rPr>
          <w:rFonts w:hint="eastAsia" w:eastAsia="方正仿宋_GBK"/>
          <w:color w:val="000000"/>
          <w:spacing w:val="-2"/>
          <w:sz w:val="24"/>
        </w:rPr>
      </w:pPr>
    </w:p>
    <w:p>
      <w:pPr>
        <w:spacing w:line="460" w:lineRule="exact"/>
        <w:jc w:val="center"/>
        <w:rPr>
          <w:rFonts w:eastAsia="方正楷体_GBK"/>
          <w:color w:val="000000"/>
          <w:spacing w:val="-2"/>
          <w:sz w:val="24"/>
        </w:rPr>
      </w:pPr>
      <w:bookmarkStart w:id="15" w:name="_Toc18315365"/>
      <w:r>
        <w:rPr>
          <w:rFonts w:hint="eastAsia" w:eastAsia="方正楷体_GBK"/>
          <w:color w:val="000000"/>
          <w:spacing w:val="-2"/>
          <w:sz w:val="24"/>
        </w:rPr>
        <w:t>建办房函〔</w:t>
      </w:r>
      <w:r>
        <w:rPr>
          <w:rFonts w:eastAsia="方正楷体_GBK"/>
          <w:color w:val="000000"/>
          <w:spacing w:val="-2"/>
          <w:sz w:val="24"/>
        </w:rPr>
        <w:t>2009</w:t>
      </w:r>
      <w:r>
        <w:rPr>
          <w:rFonts w:hint="eastAsia" w:eastAsia="方正楷体_GBK"/>
          <w:color w:val="000000"/>
          <w:spacing w:val="-2"/>
          <w:sz w:val="24"/>
        </w:rPr>
        <w:t>〕</w:t>
      </w:r>
      <w:r>
        <w:rPr>
          <w:rFonts w:eastAsia="方正楷体_GBK"/>
          <w:color w:val="000000"/>
          <w:spacing w:val="-2"/>
          <w:sz w:val="24"/>
        </w:rPr>
        <w:t>785</w:t>
      </w:r>
      <w:r>
        <w:rPr>
          <w:rFonts w:hint="eastAsia" w:eastAsia="方正楷体_GBK"/>
          <w:color w:val="000000"/>
          <w:spacing w:val="-2"/>
          <w:sz w:val="24"/>
        </w:rPr>
        <w:t>号</w:t>
      </w:r>
      <w:bookmarkEnd w:id="15"/>
    </w:p>
    <w:p>
      <w:pPr>
        <w:spacing w:line="460" w:lineRule="exact"/>
        <w:rPr>
          <w:rFonts w:eastAsia="方正仿宋_GBK"/>
          <w:color w:val="000000"/>
          <w:spacing w:val="-2"/>
          <w:sz w:val="24"/>
        </w:rPr>
      </w:pPr>
    </w:p>
    <w:p>
      <w:pPr>
        <w:spacing w:line="460" w:lineRule="exact"/>
        <w:rPr>
          <w:rFonts w:eastAsia="方正仿宋_GBK"/>
          <w:color w:val="000000"/>
          <w:spacing w:val="-2"/>
          <w:sz w:val="24"/>
        </w:rPr>
      </w:pPr>
      <w:r>
        <w:rPr>
          <w:rFonts w:hint="eastAsia" w:eastAsia="方正仿宋_GBK"/>
          <w:color w:val="000000"/>
          <w:spacing w:val="-2"/>
          <w:sz w:val="24"/>
        </w:rPr>
        <w:t>各省、自治区住房和城乡建设厅，直辖市建委（房地局）：</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近期，上海市为规范房地产市场秩序，根据当前市场变化和房价变动情况，制定了《上海市商品房销售方案备案管理暂行规定》，现转发给你们，供参考。同时就进一步规范房地产销售行为有关问题通知如下：</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一、加大对违法违规行为的查处力度。</w:t>
      </w:r>
      <w:r>
        <w:rPr>
          <w:rFonts w:hint="eastAsia" w:eastAsia="方正仿宋_GBK"/>
          <w:color w:val="000000"/>
          <w:spacing w:val="-2"/>
          <w:sz w:val="24"/>
        </w:rPr>
        <w:t>今年以来，随着中央和地方一系列调控政策的实施，我国房地产市场逐步企稳回升，房地产业在扩大内需、保障民生、促进经济平稳较快发展中发挥了作用。但近期部分域市少数房地产开发企业捂盘惜售、囤积房源、哄抬房价等违法违规行为又有所抬头。各地要珍惜来之不易的好的发展势头，加大对违法违规行为的查处和公开曝光力度，坚持整顿规范和促进健康发展并重，保持房地产市场持续稳定健康发展。</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二、加强商品房预售方案管理。</w:t>
      </w:r>
      <w:r>
        <w:rPr>
          <w:rFonts w:hint="eastAsia" w:eastAsia="方正仿宋_GBK"/>
          <w:color w:val="000000"/>
          <w:spacing w:val="-2"/>
          <w:sz w:val="24"/>
        </w:rPr>
        <w:t>各地要按照《城市房地产开发经营管理条例》有关规定，在核发预售许可证时，加强对方案的审核。商品房预售方案应明确商品房项目用于销售、租赁、企业保留自有的情况，明确预售价格及价格调整方式。对于预售方案确定保留自有和用于租赁的商品房，原则上在办理房屋所有权初始登记前不得销售已取得预售许可证的，应在规定时间上网销售。</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三、应结合实际，合理确定商品房项目的预售许可规模。</w:t>
      </w:r>
      <w:r>
        <w:rPr>
          <w:rFonts w:hint="eastAsia" w:eastAsia="方正仿宋_GBK"/>
          <w:color w:val="000000"/>
          <w:spacing w:val="-2"/>
          <w:sz w:val="24"/>
        </w:rPr>
        <w:t>商品住宅项目一般不得分层、分单元办理预售许可。对已经办理预售许可的，应一次将全部房源公开对并销售，不得分批、分次销售。</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四、各地住房城乡建设（房地产）主管部门要会同有关部门加强对在建项目的监管。</w:t>
      </w:r>
      <w:r>
        <w:rPr>
          <w:rFonts w:hint="eastAsia" w:eastAsia="方正仿宋_GBK"/>
          <w:color w:val="000000"/>
          <w:spacing w:val="-2"/>
          <w:sz w:val="24"/>
        </w:rPr>
        <w:t>要摸清底数，全面梳理检查已批未建</w:t>
      </w:r>
      <w:r>
        <w:rPr>
          <w:rFonts w:eastAsia="方正仿宋_GBK"/>
          <w:color w:val="000000"/>
          <w:spacing w:val="-2"/>
          <w:sz w:val="24"/>
        </w:rPr>
        <w:t>.</w:t>
      </w:r>
      <w:r>
        <w:rPr>
          <w:rFonts w:hint="eastAsia" w:eastAsia="方正仿宋_GBK"/>
          <w:color w:val="000000"/>
          <w:spacing w:val="-2"/>
          <w:sz w:val="24"/>
        </w:rPr>
        <w:t>、已批未售项目的情况督促已达到规定预售条件的项目及时申请预售并公开销售</w:t>
      </w:r>
      <w:r>
        <w:rPr>
          <w:rFonts w:eastAsia="方正仿宋_GBK"/>
          <w:color w:val="000000"/>
          <w:spacing w:val="-2"/>
          <w:sz w:val="24"/>
        </w:rPr>
        <w:t>;</w:t>
      </w:r>
      <w:r>
        <w:rPr>
          <w:rFonts w:hint="eastAsia" w:eastAsia="方正仿宋_GBK"/>
          <w:color w:val="000000"/>
          <w:spacing w:val="-2"/>
          <w:sz w:val="24"/>
        </w:rPr>
        <w:t>，</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五、进一步推进商品房预（销）售合同网上登记备案制度和房地产交易信息公示制度。</w:t>
      </w:r>
      <w:r>
        <w:rPr>
          <w:rFonts w:hint="eastAsia" w:eastAsia="方正仿宋_GBK"/>
          <w:color w:val="000000"/>
          <w:spacing w:val="-2"/>
          <w:sz w:val="24"/>
        </w:rPr>
        <w:t>要通过建立楼盘表、网上备案，督促开发商即时公布商品房销售信息。主管部门要通过对商品房销售网上备案的监测，及时发现并查处开发商炒卖房号、捂盘惜售、囤积房源等违法违规行为。</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六、进一步加强预售款监管工作。确保预售资金专款专用，防止挪用和违规使用预售资金。</w:t>
      </w:r>
    </w:p>
    <w:p>
      <w:pPr>
        <w:spacing w:line="460" w:lineRule="exact"/>
        <w:ind w:firstLine="472" w:firstLineChars="200"/>
        <w:rPr>
          <w:rFonts w:eastAsia="方正仿宋_GBK"/>
          <w:color w:val="000000"/>
          <w:spacing w:val="-2"/>
          <w:sz w:val="24"/>
        </w:rPr>
      </w:pP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附件：上海市商品房销售方案备案管理暂行规定</w:t>
      </w:r>
    </w:p>
    <w:p>
      <w:pPr>
        <w:spacing w:line="460" w:lineRule="exact"/>
        <w:ind w:firstLine="472" w:firstLineChars="200"/>
        <w:rPr>
          <w:rFonts w:eastAsia="方正仿宋_GBK"/>
          <w:color w:val="000000"/>
          <w:spacing w:val="-2"/>
          <w:sz w:val="24"/>
        </w:rPr>
      </w:pPr>
    </w:p>
    <w:p>
      <w:pPr>
        <w:spacing w:line="460" w:lineRule="exact"/>
        <w:ind w:firstLine="472" w:firstLineChars="200"/>
        <w:rPr>
          <w:rFonts w:eastAsia="方正仿宋_GBK"/>
          <w:color w:val="000000"/>
          <w:spacing w:val="-2"/>
          <w:sz w:val="24"/>
        </w:rPr>
      </w:pPr>
    </w:p>
    <w:p>
      <w:pPr>
        <w:spacing w:line="460" w:lineRule="exact"/>
        <w:rPr>
          <w:rFonts w:ascii="Times New Roman" w:eastAsia="方正黑体_GBK"/>
          <w:color w:val="000000"/>
          <w:spacing w:val="-2"/>
          <w:sz w:val="28"/>
          <w:szCs w:val="28"/>
        </w:rPr>
      </w:pPr>
      <w:r>
        <w:rPr>
          <w:rFonts w:eastAsia="方正仿宋_GBK"/>
          <w:color w:val="000000"/>
          <w:spacing w:val="-2"/>
          <w:sz w:val="24"/>
        </w:rPr>
        <w:br w:type="column"/>
      </w:r>
      <w:r>
        <w:rPr>
          <w:rFonts w:hint="eastAsia" w:ascii="Times New Roman" w:eastAsia="方正黑体_GBK"/>
          <w:color w:val="000000"/>
          <w:spacing w:val="-2"/>
          <w:sz w:val="28"/>
          <w:szCs w:val="28"/>
        </w:rPr>
        <w:t>附件：</w:t>
      </w:r>
    </w:p>
    <w:p>
      <w:pPr>
        <w:spacing w:line="460" w:lineRule="exact"/>
        <w:rPr>
          <w:rFonts w:hint="eastAsia" w:eastAsia="方正仿宋_GBK"/>
          <w:color w:val="000000"/>
          <w:spacing w:val="-2"/>
          <w:sz w:val="24"/>
        </w:rPr>
      </w:pPr>
    </w:p>
    <w:p>
      <w:pPr>
        <w:spacing w:line="460" w:lineRule="exact"/>
        <w:jc w:val="center"/>
        <w:rPr>
          <w:rFonts w:ascii="Times New Roman" w:eastAsia="方正黑体_GBK"/>
          <w:color w:val="000000"/>
          <w:spacing w:val="-2"/>
          <w:sz w:val="36"/>
          <w:szCs w:val="36"/>
        </w:rPr>
      </w:pPr>
      <w:r>
        <w:rPr>
          <w:rFonts w:hint="eastAsia" w:ascii="Times New Roman" w:eastAsia="方正黑体_GBK"/>
          <w:color w:val="000000"/>
          <w:spacing w:val="-2"/>
          <w:sz w:val="36"/>
          <w:szCs w:val="36"/>
        </w:rPr>
        <w:t>上海市商品房销售方案备案管理暂行规定</w:t>
      </w:r>
    </w:p>
    <w:p>
      <w:pPr>
        <w:spacing w:line="460" w:lineRule="exact"/>
        <w:ind w:firstLine="472" w:firstLineChars="200"/>
        <w:rPr>
          <w:rFonts w:hint="eastAsia" w:eastAsia="方正仿宋_GBK"/>
          <w:color w:val="000000"/>
          <w:spacing w:val="-2"/>
          <w:sz w:val="24"/>
        </w:rPr>
      </w:pP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为规范商品房销售行为，维护当事人的合法权益，根据《城市房地产开发经营管理条例》、《上海市房地产登记条例》、《上海市房地产转让办法》、《商品房销售管理办法》，特制订本规定。</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第一条</w:t>
      </w:r>
      <w:r>
        <w:rPr>
          <w:rFonts w:hint="eastAsia" w:eastAsia="方正仿宋_GBK"/>
          <w:color w:val="000000"/>
          <w:spacing w:val="-2"/>
          <w:sz w:val="24"/>
        </w:rPr>
        <w:t>（商品房销售方案备案）</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房地产开发企业应当按照规定及时销售商品房，并应当按照土地出让合同及规划批准的范围，制订商品房销售方案，明确上市销售进度，确定商品房项目中企业保留自有的房地产和用于销售的商品房，向房屋管理部门备案。</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第二条</w:t>
      </w:r>
      <w:r>
        <w:rPr>
          <w:rFonts w:hint="eastAsia" w:eastAsia="方正仿宋_GBK"/>
          <w:color w:val="000000"/>
          <w:spacing w:val="-2"/>
          <w:sz w:val="24"/>
        </w:rPr>
        <w:t>（商品房销售方案内容）</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商品房销售方案应包括但不限于以下内容：</w:t>
      </w:r>
    </w:p>
    <w:p>
      <w:pPr>
        <w:spacing w:line="460" w:lineRule="exact"/>
        <w:ind w:firstLine="472" w:firstLineChars="200"/>
        <w:rPr>
          <w:rFonts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、商品房项目的基本情况，包括项目名称、坐落，土地用途、项目总规模，容积率、绿地率等规划参数，前期物业管理服务合同，业主管理公约，业主共有房地产、商业配套设施和公益性公共服务设施的设置等。</w:t>
      </w:r>
    </w:p>
    <w:p>
      <w:pPr>
        <w:spacing w:line="460" w:lineRule="exact"/>
        <w:ind w:firstLine="472" w:firstLineChars="200"/>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、商品房项目用于销售、租赁以及企业保留自有的情况。商品住房项目中保留自有的房地产应当符合</w:t>
      </w:r>
      <w:r>
        <w:rPr>
          <w:rFonts w:eastAsia="方正仿宋_GBK"/>
          <w:color w:val="000000"/>
          <w:spacing w:val="-2"/>
          <w:sz w:val="24"/>
        </w:rPr>
        <w:t>“</w:t>
      </w:r>
      <w:r>
        <w:rPr>
          <w:rFonts w:hint="eastAsia" w:eastAsia="方正仿宋_GBK"/>
          <w:color w:val="000000"/>
          <w:spacing w:val="-2"/>
          <w:sz w:val="24"/>
        </w:rPr>
        <w:t>少量、合理</w:t>
      </w:r>
      <w:r>
        <w:rPr>
          <w:rFonts w:eastAsia="方正仿宋_GBK"/>
          <w:color w:val="000000"/>
          <w:spacing w:val="-2"/>
          <w:sz w:val="24"/>
        </w:rPr>
        <w:t>”</w:t>
      </w:r>
      <w:r>
        <w:rPr>
          <w:rFonts w:hint="eastAsia" w:eastAsia="方正仿宋_GBK"/>
          <w:color w:val="000000"/>
          <w:spacing w:val="-2"/>
          <w:sz w:val="24"/>
        </w:rPr>
        <w:t>的原则。</w:t>
      </w:r>
    </w:p>
    <w:p>
      <w:pPr>
        <w:spacing w:line="460" w:lineRule="exact"/>
        <w:ind w:firstLine="472" w:firstLineChars="200"/>
        <w:rPr>
          <w:rFonts w:eastAsia="方正仿宋_GBK"/>
          <w:color w:val="000000"/>
          <w:spacing w:val="-2"/>
          <w:sz w:val="24"/>
        </w:rPr>
      </w:pPr>
      <w:r>
        <w:rPr>
          <w:rFonts w:eastAsia="方正仿宋_GBK"/>
          <w:color w:val="000000"/>
          <w:spacing w:val="-2"/>
          <w:sz w:val="24"/>
        </w:rPr>
        <w:t>3</w:t>
      </w:r>
      <w:r>
        <w:rPr>
          <w:rFonts w:hint="eastAsia" w:eastAsia="方正仿宋_GBK"/>
          <w:color w:val="000000"/>
          <w:spacing w:val="-2"/>
          <w:sz w:val="24"/>
        </w:rPr>
        <w:t>、商品房项目的建设情况，包括项目建设周期、各期计划和进度。</w:t>
      </w:r>
    </w:p>
    <w:p>
      <w:pPr>
        <w:spacing w:line="460" w:lineRule="exact"/>
        <w:ind w:firstLine="472" w:firstLineChars="200"/>
        <w:rPr>
          <w:rFonts w:eastAsia="方正仿宋_GBK"/>
          <w:color w:val="000000"/>
          <w:spacing w:val="-2"/>
          <w:sz w:val="24"/>
        </w:rPr>
      </w:pPr>
      <w:r>
        <w:rPr>
          <w:rFonts w:eastAsia="方正仿宋_GBK"/>
          <w:color w:val="000000"/>
          <w:spacing w:val="-2"/>
          <w:sz w:val="24"/>
        </w:rPr>
        <w:t>4</w:t>
      </w:r>
      <w:r>
        <w:rPr>
          <w:rFonts w:hint="eastAsia" w:eastAsia="方正仿宋_GBK"/>
          <w:color w:val="000000"/>
          <w:spacing w:val="-2"/>
          <w:sz w:val="24"/>
        </w:rPr>
        <w:t>、商品房项目销售广告、楼书、样板房、沙盘等宣传资料。</w:t>
      </w:r>
    </w:p>
    <w:p>
      <w:pPr>
        <w:spacing w:line="460" w:lineRule="exact"/>
        <w:ind w:firstLine="472" w:firstLineChars="200"/>
        <w:rPr>
          <w:rFonts w:eastAsia="方正仿宋_GBK"/>
          <w:color w:val="000000"/>
          <w:spacing w:val="-2"/>
          <w:sz w:val="24"/>
        </w:rPr>
      </w:pPr>
      <w:r>
        <w:rPr>
          <w:rFonts w:eastAsia="方正仿宋_GBK"/>
          <w:color w:val="000000"/>
          <w:spacing w:val="-2"/>
          <w:sz w:val="24"/>
        </w:rPr>
        <w:t>5</w:t>
      </w:r>
      <w:r>
        <w:rPr>
          <w:rFonts w:hint="eastAsia" w:eastAsia="方正仿宋_GBK"/>
          <w:color w:val="000000"/>
          <w:spacing w:val="-2"/>
          <w:sz w:val="24"/>
        </w:rPr>
        <w:t>、商品房销售计划与销售方式，包括每期开盘时间、地点，自行销售或代理销售，销售人员等相关情况。</w:t>
      </w:r>
    </w:p>
    <w:p>
      <w:pPr>
        <w:spacing w:line="460" w:lineRule="exact"/>
        <w:ind w:firstLine="472" w:firstLineChars="200"/>
        <w:rPr>
          <w:rFonts w:eastAsia="方正仿宋_GBK"/>
          <w:color w:val="000000"/>
          <w:spacing w:val="-2"/>
          <w:sz w:val="24"/>
        </w:rPr>
      </w:pPr>
      <w:r>
        <w:rPr>
          <w:rFonts w:eastAsia="方正仿宋_GBK"/>
          <w:color w:val="000000"/>
          <w:spacing w:val="-2"/>
          <w:sz w:val="24"/>
        </w:rPr>
        <w:t>6</w:t>
      </w:r>
      <w:r>
        <w:rPr>
          <w:rFonts w:hint="eastAsia" w:eastAsia="方正仿宋_GBK"/>
          <w:color w:val="000000"/>
          <w:spacing w:val="-2"/>
          <w:sz w:val="24"/>
        </w:rPr>
        <w:t>、商品房销售价格（包括定价调价方式、方法），销售合同文本以及签约销售流程。</w:t>
      </w:r>
    </w:p>
    <w:p>
      <w:pPr>
        <w:spacing w:line="460" w:lineRule="exact"/>
        <w:ind w:firstLine="472" w:firstLineChars="200"/>
        <w:rPr>
          <w:rFonts w:eastAsia="方正仿宋_GBK"/>
          <w:color w:val="000000"/>
          <w:spacing w:val="-2"/>
          <w:sz w:val="24"/>
        </w:rPr>
      </w:pPr>
      <w:r>
        <w:rPr>
          <w:rFonts w:eastAsia="方正仿宋_GBK"/>
          <w:color w:val="000000"/>
          <w:spacing w:val="-2"/>
          <w:sz w:val="24"/>
        </w:rPr>
        <w:t>7</w:t>
      </w:r>
      <w:r>
        <w:rPr>
          <w:rFonts w:hint="eastAsia" w:eastAsia="方正仿宋_GBK"/>
          <w:color w:val="000000"/>
          <w:spacing w:val="-2"/>
          <w:sz w:val="24"/>
        </w:rPr>
        <w:t>、售楼处的各项规章制度；包括解决商品房销售纠纷的预案和制度，维护销售秩序的措施及突发事件的处理预案。</w:t>
      </w:r>
    </w:p>
    <w:p>
      <w:pPr>
        <w:spacing w:line="460" w:lineRule="exact"/>
        <w:ind w:firstLine="472" w:firstLineChars="200"/>
        <w:rPr>
          <w:rFonts w:eastAsia="方正仿宋_GBK"/>
          <w:color w:val="000000"/>
          <w:spacing w:val="-2"/>
          <w:sz w:val="24"/>
        </w:rPr>
      </w:pPr>
      <w:r>
        <w:rPr>
          <w:rFonts w:eastAsia="方正仿宋_GBK"/>
          <w:color w:val="000000"/>
          <w:spacing w:val="-2"/>
          <w:sz w:val="24"/>
        </w:rPr>
        <w:t>8</w:t>
      </w:r>
      <w:r>
        <w:rPr>
          <w:rFonts w:hint="eastAsia" w:eastAsia="方正仿宋_GBK"/>
          <w:color w:val="000000"/>
          <w:spacing w:val="-2"/>
          <w:sz w:val="24"/>
        </w:rPr>
        <w:t>、房地产开发企业认为需要制订的其他事项或房屋管理部门认为需要明确的其他事宜。</w:t>
      </w:r>
    </w:p>
    <w:p>
      <w:pPr>
        <w:spacing w:line="460" w:lineRule="exact"/>
        <w:ind w:firstLine="472" w:firstLineChars="200"/>
        <w:rPr>
          <w:rFonts w:eastAsia="方正仿宋_GBK"/>
          <w:color w:val="000000"/>
          <w:spacing w:val="-2"/>
          <w:sz w:val="24"/>
        </w:rPr>
      </w:pPr>
      <w:r>
        <w:rPr>
          <w:rFonts w:eastAsia="方正仿宋_GBK"/>
          <w:color w:val="000000"/>
          <w:spacing w:val="-2"/>
          <w:sz w:val="24"/>
        </w:rPr>
        <w:t>9</w:t>
      </w:r>
      <w:r>
        <w:rPr>
          <w:rFonts w:hint="eastAsia" w:eastAsia="方正仿宋_GBK"/>
          <w:color w:val="000000"/>
          <w:spacing w:val="-2"/>
          <w:sz w:val="24"/>
        </w:rPr>
        <w:t>、承诺遵守国家和本市商品房销售管理规定，达到预售标准及时申请预售，取得预售许可证后按时销售。</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第三条</w:t>
      </w:r>
      <w:r>
        <w:rPr>
          <w:rFonts w:hint="eastAsia" w:eastAsia="方正仿宋_GBK"/>
          <w:color w:val="000000"/>
          <w:spacing w:val="-2"/>
          <w:sz w:val="24"/>
        </w:rPr>
        <w:t>（商品房销售方案备案审核）</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区县房管部门应当按照下列规定，加强商品房销售方案的指导和审核：</w:t>
      </w:r>
    </w:p>
    <w:p>
      <w:pPr>
        <w:spacing w:line="460" w:lineRule="exact"/>
        <w:ind w:firstLine="472" w:firstLineChars="200"/>
        <w:rPr>
          <w:rFonts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、房地产开发企业网上认证后，未在</w:t>
      </w:r>
      <w:r>
        <w:rPr>
          <w:rFonts w:eastAsia="方正仿宋_GBK"/>
          <w:color w:val="000000"/>
          <w:spacing w:val="-2"/>
          <w:sz w:val="24"/>
        </w:rPr>
        <w:t>30</w:t>
      </w:r>
      <w:r>
        <w:rPr>
          <w:rFonts w:hint="eastAsia" w:eastAsia="方正仿宋_GBK"/>
          <w:color w:val="000000"/>
          <w:spacing w:val="-2"/>
          <w:sz w:val="24"/>
        </w:rPr>
        <w:t>曰内申请办理商品房预售许可，应当重新办理网上认证。</w:t>
      </w:r>
    </w:p>
    <w:p>
      <w:pPr>
        <w:spacing w:line="460" w:lineRule="exact"/>
        <w:ind w:firstLine="472" w:firstLineChars="200"/>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、已达到规定的条件、无理由长期不申请预售（或超过</w:t>
      </w:r>
      <w:r>
        <w:rPr>
          <w:rFonts w:eastAsia="方正仿宋_GBK"/>
          <w:color w:val="000000"/>
          <w:spacing w:val="-2"/>
          <w:sz w:val="24"/>
        </w:rPr>
        <w:t>"</w:t>
      </w:r>
      <w:r>
        <w:rPr>
          <w:rFonts w:hint="eastAsia" w:eastAsia="方正仿宋_GBK"/>
          <w:color w:val="000000"/>
          <w:spacing w:val="-2"/>
          <w:sz w:val="24"/>
        </w:rPr>
        <w:t>行政告知书</w:t>
      </w:r>
      <w:r>
        <w:rPr>
          <w:rFonts w:eastAsia="方正仿宋_GBK"/>
          <w:color w:val="000000"/>
          <w:spacing w:val="-2"/>
          <w:sz w:val="24"/>
        </w:rPr>
        <w:t>"</w:t>
      </w:r>
      <w:r>
        <w:rPr>
          <w:rFonts w:hint="eastAsia" w:eastAsia="方正仿宋_GBK"/>
          <w:color w:val="000000"/>
          <w:spacing w:val="-2"/>
          <w:sz w:val="24"/>
        </w:rPr>
        <w:t>规定时限，仍未申请预售）的，以及之前有取得商品房预售许可证后、未按规定时间将全部房源公开对外销售情况的，应当要求房地产开发企业整改，整改通过后重新申报备案。</w:t>
      </w:r>
    </w:p>
    <w:p>
      <w:pPr>
        <w:spacing w:line="460" w:lineRule="exact"/>
        <w:ind w:firstLine="472" w:firstLineChars="200"/>
        <w:rPr>
          <w:rFonts w:eastAsia="方正仿宋_GBK"/>
          <w:color w:val="000000"/>
          <w:spacing w:val="-2"/>
          <w:sz w:val="24"/>
        </w:rPr>
      </w:pPr>
      <w:r>
        <w:rPr>
          <w:rFonts w:eastAsia="方正仿宋_GBK"/>
          <w:color w:val="000000"/>
          <w:spacing w:val="-2"/>
          <w:sz w:val="24"/>
        </w:rPr>
        <w:t>3</w:t>
      </w:r>
      <w:r>
        <w:rPr>
          <w:rFonts w:hint="eastAsia" w:eastAsia="方正仿宋_GBK"/>
          <w:color w:val="000000"/>
          <w:spacing w:val="-2"/>
          <w:sz w:val="24"/>
        </w:rPr>
        <w:t>、商品住房项目中保留自有的房地产不符合</w:t>
      </w:r>
      <w:r>
        <w:rPr>
          <w:rFonts w:eastAsia="方正仿宋_GBK"/>
          <w:color w:val="000000"/>
          <w:spacing w:val="-2"/>
          <w:sz w:val="24"/>
        </w:rPr>
        <w:t>"</w:t>
      </w:r>
      <w:r>
        <w:rPr>
          <w:rFonts w:hint="eastAsia" w:eastAsia="方正仿宋_GBK"/>
          <w:color w:val="000000"/>
          <w:spacing w:val="-2"/>
          <w:sz w:val="24"/>
        </w:rPr>
        <w:t>少量、合理</w:t>
      </w:r>
      <w:r>
        <w:rPr>
          <w:rFonts w:eastAsia="方正仿宋_GBK"/>
          <w:color w:val="000000"/>
          <w:spacing w:val="-2"/>
          <w:sz w:val="24"/>
        </w:rPr>
        <w:t>"</w:t>
      </w:r>
      <w:r>
        <w:rPr>
          <w:rFonts w:hint="eastAsia" w:eastAsia="方正仿宋_GBK"/>
          <w:color w:val="000000"/>
          <w:spacing w:val="-2"/>
          <w:sz w:val="24"/>
        </w:rPr>
        <w:t>的原则、商品房定价不合理等，应当要求房地产开发企业修订销售方案，重新申报备案。</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第四条</w:t>
      </w:r>
      <w:r>
        <w:rPr>
          <w:rFonts w:hint="eastAsia" w:eastAsia="方正仿宋_GBK"/>
          <w:color w:val="000000"/>
          <w:spacing w:val="-2"/>
          <w:sz w:val="24"/>
        </w:rPr>
        <w:t>（预售商品房销售方案备案程序）</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房地产开发企业申请商品房预售时，应当持商品房销售方案及《上海市房地产转让办法》第三十二条规定的其他材料，一并向房屋所在地区县房屋管理部门申请办理商品房销售方案的备案手续。</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区县房屋管理部门应当在商品房预售许可的同时，办理商品房销售方案的备案，并开具《商品房销售方案备案证明》（样张见附件</w:t>
      </w:r>
      <w:r>
        <w:rPr>
          <w:rFonts w:eastAsia="方正仿宋_GBK"/>
          <w:color w:val="000000"/>
          <w:spacing w:val="-2"/>
          <w:sz w:val="24"/>
        </w:rPr>
        <w:t>).</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第五条</w:t>
      </w:r>
      <w:r>
        <w:rPr>
          <w:rFonts w:hint="eastAsia" w:eastAsia="方正仿宋_GBK"/>
          <w:color w:val="000000"/>
          <w:spacing w:val="-2"/>
          <w:sz w:val="24"/>
        </w:rPr>
        <w:t>（现售商品房销售方案备案程序）</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房地产开发企业现售商品房的，在申请新建商品房所有权初始登记前，应当持下列材料，向区县房屋管理部门申请办理商品房销售方案的备案手续。</w:t>
      </w:r>
    </w:p>
    <w:p>
      <w:pPr>
        <w:spacing w:line="460" w:lineRule="exact"/>
        <w:ind w:firstLine="472" w:firstLineChars="200"/>
        <w:rPr>
          <w:rFonts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、商品房销售方案；</w:t>
      </w:r>
    </w:p>
    <w:p>
      <w:pPr>
        <w:spacing w:line="460" w:lineRule="exact"/>
        <w:ind w:firstLine="472" w:firstLineChars="200"/>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、建设工程规划许可证、施工许可证及附图；</w:t>
      </w:r>
    </w:p>
    <w:p>
      <w:pPr>
        <w:spacing w:line="460" w:lineRule="exact"/>
        <w:ind w:firstLine="472" w:firstLineChars="200"/>
        <w:rPr>
          <w:rFonts w:eastAsia="方正仿宋_GBK"/>
          <w:color w:val="000000"/>
          <w:spacing w:val="-2"/>
          <w:sz w:val="24"/>
        </w:rPr>
      </w:pPr>
      <w:r>
        <w:rPr>
          <w:rFonts w:eastAsia="方正仿宋_GBK"/>
          <w:color w:val="000000"/>
          <w:spacing w:val="-2"/>
          <w:sz w:val="24"/>
        </w:rPr>
        <w:t>3</w:t>
      </w:r>
      <w:r>
        <w:rPr>
          <w:rFonts w:hint="eastAsia" w:eastAsia="方正仿宋_GBK"/>
          <w:color w:val="000000"/>
          <w:spacing w:val="-2"/>
          <w:sz w:val="24"/>
        </w:rPr>
        <w:t>、竣工验收证明和房屋勘测报告，其中商品住房项目还应提交住宅交付使用许可证；</w:t>
      </w:r>
    </w:p>
    <w:p>
      <w:pPr>
        <w:spacing w:line="460" w:lineRule="exact"/>
        <w:ind w:firstLine="472" w:firstLineChars="200"/>
        <w:rPr>
          <w:rFonts w:eastAsia="方正仿宋_GBK"/>
          <w:color w:val="000000"/>
          <w:spacing w:val="-2"/>
          <w:sz w:val="24"/>
        </w:rPr>
      </w:pPr>
      <w:r>
        <w:rPr>
          <w:rFonts w:eastAsia="方正仿宋_GBK"/>
          <w:color w:val="000000"/>
          <w:spacing w:val="-2"/>
          <w:sz w:val="24"/>
        </w:rPr>
        <w:t>4</w:t>
      </w:r>
      <w:r>
        <w:rPr>
          <w:rFonts w:hint="eastAsia" w:eastAsia="方正仿宋_GBK"/>
          <w:color w:val="000000"/>
          <w:spacing w:val="-2"/>
          <w:sz w:val="24"/>
        </w:rPr>
        <w:t>、物业管理方案和前期物业管理服务合同。</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区县房屋管理部门应当自受理之曰起的十日内，办理商品房销售方案备案，并开具《商品房销售方案备案证明》。</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房地产开发企业凭《商品房销售方案备案证明》及经房屋所有权初始登记的房地产权证等材料，办理现售商品房销售合同网上认证手续。</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第六条</w:t>
      </w:r>
      <w:r>
        <w:rPr>
          <w:rFonts w:hint="eastAsia" w:eastAsia="方正仿宋_GBK"/>
          <w:color w:val="000000"/>
          <w:spacing w:val="-2"/>
          <w:sz w:val="24"/>
        </w:rPr>
        <w:t>（已备案商品房销售方案的信息公开）</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商品房销售方案备案后，房地产开发企业应当将《商品房销售方案备案证明》和销售方案的相关信息予以公开披露。</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房地产开发企业应当将已备案的商品房销售方案，在售楼场所张贴公示。</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第七条</w:t>
      </w:r>
      <w:r>
        <w:rPr>
          <w:rFonts w:hint="eastAsia" w:eastAsia="方正仿宋_GBK"/>
          <w:color w:val="000000"/>
          <w:spacing w:val="-2"/>
          <w:sz w:val="24"/>
        </w:rPr>
        <w:t>（已备案商品房销售方案的效力）</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房地产开发企业应当按照已备案的商品房销售方案预售、现售（或出租）商品房。公开披露的商品房销售方案内容，应当作为合同附件。</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房地产开发企业应当持已备案的商品房销售方案及上海市房地产登记条例规定的其他材料，向区县房地产登记机构办理新建商品房所有权初始登记。</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第八条</w:t>
      </w:r>
      <w:r>
        <w:rPr>
          <w:rFonts w:hint="eastAsia" w:eastAsia="方正仿宋_GBK"/>
          <w:color w:val="000000"/>
          <w:spacing w:val="-2"/>
          <w:sz w:val="24"/>
        </w:rPr>
        <w:t>（保留自有和用于租赁的房地产上市转让）</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房地产开发企业在商品房销售方案内已确定保留自有和用于租赁的商品房，在房屋所有权初始登记前不得销售。房屋所有权初始登记后，房地产开发企业转让保留自有和用于租赁的房地产的，应当按照《关于存量房交易合同和经纪合同网上备案办法》办理。</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第九条</w:t>
      </w:r>
      <w:r>
        <w:rPr>
          <w:rFonts w:hint="eastAsia" w:eastAsia="方正仿宋_GBK"/>
          <w:color w:val="000000"/>
          <w:spacing w:val="-2"/>
          <w:sz w:val="24"/>
        </w:rPr>
        <w:t>（已备案商品房销售方案的变更）</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已备案的销售方案，一般不得变更。因商品房项目的规划、建筑设计变更等原因，确需变更已备案的商品房销售方案的，应当按照商品房预售许可撤回和变更相关程序办理。</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第十条</w:t>
      </w:r>
      <w:r>
        <w:rPr>
          <w:rFonts w:hint="eastAsia" w:eastAsia="方正仿宋_GBK"/>
          <w:color w:val="000000"/>
          <w:spacing w:val="-2"/>
          <w:sz w:val="24"/>
        </w:rPr>
        <w:t>（违反商品房销售方案的处理）</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房地产开发企业违反商品房销售方案，预售、现售（或租赁</w:t>
      </w:r>
      <w:r>
        <w:rPr>
          <w:rFonts w:eastAsia="方正仿宋_GBK"/>
          <w:color w:val="000000"/>
          <w:spacing w:val="-2"/>
          <w:sz w:val="24"/>
        </w:rPr>
        <w:t>)</w:t>
      </w:r>
      <w:r>
        <w:rPr>
          <w:rFonts w:hint="eastAsia" w:eastAsia="方正仿宋_GBK"/>
          <w:color w:val="000000"/>
          <w:spacing w:val="-2"/>
          <w:sz w:val="24"/>
        </w:rPr>
        <w:t>商品房的，经查实后，市、县房屋管理部门可以要求该房地产开发企业限期改正，逾期未予改正，作为不良经营行为，记入该房地产开发企业的信用档案，按规定予以降低直至撤销资质处理。</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第十一条</w:t>
      </w:r>
      <w:r>
        <w:rPr>
          <w:rFonts w:hint="eastAsia" w:eastAsia="方正仿宋_GBK"/>
          <w:color w:val="000000"/>
          <w:spacing w:val="-2"/>
          <w:sz w:val="24"/>
        </w:rPr>
        <w:t>（未办理销售方案备案的处理）</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房地产开发企业未按本规定办理商品房销售方案备案的，区县房屋管理部门不予办理商品房预售许可，区县房地产登记机构不予办理新建商品房所有权初始登记手续。</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第十二条</w:t>
      </w:r>
      <w:r>
        <w:rPr>
          <w:rFonts w:hint="eastAsia" w:eastAsia="方正仿宋_GBK"/>
          <w:color w:val="000000"/>
          <w:spacing w:val="-2"/>
          <w:sz w:val="24"/>
        </w:rPr>
        <w:t>（实施日期）</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本规定自</w:t>
      </w:r>
      <w:r>
        <w:rPr>
          <w:rFonts w:eastAsia="方正仿宋_GBK"/>
          <w:color w:val="000000"/>
          <w:spacing w:val="-2"/>
          <w:sz w:val="24"/>
        </w:rPr>
        <w:t>2009</w:t>
      </w:r>
      <w:r>
        <w:rPr>
          <w:rFonts w:hint="eastAsia" w:eastAsia="方正仿宋_GBK"/>
          <w:color w:val="000000"/>
          <w:spacing w:val="-2"/>
          <w:sz w:val="24"/>
        </w:rPr>
        <w:t>年</w:t>
      </w:r>
      <w:r>
        <w:rPr>
          <w:rFonts w:eastAsia="方正仿宋_GBK"/>
          <w:color w:val="000000"/>
          <w:spacing w:val="-2"/>
          <w:sz w:val="24"/>
        </w:rPr>
        <w:t>7</w:t>
      </w:r>
      <w:r>
        <w:rPr>
          <w:rFonts w:hint="eastAsia" w:eastAsia="方正仿宋_GBK"/>
          <w:color w:val="000000"/>
          <w:spacing w:val="-2"/>
          <w:sz w:val="24"/>
        </w:rPr>
        <w:t>月</w:t>
      </w:r>
      <w:r>
        <w:rPr>
          <w:rFonts w:eastAsia="方正仿宋_GBK"/>
          <w:color w:val="000000"/>
          <w:spacing w:val="-2"/>
          <w:sz w:val="24"/>
        </w:rPr>
        <w:t>1</w:t>
      </w:r>
      <w:r>
        <w:rPr>
          <w:rFonts w:hint="eastAsia" w:eastAsia="方正仿宋_GBK"/>
          <w:color w:val="000000"/>
          <w:spacing w:val="-2"/>
          <w:sz w:val="24"/>
        </w:rPr>
        <w:t>曰起执行。本规定实施前，已取得的商品房预售许可证，可视作商品房销售方案备案证明；未取得商品房预售许可的，应按本规定办理商品房销售方案备案手续。</w:t>
      </w:r>
    </w:p>
    <w:p/>
    <w:p/>
    <w:p>
      <w:pPr>
        <w:pStyle w:val="2"/>
        <w:spacing w:before="240" w:beforeLines="100" w:after="240" w:afterLines="100" w:line="240" w:lineRule="auto"/>
        <w:jc w:val="center"/>
        <w:rPr>
          <w:rFonts w:ascii="Times New Roman" w:eastAsia="方正小标宋_GBK"/>
          <w:b w:val="0"/>
          <w:sz w:val="36"/>
          <w:szCs w:val="36"/>
        </w:rPr>
      </w:pPr>
      <w:bookmarkStart w:id="16" w:name="_Toc18315366"/>
      <w:bookmarkStart w:id="17" w:name="_Toc20726287"/>
      <w:r>
        <w:rPr>
          <w:rFonts w:hint="eastAsia" w:ascii="Times New Roman" w:eastAsia="方正小标宋_GBK"/>
          <w:b w:val="0"/>
          <w:sz w:val="36"/>
          <w:szCs w:val="36"/>
        </w:rPr>
        <w:t>省住房城乡建设厅关于</w:t>
      </w:r>
      <w:bookmarkEnd w:id="16"/>
      <w:bookmarkStart w:id="18" w:name="_Toc18315367"/>
      <w:r>
        <w:rPr>
          <w:rFonts w:hint="eastAsia" w:ascii="Times New Roman" w:eastAsia="方正小标宋_GBK"/>
          <w:b w:val="0"/>
          <w:sz w:val="36"/>
          <w:szCs w:val="36"/>
        </w:rPr>
        <w:t xml:space="preserve">                           进一步加强商品房预售监管的通知</w:t>
      </w:r>
      <w:bookmarkEnd w:id="17"/>
      <w:bookmarkEnd w:id="18"/>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19" w:name="_Toc20726288"/>
      <w:bookmarkStart w:id="20" w:name="_Toc18315368"/>
      <w:r>
        <w:rPr>
          <w:rFonts w:hint="eastAsia" w:ascii="Times New Roman" w:hAnsi="Times New Roman" w:eastAsia="方正楷体_GBK"/>
          <w:b w:val="0"/>
          <w:sz w:val="24"/>
          <w:szCs w:val="24"/>
        </w:rPr>
        <w:t>苏建房管〔</w:t>
      </w:r>
      <w:r>
        <w:rPr>
          <w:rFonts w:ascii="Times New Roman" w:hAnsi="Times New Roman" w:eastAsia="方正楷体_GBK"/>
          <w:b w:val="0"/>
          <w:sz w:val="24"/>
          <w:szCs w:val="24"/>
        </w:rPr>
        <w:t>2013</w:t>
      </w:r>
      <w:r>
        <w:rPr>
          <w:rFonts w:hint="eastAsia" w:ascii="Times New Roman" w:hAnsi="Times New Roman" w:eastAsia="方正楷体_GBK"/>
          <w:b w:val="0"/>
          <w:sz w:val="24"/>
          <w:szCs w:val="24"/>
        </w:rPr>
        <w:t>〕</w:t>
      </w:r>
      <w:r>
        <w:rPr>
          <w:rFonts w:ascii="Times New Roman" w:hAnsi="Times New Roman" w:eastAsia="方正楷体_GBK"/>
          <w:b w:val="0"/>
          <w:sz w:val="24"/>
          <w:szCs w:val="24"/>
        </w:rPr>
        <w:t>432</w:t>
      </w:r>
      <w:r>
        <w:rPr>
          <w:rFonts w:hint="eastAsia" w:ascii="Times New Roman" w:hAnsi="Times New Roman" w:eastAsia="方正楷体_GBK"/>
          <w:b w:val="0"/>
          <w:sz w:val="24"/>
          <w:szCs w:val="24"/>
        </w:rPr>
        <w:t>号</w:t>
      </w:r>
      <w:bookmarkEnd w:id="19"/>
      <w:bookmarkEnd w:id="20"/>
    </w:p>
    <w:p>
      <w:pPr>
        <w:snapToGrid w:val="0"/>
        <w:spacing w:line="420" w:lineRule="exact"/>
        <w:rPr>
          <w:rFonts w:eastAsia="方正仿宋_GBK"/>
          <w:color w:val="000000"/>
          <w:spacing w:val="-2"/>
          <w:sz w:val="24"/>
        </w:rPr>
      </w:pPr>
      <w:r>
        <w:rPr>
          <w:rFonts w:hint="eastAsia" w:eastAsia="方正仿宋_GBK"/>
          <w:color w:val="000000"/>
          <w:spacing w:val="-2"/>
          <w:sz w:val="24"/>
        </w:rPr>
        <w:t>各省辖市建设局（委）、房产局，昆山市、沭阳县建设局，泰兴市房产局：</w:t>
      </w:r>
    </w:p>
    <w:p>
      <w:pPr>
        <w:snapToGrid w:val="0"/>
        <w:spacing w:line="420" w:lineRule="exact"/>
        <w:ind w:firstLine="448" w:firstLineChars="200"/>
        <w:rPr>
          <w:rFonts w:eastAsia="方正仿宋_GBK"/>
          <w:color w:val="000000"/>
          <w:spacing w:val="-8"/>
          <w:sz w:val="24"/>
        </w:rPr>
      </w:pPr>
      <w:r>
        <w:rPr>
          <w:rFonts w:hint="eastAsia" w:eastAsia="方正仿宋_GBK"/>
          <w:color w:val="000000"/>
          <w:spacing w:val="-8"/>
          <w:sz w:val="24"/>
        </w:rPr>
        <w:t>根据厅党组党的群众路线教育实践活动边征求意见边进行整改工作部署，为进一步加强商品房预售市场监管，规范商品房预售行为，整顿和规范房地产市场秩序，切实维护消费者的合法权益，防范市场风险，促进房地产市场健康发展，现就有关事项通知如下：</w:t>
      </w:r>
    </w:p>
    <w:p>
      <w:pPr>
        <w:spacing w:line="420" w:lineRule="exact"/>
        <w:ind w:firstLine="453" w:firstLineChars="192"/>
        <w:rPr>
          <w:rFonts w:ascii="Times New Roman" w:eastAsia="方正黑体_GBK"/>
          <w:color w:val="000000"/>
          <w:spacing w:val="-2"/>
          <w:sz w:val="24"/>
        </w:rPr>
      </w:pPr>
      <w:r>
        <w:rPr>
          <w:rFonts w:hint="eastAsia" w:ascii="Times New Roman" w:eastAsia="方正黑体_GBK"/>
          <w:color w:val="000000"/>
          <w:spacing w:val="-2"/>
          <w:sz w:val="24"/>
        </w:rPr>
        <w:t>一、严格执行商品房预售制度</w:t>
      </w:r>
    </w:p>
    <w:p>
      <w:pPr>
        <w:snapToGrid w:val="0"/>
        <w:spacing w:line="420" w:lineRule="exact"/>
        <w:ind w:firstLine="472" w:firstLineChars="200"/>
        <w:rPr>
          <w:rFonts w:hint="eastAsia" w:eastAsia="方正仿宋_GBK"/>
          <w:color w:val="000000"/>
          <w:spacing w:val="-2"/>
          <w:sz w:val="24"/>
        </w:rPr>
      </w:pPr>
      <w:r>
        <w:rPr>
          <w:rFonts w:hint="eastAsia" w:eastAsia="方正楷体_GBK"/>
          <w:color w:val="000000"/>
          <w:spacing w:val="-2"/>
          <w:sz w:val="24"/>
        </w:rPr>
        <w:t>（一）严格商品房预售许可管理。</w:t>
      </w:r>
      <w:r>
        <w:rPr>
          <w:rFonts w:hint="eastAsia" w:eastAsia="方正仿宋_GBK"/>
          <w:color w:val="000000"/>
          <w:spacing w:val="-2"/>
          <w:sz w:val="24"/>
        </w:rPr>
        <w:t>各地要严格执行商品房预售许可法定程序和许可条件，结合当地实际，进一步细化完善商品房预售许可最低规模和工程建设进度条件，商品住房预售许可的最低规模不得小于栋，不得分层、分单元办理预售许可。要进一步改进和优化商品房预售许可管理流程，对工程进展和资金投入等情况要进行现场核查，对开发企业的申报资料要依照法定条件和程序进行核查。要切实加强对预售方案的审核，预售方案不符合规定要求的项目，一律不予发放预售许可证书。各地可参照全省商品房预售方案参考文本（见附件</w:t>
      </w:r>
      <w:r>
        <w:rPr>
          <w:rFonts w:eastAsia="方正仿宋_GBK"/>
          <w:color w:val="000000"/>
          <w:spacing w:val="-2"/>
          <w:sz w:val="24"/>
        </w:rPr>
        <w:t>1</w:t>
      </w:r>
      <w:r>
        <w:rPr>
          <w:rFonts w:hint="eastAsia" w:eastAsia="方正仿宋_GBK"/>
          <w:color w:val="000000"/>
          <w:spacing w:val="-2"/>
          <w:sz w:val="24"/>
        </w:rPr>
        <w:t>），进一步规范开发企业预售方案的制定和申报，确保预销售管理各项规定得到有效落实。</w:t>
      </w:r>
    </w:p>
    <w:p>
      <w:pPr>
        <w:snapToGrid w:val="0"/>
        <w:spacing w:line="420" w:lineRule="exact"/>
        <w:ind w:firstLine="472" w:firstLineChars="200"/>
        <w:rPr>
          <w:rFonts w:eastAsia="方正仿宋_GBK"/>
          <w:color w:val="000000"/>
          <w:spacing w:val="-2"/>
          <w:sz w:val="24"/>
        </w:rPr>
      </w:pPr>
      <w:r>
        <w:rPr>
          <w:rFonts w:hint="eastAsia" w:eastAsia="方正楷体_GBK"/>
          <w:color w:val="000000"/>
          <w:spacing w:val="-2"/>
          <w:sz w:val="24"/>
        </w:rPr>
        <w:t>（二）规范商品房预售合同备案管理。</w:t>
      </w:r>
      <w:r>
        <w:rPr>
          <w:rFonts w:hint="eastAsia" w:eastAsia="方正仿宋_GBK"/>
          <w:color w:val="000000"/>
          <w:spacing w:val="-2"/>
          <w:sz w:val="24"/>
        </w:rPr>
        <w:t>各地要不断完善商品住房买卖合同示范文本，全面落实商品房预售合同网上签约即时备案制度，确保合同备案与商品房销售现场销售情况一致，防止一房多售现象发生。要严格执行商品房购房实名制，已签订商品房预售合同并网上备案、经双方协商一致需解除合同的，由房地产开发企业递交申请、说明理由，并对其申请材料实质内容的真实性负责，所退房源应当公开销售。</w:t>
      </w:r>
    </w:p>
    <w:p>
      <w:pPr>
        <w:snapToGrid w:val="0"/>
        <w:spacing w:line="420" w:lineRule="exact"/>
        <w:ind w:firstLine="472" w:firstLineChars="200"/>
        <w:rPr>
          <w:rFonts w:eastAsia="方正仿宋_GBK"/>
          <w:color w:val="000000"/>
          <w:spacing w:val="-2"/>
          <w:sz w:val="24"/>
        </w:rPr>
      </w:pPr>
      <w:r>
        <w:rPr>
          <w:rFonts w:hint="eastAsia" w:eastAsia="方正楷体_GBK"/>
          <w:color w:val="000000"/>
          <w:spacing w:val="-2"/>
          <w:sz w:val="24"/>
        </w:rPr>
        <w:t>（三）加强商品房预售资金监管。</w:t>
      </w:r>
      <w:r>
        <w:rPr>
          <w:rFonts w:hint="eastAsia" w:eastAsia="方正仿宋_GBK"/>
          <w:color w:val="000000"/>
          <w:spacing w:val="-2"/>
          <w:sz w:val="24"/>
        </w:rPr>
        <w:t>各地房地产主管部门要切实强化商品房预售资金监管，认真履行监管职责。没有建立商品房预售资金监管制度的地区，要在</w:t>
      </w:r>
      <w:r>
        <w:rPr>
          <w:rFonts w:eastAsia="方正仿宋_GBK"/>
          <w:color w:val="000000"/>
          <w:spacing w:val="-2"/>
          <w:sz w:val="24"/>
        </w:rPr>
        <w:t>10</w:t>
      </w:r>
      <w:r>
        <w:rPr>
          <w:rFonts w:hint="eastAsia" w:eastAsia="方正仿宋_GBK"/>
          <w:color w:val="000000"/>
          <w:spacing w:val="-2"/>
          <w:sz w:val="24"/>
        </w:rPr>
        <w:t>月底前建立该项制度。已经建立商品房预售资金监管制度的地区要根据当地实际，进一步优化监管程序，明确监管责任，改进监管措施。预售资金要全部纳入监管账户，专款专用，确保预售资金用于商品住房项目建设，保障买受人的购房权益。要掌握每个项目的监管账户资金情况，确保资金安全，并留有足够资金保证建设工程竣工交付。</w:t>
      </w:r>
    </w:p>
    <w:p>
      <w:pPr>
        <w:spacing w:line="420" w:lineRule="exact"/>
        <w:ind w:firstLine="453" w:firstLineChars="192"/>
        <w:rPr>
          <w:rFonts w:ascii="Times New Roman" w:eastAsia="方正黑体_GBK"/>
          <w:color w:val="000000"/>
          <w:spacing w:val="-2"/>
          <w:sz w:val="24"/>
        </w:rPr>
      </w:pPr>
      <w:r>
        <w:rPr>
          <w:rFonts w:hint="eastAsia" w:ascii="Times New Roman" w:eastAsia="方正黑体_GBK"/>
          <w:color w:val="000000"/>
          <w:spacing w:val="-2"/>
          <w:sz w:val="24"/>
        </w:rPr>
        <w:t>二、加强商品房销（预）售行为监管</w:t>
      </w:r>
    </w:p>
    <w:p>
      <w:pPr>
        <w:snapToGrid w:val="0"/>
        <w:spacing w:line="420" w:lineRule="exact"/>
        <w:ind w:firstLine="472" w:firstLineChars="200"/>
        <w:rPr>
          <w:rFonts w:hint="eastAsia" w:eastAsia="方正仿宋_GBK"/>
          <w:b/>
          <w:color w:val="000000"/>
          <w:spacing w:val="-2"/>
          <w:sz w:val="24"/>
        </w:rPr>
      </w:pPr>
      <w:r>
        <w:rPr>
          <w:rFonts w:hint="eastAsia" w:eastAsia="方正楷体_GBK"/>
          <w:color w:val="000000"/>
          <w:spacing w:val="-2"/>
          <w:sz w:val="24"/>
        </w:rPr>
        <w:t>（四）加强预售许可后的动态监管。</w:t>
      </w:r>
      <w:r>
        <w:rPr>
          <w:rFonts w:hint="eastAsia" w:eastAsia="方正仿宋_GBK"/>
          <w:color w:val="000000"/>
          <w:spacing w:val="-2"/>
          <w:sz w:val="24"/>
        </w:rPr>
        <w:t>要建立商品房预售许可动态监管机制，对预售方案的实施情况进行跟踪管理，开发企业必须按照商品房预售许可批准的预售方案进行预售，对违反预售方案的行为，要责成房地产开发企业限期整改，对拒不整改或整改不到位的，可暂停该项目合同网签备案资格。商品房预售方案不得随意变更，确需变更的，房地产开发企业要向原商品房预售许可机关重新申报预售方案，并办理预售许可变更手续。</w:t>
      </w:r>
    </w:p>
    <w:p>
      <w:pPr>
        <w:snapToGrid w:val="0"/>
        <w:spacing w:line="420" w:lineRule="exact"/>
        <w:ind w:firstLine="472" w:firstLineChars="200"/>
        <w:rPr>
          <w:rFonts w:eastAsia="方正仿宋_GBK"/>
          <w:color w:val="000000"/>
          <w:spacing w:val="-2"/>
          <w:sz w:val="24"/>
        </w:rPr>
      </w:pPr>
      <w:r>
        <w:rPr>
          <w:rFonts w:hint="eastAsia" w:eastAsia="方正楷体_GBK"/>
          <w:color w:val="000000"/>
          <w:spacing w:val="-2"/>
          <w:sz w:val="24"/>
        </w:rPr>
        <w:t>（五）规范商品房预售行为。</w:t>
      </w:r>
      <w:r>
        <w:rPr>
          <w:rFonts w:hint="eastAsia" w:eastAsia="方正仿宋_GBK"/>
          <w:color w:val="000000"/>
          <w:spacing w:val="-2"/>
          <w:sz w:val="24"/>
        </w:rPr>
        <w:t>凡预售商品房的项目，必须取得预售许可证后方可预售。房地产开发企业取得《商品房预售许可证》后，应当在</w:t>
      </w:r>
      <w:r>
        <w:rPr>
          <w:rFonts w:eastAsia="方正仿宋_GBK"/>
          <w:color w:val="000000"/>
          <w:spacing w:val="-2"/>
          <w:sz w:val="24"/>
        </w:rPr>
        <w:t>10</w:t>
      </w:r>
      <w:r>
        <w:rPr>
          <w:rFonts w:hint="eastAsia" w:eastAsia="方正仿宋_GBK"/>
          <w:color w:val="000000"/>
          <w:spacing w:val="-2"/>
          <w:sz w:val="24"/>
        </w:rPr>
        <w:t>日内一次性公开全部准售房源及每套房屋价格，并严格按照申报价格，明码标价对外销售。各地房地产主管部门要畅通渠道，为购房者提供信息查询服务，确保商品房销售现场公布的已售房源信息与网上备案系统信息保持一致，并为购房者提供商品房网上签约即时备案查询等服务。房地产开发企业不得通过签订虚假商品住房买卖合同等方式制造房源紧张的假象，不得采取返本销售、售后包租的方式预（销）售商品房。未取得预售许可的商品房项目，不得进行预售，不得以认购、预订、排号、发放</w:t>
      </w:r>
      <w:r>
        <w:rPr>
          <w:rFonts w:eastAsia="方正仿宋_GBK"/>
          <w:color w:val="000000"/>
          <w:spacing w:val="-2"/>
          <w:sz w:val="24"/>
        </w:rPr>
        <w:t>VIP</w:t>
      </w:r>
      <w:r>
        <w:rPr>
          <w:rFonts w:hint="eastAsia" w:eastAsia="方正仿宋_GBK"/>
          <w:color w:val="000000"/>
          <w:spacing w:val="-2"/>
          <w:sz w:val="24"/>
        </w:rPr>
        <w:t>卡等方式向买受人收取或变相收取定金、预定款等费用，不得参加任何展销（展示）活动。</w:t>
      </w:r>
    </w:p>
    <w:p>
      <w:pPr>
        <w:snapToGrid w:val="0"/>
        <w:spacing w:line="420" w:lineRule="exact"/>
        <w:ind w:firstLine="472" w:firstLineChars="200"/>
        <w:rPr>
          <w:rFonts w:eastAsia="方正仿宋_GBK"/>
          <w:color w:val="000000"/>
          <w:spacing w:val="-2"/>
          <w:sz w:val="24"/>
        </w:rPr>
      </w:pPr>
      <w:r>
        <w:rPr>
          <w:rFonts w:hint="eastAsia" w:eastAsia="方正楷体_GBK"/>
          <w:color w:val="000000"/>
          <w:spacing w:val="-2"/>
          <w:sz w:val="24"/>
        </w:rPr>
        <w:t>（六）强化销售代理和经纪机构的管理。</w:t>
      </w:r>
      <w:r>
        <w:rPr>
          <w:rFonts w:hint="eastAsia" w:eastAsia="方正仿宋_GBK"/>
          <w:color w:val="000000"/>
          <w:spacing w:val="-2"/>
          <w:sz w:val="24"/>
        </w:rPr>
        <w:t>实行代理销售商品房的，应该委托在房地产市场主管部门备案的经纪机构代理，对未办理备案的经纪机构，其居间代理业务不予网上备案和预售许可。房地产经纪机构应当将经纪服务项目、服务内容和收费标准在显著位置公示。房地产经纪机构和执业人员不得炒卖房号，不得在代理中赚取差价，不得通过签订</w:t>
      </w:r>
      <w:r>
        <w:rPr>
          <w:rFonts w:eastAsia="方正仿宋_GBK"/>
          <w:color w:val="000000"/>
          <w:spacing w:val="-2"/>
          <w:sz w:val="24"/>
        </w:rPr>
        <w:t>“</w:t>
      </w:r>
      <w:r>
        <w:rPr>
          <w:rFonts w:hint="eastAsia" w:eastAsia="方正仿宋_GBK"/>
          <w:color w:val="000000"/>
          <w:spacing w:val="-2"/>
          <w:sz w:val="24"/>
        </w:rPr>
        <w:t>阴阳合同</w:t>
      </w:r>
      <w:r>
        <w:rPr>
          <w:rFonts w:eastAsia="方正仿宋_GBK"/>
          <w:color w:val="000000"/>
          <w:spacing w:val="-2"/>
          <w:sz w:val="24"/>
        </w:rPr>
        <w:t>”</w:t>
      </w:r>
      <w:r>
        <w:rPr>
          <w:rFonts w:hint="eastAsia" w:eastAsia="方正仿宋_GBK"/>
          <w:color w:val="000000"/>
          <w:spacing w:val="-2"/>
          <w:sz w:val="24"/>
        </w:rPr>
        <w:t>违规交易，不得发布虚假信息或未经核实的信息，不得采取内部认购、雇人排队等手段制造销售旺盛的虚假氛围、误导和欺骗当事人。</w:t>
      </w:r>
    </w:p>
    <w:p>
      <w:pPr>
        <w:snapToGrid w:val="0"/>
        <w:spacing w:line="420" w:lineRule="exact"/>
        <w:ind w:firstLine="472" w:firstLineChars="200"/>
        <w:rPr>
          <w:rFonts w:eastAsia="方正仿宋_GBK"/>
          <w:color w:val="000000"/>
          <w:spacing w:val="-2"/>
          <w:sz w:val="24"/>
        </w:rPr>
      </w:pPr>
      <w:r>
        <w:rPr>
          <w:rFonts w:hint="eastAsia" w:eastAsia="方正楷体_GBK"/>
          <w:color w:val="000000"/>
          <w:spacing w:val="-2"/>
          <w:sz w:val="24"/>
        </w:rPr>
        <w:t>（七）加强商品房销售人员管理。</w:t>
      </w:r>
      <w:r>
        <w:rPr>
          <w:rFonts w:hint="eastAsia" w:eastAsia="方正仿宋_GBK"/>
          <w:color w:val="000000"/>
          <w:spacing w:val="-2"/>
          <w:sz w:val="24"/>
        </w:rPr>
        <w:t>各地房地产主管部门要加强商品房销（预）售人员相关法律法规、房地产专业知识和行业道德培训，并实行持证上岗。房地产经纪机构从业人员和房地产开发企业售楼人员的从业资格证书应当在商品房售楼场所公示。销售人员不得泄露或不当使用委托人的个人信息商业秘密，谋取不正当利益；不得为购房人弄虚作假、规避限购政策或者房屋交易税费等提供便利。</w:t>
      </w:r>
    </w:p>
    <w:p>
      <w:pPr>
        <w:snapToGrid w:val="0"/>
        <w:spacing w:line="420" w:lineRule="exact"/>
        <w:ind w:firstLine="472" w:firstLineChars="200"/>
        <w:rPr>
          <w:rFonts w:eastAsia="方正仿宋_GBK"/>
          <w:color w:val="000000"/>
          <w:spacing w:val="-2"/>
          <w:sz w:val="24"/>
        </w:rPr>
      </w:pPr>
      <w:r>
        <w:rPr>
          <w:rFonts w:hint="eastAsia" w:eastAsia="方正楷体_GBK"/>
          <w:color w:val="000000"/>
          <w:spacing w:val="-2"/>
          <w:sz w:val="24"/>
        </w:rPr>
        <w:t>（八）加强商品房销售现场管理。</w:t>
      </w:r>
      <w:r>
        <w:rPr>
          <w:rFonts w:hint="eastAsia" w:eastAsia="方正仿宋_GBK"/>
          <w:color w:val="000000"/>
          <w:spacing w:val="-2"/>
          <w:sz w:val="24"/>
        </w:rPr>
        <w:t>房地产主管部门要加强商品房销售现场信息公示管理，商品房销售现场应达到全省规范化标准的要求（见附件</w:t>
      </w:r>
      <w:r>
        <w:rPr>
          <w:rFonts w:eastAsia="方正仿宋_GBK"/>
          <w:color w:val="000000"/>
          <w:spacing w:val="-2"/>
          <w:sz w:val="24"/>
        </w:rPr>
        <w:t>2</w:t>
      </w:r>
      <w:r>
        <w:rPr>
          <w:rFonts w:hint="eastAsia" w:eastAsia="方正仿宋_GBK"/>
          <w:color w:val="000000"/>
          <w:spacing w:val="-2"/>
          <w:sz w:val="24"/>
        </w:rPr>
        <w:t>），各地要结合实际进一步规范和细化信息公示内容。销售现场除公示有关证件外，应将销售许可批准的商品房预售方案、一房一价、销售进度、预售资金监管协议、权利状态（如抵押、查封、限制）等信息在现场明显位置进行公示。由经纪机构代理销售商品房项目的，还应在售楼场所公示商品房销售委托书、营业执照、房地产经纪机构备案证明、销售人员从业资格证书等内容。</w:t>
      </w:r>
    </w:p>
    <w:p>
      <w:pPr>
        <w:spacing w:line="420" w:lineRule="exact"/>
        <w:ind w:firstLine="453" w:firstLineChars="192"/>
        <w:rPr>
          <w:rFonts w:ascii="Times New Roman" w:eastAsia="方正黑体_GBK"/>
          <w:color w:val="000000"/>
          <w:spacing w:val="-2"/>
          <w:sz w:val="24"/>
        </w:rPr>
      </w:pPr>
      <w:r>
        <w:rPr>
          <w:rFonts w:hint="eastAsia" w:ascii="Times New Roman" w:eastAsia="方正黑体_GBK"/>
          <w:color w:val="000000"/>
          <w:spacing w:val="-2"/>
          <w:sz w:val="24"/>
        </w:rPr>
        <w:t>三、完善房地产市场监管机制</w:t>
      </w:r>
    </w:p>
    <w:p>
      <w:pPr>
        <w:snapToGrid w:val="0"/>
        <w:spacing w:line="420" w:lineRule="exact"/>
        <w:ind w:firstLine="472" w:firstLineChars="200"/>
        <w:rPr>
          <w:rFonts w:hint="eastAsia" w:eastAsia="方正仿宋_GBK"/>
          <w:color w:val="000000"/>
          <w:spacing w:val="-2"/>
          <w:sz w:val="24"/>
        </w:rPr>
      </w:pPr>
      <w:r>
        <w:rPr>
          <w:rFonts w:hint="eastAsia" w:eastAsia="方正楷体_GBK"/>
          <w:color w:val="000000"/>
          <w:spacing w:val="-2"/>
          <w:sz w:val="24"/>
        </w:rPr>
        <w:t>（九）全面开展预售商品住房项目清理。</w:t>
      </w:r>
      <w:r>
        <w:rPr>
          <w:rFonts w:hint="eastAsia" w:eastAsia="方正仿宋_GBK"/>
          <w:color w:val="000000"/>
          <w:spacing w:val="-2"/>
          <w:sz w:val="24"/>
        </w:rPr>
        <w:t>各地近期要对所有在建的商品住房项目进行一次清理。对已取得预售许可的商品住房项目逐一排查，准确掌握已预售的商品住房数量、正在预售的商品住房数量和尚未开盘的商品住房数量等情况，并将清理情况向社会公开。</w:t>
      </w:r>
    </w:p>
    <w:p>
      <w:pPr>
        <w:snapToGrid w:val="0"/>
        <w:spacing w:line="420" w:lineRule="exact"/>
        <w:ind w:firstLine="472" w:firstLineChars="200"/>
        <w:rPr>
          <w:rFonts w:eastAsia="方正仿宋_GBK"/>
          <w:color w:val="000000"/>
          <w:spacing w:val="-2"/>
          <w:sz w:val="24"/>
        </w:rPr>
      </w:pPr>
      <w:r>
        <w:rPr>
          <w:rFonts w:hint="eastAsia" w:eastAsia="方正楷体_GBK"/>
          <w:color w:val="000000"/>
          <w:spacing w:val="-2"/>
          <w:sz w:val="24"/>
        </w:rPr>
        <w:t>（十）健全房地产信息公开机制。</w:t>
      </w:r>
      <w:r>
        <w:rPr>
          <w:rFonts w:hint="eastAsia" w:eastAsia="方正仿宋_GBK"/>
          <w:color w:val="000000"/>
          <w:spacing w:val="-2"/>
          <w:sz w:val="24"/>
        </w:rPr>
        <w:t>各地房地产主管部门要充分利用房地产市场信息系统，建立健全房地产市场信息公开机制，将批准的预售信息、可售楼盘及二手房源信息、房地产开发企业、中介机构、从业人员信用状况、违法违规行为查处情况等向社会公开。</w:t>
      </w:r>
    </w:p>
    <w:p>
      <w:pPr>
        <w:snapToGrid w:val="0"/>
        <w:spacing w:line="420" w:lineRule="exact"/>
        <w:ind w:firstLine="472" w:firstLineChars="200"/>
        <w:rPr>
          <w:rFonts w:eastAsia="方正仿宋_GBK"/>
          <w:color w:val="000000"/>
          <w:spacing w:val="-2"/>
          <w:sz w:val="24"/>
        </w:rPr>
      </w:pPr>
      <w:r>
        <w:rPr>
          <w:rFonts w:hint="eastAsia" w:eastAsia="方正楷体_GBK"/>
          <w:color w:val="000000"/>
          <w:spacing w:val="-2"/>
          <w:sz w:val="24"/>
        </w:rPr>
        <w:t>（十一）建立房地产开发和中介企业信用管理体系。</w:t>
      </w:r>
      <w:r>
        <w:rPr>
          <w:rFonts w:hint="eastAsia" w:eastAsia="方正仿宋_GBK"/>
          <w:color w:val="000000"/>
          <w:spacing w:val="-2"/>
          <w:sz w:val="24"/>
        </w:rPr>
        <w:t>各地要研究建立房地产开发和中介企业信用管理系统，积极拓展信用管理系统的功能和覆盖面，充分发挥信用管理系统作用，及时记录、公布和处理房地产开发和中介企业的违法违规行为，企业信用档案应当作为考核企业资质的依据。</w:t>
      </w:r>
    </w:p>
    <w:p>
      <w:pPr>
        <w:snapToGrid w:val="0"/>
        <w:spacing w:line="420" w:lineRule="exact"/>
        <w:ind w:firstLine="472" w:firstLineChars="200"/>
        <w:rPr>
          <w:rFonts w:eastAsia="方正仿宋_GBK"/>
          <w:color w:val="000000"/>
          <w:spacing w:val="-2"/>
          <w:sz w:val="24"/>
        </w:rPr>
      </w:pPr>
      <w:r>
        <w:rPr>
          <w:rFonts w:hint="eastAsia" w:eastAsia="方正楷体_GBK"/>
          <w:color w:val="000000"/>
          <w:spacing w:val="-2"/>
          <w:sz w:val="24"/>
        </w:rPr>
        <w:t>（十二）加大违法违规行为查处力度。</w:t>
      </w:r>
      <w:r>
        <w:rPr>
          <w:rFonts w:hint="eastAsia" w:eastAsia="方正仿宋_GBK"/>
          <w:color w:val="000000"/>
          <w:spacing w:val="-2"/>
          <w:sz w:val="24"/>
        </w:rPr>
        <w:t>各地要加强房地产市场监督检查，建立健全商品房预（销）售动态监管机制。要进一步畅通举报投诉渠道，加大房地产市场违法违规行为的曝光和处罚力度，对退房率高、价格异常以及消费者投诉集中的项目，要重点进行核查。对拒不整改的房地产企业和人员，要依据《城市房地产管理法》、《城市房地产开发经营管理条例》、《商品房销售管理办法》和《房地产经纪管理办法》等法律法规，依法从严追究相关责任。</w:t>
      </w:r>
    </w:p>
    <w:p>
      <w:pPr>
        <w:snapToGrid w:val="0"/>
        <w:spacing w:line="420" w:lineRule="exact"/>
        <w:ind w:firstLine="456" w:firstLineChars="200"/>
        <w:rPr>
          <w:rFonts w:eastAsia="方正仿宋_GBK"/>
          <w:color w:val="000000"/>
          <w:spacing w:val="-6"/>
          <w:sz w:val="24"/>
        </w:rPr>
      </w:pPr>
      <w:r>
        <w:rPr>
          <w:rFonts w:hint="eastAsia" w:eastAsia="方正仿宋_GBK"/>
          <w:color w:val="000000"/>
          <w:spacing w:val="-6"/>
          <w:sz w:val="24"/>
        </w:rPr>
        <w:t>省住房城乡建设厅将通过明察暗访等形式对各级主管部门和开发企业贯彻落实商品房预售管理相关规定和要求的情况进行监督检查，对发现的问题将依法予以处理。</w:t>
      </w:r>
    </w:p>
    <w:p>
      <w:pPr>
        <w:snapToGrid w:val="0"/>
        <w:spacing w:line="420" w:lineRule="exact"/>
        <w:ind w:firstLine="472" w:firstLineChars="200"/>
        <w:rPr>
          <w:rFonts w:eastAsia="方正仿宋_GBK"/>
          <w:color w:val="000000"/>
          <w:spacing w:val="-2"/>
          <w:sz w:val="24"/>
        </w:rPr>
      </w:pPr>
    </w:p>
    <w:p>
      <w:pPr>
        <w:snapToGrid w:val="0"/>
        <w:spacing w:line="420" w:lineRule="exact"/>
        <w:ind w:firstLine="472" w:firstLineChars="200"/>
        <w:rPr>
          <w:rFonts w:eastAsia="方正仿宋_GBK"/>
          <w:color w:val="000000"/>
          <w:spacing w:val="-2"/>
          <w:sz w:val="24"/>
        </w:rPr>
      </w:pPr>
      <w:r>
        <w:rPr>
          <w:rFonts w:hint="eastAsia" w:eastAsia="方正仿宋_GBK"/>
          <w:color w:val="000000"/>
          <w:spacing w:val="-2"/>
          <w:sz w:val="24"/>
        </w:rPr>
        <w:t>附件：</w:t>
      </w:r>
      <w:r>
        <w:rPr>
          <w:rFonts w:eastAsia="方正仿宋_GBK"/>
          <w:color w:val="000000"/>
          <w:spacing w:val="-2"/>
          <w:sz w:val="24"/>
        </w:rPr>
        <w:t>1.</w:t>
      </w:r>
      <w:r>
        <w:rPr>
          <w:rFonts w:hint="cs" w:eastAsia="方正仿宋_GBK"/>
          <w:color w:val="000000"/>
          <w:spacing w:val="-2"/>
          <w:sz w:val="24"/>
          <w:cs/>
        </w:rPr>
        <w:t> </w:t>
      </w:r>
      <w:r>
        <w:rPr>
          <w:rFonts w:hint="eastAsia" w:eastAsia="方正仿宋_GBK"/>
          <w:color w:val="000000"/>
          <w:spacing w:val="-2"/>
          <w:sz w:val="24"/>
        </w:rPr>
        <w:t>江苏省商品房预售方案参考文本</w:t>
      </w:r>
    </w:p>
    <w:p>
      <w:pPr>
        <w:snapToGrid w:val="0"/>
        <w:spacing w:line="420" w:lineRule="exact"/>
        <w:ind w:firstLine="1191" w:firstLineChars="505"/>
        <w:rPr>
          <w:rFonts w:eastAsia="方正仿宋_GBK"/>
          <w:color w:val="000000"/>
          <w:spacing w:val="-2"/>
          <w:sz w:val="24"/>
        </w:rPr>
      </w:pPr>
      <w:r>
        <w:rPr>
          <w:rFonts w:eastAsia="方正仿宋_GBK"/>
          <w:color w:val="000000"/>
          <w:spacing w:val="-2"/>
          <w:sz w:val="24"/>
        </w:rPr>
        <w:t>2.</w:t>
      </w:r>
      <w:r>
        <w:rPr>
          <w:rFonts w:hint="cs" w:eastAsia="方正仿宋_GBK"/>
          <w:color w:val="000000"/>
          <w:spacing w:val="-2"/>
          <w:sz w:val="24"/>
          <w:cs/>
        </w:rPr>
        <w:t> </w:t>
      </w:r>
      <w:r>
        <w:rPr>
          <w:rFonts w:hint="eastAsia" w:eastAsia="方正仿宋_GBK"/>
          <w:color w:val="000000"/>
          <w:spacing w:val="-2"/>
          <w:sz w:val="24"/>
        </w:rPr>
        <w:t>江苏省商品房销售现场规范化标准（试行）</w:t>
      </w:r>
    </w:p>
    <w:p>
      <w:pPr>
        <w:spacing w:line="420" w:lineRule="exact"/>
        <w:rPr>
          <w:rFonts w:eastAsia="方正仿宋_GBK"/>
          <w:color w:val="000000"/>
          <w:spacing w:val="-2"/>
          <w:sz w:val="24"/>
        </w:rPr>
      </w:pPr>
    </w:p>
    <w:p>
      <w:pPr>
        <w:spacing w:line="420" w:lineRule="exact"/>
        <w:ind w:firstLine="2714" w:firstLineChars="1150"/>
        <w:jc w:val="right"/>
        <w:rPr>
          <w:rFonts w:eastAsia="方正仿宋_GBK"/>
          <w:color w:val="000000"/>
          <w:spacing w:val="-2"/>
          <w:sz w:val="24"/>
        </w:rPr>
      </w:pPr>
      <w:r>
        <w:rPr>
          <w:rFonts w:hint="eastAsia" w:eastAsia="方正仿宋_GBK"/>
          <w:color w:val="000000"/>
          <w:spacing w:val="-2"/>
          <w:sz w:val="24"/>
        </w:rPr>
        <w:t>江苏省住房和城乡建设厅</w:t>
      </w:r>
      <w:r>
        <w:rPr>
          <w:rFonts w:eastAsia="方正仿宋_GBK"/>
          <w:color w:val="000000"/>
          <w:spacing w:val="-2"/>
          <w:sz w:val="24"/>
        </w:rPr>
        <w:t xml:space="preserve">    </w:t>
      </w:r>
    </w:p>
    <w:p>
      <w:pPr>
        <w:spacing w:line="420" w:lineRule="exact"/>
        <w:jc w:val="right"/>
        <w:rPr>
          <w:rFonts w:eastAsia="方正仿宋_GBK"/>
          <w:color w:val="000000"/>
          <w:spacing w:val="-2"/>
          <w:sz w:val="24"/>
        </w:rPr>
      </w:pPr>
      <w:r>
        <w:rPr>
          <w:rFonts w:eastAsia="方正仿宋_GBK"/>
          <w:color w:val="000000"/>
          <w:spacing w:val="-2"/>
          <w:sz w:val="24"/>
        </w:rPr>
        <w:t xml:space="preserve">                           2013</w:t>
      </w:r>
      <w:r>
        <w:rPr>
          <w:rFonts w:hint="eastAsia" w:eastAsia="方正仿宋_GBK"/>
          <w:color w:val="000000"/>
          <w:spacing w:val="-2"/>
          <w:sz w:val="24"/>
        </w:rPr>
        <w:t>年</w:t>
      </w:r>
      <w:r>
        <w:rPr>
          <w:rFonts w:eastAsia="方正仿宋_GBK"/>
          <w:color w:val="000000"/>
          <w:spacing w:val="-2"/>
          <w:sz w:val="24"/>
        </w:rPr>
        <w:t>9</w:t>
      </w:r>
      <w:r>
        <w:rPr>
          <w:rFonts w:hint="eastAsia" w:eastAsia="方正仿宋_GBK"/>
          <w:color w:val="000000"/>
          <w:spacing w:val="-2"/>
          <w:sz w:val="24"/>
        </w:rPr>
        <w:t>月</w:t>
      </w:r>
      <w:r>
        <w:rPr>
          <w:rFonts w:eastAsia="方正仿宋_GBK"/>
          <w:color w:val="000000"/>
          <w:spacing w:val="-2"/>
          <w:sz w:val="24"/>
        </w:rPr>
        <w:t>3</w:t>
      </w:r>
      <w:r>
        <w:rPr>
          <w:rFonts w:hint="eastAsia" w:eastAsia="方正仿宋_GBK"/>
          <w:color w:val="000000"/>
          <w:spacing w:val="-2"/>
          <w:sz w:val="24"/>
        </w:rPr>
        <w:t>日</w:t>
      </w:r>
      <w:r>
        <w:rPr>
          <w:rFonts w:eastAsia="方正仿宋_GBK"/>
          <w:color w:val="000000"/>
          <w:spacing w:val="-2"/>
          <w:sz w:val="24"/>
        </w:rPr>
        <w:t xml:space="preserve">       </w:t>
      </w:r>
    </w:p>
    <w:p>
      <w:pPr>
        <w:spacing w:line="460" w:lineRule="exact"/>
        <w:rPr>
          <w:rFonts w:ascii="Times New Roman" w:eastAsia="方正黑体_GBK"/>
          <w:color w:val="000000"/>
          <w:spacing w:val="-2"/>
          <w:sz w:val="28"/>
          <w:szCs w:val="28"/>
        </w:rPr>
      </w:pPr>
      <w:r>
        <w:rPr>
          <w:rFonts w:eastAsia="方正仿宋_GBK"/>
          <w:color w:val="000000"/>
          <w:spacing w:val="-2"/>
          <w:sz w:val="28"/>
          <w:szCs w:val="28"/>
        </w:rPr>
        <w:br w:type="page"/>
      </w:r>
      <w:r>
        <w:rPr>
          <w:rFonts w:hint="eastAsia" w:ascii="Times New Roman" w:eastAsia="方正黑体_GBK"/>
          <w:color w:val="000000"/>
          <w:spacing w:val="-2"/>
          <w:sz w:val="28"/>
          <w:szCs w:val="28"/>
        </w:rPr>
        <w:t>附件1：</w:t>
      </w:r>
    </w:p>
    <w:p>
      <w:pPr>
        <w:spacing w:line="580" w:lineRule="exact"/>
        <w:rPr>
          <w:rFonts w:hint="eastAsia" w:eastAsia="仿宋_GB2312"/>
          <w:color w:val="000000"/>
          <w:spacing w:val="-2"/>
          <w:sz w:val="32"/>
          <w:szCs w:val="32"/>
        </w:rPr>
      </w:pPr>
    </w:p>
    <w:p>
      <w:pPr>
        <w:spacing w:line="580" w:lineRule="exact"/>
        <w:jc w:val="center"/>
        <w:rPr>
          <w:rFonts w:ascii="Times New Roman" w:hAnsi="Times New Roman"/>
          <w:b/>
          <w:color w:val="000000"/>
          <w:spacing w:val="-2"/>
          <w:sz w:val="36"/>
          <w:szCs w:val="36"/>
        </w:rPr>
      </w:pPr>
      <w:r>
        <w:rPr>
          <w:rFonts w:hint="eastAsia" w:ascii="Times New Roman" w:hAnsi="Times New Roman"/>
          <w:b/>
          <w:color w:val="000000"/>
          <w:spacing w:val="-2"/>
          <w:sz w:val="36"/>
          <w:szCs w:val="36"/>
        </w:rPr>
        <w:t>江苏省商品房预售方案参考文本</w:t>
      </w:r>
    </w:p>
    <w:p>
      <w:pPr>
        <w:spacing w:line="360" w:lineRule="auto"/>
        <w:rPr>
          <w:rFonts w:hint="eastAsia" w:eastAsia="仿宋_GB2312"/>
          <w:color w:val="000000"/>
          <w:spacing w:val="-2"/>
          <w:sz w:val="32"/>
          <w:szCs w:val="32"/>
        </w:rPr>
      </w:pPr>
    </w:p>
    <w:p>
      <w:pPr>
        <w:spacing w:line="360" w:lineRule="auto"/>
        <w:jc w:val="center"/>
        <w:rPr>
          <w:rFonts w:ascii="Times New Roman" w:hAnsi="Times New Roman" w:eastAsia="方正小标宋简体"/>
          <w:bCs/>
          <w:color w:val="000000"/>
          <w:spacing w:val="-2"/>
          <w:sz w:val="52"/>
          <w:szCs w:val="52"/>
        </w:rPr>
      </w:pPr>
      <w:r>
        <w:rPr>
          <w:rFonts w:hint="eastAsia" w:ascii="Times New Roman" w:eastAsia="方正小标宋简体"/>
          <w:bCs/>
          <w:color w:val="000000"/>
          <w:spacing w:val="-2"/>
          <w:sz w:val="52"/>
          <w:szCs w:val="52"/>
        </w:rPr>
        <w:t>江苏省商品房预售方案</w:t>
      </w:r>
    </w:p>
    <w:p>
      <w:pPr>
        <w:spacing w:line="360" w:lineRule="auto"/>
        <w:rPr>
          <w:rFonts w:hint="eastAsia"/>
          <w:b/>
          <w:bCs/>
          <w:color w:val="000000"/>
          <w:spacing w:val="-2"/>
          <w:sz w:val="48"/>
          <w:szCs w:val="22"/>
        </w:rPr>
      </w:pPr>
    </w:p>
    <w:p>
      <w:pPr>
        <w:spacing w:line="360" w:lineRule="auto"/>
        <w:rPr>
          <w:color w:val="000000"/>
          <w:spacing w:val="-2"/>
          <w:sz w:val="44"/>
        </w:rPr>
      </w:pPr>
    </w:p>
    <w:p>
      <w:pPr>
        <w:tabs>
          <w:tab w:val="left" w:pos="945"/>
        </w:tabs>
        <w:spacing w:line="360" w:lineRule="auto"/>
        <w:rPr>
          <w:color w:val="000000"/>
          <w:spacing w:val="-2"/>
          <w:sz w:val="44"/>
        </w:rPr>
      </w:pPr>
    </w:p>
    <w:p>
      <w:pPr>
        <w:spacing w:line="360" w:lineRule="auto"/>
        <w:ind w:left="630" w:leftChars="300"/>
        <w:rPr>
          <w:rFonts w:eastAsia="方正仿宋_GBK"/>
          <w:b/>
          <w:bCs/>
          <w:color w:val="000000"/>
          <w:spacing w:val="-2"/>
          <w:sz w:val="32"/>
          <w:szCs w:val="32"/>
          <w:u w:val="single"/>
        </w:rPr>
      </w:pPr>
      <w:r>
        <w:rPr>
          <w:rFonts w:hint="eastAsia" w:eastAsia="方正仿宋_GBK"/>
          <w:color w:val="000000"/>
          <w:spacing w:val="-2"/>
          <w:sz w:val="32"/>
          <w:szCs w:val="32"/>
        </w:rPr>
        <w:t>项目所在城市：</w:t>
      </w:r>
      <w:r>
        <w:rPr>
          <w:rFonts w:eastAsia="方正仿宋_GBK"/>
          <w:color w:val="000000"/>
          <w:spacing w:val="-2"/>
          <w:sz w:val="32"/>
          <w:szCs w:val="32"/>
          <w:u w:val="single"/>
        </w:rPr>
        <w:t xml:space="preserve">         </w:t>
      </w:r>
      <w:r>
        <w:rPr>
          <w:rFonts w:hint="eastAsia" w:eastAsia="方正仿宋_GBK"/>
          <w:color w:val="000000"/>
          <w:spacing w:val="-2"/>
          <w:sz w:val="32"/>
          <w:szCs w:val="32"/>
        </w:rPr>
        <w:t>市</w:t>
      </w:r>
      <w:r>
        <w:rPr>
          <w:rFonts w:eastAsia="方正仿宋_GBK"/>
          <w:color w:val="000000"/>
          <w:spacing w:val="-2"/>
          <w:sz w:val="32"/>
          <w:szCs w:val="32"/>
          <w:u w:val="single"/>
        </w:rPr>
        <w:t xml:space="preserve">         </w:t>
      </w:r>
      <w:r>
        <w:rPr>
          <w:rFonts w:hint="eastAsia" w:eastAsia="方正仿宋_GBK"/>
          <w:color w:val="000000"/>
          <w:spacing w:val="-2"/>
          <w:sz w:val="32"/>
          <w:szCs w:val="32"/>
        </w:rPr>
        <w:t>县（市）</w:t>
      </w:r>
    </w:p>
    <w:p>
      <w:pPr>
        <w:spacing w:line="360" w:lineRule="auto"/>
        <w:ind w:left="630" w:leftChars="300"/>
        <w:rPr>
          <w:rFonts w:eastAsia="方正仿宋_GBK"/>
          <w:b/>
          <w:bCs/>
          <w:color w:val="000000"/>
          <w:spacing w:val="-2"/>
          <w:sz w:val="32"/>
          <w:szCs w:val="32"/>
          <w:u w:val="single"/>
        </w:rPr>
      </w:pPr>
      <w:r>
        <w:rPr>
          <w:rFonts w:hint="eastAsia" w:eastAsia="方正仿宋_GBK"/>
          <w:color w:val="000000"/>
          <w:spacing w:val="-2"/>
          <w:sz w:val="32"/>
          <w:szCs w:val="32"/>
        </w:rPr>
        <w:t>项目名称：</w:t>
      </w:r>
      <w:r>
        <w:rPr>
          <w:rFonts w:eastAsia="方正仿宋_GBK"/>
          <w:color w:val="000000"/>
          <w:spacing w:val="-2"/>
          <w:sz w:val="32"/>
          <w:szCs w:val="32"/>
          <w:u w:val="single"/>
        </w:rPr>
        <w:t xml:space="preserve">                               </w:t>
      </w:r>
    </w:p>
    <w:p>
      <w:pPr>
        <w:spacing w:line="360" w:lineRule="auto"/>
        <w:ind w:left="630" w:leftChars="300"/>
        <w:rPr>
          <w:rFonts w:eastAsia="方正仿宋_GBK"/>
          <w:b/>
          <w:bCs/>
          <w:color w:val="000000"/>
          <w:spacing w:val="-2"/>
          <w:sz w:val="32"/>
          <w:szCs w:val="32"/>
          <w:u w:val="single"/>
        </w:rPr>
      </w:pPr>
      <w:r>
        <w:rPr>
          <w:rFonts w:hint="eastAsia" w:eastAsia="方正仿宋_GBK"/>
          <w:color w:val="000000"/>
          <w:spacing w:val="-2"/>
          <w:sz w:val="32"/>
          <w:szCs w:val="32"/>
        </w:rPr>
        <w:t>项目地址：</w:t>
      </w:r>
      <w:r>
        <w:rPr>
          <w:rFonts w:eastAsia="方正仿宋_GBK"/>
          <w:color w:val="000000"/>
          <w:spacing w:val="-2"/>
          <w:sz w:val="32"/>
          <w:szCs w:val="32"/>
          <w:u w:val="single"/>
        </w:rPr>
        <w:t xml:space="preserve">                               </w:t>
      </w:r>
    </w:p>
    <w:p>
      <w:pPr>
        <w:spacing w:line="360" w:lineRule="auto"/>
        <w:ind w:left="630" w:leftChars="300"/>
        <w:rPr>
          <w:rFonts w:eastAsia="方正仿宋_GBK"/>
          <w:color w:val="000000"/>
          <w:spacing w:val="-2"/>
          <w:sz w:val="32"/>
          <w:szCs w:val="32"/>
          <w:u w:val="single"/>
        </w:rPr>
      </w:pPr>
      <w:r>
        <w:rPr>
          <w:rFonts w:hint="eastAsia" w:eastAsia="方正仿宋_GBK"/>
          <w:color w:val="000000"/>
          <w:spacing w:val="-2"/>
          <w:sz w:val="32"/>
          <w:szCs w:val="32"/>
        </w:rPr>
        <w:t>申报单位（盖章）：</w:t>
      </w:r>
      <w:r>
        <w:rPr>
          <w:rFonts w:eastAsia="方正仿宋_GBK"/>
          <w:color w:val="000000"/>
          <w:spacing w:val="-2"/>
          <w:sz w:val="32"/>
          <w:szCs w:val="32"/>
          <w:u w:val="single"/>
        </w:rPr>
        <w:t xml:space="preserve">                        </w:t>
      </w:r>
    </w:p>
    <w:p>
      <w:pPr>
        <w:spacing w:line="360" w:lineRule="auto"/>
        <w:ind w:left="630" w:leftChars="300"/>
        <w:rPr>
          <w:rFonts w:eastAsia="方正仿宋_GBK"/>
          <w:color w:val="000000"/>
          <w:spacing w:val="-2"/>
          <w:sz w:val="32"/>
          <w:szCs w:val="32"/>
          <w:u w:val="single"/>
        </w:rPr>
      </w:pPr>
      <w:r>
        <w:rPr>
          <w:rFonts w:hint="eastAsia" w:eastAsia="方正仿宋_GBK"/>
          <w:color w:val="000000"/>
          <w:spacing w:val="-2"/>
          <w:sz w:val="32"/>
          <w:szCs w:val="32"/>
        </w:rPr>
        <w:t>申报日期：</w:t>
      </w:r>
      <w:r>
        <w:rPr>
          <w:rFonts w:eastAsia="方正仿宋_GBK"/>
          <w:color w:val="000000"/>
          <w:spacing w:val="-2"/>
          <w:sz w:val="32"/>
          <w:szCs w:val="32"/>
          <w:u w:val="single"/>
        </w:rPr>
        <w:t xml:space="preserve">                               </w:t>
      </w:r>
    </w:p>
    <w:p>
      <w:pPr>
        <w:spacing w:line="360" w:lineRule="auto"/>
        <w:ind w:left="630" w:leftChars="300"/>
        <w:rPr>
          <w:rFonts w:eastAsia="方正仿宋_GBK"/>
          <w:b/>
          <w:bCs/>
          <w:color w:val="000000"/>
          <w:spacing w:val="-2"/>
          <w:sz w:val="32"/>
          <w:szCs w:val="32"/>
        </w:rPr>
      </w:pPr>
      <w:r>
        <w:rPr>
          <w:rFonts w:hint="eastAsia" w:eastAsia="方正仿宋_GBK"/>
          <w:color w:val="000000"/>
          <w:spacing w:val="-2"/>
          <w:sz w:val="32"/>
          <w:szCs w:val="32"/>
        </w:rPr>
        <w:t>审批单位（盖章）：</w:t>
      </w:r>
      <w:r>
        <w:rPr>
          <w:rFonts w:eastAsia="方正仿宋_GBK"/>
          <w:color w:val="000000"/>
          <w:spacing w:val="-2"/>
          <w:sz w:val="32"/>
          <w:szCs w:val="32"/>
          <w:u w:val="single"/>
        </w:rPr>
        <w:t xml:space="preserve">                        </w:t>
      </w:r>
    </w:p>
    <w:p>
      <w:pPr>
        <w:spacing w:line="360" w:lineRule="auto"/>
        <w:ind w:left="630" w:leftChars="300"/>
        <w:rPr>
          <w:rFonts w:eastAsia="方正仿宋_GBK"/>
          <w:color w:val="000000"/>
          <w:spacing w:val="-2"/>
          <w:sz w:val="32"/>
          <w:szCs w:val="32"/>
          <w:u w:val="single"/>
        </w:rPr>
      </w:pPr>
      <w:r>
        <w:rPr>
          <w:rFonts w:hint="eastAsia" w:eastAsia="方正仿宋_GBK"/>
          <w:color w:val="000000"/>
          <w:spacing w:val="-2"/>
          <w:sz w:val="32"/>
          <w:szCs w:val="32"/>
        </w:rPr>
        <w:t>审批日期：</w:t>
      </w:r>
      <w:r>
        <w:rPr>
          <w:rFonts w:eastAsia="方正仿宋_GBK"/>
          <w:color w:val="000000"/>
          <w:spacing w:val="-2"/>
          <w:sz w:val="32"/>
          <w:szCs w:val="32"/>
          <w:u w:val="single"/>
        </w:rPr>
        <w:t xml:space="preserve">                               </w:t>
      </w:r>
    </w:p>
    <w:p>
      <w:pPr>
        <w:spacing w:line="360" w:lineRule="auto"/>
        <w:rPr>
          <w:rFonts w:ascii="Times New Roman"/>
          <w:b/>
          <w:bCs/>
          <w:color w:val="000000"/>
          <w:spacing w:val="-2"/>
          <w:sz w:val="36"/>
        </w:rPr>
      </w:pPr>
    </w:p>
    <w:p>
      <w:pPr>
        <w:spacing w:line="360" w:lineRule="auto"/>
        <w:rPr>
          <w:rFonts w:hint="eastAsia" w:ascii="Times New Roman" w:eastAsia="方正楷体_GBK"/>
          <w:b/>
          <w:bCs/>
          <w:color w:val="000000"/>
          <w:spacing w:val="-2"/>
          <w:sz w:val="32"/>
          <w:szCs w:val="32"/>
        </w:rPr>
      </w:pPr>
    </w:p>
    <w:p>
      <w:pPr>
        <w:spacing w:line="360" w:lineRule="auto"/>
        <w:jc w:val="center"/>
        <w:rPr>
          <w:rFonts w:hint="eastAsia" w:ascii="Times New Roman" w:eastAsia="方正楷体_GBK"/>
          <w:bCs/>
          <w:color w:val="000000"/>
          <w:spacing w:val="-2"/>
          <w:sz w:val="32"/>
          <w:szCs w:val="32"/>
        </w:rPr>
      </w:pPr>
      <w:r>
        <w:rPr>
          <w:rFonts w:hint="eastAsia" w:ascii="Times New Roman" w:hAnsi="Times New Roman" w:eastAsia="方正楷体_GBK"/>
          <w:bCs/>
          <w:color w:val="000000"/>
          <w:spacing w:val="-2"/>
          <w:sz w:val="32"/>
          <w:szCs w:val="32"/>
        </w:rPr>
        <w:t>江苏省住房和城乡建设厅制</w:t>
      </w:r>
    </w:p>
    <w:p>
      <w:pPr>
        <w:spacing w:line="360" w:lineRule="auto"/>
        <w:jc w:val="center"/>
        <w:rPr>
          <w:rFonts w:hint="eastAsia" w:ascii="Times New Roman"/>
          <w:b/>
          <w:bCs/>
          <w:color w:val="000000"/>
          <w:spacing w:val="-2"/>
          <w:sz w:val="36"/>
          <w:szCs w:val="22"/>
        </w:rPr>
      </w:pPr>
      <w:r>
        <w:rPr>
          <w:rFonts w:hint="eastAsia" w:ascii="Times New Roman"/>
          <w:b/>
          <w:bCs/>
          <w:color w:val="000000"/>
          <w:spacing w:val="-2"/>
          <w:sz w:val="36"/>
        </w:rPr>
        <w:br w:type="page"/>
      </w:r>
    </w:p>
    <w:p>
      <w:pPr>
        <w:spacing w:line="360" w:lineRule="auto"/>
        <w:jc w:val="center"/>
        <w:rPr>
          <w:rFonts w:hint="eastAsia" w:ascii="Times New Roman" w:eastAsia="方正黑体_GBK"/>
          <w:bCs/>
          <w:color w:val="000000"/>
          <w:spacing w:val="-2"/>
          <w:sz w:val="28"/>
          <w:szCs w:val="28"/>
        </w:rPr>
      </w:pPr>
      <w:r>
        <w:rPr>
          <w:rFonts w:hint="eastAsia" w:ascii="Times New Roman" w:hAnsi="Times New Roman" w:eastAsia="方正黑体_GBK"/>
          <w:bCs/>
          <w:color w:val="000000"/>
          <w:spacing w:val="-2"/>
          <w:sz w:val="28"/>
          <w:szCs w:val="28"/>
        </w:rPr>
        <w:t>填  写  说  明</w:t>
      </w:r>
    </w:p>
    <w:p>
      <w:pPr>
        <w:spacing w:line="360" w:lineRule="auto"/>
        <w:rPr>
          <w:rFonts w:hint="eastAsia" w:eastAsia="方正仿宋_GBK"/>
          <w:b/>
          <w:bCs/>
          <w:color w:val="000000"/>
          <w:spacing w:val="-2"/>
          <w:sz w:val="24"/>
        </w:rPr>
      </w:pPr>
    </w:p>
    <w:p>
      <w:pPr>
        <w:spacing w:line="360" w:lineRule="auto"/>
        <w:ind w:firstLine="472" w:firstLineChars="200"/>
        <w:rPr>
          <w:rFonts w:eastAsia="方正仿宋_GBK"/>
          <w:color w:val="000000"/>
          <w:spacing w:val="-2"/>
          <w:sz w:val="24"/>
        </w:rPr>
      </w:pPr>
      <w:r>
        <w:rPr>
          <w:rFonts w:eastAsia="方正仿宋_GBK"/>
          <w:color w:val="000000"/>
          <w:spacing w:val="-2"/>
          <w:sz w:val="24"/>
        </w:rPr>
        <w:t>1.</w:t>
      </w:r>
      <w:r>
        <w:rPr>
          <w:rFonts w:hint="cs" w:eastAsia="方正仿宋_GBK"/>
          <w:color w:val="000000"/>
          <w:spacing w:val="-2"/>
          <w:sz w:val="24"/>
          <w:cs/>
        </w:rPr>
        <w:t> </w:t>
      </w:r>
      <w:r>
        <w:rPr>
          <w:rFonts w:hint="eastAsia" w:eastAsia="方正仿宋_GBK"/>
          <w:color w:val="000000"/>
          <w:spacing w:val="-2"/>
          <w:sz w:val="24"/>
        </w:rPr>
        <w:t>本方案样表从江苏省住房和城乡建设厅网站（</w:t>
      </w:r>
      <w:r>
        <w:rPr>
          <w:rFonts w:eastAsia="方正仿宋_GBK"/>
          <w:bCs/>
          <w:color w:val="000000"/>
          <w:spacing w:val="-2"/>
          <w:kern w:val="0"/>
          <w:sz w:val="24"/>
        </w:rPr>
        <w:t>http://www.jscin.gov.cn</w:t>
      </w:r>
      <w:r>
        <w:rPr>
          <w:rFonts w:hint="eastAsia" w:eastAsia="方正仿宋_GBK"/>
          <w:bCs/>
          <w:color w:val="000000"/>
          <w:spacing w:val="-2"/>
          <w:kern w:val="0"/>
          <w:sz w:val="24"/>
        </w:rPr>
        <w:t>）</w:t>
      </w:r>
      <w:r>
        <w:rPr>
          <w:rFonts w:eastAsia="方正仿宋_GBK"/>
          <w:color w:val="000000"/>
          <w:spacing w:val="-2"/>
          <w:sz w:val="24"/>
        </w:rPr>
        <w:t>“</w:t>
      </w:r>
      <w:r>
        <w:rPr>
          <w:rFonts w:hint="eastAsia" w:eastAsia="方正仿宋_GBK"/>
          <w:color w:val="000000"/>
          <w:spacing w:val="-2"/>
          <w:sz w:val="24"/>
        </w:rPr>
        <w:t>房地产</w:t>
      </w:r>
      <w:r>
        <w:rPr>
          <w:rFonts w:eastAsia="方正仿宋_GBK"/>
          <w:color w:val="000000"/>
          <w:spacing w:val="-2"/>
          <w:sz w:val="24"/>
        </w:rPr>
        <w:t>/</w:t>
      </w:r>
      <w:r>
        <w:rPr>
          <w:rFonts w:hint="eastAsia" w:eastAsia="方正仿宋_GBK"/>
          <w:color w:val="000000"/>
          <w:spacing w:val="-2"/>
          <w:sz w:val="24"/>
        </w:rPr>
        <w:t>资料下载</w:t>
      </w:r>
      <w:r>
        <w:rPr>
          <w:rFonts w:eastAsia="方正仿宋_GBK"/>
          <w:color w:val="000000"/>
          <w:spacing w:val="-2"/>
          <w:sz w:val="24"/>
        </w:rPr>
        <w:t>”</w:t>
      </w:r>
      <w:r>
        <w:rPr>
          <w:rFonts w:hint="eastAsia" w:eastAsia="方正仿宋_GBK"/>
          <w:color w:val="000000"/>
          <w:spacing w:val="-2"/>
          <w:sz w:val="24"/>
        </w:rPr>
        <w:t>栏，直接下载填写，如有涂改应加盖公章。</w:t>
      </w:r>
    </w:p>
    <w:p>
      <w:pPr>
        <w:spacing w:line="360" w:lineRule="auto"/>
        <w:ind w:firstLine="472" w:firstLineChars="200"/>
        <w:rPr>
          <w:rFonts w:eastAsia="方正仿宋_GBK"/>
          <w:color w:val="000000"/>
          <w:spacing w:val="-2"/>
          <w:sz w:val="24"/>
        </w:rPr>
      </w:pPr>
      <w:r>
        <w:rPr>
          <w:rFonts w:eastAsia="方正仿宋_GBK"/>
          <w:color w:val="000000"/>
          <w:spacing w:val="-2"/>
          <w:sz w:val="24"/>
        </w:rPr>
        <w:t>2.</w:t>
      </w:r>
      <w:r>
        <w:rPr>
          <w:rFonts w:hint="cs" w:eastAsia="方正仿宋_GBK"/>
          <w:color w:val="000000"/>
          <w:spacing w:val="-2"/>
          <w:sz w:val="24"/>
          <w:cs/>
        </w:rPr>
        <w:t> </w:t>
      </w:r>
      <w:r>
        <w:rPr>
          <w:rFonts w:hint="eastAsia" w:eastAsia="方正仿宋_GBK"/>
          <w:color w:val="000000"/>
          <w:spacing w:val="-2"/>
          <w:sz w:val="24"/>
        </w:rPr>
        <w:t>本方案有关资料必须真实、合法有效。</w:t>
      </w:r>
    </w:p>
    <w:p>
      <w:pPr>
        <w:spacing w:line="360" w:lineRule="auto"/>
        <w:ind w:firstLine="472" w:firstLineChars="200"/>
        <w:rPr>
          <w:rFonts w:eastAsia="方正仿宋_GBK"/>
          <w:color w:val="000000"/>
          <w:spacing w:val="-2"/>
          <w:sz w:val="24"/>
        </w:rPr>
      </w:pPr>
      <w:r>
        <w:rPr>
          <w:rFonts w:eastAsia="方正仿宋_GBK"/>
          <w:color w:val="000000"/>
          <w:spacing w:val="-2"/>
          <w:sz w:val="24"/>
        </w:rPr>
        <w:t>3.</w:t>
      </w:r>
      <w:r>
        <w:rPr>
          <w:rFonts w:hint="cs" w:eastAsia="方正仿宋_GBK"/>
          <w:color w:val="000000"/>
          <w:spacing w:val="-2"/>
          <w:sz w:val="24"/>
          <w:cs/>
        </w:rPr>
        <w:t> </w:t>
      </w:r>
      <w:r>
        <w:rPr>
          <w:rFonts w:hint="eastAsia" w:eastAsia="方正仿宋_GBK"/>
          <w:color w:val="000000"/>
          <w:spacing w:val="-2"/>
          <w:sz w:val="24"/>
        </w:rPr>
        <w:t>本方案中提交的所有复印件，均应加盖申请人公章，由收件人员与原件核对后，在复印件上加盖</w:t>
      </w:r>
      <w:r>
        <w:rPr>
          <w:rFonts w:eastAsia="方正仿宋_GBK"/>
          <w:color w:val="000000"/>
          <w:spacing w:val="-2"/>
          <w:sz w:val="24"/>
        </w:rPr>
        <w:t>“</w:t>
      </w:r>
      <w:r>
        <w:rPr>
          <w:rFonts w:hint="eastAsia" w:eastAsia="方正仿宋_GBK"/>
          <w:color w:val="000000"/>
          <w:spacing w:val="-2"/>
          <w:sz w:val="24"/>
        </w:rPr>
        <w:t>与原件一致</w:t>
      </w:r>
      <w:r>
        <w:rPr>
          <w:rFonts w:eastAsia="方正仿宋_GBK"/>
          <w:color w:val="000000"/>
          <w:spacing w:val="-2"/>
          <w:sz w:val="24"/>
        </w:rPr>
        <w:t>”</w:t>
      </w:r>
      <w:r>
        <w:rPr>
          <w:rFonts w:hint="eastAsia" w:eastAsia="方正仿宋_GBK"/>
          <w:color w:val="000000"/>
          <w:spacing w:val="-2"/>
          <w:sz w:val="24"/>
        </w:rPr>
        <w:t>印章并签字后方可生效。</w:t>
      </w:r>
    </w:p>
    <w:p>
      <w:pPr>
        <w:spacing w:line="360" w:lineRule="auto"/>
        <w:jc w:val="center"/>
        <w:rPr>
          <w:rFonts w:ascii="Times New Roman" w:hAnsi="Times New Roman" w:eastAsia="方正黑体_GBK"/>
          <w:bCs/>
          <w:color w:val="000000"/>
          <w:spacing w:val="-2"/>
          <w:sz w:val="28"/>
          <w:szCs w:val="28"/>
        </w:rPr>
      </w:pPr>
      <w:r>
        <w:rPr>
          <w:rFonts w:hint="eastAsia" w:ascii="Times New Roman" w:eastAsia="黑体"/>
          <w:bCs/>
          <w:color w:val="000000"/>
          <w:spacing w:val="-2"/>
          <w:sz w:val="32"/>
          <w:szCs w:val="32"/>
        </w:rPr>
        <w:br w:type="page"/>
      </w:r>
      <w:r>
        <w:rPr>
          <w:rFonts w:hint="eastAsia" w:ascii="Times New Roman" w:hAnsi="Times New Roman" w:eastAsia="方正黑体_GBK"/>
          <w:bCs/>
          <w:color w:val="000000"/>
          <w:spacing w:val="-2"/>
          <w:sz w:val="28"/>
          <w:szCs w:val="28"/>
        </w:rPr>
        <w:t>商品房预售方案</w:t>
      </w:r>
    </w:p>
    <w:p>
      <w:pPr>
        <w:spacing w:line="460" w:lineRule="exact"/>
        <w:jc w:val="center"/>
        <w:rPr>
          <w:rFonts w:hint="eastAsia" w:eastAsia="方正仿宋_GBK"/>
          <w:b/>
          <w:bCs/>
          <w:color w:val="000000"/>
          <w:spacing w:val="-2"/>
          <w:sz w:val="24"/>
        </w:rPr>
      </w:pPr>
    </w:p>
    <w:p>
      <w:pPr>
        <w:spacing w:line="460" w:lineRule="exact"/>
        <w:ind w:firstLine="472" w:firstLineChars="200"/>
        <w:rPr>
          <w:rFonts w:eastAsia="方正仿宋_GBK"/>
          <w:color w:val="000000"/>
          <w:spacing w:val="-2"/>
          <w:kern w:val="0"/>
          <w:sz w:val="24"/>
        </w:rPr>
      </w:pPr>
      <w:r>
        <w:rPr>
          <w:rFonts w:hint="eastAsia" w:eastAsia="方正仿宋_GBK"/>
          <w:bCs/>
          <w:color w:val="000000"/>
          <w:spacing w:val="-2"/>
          <w:sz w:val="24"/>
        </w:rPr>
        <w:t>根据《</w:t>
      </w:r>
      <w:r>
        <w:rPr>
          <w:rFonts w:hint="eastAsia" w:eastAsia="方正仿宋_GBK"/>
          <w:bCs/>
          <w:smallCaps/>
          <w:color w:val="000000"/>
          <w:spacing w:val="-2"/>
          <w:kern w:val="0"/>
          <w:sz w:val="24"/>
        </w:rPr>
        <w:t>城市房地产管理法》、</w:t>
      </w:r>
      <w:r>
        <w:rPr>
          <w:rFonts w:hint="eastAsia" w:eastAsia="方正仿宋_GBK"/>
          <w:bCs/>
          <w:color w:val="000000"/>
          <w:spacing w:val="-2"/>
          <w:sz w:val="24"/>
        </w:rPr>
        <w:t>《</w:t>
      </w:r>
      <w:r>
        <w:rPr>
          <w:rFonts w:hint="eastAsia" w:eastAsia="方正仿宋_GBK"/>
          <w:bCs/>
          <w:smallCaps/>
          <w:color w:val="000000"/>
          <w:spacing w:val="-2"/>
          <w:kern w:val="0"/>
          <w:sz w:val="24"/>
        </w:rPr>
        <w:t>城市商品房预售管理办法》</w:t>
      </w:r>
      <w:r>
        <w:rPr>
          <w:rFonts w:hint="eastAsia" w:eastAsia="方正仿宋_GBK"/>
          <w:color w:val="000000"/>
          <w:spacing w:val="-2"/>
          <w:kern w:val="0"/>
          <w:sz w:val="24"/>
        </w:rPr>
        <w:t>等有关法律、法规的规定，特制定本方案。</w:t>
      </w:r>
    </w:p>
    <w:p>
      <w:pPr>
        <w:spacing w:line="460" w:lineRule="exact"/>
        <w:ind w:firstLine="472" w:firstLineChars="200"/>
        <w:outlineLvl w:val="0"/>
        <w:rPr>
          <w:rFonts w:eastAsia="方正仿宋_GBK"/>
          <w:color w:val="000000"/>
          <w:spacing w:val="-2"/>
          <w:kern w:val="0"/>
          <w:sz w:val="24"/>
        </w:rPr>
      </w:pPr>
      <w:bookmarkStart w:id="21" w:name="_Toc18315369"/>
      <w:bookmarkStart w:id="22" w:name="_Toc20667763"/>
      <w:bookmarkStart w:id="23" w:name="_Toc20726289"/>
      <w:r>
        <w:rPr>
          <w:rFonts w:hint="eastAsia" w:ascii="Times New Roman" w:eastAsia="方正黑体_GBK"/>
          <w:color w:val="000000"/>
          <w:spacing w:val="-2"/>
          <w:kern w:val="0"/>
          <w:sz w:val="24"/>
        </w:rPr>
        <w:t>第一条</w:t>
      </w:r>
      <w:r>
        <w:rPr>
          <w:rFonts w:eastAsia="方正仿宋_GBK"/>
          <w:color w:val="000000"/>
          <w:spacing w:val="-2"/>
          <w:kern w:val="0"/>
          <w:sz w:val="24"/>
        </w:rPr>
        <w:t xml:space="preserve">  </w:t>
      </w:r>
      <w:r>
        <w:rPr>
          <w:rFonts w:hint="eastAsia" w:eastAsia="方正仿宋_GBK"/>
          <w:color w:val="000000"/>
          <w:spacing w:val="-2"/>
          <w:kern w:val="0"/>
          <w:sz w:val="24"/>
        </w:rPr>
        <w:t>项目基本概况</w:t>
      </w:r>
      <w:bookmarkEnd w:id="21"/>
      <w:bookmarkEnd w:id="22"/>
      <w:bookmarkEnd w:id="23"/>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720"/>
        <w:gridCol w:w="1260"/>
        <w:gridCol w:w="167"/>
        <w:gridCol w:w="1093"/>
        <w:gridCol w:w="1440"/>
        <w:gridCol w:w="180"/>
        <w:gridCol w:w="900"/>
        <w:gridCol w:w="8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160" w:type="dxa"/>
            <w:tcBorders>
              <w:top w:val="single" w:color="auto" w:sz="8" w:space="0"/>
              <w:left w:val="single" w:color="auto" w:sz="8" w:space="0"/>
              <w:bottom w:val="single" w:color="auto" w:sz="4" w:space="0"/>
              <w:right w:val="single" w:color="auto" w:sz="4" w:space="0"/>
            </w:tcBorders>
            <w:noWrap w:val="0"/>
            <w:vAlign w:val="center"/>
          </w:tcPr>
          <w:p>
            <w:pPr>
              <w:jc w:val="center"/>
              <w:rPr>
                <w:rFonts w:eastAsia="方正仿宋_GBK"/>
                <w:bCs/>
                <w:color w:val="000000"/>
                <w:spacing w:val="-2"/>
                <w:szCs w:val="21"/>
              </w:rPr>
            </w:pPr>
            <w:r>
              <w:rPr>
                <w:rFonts w:hint="eastAsia" w:eastAsia="方正仿宋_GBK"/>
                <w:bCs/>
                <w:color w:val="000000"/>
                <w:spacing w:val="-2"/>
                <w:szCs w:val="21"/>
              </w:rPr>
              <w:t>开发企业名称</w:t>
            </w:r>
          </w:p>
        </w:tc>
        <w:tc>
          <w:tcPr>
            <w:tcW w:w="6570" w:type="dxa"/>
            <w:gridSpan w:val="8"/>
            <w:tcBorders>
              <w:top w:val="single" w:color="auto" w:sz="8" w:space="0"/>
              <w:left w:val="single" w:color="auto" w:sz="4" w:space="0"/>
              <w:bottom w:val="single" w:color="auto" w:sz="4" w:space="0"/>
              <w:right w:val="single" w:color="auto" w:sz="8" w:space="0"/>
            </w:tcBorders>
            <w:noWrap w:val="0"/>
            <w:vAlign w:val="center"/>
          </w:tcPr>
          <w:p>
            <w:pPr>
              <w:jc w:val="center"/>
              <w:rPr>
                <w:rFonts w:eastAsia="方正仿宋_GBK"/>
                <w:bCs/>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160"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bCs/>
                <w:color w:val="000000"/>
                <w:spacing w:val="-2"/>
                <w:szCs w:val="21"/>
              </w:rPr>
            </w:pPr>
            <w:r>
              <w:rPr>
                <w:rFonts w:hint="eastAsia" w:eastAsia="方正仿宋_GBK"/>
                <w:bCs/>
                <w:color w:val="000000"/>
                <w:spacing w:val="-2"/>
                <w:szCs w:val="21"/>
              </w:rPr>
              <w:t>办公地点</w:t>
            </w:r>
          </w:p>
        </w:tc>
        <w:tc>
          <w:tcPr>
            <w:tcW w:w="6570" w:type="dxa"/>
            <w:gridSpan w:val="8"/>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bCs/>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160"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bCs/>
                <w:color w:val="000000"/>
                <w:spacing w:val="-2"/>
                <w:szCs w:val="21"/>
              </w:rPr>
            </w:pPr>
            <w:r>
              <w:rPr>
                <w:rFonts w:hint="eastAsia" w:eastAsia="方正仿宋_GBK"/>
                <w:bCs/>
                <w:color w:val="000000"/>
                <w:spacing w:val="-2"/>
                <w:szCs w:val="21"/>
              </w:rPr>
              <w:t>法人代表</w:t>
            </w:r>
          </w:p>
        </w:tc>
        <w:tc>
          <w:tcPr>
            <w:tcW w:w="2147"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bCs/>
                <w:color w:val="000000"/>
                <w:spacing w:val="-2"/>
                <w:szCs w:val="21"/>
              </w:rPr>
            </w:pPr>
          </w:p>
        </w:tc>
        <w:tc>
          <w:tcPr>
            <w:tcW w:w="253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bCs/>
                <w:color w:val="000000"/>
                <w:spacing w:val="-2"/>
                <w:szCs w:val="21"/>
              </w:rPr>
            </w:pPr>
            <w:r>
              <w:rPr>
                <w:rFonts w:hint="eastAsia" w:eastAsia="方正仿宋_GBK"/>
                <w:bCs/>
                <w:color w:val="000000"/>
                <w:spacing w:val="-2"/>
                <w:szCs w:val="21"/>
              </w:rPr>
              <w:t>联</w:t>
            </w:r>
            <w:r>
              <w:rPr>
                <w:rFonts w:eastAsia="方正仿宋_GBK"/>
                <w:bCs/>
                <w:color w:val="000000"/>
                <w:spacing w:val="-2"/>
                <w:szCs w:val="21"/>
              </w:rPr>
              <w:t xml:space="preserve">   </w:t>
            </w:r>
            <w:r>
              <w:rPr>
                <w:rFonts w:hint="eastAsia" w:eastAsia="方正仿宋_GBK"/>
                <w:bCs/>
                <w:color w:val="000000"/>
                <w:spacing w:val="-2"/>
                <w:szCs w:val="21"/>
              </w:rPr>
              <w:t>系</w:t>
            </w:r>
            <w:r>
              <w:rPr>
                <w:rFonts w:eastAsia="方正仿宋_GBK"/>
                <w:bCs/>
                <w:color w:val="000000"/>
                <w:spacing w:val="-2"/>
                <w:szCs w:val="21"/>
              </w:rPr>
              <w:t xml:space="preserve">  </w:t>
            </w:r>
            <w:r>
              <w:rPr>
                <w:rFonts w:hint="eastAsia" w:eastAsia="方正仿宋_GBK"/>
                <w:bCs/>
                <w:color w:val="000000"/>
                <w:spacing w:val="-2"/>
                <w:szCs w:val="21"/>
              </w:rPr>
              <w:t>电</w:t>
            </w:r>
            <w:r>
              <w:rPr>
                <w:rFonts w:eastAsia="方正仿宋_GBK"/>
                <w:bCs/>
                <w:color w:val="000000"/>
                <w:spacing w:val="-2"/>
                <w:szCs w:val="21"/>
              </w:rPr>
              <w:t xml:space="preserve">  </w:t>
            </w:r>
            <w:r>
              <w:rPr>
                <w:rFonts w:hint="eastAsia" w:eastAsia="方正仿宋_GBK"/>
                <w:bCs/>
                <w:color w:val="000000"/>
                <w:spacing w:val="-2"/>
                <w:szCs w:val="21"/>
              </w:rPr>
              <w:t>话</w:t>
            </w:r>
          </w:p>
        </w:tc>
        <w:tc>
          <w:tcPr>
            <w:tcW w:w="1890" w:type="dxa"/>
            <w:gridSpan w:val="3"/>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bCs/>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160"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bCs/>
                <w:color w:val="000000"/>
                <w:spacing w:val="-2"/>
                <w:szCs w:val="21"/>
              </w:rPr>
            </w:pPr>
            <w:r>
              <w:rPr>
                <w:rFonts w:hint="eastAsia" w:eastAsia="方正仿宋_GBK"/>
                <w:bCs/>
                <w:color w:val="000000"/>
                <w:spacing w:val="-2"/>
                <w:szCs w:val="21"/>
              </w:rPr>
              <w:t>企业资质等级</w:t>
            </w:r>
          </w:p>
        </w:tc>
        <w:tc>
          <w:tcPr>
            <w:tcW w:w="2147"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bCs/>
                <w:color w:val="000000"/>
                <w:spacing w:val="-2"/>
                <w:szCs w:val="21"/>
              </w:rPr>
            </w:pPr>
          </w:p>
        </w:tc>
        <w:tc>
          <w:tcPr>
            <w:tcW w:w="253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bCs/>
                <w:color w:val="000000"/>
                <w:spacing w:val="-2"/>
                <w:szCs w:val="21"/>
              </w:rPr>
            </w:pPr>
            <w:r>
              <w:rPr>
                <w:rFonts w:hint="eastAsia" w:eastAsia="方正仿宋_GBK"/>
                <w:bCs/>
                <w:color w:val="000000"/>
                <w:spacing w:val="-2"/>
                <w:szCs w:val="21"/>
              </w:rPr>
              <w:t>营业执照编号</w:t>
            </w:r>
          </w:p>
        </w:tc>
        <w:tc>
          <w:tcPr>
            <w:tcW w:w="1890" w:type="dxa"/>
            <w:gridSpan w:val="3"/>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bCs/>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160"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bCs/>
                <w:color w:val="000000"/>
                <w:spacing w:val="-2"/>
                <w:szCs w:val="21"/>
              </w:rPr>
            </w:pPr>
            <w:r>
              <w:rPr>
                <w:rFonts w:hint="eastAsia" w:eastAsia="方正仿宋_GBK"/>
                <w:bCs/>
                <w:color w:val="000000"/>
                <w:spacing w:val="-2"/>
                <w:szCs w:val="21"/>
              </w:rPr>
              <w:t>开发项目名称</w:t>
            </w:r>
          </w:p>
        </w:tc>
        <w:tc>
          <w:tcPr>
            <w:tcW w:w="6570" w:type="dxa"/>
            <w:gridSpan w:val="8"/>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bCs/>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160"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bCs/>
                <w:color w:val="000000"/>
                <w:spacing w:val="-2"/>
                <w:szCs w:val="21"/>
              </w:rPr>
            </w:pPr>
            <w:r>
              <w:rPr>
                <w:rFonts w:hint="eastAsia" w:eastAsia="方正仿宋_GBK"/>
                <w:bCs/>
                <w:color w:val="000000"/>
                <w:spacing w:val="-2"/>
                <w:szCs w:val="21"/>
              </w:rPr>
              <w:t>项目座落</w:t>
            </w:r>
          </w:p>
        </w:tc>
        <w:tc>
          <w:tcPr>
            <w:tcW w:w="6570" w:type="dxa"/>
            <w:gridSpan w:val="8"/>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bCs/>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160" w:type="dxa"/>
            <w:vMerge w:val="restart"/>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bCs/>
                <w:color w:val="000000"/>
                <w:spacing w:val="-2"/>
                <w:szCs w:val="21"/>
              </w:rPr>
            </w:pPr>
            <w:r>
              <w:rPr>
                <w:rFonts w:hint="eastAsia" w:eastAsia="方正仿宋_GBK"/>
                <w:bCs/>
                <w:color w:val="000000"/>
                <w:spacing w:val="-2"/>
                <w:szCs w:val="21"/>
              </w:rPr>
              <w:t>售楼处</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bCs/>
                <w:color w:val="000000"/>
                <w:spacing w:val="-2"/>
                <w:szCs w:val="21"/>
              </w:rPr>
            </w:pPr>
            <w:r>
              <w:rPr>
                <w:rFonts w:hint="eastAsia" w:eastAsia="方正仿宋_GBK"/>
                <w:bCs/>
                <w:color w:val="000000"/>
                <w:spacing w:val="-2"/>
                <w:szCs w:val="21"/>
              </w:rPr>
              <w:t>地</w:t>
            </w:r>
            <w:r>
              <w:rPr>
                <w:rFonts w:eastAsia="方正仿宋_GBK"/>
                <w:bCs/>
                <w:color w:val="000000"/>
                <w:spacing w:val="-2"/>
                <w:szCs w:val="21"/>
              </w:rPr>
              <w:t xml:space="preserve"> </w:t>
            </w:r>
            <w:r>
              <w:rPr>
                <w:rFonts w:hint="eastAsia" w:eastAsia="方正仿宋_GBK"/>
                <w:bCs/>
                <w:color w:val="000000"/>
                <w:spacing w:val="-2"/>
                <w:szCs w:val="21"/>
              </w:rPr>
              <w:t>址</w:t>
            </w:r>
          </w:p>
        </w:tc>
        <w:tc>
          <w:tcPr>
            <w:tcW w:w="4590" w:type="dxa"/>
            <w:gridSpan w:val="6"/>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bCs/>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16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bCs/>
                <w:color w:val="000000"/>
                <w:spacing w:val="-2"/>
                <w:szCs w:val="21"/>
              </w:rPr>
            </w:pP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bCs/>
                <w:color w:val="000000"/>
                <w:spacing w:val="-2"/>
                <w:szCs w:val="21"/>
              </w:rPr>
            </w:pPr>
            <w:r>
              <w:rPr>
                <w:rFonts w:hint="eastAsia" w:eastAsia="方正仿宋_GBK"/>
                <w:bCs/>
                <w:color w:val="000000"/>
                <w:spacing w:val="-2"/>
                <w:szCs w:val="21"/>
              </w:rPr>
              <w:t>负责人</w:t>
            </w:r>
          </w:p>
        </w:tc>
        <w:tc>
          <w:tcPr>
            <w:tcW w:w="126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bCs/>
                <w:color w:val="000000"/>
                <w:spacing w:val="-2"/>
                <w:szCs w:val="21"/>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bCs/>
                <w:color w:val="000000"/>
                <w:spacing w:val="-2"/>
                <w:szCs w:val="21"/>
              </w:rPr>
            </w:pPr>
            <w:r>
              <w:rPr>
                <w:rFonts w:hint="eastAsia" w:eastAsia="方正仿宋_GBK"/>
                <w:bCs/>
                <w:color w:val="000000"/>
                <w:spacing w:val="-2"/>
                <w:szCs w:val="21"/>
              </w:rPr>
              <w:t>联系电话</w:t>
            </w:r>
          </w:p>
        </w:tc>
        <w:tc>
          <w:tcPr>
            <w:tcW w:w="1890" w:type="dxa"/>
            <w:gridSpan w:val="3"/>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bCs/>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160"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bCs/>
                <w:color w:val="000000"/>
                <w:spacing w:val="-2"/>
                <w:szCs w:val="21"/>
              </w:rPr>
            </w:pPr>
            <w:r>
              <w:rPr>
                <w:rFonts w:hint="eastAsia" w:eastAsia="方正仿宋_GBK"/>
                <w:bCs/>
                <w:color w:val="000000"/>
                <w:spacing w:val="-2"/>
                <w:szCs w:val="21"/>
              </w:rPr>
              <w:t>用地总面积</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bCs/>
                <w:color w:val="000000"/>
                <w:spacing w:val="-2"/>
                <w:szCs w:val="21"/>
              </w:rPr>
            </w:pPr>
          </w:p>
        </w:tc>
        <w:tc>
          <w:tcPr>
            <w:tcW w:w="126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bCs/>
                <w:color w:val="000000"/>
                <w:spacing w:val="-2"/>
                <w:szCs w:val="21"/>
              </w:rPr>
            </w:pPr>
            <w:r>
              <w:rPr>
                <w:rFonts w:hint="eastAsia" w:eastAsia="方正仿宋_GBK"/>
                <w:bCs/>
                <w:color w:val="000000"/>
                <w:spacing w:val="-2"/>
                <w:szCs w:val="21"/>
              </w:rPr>
              <w:t>用地取</w:t>
            </w:r>
          </w:p>
          <w:p>
            <w:pPr>
              <w:jc w:val="center"/>
              <w:rPr>
                <w:rFonts w:eastAsia="方正仿宋_GBK"/>
                <w:bCs/>
                <w:color w:val="000000"/>
                <w:spacing w:val="-2"/>
                <w:szCs w:val="21"/>
              </w:rPr>
            </w:pPr>
            <w:r>
              <w:rPr>
                <w:rFonts w:hint="eastAsia" w:eastAsia="方正仿宋_GBK"/>
                <w:bCs/>
                <w:color w:val="000000"/>
                <w:spacing w:val="-2"/>
                <w:szCs w:val="21"/>
              </w:rPr>
              <w:t>得方式</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bCs/>
                <w:color w:val="000000"/>
                <w:spacing w:val="-2"/>
                <w:szCs w:val="21"/>
              </w:rPr>
            </w:pPr>
          </w:p>
        </w:tc>
        <w:tc>
          <w:tcPr>
            <w:tcW w:w="108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bCs/>
                <w:color w:val="000000"/>
                <w:spacing w:val="-2"/>
                <w:szCs w:val="21"/>
              </w:rPr>
            </w:pPr>
            <w:r>
              <w:rPr>
                <w:rFonts w:hint="eastAsia" w:eastAsia="方正仿宋_GBK"/>
                <w:bCs/>
                <w:color w:val="000000"/>
                <w:spacing w:val="-2"/>
                <w:szCs w:val="21"/>
              </w:rPr>
              <w:t>出让</w:t>
            </w:r>
          </w:p>
          <w:p>
            <w:pPr>
              <w:jc w:val="center"/>
              <w:rPr>
                <w:rFonts w:eastAsia="方正仿宋_GBK"/>
                <w:bCs/>
                <w:color w:val="000000"/>
                <w:spacing w:val="-2"/>
                <w:szCs w:val="21"/>
              </w:rPr>
            </w:pPr>
            <w:r>
              <w:rPr>
                <w:rFonts w:hint="eastAsia" w:eastAsia="方正仿宋_GBK"/>
                <w:bCs/>
                <w:color w:val="000000"/>
                <w:spacing w:val="-2"/>
                <w:szCs w:val="21"/>
              </w:rPr>
              <w:t>形式</w:t>
            </w:r>
          </w:p>
        </w:tc>
        <w:tc>
          <w:tcPr>
            <w:tcW w:w="810"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bCs/>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160"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bCs/>
                <w:color w:val="000000"/>
                <w:spacing w:val="-2"/>
                <w:szCs w:val="21"/>
              </w:rPr>
            </w:pPr>
            <w:r>
              <w:rPr>
                <w:rFonts w:hint="eastAsia" w:eastAsia="方正仿宋_GBK"/>
                <w:bCs/>
                <w:color w:val="000000"/>
                <w:spacing w:val="-2"/>
                <w:szCs w:val="21"/>
              </w:rPr>
              <w:t>土地使用权证</w:t>
            </w:r>
          </w:p>
          <w:p>
            <w:pPr>
              <w:jc w:val="center"/>
              <w:rPr>
                <w:rFonts w:eastAsia="方正仿宋_GBK"/>
                <w:bCs/>
                <w:color w:val="000000"/>
                <w:spacing w:val="-2"/>
                <w:szCs w:val="21"/>
              </w:rPr>
            </w:pPr>
            <w:r>
              <w:rPr>
                <w:rFonts w:hint="eastAsia" w:eastAsia="方正仿宋_GBK"/>
                <w:bCs/>
                <w:color w:val="000000"/>
                <w:spacing w:val="-2"/>
                <w:szCs w:val="21"/>
              </w:rPr>
              <w:t>证</w:t>
            </w:r>
            <w:r>
              <w:rPr>
                <w:rFonts w:eastAsia="方正仿宋_GBK"/>
                <w:bCs/>
                <w:color w:val="000000"/>
                <w:spacing w:val="-2"/>
                <w:szCs w:val="21"/>
              </w:rPr>
              <w:t xml:space="preserve">        </w:t>
            </w:r>
            <w:r>
              <w:rPr>
                <w:rFonts w:hint="eastAsia" w:eastAsia="方正仿宋_GBK"/>
                <w:bCs/>
                <w:color w:val="000000"/>
                <w:spacing w:val="-2"/>
                <w:szCs w:val="21"/>
              </w:rPr>
              <w:t>号</w:t>
            </w:r>
          </w:p>
        </w:tc>
        <w:tc>
          <w:tcPr>
            <w:tcW w:w="3240"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bCs/>
                <w:color w:val="000000"/>
                <w:spacing w:val="-2"/>
                <w:szCs w:val="21"/>
              </w:rPr>
            </w:pPr>
            <w:r>
              <w:rPr>
                <w:rFonts w:eastAsia="方正仿宋_GBK"/>
                <w:bCs/>
                <w:color w:val="000000"/>
                <w:spacing w:val="-2"/>
                <w:szCs w:val="21"/>
              </w:rPr>
              <w:t xml:space="preserve"> </w:t>
            </w:r>
          </w:p>
        </w:tc>
        <w:tc>
          <w:tcPr>
            <w:tcW w:w="252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bCs/>
                <w:color w:val="000000"/>
                <w:spacing w:val="-2"/>
                <w:szCs w:val="21"/>
              </w:rPr>
            </w:pPr>
            <w:r>
              <w:rPr>
                <w:rFonts w:hint="eastAsia" w:eastAsia="方正仿宋_GBK"/>
                <w:bCs/>
                <w:color w:val="000000"/>
                <w:spacing w:val="-2"/>
                <w:szCs w:val="21"/>
              </w:rPr>
              <w:t>土地使用年限</w:t>
            </w:r>
          </w:p>
        </w:tc>
        <w:tc>
          <w:tcPr>
            <w:tcW w:w="810"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bCs/>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160"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bCs/>
                <w:color w:val="000000"/>
                <w:spacing w:val="-2"/>
                <w:szCs w:val="21"/>
              </w:rPr>
            </w:pPr>
            <w:r>
              <w:rPr>
                <w:rFonts w:hint="eastAsia" w:eastAsia="方正仿宋_GBK"/>
                <w:bCs/>
                <w:color w:val="000000"/>
                <w:spacing w:val="-2"/>
                <w:szCs w:val="21"/>
              </w:rPr>
              <w:t>土地合同号</w:t>
            </w:r>
          </w:p>
        </w:tc>
        <w:tc>
          <w:tcPr>
            <w:tcW w:w="3240"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bCs/>
                <w:color w:val="000000"/>
                <w:spacing w:val="-2"/>
                <w:szCs w:val="21"/>
              </w:rPr>
            </w:pPr>
          </w:p>
        </w:tc>
        <w:tc>
          <w:tcPr>
            <w:tcW w:w="252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bCs/>
                <w:color w:val="000000"/>
                <w:spacing w:val="-2"/>
                <w:szCs w:val="21"/>
              </w:rPr>
            </w:pPr>
            <w:r>
              <w:rPr>
                <w:rFonts w:hint="eastAsia" w:eastAsia="方正仿宋_GBK"/>
                <w:bCs/>
                <w:color w:val="000000"/>
                <w:spacing w:val="-2"/>
                <w:szCs w:val="21"/>
              </w:rPr>
              <w:t>土地价格</w:t>
            </w:r>
          </w:p>
        </w:tc>
        <w:tc>
          <w:tcPr>
            <w:tcW w:w="810"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bCs/>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880" w:type="dxa"/>
            <w:gridSpan w:val="2"/>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bCs/>
                <w:color w:val="000000"/>
                <w:spacing w:val="-2"/>
                <w:szCs w:val="21"/>
              </w:rPr>
            </w:pPr>
            <w:r>
              <w:rPr>
                <w:rFonts w:hint="eastAsia" w:eastAsia="方正仿宋_GBK"/>
                <w:bCs/>
                <w:color w:val="000000"/>
                <w:spacing w:val="-2"/>
                <w:szCs w:val="21"/>
              </w:rPr>
              <w:t>规划建设总面积</w:t>
            </w:r>
          </w:p>
        </w:tc>
        <w:tc>
          <w:tcPr>
            <w:tcW w:w="252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bCs/>
                <w:color w:val="000000"/>
                <w:spacing w:val="-2"/>
                <w:szCs w:val="21"/>
              </w:rPr>
            </w:pPr>
          </w:p>
        </w:tc>
        <w:tc>
          <w:tcPr>
            <w:tcW w:w="162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bCs/>
                <w:color w:val="000000"/>
                <w:spacing w:val="-2"/>
                <w:szCs w:val="21"/>
              </w:rPr>
            </w:pPr>
            <w:r>
              <w:rPr>
                <w:rFonts w:hint="eastAsia" w:eastAsia="方正仿宋_GBK"/>
                <w:bCs/>
                <w:color w:val="000000"/>
                <w:spacing w:val="-2"/>
                <w:szCs w:val="21"/>
              </w:rPr>
              <w:t>容积率</w:t>
            </w:r>
          </w:p>
        </w:tc>
        <w:tc>
          <w:tcPr>
            <w:tcW w:w="1710" w:type="dxa"/>
            <w:gridSpan w:val="2"/>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bCs/>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880" w:type="dxa"/>
            <w:gridSpan w:val="2"/>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bCs/>
                <w:color w:val="000000"/>
                <w:spacing w:val="-2"/>
                <w:szCs w:val="21"/>
              </w:rPr>
            </w:pPr>
            <w:r>
              <w:rPr>
                <w:rFonts w:hint="eastAsia" w:eastAsia="方正仿宋_GBK"/>
                <w:bCs/>
                <w:color w:val="000000"/>
                <w:spacing w:val="-2"/>
                <w:szCs w:val="21"/>
              </w:rPr>
              <w:t>建筑密度</w:t>
            </w:r>
          </w:p>
        </w:tc>
        <w:tc>
          <w:tcPr>
            <w:tcW w:w="252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bCs/>
                <w:color w:val="000000"/>
                <w:spacing w:val="-2"/>
                <w:szCs w:val="21"/>
              </w:rPr>
            </w:pPr>
          </w:p>
        </w:tc>
        <w:tc>
          <w:tcPr>
            <w:tcW w:w="162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bCs/>
                <w:color w:val="000000"/>
                <w:spacing w:val="-2"/>
                <w:szCs w:val="21"/>
              </w:rPr>
            </w:pPr>
            <w:r>
              <w:rPr>
                <w:rFonts w:hint="eastAsia" w:eastAsia="方正仿宋_GBK"/>
                <w:bCs/>
                <w:color w:val="000000"/>
                <w:spacing w:val="-2"/>
                <w:szCs w:val="21"/>
              </w:rPr>
              <w:t>绿地率</w:t>
            </w:r>
          </w:p>
        </w:tc>
        <w:tc>
          <w:tcPr>
            <w:tcW w:w="1710" w:type="dxa"/>
            <w:gridSpan w:val="2"/>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bCs/>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86" w:hRule="atLeast"/>
          <w:jc w:val="center"/>
        </w:trPr>
        <w:tc>
          <w:tcPr>
            <w:tcW w:w="2160" w:type="dxa"/>
            <w:tcBorders>
              <w:top w:val="single" w:color="auto" w:sz="4" w:space="0"/>
              <w:left w:val="single" w:color="auto" w:sz="8" w:space="0"/>
              <w:bottom w:val="single" w:color="auto" w:sz="8" w:space="0"/>
              <w:right w:val="single" w:color="auto" w:sz="4" w:space="0"/>
            </w:tcBorders>
            <w:noWrap w:val="0"/>
            <w:vAlign w:val="center"/>
          </w:tcPr>
          <w:p>
            <w:pPr>
              <w:jc w:val="center"/>
              <w:rPr>
                <w:rFonts w:eastAsia="方正仿宋_GBK"/>
                <w:bCs/>
                <w:color w:val="000000"/>
                <w:spacing w:val="-2"/>
                <w:szCs w:val="21"/>
              </w:rPr>
            </w:pPr>
            <w:r>
              <w:rPr>
                <w:rFonts w:hint="eastAsia" w:eastAsia="方正仿宋_GBK"/>
                <w:bCs/>
                <w:color w:val="000000"/>
                <w:spacing w:val="-2"/>
                <w:szCs w:val="21"/>
              </w:rPr>
              <w:t>小区总规划</w:t>
            </w:r>
          </w:p>
          <w:p>
            <w:pPr>
              <w:jc w:val="center"/>
              <w:rPr>
                <w:rFonts w:eastAsia="方正仿宋_GBK"/>
                <w:bCs/>
                <w:color w:val="000000"/>
                <w:spacing w:val="-2"/>
                <w:szCs w:val="21"/>
              </w:rPr>
            </w:pPr>
            <w:r>
              <w:rPr>
                <w:rFonts w:hint="eastAsia" w:eastAsia="方正仿宋_GBK"/>
                <w:bCs/>
                <w:color w:val="000000"/>
                <w:spacing w:val="-2"/>
                <w:szCs w:val="21"/>
              </w:rPr>
              <w:t>概</w:t>
            </w:r>
            <w:r>
              <w:rPr>
                <w:rFonts w:eastAsia="方正仿宋_GBK"/>
                <w:bCs/>
                <w:color w:val="000000"/>
                <w:spacing w:val="-2"/>
                <w:szCs w:val="21"/>
              </w:rPr>
              <w:t xml:space="preserve">    </w:t>
            </w:r>
            <w:r>
              <w:rPr>
                <w:rFonts w:hint="eastAsia" w:eastAsia="方正仿宋_GBK"/>
                <w:bCs/>
                <w:color w:val="000000"/>
                <w:spacing w:val="-2"/>
                <w:szCs w:val="21"/>
              </w:rPr>
              <w:t>述</w:t>
            </w:r>
          </w:p>
        </w:tc>
        <w:tc>
          <w:tcPr>
            <w:tcW w:w="6570" w:type="dxa"/>
            <w:gridSpan w:val="8"/>
            <w:tcBorders>
              <w:top w:val="single" w:color="auto" w:sz="4" w:space="0"/>
              <w:left w:val="single" w:color="auto" w:sz="4" w:space="0"/>
              <w:bottom w:val="single" w:color="auto" w:sz="8" w:space="0"/>
              <w:right w:val="single" w:color="auto" w:sz="8" w:space="0"/>
            </w:tcBorders>
            <w:noWrap w:val="0"/>
            <w:vAlign w:val="center"/>
          </w:tcPr>
          <w:p>
            <w:pPr>
              <w:rPr>
                <w:rFonts w:eastAsia="方正仿宋_GBK"/>
                <w:color w:val="000000"/>
                <w:spacing w:val="-2"/>
                <w:szCs w:val="21"/>
              </w:rPr>
            </w:pPr>
            <w:r>
              <w:rPr>
                <w:rFonts w:hint="eastAsia" w:eastAsia="方正仿宋_GBK"/>
                <w:color w:val="000000"/>
                <w:spacing w:val="-2"/>
                <w:szCs w:val="21"/>
              </w:rPr>
              <w:t>住宅</w:t>
            </w:r>
            <w:r>
              <w:rPr>
                <w:rFonts w:eastAsia="方正仿宋_GBK"/>
                <w:color w:val="000000"/>
                <w:spacing w:val="-2"/>
                <w:szCs w:val="21"/>
                <w:u w:val="single"/>
              </w:rPr>
              <w:t xml:space="preserve">     </w:t>
            </w:r>
            <w:r>
              <w:rPr>
                <w:rFonts w:hint="eastAsia" w:eastAsia="方正仿宋_GBK"/>
                <w:color w:val="000000"/>
                <w:spacing w:val="-2"/>
                <w:szCs w:val="21"/>
              </w:rPr>
              <w:t>㎡</w:t>
            </w:r>
            <w:r>
              <w:rPr>
                <w:rFonts w:eastAsia="方正仿宋_GBK"/>
                <w:color w:val="000000"/>
                <w:spacing w:val="-2"/>
                <w:szCs w:val="21"/>
              </w:rPr>
              <w:t xml:space="preserve">  </w:t>
            </w:r>
            <w:r>
              <w:rPr>
                <w:rFonts w:eastAsia="方正仿宋_GBK"/>
                <w:color w:val="000000"/>
                <w:spacing w:val="-2"/>
                <w:szCs w:val="21"/>
                <w:u w:val="single"/>
              </w:rPr>
              <w:t xml:space="preserve">     </w:t>
            </w:r>
            <w:r>
              <w:rPr>
                <w:rFonts w:eastAsia="方正仿宋_GBK"/>
                <w:color w:val="000000"/>
                <w:spacing w:val="-2"/>
                <w:szCs w:val="21"/>
              </w:rPr>
              <w:t xml:space="preserve"> </w:t>
            </w:r>
            <w:r>
              <w:rPr>
                <w:rFonts w:hint="eastAsia" w:eastAsia="方正仿宋_GBK"/>
                <w:color w:val="000000"/>
                <w:spacing w:val="-2"/>
                <w:szCs w:val="21"/>
              </w:rPr>
              <w:t>户；公寓</w:t>
            </w:r>
            <w:r>
              <w:rPr>
                <w:rFonts w:eastAsia="方正仿宋_GBK"/>
                <w:color w:val="000000"/>
                <w:spacing w:val="-2"/>
                <w:szCs w:val="21"/>
                <w:u w:val="single"/>
              </w:rPr>
              <w:t xml:space="preserve">      </w:t>
            </w:r>
            <w:r>
              <w:rPr>
                <w:rFonts w:hint="eastAsia" w:eastAsia="方正仿宋_GBK"/>
                <w:color w:val="000000"/>
                <w:spacing w:val="-2"/>
                <w:szCs w:val="21"/>
              </w:rPr>
              <w:t>㎡</w:t>
            </w:r>
            <w:r>
              <w:rPr>
                <w:rFonts w:eastAsia="方正仿宋_GBK"/>
                <w:color w:val="000000"/>
                <w:spacing w:val="-2"/>
                <w:szCs w:val="21"/>
                <w:u w:val="single"/>
              </w:rPr>
              <w:t xml:space="preserve">     </w:t>
            </w:r>
            <w:r>
              <w:rPr>
                <w:rFonts w:eastAsia="方正仿宋_GBK"/>
                <w:color w:val="000000"/>
                <w:spacing w:val="-2"/>
                <w:szCs w:val="21"/>
              </w:rPr>
              <w:t xml:space="preserve"> </w:t>
            </w:r>
            <w:r>
              <w:rPr>
                <w:rFonts w:hint="eastAsia" w:eastAsia="方正仿宋_GBK"/>
                <w:color w:val="000000"/>
                <w:spacing w:val="-2"/>
                <w:szCs w:val="21"/>
              </w:rPr>
              <w:t>间；</w:t>
            </w:r>
          </w:p>
          <w:p>
            <w:pPr>
              <w:rPr>
                <w:rFonts w:eastAsia="方正仿宋_GBK"/>
                <w:color w:val="000000"/>
                <w:spacing w:val="-2"/>
                <w:szCs w:val="21"/>
              </w:rPr>
            </w:pPr>
            <w:r>
              <w:rPr>
                <w:rFonts w:hint="eastAsia" w:eastAsia="方正仿宋_GBK"/>
                <w:color w:val="000000"/>
                <w:spacing w:val="-2"/>
                <w:szCs w:val="21"/>
              </w:rPr>
              <w:t>商业</w:t>
            </w:r>
            <w:r>
              <w:rPr>
                <w:rFonts w:eastAsia="方正仿宋_GBK"/>
                <w:color w:val="000000"/>
                <w:spacing w:val="-2"/>
                <w:szCs w:val="21"/>
                <w:u w:val="single"/>
              </w:rPr>
              <w:t xml:space="preserve">       </w:t>
            </w:r>
            <w:r>
              <w:rPr>
                <w:rFonts w:hint="eastAsia" w:eastAsia="方正仿宋_GBK"/>
                <w:color w:val="000000"/>
                <w:spacing w:val="-2"/>
                <w:szCs w:val="21"/>
              </w:rPr>
              <w:t>㎡</w:t>
            </w:r>
            <w:r>
              <w:rPr>
                <w:rFonts w:eastAsia="方正仿宋_GBK"/>
                <w:color w:val="000000"/>
                <w:spacing w:val="-2"/>
                <w:szCs w:val="21"/>
                <w:u w:val="single"/>
              </w:rPr>
              <w:t xml:space="preserve">     </w:t>
            </w:r>
            <w:r>
              <w:rPr>
                <w:rFonts w:hint="eastAsia" w:eastAsia="方正仿宋_GBK"/>
                <w:color w:val="000000"/>
                <w:spacing w:val="-2"/>
                <w:szCs w:val="21"/>
              </w:rPr>
              <w:t>间</w:t>
            </w:r>
            <w:r>
              <w:rPr>
                <w:rFonts w:eastAsia="方正仿宋_GBK"/>
                <w:color w:val="000000"/>
                <w:spacing w:val="-2"/>
                <w:szCs w:val="21"/>
              </w:rPr>
              <w:t xml:space="preserve"> </w:t>
            </w:r>
            <w:r>
              <w:rPr>
                <w:rFonts w:hint="eastAsia" w:eastAsia="方正仿宋_GBK"/>
                <w:color w:val="000000"/>
                <w:spacing w:val="-2"/>
                <w:szCs w:val="21"/>
              </w:rPr>
              <w:t>；办公</w:t>
            </w:r>
            <w:r>
              <w:rPr>
                <w:rFonts w:eastAsia="方正仿宋_GBK"/>
                <w:color w:val="000000"/>
                <w:spacing w:val="-2"/>
                <w:szCs w:val="21"/>
                <w:u w:val="single"/>
              </w:rPr>
              <w:t xml:space="preserve">       </w:t>
            </w:r>
            <w:r>
              <w:rPr>
                <w:rFonts w:hint="eastAsia" w:eastAsia="方正仿宋_GBK"/>
                <w:color w:val="000000"/>
                <w:spacing w:val="-2"/>
                <w:szCs w:val="21"/>
              </w:rPr>
              <w:t>㎡</w:t>
            </w:r>
            <w:r>
              <w:rPr>
                <w:rFonts w:eastAsia="方正仿宋_GBK"/>
                <w:color w:val="000000"/>
                <w:spacing w:val="-2"/>
                <w:szCs w:val="21"/>
                <w:u w:val="single"/>
              </w:rPr>
              <w:t xml:space="preserve">    </w:t>
            </w:r>
            <w:r>
              <w:rPr>
                <w:rFonts w:hint="eastAsia" w:eastAsia="方正仿宋_GBK"/>
                <w:color w:val="000000"/>
                <w:spacing w:val="-2"/>
                <w:szCs w:val="21"/>
              </w:rPr>
              <w:t>间</w:t>
            </w:r>
            <w:r>
              <w:rPr>
                <w:rFonts w:eastAsia="方正仿宋_GBK"/>
                <w:color w:val="000000"/>
                <w:spacing w:val="-2"/>
                <w:szCs w:val="21"/>
              </w:rPr>
              <w:t xml:space="preserve"> </w:t>
            </w:r>
            <w:r>
              <w:rPr>
                <w:rFonts w:hint="eastAsia" w:eastAsia="方正仿宋_GBK"/>
                <w:color w:val="000000"/>
                <w:spacing w:val="-2"/>
                <w:szCs w:val="21"/>
              </w:rPr>
              <w:t>；</w:t>
            </w:r>
          </w:p>
          <w:p>
            <w:pPr>
              <w:rPr>
                <w:rFonts w:eastAsia="方正仿宋_GBK"/>
                <w:color w:val="000000"/>
                <w:spacing w:val="-2"/>
                <w:szCs w:val="21"/>
              </w:rPr>
            </w:pPr>
            <w:r>
              <w:rPr>
                <w:rFonts w:hint="eastAsia" w:eastAsia="方正仿宋_GBK"/>
                <w:color w:val="000000"/>
                <w:spacing w:val="-2"/>
                <w:szCs w:val="21"/>
              </w:rPr>
              <w:t>物业服务用房</w:t>
            </w:r>
            <w:r>
              <w:rPr>
                <w:rFonts w:eastAsia="方正仿宋_GBK"/>
                <w:color w:val="000000"/>
                <w:spacing w:val="-2"/>
                <w:szCs w:val="21"/>
                <w:u w:val="single"/>
              </w:rPr>
              <w:t xml:space="preserve">       </w:t>
            </w:r>
            <w:r>
              <w:rPr>
                <w:rFonts w:hint="eastAsia" w:eastAsia="方正仿宋_GBK"/>
                <w:color w:val="000000"/>
                <w:spacing w:val="-2"/>
                <w:szCs w:val="21"/>
              </w:rPr>
              <w:t>㎡</w:t>
            </w:r>
            <w:r>
              <w:rPr>
                <w:rFonts w:eastAsia="方正仿宋_GBK"/>
                <w:color w:val="000000"/>
                <w:spacing w:val="-2"/>
                <w:szCs w:val="21"/>
                <w:u w:val="single"/>
              </w:rPr>
              <w:t xml:space="preserve">    </w:t>
            </w:r>
            <w:r>
              <w:rPr>
                <w:rFonts w:hint="eastAsia" w:eastAsia="方正仿宋_GBK"/>
                <w:color w:val="000000"/>
                <w:spacing w:val="-2"/>
                <w:szCs w:val="21"/>
              </w:rPr>
              <w:t>处；设备用房</w:t>
            </w:r>
            <w:r>
              <w:rPr>
                <w:rFonts w:eastAsia="方正仿宋_GBK"/>
                <w:color w:val="000000"/>
                <w:spacing w:val="-2"/>
                <w:szCs w:val="21"/>
                <w:u w:val="single"/>
              </w:rPr>
              <w:t xml:space="preserve">     </w:t>
            </w:r>
            <w:r>
              <w:rPr>
                <w:rFonts w:hint="eastAsia" w:eastAsia="方正仿宋_GBK"/>
                <w:color w:val="000000"/>
                <w:spacing w:val="-2"/>
                <w:szCs w:val="21"/>
              </w:rPr>
              <w:t>㎡</w:t>
            </w:r>
            <w:r>
              <w:rPr>
                <w:rFonts w:eastAsia="方正仿宋_GBK"/>
                <w:color w:val="000000"/>
                <w:spacing w:val="-2"/>
                <w:szCs w:val="21"/>
              </w:rPr>
              <w:t xml:space="preserve"> </w:t>
            </w:r>
            <w:r>
              <w:rPr>
                <w:rFonts w:eastAsia="方正仿宋_GBK"/>
                <w:color w:val="000000"/>
                <w:spacing w:val="-2"/>
                <w:szCs w:val="21"/>
                <w:u w:val="single"/>
              </w:rPr>
              <w:t xml:space="preserve">       </w:t>
            </w:r>
            <w:r>
              <w:rPr>
                <w:rFonts w:eastAsia="方正仿宋_GBK"/>
                <w:color w:val="000000"/>
                <w:spacing w:val="-2"/>
                <w:szCs w:val="21"/>
              </w:rPr>
              <w:t xml:space="preserve"> </w:t>
            </w:r>
            <w:r>
              <w:rPr>
                <w:rFonts w:hint="eastAsia" w:eastAsia="方正仿宋_GBK"/>
                <w:color w:val="000000"/>
                <w:spacing w:val="-2"/>
                <w:szCs w:val="21"/>
              </w:rPr>
              <w:t>处；</w:t>
            </w:r>
          </w:p>
          <w:p>
            <w:pPr>
              <w:rPr>
                <w:rFonts w:eastAsia="方正仿宋_GBK"/>
                <w:color w:val="000000"/>
                <w:spacing w:val="-2"/>
                <w:szCs w:val="21"/>
              </w:rPr>
            </w:pPr>
            <w:r>
              <w:rPr>
                <w:rFonts w:hint="eastAsia" w:eastAsia="方正仿宋_GBK"/>
                <w:color w:val="000000"/>
                <w:spacing w:val="-2"/>
                <w:szCs w:val="21"/>
              </w:rPr>
              <w:t>机动车库</w:t>
            </w:r>
            <w:r>
              <w:rPr>
                <w:rFonts w:eastAsia="方正仿宋_GBK"/>
                <w:color w:val="000000"/>
                <w:spacing w:val="-2"/>
                <w:szCs w:val="21"/>
                <w:u w:val="single"/>
              </w:rPr>
              <w:t xml:space="preserve">    </w:t>
            </w:r>
            <w:r>
              <w:rPr>
                <w:rFonts w:hint="eastAsia" w:eastAsia="方正仿宋_GBK"/>
                <w:color w:val="000000"/>
                <w:spacing w:val="-2"/>
                <w:szCs w:val="21"/>
              </w:rPr>
              <w:t>㎡</w:t>
            </w:r>
            <w:r>
              <w:rPr>
                <w:rFonts w:eastAsia="方正仿宋_GBK"/>
                <w:color w:val="000000"/>
                <w:spacing w:val="-2"/>
                <w:szCs w:val="21"/>
                <w:u w:val="single"/>
              </w:rPr>
              <w:t xml:space="preserve">   </w:t>
            </w:r>
            <w:r>
              <w:rPr>
                <w:rFonts w:hint="eastAsia" w:eastAsia="方正仿宋_GBK"/>
                <w:color w:val="000000"/>
                <w:spacing w:val="-2"/>
                <w:szCs w:val="21"/>
              </w:rPr>
              <w:t>个；非机动车位</w:t>
            </w:r>
            <w:r>
              <w:rPr>
                <w:rFonts w:eastAsia="方正仿宋_GBK"/>
                <w:color w:val="000000"/>
                <w:spacing w:val="-2"/>
                <w:szCs w:val="21"/>
                <w:u w:val="single"/>
              </w:rPr>
              <w:t xml:space="preserve">      </w:t>
            </w:r>
            <w:r>
              <w:rPr>
                <w:rFonts w:hint="eastAsia" w:eastAsia="方正仿宋_GBK"/>
                <w:color w:val="000000"/>
                <w:spacing w:val="-2"/>
                <w:szCs w:val="21"/>
              </w:rPr>
              <w:t>㎡；</w:t>
            </w:r>
            <w:r>
              <w:rPr>
                <w:rFonts w:eastAsia="方正仿宋_GBK"/>
                <w:color w:val="000000"/>
                <w:spacing w:val="-2"/>
                <w:szCs w:val="21"/>
              </w:rPr>
              <w:t xml:space="preserve"> </w:t>
            </w:r>
          </w:p>
          <w:p>
            <w:pPr>
              <w:rPr>
                <w:rFonts w:eastAsia="方正仿宋_GBK"/>
                <w:color w:val="000000"/>
                <w:spacing w:val="-2"/>
                <w:szCs w:val="21"/>
              </w:rPr>
            </w:pPr>
            <w:r>
              <w:rPr>
                <w:rFonts w:hint="eastAsia" w:eastAsia="方正仿宋_GBK"/>
                <w:color w:val="000000"/>
                <w:spacing w:val="-2"/>
                <w:szCs w:val="21"/>
              </w:rPr>
              <w:t>社区用房</w:t>
            </w:r>
            <w:r>
              <w:rPr>
                <w:rFonts w:eastAsia="方正仿宋_GBK"/>
                <w:color w:val="000000"/>
                <w:spacing w:val="-2"/>
                <w:szCs w:val="21"/>
                <w:u w:val="single"/>
              </w:rPr>
              <w:t xml:space="preserve">         </w:t>
            </w:r>
            <w:r>
              <w:rPr>
                <w:rFonts w:hint="eastAsia" w:eastAsia="方正仿宋_GBK"/>
                <w:color w:val="000000"/>
                <w:spacing w:val="-2"/>
                <w:szCs w:val="21"/>
              </w:rPr>
              <w:t>㎡；</w:t>
            </w:r>
            <w:r>
              <w:rPr>
                <w:rFonts w:eastAsia="方正仿宋_GBK"/>
                <w:color w:val="000000"/>
                <w:spacing w:val="-2"/>
                <w:szCs w:val="21"/>
              </w:rPr>
              <w:t xml:space="preserve"> </w:t>
            </w:r>
            <w:r>
              <w:rPr>
                <w:rFonts w:hint="eastAsia" w:eastAsia="方正仿宋_GBK"/>
                <w:color w:val="000000"/>
                <w:spacing w:val="-2"/>
                <w:szCs w:val="21"/>
              </w:rPr>
              <w:t>架空层</w:t>
            </w:r>
            <w:r>
              <w:rPr>
                <w:rFonts w:eastAsia="方正仿宋_GBK"/>
                <w:color w:val="000000"/>
                <w:spacing w:val="-2"/>
                <w:szCs w:val="21"/>
                <w:u w:val="single"/>
              </w:rPr>
              <w:t xml:space="preserve">       </w:t>
            </w:r>
            <w:r>
              <w:rPr>
                <w:rFonts w:hint="eastAsia" w:eastAsia="方正仿宋_GBK"/>
                <w:color w:val="000000"/>
                <w:spacing w:val="-2"/>
                <w:szCs w:val="21"/>
              </w:rPr>
              <w:t>㎡；</w:t>
            </w:r>
            <w:r>
              <w:rPr>
                <w:rFonts w:eastAsia="方正仿宋_GBK"/>
                <w:color w:val="000000"/>
                <w:spacing w:val="-2"/>
                <w:szCs w:val="21"/>
              </w:rPr>
              <w:t xml:space="preserve"> </w:t>
            </w:r>
            <w:r>
              <w:rPr>
                <w:rFonts w:hint="eastAsia" w:eastAsia="方正仿宋_GBK"/>
                <w:color w:val="000000"/>
                <w:spacing w:val="-2"/>
                <w:szCs w:val="21"/>
              </w:rPr>
              <w:t>人防</w:t>
            </w:r>
            <w:r>
              <w:rPr>
                <w:rFonts w:eastAsia="方正仿宋_GBK"/>
                <w:color w:val="000000"/>
                <w:spacing w:val="-2"/>
                <w:szCs w:val="21"/>
                <w:u w:val="single"/>
              </w:rPr>
              <w:t xml:space="preserve">      </w:t>
            </w:r>
            <w:r>
              <w:rPr>
                <w:rFonts w:hint="eastAsia" w:eastAsia="方正仿宋_GBK"/>
                <w:color w:val="000000"/>
                <w:spacing w:val="-2"/>
                <w:szCs w:val="21"/>
              </w:rPr>
              <w:t>㎡；</w:t>
            </w:r>
            <w:r>
              <w:rPr>
                <w:rFonts w:eastAsia="方正仿宋_GBK"/>
                <w:color w:val="000000"/>
                <w:spacing w:val="-2"/>
                <w:szCs w:val="21"/>
              </w:rPr>
              <w:t xml:space="preserve">    </w:t>
            </w:r>
            <w:r>
              <w:rPr>
                <w:rFonts w:hint="eastAsia" w:eastAsia="方正仿宋_GBK"/>
                <w:color w:val="000000"/>
                <w:spacing w:val="-2"/>
                <w:szCs w:val="21"/>
              </w:rPr>
              <w:t>会所</w:t>
            </w:r>
            <w:r>
              <w:rPr>
                <w:rFonts w:eastAsia="方正仿宋_GBK"/>
                <w:color w:val="000000"/>
                <w:spacing w:val="-2"/>
                <w:szCs w:val="21"/>
                <w:u w:val="single"/>
              </w:rPr>
              <w:t xml:space="preserve">        </w:t>
            </w:r>
            <w:r>
              <w:rPr>
                <w:rFonts w:hint="eastAsia" w:eastAsia="方正仿宋_GBK"/>
                <w:color w:val="000000"/>
                <w:spacing w:val="-2"/>
                <w:szCs w:val="21"/>
              </w:rPr>
              <w:t>㎡；其它</w:t>
            </w:r>
            <w:r>
              <w:rPr>
                <w:rFonts w:eastAsia="方正仿宋_GBK"/>
                <w:color w:val="000000"/>
                <w:spacing w:val="-2"/>
                <w:szCs w:val="21"/>
                <w:u w:val="single"/>
              </w:rPr>
              <w:t xml:space="preserve">         </w:t>
            </w:r>
            <w:r>
              <w:rPr>
                <w:rFonts w:hint="eastAsia" w:eastAsia="方正仿宋_GBK"/>
                <w:color w:val="000000"/>
                <w:spacing w:val="-2"/>
                <w:szCs w:val="21"/>
              </w:rPr>
              <w:t>㎡</w:t>
            </w:r>
            <w:r>
              <w:rPr>
                <w:rFonts w:eastAsia="方正仿宋_GBK"/>
                <w:color w:val="000000"/>
                <w:spacing w:val="-2"/>
                <w:szCs w:val="21"/>
              </w:rPr>
              <w:t xml:space="preserve">  </w:t>
            </w:r>
            <w:r>
              <w:rPr>
                <w:rFonts w:hint="eastAsia" w:eastAsia="方正仿宋_GBK"/>
                <w:color w:val="000000"/>
                <w:spacing w:val="-2"/>
                <w:szCs w:val="21"/>
              </w:rPr>
              <w:t>。</w:t>
            </w:r>
          </w:p>
          <w:p>
            <w:pPr>
              <w:rPr>
                <w:rFonts w:eastAsia="方正仿宋_GBK"/>
                <w:color w:val="000000"/>
                <w:spacing w:val="-2"/>
                <w:szCs w:val="21"/>
              </w:rPr>
            </w:pPr>
            <w:r>
              <w:rPr>
                <w:rFonts w:hint="eastAsia" w:eastAsia="方正仿宋_GBK"/>
                <w:color w:val="000000"/>
                <w:spacing w:val="-2"/>
                <w:szCs w:val="21"/>
              </w:rPr>
              <w:t>合计</w:t>
            </w:r>
            <w:r>
              <w:rPr>
                <w:rFonts w:eastAsia="方正仿宋_GBK"/>
                <w:color w:val="000000"/>
                <w:spacing w:val="-2"/>
                <w:szCs w:val="21"/>
                <w:u w:val="single"/>
              </w:rPr>
              <w:t xml:space="preserve">                </w:t>
            </w:r>
            <w:r>
              <w:rPr>
                <w:rFonts w:hint="eastAsia" w:eastAsia="方正仿宋_GBK"/>
                <w:color w:val="000000"/>
                <w:spacing w:val="-2"/>
                <w:szCs w:val="21"/>
              </w:rPr>
              <w:t>㎡。</w:t>
            </w:r>
          </w:p>
        </w:tc>
      </w:tr>
    </w:tbl>
    <w:p>
      <w:pPr>
        <w:spacing w:line="360" w:lineRule="auto"/>
        <w:ind w:firstLine="472" w:firstLineChars="200"/>
        <w:rPr>
          <w:rFonts w:eastAsia="方正仿宋_GBK"/>
          <w:color w:val="000000"/>
          <w:spacing w:val="-2"/>
          <w:sz w:val="24"/>
        </w:rPr>
      </w:pPr>
      <w:r>
        <w:rPr>
          <w:rFonts w:hint="eastAsia" w:ascii="Times New Roman" w:eastAsia="方正黑体_GBK"/>
          <w:color w:val="000000"/>
          <w:spacing w:val="-2"/>
          <w:kern w:val="0"/>
          <w:sz w:val="24"/>
        </w:rPr>
        <w:t>第二条</w:t>
      </w:r>
      <w:r>
        <w:rPr>
          <w:rFonts w:eastAsia="方正仿宋_GBK"/>
          <w:color w:val="000000"/>
          <w:spacing w:val="-2"/>
          <w:sz w:val="24"/>
        </w:rPr>
        <w:t xml:space="preserve">  </w:t>
      </w:r>
      <w:r>
        <w:rPr>
          <w:rFonts w:hint="eastAsia" w:eastAsia="方正仿宋_GBK"/>
          <w:color w:val="000000"/>
          <w:spacing w:val="-2"/>
          <w:sz w:val="24"/>
        </w:rPr>
        <w:t>申请预售商品房情况</w:t>
      </w:r>
    </w:p>
    <w:p>
      <w:pPr>
        <w:spacing w:line="420" w:lineRule="exact"/>
        <w:ind w:firstLine="472" w:firstLineChars="200"/>
        <w:rPr>
          <w:rFonts w:eastAsia="方正仿宋_GBK"/>
          <w:color w:val="000000"/>
          <w:spacing w:val="-2"/>
          <w:sz w:val="24"/>
          <w:u w:val="single"/>
        </w:rPr>
      </w:pPr>
      <w:r>
        <w:rPr>
          <w:rFonts w:hint="eastAsia" w:eastAsia="方正仿宋_GBK"/>
          <w:color w:val="000000"/>
          <w:spacing w:val="-2"/>
          <w:sz w:val="24"/>
        </w:rPr>
        <w:t>本次申请预售商品房共</w:t>
      </w:r>
      <w:r>
        <w:rPr>
          <w:rFonts w:eastAsia="方正仿宋_GBK"/>
          <w:color w:val="000000"/>
          <w:spacing w:val="-2"/>
          <w:sz w:val="24"/>
          <w:u w:val="single"/>
        </w:rPr>
        <w:t xml:space="preserve">   </w:t>
      </w:r>
      <w:r>
        <w:rPr>
          <w:rFonts w:hint="eastAsia" w:eastAsia="方正仿宋_GBK"/>
          <w:color w:val="000000"/>
          <w:spacing w:val="-2"/>
          <w:sz w:val="24"/>
        </w:rPr>
        <w:t>幢，总面积为</w:t>
      </w:r>
      <w:r>
        <w:rPr>
          <w:rFonts w:eastAsia="方正仿宋_GBK"/>
          <w:color w:val="000000"/>
          <w:spacing w:val="-2"/>
          <w:sz w:val="24"/>
          <w:u w:val="single"/>
        </w:rPr>
        <w:t xml:space="preserve">       </w:t>
      </w:r>
      <w:r>
        <w:rPr>
          <w:rFonts w:hint="eastAsia" w:eastAsia="方正仿宋_GBK"/>
          <w:color w:val="000000"/>
          <w:spacing w:val="-2"/>
          <w:sz w:val="24"/>
        </w:rPr>
        <w:t>㎡，其中</w:t>
      </w:r>
      <w:r>
        <w:rPr>
          <w:rFonts w:eastAsia="方正仿宋_GBK"/>
          <w:color w:val="000000"/>
          <w:spacing w:val="-2"/>
          <w:sz w:val="24"/>
          <w:u w:val="single"/>
        </w:rPr>
        <w:t xml:space="preserve">    </w:t>
      </w:r>
      <w:r>
        <w:rPr>
          <w:rFonts w:hint="eastAsia" w:eastAsia="方正仿宋_GBK"/>
          <w:color w:val="000000"/>
          <w:spacing w:val="-2"/>
          <w:sz w:val="24"/>
        </w:rPr>
        <w:t>幢，面积</w:t>
      </w:r>
      <w:r>
        <w:rPr>
          <w:rFonts w:eastAsia="方正仿宋_GBK"/>
          <w:color w:val="000000"/>
          <w:spacing w:val="-2"/>
          <w:sz w:val="24"/>
          <w:u w:val="single"/>
        </w:rPr>
        <w:t xml:space="preserve">     </w:t>
      </w:r>
      <w:r>
        <w:rPr>
          <w:rFonts w:hint="eastAsia" w:eastAsia="方正仿宋_GBK"/>
          <w:color w:val="000000"/>
          <w:spacing w:val="-2"/>
          <w:sz w:val="24"/>
        </w:rPr>
        <w:t>㎡；</w:t>
      </w:r>
      <w:r>
        <w:rPr>
          <w:rFonts w:eastAsia="方正仿宋_GBK"/>
          <w:color w:val="000000"/>
          <w:spacing w:val="-2"/>
          <w:sz w:val="24"/>
          <w:u w:val="single"/>
        </w:rPr>
        <w:t xml:space="preserve">    </w:t>
      </w:r>
      <w:r>
        <w:rPr>
          <w:rFonts w:hint="eastAsia" w:eastAsia="方正仿宋_GBK"/>
          <w:color w:val="000000"/>
          <w:spacing w:val="-2"/>
          <w:sz w:val="24"/>
        </w:rPr>
        <w:t>幢，面积</w:t>
      </w:r>
      <w:r>
        <w:rPr>
          <w:rFonts w:eastAsia="方正仿宋_GBK"/>
          <w:color w:val="000000"/>
          <w:spacing w:val="-2"/>
          <w:sz w:val="24"/>
          <w:u w:val="single"/>
        </w:rPr>
        <w:t xml:space="preserve">     </w:t>
      </w:r>
      <w:r>
        <w:rPr>
          <w:rFonts w:hint="eastAsia" w:eastAsia="方正仿宋_GBK"/>
          <w:color w:val="000000"/>
          <w:spacing w:val="-2"/>
          <w:sz w:val="24"/>
        </w:rPr>
        <w:t>㎡；</w:t>
      </w:r>
      <w:r>
        <w:rPr>
          <w:rFonts w:eastAsia="方正仿宋_GBK"/>
          <w:color w:val="000000"/>
          <w:spacing w:val="-2"/>
          <w:sz w:val="24"/>
          <w:u w:val="single"/>
        </w:rPr>
        <w:t xml:space="preserve">    </w:t>
      </w:r>
      <w:r>
        <w:rPr>
          <w:rFonts w:hint="eastAsia" w:eastAsia="方正仿宋_GBK"/>
          <w:color w:val="000000"/>
          <w:spacing w:val="-2"/>
          <w:sz w:val="24"/>
        </w:rPr>
        <w:t>幢，面积</w:t>
      </w:r>
      <w:r>
        <w:rPr>
          <w:rFonts w:eastAsia="方正仿宋_GBK"/>
          <w:color w:val="000000"/>
          <w:spacing w:val="-2"/>
          <w:sz w:val="24"/>
          <w:u w:val="single"/>
        </w:rPr>
        <w:t xml:space="preserve">     </w:t>
      </w:r>
      <w:r>
        <w:rPr>
          <w:rFonts w:hint="eastAsia" w:eastAsia="方正仿宋_GBK"/>
          <w:color w:val="000000"/>
          <w:spacing w:val="-2"/>
          <w:sz w:val="24"/>
        </w:rPr>
        <w:t>㎡；</w:t>
      </w:r>
      <w:r>
        <w:rPr>
          <w:rFonts w:eastAsia="方正仿宋_GBK"/>
          <w:color w:val="000000"/>
          <w:spacing w:val="-2"/>
          <w:sz w:val="24"/>
          <w:u w:val="single"/>
        </w:rPr>
        <w:t xml:space="preserve">    </w:t>
      </w:r>
      <w:r>
        <w:rPr>
          <w:rFonts w:hint="eastAsia" w:eastAsia="方正仿宋_GBK"/>
          <w:color w:val="000000"/>
          <w:spacing w:val="-2"/>
          <w:sz w:val="24"/>
        </w:rPr>
        <w:t>幢，面积</w:t>
      </w:r>
      <w:r>
        <w:rPr>
          <w:rFonts w:eastAsia="方正仿宋_GBK"/>
          <w:color w:val="000000"/>
          <w:spacing w:val="-2"/>
          <w:sz w:val="24"/>
          <w:u w:val="single"/>
        </w:rPr>
        <w:t xml:space="preserve">     </w:t>
      </w:r>
      <w:r>
        <w:rPr>
          <w:rFonts w:hint="eastAsia" w:eastAsia="方正仿宋_GBK"/>
          <w:color w:val="000000"/>
          <w:spacing w:val="-2"/>
          <w:sz w:val="24"/>
        </w:rPr>
        <w:t>㎡。</w:t>
      </w:r>
    </w:p>
    <w:p>
      <w:pPr>
        <w:spacing w:line="420" w:lineRule="exact"/>
        <w:ind w:firstLine="472" w:firstLineChars="200"/>
        <w:rPr>
          <w:rFonts w:eastAsia="方正仿宋_GBK"/>
          <w:color w:val="000000"/>
          <w:spacing w:val="-2"/>
          <w:sz w:val="24"/>
        </w:rPr>
      </w:pPr>
      <w:r>
        <w:rPr>
          <w:rFonts w:eastAsia="方正仿宋_GBK"/>
          <w:color w:val="000000"/>
          <w:spacing w:val="-2"/>
          <w:sz w:val="24"/>
        </w:rPr>
        <w:br w:type="column"/>
      </w:r>
      <w:r>
        <w:rPr>
          <w:rFonts w:eastAsia="方正仿宋_GBK"/>
          <w:color w:val="000000"/>
          <w:spacing w:val="-2"/>
          <w:sz w:val="24"/>
        </w:rPr>
        <w:t>1.</w:t>
      </w:r>
      <w:r>
        <w:rPr>
          <w:rFonts w:hint="eastAsia" w:eastAsia="方正仿宋_GBK"/>
          <w:color w:val="000000"/>
          <w:spacing w:val="-2"/>
          <w:sz w:val="24"/>
        </w:rPr>
        <w:t>分幢情况。</w:t>
      </w:r>
    </w:p>
    <w:tbl>
      <w:tblPr>
        <w:tblStyle w:val="12"/>
        <w:tblW w:w="0" w:type="auto"/>
        <w:tblInd w:w="124"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2"/>
        <w:gridCol w:w="1676"/>
        <w:gridCol w:w="1956"/>
        <w:gridCol w:w="323"/>
        <w:gridCol w:w="2119"/>
        <w:gridCol w:w="247"/>
        <w:gridCol w:w="20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7" w:hRule="atLeast"/>
        </w:trPr>
        <w:tc>
          <w:tcPr>
            <w:tcW w:w="8782" w:type="dxa"/>
            <w:gridSpan w:val="7"/>
            <w:tcBorders>
              <w:top w:val="single" w:color="auto" w:sz="8" w:space="0"/>
              <w:left w:val="single" w:color="auto" w:sz="8" w:space="0"/>
              <w:bottom w:val="single" w:color="auto" w:sz="4" w:space="0"/>
              <w:right w:val="single" w:color="auto" w:sz="8" w:space="0"/>
            </w:tcBorders>
            <w:noWrap w:val="0"/>
            <w:vAlign w:val="center"/>
          </w:tcPr>
          <w:p>
            <w:pPr>
              <w:spacing w:line="440" w:lineRule="exact"/>
              <w:jc w:val="center"/>
              <w:rPr>
                <w:rFonts w:eastAsia="方正仿宋_GBK"/>
                <w:b/>
                <w:color w:val="000000"/>
                <w:spacing w:val="-2"/>
                <w:sz w:val="24"/>
                <w:u w:val="single"/>
              </w:rPr>
            </w:pPr>
            <w:r>
              <w:rPr>
                <w:rFonts w:hint="eastAsia" w:eastAsia="方正仿宋_GBK"/>
                <w:b/>
                <w:color w:val="000000"/>
                <w:spacing w:val="-2"/>
                <w:sz w:val="24"/>
              </w:rPr>
              <w:t>房屋概况（幢号：</w:t>
            </w:r>
            <w:r>
              <w:rPr>
                <w:rFonts w:eastAsia="方正仿宋_GBK"/>
                <w:b/>
                <w:color w:val="000000"/>
                <w:spacing w:val="-2"/>
                <w:sz w:val="24"/>
                <w:u w:val="single"/>
              </w:rPr>
              <w:t xml:space="preserve">         </w:t>
            </w:r>
            <w:r>
              <w:rPr>
                <w:rFonts w:hint="eastAsia" w:eastAsia="方正仿宋_GBK"/>
                <w:b/>
                <w:color w:val="000000"/>
                <w:spacing w:val="-2"/>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7" w:hRule="atLeast"/>
        </w:trPr>
        <w:tc>
          <w:tcPr>
            <w:tcW w:w="8782" w:type="dxa"/>
            <w:gridSpan w:val="7"/>
            <w:tcBorders>
              <w:top w:val="single" w:color="auto" w:sz="4" w:space="0"/>
              <w:left w:val="single" w:color="auto" w:sz="8" w:space="0"/>
              <w:bottom w:val="single" w:color="auto" w:sz="4" w:space="0"/>
              <w:right w:val="single" w:color="auto" w:sz="8" w:space="0"/>
            </w:tcBorders>
            <w:noWrap w:val="0"/>
            <w:vAlign w:val="center"/>
          </w:tcPr>
          <w:p>
            <w:pPr>
              <w:spacing w:line="440" w:lineRule="exact"/>
              <w:rPr>
                <w:rFonts w:eastAsia="方正仿宋_GBK"/>
                <w:color w:val="000000"/>
                <w:spacing w:val="-2"/>
                <w:sz w:val="24"/>
              </w:rPr>
            </w:pPr>
            <w:r>
              <w:rPr>
                <w:rFonts w:hint="eastAsia" w:eastAsia="方正仿宋_GBK"/>
                <w:color w:val="000000"/>
                <w:spacing w:val="-2"/>
                <w:sz w:val="24"/>
              </w:rPr>
              <w:t>总层数</w:t>
            </w:r>
            <w:r>
              <w:rPr>
                <w:rFonts w:eastAsia="方正仿宋_GBK"/>
                <w:color w:val="000000"/>
                <w:spacing w:val="-2"/>
                <w:sz w:val="24"/>
                <w:u w:val="single"/>
              </w:rPr>
              <w:t xml:space="preserve">         </w:t>
            </w:r>
            <w:r>
              <w:rPr>
                <w:rFonts w:hint="eastAsia" w:eastAsia="方正仿宋_GBK"/>
                <w:color w:val="000000"/>
                <w:spacing w:val="-2"/>
                <w:sz w:val="24"/>
              </w:rPr>
              <w:t>层（其中地上</w:t>
            </w:r>
            <w:r>
              <w:rPr>
                <w:rFonts w:eastAsia="方正仿宋_GBK"/>
                <w:color w:val="000000"/>
                <w:spacing w:val="-2"/>
                <w:sz w:val="24"/>
                <w:u w:val="single"/>
              </w:rPr>
              <w:t xml:space="preserve">             </w:t>
            </w:r>
            <w:r>
              <w:rPr>
                <w:rFonts w:hint="eastAsia" w:eastAsia="方正仿宋_GBK"/>
                <w:color w:val="000000"/>
                <w:spacing w:val="-2"/>
                <w:sz w:val="24"/>
              </w:rPr>
              <w:t>层，地下（含半地下）</w:t>
            </w:r>
            <w:r>
              <w:rPr>
                <w:rFonts w:eastAsia="方正仿宋_GBK"/>
                <w:color w:val="000000"/>
                <w:spacing w:val="-2"/>
                <w:sz w:val="24"/>
                <w:u w:val="single"/>
              </w:rPr>
              <w:t xml:space="preserve">              </w:t>
            </w:r>
            <w:r>
              <w:rPr>
                <w:rFonts w:hint="eastAsia" w:eastAsia="方正仿宋_GBK"/>
                <w:color w:val="000000"/>
                <w:spacing w:val="-2"/>
                <w:sz w:val="24"/>
              </w:rPr>
              <w:t>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452" w:type="dxa"/>
            <w:vMerge w:val="restart"/>
            <w:tcBorders>
              <w:top w:val="single" w:color="auto" w:sz="4" w:space="0"/>
              <w:left w:val="single" w:color="auto" w:sz="8" w:space="0"/>
              <w:bottom w:val="single" w:color="auto" w:sz="4" w:space="0"/>
              <w:right w:val="single" w:color="auto" w:sz="4" w:space="0"/>
            </w:tcBorders>
            <w:noWrap w:val="0"/>
            <w:vAlign w:val="center"/>
          </w:tcPr>
          <w:p>
            <w:pPr>
              <w:spacing w:line="440" w:lineRule="exact"/>
              <w:jc w:val="center"/>
              <w:rPr>
                <w:rFonts w:eastAsia="方正仿宋_GBK"/>
                <w:bCs/>
                <w:color w:val="000000"/>
                <w:spacing w:val="-2"/>
                <w:sz w:val="24"/>
              </w:rPr>
            </w:pPr>
            <w:r>
              <w:rPr>
                <w:rFonts w:hint="eastAsia" w:eastAsia="方正仿宋_GBK"/>
                <w:bCs/>
                <w:color w:val="000000"/>
                <w:spacing w:val="-2"/>
                <w:sz w:val="24"/>
              </w:rPr>
              <w:t>权利受限情况</w:t>
            </w:r>
          </w:p>
        </w:tc>
        <w:tc>
          <w:tcPr>
            <w:tcW w:w="1676" w:type="dxa"/>
            <w:vMerge w:val="restar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方正仿宋_GBK"/>
                <w:bCs/>
                <w:color w:val="000000"/>
                <w:spacing w:val="-2"/>
                <w:sz w:val="24"/>
              </w:rPr>
            </w:pPr>
            <w:r>
              <w:rPr>
                <w:rFonts w:hint="eastAsia" w:eastAsia="方正仿宋_GBK"/>
                <w:bCs/>
                <w:color w:val="000000"/>
                <w:spacing w:val="-2"/>
                <w:sz w:val="24"/>
              </w:rPr>
              <w:t>土地抵押情况</w:t>
            </w:r>
          </w:p>
        </w:tc>
        <w:tc>
          <w:tcPr>
            <w:tcW w:w="6654" w:type="dxa"/>
            <w:gridSpan w:val="5"/>
            <w:tcBorders>
              <w:top w:val="single" w:color="auto" w:sz="4" w:space="0"/>
              <w:left w:val="single" w:color="auto" w:sz="4" w:space="0"/>
              <w:bottom w:val="single" w:color="auto" w:sz="4" w:space="0"/>
              <w:right w:val="single" w:color="auto" w:sz="8" w:space="0"/>
            </w:tcBorders>
            <w:noWrap w:val="0"/>
            <w:vAlign w:val="center"/>
          </w:tcPr>
          <w:p>
            <w:pPr>
              <w:spacing w:line="440" w:lineRule="exact"/>
              <w:rPr>
                <w:rFonts w:eastAsia="方正仿宋_GBK"/>
                <w:bCs/>
                <w:color w:val="000000"/>
                <w:spacing w:val="-2"/>
                <w:sz w:val="24"/>
              </w:rPr>
            </w:pPr>
            <w:r>
              <w:rPr>
                <w:rFonts w:hint="eastAsia" w:eastAsia="方正仿宋_GBK"/>
                <w:color w:val="000000"/>
                <w:spacing w:val="-2"/>
                <w:sz w:val="24"/>
              </w:rPr>
              <w:t>有</w:t>
            </w:r>
            <w:r>
              <w:rPr>
                <w:rFonts w:hint="eastAsia" w:ascii="Times New Roman" w:hAnsi="Times New Roman"/>
                <w:color w:val="000000"/>
                <w:spacing w:val="-2"/>
                <w:sz w:val="24"/>
              </w:rPr>
              <w:t>□</w:t>
            </w:r>
            <w:r>
              <w:rPr>
                <w:rFonts w:eastAsia="方正仿宋_GBK"/>
                <w:color w:val="000000"/>
                <w:spacing w:val="-2"/>
                <w:sz w:val="24"/>
              </w:rPr>
              <w:t>,</w:t>
            </w:r>
            <w:r>
              <w:rPr>
                <w:rFonts w:hint="eastAsia" w:eastAsia="方正仿宋_GBK"/>
                <w:color w:val="000000"/>
                <w:spacing w:val="-2"/>
                <w:sz w:val="24"/>
              </w:rPr>
              <w:t>抵押权人：</w:t>
            </w:r>
            <w:r>
              <w:rPr>
                <w:rFonts w:eastAsia="方正仿宋_GBK"/>
                <w:color w:val="000000"/>
                <w:spacing w:val="-2"/>
                <w:sz w:val="24"/>
              </w:rPr>
              <w:t xml:space="preserve">             </w:t>
            </w:r>
            <w:r>
              <w:rPr>
                <w:rFonts w:hint="eastAsia" w:eastAsia="方正仿宋_GBK"/>
                <w:color w:val="000000"/>
                <w:spacing w:val="-2"/>
                <w:sz w:val="24"/>
              </w:rPr>
              <w:t>，抵押期限：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9" w:hRule="atLeast"/>
        </w:trPr>
        <w:tc>
          <w:tcPr>
            <w:tcW w:w="452"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bCs/>
                <w:color w:val="000000"/>
                <w:spacing w:val="-2"/>
                <w:sz w:val="24"/>
              </w:rPr>
            </w:pPr>
          </w:p>
        </w:tc>
        <w:tc>
          <w:tcPr>
            <w:tcW w:w="167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bCs/>
                <w:color w:val="000000"/>
                <w:spacing w:val="-2"/>
                <w:sz w:val="24"/>
              </w:rPr>
            </w:pPr>
          </w:p>
        </w:tc>
        <w:tc>
          <w:tcPr>
            <w:tcW w:w="6654" w:type="dxa"/>
            <w:gridSpan w:val="5"/>
            <w:tcBorders>
              <w:top w:val="single" w:color="auto" w:sz="4" w:space="0"/>
              <w:left w:val="single" w:color="auto" w:sz="4" w:space="0"/>
              <w:bottom w:val="single" w:color="auto" w:sz="4" w:space="0"/>
              <w:right w:val="single" w:color="auto" w:sz="8" w:space="0"/>
            </w:tcBorders>
            <w:noWrap w:val="0"/>
            <w:vAlign w:val="center"/>
          </w:tcPr>
          <w:p>
            <w:pPr>
              <w:spacing w:line="440" w:lineRule="exact"/>
              <w:rPr>
                <w:rFonts w:eastAsia="方正仿宋_GBK"/>
                <w:color w:val="000000"/>
                <w:spacing w:val="-2"/>
                <w:sz w:val="24"/>
              </w:rPr>
            </w:pPr>
            <w:r>
              <w:rPr>
                <w:rFonts w:hint="eastAsia" w:eastAsia="方正仿宋_GBK"/>
                <w:color w:val="000000"/>
                <w:spacing w:val="-2"/>
                <w:sz w:val="24"/>
              </w:rPr>
              <w:t>无</w:t>
            </w:r>
            <w:r>
              <w:rPr>
                <w:rFonts w:hint="eastAsia" w:ascii="Times New Roman" w:hAnsi="Times New Roman"/>
                <w:color w:val="000000"/>
                <w:spacing w:val="-2"/>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52"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bCs/>
                <w:color w:val="000000"/>
                <w:spacing w:val="-2"/>
                <w:sz w:val="24"/>
              </w:rPr>
            </w:pPr>
          </w:p>
        </w:tc>
        <w:tc>
          <w:tcPr>
            <w:tcW w:w="1676" w:type="dxa"/>
            <w:vMerge w:val="restar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方正仿宋_GBK"/>
                <w:bCs/>
                <w:color w:val="000000"/>
                <w:spacing w:val="-2"/>
                <w:sz w:val="24"/>
              </w:rPr>
            </w:pPr>
            <w:r>
              <w:rPr>
                <w:rFonts w:hint="eastAsia" w:eastAsia="方正仿宋_GBK"/>
                <w:bCs/>
                <w:color w:val="000000"/>
                <w:spacing w:val="-2"/>
                <w:sz w:val="24"/>
              </w:rPr>
              <w:t>工程抵押情况</w:t>
            </w:r>
          </w:p>
        </w:tc>
        <w:tc>
          <w:tcPr>
            <w:tcW w:w="6654" w:type="dxa"/>
            <w:gridSpan w:val="5"/>
            <w:tcBorders>
              <w:top w:val="single" w:color="auto" w:sz="4" w:space="0"/>
              <w:left w:val="single" w:color="auto" w:sz="4" w:space="0"/>
              <w:bottom w:val="single" w:color="auto" w:sz="4" w:space="0"/>
              <w:right w:val="single" w:color="auto" w:sz="8" w:space="0"/>
            </w:tcBorders>
            <w:noWrap w:val="0"/>
            <w:vAlign w:val="center"/>
          </w:tcPr>
          <w:p>
            <w:pPr>
              <w:spacing w:line="440" w:lineRule="exact"/>
              <w:rPr>
                <w:rFonts w:eastAsia="方正仿宋_GBK"/>
                <w:bCs/>
                <w:color w:val="000000"/>
                <w:spacing w:val="-2"/>
                <w:sz w:val="24"/>
              </w:rPr>
            </w:pPr>
            <w:r>
              <w:rPr>
                <w:rFonts w:hint="eastAsia" w:eastAsia="方正仿宋_GBK"/>
                <w:color w:val="000000"/>
                <w:spacing w:val="-2"/>
                <w:sz w:val="24"/>
              </w:rPr>
              <w:t>有</w:t>
            </w:r>
            <w:r>
              <w:rPr>
                <w:rFonts w:hint="eastAsia" w:ascii="Times New Roman" w:hAnsi="Times New Roman"/>
                <w:color w:val="000000"/>
                <w:spacing w:val="-2"/>
                <w:sz w:val="24"/>
              </w:rPr>
              <w:t>□</w:t>
            </w:r>
            <w:r>
              <w:rPr>
                <w:rFonts w:eastAsia="方正仿宋_GBK"/>
                <w:color w:val="000000"/>
                <w:spacing w:val="-2"/>
                <w:sz w:val="24"/>
              </w:rPr>
              <w:t>,</w:t>
            </w:r>
            <w:r>
              <w:rPr>
                <w:rFonts w:hint="eastAsia" w:eastAsia="方正仿宋_GBK"/>
                <w:color w:val="000000"/>
                <w:spacing w:val="-2"/>
                <w:sz w:val="24"/>
              </w:rPr>
              <w:t>抵押权人：</w:t>
            </w:r>
            <w:r>
              <w:rPr>
                <w:rFonts w:eastAsia="方正仿宋_GBK"/>
                <w:color w:val="000000"/>
                <w:spacing w:val="-2"/>
                <w:sz w:val="24"/>
              </w:rPr>
              <w:t xml:space="preserve">             </w:t>
            </w:r>
            <w:r>
              <w:rPr>
                <w:rFonts w:hint="eastAsia" w:eastAsia="方正仿宋_GBK"/>
                <w:color w:val="000000"/>
                <w:spacing w:val="-2"/>
                <w:sz w:val="24"/>
              </w:rPr>
              <w:t>，抵押期限：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0" w:hRule="atLeast"/>
        </w:trPr>
        <w:tc>
          <w:tcPr>
            <w:tcW w:w="452"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bCs/>
                <w:color w:val="000000"/>
                <w:spacing w:val="-2"/>
                <w:sz w:val="24"/>
              </w:rPr>
            </w:pPr>
          </w:p>
        </w:tc>
        <w:tc>
          <w:tcPr>
            <w:tcW w:w="167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bCs/>
                <w:color w:val="000000"/>
                <w:spacing w:val="-2"/>
                <w:sz w:val="24"/>
              </w:rPr>
            </w:pPr>
          </w:p>
        </w:tc>
        <w:tc>
          <w:tcPr>
            <w:tcW w:w="6654" w:type="dxa"/>
            <w:gridSpan w:val="5"/>
            <w:tcBorders>
              <w:top w:val="single" w:color="auto" w:sz="4" w:space="0"/>
              <w:left w:val="single" w:color="auto" w:sz="4" w:space="0"/>
              <w:bottom w:val="single" w:color="auto" w:sz="4" w:space="0"/>
              <w:right w:val="single" w:color="auto" w:sz="8" w:space="0"/>
            </w:tcBorders>
            <w:noWrap w:val="0"/>
            <w:vAlign w:val="center"/>
          </w:tcPr>
          <w:p>
            <w:pPr>
              <w:spacing w:line="440" w:lineRule="exact"/>
              <w:rPr>
                <w:rFonts w:eastAsia="方正仿宋_GBK"/>
                <w:color w:val="000000"/>
                <w:spacing w:val="-2"/>
                <w:sz w:val="24"/>
              </w:rPr>
            </w:pPr>
            <w:r>
              <w:rPr>
                <w:rFonts w:hint="eastAsia" w:eastAsia="方正仿宋_GBK"/>
                <w:color w:val="000000"/>
                <w:spacing w:val="-2"/>
                <w:sz w:val="24"/>
              </w:rPr>
              <w:t>无</w:t>
            </w:r>
            <w:r>
              <w:rPr>
                <w:rFonts w:hint="eastAsia" w:ascii="Times New Roman" w:hAnsi="Times New Roman"/>
                <w:color w:val="000000"/>
                <w:spacing w:val="-2"/>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5" w:hRule="atLeast"/>
        </w:trPr>
        <w:tc>
          <w:tcPr>
            <w:tcW w:w="452"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bCs/>
                <w:color w:val="000000"/>
                <w:spacing w:val="-2"/>
                <w:sz w:val="24"/>
              </w:rPr>
            </w:pPr>
          </w:p>
        </w:tc>
        <w:tc>
          <w:tcPr>
            <w:tcW w:w="1676" w:type="dxa"/>
            <w:vMerge w:val="restar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方正仿宋_GBK"/>
                <w:bCs/>
                <w:color w:val="000000"/>
                <w:spacing w:val="-2"/>
                <w:sz w:val="24"/>
              </w:rPr>
            </w:pPr>
            <w:r>
              <w:rPr>
                <w:rFonts w:hint="eastAsia" w:eastAsia="方正仿宋_GBK"/>
                <w:bCs/>
                <w:color w:val="000000"/>
                <w:spacing w:val="-2"/>
                <w:sz w:val="24"/>
              </w:rPr>
              <w:t>其他受限情况</w:t>
            </w:r>
          </w:p>
        </w:tc>
        <w:tc>
          <w:tcPr>
            <w:tcW w:w="6654" w:type="dxa"/>
            <w:gridSpan w:val="5"/>
            <w:tcBorders>
              <w:top w:val="single" w:color="auto" w:sz="4" w:space="0"/>
              <w:left w:val="single" w:color="auto" w:sz="4" w:space="0"/>
              <w:bottom w:val="single" w:color="auto" w:sz="4" w:space="0"/>
              <w:right w:val="single" w:color="auto" w:sz="8" w:space="0"/>
            </w:tcBorders>
            <w:noWrap w:val="0"/>
            <w:vAlign w:val="center"/>
          </w:tcPr>
          <w:p>
            <w:pPr>
              <w:spacing w:line="440" w:lineRule="exact"/>
              <w:rPr>
                <w:rFonts w:eastAsia="方正仿宋_GBK"/>
                <w:bCs/>
                <w:color w:val="000000"/>
                <w:spacing w:val="-2"/>
                <w:sz w:val="24"/>
              </w:rPr>
            </w:pPr>
            <w:r>
              <w:rPr>
                <w:rFonts w:hint="eastAsia" w:eastAsia="方正仿宋_GBK"/>
                <w:color w:val="000000"/>
                <w:spacing w:val="-2"/>
                <w:sz w:val="24"/>
              </w:rPr>
              <w:t>有</w:t>
            </w:r>
            <w:r>
              <w:rPr>
                <w:rFonts w:hint="eastAsia" w:ascii="Times New Roman" w:hAnsi="Times New Roman"/>
                <w:color w:val="000000"/>
                <w:spacing w:val="-2"/>
                <w:sz w:val="24"/>
              </w:rPr>
              <w:t>□</w:t>
            </w:r>
            <w:r>
              <w:rPr>
                <w:rFonts w:eastAsia="方正仿宋_GBK"/>
                <w:color w:val="000000"/>
                <w:spacing w:val="-2"/>
                <w:sz w:val="24"/>
              </w:rPr>
              <w:t>,</w:t>
            </w:r>
            <w:r>
              <w:rPr>
                <w:rFonts w:hint="eastAsia" w:eastAsia="方正仿宋_GBK"/>
                <w:color w:val="000000"/>
                <w:spacing w:val="-2"/>
                <w:sz w:val="24"/>
              </w:rPr>
              <w:t>抵押权人：</w:t>
            </w:r>
            <w:r>
              <w:rPr>
                <w:rFonts w:eastAsia="方正仿宋_GBK"/>
                <w:color w:val="000000"/>
                <w:spacing w:val="-2"/>
                <w:sz w:val="24"/>
              </w:rPr>
              <w:t xml:space="preserve">             </w:t>
            </w:r>
            <w:r>
              <w:rPr>
                <w:rFonts w:hint="eastAsia" w:eastAsia="方正仿宋_GBK"/>
                <w:color w:val="000000"/>
                <w:spacing w:val="-2"/>
                <w:sz w:val="24"/>
              </w:rPr>
              <w:t>，抵押期限：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5" w:hRule="atLeast"/>
        </w:trPr>
        <w:tc>
          <w:tcPr>
            <w:tcW w:w="452"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bCs/>
                <w:color w:val="000000"/>
                <w:spacing w:val="-2"/>
                <w:sz w:val="24"/>
              </w:rPr>
            </w:pPr>
          </w:p>
        </w:tc>
        <w:tc>
          <w:tcPr>
            <w:tcW w:w="167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bCs/>
                <w:color w:val="000000"/>
                <w:spacing w:val="-2"/>
                <w:sz w:val="24"/>
              </w:rPr>
            </w:pPr>
          </w:p>
        </w:tc>
        <w:tc>
          <w:tcPr>
            <w:tcW w:w="6654" w:type="dxa"/>
            <w:gridSpan w:val="5"/>
            <w:tcBorders>
              <w:top w:val="single" w:color="auto" w:sz="4" w:space="0"/>
              <w:left w:val="single" w:color="auto" w:sz="4" w:space="0"/>
              <w:bottom w:val="single" w:color="auto" w:sz="4" w:space="0"/>
              <w:right w:val="single" w:color="auto" w:sz="8" w:space="0"/>
            </w:tcBorders>
            <w:noWrap w:val="0"/>
            <w:vAlign w:val="center"/>
          </w:tcPr>
          <w:p>
            <w:pPr>
              <w:spacing w:line="440" w:lineRule="exact"/>
              <w:rPr>
                <w:rFonts w:eastAsia="方正仿宋_GBK"/>
                <w:color w:val="000000"/>
                <w:spacing w:val="-2"/>
                <w:sz w:val="24"/>
              </w:rPr>
            </w:pPr>
            <w:r>
              <w:rPr>
                <w:rFonts w:hint="eastAsia" w:eastAsia="方正仿宋_GBK"/>
                <w:color w:val="000000"/>
                <w:spacing w:val="-2"/>
                <w:sz w:val="24"/>
              </w:rPr>
              <w:t>无</w:t>
            </w:r>
            <w:r>
              <w:rPr>
                <w:rFonts w:hint="eastAsia" w:ascii="Times New Roman" w:hAnsi="Times New Roman"/>
                <w:color w:val="000000"/>
                <w:spacing w:val="-2"/>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2128" w:type="dxa"/>
            <w:gridSpan w:val="2"/>
            <w:tcBorders>
              <w:top w:val="single" w:color="auto" w:sz="4" w:space="0"/>
              <w:left w:val="single" w:color="auto" w:sz="8" w:space="0"/>
              <w:bottom w:val="single" w:color="auto" w:sz="4" w:space="0"/>
              <w:right w:val="single" w:color="auto" w:sz="4" w:space="0"/>
            </w:tcBorders>
            <w:noWrap w:val="0"/>
            <w:vAlign w:val="center"/>
          </w:tcPr>
          <w:p>
            <w:pPr>
              <w:spacing w:line="440" w:lineRule="exact"/>
              <w:jc w:val="center"/>
              <w:rPr>
                <w:rFonts w:eastAsia="方正仿宋_GBK"/>
                <w:bCs/>
                <w:color w:val="000000"/>
                <w:spacing w:val="-2"/>
                <w:sz w:val="24"/>
              </w:rPr>
            </w:pPr>
            <w:r>
              <w:rPr>
                <w:rFonts w:hint="eastAsia" w:eastAsia="方正仿宋_GBK"/>
                <w:bCs/>
                <w:color w:val="000000"/>
                <w:spacing w:val="-2"/>
                <w:sz w:val="24"/>
              </w:rPr>
              <w:t>建设工程规划</w:t>
            </w:r>
          </w:p>
          <w:p>
            <w:pPr>
              <w:spacing w:line="440" w:lineRule="exact"/>
              <w:jc w:val="center"/>
              <w:rPr>
                <w:rFonts w:eastAsia="方正仿宋_GBK"/>
                <w:bCs/>
                <w:color w:val="000000"/>
                <w:spacing w:val="-2"/>
                <w:sz w:val="24"/>
              </w:rPr>
            </w:pPr>
            <w:r>
              <w:rPr>
                <w:rFonts w:hint="eastAsia" w:eastAsia="方正仿宋_GBK"/>
                <w:bCs/>
                <w:color w:val="000000"/>
                <w:spacing w:val="-2"/>
                <w:sz w:val="24"/>
              </w:rPr>
              <w:t>许可证号</w:t>
            </w:r>
          </w:p>
        </w:tc>
        <w:tc>
          <w:tcPr>
            <w:tcW w:w="2279" w:type="dxa"/>
            <w:gridSpan w:val="2"/>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方正仿宋_GBK"/>
                <w:bCs/>
                <w:color w:val="000000"/>
                <w:spacing w:val="-2"/>
                <w:sz w:val="24"/>
              </w:rPr>
            </w:pPr>
          </w:p>
        </w:tc>
        <w:tc>
          <w:tcPr>
            <w:tcW w:w="211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方正仿宋_GBK"/>
                <w:bCs/>
                <w:color w:val="000000"/>
                <w:spacing w:val="-2"/>
                <w:sz w:val="24"/>
              </w:rPr>
            </w:pPr>
            <w:r>
              <w:rPr>
                <w:rFonts w:hint="eastAsia" w:eastAsia="方正仿宋_GBK"/>
                <w:color w:val="000000"/>
                <w:spacing w:val="-2"/>
                <w:sz w:val="24"/>
              </w:rPr>
              <w:t>规划批建面积</w:t>
            </w:r>
          </w:p>
        </w:tc>
        <w:tc>
          <w:tcPr>
            <w:tcW w:w="2256" w:type="dxa"/>
            <w:gridSpan w:val="2"/>
            <w:tcBorders>
              <w:top w:val="single" w:color="auto" w:sz="4" w:space="0"/>
              <w:left w:val="single" w:color="auto" w:sz="4" w:space="0"/>
              <w:bottom w:val="single" w:color="auto" w:sz="4" w:space="0"/>
              <w:right w:val="single" w:color="auto" w:sz="8" w:space="0"/>
            </w:tcBorders>
            <w:noWrap w:val="0"/>
            <w:vAlign w:val="center"/>
          </w:tcPr>
          <w:p>
            <w:pPr>
              <w:spacing w:line="440" w:lineRule="exact"/>
              <w:jc w:val="center"/>
              <w:rPr>
                <w:rFonts w:eastAsia="方正仿宋_GBK"/>
                <w:bCs/>
                <w:color w:val="000000"/>
                <w:spacing w:val="-2"/>
                <w:sz w:val="24"/>
              </w:rPr>
            </w:pPr>
            <w:r>
              <w:rPr>
                <w:rFonts w:eastAsia="方正仿宋_GBK"/>
                <w:color w:val="000000"/>
                <w:spacing w:val="-2"/>
                <w:sz w:val="24"/>
                <w:u w:val="single"/>
              </w:rPr>
              <w:t xml:space="preserve">                </w:t>
            </w:r>
            <w:r>
              <w:rPr>
                <w:rFonts w:hint="eastAsia" w:eastAsia="方正仿宋_GBK"/>
                <w:color w:val="000000"/>
                <w:spacing w:val="-2"/>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2128" w:type="dxa"/>
            <w:gridSpan w:val="2"/>
            <w:tcBorders>
              <w:top w:val="single" w:color="auto" w:sz="4" w:space="0"/>
              <w:left w:val="single" w:color="auto" w:sz="8" w:space="0"/>
              <w:bottom w:val="single" w:color="auto" w:sz="4" w:space="0"/>
              <w:right w:val="single" w:color="auto" w:sz="4" w:space="0"/>
            </w:tcBorders>
            <w:noWrap w:val="0"/>
            <w:vAlign w:val="center"/>
          </w:tcPr>
          <w:p>
            <w:pPr>
              <w:spacing w:line="440" w:lineRule="exact"/>
              <w:jc w:val="center"/>
              <w:rPr>
                <w:rFonts w:eastAsia="方正仿宋_GBK"/>
                <w:bCs/>
                <w:color w:val="000000"/>
                <w:spacing w:val="-2"/>
                <w:sz w:val="24"/>
              </w:rPr>
            </w:pPr>
            <w:r>
              <w:rPr>
                <w:rFonts w:hint="eastAsia" w:eastAsia="方正仿宋_GBK"/>
                <w:bCs/>
                <w:color w:val="000000"/>
                <w:spacing w:val="-2"/>
                <w:sz w:val="24"/>
              </w:rPr>
              <w:t>施工许可证号</w:t>
            </w:r>
          </w:p>
        </w:tc>
        <w:tc>
          <w:tcPr>
            <w:tcW w:w="2279" w:type="dxa"/>
            <w:gridSpan w:val="2"/>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方正仿宋_GBK"/>
                <w:bCs/>
                <w:color w:val="000000"/>
                <w:spacing w:val="-2"/>
                <w:sz w:val="24"/>
              </w:rPr>
            </w:pPr>
          </w:p>
        </w:tc>
        <w:tc>
          <w:tcPr>
            <w:tcW w:w="211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方正仿宋_GBK"/>
                <w:bCs/>
                <w:color w:val="000000"/>
                <w:spacing w:val="-2"/>
                <w:sz w:val="24"/>
              </w:rPr>
            </w:pPr>
            <w:r>
              <w:rPr>
                <w:rFonts w:hint="eastAsia" w:eastAsia="方正仿宋_GBK"/>
                <w:bCs/>
                <w:color w:val="000000"/>
                <w:spacing w:val="-2"/>
                <w:sz w:val="24"/>
              </w:rPr>
              <w:t>施工合同号</w:t>
            </w:r>
          </w:p>
        </w:tc>
        <w:tc>
          <w:tcPr>
            <w:tcW w:w="2256" w:type="dxa"/>
            <w:gridSpan w:val="2"/>
            <w:tcBorders>
              <w:top w:val="single" w:color="auto" w:sz="4" w:space="0"/>
              <w:left w:val="single" w:color="auto" w:sz="4" w:space="0"/>
              <w:bottom w:val="single" w:color="auto" w:sz="4" w:space="0"/>
              <w:right w:val="single" w:color="auto" w:sz="8" w:space="0"/>
            </w:tcBorders>
            <w:noWrap w:val="0"/>
            <w:vAlign w:val="center"/>
          </w:tcPr>
          <w:p>
            <w:pPr>
              <w:spacing w:line="440" w:lineRule="exact"/>
              <w:jc w:val="center"/>
              <w:rPr>
                <w:rFonts w:eastAsia="方正仿宋_GBK"/>
                <w:bCs/>
                <w:color w:val="000000"/>
                <w:spacing w:val="-2"/>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2128" w:type="dxa"/>
            <w:gridSpan w:val="2"/>
            <w:tcBorders>
              <w:top w:val="single" w:color="auto" w:sz="4" w:space="0"/>
              <w:left w:val="single" w:color="auto" w:sz="8" w:space="0"/>
              <w:bottom w:val="single" w:color="auto" w:sz="4" w:space="0"/>
              <w:right w:val="single" w:color="auto" w:sz="4" w:space="0"/>
            </w:tcBorders>
            <w:noWrap w:val="0"/>
            <w:vAlign w:val="center"/>
          </w:tcPr>
          <w:p>
            <w:pPr>
              <w:spacing w:line="440" w:lineRule="exact"/>
              <w:jc w:val="center"/>
              <w:rPr>
                <w:rFonts w:eastAsia="方正仿宋_GBK"/>
                <w:bCs/>
                <w:color w:val="000000"/>
                <w:spacing w:val="-2"/>
                <w:sz w:val="24"/>
              </w:rPr>
            </w:pPr>
            <w:r>
              <w:rPr>
                <w:rFonts w:hint="eastAsia" w:eastAsia="方正仿宋_GBK"/>
                <w:bCs/>
                <w:color w:val="000000"/>
                <w:spacing w:val="-2"/>
                <w:sz w:val="24"/>
              </w:rPr>
              <w:t>开工日期</w:t>
            </w:r>
          </w:p>
        </w:tc>
        <w:tc>
          <w:tcPr>
            <w:tcW w:w="2279" w:type="dxa"/>
            <w:gridSpan w:val="2"/>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方正仿宋_GBK"/>
                <w:bCs/>
                <w:color w:val="000000"/>
                <w:spacing w:val="-2"/>
                <w:sz w:val="24"/>
              </w:rPr>
            </w:pPr>
          </w:p>
        </w:tc>
        <w:tc>
          <w:tcPr>
            <w:tcW w:w="211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方正仿宋_GBK"/>
                <w:bCs/>
                <w:color w:val="000000"/>
                <w:spacing w:val="-2"/>
                <w:sz w:val="24"/>
              </w:rPr>
            </w:pPr>
            <w:r>
              <w:rPr>
                <w:rFonts w:hint="eastAsia" w:eastAsia="方正仿宋_GBK"/>
                <w:bCs/>
                <w:color w:val="000000"/>
                <w:spacing w:val="-2"/>
                <w:sz w:val="24"/>
              </w:rPr>
              <w:t>竣工日期</w:t>
            </w:r>
          </w:p>
        </w:tc>
        <w:tc>
          <w:tcPr>
            <w:tcW w:w="2256" w:type="dxa"/>
            <w:gridSpan w:val="2"/>
            <w:tcBorders>
              <w:top w:val="single" w:color="auto" w:sz="4" w:space="0"/>
              <w:left w:val="single" w:color="auto" w:sz="4" w:space="0"/>
              <w:bottom w:val="single" w:color="auto" w:sz="4" w:space="0"/>
              <w:right w:val="single" w:color="auto" w:sz="8" w:space="0"/>
            </w:tcBorders>
            <w:noWrap w:val="0"/>
            <w:vAlign w:val="center"/>
          </w:tcPr>
          <w:p>
            <w:pPr>
              <w:spacing w:line="440" w:lineRule="exact"/>
              <w:jc w:val="center"/>
              <w:rPr>
                <w:rFonts w:eastAsia="方正仿宋_GBK"/>
                <w:bCs/>
                <w:color w:val="000000"/>
                <w:spacing w:val="-2"/>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2128" w:type="dxa"/>
            <w:gridSpan w:val="2"/>
            <w:tcBorders>
              <w:top w:val="single" w:color="auto" w:sz="4" w:space="0"/>
              <w:left w:val="single" w:color="auto" w:sz="8" w:space="0"/>
              <w:bottom w:val="single" w:color="auto" w:sz="4" w:space="0"/>
              <w:right w:val="single" w:color="auto" w:sz="4" w:space="0"/>
            </w:tcBorders>
            <w:noWrap w:val="0"/>
            <w:vAlign w:val="center"/>
          </w:tcPr>
          <w:p>
            <w:pPr>
              <w:spacing w:line="440" w:lineRule="exact"/>
              <w:jc w:val="center"/>
              <w:rPr>
                <w:rFonts w:eastAsia="方正仿宋_GBK"/>
                <w:bCs/>
                <w:color w:val="000000"/>
                <w:spacing w:val="-2"/>
                <w:sz w:val="24"/>
              </w:rPr>
            </w:pPr>
            <w:r>
              <w:rPr>
                <w:rFonts w:hint="eastAsia" w:eastAsia="方正仿宋_GBK"/>
                <w:color w:val="000000"/>
                <w:spacing w:val="-2"/>
                <w:sz w:val="24"/>
              </w:rPr>
              <w:t>保留用房面积（㎡）</w:t>
            </w:r>
          </w:p>
        </w:tc>
        <w:tc>
          <w:tcPr>
            <w:tcW w:w="6654" w:type="dxa"/>
            <w:gridSpan w:val="5"/>
            <w:tcBorders>
              <w:top w:val="single" w:color="auto" w:sz="4" w:space="0"/>
              <w:left w:val="single" w:color="auto" w:sz="4" w:space="0"/>
              <w:bottom w:val="single" w:color="auto" w:sz="4" w:space="0"/>
              <w:right w:val="single" w:color="auto" w:sz="8" w:space="0"/>
            </w:tcBorders>
            <w:noWrap w:val="0"/>
            <w:vAlign w:val="center"/>
          </w:tcPr>
          <w:p>
            <w:pPr>
              <w:spacing w:line="440" w:lineRule="exact"/>
              <w:jc w:val="center"/>
              <w:rPr>
                <w:rFonts w:eastAsia="方正仿宋_GBK"/>
                <w:bCs/>
                <w:color w:val="000000"/>
                <w:spacing w:val="-2"/>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70" w:hRule="atLeast"/>
        </w:trPr>
        <w:tc>
          <w:tcPr>
            <w:tcW w:w="2128" w:type="dxa"/>
            <w:gridSpan w:val="2"/>
            <w:tcBorders>
              <w:top w:val="single" w:color="auto" w:sz="4" w:space="0"/>
              <w:left w:val="single" w:color="auto" w:sz="8" w:space="0"/>
              <w:bottom w:val="single" w:color="auto" w:sz="4" w:space="0"/>
              <w:right w:val="single" w:color="auto" w:sz="4" w:space="0"/>
            </w:tcBorders>
            <w:noWrap w:val="0"/>
            <w:vAlign w:val="center"/>
          </w:tcPr>
          <w:p>
            <w:pPr>
              <w:spacing w:line="440" w:lineRule="exact"/>
              <w:rPr>
                <w:rFonts w:eastAsia="方正仿宋_GBK"/>
                <w:color w:val="000000"/>
                <w:spacing w:val="-2"/>
                <w:sz w:val="24"/>
              </w:rPr>
            </w:pPr>
            <w:r>
              <w:rPr>
                <w:rFonts w:hint="eastAsia" w:eastAsia="方正仿宋_GBK"/>
                <w:color w:val="000000"/>
                <w:spacing w:val="-2"/>
                <w:sz w:val="24"/>
              </w:rPr>
              <w:t>公建配套的具体部位及面积</w:t>
            </w:r>
          </w:p>
        </w:tc>
        <w:tc>
          <w:tcPr>
            <w:tcW w:w="6654" w:type="dxa"/>
            <w:gridSpan w:val="5"/>
            <w:tcBorders>
              <w:top w:val="single" w:color="auto" w:sz="4" w:space="0"/>
              <w:left w:val="single" w:color="auto" w:sz="4" w:space="0"/>
              <w:bottom w:val="single" w:color="auto" w:sz="4" w:space="0"/>
              <w:right w:val="single" w:color="auto" w:sz="8" w:space="0"/>
            </w:tcBorders>
            <w:noWrap w:val="0"/>
            <w:vAlign w:val="center"/>
          </w:tcPr>
          <w:p>
            <w:pPr>
              <w:spacing w:line="440" w:lineRule="exact"/>
              <w:rPr>
                <w:rFonts w:eastAsia="方正仿宋_GBK"/>
                <w:color w:val="000000"/>
                <w:spacing w:val="-2"/>
                <w:sz w:val="24"/>
              </w:rPr>
            </w:pPr>
          </w:p>
          <w:p>
            <w:pPr>
              <w:spacing w:line="440" w:lineRule="exact"/>
              <w:rPr>
                <w:rFonts w:eastAsia="方正仿宋_GBK"/>
                <w:color w:val="000000"/>
                <w:spacing w:val="-2"/>
                <w:sz w:val="24"/>
              </w:rPr>
            </w:pPr>
          </w:p>
          <w:p>
            <w:pPr>
              <w:spacing w:line="440" w:lineRule="exact"/>
              <w:rPr>
                <w:rFonts w:eastAsia="方正仿宋_GBK"/>
                <w:color w:val="000000"/>
                <w:spacing w:val="-2"/>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7" w:hRule="atLeast"/>
        </w:trPr>
        <w:tc>
          <w:tcPr>
            <w:tcW w:w="2128" w:type="dxa"/>
            <w:gridSpan w:val="2"/>
            <w:tcBorders>
              <w:top w:val="single" w:color="auto" w:sz="4" w:space="0"/>
              <w:left w:val="single" w:color="auto" w:sz="8" w:space="0"/>
              <w:bottom w:val="single" w:color="auto" w:sz="4" w:space="0"/>
              <w:right w:val="single" w:color="auto" w:sz="4" w:space="0"/>
            </w:tcBorders>
            <w:noWrap w:val="0"/>
            <w:vAlign w:val="center"/>
          </w:tcPr>
          <w:p>
            <w:pPr>
              <w:spacing w:line="440" w:lineRule="exact"/>
              <w:jc w:val="center"/>
              <w:rPr>
                <w:rFonts w:eastAsia="方正仿宋_GBK"/>
                <w:color w:val="000000"/>
                <w:spacing w:val="-2"/>
                <w:sz w:val="24"/>
              </w:rPr>
            </w:pPr>
            <w:r>
              <w:rPr>
                <w:rFonts w:hint="eastAsia" w:eastAsia="方正仿宋_GBK"/>
                <w:color w:val="000000"/>
                <w:spacing w:val="-2"/>
                <w:sz w:val="24"/>
              </w:rPr>
              <w:t>房屋结构</w:t>
            </w:r>
          </w:p>
        </w:tc>
        <w:tc>
          <w:tcPr>
            <w:tcW w:w="6654" w:type="dxa"/>
            <w:gridSpan w:val="5"/>
            <w:tcBorders>
              <w:top w:val="single" w:color="auto" w:sz="4" w:space="0"/>
              <w:left w:val="single" w:color="auto" w:sz="4" w:space="0"/>
              <w:bottom w:val="single" w:color="auto" w:sz="4" w:space="0"/>
              <w:right w:val="single" w:color="auto" w:sz="8" w:space="0"/>
            </w:tcBorders>
            <w:noWrap w:val="0"/>
            <w:vAlign w:val="center"/>
          </w:tcPr>
          <w:p>
            <w:pPr>
              <w:spacing w:line="440" w:lineRule="exact"/>
              <w:rPr>
                <w:rFonts w:eastAsia="方正仿宋_GBK"/>
                <w:color w:val="000000"/>
                <w:spacing w:val="-2"/>
                <w:sz w:val="24"/>
              </w:rPr>
            </w:pPr>
            <w:r>
              <w:rPr>
                <w:rFonts w:hint="eastAsia" w:eastAsia="方正仿宋_GBK"/>
                <w:color w:val="000000"/>
                <w:spacing w:val="-2"/>
                <w:sz w:val="24"/>
              </w:rPr>
              <w:t>依据施工许可证填写：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86" w:hRule="atLeast"/>
        </w:trPr>
        <w:tc>
          <w:tcPr>
            <w:tcW w:w="2128" w:type="dxa"/>
            <w:gridSpan w:val="2"/>
            <w:tcBorders>
              <w:top w:val="single" w:color="auto" w:sz="4" w:space="0"/>
              <w:left w:val="single" w:color="auto" w:sz="8" w:space="0"/>
              <w:bottom w:val="single" w:color="auto" w:sz="4" w:space="0"/>
              <w:right w:val="single" w:color="auto" w:sz="4" w:space="0"/>
            </w:tcBorders>
            <w:noWrap w:val="0"/>
            <w:vAlign w:val="center"/>
          </w:tcPr>
          <w:p>
            <w:pPr>
              <w:spacing w:line="440" w:lineRule="exact"/>
              <w:jc w:val="center"/>
              <w:rPr>
                <w:rFonts w:eastAsia="方正仿宋_GBK"/>
                <w:color w:val="000000"/>
                <w:spacing w:val="-2"/>
                <w:sz w:val="24"/>
              </w:rPr>
            </w:pPr>
            <w:r>
              <w:rPr>
                <w:rFonts w:hint="eastAsia" w:eastAsia="方正仿宋_GBK"/>
                <w:color w:val="000000"/>
                <w:spacing w:val="-2"/>
                <w:sz w:val="24"/>
              </w:rPr>
              <w:t>房屋统计</w:t>
            </w:r>
          </w:p>
        </w:tc>
        <w:tc>
          <w:tcPr>
            <w:tcW w:w="6654" w:type="dxa"/>
            <w:gridSpan w:val="5"/>
            <w:tcBorders>
              <w:top w:val="single" w:color="auto" w:sz="4" w:space="0"/>
              <w:left w:val="single" w:color="auto" w:sz="4" w:space="0"/>
              <w:bottom w:val="single" w:color="auto" w:sz="4" w:space="0"/>
              <w:right w:val="single" w:color="auto" w:sz="8" w:space="0"/>
            </w:tcBorders>
            <w:noWrap w:val="0"/>
            <w:vAlign w:val="center"/>
          </w:tcPr>
          <w:p>
            <w:pPr>
              <w:spacing w:line="440" w:lineRule="exact"/>
              <w:rPr>
                <w:rFonts w:eastAsia="方正仿宋_GBK"/>
                <w:color w:val="000000"/>
                <w:spacing w:val="-2"/>
                <w:sz w:val="24"/>
              </w:rPr>
            </w:pPr>
            <w:r>
              <w:rPr>
                <w:rFonts w:hint="eastAsia" w:eastAsia="方正仿宋_GBK"/>
                <w:color w:val="000000"/>
                <w:spacing w:val="-2"/>
                <w:sz w:val="24"/>
              </w:rPr>
              <w:t>（一）住宅共计</w:t>
            </w:r>
            <w:r>
              <w:rPr>
                <w:rFonts w:eastAsia="方正仿宋_GBK"/>
                <w:color w:val="000000"/>
                <w:spacing w:val="-2"/>
                <w:sz w:val="24"/>
                <w:u w:val="single"/>
              </w:rPr>
              <w:t xml:space="preserve">     </w:t>
            </w:r>
            <w:r>
              <w:rPr>
                <w:rFonts w:hint="eastAsia" w:eastAsia="方正仿宋_GBK"/>
                <w:color w:val="000000"/>
                <w:spacing w:val="-2"/>
                <w:sz w:val="24"/>
              </w:rPr>
              <w:t>套，其中：</w:t>
            </w:r>
          </w:p>
          <w:p>
            <w:pPr>
              <w:spacing w:line="440" w:lineRule="exact"/>
              <w:rPr>
                <w:rFonts w:eastAsia="方正仿宋_GBK"/>
                <w:color w:val="000000"/>
                <w:spacing w:val="-2"/>
                <w:sz w:val="24"/>
              </w:rPr>
            </w:pPr>
            <w:r>
              <w:rPr>
                <w:rFonts w:eastAsia="方正仿宋_GBK"/>
                <w:color w:val="000000"/>
                <w:spacing w:val="-2"/>
                <w:sz w:val="24"/>
              </w:rPr>
              <w:t>60</w:t>
            </w:r>
            <w:r>
              <w:rPr>
                <w:rFonts w:hint="eastAsia" w:eastAsia="方正仿宋_GBK"/>
                <w:color w:val="000000"/>
                <w:spacing w:val="-2"/>
                <w:sz w:val="24"/>
              </w:rPr>
              <w:t>㎡以下</w:t>
            </w:r>
            <w:r>
              <w:rPr>
                <w:rFonts w:eastAsia="方正仿宋_GBK"/>
                <w:color w:val="000000"/>
                <w:spacing w:val="-2"/>
                <w:sz w:val="24"/>
                <w:u w:val="single"/>
              </w:rPr>
              <w:t xml:space="preserve">      </w:t>
            </w:r>
            <w:r>
              <w:rPr>
                <w:rFonts w:hint="eastAsia" w:eastAsia="方正仿宋_GBK"/>
                <w:color w:val="000000"/>
                <w:spacing w:val="-2"/>
                <w:sz w:val="24"/>
              </w:rPr>
              <w:t>套</w:t>
            </w:r>
            <w:r>
              <w:rPr>
                <w:rFonts w:eastAsia="方正仿宋_GBK"/>
                <w:color w:val="000000"/>
                <w:spacing w:val="-2"/>
                <w:sz w:val="24"/>
              </w:rPr>
              <w:t xml:space="preserve"> </w:t>
            </w:r>
            <w:r>
              <w:rPr>
                <w:rFonts w:hint="eastAsia" w:eastAsia="方正仿宋_GBK"/>
                <w:color w:val="000000"/>
                <w:spacing w:val="-2"/>
                <w:sz w:val="24"/>
              </w:rPr>
              <w:t>；</w:t>
            </w:r>
            <w:r>
              <w:rPr>
                <w:rFonts w:eastAsia="方正仿宋_GBK"/>
                <w:color w:val="000000"/>
                <w:spacing w:val="-2"/>
                <w:sz w:val="24"/>
              </w:rPr>
              <w:t>60</w:t>
            </w:r>
            <w:r>
              <w:rPr>
                <w:rFonts w:hint="eastAsia" w:eastAsia="方正仿宋_GBK"/>
                <w:color w:val="000000"/>
                <w:spacing w:val="-2"/>
                <w:sz w:val="24"/>
              </w:rPr>
              <w:t>㎡～</w:t>
            </w:r>
            <w:r>
              <w:rPr>
                <w:rFonts w:eastAsia="方正仿宋_GBK"/>
                <w:color w:val="000000"/>
                <w:spacing w:val="-2"/>
                <w:sz w:val="24"/>
              </w:rPr>
              <w:t>90</w:t>
            </w:r>
            <w:r>
              <w:rPr>
                <w:rFonts w:hint="eastAsia" w:eastAsia="方正仿宋_GBK"/>
                <w:color w:val="000000"/>
                <w:spacing w:val="-2"/>
                <w:sz w:val="24"/>
              </w:rPr>
              <w:t>㎡</w:t>
            </w:r>
            <w:r>
              <w:rPr>
                <w:rFonts w:eastAsia="方正仿宋_GBK"/>
                <w:color w:val="000000"/>
                <w:spacing w:val="-2"/>
                <w:sz w:val="24"/>
                <w:u w:val="single"/>
              </w:rPr>
              <w:t xml:space="preserve">      </w:t>
            </w:r>
            <w:r>
              <w:rPr>
                <w:rFonts w:hint="eastAsia" w:eastAsia="方正仿宋_GBK"/>
                <w:color w:val="000000"/>
                <w:spacing w:val="-2"/>
                <w:sz w:val="24"/>
              </w:rPr>
              <w:t>套；</w:t>
            </w:r>
            <w:r>
              <w:rPr>
                <w:rFonts w:eastAsia="方正仿宋_GBK"/>
                <w:color w:val="000000"/>
                <w:spacing w:val="-2"/>
                <w:sz w:val="24"/>
              </w:rPr>
              <w:t>90</w:t>
            </w:r>
            <w:r>
              <w:rPr>
                <w:rFonts w:hint="eastAsia" w:eastAsia="方正仿宋_GBK"/>
                <w:color w:val="000000"/>
                <w:spacing w:val="-2"/>
                <w:sz w:val="24"/>
              </w:rPr>
              <w:t>㎡～</w:t>
            </w:r>
            <w:r>
              <w:rPr>
                <w:rFonts w:eastAsia="方正仿宋_GBK"/>
                <w:color w:val="000000"/>
                <w:spacing w:val="-2"/>
                <w:sz w:val="24"/>
              </w:rPr>
              <w:t>120</w:t>
            </w:r>
            <w:r>
              <w:rPr>
                <w:rFonts w:hint="eastAsia" w:eastAsia="方正仿宋_GBK"/>
                <w:color w:val="000000"/>
                <w:spacing w:val="-2"/>
                <w:sz w:val="24"/>
              </w:rPr>
              <w:t>㎡</w:t>
            </w:r>
            <w:r>
              <w:rPr>
                <w:rFonts w:eastAsia="方正仿宋_GBK"/>
                <w:color w:val="000000"/>
                <w:spacing w:val="-2"/>
                <w:sz w:val="24"/>
                <w:u w:val="single"/>
              </w:rPr>
              <w:t xml:space="preserve">     </w:t>
            </w:r>
            <w:r>
              <w:rPr>
                <w:rFonts w:hint="eastAsia" w:eastAsia="方正仿宋_GBK"/>
                <w:color w:val="000000"/>
                <w:spacing w:val="-2"/>
                <w:sz w:val="24"/>
              </w:rPr>
              <w:t>套；</w:t>
            </w:r>
            <w:r>
              <w:rPr>
                <w:rFonts w:eastAsia="方正仿宋_GBK"/>
                <w:color w:val="000000"/>
                <w:spacing w:val="-2"/>
                <w:sz w:val="24"/>
              </w:rPr>
              <w:t xml:space="preserve">    120</w:t>
            </w:r>
            <w:r>
              <w:rPr>
                <w:rFonts w:hint="eastAsia" w:eastAsia="方正仿宋_GBK"/>
                <w:color w:val="000000"/>
                <w:spacing w:val="-2"/>
                <w:sz w:val="24"/>
              </w:rPr>
              <w:t>㎡～</w:t>
            </w:r>
            <w:r>
              <w:rPr>
                <w:rFonts w:eastAsia="方正仿宋_GBK"/>
                <w:color w:val="000000"/>
                <w:spacing w:val="-2"/>
                <w:sz w:val="24"/>
              </w:rPr>
              <w:t>144</w:t>
            </w:r>
            <w:r>
              <w:rPr>
                <w:rFonts w:hint="eastAsia" w:eastAsia="方正仿宋_GBK"/>
                <w:color w:val="000000"/>
                <w:spacing w:val="-2"/>
                <w:sz w:val="24"/>
              </w:rPr>
              <w:t>㎡</w:t>
            </w:r>
            <w:r>
              <w:rPr>
                <w:rFonts w:eastAsia="方正仿宋_GBK"/>
                <w:color w:val="000000"/>
                <w:spacing w:val="-2"/>
                <w:sz w:val="24"/>
                <w:u w:val="single"/>
              </w:rPr>
              <w:t xml:space="preserve">      </w:t>
            </w:r>
            <w:r>
              <w:rPr>
                <w:rFonts w:hint="eastAsia" w:eastAsia="方正仿宋_GBK"/>
                <w:color w:val="000000"/>
                <w:spacing w:val="-2"/>
                <w:sz w:val="24"/>
              </w:rPr>
              <w:t>套；</w:t>
            </w:r>
            <w:r>
              <w:rPr>
                <w:rFonts w:eastAsia="方正仿宋_GBK"/>
                <w:color w:val="000000"/>
                <w:spacing w:val="-2"/>
                <w:sz w:val="24"/>
              </w:rPr>
              <w:t>144</w:t>
            </w:r>
            <w:r>
              <w:rPr>
                <w:rFonts w:hint="eastAsia" w:eastAsia="方正仿宋_GBK"/>
                <w:color w:val="000000"/>
                <w:spacing w:val="-2"/>
                <w:sz w:val="24"/>
              </w:rPr>
              <w:t>㎡以上</w:t>
            </w:r>
            <w:r>
              <w:rPr>
                <w:rFonts w:eastAsia="方正仿宋_GBK"/>
                <w:color w:val="000000"/>
                <w:spacing w:val="-2"/>
                <w:sz w:val="24"/>
                <w:u w:val="single"/>
              </w:rPr>
              <w:t xml:space="preserve">      </w:t>
            </w:r>
            <w:r>
              <w:rPr>
                <w:rFonts w:hint="eastAsia" w:eastAsia="方正仿宋_GBK"/>
                <w:color w:val="000000"/>
                <w:spacing w:val="-2"/>
                <w:sz w:val="24"/>
              </w:rPr>
              <w:t>套。</w:t>
            </w:r>
          </w:p>
          <w:p>
            <w:pPr>
              <w:spacing w:line="440" w:lineRule="exact"/>
              <w:rPr>
                <w:rFonts w:eastAsia="方正仿宋_GBK"/>
                <w:color w:val="000000"/>
                <w:spacing w:val="-2"/>
                <w:sz w:val="24"/>
              </w:rPr>
            </w:pPr>
            <w:r>
              <w:rPr>
                <w:rFonts w:hint="eastAsia" w:eastAsia="方正仿宋_GBK"/>
                <w:color w:val="000000"/>
                <w:spacing w:val="-2"/>
                <w:sz w:val="24"/>
              </w:rPr>
              <w:t>（二）其它共计</w:t>
            </w:r>
            <w:r>
              <w:rPr>
                <w:rFonts w:eastAsia="方正仿宋_GBK"/>
                <w:color w:val="000000"/>
                <w:spacing w:val="-2"/>
                <w:sz w:val="24"/>
                <w:u w:val="single"/>
              </w:rPr>
              <w:t xml:space="preserve">     </w:t>
            </w:r>
            <w:r>
              <w:rPr>
                <w:rFonts w:hint="eastAsia" w:eastAsia="方正仿宋_GBK"/>
                <w:color w:val="000000"/>
                <w:spacing w:val="-2"/>
                <w:sz w:val="24"/>
              </w:rPr>
              <w:t>（间或个），其中：</w:t>
            </w:r>
          </w:p>
          <w:p>
            <w:pPr>
              <w:spacing w:line="440" w:lineRule="exact"/>
              <w:rPr>
                <w:rFonts w:eastAsia="方正仿宋_GBK"/>
                <w:color w:val="000000"/>
                <w:spacing w:val="-2"/>
                <w:sz w:val="24"/>
              </w:rPr>
            </w:pPr>
            <w:r>
              <w:rPr>
                <w:rFonts w:hint="eastAsia" w:eastAsia="方正仿宋_GBK"/>
                <w:color w:val="000000"/>
                <w:spacing w:val="-2"/>
                <w:sz w:val="24"/>
              </w:rPr>
              <w:t>商业</w:t>
            </w:r>
            <w:r>
              <w:rPr>
                <w:rFonts w:eastAsia="方正仿宋_GBK"/>
                <w:color w:val="000000"/>
                <w:spacing w:val="-2"/>
                <w:sz w:val="24"/>
                <w:u w:val="single"/>
              </w:rPr>
              <w:t xml:space="preserve">      </w:t>
            </w:r>
            <w:r>
              <w:rPr>
                <w:rFonts w:hint="eastAsia" w:eastAsia="方正仿宋_GBK"/>
                <w:color w:val="000000"/>
                <w:spacing w:val="-2"/>
                <w:sz w:val="24"/>
              </w:rPr>
              <w:t>间</w:t>
            </w:r>
            <w:r>
              <w:rPr>
                <w:rFonts w:eastAsia="方正仿宋_GBK"/>
                <w:color w:val="000000"/>
                <w:spacing w:val="-2"/>
                <w:sz w:val="24"/>
              </w:rPr>
              <w:t xml:space="preserve"> </w:t>
            </w:r>
            <w:r>
              <w:rPr>
                <w:rFonts w:hint="eastAsia" w:eastAsia="方正仿宋_GBK"/>
                <w:color w:val="000000"/>
                <w:spacing w:val="-2"/>
                <w:sz w:val="24"/>
              </w:rPr>
              <w:t>；办公</w:t>
            </w:r>
            <w:r>
              <w:rPr>
                <w:rFonts w:eastAsia="方正仿宋_GBK"/>
                <w:color w:val="000000"/>
                <w:spacing w:val="-2"/>
                <w:sz w:val="24"/>
                <w:u w:val="single"/>
              </w:rPr>
              <w:t xml:space="preserve">      </w:t>
            </w:r>
            <w:r>
              <w:rPr>
                <w:rFonts w:hint="eastAsia" w:eastAsia="方正仿宋_GBK"/>
                <w:color w:val="000000"/>
                <w:spacing w:val="-2"/>
                <w:sz w:val="24"/>
              </w:rPr>
              <w:t>间</w:t>
            </w:r>
            <w:r>
              <w:rPr>
                <w:rFonts w:eastAsia="方正仿宋_GBK"/>
                <w:color w:val="000000"/>
                <w:spacing w:val="-2"/>
                <w:sz w:val="24"/>
              </w:rPr>
              <w:t xml:space="preserve"> </w:t>
            </w:r>
            <w:r>
              <w:rPr>
                <w:rFonts w:hint="eastAsia" w:eastAsia="方正仿宋_GBK"/>
                <w:color w:val="000000"/>
                <w:spacing w:val="-2"/>
                <w:sz w:val="24"/>
              </w:rPr>
              <w:t>；</w:t>
            </w:r>
            <w:r>
              <w:rPr>
                <w:rFonts w:eastAsia="方正仿宋_GBK"/>
                <w:color w:val="000000"/>
                <w:spacing w:val="-2"/>
                <w:sz w:val="24"/>
              </w:rPr>
              <w:t xml:space="preserve"> </w:t>
            </w:r>
            <w:r>
              <w:rPr>
                <w:rFonts w:hint="eastAsia" w:eastAsia="方正仿宋_GBK"/>
                <w:color w:val="000000"/>
                <w:spacing w:val="-2"/>
                <w:sz w:val="24"/>
              </w:rPr>
              <w:t>车（库、位）</w:t>
            </w:r>
            <w:r>
              <w:rPr>
                <w:rFonts w:eastAsia="方正仿宋_GBK"/>
                <w:color w:val="000000"/>
                <w:spacing w:val="-2"/>
                <w:sz w:val="24"/>
                <w:u w:val="single"/>
              </w:rPr>
              <w:t xml:space="preserve">      </w:t>
            </w:r>
            <w:r>
              <w:rPr>
                <w:rFonts w:hint="eastAsia" w:eastAsia="方正仿宋_GBK"/>
                <w:color w:val="000000"/>
                <w:spacing w:val="-2"/>
                <w:sz w:val="24"/>
              </w:rPr>
              <w:t>个；</w:t>
            </w:r>
          </w:p>
          <w:p>
            <w:pPr>
              <w:spacing w:line="440" w:lineRule="exact"/>
              <w:rPr>
                <w:rFonts w:eastAsia="方正仿宋_GBK"/>
                <w:color w:val="000000"/>
                <w:spacing w:val="-2"/>
                <w:sz w:val="24"/>
              </w:rPr>
            </w:pPr>
            <w:r>
              <w:rPr>
                <w:rFonts w:hint="eastAsia" w:eastAsia="方正仿宋_GBK"/>
                <w:color w:val="000000"/>
                <w:spacing w:val="-2"/>
                <w:sz w:val="24"/>
              </w:rPr>
              <w:t>物业服务用房</w:t>
            </w:r>
            <w:r>
              <w:rPr>
                <w:rFonts w:eastAsia="方正仿宋_GBK"/>
                <w:color w:val="000000"/>
                <w:spacing w:val="-2"/>
                <w:sz w:val="24"/>
                <w:u w:val="single"/>
              </w:rPr>
              <w:t xml:space="preserve">      </w:t>
            </w:r>
            <w:r>
              <w:rPr>
                <w:rFonts w:hint="eastAsia" w:eastAsia="方正仿宋_GBK"/>
                <w:color w:val="000000"/>
                <w:spacing w:val="-2"/>
                <w:sz w:val="24"/>
              </w:rPr>
              <w:t>间</w:t>
            </w:r>
            <w:r>
              <w:rPr>
                <w:rFonts w:eastAsia="方正仿宋_GBK"/>
                <w:color w:val="000000"/>
                <w:spacing w:val="-2"/>
                <w:sz w:val="24"/>
              </w:rPr>
              <w:t xml:space="preserve"> </w:t>
            </w:r>
            <w:r>
              <w:rPr>
                <w:rFonts w:hint="eastAsia" w:eastAsia="方正仿宋_GBK"/>
                <w:color w:val="000000"/>
                <w:spacing w:val="-2"/>
                <w:sz w:val="24"/>
              </w:rPr>
              <w:t>；设备用房</w:t>
            </w:r>
            <w:r>
              <w:rPr>
                <w:rFonts w:eastAsia="方正仿宋_GBK"/>
                <w:color w:val="000000"/>
                <w:spacing w:val="-2"/>
                <w:sz w:val="24"/>
                <w:u w:val="single"/>
              </w:rPr>
              <w:t xml:space="preserve">       </w:t>
            </w:r>
            <w:r>
              <w:rPr>
                <w:rFonts w:hint="eastAsia" w:eastAsia="方正仿宋_GBK"/>
                <w:color w:val="000000"/>
                <w:spacing w:val="-2"/>
                <w:sz w:val="24"/>
              </w:rPr>
              <w:t>间</w:t>
            </w:r>
            <w:r>
              <w:rPr>
                <w:rFonts w:eastAsia="方正仿宋_GBK"/>
                <w:color w:val="000000"/>
                <w:spacing w:val="-2"/>
                <w:sz w:val="24"/>
              </w:rPr>
              <w:t xml:space="preserve"> </w:t>
            </w:r>
            <w:r>
              <w:rPr>
                <w:rFonts w:hint="eastAsia" w:eastAsia="方正仿宋_GBK"/>
                <w:color w:val="000000"/>
                <w:spacing w:val="-2"/>
                <w:sz w:val="24"/>
              </w:rPr>
              <w:t>；社区用房</w:t>
            </w:r>
            <w:r>
              <w:rPr>
                <w:rFonts w:eastAsia="方正仿宋_GBK"/>
                <w:color w:val="000000"/>
                <w:spacing w:val="-2"/>
                <w:sz w:val="24"/>
                <w:u w:val="single"/>
              </w:rPr>
              <w:t xml:space="preserve">       </w:t>
            </w:r>
            <w:r>
              <w:rPr>
                <w:rFonts w:hint="eastAsia" w:eastAsia="方正仿宋_GBK"/>
                <w:color w:val="000000"/>
                <w:spacing w:val="-2"/>
                <w:sz w:val="24"/>
              </w:rPr>
              <w:t>间；其它（</w:t>
            </w:r>
            <w:r>
              <w:rPr>
                <w:rFonts w:eastAsia="方正仿宋_GBK"/>
                <w:color w:val="000000"/>
                <w:spacing w:val="-2"/>
                <w:sz w:val="24"/>
              </w:rPr>
              <w:t xml:space="preserve">                 </w:t>
            </w:r>
            <w:r>
              <w:rPr>
                <w:rFonts w:hint="eastAsia" w:eastAsia="方正仿宋_GBK"/>
                <w:color w:val="000000"/>
                <w:spacing w:val="-2"/>
                <w:sz w:val="24"/>
              </w:rPr>
              <w:t>）</w:t>
            </w:r>
            <w:r>
              <w:rPr>
                <w:rFonts w:eastAsia="方正仿宋_GBK"/>
                <w:color w:val="000000"/>
                <w:spacing w:val="-2"/>
                <w:sz w:val="24"/>
                <w:u w:val="single"/>
              </w:rPr>
              <w:t xml:space="preserve">      </w:t>
            </w:r>
            <w:r>
              <w:rPr>
                <w:rFonts w:hint="eastAsia" w:eastAsia="方正仿宋_GBK"/>
                <w:color w:val="000000"/>
                <w:spacing w:val="-2"/>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3" w:hRule="atLeast"/>
        </w:trPr>
        <w:tc>
          <w:tcPr>
            <w:tcW w:w="2128" w:type="dxa"/>
            <w:gridSpan w:val="2"/>
            <w:tcBorders>
              <w:top w:val="single" w:color="auto" w:sz="4" w:space="0"/>
              <w:left w:val="single" w:color="auto" w:sz="8" w:space="0"/>
              <w:bottom w:val="single" w:color="auto" w:sz="4" w:space="0"/>
              <w:right w:val="single" w:color="auto" w:sz="4" w:space="0"/>
            </w:tcBorders>
            <w:noWrap w:val="0"/>
            <w:vAlign w:val="center"/>
          </w:tcPr>
          <w:p>
            <w:pPr>
              <w:spacing w:line="440" w:lineRule="exact"/>
              <w:jc w:val="center"/>
              <w:rPr>
                <w:rFonts w:eastAsia="方正仿宋_GBK"/>
                <w:color w:val="000000"/>
                <w:spacing w:val="-2"/>
                <w:sz w:val="24"/>
              </w:rPr>
            </w:pPr>
            <w:r>
              <w:rPr>
                <w:rFonts w:hint="eastAsia" w:eastAsia="方正仿宋_GBK"/>
                <w:color w:val="000000"/>
                <w:spacing w:val="-2"/>
                <w:sz w:val="24"/>
              </w:rPr>
              <w:t>已完成建筑面积</w:t>
            </w:r>
          </w:p>
        </w:tc>
        <w:tc>
          <w:tcPr>
            <w:tcW w:w="1956"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方正仿宋_GBK"/>
                <w:color w:val="000000"/>
                <w:spacing w:val="-2"/>
                <w:sz w:val="24"/>
              </w:rPr>
            </w:pPr>
            <w:r>
              <w:rPr>
                <w:rFonts w:eastAsia="方正仿宋_GBK"/>
                <w:color w:val="000000"/>
                <w:spacing w:val="-2"/>
                <w:sz w:val="24"/>
              </w:rPr>
              <w:t xml:space="preserve">            </w:t>
            </w:r>
            <w:r>
              <w:rPr>
                <w:rFonts w:hint="eastAsia" w:eastAsia="方正仿宋_GBK"/>
                <w:color w:val="000000"/>
                <w:spacing w:val="-2"/>
                <w:sz w:val="24"/>
              </w:rPr>
              <w:t>㎡</w:t>
            </w:r>
          </w:p>
        </w:tc>
        <w:tc>
          <w:tcPr>
            <w:tcW w:w="2689" w:type="dxa"/>
            <w:gridSpan w:val="3"/>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方正仿宋_GBK"/>
                <w:color w:val="000000"/>
                <w:spacing w:val="-2"/>
                <w:sz w:val="24"/>
              </w:rPr>
            </w:pPr>
            <w:r>
              <w:rPr>
                <w:rFonts w:hint="eastAsia" w:eastAsia="方正仿宋_GBK"/>
                <w:color w:val="000000"/>
                <w:spacing w:val="-2"/>
                <w:sz w:val="24"/>
              </w:rPr>
              <w:t>占预售面积比例</w:t>
            </w:r>
          </w:p>
        </w:tc>
        <w:tc>
          <w:tcPr>
            <w:tcW w:w="2009" w:type="dxa"/>
            <w:tcBorders>
              <w:top w:val="single" w:color="auto" w:sz="4" w:space="0"/>
              <w:left w:val="single" w:color="auto" w:sz="4" w:space="0"/>
              <w:bottom w:val="single" w:color="auto" w:sz="4" w:space="0"/>
              <w:right w:val="single" w:color="auto" w:sz="8" w:space="0"/>
            </w:tcBorders>
            <w:noWrap w:val="0"/>
            <w:vAlign w:val="center"/>
          </w:tcPr>
          <w:p>
            <w:pPr>
              <w:spacing w:line="440" w:lineRule="exact"/>
              <w:ind w:firstLine="354"/>
              <w:jc w:val="right"/>
              <w:rPr>
                <w:rFonts w:eastAsia="方正仿宋_GBK"/>
                <w:color w:val="000000"/>
                <w:spacing w:val="-2"/>
                <w:sz w:val="24"/>
              </w:rPr>
            </w:pPr>
            <w:r>
              <w:rPr>
                <w:rFonts w:eastAsia="方正仿宋_GBK"/>
                <w:color w:val="000000"/>
                <w:spacing w:val="-2"/>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2128" w:type="dxa"/>
            <w:gridSpan w:val="2"/>
            <w:vMerge w:val="restart"/>
            <w:tcBorders>
              <w:top w:val="single" w:color="auto" w:sz="4" w:space="0"/>
              <w:left w:val="single" w:color="auto" w:sz="8" w:space="0"/>
              <w:bottom w:val="single" w:color="auto" w:sz="8" w:space="0"/>
              <w:right w:val="single" w:color="auto" w:sz="4" w:space="0"/>
            </w:tcBorders>
            <w:noWrap w:val="0"/>
            <w:vAlign w:val="center"/>
          </w:tcPr>
          <w:p>
            <w:pPr>
              <w:spacing w:line="440" w:lineRule="exact"/>
              <w:jc w:val="center"/>
              <w:rPr>
                <w:rFonts w:eastAsia="方正仿宋_GBK"/>
                <w:color w:val="000000"/>
                <w:spacing w:val="-2"/>
                <w:sz w:val="24"/>
              </w:rPr>
            </w:pPr>
            <w:r>
              <w:rPr>
                <w:rFonts w:hint="eastAsia" w:eastAsia="方正仿宋_GBK"/>
                <w:color w:val="000000"/>
                <w:spacing w:val="-2"/>
                <w:sz w:val="24"/>
              </w:rPr>
              <w:t>本次申请</w:t>
            </w:r>
          </w:p>
          <w:p>
            <w:pPr>
              <w:spacing w:line="440" w:lineRule="exact"/>
              <w:jc w:val="center"/>
              <w:rPr>
                <w:rFonts w:eastAsia="方正仿宋_GBK"/>
                <w:color w:val="000000"/>
                <w:spacing w:val="-2"/>
                <w:sz w:val="24"/>
              </w:rPr>
            </w:pPr>
            <w:r>
              <w:rPr>
                <w:rFonts w:hint="eastAsia" w:eastAsia="方正仿宋_GBK"/>
                <w:color w:val="000000"/>
                <w:spacing w:val="-2"/>
                <w:sz w:val="24"/>
              </w:rPr>
              <w:t>预售面积</w:t>
            </w:r>
          </w:p>
        </w:tc>
        <w:tc>
          <w:tcPr>
            <w:tcW w:w="1956" w:type="dxa"/>
            <w:vMerge w:val="restart"/>
            <w:tcBorders>
              <w:top w:val="single" w:color="auto" w:sz="4" w:space="0"/>
              <w:left w:val="single" w:color="auto" w:sz="4" w:space="0"/>
              <w:bottom w:val="single" w:color="auto" w:sz="8" w:space="0"/>
              <w:right w:val="single" w:color="auto" w:sz="4" w:space="0"/>
            </w:tcBorders>
            <w:noWrap w:val="0"/>
            <w:vAlign w:val="center"/>
          </w:tcPr>
          <w:p>
            <w:pPr>
              <w:spacing w:line="440" w:lineRule="exact"/>
              <w:jc w:val="right"/>
              <w:rPr>
                <w:rFonts w:eastAsia="方正仿宋_GBK"/>
                <w:color w:val="000000"/>
                <w:spacing w:val="-2"/>
                <w:sz w:val="24"/>
              </w:rPr>
            </w:pPr>
            <w:r>
              <w:rPr>
                <w:rFonts w:hint="eastAsia" w:eastAsia="方正仿宋_GBK"/>
                <w:color w:val="000000"/>
                <w:spacing w:val="-2"/>
                <w:sz w:val="24"/>
              </w:rPr>
              <w:t>㎡</w:t>
            </w:r>
          </w:p>
        </w:tc>
        <w:tc>
          <w:tcPr>
            <w:tcW w:w="2689" w:type="dxa"/>
            <w:gridSpan w:val="3"/>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eastAsia="方正仿宋_GBK"/>
                <w:color w:val="000000"/>
                <w:spacing w:val="-2"/>
                <w:sz w:val="24"/>
              </w:rPr>
            </w:pPr>
            <w:r>
              <w:rPr>
                <w:rFonts w:hint="eastAsia" w:eastAsia="方正仿宋_GBK"/>
                <w:color w:val="000000"/>
                <w:spacing w:val="-2"/>
                <w:sz w:val="24"/>
              </w:rPr>
              <w:t>开盘时间</w:t>
            </w:r>
          </w:p>
        </w:tc>
        <w:tc>
          <w:tcPr>
            <w:tcW w:w="2009" w:type="dxa"/>
            <w:tcBorders>
              <w:top w:val="single" w:color="auto" w:sz="4" w:space="0"/>
              <w:left w:val="single" w:color="auto" w:sz="4" w:space="0"/>
              <w:bottom w:val="single" w:color="auto" w:sz="4" w:space="0"/>
              <w:right w:val="single" w:color="auto" w:sz="8" w:space="0"/>
            </w:tcBorders>
            <w:noWrap w:val="0"/>
            <w:vAlign w:val="center"/>
          </w:tcPr>
          <w:p>
            <w:pPr>
              <w:spacing w:line="440" w:lineRule="exact"/>
              <w:ind w:firstLine="354"/>
              <w:jc w:val="center"/>
              <w:rPr>
                <w:rFonts w:eastAsia="方正仿宋_GBK"/>
                <w:color w:val="000000"/>
                <w:spacing w:val="-2"/>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2128" w:type="dxa"/>
            <w:gridSpan w:val="2"/>
            <w:vMerge w:val="continue"/>
            <w:tcBorders>
              <w:top w:val="single" w:color="auto" w:sz="4" w:space="0"/>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sz w:val="24"/>
              </w:rPr>
            </w:pPr>
          </w:p>
        </w:tc>
        <w:tc>
          <w:tcPr>
            <w:tcW w:w="1956" w:type="dxa"/>
            <w:vMerge w:val="continue"/>
            <w:tcBorders>
              <w:top w:val="single" w:color="auto" w:sz="4" w:space="0"/>
              <w:left w:val="single" w:color="auto" w:sz="4" w:space="0"/>
              <w:bottom w:val="single" w:color="auto" w:sz="8" w:space="0"/>
              <w:right w:val="single" w:color="auto" w:sz="4" w:space="0"/>
            </w:tcBorders>
            <w:noWrap w:val="0"/>
            <w:vAlign w:val="center"/>
          </w:tcPr>
          <w:p>
            <w:pPr>
              <w:widowControl/>
              <w:jc w:val="left"/>
              <w:rPr>
                <w:rFonts w:eastAsia="方正仿宋_GBK"/>
                <w:color w:val="000000"/>
                <w:spacing w:val="-2"/>
                <w:sz w:val="24"/>
              </w:rPr>
            </w:pPr>
          </w:p>
        </w:tc>
        <w:tc>
          <w:tcPr>
            <w:tcW w:w="2689" w:type="dxa"/>
            <w:gridSpan w:val="3"/>
            <w:tcBorders>
              <w:top w:val="single" w:color="auto" w:sz="4" w:space="0"/>
              <w:left w:val="single" w:color="auto" w:sz="4" w:space="0"/>
              <w:bottom w:val="single" w:color="auto" w:sz="8" w:space="0"/>
              <w:right w:val="single" w:color="auto" w:sz="4" w:space="0"/>
            </w:tcBorders>
            <w:noWrap w:val="0"/>
            <w:vAlign w:val="center"/>
          </w:tcPr>
          <w:p>
            <w:pPr>
              <w:spacing w:line="440" w:lineRule="exact"/>
              <w:jc w:val="center"/>
              <w:rPr>
                <w:rFonts w:eastAsia="方正仿宋_GBK"/>
                <w:color w:val="000000"/>
                <w:spacing w:val="-2"/>
                <w:sz w:val="24"/>
              </w:rPr>
            </w:pPr>
            <w:r>
              <w:rPr>
                <w:rFonts w:hint="eastAsia" w:eastAsia="方正仿宋_GBK"/>
                <w:color w:val="000000"/>
                <w:spacing w:val="-2"/>
                <w:sz w:val="24"/>
              </w:rPr>
              <w:t>交房时间</w:t>
            </w:r>
          </w:p>
        </w:tc>
        <w:tc>
          <w:tcPr>
            <w:tcW w:w="2009" w:type="dxa"/>
            <w:tcBorders>
              <w:top w:val="single" w:color="auto" w:sz="4" w:space="0"/>
              <w:left w:val="single" w:color="auto" w:sz="4" w:space="0"/>
              <w:bottom w:val="single" w:color="auto" w:sz="8" w:space="0"/>
              <w:right w:val="single" w:color="auto" w:sz="8" w:space="0"/>
            </w:tcBorders>
            <w:noWrap w:val="0"/>
            <w:vAlign w:val="center"/>
          </w:tcPr>
          <w:p>
            <w:pPr>
              <w:spacing w:line="440" w:lineRule="exact"/>
              <w:ind w:firstLine="354"/>
              <w:jc w:val="center"/>
              <w:rPr>
                <w:rFonts w:eastAsia="方正仿宋_GBK"/>
                <w:color w:val="000000"/>
                <w:spacing w:val="-2"/>
                <w:sz w:val="24"/>
              </w:rPr>
            </w:pPr>
          </w:p>
        </w:tc>
      </w:tr>
    </w:tbl>
    <w:p>
      <w:pPr>
        <w:spacing w:line="360" w:lineRule="auto"/>
        <w:ind w:firstLine="472" w:firstLineChars="200"/>
        <w:rPr>
          <w:rFonts w:eastAsia="方正仿宋_GBK"/>
          <w:color w:val="000000"/>
          <w:spacing w:val="-2"/>
          <w:sz w:val="24"/>
        </w:rPr>
      </w:pPr>
    </w:p>
    <w:p>
      <w:pPr>
        <w:spacing w:line="360" w:lineRule="auto"/>
        <w:ind w:firstLine="472" w:firstLineChars="200"/>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分户情况。</w:t>
      </w:r>
    </w:p>
    <w:p>
      <w:pPr>
        <w:spacing w:line="360" w:lineRule="auto"/>
        <w:ind w:firstLine="7080" w:firstLineChars="3000"/>
        <w:rPr>
          <w:rFonts w:eastAsia="方正仿宋_GBK"/>
          <w:color w:val="000000"/>
          <w:spacing w:val="-2"/>
          <w:sz w:val="24"/>
        </w:rPr>
      </w:pPr>
      <w:r>
        <w:rPr>
          <w:rFonts w:eastAsia="方正仿宋_GBK"/>
          <w:color w:val="000000"/>
          <w:spacing w:val="-2"/>
          <w:sz w:val="24"/>
          <w:u w:val="single"/>
        </w:rPr>
        <w:t xml:space="preserve">          </w:t>
      </w:r>
      <w:r>
        <w:rPr>
          <w:rFonts w:hint="eastAsia" w:eastAsia="方正仿宋_GBK"/>
          <w:color w:val="000000"/>
          <w:spacing w:val="-2"/>
          <w:sz w:val="24"/>
        </w:rPr>
        <w:t>幢</w:t>
      </w:r>
    </w:p>
    <w:tbl>
      <w:tblPr>
        <w:tblStyle w:val="12"/>
        <w:tblW w:w="0" w:type="auto"/>
        <w:tblInd w:w="124"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14"/>
        <w:gridCol w:w="526"/>
        <w:gridCol w:w="644"/>
        <w:gridCol w:w="697"/>
        <w:gridCol w:w="710"/>
        <w:gridCol w:w="885"/>
        <w:gridCol w:w="754"/>
        <w:gridCol w:w="696"/>
        <w:gridCol w:w="644"/>
        <w:gridCol w:w="871"/>
        <w:gridCol w:w="852"/>
        <w:gridCol w:w="8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614" w:type="dxa"/>
            <w:tcBorders>
              <w:top w:val="single" w:color="auto" w:sz="8" w:space="0"/>
              <w:left w:val="single" w:color="auto" w:sz="8" w:space="0"/>
              <w:bottom w:val="single" w:color="auto" w:sz="4" w:space="0"/>
              <w:right w:val="single" w:color="auto" w:sz="4" w:space="0"/>
            </w:tcBorders>
            <w:noWrap w:val="0"/>
            <w:vAlign w:val="center"/>
          </w:tcPr>
          <w:p>
            <w:pPr>
              <w:spacing w:line="300" w:lineRule="exact"/>
              <w:ind w:left="-105" w:leftChars="-50" w:right="-105" w:rightChars="-50"/>
              <w:jc w:val="center"/>
              <w:rPr>
                <w:rFonts w:eastAsia="方正黑体_GBK"/>
                <w:color w:val="000000"/>
                <w:spacing w:val="-2"/>
                <w:szCs w:val="21"/>
              </w:rPr>
            </w:pPr>
            <w:r>
              <w:rPr>
                <w:rFonts w:hint="eastAsia" w:eastAsia="方正黑体_GBK"/>
                <w:color w:val="000000"/>
                <w:spacing w:val="-2"/>
                <w:szCs w:val="21"/>
              </w:rPr>
              <w:t>房号</w:t>
            </w:r>
          </w:p>
        </w:tc>
        <w:tc>
          <w:tcPr>
            <w:tcW w:w="526" w:type="dxa"/>
            <w:tcBorders>
              <w:top w:val="single" w:color="auto" w:sz="8" w:space="0"/>
              <w:left w:val="single" w:color="auto" w:sz="4" w:space="0"/>
              <w:bottom w:val="single" w:color="auto" w:sz="4" w:space="0"/>
              <w:right w:val="single" w:color="auto" w:sz="4" w:space="0"/>
            </w:tcBorders>
            <w:noWrap w:val="0"/>
            <w:vAlign w:val="center"/>
          </w:tcPr>
          <w:p>
            <w:pPr>
              <w:spacing w:line="300" w:lineRule="exact"/>
              <w:ind w:left="-105" w:leftChars="-50" w:right="-105" w:rightChars="-50"/>
              <w:jc w:val="center"/>
              <w:rPr>
                <w:rFonts w:eastAsia="方正黑体_GBK"/>
                <w:color w:val="000000"/>
                <w:spacing w:val="-2"/>
                <w:szCs w:val="21"/>
              </w:rPr>
            </w:pPr>
            <w:r>
              <w:rPr>
                <w:rFonts w:hint="eastAsia" w:eastAsia="方正黑体_GBK"/>
                <w:color w:val="000000"/>
                <w:spacing w:val="-2"/>
                <w:szCs w:val="21"/>
              </w:rPr>
              <w:t>性质</w:t>
            </w:r>
          </w:p>
        </w:tc>
        <w:tc>
          <w:tcPr>
            <w:tcW w:w="644" w:type="dxa"/>
            <w:tcBorders>
              <w:top w:val="single" w:color="auto" w:sz="8" w:space="0"/>
              <w:left w:val="single" w:color="auto" w:sz="4" w:space="0"/>
              <w:bottom w:val="single" w:color="auto" w:sz="4" w:space="0"/>
              <w:right w:val="single" w:color="auto" w:sz="4" w:space="0"/>
            </w:tcBorders>
            <w:noWrap w:val="0"/>
            <w:vAlign w:val="center"/>
          </w:tcPr>
          <w:p>
            <w:pPr>
              <w:spacing w:line="300" w:lineRule="exact"/>
              <w:ind w:left="-105" w:leftChars="-50" w:right="-105" w:rightChars="-50"/>
              <w:jc w:val="center"/>
              <w:rPr>
                <w:rFonts w:eastAsia="方正黑体_GBK"/>
                <w:color w:val="000000"/>
                <w:spacing w:val="-2"/>
                <w:szCs w:val="21"/>
              </w:rPr>
            </w:pPr>
            <w:r>
              <w:rPr>
                <w:rFonts w:hint="eastAsia" w:eastAsia="方正黑体_GBK"/>
                <w:color w:val="000000"/>
                <w:spacing w:val="-2"/>
                <w:szCs w:val="21"/>
              </w:rPr>
              <w:t>建筑</w:t>
            </w:r>
          </w:p>
          <w:p>
            <w:pPr>
              <w:spacing w:line="300" w:lineRule="exact"/>
              <w:ind w:left="-105" w:leftChars="-50" w:right="-105" w:rightChars="-50"/>
              <w:jc w:val="center"/>
              <w:rPr>
                <w:rFonts w:eastAsia="方正黑体_GBK"/>
                <w:color w:val="000000"/>
                <w:spacing w:val="-2"/>
                <w:szCs w:val="21"/>
              </w:rPr>
            </w:pPr>
            <w:r>
              <w:rPr>
                <w:rFonts w:hint="eastAsia" w:eastAsia="方正黑体_GBK"/>
                <w:color w:val="000000"/>
                <w:spacing w:val="-2"/>
                <w:szCs w:val="21"/>
              </w:rPr>
              <w:t>面积</w:t>
            </w:r>
          </w:p>
        </w:tc>
        <w:tc>
          <w:tcPr>
            <w:tcW w:w="697" w:type="dxa"/>
            <w:tcBorders>
              <w:top w:val="single" w:color="auto" w:sz="8" w:space="0"/>
              <w:left w:val="single" w:color="auto" w:sz="4" w:space="0"/>
              <w:bottom w:val="single" w:color="auto" w:sz="4" w:space="0"/>
              <w:right w:val="single" w:color="auto" w:sz="4" w:space="0"/>
            </w:tcBorders>
            <w:noWrap w:val="0"/>
            <w:vAlign w:val="center"/>
          </w:tcPr>
          <w:p>
            <w:pPr>
              <w:spacing w:line="300" w:lineRule="exact"/>
              <w:ind w:left="-105" w:leftChars="-50" w:right="-105" w:rightChars="-50"/>
              <w:jc w:val="center"/>
              <w:rPr>
                <w:rFonts w:eastAsia="方正黑体_GBK"/>
                <w:color w:val="000000"/>
                <w:spacing w:val="-2"/>
                <w:szCs w:val="21"/>
              </w:rPr>
            </w:pPr>
            <w:r>
              <w:rPr>
                <w:rFonts w:hint="eastAsia" w:eastAsia="方正黑体_GBK"/>
                <w:color w:val="000000"/>
                <w:spacing w:val="-2"/>
                <w:szCs w:val="21"/>
              </w:rPr>
              <w:t>套内</w:t>
            </w:r>
          </w:p>
          <w:p>
            <w:pPr>
              <w:spacing w:line="300" w:lineRule="exact"/>
              <w:ind w:left="-105" w:leftChars="-50" w:right="-105" w:rightChars="-50"/>
              <w:jc w:val="center"/>
              <w:rPr>
                <w:rFonts w:eastAsia="方正黑体_GBK"/>
                <w:color w:val="000000"/>
                <w:spacing w:val="-2"/>
                <w:szCs w:val="21"/>
              </w:rPr>
            </w:pPr>
            <w:r>
              <w:rPr>
                <w:rFonts w:hint="eastAsia" w:eastAsia="方正黑体_GBK"/>
                <w:color w:val="000000"/>
                <w:spacing w:val="-2"/>
                <w:szCs w:val="21"/>
              </w:rPr>
              <w:t>面积</w:t>
            </w:r>
          </w:p>
        </w:tc>
        <w:tc>
          <w:tcPr>
            <w:tcW w:w="710" w:type="dxa"/>
            <w:tcBorders>
              <w:top w:val="single" w:color="auto" w:sz="8" w:space="0"/>
              <w:left w:val="single" w:color="auto" w:sz="4" w:space="0"/>
              <w:bottom w:val="single" w:color="auto" w:sz="4" w:space="0"/>
              <w:right w:val="single" w:color="auto" w:sz="4" w:space="0"/>
            </w:tcBorders>
            <w:noWrap w:val="0"/>
            <w:vAlign w:val="center"/>
          </w:tcPr>
          <w:p>
            <w:pPr>
              <w:spacing w:line="300" w:lineRule="exact"/>
              <w:ind w:left="-105" w:leftChars="-50" w:right="-105" w:rightChars="-50"/>
              <w:jc w:val="center"/>
              <w:rPr>
                <w:rFonts w:eastAsia="方正黑体_GBK"/>
                <w:color w:val="000000"/>
                <w:spacing w:val="-2"/>
                <w:szCs w:val="21"/>
              </w:rPr>
            </w:pPr>
            <w:r>
              <w:rPr>
                <w:rFonts w:hint="eastAsia" w:eastAsia="方正黑体_GBK"/>
                <w:color w:val="000000"/>
                <w:spacing w:val="-2"/>
                <w:szCs w:val="21"/>
              </w:rPr>
              <w:t>公摊</w:t>
            </w:r>
          </w:p>
          <w:p>
            <w:pPr>
              <w:spacing w:line="300" w:lineRule="exact"/>
              <w:ind w:left="-105" w:leftChars="-50" w:right="-105" w:rightChars="-50"/>
              <w:jc w:val="center"/>
              <w:rPr>
                <w:rFonts w:eastAsia="方正黑体_GBK"/>
                <w:color w:val="000000"/>
                <w:spacing w:val="-2"/>
                <w:szCs w:val="21"/>
              </w:rPr>
            </w:pPr>
            <w:r>
              <w:rPr>
                <w:rFonts w:hint="eastAsia" w:eastAsia="方正黑体_GBK"/>
                <w:color w:val="000000"/>
                <w:spacing w:val="-2"/>
                <w:szCs w:val="21"/>
              </w:rPr>
              <w:t>面积</w:t>
            </w:r>
          </w:p>
        </w:tc>
        <w:tc>
          <w:tcPr>
            <w:tcW w:w="885" w:type="dxa"/>
            <w:tcBorders>
              <w:top w:val="single" w:color="auto" w:sz="8" w:space="0"/>
              <w:left w:val="single" w:color="auto" w:sz="4" w:space="0"/>
              <w:bottom w:val="single" w:color="auto" w:sz="4" w:space="0"/>
              <w:right w:val="single" w:color="auto" w:sz="4" w:space="0"/>
            </w:tcBorders>
            <w:noWrap w:val="0"/>
            <w:vAlign w:val="center"/>
          </w:tcPr>
          <w:p>
            <w:pPr>
              <w:spacing w:line="300" w:lineRule="exact"/>
              <w:ind w:left="-105" w:leftChars="-50" w:right="-105" w:rightChars="-50"/>
              <w:jc w:val="center"/>
              <w:rPr>
                <w:rFonts w:eastAsia="方正黑体_GBK"/>
                <w:color w:val="000000"/>
                <w:spacing w:val="-2"/>
                <w:szCs w:val="21"/>
              </w:rPr>
            </w:pPr>
            <w:r>
              <w:rPr>
                <w:rFonts w:hint="eastAsia" w:eastAsia="方正黑体_GBK"/>
                <w:color w:val="000000"/>
                <w:spacing w:val="-2"/>
                <w:szCs w:val="21"/>
              </w:rPr>
              <w:t>单价</w:t>
            </w:r>
          </w:p>
          <w:p>
            <w:pPr>
              <w:spacing w:line="300" w:lineRule="exact"/>
              <w:ind w:left="-105" w:leftChars="-50" w:right="-105" w:rightChars="-50"/>
              <w:jc w:val="center"/>
              <w:rPr>
                <w:rFonts w:eastAsia="方正黑体_GBK"/>
                <w:color w:val="000000"/>
                <w:spacing w:val="-2"/>
                <w:szCs w:val="21"/>
              </w:rPr>
            </w:pPr>
            <w:r>
              <w:rPr>
                <w:rFonts w:hint="eastAsia" w:eastAsia="方正黑体_GBK"/>
                <w:color w:val="000000"/>
                <w:spacing w:val="-2"/>
                <w:szCs w:val="21"/>
              </w:rPr>
              <w:t>（元</w:t>
            </w:r>
            <w:r>
              <w:rPr>
                <w:rFonts w:eastAsia="方正黑体_GBK"/>
                <w:color w:val="000000"/>
                <w:spacing w:val="-2"/>
                <w:szCs w:val="21"/>
              </w:rPr>
              <w:t>/</w:t>
            </w:r>
            <w:r>
              <w:rPr>
                <w:rFonts w:hint="eastAsia" w:eastAsia="方正黑体_GBK"/>
                <w:color w:val="000000"/>
                <w:spacing w:val="-2"/>
                <w:szCs w:val="21"/>
              </w:rPr>
              <w:t>㎡）</w:t>
            </w:r>
          </w:p>
        </w:tc>
        <w:tc>
          <w:tcPr>
            <w:tcW w:w="754" w:type="dxa"/>
            <w:tcBorders>
              <w:top w:val="single" w:color="auto" w:sz="8" w:space="0"/>
              <w:left w:val="single" w:color="auto" w:sz="4" w:space="0"/>
              <w:bottom w:val="single" w:color="auto" w:sz="4" w:space="0"/>
              <w:right w:val="single" w:color="auto" w:sz="4" w:space="0"/>
            </w:tcBorders>
            <w:noWrap w:val="0"/>
            <w:vAlign w:val="center"/>
          </w:tcPr>
          <w:p>
            <w:pPr>
              <w:spacing w:line="300" w:lineRule="exact"/>
              <w:ind w:left="-105" w:leftChars="-50" w:right="-105" w:rightChars="-50"/>
              <w:jc w:val="center"/>
              <w:rPr>
                <w:rFonts w:eastAsia="方正黑体_GBK"/>
                <w:color w:val="000000"/>
                <w:spacing w:val="-2"/>
                <w:szCs w:val="21"/>
              </w:rPr>
            </w:pPr>
            <w:r>
              <w:rPr>
                <w:rFonts w:hint="eastAsia" w:eastAsia="方正黑体_GBK"/>
                <w:color w:val="000000"/>
                <w:spacing w:val="-2"/>
                <w:szCs w:val="21"/>
              </w:rPr>
              <w:t>房价</w:t>
            </w:r>
          </w:p>
          <w:p>
            <w:pPr>
              <w:spacing w:line="300" w:lineRule="exact"/>
              <w:ind w:left="-105" w:leftChars="-50" w:right="-105" w:rightChars="-50"/>
              <w:jc w:val="center"/>
              <w:rPr>
                <w:rFonts w:eastAsia="方正黑体_GBK"/>
                <w:color w:val="000000"/>
                <w:spacing w:val="-2"/>
                <w:szCs w:val="21"/>
              </w:rPr>
            </w:pPr>
            <w:r>
              <w:rPr>
                <w:rFonts w:hint="eastAsia" w:eastAsia="方正黑体_GBK"/>
                <w:color w:val="000000"/>
                <w:spacing w:val="-2"/>
                <w:szCs w:val="21"/>
              </w:rPr>
              <w:t>（元）</w:t>
            </w:r>
          </w:p>
        </w:tc>
        <w:tc>
          <w:tcPr>
            <w:tcW w:w="696" w:type="dxa"/>
            <w:tcBorders>
              <w:top w:val="single" w:color="auto" w:sz="8" w:space="0"/>
              <w:left w:val="single" w:color="auto" w:sz="4" w:space="0"/>
              <w:bottom w:val="single" w:color="auto" w:sz="4" w:space="0"/>
              <w:right w:val="single" w:color="auto" w:sz="4" w:space="0"/>
            </w:tcBorders>
            <w:noWrap w:val="0"/>
            <w:vAlign w:val="center"/>
          </w:tcPr>
          <w:p>
            <w:pPr>
              <w:spacing w:line="300" w:lineRule="exact"/>
              <w:ind w:left="-105" w:leftChars="-50" w:right="-105" w:rightChars="-50"/>
              <w:jc w:val="center"/>
              <w:rPr>
                <w:rFonts w:eastAsia="方正黑体_GBK"/>
                <w:color w:val="000000"/>
                <w:spacing w:val="-2"/>
                <w:szCs w:val="21"/>
              </w:rPr>
            </w:pPr>
            <w:r>
              <w:rPr>
                <w:rFonts w:hint="eastAsia" w:eastAsia="方正黑体_GBK"/>
                <w:color w:val="000000"/>
                <w:spacing w:val="-2"/>
                <w:szCs w:val="21"/>
              </w:rPr>
              <w:t>车库</w:t>
            </w:r>
          </w:p>
          <w:p>
            <w:pPr>
              <w:spacing w:line="300" w:lineRule="exact"/>
              <w:ind w:left="-105" w:leftChars="-50" w:right="-105" w:rightChars="-50"/>
              <w:jc w:val="center"/>
              <w:rPr>
                <w:rFonts w:eastAsia="方正黑体_GBK"/>
                <w:color w:val="000000"/>
                <w:spacing w:val="-2"/>
                <w:szCs w:val="21"/>
              </w:rPr>
            </w:pPr>
            <w:r>
              <w:rPr>
                <w:rFonts w:hint="eastAsia" w:eastAsia="方正黑体_GBK"/>
                <w:color w:val="000000"/>
                <w:spacing w:val="-2"/>
                <w:szCs w:val="21"/>
              </w:rPr>
              <w:t>序号</w:t>
            </w:r>
          </w:p>
        </w:tc>
        <w:tc>
          <w:tcPr>
            <w:tcW w:w="644" w:type="dxa"/>
            <w:tcBorders>
              <w:top w:val="single" w:color="auto" w:sz="8" w:space="0"/>
              <w:left w:val="single" w:color="auto" w:sz="4" w:space="0"/>
              <w:bottom w:val="single" w:color="auto" w:sz="4" w:space="0"/>
              <w:right w:val="single" w:color="auto" w:sz="4" w:space="0"/>
            </w:tcBorders>
            <w:noWrap w:val="0"/>
            <w:vAlign w:val="center"/>
          </w:tcPr>
          <w:p>
            <w:pPr>
              <w:spacing w:line="300" w:lineRule="exact"/>
              <w:ind w:left="-105" w:leftChars="-50" w:right="-105" w:rightChars="-50"/>
              <w:jc w:val="center"/>
              <w:rPr>
                <w:rFonts w:eastAsia="方正黑体_GBK"/>
                <w:color w:val="000000"/>
                <w:spacing w:val="-2"/>
                <w:szCs w:val="21"/>
              </w:rPr>
            </w:pPr>
            <w:r>
              <w:rPr>
                <w:rFonts w:hint="eastAsia" w:eastAsia="方正黑体_GBK"/>
                <w:color w:val="000000"/>
                <w:spacing w:val="-2"/>
                <w:szCs w:val="21"/>
              </w:rPr>
              <w:t>车库</w:t>
            </w:r>
          </w:p>
          <w:p>
            <w:pPr>
              <w:spacing w:line="300" w:lineRule="exact"/>
              <w:ind w:left="-105" w:leftChars="-50" w:right="-105" w:rightChars="-50"/>
              <w:jc w:val="center"/>
              <w:rPr>
                <w:rFonts w:eastAsia="方正黑体_GBK"/>
                <w:color w:val="000000"/>
                <w:spacing w:val="-2"/>
                <w:szCs w:val="21"/>
              </w:rPr>
            </w:pPr>
            <w:r>
              <w:rPr>
                <w:rFonts w:hint="eastAsia" w:eastAsia="方正黑体_GBK"/>
                <w:color w:val="000000"/>
                <w:spacing w:val="-2"/>
                <w:szCs w:val="21"/>
              </w:rPr>
              <w:t>面积</w:t>
            </w:r>
          </w:p>
        </w:tc>
        <w:tc>
          <w:tcPr>
            <w:tcW w:w="871" w:type="dxa"/>
            <w:tcBorders>
              <w:top w:val="single" w:color="auto" w:sz="8" w:space="0"/>
              <w:left w:val="single" w:color="auto" w:sz="4" w:space="0"/>
              <w:bottom w:val="single" w:color="auto" w:sz="4" w:space="0"/>
              <w:right w:val="single" w:color="auto" w:sz="4" w:space="0"/>
            </w:tcBorders>
            <w:noWrap w:val="0"/>
            <w:vAlign w:val="center"/>
          </w:tcPr>
          <w:p>
            <w:pPr>
              <w:spacing w:line="300" w:lineRule="exact"/>
              <w:ind w:left="-105" w:leftChars="-50" w:right="-105" w:rightChars="-50"/>
              <w:jc w:val="center"/>
              <w:rPr>
                <w:rFonts w:eastAsia="方正黑体_GBK"/>
                <w:color w:val="000000"/>
                <w:spacing w:val="-2"/>
                <w:szCs w:val="21"/>
              </w:rPr>
            </w:pPr>
            <w:r>
              <w:rPr>
                <w:rFonts w:hint="eastAsia" w:eastAsia="方正黑体_GBK"/>
                <w:color w:val="000000"/>
                <w:spacing w:val="-2"/>
                <w:szCs w:val="21"/>
              </w:rPr>
              <w:t>单价</w:t>
            </w:r>
          </w:p>
          <w:p>
            <w:pPr>
              <w:spacing w:line="300" w:lineRule="exact"/>
              <w:ind w:left="-105" w:leftChars="-50" w:right="-105" w:rightChars="-50"/>
              <w:jc w:val="center"/>
              <w:rPr>
                <w:rFonts w:eastAsia="方正黑体_GBK"/>
                <w:color w:val="000000"/>
                <w:spacing w:val="-2"/>
                <w:szCs w:val="21"/>
              </w:rPr>
            </w:pPr>
            <w:r>
              <w:rPr>
                <w:rFonts w:hint="eastAsia" w:eastAsia="方正黑体_GBK"/>
                <w:color w:val="000000"/>
                <w:spacing w:val="-2"/>
                <w:szCs w:val="21"/>
              </w:rPr>
              <w:t>（元</w:t>
            </w:r>
            <w:r>
              <w:rPr>
                <w:rFonts w:eastAsia="方正黑体_GBK"/>
                <w:color w:val="000000"/>
                <w:spacing w:val="-2"/>
                <w:szCs w:val="21"/>
              </w:rPr>
              <w:t>/</w:t>
            </w:r>
            <w:r>
              <w:rPr>
                <w:rFonts w:hint="eastAsia" w:eastAsia="方正黑体_GBK"/>
                <w:color w:val="000000"/>
                <w:spacing w:val="-2"/>
                <w:szCs w:val="21"/>
              </w:rPr>
              <w:t>㎡）</w:t>
            </w:r>
          </w:p>
        </w:tc>
        <w:tc>
          <w:tcPr>
            <w:tcW w:w="852" w:type="dxa"/>
            <w:tcBorders>
              <w:top w:val="single" w:color="auto" w:sz="8" w:space="0"/>
              <w:left w:val="single" w:color="auto" w:sz="4" w:space="0"/>
              <w:bottom w:val="single" w:color="auto" w:sz="4" w:space="0"/>
              <w:right w:val="single" w:color="auto" w:sz="4" w:space="0"/>
            </w:tcBorders>
            <w:noWrap w:val="0"/>
            <w:vAlign w:val="center"/>
          </w:tcPr>
          <w:p>
            <w:pPr>
              <w:spacing w:line="300" w:lineRule="exact"/>
              <w:ind w:left="-105" w:leftChars="-50" w:right="-105" w:rightChars="-50"/>
              <w:jc w:val="center"/>
              <w:rPr>
                <w:rFonts w:eastAsia="方正黑体_GBK"/>
                <w:color w:val="000000"/>
                <w:spacing w:val="-2"/>
                <w:szCs w:val="21"/>
              </w:rPr>
            </w:pPr>
            <w:r>
              <w:rPr>
                <w:rFonts w:hint="eastAsia" w:eastAsia="方正黑体_GBK"/>
                <w:color w:val="000000"/>
                <w:spacing w:val="-2"/>
                <w:szCs w:val="21"/>
              </w:rPr>
              <w:t>车库</w:t>
            </w:r>
          </w:p>
          <w:p>
            <w:pPr>
              <w:spacing w:line="300" w:lineRule="exact"/>
              <w:ind w:left="-105" w:leftChars="-50" w:right="-105" w:rightChars="-50"/>
              <w:jc w:val="center"/>
              <w:rPr>
                <w:rFonts w:eastAsia="方正黑体_GBK"/>
                <w:color w:val="000000"/>
                <w:spacing w:val="-2"/>
                <w:szCs w:val="21"/>
              </w:rPr>
            </w:pPr>
            <w:r>
              <w:rPr>
                <w:rFonts w:hint="eastAsia" w:eastAsia="方正黑体_GBK"/>
                <w:color w:val="000000"/>
                <w:spacing w:val="-2"/>
                <w:szCs w:val="21"/>
              </w:rPr>
              <w:t>价（元）</w:t>
            </w:r>
          </w:p>
        </w:tc>
        <w:tc>
          <w:tcPr>
            <w:tcW w:w="833" w:type="dxa"/>
            <w:tcBorders>
              <w:top w:val="single" w:color="auto" w:sz="8" w:space="0"/>
              <w:left w:val="single" w:color="auto" w:sz="4" w:space="0"/>
              <w:bottom w:val="single" w:color="auto" w:sz="4" w:space="0"/>
              <w:right w:val="single" w:color="auto" w:sz="8" w:space="0"/>
            </w:tcBorders>
            <w:noWrap w:val="0"/>
            <w:vAlign w:val="center"/>
          </w:tcPr>
          <w:p>
            <w:pPr>
              <w:spacing w:line="300" w:lineRule="exact"/>
              <w:ind w:left="-105" w:leftChars="-50" w:right="-105" w:rightChars="-50"/>
              <w:jc w:val="center"/>
              <w:rPr>
                <w:rFonts w:eastAsia="方正黑体_GBK"/>
                <w:color w:val="000000"/>
                <w:spacing w:val="-2"/>
                <w:szCs w:val="21"/>
              </w:rPr>
            </w:pPr>
            <w:r>
              <w:rPr>
                <w:rFonts w:hint="eastAsia" w:eastAsia="方正黑体_GBK"/>
                <w:color w:val="000000"/>
                <w:spacing w:val="-2"/>
                <w:szCs w:val="21"/>
              </w:rPr>
              <w:t>总价</w:t>
            </w:r>
          </w:p>
          <w:p>
            <w:pPr>
              <w:spacing w:line="300" w:lineRule="exact"/>
              <w:ind w:left="-105" w:leftChars="-50" w:right="-105" w:rightChars="-50"/>
              <w:jc w:val="center"/>
              <w:rPr>
                <w:rFonts w:eastAsia="方正黑体_GBK"/>
                <w:color w:val="000000"/>
                <w:spacing w:val="-2"/>
                <w:szCs w:val="21"/>
              </w:rPr>
            </w:pPr>
            <w:r>
              <w:rPr>
                <w:rFonts w:hint="eastAsia" w:eastAsia="方正黑体_GBK"/>
                <w:color w:val="000000"/>
                <w:spacing w:val="-2"/>
                <w:szCs w:val="21"/>
              </w:rPr>
              <w:t>（元）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614" w:type="dxa"/>
            <w:tcBorders>
              <w:top w:val="single" w:color="auto" w:sz="4" w:space="0"/>
              <w:left w:val="single" w:color="auto" w:sz="8"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52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1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8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5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7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5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33" w:type="dxa"/>
            <w:tcBorders>
              <w:top w:val="single" w:color="auto" w:sz="4" w:space="0"/>
              <w:left w:val="single" w:color="auto" w:sz="4" w:space="0"/>
              <w:bottom w:val="single" w:color="auto" w:sz="4" w:space="0"/>
              <w:right w:val="single" w:color="auto" w:sz="8" w:space="0"/>
            </w:tcBorders>
            <w:noWrap w:val="0"/>
            <w:vAlign w:val="top"/>
          </w:tcPr>
          <w:p>
            <w:pPr>
              <w:spacing w:line="360" w:lineRule="auto"/>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614" w:type="dxa"/>
            <w:tcBorders>
              <w:top w:val="single" w:color="auto" w:sz="4" w:space="0"/>
              <w:left w:val="single" w:color="auto" w:sz="8"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52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1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8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5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7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5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33" w:type="dxa"/>
            <w:tcBorders>
              <w:top w:val="single" w:color="auto" w:sz="4" w:space="0"/>
              <w:left w:val="single" w:color="auto" w:sz="4" w:space="0"/>
              <w:bottom w:val="single" w:color="auto" w:sz="4" w:space="0"/>
              <w:right w:val="single" w:color="auto" w:sz="8" w:space="0"/>
            </w:tcBorders>
            <w:noWrap w:val="0"/>
            <w:vAlign w:val="top"/>
          </w:tcPr>
          <w:p>
            <w:pPr>
              <w:spacing w:line="360" w:lineRule="auto"/>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614" w:type="dxa"/>
            <w:tcBorders>
              <w:top w:val="single" w:color="auto" w:sz="4" w:space="0"/>
              <w:left w:val="single" w:color="auto" w:sz="8"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52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1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8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5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7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5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33" w:type="dxa"/>
            <w:tcBorders>
              <w:top w:val="single" w:color="auto" w:sz="4" w:space="0"/>
              <w:left w:val="single" w:color="auto" w:sz="4" w:space="0"/>
              <w:bottom w:val="single" w:color="auto" w:sz="4" w:space="0"/>
              <w:right w:val="single" w:color="auto" w:sz="8" w:space="0"/>
            </w:tcBorders>
            <w:noWrap w:val="0"/>
            <w:vAlign w:val="top"/>
          </w:tcPr>
          <w:p>
            <w:pPr>
              <w:spacing w:line="360" w:lineRule="auto"/>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614" w:type="dxa"/>
            <w:tcBorders>
              <w:top w:val="single" w:color="auto" w:sz="4" w:space="0"/>
              <w:left w:val="single" w:color="auto" w:sz="8"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52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1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8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5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7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5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33" w:type="dxa"/>
            <w:tcBorders>
              <w:top w:val="single" w:color="auto" w:sz="4" w:space="0"/>
              <w:left w:val="single" w:color="auto" w:sz="4" w:space="0"/>
              <w:bottom w:val="single" w:color="auto" w:sz="4" w:space="0"/>
              <w:right w:val="single" w:color="auto" w:sz="8" w:space="0"/>
            </w:tcBorders>
            <w:noWrap w:val="0"/>
            <w:vAlign w:val="top"/>
          </w:tcPr>
          <w:p>
            <w:pPr>
              <w:spacing w:line="360" w:lineRule="auto"/>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614" w:type="dxa"/>
            <w:tcBorders>
              <w:top w:val="single" w:color="auto" w:sz="4" w:space="0"/>
              <w:left w:val="single" w:color="auto" w:sz="8"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52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1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8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5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7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5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33" w:type="dxa"/>
            <w:tcBorders>
              <w:top w:val="single" w:color="auto" w:sz="4" w:space="0"/>
              <w:left w:val="single" w:color="auto" w:sz="4" w:space="0"/>
              <w:bottom w:val="single" w:color="auto" w:sz="4" w:space="0"/>
              <w:right w:val="single" w:color="auto" w:sz="8" w:space="0"/>
            </w:tcBorders>
            <w:noWrap w:val="0"/>
            <w:vAlign w:val="top"/>
          </w:tcPr>
          <w:p>
            <w:pPr>
              <w:spacing w:line="360" w:lineRule="auto"/>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614" w:type="dxa"/>
            <w:tcBorders>
              <w:top w:val="single" w:color="auto" w:sz="4" w:space="0"/>
              <w:left w:val="single" w:color="auto" w:sz="8"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52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1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8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5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7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5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33" w:type="dxa"/>
            <w:tcBorders>
              <w:top w:val="single" w:color="auto" w:sz="4" w:space="0"/>
              <w:left w:val="single" w:color="auto" w:sz="4" w:space="0"/>
              <w:bottom w:val="single" w:color="auto" w:sz="4" w:space="0"/>
              <w:right w:val="single" w:color="auto" w:sz="8" w:space="0"/>
            </w:tcBorders>
            <w:noWrap w:val="0"/>
            <w:vAlign w:val="top"/>
          </w:tcPr>
          <w:p>
            <w:pPr>
              <w:spacing w:line="360" w:lineRule="auto"/>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614" w:type="dxa"/>
            <w:tcBorders>
              <w:top w:val="single" w:color="auto" w:sz="4" w:space="0"/>
              <w:left w:val="single" w:color="auto" w:sz="8"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52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1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8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5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7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5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33" w:type="dxa"/>
            <w:tcBorders>
              <w:top w:val="single" w:color="auto" w:sz="4" w:space="0"/>
              <w:left w:val="single" w:color="auto" w:sz="4" w:space="0"/>
              <w:bottom w:val="single" w:color="auto" w:sz="4" w:space="0"/>
              <w:right w:val="single" w:color="auto" w:sz="8" w:space="0"/>
            </w:tcBorders>
            <w:noWrap w:val="0"/>
            <w:vAlign w:val="top"/>
          </w:tcPr>
          <w:p>
            <w:pPr>
              <w:spacing w:line="360" w:lineRule="auto"/>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614" w:type="dxa"/>
            <w:tcBorders>
              <w:top w:val="single" w:color="auto" w:sz="4" w:space="0"/>
              <w:left w:val="single" w:color="auto" w:sz="8"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52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1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8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5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7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5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33" w:type="dxa"/>
            <w:tcBorders>
              <w:top w:val="single" w:color="auto" w:sz="4" w:space="0"/>
              <w:left w:val="single" w:color="auto" w:sz="4" w:space="0"/>
              <w:bottom w:val="single" w:color="auto" w:sz="4" w:space="0"/>
              <w:right w:val="single" w:color="auto" w:sz="8" w:space="0"/>
            </w:tcBorders>
            <w:noWrap w:val="0"/>
            <w:vAlign w:val="top"/>
          </w:tcPr>
          <w:p>
            <w:pPr>
              <w:spacing w:line="360" w:lineRule="auto"/>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614" w:type="dxa"/>
            <w:tcBorders>
              <w:top w:val="single" w:color="auto" w:sz="4" w:space="0"/>
              <w:left w:val="single" w:color="auto" w:sz="8"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52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1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8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5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7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5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33" w:type="dxa"/>
            <w:tcBorders>
              <w:top w:val="single" w:color="auto" w:sz="4" w:space="0"/>
              <w:left w:val="single" w:color="auto" w:sz="4" w:space="0"/>
              <w:bottom w:val="single" w:color="auto" w:sz="4" w:space="0"/>
              <w:right w:val="single" w:color="auto" w:sz="8" w:space="0"/>
            </w:tcBorders>
            <w:noWrap w:val="0"/>
            <w:vAlign w:val="top"/>
          </w:tcPr>
          <w:p>
            <w:pPr>
              <w:spacing w:line="360" w:lineRule="auto"/>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614" w:type="dxa"/>
            <w:tcBorders>
              <w:top w:val="single" w:color="auto" w:sz="4" w:space="0"/>
              <w:left w:val="single" w:color="auto" w:sz="8"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52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1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8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5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7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5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33" w:type="dxa"/>
            <w:tcBorders>
              <w:top w:val="single" w:color="auto" w:sz="4" w:space="0"/>
              <w:left w:val="single" w:color="auto" w:sz="4" w:space="0"/>
              <w:bottom w:val="single" w:color="auto" w:sz="4" w:space="0"/>
              <w:right w:val="single" w:color="auto" w:sz="8" w:space="0"/>
            </w:tcBorders>
            <w:noWrap w:val="0"/>
            <w:vAlign w:val="top"/>
          </w:tcPr>
          <w:p>
            <w:pPr>
              <w:spacing w:line="360" w:lineRule="auto"/>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614" w:type="dxa"/>
            <w:tcBorders>
              <w:top w:val="single" w:color="auto" w:sz="4" w:space="0"/>
              <w:left w:val="single" w:color="auto" w:sz="8"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52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1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8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5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7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5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33" w:type="dxa"/>
            <w:tcBorders>
              <w:top w:val="single" w:color="auto" w:sz="4" w:space="0"/>
              <w:left w:val="single" w:color="auto" w:sz="4" w:space="0"/>
              <w:bottom w:val="single" w:color="auto" w:sz="4" w:space="0"/>
              <w:right w:val="single" w:color="auto" w:sz="8" w:space="0"/>
            </w:tcBorders>
            <w:noWrap w:val="0"/>
            <w:vAlign w:val="top"/>
          </w:tcPr>
          <w:p>
            <w:pPr>
              <w:spacing w:line="360" w:lineRule="auto"/>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614" w:type="dxa"/>
            <w:tcBorders>
              <w:top w:val="single" w:color="auto" w:sz="4" w:space="0"/>
              <w:left w:val="single" w:color="auto" w:sz="8"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52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1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8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5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7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5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33" w:type="dxa"/>
            <w:tcBorders>
              <w:top w:val="single" w:color="auto" w:sz="4" w:space="0"/>
              <w:left w:val="single" w:color="auto" w:sz="4" w:space="0"/>
              <w:bottom w:val="single" w:color="auto" w:sz="4" w:space="0"/>
              <w:right w:val="single" w:color="auto" w:sz="8" w:space="0"/>
            </w:tcBorders>
            <w:noWrap w:val="0"/>
            <w:vAlign w:val="top"/>
          </w:tcPr>
          <w:p>
            <w:pPr>
              <w:spacing w:line="360" w:lineRule="auto"/>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614" w:type="dxa"/>
            <w:tcBorders>
              <w:top w:val="single" w:color="auto" w:sz="4" w:space="0"/>
              <w:left w:val="single" w:color="auto" w:sz="8"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52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1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8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5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7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5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33" w:type="dxa"/>
            <w:tcBorders>
              <w:top w:val="single" w:color="auto" w:sz="4" w:space="0"/>
              <w:left w:val="single" w:color="auto" w:sz="4" w:space="0"/>
              <w:bottom w:val="single" w:color="auto" w:sz="4" w:space="0"/>
              <w:right w:val="single" w:color="auto" w:sz="8" w:space="0"/>
            </w:tcBorders>
            <w:noWrap w:val="0"/>
            <w:vAlign w:val="top"/>
          </w:tcPr>
          <w:p>
            <w:pPr>
              <w:spacing w:line="360" w:lineRule="auto"/>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614" w:type="dxa"/>
            <w:tcBorders>
              <w:top w:val="single" w:color="auto" w:sz="4" w:space="0"/>
              <w:left w:val="single" w:color="auto" w:sz="8"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52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1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8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5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7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5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33" w:type="dxa"/>
            <w:tcBorders>
              <w:top w:val="single" w:color="auto" w:sz="4" w:space="0"/>
              <w:left w:val="single" w:color="auto" w:sz="4" w:space="0"/>
              <w:bottom w:val="single" w:color="auto" w:sz="4" w:space="0"/>
              <w:right w:val="single" w:color="auto" w:sz="8" w:space="0"/>
            </w:tcBorders>
            <w:noWrap w:val="0"/>
            <w:vAlign w:val="top"/>
          </w:tcPr>
          <w:p>
            <w:pPr>
              <w:spacing w:line="360" w:lineRule="auto"/>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614" w:type="dxa"/>
            <w:tcBorders>
              <w:top w:val="single" w:color="auto" w:sz="4" w:space="0"/>
              <w:left w:val="single" w:color="auto" w:sz="8"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52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1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8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5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7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5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33" w:type="dxa"/>
            <w:tcBorders>
              <w:top w:val="single" w:color="auto" w:sz="4" w:space="0"/>
              <w:left w:val="single" w:color="auto" w:sz="4" w:space="0"/>
              <w:bottom w:val="single" w:color="auto" w:sz="4" w:space="0"/>
              <w:right w:val="single" w:color="auto" w:sz="8" w:space="0"/>
            </w:tcBorders>
            <w:noWrap w:val="0"/>
            <w:vAlign w:val="top"/>
          </w:tcPr>
          <w:p>
            <w:pPr>
              <w:spacing w:line="360" w:lineRule="auto"/>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614" w:type="dxa"/>
            <w:tcBorders>
              <w:top w:val="single" w:color="auto" w:sz="4" w:space="0"/>
              <w:left w:val="single" w:color="auto" w:sz="8"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52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1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8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5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7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5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33" w:type="dxa"/>
            <w:tcBorders>
              <w:top w:val="single" w:color="auto" w:sz="4" w:space="0"/>
              <w:left w:val="single" w:color="auto" w:sz="4" w:space="0"/>
              <w:bottom w:val="single" w:color="auto" w:sz="4" w:space="0"/>
              <w:right w:val="single" w:color="auto" w:sz="8" w:space="0"/>
            </w:tcBorders>
            <w:noWrap w:val="0"/>
            <w:vAlign w:val="top"/>
          </w:tcPr>
          <w:p>
            <w:pPr>
              <w:spacing w:line="360" w:lineRule="auto"/>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614" w:type="dxa"/>
            <w:tcBorders>
              <w:top w:val="single" w:color="auto" w:sz="4" w:space="0"/>
              <w:left w:val="single" w:color="auto" w:sz="8"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52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1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8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5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7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5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33" w:type="dxa"/>
            <w:tcBorders>
              <w:top w:val="single" w:color="auto" w:sz="4" w:space="0"/>
              <w:left w:val="single" w:color="auto" w:sz="4" w:space="0"/>
              <w:bottom w:val="single" w:color="auto" w:sz="4" w:space="0"/>
              <w:right w:val="single" w:color="auto" w:sz="8" w:space="0"/>
            </w:tcBorders>
            <w:noWrap w:val="0"/>
            <w:vAlign w:val="top"/>
          </w:tcPr>
          <w:p>
            <w:pPr>
              <w:spacing w:line="360" w:lineRule="auto"/>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614" w:type="dxa"/>
            <w:tcBorders>
              <w:top w:val="single" w:color="auto" w:sz="4" w:space="0"/>
              <w:left w:val="single" w:color="auto" w:sz="8"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52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1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8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5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7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5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33" w:type="dxa"/>
            <w:tcBorders>
              <w:top w:val="single" w:color="auto" w:sz="4" w:space="0"/>
              <w:left w:val="single" w:color="auto" w:sz="4" w:space="0"/>
              <w:bottom w:val="single" w:color="auto" w:sz="4" w:space="0"/>
              <w:right w:val="single" w:color="auto" w:sz="8" w:space="0"/>
            </w:tcBorders>
            <w:noWrap w:val="0"/>
            <w:vAlign w:val="top"/>
          </w:tcPr>
          <w:p>
            <w:pPr>
              <w:spacing w:line="360" w:lineRule="auto"/>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614" w:type="dxa"/>
            <w:tcBorders>
              <w:top w:val="single" w:color="auto" w:sz="4" w:space="0"/>
              <w:left w:val="single" w:color="auto" w:sz="8"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52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1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8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5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7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5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33" w:type="dxa"/>
            <w:tcBorders>
              <w:top w:val="single" w:color="auto" w:sz="4" w:space="0"/>
              <w:left w:val="single" w:color="auto" w:sz="4" w:space="0"/>
              <w:bottom w:val="single" w:color="auto" w:sz="4" w:space="0"/>
              <w:right w:val="single" w:color="auto" w:sz="8" w:space="0"/>
            </w:tcBorders>
            <w:noWrap w:val="0"/>
            <w:vAlign w:val="top"/>
          </w:tcPr>
          <w:p>
            <w:pPr>
              <w:spacing w:line="360" w:lineRule="auto"/>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614" w:type="dxa"/>
            <w:tcBorders>
              <w:top w:val="single" w:color="auto" w:sz="4" w:space="0"/>
              <w:left w:val="single" w:color="auto" w:sz="8"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52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1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8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5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7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5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33" w:type="dxa"/>
            <w:tcBorders>
              <w:top w:val="single" w:color="auto" w:sz="4" w:space="0"/>
              <w:left w:val="single" w:color="auto" w:sz="4" w:space="0"/>
              <w:bottom w:val="single" w:color="auto" w:sz="4" w:space="0"/>
              <w:right w:val="single" w:color="auto" w:sz="8" w:space="0"/>
            </w:tcBorders>
            <w:noWrap w:val="0"/>
            <w:vAlign w:val="top"/>
          </w:tcPr>
          <w:p>
            <w:pPr>
              <w:spacing w:line="360" w:lineRule="auto"/>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614" w:type="dxa"/>
            <w:tcBorders>
              <w:top w:val="single" w:color="auto" w:sz="4" w:space="0"/>
              <w:left w:val="single" w:color="auto" w:sz="8"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52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1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8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5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7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5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33" w:type="dxa"/>
            <w:tcBorders>
              <w:top w:val="single" w:color="auto" w:sz="4" w:space="0"/>
              <w:left w:val="single" w:color="auto" w:sz="4" w:space="0"/>
              <w:bottom w:val="single" w:color="auto" w:sz="4" w:space="0"/>
              <w:right w:val="single" w:color="auto" w:sz="8" w:space="0"/>
            </w:tcBorders>
            <w:noWrap w:val="0"/>
            <w:vAlign w:val="top"/>
          </w:tcPr>
          <w:p>
            <w:pPr>
              <w:spacing w:line="360" w:lineRule="auto"/>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614" w:type="dxa"/>
            <w:tcBorders>
              <w:top w:val="single" w:color="auto" w:sz="4" w:space="0"/>
              <w:left w:val="single" w:color="auto" w:sz="8"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52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1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8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5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7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5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33" w:type="dxa"/>
            <w:tcBorders>
              <w:top w:val="single" w:color="auto" w:sz="4" w:space="0"/>
              <w:left w:val="single" w:color="auto" w:sz="4" w:space="0"/>
              <w:bottom w:val="single" w:color="auto" w:sz="4" w:space="0"/>
              <w:right w:val="single" w:color="auto" w:sz="8" w:space="0"/>
            </w:tcBorders>
            <w:noWrap w:val="0"/>
            <w:vAlign w:val="top"/>
          </w:tcPr>
          <w:p>
            <w:pPr>
              <w:spacing w:line="360" w:lineRule="auto"/>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614" w:type="dxa"/>
            <w:tcBorders>
              <w:top w:val="single" w:color="auto" w:sz="4" w:space="0"/>
              <w:left w:val="single" w:color="auto" w:sz="8"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52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1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8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5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7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5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33" w:type="dxa"/>
            <w:tcBorders>
              <w:top w:val="single" w:color="auto" w:sz="4" w:space="0"/>
              <w:left w:val="single" w:color="auto" w:sz="4" w:space="0"/>
              <w:bottom w:val="single" w:color="auto" w:sz="4" w:space="0"/>
              <w:right w:val="single" w:color="auto" w:sz="8" w:space="0"/>
            </w:tcBorders>
            <w:noWrap w:val="0"/>
            <w:vAlign w:val="top"/>
          </w:tcPr>
          <w:p>
            <w:pPr>
              <w:spacing w:line="360" w:lineRule="auto"/>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614" w:type="dxa"/>
            <w:tcBorders>
              <w:top w:val="single" w:color="auto" w:sz="4" w:space="0"/>
              <w:left w:val="single" w:color="auto" w:sz="8" w:space="0"/>
              <w:bottom w:val="single" w:color="auto" w:sz="4" w:space="0"/>
              <w:right w:val="single" w:color="auto" w:sz="4" w:space="0"/>
            </w:tcBorders>
            <w:noWrap w:val="0"/>
            <w:vAlign w:val="center"/>
          </w:tcPr>
          <w:p>
            <w:pPr>
              <w:spacing w:line="360" w:lineRule="auto"/>
              <w:jc w:val="center"/>
              <w:rPr>
                <w:rFonts w:eastAsia="方正仿宋_GBK"/>
                <w:color w:val="000000"/>
                <w:spacing w:val="-2"/>
                <w:szCs w:val="21"/>
              </w:rPr>
            </w:pPr>
            <w:r>
              <w:rPr>
                <w:rFonts w:hint="eastAsia" w:eastAsia="方正仿宋_GBK"/>
                <w:color w:val="000000"/>
                <w:spacing w:val="-2"/>
                <w:szCs w:val="21"/>
              </w:rPr>
              <w:t>合计</w:t>
            </w:r>
          </w:p>
        </w:tc>
        <w:tc>
          <w:tcPr>
            <w:tcW w:w="52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1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8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75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9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64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7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5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方正仿宋_GBK"/>
                <w:color w:val="000000"/>
                <w:spacing w:val="-2"/>
                <w:szCs w:val="21"/>
              </w:rPr>
            </w:pPr>
          </w:p>
        </w:tc>
        <w:tc>
          <w:tcPr>
            <w:tcW w:w="833" w:type="dxa"/>
            <w:tcBorders>
              <w:top w:val="single" w:color="auto" w:sz="4" w:space="0"/>
              <w:left w:val="single" w:color="auto" w:sz="4" w:space="0"/>
              <w:bottom w:val="single" w:color="auto" w:sz="4" w:space="0"/>
              <w:right w:val="single" w:color="auto" w:sz="8" w:space="0"/>
            </w:tcBorders>
            <w:noWrap w:val="0"/>
            <w:vAlign w:val="top"/>
          </w:tcPr>
          <w:p>
            <w:pPr>
              <w:spacing w:line="360" w:lineRule="auto"/>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68" w:hRule="atLeast"/>
        </w:trPr>
        <w:tc>
          <w:tcPr>
            <w:tcW w:w="614" w:type="dxa"/>
            <w:tcBorders>
              <w:top w:val="single" w:color="auto" w:sz="4" w:space="0"/>
              <w:left w:val="single" w:color="auto" w:sz="8" w:space="0"/>
              <w:bottom w:val="single" w:color="auto" w:sz="8" w:space="0"/>
              <w:right w:val="single" w:color="auto" w:sz="4" w:space="0"/>
            </w:tcBorders>
            <w:noWrap w:val="0"/>
            <w:vAlign w:val="center"/>
          </w:tcPr>
          <w:p>
            <w:pPr>
              <w:spacing w:line="360" w:lineRule="auto"/>
              <w:jc w:val="center"/>
              <w:rPr>
                <w:rFonts w:eastAsia="方正仿宋_GBK"/>
                <w:color w:val="000000"/>
                <w:spacing w:val="-2"/>
                <w:szCs w:val="21"/>
              </w:rPr>
            </w:pPr>
            <w:r>
              <w:rPr>
                <w:rFonts w:hint="eastAsia" w:eastAsia="方正仿宋_GBK"/>
                <w:color w:val="000000"/>
                <w:spacing w:val="-2"/>
                <w:szCs w:val="21"/>
              </w:rPr>
              <w:t>备注</w:t>
            </w:r>
          </w:p>
        </w:tc>
        <w:tc>
          <w:tcPr>
            <w:tcW w:w="8112" w:type="dxa"/>
            <w:gridSpan w:val="11"/>
            <w:tcBorders>
              <w:top w:val="single" w:color="auto" w:sz="4" w:space="0"/>
              <w:left w:val="single" w:color="auto" w:sz="4" w:space="0"/>
              <w:bottom w:val="single" w:color="auto" w:sz="8" w:space="0"/>
              <w:right w:val="single" w:color="auto" w:sz="8" w:space="0"/>
            </w:tcBorders>
            <w:noWrap w:val="0"/>
            <w:vAlign w:val="top"/>
          </w:tcPr>
          <w:p>
            <w:pPr>
              <w:spacing w:line="360" w:lineRule="auto"/>
              <w:rPr>
                <w:rFonts w:eastAsia="方正仿宋_GBK"/>
                <w:color w:val="000000"/>
                <w:spacing w:val="-2"/>
                <w:szCs w:val="21"/>
              </w:rPr>
            </w:pPr>
            <w:r>
              <w:rPr>
                <w:rFonts w:hint="eastAsia" w:eastAsia="方正仿宋_GBK"/>
                <w:color w:val="000000"/>
                <w:spacing w:val="-2"/>
                <w:szCs w:val="21"/>
              </w:rPr>
              <w:t>房屋单价、车库单价合计栏填写均价。</w:t>
            </w:r>
          </w:p>
        </w:tc>
      </w:tr>
    </w:tbl>
    <w:p>
      <w:pPr>
        <w:spacing w:line="360" w:lineRule="auto"/>
        <w:rPr>
          <w:rFonts w:eastAsia="方正楷体_GBK"/>
          <w:color w:val="000000"/>
          <w:spacing w:val="-2"/>
          <w:sz w:val="24"/>
        </w:rPr>
      </w:pPr>
      <w:r>
        <w:rPr>
          <w:rFonts w:hint="eastAsia" w:eastAsia="方正楷体_GBK"/>
          <w:color w:val="000000"/>
          <w:spacing w:val="-2"/>
          <w:sz w:val="24"/>
        </w:rPr>
        <w:t>（如一次同时申报多幢商品房预售，请按上述表格格式复制后粘贴）。</w:t>
      </w:r>
    </w:p>
    <w:p>
      <w:pPr>
        <w:spacing w:line="360" w:lineRule="auto"/>
        <w:ind w:firstLine="552" w:firstLineChars="200"/>
        <w:outlineLvl w:val="0"/>
        <w:rPr>
          <w:rFonts w:ascii="Times New Roman" w:hAnsi="Times New Roman" w:eastAsia="方正黑体_GBK"/>
          <w:color w:val="000000"/>
          <w:spacing w:val="-2"/>
          <w:sz w:val="24"/>
        </w:rPr>
      </w:pPr>
      <w:r>
        <w:rPr>
          <w:rFonts w:hint="eastAsia" w:ascii="Times New Roman" w:eastAsia="黑体"/>
          <w:color w:val="000000"/>
          <w:spacing w:val="-2"/>
          <w:sz w:val="28"/>
          <w:szCs w:val="28"/>
        </w:rPr>
        <w:br w:type="column"/>
      </w:r>
      <w:bookmarkStart w:id="24" w:name="_Toc20726290"/>
      <w:bookmarkStart w:id="25" w:name="_Toc20667764"/>
      <w:bookmarkStart w:id="26" w:name="_Toc18315370"/>
      <w:r>
        <w:rPr>
          <w:rFonts w:hint="eastAsia" w:ascii="Times New Roman" w:eastAsia="方正黑体_GBK"/>
          <w:color w:val="000000"/>
          <w:spacing w:val="-2"/>
          <w:sz w:val="24"/>
        </w:rPr>
        <w:t xml:space="preserve">第三条  </w:t>
      </w:r>
      <w:r>
        <w:rPr>
          <w:rFonts w:hint="eastAsia" w:ascii="Times New Roman" w:eastAsia="方正黑体_GBK"/>
          <w:bCs/>
          <w:color w:val="000000"/>
          <w:spacing w:val="-2"/>
          <w:sz w:val="24"/>
        </w:rPr>
        <w:t>小区配套用房情况</w:t>
      </w:r>
      <w:bookmarkEnd w:id="24"/>
      <w:bookmarkEnd w:id="25"/>
      <w:bookmarkEnd w:id="26"/>
    </w:p>
    <w:tbl>
      <w:tblPr>
        <w:tblStyle w:val="12"/>
        <w:tblW w:w="0" w:type="auto"/>
        <w:tblInd w:w="9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8"/>
        <w:gridCol w:w="532"/>
        <w:gridCol w:w="1389"/>
        <w:gridCol w:w="1412"/>
        <w:gridCol w:w="1417"/>
        <w:gridCol w:w="1115"/>
        <w:gridCol w:w="1404"/>
        <w:gridCol w:w="88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3" w:hRule="exact"/>
        </w:trPr>
        <w:tc>
          <w:tcPr>
            <w:tcW w:w="1170" w:type="dxa"/>
            <w:gridSpan w:val="2"/>
            <w:tcBorders>
              <w:top w:val="single" w:color="auto" w:sz="8" w:space="0"/>
              <w:left w:val="single" w:color="auto" w:sz="8" w:space="0"/>
              <w:bottom w:val="single" w:color="auto" w:sz="4" w:space="0"/>
              <w:right w:val="single" w:color="auto" w:sz="4" w:space="0"/>
            </w:tcBorders>
            <w:noWrap w:val="0"/>
            <w:vAlign w:val="center"/>
          </w:tcPr>
          <w:p>
            <w:pPr>
              <w:spacing w:line="360" w:lineRule="exact"/>
              <w:jc w:val="center"/>
              <w:rPr>
                <w:rFonts w:eastAsia="方正黑体_GBK"/>
                <w:bCs/>
                <w:color w:val="000000"/>
                <w:spacing w:val="-2"/>
                <w:szCs w:val="21"/>
              </w:rPr>
            </w:pPr>
            <w:r>
              <w:rPr>
                <w:rFonts w:hint="eastAsia" w:eastAsia="方正黑体_GBK"/>
                <w:bCs/>
                <w:color w:val="000000"/>
                <w:spacing w:val="-2"/>
                <w:szCs w:val="21"/>
              </w:rPr>
              <w:t>名</w:t>
            </w:r>
            <w:r>
              <w:rPr>
                <w:rFonts w:eastAsia="方正黑体_GBK"/>
                <w:bCs/>
                <w:color w:val="000000"/>
                <w:spacing w:val="-2"/>
                <w:szCs w:val="21"/>
              </w:rPr>
              <w:t xml:space="preserve">  </w:t>
            </w:r>
            <w:r>
              <w:rPr>
                <w:rFonts w:hint="eastAsia" w:eastAsia="方正黑体_GBK"/>
                <w:bCs/>
                <w:color w:val="000000"/>
                <w:spacing w:val="-2"/>
                <w:szCs w:val="21"/>
              </w:rPr>
              <w:t>称</w:t>
            </w:r>
          </w:p>
        </w:tc>
        <w:tc>
          <w:tcPr>
            <w:tcW w:w="1389" w:type="dxa"/>
            <w:tcBorders>
              <w:top w:val="single" w:color="auto" w:sz="8" w:space="0"/>
              <w:left w:val="single" w:color="auto" w:sz="4" w:space="0"/>
              <w:bottom w:val="single" w:color="auto" w:sz="4" w:space="0"/>
              <w:right w:val="single" w:color="auto" w:sz="4" w:space="0"/>
            </w:tcBorders>
            <w:noWrap w:val="0"/>
            <w:vAlign w:val="center"/>
          </w:tcPr>
          <w:p>
            <w:pPr>
              <w:spacing w:line="360" w:lineRule="exact"/>
              <w:jc w:val="center"/>
              <w:rPr>
                <w:rFonts w:eastAsia="方正黑体_GBK"/>
                <w:bCs/>
                <w:color w:val="000000"/>
                <w:spacing w:val="-2"/>
                <w:szCs w:val="21"/>
              </w:rPr>
            </w:pPr>
            <w:r>
              <w:rPr>
                <w:rFonts w:hint="eastAsia" w:eastAsia="方正黑体_GBK"/>
                <w:bCs/>
                <w:color w:val="000000"/>
                <w:spacing w:val="-2"/>
                <w:szCs w:val="21"/>
              </w:rPr>
              <w:t>规划面积</w:t>
            </w:r>
          </w:p>
        </w:tc>
        <w:tc>
          <w:tcPr>
            <w:tcW w:w="1412" w:type="dxa"/>
            <w:tcBorders>
              <w:top w:val="single" w:color="auto" w:sz="8" w:space="0"/>
              <w:left w:val="single" w:color="auto" w:sz="4" w:space="0"/>
              <w:bottom w:val="single" w:color="auto" w:sz="4" w:space="0"/>
              <w:right w:val="single" w:color="auto" w:sz="4" w:space="0"/>
            </w:tcBorders>
            <w:noWrap w:val="0"/>
            <w:vAlign w:val="center"/>
          </w:tcPr>
          <w:p>
            <w:pPr>
              <w:spacing w:line="360" w:lineRule="exact"/>
              <w:jc w:val="center"/>
              <w:rPr>
                <w:rFonts w:eastAsia="方正黑体_GBK"/>
                <w:bCs/>
                <w:color w:val="000000"/>
                <w:spacing w:val="-2"/>
                <w:szCs w:val="21"/>
              </w:rPr>
            </w:pPr>
            <w:r>
              <w:rPr>
                <w:rFonts w:hint="eastAsia" w:eastAsia="方正黑体_GBK"/>
                <w:bCs/>
                <w:color w:val="000000"/>
                <w:spacing w:val="-2"/>
                <w:szCs w:val="21"/>
              </w:rPr>
              <w:t>规划定位</w:t>
            </w:r>
          </w:p>
        </w:tc>
        <w:tc>
          <w:tcPr>
            <w:tcW w:w="1417" w:type="dxa"/>
            <w:tcBorders>
              <w:top w:val="single" w:color="auto" w:sz="8" w:space="0"/>
              <w:left w:val="single" w:color="auto" w:sz="4" w:space="0"/>
              <w:bottom w:val="single" w:color="auto" w:sz="4" w:space="0"/>
              <w:right w:val="single" w:color="auto" w:sz="4" w:space="0"/>
            </w:tcBorders>
            <w:noWrap w:val="0"/>
            <w:vAlign w:val="center"/>
          </w:tcPr>
          <w:p>
            <w:pPr>
              <w:spacing w:line="360" w:lineRule="exact"/>
              <w:jc w:val="center"/>
              <w:rPr>
                <w:rFonts w:eastAsia="方正黑体_GBK"/>
                <w:bCs/>
                <w:color w:val="000000"/>
                <w:spacing w:val="-2"/>
                <w:szCs w:val="21"/>
              </w:rPr>
            </w:pPr>
            <w:r>
              <w:rPr>
                <w:rFonts w:hint="eastAsia" w:eastAsia="方正黑体_GBK"/>
                <w:bCs/>
                <w:color w:val="000000"/>
                <w:spacing w:val="-2"/>
                <w:szCs w:val="21"/>
              </w:rPr>
              <w:t>建筑面积（</w:t>
            </w:r>
            <w:r>
              <w:rPr>
                <w:rFonts w:eastAsia="方正黑体_GBK"/>
                <w:bCs/>
                <w:color w:val="000000"/>
                <w:spacing w:val="-2"/>
                <w:szCs w:val="21"/>
              </w:rPr>
              <w:t>m</w:t>
            </w:r>
            <w:r>
              <w:rPr>
                <w:rFonts w:eastAsia="方正黑体_GBK"/>
                <w:bCs/>
                <w:color w:val="000000"/>
                <w:spacing w:val="-2"/>
                <w:szCs w:val="21"/>
                <w:vertAlign w:val="superscript"/>
              </w:rPr>
              <w:t>2</w:t>
            </w:r>
            <w:r>
              <w:rPr>
                <w:rFonts w:hint="eastAsia" w:eastAsia="方正黑体_GBK"/>
                <w:bCs/>
                <w:color w:val="000000"/>
                <w:spacing w:val="-2"/>
                <w:szCs w:val="21"/>
              </w:rPr>
              <w:t>）</w:t>
            </w:r>
          </w:p>
        </w:tc>
        <w:tc>
          <w:tcPr>
            <w:tcW w:w="1115" w:type="dxa"/>
            <w:tcBorders>
              <w:top w:val="single" w:color="auto" w:sz="8" w:space="0"/>
              <w:left w:val="single" w:color="auto" w:sz="4" w:space="0"/>
              <w:bottom w:val="single" w:color="auto" w:sz="4" w:space="0"/>
              <w:right w:val="single" w:color="auto" w:sz="4" w:space="0"/>
            </w:tcBorders>
            <w:noWrap w:val="0"/>
            <w:vAlign w:val="center"/>
          </w:tcPr>
          <w:p>
            <w:pPr>
              <w:spacing w:line="360" w:lineRule="exact"/>
              <w:jc w:val="center"/>
              <w:rPr>
                <w:rFonts w:eastAsia="方正黑体_GBK"/>
                <w:bCs/>
                <w:color w:val="000000"/>
                <w:spacing w:val="-2"/>
                <w:szCs w:val="21"/>
              </w:rPr>
            </w:pPr>
            <w:r>
              <w:rPr>
                <w:rFonts w:hint="eastAsia" w:eastAsia="方正黑体_GBK"/>
                <w:bCs/>
                <w:color w:val="000000"/>
                <w:spacing w:val="-2"/>
                <w:szCs w:val="21"/>
              </w:rPr>
              <w:t>预计交付</w:t>
            </w:r>
          </w:p>
          <w:p>
            <w:pPr>
              <w:spacing w:line="360" w:lineRule="exact"/>
              <w:jc w:val="center"/>
              <w:rPr>
                <w:rFonts w:eastAsia="方正黑体_GBK"/>
                <w:bCs/>
                <w:color w:val="000000"/>
                <w:spacing w:val="-2"/>
                <w:szCs w:val="21"/>
              </w:rPr>
            </w:pPr>
            <w:r>
              <w:rPr>
                <w:rFonts w:hint="eastAsia" w:eastAsia="方正黑体_GBK"/>
                <w:bCs/>
                <w:color w:val="000000"/>
                <w:spacing w:val="-2"/>
                <w:szCs w:val="21"/>
              </w:rPr>
              <w:t>时</w:t>
            </w:r>
            <w:r>
              <w:rPr>
                <w:rFonts w:eastAsia="方正黑体_GBK"/>
                <w:bCs/>
                <w:color w:val="000000"/>
                <w:spacing w:val="-2"/>
                <w:szCs w:val="21"/>
              </w:rPr>
              <w:t xml:space="preserve">  </w:t>
            </w:r>
            <w:r>
              <w:rPr>
                <w:rFonts w:hint="eastAsia" w:eastAsia="方正黑体_GBK"/>
                <w:bCs/>
                <w:color w:val="000000"/>
                <w:spacing w:val="-2"/>
                <w:szCs w:val="21"/>
              </w:rPr>
              <w:t>间</w:t>
            </w:r>
          </w:p>
        </w:tc>
        <w:tc>
          <w:tcPr>
            <w:tcW w:w="1404" w:type="dxa"/>
            <w:tcBorders>
              <w:top w:val="single" w:color="auto" w:sz="8" w:space="0"/>
              <w:left w:val="single" w:color="auto" w:sz="4" w:space="0"/>
              <w:bottom w:val="single" w:color="auto" w:sz="4" w:space="0"/>
              <w:right w:val="single" w:color="auto" w:sz="4" w:space="0"/>
            </w:tcBorders>
            <w:noWrap w:val="0"/>
            <w:vAlign w:val="center"/>
          </w:tcPr>
          <w:p>
            <w:pPr>
              <w:spacing w:line="360" w:lineRule="exact"/>
              <w:jc w:val="center"/>
              <w:rPr>
                <w:rFonts w:eastAsia="方正黑体_GBK"/>
                <w:bCs/>
                <w:color w:val="000000"/>
                <w:spacing w:val="-2"/>
                <w:szCs w:val="21"/>
              </w:rPr>
            </w:pPr>
            <w:r>
              <w:rPr>
                <w:rFonts w:hint="eastAsia" w:eastAsia="方正黑体_GBK"/>
                <w:bCs/>
                <w:color w:val="000000"/>
                <w:spacing w:val="-2"/>
                <w:szCs w:val="21"/>
              </w:rPr>
              <w:t>所有权归属</w:t>
            </w:r>
          </w:p>
        </w:tc>
        <w:tc>
          <w:tcPr>
            <w:tcW w:w="883" w:type="dxa"/>
            <w:tcBorders>
              <w:top w:val="single" w:color="auto" w:sz="8" w:space="0"/>
              <w:left w:val="single" w:color="auto" w:sz="4" w:space="0"/>
              <w:bottom w:val="single" w:color="auto" w:sz="4" w:space="0"/>
              <w:right w:val="single" w:color="auto" w:sz="8" w:space="0"/>
            </w:tcBorders>
            <w:noWrap w:val="0"/>
            <w:vAlign w:val="center"/>
          </w:tcPr>
          <w:p>
            <w:pPr>
              <w:spacing w:line="360" w:lineRule="exact"/>
              <w:jc w:val="center"/>
              <w:rPr>
                <w:rFonts w:eastAsia="方正黑体_GBK"/>
                <w:bCs/>
                <w:color w:val="000000"/>
                <w:spacing w:val="-2"/>
                <w:szCs w:val="21"/>
              </w:rPr>
            </w:pPr>
            <w:r>
              <w:rPr>
                <w:rFonts w:hint="eastAsia" w:eastAsia="方正黑体_GBK"/>
                <w:bCs/>
                <w:color w:val="000000"/>
                <w:spacing w:val="-2"/>
                <w:szCs w:val="21"/>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38" w:type="dxa"/>
            <w:vMerge w:val="restart"/>
            <w:tcBorders>
              <w:top w:val="single" w:color="auto" w:sz="4" w:space="0"/>
              <w:left w:val="single" w:color="auto" w:sz="8"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r>
              <w:rPr>
                <w:rFonts w:hint="eastAsia" w:eastAsia="方正仿宋_GBK"/>
                <w:bCs/>
                <w:color w:val="000000"/>
                <w:spacing w:val="-2"/>
                <w:szCs w:val="21"/>
              </w:rPr>
              <w:t>物业服务用房</w:t>
            </w:r>
          </w:p>
        </w:tc>
        <w:tc>
          <w:tcPr>
            <w:tcW w:w="53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r>
              <w:rPr>
                <w:rFonts w:eastAsia="方正仿宋_GBK"/>
                <w:bCs/>
                <w:color w:val="000000"/>
                <w:spacing w:val="-2"/>
                <w:szCs w:val="21"/>
              </w:rPr>
              <w:t>1</w:t>
            </w:r>
          </w:p>
        </w:tc>
        <w:tc>
          <w:tcPr>
            <w:tcW w:w="138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1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11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883"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bCs/>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38"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bCs/>
                <w:color w:val="000000"/>
                <w:spacing w:val="-2"/>
                <w:szCs w:val="21"/>
              </w:rPr>
            </w:pPr>
          </w:p>
        </w:tc>
        <w:tc>
          <w:tcPr>
            <w:tcW w:w="53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r>
              <w:rPr>
                <w:rFonts w:eastAsia="方正仿宋_GBK"/>
                <w:bCs/>
                <w:color w:val="000000"/>
                <w:spacing w:val="-2"/>
                <w:szCs w:val="21"/>
              </w:rPr>
              <w:t>2</w:t>
            </w:r>
          </w:p>
        </w:tc>
        <w:tc>
          <w:tcPr>
            <w:tcW w:w="138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1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11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883"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bCs/>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38"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bCs/>
                <w:color w:val="000000"/>
                <w:spacing w:val="-2"/>
                <w:szCs w:val="21"/>
              </w:rPr>
            </w:pPr>
          </w:p>
        </w:tc>
        <w:tc>
          <w:tcPr>
            <w:tcW w:w="53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r>
              <w:rPr>
                <w:rFonts w:eastAsia="方正仿宋_GBK"/>
                <w:bCs/>
                <w:color w:val="000000"/>
                <w:spacing w:val="-2"/>
                <w:szCs w:val="21"/>
              </w:rPr>
              <w:t>3</w:t>
            </w:r>
          </w:p>
        </w:tc>
        <w:tc>
          <w:tcPr>
            <w:tcW w:w="138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1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11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883"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bCs/>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38" w:type="dxa"/>
            <w:vMerge w:val="restart"/>
            <w:tcBorders>
              <w:top w:val="single" w:color="auto" w:sz="4" w:space="0"/>
              <w:left w:val="single" w:color="auto" w:sz="8"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r>
              <w:rPr>
                <w:rFonts w:hint="eastAsia" w:eastAsia="方正仿宋_GBK"/>
                <w:bCs/>
                <w:color w:val="000000"/>
                <w:spacing w:val="-2"/>
                <w:szCs w:val="21"/>
              </w:rPr>
              <w:t>社区用房</w:t>
            </w:r>
          </w:p>
        </w:tc>
        <w:tc>
          <w:tcPr>
            <w:tcW w:w="53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r>
              <w:rPr>
                <w:rFonts w:eastAsia="方正仿宋_GBK"/>
                <w:bCs/>
                <w:color w:val="000000"/>
                <w:spacing w:val="-2"/>
                <w:szCs w:val="21"/>
              </w:rPr>
              <w:t>1</w:t>
            </w:r>
          </w:p>
        </w:tc>
        <w:tc>
          <w:tcPr>
            <w:tcW w:w="138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1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11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883"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bCs/>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38"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bCs/>
                <w:color w:val="000000"/>
                <w:spacing w:val="-2"/>
                <w:szCs w:val="21"/>
              </w:rPr>
            </w:pPr>
          </w:p>
        </w:tc>
        <w:tc>
          <w:tcPr>
            <w:tcW w:w="53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r>
              <w:rPr>
                <w:rFonts w:eastAsia="方正仿宋_GBK"/>
                <w:bCs/>
                <w:color w:val="000000"/>
                <w:spacing w:val="-2"/>
                <w:szCs w:val="21"/>
              </w:rPr>
              <w:t>2</w:t>
            </w:r>
          </w:p>
        </w:tc>
        <w:tc>
          <w:tcPr>
            <w:tcW w:w="138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1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11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883"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bCs/>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38"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bCs/>
                <w:color w:val="000000"/>
                <w:spacing w:val="-2"/>
                <w:szCs w:val="21"/>
              </w:rPr>
            </w:pPr>
          </w:p>
        </w:tc>
        <w:tc>
          <w:tcPr>
            <w:tcW w:w="53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r>
              <w:rPr>
                <w:rFonts w:eastAsia="方正仿宋_GBK"/>
                <w:bCs/>
                <w:color w:val="000000"/>
                <w:spacing w:val="-2"/>
                <w:szCs w:val="21"/>
              </w:rPr>
              <w:t>3</w:t>
            </w:r>
          </w:p>
        </w:tc>
        <w:tc>
          <w:tcPr>
            <w:tcW w:w="138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1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11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883"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bCs/>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38" w:type="dxa"/>
            <w:vMerge w:val="restart"/>
            <w:tcBorders>
              <w:top w:val="single" w:color="auto" w:sz="4" w:space="0"/>
              <w:left w:val="single" w:color="auto" w:sz="8"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r>
              <w:rPr>
                <w:rFonts w:hint="eastAsia" w:eastAsia="方正仿宋_GBK"/>
                <w:bCs/>
                <w:color w:val="000000"/>
                <w:spacing w:val="-2"/>
                <w:szCs w:val="21"/>
              </w:rPr>
              <w:t>公共</w:t>
            </w:r>
          </w:p>
          <w:p>
            <w:pPr>
              <w:spacing w:line="360" w:lineRule="exact"/>
              <w:jc w:val="center"/>
              <w:rPr>
                <w:rFonts w:eastAsia="方正仿宋_GBK"/>
                <w:bCs/>
                <w:color w:val="000000"/>
                <w:spacing w:val="-2"/>
                <w:szCs w:val="21"/>
              </w:rPr>
            </w:pPr>
            <w:r>
              <w:rPr>
                <w:rFonts w:hint="eastAsia" w:eastAsia="方正仿宋_GBK"/>
                <w:bCs/>
                <w:color w:val="000000"/>
                <w:spacing w:val="-2"/>
                <w:szCs w:val="21"/>
              </w:rPr>
              <w:t>车场</w:t>
            </w:r>
          </w:p>
        </w:tc>
        <w:tc>
          <w:tcPr>
            <w:tcW w:w="53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r>
              <w:rPr>
                <w:rFonts w:eastAsia="方正仿宋_GBK"/>
                <w:bCs/>
                <w:color w:val="000000"/>
                <w:spacing w:val="-2"/>
                <w:szCs w:val="21"/>
              </w:rPr>
              <w:t>1</w:t>
            </w:r>
          </w:p>
        </w:tc>
        <w:tc>
          <w:tcPr>
            <w:tcW w:w="138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1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11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883"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bCs/>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38"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bCs/>
                <w:color w:val="000000"/>
                <w:spacing w:val="-2"/>
                <w:szCs w:val="21"/>
              </w:rPr>
            </w:pPr>
          </w:p>
        </w:tc>
        <w:tc>
          <w:tcPr>
            <w:tcW w:w="53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r>
              <w:rPr>
                <w:rFonts w:eastAsia="方正仿宋_GBK"/>
                <w:bCs/>
                <w:color w:val="000000"/>
                <w:spacing w:val="-2"/>
                <w:szCs w:val="21"/>
              </w:rPr>
              <w:t>2</w:t>
            </w:r>
          </w:p>
        </w:tc>
        <w:tc>
          <w:tcPr>
            <w:tcW w:w="138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1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11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883"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bCs/>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38"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bCs/>
                <w:color w:val="000000"/>
                <w:spacing w:val="-2"/>
                <w:szCs w:val="21"/>
              </w:rPr>
            </w:pPr>
          </w:p>
        </w:tc>
        <w:tc>
          <w:tcPr>
            <w:tcW w:w="53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r>
              <w:rPr>
                <w:rFonts w:eastAsia="方正仿宋_GBK"/>
                <w:bCs/>
                <w:color w:val="000000"/>
                <w:spacing w:val="-2"/>
                <w:szCs w:val="21"/>
              </w:rPr>
              <w:t>3</w:t>
            </w:r>
          </w:p>
        </w:tc>
        <w:tc>
          <w:tcPr>
            <w:tcW w:w="138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1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11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883"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bCs/>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38" w:type="dxa"/>
            <w:vMerge w:val="restart"/>
            <w:tcBorders>
              <w:top w:val="single" w:color="auto" w:sz="4" w:space="0"/>
              <w:left w:val="single" w:color="auto" w:sz="8"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r>
              <w:rPr>
                <w:rFonts w:hint="eastAsia" w:eastAsia="方正仿宋_GBK"/>
                <w:bCs/>
                <w:color w:val="000000"/>
                <w:spacing w:val="-2"/>
                <w:szCs w:val="21"/>
              </w:rPr>
              <w:t>公共</w:t>
            </w:r>
          </w:p>
          <w:p>
            <w:pPr>
              <w:spacing w:line="360" w:lineRule="exact"/>
              <w:jc w:val="center"/>
              <w:rPr>
                <w:rFonts w:eastAsia="方正仿宋_GBK"/>
                <w:bCs/>
                <w:color w:val="000000"/>
                <w:spacing w:val="-2"/>
                <w:szCs w:val="21"/>
              </w:rPr>
            </w:pPr>
            <w:r>
              <w:rPr>
                <w:rFonts w:hint="eastAsia" w:eastAsia="方正仿宋_GBK"/>
                <w:bCs/>
                <w:color w:val="000000"/>
                <w:spacing w:val="-2"/>
                <w:szCs w:val="21"/>
              </w:rPr>
              <w:t>车库</w:t>
            </w:r>
          </w:p>
        </w:tc>
        <w:tc>
          <w:tcPr>
            <w:tcW w:w="53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r>
              <w:rPr>
                <w:rFonts w:eastAsia="方正仿宋_GBK"/>
                <w:bCs/>
                <w:color w:val="000000"/>
                <w:spacing w:val="-2"/>
                <w:szCs w:val="21"/>
              </w:rPr>
              <w:t>1</w:t>
            </w:r>
          </w:p>
        </w:tc>
        <w:tc>
          <w:tcPr>
            <w:tcW w:w="138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1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11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883"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bCs/>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38"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bCs/>
                <w:color w:val="000000"/>
                <w:spacing w:val="-2"/>
                <w:szCs w:val="21"/>
              </w:rPr>
            </w:pPr>
          </w:p>
        </w:tc>
        <w:tc>
          <w:tcPr>
            <w:tcW w:w="53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r>
              <w:rPr>
                <w:rFonts w:eastAsia="方正仿宋_GBK"/>
                <w:bCs/>
                <w:color w:val="000000"/>
                <w:spacing w:val="-2"/>
                <w:szCs w:val="21"/>
              </w:rPr>
              <w:t>2</w:t>
            </w:r>
          </w:p>
        </w:tc>
        <w:tc>
          <w:tcPr>
            <w:tcW w:w="138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1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11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883"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bCs/>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38"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bCs/>
                <w:color w:val="000000"/>
                <w:spacing w:val="-2"/>
                <w:szCs w:val="21"/>
              </w:rPr>
            </w:pPr>
          </w:p>
        </w:tc>
        <w:tc>
          <w:tcPr>
            <w:tcW w:w="53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r>
              <w:rPr>
                <w:rFonts w:eastAsia="方正仿宋_GBK"/>
                <w:bCs/>
                <w:color w:val="000000"/>
                <w:spacing w:val="-2"/>
                <w:szCs w:val="21"/>
              </w:rPr>
              <w:t>3</w:t>
            </w:r>
          </w:p>
        </w:tc>
        <w:tc>
          <w:tcPr>
            <w:tcW w:w="138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1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11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883"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bCs/>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38" w:type="dxa"/>
            <w:vMerge w:val="restart"/>
            <w:tcBorders>
              <w:top w:val="single" w:color="auto" w:sz="4" w:space="0"/>
              <w:left w:val="single" w:color="auto" w:sz="8"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r>
              <w:rPr>
                <w:rFonts w:hint="eastAsia" w:eastAsia="方正仿宋_GBK"/>
                <w:bCs/>
                <w:color w:val="000000"/>
                <w:spacing w:val="-2"/>
                <w:szCs w:val="21"/>
              </w:rPr>
              <w:t>文体</w:t>
            </w:r>
          </w:p>
          <w:p>
            <w:pPr>
              <w:spacing w:line="360" w:lineRule="exact"/>
              <w:jc w:val="center"/>
              <w:rPr>
                <w:rFonts w:eastAsia="方正仿宋_GBK"/>
                <w:bCs/>
                <w:color w:val="000000"/>
                <w:spacing w:val="-2"/>
                <w:szCs w:val="21"/>
              </w:rPr>
            </w:pPr>
            <w:r>
              <w:rPr>
                <w:rFonts w:hint="eastAsia" w:eastAsia="方正仿宋_GBK"/>
                <w:bCs/>
                <w:color w:val="000000"/>
                <w:spacing w:val="-2"/>
                <w:szCs w:val="21"/>
              </w:rPr>
              <w:t>活动</w:t>
            </w:r>
          </w:p>
          <w:p>
            <w:pPr>
              <w:spacing w:line="360" w:lineRule="exact"/>
              <w:jc w:val="center"/>
              <w:rPr>
                <w:rFonts w:eastAsia="方正仿宋_GBK"/>
                <w:bCs/>
                <w:color w:val="000000"/>
                <w:spacing w:val="-2"/>
                <w:szCs w:val="21"/>
              </w:rPr>
            </w:pPr>
            <w:r>
              <w:rPr>
                <w:rFonts w:hint="eastAsia" w:eastAsia="方正仿宋_GBK"/>
                <w:bCs/>
                <w:color w:val="000000"/>
                <w:spacing w:val="-2"/>
                <w:szCs w:val="21"/>
              </w:rPr>
              <w:t>中心</w:t>
            </w:r>
            <w:r>
              <w:rPr>
                <w:rFonts w:eastAsia="方正仿宋_GBK"/>
                <w:bCs/>
                <w:color w:val="000000"/>
                <w:spacing w:val="-2"/>
                <w:szCs w:val="21"/>
              </w:rPr>
              <w:t xml:space="preserve">    </w:t>
            </w:r>
          </w:p>
        </w:tc>
        <w:tc>
          <w:tcPr>
            <w:tcW w:w="53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r>
              <w:rPr>
                <w:rFonts w:eastAsia="方正仿宋_GBK"/>
                <w:bCs/>
                <w:color w:val="000000"/>
                <w:spacing w:val="-2"/>
                <w:szCs w:val="21"/>
              </w:rPr>
              <w:t>1</w:t>
            </w:r>
          </w:p>
        </w:tc>
        <w:tc>
          <w:tcPr>
            <w:tcW w:w="138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1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11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883"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bCs/>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38"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bCs/>
                <w:color w:val="000000"/>
                <w:spacing w:val="-2"/>
                <w:szCs w:val="21"/>
              </w:rPr>
            </w:pPr>
          </w:p>
        </w:tc>
        <w:tc>
          <w:tcPr>
            <w:tcW w:w="53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r>
              <w:rPr>
                <w:rFonts w:eastAsia="方正仿宋_GBK"/>
                <w:bCs/>
                <w:color w:val="000000"/>
                <w:spacing w:val="-2"/>
                <w:szCs w:val="21"/>
              </w:rPr>
              <w:t>2</w:t>
            </w:r>
          </w:p>
        </w:tc>
        <w:tc>
          <w:tcPr>
            <w:tcW w:w="138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1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11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883"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bCs/>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38"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bCs/>
                <w:color w:val="000000"/>
                <w:spacing w:val="-2"/>
                <w:szCs w:val="21"/>
              </w:rPr>
            </w:pPr>
          </w:p>
        </w:tc>
        <w:tc>
          <w:tcPr>
            <w:tcW w:w="53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r>
              <w:rPr>
                <w:rFonts w:eastAsia="方正仿宋_GBK"/>
                <w:bCs/>
                <w:color w:val="000000"/>
                <w:spacing w:val="-2"/>
                <w:szCs w:val="21"/>
              </w:rPr>
              <w:t>3</w:t>
            </w:r>
          </w:p>
        </w:tc>
        <w:tc>
          <w:tcPr>
            <w:tcW w:w="138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1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11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883"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bCs/>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38" w:type="dxa"/>
            <w:tcBorders>
              <w:top w:val="single" w:color="auto" w:sz="4" w:space="0"/>
              <w:left w:val="single" w:color="auto" w:sz="8"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r>
              <w:rPr>
                <w:rFonts w:hint="eastAsia" w:eastAsia="方正仿宋_GBK"/>
                <w:bCs/>
                <w:color w:val="000000"/>
                <w:spacing w:val="-2"/>
                <w:szCs w:val="21"/>
              </w:rPr>
              <w:t>会所</w:t>
            </w:r>
          </w:p>
        </w:tc>
        <w:tc>
          <w:tcPr>
            <w:tcW w:w="53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38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1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11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883"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bCs/>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0" w:hRule="exact"/>
        </w:trPr>
        <w:tc>
          <w:tcPr>
            <w:tcW w:w="638" w:type="dxa"/>
            <w:tcBorders>
              <w:top w:val="single" w:color="auto" w:sz="4" w:space="0"/>
              <w:left w:val="single" w:color="auto" w:sz="8"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r>
              <w:rPr>
                <w:rFonts w:hint="eastAsia" w:eastAsia="方正仿宋_GBK"/>
                <w:bCs/>
                <w:color w:val="000000"/>
                <w:spacing w:val="-2"/>
                <w:szCs w:val="21"/>
              </w:rPr>
              <w:t>幼儿园</w:t>
            </w:r>
          </w:p>
        </w:tc>
        <w:tc>
          <w:tcPr>
            <w:tcW w:w="53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38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1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11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883"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bCs/>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6" w:hRule="exact"/>
        </w:trPr>
        <w:tc>
          <w:tcPr>
            <w:tcW w:w="638" w:type="dxa"/>
            <w:tcBorders>
              <w:top w:val="single" w:color="auto" w:sz="4" w:space="0"/>
              <w:left w:val="single" w:color="auto" w:sz="8"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r>
              <w:rPr>
                <w:rFonts w:hint="eastAsia" w:eastAsia="方正仿宋_GBK"/>
                <w:bCs/>
                <w:color w:val="000000"/>
                <w:spacing w:val="-2"/>
                <w:szCs w:val="21"/>
              </w:rPr>
              <w:t>集贸</w:t>
            </w:r>
          </w:p>
          <w:p>
            <w:pPr>
              <w:spacing w:line="360" w:lineRule="exact"/>
              <w:jc w:val="center"/>
              <w:rPr>
                <w:rFonts w:eastAsia="方正仿宋_GBK"/>
                <w:bCs/>
                <w:color w:val="000000"/>
                <w:spacing w:val="-2"/>
                <w:szCs w:val="21"/>
              </w:rPr>
            </w:pPr>
            <w:r>
              <w:rPr>
                <w:rFonts w:hint="eastAsia" w:eastAsia="方正仿宋_GBK"/>
                <w:bCs/>
                <w:color w:val="000000"/>
                <w:spacing w:val="-2"/>
                <w:szCs w:val="21"/>
              </w:rPr>
              <w:t>市场</w:t>
            </w:r>
          </w:p>
        </w:tc>
        <w:tc>
          <w:tcPr>
            <w:tcW w:w="53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38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1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11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883"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bCs/>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38" w:type="dxa"/>
            <w:tcBorders>
              <w:top w:val="single" w:color="auto" w:sz="4" w:space="0"/>
              <w:left w:val="single" w:color="auto" w:sz="8"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53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38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1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11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p>
        </w:tc>
        <w:tc>
          <w:tcPr>
            <w:tcW w:w="883"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bCs/>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9" w:hRule="exact"/>
        </w:trPr>
        <w:tc>
          <w:tcPr>
            <w:tcW w:w="638" w:type="dxa"/>
            <w:tcBorders>
              <w:top w:val="single" w:color="auto" w:sz="4" w:space="0"/>
              <w:left w:val="single" w:color="auto" w:sz="8" w:space="0"/>
              <w:bottom w:val="single" w:color="auto" w:sz="4" w:space="0"/>
              <w:right w:val="single" w:color="auto" w:sz="4" w:space="0"/>
            </w:tcBorders>
            <w:noWrap w:val="0"/>
            <w:vAlign w:val="center"/>
          </w:tcPr>
          <w:p>
            <w:pPr>
              <w:spacing w:line="360" w:lineRule="exact"/>
              <w:jc w:val="center"/>
              <w:rPr>
                <w:rFonts w:eastAsia="方正仿宋_GBK"/>
                <w:bCs/>
                <w:color w:val="000000"/>
                <w:spacing w:val="-2"/>
                <w:szCs w:val="21"/>
              </w:rPr>
            </w:pPr>
            <w:r>
              <w:rPr>
                <w:rFonts w:hint="eastAsia" w:eastAsia="方正仿宋_GBK"/>
                <w:bCs/>
                <w:color w:val="000000"/>
                <w:spacing w:val="-2"/>
                <w:szCs w:val="21"/>
              </w:rPr>
              <w:t>封闭设施</w:t>
            </w:r>
          </w:p>
        </w:tc>
        <w:tc>
          <w:tcPr>
            <w:tcW w:w="8152" w:type="dxa"/>
            <w:gridSpan w:val="7"/>
            <w:tcBorders>
              <w:top w:val="single" w:color="auto" w:sz="4" w:space="0"/>
              <w:left w:val="single" w:color="auto" w:sz="4" w:space="0"/>
              <w:bottom w:val="single" w:color="auto" w:sz="4" w:space="0"/>
              <w:right w:val="single" w:color="auto" w:sz="8" w:space="0"/>
            </w:tcBorders>
            <w:noWrap w:val="0"/>
            <w:vAlign w:val="center"/>
          </w:tcPr>
          <w:p>
            <w:pPr>
              <w:spacing w:line="360" w:lineRule="exact"/>
              <w:rPr>
                <w:rFonts w:eastAsia="方正仿宋_GBK"/>
                <w:bCs/>
                <w:color w:val="000000"/>
                <w:spacing w:val="-2"/>
                <w:szCs w:val="21"/>
              </w:rPr>
            </w:pPr>
            <w:r>
              <w:rPr>
                <w:rFonts w:hint="eastAsia" w:eastAsia="方正仿宋_GBK"/>
                <w:bCs/>
                <w:color w:val="000000"/>
                <w:spacing w:val="-2"/>
                <w:szCs w:val="21"/>
              </w:rPr>
              <w:t>小区主入口</w:t>
            </w:r>
            <w:r>
              <w:rPr>
                <w:rFonts w:eastAsia="方正仿宋_GBK"/>
                <w:bCs/>
                <w:color w:val="000000"/>
                <w:spacing w:val="-2"/>
                <w:szCs w:val="21"/>
                <w:u w:val="single"/>
              </w:rPr>
              <w:t xml:space="preserve">      </w:t>
            </w:r>
            <w:r>
              <w:rPr>
                <w:rFonts w:hint="eastAsia" w:eastAsia="方正仿宋_GBK"/>
                <w:bCs/>
                <w:color w:val="000000"/>
                <w:spacing w:val="-2"/>
                <w:szCs w:val="21"/>
              </w:rPr>
              <w:t>（位置），小区次入口</w:t>
            </w:r>
            <w:r>
              <w:rPr>
                <w:rFonts w:eastAsia="方正仿宋_GBK"/>
                <w:bCs/>
                <w:color w:val="000000"/>
                <w:spacing w:val="-2"/>
                <w:szCs w:val="21"/>
                <w:u w:val="single"/>
              </w:rPr>
              <w:t xml:space="preserve">   </w:t>
            </w:r>
            <w:r>
              <w:rPr>
                <w:rFonts w:hint="eastAsia" w:eastAsia="方正仿宋_GBK"/>
                <w:bCs/>
                <w:color w:val="000000"/>
                <w:spacing w:val="-2"/>
                <w:szCs w:val="21"/>
              </w:rPr>
              <w:t>个</w:t>
            </w:r>
            <w:r>
              <w:rPr>
                <w:rFonts w:eastAsia="方正仿宋_GBK"/>
                <w:bCs/>
                <w:color w:val="000000"/>
                <w:spacing w:val="-2"/>
                <w:szCs w:val="21"/>
                <w:u w:val="single"/>
              </w:rPr>
              <w:t xml:space="preserve">         </w:t>
            </w:r>
            <w:r>
              <w:rPr>
                <w:rFonts w:hint="eastAsia" w:eastAsia="方正仿宋_GBK"/>
                <w:bCs/>
                <w:color w:val="000000"/>
                <w:spacing w:val="-2"/>
                <w:szCs w:val="21"/>
              </w:rPr>
              <w:t>（位置），值班室</w:t>
            </w:r>
            <w:r>
              <w:rPr>
                <w:rFonts w:eastAsia="方正仿宋_GBK"/>
                <w:bCs/>
                <w:color w:val="000000"/>
                <w:spacing w:val="-2"/>
                <w:szCs w:val="21"/>
                <w:u w:val="single"/>
              </w:rPr>
              <w:t xml:space="preserve">         </w:t>
            </w:r>
            <w:r>
              <w:rPr>
                <w:rFonts w:hint="eastAsia" w:eastAsia="方正仿宋_GBK"/>
                <w:bCs/>
                <w:color w:val="000000"/>
                <w:spacing w:val="-2"/>
                <w:szCs w:val="21"/>
              </w:rPr>
              <w:t>个，监控设施</w:t>
            </w:r>
            <w:r>
              <w:rPr>
                <w:rFonts w:eastAsia="方正仿宋_GBK"/>
                <w:bCs/>
                <w:color w:val="000000"/>
                <w:spacing w:val="-2"/>
                <w:szCs w:val="21"/>
                <w:u w:val="single"/>
              </w:rPr>
              <w:t xml:space="preserve">         </w:t>
            </w:r>
            <w:r>
              <w:rPr>
                <w:rFonts w:hint="eastAsia" w:eastAsia="方正仿宋_GBK"/>
                <w:bCs/>
                <w:color w:val="000000"/>
                <w:spacing w:val="-2"/>
                <w:szCs w:val="21"/>
              </w:rPr>
              <w:t>（有无）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38" w:type="dxa"/>
            <w:tcBorders>
              <w:top w:val="single" w:color="auto" w:sz="4" w:space="0"/>
              <w:left w:val="single" w:color="auto" w:sz="8" w:space="0"/>
              <w:bottom w:val="single" w:color="auto" w:sz="8" w:space="0"/>
              <w:right w:val="single" w:color="auto" w:sz="4" w:space="0"/>
            </w:tcBorders>
            <w:noWrap w:val="0"/>
            <w:vAlign w:val="center"/>
          </w:tcPr>
          <w:p>
            <w:pPr>
              <w:spacing w:line="360" w:lineRule="exact"/>
              <w:jc w:val="center"/>
              <w:rPr>
                <w:rFonts w:eastAsia="方正仿宋_GBK"/>
                <w:bCs/>
                <w:color w:val="000000"/>
                <w:spacing w:val="-2"/>
                <w:szCs w:val="21"/>
              </w:rPr>
            </w:pPr>
            <w:r>
              <w:rPr>
                <w:rFonts w:hint="eastAsia" w:eastAsia="方正仿宋_GBK"/>
                <w:bCs/>
                <w:color w:val="000000"/>
                <w:spacing w:val="-2"/>
                <w:szCs w:val="21"/>
              </w:rPr>
              <w:t>其它</w:t>
            </w:r>
          </w:p>
        </w:tc>
        <w:tc>
          <w:tcPr>
            <w:tcW w:w="8152" w:type="dxa"/>
            <w:gridSpan w:val="7"/>
            <w:tcBorders>
              <w:top w:val="single" w:color="auto" w:sz="4" w:space="0"/>
              <w:left w:val="single" w:color="auto" w:sz="4" w:space="0"/>
              <w:bottom w:val="single" w:color="auto" w:sz="8" w:space="0"/>
              <w:right w:val="single" w:color="auto" w:sz="8" w:space="0"/>
            </w:tcBorders>
            <w:noWrap w:val="0"/>
            <w:vAlign w:val="center"/>
          </w:tcPr>
          <w:p>
            <w:pPr>
              <w:spacing w:line="360" w:lineRule="exact"/>
              <w:rPr>
                <w:rFonts w:eastAsia="方正仿宋_GBK"/>
                <w:bCs/>
                <w:color w:val="000000"/>
                <w:spacing w:val="-2"/>
                <w:szCs w:val="21"/>
              </w:rPr>
            </w:pPr>
          </w:p>
        </w:tc>
      </w:tr>
    </w:tbl>
    <w:p>
      <w:pPr>
        <w:spacing w:line="460" w:lineRule="exact"/>
        <w:ind w:firstLine="472" w:firstLineChars="200"/>
        <w:rPr>
          <w:rFonts w:hint="eastAsia" w:ascii="Times New Roman" w:eastAsia="方正黑体_GBK"/>
          <w:color w:val="000000"/>
          <w:spacing w:val="-2"/>
          <w:sz w:val="24"/>
        </w:rPr>
      </w:pPr>
      <w:r>
        <w:rPr>
          <w:rFonts w:hint="eastAsia" w:ascii="Times New Roman" w:eastAsia="方正黑体_GBK"/>
          <w:color w:val="000000"/>
          <w:spacing w:val="-2"/>
          <w:sz w:val="24"/>
        </w:rPr>
        <w:t>第四条  价格管理</w:t>
      </w:r>
    </w:p>
    <w:p>
      <w:pPr>
        <w:spacing w:line="460" w:lineRule="exact"/>
        <w:ind w:firstLine="472" w:firstLineChars="200"/>
        <w:rPr>
          <w:rFonts w:hint="eastAsia" w:eastAsia="方正仿宋_GBK"/>
          <w:color w:val="000000"/>
          <w:spacing w:val="-2"/>
          <w:sz w:val="24"/>
        </w:rPr>
      </w:pPr>
      <w:r>
        <w:rPr>
          <w:rFonts w:eastAsia="方正仿宋_GBK"/>
          <w:color w:val="000000"/>
          <w:spacing w:val="-2"/>
          <w:sz w:val="24"/>
        </w:rPr>
        <w:t>1. </w:t>
      </w:r>
      <w:r>
        <w:rPr>
          <w:rFonts w:hint="eastAsia" w:eastAsia="方正仿宋_GBK"/>
          <w:color w:val="000000"/>
          <w:spacing w:val="-2"/>
          <w:sz w:val="24"/>
        </w:rPr>
        <w:t>本次申请预售商品房价格保持相对稳定，确需上浮申报价格的，履行相关手续后再作调整。</w:t>
      </w:r>
    </w:p>
    <w:p>
      <w:pPr>
        <w:spacing w:line="460" w:lineRule="exact"/>
        <w:ind w:firstLine="472" w:firstLineChars="200"/>
        <w:rPr>
          <w:rFonts w:eastAsia="方正仿宋_GBK"/>
          <w:color w:val="000000"/>
          <w:spacing w:val="-2"/>
          <w:sz w:val="24"/>
        </w:rPr>
      </w:pPr>
      <w:r>
        <w:rPr>
          <w:rFonts w:eastAsia="方正仿宋_GBK"/>
          <w:color w:val="000000"/>
          <w:spacing w:val="-2"/>
          <w:sz w:val="24"/>
        </w:rPr>
        <w:t>2. </w:t>
      </w:r>
      <w:r>
        <w:rPr>
          <w:rFonts w:hint="eastAsia" w:eastAsia="方正仿宋_GBK"/>
          <w:color w:val="000000"/>
          <w:spacing w:val="-2"/>
          <w:sz w:val="24"/>
        </w:rPr>
        <w:t>本次申请预售商品房价格（均价）分别为：住宅</w:t>
      </w:r>
      <w:r>
        <w:rPr>
          <w:rFonts w:eastAsia="方正仿宋_GBK"/>
          <w:color w:val="000000"/>
          <w:spacing w:val="-2"/>
          <w:sz w:val="24"/>
          <w:u w:val="single"/>
        </w:rPr>
        <w:t xml:space="preserve">      </w:t>
      </w:r>
      <w:r>
        <w:rPr>
          <w:rFonts w:hint="eastAsia" w:eastAsia="方正仿宋_GBK"/>
          <w:color w:val="000000"/>
          <w:spacing w:val="-2"/>
          <w:sz w:val="24"/>
        </w:rPr>
        <w:t>元</w:t>
      </w:r>
      <w:r>
        <w:rPr>
          <w:rFonts w:eastAsia="方正仿宋_GBK"/>
          <w:color w:val="000000"/>
          <w:spacing w:val="-2"/>
          <w:sz w:val="24"/>
        </w:rPr>
        <w:t>/</w:t>
      </w:r>
      <w:r>
        <w:rPr>
          <w:rFonts w:hint="eastAsia" w:eastAsia="方正仿宋_GBK"/>
          <w:color w:val="000000"/>
          <w:spacing w:val="-2"/>
          <w:sz w:val="24"/>
        </w:rPr>
        <w:t>㎡、商业用房</w:t>
      </w:r>
      <w:r>
        <w:rPr>
          <w:rFonts w:eastAsia="方正仿宋_GBK"/>
          <w:color w:val="000000"/>
          <w:spacing w:val="-2"/>
          <w:sz w:val="24"/>
          <w:u w:val="single"/>
        </w:rPr>
        <w:t xml:space="preserve">       </w:t>
      </w:r>
      <w:r>
        <w:rPr>
          <w:rFonts w:hint="eastAsia" w:eastAsia="方正仿宋_GBK"/>
          <w:color w:val="000000"/>
          <w:spacing w:val="-2"/>
          <w:sz w:val="24"/>
        </w:rPr>
        <w:t>元</w:t>
      </w:r>
      <w:r>
        <w:rPr>
          <w:rFonts w:eastAsia="方正仿宋_GBK"/>
          <w:color w:val="000000"/>
          <w:spacing w:val="-2"/>
          <w:sz w:val="24"/>
        </w:rPr>
        <w:t>/</w:t>
      </w:r>
      <w:r>
        <w:rPr>
          <w:rFonts w:hint="eastAsia" w:eastAsia="方正仿宋_GBK"/>
          <w:color w:val="000000"/>
          <w:spacing w:val="-2"/>
          <w:sz w:val="24"/>
        </w:rPr>
        <w:t>㎡、车库</w:t>
      </w:r>
      <w:r>
        <w:rPr>
          <w:rFonts w:eastAsia="方正仿宋_GBK"/>
          <w:color w:val="000000"/>
          <w:spacing w:val="-2"/>
          <w:sz w:val="24"/>
          <w:u w:val="single"/>
        </w:rPr>
        <w:t xml:space="preserve">       </w:t>
      </w:r>
      <w:r>
        <w:rPr>
          <w:rFonts w:hint="eastAsia" w:eastAsia="方正仿宋_GBK"/>
          <w:color w:val="000000"/>
          <w:spacing w:val="-2"/>
          <w:sz w:val="24"/>
        </w:rPr>
        <w:t>元</w:t>
      </w:r>
      <w:r>
        <w:rPr>
          <w:rFonts w:eastAsia="方正仿宋_GBK"/>
          <w:color w:val="000000"/>
          <w:spacing w:val="-2"/>
          <w:sz w:val="24"/>
        </w:rPr>
        <w:t>/</w:t>
      </w:r>
      <w:r>
        <w:rPr>
          <w:rFonts w:hint="eastAsia" w:eastAsia="方正仿宋_GBK"/>
          <w:color w:val="000000"/>
          <w:spacing w:val="-2"/>
          <w:sz w:val="24"/>
        </w:rPr>
        <w:t>㎡、其它（</w:t>
      </w:r>
      <w:r>
        <w:rPr>
          <w:rFonts w:eastAsia="方正仿宋_GBK"/>
          <w:color w:val="000000"/>
          <w:spacing w:val="-2"/>
          <w:sz w:val="24"/>
        </w:rPr>
        <w:t xml:space="preserve">       </w:t>
      </w:r>
      <w:r>
        <w:rPr>
          <w:rFonts w:hint="eastAsia" w:eastAsia="方正仿宋_GBK"/>
          <w:color w:val="000000"/>
          <w:spacing w:val="-2"/>
          <w:sz w:val="24"/>
        </w:rPr>
        <w:t>）</w:t>
      </w:r>
      <w:r>
        <w:rPr>
          <w:rFonts w:eastAsia="方正仿宋_GBK"/>
          <w:color w:val="000000"/>
          <w:spacing w:val="-2"/>
          <w:sz w:val="24"/>
          <w:u w:val="single"/>
        </w:rPr>
        <w:t xml:space="preserve">       </w:t>
      </w:r>
      <w:r>
        <w:rPr>
          <w:rFonts w:hint="eastAsia" w:eastAsia="方正仿宋_GBK"/>
          <w:color w:val="000000"/>
          <w:spacing w:val="-2"/>
          <w:sz w:val="24"/>
        </w:rPr>
        <w:t>元</w:t>
      </w:r>
      <w:r>
        <w:rPr>
          <w:rFonts w:eastAsia="方正仿宋_GBK"/>
          <w:color w:val="000000"/>
          <w:spacing w:val="-2"/>
          <w:sz w:val="24"/>
        </w:rPr>
        <w:t>/</w:t>
      </w:r>
      <w:r>
        <w:rPr>
          <w:rFonts w:hint="eastAsia" w:eastAsia="方正仿宋_GBK"/>
          <w:color w:val="000000"/>
          <w:spacing w:val="-2"/>
          <w:sz w:val="24"/>
        </w:rPr>
        <w:t>㎡、其它（</w:t>
      </w:r>
      <w:r>
        <w:rPr>
          <w:rFonts w:eastAsia="方正仿宋_GBK"/>
          <w:color w:val="000000"/>
          <w:spacing w:val="-2"/>
          <w:sz w:val="24"/>
        </w:rPr>
        <w:t xml:space="preserve">      </w:t>
      </w:r>
      <w:r>
        <w:rPr>
          <w:rFonts w:hint="eastAsia" w:eastAsia="方正仿宋_GBK"/>
          <w:color w:val="000000"/>
          <w:spacing w:val="-2"/>
          <w:sz w:val="24"/>
        </w:rPr>
        <w:t>）</w:t>
      </w:r>
      <w:r>
        <w:rPr>
          <w:rFonts w:eastAsia="方正仿宋_GBK"/>
          <w:color w:val="000000"/>
          <w:spacing w:val="-2"/>
          <w:sz w:val="24"/>
          <w:u w:val="single"/>
        </w:rPr>
        <w:t xml:space="preserve">      </w:t>
      </w:r>
      <w:r>
        <w:rPr>
          <w:rFonts w:hint="eastAsia" w:eastAsia="方正仿宋_GBK"/>
          <w:color w:val="000000"/>
          <w:spacing w:val="-2"/>
          <w:sz w:val="24"/>
        </w:rPr>
        <w:t>元</w:t>
      </w:r>
      <w:r>
        <w:rPr>
          <w:rFonts w:eastAsia="方正仿宋_GBK"/>
          <w:color w:val="000000"/>
          <w:spacing w:val="-2"/>
          <w:sz w:val="24"/>
        </w:rPr>
        <w:t>/</w:t>
      </w:r>
      <w:r>
        <w:rPr>
          <w:rFonts w:hint="eastAsia" w:eastAsia="方正仿宋_GBK"/>
          <w:color w:val="000000"/>
          <w:spacing w:val="-2"/>
          <w:sz w:val="24"/>
        </w:rPr>
        <w:t>㎡、其它（</w:t>
      </w:r>
      <w:r>
        <w:rPr>
          <w:rFonts w:eastAsia="方正仿宋_GBK"/>
          <w:color w:val="000000"/>
          <w:spacing w:val="-2"/>
          <w:sz w:val="24"/>
        </w:rPr>
        <w:t xml:space="preserve">      </w:t>
      </w:r>
      <w:r>
        <w:rPr>
          <w:rFonts w:hint="eastAsia" w:eastAsia="方正仿宋_GBK"/>
          <w:color w:val="000000"/>
          <w:spacing w:val="-2"/>
          <w:sz w:val="24"/>
        </w:rPr>
        <w:t>）</w:t>
      </w:r>
      <w:r>
        <w:rPr>
          <w:rFonts w:eastAsia="方正仿宋_GBK"/>
          <w:color w:val="000000"/>
          <w:spacing w:val="-2"/>
          <w:sz w:val="24"/>
          <w:u w:val="single"/>
        </w:rPr>
        <w:t xml:space="preserve">      </w:t>
      </w:r>
      <w:r>
        <w:rPr>
          <w:rFonts w:hint="eastAsia" w:eastAsia="方正仿宋_GBK"/>
          <w:color w:val="000000"/>
          <w:spacing w:val="-2"/>
          <w:sz w:val="24"/>
        </w:rPr>
        <w:t>元</w:t>
      </w:r>
      <w:r>
        <w:rPr>
          <w:rFonts w:eastAsia="方正仿宋_GBK"/>
          <w:color w:val="000000"/>
          <w:spacing w:val="-2"/>
          <w:sz w:val="24"/>
        </w:rPr>
        <w:t>/</w:t>
      </w:r>
      <w:r>
        <w:rPr>
          <w:rFonts w:hint="eastAsia" w:eastAsia="方正仿宋_GBK"/>
          <w:color w:val="000000"/>
          <w:spacing w:val="-2"/>
          <w:sz w:val="24"/>
        </w:rPr>
        <w:t>㎡。</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第五条  预售资金监管</w:t>
      </w:r>
    </w:p>
    <w:p>
      <w:pPr>
        <w:spacing w:line="460" w:lineRule="exact"/>
        <w:ind w:firstLine="472" w:firstLineChars="200"/>
        <w:rPr>
          <w:rFonts w:hint="eastAsia" w:eastAsia="方正仿宋_GBK"/>
          <w:color w:val="000000"/>
          <w:spacing w:val="-2"/>
          <w:sz w:val="24"/>
        </w:rPr>
      </w:pPr>
      <w:r>
        <w:rPr>
          <w:rFonts w:hint="eastAsia" w:eastAsia="方正仿宋_GBK"/>
          <w:color w:val="000000"/>
          <w:spacing w:val="-2"/>
          <w:sz w:val="24"/>
        </w:rPr>
        <w:t>本次申报的商品房预售款监管银行分别是：</w:t>
      </w:r>
      <w:r>
        <w:rPr>
          <w:rFonts w:eastAsia="方正仿宋_GBK"/>
          <w:color w:val="000000"/>
          <w:spacing w:val="-2"/>
          <w:sz w:val="24"/>
          <w:u w:val="single"/>
        </w:rPr>
        <w:t xml:space="preserve">           </w:t>
      </w:r>
      <w:r>
        <w:rPr>
          <w:rFonts w:hint="eastAsia" w:eastAsia="方正仿宋_GBK"/>
          <w:color w:val="000000"/>
          <w:spacing w:val="-2"/>
          <w:sz w:val="24"/>
        </w:rPr>
        <w:t>幢</w:t>
      </w:r>
      <w:r>
        <w:rPr>
          <w:rFonts w:eastAsia="方正仿宋_GBK"/>
          <w:color w:val="000000"/>
          <w:spacing w:val="-2"/>
          <w:sz w:val="24"/>
        </w:rPr>
        <w:t>(</w:t>
      </w:r>
      <w:r>
        <w:rPr>
          <w:rFonts w:hint="eastAsia" w:eastAsia="方正仿宋_GBK"/>
          <w:color w:val="000000"/>
          <w:spacing w:val="-2"/>
          <w:sz w:val="24"/>
        </w:rPr>
        <w:t>楼</w:t>
      </w:r>
      <w:r>
        <w:rPr>
          <w:rFonts w:eastAsia="方正仿宋_GBK"/>
          <w:color w:val="000000"/>
          <w:spacing w:val="-2"/>
          <w:sz w:val="24"/>
        </w:rPr>
        <w:t xml:space="preserve">) </w:t>
      </w:r>
      <w:r>
        <w:rPr>
          <w:rFonts w:hint="eastAsia" w:eastAsia="方正仿宋_GBK"/>
          <w:color w:val="000000"/>
          <w:spacing w:val="-2"/>
          <w:sz w:val="24"/>
        </w:rPr>
        <w:t>为</w:t>
      </w:r>
      <w:r>
        <w:rPr>
          <w:rFonts w:eastAsia="方正仿宋_GBK"/>
          <w:color w:val="000000"/>
          <w:spacing w:val="-2"/>
          <w:sz w:val="24"/>
          <w:u w:val="single"/>
        </w:rPr>
        <w:t xml:space="preserve">                    </w:t>
      </w:r>
      <w:r>
        <w:rPr>
          <w:rFonts w:hint="eastAsia" w:eastAsia="方正仿宋_GBK"/>
          <w:color w:val="000000"/>
          <w:spacing w:val="-2"/>
          <w:sz w:val="24"/>
        </w:rPr>
        <w:t>银行</w:t>
      </w:r>
      <w:r>
        <w:rPr>
          <w:rFonts w:eastAsia="方正仿宋_GBK"/>
          <w:color w:val="000000"/>
          <w:spacing w:val="-2"/>
          <w:sz w:val="24"/>
        </w:rPr>
        <w:t>(</w:t>
      </w:r>
      <w:r>
        <w:rPr>
          <w:rFonts w:hint="eastAsia" w:eastAsia="方正仿宋_GBK"/>
          <w:color w:val="000000"/>
          <w:spacing w:val="-2"/>
          <w:sz w:val="24"/>
        </w:rPr>
        <w:t>监管帐号：</w:t>
      </w:r>
      <w:r>
        <w:rPr>
          <w:rFonts w:eastAsia="方正仿宋_GBK"/>
          <w:color w:val="000000"/>
          <w:spacing w:val="-2"/>
          <w:sz w:val="24"/>
        </w:rPr>
        <w:t xml:space="preserve">         ) </w:t>
      </w:r>
      <w:r>
        <w:rPr>
          <w:rFonts w:hint="eastAsia" w:eastAsia="方正仿宋_GBK"/>
          <w:color w:val="000000"/>
          <w:spacing w:val="-2"/>
          <w:sz w:val="24"/>
        </w:rPr>
        <w:t>；</w:t>
      </w:r>
      <w:r>
        <w:rPr>
          <w:rFonts w:eastAsia="方正仿宋_GBK"/>
          <w:color w:val="000000"/>
          <w:spacing w:val="-2"/>
          <w:sz w:val="24"/>
          <w:u w:val="single"/>
        </w:rPr>
        <w:t xml:space="preserve">   </w:t>
      </w:r>
      <w:r>
        <w:rPr>
          <w:rFonts w:hint="eastAsia" w:eastAsia="方正仿宋_GBK"/>
          <w:color w:val="000000"/>
          <w:spacing w:val="-2"/>
          <w:sz w:val="24"/>
        </w:rPr>
        <w:t>幢</w:t>
      </w:r>
      <w:r>
        <w:rPr>
          <w:rFonts w:eastAsia="方正仿宋_GBK"/>
          <w:color w:val="000000"/>
          <w:spacing w:val="-2"/>
          <w:sz w:val="24"/>
        </w:rPr>
        <w:t>(</w:t>
      </w:r>
      <w:r>
        <w:rPr>
          <w:rFonts w:hint="eastAsia" w:eastAsia="方正仿宋_GBK"/>
          <w:color w:val="000000"/>
          <w:spacing w:val="-2"/>
          <w:sz w:val="24"/>
        </w:rPr>
        <w:t>楼</w:t>
      </w:r>
      <w:r>
        <w:rPr>
          <w:rFonts w:eastAsia="方正仿宋_GBK"/>
          <w:color w:val="000000"/>
          <w:spacing w:val="-2"/>
          <w:sz w:val="24"/>
        </w:rPr>
        <w:t>)</w:t>
      </w:r>
      <w:r>
        <w:rPr>
          <w:rFonts w:hint="eastAsia" w:eastAsia="方正仿宋_GBK"/>
          <w:color w:val="000000"/>
          <w:spacing w:val="-2"/>
          <w:sz w:val="24"/>
        </w:rPr>
        <w:t>为</w:t>
      </w:r>
      <w:r>
        <w:rPr>
          <w:rFonts w:eastAsia="方正仿宋_GBK"/>
          <w:color w:val="000000"/>
          <w:spacing w:val="-2"/>
          <w:sz w:val="24"/>
          <w:u w:val="single"/>
        </w:rPr>
        <w:t xml:space="preserve">         </w:t>
      </w:r>
      <w:r>
        <w:rPr>
          <w:rFonts w:hint="eastAsia" w:eastAsia="方正仿宋_GBK"/>
          <w:color w:val="000000"/>
          <w:spacing w:val="-2"/>
          <w:sz w:val="24"/>
        </w:rPr>
        <w:t>银行</w:t>
      </w:r>
      <w:r>
        <w:rPr>
          <w:rFonts w:eastAsia="方正仿宋_GBK"/>
          <w:color w:val="000000"/>
          <w:spacing w:val="-2"/>
          <w:sz w:val="24"/>
        </w:rPr>
        <w:t>(</w:t>
      </w:r>
      <w:r>
        <w:rPr>
          <w:rFonts w:hint="eastAsia" w:eastAsia="方正仿宋_GBK"/>
          <w:color w:val="000000"/>
          <w:spacing w:val="-2"/>
          <w:sz w:val="24"/>
        </w:rPr>
        <w:t>监管帐号：</w:t>
      </w:r>
      <w:r>
        <w:rPr>
          <w:rFonts w:eastAsia="方正仿宋_GBK"/>
          <w:color w:val="000000"/>
          <w:spacing w:val="-2"/>
          <w:sz w:val="24"/>
        </w:rPr>
        <w:t xml:space="preserve">              )</w:t>
      </w:r>
      <w:r>
        <w:rPr>
          <w:rFonts w:hint="eastAsia" w:eastAsia="方正仿宋_GBK"/>
          <w:color w:val="000000"/>
          <w:spacing w:val="-2"/>
          <w:sz w:val="24"/>
        </w:rPr>
        <w:t>。</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第六条  前期物业服务</w:t>
      </w:r>
    </w:p>
    <w:p>
      <w:pPr>
        <w:spacing w:line="460" w:lineRule="exact"/>
        <w:ind w:left="1" w:firstLine="472" w:firstLineChars="200"/>
        <w:rPr>
          <w:rFonts w:hint="eastAsia" w:eastAsia="方正仿宋_GBK"/>
          <w:color w:val="000000"/>
          <w:spacing w:val="-2"/>
          <w:sz w:val="24"/>
        </w:rPr>
      </w:pPr>
      <w:r>
        <w:rPr>
          <w:rFonts w:hint="eastAsia" w:eastAsia="方正仿宋_GBK"/>
          <w:color w:val="000000"/>
          <w:spacing w:val="-2"/>
          <w:sz w:val="24"/>
        </w:rPr>
        <w:t>本项目的前期物业服务企业采用</w:t>
      </w:r>
      <w:r>
        <w:rPr>
          <w:rFonts w:eastAsia="方正仿宋_GBK"/>
          <w:color w:val="000000"/>
          <w:spacing w:val="-2"/>
          <w:sz w:val="24"/>
          <w:u w:val="single"/>
        </w:rPr>
        <w:t xml:space="preserve">                </w:t>
      </w:r>
      <w:r>
        <w:rPr>
          <w:rFonts w:hint="eastAsia" w:eastAsia="方正仿宋_GBK"/>
          <w:color w:val="000000"/>
          <w:spacing w:val="-2"/>
          <w:sz w:val="24"/>
        </w:rPr>
        <w:t>方式选聘，并向</w:t>
      </w:r>
      <w:r>
        <w:rPr>
          <w:rFonts w:eastAsia="方正仿宋_GBK"/>
          <w:color w:val="000000"/>
          <w:spacing w:val="-2"/>
          <w:sz w:val="24"/>
          <w:u w:val="single"/>
        </w:rPr>
        <w:t xml:space="preserve">                                </w:t>
      </w:r>
      <w:r>
        <w:rPr>
          <w:rFonts w:hint="eastAsia" w:eastAsia="方正仿宋_GBK"/>
          <w:color w:val="000000"/>
          <w:spacing w:val="-2"/>
          <w:sz w:val="24"/>
        </w:rPr>
        <w:t>进行备案，前期物业服务合同于</w:t>
      </w:r>
      <w:r>
        <w:rPr>
          <w:rFonts w:eastAsia="方正仿宋_GBK"/>
          <w:color w:val="000000"/>
          <w:spacing w:val="-2"/>
          <w:sz w:val="24"/>
          <w:u w:val="single"/>
        </w:rPr>
        <w:t xml:space="preserve">                                </w:t>
      </w:r>
      <w:r>
        <w:rPr>
          <w:rFonts w:hint="eastAsia" w:eastAsia="方正仿宋_GBK"/>
          <w:color w:val="000000"/>
          <w:spacing w:val="-2"/>
          <w:sz w:val="24"/>
        </w:rPr>
        <w:t>签订，前期的物业服务企业为</w:t>
      </w:r>
      <w:r>
        <w:rPr>
          <w:rFonts w:eastAsia="方正仿宋_GBK"/>
          <w:color w:val="000000"/>
          <w:spacing w:val="-2"/>
          <w:sz w:val="24"/>
          <w:u w:val="single"/>
        </w:rPr>
        <w:t xml:space="preserve">                   </w:t>
      </w:r>
      <w:r>
        <w:rPr>
          <w:rFonts w:hint="eastAsia" w:eastAsia="方正仿宋_GBK"/>
          <w:color w:val="000000"/>
          <w:spacing w:val="-2"/>
          <w:sz w:val="24"/>
        </w:rPr>
        <w:t>，其资质证号</w:t>
      </w:r>
      <w:r>
        <w:rPr>
          <w:rFonts w:eastAsia="方正仿宋_GBK"/>
          <w:color w:val="000000"/>
          <w:spacing w:val="-2"/>
          <w:sz w:val="24"/>
          <w:u w:val="single"/>
        </w:rPr>
        <w:t xml:space="preserve">                  </w:t>
      </w:r>
      <w:r>
        <w:rPr>
          <w:rFonts w:hint="eastAsia" w:eastAsia="方正仿宋_GBK"/>
          <w:color w:val="000000"/>
          <w:spacing w:val="-2"/>
          <w:sz w:val="24"/>
        </w:rPr>
        <w:t>。</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第七条  物业服务用房、社区用房</w:t>
      </w:r>
    </w:p>
    <w:p>
      <w:pPr>
        <w:spacing w:line="460" w:lineRule="exact"/>
        <w:ind w:firstLine="472" w:firstLineChars="200"/>
        <w:rPr>
          <w:rFonts w:hint="eastAsia" w:eastAsia="方正仿宋_GBK"/>
          <w:color w:val="000000"/>
          <w:spacing w:val="-2"/>
          <w:sz w:val="24"/>
        </w:rPr>
      </w:pPr>
      <w:r>
        <w:rPr>
          <w:rFonts w:eastAsia="方正仿宋_GBK"/>
          <w:color w:val="000000"/>
          <w:spacing w:val="-2"/>
          <w:sz w:val="24"/>
        </w:rPr>
        <w:t>1. </w:t>
      </w:r>
      <w:r>
        <w:rPr>
          <w:rFonts w:hint="eastAsia" w:eastAsia="方正仿宋_GBK"/>
          <w:color w:val="000000"/>
          <w:spacing w:val="-2"/>
          <w:sz w:val="24"/>
        </w:rPr>
        <w:t>本项目已按规定确认在网上限制物业服务用房</w:t>
      </w:r>
      <w:r>
        <w:rPr>
          <w:rFonts w:eastAsia="方正仿宋_GBK"/>
          <w:color w:val="000000"/>
          <w:spacing w:val="-2"/>
          <w:sz w:val="24"/>
          <w:u w:val="single"/>
        </w:rPr>
        <w:t xml:space="preserve">      </w:t>
      </w:r>
      <w:r>
        <w:rPr>
          <w:rFonts w:hint="eastAsia" w:eastAsia="方正仿宋_GBK"/>
          <w:color w:val="000000"/>
          <w:spacing w:val="-2"/>
          <w:sz w:val="24"/>
        </w:rPr>
        <w:t>㎡，房（幢）号：</w:t>
      </w:r>
      <w:r>
        <w:rPr>
          <w:rFonts w:eastAsia="方正仿宋_GBK"/>
          <w:color w:val="000000"/>
          <w:spacing w:val="-2"/>
          <w:sz w:val="24"/>
          <w:u w:val="single"/>
        </w:rPr>
        <w:t xml:space="preserve">        </w:t>
      </w:r>
      <w:r>
        <w:rPr>
          <w:rFonts w:hint="eastAsia" w:eastAsia="方正仿宋_GBK"/>
          <w:color w:val="000000"/>
          <w:spacing w:val="-2"/>
          <w:sz w:val="24"/>
        </w:rPr>
        <w:t>；社区用房</w:t>
      </w:r>
      <w:r>
        <w:rPr>
          <w:rFonts w:eastAsia="方正仿宋_GBK"/>
          <w:color w:val="000000"/>
          <w:spacing w:val="-2"/>
          <w:sz w:val="24"/>
        </w:rPr>
        <w:t xml:space="preserve"> </w:t>
      </w:r>
      <w:r>
        <w:rPr>
          <w:rFonts w:eastAsia="方正仿宋_GBK"/>
          <w:color w:val="000000"/>
          <w:spacing w:val="-2"/>
          <w:sz w:val="24"/>
          <w:u w:val="single"/>
        </w:rPr>
        <w:t xml:space="preserve">     </w:t>
      </w:r>
      <w:r>
        <w:rPr>
          <w:rFonts w:hint="eastAsia" w:eastAsia="方正仿宋_GBK"/>
          <w:color w:val="000000"/>
          <w:spacing w:val="-2"/>
          <w:sz w:val="24"/>
        </w:rPr>
        <w:t>㎡，房（幢）号：</w:t>
      </w:r>
      <w:r>
        <w:rPr>
          <w:rFonts w:eastAsia="方正仿宋_GBK"/>
          <w:color w:val="000000"/>
          <w:spacing w:val="-2"/>
          <w:sz w:val="24"/>
          <w:u w:val="single"/>
        </w:rPr>
        <w:t xml:space="preserve">       </w:t>
      </w:r>
      <w:r>
        <w:rPr>
          <w:rFonts w:eastAsia="方正仿宋_GBK"/>
          <w:color w:val="000000"/>
          <w:spacing w:val="-2"/>
          <w:sz w:val="24"/>
        </w:rPr>
        <w:t xml:space="preserve"> </w:t>
      </w:r>
      <w:r>
        <w:rPr>
          <w:rFonts w:hint="eastAsia" w:eastAsia="方正仿宋_GBK"/>
          <w:color w:val="000000"/>
          <w:spacing w:val="-2"/>
          <w:sz w:val="24"/>
        </w:rPr>
        <w:t>。</w:t>
      </w:r>
    </w:p>
    <w:p>
      <w:pPr>
        <w:spacing w:line="460" w:lineRule="exact"/>
        <w:ind w:firstLine="472" w:firstLineChars="200"/>
        <w:rPr>
          <w:rFonts w:eastAsia="方正仿宋_GBK"/>
          <w:color w:val="000000"/>
          <w:spacing w:val="-2"/>
          <w:sz w:val="24"/>
        </w:rPr>
      </w:pPr>
      <w:r>
        <w:rPr>
          <w:rFonts w:eastAsia="方正仿宋_GBK"/>
          <w:color w:val="000000"/>
          <w:spacing w:val="-2"/>
          <w:sz w:val="24"/>
        </w:rPr>
        <w:t>2. </w:t>
      </w:r>
      <w:r>
        <w:rPr>
          <w:rFonts w:hint="eastAsia" w:eastAsia="方正仿宋_GBK"/>
          <w:color w:val="000000"/>
          <w:spacing w:val="-2"/>
          <w:sz w:val="24"/>
        </w:rPr>
        <w:t>如不能同期建设，已经所辖市、县（市）房地产主管部门确认的同等比例并在网上已限制的临时物业服务用房</w:t>
      </w:r>
      <w:r>
        <w:rPr>
          <w:rFonts w:eastAsia="方正仿宋_GBK"/>
          <w:color w:val="000000"/>
          <w:spacing w:val="-2"/>
          <w:sz w:val="24"/>
          <w:u w:val="single"/>
        </w:rPr>
        <w:t xml:space="preserve">     </w:t>
      </w:r>
      <w:r>
        <w:rPr>
          <w:rFonts w:eastAsia="方正仿宋_GBK"/>
          <w:color w:val="000000"/>
          <w:spacing w:val="-2"/>
          <w:sz w:val="24"/>
        </w:rPr>
        <w:t xml:space="preserve"> </w:t>
      </w:r>
      <w:r>
        <w:rPr>
          <w:rFonts w:hint="eastAsia" w:eastAsia="方正仿宋_GBK"/>
          <w:color w:val="000000"/>
          <w:spacing w:val="-2"/>
          <w:sz w:val="24"/>
        </w:rPr>
        <w:t>㎡，房（幢）号：</w:t>
      </w:r>
      <w:r>
        <w:rPr>
          <w:rFonts w:eastAsia="方正仿宋_GBK"/>
          <w:color w:val="000000"/>
          <w:spacing w:val="-2"/>
          <w:sz w:val="24"/>
          <w:u w:val="single"/>
        </w:rPr>
        <w:t xml:space="preserve">       </w:t>
      </w:r>
      <w:r>
        <w:rPr>
          <w:rFonts w:eastAsia="方正仿宋_GBK"/>
          <w:color w:val="000000"/>
          <w:spacing w:val="-2"/>
          <w:sz w:val="24"/>
        </w:rPr>
        <w:t xml:space="preserve"> </w:t>
      </w:r>
      <w:r>
        <w:rPr>
          <w:rFonts w:hint="eastAsia" w:eastAsia="方正仿宋_GBK"/>
          <w:color w:val="000000"/>
          <w:spacing w:val="-2"/>
          <w:sz w:val="24"/>
        </w:rPr>
        <w:t>；临时社区用房</w:t>
      </w:r>
      <w:r>
        <w:rPr>
          <w:rFonts w:eastAsia="方正仿宋_GBK"/>
          <w:color w:val="000000"/>
          <w:spacing w:val="-2"/>
          <w:sz w:val="24"/>
          <w:u w:val="single"/>
        </w:rPr>
        <w:t xml:space="preserve">      </w:t>
      </w:r>
      <w:r>
        <w:rPr>
          <w:rFonts w:hint="eastAsia" w:eastAsia="方正仿宋_GBK"/>
          <w:color w:val="000000"/>
          <w:spacing w:val="-2"/>
          <w:sz w:val="24"/>
        </w:rPr>
        <w:t>㎡，房（幢）号：</w:t>
      </w:r>
      <w:r>
        <w:rPr>
          <w:rFonts w:eastAsia="方正仿宋_GBK"/>
          <w:color w:val="000000"/>
          <w:spacing w:val="-2"/>
          <w:sz w:val="24"/>
          <w:u w:val="single"/>
        </w:rPr>
        <w:t xml:space="preserve">        </w:t>
      </w:r>
      <w:r>
        <w:rPr>
          <w:rFonts w:hint="eastAsia" w:eastAsia="方正仿宋_GBK"/>
          <w:color w:val="000000"/>
          <w:spacing w:val="-2"/>
          <w:sz w:val="24"/>
        </w:rPr>
        <w:t>。</w:t>
      </w:r>
    </w:p>
    <w:p>
      <w:pPr>
        <w:spacing w:line="460" w:lineRule="exact"/>
        <w:ind w:firstLine="555"/>
        <w:rPr>
          <w:rFonts w:ascii="Times New Roman" w:eastAsia="方正黑体_GBK"/>
          <w:color w:val="000000"/>
          <w:spacing w:val="-2"/>
          <w:sz w:val="24"/>
        </w:rPr>
      </w:pPr>
      <w:r>
        <w:rPr>
          <w:rFonts w:hint="eastAsia" w:ascii="Times New Roman" w:eastAsia="方正黑体_GBK"/>
          <w:color w:val="000000"/>
          <w:spacing w:val="-2"/>
          <w:sz w:val="24"/>
        </w:rPr>
        <w:t>第八条  白蚁防治</w:t>
      </w:r>
    </w:p>
    <w:p>
      <w:pPr>
        <w:spacing w:line="460" w:lineRule="exact"/>
        <w:ind w:firstLine="472" w:firstLineChars="200"/>
        <w:rPr>
          <w:rFonts w:hint="eastAsia" w:eastAsia="方正仿宋_GBK"/>
          <w:color w:val="000000"/>
          <w:spacing w:val="-2"/>
          <w:sz w:val="24"/>
        </w:rPr>
      </w:pPr>
      <w:r>
        <w:rPr>
          <w:rFonts w:hint="eastAsia" w:eastAsia="方正仿宋_GBK"/>
          <w:bCs/>
          <w:color w:val="000000"/>
          <w:spacing w:val="-2"/>
          <w:sz w:val="24"/>
        </w:rPr>
        <w:t>本项目已签定《白蚁防治合同》，合同号为：</w:t>
      </w:r>
      <w:r>
        <w:rPr>
          <w:rFonts w:eastAsia="方正仿宋_GBK"/>
          <w:bCs/>
          <w:color w:val="000000"/>
          <w:spacing w:val="-2"/>
          <w:sz w:val="24"/>
          <w:u w:val="single"/>
        </w:rPr>
        <w:t xml:space="preserve">              </w:t>
      </w:r>
      <w:r>
        <w:rPr>
          <w:rFonts w:hint="eastAsia" w:eastAsia="方正仿宋_GBK"/>
          <w:bCs/>
          <w:color w:val="000000"/>
          <w:spacing w:val="-2"/>
          <w:sz w:val="24"/>
        </w:rPr>
        <w:t>，白蚁防治</w:t>
      </w:r>
      <w:r>
        <w:rPr>
          <w:rFonts w:eastAsia="方正仿宋_GBK"/>
          <w:bCs/>
          <w:color w:val="000000"/>
          <w:spacing w:val="-2"/>
          <w:sz w:val="24"/>
          <w:u w:val="single"/>
        </w:rPr>
        <w:t xml:space="preserve">      </w:t>
      </w:r>
      <w:r>
        <w:rPr>
          <w:rFonts w:eastAsia="方正仿宋_GBK"/>
          <w:bCs/>
          <w:color w:val="000000"/>
          <w:spacing w:val="-2"/>
          <w:sz w:val="24"/>
        </w:rPr>
        <w:t>m</w:t>
      </w:r>
      <w:r>
        <w:rPr>
          <w:rFonts w:eastAsia="方正仿宋_GBK"/>
          <w:bCs/>
          <w:color w:val="000000"/>
          <w:spacing w:val="-2"/>
          <w:sz w:val="24"/>
          <w:vertAlign w:val="superscript"/>
        </w:rPr>
        <w:t>2</w:t>
      </w:r>
      <w:r>
        <w:rPr>
          <w:rFonts w:hint="eastAsia" w:eastAsia="方正仿宋_GBK"/>
          <w:bCs/>
          <w:color w:val="000000"/>
          <w:spacing w:val="-2"/>
          <w:sz w:val="24"/>
        </w:rPr>
        <w:t>。</w:t>
      </w:r>
    </w:p>
    <w:p>
      <w:pPr>
        <w:spacing w:line="460" w:lineRule="exact"/>
        <w:ind w:firstLine="555"/>
        <w:rPr>
          <w:rFonts w:ascii="Times New Roman" w:eastAsia="方正黑体_GBK"/>
          <w:color w:val="000000"/>
          <w:spacing w:val="-2"/>
          <w:sz w:val="24"/>
        </w:rPr>
      </w:pPr>
      <w:r>
        <w:rPr>
          <w:rFonts w:hint="eastAsia" w:ascii="Times New Roman" w:eastAsia="方正黑体_GBK"/>
          <w:color w:val="000000"/>
          <w:spacing w:val="-2"/>
          <w:sz w:val="24"/>
        </w:rPr>
        <w:t>第九条  装饰和设备标准情况及其它节能、节材、节水措施</w:t>
      </w:r>
    </w:p>
    <w:p>
      <w:pPr>
        <w:spacing w:line="460" w:lineRule="exact"/>
        <w:ind w:firstLine="462" w:firstLineChars="196"/>
        <w:textAlignment w:val="baseline"/>
        <w:rPr>
          <w:rFonts w:hint="eastAsia" w:eastAsia="方正仿宋_GBK"/>
          <w:color w:val="000000"/>
          <w:spacing w:val="-2"/>
          <w:sz w:val="24"/>
          <w:shd w:val="clear" w:color="auto" w:fill="FFFFFF"/>
        </w:rPr>
      </w:pPr>
      <w:r>
        <w:rPr>
          <w:rFonts w:eastAsia="方正仿宋_GBK"/>
          <w:color w:val="000000"/>
          <w:spacing w:val="-2"/>
          <w:sz w:val="24"/>
          <w:shd w:val="clear" w:color="auto" w:fill="FFFFFF"/>
        </w:rPr>
        <w:t>1.</w:t>
      </w:r>
      <w:r>
        <w:rPr>
          <w:rFonts w:hint="cs" w:eastAsia="方正仿宋_GBK"/>
          <w:color w:val="000000"/>
          <w:spacing w:val="-2"/>
          <w:sz w:val="24"/>
          <w:shd w:val="clear" w:color="auto" w:fill="FFFFFF"/>
          <w:cs/>
        </w:rPr>
        <w:t> </w:t>
      </w:r>
      <w:r>
        <w:rPr>
          <w:rFonts w:hint="eastAsia" w:eastAsia="方正仿宋_GBK"/>
          <w:color w:val="000000"/>
          <w:spacing w:val="-2"/>
          <w:sz w:val="24"/>
          <w:shd w:val="clear" w:color="auto" w:fill="FFFFFF"/>
        </w:rPr>
        <w:t>采暖系统：</w:t>
      </w:r>
    </w:p>
    <w:p>
      <w:pPr>
        <w:spacing w:line="460" w:lineRule="exact"/>
        <w:ind w:left="561" w:leftChars="267"/>
        <w:jc w:val="left"/>
        <w:textAlignment w:val="baseline"/>
        <w:rPr>
          <w:rFonts w:eastAsia="方正仿宋_GBK"/>
          <w:color w:val="000000"/>
          <w:spacing w:val="-2"/>
          <w:sz w:val="24"/>
          <w:shd w:val="clear" w:color="auto" w:fill="FFFFFF"/>
        </w:rPr>
      </w:pPr>
      <w:r>
        <w:rPr>
          <w:rFonts w:hint="eastAsia" w:eastAsia="方正仿宋_GBK"/>
          <w:color w:val="000000"/>
          <w:spacing w:val="-2"/>
          <w:sz w:val="24"/>
          <w:shd w:val="clear" w:color="auto" w:fill="FFFFFF"/>
        </w:rPr>
        <w:t>（</w:t>
      </w:r>
      <w:r>
        <w:rPr>
          <w:rFonts w:eastAsia="方正仿宋_GBK"/>
          <w:color w:val="000000"/>
          <w:spacing w:val="-2"/>
          <w:sz w:val="24"/>
          <w:shd w:val="clear" w:color="auto" w:fill="FFFFFF"/>
        </w:rPr>
        <w:t>1</w:t>
      </w:r>
      <w:r>
        <w:rPr>
          <w:rFonts w:hint="eastAsia" w:eastAsia="方正仿宋_GBK"/>
          <w:color w:val="000000"/>
          <w:spacing w:val="-2"/>
          <w:sz w:val="24"/>
          <w:shd w:val="clear" w:color="auto" w:fill="FFFFFF"/>
        </w:rPr>
        <w:t>）集中采暖：【</w:t>
      </w:r>
      <w:r>
        <w:rPr>
          <w:rFonts w:eastAsia="方正仿宋_GBK"/>
          <w:color w:val="000000"/>
          <w:spacing w:val="-2"/>
          <w:sz w:val="24"/>
          <w:shd w:val="clear" w:color="auto" w:fill="FFFFFF"/>
        </w:rPr>
        <w:t xml:space="preserve"> _________________________</w:t>
      </w:r>
      <w:r>
        <w:rPr>
          <w:rFonts w:hint="eastAsia" w:eastAsia="方正仿宋_GBK"/>
          <w:color w:val="000000"/>
          <w:spacing w:val="-2"/>
          <w:sz w:val="24"/>
          <w:shd w:val="clear" w:color="auto" w:fill="FFFFFF"/>
        </w:rPr>
        <w:t>】；</w:t>
      </w:r>
    </w:p>
    <w:p>
      <w:pPr>
        <w:spacing w:line="460" w:lineRule="exact"/>
        <w:ind w:left="561" w:leftChars="267"/>
        <w:jc w:val="left"/>
        <w:textAlignment w:val="baseline"/>
        <w:rPr>
          <w:rFonts w:eastAsia="方正仿宋_GBK"/>
          <w:color w:val="000000"/>
          <w:spacing w:val="-2"/>
          <w:sz w:val="24"/>
          <w:shd w:val="clear" w:color="auto" w:fill="FFFFFF"/>
        </w:rPr>
      </w:pPr>
      <w:r>
        <w:rPr>
          <w:rFonts w:hint="eastAsia" w:eastAsia="方正仿宋_GBK"/>
          <w:color w:val="000000"/>
          <w:spacing w:val="-2"/>
          <w:sz w:val="24"/>
          <w:shd w:val="clear" w:color="auto" w:fill="FFFFFF"/>
        </w:rPr>
        <w:t>（</w:t>
      </w:r>
      <w:r>
        <w:rPr>
          <w:rFonts w:eastAsia="方正仿宋_GBK"/>
          <w:color w:val="000000"/>
          <w:spacing w:val="-2"/>
          <w:sz w:val="24"/>
          <w:shd w:val="clear" w:color="auto" w:fill="FFFFFF"/>
        </w:rPr>
        <w:t>2</w:t>
      </w:r>
      <w:r>
        <w:rPr>
          <w:rFonts w:hint="eastAsia" w:eastAsia="方正仿宋_GBK"/>
          <w:color w:val="000000"/>
          <w:spacing w:val="-2"/>
          <w:sz w:val="24"/>
          <w:shd w:val="clear" w:color="auto" w:fill="FFFFFF"/>
        </w:rPr>
        <w:t>）分户采暖：【</w:t>
      </w:r>
      <w:r>
        <w:rPr>
          <w:rFonts w:eastAsia="方正仿宋_GBK"/>
          <w:color w:val="000000"/>
          <w:spacing w:val="-2"/>
          <w:sz w:val="24"/>
          <w:shd w:val="clear" w:color="auto" w:fill="FFFFFF"/>
        </w:rPr>
        <w:t xml:space="preserve"> _________________________</w:t>
      </w:r>
      <w:r>
        <w:rPr>
          <w:rFonts w:hint="eastAsia" w:eastAsia="方正仿宋_GBK"/>
          <w:color w:val="000000"/>
          <w:spacing w:val="-2"/>
          <w:sz w:val="24"/>
          <w:shd w:val="clear" w:color="auto" w:fill="FFFFFF"/>
        </w:rPr>
        <w:t>】；</w:t>
      </w:r>
    </w:p>
    <w:p>
      <w:pPr>
        <w:spacing w:line="460" w:lineRule="exact"/>
        <w:ind w:left="561" w:leftChars="267"/>
        <w:jc w:val="left"/>
        <w:textAlignment w:val="baseline"/>
        <w:rPr>
          <w:rFonts w:eastAsia="方正仿宋_GBK"/>
          <w:color w:val="000000"/>
          <w:spacing w:val="-2"/>
          <w:sz w:val="24"/>
          <w:shd w:val="clear" w:color="auto" w:fill="FFFFFF"/>
        </w:rPr>
      </w:pPr>
      <w:r>
        <w:rPr>
          <w:rFonts w:hint="eastAsia" w:eastAsia="方正仿宋_GBK"/>
          <w:color w:val="000000"/>
          <w:spacing w:val="-2"/>
          <w:sz w:val="24"/>
          <w:shd w:val="clear" w:color="auto" w:fill="FFFFFF"/>
        </w:rPr>
        <w:t>（</w:t>
      </w:r>
      <w:r>
        <w:rPr>
          <w:rFonts w:eastAsia="方正仿宋_GBK"/>
          <w:color w:val="000000"/>
          <w:spacing w:val="-2"/>
          <w:sz w:val="24"/>
          <w:shd w:val="clear" w:color="auto" w:fill="FFFFFF"/>
        </w:rPr>
        <w:t>3</w:t>
      </w:r>
      <w:r>
        <w:rPr>
          <w:rFonts w:hint="eastAsia" w:eastAsia="方正仿宋_GBK"/>
          <w:color w:val="000000"/>
          <w:spacing w:val="-2"/>
          <w:sz w:val="24"/>
          <w:shd w:val="clear" w:color="auto" w:fill="FFFFFF"/>
        </w:rPr>
        <w:t>）采暖设备品牌：【</w:t>
      </w:r>
      <w:r>
        <w:rPr>
          <w:rFonts w:eastAsia="方正仿宋_GBK"/>
          <w:color w:val="000000"/>
          <w:spacing w:val="-2"/>
          <w:sz w:val="24"/>
          <w:shd w:val="clear" w:color="auto" w:fill="FFFFFF"/>
        </w:rPr>
        <w:t>______________________</w:t>
      </w:r>
      <w:r>
        <w:rPr>
          <w:rFonts w:hint="eastAsia" w:eastAsia="方正仿宋_GBK"/>
          <w:color w:val="000000"/>
          <w:spacing w:val="-2"/>
          <w:sz w:val="24"/>
          <w:shd w:val="clear" w:color="auto" w:fill="FFFFFF"/>
        </w:rPr>
        <w:t>】。</w:t>
      </w:r>
    </w:p>
    <w:p>
      <w:pPr>
        <w:spacing w:line="460" w:lineRule="exact"/>
        <w:ind w:firstLine="472" w:firstLineChars="200"/>
        <w:textAlignment w:val="baseline"/>
        <w:rPr>
          <w:rFonts w:eastAsia="方正仿宋_GBK"/>
          <w:color w:val="000000"/>
          <w:spacing w:val="-2"/>
          <w:sz w:val="24"/>
          <w:shd w:val="clear" w:color="auto" w:fill="FFFFFF"/>
        </w:rPr>
      </w:pPr>
      <w:r>
        <w:rPr>
          <w:rFonts w:eastAsia="方正仿宋_GBK"/>
          <w:color w:val="000000"/>
          <w:spacing w:val="-2"/>
          <w:sz w:val="24"/>
          <w:shd w:val="clear" w:color="auto" w:fill="FFFFFF"/>
        </w:rPr>
        <w:t>2.</w:t>
      </w:r>
      <w:r>
        <w:rPr>
          <w:rFonts w:hint="cs" w:eastAsia="方正仿宋_GBK"/>
          <w:color w:val="000000"/>
          <w:spacing w:val="-2"/>
          <w:sz w:val="24"/>
          <w:shd w:val="clear" w:color="auto" w:fill="FFFFFF"/>
          <w:cs/>
        </w:rPr>
        <w:t> </w:t>
      </w:r>
      <w:r>
        <w:rPr>
          <w:rFonts w:hint="eastAsia" w:eastAsia="方正仿宋_GBK"/>
          <w:color w:val="000000"/>
          <w:spacing w:val="-2"/>
          <w:sz w:val="24"/>
          <w:shd w:val="clear" w:color="auto" w:fill="FFFFFF"/>
        </w:rPr>
        <w:t>保温材料：</w:t>
      </w:r>
    </w:p>
    <w:p>
      <w:pPr>
        <w:spacing w:line="460" w:lineRule="exact"/>
        <w:ind w:firstLine="472" w:firstLineChars="200"/>
        <w:textAlignment w:val="baseline"/>
        <w:rPr>
          <w:rFonts w:eastAsia="方正仿宋_GBK"/>
          <w:color w:val="000000"/>
          <w:spacing w:val="-2"/>
          <w:sz w:val="24"/>
          <w:shd w:val="clear" w:color="auto" w:fill="FFFFFF"/>
        </w:rPr>
      </w:pPr>
      <w:r>
        <w:rPr>
          <w:rFonts w:hint="eastAsia" w:eastAsia="方正仿宋_GBK"/>
          <w:color w:val="000000"/>
          <w:spacing w:val="-2"/>
          <w:sz w:val="24"/>
          <w:shd w:val="clear" w:color="auto" w:fill="FFFFFF"/>
        </w:rPr>
        <w:t>（</w:t>
      </w:r>
      <w:r>
        <w:rPr>
          <w:rFonts w:eastAsia="方正仿宋_GBK"/>
          <w:color w:val="000000"/>
          <w:spacing w:val="-2"/>
          <w:sz w:val="24"/>
          <w:shd w:val="clear" w:color="auto" w:fill="FFFFFF"/>
        </w:rPr>
        <w:t>1</w:t>
      </w:r>
      <w:r>
        <w:rPr>
          <w:rFonts w:hint="eastAsia" w:eastAsia="方正仿宋_GBK"/>
          <w:color w:val="000000"/>
          <w:spacing w:val="-2"/>
          <w:sz w:val="24"/>
          <w:shd w:val="clear" w:color="auto" w:fill="FFFFFF"/>
        </w:rPr>
        <w:t>）外墙保温：【</w:t>
      </w:r>
      <w:r>
        <w:rPr>
          <w:rFonts w:eastAsia="方正仿宋_GBK"/>
          <w:color w:val="000000"/>
          <w:spacing w:val="-2"/>
          <w:sz w:val="24"/>
          <w:u w:val="single"/>
          <w:shd w:val="clear" w:color="auto" w:fill="FFFFFF"/>
        </w:rPr>
        <w:t xml:space="preserve">                     </w:t>
      </w:r>
      <w:r>
        <w:rPr>
          <w:rFonts w:hint="eastAsia" w:eastAsia="方正仿宋_GBK"/>
          <w:color w:val="000000"/>
          <w:spacing w:val="-2"/>
          <w:sz w:val="24"/>
          <w:shd w:val="clear" w:color="auto" w:fill="FFFFFF"/>
        </w:rPr>
        <w:t>】。</w:t>
      </w:r>
    </w:p>
    <w:p>
      <w:pPr>
        <w:spacing w:line="460" w:lineRule="exact"/>
        <w:ind w:firstLine="472" w:firstLineChars="200"/>
        <w:textAlignment w:val="baseline"/>
        <w:rPr>
          <w:rFonts w:eastAsia="方正仿宋_GBK"/>
          <w:color w:val="000000"/>
          <w:spacing w:val="-2"/>
          <w:sz w:val="24"/>
          <w:shd w:val="clear" w:color="auto" w:fill="FFFFFF"/>
        </w:rPr>
      </w:pPr>
      <w:r>
        <w:rPr>
          <w:rFonts w:hint="eastAsia" w:eastAsia="方正仿宋_GBK"/>
          <w:color w:val="000000"/>
          <w:spacing w:val="-2"/>
          <w:sz w:val="24"/>
          <w:shd w:val="clear" w:color="auto" w:fill="FFFFFF"/>
        </w:rPr>
        <w:t>（</w:t>
      </w:r>
      <w:r>
        <w:rPr>
          <w:rFonts w:eastAsia="方正仿宋_GBK"/>
          <w:color w:val="000000"/>
          <w:spacing w:val="-2"/>
          <w:sz w:val="24"/>
          <w:shd w:val="clear" w:color="auto" w:fill="FFFFFF"/>
        </w:rPr>
        <w:t>2</w:t>
      </w:r>
      <w:r>
        <w:rPr>
          <w:rFonts w:hint="eastAsia" w:eastAsia="方正仿宋_GBK"/>
          <w:color w:val="000000"/>
          <w:spacing w:val="-2"/>
          <w:sz w:val="24"/>
          <w:shd w:val="clear" w:color="auto" w:fill="FFFFFF"/>
        </w:rPr>
        <w:t>）内墙保温：【</w:t>
      </w:r>
      <w:r>
        <w:rPr>
          <w:rFonts w:eastAsia="方正仿宋_GBK"/>
          <w:color w:val="000000"/>
          <w:spacing w:val="-2"/>
          <w:sz w:val="24"/>
          <w:u w:val="single"/>
          <w:shd w:val="clear" w:color="auto" w:fill="FFFFFF"/>
        </w:rPr>
        <w:t xml:space="preserve">                     </w:t>
      </w:r>
      <w:r>
        <w:rPr>
          <w:rFonts w:hint="eastAsia" w:eastAsia="方正仿宋_GBK"/>
          <w:color w:val="000000"/>
          <w:spacing w:val="-2"/>
          <w:sz w:val="24"/>
          <w:shd w:val="clear" w:color="auto" w:fill="FFFFFF"/>
        </w:rPr>
        <w:t>】。</w:t>
      </w:r>
    </w:p>
    <w:p>
      <w:pPr>
        <w:spacing w:line="460" w:lineRule="exact"/>
        <w:ind w:firstLine="472" w:firstLineChars="200"/>
        <w:textAlignment w:val="baseline"/>
        <w:rPr>
          <w:rFonts w:eastAsia="方正仿宋_GBK"/>
          <w:color w:val="000000"/>
          <w:spacing w:val="-2"/>
          <w:sz w:val="24"/>
          <w:shd w:val="clear" w:color="auto" w:fill="FFFFFF"/>
        </w:rPr>
      </w:pPr>
      <w:r>
        <w:rPr>
          <w:rFonts w:eastAsia="方正仿宋_GBK"/>
          <w:color w:val="000000"/>
          <w:spacing w:val="-2"/>
          <w:sz w:val="24"/>
          <w:shd w:val="clear" w:color="auto" w:fill="FFFFFF"/>
        </w:rPr>
        <w:t>3.</w:t>
      </w:r>
      <w:r>
        <w:rPr>
          <w:rFonts w:hint="cs" w:eastAsia="方正仿宋_GBK"/>
          <w:color w:val="000000"/>
          <w:spacing w:val="-2"/>
          <w:sz w:val="24"/>
          <w:shd w:val="clear" w:color="auto" w:fill="FFFFFF"/>
          <w:cs/>
        </w:rPr>
        <w:t> </w:t>
      </w:r>
      <w:r>
        <w:rPr>
          <w:rFonts w:hint="eastAsia" w:eastAsia="方正仿宋_GBK"/>
          <w:color w:val="000000"/>
          <w:spacing w:val="-2"/>
          <w:sz w:val="24"/>
          <w:shd w:val="clear" w:color="auto" w:fill="FFFFFF"/>
        </w:rPr>
        <w:t>外墙装饰材料：【</w:t>
      </w:r>
      <w:r>
        <w:rPr>
          <w:rFonts w:eastAsia="方正仿宋_GBK"/>
          <w:color w:val="000000"/>
          <w:spacing w:val="-2"/>
          <w:sz w:val="24"/>
          <w:u w:val="single"/>
          <w:shd w:val="clear" w:color="auto" w:fill="FFFFFF"/>
        </w:rPr>
        <w:t xml:space="preserve">                     </w:t>
      </w:r>
      <w:r>
        <w:rPr>
          <w:rFonts w:hint="eastAsia" w:eastAsia="方正仿宋_GBK"/>
          <w:color w:val="000000"/>
          <w:spacing w:val="-2"/>
          <w:sz w:val="24"/>
          <w:shd w:val="clear" w:color="auto" w:fill="FFFFFF"/>
        </w:rPr>
        <w:t>】。</w:t>
      </w:r>
    </w:p>
    <w:p>
      <w:pPr>
        <w:spacing w:line="460" w:lineRule="exact"/>
        <w:ind w:firstLine="472" w:firstLineChars="200"/>
        <w:textAlignment w:val="baseline"/>
        <w:rPr>
          <w:rFonts w:eastAsia="方正仿宋_GBK"/>
          <w:color w:val="000000"/>
          <w:spacing w:val="-2"/>
          <w:sz w:val="24"/>
          <w:shd w:val="clear" w:color="auto" w:fill="FFFFFF"/>
        </w:rPr>
      </w:pPr>
      <w:r>
        <w:rPr>
          <w:rFonts w:eastAsia="方正仿宋_GBK"/>
          <w:color w:val="000000"/>
          <w:spacing w:val="-2"/>
          <w:sz w:val="24"/>
          <w:shd w:val="clear" w:color="auto" w:fill="FFFFFF"/>
        </w:rPr>
        <w:t>4.</w:t>
      </w:r>
      <w:r>
        <w:rPr>
          <w:rFonts w:hint="cs" w:eastAsia="方正仿宋_GBK"/>
          <w:color w:val="000000"/>
          <w:spacing w:val="-2"/>
          <w:sz w:val="24"/>
          <w:shd w:val="clear" w:color="auto" w:fill="FFFFFF"/>
          <w:cs/>
        </w:rPr>
        <w:t> </w:t>
      </w:r>
      <w:r>
        <w:rPr>
          <w:rFonts w:hint="eastAsia" w:eastAsia="方正仿宋_GBK"/>
          <w:color w:val="000000"/>
          <w:spacing w:val="-2"/>
          <w:sz w:val="24"/>
          <w:shd w:val="clear" w:color="auto" w:fill="FFFFFF"/>
        </w:rPr>
        <w:t>内墙装饰材料：【</w:t>
      </w:r>
      <w:r>
        <w:rPr>
          <w:rFonts w:eastAsia="方正仿宋_GBK"/>
          <w:color w:val="000000"/>
          <w:spacing w:val="-2"/>
          <w:sz w:val="24"/>
          <w:u w:val="single"/>
          <w:shd w:val="clear" w:color="auto" w:fill="FFFFFF"/>
        </w:rPr>
        <w:t xml:space="preserve">                     </w:t>
      </w:r>
      <w:r>
        <w:rPr>
          <w:rFonts w:hint="eastAsia" w:eastAsia="方正仿宋_GBK"/>
          <w:color w:val="000000"/>
          <w:spacing w:val="-2"/>
          <w:sz w:val="24"/>
          <w:shd w:val="clear" w:color="auto" w:fill="FFFFFF"/>
        </w:rPr>
        <w:t>】。</w:t>
      </w:r>
    </w:p>
    <w:p>
      <w:pPr>
        <w:spacing w:line="460" w:lineRule="exact"/>
        <w:ind w:firstLine="472" w:firstLineChars="200"/>
        <w:textAlignment w:val="baseline"/>
        <w:rPr>
          <w:rFonts w:eastAsia="方正仿宋_GBK"/>
          <w:color w:val="000000"/>
          <w:spacing w:val="-2"/>
          <w:sz w:val="24"/>
          <w:shd w:val="clear" w:color="auto" w:fill="FFFFFF"/>
        </w:rPr>
      </w:pPr>
      <w:r>
        <w:rPr>
          <w:rFonts w:eastAsia="方正仿宋_GBK"/>
          <w:color w:val="000000"/>
          <w:spacing w:val="-2"/>
          <w:sz w:val="24"/>
          <w:shd w:val="clear" w:color="auto" w:fill="FFFFFF"/>
        </w:rPr>
        <w:t>5.</w:t>
      </w:r>
      <w:r>
        <w:rPr>
          <w:rFonts w:hint="cs" w:eastAsia="方正仿宋_GBK"/>
          <w:color w:val="000000"/>
          <w:spacing w:val="-2"/>
          <w:sz w:val="24"/>
          <w:shd w:val="clear" w:color="auto" w:fill="FFFFFF"/>
          <w:cs/>
        </w:rPr>
        <w:t> </w:t>
      </w:r>
      <w:r>
        <w:rPr>
          <w:rFonts w:hint="eastAsia" w:eastAsia="方正仿宋_GBK"/>
          <w:color w:val="000000"/>
          <w:spacing w:val="-2"/>
          <w:sz w:val="24"/>
          <w:shd w:val="clear" w:color="auto" w:fill="FFFFFF"/>
        </w:rPr>
        <w:t>顶棚装饰材料：【</w:t>
      </w:r>
      <w:r>
        <w:rPr>
          <w:rFonts w:eastAsia="方正仿宋_GBK"/>
          <w:color w:val="000000"/>
          <w:spacing w:val="-2"/>
          <w:sz w:val="24"/>
          <w:shd w:val="clear" w:color="auto" w:fill="FFFFFF"/>
        </w:rPr>
        <w:t xml:space="preserve"> _____________________</w:t>
      </w:r>
      <w:r>
        <w:rPr>
          <w:rFonts w:hint="eastAsia" w:eastAsia="方正仿宋_GBK"/>
          <w:color w:val="000000"/>
          <w:spacing w:val="-2"/>
          <w:sz w:val="24"/>
          <w:shd w:val="clear" w:color="auto" w:fill="FFFFFF"/>
        </w:rPr>
        <w:t>】。</w:t>
      </w:r>
    </w:p>
    <w:p>
      <w:pPr>
        <w:spacing w:line="460" w:lineRule="exact"/>
        <w:ind w:firstLine="472" w:firstLineChars="200"/>
        <w:textAlignment w:val="baseline"/>
        <w:rPr>
          <w:rFonts w:eastAsia="方正仿宋_GBK"/>
          <w:color w:val="000000"/>
          <w:spacing w:val="-2"/>
          <w:sz w:val="24"/>
          <w:shd w:val="clear" w:color="auto" w:fill="FFFFFF"/>
        </w:rPr>
      </w:pPr>
      <w:r>
        <w:rPr>
          <w:rFonts w:eastAsia="方正仿宋_GBK"/>
          <w:color w:val="000000"/>
          <w:spacing w:val="-2"/>
          <w:sz w:val="24"/>
          <w:shd w:val="clear" w:color="auto" w:fill="FFFFFF"/>
        </w:rPr>
        <w:t>6.</w:t>
      </w:r>
      <w:r>
        <w:rPr>
          <w:rFonts w:hint="cs" w:eastAsia="方正仿宋_GBK"/>
          <w:color w:val="000000"/>
          <w:spacing w:val="-2"/>
          <w:sz w:val="24"/>
          <w:shd w:val="clear" w:color="auto" w:fill="FFFFFF"/>
          <w:cs/>
        </w:rPr>
        <w:t> </w:t>
      </w:r>
      <w:r>
        <w:rPr>
          <w:rFonts w:hint="eastAsia" w:eastAsia="方正仿宋_GBK"/>
          <w:color w:val="000000"/>
          <w:spacing w:val="-2"/>
          <w:sz w:val="24"/>
          <w:shd w:val="clear" w:color="auto" w:fill="FFFFFF"/>
        </w:rPr>
        <w:t>室内地面：【</w:t>
      </w:r>
      <w:r>
        <w:rPr>
          <w:rFonts w:eastAsia="方正仿宋_GBK"/>
          <w:color w:val="000000"/>
          <w:spacing w:val="-2"/>
          <w:sz w:val="24"/>
          <w:u w:val="single"/>
          <w:shd w:val="clear" w:color="auto" w:fill="FFFFFF"/>
        </w:rPr>
        <w:t xml:space="preserve">                            </w:t>
      </w:r>
      <w:r>
        <w:rPr>
          <w:rFonts w:hint="eastAsia" w:eastAsia="方正仿宋_GBK"/>
          <w:color w:val="000000"/>
          <w:spacing w:val="-2"/>
          <w:sz w:val="24"/>
          <w:shd w:val="clear" w:color="auto" w:fill="FFFFFF"/>
        </w:rPr>
        <w:t>】。</w:t>
      </w:r>
    </w:p>
    <w:p>
      <w:pPr>
        <w:spacing w:line="460" w:lineRule="exact"/>
        <w:ind w:firstLine="472" w:firstLineChars="200"/>
        <w:textAlignment w:val="baseline"/>
        <w:rPr>
          <w:rFonts w:eastAsia="方正仿宋_GBK"/>
          <w:color w:val="000000"/>
          <w:spacing w:val="-2"/>
          <w:sz w:val="24"/>
          <w:shd w:val="clear" w:color="auto" w:fill="FFFFFF"/>
        </w:rPr>
      </w:pPr>
      <w:r>
        <w:rPr>
          <w:rFonts w:eastAsia="方正仿宋_GBK"/>
          <w:color w:val="000000"/>
          <w:spacing w:val="-2"/>
          <w:sz w:val="24"/>
          <w:shd w:val="clear" w:color="auto" w:fill="FFFFFF"/>
        </w:rPr>
        <w:t>7.</w:t>
      </w:r>
      <w:r>
        <w:rPr>
          <w:rFonts w:hint="cs" w:eastAsia="方正仿宋_GBK"/>
          <w:color w:val="000000"/>
          <w:spacing w:val="-2"/>
          <w:sz w:val="24"/>
          <w:shd w:val="clear" w:color="auto" w:fill="FFFFFF"/>
          <w:cs/>
        </w:rPr>
        <w:t> </w:t>
      </w:r>
      <w:r>
        <w:rPr>
          <w:rFonts w:hint="eastAsia" w:eastAsia="方正仿宋_GBK"/>
          <w:color w:val="000000"/>
          <w:spacing w:val="-2"/>
          <w:sz w:val="24"/>
          <w:shd w:val="clear" w:color="auto" w:fill="FFFFFF"/>
        </w:rPr>
        <w:t>门窗：</w:t>
      </w:r>
    </w:p>
    <w:p>
      <w:pPr>
        <w:spacing w:line="460" w:lineRule="exact"/>
        <w:ind w:firstLine="472" w:firstLineChars="200"/>
        <w:textAlignment w:val="baseline"/>
        <w:rPr>
          <w:rFonts w:eastAsia="方正仿宋_GBK"/>
          <w:color w:val="000000"/>
          <w:spacing w:val="-2"/>
          <w:sz w:val="24"/>
          <w:shd w:val="clear" w:color="auto" w:fill="FFFFFF"/>
        </w:rPr>
      </w:pPr>
      <w:r>
        <w:rPr>
          <w:rFonts w:hint="eastAsia" w:eastAsia="方正仿宋_GBK"/>
          <w:color w:val="000000"/>
          <w:spacing w:val="-2"/>
          <w:sz w:val="24"/>
          <w:shd w:val="clear" w:color="auto" w:fill="FFFFFF"/>
        </w:rPr>
        <w:t>（</w:t>
      </w:r>
      <w:r>
        <w:rPr>
          <w:rFonts w:eastAsia="方正仿宋_GBK"/>
          <w:color w:val="000000"/>
          <w:spacing w:val="-2"/>
          <w:sz w:val="24"/>
          <w:shd w:val="clear" w:color="auto" w:fill="FFFFFF"/>
        </w:rPr>
        <w:t>1</w:t>
      </w:r>
      <w:r>
        <w:rPr>
          <w:rFonts w:hint="eastAsia" w:eastAsia="方正仿宋_GBK"/>
          <w:color w:val="000000"/>
          <w:spacing w:val="-2"/>
          <w:sz w:val="24"/>
          <w:shd w:val="clear" w:color="auto" w:fill="FFFFFF"/>
        </w:rPr>
        <w:t>）开启方向：【</w:t>
      </w:r>
      <w:r>
        <w:rPr>
          <w:rFonts w:eastAsia="方正仿宋_GBK"/>
          <w:color w:val="000000"/>
          <w:spacing w:val="-2"/>
          <w:sz w:val="24"/>
          <w:u w:val="single"/>
          <w:shd w:val="clear" w:color="auto" w:fill="FFFFFF"/>
        </w:rPr>
        <w:t xml:space="preserve">                     </w:t>
      </w:r>
      <w:r>
        <w:rPr>
          <w:rFonts w:hint="eastAsia" w:eastAsia="方正仿宋_GBK"/>
          <w:color w:val="000000"/>
          <w:spacing w:val="-2"/>
          <w:sz w:val="24"/>
          <w:shd w:val="clear" w:color="auto" w:fill="FFFFFF"/>
        </w:rPr>
        <w:t>】；</w:t>
      </w:r>
    </w:p>
    <w:p>
      <w:pPr>
        <w:spacing w:line="460" w:lineRule="exact"/>
        <w:ind w:firstLine="472" w:firstLineChars="200"/>
        <w:jc w:val="left"/>
        <w:textAlignment w:val="baseline"/>
        <w:rPr>
          <w:rFonts w:eastAsia="方正仿宋_GBK"/>
          <w:color w:val="000000"/>
          <w:spacing w:val="-2"/>
          <w:sz w:val="24"/>
          <w:shd w:val="clear" w:color="auto" w:fill="FFFFFF"/>
        </w:rPr>
      </w:pPr>
      <w:r>
        <w:rPr>
          <w:rFonts w:hint="eastAsia" w:eastAsia="方正仿宋_GBK"/>
          <w:color w:val="000000"/>
          <w:spacing w:val="-2"/>
          <w:sz w:val="24"/>
          <w:shd w:val="clear" w:color="auto" w:fill="FFFFFF"/>
        </w:rPr>
        <w:t>（</w:t>
      </w:r>
      <w:r>
        <w:rPr>
          <w:rFonts w:eastAsia="方正仿宋_GBK"/>
          <w:color w:val="000000"/>
          <w:spacing w:val="-2"/>
          <w:sz w:val="24"/>
          <w:shd w:val="clear" w:color="auto" w:fill="FFFFFF"/>
        </w:rPr>
        <w:t>2</w:t>
      </w:r>
      <w:r>
        <w:rPr>
          <w:rFonts w:hint="eastAsia" w:eastAsia="方正仿宋_GBK"/>
          <w:color w:val="000000"/>
          <w:spacing w:val="-2"/>
          <w:sz w:val="24"/>
          <w:shd w:val="clear" w:color="auto" w:fill="FFFFFF"/>
        </w:rPr>
        <w:t>）门窗型材：【</w:t>
      </w:r>
      <w:r>
        <w:rPr>
          <w:rFonts w:eastAsia="方正仿宋_GBK"/>
          <w:color w:val="000000"/>
          <w:spacing w:val="-2"/>
          <w:sz w:val="24"/>
          <w:u w:val="single"/>
          <w:shd w:val="clear" w:color="auto" w:fill="FFFFFF"/>
        </w:rPr>
        <w:t xml:space="preserve">                     </w:t>
      </w:r>
      <w:r>
        <w:rPr>
          <w:rFonts w:hint="eastAsia" w:eastAsia="方正仿宋_GBK"/>
          <w:color w:val="000000"/>
          <w:spacing w:val="-2"/>
          <w:sz w:val="24"/>
          <w:shd w:val="clear" w:color="auto" w:fill="FFFFFF"/>
        </w:rPr>
        <w:t>】。</w:t>
      </w:r>
    </w:p>
    <w:p>
      <w:pPr>
        <w:spacing w:line="460" w:lineRule="exact"/>
        <w:ind w:firstLine="472" w:firstLineChars="200"/>
        <w:textAlignment w:val="baseline"/>
        <w:rPr>
          <w:rFonts w:eastAsia="方正仿宋_GBK"/>
          <w:color w:val="000000"/>
          <w:spacing w:val="-2"/>
          <w:sz w:val="24"/>
          <w:shd w:val="clear" w:color="auto" w:fill="FFFFFF"/>
        </w:rPr>
      </w:pPr>
      <w:r>
        <w:rPr>
          <w:rFonts w:eastAsia="方正仿宋_GBK"/>
          <w:color w:val="000000"/>
          <w:spacing w:val="-2"/>
          <w:sz w:val="24"/>
          <w:shd w:val="clear" w:color="auto" w:fill="FFFFFF"/>
        </w:rPr>
        <w:t>8.</w:t>
      </w:r>
      <w:r>
        <w:rPr>
          <w:rFonts w:hint="cs" w:eastAsia="方正仿宋_GBK"/>
          <w:color w:val="000000"/>
          <w:spacing w:val="-2"/>
          <w:sz w:val="24"/>
          <w:shd w:val="clear" w:color="auto" w:fill="FFFFFF"/>
          <w:cs/>
        </w:rPr>
        <w:t> </w:t>
      </w:r>
      <w:r>
        <w:rPr>
          <w:rFonts w:hint="eastAsia" w:eastAsia="方正仿宋_GBK"/>
          <w:color w:val="000000"/>
          <w:spacing w:val="-2"/>
          <w:sz w:val="24"/>
          <w:shd w:val="clear" w:color="auto" w:fill="FFFFFF"/>
        </w:rPr>
        <w:t>厨房装修标准及设备：【</w:t>
      </w:r>
      <w:r>
        <w:rPr>
          <w:rFonts w:eastAsia="方正仿宋_GBK"/>
          <w:color w:val="000000"/>
          <w:spacing w:val="-2"/>
          <w:sz w:val="24"/>
          <w:u w:val="single"/>
          <w:shd w:val="clear" w:color="auto" w:fill="FFFFFF"/>
        </w:rPr>
        <w:t xml:space="preserve">                     </w:t>
      </w:r>
      <w:r>
        <w:rPr>
          <w:rFonts w:hint="eastAsia" w:eastAsia="方正仿宋_GBK"/>
          <w:color w:val="000000"/>
          <w:spacing w:val="-2"/>
          <w:sz w:val="24"/>
          <w:shd w:val="clear" w:color="auto" w:fill="FFFFFF"/>
        </w:rPr>
        <w:t>】。</w:t>
      </w:r>
    </w:p>
    <w:p>
      <w:pPr>
        <w:spacing w:line="460" w:lineRule="exact"/>
        <w:ind w:firstLine="472" w:firstLineChars="200"/>
        <w:textAlignment w:val="baseline"/>
        <w:rPr>
          <w:rFonts w:eastAsia="方正仿宋_GBK"/>
          <w:color w:val="000000"/>
          <w:spacing w:val="-2"/>
          <w:sz w:val="24"/>
          <w:shd w:val="clear" w:color="auto" w:fill="FFFFFF"/>
        </w:rPr>
      </w:pPr>
      <w:r>
        <w:rPr>
          <w:rFonts w:eastAsia="方正仿宋_GBK"/>
          <w:color w:val="000000"/>
          <w:spacing w:val="-2"/>
          <w:sz w:val="24"/>
          <w:shd w:val="clear" w:color="auto" w:fill="FFFFFF"/>
        </w:rPr>
        <w:t>9.</w:t>
      </w:r>
      <w:r>
        <w:rPr>
          <w:rFonts w:hint="cs" w:eastAsia="方正仿宋_GBK"/>
          <w:color w:val="000000"/>
          <w:spacing w:val="-2"/>
          <w:sz w:val="24"/>
          <w:shd w:val="clear" w:color="auto" w:fill="FFFFFF"/>
          <w:cs/>
        </w:rPr>
        <w:t> </w:t>
      </w:r>
      <w:r>
        <w:rPr>
          <w:rFonts w:hint="eastAsia" w:eastAsia="方正仿宋_GBK"/>
          <w:color w:val="000000"/>
          <w:spacing w:val="-2"/>
          <w:sz w:val="24"/>
          <w:shd w:val="clear" w:color="auto" w:fill="FFFFFF"/>
        </w:rPr>
        <w:t>卫生间装修标准及设备【</w:t>
      </w:r>
      <w:r>
        <w:rPr>
          <w:rFonts w:eastAsia="方正仿宋_GBK"/>
          <w:color w:val="000000"/>
          <w:spacing w:val="-2"/>
          <w:sz w:val="24"/>
          <w:u w:val="single"/>
          <w:shd w:val="clear" w:color="auto" w:fill="FFFFFF"/>
        </w:rPr>
        <w:t xml:space="preserve">                     </w:t>
      </w:r>
      <w:r>
        <w:rPr>
          <w:rFonts w:hint="eastAsia" w:eastAsia="方正仿宋_GBK"/>
          <w:color w:val="000000"/>
          <w:spacing w:val="-2"/>
          <w:sz w:val="24"/>
          <w:shd w:val="clear" w:color="auto" w:fill="FFFFFF"/>
        </w:rPr>
        <w:t>】。</w:t>
      </w:r>
    </w:p>
    <w:p>
      <w:pPr>
        <w:spacing w:line="460" w:lineRule="exact"/>
        <w:ind w:firstLine="472" w:firstLineChars="200"/>
        <w:textAlignment w:val="baseline"/>
        <w:rPr>
          <w:rFonts w:eastAsia="方正仿宋_GBK"/>
          <w:color w:val="000000"/>
          <w:spacing w:val="-2"/>
          <w:sz w:val="24"/>
          <w:shd w:val="clear" w:color="auto" w:fill="FFFFFF"/>
        </w:rPr>
      </w:pPr>
      <w:r>
        <w:rPr>
          <w:rFonts w:eastAsia="方正仿宋_GBK"/>
          <w:color w:val="000000"/>
          <w:spacing w:val="-2"/>
          <w:sz w:val="24"/>
          <w:shd w:val="clear" w:color="auto" w:fill="FFFFFF"/>
        </w:rPr>
        <w:t>10.</w:t>
      </w:r>
      <w:r>
        <w:rPr>
          <w:rFonts w:hint="cs" w:eastAsia="方正仿宋_GBK"/>
          <w:color w:val="000000"/>
          <w:spacing w:val="-2"/>
          <w:sz w:val="24"/>
          <w:shd w:val="clear" w:color="auto" w:fill="FFFFFF"/>
          <w:cs/>
        </w:rPr>
        <w:t> </w:t>
      </w:r>
      <w:r>
        <w:rPr>
          <w:rFonts w:hint="eastAsia" w:eastAsia="方正仿宋_GBK"/>
          <w:color w:val="000000"/>
          <w:spacing w:val="-2"/>
          <w:sz w:val="24"/>
          <w:shd w:val="clear" w:color="auto" w:fill="FFFFFF"/>
        </w:rPr>
        <w:t>阳台封闭情况及型村：【</w:t>
      </w:r>
      <w:r>
        <w:rPr>
          <w:rFonts w:eastAsia="方正仿宋_GBK"/>
          <w:color w:val="000000"/>
          <w:spacing w:val="-2"/>
          <w:sz w:val="24"/>
          <w:u w:val="single"/>
          <w:shd w:val="clear" w:color="auto" w:fill="FFFFFF"/>
        </w:rPr>
        <w:t xml:space="preserve">                     </w:t>
      </w:r>
      <w:r>
        <w:rPr>
          <w:rFonts w:hint="eastAsia" w:eastAsia="方正仿宋_GBK"/>
          <w:color w:val="000000"/>
          <w:spacing w:val="-2"/>
          <w:sz w:val="24"/>
          <w:shd w:val="clear" w:color="auto" w:fill="FFFFFF"/>
        </w:rPr>
        <w:t>】。</w:t>
      </w:r>
    </w:p>
    <w:p>
      <w:pPr>
        <w:spacing w:line="460" w:lineRule="exact"/>
        <w:ind w:firstLine="472" w:firstLineChars="200"/>
        <w:textAlignment w:val="baseline"/>
        <w:rPr>
          <w:rFonts w:eastAsia="方正仿宋_GBK"/>
          <w:color w:val="000000"/>
          <w:spacing w:val="-2"/>
          <w:sz w:val="24"/>
          <w:shd w:val="clear" w:color="auto" w:fill="FFFFFF"/>
        </w:rPr>
      </w:pPr>
      <w:r>
        <w:rPr>
          <w:rFonts w:eastAsia="方正仿宋_GBK"/>
          <w:color w:val="000000"/>
          <w:spacing w:val="-2"/>
          <w:sz w:val="24"/>
          <w:shd w:val="clear" w:color="auto" w:fill="FFFFFF"/>
        </w:rPr>
        <w:t>11.</w:t>
      </w:r>
      <w:r>
        <w:rPr>
          <w:rFonts w:hint="cs" w:eastAsia="方正仿宋_GBK"/>
          <w:color w:val="000000"/>
          <w:spacing w:val="-2"/>
          <w:sz w:val="24"/>
          <w:shd w:val="clear" w:color="auto" w:fill="FFFFFF"/>
          <w:cs/>
        </w:rPr>
        <w:t> </w:t>
      </w:r>
      <w:r>
        <w:rPr>
          <w:rFonts w:hint="eastAsia" w:eastAsia="方正仿宋_GBK"/>
          <w:color w:val="000000"/>
          <w:spacing w:val="-2"/>
          <w:sz w:val="24"/>
          <w:shd w:val="clear" w:color="auto" w:fill="FFFFFF"/>
        </w:rPr>
        <w:t>电梯：</w:t>
      </w:r>
    </w:p>
    <w:p>
      <w:pPr>
        <w:spacing w:line="460" w:lineRule="exact"/>
        <w:ind w:firstLine="354" w:firstLineChars="150"/>
        <w:textAlignment w:val="baseline"/>
        <w:rPr>
          <w:rFonts w:eastAsia="方正仿宋_GBK"/>
          <w:color w:val="000000"/>
          <w:spacing w:val="-2"/>
          <w:sz w:val="24"/>
          <w:shd w:val="clear" w:color="auto" w:fill="FFFFFF"/>
        </w:rPr>
      </w:pPr>
      <w:r>
        <w:rPr>
          <w:rFonts w:hint="eastAsia" w:eastAsia="方正仿宋_GBK"/>
          <w:color w:val="000000"/>
          <w:spacing w:val="-2"/>
          <w:sz w:val="24"/>
          <w:shd w:val="clear" w:color="auto" w:fill="FFFFFF"/>
        </w:rPr>
        <w:t>（</w:t>
      </w:r>
      <w:r>
        <w:rPr>
          <w:rFonts w:eastAsia="方正仿宋_GBK"/>
          <w:color w:val="000000"/>
          <w:spacing w:val="-2"/>
          <w:sz w:val="24"/>
          <w:shd w:val="clear" w:color="auto" w:fill="FFFFFF"/>
        </w:rPr>
        <w:t>1</w:t>
      </w:r>
      <w:r>
        <w:rPr>
          <w:rFonts w:hint="eastAsia" w:eastAsia="方正仿宋_GBK"/>
          <w:color w:val="000000"/>
          <w:spacing w:val="-2"/>
          <w:sz w:val="24"/>
          <w:shd w:val="clear" w:color="auto" w:fill="FFFFFF"/>
        </w:rPr>
        <w:t>）电梯品牌名称：【</w:t>
      </w:r>
      <w:r>
        <w:rPr>
          <w:rFonts w:eastAsia="方正仿宋_GBK"/>
          <w:color w:val="000000"/>
          <w:spacing w:val="-2"/>
          <w:sz w:val="24"/>
          <w:u w:val="single"/>
          <w:shd w:val="clear" w:color="auto" w:fill="FFFFFF"/>
        </w:rPr>
        <w:t xml:space="preserve">                     </w:t>
      </w:r>
      <w:r>
        <w:rPr>
          <w:rFonts w:hint="eastAsia" w:eastAsia="方正仿宋_GBK"/>
          <w:color w:val="000000"/>
          <w:spacing w:val="-2"/>
          <w:sz w:val="24"/>
          <w:shd w:val="clear" w:color="auto" w:fill="FFFFFF"/>
        </w:rPr>
        <w:t>】；</w:t>
      </w:r>
    </w:p>
    <w:p>
      <w:pPr>
        <w:spacing w:line="460" w:lineRule="exact"/>
        <w:ind w:firstLine="354" w:firstLineChars="150"/>
        <w:textAlignment w:val="baseline"/>
        <w:rPr>
          <w:rFonts w:eastAsia="方正仿宋_GBK"/>
          <w:color w:val="000000"/>
          <w:spacing w:val="-2"/>
          <w:sz w:val="24"/>
          <w:shd w:val="clear" w:color="auto" w:fill="FFFFFF"/>
        </w:rPr>
      </w:pPr>
      <w:r>
        <w:rPr>
          <w:rFonts w:hint="eastAsia" w:eastAsia="方正仿宋_GBK"/>
          <w:color w:val="000000"/>
          <w:spacing w:val="-2"/>
          <w:sz w:val="24"/>
          <w:shd w:val="clear" w:color="auto" w:fill="FFFFFF"/>
        </w:rPr>
        <w:t>（</w:t>
      </w:r>
      <w:r>
        <w:rPr>
          <w:rFonts w:eastAsia="方正仿宋_GBK"/>
          <w:color w:val="000000"/>
          <w:spacing w:val="-2"/>
          <w:sz w:val="24"/>
          <w:shd w:val="clear" w:color="auto" w:fill="FFFFFF"/>
        </w:rPr>
        <w:t>2</w:t>
      </w:r>
      <w:r>
        <w:rPr>
          <w:rFonts w:hint="eastAsia" w:eastAsia="方正仿宋_GBK"/>
          <w:color w:val="000000"/>
          <w:spacing w:val="-2"/>
          <w:sz w:val="24"/>
          <w:shd w:val="clear" w:color="auto" w:fill="FFFFFF"/>
        </w:rPr>
        <w:t>）电梯速度：【</w:t>
      </w:r>
      <w:r>
        <w:rPr>
          <w:rFonts w:eastAsia="方正仿宋_GBK"/>
          <w:color w:val="000000"/>
          <w:spacing w:val="-2"/>
          <w:sz w:val="24"/>
          <w:u w:val="single"/>
          <w:shd w:val="clear" w:color="auto" w:fill="FFFFFF"/>
        </w:rPr>
        <w:t xml:space="preserve">                     </w:t>
      </w:r>
      <w:r>
        <w:rPr>
          <w:rFonts w:hint="eastAsia" w:eastAsia="方正仿宋_GBK"/>
          <w:color w:val="000000"/>
          <w:spacing w:val="-2"/>
          <w:sz w:val="24"/>
          <w:shd w:val="clear" w:color="auto" w:fill="FFFFFF"/>
        </w:rPr>
        <w:t>米</w:t>
      </w:r>
      <w:r>
        <w:rPr>
          <w:rFonts w:eastAsia="方正仿宋_GBK"/>
          <w:color w:val="000000"/>
          <w:spacing w:val="-2"/>
          <w:sz w:val="24"/>
          <w:shd w:val="clear" w:color="auto" w:fill="FFFFFF"/>
        </w:rPr>
        <w:t>/</w:t>
      </w:r>
      <w:r>
        <w:rPr>
          <w:rFonts w:hint="eastAsia" w:eastAsia="方正仿宋_GBK"/>
          <w:color w:val="000000"/>
          <w:spacing w:val="-2"/>
          <w:sz w:val="24"/>
          <w:shd w:val="clear" w:color="auto" w:fill="FFFFFF"/>
        </w:rPr>
        <w:t>秒】；</w:t>
      </w:r>
    </w:p>
    <w:p>
      <w:pPr>
        <w:spacing w:line="460" w:lineRule="exact"/>
        <w:ind w:firstLine="354" w:firstLineChars="150"/>
        <w:textAlignment w:val="baseline"/>
        <w:rPr>
          <w:rFonts w:eastAsia="方正仿宋_GBK"/>
          <w:color w:val="000000"/>
          <w:spacing w:val="-2"/>
          <w:sz w:val="24"/>
          <w:shd w:val="clear" w:color="auto" w:fill="FFFFFF"/>
        </w:rPr>
      </w:pPr>
      <w:r>
        <w:rPr>
          <w:rFonts w:hint="eastAsia" w:eastAsia="方正仿宋_GBK"/>
          <w:color w:val="000000"/>
          <w:spacing w:val="-2"/>
          <w:sz w:val="24"/>
          <w:shd w:val="clear" w:color="auto" w:fill="FFFFFF"/>
        </w:rPr>
        <w:t>（</w:t>
      </w:r>
      <w:r>
        <w:rPr>
          <w:rFonts w:eastAsia="方正仿宋_GBK"/>
          <w:color w:val="000000"/>
          <w:spacing w:val="-2"/>
          <w:sz w:val="24"/>
          <w:shd w:val="clear" w:color="auto" w:fill="FFFFFF"/>
        </w:rPr>
        <w:t>3</w:t>
      </w:r>
      <w:r>
        <w:rPr>
          <w:rFonts w:hint="eastAsia" w:eastAsia="方正仿宋_GBK"/>
          <w:color w:val="000000"/>
          <w:spacing w:val="-2"/>
          <w:sz w:val="24"/>
          <w:shd w:val="clear" w:color="auto" w:fill="FFFFFF"/>
        </w:rPr>
        <w:t>）电梯载重量：【</w:t>
      </w:r>
      <w:r>
        <w:rPr>
          <w:rFonts w:eastAsia="方正仿宋_GBK"/>
          <w:color w:val="000000"/>
          <w:spacing w:val="-2"/>
          <w:sz w:val="24"/>
          <w:u w:val="single"/>
          <w:shd w:val="clear" w:color="auto" w:fill="FFFFFF"/>
        </w:rPr>
        <w:t xml:space="preserve">                     </w:t>
      </w:r>
      <w:r>
        <w:rPr>
          <w:rFonts w:hint="eastAsia" w:eastAsia="方正仿宋_GBK"/>
          <w:color w:val="000000"/>
          <w:spacing w:val="-2"/>
          <w:sz w:val="24"/>
          <w:shd w:val="clear" w:color="auto" w:fill="FFFFFF"/>
        </w:rPr>
        <w:t>千克】；</w:t>
      </w:r>
    </w:p>
    <w:p>
      <w:pPr>
        <w:spacing w:line="460" w:lineRule="exact"/>
        <w:ind w:firstLine="354" w:firstLineChars="150"/>
        <w:textAlignment w:val="baseline"/>
        <w:rPr>
          <w:rFonts w:eastAsia="方正仿宋_GBK"/>
          <w:color w:val="000000"/>
          <w:spacing w:val="-2"/>
          <w:sz w:val="24"/>
          <w:shd w:val="clear" w:color="auto" w:fill="FFFFFF"/>
        </w:rPr>
      </w:pPr>
      <w:r>
        <w:rPr>
          <w:rFonts w:hint="eastAsia" w:eastAsia="方正仿宋_GBK"/>
          <w:color w:val="000000"/>
          <w:spacing w:val="-2"/>
          <w:sz w:val="24"/>
          <w:shd w:val="clear" w:color="auto" w:fill="FFFFFF"/>
        </w:rPr>
        <w:t>（</w:t>
      </w:r>
      <w:r>
        <w:rPr>
          <w:rFonts w:eastAsia="方正仿宋_GBK"/>
          <w:color w:val="000000"/>
          <w:spacing w:val="-2"/>
          <w:sz w:val="24"/>
          <w:shd w:val="clear" w:color="auto" w:fill="FFFFFF"/>
        </w:rPr>
        <w:t>4</w:t>
      </w:r>
      <w:r>
        <w:rPr>
          <w:rFonts w:hint="eastAsia" w:eastAsia="方正仿宋_GBK"/>
          <w:color w:val="000000"/>
          <w:spacing w:val="-2"/>
          <w:sz w:val="24"/>
          <w:shd w:val="clear" w:color="auto" w:fill="FFFFFF"/>
        </w:rPr>
        <w:t>）其他：【</w:t>
      </w:r>
      <w:r>
        <w:rPr>
          <w:rFonts w:eastAsia="方正仿宋_GBK"/>
          <w:color w:val="000000"/>
          <w:spacing w:val="-2"/>
          <w:sz w:val="24"/>
          <w:u w:val="single"/>
          <w:shd w:val="clear" w:color="auto" w:fill="FFFFFF"/>
        </w:rPr>
        <w:t xml:space="preserve">                     </w:t>
      </w:r>
      <w:r>
        <w:rPr>
          <w:rFonts w:hint="eastAsia" w:eastAsia="方正仿宋_GBK"/>
          <w:color w:val="000000"/>
          <w:spacing w:val="-2"/>
          <w:sz w:val="24"/>
          <w:shd w:val="clear" w:color="auto" w:fill="FFFFFF"/>
        </w:rPr>
        <w:t>】。</w:t>
      </w:r>
    </w:p>
    <w:p>
      <w:pPr>
        <w:spacing w:line="460" w:lineRule="exact"/>
        <w:ind w:firstLine="472" w:firstLineChars="200"/>
        <w:textAlignment w:val="baseline"/>
        <w:rPr>
          <w:rFonts w:eastAsia="方正仿宋_GBK"/>
          <w:color w:val="000000"/>
          <w:spacing w:val="-2"/>
          <w:sz w:val="24"/>
          <w:shd w:val="clear" w:color="auto" w:fill="FFFFFF"/>
        </w:rPr>
      </w:pPr>
      <w:r>
        <w:rPr>
          <w:rFonts w:eastAsia="方正仿宋_GBK"/>
          <w:color w:val="000000"/>
          <w:spacing w:val="-2"/>
          <w:sz w:val="24"/>
          <w:shd w:val="clear" w:color="auto" w:fill="FFFFFF"/>
        </w:rPr>
        <w:t>12.</w:t>
      </w:r>
      <w:r>
        <w:rPr>
          <w:rFonts w:hint="cs" w:eastAsia="方正仿宋_GBK"/>
          <w:color w:val="000000"/>
          <w:spacing w:val="-2"/>
          <w:sz w:val="24"/>
          <w:shd w:val="clear" w:color="auto" w:fill="FFFFFF"/>
          <w:cs/>
        </w:rPr>
        <w:t> </w:t>
      </w:r>
      <w:r>
        <w:rPr>
          <w:rFonts w:hint="eastAsia" w:eastAsia="方正仿宋_GBK"/>
          <w:color w:val="000000"/>
          <w:spacing w:val="-2"/>
          <w:sz w:val="24"/>
          <w:shd w:val="clear" w:color="auto" w:fill="FFFFFF"/>
        </w:rPr>
        <w:t>太阳能：</w:t>
      </w:r>
    </w:p>
    <w:p>
      <w:pPr>
        <w:spacing w:line="460" w:lineRule="exact"/>
        <w:ind w:firstLine="354" w:firstLineChars="150"/>
        <w:textAlignment w:val="baseline"/>
        <w:rPr>
          <w:rFonts w:eastAsia="方正仿宋_GBK"/>
          <w:color w:val="000000"/>
          <w:spacing w:val="-2"/>
          <w:sz w:val="24"/>
          <w:shd w:val="clear" w:color="auto" w:fill="FFFFFF"/>
        </w:rPr>
      </w:pPr>
      <w:r>
        <w:rPr>
          <w:rFonts w:hint="eastAsia" w:eastAsia="方正仿宋_GBK"/>
          <w:color w:val="000000"/>
          <w:spacing w:val="-2"/>
          <w:sz w:val="24"/>
          <w:shd w:val="clear" w:color="auto" w:fill="FFFFFF"/>
        </w:rPr>
        <w:t>（</w:t>
      </w:r>
      <w:r>
        <w:rPr>
          <w:rFonts w:eastAsia="方正仿宋_GBK"/>
          <w:color w:val="000000"/>
          <w:spacing w:val="-2"/>
          <w:sz w:val="24"/>
          <w:shd w:val="clear" w:color="auto" w:fill="FFFFFF"/>
        </w:rPr>
        <w:t>1</w:t>
      </w:r>
      <w:r>
        <w:rPr>
          <w:rFonts w:hint="eastAsia" w:eastAsia="方正仿宋_GBK"/>
          <w:color w:val="000000"/>
          <w:spacing w:val="-2"/>
          <w:sz w:val="24"/>
          <w:shd w:val="clear" w:color="auto" w:fill="FFFFFF"/>
        </w:rPr>
        <w:t>）【有】【无】；</w:t>
      </w:r>
    </w:p>
    <w:p>
      <w:pPr>
        <w:spacing w:line="460" w:lineRule="exact"/>
        <w:ind w:firstLine="354" w:firstLineChars="150"/>
        <w:textAlignment w:val="baseline"/>
        <w:rPr>
          <w:rFonts w:eastAsia="方正仿宋_GBK"/>
          <w:color w:val="000000"/>
          <w:spacing w:val="-2"/>
          <w:sz w:val="24"/>
          <w:shd w:val="clear" w:color="auto" w:fill="FFFFFF"/>
        </w:rPr>
      </w:pPr>
      <w:r>
        <w:rPr>
          <w:rFonts w:hint="eastAsia" w:eastAsia="方正仿宋_GBK"/>
          <w:color w:val="000000"/>
          <w:spacing w:val="-2"/>
          <w:sz w:val="24"/>
          <w:shd w:val="clear" w:color="auto" w:fill="FFFFFF"/>
        </w:rPr>
        <w:t>（</w:t>
      </w:r>
      <w:r>
        <w:rPr>
          <w:rFonts w:eastAsia="方正仿宋_GBK"/>
          <w:color w:val="000000"/>
          <w:spacing w:val="-2"/>
          <w:sz w:val="24"/>
          <w:shd w:val="clear" w:color="auto" w:fill="FFFFFF"/>
        </w:rPr>
        <w:t>2</w:t>
      </w:r>
      <w:r>
        <w:rPr>
          <w:rFonts w:hint="eastAsia" w:eastAsia="方正仿宋_GBK"/>
          <w:color w:val="000000"/>
          <w:spacing w:val="-2"/>
          <w:sz w:val="24"/>
          <w:shd w:val="clear" w:color="auto" w:fill="FFFFFF"/>
        </w:rPr>
        <w:t>）太阳能品牌【</w:t>
      </w:r>
      <w:r>
        <w:rPr>
          <w:rFonts w:eastAsia="方正仿宋_GBK"/>
          <w:color w:val="000000"/>
          <w:spacing w:val="-2"/>
          <w:sz w:val="24"/>
          <w:shd w:val="clear" w:color="auto" w:fill="FFFFFF"/>
        </w:rPr>
        <w:t>___________________________________</w:t>
      </w:r>
      <w:r>
        <w:rPr>
          <w:rFonts w:hint="eastAsia" w:eastAsia="方正仿宋_GBK"/>
          <w:color w:val="000000"/>
          <w:spacing w:val="-2"/>
          <w:sz w:val="24"/>
          <w:shd w:val="clear" w:color="auto" w:fill="FFFFFF"/>
        </w:rPr>
        <w:t>】。</w:t>
      </w:r>
    </w:p>
    <w:p>
      <w:pPr>
        <w:spacing w:line="460" w:lineRule="exact"/>
        <w:ind w:firstLine="472" w:firstLineChars="200"/>
        <w:textAlignment w:val="baseline"/>
        <w:rPr>
          <w:rFonts w:eastAsia="方正仿宋_GBK"/>
          <w:color w:val="000000"/>
          <w:spacing w:val="-2"/>
          <w:sz w:val="24"/>
          <w:shd w:val="clear" w:color="auto" w:fill="FFFFFF"/>
        </w:rPr>
      </w:pPr>
      <w:r>
        <w:rPr>
          <w:rFonts w:eastAsia="方正仿宋_GBK"/>
          <w:color w:val="000000"/>
          <w:spacing w:val="-2"/>
          <w:sz w:val="24"/>
          <w:shd w:val="clear" w:color="auto" w:fill="FFFFFF"/>
        </w:rPr>
        <w:t>13.</w:t>
      </w:r>
      <w:r>
        <w:rPr>
          <w:rFonts w:hint="cs" w:eastAsia="方正仿宋_GBK"/>
          <w:color w:val="000000"/>
          <w:spacing w:val="-2"/>
          <w:sz w:val="24"/>
          <w:shd w:val="clear" w:color="auto" w:fill="FFFFFF"/>
          <w:cs/>
        </w:rPr>
        <w:t> </w:t>
      </w:r>
      <w:r>
        <w:rPr>
          <w:rFonts w:hint="eastAsia" w:eastAsia="方正仿宋_GBK"/>
          <w:color w:val="000000"/>
          <w:spacing w:val="-2"/>
          <w:sz w:val="24"/>
          <w:shd w:val="clear" w:color="auto" w:fill="FFFFFF"/>
        </w:rPr>
        <w:t>入户门材料及品牌：【</w:t>
      </w:r>
      <w:r>
        <w:rPr>
          <w:rFonts w:eastAsia="方正仿宋_GBK"/>
          <w:color w:val="000000"/>
          <w:spacing w:val="-2"/>
          <w:sz w:val="24"/>
          <w:u w:val="single"/>
          <w:shd w:val="clear" w:color="auto" w:fill="FFFFFF"/>
        </w:rPr>
        <w:t xml:space="preserve">                     </w:t>
      </w:r>
      <w:r>
        <w:rPr>
          <w:rFonts w:hint="eastAsia" w:eastAsia="方正仿宋_GBK"/>
          <w:color w:val="000000"/>
          <w:spacing w:val="-2"/>
          <w:sz w:val="24"/>
          <w:shd w:val="clear" w:color="auto" w:fill="FFFFFF"/>
        </w:rPr>
        <w:t>】；</w:t>
      </w:r>
    </w:p>
    <w:p>
      <w:pPr>
        <w:spacing w:line="460" w:lineRule="exact"/>
        <w:ind w:firstLine="472" w:firstLineChars="200"/>
        <w:textAlignment w:val="baseline"/>
        <w:rPr>
          <w:rFonts w:eastAsia="方正仿宋_GBK"/>
          <w:color w:val="000000"/>
          <w:spacing w:val="-2"/>
          <w:sz w:val="24"/>
          <w:shd w:val="clear" w:color="auto" w:fill="FFFFFF"/>
        </w:rPr>
      </w:pPr>
      <w:r>
        <w:rPr>
          <w:rFonts w:eastAsia="方正仿宋_GBK"/>
          <w:color w:val="000000"/>
          <w:spacing w:val="-2"/>
          <w:sz w:val="24"/>
          <w:shd w:val="clear" w:color="auto" w:fill="FFFFFF"/>
        </w:rPr>
        <w:t>14.</w:t>
      </w:r>
      <w:r>
        <w:rPr>
          <w:rFonts w:hint="cs" w:eastAsia="方正仿宋_GBK"/>
          <w:color w:val="000000"/>
          <w:spacing w:val="-2"/>
          <w:sz w:val="24"/>
          <w:shd w:val="clear" w:color="auto" w:fill="FFFFFF"/>
          <w:cs/>
        </w:rPr>
        <w:t> </w:t>
      </w:r>
      <w:r>
        <w:rPr>
          <w:rFonts w:hint="eastAsia" w:eastAsia="方正仿宋_GBK"/>
          <w:color w:val="000000"/>
          <w:spacing w:val="-2"/>
          <w:sz w:val="24"/>
        </w:rPr>
        <w:t>单元对讲门类型及品牌：</w:t>
      </w:r>
      <w:r>
        <w:rPr>
          <w:rFonts w:hint="eastAsia" w:eastAsia="方正仿宋_GBK"/>
          <w:color w:val="000000"/>
          <w:spacing w:val="-2"/>
          <w:sz w:val="24"/>
          <w:shd w:val="clear" w:color="auto" w:fill="FFFFFF"/>
        </w:rPr>
        <w:t>【</w:t>
      </w:r>
      <w:r>
        <w:rPr>
          <w:rFonts w:eastAsia="方正仿宋_GBK"/>
          <w:color w:val="000000"/>
          <w:spacing w:val="-2"/>
          <w:sz w:val="24"/>
          <w:u w:val="single"/>
          <w:shd w:val="clear" w:color="auto" w:fill="FFFFFF"/>
        </w:rPr>
        <w:t xml:space="preserve">                     </w:t>
      </w:r>
      <w:r>
        <w:rPr>
          <w:rFonts w:hint="eastAsia" w:eastAsia="方正仿宋_GBK"/>
          <w:color w:val="000000"/>
          <w:spacing w:val="-2"/>
          <w:sz w:val="24"/>
          <w:shd w:val="clear" w:color="auto" w:fill="FFFFFF"/>
        </w:rPr>
        <w:t>】。</w:t>
      </w:r>
    </w:p>
    <w:p>
      <w:pPr>
        <w:spacing w:line="460" w:lineRule="exact"/>
        <w:ind w:firstLine="472" w:firstLineChars="200"/>
        <w:textAlignment w:val="baseline"/>
        <w:rPr>
          <w:rFonts w:eastAsia="方正仿宋_GBK"/>
          <w:color w:val="000000"/>
          <w:spacing w:val="-2"/>
          <w:sz w:val="24"/>
          <w:shd w:val="clear" w:color="auto" w:fill="FFFFFF"/>
        </w:rPr>
      </w:pPr>
      <w:r>
        <w:rPr>
          <w:rFonts w:eastAsia="方正仿宋_GBK"/>
          <w:color w:val="000000"/>
          <w:spacing w:val="-2"/>
          <w:sz w:val="24"/>
          <w:shd w:val="clear" w:color="auto" w:fill="FFFFFF"/>
        </w:rPr>
        <w:t>15.</w:t>
      </w:r>
      <w:r>
        <w:rPr>
          <w:rFonts w:hint="cs" w:eastAsia="方正仿宋_GBK"/>
          <w:color w:val="000000"/>
          <w:spacing w:val="-2"/>
          <w:sz w:val="24"/>
          <w:shd w:val="clear" w:color="auto" w:fill="FFFFFF"/>
          <w:cs/>
        </w:rPr>
        <w:t> </w:t>
      </w:r>
      <w:r>
        <w:rPr>
          <w:rFonts w:hint="eastAsia" w:eastAsia="方正仿宋_GBK"/>
          <w:color w:val="000000"/>
          <w:spacing w:val="-2"/>
          <w:sz w:val="24"/>
          <w:shd w:val="clear" w:color="auto" w:fill="FFFFFF"/>
        </w:rPr>
        <w:t>安防系统品牌及有关情况：【</w:t>
      </w:r>
      <w:r>
        <w:rPr>
          <w:rFonts w:eastAsia="方正仿宋_GBK"/>
          <w:color w:val="000000"/>
          <w:spacing w:val="-2"/>
          <w:sz w:val="24"/>
          <w:u w:val="single"/>
          <w:shd w:val="clear" w:color="auto" w:fill="FFFFFF"/>
        </w:rPr>
        <w:t xml:space="preserve">                     </w:t>
      </w:r>
      <w:r>
        <w:rPr>
          <w:rFonts w:hint="eastAsia" w:eastAsia="方正仿宋_GBK"/>
          <w:color w:val="000000"/>
          <w:spacing w:val="-2"/>
          <w:sz w:val="24"/>
          <w:shd w:val="clear" w:color="auto" w:fill="FFFFFF"/>
        </w:rPr>
        <w:t>】。</w:t>
      </w:r>
    </w:p>
    <w:p>
      <w:pPr>
        <w:spacing w:line="460" w:lineRule="exact"/>
        <w:ind w:firstLine="472" w:firstLineChars="200"/>
        <w:textAlignment w:val="baseline"/>
        <w:rPr>
          <w:rFonts w:eastAsia="方正仿宋_GBK"/>
          <w:color w:val="000000"/>
          <w:spacing w:val="-2"/>
          <w:sz w:val="24"/>
          <w:shd w:val="clear" w:color="auto" w:fill="FFFFFF"/>
        </w:rPr>
      </w:pPr>
      <w:r>
        <w:rPr>
          <w:rFonts w:eastAsia="方正仿宋_GBK"/>
          <w:color w:val="000000"/>
          <w:spacing w:val="-2"/>
          <w:sz w:val="24"/>
          <w:shd w:val="clear" w:color="auto" w:fill="FFFFFF"/>
        </w:rPr>
        <w:t>16.</w:t>
      </w:r>
      <w:r>
        <w:rPr>
          <w:rFonts w:hint="cs" w:eastAsia="方正仿宋_GBK"/>
          <w:color w:val="000000"/>
          <w:spacing w:val="-2"/>
          <w:sz w:val="24"/>
          <w:shd w:val="clear" w:color="auto" w:fill="FFFFFF"/>
          <w:cs/>
        </w:rPr>
        <w:t> </w:t>
      </w:r>
      <w:r>
        <w:rPr>
          <w:rFonts w:hint="eastAsia" w:eastAsia="方正仿宋_GBK"/>
          <w:color w:val="000000"/>
          <w:spacing w:val="-2"/>
          <w:sz w:val="24"/>
          <w:shd w:val="clear" w:color="auto" w:fill="FFFFFF"/>
        </w:rPr>
        <w:t>中央空调品牌：【</w:t>
      </w:r>
      <w:r>
        <w:rPr>
          <w:rFonts w:eastAsia="方正仿宋_GBK"/>
          <w:color w:val="000000"/>
          <w:spacing w:val="-2"/>
          <w:sz w:val="24"/>
          <w:u w:val="single"/>
          <w:shd w:val="clear" w:color="auto" w:fill="FFFFFF"/>
        </w:rPr>
        <w:t xml:space="preserve">                     </w:t>
      </w:r>
      <w:r>
        <w:rPr>
          <w:rFonts w:hint="eastAsia" w:eastAsia="方正仿宋_GBK"/>
          <w:color w:val="000000"/>
          <w:spacing w:val="-2"/>
          <w:sz w:val="24"/>
          <w:shd w:val="clear" w:color="auto" w:fill="FFFFFF"/>
        </w:rPr>
        <w:t>】。</w:t>
      </w:r>
    </w:p>
    <w:p>
      <w:pPr>
        <w:spacing w:line="460" w:lineRule="exact"/>
        <w:ind w:firstLine="472" w:firstLineChars="200"/>
        <w:textAlignment w:val="baseline"/>
        <w:rPr>
          <w:rFonts w:eastAsia="方正仿宋_GBK"/>
          <w:color w:val="000000"/>
          <w:spacing w:val="-2"/>
          <w:sz w:val="24"/>
          <w:shd w:val="clear" w:color="auto" w:fill="FFFFFF"/>
        </w:rPr>
      </w:pPr>
      <w:r>
        <w:rPr>
          <w:rFonts w:eastAsia="方正仿宋_GBK"/>
          <w:color w:val="000000"/>
          <w:spacing w:val="-2"/>
          <w:sz w:val="24"/>
          <w:shd w:val="clear" w:color="auto" w:fill="FFFFFF"/>
        </w:rPr>
        <w:t>17.</w:t>
      </w:r>
      <w:r>
        <w:rPr>
          <w:rFonts w:hint="cs" w:eastAsia="方正仿宋_GBK"/>
          <w:color w:val="000000"/>
          <w:spacing w:val="-2"/>
          <w:sz w:val="24"/>
          <w:shd w:val="clear" w:color="auto" w:fill="FFFFFF"/>
          <w:cs/>
        </w:rPr>
        <w:t> </w:t>
      </w:r>
      <w:r>
        <w:rPr>
          <w:rFonts w:hint="eastAsia" w:eastAsia="方正仿宋_GBK"/>
          <w:color w:val="000000"/>
          <w:spacing w:val="-2"/>
          <w:sz w:val="24"/>
          <w:shd w:val="clear" w:color="auto" w:fill="FFFFFF"/>
        </w:rPr>
        <w:t>其他设施：</w:t>
      </w:r>
    </w:p>
    <w:p>
      <w:pPr>
        <w:spacing w:line="460" w:lineRule="exact"/>
        <w:jc w:val="center"/>
        <w:textAlignment w:val="baseline"/>
        <w:rPr>
          <w:rFonts w:eastAsia="方正仿宋_GBK"/>
          <w:color w:val="000000"/>
          <w:spacing w:val="-2"/>
          <w:sz w:val="24"/>
          <w:shd w:val="clear" w:color="auto" w:fill="FFFFFF"/>
        </w:rPr>
      </w:pPr>
      <w:r>
        <w:rPr>
          <w:rFonts w:eastAsia="方正仿宋_GBK"/>
          <w:color w:val="000000"/>
          <w:spacing w:val="-2"/>
          <w:sz w:val="24"/>
          <w:shd w:val="clear" w:color="auto" w:fill="FFFFFF"/>
        </w:rPr>
        <w:t>_________________________________________________________</w:t>
      </w:r>
      <w:r>
        <w:rPr>
          <w:rFonts w:hint="eastAsia" w:eastAsia="方正仿宋_GBK"/>
          <w:color w:val="000000"/>
          <w:spacing w:val="-2"/>
          <w:sz w:val="24"/>
          <w:shd w:val="clear" w:color="auto" w:fill="FFFFFF"/>
        </w:rPr>
        <w:t>；</w:t>
      </w:r>
    </w:p>
    <w:p>
      <w:pPr>
        <w:spacing w:line="460" w:lineRule="exact"/>
        <w:jc w:val="center"/>
        <w:textAlignment w:val="baseline"/>
        <w:rPr>
          <w:rFonts w:eastAsia="方正仿宋_GBK"/>
          <w:color w:val="000000"/>
          <w:spacing w:val="-2"/>
          <w:sz w:val="24"/>
          <w:shd w:val="clear" w:color="auto" w:fill="FFFFFF"/>
        </w:rPr>
      </w:pPr>
      <w:r>
        <w:rPr>
          <w:rFonts w:eastAsia="方正仿宋_GBK"/>
          <w:color w:val="000000"/>
          <w:spacing w:val="-2"/>
          <w:sz w:val="24"/>
          <w:shd w:val="clear" w:color="auto" w:fill="FFFFFF"/>
        </w:rPr>
        <w:t>_________________________________________________________</w:t>
      </w:r>
      <w:r>
        <w:rPr>
          <w:rFonts w:hint="eastAsia" w:eastAsia="方正仿宋_GBK"/>
          <w:color w:val="000000"/>
          <w:spacing w:val="-2"/>
          <w:sz w:val="24"/>
          <w:shd w:val="clear" w:color="auto" w:fill="FFFFFF"/>
        </w:rPr>
        <w:t>；</w:t>
      </w:r>
    </w:p>
    <w:p>
      <w:pPr>
        <w:spacing w:line="460" w:lineRule="exact"/>
        <w:jc w:val="center"/>
        <w:textAlignment w:val="baseline"/>
        <w:rPr>
          <w:rFonts w:eastAsia="方正仿宋_GBK"/>
          <w:color w:val="000000"/>
          <w:spacing w:val="-2"/>
          <w:sz w:val="24"/>
          <w:shd w:val="clear" w:color="auto" w:fill="FFFFFF"/>
        </w:rPr>
      </w:pPr>
      <w:r>
        <w:rPr>
          <w:rFonts w:eastAsia="方正仿宋_GBK"/>
          <w:color w:val="000000"/>
          <w:spacing w:val="-2"/>
          <w:sz w:val="24"/>
          <w:shd w:val="clear" w:color="auto" w:fill="FFFFFF"/>
        </w:rPr>
        <w:t>_________________________________________________________</w:t>
      </w:r>
      <w:r>
        <w:rPr>
          <w:rFonts w:hint="eastAsia" w:eastAsia="方正仿宋_GBK"/>
          <w:color w:val="000000"/>
          <w:spacing w:val="-2"/>
          <w:sz w:val="24"/>
          <w:shd w:val="clear" w:color="auto" w:fill="FFFFFF"/>
        </w:rPr>
        <w:t>；</w:t>
      </w:r>
    </w:p>
    <w:p>
      <w:pPr>
        <w:spacing w:line="460" w:lineRule="exact"/>
        <w:jc w:val="center"/>
        <w:textAlignment w:val="baseline"/>
        <w:rPr>
          <w:rFonts w:eastAsia="方正仿宋_GBK"/>
          <w:color w:val="000000"/>
          <w:spacing w:val="-2"/>
          <w:sz w:val="24"/>
          <w:shd w:val="clear" w:color="auto" w:fill="FFFFFF"/>
        </w:rPr>
      </w:pPr>
      <w:r>
        <w:rPr>
          <w:rFonts w:eastAsia="方正仿宋_GBK"/>
          <w:color w:val="000000"/>
          <w:spacing w:val="-2"/>
          <w:sz w:val="24"/>
          <w:shd w:val="clear" w:color="auto" w:fill="FFFFFF"/>
        </w:rPr>
        <w:t>__________________________________________________________</w:t>
      </w:r>
      <w:r>
        <w:rPr>
          <w:rFonts w:hint="eastAsia" w:eastAsia="方正仿宋_GBK"/>
          <w:color w:val="000000"/>
          <w:spacing w:val="-2"/>
          <w:sz w:val="24"/>
          <w:shd w:val="clear" w:color="auto" w:fill="FFFFFF"/>
        </w:rPr>
        <w:t>。</w:t>
      </w:r>
    </w:p>
    <w:p>
      <w:pPr>
        <w:spacing w:line="460" w:lineRule="exact"/>
        <w:ind w:firstLine="555"/>
        <w:rPr>
          <w:rFonts w:ascii="Times New Roman" w:eastAsia="方正黑体_GBK"/>
          <w:color w:val="000000"/>
          <w:spacing w:val="-2"/>
          <w:sz w:val="24"/>
        </w:rPr>
      </w:pPr>
      <w:r>
        <w:rPr>
          <w:rFonts w:hint="eastAsia" w:ascii="Times New Roman" w:eastAsia="方正黑体_GBK"/>
          <w:color w:val="000000"/>
          <w:spacing w:val="-2"/>
          <w:sz w:val="24"/>
        </w:rPr>
        <w:br w:type="column"/>
      </w:r>
      <w:r>
        <w:rPr>
          <w:rFonts w:hint="eastAsia" w:ascii="Times New Roman" w:eastAsia="方正黑体_GBK"/>
          <w:color w:val="000000"/>
          <w:spacing w:val="-2"/>
          <w:sz w:val="24"/>
        </w:rPr>
        <w:t>第十条 预售行为承诺</w:t>
      </w:r>
    </w:p>
    <w:tbl>
      <w:tblPr>
        <w:tblStyle w:val="12"/>
        <w:tblW w:w="0" w:type="auto"/>
        <w:tblInd w:w="92"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8746"/>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c>
          <w:tcPr>
            <w:tcW w:w="8746" w:type="dxa"/>
            <w:tcBorders>
              <w:top w:val="single" w:color="auto" w:sz="8" w:space="0"/>
              <w:left w:val="single" w:color="auto" w:sz="8" w:space="0"/>
              <w:bottom w:val="single" w:color="auto" w:sz="8" w:space="0"/>
              <w:right w:val="single" w:color="auto" w:sz="8" w:space="0"/>
            </w:tcBorders>
            <w:noWrap w:val="0"/>
            <w:vAlign w:val="top"/>
          </w:tcPr>
          <w:p>
            <w:pPr>
              <w:spacing w:line="460" w:lineRule="exact"/>
              <w:rPr>
                <w:rFonts w:eastAsia="方正仿宋_GBK"/>
                <w:color w:val="000000"/>
                <w:spacing w:val="-2"/>
                <w:kern w:val="0"/>
                <w:sz w:val="24"/>
              </w:rPr>
            </w:pPr>
            <w:r>
              <w:rPr>
                <w:rFonts w:hint="eastAsia" w:eastAsia="方正仿宋_GBK"/>
                <w:bCs/>
                <w:color w:val="000000"/>
                <w:spacing w:val="-2"/>
                <w:sz w:val="24"/>
              </w:rPr>
              <w:t>本公司</w:t>
            </w:r>
            <w:r>
              <w:rPr>
                <w:rFonts w:hint="eastAsia" w:eastAsia="方正仿宋_GBK"/>
                <w:color w:val="000000"/>
                <w:spacing w:val="-2"/>
                <w:kern w:val="0"/>
                <w:sz w:val="24"/>
              </w:rPr>
              <w:t>承诺：</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（一）未取得预售许可不进行预售，不以认购、预订、排号、发放</w:t>
            </w:r>
            <w:r>
              <w:rPr>
                <w:rFonts w:eastAsia="方正仿宋_GBK"/>
                <w:color w:val="000000"/>
                <w:spacing w:val="-2"/>
                <w:kern w:val="0"/>
                <w:sz w:val="24"/>
              </w:rPr>
              <w:t>VIP</w:t>
            </w:r>
            <w:r>
              <w:rPr>
                <w:rFonts w:hint="eastAsia" w:eastAsia="方正仿宋_GBK"/>
                <w:color w:val="000000"/>
                <w:spacing w:val="-2"/>
                <w:kern w:val="0"/>
                <w:sz w:val="24"/>
              </w:rPr>
              <w:t>卡等方式向买受人收取或变相收取定金、预定款等性质的费用，不参加任何展销活动。</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（二）取得预售许可后，在</w:t>
            </w:r>
            <w:r>
              <w:rPr>
                <w:rFonts w:eastAsia="方正仿宋_GBK"/>
                <w:color w:val="000000"/>
                <w:spacing w:val="-2"/>
                <w:kern w:val="0"/>
                <w:sz w:val="24"/>
              </w:rPr>
              <w:t>10</w:t>
            </w:r>
            <w:r>
              <w:rPr>
                <w:rFonts w:hint="eastAsia" w:eastAsia="方正仿宋_GBK"/>
                <w:color w:val="000000"/>
                <w:spacing w:val="-2"/>
                <w:kern w:val="0"/>
                <w:sz w:val="24"/>
              </w:rPr>
              <w:t>日内一次性公开全部准售房源及每套房屋价格，并严格按照申报价格，明码标价对外销售。</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（三）不将企业自留房屋在房屋所有权初始登记前对外销售，不采取返本销售、售后包租的方式预售商品住房，不进行虚假交易。</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（四）不捂盘惜售、哄抬房价，不以畸高价格销售等方式人为制造房源紧张。</w:t>
            </w:r>
          </w:p>
          <w:p>
            <w:pPr>
              <w:spacing w:line="460" w:lineRule="exact"/>
              <w:ind w:firstLine="567"/>
              <w:rPr>
                <w:rFonts w:eastAsia="方正仿宋_GBK"/>
                <w:color w:val="000000"/>
                <w:spacing w:val="-2"/>
                <w:kern w:val="0"/>
                <w:sz w:val="24"/>
              </w:rPr>
            </w:pPr>
            <w:r>
              <w:rPr>
                <w:rFonts w:hint="eastAsia" w:eastAsia="方正仿宋_GBK"/>
                <w:color w:val="000000"/>
                <w:spacing w:val="-2"/>
                <w:kern w:val="0"/>
                <w:sz w:val="24"/>
              </w:rPr>
              <w:t>（五）严格执行商品房预售资金监管制度，商品房预售资金全部存入监管账户，用于商品房项目工程建设。</w:t>
            </w:r>
          </w:p>
          <w:p>
            <w:pPr>
              <w:spacing w:line="460" w:lineRule="exact"/>
              <w:ind w:firstLine="645"/>
              <w:rPr>
                <w:rFonts w:eastAsia="方正仿宋_GBK"/>
                <w:color w:val="000000"/>
                <w:spacing w:val="-2"/>
                <w:kern w:val="0"/>
                <w:sz w:val="24"/>
              </w:rPr>
            </w:pPr>
            <w:r>
              <w:rPr>
                <w:rFonts w:hint="eastAsia" w:eastAsia="方正仿宋_GBK"/>
                <w:color w:val="000000"/>
                <w:spacing w:val="-2"/>
                <w:kern w:val="0"/>
                <w:sz w:val="24"/>
              </w:rPr>
              <w:t>（六）统一使用财政专用票据代收业主物业维修资金，并按规定及时将资金存入市物业维修资金专户。</w:t>
            </w:r>
          </w:p>
          <w:p>
            <w:pPr>
              <w:spacing w:line="460" w:lineRule="exact"/>
              <w:ind w:firstLine="645"/>
              <w:rPr>
                <w:rFonts w:eastAsia="方正仿宋_GBK"/>
                <w:color w:val="000000"/>
                <w:spacing w:val="-2"/>
                <w:kern w:val="0"/>
                <w:sz w:val="24"/>
              </w:rPr>
            </w:pPr>
            <w:r>
              <w:rPr>
                <w:rFonts w:hint="eastAsia" w:eastAsia="方正仿宋_GBK"/>
                <w:color w:val="000000"/>
                <w:spacing w:val="-2"/>
                <w:kern w:val="0"/>
                <w:sz w:val="24"/>
              </w:rPr>
              <w:t>（七）严格按照本方案预售商品房。预售方案中主要内容发生变更时，及时报</w:t>
            </w:r>
            <w:r>
              <w:rPr>
                <w:rFonts w:hint="eastAsia" w:eastAsia="方正仿宋_GBK"/>
                <w:color w:val="000000"/>
                <w:spacing w:val="-2"/>
                <w:sz w:val="24"/>
              </w:rPr>
              <w:t>所辖市、县（市）房地产主管部门</w:t>
            </w:r>
            <w:r>
              <w:rPr>
                <w:rFonts w:hint="eastAsia" w:eastAsia="方正仿宋_GBK"/>
                <w:color w:val="000000"/>
                <w:spacing w:val="-2"/>
                <w:kern w:val="0"/>
                <w:sz w:val="24"/>
              </w:rPr>
              <w:t>备案并公示。</w:t>
            </w:r>
          </w:p>
          <w:p>
            <w:pPr>
              <w:spacing w:line="460" w:lineRule="exact"/>
              <w:ind w:firstLine="645"/>
              <w:rPr>
                <w:rFonts w:eastAsia="方正仿宋_GBK"/>
                <w:color w:val="000000"/>
                <w:spacing w:val="-2"/>
                <w:kern w:val="0"/>
                <w:sz w:val="24"/>
              </w:rPr>
            </w:pPr>
            <w:r>
              <w:rPr>
                <w:rFonts w:hint="eastAsia" w:eastAsia="方正仿宋_GBK"/>
                <w:color w:val="000000"/>
                <w:spacing w:val="-2"/>
                <w:kern w:val="0"/>
                <w:sz w:val="24"/>
              </w:rPr>
              <w:t>（八）提交的所有资料真实、合法。</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如违反以上承诺，本公司负全部责任。</w:t>
            </w:r>
          </w:p>
          <w:p>
            <w:pPr>
              <w:spacing w:line="460" w:lineRule="exact"/>
              <w:jc w:val="center"/>
              <w:rPr>
                <w:rFonts w:eastAsia="方正仿宋_GBK"/>
                <w:b/>
                <w:bCs/>
                <w:color w:val="000000"/>
                <w:spacing w:val="-2"/>
                <w:sz w:val="24"/>
              </w:rPr>
            </w:pPr>
          </w:p>
          <w:p>
            <w:pPr>
              <w:spacing w:line="460" w:lineRule="exact"/>
              <w:jc w:val="center"/>
              <w:rPr>
                <w:rFonts w:eastAsia="方正仿宋_GBK"/>
                <w:b/>
                <w:bCs/>
                <w:color w:val="000000"/>
                <w:spacing w:val="-2"/>
                <w:sz w:val="24"/>
              </w:rPr>
            </w:pPr>
          </w:p>
          <w:p>
            <w:pPr>
              <w:spacing w:line="460" w:lineRule="exact"/>
              <w:jc w:val="center"/>
              <w:rPr>
                <w:rFonts w:eastAsia="方正仿宋_GBK"/>
                <w:b/>
                <w:bCs/>
                <w:color w:val="000000"/>
                <w:spacing w:val="-2"/>
                <w:sz w:val="24"/>
              </w:rPr>
            </w:pPr>
            <w:r>
              <w:rPr>
                <w:rFonts w:eastAsia="方正仿宋_GBK"/>
                <w:bCs/>
                <w:color w:val="000000"/>
                <w:spacing w:val="-2"/>
                <w:sz w:val="24"/>
              </w:rPr>
              <w:t xml:space="preserve">               </w:t>
            </w:r>
            <w:r>
              <w:rPr>
                <w:rFonts w:hint="eastAsia" w:eastAsia="方正仿宋_GBK"/>
                <w:bCs/>
                <w:color w:val="000000"/>
                <w:spacing w:val="-2"/>
                <w:sz w:val="24"/>
              </w:rPr>
              <w:t>开发企业（盖章）</w:t>
            </w:r>
          </w:p>
          <w:p>
            <w:pPr>
              <w:spacing w:line="460" w:lineRule="exact"/>
              <w:jc w:val="center"/>
              <w:rPr>
                <w:rFonts w:eastAsia="方正仿宋_GBK"/>
                <w:bCs/>
                <w:color w:val="000000"/>
                <w:spacing w:val="-2"/>
                <w:sz w:val="24"/>
              </w:rPr>
            </w:pPr>
            <w:r>
              <w:rPr>
                <w:rFonts w:eastAsia="方正仿宋_GBK"/>
                <w:bCs/>
                <w:color w:val="000000"/>
                <w:spacing w:val="-2"/>
                <w:sz w:val="24"/>
              </w:rPr>
              <w:t xml:space="preserve">            </w:t>
            </w:r>
          </w:p>
          <w:p>
            <w:pPr>
              <w:spacing w:line="460" w:lineRule="exact"/>
              <w:jc w:val="center"/>
              <w:rPr>
                <w:rFonts w:eastAsia="方正仿宋_GBK"/>
                <w:bCs/>
                <w:color w:val="000000"/>
                <w:spacing w:val="-2"/>
                <w:sz w:val="24"/>
              </w:rPr>
            </w:pPr>
          </w:p>
          <w:p>
            <w:pPr>
              <w:spacing w:line="460" w:lineRule="exact"/>
              <w:jc w:val="center"/>
              <w:rPr>
                <w:rFonts w:eastAsia="方正仿宋_GBK"/>
                <w:bCs/>
                <w:color w:val="000000"/>
                <w:spacing w:val="-2"/>
                <w:sz w:val="24"/>
              </w:rPr>
            </w:pPr>
          </w:p>
          <w:p>
            <w:pPr>
              <w:spacing w:line="460" w:lineRule="exact"/>
              <w:jc w:val="center"/>
              <w:rPr>
                <w:rFonts w:eastAsia="方正仿宋_GBK"/>
                <w:bCs/>
                <w:color w:val="000000"/>
                <w:spacing w:val="-2"/>
                <w:sz w:val="24"/>
              </w:rPr>
            </w:pPr>
            <w:r>
              <w:rPr>
                <w:rFonts w:eastAsia="方正仿宋_GBK"/>
                <w:bCs/>
                <w:color w:val="000000"/>
                <w:spacing w:val="-2"/>
                <w:sz w:val="24"/>
              </w:rPr>
              <w:t xml:space="preserve">                  </w:t>
            </w:r>
            <w:r>
              <w:rPr>
                <w:rFonts w:hint="eastAsia" w:eastAsia="方正仿宋_GBK"/>
                <w:bCs/>
                <w:color w:val="000000"/>
                <w:spacing w:val="-2"/>
                <w:sz w:val="24"/>
              </w:rPr>
              <w:t>法定代表人（签字盖章）</w:t>
            </w:r>
          </w:p>
          <w:p>
            <w:pPr>
              <w:spacing w:line="460" w:lineRule="exact"/>
              <w:jc w:val="center"/>
              <w:rPr>
                <w:rFonts w:eastAsia="方正仿宋_GBK"/>
                <w:bCs/>
                <w:color w:val="000000"/>
                <w:spacing w:val="-2"/>
                <w:sz w:val="24"/>
              </w:rPr>
            </w:pPr>
            <w:r>
              <w:rPr>
                <w:rFonts w:eastAsia="方正仿宋_GBK"/>
                <w:bCs/>
                <w:color w:val="000000"/>
                <w:spacing w:val="-2"/>
                <w:sz w:val="24"/>
              </w:rPr>
              <w:t xml:space="preserve">                </w:t>
            </w:r>
          </w:p>
          <w:p>
            <w:pPr>
              <w:spacing w:line="460" w:lineRule="exact"/>
              <w:jc w:val="center"/>
              <w:rPr>
                <w:rFonts w:eastAsia="方正仿宋_GBK"/>
                <w:bCs/>
                <w:color w:val="000000"/>
                <w:spacing w:val="-2"/>
                <w:sz w:val="24"/>
              </w:rPr>
            </w:pPr>
            <w:r>
              <w:rPr>
                <w:rFonts w:eastAsia="方正仿宋_GBK"/>
                <w:bCs/>
                <w:color w:val="000000"/>
                <w:spacing w:val="-2"/>
                <w:sz w:val="24"/>
              </w:rPr>
              <w:t xml:space="preserve">               </w:t>
            </w:r>
            <w:r>
              <w:rPr>
                <w:rFonts w:hint="eastAsia" w:eastAsia="方正仿宋_GBK"/>
                <w:bCs/>
                <w:color w:val="000000"/>
                <w:spacing w:val="-2"/>
                <w:sz w:val="24"/>
              </w:rPr>
              <w:t>年</w:t>
            </w:r>
            <w:r>
              <w:rPr>
                <w:rFonts w:eastAsia="方正仿宋_GBK"/>
                <w:bCs/>
                <w:color w:val="000000"/>
                <w:spacing w:val="-2"/>
                <w:sz w:val="24"/>
              </w:rPr>
              <w:t xml:space="preserve">    </w:t>
            </w:r>
            <w:r>
              <w:rPr>
                <w:rFonts w:hint="eastAsia" w:eastAsia="方正仿宋_GBK"/>
                <w:bCs/>
                <w:color w:val="000000"/>
                <w:spacing w:val="-2"/>
                <w:sz w:val="24"/>
              </w:rPr>
              <w:t>月</w:t>
            </w:r>
            <w:r>
              <w:rPr>
                <w:rFonts w:eastAsia="方正仿宋_GBK"/>
                <w:bCs/>
                <w:color w:val="000000"/>
                <w:spacing w:val="-2"/>
                <w:sz w:val="24"/>
              </w:rPr>
              <w:t xml:space="preserve">   </w:t>
            </w:r>
            <w:r>
              <w:rPr>
                <w:rFonts w:hint="eastAsia" w:eastAsia="方正仿宋_GBK"/>
                <w:bCs/>
                <w:color w:val="000000"/>
                <w:spacing w:val="-2"/>
                <w:sz w:val="24"/>
              </w:rPr>
              <w:t>日</w:t>
            </w:r>
          </w:p>
          <w:p>
            <w:pPr>
              <w:spacing w:line="460" w:lineRule="exact"/>
              <w:jc w:val="center"/>
              <w:rPr>
                <w:rFonts w:eastAsia="方正仿宋_GBK"/>
                <w:bCs/>
                <w:color w:val="000000"/>
                <w:spacing w:val="-2"/>
                <w:sz w:val="24"/>
              </w:rPr>
            </w:pPr>
          </w:p>
        </w:tc>
      </w:tr>
    </w:tbl>
    <w:p>
      <w:pPr>
        <w:spacing w:line="460" w:lineRule="exact"/>
        <w:rPr>
          <w:rFonts w:hint="eastAsia" w:eastAsia="方正仿宋_GBK"/>
          <w:color w:val="000000"/>
          <w:spacing w:val="-2"/>
          <w:sz w:val="24"/>
        </w:rPr>
      </w:pPr>
    </w:p>
    <w:p>
      <w:pPr>
        <w:spacing w:line="460" w:lineRule="exact"/>
        <w:rPr>
          <w:rFonts w:ascii="Times New Roman" w:eastAsia="方正黑体_GBK"/>
          <w:color w:val="000000"/>
          <w:spacing w:val="-2"/>
          <w:sz w:val="28"/>
          <w:szCs w:val="28"/>
        </w:rPr>
      </w:pPr>
      <w:r>
        <w:rPr>
          <w:rFonts w:eastAsia="方正仿宋_GBK"/>
          <w:color w:val="000000"/>
          <w:spacing w:val="-2"/>
          <w:sz w:val="24"/>
        </w:rPr>
        <w:br w:type="page"/>
      </w:r>
      <w:r>
        <w:rPr>
          <w:rFonts w:hint="eastAsia" w:ascii="Times New Roman" w:eastAsia="方正黑体_GBK"/>
          <w:color w:val="000000"/>
          <w:spacing w:val="-2"/>
          <w:sz w:val="28"/>
          <w:szCs w:val="28"/>
        </w:rPr>
        <w:t>附件2：</w:t>
      </w:r>
    </w:p>
    <w:p>
      <w:pPr>
        <w:spacing w:line="460" w:lineRule="exact"/>
        <w:rPr>
          <w:rFonts w:hint="eastAsia" w:eastAsia="方正仿宋_GBK"/>
          <w:color w:val="000000"/>
          <w:spacing w:val="-2"/>
          <w:sz w:val="24"/>
        </w:rPr>
      </w:pPr>
    </w:p>
    <w:p>
      <w:pPr>
        <w:spacing w:line="460" w:lineRule="exact"/>
        <w:jc w:val="center"/>
        <w:rPr>
          <w:rFonts w:ascii="Times New Roman" w:eastAsia="方正黑体_GBK"/>
          <w:color w:val="000000"/>
          <w:spacing w:val="-2"/>
          <w:sz w:val="36"/>
          <w:szCs w:val="36"/>
        </w:rPr>
      </w:pPr>
      <w:r>
        <w:rPr>
          <w:rFonts w:hint="eastAsia" w:ascii="Times New Roman" w:eastAsia="方正黑体_GBK"/>
          <w:color w:val="000000"/>
          <w:spacing w:val="-2"/>
          <w:kern w:val="0"/>
          <w:sz w:val="36"/>
          <w:szCs w:val="36"/>
        </w:rPr>
        <w:t>江苏省商品房销售现场规范化标准</w:t>
      </w:r>
    </w:p>
    <w:p>
      <w:pPr>
        <w:spacing w:line="460" w:lineRule="exact"/>
        <w:jc w:val="center"/>
        <w:rPr>
          <w:rFonts w:hint="eastAsia" w:ascii="Times New Roman" w:eastAsia="方正楷体_GBK"/>
          <w:color w:val="000000"/>
          <w:spacing w:val="-2"/>
          <w:sz w:val="24"/>
        </w:rPr>
      </w:pPr>
      <w:r>
        <w:rPr>
          <w:rFonts w:hint="eastAsia" w:ascii="Times New Roman" w:eastAsia="方正楷体_GBK"/>
          <w:color w:val="000000"/>
          <w:spacing w:val="-2"/>
          <w:sz w:val="24"/>
        </w:rPr>
        <w:t>（试行）</w:t>
      </w:r>
    </w:p>
    <w:p>
      <w:pPr>
        <w:spacing w:line="460" w:lineRule="exact"/>
        <w:ind w:firstLine="453" w:firstLineChars="192"/>
        <w:rPr>
          <w:rFonts w:hint="eastAsia" w:ascii="Times New Roman" w:eastAsia="方正黑体_GBK"/>
          <w:color w:val="000000"/>
          <w:spacing w:val="-2"/>
          <w:sz w:val="24"/>
        </w:rPr>
      </w:pPr>
    </w:p>
    <w:p>
      <w:pPr>
        <w:spacing w:line="460" w:lineRule="exact"/>
        <w:ind w:firstLine="472" w:firstLineChars="200"/>
        <w:rPr>
          <w:rFonts w:hint="eastAsia" w:ascii="Times New Roman" w:eastAsia="方正黑体_GBK"/>
          <w:color w:val="000000"/>
          <w:spacing w:val="-2"/>
          <w:sz w:val="24"/>
        </w:rPr>
      </w:pPr>
      <w:r>
        <w:rPr>
          <w:rFonts w:hint="eastAsia" w:ascii="Times New Roman" w:eastAsia="方正黑体_GBK"/>
          <w:color w:val="000000"/>
          <w:spacing w:val="-2"/>
          <w:sz w:val="24"/>
        </w:rPr>
        <w:t>一、现场信息披露的基本要求</w:t>
      </w:r>
    </w:p>
    <w:p>
      <w:pPr>
        <w:snapToGrid w:val="0"/>
        <w:spacing w:line="460" w:lineRule="exact"/>
        <w:ind w:firstLine="472" w:firstLineChars="200"/>
        <w:rPr>
          <w:rFonts w:hint="eastAsia"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、房地产企业商品房销售信息披露应当遵循准确、真实、有效原则。</w:t>
      </w:r>
    </w:p>
    <w:p>
      <w:pPr>
        <w:snapToGrid w:val="0"/>
        <w:spacing w:line="460" w:lineRule="exact"/>
        <w:ind w:firstLine="472" w:firstLineChars="200"/>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、房地产企业预售和现售商品房，应当在销售现场设立公示栏和信息查询台等，方便购房者了解该商品房项目的基本情况。</w:t>
      </w:r>
    </w:p>
    <w:p>
      <w:pPr>
        <w:snapToGrid w:val="0"/>
        <w:spacing w:line="460" w:lineRule="exact"/>
        <w:ind w:firstLine="472" w:firstLineChars="200"/>
        <w:rPr>
          <w:rFonts w:eastAsia="方正仿宋_GBK"/>
          <w:color w:val="000000"/>
          <w:spacing w:val="-2"/>
          <w:sz w:val="24"/>
        </w:rPr>
      </w:pPr>
      <w:r>
        <w:rPr>
          <w:rFonts w:eastAsia="方正仿宋_GBK"/>
          <w:color w:val="000000"/>
          <w:spacing w:val="-2"/>
          <w:sz w:val="24"/>
        </w:rPr>
        <w:t>3</w:t>
      </w:r>
      <w:r>
        <w:rPr>
          <w:rFonts w:hint="eastAsia" w:eastAsia="方正仿宋_GBK"/>
          <w:color w:val="000000"/>
          <w:spacing w:val="-2"/>
          <w:sz w:val="24"/>
        </w:rPr>
        <w:t>、公示栏、信息查询台应集中设在销售现场显著位置，并进行标识。摆放时间为从商品房预（销）售开始，直至售房结束。</w:t>
      </w:r>
    </w:p>
    <w:p>
      <w:pPr>
        <w:snapToGrid w:val="0"/>
        <w:spacing w:line="460" w:lineRule="exact"/>
        <w:ind w:firstLine="472" w:firstLineChars="200"/>
        <w:rPr>
          <w:rFonts w:eastAsia="方正仿宋_GBK"/>
          <w:color w:val="000000"/>
          <w:spacing w:val="-2"/>
          <w:sz w:val="24"/>
        </w:rPr>
      </w:pPr>
      <w:r>
        <w:rPr>
          <w:rFonts w:eastAsia="方正仿宋_GBK"/>
          <w:color w:val="000000"/>
          <w:spacing w:val="-2"/>
          <w:sz w:val="24"/>
        </w:rPr>
        <w:t>4</w:t>
      </w:r>
      <w:r>
        <w:rPr>
          <w:rFonts w:hint="eastAsia" w:eastAsia="方正仿宋_GBK"/>
          <w:color w:val="000000"/>
          <w:spacing w:val="-2"/>
          <w:sz w:val="24"/>
        </w:rPr>
        <w:t>、房地产企业在售楼现场公示的相关信息有变化的，应及时更新，并应保持销售现场公示的信息、房地产市场信息发布系统所公示的信息与实际情况相一致。</w:t>
      </w:r>
      <w:r>
        <w:rPr>
          <w:rFonts w:eastAsia="方正仿宋_GBK"/>
          <w:color w:val="000000"/>
          <w:spacing w:val="-2"/>
          <w:sz w:val="24"/>
        </w:rPr>
        <w:t xml:space="preserve"> </w:t>
      </w:r>
    </w:p>
    <w:p>
      <w:pPr>
        <w:snapToGrid w:val="0"/>
        <w:spacing w:line="460" w:lineRule="exact"/>
        <w:ind w:firstLine="472" w:firstLineChars="200"/>
        <w:rPr>
          <w:rFonts w:eastAsia="方正仿宋_GBK"/>
          <w:color w:val="000000"/>
          <w:spacing w:val="-2"/>
          <w:sz w:val="24"/>
        </w:rPr>
      </w:pPr>
      <w:r>
        <w:rPr>
          <w:rFonts w:eastAsia="方正仿宋_GBK"/>
          <w:color w:val="000000"/>
          <w:spacing w:val="-2"/>
          <w:sz w:val="24"/>
        </w:rPr>
        <w:t>5</w:t>
      </w:r>
      <w:r>
        <w:rPr>
          <w:rFonts w:hint="eastAsia" w:eastAsia="方正仿宋_GBK"/>
          <w:color w:val="000000"/>
          <w:spacing w:val="-2"/>
          <w:sz w:val="24"/>
        </w:rPr>
        <w:t>、公示栏相关内容应用喷绘或纸张等形式分别进行制作公示，规格为每张（幅）不小于</w:t>
      </w:r>
      <w:r>
        <w:rPr>
          <w:rFonts w:eastAsia="方正仿宋_GBK"/>
          <w:color w:val="000000"/>
          <w:spacing w:val="-2"/>
          <w:sz w:val="24"/>
        </w:rPr>
        <w:t>1000mm×600mm</w:t>
      </w:r>
      <w:r>
        <w:rPr>
          <w:rFonts w:hint="eastAsia" w:eastAsia="方正仿宋_GBK"/>
          <w:color w:val="000000"/>
          <w:spacing w:val="-2"/>
          <w:sz w:val="24"/>
        </w:rPr>
        <w:t>，便于购房者查询。</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二、信息披露的主要内容</w:t>
      </w:r>
    </w:p>
    <w:p>
      <w:pPr>
        <w:spacing w:line="460" w:lineRule="exact"/>
        <w:ind w:firstLine="474" w:firstLineChars="200"/>
        <w:rPr>
          <w:rFonts w:hint="eastAsia" w:eastAsia="方正仿宋_GBK"/>
          <w:b/>
          <w:color w:val="000000"/>
          <w:spacing w:val="-2"/>
          <w:sz w:val="24"/>
        </w:rPr>
      </w:pPr>
      <w:r>
        <w:rPr>
          <w:rFonts w:eastAsia="方正仿宋_GBK"/>
          <w:b/>
          <w:color w:val="000000"/>
          <w:spacing w:val="-2"/>
          <w:sz w:val="24"/>
        </w:rPr>
        <w:t>1</w:t>
      </w:r>
      <w:r>
        <w:rPr>
          <w:rFonts w:hint="eastAsia" w:eastAsia="方正仿宋_GBK"/>
          <w:b/>
          <w:color w:val="000000"/>
          <w:spacing w:val="-2"/>
          <w:sz w:val="24"/>
        </w:rPr>
        <w:t>、设立</w:t>
      </w:r>
      <w:r>
        <w:rPr>
          <w:rFonts w:hint="eastAsia" w:eastAsia="方正仿宋_GBK"/>
          <w:b/>
          <w:color w:val="000000"/>
          <w:spacing w:val="-2"/>
          <w:sz w:val="24"/>
          <w:u w:val="single"/>
        </w:rPr>
        <w:t>证件公示栏</w:t>
      </w:r>
      <w:r>
        <w:rPr>
          <w:rFonts w:hint="eastAsia" w:eastAsia="方正仿宋_GBK"/>
          <w:b/>
          <w:color w:val="000000"/>
          <w:spacing w:val="-2"/>
          <w:sz w:val="24"/>
        </w:rPr>
        <w:t>，公示如下证件或信息：</w:t>
      </w:r>
    </w:p>
    <w:p>
      <w:pPr>
        <w:snapToGrid w:val="0"/>
        <w:spacing w:line="460" w:lineRule="exact"/>
        <w:ind w:firstLine="472" w:firstLineChars="200"/>
        <w:rPr>
          <w:rFonts w:eastAsia="方正仿宋_GBK"/>
          <w:color w:val="000000"/>
          <w:spacing w:val="-2"/>
          <w:sz w:val="24"/>
        </w:rPr>
      </w:pPr>
      <w:r>
        <w:rPr>
          <w:rFonts w:hint="eastAsia" w:eastAsia="方正仿宋_GBK"/>
          <w:color w:val="000000"/>
          <w:spacing w:val="-2"/>
          <w:sz w:val="24"/>
        </w:rPr>
        <w:t>（</w:t>
      </w:r>
      <w:r>
        <w:rPr>
          <w:rFonts w:eastAsia="方正仿宋_GBK"/>
          <w:color w:val="000000"/>
          <w:spacing w:val="-2"/>
          <w:sz w:val="24"/>
        </w:rPr>
        <w:t>1</w:t>
      </w:r>
      <w:r>
        <w:rPr>
          <w:rFonts w:hint="eastAsia" w:eastAsia="方正仿宋_GBK"/>
          <w:color w:val="000000"/>
          <w:spacing w:val="-2"/>
          <w:sz w:val="24"/>
        </w:rPr>
        <w:t>）企业营业执照；</w:t>
      </w:r>
    </w:p>
    <w:p>
      <w:pPr>
        <w:snapToGrid w:val="0"/>
        <w:spacing w:line="460" w:lineRule="exact"/>
        <w:ind w:firstLine="472" w:firstLineChars="200"/>
        <w:rPr>
          <w:rFonts w:eastAsia="方正仿宋_GBK"/>
          <w:color w:val="000000"/>
          <w:spacing w:val="-2"/>
          <w:sz w:val="24"/>
        </w:rPr>
      </w:pPr>
      <w:r>
        <w:rPr>
          <w:rFonts w:hint="eastAsia" w:eastAsia="方正仿宋_GBK"/>
          <w:color w:val="000000"/>
          <w:spacing w:val="-2"/>
          <w:sz w:val="24"/>
        </w:rPr>
        <w:t>（</w:t>
      </w:r>
      <w:r>
        <w:rPr>
          <w:rFonts w:eastAsia="方正仿宋_GBK"/>
          <w:color w:val="000000"/>
          <w:spacing w:val="-2"/>
          <w:sz w:val="24"/>
        </w:rPr>
        <w:t>2</w:t>
      </w:r>
      <w:r>
        <w:rPr>
          <w:rFonts w:hint="eastAsia" w:eastAsia="方正仿宋_GBK"/>
          <w:color w:val="000000"/>
          <w:spacing w:val="-2"/>
          <w:sz w:val="24"/>
        </w:rPr>
        <w:t>）房地产开发企业资质证书；</w:t>
      </w:r>
    </w:p>
    <w:p>
      <w:pPr>
        <w:snapToGrid w:val="0"/>
        <w:spacing w:line="460" w:lineRule="exact"/>
        <w:ind w:firstLine="472" w:firstLineChars="200"/>
        <w:rPr>
          <w:rFonts w:eastAsia="方正仿宋_GBK"/>
          <w:color w:val="000000"/>
          <w:spacing w:val="-2"/>
          <w:sz w:val="24"/>
        </w:rPr>
      </w:pPr>
      <w:r>
        <w:rPr>
          <w:rFonts w:hint="eastAsia" w:eastAsia="方正仿宋_GBK"/>
          <w:color w:val="000000"/>
          <w:spacing w:val="-2"/>
          <w:sz w:val="24"/>
        </w:rPr>
        <w:t>（</w:t>
      </w:r>
      <w:r>
        <w:rPr>
          <w:rFonts w:eastAsia="方正仿宋_GBK"/>
          <w:color w:val="000000"/>
          <w:spacing w:val="-2"/>
          <w:sz w:val="24"/>
        </w:rPr>
        <w:t>3</w:t>
      </w:r>
      <w:r>
        <w:rPr>
          <w:rFonts w:hint="eastAsia" w:eastAsia="方正仿宋_GBK"/>
          <w:color w:val="000000"/>
          <w:spacing w:val="-2"/>
          <w:sz w:val="24"/>
        </w:rPr>
        <w:t>）商品房预（销）售许可证或房屋所有权证；</w:t>
      </w:r>
    </w:p>
    <w:p>
      <w:pPr>
        <w:snapToGrid w:val="0"/>
        <w:spacing w:line="460" w:lineRule="exact"/>
        <w:ind w:firstLine="472" w:firstLineChars="200"/>
        <w:rPr>
          <w:rFonts w:eastAsia="方正仿宋_GBK"/>
          <w:color w:val="000000"/>
          <w:spacing w:val="-2"/>
          <w:sz w:val="24"/>
        </w:rPr>
      </w:pPr>
      <w:r>
        <w:rPr>
          <w:rFonts w:hint="eastAsia" w:eastAsia="方正仿宋_GBK"/>
          <w:color w:val="000000"/>
          <w:spacing w:val="-2"/>
          <w:sz w:val="24"/>
        </w:rPr>
        <w:t>（</w:t>
      </w:r>
      <w:r>
        <w:rPr>
          <w:rFonts w:eastAsia="方正仿宋_GBK"/>
          <w:color w:val="000000"/>
          <w:spacing w:val="-2"/>
          <w:sz w:val="24"/>
        </w:rPr>
        <w:t>4</w:t>
      </w:r>
      <w:r>
        <w:rPr>
          <w:rFonts w:hint="eastAsia" w:eastAsia="方正仿宋_GBK"/>
          <w:color w:val="000000"/>
          <w:spacing w:val="-2"/>
          <w:sz w:val="24"/>
        </w:rPr>
        <w:t>）国有土地使用证；</w:t>
      </w:r>
    </w:p>
    <w:p>
      <w:pPr>
        <w:snapToGrid w:val="0"/>
        <w:spacing w:line="460" w:lineRule="exact"/>
        <w:ind w:firstLine="472" w:firstLineChars="200"/>
        <w:rPr>
          <w:rFonts w:eastAsia="方正仿宋_GBK"/>
          <w:color w:val="000000"/>
          <w:spacing w:val="-2"/>
          <w:sz w:val="24"/>
        </w:rPr>
      </w:pPr>
      <w:r>
        <w:rPr>
          <w:rFonts w:hint="eastAsia" w:eastAsia="方正仿宋_GBK"/>
          <w:color w:val="000000"/>
          <w:spacing w:val="-2"/>
          <w:sz w:val="24"/>
        </w:rPr>
        <w:t>（</w:t>
      </w:r>
      <w:r>
        <w:rPr>
          <w:rFonts w:eastAsia="方正仿宋_GBK"/>
          <w:color w:val="000000"/>
          <w:spacing w:val="-2"/>
          <w:sz w:val="24"/>
        </w:rPr>
        <w:t>5</w:t>
      </w:r>
      <w:r>
        <w:rPr>
          <w:rFonts w:hint="eastAsia" w:eastAsia="方正仿宋_GBK"/>
          <w:color w:val="000000"/>
          <w:spacing w:val="-2"/>
          <w:sz w:val="24"/>
        </w:rPr>
        <w:t>）建设工程规划许可证；</w:t>
      </w:r>
    </w:p>
    <w:p>
      <w:pPr>
        <w:snapToGrid w:val="0"/>
        <w:spacing w:line="460" w:lineRule="exact"/>
        <w:ind w:firstLine="472" w:firstLineChars="200"/>
        <w:rPr>
          <w:rFonts w:eastAsia="方正仿宋_GBK"/>
          <w:color w:val="000000"/>
          <w:spacing w:val="-2"/>
          <w:sz w:val="24"/>
        </w:rPr>
      </w:pPr>
      <w:r>
        <w:rPr>
          <w:rFonts w:hint="eastAsia" w:eastAsia="方正仿宋_GBK"/>
          <w:color w:val="000000"/>
          <w:spacing w:val="-2"/>
          <w:sz w:val="24"/>
        </w:rPr>
        <w:t>（</w:t>
      </w:r>
      <w:r>
        <w:rPr>
          <w:rFonts w:eastAsia="方正仿宋_GBK"/>
          <w:color w:val="000000"/>
          <w:spacing w:val="-2"/>
          <w:sz w:val="24"/>
        </w:rPr>
        <w:t>6</w:t>
      </w:r>
      <w:r>
        <w:rPr>
          <w:rFonts w:hint="eastAsia" w:eastAsia="方正仿宋_GBK"/>
          <w:color w:val="000000"/>
          <w:spacing w:val="-2"/>
          <w:sz w:val="24"/>
        </w:rPr>
        <w:t>）建筑工程施工许可证；</w:t>
      </w:r>
    </w:p>
    <w:p>
      <w:pPr>
        <w:snapToGrid w:val="0"/>
        <w:spacing w:line="460" w:lineRule="exact"/>
        <w:ind w:firstLine="472" w:firstLineChars="200"/>
        <w:rPr>
          <w:rFonts w:eastAsia="方正仿宋_GBK"/>
          <w:color w:val="000000"/>
          <w:spacing w:val="-2"/>
          <w:sz w:val="24"/>
        </w:rPr>
      </w:pPr>
      <w:r>
        <w:rPr>
          <w:rFonts w:hint="eastAsia" w:eastAsia="方正仿宋_GBK"/>
          <w:color w:val="000000"/>
          <w:spacing w:val="-2"/>
          <w:sz w:val="24"/>
        </w:rPr>
        <w:t>（</w:t>
      </w:r>
      <w:r>
        <w:rPr>
          <w:rFonts w:eastAsia="方正仿宋_GBK"/>
          <w:color w:val="000000"/>
          <w:spacing w:val="-2"/>
          <w:sz w:val="24"/>
        </w:rPr>
        <w:t>7</w:t>
      </w:r>
      <w:r>
        <w:rPr>
          <w:rFonts w:hint="eastAsia" w:eastAsia="方正仿宋_GBK"/>
          <w:color w:val="000000"/>
          <w:spacing w:val="-2"/>
          <w:sz w:val="24"/>
        </w:rPr>
        <w:t>）商品房预（销）售委托书及房地产经纪咨询机构资质备案证书</w:t>
      </w:r>
      <w:r>
        <w:rPr>
          <w:rFonts w:eastAsia="方正仿宋_GBK"/>
          <w:color w:val="000000"/>
          <w:spacing w:val="-2"/>
          <w:sz w:val="24"/>
        </w:rPr>
        <w:t>(</w:t>
      </w:r>
      <w:r>
        <w:rPr>
          <w:rFonts w:hint="eastAsia" w:eastAsia="方正仿宋_GBK"/>
          <w:color w:val="000000"/>
          <w:spacing w:val="-2"/>
          <w:sz w:val="24"/>
        </w:rPr>
        <w:t>代理销售应公示</w:t>
      </w:r>
      <w:r>
        <w:rPr>
          <w:rFonts w:eastAsia="方正仿宋_GBK"/>
          <w:color w:val="000000"/>
          <w:spacing w:val="-2"/>
          <w:sz w:val="24"/>
        </w:rPr>
        <w:t>)</w:t>
      </w:r>
      <w:r>
        <w:rPr>
          <w:rFonts w:hint="eastAsia" w:eastAsia="方正仿宋_GBK"/>
          <w:color w:val="000000"/>
          <w:spacing w:val="-2"/>
          <w:sz w:val="24"/>
        </w:rPr>
        <w:t>；</w:t>
      </w:r>
    </w:p>
    <w:p>
      <w:pPr>
        <w:snapToGrid w:val="0"/>
        <w:spacing w:line="460" w:lineRule="exact"/>
        <w:ind w:firstLine="472" w:firstLineChars="200"/>
        <w:rPr>
          <w:rFonts w:eastAsia="方正仿宋_GBK"/>
          <w:color w:val="000000"/>
          <w:spacing w:val="-2"/>
          <w:sz w:val="24"/>
        </w:rPr>
      </w:pPr>
      <w:r>
        <w:rPr>
          <w:rFonts w:hint="eastAsia" w:eastAsia="方正仿宋_GBK"/>
          <w:color w:val="000000"/>
          <w:spacing w:val="-2"/>
          <w:sz w:val="24"/>
        </w:rPr>
        <w:t>（</w:t>
      </w:r>
      <w:r>
        <w:rPr>
          <w:rFonts w:eastAsia="方正仿宋_GBK"/>
          <w:color w:val="000000"/>
          <w:spacing w:val="-2"/>
          <w:sz w:val="24"/>
        </w:rPr>
        <w:t>8</w:t>
      </w:r>
      <w:r>
        <w:rPr>
          <w:rFonts w:hint="eastAsia" w:eastAsia="方正仿宋_GBK"/>
          <w:color w:val="000000"/>
          <w:spacing w:val="-2"/>
          <w:sz w:val="24"/>
        </w:rPr>
        <w:t>）其他需要公示的相关证件。</w:t>
      </w:r>
    </w:p>
    <w:p>
      <w:pPr>
        <w:spacing w:line="460" w:lineRule="exact"/>
        <w:ind w:firstLine="474" w:firstLineChars="200"/>
        <w:rPr>
          <w:rFonts w:eastAsia="方正仿宋_GBK"/>
          <w:b/>
          <w:color w:val="000000"/>
          <w:spacing w:val="-2"/>
          <w:sz w:val="24"/>
        </w:rPr>
      </w:pPr>
      <w:r>
        <w:rPr>
          <w:rFonts w:eastAsia="方正仿宋_GBK"/>
          <w:b/>
          <w:color w:val="000000"/>
          <w:spacing w:val="-2"/>
          <w:sz w:val="24"/>
        </w:rPr>
        <w:t>2</w:t>
      </w:r>
      <w:r>
        <w:rPr>
          <w:rFonts w:hint="eastAsia" w:eastAsia="方正仿宋_GBK"/>
          <w:b/>
          <w:color w:val="000000"/>
          <w:spacing w:val="-2"/>
          <w:sz w:val="24"/>
        </w:rPr>
        <w:t>、设立</w:t>
      </w:r>
      <w:r>
        <w:rPr>
          <w:rFonts w:hint="eastAsia" w:eastAsia="方正仿宋_GBK"/>
          <w:b/>
          <w:color w:val="000000"/>
          <w:spacing w:val="-2"/>
          <w:sz w:val="24"/>
          <w:u w:val="single"/>
        </w:rPr>
        <w:t>文件公示栏</w:t>
      </w:r>
      <w:r>
        <w:rPr>
          <w:rFonts w:hint="eastAsia" w:eastAsia="方正仿宋_GBK"/>
          <w:b/>
          <w:color w:val="000000"/>
          <w:spacing w:val="-2"/>
          <w:sz w:val="24"/>
        </w:rPr>
        <w:t>，公示如下文件信息：</w:t>
      </w:r>
      <w:r>
        <w:rPr>
          <w:rFonts w:eastAsia="方正仿宋_GBK"/>
          <w:b/>
          <w:color w:val="000000"/>
          <w:spacing w:val="-2"/>
          <w:sz w:val="24"/>
        </w:rPr>
        <w:t xml:space="preserve"> </w:t>
      </w:r>
    </w:p>
    <w:p>
      <w:pPr>
        <w:snapToGrid w:val="0"/>
        <w:spacing w:line="460" w:lineRule="exact"/>
        <w:ind w:firstLine="472" w:firstLineChars="200"/>
        <w:rPr>
          <w:rFonts w:eastAsia="方正仿宋_GBK"/>
          <w:color w:val="000000"/>
          <w:spacing w:val="-2"/>
          <w:sz w:val="24"/>
        </w:rPr>
      </w:pPr>
      <w:r>
        <w:rPr>
          <w:rFonts w:hint="eastAsia" w:eastAsia="方正仿宋_GBK"/>
          <w:color w:val="000000"/>
          <w:spacing w:val="-2"/>
          <w:sz w:val="24"/>
        </w:rPr>
        <w:t>（</w:t>
      </w:r>
      <w:r>
        <w:rPr>
          <w:rFonts w:eastAsia="方正仿宋_GBK"/>
          <w:color w:val="000000"/>
          <w:spacing w:val="-2"/>
          <w:sz w:val="24"/>
        </w:rPr>
        <w:t>1</w:t>
      </w:r>
      <w:r>
        <w:rPr>
          <w:rFonts w:hint="eastAsia" w:eastAsia="方正仿宋_GBK"/>
          <w:color w:val="000000"/>
          <w:spacing w:val="-2"/>
          <w:sz w:val="24"/>
        </w:rPr>
        <w:t>）商品房预（销）售管理办法；</w:t>
      </w:r>
    </w:p>
    <w:p>
      <w:pPr>
        <w:snapToGrid w:val="0"/>
        <w:spacing w:line="460" w:lineRule="exact"/>
        <w:ind w:firstLine="472" w:firstLineChars="200"/>
        <w:rPr>
          <w:rFonts w:eastAsia="方正仿宋_GBK"/>
          <w:color w:val="000000"/>
          <w:spacing w:val="-2"/>
          <w:sz w:val="24"/>
        </w:rPr>
      </w:pPr>
      <w:r>
        <w:rPr>
          <w:rFonts w:hint="eastAsia" w:eastAsia="方正仿宋_GBK"/>
          <w:color w:val="000000"/>
          <w:spacing w:val="-2"/>
          <w:sz w:val="24"/>
        </w:rPr>
        <w:t>（</w:t>
      </w:r>
      <w:r>
        <w:rPr>
          <w:rFonts w:eastAsia="方正仿宋_GBK"/>
          <w:color w:val="000000"/>
          <w:spacing w:val="-2"/>
          <w:sz w:val="24"/>
        </w:rPr>
        <w:t>2</w:t>
      </w:r>
      <w:r>
        <w:rPr>
          <w:rFonts w:hint="eastAsia" w:eastAsia="方正仿宋_GBK"/>
          <w:color w:val="000000"/>
          <w:spacing w:val="-2"/>
          <w:sz w:val="24"/>
        </w:rPr>
        <w:t>）商品房预售方案；</w:t>
      </w:r>
    </w:p>
    <w:p>
      <w:pPr>
        <w:snapToGrid w:val="0"/>
        <w:spacing w:line="460" w:lineRule="exact"/>
        <w:ind w:firstLine="472" w:firstLineChars="200"/>
        <w:rPr>
          <w:rFonts w:eastAsia="方正仿宋_GBK"/>
          <w:color w:val="000000"/>
          <w:spacing w:val="-2"/>
          <w:sz w:val="24"/>
        </w:rPr>
      </w:pPr>
      <w:r>
        <w:rPr>
          <w:rFonts w:hint="eastAsia" w:eastAsia="方正仿宋_GBK"/>
          <w:color w:val="000000"/>
          <w:spacing w:val="-2"/>
          <w:sz w:val="24"/>
        </w:rPr>
        <w:t>（</w:t>
      </w:r>
      <w:r>
        <w:rPr>
          <w:rFonts w:eastAsia="方正仿宋_GBK"/>
          <w:color w:val="000000"/>
          <w:spacing w:val="-2"/>
          <w:sz w:val="24"/>
        </w:rPr>
        <w:t>3</w:t>
      </w:r>
      <w:r>
        <w:rPr>
          <w:rFonts w:hint="eastAsia" w:eastAsia="方正仿宋_GBK"/>
          <w:color w:val="000000"/>
          <w:spacing w:val="-2"/>
          <w:sz w:val="24"/>
        </w:rPr>
        <w:t>）商品房定金合同、预（销）售合同示范文本及补充协议；</w:t>
      </w:r>
    </w:p>
    <w:p>
      <w:pPr>
        <w:snapToGrid w:val="0"/>
        <w:spacing w:line="460" w:lineRule="exact"/>
        <w:ind w:firstLine="472" w:firstLineChars="200"/>
        <w:rPr>
          <w:rFonts w:eastAsia="方正仿宋_GBK"/>
          <w:color w:val="000000"/>
          <w:spacing w:val="-2"/>
          <w:sz w:val="24"/>
        </w:rPr>
      </w:pPr>
      <w:r>
        <w:rPr>
          <w:rFonts w:hint="eastAsia" w:eastAsia="方正仿宋_GBK"/>
          <w:color w:val="000000"/>
          <w:spacing w:val="-2"/>
          <w:sz w:val="24"/>
        </w:rPr>
        <w:t>（</w:t>
      </w:r>
      <w:r>
        <w:rPr>
          <w:rFonts w:eastAsia="方正仿宋_GBK"/>
          <w:color w:val="000000"/>
          <w:spacing w:val="-2"/>
          <w:sz w:val="24"/>
        </w:rPr>
        <w:t>4</w:t>
      </w:r>
      <w:r>
        <w:rPr>
          <w:rFonts w:hint="eastAsia" w:eastAsia="方正仿宋_GBK"/>
          <w:color w:val="000000"/>
          <w:spacing w:val="-2"/>
          <w:sz w:val="24"/>
        </w:rPr>
        <w:t>）建筑节能相关能耗、节能措施、保护要求、保温工程保修期等信息；</w:t>
      </w:r>
    </w:p>
    <w:p>
      <w:pPr>
        <w:snapToGrid w:val="0"/>
        <w:spacing w:line="460" w:lineRule="exact"/>
        <w:ind w:firstLine="472" w:firstLineChars="200"/>
        <w:rPr>
          <w:rFonts w:eastAsia="方正仿宋_GBK"/>
          <w:color w:val="000000"/>
          <w:spacing w:val="-2"/>
          <w:sz w:val="24"/>
        </w:rPr>
      </w:pPr>
      <w:r>
        <w:rPr>
          <w:rFonts w:hint="eastAsia" w:eastAsia="方正仿宋_GBK"/>
          <w:color w:val="000000"/>
          <w:spacing w:val="-2"/>
          <w:sz w:val="24"/>
        </w:rPr>
        <w:t>（</w:t>
      </w:r>
      <w:r>
        <w:rPr>
          <w:rFonts w:eastAsia="方正仿宋_GBK"/>
          <w:color w:val="000000"/>
          <w:spacing w:val="-2"/>
          <w:sz w:val="24"/>
        </w:rPr>
        <w:t>5</w:t>
      </w:r>
      <w:r>
        <w:rPr>
          <w:rFonts w:hint="eastAsia" w:eastAsia="方正仿宋_GBK"/>
          <w:color w:val="000000"/>
          <w:spacing w:val="-2"/>
          <w:sz w:val="24"/>
        </w:rPr>
        <w:t>）所售房屋享受特殊政策或受政策限制情况；</w:t>
      </w:r>
    </w:p>
    <w:p>
      <w:pPr>
        <w:snapToGrid w:val="0"/>
        <w:spacing w:line="460" w:lineRule="exact"/>
        <w:ind w:firstLine="472" w:firstLineChars="200"/>
        <w:rPr>
          <w:rFonts w:eastAsia="方正仿宋_GBK"/>
          <w:color w:val="000000"/>
          <w:spacing w:val="-2"/>
          <w:sz w:val="24"/>
        </w:rPr>
      </w:pPr>
      <w:r>
        <w:rPr>
          <w:rFonts w:hint="eastAsia" w:eastAsia="方正仿宋_GBK"/>
          <w:color w:val="000000"/>
          <w:spacing w:val="-2"/>
          <w:sz w:val="24"/>
        </w:rPr>
        <w:t>（</w:t>
      </w:r>
      <w:r>
        <w:rPr>
          <w:rFonts w:eastAsia="方正仿宋_GBK"/>
          <w:color w:val="000000"/>
          <w:spacing w:val="-2"/>
          <w:sz w:val="24"/>
        </w:rPr>
        <w:t>6</w:t>
      </w:r>
      <w:r>
        <w:rPr>
          <w:rFonts w:hint="eastAsia" w:eastAsia="方正仿宋_GBK"/>
          <w:color w:val="000000"/>
          <w:spacing w:val="-2"/>
          <w:sz w:val="24"/>
        </w:rPr>
        <w:t>）其他需要公示的相关文件。</w:t>
      </w:r>
    </w:p>
    <w:p>
      <w:pPr>
        <w:spacing w:line="460" w:lineRule="exact"/>
        <w:ind w:firstLine="474" w:firstLineChars="200"/>
        <w:rPr>
          <w:rFonts w:eastAsia="方正仿宋_GBK"/>
          <w:b/>
          <w:color w:val="000000"/>
          <w:spacing w:val="-2"/>
          <w:sz w:val="24"/>
        </w:rPr>
      </w:pPr>
      <w:r>
        <w:rPr>
          <w:rFonts w:eastAsia="方正仿宋_GBK"/>
          <w:b/>
          <w:color w:val="000000"/>
          <w:spacing w:val="-2"/>
          <w:sz w:val="24"/>
        </w:rPr>
        <w:t>3</w:t>
      </w:r>
      <w:r>
        <w:rPr>
          <w:rFonts w:hint="eastAsia" w:eastAsia="方正仿宋_GBK"/>
          <w:b/>
          <w:color w:val="000000"/>
          <w:spacing w:val="-2"/>
          <w:sz w:val="24"/>
        </w:rPr>
        <w:t>、设立</w:t>
      </w:r>
      <w:r>
        <w:rPr>
          <w:rFonts w:hint="eastAsia" w:eastAsia="方正仿宋_GBK"/>
          <w:b/>
          <w:color w:val="000000"/>
          <w:spacing w:val="-2"/>
          <w:sz w:val="24"/>
          <w:u w:val="single"/>
        </w:rPr>
        <w:t>可售房源信息公示栏</w:t>
      </w:r>
      <w:r>
        <w:rPr>
          <w:rFonts w:hint="eastAsia" w:eastAsia="方正仿宋_GBK"/>
          <w:b/>
          <w:color w:val="000000"/>
          <w:spacing w:val="-2"/>
          <w:sz w:val="24"/>
        </w:rPr>
        <w:t>，公示可售房源的面积、价格和销售动态信息：</w:t>
      </w:r>
    </w:p>
    <w:p>
      <w:pPr>
        <w:snapToGrid w:val="0"/>
        <w:spacing w:line="460" w:lineRule="exact"/>
        <w:ind w:firstLine="472" w:firstLineChars="200"/>
        <w:rPr>
          <w:rFonts w:eastAsia="方正仿宋_GBK"/>
          <w:color w:val="000000"/>
          <w:spacing w:val="-2"/>
          <w:sz w:val="24"/>
        </w:rPr>
      </w:pPr>
      <w:r>
        <w:rPr>
          <w:rFonts w:hint="eastAsia" w:eastAsia="方正仿宋_GBK"/>
          <w:color w:val="000000"/>
          <w:spacing w:val="-2"/>
          <w:sz w:val="24"/>
        </w:rPr>
        <w:t>（</w:t>
      </w:r>
      <w:r>
        <w:rPr>
          <w:rFonts w:eastAsia="方正仿宋_GBK"/>
          <w:color w:val="000000"/>
          <w:spacing w:val="-2"/>
          <w:sz w:val="24"/>
        </w:rPr>
        <w:t>1</w:t>
      </w:r>
      <w:r>
        <w:rPr>
          <w:rFonts w:hint="eastAsia" w:eastAsia="方正仿宋_GBK"/>
          <w:color w:val="000000"/>
          <w:spacing w:val="-2"/>
          <w:sz w:val="24"/>
        </w:rPr>
        <w:t>）批准预售当期和原有的可售房源总套数、建筑总面积、最高单价、最低单价和平均销售价格</w:t>
      </w:r>
      <w:r>
        <w:rPr>
          <w:rFonts w:eastAsia="方正仿宋_GBK"/>
          <w:color w:val="000000"/>
          <w:spacing w:val="-2"/>
          <w:sz w:val="24"/>
        </w:rPr>
        <w:t>(</w:t>
      </w:r>
      <w:r>
        <w:rPr>
          <w:rFonts w:hint="eastAsia" w:eastAsia="方正仿宋_GBK"/>
          <w:color w:val="000000"/>
          <w:spacing w:val="-2"/>
          <w:sz w:val="24"/>
        </w:rPr>
        <w:t>按建筑面积计算</w:t>
      </w:r>
      <w:r>
        <w:rPr>
          <w:rFonts w:eastAsia="方正仿宋_GBK"/>
          <w:color w:val="000000"/>
          <w:spacing w:val="-2"/>
          <w:sz w:val="24"/>
        </w:rPr>
        <w:t>)</w:t>
      </w:r>
      <w:r>
        <w:rPr>
          <w:rFonts w:hint="eastAsia" w:eastAsia="方正仿宋_GBK"/>
          <w:color w:val="000000"/>
          <w:spacing w:val="-2"/>
          <w:sz w:val="24"/>
        </w:rPr>
        <w:t>；</w:t>
      </w:r>
    </w:p>
    <w:p>
      <w:pPr>
        <w:snapToGrid w:val="0"/>
        <w:spacing w:line="460" w:lineRule="exact"/>
        <w:ind w:firstLine="472" w:firstLineChars="200"/>
        <w:outlineLvl w:val="0"/>
        <w:rPr>
          <w:rFonts w:eastAsia="方正仿宋_GBK"/>
          <w:color w:val="000000"/>
          <w:spacing w:val="-2"/>
          <w:sz w:val="24"/>
        </w:rPr>
      </w:pPr>
      <w:bookmarkStart w:id="27" w:name="_Toc20726291"/>
      <w:bookmarkStart w:id="28" w:name="_Toc18315371"/>
      <w:bookmarkStart w:id="29" w:name="_Toc20667765"/>
      <w:r>
        <w:rPr>
          <w:rFonts w:hint="eastAsia" w:eastAsia="方正仿宋_GBK"/>
          <w:color w:val="000000"/>
          <w:spacing w:val="-2"/>
          <w:sz w:val="24"/>
        </w:rPr>
        <w:t>（</w:t>
      </w:r>
      <w:r>
        <w:rPr>
          <w:rFonts w:eastAsia="方正仿宋_GBK"/>
          <w:color w:val="000000"/>
          <w:spacing w:val="-2"/>
          <w:sz w:val="24"/>
        </w:rPr>
        <w:t>2</w:t>
      </w:r>
      <w:r>
        <w:rPr>
          <w:rFonts w:hint="eastAsia" w:eastAsia="方正仿宋_GBK"/>
          <w:color w:val="000000"/>
          <w:spacing w:val="-2"/>
          <w:sz w:val="24"/>
        </w:rPr>
        <w:t>）每套商品房建筑面积</w:t>
      </w:r>
      <w:r>
        <w:rPr>
          <w:rFonts w:eastAsia="方正仿宋_GBK"/>
          <w:color w:val="000000"/>
          <w:spacing w:val="-2"/>
          <w:sz w:val="24"/>
        </w:rPr>
        <w:t>(</w:t>
      </w:r>
      <w:r>
        <w:rPr>
          <w:rFonts w:hint="eastAsia" w:eastAsia="方正仿宋_GBK"/>
          <w:color w:val="000000"/>
          <w:spacing w:val="-2"/>
          <w:sz w:val="24"/>
        </w:rPr>
        <w:t>含套内建筑面积、公摊面积</w:t>
      </w:r>
      <w:r>
        <w:rPr>
          <w:rFonts w:eastAsia="方正仿宋_GBK"/>
          <w:color w:val="000000"/>
          <w:spacing w:val="-2"/>
          <w:sz w:val="24"/>
        </w:rPr>
        <w:t>)</w:t>
      </w:r>
      <w:r>
        <w:rPr>
          <w:rFonts w:hint="eastAsia" w:eastAsia="方正仿宋_GBK"/>
          <w:color w:val="000000"/>
          <w:spacing w:val="-2"/>
          <w:sz w:val="24"/>
        </w:rPr>
        <w:t>；</w:t>
      </w:r>
      <w:bookmarkEnd w:id="27"/>
      <w:bookmarkEnd w:id="28"/>
      <w:bookmarkEnd w:id="29"/>
    </w:p>
    <w:p>
      <w:pPr>
        <w:snapToGrid w:val="0"/>
        <w:spacing w:line="460" w:lineRule="exact"/>
        <w:ind w:firstLine="472" w:firstLineChars="200"/>
        <w:rPr>
          <w:rFonts w:eastAsia="方正仿宋_GBK"/>
          <w:color w:val="000000"/>
          <w:spacing w:val="-2"/>
          <w:sz w:val="24"/>
        </w:rPr>
      </w:pPr>
      <w:r>
        <w:rPr>
          <w:rFonts w:hint="eastAsia" w:eastAsia="方正仿宋_GBK"/>
          <w:color w:val="000000"/>
          <w:spacing w:val="-2"/>
          <w:sz w:val="24"/>
        </w:rPr>
        <w:t>（</w:t>
      </w:r>
      <w:r>
        <w:rPr>
          <w:rFonts w:eastAsia="方正仿宋_GBK"/>
          <w:color w:val="000000"/>
          <w:spacing w:val="-2"/>
          <w:sz w:val="24"/>
        </w:rPr>
        <w:t>3</w:t>
      </w:r>
      <w:r>
        <w:rPr>
          <w:rFonts w:hint="eastAsia" w:eastAsia="方正仿宋_GBK"/>
          <w:color w:val="000000"/>
          <w:spacing w:val="-2"/>
          <w:sz w:val="24"/>
        </w:rPr>
        <w:t>）每套房屋的销售单价和总价；</w:t>
      </w:r>
    </w:p>
    <w:p>
      <w:pPr>
        <w:snapToGrid w:val="0"/>
        <w:spacing w:line="460" w:lineRule="exact"/>
        <w:ind w:firstLine="472" w:firstLineChars="200"/>
        <w:rPr>
          <w:rFonts w:eastAsia="方正仿宋_GBK"/>
          <w:color w:val="000000"/>
          <w:spacing w:val="-2"/>
          <w:sz w:val="24"/>
        </w:rPr>
      </w:pPr>
      <w:r>
        <w:rPr>
          <w:rFonts w:hint="eastAsia" w:eastAsia="方正仿宋_GBK"/>
          <w:color w:val="000000"/>
          <w:spacing w:val="-2"/>
          <w:sz w:val="24"/>
        </w:rPr>
        <w:t>（</w:t>
      </w:r>
      <w:r>
        <w:rPr>
          <w:rFonts w:eastAsia="方正仿宋_GBK"/>
          <w:color w:val="000000"/>
          <w:spacing w:val="-2"/>
          <w:sz w:val="24"/>
        </w:rPr>
        <w:t>4</w:t>
      </w:r>
      <w:r>
        <w:rPr>
          <w:rFonts w:hint="eastAsia" w:eastAsia="方正仿宋_GBK"/>
          <w:color w:val="000000"/>
          <w:spacing w:val="-2"/>
          <w:sz w:val="24"/>
        </w:rPr>
        <w:t>）抵押相关信息；</w:t>
      </w:r>
    </w:p>
    <w:p>
      <w:pPr>
        <w:snapToGrid w:val="0"/>
        <w:spacing w:line="460" w:lineRule="exact"/>
        <w:ind w:firstLine="472" w:firstLineChars="200"/>
        <w:rPr>
          <w:rFonts w:eastAsia="方正仿宋_GBK"/>
          <w:color w:val="000000"/>
          <w:spacing w:val="-2"/>
          <w:sz w:val="24"/>
        </w:rPr>
      </w:pPr>
      <w:r>
        <w:rPr>
          <w:rFonts w:hint="eastAsia" w:eastAsia="方正仿宋_GBK"/>
          <w:color w:val="000000"/>
          <w:spacing w:val="-2"/>
          <w:sz w:val="24"/>
        </w:rPr>
        <w:t>（</w:t>
      </w:r>
      <w:r>
        <w:rPr>
          <w:rFonts w:eastAsia="方正仿宋_GBK"/>
          <w:color w:val="000000"/>
          <w:spacing w:val="-2"/>
          <w:sz w:val="24"/>
        </w:rPr>
        <w:t>5</w:t>
      </w:r>
      <w:r>
        <w:rPr>
          <w:rFonts w:hint="eastAsia" w:eastAsia="方正仿宋_GBK"/>
          <w:color w:val="000000"/>
          <w:spacing w:val="-2"/>
          <w:sz w:val="24"/>
        </w:rPr>
        <w:t>）房地产企业应采用不同标记对商品房房源的限制销售、</w:t>
      </w:r>
      <w:r>
        <w:rPr>
          <w:rFonts w:eastAsia="方正仿宋_GBK"/>
          <w:color w:val="000000"/>
          <w:spacing w:val="-2"/>
          <w:sz w:val="24"/>
        </w:rPr>
        <w:t>“</w:t>
      </w:r>
      <w:r>
        <w:rPr>
          <w:rFonts w:hint="eastAsia" w:eastAsia="方正仿宋_GBK"/>
          <w:color w:val="000000"/>
          <w:spacing w:val="-2"/>
          <w:sz w:val="24"/>
        </w:rPr>
        <w:t>可售</w:t>
      </w:r>
      <w:r>
        <w:rPr>
          <w:rFonts w:eastAsia="方正仿宋_GBK"/>
          <w:color w:val="000000"/>
          <w:spacing w:val="-2"/>
          <w:sz w:val="24"/>
        </w:rPr>
        <w:t>”</w:t>
      </w:r>
      <w:r>
        <w:rPr>
          <w:rFonts w:hint="eastAsia" w:eastAsia="方正仿宋_GBK"/>
          <w:color w:val="000000"/>
          <w:spacing w:val="-2"/>
          <w:sz w:val="24"/>
        </w:rPr>
        <w:t>、</w:t>
      </w:r>
      <w:r>
        <w:rPr>
          <w:rFonts w:eastAsia="方正仿宋_GBK"/>
          <w:color w:val="000000"/>
          <w:spacing w:val="-2"/>
          <w:sz w:val="24"/>
        </w:rPr>
        <w:t>“</w:t>
      </w:r>
      <w:r>
        <w:rPr>
          <w:rFonts w:hint="eastAsia" w:eastAsia="方正仿宋_GBK"/>
          <w:color w:val="000000"/>
          <w:spacing w:val="-2"/>
          <w:sz w:val="24"/>
        </w:rPr>
        <w:t>预定</w:t>
      </w:r>
      <w:r>
        <w:rPr>
          <w:rFonts w:eastAsia="方正仿宋_GBK"/>
          <w:color w:val="000000"/>
          <w:spacing w:val="-2"/>
          <w:sz w:val="24"/>
        </w:rPr>
        <w:t>”</w:t>
      </w:r>
      <w:r>
        <w:rPr>
          <w:rFonts w:hint="eastAsia" w:eastAsia="方正仿宋_GBK"/>
          <w:color w:val="000000"/>
          <w:spacing w:val="-2"/>
          <w:sz w:val="24"/>
        </w:rPr>
        <w:t>、</w:t>
      </w:r>
      <w:r>
        <w:rPr>
          <w:rFonts w:eastAsia="方正仿宋_GBK"/>
          <w:color w:val="000000"/>
          <w:spacing w:val="-2"/>
          <w:sz w:val="24"/>
        </w:rPr>
        <w:t>“</w:t>
      </w:r>
      <w:r>
        <w:rPr>
          <w:rFonts w:hint="eastAsia" w:eastAsia="方正仿宋_GBK"/>
          <w:color w:val="000000"/>
          <w:spacing w:val="-2"/>
          <w:sz w:val="24"/>
        </w:rPr>
        <w:t>已售</w:t>
      </w:r>
      <w:r>
        <w:rPr>
          <w:rFonts w:eastAsia="方正仿宋_GBK"/>
          <w:color w:val="000000"/>
          <w:spacing w:val="-2"/>
          <w:sz w:val="24"/>
        </w:rPr>
        <w:t>”</w:t>
      </w:r>
      <w:r>
        <w:rPr>
          <w:rFonts w:hint="eastAsia" w:eastAsia="方正仿宋_GBK"/>
          <w:color w:val="000000"/>
          <w:spacing w:val="-2"/>
          <w:sz w:val="24"/>
        </w:rPr>
        <w:t>、</w:t>
      </w:r>
      <w:r>
        <w:rPr>
          <w:rFonts w:eastAsia="方正仿宋_GBK"/>
          <w:color w:val="000000"/>
          <w:spacing w:val="-2"/>
          <w:sz w:val="24"/>
        </w:rPr>
        <w:t>“</w:t>
      </w:r>
      <w:r>
        <w:rPr>
          <w:rFonts w:hint="eastAsia" w:eastAsia="方正仿宋_GBK"/>
          <w:color w:val="000000"/>
          <w:spacing w:val="-2"/>
          <w:sz w:val="24"/>
        </w:rPr>
        <w:t>已登记</w:t>
      </w:r>
      <w:r>
        <w:rPr>
          <w:rFonts w:eastAsia="方正仿宋_GBK"/>
          <w:color w:val="000000"/>
          <w:spacing w:val="-2"/>
          <w:sz w:val="24"/>
        </w:rPr>
        <w:t>”</w:t>
      </w:r>
      <w:r>
        <w:rPr>
          <w:rFonts w:hint="eastAsia" w:eastAsia="方正仿宋_GBK"/>
          <w:color w:val="000000"/>
          <w:spacing w:val="-2"/>
          <w:sz w:val="24"/>
        </w:rPr>
        <w:t>等销售状态信息进行公示。</w:t>
      </w:r>
    </w:p>
    <w:p>
      <w:pPr>
        <w:spacing w:line="460" w:lineRule="exact"/>
        <w:ind w:firstLine="474" w:firstLineChars="200"/>
        <w:rPr>
          <w:rFonts w:eastAsia="方正仿宋_GBK"/>
          <w:b/>
          <w:color w:val="000000"/>
          <w:spacing w:val="-2"/>
          <w:sz w:val="24"/>
        </w:rPr>
      </w:pPr>
      <w:r>
        <w:rPr>
          <w:rFonts w:eastAsia="方正仿宋_GBK"/>
          <w:b/>
          <w:color w:val="000000"/>
          <w:spacing w:val="-2"/>
          <w:sz w:val="24"/>
        </w:rPr>
        <w:t>4</w:t>
      </w:r>
      <w:r>
        <w:rPr>
          <w:rFonts w:hint="eastAsia" w:eastAsia="方正仿宋_GBK"/>
          <w:b/>
          <w:color w:val="000000"/>
          <w:spacing w:val="-2"/>
          <w:sz w:val="24"/>
        </w:rPr>
        <w:t>、设立</w:t>
      </w:r>
      <w:r>
        <w:rPr>
          <w:rFonts w:hint="eastAsia" w:eastAsia="方正仿宋_GBK"/>
          <w:b/>
          <w:color w:val="000000"/>
          <w:spacing w:val="-2"/>
          <w:sz w:val="24"/>
          <w:u w:val="single"/>
        </w:rPr>
        <w:t>咨询服务电话公示栏</w:t>
      </w:r>
      <w:r>
        <w:rPr>
          <w:rFonts w:hint="eastAsia" w:eastAsia="方正仿宋_GBK"/>
          <w:b/>
          <w:color w:val="000000"/>
          <w:spacing w:val="-2"/>
          <w:sz w:val="24"/>
        </w:rPr>
        <w:t>：</w:t>
      </w:r>
    </w:p>
    <w:p>
      <w:pPr>
        <w:snapToGrid w:val="0"/>
        <w:spacing w:line="460" w:lineRule="exact"/>
        <w:ind w:firstLine="472" w:firstLineChars="200"/>
        <w:outlineLvl w:val="0"/>
        <w:rPr>
          <w:rFonts w:eastAsia="方正仿宋_GBK"/>
          <w:color w:val="000000"/>
          <w:spacing w:val="-2"/>
          <w:sz w:val="24"/>
        </w:rPr>
      </w:pPr>
      <w:bookmarkStart w:id="30" w:name="_Toc20726292"/>
      <w:bookmarkStart w:id="31" w:name="_Toc18315372"/>
      <w:bookmarkStart w:id="32" w:name="_Toc20667766"/>
      <w:r>
        <w:rPr>
          <w:rFonts w:hint="eastAsia" w:eastAsia="方正仿宋_GBK"/>
          <w:color w:val="000000"/>
          <w:spacing w:val="-2"/>
          <w:sz w:val="24"/>
        </w:rPr>
        <w:t>（</w:t>
      </w:r>
      <w:r>
        <w:rPr>
          <w:rFonts w:eastAsia="方正仿宋_GBK"/>
          <w:color w:val="000000"/>
          <w:spacing w:val="-2"/>
          <w:sz w:val="24"/>
        </w:rPr>
        <w:t>1</w:t>
      </w:r>
      <w:r>
        <w:rPr>
          <w:rFonts w:hint="eastAsia" w:eastAsia="方正仿宋_GBK"/>
          <w:color w:val="000000"/>
          <w:spacing w:val="-2"/>
          <w:sz w:val="24"/>
        </w:rPr>
        <w:t>）项目可否提供住房公积金贷款、公积金中心咨询电话；</w:t>
      </w:r>
      <w:bookmarkEnd w:id="30"/>
      <w:bookmarkEnd w:id="31"/>
      <w:bookmarkEnd w:id="32"/>
    </w:p>
    <w:p>
      <w:pPr>
        <w:snapToGrid w:val="0"/>
        <w:spacing w:line="460" w:lineRule="exact"/>
        <w:ind w:firstLine="472" w:firstLineChars="200"/>
        <w:rPr>
          <w:rFonts w:eastAsia="方正仿宋_GBK"/>
          <w:color w:val="000000"/>
          <w:spacing w:val="-2"/>
          <w:sz w:val="24"/>
        </w:rPr>
      </w:pPr>
      <w:r>
        <w:rPr>
          <w:rFonts w:hint="eastAsia" w:eastAsia="方正仿宋_GBK"/>
          <w:color w:val="000000"/>
          <w:spacing w:val="-2"/>
          <w:sz w:val="24"/>
        </w:rPr>
        <w:t>（</w:t>
      </w:r>
      <w:r>
        <w:rPr>
          <w:rFonts w:eastAsia="方正仿宋_GBK"/>
          <w:color w:val="000000"/>
          <w:spacing w:val="-2"/>
          <w:sz w:val="24"/>
        </w:rPr>
        <w:t>2</w:t>
      </w:r>
      <w:r>
        <w:rPr>
          <w:rFonts w:hint="eastAsia" w:eastAsia="方正仿宋_GBK"/>
          <w:color w:val="000000"/>
          <w:spacing w:val="-2"/>
          <w:sz w:val="24"/>
        </w:rPr>
        <w:t>）建设、房管、物价等相关主管部门的监督举报电话；</w:t>
      </w:r>
    </w:p>
    <w:p>
      <w:pPr>
        <w:snapToGrid w:val="0"/>
        <w:spacing w:line="460" w:lineRule="exact"/>
        <w:ind w:firstLine="472" w:firstLineChars="200"/>
        <w:rPr>
          <w:rFonts w:eastAsia="方正仿宋_GBK"/>
          <w:color w:val="000000"/>
          <w:spacing w:val="-2"/>
          <w:sz w:val="24"/>
        </w:rPr>
      </w:pPr>
      <w:r>
        <w:rPr>
          <w:rFonts w:hint="eastAsia" w:eastAsia="方正仿宋_GBK"/>
          <w:color w:val="000000"/>
          <w:spacing w:val="-2"/>
          <w:sz w:val="24"/>
        </w:rPr>
        <w:t>（</w:t>
      </w:r>
      <w:r>
        <w:rPr>
          <w:rFonts w:eastAsia="方正仿宋_GBK"/>
          <w:color w:val="000000"/>
          <w:spacing w:val="-2"/>
          <w:sz w:val="24"/>
        </w:rPr>
        <w:t>3</w:t>
      </w:r>
      <w:r>
        <w:rPr>
          <w:rFonts w:hint="eastAsia" w:eastAsia="方正仿宋_GBK"/>
          <w:color w:val="000000"/>
          <w:spacing w:val="-2"/>
          <w:sz w:val="24"/>
        </w:rPr>
        <w:t>）其他需要提供的咨询服务电话。</w:t>
      </w:r>
    </w:p>
    <w:p>
      <w:pPr>
        <w:spacing w:line="460" w:lineRule="exact"/>
        <w:ind w:firstLine="474" w:firstLineChars="200"/>
        <w:rPr>
          <w:rFonts w:eastAsia="方正仿宋_GBK"/>
          <w:b/>
          <w:color w:val="000000"/>
          <w:spacing w:val="-2"/>
          <w:sz w:val="24"/>
        </w:rPr>
      </w:pPr>
      <w:r>
        <w:rPr>
          <w:rFonts w:eastAsia="方正仿宋_GBK"/>
          <w:b/>
          <w:color w:val="000000"/>
          <w:spacing w:val="-2"/>
          <w:sz w:val="24"/>
        </w:rPr>
        <w:t>5</w:t>
      </w:r>
      <w:r>
        <w:rPr>
          <w:rFonts w:hint="eastAsia" w:eastAsia="方正仿宋_GBK"/>
          <w:b/>
          <w:color w:val="000000"/>
          <w:spacing w:val="-2"/>
          <w:sz w:val="24"/>
        </w:rPr>
        <w:t>、设立</w:t>
      </w:r>
      <w:r>
        <w:rPr>
          <w:rFonts w:hint="eastAsia" w:eastAsia="方正仿宋_GBK"/>
          <w:b/>
          <w:color w:val="000000"/>
          <w:spacing w:val="-2"/>
          <w:sz w:val="24"/>
          <w:u w:val="single"/>
        </w:rPr>
        <w:t>信息查询台</w:t>
      </w:r>
      <w:r>
        <w:rPr>
          <w:rFonts w:hint="eastAsia" w:eastAsia="方正仿宋_GBK"/>
          <w:b/>
          <w:color w:val="000000"/>
          <w:spacing w:val="-2"/>
          <w:sz w:val="24"/>
        </w:rPr>
        <w:t>，提供如下信息查询服务：</w:t>
      </w:r>
    </w:p>
    <w:p>
      <w:pPr>
        <w:snapToGrid w:val="0"/>
        <w:spacing w:line="460" w:lineRule="exact"/>
        <w:ind w:firstLine="472" w:firstLineChars="200"/>
        <w:rPr>
          <w:rFonts w:eastAsia="方正仿宋_GBK"/>
          <w:color w:val="000000"/>
          <w:spacing w:val="-2"/>
          <w:sz w:val="24"/>
        </w:rPr>
      </w:pPr>
      <w:r>
        <w:rPr>
          <w:rFonts w:hint="eastAsia" w:eastAsia="方正仿宋_GBK"/>
          <w:color w:val="000000"/>
          <w:spacing w:val="-2"/>
          <w:sz w:val="24"/>
        </w:rPr>
        <w:t>（</w:t>
      </w:r>
      <w:r>
        <w:rPr>
          <w:rFonts w:eastAsia="方正仿宋_GBK"/>
          <w:color w:val="000000"/>
          <w:spacing w:val="-2"/>
          <w:sz w:val="24"/>
        </w:rPr>
        <w:t>1</w:t>
      </w:r>
      <w:r>
        <w:rPr>
          <w:rFonts w:hint="eastAsia" w:eastAsia="方正仿宋_GBK"/>
          <w:color w:val="000000"/>
          <w:spacing w:val="-2"/>
          <w:sz w:val="24"/>
        </w:rPr>
        <w:t>）商品房预（销）售现场应提供电脑和网络等设备，可以免费查询现场公布的已售房源信息与网上备案系统是否一致，并为购房者提供商品房网上签约即时备案查询等服务；</w:t>
      </w:r>
    </w:p>
    <w:p>
      <w:pPr>
        <w:snapToGrid w:val="0"/>
        <w:spacing w:line="460" w:lineRule="exact"/>
        <w:ind w:firstLine="472" w:firstLineChars="200"/>
        <w:outlineLvl w:val="0"/>
        <w:rPr>
          <w:rFonts w:eastAsia="方正仿宋_GBK"/>
          <w:color w:val="000000"/>
          <w:spacing w:val="-2"/>
          <w:sz w:val="24"/>
        </w:rPr>
      </w:pPr>
      <w:bookmarkStart w:id="33" w:name="_Toc20726293"/>
      <w:bookmarkStart w:id="34" w:name="_Toc18315373"/>
      <w:bookmarkStart w:id="35" w:name="_Toc20667767"/>
      <w:r>
        <w:rPr>
          <w:rFonts w:hint="eastAsia" w:eastAsia="方正仿宋_GBK"/>
          <w:color w:val="000000"/>
          <w:spacing w:val="-2"/>
          <w:sz w:val="24"/>
        </w:rPr>
        <w:t>（</w:t>
      </w:r>
      <w:r>
        <w:rPr>
          <w:rFonts w:eastAsia="方正仿宋_GBK"/>
          <w:color w:val="000000"/>
          <w:spacing w:val="-2"/>
          <w:sz w:val="24"/>
        </w:rPr>
        <w:t>2</w:t>
      </w:r>
      <w:r>
        <w:rPr>
          <w:rFonts w:hint="eastAsia" w:eastAsia="方正仿宋_GBK"/>
          <w:color w:val="000000"/>
          <w:spacing w:val="-2"/>
          <w:sz w:val="24"/>
        </w:rPr>
        <w:t>）房产预测绘、实测绘成果报告；</w:t>
      </w:r>
      <w:bookmarkEnd w:id="33"/>
      <w:bookmarkEnd w:id="34"/>
      <w:bookmarkEnd w:id="35"/>
    </w:p>
    <w:p>
      <w:pPr>
        <w:snapToGrid w:val="0"/>
        <w:spacing w:line="460" w:lineRule="exact"/>
        <w:ind w:firstLine="472" w:firstLineChars="200"/>
        <w:rPr>
          <w:rFonts w:eastAsia="方正仿宋_GBK"/>
          <w:color w:val="000000"/>
          <w:spacing w:val="-2"/>
          <w:sz w:val="24"/>
        </w:rPr>
      </w:pPr>
      <w:r>
        <w:rPr>
          <w:rFonts w:hint="eastAsia" w:eastAsia="方正仿宋_GBK"/>
          <w:color w:val="000000"/>
          <w:spacing w:val="-2"/>
          <w:sz w:val="24"/>
        </w:rPr>
        <w:t>（</w:t>
      </w:r>
      <w:r>
        <w:rPr>
          <w:rFonts w:eastAsia="方正仿宋_GBK"/>
          <w:color w:val="000000"/>
          <w:spacing w:val="-2"/>
          <w:sz w:val="24"/>
        </w:rPr>
        <w:t>3</w:t>
      </w:r>
      <w:r>
        <w:rPr>
          <w:rFonts w:hint="eastAsia" w:eastAsia="方正仿宋_GBK"/>
          <w:color w:val="000000"/>
          <w:spacing w:val="-2"/>
          <w:sz w:val="24"/>
        </w:rPr>
        <w:t>）《白蚁预防合同》或实施房屋白蚁预防的证明文件；</w:t>
      </w:r>
    </w:p>
    <w:p>
      <w:pPr>
        <w:snapToGrid w:val="0"/>
        <w:spacing w:line="460" w:lineRule="exact"/>
        <w:ind w:firstLine="472" w:firstLineChars="200"/>
        <w:rPr>
          <w:rFonts w:eastAsia="方正仿宋_GBK"/>
          <w:color w:val="000000"/>
          <w:spacing w:val="-2"/>
          <w:sz w:val="24"/>
        </w:rPr>
      </w:pPr>
      <w:r>
        <w:rPr>
          <w:rFonts w:hint="eastAsia" w:eastAsia="方正仿宋_GBK"/>
          <w:color w:val="000000"/>
          <w:spacing w:val="-2"/>
          <w:sz w:val="24"/>
        </w:rPr>
        <w:t>（</w:t>
      </w:r>
      <w:r>
        <w:rPr>
          <w:rFonts w:eastAsia="方正仿宋_GBK"/>
          <w:color w:val="000000"/>
          <w:spacing w:val="-2"/>
          <w:sz w:val="24"/>
        </w:rPr>
        <w:t>4</w:t>
      </w:r>
      <w:r>
        <w:rPr>
          <w:rFonts w:hint="eastAsia" w:eastAsia="方正仿宋_GBK"/>
          <w:color w:val="000000"/>
          <w:spacing w:val="-2"/>
          <w:sz w:val="24"/>
        </w:rPr>
        <w:t>）前期物业服务合同；</w:t>
      </w:r>
    </w:p>
    <w:p>
      <w:pPr>
        <w:snapToGrid w:val="0"/>
        <w:spacing w:line="460" w:lineRule="exact"/>
        <w:ind w:firstLine="472" w:firstLineChars="200"/>
        <w:rPr>
          <w:rFonts w:eastAsia="方正仿宋_GBK"/>
          <w:color w:val="000000"/>
          <w:spacing w:val="-2"/>
          <w:sz w:val="24"/>
        </w:rPr>
      </w:pPr>
      <w:r>
        <w:rPr>
          <w:rFonts w:hint="eastAsia" w:eastAsia="方正仿宋_GBK"/>
          <w:color w:val="000000"/>
          <w:spacing w:val="-2"/>
          <w:sz w:val="24"/>
        </w:rPr>
        <w:t>（</w:t>
      </w:r>
      <w:r>
        <w:rPr>
          <w:rFonts w:eastAsia="方正仿宋_GBK"/>
          <w:color w:val="000000"/>
          <w:spacing w:val="-2"/>
          <w:sz w:val="24"/>
        </w:rPr>
        <w:t>5</w:t>
      </w:r>
      <w:r>
        <w:rPr>
          <w:rFonts w:hint="eastAsia" w:eastAsia="方正仿宋_GBK"/>
          <w:color w:val="000000"/>
          <w:spacing w:val="-2"/>
          <w:sz w:val="24"/>
        </w:rPr>
        <w:t>）物业共有部分清册；</w:t>
      </w:r>
    </w:p>
    <w:p>
      <w:pPr>
        <w:snapToGrid w:val="0"/>
        <w:spacing w:line="460" w:lineRule="exact"/>
        <w:ind w:firstLine="472" w:firstLineChars="200"/>
        <w:rPr>
          <w:rFonts w:eastAsia="方正仿宋_GBK"/>
          <w:color w:val="000000"/>
          <w:spacing w:val="-2"/>
          <w:sz w:val="24"/>
        </w:rPr>
      </w:pPr>
      <w:r>
        <w:rPr>
          <w:rFonts w:hint="eastAsia" w:eastAsia="方正仿宋_GBK"/>
          <w:color w:val="000000"/>
          <w:spacing w:val="-2"/>
          <w:sz w:val="24"/>
        </w:rPr>
        <w:t>（</w:t>
      </w:r>
      <w:r>
        <w:rPr>
          <w:rFonts w:eastAsia="方正仿宋_GBK"/>
          <w:color w:val="000000"/>
          <w:spacing w:val="-2"/>
          <w:sz w:val="24"/>
        </w:rPr>
        <w:t>6</w:t>
      </w:r>
      <w:r>
        <w:rPr>
          <w:rFonts w:hint="eastAsia" w:eastAsia="方正仿宋_GBK"/>
          <w:color w:val="000000"/>
          <w:spacing w:val="-2"/>
          <w:sz w:val="24"/>
        </w:rPr>
        <w:t>）相关管理部门规定的其他需要提供查询的信息。</w:t>
      </w:r>
    </w:p>
    <w:p>
      <w:pPr>
        <w:snapToGrid w:val="0"/>
        <w:spacing w:line="460" w:lineRule="exact"/>
        <w:ind w:firstLine="472" w:firstLineChars="200"/>
        <w:rPr>
          <w:rFonts w:eastAsia="方正仿宋_GBK"/>
          <w:color w:val="000000"/>
          <w:spacing w:val="-2"/>
          <w:sz w:val="24"/>
        </w:rPr>
      </w:pPr>
    </w:p>
    <w:p>
      <w:pPr>
        <w:snapToGrid w:val="0"/>
        <w:spacing w:line="460" w:lineRule="exact"/>
        <w:ind w:firstLine="472" w:firstLineChars="200"/>
        <w:rPr>
          <w:rFonts w:eastAsia="方正仿宋_GBK"/>
          <w:color w:val="000000"/>
          <w:spacing w:val="-2"/>
          <w:sz w:val="24"/>
        </w:rPr>
      </w:pPr>
    </w:p>
    <w:p>
      <w:pPr>
        <w:snapToGrid w:val="0"/>
        <w:spacing w:line="460" w:lineRule="exact"/>
        <w:ind w:firstLine="472" w:firstLineChars="200"/>
        <w:rPr>
          <w:rFonts w:eastAsia="方正仿宋_GBK"/>
          <w:color w:val="000000"/>
          <w:spacing w:val="-2"/>
          <w:sz w:val="24"/>
        </w:rPr>
      </w:pPr>
    </w:p>
    <w:p/>
    <w:p/>
    <w:p/>
    <w:p/>
    <w:p/>
    <w:p>
      <w:pPr>
        <w:pStyle w:val="2"/>
        <w:spacing w:before="240" w:beforeLines="100" w:after="240" w:afterLines="100" w:line="240" w:lineRule="auto"/>
        <w:jc w:val="center"/>
        <w:rPr>
          <w:rFonts w:ascii="Times New Roman" w:eastAsia="方正小标宋_GBK"/>
          <w:b w:val="0"/>
          <w:sz w:val="36"/>
          <w:szCs w:val="36"/>
        </w:rPr>
      </w:pPr>
      <w:bookmarkStart w:id="36" w:name="_Toc20726294"/>
      <w:bookmarkStart w:id="37" w:name="_Toc18315374"/>
      <w:r>
        <w:rPr>
          <w:rFonts w:hint="eastAsia" w:ascii="Times New Roman" w:eastAsia="方正小标宋_GBK"/>
          <w:b w:val="0"/>
          <w:sz w:val="36"/>
          <w:szCs w:val="36"/>
        </w:rPr>
        <w:t>关于印发《江苏省住宅专项维修资金管理办法》的通知</w:t>
      </w:r>
      <w:bookmarkEnd w:id="36"/>
      <w:bookmarkEnd w:id="37"/>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38" w:name="_Toc18315375"/>
      <w:bookmarkStart w:id="39" w:name="_Toc20726295"/>
      <w:r>
        <w:rPr>
          <w:rFonts w:hint="eastAsia" w:ascii="Times New Roman" w:hAnsi="Times New Roman" w:eastAsia="方正楷体_GBK"/>
          <w:b w:val="0"/>
          <w:sz w:val="24"/>
          <w:szCs w:val="24"/>
        </w:rPr>
        <w:t>苏建房管〔</w:t>
      </w:r>
      <w:r>
        <w:rPr>
          <w:rFonts w:ascii="Times New Roman" w:hAnsi="Times New Roman" w:eastAsia="方正楷体_GBK"/>
          <w:b w:val="0"/>
          <w:sz w:val="24"/>
          <w:szCs w:val="24"/>
        </w:rPr>
        <w:t>2014</w:t>
      </w:r>
      <w:r>
        <w:rPr>
          <w:rFonts w:hint="eastAsia" w:ascii="Times New Roman" w:hAnsi="Times New Roman" w:eastAsia="方正楷体_GBK"/>
          <w:b w:val="0"/>
          <w:sz w:val="24"/>
          <w:szCs w:val="24"/>
        </w:rPr>
        <w:t>〕</w:t>
      </w:r>
      <w:r>
        <w:rPr>
          <w:rFonts w:ascii="Times New Roman" w:hAnsi="Times New Roman" w:eastAsia="方正楷体_GBK"/>
          <w:b w:val="0"/>
          <w:sz w:val="24"/>
          <w:szCs w:val="24"/>
        </w:rPr>
        <w:t>208</w:t>
      </w:r>
      <w:r>
        <w:rPr>
          <w:rFonts w:hint="eastAsia" w:ascii="Times New Roman" w:hAnsi="Times New Roman" w:eastAsia="方正楷体_GBK"/>
          <w:b w:val="0"/>
          <w:sz w:val="24"/>
          <w:szCs w:val="24"/>
        </w:rPr>
        <w:t>号</w:t>
      </w:r>
      <w:bookmarkEnd w:id="38"/>
      <w:bookmarkEnd w:id="39"/>
    </w:p>
    <w:p>
      <w:pPr>
        <w:adjustRightInd w:val="0"/>
        <w:snapToGrid w:val="0"/>
        <w:spacing w:line="460" w:lineRule="exact"/>
        <w:rPr>
          <w:rFonts w:eastAsia="方正仿宋_GBK"/>
          <w:color w:val="000000"/>
          <w:spacing w:val="-2"/>
          <w:sz w:val="24"/>
        </w:rPr>
      </w:pPr>
      <w:r>
        <w:rPr>
          <w:rFonts w:hint="eastAsia" w:eastAsia="方正仿宋_GBK"/>
          <w:color w:val="000000"/>
          <w:spacing w:val="-2"/>
          <w:sz w:val="24"/>
        </w:rPr>
        <w:t>各省辖</w:t>
      </w:r>
      <w:r>
        <w:rPr>
          <w:rFonts w:hint="eastAsia" w:eastAsia="方正仿宋_GBK"/>
          <w:bCs/>
          <w:color w:val="000000"/>
          <w:spacing w:val="-2"/>
          <w:sz w:val="24"/>
        </w:rPr>
        <w:t>市建设局（委）、</w:t>
      </w:r>
      <w:r>
        <w:rPr>
          <w:rFonts w:hint="eastAsia" w:eastAsia="方正仿宋_GBK"/>
          <w:color w:val="000000"/>
          <w:spacing w:val="-2"/>
          <w:sz w:val="24"/>
        </w:rPr>
        <w:t>房产局，财政局：</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现将《江苏省住宅专项维修资金管理办法》印发给你们，请认真贯彻执行。</w:t>
      </w:r>
    </w:p>
    <w:p>
      <w:pPr>
        <w:spacing w:line="460" w:lineRule="exact"/>
        <w:ind w:firstLine="472" w:firstLineChars="200"/>
        <w:rPr>
          <w:rFonts w:eastAsia="方正仿宋_GBK"/>
          <w:color w:val="000000"/>
          <w:spacing w:val="-2"/>
          <w:sz w:val="24"/>
        </w:rPr>
      </w:pP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附件：江苏省住宅专项维修资金管理办法</w:t>
      </w:r>
    </w:p>
    <w:p>
      <w:pPr>
        <w:spacing w:line="460" w:lineRule="exact"/>
        <w:rPr>
          <w:rFonts w:eastAsia="方正仿宋_GBK"/>
          <w:color w:val="000000"/>
          <w:spacing w:val="-2"/>
          <w:sz w:val="24"/>
        </w:rPr>
      </w:pPr>
    </w:p>
    <w:p>
      <w:pPr>
        <w:wordWrap w:val="0"/>
        <w:spacing w:line="460" w:lineRule="exact"/>
        <w:ind w:firstLine="9" w:firstLineChars="4"/>
        <w:jc w:val="right"/>
        <w:rPr>
          <w:rFonts w:eastAsia="方正仿宋_GBK"/>
          <w:color w:val="000000"/>
          <w:spacing w:val="-2"/>
          <w:sz w:val="24"/>
        </w:rPr>
      </w:pPr>
      <w:r>
        <w:rPr>
          <w:rFonts w:hint="eastAsia" w:eastAsia="方正仿宋_GBK"/>
          <w:color w:val="000000"/>
          <w:spacing w:val="-2"/>
          <w:sz w:val="24"/>
        </w:rPr>
        <w:t>江苏省住房和城乡建设厅</w:t>
      </w:r>
      <w:r>
        <w:rPr>
          <w:rFonts w:eastAsia="方正仿宋_GBK"/>
          <w:color w:val="000000"/>
          <w:spacing w:val="-2"/>
          <w:sz w:val="24"/>
        </w:rPr>
        <w:t xml:space="preserve">    </w:t>
      </w:r>
    </w:p>
    <w:p>
      <w:pPr>
        <w:wordWrap w:val="0"/>
        <w:spacing w:line="460" w:lineRule="exact"/>
        <w:ind w:firstLine="19" w:firstLineChars="4"/>
        <w:jc w:val="right"/>
        <w:rPr>
          <w:rFonts w:eastAsia="方正仿宋_GBK"/>
          <w:color w:val="000000"/>
          <w:spacing w:val="-2"/>
          <w:sz w:val="24"/>
        </w:rPr>
      </w:pPr>
      <w:r>
        <w:rPr>
          <w:rFonts w:hint="eastAsia" w:eastAsia="方正仿宋_GBK"/>
          <w:color w:val="000000"/>
          <w:spacing w:val="120"/>
          <w:kern w:val="0"/>
          <w:sz w:val="24"/>
        </w:rPr>
        <w:t>江苏省财政</w:t>
      </w:r>
      <w:r>
        <w:rPr>
          <w:rFonts w:hint="eastAsia" w:eastAsia="方正仿宋_GBK"/>
          <w:color w:val="000000"/>
          <w:kern w:val="0"/>
          <w:sz w:val="24"/>
        </w:rPr>
        <w:t>厅</w:t>
      </w:r>
      <w:r>
        <w:rPr>
          <w:rFonts w:eastAsia="方正仿宋_GBK"/>
          <w:color w:val="000000"/>
          <w:kern w:val="0"/>
          <w:sz w:val="24"/>
        </w:rPr>
        <w:t xml:space="preserve">    </w:t>
      </w:r>
    </w:p>
    <w:p>
      <w:pPr>
        <w:wordWrap w:val="0"/>
        <w:spacing w:line="460" w:lineRule="exact"/>
        <w:ind w:right="320" w:firstLine="4361" w:firstLineChars="1848"/>
        <w:jc w:val="right"/>
        <w:rPr>
          <w:rFonts w:eastAsia="方正仿宋_GBK"/>
          <w:color w:val="000000"/>
          <w:spacing w:val="-2"/>
          <w:sz w:val="24"/>
        </w:rPr>
      </w:pPr>
      <w:r>
        <w:rPr>
          <w:rFonts w:eastAsia="方正仿宋_GBK"/>
          <w:color w:val="000000"/>
          <w:spacing w:val="-2"/>
          <w:sz w:val="24"/>
        </w:rPr>
        <w:t>2014</w:t>
      </w:r>
      <w:r>
        <w:rPr>
          <w:rFonts w:hint="eastAsia" w:eastAsia="方正仿宋_GBK"/>
          <w:color w:val="000000"/>
          <w:spacing w:val="-2"/>
          <w:sz w:val="24"/>
        </w:rPr>
        <w:t>年</w:t>
      </w:r>
      <w:r>
        <w:rPr>
          <w:rFonts w:eastAsia="方正仿宋_GBK"/>
          <w:color w:val="000000"/>
          <w:spacing w:val="-2"/>
          <w:sz w:val="24"/>
        </w:rPr>
        <w:t>5</w:t>
      </w:r>
      <w:r>
        <w:rPr>
          <w:rFonts w:hint="eastAsia" w:eastAsia="方正仿宋_GBK"/>
          <w:color w:val="000000"/>
          <w:spacing w:val="-2"/>
          <w:sz w:val="24"/>
        </w:rPr>
        <w:t>月</w:t>
      </w:r>
      <w:r>
        <w:rPr>
          <w:rFonts w:eastAsia="方正仿宋_GBK"/>
          <w:color w:val="000000"/>
          <w:spacing w:val="-2"/>
          <w:sz w:val="24"/>
        </w:rPr>
        <w:t>7</w:t>
      </w:r>
      <w:r>
        <w:rPr>
          <w:rFonts w:hint="eastAsia" w:eastAsia="方正仿宋_GBK"/>
          <w:color w:val="000000"/>
          <w:spacing w:val="-2"/>
          <w:sz w:val="24"/>
        </w:rPr>
        <w:t>日</w:t>
      </w:r>
      <w:r>
        <w:rPr>
          <w:rFonts w:eastAsia="方正仿宋_GBK"/>
          <w:color w:val="000000"/>
          <w:spacing w:val="-2"/>
          <w:sz w:val="24"/>
        </w:rPr>
        <w:t xml:space="preserve">     </w:t>
      </w:r>
    </w:p>
    <w:p>
      <w:pPr>
        <w:adjustRightInd w:val="0"/>
        <w:snapToGrid w:val="0"/>
        <w:spacing w:line="460" w:lineRule="exact"/>
        <w:rPr>
          <w:rFonts w:eastAsia="方正仿宋_GBK"/>
          <w:bCs/>
          <w:color w:val="000000"/>
          <w:spacing w:val="-2"/>
          <w:kern w:val="0"/>
          <w:sz w:val="24"/>
        </w:rPr>
      </w:pPr>
    </w:p>
    <w:p>
      <w:pPr>
        <w:adjustRightInd w:val="0"/>
        <w:snapToGrid w:val="0"/>
        <w:spacing w:line="460" w:lineRule="exact"/>
        <w:rPr>
          <w:rFonts w:eastAsia="方正仿宋_GBK"/>
          <w:bCs/>
          <w:color w:val="000000"/>
          <w:spacing w:val="-2"/>
          <w:kern w:val="0"/>
          <w:sz w:val="24"/>
        </w:rPr>
      </w:pPr>
    </w:p>
    <w:p>
      <w:pPr>
        <w:adjustRightInd w:val="0"/>
        <w:snapToGrid w:val="0"/>
        <w:spacing w:line="460" w:lineRule="exact"/>
        <w:jc w:val="center"/>
        <w:rPr>
          <w:rFonts w:ascii="Times New Roman" w:eastAsia="方正黑体_GBK"/>
          <w:bCs/>
          <w:color w:val="000000"/>
          <w:spacing w:val="-2"/>
          <w:kern w:val="0"/>
          <w:sz w:val="36"/>
          <w:szCs w:val="36"/>
        </w:rPr>
      </w:pPr>
      <w:r>
        <w:rPr>
          <w:rFonts w:hint="eastAsia" w:ascii="Times New Roman" w:eastAsia="方正黑体_GBK"/>
          <w:bCs/>
          <w:color w:val="000000"/>
          <w:spacing w:val="-2"/>
          <w:kern w:val="0"/>
          <w:sz w:val="36"/>
          <w:szCs w:val="36"/>
        </w:rPr>
        <w:t>江苏省住宅专项维修资金管理办法</w:t>
      </w:r>
    </w:p>
    <w:p>
      <w:pPr>
        <w:adjustRightInd w:val="0"/>
        <w:snapToGrid w:val="0"/>
        <w:spacing w:line="460" w:lineRule="exact"/>
        <w:rPr>
          <w:rFonts w:hint="eastAsia" w:eastAsia="方正仿宋_GBK"/>
          <w:color w:val="000000"/>
          <w:spacing w:val="-2"/>
          <w:sz w:val="24"/>
        </w:rPr>
      </w:pPr>
    </w:p>
    <w:p>
      <w:pPr>
        <w:adjustRightInd w:val="0"/>
        <w:snapToGrid w:val="0"/>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第一条</w:t>
      </w:r>
      <w:r>
        <w:rPr>
          <w:rFonts w:eastAsia="方正仿宋_GBK"/>
          <w:color w:val="000000"/>
          <w:spacing w:val="-2"/>
          <w:sz w:val="24"/>
        </w:rPr>
        <w:t xml:space="preserve">  </w:t>
      </w:r>
      <w:r>
        <w:rPr>
          <w:rFonts w:hint="eastAsia" w:eastAsia="方正仿宋_GBK"/>
          <w:color w:val="000000"/>
          <w:spacing w:val="-2"/>
          <w:sz w:val="24"/>
        </w:rPr>
        <w:t>为加强住宅专项维修资金管理，促进其保值增值保障住宅共用部位、共用设施设备的维修和正常使用，维护业主合法利益，根据相关法律、行政法规和《江苏省物业管理条例》相关规定，制定本办法。</w:t>
      </w:r>
    </w:p>
    <w:p>
      <w:pPr>
        <w:adjustRightInd w:val="0"/>
        <w:snapToGrid w:val="0"/>
        <w:spacing w:line="460" w:lineRule="exact"/>
        <w:ind w:firstLine="472" w:firstLineChars="200"/>
        <w:rPr>
          <w:rFonts w:eastAsia="方正仿宋_GBK"/>
          <w:color w:val="000000"/>
          <w:spacing w:val="-2"/>
          <w:kern w:val="0"/>
          <w:sz w:val="24"/>
        </w:rPr>
      </w:pPr>
      <w:r>
        <w:rPr>
          <w:rFonts w:hint="eastAsia" w:ascii="Times New Roman" w:eastAsia="方正黑体_GBK"/>
          <w:color w:val="000000"/>
          <w:spacing w:val="-2"/>
          <w:sz w:val="24"/>
        </w:rPr>
        <w:t>第二条</w:t>
      </w:r>
      <w:r>
        <w:rPr>
          <w:rFonts w:eastAsia="方正仿宋_GBK"/>
          <w:color w:val="000000"/>
          <w:spacing w:val="-2"/>
          <w:sz w:val="24"/>
        </w:rPr>
        <w:t xml:space="preserve">  </w:t>
      </w:r>
      <w:r>
        <w:rPr>
          <w:rFonts w:hint="eastAsia" w:eastAsia="方正仿宋_GBK"/>
          <w:color w:val="000000"/>
          <w:spacing w:val="-2"/>
          <w:sz w:val="24"/>
        </w:rPr>
        <w:t>市、县物业管理行政主管部门会同同级财政行政主管部门</w:t>
      </w:r>
      <w:r>
        <w:rPr>
          <w:rFonts w:hint="eastAsia" w:eastAsia="方正仿宋_GBK"/>
          <w:color w:val="000000"/>
          <w:spacing w:val="-2"/>
          <w:kern w:val="0"/>
          <w:sz w:val="24"/>
        </w:rPr>
        <w:t>负责</w:t>
      </w:r>
      <w:r>
        <w:rPr>
          <w:rFonts w:hint="eastAsia" w:eastAsia="方正仿宋_GBK"/>
          <w:color w:val="000000"/>
          <w:spacing w:val="-2"/>
          <w:sz w:val="24"/>
        </w:rPr>
        <w:t>住宅专项</w:t>
      </w:r>
      <w:r>
        <w:rPr>
          <w:rFonts w:hint="eastAsia" w:eastAsia="方正仿宋_GBK"/>
          <w:color w:val="000000"/>
          <w:spacing w:val="-2"/>
          <w:kern w:val="0"/>
          <w:sz w:val="24"/>
        </w:rPr>
        <w:t>维修资金（以下简称维修资金）管理工作的指导和监督。</w:t>
      </w:r>
    </w:p>
    <w:p>
      <w:pPr>
        <w:adjustRightInd w:val="0"/>
        <w:snapToGrid w:val="0"/>
        <w:spacing w:line="460" w:lineRule="exact"/>
        <w:ind w:firstLine="472" w:firstLineChars="200"/>
        <w:rPr>
          <w:rFonts w:eastAsia="方正仿宋_GBK"/>
          <w:color w:val="000000"/>
          <w:spacing w:val="-2"/>
          <w:sz w:val="24"/>
        </w:rPr>
      </w:pPr>
      <w:r>
        <w:rPr>
          <w:rFonts w:hint="eastAsia" w:eastAsia="方正仿宋_GBK"/>
          <w:color w:val="000000"/>
          <w:spacing w:val="-2"/>
          <w:sz w:val="24"/>
        </w:rPr>
        <w:t>区物业管理行政主管部门、街道办事处（乡镇人民政府）按照规定的职责分工，负责维修资金管理相关指导、协调、监督工作。</w:t>
      </w:r>
    </w:p>
    <w:p>
      <w:pPr>
        <w:adjustRightInd w:val="0"/>
        <w:snapToGrid w:val="0"/>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第三条</w:t>
      </w:r>
      <w:r>
        <w:rPr>
          <w:rFonts w:eastAsia="方正仿宋_GBK"/>
          <w:color w:val="000000"/>
          <w:spacing w:val="-2"/>
          <w:sz w:val="24"/>
        </w:rPr>
        <w:t xml:space="preserve">  </w:t>
      </w:r>
      <w:r>
        <w:rPr>
          <w:rFonts w:hint="eastAsia" w:eastAsia="方正仿宋_GBK"/>
          <w:color w:val="000000"/>
          <w:spacing w:val="-2"/>
          <w:sz w:val="24"/>
        </w:rPr>
        <w:t>业主大会（包括业主代表大会、物业管理委员会）成立前，维修资金由物业所在市、县（市）物业管理行政主管部门代</w:t>
      </w:r>
      <w:r>
        <w:rPr>
          <w:rFonts w:hint="eastAsia" w:eastAsia="方正仿宋_GBK"/>
          <w:color w:val="000000"/>
          <w:spacing w:val="-2"/>
          <w:kern w:val="0"/>
          <w:sz w:val="24"/>
        </w:rPr>
        <w:t>管（以下简称代管部门）</w:t>
      </w:r>
      <w:r>
        <w:rPr>
          <w:rFonts w:hint="eastAsia" w:eastAsia="方正仿宋_GBK"/>
          <w:color w:val="000000"/>
          <w:spacing w:val="-2"/>
          <w:sz w:val="24"/>
        </w:rPr>
        <w:t>。</w:t>
      </w:r>
    </w:p>
    <w:p>
      <w:pPr>
        <w:adjustRightInd w:val="0"/>
        <w:snapToGrid w:val="0"/>
        <w:spacing w:line="460" w:lineRule="exact"/>
        <w:ind w:firstLine="472" w:firstLineChars="200"/>
        <w:rPr>
          <w:rFonts w:eastAsia="方正仿宋_GBK"/>
          <w:color w:val="000000"/>
          <w:spacing w:val="-2"/>
          <w:sz w:val="24"/>
        </w:rPr>
      </w:pPr>
      <w:r>
        <w:rPr>
          <w:rFonts w:hint="eastAsia" w:eastAsia="方正仿宋_GBK"/>
          <w:color w:val="000000"/>
          <w:spacing w:val="-2"/>
          <w:sz w:val="24"/>
        </w:rPr>
        <w:t>代管部门应依法依规履行好维修资金代管职责。</w:t>
      </w:r>
    </w:p>
    <w:p>
      <w:pPr>
        <w:pStyle w:val="10"/>
        <w:widowControl w:val="0"/>
        <w:adjustRightInd w:val="0"/>
        <w:snapToGrid w:val="0"/>
        <w:spacing w:before="0" w:beforeAutospacing="0" w:after="0" w:afterAutospacing="0" w:line="460" w:lineRule="exact"/>
        <w:ind w:firstLine="472" w:firstLineChars="200"/>
        <w:jc w:val="both"/>
        <w:rPr>
          <w:rFonts w:ascii="Times New Roman" w:hAnsi="Times New Roman" w:eastAsia="方正仿宋_GBK"/>
          <w:color w:val="000000"/>
          <w:spacing w:val="-2"/>
        </w:rPr>
      </w:pPr>
      <w:r>
        <w:rPr>
          <w:rFonts w:hint="eastAsia" w:ascii="Times New Roman" w:hAnsi="Times New Roman" w:eastAsia="方正黑体_GBK"/>
          <w:color w:val="000000"/>
          <w:spacing w:val="-2"/>
          <w:kern w:val="2"/>
        </w:rPr>
        <w:t>第四条</w:t>
      </w:r>
      <w:r>
        <w:rPr>
          <w:rFonts w:ascii="Times New Roman" w:hAnsi="Times New Roman" w:eastAsia="方正仿宋_GBK"/>
          <w:b/>
          <w:color w:val="000000"/>
          <w:spacing w:val="-2"/>
        </w:rPr>
        <w:t xml:space="preserve">  </w:t>
      </w:r>
      <w:r>
        <w:rPr>
          <w:rFonts w:hint="eastAsia" w:ascii="Times New Roman" w:hAnsi="Times New Roman" w:eastAsia="方正仿宋_GBK"/>
          <w:color w:val="000000"/>
          <w:spacing w:val="-2"/>
        </w:rPr>
        <w:t>代管部门应当通过竞争的方式，择优选择所在地政府认可的商业银行作为开立维修资金的专户管理银行。</w:t>
      </w:r>
    </w:p>
    <w:p>
      <w:pPr>
        <w:pStyle w:val="10"/>
        <w:widowControl w:val="0"/>
        <w:adjustRightInd w:val="0"/>
        <w:snapToGrid w:val="0"/>
        <w:spacing w:before="0" w:beforeAutospacing="0" w:after="0" w:afterAutospacing="0" w:line="460" w:lineRule="exact"/>
        <w:ind w:firstLine="472" w:firstLineChars="200"/>
        <w:jc w:val="both"/>
        <w:rPr>
          <w:rFonts w:ascii="Times New Roman" w:hAnsi="Times New Roman" w:eastAsia="方正仿宋_GBK"/>
          <w:color w:val="000000"/>
          <w:spacing w:val="-2"/>
        </w:rPr>
      </w:pPr>
      <w:r>
        <w:rPr>
          <w:rFonts w:hint="eastAsia" w:ascii="Times New Roman" w:hAnsi="Times New Roman" w:eastAsia="方正仿宋_GBK"/>
          <w:color w:val="000000"/>
          <w:spacing w:val="-2"/>
        </w:rPr>
        <w:t>维修资金管理实行专户存储、分账核算，一个物业管理区域应分别设立总账、业主分户账、专项分账和统筹分账。</w:t>
      </w:r>
    </w:p>
    <w:p>
      <w:pPr>
        <w:adjustRightInd w:val="0"/>
        <w:snapToGrid w:val="0"/>
        <w:spacing w:line="460" w:lineRule="exact"/>
        <w:ind w:firstLine="472" w:firstLineChars="200"/>
        <w:rPr>
          <w:rFonts w:eastAsia="方正仿宋_GBK"/>
          <w:color w:val="000000"/>
          <w:spacing w:val="-2"/>
          <w:kern w:val="0"/>
          <w:sz w:val="24"/>
        </w:rPr>
      </w:pPr>
      <w:r>
        <w:rPr>
          <w:rFonts w:hint="eastAsia" w:ascii="Times New Roman" w:eastAsia="方正黑体_GBK"/>
          <w:color w:val="000000"/>
          <w:spacing w:val="-2"/>
          <w:sz w:val="24"/>
        </w:rPr>
        <w:t>第五条</w:t>
      </w:r>
      <w:r>
        <w:rPr>
          <w:rFonts w:eastAsia="方正仿宋_GBK"/>
          <w:color w:val="000000"/>
          <w:spacing w:val="-2"/>
          <w:sz w:val="24"/>
        </w:rPr>
        <w:t xml:space="preserve">  </w:t>
      </w:r>
      <w:r>
        <w:rPr>
          <w:rFonts w:hint="eastAsia" w:eastAsia="方正仿宋_GBK"/>
          <w:color w:val="000000"/>
          <w:spacing w:val="-2"/>
          <w:sz w:val="24"/>
        </w:rPr>
        <w:t>业主大会成立后</w:t>
      </w:r>
      <w:r>
        <w:rPr>
          <w:rFonts w:hint="eastAsia" w:eastAsia="方正仿宋_GBK"/>
          <w:color w:val="000000"/>
          <w:spacing w:val="-2"/>
          <w:kern w:val="0"/>
          <w:sz w:val="24"/>
        </w:rPr>
        <w:t>决定自行管理维修资金的，应当就下列事项进行表决：</w:t>
      </w:r>
    </w:p>
    <w:p>
      <w:pPr>
        <w:adjustRightInd w:val="0"/>
        <w:snapToGrid w:val="0"/>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（一）维修资金自行管理的决议；</w:t>
      </w:r>
    </w:p>
    <w:p>
      <w:pPr>
        <w:adjustRightInd w:val="0"/>
        <w:snapToGrid w:val="0"/>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（二）维修资金管理制度；</w:t>
      </w:r>
    </w:p>
    <w:p>
      <w:pPr>
        <w:adjustRightInd w:val="0"/>
        <w:snapToGrid w:val="0"/>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（三）账目管理单位和维修资金账目责任人的决议；</w:t>
      </w:r>
    </w:p>
    <w:p>
      <w:pPr>
        <w:adjustRightInd w:val="0"/>
        <w:snapToGrid w:val="0"/>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（四）</w:t>
      </w:r>
      <w:r>
        <w:rPr>
          <w:rFonts w:hint="eastAsia" w:eastAsia="方正仿宋_GBK"/>
          <w:color w:val="000000"/>
          <w:spacing w:val="-2"/>
          <w:sz w:val="24"/>
        </w:rPr>
        <w:t>维修资金保值增值及续交方案；</w:t>
      </w:r>
    </w:p>
    <w:p>
      <w:pPr>
        <w:adjustRightInd w:val="0"/>
        <w:snapToGrid w:val="0"/>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（五）其他与维修资金有关的决议事项。</w:t>
      </w:r>
    </w:p>
    <w:p>
      <w:pPr>
        <w:adjustRightInd w:val="0"/>
        <w:snapToGrid w:val="0"/>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以上事项应当经物业管理区域内专有部分占建筑物总面积</w:t>
      </w:r>
      <w:r>
        <w:rPr>
          <w:rFonts w:eastAsia="方正仿宋_GBK"/>
          <w:color w:val="000000"/>
          <w:spacing w:val="-2"/>
          <w:kern w:val="0"/>
          <w:sz w:val="24"/>
        </w:rPr>
        <w:t>2/3</w:t>
      </w:r>
      <w:r>
        <w:rPr>
          <w:rFonts w:hint="eastAsia" w:eastAsia="方正仿宋_GBK"/>
          <w:color w:val="000000"/>
          <w:spacing w:val="-2"/>
          <w:kern w:val="0"/>
          <w:sz w:val="24"/>
        </w:rPr>
        <w:t>以上的业主且占总人数</w:t>
      </w:r>
      <w:r>
        <w:rPr>
          <w:rFonts w:eastAsia="方正仿宋_GBK"/>
          <w:color w:val="000000"/>
          <w:spacing w:val="-2"/>
          <w:kern w:val="0"/>
          <w:sz w:val="24"/>
        </w:rPr>
        <w:t>2/3</w:t>
      </w:r>
      <w:r>
        <w:rPr>
          <w:rFonts w:hint="eastAsia" w:eastAsia="方正仿宋_GBK"/>
          <w:color w:val="000000"/>
          <w:spacing w:val="-2"/>
          <w:kern w:val="0"/>
          <w:sz w:val="24"/>
        </w:rPr>
        <w:t>以上的业主表决同意并签署书面意见。业主大会决议的事项及业主大会会议召开的情况在本物业管理区域内进行公示，公示期不得少于</w:t>
      </w:r>
      <w:r>
        <w:rPr>
          <w:rFonts w:eastAsia="方正仿宋_GBK"/>
          <w:color w:val="000000"/>
          <w:spacing w:val="-2"/>
          <w:kern w:val="0"/>
          <w:sz w:val="24"/>
        </w:rPr>
        <w:t>15</w:t>
      </w:r>
      <w:r>
        <w:rPr>
          <w:rFonts w:hint="eastAsia" w:eastAsia="方正仿宋_GBK"/>
          <w:color w:val="000000"/>
          <w:spacing w:val="-2"/>
          <w:kern w:val="0"/>
          <w:sz w:val="24"/>
        </w:rPr>
        <w:t>日。</w:t>
      </w:r>
    </w:p>
    <w:p>
      <w:pPr>
        <w:adjustRightInd w:val="0"/>
        <w:snapToGrid w:val="0"/>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代管部门</w:t>
      </w:r>
      <w:r>
        <w:rPr>
          <w:rFonts w:hint="eastAsia" w:eastAsia="方正仿宋_GBK"/>
          <w:color w:val="000000"/>
          <w:spacing w:val="-2"/>
          <w:sz w:val="24"/>
        </w:rPr>
        <w:t>、区物业管理行政主管部门、</w:t>
      </w:r>
      <w:r>
        <w:rPr>
          <w:rFonts w:hint="eastAsia" w:eastAsia="方正仿宋_GBK"/>
          <w:color w:val="000000"/>
          <w:spacing w:val="-2"/>
          <w:kern w:val="0"/>
          <w:sz w:val="24"/>
        </w:rPr>
        <w:t>街道办事处（乡镇人民政府）应当对业主大会决议进行指导与监督。</w:t>
      </w:r>
    </w:p>
    <w:p>
      <w:pPr>
        <w:pStyle w:val="10"/>
        <w:widowControl w:val="0"/>
        <w:adjustRightInd w:val="0"/>
        <w:snapToGrid w:val="0"/>
        <w:spacing w:before="0" w:beforeAutospacing="0" w:after="0" w:afterAutospacing="0" w:line="460" w:lineRule="exact"/>
        <w:ind w:firstLine="472" w:firstLineChars="200"/>
        <w:jc w:val="both"/>
        <w:rPr>
          <w:rFonts w:ascii="Times New Roman" w:hAnsi="Times New Roman" w:eastAsia="方正仿宋_GBK"/>
          <w:color w:val="000000"/>
          <w:spacing w:val="-2"/>
        </w:rPr>
      </w:pPr>
      <w:r>
        <w:rPr>
          <w:rFonts w:hint="eastAsia" w:ascii="Times New Roman" w:hAnsi="Times New Roman" w:eastAsia="方正黑体_GBK"/>
          <w:color w:val="000000"/>
          <w:spacing w:val="-2"/>
          <w:kern w:val="2"/>
        </w:rPr>
        <w:t>第六条</w:t>
      </w:r>
      <w:r>
        <w:rPr>
          <w:rFonts w:ascii="Times New Roman" w:hAnsi="Times New Roman" w:eastAsia="方正仿宋_GBK"/>
          <w:color w:val="000000"/>
          <w:spacing w:val="-2"/>
        </w:rPr>
        <w:t xml:space="preserve">  </w:t>
      </w:r>
      <w:r>
        <w:rPr>
          <w:rFonts w:hint="eastAsia" w:ascii="Times New Roman" w:hAnsi="Times New Roman" w:eastAsia="方正仿宋_GBK"/>
          <w:color w:val="000000"/>
          <w:spacing w:val="-2"/>
        </w:rPr>
        <w:t>业主大会决定自行管理维修资金，应以业主大会实名按本办法第四条之规定开立账户，并同步纳入代管部门的维修资金管理系统，接受监管。</w:t>
      </w:r>
    </w:p>
    <w:p>
      <w:pPr>
        <w:adjustRightInd w:val="0"/>
        <w:snapToGrid w:val="0"/>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第七条</w:t>
      </w:r>
      <w:r>
        <w:rPr>
          <w:rFonts w:eastAsia="方正仿宋_GBK"/>
          <w:color w:val="000000"/>
          <w:spacing w:val="-2"/>
          <w:sz w:val="24"/>
        </w:rPr>
        <w:t xml:space="preserve">  </w:t>
      </w:r>
      <w:r>
        <w:rPr>
          <w:rFonts w:hint="eastAsia" w:eastAsia="方正仿宋_GBK"/>
          <w:color w:val="000000"/>
          <w:spacing w:val="-2"/>
          <w:kern w:val="0"/>
          <w:sz w:val="24"/>
        </w:rPr>
        <w:t>住宅物业和住宅小区内的非住宅物业的业主，应当在办理房屋入住手续或者房屋所有权登记时，将首期维修资金存入维修资金业主分户账。</w:t>
      </w:r>
    </w:p>
    <w:p>
      <w:pPr>
        <w:adjustRightInd w:val="0"/>
        <w:snapToGrid w:val="0"/>
        <w:spacing w:line="460" w:lineRule="exact"/>
        <w:ind w:firstLine="472" w:firstLineChars="200"/>
        <w:rPr>
          <w:rFonts w:eastAsia="方正仿宋_GBK"/>
          <w:color w:val="000000"/>
          <w:spacing w:val="-2"/>
          <w:sz w:val="24"/>
        </w:rPr>
      </w:pPr>
      <w:r>
        <w:rPr>
          <w:rFonts w:hint="eastAsia" w:eastAsia="方正仿宋_GBK"/>
          <w:color w:val="000000"/>
          <w:spacing w:val="-2"/>
          <w:sz w:val="24"/>
        </w:rPr>
        <w:t>维修资金首期交存可以由建设单位代收代交，也可以约定由业主自行交存。</w:t>
      </w:r>
    </w:p>
    <w:p>
      <w:pPr>
        <w:spacing w:line="460" w:lineRule="exact"/>
        <w:ind w:firstLine="472" w:firstLineChars="200"/>
        <w:rPr>
          <w:rFonts w:eastAsia="方正仿宋_GBK"/>
          <w:color w:val="000000"/>
          <w:spacing w:val="-2"/>
          <w:kern w:val="0"/>
          <w:sz w:val="24"/>
        </w:rPr>
      </w:pPr>
      <w:r>
        <w:rPr>
          <w:rFonts w:hint="eastAsia" w:ascii="Times New Roman" w:eastAsia="方正黑体_GBK"/>
          <w:color w:val="000000"/>
          <w:spacing w:val="-2"/>
          <w:sz w:val="24"/>
        </w:rPr>
        <w:t>第八条</w:t>
      </w:r>
      <w:r>
        <w:rPr>
          <w:rFonts w:eastAsia="方正仿宋_GBK"/>
          <w:color w:val="000000"/>
          <w:spacing w:val="-2"/>
          <w:sz w:val="24"/>
        </w:rPr>
        <w:t xml:space="preserve">  </w:t>
      </w:r>
      <w:r>
        <w:rPr>
          <w:rFonts w:hint="eastAsia" w:eastAsia="方正仿宋_GBK"/>
          <w:color w:val="000000"/>
          <w:spacing w:val="-2"/>
          <w:sz w:val="24"/>
        </w:rPr>
        <w:t>物业所在地建立商品住宅维修资金制度后，业主未交存的，按所在地同期同类商品住宅首次交存标准交存。</w:t>
      </w:r>
      <w:r>
        <w:rPr>
          <w:rFonts w:hint="eastAsia" w:eastAsia="方正仿宋_GBK"/>
          <w:color w:val="000000"/>
          <w:spacing w:val="-2"/>
          <w:kern w:val="0"/>
          <w:sz w:val="24"/>
        </w:rPr>
        <w:t>维修资金</w:t>
      </w:r>
      <w:r>
        <w:rPr>
          <w:rFonts w:hint="eastAsia" w:eastAsia="方正仿宋_GBK"/>
          <w:color w:val="000000"/>
          <w:spacing w:val="-2"/>
          <w:sz w:val="24"/>
        </w:rPr>
        <w:t>业主分</w:t>
      </w:r>
      <w:r>
        <w:rPr>
          <w:rFonts w:hint="eastAsia" w:eastAsia="方正仿宋_GBK"/>
          <w:color w:val="000000"/>
          <w:spacing w:val="-2"/>
          <w:kern w:val="0"/>
          <w:sz w:val="24"/>
        </w:rPr>
        <w:t>户账余额不足首期交存金额</w:t>
      </w:r>
      <w:r>
        <w:rPr>
          <w:rFonts w:eastAsia="方正仿宋_GBK"/>
          <w:color w:val="000000"/>
          <w:spacing w:val="-2"/>
          <w:kern w:val="0"/>
          <w:sz w:val="24"/>
        </w:rPr>
        <w:t>30</w:t>
      </w:r>
      <w:r>
        <w:rPr>
          <w:rFonts w:hint="eastAsia" w:eastAsia="方正仿宋_GBK"/>
          <w:color w:val="000000"/>
          <w:spacing w:val="-2"/>
          <w:kern w:val="0"/>
          <w:sz w:val="24"/>
        </w:rPr>
        <w:t>％的，应当及时续交。</w:t>
      </w:r>
    </w:p>
    <w:p>
      <w:pPr>
        <w:adjustRightInd w:val="0"/>
        <w:snapToGrid w:val="0"/>
        <w:spacing w:line="460" w:lineRule="exact"/>
        <w:ind w:firstLine="472" w:firstLineChars="200"/>
        <w:rPr>
          <w:rFonts w:eastAsia="方正仿宋_GBK"/>
          <w:color w:val="000000"/>
          <w:spacing w:val="-2"/>
          <w:sz w:val="24"/>
        </w:rPr>
      </w:pPr>
      <w:r>
        <w:rPr>
          <w:rFonts w:hint="eastAsia" w:eastAsia="方正仿宋_GBK"/>
          <w:color w:val="000000"/>
          <w:spacing w:val="-2"/>
          <w:sz w:val="24"/>
        </w:rPr>
        <w:t>代管部门应对建设单位</w:t>
      </w:r>
      <w:r>
        <w:rPr>
          <w:rFonts w:hint="eastAsia" w:eastAsia="方正仿宋_GBK"/>
          <w:color w:val="000000"/>
          <w:spacing w:val="-2"/>
          <w:kern w:val="0"/>
          <w:sz w:val="24"/>
        </w:rPr>
        <w:t>或物业服务企业</w:t>
      </w:r>
      <w:r>
        <w:rPr>
          <w:rFonts w:hint="eastAsia" w:eastAsia="方正仿宋_GBK"/>
          <w:color w:val="000000"/>
          <w:spacing w:val="-2"/>
          <w:sz w:val="24"/>
        </w:rPr>
        <w:t>代收代交未入账的维修资金进行清理与追缴，并建立明细账。</w:t>
      </w:r>
    </w:p>
    <w:p>
      <w:pPr>
        <w:adjustRightInd w:val="0"/>
        <w:snapToGrid w:val="0"/>
        <w:spacing w:line="460" w:lineRule="exact"/>
        <w:ind w:firstLine="472" w:firstLineChars="200"/>
        <w:rPr>
          <w:rFonts w:eastAsia="方正仿宋_GBK"/>
          <w:color w:val="000000"/>
          <w:spacing w:val="-2"/>
          <w:sz w:val="24"/>
        </w:rPr>
      </w:pPr>
      <w:r>
        <w:rPr>
          <w:rFonts w:hint="eastAsia" w:eastAsia="方正仿宋_GBK"/>
          <w:color w:val="000000"/>
          <w:spacing w:val="-2"/>
          <w:sz w:val="24"/>
        </w:rPr>
        <w:t>具体清理、追缴、补建及续筹办法由各市、县制定。</w:t>
      </w:r>
    </w:p>
    <w:p>
      <w:pPr>
        <w:adjustRightInd w:val="0"/>
        <w:snapToGrid w:val="0"/>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第九条</w:t>
      </w:r>
      <w:r>
        <w:rPr>
          <w:rFonts w:eastAsia="方正仿宋_GBK"/>
          <w:b/>
          <w:color w:val="000000"/>
          <w:spacing w:val="-2"/>
          <w:sz w:val="24"/>
        </w:rPr>
        <w:t xml:space="preserve">  </w:t>
      </w:r>
      <w:r>
        <w:rPr>
          <w:rFonts w:hint="eastAsia" w:eastAsia="方正仿宋_GBK"/>
          <w:color w:val="000000"/>
          <w:spacing w:val="-2"/>
          <w:sz w:val="24"/>
        </w:rPr>
        <w:t>《江苏省物业管理条例》施行后受让土地所建住宅物业需配置电梯的，建设单位应当在交付使用前按照建筑安装总费用</w:t>
      </w:r>
      <w:r>
        <w:rPr>
          <w:rFonts w:eastAsia="方正仿宋_GBK"/>
          <w:color w:val="000000"/>
          <w:spacing w:val="-2"/>
          <w:sz w:val="24"/>
        </w:rPr>
        <w:t>1%</w:t>
      </w:r>
      <w:r>
        <w:rPr>
          <w:rFonts w:hint="eastAsia" w:eastAsia="方正仿宋_GBK"/>
          <w:color w:val="000000"/>
          <w:spacing w:val="-2"/>
          <w:sz w:val="24"/>
        </w:rPr>
        <w:t>的比例标准交存电梯、消防等设施设备更新改造专项维修资金，或按物业所在城市同期同类业主拥有商品住宅建筑安装工程每平方米造价测算交存，设立维修资金专项分账，核算到栋，专项用于电梯、消防等设施设备保修期满后的更新和改造。</w:t>
      </w:r>
    </w:p>
    <w:p>
      <w:pPr>
        <w:adjustRightInd w:val="0"/>
        <w:snapToGrid w:val="0"/>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第十条</w:t>
      </w:r>
      <w:r>
        <w:rPr>
          <w:rFonts w:eastAsia="方正仿宋_GBK"/>
          <w:color w:val="000000"/>
          <w:spacing w:val="-2"/>
          <w:sz w:val="24"/>
        </w:rPr>
        <w:t xml:space="preserve">  </w:t>
      </w:r>
      <w:r>
        <w:rPr>
          <w:rFonts w:hint="eastAsia" w:eastAsia="方正仿宋_GBK"/>
          <w:color w:val="000000"/>
          <w:spacing w:val="-2"/>
          <w:sz w:val="24"/>
        </w:rPr>
        <w:t>已售公有住房维修资金未纳入所在城市代管部门统一管理的，出售公有住房单位应建立住宅专项维修资金明细账，并承担维修资金的缴存、使用及保值增值等管理责任。已售公有住房单位拟将维修资金交由所在城市代管部门代管的，应对维修资金账目进行清理，未交的应负责追缴或补交。</w:t>
      </w:r>
    </w:p>
    <w:p>
      <w:pPr>
        <w:adjustRightInd w:val="0"/>
        <w:snapToGrid w:val="0"/>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第十一条</w:t>
      </w:r>
      <w:r>
        <w:rPr>
          <w:rFonts w:eastAsia="方正仿宋_GBK"/>
          <w:color w:val="000000"/>
          <w:spacing w:val="-2"/>
          <w:sz w:val="24"/>
        </w:rPr>
        <w:t xml:space="preserve">  </w:t>
      </w:r>
      <w:r>
        <w:rPr>
          <w:rFonts w:hint="eastAsia" w:eastAsia="方正仿宋_GBK"/>
          <w:color w:val="000000"/>
          <w:spacing w:val="-2"/>
          <w:sz w:val="24"/>
        </w:rPr>
        <w:t>物业管理区域可以设立维修资金统筹分账。统筹维修资金主要用于物业区域内房屋共用部位和共用设施设备无法正常使用以及受益人为全体业主或无法界定受益人时的维修。</w:t>
      </w:r>
    </w:p>
    <w:p>
      <w:pPr>
        <w:adjustRightInd w:val="0"/>
        <w:snapToGrid w:val="0"/>
        <w:spacing w:line="460" w:lineRule="exact"/>
        <w:ind w:firstLine="472" w:firstLineChars="200"/>
        <w:rPr>
          <w:rFonts w:eastAsia="方正仿宋_GBK"/>
          <w:color w:val="000000"/>
          <w:spacing w:val="-2"/>
          <w:sz w:val="24"/>
        </w:rPr>
      </w:pPr>
      <w:r>
        <w:rPr>
          <w:rFonts w:hint="eastAsia" w:eastAsia="方正仿宋_GBK"/>
          <w:color w:val="000000"/>
          <w:spacing w:val="-2"/>
          <w:sz w:val="24"/>
        </w:rPr>
        <w:t>物业管理区域内统筹维修资金由下列渠道筹集：</w:t>
      </w:r>
      <w:r>
        <w:rPr>
          <w:rFonts w:eastAsia="方正仿宋_GBK"/>
          <w:color w:val="000000"/>
          <w:spacing w:val="-2"/>
          <w:sz w:val="24"/>
        </w:rPr>
        <w:t xml:space="preserve"> </w:t>
      </w:r>
    </w:p>
    <w:p>
      <w:pPr>
        <w:adjustRightInd w:val="0"/>
        <w:snapToGrid w:val="0"/>
        <w:spacing w:line="460" w:lineRule="exact"/>
        <w:ind w:firstLine="660"/>
        <w:rPr>
          <w:rFonts w:eastAsia="方正仿宋_GBK"/>
          <w:color w:val="000000"/>
          <w:spacing w:val="-2"/>
          <w:sz w:val="24"/>
        </w:rPr>
      </w:pPr>
      <w:r>
        <w:rPr>
          <w:rFonts w:hint="eastAsia" w:eastAsia="方正仿宋_GBK"/>
          <w:color w:val="000000"/>
          <w:spacing w:val="-2"/>
          <w:sz w:val="24"/>
        </w:rPr>
        <w:t>（一）利用业主共用部位、共用或共有设施经营所得收益的</w:t>
      </w:r>
      <w:r>
        <w:rPr>
          <w:rFonts w:eastAsia="方正仿宋_GBK"/>
          <w:color w:val="000000"/>
          <w:spacing w:val="-2"/>
          <w:sz w:val="24"/>
        </w:rPr>
        <w:t>70%</w:t>
      </w:r>
      <w:r>
        <w:rPr>
          <w:rFonts w:hint="eastAsia" w:eastAsia="方正仿宋_GBK"/>
          <w:color w:val="000000"/>
          <w:spacing w:val="-2"/>
          <w:sz w:val="24"/>
        </w:rPr>
        <w:t>，但业主大会另有约定的，从其约定；</w:t>
      </w:r>
    </w:p>
    <w:p>
      <w:pPr>
        <w:pStyle w:val="17"/>
        <w:widowControl w:val="0"/>
        <w:adjustRightInd w:val="0"/>
        <w:snapToGrid w:val="0"/>
        <w:spacing w:before="0" w:after="0" w:line="460" w:lineRule="exact"/>
        <w:ind w:firstLine="472" w:firstLineChars="200"/>
        <w:jc w:val="both"/>
        <w:rPr>
          <w:rFonts w:ascii="Times New Roman" w:eastAsia="方正仿宋_GBK" w:cs="Times New Roman"/>
          <w:spacing w:val="-2"/>
        </w:rPr>
      </w:pPr>
      <w:r>
        <w:rPr>
          <w:rFonts w:hint="eastAsia" w:ascii="Times New Roman" w:eastAsia="方正仿宋_GBK" w:cs="Times New Roman"/>
          <w:spacing w:val="-2"/>
        </w:rPr>
        <w:t>（二）维修资金增值（孳息）部分支付业主房屋分户账滚存剩余</w:t>
      </w:r>
      <w:r>
        <w:rPr>
          <w:rFonts w:hint="eastAsia" w:ascii="Times New Roman" w:eastAsia="方正仿宋_GBK" w:cs="Times New Roman"/>
          <w:spacing w:val="-2"/>
          <w:shd w:val="clear" w:color="auto" w:fill="FFFFFF"/>
        </w:rPr>
        <w:t>的资金；</w:t>
      </w:r>
    </w:p>
    <w:p>
      <w:pPr>
        <w:adjustRightInd w:val="0"/>
        <w:snapToGrid w:val="0"/>
        <w:spacing w:line="460" w:lineRule="exact"/>
        <w:ind w:firstLine="660"/>
        <w:rPr>
          <w:rFonts w:eastAsia="方正仿宋_GBK"/>
          <w:color w:val="000000"/>
          <w:spacing w:val="-2"/>
          <w:sz w:val="24"/>
        </w:rPr>
      </w:pPr>
      <w:r>
        <w:rPr>
          <w:rFonts w:hint="eastAsia" w:eastAsia="方正仿宋_GBK"/>
          <w:color w:val="000000"/>
          <w:spacing w:val="-2"/>
          <w:sz w:val="24"/>
        </w:rPr>
        <w:t>（三）共用设施设备报废回收的残值；</w:t>
      </w:r>
    </w:p>
    <w:p>
      <w:pPr>
        <w:adjustRightInd w:val="0"/>
        <w:snapToGrid w:val="0"/>
        <w:spacing w:line="460" w:lineRule="exact"/>
        <w:ind w:firstLine="660"/>
        <w:rPr>
          <w:rFonts w:eastAsia="方正仿宋_GBK"/>
          <w:color w:val="000000"/>
          <w:spacing w:val="-2"/>
          <w:sz w:val="24"/>
        </w:rPr>
      </w:pPr>
      <w:r>
        <w:rPr>
          <w:rFonts w:hint="eastAsia" w:eastAsia="方正仿宋_GBK"/>
          <w:color w:val="000000"/>
          <w:spacing w:val="-2"/>
          <w:sz w:val="24"/>
          <w:shd w:val="clear" w:color="auto" w:fill="FFFFFF"/>
        </w:rPr>
        <w:t>（四）</w:t>
      </w:r>
      <w:r>
        <w:rPr>
          <w:rFonts w:hint="eastAsia" w:eastAsia="方正仿宋_GBK"/>
          <w:color w:val="000000"/>
          <w:spacing w:val="-2"/>
          <w:sz w:val="24"/>
        </w:rPr>
        <w:t>人民防空工程平战结合提取的资金；</w:t>
      </w:r>
    </w:p>
    <w:p>
      <w:pPr>
        <w:adjustRightInd w:val="0"/>
        <w:snapToGrid w:val="0"/>
        <w:spacing w:line="460" w:lineRule="exact"/>
        <w:ind w:firstLine="660"/>
        <w:rPr>
          <w:rFonts w:eastAsia="方正仿宋_GBK"/>
          <w:color w:val="000000"/>
          <w:spacing w:val="-2"/>
          <w:sz w:val="24"/>
        </w:rPr>
      </w:pPr>
      <w:r>
        <w:rPr>
          <w:rFonts w:hint="eastAsia" w:eastAsia="方正仿宋_GBK"/>
          <w:color w:val="000000"/>
          <w:spacing w:val="-2"/>
          <w:sz w:val="24"/>
          <w:shd w:val="clear" w:color="auto" w:fill="FFFFFF"/>
        </w:rPr>
        <w:t>（五）业主共同决定，以及其他应当计入的</w:t>
      </w:r>
      <w:r>
        <w:rPr>
          <w:rFonts w:hint="eastAsia" w:eastAsia="方正仿宋_GBK"/>
          <w:color w:val="000000"/>
          <w:spacing w:val="-2"/>
          <w:sz w:val="24"/>
        </w:rPr>
        <w:t>资金。</w:t>
      </w:r>
    </w:p>
    <w:p>
      <w:pPr>
        <w:pStyle w:val="10"/>
        <w:widowControl w:val="0"/>
        <w:adjustRightInd w:val="0"/>
        <w:snapToGrid w:val="0"/>
        <w:spacing w:before="0" w:beforeAutospacing="0" w:after="0" w:afterAutospacing="0" w:line="460" w:lineRule="exact"/>
        <w:ind w:firstLine="472" w:firstLineChars="200"/>
        <w:jc w:val="both"/>
        <w:rPr>
          <w:rFonts w:ascii="Times New Roman" w:hAnsi="Times New Roman" w:eastAsia="方正仿宋_GBK"/>
          <w:color w:val="000000"/>
          <w:spacing w:val="-2"/>
          <w:shd w:val="clear" w:color="auto" w:fill="FFFFFF"/>
        </w:rPr>
      </w:pPr>
      <w:r>
        <w:rPr>
          <w:rFonts w:hint="eastAsia" w:ascii="Times New Roman" w:hAnsi="Times New Roman" w:eastAsia="方正黑体_GBK"/>
          <w:color w:val="000000"/>
          <w:spacing w:val="-2"/>
          <w:kern w:val="2"/>
        </w:rPr>
        <w:t>第十二条</w:t>
      </w:r>
      <w:r>
        <w:rPr>
          <w:rFonts w:ascii="Times New Roman" w:hAnsi="Times New Roman" w:eastAsia="方正仿宋_GBK"/>
          <w:color w:val="000000"/>
          <w:spacing w:val="-2"/>
        </w:rPr>
        <w:t xml:space="preserve">  </w:t>
      </w:r>
      <w:r>
        <w:rPr>
          <w:rFonts w:hint="eastAsia" w:ascii="Times New Roman" w:hAnsi="Times New Roman" w:eastAsia="方正仿宋_GBK"/>
          <w:color w:val="000000"/>
          <w:spacing w:val="-2"/>
        </w:rPr>
        <w:t>维修资金交存统一使用由省级财政部门监制的住宅专项维修资金专用票据。</w:t>
      </w:r>
    </w:p>
    <w:p>
      <w:pPr>
        <w:pStyle w:val="17"/>
        <w:widowControl w:val="0"/>
        <w:adjustRightInd w:val="0"/>
        <w:snapToGrid w:val="0"/>
        <w:spacing w:before="0" w:after="0" w:line="460" w:lineRule="exact"/>
        <w:ind w:firstLine="472" w:firstLineChars="200"/>
        <w:jc w:val="both"/>
        <w:rPr>
          <w:rFonts w:ascii="Times New Roman" w:eastAsia="方正仿宋_GBK" w:cs="Times New Roman"/>
          <w:spacing w:val="-2"/>
        </w:rPr>
      </w:pPr>
      <w:r>
        <w:rPr>
          <w:rFonts w:hint="eastAsia" w:ascii="Times New Roman" w:eastAsia="方正黑体_GBK" w:cs="Times New Roman"/>
          <w:spacing w:val="-2"/>
        </w:rPr>
        <w:t>第十三条</w:t>
      </w:r>
      <w:r>
        <w:rPr>
          <w:rFonts w:ascii="Times New Roman" w:eastAsia="方正仿宋_GBK" w:cs="Times New Roman"/>
          <w:spacing w:val="-2"/>
          <w:kern w:val="0"/>
        </w:rPr>
        <w:t xml:space="preserve">  </w:t>
      </w:r>
      <w:r>
        <w:rPr>
          <w:rFonts w:hint="eastAsia" w:ascii="Times New Roman" w:eastAsia="方正仿宋_GBK" w:cs="Times New Roman"/>
          <w:spacing w:val="-2"/>
        </w:rPr>
        <w:t>维修资金使用应当遵循方便快捷、公开透明、受益人和负担人相一致的原则。</w:t>
      </w:r>
    </w:p>
    <w:p>
      <w:pPr>
        <w:adjustRightInd w:val="0"/>
        <w:snapToGrid w:val="0"/>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（一）可以经专有部分占建筑物总面积</w:t>
      </w:r>
      <w:r>
        <w:rPr>
          <w:rFonts w:eastAsia="方正仿宋_GBK"/>
          <w:color w:val="000000"/>
          <w:spacing w:val="-2"/>
          <w:kern w:val="0"/>
          <w:sz w:val="24"/>
        </w:rPr>
        <w:t>2/3</w:t>
      </w:r>
      <w:r>
        <w:rPr>
          <w:rFonts w:hint="eastAsia" w:eastAsia="方正仿宋_GBK"/>
          <w:color w:val="000000"/>
          <w:spacing w:val="-2"/>
          <w:kern w:val="0"/>
          <w:sz w:val="24"/>
        </w:rPr>
        <w:t>以上的业主且占总人数</w:t>
      </w:r>
      <w:r>
        <w:rPr>
          <w:rFonts w:eastAsia="方正仿宋_GBK"/>
          <w:color w:val="000000"/>
          <w:spacing w:val="-2"/>
          <w:kern w:val="0"/>
          <w:sz w:val="24"/>
        </w:rPr>
        <w:t>2/3</w:t>
      </w:r>
      <w:r>
        <w:rPr>
          <w:rFonts w:hint="eastAsia" w:eastAsia="方正仿宋_GBK"/>
          <w:color w:val="000000"/>
          <w:spacing w:val="-2"/>
          <w:kern w:val="0"/>
          <w:sz w:val="24"/>
        </w:rPr>
        <w:t>以上的业主一次性表决同意，由业主委员会在任期内执行。</w:t>
      </w:r>
    </w:p>
    <w:p>
      <w:pPr>
        <w:adjustRightInd w:val="0"/>
        <w:snapToGrid w:val="0"/>
        <w:spacing w:line="460" w:lineRule="exact"/>
        <w:ind w:firstLine="472" w:firstLineChars="200"/>
        <w:rPr>
          <w:rFonts w:eastAsia="方正仿宋_GBK"/>
          <w:color w:val="000000"/>
          <w:spacing w:val="-2"/>
          <w:sz w:val="24"/>
        </w:rPr>
      </w:pPr>
      <w:r>
        <w:rPr>
          <w:rFonts w:hint="eastAsia" w:eastAsia="方正仿宋_GBK"/>
          <w:color w:val="000000"/>
          <w:spacing w:val="-2"/>
          <w:sz w:val="24"/>
        </w:rPr>
        <w:t>（二）可以区分所有，按照维修涉及利害关系的物业管理区域或栋或单元为单位，</w:t>
      </w:r>
      <w:r>
        <w:rPr>
          <w:rFonts w:hint="eastAsia" w:eastAsia="方正仿宋_GBK"/>
          <w:color w:val="000000"/>
          <w:spacing w:val="-2"/>
          <w:kern w:val="0"/>
          <w:sz w:val="24"/>
        </w:rPr>
        <w:t>经维修利害关系范围内专有部分占建筑物总面积</w:t>
      </w:r>
      <w:r>
        <w:rPr>
          <w:rFonts w:eastAsia="方正仿宋_GBK"/>
          <w:color w:val="000000"/>
          <w:spacing w:val="-2"/>
          <w:kern w:val="0"/>
          <w:sz w:val="24"/>
        </w:rPr>
        <w:t>2/3</w:t>
      </w:r>
      <w:r>
        <w:rPr>
          <w:rFonts w:hint="eastAsia" w:eastAsia="方正仿宋_GBK"/>
          <w:color w:val="000000"/>
          <w:spacing w:val="-2"/>
          <w:kern w:val="0"/>
          <w:sz w:val="24"/>
        </w:rPr>
        <w:t>以上的业主且占总人数</w:t>
      </w:r>
      <w:r>
        <w:rPr>
          <w:rFonts w:eastAsia="方正仿宋_GBK"/>
          <w:color w:val="000000"/>
          <w:spacing w:val="-2"/>
          <w:kern w:val="0"/>
          <w:sz w:val="24"/>
        </w:rPr>
        <w:t>2/3</w:t>
      </w:r>
      <w:r>
        <w:rPr>
          <w:rFonts w:hint="eastAsia" w:eastAsia="方正仿宋_GBK"/>
          <w:color w:val="000000"/>
          <w:spacing w:val="-2"/>
          <w:kern w:val="0"/>
          <w:sz w:val="24"/>
        </w:rPr>
        <w:t>以上的业主表决同意，</w:t>
      </w:r>
      <w:r>
        <w:rPr>
          <w:rFonts w:hint="eastAsia" w:eastAsia="方正仿宋_GBK"/>
          <w:color w:val="000000"/>
          <w:spacing w:val="-2"/>
          <w:sz w:val="24"/>
        </w:rPr>
        <w:t>决定维修资金使用。</w:t>
      </w:r>
    </w:p>
    <w:p>
      <w:pPr>
        <w:adjustRightInd w:val="0"/>
        <w:snapToGrid w:val="0"/>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第十四条</w:t>
      </w:r>
      <w:r>
        <w:rPr>
          <w:rFonts w:eastAsia="方正仿宋_GBK"/>
          <w:color w:val="000000"/>
          <w:spacing w:val="-2"/>
          <w:sz w:val="24"/>
        </w:rPr>
        <w:t xml:space="preserve">  </w:t>
      </w:r>
      <w:r>
        <w:rPr>
          <w:rFonts w:hint="eastAsia" w:eastAsia="方正仿宋_GBK"/>
          <w:color w:val="000000"/>
          <w:spacing w:val="-2"/>
          <w:sz w:val="24"/>
        </w:rPr>
        <w:t>对发生危及房屋安全情形需应急维修、更新和改造动用维修资金，可以由物业服务企业、业主委员会、物业管理委员会、社区居（村）民委员会、相关业主提出申请，经代管部门组织相关专业人员现场确认，及时维修。</w:t>
      </w:r>
    </w:p>
    <w:p>
      <w:pPr>
        <w:pStyle w:val="10"/>
        <w:widowControl w:val="0"/>
        <w:adjustRightInd w:val="0"/>
        <w:snapToGrid w:val="0"/>
        <w:spacing w:before="0" w:beforeAutospacing="0" w:after="0" w:afterAutospacing="0" w:line="460" w:lineRule="exact"/>
        <w:ind w:firstLine="472" w:firstLineChars="200"/>
        <w:jc w:val="both"/>
        <w:rPr>
          <w:rFonts w:ascii="Times New Roman" w:hAnsi="Times New Roman" w:eastAsia="方正仿宋_GBK"/>
          <w:color w:val="000000"/>
          <w:spacing w:val="-2"/>
          <w:kern w:val="2"/>
        </w:rPr>
      </w:pPr>
      <w:r>
        <w:rPr>
          <w:rFonts w:hint="eastAsia" w:ascii="Times New Roman" w:hAnsi="Times New Roman" w:eastAsia="方正黑体_GBK"/>
          <w:color w:val="000000"/>
          <w:spacing w:val="-2"/>
          <w:kern w:val="2"/>
        </w:rPr>
        <w:t>第十五条</w:t>
      </w:r>
      <w:r>
        <w:rPr>
          <w:rFonts w:ascii="Times New Roman" w:hAnsi="Times New Roman" w:eastAsia="方正仿宋_GBK"/>
          <w:color w:val="000000"/>
          <w:spacing w:val="-2"/>
          <w:kern w:val="2"/>
        </w:rPr>
        <w:t xml:space="preserve">  </w:t>
      </w:r>
      <w:r>
        <w:rPr>
          <w:rFonts w:hint="eastAsia" w:ascii="Times New Roman" w:hAnsi="Times New Roman" w:eastAsia="方正仿宋_GBK"/>
          <w:color w:val="000000"/>
          <w:spacing w:val="-2"/>
          <w:kern w:val="2"/>
        </w:rPr>
        <w:t>代管部门应当按照科学合理、规范高效、公开透明的原则，制定应急维修工作流程，并建立健全质量监督、招标投标、预决算和审计制度，加强监管。</w:t>
      </w:r>
    </w:p>
    <w:p>
      <w:pPr>
        <w:pStyle w:val="10"/>
        <w:widowControl w:val="0"/>
        <w:adjustRightInd w:val="0"/>
        <w:snapToGrid w:val="0"/>
        <w:spacing w:before="0" w:beforeAutospacing="0" w:after="0" w:afterAutospacing="0" w:line="460" w:lineRule="exact"/>
        <w:ind w:firstLine="472" w:firstLineChars="200"/>
        <w:jc w:val="both"/>
        <w:rPr>
          <w:rFonts w:ascii="Times New Roman" w:hAnsi="Times New Roman" w:eastAsia="方正仿宋_GBK"/>
          <w:color w:val="000000"/>
          <w:spacing w:val="-2"/>
        </w:rPr>
      </w:pPr>
      <w:r>
        <w:rPr>
          <w:rFonts w:hint="eastAsia" w:ascii="Times New Roman" w:hAnsi="Times New Roman" w:eastAsia="方正黑体_GBK"/>
          <w:color w:val="000000"/>
          <w:spacing w:val="-2"/>
          <w:kern w:val="2"/>
        </w:rPr>
        <w:t>第十六条</w:t>
      </w:r>
      <w:r>
        <w:rPr>
          <w:rFonts w:ascii="Times New Roman" w:hAnsi="Times New Roman" w:eastAsia="方正仿宋_GBK"/>
          <w:color w:val="000000"/>
          <w:spacing w:val="-2"/>
        </w:rPr>
        <w:t xml:space="preserve">  </w:t>
      </w:r>
      <w:r>
        <w:rPr>
          <w:rFonts w:hint="eastAsia" w:ascii="Times New Roman" w:hAnsi="Times New Roman" w:eastAsia="方正仿宋_GBK"/>
          <w:color w:val="000000"/>
          <w:spacing w:val="-2"/>
        </w:rPr>
        <w:t>应急单项维修费用在</w:t>
      </w:r>
      <w:r>
        <w:rPr>
          <w:rFonts w:ascii="Times New Roman" w:hAnsi="Times New Roman" w:eastAsia="方正仿宋_GBK"/>
          <w:color w:val="000000"/>
          <w:spacing w:val="-2"/>
        </w:rPr>
        <w:t>5000</w:t>
      </w:r>
      <w:r>
        <w:rPr>
          <w:rFonts w:hint="eastAsia" w:ascii="Times New Roman" w:hAnsi="Times New Roman" w:eastAsia="方正仿宋_GBK"/>
          <w:color w:val="000000"/>
          <w:spacing w:val="-2"/>
        </w:rPr>
        <w:t>元以上的，应当经过审计并向业主公示；</w:t>
      </w:r>
      <w:r>
        <w:rPr>
          <w:rFonts w:hint="eastAsia" w:ascii="Times New Roman" w:hAnsi="Times New Roman" w:eastAsia="方正仿宋_GBK"/>
          <w:color w:val="000000"/>
          <w:spacing w:val="-2"/>
          <w:shd w:val="clear" w:color="auto" w:fill="FFFFFF"/>
        </w:rPr>
        <w:t>应急单项维修费用不足</w:t>
      </w:r>
      <w:r>
        <w:rPr>
          <w:rFonts w:ascii="Times New Roman" w:hAnsi="Times New Roman" w:eastAsia="方正仿宋_GBK"/>
          <w:color w:val="000000"/>
          <w:spacing w:val="-2"/>
          <w:shd w:val="clear" w:color="auto" w:fill="FFFFFF"/>
        </w:rPr>
        <w:t>5000</w:t>
      </w:r>
      <w:r>
        <w:rPr>
          <w:rFonts w:hint="eastAsia" w:ascii="Times New Roman" w:hAnsi="Times New Roman" w:eastAsia="方正仿宋_GBK"/>
          <w:color w:val="000000"/>
          <w:spacing w:val="-2"/>
          <w:shd w:val="clear" w:color="auto" w:fill="FFFFFF"/>
        </w:rPr>
        <w:t>元的，可以经利害关系业主、业主委员会或物业管理委员会同意，委托代管部门采取审核结算并公示。</w:t>
      </w:r>
      <w:r>
        <w:rPr>
          <w:rFonts w:hint="eastAsia" w:ascii="Times New Roman" w:hAnsi="Times New Roman" w:eastAsia="方正仿宋_GBK"/>
          <w:color w:val="000000"/>
          <w:spacing w:val="-2"/>
        </w:rPr>
        <w:t>应急维修费用审核结算当事人合同另有约定的，从其约定。</w:t>
      </w:r>
    </w:p>
    <w:p>
      <w:pPr>
        <w:adjustRightInd w:val="0"/>
        <w:snapToGrid w:val="0"/>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第十七条</w:t>
      </w:r>
      <w:r>
        <w:rPr>
          <w:rFonts w:eastAsia="方正仿宋_GBK"/>
          <w:color w:val="000000"/>
          <w:spacing w:val="-2"/>
          <w:sz w:val="24"/>
          <w:shd w:val="clear" w:color="auto" w:fill="FFFFFF"/>
        </w:rPr>
        <w:t xml:space="preserve">  </w:t>
      </w:r>
      <w:r>
        <w:rPr>
          <w:rFonts w:hint="eastAsia" w:eastAsia="方正仿宋_GBK"/>
          <w:color w:val="000000"/>
          <w:spacing w:val="-2"/>
          <w:sz w:val="24"/>
          <w:shd w:val="clear" w:color="auto" w:fill="FFFFFF"/>
        </w:rPr>
        <w:t>维修资金使用</w:t>
      </w:r>
      <w:r>
        <w:rPr>
          <w:rFonts w:hint="eastAsia" w:eastAsia="方正仿宋_GBK"/>
          <w:color w:val="000000"/>
          <w:spacing w:val="-2"/>
          <w:sz w:val="24"/>
        </w:rPr>
        <w:t>从</w:t>
      </w:r>
      <w:r>
        <w:rPr>
          <w:rFonts w:hint="eastAsia" w:eastAsia="方正仿宋_GBK"/>
          <w:color w:val="000000"/>
          <w:spacing w:val="-2"/>
          <w:kern w:val="0"/>
          <w:sz w:val="24"/>
        </w:rPr>
        <w:t>维修涉及范围内共有或者共用关系的业主</w:t>
      </w:r>
      <w:r>
        <w:rPr>
          <w:rFonts w:hint="eastAsia" w:eastAsia="方正仿宋_GBK"/>
          <w:color w:val="000000"/>
          <w:spacing w:val="-2"/>
          <w:sz w:val="24"/>
        </w:rPr>
        <w:t>交存的分户账中按照专有面积分摊列支。其中涉及已售公有住房的，从公有住房维修资金中列支；未售出的空置商品房，由建设单位按空置房屋专有面积分摊。</w:t>
      </w:r>
    </w:p>
    <w:p>
      <w:pPr>
        <w:adjustRightInd w:val="0"/>
        <w:snapToGrid w:val="0"/>
        <w:spacing w:line="460" w:lineRule="exact"/>
        <w:ind w:firstLine="472" w:firstLineChars="200"/>
        <w:rPr>
          <w:rFonts w:eastAsia="方正仿宋_GBK"/>
          <w:color w:val="000000"/>
          <w:spacing w:val="-2"/>
          <w:sz w:val="24"/>
          <w:shd w:val="clear" w:color="auto" w:fill="FFFFFF"/>
        </w:rPr>
      </w:pPr>
      <w:r>
        <w:rPr>
          <w:rFonts w:hint="eastAsia" w:eastAsia="方正仿宋_GBK"/>
          <w:color w:val="000000"/>
          <w:spacing w:val="-2"/>
          <w:sz w:val="24"/>
        </w:rPr>
        <w:t>物业管理区域特定地下空间</w:t>
      </w:r>
      <w:r>
        <w:rPr>
          <w:rFonts w:hint="eastAsia" w:eastAsia="方正仿宋_GBK"/>
          <w:color w:val="000000"/>
          <w:spacing w:val="-2"/>
          <w:sz w:val="24"/>
          <w:shd w:val="clear" w:color="auto" w:fill="FFFFFF"/>
        </w:rPr>
        <w:t>取得专有车位、摊位、库位</w:t>
      </w:r>
      <w:r>
        <w:rPr>
          <w:rFonts w:hint="eastAsia" w:eastAsia="方正仿宋_GBK"/>
          <w:color w:val="000000"/>
          <w:spacing w:val="-2"/>
          <w:sz w:val="24"/>
        </w:rPr>
        <w:t>发生维修，需动用维修资金的，由</w:t>
      </w:r>
      <w:r>
        <w:rPr>
          <w:rFonts w:hint="eastAsia" w:eastAsia="方正仿宋_GBK"/>
          <w:color w:val="000000"/>
          <w:spacing w:val="-2"/>
          <w:sz w:val="24"/>
          <w:shd w:val="clear" w:color="auto" w:fill="FFFFFF"/>
        </w:rPr>
        <w:t>专有车位、摊位、库位业主的房屋分户账中分摊列支。</w:t>
      </w:r>
    </w:p>
    <w:p>
      <w:pPr>
        <w:adjustRightInd w:val="0"/>
        <w:snapToGrid w:val="0"/>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第十八条</w:t>
      </w:r>
      <w:r>
        <w:rPr>
          <w:rFonts w:eastAsia="方正仿宋_GBK"/>
          <w:color w:val="000000"/>
          <w:spacing w:val="-2"/>
          <w:sz w:val="24"/>
        </w:rPr>
        <w:t xml:space="preserve">  </w:t>
      </w:r>
      <w:r>
        <w:rPr>
          <w:rFonts w:hint="eastAsia" w:eastAsia="方正仿宋_GBK"/>
          <w:color w:val="000000"/>
          <w:spacing w:val="-2"/>
          <w:sz w:val="24"/>
        </w:rPr>
        <w:t>维修资金代管部门应根据当地维修资金总额及使用计划等因素制定合理的保值增值方案，在确保维修资金安全的前提下，努力实现维修资金保值增值利益最大化。</w:t>
      </w:r>
    </w:p>
    <w:p>
      <w:pPr>
        <w:adjustRightInd w:val="0"/>
        <w:snapToGrid w:val="0"/>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第十九条</w:t>
      </w:r>
      <w:r>
        <w:rPr>
          <w:rFonts w:eastAsia="方正仿宋_GBK"/>
          <w:color w:val="000000"/>
          <w:spacing w:val="-2"/>
          <w:sz w:val="24"/>
        </w:rPr>
        <w:t xml:space="preserve">  </w:t>
      </w:r>
      <w:r>
        <w:rPr>
          <w:rFonts w:hint="eastAsia" w:eastAsia="方正仿宋_GBK"/>
          <w:color w:val="000000"/>
          <w:spacing w:val="-2"/>
          <w:sz w:val="24"/>
        </w:rPr>
        <w:t>业主委员会可以向维修资金代管部门提出申请，将物业管理区域内的维修资金按不低于业主交存维修资金</w:t>
      </w:r>
      <w:r>
        <w:rPr>
          <w:rFonts w:eastAsia="方正仿宋_GBK"/>
          <w:color w:val="000000"/>
          <w:spacing w:val="-2"/>
          <w:sz w:val="24"/>
        </w:rPr>
        <w:t>80%</w:t>
      </w:r>
      <w:r>
        <w:rPr>
          <w:rFonts w:hint="eastAsia" w:eastAsia="方正仿宋_GBK"/>
          <w:color w:val="000000"/>
          <w:spacing w:val="-2"/>
          <w:sz w:val="24"/>
        </w:rPr>
        <w:t>的款项转存为超过一年以上的定期存款，维修资金代管部门应当自收到申请之日起</w:t>
      </w:r>
      <w:r>
        <w:rPr>
          <w:rFonts w:eastAsia="方正仿宋_GBK"/>
          <w:color w:val="000000"/>
          <w:spacing w:val="-2"/>
          <w:sz w:val="24"/>
        </w:rPr>
        <w:t>5</w:t>
      </w:r>
      <w:r>
        <w:rPr>
          <w:rFonts w:hint="eastAsia" w:eastAsia="方正仿宋_GBK"/>
          <w:color w:val="000000"/>
          <w:spacing w:val="-2"/>
          <w:sz w:val="24"/>
        </w:rPr>
        <w:t>个工作日内予以办理。具体申请办法由各省辖市制定。</w:t>
      </w:r>
    </w:p>
    <w:p>
      <w:pPr>
        <w:adjustRightInd w:val="0"/>
        <w:snapToGrid w:val="0"/>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第二十条　</w:t>
      </w:r>
      <w:r>
        <w:rPr>
          <w:rFonts w:hint="eastAsia" w:eastAsia="方正仿宋_GBK"/>
          <w:color w:val="000000"/>
          <w:spacing w:val="-2"/>
          <w:sz w:val="24"/>
        </w:rPr>
        <w:t>在保证住宅专项维修资金正常使用的前提下，可以按照国家有关规定将住宅专项维修资金用于购买国债。投资收益归全体交存维修资金的业主所有，可优先划入本物业管理区域设立的维修资金统筹账户，用于本物业管理区域内房屋共用部位和共用设施设备的维修。业主大会另有约定的，从其约定。</w:t>
      </w:r>
    </w:p>
    <w:p>
      <w:pPr>
        <w:adjustRightInd w:val="0"/>
        <w:snapToGrid w:val="0"/>
        <w:spacing w:line="460" w:lineRule="exact"/>
        <w:ind w:firstLine="472" w:firstLineChars="200"/>
        <w:rPr>
          <w:rFonts w:eastAsia="方正仿宋_GBK"/>
          <w:color w:val="000000"/>
          <w:spacing w:val="-2"/>
          <w:sz w:val="24"/>
        </w:rPr>
      </w:pPr>
      <w:r>
        <w:rPr>
          <w:rFonts w:hint="eastAsia" w:eastAsia="方正仿宋_GBK"/>
          <w:color w:val="000000"/>
          <w:spacing w:val="-2"/>
          <w:sz w:val="24"/>
        </w:rPr>
        <w:t>利用业主交存的住宅专项维修资金购买国债的，应当经业主大会同意；未成立业主大会的，应当经专有部分占建筑物总面积</w:t>
      </w:r>
      <w:r>
        <w:rPr>
          <w:rFonts w:eastAsia="方正仿宋_GBK"/>
          <w:color w:val="000000"/>
          <w:spacing w:val="-2"/>
          <w:kern w:val="0"/>
          <w:sz w:val="24"/>
        </w:rPr>
        <w:t>2/3</w:t>
      </w:r>
      <w:r>
        <w:rPr>
          <w:rFonts w:hint="eastAsia" w:eastAsia="方正仿宋_GBK"/>
          <w:color w:val="000000"/>
          <w:spacing w:val="-2"/>
          <w:sz w:val="24"/>
        </w:rPr>
        <w:t>以上的业主且占总人数</w:t>
      </w:r>
      <w:r>
        <w:rPr>
          <w:rFonts w:eastAsia="方正仿宋_GBK"/>
          <w:color w:val="000000"/>
          <w:spacing w:val="-2"/>
          <w:kern w:val="0"/>
          <w:sz w:val="24"/>
        </w:rPr>
        <w:t>2/3</w:t>
      </w:r>
      <w:r>
        <w:rPr>
          <w:rFonts w:hint="eastAsia" w:eastAsia="方正仿宋_GBK"/>
          <w:color w:val="000000"/>
          <w:spacing w:val="-2"/>
          <w:sz w:val="24"/>
        </w:rPr>
        <w:t>以上业主同意。</w:t>
      </w:r>
    </w:p>
    <w:p>
      <w:pPr>
        <w:adjustRightInd w:val="0"/>
        <w:snapToGrid w:val="0"/>
        <w:spacing w:line="460" w:lineRule="exact"/>
        <w:ind w:firstLine="472" w:firstLineChars="200"/>
        <w:rPr>
          <w:rFonts w:eastAsia="方正仿宋_GBK"/>
          <w:b/>
          <w:color w:val="000000"/>
          <w:spacing w:val="-2"/>
          <w:sz w:val="24"/>
        </w:rPr>
      </w:pPr>
      <w:r>
        <w:rPr>
          <w:rFonts w:hint="eastAsia" w:eastAsia="方正仿宋_GBK"/>
          <w:color w:val="000000"/>
          <w:spacing w:val="-2"/>
          <w:sz w:val="24"/>
        </w:rPr>
        <w:t>禁止利用住宅专项维修资金买卖股票、从事国债回购、委托理财业务、质押、抵押等担保行为。</w:t>
      </w:r>
    </w:p>
    <w:p>
      <w:pPr>
        <w:adjustRightInd w:val="0"/>
        <w:snapToGrid w:val="0"/>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第二十一条</w:t>
      </w:r>
      <w:r>
        <w:rPr>
          <w:rFonts w:eastAsia="方正仿宋_GBK"/>
          <w:color w:val="000000"/>
          <w:spacing w:val="-2"/>
          <w:sz w:val="24"/>
        </w:rPr>
        <w:t xml:space="preserve">  </w:t>
      </w:r>
      <w:r>
        <w:rPr>
          <w:rFonts w:hint="eastAsia" w:eastAsia="方正仿宋_GBK"/>
          <w:color w:val="000000"/>
          <w:spacing w:val="-2"/>
          <w:sz w:val="24"/>
        </w:rPr>
        <w:t>代管部门应当将维修资金管理情况向业主公开，业主有权查询本人分户账的维修资金结存情况。</w:t>
      </w:r>
    </w:p>
    <w:p>
      <w:pPr>
        <w:pStyle w:val="10"/>
        <w:widowControl w:val="0"/>
        <w:adjustRightInd w:val="0"/>
        <w:snapToGrid w:val="0"/>
        <w:spacing w:before="0" w:beforeAutospacing="0" w:after="0" w:afterAutospacing="0" w:line="460" w:lineRule="exact"/>
        <w:ind w:firstLine="472" w:firstLineChars="200"/>
        <w:jc w:val="both"/>
        <w:rPr>
          <w:rFonts w:ascii="Times New Roman" w:hAnsi="Times New Roman" w:eastAsia="方正仿宋_GBK"/>
          <w:color w:val="000000"/>
          <w:spacing w:val="-2"/>
          <w:shd w:val="clear" w:color="auto" w:fill="FFFFFF"/>
        </w:rPr>
      </w:pPr>
      <w:r>
        <w:rPr>
          <w:rFonts w:hint="eastAsia" w:ascii="Times New Roman" w:hAnsi="Times New Roman" w:eastAsia="方正仿宋_GBK"/>
          <w:color w:val="000000"/>
          <w:spacing w:val="-2"/>
        </w:rPr>
        <w:t>未成立业主大会的，代管部门应当定期将物业管理区域内业主交存的维修资金</w:t>
      </w:r>
      <w:r>
        <w:rPr>
          <w:rFonts w:hint="eastAsia" w:ascii="Times New Roman" w:hAnsi="Times New Roman" w:eastAsia="方正仿宋_GBK"/>
          <w:color w:val="000000"/>
          <w:spacing w:val="-2"/>
          <w:shd w:val="clear" w:color="auto" w:fill="FFFFFF"/>
        </w:rPr>
        <w:t>情况在物业管理区域公开。</w:t>
      </w:r>
    </w:p>
    <w:p>
      <w:pPr>
        <w:pStyle w:val="10"/>
        <w:widowControl w:val="0"/>
        <w:adjustRightInd w:val="0"/>
        <w:snapToGrid w:val="0"/>
        <w:spacing w:before="0" w:beforeAutospacing="0" w:after="0" w:afterAutospacing="0" w:line="460" w:lineRule="exact"/>
        <w:ind w:firstLine="472" w:firstLineChars="200"/>
        <w:jc w:val="both"/>
        <w:rPr>
          <w:rFonts w:ascii="Times New Roman" w:hAnsi="Times New Roman" w:eastAsia="方正仿宋_GBK"/>
          <w:color w:val="000000"/>
          <w:spacing w:val="-2"/>
          <w:shd w:val="clear" w:color="auto" w:fill="FFFFFF"/>
        </w:rPr>
      </w:pPr>
      <w:r>
        <w:rPr>
          <w:rFonts w:hint="eastAsia" w:ascii="Times New Roman" w:hAnsi="Times New Roman" w:eastAsia="方正仿宋_GBK"/>
          <w:color w:val="000000"/>
          <w:spacing w:val="-2"/>
          <w:shd w:val="clear" w:color="auto" w:fill="FFFFFF"/>
        </w:rPr>
        <w:t>业主大会</w:t>
      </w:r>
      <w:r>
        <w:rPr>
          <w:rFonts w:hint="eastAsia" w:ascii="Times New Roman" w:hAnsi="Times New Roman" w:eastAsia="方正仿宋_GBK"/>
          <w:color w:val="000000"/>
          <w:spacing w:val="-2"/>
        </w:rPr>
        <w:t>或物业管理委员会</w:t>
      </w:r>
      <w:r>
        <w:rPr>
          <w:rFonts w:hint="eastAsia" w:ascii="Times New Roman" w:hAnsi="Times New Roman" w:eastAsia="方正仿宋_GBK"/>
          <w:color w:val="000000"/>
          <w:spacing w:val="-2"/>
          <w:shd w:val="clear" w:color="auto" w:fill="FFFFFF"/>
        </w:rPr>
        <w:t>成立时，</w:t>
      </w:r>
      <w:r>
        <w:rPr>
          <w:rFonts w:hint="eastAsia" w:ascii="Times New Roman" w:hAnsi="Times New Roman" w:eastAsia="方正仿宋_GBK"/>
          <w:color w:val="000000"/>
          <w:spacing w:val="-2"/>
        </w:rPr>
        <w:t>代管部门</w:t>
      </w:r>
      <w:r>
        <w:rPr>
          <w:rFonts w:hint="eastAsia" w:ascii="Times New Roman" w:hAnsi="Times New Roman" w:eastAsia="方正仿宋_GBK"/>
          <w:color w:val="000000"/>
          <w:spacing w:val="-2"/>
          <w:shd w:val="clear" w:color="auto" w:fill="FFFFFF"/>
        </w:rPr>
        <w:t>应当将物业管理区域内交存维修资金详细至分户</w:t>
      </w:r>
      <w:r>
        <w:rPr>
          <w:rFonts w:hint="eastAsia" w:ascii="Times New Roman" w:hAnsi="Times New Roman" w:eastAsia="方正仿宋_GBK"/>
          <w:color w:val="000000"/>
          <w:spacing w:val="-2"/>
        </w:rPr>
        <w:t>以及物业管理区域维修资金统筹分账户</w:t>
      </w:r>
      <w:r>
        <w:rPr>
          <w:rFonts w:hint="eastAsia" w:ascii="Times New Roman" w:hAnsi="Times New Roman" w:eastAsia="方正仿宋_GBK"/>
          <w:color w:val="000000"/>
          <w:spacing w:val="-2"/>
          <w:shd w:val="clear" w:color="auto" w:fill="FFFFFF"/>
        </w:rPr>
        <w:t>的情况，书面告知业主委员会</w:t>
      </w:r>
      <w:r>
        <w:rPr>
          <w:rFonts w:hint="eastAsia" w:ascii="Times New Roman" w:hAnsi="Times New Roman" w:eastAsia="方正仿宋_GBK"/>
          <w:color w:val="000000"/>
          <w:spacing w:val="-2"/>
        </w:rPr>
        <w:t>或物业管理委员会，</w:t>
      </w:r>
      <w:r>
        <w:rPr>
          <w:rFonts w:hint="eastAsia" w:ascii="Times New Roman" w:hAnsi="Times New Roman" w:eastAsia="方正仿宋_GBK"/>
          <w:color w:val="000000"/>
          <w:spacing w:val="-2"/>
          <w:shd w:val="clear" w:color="auto" w:fill="FFFFFF"/>
        </w:rPr>
        <w:t>并在物业管理区域内公开。</w:t>
      </w:r>
    </w:p>
    <w:p>
      <w:pPr>
        <w:adjustRightInd w:val="0"/>
        <w:snapToGrid w:val="0"/>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第二十二条</w:t>
      </w:r>
      <w:r>
        <w:rPr>
          <w:rFonts w:eastAsia="方正仿宋_GBK"/>
          <w:color w:val="000000"/>
          <w:spacing w:val="-2"/>
          <w:sz w:val="24"/>
        </w:rPr>
        <w:t xml:space="preserve">  </w:t>
      </w:r>
      <w:r>
        <w:rPr>
          <w:rFonts w:hint="eastAsia" w:eastAsia="方正仿宋_GBK"/>
          <w:color w:val="000000"/>
          <w:spacing w:val="-2"/>
          <w:sz w:val="24"/>
        </w:rPr>
        <w:t>代管部门、业主委员会或物业管理委员会应当每年至少一次与专户管理银行核对维修资金账目，并向业主公布下列情况：</w:t>
      </w:r>
    </w:p>
    <w:p>
      <w:pPr>
        <w:adjustRightInd w:val="0"/>
        <w:snapToGrid w:val="0"/>
        <w:spacing w:line="460" w:lineRule="exact"/>
        <w:ind w:firstLine="472" w:firstLineChars="200"/>
        <w:rPr>
          <w:rFonts w:eastAsia="方正仿宋_GBK"/>
          <w:color w:val="000000"/>
          <w:spacing w:val="-2"/>
          <w:sz w:val="24"/>
        </w:rPr>
      </w:pPr>
      <w:r>
        <w:rPr>
          <w:rFonts w:hint="eastAsia" w:eastAsia="方正仿宋_GBK"/>
          <w:color w:val="000000"/>
          <w:spacing w:val="-2"/>
          <w:sz w:val="24"/>
        </w:rPr>
        <w:t>（一）维修资金交存、使用、增值收益和结存的总额；</w:t>
      </w:r>
    </w:p>
    <w:p>
      <w:pPr>
        <w:adjustRightInd w:val="0"/>
        <w:snapToGrid w:val="0"/>
        <w:spacing w:line="460" w:lineRule="exact"/>
        <w:ind w:firstLine="472" w:firstLineChars="200"/>
        <w:rPr>
          <w:rFonts w:eastAsia="方正仿宋_GBK"/>
          <w:color w:val="000000"/>
          <w:spacing w:val="-2"/>
          <w:sz w:val="24"/>
        </w:rPr>
      </w:pPr>
      <w:r>
        <w:rPr>
          <w:rFonts w:hint="eastAsia" w:eastAsia="方正仿宋_GBK"/>
          <w:color w:val="000000"/>
          <w:spacing w:val="-2"/>
          <w:sz w:val="24"/>
        </w:rPr>
        <w:t>（二）发生列支的项目、费用和分摊情况；</w:t>
      </w:r>
    </w:p>
    <w:p>
      <w:pPr>
        <w:adjustRightInd w:val="0"/>
        <w:snapToGrid w:val="0"/>
        <w:spacing w:line="460" w:lineRule="exact"/>
        <w:ind w:firstLine="472" w:firstLineChars="200"/>
        <w:rPr>
          <w:rFonts w:eastAsia="方正仿宋_GBK"/>
          <w:color w:val="000000"/>
          <w:spacing w:val="-2"/>
          <w:sz w:val="24"/>
        </w:rPr>
      </w:pPr>
      <w:r>
        <w:rPr>
          <w:rFonts w:hint="eastAsia" w:eastAsia="方正仿宋_GBK"/>
          <w:color w:val="000000"/>
          <w:spacing w:val="-2"/>
          <w:sz w:val="24"/>
        </w:rPr>
        <w:t>（三）业主、公有住房售房单位分户账中维修资金交存、使用、增值收益和结存的金额；</w:t>
      </w:r>
    </w:p>
    <w:p>
      <w:pPr>
        <w:adjustRightInd w:val="0"/>
        <w:snapToGrid w:val="0"/>
        <w:spacing w:line="460" w:lineRule="exact"/>
        <w:ind w:firstLine="472" w:firstLineChars="200"/>
        <w:rPr>
          <w:rFonts w:eastAsia="方正仿宋_GBK"/>
          <w:color w:val="000000"/>
          <w:spacing w:val="-2"/>
          <w:sz w:val="24"/>
        </w:rPr>
      </w:pPr>
      <w:r>
        <w:rPr>
          <w:rFonts w:hint="eastAsia" w:eastAsia="方正仿宋_GBK"/>
          <w:color w:val="000000"/>
          <w:spacing w:val="-2"/>
          <w:sz w:val="24"/>
        </w:rPr>
        <w:t>（四）其他有关维修资金使用和管理的情况。</w:t>
      </w:r>
    </w:p>
    <w:p>
      <w:pPr>
        <w:adjustRightInd w:val="0"/>
        <w:snapToGrid w:val="0"/>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第二十三条</w:t>
      </w:r>
      <w:r>
        <w:rPr>
          <w:rFonts w:eastAsia="方正仿宋_GBK"/>
          <w:color w:val="000000"/>
          <w:spacing w:val="-2"/>
          <w:sz w:val="24"/>
        </w:rPr>
        <w:t xml:space="preserve">  </w:t>
      </w:r>
      <w:r>
        <w:rPr>
          <w:rFonts w:hint="eastAsia" w:eastAsia="方正仿宋_GBK"/>
          <w:color w:val="000000"/>
          <w:spacing w:val="-6"/>
          <w:sz w:val="24"/>
        </w:rPr>
        <w:t>代管部门、专户管理银行应当制定相关措施，提高应急维修处置效率与能力，方便业主、公有住房售房单位对维修资金使用、增值收益和账面余额的查询</w:t>
      </w:r>
      <w:r>
        <w:rPr>
          <w:rFonts w:hint="eastAsia" w:eastAsia="方正仿宋_GBK"/>
          <w:color w:val="000000"/>
          <w:spacing w:val="-2"/>
          <w:sz w:val="24"/>
        </w:rPr>
        <w:t>。</w:t>
      </w:r>
    </w:p>
    <w:p>
      <w:pPr>
        <w:pStyle w:val="10"/>
        <w:widowControl w:val="0"/>
        <w:adjustRightInd w:val="0"/>
        <w:snapToGrid w:val="0"/>
        <w:spacing w:before="0" w:beforeAutospacing="0" w:after="0" w:afterAutospacing="0" w:line="460" w:lineRule="exact"/>
        <w:ind w:firstLine="472" w:firstLineChars="200"/>
        <w:jc w:val="both"/>
        <w:rPr>
          <w:rFonts w:ascii="Times New Roman" w:hAnsi="Times New Roman" w:eastAsia="方正仿宋_GBK"/>
          <w:color w:val="000000"/>
          <w:spacing w:val="-2"/>
        </w:rPr>
      </w:pPr>
      <w:r>
        <w:rPr>
          <w:rFonts w:hint="eastAsia" w:ascii="Times New Roman" w:hAnsi="Times New Roman" w:eastAsia="方正黑体_GBK"/>
          <w:color w:val="000000"/>
          <w:spacing w:val="-2"/>
          <w:kern w:val="2"/>
        </w:rPr>
        <w:t>第二十四条</w:t>
      </w:r>
      <w:r>
        <w:rPr>
          <w:rFonts w:ascii="Times New Roman" w:hAnsi="Times New Roman" w:eastAsia="方正仿宋_GBK"/>
          <w:color w:val="000000"/>
          <w:spacing w:val="-2"/>
        </w:rPr>
        <w:t xml:space="preserve">  </w:t>
      </w:r>
      <w:r>
        <w:rPr>
          <w:rFonts w:hint="eastAsia" w:ascii="Times New Roman" w:hAnsi="Times New Roman" w:eastAsia="方正仿宋_GBK"/>
          <w:color w:val="000000"/>
          <w:spacing w:val="-2"/>
        </w:rPr>
        <w:t>代管部门应当加快信息化建设，建立健全涵盖交存、使用、查询等内容的维修资金监管系统，实现信息互通，公开透明，提高管理效率，接受监督。</w:t>
      </w:r>
    </w:p>
    <w:p>
      <w:pPr>
        <w:pStyle w:val="10"/>
        <w:widowControl w:val="0"/>
        <w:adjustRightInd w:val="0"/>
        <w:snapToGrid w:val="0"/>
        <w:spacing w:before="0" w:beforeAutospacing="0" w:after="0" w:afterAutospacing="0" w:line="460" w:lineRule="exact"/>
        <w:ind w:firstLine="472" w:firstLineChars="200"/>
        <w:jc w:val="both"/>
        <w:rPr>
          <w:rFonts w:ascii="Times New Roman" w:hAnsi="Times New Roman" w:eastAsia="方正仿宋_GBK"/>
          <w:color w:val="000000"/>
          <w:spacing w:val="-2"/>
        </w:rPr>
      </w:pPr>
      <w:r>
        <w:rPr>
          <w:rFonts w:hint="eastAsia" w:ascii="Times New Roman" w:hAnsi="Times New Roman" w:eastAsia="方正黑体_GBK"/>
          <w:color w:val="000000"/>
          <w:spacing w:val="-2"/>
          <w:kern w:val="2"/>
        </w:rPr>
        <w:t>第二十五条</w:t>
      </w:r>
      <w:r>
        <w:rPr>
          <w:rFonts w:ascii="Times New Roman" w:hAnsi="Times New Roman" w:eastAsia="方正仿宋_GBK"/>
          <w:color w:val="000000"/>
          <w:spacing w:val="-2"/>
        </w:rPr>
        <w:t xml:space="preserve">  </w:t>
      </w:r>
      <w:r>
        <w:rPr>
          <w:rFonts w:hint="eastAsia" w:ascii="Times New Roman" w:hAnsi="Times New Roman" w:eastAsia="方正仿宋_GBK"/>
          <w:color w:val="000000"/>
          <w:spacing w:val="-2"/>
        </w:rPr>
        <w:t>维修资金的管理和使用，应当依法接受审计部门的审计监督。代管部门</w:t>
      </w:r>
      <w:r>
        <w:rPr>
          <w:rFonts w:ascii="Times New Roman" w:hAnsi="Times New Roman" w:eastAsia="方正仿宋_GBK"/>
          <w:color w:val="000000"/>
          <w:spacing w:val="-2"/>
        </w:rPr>
        <w:t>3</w:t>
      </w:r>
      <w:r>
        <w:rPr>
          <w:rFonts w:hint="eastAsia" w:ascii="Times New Roman" w:hAnsi="Times New Roman" w:eastAsia="方正仿宋_GBK"/>
          <w:color w:val="000000"/>
          <w:spacing w:val="-2"/>
        </w:rPr>
        <w:t>年内委托政府专项审计不得少于一次，并公布审计报告，接受社会监督。对违反本办法相关规定的单位和个人，将按《财政违法行为处罚处分条例》等国家有关规定追究责任。</w:t>
      </w:r>
    </w:p>
    <w:p>
      <w:pPr>
        <w:adjustRightInd w:val="0"/>
        <w:snapToGrid w:val="0"/>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第二十六条</w:t>
      </w:r>
      <w:r>
        <w:rPr>
          <w:rFonts w:eastAsia="方正仿宋_GBK"/>
          <w:color w:val="000000"/>
          <w:spacing w:val="-2"/>
          <w:sz w:val="24"/>
        </w:rPr>
        <w:t xml:space="preserve">  </w:t>
      </w:r>
      <w:r>
        <w:rPr>
          <w:rFonts w:hint="eastAsia" w:eastAsia="方正仿宋_GBK"/>
          <w:color w:val="000000"/>
          <w:spacing w:val="-2"/>
          <w:sz w:val="24"/>
        </w:rPr>
        <w:t>代管部门应当建立健全维修资金年度报告、投诉登记及信息公开等制度，推进维修资金标准化、规范化管理。省住房和城乡建设行政主管部门将会同财政行政主管部门不定期组织开展维修资金管理抽查或互审，通报监管情况。</w:t>
      </w:r>
    </w:p>
    <w:p>
      <w:pPr>
        <w:pStyle w:val="10"/>
        <w:widowControl w:val="0"/>
        <w:adjustRightInd w:val="0"/>
        <w:snapToGrid w:val="0"/>
        <w:spacing w:before="0" w:beforeAutospacing="0" w:after="0" w:afterAutospacing="0" w:line="460" w:lineRule="exact"/>
        <w:ind w:firstLine="472" w:firstLineChars="200"/>
        <w:jc w:val="both"/>
        <w:rPr>
          <w:rFonts w:ascii="Times New Roman" w:hAnsi="Times New Roman" w:eastAsia="方正仿宋_GBK"/>
          <w:color w:val="000000"/>
          <w:spacing w:val="-2"/>
        </w:rPr>
      </w:pPr>
      <w:r>
        <w:rPr>
          <w:rFonts w:hint="eastAsia" w:ascii="Times New Roman" w:hAnsi="Times New Roman" w:eastAsia="方正黑体_GBK"/>
          <w:color w:val="000000"/>
          <w:spacing w:val="-2"/>
          <w:kern w:val="2"/>
        </w:rPr>
        <w:t>第二十七条</w:t>
      </w:r>
      <w:r>
        <w:rPr>
          <w:rFonts w:ascii="Times New Roman" w:hAnsi="Times New Roman" w:eastAsia="方正仿宋_GBK"/>
          <w:color w:val="000000"/>
          <w:spacing w:val="-2"/>
        </w:rPr>
        <w:t xml:space="preserve">  </w:t>
      </w:r>
      <w:r>
        <w:rPr>
          <w:rFonts w:hint="eastAsia" w:ascii="Times New Roman" w:hAnsi="Times New Roman" w:eastAsia="方正仿宋_GBK"/>
          <w:color w:val="000000"/>
          <w:spacing w:val="-2"/>
        </w:rPr>
        <w:t>非住宅物业实施维修资金专项管理的，参照本办法执行。</w:t>
      </w:r>
    </w:p>
    <w:p>
      <w:pPr>
        <w:adjustRightInd w:val="0"/>
        <w:snapToGrid w:val="0"/>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第二十八条</w:t>
      </w:r>
      <w:r>
        <w:rPr>
          <w:rFonts w:eastAsia="方正仿宋_GBK"/>
          <w:color w:val="000000"/>
          <w:spacing w:val="-2"/>
          <w:sz w:val="24"/>
        </w:rPr>
        <w:t xml:space="preserve">  </w:t>
      </w:r>
      <w:r>
        <w:rPr>
          <w:rFonts w:hint="eastAsia" w:eastAsia="方正仿宋_GBK"/>
          <w:color w:val="000000"/>
          <w:spacing w:val="-2"/>
          <w:sz w:val="24"/>
        </w:rPr>
        <w:t>各省辖市物业管理行政主管部门会同同级财政行政主管部门依据本办法制定实施细则。</w:t>
      </w:r>
    </w:p>
    <w:p>
      <w:pPr>
        <w:spacing w:line="440" w:lineRule="exact"/>
        <w:ind w:firstLine="420" w:firstLineChars="200"/>
      </w:pPr>
    </w:p>
    <w:p/>
    <w:p/>
    <w:p/>
    <w:p/>
    <w:p/>
    <w:p/>
    <w:p>
      <w:pPr>
        <w:pStyle w:val="2"/>
        <w:spacing w:before="240" w:beforeLines="100" w:after="240" w:afterLines="100" w:line="240" w:lineRule="auto"/>
        <w:jc w:val="center"/>
        <w:rPr>
          <w:rFonts w:ascii="Times New Roman" w:eastAsia="方正小标宋_GBK"/>
          <w:b w:val="0"/>
          <w:sz w:val="36"/>
          <w:szCs w:val="36"/>
        </w:rPr>
      </w:pPr>
      <w:bookmarkStart w:id="40" w:name="_Toc20726296"/>
      <w:bookmarkStart w:id="41" w:name="_Toc18315376"/>
      <w:r>
        <w:rPr>
          <w:rFonts w:hint="eastAsia" w:ascii="Times New Roman" w:eastAsia="方正小标宋_GBK"/>
          <w:b w:val="0"/>
          <w:sz w:val="36"/>
          <w:szCs w:val="36"/>
        </w:rPr>
        <w:t>关于在全省住宅装修行业开展放心消费创建活动的通知</w:t>
      </w:r>
      <w:bookmarkEnd w:id="40"/>
      <w:bookmarkEnd w:id="41"/>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42" w:name="_Toc20726297"/>
      <w:bookmarkStart w:id="43" w:name="_Toc18315377"/>
      <w:r>
        <w:rPr>
          <w:rFonts w:hint="eastAsia" w:ascii="Times New Roman" w:hAnsi="Times New Roman" w:eastAsia="方正楷体_GBK"/>
          <w:b w:val="0"/>
          <w:sz w:val="24"/>
          <w:szCs w:val="24"/>
        </w:rPr>
        <w:t>苏建房管〔</w:t>
      </w:r>
      <w:r>
        <w:rPr>
          <w:rFonts w:ascii="Times New Roman" w:hAnsi="Times New Roman" w:eastAsia="方正楷体_GBK"/>
          <w:b w:val="0"/>
          <w:sz w:val="24"/>
          <w:szCs w:val="24"/>
        </w:rPr>
        <w:t>2015</w:t>
      </w:r>
      <w:r>
        <w:rPr>
          <w:rFonts w:hint="eastAsia" w:ascii="Times New Roman" w:hAnsi="Times New Roman" w:eastAsia="方正楷体_GBK"/>
          <w:b w:val="0"/>
          <w:sz w:val="24"/>
          <w:szCs w:val="24"/>
        </w:rPr>
        <w:t>〕</w:t>
      </w:r>
      <w:r>
        <w:rPr>
          <w:rFonts w:ascii="Times New Roman" w:hAnsi="Times New Roman" w:eastAsia="方正楷体_GBK"/>
          <w:b w:val="0"/>
          <w:sz w:val="24"/>
          <w:szCs w:val="24"/>
        </w:rPr>
        <w:t>82</w:t>
      </w:r>
      <w:r>
        <w:rPr>
          <w:rFonts w:hint="eastAsia" w:ascii="Times New Roman" w:hAnsi="Times New Roman" w:eastAsia="方正楷体_GBK"/>
          <w:b w:val="0"/>
          <w:sz w:val="24"/>
          <w:szCs w:val="24"/>
        </w:rPr>
        <w:t>号</w:t>
      </w:r>
      <w:bookmarkEnd w:id="42"/>
      <w:bookmarkEnd w:id="43"/>
    </w:p>
    <w:p>
      <w:pPr>
        <w:spacing w:line="460" w:lineRule="exact"/>
        <w:rPr>
          <w:rFonts w:eastAsia="方正仿宋_GBK"/>
          <w:color w:val="000000"/>
          <w:spacing w:val="-2"/>
          <w:sz w:val="24"/>
        </w:rPr>
      </w:pPr>
      <w:r>
        <w:rPr>
          <w:rFonts w:hint="eastAsia" w:eastAsia="方正仿宋_GBK"/>
          <w:color w:val="000000"/>
          <w:spacing w:val="-2"/>
          <w:sz w:val="24"/>
        </w:rPr>
        <w:t>各省辖市建设局（委）、房产局，各省辖市放心消费创建活动办公室，昆山、泰兴、沭阳县（市）建设局、放心消费创建活动办公室：</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按照省政府办公厅《关于深入推进放心消费创建工作的意见》（苏政办发〔</w:t>
      </w:r>
      <w:r>
        <w:rPr>
          <w:rFonts w:eastAsia="方正仿宋_GBK"/>
          <w:color w:val="000000"/>
          <w:spacing w:val="-2"/>
          <w:sz w:val="24"/>
        </w:rPr>
        <w:t>2012</w:t>
      </w:r>
      <w:r>
        <w:rPr>
          <w:rFonts w:hint="eastAsia" w:eastAsia="方正仿宋_GBK"/>
          <w:color w:val="000000"/>
          <w:spacing w:val="-2"/>
          <w:sz w:val="24"/>
        </w:rPr>
        <w:t>〕</w:t>
      </w:r>
      <w:r>
        <w:rPr>
          <w:rFonts w:eastAsia="方正仿宋_GBK"/>
          <w:color w:val="000000"/>
          <w:spacing w:val="-2"/>
          <w:sz w:val="24"/>
        </w:rPr>
        <w:t>175</w:t>
      </w:r>
      <w:r>
        <w:rPr>
          <w:rFonts w:hint="eastAsia" w:eastAsia="方正仿宋_GBK"/>
          <w:color w:val="000000"/>
          <w:spacing w:val="-2"/>
          <w:sz w:val="24"/>
        </w:rPr>
        <w:t>号）文件要求，经研究，决定在全省住宅装修行业开展放心消费创建活动，现将《江苏省住宅装修行业开展放心消费创建活动实施方案》下发给你们，请各地认真贯彻执行。</w:t>
      </w:r>
    </w:p>
    <w:p>
      <w:pPr>
        <w:spacing w:line="460" w:lineRule="exact"/>
        <w:ind w:firstLine="645"/>
        <w:rPr>
          <w:rFonts w:eastAsia="方正仿宋_GBK"/>
          <w:color w:val="000000"/>
          <w:spacing w:val="-2"/>
          <w:sz w:val="24"/>
        </w:rPr>
      </w:pP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附件：江苏省住宅装修行业开展放心消费创建活动实施方案</w:t>
      </w:r>
    </w:p>
    <w:p>
      <w:pPr>
        <w:spacing w:line="460" w:lineRule="exact"/>
        <w:ind w:firstLine="645"/>
        <w:rPr>
          <w:rFonts w:eastAsia="方正仿宋_GBK"/>
          <w:color w:val="000000"/>
          <w:spacing w:val="-2"/>
          <w:sz w:val="24"/>
        </w:rPr>
      </w:pPr>
    </w:p>
    <w:p>
      <w:pPr>
        <w:spacing w:line="460" w:lineRule="exact"/>
        <w:ind w:right="458" w:rightChars="218"/>
        <w:jc w:val="right"/>
        <w:rPr>
          <w:rFonts w:eastAsia="方正仿宋_GBK"/>
          <w:color w:val="000000"/>
          <w:spacing w:val="-2"/>
          <w:sz w:val="24"/>
        </w:rPr>
      </w:pPr>
      <w:r>
        <w:rPr>
          <w:rFonts w:eastAsia="方正仿宋_GBK"/>
          <w:color w:val="000000"/>
          <w:spacing w:val="-2"/>
          <w:sz w:val="24"/>
        </w:rPr>
        <w:t xml:space="preserve">  </w:t>
      </w:r>
      <w:r>
        <w:rPr>
          <w:rFonts w:hint="eastAsia" w:eastAsia="方正仿宋_GBK"/>
          <w:color w:val="000000"/>
          <w:spacing w:val="36"/>
          <w:kern w:val="0"/>
          <w:sz w:val="24"/>
        </w:rPr>
        <w:t>江苏省住房和城乡建设</w:t>
      </w:r>
      <w:r>
        <w:rPr>
          <w:rFonts w:hint="eastAsia" w:eastAsia="方正仿宋_GBK"/>
          <w:color w:val="000000"/>
          <w:kern w:val="0"/>
          <w:sz w:val="24"/>
        </w:rPr>
        <w:t>厅</w:t>
      </w:r>
      <w:r>
        <w:rPr>
          <w:rFonts w:eastAsia="方正仿宋_GBK"/>
          <w:color w:val="000000"/>
          <w:kern w:val="0"/>
          <w:sz w:val="24"/>
        </w:rPr>
        <w:t xml:space="preserve">    </w:t>
      </w:r>
    </w:p>
    <w:p>
      <w:pPr>
        <w:spacing w:line="460" w:lineRule="exact"/>
        <w:ind w:right="458" w:rightChars="218"/>
        <w:jc w:val="right"/>
        <w:rPr>
          <w:rFonts w:eastAsia="方正仿宋_GBK"/>
          <w:color w:val="000000"/>
          <w:spacing w:val="-2"/>
          <w:sz w:val="24"/>
        </w:rPr>
      </w:pPr>
      <w:r>
        <w:rPr>
          <w:rFonts w:hint="eastAsia" w:eastAsia="方正仿宋_GBK"/>
          <w:color w:val="000000"/>
          <w:spacing w:val="-2"/>
          <w:sz w:val="24"/>
        </w:rPr>
        <w:t>江苏省放心消费创建活动办公室</w:t>
      </w:r>
      <w:r>
        <w:rPr>
          <w:rFonts w:eastAsia="方正仿宋_GBK"/>
          <w:color w:val="000000"/>
          <w:spacing w:val="-2"/>
          <w:sz w:val="24"/>
        </w:rPr>
        <w:t xml:space="preserve">    </w:t>
      </w:r>
    </w:p>
    <w:p>
      <w:pPr>
        <w:spacing w:line="460" w:lineRule="exact"/>
        <w:ind w:right="1357" w:rightChars="646"/>
        <w:jc w:val="right"/>
        <w:rPr>
          <w:rFonts w:eastAsia="方正仿宋_GBK"/>
          <w:color w:val="000000"/>
          <w:spacing w:val="-2"/>
          <w:sz w:val="24"/>
        </w:rPr>
      </w:pPr>
      <w:r>
        <w:rPr>
          <w:rFonts w:eastAsia="方正仿宋_GBK"/>
          <w:color w:val="000000"/>
          <w:spacing w:val="-2"/>
          <w:sz w:val="24"/>
        </w:rPr>
        <w:t>2015</w:t>
      </w:r>
      <w:r>
        <w:rPr>
          <w:rFonts w:hint="eastAsia" w:eastAsia="方正仿宋_GBK"/>
          <w:color w:val="000000"/>
          <w:spacing w:val="-2"/>
          <w:sz w:val="24"/>
        </w:rPr>
        <w:t>年</w:t>
      </w:r>
      <w:r>
        <w:rPr>
          <w:rFonts w:eastAsia="方正仿宋_GBK"/>
          <w:color w:val="000000"/>
          <w:spacing w:val="-2"/>
          <w:sz w:val="24"/>
        </w:rPr>
        <w:t>2</w:t>
      </w:r>
      <w:r>
        <w:rPr>
          <w:rFonts w:hint="eastAsia" w:eastAsia="方正仿宋_GBK"/>
          <w:color w:val="000000"/>
          <w:spacing w:val="-2"/>
          <w:sz w:val="24"/>
        </w:rPr>
        <w:t>月</w:t>
      </w:r>
      <w:r>
        <w:rPr>
          <w:rFonts w:eastAsia="方正仿宋_GBK"/>
          <w:color w:val="000000"/>
          <w:spacing w:val="-2"/>
          <w:sz w:val="24"/>
        </w:rPr>
        <w:t>15</w:t>
      </w:r>
      <w:r>
        <w:rPr>
          <w:rFonts w:hint="eastAsia" w:eastAsia="方正仿宋_GBK"/>
          <w:color w:val="000000"/>
          <w:spacing w:val="-2"/>
          <w:sz w:val="24"/>
        </w:rPr>
        <w:t>日</w:t>
      </w:r>
      <w:r>
        <w:rPr>
          <w:rFonts w:eastAsia="方正仿宋_GBK"/>
          <w:color w:val="000000"/>
          <w:spacing w:val="-2"/>
          <w:sz w:val="24"/>
        </w:rPr>
        <w:t xml:space="preserve">           </w:t>
      </w:r>
    </w:p>
    <w:p>
      <w:pPr>
        <w:spacing w:line="460" w:lineRule="exact"/>
        <w:rPr>
          <w:rFonts w:eastAsia="方正仿宋_GBK"/>
          <w:color w:val="000000"/>
          <w:spacing w:val="-2"/>
          <w:sz w:val="24"/>
        </w:rPr>
      </w:pPr>
    </w:p>
    <w:p>
      <w:pPr>
        <w:spacing w:line="460" w:lineRule="exact"/>
        <w:rPr>
          <w:rFonts w:eastAsia="方正仿宋_GBK"/>
          <w:color w:val="000000"/>
          <w:spacing w:val="-2"/>
          <w:sz w:val="24"/>
        </w:rPr>
      </w:pPr>
    </w:p>
    <w:p>
      <w:pPr>
        <w:spacing w:line="460" w:lineRule="exact"/>
        <w:jc w:val="center"/>
        <w:rPr>
          <w:rFonts w:ascii="Times New Roman" w:eastAsia="方正黑体_GBK"/>
          <w:color w:val="000000"/>
          <w:spacing w:val="-2"/>
          <w:sz w:val="36"/>
          <w:szCs w:val="36"/>
        </w:rPr>
      </w:pPr>
      <w:r>
        <w:rPr>
          <w:rFonts w:hint="eastAsia" w:ascii="Times New Roman" w:eastAsia="方正黑体_GBK"/>
          <w:color w:val="000000"/>
          <w:spacing w:val="-2"/>
          <w:sz w:val="36"/>
          <w:szCs w:val="36"/>
        </w:rPr>
        <w:br w:type="column"/>
      </w:r>
    </w:p>
    <w:p>
      <w:pPr>
        <w:spacing w:line="460" w:lineRule="exact"/>
        <w:jc w:val="center"/>
        <w:rPr>
          <w:rFonts w:hint="eastAsia" w:ascii="Times New Roman" w:eastAsia="方正黑体_GBK"/>
          <w:color w:val="000000"/>
          <w:spacing w:val="-2"/>
          <w:sz w:val="36"/>
          <w:szCs w:val="36"/>
        </w:rPr>
      </w:pPr>
      <w:r>
        <w:rPr>
          <w:rFonts w:hint="eastAsia" w:ascii="Times New Roman" w:eastAsia="方正黑体_GBK"/>
          <w:color w:val="000000"/>
          <w:spacing w:val="-2"/>
          <w:sz w:val="36"/>
          <w:szCs w:val="36"/>
        </w:rPr>
        <w:t>江苏省住宅装修行业开展放心消费创建活动</w:t>
      </w:r>
    </w:p>
    <w:p>
      <w:pPr>
        <w:spacing w:line="460" w:lineRule="exact"/>
        <w:jc w:val="center"/>
        <w:rPr>
          <w:rFonts w:hint="eastAsia" w:ascii="Times New Roman" w:eastAsia="方正黑体_GBK"/>
          <w:color w:val="000000"/>
          <w:spacing w:val="-2"/>
          <w:sz w:val="36"/>
          <w:szCs w:val="36"/>
        </w:rPr>
      </w:pPr>
      <w:r>
        <w:rPr>
          <w:rFonts w:hint="eastAsia" w:ascii="Times New Roman" w:eastAsia="方正黑体_GBK"/>
          <w:color w:val="000000"/>
          <w:spacing w:val="-2"/>
          <w:sz w:val="36"/>
          <w:szCs w:val="36"/>
        </w:rPr>
        <w:t>实施方案</w:t>
      </w:r>
    </w:p>
    <w:p>
      <w:pPr>
        <w:spacing w:line="460" w:lineRule="exact"/>
        <w:rPr>
          <w:rFonts w:hint="eastAsia" w:eastAsia="方正仿宋_GBK"/>
          <w:color w:val="000000"/>
          <w:spacing w:val="-2"/>
          <w:sz w:val="24"/>
        </w:rPr>
      </w:pP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为进一步规范住宅装修市场秩序，加强住宅装修管理，提高住宅装修质量，努力营造安全放心的住宅装修消费环境，经江苏省放心消费创建活动办公室和江苏省住房和城乡建设厅研究，决定在全省住宅装修行业开展放心消费创建活动，培育一批住宅装修放心消费创建优质、先进和示范企业，促进全省住宅装修行业健康、可持续发展。</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按照全省放心消费创建活动总目标要求，针对我省住宅装修行业的特点，制定江苏省住宅装修行业开展放心消费创建活动实施方案。</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一、指导思想</w:t>
      </w:r>
    </w:p>
    <w:p>
      <w:pPr>
        <w:spacing w:line="460" w:lineRule="exact"/>
        <w:ind w:firstLine="472" w:firstLineChars="200"/>
        <w:rPr>
          <w:rFonts w:hint="eastAsia" w:eastAsia="方正仿宋_GBK"/>
          <w:color w:val="000000"/>
          <w:spacing w:val="-2"/>
          <w:sz w:val="24"/>
        </w:rPr>
      </w:pPr>
      <w:r>
        <w:rPr>
          <w:rFonts w:hint="eastAsia" w:eastAsia="方正仿宋_GBK"/>
          <w:color w:val="000000"/>
          <w:spacing w:val="-2"/>
          <w:sz w:val="24"/>
        </w:rPr>
        <w:t>以党的十八大和十八届三中、四中全会精神为指导，以规范全省住宅装修市场秩序，促进住宅产业转型升级和住宅产业现代化发展为目的，坚持政府主导、企业主体、行业自律、社会监督的创建工作原则，从提高行业工程质量和服务水平入手，着力提升全省住宅装修企业诚实守法信誉度、工程质量优良度、消费服务满意度、装修价格合理度、材料环保安全度、社会大众认同度，努力营造安全放心的住宅装修消费环境，为建设</w:t>
      </w:r>
      <w:r>
        <w:rPr>
          <w:rFonts w:eastAsia="方正仿宋_GBK"/>
          <w:color w:val="000000"/>
          <w:spacing w:val="-2"/>
          <w:sz w:val="24"/>
        </w:rPr>
        <w:t>“</w:t>
      </w:r>
      <w:r>
        <w:rPr>
          <w:rFonts w:hint="eastAsia" w:eastAsia="方正仿宋_GBK"/>
          <w:color w:val="000000"/>
          <w:spacing w:val="-2"/>
          <w:sz w:val="24"/>
        </w:rPr>
        <w:t>经济强、百姓富、环境美、社会文明程度高</w:t>
      </w:r>
      <w:r>
        <w:rPr>
          <w:rFonts w:eastAsia="方正仿宋_GBK"/>
          <w:color w:val="000000"/>
          <w:spacing w:val="-2"/>
          <w:sz w:val="24"/>
        </w:rPr>
        <w:t>”</w:t>
      </w:r>
      <w:r>
        <w:rPr>
          <w:rFonts w:hint="eastAsia" w:eastAsia="方正仿宋_GBK"/>
          <w:color w:val="000000"/>
          <w:spacing w:val="-2"/>
          <w:sz w:val="24"/>
        </w:rPr>
        <w:t>的新江苏做出积极贡献。</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二、工作目标</w:t>
      </w:r>
    </w:p>
    <w:p>
      <w:pPr>
        <w:spacing w:line="460" w:lineRule="exact"/>
        <w:ind w:firstLine="472" w:firstLineChars="200"/>
        <w:rPr>
          <w:rFonts w:hint="eastAsia" w:eastAsia="方正仿宋_GBK"/>
          <w:color w:val="000000"/>
          <w:spacing w:val="-2"/>
          <w:sz w:val="24"/>
        </w:rPr>
      </w:pPr>
      <w:r>
        <w:rPr>
          <w:rFonts w:hint="eastAsia" w:eastAsia="方正仿宋_GBK"/>
          <w:color w:val="000000"/>
          <w:spacing w:val="-2"/>
          <w:sz w:val="24"/>
        </w:rPr>
        <w:t>经过三至五年的努力，推进绿色环保装修，住宅装修产业得到较大发展；优化住宅装修消费和维权环境，住宅装修质量和群众满意度得到较大幅度提升；树立诚实守信意识，住宅装修放心消费创建优质、先进和示范企业得到社会广泛认可；住宅装修市场更加规范，住宅装修工厂化生产、装配化施工比率大幅提升。</w:t>
      </w:r>
    </w:p>
    <w:p>
      <w:pPr>
        <w:spacing w:line="460" w:lineRule="exact"/>
        <w:ind w:firstLine="472" w:firstLineChars="200"/>
        <w:rPr>
          <w:rFonts w:eastAsia="方正仿宋_GBK"/>
          <w:color w:val="000000"/>
          <w:spacing w:val="-2"/>
          <w:sz w:val="24"/>
        </w:rPr>
      </w:pPr>
      <w:r>
        <w:rPr>
          <w:rFonts w:ascii="Times New Roman" w:eastAsia="方正楷体_GBK"/>
          <w:color w:val="000000"/>
          <w:spacing w:val="-2"/>
          <w:sz w:val="24"/>
        </w:rPr>
        <w:t>——</w:t>
      </w:r>
      <w:r>
        <w:rPr>
          <w:rFonts w:hint="eastAsia" w:ascii="Times New Roman" w:eastAsia="方正楷体_GBK"/>
          <w:color w:val="000000"/>
          <w:spacing w:val="-2"/>
          <w:sz w:val="24"/>
        </w:rPr>
        <w:t>绿色环保装修深入推进。</w:t>
      </w:r>
      <w:r>
        <w:rPr>
          <w:rFonts w:hint="eastAsia" w:eastAsia="方正仿宋_GBK"/>
          <w:color w:val="000000"/>
          <w:spacing w:val="-2"/>
          <w:sz w:val="24"/>
        </w:rPr>
        <w:t>通过推广工厂化生产、装配化施工、标准化服务，促进企业转型升级，推进成品住宅建设。住宅装修装配化率达</w:t>
      </w:r>
      <w:r>
        <w:rPr>
          <w:rFonts w:eastAsia="方正仿宋_GBK"/>
          <w:color w:val="000000"/>
          <w:spacing w:val="-2"/>
          <w:sz w:val="24"/>
        </w:rPr>
        <w:t>30%</w:t>
      </w:r>
      <w:r>
        <w:rPr>
          <w:rFonts w:hint="eastAsia" w:eastAsia="方正仿宋_GBK"/>
          <w:color w:val="000000"/>
          <w:spacing w:val="-2"/>
          <w:sz w:val="24"/>
        </w:rPr>
        <w:t>以上，省辖市中心城区成品住房建设比率达到</w:t>
      </w:r>
      <w:r>
        <w:rPr>
          <w:rFonts w:eastAsia="方正仿宋_GBK"/>
          <w:color w:val="000000"/>
          <w:spacing w:val="-2"/>
          <w:sz w:val="24"/>
        </w:rPr>
        <w:t>50%</w:t>
      </w:r>
      <w:r>
        <w:rPr>
          <w:rFonts w:hint="eastAsia" w:eastAsia="方正仿宋_GBK"/>
          <w:color w:val="000000"/>
          <w:spacing w:val="-2"/>
          <w:sz w:val="24"/>
        </w:rPr>
        <w:t>。</w:t>
      </w:r>
    </w:p>
    <w:p>
      <w:pPr>
        <w:spacing w:line="460" w:lineRule="exact"/>
        <w:ind w:firstLine="472" w:firstLineChars="200"/>
        <w:rPr>
          <w:rFonts w:eastAsia="方正仿宋_GBK"/>
          <w:color w:val="000000"/>
          <w:spacing w:val="-2"/>
          <w:sz w:val="24"/>
        </w:rPr>
      </w:pPr>
      <w:r>
        <w:rPr>
          <w:rFonts w:ascii="Times New Roman" w:eastAsia="方正楷体_GBK"/>
          <w:color w:val="000000"/>
          <w:spacing w:val="-2"/>
          <w:sz w:val="24"/>
        </w:rPr>
        <w:t>——</w:t>
      </w:r>
      <w:r>
        <w:rPr>
          <w:rFonts w:hint="eastAsia" w:ascii="Times New Roman" w:eastAsia="方正楷体_GBK"/>
          <w:color w:val="000000"/>
          <w:spacing w:val="-2"/>
          <w:sz w:val="24"/>
        </w:rPr>
        <w:t>住宅装修服务水平明显提高。</w:t>
      </w:r>
      <w:r>
        <w:rPr>
          <w:rFonts w:hint="eastAsia" w:eastAsia="方正仿宋_GBK"/>
          <w:color w:val="000000"/>
          <w:spacing w:val="-2"/>
          <w:sz w:val="24"/>
        </w:rPr>
        <w:t>通过制定和完善行业规范与服务标准，推进装修企业按规范操作，按标准服务；建立住宅装修企业自律制度，完善投诉处理机制，建立与</w:t>
      </w:r>
      <w:r>
        <w:rPr>
          <w:rFonts w:eastAsia="方正仿宋_GBK"/>
          <w:color w:val="000000"/>
          <w:spacing w:val="-2"/>
          <w:sz w:val="24"/>
        </w:rPr>
        <w:t>12315</w:t>
      </w:r>
      <w:r>
        <w:rPr>
          <w:rFonts w:hint="eastAsia" w:eastAsia="方正仿宋_GBK"/>
          <w:color w:val="000000"/>
          <w:spacing w:val="-2"/>
          <w:sz w:val="24"/>
        </w:rPr>
        <w:t>投诉维权热线以及各级消协组织消费纠纷处理案件有效衔接机制；一般企业对消费者有效投诉处理率达到</w:t>
      </w:r>
      <w:r>
        <w:rPr>
          <w:rFonts w:eastAsia="方正仿宋_GBK"/>
          <w:color w:val="000000"/>
          <w:spacing w:val="-2"/>
          <w:sz w:val="24"/>
        </w:rPr>
        <w:t>90%</w:t>
      </w:r>
      <w:r>
        <w:rPr>
          <w:rFonts w:hint="eastAsia" w:eastAsia="方正仿宋_GBK"/>
          <w:color w:val="000000"/>
          <w:spacing w:val="-2"/>
          <w:sz w:val="24"/>
        </w:rPr>
        <w:t>，消费者对投诉处理综合满意率达到</w:t>
      </w:r>
      <w:r>
        <w:rPr>
          <w:rFonts w:eastAsia="方正仿宋_GBK"/>
          <w:color w:val="000000"/>
          <w:spacing w:val="-2"/>
          <w:sz w:val="24"/>
        </w:rPr>
        <w:t>80%</w:t>
      </w:r>
      <w:r>
        <w:rPr>
          <w:rFonts w:hint="eastAsia" w:eastAsia="方正仿宋_GBK"/>
          <w:color w:val="000000"/>
          <w:spacing w:val="-2"/>
          <w:sz w:val="24"/>
        </w:rPr>
        <w:t>以上；创建优质、先进和示范企业对消费者有效投诉处理率达到</w:t>
      </w:r>
      <w:r>
        <w:rPr>
          <w:rFonts w:eastAsia="方正仿宋_GBK"/>
          <w:color w:val="000000"/>
          <w:spacing w:val="-2"/>
          <w:sz w:val="24"/>
        </w:rPr>
        <w:t>100%</w:t>
      </w:r>
      <w:r>
        <w:rPr>
          <w:rFonts w:hint="eastAsia" w:eastAsia="方正仿宋_GBK"/>
          <w:color w:val="000000"/>
          <w:spacing w:val="-2"/>
          <w:sz w:val="24"/>
        </w:rPr>
        <w:t>，消费者对有效投诉处理满意率达到</w:t>
      </w:r>
      <w:r>
        <w:rPr>
          <w:rFonts w:eastAsia="方正仿宋_GBK"/>
          <w:color w:val="000000"/>
          <w:spacing w:val="-2"/>
          <w:sz w:val="24"/>
        </w:rPr>
        <w:t>90%</w:t>
      </w:r>
      <w:r>
        <w:rPr>
          <w:rFonts w:hint="eastAsia" w:eastAsia="方正仿宋_GBK"/>
          <w:color w:val="000000"/>
          <w:spacing w:val="-2"/>
          <w:sz w:val="24"/>
        </w:rPr>
        <w:t>以上。</w:t>
      </w:r>
    </w:p>
    <w:p>
      <w:pPr>
        <w:spacing w:line="460" w:lineRule="exact"/>
        <w:ind w:firstLine="472" w:firstLineChars="200"/>
        <w:rPr>
          <w:rFonts w:eastAsia="方正仿宋_GBK"/>
          <w:color w:val="000000"/>
          <w:spacing w:val="-2"/>
          <w:sz w:val="24"/>
        </w:rPr>
      </w:pPr>
      <w:r>
        <w:rPr>
          <w:rFonts w:ascii="Times New Roman" w:eastAsia="方正楷体_GBK"/>
          <w:color w:val="000000"/>
          <w:spacing w:val="-2"/>
          <w:sz w:val="24"/>
        </w:rPr>
        <w:t>——</w:t>
      </w:r>
      <w:r>
        <w:rPr>
          <w:rFonts w:hint="eastAsia" w:ascii="Times New Roman" w:eastAsia="方正楷体_GBK"/>
          <w:color w:val="000000"/>
          <w:spacing w:val="-2"/>
          <w:sz w:val="24"/>
        </w:rPr>
        <w:t>住宅装修行业诚信体系初步建立。</w:t>
      </w:r>
      <w:r>
        <w:rPr>
          <w:rFonts w:hint="eastAsia" w:eastAsia="方正仿宋_GBK"/>
          <w:color w:val="000000"/>
          <w:spacing w:val="-2"/>
          <w:sz w:val="24"/>
        </w:rPr>
        <w:t>通过放心消费创建评价与考核，逐步建立一套符合我省装修行业特色的行业信用评价指标体系和信用监管信息系统，充分吸纳社会各方对装修企业的评价意见，努力营造诚实守信和社会各方监督的放心消费浓厚氛围，推进企业依法经营，规范服务。</w:t>
      </w:r>
    </w:p>
    <w:p>
      <w:pPr>
        <w:spacing w:line="460" w:lineRule="exact"/>
        <w:ind w:firstLine="472" w:firstLineChars="200"/>
        <w:rPr>
          <w:rFonts w:eastAsia="方正仿宋_GBK"/>
          <w:color w:val="000000"/>
          <w:spacing w:val="-2"/>
          <w:sz w:val="24"/>
        </w:rPr>
      </w:pPr>
      <w:r>
        <w:rPr>
          <w:rFonts w:ascii="Times New Roman" w:eastAsia="方正楷体_GBK"/>
          <w:color w:val="000000"/>
          <w:spacing w:val="-2"/>
          <w:sz w:val="24"/>
        </w:rPr>
        <w:t>——</w:t>
      </w:r>
      <w:r>
        <w:rPr>
          <w:rFonts w:hint="eastAsia" w:ascii="Times New Roman" w:eastAsia="方正楷体_GBK"/>
          <w:color w:val="000000"/>
          <w:spacing w:val="-2"/>
          <w:sz w:val="24"/>
        </w:rPr>
        <w:t>住宅装修市场进一步规范。</w:t>
      </w:r>
      <w:r>
        <w:rPr>
          <w:rFonts w:hint="eastAsia" w:eastAsia="方正仿宋_GBK"/>
          <w:color w:val="000000"/>
          <w:spacing w:val="-2"/>
          <w:sz w:val="24"/>
        </w:rPr>
        <w:t>通过开展放心消费创建活动，推进各地进一步健全监管机构，完善监管机制，加大对企业的诚实守信度、质量优良度、服务满意度、价格合理度、材料环保度的消费者满意度考评，使消费者对住宅装修满意度逐年提升，综合满意率达到</w:t>
      </w:r>
      <w:r>
        <w:rPr>
          <w:rFonts w:eastAsia="方正仿宋_GBK"/>
          <w:color w:val="000000"/>
          <w:spacing w:val="-2"/>
          <w:sz w:val="24"/>
        </w:rPr>
        <w:t>80%</w:t>
      </w:r>
      <w:r>
        <w:rPr>
          <w:rFonts w:hint="eastAsia" w:eastAsia="方正仿宋_GBK"/>
          <w:color w:val="000000"/>
          <w:spacing w:val="-2"/>
          <w:sz w:val="24"/>
        </w:rPr>
        <w:t>以上。</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三、组织领导</w:t>
      </w:r>
    </w:p>
    <w:p>
      <w:pPr>
        <w:spacing w:line="460" w:lineRule="exact"/>
        <w:ind w:firstLine="472" w:firstLineChars="200"/>
        <w:rPr>
          <w:rFonts w:hint="eastAsia" w:eastAsia="方正仿宋_GBK"/>
          <w:color w:val="000000"/>
          <w:spacing w:val="-2"/>
          <w:sz w:val="24"/>
        </w:rPr>
      </w:pPr>
      <w:r>
        <w:rPr>
          <w:rFonts w:hint="eastAsia" w:eastAsia="方正仿宋_GBK"/>
          <w:color w:val="000000"/>
          <w:spacing w:val="-2"/>
          <w:sz w:val="24"/>
        </w:rPr>
        <w:t>创建工作本着</w:t>
      </w:r>
      <w:r>
        <w:rPr>
          <w:rFonts w:eastAsia="方正仿宋_GBK"/>
          <w:color w:val="000000"/>
          <w:spacing w:val="-2"/>
          <w:sz w:val="24"/>
        </w:rPr>
        <w:t>“</w:t>
      </w:r>
      <w:r>
        <w:rPr>
          <w:rFonts w:hint="eastAsia" w:eastAsia="方正仿宋_GBK"/>
          <w:color w:val="000000"/>
          <w:spacing w:val="-2"/>
          <w:sz w:val="24"/>
        </w:rPr>
        <w:t>政府主导、企业主体、行业自律、社会监督</w:t>
      </w:r>
      <w:r>
        <w:rPr>
          <w:rFonts w:eastAsia="方正仿宋_GBK"/>
          <w:color w:val="000000"/>
          <w:spacing w:val="-2"/>
          <w:sz w:val="24"/>
        </w:rPr>
        <w:t>”</w:t>
      </w:r>
      <w:r>
        <w:rPr>
          <w:rFonts w:hint="eastAsia" w:eastAsia="方正仿宋_GBK"/>
          <w:color w:val="000000"/>
          <w:spacing w:val="-2"/>
          <w:sz w:val="24"/>
        </w:rPr>
        <w:t>的原则进行。省放心消费创建办公室与省住房和城乡建设厅联合成立省住宅装修放心消费创建领导小组，两部门分管领导担任领导小组组长。领导小组下设创建办公室，创建办公室设在省住房和城乡建设厅装饰装修发展中心。创建办公室负责创建工作的组织协调、情况通报等工作。装饰装修行业协会受创建办委托，具体负责宣传动员、组织申报、材料审查、现场抽查考评等具体工作。</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各市放心消费创建办公室与住宅装修行业行政主管部门也应成立相应组织，领导和统筹协调本地区住宅装修放心消费创建工作。市住宅装修行业行政主管部门应指定一位分管局领导具体负责，并设立或明确牵头处（科）室和具体联系人，负责本辖区住宅装修放心消费创建组织协调工作。</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四、工作步骤</w:t>
      </w:r>
    </w:p>
    <w:p>
      <w:pPr>
        <w:spacing w:line="460" w:lineRule="exact"/>
        <w:ind w:firstLine="472" w:firstLineChars="200"/>
        <w:rPr>
          <w:rFonts w:hint="eastAsia" w:eastAsia="方正仿宋_GBK"/>
          <w:color w:val="000000"/>
          <w:spacing w:val="-2"/>
          <w:sz w:val="24"/>
        </w:rPr>
      </w:pPr>
      <w:r>
        <w:rPr>
          <w:rFonts w:hint="eastAsia" w:ascii="Times New Roman" w:eastAsia="方正楷体_GBK"/>
          <w:color w:val="000000"/>
          <w:spacing w:val="-2"/>
          <w:sz w:val="24"/>
        </w:rPr>
        <w:t>（一）组织发动。</w:t>
      </w:r>
      <w:r>
        <w:rPr>
          <w:rFonts w:hint="eastAsia" w:eastAsia="方正仿宋_GBK"/>
          <w:color w:val="000000"/>
          <w:spacing w:val="-2"/>
          <w:sz w:val="24"/>
        </w:rPr>
        <w:t>住宅装修放心消费创建活动自</w:t>
      </w:r>
      <w:r>
        <w:rPr>
          <w:rFonts w:eastAsia="方正仿宋_GBK"/>
          <w:color w:val="000000"/>
          <w:spacing w:val="-2"/>
          <w:sz w:val="24"/>
        </w:rPr>
        <w:t>2015</w:t>
      </w:r>
      <w:r>
        <w:rPr>
          <w:rFonts w:hint="eastAsia" w:eastAsia="方正仿宋_GBK"/>
          <w:color w:val="000000"/>
          <w:spacing w:val="-2"/>
          <w:sz w:val="24"/>
        </w:rPr>
        <w:t>年</w:t>
      </w:r>
      <w:r>
        <w:rPr>
          <w:rFonts w:eastAsia="方正仿宋_GBK"/>
          <w:color w:val="000000"/>
          <w:spacing w:val="-2"/>
          <w:sz w:val="24"/>
        </w:rPr>
        <w:t>3</w:t>
      </w:r>
      <w:r>
        <w:rPr>
          <w:rFonts w:hint="eastAsia" w:eastAsia="方正仿宋_GBK"/>
          <w:color w:val="000000"/>
          <w:spacing w:val="-2"/>
          <w:sz w:val="24"/>
        </w:rPr>
        <w:t>月份开始。各市应结合本地实际，采取多种形式开展宣传、发动工作，组织住宅装修企业积极参与放心消费创建活动，并指导参创单位以不同形式向社会公开</w:t>
      </w:r>
      <w:r>
        <w:rPr>
          <w:rFonts w:eastAsia="方正仿宋_GBK"/>
          <w:color w:val="000000"/>
          <w:spacing w:val="-2"/>
          <w:sz w:val="24"/>
        </w:rPr>
        <w:t>“</w:t>
      </w:r>
      <w:r>
        <w:rPr>
          <w:rFonts w:hint="eastAsia" w:eastAsia="方正仿宋_GBK"/>
          <w:color w:val="000000"/>
          <w:spacing w:val="-2"/>
          <w:sz w:val="24"/>
        </w:rPr>
        <w:t>诚信经营、放心消费</w:t>
      </w:r>
      <w:r>
        <w:rPr>
          <w:rFonts w:eastAsia="方正仿宋_GBK"/>
          <w:color w:val="000000"/>
          <w:spacing w:val="-2"/>
          <w:sz w:val="24"/>
        </w:rPr>
        <w:t>”</w:t>
      </w:r>
      <w:r>
        <w:rPr>
          <w:rFonts w:hint="eastAsia" w:eastAsia="方正仿宋_GBK"/>
          <w:color w:val="000000"/>
          <w:spacing w:val="-2"/>
          <w:sz w:val="24"/>
        </w:rPr>
        <w:t>承诺，接受社会监督。</w:t>
      </w:r>
    </w:p>
    <w:p>
      <w:pPr>
        <w:spacing w:line="460" w:lineRule="exact"/>
        <w:ind w:firstLine="472" w:firstLineChars="200"/>
        <w:rPr>
          <w:rFonts w:eastAsia="方正仿宋_GBK"/>
          <w:color w:val="000000"/>
          <w:spacing w:val="-2"/>
          <w:sz w:val="24"/>
        </w:rPr>
      </w:pPr>
      <w:r>
        <w:rPr>
          <w:rFonts w:hint="eastAsia" w:ascii="Times New Roman" w:eastAsia="方正楷体_GBK"/>
          <w:color w:val="000000"/>
          <w:spacing w:val="-2"/>
          <w:sz w:val="24"/>
        </w:rPr>
        <w:t>（二）试点先行。</w:t>
      </w:r>
      <w:r>
        <w:rPr>
          <w:rFonts w:hint="eastAsia" w:eastAsia="方正仿宋_GBK"/>
          <w:color w:val="000000"/>
          <w:spacing w:val="-2"/>
          <w:sz w:val="24"/>
        </w:rPr>
        <w:t>各市在广泛动员和精心部署的前提下，组织辖区内住宅装修骨干企业或龙头企业，作为首批住宅装修放心消费创建试点单位参与创建，指导企业填写申报表，制定创建活动实施方案，并将相关材料报省装饰装修行业协会，由省住宅装修放心消费创建领导小组审核确定年度放心消费参创试点单位。</w:t>
      </w:r>
    </w:p>
    <w:p>
      <w:pPr>
        <w:spacing w:line="460" w:lineRule="exact"/>
        <w:ind w:firstLine="472" w:firstLineChars="200"/>
        <w:rPr>
          <w:rFonts w:eastAsia="方正仿宋_GBK"/>
          <w:color w:val="000000"/>
          <w:spacing w:val="-2"/>
          <w:sz w:val="24"/>
        </w:rPr>
      </w:pPr>
      <w:r>
        <w:rPr>
          <w:rFonts w:hint="eastAsia" w:ascii="Times New Roman" w:eastAsia="方正楷体_GBK"/>
          <w:color w:val="000000"/>
          <w:spacing w:val="-2"/>
          <w:sz w:val="24"/>
        </w:rPr>
        <w:t>（三）逐步推开。</w:t>
      </w:r>
      <w:r>
        <w:rPr>
          <w:rFonts w:hint="eastAsia" w:eastAsia="方正仿宋_GBK"/>
          <w:color w:val="000000"/>
          <w:spacing w:val="-2"/>
          <w:sz w:val="24"/>
        </w:rPr>
        <w:t>在开展创建试点的基础上，积极探索、总结创建试点经验，并通过召开创建工作讲评会、交流会和现场推进会等多种形式，有计划、有步骤地鼓励和引导其它企业积极参与创建，逐步实现创建工作全覆盖。</w:t>
      </w:r>
    </w:p>
    <w:p>
      <w:pPr>
        <w:spacing w:line="460" w:lineRule="exact"/>
        <w:ind w:firstLine="472" w:firstLineChars="200"/>
        <w:rPr>
          <w:rFonts w:eastAsia="方正仿宋_GBK"/>
          <w:color w:val="000000"/>
          <w:spacing w:val="-2"/>
          <w:sz w:val="24"/>
        </w:rPr>
      </w:pPr>
      <w:r>
        <w:rPr>
          <w:rFonts w:hint="eastAsia" w:ascii="Times New Roman" w:eastAsia="方正楷体_GBK"/>
          <w:color w:val="000000"/>
          <w:spacing w:val="-2"/>
          <w:sz w:val="24"/>
        </w:rPr>
        <w:t>（四）考核认定。</w:t>
      </w:r>
      <w:r>
        <w:rPr>
          <w:rFonts w:hint="eastAsia" w:eastAsia="方正仿宋_GBK"/>
          <w:color w:val="000000"/>
          <w:spacing w:val="-2"/>
          <w:sz w:val="24"/>
        </w:rPr>
        <w:t>各地住宅装修行业行政主管部门按照放心消费创建的要求和《江苏省住宅装修业放心消费创建标准》，协调行业协会组织对申报参创的企业进行考评，并将符合省级住宅装修放心消费创建标准的优质、先进和示范企业，上报省装饰装修协会。</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省住宅装修放心消费创建办公室协调行业协会组织相关专家，采取抽查、验收等方式对申报企业创建情况进行复核，并将符合创建标准的企业在主要媒体进行公示，经公示无异议的，由省住宅装修放心消费创建领导小组予以正式认定与命名为省级放心消费创建优质企业、先进企业和示范企业，颁发相应证书与奖牌。</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五、工作措施</w:t>
      </w:r>
    </w:p>
    <w:p>
      <w:pPr>
        <w:spacing w:line="460" w:lineRule="exact"/>
        <w:ind w:firstLine="472" w:firstLineChars="200"/>
        <w:rPr>
          <w:rFonts w:hint="eastAsia" w:eastAsia="方正仿宋_GBK"/>
          <w:color w:val="000000"/>
          <w:spacing w:val="-2"/>
          <w:sz w:val="24"/>
        </w:rPr>
      </w:pPr>
      <w:r>
        <w:rPr>
          <w:rFonts w:hint="eastAsia" w:ascii="Times New Roman" w:eastAsia="方正楷体_GBK"/>
          <w:color w:val="000000"/>
          <w:spacing w:val="-2"/>
          <w:sz w:val="24"/>
        </w:rPr>
        <w:t>（一）建立住宅装修放心消费创建统筹协调机制。</w:t>
      </w:r>
      <w:r>
        <w:rPr>
          <w:rFonts w:hint="eastAsia" w:eastAsia="方正仿宋_GBK"/>
          <w:color w:val="000000"/>
          <w:spacing w:val="-2"/>
          <w:sz w:val="24"/>
        </w:rPr>
        <w:t>各省辖市放心消费创建办公室与各市住宅装修行业行政主管部门，应建立健全住宅装修行业放心消费创建联席会议、情况通报、检查考评等工作制度，完善统筹协调机制，加强对本市及所辖县（市、区）住宅装修企业放心消费创建工作的指导检查。</w:t>
      </w:r>
    </w:p>
    <w:p>
      <w:pPr>
        <w:spacing w:line="460" w:lineRule="exact"/>
        <w:ind w:firstLine="472" w:firstLineChars="200"/>
        <w:rPr>
          <w:rFonts w:eastAsia="方正仿宋_GBK"/>
          <w:color w:val="000000"/>
          <w:spacing w:val="-2"/>
          <w:sz w:val="24"/>
        </w:rPr>
      </w:pPr>
      <w:r>
        <w:rPr>
          <w:rFonts w:hint="eastAsia" w:ascii="Times New Roman" w:eastAsia="方正楷体_GBK"/>
          <w:color w:val="000000"/>
          <w:spacing w:val="-2"/>
          <w:sz w:val="24"/>
        </w:rPr>
        <w:t>（二）明确住宅装修放心消费创建各方职责。</w:t>
      </w:r>
      <w:r>
        <w:rPr>
          <w:rFonts w:hint="eastAsia" w:eastAsia="方正仿宋_GBK"/>
          <w:color w:val="000000"/>
          <w:spacing w:val="-2"/>
          <w:sz w:val="24"/>
        </w:rPr>
        <w:t>各市放心消费创建办公室负责对本地区住宅装修放心消费创建工作进行指导，鼓励、支持住宅装修企业积极参与创建；各级住宅装修行业行政主管部门具体负责创建组织协调工作，并通过不断创新创建方式、方法，努力提高创建整体水平；各地装饰装修行业协会要充分发挥桥梁纽带作用，协助行业行政主管部门做好住宅装修放心消费创建宣传发动、材料申报、现场检查考核等相关具体工作，并加强和改善行业协会在消费维权方面的作用；各参创企业应建立健全企业自律制度，落实创建责任分工，提高创建知晓度，主动接受社会监督。</w:t>
      </w:r>
    </w:p>
    <w:p>
      <w:pPr>
        <w:spacing w:line="460" w:lineRule="exact"/>
        <w:ind w:firstLine="472" w:firstLineChars="200"/>
        <w:rPr>
          <w:rFonts w:eastAsia="方正仿宋_GBK"/>
          <w:color w:val="000000"/>
          <w:spacing w:val="-2"/>
          <w:sz w:val="24"/>
        </w:rPr>
      </w:pPr>
      <w:r>
        <w:rPr>
          <w:rFonts w:hint="eastAsia" w:ascii="Times New Roman" w:eastAsia="方正楷体_GBK"/>
          <w:color w:val="000000"/>
          <w:spacing w:val="-2"/>
          <w:sz w:val="24"/>
        </w:rPr>
        <w:t>（三）鼓励和支持住宅装修企业依法按规经营。</w:t>
      </w:r>
      <w:r>
        <w:rPr>
          <w:rFonts w:hint="eastAsia" w:eastAsia="方正仿宋_GBK"/>
          <w:color w:val="000000"/>
          <w:spacing w:val="-2"/>
          <w:sz w:val="24"/>
        </w:rPr>
        <w:t>加大住宅装修企业违法、违规行为查处力度，特别是加大对以次充好，价格欺诈，虚假宣传等重难点问题的治理力度，严厉打击侵害消费者权益行为。对守法诚信经营企业，在相关政策上给予支持和扶持，努力营造安全放心住宅装修业消费环境，维护消费者合法权益；加强对参创企业投诉受（处）理机制及档案的指导，发现问题，及时帮助参创企业进行整改完善，努力提升参创企业自我化解矛盾纠纷能力。</w:t>
      </w:r>
    </w:p>
    <w:p>
      <w:pPr>
        <w:spacing w:line="460" w:lineRule="exact"/>
        <w:ind w:firstLine="472" w:firstLineChars="200"/>
        <w:rPr>
          <w:rFonts w:eastAsia="方正仿宋_GBK"/>
          <w:color w:val="000000"/>
          <w:spacing w:val="-2"/>
          <w:sz w:val="24"/>
        </w:rPr>
      </w:pPr>
      <w:r>
        <w:rPr>
          <w:rFonts w:hint="eastAsia" w:ascii="Times New Roman" w:eastAsia="方正楷体_GBK"/>
          <w:color w:val="000000"/>
          <w:spacing w:val="-2"/>
          <w:sz w:val="24"/>
        </w:rPr>
        <w:t>（四）加大住宅装修优质先进示范企业推荐力度。</w:t>
      </w:r>
      <w:r>
        <w:rPr>
          <w:rFonts w:hint="eastAsia" w:eastAsia="方正仿宋_GBK"/>
          <w:color w:val="000000"/>
          <w:spacing w:val="-2"/>
          <w:sz w:val="24"/>
        </w:rPr>
        <w:t>积极与新闻媒体及相关宣传机构沟通协调，大力宣传和推荐住宅装修放心消费创建优质、先进和示范企业，努力营造</w:t>
      </w:r>
      <w:r>
        <w:rPr>
          <w:rFonts w:eastAsia="方正仿宋_GBK"/>
          <w:color w:val="000000"/>
          <w:spacing w:val="-2"/>
          <w:sz w:val="24"/>
        </w:rPr>
        <w:t>“</w:t>
      </w:r>
      <w:r>
        <w:rPr>
          <w:rFonts w:hint="eastAsia" w:eastAsia="方正仿宋_GBK"/>
          <w:color w:val="000000"/>
          <w:spacing w:val="-2"/>
          <w:sz w:val="24"/>
        </w:rPr>
        <w:t>守信受益，失信惩戒</w:t>
      </w:r>
      <w:r>
        <w:rPr>
          <w:rFonts w:eastAsia="方正仿宋_GBK"/>
          <w:color w:val="000000"/>
          <w:spacing w:val="-2"/>
          <w:sz w:val="24"/>
        </w:rPr>
        <w:t>”</w:t>
      </w:r>
      <w:r>
        <w:rPr>
          <w:rFonts w:hint="eastAsia" w:eastAsia="方正仿宋_GBK"/>
          <w:color w:val="000000"/>
          <w:spacing w:val="-2"/>
          <w:sz w:val="24"/>
        </w:rPr>
        <w:t>的舆论氛围。加强政策研究，鼓励优质诚信企业做大、做强、做优，并充分发挥示范带头作用，做诚信的表率，有诺必践，取信于民，推进住宅装修行业健康发展。</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六、工作要求</w:t>
      </w:r>
    </w:p>
    <w:p>
      <w:pPr>
        <w:spacing w:line="460" w:lineRule="exact"/>
        <w:ind w:firstLine="472" w:firstLineChars="200"/>
        <w:rPr>
          <w:rFonts w:hint="eastAsia" w:eastAsia="方正仿宋_GBK"/>
          <w:color w:val="000000"/>
          <w:spacing w:val="-2"/>
          <w:sz w:val="24"/>
        </w:rPr>
      </w:pPr>
      <w:r>
        <w:rPr>
          <w:rFonts w:hint="eastAsia" w:ascii="Times New Roman" w:eastAsia="方正楷体_GBK"/>
          <w:color w:val="000000"/>
          <w:spacing w:val="-2"/>
          <w:sz w:val="24"/>
        </w:rPr>
        <w:t>（一）高度重视，切实加强对住宅装修放心消费创建工作的组织领导。</w:t>
      </w:r>
      <w:r>
        <w:rPr>
          <w:rFonts w:hint="eastAsia" w:eastAsia="方正仿宋_GBK"/>
          <w:color w:val="000000"/>
          <w:spacing w:val="-2"/>
          <w:sz w:val="24"/>
        </w:rPr>
        <w:t>放心消费创建是省委省政府为民办实事的重要内容，各地、各级住宅装修行业行政主管部门要高度重视，切实把创建活动作为规范住宅装修市场行为、提升消费需求、促进经济增长和保障改善民生的重要工作来抓，建立健全组织机构，明确责任分工，制定创建计划和实施方案，加强组织领导，确保创建各项任务落到实处。</w:t>
      </w:r>
    </w:p>
    <w:p>
      <w:pPr>
        <w:spacing w:line="460" w:lineRule="exact"/>
        <w:ind w:firstLine="472" w:firstLineChars="200"/>
        <w:rPr>
          <w:rFonts w:eastAsia="方正仿宋_GBK"/>
          <w:color w:val="000000"/>
          <w:spacing w:val="-2"/>
          <w:sz w:val="24"/>
        </w:rPr>
      </w:pPr>
      <w:r>
        <w:rPr>
          <w:rFonts w:hint="eastAsia" w:ascii="Times New Roman" w:eastAsia="方正楷体_GBK"/>
          <w:color w:val="000000"/>
          <w:spacing w:val="-2"/>
          <w:sz w:val="24"/>
        </w:rPr>
        <w:t>（二）突出重点，着力加大对住宅装修放心消费创建试点工作指导力度。</w:t>
      </w:r>
      <w:r>
        <w:rPr>
          <w:rFonts w:hint="eastAsia" w:eastAsia="方正仿宋_GBK"/>
          <w:color w:val="000000"/>
          <w:spacing w:val="-2"/>
          <w:sz w:val="24"/>
        </w:rPr>
        <w:t>对已确定的创建试点企业，各级放心消费创建办公室和住宅装修业主管部门要关口前移，靠前服务，帮助制定和落实创建工作方案、标准，并指导企业向社会进行公开放心消费承诺，接受社会和消费者的监督；要及时总结和宣传创建试点企业在规范经营行为、营造放心消费环境等方面所取得的成绩和好的经验做法，以点带面，积极推进住宅装修全行业放心消费创建工作。</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ascii="Times New Roman" w:eastAsia="方正楷体_GBK"/>
          <w:color w:val="000000"/>
          <w:spacing w:val="-2"/>
          <w:sz w:val="24"/>
        </w:rPr>
        <w:t>（三）注重培训，扎实提升住宅装修企业经营管理水平。</w:t>
      </w:r>
      <w:r>
        <w:rPr>
          <w:rFonts w:hint="eastAsia" w:eastAsia="方正仿宋_GBK"/>
          <w:color w:val="000000"/>
          <w:spacing w:val="-2"/>
          <w:sz w:val="24"/>
        </w:rPr>
        <w:t>要建立健全住宅装修从业人员教育培训制度，切实加强从业人员，特别是项目经理、设计师、工程监理师等骨干人员的职业道德和专业技术培训，树立诚信服务、高品质服务意识，健全亮证服务和诚信奖惩机制，努力提升从业人员综合素质；要加强放心消费创建试点企业全员诚信经营、放心消费宣传教育，建立员工诚信考核评价档案，完善内部自律制度，不断提升试点企业创建质量和水平。</w:t>
      </w:r>
    </w:p>
    <w:p>
      <w:pPr>
        <w:spacing w:line="460" w:lineRule="exact"/>
        <w:ind w:firstLine="472" w:firstLineChars="200"/>
        <w:rPr>
          <w:rFonts w:eastAsia="方正仿宋_GBK"/>
          <w:color w:val="000000"/>
          <w:spacing w:val="-2"/>
          <w:sz w:val="24"/>
        </w:rPr>
      </w:pPr>
      <w:r>
        <w:rPr>
          <w:rFonts w:hint="eastAsia" w:ascii="Times New Roman" w:eastAsia="方正楷体_GBK"/>
          <w:color w:val="000000"/>
          <w:spacing w:val="-2"/>
          <w:sz w:val="24"/>
        </w:rPr>
        <w:t>（四）严格质量，确保创建试点单位处于全行业领先水平。</w:t>
      </w:r>
      <w:r>
        <w:rPr>
          <w:rFonts w:hint="eastAsia" w:eastAsia="方正仿宋_GBK"/>
          <w:color w:val="000000"/>
          <w:spacing w:val="-2"/>
          <w:sz w:val="24"/>
        </w:rPr>
        <w:t>各级住宅装修行业行政主管部门在确定试点单位时，应会同当地放心消费创建办公室广泛征求社会各界意见和建议，深入了解企业经营、投诉处理以及广大业主反映情况，确保创建试点质量。每个省辖市确定并上报省级试点单位原则上不超过</w:t>
      </w:r>
      <w:r>
        <w:rPr>
          <w:rFonts w:eastAsia="方正仿宋_GBK"/>
          <w:color w:val="000000"/>
          <w:spacing w:val="-2"/>
          <w:sz w:val="24"/>
        </w:rPr>
        <w:t>5</w:t>
      </w:r>
      <w:r>
        <w:rPr>
          <w:rFonts w:hint="eastAsia" w:eastAsia="方正仿宋_GBK"/>
          <w:color w:val="000000"/>
          <w:spacing w:val="-2"/>
          <w:sz w:val="24"/>
        </w:rPr>
        <w:t>个，对基础条件较好的地区，数量可适当增加，但以不超过</w:t>
      </w:r>
      <w:r>
        <w:rPr>
          <w:rFonts w:eastAsia="方正仿宋_GBK"/>
          <w:color w:val="000000"/>
          <w:spacing w:val="-2"/>
          <w:sz w:val="24"/>
        </w:rPr>
        <w:t>8</w:t>
      </w:r>
      <w:r>
        <w:rPr>
          <w:rFonts w:hint="eastAsia" w:eastAsia="方正仿宋_GBK"/>
          <w:color w:val="000000"/>
          <w:spacing w:val="-2"/>
          <w:sz w:val="24"/>
        </w:rPr>
        <w:t>个为限。各地确定的本地区创建试点单位，经本级放心消费创建办公室审核确认，应及时向社会进行公布。</w:t>
      </w:r>
    </w:p>
    <w:p>
      <w:pPr>
        <w:spacing w:line="460" w:lineRule="exact"/>
        <w:ind w:firstLine="472" w:firstLineChars="200"/>
        <w:rPr>
          <w:rFonts w:eastAsia="方正仿宋_GBK"/>
          <w:color w:val="000000"/>
          <w:spacing w:val="-2"/>
          <w:sz w:val="24"/>
        </w:rPr>
      </w:pPr>
      <w:r>
        <w:rPr>
          <w:rFonts w:hint="eastAsia" w:ascii="Times New Roman" w:eastAsia="方正楷体_GBK"/>
          <w:color w:val="000000"/>
          <w:spacing w:val="-2"/>
          <w:sz w:val="24"/>
        </w:rPr>
        <w:t>（五）加强宣传，努力营造良好的创建舆论氛围。</w:t>
      </w:r>
      <w:r>
        <w:rPr>
          <w:rFonts w:hint="eastAsia" w:eastAsia="方正仿宋_GBK"/>
          <w:color w:val="000000"/>
          <w:spacing w:val="-2"/>
          <w:sz w:val="24"/>
        </w:rPr>
        <w:t>各级住宅装修业主管部门要主动会同当地放心消费创建办公室，协调住宅装饰装修行业协会，通过召开所在地区住宅装修放心消费创建活动动员会、组织消费维权活动、向所在地区群众发放创建宣传资料，在创建企业经营、服务场所和装修工地张贴放心消费创建标识和提示语，并利用创建企业现有的广告牌、宣传栏、橱窗等进行创建宣传，大力营造住宅装修放心消费创建活动的浓厚氛围，使消费者对住宅装修放心消费创建活动的知晓率、认同度达</w:t>
      </w:r>
      <w:r>
        <w:rPr>
          <w:rFonts w:eastAsia="方正仿宋_GBK"/>
          <w:color w:val="000000"/>
          <w:spacing w:val="-2"/>
          <w:sz w:val="24"/>
        </w:rPr>
        <w:t>80%</w:t>
      </w:r>
      <w:r>
        <w:rPr>
          <w:rFonts w:hint="eastAsia" w:eastAsia="方正仿宋_GBK"/>
          <w:color w:val="000000"/>
          <w:spacing w:val="-2"/>
          <w:sz w:val="24"/>
        </w:rPr>
        <w:t>以上。</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各市住宅装修行业行政主管部门于</w:t>
      </w:r>
      <w:r>
        <w:rPr>
          <w:rFonts w:eastAsia="方正仿宋_GBK"/>
          <w:color w:val="000000"/>
          <w:spacing w:val="-2"/>
          <w:sz w:val="24"/>
        </w:rPr>
        <w:t>2015</w:t>
      </w:r>
      <w:r>
        <w:rPr>
          <w:rFonts w:hint="eastAsia" w:eastAsia="方正仿宋_GBK"/>
          <w:color w:val="000000"/>
          <w:spacing w:val="-2"/>
          <w:sz w:val="24"/>
        </w:rPr>
        <w:t>年</w:t>
      </w:r>
      <w:r>
        <w:rPr>
          <w:rFonts w:eastAsia="方正仿宋_GBK"/>
          <w:color w:val="000000"/>
          <w:spacing w:val="-2"/>
          <w:sz w:val="24"/>
        </w:rPr>
        <w:t>3</w:t>
      </w:r>
      <w:r>
        <w:rPr>
          <w:rFonts w:hint="eastAsia" w:eastAsia="方正仿宋_GBK"/>
          <w:color w:val="000000"/>
          <w:spacing w:val="-2"/>
          <w:sz w:val="24"/>
        </w:rPr>
        <w:t>月</w:t>
      </w:r>
      <w:r>
        <w:rPr>
          <w:rFonts w:eastAsia="方正仿宋_GBK"/>
          <w:color w:val="000000"/>
          <w:spacing w:val="-2"/>
          <w:sz w:val="24"/>
        </w:rPr>
        <w:t>10</w:t>
      </w:r>
      <w:r>
        <w:rPr>
          <w:rFonts w:hint="eastAsia" w:eastAsia="方正仿宋_GBK"/>
          <w:color w:val="000000"/>
          <w:spacing w:val="-2"/>
          <w:sz w:val="24"/>
        </w:rPr>
        <w:t>日前，将住宅装修放心消费创建分管局领导、牵头处室负责人和具体联系人员名单、联系方式（见附件），报省住房和城乡建设厅住宅装修放心消费创建办公室。</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在实施过程中如有问题或者建议，请及时联系和反馈。</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江苏省住房和城乡建设厅装饰装修发展中心</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联系人：高枫</w:t>
      </w:r>
      <w:r>
        <w:rPr>
          <w:rFonts w:eastAsia="方正仿宋_GBK"/>
          <w:color w:val="000000"/>
          <w:spacing w:val="-2"/>
          <w:sz w:val="24"/>
        </w:rPr>
        <w:t xml:space="preserve">       </w:t>
      </w:r>
      <w:r>
        <w:rPr>
          <w:rFonts w:hint="eastAsia" w:eastAsia="方正仿宋_GBK"/>
          <w:color w:val="000000"/>
          <w:spacing w:val="-2"/>
          <w:sz w:val="24"/>
        </w:rPr>
        <w:t>联系电话：</w:t>
      </w:r>
      <w:r>
        <w:rPr>
          <w:rFonts w:eastAsia="方正仿宋_GBK"/>
          <w:color w:val="000000"/>
          <w:spacing w:val="-2"/>
          <w:sz w:val="24"/>
        </w:rPr>
        <w:t xml:space="preserve">025--51868687 </w:t>
      </w:r>
      <w:r>
        <w:rPr>
          <w:rFonts w:hint="eastAsia" w:eastAsia="方正仿宋_GBK"/>
          <w:color w:val="000000"/>
          <w:spacing w:val="-2"/>
          <w:sz w:val="24"/>
        </w:rPr>
        <w:t>（传真）</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电子邮箱：</w:t>
      </w:r>
      <w:r>
        <w:fldChar w:fldCharType="begin"/>
      </w:r>
      <w:r>
        <w:instrText xml:space="preserve"> HYPERLINK "mailto:264420977@qq.com" </w:instrText>
      </w:r>
      <w:r>
        <w:fldChar w:fldCharType="separate"/>
      </w:r>
      <w:r>
        <w:rPr>
          <w:rStyle w:val="16"/>
          <w:rFonts w:eastAsia="方正仿宋_GBK"/>
          <w:spacing w:val="-2"/>
          <w:sz w:val="24"/>
        </w:rPr>
        <w:t>264420977@qq.com</w:t>
      </w:r>
      <w:r>
        <w:fldChar w:fldCharType="end"/>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江苏省放心消费创建活动办公室</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联系人：刘朝军</w:t>
      </w:r>
      <w:r>
        <w:rPr>
          <w:rFonts w:eastAsia="方正仿宋_GBK"/>
          <w:color w:val="000000"/>
          <w:spacing w:val="-2"/>
          <w:sz w:val="24"/>
        </w:rPr>
        <w:t xml:space="preserve">       </w:t>
      </w:r>
      <w:r>
        <w:rPr>
          <w:rFonts w:hint="eastAsia" w:eastAsia="方正仿宋_GBK"/>
          <w:color w:val="000000"/>
          <w:spacing w:val="-2"/>
          <w:sz w:val="24"/>
        </w:rPr>
        <w:t>联系电话：</w:t>
      </w:r>
      <w:r>
        <w:rPr>
          <w:rFonts w:eastAsia="方正仿宋_GBK"/>
          <w:color w:val="000000"/>
          <w:spacing w:val="-2"/>
          <w:sz w:val="24"/>
        </w:rPr>
        <w:t>025--83716897</w:t>
      </w:r>
    </w:p>
    <w:p>
      <w:pPr>
        <w:spacing w:line="460" w:lineRule="exact"/>
        <w:ind w:right="70" w:firstLine="480"/>
        <w:rPr>
          <w:rFonts w:eastAsia="方正仿宋_GBK"/>
          <w:color w:val="000000"/>
          <w:spacing w:val="-2"/>
          <w:sz w:val="24"/>
          <w:shd w:val="clear" w:color="auto" w:fill="FFFFFF"/>
        </w:rPr>
      </w:pPr>
      <w:r>
        <w:rPr>
          <w:rFonts w:hint="eastAsia" w:eastAsia="方正仿宋_GBK"/>
          <w:color w:val="000000"/>
          <w:spacing w:val="-2"/>
          <w:sz w:val="24"/>
        </w:rPr>
        <w:t>电子邮箱：</w:t>
      </w:r>
      <w:r>
        <w:fldChar w:fldCharType="begin"/>
      </w:r>
      <w:r>
        <w:instrText xml:space="preserve"> HYPERLINK "mailto:jscjb0521@sina.com" </w:instrText>
      </w:r>
      <w:r>
        <w:fldChar w:fldCharType="separate"/>
      </w:r>
      <w:r>
        <w:rPr>
          <w:rStyle w:val="16"/>
          <w:rFonts w:eastAsia="方正仿宋_GBK"/>
          <w:spacing w:val="-2"/>
          <w:sz w:val="24"/>
          <w:shd w:val="clear" w:color="auto" w:fill="FFFFFF"/>
        </w:rPr>
        <w:t>jscjb0521@sina.com</w:t>
      </w:r>
      <w:r>
        <w:fldChar w:fldCharType="end"/>
      </w:r>
    </w:p>
    <w:p>
      <w:pPr>
        <w:spacing w:line="460" w:lineRule="exact"/>
        <w:ind w:right="70" w:firstLine="480"/>
        <w:rPr>
          <w:rFonts w:eastAsia="方正仿宋_GBK"/>
          <w:color w:val="000000"/>
          <w:spacing w:val="-2"/>
          <w:sz w:val="24"/>
        </w:rPr>
      </w:pP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附件：住宅装修放心消费创建活动联系表</w:t>
      </w:r>
    </w:p>
    <w:p>
      <w:pPr>
        <w:spacing w:line="460" w:lineRule="exact"/>
        <w:rPr>
          <w:rFonts w:eastAsia="方正仿宋_GBK"/>
          <w:color w:val="000000"/>
          <w:spacing w:val="-2"/>
          <w:sz w:val="24"/>
        </w:rPr>
      </w:pPr>
    </w:p>
    <w:p>
      <w:pPr>
        <w:spacing w:line="460" w:lineRule="exact"/>
        <w:ind w:firstLine="3422" w:firstLineChars="1450"/>
        <w:jc w:val="right"/>
        <w:rPr>
          <w:rFonts w:eastAsia="方正仿宋_GBK"/>
          <w:color w:val="000000"/>
          <w:spacing w:val="-2"/>
          <w:sz w:val="24"/>
        </w:rPr>
      </w:pPr>
      <w:r>
        <w:rPr>
          <w:rFonts w:hint="eastAsia" w:eastAsia="方正仿宋_GBK"/>
          <w:color w:val="000000"/>
          <w:spacing w:val="-2"/>
          <w:sz w:val="24"/>
        </w:rPr>
        <w:t>二〇一五年二月十五日</w:t>
      </w:r>
      <w:r>
        <w:rPr>
          <w:rFonts w:eastAsia="方正仿宋_GBK"/>
          <w:color w:val="000000"/>
          <w:spacing w:val="-2"/>
          <w:sz w:val="24"/>
        </w:rPr>
        <w:t xml:space="preserve">    </w:t>
      </w:r>
    </w:p>
    <w:p>
      <w:pPr>
        <w:spacing w:line="460" w:lineRule="exact"/>
        <w:rPr>
          <w:rFonts w:eastAsia="方正仿宋_GBK"/>
          <w:color w:val="000000"/>
          <w:spacing w:val="-2"/>
          <w:sz w:val="24"/>
        </w:rPr>
      </w:pPr>
    </w:p>
    <w:p>
      <w:pPr>
        <w:spacing w:line="460" w:lineRule="exact"/>
        <w:rPr>
          <w:rFonts w:eastAsia="方正仿宋_GBK"/>
          <w:color w:val="000000"/>
          <w:spacing w:val="-2"/>
          <w:sz w:val="24"/>
        </w:rPr>
      </w:pPr>
    </w:p>
    <w:p>
      <w:pPr>
        <w:spacing w:line="460" w:lineRule="exact"/>
        <w:rPr>
          <w:rFonts w:eastAsia="方正仿宋_GBK"/>
          <w:color w:val="000000"/>
          <w:spacing w:val="-2"/>
          <w:sz w:val="24"/>
        </w:rPr>
      </w:pPr>
    </w:p>
    <w:p>
      <w:pPr>
        <w:spacing w:line="460" w:lineRule="exact"/>
        <w:rPr>
          <w:rFonts w:eastAsia="方正仿宋_GBK"/>
          <w:color w:val="000000"/>
          <w:spacing w:val="-2"/>
          <w:sz w:val="24"/>
        </w:rPr>
      </w:pPr>
    </w:p>
    <w:p>
      <w:pPr>
        <w:spacing w:line="460" w:lineRule="exact"/>
        <w:rPr>
          <w:rFonts w:eastAsia="方正仿宋_GBK"/>
          <w:color w:val="000000"/>
          <w:spacing w:val="-2"/>
          <w:sz w:val="24"/>
        </w:rPr>
      </w:pPr>
    </w:p>
    <w:p>
      <w:pPr>
        <w:spacing w:line="460" w:lineRule="exact"/>
        <w:rPr>
          <w:rFonts w:eastAsia="方正仿宋_GBK"/>
          <w:color w:val="000000"/>
          <w:spacing w:val="-2"/>
          <w:sz w:val="24"/>
        </w:rPr>
      </w:pPr>
    </w:p>
    <w:p>
      <w:pPr>
        <w:spacing w:line="460" w:lineRule="exact"/>
        <w:rPr>
          <w:rFonts w:eastAsia="方正仿宋_GBK"/>
          <w:color w:val="000000"/>
          <w:spacing w:val="-2"/>
          <w:sz w:val="24"/>
        </w:rPr>
      </w:pPr>
    </w:p>
    <w:p>
      <w:pPr>
        <w:spacing w:line="460" w:lineRule="exact"/>
        <w:rPr>
          <w:rFonts w:ascii="Times New Roman" w:eastAsia="方正黑体_GBK"/>
          <w:color w:val="000000"/>
          <w:spacing w:val="-2"/>
          <w:sz w:val="28"/>
          <w:szCs w:val="28"/>
        </w:rPr>
      </w:pPr>
      <w:r>
        <w:rPr>
          <w:rFonts w:hint="eastAsia" w:ascii="Times New Roman" w:eastAsia="方正黑体_GBK"/>
          <w:color w:val="000000"/>
          <w:spacing w:val="-2"/>
          <w:sz w:val="28"/>
          <w:szCs w:val="28"/>
        </w:rPr>
        <w:t>附件：</w:t>
      </w:r>
    </w:p>
    <w:p>
      <w:pPr>
        <w:spacing w:line="500" w:lineRule="exact"/>
        <w:jc w:val="center"/>
        <w:rPr>
          <w:rFonts w:hint="eastAsia" w:eastAsia="黑体"/>
          <w:color w:val="000000"/>
          <w:spacing w:val="-2"/>
          <w:sz w:val="32"/>
          <w:szCs w:val="32"/>
        </w:rPr>
      </w:pPr>
      <w:r>
        <w:rPr>
          <w:rFonts w:hint="eastAsia" w:eastAsia="黑体"/>
          <w:color w:val="000000"/>
          <w:spacing w:val="-2"/>
          <w:sz w:val="32"/>
          <w:szCs w:val="32"/>
        </w:rPr>
        <w:t>住宅装修放心消费创建活动联系表</w:t>
      </w:r>
    </w:p>
    <w:p>
      <w:pPr>
        <w:spacing w:line="500" w:lineRule="exact"/>
        <w:rPr>
          <w:rFonts w:eastAsia="仿宋"/>
          <w:color w:val="000000"/>
          <w:spacing w:val="-2"/>
          <w:sz w:val="32"/>
          <w:szCs w:val="32"/>
        </w:rPr>
      </w:pP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286"/>
        <w:gridCol w:w="1399"/>
        <w:gridCol w:w="1440"/>
        <w:gridCol w:w="1541"/>
        <w:gridCol w:w="21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2286" w:type="dxa"/>
            <w:tcBorders>
              <w:top w:val="single" w:color="auto" w:sz="8" w:space="0"/>
              <w:left w:val="single" w:color="auto" w:sz="8" w:space="0"/>
              <w:bottom w:val="single" w:color="auto" w:sz="4" w:space="0"/>
              <w:right w:val="single" w:color="auto" w:sz="4" w:space="0"/>
            </w:tcBorders>
            <w:noWrap w:val="0"/>
            <w:vAlign w:val="center"/>
          </w:tcPr>
          <w:p>
            <w:pPr>
              <w:spacing w:line="240" w:lineRule="exact"/>
              <w:jc w:val="center"/>
              <w:rPr>
                <w:rFonts w:eastAsia="仿宋_GB2312"/>
                <w:color w:val="000000"/>
                <w:spacing w:val="-2"/>
                <w:szCs w:val="21"/>
              </w:rPr>
            </w:pPr>
            <w:r>
              <w:rPr>
                <w:rFonts w:hint="eastAsia" w:eastAsia="仿宋_GB2312"/>
                <w:color w:val="000000"/>
                <w:spacing w:val="-2"/>
                <w:szCs w:val="21"/>
              </w:rPr>
              <w:t>住宅装修行业行政主管部门</w:t>
            </w:r>
          </w:p>
        </w:tc>
        <w:tc>
          <w:tcPr>
            <w:tcW w:w="1399" w:type="dxa"/>
            <w:tcBorders>
              <w:top w:val="single" w:color="auto" w:sz="8" w:space="0"/>
              <w:left w:val="single" w:color="auto" w:sz="4" w:space="0"/>
              <w:bottom w:val="single" w:color="auto" w:sz="4" w:space="0"/>
              <w:right w:val="single" w:color="auto" w:sz="4" w:space="0"/>
            </w:tcBorders>
            <w:noWrap w:val="0"/>
            <w:vAlign w:val="center"/>
          </w:tcPr>
          <w:p>
            <w:pPr>
              <w:spacing w:line="240" w:lineRule="exact"/>
              <w:jc w:val="center"/>
              <w:rPr>
                <w:rFonts w:eastAsia="仿宋_GB2312"/>
                <w:color w:val="000000"/>
                <w:spacing w:val="-2"/>
                <w:szCs w:val="21"/>
              </w:rPr>
            </w:pPr>
            <w:r>
              <w:rPr>
                <w:rFonts w:hint="eastAsia" w:eastAsia="仿宋_GB2312"/>
                <w:color w:val="000000"/>
                <w:spacing w:val="-2"/>
                <w:szCs w:val="21"/>
              </w:rPr>
              <w:t>负责人</w:t>
            </w:r>
          </w:p>
        </w:tc>
        <w:tc>
          <w:tcPr>
            <w:tcW w:w="1440" w:type="dxa"/>
            <w:tcBorders>
              <w:top w:val="single" w:color="auto" w:sz="8" w:space="0"/>
              <w:left w:val="single" w:color="auto" w:sz="4" w:space="0"/>
              <w:bottom w:val="single" w:color="auto" w:sz="4" w:space="0"/>
              <w:right w:val="single" w:color="auto" w:sz="4" w:space="0"/>
            </w:tcBorders>
            <w:noWrap w:val="0"/>
            <w:vAlign w:val="center"/>
          </w:tcPr>
          <w:p>
            <w:pPr>
              <w:spacing w:line="240" w:lineRule="exact"/>
              <w:jc w:val="center"/>
              <w:rPr>
                <w:rFonts w:eastAsia="仿宋_GB2312"/>
                <w:color w:val="000000"/>
                <w:spacing w:val="-2"/>
                <w:szCs w:val="21"/>
              </w:rPr>
            </w:pPr>
            <w:r>
              <w:rPr>
                <w:rFonts w:hint="eastAsia" w:eastAsia="仿宋_GB2312"/>
                <w:color w:val="000000"/>
                <w:spacing w:val="-2"/>
                <w:szCs w:val="21"/>
              </w:rPr>
              <w:t>办公电话</w:t>
            </w:r>
          </w:p>
        </w:tc>
        <w:tc>
          <w:tcPr>
            <w:tcW w:w="1541" w:type="dxa"/>
            <w:tcBorders>
              <w:top w:val="single" w:color="auto" w:sz="8" w:space="0"/>
              <w:left w:val="single" w:color="auto" w:sz="4" w:space="0"/>
              <w:bottom w:val="single" w:color="auto" w:sz="4" w:space="0"/>
              <w:right w:val="single" w:color="auto" w:sz="4" w:space="0"/>
            </w:tcBorders>
            <w:noWrap w:val="0"/>
            <w:vAlign w:val="center"/>
          </w:tcPr>
          <w:p>
            <w:pPr>
              <w:spacing w:line="240" w:lineRule="exact"/>
              <w:jc w:val="center"/>
              <w:rPr>
                <w:rFonts w:eastAsia="仿宋_GB2312"/>
                <w:color w:val="000000"/>
                <w:spacing w:val="-2"/>
                <w:szCs w:val="21"/>
              </w:rPr>
            </w:pPr>
            <w:r>
              <w:rPr>
                <w:rFonts w:hint="eastAsia" w:eastAsia="仿宋_GB2312"/>
                <w:color w:val="000000"/>
                <w:spacing w:val="-2"/>
                <w:szCs w:val="21"/>
              </w:rPr>
              <w:t>手机</w:t>
            </w:r>
          </w:p>
        </w:tc>
        <w:tc>
          <w:tcPr>
            <w:tcW w:w="2133" w:type="dxa"/>
            <w:tcBorders>
              <w:top w:val="single" w:color="auto" w:sz="8" w:space="0"/>
              <w:left w:val="single" w:color="auto" w:sz="4" w:space="0"/>
              <w:bottom w:val="single" w:color="auto" w:sz="4" w:space="0"/>
              <w:right w:val="single" w:color="auto" w:sz="8" w:space="0"/>
            </w:tcBorders>
            <w:noWrap w:val="0"/>
            <w:vAlign w:val="center"/>
          </w:tcPr>
          <w:p>
            <w:pPr>
              <w:spacing w:line="240" w:lineRule="exact"/>
              <w:jc w:val="center"/>
              <w:rPr>
                <w:rFonts w:eastAsia="仿宋_GB2312"/>
                <w:color w:val="000000"/>
                <w:spacing w:val="-2"/>
                <w:szCs w:val="21"/>
              </w:rPr>
            </w:pPr>
            <w:r>
              <w:rPr>
                <w:rFonts w:hint="eastAsia" w:eastAsia="仿宋_GB2312"/>
                <w:color w:val="000000"/>
                <w:spacing w:val="-2"/>
                <w:szCs w:val="21"/>
              </w:rPr>
              <w:t>邮箱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2286" w:type="dxa"/>
            <w:tcBorders>
              <w:top w:val="single" w:color="auto" w:sz="4" w:space="0"/>
              <w:left w:val="single" w:color="auto" w:sz="8" w:space="0"/>
              <w:bottom w:val="single" w:color="auto" w:sz="4" w:space="0"/>
              <w:right w:val="single" w:color="auto" w:sz="4" w:space="0"/>
            </w:tcBorders>
            <w:noWrap w:val="0"/>
            <w:vAlign w:val="center"/>
          </w:tcPr>
          <w:p>
            <w:pPr>
              <w:spacing w:line="240" w:lineRule="exact"/>
              <w:rPr>
                <w:rFonts w:eastAsia="仿宋_GB2312"/>
                <w:color w:val="000000"/>
                <w:spacing w:val="-2"/>
                <w:szCs w:val="21"/>
              </w:rPr>
            </w:pP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仿宋_GB2312"/>
                <w:color w:val="000000"/>
                <w:spacing w:val="-2"/>
                <w:szCs w:val="21"/>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仿宋_GB2312"/>
                <w:color w:val="000000"/>
                <w:spacing w:val="-2"/>
                <w:szCs w:val="21"/>
              </w:rPr>
            </w:pPr>
          </w:p>
        </w:tc>
        <w:tc>
          <w:tcPr>
            <w:tcW w:w="154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仿宋_GB2312"/>
                <w:color w:val="000000"/>
                <w:spacing w:val="-2"/>
                <w:szCs w:val="21"/>
              </w:rPr>
            </w:pPr>
          </w:p>
        </w:tc>
        <w:tc>
          <w:tcPr>
            <w:tcW w:w="2133"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center"/>
              <w:rPr>
                <w:rFonts w:eastAsia="仿宋_GB2312"/>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2286" w:type="dxa"/>
            <w:tcBorders>
              <w:top w:val="single" w:color="auto" w:sz="4" w:space="0"/>
              <w:left w:val="single" w:color="auto" w:sz="8" w:space="0"/>
              <w:bottom w:val="single" w:color="auto" w:sz="4" w:space="0"/>
              <w:right w:val="single" w:color="auto" w:sz="4" w:space="0"/>
            </w:tcBorders>
            <w:noWrap w:val="0"/>
            <w:vAlign w:val="center"/>
          </w:tcPr>
          <w:p>
            <w:pPr>
              <w:spacing w:line="240" w:lineRule="exact"/>
              <w:rPr>
                <w:rFonts w:eastAsia="仿宋_GB2312"/>
                <w:color w:val="000000"/>
                <w:spacing w:val="-2"/>
                <w:szCs w:val="21"/>
              </w:rPr>
            </w:pPr>
            <w:r>
              <w:rPr>
                <w:rFonts w:hint="eastAsia" w:eastAsia="仿宋_GB2312"/>
                <w:color w:val="000000"/>
                <w:spacing w:val="-2"/>
                <w:szCs w:val="21"/>
              </w:rPr>
              <w:t>住宅装修行业行政主管部门相关处室</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仿宋_GB2312"/>
                <w:color w:val="000000"/>
                <w:spacing w:val="-2"/>
                <w:szCs w:val="21"/>
              </w:rPr>
            </w:pPr>
            <w:r>
              <w:rPr>
                <w:rFonts w:hint="eastAsia" w:eastAsia="仿宋_GB2312"/>
                <w:color w:val="000000"/>
                <w:spacing w:val="-2"/>
                <w:szCs w:val="21"/>
              </w:rPr>
              <w:t>负责人</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仿宋_GB2312"/>
                <w:color w:val="000000"/>
                <w:spacing w:val="-2"/>
                <w:szCs w:val="21"/>
              </w:rPr>
            </w:pPr>
            <w:r>
              <w:rPr>
                <w:rFonts w:hint="eastAsia" w:eastAsia="仿宋_GB2312"/>
                <w:color w:val="000000"/>
                <w:spacing w:val="-2"/>
                <w:szCs w:val="21"/>
              </w:rPr>
              <w:t>办公电话</w:t>
            </w:r>
          </w:p>
        </w:tc>
        <w:tc>
          <w:tcPr>
            <w:tcW w:w="154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仿宋_GB2312"/>
                <w:color w:val="000000"/>
                <w:spacing w:val="-2"/>
                <w:szCs w:val="21"/>
              </w:rPr>
            </w:pPr>
            <w:r>
              <w:rPr>
                <w:rFonts w:hint="eastAsia" w:eastAsia="仿宋_GB2312"/>
                <w:color w:val="000000"/>
                <w:spacing w:val="-2"/>
                <w:szCs w:val="21"/>
              </w:rPr>
              <w:t>手机</w:t>
            </w:r>
          </w:p>
        </w:tc>
        <w:tc>
          <w:tcPr>
            <w:tcW w:w="2133"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center"/>
              <w:rPr>
                <w:rFonts w:eastAsia="仿宋_GB2312"/>
                <w:color w:val="000000"/>
                <w:spacing w:val="-2"/>
                <w:szCs w:val="21"/>
              </w:rPr>
            </w:pPr>
            <w:r>
              <w:rPr>
                <w:rFonts w:hint="eastAsia" w:eastAsia="仿宋_GB2312"/>
                <w:color w:val="000000"/>
                <w:spacing w:val="-2"/>
                <w:szCs w:val="21"/>
              </w:rPr>
              <w:t>邮箱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2286" w:type="dxa"/>
            <w:tcBorders>
              <w:top w:val="single" w:color="auto" w:sz="4" w:space="0"/>
              <w:left w:val="single" w:color="auto" w:sz="8" w:space="0"/>
              <w:bottom w:val="single" w:color="auto" w:sz="4" w:space="0"/>
              <w:right w:val="single" w:color="auto" w:sz="4" w:space="0"/>
            </w:tcBorders>
            <w:noWrap w:val="0"/>
            <w:vAlign w:val="center"/>
          </w:tcPr>
          <w:p>
            <w:pPr>
              <w:spacing w:line="240" w:lineRule="exact"/>
              <w:rPr>
                <w:rFonts w:eastAsia="仿宋_GB2312"/>
                <w:color w:val="000000"/>
                <w:spacing w:val="-2"/>
                <w:szCs w:val="21"/>
              </w:rPr>
            </w:pP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仿宋_GB2312"/>
                <w:color w:val="000000"/>
                <w:spacing w:val="-2"/>
                <w:szCs w:val="21"/>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仿宋_GB2312"/>
                <w:color w:val="000000"/>
                <w:spacing w:val="-2"/>
                <w:szCs w:val="21"/>
              </w:rPr>
            </w:pPr>
          </w:p>
        </w:tc>
        <w:tc>
          <w:tcPr>
            <w:tcW w:w="154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仿宋_GB2312"/>
                <w:color w:val="000000"/>
                <w:spacing w:val="-2"/>
                <w:szCs w:val="21"/>
              </w:rPr>
            </w:pPr>
          </w:p>
        </w:tc>
        <w:tc>
          <w:tcPr>
            <w:tcW w:w="2133"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center"/>
              <w:rPr>
                <w:rFonts w:eastAsia="仿宋_GB2312"/>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2286" w:type="dxa"/>
            <w:tcBorders>
              <w:top w:val="single" w:color="auto" w:sz="4" w:space="0"/>
              <w:left w:val="single" w:color="auto" w:sz="8" w:space="0"/>
              <w:bottom w:val="single" w:color="auto" w:sz="4" w:space="0"/>
              <w:right w:val="single" w:color="auto" w:sz="4" w:space="0"/>
            </w:tcBorders>
            <w:noWrap w:val="0"/>
            <w:vAlign w:val="center"/>
          </w:tcPr>
          <w:p>
            <w:pPr>
              <w:spacing w:line="240" w:lineRule="exact"/>
              <w:rPr>
                <w:rFonts w:eastAsia="仿宋_GB2312"/>
                <w:color w:val="000000"/>
                <w:spacing w:val="-2"/>
                <w:szCs w:val="21"/>
              </w:rPr>
            </w:pPr>
            <w:r>
              <w:rPr>
                <w:rFonts w:hint="eastAsia" w:eastAsia="仿宋_GB2312"/>
                <w:color w:val="000000"/>
                <w:spacing w:val="-2"/>
                <w:szCs w:val="21"/>
              </w:rPr>
              <w:t>装饰行业协会</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仿宋_GB2312"/>
                <w:color w:val="000000"/>
                <w:spacing w:val="-2"/>
                <w:szCs w:val="21"/>
              </w:rPr>
            </w:pPr>
            <w:r>
              <w:rPr>
                <w:rFonts w:hint="eastAsia" w:eastAsia="仿宋_GB2312"/>
                <w:color w:val="000000"/>
                <w:spacing w:val="-2"/>
                <w:szCs w:val="21"/>
              </w:rPr>
              <w:t>负责人</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仿宋_GB2312"/>
                <w:color w:val="000000"/>
                <w:spacing w:val="-2"/>
                <w:szCs w:val="21"/>
              </w:rPr>
            </w:pPr>
            <w:r>
              <w:rPr>
                <w:rFonts w:hint="eastAsia" w:eastAsia="仿宋_GB2312"/>
                <w:color w:val="000000"/>
                <w:spacing w:val="-2"/>
                <w:szCs w:val="21"/>
              </w:rPr>
              <w:t>办公电话</w:t>
            </w:r>
          </w:p>
        </w:tc>
        <w:tc>
          <w:tcPr>
            <w:tcW w:w="154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仿宋_GB2312"/>
                <w:color w:val="000000"/>
                <w:spacing w:val="-2"/>
                <w:szCs w:val="21"/>
              </w:rPr>
            </w:pPr>
            <w:r>
              <w:rPr>
                <w:rFonts w:hint="eastAsia" w:eastAsia="仿宋_GB2312"/>
                <w:color w:val="000000"/>
                <w:spacing w:val="-2"/>
                <w:szCs w:val="21"/>
              </w:rPr>
              <w:t>手机</w:t>
            </w:r>
          </w:p>
        </w:tc>
        <w:tc>
          <w:tcPr>
            <w:tcW w:w="2133"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center"/>
              <w:rPr>
                <w:rFonts w:eastAsia="仿宋_GB2312"/>
                <w:color w:val="000000"/>
                <w:spacing w:val="-2"/>
                <w:szCs w:val="21"/>
              </w:rPr>
            </w:pPr>
            <w:r>
              <w:rPr>
                <w:rFonts w:hint="eastAsia" w:eastAsia="仿宋_GB2312"/>
                <w:color w:val="000000"/>
                <w:spacing w:val="-2"/>
                <w:szCs w:val="21"/>
              </w:rPr>
              <w:t>邮箱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2286" w:type="dxa"/>
            <w:tcBorders>
              <w:top w:val="single" w:color="auto" w:sz="4" w:space="0"/>
              <w:left w:val="single" w:color="auto" w:sz="8" w:space="0"/>
              <w:bottom w:val="single" w:color="auto" w:sz="4" w:space="0"/>
              <w:right w:val="single" w:color="auto" w:sz="4" w:space="0"/>
            </w:tcBorders>
            <w:noWrap w:val="0"/>
            <w:vAlign w:val="center"/>
          </w:tcPr>
          <w:p>
            <w:pPr>
              <w:spacing w:line="240" w:lineRule="exact"/>
              <w:rPr>
                <w:rFonts w:eastAsia="仿宋_GB2312"/>
                <w:color w:val="000000"/>
                <w:spacing w:val="-2"/>
                <w:szCs w:val="21"/>
              </w:rPr>
            </w:pP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仿宋_GB2312"/>
                <w:color w:val="000000"/>
                <w:spacing w:val="-2"/>
                <w:szCs w:val="21"/>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仿宋_GB2312"/>
                <w:color w:val="000000"/>
                <w:spacing w:val="-2"/>
                <w:szCs w:val="21"/>
              </w:rPr>
            </w:pPr>
          </w:p>
        </w:tc>
        <w:tc>
          <w:tcPr>
            <w:tcW w:w="154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仿宋_GB2312"/>
                <w:color w:val="000000"/>
                <w:spacing w:val="-2"/>
                <w:szCs w:val="21"/>
              </w:rPr>
            </w:pPr>
          </w:p>
        </w:tc>
        <w:tc>
          <w:tcPr>
            <w:tcW w:w="2133"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center"/>
              <w:rPr>
                <w:rFonts w:eastAsia="仿宋_GB2312"/>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2286" w:type="dxa"/>
            <w:tcBorders>
              <w:top w:val="single" w:color="auto" w:sz="4" w:space="0"/>
              <w:left w:val="single" w:color="auto" w:sz="8" w:space="0"/>
              <w:bottom w:val="single" w:color="auto" w:sz="4" w:space="0"/>
              <w:right w:val="single" w:color="auto" w:sz="4" w:space="0"/>
            </w:tcBorders>
            <w:noWrap w:val="0"/>
            <w:vAlign w:val="center"/>
          </w:tcPr>
          <w:p>
            <w:pPr>
              <w:spacing w:line="240" w:lineRule="exact"/>
              <w:rPr>
                <w:rFonts w:eastAsia="仿宋_GB2312"/>
                <w:color w:val="000000"/>
                <w:spacing w:val="-2"/>
                <w:szCs w:val="21"/>
              </w:rPr>
            </w:pPr>
            <w:r>
              <w:rPr>
                <w:rFonts w:hint="eastAsia" w:eastAsia="仿宋_GB2312"/>
                <w:color w:val="000000"/>
                <w:spacing w:val="-2"/>
                <w:szCs w:val="21"/>
              </w:rPr>
              <w:t>放心消费创建办</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仿宋_GB2312"/>
                <w:color w:val="000000"/>
                <w:spacing w:val="-2"/>
                <w:szCs w:val="21"/>
              </w:rPr>
            </w:pPr>
            <w:r>
              <w:rPr>
                <w:rFonts w:hint="eastAsia" w:eastAsia="仿宋_GB2312"/>
                <w:color w:val="000000"/>
                <w:spacing w:val="-2"/>
                <w:szCs w:val="21"/>
              </w:rPr>
              <w:t>负责人</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仿宋_GB2312"/>
                <w:color w:val="000000"/>
                <w:spacing w:val="-2"/>
                <w:szCs w:val="21"/>
              </w:rPr>
            </w:pPr>
            <w:r>
              <w:rPr>
                <w:rFonts w:hint="eastAsia" w:eastAsia="仿宋_GB2312"/>
                <w:color w:val="000000"/>
                <w:spacing w:val="-2"/>
                <w:szCs w:val="21"/>
              </w:rPr>
              <w:t>办公电话</w:t>
            </w:r>
          </w:p>
        </w:tc>
        <w:tc>
          <w:tcPr>
            <w:tcW w:w="154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仿宋_GB2312"/>
                <w:color w:val="000000"/>
                <w:spacing w:val="-2"/>
                <w:szCs w:val="21"/>
              </w:rPr>
            </w:pPr>
            <w:r>
              <w:rPr>
                <w:rFonts w:hint="eastAsia" w:eastAsia="仿宋_GB2312"/>
                <w:color w:val="000000"/>
                <w:spacing w:val="-2"/>
                <w:szCs w:val="21"/>
              </w:rPr>
              <w:t>手机</w:t>
            </w:r>
          </w:p>
        </w:tc>
        <w:tc>
          <w:tcPr>
            <w:tcW w:w="2133"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center"/>
              <w:rPr>
                <w:rFonts w:eastAsia="仿宋_GB2312"/>
                <w:color w:val="000000"/>
                <w:spacing w:val="-2"/>
                <w:szCs w:val="21"/>
              </w:rPr>
            </w:pPr>
            <w:r>
              <w:rPr>
                <w:rFonts w:hint="eastAsia" w:eastAsia="仿宋_GB2312"/>
                <w:color w:val="000000"/>
                <w:spacing w:val="-2"/>
                <w:szCs w:val="21"/>
              </w:rPr>
              <w:t>邮箱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2286" w:type="dxa"/>
            <w:tcBorders>
              <w:top w:val="single" w:color="auto" w:sz="4" w:space="0"/>
              <w:left w:val="single" w:color="auto" w:sz="8" w:space="0"/>
              <w:bottom w:val="single" w:color="auto" w:sz="4" w:space="0"/>
              <w:right w:val="single" w:color="auto" w:sz="4" w:space="0"/>
            </w:tcBorders>
            <w:noWrap w:val="0"/>
            <w:vAlign w:val="center"/>
          </w:tcPr>
          <w:p>
            <w:pPr>
              <w:spacing w:line="240" w:lineRule="exact"/>
              <w:rPr>
                <w:rFonts w:eastAsia="仿宋_GB2312"/>
                <w:color w:val="000000"/>
                <w:spacing w:val="-2"/>
                <w:szCs w:val="21"/>
              </w:rPr>
            </w:pP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仿宋_GB2312"/>
                <w:color w:val="000000"/>
                <w:spacing w:val="-2"/>
                <w:szCs w:val="21"/>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仿宋_GB2312"/>
                <w:color w:val="000000"/>
                <w:spacing w:val="-2"/>
                <w:szCs w:val="21"/>
              </w:rPr>
            </w:pPr>
          </w:p>
        </w:tc>
        <w:tc>
          <w:tcPr>
            <w:tcW w:w="154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仿宋_GB2312"/>
                <w:color w:val="000000"/>
                <w:spacing w:val="-2"/>
                <w:szCs w:val="21"/>
              </w:rPr>
            </w:pPr>
          </w:p>
        </w:tc>
        <w:tc>
          <w:tcPr>
            <w:tcW w:w="2133"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center"/>
              <w:rPr>
                <w:rFonts w:eastAsia="仿宋_GB2312"/>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3685" w:type="dxa"/>
            <w:gridSpan w:val="2"/>
            <w:tcBorders>
              <w:top w:val="single" w:color="auto" w:sz="4" w:space="0"/>
              <w:left w:val="single" w:color="auto" w:sz="8" w:space="0"/>
              <w:bottom w:val="single" w:color="auto" w:sz="4" w:space="0"/>
              <w:right w:val="single" w:color="auto" w:sz="4" w:space="0"/>
            </w:tcBorders>
            <w:noWrap w:val="0"/>
            <w:vAlign w:val="center"/>
          </w:tcPr>
          <w:p>
            <w:pPr>
              <w:spacing w:line="240" w:lineRule="exact"/>
              <w:rPr>
                <w:rFonts w:eastAsia="仿宋_GB2312"/>
                <w:color w:val="000000"/>
                <w:spacing w:val="-2"/>
                <w:szCs w:val="21"/>
              </w:rPr>
            </w:pPr>
            <w:r>
              <w:rPr>
                <w:rFonts w:hint="eastAsia" w:eastAsia="仿宋_GB2312"/>
                <w:color w:val="000000"/>
                <w:spacing w:val="-2"/>
                <w:szCs w:val="21"/>
              </w:rPr>
              <w:t>具体联系人</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仿宋_GB2312"/>
                <w:color w:val="000000"/>
                <w:spacing w:val="-2"/>
                <w:szCs w:val="21"/>
              </w:rPr>
            </w:pPr>
            <w:r>
              <w:rPr>
                <w:rFonts w:hint="eastAsia" w:eastAsia="仿宋_GB2312"/>
                <w:color w:val="000000"/>
                <w:spacing w:val="-2"/>
                <w:szCs w:val="21"/>
              </w:rPr>
              <w:t>办公电话</w:t>
            </w:r>
          </w:p>
        </w:tc>
        <w:tc>
          <w:tcPr>
            <w:tcW w:w="154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仿宋_GB2312"/>
                <w:color w:val="000000"/>
                <w:spacing w:val="-2"/>
                <w:szCs w:val="21"/>
              </w:rPr>
            </w:pPr>
            <w:r>
              <w:rPr>
                <w:rFonts w:hint="eastAsia" w:eastAsia="仿宋_GB2312"/>
                <w:color w:val="000000"/>
                <w:spacing w:val="-2"/>
                <w:szCs w:val="21"/>
              </w:rPr>
              <w:t>手机</w:t>
            </w:r>
          </w:p>
        </w:tc>
        <w:tc>
          <w:tcPr>
            <w:tcW w:w="2133"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center"/>
              <w:rPr>
                <w:rFonts w:eastAsia="仿宋_GB2312"/>
                <w:color w:val="000000"/>
                <w:spacing w:val="-2"/>
                <w:szCs w:val="21"/>
              </w:rPr>
            </w:pPr>
            <w:r>
              <w:rPr>
                <w:rFonts w:hint="eastAsia" w:eastAsia="仿宋_GB2312"/>
                <w:color w:val="000000"/>
                <w:spacing w:val="-2"/>
                <w:szCs w:val="21"/>
              </w:rPr>
              <w:t>邮箱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3685" w:type="dxa"/>
            <w:gridSpan w:val="2"/>
            <w:tcBorders>
              <w:top w:val="single" w:color="auto" w:sz="4" w:space="0"/>
              <w:left w:val="single" w:color="auto" w:sz="8" w:space="0"/>
              <w:bottom w:val="single" w:color="auto" w:sz="8" w:space="0"/>
              <w:right w:val="single" w:color="auto" w:sz="4" w:space="0"/>
            </w:tcBorders>
            <w:noWrap w:val="0"/>
            <w:vAlign w:val="top"/>
          </w:tcPr>
          <w:p>
            <w:pPr>
              <w:spacing w:line="240" w:lineRule="exact"/>
              <w:rPr>
                <w:rFonts w:eastAsia="仿宋_GB2312"/>
                <w:color w:val="000000"/>
                <w:spacing w:val="-2"/>
                <w:szCs w:val="21"/>
              </w:rPr>
            </w:pPr>
          </w:p>
        </w:tc>
        <w:tc>
          <w:tcPr>
            <w:tcW w:w="1440" w:type="dxa"/>
            <w:tcBorders>
              <w:top w:val="single" w:color="auto" w:sz="4" w:space="0"/>
              <w:left w:val="single" w:color="auto" w:sz="4" w:space="0"/>
              <w:bottom w:val="single" w:color="auto" w:sz="8" w:space="0"/>
              <w:right w:val="single" w:color="auto" w:sz="4" w:space="0"/>
            </w:tcBorders>
            <w:noWrap w:val="0"/>
            <w:vAlign w:val="top"/>
          </w:tcPr>
          <w:p>
            <w:pPr>
              <w:spacing w:line="240" w:lineRule="exact"/>
              <w:rPr>
                <w:rFonts w:eastAsia="仿宋_GB2312"/>
                <w:color w:val="000000"/>
                <w:spacing w:val="-2"/>
                <w:szCs w:val="21"/>
              </w:rPr>
            </w:pPr>
          </w:p>
        </w:tc>
        <w:tc>
          <w:tcPr>
            <w:tcW w:w="1541" w:type="dxa"/>
            <w:tcBorders>
              <w:top w:val="single" w:color="auto" w:sz="4" w:space="0"/>
              <w:left w:val="single" w:color="auto" w:sz="4" w:space="0"/>
              <w:bottom w:val="single" w:color="auto" w:sz="8" w:space="0"/>
              <w:right w:val="single" w:color="auto" w:sz="4" w:space="0"/>
            </w:tcBorders>
            <w:noWrap w:val="0"/>
            <w:vAlign w:val="top"/>
          </w:tcPr>
          <w:p>
            <w:pPr>
              <w:spacing w:line="240" w:lineRule="exact"/>
              <w:rPr>
                <w:rFonts w:eastAsia="仿宋_GB2312"/>
                <w:color w:val="000000"/>
                <w:spacing w:val="-2"/>
                <w:szCs w:val="21"/>
              </w:rPr>
            </w:pPr>
          </w:p>
        </w:tc>
        <w:tc>
          <w:tcPr>
            <w:tcW w:w="2133" w:type="dxa"/>
            <w:tcBorders>
              <w:top w:val="single" w:color="auto" w:sz="4" w:space="0"/>
              <w:left w:val="single" w:color="auto" w:sz="4" w:space="0"/>
              <w:bottom w:val="single" w:color="auto" w:sz="8" w:space="0"/>
              <w:right w:val="single" w:color="auto" w:sz="8" w:space="0"/>
            </w:tcBorders>
            <w:noWrap w:val="0"/>
            <w:vAlign w:val="top"/>
          </w:tcPr>
          <w:p>
            <w:pPr>
              <w:spacing w:line="240" w:lineRule="exact"/>
              <w:rPr>
                <w:rFonts w:eastAsia="仿宋_GB2312"/>
                <w:color w:val="000000"/>
                <w:spacing w:val="-2"/>
                <w:szCs w:val="21"/>
              </w:rPr>
            </w:pPr>
          </w:p>
        </w:tc>
      </w:tr>
    </w:tbl>
    <w:p>
      <w:pPr>
        <w:spacing w:line="500" w:lineRule="exact"/>
        <w:rPr>
          <w:rFonts w:eastAsia="仿宋"/>
          <w:color w:val="000000"/>
          <w:spacing w:val="-2"/>
          <w:sz w:val="32"/>
          <w:szCs w:val="32"/>
        </w:rPr>
      </w:pPr>
    </w:p>
    <w:p>
      <w:pPr>
        <w:spacing w:line="240" w:lineRule="exact"/>
        <w:rPr>
          <w:rFonts w:eastAsia="仿宋"/>
          <w:color w:val="000000"/>
          <w:spacing w:val="-2"/>
          <w:szCs w:val="21"/>
        </w:rPr>
      </w:pPr>
      <w:r>
        <w:rPr>
          <w:rFonts w:hint="eastAsia" w:eastAsia="仿宋"/>
          <w:color w:val="000000"/>
          <w:spacing w:val="-2"/>
          <w:szCs w:val="21"/>
        </w:rPr>
        <w:t>注：联系表填写后，请寄南京草场门大街</w:t>
      </w:r>
      <w:r>
        <w:rPr>
          <w:rFonts w:eastAsia="仿宋"/>
          <w:color w:val="000000"/>
          <w:spacing w:val="-2"/>
          <w:szCs w:val="21"/>
        </w:rPr>
        <w:t>88</w:t>
      </w:r>
      <w:r>
        <w:rPr>
          <w:rFonts w:hint="eastAsia" w:eastAsia="仿宋"/>
          <w:color w:val="000000"/>
          <w:spacing w:val="-2"/>
          <w:szCs w:val="21"/>
        </w:rPr>
        <w:t>号，江苏省住房和城乡建设厅装饰装修发展中心高枫收，邮编：</w:t>
      </w:r>
      <w:r>
        <w:rPr>
          <w:rFonts w:eastAsia="仿宋"/>
          <w:color w:val="000000"/>
          <w:spacing w:val="-2"/>
          <w:szCs w:val="21"/>
        </w:rPr>
        <w:t>210036</w:t>
      </w:r>
    </w:p>
    <w:p>
      <w:pPr>
        <w:spacing w:line="240" w:lineRule="exact"/>
        <w:rPr>
          <w:rFonts w:eastAsia="仿宋"/>
          <w:color w:val="000000"/>
          <w:spacing w:val="-2"/>
          <w:szCs w:val="21"/>
        </w:rPr>
      </w:pPr>
    </w:p>
    <w:p>
      <w:pPr>
        <w:spacing w:line="240" w:lineRule="exact"/>
        <w:rPr>
          <w:rFonts w:eastAsia="仿宋"/>
          <w:color w:val="000000"/>
          <w:spacing w:val="-2"/>
          <w:szCs w:val="21"/>
        </w:rPr>
      </w:pPr>
    </w:p>
    <w:p/>
    <w:p>
      <w:pPr>
        <w:spacing w:line="460" w:lineRule="exact"/>
        <w:rPr>
          <w:rFonts w:eastAsia="方正仿宋_GBK"/>
          <w:color w:val="000000"/>
          <w:spacing w:val="-2"/>
          <w:sz w:val="24"/>
        </w:rPr>
      </w:pPr>
    </w:p>
    <w:p>
      <w:pPr>
        <w:spacing w:line="460" w:lineRule="exact"/>
        <w:rPr>
          <w:rFonts w:eastAsia="方正仿宋_GBK"/>
          <w:color w:val="000000"/>
          <w:spacing w:val="-2"/>
          <w:sz w:val="24"/>
        </w:rPr>
      </w:pPr>
    </w:p>
    <w:p>
      <w:pPr>
        <w:spacing w:line="460" w:lineRule="exact"/>
        <w:rPr>
          <w:rFonts w:eastAsia="方正仿宋_GBK"/>
          <w:color w:val="000000"/>
          <w:spacing w:val="-2"/>
          <w:sz w:val="24"/>
        </w:rPr>
      </w:pPr>
    </w:p>
    <w:p>
      <w:pPr>
        <w:pStyle w:val="2"/>
        <w:spacing w:before="240" w:beforeLines="100" w:after="240" w:afterLines="100" w:line="240" w:lineRule="auto"/>
        <w:jc w:val="center"/>
        <w:rPr>
          <w:rFonts w:ascii="Times New Roman" w:eastAsia="方正小标宋_GBK"/>
          <w:b w:val="0"/>
          <w:sz w:val="36"/>
          <w:szCs w:val="36"/>
        </w:rPr>
      </w:pPr>
      <w:bookmarkStart w:id="44" w:name="_Toc18315378"/>
      <w:bookmarkStart w:id="45" w:name="_Toc20726298"/>
      <w:r>
        <w:rPr>
          <w:rFonts w:hint="eastAsia" w:ascii="Times New Roman" w:eastAsia="方正小标宋_GBK"/>
          <w:b w:val="0"/>
          <w:sz w:val="36"/>
          <w:szCs w:val="36"/>
        </w:rPr>
        <w:t>关于组织申报创建</w:t>
      </w:r>
      <w:r>
        <w:rPr>
          <w:rFonts w:ascii="Times New Roman" w:eastAsia="方正小标宋_GBK"/>
          <w:b w:val="0"/>
          <w:sz w:val="36"/>
          <w:szCs w:val="36"/>
        </w:rPr>
        <w:t>“</w:t>
      </w:r>
      <w:r>
        <w:rPr>
          <w:rFonts w:hint="eastAsia" w:ascii="Times New Roman" w:eastAsia="方正小标宋_GBK"/>
          <w:b w:val="0"/>
          <w:sz w:val="36"/>
          <w:szCs w:val="36"/>
        </w:rPr>
        <w:t>江苏省住宅装修放心消费</w:t>
      </w:r>
      <w:r>
        <w:rPr>
          <w:rFonts w:ascii="Times New Roman" w:eastAsia="方正小标宋_GBK"/>
          <w:b w:val="0"/>
          <w:sz w:val="36"/>
          <w:szCs w:val="36"/>
        </w:rPr>
        <w:t>”</w:t>
      </w:r>
      <w:r>
        <w:rPr>
          <w:rFonts w:hint="eastAsia" w:ascii="Times New Roman" w:eastAsia="方正小标宋_GBK"/>
          <w:b w:val="0"/>
          <w:sz w:val="36"/>
          <w:szCs w:val="36"/>
        </w:rPr>
        <w:t xml:space="preserve">       优质企业试点的通知</w:t>
      </w:r>
      <w:bookmarkEnd w:id="44"/>
      <w:bookmarkEnd w:id="45"/>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46" w:name="_Toc18315379"/>
      <w:bookmarkStart w:id="47" w:name="_Toc20726299"/>
      <w:r>
        <w:rPr>
          <w:rFonts w:hint="eastAsia" w:ascii="Times New Roman" w:hAnsi="Times New Roman" w:eastAsia="方正楷体_GBK"/>
          <w:b w:val="0"/>
          <w:sz w:val="24"/>
          <w:szCs w:val="24"/>
        </w:rPr>
        <w:t>苏建函房管〔</w:t>
      </w:r>
      <w:r>
        <w:rPr>
          <w:rFonts w:ascii="Times New Roman" w:hAnsi="Times New Roman" w:eastAsia="方正楷体_GBK"/>
          <w:b w:val="0"/>
          <w:sz w:val="24"/>
          <w:szCs w:val="24"/>
        </w:rPr>
        <w:t>2015</w:t>
      </w:r>
      <w:r>
        <w:rPr>
          <w:rFonts w:hint="eastAsia" w:ascii="Times New Roman" w:hAnsi="Times New Roman" w:eastAsia="方正楷体_GBK"/>
          <w:b w:val="0"/>
          <w:sz w:val="24"/>
          <w:szCs w:val="24"/>
        </w:rPr>
        <w:t>〕</w:t>
      </w:r>
      <w:r>
        <w:rPr>
          <w:rFonts w:ascii="Times New Roman" w:hAnsi="Times New Roman" w:eastAsia="方正楷体_GBK"/>
          <w:b w:val="0"/>
          <w:sz w:val="24"/>
          <w:szCs w:val="24"/>
        </w:rPr>
        <w:t>369</w:t>
      </w:r>
      <w:r>
        <w:rPr>
          <w:rFonts w:hint="eastAsia" w:ascii="Times New Roman" w:hAnsi="Times New Roman" w:eastAsia="方正楷体_GBK"/>
          <w:b w:val="0"/>
          <w:sz w:val="24"/>
          <w:szCs w:val="24"/>
        </w:rPr>
        <w:t>号</w:t>
      </w:r>
      <w:bookmarkEnd w:id="46"/>
      <w:bookmarkEnd w:id="47"/>
    </w:p>
    <w:p>
      <w:pPr>
        <w:spacing w:line="460" w:lineRule="exact"/>
        <w:jc w:val="left"/>
        <w:rPr>
          <w:rFonts w:eastAsia="方正仿宋_GBK"/>
          <w:color w:val="000000"/>
          <w:spacing w:val="-2"/>
          <w:sz w:val="24"/>
        </w:rPr>
      </w:pPr>
      <w:r>
        <w:rPr>
          <w:rFonts w:hint="eastAsia" w:eastAsia="方正仿宋_GBK"/>
          <w:color w:val="000000"/>
          <w:spacing w:val="-2"/>
          <w:sz w:val="24"/>
        </w:rPr>
        <w:t>各省辖市建设局（委）、房产局、建工局，昆山市、泰兴市、沭阳县建设局：</w:t>
      </w:r>
    </w:p>
    <w:p>
      <w:pPr>
        <w:spacing w:line="460" w:lineRule="exact"/>
        <w:ind w:firstLine="472" w:firstLineChars="200"/>
        <w:jc w:val="left"/>
        <w:rPr>
          <w:rFonts w:eastAsia="方正仿宋_GBK"/>
          <w:color w:val="000000"/>
          <w:spacing w:val="-2"/>
          <w:sz w:val="24"/>
        </w:rPr>
      </w:pPr>
      <w:r>
        <w:rPr>
          <w:rFonts w:hint="eastAsia" w:eastAsia="方正仿宋_GBK"/>
          <w:color w:val="000000"/>
          <w:spacing w:val="-2"/>
          <w:sz w:val="24"/>
        </w:rPr>
        <w:t>根据江苏省住房和城乡建设厅、江苏省放心消费创建活动办公室《关于在全省住宅装修行业开展放心消费创建活动的通知》（苏建房管〔</w:t>
      </w:r>
      <w:r>
        <w:rPr>
          <w:rFonts w:eastAsia="方正仿宋_GBK"/>
          <w:color w:val="000000"/>
          <w:spacing w:val="-2"/>
          <w:sz w:val="24"/>
        </w:rPr>
        <w:t>2015</w:t>
      </w:r>
      <w:r>
        <w:rPr>
          <w:rFonts w:hint="eastAsia" w:eastAsia="方正仿宋_GBK"/>
          <w:color w:val="000000"/>
          <w:spacing w:val="-2"/>
          <w:sz w:val="24"/>
        </w:rPr>
        <w:t>〕</w:t>
      </w:r>
      <w:r>
        <w:rPr>
          <w:rFonts w:eastAsia="方正仿宋_GBK"/>
          <w:color w:val="000000"/>
          <w:spacing w:val="-2"/>
          <w:sz w:val="24"/>
        </w:rPr>
        <w:t>82</w:t>
      </w:r>
      <w:r>
        <w:rPr>
          <w:rFonts w:hint="eastAsia" w:eastAsia="方正仿宋_GBK"/>
          <w:color w:val="000000"/>
          <w:spacing w:val="-2"/>
          <w:sz w:val="24"/>
        </w:rPr>
        <w:t>号）文件要求，现将《江苏省住宅装修放心消费优质企业评价办法》（试行）（附件：</w:t>
      </w:r>
      <w:r>
        <w:rPr>
          <w:rFonts w:eastAsia="方正仿宋_GBK"/>
          <w:color w:val="000000"/>
          <w:spacing w:val="-2"/>
          <w:sz w:val="24"/>
        </w:rPr>
        <w:t>1</w:t>
      </w:r>
      <w:r>
        <w:rPr>
          <w:rFonts w:hint="eastAsia" w:eastAsia="方正仿宋_GBK"/>
          <w:color w:val="000000"/>
          <w:spacing w:val="-2"/>
          <w:sz w:val="24"/>
        </w:rPr>
        <w:t>）印发给你们，请各地按《办法》的要求，认真组织开展创建和申报工作。为切实做好</w:t>
      </w:r>
      <w:r>
        <w:rPr>
          <w:rFonts w:eastAsia="方正仿宋_GBK"/>
          <w:color w:val="000000"/>
          <w:spacing w:val="-2"/>
          <w:sz w:val="24"/>
        </w:rPr>
        <w:t>2015</w:t>
      </w:r>
      <w:r>
        <w:rPr>
          <w:rFonts w:hint="eastAsia" w:eastAsia="方正仿宋_GBK"/>
          <w:color w:val="000000"/>
          <w:spacing w:val="-2"/>
          <w:sz w:val="24"/>
        </w:rPr>
        <w:t>年首批申报工作，现将有关事项通知如下：</w:t>
      </w:r>
    </w:p>
    <w:p>
      <w:pPr>
        <w:spacing w:line="460" w:lineRule="exact"/>
        <w:ind w:firstLine="472" w:firstLineChars="200"/>
        <w:jc w:val="left"/>
        <w:rPr>
          <w:rFonts w:ascii="Times New Roman" w:eastAsia="方正黑体_GBK"/>
          <w:color w:val="000000"/>
          <w:spacing w:val="-2"/>
          <w:sz w:val="24"/>
        </w:rPr>
      </w:pPr>
      <w:r>
        <w:rPr>
          <w:rFonts w:hint="eastAsia" w:ascii="Times New Roman" w:eastAsia="方正黑体_GBK"/>
          <w:color w:val="000000"/>
          <w:spacing w:val="-2"/>
          <w:sz w:val="24"/>
        </w:rPr>
        <w:t>一、申报原则</w:t>
      </w:r>
    </w:p>
    <w:p>
      <w:pPr>
        <w:spacing w:line="460" w:lineRule="exact"/>
        <w:ind w:firstLine="472" w:firstLineChars="200"/>
        <w:rPr>
          <w:rFonts w:hint="eastAsia" w:eastAsia="方正仿宋_GBK"/>
          <w:color w:val="000000"/>
          <w:spacing w:val="-2"/>
          <w:sz w:val="24"/>
        </w:rPr>
      </w:pPr>
      <w:r>
        <w:rPr>
          <w:rFonts w:hint="eastAsia" w:eastAsia="方正仿宋_GBK"/>
          <w:color w:val="000000"/>
          <w:spacing w:val="-2"/>
          <w:sz w:val="24"/>
        </w:rPr>
        <w:t>遵循公开、公平、公正的原则，由企业自愿申报、自下而上推荐。</w:t>
      </w:r>
    </w:p>
    <w:p>
      <w:pPr>
        <w:spacing w:line="460" w:lineRule="exact"/>
        <w:ind w:firstLine="472" w:firstLineChars="200"/>
        <w:jc w:val="left"/>
        <w:rPr>
          <w:rFonts w:ascii="Times New Roman" w:eastAsia="方正黑体_GBK"/>
          <w:color w:val="000000"/>
          <w:spacing w:val="-2"/>
          <w:sz w:val="24"/>
        </w:rPr>
      </w:pPr>
      <w:r>
        <w:rPr>
          <w:rFonts w:hint="eastAsia" w:ascii="Times New Roman" w:eastAsia="方正黑体_GBK"/>
          <w:color w:val="000000"/>
          <w:spacing w:val="-2"/>
          <w:sz w:val="24"/>
        </w:rPr>
        <w:t>二、申报条件</w:t>
      </w:r>
    </w:p>
    <w:p>
      <w:pPr>
        <w:spacing w:line="460" w:lineRule="exact"/>
        <w:ind w:firstLine="472" w:firstLineChars="200"/>
        <w:rPr>
          <w:rFonts w:hint="eastAsia" w:eastAsia="方正仿宋_GBK"/>
          <w:color w:val="000000"/>
          <w:spacing w:val="-2"/>
          <w:kern w:val="0"/>
          <w:sz w:val="24"/>
        </w:rPr>
      </w:pPr>
      <w:r>
        <w:rPr>
          <w:rFonts w:hint="eastAsia" w:eastAsia="方正仿宋_GBK"/>
          <w:color w:val="000000"/>
          <w:spacing w:val="-2"/>
          <w:sz w:val="24"/>
        </w:rPr>
        <w:t>详见《江苏省住宅装修放心消费优质企业评价办法》（试行）（附件：</w:t>
      </w:r>
      <w:r>
        <w:rPr>
          <w:rFonts w:eastAsia="方正仿宋_GBK"/>
          <w:color w:val="000000"/>
          <w:spacing w:val="-2"/>
          <w:sz w:val="24"/>
        </w:rPr>
        <w:t>1</w:t>
      </w:r>
      <w:r>
        <w:rPr>
          <w:rFonts w:hint="eastAsia" w:eastAsia="方正仿宋_GBK"/>
          <w:color w:val="000000"/>
          <w:spacing w:val="-2"/>
          <w:sz w:val="24"/>
        </w:rPr>
        <w:t>）</w:t>
      </w:r>
    </w:p>
    <w:p>
      <w:pPr>
        <w:spacing w:line="460" w:lineRule="exact"/>
        <w:ind w:firstLine="472" w:firstLineChars="200"/>
        <w:jc w:val="left"/>
        <w:rPr>
          <w:rFonts w:ascii="Times New Roman" w:eastAsia="方正黑体_GBK"/>
          <w:color w:val="000000"/>
          <w:spacing w:val="-2"/>
          <w:sz w:val="24"/>
        </w:rPr>
      </w:pPr>
      <w:r>
        <w:rPr>
          <w:rFonts w:hint="eastAsia" w:ascii="Times New Roman" w:eastAsia="方正黑体_GBK"/>
          <w:color w:val="000000"/>
          <w:spacing w:val="-2"/>
          <w:sz w:val="24"/>
        </w:rPr>
        <w:t>三、申报材料</w:t>
      </w:r>
    </w:p>
    <w:p>
      <w:pPr>
        <w:spacing w:line="460" w:lineRule="exact"/>
        <w:ind w:firstLine="472" w:firstLineChars="200"/>
        <w:rPr>
          <w:rFonts w:hint="eastAsia" w:eastAsia="方正仿宋_GBK"/>
          <w:color w:val="000000"/>
          <w:spacing w:val="-2"/>
          <w:kern w:val="0"/>
          <w:sz w:val="24"/>
        </w:rPr>
      </w:pPr>
      <w:r>
        <w:rPr>
          <w:rFonts w:eastAsia="方正仿宋_GBK"/>
          <w:color w:val="000000"/>
          <w:spacing w:val="-2"/>
          <w:kern w:val="0"/>
          <w:sz w:val="24"/>
        </w:rPr>
        <w:t>1</w:t>
      </w:r>
      <w:r>
        <w:rPr>
          <w:rFonts w:hint="eastAsia" w:eastAsia="方正仿宋_GBK"/>
          <w:color w:val="000000"/>
          <w:spacing w:val="-2"/>
          <w:kern w:val="0"/>
          <w:sz w:val="24"/>
        </w:rPr>
        <w:t>、申报表（详见附件：</w:t>
      </w:r>
      <w:r>
        <w:rPr>
          <w:rFonts w:eastAsia="方正仿宋_GBK"/>
          <w:color w:val="000000"/>
          <w:spacing w:val="-2"/>
          <w:kern w:val="0"/>
          <w:sz w:val="24"/>
        </w:rPr>
        <w:t>3</w:t>
      </w:r>
      <w:r>
        <w:rPr>
          <w:rFonts w:hint="eastAsia" w:eastAsia="方正仿宋_GBK"/>
          <w:color w:val="000000"/>
          <w:spacing w:val="-2"/>
          <w:kern w:val="0"/>
          <w:sz w:val="24"/>
        </w:rPr>
        <w:t>）（一式四份）</w:t>
      </w:r>
    </w:p>
    <w:p>
      <w:pPr>
        <w:spacing w:line="460" w:lineRule="exact"/>
        <w:ind w:firstLine="472" w:firstLineChars="200"/>
        <w:rPr>
          <w:rFonts w:eastAsia="方正仿宋_GBK"/>
          <w:color w:val="000000"/>
          <w:spacing w:val="-2"/>
          <w:kern w:val="0"/>
          <w:sz w:val="24"/>
        </w:rPr>
      </w:pPr>
      <w:r>
        <w:rPr>
          <w:rFonts w:eastAsia="方正仿宋_GBK"/>
          <w:color w:val="000000"/>
          <w:spacing w:val="-2"/>
          <w:kern w:val="0"/>
          <w:sz w:val="24"/>
        </w:rPr>
        <w:t>2</w:t>
      </w:r>
      <w:r>
        <w:rPr>
          <w:rFonts w:hint="eastAsia" w:eastAsia="方正仿宋_GBK"/>
          <w:color w:val="000000"/>
          <w:spacing w:val="-2"/>
          <w:kern w:val="0"/>
          <w:sz w:val="24"/>
        </w:rPr>
        <w:t>、附件材料（详见附件：</w:t>
      </w:r>
      <w:r>
        <w:rPr>
          <w:rFonts w:eastAsia="方正仿宋_GBK"/>
          <w:color w:val="000000"/>
          <w:spacing w:val="-2"/>
          <w:kern w:val="0"/>
          <w:sz w:val="24"/>
        </w:rPr>
        <w:t>2</w:t>
      </w:r>
      <w:r>
        <w:rPr>
          <w:rFonts w:hint="eastAsia" w:eastAsia="方正仿宋_GBK"/>
          <w:color w:val="000000"/>
          <w:spacing w:val="-2"/>
          <w:kern w:val="0"/>
          <w:sz w:val="24"/>
        </w:rPr>
        <w:t>）</w:t>
      </w:r>
    </w:p>
    <w:p>
      <w:pPr>
        <w:spacing w:line="460" w:lineRule="exact"/>
        <w:ind w:firstLine="472" w:firstLineChars="200"/>
        <w:jc w:val="left"/>
        <w:rPr>
          <w:rFonts w:ascii="Times New Roman" w:eastAsia="方正黑体_GBK"/>
          <w:color w:val="000000"/>
          <w:spacing w:val="-2"/>
          <w:sz w:val="24"/>
        </w:rPr>
      </w:pPr>
      <w:r>
        <w:rPr>
          <w:rFonts w:hint="eastAsia" w:ascii="Times New Roman" w:eastAsia="方正黑体_GBK"/>
          <w:color w:val="000000"/>
          <w:spacing w:val="-2"/>
          <w:sz w:val="24"/>
        </w:rPr>
        <w:t>四、申报名额</w:t>
      </w:r>
    </w:p>
    <w:p>
      <w:pPr>
        <w:spacing w:line="460" w:lineRule="exact"/>
        <w:ind w:left="420" w:leftChars="200"/>
        <w:rPr>
          <w:rFonts w:hint="eastAsia" w:eastAsia="方正仿宋_GBK"/>
          <w:color w:val="000000"/>
          <w:spacing w:val="-2"/>
          <w:kern w:val="0"/>
          <w:sz w:val="24"/>
        </w:rPr>
      </w:pPr>
      <w:r>
        <w:rPr>
          <w:rFonts w:eastAsia="方正仿宋_GBK"/>
          <w:color w:val="000000"/>
          <w:spacing w:val="-2"/>
          <w:kern w:val="0"/>
          <w:sz w:val="24"/>
        </w:rPr>
        <w:t xml:space="preserve">  </w:t>
      </w:r>
      <w:r>
        <w:rPr>
          <w:rFonts w:hint="eastAsia" w:eastAsia="方正仿宋_GBK"/>
          <w:color w:val="000000"/>
          <w:spacing w:val="-2"/>
          <w:kern w:val="0"/>
          <w:sz w:val="24"/>
        </w:rPr>
        <w:t>苏州、南京可申报</w:t>
      </w:r>
      <w:r>
        <w:rPr>
          <w:rFonts w:eastAsia="方正仿宋_GBK"/>
          <w:color w:val="000000"/>
          <w:spacing w:val="-2"/>
          <w:kern w:val="0"/>
          <w:sz w:val="24"/>
        </w:rPr>
        <w:t>8</w:t>
      </w:r>
      <w:r>
        <w:rPr>
          <w:rFonts w:hint="eastAsia" w:eastAsia="方正仿宋_GBK"/>
          <w:color w:val="000000"/>
          <w:spacing w:val="-2"/>
          <w:kern w:val="0"/>
          <w:sz w:val="24"/>
        </w:rPr>
        <w:t>家企业，其余各市可申报</w:t>
      </w:r>
      <w:r>
        <w:rPr>
          <w:rFonts w:eastAsia="方正仿宋_GBK"/>
          <w:color w:val="000000"/>
          <w:spacing w:val="-2"/>
          <w:kern w:val="0"/>
          <w:sz w:val="24"/>
        </w:rPr>
        <w:t>5</w:t>
      </w:r>
      <w:r>
        <w:rPr>
          <w:rFonts w:hint="eastAsia" w:eastAsia="方正仿宋_GBK"/>
          <w:color w:val="000000"/>
          <w:spacing w:val="-2"/>
          <w:kern w:val="0"/>
          <w:sz w:val="24"/>
        </w:rPr>
        <w:t>家企业。</w:t>
      </w:r>
    </w:p>
    <w:p>
      <w:pPr>
        <w:spacing w:line="460" w:lineRule="exact"/>
        <w:ind w:firstLine="472" w:firstLineChars="200"/>
        <w:jc w:val="left"/>
        <w:rPr>
          <w:rFonts w:ascii="Times New Roman" w:eastAsia="方正黑体_GBK"/>
          <w:color w:val="000000"/>
          <w:spacing w:val="-2"/>
          <w:sz w:val="24"/>
        </w:rPr>
      </w:pPr>
      <w:r>
        <w:rPr>
          <w:rFonts w:hint="eastAsia" w:ascii="Times New Roman" w:eastAsia="方正黑体_GBK"/>
          <w:color w:val="000000"/>
          <w:spacing w:val="-2"/>
          <w:sz w:val="24"/>
        </w:rPr>
        <w:t>五、申报方式</w:t>
      </w:r>
    </w:p>
    <w:p>
      <w:pPr>
        <w:spacing w:line="460" w:lineRule="exact"/>
        <w:ind w:firstLine="472" w:firstLineChars="200"/>
        <w:rPr>
          <w:rFonts w:hint="eastAsia" w:eastAsia="方正仿宋_GBK"/>
          <w:color w:val="000000"/>
          <w:spacing w:val="-2"/>
          <w:kern w:val="0"/>
          <w:sz w:val="24"/>
        </w:rPr>
      </w:pPr>
      <w:r>
        <w:rPr>
          <w:rFonts w:hint="eastAsia" w:eastAsia="方正仿宋_GBK"/>
          <w:color w:val="000000"/>
          <w:spacing w:val="-2"/>
          <w:kern w:val="0"/>
          <w:sz w:val="24"/>
        </w:rPr>
        <w:t>企业填报申报表，并将所需材料交当地主管部门，经各地主管部门审核后，统一上报省住宅装修放心消费创建办公室。</w:t>
      </w:r>
    </w:p>
    <w:p>
      <w:pPr>
        <w:spacing w:line="460" w:lineRule="exact"/>
        <w:ind w:firstLine="472" w:firstLineChars="200"/>
        <w:jc w:val="left"/>
        <w:rPr>
          <w:rFonts w:ascii="Times New Roman" w:eastAsia="方正黑体_GBK"/>
          <w:color w:val="000000"/>
          <w:spacing w:val="-2"/>
          <w:sz w:val="24"/>
        </w:rPr>
      </w:pPr>
      <w:r>
        <w:rPr>
          <w:rFonts w:hint="eastAsia" w:ascii="Times New Roman" w:eastAsia="方正黑体_GBK"/>
          <w:color w:val="000000"/>
          <w:spacing w:val="-2"/>
          <w:sz w:val="24"/>
        </w:rPr>
        <w:t>六、时间安排</w:t>
      </w:r>
    </w:p>
    <w:p>
      <w:pPr>
        <w:spacing w:line="460" w:lineRule="exact"/>
        <w:ind w:firstLine="472" w:firstLineChars="200"/>
        <w:rPr>
          <w:rFonts w:hint="eastAsia" w:eastAsia="方正仿宋_GBK"/>
          <w:color w:val="000000"/>
          <w:spacing w:val="-2"/>
          <w:kern w:val="0"/>
          <w:sz w:val="24"/>
        </w:rPr>
      </w:pPr>
      <w:r>
        <w:rPr>
          <w:rFonts w:eastAsia="方正仿宋_GBK"/>
          <w:color w:val="000000"/>
          <w:spacing w:val="-2"/>
          <w:kern w:val="0"/>
          <w:sz w:val="24"/>
        </w:rPr>
        <w:t>2015</w:t>
      </w:r>
      <w:r>
        <w:rPr>
          <w:rFonts w:hint="eastAsia" w:eastAsia="方正仿宋_GBK"/>
          <w:color w:val="000000"/>
          <w:spacing w:val="-2"/>
          <w:kern w:val="0"/>
          <w:sz w:val="24"/>
        </w:rPr>
        <w:t>年申报截止时间为</w:t>
      </w:r>
      <w:r>
        <w:rPr>
          <w:rFonts w:eastAsia="方正仿宋_GBK"/>
          <w:color w:val="000000"/>
          <w:spacing w:val="-2"/>
          <w:kern w:val="0"/>
          <w:sz w:val="24"/>
        </w:rPr>
        <w:t>6</w:t>
      </w:r>
      <w:r>
        <w:rPr>
          <w:rFonts w:hint="eastAsia" w:eastAsia="方正仿宋_GBK"/>
          <w:color w:val="000000"/>
          <w:spacing w:val="-2"/>
          <w:kern w:val="0"/>
          <w:sz w:val="24"/>
        </w:rPr>
        <w:t>月</w:t>
      </w:r>
      <w:r>
        <w:rPr>
          <w:rFonts w:eastAsia="方正仿宋_GBK"/>
          <w:color w:val="000000"/>
          <w:spacing w:val="-2"/>
          <w:kern w:val="0"/>
          <w:sz w:val="24"/>
        </w:rPr>
        <w:t>30</w:t>
      </w:r>
      <w:r>
        <w:rPr>
          <w:rFonts w:hint="eastAsia" w:eastAsia="方正仿宋_GBK"/>
          <w:color w:val="000000"/>
          <w:spacing w:val="-2"/>
          <w:kern w:val="0"/>
          <w:sz w:val="24"/>
        </w:rPr>
        <w:t>日</w:t>
      </w:r>
    </w:p>
    <w:p>
      <w:pPr>
        <w:spacing w:line="460" w:lineRule="exact"/>
        <w:ind w:firstLine="472" w:firstLineChars="200"/>
        <w:jc w:val="left"/>
        <w:rPr>
          <w:rFonts w:ascii="Times New Roman" w:eastAsia="方正黑体_GBK"/>
          <w:color w:val="000000"/>
          <w:spacing w:val="-2"/>
          <w:sz w:val="24"/>
        </w:rPr>
      </w:pPr>
      <w:r>
        <w:rPr>
          <w:rFonts w:hint="eastAsia" w:ascii="Times New Roman" w:eastAsia="方正黑体_GBK"/>
          <w:color w:val="000000"/>
          <w:spacing w:val="-2"/>
          <w:sz w:val="24"/>
        </w:rPr>
        <w:t>七、联系方式</w:t>
      </w:r>
    </w:p>
    <w:p>
      <w:pPr>
        <w:spacing w:line="460" w:lineRule="exact"/>
        <w:ind w:firstLine="472" w:firstLineChars="200"/>
        <w:rPr>
          <w:rFonts w:hint="eastAsia" w:eastAsia="方正仿宋_GBK"/>
          <w:color w:val="000000"/>
          <w:spacing w:val="-2"/>
          <w:kern w:val="0"/>
          <w:sz w:val="24"/>
        </w:rPr>
      </w:pPr>
      <w:r>
        <w:rPr>
          <w:rFonts w:hint="eastAsia" w:eastAsia="方正仿宋_GBK"/>
          <w:color w:val="000000"/>
          <w:spacing w:val="-2"/>
          <w:kern w:val="0"/>
          <w:sz w:val="24"/>
        </w:rPr>
        <w:t>江苏省装饰装修发展中心（江苏省住宅装修放心消费创建活动办公室），</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联系人：宋田田、王鹏</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联系电话：</w:t>
      </w:r>
      <w:r>
        <w:rPr>
          <w:rFonts w:eastAsia="方正仿宋_GBK"/>
          <w:color w:val="000000"/>
          <w:spacing w:val="-2"/>
          <w:kern w:val="0"/>
          <w:sz w:val="24"/>
        </w:rPr>
        <w:t>025--51868688</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联系地址：南京市草场门大街</w:t>
      </w:r>
      <w:r>
        <w:rPr>
          <w:rFonts w:eastAsia="方正仿宋_GBK"/>
          <w:color w:val="000000"/>
          <w:spacing w:val="-2"/>
          <w:kern w:val="0"/>
          <w:sz w:val="24"/>
        </w:rPr>
        <w:t>88</w:t>
      </w:r>
      <w:r>
        <w:rPr>
          <w:rFonts w:hint="eastAsia" w:eastAsia="方正仿宋_GBK"/>
          <w:color w:val="000000"/>
          <w:spacing w:val="-2"/>
          <w:kern w:val="0"/>
          <w:sz w:val="24"/>
        </w:rPr>
        <w:t>号</w:t>
      </w:r>
      <w:r>
        <w:rPr>
          <w:rFonts w:eastAsia="方正仿宋_GBK"/>
          <w:color w:val="000000"/>
          <w:spacing w:val="-2"/>
          <w:kern w:val="0"/>
          <w:sz w:val="24"/>
        </w:rPr>
        <w:t>1409</w:t>
      </w:r>
      <w:r>
        <w:rPr>
          <w:rFonts w:hint="eastAsia" w:eastAsia="方正仿宋_GBK"/>
          <w:color w:val="000000"/>
          <w:spacing w:val="-2"/>
          <w:kern w:val="0"/>
          <w:sz w:val="24"/>
        </w:rPr>
        <w:t>室，邮编：</w:t>
      </w:r>
      <w:r>
        <w:rPr>
          <w:rFonts w:eastAsia="方正仿宋_GBK"/>
          <w:color w:val="000000"/>
          <w:spacing w:val="-2"/>
          <w:kern w:val="0"/>
          <w:sz w:val="24"/>
        </w:rPr>
        <w:t>210036</w:t>
      </w:r>
    </w:p>
    <w:p>
      <w:pPr>
        <w:spacing w:line="460" w:lineRule="exact"/>
        <w:ind w:left="1346" w:leftChars="304" w:hanging="708" w:hangingChars="300"/>
        <w:rPr>
          <w:rFonts w:eastAsia="方正仿宋_GBK"/>
          <w:color w:val="000000"/>
          <w:spacing w:val="-2"/>
          <w:kern w:val="0"/>
          <w:sz w:val="24"/>
        </w:rPr>
      </w:pPr>
    </w:p>
    <w:p>
      <w:pPr>
        <w:spacing w:line="460" w:lineRule="exact"/>
        <w:ind w:left="1346" w:leftChars="304" w:hanging="708" w:hangingChars="300"/>
        <w:rPr>
          <w:rFonts w:eastAsia="方正仿宋_GBK"/>
          <w:color w:val="000000"/>
          <w:spacing w:val="-2"/>
          <w:kern w:val="0"/>
          <w:sz w:val="24"/>
        </w:rPr>
      </w:pPr>
      <w:r>
        <w:rPr>
          <w:rFonts w:hint="eastAsia" w:eastAsia="方正仿宋_GBK"/>
          <w:color w:val="000000"/>
          <w:spacing w:val="-2"/>
          <w:kern w:val="0"/>
          <w:sz w:val="24"/>
        </w:rPr>
        <w:t>附件：</w:t>
      </w:r>
      <w:r>
        <w:rPr>
          <w:rFonts w:eastAsia="方正仿宋_GBK"/>
          <w:color w:val="000000"/>
          <w:spacing w:val="-2"/>
          <w:kern w:val="0"/>
          <w:sz w:val="24"/>
        </w:rPr>
        <w:t>1.</w:t>
      </w:r>
      <w:r>
        <w:rPr>
          <w:rFonts w:hint="cs" w:eastAsia="方正仿宋_GBK"/>
          <w:color w:val="000000"/>
          <w:spacing w:val="-2"/>
          <w:kern w:val="0"/>
          <w:sz w:val="24"/>
          <w:cs/>
        </w:rPr>
        <w:t> </w:t>
      </w:r>
      <w:r>
        <w:rPr>
          <w:rFonts w:hint="eastAsia" w:eastAsia="方正仿宋_GBK"/>
          <w:color w:val="000000"/>
          <w:spacing w:val="-2"/>
          <w:kern w:val="0"/>
          <w:sz w:val="24"/>
        </w:rPr>
        <w:t>《江苏省住宅装修放心消费创建优质企业评价办法》（试行）</w:t>
      </w:r>
    </w:p>
    <w:p>
      <w:pPr>
        <w:spacing w:line="460" w:lineRule="exact"/>
        <w:ind w:firstLine="420" w:firstLineChars="178"/>
        <w:rPr>
          <w:rFonts w:eastAsia="方正仿宋_GBK"/>
          <w:color w:val="000000"/>
          <w:spacing w:val="-2"/>
          <w:kern w:val="0"/>
          <w:sz w:val="24"/>
        </w:rPr>
      </w:pPr>
      <w:r>
        <w:rPr>
          <w:rFonts w:eastAsia="方正仿宋_GBK"/>
          <w:color w:val="000000"/>
          <w:spacing w:val="-2"/>
          <w:kern w:val="0"/>
          <w:sz w:val="24"/>
        </w:rPr>
        <w:t xml:space="preserve">        2.</w:t>
      </w:r>
      <w:r>
        <w:rPr>
          <w:rFonts w:hint="cs" w:eastAsia="方正仿宋_GBK"/>
          <w:color w:val="000000"/>
          <w:spacing w:val="-2"/>
          <w:kern w:val="0"/>
          <w:sz w:val="24"/>
          <w:cs/>
        </w:rPr>
        <w:t> </w:t>
      </w:r>
      <w:r>
        <w:rPr>
          <w:rFonts w:hint="eastAsia" w:eastAsia="方正仿宋_GBK"/>
          <w:color w:val="000000"/>
          <w:spacing w:val="-2"/>
          <w:kern w:val="0"/>
          <w:sz w:val="24"/>
        </w:rPr>
        <w:t>申报附件材料</w:t>
      </w:r>
    </w:p>
    <w:p>
      <w:pPr>
        <w:spacing w:line="460" w:lineRule="exact"/>
        <w:ind w:firstLine="1361" w:firstLineChars="577"/>
        <w:rPr>
          <w:rFonts w:eastAsia="方正仿宋_GBK"/>
          <w:color w:val="000000"/>
          <w:spacing w:val="-2"/>
          <w:kern w:val="0"/>
          <w:sz w:val="24"/>
        </w:rPr>
      </w:pPr>
      <w:r>
        <w:rPr>
          <w:rFonts w:eastAsia="方正仿宋_GBK"/>
          <w:color w:val="000000"/>
          <w:spacing w:val="-2"/>
          <w:kern w:val="0"/>
          <w:sz w:val="24"/>
        </w:rPr>
        <w:t>3.</w:t>
      </w:r>
      <w:r>
        <w:rPr>
          <w:rFonts w:hint="cs" w:eastAsia="方正仿宋_GBK"/>
          <w:color w:val="000000"/>
          <w:spacing w:val="-2"/>
          <w:kern w:val="0"/>
          <w:sz w:val="24"/>
          <w:cs/>
        </w:rPr>
        <w:t> </w:t>
      </w:r>
      <w:r>
        <w:rPr>
          <w:rFonts w:hint="eastAsia" w:eastAsia="方正仿宋_GBK"/>
          <w:color w:val="000000"/>
          <w:spacing w:val="-2"/>
          <w:sz w:val="24"/>
        </w:rPr>
        <w:t>江苏省住宅装修放心消费优质企业</w:t>
      </w:r>
      <w:r>
        <w:rPr>
          <w:rFonts w:hint="eastAsia" w:eastAsia="方正仿宋_GBK"/>
          <w:color w:val="000000"/>
          <w:spacing w:val="-2"/>
          <w:kern w:val="0"/>
          <w:sz w:val="24"/>
        </w:rPr>
        <w:t>申报表</w:t>
      </w:r>
    </w:p>
    <w:p>
      <w:pPr>
        <w:spacing w:line="460" w:lineRule="exact"/>
        <w:rPr>
          <w:rFonts w:eastAsia="方正仿宋_GBK"/>
          <w:color w:val="000000"/>
          <w:spacing w:val="-2"/>
          <w:kern w:val="0"/>
          <w:sz w:val="24"/>
        </w:rPr>
      </w:pPr>
    </w:p>
    <w:p>
      <w:pPr>
        <w:spacing w:line="460" w:lineRule="exact"/>
        <w:ind w:right="437" w:rightChars="208" w:firstLine="472" w:firstLineChars="200"/>
        <w:jc w:val="right"/>
        <w:rPr>
          <w:rFonts w:eastAsia="方正仿宋_GBK"/>
          <w:color w:val="000000"/>
          <w:spacing w:val="-2"/>
          <w:kern w:val="0"/>
          <w:sz w:val="24"/>
        </w:rPr>
      </w:pPr>
      <w:r>
        <w:rPr>
          <w:rFonts w:eastAsia="方正仿宋_GBK"/>
          <w:color w:val="000000"/>
          <w:spacing w:val="-2"/>
          <w:kern w:val="0"/>
          <w:sz w:val="24"/>
        </w:rPr>
        <w:t xml:space="preserve">                         </w:t>
      </w:r>
      <w:r>
        <w:rPr>
          <w:rFonts w:hint="eastAsia" w:eastAsia="方正仿宋_GBK"/>
          <w:color w:val="000000"/>
          <w:spacing w:val="-2"/>
          <w:kern w:val="0"/>
          <w:sz w:val="24"/>
        </w:rPr>
        <w:t>江苏省住房和城乡建设厅</w:t>
      </w:r>
      <w:r>
        <w:rPr>
          <w:rFonts w:eastAsia="方正仿宋_GBK"/>
          <w:color w:val="000000"/>
          <w:spacing w:val="-2"/>
          <w:kern w:val="0"/>
          <w:sz w:val="24"/>
        </w:rPr>
        <w:t xml:space="preserve">    </w:t>
      </w:r>
    </w:p>
    <w:p>
      <w:pPr>
        <w:spacing w:line="460" w:lineRule="exact"/>
        <w:ind w:right="897" w:rightChars="427" w:firstLine="472" w:firstLineChars="200"/>
        <w:jc w:val="right"/>
        <w:rPr>
          <w:rFonts w:eastAsia="方正仿宋_GBK"/>
          <w:color w:val="000000"/>
          <w:spacing w:val="-2"/>
          <w:kern w:val="0"/>
          <w:sz w:val="24"/>
        </w:rPr>
      </w:pPr>
      <w:r>
        <w:rPr>
          <w:rFonts w:eastAsia="方正仿宋_GBK"/>
          <w:color w:val="000000"/>
          <w:spacing w:val="-2"/>
          <w:kern w:val="0"/>
          <w:sz w:val="24"/>
        </w:rPr>
        <w:t xml:space="preserve">                            2015</w:t>
      </w:r>
      <w:r>
        <w:rPr>
          <w:rFonts w:hint="eastAsia" w:eastAsia="方正仿宋_GBK"/>
          <w:color w:val="000000"/>
          <w:spacing w:val="-2"/>
          <w:kern w:val="0"/>
          <w:sz w:val="24"/>
        </w:rPr>
        <w:t>年</w:t>
      </w:r>
      <w:r>
        <w:rPr>
          <w:rFonts w:eastAsia="方正仿宋_GBK"/>
          <w:color w:val="000000"/>
          <w:spacing w:val="-2"/>
          <w:kern w:val="0"/>
          <w:sz w:val="24"/>
        </w:rPr>
        <w:t>6</w:t>
      </w:r>
      <w:r>
        <w:rPr>
          <w:rFonts w:hint="eastAsia" w:eastAsia="方正仿宋_GBK"/>
          <w:color w:val="000000"/>
          <w:spacing w:val="-2"/>
          <w:kern w:val="0"/>
          <w:sz w:val="24"/>
        </w:rPr>
        <w:t>月</w:t>
      </w:r>
      <w:r>
        <w:rPr>
          <w:rFonts w:eastAsia="方正仿宋_GBK"/>
          <w:color w:val="000000"/>
          <w:spacing w:val="-2"/>
          <w:kern w:val="0"/>
          <w:sz w:val="24"/>
        </w:rPr>
        <w:t>1</w:t>
      </w:r>
      <w:r>
        <w:rPr>
          <w:rFonts w:hint="eastAsia" w:eastAsia="方正仿宋_GBK"/>
          <w:color w:val="000000"/>
          <w:spacing w:val="-2"/>
          <w:kern w:val="0"/>
          <w:sz w:val="24"/>
        </w:rPr>
        <w:t>日</w:t>
      </w:r>
      <w:r>
        <w:rPr>
          <w:rFonts w:eastAsia="方正仿宋_GBK"/>
          <w:color w:val="000000"/>
          <w:spacing w:val="-2"/>
          <w:kern w:val="0"/>
          <w:sz w:val="24"/>
        </w:rPr>
        <w:t xml:space="preserve">        </w:t>
      </w:r>
    </w:p>
    <w:p>
      <w:pPr>
        <w:spacing w:line="460" w:lineRule="exact"/>
        <w:ind w:firstLine="472" w:firstLineChars="200"/>
        <w:jc w:val="right"/>
        <w:rPr>
          <w:rFonts w:eastAsia="方正仿宋_GBK"/>
          <w:color w:val="000000"/>
          <w:spacing w:val="-2"/>
          <w:kern w:val="0"/>
          <w:sz w:val="24"/>
        </w:rPr>
      </w:pPr>
    </w:p>
    <w:p>
      <w:pPr>
        <w:spacing w:line="460" w:lineRule="exact"/>
        <w:rPr>
          <w:rFonts w:ascii="Times New Roman" w:eastAsia="方正黑体_GBK"/>
          <w:color w:val="000000"/>
          <w:spacing w:val="-2"/>
          <w:sz w:val="28"/>
          <w:szCs w:val="28"/>
        </w:rPr>
      </w:pPr>
      <w:r>
        <w:rPr>
          <w:rFonts w:eastAsia="方正仿宋_GBK"/>
          <w:color w:val="000000"/>
          <w:spacing w:val="-2"/>
          <w:kern w:val="0"/>
          <w:sz w:val="24"/>
        </w:rPr>
        <w:br w:type="column"/>
      </w:r>
      <w:r>
        <w:rPr>
          <w:rFonts w:hint="eastAsia" w:ascii="Times New Roman" w:eastAsia="方正黑体_GBK"/>
          <w:color w:val="000000"/>
          <w:spacing w:val="-2"/>
          <w:sz w:val="28"/>
          <w:szCs w:val="28"/>
        </w:rPr>
        <w:t>附件1</w:t>
      </w:r>
    </w:p>
    <w:p>
      <w:pPr>
        <w:spacing w:line="460" w:lineRule="exact"/>
        <w:rPr>
          <w:rFonts w:hint="eastAsia" w:eastAsia="方正仿宋_GBK"/>
          <w:color w:val="000000"/>
          <w:spacing w:val="-2"/>
          <w:sz w:val="24"/>
        </w:rPr>
      </w:pPr>
    </w:p>
    <w:p>
      <w:pPr>
        <w:spacing w:line="460" w:lineRule="exact"/>
        <w:jc w:val="center"/>
        <w:rPr>
          <w:rFonts w:ascii="Times New Roman" w:eastAsia="方正黑体_GBK"/>
          <w:color w:val="000000"/>
          <w:spacing w:val="-2"/>
          <w:sz w:val="36"/>
          <w:szCs w:val="36"/>
        </w:rPr>
      </w:pPr>
      <w:r>
        <w:rPr>
          <w:rFonts w:hint="eastAsia" w:ascii="Times New Roman" w:eastAsia="方正黑体_GBK"/>
          <w:color w:val="000000"/>
          <w:spacing w:val="-2"/>
          <w:sz w:val="36"/>
          <w:szCs w:val="36"/>
        </w:rPr>
        <w:t>江苏省住宅装修放心消费优质企业</w:t>
      </w:r>
    </w:p>
    <w:p>
      <w:pPr>
        <w:spacing w:line="460" w:lineRule="exact"/>
        <w:jc w:val="center"/>
        <w:rPr>
          <w:rFonts w:hint="eastAsia" w:ascii="Times New Roman" w:eastAsia="方正黑体_GBK"/>
          <w:color w:val="000000"/>
          <w:spacing w:val="-2"/>
          <w:sz w:val="36"/>
          <w:szCs w:val="36"/>
        </w:rPr>
      </w:pPr>
      <w:r>
        <w:rPr>
          <w:rFonts w:hint="eastAsia" w:ascii="Times New Roman" w:eastAsia="方正黑体_GBK"/>
          <w:color w:val="000000"/>
          <w:spacing w:val="-2"/>
          <w:sz w:val="36"/>
          <w:szCs w:val="36"/>
        </w:rPr>
        <w:t>评价办法(试行)</w:t>
      </w:r>
    </w:p>
    <w:p>
      <w:pPr>
        <w:spacing w:line="460" w:lineRule="exact"/>
        <w:jc w:val="center"/>
        <w:rPr>
          <w:rFonts w:hint="eastAsia" w:eastAsia="方正仿宋_GBK"/>
          <w:color w:val="000000"/>
          <w:spacing w:val="-2"/>
          <w:sz w:val="24"/>
        </w:rPr>
      </w:pPr>
    </w:p>
    <w:p>
      <w:pPr>
        <w:spacing w:line="460" w:lineRule="exact"/>
        <w:jc w:val="center"/>
        <w:rPr>
          <w:rFonts w:ascii="Times New Roman" w:eastAsia="方正黑体_GBK"/>
          <w:color w:val="000000"/>
          <w:spacing w:val="-2"/>
          <w:sz w:val="24"/>
        </w:rPr>
      </w:pPr>
      <w:r>
        <w:rPr>
          <w:rFonts w:hint="eastAsia" w:ascii="Times New Roman" w:eastAsia="方正黑体_GBK"/>
          <w:color w:val="000000"/>
          <w:spacing w:val="-2"/>
          <w:sz w:val="24"/>
        </w:rPr>
        <w:t>第一章  总    则</w:t>
      </w:r>
    </w:p>
    <w:p>
      <w:pPr>
        <w:spacing w:line="460" w:lineRule="exact"/>
        <w:ind w:firstLine="469" w:firstLineChars="198"/>
        <w:rPr>
          <w:rFonts w:hint="eastAsia" w:eastAsia="方正仿宋_GBK"/>
          <w:b/>
          <w:color w:val="000000"/>
          <w:spacing w:val="-2"/>
          <w:sz w:val="24"/>
        </w:rPr>
      </w:pPr>
    </w:p>
    <w:p>
      <w:pPr>
        <w:spacing w:line="460" w:lineRule="exact"/>
        <w:ind w:firstLine="467" w:firstLineChars="198"/>
        <w:rPr>
          <w:rFonts w:eastAsia="方正仿宋_GBK"/>
          <w:color w:val="000000"/>
          <w:spacing w:val="-2"/>
          <w:sz w:val="24"/>
        </w:rPr>
      </w:pPr>
      <w:r>
        <w:rPr>
          <w:rFonts w:hint="eastAsia" w:ascii="Times New Roman" w:eastAsia="方正黑体_GBK"/>
          <w:color w:val="000000"/>
          <w:spacing w:val="-2"/>
          <w:sz w:val="24"/>
        </w:rPr>
        <w:t>第一条</w:t>
      </w:r>
      <w:r>
        <w:rPr>
          <w:rFonts w:eastAsia="方正仿宋_GBK"/>
          <w:color w:val="000000"/>
          <w:spacing w:val="-2"/>
          <w:sz w:val="24"/>
        </w:rPr>
        <w:t xml:space="preserve">  </w:t>
      </w:r>
      <w:r>
        <w:rPr>
          <w:rFonts w:hint="eastAsia" w:eastAsia="方正仿宋_GBK"/>
          <w:color w:val="000000"/>
          <w:spacing w:val="-2"/>
          <w:sz w:val="24"/>
        </w:rPr>
        <w:t>为帮助百姓选择放心消费优质的住宅装修企业，保障消费者合法权益，规范全省住宅装修市场秩序，促进住宅产业转型升级和住宅产业现代化发展，根据国家和省有关法律法规规定和诚信江苏建设、省放心消费活动相关要求，结合本省实际，制定本办法。</w:t>
      </w:r>
    </w:p>
    <w:p>
      <w:pPr>
        <w:spacing w:line="460" w:lineRule="exact"/>
        <w:ind w:firstLine="467" w:firstLineChars="198"/>
        <w:rPr>
          <w:rFonts w:eastAsia="方正仿宋_GBK"/>
          <w:color w:val="000000"/>
          <w:spacing w:val="-2"/>
          <w:sz w:val="24"/>
        </w:rPr>
      </w:pPr>
      <w:r>
        <w:rPr>
          <w:rFonts w:hint="eastAsia" w:ascii="Times New Roman" w:eastAsia="方正黑体_GBK"/>
          <w:color w:val="000000"/>
          <w:spacing w:val="-2"/>
          <w:sz w:val="24"/>
        </w:rPr>
        <w:t xml:space="preserve">第二条 </w:t>
      </w:r>
      <w:r>
        <w:rPr>
          <w:rFonts w:eastAsia="方正仿宋_GBK"/>
          <w:color w:val="000000"/>
          <w:spacing w:val="-2"/>
          <w:sz w:val="24"/>
        </w:rPr>
        <w:t xml:space="preserve"> </w:t>
      </w:r>
      <w:r>
        <w:rPr>
          <w:rFonts w:hint="eastAsia" w:eastAsia="方正仿宋_GBK"/>
          <w:color w:val="000000"/>
          <w:spacing w:val="-2"/>
          <w:sz w:val="24"/>
        </w:rPr>
        <w:t>本办法所称</w:t>
      </w:r>
      <w:r>
        <w:rPr>
          <w:rFonts w:eastAsia="方正仿宋_GBK"/>
          <w:color w:val="000000"/>
          <w:spacing w:val="-2"/>
          <w:sz w:val="24"/>
        </w:rPr>
        <w:t>“</w:t>
      </w:r>
      <w:r>
        <w:rPr>
          <w:rFonts w:hint="eastAsia" w:eastAsia="方正仿宋_GBK"/>
          <w:color w:val="000000"/>
          <w:spacing w:val="-2"/>
          <w:sz w:val="24"/>
        </w:rPr>
        <w:t>住宅装修放心消费优质企业</w:t>
      </w:r>
      <w:r>
        <w:rPr>
          <w:rFonts w:eastAsia="方正仿宋_GBK"/>
          <w:color w:val="000000"/>
          <w:spacing w:val="-2"/>
          <w:sz w:val="24"/>
        </w:rPr>
        <w:t>”</w:t>
      </w:r>
      <w:r>
        <w:rPr>
          <w:rFonts w:hint="eastAsia" w:eastAsia="方正仿宋_GBK"/>
          <w:color w:val="000000"/>
          <w:spacing w:val="-2"/>
          <w:sz w:val="24"/>
        </w:rPr>
        <w:t>是指我省住宅装修行业中设计水平高、施工质量好、工程造价合理、服务行为规范、群众满意度高的住宅装修企业或其分支机构（即具有营业执照的分公司，以下简称企业）。</w:t>
      </w:r>
    </w:p>
    <w:p>
      <w:pPr>
        <w:spacing w:line="460" w:lineRule="exact"/>
        <w:ind w:firstLine="467" w:firstLineChars="198"/>
        <w:rPr>
          <w:rFonts w:eastAsia="方正仿宋_GBK"/>
          <w:color w:val="000000"/>
          <w:spacing w:val="-2"/>
          <w:sz w:val="24"/>
        </w:rPr>
      </w:pPr>
      <w:r>
        <w:rPr>
          <w:rFonts w:hint="eastAsia" w:ascii="Times New Roman" w:eastAsia="方正黑体_GBK"/>
          <w:color w:val="000000"/>
          <w:spacing w:val="-2"/>
          <w:sz w:val="24"/>
        </w:rPr>
        <w:t>第三条</w:t>
      </w:r>
      <w:r>
        <w:rPr>
          <w:rFonts w:eastAsia="方正仿宋_GBK"/>
          <w:color w:val="000000"/>
          <w:spacing w:val="-2"/>
          <w:sz w:val="24"/>
        </w:rPr>
        <w:t xml:space="preserve">  </w:t>
      </w:r>
      <w:r>
        <w:rPr>
          <w:rFonts w:hint="eastAsia" w:eastAsia="方正仿宋_GBK"/>
          <w:color w:val="000000"/>
          <w:spacing w:val="-2"/>
          <w:sz w:val="24"/>
        </w:rPr>
        <w:t>省住宅装修放心消费优质企业评价活动应本着企业自愿申报、由下而上推介、专家群众共评，倡导优秀设计、绿色环保、让消费者满意的理念，遵循公开、公平、公正、宁严毋宽的原则。</w:t>
      </w:r>
    </w:p>
    <w:p>
      <w:pPr>
        <w:spacing w:line="460" w:lineRule="exact"/>
        <w:ind w:firstLine="467" w:firstLineChars="198"/>
        <w:rPr>
          <w:rFonts w:eastAsia="方正仿宋_GBK"/>
          <w:color w:val="000000"/>
          <w:spacing w:val="-2"/>
          <w:sz w:val="24"/>
        </w:rPr>
      </w:pPr>
      <w:r>
        <w:rPr>
          <w:rFonts w:hint="eastAsia" w:ascii="Times New Roman" w:eastAsia="方正黑体_GBK"/>
          <w:color w:val="000000"/>
          <w:spacing w:val="-2"/>
          <w:sz w:val="24"/>
        </w:rPr>
        <w:t>第四条</w:t>
      </w:r>
      <w:r>
        <w:rPr>
          <w:rFonts w:eastAsia="方正仿宋_GBK"/>
          <w:b/>
          <w:color w:val="000000"/>
          <w:spacing w:val="-2"/>
          <w:sz w:val="24"/>
        </w:rPr>
        <w:t xml:space="preserve">  </w:t>
      </w:r>
      <w:r>
        <w:rPr>
          <w:rFonts w:hint="eastAsia" w:eastAsia="方正仿宋_GBK"/>
          <w:color w:val="000000"/>
          <w:spacing w:val="-2"/>
          <w:sz w:val="24"/>
        </w:rPr>
        <w:t>省住宅装修放心消费优质企业评价活动接受省放心消费活动办公室、省住房和城乡建设厅的监督、指导。</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省装饰装修发展中心、省住房和城乡建设厅住宅与房地产业促进中心和省装饰装修行业协会联合组成</w:t>
      </w:r>
      <w:r>
        <w:rPr>
          <w:rFonts w:eastAsia="方正仿宋_GBK"/>
          <w:color w:val="000000"/>
          <w:spacing w:val="-2"/>
          <w:sz w:val="24"/>
        </w:rPr>
        <w:t>“</w:t>
      </w:r>
      <w:r>
        <w:rPr>
          <w:rFonts w:hint="eastAsia" w:eastAsia="方正仿宋_GBK"/>
          <w:color w:val="000000"/>
          <w:spacing w:val="-2"/>
          <w:sz w:val="24"/>
        </w:rPr>
        <w:t>省住宅装修放心消费优质企业评价小组</w:t>
      </w:r>
      <w:r>
        <w:rPr>
          <w:rFonts w:eastAsia="方正仿宋_GBK"/>
          <w:color w:val="000000"/>
          <w:spacing w:val="-2"/>
          <w:sz w:val="24"/>
        </w:rPr>
        <w:t>”</w:t>
      </w:r>
      <w:r>
        <w:rPr>
          <w:rFonts w:hint="eastAsia" w:eastAsia="方正仿宋_GBK"/>
          <w:color w:val="000000"/>
          <w:spacing w:val="-2"/>
          <w:sz w:val="24"/>
        </w:rPr>
        <w:t>（以下简称评价小组），负责评价活动的日常工作，办公室设在省装饰装修发展中心。</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省辖市住宅装修、房地产开发主管部门和行业协会积极配合开展相关评价工作。</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省住宅装修放心消费优质企业评价活动每年开展一次，申报时间为每年的</w:t>
      </w:r>
      <w:r>
        <w:rPr>
          <w:rFonts w:eastAsia="方正仿宋_GBK"/>
          <w:color w:val="000000"/>
          <w:spacing w:val="-2"/>
          <w:sz w:val="24"/>
        </w:rPr>
        <w:t>3</w:t>
      </w:r>
      <w:r>
        <w:rPr>
          <w:rFonts w:hint="eastAsia" w:eastAsia="方正仿宋_GBK"/>
          <w:color w:val="000000"/>
          <w:spacing w:val="-2"/>
          <w:sz w:val="24"/>
        </w:rPr>
        <w:t>月</w:t>
      </w:r>
      <w:r>
        <w:rPr>
          <w:rFonts w:eastAsia="方正仿宋_GBK"/>
          <w:color w:val="000000"/>
          <w:spacing w:val="-2"/>
          <w:sz w:val="24"/>
        </w:rPr>
        <w:t>1</w:t>
      </w:r>
      <w:r>
        <w:rPr>
          <w:rFonts w:hint="eastAsia" w:eastAsia="方正仿宋_GBK"/>
          <w:color w:val="000000"/>
          <w:spacing w:val="-2"/>
          <w:sz w:val="24"/>
        </w:rPr>
        <w:t>日至</w:t>
      </w:r>
      <w:r>
        <w:rPr>
          <w:rFonts w:eastAsia="方正仿宋_GBK"/>
          <w:color w:val="000000"/>
          <w:spacing w:val="-2"/>
          <w:sz w:val="24"/>
        </w:rPr>
        <w:t>3</w:t>
      </w:r>
      <w:r>
        <w:rPr>
          <w:rFonts w:hint="eastAsia" w:eastAsia="方正仿宋_GBK"/>
          <w:color w:val="000000"/>
          <w:spacing w:val="-2"/>
          <w:sz w:val="24"/>
        </w:rPr>
        <w:t>月</w:t>
      </w:r>
      <w:r>
        <w:rPr>
          <w:rFonts w:eastAsia="方正仿宋_GBK"/>
          <w:color w:val="000000"/>
          <w:spacing w:val="-2"/>
          <w:sz w:val="24"/>
        </w:rPr>
        <w:t>31</w:t>
      </w:r>
      <w:r>
        <w:rPr>
          <w:rFonts w:hint="eastAsia" w:eastAsia="方正仿宋_GBK"/>
          <w:color w:val="000000"/>
          <w:spacing w:val="-2"/>
          <w:sz w:val="24"/>
        </w:rPr>
        <w:t>日，评价发布受理核查时间为</w:t>
      </w:r>
      <w:r>
        <w:rPr>
          <w:rFonts w:eastAsia="方正仿宋_GBK"/>
          <w:color w:val="000000"/>
          <w:spacing w:val="-2"/>
          <w:sz w:val="24"/>
        </w:rPr>
        <w:t xml:space="preserve"> 4</w:t>
      </w:r>
      <w:r>
        <w:rPr>
          <w:rFonts w:hint="eastAsia" w:eastAsia="方正仿宋_GBK"/>
          <w:color w:val="000000"/>
          <w:spacing w:val="-2"/>
          <w:sz w:val="24"/>
        </w:rPr>
        <w:t>月</w:t>
      </w:r>
      <w:r>
        <w:rPr>
          <w:rFonts w:eastAsia="方正仿宋_GBK"/>
          <w:color w:val="000000"/>
          <w:spacing w:val="-2"/>
          <w:sz w:val="24"/>
        </w:rPr>
        <w:t>1</w:t>
      </w:r>
      <w:r>
        <w:rPr>
          <w:rFonts w:hint="eastAsia" w:eastAsia="方正仿宋_GBK"/>
          <w:color w:val="000000"/>
          <w:spacing w:val="-2"/>
          <w:sz w:val="24"/>
        </w:rPr>
        <w:t>日至</w:t>
      </w:r>
      <w:r>
        <w:rPr>
          <w:rFonts w:eastAsia="方正仿宋_GBK"/>
          <w:color w:val="000000"/>
          <w:spacing w:val="-2"/>
          <w:sz w:val="24"/>
        </w:rPr>
        <w:t>10</w:t>
      </w:r>
      <w:r>
        <w:rPr>
          <w:rFonts w:hint="eastAsia" w:eastAsia="方正仿宋_GBK"/>
          <w:color w:val="000000"/>
          <w:spacing w:val="-2"/>
          <w:sz w:val="24"/>
        </w:rPr>
        <w:t>月</w:t>
      </w:r>
      <w:r>
        <w:rPr>
          <w:rFonts w:eastAsia="方正仿宋_GBK"/>
          <w:color w:val="000000"/>
          <w:spacing w:val="-2"/>
          <w:sz w:val="24"/>
        </w:rPr>
        <w:t>31</w:t>
      </w:r>
      <w:r>
        <w:rPr>
          <w:rFonts w:hint="eastAsia" w:eastAsia="方正仿宋_GBK"/>
          <w:color w:val="000000"/>
          <w:spacing w:val="-2"/>
          <w:sz w:val="24"/>
        </w:rPr>
        <w:t>日。每年的</w:t>
      </w:r>
      <w:r>
        <w:rPr>
          <w:rFonts w:eastAsia="方正仿宋_GBK"/>
          <w:color w:val="000000"/>
          <w:spacing w:val="-2"/>
          <w:sz w:val="24"/>
        </w:rPr>
        <w:t>9</w:t>
      </w:r>
      <w:r>
        <w:rPr>
          <w:rFonts w:hint="eastAsia" w:eastAsia="方正仿宋_GBK"/>
          <w:color w:val="000000"/>
          <w:spacing w:val="-2"/>
          <w:sz w:val="24"/>
        </w:rPr>
        <w:t>月</w:t>
      </w:r>
      <w:r>
        <w:rPr>
          <w:rFonts w:eastAsia="方正仿宋_GBK"/>
          <w:color w:val="000000"/>
          <w:spacing w:val="-2"/>
          <w:sz w:val="24"/>
        </w:rPr>
        <w:t>1</w:t>
      </w:r>
      <w:r>
        <w:rPr>
          <w:rFonts w:hint="eastAsia" w:eastAsia="方正仿宋_GBK"/>
          <w:color w:val="000000"/>
          <w:spacing w:val="-2"/>
          <w:sz w:val="24"/>
        </w:rPr>
        <w:t>日至</w:t>
      </w:r>
      <w:r>
        <w:rPr>
          <w:rFonts w:eastAsia="方正仿宋_GBK"/>
          <w:color w:val="000000"/>
          <w:spacing w:val="-2"/>
          <w:sz w:val="24"/>
        </w:rPr>
        <w:t>12</w:t>
      </w:r>
      <w:r>
        <w:rPr>
          <w:rFonts w:hint="eastAsia" w:eastAsia="方正仿宋_GBK"/>
          <w:color w:val="000000"/>
          <w:spacing w:val="-2"/>
          <w:sz w:val="24"/>
        </w:rPr>
        <w:t>月</w:t>
      </w:r>
      <w:r>
        <w:rPr>
          <w:rFonts w:eastAsia="方正仿宋_GBK"/>
          <w:color w:val="000000"/>
          <w:spacing w:val="-2"/>
          <w:sz w:val="24"/>
        </w:rPr>
        <w:t>31</w:t>
      </w:r>
      <w:r>
        <w:rPr>
          <w:rFonts w:hint="eastAsia" w:eastAsia="方正仿宋_GBK"/>
          <w:color w:val="000000"/>
          <w:spacing w:val="-2"/>
          <w:sz w:val="24"/>
        </w:rPr>
        <w:t>日为预申报时间。</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评价活动分三个档次，即放心消费优质企业、先进企业和示范企业，逐年实施。</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评价活动不收取任何费用。</w:t>
      </w:r>
    </w:p>
    <w:p>
      <w:pPr>
        <w:spacing w:line="460" w:lineRule="exact"/>
        <w:rPr>
          <w:rFonts w:eastAsia="方正仿宋_GBK"/>
          <w:color w:val="000000"/>
          <w:spacing w:val="-2"/>
          <w:sz w:val="24"/>
        </w:rPr>
      </w:pPr>
    </w:p>
    <w:p>
      <w:pPr>
        <w:spacing w:line="460" w:lineRule="exact"/>
        <w:jc w:val="center"/>
        <w:rPr>
          <w:rFonts w:ascii="Times New Roman" w:eastAsia="方正黑体_GBK"/>
          <w:color w:val="000000"/>
          <w:spacing w:val="-2"/>
          <w:sz w:val="24"/>
        </w:rPr>
      </w:pPr>
      <w:r>
        <w:rPr>
          <w:rFonts w:hint="eastAsia" w:ascii="Times New Roman" w:eastAsia="方正黑体_GBK"/>
          <w:color w:val="000000"/>
          <w:spacing w:val="-2"/>
          <w:sz w:val="24"/>
        </w:rPr>
        <w:t>第二章  申报条件</w:t>
      </w:r>
    </w:p>
    <w:p>
      <w:pPr>
        <w:spacing w:line="460" w:lineRule="exact"/>
        <w:ind w:firstLine="469" w:firstLineChars="198"/>
        <w:rPr>
          <w:rFonts w:hint="eastAsia" w:eastAsia="方正仿宋_GBK"/>
          <w:b/>
          <w:color w:val="000000"/>
          <w:spacing w:val="-2"/>
          <w:kern w:val="0"/>
          <w:sz w:val="24"/>
        </w:rPr>
      </w:pPr>
    </w:p>
    <w:p>
      <w:pPr>
        <w:spacing w:line="460" w:lineRule="exact"/>
        <w:ind w:firstLine="467" w:firstLineChars="198"/>
        <w:rPr>
          <w:rFonts w:eastAsia="方正仿宋_GBK"/>
          <w:color w:val="000000"/>
          <w:spacing w:val="-2"/>
          <w:kern w:val="0"/>
          <w:sz w:val="24"/>
        </w:rPr>
      </w:pPr>
      <w:r>
        <w:rPr>
          <w:rFonts w:hint="eastAsia" w:ascii="Times New Roman" w:eastAsia="方正黑体_GBK"/>
          <w:color w:val="000000"/>
          <w:spacing w:val="-2"/>
          <w:sz w:val="24"/>
        </w:rPr>
        <w:t>第六条</w:t>
      </w:r>
      <w:r>
        <w:rPr>
          <w:rFonts w:eastAsia="方正仿宋_GBK"/>
          <w:b/>
          <w:color w:val="000000"/>
          <w:spacing w:val="-2"/>
          <w:kern w:val="0"/>
          <w:sz w:val="24"/>
        </w:rPr>
        <w:t xml:space="preserve">  </w:t>
      </w:r>
      <w:r>
        <w:rPr>
          <w:rFonts w:hint="eastAsia" w:eastAsia="方正仿宋_GBK"/>
          <w:color w:val="000000"/>
          <w:spacing w:val="-2"/>
          <w:kern w:val="0"/>
          <w:sz w:val="24"/>
        </w:rPr>
        <w:t>申</w:t>
      </w:r>
      <w:r>
        <w:rPr>
          <w:rFonts w:hint="eastAsia" w:eastAsia="方正仿宋_GBK"/>
          <w:color w:val="000000"/>
          <w:spacing w:val="-2"/>
          <w:sz w:val="24"/>
        </w:rPr>
        <w:t>报企业为在江苏省行政区域内从事住宅装饰装修活动、有工商营业执照、有固定经营场所、具有建设行政主管部门核准的建筑装饰装修资质证书、正常经营三年以上的住宅装修企业。</w:t>
      </w:r>
    </w:p>
    <w:p>
      <w:pPr>
        <w:spacing w:line="460" w:lineRule="exact"/>
        <w:ind w:firstLine="467" w:firstLineChars="198"/>
        <w:rPr>
          <w:rFonts w:eastAsia="方正仿宋_GBK"/>
          <w:color w:val="000000"/>
          <w:spacing w:val="-2"/>
          <w:kern w:val="0"/>
          <w:sz w:val="24"/>
        </w:rPr>
      </w:pPr>
      <w:r>
        <w:rPr>
          <w:rFonts w:hint="eastAsia" w:ascii="Times New Roman" w:eastAsia="方正黑体_GBK"/>
          <w:color w:val="000000"/>
          <w:spacing w:val="-2"/>
          <w:sz w:val="24"/>
        </w:rPr>
        <w:t>第七条</w:t>
      </w:r>
      <w:r>
        <w:rPr>
          <w:rFonts w:eastAsia="方正仿宋_GBK"/>
          <w:b/>
          <w:color w:val="000000"/>
          <w:spacing w:val="-2"/>
          <w:kern w:val="0"/>
          <w:sz w:val="24"/>
        </w:rPr>
        <w:t xml:space="preserve">  </w:t>
      </w:r>
      <w:r>
        <w:rPr>
          <w:rFonts w:hint="eastAsia" w:eastAsia="方正仿宋_GBK"/>
          <w:color w:val="000000"/>
          <w:spacing w:val="-2"/>
          <w:kern w:val="0"/>
          <w:sz w:val="24"/>
        </w:rPr>
        <w:t>申报</w:t>
      </w:r>
      <w:r>
        <w:rPr>
          <w:rFonts w:hint="eastAsia" w:eastAsia="方正仿宋_GBK"/>
          <w:color w:val="000000"/>
          <w:spacing w:val="-2"/>
          <w:sz w:val="24"/>
        </w:rPr>
        <w:t>企业</w:t>
      </w:r>
      <w:r>
        <w:rPr>
          <w:rFonts w:hint="eastAsia" w:eastAsia="方正仿宋_GBK"/>
          <w:color w:val="000000"/>
          <w:spacing w:val="-2"/>
          <w:kern w:val="0"/>
          <w:sz w:val="24"/>
        </w:rPr>
        <w:t>近三年无重大质量、安全事故，无违反法律法规和行业自律公约的失信行为。</w:t>
      </w:r>
    </w:p>
    <w:p>
      <w:pPr>
        <w:spacing w:line="460" w:lineRule="exact"/>
        <w:ind w:firstLine="467" w:firstLineChars="198"/>
        <w:rPr>
          <w:rFonts w:eastAsia="方正仿宋_GBK"/>
          <w:color w:val="000000"/>
          <w:spacing w:val="-2"/>
          <w:kern w:val="0"/>
          <w:sz w:val="24"/>
        </w:rPr>
      </w:pPr>
      <w:r>
        <w:rPr>
          <w:rFonts w:hint="eastAsia" w:ascii="Times New Roman" w:eastAsia="方正黑体_GBK"/>
          <w:color w:val="000000"/>
          <w:spacing w:val="-2"/>
          <w:sz w:val="24"/>
        </w:rPr>
        <w:t>第八条</w:t>
      </w:r>
      <w:r>
        <w:rPr>
          <w:rFonts w:eastAsia="方正仿宋_GBK"/>
          <w:b/>
          <w:color w:val="000000"/>
          <w:spacing w:val="-2"/>
          <w:kern w:val="0"/>
          <w:sz w:val="24"/>
        </w:rPr>
        <w:t xml:space="preserve">  </w:t>
      </w:r>
      <w:r>
        <w:rPr>
          <w:rFonts w:hint="eastAsia" w:eastAsia="方正仿宋_GBK"/>
          <w:bCs/>
          <w:color w:val="000000"/>
          <w:spacing w:val="-2"/>
          <w:kern w:val="0"/>
          <w:sz w:val="24"/>
        </w:rPr>
        <w:t>使用由市主管部门制订，市工商局监制的</w:t>
      </w:r>
      <w:r>
        <w:rPr>
          <w:rFonts w:hint="eastAsia" w:eastAsia="方正仿宋_GBK"/>
          <w:color w:val="000000"/>
          <w:spacing w:val="-2"/>
          <w:sz w:val="24"/>
          <w:shd w:val="clear" w:color="auto" w:fill="FFFFFF"/>
        </w:rPr>
        <w:t>规范性合同，履约率高，</w:t>
      </w:r>
      <w:r>
        <w:rPr>
          <w:rFonts w:hint="eastAsia" w:eastAsia="方正仿宋_GBK"/>
          <w:color w:val="000000"/>
          <w:spacing w:val="-2"/>
          <w:kern w:val="0"/>
          <w:sz w:val="24"/>
        </w:rPr>
        <w:t>装修质量、服务水平得到行业主管部门和消费者认可和推荐。</w:t>
      </w:r>
    </w:p>
    <w:p>
      <w:pPr>
        <w:spacing w:line="460" w:lineRule="exact"/>
        <w:jc w:val="center"/>
        <w:rPr>
          <w:rFonts w:eastAsia="方正仿宋_GBK"/>
          <w:b/>
          <w:color w:val="000000"/>
          <w:spacing w:val="-2"/>
          <w:kern w:val="0"/>
          <w:sz w:val="24"/>
        </w:rPr>
      </w:pPr>
    </w:p>
    <w:p>
      <w:pPr>
        <w:spacing w:line="460" w:lineRule="exact"/>
        <w:jc w:val="center"/>
        <w:rPr>
          <w:rFonts w:ascii="Times New Roman" w:eastAsia="方正黑体_GBK"/>
          <w:color w:val="000000"/>
          <w:spacing w:val="-2"/>
          <w:sz w:val="24"/>
        </w:rPr>
      </w:pPr>
      <w:r>
        <w:rPr>
          <w:rFonts w:hint="eastAsia" w:ascii="Times New Roman" w:eastAsia="方正黑体_GBK"/>
          <w:color w:val="000000"/>
          <w:spacing w:val="-2"/>
          <w:sz w:val="24"/>
        </w:rPr>
        <w:t>第三章  评价标准</w:t>
      </w:r>
    </w:p>
    <w:p>
      <w:pPr>
        <w:spacing w:line="460" w:lineRule="exact"/>
        <w:ind w:firstLine="469" w:firstLineChars="198"/>
        <w:rPr>
          <w:rFonts w:hint="eastAsia" w:eastAsia="方正仿宋_GBK"/>
          <w:b/>
          <w:color w:val="000000"/>
          <w:spacing w:val="-2"/>
          <w:sz w:val="24"/>
        </w:rPr>
      </w:pPr>
    </w:p>
    <w:p>
      <w:pPr>
        <w:spacing w:line="460" w:lineRule="exact"/>
        <w:ind w:firstLine="467" w:firstLineChars="198"/>
        <w:rPr>
          <w:rFonts w:eastAsia="方正仿宋_GBK"/>
          <w:color w:val="000000"/>
          <w:spacing w:val="-2"/>
          <w:sz w:val="24"/>
        </w:rPr>
      </w:pPr>
      <w:r>
        <w:rPr>
          <w:rFonts w:hint="eastAsia" w:ascii="Times New Roman" w:eastAsia="方正黑体_GBK"/>
          <w:color w:val="000000"/>
          <w:spacing w:val="-2"/>
          <w:sz w:val="24"/>
        </w:rPr>
        <w:t>第九条</w:t>
      </w:r>
      <w:r>
        <w:rPr>
          <w:rFonts w:eastAsia="方正仿宋_GBK"/>
          <w:b/>
          <w:color w:val="000000"/>
          <w:spacing w:val="-2"/>
          <w:sz w:val="24"/>
        </w:rPr>
        <w:t xml:space="preserve">  </w:t>
      </w:r>
      <w:r>
        <w:rPr>
          <w:rFonts w:hint="eastAsia" w:eastAsia="方正仿宋_GBK"/>
          <w:color w:val="000000"/>
          <w:spacing w:val="-2"/>
          <w:sz w:val="24"/>
        </w:rPr>
        <w:t>住宅装修放心消费优质企业在装修设计上根据以下标准进行评价：</w:t>
      </w:r>
    </w:p>
    <w:p>
      <w:pPr>
        <w:spacing w:line="460" w:lineRule="exact"/>
        <w:ind w:firstLine="354" w:firstLineChars="150"/>
        <w:rPr>
          <w:rFonts w:eastAsia="方正仿宋_GBK"/>
          <w:color w:val="000000"/>
          <w:spacing w:val="-2"/>
          <w:sz w:val="24"/>
        </w:rPr>
      </w:pPr>
      <w:r>
        <w:rPr>
          <w:rFonts w:hint="eastAsia" w:eastAsia="方正仿宋_GBK"/>
          <w:color w:val="000000"/>
          <w:spacing w:val="-2"/>
          <w:sz w:val="24"/>
        </w:rPr>
        <w:t>（一）设有专门的装修设计部门；</w:t>
      </w:r>
    </w:p>
    <w:p>
      <w:pPr>
        <w:spacing w:line="460" w:lineRule="exact"/>
        <w:ind w:firstLine="354" w:firstLineChars="150"/>
        <w:rPr>
          <w:rFonts w:eastAsia="方正仿宋_GBK"/>
          <w:color w:val="000000"/>
          <w:spacing w:val="-2"/>
          <w:sz w:val="24"/>
        </w:rPr>
      </w:pPr>
      <w:r>
        <w:rPr>
          <w:rFonts w:hint="eastAsia" w:eastAsia="方正仿宋_GBK"/>
          <w:color w:val="000000"/>
          <w:spacing w:val="-2"/>
          <w:sz w:val="24"/>
        </w:rPr>
        <w:t>（二）装修设计做到技术先进、经济合理、安全适用；</w:t>
      </w:r>
    </w:p>
    <w:p>
      <w:pPr>
        <w:spacing w:line="460" w:lineRule="exact"/>
        <w:ind w:firstLine="354" w:firstLineChars="150"/>
        <w:rPr>
          <w:rFonts w:eastAsia="方正仿宋_GBK"/>
          <w:color w:val="000000"/>
          <w:spacing w:val="-2"/>
          <w:sz w:val="24"/>
        </w:rPr>
      </w:pPr>
      <w:r>
        <w:rPr>
          <w:rFonts w:hint="eastAsia" w:eastAsia="方正仿宋_GBK"/>
          <w:color w:val="000000"/>
          <w:spacing w:val="-2"/>
          <w:sz w:val="24"/>
        </w:rPr>
        <w:t>（三）主要设计人员具备相应的专业技术职称；</w:t>
      </w:r>
    </w:p>
    <w:p>
      <w:pPr>
        <w:spacing w:line="460" w:lineRule="exact"/>
        <w:ind w:firstLine="354" w:firstLineChars="150"/>
        <w:rPr>
          <w:rFonts w:eastAsia="方正仿宋_GBK"/>
          <w:color w:val="000000"/>
          <w:spacing w:val="-2"/>
          <w:sz w:val="24"/>
        </w:rPr>
      </w:pPr>
      <w:r>
        <w:rPr>
          <w:rFonts w:hint="eastAsia" w:eastAsia="方正仿宋_GBK"/>
          <w:color w:val="000000"/>
          <w:spacing w:val="-2"/>
          <w:sz w:val="24"/>
        </w:rPr>
        <w:t>（四）能运用多媒体技术，为用户提供方便直观的设计空间体验；</w:t>
      </w:r>
    </w:p>
    <w:p>
      <w:pPr>
        <w:spacing w:line="460" w:lineRule="exact"/>
        <w:ind w:firstLine="354" w:firstLineChars="150"/>
        <w:rPr>
          <w:rFonts w:eastAsia="方正仿宋_GBK"/>
          <w:color w:val="000000"/>
          <w:spacing w:val="-2"/>
          <w:sz w:val="24"/>
        </w:rPr>
      </w:pPr>
      <w:r>
        <w:rPr>
          <w:rFonts w:hint="eastAsia" w:eastAsia="方正仿宋_GBK"/>
          <w:color w:val="000000"/>
          <w:spacing w:val="-2"/>
          <w:sz w:val="24"/>
        </w:rPr>
        <w:t>（五）装修设计获奖情况。（设计作品或设计师获得过市以上的奖励，含协会或媒体等）</w:t>
      </w:r>
    </w:p>
    <w:p>
      <w:pPr>
        <w:spacing w:line="460" w:lineRule="exact"/>
        <w:ind w:firstLine="467" w:firstLineChars="198"/>
        <w:rPr>
          <w:rFonts w:eastAsia="方正仿宋_GBK"/>
          <w:b/>
          <w:color w:val="000000"/>
          <w:spacing w:val="-2"/>
          <w:sz w:val="24"/>
        </w:rPr>
      </w:pPr>
      <w:r>
        <w:rPr>
          <w:rFonts w:hint="eastAsia" w:ascii="Times New Roman" w:eastAsia="方正黑体_GBK"/>
          <w:color w:val="000000"/>
          <w:spacing w:val="-2"/>
          <w:sz w:val="24"/>
        </w:rPr>
        <w:t xml:space="preserve">第十条 </w:t>
      </w:r>
      <w:r>
        <w:rPr>
          <w:rFonts w:eastAsia="方正仿宋_GBK"/>
          <w:b/>
          <w:color w:val="000000"/>
          <w:spacing w:val="-2"/>
          <w:sz w:val="24"/>
        </w:rPr>
        <w:t xml:space="preserve"> </w:t>
      </w:r>
      <w:r>
        <w:rPr>
          <w:rFonts w:hint="eastAsia" w:eastAsia="方正仿宋_GBK"/>
          <w:color w:val="000000"/>
          <w:spacing w:val="-2"/>
          <w:sz w:val="24"/>
        </w:rPr>
        <w:t>住宅装修放心消费优质企业工程质量上根据以下标准进行评价：</w:t>
      </w:r>
    </w:p>
    <w:p>
      <w:pPr>
        <w:spacing w:line="460" w:lineRule="exact"/>
        <w:ind w:firstLine="354" w:firstLineChars="150"/>
        <w:rPr>
          <w:rFonts w:eastAsia="方正仿宋_GBK"/>
          <w:color w:val="000000"/>
          <w:spacing w:val="-2"/>
          <w:sz w:val="24"/>
        </w:rPr>
      </w:pPr>
      <w:r>
        <w:rPr>
          <w:rFonts w:hint="eastAsia" w:eastAsia="方正仿宋_GBK"/>
          <w:color w:val="000000"/>
          <w:spacing w:val="-2"/>
          <w:sz w:val="24"/>
        </w:rPr>
        <w:t>（一）具有完善的质量管理制度和相关企业标准；</w:t>
      </w:r>
    </w:p>
    <w:p>
      <w:pPr>
        <w:spacing w:line="460" w:lineRule="exact"/>
        <w:ind w:firstLine="354" w:firstLineChars="150"/>
        <w:rPr>
          <w:rFonts w:eastAsia="方正仿宋_GBK"/>
          <w:color w:val="000000"/>
          <w:spacing w:val="-2"/>
          <w:sz w:val="24"/>
        </w:rPr>
      </w:pPr>
      <w:r>
        <w:rPr>
          <w:rFonts w:hint="eastAsia" w:eastAsia="方正仿宋_GBK"/>
          <w:color w:val="000000"/>
          <w:spacing w:val="-2"/>
          <w:sz w:val="24"/>
        </w:rPr>
        <w:t>（二）装修工程施工工艺方案合理，工程质量符合国家统一的质量验收标准，且业主满意；</w:t>
      </w:r>
    </w:p>
    <w:p>
      <w:pPr>
        <w:spacing w:line="460" w:lineRule="exact"/>
        <w:ind w:firstLine="354" w:firstLineChars="150"/>
        <w:rPr>
          <w:rFonts w:eastAsia="方正仿宋_GBK"/>
          <w:color w:val="000000"/>
          <w:spacing w:val="-2"/>
          <w:sz w:val="24"/>
        </w:rPr>
      </w:pPr>
      <w:r>
        <w:rPr>
          <w:rFonts w:hint="eastAsia" w:eastAsia="方正仿宋_GBK"/>
          <w:color w:val="000000"/>
          <w:spacing w:val="-2"/>
          <w:sz w:val="24"/>
        </w:rPr>
        <w:t>（三）主要工程技术人员具备执业资格或专业技术职称；</w:t>
      </w:r>
    </w:p>
    <w:p>
      <w:pPr>
        <w:spacing w:line="460" w:lineRule="exact"/>
        <w:ind w:firstLine="354" w:firstLineChars="150"/>
        <w:rPr>
          <w:rFonts w:eastAsia="方正仿宋_GBK"/>
          <w:color w:val="000000"/>
          <w:spacing w:val="-2"/>
          <w:sz w:val="24"/>
        </w:rPr>
      </w:pPr>
      <w:r>
        <w:rPr>
          <w:rFonts w:hint="eastAsia" w:eastAsia="方正仿宋_GBK"/>
          <w:color w:val="000000"/>
          <w:spacing w:val="-2"/>
          <w:sz w:val="24"/>
        </w:rPr>
        <w:t>（四）持有岗位证书的施工现场管理人员不少于</w:t>
      </w:r>
      <w:r>
        <w:rPr>
          <w:rFonts w:eastAsia="方正仿宋_GBK"/>
          <w:color w:val="000000"/>
          <w:spacing w:val="-2"/>
          <w:sz w:val="24"/>
        </w:rPr>
        <w:t>5</w:t>
      </w:r>
      <w:r>
        <w:rPr>
          <w:rFonts w:hint="eastAsia" w:eastAsia="方正仿宋_GBK"/>
          <w:color w:val="000000"/>
          <w:spacing w:val="-2"/>
          <w:sz w:val="24"/>
        </w:rPr>
        <w:t>人（施工员、质量员、安全员等）</w:t>
      </w:r>
    </w:p>
    <w:p>
      <w:pPr>
        <w:spacing w:line="460" w:lineRule="exact"/>
        <w:ind w:firstLine="354" w:firstLineChars="150"/>
        <w:rPr>
          <w:rFonts w:eastAsia="方正仿宋_GBK"/>
          <w:color w:val="000000"/>
          <w:spacing w:val="-2"/>
          <w:sz w:val="24"/>
        </w:rPr>
      </w:pPr>
      <w:r>
        <w:rPr>
          <w:rFonts w:hint="eastAsia" w:eastAsia="方正仿宋_GBK"/>
          <w:color w:val="000000"/>
          <w:spacing w:val="-2"/>
          <w:sz w:val="24"/>
        </w:rPr>
        <w:t>（五）具备较强的集成装修能力，施工技术先进，现场主要采用装配化施工方式。</w:t>
      </w:r>
    </w:p>
    <w:p>
      <w:pPr>
        <w:spacing w:line="460" w:lineRule="exact"/>
        <w:ind w:firstLine="354" w:firstLineChars="150"/>
        <w:rPr>
          <w:rFonts w:eastAsia="方正仿宋_GBK"/>
          <w:color w:val="000000"/>
          <w:spacing w:val="-2"/>
          <w:sz w:val="24"/>
        </w:rPr>
      </w:pPr>
      <w:r>
        <w:rPr>
          <w:rFonts w:hint="eastAsia" w:eastAsia="方正仿宋_GBK"/>
          <w:color w:val="000000"/>
          <w:spacing w:val="-2"/>
          <w:sz w:val="24"/>
        </w:rPr>
        <w:t>（六）工程质量获奖情况。（有工程获得过市以上协会的优质工程）</w:t>
      </w:r>
    </w:p>
    <w:p>
      <w:pPr>
        <w:spacing w:line="460" w:lineRule="exact"/>
        <w:ind w:firstLine="467" w:firstLineChars="198"/>
        <w:rPr>
          <w:rFonts w:eastAsia="方正仿宋_GBK"/>
          <w:b/>
          <w:color w:val="000000"/>
          <w:spacing w:val="-2"/>
          <w:sz w:val="24"/>
        </w:rPr>
      </w:pPr>
      <w:r>
        <w:rPr>
          <w:rFonts w:hint="eastAsia" w:ascii="Times New Roman" w:eastAsia="方正黑体_GBK"/>
          <w:color w:val="000000"/>
          <w:spacing w:val="-2"/>
          <w:sz w:val="24"/>
        </w:rPr>
        <w:t>第十一条</w:t>
      </w:r>
      <w:r>
        <w:rPr>
          <w:rFonts w:eastAsia="方正仿宋_GBK"/>
          <w:b/>
          <w:color w:val="000000"/>
          <w:spacing w:val="-2"/>
          <w:sz w:val="24"/>
        </w:rPr>
        <w:t xml:space="preserve">  </w:t>
      </w:r>
      <w:r>
        <w:rPr>
          <w:rFonts w:hint="eastAsia" w:eastAsia="方正仿宋_GBK"/>
          <w:color w:val="000000"/>
          <w:spacing w:val="-2"/>
          <w:sz w:val="24"/>
        </w:rPr>
        <w:t>住宅装修放心消费优质企业在材料使用上根据以下标准进行评价：</w:t>
      </w:r>
    </w:p>
    <w:p>
      <w:pPr>
        <w:spacing w:line="460" w:lineRule="exact"/>
        <w:ind w:firstLine="354" w:firstLineChars="150"/>
        <w:rPr>
          <w:rFonts w:eastAsia="方正仿宋_GBK"/>
          <w:color w:val="000000"/>
          <w:spacing w:val="-2"/>
          <w:sz w:val="24"/>
        </w:rPr>
      </w:pPr>
      <w:r>
        <w:rPr>
          <w:rFonts w:hint="eastAsia" w:eastAsia="方正仿宋_GBK"/>
          <w:color w:val="000000"/>
          <w:spacing w:val="-2"/>
          <w:sz w:val="24"/>
        </w:rPr>
        <w:t>（一）具有完善的材料进货和管理制度，进货验收手续齐全；</w:t>
      </w:r>
    </w:p>
    <w:p>
      <w:pPr>
        <w:spacing w:line="460" w:lineRule="exact"/>
        <w:ind w:firstLine="354" w:firstLineChars="150"/>
        <w:rPr>
          <w:rFonts w:eastAsia="方正仿宋_GBK"/>
          <w:color w:val="000000"/>
          <w:spacing w:val="-2"/>
          <w:sz w:val="24"/>
        </w:rPr>
      </w:pPr>
      <w:r>
        <w:rPr>
          <w:rFonts w:hint="eastAsia" w:eastAsia="方正仿宋_GBK"/>
          <w:color w:val="000000"/>
          <w:spacing w:val="-2"/>
          <w:sz w:val="24"/>
        </w:rPr>
        <w:t>（二）公司主要的装修材料有环保检测合格证明；</w:t>
      </w:r>
    </w:p>
    <w:p>
      <w:pPr>
        <w:spacing w:line="460" w:lineRule="exact"/>
        <w:ind w:firstLine="354" w:firstLineChars="150"/>
        <w:rPr>
          <w:rFonts w:eastAsia="方正仿宋_GBK"/>
          <w:color w:val="000000"/>
          <w:spacing w:val="-2"/>
          <w:sz w:val="24"/>
        </w:rPr>
      </w:pPr>
      <w:r>
        <w:rPr>
          <w:rFonts w:hint="eastAsia" w:eastAsia="方正仿宋_GBK"/>
          <w:color w:val="000000"/>
          <w:spacing w:val="-2"/>
          <w:sz w:val="24"/>
        </w:rPr>
        <w:t>（三）工程合同中能明确主要装修材料的品牌、规格和型号，装修工程施工无偷工减料行为；</w:t>
      </w:r>
    </w:p>
    <w:p>
      <w:pPr>
        <w:spacing w:line="460" w:lineRule="exact"/>
        <w:ind w:firstLine="354" w:firstLineChars="150"/>
        <w:rPr>
          <w:rFonts w:eastAsia="方正仿宋_GBK"/>
          <w:color w:val="000000"/>
          <w:spacing w:val="-2"/>
          <w:sz w:val="24"/>
        </w:rPr>
      </w:pPr>
      <w:r>
        <w:rPr>
          <w:rFonts w:hint="eastAsia" w:eastAsia="方正仿宋_GBK"/>
          <w:color w:val="000000"/>
          <w:spacing w:val="-2"/>
          <w:sz w:val="24"/>
        </w:rPr>
        <w:t>（四）具备较强的产业配套能力，主要装修材料和部品实现集中采购、统一供应。</w:t>
      </w:r>
    </w:p>
    <w:p>
      <w:pPr>
        <w:spacing w:line="460" w:lineRule="exact"/>
        <w:ind w:firstLine="354" w:firstLineChars="150"/>
        <w:rPr>
          <w:rFonts w:eastAsia="方正仿宋_GBK"/>
          <w:color w:val="000000"/>
          <w:spacing w:val="-2"/>
          <w:sz w:val="24"/>
        </w:rPr>
      </w:pPr>
      <w:r>
        <w:rPr>
          <w:rFonts w:hint="eastAsia" w:eastAsia="方正仿宋_GBK"/>
          <w:color w:val="000000"/>
          <w:spacing w:val="-2"/>
          <w:sz w:val="24"/>
        </w:rPr>
        <w:t>（五）积极采用新材料、新工艺、新技术。</w:t>
      </w:r>
    </w:p>
    <w:p>
      <w:pPr>
        <w:spacing w:line="460" w:lineRule="exact"/>
        <w:ind w:firstLine="467" w:firstLineChars="198"/>
        <w:rPr>
          <w:rFonts w:eastAsia="方正仿宋_GBK"/>
          <w:color w:val="000000"/>
          <w:spacing w:val="-2"/>
          <w:sz w:val="24"/>
        </w:rPr>
      </w:pPr>
      <w:r>
        <w:rPr>
          <w:rFonts w:hint="eastAsia" w:ascii="Times New Roman" w:eastAsia="方正黑体_GBK"/>
          <w:color w:val="000000"/>
          <w:spacing w:val="-2"/>
          <w:sz w:val="24"/>
        </w:rPr>
        <w:t>第十二条</w:t>
      </w:r>
      <w:r>
        <w:rPr>
          <w:rFonts w:eastAsia="方正仿宋_GBK"/>
          <w:color w:val="000000"/>
          <w:spacing w:val="-2"/>
          <w:sz w:val="24"/>
        </w:rPr>
        <w:t xml:space="preserve">  </w:t>
      </w:r>
      <w:r>
        <w:rPr>
          <w:rFonts w:hint="eastAsia" w:eastAsia="方正仿宋_GBK"/>
          <w:color w:val="000000"/>
          <w:spacing w:val="-2"/>
          <w:sz w:val="24"/>
        </w:rPr>
        <w:t>住宅装修放心消费优质企业在装修服务上应当根据以下标准进行评价：</w:t>
      </w:r>
    </w:p>
    <w:p>
      <w:pPr>
        <w:spacing w:line="460" w:lineRule="exact"/>
        <w:ind w:firstLine="354" w:firstLineChars="150"/>
        <w:rPr>
          <w:rFonts w:eastAsia="方正仿宋_GBK"/>
          <w:color w:val="000000"/>
          <w:spacing w:val="-2"/>
          <w:sz w:val="24"/>
        </w:rPr>
      </w:pPr>
      <w:r>
        <w:rPr>
          <w:rFonts w:hint="eastAsia" w:eastAsia="方正仿宋_GBK"/>
          <w:color w:val="000000"/>
          <w:spacing w:val="-2"/>
          <w:sz w:val="24"/>
        </w:rPr>
        <w:t>（一）具有对消费者来电、来人的接听、接待礼仪制度，并严格执行；</w:t>
      </w:r>
    </w:p>
    <w:p>
      <w:pPr>
        <w:spacing w:line="460" w:lineRule="exact"/>
        <w:ind w:firstLine="354" w:firstLineChars="150"/>
        <w:rPr>
          <w:rFonts w:eastAsia="方正仿宋_GBK"/>
          <w:color w:val="000000"/>
          <w:spacing w:val="-2"/>
          <w:sz w:val="24"/>
        </w:rPr>
      </w:pPr>
      <w:r>
        <w:rPr>
          <w:rFonts w:hint="eastAsia" w:eastAsia="方正仿宋_GBK"/>
          <w:color w:val="000000"/>
          <w:spacing w:val="-2"/>
          <w:sz w:val="24"/>
        </w:rPr>
        <w:t>（二）装修设计服务规范，设计文件能充分体现消费者的个性需求，设计深度和图纸数量符合规定；</w:t>
      </w:r>
    </w:p>
    <w:p>
      <w:pPr>
        <w:spacing w:line="460" w:lineRule="exact"/>
        <w:ind w:firstLine="354" w:firstLineChars="150"/>
        <w:rPr>
          <w:rFonts w:eastAsia="方正仿宋_GBK"/>
          <w:color w:val="000000"/>
          <w:spacing w:val="-2"/>
          <w:sz w:val="24"/>
        </w:rPr>
      </w:pPr>
      <w:r>
        <w:rPr>
          <w:rFonts w:hint="eastAsia" w:eastAsia="方正仿宋_GBK"/>
          <w:color w:val="000000"/>
          <w:spacing w:val="-2"/>
          <w:sz w:val="24"/>
        </w:rPr>
        <w:t>（三）现场文明施工，材料堆放、场容场貌、成品保护、作业时间、业主沟通、邻里沟通、物业沟通上有严格的管理制度和要求；</w:t>
      </w:r>
    </w:p>
    <w:p>
      <w:pPr>
        <w:spacing w:line="460" w:lineRule="exact"/>
        <w:ind w:firstLine="354" w:firstLineChars="150"/>
        <w:rPr>
          <w:rFonts w:eastAsia="方正仿宋_GBK"/>
          <w:color w:val="000000"/>
          <w:spacing w:val="-2"/>
          <w:sz w:val="24"/>
        </w:rPr>
      </w:pPr>
      <w:r>
        <w:rPr>
          <w:rFonts w:hint="eastAsia" w:eastAsia="方正仿宋_GBK"/>
          <w:color w:val="000000"/>
          <w:spacing w:val="-2"/>
          <w:sz w:val="24"/>
        </w:rPr>
        <w:t>（四）有完善的售后保修制度，设有专门的</w:t>
      </w:r>
      <w:r>
        <w:rPr>
          <w:rFonts w:eastAsia="方正仿宋_GBK"/>
          <w:color w:val="000000"/>
          <w:spacing w:val="-2"/>
          <w:sz w:val="24"/>
        </w:rPr>
        <w:t>24</w:t>
      </w:r>
      <w:r>
        <w:rPr>
          <w:rFonts w:hint="eastAsia" w:eastAsia="方正仿宋_GBK"/>
          <w:color w:val="000000"/>
          <w:spacing w:val="-2"/>
          <w:sz w:val="24"/>
        </w:rPr>
        <w:t>小时维保修电话和专门的维保修人员，装修合同中明确电话号码、保修时限和售后服务承诺。</w:t>
      </w:r>
      <w:r>
        <w:rPr>
          <w:rFonts w:eastAsia="方正仿宋_GBK"/>
          <w:color w:val="000000"/>
          <w:spacing w:val="-2"/>
          <w:sz w:val="24"/>
        </w:rPr>
        <w:t xml:space="preserve"> </w:t>
      </w:r>
    </w:p>
    <w:p>
      <w:pPr>
        <w:spacing w:line="460" w:lineRule="exact"/>
        <w:ind w:firstLine="354" w:firstLineChars="150"/>
        <w:rPr>
          <w:rFonts w:eastAsia="方正仿宋_GBK"/>
          <w:color w:val="000000"/>
          <w:spacing w:val="-2"/>
          <w:sz w:val="24"/>
        </w:rPr>
      </w:pPr>
      <w:r>
        <w:rPr>
          <w:rFonts w:hint="eastAsia" w:eastAsia="方正仿宋_GBK"/>
          <w:color w:val="000000"/>
          <w:spacing w:val="-2"/>
          <w:sz w:val="24"/>
        </w:rPr>
        <w:t>（五）工程造价合理（甲乙双方认可的）。</w:t>
      </w:r>
    </w:p>
    <w:p>
      <w:pPr>
        <w:spacing w:line="460" w:lineRule="exact"/>
        <w:ind w:firstLine="354" w:firstLineChars="150"/>
        <w:rPr>
          <w:rFonts w:eastAsia="方正仿宋_GBK"/>
          <w:color w:val="000000"/>
          <w:spacing w:val="-2"/>
          <w:sz w:val="24"/>
        </w:rPr>
      </w:pPr>
      <w:r>
        <w:rPr>
          <w:rFonts w:hint="eastAsia" w:eastAsia="方正仿宋_GBK"/>
          <w:color w:val="000000"/>
          <w:spacing w:val="-2"/>
          <w:sz w:val="24"/>
        </w:rPr>
        <w:t>（六）设有公开的投诉举报电话，有效投诉处理率达</w:t>
      </w:r>
      <w:r>
        <w:rPr>
          <w:rFonts w:eastAsia="方正仿宋_GBK"/>
          <w:color w:val="000000"/>
          <w:spacing w:val="-2"/>
          <w:sz w:val="24"/>
        </w:rPr>
        <w:t>95%</w:t>
      </w:r>
      <w:r>
        <w:rPr>
          <w:rFonts w:hint="eastAsia" w:eastAsia="方正仿宋_GBK"/>
          <w:color w:val="000000"/>
          <w:spacing w:val="-2"/>
          <w:sz w:val="24"/>
        </w:rPr>
        <w:t>以上，客户满意度</w:t>
      </w:r>
      <w:r>
        <w:rPr>
          <w:rFonts w:eastAsia="方正仿宋_GBK"/>
          <w:color w:val="000000"/>
          <w:spacing w:val="-2"/>
          <w:sz w:val="24"/>
        </w:rPr>
        <w:t>90%</w:t>
      </w:r>
      <w:r>
        <w:rPr>
          <w:rFonts w:hint="eastAsia" w:eastAsia="方正仿宋_GBK"/>
          <w:color w:val="000000"/>
          <w:spacing w:val="-2"/>
          <w:sz w:val="24"/>
        </w:rPr>
        <w:t>以上。投诉处理回访制度健全，受理、处理情况记录和档案资料完整。</w:t>
      </w:r>
    </w:p>
    <w:p>
      <w:pPr>
        <w:spacing w:line="460" w:lineRule="exact"/>
        <w:jc w:val="center"/>
        <w:rPr>
          <w:rFonts w:eastAsia="方正仿宋_GBK"/>
          <w:color w:val="000000"/>
          <w:spacing w:val="-2"/>
          <w:sz w:val="24"/>
        </w:rPr>
      </w:pPr>
    </w:p>
    <w:p>
      <w:pPr>
        <w:spacing w:line="460" w:lineRule="exact"/>
        <w:jc w:val="center"/>
        <w:rPr>
          <w:rFonts w:ascii="Times New Roman" w:eastAsia="方正黑体_GBK"/>
          <w:color w:val="000000"/>
          <w:spacing w:val="-2"/>
          <w:sz w:val="24"/>
        </w:rPr>
      </w:pPr>
      <w:r>
        <w:rPr>
          <w:rFonts w:hint="eastAsia" w:ascii="Times New Roman" w:eastAsia="方正黑体_GBK"/>
          <w:color w:val="000000"/>
          <w:spacing w:val="-2"/>
          <w:sz w:val="24"/>
        </w:rPr>
        <w:t>第四章  组织方法与公示发布</w:t>
      </w:r>
    </w:p>
    <w:p>
      <w:pPr>
        <w:spacing w:line="460" w:lineRule="exact"/>
        <w:ind w:firstLine="469" w:firstLineChars="198"/>
        <w:rPr>
          <w:rFonts w:hint="eastAsia" w:eastAsia="方正仿宋_GBK"/>
          <w:b/>
          <w:color w:val="000000"/>
          <w:spacing w:val="-2"/>
          <w:sz w:val="24"/>
        </w:rPr>
      </w:pPr>
    </w:p>
    <w:p>
      <w:pPr>
        <w:spacing w:line="460" w:lineRule="exact"/>
        <w:ind w:firstLine="467" w:firstLineChars="198"/>
        <w:rPr>
          <w:rFonts w:eastAsia="方正仿宋_GBK"/>
          <w:color w:val="000000"/>
          <w:spacing w:val="-2"/>
          <w:sz w:val="24"/>
        </w:rPr>
      </w:pPr>
      <w:r>
        <w:rPr>
          <w:rFonts w:hint="eastAsia" w:ascii="Times New Roman" w:eastAsia="方正黑体_GBK"/>
          <w:color w:val="000000"/>
          <w:spacing w:val="-2"/>
          <w:sz w:val="24"/>
        </w:rPr>
        <w:t xml:space="preserve">第十三条 </w:t>
      </w:r>
      <w:r>
        <w:rPr>
          <w:rFonts w:eastAsia="方正仿宋_GBK"/>
          <w:color w:val="000000"/>
          <w:spacing w:val="-2"/>
          <w:sz w:val="24"/>
        </w:rPr>
        <w:t xml:space="preserve"> </w:t>
      </w:r>
      <w:r>
        <w:rPr>
          <w:rFonts w:hint="eastAsia" w:eastAsia="方正仿宋_GBK"/>
          <w:color w:val="000000"/>
          <w:spacing w:val="-2"/>
          <w:sz w:val="24"/>
        </w:rPr>
        <w:t>申报企业填写《江苏省住宅装修放心消费优质企业申报表》及规定要求的附件材料，</w:t>
      </w:r>
      <w:r>
        <w:rPr>
          <w:rFonts w:eastAsia="方正仿宋_GBK"/>
          <w:color w:val="000000"/>
          <w:spacing w:val="-2"/>
          <w:sz w:val="24"/>
        </w:rPr>
        <w:t>5</w:t>
      </w:r>
      <w:r>
        <w:rPr>
          <w:rFonts w:hint="eastAsia" w:eastAsia="方正仿宋_GBK"/>
          <w:color w:val="000000"/>
          <w:spacing w:val="-2"/>
          <w:sz w:val="24"/>
        </w:rPr>
        <w:t>户以上消费者推荐后，向企业所在地省辖市装饰协会申报，省辖市住房和建设主管部门负责监管，省辖市对上报受理材料进行初评后，统一报省装饰装修发展中心（江苏省住宅装修放心消费创建办公室）。</w:t>
      </w:r>
    </w:p>
    <w:p>
      <w:pPr>
        <w:spacing w:line="460" w:lineRule="exact"/>
        <w:ind w:firstLine="467" w:firstLineChars="198"/>
        <w:rPr>
          <w:rFonts w:eastAsia="方正仿宋_GBK"/>
          <w:color w:val="000000"/>
          <w:spacing w:val="-2"/>
          <w:sz w:val="24"/>
        </w:rPr>
      </w:pPr>
      <w:r>
        <w:rPr>
          <w:rFonts w:hint="eastAsia" w:ascii="Times New Roman" w:eastAsia="方正黑体_GBK"/>
          <w:color w:val="000000"/>
          <w:spacing w:val="-2"/>
          <w:sz w:val="24"/>
        </w:rPr>
        <w:t xml:space="preserve">第十四条 </w:t>
      </w:r>
      <w:r>
        <w:rPr>
          <w:rFonts w:eastAsia="方正仿宋_GBK"/>
          <w:color w:val="000000"/>
          <w:spacing w:val="-2"/>
          <w:sz w:val="24"/>
        </w:rPr>
        <w:t xml:space="preserve"> </w:t>
      </w:r>
      <w:r>
        <w:rPr>
          <w:rFonts w:hint="eastAsia" w:eastAsia="方正仿宋_GBK"/>
          <w:color w:val="000000"/>
          <w:spacing w:val="-2"/>
          <w:sz w:val="24"/>
        </w:rPr>
        <w:t>省装饰装修发展中心（江苏省住宅装修放心消费创建办公室）及时召集评价小组，采用抽查、互查、暗访等形式对申报企业进行核实，依据本办法确定全省拟评企业名单。</w:t>
      </w:r>
    </w:p>
    <w:p>
      <w:pPr>
        <w:spacing w:line="460" w:lineRule="exact"/>
        <w:ind w:firstLine="467" w:firstLineChars="198"/>
        <w:rPr>
          <w:rFonts w:eastAsia="方正仿宋_GBK"/>
          <w:b/>
          <w:color w:val="000000"/>
          <w:spacing w:val="-2"/>
          <w:sz w:val="24"/>
        </w:rPr>
      </w:pPr>
      <w:r>
        <w:rPr>
          <w:rFonts w:hint="eastAsia" w:ascii="Times New Roman" w:eastAsia="方正黑体_GBK"/>
          <w:color w:val="000000"/>
          <w:spacing w:val="-2"/>
          <w:sz w:val="24"/>
        </w:rPr>
        <w:t xml:space="preserve">第十五条 </w:t>
      </w:r>
      <w:r>
        <w:rPr>
          <w:rFonts w:eastAsia="方正仿宋_GBK"/>
          <w:color w:val="000000"/>
          <w:spacing w:val="-2"/>
          <w:sz w:val="24"/>
        </w:rPr>
        <w:t xml:space="preserve"> </w:t>
      </w:r>
      <w:r>
        <w:rPr>
          <w:rFonts w:hint="eastAsia" w:eastAsia="方正仿宋_GBK"/>
          <w:color w:val="000000"/>
          <w:spacing w:val="-2"/>
          <w:sz w:val="24"/>
        </w:rPr>
        <w:t>对拟评企业名单在行业网站、有关媒体上公示</w:t>
      </w:r>
      <w:r>
        <w:rPr>
          <w:rFonts w:eastAsia="方正仿宋_GBK"/>
          <w:color w:val="000000"/>
          <w:spacing w:val="-2"/>
          <w:sz w:val="24"/>
        </w:rPr>
        <w:t>2</w:t>
      </w:r>
      <w:r>
        <w:rPr>
          <w:rFonts w:hint="eastAsia" w:eastAsia="方正仿宋_GBK"/>
          <w:color w:val="000000"/>
          <w:spacing w:val="-2"/>
          <w:sz w:val="24"/>
        </w:rPr>
        <w:t>个月，并同步公示投诉受理电话、电子邮箱等。公示期间，对于有投诉和举报的企业，经实地调查，情况属实的，一律从其名单中撤销。</w:t>
      </w:r>
    </w:p>
    <w:p>
      <w:pPr>
        <w:spacing w:line="460" w:lineRule="exact"/>
        <w:ind w:firstLine="467" w:firstLineChars="198"/>
        <w:rPr>
          <w:rFonts w:eastAsia="方正仿宋_GBK"/>
          <w:color w:val="000000"/>
          <w:spacing w:val="-2"/>
          <w:sz w:val="24"/>
        </w:rPr>
      </w:pPr>
      <w:r>
        <w:rPr>
          <w:rFonts w:hint="eastAsia" w:ascii="Times New Roman" w:eastAsia="方正黑体_GBK"/>
          <w:color w:val="000000"/>
          <w:spacing w:val="-2"/>
          <w:sz w:val="24"/>
        </w:rPr>
        <w:t xml:space="preserve">第十六条 </w:t>
      </w:r>
      <w:r>
        <w:rPr>
          <w:rFonts w:eastAsia="方正仿宋_GBK"/>
          <w:b/>
          <w:color w:val="000000"/>
          <w:spacing w:val="-2"/>
          <w:sz w:val="24"/>
        </w:rPr>
        <w:t xml:space="preserve"> </w:t>
      </w:r>
      <w:r>
        <w:rPr>
          <w:rFonts w:hint="eastAsia" w:eastAsia="方正仿宋_GBK"/>
          <w:color w:val="000000"/>
          <w:spacing w:val="-2"/>
          <w:sz w:val="24"/>
        </w:rPr>
        <w:t>对公示无异议的企业，由省建设行政主管部门会同省放心消费创建活动办公室联合颁发</w:t>
      </w:r>
      <w:r>
        <w:rPr>
          <w:rFonts w:eastAsia="方正仿宋_GBK"/>
          <w:color w:val="000000"/>
          <w:spacing w:val="-2"/>
          <w:sz w:val="24"/>
        </w:rPr>
        <w:t>“</w:t>
      </w:r>
      <w:r>
        <w:rPr>
          <w:rFonts w:hint="eastAsia" w:eastAsia="方正仿宋_GBK"/>
          <w:color w:val="000000"/>
          <w:spacing w:val="-2"/>
          <w:sz w:val="24"/>
        </w:rPr>
        <w:t>江苏省住宅装修放心消费优质企业</w:t>
      </w:r>
      <w:r>
        <w:rPr>
          <w:rFonts w:eastAsia="方正仿宋_GBK"/>
          <w:color w:val="000000"/>
          <w:spacing w:val="-2"/>
          <w:sz w:val="24"/>
        </w:rPr>
        <w:t>”</w:t>
      </w:r>
      <w:r>
        <w:rPr>
          <w:rFonts w:hint="eastAsia" w:eastAsia="方正仿宋_GBK"/>
          <w:color w:val="000000"/>
          <w:spacing w:val="-2"/>
          <w:sz w:val="24"/>
        </w:rPr>
        <w:t>证书和标牌，及时在行业网站和有关媒体上发布。</w:t>
      </w:r>
    </w:p>
    <w:p>
      <w:pPr>
        <w:spacing w:line="460" w:lineRule="exact"/>
        <w:jc w:val="center"/>
        <w:rPr>
          <w:rFonts w:eastAsia="方正仿宋_GBK"/>
          <w:color w:val="000000"/>
          <w:spacing w:val="-2"/>
          <w:sz w:val="24"/>
        </w:rPr>
      </w:pPr>
    </w:p>
    <w:p>
      <w:pPr>
        <w:spacing w:line="460" w:lineRule="exact"/>
        <w:jc w:val="center"/>
        <w:rPr>
          <w:rFonts w:ascii="Times New Roman" w:eastAsia="方正黑体_GBK"/>
          <w:color w:val="000000"/>
          <w:spacing w:val="-2"/>
          <w:sz w:val="24"/>
        </w:rPr>
      </w:pPr>
      <w:r>
        <w:rPr>
          <w:rFonts w:hint="eastAsia" w:ascii="Times New Roman" w:eastAsia="方正黑体_GBK"/>
          <w:color w:val="000000"/>
          <w:spacing w:val="-2"/>
          <w:sz w:val="24"/>
        </w:rPr>
        <w:t>第五章  附    则</w:t>
      </w:r>
    </w:p>
    <w:p>
      <w:pPr>
        <w:spacing w:line="460" w:lineRule="exact"/>
        <w:ind w:firstLine="467" w:firstLineChars="198"/>
        <w:rPr>
          <w:rFonts w:hint="eastAsia" w:ascii="Times New Roman" w:eastAsia="方正黑体_GBK"/>
          <w:color w:val="000000"/>
          <w:spacing w:val="-2"/>
          <w:sz w:val="24"/>
        </w:rPr>
      </w:pPr>
    </w:p>
    <w:p>
      <w:pPr>
        <w:spacing w:line="460" w:lineRule="exact"/>
        <w:ind w:firstLine="467" w:firstLineChars="198"/>
        <w:rPr>
          <w:rFonts w:hint="eastAsia" w:eastAsia="方正仿宋_GBK"/>
          <w:color w:val="000000"/>
          <w:spacing w:val="-2"/>
          <w:sz w:val="24"/>
        </w:rPr>
      </w:pPr>
      <w:r>
        <w:rPr>
          <w:rFonts w:hint="eastAsia" w:ascii="Times New Roman" w:eastAsia="方正黑体_GBK"/>
          <w:color w:val="000000"/>
          <w:spacing w:val="-2"/>
          <w:sz w:val="24"/>
        </w:rPr>
        <w:t>第十七条</w:t>
      </w:r>
      <w:r>
        <w:rPr>
          <w:rFonts w:eastAsia="方正仿宋_GBK"/>
          <w:color w:val="000000"/>
          <w:spacing w:val="-2"/>
          <w:sz w:val="24"/>
        </w:rPr>
        <w:t xml:space="preserve">  </w:t>
      </w:r>
      <w:r>
        <w:rPr>
          <w:rFonts w:hint="eastAsia" w:eastAsia="方正仿宋_GBK"/>
          <w:color w:val="000000"/>
          <w:spacing w:val="-2"/>
          <w:sz w:val="24"/>
        </w:rPr>
        <w:t>本办法由江苏省住房和城乡建设厅负责解释。</w:t>
      </w:r>
    </w:p>
    <w:p>
      <w:pPr>
        <w:spacing w:line="460" w:lineRule="exact"/>
        <w:ind w:firstLine="467" w:firstLineChars="198"/>
        <w:rPr>
          <w:rFonts w:eastAsia="方正仿宋_GBK"/>
          <w:color w:val="000000"/>
          <w:spacing w:val="-2"/>
          <w:sz w:val="24"/>
        </w:rPr>
      </w:pPr>
      <w:r>
        <w:rPr>
          <w:rFonts w:hint="eastAsia" w:ascii="Times New Roman" w:eastAsia="方正黑体_GBK"/>
          <w:color w:val="000000"/>
          <w:spacing w:val="-2"/>
          <w:sz w:val="24"/>
        </w:rPr>
        <w:t>第十八条</w:t>
      </w:r>
      <w:r>
        <w:rPr>
          <w:rFonts w:eastAsia="方正仿宋_GBK"/>
          <w:color w:val="000000"/>
          <w:spacing w:val="-2"/>
          <w:sz w:val="24"/>
        </w:rPr>
        <w:t xml:space="preserve">  </w:t>
      </w:r>
      <w:r>
        <w:rPr>
          <w:rFonts w:hint="eastAsia" w:eastAsia="方正仿宋_GBK"/>
          <w:color w:val="000000"/>
          <w:spacing w:val="-2"/>
          <w:sz w:val="24"/>
        </w:rPr>
        <w:t>本办法自</w:t>
      </w:r>
      <w:r>
        <w:rPr>
          <w:rFonts w:eastAsia="方正仿宋_GBK"/>
          <w:color w:val="000000"/>
          <w:spacing w:val="-2"/>
          <w:sz w:val="24"/>
        </w:rPr>
        <w:t>2015</w:t>
      </w:r>
      <w:r>
        <w:rPr>
          <w:rFonts w:hint="eastAsia" w:eastAsia="方正仿宋_GBK"/>
          <w:color w:val="000000"/>
          <w:spacing w:val="-2"/>
          <w:sz w:val="24"/>
        </w:rPr>
        <w:t>年</w:t>
      </w:r>
      <w:r>
        <w:rPr>
          <w:rFonts w:eastAsia="方正仿宋_GBK"/>
          <w:color w:val="000000"/>
          <w:spacing w:val="-2"/>
          <w:sz w:val="24"/>
        </w:rPr>
        <w:t>6</w:t>
      </w:r>
      <w:r>
        <w:rPr>
          <w:rFonts w:hint="eastAsia" w:eastAsia="方正仿宋_GBK"/>
          <w:color w:val="000000"/>
          <w:spacing w:val="-2"/>
          <w:sz w:val="24"/>
        </w:rPr>
        <w:t>月</w:t>
      </w:r>
      <w:r>
        <w:rPr>
          <w:rFonts w:eastAsia="方正仿宋_GBK"/>
          <w:color w:val="000000"/>
          <w:spacing w:val="-2"/>
          <w:sz w:val="24"/>
        </w:rPr>
        <w:t>1</w:t>
      </w:r>
      <w:r>
        <w:rPr>
          <w:rFonts w:hint="eastAsia" w:eastAsia="方正仿宋_GBK"/>
          <w:color w:val="000000"/>
          <w:spacing w:val="-2"/>
          <w:sz w:val="24"/>
        </w:rPr>
        <w:t>日起试行。</w:t>
      </w:r>
    </w:p>
    <w:p>
      <w:pPr>
        <w:spacing w:line="460" w:lineRule="exact"/>
        <w:rPr>
          <w:rFonts w:eastAsia="方正仿宋_GBK"/>
          <w:color w:val="000000"/>
          <w:spacing w:val="-2"/>
          <w:sz w:val="24"/>
        </w:rPr>
      </w:pPr>
    </w:p>
    <w:p>
      <w:pPr>
        <w:spacing w:line="460" w:lineRule="exact"/>
        <w:rPr>
          <w:rFonts w:eastAsia="方正仿宋_GBK"/>
          <w:color w:val="000000"/>
          <w:spacing w:val="-2"/>
          <w:sz w:val="24"/>
        </w:rPr>
      </w:pPr>
    </w:p>
    <w:p>
      <w:pPr>
        <w:spacing w:line="460" w:lineRule="exact"/>
        <w:rPr>
          <w:rFonts w:ascii="Times New Roman" w:eastAsia="方正黑体_GBK"/>
          <w:color w:val="000000"/>
          <w:spacing w:val="-2"/>
          <w:sz w:val="28"/>
          <w:szCs w:val="28"/>
        </w:rPr>
      </w:pPr>
      <w:r>
        <w:rPr>
          <w:rFonts w:eastAsia="方正仿宋_GBK"/>
          <w:color w:val="000000"/>
          <w:spacing w:val="-2"/>
          <w:sz w:val="24"/>
        </w:rPr>
        <w:br w:type="page"/>
      </w:r>
      <w:r>
        <w:rPr>
          <w:rFonts w:hint="eastAsia" w:ascii="Times New Roman" w:eastAsia="方正黑体_GBK"/>
          <w:color w:val="000000"/>
          <w:spacing w:val="-2"/>
          <w:sz w:val="28"/>
          <w:szCs w:val="28"/>
        </w:rPr>
        <w:t xml:space="preserve">附件2 </w:t>
      </w:r>
    </w:p>
    <w:p>
      <w:pPr>
        <w:spacing w:line="460" w:lineRule="exact"/>
        <w:rPr>
          <w:rFonts w:hint="eastAsia" w:ascii="Times New Roman" w:eastAsia="方正黑体_GBK"/>
          <w:color w:val="000000"/>
          <w:spacing w:val="-2"/>
          <w:sz w:val="28"/>
          <w:szCs w:val="28"/>
        </w:rPr>
      </w:pPr>
    </w:p>
    <w:p>
      <w:pPr>
        <w:spacing w:line="460" w:lineRule="exact"/>
        <w:jc w:val="center"/>
        <w:rPr>
          <w:rFonts w:hint="eastAsia" w:ascii="Times New Roman" w:eastAsia="方正黑体_GBK"/>
          <w:color w:val="000000"/>
          <w:spacing w:val="-2"/>
          <w:sz w:val="36"/>
          <w:szCs w:val="36"/>
        </w:rPr>
      </w:pPr>
      <w:r>
        <w:rPr>
          <w:rFonts w:hint="eastAsia" w:ascii="Times New Roman" w:eastAsia="方正黑体_GBK"/>
          <w:color w:val="000000"/>
          <w:spacing w:val="-2"/>
          <w:sz w:val="36"/>
          <w:szCs w:val="36"/>
        </w:rPr>
        <w:t>申报附件材料</w:t>
      </w:r>
    </w:p>
    <w:p>
      <w:pPr>
        <w:spacing w:line="460" w:lineRule="exact"/>
        <w:ind w:firstLine="462" w:firstLineChars="196"/>
        <w:jc w:val="left"/>
        <w:rPr>
          <w:rFonts w:hint="eastAsia" w:eastAsia="方正仿宋_GBK"/>
          <w:color w:val="000000"/>
          <w:spacing w:val="-2"/>
          <w:sz w:val="24"/>
        </w:rPr>
      </w:pPr>
    </w:p>
    <w:p>
      <w:pPr>
        <w:spacing w:line="460" w:lineRule="exact"/>
        <w:ind w:firstLine="462" w:firstLineChars="196"/>
        <w:jc w:val="left"/>
        <w:rPr>
          <w:rFonts w:eastAsia="方正仿宋_GBK"/>
          <w:color w:val="000000"/>
          <w:spacing w:val="-2"/>
          <w:sz w:val="24"/>
        </w:rPr>
      </w:pPr>
      <w:r>
        <w:rPr>
          <w:rFonts w:hint="eastAsia" w:eastAsia="方正仿宋_GBK"/>
          <w:color w:val="000000"/>
          <w:spacing w:val="-2"/>
          <w:sz w:val="24"/>
        </w:rPr>
        <w:t>申报江苏省住宅装修放心消费优质企业应将以下材料装订成册：</w:t>
      </w:r>
    </w:p>
    <w:p>
      <w:pPr>
        <w:spacing w:line="460" w:lineRule="exact"/>
        <w:ind w:firstLine="462" w:firstLineChars="196"/>
        <w:jc w:val="left"/>
        <w:rPr>
          <w:rFonts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、企业创建活动实施方案；</w:t>
      </w:r>
    </w:p>
    <w:p>
      <w:pPr>
        <w:spacing w:line="460" w:lineRule="exact"/>
        <w:ind w:firstLine="462" w:firstLineChars="196"/>
        <w:rPr>
          <w:rFonts w:eastAsia="方正仿宋_GBK"/>
          <w:color w:val="000000"/>
          <w:spacing w:val="-2"/>
          <w:kern w:val="0"/>
          <w:sz w:val="24"/>
        </w:rPr>
      </w:pPr>
      <w:r>
        <w:rPr>
          <w:rFonts w:eastAsia="方正仿宋_GBK"/>
          <w:color w:val="000000"/>
          <w:spacing w:val="-2"/>
          <w:kern w:val="0"/>
          <w:sz w:val="24"/>
        </w:rPr>
        <w:t>2</w:t>
      </w:r>
      <w:r>
        <w:rPr>
          <w:rFonts w:hint="eastAsia" w:eastAsia="方正仿宋_GBK"/>
          <w:color w:val="000000"/>
          <w:spacing w:val="-2"/>
          <w:kern w:val="0"/>
          <w:sz w:val="24"/>
        </w:rPr>
        <w:t>、企业法定代表人申报材料真实性承诺书；</w:t>
      </w:r>
    </w:p>
    <w:p>
      <w:pPr>
        <w:spacing w:line="460" w:lineRule="exact"/>
        <w:ind w:firstLine="462" w:firstLineChars="196"/>
        <w:rPr>
          <w:rFonts w:eastAsia="方正仿宋_GBK"/>
          <w:color w:val="000000"/>
          <w:spacing w:val="-2"/>
          <w:kern w:val="0"/>
          <w:sz w:val="24"/>
        </w:rPr>
      </w:pPr>
      <w:r>
        <w:rPr>
          <w:rFonts w:eastAsia="方正仿宋_GBK"/>
          <w:color w:val="000000"/>
          <w:spacing w:val="-2"/>
          <w:kern w:val="0"/>
          <w:sz w:val="24"/>
        </w:rPr>
        <w:t>3</w:t>
      </w:r>
      <w:r>
        <w:rPr>
          <w:rFonts w:hint="eastAsia" w:eastAsia="方正仿宋_GBK"/>
          <w:color w:val="000000"/>
          <w:spacing w:val="-2"/>
          <w:kern w:val="0"/>
          <w:sz w:val="24"/>
        </w:rPr>
        <w:t>、</w:t>
      </w:r>
      <w:r>
        <w:rPr>
          <w:rFonts w:hint="eastAsia" w:eastAsia="方正仿宋_GBK"/>
          <w:color w:val="000000"/>
          <w:spacing w:val="-2"/>
          <w:sz w:val="24"/>
        </w:rPr>
        <w:t>工商营业执照和</w:t>
      </w:r>
      <w:r>
        <w:rPr>
          <w:rFonts w:hint="eastAsia" w:eastAsia="方正仿宋_GBK"/>
          <w:color w:val="000000"/>
          <w:spacing w:val="-2"/>
          <w:kern w:val="0"/>
          <w:sz w:val="24"/>
        </w:rPr>
        <w:t>建设行政主管部门颁发的资质证书复印件；</w:t>
      </w:r>
    </w:p>
    <w:p>
      <w:pPr>
        <w:spacing w:line="460" w:lineRule="exact"/>
        <w:ind w:firstLine="462" w:firstLineChars="196"/>
        <w:rPr>
          <w:rFonts w:eastAsia="方正仿宋_GBK"/>
          <w:color w:val="000000"/>
          <w:spacing w:val="-2"/>
          <w:sz w:val="24"/>
        </w:rPr>
      </w:pPr>
      <w:r>
        <w:rPr>
          <w:rFonts w:eastAsia="方正仿宋_GBK"/>
          <w:color w:val="000000"/>
          <w:spacing w:val="-2"/>
          <w:sz w:val="24"/>
        </w:rPr>
        <w:t>4</w:t>
      </w:r>
      <w:r>
        <w:rPr>
          <w:rFonts w:hint="eastAsia" w:eastAsia="方正仿宋_GBK"/>
          <w:color w:val="000000"/>
          <w:spacing w:val="-2"/>
          <w:sz w:val="24"/>
        </w:rPr>
        <w:t>、行业主管部门开具的三年内有效投诉为零的证明；</w:t>
      </w:r>
    </w:p>
    <w:p>
      <w:pPr>
        <w:spacing w:line="460" w:lineRule="exact"/>
        <w:ind w:firstLine="472" w:firstLineChars="200"/>
        <w:rPr>
          <w:rFonts w:eastAsia="方正仿宋_GBK"/>
          <w:color w:val="000000"/>
          <w:spacing w:val="-2"/>
          <w:sz w:val="24"/>
        </w:rPr>
      </w:pPr>
      <w:r>
        <w:rPr>
          <w:rFonts w:eastAsia="方正仿宋_GBK"/>
          <w:color w:val="000000"/>
          <w:spacing w:val="-2"/>
          <w:kern w:val="0"/>
          <w:sz w:val="24"/>
        </w:rPr>
        <w:t>5</w:t>
      </w:r>
      <w:r>
        <w:rPr>
          <w:rFonts w:hint="eastAsia" w:eastAsia="方正仿宋_GBK"/>
          <w:color w:val="000000"/>
          <w:spacing w:val="-2"/>
          <w:kern w:val="0"/>
          <w:sz w:val="24"/>
        </w:rPr>
        <w:t>、</w:t>
      </w:r>
      <w:r>
        <w:rPr>
          <w:rFonts w:hint="eastAsia" w:eastAsia="方正仿宋_GBK"/>
          <w:color w:val="000000"/>
          <w:spacing w:val="-2"/>
          <w:sz w:val="24"/>
        </w:rPr>
        <w:t>获奖证明；</w:t>
      </w:r>
    </w:p>
    <w:p>
      <w:pPr>
        <w:spacing w:line="460" w:lineRule="exact"/>
        <w:ind w:firstLine="472" w:firstLineChars="200"/>
        <w:rPr>
          <w:rFonts w:eastAsia="方正仿宋_GBK"/>
          <w:color w:val="000000"/>
          <w:spacing w:val="-2"/>
          <w:sz w:val="24"/>
        </w:rPr>
      </w:pPr>
      <w:r>
        <w:rPr>
          <w:rFonts w:eastAsia="方正仿宋_GBK"/>
          <w:color w:val="000000"/>
          <w:spacing w:val="-2"/>
          <w:sz w:val="24"/>
        </w:rPr>
        <w:t>6</w:t>
      </w:r>
      <w:r>
        <w:rPr>
          <w:rFonts w:hint="eastAsia" w:eastAsia="方正仿宋_GBK"/>
          <w:color w:val="000000"/>
          <w:spacing w:val="-2"/>
          <w:sz w:val="24"/>
        </w:rPr>
        <w:t>、本企业各类管理制度，至少包括材料进货管理、装修设计管理、现场施工管理及验收管理等质量保证制度，客户接待、投诉受理及售前售后等服务制度；</w:t>
      </w:r>
    </w:p>
    <w:p>
      <w:pPr>
        <w:spacing w:line="460" w:lineRule="exact"/>
        <w:ind w:firstLine="472" w:firstLineChars="200"/>
        <w:rPr>
          <w:rFonts w:eastAsia="方正仿宋_GBK"/>
          <w:color w:val="000000"/>
          <w:spacing w:val="-2"/>
          <w:sz w:val="24"/>
        </w:rPr>
      </w:pPr>
      <w:r>
        <w:rPr>
          <w:rFonts w:eastAsia="方正仿宋_GBK"/>
          <w:color w:val="000000"/>
          <w:spacing w:val="-2"/>
          <w:sz w:val="24"/>
        </w:rPr>
        <w:t>7</w:t>
      </w:r>
      <w:r>
        <w:rPr>
          <w:rFonts w:hint="eastAsia" w:eastAsia="方正仿宋_GBK"/>
          <w:color w:val="000000"/>
          <w:spacing w:val="-2"/>
          <w:sz w:val="24"/>
        </w:rPr>
        <w:t>、提供近二年内至少</w:t>
      </w:r>
      <w:r>
        <w:rPr>
          <w:rFonts w:eastAsia="方正仿宋_GBK"/>
          <w:color w:val="000000"/>
          <w:spacing w:val="-2"/>
          <w:sz w:val="24"/>
        </w:rPr>
        <w:t>10</w:t>
      </w:r>
      <w:r>
        <w:rPr>
          <w:rFonts w:hint="eastAsia" w:eastAsia="方正仿宋_GBK"/>
          <w:color w:val="000000"/>
          <w:spacing w:val="-2"/>
          <w:sz w:val="24"/>
        </w:rPr>
        <w:t>项住宅装修工程业绩清单以备核查（至少含合同、工程造价书、设计平面图、设计和施工说明、业主验收评价）；</w:t>
      </w:r>
    </w:p>
    <w:p>
      <w:pPr>
        <w:spacing w:line="460" w:lineRule="exact"/>
        <w:ind w:firstLine="472" w:firstLineChars="200"/>
        <w:rPr>
          <w:rFonts w:eastAsia="方正仿宋_GBK"/>
          <w:color w:val="000000"/>
          <w:spacing w:val="-2"/>
          <w:sz w:val="24"/>
        </w:rPr>
      </w:pPr>
      <w:r>
        <w:rPr>
          <w:rFonts w:eastAsia="方正仿宋_GBK"/>
          <w:color w:val="000000"/>
          <w:spacing w:val="-2"/>
          <w:sz w:val="24"/>
        </w:rPr>
        <w:t>8</w:t>
      </w:r>
      <w:r>
        <w:rPr>
          <w:rFonts w:hint="eastAsia" w:eastAsia="方正仿宋_GBK"/>
          <w:color w:val="000000"/>
          <w:spacing w:val="-2"/>
          <w:sz w:val="24"/>
        </w:rPr>
        <w:t>、与材料供应商的供货协议、主要装修材料进货凭证、材料质量合格证明、环保检测合格证明复印件；</w:t>
      </w:r>
    </w:p>
    <w:p>
      <w:pPr>
        <w:spacing w:line="460" w:lineRule="exact"/>
        <w:ind w:firstLine="472" w:firstLineChars="200"/>
        <w:rPr>
          <w:rFonts w:eastAsia="方正仿宋_GBK"/>
          <w:color w:val="000000"/>
          <w:spacing w:val="-2"/>
          <w:sz w:val="24"/>
        </w:rPr>
      </w:pPr>
      <w:r>
        <w:rPr>
          <w:rFonts w:eastAsia="方正仿宋_GBK"/>
          <w:color w:val="000000"/>
          <w:spacing w:val="-2"/>
          <w:sz w:val="24"/>
        </w:rPr>
        <w:t>9</w:t>
      </w:r>
      <w:r>
        <w:rPr>
          <w:rFonts w:hint="eastAsia" w:eastAsia="方正仿宋_GBK"/>
          <w:color w:val="000000"/>
          <w:spacing w:val="-2"/>
          <w:sz w:val="24"/>
        </w:rPr>
        <w:t>、证明企业设计能力的多媒体设计软件界面图片、设计案例等；</w:t>
      </w:r>
    </w:p>
    <w:p>
      <w:pPr>
        <w:spacing w:line="460" w:lineRule="exact"/>
        <w:ind w:firstLine="472" w:firstLineChars="200"/>
        <w:rPr>
          <w:rFonts w:eastAsia="方正仿宋_GBK"/>
          <w:color w:val="000000"/>
          <w:spacing w:val="-2"/>
          <w:sz w:val="24"/>
        </w:rPr>
      </w:pPr>
      <w:r>
        <w:rPr>
          <w:rFonts w:eastAsia="方正仿宋_GBK"/>
          <w:color w:val="000000"/>
          <w:spacing w:val="-2"/>
          <w:sz w:val="24"/>
        </w:rPr>
        <w:t>10</w:t>
      </w:r>
      <w:r>
        <w:rPr>
          <w:rFonts w:hint="eastAsia" w:eastAsia="方正仿宋_GBK"/>
          <w:color w:val="000000"/>
          <w:spacing w:val="-2"/>
          <w:sz w:val="24"/>
        </w:rPr>
        <w:t>、证明企业产业配套能力的配套供应商合作协议书、工厂生产场景图片、现场装配施工流程及场景图片等。</w:t>
      </w:r>
    </w:p>
    <w:p>
      <w:pPr>
        <w:rPr>
          <w:rFonts w:ascii="Times New Roman" w:eastAsia="黑体"/>
          <w:color w:val="000000"/>
          <w:spacing w:val="-2"/>
          <w:sz w:val="28"/>
          <w:szCs w:val="28"/>
        </w:rPr>
      </w:pPr>
      <w:r>
        <w:rPr>
          <w:color w:val="000000"/>
          <w:spacing w:val="-2"/>
          <w:sz w:val="28"/>
          <w:szCs w:val="28"/>
        </w:rPr>
        <w:br w:type="page"/>
      </w:r>
      <w:r>
        <w:rPr>
          <w:rFonts w:hint="eastAsia" w:ascii="Times New Roman" w:eastAsia="黑体"/>
          <w:color w:val="000000"/>
          <w:spacing w:val="-2"/>
          <w:sz w:val="28"/>
          <w:szCs w:val="28"/>
        </w:rPr>
        <w:t>附件3</w:t>
      </w:r>
    </w:p>
    <w:p>
      <w:pPr>
        <w:rPr>
          <w:rFonts w:hint="eastAsia" w:ascii="Times New Roman" w:eastAsia="黑体"/>
          <w:color w:val="000000"/>
          <w:spacing w:val="-2"/>
          <w:sz w:val="32"/>
          <w:szCs w:val="32"/>
        </w:rPr>
      </w:pPr>
    </w:p>
    <w:p>
      <w:pPr>
        <w:rPr>
          <w:rFonts w:hint="eastAsia" w:ascii="Times New Roman" w:eastAsia="黑体"/>
          <w:color w:val="000000"/>
          <w:spacing w:val="-2"/>
          <w:sz w:val="32"/>
          <w:szCs w:val="32"/>
        </w:rPr>
      </w:pPr>
    </w:p>
    <w:p>
      <w:pPr>
        <w:rPr>
          <w:rFonts w:hint="eastAsia" w:ascii="Times New Roman" w:eastAsia="黑体"/>
          <w:color w:val="000000"/>
          <w:spacing w:val="-2"/>
          <w:sz w:val="32"/>
          <w:szCs w:val="32"/>
        </w:rPr>
      </w:pPr>
    </w:p>
    <w:p>
      <w:pPr>
        <w:rPr>
          <w:rFonts w:hint="eastAsia" w:ascii="Times New Roman" w:eastAsia="黑体"/>
          <w:color w:val="000000"/>
          <w:spacing w:val="-2"/>
          <w:sz w:val="32"/>
          <w:szCs w:val="32"/>
        </w:rPr>
      </w:pPr>
    </w:p>
    <w:p>
      <w:pPr>
        <w:jc w:val="center"/>
        <w:rPr>
          <w:rFonts w:hint="eastAsia"/>
          <w:color w:val="000000"/>
          <w:spacing w:val="-2"/>
          <w:sz w:val="44"/>
          <w:szCs w:val="44"/>
        </w:rPr>
      </w:pPr>
      <w:r>
        <w:rPr>
          <w:rFonts w:hint="eastAsia" w:hAnsi="Times New Roman"/>
          <w:color w:val="000000"/>
          <w:spacing w:val="-2"/>
          <w:sz w:val="44"/>
          <w:szCs w:val="44"/>
        </w:rPr>
        <w:t>江苏省住宅装修放心消费优质企业</w:t>
      </w:r>
    </w:p>
    <w:p>
      <w:pPr>
        <w:jc w:val="center"/>
        <w:rPr>
          <w:color w:val="000000"/>
          <w:spacing w:val="-2"/>
          <w:sz w:val="44"/>
          <w:szCs w:val="44"/>
        </w:rPr>
      </w:pPr>
      <w:r>
        <w:rPr>
          <w:rFonts w:hint="eastAsia" w:hAnsi="Times New Roman"/>
          <w:color w:val="000000"/>
          <w:spacing w:val="-2"/>
          <w:sz w:val="44"/>
          <w:szCs w:val="44"/>
        </w:rPr>
        <w:t>申</w:t>
      </w:r>
      <w:r>
        <w:rPr>
          <w:color w:val="000000"/>
          <w:spacing w:val="-2"/>
          <w:sz w:val="44"/>
          <w:szCs w:val="44"/>
        </w:rPr>
        <w:t xml:space="preserve"> </w:t>
      </w:r>
      <w:r>
        <w:rPr>
          <w:rFonts w:hint="eastAsia" w:hAnsi="Times New Roman"/>
          <w:color w:val="000000"/>
          <w:spacing w:val="-2"/>
          <w:sz w:val="44"/>
          <w:szCs w:val="44"/>
        </w:rPr>
        <w:t>报</w:t>
      </w:r>
      <w:r>
        <w:rPr>
          <w:color w:val="000000"/>
          <w:spacing w:val="-2"/>
          <w:sz w:val="44"/>
          <w:szCs w:val="44"/>
        </w:rPr>
        <w:t xml:space="preserve"> </w:t>
      </w:r>
      <w:r>
        <w:rPr>
          <w:rFonts w:hint="eastAsia" w:hAnsi="Times New Roman"/>
          <w:color w:val="000000"/>
          <w:spacing w:val="-2"/>
          <w:sz w:val="44"/>
          <w:szCs w:val="44"/>
        </w:rPr>
        <w:t>表</w:t>
      </w:r>
    </w:p>
    <w:p>
      <w:pPr>
        <w:rPr>
          <w:rFonts w:hAnsi="Times New Roman"/>
          <w:b/>
          <w:color w:val="000000"/>
          <w:spacing w:val="-2"/>
          <w:sz w:val="28"/>
          <w:szCs w:val="28"/>
        </w:rPr>
      </w:pPr>
      <w:r>
        <w:rPr>
          <w:rFonts w:hint="eastAsia" w:hAnsi="Times New Roman"/>
          <w:b/>
          <w:color w:val="000000"/>
          <w:spacing w:val="-2"/>
          <w:sz w:val="28"/>
          <w:szCs w:val="28"/>
        </w:rPr>
        <w:t>　　</w:t>
      </w:r>
    </w:p>
    <w:p>
      <w:pPr>
        <w:rPr>
          <w:rFonts w:hAnsi="Times New Roman"/>
          <w:b/>
          <w:color w:val="000000"/>
          <w:spacing w:val="-2"/>
          <w:sz w:val="28"/>
          <w:szCs w:val="28"/>
        </w:rPr>
      </w:pPr>
    </w:p>
    <w:p>
      <w:pPr>
        <w:rPr>
          <w:rFonts w:hAnsi="Times New Roman"/>
          <w:b/>
          <w:color w:val="000000"/>
          <w:spacing w:val="-2"/>
          <w:sz w:val="28"/>
          <w:szCs w:val="28"/>
        </w:rPr>
      </w:pPr>
    </w:p>
    <w:p>
      <w:pPr>
        <w:rPr>
          <w:rFonts w:hAnsi="Times New Roman"/>
          <w:b/>
          <w:color w:val="000000"/>
          <w:spacing w:val="-2"/>
          <w:sz w:val="28"/>
          <w:szCs w:val="28"/>
        </w:rPr>
      </w:pPr>
    </w:p>
    <w:p>
      <w:pPr>
        <w:rPr>
          <w:b/>
          <w:color w:val="000000"/>
          <w:spacing w:val="-2"/>
          <w:sz w:val="28"/>
          <w:szCs w:val="28"/>
        </w:rPr>
      </w:pPr>
    </w:p>
    <w:p>
      <w:pPr>
        <w:rPr>
          <w:b/>
          <w:color w:val="000000"/>
          <w:spacing w:val="-2"/>
          <w:sz w:val="28"/>
          <w:szCs w:val="28"/>
        </w:rPr>
      </w:pPr>
    </w:p>
    <w:p>
      <w:pPr>
        <w:ind w:firstLine="1352" w:firstLineChars="490"/>
        <w:jc w:val="left"/>
        <w:rPr>
          <w:color w:val="000000"/>
          <w:spacing w:val="-2"/>
          <w:sz w:val="28"/>
          <w:szCs w:val="28"/>
        </w:rPr>
      </w:pPr>
      <w:r>
        <w:rPr>
          <w:rFonts w:hint="eastAsia" w:hAnsi="Times New Roman"/>
          <w:color w:val="000000"/>
          <w:spacing w:val="-2"/>
          <w:sz w:val="28"/>
          <w:szCs w:val="28"/>
        </w:rPr>
        <w:t>申报单位全称（盖章）：</w:t>
      </w:r>
    </w:p>
    <w:p>
      <w:pPr>
        <w:ind w:firstLine="1352" w:firstLineChars="490"/>
        <w:jc w:val="left"/>
        <w:rPr>
          <w:color w:val="000000"/>
          <w:spacing w:val="-2"/>
          <w:sz w:val="28"/>
          <w:szCs w:val="28"/>
        </w:rPr>
      </w:pPr>
      <w:r>
        <w:rPr>
          <w:rFonts w:hint="eastAsia" w:hAnsi="Times New Roman"/>
          <w:color w:val="000000"/>
          <w:spacing w:val="-2"/>
          <w:sz w:val="28"/>
          <w:szCs w:val="28"/>
        </w:rPr>
        <w:t>　　</w:t>
      </w:r>
      <w:r>
        <w:rPr>
          <w:color w:val="000000"/>
          <w:spacing w:val="-2"/>
          <w:sz w:val="28"/>
          <w:szCs w:val="28"/>
        </w:rPr>
        <w:t xml:space="preserve">      </w:t>
      </w:r>
      <w:r>
        <w:rPr>
          <w:rFonts w:hint="eastAsia" w:hAnsi="Times New Roman"/>
          <w:color w:val="000000"/>
          <w:spacing w:val="-2"/>
          <w:sz w:val="28"/>
          <w:szCs w:val="28"/>
        </w:rPr>
        <w:t>地　址：</w:t>
      </w:r>
    </w:p>
    <w:p>
      <w:pPr>
        <w:ind w:firstLine="2729" w:firstLineChars="989"/>
        <w:jc w:val="left"/>
        <w:rPr>
          <w:color w:val="000000"/>
          <w:spacing w:val="-2"/>
          <w:sz w:val="28"/>
          <w:szCs w:val="28"/>
        </w:rPr>
      </w:pPr>
      <w:r>
        <w:rPr>
          <w:rFonts w:hint="eastAsia" w:hAnsi="Times New Roman"/>
          <w:color w:val="000000"/>
          <w:spacing w:val="-2"/>
          <w:sz w:val="28"/>
          <w:szCs w:val="28"/>
        </w:rPr>
        <w:t>邮</w:t>
      </w:r>
      <w:r>
        <w:rPr>
          <w:color w:val="000000"/>
          <w:spacing w:val="-2"/>
          <w:sz w:val="28"/>
          <w:szCs w:val="28"/>
        </w:rPr>
        <w:t xml:space="preserve">  </w:t>
      </w:r>
      <w:r>
        <w:rPr>
          <w:rFonts w:hint="eastAsia" w:hAnsi="Times New Roman"/>
          <w:color w:val="000000"/>
          <w:spacing w:val="-2"/>
          <w:sz w:val="28"/>
          <w:szCs w:val="28"/>
        </w:rPr>
        <w:t>编：</w:t>
      </w:r>
    </w:p>
    <w:p>
      <w:pPr>
        <w:ind w:firstLine="1352" w:firstLineChars="490"/>
        <w:jc w:val="left"/>
        <w:rPr>
          <w:color w:val="000000"/>
          <w:spacing w:val="-2"/>
          <w:sz w:val="28"/>
          <w:szCs w:val="28"/>
        </w:rPr>
      </w:pPr>
      <w:r>
        <w:rPr>
          <w:rFonts w:hint="eastAsia" w:hAnsi="Times New Roman"/>
          <w:color w:val="000000"/>
          <w:spacing w:val="-2"/>
          <w:sz w:val="28"/>
          <w:szCs w:val="28"/>
        </w:rPr>
        <w:t>　　</w:t>
      </w:r>
      <w:r>
        <w:rPr>
          <w:color w:val="000000"/>
          <w:spacing w:val="-2"/>
          <w:sz w:val="28"/>
          <w:szCs w:val="28"/>
        </w:rPr>
        <w:t xml:space="preserve">      </w:t>
      </w:r>
      <w:r>
        <w:rPr>
          <w:rFonts w:hint="eastAsia" w:hAnsi="Times New Roman"/>
          <w:color w:val="000000"/>
          <w:spacing w:val="-2"/>
          <w:sz w:val="28"/>
          <w:szCs w:val="28"/>
        </w:rPr>
        <w:t>电　话：</w:t>
      </w:r>
    </w:p>
    <w:p>
      <w:pPr>
        <w:ind w:firstLine="1352" w:firstLineChars="490"/>
        <w:jc w:val="left"/>
        <w:rPr>
          <w:color w:val="000000"/>
          <w:spacing w:val="-2"/>
          <w:sz w:val="28"/>
          <w:szCs w:val="28"/>
        </w:rPr>
      </w:pPr>
      <w:r>
        <w:rPr>
          <w:rFonts w:hint="eastAsia" w:hAnsi="Times New Roman"/>
          <w:color w:val="000000"/>
          <w:spacing w:val="-2"/>
          <w:sz w:val="28"/>
          <w:szCs w:val="28"/>
        </w:rPr>
        <w:t>　　</w:t>
      </w:r>
      <w:r>
        <w:rPr>
          <w:color w:val="000000"/>
          <w:spacing w:val="-2"/>
          <w:sz w:val="28"/>
          <w:szCs w:val="28"/>
        </w:rPr>
        <w:t xml:space="preserve">      </w:t>
      </w:r>
      <w:r>
        <w:rPr>
          <w:rFonts w:hint="eastAsia" w:hAnsi="Times New Roman"/>
          <w:color w:val="000000"/>
          <w:spacing w:val="-2"/>
          <w:sz w:val="28"/>
          <w:szCs w:val="28"/>
        </w:rPr>
        <w:t>传　真：</w:t>
      </w:r>
    </w:p>
    <w:p>
      <w:pPr>
        <w:ind w:firstLine="1352" w:firstLineChars="490"/>
        <w:jc w:val="left"/>
        <w:rPr>
          <w:color w:val="000000"/>
          <w:spacing w:val="-2"/>
          <w:sz w:val="28"/>
          <w:szCs w:val="28"/>
        </w:rPr>
      </w:pPr>
      <w:r>
        <w:rPr>
          <w:rFonts w:hint="eastAsia" w:hAnsi="Times New Roman"/>
          <w:color w:val="000000"/>
          <w:spacing w:val="-2"/>
          <w:sz w:val="28"/>
          <w:szCs w:val="28"/>
        </w:rPr>
        <w:t>　　</w:t>
      </w:r>
      <w:r>
        <w:rPr>
          <w:color w:val="000000"/>
          <w:spacing w:val="-2"/>
          <w:sz w:val="28"/>
          <w:szCs w:val="28"/>
        </w:rPr>
        <w:t xml:space="preserve">      </w:t>
      </w:r>
      <w:r>
        <w:rPr>
          <w:rFonts w:hint="eastAsia" w:hAnsi="Times New Roman"/>
          <w:color w:val="000000"/>
          <w:spacing w:val="-2"/>
          <w:sz w:val="28"/>
          <w:szCs w:val="28"/>
        </w:rPr>
        <w:t>联系人：</w:t>
      </w:r>
    </w:p>
    <w:p>
      <w:pPr>
        <w:ind w:firstLine="2691" w:firstLineChars="975"/>
        <w:jc w:val="left"/>
        <w:rPr>
          <w:color w:val="000000"/>
          <w:spacing w:val="-2"/>
          <w:sz w:val="28"/>
          <w:szCs w:val="28"/>
        </w:rPr>
      </w:pPr>
      <w:r>
        <w:rPr>
          <w:rFonts w:hint="eastAsia" w:hAnsi="Times New Roman"/>
          <w:color w:val="000000"/>
          <w:spacing w:val="-2"/>
          <w:sz w:val="28"/>
          <w:szCs w:val="28"/>
        </w:rPr>
        <w:t>联系人电话：</w:t>
      </w:r>
    </w:p>
    <w:p>
      <w:pPr>
        <w:jc w:val="left"/>
        <w:rPr>
          <w:color w:val="000000"/>
          <w:spacing w:val="-2"/>
          <w:sz w:val="28"/>
          <w:szCs w:val="28"/>
        </w:rPr>
      </w:pPr>
      <w:r>
        <w:rPr>
          <w:rFonts w:hint="eastAsia" w:hAnsi="Times New Roman"/>
          <w:color w:val="000000"/>
          <w:spacing w:val="-2"/>
          <w:sz w:val="28"/>
          <w:szCs w:val="28"/>
        </w:rPr>
        <w:t>　　　　　　　　　　　</w:t>
      </w:r>
    </w:p>
    <w:p>
      <w:pPr>
        <w:jc w:val="left"/>
        <w:rPr>
          <w:color w:val="000000"/>
          <w:spacing w:val="-2"/>
          <w:sz w:val="28"/>
          <w:szCs w:val="28"/>
        </w:rPr>
      </w:pPr>
    </w:p>
    <w:p>
      <w:pPr>
        <w:jc w:val="left"/>
        <w:rPr>
          <w:color w:val="000000"/>
          <w:spacing w:val="-2"/>
          <w:sz w:val="28"/>
          <w:szCs w:val="28"/>
        </w:rPr>
      </w:pPr>
      <w:r>
        <w:rPr>
          <w:rFonts w:hint="eastAsia" w:hAnsi="Times New Roman"/>
          <w:color w:val="000000"/>
          <w:spacing w:val="-2"/>
          <w:sz w:val="28"/>
          <w:szCs w:val="28"/>
        </w:rPr>
        <w:t>　　　　　　　　　　　　　　　　　　　　　　</w:t>
      </w:r>
    </w:p>
    <w:p>
      <w:pPr>
        <w:ind w:firstLine="2042" w:firstLineChars="740"/>
        <w:jc w:val="left"/>
        <w:rPr>
          <w:color w:val="000000"/>
          <w:spacing w:val="-2"/>
          <w:sz w:val="28"/>
          <w:szCs w:val="28"/>
        </w:rPr>
      </w:pPr>
      <w:r>
        <w:rPr>
          <w:rFonts w:hint="eastAsia" w:hAnsi="Times New Roman"/>
          <w:color w:val="000000"/>
          <w:spacing w:val="-2"/>
          <w:sz w:val="28"/>
          <w:szCs w:val="28"/>
        </w:rPr>
        <w:t>申报时间</w:t>
      </w:r>
      <w:r>
        <w:rPr>
          <w:color w:val="000000"/>
          <w:spacing w:val="-2"/>
          <w:sz w:val="28"/>
          <w:szCs w:val="28"/>
        </w:rPr>
        <w:t>:</w:t>
      </w:r>
      <w:r>
        <w:rPr>
          <w:rFonts w:hint="eastAsia" w:hAnsi="Times New Roman"/>
          <w:color w:val="000000"/>
          <w:spacing w:val="-2"/>
          <w:sz w:val="28"/>
          <w:szCs w:val="28"/>
        </w:rPr>
        <w:t>　　　年　　月　　日</w:t>
      </w:r>
    </w:p>
    <w:p>
      <w:pPr>
        <w:ind w:left="2318" w:hanging="2318" w:hangingChars="840"/>
        <w:rPr>
          <w:rFonts w:hAnsi="Times New Roman"/>
          <w:color w:val="000000"/>
          <w:spacing w:val="-2"/>
          <w:sz w:val="28"/>
          <w:szCs w:val="28"/>
        </w:rPr>
      </w:pPr>
      <w:r>
        <w:rPr>
          <w:rFonts w:hint="eastAsia" w:hAnsi="Times New Roman"/>
          <w:color w:val="000000"/>
          <w:spacing w:val="-2"/>
          <w:sz w:val="28"/>
          <w:szCs w:val="28"/>
        </w:rPr>
        <w:t>　　　　　　　　　　　　</w:t>
      </w:r>
    </w:p>
    <w:p>
      <w:pPr>
        <w:ind w:left="2318" w:hanging="2318" w:hangingChars="840"/>
        <w:rPr>
          <w:color w:val="000000"/>
          <w:spacing w:val="-2"/>
          <w:sz w:val="28"/>
          <w:szCs w:val="28"/>
        </w:rPr>
      </w:pPr>
    </w:p>
    <w:p>
      <w:pPr>
        <w:ind w:left="2318" w:hanging="2318" w:hangingChars="840"/>
        <w:rPr>
          <w:color w:val="000000"/>
          <w:spacing w:val="-2"/>
          <w:sz w:val="28"/>
          <w:szCs w:val="28"/>
        </w:rPr>
      </w:pPr>
    </w:p>
    <w:p>
      <w:pPr>
        <w:ind w:left="2318" w:hanging="2318" w:hangingChars="840"/>
        <w:rPr>
          <w:color w:val="000000"/>
          <w:spacing w:val="-2"/>
          <w:sz w:val="28"/>
          <w:szCs w:val="28"/>
        </w:rPr>
      </w:pPr>
    </w:p>
    <w:p>
      <w:pPr>
        <w:ind w:left="2318" w:hanging="2318" w:hangingChars="840"/>
        <w:rPr>
          <w:color w:val="000000"/>
          <w:spacing w:val="-2"/>
          <w:sz w:val="28"/>
          <w:szCs w:val="28"/>
        </w:rPr>
      </w:pPr>
    </w:p>
    <w:p>
      <w:pPr>
        <w:ind w:left="2318" w:hanging="2318" w:hangingChars="840"/>
        <w:rPr>
          <w:color w:val="000000"/>
          <w:spacing w:val="-2"/>
          <w:sz w:val="28"/>
          <w:szCs w:val="28"/>
        </w:rPr>
      </w:pPr>
    </w:p>
    <w:p>
      <w:pPr>
        <w:ind w:left="2318" w:hanging="2318" w:hangingChars="840"/>
        <w:rPr>
          <w:color w:val="000000"/>
          <w:spacing w:val="-2"/>
          <w:sz w:val="28"/>
          <w:szCs w:val="28"/>
        </w:rPr>
      </w:pPr>
    </w:p>
    <w:p>
      <w:pPr>
        <w:ind w:left="2318" w:hanging="2318" w:hangingChars="840"/>
        <w:rPr>
          <w:color w:val="000000"/>
          <w:spacing w:val="-2"/>
          <w:sz w:val="28"/>
          <w:szCs w:val="28"/>
        </w:rPr>
      </w:pPr>
    </w:p>
    <w:p>
      <w:pPr>
        <w:ind w:left="2318" w:hanging="2318" w:hangingChars="840"/>
        <w:rPr>
          <w:color w:val="000000"/>
          <w:spacing w:val="-2"/>
          <w:sz w:val="28"/>
          <w:szCs w:val="28"/>
        </w:rPr>
      </w:pPr>
    </w:p>
    <w:p>
      <w:pPr>
        <w:jc w:val="center"/>
        <w:rPr>
          <w:rFonts w:eastAsia="黑体"/>
          <w:color w:val="000000"/>
          <w:spacing w:val="-2"/>
          <w:sz w:val="32"/>
          <w:szCs w:val="32"/>
        </w:rPr>
      </w:pPr>
      <w:r>
        <w:rPr>
          <w:rFonts w:hint="eastAsia" w:eastAsia="黑体"/>
          <w:color w:val="000000"/>
          <w:spacing w:val="-2"/>
          <w:sz w:val="32"/>
          <w:szCs w:val="32"/>
        </w:rPr>
        <w:t>江苏省住宅装修放心消费创建办公室</w:t>
      </w:r>
    </w:p>
    <w:p>
      <w:pPr>
        <w:widowControl/>
        <w:jc w:val="left"/>
        <w:rPr>
          <w:rFonts w:eastAsia="黑体"/>
          <w:color w:val="000000"/>
          <w:spacing w:val="-2"/>
          <w:sz w:val="32"/>
          <w:szCs w:val="32"/>
        </w:rPr>
        <w:sectPr>
          <w:pgSz w:w="11905" w:h="16838"/>
          <w:pgMar w:top="1701" w:right="1587" w:bottom="1701" w:left="1587" w:header="850" w:footer="1361" w:gutter="0"/>
          <w:paperSrc w:first="4" w:other="4"/>
          <w:cols w:space="720" w:num="1"/>
        </w:sectPr>
      </w:pP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288"/>
        <w:gridCol w:w="141"/>
        <w:gridCol w:w="1564"/>
        <w:gridCol w:w="1800"/>
        <w:gridCol w:w="2098"/>
        <w:gridCol w:w="1492"/>
        <w:gridCol w:w="112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429" w:type="dxa"/>
            <w:gridSpan w:val="2"/>
            <w:tcBorders>
              <w:top w:val="single" w:color="auto" w:sz="8" w:space="0"/>
              <w:left w:val="single" w:color="auto" w:sz="8" w:space="0"/>
              <w:bottom w:val="single" w:color="auto" w:sz="6" w:space="0"/>
              <w:right w:val="single" w:color="auto" w:sz="6" w:space="0"/>
            </w:tcBorders>
            <w:noWrap w:val="0"/>
            <w:vAlign w:val="center"/>
          </w:tcPr>
          <w:p>
            <w:pPr>
              <w:autoSpaceDE w:val="0"/>
              <w:autoSpaceDN w:val="0"/>
              <w:spacing w:line="240" w:lineRule="exact"/>
              <w:jc w:val="center"/>
              <w:rPr>
                <w:rFonts w:eastAsia="方正仿宋_GBK"/>
                <w:color w:val="000000"/>
                <w:spacing w:val="-2"/>
                <w:kern w:val="0"/>
                <w:szCs w:val="21"/>
                <w:lang w:val="zh-CN"/>
              </w:rPr>
            </w:pPr>
            <w:r>
              <w:rPr>
                <w:rFonts w:hint="eastAsia" w:eastAsia="方正仿宋_GBK"/>
                <w:color w:val="000000"/>
                <w:spacing w:val="-2"/>
                <w:kern w:val="0"/>
                <w:szCs w:val="21"/>
                <w:lang w:val="zh-CN"/>
              </w:rPr>
              <w:t>单位名称</w:t>
            </w:r>
          </w:p>
        </w:tc>
        <w:tc>
          <w:tcPr>
            <w:tcW w:w="8083" w:type="dxa"/>
            <w:gridSpan w:val="5"/>
            <w:tcBorders>
              <w:top w:val="single" w:color="auto" w:sz="8" w:space="0"/>
              <w:left w:val="single" w:color="auto" w:sz="6" w:space="0"/>
              <w:bottom w:val="single" w:color="auto" w:sz="6" w:space="0"/>
              <w:right w:val="single" w:color="auto" w:sz="8" w:space="0"/>
            </w:tcBorders>
            <w:noWrap w:val="0"/>
            <w:vAlign w:val="center"/>
          </w:tcPr>
          <w:p>
            <w:pPr>
              <w:autoSpaceDE w:val="0"/>
              <w:autoSpaceDN w:val="0"/>
              <w:spacing w:line="240" w:lineRule="exact"/>
              <w:jc w:val="center"/>
              <w:rPr>
                <w:rFonts w:eastAsia="方正仿宋_GBK"/>
                <w:color w:val="000000"/>
                <w:spacing w:val="-2"/>
                <w:kern w:val="0"/>
                <w:szCs w:val="21"/>
                <w:lang w:val="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429" w:type="dxa"/>
            <w:gridSpan w:val="2"/>
            <w:tcBorders>
              <w:top w:val="single" w:color="auto" w:sz="6" w:space="0"/>
              <w:left w:val="single" w:color="auto" w:sz="8" w:space="0"/>
              <w:bottom w:val="single" w:color="auto" w:sz="6" w:space="0"/>
              <w:right w:val="single" w:color="auto" w:sz="6" w:space="0"/>
            </w:tcBorders>
            <w:noWrap w:val="0"/>
            <w:vAlign w:val="center"/>
          </w:tcPr>
          <w:p>
            <w:pPr>
              <w:autoSpaceDE w:val="0"/>
              <w:autoSpaceDN w:val="0"/>
              <w:spacing w:line="240" w:lineRule="exact"/>
              <w:jc w:val="center"/>
              <w:rPr>
                <w:rFonts w:eastAsia="方正仿宋_GBK"/>
                <w:color w:val="000000"/>
                <w:spacing w:val="-2"/>
                <w:kern w:val="0"/>
                <w:szCs w:val="21"/>
                <w:lang w:val="zh-CN"/>
              </w:rPr>
            </w:pPr>
            <w:r>
              <w:rPr>
                <w:rFonts w:hint="eastAsia" w:eastAsia="方正仿宋_GBK"/>
                <w:color w:val="000000"/>
                <w:spacing w:val="-2"/>
                <w:kern w:val="0"/>
                <w:szCs w:val="21"/>
                <w:lang w:val="zh-CN"/>
              </w:rPr>
              <w:t>法人代表人</w:t>
            </w:r>
          </w:p>
        </w:tc>
        <w:tc>
          <w:tcPr>
            <w:tcW w:w="156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eastAsia="方正仿宋_GBK"/>
                <w:color w:val="000000"/>
                <w:spacing w:val="-2"/>
                <w:kern w:val="0"/>
                <w:szCs w:val="21"/>
                <w:lang w:val="zh-CN"/>
              </w:rPr>
            </w:pPr>
          </w:p>
        </w:tc>
        <w:tc>
          <w:tcPr>
            <w:tcW w:w="18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eastAsia="方正仿宋_GBK"/>
                <w:color w:val="000000"/>
                <w:spacing w:val="-2"/>
                <w:kern w:val="0"/>
                <w:szCs w:val="21"/>
                <w:lang w:val="zh-CN"/>
              </w:rPr>
            </w:pPr>
            <w:r>
              <w:rPr>
                <w:rFonts w:hint="eastAsia" w:eastAsia="方正仿宋_GBK"/>
                <w:color w:val="000000"/>
                <w:spacing w:val="-2"/>
                <w:kern w:val="0"/>
                <w:szCs w:val="21"/>
                <w:lang w:val="zh-CN"/>
              </w:rPr>
              <w:t>资质等级</w:t>
            </w:r>
          </w:p>
        </w:tc>
        <w:tc>
          <w:tcPr>
            <w:tcW w:w="209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eastAsia="方正仿宋_GBK"/>
                <w:color w:val="000000"/>
                <w:spacing w:val="-2"/>
                <w:kern w:val="0"/>
                <w:szCs w:val="21"/>
                <w:lang w:val="zh-CN"/>
              </w:rPr>
            </w:pPr>
          </w:p>
        </w:tc>
        <w:tc>
          <w:tcPr>
            <w:tcW w:w="14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eastAsia="方正仿宋_GBK"/>
                <w:color w:val="000000"/>
                <w:spacing w:val="-2"/>
                <w:kern w:val="0"/>
                <w:szCs w:val="21"/>
                <w:lang w:val="zh-CN"/>
              </w:rPr>
            </w:pPr>
            <w:r>
              <w:rPr>
                <w:rFonts w:hint="eastAsia" w:eastAsia="方正仿宋_GBK"/>
                <w:color w:val="000000"/>
                <w:spacing w:val="-2"/>
                <w:kern w:val="0"/>
                <w:szCs w:val="21"/>
                <w:lang w:val="zh-CN"/>
              </w:rPr>
              <w:t>成立日期</w:t>
            </w:r>
          </w:p>
        </w:tc>
        <w:tc>
          <w:tcPr>
            <w:tcW w:w="1129" w:type="dxa"/>
            <w:tcBorders>
              <w:top w:val="single" w:color="auto" w:sz="6" w:space="0"/>
              <w:left w:val="single" w:color="auto" w:sz="6" w:space="0"/>
              <w:bottom w:val="single" w:color="auto" w:sz="6" w:space="0"/>
              <w:right w:val="single" w:color="auto" w:sz="8" w:space="0"/>
            </w:tcBorders>
            <w:noWrap w:val="0"/>
            <w:vAlign w:val="center"/>
          </w:tcPr>
          <w:p>
            <w:pPr>
              <w:autoSpaceDE w:val="0"/>
              <w:autoSpaceDN w:val="0"/>
              <w:spacing w:line="240" w:lineRule="exact"/>
              <w:jc w:val="center"/>
              <w:rPr>
                <w:rFonts w:eastAsia="方正仿宋_GBK"/>
                <w:color w:val="000000"/>
                <w:spacing w:val="-2"/>
                <w:kern w:val="0"/>
                <w:szCs w:val="21"/>
                <w:lang w:val="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5" w:hRule="atLeast"/>
          <w:jc w:val="center"/>
        </w:trPr>
        <w:tc>
          <w:tcPr>
            <w:tcW w:w="1429" w:type="dxa"/>
            <w:gridSpan w:val="2"/>
            <w:vMerge w:val="restart"/>
            <w:tcBorders>
              <w:top w:val="single" w:color="auto" w:sz="6" w:space="0"/>
              <w:left w:val="single" w:color="auto" w:sz="8" w:space="0"/>
              <w:bottom w:val="single" w:color="auto" w:sz="6" w:space="0"/>
              <w:right w:val="single" w:color="auto" w:sz="6" w:space="0"/>
            </w:tcBorders>
            <w:noWrap w:val="0"/>
            <w:vAlign w:val="center"/>
          </w:tcPr>
          <w:p>
            <w:pPr>
              <w:autoSpaceDE w:val="0"/>
              <w:autoSpaceDN w:val="0"/>
              <w:spacing w:line="240" w:lineRule="exact"/>
              <w:jc w:val="center"/>
              <w:rPr>
                <w:rFonts w:eastAsia="方正仿宋_GBK"/>
                <w:color w:val="000000"/>
                <w:spacing w:val="-2"/>
                <w:kern w:val="0"/>
                <w:szCs w:val="21"/>
                <w:lang w:val="zh-CN"/>
              </w:rPr>
            </w:pPr>
            <w:r>
              <w:rPr>
                <w:rFonts w:hint="eastAsia" w:eastAsia="方正仿宋_GBK"/>
                <w:color w:val="000000"/>
                <w:spacing w:val="-2"/>
                <w:kern w:val="0"/>
                <w:szCs w:val="21"/>
                <w:lang w:val="zh-CN"/>
              </w:rPr>
              <w:t>在册员工</w:t>
            </w:r>
          </w:p>
        </w:tc>
        <w:tc>
          <w:tcPr>
            <w:tcW w:w="1564" w:type="dxa"/>
            <w:vMerge w:val="restart"/>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eastAsia="方正仿宋_GBK"/>
                <w:color w:val="000000"/>
                <w:spacing w:val="-2"/>
                <w:kern w:val="0"/>
                <w:szCs w:val="21"/>
                <w:lang w:val="zh-CN"/>
              </w:rPr>
            </w:pPr>
            <w:r>
              <w:rPr>
                <w:rFonts w:eastAsia="方正仿宋_GBK"/>
                <w:color w:val="000000"/>
                <w:spacing w:val="-2"/>
                <w:kern w:val="0"/>
                <w:szCs w:val="21"/>
                <w:lang w:val="zh-CN"/>
              </w:rPr>
              <w:t xml:space="preserve">     </w:t>
            </w:r>
            <w:r>
              <w:rPr>
                <w:rFonts w:hint="eastAsia" w:eastAsia="方正仿宋_GBK"/>
                <w:color w:val="000000"/>
                <w:spacing w:val="-2"/>
                <w:kern w:val="0"/>
                <w:szCs w:val="21"/>
                <w:lang w:val="zh-CN"/>
              </w:rPr>
              <w:t>名</w:t>
            </w:r>
          </w:p>
        </w:tc>
        <w:tc>
          <w:tcPr>
            <w:tcW w:w="3898"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eastAsia="方正仿宋_GBK"/>
                <w:color w:val="000000"/>
                <w:spacing w:val="-2"/>
                <w:kern w:val="0"/>
                <w:szCs w:val="21"/>
                <w:lang w:val="zh-CN"/>
              </w:rPr>
            </w:pPr>
            <w:r>
              <w:rPr>
                <w:rFonts w:hint="eastAsia" w:eastAsia="方正仿宋_GBK"/>
                <w:color w:val="000000"/>
                <w:spacing w:val="-2"/>
                <w:kern w:val="0"/>
                <w:szCs w:val="21"/>
                <w:lang w:val="zh-CN"/>
              </w:rPr>
              <w:t>其中：技术、经济管理人员</w:t>
            </w:r>
          </w:p>
        </w:tc>
        <w:tc>
          <w:tcPr>
            <w:tcW w:w="2621" w:type="dxa"/>
            <w:gridSpan w:val="2"/>
            <w:tcBorders>
              <w:top w:val="single" w:color="auto" w:sz="6" w:space="0"/>
              <w:left w:val="single" w:color="auto" w:sz="6" w:space="0"/>
              <w:bottom w:val="single" w:color="auto" w:sz="6" w:space="0"/>
              <w:right w:val="single" w:color="auto" w:sz="8" w:space="0"/>
            </w:tcBorders>
            <w:noWrap w:val="0"/>
            <w:vAlign w:val="center"/>
          </w:tcPr>
          <w:p>
            <w:pPr>
              <w:autoSpaceDE w:val="0"/>
              <w:autoSpaceDN w:val="0"/>
              <w:spacing w:line="240" w:lineRule="exact"/>
              <w:jc w:val="right"/>
              <w:rPr>
                <w:rFonts w:eastAsia="方正仿宋_GBK"/>
                <w:color w:val="000000"/>
                <w:spacing w:val="-2"/>
                <w:kern w:val="0"/>
                <w:szCs w:val="21"/>
                <w:lang w:val="zh-CN"/>
              </w:rPr>
            </w:pPr>
            <w:r>
              <w:rPr>
                <w:rFonts w:eastAsia="方正仿宋_GBK"/>
                <w:color w:val="000000"/>
                <w:spacing w:val="-2"/>
                <w:kern w:val="0"/>
                <w:szCs w:val="21"/>
                <w:lang w:val="zh-CN"/>
              </w:rPr>
              <w:t xml:space="preserve">   </w:t>
            </w:r>
            <w:r>
              <w:rPr>
                <w:rFonts w:hint="eastAsia" w:eastAsia="方正仿宋_GBK"/>
                <w:color w:val="000000"/>
                <w:spacing w:val="-2"/>
                <w:kern w:val="0"/>
                <w:szCs w:val="21"/>
                <w:lang w:val="zh-CN"/>
              </w:rPr>
              <w:t>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5" w:hRule="atLeast"/>
          <w:jc w:val="center"/>
        </w:trPr>
        <w:tc>
          <w:tcPr>
            <w:tcW w:w="1429" w:type="dxa"/>
            <w:gridSpan w:val="2"/>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eastAsia="方正仿宋_GBK"/>
                <w:color w:val="000000"/>
                <w:spacing w:val="-2"/>
                <w:kern w:val="0"/>
                <w:szCs w:val="21"/>
                <w:lang w:val="zh-CN"/>
              </w:rPr>
            </w:pPr>
          </w:p>
        </w:tc>
        <w:tc>
          <w:tcPr>
            <w:tcW w:w="1564"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rFonts w:eastAsia="方正仿宋_GBK"/>
                <w:color w:val="000000"/>
                <w:spacing w:val="-2"/>
                <w:kern w:val="0"/>
                <w:szCs w:val="21"/>
                <w:lang w:val="zh-CN"/>
              </w:rPr>
            </w:pPr>
          </w:p>
        </w:tc>
        <w:tc>
          <w:tcPr>
            <w:tcW w:w="3898"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eastAsia="方正仿宋_GBK"/>
                <w:color w:val="000000"/>
                <w:spacing w:val="-2"/>
                <w:kern w:val="0"/>
                <w:szCs w:val="21"/>
              </w:rPr>
            </w:pPr>
            <w:r>
              <w:rPr>
                <w:rFonts w:hint="eastAsia" w:eastAsia="方正仿宋_GBK"/>
                <w:color w:val="000000"/>
                <w:spacing w:val="-2"/>
                <w:kern w:val="0"/>
                <w:szCs w:val="21"/>
              </w:rPr>
              <w:t>施工员、持证上岗人数</w:t>
            </w:r>
          </w:p>
        </w:tc>
        <w:tc>
          <w:tcPr>
            <w:tcW w:w="2621" w:type="dxa"/>
            <w:gridSpan w:val="2"/>
            <w:tcBorders>
              <w:top w:val="single" w:color="auto" w:sz="6" w:space="0"/>
              <w:left w:val="single" w:color="auto" w:sz="6" w:space="0"/>
              <w:bottom w:val="single" w:color="auto" w:sz="6" w:space="0"/>
              <w:right w:val="single" w:color="auto" w:sz="8" w:space="0"/>
            </w:tcBorders>
            <w:noWrap w:val="0"/>
            <w:vAlign w:val="center"/>
          </w:tcPr>
          <w:p>
            <w:pPr>
              <w:autoSpaceDE w:val="0"/>
              <w:autoSpaceDN w:val="0"/>
              <w:spacing w:line="240" w:lineRule="exact"/>
              <w:jc w:val="right"/>
              <w:rPr>
                <w:rFonts w:eastAsia="方正仿宋_GBK"/>
                <w:color w:val="000000"/>
                <w:spacing w:val="-2"/>
                <w:kern w:val="0"/>
                <w:szCs w:val="21"/>
                <w:lang w:val="zh-CN"/>
              </w:rPr>
            </w:pPr>
            <w:r>
              <w:rPr>
                <w:rFonts w:eastAsia="方正仿宋_GBK"/>
                <w:color w:val="000000"/>
                <w:spacing w:val="-2"/>
                <w:kern w:val="0"/>
                <w:szCs w:val="21"/>
                <w:lang w:val="zh-CN"/>
              </w:rPr>
              <w:t xml:space="preserve">   </w:t>
            </w:r>
            <w:r>
              <w:rPr>
                <w:rFonts w:hint="eastAsia" w:eastAsia="方正仿宋_GBK"/>
                <w:color w:val="000000"/>
                <w:spacing w:val="-2"/>
                <w:kern w:val="0"/>
                <w:szCs w:val="21"/>
                <w:lang w:val="zh-CN"/>
              </w:rPr>
              <w:t>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5" w:hRule="atLeast"/>
          <w:jc w:val="center"/>
        </w:trPr>
        <w:tc>
          <w:tcPr>
            <w:tcW w:w="1429" w:type="dxa"/>
            <w:gridSpan w:val="2"/>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eastAsia="方正仿宋_GBK"/>
                <w:color w:val="000000"/>
                <w:spacing w:val="-2"/>
                <w:kern w:val="0"/>
                <w:szCs w:val="21"/>
                <w:lang w:val="zh-CN"/>
              </w:rPr>
            </w:pPr>
          </w:p>
        </w:tc>
        <w:tc>
          <w:tcPr>
            <w:tcW w:w="1564"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rFonts w:eastAsia="方正仿宋_GBK"/>
                <w:color w:val="000000"/>
                <w:spacing w:val="-2"/>
                <w:kern w:val="0"/>
                <w:szCs w:val="21"/>
                <w:lang w:val="zh-CN"/>
              </w:rPr>
            </w:pPr>
          </w:p>
        </w:tc>
        <w:tc>
          <w:tcPr>
            <w:tcW w:w="3898"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eastAsia="方正仿宋_GBK"/>
                <w:color w:val="000000"/>
                <w:spacing w:val="-2"/>
                <w:kern w:val="0"/>
                <w:szCs w:val="21"/>
              </w:rPr>
            </w:pPr>
            <w:r>
              <w:rPr>
                <w:rFonts w:hint="eastAsia" w:eastAsia="方正仿宋_GBK"/>
                <w:color w:val="000000"/>
                <w:spacing w:val="-2"/>
                <w:kern w:val="0"/>
                <w:szCs w:val="21"/>
              </w:rPr>
              <w:t>一、二级建造师，小管师</w:t>
            </w:r>
          </w:p>
        </w:tc>
        <w:tc>
          <w:tcPr>
            <w:tcW w:w="2621" w:type="dxa"/>
            <w:gridSpan w:val="2"/>
            <w:tcBorders>
              <w:top w:val="single" w:color="auto" w:sz="6" w:space="0"/>
              <w:left w:val="single" w:color="auto" w:sz="6" w:space="0"/>
              <w:bottom w:val="single" w:color="auto" w:sz="6" w:space="0"/>
              <w:right w:val="single" w:color="auto" w:sz="8" w:space="0"/>
            </w:tcBorders>
            <w:noWrap w:val="0"/>
            <w:vAlign w:val="center"/>
          </w:tcPr>
          <w:p>
            <w:pPr>
              <w:autoSpaceDE w:val="0"/>
              <w:autoSpaceDN w:val="0"/>
              <w:spacing w:line="240" w:lineRule="exact"/>
              <w:jc w:val="right"/>
              <w:rPr>
                <w:rFonts w:eastAsia="方正仿宋_GBK"/>
                <w:color w:val="000000"/>
                <w:spacing w:val="-2"/>
                <w:kern w:val="0"/>
                <w:szCs w:val="21"/>
              </w:rPr>
            </w:pPr>
            <w:r>
              <w:rPr>
                <w:rFonts w:eastAsia="方正仿宋_GBK"/>
                <w:color w:val="000000"/>
                <w:spacing w:val="-2"/>
                <w:kern w:val="0"/>
                <w:szCs w:val="21"/>
              </w:rPr>
              <w:t xml:space="preserve">   </w:t>
            </w:r>
            <w:r>
              <w:rPr>
                <w:rFonts w:hint="eastAsia" w:eastAsia="方正仿宋_GBK"/>
                <w:color w:val="000000"/>
                <w:spacing w:val="-2"/>
                <w:kern w:val="0"/>
                <w:szCs w:val="21"/>
              </w:rPr>
              <w:t>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659" w:hRule="atLeast"/>
          <w:jc w:val="center"/>
        </w:trPr>
        <w:tc>
          <w:tcPr>
            <w:tcW w:w="9512" w:type="dxa"/>
            <w:gridSpan w:val="7"/>
            <w:tcBorders>
              <w:top w:val="single" w:color="auto" w:sz="6" w:space="0"/>
              <w:left w:val="single" w:color="auto" w:sz="8" w:space="0"/>
              <w:bottom w:val="single" w:color="auto" w:sz="6" w:space="0"/>
              <w:right w:val="single" w:color="auto" w:sz="8" w:space="0"/>
            </w:tcBorders>
            <w:noWrap w:val="0"/>
            <w:vAlign w:val="top"/>
          </w:tcPr>
          <w:p>
            <w:pPr>
              <w:autoSpaceDE w:val="0"/>
              <w:autoSpaceDN w:val="0"/>
              <w:spacing w:line="240" w:lineRule="exact"/>
              <w:jc w:val="left"/>
              <w:rPr>
                <w:rFonts w:eastAsia="方正仿宋_GBK"/>
                <w:color w:val="000000"/>
                <w:spacing w:val="-2"/>
                <w:kern w:val="0"/>
                <w:szCs w:val="21"/>
                <w:lang w:val="zh-CN"/>
              </w:rPr>
            </w:pPr>
            <w:r>
              <w:rPr>
                <w:rFonts w:hint="eastAsia" w:eastAsia="方正仿宋_GBK"/>
                <w:color w:val="000000"/>
                <w:spacing w:val="-2"/>
                <w:kern w:val="0"/>
                <w:szCs w:val="21"/>
                <w:lang w:val="zh-CN"/>
              </w:rPr>
              <w:t>主要业绩和申报理由：（可另附）</w:t>
            </w:r>
          </w:p>
          <w:p>
            <w:pPr>
              <w:autoSpaceDE w:val="0"/>
              <w:autoSpaceDN w:val="0"/>
              <w:spacing w:line="240" w:lineRule="exact"/>
              <w:ind w:firstLine="6489" w:firstLineChars="3150"/>
              <w:jc w:val="left"/>
              <w:rPr>
                <w:rFonts w:eastAsia="方正仿宋_GBK"/>
                <w:color w:val="000000"/>
                <w:spacing w:val="-2"/>
                <w:kern w:val="0"/>
                <w:szCs w:val="21"/>
                <w:lang w:val="zh-CN"/>
              </w:rPr>
            </w:pPr>
          </w:p>
          <w:p>
            <w:pPr>
              <w:autoSpaceDE w:val="0"/>
              <w:autoSpaceDN w:val="0"/>
              <w:spacing w:line="240" w:lineRule="exact"/>
              <w:ind w:firstLine="6489" w:firstLineChars="3150"/>
              <w:jc w:val="left"/>
              <w:rPr>
                <w:rFonts w:eastAsia="方正仿宋_GBK"/>
                <w:color w:val="000000"/>
                <w:spacing w:val="-2"/>
                <w:kern w:val="0"/>
                <w:szCs w:val="21"/>
                <w:lang w:val="zh-CN"/>
              </w:rPr>
            </w:pPr>
          </w:p>
          <w:p>
            <w:pPr>
              <w:autoSpaceDE w:val="0"/>
              <w:autoSpaceDN w:val="0"/>
              <w:spacing w:line="240" w:lineRule="exact"/>
              <w:ind w:firstLine="6262" w:firstLineChars="3040"/>
              <w:jc w:val="left"/>
              <w:rPr>
                <w:rFonts w:eastAsia="方正仿宋_GBK"/>
                <w:color w:val="000000"/>
                <w:spacing w:val="-2"/>
                <w:kern w:val="0"/>
                <w:szCs w:val="21"/>
                <w:lang w:val="zh-CN"/>
              </w:rPr>
            </w:pPr>
            <w:r>
              <w:rPr>
                <w:rFonts w:hint="eastAsia" w:eastAsia="方正仿宋_GBK"/>
                <w:color w:val="000000"/>
                <w:spacing w:val="-2"/>
                <w:kern w:val="0"/>
                <w:szCs w:val="21"/>
                <w:lang w:val="zh-CN"/>
              </w:rPr>
              <w:t>申报单位（盖章）</w:t>
            </w:r>
          </w:p>
          <w:p>
            <w:pPr>
              <w:autoSpaceDE w:val="0"/>
              <w:autoSpaceDN w:val="0"/>
              <w:spacing w:line="240" w:lineRule="exact"/>
              <w:ind w:firstLine="6365" w:firstLineChars="3090"/>
              <w:jc w:val="left"/>
              <w:rPr>
                <w:rFonts w:eastAsia="方正仿宋_GBK"/>
                <w:color w:val="000000"/>
                <w:spacing w:val="-2"/>
                <w:kern w:val="0"/>
                <w:szCs w:val="21"/>
                <w:lang w:val="zh-CN"/>
              </w:rPr>
            </w:pPr>
            <w:r>
              <w:rPr>
                <w:rFonts w:eastAsia="方正仿宋_GBK"/>
                <w:color w:val="000000"/>
                <w:spacing w:val="-2"/>
                <w:kern w:val="0"/>
                <w:szCs w:val="21"/>
                <w:lang w:val="zh-CN"/>
              </w:rPr>
              <w:t xml:space="preserve"> </w:t>
            </w:r>
            <w:r>
              <w:rPr>
                <w:rFonts w:hint="eastAsia" w:eastAsia="方正仿宋_GBK"/>
                <w:color w:val="000000"/>
                <w:spacing w:val="-2"/>
                <w:kern w:val="0"/>
                <w:szCs w:val="21"/>
                <w:lang w:val="zh-CN"/>
              </w:rPr>
              <w:t>年</w:t>
            </w:r>
            <w:r>
              <w:rPr>
                <w:rFonts w:eastAsia="方正仿宋_GBK"/>
                <w:color w:val="000000"/>
                <w:spacing w:val="-2"/>
                <w:kern w:val="0"/>
                <w:szCs w:val="21"/>
                <w:lang w:val="zh-CN"/>
              </w:rPr>
              <w:t xml:space="preserve">   </w:t>
            </w:r>
            <w:r>
              <w:rPr>
                <w:rFonts w:hint="eastAsia" w:eastAsia="方正仿宋_GBK"/>
                <w:color w:val="000000"/>
                <w:spacing w:val="-2"/>
                <w:kern w:val="0"/>
                <w:szCs w:val="21"/>
                <w:lang w:val="zh-CN"/>
              </w:rPr>
              <w:t>月</w:t>
            </w:r>
            <w:r>
              <w:rPr>
                <w:rFonts w:eastAsia="方正仿宋_GBK"/>
                <w:color w:val="000000"/>
                <w:spacing w:val="-2"/>
                <w:kern w:val="0"/>
                <w:szCs w:val="21"/>
                <w:lang w:val="zh-CN"/>
              </w:rPr>
              <w:t xml:space="preserve">   </w:t>
            </w:r>
            <w:r>
              <w:rPr>
                <w:rFonts w:hint="eastAsia" w:eastAsia="方正仿宋_GBK"/>
                <w:color w:val="000000"/>
                <w:spacing w:val="-2"/>
                <w:kern w:val="0"/>
                <w:szCs w:val="21"/>
                <w:lang w:val="zh-CN"/>
              </w:rPr>
              <w:t>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639" w:hRule="atLeast"/>
          <w:jc w:val="center"/>
        </w:trPr>
        <w:tc>
          <w:tcPr>
            <w:tcW w:w="1288" w:type="dxa"/>
            <w:tcBorders>
              <w:top w:val="single" w:color="auto" w:sz="6" w:space="0"/>
              <w:left w:val="single" w:color="auto" w:sz="8" w:space="0"/>
              <w:bottom w:val="single" w:color="auto" w:sz="6" w:space="0"/>
              <w:right w:val="single" w:color="auto" w:sz="6" w:space="0"/>
            </w:tcBorders>
            <w:noWrap w:val="0"/>
            <w:vAlign w:val="center"/>
          </w:tcPr>
          <w:p>
            <w:pPr>
              <w:autoSpaceDE w:val="0"/>
              <w:autoSpaceDN w:val="0"/>
              <w:spacing w:line="240" w:lineRule="exact"/>
              <w:rPr>
                <w:rFonts w:eastAsia="方正仿宋_GBK"/>
                <w:color w:val="000000"/>
                <w:spacing w:val="-2"/>
                <w:kern w:val="0"/>
                <w:szCs w:val="21"/>
                <w:lang w:val="zh-CN"/>
              </w:rPr>
            </w:pPr>
            <w:r>
              <w:rPr>
                <w:rFonts w:hint="eastAsia" w:eastAsia="方正仿宋_GBK"/>
                <w:color w:val="000000"/>
                <w:spacing w:val="-2"/>
                <w:kern w:val="0"/>
                <w:szCs w:val="21"/>
                <w:lang w:val="zh-CN"/>
              </w:rPr>
              <w:t>社区或消费者推荐意见（五个以上消费者姓名、装修地址、联系电话）</w:t>
            </w:r>
          </w:p>
        </w:tc>
        <w:tc>
          <w:tcPr>
            <w:tcW w:w="8224" w:type="dxa"/>
            <w:gridSpan w:val="6"/>
            <w:tcBorders>
              <w:top w:val="single" w:color="auto" w:sz="6" w:space="0"/>
              <w:left w:val="single" w:color="auto" w:sz="6" w:space="0"/>
              <w:bottom w:val="single" w:color="auto" w:sz="6" w:space="0"/>
              <w:right w:val="single" w:color="auto" w:sz="8" w:space="0"/>
            </w:tcBorders>
            <w:noWrap w:val="0"/>
            <w:vAlign w:val="top"/>
          </w:tcPr>
          <w:p>
            <w:pPr>
              <w:autoSpaceDE w:val="0"/>
              <w:autoSpaceDN w:val="0"/>
              <w:spacing w:line="240" w:lineRule="exact"/>
              <w:ind w:right="480"/>
              <w:rPr>
                <w:rFonts w:eastAsia="方正仿宋_GBK"/>
                <w:color w:val="000000"/>
                <w:spacing w:val="-2"/>
                <w:kern w:val="0"/>
                <w:szCs w:val="21"/>
              </w:rPr>
            </w:pPr>
          </w:p>
          <w:p>
            <w:pPr>
              <w:autoSpaceDE w:val="0"/>
              <w:autoSpaceDN w:val="0"/>
              <w:spacing w:line="240" w:lineRule="exact"/>
              <w:ind w:right="480"/>
              <w:rPr>
                <w:rFonts w:eastAsia="方正仿宋_GBK"/>
                <w:color w:val="000000"/>
                <w:spacing w:val="-2"/>
                <w:kern w:val="0"/>
                <w:szCs w:val="21"/>
              </w:rPr>
            </w:pPr>
          </w:p>
          <w:p>
            <w:pPr>
              <w:autoSpaceDE w:val="0"/>
              <w:autoSpaceDN w:val="0"/>
              <w:spacing w:line="240" w:lineRule="exact"/>
              <w:ind w:right="480" w:firstLine="4305" w:firstLineChars="2090"/>
              <w:rPr>
                <w:rFonts w:eastAsia="方正仿宋_GBK"/>
                <w:color w:val="000000"/>
                <w:spacing w:val="-2"/>
                <w:kern w:val="0"/>
                <w:szCs w:val="21"/>
              </w:rPr>
            </w:pPr>
          </w:p>
          <w:p>
            <w:pPr>
              <w:autoSpaceDE w:val="0"/>
              <w:autoSpaceDN w:val="0"/>
              <w:spacing w:line="240" w:lineRule="exact"/>
              <w:ind w:right="480" w:firstLine="4305" w:firstLineChars="2090"/>
              <w:rPr>
                <w:rFonts w:eastAsia="方正仿宋_GBK"/>
                <w:color w:val="000000"/>
                <w:spacing w:val="-2"/>
                <w:kern w:val="0"/>
                <w:szCs w:val="21"/>
              </w:rPr>
            </w:pPr>
          </w:p>
          <w:p>
            <w:pPr>
              <w:autoSpaceDE w:val="0"/>
              <w:autoSpaceDN w:val="0"/>
              <w:spacing w:line="240" w:lineRule="exact"/>
              <w:ind w:right="480" w:firstLine="4305" w:firstLineChars="2090"/>
              <w:rPr>
                <w:rFonts w:eastAsia="方正仿宋_GBK"/>
                <w:color w:val="000000"/>
                <w:spacing w:val="-2"/>
                <w:kern w:val="0"/>
                <w:szCs w:val="21"/>
              </w:rPr>
            </w:pPr>
          </w:p>
          <w:p>
            <w:pPr>
              <w:autoSpaceDE w:val="0"/>
              <w:autoSpaceDN w:val="0"/>
              <w:spacing w:line="240" w:lineRule="exact"/>
              <w:ind w:right="480" w:firstLine="4305" w:firstLineChars="2090"/>
              <w:rPr>
                <w:rFonts w:eastAsia="方正仿宋_GBK"/>
                <w:color w:val="000000"/>
                <w:spacing w:val="-2"/>
                <w:kern w:val="0"/>
                <w:szCs w:val="21"/>
              </w:rPr>
            </w:pPr>
          </w:p>
          <w:p>
            <w:pPr>
              <w:autoSpaceDE w:val="0"/>
              <w:autoSpaceDN w:val="0"/>
              <w:spacing w:line="240" w:lineRule="exact"/>
              <w:ind w:right="480" w:firstLine="5129" w:firstLineChars="2490"/>
              <w:rPr>
                <w:rFonts w:eastAsia="方正仿宋_GBK"/>
                <w:color w:val="000000"/>
                <w:spacing w:val="-2"/>
                <w:kern w:val="0"/>
                <w:szCs w:val="21"/>
              </w:rPr>
            </w:pPr>
            <w:r>
              <w:rPr>
                <w:rFonts w:eastAsia="方正仿宋_GBK"/>
                <w:color w:val="000000"/>
                <w:spacing w:val="-2"/>
                <w:kern w:val="0"/>
                <w:szCs w:val="21"/>
              </w:rPr>
              <w:t xml:space="preserve"> </w:t>
            </w:r>
          </w:p>
          <w:p>
            <w:pPr>
              <w:autoSpaceDE w:val="0"/>
              <w:autoSpaceDN w:val="0"/>
              <w:spacing w:line="240" w:lineRule="exact"/>
              <w:ind w:right="480" w:firstLine="5129" w:firstLineChars="2490"/>
              <w:rPr>
                <w:rFonts w:eastAsia="方正仿宋_GBK"/>
                <w:color w:val="000000"/>
                <w:spacing w:val="-2"/>
                <w:kern w:val="0"/>
                <w:szCs w:val="21"/>
              </w:rPr>
            </w:pPr>
            <w:r>
              <w:rPr>
                <w:rFonts w:eastAsia="方正仿宋_GBK"/>
                <w:color w:val="000000"/>
                <w:spacing w:val="-2"/>
                <w:kern w:val="0"/>
                <w:szCs w:val="21"/>
              </w:rPr>
              <w:t xml:space="preserve"> </w:t>
            </w:r>
            <w:r>
              <w:rPr>
                <w:rFonts w:hint="eastAsia" w:eastAsia="方正仿宋_GBK"/>
                <w:color w:val="000000"/>
                <w:spacing w:val="-2"/>
                <w:kern w:val="0"/>
                <w:szCs w:val="21"/>
              </w:rPr>
              <w:t>签名（盖章）</w:t>
            </w:r>
            <w:r>
              <w:rPr>
                <w:rFonts w:eastAsia="方正仿宋_GBK"/>
                <w:color w:val="000000"/>
                <w:spacing w:val="-2"/>
                <w:kern w:val="0"/>
                <w:szCs w:val="21"/>
              </w:rPr>
              <w:t xml:space="preserve"> </w:t>
            </w:r>
          </w:p>
          <w:p>
            <w:pPr>
              <w:autoSpaceDE w:val="0"/>
              <w:autoSpaceDN w:val="0"/>
              <w:spacing w:line="240" w:lineRule="exact"/>
              <w:ind w:right="480" w:firstLine="5129" w:firstLineChars="2490"/>
              <w:rPr>
                <w:rFonts w:eastAsia="方正仿宋_GBK"/>
                <w:color w:val="000000"/>
                <w:spacing w:val="-2"/>
                <w:kern w:val="0"/>
                <w:szCs w:val="21"/>
                <w:lang w:val="zh-CN"/>
              </w:rPr>
            </w:pPr>
            <w:r>
              <w:rPr>
                <w:rFonts w:eastAsia="方正仿宋_GBK"/>
                <w:color w:val="000000"/>
                <w:spacing w:val="-2"/>
                <w:kern w:val="0"/>
                <w:szCs w:val="21"/>
              </w:rPr>
              <w:t xml:space="preserve">   </w:t>
            </w:r>
            <w:r>
              <w:rPr>
                <w:rFonts w:hint="eastAsia" w:eastAsia="方正仿宋_GBK"/>
                <w:color w:val="000000"/>
                <w:spacing w:val="-2"/>
                <w:kern w:val="0"/>
                <w:szCs w:val="21"/>
                <w:lang w:val="zh-CN"/>
              </w:rPr>
              <w:t>年</w:t>
            </w:r>
            <w:r>
              <w:rPr>
                <w:rFonts w:eastAsia="方正仿宋_GBK"/>
                <w:color w:val="000000"/>
                <w:spacing w:val="-2"/>
                <w:kern w:val="0"/>
                <w:szCs w:val="21"/>
                <w:lang w:val="zh-CN"/>
              </w:rPr>
              <w:t xml:space="preserve">   </w:t>
            </w:r>
            <w:r>
              <w:rPr>
                <w:rFonts w:hint="eastAsia" w:eastAsia="方正仿宋_GBK"/>
                <w:color w:val="000000"/>
                <w:spacing w:val="-2"/>
                <w:kern w:val="0"/>
                <w:szCs w:val="21"/>
                <w:lang w:val="zh-CN"/>
              </w:rPr>
              <w:t>月</w:t>
            </w:r>
            <w:r>
              <w:rPr>
                <w:rFonts w:eastAsia="方正仿宋_GBK"/>
                <w:color w:val="000000"/>
                <w:spacing w:val="-2"/>
                <w:kern w:val="0"/>
                <w:szCs w:val="21"/>
                <w:lang w:val="zh-CN"/>
              </w:rPr>
              <w:t xml:space="preserve">   </w:t>
            </w:r>
            <w:r>
              <w:rPr>
                <w:rFonts w:hint="eastAsia" w:eastAsia="方正仿宋_GBK"/>
                <w:color w:val="000000"/>
                <w:spacing w:val="-2"/>
                <w:kern w:val="0"/>
                <w:szCs w:val="21"/>
                <w:lang w:val="zh-CN"/>
              </w:rPr>
              <w:t>日</w:t>
            </w:r>
            <w:r>
              <w:rPr>
                <w:rFonts w:eastAsia="方正仿宋_GBK"/>
                <w:color w:val="000000"/>
                <w:spacing w:val="-2"/>
                <w:kern w:val="0"/>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464" w:hRule="atLeast"/>
          <w:jc w:val="center"/>
        </w:trPr>
        <w:tc>
          <w:tcPr>
            <w:tcW w:w="1288" w:type="dxa"/>
            <w:tcBorders>
              <w:top w:val="single" w:color="auto" w:sz="6" w:space="0"/>
              <w:left w:val="single" w:color="auto" w:sz="8" w:space="0"/>
              <w:bottom w:val="single" w:color="auto" w:sz="6" w:space="0"/>
              <w:right w:val="single" w:color="auto" w:sz="6" w:space="0"/>
            </w:tcBorders>
            <w:noWrap w:val="0"/>
            <w:vAlign w:val="center"/>
          </w:tcPr>
          <w:p>
            <w:pPr>
              <w:autoSpaceDE w:val="0"/>
              <w:autoSpaceDN w:val="0"/>
              <w:spacing w:line="240" w:lineRule="exact"/>
              <w:rPr>
                <w:rFonts w:eastAsia="方正仿宋_GBK"/>
                <w:color w:val="000000"/>
                <w:spacing w:val="-2"/>
                <w:kern w:val="0"/>
                <w:szCs w:val="21"/>
                <w:lang w:val="zh-CN"/>
              </w:rPr>
            </w:pPr>
            <w:r>
              <w:rPr>
                <w:rFonts w:hint="eastAsia" w:eastAsia="方正仿宋_GBK"/>
                <w:color w:val="000000"/>
                <w:spacing w:val="-2"/>
                <w:kern w:val="0"/>
                <w:szCs w:val="21"/>
                <w:lang w:val="zh-CN"/>
              </w:rPr>
              <w:t>省辖市装饰装修协会推荐意见</w:t>
            </w:r>
          </w:p>
        </w:tc>
        <w:tc>
          <w:tcPr>
            <w:tcW w:w="8224" w:type="dxa"/>
            <w:gridSpan w:val="6"/>
            <w:tcBorders>
              <w:top w:val="single" w:color="auto" w:sz="6" w:space="0"/>
              <w:left w:val="single" w:color="auto" w:sz="6" w:space="0"/>
              <w:bottom w:val="single" w:color="auto" w:sz="6" w:space="0"/>
              <w:right w:val="single" w:color="auto" w:sz="8" w:space="0"/>
            </w:tcBorders>
            <w:noWrap w:val="0"/>
            <w:vAlign w:val="top"/>
          </w:tcPr>
          <w:p>
            <w:pPr>
              <w:autoSpaceDE w:val="0"/>
              <w:autoSpaceDN w:val="0"/>
              <w:spacing w:line="240" w:lineRule="exact"/>
              <w:ind w:right="480"/>
              <w:jc w:val="left"/>
              <w:rPr>
                <w:rFonts w:eastAsia="方正仿宋_GBK"/>
                <w:color w:val="000000"/>
                <w:spacing w:val="-2"/>
                <w:kern w:val="0"/>
                <w:szCs w:val="21"/>
              </w:rPr>
            </w:pPr>
          </w:p>
          <w:p>
            <w:pPr>
              <w:autoSpaceDE w:val="0"/>
              <w:autoSpaceDN w:val="0"/>
              <w:spacing w:line="240" w:lineRule="exact"/>
              <w:ind w:right="480"/>
              <w:jc w:val="left"/>
              <w:rPr>
                <w:rFonts w:eastAsia="方正仿宋_GBK"/>
                <w:color w:val="000000"/>
                <w:spacing w:val="-2"/>
                <w:kern w:val="0"/>
                <w:szCs w:val="21"/>
              </w:rPr>
            </w:pPr>
          </w:p>
          <w:p>
            <w:pPr>
              <w:autoSpaceDE w:val="0"/>
              <w:autoSpaceDN w:val="0"/>
              <w:spacing w:line="240" w:lineRule="exact"/>
              <w:ind w:right="480"/>
              <w:jc w:val="left"/>
              <w:rPr>
                <w:rFonts w:eastAsia="方正仿宋_GBK"/>
                <w:color w:val="000000"/>
                <w:spacing w:val="-2"/>
                <w:kern w:val="0"/>
                <w:szCs w:val="21"/>
              </w:rPr>
            </w:pPr>
          </w:p>
          <w:p>
            <w:pPr>
              <w:autoSpaceDE w:val="0"/>
              <w:autoSpaceDN w:val="0"/>
              <w:spacing w:line="240" w:lineRule="exact"/>
              <w:ind w:right="480"/>
              <w:jc w:val="left"/>
              <w:rPr>
                <w:rFonts w:eastAsia="方正仿宋_GBK"/>
                <w:color w:val="000000"/>
                <w:spacing w:val="-2"/>
                <w:kern w:val="0"/>
                <w:szCs w:val="21"/>
              </w:rPr>
            </w:pPr>
          </w:p>
          <w:p>
            <w:pPr>
              <w:autoSpaceDE w:val="0"/>
              <w:autoSpaceDN w:val="0"/>
              <w:spacing w:line="240" w:lineRule="exact"/>
              <w:ind w:right="480"/>
              <w:jc w:val="left"/>
              <w:rPr>
                <w:rFonts w:eastAsia="方正仿宋_GBK"/>
                <w:color w:val="000000"/>
                <w:spacing w:val="-2"/>
                <w:kern w:val="0"/>
                <w:szCs w:val="21"/>
                <w:lang w:val="zh-CN"/>
              </w:rPr>
            </w:pPr>
            <w:r>
              <w:rPr>
                <w:rFonts w:eastAsia="方正仿宋_GBK"/>
                <w:color w:val="000000"/>
                <w:spacing w:val="-2"/>
                <w:kern w:val="0"/>
                <w:szCs w:val="21"/>
              </w:rPr>
              <w:t xml:space="preserve">                                         </w:t>
            </w:r>
          </w:p>
          <w:p>
            <w:pPr>
              <w:autoSpaceDE w:val="0"/>
              <w:autoSpaceDN w:val="0"/>
              <w:spacing w:line="240" w:lineRule="exact"/>
              <w:ind w:right="480" w:firstLine="4305" w:firstLineChars="2090"/>
              <w:rPr>
                <w:rFonts w:eastAsia="方正仿宋_GBK"/>
                <w:color w:val="000000"/>
                <w:spacing w:val="-2"/>
                <w:kern w:val="0"/>
                <w:szCs w:val="21"/>
                <w:lang w:val="zh-CN"/>
              </w:rPr>
            </w:pPr>
            <w:r>
              <w:rPr>
                <w:rFonts w:eastAsia="方正仿宋_GBK"/>
                <w:color w:val="000000"/>
                <w:spacing w:val="-2"/>
                <w:kern w:val="0"/>
                <w:szCs w:val="21"/>
              </w:rPr>
              <w:t xml:space="preserve">   </w:t>
            </w:r>
            <w:r>
              <w:rPr>
                <w:rFonts w:hint="eastAsia" w:eastAsia="方正仿宋_GBK"/>
                <w:color w:val="000000"/>
                <w:spacing w:val="-2"/>
                <w:kern w:val="0"/>
                <w:szCs w:val="21"/>
                <w:lang w:val="zh-CN"/>
              </w:rPr>
              <w:t>省辖市装饰装修协会（盖章）</w:t>
            </w:r>
          </w:p>
          <w:p>
            <w:pPr>
              <w:autoSpaceDE w:val="0"/>
              <w:autoSpaceDN w:val="0"/>
              <w:spacing w:line="240" w:lineRule="exact"/>
              <w:ind w:right="480" w:firstLine="4717" w:firstLineChars="2290"/>
              <w:rPr>
                <w:rFonts w:eastAsia="方正仿宋_GBK"/>
                <w:color w:val="000000"/>
                <w:spacing w:val="-2"/>
                <w:kern w:val="0"/>
                <w:szCs w:val="21"/>
                <w:lang w:val="zh-CN"/>
              </w:rPr>
            </w:pPr>
            <w:r>
              <w:rPr>
                <w:rFonts w:eastAsia="方正仿宋_GBK"/>
                <w:color w:val="000000"/>
                <w:spacing w:val="-2"/>
                <w:kern w:val="0"/>
                <w:szCs w:val="21"/>
              </w:rPr>
              <w:t xml:space="preserve">       </w:t>
            </w:r>
            <w:r>
              <w:rPr>
                <w:rFonts w:hint="eastAsia" w:eastAsia="方正仿宋_GBK"/>
                <w:color w:val="000000"/>
                <w:spacing w:val="-2"/>
                <w:kern w:val="0"/>
                <w:szCs w:val="21"/>
                <w:lang w:val="zh-CN"/>
              </w:rPr>
              <w:t>年</w:t>
            </w:r>
            <w:r>
              <w:rPr>
                <w:rFonts w:eastAsia="方正仿宋_GBK"/>
                <w:color w:val="000000"/>
                <w:spacing w:val="-2"/>
                <w:kern w:val="0"/>
                <w:szCs w:val="21"/>
                <w:lang w:val="zh-CN"/>
              </w:rPr>
              <w:t xml:space="preserve">   </w:t>
            </w:r>
            <w:r>
              <w:rPr>
                <w:rFonts w:hint="eastAsia" w:eastAsia="方正仿宋_GBK"/>
                <w:color w:val="000000"/>
                <w:spacing w:val="-2"/>
                <w:kern w:val="0"/>
                <w:szCs w:val="21"/>
                <w:lang w:val="zh-CN"/>
              </w:rPr>
              <w:t>月</w:t>
            </w:r>
            <w:r>
              <w:rPr>
                <w:rFonts w:eastAsia="方正仿宋_GBK"/>
                <w:color w:val="000000"/>
                <w:spacing w:val="-2"/>
                <w:kern w:val="0"/>
                <w:szCs w:val="21"/>
                <w:lang w:val="zh-CN"/>
              </w:rPr>
              <w:t xml:space="preserve">   </w:t>
            </w:r>
            <w:r>
              <w:rPr>
                <w:rFonts w:hint="eastAsia" w:eastAsia="方正仿宋_GBK"/>
                <w:color w:val="000000"/>
                <w:spacing w:val="-2"/>
                <w:kern w:val="0"/>
                <w:szCs w:val="21"/>
                <w:lang w:val="zh-CN"/>
              </w:rPr>
              <w:t>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514" w:hRule="atLeast"/>
          <w:jc w:val="center"/>
        </w:trPr>
        <w:tc>
          <w:tcPr>
            <w:tcW w:w="1288" w:type="dxa"/>
            <w:tcBorders>
              <w:top w:val="single" w:color="auto" w:sz="6" w:space="0"/>
              <w:left w:val="single" w:color="auto" w:sz="8" w:space="0"/>
              <w:bottom w:val="single" w:color="auto" w:sz="6" w:space="0"/>
              <w:right w:val="single" w:color="auto" w:sz="6" w:space="0"/>
            </w:tcBorders>
            <w:noWrap w:val="0"/>
            <w:vAlign w:val="center"/>
          </w:tcPr>
          <w:p>
            <w:pPr>
              <w:autoSpaceDE w:val="0"/>
              <w:autoSpaceDN w:val="0"/>
              <w:spacing w:line="240" w:lineRule="exact"/>
              <w:rPr>
                <w:rFonts w:eastAsia="方正仿宋_GBK"/>
                <w:color w:val="000000"/>
                <w:spacing w:val="-2"/>
                <w:kern w:val="0"/>
                <w:szCs w:val="21"/>
                <w:lang w:val="zh-CN"/>
              </w:rPr>
            </w:pPr>
            <w:r>
              <w:rPr>
                <w:rFonts w:hint="eastAsia" w:eastAsia="方正仿宋_GBK"/>
                <w:color w:val="000000"/>
                <w:spacing w:val="-2"/>
                <w:kern w:val="0"/>
                <w:szCs w:val="21"/>
                <w:lang w:val="zh-CN"/>
              </w:rPr>
              <w:t>省辖市住房和城乡建设部门推荐意见</w:t>
            </w:r>
          </w:p>
        </w:tc>
        <w:tc>
          <w:tcPr>
            <w:tcW w:w="8224" w:type="dxa"/>
            <w:gridSpan w:val="6"/>
            <w:tcBorders>
              <w:top w:val="single" w:color="auto" w:sz="6" w:space="0"/>
              <w:left w:val="single" w:color="auto" w:sz="6" w:space="0"/>
              <w:bottom w:val="single" w:color="auto" w:sz="6" w:space="0"/>
              <w:right w:val="single" w:color="auto" w:sz="8" w:space="0"/>
            </w:tcBorders>
            <w:noWrap w:val="0"/>
            <w:vAlign w:val="top"/>
          </w:tcPr>
          <w:p>
            <w:pPr>
              <w:autoSpaceDE w:val="0"/>
              <w:autoSpaceDN w:val="0"/>
              <w:spacing w:line="240" w:lineRule="exact"/>
              <w:ind w:right="480"/>
              <w:jc w:val="left"/>
              <w:rPr>
                <w:rFonts w:eastAsia="方正仿宋_GBK"/>
                <w:color w:val="000000"/>
                <w:spacing w:val="-2"/>
                <w:kern w:val="0"/>
                <w:szCs w:val="21"/>
              </w:rPr>
            </w:pPr>
          </w:p>
          <w:p>
            <w:pPr>
              <w:autoSpaceDE w:val="0"/>
              <w:autoSpaceDN w:val="0"/>
              <w:spacing w:line="240" w:lineRule="exact"/>
              <w:ind w:right="480"/>
              <w:jc w:val="left"/>
              <w:rPr>
                <w:rFonts w:eastAsia="方正仿宋_GBK"/>
                <w:color w:val="000000"/>
                <w:spacing w:val="-2"/>
                <w:kern w:val="0"/>
                <w:szCs w:val="21"/>
              </w:rPr>
            </w:pPr>
          </w:p>
          <w:p>
            <w:pPr>
              <w:autoSpaceDE w:val="0"/>
              <w:autoSpaceDN w:val="0"/>
              <w:spacing w:line="240" w:lineRule="exact"/>
              <w:ind w:right="480"/>
              <w:jc w:val="left"/>
              <w:rPr>
                <w:rFonts w:eastAsia="方正仿宋_GBK"/>
                <w:color w:val="000000"/>
                <w:spacing w:val="-2"/>
                <w:kern w:val="0"/>
                <w:szCs w:val="21"/>
              </w:rPr>
            </w:pPr>
          </w:p>
          <w:p>
            <w:pPr>
              <w:autoSpaceDE w:val="0"/>
              <w:autoSpaceDN w:val="0"/>
              <w:spacing w:line="240" w:lineRule="exact"/>
              <w:ind w:right="480" w:firstLine="4305" w:firstLineChars="2090"/>
              <w:rPr>
                <w:rFonts w:eastAsia="方正仿宋_GBK"/>
                <w:color w:val="000000"/>
                <w:spacing w:val="-2"/>
                <w:kern w:val="0"/>
                <w:szCs w:val="21"/>
              </w:rPr>
            </w:pPr>
          </w:p>
          <w:p>
            <w:pPr>
              <w:autoSpaceDE w:val="0"/>
              <w:autoSpaceDN w:val="0"/>
              <w:spacing w:line="240" w:lineRule="exact"/>
              <w:ind w:right="480" w:firstLine="4305" w:firstLineChars="2090"/>
              <w:rPr>
                <w:rFonts w:eastAsia="方正仿宋_GBK"/>
                <w:color w:val="000000"/>
                <w:spacing w:val="-2"/>
                <w:kern w:val="0"/>
                <w:szCs w:val="21"/>
                <w:lang w:val="zh-CN"/>
              </w:rPr>
            </w:pPr>
            <w:r>
              <w:rPr>
                <w:rFonts w:eastAsia="方正仿宋_GBK"/>
                <w:color w:val="000000"/>
                <w:spacing w:val="-2"/>
                <w:kern w:val="0"/>
                <w:szCs w:val="21"/>
              </w:rPr>
              <w:t xml:space="preserve">    </w:t>
            </w:r>
            <w:r>
              <w:rPr>
                <w:rFonts w:hint="eastAsia" w:eastAsia="方正仿宋_GBK"/>
                <w:color w:val="000000"/>
                <w:spacing w:val="-2"/>
                <w:kern w:val="0"/>
                <w:szCs w:val="21"/>
                <w:lang w:val="zh-CN"/>
              </w:rPr>
              <w:t>省辖市住房和城乡建设</w:t>
            </w:r>
          </w:p>
          <w:p>
            <w:pPr>
              <w:autoSpaceDE w:val="0"/>
              <w:autoSpaceDN w:val="0"/>
              <w:spacing w:line="240" w:lineRule="exact"/>
              <w:ind w:right="480" w:firstLine="4305" w:firstLineChars="2090"/>
              <w:rPr>
                <w:rFonts w:eastAsia="方正仿宋_GBK"/>
                <w:color w:val="000000"/>
                <w:spacing w:val="-2"/>
                <w:kern w:val="0"/>
                <w:szCs w:val="21"/>
                <w:lang w:val="zh-CN"/>
              </w:rPr>
            </w:pPr>
            <w:r>
              <w:rPr>
                <w:rFonts w:eastAsia="方正仿宋_GBK"/>
                <w:color w:val="000000"/>
                <w:spacing w:val="-2"/>
                <w:kern w:val="0"/>
                <w:szCs w:val="21"/>
              </w:rPr>
              <w:t xml:space="preserve">      </w:t>
            </w:r>
            <w:r>
              <w:rPr>
                <w:rFonts w:hint="eastAsia" w:eastAsia="方正仿宋_GBK"/>
                <w:color w:val="000000"/>
                <w:spacing w:val="-2"/>
                <w:kern w:val="0"/>
                <w:szCs w:val="21"/>
                <w:lang w:val="zh-CN"/>
              </w:rPr>
              <w:t>主管部门（盖章）</w:t>
            </w:r>
          </w:p>
          <w:p>
            <w:pPr>
              <w:autoSpaceDE w:val="0"/>
              <w:autoSpaceDN w:val="0"/>
              <w:spacing w:line="240" w:lineRule="exact"/>
              <w:ind w:right="480" w:firstLine="4841" w:firstLineChars="2350"/>
              <w:jc w:val="left"/>
              <w:rPr>
                <w:rFonts w:eastAsia="方正仿宋_GBK"/>
                <w:color w:val="000000"/>
                <w:spacing w:val="-2"/>
                <w:kern w:val="0"/>
                <w:szCs w:val="21"/>
              </w:rPr>
            </w:pPr>
            <w:r>
              <w:rPr>
                <w:rFonts w:eastAsia="方正仿宋_GBK"/>
                <w:color w:val="000000"/>
                <w:spacing w:val="-2"/>
                <w:kern w:val="0"/>
                <w:szCs w:val="21"/>
              </w:rPr>
              <w:t xml:space="preserve">      </w:t>
            </w:r>
            <w:r>
              <w:rPr>
                <w:rFonts w:hint="eastAsia" w:eastAsia="方正仿宋_GBK"/>
                <w:color w:val="000000"/>
                <w:spacing w:val="-2"/>
                <w:kern w:val="0"/>
                <w:szCs w:val="21"/>
                <w:lang w:val="zh-CN"/>
              </w:rPr>
              <w:t>年</w:t>
            </w:r>
            <w:r>
              <w:rPr>
                <w:rFonts w:eastAsia="方正仿宋_GBK"/>
                <w:color w:val="000000"/>
                <w:spacing w:val="-2"/>
                <w:kern w:val="0"/>
                <w:szCs w:val="21"/>
                <w:lang w:val="zh-CN"/>
              </w:rPr>
              <w:t xml:space="preserve">   </w:t>
            </w:r>
            <w:r>
              <w:rPr>
                <w:rFonts w:hint="eastAsia" w:eastAsia="方正仿宋_GBK"/>
                <w:color w:val="000000"/>
                <w:spacing w:val="-2"/>
                <w:kern w:val="0"/>
                <w:szCs w:val="21"/>
                <w:lang w:val="zh-CN"/>
              </w:rPr>
              <w:t>月</w:t>
            </w:r>
            <w:r>
              <w:rPr>
                <w:rFonts w:eastAsia="方正仿宋_GBK"/>
                <w:color w:val="000000"/>
                <w:spacing w:val="-2"/>
                <w:kern w:val="0"/>
                <w:szCs w:val="21"/>
                <w:lang w:val="zh-CN"/>
              </w:rPr>
              <w:t xml:space="preserve">   </w:t>
            </w:r>
            <w:r>
              <w:rPr>
                <w:rFonts w:hint="eastAsia" w:eastAsia="方正仿宋_GBK"/>
                <w:color w:val="000000"/>
                <w:spacing w:val="-2"/>
                <w:kern w:val="0"/>
                <w:szCs w:val="21"/>
                <w:lang w:val="zh-CN"/>
              </w:rPr>
              <w:t>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448" w:hRule="atLeast"/>
          <w:jc w:val="center"/>
        </w:trPr>
        <w:tc>
          <w:tcPr>
            <w:tcW w:w="1288" w:type="dxa"/>
            <w:tcBorders>
              <w:top w:val="single" w:color="auto" w:sz="6" w:space="0"/>
              <w:left w:val="single" w:color="auto" w:sz="8" w:space="0"/>
              <w:bottom w:val="single" w:color="auto" w:sz="6" w:space="0"/>
              <w:right w:val="single" w:color="auto" w:sz="6" w:space="0"/>
            </w:tcBorders>
            <w:noWrap w:val="0"/>
            <w:vAlign w:val="center"/>
          </w:tcPr>
          <w:p>
            <w:pPr>
              <w:autoSpaceDE w:val="0"/>
              <w:autoSpaceDN w:val="0"/>
              <w:spacing w:line="240" w:lineRule="exact"/>
              <w:rPr>
                <w:rFonts w:eastAsia="方正仿宋_GBK"/>
                <w:color w:val="000000"/>
                <w:spacing w:val="-2"/>
                <w:kern w:val="0"/>
                <w:szCs w:val="21"/>
                <w:lang w:val="zh-CN"/>
              </w:rPr>
            </w:pPr>
            <w:r>
              <w:rPr>
                <w:rFonts w:hint="eastAsia" w:eastAsia="方正仿宋_GBK"/>
                <w:color w:val="000000"/>
                <w:spacing w:val="-2"/>
                <w:kern w:val="0"/>
                <w:szCs w:val="21"/>
                <w:lang w:val="zh-CN"/>
              </w:rPr>
              <w:t>评价委员会审核意见</w:t>
            </w:r>
          </w:p>
        </w:tc>
        <w:tc>
          <w:tcPr>
            <w:tcW w:w="8224" w:type="dxa"/>
            <w:gridSpan w:val="6"/>
            <w:tcBorders>
              <w:top w:val="single" w:color="auto" w:sz="6" w:space="0"/>
              <w:left w:val="single" w:color="auto" w:sz="6" w:space="0"/>
              <w:bottom w:val="single" w:color="auto" w:sz="6" w:space="0"/>
              <w:right w:val="single" w:color="auto" w:sz="8" w:space="0"/>
            </w:tcBorders>
            <w:noWrap w:val="0"/>
            <w:vAlign w:val="top"/>
          </w:tcPr>
          <w:p>
            <w:pPr>
              <w:autoSpaceDE w:val="0"/>
              <w:autoSpaceDN w:val="0"/>
              <w:spacing w:line="240" w:lineRule="exact"/>
              <w:ind w:firstLine="4099" w:firstLineChars="1990"/>
              <w:jc w:val="left"/>
              <w:rPr>
                <w:rFonts w:eastAsia="方正仿宋_GBK"/>
                <w:color w:val="000000"/>
                <w:spacing w:val="-2"/>
                <w:kern w:val="0"/>
                <w:szCs w:val="21"/>
                <w:lang w:val="zh-CN"/>
              </w:rPr>
            </w:pPr>
          </w:p>
          <w:p>
            <w:pPr>
              <w:autoSpaceDE w:val="0"/>
              <w:autoSpaceDN w:val="0"/>
              <w:spacing w:line="240" w:lineRule="exact"/>
              <w:ind w:firstLine="4099" w:firstLineChars="1990"/>
              <w:jc w:val="left"/>
              <w:rPr>
                <w:rFonts w:eastAsia="方正仿宋_GBK"/>
                <w:color w:val="000000"/>
                <w:spacing w:val="-2"/>
                <w:kern w:val="0"/>
                <w:szCs w:val="21"/>
                <w:lang w:val="zh-CN"/>
              </w:rPr>
            </w:pPr>
          </w:p>
          <w:p>
            <w:pPr>
              <w:autoSpaceDE w:val="0"/>
              <w:autoSpaceDN w:val="0"/>
              <w:spacing w:line="240" w:lineRule="exact"/>
              <w:ind w:firstLine="4099" w:firstLineChars="1990"/>
              <w:jc w:val="left"/>
              <w:rPr>
                <w:rFonts w:eastAsia="方正仿宋_GBK"/>
                <w:color w:val="000000"/>
                <w:spacing w:val="-2"/>
                <w:kern w:val="0"/>
                <w:szCs w:val="21"/>
                <w:lang w:val="zh-CN"/>
              </w:rPr>
            </w:pPr>
          </w:p>
          <w:p>
            <w:pPr>
              <w:autoSpaceDE w:val="0"/>
              <w:autoSpaceDN w:val="0"/>
              <w:spacing w:line="240" w:lineRule="exact"/>
              <w:ind w:firstLine="4099" w:firstLineChars="1990"/>
              <w:jc w:val="left"/>
              <w:rPr>
                <w:rFonts w:eastAsia="方正仿宋_GBK"/>
                <w:color w:val="000000"/>
                <w:spacing w:val="-2"/>
                <w:kern w:val="0"/>
                <w:szCs w:val="21"/>
                <w:lang w:val="zh-CN"/>
              </w:rPr>
            </w:pPr>
          </w:p>
          <w:p>
            <w:pPr>
              <w:autoSpaceDE w:val="0"/>
              <w:autoSpaceDN w:val="0"/>
              <w:spacing w:line="240" w:lineRule="exact"/>
              <w:ind w:firstLine="4099" w:firstLineChars="1990"/>
              <w:jc w:val="left"/>
              <w:rPr>
                <w:rFonts w:eastAsia="方正仿宋_GBK"/>
                <w:color w:val="000000"/>
                <w:spacing w:val="-2"/>
                <w:kern w:val="0"/>
                <w:szCs w:val="21"/>
                <w:lang w:val="zh-CN"/>
              </w:rPr>
            </w:pPr>
          </w:p>
          <w:p>
            <w:pPr>
              <w:autoSpaceDE w:val="0"/>
              <w:autoSpaceDN w:val="0"/>
              <w:spacing w:line="240" w:lineRule="exact"/>
              <w:ind w:firstLine="4511" w:firstLineChars="2190"/>
              <w:jc w:val="left"/>
              <w:rPr>
                <w:rFonts w:eastAsia="方正仿宋_GBK"/>
                <w:color w:val="000000"/>
                <w:spacing w:val="-2"/>
                <w:kern w:val="0"/>
                <w:szCs w:val="21"/>
                <w:lang w:val="zh-CN"/>
              </w:rPr>
            </w:pPr>
            <w:r>
              <w:rPr>
                <w:rFonts w:eastAsia="方正仿宋_GBK"/>
                <w:color w:val="000000"/>
                <w:spacing w:val="-2"/>
                <w:kern w:val="0"/>
                <w:szCs w:val="21"/>
              </w:rPr>
              <w:t xml:space="preserve">    </w:t>
            </w:r>
            <w:r>
              <w:rPr>
                <w:rFonts w:hint="eastAsia" w:eastAsia="方正仿宋_GBK"/>
                <w:color w:val="000000"/>
                <w:spacing w:val="-2"/>
                <w:kern w:val="0"/>
                <w:szCs w:val="21"/>
                <w:lang w:val="zh-CN"/>
              </w:rPr>
              <w:t>评价委员会主任签章</w:t>
            </w:r>
          </w:p>
          <w:p>
            <w:pPr>
              <w:autoSpaceDE w:val="0"/>
              <w:autoSpaceDN w:val="0"/>
              <w:spacing w:line="240" w:lineRule="exact"/>
              <w:ind w:firstLine="4820" w:firstLineChars="2340"/>
              <w:jc w:val="left"/>
              <w:rPr>
                <w:rFonts w:eastAsia="方正仿宋_GBK"/>
                <w:color w:val="000000"/>
                <w:spacing w:val="-2"/>
                <w:kern w:val="0"/>
                <w:szCs w:val="21"/>
                <w:lang w:val="zh-CN"/>
              </w:rPr>
            </w:pPr>
            <w:r>
              <w:rPr>
                <w:rFonts w:eastAsia="方正仿宋_GBK"/>
                <w:color w:val="000000"/>
                <w:spacing w:val="-2"/>
                <w:kern w:val="0"/>
                <w:szCs w:val="21"/>
              </w:rPr>
              <w:t xml:space="preserve">      </w:t>
            </w:r>
            <w:r>
              <w:rPr>
                <w:rFonts w:hint="eastAsia" w:eastAsia="方正仿宋_GBK"/>
                <w:color w:val="000000"/>
                <w:spacing w:val="-2"/>
                <w:kern w:val="0"/>
                <w:szCs w:val="21"/>
                <w:lang w:val="zh-CN"/>
              </w:rPr>
              <w:t>年</w:t>
            </w:r>
            <w:r>
              <w:rPr>
                <w:rFonts w:eastAsia="方正仿宋_GBK"/>
                <w:color w:val="000000"/>
                <w:spacing w:val="-2"/>
                <w:kern w:val="0"/>
                <w:szCs w:val="21"/>
                <w:lang w:val="zh-CN"/>
              </w:rPr>
              <w:t xml:space="preserve">   </w:t>
            </w:r>
            <w:r>
              <w:rPr>
                <w:rFonts w:hint="eastAsia" w:eastAsia="方正仿宋_GBK"/>
                <w:color w:val="000000"/>
                <w:spacing w:val="-2"/>
                <w:kern w:val="0"/>
                <w:szCs w:val="21"/>
                <w:lang w:val="zh-CN"/>
              </w:rPr>
              <w:t>月</w:t>
            </w:r>
            <w:r>
              <w:rPr>
                <w:rFonts w:eastAsia="方正仿宋_GBK"/>
                <w:color w:val="000000"/>
                <w:spacing w:val="-2"/>
                <w:kern w:val="0"/>
                <w:szCs w:val="21"/>
                <w:lang w:val="zh-CN"/>
              </w:rPr>
              <w:t xml:space="preserve">   </w:t>
            </w:r>
            <w:r>
              <w:rPr>
                <w:rFonts w:hint="eastAsia" w:eastAsia="方正仿宋_GBK"/>
                <w:color w:val="000000"/>
                <w:spacing w:val="-2"/>
                <w:kern w:val="0"/>
                <w:szCs w:val="21"/>
                <w:lang w:val="zh-CN"/>
              </w:rPr>
              <w:t>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687" w:hRule="atLeast"/>
          <w:jc w:val="center"/>
        </w:trPr>
        <w:tc>
          <w:tcPr>
            <w:tcW w:w="1288" w:type="dxa"/>
            <w:tcBorders>
              <w:top w:val="single" w:color="auto" w:sz="6" w:space="0"/>
              <w:left w:val="single" w:color="auto" w:sz="8" w:space="0"/>
              <w:bottom w:val="single" w:color="auto" w:sz="8" w:space="0"/>
              <w:right w:val="single" w:color="auto" w:sz="6" w:space="0"/>
            </w:tcBorders>
            <w:noWrap w:val="0"/>
            <w:vAlign w:val="center"/>
          </w:tcPr>
          <w:p>
            <w:pPr>
              <w:autoSpaceDE w:val="0"/>
              <w:autoSpaceDN w:val="0"/>
              <w:spacing w:line="240" w:lineRule="exact"/>
              <w:rPr>
                <w:rFonts w:eastAsia="方正仿宋_GBK"/>
                <w:color w:val="000000"/>
                <w:spacing w:val="-2"/>
                <w:kern w:val="0"/>
                <w:szCs w:val="21"/>
                <w:lang w:val="zh-CN"/>
              </w:rPr>
            </w:pPr>
            <w:r>
              <w:rPr>
                <w:rFonts w:hint="eastAsia" w:eastAsia="方正仿宋_GBK"/>
                <w:color w:val="000000"/>
                <w:spacing w:val="-2"/>
                <w:kern w:val="0"/>
                <w:szCs w:val="21"/>
                <w:lang w:val="zh-CN"/>
              </w:rPr>
              <w:t>省级主管部门评审意见</w:t>
            </w:r>
          </w:p>
        </w:tc>
        <w:tc>
          <w:tcPr>
            <w:tcW w:w="8224" w:type="dxa"/>
            <w:gridSpan w:val="6"/>
            <w:tcBorders>
              <w:top w:val="single" w:color="auto" w:sz="6" w:space="0"/>
              <w:left w:val="single" w:color="auto" w:sz="6" w:space="0"/>
              <w:bottom w:val="single" w:color="auto" w:sz="8" w:space="0"/>
              <w:right w:val="single" w:color="auto" w:sz="8" w:space="0"/>
            </w:tcBorders>
            <w:noWrap w:val="0"/>
            <w:vAlign w:val="top"/>
          </w:tcPr>
          <w:p>
            <w:pPr>
              <w:autoSpaceDE w:val="0"/>
              <w:autoSpaceDN w:val="0"/>
              <w:spacing w:line="240" w:lineRule="exact"/>
              <w:jc w:val="left"/>
              <w:rPr>
                <w:rFonts w:eastAsia="方正仿宋_GBK"/>
                <w:color w:val="000000"/>
                <w:spacing w:val="-2"/>
                <w:kern w:val="0"/>
                <w:szCs w:val="21"/>
                <w:lang w:val="zh-CN"/>
              </w:rPr>
            </w:pPr>
          </w:p>
          <w:p>
            <w:pPr>
              <w:autoSpaceDE w:val="0"/>
              <w:autoSpaceDN w:val="0"/>
              <w:spacing w:line="240" w:lineRule="exact"/>
              <w:jc w:val="left"/>
              <w:rPr>
                <w:rFonts w:eastAsia="方正仿宋_GBK"/>
                <w:color w:val="000000"/>
                <w:spacing w:val="-2"/>
                <w:kern w:val="0"/>
                <w:szCs w:val="21"/>
                <w:lang w:val="zh-CN"/>
              </w:rPr>
            </w:pPr>
          </w:p>
          <w:p>
            <w:pPr>
              <w:autoSpaceDE w:val="0"/>
              <w:autoSpaceDN w:val="0"/>
              <w:spacing w:line="240" w:lineRule="exact"/>
              <w:jc w:val="left"/>
              <w:rPr>
                <w:rFonts w:eastAsia="方正仿宋_GBK"/>
                <w:color w:val="000000"/>
                <w:spacing w:val="-2"/>
                <w:kern w:val="0"/>
                <w:szCs w:val="21"/>
                <w:lang w:val="zh-CN"/>
              </w:rPr>
            </w:pPr>
          </w:p>
          <w:p>
            <w:pPr>
              <w:autoSpaceDE w:val="0"/>
              <w:autoSpaceDN w:val="0"/>
              <w:spacing w:line="240" w:lineRule="exact"/>
              <w:jc w:val="left"/>
              <w:rPr>
                <w:rFonts w:eastAsia="方正仿宋_GBK"/>
                <w:color w:val="000000"/>
                <w:spacing w:val="-2"/>
                <w:kern w:val="0"/>
                <w:szCs w:val="21"/>
                <w:lang w:val="zh-CN"/>
              </w:rPr>
            </w:pPr>
          </w:p>
          <w:p>
            <w:pPr>
              <w:autoSpaceDE w:val="0"/>
              <w:autoSpaceDN w:val="0"/>
              <w:spacing w:line="240" w:lineRule="exact"/>
              <w:jc w:val="left"/>
              <w:rPr>
                <w:rFonts w:eastAsia="方正仿宋_GBK"/>
                <w:color w:val="000000"/>
                <w:spacing w:val="-2"/>
                <w:kern w:val="0"/>
                <w:szCs w:val="21"/>
              </w:rPr>
            </w:pPr>
            <w:r>
              <w:rPr>
                <w:rFonts w:eastAsia="方正仿宋_GBK"/>
                <w:color w:val="000000"/>
                <w:spacing w:val="-2"/>
                <w:kern w:val="0"/>
                <w:szCs w:val="21"/>
              </w:rPr>
              <w:t xml:space="preserve">                                                </w:t>
            </w:r>
            <w:r>
              <w:rPr>
                <w:rFonts w:hint="eastAsia" w:eastAsia="方正仿宋_GBK"/>
                <w:color w:val="000000"/>
                <w:spacing w:val="-2"/>
                <w:kern w:val="0"/>
                <w:szCs w:val="21"/>
              </w:rPr>
              <w:t>省装饰装修发展中心、</w:t>
            </w:r>
          </w:p>
          <w:p>
            <w:pPr>
              <w:autoSpaceDE w:val="0"/>
              <w:autoSpaceDN w:val="0"/>
              <w:spacing w:line="240" w:lineRule="exact"/>
              <w:ind w:firstLine="4202" w:firstLineChars="2040"/>
              <w:jc w:val="left"/>
              <w:rPr>
                <w:rFonts w:eastAsia="方正仿宋_GBK"/>
                <w:color w:val="000000"/>
                <w:spacing w:val="-2"/>
                <w:kern w:val="0"/>
                <w:szCs w:val="21"/>
                <w:lang w:val="zh-CN"/>
              </w:rPr>
            </w:pPr>
            <w:r>
              <w:rPr>
                <w:rFonts w:eastAsia="方正仿宋_GBK"/>
                <w:color w:val="000000"/>
                <w:spacing w:val="-2"/>
                <w:kern w:val="0"/>
                <w:szCs w:val="21"/>
              </w:rPr>
              <w:t xml:space="preserve">       </w:t>
            </w:r>
            <w:r>
              <w:rPr>
                <w:rFonts w:hint="eastAsia" w:eastAsia="方正仿宋_GBK"/>
                <w:color w:val="000000"/>
                <w:spacing w:val="-2"/>
                <w:kern w:val="0"/>
                <w:szCs w:val="21"/>
                <w:lang w:val="zh-CN"/>
              </w:rPr>
              <w:t>省装协装修协会（盖章）</w:t>
            </w:r>
          </w:p>
          <w:p>
            <w:pPr>
              <w:autoSpaceDE w:val="0"/>
              <w:autoSpaceDN w:val="0"/>
              <w:spacing w:line="240" w:lineRule="exact"/>
              <w:ind w:firstLine="4717" w:firstLineChars="2290"/>
              <w:jc w:val="left"/>
              <w:rPr>
                <w:rFonts w:eastAsia="方正仿宋_GBK"/>
                <w:color w:val="000000"/>
                <w:spacing w:val="-2"/>
                <w:kern w:val="0"/>
                <w:szCs w:val="21"/>
                <w:lang w:val="zh-CN"/>
              </w:rPr>
            </w:pPr>
            <w:r>
              <w:rPr>
                <w:rFonts w:eastAsia="方正仿宋_GBK"/>
                <w:color w:val="000000"/>
                <w:spacing w:val="-2"/>
                <w:kern w:val="0"/>
                <w:szCs w:val="21"/>
              </w:rPr>
              <w:t xml:space="preserve">       </w:t>
            </w:r>
            <w:r>
              <w:rPr>
                <w:rFonts w:hint="eastAsia" w:eastAsia="方正仿宋_GBK"/>
                <w:color w:val="000000"/>
                <w:spacing w:val="-2"/>
                <w:kern w:val="0"/>
                <w:szCs w:val="21"/>
                <w:lang w:val="zh-CN"/>
              </w:rPr>
              <w:t>年</w:t>
            </w:r>
            <w:r>
              <w:rPr>
                <w:rFonts w:eastAsia="方正仿宋_GBK"/>
                <w:color w:val="000000"/>
                <w:spacing w:val="-2"/>
                <w:kern w:val="0"/>
                <w:szCs w:val="21"/>
                <w:lang w:val="zh-CN"/>
              </w:rPr>
              <w:t xml:space="preserve">   </w:t>
            </w:r>
            <w:r>
              <w:rPr>
                <w:rFonts w:hint="eastAsia" w:eastAsia="方正仿宋_GBK"/>
                <w:color w:val="000000"/>
                <w:spacing w:val="-2"/>
                <w:kern w:val="0"/>
                <w:szCs w:val="21"/>
                <w:lang w:val="zh-CN"/>
              </w:rPr>
              <w:t>月</w:t>
            </w:r>
            <w:r>
              <w:rPr>
                <w:rFonts w:eastAsia="方正仿宋_GBK"/>
                <w:color w:val="000000"/>
                <w:spacing w:val="-2"/>
                <w:kern w:val="0"/>
                <w:szCs w:val="21"/>
                <w:lang w:val="zh-CN"/>
              </w:rPr>
              <w:t xml:space="preserve">   </w:t>
            </w:r>
            <w:r>
              <w:rPr>
                <w:rFonts w:hint="eastAsia" w:eastAsia="方正仿宋_GBK"/>
                <w:color w:val="000000"/>
                <w:spacing w:val="-2"/>
                <w:kern w:val="0"/>
                <w:szCs w:val="21"/>
                <w:lang w:val="zh-CN"/>
              </w:rPr>
              <w:t>日</w:t>
            </w:r>
          </w:p>
        </w:tc>
      </w:tr>
    </w:tbl>
    <w:p/>
    <w:p>
      <w:pPr>
        <w:spacing w:line="460" w:lineRule="exact"/>
        <w:rPr>
          <w:rFonts w:eastAsia="方正仿宋_GBK"/>
          <w:color w:val="000000"/>
          <w:spacing w:val="-2"/>
          <w:sz w:val="24"/>
        </w:rPr>
      </w:pPr>
    </w:p>
    <w:p>
      <w:pPr>
        <w:pStyle w:val="2"/>
        <w:spacing w:before="240" w:beforeLines="100" w:after="240" w:afterLines="100" w:line="240" w:lineRule="auto"/>
        <w:jc w:val="center"/>
        <w:rPr>
          <w:rFonts w:ascii="Times New Roman" w:eastAsia="方正小标宋_GBK"/>
          <w:b w:val="0"/>
          <w:sz w:val="36"/>
          <w:szCs w:val="36"/>
        </w:rPr>
      </w:pPr>
      <w:bookmarkStart w:id="48" w:name="_Toc20726300"/>
      <w:bookmarkStart w:id="49" w:name="_Toc18315380"/>
      <w:r>
        <w:rPr>
          <w:rFonts w:hint="eastAsia" w:ascii="Times New Roman" w:eastAsia="方正小标宋_GBK"/>
          <w:b w:val="0"/>
          <w:sz w:val="36"/>
          <w:szCs w:val="36"/>
        </w:rPr>
        <w:t>关于无动力生活污水净化装置有关问题的通知</w:t>
      </w:r>
      <w:bookmarkEnd w:id="48"/>
      <w:bookmarkEnd w:id="49"/>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50" w:name="_Toc18315381"/>
      <w:bookmarkStart w:id="51" w:name="_Toc20726301"/>
      <w:r>
        <w:rPr>
          <w:rFonts w:hint="eastAsia" w:ascii="Times New Roman" w:hAnsi="Times New Roman" w:eastAsia="方正楷体_GBK"/>
          <w:b w:val="0"/>
          <w:sz w:val="24"/>
          <w:szCs w:val="24"/>
        </w:rPr>
        <w:t>苏建城〔</w:t>
      </w:r>
      <w:r>
        <w:rPr>
          <w:rFonts w:ascii="Times New Roman" w:hAnsi="Times New Roman" w:eastAsia="方正楷体_GBK"/>
          <w:b w:val="0"/>
          <w:sz w:val="24"/>
          <w:szCs w:val="24"/>
        </w:rPr>
        <w:t>2001</w:t>
      </w:r>
      <w:r>
        <w:rPr>
          <w:rFonts w:hint="eastAsia" w:ascii="Times New Roman" w:hAnsi="Times New Roman" w:eastAsia="方正楷体_GBK"/>
          <w:b w:val="0"/>
          <w:sz w:val="24"/>
          <w:szCs w:val="24"/>
        </w:rPr>
        <w:t>〕</w:t>
      </w:r>
      <w:r>
        <w:rPr>
          <w:rFonts w:ascii="Times New Roman" w:hAnsi="Times New Roman" w:eastAsia="方正楷体_GBK"/>
          <w:b w:val="0"/>
          <w:sz w:val="24"/>
          <w:szCs w:val="24"/>
        </w:rPr>
        <w:t>127</w:t>
      </w:r>
      <w:r>
        <w:rPr>
          <w:rFonts w:hint="eastAsia" w:ascii="Times New Roman" w:hAnsi="Times New Roman" w:eastAsia="方正楷体_GBK"/>
          <w:b w:val="0"/>
          <w:sz w:val="24"/>
          <w:szCs w:val="24"/>
        </w:rPr>
        <w:t>号</w:t>
      </w:r>
      <w:bookmarkEnd w:id="50"/>
      <w:bookmarkEnd w:id="51"/>
    </w:p>
    <w:p>
      <w:pPr>
        <w:spacing w:line="460" w:lineRule="exact"/>
        <w:rPr>
          <w:rFonts w:eastAsia="方正仿宋_GBK"/>
          <w:color w:val="000000"/>
          <w:spacing w:val="-2"/>
          <w:sz w:val="24"/>
        </w:rPr>
      </w:pPr>
      <w:r>
        <w:rPr>
          <w:rFonts w:hint="eastAsia" w:eastAsia="方正仿宋_GBK"/>
          <w:color w:val="000000"/>
          <w:spacing w:val="-2"/>
          <w:sz w:val="24"/>
        </w:rPr>
        <w:t>各市建委、环保局、科委：</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无动力生活污水净化装置是九十年代初研制开发的。该</w:t>
      </w:r>
      <w:r>
        <w:rPr>
          <w:rFonts w:eastAsia="方正仿宋_GBK"/>
          <w:color w:val="000000"/>
          <w:spacing w:val="-2"/>
          <w:sz w:val="24"/>
        </w:rPr>
        <w:t>“</w:t>
      </w:r>
      <w:r>
        <w:rPr>
          <w:rFonts w:hint="eastAsia" w:eastAsia="方正仿宋_GBK"/>
          <w:color w:val="000000"/>
          <w:spacing w:val="-2"/>
          <w:sz w:val="24"/>
        </w:rPr>
        <w:t>装置</w:t>
      </w:r>
      <w:r>
        <w:rPr>
          <w:rFonts w:eastAsia="方正仿宋_GBK"/>
          <w:color w:val="000000"/>
          <w:spacing w:val="-2"/>
          <w:sz w:val="24"/>
        </w:rPr>
        <w:t>”</w:t>
      </w:r>
      <w:r>
        <w:rPr>
          <w:rFonts w:hint="eastAsia" w:eastAsia="方正仿宋_GBK"/>
          <w:color w:val="000000"/>
          <w:spacing w:val="-2"/>
          <w:sz w:val="24"/>
        </w:rPr>
        <w:t>对于削减生活污水污染物有一定的作用，但从实际使用情况来看，在技术工艺、运行管理和处理效果等方面还存在一定问题，为此，经过大量的调查研究和听取专家意见，并请示国家环保总局和建设部，现就该</w:t>
      </w:r>
      <w:r>
        <w:rPr>
          <w:rFonts w:eastAsia="方正仿宋_GBK"/>
          <w:color w:val="000000"/>
          <w:spacing w:val="-2"/>
          <w:sz w:val="24"/>
        </w:rPr>
        <w:t>“</w:t>
      </w:r>
      <w:r>
        <w:rPr>
          <w:rFonts w:hint="eastAsia" w:eastAsia="方正仿宋_GBK"/>
          <w:color w:val="000000"/>
          <w:spacing w:val="-2"/>
          <w:sz w:val="24"/>
        </w:rPr>
        <w:t>装置</w:t>
      </w:r>
      <w:r>
        <w:rPr>
          <w:rFonts w:eastAsia="方正仿宋_GBK"/>
          <w:color w:val="000000"/>
          <w:spacing w:val="-2"/>
          <w:sz w:val="24"/>
        </w:rPr>
        <w:t>”</w:t>
      </w:r>
      <w:r>
        <w:rPr>
          <w:rFonts w:hint="eastAsia" w:eastAsia="方正仿宋_GBK"/>
          <w:color w:val="000000"/>
          <w:spacing w:val="-2"/>
          <w:sz w:val="24"/>
        </w:rPr>
        <w:t>有关问题通知如下：</w:t>
      </w:r>
    </w:p>
    <w:p>
      <w:pPr>
        <w:spacing w:line="460" w:lineRule="exact"/>
        <w:ind w:firstLine="472" w:firstLineChars="200"/>
        <w:rPr>
          <w:rFonts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城市污水处理必须坚持以集中建厂处理污水为主的原则。各地要认真贯彻执行《中华人民共和国水污染防治法》、《城市污水处理及污染防治技术政策》和国家有关城市排水产业政策，编制城市排水专业规划，切实加快城市污水处理工程建设步伐。为避免重复投资，今后，凡在已建或在建的城市污水处理厂服务区内新建居民住宅或公共建筑物，除餐饮业废水需建隔油池外，无需自行建设化粪池以及其他类似的生活污水处理设施，其污水可直接接入城市污水管道，送至城市污水处理厂进行处理。</w:t>
      </w:r>
    </w:p>
    <w:p>
      <w:pPr>
        <w:spacing w:line="460" w:lineRule="exact"/>
        <w:ind w:firstLine="472" w:firstLineChars="200"/>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无动力生活污水净化装置为强化化粪池工艺，可以作为城市污水处理厂服务区以外的边远地区以及无集中处理条件、分散生活污水处理的辅助性过度处理措施，不能代替成熟的生物二级处理技术，各地不宜用行政手段强制推广使用该类技术。</w:t>
      </w:r>
    </w:p>
    <w:p>
      <w:pPr>
        <w:spacing w:line="460" w:lineRule="exact"/>
        <w:ind w:firstLine="472" w:firstLineChars="200"/>
        <w:rPr>
          <w:rFonts w:eastAsia="方正仿宋_GBK"/>
          <w:color w:val="000000"/>
          <w:spacing w:val="-4"/>
          <w:sz w:val="24"/>
        </w:rPr>
      </w:pPr>
      <w:r>
        <w:rPr>
          <w:rFonts w:eastAsia="方正仿宋_GBK"/>
          <w:color w:val="000000"/>
          <w:spacing w:val="-2"/>
          <w:sz w:val="24"/>
        </w:rPr>
        <w:t>3</w:t>
      </w:r>
      <w:r>
        <w:rPr>
          <w:rFonts w:hint="eastAsia" w:eastAsia="方正仿宋_GBK"/>
          <w:color w:val="000000"/>
          <w:spacing w:val="-2"/>
          <w:sz w:val="24"/>
        </w:rPr>
        <w:t>、</w:t>
      </w:r>
      <w:r>
        <w:rPr>
          <w:rFonts w:hint="eastAsia" w:eastAsia="方正仿宋_GBK"/>
          <w:color w:val="000000"/>
          <w:spacing w:val="-4"/>
          <w:sz w:val="24"/>
        </w:rPr>
        <w:t>要加强对分散型生活污水处理设施的科研和管理工作。各有关部门要组织技术力量和筹集科研经费，重点扶持研究先进、高效、经济实用的分散型生活污水处理技术和设施。要规范设计和施工市场管理，把好设计、施工质量关。要加强监督管理力度，近期，建设、环保、科技部门要对已建的各类分散型生活污水处理设施进行一次全面检查，凡建设不规范、特别是存在安全隐患的，要限期整改，确保设施正常运行。</w:t>
      </w:r>
    </w:p>
    <w:p>
      <w:pPr>
        <w:spacing w:line="460" w:lineRule="exact"/>
        <w:rPr>
          <w:rFonts w:eastAsia="方正仿宋_GBK"/>
          <w:color w:val="000000"/>
          <w:spacing w:val="-2"/>
          <w:sz w:val="24"/>
        </w:rPr>
      </w:pPr>
    </w:p>
    <w:p>
      <w:pPr>
        <w:pStyle w:val="18"/>
        <w:wordWrap w:val="0"/>
        <w:spacing w:line="460" w:lineRule="exact"/>
        <w:ind w:left="720" w:firstLine="0" w:firstLineChars="0"/>
        <w:jc w:val="right"/>
        <w:rPr>
          <w:rFonts w:eastAsia="方正仿宋_GBK"/>
          <w:color w:val="000000"/>
          <w:spacing w:val="-2"/>
          <w:sz w:val="24"/>
        </w:rPr>
      </w:pPr>
      <w:r>
        <w:rPr>
          <w:rFonts w:hint="eastAsia" w:eastAsia="方正仿宋_GBK"/>
          <w:color w:val="000000"/>
          <w:spacing w:val="-2"/>
          <w:sz w:val="24"/>
        </w:rPr>
        <w:t>江苏省建设厅</w:t>
      </w:r>
      <w:r>
        <w:rPr>
          <w:rFonts w:eastAsia="方正仿宋_GBK"/>
          <w:color w:val="000000"/>
          <w:spacing w:val="-2"/>
          <w:sz w:val="24"/>
        </w:rPr>
        <w:t xml:space="preserve">          </w:t>
      </w:r>
    </w:p>
    <w:p>
      <w:pPr>
        <w:spacing w:line="440" w:lineRule="exact"/>
        <w:ind w:firstLine="472" w:firstLineChars="200"/>
        <w:jc w:val="center"/>
        <w:rPr>
          <w:rFonts w:eastAsia="方正仿宋_GBK"/>
          <w:color w:val="000000"/>
          <w:spacing w:val="-2"/>
          <w:sz w:val="24"/>
        </w:rPr>
      </w:pPr>
      <w:r>
        <w:rPr>
          <w:rFonts w:eastAsia="方正仿宋_GBK"/>
          <w:color w:val="000000"/>
          <w:spacing w:val="-2"/>
          <w:sz w:val="24"/>
        </w:rPr>
        <w:t xml:space="preserve">                                       </w:t>
      </w:r>
      <w:r>
        <w:rPr>
          <w:rFonts w:hint="eastAsia" w:eastAsia="方正仿宋_GBK"/>
          <w:color w:val="000000"/>
          <w:spacing w:val="-2"/>
          <w:sz w:val="24"/>
        </w:rPr>
        <w:t>二〇〇一年四月二十三日</w:t>
      </w:r>
      <w:r>
        <w:rPr>
          <w:rFonts w:eastAsia="方正仿宋_GBK"/>
          <w:color w:val="000000"/>
          <w:spacing w:val="-2"/>
          <w:sz w:val="24"/>
        </w:rPr>
        <w:t xml:space="preserve">   </w:t>
      </w:r>
    </w:p>
    <w:p>
      <w:pPr>
        <w:pStyle w:val="2"/>
        <w:spacing w:before="240" w:beforeLines="100" w:after="240" w:afterLines="100" w:line="240" w:lineRule="auto"/>
        <w:jc w:val="center"/>
        <w:rPr>
          <w:rFonts w:ascii="Times New Roman" w:eastAsia="方正小标宋_GBK"/>
          <w:b w:val="0"/>
          <w:sz w:val="36"/>
          <w:szCs w:val="36"/>
        </w:rPr>
      </w:pPr>
      <w:r>
        <w:rPr>
          <w:rFonts w:eastAsia="方正仿宋_GBK"/>
          <w:b w:val="0"/>
          <w:color w:val="000000"/>
          <w:spacing w:val="-2"/>
          <w:sz w:val="24"/>
        </w:rPr>
        <w:br w:type="column"/>
      </w:r>
      <w:bookmarkStart w:id="52" w:name="_Toc20726414"/>
      <w:bookmarkStart w:id="53" w:name="_Toc18315497"/>
      <w:r>
        <w:rPr>
          <w:rFonts w:hint="eastAsia" w:ascii="Times New Roman" w:eastAsia="方正小标宋_GBK"/>
          <w:b w:val="0"/>
          <w:sz w:val="36"/>
          <w:szCs w:val="36"/>
        </w:rPr>
        <w:t>关于印发《江苏省瓶装燃气经营许可证和供应许可证   管理办法》的通知</w:t>
      </w:r>
      <w:bookmarkEnd w:id="52"/>
      <w:bookmarkEnd w:id="53"/>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54" w:name="_Toc20726415"/>
      <w:bookmarkStart w:id="55" w:name="_Toc18315498"/>
      <w:r>
        <w:rPr>
          <w:rFonts w:hint="eastAsia" w:ascii="Times New Roman" w:hAnsi="Times New Roman" w:eastAsia="方正楷体_GBK"/>
          <w:b w:val="0"/>
          <w:sz w:val="24"/>
          <w:szCs w:val="24"/>
        </w:rPr>
        <w:t>苏建法〔</w:t>
      </w:r>
      <w:r>
        <w:rPr>
          <w:rFonts w:ascii="Times New Roman" w:hAnsi="Times New Roman" w:eastAsia="方正楷体_GBK"/>
          <w:b w:val="0"/>
          <w:sz w:val="24"/>
          <w:szCs w:val="24"/>
        </w:rPr>
        <w:t>2005</w:t>
      </w:r>
      <w:r>
        <w:rPr>
          <w:rFonts w:hint="eastAsia" w:ascii="Times New Roman" w:hAnsi="Times New Roman" w:eastAsia="方正楷体_GBK"/>
          <w:b w:val="0"/>
          <w:sz w:val="24"/>
          <w:szCs w:val="24"/>
        </w:rPr>
        <w:t>〕</w:t>
      </w:r>
      <w:r>
        <w:rPr>
          <w:rFonts w:ascii="Times New Roman" w:hAnsi="Times New Roman" w:eastAsia="方正楷体_GBK"/>
          <w:b w:val="0"/>
          <w:sz w:val="24"/>
          <w:szCs w:val="24"/>
        </w:rPr>
        <w:t>256</w:t>
      </w:r>
      <w:r>
        <w:rPr>
          <w:rFonts w:hint="eastAsia" w:ascii="Times New Roman" w:hAnsi="Times New Roman" w:eastAsia="方正楷体_GBK"/>
          <w:b w:val="0"/>
          <w:sz w:val="24"/>
          <w:szCs w:val="24"/>
        </w:rPr>
        <w:t>号</w:t>
      </w:r>
      <w:bookmarkEnd w:id="54"/>
      <w:bookmarkEnd w:id="55"/>
    </w:p>
    <w:p>
      <w:pPr>
        <w:spacing w:line="460" w:lineRule="exact"/>
        <w:jc w:val="left"/>
        <w:rPr>
          <w:rFonts w:eastAsia="方正仿宋_GBK"/>
          <w:color w:val="000000"/>
          <w:spacing w:val="-2"/>
          <w:sz w:val="24"/>
        </w:rPr>
      </w:pPr>
      <w:r>
        <w:rPr>
          <w:rFonts w:hint="eastAsia" w:eastAsia="方正仿宋_GBK"/>
          <w:color w:val="000000"/>
          <w:spacing w:val="-2"/>
          <w:sz w:val="24"/>
        </w:rPr>
        <w:t>各市建设局、市政公用局：</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为了加强对瓶装燃气经营的安全运行管理，规范瓶装燃气经营市场秩序，保障人民群众生命、财产安全，根据《江苏省燃气管理条例》的规定，我厅制定了《江苏省瓶装燃气经营许可证和供应许可证管理办法》，已由厅第二十六次常务会议审议通过。现印发给你们，请结合实际贯彻执行。</w:t>
      </w:r>
    </w:p>
    <w:p>
      <w:pPr>
        <w:spacing w:line="460" w:lineRule="exact"/>
        <w:rPr>
          <w:rFonts w:eastAsia="方正仿宋_GBK"/>
          <w:color w:val="000000"/>
          <w:spacing w:val="-2"/>
          <w:sz w:val="24"/>
        </w:rPr>
      </w:pPr>
    </w:p>
    <w:p>
      <w:pPr>
        <w:spacing w:line="460" w:lineRule="exact"/>
        <w:ind w:firstLine="472" w:firstLineChars="200"/>
        <w:jc w:val="left"/>
        <w:rPr>
          <w:rFonts w:eastAsia="方正仿宋_GBK"/>
          <w:color w:val="000000"/>
          <w:spacing w:val="-2"/>
          <w:sz w:val="24"/>
        </w:rPr>
      </w:pPr>
      <w:r>
        <w:rPr>
          <w:rFonts w:hint="eastAsia" w:eastAsia="方正仿宋_GBK"/>
          <w:color w:val="000000"/>
          <w:spacing w:val="-2"/>
          <w:sz w:val="24"/>
        </w:rPr>
        <w:t>附件：《江苏省瓶装燃气经营许可证和供应许可证管理办法》</w:t>
      </w:r>
    </w:p>
    <w:p>
      <w:pPr>
        <w:spacing w:line="460" w:lineRule="exact"/>
        <w:ind w:firstLine="630"/>
        <w:jc w:val="left"/>
        <w:rPr>
          <w:rFonts w:eastAsia="方正仿宋_GBK"/>
          <w:color w:val="000000"/>
          <w:spacing w:val="-2"/>
          <w:sz w:val="24"/>
        </w:rPr>
      </w:pPr>
    </w:p>
    <w:p>
      <w:pPr>
        <w:wordWrap w:val="0"/>
        <w:spacing w:line="460" w:lineRule="exact"/>
        <w:ind w:firstLine="630"/>
        <w:jc w:val="right"/>
        <w:rPr>
          <w:rFonts w:eastAsia="方正仿宋_GBK"/>
          <w:color w:val="000000"/>
          <w:spacing w:val="-2"/>
          <w:sz w:val="24"/>
        </w:rPr>
      </w:pPr>
      <w:r>
        <w:rPr>
          <w:rFonts w:hint="eastAsia" w:eastAsia="方正仿宋_GBK"/>
          <w:color w:val="000000"/>
          <w:spacing w:val="-2"/>
          <w:sz w:val="24"/>
        </w:rPr>
        <w:t>江苏省建设厅</w:t>
      </w:r>
      <w:r>
        <w:rPr>
          <w:rFonts w:eastAsia="方正仿宋_GBK"/>
          <w:color w:val="000000"/>
          <w:spacing w:val="-2"/>
          <w:sz w:val="24"/>
        </w:rPr>
        <w:t xml:space="preserve">        </w:t>
      </w:r>
    </w:p>
    <w:p>
      <w:pPr>
        <w:wordWrap w:val="0"/>
        <w:spacing w:line="460" w:lineRule="exact"/>
        <w:ind w:firstLine="630"/>
        <w:jc w:val="right"/>
        <w:rPr>
          <w:rFonts w:eastAsia="方正仿宋_GBK"/>
          <w:color w:val="000000"/>
          <w:spacing w:val="-2"/>
          <w:sz w:val="24"/>
        </w:rPr>
      </w:pPr>
      <w:r>
        <w:rPr>
          <w:rFonts w:hint="eastAsia" w:eastAsia="方正仿宋_GBK"/>
          <w:color w:val="000000"/>
          <w:spacing w:val="-2"/>
          <w:sz w:val="24"/>
        </w:rPr>
        <w:t>二</w:t>
      </w:r>
      <w:r>
        <w:rPr>
          <w:rFonts w:hint="eastAsia" w:eastAsia="方正仿宋_GBK"/>
          <w:bCs/>
          <w:snapToGrid w:val="0"/>
          <w:color w:val="000000"/>
          <w:spacing w:val="-2"/>
          <w:kern w:val="0"/>
          <w:sz w:val="24"/>
        </w:rPr>
        <w:t>○○</w:t>
      </w:r>
      <w:r>
        <w:rPr>
          <w:rFonts w:hint="eastAsia" w:eastAsia="方正仿宋_GBK"/>
          <w:color w:val="000000"/>
          <w:spacing w:val="-2"/>
          <w:sz w:val="24"/>
        </w:rPr>
        <w:t>五年八月五日</w:t>
      </w:r>
      <w:r>
        <w:rPr>
          <w:rFonts w:eastAsia="方正仿宋_GBK"/>
          <w:color w:val="000000"/>
          <w:spacing w:val="-2"/>
          <w:sz w:val="24"/>
        </w:rPr>
        <w:t xml:space="preserve">    </w:t>
      </w:r>
    </w:p>
    <w:p>
      <w:pPr>
        <w:spacing w:line="460" w:lineRule="exact"/>
        <w:rPr>
          <w:rFonts w:eastAsia="方正仿宋_GBK"/>
          <w:color w:val="000000"/>
          <w:spacing w:val="-2"/>
          <w:sz w:val="24"/>
        </w:rPr>
      </w:pPr>
    </w:p>
    <w:p>
      <w:pPr>
        <w:spacing w:line="460" w:lineRule="exact"/>
        <w:rPr>
          <w:rFonts w:eastAsia="方正仿宋_GBK"/>
          <w:color w:val="000000"/>
          <w:spacing w:val="-2"/>
          <w:sz w:val="24"/>
        </w:rPr>
      </w:pPr>
    </w:p>
    <w:p>
      <w:pPr>
        <w:spacing w:line="460" w:lineRule="exact"/>
        <w:jc w:val="center"/>
        <w:rPr>
          <w:rFonts w:ascii="Times New Roman" w:eastAsia="方正黑体_GBK"/>
          <w:color w:val="000000"/>
          <w:spacing w:val="-2"/>
          <w:sz w:val="36"/>
          <w:szCs w:val="36"/>
        </w:rPr>
      </w:pPr>
      <w:r>
        <w:rPr>
          <w:rFonts w:hint="eastAsia" w:ascii="Times New Roman" w:eastAsia="方正黑体_GBK"/>
          <w:color w:val="000000"/>
          <w:spacing w:val="-2"/>
          <w:sz w:val="36"/>
          <w:szCs w:val="36"/>
        </w:rPr>
        <w:t>江苏省瓶装燃气经营许可证和供应许可证管理办法</w:t>
      </w:r>
    </w:p>
    <w:p>
      <w:pPr>
        <w:spacing w:line="460" w:lineRule="exact"/>
        <w:rPr>
          <w:rFonts w:hint="eastAsia" w:eastAsia="方正仿宋_GBK"/>
          <w:color w:val="000000"/>
          <w:spacing w:val="-2"/>
          <w:sz w:val="24"/>
        </w:rPr>
      </w:pP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第一条</w:t>
      </w:r>
      <w:r>
        <w:rPr>
          <w:rFonts w:eastAsia="方正仿宋_GBK"/>
          <w:color w:val="000000"/>
          <w:spacing w:val="-2"/>
          <w:sz w:val="24"/>
        </w:rPr>
        <w:t xml:space="preserve">  </w:t>
      </w:r>
      <w:r>
        <w:rPr>
          <w:rFonts w:hint="eastAsia" w:eastAsia="方正仿宋_GBK"/>
          <w:color w:val="000000"/>
          <w:spacing w:val="-2"/>
          <w:sz w:val="24"/>
        </w:rPr>
        <w:t>为了加强瓶装燃气安全管理，规范瓶装燃气经营市场秩序，保障人民群众生命、财产安全，根据《中华人民共和国行政许可法》、国务院《无照经营查处取缔办法》、《江苏省燃气管理条例》的规定，制定本办法。</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第二条</w:t>
      </w:r>
      <w:r>
        <w:rPr>
          <w:rFonts w:eastAsia="方正仿宋_GBK"/>
          <w:color w:val="000000"/>
          <w:spacing w:val="-2"/>
          <w:sz w:val="24"/>
        </w:rPr>
        <w:t xml:space="preserve">  </w:t>
      </w:r>
      <w:r>
        <w:rPr>
          <w:rFonts w:hint="eastAsia" w:eastAsia="方正仿宋_GBK"/>
          <w:color w:val="000000"/>
          <w:spacing w:val="-2"/>
          <w:sz w:val="24"/>
        </w:rPr>
        <w:t>本省行政区域内瓶装燃气经营、供应以及相关的管理活动，均必须遵守本办法。</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第三条</w:t>
      </w:r>
      <w:r>
        <w:rPr>
          <w:rFonts w:eastAsia="方正仿宋_GBK"/>
          <w:color w:val="000000"/>
          <w:spacing w:val="-2"/>
          <w:sz w:val="24"/>
        </w:rPr>
        <w:t xml:space="preserve">  </w:t>
      </w:r>
      <w:r>
        <w:rPr>
          <w:rFonts w:hint="eastAsia" w:eastAsia="方正仿宋_GBK"/>
          <w:color w:val="000000"/>
          <w:spacing w:val="-2"/>
          <w:sz w:val="24"/>
        </w:rPr>
        <w:t>省建设主管部门负责对全省瓶装燃气经营许可证、瓶装燃气供应许可证发证审批工作的监督管理；设区市、县（市）建设（市政公用）主管部门（以下简称建设主管部门）按照《江苏省燃气管理条例》第十九条的规定具体负责本行政区域内许可证的发证及管理工作。</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第四条</w:t>
      </w:r>
      <w:r>
        <w:rPr>
          <w:rFonts w:eastAsia="方正仿宋_GBK"/>
          <w:color w:val="000000"/>
          <w:spacing w:val="-2"/>
          <w:sz w:val="24"/>
        </w:rPr>
        <w:t xml:space="preserve">  </w:t>
      </w:r>
      <w:r>
        <w:rPr>
          <w:rFonts w:hint="eastAsia" w:eastAsia="方正仿宋_GBK"/>
          <w:color w:val="000000"/>
          <w:spacing w:val="-2"/>
          <w:sz w:val="24"/>
        </w:rPr>
        <w:t>从事瓶装燃气经营的企业必须取得设区市建设主管部门核发的《江苏省瓶装燃气经营许可证》后，方可从事瓶装燃气经营活动；从事瓶装燃气供应的站点必须取得所在地建设主管部门核发的《江苏省瓶装燃气供应许可证》后，方可从事瓶装燃气供应活动。</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第五条</w:t>
      </w:r>
      <w:r>
        <w:rPr>
          <w:rFonts w:eastAsia="方正仿宋_GBK"/>
          <w:color w:val="000000"/>
          <w:spacing w:val="-2"/>
          <w:sz w:val="24"/>
        </w:rPr>
        <w:t xml:space="preserve">  </w:t>
      </w:r>
      <w:r>
        <w:rPr>
          <w:rFonts w:hint="eastAsia" w:eastAsia="方正仿宋_GBK"/>
          <w:color w:val="000000"/>
          <w:spacing w:val="-2"/>
          <w:sz w:val="24"/>
        </w:rPr>
        <w:t>瓶装燃气经营企业应当具备下列条件：</w:t>
      </w:r>
    </w:p>
    <w:p>
      <w:pPr>
        <w:pStyle w:val="19"/>
        <w:spacing w:line="460" w:lineRule="exact"/>
        <w:ind w:firstLine="472" w:firstLineChars="200"/>
        <w:rPr>
          <w:rFonts w:ascii="Times New Roman" w:eastAsia="方正仿宋_GBK"/>
          <w:spacing w:val="-2"/>
          <w:sz w:val="24"/>
          <w:szCs w:val="24"/>
        </w:rPr>
      </w:pPr>
      <w:r>
        <w:rPr>
          <w:rFonts w:hint="eastAsia" w:ascii="Times New Roman" w:eastAsia="方正仿宋_GBK"/>
          <w:spacing w:val="-2"/>
          <w:sz w:val="24"/>
          <w:szCs w:val="24"/>
        </w:rPr>
        <w:t>（一）有稳定的、符合国家标准的燃气气源；</w:t>
      </w:r>
    </w:p>
    <w:p>
      <w:pPr>
        <w:pStyle w:val="19"/>
        <w:spacing w:line="460" w:lineRule="exact"/>
        <w:ind w:firstLine="472" w:firstLineChars="200"/>
        <w:rPr>
          <w:rFonts w:ascii="Times New Roman" w:eastAsia="方正仿宋_GBK"/>
          <w:spacing w:val="-2"/>
          <w:sz w:val="24"/>
          <w:szCs w:val="24"/>
        </w:rPr>
      </w:pPr>
      <w:r>
        <w:rPr>
          <w:rFonts w:hint="eastAsia" w:ascii="Times New Roman" w:eastAsia="方正仿宋_GBK"/>
          <w:spacing w:val="-2"/>
          <w:sz w:val="24"/>
          <w:szCs w:val="24"/>
        </w:rPr>
        <w:t>（二）有符合国家标准的贮存、充装、供应设施，并取得省质量技术监督部门发的气瓶充装许可证；</w:t>
      </w:r>
    </w:p>
    <w:p>
      <w:pPr>
        <w:pStyle w:val="19"/>
        <w:spacing w:line="460" w:lineRule="exact"/>
        <w:ind w:firstLine="472" w:firstLineChars="200"/>
        <w:rPr>
          <w:rFonts w:ascii="Times New Roman" w:eastAsia="方正仿宋_GBK"/>
          <w:spacing w:val="-2"/>
          <w:sz w:val="24"/>
          <w:szCs w:val="24"/>
        </w:rPr>
      </w:pPr>
      <w:r>
        <w:rPr>
          <w:rFonts w:hint="eastAsia" w:ascii="Times New Roman" w:eastAsia="方正仿宋_GBK"/>
          <w:spacing w:val="-2"/>
          <w:sz w:val="24"/>
          <w:szCs w:val="24"/>
        </w:rPr>
        <w:t>（三）有与经营规模相适应的资金和管理、技术人员；注册资本金不得低于</w:t>
      </w:r>
      <w:r>
        <w:rPr>
          <w:rFonts w:ascii="Times New Roman" w:eastAsia="方正仿宋_GBK"/>
          <w:spacing w:val="-2"/>
          <w:sz w:val="24"/>
          <w:szCs w:val="24"/>
        </w:rPr>
        <w:t>50</w:t>
      </w:r>
      <w:r>
        <w:rPr>
          <w:rFonts w:hint="eastAsia" w:ascii="Times New Roman" w:eastAsia="方正仿宋_GBK"/>
          <w:spacing w:val="-2"/>
          <w:sz w:val="24"/>
          <w:szCs w:val="24"/>
        </w:rPr>
        <w:t>万元，技术负责人具有化工、燃气专业助理工程师以上职称，管理、技术、作业人员接受专门培训并考核合格；</w:t>
      </w:r>
    </w:p>
    <w:p>
      <w:pPr>
        <w:pStyle w:val="19"/>
        <w:spacing w:line="460" w:lineRule="exact"/>
        <w:ind w:firstLine="472" w:firstLineChars="200"/>
        <w:rPr>
          <w:rFonts w:ascii="Times New Roman" w:eastAsia="方正仿宋_GBK"/>
          <w:spacing w:val="-2"/>
          <w:sz w:val="24"/>
          <w:szCs w:val="24"/>
        </w:rPr>
      </w:pPr>
      <w:r>
        <w:rPr>
          <w:rFonts w:hint="eastAsia" w:ascii="Times New Roman" w:eastAsia="方正仿宋_GBK"/>
          <w:spacing w:val="-2"/>
          <w:sz w:val="24"/>
          <w:szCs w:val="24"/>
        </w:rPr>
        <w:t>（四）有固定的、符合消防等安全条件的经营场所；</w:t>
      </w:r>
    </w:p>
    <w:p>
      <w:pPr>
        <w:pStyle w:val="19"/>
        <w:spacing w:line="460" w:lineRule="exact"/>
        <w:ind w:firstLine="472" w:firstLineChars="200"/>
        <w:rPr>
          <w:rFonts w:ascii="Times New Roman" w:eastAsia="方正仿宋_GBK"/>
          <w:spacing w:val="-2"/>
          <w:sz w:val="24"/>
          <w:szCs w:val="24"/>
        </w:rPr>
      </w:pPr>
      <w:r>
        <w:rPr>
          <w:rFonts w:hint="eastAsia" w:ascii="Times New Roman" w:eastAsia="方正仿宋_GBK"/>
          <w:spacing w:val="-2"/>
          <w:sz w:val="24"/>
          <w:szCs w:val="24"/>
        </w:rPr>
        <w:t>（五）有相应的抢险抢修人员和设备；</w:t>
      </w:r>
    </w:p>
    <w:p>
      <w:pPr>
        <w:pStyle w:val="19"/>
        <w:spacing w:line="460" w:lineRule="exact"/>
        <w:ind w:firstLine="200"/>
        <w:rPr>
          <w:rFonts w:ascii="Times New Roman" w:eastAsia="方正仿宋_GBK"/>
          <w:spacing w:val="-2"/>
          <w:sz w:val="24"/>
          <w:szCs w:val="24"/>
        </w:rPr>
      </w:pPr>
      <w:r>
        <w:rPr>
          <w:rFonts w:ascii="Times New Roman" w:eastAsia="方正仿宋_GBK"/>
          <w:spacing w:val="-2"/>
          <w:sz w:val="24"/>
          <w:szCs w:val="24"/>
        </w:rPr>
        <w:t xml:space="preserve">  </w:t>
      </w:r>
      <w:r>
        <w:rPr>
          <w:rFonts w:hint="eastAsia" w:ascii="Times New Roman" w:eastAsia="方正仿宋_GBK"/>
          <w:spacing w:val="-2"/>
          <w:sz w:val="24"/>
          <w:szCs w:val="24"/>
        </w:rPr>
        <w:t>（六）有健全的安全管理和经营管理制度；</w:t>
      </w:r>
    </w:p>
    <w:p>
      <w:pPr>
        <w:pStyle w:val="19"/>
        <w:spacing w:line="460" w:lineRule="exact"/>
        <w:ind w:firstLine="200"/>
        <w:rPr>
          <w:rFonts w:ascii="Times New Roman" w:eastAsia="方正仿宋_GBK"/>
          <w:spacing w:val="-2"/>
          <w:sz w:val="24"/>
          <w:szCs w:val="24"/>
        </w:rPr>
      </w:pPr>
      <w:r>
        <w:rPr>
          <w:rFonts w:ascii="Times New Roman" w:eastAsia="方正仿宋_GBK"/>
          <w:spacing w:val="-2"/>
          <w:sz w:val="24"/>
          <w:szCs w:val="24"/>
        </w:rPr>
        <w:t xml:space="preserve">  </w:t>
      </w:r>
      <w:r>
        <w:rPr>
          <w:rFonts w:hint="eastAsia" w:ascii="Times New Roman" w:eastAsia="方正仿宋_GBK"/>
          <w:spacing w:val="-2"/>
          <w:sz w:val="24"/>
          <w:szCs w:val="24"/>
        </w:rPr>
        <w:t>（七）法律、法规规定的其他条件。</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 </w:t>
      </w:r>
      <w:r>
        <w:rPr>
          <w:rFonts w:hint="eastAsia" w:ascii="Times New Roman" w:eastAsia="方正黑体_GBK"/>
          <w:color w:val="000000"/>
          <w:spacing w:val="-2"/>
          <w:sz w:val="24"/>
        </w:rPr>
        <w:t>第六条</w:t>
      </w:r>
      <w:r>
        <w:rPr>
          <w:rFonts w:eastAsia="方正仿宋_GBK"/>
          <w:color w:val="000000"/>
          <w:spacing w:val="-2"/>
          <w:sz w:val="24"/>
        </w:rPr>
        <w:t xml:space="preserve">  </w:t>
      </w:r>
      <w:r>
        <w:rPr>
          <w:rFonts w:hint="eastAsia" w:eastAsia="方正仿宋_GBK"/>
          <w:color w:val="000000"/>
          <w:spacing w:val="-2"/>
          <w:sz w:val="24"/>
        </w:rPr>
        <w:t>申请瓶装燃气经营许可证的企业，应提供下列资料：</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（一）江苏省瓶装燃气经营许可证申请表；</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（二）企业法人代表和安全技术负责人的职务、职称等证明；</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（三）瓶装燃气经营设施的工程竣工验收备案材料（经当地建设主管部门备案认可）；</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（四）气源来源情况；</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（五）资产证明材料，管理、技术人员的配备情况（附劳动人事部门签证的劳动合同）；</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（六）抢险抢修人员和设备的配备情况（附劳动人事部门签证的劳动合同）；</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（七）企业安全生产管理制度，事故应急救援预案，企业章程和服务规范；</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（八）其他有关文件和证明。</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第七条</w:t>
      </w:r>
      <w:r>
        <w:rPr>
          <w:rFonts w:eastAsia="方正仿宋_GBK"/>
          <w:color w:val="000000"/>
          <w:spacing w:val="-2"/>
          <w:sz w:val="24"/>
        </w:rPr>
        <w:t xml:space="preserve">  </w:t>
      </w:r>
      <w:r>
        <w:rPr>
          <w:rFonts w:hint="eastAsia" w:eastAsia="方正仿宋_GBK"/>
          <w:color w:val="000000"/>
          <w:spacing w:val="-2"/>
          <w:sz w:val="24"/>
        </w:rPr>
        <w:t>瓶装燃气供应站点应当具备下列条件：</w:t>
      </w:r>
    </w:p>
    <w:p>
      <w:pPr>
        <w:pStyle w:val="19"/>
        <w:spacing w:line="460" w:lineRule="exact"/>
        <w:ind w:firstLine="472" w:firstLineChars="200"/>
        <w:rPr>
          <w:rFonts w:ascii="Times New Roman" w:eastAsia="方正仿宋_GBK"/>
          <w:spacing w:val="-2"/>
          <w:sz w:val="24"/>
          <w:szCs w:val="24"/>
        </w:rPr>
      </w:pPr>
      <w:r>
        <w:rPr>
          <w:rFonts w:hint="eastAsia" w:ascii="Times New Roman" w:eastAsia="方正仿宋_GBK"/>
          <w:spacing w:val="-2"/>
          <w:sz w:val="24"/>
          <w:szCs w:val="24"/>
        </w:rPr>
        <w:t>（一）有与经营规模相适应的资金和管理、技术人员。注册资本金不得低于</w:t>
      </w:r>
      <w:r>
        <w:rPr>
          <w:rFonts w:ascii="Times New Roman" w:eastAsia="方正仿宋_GBK"/>
          <w:spacing w:val="-2"/>
          <w:sz w:val="24"/>
          <w:szCs w:val="24"/>
        </w:rPr>
        <w:t>10</w:t>
      </w:r>
      <w:r>
        <w:rPr>
          <w:rFonts w:hint="eastAsia" w:ascii="Times New Roman" w:eastAsia="方正仿宋_GBK"/>
          <w:spacing w:val="-2"/>
          <w:sz w:val="24"/>
          <w:szCs w:val="24"/>
        </w:rPr>
        <w:t>万元，管理、技术、作业人员接受专门培训并考核合格；</w:t>
      </w:r>
    </w:p>
    <w:p>
      <w:pPr>
        <w:pStyle w:val="19"/>
        <w:spacing w:line="460" w:lineRule="exact"/>
        <w:ind w:firstLine="472" w:firstLineChars="200"/>
        <w:rPr>
          <w:rFonts w:ascii="Times New Roman" w:eastAsia="方正仿宋_GBK"/>
          <w:spacing w:val="-2"/>
          <w:sz w:val="24"/>
          <w:szCs w:val="24"/>
        </w:rPr>
      </w:pPr>
      <w:r>
        <w:rPr>
          <w:rFonts w:hint="eastAsia" w:ascii="Times New Roman" w:eastAsia="方正仿宋_GBK"/>
          <w:spacing w:val="-2"/>
          <w:sz w:val="24"/>
          <w:szCs w:val="24"/>
        </w:rPr>
        <w:t>（二）有固定的、符合消防等安全条件的经营场所、瓶库及配套设施；</w:t>
      </w:r>
    </w:p>
    <w:p>
      <w:pPr>
        <w:pStyle w:val="19"/>
        <w:spacing w:line="460" w:lineRule="exact"/>
        <w:ind w:firstLine="472" w:firstLineChars="200"/>
        <w:rPr>
          <w:rFonts w:ascii="Times New Roman" w:eastAsia="方正仿宋_GBK"/>
          <w:spacing w:val="-2"/>
          <w:sz w:val="24"/>
          <w:szCs w:val="24"/>
        </w:rPr>
      </w:pPr>
      <w:r>
        <w:rPr>
          <w:rFonts w:hint="eastAsia" w:ascii="Times New Roman" w:eastAsia="方正仿宋_GBK"/>
          <w:spacing w:val="-2"/>
          <w:sz w:val="24"/>
          <w:szCs w:val="24"/>
        </w:rPr>
        <w:t>（三）有相应的抢险抢修人员和设备；</w:t>
      </w:r>
    </w:p>
    <w:p>
      <w:pPr>
        <w:pStyle w:val="19"/>
        <w:spacing w:line="460" w:lineRule="exact"/>
        <w:ind w:firstLine="472" w:firstLineChars="200"/>
        <w:rPr>
          <w:rFonts w:ascii="Times New Roman" w:eastAsia="方正仿宋_GBK"/>
          <w:spacing w:val="-2"/>
          <w:sz w:val="24"/>
          <w:szCs w:val="24"/>
        </w:rPr>
      </w:pPr>
      <w:r>
        <w:rPr>
          <w:rFonts w:hint="eastAsia" w:ascii="Times New Roman" w:eastAsia="方正仿宋_GBK"/>
          <w:spacing w:val="-2"/>
          <w:sz w:val="24"/>
          <w:szCs w:val="24"/>
        </w:rPr>
        <w:t>（四）有健全的安全管理和经营管理制度。</w:t>
      </w:r>
    </w:p>
    <w:p>
      <w:pPr>
        <w:pStyle w:val="19"/>
        <w:spacing w:line="460" w:lineRule="exact"/>
        <w:ind w:firstLine="472" w:firstLineChars="200"/>
        <w:rPr>
          <w:rFonts w:ascii="Times New Roman" w:eastAsia="方正仿宋_GBK"/>
          <w:spacing w:val="-2"/>
          <w:sz w:val="24"/>
          <w:szCs w:val="24"/>
        </w:rPr>
      </w:pPr>
      <w:r>
        <w:rPr>
          <w:rFonts w:hint="eastAsia" w:ascii="Times New Roman" w:eastAsia="方正黑体_GBK"/>
          <w:spacing w:val="-2"/>
          <w:sz w:val="24"/>
          <w:szCs w:val="24"/>
        </w:rPr>
        <w:t>第八条</w:t>
      </w:r>
      <w:r>
        <w:rPr>
          <w:rFonts w:ascii="Times New Roman" w:eastAsia="方正仿宋_GBK"/>
          <w:spacing w:val="-2"/>
          <w:sz w:val="24"/>
          <w:szCs w:val="24"/>
        </w:rPr>
        <w:t xml:space="preserve">  </w:t>
      </w:r>
      <w:r>
        <w:rPr>
          <w:rFonts w:hint="eastAsia" w:ascii="Times New Roman" w:eastAsia="方正仿宋_GBK"/>
          <w:spacing w:val="-2"/>
          <w:sz w:val="24"/>
          <w:szCs w:val="24"/>
        </w:rPr>
        <w:t>申请瓶装燃气供应许可证的站点，应提供下列资料：</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（一）江苏省瓶装燃气供应许可证申请表；</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（二）站点负责人和安全技术负责人的职务、职称等证明；</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（三）站点设施的核准文件；　　</w:t>
      </w:r>
    </w:p>
    <w:p>
      <w:pPr>
        <w:pStyle w:val="20"/>
        <w:spacing w:line="460" w:lineRule="exact"/>
        <w:ind w:left="0" w:firstLine="472" w:firstLineChars="200"/>
        <w:rPr>
          <w:rFonts w:eastAsia="方正仿宋_GBK"/>
          <w:spacing w:val="-2"/>
          <w:sz w:val="24"/>
          <w:szCs w:val="24"/>
        </w:rPr>
      </w:pPr>
      <w:r>
        <w:rPr>
          <w:rFonts w:hint="eastAsia" w:eastAsia="方正仿宋_GBK"/>
          <w:spacing w:val="-2"/>
          <w:sz w:val="24"/>
          <w:szCs w:val="24"/>
        </w:rPr>
        <w:t>（四）防泄漏、防火、防爆安全管理制度和营业制度；　　</w:t>
      </w:r>
    </w:p>
    <w:p>
      <w:pPr>
        <w:pStyle w:val="20"/>
        <w:spacing w:line="460" w:lineRule="exact"/>
        <w:ind w:left="0" w:firstLine="472" w:firstLineChars="200"/>
        <w:rPr>
          <w:rFonts w:eastAsia="方正仿宋_GBK"/>
          <w:spacing w:val="-2"/>
          <w:sz w:val="24"/>
          <w:szCs w:val="24"/>
        </w:rPr>
      </w:pPr>
      <w:r>
        <w:rPr>
          <w:rFonts w:hint="eastAsia" w:eastAsia="方正仿宋_GBK"/>
          <w:spacing w:val="-2"/>
          <w:sz w:val="24"/>
          <w:szCs w:val="24"/>
        </w:rPr>
        <w:t>（五）资产证明材料，管理、技术、作业人员的考核合格证明材料。</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第九条</w:t>
      </w:r>
      <w:r>
        <w:rPr>
          <w:rFonts w:eastAsia="方正仿宋_GBK"/>
          <w:color w:val="000000"/>
          <w:spacing w:val="-2"/>
          <w:sz w:val="24"/>
        </w:rPr>
        <w:t xml:space="preserve">  </w:t>
      </w:r>
      <w:r>
        <w:rPr>
          <w:rFonts w:hint="eastAsia" w:eastAsia="方正仿宋_GBK"/>
          <w:color w:val="000000"/>
          <w:spacing w:val="-2"/>
          <w:sz w:val="24"/>
        </w:rPr>
        <w:t>建设主管部门接到瓶装燃气经营许可申请、瓶装燃气供应许可申请之日起二十个工作日内，对申请人提交的申请材料进行审查，对符合条件的，颁发《江苏省瓶装燃气经营许可证》或者《江苏省瓶装燃气供应许可证》；对不符合条件的，应当书面通知申请人并说明理由。二十个工作日内不能作出行政许可决定的，经发证机关负责人批准，可以延长十日，并将延长期限的理由告知申请人。</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第十条</w:t>
      </w:r>
      <w:r>
        <w:rPr>
          <w:rFonts w:eastAsia="方正仿宋_GBK"/>
          <w:color w:val="000000"/>
          <w:spacing w:val="-2"/>
          <w:sz w:val="24"/>
        </w:rPr>
        <w:t xml:space="preserve">  </w:t>
      </w:r>
      <w:r>
        <w:rPr>
          <w:rFonts w:hint="eastAsia" w:eastAsia="方正仿宋_GBK"/>
          <w:color w:val="000000"/>
          <w:spacing w:val="-2"/>
          <w:sz w:val="24"/>
        </w:rPr>
        <w:t>《江苏省瓶装燃气经营许可证》和《江苏省瓶装燃气供应许可证》由省建设厅统一组织印制。《江苏省瓶装燃气经营许可证》和《江苏省瓶装燃气供应许可证》分为正本和副本，正本和副本具有同等法律效力。</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第十一条</w:t>
      </w:r>
      <w:r>
        <w:rPr>
          <w:rFonts w:eastAsia="方正仿宋_GBK"/>
          <w:color w:val="000000"/>
          <w:spacing w:val="-2"/>
          <w:sz w:val="24"/>
        </w:rPr>
        <w:t xml:space="preserve">  </w:t>
      </w:r>
      <w:r>
        <w:rPr>
          <w:rFonts w:hint="eastAsia" w:eastAsia="方正仿宋_GBK"/>
          <w:color w:val="000000"/>
          <w:spacing w:val="-2"/>
          <w:sz w:val="24"/>
        </w:rPr>
        <w:t>《江苏省瓶装燃气经营许可证》有效期为四年，《江苏省瓶装燃气供应许可证》有效期为二年。有效期满后，需继续从事瓶装燃气经营和供应活动的，应当在许可证有效期满前三个月内向原发证机关提出换证申请，经审查合格后换领新证。</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第十二条</w:t>
      </w:r>
      <w:r>
        <w:rPr>
          <w:rFonts w:eastAsia="方正仿宋_GBK"/>
          <w:color w:val="000000"/>
          <w:spacing w:val="-2"/>
          <w:sz w:val="24"/>
        </w:rPr>
        <w:t xml:space="preserve">  </w:t>
      </w:r>
      <w:r>
        <w:rPr>
          <w:rFonts w:hint="eastAsia" w:eastAsia="方正仿宋_GBK"/>
          <w:color w:val="000000"/>
          <w:spacing w:val="-2"/>
          <w:sz w:val="24"/>
        </w:rPr>
        <w:t>发证机关应加强对瓶装燃气经营许可证和瓶装燃气供应许可证的监督管理，定期检查瓶装燃气经营企业和供应站点的安全运行状况。发现不再具备安全生产条件，存在重大安全隐患的，应当责令限期整改，在规定限期内不改正或整改不彻底的，应当撤销原批准。</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第十三条</w:t>
      </w:r>
      <w:r>
        <w:rPr>
          <w:rFonts w:eastAsia="方正仿宋_GBK"/>
          <w:color w:val="000000"/>
          <w:spacing w:val="-2"/>
          <w:sz w:val="24"/>
        </w:rPr>
        <w:t xml:space="preserve">  </w:t>
      </w:r>
      <w:r>
        <w:rPr>
          <w:rFonts w:hint="eastAsia" w:eastAsia="方正仿宋_GBK"/>
          <w:color w:val="000000"/>
          <w:spacing w:val="-2"/>
          <w:sz w:val="24"/>
        </w:rPr>
        <w:t>已取得《江苏省瓶装燃气经营许可证》、《江苏省瓶装燃气供应许可证》的经营企业或者供应站点发生分立、合并、转让的，应当在一个月内向原发证机关重新申请办理许可证件，原证件作废。</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第十四条</w:t>
      </w:r>
      <w:r>
        <w:rPr>
          <w:rFonts w:eastAsia="方正仿宋_GBK"/>
          <w:color w:val="000000"/>
          <w:spacing w:val="-2"/>
          <w:sz w:val="24"/>
        </w:rPr>
        <w:t xml:space="preserve">   </w:t>
      </w:r>
      <w:r>
        <w:rPr>
          <w:rFonts w:hint="eastAsia" w:eastAsia="方正仿宋_GBK"/>
          <w:color w:val="000000"/>
          <w:spacing w:val="-2"/>
          <w:sz w:val="24"/>
        </w:rPr>
        <w:t>发证机关应当坚持公开、公平、公正的原则，严格依照法律、法规、规章和标准规定的条件及程序，审批、发放许可证。</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第十五条</w:t>
      </w:r>
      <w:r>
        <w:rPr>
          <w:rFonts w:eastAsia="方正仿宋_GBK"/>
          <w:color w:val="000000"/>
          <w:spacing w:val="-2"/>
          <w:sz w:val="24"/>
        </w:rPr>
        <w:t xml:space="preserve">  </w:t>
      </w:r>
      <w:r>
        <w:rPr>
          <w:rFonts w:hint="eastAsia" w:eastAsia="方正仿宋_GBK"/>
          <w:color w:val="000000"/>
          <w:spacing w:val="-2"/>
          <w:sz w:val="24"/>
        </w:rPr>
        <w:t>发证机关应当加强对经营许可证的监督管理，建立、健全经营许可证审批、发放档案管理制度。</w:t>
      </w:r>
    </w:p>
    <w:p>
      <w:pPr>
        <w:spacing w:line="460" w:lineRule="exact"/>
        <w:ind w:firstLine="472" w:firstLineChars="200"/>
        <w:rPr>
          <w:rFonts w:eastAsia="方正仿宋_GBK"/>
          <w:color w:val="000000"/>
          <w:spacing w:val="-2"/>
          <w:sz w:val="24"/>
        </w:rPr>
      </w:pPr>
      <w:r>
        <w:rPr>
          <w:rFonts w:eastAsia="方正仿宋_GBK"/>
          <w:color w:val="000000"/>
          <w:spacing w:val="-2"/>
          <w:sz w:val="24"/>
        </w:rPr>
        <w:t> </w:t>
      </w:r>
      <w:r>
        <w:rPr>
          <w:rFonts w:hint="eastAsia" w:ascii="Times New Roman" w:eastAsia="方正黑体_GBK"/>
          <w:color w:val="000000"/>
          <w:spacing w:val="-2"/>
          <w:sz w:val="24"/>
        </w:rPr>
        <w:t>第十六条</w:t>
      </w:r>
      <w:r>
        <w:rPr>
          <w:rFonts w:eastAsia="方正仿宋_GBK"/>
          <w:color w:val="000000"/>
          <w:spacing w:val="-2"/>
          <w:sz w:val="24"/>
        </w:rPr>
        <w:t xml:space="preserve">  </w:t>
      </w:r>
      <w:r>
        <w:rPr>
          <w:rFonts w:hint="eastAsia" w:eastAsia="方正仿宋_GBK"/>
          <w:color w:val="000000"/>
          <w:spacing w:val="-2"/>
          <w:sz w:val="24"/>
        </w:rPr>
        <w:t>建设主管部门应当将本行政区域内经营许可证、供应许可证的年度审批发证情况报上一级建设主管部门备案。</w:t>
      </w:r>
    </w:p>
    <w:p>
      <w:pPr>
        <w:spacing w:line="460" w:lineRule="exact"/>
        <w:ind w:firstLine="472" w:firstLineChars="200"/>
        <w:rPr>
          <w:rFonts w:eastAsia="方正仿宋_GBK"/>
          <w:color w:val="000000"/>
          <w:spacing w:val="-2"/>
          <w:sz w:val="24"/>
        </w:rPr>
      </w:pPr>
      <w:r>
        <w:rPr>
          <w:rFonts w:eastAsia="方正仿宋_GBK"/>
          <w:color w:val="000000"/>
          <w:spacing w:val="-2"/>
          <w:sz w:val="24"/>
        </w:rPr>
        <w:t> </w:t>
      </w:r>
      <w:r>
        <w:rPr>
          <w:rFonts w:hint="eastAsia" w:ascii="Times New Roman" w:eastAsia="方正黑体_GBK"/>
          <w:color w:val="000000"/>
          <w:spacing w:val="-2"/>
          <w:sz w:val="24"/>
        </w:rPr>
        <w:t>第十七条</w:t>
      </w:r>
      <w:r>
        <w:rPr>
          <w:rFonts w:eastAsia="方正仿宋_GBK"/>
          <w:color w:val="000000"/>
          <w:spacing w:val="-2"/>
          <w:sz w:val="24"/>
        </w:rPr>
        <w:t xml:space="preserve">  </w:t>
      </w:r>
      <w:r>
        <w:rPr>
          <w:rFonts w:hint="eastAsia" w:eastAsia="方正仿宋_GBK"/>
          <w:color w:val="000000"/>
          <w:spacing w:val="-2"/>
          <w:sz w:val="24"/>
        </w:rPr>
        <w:t>未取得瓶装燃气经营许可证或者供应许可证擅自从事瓶装燃气经营活动的，向无瓶装燃气经营许可证或者供应许可证的单位和个人供应用于销售的燃气的，由建设主管部门依照《江苏省燃气管理条例》第五十七条的规定予以处罚。</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第十八条</w:t>
      </w:r>
      <w:r>
        <w:rPr>
          <w:rFonts w:eastAsia="方正仿宋_GBK"/>
          <w:color w:val="000000"/>
          <w:spacing w:val="-2"/>
          <w:sz w:val="24"/>
        </w:rPr>
        <w:t xml:space="preserve">   </w:t>
      </w:r>
      <w:r>
        <w:rPr>
          <w:rFonts w:hint="eastAsia" w:eastAsia="方正仿宋_GBK"/>
          <w:color w:val="000000"/>
          <w:spacing w:val="-2"/>
          <w:sz w:val="24"/>
        </w:rPr>
        <w:t>本办法自发文之日起施行。</w:t>
      </w:r>
    </w:p>
    <w:p>
      <w:pPr>
        <w:pStyle w:val="2"/>
        <w:spacing w:before="240" w:beforeLines="100" w:after="240" w:afterLines="100" w:line="240" w:lineRule="auto"/>
        <w:jc w:val="center"/>
        <w:rPr>
          <w:rFonts w:ascii="Times New Roman" w:eastAsia="方正小标宋_GBK"/>
          <w:b w:val="0"/>
          <w:sz w:val="36"/>
          <w:szCs w:val="36"/>
        </w:rPr>
      </w:pPr>
      <w:r>
        <w:rPr>
          <w:b w:val="0"/>
        </w:rPr>
        <w:br w:type="column"/>
      </w:r>
      <w:bookmarkStart w:id="56" w:name="_Toc20726310"/>
      <w:bookmarkStart w:id="57" w:name="_Toc18315390"/>
      <w:r>
        <w:rPr>
          <w:rFonts w:hint="eastAsia" w:ascii="Times New Roman" w:eastAsia="方正小标宋_GBK"/>
          <w:b w:val="0"/>
          <w:sz w:val="36"/>
          <w:szCs w:val="36"/>
        </w:rPr>
        <w:t>关于贯彻建设部《关于加强市政公用事业监管的意见》的通知</w:t>
      </w:r>
      <w:bookmarkEnd w:id="56"/>
      <w:bookmarkEnd w:id="57"/>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58" w:name="_Toc18315391"/>
      <w:bookmarkStart w:id="59" w:name="_Toc20726311"/>
      <w:r>
        <w:rPr>
          <w:rFonts w:hint="eastAsia" w:ascii="Times New Roman" w:hAnsi="Times New Roman" w:eastAsia="方正楷体_GBK"/>
          <w:b w:val="0"/>
          <w:sz w:val="24"/>
          <w:szCs w:val="24"/>
        </w:rPr>
        <w:t>苏建城〔</w:t>
      </w:r>
      <w:r>
        <w:rPr>
          <w:rFonts w:ascii="Times New Roman" w:hAnsi="Times New Roman" w:eastAsia="方正楷体_GBK"/>
          <w:b w:val="0"/>
          <w:sz w:val="24"/>
          <w:szCs w:val="24"/>
        </w:rPr>
        <w:t>2005</w:t>
      </w:r>
      <w:r>
        <w:rPr>
          <w:rFonts w:hint="eastAsia" w:ascii="Times New Roman" w:hAnsi="Times New Roman" w:eastAsia="方正楷体_GBK"/>
          <w:b w:val="0"/>
          <w:sz w:val="24"/>
          <w:szCs w:val="24"/>
        </w:rPr>
        <w:t>〕</w:t>
      </w:r>
      <w:r>
        <w:rPr>
          <w:rFonts w:ascii="Times New Roman" w:hAnsi="Times New Roman" w:eastAsia="方正楷体_GBK"/>
          <w:b w:val="0"/>
          <w:sz w:val="24"/>
          <w:szCs w:val="24"/>
        </w:rPr>
        <w:t>591</w:t>
      </w:r>
      <w:r>
        <w:rPr>
          <w:rFonts w:hint="eastAsia" w:ascii="Times New Roman" w:hAnsi="Times New Roman" w:eastAsia="方正楷体_GBK"/>
          <w:b w:val="0"/>
          <w:sz w:val="24"/>
          <w:szCs w:val="24"/>
        </w:rPr>
        <w:t>号</w:t>
      </w:r>
      <w:bookmarkEnd w:id="58"/>
      <w:bookmarkEnd w:id="59"/>
    </w:p>
    <w:p>
      <w:pPr>
        <w:spacing w:line="460" w:lineRule="exact"/>
        <w:rPr>
          <w:rFonts w:eastAsia="方正仿宋_GBK"/>
          <w:color w:val="000000"/>
          <w:sz w:val="24"/>
        </w:rPr>
      </w:pPr>
      <w:r>
        <w:rPr>
          <w:rFonts w:hint="eastAsia" w:eastAsia="方正仿宋_GBK"/>
          <w:color w:val="000000"/>
          <w:sz w:val="24"/>
        </w:rPr>
        <w:t>各市、县（市）建设局（委）、市政公用局、城管（市容）局：</w:t>
      </w:r>
    </w:p>
    <w:p>
      <w:pPr>
        <w:spacing w:line="460" w:lineRule="exact"/>
        <w:ind w:firstLine="480" w:firstLineChars="200"/>
        <w:rPr>
          <w:rFonts w:eastAsia="方正仿宋_GBK"/>
          <w:color w:val="000000"/>
          <w:sz w:val="24"/>
        </w:rPr>
      </w:pPr>
      <w:r>
        <w:rPr>
          <w:rFonts w:hint="eastAsia" w:eastAsia="方正仿宋_GBK"/>
          <w:color w:val="000000"/>
          <w:sz w:val="24"/>
        </w:rPr>
        <w:t>现将建设部《关于加强市政公用事业监管的意见》</w:t>
      </w:r>
      <w:r>
        <w:rPr>
          <w:rFonts w:eastAsia="方正仿宋_GBK"/>
          <w:color w:val="000000"/>
          <w:sz w:val="24"/>
        </w:rPr>
        <w:t>(</w:t>
      </w:r>
      <w:r>
        <w:rPr>
          <w:rFonts w:hint="eastAsia" w:eastAsia="方正仿宋_GBK"/>
          <w:color w:val="000000"/>
          <w:sz w:val="24"/>
        </w:rPr>
        <w:t>建城〔</w:t>
      </w:r>
      <w:r>
        <w:rPr>
          <w:rFonts w:eastAsia="方正仿宋_GBK"/>
          <w:color w:val="000000"/>
          <w:sz w:val="24"/>
        </w:rPr>
        <w:t>2005</w:t>
      </w:r>
      <w:r>
        <w:rPr>
          <w:rFonts w:hint="eastAsia" w:eastAsia="方正仿宋_GBK"/>
          <w:color w:val="000000"/>
          <w:sz w:val="24"/>
        </w:rPr>
        <w:t>〕</w:t>
      </w:r>
      <w:r>
        <w:rPr>
          <w:rFonts w:eastAsia="方正仿宋_GBK"/>
          <w:color w:val="000000"/>
          <w:sz w:val="24"/>
        </w:rPr>
        <w:t>154</w:t>
      </w:r>
      <w:r>
        <w:rPr>
          <w:rFonts w:hint="eastAsia" w:eastAsia="方正仿宋_GBK"/>
          <w:color w:val="000000"/>
          <w:sz w:val="24"/>
        </w:rPr>
        <w:t>号</w:t>
      </w:r>
      <w:r>
        <w:rPr>
          <w:rFonts w:eastAsia="方正仿宋_GBK"/>
          <w:color w:val="000000"/>
          <w:sz w:val="24"/>
        </w:rPr>
        <w:t>)</w:t>
      </w:r>
      <w:r>
        <w:rPr>
          <w:rFonts w:hint="eastAsia" w:eastAsia="方正仿宋_GBK"/>
          <w:color w:val="000000"/>
          <w:sz w:val="24"/>
        </w:rPr>
        <w:t>转发给你们，为促进我省市政公用事业健康发展，结合我省实际，提出如下贯彻意见，请一并贯彻执行。</w:t>
      </w:r>
    </w:p>
    <w:p>
      <w:pPr>
        <w:spacing w:line="460" w:lineRule="exact"/>
        <w:ind w:firstLine="480" w:firstLineChars="200"/>
        <w:rPr>
          <w:rFonts w:eastAsia="方正仿宋_GBK"/>
          <w:color w:val="000000"/>
          <w:sz w:val="24"/>
        </w:rPr>
      </w:pPr>
      <w:r>
        <w:rPr>
          <w:rFonts w:hint="eastAsia" w:eastAsia="黑体"/>
          <w:color w:val="000000"/>
          <w:sz w:val="24"/>
        </w:rPr>
        <w:t>一、提高认识，增强对市政公用事业监管工作的责任感与使命感。</w:t>
      </w:r>
      <w:r>
        <w:rPr>
          <w:rFonts w:hint="eastAsia" w:eastAsia="方正仿宋_GBK"/>
          <w:color w:val="000000"/>
          <w:sz w:val="24"/>
        </w:rPr>
        <w:t>近年来，我省通过推进市场化改革，切实加快了市政公用事业发展步伐，市政公用各行业的管理水平与服务质量有了较大提高，但与全省社会、经济的发展要求相比、与人们群众的服务需求相比，市政公用事业的服务质量还有待提高。推进市场化改革后政府对市政公用事业的监管方式和要求也发生了变化，总体上来看，政府对于市政公用事业市场化的监管工作滞后于改革进程，影响了公平、公正市政公用事业市场的形成。加强政府监管是市政公用事业市场化的重要内容，健全的政府监管体系是推进市政公用事业市场化的重要保障。各地市政公用主管部门要进一步统一思想，充分认识在积极稳妥推进市政公用事业市场化前提下，加强监管的必要性和重要性。要按照既不越位、也不缺位的要求，转变管理方式，健全监管体系，加大监管力度，提高监管水平。</w:t>
      </w:r>
    </w:p>
    <w:p>
      <w:pPr>
        <w:spacing w:line="460" w:lineRule="exact"/>
        <w:ind w:firstLine="480" w:firstLineChars="200"/>
        <w:rPr>
          <w:rFonts w:eastAsia="方正仿宋_GBK"/>
          <w:color w:val="000000"/>
          <w:sz w:val="24"/>
        </w:rPr>
      </w:pPr>
      <w:r>
        <w:rPr>
          <w:rFonts w:hint="eastAsia" w:eastAsia="黑体"/>
          <w:color w:val="000000"/>
          <w:sz w:val="24"/>
        </w:rPr>
        <w:t>二、把握重点，认真抓好有关监管措施的落实</w:t>
      </w:r>
      <w:r>
        <w:rPr>
          <w:rFonts w:hint="eastAsia" w:eastAsia="方正仿宋_GBK"/>
          <w:color w:val="000000"/>
          <w:sz w:val="24"/>
        </w:rPr>
        <w:t>。对市政公用事业的监管是各级政府的职责，市政公用事业必须实施全过程和全流程监督，因此，监管工作量大、政策性强、责任性重，必须准确把握住重点，抓好有关监管措施的落实。</w:t>
      </w:r>
    </w:p>
    <w:p>
      <w:pPr>
        <w:spacing w:line="460" w:lineRule="exact"/>
        <w:ind w:firstLine="480" w:firstLineChars="200"/>
        <w:rPr>
          <w:rFonts w:eastAsia="方正仿宋_GBK"/>
          <w:color w:val="000000"/>
          <w:sz w:val="24"/>
        </w:rPr>
      </w:pPr>
      <w:r>
        <w:rPr>
          <w:rFonts w:hint="eastAsia" w:eastAsia="方正仿宋_GBK"/>
          <w:color w:val="000000"/>
          <w:sz w:val="24"/>
        </w:rPr>
        <w:t>（一）加快法制建设。市政公用事业监管包括市场准入、产品与服务质量、运行安全、价格与收费、管线网络系统以及市场竞争秩序等方面，加强市政公用事业监管，必须建立健全相应的行业管理法规体系。各地要在推进市政公用行业市场化进程中，结合市政公用各行业的特点，按照国家、省对市政公用事业监管的具体规定和要求，进一步制定市政公用各行业具体的监管实施办法，落实监管主体。要建立健全规范、系统、完善的监管实施规则，明确监管的事项、程序与措施要求，规定监管机构与监管人员的职责范围和监督方式，做到有法可依、依法行政、依法监管，保证市政公用事业的正常运转和健康有序发展。</w:t>
      </w:r>
    </w:p>
    <w:p>
      <w:pPr>
        <w:spacing w:line="460" w:lineRule="exact"/>
        <w:ind w:firstLine="480" w:firstLineChars="200"/>
        <w:rPr>
          <w:rFonts w:eastAsia="方正仿宋_GBK"/>
          <w:color w:val="000000"/>
          <w:sz w:val="24"/>
        </w:rPr>
      </w:pPr>
      <w:r>
        <w:rPr>
          <w:rFonts w:hint="eastAsia" w:eastAsia="方正仿宋_GBK"/>
          <w:color w:val="000000"/>
          <w:sz w:val="24"/>
        </w:rPr>
        <w:t>（二）进一步规范市场准入管理。对市政公用市场主体的进入和退出管理，是建立规范有序的市政公用市场的重要保证，也是市场主体加强自身管理、不断提高运行水平的重要前提。各地要按照《市政公用事业特许经营管理办法》的要求，结合本地实际和市政公用各行业的特点，制定市场进入条件和退出要求、程序，对进入市场的主体在法人资格、资本金与财务状况、银行资信、社会信誉、经营管理人员业绩等方面做出规定，把好市场准入关；对进入市政公用市场的主体在履行经营权义务、执行城市总体规划和市政公用行业专业规划、执行行业产品与服务质量标准、严格安全生产管理、履行普遍服务义务、企业社会信誉等方面作出规定，实施严格的市场清退制度。</w:t>
      </w:r>
    </w:p>
    <w:p>
      <w:pPr>
        <w:spacing w:line="460" w:lineRule="exact"/>
        <w:ind w:firstLine="480" w:firstLineChars="200"/>
        <w:rPr>
          <w:rFonts w:eastAsia="方正仿宋_GBK"/>
          <w:color w:val="000000"/>
          <w:sz w:val="24"/>
        </w:rPr>
      </w:pPr>
      <w:r>
        <w:rPr>
          <w:rFonts w:hint="eastAsia" w:eastAsia="方正仿宋_GBK"/>
          <w:color w:val="000000"/>
          <w:sz w:val="24"/>
        </w:rPr>
        <w:t>各地要按照市场准入条件和程序，以特许经营协议内容为招标主要条件、综合考虑成本、价格、经营方案、产品质量与服务承诺、特殊情况下的紧急措施等因素，制定特许经营实施方案，并报省建设厅备案。签订特许经营协议，授予特许经营权，应报省建设厅备案。</w:t>
      </w:r>
    </w:p>
    <w:p>
      <w:pPr>
        <w:spacing w:line="460" w:lineRule="exact"/>
        <w:ind w:firstLine="480" w:firstLineChars="200"/>
        <w:rPr>
          <w:rFonts w:eastAsia="方正仿宋_GBK"/>
          <w:color w:val="000000"/>
          <w:sz w:val="24"/>
        </w:rPr>
      </w:pPr>
      <w:r>
        <w:rPr>
          <w:rFonts w:hint="eastAsia" w:eastAsia="方正仿宋_GBK"/>
          <w:color w:val="000000"/>
          <w:sz w:val="24"/>
        </w:rPr>
        <w:t>对实施特许经营的市政公用行业，市场主体在经营期满前退出的，要按市场退出程序办理批准手续，并报省建设厅备案。</w:t>
      </w:r>
    </w:p>
    <w:p>
      <w:pPr>
        <w:spacing w:line="460" w:lineRule="exact"/>
        <w:ind w:firstLine="480" w:firstLineChars="200"/>
        <w:rPr>
          <w:rFonts w:eastAsia="方正仿宋_GBK"/>
          <w:color w:val="000000"/>
          <w:sz w:val="24"/>
        </w:rPr>
      </w:pPr>
      <w:r>
        <w:rPr>
          <w:rFonts w:hint="eastAsia" w:eastAsia="方正仿宋_GBK"/>
          <w:color w:val="000000"/>
          <w:sz w:val="24"/>
        </w:rPr>
        <w:t>（三）进一步完善特许经营管理制度。各地要按照《市政公用事业特许经营管理办法》的要求，具体落实市场准入和退出、特许经营权招投标、特许经营项目中期评估、特许情况下临时接管、对违规企业的披露、公众监督与参与、上级主管部门备案等规定，完善特许经营制度。</w:t>
      </w:r>
    </w:p>
    <w:p>
      <w:pPr>
        <w:spacing w:line="460" w:lineRule="exact"/>
        <w:ind w:firstLine="480" w:firstLineChars="200"/>
        <w:rPr>
          <w:rFonts w:eastAsia="方正仿宋_GBK"/>
          <w:color w:val="000000"/>
          <w:sz w:val="24"/>
        </w:rPr>
      </w:pPr>
      <w:r>
        <w:rPr>
          <w:rFonts w:hint="eastAsia" w:eastAsia="方正仿宋_GBK"/>
          <w:color w:val="000000"/>
          <w:sz w:val="24"/>
        </w:rPr>
        <w:t>要健全特许经营招标投标制度。各地要根据特许经营项目的特点，按照公开、公正、公平的原则，严格招标投标制度，严禁议标。对经营范围、期限、产品和服务质量标准、设施建设和维护、生产和作业安全、普遍服务、价格或付费、违约责任、争议解决、信息报告、市场退出和监管规定等主要内容设定详细条款，明确相关责任和义务，其核心内容应设定为招标的前置条件，从招标投标程序和内容两方面不断完善特许经营权招标投标制度。完善履约保证制度。各地要建立和完善履约保证制度，应要求投资、经营和作业者对其关于市政公用事业产品和服务质量标准、普遍服务和设施建设、维护等作业的承诺提供履约包函或保证金等履约保证，防止违约行为，降低履约风险；同时，政府应当严格按照协议或合同的约定履行义务，承担责任。建立公众参与监督制度。要按照政务事务公开的要求，将特许经营经营企业产品和服务质量信息、市政公用行业主管部门的监督信息，以适当的方式予以披露，自觉接受公众监督；要完善公众咨询、投诉和处理机制，尊重社会公众的知情权，鼓励公众参与监督。建立评估考核制度。市政公用行业主管部门应对特经营项目的设施建设、设施和设备、产品和服务质量、公众投诉及处理、成本控制、安全保障等有关情况建立评估制度。评估周期一般为两年，特殊情况可以实施年度评估。评估结果报省建设厅备案，并应与费用支付和价格调整挂钩，评估中发现的问题，要督促企业进行整改。特许经营企业应积极配合，如实提供有关资料，企业投资等重大事项的决策应及时向城市市政公用主管部门备案。建立独立董事和监督员制度。各地可以根据特许经营协议约定，委派独立董事进入市政公用特许经营企业的董事会，代表政府行使维护社会公共利益的责任，对可能损害公众利益或危及公共安全的行为要及时制止；委派监督员对特许经营供水、供气、污水和垃圾处理企业进行全流程监督。独立董事和监督员不应干预企业正常的生产和经营活动，并应定期实行轮换。</w:t>
      </w:r>
    </w:p>
    <w:p>
      <w:pPr>
        <w:spacing w:line="460" w:lineRule="exact"/>
        <w:ind w:firstLine="480" w:firstLineChars="200"/>
        <w:rPr>
          <w:rFonts w:eastAsia="方正仿宋_GBK"/>
          <w:color w:val="000000"/>
          <w:sz w:val="24"/>
        </w:rPr>
      </w:pPr>
      <w:r>
        <w:rPr>
          <w:rFonts w:hint="eastAsia" w:eastAsia="方正仿宋_GBK"/>
          <w:color w:val="000000"/>
          <w:sz w:val="24"/>
        </w:rPr>
        <w:t>各地实施特许经营的市政公用项目的必须签订特许经营协议，没有签订协议或协议不完善的，应按规定程序补充和完善特许经营协议。</w:t>
      </w:r>
    </w:p>
    <w:p>
      <w:pPr>
        <w:spacing w:line="460" w:lineRule="exact"/>
        <w:ind w:firstLine="480" w:firstLineChars="200"/>
        <w:rPr>
          <w:rFonts w:eastAsia="方正仿宋_GBK"/>
          <w:color w:val="000000"/>
          <w:sz w:val="24"/>
        </w:rPr>
      </w:pPr>
      <w:r>
        <w:rPr>
          <w:rFonts w:hint="eastAsia" w:eastAsia="方正仿宋_GBK"/>
          <w:color w:val="000000"/>
          <w:sz w:val="24"/>
        </w:rPr>
        <w:t>（四）加强产品和服务质量的监督。各城市市政公用行业主管部门既要对各行业的投资、建设、生产、运营者及其相关活动实施全程监督，更要突出对产品和服务质量、运行管理过程的重点监督检查、要按照国家和省有关产品与服务质量标准及监测检查要求，制定具体的监管实施办法，对产品质量实行定期监测检查和不定期抽查，对服务质量要实行定期、不定期检查和巡查，对监测检查中发现的问题要提出书面整改意见，并监督经营服务企业限期整改。对产品质量的监测结果要按规定报省建设厅。</w:t>
      </w:r>
    </w:p>
    <w:p>
      <w:pPr>
        <w:spacing w:line="460" w:lineRule="exact"/>
        <w:ind w:firstLine="480" w:firstLineChars="200"/>
        <w:rPr>
          <w:rFonts w:eastAsia="方正仿宋_GBK"/>
          <w:color w:val="000000"/>
          <w:sz w:val="24"/>
        </w:rPr>
      </w:pPr>
      <w:r>
        <w:rPr>
          <w:rFonts w:hint="eastAsia" w:eastAsia="方正仿宋_GBK"/>
          <w:color w:val="000000"/>
          <w:sz w:val="24"/>
        </w:rPr>
        <w:t>（五）建立应急预案和预警机制。市政公用事业的安全运行关系到公共利益、公共安全和社会的稳定，责任重大，对此，国家、省各级政府十分重视，正在制定完善有关应急预案和预警机制。各地市政公用主管部门要在城市政府应急预案体系中，建立有关市政公用应急预案。特许经营市场公用企业也制定企业的应急预案，建立预警机制，并与城市市政共用主管部门应急预案体系相衔接。</w:t>
      </w:r>
    </w:p>
    <w:p>
      <w:pPr>
        <w:spacing w:line="460" w:lineRule="exact"/>
        <w:ind w:firstLine="480" w:firstLineChars="200"/>
        <w:rPr>
          <w:rFonts w:eastAsia="方正仿宋_GBK"/>
          <w:color w:val="000000"/>
          <w:sz w:val="24"/>
        </w:rPr>
      </w:pPr>
      <w:r>
        <w:rPr>
          <w:rFonts w:hint="eastAsia" w:eastAsia="方正仿宋_GBK"/>
          <w:color w:val="000000"/>
          <w:sz w:val="24"/>
        </w:rPr>
        <w:t>要制定特殊情况下临时接管的应急预案，在出现重大安全隐患，危害公共安全、公共利益和社会稳定时，可由城市市政公用主管部门实施临时接管；实施临时接管必须报省建设厅备案，必要时省建设厅将跨区域组织技术力量，为临时接管提供支持和保障，确保市政公用企业生产、供应和服务的连续性、稳定性。</w:t>
      </w:r>
    </w:p>
    <w:p>
      <w:pPr>
        <w:spacing w:line="460" w:lineRule="exact"/>
        <w:ind w:firstLine="480" w:firstLineChars="200"/>
        <w:rPr>
          <w:rFonts w:eastAsia="方正仿宋_GBK"/>
          <w:color w:val="000000"/>
          <w:sz w:val="24"/>
        </w:rPr>
      </w:pPr>
      <w:r>
        <w:rPr>
          <w:rFonts w:hint="eastAsia" w:eastAsia="方正仿宋_GBK"/>
          <w:color w:val="000000"/>
          <w:sz w:val="24"/>
        </w:rPr>
        <w:t>（六）强化经营与作业成本监管。各地要建立健全特许经营市政公用行业经营与作业成本监管机制，为市政公用产品和服务价格调整或费用支付提供依据。各地要通过区域同行业成本比较，激励经营企业改进技术，降低成本；要建立市政公用行业产品和服务成本年度监审制度，掌握企业经营成本，为政府定价、作业定额标准调整及政府补偿提供依据，防止成本和价格不合理上涨。</w:t>
      </w:r>
    </w:p>
    <w:p>
      <w:pPr>
        <w:spacing w:line="460" w:lineRule="exact"/>
        <w:ind w:firstLine="480" w:firstLineChars="200"/>
        <w:rPr>
          <w:rFonts w:eastAsia="方正仿宋_GBK"/>
          <w:color w:val="000000"/>
          <w:sz w:val="24"/>
        </w:rPr>
      </w:pPr>
      <w:r>
        <w:rPr>
          <w:rFonts w:hint="eastAsia" w:eastAsia="方正仿宋_GBK"/>
          <w:color w:val="000000"/>
          <w:sz w:val="24"/>
        </w:rPr>
        <w:t>各地城市市政公用主管部门要配合价格、财政部门要推进价格与收费改革，努力形成科学合理的价格和费用形成机制。要加强污水、垃圾处理费的使用管理，确保处理费专项用于污水和生活垃圾的收集、运输和处理。</w:t>
      </w:r>
    </w:p>
    <w:p>
      <w:pPr>
        <w:spacing w:line="460" w:lineRule="exact"/>
        <w:ind w:firstLine="480" w:firstLineChars="200"/>
        <w:rPr>
          <w:rFonts w:eastAsia="方正仿宋_GBK"/>
          <w:color w:val="000000"/>
          <w:sz w:val="24"/>
        </w:rPr>
      </w:pPr>
      <w:r>
        <w:rPr>
          <w:rFonts w:hint="eastAsia" w:eastAsia="黑体"/>
          <w:color w:val="000000"/>
          <w:sz w:val="24"/>
        </w:rPr>
        <w:t>三、强化市政公用监管工作的监督实施</w:t>
      </w:r>
      <w:r>
        <w:rPr>
          <w:rFonts w:hint="eastAsia" w:eastAsia="方正仿宋_GBK"/>
          <w:color w:val="000000"/>
          <w:sz w:val="24"/>
        </w:rPr>
        <w:t>。明确落实监管工作，关键在监管程序、监管标准和监管措施等方面要落实到位。近年来，我省在建立市政公用各行业的监管程序与监管标准方面，通过强化法规、制定地方标准、印发文件规定等途径，逐步得到规范，下一步还将继续抓紧有关行业监管标准和制定工作。</w:t>
      </w:r>
    </w:p>
    <w:p>
      <w:pPr>
        <w:spacing w:line="460" w:lineRule="exact"/>
        <w:ind w:firstLine="480" w:firstLineChars="200"/>
        <w:rPr>
          <w:rFonts w:eastAsia="方正仿宋_GBK"/>
          <w:color w:val="000000"/>
          <w:sz w:val="24"/>
        </w:rPr>
      </w:pPr>
      <w:r>
        <w:rPr>
          <w:rFonts w:hint="eastAsia" w:eastAsia="方正仿宋_GBK"/>
          <w:color w:val="000000"/>
          <w:sz w:val="24"/>
        </w:rPr>
        <w:t>各城市市政公用主管部门要按照市政公用行业产品和服务质量要求，制定监管程序和措施，严格日常监管，市政公用各行业年度监管情况要报省建设厅。省建设厅将对市政公用各行业监管工作情况每两年检查一次，对特殊情况的城市实施年度检查。重点检查城市实施市政公用主管部门监管工作、特许经营协议执行情况，对产品和服务质量的监测和检查情况、经营和作业成本监管情况、应急预案和预警机制执行情况、公众对市政公用产品和服务的满意状况。</w:t>
      </w:r>
    </w:p>
    <w:p>
      <w:pPr>
        <w:spacing w:line="460" w:lineRule="exact"/>
        <w:ind w:firstLine="480" w:firstLineChars="200"/>
        <w:rPr>
          <w:rFonts w:eastAsia="方正仿宋_GBK"/>
          <w:color w:val="000000"/>
          <w:sz w:val="24"/>
        </w:rPr>
      </w:pPr>
      <w:r>
        <w:rPr>
          <w:rFonts w:hint="eastAsia" w:eastAsia="方正仿宋_GBK"/>
          <w:color w:val="000000"/>
          <w:sz w:val="24"/>
        </w:rPr>
        <w:t>特许经营市政公用企业要按照特许经营协议的约定，向城市市政公用主管部门上报年度生产、经营情况，特殊情况下要及时报告生产、经营情况。积极做好市政公用产品供应，努力提高服务质量。</w:t>
      </w:r>
    </w:p>
    <w:p>
      <w:pPr>
        <w:spacing w:line="460" w:lineRule="exact"/>
        <w:ind w:firstLine="480" w:firstLineChars="200"/>
        <w:rPr>
          <w:rFonts w:eastAsia="方正仿宋_GBK"/>
          <w:color w:val="000000"/>
          <w:sz w:val="24"/>
        </w:rPr>
      </w:pPr>
      <w:r>
        <w:rPr>
          <w:rFonts w:hint="eastAsia" w:eastAsia="黑体"/>
          <w:color w:val="000000"/>
          <w:sz w:val="24"/>
        </w:rPr>
        <w:t>四、切实加强对市政公用事业监管的组织领导</w:t>
      </w:r>
      <w:r>
        <w:rPr>
          <w:rFonts w:hint="eastAsia" w:eastAsia="方正仿宋_GBK"/>
          <w:color w:val="000000"/>
          <w:sz w:val="24"/>
        </w:rPr>
        <w:t>。市政公用事业监管是一项复杂的系统工程，涉及管理体制的改革创新，各地要切实加强组织领导，确保监管效果。</w:t>
      </w:r>
    </w:p>
    <w:p>
      <w:pPr>
        <w:spacing w:line="460" w:lineRule="exact"/>
        <w:ind w:firstLine="480" w:firstLineChars="200"/>
        <w:rPr>
          <w:rFonts w:eastAsia="方正仿宋_GBK"/>
          <w:color w:val="000000"/>
          <w:sz w:val="24"/>
        </w:rPr>
      </w:pPr>
      <w:r>
        <w:rPr>
          <w:rFonts w:hint="eastAsia" w:eastAsia="方正仿宋_GBK"/>
          <w:color w:val="000000"/>
          <w:sz w:val="24"/>
        </w:rPr>
        <w:t>（一）整合监管力量。各地要按照</w:t>
      </w:r>
      <w:r>
        <w:rPr>
          <w:rFonts w:eastAsia="方正仿宋_GBK"/>
          <w:color w:val="000000"/>
          <w:sz w:val="24"/>
        </w:rPr>
        <w:t>“</w:t>
      </w:r>
      <w:r>
        <w:rPr>
          <w:rFonts w:hint="eastAsia" w:eastAsia="方正仿宋_GBK"/>
          <w:color w:val="000000"/>
          <w:sz w:val="24"/>
        </w:rPr>
        <w:t>经济调节、市场监督、社会管理、公共服务</w:t>
      </w:r>
      <w:r>
        <w:rPr>
          <w:rFonts w:eastAsia="方正仿宋_GBK"/>
          <w:color w:val="000000"/>
          <w:sz w:val="24"/>
        </w:rPr>
        <w:t>”</w:t>
      </w:r>
      <w:r>
        <w:rPr>
          <w:rFonts w:hint="eastAsia" w:eastAsia="方正仿宋_GBK"/>
          <w:color w:val="000000"/>
          <w:sz w:val="24"/>
        </w:rPr>
        <w:t>的要求，切实转变政府职能，认真履行监管职责。要尽快从直接参与经营管理转向加强市场监督、完善公共服务，建立起完善的监管体系和工作机制。要根据当地实际，整合行政资源，对有关监管的机构、队伍进行综合管理，稳步推进综合监管体系建设，逐步建立起统一领导、统一法规、统一标准、统一监管的管理体制。</w:t>
      </w:r>
    </w:p>
    <w:p>
      <w:pPr>
        <w:spacing w:line="460" w:lineRule="exact"/>
        <w:ind w:firstLine="480" w:firstLineChars="200"/>
        <w:rPr>
          <w:rFonts w:eastAsia="方正仿宋_GBK"/>
          <w:color w:val="000000"/>
          <w:sz w:val="24"/>
        </w:rPr>
      </w:pPr>
      <w:r>
        <w:rPr>
          <w:rFonts w:hint="eastAsia" w:eastAsia="方正仿宋_GBK"/>
          <w:color w:val="000000"/>
          <w:sz w:val="24"/>
        </w:rPr>
        <w:t>（二）积极稳妥地推进改革。各地要按照省政府关于推进市政公用事业改革的有关文件要求，继续稳步地深化市政公用事业市场化改革，运用好、落实好有关改革配套政策，保障职工合法权益，保证国有资产不流失，确保行业稳定与社会安定。</w:t>
      </w:r>
    </w:p>
    <w:p>
      <w:pPr>
        <w:spacing w:line="460" w:lineRule="exact"/>
        <w:ind w:firstLine="480" w:firstLineChars="200"/>
        <w:rPr>
          <w:rFonts w:eastAsia="方正仿宋_GBK"/>
          <w:color w:val="000000"/>
          <w:sz w:val="24"/>
        </w:rPr>
      </w:pPr>
      <w:r>
        <w:rPr>
          <w:rFonts w:hint="eastAsia" w:eastAsia="方正仿宋_GBK"/>
          <w:color w:val="000000"/>
          <w:sz w:val="24"/>
        </w:rPr>
        <w:t>市政公用事业监管的涉及面广、专业性强、工作量大，主要工作和责任在城市人民政府。各城市市政公用公用事业主管部门要在当地政府统一领导下，认真履行职责，健全监管体系，落实监管责任，为构建和谐社会、促进经济发展做出贡献。</w:t>
      </w:r>
    </w:p>
    <w:p>
      <w:pPr>
        <w:spacing w:line="460" w:lineRule="exact"/>
        <w:ind w:firstLine="600" w:firstLineChars="250"/>
        <w:rPr>
          <w:rFonts w:eastAsia="方正仿宋_GBK"/>
          <w:color w:val="000000"/>
          <w:sz w:val="24"/>
        </w:rPr>
      </w:pPr>
    </w:p>
    <w:p>
      <w:pPr>
        <w:spacing w:line="460" w:lineRule="exact"/>
        <w:ind w:firstLine="600" w:firstLineChars="250"/>
        <w:rPr>
          <w:rFonts w:eastAsia="方正仿宋_GBK"/>
          <w:color w:val="000000"/>
          <w:sz w:val="24"/>
        </w:rPr>
      </w:pPr>
      <w:r>
        <w:rPr>
          <w:rFonts w:hint="eastAsia" w:eastAsia="方正仿宋_GBK"/>
          <w:color w:val="000000"/>
          <w:sz w:val="24"/>
        </w:rPr>
        <w:t>附件：建设部《关于加强市政公用事业监管的意见》</w:t>
      </w:r>
    </w:p>
    <w:p>
      <w:pPr>
        <w:spacing w:line="460" w:lineRule="exact"/>
        <w:rPr>
          <w:rFonts w:eastAsia="方正仿宋_GBK"/>
          <w:color w:val="000000"/>
          <w:sz w:val="24"/>
        </w:rPr>
      </w:pPr>
    </w:p>
    <w:p>
      <w:pPr>
        <w:spacing w:line="460" w:lineRule="exact"/>
        <w:ind w:firstLine="6372" w:firstLineChars="2700"/>
        <w:rPr>
          <w:rFonts w:eastAsia="方正仿宋_GBK"/>
          <w:color w:val="000000"/>
          <w:sz w:val="24"/>
        </w:rPr>
      </w:pPr>
      <w:r>
        <w:rPr>
          <w:rFonts w:hint="eastAsia" w:eastAsia="方正仿宋_GBK"/>
          <w:color w:val="000000"/>
          <w:spacing w:val="-2"/>
          <w:sz w:val="24"/>
        </w:rPr>
        <w:t>江苏省建设厅</w:t>
      </w:r>
    </w:p>
    <w:p>
      <w:pPr>
        <w:spacing w:line="460" w:lineRule="exact"/>
        <w:ind w:right="498" w:rightChars="237"/>
        <w:jc w:val="right"/>
        <w:rPr>
          <w:rFonts w:eastAsia="方正仿宋_GBK"/>
          <w:color w:val="000000"/>
          <w:sz w:val="24"/>
        </w:rPr>
      </w:pPr>
      <w:r>
        <w:rPr>
          <w:rFonts w:hint="eastAsia" w:eastAsia="方正仿宋_GBK"/>
          <w:color w:val="000000"/>
          <w:sz w:val="24"/>
        </w:rPr>
        <w:t>二〇〇五年十二月一日</w:t>
      </w:r>
    </w:p>
    <w:p>
      <w:pPr>
        <w:spacing w:line="460" w:lineRule="exact"/>
        <w:rPr>
          <w:rFonts w:ascii="Times New Roman" w:eastAsia="方正黑体_GBK"/>
          <w:color w:val="000000"/>
          <w:spacing w:val="-2"/>
          <w:sz w:val="24"/>
        </w:rPr>
      </w:pPr>
      <w:r>
        <w:rPr>
          <w:color w:val="000000"/>
        </w:rPr>
        <w:br w:type="column"/>
      </w:r>
      <w:r>
        <w:rPr>
          <w:rFonts w:hint="eastAsia" w:ascii="Times New Roman" w:eastAsia="方正黑体_GBK"/>
          <w:color w:val="000000"/>
          <w:spacing w:val="-2"/>
          <w:sz w:val="24"/>
        </w:rPr>
        <w:t>附件：</w:t>
      </w:r>
    </w:p>
    <w:p>
      <w:pPr>
        <w:spacing w:line="460" w:lineRule="exact"/>
        <w:rPr>
          <w:rFonts w:hint="eastAsia" w:eastAsia="方正仿宋_GBK"/>
          <w:color w:val="000000"/>
          <w:spacing w:val="-2"/>
          <w:sz w:val="24"/>
        </w:rPr>
      </w:pPr>
    </w:p>
    <w:p>
      <w:pPr>
        <w:spacing w:line="460" w:lineRule="exact"/>
        <w:jc w:val="center"/>
        <w:rPr>
          <w:rFonts w:ascii="Times New Roman" w:eastAsia="方正黑体_GBK"/>
          <w:color w:val="000000"/>
          <w:spacing w:val="-2"/>
          <w:sz w:val="36"/>
          <w:szCs w:val="36"/>
        </w:rPr>
      </w:pPr>
      <w:r>
        <w:rPr>
          <w:rFonts w:hint="eastAsia" w:ascii="Times New Roman" w:eastAsia="方正黑体_GBK"/>
          <w:color w:val="000000"/>
          <w:spacing w:val="-2"/>
          <w:sz w:val="36"/>
          <w:szCs w:val="36"/>
        </w:rPr>
        <w:t>建设部关于加强市政公用事业监管的意见</w:t>
      </w:r>
    </w:p>
    <w:p>
      <w:pPr>
        <w:spacing w:line="460" w:lineRule="exact"/>
        <w:rPr>
          <w:rFonts w:hint="eastAsia" w:eastAsia="方正仿宋_GBK"/>
          <w:color w:val="000000"/>
          <w:spacing w:val="-2"/>
          <w:sz w:val="24"/>
        </w:rPr>
      </w:pPr>
    </w:p>
    <w:p>
      <w:pPr>
        <w:spacing w:line="460" w:lineRule="exact"/>
        <w:jc w:val="center"/>
        <w:rPr>
          <w:rFonts w:eastAsia="方正楷体_GBK"/>
          <w:color w:val="000000"/>
          <w:spacing w:val="-2"/>
          <w:sz w:val="24"/>
        </w:rPr>
      </w:pPr>
      <w:r>
        <w:rPr>
          <w:rFonts w:hint="eastAsia" w:eastAsia="方正楷体_GBK"/>
          <w:color w:val="000000"/>
          <w:spacing w:val="-2"/>
          <w:sz w:val="24"/>
        </w:rPr>
        <w:t>建城〔</w:t>
      </w:r>
      <w:r>
        <w:rPr>
          <w:rFonts w:eastAsia="方正楷体_GBK"/>
          <w:color w:val="000000"/>
          <w:spacing w:val="-2"/>
          <w:sz w:val="24"/>
        </w:rPr>
        <w:t>2005</w:t>
      </w:r>
      <w:r>
        <w:rPr>
          <w:rFonts w:hint="eastAsia" w:eastAsia="方正楷体_GBK"/>
          <w:color w:val="000000"/>
          <w:spacing w:val="-2"/>
          <w:sz w:val="24"/>
        </w:rPr>
        <w:t>〕</w:t>
      </w:r>
      <w:r>
        <w:rPr>
          <w:rFonts w:eastAsia="方正楷体_GBK"/>
          <w:color w:val="000000"/>
          <w:spacing w:val="-2"/>
          <w:sz w:val="24"/>
        </w:rPr>
        <w:t>154</w:t>
      </w:r>
      <w:r>
        <w:rPr>
          <w:rFonts w:hint="eastAsia" w:eastAsia="方正楷体_GBK"/>
          <w:color w:val="000000"/>
          <w:spacing w:val="-2"/>
          <w:sz w:val="24"/>
        </w:rPr>
        <w:t>号</w:t>
      </w:r>
    </w:p>
    <w:p>
      <w:pPr>
        <w:spacing w:line="460" w:lineRule="exact"/>
        <w:ind w:firstLine="472" w:firstLineChars="200"/>
        <w:rPr>
          <w:rFonts w:eastAsia="方正仿宋_GBK"/>
          <w:color w:val="000000"/>
          <w:spacing w:val="-2"/>
          <w:sz w:val="24"/>
        </w:rPr>
      </w:pPr>
    </w:p>
    <w:p>
      <w:pPr>
        <w:spacing w:line="460" w:lineRule="exact"/>
        <w:rPr>
          <w:rFonts w:eastAsia="方正仿宋_GBK"/>
          <w:color w:val="000000"/>
          <w:spacing w:val="-2"/>
          <w:sz w:val="24"/>
        </w:rPr>
      </w:pPr>
      <w:r>
        <w:rPr>
          <w:rFonts w:hint="eastAsia" w:eastAsia="方正仿宋_GBK"/>
          <w:color w:val="000000"/>
          <w:spacing w:val="-2"/>
          <w:sz w:val="24"/>
        </w:rPr>
        <w:t>各省、自治区建设厅，直辖市建委及有关部门，新疆生产建设兵团建设局：</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为了加快推进市政公用事业市场化，促进市政公用事业健康发展，按照党中央、国务院关于</w:t>
      </w:r>
      <w:r>
        <w:rPr>
          <w:rFonts w:eastAsia="方正仿宋_GBK"/>
          <w:color w:val="000000"/>
          <w:spacing w:val="-2"/>
          <w:sz w:val="24"/>
        </w:rPr>
        <w:t>“</w:t>
      </w:r>
      <w:r>
        <w:rPr>
          <w:rFonts w:hint="eastAsia" w:eastAsia="方正仿宋_GBK"/>
          <w:color w:val="000000"/>
          <w:spacing w:val="-2"/>
          <w:sz w:val="24"/>
        </w:rPr>
        <w:t>推进供水、供气等市政公用事业市场化进程</w:t>
      </w:r>
      <w:r>
        <w:rPr>
          <w:rFonts w:eastAsia="方正仿宋_GBK"/>
          <w:color w:val="000000"/>
          <w:spacing w:val="-2"/>
          <w:sz w:val="24"/>
        </w:rPr>
        <w:t>”</w:t>
      </w:r>
      <w:r>
        <w:rPr>
          <w:rFonts w:hint="eastAsia" w:eastAsia="方正仿宋_GBK"/>
          <w:color w:val="000000"/>
          <w:spacing w:val="-2"/>
          <w:sz w:val="24"/>
        </w:rPr>
        <w:t>和</w:t>
      </w:r>
      <w:r>
        <w:rPr>
          <w:rFonts w:eastAsia="方正仿宋_GBK"/>
          <w:color w:val="000000"/>
          <w:spacing w:val="-2"/>
          <w:sz w:val="24"/>
        </w:rPr>
        <w:t>“</w:t>
      </w:r>
      <w:r>
        <w:rPr>
          <w:rFonts w:hint="eastAsia" w:eastAsia="方正仿宋_GBK"/>
          <w:color w:val="000000"/>
          <w:spacing w:val="-2"/>
          <w:sz w:val="24"/>
        </w:rPr>
        <w:t>对自然垄断业务要进行有效监管</w:t>
      </w:r>
      <w:r>
        <w:rPr>
          <w:rFonts w:eastAsia="方正仿宋_GBK"/>
          <w:color w:val="000000"/>
          <w:spacing w:val="-2"/>
          <w:sz w:val="24"/>
        </w:rPr>
        <w:t>”</w:t>
      </w:r>
      <w:r>
        <w:rPr>
          <w:rFonts w:hint="eastAsia" w:eastAsia="方正仿宋_GBK"/>
          <w:color w:val="000000"/>
          <w:spacing w:val="-2"/>
          <w:sz w:val="24"/>
        </w:rPr>
        <w:t>的要求，现就加强市政公用事业监管工作提出如下意见。</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一、充分认识加强市政公用事业监管的重要意义</w:t>
      </w:r>
    </w:p>
    <w:p>
      <w:pPr>
        <w:spacing w:line="460" w:lineRule="exact"/>
        <w:ind w:firstLine="472" w:firstLineChars="200"/>
        <w:rPr>
          <w:rFonts w:hint="eastAsia" w:eastAsia="方正仿宋_GBK"/>
          <w:color w:val="000000"/>
          <w:spacing w:val="-2"/>
          <w:sz w:val="24"/>
        </w:rPr>
      </w:pPr>
      <w:r>
        <w:rPr>
          <w:rFonts w:hint="eastAsia" w:eastAsia="方正仿宋_GBK"/>
          <w:color w:val="000000"/>
          <w:spacing w:val="-2"/>
          <w:sz w:val="24"/>
        </w:rPr>
        <w:t>市政公用事业是为城镇居民生产生活提供必需的普遍服务的行业，主要包括城市供水排水和污水处理、供气、集中供热、城市道路和公共交通、环境卫生和垃圾处理以及园林绿化等。</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市政公用事业是城市重要的基础设施，是城市经济和社会发展的重要载体，直接关系到社会公众利益，关系到人民群众生活质量，关系到城市经济和社会的可持续发展，具有显著的基础性、先导性、公用性和自然垄断性。</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近几年来，各地认真贯彻落实《中共中央关于完善社会主义市场经济体制若干问题的决定》，加快市政公用事业的改革，积极推进市政公用事业市场化进程，取得了显著成就。市政公用事业市场全方位开放，行业垄断局面已经打破；竞争机制全面引入，多元化投资结构基本形成；产权制度改革促进了经营效率的提高，市场经济促进了市政公用事业的持续发展。但是，在推进市场化的进程中，一些地方认识上还有偏差；不重视公平、公开的竞争机制的建立；存在着监管意识不强，监管工作不落实，监管能力薄弱和监管效率不高等问题。</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市政公用事业是自然垄断性行业。为维护人民群众的利益，保证市政公用事业的安全运行，城市人民政府必须切实加强对市政公用事业的监管。加强市政公用事业监管是推进市政公用事业市场化的重要内容，健全的市政公用事业监管体系是推进市场化的重要保障，市政公用事业监管应贯穿于市政公用事业市场化的全过程。各地要认真贯彻</w:t>
      </w:r>
      <w:r>
        <w:rPr>
          <w:rFonts w:eastAsia="方正仿宋_GBK"/>
          <w:color w:val="000000"/>
          <w:spacing w:val="-2"/>
          <w:sz w:val="24"/>
        </w:rPr>
        <w:t>“</w:t>
      </w:r>
      <w:r>
        <w:rPr>
          <w:rFonts w:hint="eastAsia" w:eastAsia="方正仿宋_GBK"/>
          <w:color w:val="000000"/>
          <w:spacing w:val="-2"/>
          <w:sz w:val="24"/>
        </w:rPr>
        <w:t>三个代表</w:t>
      </w:r>
      <w:r>
        <w:rPr>
          <w:rFonts w:eastAsia="方正仿宋_GBK"/>
          <w:color w:val="000000"/>
          <w:spacing w:val="-2"/>
          <w:sz w:val="24"/>
        </w:rPr>
        <w:t>”</w:t>
      </w:r>
      <w:r>
        <w:rPr>
          <w:rFonts w:hint="eastAsia" w:eastAsia="方正仿宋_GBK"/>
          <w:color w:val="000000"/>
          <w:spacing w:val="-2"/>
          <w:sz w:val="24"/>
        </w:rPr>
        <w:t>重要思想和</w:t>
      </w:r>
      <w:r>
        <w:rPr>
          <w:rFonts w:eastAsia="方正仿宋_GBK"/>
          <w:color w:val="000000"/>
          <w:spacing w:val="-2"/>
          <w:sz w:val="24"/>
        </w:rPr>
        <w:t>“</w:t>
      </w:r>
      <w:r>
        <w:rPr>
          <w:rFonts w:hint="eastAsia" w:eastAsia="方正仿宋_GBK"/>
          <w:color w:val="000000"/>
          <w:spacing w:val="-2"/>
          <w:sz w:val="24"/>
        </w:rPr>
        <w:t>立党为公、执政为民</w:t>
      </w:r>
      <w:r>
        <w:rPr>
          <w:rFonts w:eastAsia="方正仿宋_GBK"/>
          <w:color w:val="000000"/>
          <w:spacing w:val="-2"/>
          <w:sz w:val="24"/>
        </w:rPr>
        <w:t>”</w:t>
      </w:r>
      <w:r>
        <w:rPr>
          <w:rFonts w:hint="eastAsia" w:eastAsia="方正仿宋_GBK"/>
          <w:color w:val="000000"/>
          <w:spacing w:val="-2"/>
          <w:sz w:val="24"/>
        </w:rPr>
        <w:t>的要求，充分认识加强市政公用事业监管的重要意义，在推进市政公用事业市场化进程中，始终坚持代表最广大人民群众的根本利益，把加强市政公用事业监管摆到重要的议事日程，落实监管责任，抓好监管工作，促进市政公用事业的健康发展。</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二、认真抓好市政公用事业监管的有关工作</w:t>
      </w:r>
    </w:p>
    <w:p>
      <w:pPr>
        <w:spacing w:line="460" w:lineRule="exact"/>
        <w:ind w:firstLine="472" w:firstLineChars="200"/>
        <w:rPr>
          <w:rFonts w:hint="eastAsia" w:eastAsia="方正仿宋_GBK"/>
          <w:color w:val="000000"/>
          <w:spacing w:val="-2"/>
          <w:sz w:val="24"/>
        </w:rPr>
      </w:pPr>
      <w:r>
        <w:rPr>
          <w:rFonts w:hint="eastAsia" w:eastAsia="方正仿宋_GBK"/>
          <w:color w:val="000000"/>
          <w:spacing w:val="-2"/>
          <w:sz w:val="24"/>
        </w:rPr>
        <w:t>市政公用事业监管是各地政府及其有关部门为维护社会公众利益和公共安全，依据有关法律法规对市政公用事业的投资、建设、生产、运营者及其相关活动实施的行政管理与监督。</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市政公用事业监管主要包括：市场进入与退出的监管、运行安全的监管、产品与服务质量的监管、价格与收费的监管、管线网络系统的监管、市场竞争秩序的监管等。当前要重点抓好以下几项工作：</w:t>
      </w:r>
    </w:p>
    <w:p>
      <w:pPr>
        <w:spacing w:line="460" w:lineRule="exact"/>
        <w:ind w:firstLine="472" w:firstLineChars="200"/>
        <w:rPr>
          <w:rFonts w:eastAsia="方正仿宋_GBK"/>
          <w:color w:val="000000"/>
          <w:spacing w:val="-2"/>
          <w:sz w:val="24"/>
        </w:rPr>
      </w:pPr>
      <w:r>
        <w:rPr>
          <w:rFonts w:hint="eastAsia" w:ascii="Times New Roman" w:eastAsia="方正楷体_GBK"/>
          <w:color w:val="000000"/>
          <w:spacing w:val="-2"/>
          <w:sz w:val="24"/>
        </w:rPr>
        <w:t>（一）规范市场准入</w:t>
      </w:r>
      <w:r>
        <w:rPr>
          <w:rFonts w:hint="eastAsia" w:eastAsia="方正仿宋_GBK"/>
          <w:color w:val="000000"/>
          <w:spacing w:val="-2"/>
          <w:sz w:val="24"/>
        </w:rPr>
        <w:t>。市场准入是市政公用事业监管的首要环节，必须科学制定标准，严格操作程序，把好市场准入关。</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各省级建设主管部门要按照有关法律法规和《市政公用事业特许经营管理办法》的要求，结合本地实际情况和各行业的特点，明确市场准入条件，规定市场准入程序，坚持公开、公正、公平的竞争原则，完善招投标制度，并负责对实施情况监督检查。</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各城市市政公用事业主管部门要严格按照市场准入条件和程序，结合项目的特点，认真组织编制招标文件。要明确招标主体、招标范围、招标程序、开标、评标和中标规则，进行公开招标。要将特许经营协议的核心内容作为招标的基本条件，综合考虑成本、价格、经营方案、质量和服务承诺、特殊情况的紧急措施等因素，择优选择中标者。</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市政公用事业主管部门要及时同中标者签订特许经营协议，授予特许经营权，同时，报上一级主管部门备案。</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各地要制定和完善市场退出规则，明确规定市场退出的申请和批准程序。经营期限届满，应按照准入程序和准入条件，重新进行招标。</w:t>
      </w:r>
    </w:p>
    <w:p>
      <w:pPr>
        <w:spacing w:line="460" w:lineRule="exact"/>
        <w:ind w:firstLine="472" w:firstLineChars="200"/>
        <w:rPr>
          <w:rFonts w:eastAsia="方正仿宋_GBK"/>
          <w:color w:val="000000"/>
          <w:spacing w:val="-2"/>
          <w:sz w:val="24"/>
        </w:rPr>
      </w:pPr>
      <w:r>
        <w:rPr>
          <w:rFonts w:hint="eastAsia" w:ascii="Times New Roman" w:eastAsia="方正楷体_GBK"/>
          <w:color w:val="000000"/>
          <w:spacing w:val="-2"/>
          <w:sz w:val="24"/>
        </w:rPr>
        <w:t>（二）完善特许经营制度。</w:t>
      </w:r>
      <w:r>
        <w:rPr>
          <w:rFonts w:hint="eastAsia" w:eastAsia="方正仿宋_GBK"/>
          <w:color w:val="000000"/>
          <w:spacing w:val="-2"/>
          <w:sz w:val="24"/>
        </w:rPr>
        <w:t>特许经营制度是市政公用事业市场化的主要实现形式，要逐步通过立法的形式明确特许经营的法律地位。要按照《市政公用事业特许经营管理办法》的要求，具体落实市场准入和退出、特许经营权招标投标、特许经营项目中期评估、特殊情况下临时接管、对违规企业的披露、公众监督与参与、上级主管部门备案等规定，完善特许经营制度。</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市政公用事业特许经营协议是界定协议双方权利与义务的法律文件，是对特许经营行为进行监管的重要依据。实施特许经营的项目必须签订特许经营协议，没有签订协议或协议不完善的，要及时补签和完善特许经营协议。</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要充分发挥中介机构的作用。市政公用事业主管部门应组织或委托独立和符合条件的中介机构进行项目的招标、评估和产品质量检验、检测等。要引入竞争机制，择优选择中介机构。要加强对中介机构的监管，建立中介机构的评估制度，并及时向社会公布。</w:t>
      </w:r>
    </w:p>
    <w:p>
      <w:pPr>
        <w:spacing w:line="460" w:lineRule="exact"/>
        <w:ind w:firstLine="472" w:firstLineChars="200"/>
        <w:rPr>
          <w:rFonts w:eastAsia="方正仿宋_GBK"/>
          <w:color w:val="000000"/>
          <w:spacing w:val="-2"/>
          <w:sz w:val="24"/>
        </w:rPr>
      </w:pPr>
      <w:r>
        <w:rPr>
          <w:rFonts w:hint="eastAsia" w:ascii="Times New Roman" w:eastAsia="方正楷体_GBK"/>
          <w:color w:val="000000"/>
          <w:spacing w:val="-2"/>
          <w:sz w:val="24"/>
        </w:rPr>
        <w:t>（三）加强产品和服务质量的监督检查。</w:t>
      </w:r>
      <w:r>
        <w:rPr>
          <w:rFonts w:hint="eastAsia" w:eastAsia="方正仿宋_GBK"/>
          <w:color w:val="000000"/>
          <w:spacing w:val="-2"/>
          <w:sz w:val="24"/>
        </w:rPr>
        <w:t>产品和服务质量监管是市政公用事业监管的重要内容。市政公用事业主管部门应定期对市政公用事业的产品和服务质量进行检验、检测和检查。</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城市市政公用事业主管部门要按照有关产品和服务质量标准的要求，建立市政公用事业产品和服务质量监测制度，对企业提供的产品和服务质量实施定点、定时监测。监测结果要按有关规定报上级主管部门。</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要加强对特许经营项目的评估工作，建立定期评估机制。对评估中发现的产品和服务质量问题，要提出整改意见并监督企业限期整改。评估的结果应与费用支付和价格调整挂钩。评估结果要及时报上一级主管部门备案。</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要尊重社会公众的知情权，鼓励公众参与监督，建立通畅的信息渠道，完善公众咨询、监督机制，及时将产品和服务质量检查、监测、评估结果和整改情况以适当的方式向社会公布。</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对于供水、供气、污水和垃圾处理等行业，市政公用事业主管部门可派遣人员驻场监管。监管员不应干预企业正常的生产和经营活动。</w:t>
      </w:r>
    </w:p>
    <w:p>
      <w:pPr>
        <w:spacing w:line="460" w:lineRule="exact"/>
        <w:ind w:firstLine="472" w:firstLineChars="200"/>
        <w:rPr>
          <w:rFonts w:eastAsia="方正仿宋_GBK"/>
          <w:color w:val="000000"/>
          <w:spacing w:val="-2"/>
          <w:sz w:val="24"/>
        </w:rPr>
      </w:pPr>
      <w:r>
        <w:rPr>
          <w:rFonts w:hint="eastAsia" w:ascii="Times New Roman" w:eastAsia="方正楷体_GBK"/>
          <w:color w:val="000000"/>
          <w:spacing w:val="-2"/>
          <w:sz w:val="24"/>
        </w:rPr>
        <w:t>（四）落实安全防范措施。</w:t>
      </w:r>
      <w:r>
        <w:rPr>
          <w:rFonts w:hint="eastAsia" w:eastAsia="方正仿宋_GBK"/>
          <w:color w:val="000000"/>
          <w:spacing w:val="-2"/>
          <w:sz w:val="24"/>
        </w:rPr>
        <w:t>市政公用事业的安全运行关系到公共安全和社会稳定，责任重大。市政公用事业主管部门要切实加强对生产运营和作业单位安全生产的监管，监督企业建立和完善各项安全保障制度，严格执行安全操作规程，确保市政公用事业生产、供应和服务的连续性、稳定性。</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市政公用事业主管部门要制定安全生产紧急情况应对预案，建立健全安全预警和应急救援工作机制。</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要制定特殊情况下临时接管的应急预案。实施临时接管，必须报上一级主管部门批准。必要时，上一级主管部门可跨区域组织技术力量，为临时接管提供支持和保障。</w:t>
      </w:r>
    </w:p>
    <w:p>
      <w:pPr>
        <w:spacing w:line="460" w:lineRule="exact"/>
        <w:ind w:firstLine="472" w:firstLineChars="200"/>
        <w:rPr>
          <w:rFonts w:eastAsia="方正仿宋_GBK"/>
          <w:color w:val="000000"/>
          <w:spacing w:val="-2"/>
          <w:sz w:val="24"/>
        </w:rPr>
      </w:pPr>
      <w:r>
        <w:rPr>
          <w:rFonts w:hint="eastAsia" w:ascii="Times New Roman" w:eastAsia="方正楷体_GBK"/>
          <w:color w:val="000000"/>
          <w:spacing w:val="-2"/>
          <w:sz w:val="24"/>
        </w:rPr>
        <w:t>（五）强化成本监管。</w:t>
      </w:r>
      <w:r>
        <w:rPr>
          <w:rFonts w:hint="eastAsia" w:eastAsia="方正仿宋_GBK"/>
          <w:color w:val="000000"/>
          <w:spacing w:val="-2"/>
          <w:sz w:val="24"/>
        </w:rPr>
        <w:t>成本监管是合理确定市政公用事业价格，促进企业提高效率的重要手段。各地市政公用事业主管部门要加强对市政公用事业产品和服务的成本监管，配合物价管理部门加快供水、供气、供热等价格的改革，形成科学合理的价格形成机制。</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要通过完善相关定额和标准、进行区域同行业成本比较和绩效评价、定期公布经营状况和成本信息等措施，建立健全成本约束机制，激励经营和作业者改进技术、开源节流、降低成本。要建立市政公用事业产品和服务成本定期监审制度，及时掌握企业经营成本状况，为政府定价提供基础依据，防止成本和价格不合理上涨。</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要完善污水、垃圾处理收费政策，提高收缴率。加强污水和生活垃圾处理费的使用管理，保证处理费专项用于污水和生活垃圾的收集、输送和处理。</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三、切实加强对市政公用事业监管的组织领导</w:t>
      </w:r>
    </w:p>
    <w:p>
      <w:pPr>
        <w:spacing w:line="460" w:lineRule="exact"/>
        <w:ind w:firstLine="472" w:firstLineChars="200"/>
        <w:rPr>
          <w:rFonts w:hint="eastAsia" w:eastAsia="方正仿宋_GBK"/>
          <w:color w:val="000000"/>
          <w:spacing w:val="-2"/>
          <w:sz w:val="24"/>
        </w:rPr>
      </w:pPr>
      <w:r>
        <w:rPr>
          <w:rFonts w:hint="eastAsia" w:eastAsia="方正仿宋_GBK"/>
          <w:color w:val="000000"/>
          <w:spacing w:val="-2"/>
          <w:sz w:val="24"/>
        </w:rPr>
        <w:t>市政公用事业监管是一项复杂的系统工程，涉及到管理体制的改革创新。各地要切实加强对市政公用事业监管的组织领导。</w:t>
      </w:r>
    </w:p>
    <w:p>
      <w:pPr>
        <w:spacing w:line="460" w:lineRule="exact"/>
        <w:ind w:firstLine="472" w:firstLineChars="200"/>
        <w:rPr>
          <w:rFonts w:eastAsia="方正仿宋_GBK"/>
          <w:color w:val="000000"/>
          <w:spacing w:val="-2"/>
          <w:sz w:val="24"/>
        </w:rPr>
      </w:pPr>
      <w:r>
        <w:rPr>
          <w:rFonts w:hint="eastAsia" w:ascii="Times New Roman" w:eastAsia="方正楷体_GBK"/>
          <w:color w:val="000000"/>
          <w:spacing w:val="-2"/>
          <w:sz w:val="24"/>
        </w:rPr>
        <w:t>（一）转变管理方式，落实监管职责</w:t>
      </w:r>
      <w:r>
        <w:rPr>
          <w:rFonts w:hint="eastAsia" w:eastAsia="方正仿宋_GBK"/>
          <w:color w:val="000000"/>
          <w:spacing w:val="-2"/>
          <w:sz w:val="24"/>
        </w:rPr>
        <w:t>。各地要按照</w:t>
      </w:r>
      <w:r>
        <w:rPr>
          <w:rFonts w:eastAsia="方正仿宋_GBK"/>
          <w:color w:val="000000"/>
          <w:spacing w:val="-2"/>
          <w:sz w:val="24"/>
        </w:rPr>
        <w:t>“</w:t>
      </w:r>
      <w:r>
        <w:rPr>
          <w:rFonts w:hint="eastAsia" w:eastAsia="方正仿宋_GBK"/>
          <w:color w:val="000000"/>
          <w:spacing w:val="-2"/>
          <w:sz w:val="24"/>
        </w:rPr>
        <w:t>经济调节、市场监管、社会管理、公共服务</w:t>
      </w:r>
      <w:r>
        <w:rPr>
          <w:rFonts w:eastAsia="方正仿宋_GBK"/>
          <w:color w:val="000000"/>
          <w:spacing w:val="-2"/>
          <w:sz w:val="24"/>
        </w:rPr>
        <w:t>”</w:t>
      </w:r>
      <w:r>
        <w:rPr>
          <w:rFonts w:hint="eastAsia" w:eastAsia="方正仿宋_GBK"/>
          <w:color w:val="000000"/>
          <w:spacing w:val="-2"/>
          <w:sz w:val="24"/>
        </w:rPr>
        <w:t>的要求，切实转变政府职能，尽快从直接参与经营管理转向加强市场监管、完善公共服务，建立起完善的监管体系和工作机制。</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各省、自治区建设行政主管部门负责本行政区域内的市政公用事业监管工作的指导和监督检查。</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市、县人民政府市政公用事业主管部门是市政公用事业监管的具体执行机构，要认真履行监管职责，对本行政区域内市政公用事业准入、运营、退出的全过程进行有效监管。</w:t>
      </w:r>
    </w:p>
    <w:p>
      <w:pPr>
        <w:spacing w:line="460" w:lineRule="exact"/>
        <w:ind w:firstLine="472" w:firstLineChars="200"/>
        <w:rPr>
          <w:rFonts w:eastAsia="方正仿宋_GBK"/>
          <w:color w:val="000000"/>
          <w:spacing w:val="-2"/>
          <w:sz w:val="24"/>
        </w:rPr>
      </w:pPr>
      <w:r>
        <w:rPr>
          <w:rFonts w:hint="eastAsia" w:ascii="Times New Roman" w:eastAsia="方正楷体_GBK"/>
          <w:color w:val="000000"/>
          <w:spacing w:val="-2"/>
          <w:sz w:val="24"/>
        </w:rPr>
        <w:t>（二）完善法律法规，依法实施监管</w:t>
      </w:r>
      <w:r>
        <w:rPr>
          <w:rFonts w:hint="eastAsia" w:eastAsia="方正仿宋_GBK"/>
          <w:color w:val="000000"/>
          <w:spacing w:val="-2"/>
          <w:sz w:val="24"/>
        </w:rPr>
        <w:t>。要严格依据有关法律法规，制定监管程序、监管标准和监管措施，明确监管机构和人员的职责范围和监督方式，依法实施监管。</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要加快相关的法规和技术标准的研究和制定工作，为市政公用事业的监管工作提供法律保障和技术支撑。</w:t>
      </w:r>
    </w:p>
    <w:p>
      <w:pPr>
        <w:spacing w:line="460" w:lineRule="exact"/>
        <w:ind w:firstLine="472" w:firstLineChars="200"/>
        <w:rPr>
          <w:rFonts w:eastAsia="方正仿宋_GBK"/>
          <w:color w:val="000000"/>
          <w:spacing w:val="-2"/>
          <w:sz w:val="24"/>
        </w:rPr>
      </w:pPr>
      <w:r>
        <w:rPr>
          <w:rFonts w:hint="eastAsia" w:ascii="Times New Roman" w:eastAsia="方正楷体_GBK"/>
          <w:color w:val="000000"/>
          <w:spacing w:val="-2"/>
          <w:sz w:val="24"/>
        </w:rPr>
        <w:t>（三）健全监管机构，加强能力建设。</w:t>
      </w:r>
      <w:r>
        <w:rPr>
          <w:rFonts w:hint="eastAsia" w:eastAsia="方正仿宋_GBK"/>
          <w:color w:val="000000"/>
          <w:spacing w:val="-2"/>
          <w:sz w:val="24"/>
        </w:rPr>
        <w:t>城市市政公用事业是不可分割的整体，市政公用事业市场是统一的市场。城市人民政府要充分发挥市政公用事业主管部门在人才、技术、行业管理经验方面的优势，整合行政资源，逐步建立统一的市政公用事业监管机构，实行统一领导、统一法规、统一标准、统一监管的管理体制，切实解决机构重叠、职能交叉、效率低下、监管成本高的问题。</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市政公用事业主管部门要加强监管能力建设，完善监管手段，强化工作人员培训，不断提高业务素质和监管水平。</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对监管人员行政不作为或者渎职失职的，要给予纪律处分，情节严重的，要依法追究责任。</w:t>
      </w:r>
    </w:p>
    <w:p>
      <w:pPr>
        <w:spacing w:line="460" w:lineRule="exact"/>
        <w:ind w:firstLine="472" w:firstLineChars="200"/>
        <w:rPr>
          <w:rFonts w:eastAsia="方正仿宋_GBK"/>
          <w:color w:val="000000"/>
          <w:spacing w:val="-2"/>
          <w:sz w:val="24"/>
        </w:rPr>
      </w:pPr>
      <w:r>
        <w:rPr>
          <w:rFonts w:hint="eastAsia" w:ascii="Times New Roman" w:eastAsia="方正楷体_GBK"/>
          <w:color w:val="000000"/>
          <w:spacing w:val="-2"/>
          <w:sz w:val="24"/>
        </w:rPr>
        <w:t>（四）统筹兼顾，稳步推进产权制度改革</w:t>
      </w:r>
      <w:r>
        <w:rPr>
          <w:rFonts w:hint="eastAsia" w:eastAsia="方正仿宋_GBK"/>
          <w:color w:val="000000"/>
          <w:spacing w:val="-2"/>
          <w:sz w:val="24"/>
        </w:rPr>
        <w:t>。在推进市政公用事业市场化进程中，要正确处理改革、发展、稳定的关系，统筹兼顾职工利益、企业利益、公众利益和国家利益。实施市政公用事业国有企业产权制度改革，要按照《国务院办公厅转发＜国务院国有资产监督管理委员会关于规范国有企业改制工作意见＞的通知》要求，严格组织实施，确保职工的合法权益和国有资产不流失。转让国有产权的价款要优先用于原有职工的安置，剩余价款应主要用于市政公用事业的发展。</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市政公用事业监管，涉及面广、专业性强、工作量大，监管的主要工作和责任在地方。各城市市政公用事业主管部门要按照地方党委、政府的统一部署，认真履行职责，健全监管体系，落实监管责任，加强市政公用事业监管，为构建和谐社会，促进经济和社会可持续发展做出贡献。</w:t>
      </w:r>
    </w:p>
    <w:p>
      <w:pPr>
        <w:pStyle w:val="2"/>
        <w:spacing w:before="240" w:beforeLines="100" w:after="240" w:afterLines="100" w:line="240" w:lineRule="auto"/>
        <w:jc w:val="center"/>
        <w:rPr>
          <w:rFonts w:ascii="Times New Roman" w:eastAsia="方正小标宋_GBK"/>
          <w:b w:val="0"/>
          <w:sz w:val="36"/>
          <w:szCs w:val="36"/>
        </w:rPr>
      </w:pPr>
      <w:r>
        <w:rPr>
          <w:rFonts w:eastAsia="方正仿宋_GBK"/>
          <w:b w:val="0"/>
          <w:color w:val="000000"/>
          <w:spacing w:val="-2"/>
          <w:sz w:val="24"/>
        </w:rPr>
        <w:br w:type="column"/>
      </w:r>
      <w:bookmarkStart w:id="60" w:name="_Toc20726314"/>
      <w:bookmarkStart w:id="61" w:name="_Toc18315394"/>
      <w:r>
        <w:rPr>
          <w:rFonts w:hint="eastAsia" w:ascii="Times New Roman" w:eastAsia="方正小标宋_GBK"/>
          <w:b w:val="0"/>
          <w:sz w:val="36"/>
          <w:szCs w:val="36"/>
        </w:rPr>
        <w:t>关于印发《江苏省城市供水水质督察管理办法》的通知</w:t>
      </w:r>
      <w:bookmarkEnd w:id="60"/>
      <w:bookmarkEnd w:id="61"/>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62" w:name="_Toc18315395"/>
      <w:bookmarkStart w:id="63" w:name="_Toc20726315"/>
      <w:r>
        <w:rPr>
          <w:rFonts w:hint="eastAsia" w:ascii="Times New Roman" w:hAnsi="Times New Roman" w:eastAsia="方正楷体_GBK"/>
          <w:b w:val="0"/>
          <w:sz w:val="24"/>
          <w:szCs w:val="24"/>
        </w:rPr>
        <w:t>苏建城〔</w:t>
      </w:r>
      <w:r>
        <w:rPr>
          <w:rFonts w:ascii="Times New Roman" w:hAnsi="Times New Roman" w:eastAsia="方正楷体_GBK"/>
          <w:b w:val="0"/>
          <w:sz w:val="24"/>
          <w:szCs w:val="24"/>
        </w:rPr>
        <w:t>2006</w:t>
      </w:r>
      <w:r>
        <w:rPr>
          <w:rFonts w:hint="eastAsia" w:ascii="Times New Roman" w:hAnsi="Times New Roman" w:eastAsia="方正楷体_GBK"/>
          <w:b w:val="0"/>
          <w:sz w:val="24"/>
          <w:szCs w:val="24"/>
        </w:rPr>
        <w:t>〕</w:t>
      </w:r>
      <w:r>
        <w:rPr>
          <w:rFonts w:ascii="Times New Roman" w:hAnsi="Times New Roman" w:eastAsia="方正楷体_GBK"/>
          <w:b w:val="0"/>
          <w:sz w:val="24"/>
          <w:szCs w:val="24"/>
        </w:rPr>
        <w:t>63</w:t>
      </w:r>
      <w:r>
        <w:rPr>
          <w:rFonts w:hint="eastAsia" w:ascii="Times New Roman" w:hAnsi="Times New Roman" w:eastAsia="方正楷体_GBK"/>
          <w:b w:val="0"/>
          <w:sz w:val="24"/>
          <w:szCs w:val="24"/>
        </w:rPr>
        <w:t>号</w:t>
      </w:r>
      <w:bookmarkEnd w:id="62"/>
      <w:bookmarkEnd w:id="63"/>
    </w:p>
    <w:p>
      <w:pPr>
        <w:overflowPunct w:val="0"/>
        <w:topLinePunct/>
        <w:spacing w:line="460" w:lineRule="exact"/>
        <w:jc w:val="left"/>
        <w:rPr>
          <w:rFonts w:eastAsia="方正仿宋_GBK"/>
          <w:color w:val="000000"/>
          <w:spacing w:val="-2"/>
          <w:sz w:val="24"/>
        </w:rPr>
      </w:pPr>
      <w:r>
        <w:rPr>
          <w:rFonts w:hint="eastAsia" w:eastAsia="方正仿宋_GBK"/>
          <w:color w:val="000000"/>
          <w:spacing w:val="-2"/>
          <w:sz w:val="24"/>
        </w:rPr>
        <w:t>各市建设局（建委），市政公用局：</w:t>
      </w:r>
    </w:p>
    <w:p>
      <w:pPr>
        <w:overflowPunct w:val="0"/>
        <w:topLinePunct/>
        <w:spacing w:line="460" w:lineRule="exact"/>
        <w:ind w:firstLine="472" w:firstLineChars="200"/>
        <w:jc w:val="left"/>
        <w:rPr>
          <w:rFonts w:eastAsia="方正仿宋_GBK"/>
          <w:color w:val="000000"/>
          <w:spacing w:val="-2"/>
          <w:sz w:val="24"/>
        </w:rPr>
      </w:pPr>
      <w:r>
        <w:rPr>
          <w:rFonts w:hint="eastAsia" w:eastAsia="方正仿宋_GBK"/>
          <w:color w:val="000000"/>
          <w:spacing w:val="-2"/>
          <w:sz w:val="24"/>
        </w:rPr>
        <w:t>为加强城市供水水质督察管理，保障城市供水水质安全，根据《城市供水水质管理规定》（建设部</w:t>
      </w:r>
      <w:r>
        <w:rPr>
          <w:rFonts w:eastAsia="方正仿宋_GBK"/>
          <w:color w:val="000000"/>
          <w:spacing w:val="-2"/>
          <w:sz w:val="24"/>
        </w:rPr>
        <w:t>67</w:t>
      </w:r>
      <w:r>
        <w:rPr>
          <w:rFonts w:hint="eastAsia" w:eastAsia="方正仿宋_GBK"/>
          <w:color w:val="000000"/>
          <w:spacing w:val="-2"/>
          <w:sz w:val="24"/>
        </w:rPr>
        <w:t>号令）有关要求，我厅制定了《江苏省城市供水水质督察管理办法》，现印发给你们，请遵照执行。</w:t>
      </w:r>
    </w:p>
    <w:p>
      <w:pPr>
        <w:overflowPunct w:val="0"/>
        <w:topLinePunct/>
        <w:spacing w:line="460" w:lineRule="exact"/>
        <w:ind w:firstLine="645"/>
        <w:jc w:val="left"/>
        <w:rPr>
          <w:rFonts w:eastAsia="方正仿宋_GBK"/>
          <w:color w:val="000000"/>
          <w:spacing w:val="-2"/>
          <w:sz w:val="24"/>
        </w:rPr>
      </w:pPr>
    </w:p>
    <w:p>
      <w:pPr>
        <w:overflowPunct w:val="0"/>
        <w:topLinePunct/>
        <w:spacing w:line="460" w:lineRule="exact"/>
        <w:ind w:firstLine="472" w:firstLineChars="200"/>
        <w:jc w:val="left"/>
        <w:rPr>
          <w:rFonts w:eastAsia="方正仿宋_GBK"/>
          <w:color w:val="000000"/>
          <w:spacing w:val="-2"/>
          <w:sz w:val="24"/>
        </w:rPr>
      </w:pPr>
      <w:r>
        <w:rPr>
          <w:rFonts w:hint="eastAsia" w:eastAsia="方正仿宋_GBK"/>
          <w:color w:val="000000"/>
          <w:spacing w:val="-2"/>
          <w:sz w:val="24"/>
        </w:rPr>
        <w:t>附件：《江苏省城市供水水质督察管理办法》</w:t>
      </w:r>
    </w:p>
    <w:p>
      <w:pPr>
        <w:overflowPunct w:val="0"/>
        <w:topLinePunct/>
        <w:spacing w:line="460" w:lineRule="exact"/>
        <w:ind w:firstLine="645"/>
        <w:jc w:val="left"/>
        <w:rPr>
          <w:rFonts w:eastAsia="方正仿宋_GBK"/>
          <w:color w:val="000000"/>
          <w:spacing w:val="-2"/>
          <w:sz w:val="24"/>
        </w:rPr>
      </w:pPr>
    </w:p>
    <w:p>
      <w:pPr>
        <w:wordWrap w:val="0"/>
        <w:overflowPunct w:val="0"/>
        <w:topLinePunct/>
        <w:spacing w:line="460" w:lineRule="exact"/>
        <w:ind w:firstLine="645"/>
        <w:jc w:val="right"/>
        <w:rPr>
          <w:rFonts w:eastAsia="方正仿宋_GBK"/>
          <w:color w:val="000000"/>
          <w:spacing w:val="-2"/>
          <w:sz w:val="24"/>
        </w:rPr>
      </w:pPr>
      <w:r>
        <w:rPr>
          <w:rFonts w:hint="eastAsia" w:eastAsia="方正仿宋_GBK"/>
          <w:color w:val="000000"/>
          <w:spacing w:val="-2"/>
          <w:sz w:val="24"/>
        </w:rPr>
        <w:t>江苏省建设厅</w:t>
      </w:r>
      <w:r>
        <w:rPr>
          <w:rFonts w:eastAsia="方正仿宋_GBK"/>
          <w:color w:val="000000"/>
          <w:spacing w:val="-2"/>
          <w:sz w:val="24"/>
        </w:rPr>
        <w:t xml:space="preserve">         </w:t>
      </w:r>
    </w:p>
    <w:p>
      <w:pPr>
        <w:wordWrap w:val="0"/>
        <w:overflowPunct w:val="0"/>
        <w:topLinePunct/>
        <w:spacing w:line="460" w:lineRule="exact"/>
        <w:ind w:firstLine="645"/>
        <w:jc w:val="right"/>
        <w:rPr>
          <w:rFonts w:eastAsia="方正仿宋_GBK"/>
          <w:color w:val="000000"/>
          <w:spacing w:val="-2"/>
          <w:sz w:val="24"/>
        </w:rPr>
      </w:pPr>
      <w:r>
        <w:rPr>
          <w:rFonts w:hint="eastAsia" w:eastAsia="方正仿宋_GBK"/>
          <w:color w:val="000000"/>
          <w:spacing w:val="-2"/>
          <w:sz w:val="24"/>
        </w:rPr>
        <w:t>二</w:t>
      </w:r>
      <w:r>
        <w:rPr>
          <w:rFonts w:hint="eastAsia" w:eastAsia="方正仿宋_GBK"/>
          <w:bCs/>
          <w:snapToGrid w:val="0"/>
          <w:color w:val="000000"/>
          <w:spacing w:val="-2"/>
          <w:kern w:val="0"/>
          <w:sz w:val="24"/>
        </w:rPr>
        <w:t>○○</w:t>
      </w:r>
      <w:r>
        <w:rPr>
          <w:rFonts w:hint="eastAsia" w:eastAsia="方正仿宋_GBK"/>
          <w:color w:val="000000"/>
          <w:spacing w:val="-2"/>
          <w:sz w:val="24"/>
        </w:rPr>
        <w:t>六年二月二十四日</w:t>
      </w:r>
      <w:r>
        <w:rPr>
          <w:rFonts w:eastAsia="方正仿宋_GBK"/>
          <w:color w:val="000000"/>
          <w:spacing w:val="-2"/>
          <w:sz w:val="24"/>
        </w:rPr>
        <w:t xml:space="preserve">    </w:t>
      </w:r>
    </w:p>
    <w:p>
      <w:pPr>
        <w:overflowPunct w:val="0"/>
        <w:topLinePunct/>
        <w:spacing w:line="460" w:lineRule="exact"/>
        <w:jc w:val="left"/>
        <w:rPr>
          <w:rFonts w:eastAsia="方正仿宋_GBK"/>
          <w:color w:val="000000"/>
          <w:spacing w:val="-2"/>
          <w:sz w:val="24"/>
        </w:rPr>
      </w:pPr>
    </w:p>
    <w:p>
      <w:pPr>
        <w:overflowPunct w:val="0"/>
        <w:topLinePunct/>
        <w:spacing w:line="460" w:lineRule="exact"/>
        <w:jc w:val="left"/>
        <w:rPr>
          <w:rFonts w:eastAsia="方正仿宋_GBK"/>
          <w:color w:val="000000"/>
          <w:spacing w:val="-2"/>
          <w:sz w:val="24"/>
        </w:rPr>
      </w:pPr>
    </w:p>
    <w:p>
      <w:pPr>
        <w:overflowPunct w:val="0"/>
        <w:topLinePunct/>
        <w:spacing w:line="460" w:lineRule="exact"/>
        <w:jc w:val="center"/>
        <w:rPr>
          <w:rFonts w:ascii="Times New Roman" w:eastAsia="方正黑体_GBK"/>
          <w:color w:val="000000"/>
          <w:spacing w:val="-2"/>
          <w:sz w:val="36"/>
          <w:szCs w:val="36"/>
        </w:rPr>
      </w:pPr>
      <w:r>
        <w:rPr>
          <w:rFonts w:hint="eastAsia" w:ascii="Times New Roman" w:eastAsia="方正黑体_GBK"/>
          <w:color w:val="000000"/>
          <w:spacing w:val="-2"/>
          <w:sz w:val="36"/>
          <w:szCs w:val="36"/>
        </w:rPr>
        <w:t>江苏省城市供水水质督察管理办法</w:t>
      </w:r>
    </w:p>
    <w:p>
      <w:pPr>
        <w:overflowPunct w:val="0"/>
        <w:topLinePunct/>
        <w:spacing w:line="460" w:lineRule="exact"/>
        <w:jc w:val="left"/>
        <w:rPr>
          <w:rFonts w:hint="eastAsia" w:eastAsia="方正仿宋_GBK"/>
          <w:color w:val="000000"/>
          <w:spacing w:val="-2"/>
          <w:sz w:val="24"/>
        </w:rPr>
      </w:pPr>
      <w:r>
        <w:rPr>
          <w:rFonts w:eastAsia="方正仿宋_GBK"/>
          <w:color w:val="000000"/>
          <w:spacing w:val="-2"/>
          <w:sz w:val="24"/>
        </w:rPr>
        <w:t xml:space="preserve">   </w:t>
      </w:r>
    </w:p>
    <w:p>
      <w:pPr>
        <w:overflowPunct w:val="0"/>
        <w:topLinePunct/>
        <w:spacing w:line="460" w:lineRule="exact"/>
        <w:ind w:firstLine="472" w:firstLineChars="200"/>
        <w:jc w:val="left"/>
        <w:rPr>
          <w:rFonts w:eastAsia="方正仿宋_GBK"/>
          <w:color w:val="000000"/>
          <w:spacing w:val="-2"/>
          <w:sz w:val="24"/>
        </w:rPr>
      </w:pPr>
      <w:r>
        <w:rPr>
          <w:rFonts w:hint="eastAsia" w:ascii="Times New Roman" w:eastAsia="方正黑体_GBK"/>
          <w:color w:val="000000"/>
          <w:spacing w:val="-2"/>
          <w:sz w:val="24"/>
        </w:rPr>
        <w:t>第一条</w:t>
      </w:r>
      <w:r>
        <w:rPr>
          <w:rFonts w:eastAsia="方正仿宋_GBK"/>
          <w:color w:val="000000"/>
          <w:spacing w:val="-2"/>
          <w:sz w:val="24"/>
        </w:rPr>
        <w:t xml:space="preserve">  </w:t>
      </w:r>
      <w:r>
        <w:rPr>
          <w:rFonts w:hint="eastAsia" w:eastAsia="方正仿宋_GBK"/>
          <w:color w:val="000000"/>
          <w:spacing w:val="-2"/>
          <w:sz w:val="24"/>
        </w:rPr>
        <w:t>为加强我省城市供水水质管理，保障供水安全，根据建设部《城市供水水质管理规定》、《生活饮用水卫生标准》（</w:t>
      </w:r>
      <w:r>
        <w:rPr>
          <w:rFonts w:eastAsia="方正仿宋_GBK"/>
          <w:color w:val="000000"/>
          <w:spacing w:val="-2"/>
          <w:sz w:val="24"/>
        </w:rPr>
        <w:t>GB5749-2006</w:t>
      </w:r>
      <w:r>
        <w:rPr>
          <w:rFonts w:hint="eastAsia" w:eastAsia="方正仿宋_GBK"/>
          <w:color w:val="000000"/>
          <w:spacing w:val="-2"/>
          <w:sz w:val="24"/>
        </w:rPr>
        <w:t>）、《城市供水水质标准》（</w:t>
      </w:r>
      <w:r>
        <w:rPr>
          <w:rFonts w:eastAsia="方正仿宋_GBK"/>
          <w:color w:val="000000"/>
          <w:spacing w:val="-2"/>
          <w:sz w:val="24"/>
        </w:rPr>
        <w:t>CJ/T206-2005</w:t>
      </w:r>
      <w:r>
        <w:rPr>
          <w:rFonts w:hint="eastAsia" w:eastAsia="方正仿宋_GBK"/>
          <w:color w:val="000000"/>
          <w:spacing w:val="-2"/>
          <w:sz w:val="24"/>
        </w:rPr>
        <w:t>）和《关于加强城市供水水质督察工作的通知》要求，制定本办法。</w:t>
      </w:r>
    </w:p>
    <w:p>
      <w:pPr>
        <w:overflowPunct w:val="0"/>
        <w:topLinePunct/>
        <w:spacing w:line="460" w:lineRule="exact"/>
        <w:ind w:firstLine="472" w:firstLineChars="200"/>
        <w:jc w:val="left"/>
        <w:rPr>
          <w:rFonts w:eastAsia="方正仿宋_GBK"/>
          <w:color w:val="000000"/>
          <w:spacing w:val="-2"/>
          <w:sz w:val="24"/>
        </w:rPr>
      </w:pPr>
      <w:r>
        <w:rPr>
          <w:rFonts w:hint="eastAsia" w:ascii="Times New Roman" w:eastAsia="方正黑体_GBK"/>
          <w:color w:val="000000"/>
          <w:spacing w:val="-2"/>
          <w:sz w:val="24"/>
        </w:rPr>
        <w:t>第二条</w:t>
      </w:r>
      <w:r>
        <w:rPr>
          <w:rFonts w:eastAsia="方正仿宋_GBK"/>
          <w:color w:val="000000"/>
          <w:spacing w:val="-2"/>
          <w:sz w:val="24"/>
        </w:rPr>
        <w:t xml:space="preserve">  </w:t>
      </w:r>
      <w:r>
        <w:rPr>
          <w:rFonts w:hint="eastAsia" w:eastAsia="方正仿宋_GBK"/>
          <w:color w:val="000000"/>
          <w:spacing w:val="-2"/>
          <w:sz w:val="24"/>
        </w:rPr>
        <w:t>在本省行政区域内从事城市供水水质管理的单位和个人以及城市供水企业必须遵守本办法。</w:t>
      </w:r>
    </w:p>
    <w:p>
      <w:pPr>
        <w:overflowPunct w:val="0"/>
        <w:topLinePunct/>
        <w:spacing w:line="460" w:lineRule="exact"/>
        <w:ind w:firstLine="472" w:firstLineChars="200"/>
        <w:jc w:val="left"/>
        <w:rPr>
          <w:rFonts w:eastAsia="方正仿宋_GBK"/>
          <w:color w:val="000000"/>
          <w:spacing w:val="-2"/>
          <w:sz w:val="24"/>
        </w:rPr>
      </w:pPr>
      <w:r>
        <w:rPr>
          <w:rFonts w:hint="eastAsia" w:ascii="Times New Roman" w:eastAsia="方正黑体_GBK"/>
          <w:color w:val="000000"/>
          <w:spacing w:val="-2"/>
          <w:sz w:val="24"/>
        </w:rPr>
        <w:t>第三条</w:t>
      </w:r>
      <w:r>
        <w:rPr>
          <w:rFonts w:eastAsia="方正仿宋_GBK"/>
          <w:color w:val="000000"/>
          <w:spacing w:val="-2"/>
          <w:sz w:val="24"/>
        </w:rPr>
        <w:t xml:space="preserve">  </w:t>
      </w:r>
      <w:r>
        <w:rPr>
          <w:rFonts w:hint="eastAsia" w:eastAsia="方正仿宋_GBK"/>
          <w:color w:val="000000"/>
          <w:spacing w:val="-2"/>
          <w:sz w:val="24"/>
        </w:rPr>
        <w:t>省建设厅负责全省城市供水水质管理工作，负责城市供水水质督察制度的制定、实施与监督；对重大水质事件进行调查、取证、分析和评估；负责全省城市供水水质督察公报和相关水质报告的制定和发布。</w:t>
      </w:r>
    </w:p>
    <w:p>
      <w:pPr>
        <w:overflowPunct w:val="0"/>
        <w:topLinePunct/>
        <w:spacing w:line="460" w:lineRule="exact"/>
        <w:ind w:firstLine="200"/>
        <w:jc w:val="left"/>
        <w:rPr>
          <w:rFonts w:eastAsia="方正仿宋_GBK"/>
          <w:color w:val="000000"/>
          <w:spacing w:val="-2"/>
          <w:sz w:val="24"/>
        </w:rPr>
      </w:pPr>
      <w:r>
        <w:rPr>
          <w:rFonts w:hint="eastAsia" w:eastAsia="方正仿宋_GBK"/>
          <w:color w:val="000000"/>
          <w:spacing w:val="-2"/>
          <w:sz w:val="24"/>
        </w:rPr>
        <w:t>设区的市供水主管部门负责本行政区域内城市供水水质管理工作，并根据省建设厅制定的水质督察制度，实施本行政区内水质督察工作；配合对重大水质事件进行调查、取证、分析和评估；负责本行政区内城市供水水质督察公报和相关水质报告的制定和发布。</w:t>
      </w:r>
    </w:p>
    <w:p>
      <w:pPr>
        <w:overflowPunct w:val="0"/>
        <w:topLinePunct/>
        <w:spacing w:line="460" w:lineRule="exact"/>
        <w:ind w:firstLine="472" w:firstLineChars="200"/>
        <w:jc w:val="left"/>
        <w:rPr>
          <w:rFonts w:eastAsia="方正仿宋_GBK"/>
          <w:color w:val="000000"/>
          <w:spacing w:val="-2"/>
          <w:sz w:val="24"/>
        </w:rPr>
      </w:pPr>
      <w:r>
        <w:rPr>
          <w:rFonts w:hint="eastAsia" w:ascii="Times New Roman" w:eastAsia="方正黑体_GBK"/>
          <w:color w:val="000000"/>
          <w:spacing w:val="-2"/>
          <w:sz w:val="24"/>
        </w:rPr>
        <w:t>第四条</w:t>
      </w:r>
      <w:r>
        <w:rPr>
          <w:rFonts w:eastAsia="方正仿宋_GBK"/>
          <w:color w:val="000000"/>
          <w:spacing w:val="-2"/>
          <w:sz w:val="24"/>
        </w:rPr>
        <w:t xml:space="preserve">  </w:t>
      </w:r>
      <w:r>
        <w:rPr>
          <w:rFonts w:hint="eastAsia" w:eastAsia="方正仿宋_GBK"/>
          <w:color w:val="000000"/>
          <w:spacing w:val="-2"/>
          <w:sz w:val="24"/>
        </w:rPr>
        <w:t>省建设厅城市建设与管理处具体负责城市供水水质的督察工作，其主要工作职责是：</w:t>
      </w:r>
    </w:p>
    <w:p>
      <w:pPr>
        <w:overflowPunct w:val="0"/>
        <w:topLinePunct/>
        <w:spacing w:line="460" w:lineRule="exact"/>
        <w:ind w:firstLine="472" w:firstLineChars="200"/>
        <w:jc w:val="left"/>
        <w:rPr>
          <w:rFonts w:eastAsia="方正仿宋_GBK"/>
          <w:color w:val="000000"/>
          <w:spacing w:val="-2"/>
          <w:sz w:val="24"/>
        </w:rPr>
      </w:pPr>
      <w:r>
        <w:rPr>
          <w:rFonts w:hint="eastAsia" w:eastAsia="方正仿宋_GBK"/>
          <w:color w:val="000000"/>
          <w:spacing w:val="-2"/>
          <w:sz w:val="24"/>
        </w:rPr>
        <w:t>（一）负责制定水质督察工作计划，编制实施方案与技术规程；</w:t>
      </w:r>
    </w:p>
    <w:p>
      <w:pPr>
        <w:overflowPunct w:val="0"/>
        <w:topLinePunct/>
        <w:spacing w:line="460" w:lineRule="exact"/>
        <w:ind w:firstLine="472" w:firstLineChars="200"/>
        <w:jc w:val="left"/>
        <w:rPr>
          <w:rFonts w:eastAsia="方正仿宋_GBK"/>
          <w:color w:val="000000"/>
          <w:spacing w:val="-2"/>
          <w:sz w:val="24"/>
        </w:rPr>
      </w:pPr>
      <w:r>
        <w:rPr>
          <w:rFonts w:hint="eastAsia" w:eastAsia="方正仿宋_GBK"/>
          <w:color w:val="000000"/>
          <w:spacing w:val="-2"/>
          <w:sz w:val="24"/>
        </w:rPr>
        <w:t>（二）对地方执行供水水质督察计划的情况实施监督；</w:t>
      </w:r>
    </w:p>
    <w:p>
      <w:pPr>
        <w:overflowPunct w:val="0"/>
        <w:topLinePunct/>
        <w:spacing w:line="460" w:lineRule="exact"/>
        <w:ind w:firstLine="472" w:firstLineChars="200"/>
        <w:jc w:val="left"/>
        <w:rPr>
          <w:rFonts w:eastAsia="方正仿宋_GBK"/>
          <w:color w:val="000000"/>
          <w:spacing w:val="-2"/>
          <w:sz w:val="24"/>
        </w:rPr>
      </w:pPr>
      <w:r>
        <w:rPr>
          <w:rFonts w:hint="eastAsia" w:eastAsia="方正仿宋_GBK"/>
          <w:color w:val="000000"/>
          <w:spacing w:val="-2"/>
          <w:sz w:val="24"/>
        </w:rPr>
        <w:t>（三）对地方开展水质督察工作给予指导；</w:t>
      </w:r>
    </w:p>
    <w:p>
      <w:pPr>
        <w:overflowPunct w:val="0"/>
        <w:topLinePunct/>
        <w:spacing w:line="460" w:lineRule="exact"/>
        <w:ind w:firstLine="472" w:firstLineChars="200"/>
        <w:jc w:val="left"/>
        <w:rPr>
          <w:rFonts w:eastAsia="方正仿宋_GBK"/>
          <w:color w:val="000000"/>
          <w:spacing w:val="-2"/>
          <w:sz w:val="24"/>
        </w:rPr>
      </w:pPr>
      <w:r>
        <w:rPr>
          <w:rFonts w:hint="eastAsia" w:eastAsia="方正仿宋_GBK"/>
          <w:color w:val="000000"/>
          <w:spacing w:val="-2"/>
          <w:sz w:val="24"/>
        </w:rPr>
        <w:t>（四）对重大供水水质突发事件进行调查和处理；</w:t>
      </w:r>
    </w:p>
    <w:p>
      <w:pPr>
        <w:overflowPunct w:val="0"/>
        <w:topLinePunct/>
        <w:spacing w:line="460" w:lineRule="exact"/>
        <w:ind w:firstLine="472" w:firstLineChars="200"/>
        <w:jc w:val="left"/>
        <w:rPr>
          <w:rFonts w:eastAsia="方正仿宋_GBK"/>
          <w:color w:val="000000"/>
          <w:spacing w:val="-2"/>
          <w:sz w:val="24"/>
        </w:rPr>
      </w:pPr>
      <w:r>
        <w:rPr>
          <w:rFonts w:hint="eastAsia" w:eastAsia="方正仿宋_GBK"/>
          <w:color w:val="000000"/>
          <w:spacing w:val="-2"/>
          <w:sz w:val="24"/>
        </w:rPr>
        <w:t>（五）对供水企业执行国家标准、规范、规程的情况进行监督；</w:t>
      </w:r>
    </w:p>
    <w:p>
      <w:pPr>
        <w:overflowPunct w:val="0"/>
        <w:topLinePunct/>
        <w:spacing w:line="460" w:lineRule="exact"/>
        <w:ind w:firstLine="472" w:firstLineChars="200"/>
        <w:jc w:val="left"/>
        <w:rPr>
          <w:rFonts w:eastAsia="方正仿宋_GBK"/>
          <w:color w:val="000000"/>
          <w:spacing w:val="-2"/>
          <w:sz w:val="24"/>
        </w:rPr>
      </w:pPr>
      <w:r>
        <w:rPr>
          <w:rFonts w:hint="eastAsia" w:eastAsia="方正仿宋_GBK"/>
          <w:color w:val="000000"/>
          <w:spacing w:val="-2"/>
          <w:sz w:val="24"/>
        </w:rPr>
        <w:t>（六）对全省水质监测结果进行分析和建议，针对水质监测中出现的水质问题，提出改进工艺意见；</w:t>
      </w:r>
    </w:p>
    <w:p>
      <w:pPr>
        <w:overflowPunct w:val="0"/>
        <w:topLinePunct/>
        <w:spacing w:line="460" w:lineRule="exact"/>
        <w:ind w:firstLine="200"/>
        <w:jc w:val="left"/>
        <w:rPr>
          <w:rFonts w:eastAsia="方正仿宋_GBK"/>
          <w:color w:val="000000"/>
          <w:spacing w:val="-2"/>
          <w:sz w:val="24"/>
        </w:rPr>
      </w:pPr>
      <w:r>
        <w:rPr>
          <w:rFonts w:eastAsia="方正仿宋_GBK"/>
          <w:color w:val="000000"/>
          <w:spacing w:val="-2"/>
          <w:sz w:val="24"/>
        </w:rPr>
        <w:t xml:space="preserve">    </w:t>
      </w:r>
      <w:r>
        <w:rPr>
          <w:rFonts w:hint="eastAsia" w:eastAsia="方正仿宋_GBK"/>
          <w:color w:val="000000"/>
          <w:spacing w:val="-2"/>
          <w:sz w:val="24"/>
        </w:rPr>
        <w:t>（七）编制全省城市供水水质督察公报及相关水质报告。</w:t>
      </w:r>
    </w:p>
    <w:p>
      <w:pPr>
        <w:overflowPunct w:val="0"/>
        <w:topLinePunct/>
        <w:spacing w:line="460" w:lineRule="exact"/>
        <w:ind w:firstLine="472" w:firstLineChars="200"/>
        <w:jc w:val="left"/>
        <w:rPr>
          <w:rFonts w:eastAsia="方正仿宋_GBK"/>
          <w:color w:val="000000"/>
          <w:spacing w:val="-2"/>
          <w:sz w:val="24"/>
        </w:rPr>
      </w:pPr>
      <w:r>
        <w:rPr>
          <w:rFonts w:hint="eastAsia" w:ascii="Times New Roman" w:eastAsia="方正黑体_GBK"/>
          <w:color w:val="000000"/>
          <w:spacing w:val="-2"/>
          <w:sz w:val="24"/>
        </w:rPr>
        <w:t>第五条</w:t>
      </w:r>
      <w:r>
        <w:rPr>
          <w:rFonts w:eastAsia="方正仿宋_GBK"/>
          <w:color w:val="000000"/>
          <w:spacing w:val="-2"/>
          <w:sz w:val="24"/>
        </w:rPr>
        <w:t xml:space="preserve">  </w:t>
      </w:r>
      <w:r>
        <w:rPr>
          <w:rFonts w:hint="eastAsia" w:eastAsia="方正仿宋_GBK"/>
          <w:color w:val="000000"/>
          <w:spacing w:val="-2"/>
          <w:sz w:val="24"/>
        </w:rPr>
        <w:t>城市供水水质监管实行政府督察和企业自检相结合的制度。建立供水企业负责、地方供水主管部门监管、省建设行政主管部门督察、社会公众参与的水质管理机制，逐步形成企业自检、行业监测、行政督察、公众监督的水质监管体系。</w:t>
      </w:r>
    </w:p>
    <w:p>
      <w:pPr>
        <w:overflowPunct w:val="0"/>
        <w:topLinePunct/>
        <w:spacing w:line="460" w:lineRule="exact"/>
        <w:ind w:firstLine="472" w:firstLineChars="200"/>
        <w:jc w:val="left"/>
        <w:rPr>
          <w:rFonts w:eastAsia="方正仿宋_GBK"/>
          <w:color w:val="000000"/>
          <w:spacing w:val="-2"/>
          <w:sz w:val="24"/>
        </w:rPr>
      </w:pPr>
      <w:r>
        <w:rPr>
          <w:rFonts w:hint="eastAsia" w:ascii="Times New Roman" w:eastAsia="方正黑体_GBK"/>
          <w:color w:val="000000"/>
          <w:spacing w:val="-2"/>
          <w:sz w:val="24"/>
        </w:rPr>
        <w:t>第六条</w:t>
      </w:r>
      <w:r>
        <w:rPr>
          <w:rFonts w:eastAsia="方正仿宋_GBK"/>
          <w:color w:val="000000"/>
          <w:spacing w:val="-2"/>
          <w:sz w:val="24"/>
        </w:rPr>
        <w:t xml:space="preserve">  </w:t>
      </w:r>
      <w:r>
        <w:rPr>
          <w:rFonts w:hint="eastAsia" w:eastAsia="方正仿宋_GBK"/>
          <w:color w:val="000000"/>
          <w:spacing w:val="-2"/>
          <w:sz w:val="24"/>
        </w:rPr>
        <w:t>城市供水主管部门鼓励各供水企业通过实施水厂改造、采用新型管材、科学的工艺运行方案等手段，提高供水水质。</w:t>
      </w:r>
    </w:p>
    <w:p>
      <w:pPr>
        <w:overflowPunct w:val="0"/>
        <w:topLinePunct/>
        <w:spacing w:line="460" w:lineRule="exact"/>
        <w:ind w:firstLine="472" w:firstLineChars="200"/>
        <w:jc w:val="left"/>
        <w:rPr>
          <w:rFonts w:eastAsia="方正仿宋_GBK"/>
          <w:color w:val="000000"/>
          <w:spacing w:val="-2"/>
          <w:sz w:val="24"/>
        </w:rPr>
      </w:pPr>
      <w:r>
        <w:rPr>
          <w:rFonts w:hint="eastAsia" w:ascii="Times New Roman" w:eastAsia="方正黑体_GBK"/>
          <w:color w:val="000000"/>
          <w:spacing w:val="-2"/>
          <w:sz w:val="24"/>
        </w:rPr>
        <w:t>第七条</w:t>
      </w:r>
      <w:r>
        <w:rPr>
          <w:rFonts w:eastAsia="方正仿宋_GBK"/>
          <w:color w:val="000000"/>
          <w:spacing w:val="-2"/>
          <w:sz w:val="24"/>
        </w:rPr>
        <w:t xml:space="preserve">  </w:t>
      </w:r>
      <w:r>
        <w:rPr>
          <w:rFonts w:hint="eastAsia" w:eastAsia="方正仿宋_GBK"/>
          <w:color w:val="000000"/>
          <w:spacing w:val="-2"/>
          <w:sz w:val="24"/>
        </w:rPr>
        <w:t>城市供水水质监测所需费用按《江苏省城市供水价格管理暂行办法》（苏价工〔</w:t>
      </w:r>
      <w:r>
        <w:rPr>
          <w:rFonts w:eastAsia="方正仿宋_GBK"/>
          <w:color w:val="000000"/>
          <w:spacing w:val="-2"/>
          <w:sz w:val="24"/>
        </w:rPr>
        <w:t>2000</w:t>
      </w:r>
      <w:r>
        <w:rPr>
          <w:rFonts w:hint="eastAsia" w:eastAsia="方正仿宋_GBK"/>
          <w:color w:val="000000"/>
          <w:spacing w:val="-2"/>
          <w:sz w:val="24"/>
        </w:rPr>
        <w:t>〕</w:t>
      </w:r>
      <w:r>
        <w:rPr>
          <w:rFonts w:eastAsia="方正仿宋_GBK"/>
          <w:color w:val="000000"/>
          <w:spacing w:val="-2"/>
          <w:sz w:val="24"/>
        </w:rPr>
        <w:t>407</w:t>
      </w:r>
      <w:r>
        <w:rPr>
          <w:rFonts w:hint="eastAsia" w:eastAsia="方正仿宋_GBK"/>
          <w:color w:val="000000"/>
          <w:spacing w:val="-2"/>
          <w:sz w:val="24"/>
        </w:rPr>
        <w:t>号），计入水价成本。</w:t>
      </w:r>
    </w:p>
    <w:p>
      <w:pPr>
        <w:overflowPunct w:val="0"/>
        <w:topLinePunct/>
        <w:spacing w:line="460" w:lineRule="exact"/>
        <w:ind w:firstLine="472" w:firstLineChars="200"/>
        <w:jc w:val="left"/>
        <w:rPr>
          <w:rFonts w:eastAsia="方正仿宋_GBK"/>
          <w:color w:val="000000"/>
          <w:spacing w:val="-2"/>
          <w:sz w:val="24"/>
        </w:rPr>
      </w:pPr>
      <w:r>
        <w:rPr>
          <w:rFonts w:hint="eastAsia" w:ascii="Times New Roman" w:eastAsia="方正黑体_GBK"/>
          <w:color w:val="000000"/>
          <w:spacing w:val="-2"/>
          <w:sz w:val="24"/>
        </w:rPr>
        <w:t>第八条</w:t>
      </w:r>
      <w:r>
        <w:rPr>
          <w:rFonts w:eastAsia="方正仿宋_GBK"/>
          <w:color w:val="000000"/>
          <w:spacing w:val="-2"/>
          <w:sz w:val="24"/>
        </w:rPr>
        <w:t xml:space="preserve">  </w:t>
      </w:r>
      <w:r>
        <w:rPr>
          <w:rFonts w:hint="eastAsia" w:eastAsia="方正仿宋_GBK"/>
          <w:color w:val="000000"/>
          <w:spacing w:val="-2"/>
          <w:sz w:val="24"/>
        </w:rPr>
        <w:t>城市供水主管部门应委托江苏省城市供水水质监测网（以下简称省网）成员单位通过定期与不定期监测、定点与不定点监测等多种监督手段，对供水水质进行监督，供水企业必须给予配合。</w:t>
      </w:r>
    </w:p>
    <w:p>
      <w:pPr>
        <w:overflowPunct w:val="0"/>
        <w:topLinePunct/>
        <w:spacing w:line="460" w:lineRule="exact"/>
        <w:ind w:firstLine="200"/>
        <w:jc w:val="left"/>
        <w:rPr>
          <w:rFonts w:eastAsia="方正仿宋_GBK"/>
          <w:color w:val="000000"/>
          <w:spacing w:val="-2"/>
          <w:sz w:val="24"/>
        </w:rPr>
      </w:pPr>
      <w:r>
        <w:rPr>
          <w:rFonts w:hint="eastAsia" w:eastAsia="方正仿宋_GBK"/>
          <w:color w:val="000000"/>
          <w:spacing w:val="-2"/>
          <w:sz w:val="24"/>
        </w:rPr>
        <w:t>省网中心站，每年丰水期</w:t>
      </w:r>
      <w:r>
        <w:rPr>
          <w:rFonts w:eastAsia="方正仿宋_GBK"/>
          <w:color w:val="000000"/>
          <w:spacing w:val="-2"/>
          <w:sz w:val="24"/>
        </w:rPr>
        <w:t>7-9</w:t>
      </w:r>
      <w:r>
        <w:rPr>
          <w:rFonts w:hint="eastAsia" w:eastAsia="方正仿宋_GBK"/>
          <w:color w:val="000000"/>
          <w:spacing w:val="-2"/>
          <w:sz w:val="24"/>
        </w:rPr>
        <w:t>月，枯水期</w:t>
      </w:r>
      <w:r>
        <w:rPr>
          <w:rFonts w:eastAsia="方正仿宋_GBK"/>
          <w:color w:val="000000"/>
          <w:spacing w:val="-2"/>
          <w:sz w:val="24"/>
        </w:rPr>
        <w:t>1-3</w:t>
      </w:r>
      <w:r>
        <w:rPr>
          <w:rFonts w:hint="eastAsia" w:eastAsia="方正仿宋_GBK"/>
          <w:color w:val="000000"/>
          <w:spacing w:val="-2"/>
          <w:sz w:val="24"/>
        </w:rPr>
        <w:t>月对设区城市及日供水能力在</w:t>
      </w:r>
      <w:r>
        <w:rPr>
          <w:rFonts w:eastAsia="方正仿宋_GBK"/>
          <w:color w:val="000000"/>
          <w:spacing w:val="-2"/>
          <w:sz w:val="24"/>
        </w:rPr>
        <w:t>20</w:t>
      </w:r>
      <w:r>
        <w:rPr>
          <w:rFonts w:hint="eastAsia" w:eastAsia="方正仿宋_GBK"/>
          <w:color w:val="000000"/>
          <w:spacing w:val="-2"/>
          <w:sz w:val="24"/>
        </w:rPr>
        <w:t>万立方米以上城市的</w:t>
      </w:r>
      <w:r>
        <w:rPr>
          <w:rFonts w:eastAsia="方正仿宋_GBK"/>
          <w:color w:val="000000"/>
          <w:spacing w:val="-2"/>
          <w:sz w:val="24"/>
        </w:rPr>
        <w:t>3</w:t>
      </w:r>
      <w:r>
        <w:rPr>
          <w:rFonts w:hint="eastAsia" w:eastAsia="方正仿宋_GBK"/>
          <w:color w:val="000000"/>
          <w:spacing w:val="-2"/>
          <w:sz w:val="24"/>
        </w:rPr>
        <w:t>个管网水监测点按</w:t>
      </w:r>
      <w:r>
        <w:rPr>
          <w:rFonts w:eastAsia="方正仿宋_GBK"/>
          <w:color w:val="000000"/>
          <w:spacing w:val="-2"/>
          <w:sz w:val="24"/>
        </w:rPr>
        <w:t>CJ/T206-2005</w:t>
      </w:r>
      <w:r>
        <w:rPr>
          <w:rFonts w:hint="eastAsia" w:eastAsia="方正仿宋_GBK"/>
          <w:color w:val="000000"/>
          <w:spacing w:val="-2"/>
          <w:sz w:val="24"/>
        </w:rPr>
        <w:t>水质</w:t>
      </w:r>
      <w:r>
        <w:rPr>
          <w:rFonts w:eastAsia="方正仿宋_GBK"/>
          <w:color w:val="000000"/>
          <w:spacing w:val="-2"/>
          <w:sz w:val="24"/>
        </w:rPr>
        <w:t>42</w:t>
      </w:r>
      <w:r>
        <w:rPr>
          <w:rFonts w:hint="eastAsia" w:eastAsia="方正仿宋_GBK"/>
          <w:color w:val="000000"/>
          <w:spacing w:val="-2"/>
          <w:sz w:val="24"/>
        </w:rPr>
        <w:t>项指标进行定点监测。</w:t>
      </w:r>
    </w:p>
    <w:p>
      <w:pPr>
        <w:overflowPunct w:val="0"/>
        <w:topLinePunct/>
        <w:spacing w:line="460" w:lineRule="exact"/>
        <w:ind w:firstLine="200"/>
        <w:jc w:val="left"/>
        <w:rPr>
          <w:rFonts w:eastAsia="方正仿宋_GBK"/>
          <w:color w:val="000000"/>
          <w:spacing w:val="-2"/>
          <w:sz w:val="24"/>
        </w:rPr>
      </w:pPr>
      <w:r>
        <w:rPr>
          <w:rFonts w:hint="eastAsia" w:eastAsia="方正仿宋_GBK"/>
          <w:color w:val="000000"/>
          <w:spacing w:val="-2"/>
          <w:sz w:val="24"/>
        </w:rPr>
        <w:t>省网各地方站，每年丰水期</w:t>
      </w:r>
      <w:r>
        <w:rPr>
          <w:rFonts w:eastAsia="方正仿宋_GBK"/>
          <w:color w:val="000000"/>
          <w:spacing w:val="-2"/>
          <w:sz w:val="24"/>
        </w:rPr>
        <w:t>7-9</w:t>
      </w:r>
      <w:r>
        <w:rPr>
          <w:rFonts w:hint="eastAsia" w:eastAsia="方正仿宋_GBK"/>
          <w:color w:val="000000"/>
          <w:spacing w:val="-2"/>
          <w:sz w:val="24"/>
        </w:rPr>
        <w:t>月，枯水期</w:t>
      </w:r>
      <w:r>
        <w:rPr>
          <w:rFonts w:eastAsia="方正仿宋_GBK"/>
          <w:color w:val="000000"/>
          <w:spacing w:val="-2"/>
          <w:sz w:val="24"/>
        </w:rPr>
        <w:t>1-3</w:t>
      </w:r>
      <w:r>
        <w:rPr>
          <w:rFonts w:hint="eastAsia" w:eastAsia="方正仿宋_GBK"/>
          <w:color w:val="000000"/>
          <w:spacing w:val="-2"/>
          <w:sz w:val="24"/>
        </w:rPr>
        <w:t>月对所辖地区（县级市、县管网水</w:t>
      </w:r>
      <w:r>
        <w:rPr>
          <w:rFonts w:eastAsia="方正仿宋_GBK"/>
          <w:color w:val="000000"/>
          <w:spacing w:val="-2"/>
          <w:sz w:val="24"/>
        </w:rPr>
        <w:t>2</w:t>
      </w:r>
      <w:r>
        <w:rPr>
          <w:rFonts w:hint="eastAsia" w:eastAsia="方正仿宋_GBK"/>
          <w:color w:val="000000"/>
          <w:spacing w:val="-2"/>
          <w:sz w:val="24"/>
        </w:rPr>
        <w:t>份，其他城市集中式供水单位管网水</w:t>
      </w:r>
      <w:r>
        <w:rPr>
          <w:rFonts w:eastAsia="方正仿宋_GBK"/>
          <w:color w:val="000000"/>
          <w:spacing w:val="-2"/>
          <w:sz w:val="24"/>
        </w:rPr>
        <w:t>1</w:t>
      </w:r>
      <w:r>
        <w:rPr>
          <w:rFonts w:hint="eastAsia" w:eastAsia="方正仿宋_GBK"/>
          <w:color w:val="000000"/>
          <w:spacing w:val="-2"/>
          <w:sz w:val="24"/>
        </w:rPr>
        <w:t>份）城市集中式供水单位的管网水按</w:t>
      </w:r>
      <w:r>
        <w:rPr>
          <w:rFonts w:eastAsia="方正仿宋_GBK"/>
          <w:color w:val="000000"/>
          <w:spacing w:val="-2"/>
          <w:sz w:val="24"/>
        </w:rPr>
        <w:t>CJ/T206-2005</w:t>
      </w:r>
      <w:r>
        <w:rPr>
          <w:rFonts w:hint="eastAsia" w:eastAsia="方正仿宋_GBK"/>
          <w:color w:val="000000"/>
          <w:spacing w:val="-2"/>
          <w:sz w:val="24"/>
        </w:rPr>
        <w:t>水质</w:t>
      </w:r>
      <w:r>
        <w:rPr>
          <w:rFonts w:eastAsia="方正仿宋_GBK"/>
          <w:color w:val="000000"/>
          <w:spacing w:val="-2"/>
          <w:sz w:val="24"/>
        </w:rPr>
        <w:t>42</w:t>
      </w:r>
      <w:r>
        <w:rPr>
          <w:rFonts w:hint="eastAsia" w:eastAsia="方正仿宋_GBK"/>
          <w:color w:val="000000"/>
          <w:spacing w:val="-2"/>
          <w:sz w:val="24"/>
        </w:rPr>
        <w:t>项指标进行定点监测。</w:t>
      </w:r>
    </w:p>
    <w:p>
      <w:pPr>
        <w:overflowPunct w:val="0"/>
        <w:topLinePunct/>
        <w:spacing w:line="460" w:lineRule="exact"/>
        <w:ind w:firstLine="200"/>
        <w:jc w:val="left"/>
        <w:rPr>
          <w:rFonts w:eastAsia="方正仿宋_GBK"/>
          <w:color w:val="000000"/>
          <w:spacing w:val="-2"/>
          <w:sz w:val="24"/>
        </w:rPr>
      </w:pPr>
      <w:r>
        <w:rPr>
          <w:rFonts w:eastAsia="方正仿宋_GBK"/>
          <w:color w:val="000000"/>
          <w:spacing w:val="-2"/>
          <w:sz w:val="24"/>
        </w:rPr>
        <w:t>CJ/T206-2005</w:t>
      </w:r>
      <w:r>
        <w:rPr>
          <w:rFonts w:hint="eastAsia" w:eastAsia="方正仿宋_GBK"/>
          <w:color w:val="000000"/>
          <w:spacing w:val="-2"/>
          <w:sz w:val="24"/>
        </w:rPr>
        <w:t>标准规定的半年度</w:t>
      </w:r>
      <w:r>
        <w:rPr>
          <w:rFonts w:eastAsia="方正仿宋_GBK"/>
          <w:color w:val="000000"/>
          <w:spacing w:val="-2"/>
          <w:sz w:val="24"/>
        </w:rPr>
        <w:t>51</w:t>
      </w:r>
      <w:r>
        <w:rPr>
          <w:rFonts w:hint="eastAsia" w:eastAsia="方正仿宋_GBK"/>
          <w:color w:val="000000"/>
          <w:spacing w:val="-2"/>
          <w:sz w:val="24"/>
        </w:rPr>
        <w:t>项指标，实行省水质督察办公室统一安排抽检工作，对各地水质进行监督。</w:t>
      </w:r>
    </w:p>
    <w:p>
      <w:pPr>
        <w:overflowPunct w:val="0"/>
        <w:topLinePunct/>
        <w:spacing w:line="460" w:lineRule="exact"/>
        <w:ind w:firstLine="472" w:firstLineChars="200"/>
        <w:jc w:val="left"/>
        <w:rPr>
          <w:rFonts w:eastAsia="方正仿宋_GBK"/>
          <w:color w:val="000000"/>
          <w:spacing w:val="-2"/>
          <w:sz w:val="24"/>
        </w:rPr>
      </w:pPr>
      <w:r>
        <w:rPr>
          <w:rFonts w:hint="eastAsia" w:ascii="Times New Roman" w:eastAsia="方正黑体_GBK"/>
          <w:color w:val="000000"/>
          <w:spacing w:val="-2"/>
          <w:sz w:val="24"/>
        </w:rPr>
        <w:t>第九条</w:t>
      </w:r>
      <w:r>
        <w:rPr>
          <w:rFonts w:eastAsia="方正仿宋_GBK"/>
          <w:color w:val="000000"/>
          <w:spacing w:val="-2"/>
          <w:sz w:val="24"/>
        </w:rPr>
        <w:t xml:space="preserve">  </w:t>
      </w:r>
      <w:r>
        <w:rPr>
          <w:rFonts w:hint="eastAsia" w:eastAsia="方正仿宋_GBK"/>
          <w:color w:val="000000"/>
          <w:spacing w:val="-2"/>
          <w:sz w:val="24"/>
        </w:rPr>
        <w:t>设区的市及日供水能力在</w:t>
      </w:r>
      <w:r>
        <w:rPr>
          <w:rFonts w:eastAsia="方正仿宋_GBK"/>
          <w:color w:val="000000"/>
          <w:spacing w:val="-2"/>
          <w:sz w:val="24"/>
        </w:rPr>
        <w:t>20</w:t>
      </w:r>
      <w:r>
        <w:rPr>
          <w:rFonts w:hint="eastAsia" w:eastAsia="方正仿宋_GBK"/>
          <w:color w:val="000000"/>
          <w:spacing w:val="-2"/>
          <w:sz w:val="24"/>
        </w:rPr>
        <w:t>万立方米以上的供水企业水质检测（管理）部门向省建设厅城市建设与管理处上报本地供水管网图与管网水质监测点，经双方协商，确定监测点。</w:t>
      </w:r>
    </w:p>
    <w:p>
      <w:pPr>
        <w:overflowPunct w:val="0"/>
        <w:topLinePunct/>
        <w:spacing w:line="460" w:lineRule="exact"/>
        <w:ind w:firstLine="472" w:firstLineChars="200"/>
        <w:jc w:val="left"/>
        <w:rPr>
          <w:rFonts w:eastAsia="方正仿宋_GBK"/>
          <w:color w:val="000000"/>
          <w:spacing w:val="-2"/>
          <w:sz w:val="24"/>
        </w:rPr>
      </w:pPr>
      <w:r>
        <w:rPr>
          <w:rFonts w:hint="eastAsia" w:eastAsia="方正仿宋_GBK"/>
          <w:color w:val="000000"/>
          <w:spacing w:val="-2"/>
          <w:sz w:val="24"/>
        </w:rPr>
        <w:t>县（市、区）和其他城市集中式供水单位水质检测（管理）部门向设区城市供水主管部门上报当地的供水管网图与管网水质监测点，经双方协商，确定监测点。</w:t>
      </w:r>
    </w:p>
    <w:p>
      <w:pPr>
        <w:overflowPunct w:val="0"/>
        <w:topLinePunct/>
        <w:spacing w:line="460" w:lineRule="exact"/>
        <w:ind w:firstLine="472" w:firstLineChars="200"/>
        <w:jc w:val="left"/>
        <w:rPr>
          <w:rFonts w:eastAsia="方正仿宋_GBK"/>
          <w:color w:val="000000"/>
          <w:spacing w:val="-2"/>
          <w:sz w:val="24"/>
        </w:rPr>
      </w:pPr>
      <w:r>
        <w:rPr>
          <w:rFonts w:hint="eastAsia" w:ascii="Times New Roman" w:eastAsia="方正黑体_GBK"/>
          <w:color w:val="000000"/>
          <w:spacing w:val="-2"/>
          <w:sz w:val="24"/>
        </w:rPr>
        <w:t>第十条</w:t>
      </w:r>
      <w:r>
        <w:rPr>
          <w:rFonts w:eastAsia="方正仿宋_GBK"/>
          <w:color w:val="000000"/>
          <w:spacing w:val="-2"/>
          <w:sz w:val="24"/>
        </w:rPr>
        <w:t xml:space="preserve">  </w:t>
      </w:r>
      <w:r>
        <w:rPr>
          <w:rFonts w:hint="eastAsia" w:eastAsia="方正仿宋_GBK"/>
          <w:color w:val="000000"/>
          <w:spacing w:val="-2"/>
          <w:sz w:val="24"/>
        </w:rPr>
        <w:t>供水企业应当建立水质全过程监控体系，确保供水安全。所有城市供水企业应具备</w:t>
      </w:r>
      <w:r>
        <w:rPr>
          <w:rFonts w:eastAsia="方正仿宋_GBK"/>
          <w:color w:val="000000"/>
          <w:spacing w:val="-2"/>
          <w:sz w:val="24"/>
        </w:rPr>
        <w:t>42</w:t>
      </w:r>
      <w:r>
        <w:rPr>
          <w:rFonts w:hint="eastAsia" w:eastAsia="方正仿宋_GBK"/>
          <w:color w:val="000000"/>
          <w:spacing w:val="-2"/>
          <w:sz w:val="24"/>
        </w:rPr>
        <w:t>项指标检测能力；设区城市应具备</w:t>
      </w:r>
      <w:r>
        <w:rPr>
          <w:rFonts w:eastAsia="方正仿宋_GBK"/>
          <w:color w:val="000000"/>
          <w:spacing w:val="-2"/>
          <w:sz w:val="24"/>
        </w:rPr>
        <w:t>92</w:t>
      </w:r>
      <w:r>
        <w:rPr>
          <w:rFonts w:hint="eastAsia" w:eastAsia="方正仿宋_GBK"/>
          <w:color w:val="000000"/>
          <w:spacing w:val="-2"/>
          <w:sz w:val="24"/>
        </w:rPr>
        <w:t>项指标检测能力。</w:t>
      </w:r>
    </w:p>
    <w:p>
      <w:pPr>
        <w:overflowPunct w:val="0"/>
        <w:topLinePunct/>
        <w:spacing w:line="460" w:lineRule="exact"/>
        <w:ind w:firstLine="472" w:firstLineChars="200"/>
        <w:jc w:val="left"/>
        <w:rPr>
          <w:rFonts w:eastAsia="方正仿宋_GBK"/>
          <w:color w:val="000000"/>
          <w:spacing w:val="-2"/>
          <w:sz w:val="24"/>
        </w:rPr>
      </w:pPr>
      <w:r>
        <w:rPr>
          <w:rFonts w:hint="eastAsia" w:ascii="Times New Roman" w:eastAsia="方正黑体_GBK"/>
          <w:color w:val="000000"/>
          <w:spacing w:val="-2"/>
          <w:sz w:val="24"/>
        </w:rPr>
        <w:t>第十一条</w:t>
      </w:r>
      <w:r>
        <w:rPr>
          <w:rFonts w:eastAsia="方正仿宋_GBK"/>
          <w:color w:val="000000"/>
          <w:spacing w:val="-2"/>
          <w:sz w:val="24"/>
        </w:rPr>
        <w:t xml:space="preserve">  </w:t>
      </w:r>
      <w:r>
        <w:rPr>
          <w:rFonts w:hint="eastAsia" w:eastAsia="方正仿宋_GBK"/>
          <w:color w:val="000000"/>
          <w:spacing w:val="-2"/>
          <w:sz w:val="24"/>
        </w:rPr>
        <w:t>供水企业应当具备相关项目的水质检测能力不能自检的项目要委托具备相应检测能力的第三方检测机构承担。</w:t>
      </w:r>
    </w:p>
    <w:p>
      <w:pPr>
        <w:overflowPunct w:val="0"/>
        <w:topLinePunct/>
        <w:spacing w:line="460" w:lineRule="exact"/>
        <w:ind w:firstLine="200"/>
        <w:jc w:val="left"/>
        <w:rPr>
          <w:rFonts w:eastAsia="方正仿宋_GBK"/>
          <w:color w:val="000000"/>
          <w:spacing w:val="-2"/>
          <w:sz w:val="24"/>
        </w:rPr>
      </w:pPr>
      <w:r>
        <w:rPr>
          <w:rFonts w:hint="eastAsia" w:eastAsia="方正仿宋_GBK"/>
          <w:color w:val="000000"/>
          <w:spacing w:val="-2"/>
          <w:sz w:val="24"/>
        </w:rPr>
        <w:t>城市二次供水设施和自建设施供水产权单位或者其委托的管理单位，不能对水质进行常规检测的，应当按《标准》规定要求将水样送至省网地方站进行检测。</w:t>
      </w:r>
    </w:p>
    <w:p>
      <w:pPr>
        <w:overflowPunct w:val="0"/>
        <w:topLinePunct/>
        <w:spacing w:line="460" w:lineRule="exact"/>
        <w:ind w:firstLine="472" w:firstLineChars="200"/>
        <w:jc w:val="left"/>
        <w:rPr>
          <w:rFonts w:eastAsia="方正仿宋_GBK"/>
          <w:color w:val="000000"/>
          <w:spacing w:val="-2"/>
          <w:sz w:val="24"/>
        </w:rPr>
      </w:pPr>
      <w:r>
        <w:rPr>
          <w:rFonts w:hint="eastAsia" w:ascii="Times New Roman" w:eastAsia="方正黑体_GBK"/>
          <w:color w:val="000000"/>
          <w:spacing w:val="-2"/>
          <w:sz w:val="24"/>
        </w:rPr>
        <w:t>第十二条</w:t>
      </w:r>
      <w:r>
        <w:rPr>
          <w:rFonts w:eastAsia="方正仿宋_GBK"/>
          <w:color w:val="000000"/>
          <w:spacing w:val="-2"/>
          <w:sz w:val="24"/>
        </w:rPr>
        <w:t xml:space="preserve">  </w:t>
      </w:r>
      <w:r>
        <w:rPr>
          <w:rFonts w:hint="eastAsia" w:eastAsia="方正仿宋_GBK"/>
          <w:color w:val="000000"/>
          <w:spacing w:val="-2"/>
          <w:sz w:val="24"/>
        </w:rPr>
        <w:t>供水企业应当严格执行水质报告制度。各城市供水企业要每月向所在地城市供水主管部门上报本月的水质检测数据和分析报告，出现水质事故的，应有专项的事故情况和分析报告。重大的水质事故发生后，应迅速报告当地城市供水主管部门并同时报告省建设厅。</w:t>
      </w:r>
    </w:p>
    <w:p>
      <w:pPr>
        <w:overflowPunct w:val="0"/>
        <w:topLinePunct/>
        <w:spacing w:line="460" w:lineRule="exact"/>
        <w:ind w:firstLine="472" w:firstLineChars="200"/>
        <w:jc w:val="left"/>
        <w:rPr>
          <w:rFonts w:eastAsia="方正仿宋_GBK"/>
          <w:color w:val="000000"/>
          <w:spacing w:val="-2"/>
          <w:sz w:val="24"/>
        </w:rPr>
      </w:pPr>
      <w:r>
        <w:rPr>
          <w:rFonts w:hint="eastAsia" w:eastAsia="方正仿宋_GBK"/>
          <w:color w:val="000000"/>
          <w:spacing w:val="-2"/>
          <w:sz w:val="24"/>
        </w:rPr>
        <w:t>省网各地方站应当接受当地城市供水主管部门委托，做好汇总本地上季度各供水企业的检测资料、分析报告；水质事故情况和分析报告；水质定点检测督察情况报告等，并在每年的</w:t>
      </w:r>
      <w:r>
        <w:rPr>
          <w:rFonts w:eastAsia="方正仿宋_GBK"/>
          <w:color w:val="000000"/>
          <w:spacing w:val="-2"/>
          <w:sz w:val="24"/>
        </w:rPr>
        <w:t>6</w:t>
      </w:r>
      <w:r>
        <w:rPr>
          <w:rFonts w:hint="eastAsia" w:eastAsia="方正仿宋_GBK"/>
          <w:color w:val="000000"/>
          <w:spacing w:val="-2"/>
          <w:sz w:val="24"/>
        </w:rPr>
        <w:t>月、</w:t>
      </w:r>
      <w:r>
        <w:rPr>
          <w:rFonts w:eastAsia="方正仿宋_GBK"/>
          <w:color w:val="000000"/>
          <w:spacing w:val="-2"/>
          <w:sz w:val="24"/>
        </w:rPr>
        <w:t>12</w:t>
      </w:r>
      <w:r>
        <w:rPr>
          <w:rFonts w:hint="eastAsia" w:eastAsia="方正仿宋_GBK"/>
          <w:color w:val="000000"/>
          <w:spacing w:val="-2"/>
          <w:sz w:val="24"/>
        </w:rPr>
        <w:t>月</w:t>
      </w:r>
      <w:r>
        <w:rPr>
          <w:rFonts w:eastAsia="方正仿宋_GBK"/>
          <w:color w:val="000000"/>
          <w:spacing w:val="-2"/>
          <w:sz w:val="24"/>
        </w:rPr>
        <w:t>25</w:t>
      </w:r>
      <w:r>
        <w:rPr>
          <w:rFonts w:hint="eastAsia" w:eastAsia="方正仿宋_GBK"/>
          <w:color w:val="000000"/>
          <w:spacing w:val="-2"/>
          <w:sz w:val="24"/>
        </w:rPr>
        <w:t>日前报省建设厅城市建设与管理处。</w:t>
      </w:r>
    </w:p>
    <w:p>
      <w:pPr>
        <w:overflowPunct w:val="0"/>
        <w:topLinePunct/>
        <w:spacing w:line="460" w:lineRule="exact"/>
        <w:ind w:firstLine="472" w:firstLineChars="200"/>
        <w:jc w:val="left"/>
        <w:rPr>
          <w:rFonts w:eastAsia="方正仿宋_GBK"/>
          <w:color w:val="000000"/>
          <w:spacing w:val="-2"/>
          <w:sz w:val="24"/>
        </w:rPr>
      </w:pPr>
      <w:r>
        <w:rPr>
          <w:rFonts w:hint="eastAsia" w:eastAsia="方正仿宋_GBK"/>
          <w:color w:val="000000"/>
          <w:spacing w:val="-2"/>
          <w:sz w:val="24"/>
        </w:rPr>
        <w:t>各级城市供水主管部门应重视水质数据的信息化管理工作，积极采用</w:t>
      </w:r>
      <w:r>
        <w:rPr>
          <w:rFonts w:eastAsia="方正仿宋_GBK"/>
          <w:color w:val="000000"/>
          <w:spacing w:val="-2"/>
          <w:sz w:val="24"/>
        </w:rPr>
        <w:t>“</w:t>
      </w:r>
      <w:r>
        <w:rPr>
          <w:rFonts w:hint="eastAsia" w:eastAsia="方正仿宋_GBK"/>
          <w:color w:val="000000"/>
          <w:spacing w:val="-2"/>
          <w:sz w:val="24"/>
        </w:rPr>
        <w:t>城市供水水质信息管理系统</w:t>
      </w:r>
      <w:r>
        <w:rPr>
          <w:rFonts w:eastAsia="方正仿宋_GBK"/>
          <w:color w:val="000000"/>
          <w:spacing w:val="-2"/>
          <w:sz w:val="24"/>
        </w:rPr>
        <w:t>”</w:t>
      </w:r>
      <w:r>
        <w:rPr>
          <w:rFonts w:hint="eastAsia" w:eastAsia="方正仿宋_GBK"/>
          <w:color w:val="000000"/>
          <w:spacing w:val="-2"/>
          <w:sz w:val="24"/>
        </w:rPr>
        <w:t>上报和管理水质检测数据。</w:t>
      </w:r>
    </w:p>
    <w:p>
      <w:pPr>
        <w:overflowPunct w:val="0"/>
        <w:topLinePunct/>
        <w:spacing w:line="460" w:lineRule="exact"/>
        <w:ind w:firstLine="472" w:firstLineChars="200"/>
        <w:jc w:val="left"/>
        <w:rPr>
          <w:rFonts w:eastAsia="方正仿宋_GBK"/>
          <w:color w:val="000000"/>
          <w:spacing w:val="-2"/>
          <w:sz w:val="24"/>
        </w:rPr>
      </w:pPr>
      <w:r>
        <w:rPr>
          <w:rFonts w:hint="eastAsia" w:ascii="Times New Roman" w:eastAsia="方正黑体_GBK"/>
          <w:color w:val="000000"/>
          <w:spacing w:val="-2"/>
          <w:sz w:val="24"/>
        </w:rPr>
        <w:t>第十三条</w:t>
      </w:r>
      <w:r>
        <w:rPr>
          <w:rFonts w:eastAsia="方正仿宋_GBK"/>
          <w:color w:val="000000"/>
          <w:spacing w:val="-2"/>
          <w:sz w:val="24"/>
        </w:rPr>
        <w:t xml:space="preserve">  </w:t>
      </w:r>
      <w:r>
        <w:rPr>
          <w:rFonts w:hint="eastAsia" w:eastAsia="方正仿宋_GBK"/>
          <w:color w:val="000000"/>
          <w:spacing w:val="-2"/>
          <w:sz w:val="24"/>
        </w:rPr>
        <w:t>省网中心站汇总全省监测资料并形成督察报告，于每年的</w:t>
      </w:r>
      <w:r>
        <w:rPr>
          <w:rFonts w:eastAsia="方正仿宋_GBK"/>
          <w:color w:val="000000"/>
          <w:spacing w:val="-2"/>
          <w:sz w:val="24"/>
        </w:rPr>
        <w:t>7</w:t>
      </w:r>
      <w:r>
        <w:rPr>
          <w:rFonts w:hint="eastAsia" w:eastAsia="方正仿宋_GBK"/>
          <w:color w:val="000000"/>
          <w:spacing w:val="-2"/>
          <w:sz w:val="24"/>
        </w:rPr>
        <w:t>月、</w:t>
      </w:r>
      <w:r>
        <w:rPr>
          <w:rFonts w:eastAsia="方正仿宋_GBK"/>
          <w:color w:val="000000"/>
          <w:spacing w:val="-2"/>
          <w:sz w:val="24"/>
        </w:rPr>
        <w:t>1</w:t>
      </w:r>
      <w:r>
        <w:rPr>
          <w:rFonts w:hint="eastAsia" w:eastAsia="方正仿宋_GBK"/>
          <w:color w:val="000000"/>
          <w:spacing w:val="-2"/>
          <w:sz w:val="24"/>
        </w:rPr>
        <w:t>月</w:t>
      </w:r>
      <w:r>
        <w:rPr>
          <w:rFonts w:eastAsia="方正仿宋_GBK"/>
          <w:color w:val="000000"/>
          <w:spacing w:val="-2"/>
          <w:sz w:val="24"/>
        </w:rPr>
        <w:t>10</w:t>
      </w:r>
      <w:r>
        <w:rPr>
          <w:rFonts w:hint="eastAsia" w:eastAsia="方正仿宋_GBK"/>
          <w:color w:val="000000"/>
          <w:spacing w:val="-2"/>
          <w:sz w:val="24"/>
        </w:rPr>
        <w:t>日前报江苏省建设厅城市建设与管理处。</w:t>
      </w:r>
    </w:p>
    <w:p>
      <w:pPr>
        <w:overflowPunct w:val="0"/>
        <w:topLinePunct/>
        <w:spacing w:line="460" w:lineRule="exact"/>
        <w:ind w:firstLine="472" w:firstLineChars="200"/>
        <w:jc w:val="left"/>
        <w:rPr>
          <w:rFonts w:eastAsia="方正仿宋_GBK"/>
          <w:color w:val="000000"/>
          <w:spacing w:val="-2"/>
          <w:sz w:val="24"/>
        </w:rPr>
      </w:pPr>
      <w:r>
        <w:rPr>
          <w:rFonts w:hint="eastAsia" w:ascii="Times New Roman" w:eastAsia="方正黑体_GBK"/>
          <w:color w:val="000000"/>
          <w:spacing w:val="-2"/>
          <w:sz w:val="24"/>
        </w:rPr>
        <w:t>第十四条</w:t>
      </w:r>
      <w:r>
        <w:rPr>
          <w:rFonts w:eastAsia="方正仿宋_GBK"/>
          <w:color w:val="000000"/>
          <w:spacing w:val="-2"/>
          <w:sz w:val="24"/>
        </w:rPr>
        <w:t xml:space="preserve">  </w:t>
      </w:r>
      <w:r>
        <w:rPr>
          <w:rFonts w:hint="eastAsia" w:eastAsia="方正仿宋_GBK"/>
          <w:color w:val="000000"/>
          <w:spacing w:val="-2"/>
          <w:sz w:val="24"/>
        </w:rPr>
        <w:t>省、市供水主管部门对水质督察监测结果依据《生活饮用水卫生标准》（</w:t>
      </w:r>
      <w:r>
        <w:rPr>
          <w:rFonts w:eastAsia="方正仿宋_GBK"/>
          <w:color w:val="000000"/>
          <w:spacing w:val="-2"/>
          <w:sz w:val="24"/>
        </w:rPr>
        <w:t>GB5749-2006</w:t>
      </w:r>
      <w:r>
        <w:rPr>
          <w:rFonts w:hint="eastAsia" w:eastAsia="方正仿宋_GBK"/>
          <w:color w:val="000000"/>
          <w:spacing w:val="-2"/>
          <w:sz w:val="24"/>
        </w:rPr>
        <w:t>）、《城市供水水质标准》（</w:t>
      </w:r>
      <w:r>
        <w:rPr>
          <w:rFonts w:eastAsia="方正仿宋_GBK"/>
          <w:color w:val="000000"/>
          <w:spacing w:val="-2"/>
          <w:sz w:val="24"/>
        </w:rPr>
        <w:t>CJ/T206-2005</w:t>
      </w:r>
      <w:r>
        <w:rPr>
          <w:rFonts w:hint="eastAsia" w:eastAsia="方正仿宋_GBK"/>
          <w:color w:val="000000"/>
          <w:spacing w:val="-2"/>
          <w:sz w:val="24"/>
        </w:rPr>
        <w:t>）进行考核。</w:t>
      </w:r>
    </w:p>
    <w:p>
      <w:pPr>
        <w:overflowPunct w:val="0"/>
        <w:topLinePunct/>
        <w:spacing w:line="460" w:lineRule="exact"/>
        <w:ind w:firstLine="472" w:firstLineChars="200"/>
        <w:jc w:val="left"/>
        <w:rPr>
          <w:rFonts w:eastAsia="方正仿宋_GBK"/>
          <w:color w:val="000000"/>
          <w:spacing w:val="-2"/>
          <w:sz w:val="24"/>
        </w:rPr>
      </w:pPr>
      <w:r>
        <w:rPr>
          <w:rFonts w:hint="eastAsia" w:ascii="Times New Roman" w:eastAsia="方正黑体_GBK"/>
          <w:color w:val="000000"/>
          <w:spacing w:val="-2"/>
          <w:sz w:val="24"/>
        </w:rPr>
        <w:t>第十五条</w:t>
      </w:r>
      <w:r>
        <w:rPr>
          <w:rFonts w:eastAsia="方正仿宋_GBK"/>
          <w:color w:val="000000"/>
          <w:spacing w:val="-2"/>
          <w:sz w:val="24"/>
        </w:rPr>
        <w:t xml:space="preserve">  </w:t>
      </w:r>
      <w:r>
        <w:rPr>
          <w:rFonts w:hint="eastAsia" w:eastAsia="方正仿宋_GBK"/>
          <w:color w:val="000000"/>
          <w:spacing w:val="-2"/>
          <w:sz w:val="24"/>
        </w:rPr>
        <w:t>公众对供水水质具有知情权。供水主管部门鼓励和支持社会公众对本地区水质管理工作进行监督，根据检测结果，每年至少两次在当地主要媒体公布城市供水水质。</w:t>
      </w:r>
    </w:p>
    <w:p>
      <w:pPr>
        <w:overflowPunct w:val="0"/>
        <w:topLinePunct/>
        <w:spacing w:line="460" w:lineRule="exact"/>
        <w:ind w:firstLine="472" w:firstLineChars="200"/>
        <w:jc w:val="left"/>
        <w:rPr>
          <w:rFonts w:eastAsia="方正仿宋_GBK"/>
          <w:color w:val="000000"/>
          <w:spacing w:val="-2"/>
          <w:sz w:val="24"/>
        </w:rPr>
      </w:pPr>
      <w:r>
        <w:rPr>
          <w:rFonts w:hint="eastAsia" w:ascii="Times New Roman" w:eastAsia="方正黑体_GBK"/>
          <w:color w:val="000000"/>
          <w:spacing w:val="-2"/>
          <w:sz w:val="24"/>
        </w:rPr>
        <w:t>第十六条</w:t>
      </w:r>
      <w:r>
        <w:rPr>
          <w:rFonts w:eastAsia="方正仿宋_GBK"/>
          <w:color w:val="000000"/>
          <w:spacing w:val="-2"/>
          <w:sz w:val="24"/>
        </w:rPr>
        <w:t xml:space="preserve">  </w:t>
      </w:r>
      <w:r>
        <w:rPr>
          <w:rFonts w:hint="eastAsia" w:eastAsia="方正仿宋_GBK"/>
          <w:color w:val="000000"/>
          <w:spacing w:val="-2"/>
          <w:sz w:val="24"/>
        </w:rPr>
        <w:t>各级城市供水主管部门应定期召开供水水质例会，进行水质管理工作交流、净水工艺指导、检测数据汇总、水质事故分析等，各供水企业必须参加。</w:t>
      </w:r>
    </w:p>
    <w:p>
      <w:pPr>
        <w:overflowPunct w:val="0"/>
        <w:topLinePunct/>
        <w:spacing w:line="460" w:lineRule="exact"/>
        <w:ind w:firstLine="472" w:firstLineChars="200"/>
        <w:jc w:val="left"/>
        <w:rPr>
          <w:rFonts w:eastAsia="方正仿宋_GBK"/>
          <w:color w:val="000000"/>
          <w:spacing w:val="-2"/>
          <w:sz w:val="24"/>
        </w:rPr>
      </w:pPr>
      <w:r>
        <w:rPr>
          <w:rFonts w:hint="eastAsia" w:ascii="Times New Roman" w:eastAsia="方正黑体_GBK"/>
          <w:color w:val="000000"/>
          <w:spacing w:val="-2"/>
          <w:sz w:val="24"/>
        </w:rPr>
        <w:t>第十七条</w:t>
      </w:r>
      <w:r>
        <w:rPr>
          <w:rFonts w:eastAsia="方正仿宋_GBK"/>
          <w:color w:val="000000"/>
          <w:spacing w:val="-2"/>
          <w:sz w:val="24"/>
        </w:rPr>
        <w:t xml:space="preserve">  </w:t>
      </w:r>
      <w:r>
        <w:rPr>
          <w:rFonts w:hint="eastAsia" w:eastAsia="方正仿宋_GBK"/>
          <w:color w:val="000000"/>
          <w:spacing w:val="-2"/>
          <w:sz w:val="24"/>
        </w:rPr>
        <w:t>为处理水质突发事件，供水主管部门有权进入突发事件现场进行调查、取证、采样和检测，任何单位与个人不得以任何理由予以拒绝。</w:t>
      </w:r>
    </w:p>
    <w:p>
      <w:pPr>
        <w:overflowPunct w:val="0"/>
        <w:topLinePunct/>
        <w:spacing w:line="460" w:lineRule="exact"/>
        <w:ind w:firstLine="472" w:firstLineChars="200"/>
        <w:jc w:val="left"/>
        <w:rPr>
          <w:rFonts w:eastAsia="方正仿宋_GBK"/>
          <w:color w:val="000000"/>
          <w:spacing w:val="-2"/>
          <w:sz w:val="24"/>
        </w:rPr>
      </w:pPr>
      <w:r>
        <w:rPr>
          <w:rFonts w:hint="eastAsia" w:ascii="Times New Roman" w:eastAsia="方正黑体_GBK"/>
          <w:color w:val="000000"/>
          <w:spacing w:val="-2"/>
          <w:sz w:val="24"/>
        </w:rPr>
        <w:t>第十八条</w:t>
      </w:r>
      <w:r>
        <w:rPr>
          <w:rFonts w:eastAsia="方正仿宋_GBK"/>
          <w:color w:val="000000"/>
          <w:spacing w:val="-2"/>
          <w:sz w:val="24"/>
        </w:rPr>
        <w:t xml:space="preserve">  </w:t>
      </w:r>
      <w:r>
        <w:rPr>
          <w:rFonts w:hint="eastAsia" w:eastAsia="方正仿宋_GBK"/>
          <w:color w:val="000000"/>
          <w:spacing w:val="-2"/>
          <w:sz w:val="24"/>
        </w:rPr>
        <w:t>城市供水水质监管不到位、检测不准确、报告不及时等，违反《城市供水水质管理规定》（建设部</w:t>
      </w:r>
      <w:r>
        <w:rPr>
          <w:rFonts w:eastAsia="方正仿宋_GBK"/>
          <w:color w:val="000000"/>
          <w:spacing w:val="-2"/>
          <w:sz w:val="24"/>
        </w:rPr>
        <w:t>67</w:t>
      </w:r>
      <w:r>
        <w:rPr>
          <w:rFonts w:hint="eastAsia" w:eastAsia="方正仿宋_GBK"/>
          <w:color w:val="000000"/>
          <w:spacing w:val="-2"/>
          <w:sz w:val="24"/>
        </w:rPr>
        <w:t>号令）的，按照《城市供水水质管理规定》分别追究供水主管部门、供水企业、检测机构等有关部门和个人的责任。</w:t>
      </w:r>
    </w:p>
    <w:p>
      <w:pPr>
        <w:overflowPunct w:val="0"/>
        <w:topLinePunct/>
        <w:spacing w:line="460" w:lineRule="exact"/>
        <w:ind w:firstLine="200"/>
        <w:jc w:val="left"/>
        <w:rPr>
          <w:rFonts w:eastAsia="方正仿宋_GBK"/>
          <w:color w:val="000000"/>
          <w:spacing w:val="-2"/>
          <w:sz w:val="24"/>
        </w:rPr>
      </w:pPr>
      <w:r>
        <w:rPr>
          <w:rFonts w:hint="eastAsia" w:eastAsia="方正仿宋_GBK"/>
          <w:color w:val="000000"/>
          <w:spacing w:val="-2"/>
          <w:sz w:val="24"/>
        </w:rPr>
        <w:t>在督察中发现供水单位所供水的水质不合格或者其运营管理会对水质造成不良影响的，应当制作处理意见书，通过当地城市人民政府要求供水单位限期整改，并报省建设厅备案。</w:t>
      </w:r>
    </w:p>
    <w:p>
      <w:pPr>
        <w:overflowPunct w:val="0"/>
        <w:topLinePunct/>
        <w:spacing w:line="460" w:lineRule="exact"/>
        <w:ind w:firstLine="472" w:firstLineChars="200"/>
        <w:jc w:val="left"/>
        <w:rPr>
          <w:rFonts w:eastAsia="方正仿宋_GBK"/>
          <w:color w:val="000000"/>
          <w:spacing w:val="-2"/>
          <w:sz w:val="24"/>
        </w:rPr>
      </w:pPr>
      <w:r>
        <w:rPr>
          <w:rFonts w:hint="eastAsia" w:ascii="Times New Roman" w:eastAsia="方正黑体_GBK"/>
          <w:color w:val="000000"/>
          <w:spacing w:val="-2"/>
          <w:sz w:val="24"/>
        </w:rPr>
        <w:t>第十九条</w:t>
      </w:r>
      <w:r>
        <w:rPr>
          <w:rFonts w:eastAsia="方正仿宋_GBK"/>
          <w:color w:val="000000"/>
          <w:spacing w:val="-2"/>
          <w:sz w:val="24"/>
        </w:rPr>
        <w:t xml:space="preserve">  </w:t>
      </w:r>
      <w:r>
        <w:rPr>
          <w:rFonts w:hint="eastAsia" w:eastAsia="方正仿宋_GBK"/>
          <w:color w:val="000000"/>
          <w:spacing w:val="-2"/>
          <w:sz w:val="24"/>
        </w:rPr>
        <w:t>城市供水水质不符合国家标准的，城市供水主管部门应当责令供水单位限期整改，并依据《城市供水水质管理规定》处以罚款等处罚。</w:t>
      </w:r>
    </w:p>
    <w:p>
      <w:pPr>
        <w:overflowPunct w:val="0"/>
        <w:topLinePunct/>
        <w:spacing w:line="460" w:lineRule="exact"/>
        <w:ind w:firstLine="200"/>
        <w:jc w:val="left"/>
        <w:rPr>
          <w:rFonts w:eastAsia="方正仿宋_GBK"/>
          <w:color w:val="000000"/>
          <w:spacing w:val="-2"/>
          <w:sz w:val="24"/>
        </w:rPr>
      </w:pPr>
      <w:r>
        <w:rPr>
          <w:rFonts w:hint="eastAsia" w:eastAsia="方正仿宋_GBK"/>
          <w:color w:val="000000"/>
          <w:spacing w:val="-2"/>
          <w:sz w:val="24"/>
        </w:rPr>
        <w:t>供水单位因水质不合格，给用户造成损害的，应当依法承担民事责任。</w:t>
      </w:r>
    </w:p>
    <w:p>
      <w:pPr>
        <w:overflowPunct w:val="0"/>
        <w:topLinePunct/>
        <w:spacing w:line="460" w:lineRule="exact"/>
        <w:ind w:firstLine="472" w:firstLineChars="200"/>
        <w:jc w:val="left"/>
        <w:rPr>
          <w:rFonts w:eastAsia="方正仿宋_GBK"/>
          <w:color w:val="000000"/>
          <w:spacing w:val="-2"/>
          <w:sz w:val="24"/>
        </w:rPr>
      </w:pPr>
      <w:r>
        <w:rPr>
          <w:rFonts w:hint="eastAsia" w:ascii="Times New Roman" w:eastAsia="方正黑体_GBK"/>
          <w:color w:val="000000"/>
          <w:spacing w:val="-2"/>
          <w:sz w:val="24"/>
        </w:rPr>
        <w:t>第二十条</w:t>
      </w:r>
      <w:r>
        <w:rPr>
          <w:rFonts w:eastAsia="方正仿宋_GBK"/>
          <w:color w:val="000000"/>
          <w:spacing w:val="-2"/>
          <w:sz w:val="24"/>
        </w:rPr>
        <w:t xml:space="preserve">  </w:t>
      </w:r>
      <w:r>
        <w:rPr>
          <w:rFonts w:hint="eastAsia" w:eastAsia="方正仿宋_GBK"/>
          <w:color w:val="000000"/>
          <w:spacing w:val="-2"/>
          <w:sz w:val="24"/>
        </w:rPr>
        <w:t>供水水质检测项目、检测频率等技术要求，根据国家和行业新发布的规定适时调整。</w:t>
      </w:r>
    </w:p>
    <w:p>
      <w:pPr>
        <w:overflowPunct w:val="0"/>
        <w:topLinePunct/>
        <w:spacing w:line="460" w:lineRule="exact"/>
        <w:ind w:firstLine="472" w:firstLineChars="200"/>
        <w:jc w:val="left"/>
        <w:rPr>
          <w:rFonts w:eastAsia="方正仿宋_GBK"/>
          <w:color w:val="000000"/>
          <w:spacing w:val="-2"/>
          <w:sz w:val="24"/>
        </w:rPr>
      </w:pPr>
      <w:r>
        <w:rPr>
          <w:rFonts w:hint="eastAsia" w:ascii="Times New Roman" w:eastAsia="方正黑体_GBK"/>
          <w:color w:val="000000"/>
          <w:spacing w:val="-2"/>
          <w:sz w:val="24"/>
        </w:rPr>
        <w:t>第二十一条</w:t>
      </w:r>
      <w:r>
        <w:rPr>
          <w:rFonts w:eastAsia="方正仿宋_GBK"/>
          <w:color w:val="000000"/>
          <w:spacing w:val="-2"/>
          <w:sz w:val="24"/>
        </w:rPr>
        <w:t xml:space="preserve">  </w:t>
      </w:r>
      <w:r>
        <w:rPr>
          <w:rFonts w:hint="eastAsia" w:eastAsia="方正仿宋_GBK"/>
          <w:color w:val="000000"/>
          <w:spacing w:val="-2"/>
          <w:sz w:val="24"/>
        </w:rPr>
        <w:t>遇有特大洪涝、干旱、突发性原水污染、电力供应骤停、输配水系统人为破坏等特殊情况，致使城市供水水质标准不能达到国家标准时，供水单位经过所在地城市供水主管部门批准后，可以在特殊时段内适当降低供水水质。</w:t>
      </w:r>
    </w:p>
    <w:p>
      <w:pPr>
        <w:overflowPunct w:val="0"/>
        <w:topLinePunct/>
        <w:spacing w:line="460" w:lineRule="exact"/>
        <w:ind w:firstLine="472" w:firstLineChars="200"/>
        <w:jc w:val="left"/>
        <w:rPr>
          <w:rFonts w:eastAsia="方正仿宋_GBK"/>
          <w:color w:val="000000"/>
          <w:spacing w:val="-2"/>
          <w:sz w:val="24"/>
        </w:rPr>
      </w:pPr>
      <w:r>
        <w:rPr>
          <w:rFonts w:hint="eastAsia" w:ascii="Times New Roman" w:eastAsia="方正黑体_GBK"/>
          <w:color w:val="000000"/>
          <w:spacing w:val="-2"/>
          <w:sz w:val="24"/>
        </w:rPr>
        <w:t>第二十二条</w:t>
      </w:r>
      <w:r>
        <w:rPr>
          <w:rFonts w:eastAsia="方正仿宋_GBK"/>
          <w:color w:val="000000"/>
          <w:spacing w:val="-2"/>
          <w:sz w:val="24"/>
        </w:rPr>
        <w:t xml:space="preserve">  </w:t>
      </w:r>
      <w:r>
        <w:rPr>
          <w:rFonts w:hint="eastAsia" w:eastAsia="方正仿宋_GBK"/>
          <w:color w:val="000000"/>
          <w:spacing w:val="-2"/>
          <w:sz w:val="24"/>
        </w:rPr>
        <w:t>本办法所引用的水质检测指标说明如下：</w:t>
      </w:r>
    </w:p>
    <w:p>
      <w:pPr>
        <w:overflowPunct w:val="0"/>
        <w:topLinePunct/>
        <w:spacing w:line="460" w:lineRule="exact"/>
        <w:ind w:firstLine="472" w:firstLineChars="200"/>
        <w:jc w:val="left"/>
        <w:rPr>
          <w:rFonts w:eastAsia="方正仿宋_GBK"/>
          <w:color w:val="000000"/>
          <w:spacing w:val="-2"/>
          <w:sz w:val="24"/>
        </w:rPr>
      </w:pPr>
      <w:r>
        <w:rPr>
          <w:rFonts w:hint="eastAsia" w:eastAsia="方正仿宋_GBK"/>
          <w:color w:val="000000"/>
          <w:spacing w:val="-2"/>
          <w:sz w:val="24"/>
        </w:rPr>
        <w:t>一、“</w:t>
      </w:r>
      <w:r>
        <w:rPr>
          <w:rFonts w:eastAsia="方正仿宋_GBK"/>
          <w:color w:val="000000"/>
          <w:spacing w:val="-2"/>
          <w:sz w:val="24"/>
        </w:rPr>
        <w:t>42</w:t>
      </w:r>
      <w:r>
        <w:rPr>
          <w:rFonts w:hint="eastAsia" w:eastAsia="方正仿宋_GBK"/>
          <w:color w:val="000000"/>
          <w:spacing w:val="-2"/>
          <w:sz w:val="24"/>
        </w:rPr>
        <w:t>项指标”，指《生活饮用水卫生标准》（</w:t>
      </w:r>
      <w:r>
        <w:rPr>
          <w:rFonts w:eastAsia="方正仿宋_GBK"/>
          <w:color w:val="000000"/>
          <w:spacing w:val="-2"/>
          <w:sz w:val="24"/>
        </w:rPr>
        <w:t>GB5749-2006</w:t>
      </w:r>
      <w:r>
        <w:rPr>
          <w:rFonts w:hint="eastAsia" w:eastAsia="方正仿宋_GBK"/>
          <w:color w:val="000000"/>
          <w:spacing w:val="-2"/>
          <w:sz w:val="24"/>
        </w:rPr>
        <w:t>）规定的表</w:t>
      </w:r>
      <w:r>
        <w:rPr>
          <w:rFonts w:eastAsia="方正仿宋_GBK"/>
          <w:color w:val="000000"/>
          <w:spacing w:val="-2"/>
          <w:sz w:val="24"/>
        </w:rPr>
        <w:t>1</w:t>
      </w:r>
      <w:r>
        <w:rPr>
          <w:rFonts w:hint="eastAsia" w:eastAsia="方正仿宋_GBK"/>
          <w:color w:val="000000"/>
          <w:spacing w:val="-2"/>
          <w:sz w:val="24"/>
        </w:rPr>
        <w:t>、</w:t>
      </w:r>
      <w:r>
        <w:rPr>
          <w:rFonts w:eastAsia="方正仿宋_GBK"/>
          <w:color w:val="000000"/>
          <w:spacing w:val="-2"/>
          <w:sz w:val="24"/>
        </w:rPr>
        <w:t>2</w:t>
      </w:r>
      <w:r>
        <w:rPr>
          <w:rFonts w:hint="eastAsia" w:eastAsia="方正仿宋_GBK"/>
          <w:color w:val="000000"/>
          <w:spacing w:val="-2"/>
          <w:sz w:val="24"/>
        </w:rPr>
        <w:t>的常规</w:t>
      </w:r>
      <w:r>
        <w:rPr>
          <w:rFonts w:eastAsia="方正仿宋_GBK"/>
          <w:color w:val="000000"/>
          <w:spacing w:val="-2"/>
          <w:sz w:val="24"/>
        </w:rPr>
        <w:t>42</w:t>
      </w:r>
      <w:r>
        <w:rPr>
          <w:rFonts w:hint="eastAsia" w:eastAsia="方正仿宋_GBK"/>
          <w:color w:val="000000"/>
          <w:spacing w:val="-2"/>
          <w:sz w:val="24"/>
        </w:rPr>
        <w:t>项。</w:t>
      </w:r>
    </w:p>
    <w:p>
      <w:pPr>
        <w:overflowPunct w:val="0"/>
        <w:topLinePunct/>
        <w:spacing w:line="460" w:lineRule="exact"/>
        <w:ind w:firstLine="472" w:firstLineChars="200"/>
        <w:jc w:val="left"/>
        <w:rPr>
          <w:rFonts w:eastAsia="方正仿宋_GBK"/>
          <w:color w:val="000000"/>
          <w:spacing w:val="-8"/>
          <w:sz w:val="24"/>
        </w:rPr>
      </w:pPr>
      <w:r>
        <w:rPr>
          <w:rFonts w:hint="eastAsia" w:eastAsia="方正仿宋_GBK"/>
          <w:color w:val="000000"/>
          <w:spacing w:val="-2"/>
          <w:sz w:val="24"/>
        </w:rPr>
        <w:t>二、“</w:t>
      </w:r>
      <w:r>
        <w:rPr>
          <w:rFonts w:eastAsia="方正仿宋_GBK"/>
          <w:color w:val="000000"/>
          <w:spacing w:val="-2"/>
          <w:sz w:val="24"/>
        </w:rPr>
        <w:t>92</w:t>
      </w:r>
      <w:r>
        <w:rPr>
          <w:rFonts w:hint="eastAsia" w:eastAsia="方正仿宋_GBK"/>
          <w:color w:val="000000"/>
          <w:spacing w:val="-2"/>
          <w:sz w:val="24"/>
        </w:rPr>
        <w:t>项指标”，指《生活饮用水卫生标准》（</w:t>
      </w:r>
      <w:r>
        <w:rPr>
          <w:rFonts w:eastAsia="方正仿宋_GBK"/>
          <w:color w:val="000000"/>
          <w:spacing w:val="-2"/>
          <w:sz w:val="24"/>
        </w:rPr>
        <w:t>GB5749-2006</w:t>
      </w:r>
      <w:r>
        <w:rPr>
          <w:rFonts w:hint="eastAsia" w:eastAsia="方正仿宋_GBK"/>
          <w:color w:val="000000"/>
          <w:spacing w:val="-2"/>
          <w:sz w:val="24"/>
        </w:rPr>
        <w:t>）规定的表</w:t>
      </w:r>
      <w:r>
        <w:rPr>
          <w:rFonts w:eastAsia="方正仿宋_GBK"/>
          <w:color w:val="000000"/>
          <w:spacing w:val="-2"/>
          <w:sz w:val="24"/>
        </w:rPr>
        <w:t>1</w:t>
      </w:r>
      <w:r>
        <w:rPr>
          <w:rFonts w:hint="eastAsia" w:eastAsia="方正仿宋_GBK"/>
          <w:color w:val="000000"/>
          <w:spacing w:val="-2"/>
          <w:sz w:val="24"/>
        </w:rPr>
        <w:t>、</w:t>
      </w:r>
      <w:r>
        <w:rPr>
          <w:rFonts w:eastAsia="方正仿宋_GBK"/>
          <w:color w:val="000000"/>
          <w:spacing w:val="-2"/>
          <w:sz w:val="24"/>
        </w:rPr>
        <w:t>2</w:t>
      </w:r>
      <w:r>
        <w:rPr>
          <w:rFonts w:hint="eastAsia" w:eastAsia="方正仿宋_GBK"/>
          <w:color w:val="000000"/>
          <w:spacing w:val="-2"/>
          <w:sz w:val="24"/>
        </w:rPr>
        <w:t>的常规</w:t>
      </w:r>
      <w:r>
        <w:rPr>
          <w:rFonts w:eastAsia="方正仿宋_GBK"/>
          <w:color w:val="000000"/>
          <w:spacing w:val="-2"/>
          <w:sz w:val="24"/>
        </w:rPr>
        <w:t>42</w:t>
      </w:r>
      <w:r>
        <w:rPr>
          <w:rFonts w:hint="eastAsia" w:eastAsia="方正仿宋_GBK"/>
          <w:color w:val="000000"/>
          <w:spacing w:val="-2"/>
          <w:sz w:val="24"/>
        </w:rPr>
        <w:t>项，表</w:t>
      </w:r>
      <w:r>
        <w:rPr>
          <w:rFonts w:eastAsia="方正仿宋_GBK"/>
          <w:color w:val="000000"/>
          <w:spacing w:val="-2"/>
          <w:sz w:val="24"/>
        </w:rPr>
        <w:t>3</w:t>
      </w:r>
      <w:r>
        <w:rPr>
          <w:rFonts w:hint="eastAsia" w:eastAsia="方正仿宋_GBK"/>
          <w:color w:val="000000"/>
          <w:spacing w:val="-2"/>
          <w:sz w:val="24"/>
        </w:rPr>
        <w:t>的非常规项不少于</w:t>
      </w:r>
      <w:r>
        <w:rPr>
          <w:rFonts w:eastAsia="方正仿宋_GBK"/>
          <w:color w:val="000000"/>
          <w:spacing w:val="-2"/>
          <w:sz w:val="24"/>
        </w:rPr>
        <w:t>50</w:t>
      </w:r>
      <w:r>
        <w:rPr>
          <w:rFonts w:hint="eastAsia" w:eastAsia="方正仿宋_GBK"/>
          <w:color w:val="000000"/>
          <w:spacing w:val="-2"/>
          <w:sz w:val="24"/>
        </w:rPr>
        <w:t>项。</w:t>
      </w:r>
    </w:p>
    <w:p>
      <w:pPr>
        <w:overflowPunct w:val="0"/>
        <w:topLinePunct/>
        <w:spacing w:line="460" w:lineRule="exact"/>
        <w:ind w:firstLine="472" w:firstLineChars="200"/>
        <w:jc w:val="left"/>
        <w:rPr>
          <w:rFonts w:eastAsia="方正仿宋_GBK"/>
          <w:color w:val="000000"/>
          <w:spacing w:val="-2"/>
          <w:sz w:val="24"/>
        </w:rPr>
      </w:pPr>
      <w:r>
        <w:rPr>
          <w:rFonts w:hint="eastAsia" w:ascii="Times New Roman" w:eastAsia="方正黑体_GBK"/>
          <w:color w:val="000000"/>
          <w:spacing w:val="-2"/>
          <w:sz w:val="24"/>
        </w:rPr>
        <w:t>第二十三条</w:t>
      </w:r>
      <w:r>
        <w:rPr>
          <w:rFonts w:eastAsia="方正仿宋_GBK"/>
          <w:color w:val="000000"/>
          <w:spacing w:val="-2"/>
          <w:sz w:val="24"/>
        </w:rPr>
        <w:t xml:space="preserve">  </w:t>
      </w:r>
      <w:r>
        <w:rPr>
          <w:rFonts w:hint="eastAsia" w:eastAsia="方正仿宋_GBK"/>
          <w:color w:val="000000"/>
          <w:spacing w:val="-2"/>
          <w:sz w:val="24"/>
        </w:rPr>
        <w:t>本办法自</w:t>
      </w:r>
      <w:r>
        <w:rPr>
          <w:rFonts w:eastAsia="方正仿宋_GBK"/>
          <w:color w:val="000000"/>
          <w:spacing w:val="-2"/>
          <w:sz w:val="24"/>
        </w:rPr>
        <w:t>2006</w:t>
      </w:r>
      <w:r>
        <w:rPr>
          <w:rFonts w:hint="eastAsia" w:eastAsia="方正仿宋_GBK"/>
          <w:color w:val="000000"/>
          <w:spacing w:val="-2"/>
          <w:sz w:val="24"/>
        </w:rPr>
        <w:t>年</w:t>
      </w:r>
      <w:r>
        <w:rPr>
          <w:rFonts w:eastAsia="方正仿宋_GBK"/>
          <w:color w:val="000000"/>
          <w:spacing w:val="-2"/>
          <w:sz w:val="24"/>
        </w:rPr>
        <w:t>4</w:t>
      </w:r>
      <w:r>
        <w:rPr>
          <w:rFonts w:hint="eastAsia" w:eastAsia="方正仿宋_GBK"/>
          <w:color w:val="000000"/>
          <w:spacing w:val="-2"/>
          <w:sz w:val="24"/>
        </w:rPr>
        <w:t>月</w:t>
      </w:r>
      <w:r>
        <w:rPr>
          <w:rFonts w:eastAsia="方正仿宋_GBK"/>
          <w:color w:val="000000"/>
          <w:spacing w:val="-2"/>
          <w:sz w:val="24"/>
        </w:rPr>
        <w:t>1</w:t>
      </w:r>
      <w:r>
        <w:rPr>
          <w:rFonts w:hint="eastAsia" w:eastAsia="方正仿宋_GBK"/>
          <w:color w:val="000000"/>
          <w:spacing w:val="-2"/>
          <w:sz w:val="24"/>
        </w:rPr>
        <w:t>日起实施。原有规定与本办法不符的，以本办法为准。</w:t>
      </w:r>
    </w:p>
    <w:p>
      <w:pPr>
        <w:spacing w:line="460" w:lineRule="exact"/>
        <w:jc w:val="center"/>
        <w:rPr>
          <w:color w:val="000000"/>
        </w:rPr>
      </w:pPr>
    </w:p>
    <w:p>
      <w:pPr>
        <w:spacing w:line="460" w:lineRule="exact"/>
        <w:jc w:val="center"/>
        <w:rPr>
          <w:color w:val="000000"/>
        </w:rPr>
      </w:pPr>
    </w:p>
    <w:p>
      <w:pPr>
        <w:spacing w:line="460" w:lineRule="exact"/>
        <w:rPr>
          <w:rFonts w:eastAsia="仿宋"/>
          <w:color w:val="000000"/>
          <w:spacing w:val="-2"/>
          <w:szCs w:val="21"/>
        </w:rPr>
      </w:pPr>
    </w:p>
    <w:p/>
    <w:p/>
    <w:p/>
    <w:p>
      <w:pPr>
        <w:pStyle w:val="2"/>
        <w:spacing w:before="240" w:beforeLines="100" w:after="240" w:afterLines="100" w:line="240" w:lineRule="auto"/>
        <w:jc w:val="center"/>
        <w:rPr>
          <w:rFonts w:ascii="Times New Roman" w:eastAsia="方正小标宋_GBK"/>
          <w:b w:val="0"/>
          <w:sz w:val="36"/>
          <w:szCs w:val="36"/>
        </w:rPr>
      </w:pPr>
      <w:bookmarkStart w:id="64" w:name="_Toc20726416"/>
      <w:bookmarkStart w:id="65" w:name="_Toc18315499"/>
      <w:r>
        <w:rPr>
          <w:rFonts w:hint="eastAsia" w:ascii="Times New Roman" w:eastAsia="方正小标宋_GBK"/>
          <w:b w:val="0"/>
          <w:sz w:val="36"/>
          <w:szCs w:val="36"/>
        </w:rPr>
        <w:t>关于印发《江苏省燃气工程项目初步设计管理办法》《江苏省管道燃气特许经营管理办法》的通知</w:t>
      </w:r>
      <w:bookmarkEnd w:id="64"/>
      <w:bookmarkEnd w:id="65"/>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66" w:name="_Toc20726417"/>
      <w:bookmarkStart w:id="67" w:name="_Toc18315500"/>
      <w:r>
        <w:rPr>
          <w:rFonts w:hint="eastAsia" w:ascii="Times New Roman" w:hAnsi="Times New Roman" w:eastAsia="方正楷体_GBK"/>
          <w:b w:val="0"/>
          <w:sz w:val="24"/>
          <w:szCs w:val="24"/>
        </w:rPr>
        <w:t>苏建法〔</w:t>
      </w:r>
      <w:r>
        <w:rPr>
          <w:rFonts w:ascii="Times New Roman" w:hAnsi="Times New Roman" w:eastAsia="方正楷体_GBK"/>
          <w:b w:val="0"/>
          <w:sz w:val="24"/>
          <w:szCs w:val="24"/>
        </w:rPr>
        <w:t>2006</w:t>
      </w:r>
      <w:r>
        <w:rPr>
          <w:rFonts w:hint="eastAsia" w:ascii="Times New Roman" w:hAnsi="Times New Roman" w:eastAsia="方正楷体_GBK"/>
          <w:b w:val="0"/>
          <w:sz w:val="24"/>
          <w:szCs w:val="24"/>
        </w:rPr>
        <w:t>〕</w:t>
      </w:r>
      <w:r>
        <w:rPr>
          <w:rFonts w:ascii="Times New Roman" w:hAnsi="Times New Roman" w:eastAsia="方正楷体_GBK"/>
          <w:b w:val="0"/>
          <w:sz w:val="24"/>
          <w:szCs w:val="24"/>
        </w:rPr>
        <w:t>279</w:t>
      </w:r>
      <w:r>
        <w:rPr>
          <w:rFonts w:hint="eastAsia" w:ascii="Times New Roman" w:hAnsi="Times New Roman" w:eastAsia="方正楷体_GBK"/>
          <w:b w:val="0"/>
          <w:sz w:val="24"/>
          <w:szCs w:val="24"/>
        </w:rPr>
        <w:t>号</w:t>
      </w:r>
      <w:bookmarkEnd w:id="66"/>
      <w:bookmarkEnd w:id="67"/>
    </w:p>
    <w:p>
      <w:pPr>
        <w:spacing w:line="460" w:lineRule="exact"/>
        <w:rPr>
          <w:rFonts w:eastAsia="方正仿宋_GBK"/>
          <w:color w:val="000000"/>
          <w:spacing w:val="-2"/>
          <w:sz w:val="24"/>
        </w:rPr>
      </w:pPr>
      <w:r>
        <w:rPr>
          <w:rFonts w:hint="eastAsia" w:eastAsia="方正仿宋_GBK"/>
          <w:color w:val="000000"/>
          <w:spacing w:val="-2"/>
          <w:sz w:val="24"/>
        </w:rPr>
        <w:t>各市建设局（委）、市政公用局：</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为加强燃气工程建设管理、规范燃气经营市场、保障燃气安全运营，根据《江苏省燃气管理条例》的有关规定，我厅制定了《江苏省燃气工程项目初步设计管理办法》和《江苏省管道燃气特许经营管理办法》。现印发给你们，请结合实际认真贯彻执行。</w:t>
      </w:r>
    </w:p>
    <w:p>
      <w:pPr>
        <w:spacing w:line="460" w:lineRule="exact"/>
        <w:ind w:firstLine="515"/>
        <w:rPr>
          <w:rFonts w:eastAsia="方正仿宋_GBK"/>
          <w:color w:val="000000"/>
          <w:spacing w:val="-2"/>
          <w:sz w:val="24"/>
        </w:rPr>
      </w:pPr>
    </w:p>
    <w:p>
      <w:pPr>
        <w:spacing w:line="460" w:lineRule="exact"/>
        <w:ind w:firstLine="645"/>
        <w:rPr>
          <w:rFonts w:eastAsia="方正仿宋_GBK"/>
          <w:color w:val="000000"/>
          <w:spacing w:val="-2"/>
          <w:sz w:val="24"/>
        </w:rPr>
      </w:pPr>
      <w:r>
        <w:rPr>
          <w:rFonts w:hint="eastAsia" w:eastAsia="方正仿宋_GBK"/>
          <w:color w:val="000000"/>
          <w:spacing w:val="-2"/>
          <w:sz w:val="24"/>
        </w:rPr>
        <w:t>附件：</w:t>
      </w:r>
      <w:r>
        <w:rPr>
          <w:rFonts w:eastAsia="方正仿宋_GBK"/>
          <w:color w:val="000000"/>
          <w:spacing w:val="-2"/>
          <w:sz w:val="24"/>
        </w:rPr>
        <w:t>1.</w:t>
      </w:r>
      <w:r>
        <w:rPr>
          <w:rFonts w:hint="eastAsia" w:eastAsia="方正仿宋_GBK"/>
          <w:color w:val="000000"/>
          <w:spacing w:val="-2"/>
          <w:sz w:val="24"/>
        </w:rPr>
        <w:t>《江苏省燃气工程项目初步设计管理办法》</w:t>
      </w:r>
    </w:p>
    <w:p>
      <w:pPr>
        <w:spacing w:line="460" w:lineRule="exact"/>
        <w:ind w:firstLine="1416" w:firstLineChars="600"/>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《江苏省管道燃气特许经营管理办法》</w:t>
      </w:r>
    </w:p>
    <w:p>
      <w:pPr>
        <w:spacing w:line="460" w:lineRule="exact"/>
        <w:ind w:firstLine="1180" w:firstLineChars="500"/>
        <w:jc w:val="right"/>
        <w:rPr>
          <w:rFonts w:eastAsia="方正仿宋_GBK"/>
          <w:color w:val="000000"/>
          <w:spacing w:val="-2"/>
          <w:sz w:val="24"/>
        </w:rPr>
      </w:pPr>
    </w:p>
    <w:p>
      <w:pPr>
        <w:spacing w:line="460" w:lineRule="exact"/>
        <w:ind w:firstLine="6591" w:firstLineChars="2793"/>
        <w:rPr>
          <w:rFonts w:eastAsia="方正仿宋_GBK"/>
          <w:color w:val="000000"/>
          <w:spacing w:val="-2"/>
          <w:sz w:val="24"/>
        </w:rPr>
      </w:pPr>
      <w:r>
        <w:rPr>
          <w:rFonts w:hint="eastAsia" w:eastAsia="方正仿宋_GBK"/>
          <w:color w:val="000000"/>
          <w:spacing w:val="-2"/>
          <w:sz w:val="24"/>
        </w:rPr>
        <w:t>江苏省建设厅</w:t>
      </w:r>
      <w:r>
        <w:rPr>
          <w:rFonts w:eastAsia="方正仿宋_GBK"/>
          <w:color w:val="000000"/>
          <w:spacing w:val="-2"/>
          <w:sz w:val="24"/>
        </w:rPr>
        <w:t xml:space="preserve">      </w:t>
      </w:r>
    </w:p>
    <w:p>
      <w:pPr>
        <w:spacing w:line="460" w:lineRule="exact"/>
        <w:ind w:right="458" w:rightChars="218" w:firstLine="1180" w:firstLineChars="500"/>
        <w:jc w:val="right"/>
        <w:rPr>
          <w:rFonts w:eastAsia="方正仿宋_GBK"/>
          <w:color w:val="000000"/>
          <w:spacing w:val="-2"/>
          <w:sz w:val="24"/>
        </w:rPr>
      </w:pPr>
      <w:r>
        <w:rPr>
          <w:rFonts w:hint="eastAsia" w:eastAsia="方正仿宋_GBK"/>
          <w:color w:val="000000"/>
          <w:spacing w:val="-2"/>
          <w:sz w:val="24"/>
        </w:rPr>
        <w:t>二</w:t>
      </w:r>
      <w:r>
        <w:rPr>
          <w:rFonts w:hint="eastAsia" w:ascii="Times New Roman" w:hAnsi="Times New Roman"/>
          <w:color w:val="000000"/>
          <w:spacing w:val="-2"/>
          <w:sz w:val="24"/>
        </w:rPr>
        <w:t>○○</w:t>
      </w:r>
      <w:r>
        <w:rPr>
          <w:rFonts w:hint="eastAsia" w:eastAsia="方正仿宋_GBK"/>
          <w:color w:val="000000"/>
          <w:spacing w:val="-2"/>
          <w:sz w:val="24"/>
        </w:rPr>
        <w:t>六年七月五日</w:t>
      </w:r>
    </w:p>
    <w:p>
      <w:pPr>
        <w:spacing w:line="460" w:lineRule="exact"/>
        <w:ind w:firstLine="1180" w:firstLineChars="500"/>
        <w:jc w:val="right"/>
        <w:rPr>
          <w:rFonts w:eastAsia="方正仿宋_GBK"/>
          <w:color w:val="000000"/>
          <w:spacing w:val="-2"/>
          <w:sz w:val="24"/>
        </w:rPr>
      </w:pPr>
    </w:p>
    <w:p>
      <w:pPr>
        <w:spacing w:line="460" w:lineRule="exact"/>
        <w:ind w:firstLine="1180" w:firstLineChars="500"/>
        <w:jc w:val="right"/>
        <w:rPr>
          <w:rFonts w:eastAsia="方正仿宋_GBK"/>
          <w:color w:val="000000"/>
          <w:spacing w:val="-2"/>
          <w:sz w:val="24"/>
        </w:rPr>
      </w:pPr>
    </w:p>
    <w:p>
      <w:pPr>
        <w:spacing w:line="460" w:lineRule="exact"/>
        <w:jc w:val="left"/>
        <w:rPr>
          <w:rFonts w:eastAsia="方正仿宋_GBK"/>
          <w:color w:val="000000"/>
          <w:spacing w:val="-2"/>
          <w:sz w:val="24"/>
        </w:rPr>
      </w:pPr>
    </w:p>
    <w:p>
      <w:pPr>
        <w:overflowPunct w:val="0"/>
        <w:autoSpaceDE w:val="0"/>
        <w:autoSpaceDN w:val="0"/>
        <w:spacing w:line="460" w:lineRule="exact"/>
        <w:rPr>
          <w:rFonts w:eastAsia="方正仿宋_GBK"/>
          <w:color w:val="000000"/>
          <w:spacing w:val="-2"/>
          <w:sz w:val="24"/>
        </w:rPr>
      </w:pPr>
    </w:p>
    <w:p>
      <w:pPr>
        <w:overflowPunct w:val="0"/>
        <w:autoSpaceDE w:val="0"/>
        <w:autoSpaceDN w:val="0"/>
        <w:spacing w:line="460" w:lineRule="exact"/>
        <w:rPr>
          <w:rFonts w:eastAsia="方正仿宋_GBK"/>
          <w:color w:val="000000"/>
          <w:spacing w:val="-2"/>
          <w:sz w:val="24"/>
        </w:rPr>
      </w:pPr>
    </w:p>
    <w:p>
      <w:pPr>
        <w:overflowPunct w:val="0"/>
        <w:autoSpaceDE w:val="0"/>
        <w:autoSpaceDN w:val="0"/>
        <w:spacing w:line="460" w:lineRule="exact"/>
        <w:rPr>
          <w:rFonts w:eastAsia="方正仿宋_GBK"/>
          <w:color w:val="000000"/>
          <w:spacing w:val="-2"/>
          <w:sz w:val="24"/>
        </w:rPr>
      </w:pPr>
    </w:p>
    <w:p>
      <w:pPr>
        <w:overflowPunct w:val="0"/>
        <w:autoSpaceDE w:val="0"/>
        <w:autoSpaceDN w:val="0"/>
        <w:spacing w:line="460" w:lineRule="exact"/>
        <w:rPr>
          <w:rFonts w:eastAsia="方正仿宋_GBK"/>
          <w:color w:val="000000"/>
          <w:spacing w:val="-2"/>
          <w:sz w:val="24"/>
        </w:rPr>
      </w:pPr>
    </w:p>
    <w:p>
      <w:pPr>
        <w:overflowPunct w:val="0"/>
        <w:autoSpaceDE w:val="0"/>
        <w:autoSpaceDN w:val="0"/>
        <w:spacing w:line="460" w:lineRule="exact"/>
        <w:rPr>
          <w:rFonts w:eastAsia="方正仿宋_GBK"/>
          <w:color w:val="000000"/>
          <w:spacing w:val="-2"/>
          <w:sz w:val="24"/>
        </w:rPr>
      </w:pPr>
    </w:p>
    <w:p>
      <w:pPr>
        <w:overflowPunct w:val="0"/>
        <w:autoSpaceDE w:val="0"/>
        <w:autoSpaceDN w:val="0"/>
        <w:spacing w:line="460" w:lineRule="exact"/>
        <w:rPr>
          <w:rFonts w:eastAsia="方正仿宋_GBK"/>
          <w:color w:val="000000"/>
          <w:spacing w:val="-2"/>
          <w:sz w:val="24"/>
        </w:rPr>
      </w:pPr>
    </w:p>
    <w:p>
      <w:pPr>
        <w:overflowPunct w:val="0"/>
        <w:autoSpaceDE w:val="0"/>
        <w:autoSpaceDN w:val="0"/>
        <w:spacing w:line="460" w:lineRule="exact"/>
        <w:rPr>
          <w:rFonts w:eastAsia="方正仿宋_GBK"/>
          <w:color w:val="000000"/>
          <w:spacing w:val="-2"/>
          <w:sz w:val="24"/>
        </w:rPr>
      </w:pPr>
    </w:p>
    <w:p>
      <w:pPr>
        <w:overflowPunct w:val="0"/>
        <w:autoSpaceDE w:val="0"/>
        <w:autoSpaceDN w:val="0"/>
        <w:spacing w:line="460" w:lineRule="exact"/>
        <w:rPr>
          <w:rFonts w:eastAsia="方正仿宋_GBK"/>
          <w:color w:val="000000"/>
          <w:spacing w:val="-2"/>
          <w:sz w:val="24"/>
        </w:rPr>
      </w:pPr>
    </w:p>
    <w:p>
      <w:pPr>
        <w:overflowPunct w:val="0"/>
        <w:autoSpaceDE w:val="0"/>
        <w:autoSpaceDN w:val="0"/>
        <w:spacing w:line="460" w:lineRule="exact"/>
        <w:rPr>
          <w:rFonts w:eastAsia="方正仿宋_GBK"/>
          <w:color w:val="000000"/>
          <w:spacing w:val="-2"/>
          <w:sz w:val="24"/>
        </w:rPr>
      </w:pPr>
    </w:p>
    <w:p>
      <w:pPr>
        <w:overflowPunct w:val="0"/>
        <w:autoSpaceDE w:val="0"/>
        <w:autoSpaceDN w:val="0"/>
        <w:spacing w:line="460" w:lineRule="exact"/>
        <w:rPr>
          <w:rFonts w:eastAsia="方正仿宋_GBK"/>
          <w:color w:val="000000"/>
          <w:spacing w:val="-2"/>
          <w:sz w:val="24"/>
        </w:rPr>
      </w:pPr>
    </w:p>
    <w:p>
      <w:pPr>
        <w:overflowPunct w:val="0"/>
        <w:autoSpaceDE w:val="0"/>
        <w:autoSpaceDN w:val="0"/>
        <w:spacing w:line="460" w:lineRule="exact"/>
        <w:rPr>
          <w:rFonts w:eastAsia="方正仿宋_GBK"/>
          <w:color w:val="000000"/>
          <w:spacing w:val="-2"/>
          <w:sz w:val="24"/>
        </w:rPr>
      </w:pPr>
    </w:p>
    <w:p>
      <w:pPr>
        <w:overflowPunct w:val="0"/>
        <w:autoSpaceDE w:val="0"/>
        <w:autoSpaceDN w:val="0"/>
        <w:spacing w:line="460" w:lineRule="exact"/>
        <w:jc w:val="center"/>
        <w:rPr>
          <w:rFonts w:eastAsia="方正黑体_GBK"/>
          <w:color w:val="000000"/>
          <w:spacing w:val="-2"/>
          <w:sz w:val="28"/>
          <w:szCs w:val="28"/>
        </w:rPr>
      </w:pPr>
    </w:p>
    <w:p>
      <w:pPr>
        <w:overflowPunct w:val="0"/>
        <w:autoSpaceDE w:val="0"/>
        <w:autoSpaceDN w:val="0"/>
        <w:spacing w:line="460" w:lineRule="exact"/>
        <w:rPr>
          <w:rFonts w:eastAsia="方正黑体_GBK"/>
          <w:color w:val="000000"/>
          <w:spacing w:val="-2"/>
          <w:sz w:val="28"/>
          <w:szCs w:val="28"/>
        </w:rPr>
      </w:pPr>
    </w:p>
    <w:p>
      <w:pPr>
        <w:overflowPunct w:val="0"/>
        <w:autoSpaceDE w:val="0"/>
        <w:autoSpaceDN w:val="0"/>
        <w:spacing w:line="460" w:lineRule="exact"/>
        <w:rPr>
          <w:rFonts w:ascii="Times New Roman" w:eastAsia="方正黑体_GBK"/>
          <w:color w:val="000000"/>
          <w:spacing w:val="-2"/>
          <w:sz w:val="36"/>
          <w:szCs w:val="36"/>
        </w:rPr>
      </w:pPr>
      <w:r>
        <w:rPr>
          <w:rFonts w:hint="eastAsia" w:eastAsia="方正黑体_GBK"/>
          <w:color w:val="000000"/>
          <w:spacing w:val="-2"/>
          <w:sz w:val="28"/>
          <w:szCs w:val="28"/>
        </w:rPr>
        <w:t>附件</w:t>
      </w:r>
      <w:r>
        <w:rPr>
          <w:rFonts w:eastAsia="方正黑体_GBK"/>
          <w:color w:val="000000"/>
          <w:spacing w:val="-2"/>
          <w:sz w:val="28"/>
          <w:szCs w:val="28"/>
        </w:rPr>
        <w:t>1</w:t>
      </w:r>
    </w:p>
    <w:p>
      <w:pPr>
        <w:overflowPunct w:val="0"/>
        <w:autoSpaceDE w:val="0"/>
        <w:autoSpaceDN w:val="0"/>
        <w:spacing w:line="460" w:lineRule="exact"/>
        <w:jc w:val="center"/>
        <w:rPr>
          <w:rFonts w:hint="eastAsia" w:ascii="Times New Roman" w:eastAsia="方正黑体_GBK"/>
          <w:color w:val="000000"/>
          <w:spacing w:val="-2"/>
          <w:sz w:val="36"/>
          <w:szCs w:val="36"/>
        </w:rPr>
      </w:pPr>
      <w:r>
        <w:rPr>
          <w:rFonts w:hint="eastAsia" w:ascii="Times New Roman" w:eastAsia="方正黑体_GBK"/>
          <w:color w:val="000000"/>
          <w:spacing w:val="-2"/>
          <w:sz w:val="36"/>
          <w:szCs w:val="36"/>
        </w:rPr>
        <w:t>江苏省燃气工程项目初步设计管理办法</w:t>
      </w:r>
    </w:p>
    <w:p>
      <w:pPr>
        <w:overflowPunct w:val="0"/>
        <w:autoSpaceDE w:val="0"/>
        <w:autoSpaceDN w:val="0"/>
        <w:spacing w:line="460" w:lineRule="exact"/>
        <w:ind w:firstLine="472" w:firstLineChars="200"/>
        <w:rPr>
          <w:rFonts w:hint="eastAsia" w:eastAsia="方正仿宋_GBK"/>
          <w:color w:val="000000"/>
          <w:spacing w:val="-2"/>
          <w:sz w:val="24"/>
        </w:rPr>
      </w:pPr>
    </w:p>
    <w:p>
      <w:pPr>
        <w:overflowPunct w:val="0"/>
        <w:autoSpaceDE w:val="0"/>
        <w:autoSpaceDN w:val="0"/>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第一条</w:t>
      </w:r>
      <w:r>
        <w:rPr>
          <w:rFonts w:eastAsia="方正仿宋_GBK"/>
          <w:color w:val="000000"/>
          <w:spacing w:val="-2"/>
          <w:sz w:val="24"/>
        </w:rPr>
        <w:t xml:space="preserve">  </w:t>
      </w:r>
      <w:r>
        <w:rPr>
          <w:rFonts w:hint="eastAsia" w:eastAsia="方正仿宋_GBK"/>
          <w:color w:val="000000"/>
          <w:spacing w:val="-2"/>
          <w:sz w:val="24"/>
        </w:rPr>
        <w:t>为了加强燃气工程建设管理，保证燃气工程设计质量，根据国务院《建设工程质量管理条例》、《建设工程勘察设计管理条例》、《江苏省燃气管理条例》以及有关法律、法规、规章的规定，制定本办法。</w:t>
      </w:r>
    </w:p>
    <w:p>
      <w:pPr>
        <w:overflowPunct w:val="0"/>
        <w:autoSpaceDE w:val="0"/>
        <w:autoSpaceDN w:val="0"/>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第二条</w:t>
      </w:r>
      <w:r>
        <w:rPr>
          <w:rFonts w:eastAsia="方正仿宋_GBK"/>
          <w:color w:val="000000"/>
          <w:spacing w:val="-2"/>
          <w:sz w:val="24"/>
        </w:rPr>
        <w:t xml:space="preserve">  </w:t>
      </w:r>
      <w:r>
        <w:rPr>
          <w:rFonts w:hint="eastAsia" w:eastAsia="方正仿宋_GBK"/>
          <w:color w:val="000000"/>
          <w:spacing w:val="-2"/>
          <w:sz w:val="24"/>
        </w:rPr>
        <w:t>本办法所称燃气工程是指燃气生产、贮存、输配、销售设施以及工矿企业、事业单位自建燃气设施的新建、改建、扩建工程，包括：燃气场站（气源厂、液化气储灌场、气化站、汽车加气站）、管道输配设施以及工矿企业、事业单位自建的燃气设施等工程。</w:t>
      </w:r>
    </w:p>
    <w:p>
      <w:pPr>
        <w:overflowPunct w:val="0"/>
        <w:autoSpaceDE w:val="0"/>
        <w:autoSpaceDN w:val="0"/>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 xml:space="preserve">第三条 </w:t>
      </w:r>
      <w:r>
        <w:rPr>
          <w:rFonts w:eastAsia="方正仿宋_GBK"/>
          <w:color w:val="000000"/>
          <w:spacing w:val="-2"/>
          <w:sz w:val="24"/>
        </w:rPr>
        <w:t xml:space="preserve"> </w:t>
      </w:r>
      <w:r>
        <w:rPr>
          <w:rFonts w:hint="eastAsia" w:eastAsia="方正仿宋_GBK"/>
          <w:color w:val="000000"/>
          <w:spacing w:val="-2"/>
          <w:sz w:val="24"/>
        </w:rPr>
        <w:t>省、市、县（市）建设（市政公用）行政主管部门（以下统称建设行政主管部门）负责非政府投资的燃气工程项目初步设计的审批管理工作。</w:t>
      </w:r>
    </w:p>
    <w:p>
      <w:pPr>
        <w:overflowPunct w:val="0"/>
        <w:autoSpaceDE w:val="0"/>
        <w:autoSpaceDN w:val="0"/>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第四条</w:t>
      </w:r>
      <w:r>
        <w:rPr>
          <w:rFonts w:eastAsia="方正仿宋_GBK"/>
          <w:color w:val="000000"/>
          <w:spacing w:val="-2"/>
          <w:sz w:val="24"/>
        </w:rPr>
        <w:t xml:space="preserve">  </w:t>
      </w:r>
      <w:r>
        <w:rPr>
          <w:rFonts w:hint="eastAsia" w:eastAsia="方正仿宋_GBK"/>
          <w:color w:val="000000"/>
          <w:spacing w:val="-2"/>
          <w:sz w:val="24"/>
        </w:rPr>
        <w:t>燃气工程初步设计文件实行分级审查管理。按规定由省核准项目以及城市燃气气源厂、总投资在</w:t>
      </w:r>
      <w:r>
        <w:rPr>
          <w:rFonts w:eastAsia="方正仿宋_GBK"/>
          <w:color w:val="000000"/>
          <w:spacing w:val="-2"/>
          <w:sz w:val="24"/>
        </w:rPr>
        <w:t>3000</w:t>
      </w:r>
      <w:r>
        <w:rPr>
          <w:rFonts w:hint="eastAsia" w:eastAsia="方正仿宋_GBK"/>
          <w:color w:val="000000"/>
          <w:spacing w:val="-2"/>
          <w:sz w:val="24"/>
        </w:rPr>
        <w:t>万元以上工程项目的初步设计文件由省建设行政主管部门负责审查批准；市核准项目以及液化气储灌工程的改建、扩建项目的初步设计文件由设区市建设行政主管部门负责审查批准；其它燃气工程项目的初步设计文件，由工程所在地建设行政主管部门负责审查批准。</w:t>
      </w:r>
    </w:p>
    <w:p>
      <w:pPr>
        <w:overflowPunct w:val="0"/>
        <w:autoSpaceDE w:val="0"/>
        <w:autoSpaceDN w:val="0"/>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第五条</w:t>
      </w:r>
      <w:r>
        <w:rPr>
          <w:rFonts w:eastAsia="方正仿宋_GBK"/>
          <w:color w:val="000000"/>
          <w:spacing w:val="-2"/>
          <w:sz w:val="24"/>
        </w:rPr>
        <w:t xml:space="preserve">  </w:t>
      </w:r>
      <w:r>
        <w:rPr>
          <w:rFonts w:hint="eastAsia" w:eastAsia="方正仿宋_GBK"/>
          <w:color w:val="000000"/>
          <w:spacing w:val="-2"/>
          <w:sz w:val="24"/>
        </w:rPr>
        <w:t>建设单位应持发改部门核发的《项目核准通知》，在落实相关外部条件的前提下，委托具有相应燃气设计资格的单位，在双方签署设计合同后，编制初步设计文件。</w:t>
      </w:r>
    </w:p>
    <w:p>
      <w:pPr>
        <w:overflowPunct w:val="0"/>
        <w:autoSpaceDE w:val="0"/>
        <w:autoSpaceDN w:val="0"/>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第六条</w:t>
      </w:r>
      <w:r>
        <w:rPr>
          <w:rFonts w:eastAsia="方正仿宋_GBK"/>
          <w:color w:val="000000"/>
          <w:spacing w:val="-2"/>
          <w:sz w:val="24"/>
        </w:rPr>
        <w:t xml:space="preserve">  </w:t>
      </w:r>
      <w:r>
        <w:rPr>
          <w:rFonts w:hint="eastAsia" w:eastAsia="方正仿宋_GBK"/>
          <w:color w:val="000000"/>
          <w:spacing w:val="-2"/>
          <w:sz w:val="24"/>
        </w:rPr>
        <w:t>初步设计文件深度必须符合建设部颁发的《市政公用工程设计文件编制深度规定》的有关要求。</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仿宋_GBK"/>
          <w:color w:val="000000"/>
          <w:spacing w:val="-2"/>
          <w:sz w:val="24"/>
        </w:rPr>
        <w:t>设计单位应当严格执行国家、省有关燃气工程建设法律、法规和工程建设强制性技术标准，对其承接的燃气工程设计质量负责。工程选用的设备、材料，应当符合国家标准、行业标准。</w:t>
      </w:r>
    </w:p>
    <w:p>
      <w:pPr>
        <w:overflowPunct w:val="0"/>
        <w:autoSpaceDE w:val="0"/>
        <w:autoSpaceDN w:val="0"/>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 xml:space="preserve">第七条 </w:t>
      </w:r>
      <w:r>
        <w:rPr>
          <w:rFonts w:eastAsia="方正仿宋_GBK"/>
          <w:color w:val="000000"/>
          <w:spacing w:val="-2"/>
          <w:sz w:val="24"/>
        </w:rPr>
        <w:t xml:space="preserve"> </w:t>
      </w:r>
      <w:r>
        <w:rPr>
          <w:rFonts w:hint="eastAsia" w:eastAsia="方正仿宋_GBK"/>
          <w:color w:val="000000"/>
          <w:spacing w:val="-2"/>
          <w:sz w:val="24"/>
        </w:rPr>
        <w:t>初步设计文件编制完成后，建设单位应当按照项目审批权限向相应的审查批准机关提出初步设计审查申请并附需要送审的初步设计文件，送审材料须同时抄送项目所在地建设行政主管部门。</w:t>
      </w:r>
    </w:p>
    <w:p>
      <w:pPr>
        <w:overflowPunct w:val="0"/>
        <w:autoSpaceDE w:val="0"/>
        <w:autoSpaceDN w:val="0"/>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第八条</w:t>
      </w:r>
      <w:r>
        <w:rPr>
          <w:rFonts w:eastAsia="方正仿宋_GBK"/>
          <w:color w:val="000000"/>
          <w:spacing w:val="-2"/>
          <w:sz w:val="24"/>
        </w:rPr>
        <w:t xml:space="preserve">  </w:t>
      </w:r>
      <w:r>
        <w:rPr>
          <w:rFonts w:hint="eastAsia" w:eastAsia="方正仿宋_GBK"/>
          <w:color w:val="000000"/>
          <w:spacing w:val="-2"/>
          <w:sz w:val="24"/>
        </w:rPr>
        <w:t>审查机关在组织初步设计审查时应邀请设计、科研等单位的专家以及政府有关部门参加，组成专家审查委员会。专家审查委员会负责技术、经济审查，并提出书面审查意见。</w:t>
      </w:r>
    </w:p>
    <w:p>
      <w:pPr>
        <w:overflowPunct w:val="0"/>
        <w:autoSpaceDE w:val="0"/>
        <w:autoSpaceDN w:val="0"/>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 xml:space="preserve">第九条 </w:t>
      </w:r>
      <w:r>
        <w:rPr>
          <w:rFonts w:eastAsia="方正仿宋_GBK"/>
          <w:color w:val="000000"/>
          <w:spacing w:val="-2"/>
          <w:sz w:val="24"/>
        </w:rPr>
        <w:t xml:space="preserve"> </w:t>
      </w:r>
      <w:r>
        <w:rPr>
          <w:rFonts w:hint="eastAsia" w:eastAsia="方正仿宋_GBK"/>
          <w:color w:val="000000"/>
          <w:spacing w:val="-2"/>
          <w:sz w:val="24"/>
        </w:rPr>
        <w:t>燃气工程初步设计审查的主要内容有：（一）工程设计是否符合核准的建设规模、建设标准、设计方案、投资估算等内容；（二）工程项目是否符合城市总体规划和燃气专业规划要求及规划部门对选址的具体意见；（三）设计文件是否达到了设计编制深度要求；（四）设计文件是否符合《城镇燃气设计规范》、《建筑设计防火规范》等有关燃气安全标准、规范、规定的要求；（五）工程项目是否按国家法律、法规规定完善了环保、安全评价等事项。</w:t>
      </w:r>
    </w:p>
    <w:p>
      <w:pPr>
        <w:overflowPunct w:val="0"/>
        <w:autoSpaceDE w:val="0"/>
        <w:autoSpaceDN w:val="0"/>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 xml:space="preserve">第十条 </w:t>
      </w:r>
      <w:r>
        <w:rPr>
          <w:rFonts w:eastAsia="方正仿宋_GBK"/>
          <w:color w:val="000000"/>
          <w:spacing w:val="-2"/>
          <w:sz w:val="24"/>
        </w:rPr>
        <w:t xml:space="preserve"> </w:t>
      </w:r>
      <w:r>
        <w:rPr>
          <w:rFonts w:hint="eastAsia" w:eastAsia="方正仿宋_GBK"/>
          <w:color w:val="000000"/>
          <w:spacing w:val="-2"/>
          <w:sz w:val="24"/>
        </w:rPr>
        <w:t>初步设计审查后，建设单位应督促设计单位根据专家审查意见对初步设计文件进行修改、补充和完善，并向审查机关提交初步设计补充文件以及环境影响评价意见、安全评价报告书、规划选址意见书等相关附件材料。</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仿宋_GBK"/>
          <w:color w:val="000000"/>
          <w:spacing w:val="-2"/>
          <w:sz w:val="24"/>
        </w:rPr>
        <w:t>审查机关对初步设计补充文件及相关附件材料进行复审后，按规定时间向建设单位核发初步设计批复文件。</w:t>
      </w:r>
    </w:p>
    <w:p>
      <w:pPr>
        <w:overflowPunct w:val="0"/>
        <w:autoSpaceDE w:val="0"/>
        <w:autoSpaceDN w:val="0"/>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第十一条</w:t>
      </w:r>
      <w:r>
        <w:rPr>
          <w:rFonts w:eastAsia="方正仿宋_GBK"/>
          <w:color w:val="000000"/>
          <w:spacing w:val="-2"/>
          <w:sz w:val="24"/>
        </w:rPr>
        <w:t xml:space="preserve">  </w:t>
      </w:r>
      <w:r>
        <w:rPr>
          <w:rFonts w:hint="eastAsia" w:eastAsia="方正仿宋_GBK"/>
          <w:color w:val="000000"/>
          <w:spacing w:val="-2"/>
          <w:sz w:val="24"/>
        </w:rPr>
        <w:t>燃气工程建设项目的安全评价由建设单位委托有相应等级的燃气生产及供应业或陆上石油和天然气开采业、管道运输业评价类别的安全评价单位进行。安全评价报告书须经负责审批初步设计的部门组织审查、修改完善后，报送相应的安全生产监督管理部门和建设行政主管部门备案。</w:t>
      </w:r>
    </w:p>
    <w:p>
      <w:pPr>
        <w:overflowPunct w:val="0"/>
        <w:autoSpaceDE w:val="0"/>
        <w:autoSpaceDN w:val="0"/>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第十二条</w:t>
      </w:r>
      <w:r>
        <w:rPr>
          <w:rFonts w:eastAsia="方正仿宋_GBK"/>
          <w:color w:val="000000"/>
          <w:spacing w:val="-2"/>
          <w:sz w:val="24"/>
        </w:rPr>
        <w:t xml:space="preserve">  </w:t>
      </w:r>
      <w:r>
        <w:rPr>
          <w:rFonts w:hint="eastAsia" w:eastAsia="方正仿宋_GBK"/>
          <w:color w:val="000000"/>
          <w:spacing w:val="-2"/>
          <w:sz w:val="24"/>
        </w:rPr>
        <w:t>燃气工程建设项目的环境影响评价由建设单位委托有相应等级的环境影响评价资格的单位进行。环境影响报告书或者环境影响报告表须经负责审批初步设计的建设行政主管部门预审出具意见后，报有审批权的环境保护行政主管部门审批。</w:t>
      </w:r>
    </w:p>
    <w:p>
      <w:pPr>
        <w:overflowPunct w:val="0"/>
        <w:autoSpaceDE w:val="0"/>
        <w:autoSpaceDN w:val="0"/>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第十三条</w:t>
      </w:r>
      <w:r>
        <w:rPr>
          <w:rFonts w:eastAsia="方正仿宋_GBK"/>
          <w:color w:val="000000"/>
          <w:spacing w:val="-2"/>
          <w:sz w:val="24"/>
        </w:rPr>
        <w:t xml:space="preserve">  </w:t>
      </w:r>
      <w:r>
        <w:rPr>
          <w:rFonts w:hint="eastAsia" w:eastAsia="方正仿宋_GBK"/>
          <w:color w:val="000000"/>
          <w:spacing w:val="-2"/>
          <w:sz w:val="24"/>
        </w:rPr>
        <w:t>经批准后的初步设计是建设项目实施的法定依据，设计单位必须按照批准的初步设计内容、工程量和建设标准进行施工图设计。</w:t>
      </w:r>
    </w:p>
    <w:p>
      <w:pPr>
        <w:overflowPunct w:val="0"/>
        <w:autoSpaceDE w:val="0"/>
        <w:autoSpaceDN w:val="0"/>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第十四条</w:t>
      </w:r>
      <w:r>
        <w:rPr>
          <w:rFonts w:eastAsia="方正仿宋_GBK"/>
          <w:color w:val="000000"/>
          <w:spacing w:val="-2"/>
          <w:sz w:val="24"/>
        </w:rPr>
        <w:t xml:space="preserve">  </w:t>
      </w:r>
      <w:r>
        <w:rPr>
          <w:rFonts w:hint="eastAsia" w:eastAsia="方正仿宋_GBK"/>
          <w:color w:val="000000"/>
          <w:spacing w:val="-2"/>
          <w:sz w:val="24"/>
        </w:rPr>
        <w:t>对已批准的初步设计文件，如需对建设规模、建设内容、工艺路线、建设地址等主要设计内容进行调整的，建设单位应当按照原规定程序报请审查机关审批。未经审查批准的设计变更不得实施。</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仿宋_GBK"/>
          <w:color w:val="000000"/>
          <w:spacing w:val="-2"/>
          <w:sz w:val="24"/>
        </w:rPr>
        <w:t>建设单位在报审设计变更文件时，应当提交以下材料：</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仿宋_GBK"/>
          <w:color w:val="000000"/>
          <w:spacing w:val="-2"/>
          <w:sz w:val="24"/>
        </w:rPr>
        <w:t>（一）设计变更申请。包括变更的主要内容、变更的主要理由、变更设计的设计单位资格等；</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仿宋_GBK"/>
          <w:color w:val="000000"/>
          <w:spacing w:val="-2"/>
          <w:sz w:val="24"/>
        </w:rPr>
        <w:t>（二）设计变更的设计图纸及原设计相应图纸；</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仿宋_GBK"/>
          <w:color w:val="000000"/>
          <w:spacing w:val="-2"/>
          <w:sz w:val="24"/>
        </w:rPr>
        <w:t>（三）工程量、投资变化对照清单。</w:t>
      </w:r>
    </w:p>
    <w:p>
      <w:pPr>
        <w:overflowPunct w:val="0"/>
        <w:autoSpaceDE w:val="0"/>
        <w:autoSpaceDN w:val="0"/>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第十五条</w:t>
      </w:r>
      <w:r>
        <w:rPr>
          <w:rFonts w:eastAsia="方正仿宋_GBK"/>
          <w:color w:val="000000"/>
          <w:spacing w:val="-2"/>
          <w:sz w:val="24"/>
        </w:rPr>
        <w:t xml:space="preserve">  </w:t>
      </w:r>
      <w:r>
        <w:rPr>
          <w:rFonts w:hint="eastAsia" w:eastAsia="方正仿宋_GBK"/>
          <w:color w:val="000000"/>
          <w:spacing w:val="-2"/>
          <w:sz w:val="24"/>
        </w:rPr>
        <w:t>燃气工程项目的初步设计文件以及设计变更文件未经建设行政主管部门审查批准的，由建设行政主管部门按《江苏省燃气管理条例》第五十五条规定予以处罚。</w:t>
      </w:r>
    </w:p>
    <w:p>
      <w:pPr>
        <w:overflowPunct w:val="0"/>
        <w:autoSpaceDE w:val="0"/>
        <w:autoSpaceDN w:val="0"/>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第十六条</w:t>
      </w:r>
      <w:r>
        <w:rPr>
          <w:rFonts w:eastAsia="方正仿宋_GBK"/>
          <w:color w:val="000000"/>
          <w:spacing w:val="-2"/>
          <w:sz w:val="24"/>
        </w:rPr>
        <w:t xml:space="preserve">  </w:t>
      </w:r>
      <w:r>
        <w:rPr>
          <w:rFonts w:hint="eastAsia" w:eastAsia="方正仿宋_GBK"/>
          <w:color w:val="000000"/>
          <w:spacing w:val="-2"/>
          <w:sz w:val="24"/>
        </w:rPr>
        <w:t>政府投资的燃气工程项目的初步设计文件审查按照国家和省有关规定执行。</w:t>
      </w:r>
    </w:p>
    <w:p>
      <w:pPr>
        <w:overflowPunct w:val="0"/>
        <w:autoSpaceDE w:val="0"/>
        <w:autoSpaceDN w:val="0"/>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第十七条</w:t>
      </w:r>
      <w:r>
        <w:rPr>
          <w:rFonts w:eastAsia="方正仿宋_GBK"/>
          <w:color w:val="000000"/>
          <w:spacing w:val="-2"/>
          <w:sz w:val="24"/>
        </w:rPr>
        <w:t xml:space="preserve">  </w:t>
      </w:r>
      <w:r>
        <w:rPr>
          <w:rFonts w:hint="eastAsia" w:eastAsia="方正仿宋_GBK"/>
          <w:color w:val="000000"/>
          <w:spacing w:val="-2"/>
          <w:sz w:val="24"/>
        </w:rPr>
        <w:t>本办法自发文之日起施行。</w:t>
      </w:r>
    </w:p>
    <w:p/>
    <w:p/>
    <w:p/>
    <w:p/>
    <w:p/>
    <w:p/>
    <w:p/>
    <w:p/>
    <w:p/>
    <w:p/>
    <w:p/>
    <w:p/>
    <w:p/>
    <w:p/>
    <w:p/>
    <w:p/>
    <w:p/>
    <w:p/>
    <w:p/>
    <w:p/>
    <w:p/>
    <w:p/>
    <w:p/>
    <w:p/>
    <w:p/>
    <w:p/>
    <w:p/>
    <w:p/>
    <w:p/>
    <w:p/>
    <w:p/>
    <w:p/>
    <w:p/>
    <w:p/>
    <w:p/>
    <w:p/>
    <w:p/>
    <w:p/>
    <w:p/>
    <w:p/>
    <w:p/>
    <w:p/>
    <w:p/>
    <w:p/>
    <w:p>
      <w:pPr>
        <w:overflowPunct w:val="0"/>
        <w:autoSpaceDE w:val="0"/>
        <w:autoSpaceDN w:val="0"/>
        <w:spacing w:line="460" w:lineRule="exact"/>
        <w:rPr>
          <w:rFonts w:eastAsia="方正仿宋_GBK"/>
          <w:color w:val="000000"/>
          <w:spacing w:val="-2"/>
          <w:sz w:val="24"/>
        </w:rPr>
      </w:pPr>
      <w:r>
        <w:rPr>
          <w:rFonts w:hint="eastAsia" w:eastAsia="方正黑体_GBK"/>
          <w:color w:val="000000"/>
          <w:spacing w:val="-2"/>
          <w:sz w:val="28"/>
          <w:szCs w:val="28"/>
        </w:rPr>
        <w:t>附件</w:t>
      </w:r>
      <w:r>
        <w:rPr>
          <w:rFonts w:eastAsia="方正黑体_GBK"/>
          <w:color w:val="000000"/>
          <w:spacing w:val="-2"/>
          <w:sz w:val="28"/>
          <w:szCs w:val="28"/>
        </w:rPr>
        <w:t>2</w:t>
      </w:r>
    </w:p>
    <w:p>
      <w:pPr>
        <w:overflowPunct w:val="0"/>
        <w:autoSpaceDE w:val="0"/>
        <w:autoSpaceDN w:val="0"/>
        <w:spacing w:line="460" w:lineRule="exact"/>
        <w:rPr>
          <w:rFonts w:eastAsia="方正仿宋_GBK"/>
          <w:color w:val="000000"/>
          <w:spacing w:val="-2"/>
          <w:sz w:val="24"/>
        </w:rPr>
      </w:pPr>
    </w:p>
    <w:p>
      <w:pPr>
        <w:overflowPunct w:val="0"/>
        <w:autoSpaceDE w:val="0"/>
        <w:autoSpaceDN w:val="0"/>
        <w:spacing w:line="460" w:lineRule="exact"/>
        <w:ind w:firstLine="712" w:firstLineChars="200"/>
        <w:jc w:val="center"/>
        <w:rPr>
          <w:rFonts w:eastAsia="方正黑体_GBK"/>
          <w:color w:val="000000"/>
          <w:spacing w:val="-2"/>
          <w:sz w:val="36"/>
          <w:szCs w:val="36"/>
        </w:rPr>
      </w:pPr>
      <w:r>
        <w:rPr>
          <w:rFonts w:hint="eastAsia" w:eastAsia="方正黑体_GBK"/>
          <w:color w:val="000000"/>
          <w:spacing w:val="-2"/>
          <w:sz w:val="36"/>
          <w:szCs w:val="36"/>
        </w:rPr>
        <w:t>江苏省管道燃气特许经营管理办法</w:t>
      </w:r>
    </w:p>
    <w:p>
      <w:pPr>
        <w:overflowPunct w:val="0"/>
        <w:autoSpaceDE w:val="0"/>
        <w:autoSpaceDN w:val="0"/>
        <w:spacing w:line="460" w:lineRule="exact"/>
        <w:ind w:firstLine="472" w:firstLineChars="200"/>
        <w:rPr>
          <w:rFonts w:eastAsia="方正仿宋_GBK"/>
          <w:color w:val="000000"/>
          <w:spacing w:val="-2"/>
          <w:sz w:val="24"/>
        </w:rPr>
      </w:pP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黑体_GBK"/>
          <w:color w:val="000000"/>
          <w:spacing w:val="-2"/>
          <w:sz w:val="24"/>
        </w:rPr>
        <w:t>第一条</w:t>
      </w:r>
      <w:r>
        <w:rPr>
          <w:rFonts w:eastAsia="方正仿宋_GBK"/>
          <w:color w:val="000000"/>
          <w:spacing w:val="-2"/>
          <w:sz w:val="24"/>
        </w:rPr>
        <w:t xml:space="preserve">  </w:t>
      </w:r>
      <w:r>
        <w:rPr>
          <w:rFonts w:hint="eastAsia" w:eastAsia="方正仿宋_GBK"/>
          <w:color w:val="000000"/>
          <w:spacing w:val="-2"/>
          <w:sz w:val="24"/>
        </w:rPr>
        <w:t>为规范管道燃气特许经营活动，保障社会公众利益和公共安全，根据《中华人民共和国行政许可法》、《江苏省燃气管理条例》以及建设部《市政公用事业特许经营管理办法》的规定，制定本办法。</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黑体_GBK"/>
          <w:color w:val="000000"/>
          <w:spacing w:val="-2"/>
          <w:sz w:val="24"/>
        </w:rPr>
        <w:t>第二条</w:t>
      </w:r>
      <w:r>
        <w:rPr>
          <w:rFonts w:eastAsia="方正黑体_GBK"/>
          <w:color w:val="000000"/>
          <w:spacing w:val="-2"/>
          <w:sz w:val="24"/>
        </w:rPr>
        <w:t xml:space="preserve"> </w:t>
      </w:r>
      <w:r>
        <w:rPr>
          <w:rFonts w:eastAsia="方正仿宋_GBK"/>
          <w:color w:val="000000"/>
          <w:spacing w:val="-2"/>
          <w:sz w:val="24"/>
        </w:rPr>
        <w:t xml:space="preserve"> </w:t>
      </w:r>
      <w:r>
        <w:rPr>
          <w:rFonts w:hint="eastAsia" w:eastAsia="方正仿宋_GBK"/>
          <w:color w:val="000000"/>
          <w:spacing w:val="-2"/>
          <w:sz w:val="24"/>
        </w:rPr>
        <w:t>管道燃气特许经营，是指经营企业依照《江苏省燃气管理条例》规定取得特许经营权，并在一定期限和范围内从事管道燃气和相关服务的经营活动。</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黑体_GBK"/>
          <w:color w:val="000000"/>
          <w:spacing w:val="-2"/>
          <w:sz w:val="24"/>
        </w:rPr>
        <w:t>第三条</w:t>
      </w:r>
      <w:r>
        <w:rPr>
          <w:rFonts w:eastAsia="方正黑体_GBK"/>
          <w:color w:val="000000"/>
          <w:spacing w:val="-2"/>
          <w:sz w:val="24"/>
        </w:rPr>
        <w:t xml:space="preserve"> </w:t>
      </w:r>
      <w:r>
        <w:rPr>
          <w:rFonts w:eastAsia="方正仿宋_GBK"/>
          <w:color w:val="000000"/>
          <w:spacing w:val="-2"/>
          <w:sz w:val="24"/>
        </w:rPr>
        <w:t xml:space="preserve"> </w:t>
      </w:r>
      <w:r>
        <w:rPr>
          <w:rFonts w:hint="eastAsia" w:eastAsia="方正仿宋_GBK"/>
          <w:color w:val="000000"/>
          <w:spacing w:val="-2"/>
          <w:sz w:val="24"/>
        </w:rPr>
        <w:t>省建设行政主管部门负责对全省管道燃气特许经营权的实施进行指导和监督。</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仿宋_GBK"/>
          <w:color w:val="000000"/>
          <w:spacing w:val="-2"/>
          <w:sz w:val="24"/>
        </w:rPr>
        <w:t>城市人民政府授权委托的设区市、县（市）建设（市政公用）行政主管部门（以下统称建设行政主管部门）负责本行政区域内管道燃气特许经营权的实施和对特许经营企业的监管工作。</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黑体_GBK"/>
          <w:color w:val="000000"/>
          <w:spacing w:val="-2"/>
          <w:sz w:val="24"/>
        </w:rPr>
        <w:t>第四条</w:t>
      </w:r>
      <w:r>
        <w:rPr>
          <w:rFonts w:eastAsia="方正黑体_GBK"/>
          <w:color w:val="000000"/>
          <w:spacing w:val="-2"/>
          <w:sz w:val="24"/>
        </w:rPr>
        <w:t xml:space="preserve"> </w:t>
      </w:r>
      <w:r>
        <w:rPr>
          <w:rFonts w:eastAsia="方正仿宋_GBK"/>
          <w:color w:val="000000"/>
          <w:spacing w:val="-2"/>
          <w:sz w:val="24"/>
        </w:rPr>
        <w:t xml:space="preserve"> </w:t>
      </w:r>
      <w:r>
        <w:rPr>
          <w:rFonts w:hint="eastAsia" w:eastAsia="方正仿宋_GBK"/>
          <w:color w:val="000000"/>
          <w:spacing w:val="-2"/>
          <w:sz w:val="24"/>
        </w:rPr>
        <w:t>实施管道燃气特许经营的项目必须经设区市、县（市）人民政府批准。</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仿宋_GBK"/>
          <w:color w:val="000000"/>
          <w:spacing w:val="-2"/>
          <w:sz w:val="24"/>
        </w:rPr>
        <w:t>在具体实施管道燃气特许经营项目时，按照《江苏省燃气管理条例》规定，必须先制定管道燃气特许经营实施方案。</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黑体_GBK"/>
          <w:color w:val="000000"/>
          <w:spacing w:val="-2"/>
          <w:sz w:val="24"/>
        </w:rPr>
        <w:t>第五条</w:t>
      </w:r>
      <w:r>
        <w:rPr>
          <w:rFonts w:eastAsia="方正仿宋_GBK"/>
          <w:color w:val="000000"/>
          <w:spacing w:val="-2"/>
          <w:sz w:val="24"/>
        </w:rPr>
        <w:t xml:space="preserve">  </w:t>
      </w:r>
      <w:r>
        <w:rPr>
          <w:rFonts w:hint="eastAsia" w:eastAsia="方正仿宋_GBK"/>
          <w:color w:val="000000"/>
          <w:spacing w:val="-2"/>
          <w:sz w:val="24"/>
        </w:rPr>
        <w:t>实行管道燃气特许经营实施方案评审制度。实施方案由设区的市、县（市）建设行政主管部门在同级人民政府的领导下，组织相关部门共同研究制定。实施方案先经当地人民政府初步审查认可，再由组织制定方案的市、县（市）建设行政主管部门报上一级建设行政主管部门组织专家进行论证后，报请本级人民政府批准后实施。</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黑体_GBK"/>
          <w:color w:val="000000"/>
          <w:spacing w:val="-2"/>
          <w:sz w:val="24"/>
        </w:rPr>
        <w:t>第六条</w:t>
      </w:r>
      <w:r>
        <w:rPr>
          <w:rFonts w:eastAsia="方正仿宋_GBK"/>
          <w:color w:val="000000"/>
          <w:spacing w:val="-2"/>
          <w:sz w:val="24"/>
        </w:rPr>
        <w:t xml:space="preserve">  </w:t>
      </w:r>
      <w:r>
        <w:rPr>
          <w:rFonts w:hint="eastAsia" w:eastAsia="方正仿宋_GBK"/>
          <w:color w:val="000000"/>
          <w:spacing w:val="-2"/>
          <w:sz w:val="24"/>
        </w:rPr>
        <w:t>实施方案应当包括以下内容：</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仿宋_GBK"/>
          <w:color w:val="000000"/>
          <w:spacing w:val="-2"/>
          <w:sz w:val="24"/>
        </w:rPr>
        <w:t>（一）行业发展规划；</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仿宋_GBK"/>
          <w:color w:val="000000"/>
          <w:spacing w:val="-2"/>
          <w:sz w:val="24"/>
        </w:rPr>
        <w:t>（二）特许经营项目名称；</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仿宋_GBK"/>
          <w:color w:val="000000"/>
          <w:spacing w:val="-2"/>
          <w:sz w:val="24"/>
        </w:rPr>
        <w:t>（三）特许经营项目的主要内容及基本经济技术指标；</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仿宋_GBK"/>
          <w:color w:val="000000"/>
          <w:spacing w:val="-2"/>
          <w:sz w:val="24"/>
        </w:rPr>
        <w:t>（四）特许经营的方式；</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仿宋_GBK"/>
          <w:color w:val="000000"/>
          <w:spacing w:val="-2"/>
          <w:sz w:val="24"/>
        </w:rPr>
        <w:t>（五）特许经营期限；</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仿宋_GBK"/>
          <w:color w:val="000000"/>
          <w:spacing w:val="-2"/>
          <w:sz w:val="24"/>
        </w:rPr>
        <w:t>（六）经营者的选择方式及具体操作程序；</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仿宋_GBK"/>
          <w:color w:val="000000"/>
          <w:spacing w:val="-2"/>
          <w:sz w:val="24"/>
        </w:rPr>
        <w:t>（七）经营者应当具备的条件（资格预审条件、招标基本条件）；</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仿宋_GBK"/>
          <w:color w:val="000000"/>
          <w:spacing w:val="-2"/>
          <w:sz w:val="24"/>
        </w:rPr>
        <w:t>（八）经营产品和服务价格的收费及调整规则；</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仿宋_GBK"/>
          <w:color w:val="000000"/>
          <w:spacing w:val="-2"/>
          <w:sz w:val="24"/>
        </w:rPr>
        <w:t>（九）经营产品和服务质量要求；</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仿宋_GBK"/>
          <w:color w:val="000000"/>
          <w:spacing w:val="-2"/>
          <w:sz w:val="24"/>
        </w:rPr>
        <w:t>（十）政府监管内容及相关承诺；</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仿宋_GBK"/>
          <w:color w:val="000000"/>
          <w:spacing w:val="-2"/>
          <w:sz w:val="24"/>
        </w:rPr>
        <w:t>（十一）特许经营协议文本的主要内容；</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仿宋_GBK"/>
          <w:color w:val="000000"/>
          <w:spacing w:val="-2"/>
          <w:sz w:val="24"/>
        </w:rPr>
        <w:t>（十二）实行临时接管措施；</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仿宋_GBK"/>
          <w:color w:val="000000"/>
          <w:spacing w:val="-2"/>
          <w:sz w:val="24"/>
        </w:rPr>
        <w:t>（十三）经营期满后经营资产的处置；</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仿宋_GBK"/>
          <w:color w:val="000000"/>
          <w:spacing w:val="-2"/>
          <w:sz w:val="24"/>
        </w:rPr>
        <w:t>（十四）特许经营权费的收取标准及收取办法，经营权费的资金管理办法及用途；</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仿宋_GBK"/>
          <w:color w:val="000000"/>
          <w:spacing w:val="-2"/>
          <w:sz w:val="24"/>
        </w:rPr>
        <w:t>（十五）政府各相关职能部门的监管职责；</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仿宋_GBK"/>
          <w:color w:val="000000"/>
          <w:spacing w:val="-2"/>
          <w:sz w:val="24"/>
        </w:rPr>
        <w:t>（十六）特许经营方案的具体组织实施机构。</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黑体_GBK"/>
          <w:color w:val="000000"/>
          <w:spacing w:val="-2"/>
          <w:sz w:val="24"/>
        </w:rPr>
        <w:t>第七条</w:t>
      </w:r>
      <w:r>
        <w:rPr>
          <w:rFonts w:eastAsia="方正仿宋_GBK"/>
          <w:color w:val="000000"/>
          <w:spacing w:val="-2"/>
          <w:sz w:val="24"/>
        </w:rPr>
        <w:t xml:space="preserve">  </w:t>
      </w:r>
      <w:r>
        <w:rPr>
          <w:rFonts w:hint="eastAsia" w:eastAsia="方正仿宋_GBK"/>
          <w:color w:val="000000"/>
          <w:spacing w:val="-2"/>
          <w:sz w:val="24"/>
        </w:rPr>
        <w:t>管道燃气经营权的授予，应当按照《江苏省燃气管理条例》的规定，采取招标投标等公开、公平的方式，选择特许经营企业授予管道燃气经营权。</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黑体_GBK"/>
          <w:color w:val="000000"/>
          <w:spacing w:val="-2"/>
          <w:sz w:val="24"/>
        </w:rPr>
        <w:t>第八条</w:t>
      </w:r>
      <w:r>
        <w:rPr>
          <w:rFonts w:eastAsia="方正仿宋_GBK"/>
          <w:color w:val="000000"/>
          <w:spacing w:val="-2"/>
          <w:sz w:val="24"/>
        </w:rPr>
        <w:t xml:space="preserve">  </w:t>
      </w:r>
      <w:r>
        <w:rPr>
          <w:rFonts w:hint="eastAsia" w:eastAsia="方正仿宋_GBK"/>
          <w:color w:val="000000"/>
          <w:spacing w:val="-2"/>
          <w:sz w:val="24"/>
        </w:rPr>
        <w:t>经营权期限应当根据不同的规模、经营方式确定，经营期限最长不得超过</w:t>
      </w:r>
      <w:r>
        <w:rPr>
          <w:rFonts w:eastAsia="方正仿宋_GBK"/>
          <w:color w:val="000000"/>
          <w:spacing w:val="-2"/>
          <w:sz w:val="24"/>
        </w:rPr>
        <w:t>30</w:t>
      </w:r>
      <w:r>
        <w:rPr>
          <w:rFonts w:hint="eastAsia" w:eastAsia="方正仿宋_GBK"/>
          <w:color w:val="000000"/>
          <w:spacing w:val="-2"/>
          <w:sz w:val="24"/>
        </w:rPr>
        <w:t>年。</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黑体_GBK"/>
          <w:color w:val="000000"/>
          <w:spacing w:val="-2"/>
          <w:sz w:val="24"/>
        </w:rPr>
        <w:t>第九条</w:t>
      </w:r>
      <w:r>
        <w:rPr>
          <w:rFonts w:eastAsia="方正仿宋_GBK"/>
          <w:color w:val="000000"/>
          <w:spacing w:val="-2"/>
          <w:sz w:val="24"/>
        </w:rPr>
        <w:t xml:space="preserve">  </w:t>
      </w:r>
      <w:r>
        <w:rPr>
          <w:rFonts w:hint="eastAsia" w:eastAsia="方正仿宋_GBK"/>
          <w:color w:val="000000"/>
          <w:spacing w:val="-2"/>
          <w:sz w:val="24"/>
        </w:rPr>
        <w:t>管道燃气特许经营权的授予程序、特许经营协议内容、申请特许经营权的企业应当具备的条件、管道燃气经营企业应当履行的义务等按照《江苏省燃气管理条例》规定执行。</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仿宋_GBK"/>
          <w:color w:val="000000"/>
          <w:spacing w:val="-2"/>
          <w:sz w:val="24"/>
        </w:rPr>
        <w:t>设区的市、县（市）建设行政主管部门与经营企业签订的特许经营协议，应当报上一级主管部门备案，并根据需要发给经营企业经营权凭证。</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黑体_GBK"/>
          <w:color w:val="000000"/>
          <w:spacing w:val="-2"/>
          <w:sz w:val="24"/>
        </w:rPr>
        <w:t>第十条</w:t>
      </w:r>
      <w:r>
        <w:rPr>
          <w:rFonts w:eastAsia="方正黑体_GBK"/>
          <w:color w:val="000000"/>
          <w:spacing w:val="-2"/>
          <w:sz w:val="24"/>
        </w:rPr>
        <w:t xml:space="preserve"> </w:t>
      </w:r>
      <w:r>
        <w:rPr>
          <w:rFonts w:eastAsia="方正仿宋_GBK"/>
          <w:color w:val="000000"/>
          <w:spacing w:val="-2"/>
          <w:sz w:val="24"/>
        </w:rPr>
        <w:t xml:space="preserve"> </w:t>
      </w:r>
      <w:r>
        <w:rPr>
          <w:rFonts w:hint="eastAsia" w:eastAsia="方正仿宋_GBK"/>
          <w:color w:val="000000"/>
          <w:spacing w:val="-2"/>
          <w:sz w:val="24"/>
        </w:rPr>
        <w:t>特许经营期间，经营内容需要变更的，协议双方必须在共同协商的基础上签订相关的补充协议，并按照本办法第九条第二款的规定备案。</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仿宋_GBK"/>
          <w:color w:val="000000"/>
          <w:spacing w:val="-2"/>
          <w:sz w:val="24"/>
        </w:rPr>
        <w:t>因经营企业原因，需要对经营内容作重大变更的，经营企业必须及时报当地建设行政主管部门予以确认。</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仿宋_GBK"/>
          <w:color w:val="000000"/>
          <w:spacing w:val="-2"/>
          <w:sz w:val="24"/>
        </w:rPr>
        <w:t>城市人民政府根据城市建设和社会经济发展需要，调整特许经营协议，对经营企业利益受损的，应当给予合理补偿。</w:t>
      </w:r>
    </w:p>
    <w:p>
      <w:pPr>
        <w:overflowPunct w:val="0"/>
        <w:autoSpaceDE w:val="0"/>
        <w:autoSpaceDN w:val="0"/>
        <w:spacing w:line="460" w:lineRule="exact"/>
        <w:ind w:firstLine="472" w:firstLineChars="200"/>
        <w:rPr>
          <w:rFonts w:eastAsia="方正仿宋_GBK"/>
          <w:color w:val="000000"/>
          <w:spacing w:val="-2"/>
          <w:sz w:val="24"/>
        </w:rPr>
      </w:pPr>
      <w:r>
        <w:rPr>
          <w:rFonts w:eastAsia="方正仿宋_GBK"/>
          <w:color w:val="000000"/>
          <w:spacing w:val="-2"/>
          <w:sz w:val="24"/>
        </w:rPr>
        <w:t xml:space="preserve"> </w:t>
      </w:r>
      <w:r>
        <w:rPr>
          <w:rFonts w:hint="eastAsia" w:eastAsia="方正黑体_GBK"/>
          <w:color w:val="000000"/>
          <w:spacing w:val="-2"/>
          <w:sz w:val="24"/>
        </w:rPr>
        <w:t>第十一条</w:t>
      </w:r>
      <w:r>
        <w:rPr>
          <w:rFonts w:eastAsia="方正黑体_GBK"/>
          <w:color w:val="000000"/>
          <w:spacing w:val="-2"/>
          <w:sz w:val="24"/>
        </w:rPr>
        <w:t xml:space="preserve"> </w:t>
      </w:r>
      <w:r>
        <w:rPr>
          <w:rFonts w:eastAsia="方正仿宋_GBK"/>
          <w:color w:val="000000"/>
          <w:spacing w:val="-2"/>
          <w:sz w:val="24"/>
        </w:rPr>
        <w:t xml:space="preserve"> </w:t>
      </w:r>
      <w:r>
        <w:rPr>
          <w:rFonts w:hint="eastAsia" w:eastAsia="方正仿宋_GBK"/>
          <w:color w:val="000000"/>
          <w:spacing w:val="-2"/>
          <w:sz w:val="24"/>
        </w:rPr>
        <w:t>特许经营期间，经营企业主动提出解除特许经营协议的，必须提前二个月报告当地建设主管部门，经当地建设主管部门报本级政府同意后，方可解除协议，终止经营，并报上一级主管部门备案。</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仿宋_GBK"/>
          <w:color w:val="000000"/>
          <w:spacing w:val="-2"/>
          <w:sz w:val="24"/>
        </w:rPr>
        <w:t>经营企业在提出终止经营的期间内，必须保证正常的产品和服务的经营，并承担政府重新按照程序确定新经营者所发生的一切费用。</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黑体_GBK"/>
          <w:color w:val="000000"/>
          <w:spacing w:val="-2"/>
          <w:sz w:val="24"/>
        </w:rPr>
        <w:t>第十二条</w:t>
      </w:r>
      <w:r>
        <w:rPr>
          <w:rFonts w:eastAsia="方正仿宋_GBK"/>
          <w:color w:val="000000"/>
          <w:spacing w:val="-2"/>
          <w:sz w:val="24"/>
        </w:rPr>
        <w:t xml:space="preserve">  </w:t>
      </w:r>
      <w:r>
        <w:rPr>
          <w:rFonts w:hint="eastAsia" w:eastAsia="方正仿宋_GBK"/>
          <w:color w:val="000000"/>
          <w:spacing w:val="-2"/>
          <w:sz w:val="24"/>
        </w:rPr>
        <w:t>经营企业需要变更企业名称、法定地址、法定代表人，必须提前</w:t>
      </w:r>
      <w:r>
        <w:rPr>
          <w:rFonts w:eastAsia="方正仿宋_GBK"/>
          <w:color w:val="000000"/>
          <w:spacing w:val="-2"/>
          <w:sz w:val="24"/>
        </w:rPr>
        <w:t>15</w:t>
      </w:r>
      <w:r>
        <w:rPr>
          <w:rFonts w:hint="eastAsia" w:eastAsia="方正仿宋_GBK"/>
          <w:color w:val="000000"/>
          <w:spacing w:val="-2"/>
          <w:sz w:val="24"/>
        </w:rPr>
        <w:t>个工作日告知建设行政主管部门。</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黑体_GBK"/>
          <w:color w:val="000000"/>
          <w:spacing w:val="-2"/>
          <w:sz w:val="24"/>
        </w:rPr>
        <w:t>第十三条</w:t>
      </w:r>
      <w:r>
        <w:rPr>
          <w:rFonts w:eastAsia="方正仿宋_GBK"/>
          <w:color w:val="000000"/>
          <w:spacing w:val="-2"/>
          <w:sz w:val="24"/>
        </w:rPr>
        <w:t xml:space="preserve">  </w:t>
      </w:r>
      <w:r>
        <w:rPr>
          <w:rFonts w:hint="eastAsia" w:eastAsia="方正仿宋_GBK"/>
          <w:color w:val="000000"/>
          <w:spacing w:val="-2"/>
          <w:sz w:val="24"/>
        </w:rPr>
        <w:t>依法取得的管道燃气特许经营权不得擅自处置。</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黑体_GBK"/>
          <w:color w:val="000000"/>
          <w:spacing w:val="-2"/>
          <w:sz w:val="24"/>
        </w:rPr>
        <w:t>第十四条</w:t>
      </w:r>
      <w:r>
        <w:rPr>
          <w:rFonts w:eastAsia="方正黑体_GBK"/>
          <w:color w:val="000000"/>
          <w:spacing w:val="-2"/>
          <w:sz w:val="24"/>
        </w:rPr>
        <w:t xml:space="preserve"> </w:t>
      </w:r>
      <w:r>
        <w:rPr>
          <w:rFonts w:eastAsia="方正仿宋_GBK"/>
          <w:color w:val="000000"/>
          <w:spacing w:val="-2"/>
          <w:sz w:val="24"/>
        </w:rPr>
        <w:t xml:space="preserve"> </w:t>
      </w:r>
      <w:r>
        <w:rPr>
          <w:rFonts w:hint="eastAsia" w:eastAsia="方正仿宋_GBK"/>
          <w:color w:val="000000"/>
          <w:spacing w:val="-2"/>
          <w:sz w:val="24"/>
        </w:rPr>
        <w:t>管道燃气特许经营企业有下列行为之一的，设区的市、县（市）建设行政主管部门在报经本级人民政府批准，并报上一级建设行政主管部门备案后，可以终止特许经营协议，并实施临时接管。</w:t>
      </w:r>
    </w:p>
    <w:p>
      <w:pPr>
        <w:overflowPunct w:val="0"/>
        <w:autoSpaceDE w:val="0"/>
        <w:autoSpaceDN w:val="0"/>
        <w:spacing w:line="460" w:lineRule="exact"/>
        <w:rPr>
          <w:rFonts w:eastAsia="方正仿宋_GBK"/>
          <w:color w:val="000000"/>
          <w:spacing w:val="-2"/>
          <w:sz w:val="24"/>
        </w:rPr>
      </w:pPr>
      <w:r>
        <w:rPr>
          <w:rFonts w:eastAsia="方正仿宋_GBK"/>
          <w:color w:val="000000"/>
          <w:spacing w:val="-2"/>
          <w:sz w:val="24"/>
        </w:rPr>
        <w:t xml:space="preserve">    </w:t>
      </w:r>
      <w:r>
        <w:rPr>
          <w:rFonts w:hint="eastAsia" w:eastAsia="方正仿宋_GBK"/>
          <w:color w:val="000000"/>
          <w:spacing w:val="-2"/>
          <w:sz w:val="24"/>
        </w:rPr>
        <w:t>（一）擅自转让、出租特许经营权的；</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仿宋_GBK"/>
          <w:color w:val="000000"/>
          <w:spacing w:val="-2"/>
          <w:sz w:val="24"/>
        </w:rPr>
        <w:t>（二）存在重大安全隐患且拒不整改的；</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仿宋_GBK"/>
          <w:color w:val="000000"/>
          <w:spacing w:val="-2"/>
          <w:sz w:val="24"/>
        </w:rPr>
        <w:t>（三）因管理不善，发生重大质量、生产安全事故的；</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仿宋_GBK"/>
          <w:color w:val="000000"/>
          <w:spacing w:val="-2"/>
          <w:sz w:val="24"/>
        </w:rPr>
        <w:t>（四）擅自停业、歇业，严重影响社会公共利益和公共安全的；</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仿宋_GBK"/>
          <w:color w:val="000000"/>
          <w:spacing w:val="-2"/>
          <w:sz w:val="24"/>
        </w:rPr>
        <w:t>（五）法律、法规规定可以终止特许经营协议的其他情形。</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仿宋_GBK"/>
          <w:color w:val="000000"/>
          <w:spacing w:val="-2"/>
          <w:sz w:val="24"/>
        </w:rPr>
        <w:t>取消经营权的决定由建设行政主管部门书面通知经营企业。经营企业可以在收到书面通知后</w:t>
      </w:r>
      <w:r>
        <w:rPr>
          <w:rFonts w:eastAsia="方正仿宋_GBK"/>
          <w:color w:val="000000"/>
          <w:spacing w:val="-2"/>
          <w:sz w:val="24"/>
        </w:rPr>
        <w:t>30</w:t>
      </w:r>
      <w:r>
        <w:rPr>
          <w:rFonts w:hint="eastAsia" w:eastAsia="方正仿宋_GBK"/>
          <w:color w:val="000000"/>
          <w:spacing w:val="-2"/>
          <w:sz w:val="24"/>
        </w:rPr>
        <w:t>个工作日内提出书面申辩或者要求举行听证会。</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黑体_GBK"/>
          <w:color w:val="000000"/>
          <w:spacing w:val="-2"/>
          <w:sz w:val="24"/>
        </w:rPr>
        <w:t>第十五条</w:t>
      </w:r>
      <w:r>
        <w:rPr>
          <w:rFonts w:eastAsia="方正仿宋_GBK"/>
          <w:color w:val="000000"/>
          <w:spacing w:val="-2"/>
          <w:sz w:val="24"/>
        </w:rPr>
        <w:t xml:space="preserve">  </w:t>
      </w:r>
      <w:r>
        <w:rPr>
          <w:rFonts w:hint="eastAsia" w:eastAsia="方正仿宋_GBK"/>
          <w:color w:val="000000"/>
          <w:spacing w:val="-2"/>
          <w:sz w:val="24"/>
        </w:rPr>
        <w:t>经营权发生变更或终止时，建设行政主管部门必须妥善做好资产处置等相关工作，保障管道燃气供应和服务的连续性、稳定性。</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黑体_GBK"/>
          <w:color w:val="000000"/>
          <w:spacing w:val="-2"/>
          <w:sz w:val="24"/>
        </w:rPr>
        <w:t>第十六条</w:t>
      </w:r>
      <w:r>
        <w:rPr>
          <w:rFonts w:eastAsia="方正黑体_GBK"/>
          <w:color w:val="000000"/>
          <w:spacing w:val="-2"/>
          <w:sz w:val="24"/>
        </w:rPr>
        <w:t xml:space="preserve"> </w:t>
      </w:r>
      <w:r>
        <w:rPr>
          <w:rFonts w:eastAsia="方正仿宋_GBK"/>
          <w:color w:val="000000"/>
          <w:spacing w:val="-2"/>
          <w:sz w:val="24"/>
        </w:rPr>
        <w:t xml:space="preserve"> </w:t>
      </w:r>
      <w:r>
        <w:rPr>
          <w:rFonts w:hint="eastAsia" w:eastAsia="方正仿宋_GBK"/>
          <w:color w:val="000000"/>
          <w:spacing w:val="-2"/>
          <w:sz w:val="24"/>
        </w:rPr>
        <w:t>特许经营协议是经营企业从事管道燃气经营的法定依据。经营企业应当按照经营协议和经营凭证规定的权限、范围和期限等行使经营权。</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黑体_GBK"/>
          <w:color w:val="000000"/>
          <w:spacing w:val="-2"/>
          <w:sz w:val="24"/>
        </w:rPr>
        <w:t>第十七条</w:t>
      </w:r>
      <w:r>
        <w:rPr>
          <w:rFonts w:eastAsia="方正仿宋_GBK"/>
          <w:color w:val="000000"/>
          <w:spacing w:val="-2"/>
          <w:sz w:val="24"/>
        </w:rPr>
        <w:t xml:space="preserve">  </w:t>
      </w:r>
      <w:r>
        <w:rPr>
          <w:rFonts w:hint="eastAsia" w:eastAsia="方正仿宋_GBK"/>
          <w:color w:val="000000"/>
          <w:spacing w:val="-2"/>
          <w:sz w:val="24"/>
        </w:rPr>
        <w:t>经营企业应当对管道燃气设施的技术档案及营运情况记录等资料进行收集、整理和归档，并完善信息化管理系统。</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仿宋_GBK"/>
          <w:color w:val="000000"/>
          <w:spacing w:val="-2"/>
          <w:sz w:val="24"/>
        </w:rPr>
        <w:t>经营期满时，经营企业应当将前款资料完整移交后续经营者或者建设主管部门。</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黑体_GBK"/>
          <w:color w:val="000000"/>
          <w:spacing w:val="-2"/>
          <w:sz w:val="24"/>
        </w:rPr>
        <w:t>第十八条</w:t>
      </w:r>
      <w:r>
        <w:rPr>
          <w:rFonts w:eastAsia="方正黑体_GBK"/>
          <w:color w:val="000000"/>
          <w:spacing w:val="-2"/>
          <w:sz w:val="24"/>
        </w:rPr>
        <w:t xml:space="preserve"> </w:t>
      </w:r>
      <w:r>
        <w:rPr>
          <w:rFonts w:eastAsia="方正仿宋_GBK"/>
          <w:color w:val="000000"/>
          <w:spacing w:val="-2"/>
          <w:sz w:val="24"/>
        </w:rPr>
        <w:t xml:space="preserve"> </w:t>
      </w:r>
      <w:r>
        <w:rPr>
          <w:rFonts w:hint="eastAsia" w:eastAsia="方正仿宋_GBK"/>
          <w:color w:val="000000"/>
          <w:spacing w:val="-2"/>
          <w:sz w:val="24"/>
        </w:rPr>
        <w:t>城市人民政府及有关部门应当为经营企业创造良好的政策保障和经营环境，并为经营企业提供相应的服务，保障经营企业拥有自主经营的权利。</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黑体_GBK"/>
          <w:color w:val="000000"/>
          <w:spacing w:val="-2"/>
          <w:sz w:val="24"/>
        </w:rPr>
        <w:t>第十九条</w:t>
      </w:r>
      <w:r>
        <w:rPr>
          <w:rFonts w:eastAsia="方正仿宋_GBK"/>
          <w:color w:val="000000"/>
          <w:spacing w:val="-2"/>
          <w:sz w:val="24"/>
        </w:rPr>
        <w:t xml:space="preserve">  </w:t>
      </w:r>
      <w:r>
        <w:rPr>
          <w:rFonts w:hint="eastAsia" w:eastAsia="方正仿宋_GBK"/>
          <w:color w:val="000000"/>
          <w:spacing w:val="-2"/>
          <w:sz w:val="24"/>
        </w:rPr>
        <w:t>建设行政主管部门应当依法对经营企业进行监督管理，每</w:t>
      </w:r>
      <w:r>
        <w:rPr>
          <w:rFonts w:eastAsia="方正仿宋_GBK"/>
          <w:color w:val="000000"/>
          <w:spacing w:val="-2"/>
          <w:sz w:val="24"/>
        </w:rPr>
        <w:t>2</w:t>
      </w:r>
      <w:r>
        <w:rPr>
          <w:rFonts w:hint="eastAsia" w:eastAsia="方正仿宋_GBK"/>
          <w:color w:val="000000"/>
          <w:spacing w:val="-2"/>
          <w:sz w:val="24"/>
        </w:rPr>
        <w:t>年进行一次中期评估，特殊情况下可以实施年度评估，评估结果应报上一级建设行政主管部门备案。发现管道燃气经营企业未按规定履行特许经营义务，不符合特许经营条件，或者有不合理收费等问题的，应当责令限期整改。</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黑体_GBK"/>
          <w:color w:val="000000"/>
          <w:spacing w:val="-2"/>
          <w:sz w:val="24"/>
        </w:rPr>
        <w:t>第二十条</w:t>
      </w:r>
      <w:r>
        <w:rPr>
          <w:rFonts w:eastAsia="方正仿宋_GBK"/>
          <w:color w:val="000000"/>
          <w:spacing w:val="-2"/>
          <w:sz w:val="24"/>
        </w:rPr>
        <w:t xml:space="preserve">  </w:t>
      </w:r>
      <w:r>
        <w:rPr>
          <w:rFonts w:hint="eastAsia" w:eastAsia="方正仿宋_GBK"/>
          <w:color w:val="000000"/>
          <w:spacing w:val="-2"/>
          <w:sz w:val="24"/>
        </w:rPr>
        <w:t>建设行政主管部门应当按照协议内容加强对经营企业投资、建设、生产、运行及其相关活动的日常监督管理，对产品质量、服务质量实行定期和不定期地检测、检查。发现经营企业在产品和服务质量方面存在问题的，应当责令限期整改。</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黑体_GBK"/>
          <w:color w:val="000000"/>
          <w:spacing w:val="-2"/>
          <w:sz w:val="24"/>
        </w:rPr>
        <w:t>第二十一条</w:t>
      </w:r>
      <w:r>
        <w:rPr>
          <w:rFonts w:eastAsia="方正仿宋_GBK"/>
          <w:color w:val="000000"/>
          <w:spacing w:val="-2"/>
          <w:sz w:val="24"/>
        </w:rPr>
        <w:t xml:space="preserve">  </w:t>
      </w:r>
      <w:r>
        <w:rPr>
          <w:rFonts w:hint="eastAsia" w:eastAsia="方正仿宋_GBK"/>
          <w:color w:val="000000"/>
          <w:spacing w:val="-2"/>
          <w:sz w:val="24"/>
        </w:rPr>
        <w:t>未取得特许经营权擅自从事管道燃气经营活动的，由建设行政主管部门依照《江苏省燃气管理条例》第五十六条的规定责令停止经营，并处十万元以上五十万元以下罚款。</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黑体_GBK"/>
          <w:color w:val="000000"/>
          <w:spacing w:val="-2"/>
          <w:sz w:val="24"/>
        </w:rPr>
        <w:t>第二十二条</w:t>
      </w:r>
      <w:r>
        <w:rPr>
          <w:rFonts w:eastAsia="方正黑体_GBK"/>
          <w:color w:val="000000"/>
          <w:spacing w:val="-2"/>
          <w:sz w:val="24"/>
        </w:rPr>
        <w:t xml:space="preserve"> </w:t>
      </w:r>
      <w:r>
        <w:rPr>
          <w:rFonts w:eastAsia="方正仿宋_GBK"/>
          <w:color w:val="000000"/>
          <w:spacing w:val="-2"/>
          <w:sz w:val="24"/>
        </w:rPr>
        <w:t xml:space="preserve"> </w:t>
      </w:r>
      <w:r>
        <w:rPr>
          <w:rFonts w:hint="eastAsia" w:eastAsia="方正仿宋_GBK"/>
          <w:color w:val="000000"/>
          <w:spacing w:val="-2"/>
          <w:sz w:val="24"/>
        </w:rPr>
        <w:t>对在《条例》实施前已经从事管道燃气建设和经营但还没有实施特许经营制度的企业，应按《江苏省燃气管理条例》的有关规定，完善实施特许经营的相关制度，签订特许经营协议，明确特许经营的内容和要求，并报上一级建设行政主管部门备案。</w:t>
      </w:r>
    </w:p>
    <w:p>
      <w:pPr>
        <w:overflowPunct w:val="0"/>
        <w:autoSpaceDE w:val="0"/>
        <w:autoSpaceDN w:val="0"/>
        <w:spacing w:line="460" w:lineRule="exact"/>
        <w:ind w:firstLine="472" w:firstLineChars="200"/>
        <w:rPr>
          <w:rFonts w:eastAsia="方正仿宋_GBK"/>
          <w:color w:val="000000"/>
          <w:spacing w:val="-2"/>
          <w:sz w:val="24"/>
        </w:rPr>
      </w:pPr>
      <w:r>
        <w:rPr>
          <w:rFonts w:hint="eastAsia" w:eastAsia="方正黑体_GBK"/>
          <w:color w:val="000000"/>
          <w:spacing w:val="-2"/>
          <w:sz w:val="24"/>
        </w:rPr>
        <w:t>第二十三条</w:t>
      </w:r>
      <w:r>
        <w:rPr>
          <w:rFonts w:eastAsia="方正仿宋_GBK"/>
          <w:color w:val="000000"/>
          <w:spacing w:val="-2"/>
          <w:sz w:val="24"/>
        </w:rPr>
        <w:t xml:space="preserve">  </w:t>
      </w:r>
      <w:r>
        <w:rPr>
          <w:rFonts w:hint="eastAsia" w:eastAsia="方正仿宋_GBK"/>
          <w:color w:val="000000"/>
          <w:spacing w:val="-2"/>
          <w:sz w:val="24"/>
        </w:rPr>
        <w:t>本办法自发文之日起施行。</w:t>
      </w:r>
    </w:p>
    <w:p>
      <w:pPr>
        <w:overflowPunct w:val="0"/>
        <w:autoSpaceDE w:val="0"/>
        <w:autoSpaceDN w:val="0"/>
        <w:spacing w:line="460" w:lineRule="exact"/>
        <w:ind w:firstLine="472" w:firstLineChars="200"/>
        <w:rPr>
          <w:rFonts w:eastAsia="方正仿宋_GBK"/>
          <w:color w:val="000000"/>
          <w:spacing w:val="-2"/>
          <w:sz w:val="24"/>
        </w:rPr>
      </w:pPr>
    </w:p>
    <w:p>
      <w:pPr>
        <w:overflowPunct w:val="0"/>
        <w:autoSpaceDE w:val="0"/>
        <w:autoSpaceDN w:val="0"/>
        <w:spacing w:line="460" w:lineRule="exact"/>
        <w:ind w:firstLine="472" w:firstLineChars="200"/>
        <w:rPr>
          <w:rFonts w:eastAsia="方正仿宋_GBK"/>
          <w:color w:val="000000"/>
          <w:spacing w:val="-2"/>
          <w:sz w:val="24"/>
        </w:rPr>
      </w:pPr>
    </w:p>
    <w:p>
      <w:pPr>
        <w:overflowPunct w:val="0"/>
        <w:autoSpaceDE w:val="0"/>
        <w:autoSpaceDN w:val="0"/>
        <w:spacing w:line="460" w:lineRule="exact"/>
        <w:ind w:firstLine="472" w:firstLineChars="200"/>
        <w:rPr>
          <w:rFonts w:eastAsia="方正仿宋_GBK"/>
          <w:color w:val="000000"/>
          <w:spacing w:val="-2"/>
          <w:sz w:val="24"/>
        </w:rPr>
      </w:pPr>
    </w:p>
    <w:p/>
    <w:p/>
    <w:p/>
    <w:p/>
    <w:p/>
    <w:p/>
    <w:p/>
    <w:p/>
    <w:p/>
    <w:p/>
    <w:p/>
    <w:p/>
    <w:p/>
    <w:p/>
    <w:p/>
    <w:p/>
    <w:p/>
    <w:p/>
    <w:p/>
    <w:p/>
    <w:p/>
    <w:p/>
    <w:p/>
    <w:p/>
    <w:p/>
    <w:p/>
    <w:p/>
    <w:p/>
    <w:p/>
    <w:p/>
    <w:p/>
    <w:p>
      <w:pPr>
        <w:pStyle w:val="2"/>
        <w:spacing w:before="240" w:beforeLines="100" w:after="240" w:afterLines="100" w:line="240" w:lineRule="auto"/>
        <w:jc w:val="center"/>
        <w:rPr>
          <w:rFonts w:ascii="Times New Roman" w:eastAsia="方正小标宋_GBK"/>
          <w:b w:val="0"/>
          <w:sz w:val="36"/>
          <w:szCs w:val="36"/>
        </w:rPr>
      </w:pPr>
      <w:r>
        <w:rPr>
          <w:rFonts w:hint="eastAsia" w:ascii="Times New Roman" w:eastAsia="方正小标宋_GBK"/>
          <w:b w:val="0"/>
          <w:sz w:val="36"/>
          <w:szCs w:val="36"/>
        </w:rPr>
        <w:t>于进一步加强城市供水管理、保障供水安全的通知</w:t>
      </w:r>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68" w:name="_Toc20726317"/>
      <w:bookmarkStart w:id="69" w:name="_Toc18315397"/>
      <w:r>
        <w:rPr>
          <w:rFonts w:hint="eastAsia" w:ascii="Times New Roman" w:hAnsi="Times New Roman" w:eastAsia="方正楷体_GBK"/>
          <w:b w:val="0"/>
          <w:sz w:val="24"/>
          <w:szCs w:val="24"/>
        </w:rPr>
        <w:t>苏建城〔</w:t>
      </w:r>
      <w:r>
        <w:rPr>
          <w:rFonts w:ascii="Times New Roman" w:hAnsi="Times New Roman" w:eastAsia="方正楷体_GBK"/>
          <w:b w:val="0"/>
          <w:sz w:val="24"/>
          <w:szCs w:val="24"/>
        </w:rPr>
        <w:t>2007</w:t>
      </w:r>
      <w:r>
        <w:rPr>
          <w:rFonts w:hint="eastAsia" w:ascii="Times New Roman" w:hAnsi="Times New Roman" w:eastAsia="方正楷体_GBK"/>
          <w:b w:val="0"/>
          <w:sz w:val="24"/>
          <w:szCs w:val="24"/>
        </w:rPr>
        <w:t>〕</w:t>
      </w:r>
      <w:r>
        <w:rPr>
          <w:rFonts w:ascii="Times New Roman" w:hAnsi="Times New Roman" w:eastAsia="方正楷体_GBK"/>
          <w:b w:val="0"/>
          <w:sz w:val="24"/>
          <w:szCs w:val="24"/>
        </w:rPr>
        <w:t>205</w:t>
      </w:r>
      <w:r>
        <w:rPr>
          <w:rFonts w:hint="eastAsia" w:ascii="Times New Roman" w:hAnsi="Times New Roman" w:eastAsia="方正楷体_GBK"/>
          <w:b w:val="0"/>
          <w:sz w:val="24"/>
          <w:szCs w:val="24"/>
        </w:rPr>
        <w:t>号</w:t>
      </w:r>
      <w:bookmarkEnd w:id="68"/>
      <w:bookmarkEnd w:id="69"/>
    </w:p>
    <w:p>
      <w:pPr>
        <w:spacing w:line="460" w:lineRule="exact"/>
        <w:rPr>
          <w:rFonts w:eastAsia="方正仿宋_GBK"/>
          <w:color w:val="000000"/>
          <w:spacing w:val="-2"/>
          <w:sz w:val="24"/>
        </w:rPr>
      </w:pPr>
      <w:r>
        <w:rPr>
          <w:rFonts w:hint="eastAsia" w:eastAsia="方正仿宋_GBK"/>
          <w:color w:val="000000"/>
          <w:spacing w:val="-2"/>
          <w:sz w:val="24"/>
        </w:rPr>
        <w:t>各市、县（市）建设局（建委）</w:t>
      </w:r>
      <w:r>
        <w:rPr>
          <w:rFonts w:eastAsia="方正仿宋_GBK"/>
          <w:color w:val="000000"/>
          <w:spacing w:val="-2"/>
          <w:sz w:val="24"/>
        </w:rPr>
        <w:t>,</w:t>
      </w:r>
      <w:r>
        <w:rPr>
          <w:rFonts w:hint="eastAsia" w:eastAsia="方正仿宋_GBK"/>
          <w:color w:val="000000"/>
          <w:spacing w:val="-2"/>
          <w:sz w:val="24"/>
        </w:rPr>
        <w:t>市政公用局：</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为推动《生活饮用水卫生标准》（</w:t>
      </w:r>
      <w:r>
        <w:rPr>
          <w:rFonts w:eastAsia="方正仿宋_GBK"/>
          <w:color w:val="000000"/>
          <w:spacing w:val="-2"/>
          <w:sz w:val="24"/>
        </w:rPr>
        <w:t>GB5749-2006</w:t>
      </w:r>
      <w:r>
        <w:rPr>
          <w:rFonts w:hint="eastAsia" w:eastAsia="方正仿宋_GBK"/>
          <w:color w:val="000000"/>
          <w:spacing w:val="-2"/>
          <w:sz w:val="24"/>
        </w:rPr>
        <w:t>）实施，进一步加强城市供水水质管理，保障夏季全省城市供水安全，结合我省实际，现就加强城市供水管理、保障城市供水安全等工作通知如下：</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一、密切配合，切实加强城市供水水源地的保护和监管工作</w:t>
      </w:r>
    </w:p>
    <w:p>
      <w:pPr>
        <w:spacing w:line="460" w:lineRule="exact"/>
        <w:ind w:firstLine="472" w:firstLineChars="200"/>
        <w:rPr>
          <w:rFonts w:hint="eastAsia" w:eastAsia="方正仿宋_GBK"/>
          <w:color w:val="000000"/>
          <w:spacing w:val="-2"/>
          <w:sz w:val="24"/>
        </w:rPr>
      </w:pPr>
      <w:r>
        <w:rPr>
          <w:rFonts w:hint="eastAsia" w:eastAsia="方正仿宋_GBK"/>
          <w:color w:val="000000"/>
          <w:spacing w:val="-2"/>
          <w:sz w:val="24"/>
        </w:rPr>
        <w:t>水源是城市供水的基础，水源安全是城市供水安全的前提。省委、省政府高度重视城市供水水源地保护工作，</w:t>
      </w:r>
      <w:r>
        <w:rPr>
          <w:rFonts w:eastAsia="方正仿宋_GBK"/>
          <w:color w:val="000000"/>
          <w:spacing w:val="-2"/>
          <w:sz w:val="24"/>
        </w:rPr>
        <w:t>2005</w:t>
      </w:r>
      <w:r>
        <w:rPr>
          <w:rFonts w:hint="eastAsia" w:eastAsia="方正仿宋_GBK"/>
          <w:color w:val="000000"/>
          <w:spacing w:val="-2"/>
          <w:sz w:val="24"/>
        </w:rPr>
        <w:t>年，省政府专门召开了全省集中式饮用水水源地专项整治现场会，印发了《关于印发全省集中式饮用水源地专项行动方案的通知》，对全省集中式饮用水源地进行全面整治，严厉打击了一批饮用水源地保护区内的环境违法行为，水源地保护工作得到了加强。但是，我省地处长江、淮河下游，进入主汛期后，水源地水质容易遭受上游客水污染，部分城市水源地存在着较大的安全隐患，水源地水质污染事件时有发生。为此，各级城市供水主管部门必须高度重视，在城市人民政府的统一领导下，积极配合环保、水利等部门，共同做好城市供水水源地的保护和安全监管工作，确保城市供水安全渡夏。</w:t>
      </w:r>
      <w:r>
        <w:rPr>
          <w:rFonts w:eastAsia="方正仿宋_GBK"/>
          <w:color w:val="000000"/>
          <w:spacing w:val="-2"/>
          <w:sz w:val="24"/>
        </w:rPr>
        <w:t xml:space="preserve"> </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二、加强城市供水各环节的管理，保障供水水质安全</w:t>
      </w:r>
    </w:p>
    <w:p>
      <w:pPr>
        <w:spacing w:line="460" w:lineRule="exact"/>
        <w:ind w:firstLine="472" w:firstLineChars="200"/>
        <w:rPr>
          <w:rFonts w:hint="eastAsia" w:eastAsia="方正仿宋_GBK"/>
          <w:color w:val="000000"/>
          <w:spacing w:val="-2"/>
          <w:sz w:val="24"/>
        </w:rPr>
      </w:pPr>
      <w:r>
        <w:rPr>
          <w:rFonts w:hint="eastAsia" w:eastAsia="方正仿宋_GBK"/>
          <w:color w:val="000000"/>
          <w:spacing w:val="-2"/>
          <w:sz w:val="24"/>
        </w:rPr>
        <w:t>为保障供水水质安全，必须对水源、净水厂、配水管网到二次供水设施各个生产、输配环节实施全过程管理。</w:t>
      </w:r>
    </w:p>
    <w:p>
      <w:pPr>
        <w:spacing w:line="460" w:lineRule="exact"/>
        <w:ind w:firstLine="472" w:firstLineChars="200"/>
        <w:rPr>
          <w:rFonts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w:t>
      </w:r>
      <w:r>
        <w:rPr>
          <w:rFonts w:hint="eastAsia" w:ascii="Times New Roman" w:eastAsia="方正楷体_GBK"/>
          <w:color w:val="000000"/>
          <w:spacing w:val="-2"/>
          <w:sz w:val="24"/>
        </w:rPr>
        <w:t>加强城市供水水源地水质保护</w:t>
      </w:r>
      <w:r>
        <w:rPr>
          <w:rFonts w:hint="eastAsia" w:eastAsia="方正仿宋_GBK"/>
          <w:color w:val="000000"/>
          <w:spacing w:val="-2"/>
          <w:sz w:val="24"/>
        </w:rPr>
        <w:t>。按照</w:t>
      </w:r>
      <w:r>
        <w:rPr>
          <w:rFonts w:eastAsia="方正仿宋_GBK"/>
          <w:color w:val="000000"/>
          <w:spacing w:val="-2"/>
          <w:sz w:val="24"/>
        </w:rPr>
        <w:t>“</w:t>
      </w:r>
      <w:r>
        <w:rPr>
          <w:rFonts w:hint="eastAsia" w:eastAsia="方正仿宋_GBK"/>
          <w:color w:val="000000"/>
          <w:spacing w:val="-2"/>
          <w:sz w:val="24"/>
        </w:rPr>
        <w:t>谁管理、谁负责</w:t>
      </w:r>
      <w:r>
        <w:rPr>
          <w:rFonts w:eastAsia="方正仿宋_GBK"/>
          <w:color w:val="000000"/>
          <w:spacing w:val="-2"/>
          <w:sz w:val="24"/>
        </w:rPr>
        <w:t>”</w:t>
      </w:r>
      <w:r>
        <w:rPr>
          <w:rFonts w:hint="eastAsia" w:eastAsia="方正仿宋_GBK"/>
          <w:color w:val="000000"/>
          <w:spacing w:val="-2"/>
          <w:sz w:val="24"/>
        </w:rPr>
        <w:t>的原则，对城市供水水源存在的安全隐患进行排查和整改。各级城市供水主管部门要抓紧会同环保、水利等有关部门对城市供水水源地保护区内外污染源情况开展详细的调查，摸清城市供水水源汇水区、引水沟（渠）、水库（井）周边等范围内的工业、生活、农业、禽畜养殖等污染源，对各类排污口和排放的主要污染物登记造册，及时掌握污染隐患的情况。存在安全隐患的，要立即向当地城市人民政府汇报有关情况，提出整改和防范措施，对于因整改措施不到位而发生事故的，要严肃追究有关人员的责任。</w:t>
      </w:r>
    </w:p>
    <w:p>
      <w:pPr>
        <w:pStyle w:val="21"/>
        <w:widowControl w:val="0"/>
        <w:spacing w:line="460" w:lineRule="exact"/>
        <w:ind w:firstLine="472" w:firstLineChars="200"/>
        <w:rPr>
          <w:rFonts w:ascii="Times New Roman" w:eastAsia="方正仿宋_GBK"/>
          <w:spacing w:val="-2"/>
          <w:sz w:val="24"/>
          <w:szCs w:val="24"/>
        </w:rPr>
      </w:pPr>
      <w:r>
        <w:rPr>
          <w:rFonts w:ascii="Times New Roman" w:eastAsia="方正仿宋_GBK"/>
          <w:spacing w:val="-2"/>
          <w:sz w:val="24"/>
          <w:szCs w:val="24"/>
        </w:rPr>
        <w:t>2</w:t>
      </w:r>
      <w:r>
        <w:rPr>
          <w:rFonts w:hint="eastAsia" w:ascii="Times New Roman" w:eastAsia="方正仿宋_GBK"/>
          <w:spacing w:val="-2"/>
          <w:sz w:val="24"/>
          <w:szCs w:val="24"/>
        </w:rPr>
        <w:t>、</w:t>
      </w:r>
      <w:r>
        <w:rPr>
          <w:rFonts w:hint="eastAsia" w:ascii="Times New Roman" w:eastAsia="方正楷体_GBK"/>
          <w:spacing w:val="-2"/>
          <w:sz w:val="24"/>
          <w:szCs w:val="24"/>
        </w:rPr>
        <w:t>加强净水厂构筑物设施维护保养工作</w:t>
      </w:r>
      <w:r>
        <w:rPr>
          <w:rFonts w:hint="eastAsia" w:ascii="Times New Roman" w:eastAsia="方正仿宋_GBK"/>
          <w:spacing w:val="-2"/>
          <w:sz w:val="24"/>
          <w:szCs w:val="24"/>
        </w:rPr>
        <w:t>，保障供水的连续性。在夏季高峰供水前，各供水企业要全面对净水厂各生产构筑物进行全面的维护保养工作，保证生产正常运行；对净水厂和增压站的机电设备、电源、自控等设施全面检查和保养，并保证一定的备用台套，防止大面积停水事件的发生；制水用混凝剂、消毒剂要确保充足库存；开展岗位责任、安全教育培训工作，确保各项操作按规范、规程操作。向城市输水的主管道原则上应敷设两条，重要供水设施的供电应采用双回路。</w:t>
      </w:r>
    </w:p>
    <w:p>
      <w:pPr>
        <w:spacing w:line="460" w:lineRule="exact"/>
        <w:ind w:firstLine="472" w:firstLineChars="200"/>
        <w:rPr>
          <w:rFonts w:eastAsia="方正仿宋_GBK"/>
          <w:color w:val="000000"/>
          <w:spacing w:val="-2"/>
          <w:sz w:val="24"/>
        </w:rPr>
      </w:pPr>
      <w:r>
        <w:rPr>
          <w:rFonts w:eastAsia="方正仿宋_GBK"/>
          <w:color w:val="000000"/>
          <w:spacing w:val="-2"/>
          <w:sz w:val="24"/>
        </w:rPr>
        <w:t>3</w:t>
      </w:r>
      <w:r>
        <w:rPr>
          <w:rFonts w:hint="eastAsia" w:eastAsia="方正仿宋_GBK"/>
          <w:color w:val="000000"/>
          <w:spacing w:val="-2"/>
          <w:sz w:val="24"/>
        </w:rPr>
        <w:t>、</w:t>
      </w:r>
      <w:r>
        <w:rPr>
          <w:rFonts w:hint="eastAsia" w:ascii="Times New Roman" w:eastAsia="方正楷体_GBK"/>
          <w:color w:val="000000"/>
          <w:spacing w:val="-2"/>
          <w:sz w:val="24"/>
        </w:rPr>
        <w:t>加快城市供水管网改造</w:t>
      </w:r>
      <w:r>
        <w:rPr>
          <w:rFonts w:hint="eastAsia" w:eastAsia="方正仿宋_GBK"/>
          <w:color w:val="000000"/>
          <w:spacing w:val="-2"/>
          <w:sz w:val="24"/>
        </w:rPr>
        <w:t>。要即时更换供水安全性不高的管网和启闭不灵的阀门，确保供水管网正常运行。加快城市供水管网的优化改造，力争在</w:t>
      </w:r>
      <w:r>
        <w:rPr>
          <w:rFonts w:eastAsia="方正仿宋_GBK"/>
          <w:color w:val="000000"/>
          <w:spacing w:val="-2"/>
          <w:sz w:val="24"/>
        </w:rPr>
        <w:t>2008</w:t>
      </w:r>
      <w:r>
        <w:rPr>
          <w:rFonts w:hint="eastAsia" w:eastAsia="方正仿宋_GBK"/>
          <w:color w:val="000000"/>
          <w:spacing w:val="-2"/>
          <w:sz w:val="24"/>
        </w:rPr>
        <w:t>年底前完成设市城市老旧供水管网改造工作，使城市供水管网漏损率及早控制在国家规定标准以内。改造工程中，应当推广使用新型环保、卫生管材，严禁使用灰口铸铁管和镀锌钢管，避免管道结垢。</w:t>
      </w:r>
    </w:p>
    <w:p>
      <w:pPr>
        <w:spacing w:line="460" w:lineRule="exact"/>
        <w:ind w:firstLine="472" w:firstLineChars="200"/>
        <w:rPr>
          <w:rFonts w:eastAsia="方正仿宋_GBK"/>
          <w:color w:val="000000"/>
          <w:spacing w:val="-2"/>
          <w:sz w:val="24"/>
        </w:rPr>
      </w:pPr>
      <w:r>
        <w:rPr>
          <w:rFonts w:eastAsia="方正仿宋_GBK"/>
          <w:color w:val="000000"/>
          <w:spacing w:val="-2"/>
          <w:sz w:val="24"/>
        </w:rPr>
        <w:t>4</w:t>
      </w:r>
      <w:r>
        <w:rPr>
          <w:rFonts w:hint="eastAsia" w:eastAsia="方正仿宋_GBK"/>
          <w:color w:val="000000"/>
          <w:spacing w:val="-2"/>
          <w:sz w:val="24"/>
        </w:rPr>
        <w:t>、</w:t>
      </w:r>
      <w:r>
        <w:rPr>
          <w:rFonts w:hint="eastAsia" w:ascii="Times New Roman" w:eastAsia="方正楷体_GBK"/>
          <w:color w:val="000000"/>
          <w:spacing w:val="-2"/>
          <w:sz w:val="24"/>
        </w:rPr>
        <w:t>加强二次供水和自建供水设施管理</w:t>
      </w:r>
      <w:r>
        <w:rPr>
          <w:rFonts w:hint="eastAsia" w:eastAsia="方正仿宋_GBK"/>
          <w:color w:val="000000"/>
          <w:spacing w:val="-2"/>
          <w:sz w:val="24"/>
        </w:rPr>
        <w:t>。各级城市供水主管部门应建立健全二次供水设施的运行、清洗、消毒和安全保障管理制度，明确二次供水设施管理单位，确保水质安全；</w:t>
      </w:r>
      <w:r>
        <w:rPr>
          <w:rFonts w:eastAsia="方正仿宋_GBK"/>
          <w:color w:val="000000"/>
          <w:spacing w:val="-2"/>
          <w:sz w:val="24"/>
        </w:rPr>
        <w:t>6</w:t>
      </w:r>
      <w:r>
        <w:rPr>
          <w:rFonts w:hint="eastAsia" w:eastAsia="方正仿宋_GBK"/>
          <w:color w:val="000000"/>
          <w:spacing w:val="-2"/>
          <w:sz w:val="24"/>
        </w:rPr>
        <w:t>月底前，二次供水设施要全面消毒一次，以后每半年应至少清洗消毒一次，并定期接受供水和卫生主管部门的水质检查。要加强自建供水设施水质监督，确保供水水质达标。</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三、加快供水设施建设和改造，提高城市供水安全保障能力</w:t>
      </w:r>
    </w:p>
    <w:p>
      <w:pPr>
        <w:spacing w:line="460" w:lineRule="exact"/>
        <w:ind w:firstLine="472" w:firstLineChars="200"/>
        <w:rPr>
          <w:rFonts w:hint="eastAsia"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w:t>
      </w:r>
      <w:r>
        <w:rPr>
          <w:rFonts w:hint="eastAsia" w:ascii="Times New Roman" w:eastAsia="方正楷体_GBK"/>
          <w:color w:val="000000"/>
          <w:spacing w:val="-2"/>
          <w:sz w:val="24"/>
        </w:rPr>
        <w:t>推进区域供水之间的管网沟通</w:t>
      </w:r>
      <w:r>
        <w:rPr>
          <w:rFonts w:hint="eastAsia" w:eastAsia="方正仿宋_GBK"/>
          <w:color w:val="000000"/>
          <w:spacing w:val="-2"/>
          <w:sz w:val="24"/>
        </w:rPr>
        <w:t>，</w:t>
      </w:r>
      <w:r>
        <w:rPr>
          <w:rFonts w:hint="eastAsia" w:ascii="Times New Roman" w:eastAsia="方正楷体_GBK"/>
          <w:color w:val="000000"/>
          <w:spacing w:val="-2"/>
          <w:sz w:val="24"/>
        </w:rPr>
        <w:t>实现互联互供</w:t>
      </w:r>
      <w:r>
        <w:rPr>
          <w:rFonts w:hint="eastAsia" w:eastAsia="方正仿宋_GBK"/>
          <w:color w:val="000000"/>
          <w:spacing w:val="-2"/>
          <w:sz w:val="24"/>
        </w:rPr>
        <w:t>。为有效化解水源地突发污染等事件而引起的城市供水危机，对已经实施区域供水的地区，做好区域供水之间管网联通规划和建设工作，做到管网联网互备。在有条件的地区，鼓励开发第二水源作为城市备用水源。</w:t>
      </w:r>
    </w:p>
    <w:p>
      <w:pPr>
        <w:pStyle w:val="21"/>
        <w:widowControl w:val="0"/>
        <w:spacing w:line="460" w:lineRule="exact"/>
        <w:ind w:firstLine="472" w:firstLineChars="200"/>
        <w:rPr>
          <w:rFonts w:ascii="Times New Roman" w:eastAsia="方正仿宋_GBK"/>
          <w:spacing w:val="-2"/>
          <w:sz w:val="24"/>
          <w:szCs w:val="24"/>
        </w:rPr>
      </w:pPr>
      <w:r>
        <w:rPr>
          <w:rFonts w:ascii="Times New Roman" w:eastAsia="方正仿宋_GBK"/>
          <w:spacing w:val="-2"/>
          <w:sz w:val="24"/>
          <w:szCs w:val="24"/>
        </w:rPr>
        <w:t>2</w:t>
      </w:r>
      <w:r>
        <w:rPr>
          <w:rFonts w:hint="eastAsia" w:ascii="Times New Roman" w:eastAsia="方正仿宋_GBK"/>
          <w:spacing w:val="-2"/>
          <w:sz w:val="24"/>
          <w:szCs w:val="24"/>
        </w:rPr>
        <w:t>、</w:t>
      </w:r>
      <w:r>
        <w:rPr>
          <w:rFonts w:hint="eastAsia" w:ascii="Times New Roman" w:eastAsia="方正楷体_GBK"/>
          <w:spacing w:val="-2"/>
          <w:sz w:val="24"/>
          <w:szCs w:val="24"/>
        </w:rPr>
        <w:t>改进制水处理工艺</w:t>
      </w:r>
      <w:r>
        <w:rPr>
          <w:rFonts w:hint="eastAsia" w:ascii="Times New Roman" w:eastAsia="方正仿宋_GBK"/>
          <w:spacing w:val="-2"/>
          <w:sz w:val="24"/>
          <w:szCs w:val="24"/>
        </w:rPr>
        <w:t>。各地必须在</w:t>
      </w:r>
      <w:r>
        <w:rPr>
          <w:rFonts w:ascii="Times New Roman" w:eastAsia="方正仿宋_GBK"/>
          <w:spacing w:val="-2"/>
          <w:sz w:val="24"/>
          <w:szCs w:val="24"/>
        </w:rPr>
        <w:t>2007</w:t>
      </w:r>
      <w:r>
        <w:rPr>
          <w:rFonts w:hint="eastAsia" w:ascii="Times New Roman" w:eastAsia="方正仿宋_GBK"/>
          <w:spacing w:val="-2"/>
          <w:sz w:val="24"/>
          <w:szCs w:val="24"/>
        </w:rPr>
        <w:t>年底以前摸清丰、枯水期原水、出厂水水质情况，在科学分析和充分论证的基础上，提出适合本地的工艺改造计划，总体目标是：到</w:t>
      </w:r>
      <w:r>
        <w:rPr>
          <w:rFonts w:ascii="Times New Roman" w:eastAsia="方正仿宋_GBK"/>
          <w:spacing w:val="-2"/>
          <w:sz w:val="24"/>
          <w:szCs w:val="24"/>
        </w:rPr>
        <w:t>2010</w:t>
      </w:r>
      <w:r>
        <w:rPr>
          <w:rFonts w:hint="eastAsia" w:ascii="Times New Roman" w:eastAsia="方正仿宋_GBK"/>
          <w:spacing w:val="-2"/>
          <w:sz w:val="24"/>
          <w:szCs w:val="24"/>
        </w:rPr>
        <w:t>年底前，全省所有自来水供水企业的供水水质要达到《生活饮用水卫生标准》规定的全部项目。</w:t>
      </w:r>
    </w:p>
    <w:p>
      <w:pPr>
        <w:spacing w:line="460" w:lineRule="exact"/>
        <w:ind w:firstLine="472" w:firstLineChars="200"/>
        <w:rPr>
          <w:rFonts w:eastAsia="方正仿宋_GBK"/>
          <w:color w:val="000000"/>
          <w:spacing w:val="-2"/>
          <w:sz w:val="24"/>
        </w:rPr>
      </w:pPr>
      <w:r>
        <w:rPr>
          <w:rFonts w:eastAsia="方正仿宋_GBK"/>
          <w:color w:val="000000"/>
          <w:spacing w:val="-2"/>
          <w:sz w:val="24"/>
        </w:rPr>
        <w:t>3</w:t>
      </w:r>
      <w:r>
        <w:rPr>
          <w:rFonts w:hint="eastAsia" w:eastAsia="方正仿宋_GBK"/>
          <w:color w:val="000000"/>
          <w:spacing w:val="-2"/>
          <w:sz w:val="24"/>
        </w:rPr>
        <w:t>、</w:t>
      </w:r>
      <w:r>
        <w:rPr>
          <w:rFonts w:hint="eastAsia" w:ascii="Times New Roman" w:eastAsia="方正楷体_GBK"/>
          <w:color w:val="000000"/>
          <w:spacing w:val="-2"/>
          <w:sz w:val="24"/>
        </w:rPr>
        <w:t>加强水质检测能力建设</w:t>
      </w:r>
      <w:r>
        <w:rPr>
          <w:rFonts w:hint="eastAsia" w:eastAsia="方正仿宋_GBK"/>
          <w:color w:val="000000"/>
          <w:spacing w:val="-2"/>
          <w:sz w:val="24"/>
        </w:rPr>
        <w:t>。按照政府监督、行业监测、企业自检的要求，全面落实水质监管工作。加快行业监测机构和能力建设，定期监测供水水质，为政府决策提供依据。各供水企业要按照《城市供水水质标准》规定的采样地点、频率和项目进行水样的检测。要特别注意加强对源水的检测，根据存在的安全隐患情况，加大对特征污染物的检测频率；建设水源地取水口水质在线检测仪表，建立水质预警制度。</w:t>
      </w:r>
      <w:r>
        <w:rPr>
          <w:rFonts w:eastAsia="方正仿宋_GBK"/>
          <w:color w:val="000000"/>
          <w:spacing w:val="-2"/>
          <w:sz w:val="24"/>
        </w:rPr>
        <w:t xml:space="preserve"> </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四、完善城市供水系统重大事故应急预案</w:t>
      </w:r>
    </w:p>
    <w:p>
      <w:pPr>
        <w:spacing w:line="460" w:lineRule="exact"/>
        <w:ind w:firstLine="472" w:firstLineChars="200"/>
        <w:rPr>
          <w:rFonts w:hint="eastAsia" w:eastAsia="方正仿宋_GBK"/>
          <w:color w:val="000000"/>
          <w:spacing w:val="-2"/>
          <w:sz w:val="24"/>
        </w:rPr>
      </w:pPr>
      <w:r>
        <w:rPr>
          <w:rFonts w:hint="eastAsia" w:eastAsia="方正仿宋_GBK"/>
          <w:color w:val="000000"/>
          <w:spacing w:val="-2"/>
          <w:sz w:val="24"/>
        </w:rPr>
        <w:t>各地城市供水主管部门和供水企业要从政府和企业两个层面编制和完善适宜当地实际的城市供水应急预案。城市政府制定的城市供水重大事故应急预案应在今年年底前全部编制完成并正式发布。已经完成的城市供水企业重大事故应急预案，要尽快报省建设厅备案。要重点研究有机物、农药、重金属和致病微生物等</w:t>
      </w:r>
      <w:r>
        <w:rPr>
          <w:rFonts w:eastAsia="方正仿宋_GBK"/>
          <w:color w:val="000000"/>
          <w:spacing w:val="-2"/>
          <w:sz w:val="24"/>
        </w:rPr>
        <w:t>4</w:t>
      </w:r>
      <w:r>
        <w:rPr>
          <w:rFonts w:hint="eastAsia" w:eastAsia="方正仿宋_GBK"/>
          <w:color w:val="000000"/>
          <w:spacing w:val="-2"/>
          <w:sz w:val="24"/>
        </w:rPr>
        <w:t>大类突发性污染事故的应对措施，提高供水安全的技术保障能力。要切实落实预案要求的物资储备，建设一支稳定的、专业化的抢险、抢修队伍，做好演练、演习工作，提高各级领导和从业人员的安全意识和技术水平，增强应急能力和控制事故的能力。</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五、完善制度，明确责任，全面落实城市供水安全保障体系</w:t>
      </w:r>
    </w:p>
    <w:p>
      <w:pPr>
        <w:spacing w:line="460" w:lineRule="exact"/>
        <w:ind w:firstLine="472" w:firstLineChars="200"/>
        <w:rPr>
          <w:rFonts w:hint="eastAsia" w:eastAsia="方正仿宋_GBK"/>
          <w:color w:val="000000"/>
          <w:spacing w:val="-2"/>
          <w:sz w:val="24"/>
        </w:rPr>
      </w:pPr>
      <w:r>
        <w:rPr>
          <w:rFonts w:hint="eastAsia" w:eastAsia="方正仿宋_GBK"/>
          <w:color w:val="000000"/>
          <w:spacing w:val="-2"/>
          <w:sz w:val="24"/>
        </w:rPr>
        <w:t>各地城市供水主管部门和城市供水企业要按照日常预防为主、应急处置为辅、安全屏障前移的原则，建立、健全安全生产管理制度。要落实安全生产目标责任制，强化责任落实情况的监督检查和考核，加强日常管理和巡查，发现隐患及时排除。在发生突发性事故可能影响城市供水安全时，城市供水企业应迅速启动应急预案，采取果断措施，把影响控制在最小范围内，并由当地政府及时向社会进行公告。各设区城市供水主管部门要认真履行行业管理职责，加强对所辖县（市、区）公共供水安全的监督检查。</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城市供水水源安全涉及环保、水利、农业、卫生、国土等多个部门，关系到人民群众的生产生活，是一项复杂的系统工程。要坚持政府统一领导，部门相互配合的原则，建立健全管理制度，全面落实安全责任制，确保城市供水安全。</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各城市在工作中有何问题（建议）以及好的经验、做法，请及时报省建设厅城建处。</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p>
    <w:p>
      <w:pPr>
        <w:wordWrap w:val="0"/>
        <w:spacing w:line="460" w:lineRule="exact"/>
        <w:ind w:firstLine="435"/>
        <w:jc w:val="right"/>
        <w:rPr>
          <w:rFonts w:eastAsia="方正仿宋_GBK"/>
          <w:color w:val="000000"/>
          <w:spacing w:val="-2"/>
          <w:sz w:val="24"/>
        </w:rPr>
      </w:pPr>
      <w:r>
        <w:rPr>
          <w:rFonts w:hint="eastAsia" w:eastAsia="方正仿宋_GBK"/>
          <w:color w:val="000000"/>
          <w:spacing w:val="-2"/>
          <w:sz w:val="24"/>
        </w:rPr>
        <w:t>江苏省建设厅</w:t>
      </w:r>
      <w:r>
        <w:rPr>
          <w:rFonts w:eastAsia="方正仿宋_GBK"/>
          <w:color w:val="000000"/>
          <w:spacing w:val="-2"/>
          <w:sz w:val="24"/>
        </w:rPr>
        <w:t xml:space="preserve">        </w:t>
      </w:r>
    </w:p>
    <w:p>
      <w:pPr>
        <w:wordWrap w:val="0"/>
        <w:spacing w:line="460" w:lineRule="exact"/>
        <w:ind w:firstLine="435"/>
        <w:jc w:val="right"/>
        <w:rPr>
          <w:rFonts w:eastAsia="方正仿宋_GBK"/>
          <w:color w:val="000000"/>
          <w:spacing w:val="-2"/>
          <w:sz w:val="24"/>
        </w:rPr>
      </w:pPr>
      <w:r>
        <w:rPr>
          <w:rFonts w:hint="eastAsia" w:eastAsia="方正仿宋_GBK"/>
          <w:color w:val="000000"/>
          <w:spacing w:val="-2"/>
          <w:sz w:val="24"/>
        </w:rPr>
        <w:t>二</w:t>
      </w:r>
      <w:r>
        <w:rPr>
          <w:rFonts w:hint="eastAsia" w:eastAsia="方正仿宋_GBK"/>
          <w:bCs/>
          <w:snapToGrid w:val="0"/>
          <w:color w:val="000000"/>
          <w:spacing w:val="-2"/>
          <w:kern w:val="0"/>
          <w:sz w:val="24"/>
        </w:rPr>
        <w:t>○○</w:t>
      </w:r>
      <w:r>
        <w:rPr>
          <w:rFonts w:hint="eastAsia" w:eastAsia="方正仿宋_GBK"/>
          <w:color w:val="000000"/>
          <w:spacing w:val="-2"/>
          <w:sz w:val="24"/>
        </w:rPr>
        <w:t>七年六月十九日</w:t>
      </w:r>
      <w:r>
        <w:rPr>
          <w:rFonts w:eastAsia="方正仿宋_GBK"/>
          <w:color w:val="000000"/>
          <w:spacing w:val="-2"/>
          <w:sz w:val="24"/>
        </w:rPr>
        <w:t xml:space="preserve">    </w:t>
      </w:r>
    </w:p>
    <w:p>
      <w:pPr>
        <w:spacing w:line="460" w:lineRule="exact"/>
        <w:jc w:val="left"/>
        <w:rPr>
          <w:rFonts w:eastAsia="方正仿宋_GBK"/>
          <w:color w:val="000000"/>
          <w:spacing w:val="-2"/>
          <w:sz w:val="24"/>
        </w:rPr>
      </w:pPr>
    </w:p>
    <w:p>
      <w:pPr>
        <w:spacing w:line="460" w:lineRule="exact"/>
        <w:jc w:val="center"/>
        <w:rPr>
          <w:color w:val="000000"/>
        </w:rPr>
      </w:pPr>
    </w:p>
    <w:p>
      <w:pPr>
        <w:spacing w:line="460" w:lineRule="exact"/>
        <w:jc w:val="center"/>
        <w:rPr>
          <w:color w:val="000000"/>
        </w:rPr>
      </w:pPr>
    </w:p>
    <w:p/>
    <w:p/>
    <w:p>
      <w:pPr>
        <w:pStyle w:val="2"/>
        <w:spacing w:before="240" w:beforeLines="100" w:after="240" w:afterLines="100" w:line="240" w:lineRule="auto"/>
        <w:jc w:val="center"/>
        <w:rPr>
          <w:rFonts w:ascii="Times New Roman" w:eastAsia="方正小标宋_GBK"/>
          <w:b w:val="0"/>
          <w:sz w:val="36"/>
          <w:szCs w:val="36"/>
        </w:rPr>
      </w:pPr>
      <w:bookmarkStart w:id="70" w:name="_Toc20726318"/>
      <w:bookmarkStart w:id="71" w:name="_Toc18315398"/>
      <w:r>
        <w:rPr>
          <w:rFonts w:hint="eastAsia" w:ascii="Times New Roman" w:eastAsia="方正小标宋_GBK"/>
          <w:b w:val="0"/>
          <w:sz w:val="36"/>
          <w:szCs w:val="36"/>
        </w:rPr>
        <w:t>关于印发《江苏省城市市政公用事业公益董事或监督员制度》、《江苏省城市市政公用事业公众参与监督制度》等制度的通知</w:t>
      </w:r>
      <w:bookmarkEnd w:id="70"/>
      <w:bookmarkEnd w:id="71"/>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72" w:name="_Toc18315399"/>
      <w:bookmarkStart w:id="73" w:name="_Toc20726319"/>
      <w:r>
        <w:rPr>
          <w:rFonts w:hint="eastAsia" w:ascii="Times New Roman" w:hAnsi="Times New Roman" w:eastAsia="方正楷体_GBK"/>
          <w:b w:val="0"/>
          <w:sz w:val="24"/>
          <w:szCs w:val="24"/>
        </w:rPr>
        <w:t>苏建城〔</w:t>
      </w:r>
      <w:r>
        <w:rPr>
          <w:rFonts w:ascii="Times New Roman" w:hAnsi="Times New Roman" w:eastAsia="方正楷体_GBK"/>
          <w:b w:val="0"/>
          <w:sz w:val="24"/>
          <w:szCs w:val="24"/>
        </w:rPr>
        <w:t>2007</w:t>
      </w:r>
      <w:r>
        <w:rPr>
          <w:rFonts w:hint="eastAsia" w:ascii="Times New Roman" w:hAnsi="Times New Roman" w:eastAsia="方正楷体_GBK"/>
          <w:b w:val="0"/>
          <w:sz w:val="24"/>
          <w:szCs w:val="24"/>
        </w:rPr>
        <w:t>〕</w:t>
      </w:r>
      <w:r>
        <w:rPr>
          <w:rFonts w:ascii="Times New Roman" w:hAnsi="Times New Roman" w:eastAsia="方正楷体_GBK"/>
          <w:b w:val="0"/>
          <w:sz w:val="24"/>
          <w:szCs w:val="24"/>
        </w:rPr>
        <w:t>325</w:t>
      </w:r>
      <w:r>
        <w:rPr>
          <w:rFonts w:hint="eastAsia" w:ascii="Times New Roman" w:hAnsi="Times New Roman" w:eastAsia="方正楷体_GBK"/>
          <w:b w:val="0"/>
          <w:sz w:val="24"/>
          <w:szCs w:val="24"/>
        </w:rPr>
        <w:t>号</w:t>
      </w:r>
      <w:bookmarkEnd w:id="72"/>
      <w:bookmarkEnd w:id="73"/>
    </w:p>
    <w:p>
      <w:pPr>
        <w:spacing w:line="460" w:lineRule="exact"/>
        <w:rPr>
          <w:rFonts w:eastAsia="方正仿宋_GBK"/>
          <w:color w:val="000000"/>
          <w:sz w:val="24"/>
        </w:rPr>
      </w:pPr>
      <w:r>
        <w:rPr>
          <w:rFonts w:hint="eastAsia" w:eastAsia="方正仿宋_GBK"/>
          <w:color w:val="000000"/>
          <w:sz w:val="24"/>
        </w:rPr>
        <w:t>各市建设局（委）、市政公用局、城管局（市容局）：</w:t>
      </w:r>
    </w:p>
    <w:p>
      <w:pPr>
        <w:spacing w:line="460" w:lineRule="exact"/>
        <w:ind w:firstLine="480" w:firstLineChars="200"/>
        <w:rPr>
          <w:rFonts w:eastAsia="方正仿宋_GBK"/>
          <w:color w:val="000000"/>
          <w:sz w:val="24"/>
        </w:rPr>
      </w:pPr>
      <w:r>
        <w:rPr>
          <w:rFonts w:hint="eastAsia" w:eastAsia="方正仿宋_GBK"/>
          <w:color w:val="000000"/>
          <w:sz w:val="24"/>
        </w:rPr>
        <w:t>为加快推进城市市政公用事业改革和发展，规范城市市政公用行业的经营行为，有效履行政府行政管理与监督职责，维护社会公众利益和公共安全，根据国家有关规定，我厅制定了《江苏省城市市政公用事业公益董事或监督员制度》、《江苏省城市市政公用事业公众参与监督制度》、《江苏省城市市政公用事业特许经营权临时接管制度》、《江苏省城市市政公用事业特许经营市场退出制度》、《江苏省城市市政公用事业履约保证制度》、《江苏省城市市政公用事业经营成本监管制度》、《江苏省城市市政公用事业产品和服务质量监管制度》、《江苏省城市市政公用事业特许经营中期评估制度》。现印发给你们，请结合实际认真贯彻执行。执行过程中遇到的问题，请及时与我厅城建处联系。</w:t>
      </w:r>
    </w:p>
    <w:p>
      <w:pPr>
        <w:spacing w:line="460" w:lineRule="exact"/>
        <w:ind w:firstLine="480" w:firstLineChars="200"/>
        <w:rPr>
          <w:rFonts w:eastAsia="方正仿宋_GBK"/>
          <w:color w:val="000000"/>
          <w:sz w:val="24"/>
        </w:rPr>
      </w:pPr>
    </w:p>
    <w:p>
      <w:pPr>
        <w:spacing w:line="460" w:lineRule="exact"/>
        <w:ind w:firstLine="480" w:firstLineChars="200"/>
        <w:rPr>
          <w:rFonts w:eastAsia="方正仿宋_GBK"/>
          <w:color w:val="000000"/>
          <w:sz w:val="24"/>
        </w:rPr>
      </w:pPr>
      <w:r>
        <w:rPr>
          <w:rFonts w:hint="eastAsia" w:eastAsia="方正仿宋_GBK"/>
          <w:color w:val="000000"/>
          <w:sz w:val="24"/>
        </w:rPr>
        <w:t>附件：</w:t>
      </w:r>
      <w:r>
        <w:rPr>
          <w:rFonts w:eastAsia="方正仿宋_GBK"/>
          <w:color w:val="000000"/>
          <w:sz w:val="24"/>
        </w:rPr>
        <w:t>1. </w:t>
      </w:r>
      <w:r>
        <w:rPr>
          <w:rFonts w:hint="eastAsia" w:eastAsia="方正仿宋_GBK"/>
          <w:color w:val="000000"/>
          <w:sz w:val="24"/>
        </w:rPr>
        <w:t>《江苏省城市市政公用事业公益董事或监督员制度》；</w:t>
      </w:r>
    </w:p>
    <w:p>
      <w:pPr>
        <w:spacing w:line="460" w:lineRule="exact"/>
        <w:ind w:firstLine="1171" w:firstLineChars="488"/>
        <w:rPr>
          <w:rFonts w:eastAsia="方正仿宋_GBK"/>
          <w:color w:val="000000"/>
          <w:sz w:val="24"/>
        </w:rPr>
      </w:pPr>
      <w:r>
        <w:rPr>
          <w:rFonts w:eastAsia="方正仿宋_GBK"/>
          <w:color w:val="000000"/>
          <w:sz w:val="24"/>
        </w:rPr>
        <w:t>2. </w:t>
      </w:r>
      <w:r>
        <w:rPr>
          <w:rFonts w:hint="eastAsia" w:eastAsia="方正仿宋_GBK"/>
          <w:color w:val="000000"/>
          <w:sz w:val="24"/>
        </w:rPr>
        <w:t>《江苏省城市市政公用事业公众参与监督制度》；</w:t>
      </w:r>
    </w:p>
    <w:p>
      <w:pPr>
        <w:spacing w:line="460" w:lineRule="exact"/>
        <w:ind w:firstLine="1171" w:firstLineChars="488"/>
        <w:rPr>
          <w:rFonts w:eastAsia="方正仿宋_GBK"/>
          <w:color w:val="000000"/>
          <w:sz w:val="24"/>
        </w:rPr>
      </w:pPr>
      <w:r>
        <w:rPr>
          <w:rFonts w:eastAsia="方正仿宋_GBK"/>
          <w:color w:val="000000"/>
          <w:sz w:val="24"/>
        </w:rPr>
        <w:t>3. </w:t>
      </w:r>
      <w:r>
        <w:rPr>
          <w:rFonts w:hint="eastAsia" w:eastAsia="方正仿宋_GBK"/>
          <w:color w:val="000000"/>
          <w:sz w:val="24"/>
        </w:rPr>
        <w:t>《江苏省城市市政公用事业特许经营权临时接管制度》；</w:t>
      </w:r>
    </w:p>
    <w:p>
      <w:pPr>
        <w:spacing w:line="460" w:lineRule="exact"/>
        <w:ind w:firstLine="1171" w:firstLineChars="488"/>
        <w:rPr>
          <w:rFonts w:eastAsia="方正仿宋_GBK"/>
          <w:color w:val="000000"/>
          <w:sz w:val="24"/>
        </w:rPr>
      </w:pPr>
      <w:r>
        <w:rPr>
          <w:rFonts w:eastAsia="方正仿宋_GBK"/>
          <w:color w:val="000000"/>
          <w:sz w:val="24"/>
        </w:rPr>
        <w:t>4. </w:t>
      </w:r>
      <w:r>
        <w:rPr>
          <w:rFonts w:hint="eastAsia" w:eastAsia="方正仿宋_GBK"/>
          <w:color w:val="000000"/>
          <w:sz w:val="24"/>
        </w:rPr>
        <w:t>《江苏省城市市政公用事业特许经营市场退出制度》；</w:t>
      </w:r>
    </w:p>
    <w:p>
      <w:pPr>
        <w:spacing w:line="460" w:lineRule="exact"/>
        <w:ind w:firstLine="1171" w:firstLineChars="488"/>
        <w:rPr>
          <w:rFonts w:eastAsia="方正仿宋_GBK"/>
          <w:color w:val="000000"/>
          <w:sz w:val="24"/>
        </w:rPr>
      </w:pPr>
      <w:r>
        <w:rPr>
          <w:rFonts w:eastAsia="方正仿宋_GBK"/>
          <w:color w:val="000000"/>
          <w:sz w:val="24"/>
        </w:rPr>
        <w:t>5. </w:t>
      </w:r>
      <w:r>
        <w:rPr>
          <w:rFonts w:hint="eastAsia" w:eastAsia="方正仿宋_GBK"/>
          <w:color w:val="000000"/>
          <w:sz w:val="24"/>
        </w:rPr>
        <w:t>《江苏省城市市政公用事业履约保证制度》；</w:t>
      </w:r>
    </w:p>
    <w:p>
      <w:pPr>
        <w:spacing w:line="460" w:lineRule="exact"/>
        <w:ind w:firstLine="1171" w:firstLineChars="488"/>
        <w:rPr>
          <w:rFonts w:eastAsia="方正仿宋_GBK"/>
          <w:color w:val="000000"/>
          <w:sz w:val="24"/>
        </w:rPr>
      </w:pPr>
      <w:r>
        <w:rPr>
          <w:rFonts w:eastAsia="方正仿宋_GBK"/>
          <w:color w:val="000000"/>
          <w:sz w:val="24"/>
        </w:rPr>
        <w:t>6. </w:t>
      </w:r>
      <w:r>
        <w:rPr>
          <w:rFonts w:hint="eastAsia" w:eastAsia="方正仿宋_GBK"/>
          <w:color w:val="000000"/>
          <w:sz w:val="24"/>
        </w:rPr>
        <w:t>《江苏省城市市政公用事业经营成本监管制度》；</w:t>
      </w:r>
    </w:p>
    <w:p>
      <w:pPr>
        <w:spacing w:line="460" w:lineRule="exact"/>
        <w:ind w:firstLine="1171" w:firstLineChars="488"/>
        <w:rPr>
          <w:rFonts w:eastAsia="方正仿宋_GBK"/>
          <w:color w:val="000000"/>
          <w:sz w:val="24"/>
        </w:rPr>
      </w:pPr>
      <w:r>
        <w:rPr>
          <w:rFonts w:eastAsia="方正仿宋_GBK"/>
          <w:color w:val="000000"/>
          <w:sz w:val="24"/>
        </w:rPr>
        <w:t>7. </w:t>
      </w:r>
      <w:r>
        <w:rPr>
          <w:rFonts w:hint="eastAsia" w:eastAsia="方正仿宋_GBK"/>
          <w:color w:val="000000"/>
          <w:sz w:val="24"/>
        </w:rPr>
        <w:t>《江苏省城市市政公用事业产品和服务质量监管制度》；</w:t>
      </w:r>
    </w:p>
    <w:p>
      <w:pPr>
        <w:spacing w:line="460" w:lineRule="exact"/>
        <w:ind w:firstLine="1171" w:firstLineChars="488"/>
        <w:rPr>
          <w:rFonts w:eastAsia="方正仿宋_GBK"/>
          <w:color w:val="000000"/>
          <w:sz w:val="24"/>
        </w:rPr>
      </w:pPr>
      <w:r>
        <w:rPr>
          <w:rFonts w:eastAsia="方正仿宋_GBK"/>
          <w:color w:val="000000"/>
          <w:sz w:val="24"/>
        </w:rPr>
        <w:t>8. </w:t>
      </w:r>
      <w:r>
        <w:rPr>
          <w:rFonts w:hint="eastAsia" w:eastAsia="方正仿宋_GBK"/>
          <w:color w:val="000000"/>
          <w:sz w:val="24"/>
        </w:rPr>
        <w:t>《江苏省城市市政公用事业特许经营中期评估制度》。</w:t>
      </w:r>
    </w:p>
    <w:p>
      <w:pPr>
        <w:spacing w:line="460" w:lineRule="exact"/>
        <w:ind w:firstLine="480" w:firstLineChars="200"/>
        <w:jc w:val="right"/>
        <w:rPr>
          <w:rFonts w:eastAsia="方正仿宋_GBK"/>
          <w:color w:val="000000"/>
          <w:sz w:val="24"/>
        </w:rPr>
      </w:pPr>
    </w:p>
    <w:p>
      <w:pPr>
        <w:spacing w:line="460" w:lineRule="exact"/>
        <w:ind w:firstLine="480" w:firstLineChars="200"/>
        <w:jc w:val="right"/>
        <w:rPr>
          <w:rFonts w:eastAsia="方正仿宋_GBK"/>
          <w:color w:val="000000"/>
          <w:sz w:val="24"/>
        </w:rPr>
      </w:pPr>
      <w:r>
        <w:rPr>
          <w:rFonts w:eastAsia="方正仿宋_GBK"/>
          <w:color w:val="000000"/>
          <w:sz w:val="24"/>
        </w:rPr>
        <w:t xml:space="preserve">                           </w:t>
      </w:r>
      <w:r>
        <w:rPr>
          <w:rFonts w:hint="eastAsia" w:eastAsia="方正仿宋_GBK"/>
          <w:color w:val="000000"/>
          <w:sz w:val="24"/>
        </w:rPr>
        <w:t>二</w:t>
      </w:r>
      <w:r>
        <w:rPr>
          <w:rFonts w:hint="eastAsia" w:ascii="Times New Roman" w:hAnsi="Times New Roman"/>
          <w:color w:val="000000"/>
          <w:sz w:val="24"/>
        </w:rPr>
        <w:t>○○</w:t>
      </w:r>
      <w:r>
        <w:rPr>
          <w:rFonts w:hint="eastAsia" w:eastAsia="方正仿宋_GBK"/>
          <w:color w:val="000000"/>
          <w:sz w:val="24"/>
        </w:rPr>
        <w:t>七年七月十二日</w:t>
      </w:r>
    </w:p>
    <w:p>
      <w:pPr>
        <w:tabs>
          <w:tab w:val="left" w:pos="720"/>
          <w:tab w:val="left" w:pos="900"/>
        </w:tabs>
        <w:spacing w:line="460" w:lineRule="exact"/>
        <w:rPr>
          <w:rFonts w:eastAsia="黑体"/>
          <w:color w:val="000000"/>
          <w:sz w:val="28"/>
          <w:szCs w:val="28"/>
        </w:rPr>
      </w:pPr>
    </w:p>
    <w:p>
      <w:pPr>
        <w:tabs>
          <w:tab w:val="left" w:pos="720"/>
          <w:tab w:val="left" w:pos="900"/>
        </w:tabs>
        <w:spacing w:line="460" w:lineRule="exact"/>
        <w:rPr>
          <w:rFonts w:eastAsia="黑体"/>
          <w:color w:val="000000"/>
          <w:sz w:val="28"/>
          <w:szCs w:val="28"/>
        </w:rPr>
      </w:pPr>
    </w:p>
    <w:p>
      <w:pPr>
        <w:tabs>
          <w:tab w:val="left" w:pos="720"/>
          <w:tab w:val="left" w:pos="900"/>
        </w:tabs>
        <w:spacing w:line="460" w:lineRule="exact"/>
        <w:rPr>
          <w:rFonts w:eastAsia="黑体"/>
          <w:color w:val="000000"/>
          <w:sz w:val="28"/>
          <w:szCs w:val="28"/>
        </w:rPr>
      </w:pPr>
      <w:r>
        <w:rPr>
          <w:rFonts w:hint="eastAsia" w:eastAsia="黑体"/>
          <w:color w:val="000000"/>
          <w:sz w:val="28"/>
          <w:szCs w:val="28"/>
        </w:rPr>
        <w:t>附件</w:t>
      </w:r>
      <w:r>
        <w:rPr>
          <w:rFonts w:eastAsia="黑体"/>
          <w:color w:val="000000"/>
          <w:sz w:val="28"/>
          <w:szCs w:val="28"/>
        </w:rPr>
        <w:t>1</w:t>
      </w:r>
      <w:r>
        <w:rPr>
          <w:rFonts w:hint="eastAsia" w:eastAsia="黑体"/>
          <w:color w:val="000000"/>
          <w:sz w:val="28"/>
          <w:szCs w:val="28"/>
        </w:rPr>
        <w:t>：</w:t>
      </w:r>
    </w:p>
    <w:p>
      <w:pPr>
        <w:tabs>
          <w:tab w:val="left" w:pos="720"/>
          <w:tab w:val="left" w:pos="900"/>
        </w:tabs>
        <w:spacing w:line="460" w:lineRule="exact"/>
        <w:ind w:firstLine="480" w:firstLineChars="200"/>
        <w:rPr>
          <w:rFonts w:eastAsia="方正仿宋_GBK"/>
          <w:color w:val="000000"/>
          <w:sz w:val="24"/>
        </w:rPr>
      </w:pPr>
    </w:p>
    <w:p>
      <w:pPr>
        <w:spacing w:line="460" w:lineRule="exact"/>
        <w:jc w:val="center"/>
        <w:rPr>
          <w:rFonts w:eastAsia="方正小标宋简体"/>
          <w:color w:val="000000"/>
          <w:sz w:val="36"/>
          <w:szCs w:val="36"/>
        </w:rPr>
      </w:pPr>
      <w:r>
        <w:rPr>
          <w:rFonts w:hint="eastAsia" w:eastAsia="方正小标宋简体"/>
          <w:color w:val="000000"/>
          <w:sz w:val="36"/>
          <w:szCs w:val="36"/>
        </w:rPr>
        <w:t>江苏省城市市政公用事业公益董事或监督员制度</w:t>
      </w:r>
    </w:p>
    <w:p>
      <w:pPr>
        <w:spacing w:line="460" w:lineRule="exact"/>
        <w:ind w:firstLine="480" w:firstLineChars="200"/>
        <w:rPr>
          <w:rFonts w:eastAsia="方正仿宋_GBK"/>
          <w:color w:val="000000"/>
          <w:sz w:val="24"/>
        </w:rPr>
      </w:pPr>
      <w:r>
        <w:rPr>
          <w:rFonts w:eastAsia="方正仿宋_GBK"/>
          <w:color w:val="000000"/>
          <w:sz w:val="24"/>
        </w:rPr>
        <w:t xml:space="preserve">    </w:t>
      </w:r>
    </w:p>
    <w:p>
      <w:pPr>
        <w:spacing w:line="460" w:lineRule="exact"/>
        <w:ind w:firstLine="480" w:firstLineChars="200"/>
        <w:rPr>
          <w:rFonts w:eastAsia="方正仿宋_GBK"/>
          <w:color w:val="000000"/>
          <w:sz w:val="24"/>
        </w:rPr>
      </w:pPr>
      <w:r>
        <w:rPr>
          <w:rFonts w:hint="eastAsia" w:eastAsia="黑体"/>
          <w:color w:val="000000"/>
          <w:sz w:val="24"/>
        </w:rPr>
        <w:t>第一条</w:t>
      </w:r>
      <w:r>
        <w:rPr>
          <w:rFonts w:eastAsia="方正仿宋_GBK"/>
          <w:color w:val="000000"/>
          <w:sz w:val="24"/>
        </w:rPr>
        <w:t xml:space="preserve">  </w:t>
      </w:r>
      <w:r>
        <w:rPr>
          <w:rFonts w:hint="eastAsia" w:eastAsia="方正仿宋_GBK"/>
          <w:color w:val="000000"/>
          <w:sz w:val="24"/>
        </w:rPr>
        <w:t>为保障社会公众利益和公共安全，及时掌握城市市政公用事业特许经营协议的执行情况，特制定本制度。</w:t>
      </w:r>
    </w:p>
    <w:p>
      <w:pPr>
        <w:spacing w:line="460" w:lineRule="exact"/>
        <w:ind w:firstLine="480" w:firstLineChars="200"/>
        <w:rPr>
          <w:rFonts w:eastAsia="方正仿宋_GBK"/>
          <w:color w:val="000000"/>
          <w:sz w:val="24"/>
        </w:rPr>
      </w:pPr>
      <w:r>
        <w:rPr>
          <w:rFonts w:hint="eastAsia" w:eastAsia="黑体"/>
          <w:color w:val="000000"/>
          <w:sz w:val="24"/>
        </w:rPr>
        <w:t>第二条</w:t>
      </w:r>
      <w:r>
        <w:rPr>
          <w:rFonts w:eastAsia="方正仿宋_GBK"/>
          <w:color w:val="000000"/>
          <w:sz w:val="24"/>
        </w:rPr>
        <w:t xml:space="preserve">  </w:t>
      </w:r>
      <w:r>
        <w:rPr>
          <w:rFonts w:hint="eastAsia" w:eastAsia="方正仿宋_GBK"/>
          <w:color w:val="000000"/>
          <w:sz w:val="24"/>
        </w:rPr>
        <w:t>全省行政区域内已实施市政公用市场化改革和已实施市政公用事业特许经营管理的城市供水、供气（管道燃气）、污水处理、垃圾处理等行业适用本制度。</w:t>
      </w:r>
    </w:p>
    <w:p>
      <w:pPr>
        <w:spacing w:line="460" w:lineRule="exact"/>
        <w:ind w:firstLine="480" w:firstLineChars="200"/>
        <w:rPr>
          <w:rFonts w:eastAsia="方正仿宋_GBK"/>
          <w:color w:val="000000"/>
          <w:sz w:val="24"/>
        </w:rPr>
      </w:pPr>
      <w:r>
        <w:rPr>
          <w:rFonts w:hint="eastAsia" w:eastAsia="黑体"/>
          <w:color w:val="000000"/>
          <w:sz w:val="24"/>
        </w:rPr>
        <w:t>第三条</w:t>
      </w:r>
      <w:r>
        <w:rPr>
          <w:rFonts w:eastAsia="方正仿宋_GBK"/>
          <w:color w:val="000000"/>
          <w:sz w:val="24"/>
        </w:rPr>
        <w:t xml:space="preserve">  </w:t>
      </w:r>
      <w:r>
        <w:rPr>
          <w:rFonts w:hint="eastAsia" w:eastAsia="方正仿宋_GBK"/>
          <w:color w:val="000000"/>
          <w:sz w:val="24"/>
        </w:rPr>
        <w:t>省级建设行政主管部门负责全省行政区域内市政公用事业公益董事或监督员制度的指导工作。</w:t>
      </w:r>
    </w:p>
    <w:p>
      <w:pPr>
        <w:spacing w:line="460" w:lineRule="exact"/>
        <w:ind w:firstLine="480" w:firstLineChars="200"/>
        <w:rPr>
          <w:rFonts w:eastAsia="方正仿宋_GBK"/>
          <w:color w:val="000000"/>
          <w:sz w:val="24"/>
        </w:rPr>
      </w:pPr>
      <w:r>
        <w:rPr>
          <w:rFonts w:hint="eastAsia" w:eastAsia="方正仿宋_GBK"/>
          <w:color w:val="000000"/>
          <w:sz w:val="24"/>
        </w:rPr>
        <w:t>市、县人民政府市政公用事业主管部门受本级人民政府授权具体负责本行政区域内城市市政公用事业公益董事或监督员制度的实施。</w:t>
      </w:r>
    </w:p>
    <w:p>
      <w:pPr>
        <w:spacing w:line="460" w:lineRule="exact"/>
        <w:ind w:firstLine="480" w:firstLineChars="200"/>
        <w:rPr>
          <w:rFonts w:eastAsia="方正仿宋_GBK"/>
          <w:color w:val="000000"/>
          <w:sz w:val="24"/>
        </w:rPr>
      </w:pPr>
      <w:r>
        <w:rPr>
          <w:rFonts w:hint="eastAsia" w:eastAsia="黑体"/>
          <w:color w:val="000000"/>
          <w:sz w:val="24"/>
        </w:rPr>
        <w:t>第四条</w:t>
      </w:r>
      <w:r>
        <w:rPr>
          <w:rFonts w:eastAsia="方正仿宋_GBK"/>
          <w:color w:val="000000"/>
          <w:sz w:val="24"/>
        </w:rPr>
        <w:t xml:space="preserve">  </w:t>
      </w:r>
      <w:r>
        <w:rPr>
          <w:rFonts w:hint="eastAsia" w:eastAsia="方正仿宋_GBK"/>
          <w:color w:val="000000"/>
          <w:sz w:val="24"/>
        </w:rPr>
        <w:t>特许经营协议中应明确建立公益董事或监督员制度，对公益董事或监督员的权利、责任以及职责行使的方式与范围等应在协议中有明确约定。原则上由市政公用事业主管部门向企业委派公益董事或监督员。</w:t>
      </w:r>
    </w:p>
    <w:p>
      <w:pPr>
        <w:spacing w:line="460" w:lineRule="exact"/>
        <w:ind w:firstLine="480" w:firstLineChars="200"/>
        <w:rPr>
          <w:rFonts w:eastAsia="方正仿宋_GBK"/>
          <w:color w:val="000000"/>
          <w:sz w:val="24"/>
        </w:rPr>
      </w:pPr>
      <w:r>
        <w:rPr>
          <w:rFonts w:hint="eastAsia" w:eastAsia="黑体"/>
          <w:color w:val="000000"/>
          <w:sz w:val="24"/>
        </w:rPr>
        <w:t>第五条</w:t>
      </w:r>
      <w:r>
        <w:rPr>
          <w:rFonts w:eastAsia="方正仿宋_GBK"/>
          <w:color w:val="000000"/>
          <w:sz w:val="24"/>
        </w:rPr>
        <w:t xml:space="preserve">  </w:t>
      </w:r>
      <w:r>
        <w:rPr>
          <w:rFonts w:hint="eastAsia" w:eastAsia="方正仿宋_GBK"/>
          <w:color w:val="000000"/>
          <w:sz w:val="24"/>
        </w:rPr>
        <w:t>对城市供水、供气（管道燃气）等特许经营企业，应委派公益董事进入企业董事会，代表主管部门承担维护社会公共利益的责任。对城市污水厂、垃圾处理厂等特许经营企业，可以委派监督员，对企业的运营状况进行监督。公益董事或监督员的薪酬由委派单位支付。</w:t>
      </w:r>
    </w:p>
    <w:p>
      <w:pPr>
        <w:spacing w:line="460" w:lineRule="exact"/>
        <w:ind w:firstLine="480" w:firstLineChars="200"/>
        <w:rPr>
          <w:rFonts w:eastAsia="方正仿宋_GBK"/>
          <w:color w:val="000000"/>
          <w:sz w:val="24"/>
        </w:rPr>
      </w:pPr>
      <w:r>
        <w:rPr>
          <w:rFonts w:hint="eastAsia" w:eastAsia="黑体"/>
          <w:color w:val="000000"/>
          <w:sz w:val="24"/>
        </w:rPr>
        <w:t>第六条</w:t>
      </w:r>
      <w:r>
        <w:rPr>
          <w:rFonts w:eastAsia="方正仿宋_GBK"/>
          <w:color w:val="000000"/>
          <w:sz w:val="24"/>
        </w:rPr>
        <w:t xml:space="preserve">  </w:t>
      </w:r>
      <w:r>
        <w:rPr>
          <w:rFonts w:hint="eastAsia" w:eastAsia="方正仿宋_GBK"/>
          <w:color w:val="000000"/>
          <w:sz w:val="24"/>
        </w:rPr>
        <w:t>公益董事或监督员的任用条件</w:t>
      </w:r>
    </w:p>
    <w:p>
      <w:pPr>
        <w:spacing w:line="460" w:lineRule="exact"/>
        <w:ind w:firstLine="480" w:firstLineChars="200"/>
        <w:rPr>
          <w:rFonts w:eastAsia="方正仿宋_GBK"/>
          <w:color w:val="000000"/>
          <w:sz w:val="24"/>
        </w:rPr>
      </w:pPr>
      <w:r>
        <w:rPr>
          <w:rFonts w:hint="eastAsia" w:eastAsia="方正仿宋_GBK"/>
          <w:color w:val="000000"/>
          <w:sz w:val="24"/>
        </w:rPr>
        <w:t>（一）有大专以上的学历；</w:t>
      </w:r>
    </w:p>
    <w:p>
      <w:pPr>
        <w:spacing w:line="460" w:lineRule="exact"/>
        <w:ind w:firstLine="480" w:firstLineChars="200"/>
        <w:rPr>
          <w:rFonts w:eastAsia="方正仿宋_GBK"/>
          <w:color w:val="000000"/>
          <w:sz w:val="24"/>
        </w:rPr>
      </w:pPr>
      <w:r>
        <w:rPr>
          <w:rFonts w:hint="eastAsia" w:eastAsia="方正仿宋_GBK"/>
          <w:color w:val="000000"/>
          <w:sz w:val="24"/>
        </w:rPr>
        <w:t>（二）熟悉特许经营企业的经营情况和工艺流程；</w:t>
      </w:r>
    </w:p>
    <w:p>
      <w:pPr>
        <w:spacing w:line="460" w:lineRule="exact"/>
        <w:ind w:firstLine="480" w:firstLineChars="200"/>
        <w:rPr>
          <w:rFonts w:eastAsia="方正仿宋_GBK"/>
          <w:color w:val="000000"/>
          <w:sz w:val="24"/>
        </w:rPr>
      </w:pPr>
      <w:r>
        <w:rPr>
          <w:rFonts w:hint="eastAsia" w:eastAsia="方正仿宋_GBK"/>
          <w:color w:val="000000"/>
          <w:sz w:val="24"/>
        </w:rPr>
        <w:t>（三）掌握公用事业管理的政策法规；</w:t>
      </w:r>
    </w:p>
    <w:p>
      <w:pPr>
        <w:spacing w:line="460" w:lineRule="exact"/>
        <w:ind w:firstLine="480" w:firstLineChars="200"/>
        <w:rPr>
          <w:rFonts w:eastAsia="方正仿宋_GBK"/>
          <w:color w:val="000000"/>
          <w:sz w:val="24"/>
        </w:rPr>
      </w:pPr>
      <w:r>
        <w:rPr>
          <w:rFonts w:hint="eastAsia" w:eastAsia="方正仿宋_GBK"/>
          <w:color w:val="000000"/>
          <w:sz w:val="24"/>
        </w:rPr>
        <w:t>（四）能够切实维护社会公共利益，承担运营监管责任。</w:t>
      </w:r>
    </w:p>
    <w:p>
      <w:pPr>
        <w:spacing w:line="460" w:lineRule="exact"/>
        <w:ind w:firstLine="480" w:firstLineChars="200"/>
        <w:rPr>
          <w:rFonts w:eastAsia="方正仿宋_GBK"/>
          <w:color w:val="000000"/>
          <w:sz w:val="24"/>
        </w:rPr>
      </w:pPr>
      <w:r>
        <w:rPr>
          <w:rFonts w:hint="eastAsia" w:eastAsia="黑体"/>
          <w:color w:val="000000"/>
          <w:sz w:val="24"/>
        </w:rPr>
        <w:t>第七条</w:t>
      </w:r>
      <w:r>
        <w:rPr>
          <w:rFonts w:eastAsia="方正仿宋_GBK"/>
          <w:color w:val="000000"/>
          <w:sz w:val="24"/>
        </w:rPr>
        <w:t xml:space="preserve">  </w:t>
      </w:r>
      <w:r>
        <w:rPr>
          <w:rFonts w:hint="eastAsia" w:eastAsia="方正仿宋_GBK"/>
          <w:color w:val="000000"/>
          <w:sz w:val="24"/>
        </w:rPr>
        <w:t>公益董事或监督员的权力</w:t>
      </w:r>
    </w:p>
    <w:p>
      <w:pPr>
        <w:spacing w:line="460" w:lineRule="exact"/>
        <w:ind w:firstLine="480" w:firstLineChars="200"/>
        <w:rPr>
          <w:rFonts w:eastAsia="方正仿宋_GBK"/>
          <w:color w:val="000000"/>
          <w:sz w:val="24"/>
        </w:rPr>
      </w:pPr>
      <w:r>
        <w:rPr>
          <w:rFonts w:hint="eastAsia" w:eastAsia="方正仿宋_GBK"/>
          <w:color w:val="000000"/>
          <w:sz w:val="24"/>
        </w:rPr>
        <w:t>（一）公益董事有权参加特许经营企业董事会；</w:t>
      </w:r>
    </w:p>
    <w:p>
      <w:pPr>
        <w:spacing w:line="460" w:lineRule="exact"/>
        <w:ind w:firstLine="480" w:firstLineChars="200"/>
        <w:rPr>
          <w:rFonts w:eastAsia="方正仿宋_GBK"/>
          <w:color w:val="000000"/>
          <w:sz w:val="24"/>
        </w:rPr>
      </w:pPr>
      <w:r>
        <w:rPr>
          <w:rFonts w:hint="eastAsia" w:eastAsia="方正仿宋_GBK"/>
          <w:color w:val="000000"/>
          <w:sz w:val="24"/>
        </w:rPr>
        <w:t>（二）公益董事对企业可能影响社会公共利益或社会公共安全的重大决策及经营活动可以行使一票否决权；</w:t>
      </w:r>
    </w:p>
    <w:p>
      <w:pPr>
        <w:spacing w:line="460" w:lineRule="exact"/>
        <w:ind w:firstLine="480" w:firstLineChars="200"/>
        <w:rPr>
          <w:rFonts w:eastAsia="方正仿宋_GBK"/>
          <w:color w:val="000000"/>
          <w:sz w:val="24"/>
        </w:rPr>
      </w:pPr>
      <w:r>
        <w:rPr>
          <w:rFonts w:hint="eastAsia" w:eastAsia="方正仿宋_GBK"/>
          <w:color w:val="000000"/>
          <w:sz w:val="24"/>
        </w:rPr>
        <w:t>（三）监督员有权随时进入特许经营企业进行监督检查，企业不得以任何理由干涉阻挠。</w:t>
      </w:r>
    </w:p>
    <w:p>
      <w:pPr>
        <w:spacing w:line="460" w:lineRule="exact"/>
        <w:ind w:firstLine="480" w:firstLineChars="200"/>
        <w:rPr>
          <w:rFonts w:eastAsia="方正仿宋_GBK"/>
          <w:color w:val="000000"/>
          <w:sz w:val="24"/>
        </w:rPr>
      </w:pPr>
      <w:r>
        <w:rPr>
          <w:rFonts w:hint="eastAsia" w:eastAsia="黑体"/>
          <w:color w:val="000000"/>
          <w:sz w:val="24"/>
        </w:rPr>
        <w:t>第八条</w:t>
      </w:r>
      <w:r>
        <w:rPr>
          <w:rFonts w:eastAsia="方正仿宋_GBK"/>
          <w:color w:val="000000"/>
          <w:sz w:val="24"/>
        </w:rPr>
        <w:t xml:space="preserve">  </w:t>
      </w:r>
      <w:r>
        <w:rPr>
          <w:rFonts w:hint="eastAsia" w:eastAsia="方正仿宋_GBK"/>
          <w:color w:val="000000"/>
          <w:sz w:val="24"/>
        </w:rPr>
        <w:t>公益董事或监督员应正确履行特许经营协议约定的监督职责，主要应包含以下内容：</w:t>
      </w:r>
    </w:p>
    <w:p>
      <w:pPr>
        <w:spacing w:line="460" w:lineRule="exact"/>
        <w:ind w:firstLine="480" w:firstLineChars="200"/>
        <w:rPr>
          <w:rFonts w:eastAsia="方正仿宋_GBK"/>
          <w:color w:val="000000"/>
          <w:sz w:val="24"/>
        </w:rPr>
      </w:pPr>
      <w:r>
        <w:rPr>
          <w:rFonts w:hint="eastAsia" w:eastAsia="方正仿宋_GBK"/>
          <w:color w:val="000000"/>
          <w:sz w:val="24"/>
        </w:rPr>
        <w:t>公益董事负责了解企业的正常生产、经营情况；监督企业的重要经营活动和重大决策；代表委派方对特许经营企业出具年度评价报表；根据委派方要求，定期述职。</w:t>
      </w:r>
    </w:p>
    <w:p>
      <w:pPr>
        <w:spacing w:line="460" w:lineRule="exact"/>
        <w:ind w:firstLine="480" w:firstLineChars="200"/>
        <w:rPr>
          <w:rFonts w:eastAsia="方正仿宋_GBK"/>
          <w:color w:val="000000"/>
          <w:sz w:val="24"/>
        </w:rPr>
      </w:pPr>
      <w:r>
        <w:rPr>
          <w:rFonts w:hint="eastAsia" w:eastAsia="方正仿宋_GBK"/>
          <w:color w:val="000000"/>
          <w:sz w:val="24"/>
        </w:rPr>
        <w:t>监督员负责了解企业的正常生产、经营情况；查阅企业的各类生产运营资料；监督协议规定的经营指标的执行情况；监督委派方所发出的整改意见的落实情况；根据委派方要求，定期述职。</w:t>
      </w:r>
    </w:p>
    <w:p>
      <w:pPr>
        <w:spacing w:line="460" w:lineRule="exact"/>
        <w:ind w:right="-70" w:firstLine="480" w:firstLineChars="200"/>
        <w:rPr>
          <w:rFonts w:eastAsia="方正仿宋_GBK"/>
          <w:color w:val="000000"/>
          <w:sz w:val="24"/>
        </w:rPr>
      </w:pPr>
      <w:r>
        <w:rPr>
          <w:rFonts w:hint="eastAsia" w:eastAsia="黑体"/>
          <w:color w:val="000000"/>
          <w:sz w:val="24"/>
        </w:rPr>
        <w:t>第九条</w:t>
      </w:r>
      <w:r>
        <w:rPr>
          <w:rFonts w:eastAsia="方正仿宋_GBK"/>
          <w:color w:val="000000"/>
          <w:sz w:val="24"/>
        </w:rPr>
        <w:t xml:space="preserve">  </w:t>
      </w:r>
      <w:r>
        <w:rPr>
          <w:rFonts w:hint="eastAsia" w:eastAsia="方正仿宋_GBK"/>
          <w:color w:val="000000"/>
          <w:sz w:val="24"/>
        </w:rPr>
        <w:t>公益董事或监督员必须忠于职守，认真履行职责，不得接受特许经营企业的宴请、馈赠，不得以公务名义到特许经营企业报销费用。</w:t>
      </w:r>
    </w:p>
    <w:p>
      <w:pPr>
        <w:spacing w:line="460" w:lineRule="exact"/>
        <w:ind w:right="-70" w:firstLine="480" w:firstLineChars="200"/>
        <w:rPr>
          <w:rFonts w:eastAsia="方正仿宋_GBK"/>
          <w:color w:val="000000"/>
          <w:sz w:val="24"/>
        </w:rPr>
      </w:pPr>
      <w:r>
        <w:rPr>
          <w:rFonts w:hint="eastAsia" w:eastAsia="黑体"/>
          <w:color w:val="000000"/>
          <w:sz w:val="24"/>
        </w:rPr>
        <w:t>第十条</w:t>
      </w:r>
      <w:r>
        <w:rPr>
          <w:rFonts w:eastAsia="方正仿宋_GBK"/>
          <w:color w:val="000000"/>
          <w:sz w:val="24"/>
        </w:rPr>
        <w:t xml:space="preserve">  </w:t>
      </w:r>
      <w:r>
        <w:rPr>
          <w:rFonts w:hint="eastAsia" w:eastAsia="方正仿宋_GBK"/>
          <w:color w:val="000000"/>
          <w:sz w:val="24"/>
        </w:rPr>
        <w:t>委派方对公益董事或监督员履行职责情况进行定期考核，考核合格的可继续聘任，考核不合格的应当立即解聘。公益董事或监督员在聘用期间玩忽职守、滥用职权、徇私舞弊，构成犯罪的，应当移交司法机关追究刑事责任；尚不构成犯罪的，依法给予行政处分。</w:t>
      </w:r>
    </w:p>
    <w:p>
      <w:pPr>
        <w:spacing w:line="460" w:lineRule="exact"/>
        <w:ind w:right="640"/>
        <w:rPr>
          <w:rFonts w:eastAsia="黑体"/>
          <w:color w:val="000000"/>
          <w:sz w:val="28"/>
          <w:szCs w:val="28"/>
        </w:rPr>
      </w:pPr>
      <w:r>
        <w:rPr>
          <w:rFonts w:eastAsia="方正仿宋_GBK"/>
          <w:color w:val="000000"/>
          <w:sz w:val="24"/>
        </w:rPr>
        <w:br w:type="column"/>
      </w:r>
      <w:r>
        <w:rPr>
          <w:rFonts w:hint="eastAsia" w:eastAsia="黑体"/>
          <w:color w:val="000000"/>
          <w:sz w:val="28"/>
          <w:szCs w:val="28"/>
        </w:rPr>
        <w:t>附件</w:t>
      </w:r>
      <w:r>
        <w:rPr>
          <w:rFonts w:eastAsia="黑体"/>
          <w:color w:val="000000"/>
          <w:sz w:val="28"/>
          <w:szCs w:val="28"/>
        </w:rPr>
        <w:t>2</w:t>
      </w:r>
      <w:r>
        <w:rPr>
          <w:rFonts w:hint="eastAsia" w:eastAsia="黑体"/>
          <w:color w:val="000000"/>
          <w:sz w:val="28"/>
          <w:szCs w:val="28"/>
        </w:rPr>
        <w:t>：</w:t>
      </w:r>
    </w:p>
    <w:p>
      <w:pPr>
        <w:spacing w:line="460" w:lineRule="exact"/>
        <w:ind w:right="640" w:firstLine="480" w:firstLineChars="200"/>
        <w:rPr>
          <w:rFonts w:eastAsia="方正仿宋_GBK"/>
          <w:color w:val="000000"/>
          <w:sz w:val="24"/>
        </w:rPr>
      </w:pPr>
    </w:p>
    <w:p>
      <w:pPr>
        <w:spacing w:line="460" w:lineRule="exact"/>
        <w:jc w:val="center"/>
        <w:rPr>
          <w:rFonts w:eastAsia="方正小标宋简体"/>
          <w:color w:val="000000"/>
          <w:sz w:val="36"/>
          <w:szCs w:val="36"/>
        </w:rPr>
      </w:pPr>
      <w:r>
        <w:rPr>
          <w:rFonts w:hint="eastAsia" w:eastAsia="方正小标宋简体"/>
          <w:color w:val="000000"/>
          <w:sz w:val="36"/>
          <w:szCs w:val="36"/>
        </w:rPr>
        <w:t>江苏省城市市政公用事业公众参与监督制度</w:t>
      </w:r>
    </w:p>
    <w:p>
      <w:pPr>
        <w:spacing w:line="440" w:lineRule="exact"/>
        <w:ind w:firstLine="480" w:firstLineChars="200"/>
        <w:rPr>
          <w:rFonts w:eastAsia="方正仿宋_GBK"/>
          <w:color w:val="000000"/>
          <w:sz w:val="24"/>
        </w:rPr>
      </w:pPr>
    </w:p>
    <w:p>
      <w:pPr>
        <w:spacing w:line="440" w:lineRule="exact"/>
        <w:ind w:firstLine="480" w:firstLineChars="200"/>
        <w:rPr>
          <w:rFonts w:eastAsia="方正仿宋_GBK"/>
          <w:color w:val="000000"/>
          <w:sz w:val="24"/>
        </w:rPr>
      </w:pPr>
      <w:r>
        <w:rPr>
          <w:rFonts w:hint="eastAsia" w:eastAsia="黑体"/>
          <w:color w:val="000000"/>
          <w:sz w:val="24"/>
        </w:rPr>
        <w:t>第一条</w:t>
      </w:r>
      <w:r>
        <w:rPr>
          <w:rFonts w:eastAsia="方正仿宋_GBK"/>
          <w:color w:val="000000"/>
          <w:sz w:val="24"/>
        </w:rPr>
        <w:t xml:space="preserve">  </w:t>
      </w:r>
      <w:r>
        <w:rPr>
          <w:rFonts w:hint="eastAsia" w:eastAsia="方正仿宋_GBK"/>
          <w:color w:val="000000"/>
          <w:sz w:val="24"/>
        </w:rPr>
        <w:t>为了维护社会公众利益和公共安全，有效履行政府行政管理与监督职责，充分吸收社会公众对市政公用行业的意见和建议，尊重公众的知情权，鼓励公众参与监督和接受公众监督，特制定本制度。</w:t>
      </w:r>
      <w:r>
        <w:rPr>
          <w:rFonts w:eastAsia="方正仿宋_GBK"/>
          <w:color w:val="000000"/>
          <w:sz w:val="24"/>
        </w:rPr>
        <w:t xml:space="preserve"> </w:t>
      </w:r>
    </w:p>
    <w:p>
      <w:pPr>
        <w:spacing w:line="440" w:lineRule="exact"/>
        <w:ind w:firstLine="480" w:firstLineChars="200"/>
        <w:rPr>
          <w:rFonts w:eastAsia="方正仿宋_GBK"/>
          <w:color w:val="000000"/>
          <w:sz w:val="24"/>
        </w:rPr>
      </w:pPr>
      <w:r>
        <w:rPr>
          <w:rFonts w:hint="eastAsia" w:eastAsia="黑体"/>
          <w:color w:val="000000"/>
          <w:sz w:val="24"/>
        </w:rPr>
        <w:t>第二条</w:t>
      </w:r>
      <w:r>
        <w:rPr>
          <w:rFonts w:eastAsia="方正仿宋_GBK"/>
          <w:color w:val="000000"/>
          <w:sz w:val="24"/>
        </w:rPr>
        <w:t xml:space="preserve">  </w:t>
      </w:r>
      <w:r>
        <w:rPr>
          <w:rFonts w:hint="eastAsia" w:eastAsia="方正仿宋_GBK"/>
          <w:color w:val="000000"/>
          <w:sz w:val="24"/>
        </w:rPr>
        <w:t>全省行政区域内已实施市政公用市场化改革和已实施市政公用事业特许经营管理的城市供水、供气（管道燃气）、污水处理、垃圾处理等行业适用本制度。</w:t>
      </w:r>
    </w:p>
    <w:p>
      <w:pPr>
        <w:spacing w:line="440" w:lineRule="exact"/>
        <w:ind w:firstLine="480" w:firstLineChars="200"/>
        <w:rPr>
          <w:rFonts w:eastAsia="方正仿宋_GBK"/>
          <w:color w:val="000000"/>
          <w:sz w:val="24"/>
        </w:rPr>
      </w:pPr>
      <w:r>
        <w:rPr>
          <w:rFonts w:hint="eastAsia" w:eastAsia="黑体"/>
          <w:color w:val="000000"/>
          <w:sz w:val="24"/>
        </w:rPr>
        <w:t>第三条</w:t>
      </w:r>
      <w:r>
        <w:rPr>
          <w:rFonts w:eastAsia="方正仿宋_GBK"/>
          <w:color w:val="000000"/>
          <w:sz w:val="24"/>
        </w:rPr>
        <w:t xml:space="preserve">  </w:t>
      </w:r>
      <w:r>
        <w:rPr>
          <w:rFonts w:hint="eastAsia" w:eastAsia="方正仿宋_GBK"/>
          <w:color w:val="000000"/>
          <w:sz w:val="24"/>
        </w:rPr>
        <w:t>省建设行政主管部门负责全省行政区域内城市市政公用事业公众参与活动的指导和监督工作。</w:t>
      </w:r>
    </w:p>
    <w:p>
      <w:pPr>
        <w:spacing w:line="440" w:lineRule="exact"/>
        <w:ind w:firstLine="480" w:firstLineChars="200"/>
        <w:rPr>
          <w:rFonts w:eastAsia="方正仿宋_GBK"/>
          <w:color w:val="000000"/>
          <w:kern w:val="0"/>
          <w:sz w:val="24"/>
        </w:rPr>
      </w:pPr>
      <w:r>
        <w:rPr>
          <w:rFonts w:hint="eastAsia" w:eastAsia="方正仿宋_GBK"/>
          <w:color w:val="000000"/>
          <w:kern w:val="0"/>
          <w:sz w:val="24"/>
        </w:rPr>
        <w:t>市、县人民政府市政公用事业主管部门受本级人民政府授权具体负责实施本行政区域内城市市政公用事业的公众参与监督工作。</w:t>
      </w:r>
    </w:p>
    <w:p>
      <w:pPr>
        <w:spacing w:line="440" w:lineRule="exact"/>
        <w:ind w:firstLine="480" w:firstLineChars="200"/>
        <w:rPr>
          <w:rFonts w:eastAsia="方正仿宋_GBK"/>
          <w:color w:val="000000"/>
          <w:sz w:val="24"/>
        </w:rPr>
      </w:pPr>
      <w:r>
        <w:rPr>
          <w:rFonts w:hint="eastAsia" w:eastAsia="黑体"/>
          <w:color w:val="000000"/>
          <w:sz w:val="24"/>
        </w:rPr>
        <w:t>第四条</w:t>
      </w:r>
      <w:r>
        <w:rPr>
          <w:rFonts w:eastAsia="方正仿宋_GBK"/>
          <w:color w:val="000000"/>
          <w:sz w:val="24"/>
        </w:rPr>
        <w:t xml:space="preserve">  </w:t>
      </w:r>
      <w:r>
        <w:rPr>
          <w:rFonts w:hint="eastAsia" w:eastAsia="方正仿宋_GBK"/>
          <w:color w:val="000000"/>
          <w:sz w:val="24"/>
        </w:rPr>
        <w:t>各级市政公用事业主管部门负责组织公众参与监督的工作；负责违反法定事项的事件处理工作。</w:t>
      </w:r>
    </w:p>
    <w:p>
      <w:pPr>
        <w:spacing w:line="440" w:lineRule="exact"/>
        <w:ind w:firstLine="480" w:firstLineChars="200"/>
        <w:rPr>
          <w:rFonts w:eastAsia="方正仿宋_GBK"/>
          <w:color w:val="000000"/>
          <w:sz w:val="24"/>
        </w:rPr>
      </w:pPr>
      <w:r>
        <w:rPr>
          <w:rFonts w:hint="eastAsia" w:eastAsia="黑体"/>
          <w:color w:val="000000"/>
          <w:sz w:val="24"/>
        </w:rPr>
        <w:t>第五条</w:t>
      </w:r>
      <w:r>
        <w:rPr>
          <w:rFonts w:eastAsia="方正仿宋_GBK"/>
          <w:color w:val="000000"/>
          <w:sz w:val="24"/>
        </w:rPr>
        <w:t xml:space="preserve">  </w:t>
      </w:r>
      <w:r>
        <w:rPr>
          <w:rFonts w:hint="eastAsia" w:eastAsia="方正仿宋_GBK"/>
          <w:color w:val="000000"/>
          <w:sz w:val="24"/>
        </w:rPr>
        <w:t>为便于公众监督，市政公用事业主管部门和市政公用企业应及时公开市政公用事业发展、建设和相关经营管理信息，其内容为：</w:t>
      </w:r>
    </w:p>
    <w:p>
      <w:pPr>
        <w:spacing w:line="440" w:lineRule="exact"/>
        <w:ind w:firstLine="480" w:firstLineChars="200"/>
        <w:rPr>
          <w:rFonts w:eastAsia="方正仿宋_GBK"/>
          <w:color w:val="000000"/>
          <w:sz w:val="24"/>
        </w:rPr>
      </w:pPr>
      <w:r>
        <w:rPr>
          <w:rFonts w:hint="eastAsia" w:eastAsia="方正仿宋_GBK"/>
          <w:color w:val="000000"/>
          <w:sz w:val="24"/>
        </w:rPr>
        <w:t>供水企业：年度生产经营计划、销售与服务网点分布、销售量及构成情况、建设投资情况、水源和管网水质检测数据和分析报告、管网水压情况、水价及构成情况、配合实施专项规划情况、安全生产工作情况等；</w:t>
      </w:r>
    </w:p>
    <w:p>
      <w:pPr>
        <w:spacing w:line="440" w:lineRule="exact"/>
        <w:ind w:firstLine="480" w:firstLineChars="200"/>
        <w:rPr>
          <w:rFonts w:eastAsia="方正仿宋_GBK"/>
          <w:color w:val="000000"/>
          <w:sz w:val="24"/>
        </w:rPr>
      </w:pPr>
      <w:r>
        <w:rPr>
          <w:rFonts w:hint="eastAsia" w:eastAsia="方正仿宋_GBK"/>
          <w:color w:val="000000"/>
          <w:sz w:val="24"/>
        </w:rPr>
        <w:t>供气（管道燃气）企业：年度生产经营计划、销售与服务网点分布、建设投资情况、管网气质情况、气价及构成情况、配合实施专项规划情况、安全生产工作情况等；</w:t>
      </w:r>
    </w:p>
    <w:p>
      <w:pPr>
        <w:spacing w:line="440" w:lineRule="exact"/>
        <w:ind w:firstLine="480" w:firstLineChars="200"/>
        <w:rPr>
          <w:rFonts w:eastAsia="方正仿宋_GBK"/>
          <w:color w:val="000000"/>
          <w:sz w:val="24"/>
        </w:rPr>
      </w:pPr>
      <w:r>
        <w:rPr>
          <w:rFonts w:hint="eastAsia" w:eastAsia="方正仿宋_GBK"/>
          <w:color w:val="000000"/>
          <w:sz w:val="24"/>
        </w:rPr>
        <w:t>污水处理企业：进厂出厂水质、进厂出厂水量、污泥处置情况、建设投资情况、水处理服务费及构成情况、配合实施专项规划情况、安全生产工作情况等；</w:t>
      </w:r>
      <w:r>
        <w:rPr>
          <w:rFonts w:eastAsia="方正仿宋_GBK"/>
          <w:color w:val="000000"/>
          <w:sz w:val="24"/>
        </w:rPr>
        <w:t xml:space="preserve"> </w:t>
      </w:r>
    </w:p>
    <w:p>
      <w:pPr>
        <w:spacing w:line="440" w:lineRule="exact"/>
        <w:ind w:firstLine="480" w:firstLineChars="200"/>
        <w:rPr>
          <w:rFonts w:eastAsia="方正仿宋_GBK"/>
          <w:color w:val="000000"/>
          <w:sz w:val="24"/>
        </w:rPr>
      </w:pPr>
      <w:r>
        <w:rPr>
          <w:rFonts w:hint="eastAsia" w:eastAsia="方正仿宋_GBK"/>
          <w:color w:val="000000"/>
          <w:sz w:val="24"/>
        </w:rPr>
        <w:t>垃圾处理企业：城市垃圾无害化处理情况、建设投资情况、垃圾处理服务费及构成情况、配合实施专项规划情况、安全生产工作情况等；</w:t>
      </w:r>
    </w:p>
    <w:p>
      <w:pPr>
        <w:spacing w:line="440" w:lineRule="exact"/>
        <w:ind w:firstLine="480" w:firstLineChars="200"/>
        <w:rPr>
          <w:rFonts w:eastAsia="方正仿宋_GBK"/>
          <w:color w:val="000000"/>
          <w:sz w:val="24"/>
        </w:rPr>
      </w:pPr>
      <w:r>
        <w:rPr>
          <w:rFonts w:hint="eastAsia" w:eastAsia="黑体"/>
          <w:color w:val="000000"/>
          <w:sz w:val="24"/>
        </w:rPr>
        <w:t>第六条</w:t>
      </w:r>
      <w:r>
        <w:rPr>
          <w:rFonts w:eastAsia="方正仿宋_GBK"/>
          <w:color w:val="000000"/>
          <w:sz w:val="24"/>
        </w:rPr>
        <w:t xml:space="preserve">  </w:t>
      </w:r>
      <w:r>
        <w:rPr>
          <w:rFonts w:hint="eastAsia" w:eastAsia="方正仿宋_GBK"/>
          <w:color w:val="000000"/>
          <w:sz w:val="24"/>
        </w:rPr>
        <w:t>社会公众依据相关法律、法规、标准以及政府的规范性文件对市政公用行业进行监督，其监督的主要内容为：</w:t>
      </w:r>
    </w:p>
    <w:p>
      <w:pPr>
        <w:spacing w:line="440" w:lineRule="exact"/>
        <w:ind w:firstLine="480" w:firstLineChars="200"/>
        <w:rPr>
          <w:rFonts w:eastAsia="方正仿宋_GBK"/>
          <w:color w:val="000000"/>
          <w:sz w:val="24"/>
        </w:rPr>
      </w:pPr>
      <w:r>
        <w:rPr>
          <w:rFonts w:hint="eastAsia" w:eastAsia="方正仿宋_GBK"/>
          <w:color w:val="000000"/>
          <w:sz w:val="24"/>
        </w:rPr>
        <w:t>（一）市政公用企业产品质量与服务质量情况；</w:t>
      </w:r>
    </w:p>
    <w:p>
      <w:pPr>
        <w:spacing w:line="440" w:lineRule="exact"/>
        <w:ind w:firstLine="480" w:firstLineChars="200"/>
        <w:rPr>
          <w:rFonts w:eastAsia="方正仿宋_GBK"/>
          <w:color w:val="000000"/>
          <w:sz w:val="24"/>
        </w:rPr>
      </w:pPr>
      <w:r>
        <w:rPr>
          <w:rFonts w:hint="eastAsia" w:eastAsia="方正仿宋_GBK"/>
          <w:color w:val="000000"/>
          <w:sz w:val="24"/>
        </w:rPr>
        <w:t>（二）公众投诉意见建议的处理情况；</w:t>
      </w:r>
    </w:p>
    <w:p>
      <w:pPr>
        <w:spacing w:line="440" w:lineRule="exact"/>
        <w:ind w:firstLine="480" w:firstLineChars="200"/>
        <w:rPr>
          <w:rFonts w:eastAsia="方正仿宋_GBK"/>
          <w:color w:val="000000"/>
          <w:sz w:val="24"/>
        </w:rPr>
      </w:pPr>
      <w:r>
        <w:rPr>
          <w:rFonts w:hint="eastAsia" w:eastAsia="方正仿宋_GBK"/>
          <w:color w:val="000000"/>
          <w:sz w:val="24"/>
        </w:rPr>
        <w:t>（三）安全生产工作情况、运行事故的调查分析处理情况；</w:t>
      </w:r>
    </w:p>
    <w:p>
      <w:pPr>
        <w:spacing w:line="440" w:lineRule="exact"/>
        <w:ind w:firstLine="480" w:firstLineChars="200"/>
        <w:rPr>
          <w:rFonts w:eastAsia="方正仿宋_GBK"/>
          <w:color w:val="000000"/>
          <w:sz w:val="24"/>
        </w:rPr>
      </w:pPr>
      <w:r>
        <w:rPr>
          <w:rFonts w:hint="eastAsia" w:eastAsia="方正仿宋_GBK"/>
          <w:color w:val="000000"/>
          <w:sz w:val="24"/>
        </w:rPr>
        <w:t>（四）市政公用事业单位产品与服务价格情况、建设投资情况；</w:t>
      </w:r>
    </w:p>
    <w:p>
      <w:pPr>
        <w:spacing w:line="440" w:lineRule="exact"/>
        <w:ind w:firstLine="480" w:firstLineChars="200"/>
        <w:rPr>
          <w:rFonts w:eastAsia="方正仿宋_GBK"/>
          <w:color w:val="000000"/>
          <w:sz w:val="24"/>
        </w:rPr>
      </w:pPr>
      <w:r>
        <w:rPr>
          <w:rFonts w:hint="eastAsia" w:eastAsia="方正仿宋_GBK"/>
          <w:color w:val="000000"/>
          <w:sz w:val="24"/>
        </w:rPr>
        <w:t>（五）执行法律法规规章情况和履行社会服务承诺情况。</w:t>
      </w:r>
    </w:p>
    <w:p>
      <w:pPr>
        <w:spacing w:line="440" w:lineRule="exact"/>
        <w:ind w:firstLine="480" w:firstLineChars="200"/>
        <w:rPr>
          <w:rFonts w:eastAsia="方正仿宋_GBK"/>
          <w:color w:val="000000"/>
          <w:sz w:val="24"/>
        </w:rPr>
      </w:pPr>
      <w:r>
        <w:rPr>
          <w:rFonts w:hint="eastAsia" w:eastAsia="黑体"/>
          <w:color w:val="000000"/>
          <w:sz w:val="24"/>
        </w:rPr>
        <w:t>第七条</w:t>
      </w:r>
      <w:r>
        <w:rPr>
          <w:rFonts w:eastAsia="方正仿宋_GBK"/>
          <w:color w:val="000000"/>
          <w:sz w:val="24"/>
        </w:rPr>
        <w:t xml:space="preserve">  </w:t>
      </w:r>
      <w:r>
        <w:rPr>
          <w:rFonts w:hint="eastAsia" w:eastAsia="方正仿宋_GBK"/>
          <w:color w:val="000000"/>
          <w:sz w:val="24"/>
        </w:rPr>
        <w:t>为确保社会公众的知情权，各级市政公用事业主管部门依照相关法律法规规定定期或不定期地向社会公众发布行业监管信息和监管结论（含中期评估结论）。第六条第（一）、（二）项内容的公布周期为</w:t>
      </w:r>
      <w:r>
        <w:rPr>
          <w:rFonts w:eastAsia="方正仿宋_GBK"/>
          <w:color w:val="000000"/>
          <w:sz w:val="24"/>
        </w:rPr>
        <w:t>1</w:t>
      </w:r>
      <w:r>
        <w:rPr>
          <w:rFonts w:hint="eastAsia" w:eastAsia="方正仿宋_GBK"/>
          <w:color w:val="000000"/>
          <w:sz w:val="24"/>
        </w:rPr>
        <w:t>个月，第（三）项内容的公布时间为事故处理结束后的</w:t>
      </w:r>
      <w:r>
        <w:rPr>
          <w:rFonts w:eastAsia="方正仿宋_GBK"/>
          <w:color w:val="000000"/>
          <w:sz w:val="24"/>
        </w:rPr>
        <w:t>1</w:t>
      </w:r>
      <w:r>
        <w:rPr>
          <w:rFonts w:hint="eastAsia" w:eastAsia="方正仿宋_GBK"/>
          <w:color w:val="000000"/>
          <w:sz w:val="24"/>
        </w:rPr>
        <w:t>个月内，第（四）、（五）项内容的公布周期为</w:t>
      </w:r>
      <w:r>
        <w:rPr>
          <w:rFonts w:eastAsia="方正仿宋_GBK"/>
          <w:color w:val="000000"/>
          <w:sz w:val="24"/>
        </w:rPr>
        <w:t>1</w:t>
      </w:r>
      <w:r>
        <w:rPr>
          <w:rFonts w:hint="eastAsia" w:eastAsia="方正仿宋_GBK"/>
          <w:color w:val="000000"/>
          <w:sz w:val="24"/>
        </w:rPr>
        <w:t>年。法律、法规对公布周期另有规定的，从其规定。</w:t>
      </w:r>
    </w:p>
    <w:p>
      <w:pPr>
        <w:spacing w:line="440" w:lineRule="exact"/>
        <w:ind w:firstLine="480" w:firstLineChars="200"/>
        <w:rPr>
          <w:rFonts w:eastAsia="方正仿宋_GBK"/>
          <w:color w:val="000000"/>
          <w:sz w:val="24"/>
        </w:rPr>
      </w:pPr>
      <w:r>
        <w:rPr>
          <w:rFonts w:hint="eastAsia" w:eastAsia="黑体"/>
          <w:color w:val="000000"/>
          <w:sz w:val="24"/>
        </w:rPr>
        <w:t>第八条</w:t>
      </w:r>
      <w:r>
        <w:rPr>
          <w:rFonts w:eastAsia="方正仿宋_GBK"/>
          <w:color w:val="000000"/>
          <w:sz w:val="24"/>
        </w:rPr>
        <w:t xml:space="preserve">  </w:t>
      </w:r>
      <w:r>
        <w:rPr>
          <w:rFonts w:hint="eastAsia" w:eastAsia="方正仿宋_GBK"/>
          <w:color w:val="000000"/>
          <w:sz w:val="24"/>
        </w:rPr>
        <w:t>社会公众可以参与监督市政公用行业、企业的服务与经营行为。其监督的方式可以是来信、来电、来人直接反映，也可以通过人大建议、政协提案、政府信访、政府电子网络等方式间接反映。</w:t>
      </w:r>
    </w:p>
    <w:p>
      <w:pPr>
        <w:spacing w:line="440" w:lineRule="exact"/>
        <w:ind w:firstLine="480" w:firstLineChars="200"/>
        <w:rPr>
          <w:rFonts w:eastAsia="方正仿宋_GBK"/>
          <w:color w:val="000000"/>
          <w:sz w:val="24"/>
        </w:rPr>
      </w:pPr>
      <w:r>
        <w:rPr>
          <w:rFonts w:hint="eastAsia" w:eastAsia="方正仿宋_GBK"/>
          <w:color w:val="000000"/>
          <w:sz w:val="24"/>
        </w:rPr>
        <w:t>各级市政公用事业主管部门应当及时掌握实情，核实其企业披露信息的真实性，对照法律法规和标准规范，确定性质，给出结论，督导有关企业的整改工作。</w:t>
      </w:r>
    </w:p>
    <w:p>
      <w:pPr>
        <w:spacing w:line="440" w:lineRule="exact"/>
        <w:ind w:firstLine="480" w:firstLineChars="200"/>
        <w:rPr>
          <w:rFonts w:eastAsia="方正仿宋_GBK"/>
          <w:color w:val="000000"/>
          <w:sz w:val="24"/>
        </w:rPr>
      </w:pPr>
      <w:r>
        <w:rPr>
          <w:rFonts w:hint="eastAsia" w:eastAsia="黑体"/>
          <w:color w:val="000000"/>
          <w:sz w:val="24"/>
        </w:rPr>
        <w:t>第九条</w:t>
      </w:r>
      <w:r>
        <w:rPr>
          <w:rFonts w:eastAsia="方正仿宋_GBK"/>
          <w:color w:val="000000"/>
          <w:sz w:val="24"/>
        </w:rPr>
        <w:t xml:space="preserve">  </w:t>
      </w:r>
      <w:r>
        <w:rPr>
          <w:rFonts w:hint="eastAsia" w:eastAsia="方正仿宋_GBK"/>
          <w:color w:val="000000"/>
          <w:sz w:val="24"/>
        </w:rPr>
        <w:t>市政公用企业应执行国家、省相关的法律法规、标准规范和社会服务承诺条款。</w:t>
      </w:r>
    </w:p>
    <w:p>
      <w:pPr>
        <w:spacing w:line="440" w:lineRule="exact"/>
        <w:ind w:firstLine="480" w:firstLineChars="200"/>
        <w:rPr>
          <w:rFonts w:eastAsia="方正仿宋_GBK"/>
          <w:color w:val="000000"/>
          <w:sz w:val="24"/>
        </w:rPr>
      </w:pPr>
      <w:r>
        <w:rPr>
          <w:rFonts w:hint="eastAsia" w:eastAsia="黑体"/>
          <w:color w:val="000000"/>
          <w:sz w:val="24"/>
        </w:rPr>
        <w:t>第十条</w:t>
      </w:r>
      <w:r>
        <w:rPr>
          <w:rFonts w:eastAsia="方正仿宋_GBK"/>
          <w:color w:val="000000"/>
          <w:sz w:val="24"/>
        </w:rPr>
        <w:t xml:space="preserve">  </w:t>
      </w:r>
      <w:r>
        <w:rPr>
          <w:rFonts w:hint="eastAsia" w:eastAsia="方正仿宋_GBK"/>
          <w:color w:val="000000"/>
          <w:sz w:val="24"/>
        </w:rPr>
        <w:t>各级市政公用事业主管部门应通过多种方式征询收集社会公众的意见和反映；应定期组织社会满意度调查；可以召开新闻发布会、发布告示公报和通知、公布行业（企业）服务承诺等方式发布行业监管信息。</w:t>
      </w:r>
    </w:p>
    <w:p>
      <w:pPr>
        <w:spacing w:line="440" w:lineRule="exact"/>
        <w:ind w:firstLine="480" w:firstLineChars="200"/>
        <w:rPr>
          <w:rFonts w:eastAsia="方正仿宋_GBK"/>
          <w:color w:val="000000"/>
          <w:sz w:val="24"/>
        </w:rPr>
      </w:pPr>
      <w:r>
        <w:rPr>
          <w:rFonts w:hint="eastAsia" w:eastAsia="黑体"/>
          <w:color w:val="000000"/>
          <w:sz w:val="24"/>
        </w:rPr>
        <w:t>第十一条</w:t>
      </w:r>
      <w:r>
        <w:rPr>
          <w:rFonts w:eastAsia="方正仿宋_GBK"/>
          <w:color w:val="000000"/>
          <w:sz w:val="24"/>
        </w:rPr>
        <w:t xml:space="preserve">  </w:t>
      </w:r>
      <w:r>
        <w:rPr>
          <w:rFonts w:hint="eastAsia" w:eastAsia="方正仿宋_GBK"/>
          <w:color w:val="000000"/>
          <w:sz w:val="24"/>
        </w:rPr>
        <w:t>各项市政公用事业特许经营管理协议中必须包含</w:t>
      </w:r>
      <w:r>
        <w:rPr>
          <w:rFonts w:eastAsia="方正仿宋_GBK"/>
          <w:color w:val="000000"/>
          <w:sz w:val="24"/>
        </w:rPr>
        <w:t>“</w:t>
      </w:r>
      <w:r>
        <w:rPr>
          <w:rFonts w:hint="eastAsia" w:eastAsia="方正仿宋_GBK"/>
          <w:color w:val="000000"/>
          <w:sz w:val="24"/>
        </w:rPr>
        <w:t>市政公用企业及时向市政公用事业主管部门提供的法定披露信息</w:t>
      </w:r>
      <w:r>
        <w:rPr>
          <w:rFonts w:eastAsia="方正仿宋_GBK"/>
          <w:color w:val="000000"/>
          <w:sz w:val="24"/>
        </w:rPr>
        <w:t>”</w:t>
      </w:r>
      <w:r>
        <w:rPr>
          <w:rFonts w:hint="eastAsia" w:eastAsia="方正仿宋_GBK"/>
          <w:color w:val="000000"/>
          <w:sz w:val="24"/>
        </w:rPr>
        <w:t>、</w:t>
      </w:r>
      <w:r>
        <w:rPr>
          <w:rFonts w:eastAsia="方正仿宋_GBK"/>
          <w:color w:val="000000"/>
          <w:sz w:val="24"/>
        </w:rPr>
        <w:t>“</w:t>
      </w:r>
      <w:r>
        <w:rPr>
          <w:rFonts w:hint="eastAsia" w:eastAsia="方正仿宋_GBK"/>
          <w:color w:val="000000"/>
          <w:sz w:val="24"/>
        </w:rPr>
        <w:t>接受处理社会公众参与监督意见</w:t>
      </w:r>
      <w:r>
        <w:rPr>
          <w:rFonts w:eastAsia="方正仿宋_GBK"/>
          <w:color w:val="000000"/>
          <w:sz w:val="24"/>
        </w:rPr>
        <w:t>”</w:t>
      </w:r>
      <w:r>
        <w:rPr>
          <w:rFonts w:hint="eastAsia" w:eastAsia="方正仿宋_GBK"/>
          <w:color w:val="000000"/>
          <w:sz w:val="24"/>
        </w:rPr>
        <w:t>、</w:t>
      </w:r>
      <w:r>
        <w:rPr>
          <w:rFonts w:eastAsia="方正仿宋_GBK"/>
          <w:color w:val="000000"/>
          <w:sz w:val="24"/>
        </w:rPr>
        <w:t>“</w:t>
      </w:r>
      <w:r>
        <w:rPr>
          <w:rFonts w:hint="eastAsia" w:eastAsia="方正仿宋_GBK"/>
          <w:color w:val="000000"/>
          <w:sz w:val="24"/>
        </w:rPr>
        <w:t>实现普遍服务义务</w:t>
      </w:r>
      <w:r>
        <w:rPr>
          <w:rFonts w:eastAsia="方正仿宋_GBK"/>
          <w:color w:val="000000"/>
          <w:sz w:val="24"/>
        </w:rPr>
        <w:t>”</w:t>
      </w:r>
      <w:r>
        <w:rPr>
          <w:rFonts w:hint="eastAsia" w:eastAsia="方正仿宋_GBK"/>
          <w:color w:val="000000"/>
          <w:sz w:val="24"/>
        </w:rPr>
        <w:t>、</w:t>
      </w:r>
      <w:r>
        <w:rPr>
          <w:rFonts w:eastAsia="方正仿宋_GBK"/>
          <w:color w:val="000000"/>
          <w:sz w:val="24"/>
        </w:rPr>
        <w:t>“</w:t>
      </w:r>
      <w:r>
        <w:rPr>
          <w:rFonts w:hint="eastAsia" w:eastAsia="方正仿宋_GBK"/>
          <w:color w:val="000000"/>
          <w:sz w:val="24"/>
        </w:rPr>
        <w:t>提高社会满意度</w:t>
      </w:r>
      <w:r>
        <w:rPr>
          <w:rFonts w:eastAsia="方正仿宋_GBK"/>
          <w:color w:val="000000"/>
          <w:sz w:val="24"/>
        </w:rPr>
        <w:t>”</w:t>
      </w:r>
      <w:r>
        <w:rPr>
          <w:rFonts w:hint="eastAsia" w:eastAsia="方正仿宋_GBK"/>
          <w:color w:val="000000"/>
          <w:sz w:val="24"/>
        </w:rPr>
        <w:t>等内容，由所辖管理权的市政公用事业主管部门负责考核。</w:t>
      </w:r>
    </w:p>
    <w:p>
      <w:pPr>
        <w:spacing w:line="440" w:lineRule="exact"/>
        <w:ind w:firstLine="480" w:firstLineChars="200"/>
        <w:rPr>
          <w:rFonts w:eastAsia="方正仿宋_GBK"/>
          <w:color w:val="000000"/>
          <w:sz w:val="24"/>
        </w:rPr>
      </w:pPr>
      <w:r>
        <w:rPr>
          <w:rFonts w:hint="eastAsia" w:eastAsia="方正仿宋_GBK"/>
          <w:color w:val="000000"/>
          <w:sz w:val="24"/>
        </w:rPr>
        <w:t>各项市政公用事业特许经营管理协议中必须包含各级市政公用事业主管部门依照相关法律法规规定，定期或不定期地向社会公众发布行业监管信息、接受处理社会公众参与监督意见，提高社会满意度等内容，由所辖管理权的市政公用事业主管部门的上级主管部门负责考核。</w:t>
      </w:r>
    </w:p>
    <w:p>
      <w:pPr>
        <w:spacing w:line="440" w:lineRule="exact"/>
        <w:rPr>
          <w:rFonts w:eastAsia="黑体"/>
          <w:color w:val="000000"/>
          <w:sz w:val="28"/>
          <w:szCs w:val="28"/>
        </w:rPr>
      </w:pPr>
      <w:r>
        <w:rPr>
          <w:rFonts w:eastAsia="方正仿宋_GBK"/>
          <w:color w:val="000000"/>
          <w:sz w:val="24"/>
        </w:rPr>
        <w:br w:type="column"/>
      </w:r>
      <w:r>
        <w:rPr>
          <w:rFonts w:hint="eastAsia" w:eastAsia="黑体"/>
          <w:color w:val="000000"/>
          <w:sz w:val="28"/>
          <w:szCs w:val="28"/>
        </w:rPr>
        <w:t>附件</w:t>
      </w:r>
      <w:r>
        <w:rPr>
          <w:rFonts w:eastAsia="黑体"/>
          <w:color w:val="000000"/>
          <w:sz w:val="28"/>
          <w:szCs w:val="28"/>
        </w:rPr>
        <w:t>3</w:t>
      </w:r>
      <w:r>
        <w:rPr>
          <w:rFonts w:hint="eastAsia" w:eastAsia="黑体"/>
          <w:color w:val="000000"/>
          <w:sz w:val="28"/>
          <w:szCs w:val="28"/>
        </w:rPr>
        <w:t>：</w:t>
      </w:r>
    </w:p>
    <w:p>
      <w:pPr>
        <w:spacing w:line="460" w:lineRule="exact"/>
        <w:ind w:right="640" w:firstLine="480" w:firstLineChars="200"/>
        <w:rPr>
          <w:rFonts w:eastAsia="方正仿宋_GBK"/>
          <w:color w:val="000000"/>
          <w:sz w:val="24"/>
        </w:rPr>
      </w:pPr>
    </w:p>
    <w:p>
      <w:pPr>
        <w:spacing w:line="460" w:lineRule="exact"/>
        <w:jc w:val="center"/>
        <w:rPr>
          <w:rFonts w:eastAsia="方正小标宋简体"/>
          <w:color w:val="000000"/>
          <w:sz w:val="36"/>
          <w:szCs w:val="36"/>
        </w:rPr>
      </w:pPr>
      <w:r>
        <w:rPr>
          <w:rFonts w:hint="eastAsia" w:eastAsia="方正小标宋简体"/>
          <w:color w:val="000000"/>
          <w:sz w:val="36"/>
          <w:szCs w:val="36"/>
        </w:rPr>
        <w:t>江苏省城市市政公用事业特许经营权临时接管制度</w:t>
      </w:r>
    </w:p>
    <w:p>
      <w:pPr>
        <w:spacing w:line="460" w:lineRule="exact"/>
        <w:ind w:firstLine="480" w:firstLineChars="200"/>
        <w:rPr>
          <w:rFonts w:eastAsia="方正仿宋_GBK"/>
          <w:color w:val="000000"/>
          <w:sz w:val="24"/>
        </w:rPr>
      </w:pPr>
    </w:p>
    <w:p>
      <w:pPr>
        <w:spacing w:line="460" w:lineRule="exact"/>
        <w:ind w:firstLine="480" w:firstLineChars="200"/>
        <w:rPr>
          <w:rFonts w:eastAsia="方正仿宋_GBK"/>
          <w:color w:val="000000"/>
          <w:sz w:val="24"/>
        </w:rPr>
      </w:pPr>
      <w:r>
        <w:rPr>
          <w:rFonts w:hint="eastAsia" w:eastAsia="黑体"/>
          <w:color w:val="000000"/>
          <w:sz w:val="24"/>
        </w:rPr>
        <w:t>第一条</w:t>
      </w:r>
      <w:r>
        <w:rPr>
          <w:rFonts w:eastAsia="方正仿宋_GBK"/>
          <w:color w:val="000000"/>
          <w:sz w:val="24"/>
        </w:rPr>
        <w:t xml:space="preserve">  </w:t>
      </w:r>
      <w:r>
        <w:rPr>
          <w:rFonts w:hint="eastAsia" w:eastAsia="方正仿宋_GBK"/>
          <w:color w:val="000000"/>
          <w:sz w:val="24"/>
        </w:rPr>
        <w:t>为了规范城市市政公用事业特许经营权临时接管（以下简称临时接管）行为，保障社会公共利益和公共安全，维护社会稳定，特制定本制度。</w:t>
      </w:r>
    </w:p>
    <w:p>
      <w:pPr>
        <w:spacing w:line="460" w:lineRule="exact"/>
        <w:ind w:firstLine="480" w:firstLineChars="200"/>
        <w:rPr>
          <w:rFonts w:eastAsia="方正仿宋_GBK"/>
          <w:color w:val="000000"/>
          <w:sz w:val="24"/>
        </w:rPr>
      </w:pPr>
      <w:r>
        <w:rPr>
          <w:rFonts w:hint="eastAsia" w:eastAsia="黑体"/>
          <w:color w:val="000000"/>
          <w:sz w:val="24"/>
        </w:rPr>
        <w:t>第二条</w:t>
      </w:r>
      <w:r>
        <w:rPr>
          <w:rFonts w:eastAsia="方正仿宋_GBK"/>
          <w:color w:val="000000"/>
          <w:sz w:val="24"/>
        </w:rPr>
        <w:t xml:space="preserve">  </w:t>
      </w:r>
      <w:r>
        <w:rPr>
          <w:rFonts w:hint="eastAsia" w:eastAsia="方正仿宋_GBK"/>
          <w:color w:val="000000"/>
          <w:sz w:val="24"/>
        </w:rPr>
        <w:t>全省行政区域内已实施市政公用市场化改革和已实施市政公用事业特许经营管理的城市供水、供气（管道燃气）、污水处理、垃圾处理等行业适用本制度。</w:t>
      </w:r>
    </w:p>
    <w:p>
      <w:pPr>
        <w:spacing w:line="460" w:lineRule="exact"/>
        <w:ind w:firstLine="480" w:firstLineChars="200"/>
        <w:rPr>
          <w:rFonts w:eastAsia="方正仿宋_GBK"/>
          <w:color w:val="000000"/>
          <w:sz w:val="24"/>
        </w:rPr>
      </w:pPr>
      <w:r>
        <w:rPr>
          <w:rFonts w:hint="eastAsia" w:eastAsia="黑体"/>
          <w:color w:val="000000"/>
          <w:sz w:val="24"/>
        </w:rPr>
        <w:t>第三条</w:t>
      </w:r>
      <w:r>
        <w:rPr>
          <w:rFonts w:eastAsia="方正仿宋_GBK"/>
          <w:color w:val="000000"/>
          <w:sz w:val="24"/>
        </w:rPr>
        <w:t xml:space="preserve">  </w:t>
      </w:r>
      <w:r>
        <w:rPr>
          <w:rFonts w:hint="eastAsia" w:eastAsia="方正仿宋_GBK"/>
          <w:color w:val="000000"/>
          <w:sz w:val="24"/>
        </w:rPr>
        <w:t>省建设行政主管部门负责全省行政区域内城市市政公用事业特许经营权临时接管活动的指导和监督工作。</w:t>
      </w:r>
    </w:p>
    <w:p>
      <w:pPr>
        <w:spacing w:line="460" w:lineRule="exact"/>
        <w:ind w:firstLine="480" w:firstLineChars="200"/>
        <w:rPr>
          <w:rFonts w:eastAsia="方正仿宋_GBK"/>
          <w:color w:val="000000"/>
          <w:sz w:val="24"/>
        </w:rPr>
      </w:pPr>
      <w:r>
        <w:rPr>
          <w:rFonts w:hint="eastAsia" w:eastAsia="方正仿宋_GBK"/>
          <w:color w:val="000000"/>
          <w:sz w:val="24"/>
        </w:rPr>
        <w:t>市、县人民政府市政公用事业主管部门受本级人民政府授权具体负责实施本行政区域内城市市政公用事业特许经营权的临时接管。</w:t>
      </w:r>
    </w:p>
    <w:p>
      <w:pPr>
        <w:spacing w:line="460" w:lineRule="exact"/>
        <w:ind w:firstLine="480" w:firstLineChars="200"/>
        <w:rPr>
          <w:rFonts w:eastAsia="方正仿宋_GBK"/>
          <w:color w:val="000000"/>
          <w:sz w:val="24"/>
        </w:rPr>
      </w:pPr>
      <w:r>
        <w:rPr>
          <w:rFonts w:hint="eastAsia" w:eastAsia="方正仿宋_GBK"/>
          <w:color w:val="000000"/>
          <w:sz w:val="24"/>
        </w:rPr>
        <w:t>特许经营企业违反法律、行政法规和国家强制性标准，严重危害公共利益，或者造成重大质量、安全事故或者突发环境事件的，市、县市政公用事业主管部门应当责令限期改正；拒不改正、情节严重的，可以终止特许经营协议，并实施临时接管。构成犯罪的，依法追究刑事责任。</w:t>
      </w:r>
    </w:p>
    <w:p>
      <w:pPr>
        <w:spacing w:line="460" w:lineRule="exact"/>
        <w:ind w:firstLine="480" w:firstLineChars="200"/>
        <w:rPr>
          <w:rFonts w:eastAsia="方正仿宋_GBK"/>
          <w:color w:val="000000"/>
          <w:sz w:val="24"/>
        </w:rPr>
      </w:pPr>
      <w:r>
        <w:rPr>
          <w:rFonts w:hint="eastAsia" w:eastAsia="黑体"/>
          <w:color w:val="000000"/>
          <w:sz w:val="24"/>
        </w:rPr>
        <w:t>第四条</w:t>
      </w:r>
      <w:r>
        <w:rPr>
          <w:rFonts w:eastAsia="方正仿宋_GBK"/>
          <w:color w:val="000000"/>
          <w:sz w:val="24"/>
        </w:rPr>
        <w:t xml:space="preserve"> </w:t>
      </w:r>
      <w:r>
        <w:rPr>
          <w:rFonts w:hint="eastAsia" w:eastAsia="方正仿宋_GBK"/>
          <w:color w:val="000000"/>
          <w:sz w:val="24"/>
        </w:rPr>
        <w:t>市政公用事业主管部门应当制定城市市政公用事业临时接管应急预案报本级人民政府批准，并报上级主管部门备案。</w:t>
      </w:r>
    </w:p>
    <w:p>
      <w:pPr>
        <w:spacing w:line="460" w:lineRule="exact"/>
        <w:ind w:firstLine="480" w:firstLineChars="200"/>
        <w:rPr>
          <w:rFonts w:eastAsia="方正仿宋_GBK"/>
          <w:color w:val="000000"/>
          <w:sz w:val="24"/>
        </w:rPr>
      </w:pPr>
      <w:r>
        <w:rPr>
          <w:rFonts w:hint="eastAsia" w:eastAsia="黑体"/>
          <w:color w:val="000000"/>
          <w:sz w:val="24"/>
        </w:rPr>
        <w:t>第五条</w:t>
      </w:r>
      <w:r>
        <w:rPr>
          <w:rFonts w:eastAsia="方正仿宋_GBK"/>
          <w:color w:val="000000"/>
          <w:sz w:val="24"/>
        </w:rPr>
        <w:t xml:space="preserve">  </w:t>
      </w:r>
      <w:r>
        <w:rPr>
          <w:rFonts w:hint="eastAsia" w:eastAsia="方正仿宋_GBK"/>
          <w:color w:val="000000"/>
          <w:sz w:val="24"/>
        </w:rPr>
        <w:t>临时接管应急预案应明确成立政府负责、相关部门参加的临时接管机构，负责被接管企业的临时运行管理，保障城市市政公用产品和服务的供给。</w:t>
      </w:r>
    </w:p>
    <w:p>
      <w:pPr>
        <w:spacing w:line="460" w:lineRule="exact"/>
        <w:ind w:firstLine="480" w:firstLineChars="200"/>
        <w:rPr>
          <w:rFonts w:eastAsia="方正仿宋_GBK"/>
          <w:color w:val="000000"/>
          <w:sz w:val="24"/>
        </w:rPr>
      </w:pPr>
      <w:r>
        <w:rPr>
          <w:rFonts w:hint="eastAsia" w:eastAsia="黑体"/>
          <w:color w:val="000000"/>
          <w:sz w:val="24"/>
        </w:rPr>
        <w:t>第六条</w:t>
      </w:r>
      <w:r>
        <w:rPr>
          <w:rFonts w:eastAsia="方正仿宋_GBK"/>
          <w:color w:val="000000"/>
          <w:sz w:val="24"/>
        </w:rPr>
        <w:t xml:space="preserve">  </w:t>
      </w:r>
      <w:r>
        <w:rPr>
          <w:rFonts w:hint="eastAsia" w:eastAsia="方正仿宋_GBK"/>
          <w:color w:val="000000"/>
          <w:sz w:val="24"/>
        </w:rPr>
        <w:t>临时接管应按下列步骤进行：</w:t>
      </w:r>
    </w:p>
    <w:p>
      <w:pPr>
        <w:spacing w:line="460" w:lineRule="exact"/>
        <w:ind w:firstLine="480" w:firstLineChars="200"/>
        <w:rPr>
          <w:rFonts w:eastAsia="方正仿宋_GBK"/>
          <w:color w:val="000000"/>
          <w:sz w:val="24"/>
        </w:rPr>
      </w:pPr>
      <w:r>
        <w:rPr>
          <w:rFonts w:hint="eastAsia" w:eastAsia="方正仿宋_GBK"/>
          <w:color w:val="000000"/>
          <w:sz w:val="24"/>
        </w:rPr>
        <w:t>（一）市政公用事业主管部门向本级人民政府报告所发生的重大事项，并提出临时接管申请；同时应当告知被接管企业有要求举行听证的权利，被接管企业要求听证的，应当组织听证；</w:t>
      </w:r>
    </w:p>
    <w:p>
      <w:pPr>
        <w:spacing w:line="460" w:lineRule="exact"/>
        <w:ind w:firstLine="480" w:firstLineChars="200"/>
        <w:rPr>
          <w:rFonts w:eastAsia="方正仿宋_GBK"/>
          <w:color w:val="000000"/>
          <w:sz w:val="24"/>
        </w:rPr>
      </w:pPr>
      <w:r>
        <w:rPr>
          <w:rFonts w:hint="eastAsia" w:eastAsia="方正仿宋_GBK"/>
          <w:color w:val="000000"/>
          <w:sz w:val="24"/>
        </w:rPr>
        <w:t>（二）人民政府批准同意后，正式启动临时接管应急预案；</w:t>
      </w:r>
    </w:p>
    <w:p>
      <w:pPr>
        <w:spacing w:line="460" w:lineRule="exact"/>
        <w:ind w:firstLine="480" w:firstLineChars="200"/>
        <w:rPr>
          <w:rFonts w:eastAsia="方正仿宋_GBK"/>
          <w:color w:val="000000"/>
          <w:sz w:val="24"/>
        </w:rPr>
      </w:pPr>
      <w:r>
        <w:rPr>
          <w:rFonts w:hint="eastAsia" w:eastAsia="方正仿宋_GBK"/>
          <w:color w:val="000000"/>
          <w:sz w:val="24"/>
        </w:rPr>
        <w:t>（三）临时接管机构向特许经营企业根据批准文件，进驻特许经营企业实施接管；</w:t>
      </w:r>
    </w:p>
    <w:p>
      <w:pPr>
        <w:spacing w:line="460" w:lineRule="exact"/>
        <w:ind w:firstLine="480" w:firstLineChars="200"/>
        <w:rPr>
          <w:rFonts w:eastAsia="方正仿宋_GBK"/>
          <w:color w:val="000000"/>
          <w:sz w:val="24"/>
        </w:rPr>
      </w:pPr>
      <w:r>
        <w:rPr>
          <w:rFonts w:hint="eastAsia" w:eastAsia="方正仿宋_GBK"/>
          <w:color w:val="000000"/>
          <w:sz w:val="24"/>
        </w:rPr>
        <w:t>（四）临时接管期间，建设部门负责组织正常生产，其他部门按预案分工协作；</w:t>
      </w:r>
    </w:p>
    <w:p>
      <w:pPr>
        <w:spacing w:line="460" w:lineRule="exact"/>
        <w:ind w:firstLine="480" w:firstLineChars="200"/>
        <w:rPr>
          <w:rFonts w:eastAsia="方正仿宋_GBK"/>
          <w:color w:val="000000"/>
          <w:sz w:val="24"/>
        </w:rPr>
      </w:pPr>
      <w:r>
        <w:rPr>
          <w:rFonts w:hint="eastAsia" w:eastAsia="方正仿宋_GBK"/>
          <w:color w:val="000000"/>
          <w:sz w:val="24"/>
        </w:rPr>
        <w:t>（五）在临时接管的同时，市政公用事业主管部门应与特许经营企业进行谈判，对同意及时整改、接受处罚、承担违约责任，并能挽回影响的，可以继续经营；对拒不整改、无能力恢复正常生产的，按法定程序终止特许经营协议，取消其特许经营权，重新招标择优选择后续特许经营者。</w:t>
      </w:r>
    </w:p>
    <w:p>
      <w:pPr>
        <w:spacing w:line="460" w:lineRule="exact"/>
        <w:ind w:firstLine="480" w:firstLineChars="200"/>
        <w:rPr>
          <w:rFonts w:eastAsia="方正仿宋_GBK"/>
          <w:color w:val="000000"/>
          <w:sz w:val="24"/>
        </w:rPr>
      </w:pPr>
      <w:r>
        <w:rPr>
          <w:rFonts w:hint="eastAsia" w:eastAsia="黑体"/>
          <w:color w:val="000000"/>
          <w:sz w:val="24"/>
        </w:rPr>
        <w:t>第七条</w:t>
      </w:r>
      <w:r>
        <w:rPr>
          <w:rFonts w:eastAsia="方正仿宋_GBK"/>
          <w:color w:val="000000"/>
          <w:sz w:val="24"/>
        </w:rPr>
        <w:t xml:space="preserve">  </w:t>
      </w:r>
      <w:r>
        <w:rPr>
          <w:rFonts w:hint="eastAsia" w:eastAsia="方正仿宋_GBK"/>
          <w:color w:val="000000"/>
          <w:sz w:val="24"/>
        </w:rPr>
        <w:t>接管机构应在人民政府和上级主管部门指导下，严格按预案组织运作，保障城市供应和员工队伍稳定。</w:t>
      </w:r>
    </w:p>
    <w:p>
      <w:pPr>
        <w:spacing w:line="460" w:lineRule="exact"/>
        <w:ind w:firstLine="480" w:firstLineChars="200"/>
        <w:rPr>
          <w:rFonts w:eastAsia="方正仿宋_GBK"/>
          <w:color w:val="000000"/>
          <w:sz w:val="24"/>
        </w:rPr>
      </w:pPr>
      <w:r>
        <w:rPr>
          <w:rFonts w:hint="eastAsia" w:eastAsia="黑体"/>
          <w:color w:val="000000"/>
          <w:sz w:val="24"/>
        </w:rPr>
        <w:t>第八条</w:t>
      </w:r>
      <w:r>
        <w:rPr>
          <w:rFonts w:eastAsia="方正仿宋_GBK"/>
          <w:color w:val="000000"/>
          <w:sz w:val="24"/>
        </w:rPr>
        <w:t xml:space="preserve">  </w:t>
      </w:r>
      <w:r>
        <w:rPr>
          <w:rFonts w:hint="eastAsia" w:eastAsia="方正仿宋_GBK"/>
          <w:color w:val="000000"/>
          <w:sz w:val="24"/>
        </w:rPr>
        <w:t>临时接管所发生的费用由被接管的城市市政公用事业经营企业承担，被接管企业拒不承担的，从特许经营权终止后的资产补偿费用中扣除。</w:t>
      </w:r>
    </w:p>
    <w:p>
      <w:pPr>
        <w:spacing w:line="460" w:lineRule="exact"/>
        <w:ind w:firstLine="480" w:firstLineChars="200"/>
        <w:rPr>
          <w:rFonts w:eastAsia="方正仿宋_GBK"/>
          <w:color w:val="000000"/>
          <w:sz w:val="24"/>
        </w:rPr>
      </w:pPr>
      <w:r>
        <w:rPr>
          <w:rFonts w:hint="eastAsia" w:eastAsia="黑体"/>
          <w:color w:val="000000"/>
          <w:sz w:val="24"/>
        </w:rPr>
        <w:t>第九条</w:t>
      </w:r>
      <w:r>
        <w:rPr>
          <w:rFonts w:eastAsia="方正仿宋_GBK"/>
          <w:color w:val="000000"/>
          <w:sz w:val="24"/>
        </w:rPr>
        <w:t xml:space="preserve">  </w:t>
      </w:r>
      <w:r>
        <w:rPr>
          <w:rFonts w:hint="eastAsia" w:eastAsia="方正仿宋_GBK"/>
          <w:color w:val="000000"/>
          <w:sz w:val="24"/>
        </w:rPr>
        <w:t>被临时接管并终止特许经营权的企业，未整改到位的，不得参加本省行政区域内其他公用事业特许经营项目的招投标。</w:t>
      </w:r>
    </w:p>
    <w:p>
      <w:pPr>
        <w:spacing w:line="460" w:lineRule="exact"/>
        <w:ind w:firstLine="480" w:firstLineChars="200"/>
        <w:rPr>
          <w:rFonts w:eastAsia="方正仿宋_GBK"/>
          <w:color w:val="000000"/>
          <w:sz w:val="24"/>
        </w:rPr>
      </w:pPr>
    </w:p>
    <w:p>
      <w:pPr>
        <w:spacing w:line="460" w:lineRule="exact"/>
        <w:ind w:right="640"/>
        <w:rPr>
          <w:rFonts w:eastAsia="黑体"/>
          <w:color w:val="000000"/>
          <w:sz w:val="28"/>
          <w:szCs w:val="28"/>
        </w:rPr>
      </w:pPr>
      <w:r>
        <w:rPr>
          <w:rFonts w:eastAsia="方正仿宋_GBK"/>
          <w:color w:val="000000"/>
          <w:sz w:val="24"/>
        </w:rPr>
        <w:br w:type="column"/>
      </w:r>
      <w:r>
        <w:rPr>
          <w:rFonts w:hint="eastAsia" w:eastAsia="黑体"/>
          <w:color w:val="000000"/>
          <w:sz w:val="28"/>
          <w:szCs w:val="28"/>
        </w:rPr>
        <w:t>附件</w:t>
      </w:r>
      <w:r>
        <w:rPr>
          <w:rFonts w:eastAsia="黑体"/>
          <w:color w:val="000000"/>
          <w:sz w:val="28"/>
          <w:szCs w:val="28"/>
        </w:rPr>
        <w:t>4</w:t>
      </w:r>
      <w:r>
        <w:rPr>
          <w:rFonts w:hint="eastAsia" w:eastAsia="黑体"/>
          <w:color w:val="000000"/>
          <w:sz w:val="28"/>
          <w:szCs w:val="28"/>
        </w:rPr>
        <w:t>：</w:t>
      </w:r>
    </w:p>
    <w:p>
      <w:pPr>
        <w:spacing w:line="460" w:lineRule="exact"/>
        <w:ind w:right="640" w:firstLine="480" w:firstLineChars="200"/>
        <w:rPr>
          <w:rFonts w:eastAsia="方正仿宋_GBK"/>
          <w:color w:val="000000"/>
          <w:sz w:val="24"/>
        </w:rPr>
      </w:pPr>
    </w:p>
    <w:p>
      <w:pPr>
        <w:spacing w:line="460" w:lineRule="exact"/>
        <w:jc w:val="center"/>
        <w:rPr>
          <w:rFonts w:eastAsia="方正小标宋简体"/>
          <w:color w:val="000000"/>
          <w:sz w:val="36"/>
          <w:szCs w:val="36"/>
        </w:rPr>
      </w:pPr>
      <w:r>
        <w:rPr>
          <w:rFonts w:hint="eastAsia" w:eastAsia="方正小标宋简体"/>
          <w:color w:val="000000"/>
          <w:sz w:val="36"/>
          <w:szCs w:val="36"/>
        </w:rPr>
        <w:t>江苏省城市市政公用事业特许经营市场退出制度</w:t>
      </w:r>
    </w:p>
    <w:p>
      <w:pPr>
        <w:spacing w:line="460" w:lineRule="exact"/>
        <w:ind w:firstLine="480" w:firstLineChars="200"/>
        <w:rPr>
          <w:rFonts w:eastAsia="方正仿宋_GBK"/>
          <w:color w:val="000000"/>
          <w:sz w:val="24"/>
        </w:rPr>
      </w:pPr>
    </w:p>
    <w:p>
      <w:pPr>
        <w:spacing w:line="460" w:lineRule="exact"/>
        <w:ind w:firstLine="480" w:firstLineChars="200"/>
        <w:rPr>
          <w:rFonts w:eastAsia="方正仿宋_GBK"/>
          <w:color w:val="000000"/>
          <w:sz w:val="24"/>
        </w:rPr>
      </w:pPr>
      <w:r>
        <w:rPr>
          <w:rFonts w:hint="eastAsia" w:eastAsia="黑体"/>
          <w:color w:val="000000"/>
          <w:sz w:val="24"/>
        </w:rPr>
        <w:t>第一条</w:t>
      </w:r>
      <w:r>
        <w:rPr>
          <w:rFonts w:eastAsia="方正仿宋_GBK"/>
          <w:color w:val="000000"/>
          <w:sz w:val="24"/>
        </w:rPr>
        <w:t xml:space="preserve">  </w:t>
      </w:r>
      <w:r>
        <w:rPr>
          <w:rFonts w:hint="eastAsia" w:eastAsia="方正仿宋_GBK"/>
          <w:color w:val="000000"/>
          <w:sz w:val="24"/>
        </w:rPr>
        <w:t>为了规范城市市政公用事业特许经营市场退出（以下简称市场退出）活动，保障社会公共利益和特许经营权人的合法权益，维护社会稳定，特制定本制度。</w:t>
      </w:r>
    </w:p>
    <w:p>
      <w:pPr>
        <w:spacing w:line="460" w:lineRule="exact"/>
        <w:ind w:firstLine="480" w:firstLineChars="200"/>
        <w:rPr>
          <w:rFonts w:eastAsia="方正仿宋_GBK"/>
          <w:color w:val="000000"/>
          <w:sz w:val="24"/>
        </w:rPr>
      </w:pPr>
      <w:r>
        <w:rPr>
          <w:rFonts w:hint="eastAsia" w:eastAsia="黑体"/>
          <w:color w:val="000000"/>
          <w:sz w:val="24"/>
        </w:rPr>
        <w:t>第二条</w:t>
      </w:r>
      <w:r>
        <w:rPr>
          <w:rFonts w:eastAsia="方正仿宋_GBK"/>
          <w:color w:val="000000"/>
          <w:sz w:val="24"/>
        </w:rPr>
        <w:t xml:space="preserve">  </w:t>
      </w:r>
      <w:r>
        <w:rPr>
          <w:rFonts w:hint="eastAsia" w:eastAsia="方正仿宋_GBK"/>
          <w:color w:val="000000"/>
          <w:sz w:val="24"/>
        </w:rPr>
        <w:t>全省行政区域内已实施市政公用市场化改革和已实施市政公用事业特许经营管理的城市供水、供气（管道燃气）、污水处理、垃圾处理等行业适用本制度。</w:t>
      </w:r>
    </w:p>
    <w:p>
      <w:pPr>
        <w:spacing w:line="460" w:lineRule="exact"/>
        <w:ind w:firstLine="480" w:firstLineChars="200"/>
        <w:rPr>
          <w:rFonts w:eastAsia="方正仿宋_GBK"/>
          <w:color w:val="000000"/>
          <w:sz w:val="24"/>
        </w:rPr>
      </w:pPr>
      <w:r>
        <w:rPr>
          <w:rFonts w:hint="eastAsia" w:eastAsia="黑体"/>
          <w:color w:val="000000"/>
          <w:sz w:val="24"/>
        </w:rPr>
        <w:t>第三条</w:t>
      </w:r>
      <w:r>
        <w:rPr>
          <w:rFonts w:eastAsia="方正仿宋_GBK"/>
          <w:color w:val="000000"/>
          <w:sz w:val="24"/>
        </w:rPr>
        <w:t xml:space="preserve">  </w:t>
      </w:r>
      <w:r>
        <w:rPr>
          <w:rFonts w:hint="eastAsia" w:eastAsia="方正仿宋_GBK"/>
          <w:color w:val="000000"/>
          <w:sz w:val="24"/>
        </w:rPr>
        <w:t>省建设行政主管部门负责全省行政区域内城市市政公用事业特许经营市场退出活动的指导和监督工作。</w:t>
      </w:r>
    </w:p>
    <w:p>
      <w:pPr>
        <w:spacing w:line="460" w:lineRule="exact"/>
        <w:ind w:firstLine="480" w:firstLineChars="200"/>
        <w:rPr>
          <w:rFonts w:eastAsia="方正仿宋_GBK"/>
          <w:color w:val="000000"/>
          <w:sz w:val="24"/>
        </w:rPr>
      </w:pPr>
      <w:r>
        <w:rPr>
          <w:rFonts w:hint="eastAsia" w:eastAsia="方正仿宋_GBK"/>
          <w:color w:val="000000"/>
          <w:sz w:val="24"/>
        </w:rPr>
        <w:t>市、县人民政府市政公用事业主管部门受本级人民政府的授权，具体负责实施本行政区域内城市市政公用事业特许经营市场退出活动。</w:t>
      </w:r>
    </w:p>
    <w:p>
      <w:pPr>
        <w:spacing w:line="460" w:lineRule="exact"/>
        <w:ind w:firstLine="480" w:firstLineChars="200"/>
        <w:rPr>
          <w:rFonts w:eastAsia="方正仿宋_GBK"/>
          <w:color w:val="000000"/>
          <w:sz w:val="24"/>
        </w:rPr>
      </w:pPr>
      <w:r>
        <w:rPr>
          <w:rFonts w:hint="eastAsia" w:eastAsia="黑体"/>
          <w:color w:val="000000"/>
          <w:sz w:val="24"/>
        </w:rPr>
        <w:t>第四条</w:t>
      </w:r>
      <w:r>
        <w:rPr>
          <w:rFonts w:eastAsia="方正仿宋_GBK"/>
          <w:color w:val="000000"/>
          <w:sz w:val="24"/>
        </w:rPr>
        <w:t xml:space="preserve">  </w:t>
      </w:r>
      <w:r>
        <w:rPr>
          <w:rFonts w:hint="eastAsia" w:eastAsia="方正仿宋_GBK"/>
          <w:color w:val="000000"/>
          <w:sz w:val="24"/>
        </w:rPr>
        <w:t>出现以下情况之一者，应按本制度规定退出：</w:t>
      </w:r>
    </w:p>
    <w:p>
      <w:pPr>
        <w:spacing w:line="460" w:lineRule="exact"/>
        <w:ind w:firstLine="480" w:firstLineChars="200"/>
        <w:rPr>
          <w:rFonts w:eastAsia="方正仿宋_GBK"/>
          <w:color w:val="000000"/>
          <w:sz w:val="24"/>
        </w:rPr>
      </w:pPr>
      <w:r>
        <w:rPr>
          <w:rFonts w:hint="eastAsia" w:eastAsia="方正仿宋_GBK"/>
          <w:color w:val="000000"/>
          <w:sz w:val="24"/>
        </w:rPr>
        <w:t>（一）特许经营期限届满，且未依法或依照特许经营协议提出延期申请；</w:t>
      </w:r>
    </w:p>
    <w:p>
      <w:pPr>
        <w:spacing w:line="460" w:lineRule="exact"/>
        <w:ind w:firstLine="480" w:firstLineChars="200"/>
        <w:rPr>
          <w:rFonts w:eastAsia="方正仿宋_GBK"/>
          <w:color w:val="000000"/>
          <w:sz w:val="24"/>
        </w:rPr>
      </w:pPr>
      <w:r>
        <w:rPr>
          <w:rFonts w:hint="eastAsia" w:eastAsia="方正仿宋_GBK"/>
          <w:color w:val="000000"/>
          <w:sz w:val="24"/>
        </w:rPr>
        <w:t>（二）特许经营协议签定双方就提前终止特许经营权达成协议；</w:t>
      </w:r>
    </w:p>
    <w:p>
      <w:pPr>
        <w:spacing w:line="460" w:lineRule="exact"/>
        <w:ind w:firstLine="480" w:firstLineChars="200"/>
        <w:rPr>
          <w:rFonts w:eastAsia="方正仿宋_GBK"/>
          <w:color w:val="000000"/>
          <w:sz w:val="24"/>
        </w:rPr>
      </w:pPr>
      <w:r>
        <w:rPr>
          <w:rFonts w:hint="eastAsia" w:eastAsia="方正仿宋_GBK"/>
          <w:color w:val="000000"/>
          <w:sz w:val="24"/>
        </w:rPr>
        <w:t>（三）特许经营企业被依法或依照特许经营协议提前终止特许经营权。</w:t>
      </w:r>
    </w:p>
    <w:p>
      <w:pPr>
        <w:spacing w:line="460" w:lineRule="exact"/>
        <w:ind w:firstLine="480" w:firstLineChars="200"/>
        <w:rPr>
          <w:rFonts w:eastAsia="方正仿宋_GBK"/>
          <w:color w:val="000000"/>
          <w:sz w:val="24"/>
        </w:rPr>
      </w:pPr>
      <w:r>
        <w:rPr>
          <w:rFonts w:hint="eastAsia" w:eastAsia="黑体"/>
          <w:color w:val="000000"/>
          <w:sz w:val="24"/>
        </w:rPr>
        <w:t>第五条</w:t>
      </w:r>
      <w:r>
        <w:rPr>
          <w:rFonts w:eastAsia="方正仿宋_GBK"/>
          <w:color w:val="000000"/>
          <w:sz w:val="24"/>
        </w:rPr>
        <w:t xml:space="preserve">  </w:t>
      </w:r>
      <w:r>
        <w:rPr>
          <w:rFonts w:hint="eastAsia" w:eastAsia="方正仿宋_GBK"/>
          <w:color w:val="000000"/>
          <w:sz w:val="24"/>
        </w:rPr>
        <w:t>因本制度第四条（一）项之情况需退出的，特许经营企业应于届满前</w:t>
      </w:r>
      <w:r>
        <w:rPr>
          <w:rFonts w:eastAsia="方正仿宋_GBK"/>
          <w:color w:val="000000"/>
          <w:sz w:val="24"/>
        </w:rPr>
        <w:t>2</w:t>
      </w:r>
      <w:r>
        <w:rPr>
          <w:rFonts w:hint="eastAsia" w:eastAsia="方正仿宋_GBK"/>
          <w:color w:val="000000"/>
          <w:sz w:val="24"/>
        </w:rPr>
        <w:t>年向市政公用事业主管部门提出申请，并提交下列材料：</w:t>
      </w:r>
    </w:p>
    <w:p>
      <w:pPr>
        <w:spacing w:line="460" w:lineRule="exact"/>
        <w:ind w:firstLine="480" w:firstLineChars="200"/>
        <w:rPr>
          <w:rFonts w:eastAsia="方正仿宋_GBK"/>
          <w:color w:val="000000"/>
          <w:sz w:val="24"/>
        </w:rPr>
      </w:pPr>
      <w:r>
        <w:rPr>
          <w:rFonts w:hint="eastAsia" w:eastAsia="方正仿宋_GBK"/>
          <w:color w:val="000000"/>
          <w:sz w:val="24"/>
        </w:rPr>
        <w:t>（一）申请理由；</w:t>
      </w:r>
    </w:p>
    <w:p>
      <w:pPr>
        <w:spacing w:line="460" w:lineRule="exact"/>
        <w:ind w:firstLine="480" w:firstLineChars="200"/>
        <w:rPr>
          <w:rFonts w:eastAsia="方正仿宋_GBK"/>
          <w:color w:val="000000"/>
          <w:sz w:val="24"/>
        </w:rPr>
      </w:pPr>
      <w:r>
        <w:rPr>
          <w:rFonts w:hint="eastAsia" w:eastAsia="方正仿宋_GBK"/>
          <w:color w:val="000000"/>
          <w:sz w:val="24"/>
        </w:rPr>
        <w:t>（二）资产交接清单；</w:t>
      </w:r>
    </w:p>
    <w:p>
      <w:pPr>
        <w:spacing w:line="460" w:lineRule="exact"/>
        <w:ind w:firstLine="480" w:firstLineChars="200"/>
        <w:rPr>
          <w:rFonts w:eastAsia="方正仿宋_GBK"/>
          <w:color w:val="000000"/>
          <w:sz w:val="24"/>
        </w:rPr>
      </w:pPr>
      <w:r>
        <w:rPr>
          <w:rFonts w:hint="eastAsia" w:eastAsia="方正仿宋_GBK"/>
          <w:color w:val="000000"/>
          <w:sz w:val="24"/>
        </w:rPr>
        <w:t>（三）资产处置方案及依据；</w:t>
      </w:r>
    </w:p>
    <w:p>
      <w:pPr>
        <w:spacing w:line="460" w:lineRule="exact"/>
        <w:ind w:firstLine="480" w:firstLineChars="200"/>
        <w:rPr>
          <w:rFonts w:eastAsia="方正仿宋_GBK"/>
          <w:color w:val="000000"/>
          <w:sz w:val="24"/>
        </w:rPr>
      </w:pPr>
      <w:r>
        <w:rPr>
          <w:rFonts w:hint="eastAsia" w:eastAsia="方正仿宋_GBK"/>
          <w:color w:val="000000"/>
          <w:sz w:val="24"/>
        </w:rPr>
        <w:t>（四）业务、技术、用户资料等档案；</w:t>
      </w:r>
    </w:p>
    <w:p>
      <w:pPr>
        <w:spacing w:line="460" w:lineRule="exact"/>
        <w:ind w:firstLine="480" w:firstLineChars="200"/>
        <w:rPr>
          <w:rFonts w:eastAsia="方正仿宋_GBK"/>
          <w:color w:val="000000"/>
          <w:sz w:val="24"/>
        </w:rPr>
      </w:pPr>
      <w:r>
        <w:rPr>
          <w:rFonts w:hint="eastAsia" w:eastAsia="方正仿宋_GBK"/>
          <w:color w:val="000000"/>
          <w:sz w:val="24"/>
        </w:rPr>
        <w:t>（五）员工征询意见；</w:t>
      </w:r>
    </w:p>
    <w:p>
      <w:pPr>
        <w:spacing w:line="460" w:lineRule="exact"/>
        <w:ind w:firstLine="480" w:firstLineChars="200"/>
        <w:rPr>
          <w:rFonts w:eastAsia="方正仿宋_GBK"/>
          <w:color w:val="000000"/>
          <w:sz w:val="24"/>
        </w:rPr>
      </w:pPr>
      <w:r>
        <w:rPr>
          <w:rFonts w:hint="eastAsia" w:eastAsia="方正仿宋_GBK"/>
          <w:color w:val="000000"/>
          <w:sz w:val="24"/>
        </w:rPr>
        <w:t>（六）业务交接方案。</w:t>
      </w:r>
    </w:p>
    <w:p>
      <w:pPr>
        <w:spacing w:line="460" w:lineRule="exact"/>
        <w:ind w:firstLine="480" w:firstLineChars="200"/>
        <w:rPr>
          <w:rFonts w:eastAsia="方正仿宋_GBK"/>
          <w:color w:val="000000"/>
          <w:sz w:val="24"/>
        </w:rPr>
      </w:pPr>
      <w:r>
        <w:rPr>
          <w:rFonts w:hint="eastAsia" w:eastAsia="方正仿宋_GBK"/>
          <w:color w:val="000000"/>
          <w:sz w:val="24"/>
        </w:rPr>
        <w:t>市政公用事业主管部门应于</w:t>
      </w:r>
      <w:r>
        <w:rPr>
          <w:rFonts w:eastAsia="方正仿宋_GBK"/>
          <w:color w:val="000000"/>
          <w:sz w:val="24"/>
        </w:rPr>
        <w:t>2</w:t>
      </w:r>
      <w:r>
        <w:rPr>
          <w:rFonts w:hint="eastAsia" w:eastAsia="方正仿宋_GBK"/>
          <w:color w:val="000000"/>
          <w:sz w:val="24"/>
        </w:rPr>
        <w:t>个月内与特许经营企业就是否延长特许经营期限形成共识；对决定不延长特许经营期的，应于</w:t>
      </w:r>
      <w:r>
        <w:rPr>
          <w:rFonts w:eastAsia="方正仿宋_GBK"/>
          <w:color w:val="000000"/>
          <w:sz w:val="24"/>
        </w:rPr>
        <w:t>6</w:t>
      </w:r>
      <w:r>
        <w:rPr>
          <w:rFonts w:hint="eastAsia" w:eastAsia="方正仿宋_GBK"/>
          <w:color w:val="000000"/>
          <w:sz w:val="24"/>
        </w:rPr>
        <w:t>个月内对特许经营企业的申报材料进行审查（包括委托中介机构对移交资产进行评估），并作出答复；答复后</w:t>
      </w:r>
      <w:r>
        <w:rPr>
          <w:rFonts w:eastAsia="方正仿宋_GBK"/>
          <w:color w:val="000000"/>
          <w:sz w:val="24"/>
        </w:rPr>
        <w:t>1</w:t>
      </w:r>
      <w:r>
        <w:rPr>
          <w:rFonts w:hint="eastAsia" w:eastAsia="方正仿宋_GBK"/>
          <w:color w:val="000000"/>
          <w:sz w:val="24"/>
        </w:rPr>
        <w:t>年内应依法重新进行招标择优选择后续特许经营者。</w:t>
      </w:r>
    </w:p>
    <w:p>
      <w:pPr>
        <w:spacing w:line="460" w:lineRule="exact"/>
        <w:ind w:firstLine="480" w:firstLineChars="200"/>
        <w:rPr>
          <w:rFonts w:eastAsia="方正仿宋_GBK"/>
          <w:color w:val="000000"/>
          <w:sz w:val="24"/>
        </w:rPr>
      </w:pPr>
      <w:r>
        <w:rPr>
          <w:rFonts w:hint="eastAsia" w:eastAsia="黑体"/>
          <w:color w:val="000000"/>
          <w:sz w:val="24"/>
        </w:rPr>
        <w:t>第六条</w:t>
      </w:r>
      <w:r>
        <w:rPr>
          <w:rFonts w:eastAsia="方正仿宋_GBK"/>
          <w:color w:val="000000"/>
          <w:sz w:val="24"/>
        </w:rPr>
        <w:t xml:space="preserve">  </w:t>
      </w:r>
      <w:r>
        <w:rPr>
          <w:rFonts w:hint="eastAsia" w:eastAsia="方正仿宋_GBK"/>
          <w:color w:val="000000"/>
          <w:sz w:val="24"/>
        </w:rPr>
        <w:t>因本制度第四条（二）项之情况需退出的，特许经营企业应在协定时间内向市政公用事业主管部门提交本制度第五条规定的（二）、（三）、（四）、（五）、（六）项材料。</w:t>
      </w:r>
    </w:p>
    <w:p>
      <w:pPr>
        <w:spacing w:line="460" w:lineRule="exact"/>
        <w:ind w:firstLine="480" w:firstLineChars="200"/>
        <w:rPr>
          <w:rFonts w:eastAsia="方正仿宋_GBK"/>
          <w:color w:val="000000"/>
          <w:sz w:val="24"/>
        </w:rPr>
      </w:pPr>
      <w:r>
        <w:rPr>
          <w:rFonts w:hint="eastAsia" w:eastAsia="方正仿宋_GBK"/>
          <w:color w:val="000000"/>
          <w:sz w:val="24"/>
        </w:rPr>
        <w:t>市政公用事业主管部门应在收到材料后的</w:t>
      </w:r>
      <w:r>
        <w:rPr>
          <w:rFonts w:eastAsia="方正仿宋_GBK"/>
          <w:color w:val="000000"/>
          <w:sz w:val="24"/>
        </w:rPr>
        <w:t>6</w:t>
      </w:r>
      <w:r>
        <w:rPr>
          <w:rFonts w:hint="eastAsia" w:eastAsia="方正仿宋_GBK"/>
          <w:color w:val="000000"/>
          <w:sz w:val="24"/>
        </w:rPr>
        <w:t>个月内完成审查（包括委托中介机构对移交资产进行评估），审查后</w:t>
      </w:r>
      <w:r>
        <w:rPr>
          <w:rFonts w:eastAsia="方正仿宋_GBK"/>
          <w:color w:val="000000"/>
          <w:sz w:val="24"/>
        </w:rPr>
        <w:t>1</w:t>
      </w:r>
      <w:r>
        <w:rPr>
          <w:rFonts w:hint="eastAsia" w:eastAsia="方正仿宋_GBK"/>
          <w:color w:val="000000"/>
          <w:sz w:val="24"/>
        </w:rPr>
        <w:t>年内应依法重新进行招标择优选择后续特许经营者。</w:t>
      </w:r>
    </w:p>
    <w:p>
      <w:pPr>
        <w:spacing w:line="460" w:lineRule="exact"/>
        <w:ind w:firstLine="480" w:firstLineChars="200"/>
        <w:rPr>
          <w:rFonts w:eastAsia="方正仿宋_GBK"/>
          <w:color w:val="000000"/>
          <w:sz w:val="24"/>
        </w:rPr>
      </w:pPr>
      <w:r>
        <w:rPr>
          <w:rFonts w:hint="eastAsia" w:eastAsia="黑体"/>
          <w:color w:val="000000"/>
          <w:sz w:val="24"/>
        </w:rPr>
        <w:t>第七条</w:t>
      </w:r>
      <w:r>
        <w:rPr>
          <w:rFonts w:eastAsia="方正仿宋_GBK"/>
          <w:color w:val="000000"/>
          <w:sz w:val="24"/>
        </w:rPr>
        <w:t xml:space="preserve">  </w:t>
      </w:r>
      <w:r>
        <w:rPr>
          <w:rFonts w:hint="eastAsia" w:eastAsia="方正仿宋_GBK"/>
          <w:color w:val="000000"/>
          <w:sz w:val="24"/>
        </w:rPr>
        <w:t>因本制度第四条（三）项之情况需退出的，市政公用事业主管部门应报本级政府批准后书面告知特许经营企业。</w:t>
      </w:r>
    </w:p>
    <w:p>
      <w:pPr>
        <w:spacing w:line="460" w:lineRule="exact"/>
        <w:ind w:firstLine="480" w:firstLineChars="200"/>
        <w:rPr>
          <w:rFonts w:eastAsia="方正仿宋_GBK"/>
          <w:color w:val="000000"/>
          <w:sz w:val="24"/>
        </w:rPr>
      </w:pPr>
      <w:r>
        <w:rPr>
          <w:rFonts w:hint="eastAsia" w:eastAsia="方正仿宋_GBK"/>
          <w:color w:val="000000"/>
          <w:sz w:val="24"/>
        </w:rPr>
        <w:t>特许经营企业应在被告知后的</w:t>
      </w:r>
      <w:r>
        <w:rPr>
          <w:rFonts w:eastAsia="方正仿宋_GBK"/>
          <w:color w:val="000000"/>
          <w:sz w:val="24"/>
        </w:rPr>
        <w:t>1</w:t>
      </w:r>
      <w:r>
        <w:rPr>
          <w:rFonts w:hint="eastAsia" w:eastAsia="方正仿宋_GBK"/>
          <w:color w:val="000000"/>
          <w:sz w:val="24"/>
        </w:rPr>
        <w:t>周内向市政公用事业主管部门提交本制度第五条规定的（二）、（三）、（四）、（五）、（六）项材料。</w:t>
      </w:r>
    </w:p>
    <w:p>
      <w:pPr>
        <w:spacing w:line="460" w:lineRule="exact"/>
        <w:ind w:firstLine="480" w:firstLineChars="200"/>
        <w:rPr>
          <w:rFonts w:eastAsia="方正仿宋_GBK"/>
          <w:color w:val="000000"/>
          <w:sz w:val="24"/>
        </w:rPr>
      </w:pPr>
      <w:r>
        <w:rPr>
          <w:rFonts w:hint="eastAsia" w:eastAsia="方正仿宋_GBK"/>
          <w:color w:val="000000"/>
          <w:sz w:val="24"/>
        </w:rPr>
        <w:t>市政公用事业主管部门应在收到材料后的</w:t>
      </w:r>
      <w:r>
        <w:rPr>
          <w:rFonts w:eastAsia="方正仿宋_GBK"/>
          <w:color w:val="000000"/>
          <w:sz w:val="24"/>
        </w:rPr>
        <w:t>6</w:t>
      </w:r>
      <w:r>
        <w:rPr>
          <w:rFonts w:hint="eastAsia" w:eastAsia="方正仿宋_GBK"/>
          <w:color w:val="000000"/>
          <w:sz w:val="24"/>
        </w:rPr>
        <w:t>个月内完成审查（包括委托中介机构对移交资产进行评估），审查后</w:t>
      </w:r>
      <w:r>
        <w:rPr>
          <w:rFonts w:eastAsia="方正仿宋_GBK"/>
          <w:color w:val="000000"/>
          <w:sz w:val="24"/>
        </w:rPr>
        <w:t>1</w:t>
      </w:r>
      <w:r>
        <w:rPr>
          <w:rFonts w:hint="eastAsia" w:eastAsia="方正仿宋_GBK"/>
          <w:color w:val="000000"/>
          <w:sz w:val="24"/>
        </w:rPr>
        <w:t>年内应依法重新进行招标择优选择后续特许经营者。</w:t>
      </w:r>
    </w:p>
    <w:p>
      <w:pPr>
        <w:spacing w:line="460" w:lineRule="exact"/>
        <w:ind w:firstLine="480" w:firstLineChars="200"/>
        <w:rPr>
          <w:rFonts w:eastAsia="方正仿宋_GBK"/>
          <w:color w:val="000000"/>
          <w:sz w:val="24"/>
        </w:rPr>
      </w:pPr>
      <w:r>
        <w:rPr>
          <w:rFonts w:hint="eastAsia" w:eastAsia="黑体"/>
          <w:color w:val="000000"/>
          <w:sz w:val="24"/>
        </w:rPr>
        <w:t>第八条</w:t>
      </w:r>
      <w:r>
        <w:rPr>
          <w:rFonts w:eastAsia="方正仿宋_GBK"/>
          <w:color w:val="000000"/>
          <w:sz w:val="24"/>
        </w:rPr>
        <w:t xml:space="preserve">  </w:t>
      </w:r>
      <w:r>
        <w:rPr>
          <w:rFonts w:hint="eastAsia" w:eastAsia="方正仿宋_GBK"/>
          <w:color w:val="000000"/>
          <w:sz w:val="24"/>
        </w:rPr>
        <w:t>市政公用事业主管部门应及时与特许经营企业签定协议，终止特许经营权，并报上级市政公用事业主管部门备案。</w:t>
      </w:r>
    </w:p>
    <w:p>
      <w:pPr>
        <w:spacing w:line="460" w:lineRule="exact"/>
        <w:ind w:firstLine="480" w:firstLineChars="200"/>
        <w:rPr>
          <w:rFonts w:eastAsia="方正仿宋_GBK"/>
          <w:color w:val="000000"/>
          <w:sz w:val="24"/>
        </w:rPr>
      </w:pPr>
      <w:r>
        <w:rPr>
          <w:rFonts w:hint="eastAsia" w:eastAsia="黑体"/>
          <w:color w:val="000000"/>
          <w:sz w:val="24"/>
        </w:rPr>
        <w:t>第九条</w:t>
      </w:r>
      <w:r>
        <w:rPr>
          <w:rFonts w:eastAsia="方正仿宋_GBK"/>
          <w:color w:val="000000"/>
          <w:sz w:val="24"/>
        </w:rPr>
        <w:t xml:space="preserve">  </w:t>
      </w:r>
      <w:r>
        <w:rPr>
          <w:rFonts w:hint="eastAsia" w:eastAsia="方正仿宋_GBK"/>
          <w:color w:val="000000"/>
          <w:sz w:val="24"/>
        </w:rPr>
        <w:t>特许经营权终止后，在市政公用事业主管部门或其指定的单位完成接管前，特许经营企业应按照市政公用事业主管部门的要求，善意履行看守职责，继续维持正常的经营服务。</w:t>
      </w:r>
    </w:p>
    <w:p>
      <w:pPr>
        <w:spacing w:line="460" w:lineRule="exact"/>
        <w:ind w:firstLine="480" w:firstLineChars="200"/>
        <w:rPr>
          <w:rFonts w:eastAsia="方正仿宋_GBK"/>
          <w:color w:val="000000"/>
          <w:sz w:val="24"/>
        </w:rPr>
      </w:pPr>
      <w:r>
        <w:rPr>
          <w:rFonts w:hint="eastAsia" w:eastAsia="黑体"/>
          <w:color w:val="000000"/>
          <w:sz w:val="24"/>
        </w:rPr>
        <w:t>第十条</w:t>
      </w:r>
      <w:r>
        <w:rPr>
          <w:rFonts w:eastAsia="方正仿宋_GBK"/>
          <w:color w:val="000000"/>
          <w:sz w:val="24"/>
        </w:rPr>
        <w:t xml:space="preserve">  </w:t>
      </w:r>
      <w:r>
        <w:rPr>
          <w:rFonts w:hint="eastAsia" w:eastAsia="方正仿宋_GBK"/>
          <w:color w:val="000000"/>
          <w:sz w:val="24"/>
        </w:rPr>
        <w:t>按本制度规定终止特许经营权的，市政公用事业主管部门应按照特许经营协议规定对特许经营企业移交的资产进行处置。</w:t>
      </w:r>
    </w:p>
    <w:p>
      <w:pPr>
        <w:spacing w:line="460" w:lineRule="exact"/>
        <w:ind w:right="640"/>
        <w:rPr>
          <w:rFonts w:eastAsia="黑体"/>
          <w:color w:val="000000"/>
          <w:sz w:val="28"/>
          <w:szCs w:val="28"/>
        </w:rPr>
      </w:pPr>
      <w:r>
        <w:rPr>
          <w:rFonts w:eastAsia="方正仿宋_GBK"/>
          <w:color w:val="000000"/>
          <w:sz w:val="24"/>
        </w:rPr>
        <w:br w:type="column"/>
      </w:r>
      <w:r>
        <w:rPr>
          <w:rFonts w:hint="eastAsia" w:eastAsia="黑体"/>
          <w:color w:val="000000"/>
          <w:sz w:val="28"/>
          <w:szCs w:val="28"/>
        </w:rPr>
        <w:t>附件</w:t>
      </w:r>
      <w:r>
        <w:rPr>
          <w:rFonts w:eastAsia="黑体"/>
          <w:color w:val="000000"/>
          <w:sz w:val="28"/>
          <w:szCs w:val="28"/>
        </w:rPr>
        <w:t>5</w:t>
      </w:r>
      <w:r>
        <w:rPr>
          <w:rFonts w:hint="eastAsia" w:eastAsia="黑体"/>
          <w:color w:val="000000"/>
          <w:sz w:val="28"/>
          <w:szCs w:val="28"/>
        </w:rPr>
        <w:t>：</w:t>
      </w:r>
    </w:p>
    <w:p>
      <w:pPr>
        <w:spacing w:line="460" w:lineRule="exact"/>
        <w:ind w:right="640" w:firstLine="480" w:firstLineChars="200"/>
        <w:rPr>
          <w:rFonts w:eastAsia="方正仿宋_GBK"/>
          <w:color w:val="000000"/>
          <w:sz w:val="24"/>
        </w:rPr>
      </w:pPr>
    </w:p>
    <w:p>
      <w:pPr>
        <w:spacing w:line="460" w:lineRule="exact"/>
        <w:jc w:val="center"/>
        <w:rPr>
          <w:rFonts w:eastAsia="方正小标宋简体"/>
          <w:color w:val="000000"/>
          <w:sz w:val="36"/>
          <w:szCs w:val="36"/>
        </w:rPr>
      </w:pPr>
      <w:r>
        <w:rPr>
          <w:rFonts w:hint="eastAsia" w:eastAsia="方正小标宋简体"/>
          <w:color w:val="000000"/>
          <w:sz w:val="36"/>
          <w:szCs w:val="36"/>
        </w:rPr>
        <w:t>江苏省城市市政公用事业履约保证制度</w:t>
      </w:r>
    </w:p>
    <w:p>
      <w:pPr>
        <w:snapToGrid w:val="0"/>
        <w:spacing w:line="460" w:lineRule="exact"/>
        <w:ind w:firstLine="480" w:firstLineChars="200"/>
        <w:rPr>
          <w:rFonts w:eastAsia="方正仿宋_GBK"/>
          <w:color w:val="000000"/>
          <w:sz w:val="24"/>
        </w:rPr>
      </w:pPr>
      <w:r>
        <w:rPr>
          <w:rFonts w:eastAsia="方正仿宋_GBK"/>
          <w:color w:val="000000"/>
          <w:sz w:val="24"/>
        </w:rPr>
        <w:t xml:space="preserve">  </w:t>
      </w:r>
    </w:p>
    <w:p>
      <w:pPr>
        <w:snapToGrid w:val="0"/>
        <w:spacing w:line="460" w:lineRule="exact"/>
        <w:ind w:firstLine="480" w:firstLineChars="200"/>
        <w:rPr>
          <w:rFonts w:eastAsia="方正仿宋_GBK"/>
          <w:color w:val="000000"/>
          <w:sz w:val="24"/>
        </w:rPr>
      </w:pPr>
      <w:r>
        <w:rPr>
          <w:rFonts w:hint="eastAsia" w:eastAsia="黑体"/>
          <w:color w:val="000000"/>
          <w:sz w:val="24"/>
        </w:rPr>
        <w:t>第一条</w:t>
      </w:r>
      <w:r>
        <w:rPr>
          <w:rFonts w:eastAsia="方正仿宋_GBK"/>
          <w:color w:val="000000"/>
          <w:sz w:val="24"/>
        </w:rPr>
        <w:t xml:space="preserve">  </w:t>
      </w:r>
      <w:r>
        <w:rPr>
          <w:rFonts w:hint="eastAsia" w:eastAsia="方正仿宋_GBK"/>
          <w:color w:val="000000"/>
          <w:sz w:val="24"/>
        </w:rPr>
        <w:t>为确保特许经营协议的有效执行，及时制止特许经营企业的违约行为，特制定本制度。</w:t>
      </w:r>
    </w:p>
    <w:p>
      <w:pPr>
        <w:snapToGrid w:val="0"/>
        <w:spacing w:line="460" w:lineRule="exact"/>
        <w:ind w:firstLine="480" w:firstLineChars="200"/>
        <w:rPr>
          <w:rFonts w:eastAsia="方正仿宋_GBK"/>
          <w:color w:val="000000"/>
          <w:sz w:val="24"/>
        </w:rPr>
      </w:pPr>
      <w:r>
        <w:rPr>
          <w:rFonts w:hint="eastAsia" w:eastAsia="黑体"/>
          <w:color w:val="000000"/>
          <w:sz w:val="24"/>
        </w:rPr>
        <w:t>第二条</w:t>
      </w:r>
      <w:r>
        <w:rPr>
          <w:rFonts w:eastAsia="方正仿宋_GBK"/>
          <w:color w:val="000000"/>
          <w:sz w:val="24"/>
        </w:rPr>
        <w:t xml:space="preserve">  </w:t>
      </w:r>
      <w:r>
        <w:rPr>
          <w:rFonts w:hint="eastAsia" w:eastAsia="方正仿宋_GBK"/>
          <w:color w:val="000000"/>
          <w:sz w:val="24"/>
        </w:rPr>
        <w:t>全省行政区域内已实施市政公用市场化改革和已实施市政公用事业特许经营管理的城市供水、供气（管道燃气）、污水处理、垃圾处理等行业适用本制度。</w:t>
      </w:r>
    </w:p>
    <w:p>
      <w:pPr>
        <w:snapToGrid w:val="0"/>
        <w:spacing w:line="460" w:lineRule="exact"/>
        <w:ind w:firstLine="480" w:firstLineChars="200"/>
        <w:rPr>
          <w:rFonts w:eastAsia="方正仿宋_GBK"/>
          <w:color w:val="000000"/>
          <w:sz w:val="24"/>
        </w:rPr>
      </w:pPr>
      <w:r>
        <w:rPr>
          <w:rFonts w:hint="eastAsia" w:eastAsia="黑体"/>
          <w:color w:val="000000"/>
          <w:sz w:val="24"/>
        </w:rPr>
        <w:t>第三条</w:t>
      </w:r>
      <w:r>
        <w:rPr>
          <w:rFonts w:eastAsia="方正仿宋_GBK"/>
          <w:color w:val="000000"/>
          <w:sz w:val="24"/>
        </w:rPr>
        <w:t xml:space="preserve">  </w:t>
      </w:r>
      <w:r>
        <w:rPr>
          <w:rFonts w:hint="eastAsia" w:eastAsia="方正仿宋_GBK"/>
          <w:color w:val="000000"/>
          <w:sz w:val="24"/>
        </w:rPr>
        <w:t>省建设行政主管部门负责全省行政区域内城市市政公用事业履约保证的指导和监督工作。</w:t>
      </w:r>
    </w:p>
    <w:p>
      <w:pPr>
        <w:snapToGrid w:val="0"/>
        <w:spacing w:line="460" w:lineRule="exact"/>
        <w:ind w:firstLine="480" w:firstLineChars="200"/>
        <w:rPr>
          <w:rFonts w:eastAsia="方正仿宋_GBK"/>
          <w:color w:val="000000"/>
          <w:sz w:val="24"/>
        </w:rPr>
      </w:pPr>
      <w:r>
        <w:rPr>
          <w:rFonts w:hint="eastAsia" w:eastAsia="方正仿宋_GBK"/>
          <w:color w:val="000000"/>
          <w:sz w:val="24"/>
        </w:rPr>
        <w:t>市、县人民政府市政公用事业主管部门受本级人民政府的授权具体负责本行政区域内市政公用事业履约保证制度的实施。</w:t>
      </w:r>
    </w:p>
    <w:p>
      <w:pPr>
        <w:snapToGrid w:val="0"/>
        <w:spacing w:line="460" w:lineRule="exact"/>
        <w:ind w:firstLine="480" w:firstLineChars="200"/>
        <w:rPr>
          <w:rFonts w:eastAsia="方正仿宋_GBK"/>
          <w:color w:val="000000"/>
          <w:sz w:val="24"/>
        </w:rPr>
      </w:pPr>
      <w:r>
        <w:rPr>
          <w:rFonts w:hint="eastAsia" w:eastAsia="黑体"/>
          <w:color w:val="000000"/>
          <w:sz w:val="24"/>
        </w:rPr>
        <w:t>第四条</w:t>
      </w:r>
      <w:r>
        <w:rPr>
          <w:rFonts w:eastAsia="方正仿宋_GBK"/>
          <w:color w:val="000000"/>
          <w:sz w:val="24"/>
        </w:rPr>
        <w:t xml:space="preserve">  </w:t>
      </w:r>
      <w:r>
        <w:rPr>
          <w:rFonts w:hint="eastAsia" w:eastAsia="方正仿宋_GBK"/>
          <w:color w:val="000000"/>
          <w:sz w:val="24"/>
        </w:rPr>
        <w:t>特许经营协议中应明确履约担保内容。履约担保形式包括提供履约保函或履约保证金。</w:t>
      </w:r>
    </w:p>
    <w:p>
      <w:pPr>
        <w:snapToGrid w:val="0"/>
        <w:spacing w:line="460" w:lineRule="exact"/>
        <w:ind w:firstLine="480" w:firstLineChars="200"/>
        <w:rPr>
          <w:rFonts w:eastAsia="方正仿宋_GBK"/>
          <w:color w:val="000000"/>
          <w:sz w:val="24"/>
        </w:rPr>
      </w:pPr>
      <w:r>
        <w:rPr>
          <w:rFonts w:hint="eastAsia" w:eastAsia="黑体"/>
          <w:color w:val="000000"/>
          <w:sz w:val="24"/>
        </w:rPr>
        <w:t>第五条</w:t>
      </w:r>
      <w:r>
        <w:rPr>
          <w:rFonts w:eastAsia="方正仿宋_GBK"/>
          <w:color w:val="000000"/>
          <w:sz w:val="24"/>
        </w:rPr>
        <w:t xml:space="preserve">  </w:t>
      </w:r>
      <w:r>
        <w:rPr>
          <w:rFonts w:hint="eastAsia" w:eastAsia="方正仿宋_GBK"/>
          <w:color w:val="000000"/>
          <w:sz w:val="24"/>
        </w:rPr>
        <w:t>履约保函或提供保证金的协议由市政公用事业主管部门和特许经营企业双方法定代表人或委托代理人负责签署，其内容包括：</w:t>
      </w:r>
    </w:p>
    <w:p>
      <w:pPr>
        <w:snapToGrid w:val="0"/>
        <w:spacing w:line="460" w:lineRule="exact"/>
        <w:ind w:firstLine="480" w:firstLineChars="200"/>
        <w:rPr>
          <w:rFonts w:eastAsia="方正仿宋_GBK"/>
          <w:color w:val="000000"/>
          <w:sz w:val="24"/>
        </w:rPr>
      </w:pPr>
      <w:r>
        <w:rPr>
          <w:rFonts w:hint="eastAsia" w:eastAsia="方正仿宋_GBK"/>
          <w:color w:val="000000"/>
          <w:sz w:val="24"/>
        </w:rPr>
        <w:t>（一）协议应明确保函或保证金的金额；</w:t>
      </w:r>
    </w:p>
    <w:p>
      <w:pPr>
        <w:snapToGrid w:val="0"/>
        <w:spacing w:line="460" w:lineRule="exact"/>
        <w:ind w:firstLine="480" w:firstLineChars="200"/>
        <w:rPr>
          <w:rFonts w:eastAsia="方正仿宋_GBK"/>
          <w:color w:val="000000"/>
          <w:sz w:val="24"/>
        </w:rPr>
      </w:pPr>
      <w:r>
        <w:rPr>
          <w:rFonts w:hint="eastAsia" w:eastAsia="方正仿宋_GBK"/>
          <w:color w:val="000000"/>
          <w:sz w:val="24"/>
        </w:rPr>
        <w:t>（二）协议应明确市政公用事业主管部门的权利；</w:t>
      </w:r>
    </w:p>
    <w:p>
      <w:pPr>
        <w:snapToGrid w:val="0"/>
        <w:spacing w:line="460" w:lineRule="exact"/>
        <w:ind w:firstLine="480" w:firstLineChars="200"/>
        <w:rPr>
          <w:rFonts w:eastAsia="方正仿宋_GBK"/>
          <w:color w:val="000000"/>
          <w:spacing w:val="-6"/>
          <w:sz w:val="24"/>
        </w:rPr>
      </w:pPr>
      <w:r>
        <w:rPr>
          <w:rFonts w:hint="eastAsia" w:eastAsia="方正仿宋_GBK"/>
          <w:color w:val="000000"/>
          <w:sz w:val="24"/>
        </w:rPr>
        <w:t>（三）</w:t>
      </w:r>
      <w:r>
        <w:rPr>
          <w:rFonts w:hint="eastAsia" w:eastAsia="方正仿宋_GBK"/>
          <w:color w:val="000000"/>
          <w:spacing w:val="-6"/>
          <w:sz w:val="24"/>
        </w:rPr>
        <w:t>协议应明确市政公用事业主管部门提取保函或保证金范围内索偿款的条件。</w:t>
      </w:r>
    </w:p>
    <w:p>
      <w:pPr>
        <w:snapToGrid w:val="0"/>
        <w:spacing w:line="460" w:lineRule="exact"/>
        <w:ind w:firstLine="480" w:firstLineChars="200"/>
        <w:rPr>
          <w:rFonts w:eastAsia="方正仿宋_GBK"/>
          <w:color w:val="000000"/>
          <w:sz w:val="24"/>
        </w:rPr>
      </w:pPr>
      <w:r>
        <w:rPr>
          <w:rFonts w:hint="eastAsia" w:eastAsia="黑体"/>
          <w:color w:val="000000"/>
          <w:sz w:val="24"/>
        </w:rPr>
        <w:t>第六条</w:t>
      </w:r>
      <w:r>
        <w:rPr>
          <w:rFonts w:eastAsia="方正仿宋_GBK"/>
          <w:color w:val="000000"/>
          <w:sz w:val="24"/>
        </w:rPr>
        <w:t xml:space="preserve">  </w:t>
      </w:r>
      <w:r>
        <w:rPr>
          <w:rFonts w:hint="eastAsia" w:eastAsia="方正仿宋_GBK"/>
          <w:color w:val="000000"/>
          <w:sz w:val="24"/>
        </w:rPr>
        <w:t>履约保证协议应当明确，当特许经营企业有下列行为发生时，市政公用事业主管部门可以从保证金中扣除违约金：</w:t>
      </w:r>
    </w:p>
    <w:p>
      <w:pPr>
        <w:snapToGrid w:val="0"/>
        <w:spacing w:line="460" w:lineRule="exact"/>
        <w:ind w:firstLine="480" w:firstLineChars="200"/>
        <w:rPr>
          <w:rFonts w:eastAsia="方正仿宋_GBK"/>
          <w:color w:val="000000"/>
          <w:sz w:val="24"/>
        </w:rPr>
      </w:pPr>
      <w:r>
        <w:rPr>
          <w:rFonts w:hint="eastAsia" w:eastAsia="方正仿宋_GBK"/>
          <w:color w:val="000000"/>
          <w:sz w:val="24"/>
        </w:rPr>
        <w:t>（一）擅自转让、出租、抵押特许经营权的；</w:t>
      </w:r>
    </w:p>
    <w:p>
      <w:pPr>
        <w:snapToGrid w:val="0"/>
        <w:spacing w:line="460" w:lineRule="exact"/>
        <w:ind w:firstLine="480" w:firstLineChars="200"/>
        <w:rPr>
          <w:rFonts w:eastAsia="方正仿宋_GBK"/>
          <w:color w:val="000000"/>
          <w:sz w:val="24"/>
        </w:rPr>
      </w:pPr>
      <w:r>
        <w:rPr>
          <w:rFonts w:hint="eastAsia" w:eastAsia="方正仿宋_GBK"/>
          <w:color w:val="000000"/>
          <w:sz w:val="24"/>
        </w:rPr>
        <w:t>（二）存在重大安全隐患且拒不整改的；</w:t>
      </w:r>
    </w:p>
    <w:p>
      <w:pPr>
        <w:snapToGrid w:val="0"/>
        <w:spacing w:line="460" w:lineRule="exact"/>
        <w:ind w:firstLine="480" w:firstLineChars="200"/>
        <w:rPr>
          <w:rFonts w:eastAsia="方正仿宋_GBK"/>
          <w:color w:val="000000"/>
          <w:sz w:val="24"/>
        </w:rPr>
      </w:pPr>
      <w:r>
        <w:rPr>
          <w:rFonts w:hint="eastAsia" w:eastAsia="方正仿宋_GBK"/>
          <w:color w:val="000000"/>
          <w:sz w:val="24"/>
        </w:rPr>
        <w:t>（三）因企业管理不善，导致不能正常生产和提供服务的；</w:t>
      </w:r>
    </w:p>
    <w:p>
      <w:pPr>
        <w:snapToGrid w:val="0"/>
        <w:spacing w:line="460" w:lineRule="exact"/>
        <w:ind w:firstLine="480" w:firstLineChars="200"/>
        <w:rPr>
          <w:rFonts w:eastAsia="方正仿宋_GBK"/>
          <w:color w:val="000000"/>
          <w:sz w:val="24"/>
        </w:rPr>
      </w:pPr>
      <w:r>
        <w:rPr>
          <w:rFonts w:hint="eastAsia" w:eastAsia="方正仿宋_GBK"/>
          <w:color w:val="000000"/>
          <w:sz w:val="24"/>
        </w:rPr>
        <w:t>（四）擅自停业、歇业，严重影响社会公共利益和安全的；</w:t>
      </w:r>
    </w:p>
    <w:p>
      <w:pPr>
        <w:snapToGrid w:val="0"/>
        <w:spacing w:line="460" w:lineRule="exact"/>
        <w:ind w:firstLine="480" w:firstLineChars="200"/>
        <w:rPr>
          <w:rFonts w:eastAsia="方正仿宋_GBK"/>
          <w:color w:val="000000"/>
          <w:sz w:val="24"/>
        </w:rPr>
      </w:pPr>
      <w:r>
        <w:rPr>
          <w:rFonts w:hint="eastAsia" w:eastAsia="方正仿宋_GBK"/>
          <w:color w:val="000000"/>
          <w:sz w:val="24"/>
        </w:rPr>
        <w:t>（五）未按特许经营协议要求保障正常运行的；</w:t>
      </w:r>
    </w:p>
    <w:p>
      <w:pPr>
        <w:snapToGrid w:val="0"/>
        <w:spacing w:line="460" w:lineRule="exact"/>
        <w:ind w:firstLine="480" w:firstLineChars="200"/>
        <w:rPr>
          <w:rFonts w:eastAsia="方正仿宋_GBK"/>
          <w:color w:val="000000"/>
          <w:sz w:val="24"/>
        </w:rPr>
      </w:pPr>
      <w:r>
        <w:rPr>
          <w:rFonts w:hint="eastAsia" w:eastAsia="方正仿宋_GBK"/>
          <w:color w:val="000000"/>
          <w:sz w:val="24"/>
        </w:rPr>
        <w:t>（六）未按特许经营协议要求进行设施的新建和改造的；</w:t>
      </w:r>
    </w:p>
    <w:p>
      <w:pPr>
        <w:snapToGrid w:val="0"/>
        <w:spacing w:line="460" w:lineRule="exact"/>
        <w:ind w:firstLine="480" w:firstLineChars="200"/>
        <w:rPr>
          <w:rFonts w:eastAsia="方正仿宋_GBK"/>
          <w:color w:val="000000"/>
          <w:sz w:val="24"/>
        </w:rPr>
      </w:pPr>
      <w:r>
        <w:rPr>
          <w:rFonts w:hint="eastAsia" w:eastAsia="方正仿宋_GBK"/>
          <w:color w:val="000000"/>
          <w:sz w:val="24"/>
        </w:rPr>
        <w:t>（七）未按特许经营协议要求的标准提供服务和产品质量的。</w:t>
      </w:r>
    </w:p>
    <w:p>
      <w:pPr>
        <w:spacing w:line="460" w:lineRule="exact"/>
        <w:ind w:right="640"/>
        <w:rPr>
          <w:rFonts w:eastAsia="黑体"/>
          <w:color w:val="000000"/>
          <w:sz w:val="28"/>
          <w:szCs w:val="28"/>
        </w:rPr>
      </w:pPr>
      <w:r>
        <w:rPr>
          <w:rFonts w:eastAsia="方正仿宋_GBK"/>
          <w:color w:val="000000"/>
          <w:sz w:val="24"/>
        </w:rPr>
        <w:br w:type="column"/>
      </w:r>
      <w:r>
        <w:rPr>
          <w:rFonts w:hint="eastAsia" w:eastAsia="黑体"/>
          <w:color w:val="000000"/>
          <w:sz w:val="28"/>
          <w:szCs w:val="28"/>
        </w:rPr>
        <w:t>附件</w:t>
      </w:r>
      <w:r>
        <w:rPr>
          <w:rFonts w:eastAsia="黑体"/>
          <w:color w:val="000000"/>
          <w:sz w:val="28"/>
          <w:szCs w:val="28"/>
        </w:rPr>
        <w:t>6</w:t>
      </w:r>
      <w:r>
        <w:rPr>
          <w:rFonts w:hint="eastAsia" w:eastAsia="黑体"/>
          <w:color w:val="000000"/>
          <w:sz w:val="28"/>
          <w:szCs w:val="28"/>
        </w:rPr>
        <w:t>：</w:t>
      </w:r>
    </w:p>
    <w:p>
      <w:pPr>
        <w:spacing w:line="460" w:lineRule="exact"/>
        <w:ind w:right="640" w:firstLine="480" w:firstLineChars="200"/>
        <w:rPr>
          <w:rFonts w:eastAsia="方正仿宋_GBK"/>
          <w:color w:val="000000"/>
          <w:sz w:val="24"/>
        </w:rPr>
      </w:pPr>
    </w:p>
    <w:p>
      <w:pPr>
        <w:spacing w:line="460" w:lineRule="exact"/>
        <w:jc w:val="center"/>
        <w:rPr>
          <w:rFonts w:eastAsia="方正小标宋简体"/>
          <w:color w:val="000000"/>
          <w:sz w:val="36"/>
          <w:szCs w:val="36"/>
        </w:rPr>
      </w:pPr>
      <w:r>
        <w:rPr>
          <w:rFonts w:hint="eastAsia" w:eastAsia="方正小标宋简体"/>
          <w:color w:val="000000"/>
          <w:sz w:val="36"/>
          <w:szCs w:val="36"/>
        </w:rPr>
        <w:t>江苏省城市市政公用事业经营成本监管制度</w:t>
      </w:r>
    </w:p>
    <w:p>
      <w:pPr>
        <w:autoSpaceDE w:val="0"/>
        <w:autoSpaceDN w:val="0"/>
        <w:spacing w:line="460" w:lineRule="exact"/>
        <w:ind w:firstLine="480" w:firstLineChars="200"/>
        <w:rPr>
          <w:rFonts w:eastAsia="方正仿宋_GBK"/>
          <w:color w:val="000000"/>
          <w:sz w:val="24"/>
        </w:rPr>
      </w:pPr>
    </w:p>
    <w:p>
      <w:pPr>
        <w:autoSpaceDE w:val="0"/>
        <w:autoSpaceDN w:val="0"/>
        <w:spacing w:line="460" w:lineRule="exact"/>
        <w:ind w:firstLine="480" w:firstLineChars="200"/>
        <w:rPr>
          <w:rFonts w:eastAsia="方正仿宋_GBK"/>
          <w:color w:val="000000"/>
          <w:sz w:val="24"/>
        </w:rPr>
      </w:pPr>
      <w:r>
        <w:rPr>
          <w:rFonts w:hint="eastAsia" w:eastAsia="黑体"/>
          <w:color w:val="000000"/>
          <w:sz w:val="24"/>
        </w:rPr>
        <w:t>第一条</w:t>
      </w:r>
      <w:r>
        <w:rPr>
          <w:rFonts w:eastAsia="方正仿宋_GBK"/>
          <w:color w:val="000000"/>
          <w:sz w:val="24"/>
        </w:rPr>
        <w:t xml:space="preserve">  </w:t>
      </w:r>
      <w:r>
        <w:rPr>
          <w:rFonts w:hint="eastAsia" w:eastAsia="方正仿宋_GBK"/>
          <w:color w:val="000000"/>
          <w:sz w:val="24"/>
        </w:rPr>
        <w:t>为了维护社会公众利益和公共安全，有效履行政府行政管理与监督职责，合理确定市政公用行业产品和服务成本，为市政公用产品和服务价格调整或费用支付提供依据，特制定本制度。</w:t>
      </w:r>
    </w:p>
    <w:p>
      <w:pPr>
        <w:autoSpaceDE w:val="0"/>
        <w:autoSpaceDN w:val="0"/>
        <w:spacing w:line="460" w:lineRule="exact"/>
        <w:ind w:firstLine="480" w:firstLineChars="200"/>
        <w:rPr>
          <w:rFonts w:eastAsia="方正仿宋_GBK"/>
          <w:color w:val="000000"/>
          <w:sz w:val="24"/>
        </w:rPr>
      </w:pPr>
      <w:r>
        <w:rPr>
          <w:rFonts w:hint="eastAsia" w:eastAsia="黑体"/>
          <w:color w:val="000000"/>
          <w:sz w:val="24"/>
        </w:rPr>
        <w:t>第二条</w:t>
      </w:r>
      <w:r>
        <w:rPr>
          <w:rFonts w:eastAsia="方正仿宋_GBK"/>
          <w:color w:val="000000"/>
          <w:sz w:val="24"/>
        </w:rPr>
        <w:t xml:space="preserve">  </w:t>
      </w:r>
      <w:r>
        <w:rPr>
          <w:rFonts w:hint="eastAsia" w:eastAsia="方正仿宋_GBK"/>
          <w:color w:val="000000"/>
          <w:sz w:val="24"/>
        </w:rPr>
        <w:t>全省行政区域内已实施市政公用市场化改革和已实施市政公用事业特许经营管理的城市供水、供气（管道燃气）、污水处理、垃圾处理等行业适用本制度。</w:t>
      </w:r>
    </w:p>
    <w:p>
      <w:pPr>
        <w:autoSpaceDE w:val="0"/>
        <w:autoSpaceDN w:val="0"/>
        <w:spacing w:line="460" w:lineRule="exact"/>
        <w:ind w:firstLine="480" w:firstLineChars="200"/>
        <w:rPr>
          <w:rFonts w:eastAsia="方正仿宋_GBK"/>
          <w:color w:val="000000"/>
          <w:sz w:val="24"/>
        </w:rPr>
      </w:pPr>
      <w:r>
        <w:rPr>
          <w:rFonts w:hint="eastAsia" w:eastAsia="黑体"/>
          <w:color w:val="000000"/>
          <w:sz w:val="24"/>
        </w:rPr>
        <w:t>第三条</w:t>
      </w:r>
      <w:r>
        <w:rPr>
          <w:rFonts w:eastAsia="方正仿宋_GBK"/>
          <w:color w:val="000000"/>
          <w:sz w:val="24"/>
        </w:rPr>
        <w:t xml:space="preserve">  </w:t>
      </w:r>
      <w:r>
        <w:rPr>
          <w:rFonts w:hint="eastAsia" w:eastAsia="方正仿宋_GBK"/>
          <w:color w:val="000000"/>
          <w:sz w:val="24"/>
        </w:rPr>
        <w:t>省建设行政主管部门负责全省行政区域内城市市政公用事业经营成本监管的指导和监督工作。</w:t>
      </w:r>
    </w:p>
    <w:p>
      <w:pPr>
        <w:autoSpaceDE w:val="0"/>
        <w:autoSpaceDN w:val="0"/>
        <w:spacing w:line="460" w:lineRule="exact"/>
        <w:ind w:firstLine="480" w:firstLineChars="200"/>
        <w:rPr>
          <w:rFonts w:eastAsia="方正仿宋_GBK"/>
          <w:color w:val="000000"/>
          <w:sz w:val="24"/>
        </w:rPr>
      </w:pPr>
      <w:r>
        <w:rPr>
          <w:rFonts w:hint="eastAsia" w:eastAsia="方正仿宋_GBK"/>
          <w:color w:val="000000"/>
          <w:sz w:val="24"/>
        </w:rPr>
        <w:t>市、县人民政府市政公用事业主管部门受本级人民政府授权具体负责实施本行政区域内城市市政公用事业的经营成本的监管工作。</w:t>
      </w:r>
    </w:p>
    <w:p>
      <w:pPr>
        <w:autoSpaceDE w:val="0"/>
        <w:autoSpaceDN w:val="0"/>
        <w:spacing w:line="460" w:lineRule="exact"/>
        <w:ind w:firstLine="480" w:firstLineChars="200"/>
        <w:rPr>
          <w:rFonts w:eastAsia="方正仿宋_GBK"/>
          <w:color w:val="000000"/>
          <w:sz w:val="24"/>
        </w:rPr>
      </w:pPr>
      <w:r>
        <w:rPr>
          <w:rFonts w:hint="eastAsia" w:eastAsia="黑体"/>
          <w:color w:val="000000"/>
          <w:sz w:val="24"/>
        </w:rPr>
        <w:t>第四条</w:t>
      </w:r>
      <w:r>
        <w:rPr>
          <w:rFonts w:eastAsia="方正仿宋_GBK"/>
          <w:color w:val="000000"/>
          <w:sz w:val="24"/>
        </w:rPr>
        <w:t xml:space="preserve">  </w:t>
      </w:r>
      <w:r>
        <w:rPr>
          <w:rFonts w:hint="eastAsia" w:eastAsia="方正仿宋_GBK"/>
          <w:color w:val="000000"/>
          <w:sz w:val="24"/>
        </w:rPr>
        <w:t>各级市政公用事业主管部门应当履行法定职责，负责监督和审查市政公用企业产品（服务）成本的构成内涵；负责配合处理违反市政公用产品（服务）价格管理的事件。</w:t>
      </w:r>
    </w:p>
    <w:p>
      <w:pPr>
        <w:autoSpaceDE w:val="0"/>
        <w:autoSpaceDN w:val="0"/>
        <w:spacing w:line="460" w:lineRule="exact"/>
        <w:ind w:firstLine="480" w:firstLineChars="200"/>
        <w:rPr>
          <w:rFonts w:eastAsia="方正仿宋_GBK"/>
          <w:color w:val="000000"/>
          <w:sz w:val="24"/>
        </w:rPr>
      </w:pPr>
      <w:r>
        <w:rPr>
          <w:rFonts w:hint="eastAsia" w:eastAsia="黑体"/>
          <w:color w:val="000000"/>
          <w:sz w:val="24"/>
        </w:rPr>
        <w:t>第五条</w:t>
      </w:r>
      <w:r>
        <w:rPr>
          <w:rFonts w:eastAsia="方正仿宋_GBK"/>
          <w:color w:val="000000"/>
          <w:sz w:val="24"/>
        </w:rPr>
        <w:t xml:space="preserve">  </w:t>
      </w:r>
      <w:r>
        <w:rPr>
          <w:rFonts w:hint="eastAsia" w:eastAsia="方正仿宋_GBK"/>
          <w:color w:val="000000"/>
          <w:sz w:val="24"/>
        </w:rPr>
        <w:t>各级市政公用事业主管部门应依照国家财政主管部门颁发的《企业财务通则》和《企业会计准则》等有关规定，结合中期评估，组织相关人员，定期或不定期地监测（抽查）和督导市政公用企业的产品</w:t>
      </w:r>
      <w:r>
        <w:rPr>
          <w:rFonts w:eastAsia="方正仿宋_GBK"/>
          <w:color w:val="000000"/>
          <w:sz w:val="24"/>
        </w:rPr>
        <w:t>(</w:t>
      </w:r>
      <w:r>
        <w:rPr>
          <w:rFonts w:hint="eastAsia" w:eastAsia="方正仿宋_GBK"/>
          <w:color w:val="000000"/>
          <w:sz w:val="24"/>
        </w:rPr>
        <w:t>服务</w:t>
      </w:r>
      <w:r>
        <w:rPr>
          <w:rFonts w:eastAsia="方正仿宋_GBK"/>
          <w:color w:val="000000"/>
          <w:sz w:val="24"/>
        </w:rPr>
        <w:t>)</w:t>
      </w:r>
      <w:r>
        <w:rPr>
          <w:rFonts w:hint="eastAsia" w:eastAsia="方正仿宋_GBK"/>
          <w:color w:val="000000"/>
          <w:sz w:val="24"/>
        </w:rPr>
        <w:t>成本，其内容为：</w:t>
      </w:r>
    </w:p>
    <w:p>
      <w:pPr>
        <w:autoSpaceDE w:val="0"/>
        <w:autoSpaceDN w:val="0"/>
        <w:spacing w:line="460" w:lineRule="exact"/>
        <w:ind w:firstLine="480" w:firstLineChars="200"/>
        <w:rPr>
          <w:rFonts w:eastAsia="方正仿宋_GBK"/>
          <w:color w:val="000000"/>
          <w:sz w:val="24"/>
        </w:rPr>
      </w:pPr>
      <w:r>
        <w:rPr>
          <w:rFonts w:hint="eastAsia" w:eastAsia="方正仿宋_GBK"/>
          <w:color w:val="000000"/>
          <w:sz w:val="24"/>
        </w:rPr>
        <w:t>（一）城市供水成本包含供水生产过程中发生的原水费、电费、净化消毒材料费、资产折旧费、修理费、直接工资、水质检测、监测费、输水、配水等环节的合理水损及其他应计入供水成本的直接费用。</w:t>
      </w:r>
      <w:r>
        <w:rPr>
          <w:rFonts w:eastAsia="方正仿宋_GBK"/>
          <w:color w:val="000000"/>
          <w:sz w:val="24"/>
        </w:rPr>
        <w:t xml:space="preserve"> </w:t>
      </w:r>
      <w:r>
        <w:rPr>
          <w:rFonts w:hint="eastAsia" w:eastAsia="方正仿宋_GBK"/>
          <w:color w:val="000000"/>
          <w:sz w:val="24"/>
        </w:rPr>
        <w:t>费用包含组织和管理供水生产经营所发生的销售费用、管理费用和财务费用。</w:t>
      </w:r>
    </w:p>
    <w:p>
      <w:pPr>
        <w:autoSpaceDE w:val="0"/>
        <w:autoSpaceDN w:val="0"/>
        <w:spacing w:line="460" w:lineRule="exact"/>
        <w:ind w:firstLine="480" w:firstLineChars="200"/>
        <w:rPr>
          <w:rFonts w:eastAsia="方正仿宋_GBK"/>
          <w:color w:val="000000"/>
          <w:sz w:val="24"/>
        </w:rPr>
      </w:pPr>
      <w:r>
        <w:rPr>
          <w:rFonts w:hint="eastAsia" w:eastAsia="方正仿宋_GBK"/>
          <w:color w:val="000000"/>
          <w:sz w:val="24"/>
        </w:rPr>
        <w:t>（二）城市供气（管道燃气）成本包含供气生产过程中发生的购气费、电费、原材料费、资产折旧费、修理费、直接工资、气质检测、监测费、输配环节的合理气损及其他应计入供气成本的直接费用。</w:t>
      </w:r>
      <w:r>
        <w:rPr>
          <w:rFonts w:eastAsia="方正仿宋_GBK"/>
          <w:color w:val="000000"/>
          <w:sz w:val="24"/>
        </w:rPr>
        <w:t xml:space="preserve"> </w:t>
      </w:r>
      <w:r>
        <w:rPr>
          <w:rFonts w:hint="eastAsia" w:eastAsia="方正仿宋_GBK"/>
          <w:color w:val="000000"/>
          <w:sz w:val="24"/>
        </w:rPr>
        <w:t>费用包含组织和管理供气生产经营所发生的销售费用、管理费用和财务费用。</w:t>
      </w:r>
    </w:p>
    <w:p>
      <w:pPr>
        <w:autoSpaceDE w:val="0"/>
        <w:autoSpaceDN w:val="0"/>
        <w:spacing w:line="460" w:lineRule="exact"/>
        <w:ind w:firstLine="480" w:firstLineChars="200"/>
        <w:rPr>
          <w:rFonts w:eastAsia="方正仿宋_GBK"/>
          <w:color w:val="000000"/>
          <w:sz w:val="24"/>
        </w:rPr>
      </w:pPr>
      <w:r>
        <w:rPr>
          <w:rFonts w:hint="eastAsia" w:eastAsia="方正仿宋_GBK"/>
          <w:color w:val="000000"/>
          <w:sz w:val="24"/>
        </w:rPr>
        <w:t>（三）污水处理成本包含污水处理厂的运行维护成本，包含污水处理生产过程中电费、净化消毒材料费、资产折旧费、修理费、直接工资、水质检测、监测费、及其他应计入水处理成本的直接费用。</w:t>
      </w:r>
      <w:r>
        <w:rPr>
          <w:rFonts w:eastAsia="方正仿宋_GBK"/>
          <w:color w:val="000000"/>
          <w:sz w:val="24"/>
        </w:rPr>
        <w:t xml:space="preserve"> </w:t>
      </w:r>
      <w:r>
        <w:rPr>
          <w:rFonts w:hint="eastAsia" w:eastAsia="方正仿宋_GBK"/>
          <w:color w:val="000000"/>
          <w:sz w:val="24"/>
        </w:rPr>
        <w:t>费用包含组织和管理污水处理所发生的销售费用、管理费用和财务费用。</w:t>
      </w:r>
    </w:p>
    <w:p>
      <w:pPr>
        <w:autoSpaceDE w:val="0"/>
        <w:autoSpaceDN w:val="0"/>
        <w:spacing w:line="460" w:lineRule="exact"/>
        <w:ind w:firstLine="480" w:firstLineChars="200"/>
        <w:rPr>
          <w:rFonts w:eastAsia="方正仿宋_GBK"/>
          <w:color w:val="000000"/>
          <w:sz w:val="24"/>
        </w:rPr>
      </w:pPr>
      <w:r>
        <w:rPr>
          <w:rFonts w:hint="eastAsia" w:eastAsia="方正仿宋_GBK"/>
          <w:color w:val="000000"/>
          <w:sz w:val="24"/>
        </w:rPr>
        <w:t>（四）垃圾处理成本包括运输费、工具费、材料费、动力费、维修费、资产折旧费、人工工资及福利费和税金等。</w:t>
      </w:r>
    </w:p>
    <w:p>
      <w:pPr>
        <w:autoSpaceDE w:val="0"/>
        <w:autoSpaceDN w:val="0"/>
        <w:spacing w:line="460" w:lineRule="exact"/>
        <w:ind w:firstLine="480" w:firstLineChars="200"/>
        <w:rPr>
          <w:rFonts w:eastAsia="方正仿宋_GBK"/>
          <w:color w:val="000000"/>
          <w:sz w:val="24"/>
        </w:rPr>
      </w:pPr>
      <w:r>
        <w:rPr>
          <w:rFonts w:hint="eastAsia" w:eastAsia="黑体"/>
          <w:color w:val="000000"/>
          <w:sz w:val="24"/>
        </w:rPr>
        <w:t>第六条</w:t>
      </w:r>
      <w:r>
        <w:rPr>
          <w:rFonts w:eastAsia="方正仿宋_GBK"/>
          <w:color w:val="000000"/>
          <w:sz w:val="24"/>
        </w:rPr>
        <w:t xml:space="preserve">  </w:t>
      </w:r>
      <w:r>
        <w:rPr>
          <w:rFonts w:hint="eastAsia" w:eastAsia="方正仿宋_GBK"/>
          <w:color w:val="000000"/>
          <w:sz w:val="24"/>
        </w:rPr>
        <w:t>各级市政公用事业主管部门负责公用产品（服务）成本的日常监管，其程序为：</w:t>
      </w:r>
    </w:p>
    <w:p>
      <w:pPr>
        <w:autoSpaceDE w:val="0"/>
        <w:autoSpaceDN w:val="0"/>
        <w:spacing w:line="460" w:lineRule="exact"/>
        <w:ind w:firstLine="480" w:firstLineChars="200"/>
        <w:rPr>
          <w:rFonts w:eastAsia="方正仿宋_GBK"/>
          <w:color w:val="000000"/>
          <w:sz w:val="24"/>
        </w:rPr>
      </w:pPr>
      <w:r>
        <w:rPr>
          <w:rFonts w:hint="eastAsia" w:eastAsia="方正仿宋_GBK"/>
          <w:color w:val="000000"/>
          <w:sz w:val="24"/>
        </w:rPr>
        <w:t>（一）完善相关作业定额和标准；</w:t>
      </w:r>
    </w:p>
    <w:p>
      <w:pPr>
        <w:autoSpaceDE w:val="0"/>
        <w:autoSpaceDN w:val="0"/>
        <w:spacing w:line="460" w:lineRule="exact"/>
        <w:ind w:firstLine="480" w:firstLineChars="200"/>
        <w:rPr>
          <w:rFonts w:eastAsia="方正仿宋_GBK"/>
          <w:color w:val="000000"/>
          <w:sz w:val="24"/>
        </w:rPr>
      </w:pPr>
      <w:r>
        <w:rPr>
          <w:rFonts w:hint="eastAsia" w:eastAsia="方正仿宋_GBK"/>
          <w:color w:val="000000"/>
          <w:sz w:val="24"/>
        </w:rPr>
        <w:t>（二）加强成本监测工作，监督企业如实申报有关生产经营情况；成本构成、价格变化情况；进行区域同行业成本比较；</w:t>
      </w:r>
    </w:p>
    <w:p>
      <w:pPr>
        <w:autoSpaceDE w:val="0"/>
        <w:autoSpaceDN w:val="0"/>
        <w:spacing w:line="460" w:lineRule="exact"/>
        <w:ind w:firstLine="480" w:firstLineChars="200"/>
        <w:rPr>
          <w:rFonts w:eastAsia="方正仿宋_GBK"/>
          <w:color w:val="000000"/>
          <w:sz w:val="24"/>
        </w:rPr>
      </w:pPr>
      <w:r>
        <w:rPr>
          <w:rFonts w:hint="eastAsia" w:eastAsia="方正仿宋_GBK"/>
          <w:color w:val="000000"/>
          <w:sz w:val="24"/>
        </w:rPr>
        <w:t>（三）进行绩效评价、及时掌握企业经营成本状况，定期公布经营状况和成本信息；</w:t>
      </w:r>
    </w:p>
    <w:p>
      <w:pPr>
        <w:autoSpaceDE w:val="0"/>
        <w:autoSpaceDN w:val="0"/>
        <w:spacing w:line="460" w:lineRule="exact"/>
        <w:ind w:firstLine="480" w:firstLineChars="200"/>
        <w:rPr>
          <w:rFonts w:eastAsia="方正仿宋_GBK"/>
          <w:color w:val="000000"/>
          <w:sz w:val="24"/>
        </w:rPr>
      </w:pPr>
      <w:r>
        <w:rPr>
          <w:rFonts w:hint="eastAsia" w:eastAsia="方正仿宋_GBK"/>
          <w:color w:val="000000"/>
          <w:sz w:val="24"/>
        </w:rPr>
        <w:t>（四）建立服务成本定期监审制度，健全成本约束机制，激励经营者改进技术、开源节流、降低成本。</w:t>
      </w:r>
    </w:p>
    <w:p>
      <w:pPr>
        <w:autoSpaceDE w:val="0"/>
        <w:autoSpaceDN w:val="0"/>
        <w:spacing w:line="460" w:lineRule="exact"/>
        <w:ind w:firstLine="480" w:firstLineChars="200"/>
        <w:rPr>
          <w:rFonts w:eastAsia="方正仿宋_GBK"/>
          <w:color w:val="000000"/>
          <w:sz w:val="24"/>
        </w:rPr>
      </w:pPr>
      <w:r>
        <w:rPr>
          <w:rFonts w:hint="eastAsia" w:eastAsia="黑体"/>
          <w:color w:val="000000"/>
          <w:sz w:val="24"/>
        </w:rPr>
        <w:t>第七条</w:t>
      </w:r>
      <w:r>
        <w:rPr>
          <w:rFonts w:eastAsia="方正仿宋_GBK"/>
          <w:color w:val="000000"/>
          <w:sz w:val="24"/>
        </w:rPr>
        <w:t xml:space="preserve">  </w:t>
      </w:r>
      <w:r>
        <w:rPr>
          <w:rFonts w:hint="eastAsia" w:eastAsia="方正仿宋_GBK"/>
          <w:color w:val="000000"/>
          <w:sz w:val="24"/>
        </w:rPr>
        <w:t>市政公用事业主管部门依照国家相关的法律法规、标准规范，监管市政公用行业、企业的产品（服务）成本。</w:t>
      </w:r>
    </w:p>
    <w:p>
      <w:pPr>
        <w:autoSpaceDE w:val="0"/>
        <w:autoSpaceDN w:val="0"/>
        <w:spacing w:line="460" w:lineRule="exact"/>
        <w:ind w:firstLine="480" w:firstLineChars="200"/>
        <w:rPr>
          <w:rFonts w:eastAsia="方正仿宋_GBK"/>
          <w:color w:val="000000"/>
          <w:sz w:val="24"/>
        </w:rPr>
      </w:pPr>
      <w:r>
        <w:rPr>
          <w:rFonts w:hint="eastAsia" w:eastAsia="黑体"/>
          <w:color w:val="000000"/>
          <w:sz w:val="24"/>
        </w:rPr>
        <w:t>第八条</w:t>
      </w:r>
      <w:r>
        <w:rPr>
          <w:rFonts w:eastAsia="方正仿宋_GBK"/>
          <w:color w:val="000000"/>
          <w:sz w:val="24"/>
        </w:rPr>
        <w:t xml:space="preserve">  </w:t>
      </w:r>
      <w:r>
        <w:rPr>
          <w:rFonts w:hint="eastAsia" w:eastAsia="方正仿宋_GBK"/>
          <w:color w:val="000000"/>
          <w:sz w:val="24"/>
        </w:rPr>
        <w:t>建立日常监管检查考核制度。监管部门组织定期与不定期的作业成本抽查。内容包括处理量、消耗、投入量、产出量；现场检查是否规范、达标；处理设施设备是否完好、运营正常；生产运营记录台帐、环境监测报告是否属实、齐全。定期检查为每半年考核一次，及年终综合考核。</w:t>
      </w:r>
    </w:p>
    <w:p>
      <w:pPr>
        <w:autoSpaceDE w:val="0"/>
        <w:autoSpaceDN w:val="0"/>
        <w:spacing w:line="460" w:lineRule="exact"/>
        <w:ind w:firstLine="480" w:firstLineChars="200"/>
        <w:rPr>
          <w:rFonts w:eastAsia="方正仿宋_GBK"/>
          <w:color w:val="000000"/>
          <w:sz w:val="24"/>
        </w:rPr>
      </w:pPr>
      <w:r>
        <w:rPr>
          <w:rFonts w:hint="eastAsia" w:eastAsia="方正仿宋_GBK"/>
          <w:color w:val="000000"/>
          <w:sz w:val="24"/>
        </w:rPr>
        <w:t>市政公用事业主管部门通过制度审查、企业管理和成本信息审查、监测抽查运行成本、派遣人员驻场监管、公布成本信息等方式监管。</w:t>
      </w:r>
    </w:p>
    <w:p>
      <w:pPr>
        <w:autoSpaceDE w:val="0"/>
        <w:autoSpaceDN w:val="0"/>
        <w:spacing w:line="460" w:lineRule="exact"/>
        <w:ind w:firstLine="480" w:firstLineChars="200"/>
        <w:rPr>
          <w:rFonts w:eastAsia="方正仿宋_GBK"/>
          <w:color w:val="000000"/>
          <w:sz w:val="24"/>
        </w:rPr>
      </w:pPr>
      <w:r>
        <w:rPr>
          <w:rFonts w:hint="eastAsia" w:eastAsia="黑体"/>
          <w:color w:val="000000"/>
          <w:sz w:val="24"/>
        </w:rPr>
        <w:t>第九条</w:t>
      </w:r>
      <w:r>
        <w:rPr>
          <w:rFonts w:eastAsia="方正仿宋_GBK"/>
          <w:color w:val="000000"/>
          <w:sz w:val="24"/>
        </w:rPr>
        <w:t xml:space="preserve">  </w:t>
      </w:r>
      <w:r>
        <w:rPr>
          <w:rFonts w:hint="eastAsia" w:eastAsia="方正仿宋_GBK"/>
          <w:color w:val="000000"/>
          <w:sz w:val="24"/>
        </w:rPr>
        <w:t>各级市政公用事业主管部门可以根据特许经营协议，经检查发现市政公用企业谎报实际运行数据以及制造虚假数据，应当责令其限期整改；经检查发现公用企业产品（服务）成本严重失实的，可以从履约保证金中扣除违约金。</w:t>
      </w:r>
    </w:p>
    <w:p>
      <w:pPr>
        <w:spacing w:line="460" w:lineRule="exact"/>
        <w:ind w:right="640"/>
        <w:rPr>
          <w:rFonts w:eastAsia="黑体"/>
          <w:color w:val="000000"/>
          <w:sz w:val="28"/>
          <w:szCs w:val="28"/>
        </w:rPr>
      </w:pPr>
      <w:r>
        <w:rPr>
          <w:rFonts w:eastAsia="方正仿宋_GBK"/>
          <w:color w:val="000000"/>
          <w:sz w:val="24"/>
        </w:rPr>
        <w:br w:type="column"/>
      </w:r>
      <w:r>
        <w:rPr>
          <w:rFonts w:hint="eastAsia" w:eastAsia="黑体"/>
          <w:color w:val="000000"/>
          <w:sz w:val="28"/>
          <w:szCs w:val="28"/>
        </w:rPr>
        <w:t>附件</w:t>
      </w:r>
      <w:r>
        <w:rPr>
          <w:rFonts w:eastAsia="黑体"/>
          <w:color w:val="000000"/>
          <w:sz w:val="28"/>
          <w:szCs w:val="28"/>
        </w:rPr>
        <w:t>7</w:t>
      </w:r>
      <w:r>
        <w:rPr>
          <w:rFonts w:hint="eastAsia" w:eastAsia="黑体"/>
          <w:color w:val="000000"/>
          <w:sz w:val="28"/>
          <w:szCs w:val="28"/>
        </w:rPr>
        <w:t>：</w:t>
      </w:r>
    </w:p>
    <w:p>
      <w:pPr>
        <w:spacing w:line="460" w:lineRule="exact"/>
        <w:ind w:right="640" w:firstLine="480" w:firstLineChars="200"/>
        <w:rPr>
          <w:rFonts w:eastAsia="方正仿宋_GBK"/>
          <w:color w:val="000000"/>
          <w:sz w:val="24"/>
        </w:rPr>
      </w:pPr>
    </w:p>
    <w:p>
      <w:pPr>
        <w:spacing w:line="460" w:lineRule="exact"/>
        <w:jc w:val="center"/>
        <w:rPr>
          <w:rFonts w:eastAsia="方正小标宋简体"/>
          <w:color w:val="000000"/>
          <w:sz w:val="36"/>
          <w:szCs w:val="36"/>
        </w:rPr>
      </w:pPr>
      <w:r>
        <w:rPr>
          <w:rFonts w:hint="eastAsia" w:eastAsia="方正小标宋简体"/>
          <w:color w:val="000000"/>
          <w:sz w:val="36"/>
          <w:szCs w:val="36"/>
        </w:rPr>
        <w:t>江苏省城市市政公用事业产品和服务质量监管制度</w:t>
      </w:r>
    </w:p>
    <w:p>
      <w:pPr>
        <w:autoSpaceDE w:val="0"/>
        <w:autoSpaceDN w:val="0"/>
        <w:spacing w:line="460" w:lineRule="exact"/>
        <w:ind w:firstLine="480" w:firstLineChars="200"/>
        <w:rPr>
          <w:rFonts w:eastAsia="方正仿宋_GBK"/>
          <w:color w:val="000000"/>
          <w:sz w:val="24"/>
        </w:rPr>
      </w:pPr>
    </w:p>
    <w:p>
      <w:pPr>
        <w:autoSpaceDE w:val="0"/>
        <w:autoSpaceDN w:val="0"/>
        <w:spacing w:line="460" w:lineRule="exact"/>
        <w:ind w:firstLine="480" w:firstLineChars="200"/>
        <w:rPr>
          <w:rFonts w:eastAsia="方正仿宋_GBK"/>
          <w:color w:val="000000"/>
          <w:sz w:val="24"/>
        </w:rPr>
      </w:pPr>
      <w:r>
        <w:rPr>
          <w:rFonts w:hint="eastAsia" w:eastAsia="黑体"/>
          <w:color w:val="000000"/>
          <w:sz w:val="24"/>
        </w:rPr>
        <w:t>第一条</w:t>
      </w:r>
      <w:r>
        <w:rPr>
          <w:rFonts w:eastAsia="方正仿宋_GBK"/>
          <w:color w:val="000000"/>
          <w:sz w:val="24"/>
        </w:rPr>
        <w:t xml:space="preserve">  </w:t>
      </w:r>
      <w:r>
        <w:rPr>
          <w:rFonts w:hint="eastAsia" w:eastAsia="方正仿宋_GBK"/>
          <w:color w:val="000000"/>
          <w:sz w:val="24"/>
        </w:rPr>
        <w:t>为了维护社会公众利益和公共安全，有效履行政府行政管理与监督职责，确保市政公用行业产品和服务质量，特制定本制度。</w:t>
      </w:r>
      <w:r>
        <w:rPr>
          <w:rFonts w:eastAsia="方正仿宋_GBK"/>
          <w:color w:val="000000"/>
          <w:sz w:val="24"/>
        </w:rPr>
        <w:t xml:space="preserve"> </w:t>
      </w:r>
    </w:p>
    <w:p>
      <w:pPr>
        <w:snapToGrid w:val="0"/>
        <w:spacing w:line="460" w:lineRule="exact"/>
        <w:ind w:firstLine="480" w:firstLineChars="200"/>
        <w:rPr>
          <w:rFonts w:eastAsia="方正仿宋_GBK"/>
          <w:color w:val="000000"/>
          <w:sz w:val="24"/>
        </w:rPr>
      </w:pPr>
      <w:r>
        <w:rPr>
          <w:rFonts w:hint="eastAsia" w:eastAsia="黑体"/>
          <w:color w:val="000000"/>
          <w:sz w:val="24"/>
        </w:rPr>
        <w:t>第二条</w:t>
      </w:r>
      <w:r>
        <w:rPr>
          <w:rFonts w:eastAsia="方正仿宋_GBK"/>
          <w:color w:val="000000"/>
          <w:sz w:val="24"/>
        </w:rPr>
        <w:t xml:space="preserve">  </w:t>
      </w:r>
      <w:r>
        <w:rPr>
          <w:rFonts w:hint="eastAsia" w:eastAsia="方正仿宋_GBK"/>
          <w:color w:val="000000"/>
          <w:sz w:val="24"/>
        </w:rPr>
        <w:t>全省行政区域内已实施市政公用市场化改革和已实施市政公用事业特许经营管理的城市供水、供气（管道燃气）、污水处理、垃圾处理等行业适用本制度。</w:t>
      </w:r>
    </w:p>
    <w:p>
      <w:pPr>
        <w:autoSpaceDE w:val="0"/>
        <w:autoSpaceDN w:val="0"/>
        <w:spacing w:line="460" w:lineRule="exact"/>
        <w:ind w:firstLine="480" w:firstLineChars="200"/>
        <w:rPr>
          <w:rFonts w:eastAsia="方正仿宋_GBK"/>
          <w:color w:val="000000"/>
          <w:sz w:val="24"/>
        </w:rPr>
      </w:pPr>
      <w:r>
        <w:rPr>
          <w:rFonts w:hint="eastAsia" w:eastAsia="黑体"/>
          <w:color w:val="000000"/>
          <w:sz w:val="24"/>
        </w:rPr>
        <w:t>第三条</w:t>
      </w:r>
      <w:r>
        <w:rPr>
          <w:rFonts w:eastAsia="方正仿宋_GBK"/>
          <w:color w:val="000000"/>
          <w:sz w:val="24"/>
        </w:rPr>
        <w:t xml:space="preserve">  </w:t>
      </w:r>
      <w:r>
        <w:rPr>
          <w:rFonts w:hint="eastAsia" w:eastAsia="方正仿宋_GBK"/>
          <w:color w:val="000000"/>
          <w:sz w:val="24"/>
        </w:rPr>
        <w:t>省建设行政主管部门负责全省行政区域内城市市政公用事业产品和服务质量监管的指导和监督工作。</w:t>
      </w:r>
    </w:p>
    <w:p>
      <w:pPr>
        <w:autoSpaceDE w:val="0"/>
        <w:autoSpaceDN w:val="0"/>
        <w:spacing w:line="460" w:lineRule="exact"/>
        <w:ind w:firstLine="480" w:firstLineChars="200"/>
        <w:rPr>
          <w:rFonts w:eastAsia="方正仿宋_GBK"/>
          <w:color w:val="000000"/>
          <w:sz w:val="24"/>
        </w:rPr>
      </w:pPr>
      <w:r>
        <w:rPr>
          <w:rFonts w:hint="eastAsia" w:eastAsia="方正仿宋_GBK"/>
          <w:color w:val="000000"/>
          <w:sz w:val="24"/>
        </w:rPr>
        <w:t>市、县人民政府市政公用事业主管部门受本级人民政府的授权具体负责实施本行政区域内城市市政公用事业的产品和服务质量的监管工作。</w:t>
      </w:r>
    </w:p>
    <w:p>
      <w:pPr>
        <w:autoSpaceDE w:val="0"/>
        <w:autoSpaceDN w:val="0"/>
        <w:spacing w:line="460" w:lineRule="exact"/>
        <w:ind w:firstLine="480" w:firstLineChars="200"/>
        <w:rPr>
          <w:rFonts w:eastAsia="方正仿宋_GBK"/>
          <w:color w:val="000000"/>
          <w:sz w:val="24"/>
        </w:rPr>
      </w:pPr>
      <w:r>
        <w:rPr>
          <w:rFonts w:hint="eastAsia" w:eastAsia="黑体"/>
          <w:color w:val="000000"/>
          <w:sz w:val="24"/>
        </w:rPr>
        <w:t>第四条</w:t>
      </w:r>
      <w:r>
        <w:rPr>
          <w:rFonts w:eastAsia="方正仿宋_GBK"/>
          <w:color w:val="000000"/>
          <w:sz w:val="24"/>
        </w:rPr>
        <w:t xml:space="preserve">  </w:t>
      </w:r>
      <w:r>
        <w:rPr>
          <w:rFonts w:hint="eastAsia" w:eastAsia="方正仿宋_GBK"/>
          <w:color w:val="000000"/>
          <w:sz w:val="24"/>
        </w:rPr>
        <w:t>各级市政公用事业主管部门应负责监测和督查市政公用企业的产品质量，负责督查市政公用企业的服务质量；负责行业监管信息发布工作；负责处理违反市政公用事业产品质量和服务质量的事件。</w:t>
      </w:r>
    </w:p>
    <w:p>
      <w:pPr>
        <w:autoSpaceDE w:val="0"/>
        <w:autoSpaceDN w:val="0"/>
        <w:spacing w:line="460" w:lineRule="exact"/>
        <w:ind w:firstLine="480" w:firstLineChars="200"/>
        <w:rPr>
          <w:rFonts w:eastAsia="方正仿宋_GBK"/>
          <w:color w:val="000000"/>
          <w:sz w:val="24"/>
        </w:rPr>
      </w:pPr>
      <w:r>
        <w:rPr>
          <w:rFonts w:hint="eastAsia" w:eastAsia="黑体"/>
          <w:color w:val="000000"/>
          <w:sz w:val="24"/>
        </w:rPr>
        <w:t>第五条</w:t>
      </w:r>
      <w:r>
        <w:rPr>
          <w:rFonts w:eastAsia="方正仿宋_GBK"/>
          <w:color w:val="000000"/>
          <w:sz w:val="24"/>
        </w:rPr>
        <w:t xml:space="preserve">  </w:t>
      </w:r>
      <w:r>
        <w:rPr>
          <w:rFonts w:hint="eastAsia" w:eastAsia="方正仿宋_GBK"/>
          <w:color w:val="000000"/>
          <w:sz w:val="24"/>
        </w:rPr>
        <w:t>各级市政公用事业主管部门依照相关法律法规和国家、省有关市政公用行业服务质量标准的规定，定期或不定期地监测（抽查）和督查市政公用企业的产品质量和服务质量，其内容为：</w:t>
      </w:r>
    </w:p>
    <w:p>
      <w:pPr>
        <w:autoSpaceDE w:val="0"/>
        <w:autoSpaceDN w:val="0"/>
        <w:spacing w:line="460" w:lineRule="exact"/>
        <w:ind w:firstLine="480" w:firstLineChars="200"/>
        <w:rPr>
          <w:rFonts w:eastAsia="方正仿宋_GBK"/>
          <w:color w:val="000000"/>
          <w:sz w:val="24"/>
        </w:rPr>
      </w:pPr>
      <w:r>
        <w:rPr>
          <w:rFonts w:hint="eastAsia" w:eastAsia="方正仿宋_GBK"/>
          <w:color w:val="000000"/>
          <w:sz w:val="24"/>
        </w:rPr>
        <w:t>供水企业：水源和管网水质、管网水压、销售与服务网点分布、销售量及构成情况、执行供水价格及公用事业服务价格情况、安全生产情况、抢修及时率、抄表准确率、管网漏损率、配合实施专项规划、执行《城镇供水厂运行、维护及安全技术规程》等规程情况等；</w:t>
      </w:r>
    </w:p>
    <w:p>
      <w:pPr>
        <w:autoSpaceDE w:val="0"/>
        <w:autoSpaceDN w:val="0"/>
        <w:spacing w:line="460" w:lineRule="exact"/>
        <w:ind w:firstLine="480" w:firstLineChars="200"/>
        <w:rPr>
          <w:rFonts w:eastAsia="方正仿宋_GBK"/>
          <w:color w:val="000000"/>
          <w:sz w:val="24"/>
        </w:rPr>
      </w:pPr>
      <w:r>
        <w:rPr>
          <w:rFonts w:hint="eastAsia" w:eastAsia="方正仿宋_GBK"/>
          <w:color w:val="000000"/>
          <w:sz w:val="24"/>
        </w:rPr>
        <w:t>供气（管道燃气）企业：管网气质、民用户灶前压力、销售与服务网点分布、执行燃气价格及公用事业服务价格情况、安全生产情况、抢修及时率、抄表准确率、管网漏损率、配合实施专项规划、执行《城镇燃气设施运行、维护和抢修安全技术规程》等规程情况等；</w:t>
      </w:r>
    </w:p>
    <w:p>
      <w:pPr>
        <w:autoSpaceDE w:val="0"/>
        <w:autoSpaceDN w:val="0"/>
        <w:spacing w:line="460" w:lineRule="exact"/>
        <w:ind w:firstLine="480" w:firstLineChars="200"/>
        <w:rPr>
          <w:rFonts w:eastAsia="方正仿宋_GBK"/>
          <w:color w:val="000000"/>
          <w:sz w:val="24"/>
        </w:rPr>
      </w:pPr>
      <w:r>
        <w:rPr>
          <w:rFonts w:hint="eastAsia" w:eastAsia="方正仿宋_GBK"/>
          <w:color w:val="000000"/>
          <w:sz w:val="24"/>
        </w:rPr>
        <w:t>污水处理企业：进厂出厂水质、进厂出厂水量、出厂污泥质量数量、污泥处置情况、执行水处理服务费情况、安全生产情况、配合实施专项规划、执行《城镇污水处理厂运行、维护及其安全技术规程》、《城镇排水管渠与泵站维护技术规程》等规程情况等；</w:t>
      </w:r>
    </w:p>
    <w:p>
      <w:pPr>
        <w:autoSpaceDE w:val="0"/>
        <w:autoSpaceDN w:val="0"/>
        <w:spacing w:line="460" w:lineRule="exact"/>
        <w:ind w:firstLine="480" w:firstLineChars="200"/>
        <w:rPr>
          <w:rFonts w:eastAsia="方正仿宋_GBK"/>
          <w:color w:val="000000"/>
          <w:sz w:val="24"/>
        </w:rPr>
      </w:pPr>
      <w:r>
        <w:rPr>
          <w:rFonts w:hint="eastAsia" w:eastAsia="方正仿宋_GBK"/>
          <w:color w:val="000000"/>
          <w:sz w:val="24"/>
        </w:rPr>
        <w:t>垃圾处理企业：进厂垃圾量和特征、焚烧厂出厂灰渣和烟气排放情况、执行垃圾处理收费情况、渗沥液处理排放情况、环境监测情况、安全生产情况、配合实施专项规划、执行《生活垃圾卫生填埋技术规范》、《城市生活垃圾卫生填埋场运行维护技术规程》、《生活垃圾焚烧处理工程技术规范》等规程情况等；</w:t>
      </w:r>
    </w:p>
    <w:p>
      <w:pPr>
        <w:autoSpaceDE w:val="0"/>
        <w:autoSpaceDN w:val="0"/>
        <w:spacing w:line="460" w:lineRule="exact"/>
        <w:ind w:firstLine="480" w:firstLineChars="200"/>
        <w:rPr>
          <w:rFonts w:eastAsia="方正仿宋_GBK"/>
          <w:color w:val="000000"/>
          <w:sz w:val="24"/>
        </w:rPr>
      </w:pPr>
      <w:r>
        <w:rPr>
          <w:rFonts w:hint="eastAsia" w:eastAsia="黑体"/>
          <w:color w:val="000000"/>
          <w:sz w:val="24"/>
        </w:rPr>
        <w:t>第六条</w:t>
      </w:r>
      <w:r>
        <w:rPr>
          <w:rFonts w:eastAsia="方正仿宋_GBK"/>
          <w:color w:val="000000"/>
          <w:sz w:val="24"/>
        </w:rPr>
        <w:t xml:space="preserve">  </w:t>
      </w:r>
      <w:r>
        <w:rPr>
          <w:rFonts w:hint="eastAsia" w:eastAsia="方正仿宋_GBK"/>
          <w:color w:val="000000"/>
          <w:sz w:val="24"/>
        </w:rPr>
        <w:t>各级市政公用事业主管部门负责市政公用企业产品质量和服务质量的日常监管，其程序为：</w:t>
      </w:r>
    </w:p>
    <w:p>
      <w:pPr>
        <w:autoSpaceDE w:val="0"/>
        <w:autoSpaceDN w:val="0"/>
        <w:spacing w:line="460" w:lineRule="exact"/>
        <w:ind w:firstLine="480" w:firstLineChars="200"/>
        <w:rPr>
          <w:rFonts w:eastAsia="方正仿宋_GBK"/>
          <w:color w:val="000000"/>
          <w:sz w:val="24"/>
        </w:rPr>
      </w:pPr>
      <w:r>
        <w:rPr>
          <w:rFonts w:hint="eastAsia" w:eastAsia="方正仿宋_GBK"/>
          <w:color w:val="000000"/>
          <w:sz w:val="24"/>
        </w:rPr>
        <w:t>（一）与市政公用企业签订特许经营协议，并按协议进行考核；没有签订特许经营协议的，按有关规定签订责任考核状；</w:t>
      </w:r>
    </w:p>
    <w:p>
      <w:pPr>
        <w:autoSpaceDE w:val="0"/>
        <w:autoSpaceDN w:val="0"/>
        <w:spacing w:line="460" w:lineRule="exact"/>
        <w:ind w:firstLine="480" w:firstLineChars="200"/>
        <w:rPr>
          <w:rFonts w:eastAsia="方正仿宋_GBK"/>
          <w:color w:val="000000"/>
          <w:sz w:val="24"/>
        </w:rPr>
      </w:pPr>
      <w:r>
        <w:rPr>
          <w:rFonts w:hint="eastAsia" w:eastAsia="方正仿宋_GBK"/>
          <w:color w:val="000000"/>
          <w:sz w:val="24"/>
        </w:rPr>
        <w:t>（二）审查市政公用企业拟订的《作业标准》、《现场管理制度》是否符合国家相关的法律法规、标准规范，是否符合项目审批部门的审批意见，并监督其实施；</w:t>
      </w:r>
    </w:p>
    <w:p>
      <w:pPr>
        <w:autoSpaceDE w:val="0"/>
        <w:autoSpaceDN w:val="0"/>
        <w:spacing w:line="460" w:lineRule="exact"/>
        <w:ind w:firstLine="480" w:firstLineChars="200"/>
        <w:rPr>
          <w:rFonts w:eastAsia="方正仿宋_GBK"/>
          <w:color w:val="000000"/>
          <w:sz w:val="24"/>
        </w:rPr>
      </w:pPr>
      <w:r>
        <w:rPr>
          <w:rFonts w:hint="eastAsia" w:eastAsia="方正仿宋_GBK"/>
          <w:color w:val="000000"/>
          <w:sz w:val="24"/>
        </w:rPr>
        <w:t>（三）审查市政公用企业拟订的《安全生产制度》及实施方案是否符合国家相关的法律法规、标准规范，是否结合本企业实际，是否符合项目审批部门的审批意见，并监督其实施；</w:t>
      </w:r>
    </w:p>
    <w:p>
      <w:pPr>
        <w:autoSpaceDE w:val="0"/>
        <w:autoSpaceDN w:val="0"/>
        <w:spacing w:line="460" w:lineRule="exact"/>
        <w:ind w:firstLine="480" w:firstLineChars="200"/>
        <w:rPr>
          <w:rFonts w:eastAsia="方正仿宋_GBK"/>
          <w:color w:val="000000"/>
          <w:sz w:val="24"/>
        </w:rPr>
      </w:pPr>
      <w:r>
        <w:rPr>
          <w:rFonts w:hint="eastAsia" w:eastAsia="方正仿宋_GBK"/>
          <w:color w:val="000000"/>
          <w:sz w:val="24"/>
        </w:rPr>
        <w:t>（四）审查市政公用企业拟订的《质量管理制度》及实施方案是否符合国家相关的法律法规、标准规范，是否结合本地本企业实际，服务与便民措施是否落实，是否符合项目审批部门的审批意见；备案市政公用企业公布的社会服务承诺内容，并监督其实施；</w:t>
      </w:r>
    </w:p>
    <w:p>
      <w:pPr>
        <w:autoSpaceDE w:val="0"/>
        <w:autoSpaceDN w:val="0"/>
        <w:spacing w:line="460" w:lineRule="exact"/>
        <w:ind w:firstLine="480" w:firstLineChars="200"/>
        <w:rPr>
          <w:rFonts w:eastAsia="方正仿宋_GBK"/>
          <w:color w:val="000000"/>
          <w:sz w:val="24"/>
        </w:rPr>
      </w:pPr>
      <w:r>
        <w:rPr>
          <w:rFonts w:hint="eastAsia" w:eastAsia="方正仿宋_GBK"/>
          <w:color w:val="000000"/>
          <w:sz w:val="24"/>
        </w:rPr>
        <w:t>（五）审查市政公用企业拟订的《环保制度》及实施方案是否符合国家相关的法律法规、标准规范，是否结合本企业实际，是否符合项目审批部门的审批意见；是否按有关规定妥善处理直至达标排放并尽量减少对设施、建筑物和居民区的妨害，并监督其实施；</w:t>
      </w:r>
    </w:p>
    <w:p>
      <w:pPr>
        <w:autoSpaceDE w:val="0"/>
        <w:autoSpaceDN w:val="0"/>
        <w:spacing w:line="460" w:lineRule="exact"/>
        <w:ind w:firstLine="480" w:firstLineChars="200"/>
        <w:rPr>
          <w:rFonts w:eastAsia="方正仿宋_GBK"/>
          <w:color w:val="000000"/>
          <w:sz w:val="24"/>
        </w:rPr>
      </w:pPr>
      <w:r>
        <w:rPr>
          <w:rFonts w:hint="eastAsia" w:eastAsia="方正仿宋_GBK"/>
          <w:color w:val="000000"/>
          <w:sz w:val="24"/>
        </w:rPr>
        <w:t>（六）各级市政公用事业主管部门建立日常监管检查考核制度，组织定期与不定期的作业质量检查。内容包括：是否按核定的工作量进行，是否擅自停业；现场检查是否规范、达标，设施设备是否完好、运营正常；生产运营记录台帐、环境监测报告是否属实、齐全；应急预案措施是否落实等。定期检查分季度考核和年终综合考核。</w:t>
      </w:r>
    </w:p>
    <w:p>
      <w:pPr>
        <w:autoSpaceDE w:val="0"/>
        <w:autoSpaceDN w:val="0"/>
        <w:spacing w:line="460" w:lineRule="exact"/>
        <w:ind w:firstLine="480" w:firstLineChars="200"/>
        <w:rPr>
          <w:rFonts w:eastAsia="方正仿宋_GBK"/>
          <w:color w:val="000000"/>
          <w:sz w:val="24"/>
        </w:rPr>
      </w:pPr>
      <w:r>
        <w:rPr>
          <w:rFonts w:hint="eastAsia" w:eastAsia="黑体"/>
          <w:color w:val="000000"/>
          <w:sz w:val="24"/>
        </w:rPr>
        <w:t>第七条</w:t>
      </w:r>
      <w:r>
        <w:rPr>
          <w:rFonts w:eastAsia="方正仿宋_GBK"/>
          <w:color w:val="000000"/>
          <w:sz w:val="24"/>
        </w:rPr>
        <w:t xml:space="preserve">  </w:t>
      </w:r>
      <w:r>
        <w:rPr>
          <w:rFonts w:hint="eastAsia" w:eastAsia="方正仿宋_GBK"/>
          <w:color w:val="000000"/>
          <w:sz w:val="24"/>
        </w:rPr>
        <w:t>各级市政公用事业主管部门按照国家和省相关的法律、法规、标准、规范，监管市政公用行业、企业的产品和服务质量。</w:t>
      </w:r>
    </w:p>
    <w:p>
      <w:pPr>
        <w:autoSpaceDE w:val="0"/>
        <w:autoSpaceDN w:val="0"/>
        <w:spacing w:line="460" w:lineRule="exact"/>
        <w:ind w:firstLine="480" w:firstLineChars="200"/>
        <w:rPr>
          <w:rFonts w:eastAsia="方正仿宋_GBK"/>
          <w:color w:val="000000"/>
          <w:sz w:val="24"/>
        </w:rPr>
      </w:pPr>
      <w:r>
        <w:rPr>
          <w:rFonts w:hint="eastAsia" w:eastAsia="黑体"/>
          <w:color w:val="000000"/>
          <w:sz w:val="24"/>
        </w:rPr>
        <w:t>第八条</w:t>
      </w:r>
      <w:r>
        <w:rPr>
          <w:rFonts w:eastAsia="方正仿宋_GBK"/>
          <w:color w:val="000000"/>
          <w:sz w:val="24"/>
        </w:rPr>
        <w:t xml:space="preserve">  </w:t>
      </w:r>
      <w:r>
        <w:rPr>
          <w:rFonts w:hint="eastAsia" w:eastAsia="方正仿宋_GBK"/>
          <w:color w:val="000000"/>
          <w:sz w:val="24"/>
        </w:rPr>
        <w:t>各级市政公用事业主管部门通过制度审查、企业管理信息审查、产品质量监测、服务质量抽查、驻场运行监管、在线监测等进行实时监测、监管。</w:t>
      </w:r>
    </w:p>
    <w:p>
      <w:pPr>
        <w:autoSpaceDE w:val="0"/>
        <w:autoSpaceDN w:val="0"/>
        <w:spacing w:line="460" w:lineRule="exact"/>
        <w:ind w:firstLine="480" w:firstLineChars="200"/>
        <w:rPr>
          <w:rFonts w:eastAsia="方正仿宋_GBK"/>
          <w:color w:val="000000"/>
          <w:sz w:val="24"/>
        </w:rPr>
      </w:pPr>
      <w:r>
        <w:rPr>
          <w:rFonts w:hint="eastAsia" w:eastAsia="方正仿宋_GBK"/>
          <w:color w:val="000000"/>
          <w:sz w:val="24"/>
        </w:rPr>
        <w:t>各市政公用企业应建立提前告知制度。至少提前一个月将本企业安排设备检修等减停产计划情况，应一并上报市政公用事业主管部门，不得擅自停业、歇业。</w:t>
      </w:r>
    </w:p>
    <w:p>
      <w:pPr>
        <w:autoSpaceDE w:val="0"/>
        <w:autoSpaceDN w:val="0"/>
        <w:spacing w:line="460" w:lineRule="exact"/>
        <w:ind w:firstLine="480" w:firstLineChars="200"/>
        <w:rPr>
          <w:rFonts w:eastAsia="方正仿宋_GBK"/>
          <w:color w:val="000000"/>
          <w:sz w:val="24"/>
        </w:rPr>
      </w:pPr>
      <w:r>
        <w:rPr>
          <w:rFonts w:hint="eastAsia" w:eastAsia="黑体"/>
          <w:color w:val="000000"/>
          <w:sz w:val="24"/>
        </w:rPr>
        <w:t>第九条</w:t>
      </w:r>
      <w:r>
        <w:rPr>
          <w:rFonts w:eastAsia="方正仿宋_GBK"/>
          <w:color w:val="000000"/>
          <w:sz w:val="24"/>
        </w:rPr>
        <w:t xml:space="preserve">  </w:t>
      </w:r>
      <w:r>
        <w:rPr>
          <w:rFonts w:hint="eastAsia" w:eastAsia="方正仿宋_GBK"/>
          <w:color w:val="000000"/>
          <w:sz w:val="24"/>
        </w:rPr>
        <w:t>各级市政公用事业主管部门可以根据特许经营协议或相关责任考核状，经检查发现公用企业产品服务质量不达标、不按规定要求执行的，各级市政公用事业主管部门应向企业发出整改通知书，责令其限期改正，督促其履行义务；造成后果的，可以视程度从履约保证金中扣除违约金。</w:t>
      </w:r>
      <w:r>
        <w:rPr>
          <w:rFonts w:eastAsia="方正仿宋_GBK"/>
          <w:color w:val="000000"/>
          <w:sz w:val="24"/>
        </w:rPr>
        <w:t xml:space="preserve"> </w:t>
      </w:r>
    </w:p>
    <w:p>
      <w:pPr>
        <w:spacing w:line="460" w:lineRule="exact"/>
        <w:ind w:right="640" w:firstLine="480" w:firstLineChars="200"/>
        <w:rPr>
          <w:rFonts w:eastAsia="方正仿宋_GBK"/>
          <w:color w:val="000000"/>
          <w:sz w:val="24"/>
        </w:rPr>
      </w:pPr>
      <w:r>
        <w:rPr>
          <w:rFonts w:eastAsia="方正仿宋_GBK"/>
          <w:color w:val="000000"/>
          <w:sz w:val="24"/>
        </w:rPr>
        <w:t xml:space="preserve">    </w:t>
      </w:r>
    </w:p>
    <w:p>
      <w:pPr>
        <w:spacing w:line="460" w:lineRule="exact"/>
        <w:ind w:right="640" w:firstLine="480" w:firstLineChars="200"/>
        <w:rPr>
          <w:rFonts w:eastAsia="方正仿宋_GBK"/>
          <w:color w:val="000000"/>
          <w:sz w:val="24"/>
        </w:rPr>
      </w:pPr>
    </w:p>
    <w:p>
      <w:pPr>
        <w:spacing w:line="460" w:lineRule="exact"/>
        <w:ind w:right="640" w:firstLine="480" w:firstLineChars="200"/>
        <w:rPr>
          <w:rFonts w:eastAsia="方正仿宋_GBK"/>
          <w:color w:val="000000"/>
          <w:sz w:val="24"/>
        </w:rPr>
      </w:pPr>
    </w:p>
    <w:p>
      <w:pPr>
        <w:spacing w:line="460" w:lineRule="exact"/>
        <w:ind w:right="640" w:firstLine="480" w:firstLineChars="200"/>
        <w:rPr>
          <w:rFonts w:eastAsia="方正仿宋_GBK"/>
          <w:color w:val="000000"/>
          <w:sz w:val="24"/>
        </w:rPr>
      </w:pPr>
    </w:p>
    <w:p>
      <w:pPr>
        <w:spacing w:line="460" w:lineRule="exact"/>
        <w:ind w:right="640" w:firstLine="480" w:firstLineChars="200"/>
        <w:rPr>
          <w:rFonts w:eastAsia="方正仿宋_GBK"/>
          <w:color w:val="000000"/>
          <w:sz w:val="24"/>
        </w:rPr>
      </w:pPr>
    </w:p>
    <w:p>
      <w:pPr>
        <w:spacing w:line="460" w:lineRule="exact"/>
        <w:ind w:right="640" w:firstLine="480" w:firstLineChars="200"/>
        <w:rPr>
          <w:rFonts w:eastAsia="方正仿宋_GBK"/>
          <w:color w:val="000000"/>
          <w:sz w:val="24"/>
        </w:rPr>
      </w:pPr>
    </w:p>
    <w:p>
      <w:pPr>
        <w:spacing w:line="460" w:lineRule="exact"/>
        <w:ind w:right="640" w:firstLine="480" w:firstLineChars="200"/>
        <w:rPr>
          <w:rFonts w:eastAsia="方正仿宋_GBK"/>
          <w:color w:val="000000"/>
          <w:sz w:val="24"/>
        </w:rPr>
      </w:pPr>
    </w:p>
    <w:p>
      <w:pPr>
        <w:spacing w:line="460" w:lineRule="exact"/>
        <w:ind w:right="640"/>
        <w:rPr>
          <w:rFonts w:eastAsia="黑体"/>
          <w:color w:val="000000"/>
          <w:sz w:val="28"/>
          <w:szCs w:val="28"/>
        </w:rPr>
      </w:pPr>
      <w:r>
        <w:rPr>
          <w:rFonts w:eastAsia="方正仿宋_GBK"/>
          <w:color w:val="000000"/>
          <w:sz w:val="24"/>
        </w:rPr>
        <w:br w:type="column"/>
      </w:r>
      <w:r>
        <w:rPr>
          <w:rFonts w:hint="eastAsia" w:eastAsia="黑体"/>
          <w:color w:val="000000"/>
          <w:sz w:val="28"/>
          <w:szCs w:val="28"/>
        </w:rPr>
        <w:t>附件</w:t>
      </w:r>
      <w:r>
        <w:rPr>
          <w:rFonts w:eastAsia="黑体"/>
          <w:color w:val="000000"/>
          <w:sz w:val="28"/>
          <w:szCs w:val="28"/>
        </w:rPr>
        <w:t>8</w:t>
      </w:r>
      <w:r>
        <w:rPr>
          <w:rFonts w:hint="eastAsia" w:eastAsia="黑体"/>
          <w:color w:val="000000"/>
          <w:sz w:val="28"/>
          <w:szCs w:val="28"/>
        </w:rPr>
        <w:t>：</w:t>
      </w:r>
    </w:p>
    <w:p>
      <w:pPr>
        <w:spacing w:line="460" w:lineRule="exact"/>
        <w:ind w:right="640" w:firstLine="480" w:firstLineChars="200"/>
        <w:rPr>
          <w:rFonts w:eastAsia="方正仿宋_GBK"/>
          <w:color w:val="000000"/>
          <w:sz w:val="24"/>
        </w:rPr>
      </w:pPr>
    </w:p>
    <w:p>
      <w:pPr>
        <w:spacing w:line="460" w:lineRule="exact"/>
        <w:jc w:val="center"/>
        <w:rPr>
          <w:rFonts w:eastAsia="方正小标宋简体"/>
          <w:color w:val="000000"/>
          <w:sz w:val="36"/>
          <w:szCs w:val="36"/>
        </w:rPr>
      </w:pPr>
      <w:r>
        <w:rPr>
          <w:rFonts w:hint="eastAsia" w:eastAsia="方正小标宋简体"/>
          <w:color w:val="000000"/>
          <w:sz w:val="36"/>
          <w:szCs w:val="36"/>
        </w:rPr>
        <w:t>江苏省城市市政公用事业特许经营中期评估制度</w:t>
      </w:r>
    </w:p>
    <w:p>
      <w:pPr>
        <w:snapToGrid w:val="0"/>
        <w:spacing w:line="460" w:lineRule="exact"/>
        <w:ind w:firstLine="480" w:firstLineChars="200"/>
        <w:rPr>
          <w:rFonts w:eastAsia="方正仿宋_GBK"/>
          <w:color w:val="000000"/>
          <w:sz w:val="24"/>
        </w:rPr>
      </w:pPr>
    </w:p>
    <w:p>
      <w:pPr>
        <w:snapToGrid w:val="0"/>
        <w:spacing w:line="460" w:lineRule="exact"/>
        <w:ind w:firstLine="480" w:firstLineChars="200"/>
        <w:rPr>
          <w:rFonts w:eastAsia="方正仿宋_GBK"/>
          <w:color w:val="000000"/>
          <w:sz w:val="24"/>
        </w:rPr>
      </w:pPr>
      <w:r>
        <w:rPr>
          <w:rFonts w:hint="eastAsia" w:eastAsia="黑体"/>
          <w:color w:val="000000"/>
          <w:sz w:val="24"/>
        </w:rPr>
        <w:t>第一条</w:t>
      </w:r>
      <w:r>
        <w:rPr>
          <w:rFonts w:eastAsia="方正仿宋_GBK"/>
          <w:color w:val="000000"/>
          <w:sz w:val="24"/>
        </w:rPr>
        <w:t xml:space="preserve">  </w:t>
      </w:r>
      <w:r>
        <w:rPr>
          <w:rFonts w:hint="eastAsia" w:eastAsia="方正仿宋_GBK"/>
          <w:color w:val="000000"/>
          <w:sz w:val="24"/>
        </w:rPr>
        <w:t>为规范市政公用事业特许经营项目的正常运行，切实加强政府的监管，进一步健全和完善市政公用事业监管体系，按照建设部《市政公用事业特许经营管理办法》，对获得特许经营权的企业经营情况应建立中期评估制度的规定，特制定本制度</w:t>
      </w:r>
      <w:r>
        <w:rPr>
          <w:rFonts w:eastAsia="方正仿宋_GBK"/>
          <w:color w:val="000000"/>
          <w:sz w:val="24"/>
        </w:rPr>
        <w:t xml:space="preserve"> </w:t>
      </w:r>
    </w:p>
    <w:p>
      <w:pPr>
        <w:snapToGrid w:val="0"/>
        <w:spacing w:line="460" w:lineRule="exact"/>
        <w:ind w:firstLine="480" w:firstLineChars="200"/>
        <w:rPr>
          <w:rFonts w:eastAsia="方正仿宋_GBK"/>
          <w:color w:val="000000"/>
          <w:sz w:val="24"/>
        </w:rPr>
      </w:pPr>
      <w:r>
        <w:rPr>
          <w:rFonts w:hint="eastAsia" w:eastAsia="黑体"/>
          <w:color w:val="000000"/>
          <w:sz w:val="24"/>
        </w:rPr>
        <w:t>第二条</w:t>
      </w:r>
      <w:r>
        <w:rPr>
          <w:rFonts w:eastAsia="方正仿宋_GBK"/>
          <w:color w:val="000000"/>
          <w:sz w:val="24"/>
        </w:rPr>
        <w:t xml:space="preserve">  </w:t>
      </w:r>
      <w:r>
        <w:rPr>
          <w:rFonts w:hint="eastAsia" w:eastAsia="方正仿宋_GBK"/>
          <w:color w:val="000000"/>
          <w:sz w:val="24"/>
        </w:rPr>
        <w:t>全省行政区域内已实施市政公用市场化改革和已实施市政公用事业特许经营管理的城市供水、供气（管道燃气）、污水处理、垃圾处理等行业适用本制度。</w:t>
      </w:r>
    </w:p>
    <w:p>
      <w:pPr>
        <w:autoSpaceDE w:val="0"/>
        <w:autoSpaceDN w:val="0"/>
        <w:snapToGrid w:val="0"/>
        <w:spacing w:line="460" w:lineRule="exact"/>
        <w:ind w:firstLine="480" w:firstLineChars="200"/>
        <w:rPr>
          <w:rFonts w:eastAsia="方正仿宋_GBK"/>
          <w:color w:val="000000"/>
          <w:sz w:val="24"/>
        </w:rPr>
      </w:pPr>
      <w:r>
        <w:rPr>
          <w:rFonts w:hint="eastAsia" w:eastAsia="黑体"/>
          <w:color w:val="000000"/>
          <w:sz w:val="24"/>
        </w:rPr>
        <w:t>第三条</w:t>
      </w:r>
      <w:r>
        <w:rPr>
          <w:rFonts w:eastAsia="方正仿宋_GBK"/>
          <w:color w:val="000000"/>
          <w:sz w:val="24"/>
        </w:rPr>
        <w:t xml:space="preserve">  </w:t>
      </w:r>
      <w:r>
        <w:rPr>
          <w:rFonts w:hint="eastAsia" w:eastAsia="方正仿宋_GBK"/>
          <w:color w:val="000000"/>
          <w:sz w:val="24"/>
        </w:rPr>
        <w:t>省建设行政主管部门负责全省行政区域内城市市政公用事业特许经营中期评估的指导和监督工作。</w:t>
      </w:r>
    </w:p>
    <w:p>
      <w:pPr>
        <w:snapToGrid w:val="0"/>
        <w:spacing w:line="460" w:lineRule="exact"/>
        <w:ind w:firstLine="480" w:firstLineChars="200"/>
        <w:rPr>
          <w:rFonts w:eastAsia="方正仿宋_GBK"/>
          <w:color w:val="000000"/>
          <w:sz w:val="24"/>
        </w:rPr>
      </w:pPr>
      <w:r>
        <w:rPr>
          <w:rFonts w:hint="eastAsia" w:eastAsia="方正仿宋_GBK"/>
          <w:color w:val="000000"/>
          <w:sz w:val="24"/>
        </w:rPr>
        <w:t>市、县人民政府市政公用事业主管部门受本级人民政府授权具体负责实施本行政区域内城市市政公用事业特许经营中期评估工作。</w:t>
      </w:r>
    </w:p>
    <w:p>
      <w:pPr>
        <w:snapToGrid w:val="0"/>
        <w:spacing w:line="460" w:lineRule="exact"/>
        <w:ind w:firstLine="480" w:firstLineChars="200"/>
        <w:rPr>
          <w:rFonts w:eastAsia="方正仿宋_GBK"/>
          <w:color w:val="000000"/>
          <w:sz w:val="24"/>
        </w:rPr>
      </w:pPr>
      <w:r>
        <w:rPr>
          <w:rFonts w:hint="eastAsia" w:eastAsia="黑体"/>
          <w:color w:val="000000"/>
          <w:sz w:val="24"/>
        </w:rPr>
        <w:t>第四条</w:t>
      </w:r>
      <w:r>
        <w:rPr>
          <w:rFonts w:eastAsia="方正仿宋_GBK"/>
          <w:color w:val="000000"/>
          <w:sz w:val="24"/>
        </w:rPr>
        <w:t xml:space="preserve">  </w:t>
      </w:r>
      <w:r>
        <w:rPr>
          <w:rFonts w:hint="eastAsia" w:eastAsia="方正仿宋_GBK"/>
          <w:color w:val="000000"/>
          <w:sz w:val="24"/>
        </w:rPr>
        <w:t>中期评估由市政公用事业主管部门组织实施，评估方式可以聘请中介机构实施，也可以组织相关的专家、人员开展中期评估，并形成中期评估报告。</w:t>
      </w:r>
    </w:p>
    <w:p>
      <w:pPr>
        <w:snapToGrid w:val="0"/>
        <w:spacing w:line="460" w:lineRule="exact"/>
        <w:ind w:firstLine="480" w:firstLineChars="200"/>
        <w:rPr>
          <w:rFonts w:eastAsia="方正仿宋_GBK"/>
          <w:color w:val="000000"/>
          <w:sz w:val="24"/>
        </w:rPr>
      </w:pPr>
      <w:r>
        <w:rPr>
          <w:rFonts w:hint="eastAsia" w:eastAsia="黑体"/>
          <w:color w:val="000000"/>
          <w:sz w:val="24"/>
        </w:rPr>
        <w:t>第五条</w:t>
      </w:r>
      <w:r>
        <w:rPr>
          <w:rFonts w:eastAsia="方正仿宋_GBK"/>
          <w:color w:val="000000"/>
          <w:sz w:val="24"/>
        </w:rPr>
        <w:t xml:space="preserve">  </w:t>
      </w:r>
      <w:r>
        <w:rPr>
          <w:rFonts w:hint="eastAsia" w:eastAsia="方正仿宋_GBK"/>
          <w:color w:val="000000"/>
          <w:sz w:val="24"/>
        </w:rPr>
        <w:t>中期评估应包括以下主要内容：</w:t>
      </w:r>
    </w:p>
    <w:p>
      <w:pPr>
        <w:snapToGrid w:val="0"/>
        <w:spacing w:line="460" w:lineRule="exact"/>
        <w:ind w:firstLine="480" w:firstLineChars="200"/>
        <w:rPr>
          <w:rFonts w:eastAsia="方正仿宋_GBK"/>
          <w:color w:val="000000"/>
          <w:sz w:val="24"/>
        </w:rPr>
      </w:pPr>
      <w:r>
        <w:rPr>
          <w:rFonts w:hint="eastAsia" w:eastAsia="方正仿宋_GBK"/>
          <w:color w:val="000000"/>
          <w:sz w:val="24"/>
        </w:rPr>
        <w:t>（一）市政公用设施的建设与改造是否依据规定的基本建设程序和规划要求执行；</w:t>
      </w:r>
    </w:p>
    <w:p>
      <w:pPr>
        <w:snapToGrid w:val="0"/>
        <w:spacing w:line="460" w:lineRule="exact"/>
        <w:ind w:firstLine="480" w:firstLineChars="200"/>
        <w:rPr>
          <w:rFonts w:eastAsia="方正仿宋_GBK"/>
          <w:color w:val="000000"/>
          <w:sz w:val="24"/>
        </w:rPr>
      </w:pPr>
      <w:r>
        <w:rPr>
          <w:rFonts w:hint="eastAsia" w:eastAsia="方正仿宋_GBK"/>
          <w:color w:val="000000"/>
          <w:sz w:val="24"/>
        </w:rPr>
        <w:t>（二）行业发展和投资是否满足城市功能的需求；</w:t>
      </w:r>
    </w:p>
    <w:p>
      <w:pPr>
        <w:snapToGrid w:val="0"/>
        <w:spacing w:line="460" w:lineRule="exact"/>
        <w:ind w:firstLine="480" w:firstLineChars="200"/>
        <w:rPr>
          <w:rFonts w:eastAsia="方正仿宋_GBK"/>
          <w:color w:val="000000"/>
          <w:sz w:val="24"/>
        </w:rPr>
      </w:pPr>
      <w:r>
        <w:rPr>
          <w:rFonts w:hint="eastAsia" w:eastAsia="方正仿宋_GBK"/>
          <w:color w:val="000000"/>
          <w:sz w:val="24"/>
        </w:rPr>
        <w:t>（三）提供的产品和服务是否满足各类标准和规范的要求；</w:t>
      </w:r>
    </w:p>
    <w:p>
      <w:pPr>
        <w:snapToGrid w:val="0"/>
        <w:spacing w:line="460" w:lineRule="exact"/>
        <w:ind w:firstLine="480" w:firstLineChars="200"/>
        <w:rPr>
          <w:rFonts w:eastAsia="方正仿宋_GBK"/>
          <w:color w:val="000000"/>
          <w:sz w:val="24"/>
        </w:rPr>
      </w:pPr>
      <w:r>
        <w:rPr>
          <w:rFonts w:hint="eastAsia" w:eastAsia="方正仿宋_GBK"/>
          <w:color w:val="000000"/>
          <w:sz w:val="24"/>
        </w:rPr>
        <w:t>（四）行业服务质量和用户投诉处理情况；</w:t>
      </w:r>
    </w:p>
    <w:p>
      <w:pPr>
        <w:snapToGrid w:val="0"/>
        <w:spacing w:line="460" w:lineRule="exact"/>
        <w:ind w:firstLine="480" w:firstLineChars="200"/>
        <w:rPr>
          <w:rFonts w:eastAsia="方正仿宋_GBK"/>
          <w:color w:val="000000"/>
          <w:sz w:val="24"/>
        </w:rPr>
      </w:pPr>
      <w:r>
        <w:rPr>
          <w:rFonts w:hint="eastAsia" w:eastAsia="方正仿宋_GBK"/>
          <w:color w:val="000000"/>
          <w:sz w:val="24"/>
        </w:rPr>
        <w:t>（五）应急预案的制定、执行情况；</w:t>
      </w:r>
    </w:p>
    <w:p>
      <w:pPr>
        <w:snapToGrid w:val="0"/>
        <w:spacing w:line="460" w:lineRule="exact"/>
        <w:ind w:firstLine="480" w:firstLineChars="200"/>
        <w:rPr>
          <w:rFonts w:eastAsia="方正仿宋_GBK"/>
          <w:color w:val="000000"/>
          <w:sz w:val="24"/>
        </w:rPr>
      </w:pPr>
      <w:r>
        <w:rPr>
          <w:rFonts w:hint="eastAsia" w:eastAsia="方正仿宋_GBK"/>
          <w:color w:val="000000"/>
          <w:sz w:val="24"/>
        </w:rPr>
        <w:t>（六）成本、价格的控制和执行情况；</w:t>
      </w:r>
    </w:p>
    <w:p>
      <w:pPr>
        <w:snapToGrid w:val="0"/>
        <w:spacing w:line="460" w:lineRule="exact"/>
        <w:ind w:firstLine="480" w:firstLineChars="200"/>
        <w:rPr>
          <w:rFonts w:eastAsia="方正仿宋_GBK"/>
          <w:color w:val="000000"/>
          <w:sz w:val="24"/>
        </w:rPr>
      </w:pPr>
      <w:r>
        <w:rPr>
          <w:rFonts w:hint="eastAsia" w:eastAsia="方正仿宋_GBK"/>
          <w:color w:val="000000"/>
          <w:sz w:val="24"/>
        </w:rPr>
        <w:t>（七）行业规划和年度计划的制定、执行情况；</w:t>
      </w:r>
    </w:p>
    <w:p>
      <w:pPr>
        <w:snapToGrid w:val="0"/>
        <w:spacing w:line="460" w:lineRule="exact"/>
        <w:ind w:firstLine="480" w:firstLineChars="200"/>
        <w:rPr>
          <w:rFonts w:eastAsia="方正仿宋_GBK"/>
          <w:color w:val="000000"/>
          <w:sz w:val="24"/>
        </w:rPr>
      </w:pPr>
      <w:r>
        <w:rPr>
          <w:rFonts w:hint="eastAsia" w:eastAsia="方正仿宋_GBK"/>
          <w:color w:val="000000"/>
          <w:sz w:val="24"/>
        </w:rPr>
        <w:t>（八）重要设备、设施的完好情况；</w:t>
      </w:r>
    </w:p>
    <w:p>
      <w:pPr>
        <w:snapToGrid w:val="0"/>
        <w:spacing w:line="460" w:lineRule="exact"/>
        <w:ind w:firstLine="480" w:firstLineChars="200"/>
        <w:rPr>
          <w:rFonts w:eastAsia="方正仿宋_GBK"/>
          <w:color w:val="000000"/>
          <w:sz w:val="24"/>
        </w:rPr>
      </w:pPr>
      <w:r>
        <w:rPr>
          <w:rFonts w:hint="eastAsia" w:eastAsia="方正仿宋_GBK"/>
          <w:color w:val="000000"/>
          <w:sz w:val="24"/>
        </w:rPr>
        <w:t>（九）安全生产和管理情况；</w:t>
      </w:r>
      <w:r>
        <w:rPr>
          <w:rFonts w:eastAsia="方正仿宋_GBK"/>
          <w:color w:val="000000"/>
          <w:sz w:val="24"/>
        </w:rPr>
        <w:t xml:space="preserve"> </w:t>
      </w:r>
    </w:p>
    <w:p>
      <w:pPr>
        <w:snapToGrid w:val="0"/>
        <w:spacing w:line="460" w:lineRule="exact"/>
        <w:ind w:firstLine="480" w:firstLineChars="200"/>
        <w:rPr>
          <w:rFonts w:eastAsia="方正仿宋_GBK"/>
          <w:color w:val="000000"/>
          <w:sz w:val="24"/>
        </w:rPr>
      </w:pPr>
      <w:r>
        <w:rPr>
          <w:rFonts w:hint="eastAsia" w:eastAsia="方正仿宋_GBK"/>
          <w:color w:val="000000"/>
          <w:sz w:val="24"/>
        </w:rPr>
        <w:t>（十）社会公益性义务的执行情况；</w:t>
      </w:r>
      <w:r>
        <w:rPr>
          <w:rFonts w:eastAsia="方正仿宋_GBK"/>
          <w:color w:val="000000"/>
          <w:sz w:val="24"/>
        </w:rPr>
        <w:t xml:space="preserve"> </w:t>
      </w:r>
    </w:p>
    <w:p>
      <w:pPr>
        <w:snapToGrid w:val="0"/>
        <w:spacing w:line="460" w:lineRule="exact"/>
        <w:ind w:firstLine="480" w:firstLineChars="200"/>
        <w:rPr>
          <w:rFonts w:eastAsia="方正仿宋_GBK"/>
          <w:color w:val="000000"/>
          <w:sz w:val="24"/>
        </w:rPr>
      </w:pPr>
      <w:r>
        <w:rPr>
          <w:rFonts w:hint="eastAsia" w:eastAsia="方正仿宋_GBK"/>
          <w:color w:val="000000"/>
          <w:sz w:val="24"/>
        </w:rPr>
        <w:t>（十一）特许经营授权人认为需要评估的其他事项。</w:t>
      </w:r>
    </w:p>
    <w:p>
      <w:pPr>
        <w:snapToGrid w:val="0"/>
        <w:spacing w:line="460" w:lineRule="exact"/>
        <w:ind w:firstLine="480" w:firstLineChars="200"/>
        <w:rPr>
          <w:rFonts w:eastAsia="方正仿宋_GBK"/>
          <w:color w:val="000000"/>
          <w:sz w:val="24"/>
        </w:rPr>
      </w:pPr>
      <w:r>
        <w:rPr>
          <w:rFonts w:hint="eastAsia" w:eastAsia="黑体"/>
          <w:color w:val="000000"/>
          <w:sz w:val="24"/>
        </w:rPr>
        <w:t>第六条</w:t>
      </w:r>
      <w:r>
        <w:rPr>
          <w:rFonts w:eastAsia="方正仿宋_GBK"/>
          <w:color w:val="000000"/>
          <w:sz w:val="24"/>
        </w:rPr>
        <w:t xml:space="preserve">  </w:t>
      </w:r>
      <w:r>
        <w:rPr>
          <w:rFonts w:hint="eastAsia" w:eastAsia="方正仿宋_GBK"/>
          <w:color w:val="000000"/>
          <w:sz w:val="24"/>
        </w:rPr>
        <w:t>中期评估的周期一般不得低于</w:t>
      </w:r>
      <w:r>
        <w:rPr>
          <w:rFonts w:eastAsia="方正仿宋_GBK"/>
          <w:color w:val="000000"/>
          <w:sz w:val="24"/>
        </w:rPr>
        <w:t>2</w:t>
      </w:r>
      <w:r>
        <w:rPr>
          <w:rFonts w:hint="eastAsia" w:eastAsia="方正仿宋_GBK"/>
          <w:color w:val="000000"/>
          <w:sz w:val="24"/>
        </w:rPr>
        <w:t>年，特殊情况下可以实施年度评估。</w:t>
      </w:r>
    </w:p>
    <w:p>
      <w:pPr>
        <w:snapToGrid w:val="0"/>
        <w:spacing w:line="460" w:lineRule="exact"/>
        <w:ind w:firstLine="480" w:firstLineChars="200"/>
        <w:rPr>
          <w:rFonts w:eastAsia="方正仿宋_GBK"/>
          <w:color w:val="000000"/>
          <w:sz w:val="24"/>
        </w:rPr>
      </w:pPr>
      <w:r>
        <w:rPr>
          <w:rFonts w:hint="eastAsia" w:eastAsia="黑体"/>
          <w:color w:val="000000"/>
          <w:sz w:val="24"/>
        </w:rPr>
        <w:t>第七条</w:t>
      </w:r>
      <w:r>
        <w:rPr>
          <w:rFonts w:eastAsia="方正仿宋_GBK"/>
          <w:color w:val="000000"/>
          <w:sz w:val="24"/>
        </w:rPr>
        <w:t xml:space="preserve">  </w:t>
      </w:r>
      <w:r>
        <w:rPr>
          <w:rFonts w:hint="eastAsia" w:eastAsia="方正仿宋_GBK"/>
          <w:color w:val="000000"/>
          <w:sz w:val="24"/>
        </w:rPr>
        <w:t>特许经营协议应明确中期评估方案。开展中期评估应当按照以下程序执行：</w:t>
      </w:r>
    </w:p>
    <w:p>
      <w:pPr>
        <w:snapToGrid w:val="0"/>
        <w:spacing w:line="460" w:lineRule="exact"/>
        <w:ind w:firstLine="480" w:firstLineChars="200"/>
        <w:rPr>
          <w:rFonts w:eastAsia="方正仿宋_GBK"/>
          <w:color w:val="000000"/>
          <w:sz w:val="24"/>
        </w:rPr>
      </w:pPr>
      <w:r>
        <w:rPr>
          <w:rFonts w:hint="eastAsia" w:eastAsia="方正仿宋_GBK"/>
          <w:color w:val="000000"/>
          <w:sz w:val="24"/>
        </w:rPr>
        <w:t>（一）负责中期评估的市政公用事业主管部门在每一个中期评估前</w:t>
      </w:r>
      <w:r>
        <w:rPr>
          <w:rFonts w:eastAsia="方正仿宋_GBK"/>
          <w:color w:val="000000"/>
          <w:sz w:val="24"/>
        </w:rPr>
        <w:t>1</w:t>
      </w:r>
      <w:r>
        <w:rPr>
          <w:rFonts w:hint="eastAsia" w:eastAsia="方正仿宋_GBK"/>
          <w:color w:val="000000"/>
          <w:sz w:val="24"/>
        </w:rPr>
        <w:t>个月向特许经营企业发出中期评估通知；</w:t>
      </w:r>
    </w:p>
    <w:p>
      <w:pPr>
        <w:snapToGrid w:val="0"/>
        <w:spacing w:line="460" w:lineRule="exact"/>
        <w:ind w:firstLine="480" w:firstLineChars="200"/>
        <w:rPr>
          <w:rFonts w:eastAsia="方正仿宋_GBK"/>
          <w:color w:val="000000"/>
          <w:sz w:val="24"/>
        </w:rPr>
      </w:pPr>
      <w:r>
        <w:rPr>
          <w:rFonts w:hint="eastAsia" w:eastAsia="方正仿宋_GBK"/>
          <w:color w:val="000000"/>
          <w:sz w:val="24"/>
        </w:rPr>
        <w:t>（二）特许经营企业在收到通知后的</w:t>
      </w:r>
      <w:r>
        <w:rPr>
          <w:rFonts w:eastAsia="方正仿宋_GBK"/>
          <w:color w:val="000000"/>
          <w:sz w:val="24"/>
        </w:rPr>
        <w:t>1</w:t>
      </w:r>
      <w:r>
        <w:rPr>
          <w:rFonts w:hint="eastAsia" w:eastAsia="方正仿宋_GBK"/>
          <w:color w:val="000000"/>
          <w:sz w:val="24"/>
        </w:rPr>
        <w:t>个月内负责准备和报送涉及中期评估内容的相关资料，包括中期评估周期内的年度经营计划及执行情况、各类财务报表、生产运行过程中的各类报表、服务及投诉处理的各类报表、建设和投资情况说明、保障正常运行的情况说明、普遍服务和公益性义务的执行情况以及服务对象满意度调查情况等；</w:t>
      </w:r>
    </w:p>
    <w:p>
      <w:pPr>
        <w:snapToGrid w:val="0"/>
        <w:spacing w:line="460" w:lineRule="exact"/>
        <w:ind w:firstLine="480" w:firstLineChars="200"/>
        <w:rPr>
          <w:rFonts w:eastAsia="方正仿宋_GBK"/>
          <w:color w:val="000000"/>
          <w:sz w:val="24"/>
        </w:rPr>
      </w:pPr>
      <w:r>
        <w:rPr>
          <w:rFonts w:hint="eastAsia" w:eastAsia="方正仿宋_GBK"/>
          <w:color w:val="000000"/>
          <w:sz w:val="24"/>
        </w:rPr>
        <w:t>（三）市政公用事业主管部门应在发出中期评估通知后的三个月内组织专门人员完成中期评估工作，并向特许经营企业出具中期评估报告；</w:t>
      </w:r>
    </w:p>
    <w:p>
      <w:pPr>
        <w:snapToGrid w:val="0"/>
        <w:spacing w:line="460" w:lineRule="exact"/>
        <w:ind w:firstLine="480" w:firstLineChars="200"/>
        <w:rPr>
          <w:rFonts w:eastAsia="方正仿宋_GBK"/>
          <w:color w:val="000000"/>
          <w:sz w:val="24"/>
        </w:rPr>
      </w:pPr>
      <w:r>
        <w:rPr>
          <w:rFonts w:hint="eastAsia" w:eastAsia="方正仿宋_GBK"/>
          <w:color w:val="000000"/>
          <w:sz w:val="24"/>
        </w:rPr>
        <w:t>（四）对中期评估报告中的部分内容，市政公用事业主管部门有权以适当的方式予以公示。</w:t>
      </w:r>
    </w:p>
    <w:p>
      <w:pPr>
        <w:snapToGrid w:val="0"/>
        <w:spacing w:line="460" w:lineRule="exact"/>
        <w:ind w:firstLine="480" w:firstLineChars="200"/>
        <w:rPr>
          <w:rFonts w:eastAsia="方正仿宋_GBK"/>
          <w:color w:val="000000"/>
          <w:sz w:val="24"/>
        </w:rPr>
      </w:pPr>
      <w:r>
        <w:rPr>
          <w:rFonts w:hint="eastAsia" w:eastAsia="黑体"/>
          <w:color w:val="000000"/>
          <w:sz w:val="24"/>
        </w:rPr>
        <w:t>第八条</w:t>
      </w:r>
      <w:r>
        <w:rPr>
          <w:rFonts w:eastAsia="方正仿宋_GBK"/>
          <w:color w:val="000000"/>
          <w:sz w:val="24"/>
        </w:rPr>
        <w:t xml:space="preserve">  </w:t>
      </w:r>
      <w:r>
        <w:rPr>
          <w:rFonts w:hint="eastAsia" w:eastAsia="方正仿宋_GBK"/>
          <w:color w:val="000000"/>
          <w:sz w:val="24"/>
        </w:rPr>
        <w:t>对中期评估过程中发现属企业经营过程中的问题，市政公用事业主管部门应责令特许经营企业逐一予以整改。</w:t>
      </w:r>
    </w:p>
    <w:p>
      <w:pPr>
        <w:spacing w:line="460" w:lineRule="exact"/>
        <w:ind w:right="1280" w:firstLine="480" w:firstLineChars="200"/>
        <w:rPr>
          <w:rFonts w:eastAsia="方正仿宋_GBK"/>
          <w:color w:val="000000"/>
          <w:sz w:val="24"/>
        </w:rPr>
      </w:pPr>
    </w:p>
    <w:p>
      <w:pPr>
        <w:pStyle w:val="2"/>
        <w:spacing w:before="240" w:beforeLines="100" w:after="240" w:afterLines="100" w:line="240" w:lineRule="auto"/>
        <w:jc w:val="center"/>
        <w:rPr>
          <w:rFonts w:ascii="Times New Roman" w:eastAsia="方正小标宋_GBK"/>
          <w:b w:val="0"/>
          <w:sz w:val="36"/>
          <w:szCs w:val="36"/>
        </w:rPr>
      </w:pPr>
      <w:r>
        <w:rPr>
          <w:b w:val="0"/>
          <w:color w:val="000000"/>
        </w:rPr>
        <w:br w:type="column"/>
      </w:r>
      <w:bookmarkStart w:id="74" w:name="_Toc18315402"/>
      <w:bookmarkStart w:id="75" w:name="_Toc20726322"/>
      <w:r>
        <w:rPr>
          <w:rFonts w:hint="eastAsia" w:ascii="Times New Roman" w:eastAsia="方正小标宋_GBK"/>
          <w:b w:val="0"/>
          <w:sz w:val="36"/>
          <w:szCs w:val="36"/>
        </w:rPr>
        <w:t>关于加强太湖流域城镇生活污水处理系统接纳       工业废水管理的通知</w:t>
      </w:r>
      <w:bookmarkEnd w:id="74"/>
      <w:bookmarkEnd w:id="75"/>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76" w:name="_Toc18315403"/>
      <w:bookmarkStart w:id="77" w:name="_Toc20726323"/>
      <w:r>
        <w:rPr>
          <w:rFonts w:hint="eastAsia" w:ascii="Times New Roman" w:hAnsi="Times New Roman" w:eastAsia="方正楷体_GBK"/>
          <w:b w:val="0"/>
          <w:sz w:val="24"/>
          <w:szCs w:val="24"/>
        </w:rPr>
        <w:t>苏建城〔</w:t>
      </w:r>
      <w:r>
        <w:rPr>
          <w:rFonts w:ascii="Times New Roman" w:hAnsi="Times New Roman" w:eastAsia="方正楷体_GBK"/>
          <w:b w:val="0"/>
          <w:sz w:val="24"/>
          <w:szCs w:val="24"/>
        </w:rPr>
        <w:t>2008</w:t>
      </w:r>
      <w:r>
        <w:rPr>
          <w:rFonts w:hint="eastAsia" w:ascii="Times New Roman" w:hAnsi="Times New Roman" w:eastAsia="方正楷体_GBK"/>
          <w:b w:val="0"/>
          <w:sz w:val="24"/>
          <w:szCs w:val="24"/>
        </w:rPr>
        <w:t>〕</w:t>
      </w:r>
      <w:r>
        <w:rPr>
          <w:rFonts w:ascii="Times New Roman" w:hAnsi="Times New Roman" w:eastAsia="方正楷体_GBK"/>
          <w:b w:val="0"/>
          <w:sz w:val="24"/>
          <w:szCs w:val="24"/>
        </w:rPr>
        <w:t>198</w:t>
      </w:r>
      <w:r>
        <w:rPr>
          <w:rFonts w:hint="eastAsia" w:ascii="Times New Roman" w:hAnsi="Times New Roman" w:eastAsia="方正楷体_GBK"/>
          <w:b w:val="0"/>
          <w:sz w:val="24"/>
          <w:szCs w:val="24"/>
        </w:rPr>
        <w:t>号</w:t>
      </w:r>
      <w:bookmarkEnd w:id="76"/>
      <w:bookmarkEnd w:id="77"/>
    </w:p>
    <w:p>
      <w:pPr>
        <w:spacing w:line="440" w:lineRule="exact"/>
        <w:rPr>
          <w:rFonts w:eastAsia="方正仿宋_GBK"/>
          <w:color w:val="000000"/>
          <w:spacing w:val="-2"/>
          <w:sz w:val="24"/>
        </w:rPr>
      </w:pPr>
      <w:r>
        <w:rPr>
          <w:rFonts w:hint="eastAsia" w:eastAsia="方正仿宋_GBK"/>
          <w:color w:val="000000"/>
          <w:spacing w:val="-2"/>
          <w:sz w:val="24"/>
        </w:rPr>
        <w:t>太湖流域各市、县（市）建设局、环保局，有关市、县（市）水务局（办）：</w:t>
      </w:r>
    </w:p>
    <w:p>
      <w:pPr>
        <w:spacing w:line="440" w:lineRule="exact"/>
        <w:ind w:firstLine="472" w:firstLineChars="200"/>
        <w:rPr>
          <w:rFonts w:eastAsia="方正仿宋_GBK"/>
          <w:color w:val="000000"/>
          <w:spacing w:val="-2"/>
          <w:kern w:val="0"/>
          <w:sz w:val="24"/>
        </w:rPr>
      </w:pPr>
      <w:r>
        <w:rPr>
          <w:rFonts w:hint="eastAsia" w:eastAsia="方正仿宋_GBK"/>
          <w:color w:val="000000"/>
          <w:spacing w:val="-2"/>
          <w:kern w:val="0"/>
          <w:sz w:val="24"/>
        </w:rPr>
        <w:t>根据国家和省委、省政府有关规定和要求，为切实落实城镇生活污水处理厂达标排放责任和各级城镇排水主管部门监管责任，保证城镇生活污水处理厂稳定运行、尾水达标排放，现就加强城镇生活污水处理系统</w:t>
      </w:r>
      <w:r>
        <w:rPr>
          <w:rFonts w:hint="eastAsia" w:eastAsia="方正仿宋_GBK"/>
          <w:color w:val="000000"/>
          <w:spacing w:val="-2"/>
          <w:sz w:val="24"/>
        </w:rPr>
        <w:t>接纳工业废水管理工作，作如下通知：</w:t>
      </w:r>
    </w:p>
    <w:p>
      <w:pPr>
        <w:spacing w:line="440" w:lineRule="exact"/>
        <w:ind w:firstLine="472" w:firstLineChars="200"/>
        <w:rPr>
          <w:rFonts w:eastAsia="方正黑体_GBK"/>
          <w:color w:val="000000"/>
          <w:spacing w:val="-2"/>
          <w:sz w:val="24"/>
        </w:rPr>
      </w:pPr>
      <w:r>
        <w:rPr>
          <w:rFonts w:hint="eastAsia" w:eastAsia="方正黑体_GBK"/>
          <w:color w:val="000000"/>
          <w:spacing w:val="-2"/>
          <w:kern w:val="0"/>
          <w:sz w:val="24"/>
        </w:rPr>
        <w:t>一、进一步提高对加强</w:t>
      </w:r>
      <w:r>
        <w:rPr>
          <w:rFonts w:hint="eastAsia" w:eastAsia="方正黑体_GBK"/>
          <w:color w:val="000000"/>
          <w:spacing w:val="-2"/>
          <w:sz w:val="24"/>
        </w:rPr>
        <w:t>城镇污水处理系统接纳工业废水管理工作重要性与紧迫性的认识</w:t>
      </w:r>
    </w:p>
    <w:p>
      <w:pPr>
        <w:spacing w:line="440" w:lineRule="exact"/>
        <w:ind w:firstLine="472" w:firstLineChars="200"/>
        <w:rPr>
          <w:rFonts w:eastAsia="方正仿宋_GBK"/>
          <w:color w:val="000000"/>
          <w:spacing w:val="-2"/>
          <w:sz w:val="24"/>
        </w:rPr>
      </w:pPr>
      <w:r>
        <w:rPr>
          <w:rFonts w:hint="eastAsia" w:eastAsia="方正仿宋_GBK"/>
          <w:color w:val="000000"/>
          <w:spacing w:val="-2"/>
          <w:kern w:val="0"/>
          <w:sz w:val="24"/>
        </w:rPr>
        <w:t>城镇生活污水处理系统是保护城镇水环境、保障城镇功能的基础设施，对提高人民群众生活质量、促进城镇可持续发展具有十分重要的作用。</w:t>
      </w:r>
      <w:r>
        <w:rPr>
          <w:rFonts w:eastAsia="方正仿宋_GBK"/>
          <w:color w:val="000000"/>
          <w:spacing w:val="-2"/>
          <w:kern w:val="0"/>
          <w:sz w:val="24"/>
        </w:rPr>
        <w:t>“</w:t>
      </w:r>
      <w:r>
        <w:rPr>
          <w:rFonts w:hint="eastAsia" w:eastAsia="方正仿宋_GBK"/>
          <w:color w:val="000000"/>
          <w:spacing w:val="-2"/>
          <w:kern w:val="0"/>
          <w:sz w:val="24"/>
        </w:rPr>
        <w:t>九五</w:t>
      </w:r>
      <w:r>
        <w:rPr>
          <w:rFonts w:eastAsia="方正仿宋_GBK"/>
          <w:color w:val="000000"/>
          <w:spacing w:val="-2"/>
          <w:kern w:val="0"/>
          <w:sz w:val="24"/>
        </w:rPr>
        <w:t>”</w:t>
      </w:r>
      <w:r>
        <w:rPr>
          <w:rFonts w:hint="eastAsia" w:eastAsia="方正仿宋_GBK"/>
          <w:color w:val="000000"/>
          <w:spacing w:val="-2"/>
          <w:kern w:val="0"/>
          <w:sz w:val="24"/>
        </w:rPr>
        <w:t>以来，</w:t>
      </w:r>
      <w:r>
        <w:rPr>
          <w:rFonts w:hint="eastAsia" w:eastAsia="方正仿宋_GBK"/>
          <w:color w:val="000000"/>
          <w:spacing w:val="-2"/>
          <w:sz w:val="24"/>
        </w:rPr>
        <w:t>随着国家</w:t>
      </w:r>
      <w:r>
        <w:rPr>
          <w:rFonts w:eastAsia="方正仿宋_GBK"/>
          <w:color w:val="000000"/>
          <w:spacing w:val="-2"/>
          <w:sz w:val="24"/>
        </w:rPr>
        <w:t>“</w:t>
      </w:r>
      <w:r>
        <w:rPr>
          <w:rFonts w:hint="eastAsia" w:eastAsia="方正仿宋_GBK"/>
          <w:color w:val="000000"/>
          <w:spacing w:val="-2"/>
          <w:sz w:val="24"/>
        </w:rPr>
        <w:t>三河三湖</w:t>
      </w:r>
      <w:r>
        <w:rPr>
          <w:rFonts w:eastAsia="方正仿宋_GBK"/>
          <w:color w:val="000000"/>
          <w:spacing w:val="-2"/>
          <w:sz w:val="24"/>
        </w:rPr>
        <w:t>”</w:t>
      </w:r>
      <w:r>
        <w:rPr>
          <w:rFonts w:hint="eastAsia" w:eastAsia="方正仿宋_GBK"/>
          <w:color w:val="000000"/>
          <w:spacing w:val="-2"/>
          <w:sz w:val="24"/>
        </w:rPr>
        <w:t>水污染防治规划的实施，我省太湖流域建成了一批城镇生活污水处理设施，对防治水污染、改善太湖水环境发挥了重要作用。但是我省太湖流域一些地方和单位将不达标排放的工业废水直接接入城镇生活污水处理系统，造成城镇生活污水处理厂无法正常运行，尾水不能达标排放，直接影响了国家环境保护目标和太湖流域水污染防治目标的实现。各地城镇排水、环境保护主管部门必须从确保实现太湖流域水污染治理目标的高度，充分认识加强城镇污水处理系统接纳工业废水管理工作的重要性和紧迫性，进一步增强责任感，紧密协作，严格监管，采取切实有力措施，落实工业废水接入城镇生活污水处理系统相关工作要求。</w:t>
      </w:r>
    </w:p>
    <w:p>
      <w:pPr>
        <w:spacing w:line="440" w:lineRule="exact"/>
        <w:ind w:firstLine="472" w:firstLineChars="200"/>
        <w:rPr>
          <w:rFonts w:eastAsia="方正黑体_GBK"/>
          <w:color w:val="000000"/>
          <w:spacing w:val="-2"/>
          <w:kern w:val="0"/>
          <w:sz w:val="24"/>
        </w:rPr>
      </w:pPr>
      <w:r>
        <w:rPr>
          <w:rFonts w:hint="eastAsia" w:eastAsia="方正黑体_GBK"/>
          <w:color w:val="000000"/>
          <w:spacing w:val="-2"/>
          <w:kern w:val="0"/>
          <w:sz w:val="24"/>
        </w:rPr>
        <w:t>二、严格执行城镇排水许可、排污许可管理制度，规范工业废水排放行为</w:t>
      </w:r>
    </w:p>
    <w:p>
      <w:pPr>
        <w:spacing w:line="440" w:lineRule="exact"/>
        <w:ind w:firstLine="472" w:firstLineChars="200"/>
        <w:rPr>
          <w:rFonts w:eastAsia="方正仿宋_GBK"/>
          <w:color w:val="000000"/>
          <w:spacing w:val="-2"/>
          <w:kern w:val="0"/>
          <w:sz w:val="24"/>
        </w:rPr>
      </w:pPr>
      <w:r>
        <w:rPr>
          <w:rFonts w:hint="eastAsia" w:eastAsia="方正仿宋_GBK"/>
          <w:color w:val="000000"/>
          <w:spacing w:val="-2"/>
          <w:kern w:val="0"/>
          <w:sz w:val="24"/>
        </w:rPr>
        <w:t>认真贯彻落实《城镇排水与污水处理条例》、《城镇污水排入排水管网许可管理办法》和《污水排入城镇下水道水质标准》（</w:t>
      </w:r>
      <w:r>
        <w:rPr>
          <w:rFonts w:eastAsia="方正仿宋_GBK"/>
          <w:color w:val="000000"/>
          <w:spacing w:val="-2"/>
          <w:kern w:val="0"/>
          <w:sz w:val="24"/>
        </w:rPr>
        <w:t>GB/T 31962-2015</w:t>
      </w:r>
      <w:r>
        <w:rPr>
          <w:rFonts w:hint="eastAsia" w:eastAsia="方正仿宋_GBK"/>
          <w:color w:val="000000"/>
          <w:spacing w:val="-2"/>
          <w:kern w:val="0"/>
          <w:sz w:val="24"/>
        </w:rPr>
        <w:t>），排入城镇生活污水处理系统的工业废水必须符合水质等级标准。凡工业废水需接入城镇生活污水处理系统的排水单位，必须依法申领《城镇污水排入排水管网许可证》；未领取《城镇污水排入排水管网许可证》的排水户，一律不得将工业废水接入城镇生活污水处理系统。医疗卫生、生物制品、科学研究、肉类加工等含有病源体的废水必须经过严格消毒处理，除满足城</w:t>
      </w:r>
      <w:r>
        <w:rPr>
          <w:rFonts w:hint="eastAsia" w:eastAsia="方正仿宋_GBK"/>
          <w:color w:val="000000"/>
          <w:spacing w:val="-2"/>
          <w:sz w:val="24"/>
        </w:rPr>
        <w:t>镇</w:t>
      </w:r>
      <w:r>
        <w:rPr>
          <w:rFonts w:hint="eastAsia" w:eastAsia="方正仿宋_GBK"/>
          <w:color w:val="000000"/>
          <w:spacing w:val="-2"/>
          <w:kern w:val="0"/>
          <w:sz w:val="24"/>
        </w:rPr>
        <w:t>污水处理系统接纳标准外，还必须符合专业水质排放标准。对含有毒有害、易燃易爆物质的废水，含重金属、油脂或者其他难以生化降解物质的废水，含强酸、强碱等腐蚀性物质的废水，以及其他应当进行预处理后方可排入城镇排水设施的废水，排水户应当进行预处理，达到水质等级标准后方可排放。对生化性好，超过污水接纳标准但不致对城</w:t>
      </w:r>
      <w:r>
        <w:rPr>
          <w:rFonts w:hint="eastAsia" w:eastAsia="方正仿宋_GBK"/>
          <w:color w:val="000000"/>
          <w:spacing w:val="-2"/>
          <w:sz w:val="24"/>
        </w:rPr>
        <w:t>镇</w:t>
      </w:r>
      <w:r>
        <w:rPr>
          <w:rFonts w:hint="eastAsia" w:eastAsia="方正仿宋_GBK"/>
          <w:color w:val="000000"/>
          <w:spacing w:val="-2"/>
          <w:kern w:val="0"/>
          <w:sz w:val="24"/>
        </w:rPr>
        <w:t>排水与污水处理设施造成损害的，须与污水处理企业协商一致并报经城</w:t>
      </w:r>
      <w:r>
        <w:rPr>
          <w:rFonts w:hint="eastAsia" w:eastAsia="方正仿宋_GBK"/>
          <w:color w:val="000000"/>
          <w:spacing w:val="-2"/>
          <w:sz w:val="24"/>
        </w:rPr>
        <w:t>镇</w:t>
      </w:r>
      <w:r>
        <w:rPr>
          <w:rFonts w:hint="eastAsia" w:eastAsia="方正仿宋_GBK"/>
          <w:color w:val="000000"/>
          <w:spacing w:val="-2"/>
          <w:kern w:val="0"/>
          <w:sz w:val="24"/>
        </w:rPr>
        <w:t>排水、环境保护主管部门同意后，方可向城镇生活污水处理系统排放污水，同时增缴一定的污水处理费。对纺织染整、化工、造纸、钢铁、电镀、食品制造等工业排水户，应当自行建设污水处理设施，尾水排放必须严格执行国家和地方规定的水污染物排放标准。</w:t>
      </w:r>
    </w:p>
    <w:p>
      <w:pPr>
        <w:spacing w:line="440" w:lineRule="exact"/>
        <w:ind w:firstLine="472" w:firstLineChars="200"/>
        <w:rPr>
          <w:rFonts w:eastAsia="方正黑体_GBK"/>
          <w:color w:val="000000"/>
          <w:spacing w:val="-2"/>
          <w:kern w:val="0"/>
          <w:sz w:val="24"/>
        </w:rPr>
      </w:pPr>
      <w:r>
        <w:rPr>
          <w:rFonts w:hint="eastAsia" w:eastAsia="方正黑体_GBK"/>
          <w:color w:val="000000"/>
          <w:spacing w:val="-2"/>
          <w:kern w:val="0"/>
          <w:sz w:val="24"/>
        </w:rPr>
        <w:t>三、完善工业废水排放检测、监控设施，增强监督管理的科学性、规范性</w:t>
      </w:r>
    </w:p>
    <w:p>
      <w:pPr>
        <w:spacing w:line="440" w:lineRule="exact"/>
        <w:ind w:firstLine="472" w:firstLineChars="200"/>
        <w:rPr>
          <w:rFonts w:eastAsia="方正仿宋_GBK"/>
          <w:color w:val="000000"/>
          <w:spacing w:val="-2"/>
          <w:kern w:val="0"/>
          <w:sz w:val="24"/>
        </w:rPr>
      </w:pPr>
      <w:r>
        <w:rPr>
          <w:rFonts w:hint="eastAsia" w:eastAsia="方正仿宋_GBK"/>
          <w:color w:val="000000"/>
          <w:spacing w:val="-2"/>
          <w:sz w:val="24"/>
        </w:rPr>
        <w:t>对</w:t>
      </w:r>
      <w:r>
        <w:rPr>
          <w:rFonts w:hint="eastAsia" w:eastAsia="方正仿宋_GBK"/>
          <w:color w:val="000000"/>
          <w:spacing w:val="-2"/>
          <w:kern w:val="0"/>
          <w:sz w:val="24"/>
        </w:rPr>
        <w:t>工业废水排入城镇生活污水处理系统的排放单位，只允许设置</w:t>
      </w:r>
      <w:r>
        <w:rPr>
          <w:rFonts w:eastAsia="方正仿宋_GBK"/>
          <w:color w:val="000000"/>
          <w:spacing w:val="-2"/>
          <w:kern w:val="0"/>
          <w:sz w:val="24"/>
        </w:rPr>
        <w:t>1</w:t>
      </w:r>
      <w:r>
        <w:rPr>
          <w:rFonts w:hint="eastAsia" w:eastAsia="方正仿宋_GBK"/>
          <w:color w:val="000000"/>
          <w:spacing w:val="-2"/>
          <w:kern w:val="0"/>
          <w:sz w:val="24"/>
        </w:rPr>
        <w:t>个污水排放口，因特殊情况需增设的，必须报请城</w:t>
      </w:r>
      <w:r>
        <w:rPr>
          <w:rFonts w:hint="eastAsia" w:eastAsia="方正仿宋_GBK"/>
          <w:color w:val="000000"/>
          <w:spacing w:val="-2"/>
          <w:sz w:val="24"/>
        </w:rPr>
        <w:t>镇</w:t>
      </w:r>
      <w:r>
        <w:rPr>
          <w:rFonts w:hint="eastAsia" w:eastAsia="方正仿宋_GBK"/>
          <w:color w:val="000000"/>
          <w:spacing w:val="-2"/>
          <w:kern w:val="0"/>
          <w:sz w:val="24"/>
        </w:rPr>
        <w:t>排水、环境保护主管部门同意。排水口设置应做到位置合理、标志明显，便于计量监测。所有工业废水排放口必须设置具有格栅和闸门等设施的专用检查井，安装污水水量计量装置和水质在线监测仪表等，并与城</w:t>
      </w:r>
      <w:r>
        <w:rPr>
          <w:rFonts w:hint="eastAsia" w:eastAsia="方正仿宋_GBK"/>
          <w:color w:val="000000"/>
          <w:spacing w:val="-2"/>
          <w:sz w:val="24"/>
        </w:rPr>
        <w:t>镇</w:t>
      </w:r>
      <w:r>
        <w:rPr>
          <w:rFonts w:hint="eastAsia" w:eastAsia="方正仿宋_GBK"/>
          <w:color w:val="000000"/>
          <w:spacing w:val="-2"/>
          <w:kern w:val="0"/>
          <w:sz w:val="24"/>
        </w:rPr>
        <w:t>排水、环境保护主管部门联网。</w:t>
      </w:r>
    </w:p>
    <w:p>
      <w:pPr>
        <w:spacing w:line="440" w:lineRule="exact"/>
        <w:ind w:firstLine="472" w:firstLineChars="200"/>
        <w:rPr>
          <w:rFonts w:eastAsia="方正仿宋_GBK"/>
          <w:color w:val="000000"/>
          <w:spacing w:val="-2"/>
          <w:kern w:val="0"/>
          <w:sz w:val="24"/>
        </w:rPr>
      </w:pPr>
      <w:r>
        <w:rPr>
          <w:rFonts w:hint="eastAsia" w:eastAsia="方正仿宋_GBK"/>
          <w:color w:val="000000"/>
          <w:spacing w:val="-2"/>
          <w:kern w:val="0"/>
          <w:sz w:val="24"/>
        </w:rPr>
        <w:t>各地城</w:t>
      </w:r>
      <w:r>
        <w:rPr>
          <w:rFonts w:hint="eastAsia" w:eastAsia="方正仿宋_GBK"/>
          <w:color w:val="000000"/>
          <w:spacing w:val="-2"/>
          <w:sz w:val="24"/>
        </w:rPr>
        <w:t>镇</w:t>
      </w:r>
      <w:r>
        <w:rPr>
          <w:rFonts w:hint="eastAsia" w:eastAsia="方正仿宋_GBK"/>
          <w:color w:val="000000"/>
          <w:spacing w:val="-2"/>
          <w:kern w:val="0"/>
          <w:sz w:val="24"/>
        </w:rPr>
        <w:t>排水主管部门要建立专门档案，对工业废水排入城镇生活污水处理系统的排放单位进行归类管理，对可能出现超标工业废水排入城镇生活污水处理系统的排放单位进行重点监测监管，被监测单位应当予以配合。实行水质水量报告制度，接管排放单位应按要求将排入城镇生活污水处理系统的废水水质和水量报告城</w:t>
      </w:r>
      <w:r>
        <w:rPr>
          <w:rFonts w:hint="eastAsia" w:eastAsia="方正仿宋_GBK"/>
          <w:color w:val="000000"/>
          <w:spacing w:val="-2"/>
          <w:sz w:val="24"/>
        </w:rPr>
        <w:t>镇</w:t>
      </w:r>
      <w:r>
        <w:rPr>
          <w:rFonts w:hint="eastAsia" w:eastAsia="方正仿宋_GBK"/>
          <w:color w:val="000000"/>
          <w:spacing w:val="-2"/>
          <w:kern w:val="0"/>
          <w:sz w:val="24"/>
        </w:rPr>
        <w:t>排水主管部门；对工业废水预处理后排入城镇生活污水处理系统的单位，应一并报送污水预处理设施运转状况和排放水质化验资料。</w:t>
      </w:r>
    </w:p>
    <w:p>
      <w:pPr>
        <w:spacing w:line="440" w:lineRule="exact"/>
        <w:ind w:firstLine="472" w:firstLineChars="200"/>
        <w:rPr>
          <w:rFonts w:eastAsia="方正黑体_GBK"/>
          <w:color w:val="000000"/>
          <w:spacing w:val="-2"/>
          <w:kern w:val="0"/>
          <w:sz w:val="24"/>
        </w:rPr>
      </w:pPr>
      <w:r>
        <w:rPr>
          <w:rFonts w:hint="eastAsia" w:eastAsia="方正黑体_GBK"/>
          <w:color w:val="000000"/>
          <w:spacing w:val="-2"/>
          <w:kern w:val="0"/>
          <w:sz w:val="24"/>
        </w:rPr>
        <w:t>四、加强监督检查，严厉查处工业废水违法排放行为</w:t>
      </w:r>
    </w:p>
    <w:p>
      <w:pPr>
        <w:spacing w:line="440" w:lineRule="exact"/>
        <w:ind w:firstLine="472" w:firstLineChars="200"/>
        <w:rPr>
          <w:rFonts w:eastAsia="方正仿宋_GBK"/>
          <w:color w:val="000000"/>
          <w:spacing w:val="-2"/>
          <w:kern w:val="0"/>
          <w:sz w:val="24"/>
        </w:rPr>
      </w:pPr>
      <w:r>
        <w:rPr>
          <w:rFonts w:hint="eastAsia" w:eastAsia="方正仿宋_GBK"/>
          <w:color w:val="000000"/>
          <w:spacing w:val="-2"/>
          <w:kern w:val="0"/>
          <w:sz w:val="24"/>
        </w:rPr>
        <w:t>各地城</w:t>
      </w:r>
      <w:r>
        <w:rPr>
          <w:rFonts w:hint="eastAsia" w:eastAsia="方正仿宋_GBK"/>
          <w:color w:val="000000"/>
          <w:spacing w:val="-2"/>
          <w:sz w:val="24"/>
        </w:rPr>
        <w:t>镇</w:t>
      </w:r>
      <w:r>
        <w:rPr>
          <w:rFonts w:hint="eastAsia" w:eastAsia="方正仿宋_GBK"/>
          <w:color w:val="000000"/>
          <w:spacing w:val="-2"/>
          <w:kern w:val="0"/>
          <w:sz w:val="24"/>
        </w:rPr>
        <w:t>排水、环境保护主管部门要严格执行国家与地方水污染防治法律法规规定，</w:t>
      </w:r>
      <w:r>
        <w:rPr>
          <w:rFonts w:hint="eastAsia" w:eastAsia="方正仿宋_GBK"/>
          <w:color w:val="000000"/>
          <w:spacing w:val="-2"/>
          <w:sz w:val="24"/>
        </w:rPr>
        <w:t>建立</w:t>
      </w:r>
      <w:r>
        <w:rPr>
          <w:rFonts w:hint="eastAsia" w:eastAsia="方正仿宋_GBK"/>
          <w:color w:val="000000"/>
          <w:spacing w:val="-2"/>
          <w:kern w:val="0"/>
          <w:sz w:val="24"/>
        </w:rPr>
        <w:t>监督检查制度，定期和不定期开展巡查，发现工业废水超标排入城镇生活污水处理系统的，立即责令排放单位限期整改并按规定进行处罚，同时采取限制、禁止排放等管制措施，确保排入城镇生活污水处理系统的工业废水符合要求。要建立部门联动机制，各地城</w:t>
      </w:r>
      <w:r>
        <w:rPr>
          <w:rFonts w:hint="eastAsia" w:eastAsia="方正仿宋_GBK"/>
          <w:color w:val="000000"/>
          <w:spacing w:val="-2"/>
          <w:sz w:val="24"/>
        </w:rPr>
        <w:t>镇</w:t>
      </w:r>
      <w:r>
        <w:rPr>
          <w:rFonts w:hint="eastAsia" w:eastAsia="方正仿宋_GBK"/>
          <w:color w:val="000000"/>
          <w:spacing w:val="-2"/>
          <w:kern w:val="0"/>
          <w:sz w:val="24"/>
        </w:rPr>
        <w:t>排水主管部门与环境保护主管部门要实行检测数据共享、检查情况互报（送）制度。采用联合执法方式，一旦发现排放单位有超标排放行为的，环境保护主管部门依据有关法律法规，加大处罚力度；城</w:t>
      </w:r>
      <w:r>
        <w:rPr>
          <w:rFonts w:hint="eastAsia" w:eastAsia="方正仿宋_GBK"/>
          <w:color w:val="000000"/>
          <w:spacing w:val="-2"/>
          <w:sz w:val="24"/>
        </w:rPr>
        <w:t>镇</w:t>
      </w:r>
      <w:r>
        <w:rPr>
          <w:rFonts w:hint="eastAsia" w:eastAsia="方正仿宋_GBK"/>
          <w:color w:val="000000"/>
          <w:spacing w:val="-2"/>
          <w:kern w:val="0"/>
          <w:sz w:val="24"/>
        </w:rPr>
        <w:t>排水主管部门采取关（封）闭闸门的强制措施，坚决杜绝超标工业废水接入城镇生活污水处理系统，确保城镇生活污水处理厂正常运行。</w:t>
      </w:r>
    </w:p>
    <w:p>
      <w:pPr>
        <w:spacing w:line="440" w:lineRule="exact"/>
        <w:ind w:firstLine="472" w:firstLineChars="200"/>
        <w:rPr>
          <w:rFonts w:eastAsia="方正黑体_GBK"/>
          <w:color w:val="000000"/>
          <w:spacing w:val="-2"/>
          <w:kern w:val="0"/>
          <w:sz w:val="24"/>
        </w:rPr>
      </w:pPr>
      <w:r>
        <w:rPr>
          <w:rFonts w:hint="eastAsia" w:eastAsia="方正黑体_GBK"/>
          <w:color w:val="000000"/>
          <w:spacing w:val="-2"/>
          <w:kern w:val="0"/>
          <w:sz w:val="24"/>
        </w:rPr>
        <w:t>五、建立责任考核机制，落实责任追究制度</w:t>
      </w:r>
    </w:p>
    <w:p>
      <w:pPr>
        <w:spacing w:line="440" w:lineRule="exact"/>
        <w:ind w:firstLine="472" w:firstLineChars="200"/>
        <w:rPr>
          <w:rFonts w:eastAsia="方正仿宋_GBK"/>
          <w:color w:val="000000"/>
          <w:spacing w:val="-2"/>
          <w:sz w:val="24"/>
        </w:rPr>
      </w:pPr>
      <w:r>
        <w:rPr>
          <w:rFonts w:hint="eastAsia" w:eastAsia="方正仿宋_GBK"/>
          <w:color w:val="000000"/>
          <w:spacing w:val="-2"/>
          <w:sz w:val="24"/>
        </w:rPr>
        <w:t>建立</w:t>
      </w:r>
      <w:r>
        <w:rPr>
          <w:rFonts w:eastAsia="方正仿宋_GBK"/>
          <w:color w:val="000000"/>
          <w:spacing w:val="-2"/>
          <w:sz w:val="24"/>
        </w:rPr>
        <w:t>“</w:t>
      </w:r>
      <w:r>
        <w:rPr>
          <w:rFonts w:hint="eastAsia" w:eastAsia="方正仿宋_GBK"/>
          <w:color w:val="000000"/>
          <w:spacing w:val="-2"/>
          <w:sz w:val="24"/>
        </w:rPr>
        <w:t>谁接管，谁负责</w:t>
      </w:r>
      <w:r>
        <w:rPr>
          <w:rFonts w:eastAsia="方正仿宋_GBK"/>
          <w:color w:val="000000"/>
          <w:spacing w:val="-2"/>
          <w:sz w:val="24"/>
        </w:rPr>
        <w:t>”</w:t>
      </w:r>
      <w:r>
        <w:rPr>
          <w:rFonts w:hint="eastAsia" w:eastAsia="方正仿宋_GBK"/>
          <w:color w:val="000000"/>
          <w:spacing w:val="-2"/>
          <w:sz w:val="24"/>
        </w:rPr>
        <w:t>的责任追究制度，严禁超标工业废水接入城镇生活污水处理系统。城镇排水管理人员违规发放排水许可证的，要依照有关法律法规规定进行处分，构成犯罪的，依法追究刑事责任。建立城镇生活污水处理厂尾水达标排放责任制，严禁城镇污水处理厂尾水超标排放。城镇生活污水处理厂擅自接纳超标工业废水，致使城镇生活污水处理系统不能正常运行或导致尾水不能达标排放的，要依法追究污水处理企业和法定代表人责任，并扣除或追缴相应的污水处理费用。各地</w:t>
      </w:r>
      <w:r>
        <w:rPr>
          <w:rFonts w:hint="eastAsia" w:eastAsia="方正仿宋_GBK"/>
          <w:color w:val="000000"/>
          <w:spacing w:val="-2"/>
          <w:kern w:val="0"/>
          <w:sz w:val="24"/>
        </w:rPr>
        <w:t>城</w:t>
      </w:r>
      <w:r>
        <w:rPr>
          <w:rFonts w:hint="eastAsia" w:eastAsia="方正仿宋_GBK"/>
          <w:color w:val="000000"/>
          <w:spacing w:val="-2"/>
          <w:sz w:val="24"/>
        </w:rPr>
        <w:t>镇</w:t>
      </w:r>
      <w:r>
        <w:rPr>
          <w:rFonts w:hint="eastAsia" w:eastAsia="方正仿宋_GBK"/>
          <w:color w:val="000000"/>
          <w:spacing w:val="-2"/>
          <w:kern w:val="0"/>
          <w:sz w:val="24"/>
        </w:rPr>
        <w:t>排水主管部门</w:t>
      </w:r>
      <w:r>
        <w:rPr>
          <w:rFonts w:hint="eastAsia" w:eastAsia="方正仿宋_GBK"/>
          <w:color w:val="000000"/>
          <w:spacing w:val="-2"/>
          <w:sz w:val="24"/>
        </w:rPr>
        <w:t>要加强对污水处理系统的维护与运行监管，督促城镇生活污水处理厂完善内部管理，及时报送污水处理厂进、出水的水质水量情况与运行质量情况，并按规定要求向上级主管部门报送。</w:t>
      </w:r>
    </w:p>
    <w:p>
      <w:pPr>
        <w:spacing w:line="440" w:lineRule="exact"/>
        <w:ind w:firstLine="472" w:firstLineChars="200"/>
        <w:rPr>
          <w:rFonts w:eastAsia="方正仿宋_GBK"/>
          <w:color w:val="000000"/>
          <w:spacing w:val="-2"/>
          <w:sz w:val="24"/>
        </w:rPr>
      </w:pPr>
      <w:r>
        <w:rPr>
          <w:rFonts w:hint="eastAsia" w:eastAsia="方正仿宋_GBK"/>
          <w:color w:val="000000"/>
          <w:spacing w:val="-2"/>
          <w:sz w:val="24"/>
        </w:rPr>
        <w:t>各地城镇排水主管部门要会同当地财政部门，研究建立运营服务费核拨管理办法，实行运营服务费的核拨与污水处理厂出水水质挂钩。对出水不达标的污水处理厂，依照规定扣减运营服务费，同时要责令限期整改。整改后仍然不符合规定要求，采取通报批评、追讨运营服务费等惩处措施。为督促各地城镇污水处理厂正常运行、达标排放，省住房城乡建设厅、环保厅将定期组织专项检查，发现城镇污水处理厂运行不正常、排放不达标的地区，对当地主管部门及有关责任人实行通报批评，情况严重的，将按照相关规定追究主管部门和污水处理企业的责任，并扣减该地区污水处理设施建设中央、省级专项补助资金，等等。</w:t>
      </w:r>
    </w:p>
    <w:p>
      <w:pPr>
        <w:spacing w:line="440" w:lineRule="exact"/>
        <w:ind w:firstLine="496" w:firstLineChars="200"/>
        <w:rPr>
          <w:rFonts w:eastAsia="方正仿宋_GBK"/>
          <w:color w:val="000000"/>
          <w:spacing w:val="4"/>
          <w:sz w:val="24"/>
        </w:rPr>
      </w:pPr>
      <w:r>
        <w:rPr>
          <w:rFonts w:hint="eastAsia" w:eastAsia="方正仿宋_GBK"/>
          <w:color w:val="000000"/>
          <w:spacing w:val="4"/>
          <w:sz w:val="24"/>
        </w:rPr>
        <w:t>各地</w:t>
      </w:r>
      <w:r>
        <w:rPr>
          <w:rFonts w:hint="eastAsia" w:eastAsia="方正仿宋_GBK"/>
          <w:color w:val="000000"/>
          <w:spacing w:val="4"/>
          <w:kern w:val="0"/>
          <w:sz w:val="24"/>
        </w:rPr>
        <w:t>城</w:t>
      </w:r>
      <w:r>
        <w:rPr>
          <w:rFonts w:hint="eastAsia" w:eastAsia="方正仿宋_GBK"/>
          <w:color w:val="000000"/>
          <w:spacing w:val="-2"/>
          <w:sz w:val="24"/>
        </w:rPr>
        <w:t>镇</w:t>
      </w:r>
      <w:r>
        <w:rPr>
          <w:rFonts w:hint="eastAsia" w:eastAsia="方正仿宋_GBK"/>
          <w:color w:val="000000"/>
          <w:spacing w:val="4"/>
          <w:kern w:val="0"/>
          <w:sz w:val="24"/>
        </w:rPr>
        <w:t>排水、环境保护主管部门</w:t>
      </w:r>
      <w:r>
        <w:rPr>
          <w:rFonts w:hint="eastAsia" w:eastAsia="方正仿宋_GBK"/>
          <w:color w:val="000000"/>
          <w:spacing w:val="4"/>
          <w:sz w:val="24"/>
        </w:rPr>
        <w:t>要根据本通知精神，认真排查城镇污水处理系统接纳工业废水情况，发现不符合接纳标准的，坚决不予接纳，由排水户自行建设污水处理设施，达标排放。对符合接纳标准的，要实行排水许可制度，由排水户申领城镇污水排入排水管网许可证，排水口设置专用检查井，并安装污水计量装置和水质在线监测仪表。</w:t>
      </w:r>
    </w:p>
    <w:p>
      <w:pPr>
        <w:spacing w:line="440" w:lineRule="exact"/>
        <w:ind w:firstLine="472" w:firstLineChars="200"/>
        <w:rPr>
          <w:rFonts w:eastAsia="方正仿宋_GBK"/>
          <w:color w:val="000000"/>
          <w:spacing w:val="-2"/>
          <w:sz w:val="24"/>
        </w:rPr>
      </w:pPr>
      <w:r>
        <w:rPr>
          <w:rFonts w:hint="eastAsia" w:eastAsia="方正仿宋_GBK"/>
          <w:color w:val="000000"/>
          <w:spacing w:val="-2"/>
          <w:sz w:val="24"/>
        </w:rPr>
        <w:t>各地执行过程中遇到的问题时请及时与省住房城乡建设厅、环保厅联系。</w:t>
      </w:r>
    </w:p>
    <w:p>
      <w:pPr>
        <w:spacing w:line="440" w:lineRule="exact"/>
        <w:ind w:firstLine="472" w:firstLineChars="200"/>
        <w:rPr>
          <w:rFonts w:eastAsia="方正仿宋_GBK"/>
          <w:color w:val="000000"/>
          <w:spacing w:val="-2"/>
          <w:sz w:val="24"/>
        </w:rPr>
      </w:pPr>
    </w:p>
    <w:p>
      <w:pPr>
        <w:spacing w:line="460" w:lineRule="exact"/>
        <w:ind w:right="-22"/>
        <w:jc w:val="center"/>
        <w:rPr>
          <w:rFonts w:eastAsia="方正仿宋_GBK"/>
          <w:color w:val="000000"/>
          <w:spacing w:val="-2"/>
          <w:sz w:val="24"/>
        </w:rPr>
      </w:pPr>
      <w:r>
        <w:rPr>
          <w:rFonts w:eastAsia="方正仿宋_GBK"/>
          <w:color w:val="000000"/>
          <w:spacing w:val="-2"/>
          <w:sz w:val="24"/>
        </w:rPr>
        <w:t xml:space="preserve">                                                </w:t>
      </w:r>
      <w:r>
        <w:rPr>
          <w:rFonts w:hint="eastAsia" w:eastAsia="方正仿宋_GBK"/>
          <w:color w:val="000000"/>
          <w:spacing w:val="-2"/>
          <w:sz w:val="24"/>
        </w:rPr>
        <w:t>江苏省住房城乡建设厅</w:t>
      </w:r>
    </w:p>
    <w:p>
      <w:pPr>
        <w:spacing w:line="460" w:lineRule="exact"/>
        <w:ind w:right="399" w:firstLine="5989" w:firstLineChars="2538"/>
        <w:jc w:val="distribute"/>
        <w:rPr>
          <w:rFonts w:eastAsia="方正仿宋_GBK"/>
          <w:color w:val="000000"/>
          <w:spacing w:val="-2"/>
          <w:sz w:val="24"/>
        </w:rPr>
      </w:pPr>
      <w:r>
        <w:rPr>
          <w:rFonts w:hint="eastAsia" w:eastAsia="方正仿宋_GBK"/>
          <w:color w:val="000000"/>
          <w:spacing w:val="-2"/>
          <w:sz w:val="24"/>
        </w:rPr>
        <w:t>江苏省环境保护厅</w:t>
      </w:r>
    </w:p>
    <w:p>
      <w:pPr>
        <w:spacing w:line="460" w:lineRule="exact"/>
        <w:ind w:firstLine="6136" w:firstLineChars="2600"/>
        <w:rPr>
          <w:rFonts w:eastAsia="方正仿宋_GBK"/>
          <w:color w:val="000000"/>
          <w:spacing w:val="-2"/>
          <w:sz w:val="24"/>
        </w:rPr>
      </w:pPr>
      <w:r>
        <w:rPr>
          <w:rFonts w:hint="eastAsia" w:eastAsia="方正仿宋_GBK"/>
          <w:color w:val="000000"/>
          <w:spacing w:val="-2"/>
          <w:sz w:val="24"/>
        </w:rPr>
        <w:t>二〇〇八年七月一日</w:t>
      </w:r>
    </w:p>
    <w:p/>
    <w:p/>
    <w:p/>
    <w:p>
      <w:pPr>
        <w:pStyle w:val="2"/>
        <w:spacing w:before="240" w:beforeLines="100" w:after="240" w:afterLines="100" w:line="240" w:lineRule="auto"/>
        <w:jc w:val="center"/>
        <w:rPr>
          <w:rFonts w:ascii="Times New Roman" w:eastAsia="方正小标宋_GBK"/>
          <w:b w:val="0"/>
          <w:sz w:val="36"/>
          <w:szCs w:val="36"/>
        </w:rPr>
      </w:pPr>
      <w:bookmarkStart w:id="78" w:name="_Toc20726324"/>
      <w:bookmarkStart w:id="79" w:name="_Toc18315404"/>
      <w:r>
        <w:rPr>
          <w:rFonts w:hint="eastAsia" w:ascii="Times New Roman" w:eastAsia="方正小标宋_GBK"/>
          <w:b w:val="0"/>
          <w:sz w:val="36"/>
          <w:szCs w:val="36"/>
        </w:rPr>
        <w:t>关于印发《江苏省城市供水水质管理办法（试行）》的通知</w:t>
      </w:r>
      <w:bookmarkEnd w:id="78"/>
      <w:bookmarkEnd w:id="79"/>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80" w:name="_Toc20726325"/>
      <w:bookmarkStart w:id="81" w:name="_Toc18315405"/>
      <w:r>
        <w:rPr>
          <w:rFonts w:hint="eastAsia" w:ascii="Times New Roman" w:hAnsi="Times New Roman" w:eastAsia="方正楷体_GBK"/>
          <w:b w:val="0"/>
          <w:sz w:val="24"/>
          <w:szCs w:val="24"/>
        </w:rPr>
        <w:t>苏建规字〔</w:t>
      </w:r>
      <w:r>
        <w:rPr>
          <w:rFonts w:ascii="Times New Roman" w:hAnsi="Times New Roman" w:eastAsia="方正楷体_GBK"/>
          <w:b w:val="0"/>
          <w:sz w:val="24"/>
          <w:szCs w:val="24"/>
        </w:rPr>
        <w:t>2009</w:t>
      </w:r>
      <w:r>
        <w:rPr>
          <w:rFonts w:hint="eastAsia" w:ascii="Times New Roman" w:hAnsi="Times New Roman" w:eastAsia="方正楷体_GBK"/>
          <w:b w:val="0"/>
          <w:sz w:val="24"/>
          <w:szCs w:val="24"/>
        </w:rPr>
        <w:t>〕</w:t>
      </w:r>
      <w:r>
        <w:rPr>
          <w:rFonts w:ascii="Times New Roman" w:hAnsi="Times New Roman" w:eastAsia="方正楷体_GBK"/>
          <w:b w:val="0"/>
          <w:sz w:val="24"/>
          <w:szCs w:val="24"/>
        </w:rPr>
        <w:t>1</w:t>
      </w:r>
      <w:r>
        <w:rPr>
          <w:rFonts w:hint="eastAsia" w:ascii="Times New Roman" w:hAnsi="Times New Roman" w:eastAsia="方正楷体_GBK"/>
          <w:b w:val="0"/>
          <w:sz w:val="24"/>
          <w:szCs w:val="24"/>
        </w:rPr>
        <w:t>号</w:t>
      </w:r>
      <w:bookmarkEnd w:id="80"/>
      <w:bookmarkEnd w:id="81"/>
    </w:p>
    <w:p>
      <w:pPr>
        <w:spacing w:line="460" w:lineRule="exact"/>
        <w:rPr>
          <w:rFonts w:eastAsia="方正仿宋_GBK"/>
          <w:color w:val="000000"/>
          <w:spacing w:val="-2"/>
          <w:sz w:val="24"/>
        </w:rPr>
      </w:pPr>
      <w:r>
        <w:rPr>
          <w:rFonts w:hint="eastAsia" w:eastAsia="方正仿宋_GBK"/>
          <w:color w:val="000000"/>
          <w:spacing w:val="-2"/>
          <w:sz w:val="24"/>
        </w:rPr>
        <w:t>各市建设局、市政公用局，苏州、宿迁市水务局：</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为加强城市供水水质管理，规范水质信息报告行为，确保城市饮用水安全，依据《城市供水水质管理规定》（建设部第</w:t>
      </w:r>
      <w:r>
        <w:rPr>
          <w:rFonts w:eastAsia="方正仿宋_GBK"/>
          <w:color w:val="000000"/>
          <w:spacing w:val="-2"/>
          <w:sz w:val="24"/>
        </w:rPr>
        <w:t>67</w:t>
      </w:r>
      <w:r>
        <w:rPr>
          <w:rFonts w:hint="eastAsia" w:eastAsia="方正仿宋_GBK"/>
          <w:color w:val="000000"/>
          <w:spacing w:val="-2"/>
          <w:sz w:val="24"/>
        </w:rPr>
        <w:t>号令）以及相关标准和规范要求，我厅制定了《江苏省城市供水水质管理办法（试行）》，现印发给你们，请遵照执行。</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在执行过程中如有意见和建议，请与我厅城市建设与管理处联系。联系人：林国峰，</w:t>
      </w:r>
      <w:r>
        <w:rPr>
          <w:rFonts w:eastAsia="方正仿宋_GBK"/>
          <w:color w:val="000000"/>
          <w:spacing w:val="-2"/>
          <w:sz w:val="24"/>
        </w:rPr>
        <w:t>025-51868567</w:t>
      </w:r>
      <w:r>
        <w:rPr>
          <w:rFonts w:hint="eastAsia" w:eastAsia="方正仿宋_GBK"/>
          <w:color w:val="000000"/>
          <w:spacing w:val="-2"/>
          <w:sz w:val="24"/>
        </w:rPr>
        <w:t>。</w:t>
      </w:r>
    </w:p>
    <w:p>
      <w:pPr>
        <w:spacing w:line="460" w:lineRule="exact"/>
        <w:ind w:firstLine="645"/>
        <w:rPr>
          <w:rFonts w:eastAsia="方正仿宋_GBK"/>
          <w:color w:val="000000"/>
          <w:spacing w:val="-2"/>
          <w:sz w:val="24"/>
        </w:rPr>
      </w:pPr>
    </w:p>
    <w:p>
      <w:pPr>
        <w:spacing w:line="460" w:lineRule="exact"/>
        <w:ind w:firstLine="645"/>
        <w:rPr>
          <w:rFonts w:eastAsia="方正仿宋_GBK"/>
          <w:color w:val="000000"/>
          <w:spacing w:val="-2"/>
          <w:sz w:val="24"/>
        </w:rPr>
      </w:pPr>
      <w:r>
        <w:rPr>
          <w:rFonts w:hint="eastAsia" w:eastAsia="方正仿宋_GBK"/>
          <w:color w:val="000000"/>
          <w:spacing w:val="-2"/>
          <w:sz w:val="24"/>
        </w:rPr>
        <w:t>附件：《江苏省城市供水水质管理办法（试行）》</w:t>
      </w:r>
    </w:p>
    <w:p>
      <w:pPr>
        <w:spacing w:line="460" w:lineRule="exact"/>
        <w:ind w:firstLine="645"/>
        <w:rPr>
          <w:rFonts w:eastAsia="方正仿宋_GBK"/>
          <w:color w:val="000000"/>
          <w:spacing w:val="-2"/>
          <w:sz w:val="24"/>
        </w:rPr>
      </w:pPr>
    </w:p>
    <w:p>
      <w:pPr>
        <w:wordWrap w:val="0"/>
        <w:spacing w:line="460" w:lineRule="exact"/>
        <w:ind w:firstLine="645"/>
        <w:jc w:val="right"/>
        <w:rPr>
          <w:rFonts w:eastAsia="方正仿宋_GBK"/>
          <w:color w:val="000000"/>
          <w:spacing w:val="-2"/>
          <w:sz w:val="24"/>
        </w:rPr>
      </w:pPr>
      <w:r>
        <w:rPr>
          <w:rFonts w:eastAsia="方正仿宋_GBK"/>
          <w:color w:val="000000"/>
          <w:spacing w:val="-2"/>
          <w:sz w:val="24"/>
        </w:rPr>
        <w:t xml:space="preserve"> </w:t>
      </w:r>
      <w:r>
        <w:rPr>
          <w:rFonts w:hint="eastAsia" w:eastAsia="方正仿宋_GBK"/>
          <w:color w:val="000000"/>
          <w:spacing w:val="-2"/>
          <w:sz w:val="24"/>
        </w:rPr>
        <w:t>江苏省建设厅</w:t>
      </w:r>
      <w:r>
        <w:rPr>
          <w:rFonts w:eastAsia="方正仿宋_GBK"/>
          <w:color w:val="000000"/>
          <w:spacing w:val="-2"/>
          <w:sz w:val="24"/>
        </w:rPr>
        <w:t xml:space="preserve">         </w:t>
      </w:r>
    </w:p>
    <w:p>
      <w:pPr>
        <w:wordWrap w:val="0"/>
        <w:spacing w:line="460" w:lineRule="exact"/>
        <w:ind w:firstLine="645"/>
        <w:jc w:val="right"/>
        <w:rPr>
          <w:rFonts w:eastAsia="方正仿宋_GBK"/>
          <w:color w:val="000000"/>
          <w:spacing w:val="-2"/>
          <w:sz w:val="24"/>
        </w:rPr>
      </w:pPr>
      <w:r>
        <w:rPr>
          <w:rFonts w:hint="eastAsia" w:eastAsia="方正仿宋_GBK"/>
          <w:color w:val="000000"/>
          <w:spacing w:val="-2"/>
          <w:sz w:val="24"/>
        </w:rPr>
        <w:t>二○○九年七月十四日</w:t>
      </w:r>
      <w:r>
        <w:rPr>
          <w:rFonts w:eastAsia="方正仿宋_GBK"/>
          <w:color w:val="000000"/>
          <w:spacing w:val="-2"/>
          <w:sz w:val="24"/>
        </w:rPr>
        <w:t xml:space="preserve">    </w:t>
      </w:r>
    </w:p>
    <w:p>
      <w:pPr>
        <w:spacing w:line="460" w:lineRule="exact"/>
        <w:rPr>
          <w:rFonts w:eastAsia="方正仿宋_GBK"/>
          <w:color w:val="000000"/>
          <w:spacing w:val="-2"/>
          <w:sz w:val="24"/>
        </w:rPr>
      </w:pPr>
    </w:p>
    <w:p>
      <w:pPr>
        <w:spacing w:line="460" w:lineRule="exact"/>
        <w:rPr>
          <w:rFonts w:eastAsia="方正仿宋_GBK"/>
          <w:color w:val="000000"/>
          <w:spacing w:val="-2"/>
          <w:sz w:val="24"/>
        </w:rPr>
      </w:pPr>
    </w:p>
    <w:p>
      <w:pPr>
        <w:spacing w:line="460" w:lineRule="exact"/>
        <w:jc w:val="center"/>
        <w:rPr>
          <w:rFonts w:ascii="Times New Roman" w:eastAsia="方正黑体_GBK"/>
          <w:color w:val="000000"/>
          <w:spacing w:val="-2"/>
          <w:sz w:val="36"/>
          <w:szCs w:val="36"/>
        </w:rPr>
      </w:pPr>
      <w:r>
        <w:rPr>
          <w:rFonts w:hint="eastAsia" w:ascii="Times New Roman" w:eastAsia="方正黑体_GBK"/>
          <w:color w:val="000000"/>
          <w:spacing w:val="-2"/>
          <w:sz w:val="36"/>
          <w:szCs w:val="36"/>
        </w:rPr>
        <w:t>江苏省城市供水水质管理办法（试行）</w:t>
      </w:r>
    </w:p>
    <w:p>
      <w:pPr>
        <w:spacing w:line="460" w:lineRule="exact"/>
        <w:jc w:val="center"/>
        <w:rPr>
          <w:rFonts w:hint="eastAsia" w:eastAsia="方正仿宋_GBK"/>
          <w:b/>
          <w:bCs/>
          <w:color w:val="000000"/>
          <w:spacing w:val="-2"/>
          <w:sz w:val="24"/>
        </w:rPr>
      </w:pPr>
    </w:p>
    <w:p>
      <w:pPr>
        <w:spacing w:line="460" w:lineRule="exact"/>
        <w:ind w:firstLine="472" w:firstLineChars="200"/>
        <w:outlineLvl w:val="1"/>
        <w:rPr>
          <w:rFonts w:eastAsia="方正仿宋_GBK"/>
          <w:color w:val="000000"/>
          <w:spacing w:val="-2"/>
          <w:sz w:val="24"/>
        </w:rPr>
      </w:pPr>
      <w:bookmarkStart w:id="82" w:name="_Toc20726326"/>
      <w:bookmarkStart w:id="83" w:name="_Toc18315406"/>
      <w:bookmarkStart w:id="84" w:name="_Toc20667800"/>
      <w:r>
        <w:rPr>
          <w:rFonts w:hint="eastAsia" w:ascii="Times New Roman" w:eastAsia="方正黑体_GBK"/>
          <w:color w:val="000000"/>
          <w:spacing w:val="-2"/>
          <w:sz w:val="24"/>
        </w:rPr>
        <w:t>第一条</w:t>
      </w:r>
      <w:r>
        <w:rPr>
          <w:rFonts w:eastAsia="方正仿宋_GBK"/>
          <w:color w:val="000000"/>
          <w:spacing w:val="-2"/>
          <w:sz w:val="24"/>
        </w:rPr>
        <w:t xml:space="preserve">  </w:t>
      </w:r>
      <w:r>
        <w:rPr>
          <w:rFonts w:hint="eastAsia" w:eastAsia="方正仿宋_GBK"/>
          <w:color w:val="000000"/>
          <w:spacing w:val="-2"/>
          <w:sz w:val="24"/>
        </w:rPr>
        <w:t>为加强城市供水水质管理，确保城市饮用水安全，规范水质信息报告行为，依据《城市供水水质管理规定》以及相关标准和规范要求，制定本办法。</w:t>
      </w:r>
      <w:bookmarkEnd w:id="82"/>
      <w:bookmarkEnd w:id="83"/>
      <w:bookmarkEnd w:id="84"/>
    </w:p>
    <w:p>
      <w:pPr>
        <w:spacing w:line="460" w:lineRule="exact"/>
        <w:ind w:firstLine="472" w:firstLineChars="200"/>
        <w:outlineLvl w:val="1"/>
        <w:rPr>
          <w:rFonts w:eastAsia="方正仿宋_GBK"/>
          <w:color w:val="000000"/>
          <w:spacing w:val="-2"/>
          <w:sz w:val="24"/>
        </w:rPr>
      </w:pPr>
      <w:bookmarkStart w:id="85" w:name="_Toc20726327"/>
      <w:bookmarkStart w:id="86" w:name="_Toc18315407"/>
      <w:bookmarkStart w:id="87" w:name="_Toc20667801"/>
      <w:r>
        <w:rPr>
          <w:rFonts w:hint="eastAsia" w:ascii="Times New Roman" w:eastAsia="方正黑体_GBK"/>
          <w:color w:val="000000"/>
          <w:spacing w:val="-2"/>
          <w:sz w:val="24"/>
        </w:rPr>
        <w:t>第二条</w:t>
      </w:r>
      <w:r>
        <w:rPr>
          <w:rFonts w:eastAsia="方正仿宋_GBK"/>
          <w:color w:val="000000"/>
          <w:spacing w:val="-2"/>
          <w:sz w:val="24"/>
        </w:rPr>
        <w:t xml:space="preserve">  </w:t>
      </w:r>
      <w:r>
        <w:rPr>
          <w:rFonts w:hint="eastAsia" w:eastAsia="方正仿宋_GBK"/>
          <w:color w:val="000000"/>
          <w:spacing w:val="-2"/>
          <w:sz w:val="24"/>
        </w:rPr>
        <w:t>本办法适用于本省范围内原水供水企业、公共供水企业、自建设施供水企业等城市供水企业水质的内部管理和城市供水主管部门监督管理。</w:t>
      </w:r>
      <w:bookmarkEnd w:id="85"/>
      <w:bookmarkEnd w:id="86"/>
      <w:bookmarkEnd w:id="87"/>
    </w:p>
    <w:p>
      <w:pPr>
        <w:spacing w:line="460" w:lineRule="exact"/>
        <w:ind w:firstLine="472" w:firstLineChars="200"/>
        <w:outlineLvl w:val="1"/>
        <w:rPr>
          <w:rFonts w:eastAsia="方正仿宋_GBK"/>
          <w:color w:val="000000"/>
          <w:spacing w:val="-2"/>
          <w:sz w:val="24"/>
        </w:rPr>
      </w:pPr>
      <w:bookmarkStart w:id="88" w:name="_Toc20667802"/>
      <w:bookmarkStart w:id="89" w:name="_Toc18315408"/>
      <w:bookmarkStart w:id="90" w:name="_Toc20726328"/>
      <w:r>
        <w:rPr>
          <w:rFonts w:hint="eastAsia" w:ascii="Times New Roman" w:eastAsia="方正黑体_GBK"/>
          <w:color w:val="000000"/>
          <w:spacing w:val="-2"/>
          <w:sz w:val="24"/>
        </w:rPr>
        <w:t>第三条</w:t>
      </w:r>
      <w:r>
        <w:rPr>
          <w:rFonts w:eastAsia="方正仿宋_GBK"/>
          <w:color w:val="000000"/>
          <w:spacing w:val="-2"/>
          <w:sz w:val="24"/>
        </w:rPr>
        <w:t xml:space="preserve">  </w:t>
      </w:r>
      <w:r>
        <w:rPr>
          <w:rFonts w:hint="eastAsia" w:eastAsia="方正仿宋_GBK"/>
          <w:color w:val="000000"/>
          <w:spacing w:val="-2"/>
          <w:sz w:val="24"/>
        </w:rPr>
        <w:t>省建设厅是本省城市供水行政主管部门，负责对本省城市供水水质的监督管理；省建设厅委托具有资格的水质检测机构对各市、县（市）供水水质实行监督抽查。</w:t>
      </w:r>
      <w:bookmarkEnd w:id="88"/>
      <w:bookmarkEnd w:id="89"/>
      <w:bookmarkEnd w:id="90"/>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市、县（市）城市供水行政主管部门负责本市、县（市）所属范围内的供水水质的监督管理。</w:t>
      </w:r>
    </w:p>
    <w:p>
      <w:pPr>
        <w:spacing w:line="460" w:lineRule="exact"/>
        <w:ind w:firstLine="472" w:firstLineChars="200"/>
        <w:outlineLvl w:val="1"/>
        <w:rPr>
          <w:rFonts w:eastAsia="方正仿宋_GBK"/>
          <w:b/>
          <w:bCs/>
          <w:color w:val="000000"/>
          <w:spacing w:val="-2"/>
          <w:sz w:val="24"/>
        </w:rPr>
      </w:pPr>
      <w:bookmarkStart w:id="91" w:name="_Toc20726329"/>
      <w:bookmarkStart w:id="92" w:name="_Toc20667803"/>
      <w:bookmarkStart w:id="93" w:name="_Toc18315409"/>
      <w:r>
        <w:rPr>
          <w:rFonts w:hint="eastAsia" w:ascii="Times New Roman" w:eastAsia="方正黑体_GBK"/>
          <w:color w:val="000000"/>
          <w:spacing w:val="-2"/>
          <w:sz w:val="24"/>
        </w:rPr>
        <w:t>第四条</w:t>
      </w:r>
      <w:r>
        <w:rPr>
          <w:rFonts w:eastAsia="方正仿宋_GBK"/>
          <w:color w:val="000000"/>
          <w:spacing w:val="-2"/>
          <w:sz w:val="24"/>
        </w:rPr>
        <w:t xml:space="preserve">  </w:t>
      </w:r>
      <w:r>
        <w:rPr>
          <w:rFonts w:hint="eastAsia" w:eastAsia="方正仿宋_GBK"/>
          <w:color w:val="000000"/>
          <w:spacing w:val="-2"/>
          <w:sz w:val="24"/>
        </w:rPr>
        <w:t>城市供水水质管理是指根据现行的国家标准、规程和规范性文件规定对供水质量进行全过程控制，并按本办法所规定的检测项目和频次，按照水质标准检验方法开展水质检测工作，从而保证出厂水和管网水符合《生活饮用水卫生标准》（</w:t>
      </w:r>
      <w:r>
        <w:rPr>
          <w:rFonts w:eastAsia="方正仿宋_GBK"/>
          <w:color w:val="000000"/>
          <w:spacing w:val="-2"/>
          <w:sz w:val="24"/>
        </w:rPr>
        <w:t>GB5749-2006</w:t>
      </w:r>
      <w:r>
        <w:rPr>
          <w:rFonts w:hint="eastAsia" w:eastAsia="方正仿宋_GBK"/>
          <w:color w:val="000000"/>
          <w:spacing w:val="-2"/>
          <w:sz w:val="24"/>
        </w:rPr>
        <w:t>）。</w:t>
      </w:r>
      <w:bookmarkEnd w:id="91"/>
      <w:bookmarkEnd w:id="92"/>
      <w:bookmarkEnd w:id="93"/>
      <w:r>
        <w:rPr>
          <w:rFonts w:eastAsia="方正仿宋_GBK"/>
          <w:b/>
          <w:bCs/>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供水水质的检测包括对原水、生产过程水、出厂水、管网水、管网末梢水等的全过程检测。</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第五条</w:t>
      </w:r>
      <w:r>
        <w:rPr>
          <w:rFonts w:eastAsia="方正仿宋_GBK"/>
          <w:color w:val="000000"/>
          <w:spacing w:val="-2"/>
          <w:sz w:val="24"/>
        </w:rPr>
        <w:t xml:space="preserve">  </w:t>
      </w:r>
      <w:r>
        <w:rPr>
          <w:rFonts w:hint="eastAsia" w:eastAsia="方正仿宋_GBK"/>
          <w:color w:val="000000"/>
          <w:spacing w:val="-2"/>
          <w:sz w:val="24"/>
        </w:rPr>
        <w:t>城市供水质量实行企业法人负责制，全面负责本企业供水范围内水质安全。</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第六条</w:t>
      </w:r>
      <w:r>
        <w:rPr>
          <w:rFonts w:eastAsia="方正仿宋_GBK"/>
          <w:color w:val="000000"/>
          <w:spacing w:val="-2"/>
          <w:sz w:val="24"/>
        </w:rPr>
        <w:t xml:space="preserve">  </w:t>
      </w:r>
      <w:r>
        <w:rPr>
          <w:rFonts w:hint="eastAsia" w:eastAsia="方正仿宋_GBK"/>
          <w:color w:val="000000"/>
          <w:spacing w:val="-2"/>
          <w:sz w:val="24"/>
        </w:rPr>
        <w:t>城市供水质量控制点和水质检测点的设置，水质检验检测网络、三级检验的基本要求和水质检测的项目、频次和信息报告应当执行本办法的规定。</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第七条</w:t>
      </w:r>
      <w:r>
        <w:rPr>
          <w:rFonts w:eastAsia="方正仿宋_GBK"/>
          <w:color w:val="000000"/>
          <w:spacing w:val="-2"/>
          <w:sz w:val="24"/>
        </w:rPr>
        <w:t xml:space="preserve">  </w:t>
      </w:r>
      <w:r>
        <w:rPr>
          <w:rFonts w:hint="eastAsia" w:eastAsia="方正仿宋_GBK"/>
          <w:color w:val="000000"/>
          <w:spacing w:val="-2"/>
          <w:sz w:val="24"/>
        </w:rPr>
        <w:t>在地表水源地一、二级和准保护区范围内，应当设立原水水质监测点，并针对当地原水水质特点确定水质监测项目，定期按《地表水环境质量标准》（</w:t>
      </w:r>
      <w:r>
        <w:rPr>
          <w:rFonts w:eastAsia="方正仿宋_GBK"/>
          <w:color w:val="000000"/>
          <w:spacing w:val="-2"/>
          <w:sz w:val="24"/>
        </w:rPr>
        <w:t>GB3838-2002</w:t>
      </w:r>
      <w:r>
        <w:rPr>
          <w:rFonts w:hint="eastAsia" w:eastAsia="方正仿宋_GBK"/>
          <w:color w:val="000000"/>
          <w:spacing w:val="-2"/>
          <w:sz w:val="24"/>
        </w:rPr>
        <w:t>）要求进行原水水质检测。取水口应当安装在线水质监测仪器并与供水企业中控室联网。</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第八条</w:t>
      </w:r>
      <w:r>
        <w:rPr>
          <w:rFonts w:eastAsia="方正仿宋_GBK"/>
          <w:color w:val="000000"/>
          <w:spacing w:val="-2"/>
          <w:sz w:val="24"/>
        </w:rPr>
        <w:t xml:space="preserve">  </w:t>
      </w:r>
      <w:r>
        <w:rPr>
          <w:rFonts w:hint="eastAsia" w:eastAsia="方正仿宋_GBK"/>
          <w:color w:val="000000"/>
          <w:spacing w:val="-2"/>
          <w:sz w:val="24"/>
        </w:rPr>
        <w:t>净水厂在原水、沉淀水、滤后水和出厂水分别设置四个水质监督管理环节和水质控制点，并按照规定的检测项目和频次要求开展检测工作。供水企业应当在工艺流程中确定相应水质内控标准，在质量控制点应当设置在线监测仪器。</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第九条</w:t>
      </w:r>
      <w:r>
        <w:rPr>
          <w:rFonts w:eastAsia="方正仿宋_GBK"/>
          <w:color w:val="000000"/>
          <w:spacing w:val="-2"/>
          <w:sz w:val="24"/>
        </w:rPr>
        <w:t xml:space="preserve">  </w:t>
      </w:r>
      <w:r>
        <w:rPr>
          <w:rFonts w:hint="eastAsia" w:eastAsia="方正仿宋_GBK"/>
          <w:color w:val="000000"/>
          <w:spacing w:val="-2"/>
          <w:sz w:val="24"/>
        </w:rPr>
        <w:t>出厂水浑浊度、耗氧量、游离余氯、总氯内控标准由供水企业按照高于《生活饮用水卫生标准》（</w:t>
      </w:r>
      <w:r>
        <w:rPr>
          <w:rFonts w:eastAsia="方正仿宋_GBK"/>
          <w:color w:val="000000"/>
          <w:spacing w:val="-2"/>
          <w:sz w:val="24"/>
        </w:rPr>
        <w:t>GB5749-2006</w:t>
      </w:r>
      <w:r>
        <w:rPr>
          <w:rFonts w:hint="eastAsia" w:eastAsia="方正仿宋_GBK"/>
          <w:color w:val="000000"/>
          <w:spacing w:val="-2"/>
          <w:sz w:val="24"/>
        </w:rPr>
        <w:t>）限值统一制定，其它指标按《生活饮用水卫生标准》（</w:t>
      </w:r>
      <w:r>
        <w:rPr>
          <w:rFonts w:eastAsia="方正仿宋_GBK"/>
          <w:color w:val="000000"/>
          <w:spacing w:val="-2"/>
          <w:sz w:val="24"/>
        </w:rPr>
        <w:t>GB5749-2006</w:t>
      </w:r>
      <w:r>
        <w:rPr>
          <w:rFonts w:hint="eastAsia" w:eastAsia="方正仿宋_GBK"/>
          <w:color w:val="000000"/>
          <w:spacing w:val="-2"/>
          <w:sz w:val="24"/>
        </w:rPr>
        <w:t>）执行。</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第十条</w:t>
      </w:r>
      <w:r>
        <w:rPr>
          <w:rFonts w:eastAsia="方正仿宋_GBK"/>
          <w:color w:val="000000"/>
          <w:spacing w:val="-2"/>
          <w:sz w:val="24"/>
        </w:rPr>
        <w:t xml:space="preserve">  </w:t>
      </w:r>
      <w:r>
        <w:rPr>
          <w:rFonts w:hint="eastAsia" w:eastAsia="方正仿宋_GBK"/>
          <w:color w:val="000000"/>
          <w:spacing w:val="-2"/>
          <w:sz w:val="24"/>
        </w:rPr>
        <w:t>管网水和管网末梢水水质监测点根据《生活饮用水卫生标准》（</w:t>
      </w:r>
      <w:r>
        <w:rPr>
          <w:rFonts w:eastAsia="方正仿宋_GBK"/>
          <w:color w:val="000000"/>
          <w:spacing w:val="-2"/>
          <w:sz w:val="24"/>
        </w:rPr>
        <w:t>GB5749-2006</w:t>
      </w:r>
      <w:r>
        <w:rPr>
          <w:rFonts w:hint="eastAsia" w:eastAsia="方正仿宋_GBK"/>
          <w:color w:val="000000"/>
          <w:spacing w:val="-2"/>
          <w:sz w:val="24"/>
        </w:rPr>
        <w:t>）的规定设置。</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第十一条</w:t>
      </w:r>
      <w:r>
        <w:rPr>
          <w:rFonts w:eastAsia="方正仿宋_GBK"/>
          <w:color w:val="000000"/>
          <w:spacing w:val="-2"/>
          <w:sz w:val="24"/>
        </w:rPr>
        <w:t xml:space="preserve">  </w:t>
      </w:r>
      <w:r>
        <w:rPr>
          <w:rFonts w:hint="eastAsia" w:eastAsia="方正仿宋_GBK"/>
          <w:color w:val="000000"/>
          <w:spacing w:val="-2"/>
          <w:sz w:val="24"/>
        </w:rPr>
        <w:t>市、县（市）供水企业应当具备规定的水质检测能力；无能力自检的，可委托通过市级以上计量认证并具有相关项目检测资格的机构进行检测。</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第十二条</w:t>
      </w:r>
      <w:r>
        <w:rPr>
          <w:rFonts w:eastAsia="方正仿宋_GBK"/>
          <w:color w:val="000000"/>
          <w:spacing w:val="-2"/>
          <w:sz w:val="24"/>
        </w:rPr>
        <w:t xml:space="preserve">  </w:t>
      </w:r>
      <w:r>
        <w:rPr>
          <w:rFonts w:hint="eastAsia" w:eastAsia="方正仿宋_GBK"/>
          <w:color w:val="000000"/>
          <w:spacing w:val="-2"/>
          <w:sz w:val="24"/>
        </w:rPr>
        <w:t>供水企业应当依据《生活饮用水卫生标准》（</w:t>
      </w:r>
      <w:r>
        <w:rPr>
          <w:rFonts w:eastAsia="方正仿宋_GBK"/>
          <w:color w:val="000000"/>
          <w:spacing w:val="-2"/>
          <w:sz w:val="24"/>
        </w:rPr>
        <w:t>GB5749-2006</w:t>
      </w:r>
      <w:r>
        <w:rPr>
          <w:rFonts w:hint="eastAsia" w:eastAsia="方正仿宋_GBK"/>
          <w:color w:val="000000"/>
          <w:spacing w:val="-2"/>
          <w:sz w:val="24"/>
        </w:rPr>
        <w:t>）判断限值、计算合格率。当检测结果超标时，应当立即重复检测，并增加检测频率。检测结果连续超标时，应当查明原因，采取有效措施，防止水质事故的发生。</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第十三条</w:t>
      </w:r>
      <w:r>
        <w:rPr>
          <w:rFonts w:eastAsia="方正仿宋_GBK"/>
          <w:color w:val="000000"/>
          <w:spacing w:val="-2"/>
          <w:sz w:val="24"/>
        </w:rPr>
        <w:t xml:space="preserve">  </w:t>
      </w:r>
      <w:r>
        <w:rPr>
          <w:rFonts w:hint="eastAsia" w:eastAsia="方正仿宋_GBK"/>
          <w:color w:val="000000"/>
          <w:spacing w:val="-2"/>
          <w:sz w:val="24"/>
        </w:rPr>
        <w:t>供水企业在饮用水生产和输配过程中，与水直接接触的材料和化学物质等应当符合国家、行业及地方标准。</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第十四条</w:t>
      </w:r>
      <w:r>
        <w:rPr>
          <w:rFonts w:eastAsia="方正仿宋_GBK"/>
          <w:color w:val="000000"/>
          <w:spacing w:val="-2"/>
          <w:sz w:val="24"/>
        </w:rPr>
        <w:t xml:space="preserve">  </w:t>
      </w:r>
      <w:r>
        <w:rPr>
          <w:rFonts w:hint="eastAsia" w:eastAsia="方正仿宋_GBK"/>
          <w:color w:val="000000"/>
          <w:spacing w:val="-2"/>
          <w:sz w:val="24"/>
        </w:rPr>
        <w:t>鼓励供水企业采用先进的工艺、材料、设备等进行科技创新，提高供水水质。</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鼓励供水企业配置在线浊度仪和余氯仪，建立管网水质在线监测点。</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第十五条</w:t>
      </w:r>
      <w:r>
        <w:rPr>
          <w:rFonts w:eastAsia="方正仿宋_GBK"/>
          <w:color w:val="000000"/>
          <w:spacing w:val="-2"/>
          <w:sz w:val="24"/>
        </w:rPr>
        <w:t xml:space="preserve">  </w:t>
      </w:r>
      <w:r>
        <w:rPr>
          <w:rFonts w:hint="eastAsia" w:eastAsia="方正仿宋_GBK"/>
          <w:color w:val="000000"/>
          <w:spacing w:val="-2"/>
          <w:sz w:val="24"/>
        </w:rPr>
        <w:t>以地表水为集中式饮用水源的各水样水质检测要求按下表执行。</w:t>
      </w:r>
    </w:p>
    <w:tbl>
      <w:tblPr>
        <w:tblStyle w:val="12"/>
        <w:tblW w:w="0" w:type="auto"/>
        <w:tblInd w:w="9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15"/>
        <w:gridCol w:w="1083"/>
        <w:gridCol w:w="1197"/>
        <w:gridCol w:w="2219"/>
        <w:gridCol w:w="1800"/>
        <w:gridCol w:w="15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15" w:type="dxa"/>
            <w:tcBorders>
              <w:top w:val="single" w:color="auto" w:sz="8" w:space="0"/>
              <w:left w:val="single" w:color="auto" w:sz="8" w:space="0"/>
              <w:bottom w:val="single" w:color="auto" w:sz="4" w:space="0"/>
              <w:right w:val="single" w:color="auto" w:sz="4" w:space="0"/>
            </w:tcBorders>
            <w:noWrap w:val="0"/>
            <w:vAlign w:val="center"/>
          </w:tcPr>
          <w:p>
            <w:pPr>
              <w:jc w:val="center"/>
              <w:rPr>
                <w:rFonts w:eastAsia="方正黑体_GBK"/>
                <w:color w:val="000000"/>
                <w:spacing w:val="-2"/>
              </w:rPr>
            </w:pPr>
            <w:r>
              <w:rPr>
                <w:rFonts w:hint="eastAsia" w:eastAsia="方正黑体_GBK"/>
                <w:color w:val="000000"/>
                <w:spacing w:val="-2"/>
              </w:rPr>
              <w:t>水样</w:t>
            </w:r>
          </w:p>
          <w:p>
            <w:pPr>
              <w:jc w:val="center"/>
              <w:rPr>
                <w:rFonts w:eastAsia="方正黑体_GBK"/>
                <w:color w:val="000000"/>
                <w:spacing w:val="-2"/>
              </w:rPr>
            </w:pPr>
            <w:r>
              <w:rPr>
                <w:rFonts w:hint="eastAsia" w:eastAsia="方正黑体_GBK"/>
                <w:color w:val="000000"/>
                <w:spacing w:val="-2"/>
              </w:rPr>
              <w:t>类型</w:t>
            </w:r>
          </w:p>
        </w:tc>
        <w:tc>
          <w:tcPr>
            <w:tcW w:w="1083" w:type="dxa"/>
            <w:tcBorders>
              <w:top w:val="single" w:color="auto" w:sz="8" w:space="0"/>
              <w:left w:val="single" w:color="auto" w:sz="4" w:space="0"/>
              <w:bottom w:val="single" w:color="auto" w:sz="4" w:space="0"/>
              <w:right w:val="single" w:color="auto" w:sz="4" w:space="0"/>
            </w:tcBorders>
            <w:noWrap w:val="0"/>
            <w:vAlign w:val="center"/>
          </w:tcPr>
          <w:p>
            <w:pPr>
              <w:jc w:val="center"/>
              <w:rPr>
                <w:rFonts w:eastAsia="方正黑体_GBK"/>
                <w:color w:val="000000"/>
                <w:spacing w:val="-2"/>
              </w:rPr>
            </w:pPr>
            <w:r>
              <w:rPr>
                <w:rFonts w:hint="eastAsia" w:eastAsia="方正黑体_GBK"/>
                <w:color w:val="000000"/>
                <w:spacing w:val="-2"/>
              </w:rPr>
              <w:t>每小时</w:t>
            </w:r>
          </w:p>
          <w:p>
            <w:pPr>
              <w:jc w:val="center"/>
              <w:rPr>
                <w:rFonts w:eastAsia="方正黑体_GBK"/>
                <w:color w:val="000000"/>
                <w:spacing w:val="-2"/>
              </w:rPr>
            </w:pPr>
            <w:r>
              <w:rPr>
                <w:rFonts w:hint="eastAsia" w:eastAsia="方正黑体_GBK"/>
                <w:color w:val="000000"/>
                <w:spacing w:val="-2"/>
              </w:rPr>
              <w:t>检测项目</w:t>
            </w:r>
          </w:p>
        </w:tc>
        <w:tc>
          <w:tcPr>
            <w:tcW w:w="1197" w:type="dxa"/>
            <w:tcBorders>
              <w:top w:val="single" w:color="auto" w:sz="8" w:space="0"/>
              <w:left w:val="single" w:color="auto" w:sz="4" w:space="0"/>
              <w:bottom w:val="single" w:color="auto" w:sz="4" w:space="0"/>
              <w:right w:val="single" w:color="auto" w:sz="4" w:space="0"/>
            </w:tcBorders>
            <w:noWrap w:val="0"/>
            <w:vAlign w:val="center"/>
          </w:tcPr>
          <w:p>
            <w:pPr>
              <w:jc w:val="center"/>
              <w:rPr>
                <w:rFonts w:eastAsia="方正黑体_GBK"/>
                <w:color w:val="000000"/>
                <w:spacing w:val="-2"/>
              </w:rPr>
            </w:pPr>
            <w:r>
              <w:rPr>
                <w:rFonts w:hint="eastAsia" w:eastAsia="方正黑体_GBK"/>
                <w:color w:val="000000"/>
                <w:spacing w:val="-2"/>
              </w:rPr>
              <w:t>每</w:t>
            </w:r>
            <w:r>
              <w:rPr>
                <w:rFonts w:eastAsia="方正黑体_GBK"/>
                <w:color w:val="000000"/>
                <w:spacing w:val="-2"/>
              </w:rPr>
              <w:t>2</w:t>
            </w:r>
            <w:r>
              <w:rPr>
                <w:rFonts w:hint="eastAsia" w:eastAsia="方正黑体_GBK"/>
                <w:color w:val="000000"/>
                <w:spacing w:val="-2"/>
              </w:rPr>
              <w:t>小时检测项目</w:t>
            </w:r>
          </w:p>
        </w:tc>
        <w:tc>
          <w:tcPr>
            <w:tcW w:w="2219" w:type="dxa"/>
            <w:tcBorders>
              <w:top w:val="single" w:color="auto" w:sz="8" w:space="0"/>
              <w:left w:val="single" w:color="auto" w:sz="4" w:space="0"/>
              <w:bottom w:val="single" w:color="auto" w:sz="4" w:space="0"/>
              <w:right w:val="single" w:color="auto" w:sz="4" w:space="0"/>
            </w:tcBorders>
            <w:noWrap w:val="0"/>
            <w:vAlign w:val="center"/>
          </w:tcPr>
          <w:p>
            <w:pPr>
              <w:jc w:val="center"/>
              <w:rPr>
                <w:rFonts w:eastAsia="方正黑体_GBK"/>
                <w:color w:val="000000"/>
                <w:spacing w:val="-2"/>
              </w:rPr>
            </w:pPr>
            <w:r>
              <w:rPr>
                <w:rFonts w:hint="eastAsia" w:eastAsia="方正黑体_GBK"/>
                <w:color w:val="000000"/>
                <w:spacing w:val="-2"/>
              </w:rPr>
              <w:t>每天至少</w:t>
            </w:r>
          </w:p>
          <w:p>
            <w:pPr>
              <w:jc w:val="center"/>
              <w:rPr>
                <w:rFonts w:eastAsia="方正黑体_GBK"/>
                <w:color w:val="000000"/>
                <w:spacing w:val="-2"/>
              </w:rPr>
            </w:pPr>
            <w:r>
              <w:rPr>
                <w:rFonts w:hint="eastAsia" w:eastAsia="方正黑体_GBK"/>
                <w:color w:val="000000"/>
                <w:spacing w:val="-2"/>
              </w:rPr>
              <w:t>检测</w:t>
            </w:r>
            <w:r>
              <w:rPr>
                <w:rFonts w:eastAsia="方正黑体_GBK"/>
                <w:color w:val="000000"/>
                <w:spacing w:val="-2"/>
              </w:rPr>
              <w:t>1</w:t>
            </w:r>
            <w:r>
              <w:rPr>
                <w:rFonts w:hint="eastAsia" w:eastAsia="方正黑体_GBK"/>
                <w:color w:val="000000"/>
                <w:spacing w:val="-2"/>
              </w:rPr>
              <w:t>次项目</w:t>
            </w:r>
          </w:p>
        </w:tc>
        <w:tc>
          <w:tcPr>
            <w:tcW w:w="1800" w:type="dxa"/>
            <w:tcBorders>
              <w:top w:val="single" w:color="auto" w:sz="8" w:space="0"/>
              <w:left w:val="single" w:color="auto" w:sz="4" w:space="0"/>
              <w:bottom w:val="single" w:color="auto" w:sz="4" w:space="0"/>
              <w:right w:val="single" w:color="auto" w:sz="4" w:space="0"/>
            </w:tcBorders>
            <w:noWrap w:val="0"/>
            <w:vAlign w:val="center"/>
          </w:tcPr>
          <w:p>
            <w:pPr>
              <w:jc w:val="center"/>
              <w:rPr>
                <w:rFonts w:eastAsia="方正黑体_GBK"/>
                <w:color w:val="000000"/>
                <w:spacing w:val="-2"/>
              </w:rPr>
            </w:pPr>
            <w:r>
              <w:rPr>
                <w:rFonts w:hint="eastAsia" w:eastAsia="方正黑体_GBK"/>
                <w:color w:val="000000"/>
                <w:spacing w:val="-2"/>
              </w:rPr>
              <w:t>每月检测</w:t>
            </w:r>
          </w:p>
          <w:p>
            <w:pPr>
              <w:jc w:val="center"/>
              <w:rPr>
                <w:rFonts w:eastAsia="方正黑体_GBK"/>
                <w:color w:val="000000"/>
                <w:spacing w:val="-2"/>
              </w:rPr>
            </w:pPr>
            <w:r>
              <w:rPr>
                <w:rFonts w:eastAsia="方正黑体_GBK"/>
                <w:color w:val="000000"/>
                <w:spacing w:val="-2"/>
              </w:rPr>
              <w:t>1</w:t>
            </w:r>
            <w:r>
              <w:rPr>
                <w:rFonts w:hint="eastAsia" w:eastAsia="方正黑体_GBK"/>
                <w:color w:val="000000"/>
                <w:spacing w:val="-2"/>
              </w:rPr>
              <w:t>次项目</w:t>
            </w:r>
          </w:p>
        </w:tc>
        <w:tc>
          <w:tcPr>
            <w:tcW w:w="1518" w:type="dxa"/>
            <w:tcBorders>
              <w:top w:val="single" w:color="auto" w:sz="8" w:space="0"/>
              <w:left w:val="single" w:color="auto" w:sz="4" w:space="0"/>
              <w:bottom w:val="single" w:color="auto" w:sz="4" w:space="0"/>
              <w:right w:val="single" w:color="auto" w:sz="8" w:space="0"/>
            </w:tcBorders>
            <w:noWrap w:val="0"/>
            <w:vAlign w:val="center"/>
          </w:tcPr>
          <w:p>
            <w:pPr>
              <w:jc w:val="center"/>
              <w:rPr>
                <w:rFonts w:eastAsia="方正黑体_GBK"/>
                <w:color w:val="000000"/>
                <w:spacing w:val="-2"/>
              </w:rPr>
            </w:pPr>
            <w:r>
              <w:rPr>
                <w:rFonts w:hint="eastAsia" w:eastAsia="方正黑体_GBK"/>
                <w:color w:val="000000"/>
                <w:spacing w:val="-2"/>
              </w:rPr>
              <w:t>每半年检测</w:t>
            </w:r>
          </w:p>
          <w:p>
            <w:pPr>
              <w:jc w:val="center"/>
              <w:rPr>
                <w:rFonts w:eastAsia="方正黑体_GBK"/>
                <w:color w:val="000000"/>
                <w:spacing w:val="-2"/>
              </w:rPr>
            </w:pPr>
            <w:r>
              <w:rPr>
                <w:rFonts w:hint="eastAsia" w:eastAsia="方正黑体_GBK"/>
                <w:color w:val="000000"/>
                <w:spacing w:val="-2"/>
              </w:rPr>
              <w:t>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15"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原水</w:t>
            </w:r>
          </w:p>
        </w:tc>
        <w:tc>
          <w:tcPr>
            <w:tcW w:w="1083" w:type="dxa"/>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rPr>
            </w:pPr>
            <w:r>
              <w:rPr>
                <w:rFonts w:hint="eastAsia" w:eastAsia="方正仿宋_GBK"/>
                <w:color w:val="000000"/>
                <w:spacing w:val="-2"/>
              </w:rPr>
              <w:t>臭和味、色度、浑浊度、溶解氧（记录格式见附表</w:t>
            </w:r>
            <w:r>
              <w:rPr>
                <w:rFonts w:eastAsia="方正仿宋_GBK"/>
                <w:color w:val="000000"/>
                <w:spacing w:val="-2"/>
              </w:rPr>
              <w:t>1</w:t>
            </w:r>
            <w:r>
              <w:rPr>
                <w:rFonts w:hint="eastAsia" w:eastAsia="方正仿宋_GBK"/>
                <w:color w:val="000000"/>
                <w:spacing w:val="-2"/>
              </w:rPr>
              <w:t>）。</w:t>
            </w:r>
          </w:p>
        </w:tc>
        <w:tc>
          <w:tcPr>
            <w:tcW w:w="1197" w:type="dxa"/>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rPr>
            </w:pPr>
            <w:r>
              <w:rPr>
                <w:rFonts w:eastAsia="方正仿宋_GBK"/>
                <w:color w:val="000000"/>
                <w:spacing w:val="-2"/>
              </w:rPr>
              <w:t>COD</w:t>
            </w:r>
            <w:r>
              <w:rPr>
                <w:rFonts w:eastAsia="方正仿宋_GBK"/>
                <w:color w:val="000000"/>
                <w:spacing w:val="-2"/>
                <w:vertAlign w:val="subscript"/>
              </w:rPr>
              <w:t>Mn</w:t>
            </w:r>
            <w:r>
              <w:rPr>
                <w:rFonts w:hint="eastAsia" w:eastAsia="方正仿宋_GBK"/>
                <w:color w:val="000000"/>
                <w:spacing w:val="-2"/>
              </w:rPr>
              <w:t>、</w:t>
            </w:r>
            <w:r>
              <w:rPr>
                <w:rFonts w:eastAsia="方正仿宋_GBK"/>
                <w:color w:val="000000"/>
                <w:spacing w:val="-2"/>
              </w:rPr>
              <w:t>pH</w:t>
            </w:r>
            <w:r>
              <w:rPr>
                <w:rFonts w:hint="eastAsia" w:eastAsia="方正仿宋_GBK"/>
                <w:color w:val="000000"/>
                <w:spacing w:val="-2"/>
              </w:rPr>
              <w:t>（记录格式见附表</w:t>
            </w:r>
            <w:r>
              <w:rPr>
                <w:rFonts w:eastAsia="方正仿宋_GBK"/>
                <w:color w:val="000000"/>
                <w:spacing w:val="-2"/>
              </w:rPr>
              <w:t>1</w:t>
            </w:r>
            <w:r>
              <w:rPr>
                <w:rFonts w:hint="eastAsia" w:eastAsia="方正仿宋_GBK"/>
                <w:color w:val="000000"/>
                <w:spacing w:val="-2"/>
              </w:rPr>
              <w:t>）。</w:t>
            </w:r>
          </w:p>
        </w:tc>
        <w:tc>
          <w:tcPr>
            <w:tcW w:w="2219" w:type="dxa"/>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rPr>
            </w:pPr>
            <w:r>
              <w:rPr>
                <w:rFonts w:hint="eastAsia" w:eastAsia="方正仿宋_GBK"/>
                <w:color w:val="000000"/>
                <w:spacing w:val="-2"/>
              </w:rPr>
              <w:t>色度、臭和味、肉眼可见物、浑浊度、</w:t>
            </w:r>
            <w:r>
              <w:rPr>
                <w:rFonts w:eastAsia="方正仿宋_GBK"/>
                <w:color w:val="000000"/>
                <w:spacing w:val="-2"/>
              </w:rPr>
              <w:t>pH</w:t>
            </w:r>
            <w:r>
              <w:rPr>
                <w:rFonts w:hint="eastAsia" w:eastAsia="方正仿宋_GBK"/>
                <w:color w:val="000000"/>
                <w:spacing w:val="-2"/>
              </w:rPr>
              <w:t>、</w:t>
            </w:r>
            <w:r>
              <w:rPr>
                <w:rFonts w:eastAsia="方正仿宋_GBK"/>
                <w:color w:val="000000"/>
                <w:spacing w:val="-2"/>
              </w:rPr>
              <w:t>COD</w:t>
            </w:r>
            <w:r>
              <w:rPr>
                <w:rFonts w:eastAsia="方正仿宋_GBK"/>
                <w:color w:val="000000"/>
                <w:spacing w:val="-2"/>
                <w:vertAlign w:val="subscript"/>
              </w:rPr>
              <w:t>Mn</w:t>
            </w:r>
            <w:r>
              <w:rPr>
                <w:rFonts w:hint="eastAsia" w:eastAsia="方正仿宋_GBK"/>
                <w:color w:val="000000"/>
                <w:spacing w:val="-2"/>
              </w:rPr>
              <w:t>、氨氮、细菌总数、总大肠菌群、粪（耐热）大肠菌群（记录格式见附表</w:t>
            </w:r>
            <w:r>
              <w:rPr>
                <w:rFonts w:eastAsia="方正仿宋_GBK"/>
                <w:color w:val="000000"/>
                <w:spacing w:val="-2"/>
              </w:rPr>
              <w:t>2</w:t>
            </w:r>
            <w:r>
              <w:rPr>
                <w:rFonts w:hint="eastAsia" w:eastAsia="方正仿宋_GBK"/>
                <w:color w:val="000000"/>
                <w:spacing w:val="-2"/>
              </w:rPr>
              <w:t>）。</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rPr>
            </w:pPr>
            <w:r>
              <w:rPr>
                <w:rFonts w:hint="eastAsia" w:eastAsia="方正仿宋_GBK"/>
                <w:color w:val="000000"/>
                <w:spacing w:val="-2"/>
              </w:rPr>
              <w:t>（</w:t>
            </w:r>
            <w:r>
              <w:rPr>
                <w:rFonts w:eastAsia="方正仿宋_GBK"/>
                <w:color w:val="000000"/>
                <w:spacing w:val="-2"/>
              </w:rPr>
              <w:t>GB3838-2002</w:t>
            </w:r>
            <w:r>
              <w:rPr>
                <w:rFonts w:hint="eastAsia" w:eastAsia="方正仿宋_GBK"/>
                <w:color w:val="000000"/>
                <w:spacing w:val="-2"/>
              </w:rPr>
              <w:t>）表</w:t>
            </w:r>
            <w:r>
              <w:rPr>
                <w:rFonts w:eastAsia="方正仿宋_GBK"/>
                <w:color w:val="000000"/>
                <w:spacing w:val="-2"/>
              </w:rPr>
              <w:t>1</w:t>
            </w:r>
            <w:r>
              <w:rPr>
                <w:rFonts w:hint="eastAsia" w:eastAsia="方正仿宋_GBK"/>
                <w:color w:val="000000"/>
                <w:spacing w:val="-2"/>
              </w:rPr>
              <w:t>、表</w:t>
            </w:r>
            <w:r>
              <w:rPr>
                <w:rFonts w:eastAsia="方正仿宋_GBK"/>
                <w:color w:val="000000"/>
                <w:spacing w:val="-2"/>
              </w:rPr>
              <w:t>2</w:t>
            </w:r>
            <w:r>
              <w:rPr>
                <w:rFonts w:hint="eastAsia" w:eastAsia="方正仿宋_GBK"/>
                <w:color w:val="000000"/>
                <w:spacing w:val="-2"/>
              </w:rPr>
              <w:t>和表</w:t>
            </w:r>
            <w:r>
              <w:rPr>
                <w:rFonts w:eastAsia="方正仿宋_GBK"/>
                <w:color w:val="000000"/>
                <w:spacing w:val="-2"/>
              </w:rPr>
              <w:t>3</w:t>
            </w:r>
            <w:r>
              <w:rPr>
                <w:rFonts w:hint="eastAsia" w:eastAsia="方正仿宋_GBK"/>
                <w:color w:val="000000"/>
                <w:spacing w:val="-2"/>
              </w:rPr>
              <w:t>中选测项目及特征污染物（如藻类）。</w:t>
            </w:r>
          </w:p>
        </w:tc>
        <w:tc>
          <w:tcPr>
            <w:tcW w:w="1518" w:type="dxa"/>
            <w:tcBorders>
              <w:top w:val="single" w:color="auto" w:sz="4" w:space="0"/>
              <w:left w:val="single" w:color="auto" w:sz="4" w:space="0"/>
              <w:bottom w:val="single" w:color="auto" w:sz="4" w:space="0"/>
              <w:right w:val="single" w:color="auto" w:sz="8" w:space="0"/>
            </w:tcBorders>
            <w:noWrap w:val="0"/>
            <w:vAlign w:val="center"/>
          </w:tcPr>
          <w:p>
            <w:pPr>
              <w:rPr>
                <w:rFonts w:eastAsia="方正仿宋_GBK"/>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63" w:hRule="atLeast"/>
        </w:trPr>
        <w:tc>
          <w:tcPr>
            <w:tcW w:w="915"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沉淀水</w:t>
            </w:r>
          </w:p>
          <w:p>
            <w:pPr>
              <w:jc w:val="center"/>
              <w:rPr>
                <w:rFonts w:eastAsia="方正仿宋_GBK"/>
                <w:color w:val="000000"/>
                <w:spacing w:val="-2"/>
              </w:rPr>
            </w:pPr>
            <w:r>
              <w:rPr>
                <w:rFonts w:hint="eastAsia" w:eastAsia="方正仿宋_GBK"/>
                <w:color w:val="000000"/>
                <w:spacing w:val="-2"/>
              </w:rPr>
              <w:t>和</w:t>
            </w:r>
          </w:p>
          <w:p>
            <w:pPr>
              <w:jc w:val="center"/>
              <w:rPr>
                <w:rFonts w:eastAsia="方正仿宋_GBK"/>
                <w:color w:val="000000"/>
                <w:spacing w:val="-2"/>
              </w:rPr>
            </w:pPr>
            <w:r>
              <w:rPr>
                <w:rFonts w:hint="eastAsia" w:eastAsia="方正仿宋_GBK"/>
                <w:color w:val="000000"/>
                <w:spacing w:val="-2"/>
              </w:rPr>
              <w:t>滤后水</w:t>
            </w:r>
          </w:p>
        </w:tc>
        <w:tc>
          <w:tcPr>
            <w:tcW w:w="1083" w:type="dxa"/>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rPr>
            </w:pPr>
            <w:r>
              <w:rPr>
                <w:rFonts w:hint="eastAsia" w:eastAsia="方正仿宋_GBK"/>
                <w:color w:val="000000"/>
                <w:spacing w:val="-2"/>
              </w:rPr>
              <w:t>臭和味、色度、浑浊度、余氯（记录格式见附表</w:t>
            </w:r>
            <w:r>
              <w:rPr>
                <w:rFonts w:eastAsia="方正仿宋_GBK"/>
                <w:color w:val="000000"/>
                <w:spacing w:val="-2"/>
              </w:rPr>
              <w:t>1</w:t>
            </w:r>
            <w:r>
              <w:rPr>
                <w:rFonts w:hint="eastAsia" w:eastAsia="方正仿宋_GBK"/>
                <w:color w:val="000000"/>
                <w:spacing w:val="-2"/>
              </w:rPr>
              <w:t>）。</w:t>
            </w:r>
          </w:p>
        </w:tc>
        <w:tc>
          <w:tcPr>
            <w:tcW w:w="1197" w:type="dxa"/>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rPr>
            </w:pPr>
          </w:p>
        </w:tc>
        <w:tc>
          <w:tcPr>
            <w:tcW w:w="2219" w:type="dxa"/>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rPr>
            </w:pPr>
          </w:p>
        </w:tc>
        <w:tc>
          <w:tcPr>
            <w:tcW w:w="1518" w:type="dxa"/>
            <w:tcBorders>
              <w:top w:val="single" w:color="auto" w:sz="4" w:space="0"/>
              <w:left w:val="single" w:color="auto" w:sz="4" w:space="0"/>
              <w:bottom w:val="single" w:color="auto" w:sz="4" w:space="0"/>
              <w:right w:val="single" w:color="auto" w:sz="8" w:space="0"/>
            </w:tcBorders>
            <w:noWrap w:val="0"/>
            <w:vAlign w:val="center"/>
          </w:tcPr>
          <w:p>
            <w:pPr>
              <w:rPr>
                <w:rFonts w:eastAsia="方正仿宋_GBK"/>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15"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出厂水</w:t>
            </w:r>
          </w:p>
        </w:tc>
        <w:tc>
          <w:tcPr>
            <w:tcW w:w="1083" w:type="dxa"/>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rPr>
            </w:pPr>
            <w:r>
              <w:rPr>
                <w:rFonts w:hint="eastAsia" w:eastAsia="方正仿宋_GBK"/>
                <w:color w:val="000000"/>
                <w:spacing w:val="-2"/>
              </w:rPr>
              <w:t>臭和味、色度、浑浊度、余氯（记录格式见附表</w:t>
            </w:r>
            <w:r>
              <w:rPr>
                <w:rFonts w:eastAsia="方正仿宋_GBK"/>
                <w:color w:val="000000"/>
                <w:spacing w:val="-2"/>
              </w:rPr>
              <w:t>1</w:t>
            </w:r>
            <w:r>
              <w:rPr>
                <w:rFonts w:hint="eastAsia" w:eastAsia="方正仿宋_GBK"/>
                <w:color w:val="000000"/>
                <w:spacing w:val="-2"/>
              </w:rPr>
              <w:t>）。</w:t>
            </w:r>
          </w:p>
        </w:tc>
        <w:tc>
          <w:tcPr>
            <w:tcW w:w="1197" w:type="dxa"/>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rPr>
            </w:pPr>
            <w:r>
              <w:rPr>
                <w:rFonts w:hint="eastAsia" w:eastAsia="方正仿宋_GBK"/>
                <w:color w:val="000000"/>
                <w:spacing w:val="-2"/>
              </w:rPr>
              <w:t>每</w:t>
            </w:r>
            <w:r>
              <w:rPr>
                <w:rFonts w:eastAsia="方正仿宋_GBK"/>
                <w:color w:val="000000"/>
                <w:spacing w:val="-2"/>
              </w:rPr>
              <w:t>4</w:t>
            </w:r>
            <w:r>
              <w:rPr>
                <w:rFonts w:hint="eastAsia" w:eastAsia="方正仿宋_GBK"/>
                <w:color w:val="000000"/>
                <w:spacing w:val="-2"/>
              </w:rPr>
              <w:t>小时检测项目：</w:t>
            </w:r>
            <w:r>
              <w:rPr>
                <w:rFonts w:eastAsia="方正仿宋_GBK"/>
                <w:color w:val="000000"/>
                <w:spacing w:val="-2"/>
              </w:rPr>
              <w:t>COD</w:t>
            </w:r>
            <w:r>
              <w:rPr>
                <w:rFonts w:eastAsia="方正仿宋_GBK"/>
                <w:color w:val="000000"/>
                <w:spacing w:val="-2"/>
                <w:vertAlign w:val="subscript"/>
              </w:rPr>
              <w:t>Mn</w:t>
            </w:r>
            <w:r>
              <w:rPr>
                <w:rFonts w:hint="eastAsia" w:eastAsia="方正仿宋_GBK"/>
                <w:color w:val="000000"/>
                <w:spacing w:val="-2"/>
              </w:rPr>
              <w:t>（记录格式见附表</w:t>
            </w:r>
            <w:r>
              <w:rPr>
                <w:rFonts w:eastAsia="方正仿宋_GBK"/>
                <w:color w:val="000000"/>
                <w:spacing w:val="-2"/>
              </w:rPr>
              <w:t>1</w:t>
            </w:r>
            <w:r>
              <w:rPr>
                <w:rFonts w:hint="eastAsia" w:eastAsia="方正仿宋_GBK"/>
                <w:color w:val="000000"/>
                <w:spacing w:val="-2"/>
              </w:rPr>
              <w:t>）。</w:t>
            </w:r>
          </w:p>
        </w:tc>
        <w:tc>
          <w:tcPr>
            <w:tcW w:w="2219" w:type="dxa"/>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rPr>
            </w:pPr>
            <w:r>
              <w:rPr>
                <w:rFonts w:eastAsia="方正仿宋_GBK"/>
                <w:color w:val="000000"/>
                <w:spacing w:val="-2"/>
              </w:rPr>
              <w:t>pH</w:t>
            </w:r>
            <w:r>
              <w:rPr>
                <w:rFonts w:hint="eastAsia" w:eastAsia="方正仿宋_GBK"/>
                <w:color w:val="000000"/>
                <w:spacing w:val="-2"/>
              </w:rPr>
              <w:t>、氨氮、色度、臭和味、肉眼可见物、浑浊度、</w:t>
            </w:r>
            <w:r>
              <w:rPr>
                <w:rFonts w:eastAsia="方正仿宋_GBK"/>
                <w:color w:val="000000"/>
                <w:spacing w:val="-2"/>
              </w:rPr>
              <w:t>COD</w:t>
            </w:r>
            <w:r>
              <w:rPr>
                <w:rFonts w:eastAsia="方正仿宋_GBK"/>
                <w:color w:val="000000"/>
                <w:spacing w:val="-2"/>
                <w:vertAlign w:val="subscript"/>
              </w:rPr>
              <w:t>Mn</w:t>
            </w:r>
            <w:r>
              <w:rPr>
                <w:rFonts w:hint="eastAsia" w:eastAsia="方正仿宋_GBK"/>
                <w:color w:val="000000"/>
                <w:spacing w:val="-2"/>
              </w:rPr>
              <w:t>、细菌总数、总大肠菌群、粪（耐热）大肠菌群、余氯（报表格式见附表</w:t>
            </w:r>
            <w:r>
              <w:rPr>
                <w:rFonts w:eastAsia="方正仿宋_GBK"/>
                <w:color w:val="000000"/>
                <w:spacing w:val="-2"/>
              </w:rPr>
              <w:t>2</w:t>
            </w:r>
            <w:r>
              <w:rPr>
                <w:rFonts w:hint="eastAsia" w:eastAsia="方正仿宋_GBK"/>
                <w:color w:val="000000"/>
                <w:spacing w:val="-2"/>
              </w:rPr>
              <w:t>）。</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rPr>
            </w:pPr>
            <w:r>
              <w:rPr>
                <w:rFonts w:hint="eastAsia" w:eastAsia="方正仿宋_GBK"/>
                <w:color w:val="000000"/>
                <w:spacing w:val="-2"/>
              </w:rPr>
              <w:t>《生活饮用水卫生标准》</w:t>
            </w:r>
            <w:r>
              <w:rPr>
                <w:rFonts w:eastAsia="方正仿宋_GBK"/>
                <w:color w:val="000000"/>
                <w:spacing w:val="-2"/>
              </w:rPr>
              <w:t>GB5749-2006</w:t>
            </w:r>
            <w:r>
              <w:rPr>
                <w:rFonts w:hint="eastAsia" w:eastAsia="方正仿宋_GBK"/>
                <w:color w:val="000000"/>
                <w:spacing w:val="-2"/>
              </w:rPr>
              <w:t>表</w:t>
            </w:r>
            <w:r>
              <w:rPr>
                <w:rFonts w:eastAsia="方正仿宋_GBK"/>
                <w:color w:val="000000"/>
                <w:spacing w:val="-2"/>
              </w:rPr>
              <w:t>1</w:t>
            </w:r>
            <w:r>
              <w:rPr>
                <w:rFonts w:hint="eastAsia" w:eastAsia="方正仿宋_GBK"/>
                <w:color w:val="000000"/>
                <w:spacing w:val="-2"/>
              </w:rPr>
              <w:t>和表</w:t>
            </w:r>
            <w:r>
              <w:rPr>
                <w:rFonts w:eastAsia="方正仿宋_GBK"/>
                <w:color w:val="000000"/>
                <w:spacing w:val="-2"/>
              </w:rPr>
              <w:t>2</w:t>
            </w:r>
            <w:r>
              <w:rPr>
                <w:rFonts w:hint="eastAsia" w:eastAsia="方正仿宋_GBK"/>
                <w:color w:val="000000"/>
                <w:spacing w:val="-2"/>
              </w:rPr>
              <w:t>项目。</w:t>
            </w:r>
          </w:p>
        </w:tc>
        <w:tc>
          <w:tcPr>
            <w:tcW w:w="1518" w:type="dxa"/>
            <w:tcBorders>
              <w:top w:val="single" w:color="auto" w:sz="4" w:space="0"/>
              <w:left w:val="single" w:color="auto" w:sz="4" w:space="0"/>
              <w:bottom w:val="single" w:color="auto" w:sz="4" w:space="0"/>
              <w:right w:val="single" w:color="auto" w:sz="8" w:space="0"/>
            </w:tcBorders>
            <w:noWrap w:val="0"/>
            <w:vAlign w:val="center"/>
          </w:tcPr>
          <w:p>
            <w:pPr>
              <w:rPr>
                <w:rFonts w:eastAsia="方正仿宋_GBK"/>
                <w:color w:val="000000"/>
                <w:spacing w:val="-2"/>
              </w:rPr>
            </w:pPr>
            <w:r>
              <w:rPr>
                <w:rFonts w:hint="eastAsia" w:eastAsia="方正仿宋_GBK"/>
                <w:color w:val="000000"/>
                <w:spacing w:val="-2"/>
              </w:rPr>
              <w:t>《生活饮用水卫生标准》</w:t>
            </w:r>
            <w:r>
              <w:rPr>
                <w:rFonts w:eastAsia="方正仿宋_GBK"/>
                <w:color w:val="000000"/>
                <w:spacing w:val="-2"/>
              </w:rPr>
              <w:t>GB5749-2006</w:t>
            </w:r>
            <w:r>
              <w:rPr>
                <w:rFonts w:hint="eastAsia" w:eastAsia="方正仿宋_GBK"/>
                <w:color w:val="000000"/>
                <w:spacing w:val="-2"/>
              </w:rPr>
              <w:t>表</w:t>
            </w:r>
            <w:r>
              <w:rPr>
                <w:rFonts w:eastAsia="方正仿宋_GBK"/>
                <w:color w:val="000000"/>
                <w:spacing w:val="-2"/>
              </w:rPr>
              <w:t>1</w:t>
            </w:r>
            <w:r>
              <w:rPr>
                <w:rFonts w:hint="eastAsia" w:eastAsia="方正仿宋_GBK"/>
                <w:color w:val="000000"/>
                <w:spacing w:val="-2"/>
              </w:rPr>
              <w:t>、</w:t>
            </w:r>
            <w:r>
              <w:rPr>
                <w:rFonts w:eastAsia="方正仿宋_GBK"/>
                <w:color w:val="000000"/>
                <w:spacing w:val="-2"/>
              </w:rPr>
              <w:t>2</w:t>
            </w:r>
            <w:r>
              <w:rPr>
                <w:rFonts w:hint="eastAsia" w:eastAsia="方正仿宋_GBK"/>
                <w:color w:val="000000"/>
                <w:spacing w:val="-2"/>
              </w:rPr>
              <w:t>、</w:t>
            </w:r>
            <w:r>
              <w:rPr>
                <w:rFonts w:eastAsia="方正仿宋_GBK"/>
                <w:color w:val="000000"/>
                <w:spacing w:val="-2"/>
              </w:rPr>
              <w:t>3</w:t>
            </w:r>
            <w:r>
              <w:rPr>
                <w:rFonts w:hint="eastAsia" w:eastAsia="方正仿宋_GBK"/>
                <w:color w:val="000000"/>
                <w:spacing w:val="-2"/>
              </w:rPr>
              <w:t>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15"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管网水</w:t>
            </w:r>
          </w:p>
        </w:tc>
        <w:tc>
          <w:tcPr>
            <w:tcW w:w="1083" w:type="dxa"/>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rPr>
            </w:pPr>
          </w:p>
        </w:tc>
        <w:tc>
          <w:tcPr>
            <w:tcW w:w="1197" w:type="dxa"/>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rPr>
            </w:pPr>
          </w:p>
        </w:tc>
        <w:tc>
          <w:tcPr>
            <w:tcW w:w="2219" w:type="dxa"/>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rPr>
            </w:pPr>
            <w:r>
              <w:rPr>
                <w:rFonts w:hint="eastAsia" w:eastAsia="方正仿宋_GBK"/>
                <w:color w:val="000000"/>
                <w:spacing w:val="-2"/>
              </w:rPr>
              <w:t>浑浊度、色度、臭和味、余氯、细菌总数、总大肠菌群、</w:t>
            </w:r>
            <w:r>
              <w:rPr>
                <w:rFonts w:eastAsia="方正仿宋_GBK"/>
                <w:color w:val="000000"/>
                <w:spacing w:val="-2"/>
              </w:rPr>
              <w:t>COD</w:t>
            </w:r>
            <w:r>
              <w:rPr>
                <w:rFonts w:eastAsia="方正仿宋_GBK"/>
                <w:color w:val="000000"/>
                <w:spacing w:val="-2"/>
                <w:vertAlign w:val="subscript"/>
              </w:rPr>
              <w:t>Mn</w:t>
            </w:r>
            <w:r>
              <w:rPr>
                <w:rFonts w:hint="eastAsia" w:eastAsia="方正仿宋_GBK"/>
                <w:color w:val="000000"/>
                <w:spacing w:val="-2"/>
              </w:rPr>
              <w:t>（管网末梢代表点）。</w:t>
            </w:r>
          </w:p>
        </w:tc>
        <w:tc>
          <w:tcPr>
            <w:tcW w:w="1518" w:type="dxa"/>
            <w:tcBorders>
              <w:top w:val="single" w:color="auto" w:sz="4" w:space="0"/>
              <w:left w:val="single" w:color="auto" w:sz="4" w:space="0"/>
              <w:bottom w:val="single" w:color="auto" w:sz="4" w:space="0"/>
              <w:right w:val="single" w:color="auto" w:sz="8" w:space="0"/>
            </w:tcBorders>
            <w:noWrap w:val="0"/>
            <w:vAlign w:val="center"/>
          </w:tcPr>
          <w:p>
            <w:pPr>
              <w:rPr>
                <w:rFonts w:eastAsia="方正仿宋_GBK"/>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15" w:type="dxa"/>
            <w:tcBorders>
              <w:top w:val="single" w:color="auto" w:sz="4" w:space="0"/>
              <w:left w:val="single" w:color="auto" w:sz="8" w:space="0"/>
              <w:bottom w:val="single" w:color="auto" w:sz="8"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管网末梢水</w:t>
            </w:r>
          </w:p>
        </w:tc>
        <w:tc>
          <w:tcPr>
            <w:tcW w:w="1083" w:type="dxa"/>
            <w:tcBorders>
              <w:top w:val="single" w:color="auto" w:sz="4" w:space="0"/>
              <w:left w:val="single" w:color="auto" w:sz="4" w:space="0"/>
              <w:bottom w:val="single" w:color="auto" w:sz="8" w:space="0"/>
              <w:right w:val="single" w:color="auto" w:sz="4" w:space="0"/>
            </w:tcBorders>
            <w:noWrap w:val="0"/>
            <w:vAlign w:val="center"/>
          </w:tcPr>
          <w:p>
            <w:pPr>
              <w:rPr>
                <w:rFonts w:eastAsia="方正仿宋_GBK"/>
                <w:color w:val="000000"/>
                <w:spacing w:val="-2"/>
              </w:rPr>
            </w:pPr>
          </w:p>
        </w:tc>
        <w:tc>
          <w:tcPr>
            <w:tcW w:w="1197" w:type="dxa"/>
            <w:tcBorders>
              <w:top w:val="single" w:color="auto" w:sz="4" w:space="0"/>
              <w:left w:val="single" w:color="auto" w:sz="4" w:space="0"/>
              <w:bottom w:val="single" w:color="auto" w:sz="8" w:space="0"/>
              <w:right w:val="single" w:color="auto" w:sz="4" w:space="0"/>
            </w:tcBorders>
            <w:noWrap w:val="0"/>
            <w:vAlign w:val="center"/>
          </w:tcPr>
          <w:p>
            <w:pPr>
              <w:rPr>
                <w:rFonts w:eastAsia="方正仿宋_GBK"/>
                <w:color w:val="000000"/>
                <w:spacing w:val="-2"/>
              </w:rPr>
            </w:pPr>
          </w:p>
        </w:tc>
        <w:tc>
          <w:tcPr>
            <w:tcW w:w="2219" w:type="dxa"/>
            <w:tcBorders>
              <w:top w:val="single" w:color="auto" w:sz="4" w:space="0"/>
              <w:left w:val="single" w:color="auto" w:sz="4" w:space="0"/>
              <w:bottom w:val="single" w:color="auto" w:sz="8" w:space="0"/>
              <w:right w:val="single" w:color="auto" w:sz="4" w:space="0"/>
            </w:tcBorders>
            <w:noWrap w:val="0"/>
            <w:vAlign w:val="center"/>
          </w:tcPr>
          <w:p>
            <w:pPr>
              <w:rPr>
                <w:rFonts w:eastAsia="方正仿宋_GBK"/>
                <w:color w:val="000000"/>
                <w:spacing w:val="-2"/>
              </w:rPr>
            </w:pPr>
          </w:p>
        </w:tc>
        <w:tc>
          <w:tcPr>
            <w:tcW w:w="1800" w:type="dxa"/>
            <w:tcBorders>
              <w:top w:val="single" w:color="auto" w:sz="4" w:space="0"/>
              <w:left w:val="single" w:color="auto" w:sz="4" w:space="0"/>
              <w:bottom w:val="single" w:color="auto" w:sz="8" w:space="0"/>
              <w:right w:val="single" w:color="auto" w:sz="4" w:space="0"/>
            </w:tcBorders>
            <w:noWrap w:val="0"/>
            <w:vAlign w:val="center"/>
          </w:tcPr>
          <w:p>
            <w:pPr>
              <w:rPr>
                <w:rFonts w:eastAsia="方正仿宋_GBK"/>
                <w:color w:val="000000"/>
                <w:spacing w:val="-2"/>
              </w:rPr>
            </w:pPr>
            <w:r>
              <w:rPr>
                <w:rFonts w:hint="eastAsia" w:eastAsia="方正仿宋_GBK"/>
                <w:color w:val="000000"/>
                <w:spacing w:val="-2"/>
              </w:rPr>
              <w:t>《生活饮用水卫生标准》（</w:t>
            </w:r>
            <w:r>
              <w:rPr>
                <w:rFonts w:eastAsia="方正仿宋_GBK"/>
                <w:color w:val="000000"/>
                <w:spacing w:val="-2"/>
              </w:rPr>
              <w:t>GB5749-2006</w:t>
            </w:r>
            <w:r>
              <w:rPr>
                <w:rFonts w:hint="eastAsia" w:eastAsia="方正仿宋_GBK"/>
                <w:color w:val="000000"/>
                <w:spacing w:val="-2"/>
              </w:rPr>
              <w:t>）表</w:t>
            </w:r>
            <w:r>
              <w:rPr>
                <w:rFonts w:eastAsia="方正仿宋_GBK"/>
                <w:color w:val="000000"/>
                <w:spacing w:val="-2"/>
              </w:rPr>
              <w:t>1</w:t>
            </w:r>
            <w:r>
              <w:rPr>
                <w:rFonts w:hint="eastAsia" w:eastAsia="方正仿宋_GBK"/>
                <w:color w:val="000000"/>
                <w:spacing w:val="-2"/>
              </w:rPr>
              <w:t>、表</w:t>
            </w:r>
            <w:r>
              <w:rPr>
                <w:rFonts w:eastAsia="方正仿宋_GBK"/>
                <w:color w:val="000000"/>
                <w:spacing w:val="-2"/>
              </w:rPr>
              <w:t>2</w:t>
            </w:r>
            <w:r>
              <w:rPr>
                <w:rFonts w:hint="eastAsia" w:eastAsia="方正仿宋_GBK"/>
                <w:color w:val="000000"/>
                <w:spacing w:val="-2"/>
              </w:rPr>
              <w:t>及特征污染物指标。</w:t>
            </w:r>
          </w:p>
        </w:tc>
        <w:tc>
          <w:tcPr>
            <w:tcW w:w="1518" w:type="dxa"/>
            <w:tcBorders>
              <w:top w:val="single" w:color="auto" w:sz="4" w:space="0"/>
              <w:left w:val="single" w:color="auto" w:sz="4" w:space="0"/>
              <w:bottom w:val="single" w:color="auto" w:sz="8" w:space="0"/>
              <w:right w:val="single" w:color="auto" w:sz="8" w:space="0"/>
            </w:tcBorders>
            <w:noWrap w:val="0"/>
            <w:vAlign w:val="center"/>
          </w:tcPr>
          <w:p>
            <w:pPr>
              <w:rPr>
                <w:rFonts w:eastAsia="方正仿宋_GBK"/>
                <w:color w:val="000000"/>
                <w:spacing w:val="-2"/>
              </w:rPr>
            </w:pPr>
          </w:p>
        </w:tc>
      </w:tr>
    </w:tbl>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以地下水为集中式饮用水源的水质检测工作按照《生活饮用水卫生标准》（</w:t>
      </w:r>
      <w:r>
        <w:rPr>
          <w:rFonts w:eastAsia="方正仿宋_GBK"/>
          <w:color w:val="000000"/>
          <w:spacing w:val="-2"/>
          <w:sz w:val="24"/>
        </w:rPr>
        <w:t>GB5749-2006</w:t>
      </w:r>
      <w:r>
        <w:rPr>
          <w:rFonts w:hint="eastAsia" w:eastAsia="方正仿宋_GBK"/>
          <w:color w:val="000000"/>
          <w:spacing w:val="-2"/>
          <w:sz w:val="24"/>
        </w:rPr>
        <w:t>）规定执行。</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第十六条</w:t>
      </w:r>
      <w:r>
        <w:rPr>
          <w:rFonts w:eastAsia="方正仿宋_GBK"/>
          <w:color w:val="000000"/>
          <w:spacing w:val="-2"/>
          <w:sz w:val="24"/>
        </w:rPr>
        <w:t xml:space="preserve">  </w:t>
      </w:r>
      <w:r>
        <w:rPr>
          <w:rFonts w:hint="eastAsia" w:eastAsia="方正仿宋_GBK"/>
          <w:color w:val="000000"/>
          <w:spacing w:val="-2"/>
          <w:sz w:val="24"/>
        </w:rPr>
        <w:t>以地表水为水源的，每月至少做</w:t>
      </w:r>
      <w:r>
        <w:rPr>
          <w:rFonts w:eastAsia="方正仿宋_GBK"/>
          <w:color w:val="000000"/>
          <w:spacing w:val="-2"/>
          <w:sz w:val="24"/>
        </w:rPr>
        <w:t>2</w:t>
      </w:r>
      <w:r>
        <w:rPr>
          <w:rFonts w:hint="eastAsia" w:eastAsia="方正仿宋_GBK"/>
          <w:color w:val="000000"/>
          <w:spacing w:val="-2"/>
          <w:sz w:val="24"/>
        </w:rPr>
        <w:t>次小型烧杯搅拌试验（记录格式见附表</w:t>
      </w:r>
      <w:r>
        <w:rPr>
          <w:rFonts w:eastAsia="方正仿宋_GBK"/>
          <w:color w:val="000000"/>
          <w:spacing w:val="-2"/>
          <w:sz w:val="24"/>
        </w:rPr>
        <w:t>3</w:t>
      </w:r>
      <w:r>
        <w:rPr>
          <w:rFonts w:hint="eastAsia" w:eastAsia="方正仿宋_GBK"/>
          <w:color w:val="000000"/>
          <w:spacing w:val="-2"/>
          <w:sz w:val="24"/>
        </w:rPr>
        <w:t>），记录同时期实际生产数据，及时进行比对。对取水口原水水质变化较大的净水厂，应加密试验指导生产。</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每年至少做一次滤料含泥率分析和筛分析。（记录格式见附表</w:t>
      </w:r>
      <w:r>
        <w:rPr>
          <w:rFonts w:eastAsia="方正仿宋_GBK"/>
          <w:color w:val="000000"/>
          <w:spacing w:val="-2"/>
          <w:sz w:val="24"/>
        </w:rPr>
        <w:t>4</w:t>
      </w:r>
      <w:r>
        <w:rPr>
          <w:rFonts w:hint="eastAsia" w:eastAsia="方正仿宋_GBK"/>
          <w:color w:val="000000"/>
          <w:spacing w:val="-2"/>
          <w:sz w:val="24"/>
        </w:rPr>
        <w:t>）</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第十七条</w:t>
      </w:r>
      <w:r>
        <w:rPr>
          <w:rFonts w:eastAsia="方正仿宋_GBK"/>
          <w:color w:val="000000"/>
          <w:spacing w:val="-2"/>
          <w:sz w:val="24"/>
        </w:rPr>
        <w:t xml:space="preserve">  </w:t>
      </w:r>
      <w:r>
        <w:rPr>
          <w:rFonts w:hint="eastAsia" w:eastAsia="方正仿宋_GBK"/>
          <w:color w:val="000000"/>
          <w:spacing w:val="-2"/>
          <w:sz w:val="24"/>
        </w:rPr>
        <w:t>用于供水的新设备、新管网投产前或者原有设备、管网改造后，应当严格进行清洗消毒，经检测合格后方可投入使用。</w:t>
      </w:r>
    </w:p>
    <w:p>
      <w:pPr>
        <w:spacing w:line="460" w:lineRule="exact"/>
        <w:ind w:firstLine="464" w:firstLineChars="200"/>
        <w:rPr>
          <w:rFonts w:eastAsia="方正仿宋_GBK"/>
          <w:color w:val="000000"/>
          <w:spacing w:val="-4"/>
          <w:sz w:val="24"/>
        </w:rPr>
      </w:pPr>
      <w:r>
        <w:rPr>
          <w:rFonts w:hint="eastAsia" w:eastAsia="方正仿宋_GBK"/>
          <w:color w:val="000000"/>
          <w:spacing w:val="-4"/>
          <w:sz w:val="24"/>
        </w:rPr>
        <w:t>每批次对所使用的水处理药剂主要指标进行质量检测；每季度对所使用的水处理药剂依据《饮用水化学处理剂卫生安全性评价》（</w:t>
      </w:r>
      <w:r>
        <w:rPr>
          <w:rFonts w:eastAsia="方正仿宋_GBK"/>
          <w:color w:val="000000"/>
          <w:spacing w:val="-4"/>
          <w:sz w:val="24"/>
        </w:rPr>
        <w:t>GB/T17218-1998</w:t>
      </w:r>
      <w:r>
        <w:rPr>
          <w:rFonts w:hint="eastAsia" w:eastAsia="方正仿宋_GBK"/>
          <w:color w:val="000000"/>
          <w:spacing w:val="-4"/>
          <w:sz w:val="24"/>
        </w:rPr>
        <w:t>）标准要求进行抽检。</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对供水企业所使用的其他涉水产品等进行定期抽检。</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第十八条</w:t>
      </w:r>
      <w:r>
        <w:rPr>
          <w:rFonts w:eastAsia="方正仿宋_GBK"/>
          <w:color w:val="000000"/>
          <w:spacing w:val="-2"/>
          <w:sz w:val="24"/>
        </w:rPr>
        <w:t xml:space="preserve">  </w:t>
      </w:r>
      <w:r>
        <w:rPr>
          <w:rFonts w:hint="eastAsia" w:eastAsia="方正仿宋_GBK"/>
          <w:color w:val="000000"/>
          <w:spacing w:val="-2"/>
          <w:sz w:val="24"/>
        </w:rPr>
        <w:t>水质信息按本办法向城市供水主管部门报告。</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日检测报告：每日</w:t>
      </w:r>
      <w:r>
        <w:rPr>
          <w:rFonts w:eastAsia="方正仿宋_GBK"/>
          <w:color w:val="000000"/>
          <w:spacing w:val="-2"/>
          <w:sz w:val="24"/>
        </w:rPr>
        <w:t>18:00</w:t>
      </w:r>
      <w:r>
        <w:rPr>
          <w:rFonts w:hint="eastAsia" w:eastAsia="方正仿宋_GBK"/>
          <w:color w:val="000000"/>
          <w:spacing w:val="-2"/>
          <w:sz w:val="24"/>
        </w:rPr>
        <w:t>前通过江苏省城市供水水质上报系统报送省建设厅和当地城市供水主管部门。</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周统计报告：正常情况下，每周五</w:t>
      </w:r>
      <w:r>
        <w:rPr>
          <w:rFonts w:eastAsia="方正仿宋_GBK"/>
          <w:color w:val="000000"/>
          <w:spacing w:val="-2"/>
          <w:sz w:val="24"/>
        </w:rPr>
        <w:t>24:00</w:t>
      </w:r>
      <w:r>
        <w:rPr>
          <w:rFonts w:hint="eastAsia" w:eastAsia="方正仿宋_GBK"/>
          <w:color w:val="000000"/>
          <w:spacing w:val="-2"/>
          <w:sz w:val="24"/>
        </w:rPr>
        <w:t>前将上一周（上周五至本周四）的数据按报表要求报送省建设厅和当地供水主管部门。</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月检测报告和半年度检测报告：形成报告后</w:t>
      </w:r>
      <w:r>
        <w:rPr>
          <w:rFonts w:eastAsia="方正仿宋_GBK"/>
          <w:color w:val="000000"/>
          <w:spacing w:val="-2"/>
          <w:sz w:val="24"/>
        </w:rPr>
        <w:t>5</w:t>
      </w:r>
      <w:r>
        <w:rPr>
          <w:rFonts w:hint="eastAsia" w:eastAsia="方正仿宋_GBK"/>
          <w:color w:val="000000"/>
          <w:spacing w:val="-2"/>
          <w:sz w:val="24"/>
        </w:rPr>
        <w:t>个工作日内通过江苏省城市供水水质上报系统报送省建设厅和当地城市供水主管部门。</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应急情况下，每</w:t>
      </w:r>
      <w:r>
        <w:rPr>
          <w:rFonts w:eastAsia="方正仿宋_GBK"/>
          <w:color w:val="000000"/>
          <w:spacing w:val="-2"/>
          <w:sz w:val="24"/>
        </w:rPr>
        <w:t>2</w:t>
      </w:r>
      <w:r>
        <w:rPr>
          <w:rFonts w:hint="eastAsia" w:eastAsia="方正仿宋_GBK"/>
          <w:color w:val="000000"/>
          <w:spacing w:val="-2"/>
          <w:sz w:val="24"/>
        </w:rPr>
        <w:t>小时向省建设厅和当地供水主管部门报告一次水质情况。</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第十九条</w:t>
      </w:r>
      <w:r>
        <w:rPr>
          <w:rFonts w:eastAsia="方正仿宋_GBK"/>
          <w:color w:val="000000"/>
          <w:spacing w:val="-2"/>
          <w:sz w:val="24"/>
        </w:rPr>
        <w:t xml:space="preserve">  </w:t>
      </w:r>
      <w:r>
        <w:rPr>
          <w:rFonts w:hint="eastAsia" w:eastAsia="方正仿宋_GBK"/>
          <w:color w:val="000000"/>
          <w:spacing w:val="-2"/>
          <w:sz w:val="24"/>
        </w:rPr>
        <w:t>水质统计结果按本办法向城市供水主管部门报告。</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月</w:t>
      </w:r>
      <w:r>
        <w:rPr>
          <w:rFonts w:eastAsia="方正仿宋_GBK"/>
          <w:color w:val="000000"/>
          <w:spacing w:val="-2"/>
          <w:sz w:val="24"/>
        </w:rPr>
        <w:t>9</w:t>
      </w:r>
      <w:r>
        <w:rPr>
          <w:rFonts w:hint="eastAsia" w:eastAsia="方正仿宋_GBK"/>
          <w:color w:val="000000"/>
          <w:spacing w:val="-2"/>
          <w:sz w:val="24"/>
        </w:rPr>
        <w:t>项统计报告在次月</w:t>
      </w:r>
      <w:r>
        <w:rPr>
          <w:rFonts w:eastAsia="方正仿宋_GBK"/>
          <w:color w:val="000000"/>
          <w:spacing w:val="-2"/>
          <w:sz w:val="24"/>
        </w:rPr>
        <w:t>10</w:t>
      </w:r>
      <w:r>
        <w:rPr>
          <w:rFonts w:hint="eastAsia" w:eastAsia="方正仿宋_GBK"/>
          <w:color w:val="000000"/>
          <w:spacing w:val="-2"/>
          <w:sz w:val="24"/>
        </w:rPr>
        <w:t>个工作日内报送至省建设厅和当地供水主管部门（项目与格式详见附表</w:t>
      </w:r>
      <w:r>
        <w:rPr>
          <w:rFonts w:eastAsia="方正仿宋_GBK"/>
          <w:color w:val="000000"/>
          <w:spacing w:val="-2"/>
          <w:sz w:val="24"/>
        </w:rPr>
        <w:t>5</w:t>
      </w:r>
      <w:r>
        <w:rPr>
          <w:rFonts w:hint="eastAsia" w:eastAsia="方正仿宋_GBK"/>
          <w:color w:val="000000"/>
          <w:spacing w:val="-2"/>
          <w:sz w:val="24"/>
        </w:rPr>
        <w:t>）。</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月度合格率统计表在次月</w:t>
      </w:r>
      <w:r>
        <w:rPr>
          <w:rFonts w:eastAsia="方正仿宋_GBK"/>
          <w:color w:val="000000"/>
          <w:spacing w:val="-2"/>
          <w:sz w:val="24"/>
        </w:rPr>
        <w:t>10</w:t>
      </w:r>
      <w:r>
        <w:rPr>
          <w:rFonts w:hint="eastAsia" w:eastAsia="方正仿宋_GBK"/>
          <w:color w:val="000000"/>
          <w:spacing w:val="-2"/>
          <w:sz w:val="24"/>
        </w:rPr>
        <w:t>个工作日内报送至省建设厅和当地供水主管部门（项目与格式详见附表</w:t>
      </w:r>
      <w:r>
        <w:rPr>
          <w:rFonts w:eastAsia="方正仿宋_GBK"/>
          <w:color w:val="000000"/>
          <w:spacing w:val="-2"/>
          <w:sz w:val="24"/>
        </w:rPr>
        <w:t>6</w:t>
      </w:r>
      <w:r>
        <w:rPr>
          <w:rFonts w:hint="eastAsia" w:eastAsia="方正仿宋_GBK"/>
          <w:color w:val="000000"/>
          <w:spacing w:val="-2"/>
          <w:sz w:val="24"/>
        </w:rPr>
        <w:t>）。</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第二十条</w:t>
      </w:r>
      <w:r>
        <w:rPr>
          <w:rFonts w:eastAsia="方正仿宋_GBK"/>
          <w:color w:val="000000"/>
          <w:spacing w:val="-2"/>
          <w:sz w:val="24"/>
        </w:rPr>
        <w:t xml:space="preserve">  </w:t>
      </w:r>
      <w:r>
        <w:rPr>
          <w:rFonts w:hint="eastAsia" w:eastAsia="方正仿宋_GBK"/>
          <w:color w:val="000000"/>
          <w:spacing w:val="-2"/>
          <w:sz w:val="24"/>
        </w:rPr>
        <w:t>城市供水企业应当按照本办法，建立、完善并有效运行城市供水质量监督管理体系。</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第二十一条</w:t>
      </w:r>
      <w:r>
        <w:rPr>
          <w:rFonts w:eastAsia="方正仿宋_GBK"/>
          <w:color w:val="000000"/>
          <w:spacing w:val="-2"/>
          <w:sz w:val="24"/>
        </w:rPr>
        <w:t xml:space="preserve">  </w:t>
      </w:r>
      <w:r>
        <w:rPr>
          <w:rFonts w:hint="eastAsia" w:eastAsia="方正仿宋_GBK"/>
          <w:color w:val="000000"/>
          <w:spacing w:val="-2"/>
          <w:sz w:val="24"/>
        </w:rPr>
        <w:t>供水水质监测和检测项目及频率将根据国家和行业新颁布的相关标准和规定适时调整。</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第二十二条</w:t>
      </w:r>
      <w:r>
        <w:rPr>
          <w:rFonts w:eastAsia="方正仿宋_GBK"/>
          <w:color w:val="000000"/>
          <w:spacing w:val="-2"/>
          <w:sz w:val="24"/>
        </w:rPr>
        <w:t xml:space="preserve">  </w:t>
      </w:r>
      <w:r>
        <w:rPr>
          <w:rFonts w:hint="eastAsia" w:eastAsia="方正仿宋_GBK"/>
          <w:color w:val="000000"/>
          <w:spacing w:val="-2"/>
          <w:sz w:val="24"/>
        </w:rPr>
        <w:t>本办法由省建设厅负责解释。本办法自</w:t>
      </w:r>
      <w:r>
        <w:rPr>
          <w:rFonts w:eastAsia="方正仿宋_GBK"/>
          <w:color w:val="000000"/>
          <w:spacing w:val="-2"/>
          <w:sz w:val="24"/>
        </w:rPr>
        <w:t>2009</w:t>
      </w:r>
      <w:r>
        <w:rPr>
          <w:rFonts w:hint="eastAsia" w:eastAsia="方正仿宋_GBK"/>
          <w:color w:val="000000"/>
          <w:spacing w:val="-2"/>
          <w:sz w:val="24"/>
        </w:rPr>
        <w:t>年</w:t>
      </w:r>
      <w:r>
        <w:rPr>
          <w:rFonts w:eastAsia="方正仿宋_GBK"/>
          <w:color w:val="000000"/>
          <w:spacing w:val="-2"/>
          <w:sz w:val="24"/>
        </w:rPr>
        <w:t>9</w:t>
      </w:r>
      <w:r>
        <w:rPr>
          <w:rFonts w:hint="eastAsia" w:eastAsia="方正仿宋_GBK"/>
          <w:color w:val="000000"/>
          <w:spacing w:val="-2"/>
          <w:sz w:val="24"/>
        </w:rPr>
        <w:t>月</w:t>
      </w:r>
      <w:r>
        <w:rPr>
          <w:rFonts w:eastAsia="方正仿宋_GBK"/>
          <w:color w:val="000000"/>
          <w:spacing w:val="-2"/>
          <w:sz w:val="24"/>
        </w:rPr>
        <w:t>1</w:t>
      </w:r>
      <w:r>
        <w:rPr>
          <w:rFonts w:hint="eastAsia" w:eastAsia="方正仿宋_GBK"/>
          <w:color w:val="000000"/>
          <w:spacing w:val="-2"/>
          <w:sz w:val="24"/>
        </w:rPr>
        <w:t>日起实施。</w:t>
      </w:r>
    </w:p>
    <w:p>
      <w:pPr>
        <w:spacing w:line="460" w:lineRule="exact"/>
        <w:rPr>
          <w:rFonts w:ascii="Times New Roman" w:eastAsia="方正黑体_GBK"/>
          <w:color w:val="000000"/>
          <w:spacing w:val="-2"/>
          <w:sz w:val="28"/>
          <w:szCs w:val="28"/>
        </w:rPr>
      </w:pPr>
      <w:r>
        <w:rPr>
          <w:rFonts w:eastAsia="仿宋_GB2312"/>
          <w:color w:val="000000"/>
          <w:spacing w:val="-2"/>
          <w:sz w:val="32"/>
          <w:szCs w:val="32"/>
        </w:rPr>
        <w:br w:type="page"/>
      </w:r>
      <w:r>
        <w:rPr>
          <w:rFonts w:hint="eastAsia" w:ascii="Times New Roman" w:eastAsia="方正黑体_GBK"/>
          <w:color w:val="000000"/>
          <w:spacing w:val="-2"/>
          <w:sz w:val="28"/>
          <w:szCs w:val="28"/>
        </w:rPr>
        <w:t>附表1</w:t>
      </w:r>
    </w:p>
    <w:p>
      <w:pPr>
        <w:spacing w:line="360" w:lineRule="auto"/>
        <w:ind w:firstLine="1518" w:firstLineChars="550"/>
        <w:rPr>
          <w:rFonts w:hint="eastAsia" w:ascii="Times New Roman" w:eastAsia="方正黑体_GBK"/>
          <w:color w:val="000000"/>
          <w:spacing w:val="-2"/>
          <w:sz w:val="28"/>
          <w:szCs w:val="28"/>
        </w:rPr>
      </w:pPr>
      <w:r>
        <w:rPr>
          <w:rFonts w:hint="eastAsia" w:ascii="Times New Roman" w:eastAsia="方正黑体_GBK"/>
          <w:color w:val="000000"/>
          <w:spacing w:val="-2"/>
          <w:sz w:val="28"/>
          <w:szCs w:val="28"/>
          <w:u w:val="single"/>
        </w:rPr>
        <w:t xml:space="preserve">              </w:t>
      </w:r>
      <w:r>
        <w:rPr>
          <w:rFonts w:hint="eastAsia" w:ascii="Times New Roman" w:eastAsia="方正黑体_GBK"/>
          <w:color w:val="000000"/>
          <w:spacing w:val="-2"/>
          <w:sz w:val="28"/>
          <w:szCs w:val="28"/>
        </w:rPr>
        <w:t>水厂生产运行水质检测报表</w:t>
      </w:r>
    </w:p>
    <w:p>
      <w:pPr>
        <w:rPr>
          <w:rFonts w:hint="eastAsia" w:eastAsia="方正仿宋_GBK"/>
          <w:color w:val="000000"/>
          <w:spacing w:val="-2"/>
          <w:szCs w:val="21"/>
        </w:rPr>
      </w:pPr>
      <w:r>
        <w:rPr>
          <w:rFonts w:hint="eastAsia" w:eastAsia="方正仿宋_GBK"/>
          <w:color w:val="000000"/>
          <w:spacing w:val="-2"/>
          <w:szCs w:val="21"/>
        </w:rPr>
        <w:t>班组：</w:t>
      </w:r>
      <w:r>
        <w:rPr>
          <w:rFonts w:eastAsia="方正仿宋_GBK"/>
          <w:color w:val="000000"/>
          <w:spacing w:val="-2"/>
          <w:szCs w:val="21"/>
        </w:rPr>
        <w:t xml:space="preserve">                                                      </w:t>
      </w:r>
      <w:r>
        <w:rPr>
          <w:rFonts w:hint="eastAsia" w:eastAsia="方正仿宋_GBK"/>
          <w:color w:val="000000"/>
          <w:spacing w:val="-2"/>
          <w:szCs w:val="21"/>
        </w:rPr>
        <w:t>日期：</w:t>
      </w:r>
    </w:p>
    <w:tbl>
      <w:tblPr>
        <w:tblStyle w:val="12"/>
        <w:tblW w:w="0" w:type="auto"/>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866"/>
        <w:gridCol w:w="1114"/>
        <w:gridCol w:w="1080"/>
        <w:gridCol w:w="1110"/>
        <w:gridCol w:w="1189"/>
        <w:gridCol w:w="938"/>
        <w:gridCol w:w="12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8" w:space="0"/>
              <w:left w:val="single" w:color="auto" w:sz="8" w:space="0"/>
              <w:bottom w:val="single" w:color="auto" w:sz="4" w:space="0"/>
              <w:right w:val="single" w:color="auto" w:sz="4" w:space="0"/>
            </w:tcBorders>
            <w:noWrap w:val="0"/>
            <w:vAlign w:val="center"/>
          </w:tcPr>
          <w:p>
            <w:pPr>
              <w:pBdr>
                <w:bottom w:val="single" w:color="auto" w:sz="6" w:space="1"/>
              </w:pBdr>
              <w:tabs>
                <w:tab w:val="center" w:pos="4153"/>
                <w:tab w:val="right" w:pos="8306"/>
              </w:tabs>
              <w:snapToGrid w:val="0"/>
              <w:jc w:val="center"/>
              <w:rPr>
                <w:rFonts w:eastAsia="方正仿宋_GBK"/>
                <w:color w:val="000000"/>
                <w:spacing w:val="-2"/>
                <w:szCs w:val="21"/>
              </w:rPr>
            </w:pPr>
            <w:r>
              <w:rPr>
                <w:rFonts w:hint="eastAsia" w:eastAsia="方正仿宋_GBK"/>
                <w:color w:val="000000"/>
                <w:spacing w:val="-2"/>
                <w:szCs w:val="21"/>
              </w:rPr>
              <w:t>检测时间</w:t>
            </w:r>
          </w:p>
        </w:tc>
        <w:tc>
          <w:tcPr>
            <w:tcW w:w="866" w:type="dxa"/>
            <w:tcBorders>
              <w:top w:val="single" w:color="auto" w:sz="8" w:space="0"/>
              <w:left w:val="single" w:color="auto" w:sz="4" w:space="0"/>
              <w:bottom w:val="single" w:color="auto" w:sz="4" w:space="0"/>
              <w:right w:val="single" w:color="auto" w:sz="4" w:space="0"/>
            </w:tcBorders>
            <w:noWrap w:val="0"/>
            <w:vAlign w:val="center"/>
          </w:tcPr>
          <w:p>
            <w:pPr>
              <w:pBdr>
                <w:bottom w:val="single" w:color="auto" w:sz="6" w:space="1"/>
              </w:pBdr>
              <w:tabs>
                <w:tab w:val="center" w:pos="4153"/>
                <w:tab w:val="right" w:pos="8306"/>
              </w:tabs>
              <w:snapToGrid w:val="0"/>
              <w:jc w:val="center"/>
              <w:rPr>
                <w:rFonts w:eastAsia="方正仿宋_GBK"/>
                <w:color w:val="000000"/>
                <w:spacing w:val="-2"/>
                <w:szCs w:val="21"/>
              </w:rPr>
            </w:pPr>
            <w:r>
              <w:rPr>
                <w:rFonts w:hint="eastAsia" w:eastAsia="方正仿宋_GBK"/>
                <w:color w:val="000000"/>
                <w:spacing w:val="-2"/>
                <w:szCs w:val="21"/>
              </w:rPr>
              <w:t>色度（度）</w:t>
            </w:r>
          </w:p>
        </w:tc>
        <w:tc>
          <w:tcPr>
            <w:tcW w:w="1114" w:type="dxa"/>
            <w:tcBorders>
              <w:top w:val="single" w:color="auto" w:sz="8" w:space="0"/>
              <w:left w:val="single" w:color="auto" w:sz="4" w:space="0"/>
              <w:bottom w:val="single" w:color="auto" w:sz="4" w:space="0"/>
              <w:right w:val="single" w:color="auto" w:sz="4" w:space="0"/>
            </w:tcBorders>
            <w:noWrap w:val="0"/>
            <w:vAlign w:val="center"/>
          </w:tcPr>
          <w:p>
            <w:pPr>
              <w:pBdr>
                <w:bottom w:val="single" w:color="auto" w:sz="6" w:space="1"/>
              </w:pBdr>
              <w:tabs>
                <w:tab w:val="center" w:pos="4153"/>
                <w:tab w:val="right" w:pos="8306"/>
              </w:tabs>
              <w:snapToGrid w:val="0"/>
              <w:jc w:val="center"/>
              <w:rPr>
                <w:rFonts w:eastAsia="方正仿宋_GBK"/>
                <w:color w:val="000000"/>
                <w:spacing w:val="-2"/>
                <w:szCs w:val="21"/>
              </w:rPr>
            </w:pPr>
            <w:r>
              <w:rPr>
                <w:rFonts w:hint="eastAsia" w:eastAsia="方正仿宋_GBK"/>
                <w:color w:val="000000"/>
                <w:spacing w:val="-2"/>
                <w:szCs w:val="21"/>
              </w:rPr>
              <w:t>臭和味</w:t>
            </w:r>
          </w:p>
        </w:tc>
        <w:tc>
          <w:tcPr>
            <w:tcW w:w="1080" w:type="dxa"/>
            <w:tcBorders>
              <w:top w:val="single" w:color="auto" w:sz="8" w:space="0"/>
              <w:left w:val="single" w:color="auto" w:sz="4" w:space="0"/>
              <w:bottom w:val="single" w:color="auto" w:sz="4" w:space="0"/>
              <w:right w:val="single" w:color="auto" w:sz="4" w:space="0"/>
            </w:tcBorders>
            <w:noWrap w:val="0"/>
            <w:vAlign w:val="center"/>
          </w:tcPr>
          <w:p>
            <w:pPr>
              <w:pBdr>
                <w:bottom w:val="single" w:color="auto" w:sz="6" w:space="1"/>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pH</w:t>
            </w:r>
            <w:r>
              <w:rPr>
                <w:rFonts w:hint="eastAsia" w:eastAsia="方正仿宋_GBK"/>
                <w:color w:val="000000"/>
                <w:spacing w:val="-2"/>
                <w:szCs w:val="21"/>
              </w:rPr>
              <w:t>值</w:t>
            </w:r>
          </w:p>
        </w:tc>
        <w:tc>
          <w:tcPr>
            <w:tcW w:w="1110" w:type="dxa"/>
            <w:tcBorders>
              <w:top w:val="single" w:color="auto" w:sz="8" w:space="0"/>
              <w:left w:val="single" w:color="auto" w:sz="4" w:space="0"/>
              <w:bottom w:val="single" w:color="auto" w:sz="4" w:space="0"/>
              <w:right w:val="single" w:color="auto" w:sz="4" w:space="0"/>
            </w:tcBorders>
            <w:noWrap w:val="0"/>
            <w:vAlign w:val="center"/>
          </w:tcPr>
          <w:p>
            <w:pPr>
              <w:pBdr>
                <w:bottom w:val="single" w:color="auto" w:sz="6" w:space="1"/>
              </w:pBdr>
              <w:tabs>
                <w:tab w:val="center" w:pos="4153"/>
                <w:tab w:val="right" w:pos="8306"/>
              </w:tabs>
              <w:snapToGrid w:val="0"/>
              <w:jc w:val="center"/>
              <w:rPr>
                <w:rFonts w:eastAsia="方正仿宋_GBK"/>
                <w:color w:val="000000"/>
                <w:spacing w:val="-2"/>
                <w:szCs w:val="21"/>
              </w:rPr>
            </w:pPr>
            <w:r>
              <w:rPr>
                <w:rFonts w:hint="eastAsia" w:eastAsia="方正仿宋_GBK"/>
                <w:color w:val="000000"/>
                <w:spacing w:val="-2"/>
                <w:szCs w:val="21"/>
              </w:rPr>
              <w:t>溶解氧（</w:t>
            </w:r>
            <w:r>
              <w:rPr>
                <w:rFonts w:eastAsia="方正仿宋_GBK"/>
                <w:color w:val="000000"/>
                <w:spacing w:val="-2"/>
                <w:szCs w:val="21"/>
              </w:rPr>
              <w:t>mg/L</w:t>
            </w:r>
            <w:r>
              <w:rPr>
                <w:rFonts w:hint="eastAsia" w:eastAsia="方正仿宋_GBK"/>
                <w:color w:val="000000"/>
                <w:spacing w:val="-2"/>
                <w:szCs w:val="21"/>
              </w:rPr>
              <w:t>）</w:t>
            </w:r>
          </w:p>
        </w:tc>
        <w:tc>
          <w:tcPr>
            <w:tcW w:w="1189" w:type="dxa"/>
            <w:tcBorders>
              <w:top w:val="single" w:color="auto" w:sz="8" w:space="0"/>
              <w:left w:val="single" w:color="auto" w:sz="4" w:space="0"/>
              <w:bottom w:val="single" w:color="auto" w:sz="4" w:space="0"/>
              <w:right w:val="single" w:color="auto" w:sz="4" w:space="0"/>
            </w:tcBorders>
            <w:noWrap w:val="0"/>
            <w:vAlign w:val="center"/>
          </w:tcPr>
          <w:p>
            <w:pPr>
              <w:pBdr>
                <w:bottom w:val="single" w:color="auto" w:sz="6" w:space="1"/>
              </w:pBdr>
              <w:tabs>
                <w:tab w:val="center" w:pos="4153"/>
                <w:tab w:val="right" w:pos="8306"/>
              </w:tabs>
              <w:snapToGrid w:val="0"/>
              <w:jc w:val="center"/>
              <w:rPr>
                <w:rFonts w:eastAsia="方正仿宋_GBK"/>
                <w:color w:val="000000"/>
                <w:spacing w:val="-2"/>
                <w:szCs w:val="21"/>
              </w:rPr>
            </w:pPr>
            <w:r>
              <w:rPr>
                <w:rFonts w:hint="eastAsia" w:eastAsia="方正仿宋_GBK"/>
                <w:color w:val="000000"/>
                <w:spacing w:val="-2"/>
                <w:szCs w:val="21"/>
              </w:rPr>
              <w:t>耗氧量（</w:t>
            </w:r>
            <w:r>
              <w:rPr>
                <w:rFonts w:eastAsia="方正仿宋_GBK"/>
                <w:color w:val="000000"/>
                <w:spacing w:val="-2"/>
                <w:szCs w:val="21"/>
              </w:rPr>
              <w:t>mg/L</w:t>
            </w:r>
            <w:r>
              <w:rPr>
                <w:rFonts w:hint="eastAsia" w:eastAsia="方正仿宋_GBK"/>
                <w:color w:val="000000"/>
                <w:spacing w:val="-2"/>
                <w:szCs w:val="21"/>
              </w:rPr>
              <w:t>）</w:t>
            </w:r>
          </w:p>
        </w:tc>
        <w:tc>
          <w:tcPr>
            <w:tcW w:w="938" w:type="dxa"/>
            <w:tcBorders>
              <w:top w:val="single" w:color="auto" w:sz="8" w:space="0"/>
              <w:left w:val="single" w:color="auto" w:sz="4" w:space="0"/>
              <w:bottom w:val="single" w:color="auto" w:sz="4" w:space="0"/>
              <w:right w:val="single" w:color="auto" w:sz="4" w:space="0"/>
            </w:tcBorders>
            <w:noWrap w:val="0"/>
            <w:vAlign w:val="center"/>
          </w:tcPr>
          <w:p>
            <w:pPr>
              <w:pBdr>
                <w:bottom w:val="single" w:color="auto" w:sz="6" w:space="1"/>
              </w:pBdr>
              <w:tabs>
                <w:tab w:val="center" w:pos="4153"/>
                <w:tab w:val="right" w:pos="8306"/>
              </w:tabs>
              <w:snapToGrid w:val="0"/>
              <w:jc w:val="center"/>
              <w:rPr>
                <w:rFonts w:eastAsia="方正仿宋_GBK"/>
                <w:color w:val="000000"/>
                <w:spacing w:val="-2"/>
                <w:szCs w:val="21"/>
              </w:rPr>
            </w:pPr>
            <w:r>
              <w:rPr>
                <w:rFonts w:hint="eastAsia" w:eastAsia="方正仿宋_GBK"/>
                <w:color w:val="000000"/>
                <w:spacing w:val="-2"/>
                <w:szCs w:val="21"/>
              </w:rPr>
              <w:t>浑浊度</w:t>
            </w:r>
          </w:p>
        </w:tc>
        <w:tc>
          <w:tcPr>
            <w:tcW w:w="1274" w:type="dxa"/>
            <w:tcBorders>
              <w:top w:val="single" w:color="auto" w:sz="8" w:space="0"/>
              <w:left w:val="single" w:color="auto" w:sz="4" w:space="0"/>
              <w:bottom w:val="single" w:color="auto" w:sz="4" w:space="0"/>
              <w:right w:val="single" w:color="auto" w:sz="8" w:space="0"/>
            </w:tcBorders>
            <w:noWrap w:val="0"/>
            <w:vAlign w:val="center"/>
          </w:tcPr>
          <w:p>
            <w:pPr>
              <w:pBdr>
                <w:bottom w:val="single" w:color="auto" w:sz="6" w:space="1"/>
              </w:pBdr>
              <w:tabs>
                <w:tab w:val="center" w:pos="4153"/>
                <w:tab w:val="right" w:pos="8306"/>
              </w:tabs>
              <w:snapToGrid w:val="0"/>
              <w:jc w:val="center"/>
              <w:rPr>
                <w:rFonts w:eastAsia="方正仿宋_GBK"/>
                <w:color w:val="000000"/>
                <w:spacing w:val="-2"/>
                <w:szCs w:val="21"/>
              </w:rPr>
            </w:pPr>
            <w:r>
              <w:rPr>
                <w:rFonts w:hint="eastAsia" w:eastAsia="方正仿宋_GBK"/>
                <w:color w:val="000000"/>
                <w:spacing w:val="-2"/>
                <w:szCs w:val="21"/>
              </w:rPr>
              <w:t>余氯（</w:t>
            </w:r>
            <w:r>
              <w:rPr>
                <w:rFonts w:eastAsia="方正仿宋_GBK"/>
                <w:color w:val="000000"/>
                <w:spacing w:val="-2"/>
                <w:szCs w:val="21"/>
              </w:rPr>
              <w:t>mg/L</w:t>
            </w:r>
            <w:r>
              <w:rPr>
                <w:rFonts w:hint="eastAsia" w:eastAsia="方正仿宋_GBK"/>
                <w:color w:val="000000"/>
                <w:spacing w:val="-2"/>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188" w:type="dxa"/>
            <w:tcBorders>
              <w:top w:val="single" w:color="auto" w:sz="4" w:space="0"/>
              <w:left w:val="single" w:color="auto" w:sz="8"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0</w:t>
            </w:r>
            <w:r>
              <w:rPr>
                <w:rFonts w:hint="eastAsia" w:eastAsia="方正仿宋_GBK"/>
                <w:color w:val="000000"/>
                <w:spacing w:val="-2"/>
                <w:szCs w:val="21"/>
              </w:rPr>
              <w:t>：</w:t>
            </w:r>
            <w:r>
              <w:rPr>
                <w:rFonts w:eastAsia="方正仿宋_GBK"/>
                <w:color w:val="000000"/>
                <w:spacing w:val="-2"/>
                <w:szCs w:val="21"/>
              </w:rPr>
              <w:t>00</w:t>
            </w:r>
          </w:p>
        </w:tc>
        <w:tc>
          <w:tcPr>
            <w:tcW w:w="866"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4"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89"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938"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274" w:type="dxa"/>
            <w:tcBorders>
              <w:top w:val="single" w:color="auto" w:sz="4" w:space="0"/>
              <w:left w:val="single" w:color="auto" w:sz="4" w:space="0"/>
              <w:bottom w:val="single" w:color="auto" w:sz="4" w:space="0"/>
              <w:right w:val="single" w:color="auto" w:sz="8"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188" w:type="dxa"/>
            <w:tcBorders>
              <w:top w:val="single" w:color="auto" w:sz="4" w:space="0"/>
              <w:left w:val="single" w:color="auto" w:sz="8"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1</w:t>
            </w:r>
            <w:r>
              <w:rPr>
                <w:rFonts w:hint="eastAsia" w:eastAsia="方正仿宋_GBK"/>
                <w:color w:val="000000"/>
                <w:spacing w:val="-2"/>
                <w:szCs w:val="21"/>
              </w:rPr>
              <w:t>：</w:t>
            </w:r>
            <w:r>
              <w:rPr>
                <w:rFonts w:eastAsia="方正仿宋_GBK"/>
                <w:color w:val="000000"/>
                <w:spacing w:val="-2"/>
                <w:szCs w:val="21"/>
              </w:rPr>
              <w:t>00</w:t>
            </w:r>
          </w:p>
        </w:tc>
        <w:tc>
          <w:tcPr>
            <w:tcW w:w="866"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4"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89"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938"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274" w:type="dxa"/>
            <w:tcBorders>
              <w:top w:val="single" w:color="auto" w:sz="4" w:space="0"/>
              <w:left w:val="single" w:color="auto" w:sz="4" w:space="0"/>
              <w:bottom w:val="single" w:color="auto" w:sz="4" w:space="0"/>
              <w:right w:val="single" w:color="auto" w:sz="8"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188" w:type="dxa"/>
            <w:tcBorders>
              <w:top w:val="single" w:color="auto" w:sz="4" w:space="0"/>
              <w:left w:val="single" w:color="auto" w:sz="8"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2</w:t>
            </w:r>
            <w:r>
              <w:rPr>
                <w:rFonts w:hint="eastAsia" w:eastAsia="方正仿宋_GBK"/>
                <w:color w:val="000000"/>
                <w:spacing w:val="-2"/>
                <w:szCs w:val="21"/>
              </w:rPr>
              <w:t>：</w:t>
            </w:r>
            <w:r>
              <w:rPr>
                <w:rFonts w:eastAsia="方正仿宋_GBK"/>
                <w:color w:val="000000"/>
                <w:spacing w:val="-2"/>
                <w:szCs w:val="21"/>
              </w:rPr>
              <w:t>00</w:t>
            </w:r>
          </w:p>
        </w:tc>
        <w:tc>
          <w:tcPr>
            <w:tcW w:w="866"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4"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89"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938"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274" w:type="dxa"/>
            <w:tcBorders>
              <w:top w:val="single" w:color="auto" w:sz="4" w:space="0"/>
              <w:left w:val="single" w:color="auto" w:sz="4" w:space="0"/>
              <w:bottom w:val="single" w:color="auto" w:sz="4" w:space="0"/>
              <w:right w:val="single" w:color="auto" w:sz="8"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188" w:type="dxa"/>
            <w:tcBorders>
              <w:top w:val="single" w:color="auto" w:sz="4" w:space="0"/>
              <w:left w:val="single" w:color="auto" w:sz="8"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3</w:t>
            </w:r>
            <w:r>
              <w:rPr>
                <w:rFonts w:hint="eastAsia" w:eastAsia="方正仿宋_GBK"/>
                <w:color w:val="000000"/>
                <w:spacing w:val="-2"/>
                <w:szCs w:val="21"/>
              </w:rPr>
              <w:t>：</w:t>
            </w:r>
            <w:r>
              <w:rPr>
                <w:rFonts w:eastAsia="方正仿宋_GBK"/>
                <w:color w:val="000000"/>
                <w:spacing w:val="-2"/>
                <w:szCs w:val="21"/>
              </w:rPr>
              <w:t>00</w:t>
            </w:r>
          </w:p>
        </w:tc>
        <w:tc>
          <w:tcPr>
            <w:tcW w:w="866"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4"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89"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938"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274" w:type="dxa"/>
            <w:tcBorders>
              <w:top w:val="single" w:color="auto" w:sz="4" w:space="0"/>
              <w:left w:val="single" w:color="auto" w:sz="4" w:space="0"/>
              <w:bottom w:val="single" w:color="auto" w:sz="4" w:space="0"/>
              <w:right w:val="single" w:color="auto" w:sz="8"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188" w:type="dxa"/>
            <w:tcBorders>
              <w:top w:val="single" w:color="auto" w:sz="4" w:space="0"/>
              <w:left w:val="single" w:color="auto" w:sz="8"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4</w:t>
            </w:r>
            <w:r>
              <w:rPr>
                <w:rFonts w:hint="eastAsia" w:eastAsia="方正仿宋_GBK"/>
                <w:color w:val="000000"/>
                <w:spacing w:val="-2"/>
                <w:szCs w:val="21"/>
              </w:rPr>
              <w:t>：</w:t>
            </w:r>
            <w:r>
              <w:rPr>
                <w:rFonts w:eastAsia="方正仿宋_GBK"/>
                <w:color w:val="000000"/>
                <w:spacing w:val="-2"/>
                <w:szCs w:val="21"/>
              </w:rPr>
              <w:t>00</w:t>
            </w:r>
          </w:p>
        </w:tc>
        <w:tc>
          <w:tcPr>
            <w:tcW w:w="866"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4"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89"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938"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274" w:type="dxa"/>
            <w:tcBorders>
              <w:top w:val="single" w:color="auto" w:sz="4" w:space="0"/>
              <w:left w:val="single" w:color="auto" w:sz="4" w:space="0"/>
              <w:bottom w:val="single" w:color="auto" w:sz="4" w:space="0"/>
              <w:right w:val="single" w:color="auto" w:sz="8"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188" w:type="dxa"/>
            <w:tcBorders>
              <w:top w:val="single" w:color="auto" w:sz="4" w:space="0"/>
              <w:left w:val="single" w:color="auto" w:sz="8"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5</w:t>
            </w:r>
            <w:r>
              <w:rPr>
                <w:rFonts w:hint="eastAsia" w:eastAsia="方正仿宋_GBK"/>
                <w:color w:val="000000"/>
                <w:spacing w:val="-2"/>
                <w:szCs w:val="21"/>
              </w:rPr>
              <w:t>：</w:t>
            </w:r>
            <w:r>
              <w:rPr>
                <w:rFonts w:eastAsia="方正仿宋_GBK"/>
                <w:color w:val="000000"/>
                <w:spacing w:val="-2"/>
                <w:szCs w:val="21"/>
              </w:rPr>
              <w:t>00</w:t>
            </w:r>
          </w:p>
        </w:tc>
        <w:tc>
          <w:tcPr>
            <w:tcW w:w="866"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4"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89"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938"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274" w:type="dxa"/>
            <w:tcBorders>
              <w:top w:val="single" w:color="auto" w:sz="4" w:space="0"/>
              <w:left w:val="single" w:color="auto" w:sz="4" w:space="0"/>
              <w:bottom w:val="single" w:color="auto" w:sz="4" w:space="0"/>
              <w:right w:val="single" w:color="auto" w:sz="8"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188" w:type="dxa"/>
            <w:tcBorders>
              <w:top w:val="single" w:color="auto" w:sz="4" w:space="0"/>
              <w:left w:val="single" w:color="auto" w:sz="8"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6</w:t>
            </w:r>
            <w:r>
              <w:rPr>
                <w:rFonts w:hint="eastAsia" w:eastAsia="方正仿宋_GBK"/>
                <w:color w:val="000000"/>
                <w:spacing w:val="-2"/>
                <w:szCs w:val="21"/>
              </w:rPr>
              <w:t>：</w:t>
            </w:r>
            <w:r>
              <w:rPr>
                <w:rFonts w:eastAsia="方正仿宋_GBK"/>
                <w:color w:val="000000"/>
                <w:spacing w:val="-2"/>
                <w:szCs w:val="21"/>
              </w:rPr>
              <w:t>00</w:t>
            </w:r>
          </w:p>
        </w:tc>
        <w:tc>
          <w:tcPr>
            <w:tcW w:w="866"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4"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89"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938"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274" w:type="dxa"/>
            <w:tcBorders>
              <w:top w:val="single" w:color="auto" w:sz="4" w:space="0"/>
              <w:left w:val="single" w:color="auto" w:sz="4" w:space="0"/>
              <w:bottom w:val="single" w:color="auto" w:sz="4" w:space="0"/>
              <w:right w:val="single" w:color="auto" w:sz="8"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188" w:type="dxa"/>
            <w:tcBorders>
              <w:top w:val="single" w:color="auto" w:sz="4" w:space="0"/>
              <w:left w:val="single" w:color="auto" w:sz="8"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7</w:t>
            </w:r>
            <w:r>
              <w:rPr>
                <w:rFonts w:hint="eastAsia" w:eastAsia="方正仿宋_GBK"/>
                <w:color w:val="000000"/>
                <w:spacing w:val="-2"/>
                <w:szCs w:val="21"/>
              </w:rPr>
              <w:t>：</w:t>
            </w:r>
            <w:r>
              <w:rPr>
                <w:rFonts w:eastAsia="方正仿宋_GBK"/>
                <w:color w:val="000000"/>
                <w:spacing w:val="-2"/>
                <w:szCs w:val="21"/>
              </w:rPr>
              <w:t>00</w:t>
            </w:r>
          </w:p>
        </w:tc>
        <w:tc>
          <w:tcPr>
            <w:tcW w:w="866"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4"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89"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938"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274" w:type="dxa"/>
            <w:tcBorders>
              <w:top w:val="single" w:color="auto" w:sz="4" w:space="0"/>
              <w:left w:val="single" w:color="auto" w:sz="4" w:space="0"/>
              <w:bottom w:val="single" w:color="auto" w:sz="4" w:space="0"/>
              <w:right w:val="single" w:color="auto" w:sz="8"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188" w:type="dxa"/>
            <w:tcBorders>
              <w:top w:val="single" w:color="auto" w:sz="4" w:space="0"/>
              <w:left w:val="single" w:color="auto" w:sz="8"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8</w:t>
            </w:r>
            <w:r>
              <w:rPr>
                <w:rFonts w:hint="eastAsia" w:eastAsia="方正仿宋_GBK"/>
                <w:color w:val="000000"/>
                <w:spacing w:val="-2"/>
                <w:szCs w:val="21"/>
              </w:rPr>
              <w:t>：</w:t>
            </w:r>
            <w:r>
              <w:rPr>
                <w:rFonts w:eastAsia="方正仿宋_GBK"/>
                <w:color w:val="000000"/>
                <w:spacing w:val="-2"/>
                <w:szCs w:val="21"/>
              </w:rPr>
              <w:t>00</w:t>
            </w:r>
          </w:p>
        </w:tc>
        <w:tc>
          <w:tcPr>
            <w:tcW w:w="866"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4"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89"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938"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274" w:type="dxa"/>
            <w:tcBorders>
              <w:top w:val="single" w:color="auto" w:sz="4" w:space="0"/>
              <w:left w:val="single" w:color="auto" w:sz="4" w:space="0"/>
              <w:bottom w:val="single" w:color="auto" w:sz="4" w:space="0"/>
              <w:right w:val="single" w:color="auto" w:sz="8"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188" w:type="dxa"/>
            <w:tcBorders>
              <w:top w:val="single" w:color="auto" w:sz="4" w:space="0"/>
              <w:left w:val="single" w:color="auto" w:sz="8"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9</w:t>
            </w:r>
            <w:r>
              <w:rPr>
                <w:rFonts w:hint="eastAsia" w:eastAsia="方正仿宋_GBK"/>
                <w:color w:val="000000"/>
                <w:spacing w:val="-2"/>
                <w:szCs w:val="21"/>
              </w:rPr>
              <w:t>：</w:t>
            </w:r>
            <w:r>
              <w:rPr>
                <w:rFonts w:eastAsia="方正仿宋_GBK"/>
                <w:color w:val="000000"/>
                <w:spacing w:val="-2"/>
                <w:szCs w:val="21"/>
              </w:rPr>
              <w:t>00</w:t>
            </w:r>
          </w:p>
        </w:tc>
        <w:tc>
          <w:tcPr>
            <w:tcW w:w="866"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4"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89"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938"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274" w:type="dxa"/>
            <w:tcBorders>
              <w:top w:val="single" w:color="auto" w:sz="4" w:space="0"/>
              <w:left w:val="single" w:color="auto" w:sz="4" w:space="0"/>
              <w:bottom w:val="single" w:color="auto" w:sz="4" w:space="0"/>
              <w:right w:val="single" w:color="auto" w:sz="8"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188" w:type="dxa"/>
            <w:tcBorders>
              <w:top w:val="single" w:color="auto" w:sz="4" w:space="0"/>
              <w:left w:val="single" w:color="auto" w:sz="8"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10</w:t>
            </w:r>
            <w:r>
              <w:rPr>
                <w:rFonts w:hint="eastAsia" w:eastAsia="方正仿宋_GBK"/>
                <w:color w:val="000000"/>
                <w:spacing w:val="-2"/>
                <w:szCs w:val="21"/>
              </w:rPr>
              <w:t>：</w:t>
            </w:r>
            <w:r>
              <w:rPr>
                <w:rFonts w:eastAsia="方正仿宋_GBK"/>
                <w:color w:val="000000"/>
                <w:spacing w:val="-2"/>
                <w:szCs w:val="21"/>
              </w:rPr>
              <w:t>00</w:t>
            </w:r>
          </w:p>
        </w:tc>
        <w:tc>
          <w:tcPr>
            <w:tcW w:w="866"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4"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89"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938"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274" w:type="dxa"/>
            <w:tcBorders>
              <w:top w:val="single" w:color="auto" w:sz="4" w:space="0"/>
              <w:left w:val="single" w:color="auto" w:sz="4" w:space="0"/>
              <w:bottom w:val="single" w:color="auto" w:sz="4" w:space="0"/>
              <w:right w:val="single" w:color="auto" w:sz="8"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188" w:type="dxa"/>
            <w:tcBorders>
              <w:top w:val="single" w:color="auto" w:sz="4" w:space="0"/>
              <w:left w:val="single" w:color="auto" w:sz="8"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11</w:t>
            </w:r>
            <w:r>
              <w:rPr>
                <w:rFonts w:hint="eastAsia" w:eastAsia="方正仿宋_GBK"/>
                <w:color w:val="000000"/>
                <w:spacing w:val="-2"/>
                <w:szCs w:val="21"/>
              </w:rPr>
              <w:t>：</w:t>
            </w:r>
            <w:r>
              <w:rPr>
                <w:rFonts w:eastAsia="方正仿宋_GBK"/>
                <w:color w:val="000000"/>
                <w:spacing w:val="-2"/>
                <w:szCs w:val="21"/>
              </w:rPr>
              <w:t>00</w:t>
            </w:r>
          </w:p>
        </w:tc>
        <w:tc>
          <w:tcPr>
            <w:tcW w:w="866"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4"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89"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938"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274" w:type="dxa"/>
            <w:tcBorders>
              <w:top w:val="single" w:color="auto" w:sz="4" w:space="0"/>
              <w:left w:val="single" w:color="auto" w:sz="4" w:space="0"/>
              <w:bottom w:val="single" w:color="auto" w:sz="4" w:space="0"/>
              <w:right w:val="single" w:color="auto" w:sz="8"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188" w:type="dxa"/>
            <w:tcBorders>
              <w:top w:val="single" w:color="auto" w:sz="4" w:space="0"/>
              <w:left w:val="single" w:color="auto" w:sz="8"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12</w:t>
            </w:r>
            <w:r>
              <w:rPr>
                <w:rFonts w:hint="eastAsia" w:eastAsia="方正仿宋_GBK"/>
                <w:color w:val="000000"/>
                <w:spacing w:val="-2"/>
                <w:szCs w:val="21"/>
              </w:rPr>
              <w:t>：</w:t>
            </w:r>
            <w:r>
              <w:rPr>
                <w:rFonts w:eastAsia="方正仿宋_GBK"/>
                <w:color w:val="000000"/>
                <w:spacing w:val="-2"/>
                <w:szCs w:val="21"/>
              </w:rPr>
              <w:t>00</w:t>
            </w:r>
          </w:p>
        </w:tc>
        <w:tc>
          <w:tcPr>
            <w:tcW w:w="866"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4"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89"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938"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274" w:type="dxa"/>
            <w:tcBorders>
              <w:top w:val="single" w:color="auto" w:sz="4" w:space="0"/>
              <w:left w:val="single" w:color="auto" w:sz="4" w:space="0"/>
              <w:bottom w:val="single" w:color="auto" w:sz="4" w:space="0"/>
              <w:right w:val="single" w:color="auto" w:sz="8"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188" w:type="dxa"/>
            <w:tcBorders>
              <w:top w:val="single" w:color="auto" w:sz="4" w:space="0"/>
              <w:left w:val="single" w:color="auto" w:sz="8"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13</w:t>
            </w:r>
            <w:r>
              <w:rPr>
                <w:rFonts w:hint="eastAsia" w:eastAsia="方正仿宋_GBK"/>
                <w:color w:val="000000"/>
                <w:spacing w:val="-2"/>
                <w:szCs w:val="21"/>
              </w:rPr>
              <w:t>：</w:t>
            </w:r>
            <w:r>
              <w:rPr>
                <w:rFonts w:eastAsia="方正仿宋_GBK"/>
                <w:color w:val="000000"/>
                <w:spacing w:val="-2"/>
                <w:szCs w:val="21"/>
              </w:rPr>
              <w:t>00</w:t>
            </w:r>
          </w:p>
        </w:tc>
        <w:tc>
          <w:tcPr>
            <w:tcW w:w="866"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4"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89"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938"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274" w:type="dxa"/>
            <w:tcBorders>
              <w:top w:val="single" w:color="auto" w:sz="4" w:space="0"/>
              <w:left w:val="single" w:color="auto" w:sz="4" w:space="0"/>
              <w:bottom w:val="single" w:color="auto" w:sz="4" w:space="0"/>
              <w:right w:val="single" w:color="auto" w:sz="8"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188" w:type="dxa"/>
            <w:tcBorders>
              <w:top w:val="single" w:color="auto" w:sz="4" w:space="0"/>
              <w:left w:val="single" w:color="auto" w:sz="8"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14</w:t>
            </w:r>
            <w:r>
              <w:rPr>
                <w:rFonts w:hint="eastAsia" w:eastAsia="方正仿宋_GBK"/>
                <w:color w:val="000000"/>
                <w:spacing w:val="-2"/>
                <w:szCs w:val="21"/>
              </w:rPr>
              <w:t>：</w:t>
            </w:r>
            <w:r>
              <w:rPr>
                <w:rFonts w:eastAsia="方正仿宋_GBK"/>
                <w:color w:val="000000"/>
                <w:spacing w:val="-2"/>
                <w:szCs w:val="21"/>
              </w:rPr>
              <w:t>00</w:t>
            </w:r>
          </w:p>
        </w:tc>
        <w:tc>
          <w:tcPr>
            <w:tcW w:w="866"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4"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89"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938"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274" w:type="dxa"/>
            <w:tcBorders>
              <w:top w:val="single" w:color="auto" w:sz="4" w:space="0"/>
              <w:left w:val="single" w:color="auto" w:sz="4" w:space="0"/>
              <w:bottom w:val="single" w:color="auto" w:sz="4" w:space="0"/>
              <w:right w:val="single" w:color="auto" w:sz="8"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188" w:type="dxa"/>
            <w:tcBorders>
              <w:top w:val="single" w:color="auto" w:sz="4" w:space="0"/>
              <w:left w:val="single" w:color="auto" w:sz="8"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15</w:t>
            </w:r>
            <w:r>
              <w:rPr>
                <w:rFonts w:hint="eastAsia" w:eastAsia="方正仿宋_GBK"/>
                <w:color w:val="000000"/>
                <w:spacing w:val="-2"/>
                <w:szCs w:val="21"/>
              </w:rPr>
              <w:t>：</w:t>
            </w:r>
            <w:r>
              <w:rPr>
                <w:rFonts w:eastAsia="方正仿宋_GBK"/>
                <w:color w:val="000000"/>
                <w:spacing w:val="-2"/>
                <w:szCs w:val="21"/>
              </w:rPr>
              <w:t>00</w:t>
            </w:r>
          </w:p>
        </w:tc>
        <w:tc>
          <w:tcPr>
            <w:tcW w:w="866"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4"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89"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938"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274" w:type="dxa"/>
            <w:tcBorders>
              <w:top w:val="single" w:color="auto" w:sz="4" w:space="0"/>
              <w:left w:val="single" w:color="auto" w:sz="4" w:space="0"/>
              <w:bottom w:val="single" w:color="auto" w:sz="4" w:space="0"/>
              <w:right w:val="single" w:color="auto" w:sz="8"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188" w:type="dxa"/>
            <w:tcBorders>
              <w:top w:val="single" w:color="auto" w:sz="4" w:space="0"/>
              <w:left w:val="single" w:color="auto" w:sz="8"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16</w:t>
            </w:r>
            <w:r>
              <w:rPr>
                <w:rFonts w:hint="eastAsia" w:eastAsia="方正仿宋_GBK"/>
                <w:color w:val="000000"/>
                <w:spacing w:val="-2"/>
                <w:szCs w:val="21"/>
              </w:rPr>
              <w:t>：</w:t>
            </w:r>
            <w:r>
              <w:rPr>
                <w:rFonts w:eastAsia="方正仿宋_GBK"/>
                <w:color w:val="000000"/>
                <w:spacing w:val="-2"/>
                <w:szCs w:val="21"/>
              </w:rPr>
              <w:t>00</w:t>
            </w:r>
          </w:p>
        </w:tc>
        <w:tc>
          <w:tcPr>
            <w:tcW w:w="866"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4"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89"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938"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274" w:type="dxa"/>
            <w:tcBorders>
              <w:top w:val="single" w:color="auto" w:sz="4" w:space="0"/>
              <w:left w:val="single" w:color="auto" w:sz="4" w:space="0"/>
              <w:bottom w:val="single" w:color="auto" w:sz="4" w:space="0"/>
              <w:right w:val="single" w:color="auto" w:sz="8"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188" w:type="dxa"/>
            <w:tcBorders>
              <w:top w:val="single" w:color="auto" w:sz="4" w:space="0"/>
              <w:left w:val="single" w:color="auto" w:sz="8"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17</w:t>
            </w:r>
            <w:r>
              <w:rPr>
                <w:rFonts w:hint="eastAsia" w:eastAsia="方正仿宋_GBK"/>
                <w:color w:val="000000"/>
                <w:spacing w:val="-2"/>
                <w:szCs w:val="21"/>
              </w:rPr>
              <w:t>：</w:t>
            </w:r>
            <w:r>
              <w:rPr>
                <w:rFonts w:eastAsia="方正仿宋_GBK"/>
                <w:color w:val="000000"/>
                <w:spacing w:val="-2"/>
                <w:szCs w:val="21"/>
              </w:rPr>
              <w:t>00</w:t>
            </w:r>
          </w:p>
        </w:tc>
        <w:tc>
          <w:tcPr>
            <w:tcW w:w="866"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4"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89"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938"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274" w:type="dxa"/>
            <w:tcBorders>
              <w:top w:val="single" w:color="auto" w:sz="4" w:space="0"/>
              <w:left w:val="single" w:color="auto" w:sz="4" w:space="0"/>
              <w:bottom w:val="single" w:color="auto" w:sz="4" w:space="0"/>
              <w:right w:val="single" w:color="auto" w:sz="8"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188" w:type="dxa"/>
            <w:tcBorders>
              <w:top w:val="single" w:color="auto" w:sz="4" w:space="0"/>
              <w:left w:val="single" w:color="auto" w:sz="8"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18</w:t>
            </w:r>
            <w:r>
              <w:rPr>
                <w:rFonts w:hint="eastAsia" w:eastAsia="方正仿宋_GBK"/>
                <w:color w:val="000000"/>
                <w:spacing w:val="-2"/>
                <w:szCs w:val="21"/>
              </w:rPr>
              <w:t>：</w:t>
            </w:r>
            <w:r>
              <w:rPr>
                <w:rFonts w:eastAsia="方正仿宋_GBK"/>
                <w:color w:val="000000"/>
                <w:spacing w:val="-2"/>
                <w:szCs w:val="21"/>
              </w:rPr>
              <w:t>00</w:t>
            </w:r>
          </w:p>
        </w:tc>
        <w:tc>
          <w:tcPr>
            <w:tcW w:w="866"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4"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89"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938"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274" w:type="dxa"/>
            <w:tcBorders>
              <w:top w:val="single" w:color="auto" w:sz="4" w:space="0"/>
              <w:left w:val="single" w:color="auto" w:sz="4" w:space="0"/>
              <w:bottom w:val="single" w:color="auto" w:sz="4" w:space="0"/>
              <w:right w:val="single" w:color="auto" w:sz="8"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188" w:type="dxa"/>
            <w:tcBorders>
              <w:top w:val="single" w:color="auto" w:sz="4" w:space="0"/>
              <w:left w:val="single" w:color="auto" w:sz="8"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19</w:t>
            </w:r>
            <w:r>
              <w:rPr>
                <w:rFonts w:hint="eastAsia" w:eastAsia="方正仿宋_GBK"/>
                <w:color w:val="000000"/>
                <w:spacing w:val="-2"/>
                <w:szCs w:val="21"/>
              </w:rPr>
              <w:t>：</w:t>
            </w:r>
            <w:r>
              <w:rPr>
                <w:rFonts w:eastAsia="方正仿宋_GBK"/>
                <w:color w:val="000000"/>
                <w:spacing w:val="-2"/>
                <w:szCs w:val="21"/>
              </w:rPr>
              <w:t>00</w:t>
            </w:r>
          </w:p>
        </w:tc>
        <w:tc>
          <w:tcPr>
            <w:tcW w:w="866"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4"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89"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938"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274" w:type="dxa"/>
            <w:tcBorders>
              <w:top w:val="single" w:color="auto" w:sz="4" w:space="0"/>
              <w:left w:val="single" w:color="auto" w:sz="4" w:space="0"/>
              <w:bottom w:val="single" w:color="auto" w:sz="4" w:space="0"/>
              <w:right w:val="single" w:color="auto" w:sz="8"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188" w:type="dxa"/>
            <w:tcBorders>
              <w:top w:val="single" w:color="auto" w:sz="4" w:space="0"/>
              <w:left w:val="single" w:color="auto" w:sz="8"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20</w:t>
            </w:r>
            <w:r>
              <w:rPr>
                <w:rFonts w:hint="eastAsia" w:eastAsia="方正仿宋_GBK"/>
                <w:color w:val="000000"/>
                <w:spacing w:val="-2"/>
                <w:szCs w:val="21"/>
              </w:rPr>
              <w:t>：</w:t>
            </w:r>
            <w:r>
              <w:rPr>
                <w:rFonts w:eastAsia="方正仿宋_GBK"/>
                <w:color w:val="000000"/>
                <w:spacing w:val="-2"/>
                <w:szCs w:val="21"/>
              </w:rPr>
              <w:t>00</w:t>
            </w:r>
          </w:p>
        </w:tc>
        <w:tc>
          <w:tcPr>
            <w:tcW w:w="866"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4"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89"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938"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274" w:type="dxa"/>
            <w:tcBorders>
              <w:top w:val="single" w:color="auto" w:sz="4" w:space="0"/>
              <w:left w:val="single" w:color="auto" w:sz="4" w:space="0"/>
              <w:bottom w:val="single" w:color="auto" w:sz="4" w:space="0"/>
              <w:right w:val="single" w:color="auto" w:sz="8"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188" w:type="dxa"/>
            <w:tcBorders>
              <w:top w:val="single" w:color="auto" w:sz="4" w:space="0"/>
              <w:left w:val="single" w:color="auto" w:sz="8"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21</w:t>
            </w:r>
            <w:r>
              <w:rPr>
                <w:rFonts w:hint="eastAsia" w:eastAsia="方正仿宋_GBK"/>
                <w:color w:val="000000"/>
                <w:spacing w:val="-2"/>
                <w:szCs w:val="21"/>
              </w:rPr>
              <w:t>：</w:t>
            </w:r>
            <w:r>
              <w:rPr>
                <w:rFonts w:eastAsia="方正仿宋_GBK"/>
                <w:color w:val="000000"/>
                <w:spacing w:val="-2"/>
                <w:szCs w:val="21"/>
              </w:rPr>
              <w:t>00</w:t>
            </w:r>
          </w:p>
        </w:tc>
        <w:tc>
          <w:tcPr>
            <w:tcW w:w="866"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4"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89"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938"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274" w:type="dxa"/>
            <w:tcBorders>
              <w:top w:val="single" w:color="auto" w:sz="4" w:space="0"/>
              <w:left w:val="single" w:color="auto" w:sz="4" w:space="0"/>
              <w:bottom w:val="single" w:color="auto" w:sz="4" w:space="0"/>
              <w:right w:val="single" w:color="auto" w:sz="8"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188" w:type="dxa"/>
            <w:tcBorders>
              <w:top w:val="single" w:color="auto" w:sz="4" w:space="0"/>
              <w:left w:val="single" w:color="auto" w:sz="8"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22</w:t>
            </w:r>
            <w:r>
              <w:rPr>
                <w:rFonts w:hint="eastAsia" w:eastAsia="方正仿宋_GBK"/>
                <w:color w:val="000000"/>
                <w:spacing w:val="-2"/>
                <w:szCs w:val="21"/>
              </w:rPr>
              <w:t>：</w:t>
            </w:r>
            <w:r>
              <w:rPr>
                <w:rFonts w:eastAsia="方正仿宋_GBK"/>
                <w:color w:val="000000"/>
                <w:spacing w:val="-2"/>
                <w:szCs w:val="21"/>
              </w:rPr>
              <w:t>00</w:t>
            </w:r>
          </w:p>
        </w:tc>
        <w:tc>
          <w:tcPr>
            <w:tcW w:w="866"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4"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89"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938"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274" w:type="dxa"/>
            <w:tcBorders>
              <w:top w:val="single" w:color="auto" w:sz="4" w:space="0"/>
              <w:left w:val="single" w:color="auto" w:sz="4" w:space="0"/>
              <w:bottom w:val="single" w:color="auto" w:sz="4" w:space="0"/>
              <w:right w:val="single" w:color="auto" w:sz="8"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188" w:type="dxa"/>
            <w:tcBorders>
              <w:top w:val="single" w:color="auto" w:sz="4" w:space="0"/>
              <w:left w:val="single" w:color="auto" w:sz="8"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23</w:t>
            </w:r>
            <w:r>
              <w:rPr>
                <w:rFonts w:hint="eastAsia" w:eastAsia="方正仿宋_GBK"/>
                <w:color w:val="000000"/>
                <w:spacing w:val="-2"/>
                <w:szCs w:val="21"/>
              </w:rPr>
              <w:t>：</w:t>
            </w:r>
            <w:r>
              <w:rPr>
                <w:rFonts w:eastAsia="方正仿宋_GBK"/>
                <w:color w:val="000000"/>
                <w:spacing w:val="-2"/>
                <w:szCs w:val="21"/>
              </w:rPr>
              <w:t>00</w:t>
            </w:r>
          </w:p>
        </w:tc>
        <w:tc>
          <w:tcPr>
            <w:tcW w:w="866"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4"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89"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938"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274" w:type="dxa"/>
            <w:tcBorders>
              <w:top w:val="single" w:color="auto" w:sz="4" w:space="0"/>
              <w:left w:val="single" w:color="auto" w:sz="4" w:space="0"/>
              <w:bottom w:val="single" w:color="auto" w:sz="4" w:space="0"/>
              <w:right w:val="single" w:color="auto" w:sz="8"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188" w:type="dxa"/>
            <w:tcBorders>
              <w:top w:val="single" w:color="auto" w:sz="4" w:space="0"/>
              <w:left w:val="single" w:color="auto" w:sz="8"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24</w:t>
            </w:r>
            <w:r>
              <w:rPr>
                <w:rFonts w:hint="eastAsia" w:eastAsia="方正仿宋_GBK"/>
                <w:color w:val="000000"/>
                <w:spacing w:val="-2"/>
                <w:szCs w:val="21"/>
              </w:rPr>
              <w:t>：</w:t>
            </w:r>
            <w:r>
              <w:rPr>
                <w:rFonts w:eastAsia="方正仿宋_GBK"/>
                <w:color w:val="000000"/>
                <w:spacing w:val="-2"/>
                <w:szCs w:val="21"/>
              </w:rPr>
              <w:t>00</w:t>
            </w:r>
          </w:p>
        </w:tc>
        <w:tc>
          <w:tcPr>
            <w:tcW w:w="866"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4"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10"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189"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938" w:type="dxa"/>
            <w:tcBorders>
              <w:top w:val="single" w:color="auto" w:sz="4" w:space="0"/>
              <w:left w:val="single" w:color="auto" w:sz="4" w:space="0"/>
              <w:bottom w:val="single" w:color="auto" w:sz="4" w:space="0"/>
              <w:right w:val="single" w:color="auto" w:sz="4"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c>
          <w:tcPr>
            <w:tcW w:w="1274" w:type="dxa"/>
            <w:tcBorders>
              <w:top w:val="single" w:color="auto" w:sz="4" w:space="0"/>
              <w:left w:val="single" w:color="auto" w:sz="4" w:space="0"/>
              <w:bottom w:val="single" w:color="auto" w:sz="4" w:space="0"/>
              <w:right w:val="single" w:color="auto" w:sz="8" w:space="0"/>
            </w:tcBorders>
            <w:noWrap w:val="0"/>
            <w:vAlign w:val="top"/>
          </w:tcPr>
          <w:p>
            <w:pPr>
              <w:pBdr>
                <w:bottom w:val="single" w:color="auto" w:sz="6" w:space="1"/>
              </w:pBdr>
              <w:tabs>
                <w:tab w:val="center" w:pos="4153"/>
                <w:tab w:val="right" w:pos="8306"/>
              </w:tabs>
              <w:snapToGrid w:val="0"/>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188" w:type="dxa"/>
            <w:tcBorders>
              <w:top w:val="single" w:color="auto" w:sz="4" w:space="0"/>
              <w:left w:val="single" w:color="auto" w:sz="8" w:space="0"/>
              <w:bottom w:val="single" w:color="auto" w:sz="8" w:space="0"/>
              <w:right w:val="single" w:color="auto" w:sz="4" w:space="0"/>
            </w:tcBorders>
            <w:noWrap w:val="0"/>
            <w:vAlign w:val="center"/>
          </w:tcPr>
          <w:p>
            <w:pPr>
              <w:pBdr>
                <w:bottom w:val="single" w:color="auto" w:sz="6" w:space="1"/>
              </w:pBdr>
              <w:tabs>
                <w:tab w:val="center" w:pos="4153"/>
                <w:tab w:val="right" w:pos="8306"/>
              </w:tabs>
              <w:snapToGrid w:val="0"/>
              <w:jc w:val="center"/>
              <w:rPr>
                <w:rFonts w:eastAsia="方正仿宋_GBK"/>
                <w:color w:val="000000"/>
                <w:spacing w:val="-2"/>
                <w:szCs w:val="21"/>
              </w:rPr>
            </w:pPr>
            <w:r>
              <w:rPr>
                <w:rFonts w:hint="eastAsia" w:eastAsia="方正仿宋_GBK"/>
                <w:color w:val="000000"/>
                <w:spacing w:val="-2"/>
                <w:szCs w:val="21"/>
              </w:rPr>
              <w:t>备注</w:t>
            </w:r>
          </w:p>
        </w:tc>
        <w:tc>
          <w:tcPr>
            <w:tcW w:w="7571" w:type="dxa"/>
            <w:gridSpan w:val="7"/>
            <w:tcBorders>
              <w:top w:val="single" w:color="auto" w:sz="4" w:space="0"/>
              <w:left w:val="single" w:color="auto" w:sz="4" w:space="0"/>
              <w:bottom w:val="single" w:color="auto" w:sz="8" w:space="0"/>
              <w:right w:val="single" w:color="auto" w:sz="8" w:space="0"/>
            </w:tcBorders>
            <w:noWrap w:val="0"/>
            <w:vAlign w:val="top"/>
          </w:tcPr>
          <w:p>
            <w:pPr>
              <w:pBdr>
                <w:bottom w:val="single" w:color="auto" w:sz="6" w:space="1"/>
              </w:pBdr>
              <w:tabs>
                <w:tab w:val="center" w:pos="4153"/>
                <w:tab w:val="right" w:pos="8306"/>
              </w:tabs>
              <w:snapToGrid w:val="0"/>
              <w:jc w:val="left"/>
              <w:rPr>
                <w:rFonts w:eastAsia="方正仿宋_GBK"/>
                <w:color w:val="000000"/>
                <w:spacing w:val="-2"/>
                <w:szCs w:val="21"/>
              </w:rPr>
            </w:pPr>
            <w:r>
              <w:rPr>
                <w:rFonts w:hint="eastAsia" w:eastAsia="方正仿宋_GBK"/>
                <w:color w:val="000000"/>
                <w:spacing w:val="-2"/>
                <w:szCs w:val="21"/>
              </w:rPr>
              <w:t>（对原水和水厂运行过程的描述，特别是原水水质突变或水厂生产事故时。）</w:t>
            </w:r>
          </w:p>
        </w:tc>
      </w:tr>
    </w:tbl>
    <w:p>
      <w:pPr>
        <w:rPr>
          <w:color w:val="000000"/>
          <w:spacing w:val="-2"/>
          <w:sz w:val="24"/>
        </w:rPr>
      </w:pPr>
    </w:p>
    <w:p>
      <w:pPr>
        <w:rPr>
          <w:rFonts w:ascii="Times New Roman" w:eastAsia="方正仿宋_GBK"/>
          <w:color w:val="000000"/>
          <w:spacing w:val="-2"/>
          <w:szCs w:val="21"/>
          <w:u w:val="single"/>
        </w:rPr>
      </w:pPr>
      <w:r>
        <w:rPr>
          <w:rFonts w:hint="eastAsia" w:ascii="Times New Roman" w:eastAsia="方正仿宋_GBK"/>
          <w:color w:val="000000"/>
          <w:spacing w:val="-2"/>
          <w:szCs w:val="21"/>
        </w:rPr>
        <w:t>检测人：</w:t>
      </w:r>
      <w:r>
        <w:rPr>
          <w:rFonts w:hint="eastAsia" w:ascii="Times New Roman" w:eastAsia="方正仿宋_GBK"/>
          <w:color w:val="000000"/>
          <w:spacing w:val="-2"/>
          <w:szCs w:val="21"/>
          <w:u w:val="single"/>
        </w:rPr>
        <w:t xml:space="preserve">                                       </w:t>
      </w:r>
      <w:r>
        <w:rPr>
          <w:rFonts w:hint="eastAsia" w:ascii="Times New Roman" w:eastAsia="方正仿宋_GBK"/>
          <w:color w:val="000000"/>
          <w:spacing w:val="-2"/>
          <w:szCs w:val="21"/>
        </w:rPr>
        <w:t xml:space="preserve">     审核：</w:t>
      </w:r>
      <w:r>
        <w:rPr>
          <w:rFonts w:hint="eastAsia" w:ascii="Times New Roman" w:eastAsia="方正仿宋_GBK"/>
          <w:color w:val="000000"/>
          <w:spacing w:val="-2"/>
          <w:szCs w:val="21"/>
          <w:u w:val="single"/>
        </w:rPr>
        <w:t xml:space="preserve">                 </w:t>
      </w:r>
    </w:p>
    <w:p>
      <w:pPr>
        <w:spacing w:line="460" w:lineRule="exact"/>
        <w:rPr>
          <w:rFonts w:hint="eastAsia" w:ascii="Times New Roman" w:eastAsia="方正黑体_GBK"/>
          <w:color w:val="000000"/>
          <w:spacing w:val="-2"/>
          <w:sz w:val="28"/>
          <w:szCs w:val="28"/>
        </w:rPr>
      </w:pPr>
      <w:r>
        <w:rPr>
          <w:rFonts w:eastAsia="仿宋_GB2312"/>
          <w:color w:val="000000"/>
          <w:spacing w:val="-2"/>
          <w:sz w:val="32"/>
          <w:szCs w:val="32"/>
        </w:rPr>
        <w:br w:type="column"/>
      </w:r>
      <w:r>
        <w:rPr>
          <w:rFonts w:hint="eastAsia" w:ascii="Times New Roman" w:eastAsia="方正黑体_GBK"/>
          <w:color w:val="000000"/>
          <w:spacing w:val="-2"/>
          <w:sz w:val="28"/>
          <w:szCs w:val="28"/>
        </w:rPr>
        <w:t>附表2：</w:t>
      </w:r>
    </w:p>
    <w:p>
      <w:pPr>
        <w:spacing w:line="360" w:lineRule="auto"/>
        <w:jc w:val="center"/>
        <w:rPr>
          <w:rFonts w:hint="eastAsia" w:ascii="Times New Roman" w:eastAsia="方正黑体_GBK"/>
          <w:color w:val="000000"/>
          <w:spacing w:val="-2"/>
          <w:sz w:val="28"/>
          <w:szCs w:val="28"/>
        </w:rPr>
      </w:pPr>
      <w:r>
        <w:rPr>
          <w:rFonts w:hint="eastAsia" w:ascii="Times New Roman" w:hAnsi="Times New Roman" w:eastAsia="方正黑体_GBK"/>
          <w:bCs/>
          <w:color w:val="000000"/>
          <w:spacing w:val="-2"/>
          <w:kern w:val="0"/>
          <w:sz w:val="28"/>
          <w:szCs w:val="28"/>
        </w:rPr>
        <w:t>公司化验室检测日报表</w:t>
      </w:r>
    </w:p>
    <w:p>
      <w:pPr>
        <w:rPr>
          <w:rFonts w:hint="eastAsia"/>
        </w:rPr>
      </w:pPr>
      <w:r>
        <w:rPr>
          <w:rFonts w:hint="eastAsia" w:eastAsia="方正仿宋_GBK"/>
          <w:color w:val="000000"/>
          <w:spacing w:val="-2"/>
          <w:kern w:val="0"/>
          <w:szCs w:val="21"/>
        </w:rPr>
        <w:t>日期：</w:t>
      </w:r>
      <w:r>
        <w:rPr>
          <w:rFonts w:eastAsia="方正仿宋_GBK"/>
          <w:color w:val="000000"/>
          <w:spacing w:val="-2"/>
          <w:kern w:val="0"/>
          <w:szCs w:val="21"/>
        </w:rPr>
        <w:t xml:space="preserve">                                                    </w:t>
      </w:r>
      <w:r>
        <w:rPr>
          <w:rFonts w:hint="eastAsia" w:eastAsia="方正仿宋_GBK"/>
          <w:color w:val="000000"/>
          <w:spacing w:val="-2"/>
          <w:kern w:val="0"/>
          <w:szCs w:val="21"/>
        </w:rPr>
        <w:t>星期：</w:t>
      </w:r>
    </w:p>
    <w:tbl>
      <w:tblPr>
        <w:tblStyle w:val="12"/>
        <w:tblW w:w="0" w:type="auto"/>
        <w:tblInd w:w="108" w:type="dxa"/>
        <w:tblLayout w:type="fixed"/>
        <w:tblCellMar>
          <w:top w:w="0" w:type="dxa"/>
          <w:left w:w="108" w:type="dxa"/>
          <w:bottom w:w="0" w:type="dxa"/>
          <w:right w:w="108" w:type="dxa"/>
        </w:tblCellMar>
      </w:tblPr>
      <w:tblGrid>
        <w:gridCol w:w="495"/>
        <w:gridCol w:w="1681"/>
        <w:gridCol w:w="222"/>
        <w:gridCol w:w="741"/>
        <w:gridCol w:w="523"/>
        <w:gridCol w:w="78"/>
        <w:gridCol w:w="1872"/>
        <w:gridCol w:w="165"/>
        <w:gridCol w:w="900"/>
        <w:gridCol w:w="535"/>
        <w:gridCol w:w="1534"/>
      </w:tblGrid>
      <w:tr>
        <w:tblPrEx>
          <w:tblCellMar>
            <w:top w:w="0" w:type="dxa"/>
            <w:left w:w="108" w:type="dxa"/>
            <w:bottom w:w="0" w:type="dxa"/>
            <w:right w:w="108" w:type="dxa"/>
          </w:tblCellMar>
        </w:tblPrEx>
        <w:trPr>
          <w:trHeight w:val="600" w:hRule="atLeast"/>
        </w:trPr>
        <w:tc>
          <w:tcPr>
            <w:tcW w:w="495" w:type="dxa"/>
            <w:tcBorders>
              <w:top w:val="single" w:color="auto" w:sz="8" w:space="0"/>
              <w:left w:val="single" w:color="auto" w:sz="8" w:space="0"/>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r>
              <w:rPr>
                <w:rFonts w:hint="eastAsia" w:eastAsia="方正仿宋_GBK"/>
                <w:color w:val="000000"/>
                <w:spacing w:val="-2"/>
                <w:kern w:val="0"/>
                <w:szCs w:val="21"/>
              </w:rPr>
              <w:t>编号</w:t>
            </w:r>
          </w:p>
        </w:tc>
        <w:tc>
          <w:tcPr>
            <w:tcW w:w="1681" w:type="dxa"/>
            <w:tcBorders>
              <w:top w:val="single" w:color="auto" w:sz="8" w:space="0"/>
              <w:left w:val="nil"/>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r>
              <w:rPr>
                <w:rFonts w:hint="eastAsia" w:eastAsia="方正仿宋_GBK"/>
                <w:color w:val="000000"/>
                <w:spacing w:val="-2"/>
                <w:kern w:val="0"/>
                <w:szCs w:val="21"/>
              </w:rPr>
              <w:t>项目</w:t>
            </w:r>
          </w:p>
        </w:tc>
        <w:tc>
          <w:tcPr>
            <w:tcW w:w="963" w:type="dxa"/>
            <w:gridSpan w:val="2"/>
            <w:tcBorders>
              <w:top w:val="single" w:color="auto" w:sz="8" w:space="0"/>
              <w:left w:val="nil"/>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r>
              <w:rPr>
                <w:rFonts w:hint="eastAsia" w:eastAsia="方正仿宋_GBK"/>
                <w:color w:val="000000"/>
                <w:spacing w:val="-2"/>
                <w:kern w:val="0"/>
                <w:szCs w:val="21"/>
              </w:rPr>
              <w:t>单位</w:t>
            </w:r>
          </w:p>
        </w:tc>
        <w:tc>
          <w:tcPr>
            <w:tcW w:w="523" w:type="dxa"/>
            <w:tcBorders>
              <w:top w:val="single" w:color="auto" w:sz="8" w:space="0"/>
              <w:left w:val="nil"/>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r>
              <w:rPr>
                <w:rFonts w:hint="eastAsia" w:eastAsia="方正仿宋_GBK"/>
                <w:color w:val="000000"/>
                <w:spacing w:val="-2"/>
                <w:kern w:val="0"/>
                <w:szCs w:val="21"/>
              </w:rPr>
              <w:t>原水</w:t>
            </w:r>
          </w:p>
        </w:tc>
        <w:tc>
          <w:tcPr>
            <w:tcW w:w="2115" w:type="dxa"/>
            <w:gridSpan w:val="3"/>
            <w:tcBorders>
              <w:top w:val="single" w:color="auto" w:sz="8" w:space="0"/>
              <w:left w:val="nil"/>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r>
              <w:rPr>
                <w:rFonts w:hint="eastAsia" w:eastAsia="方正仿宋_GBK"/>
                <w:color w:val="000000"/>
                <w:spacing w:val="-2"/>
              </w:rPr>
              <w:t>地表水环境质量标准（</w:t>
            </w:r>
            <w:r>
              <w:rPr>
                <w:rFonts w:eastAsia="方正仿宋_GBK"/>
                <w:color w:val="000000"/>
                <w:spacing w:val="-2"/>
              </w:rPr>
              <w:t>GB3838</w:t>
            </w:r>
            <w:r>
              <w:rPr>
                <w:rFonts w:hint="eastAsia" w:eastAsia="方正仿宋_GBK"/>
                <w:color w:val="000000"/>
                <w:spacing w:val="-2"/>
              </w:rPr>
              <w:t>－</w:t>
            </w:r>
            <w:r>
              <w:rPr>
                <w:rFonts w:eastAsia="方正仿宋_GBK"/>
                <w:color w:val="000000"/>
                <w:spacing w:val="-2"/>
              </w:rPr>
              <w:t>2002</w:t>
            </w:r>
            <w:r>
              <w:rPr>
                <w:rFonts w:hint="eastAsia" w:eastAsia="方正仿宋_GBK"/>
                <w:color w:val="000000"/>
                <w:spacing w:val="-2"/>
              </w:rPr>
              <w:t>）（</w:t>
            </w:r>
            <w:r>
              <w:rPr>
                <w:rFonts w:hint="eastAsia" w:ascii="Times New Roman" w:hAnsi="Times New Roman" w:cs="宋体"/>
                <w:color w:val="000000"/>
                <w:spacing w:val="-2"/>
              </w:rPr>
              <w:t>Ⅱ</w:t>
            </w:r>
            <w:r>
              <w:rPr>
                <w:rFonts w:hint="eastAsia" w:eastAsia="方正仿宋_GBK"/>
                <w:color w:val="000000"/>
                <w:spacing w:val="-2"/>
              </w:rPr>
              <w:t>类）</w:t>
            </w:r>
          </w:p>
        </w:tc>
        <w:tc>
          <w:tcPr>
            <w:tcW w:w="900" w:type="dxa"/>
            <w:tcBorders>
              <w:top w:val="single" w:color="auto" w:sz="8" w:space="0"/>
              <w:left w:val="nil"/>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r>
              <w:rPr>
                <w:rFonts w:hint="eastAsia" w:eastAsia="方正仿宋_GBK"/>
                <w:color w:val="000000"/>
                <w:spacing w:val="-2"/>
                <w:kern w:val="0"/>
                <w:szCs w:val="21"/>
              </w:rPr>
              <w:t>出厂水</w:t>
            </w:r>
          </w:p>
        </w:tc>
        <w:tc>
          <w:tcPr>
            <w:tcW w:w="2069" w:type="dxa"/>
            <w:gridSpan w:val="2"/>
            <w:tcBorders>
              <w:top w:val="single" w:color="auto" w:sz="8" w:space="0"/>
              <w:left w:val="nil"/>
              <w:bottom w:val="single" w:color="auto" w:sz="4" w:space="0"/>
              <w:right w:val="single" w:color="auto" w:sz="8" w:space="0"/>
            </w:tcBorders>
            <w:noWrap w:val="0"/>
            <w:vAlign w:val="center"/>
          </w:tcPr>
          <w:p>
            <w:pPr>
              <w:widowControl/>
              <w:jc w:val="center"/>
              <w:rPr>
                <w:rFonts w:eastAsia="方正仿宋_GBK"/>
                <w:color w:val="000000"/>
                <w:spacing w:val="-2"/>
                <w:kern w:val="0"/>
                <w:szCs w:val="21"/>
              </w:rPr>
            </w:pPr>
            <w:r>
              <w:rPr>
                <w:rFonts w:hint="eastAsia" w:eastAsia="方正仿宋_GBK"/>
                <w:color w:val="000000"/>
                <w:spacing w:val="-2"/>
                <w:kern w:val="0"/>
                <w:szCs w:val="21"/>
              </w:rPr>
              <w:t>生活饮用水卫生标准</w:t>
            </w:r>
            <w:r>
              <w:rPr>
                <w:rFonts w:eastAsia="方正仿宋_GBK"/>
                <w:color w:val="000000"/>
                <w:spacing w:val="-2"/>
                <w:kern w:val="0"/>
                <w:szCs w:val="21"/>
              </w:rPr>
              <w:t>(GB5749-2006)</w:t>
            </w:r>
          </w:p>
        </w:tc>
      </w:tr>
      <w:tr>
        <w:tblPrEx>
          <w:tblCellMar>
            <w:top w:w="0" w:type="dxa"/>
            <w:left w:w="108" w:type="dxa"/>
            <w:bottom w:w="0" w:type="dxa"/>
            <w:right w:w="108" w:type="dxa"/>
          </w:tblCellMar>
        </w:tblPrEx>
        <w:trPr>
          <w:trHeight w:val="600" w:hRule="atLeast"/>
        </w:trPr>
        <w:tc>
          <w:tcPr>
            <w:tcW w:w="495" w:type="dxa"/>
            <w:tcBorders>
              <w:top w:val="single" w:color="auto" w:sz="4" w:space="0"/>
              <w:left w:val="single" w:color="auto" w:sz="8" w:space="0"/>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r>
              <w:rPr>
                <w:rFonts w:eastAsia="方正仿宋_GBK"/>
                <w:color w:val="000000"/>
                <w:spacing w:val="-2"/>
                <w:kern w:val="0"/>
                <w:szCs w:val="21"/>
              </w:rPr>
              <w:t>1</w:t>
            </w:r>
          </w:p>
        </w:tc>
        <w:tc>
          <w:tcPr>
            <w:tcW w:w="1681" w:type="dxa"/>
            <w:tcBorders>
              <w:top w:val="single" w:color="auto" w:sz="4" w:space="0"/>
              <w:left w:val="nil"/>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r>
              <w:rPr>
                <w:rFonts w:hint="eastAsia" w:eastAsia="方正仿宋_GBK"/>
                <w:color w:val="000000"/>
                <w:spacing w:val="-2"/>
                <w:kern w:val="0"/>
                <w:szCs w:val="21"/>
              </w:rPr>
              <w:t>色度</w:t>
            </w:r>
          </w:p>
        </w:tc>
        <w:tc>
          <w:tcPr>
            <w:tcW w:w="963" w:type="dxa"/>
            <w:gridSpan w:val="2"/>
            <w:tcBorders>
              <w:top w:val="single" w:color="auto" w:sz="4" w:space="0"/>
              <w:left w:val="nil"/>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r>
              <w:rPr>
                <w:rFonts w:hint="eastAsia" w:eastAsia="方正仿宋_GBK"/>
                <w:color w:val="000000"/>
                <w:spacing w:val="-2"/>
                <w:kern w:val="0"/>
                <w:szCs w:val="21"/>
              </w:rPr>
              <w:t>度</w:t>
            </w:r>
          </w:p>
        </w:tc>
        <w:tc>
          <w:tcPr>
            <w:tcW w:w="523" w:type="dxa"/>
            <w:tcBorders>
              <w:top w:val="single" w:color="auto" w:sz="4" w:space="0"/>
              <w:left w:val="nil"/>
              <w:bottom w:val="single" w:color="auto" w:sz="4" w:space="0"/>
              <w:right w:val="single" w:color="auto" w:sz="4" w:space="0"/>
            </w:tcBorders>
            <w:noWrap w:val="0"/>
            <w:vAlign w:val="center"/>
          </w:tcPr>
          <w:p>
            <w:pPr>
              <w:widowControl/>
              <w:jc w:val="right"/>
              <w:rPr>
                <w:rFonts w:eastAsia="方正仿宋_GBK"/>
                <w:color w:val="000000"/>
                <w:spacing w:val="-2"/>
                <w:kern w:val="0"/>
                <w:szCs w:val="21"/>
              </w:rPr>
            </w:pPr>
          </w:p>
        </w:tc>
        <w:tc>
          <w:tcPr>
            <w:tcW w:w="2115" w:type="dxa"/>
            <w:gridSpan w:val="3"/>
            <w:tcBorders>
              <w:top w:val="single" w:color="auto" w:sz="4" w:space="0"/>
              <w:left w:val="single" w:color="auto" w:sz="4" w:space="0"/>
              <w:bottom w:val="single" w:color="auto" w:sz="4" w:space="0"/>
              <w:right w:val="nil"/>
            </w:tcBorders>
            <w:noWrap w:val="0"/>
            <w:vAlign w:val="center"/>
          </w:tcPr>
          <w:p>
            <w:pPr>
              <w:jc w:val="right"/>
              <w:rPr>
                <w:rFonts w:eastAsia="方正仿宋_GBK"/>
                <w:color w:val="000000"/>
                <w:spacing w:val="-2"/>
                <w:kern w:val="0"/>
                <w:szCs w:val="21"/>
              </w:rPr>
            </w:pPr>
            <w:r>
              <w:rPr>
                <w:rFonts w:hint="eastAsia" w:eastAsia="方正仿宋_GBK"/>
                <w:color w:val="000000"/>
                <w:spacing w:val="-2"/>
                <w:kern w:val="0"/>
                <w:szCs w:val="21"/>
              </w:rPr>
              <w:t>　</w:t>
            </w:r>
          </w:p>
        </w:tc>
        <w:tc>
          <w:tcPr>
            <w:tcW w:w="900" w:type="dxa"/>
            <w:tcBorders>
              <w:top w:val="single" w:color="auto" w:sz="4" w:space="0"/>
              <w:left w:val="single" w:color="auto" w:sz="4" w:space="0"/>
              <w:bottom w:val="single" w:color="auto" w:sz="4" w:space="0"/>
              <w:right w:val="single" w:color="auto" w:sz="4" w:space="0"/>
            </w:tcBorders>
            <w:noWrap w:val="0"/>
            <w:vAlign w:val="center"/>
          </w:tcPr>
          <w:p>
            <w:pPr>
              <w:widowControl/>
              <w:jc w:val="right"/>
              <w:rPr>
                <w:rFonts w:eastAsia="方正仿宋_GBK"/>
                <w:color w:val="000000"/>
                <w:spacing w:val="-2"/>
                <w:kern w:val="0"/>
                <w:szCs w:val="21"/>
              </w:rPr>
            </w:pPr>
            <w:r>
              <w:rPr>
                <w:rFonts w:hint="eastAsia" w:eastAsia="方正仿宋_GBK"/>
                <w:color w:val="000000"/>
                <w:spacing w:val="-2"/>
                <w:kern w:val="0"/>
                <w:szCs w:val="21"/>
              </w:rPr>
              <w:t>　</w:t>
            </w:r>
          </w:p>
        </w:tc>
        <w:tc>
          <w:tcPr>
            <w:tcW w:w="2069" w:type="dxa"/>
            <w:gridSpan w:val="2"/>
            <w:tcBorders>
              <w:top w:val="single" w:color="auto" w:sz="4" w:space="0"/>
              <w:left w:val="nil"/>
              <w:bottom w:val="single" w:color="auto" w:sz="4" w:space="0"/>
              <w:right w:val="single" w:color="auto" w:sz="8" w:space="0"/>
            </w:tcBorders>
            <w:noWrap w:val="0"/>
            <w:vAlign w:val="center"/>
          </w:tcPr>
          <w:p>
            <w:pPr>
              <w:widowControl/>
              <w:jc w:val="center"/>
              <w:rPr>
                <w:rFonts w:eastAsia="方正仿宋_GBK"/>
                <w:color w:val="000000"/>
                <w:spacing w:val="-2"/>
                <w:kern w:val="0"/>
                <w:szCs w:val="21"/>
              </w:rPr>
            </w:pPr>
            <w:r>
              <w:rPr>
                <w:rFonts w:eastAsia="方正仿宋_GBK"/>
                <w:color w:val="000000"/>
                <w:spacing w:val="-2"/>
                <w:kern w:val="0"/>
                <w:szCs w:val="21"/>
              </w:rPr>
              <w:t>15</w:t>
            </w:r>
          </w:p>
        </w:tc>
      </w:tr>
      <w:tr>
        <w:tblPrEx>
          <w:tblCellMar>
            <w:top w:w="0" w:type="dxa"/>
            <w:left w:w="108" w:type="dxa"/>
            <w:bottom w:w="0" w:type="dxa"/>
            <w:right w:w="108" w:type="dxa"/>
          </w:tblCellMar>
        </w:tblPrEx>
        <w:trPr>
          <w:trHeight w:val="600" w:hRule="atLeast"/>
        </w:trPr>
        <w:tc>
          <w:tcPr>
            <w:tcW w:w="495" w:type="dxa"/>
            <w:tcBorders>
              <w:top w:val="single" w:color="auto" w:sz="4" w:space="0"/>
              <w:left w:val="single" w:color="auto" w:sz="8" w:space="0"/>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r>
              <w:rPr>
                <w:rFonts w:eastAsia="方正仿宋_GBK"/>
                <w:color w:val="000000"/>
                <w:spacing w:val="-2"/>
                <w:kern w:val="0"/>
                <w:szCs w:val="21"/>
              </w:rPr>
              <w:t>2</w:t>
            </w:r>
          </w:p>
        </w:tc>
        <w:tc>
          <w:tcPr>
            <w:tcW w:w="1681" w:type="dxa"/>
            <w:tcBorders>
              <w:top w:val="single" w:color="auto" w:sz="4" w:space="0"/>
              <w:left w:val="nil"/>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r>
              <w:rPr>
                <w:rFonts w:hint="eastAsia" w:eastAsia="方正仿宋_GBK"/>
                <w:color w:val="000000"/>
                <w:spacing w:val="-2"/>
                <w:kern w:val="0"/>
                <w:szCs w:val="21"/>
              </w:rPr>
              <w:t>浑浊度</w:t>
            </w:r>
          </w:p>
        </w:tc>
        <w:tc>
          <w:tcPr>
            <w:tcW w:w="963" w:type="dxa"/>
            <w:gridSpan w:val="2"/>
            <w:tcBorders>
              <w:top w:val="single" w:color="auto" w:sz="4" w:space="0"/>
              <w:left w:val="nil"/>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r>
              <w:rPr>
                <w:rFonts w:eastAsia="方正仿宋_GBK"/>
                <w:color w:val="000000"/>
                <w:spacing w:val="-2"/>
                <w:kern w:val="0"/>
                <w:szCs w:val="21"/>
              </w:rPr>
              <w:t>NTU</w:t>
            </w:r>
          </w:p>
        </w:tc>
        <w:tc>
          <w:tcPr>
            <w:tcW w:w="523" w:type="dxa"/>
            <w:tcBorders>
              <w:top w:val="single" w:color="auto" w:sz="4" w:space="0"/>
              <w:left w:val="nil"/>
              <w:bottom w:val="single" w:color="auto" w:sz="4" w:space="0"/>
              <w:right w:val="single" w:color="auto" w:sz="4" w:space="0"/>
            </w:tcBorders>
            <w:noWrap w:val="0"/>
            <w:vAlign w:val="bottom"/>
          </w:tcPr>
          <w:p>
            <w:pPr>
              <w:widowControl/>
              <w:jc w:val="left"/>
              <w:rPr>
                <w:rFonts w:eastAsia="方正仿宋_GBK"/>
                <w:color w:val="000000"/>
                <w:spacing w:val="-2"/>
                <w:kern w:val="0"/>
                <w:szCs w:val="21"/>
              </w:rPr>
            </w:pPr>
          </w:p>
        </w:tc>
        <w:tc>
          <w:tcPr>
            <w:tcW w:w="2115" w:type="dxa"/>
            <w:gridSpan w:val="3"/>
            <w:tcBorders>
              <w:top w:val="single" w:color="auto" w:sz="4" w:space="0"/>
              <w:left w:val="nil"/>
              <w:bottom w:val="single" w:color="auto" w:sz="4" w:space="0"/>
              <w:right w:val="single" w:color="auto" w:sz="4" w:space="0"/>
            </w:tcBorders>
            <w:noWrap w:val="0"/>
            <w:vAlign w:val="bottom"/>
          </w:tcPr>
          <w:p>
            <w:pPr>
              <w:widowControl/>
              <w:jc w:val="left"/>
              <w:rPr>
                <w:rFonts w:eastAsia="方正仿宋_GBK"/>
                <w:color w:val="000000"/>
                <w:spacing w:val="-2"/>
                <w:kern w:val="0"/>
                <w:szCs w:val="21"/>
              </w:rPr>
            </w:pPr>
          </w:p>
        </w:tc>
        <w:tc>
          <w:tcPr>
            <w:tcW w:w="900" w:type="dxa"/>
            <w:tcBorders>
              <w:top w:val="single" w:color="auto" w:sz="4" w:space="0"/>
              <w:left w:val="nil"/>
              <w:bottom w:val="single" w:color="auto" w:sz="4" w:space="0"/>
              <w:right w:val="single" w:color="auto" w:sz="4" w:space="0"/>
            </w:tcBorders>
            <w:noWrap w:val="0"/>
            <w:vAlign w:val="center"/>
          </w:tcPr>
          <w:p>
            <w:pPr>
              <w:widowControl/>
              <w:jc w:val="right"/>
              <w:rPr>
                <w:rFonts w:eastAsia="方正仿宋_GBK"/>
                <w:color w:val="000000"/>
                <w:spacing w:val="-2"/>
                <w:kern w:val="0"/>
                <w:szCs w:val="21"/>
              </w:rPr>
            </w:pPr>
            <w:r>
              <w:rPr>
                <w:rFonts w:hint="eastAsia" w:eastAsia="方正仿宋_GBK"/>
                <w:color w:val="000000"/>
                <w:spacing w:val="-2"/>
                <w:kern w:val="0"/>
                <w:szCs w:val="21"/>
              </w:rPr>
              <w:t>　</w:t>
            </w:r>
          </w:p>
        </w:tc>
        <w:tc>
          <w:tcPr>
            <w:tcW w:w="2069" w:type="dxa"/>
            <w:gridSpan w:val="2"/>
            <w:tcBorders>
              <w:top w:val="single" w:color="auto" w:sz="4" w:space="0"/>
              <w:left w:val="nil"/>
              <w:bottom w:val="single" w:color="auto" w:sz="4" w:space="0"/>
              <w:right w:val="single" w:color="auto" w:sz="8" w:space="0"/>
            </w:tcBorders>
            <w:noWrap w:val="0"/>
            <w:vAlign w:val="center"/>
          </w:tcPr>
          <w:p>
            <w:pPr>
              <w:widowControl/>
              <w:jc w:val="center"/>
              <w:rPr>
                <w:rFonts w:eastAsia="方正仿宋_GBK"/>
                <w:color w:val="000000"/>
                <w:spacing w:val="-2"/>
                <w:kern w:val="0"/>
                <w:szCs w:val="21"/>
              </w:rPr>
            </w:pPr>
            <w:r>
              <w:rPr>
                <w:rFonts w:eastAsia="方正仿宋_GBK"/>
                <w:color w:val="000000"/>
                <w:spacing w:val="-2"/>
                <w:kern w:val="0"/>
                <w:szCs w:val="21"/>
              </w:rPr>
              <w:t>1</w:t>
            </w:r>
            <w:r>
              <w:rPr>
                <w:rFonts w:hint="eastAsia" w:eastAsia="方正仿宋_GBK"/>
                <w:color w:val="000000"/>
                <w:spacing w:val="-2"/>
                <w:kern w:val="0"/>
                <w:szCs w:val="21"/>
              </w:rPr>
              <w:t>，水源与净水技术条件限制时为</w:t>
            </w:r>
            <w:r>
              <w:rPr>
                <w:rFonts w:eastAsia="方正仿宋_GBK"/>
                <w:color w:val="000000"/>
                <w:spacing w:val="-2"/>
                <w:kern w:val="0"/>
                <w:szCs w:val="21"/>
              </w:rPr>
              <w:t>3</w:t>
            </w:r>
          </w:p>
        </w:tc>
      </w:tr>
      <w:tr>
        <w:tblPrEx>
          <w:tblCellMar>
            <w:top w:w="0" w:type="dxa"/>
            <w:left w:w="108" w:type="dxa"/>
            <w:bottom w:w="0" w:type="dxa"/>
            <w:right w:w="108" w:type="dxa"/>
          </w:tblCellMar>
        </w:tblPrEx>
        <w:trPr>
          <w:trHeight w:val="600" w:hRule="atLeast"/>
        </w:trPr>
        <w:tc>
          <w:tcPr>
            <w:tcW w:w="495" w:type="dxa"/>
            <w:tcBorders>
              <w:top w:val="single" w:color="auto" w:sz="4" w:space="0"/>
              <w:left w:val="single" w:color="auto" w:sz="8" w:space="0"/>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r>
              <w:rPr>
                <w:rFonts w:eastAsia="方正仿宋_GBK"/>
                <w:color w:val="000000"/>
                <w:spacing w:val="-2"/>
                <w:kern w:val="0"/>
                <w:szCs w:val="21"/>
              </w:rPr>
              <w:t>3</w:t>
            </w:r>
          </w:p>
        </w:tc>
        <w:tc>
          <w:tcPr>
            <w:tcW w:w="1681" w:type="dxa"/>
            <w:tcBorders>
              <w:top w:val="single" w:color="auto" w:sz="4" w:space="0"/>
              <w:left w:val="nil"/>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r>
              <w:rPr>
                <w:rFonts w:hint="eastAsia" w:eastAsia="方正仿宋_GBK"/>
                <w:color w:val="000000"/>
                <w:spacing w:val="-2"/>
                <w:kern w:val="0"/>
                <w:szCs w:val="21"/>
              </w:rPr>
              <w:t>臭和味</w:t>
            </w:r>
          </w:p>
        </w:tc>
        <w:tc>
          <w:tcPr>
            <w:tcW w:w="963" w:type="dxa"/>
            <w:gridSpan w:val="2"/>
            <w:tcBorders>
              <w:top w:val="single" w:color="auto" w:sz="4" w:space="0"/>
              <w:left w:val="nil"/>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r>
              <w:rPr>
                <w:rFonts w:eastAsia="方正仿宋_GBK"/>
                <w:color w:val="000000"/>
                <w:spacing w:val="-2"/>
                <w:kern w:val="0"/>
                <w:szCs w:val="21"/>
              </w:rPr>
              <w:t>—</w:t>
            </w:r>
          </w:p>
        </w:tc>
        <w:tc>
          <w:tcPr>
            <w:tcW w:w="523" w:type="dxa"/>
            <w:tcBorders>
              <w:top w:val="single" w:color="auto" w:sz="4" w:space="0"/>
              <w:left w:val="nil"/>
              <w:bottom w:val="single" w:color="auto" w:sz="4" w:space="0"/>
              <w:right w:val="single" w:color="auto" w:sz="4" w:space="0"/>
            </w:tcBorders>
            <w:noWrap w:val="0"/>
            <w:vAlign w:val="center"/>
          </w:tcPr>
          <w:p>
            <w:pPr>
              <w:widowControl/>
              <w:jc w:val="right"/>
              <w:rPr>
                <w:rFonts w:eastAsia="方正仿宋_GBK"/>
                <w:color w:val="000000"/>
                <w:spacing w:val="-2"/>
                <w:kern w:val="0"/>
                <w:szCs w:val="21"/>
              </w:rPr>
            </w:pPr>
          </w:p>
        </w:tc>
        <w:tc>
          <w:tcPr>
            <w:tcW w:w="2115" w:type="dxa"/>
            <w:gridSpan w:val="3"/>
            <w:tcBorders>
              <w:top w:val="single" w:color="auto" w:sz="4" w:space="0"/>
              <w:left w:val="single" w:color="auto" w:sz="4" w:space="0"/>
              <w:bottom w:val="single" w:color="auto" w:sz="4" w:space="0"/>
              <w:right w:val="nil"/>
            </w:tcBorders>
            <w:noWrap w:val="0"/>
            <w:vAlign w:val="center"/>
          </w:tcPr>
          <w:p>
            <w:pPr>
              <w:jc w:val="right"/>
              <w:rPr>
                <w:rFonts w:eastAsia="方正仿宋_GBK"/>
                <w:color w:val="000000"/>
                <w:spacing w:val="-2"/>
                <w:kern w:val="0"/>
                <w:szCs w:val="21"/>
              </w:rPr>
            </w:pPr>
            <w:r>
              <w:rPr>
                <w:rFonts w:hint="eastAsia" w:eastAsia="方正仿宋_GBK"/>
                <w:color w:val="000000"/>
                <w:spacing w:val="-2"/>
                <w:kern w:val="0"/>
                <w:szCs w:val="21"/>
              </w:rPr>
              <w:t>　</w:t>
            </w:r>
          </w:p>
        </w:tc>
        <w:tc>
          <w:tcPr>
            <w:tcW w:w="900" w:type="dxa"/>
            <w:tcBorders>
              <w:top w:val="single" w:color="auto" w:sz="4" w:space="0"/>
              <w:left w:val="single" w:color="auto" w:sz="4" w:space="0"/>
              <w:bottom w:val="single" w:color="auto" w:sz="4" w:space="0"/>
              <w:right w:val="single" w:color="auto" w:sz="4" w:space="0"/>
            </w:tcBorders>
            <w:noWrap w:val="0"/>
            <w:vAlign w:val="center"/>
          </w:tcPr>
          <w:p>
            <w:pPr>
              <w:widowControl/>
              <w:jc w:val="right"/>
              <w:rPr>
                <w:rFonts w:eastAsia="方正仿宋_GBK"/>
                <w:color w:val="000000"/>
                <w:spacing w:val="-2"/>
                <w:kern w:val="0"/>
                <w:szCs w:val="21"/>
              </w:rPr>
            </w:pPr>
            <w:r>
              <w:rPr>
                <w:rFonts w:hint="eastAsia" w:eastAsia="方正仿宋_GBK"/>
                <w:color w:val="000000"/>
                <w:spacing w:val="-2"/>
                <w:kern w:val="0"/>
                <w:szCs w:val="21"/>
              </w:rPr>
              <w:t>　</w:t>
            </w:r>
          </w:p>
        </w:tc>
        <w:tc>
          <w:tcPr>
            <w:tcW w:w="2069" w:type="dxa"/>
            <w:gridSpan w:val="2"/>
            <w:tcBorders>
              <w:top w:val="single" w:color="auto" w:sz="4" w:space="0"/>
              <w:left w:val="nil"/>
              <w:bottom w:val="single" w:color="auto" w:sz="4" w:space="0"/>
              <w:right w:val="single" w:color="auto" w:sz="8" w:space="0"/>
            </w:tcBorders>
            <w:noWrap w:val="0"/>
            <w:vAlign w:val="center"/>
          </w:tcPr>
          <w:p>
            <w:pPr>
              <w:widowControl/>
              <w:jc w:val="center"/>
              <w:rPr>
                <w:rFonts w:eastAsia="方正仿宋_GBK"/>
                <w:color w:val="000000"/>
                <w:spacing w:val="-2"/>
                <w:kern w:val="0"/>
                <w:szCs w:val="21"/>
              </w:rPr>
            </w:pPr>
            <w:r>
              <w:rPr>
                <w:rFonts w:hint="eastAsia" w:eastAsia="方正仿宋_GBK"/>
                <w:color w:val="000000"/>
                <w:spacing w:val="-2"/>
                <w:kern w:val="0"/>
                <w:szCs w:val="21"/>
              </w:rPr>
              <w:t>无异臭、异味</w:t>
            </w:r>
          </w:p>
        </w:tc>
      </w:tr>
      <w:tr>
        <w:tblPrEx>
          <w:tblCellMar>
            <w:top w:w="0" w:type="dxa"/>
            <w:left w:w="108" w:type="dxa"/>
            <w:bottom w:w="0" w:type="dxa"/>
            <w:right w:w="108" w:type="dxa"/>
          </w:tblCellMar>
        </w:tblPrEx>
        <w:trPr>
          <w:trHeight w:val="397" w:hRule="exact"/>
        </w:trPr>
        <w:tc>
          <w:tcPr>
            <w:tcW w:w="495" w:type="dxa"/>
            <w:tcBorders>
              <w:top w:val="single" w:color="auto" w:sz="4" w:space="0"/>
              <w:left w:val="single" w:color="auto" w:sz="8" w:space="0"/>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r>
              <w:rPr>
                <w:rFonts w:eastAsia="方正仿宋_GBK"/>
                <w:color w:val="000000"/>
                <w:spacing w:val="-2"/>
                <w:kern w:val="0"/>
                <w:szCs w:val="21"/>
              </w:rPr>
              <w:t>4</w:t>
            </w:r>
          </w:p>
        </w:tc>
        <w:tc>
          <w:tcPr>
            <w:tcW w:w="1681" w:type="dxa"/>
            <w:tcBorders>
              <w:top w:val="single" w:color="auto" w:sz="4" w:space="0"/>
              <w:left w:val="nil"/>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r>
              <w:rPr>
                <w:rFonts w:hint="eastAsia" w:eastAsia="方正仿宋_GBK"/>
                <w:color w:val="000000"/>
                <w:spacing w:val="-2"/>
                <w:kern w:val="0"/>
                <w:szCs w:val="21"/>
              </w:rPr>
              <w:t>肉眼可见物</w:t>
            </w:r>
          </w:p>
        </w:tc>
        <w:tc>
          <w:tcPr>
            <w:tcW w:w="963" w:type="dxa"/>
            <w:gridSpan w:val="2"/>
            <w:tcBorders>
              <w:top w:val="single" w:color="auto" w:sz="4" w:space="0"/>
              <w:left w:val="nil"/>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r>
              <w:rPr>
                <w:rFonts w:eastAsia="方正仿宋_GBK"/>
                <w:color w:val="000000"/>
                <w:spacing w:val="-2"/>
                <w:kern w:val="0"/>
                <w:szCs w:val="21"/>
              </w:rPr>
              <w:t>—</w:t>
            </w:r>
          </w:p>
        </w:tc>
        <w:tc>
          <w:tcPr>
            <w:tcW w:w="523" w:type="dxa"/>
            <w:tcBorders>
              <w:top w:val="single" w:color="auto" w:sz="4" w:space="0"/>
              <w:left w:val="nil"/>
              <w:bottom w:val="single" w:color="auto" w:sz="4" w:space="0"/>
              <w:right w:val="single" w:color="auto" w:sz="4" w:space="0"/>
            </w:tcBorders>
            <w:noWrap w:val="0"/>
            <w:vAlign w:val="center"/>
          </w:tcPr>
          <w:p>
            <w:pPr>
              <w:widowControl/>
              <w:jc w:val="right"/>
              <w:rPr>
                <w:rFonts w:eastAsia="方正仿宋_GBK"/>
                <w:color w:val="000000"/>
                <w:spacing w:val="-2"/>
                <w:kern w:val="0"/>
                <w:szCs w:val="21"/>
              </w:rPr>
            </w:pPr>
          </w:p>
        </w:tc>
        <w:tc>
          <w:tcPr>
            <w:tcW w:w="2115" w:type="dxa"/>
            <w:gridSpan w:val="3"/>
            <w:tcBorders>
              <w:top w:val="single" w:color="auto" w:sz="4" w:space="0"/>
              <w:left w:val="nil"/>
              <w:bottom w:val="single" w:color="auto" w:sz="4" w:space="0"/>
              <w:right w:val="single" w:color="auto" w:sz="4" w:space="0"/>
            </w:tcBorders>
            <w:noWrap w:val="0"/>
            <w:vAlign w:val="center"/>
          </w:tcPr>
          <w:p>
            <w:pPr>
              <w:jc w:val="right"/>
              <w:rPr>
                <w:rFonts w:eastAsia="方正仿宋_GBK"/>
                <w:color w:val="000000"/>
                <w:spacing w:val="-2"/>
                <w:kern w:val="0"/>
                <w:szCs w:val="21"/>
              </w:rPr>
            </w:pPr>
            <w:r>
              <w:rPr>
                <w:rFonts w:hint="eastAsia" w:eastAsia="方正仿宋_GBK"/>
                <w:color w:val="000000"/>
                <w:spacing w:val="-2"/>
                <w:kern w:val="0"/>
                <w:szCs w:val="21"/>
              </w:rPr>
              <w:t>　</w:t>
            </w:r>
          </w:p>
        </w:tc>
        <w:tc>
          <w:tcPr>
            <w:tcW w:w="900" w:type="dxa"/>
            <w:tcBorders>
              <w:top w:val="single" w:color="auto" w:sz="4" w:space="0"/>
              <w:left w:val="nil"/>
              <w:bottom w:val="single" w:color="auto" w:sz="4" w:space="0"/>
              <w:right w:val="single" w:color="auto" w:sz="4" w:space="0"/>
            </w:tcBorders>
            <w:noWrap w:val="0"/>
            <w:vAlign w:val="center"/>
          </w:tcPr>
          <w:p>
            <w:pPr>
              <w:widowControl/>
              <w:jc w:val="right"/>
              <w:rPr>
                <w:rFonts w:eastAsia="方正仿宋_GBK"/>
                <w:color w:val="000000"/>
                <w:spacing w:val="-2"/>
                <w:kern w:val="0"/>
                <w:szCs w:val="21"/>
              </w:rPr>
            </w:pPr>
            <w:r>
              <w:rPr>
                <w:rFonts w:hint="eastAsia" w:eastAsia="方正仿宋_GBK"/>
                <w:color w:val="000000"/>
                <w:spacing w:val="-2"/>
                <w:kern w:val="0"/>
                <w:szCs w:val="21"/>
              </w:rPr>
              <w:t>　</w:t>
            </w:r>
          </w:p>
        </w:tc>
        <w:tc>
          <w:tcPr>
            <w:tcW w:w="2069" w:type="dxa"/>
            <w:gridSpan w:val="2"/>
            <w:tcBorders>
              <w:top w:val="single" w:color="auto" w:sz="4" w:space="0"/>
              <w:left w:val="nil"/>
              <w:bottom w:val="single" w:color="auto" w:sz="4" w:space="0"/>
              <w:right w:val="single" w:color="auto" w:sz="8" w:space="0"/>
            </w:tcBorders>
            <w:noWrap w:val="0"/>
            <w:vAlign w:val="center"/>
          </w:tcPr>
          <w:p>
            <w:pPr>
              <w:widowControl/>
              <w:jc w:val="center"/>
              <w:rPr>
                <w:rFonts w:eastAsia="方正仿宋_GBK"/>
                <w:color w:val="000000"/>
                <w:spacing w:val="-2"/>
                <w:kern w:val="0"/>
                <w:szCs w:val="21"/>
              </w:rPr>
            </w:pPr>
            <w:r>
              <w:rPr>
                <w:rFonts w:hint="eastAsia" w:eastAsia="方正仿宋_GBK"/>
                <w:color w:val="000000"/>
                <w:spacing w:val="-2"/>
                <w:kern w:val="0"/>
                <w:szCs w:val="21"/>
              </w:rPr>
              <w:t>无</w:t>
            </w:r>
          </w:p>
        </w:tc>
      </w:tr>
      <w:tr>
        <w:tblPrEx>
          <w:tblCellMar>
            <w:top w:w="0" w:type="dxa"/>
            <w:left w:w="108" w:type="dxa"/>
            <w:bottom w:w="0" w:type="dxa"/>
            <w:right w:w="108" w:type="dxa"/>
          </w:tblCellMar>
        </w:tblPrEx>
        <w:trPr>
          <w:trHeight w:val="397" w:hRule="exact"/>
        </w:trPr>
        <w:tc>
          <w:tcPr>
            <w:tcW w:w="495" w:type="dxa"/>
            <w:tcBorders>
              <w:top w:val="single" w:color="auto" w:sz="4" w:space="0"/>
              <w:left w:val="single" w:color="auto" w:sz="8" w:space="0"/>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r>
              <w:rPr>
                <w:rFonts w:eastAsia="方正仿宋_GBK"/>
                <w:color w:val="000000"/>
                <w:spacing w:val="-2"/>
                <w:kern w:val="0"/>
                <w:szCs w:val="21"/>
              </w:rPr>
              <w:t>5</w:t>
            </w:r>
          </w:p>
        </w:tc>
        <w:tc>
          <w:tcPr>
            <w:tcW w:w="1681" w:type="dxa"/>
            <w:tcBorders>
              <w:top w:val="single" w:color="auto" w:sz="4" w:space="0"/>
              <w:left w:val="nil"/>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r>
              <w:rPr>
                <w:rFonts w:eastAsia="方正仿宋_GBK"/>
                <w:color w:val="000000"/>
                <w:spacing w:val="-2"/>
                <w:kern w:val="0"/>
                <w:szCs w:val="21"/>
              </w:rPr>
              <w:t>pH</w:t>
            </w:r>
          </w:p>
        </w:tc>
        <w:tc>
          <w:tcPr>
            <w:tcW w:w="963" w:type="dxa"/>
            <w:gridSpan w:val="2"/>
            <w:tcBorders>
              <w:top w:val="single" w:color="auto" w:sz="4" w:space="0"/>
              <w:left w:val="nil"/>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r>
              <w:rPr>
                <w:rFonts w:eastAsia="方正仿宋_GBK"/>
                <w:color w:val="000000"/>
                <w:spacing w:val="-2"/>
                <w:kern w:val="0"/>
                <w:szCs w:val="21"/>
              </w:rPr>
              <w:t>—</w:t>
            </w:r>
          </w:p>
        </w:tc>
        <w:tc>
          <w:tcPr>
            <w:tcW w:w="523" w:type="dxa"/>
            <w:tcBorders>
              <w:top w:val="single" w:color="auto" w:sz="4" w:space="0"/>
              <w:left w:val="nil"/>
              <w:bottom w:val="single" w:color="auto" w:sz="4" w:space="0"/>
              <w:right w:val="single" w:color="auto" w:sz="4" w:space="0"/>
            </w:tcBorders>
            <w:noWrap w:val="0"/>
            <w:vAlign w:val="bottom"/>
          </w:tcPr>
          <w:p>
            <w:pPr>
              <w:widowControl/>
              <w:jc w:val="left"/>
              <w:rPr>
                <w:rFonts w:eastAsia="方正仿宋_GBK"/>
                <w:color w:val="000000"/>
                <w:spacing w:val="-2"/>
                <w:kern w:val="0"/>
                <w:szCs w:val="21"/>
              </w:rPr>
            </w:pPr>
          </w:p>
        </w:tc>
        <w:tc>
          <w:tcPr>
            <w:tcW w:w="2115" w:type="dxa"/>
            <w:gridSpan w:val="3"/>
            <w:tcBorders>
              <w:top w:val="single" w:color="auto" w:sz="4" w:space="0"/>
              <w:left w:val="nil"/>
              <w:bottom w:val="single" w:color="auto" w:sz="4" w:space="0"/>
              <w:right w:val="single" w:color="auto" w:sz="4" w:space="0"/>
            </w:tcBorders>
            <w:noWrap w:val="0"/>
            <w:vAlign w:val="bottom"/>
          </w:tcPr>
          <w:p>
            <w:pPr>
              <w:widowControl/>
              <w:jc w:val="left"/>
              <w:rPr>
                <w:rFonts w:eastAsia="方正仿宋_GBK"/>
                <w:color w:val="000000"/>
                <w:spacing w:val="-2"/>
                <w:kern w:val="0"/>
                <w:szCs w:val="21"/>
              </w:rPr>
            </w:pPr>
          </w:p>
        </w:tc>
        <w:tc>
          <w:tcPr>
            <w:tcW w:w="900" w:type="dxa"/>
            <w:tcBorders>
              <w:top w:val="single" w:color="auto" w:sz="4" w:space="0"/>
              <w:left w:val="nil"/>
              <w:bottom w:val="single" w:color="auto" w:sz="4" w:space="0"/>
              <w:right w:val="single" w:color="auto" w:sz="4" w:space="0"/>
            </w:tcBorders>
            <w:noWrap w:val="0"/>
            <w:vAlign w:val="center"/>
          </w:tcPr>
          <w:p>
            <w:pPr>
              <w:widowControl/>
              <w:jc w:val="right"/>
              <w:rPr>
                <w:rFonts w:eastAsia="方正仿宋_GBK"/>
                <w:color w:val="000000"/>
                <w:spacing w:val="-2"/>
                <w:kern w:val="0"/>
                <w:szCs w:val="21"/>
              </w:rPr>
            </w:pPr>
          </w:p>
        </w:tc>
        <w:tc>
          <w:tcPr>
            <w:tcW w:w="2069" w:type="dxa"/>
            <w:gridSpan w:val="2"/>
            <w:tcBorders>
              <w:top w:val="single" w:color="auto" w:sz="4" w:space="0"/>
              <w:left w:val="nil"/>
              <w:bottom w:val="single" w:color="auto" w:sz="4" w:space="0"/>
              <w:right w:val="single" w:color="auto" w:sz="8" w:space="0"/>
            </w:tcBorders>
            <w:noWrap w:val="0"/>
            <w:vAlign w:val="center"/>
          </w:tcPr>
          <w:p>
            <w:pPr>
              <w:widowControl/>
              <w:jc w:val="center"/>
              <w:rPr>
                <w:rFonts w:eastAsia="方正仿宋_GBK"/>
                <w:color w:val="000000"/>
                <w:spacing w:val="-2"/>
                <w:kern w:val="0"/>
                <w:szCs w:val="21"/>
              </w:rPr>
            </w:pPr>
          </w:p>
        </w:tc>
      </w:tr>
      <w:tr>
        <w:tblPrEx>
          <w:tblCellMar>
            <w:top w:w="0" w:type="dxa"/>
            <w:left w:w="108" w:type="dxa"/>
            <w:bottom w:w="0" w:type="dxa"/>
            <w:right w:w="108" w:type="dxa"/>
          </w:tblCellMar>
        </w:tblPrEx>
        <w:trPr>
          <w:trHeight w:val="397" w:hRule="exact"/>
        </w:trPr>
        <w:tc>
          <w:tcPr>
            <w:tcW w:w="495" w:type="dxa"/>
            <w:tcBorders>
              <w:top w:val="single" w:color="auto" w:sz="4" w:space="0"/>
              <w:left w:val="single" w:color="auto" w:sz="8" w:space="0"/>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r>
              <w:rPr>
                <w:rFonts w:eastAsia="方正仿宋_GBK"/>
                <w:color w:val="000000"/>
                <w:spacing w:val="-2"/>
                <w:kern w:val="0"/>
                <w:szCs w:val="21"/>
              </w:rPr>
              <w:t>6</w:t>
            </w:r>
          </w:p>
        </w:tc>
        <w:tc>
          <w:tcPr>
            <w:tcW w:w="1681" w:type="dxa"/>
            <w:tcBorders>
              <w:top w:val="single" w:color="auto" w:sz="4" w:space="0"/>
              <w:left w:val="nil"/>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r>
              <w:rPr>
                <w:rFonts w:hint="eastAsia" w:eastAsia="方正仿宋_GBK"/>
                <w:color w:val="000000"/>
                <w:spacing w:val="-2"/>
                <w:kern w:val="0"/>
                <w:szCs w:val="21"/>
              </w:rPr>
              <w:t>氨氮</w:t>
            </w:r>
            <w:r>
              <w:rPr>
                <w:rFonts w:eastAsia="方正仿宋_GBK"/>
                <w:color w:val="000000"/>
                <w:spacing w:val="-2"/>
                <w:kern w:val="0"/>
                <w:szCs w:val="21"/>
              </w:rPr>
              <w:t>(</w:t>
            </w:r>
            <w:r>
              <w:rPr>
                <w:rFonts w:hint="eastAsia" w:eastAsia="方正仿宋_GBK"/>
                <w:color w:val="000000"/>
                <w:spacing w:val="-2"/>
                <w:kern w:val="0"/>
                <w:szCs w:val="21"/>
              </w:rPr>
              <w:t>以</w:t>
            </w:r>
            <w:r>
              <w:rPr>
                <w:rFonts w:eastAsia="方正仿宋_GBK"/>
                <w:color w:val="000000"/>
                <w:spacing w:val="-2"/>
                <w:kern w:val="0"/>
                <w:szCs w:val="21"/>
              </w:rPr>
              <w:t>N</w:t>
            </w:r>
            <w:r>
              <w:rPr>
                <w:rFonts w:hint="eastAsia" w:eastAsia="方正仿宋_GBK"/>
                <w:color w:val="000000"/>
                <w:spacing w:val="-2"/>
                <w:kern w:val="0"/>
                <w:szCs w:val="21"/>
              </w:rPr>
              <w:t>计</w:t>
            </w:r>
            <w:r>
              <w:rPr>
                <w:rFonts w:eastAsia="方正仿宋_GBK"/>
                <w:color w:val="000000"/>
                <w:spacing w:val="-2"/>
                <w:kern w:val="0"/>
                <w:szCs w:val="21"/>
              </w:rPr>
              <w:t>)</w:t>
            </w:r>
          </w:p>
        </w:tc>
        <w:tc>
          <w:tcPr>
            <w:tcW w:w="963" w:type="dxa"/>
            <w:gridSpan w:val="2"/>
            <w:tcBorders>
              <w:top w:val="single" w:color="auto" w:sz="4" w:space="0"/>
              <w:left w:val="nil"/>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r>
              <w:rPr>
                <w:rFonts w:eastAsia="方正仿宋_GBK"/>
                <w:color w:val="000000"/>
                <w:spacing w:val="-2"/>
                <w:kern w:val="0"/>
                <w:szCs w:val="21"/>
              </w:rPr>
              <w:t>mg/L</w:t>
            </w:r>
          </w:p>
        </w:tc>
        <w:tc>
          <w:tcPr>
            <w:tcW w:w="523" w:type="dxa"/>
            <w:tcBorders>
              <w:top w:val="single" w:color="auto" w:sz="4" w:space="0"/>
              <w:left w:val="nil"/>
              <w:bottom w:val="single" w:color="auto" w:sz="4" w:space="0"/>
              <w:right w:val="single" w:color="auto" w:sz="4" w:space="0"/>
            </w:tcBorders>
            <w:noWrap w:val="0"/>
            <w:vAlign w:val="bottom"/>
          </w:tcPr>
          <w:p>
            <w:pPr>
              <w:widowControl/>
              <w:jc w:val="left"/>
              <w:rPr>
                <w:rFonts w:eastAsia="方正仿宋_GBK"/>
                <w:color w:val="000000"/>
                <w:spacing w:val="-2"/>
                <w:kern w:val="0"/>
                <w:szCs w:val="21"/>
              </w:rPr>
            </w:pPr>
          </w:p>
        </w:tc>
        <w:tc>
          <w:tcPr>
            <w:tcW w:w="2115" w:type="dxa"/>
            <w:gridSpan w:val="3"/>
            <w:tcBorders>
              <w:top w:val="single" w:color="auto" w:sz="4" w:space="0"/>
              <w:left w:val="nil"/>
              <w:bottom w:val="single" w:color="auto" w:sz="4" w:space="0"/>
              <w:right w:val="single" w:color="auto" w:sz="4" w:space="0"/>
            </w:tcBorders>
            <w:noWrap w:val="0"/>
            <w:vAlign w:val="bottom"/>
          </w:tcPr>
          <w:p>
            <w:pPr>
              <w:widowControl/>
              <w:jc w:val="left"/>
              <w:rPr>
                <w:rFonts w:eastAsia="方正仿宋_GBK"/>
                <w:color w:val="000000"/>
                <w:spacing w:val="-2"/>
                <w:kern w:val="0"/>
                <w:szCs w:val="21"/>
              </w:rPr>
            </w:pPr>
          </w:p>
        </w:tc>
        <w:tc>
          <w:tcPr>
            <w:tcW w:w="900" w:type="dxa"/>
            <w:tcBorders>
              <w:top w:val="single" w:color="auto" w:sz="4" w:space="0"/>
              <w:left w:val="nil"/>
              <w:bottom w:val="single" w:color="auto" w:sz="4" w:space="0"/>
              <w:right w:val="single" w:color="auto" w:sz="4" w:space="0"/>
            </w:tcBorders>
            <w:noWrap w:val="0"/>
            <w:vAlign w:val="center"/>
          </w:tcPr>
          <w:p>
            <w:pPr>
              <w:widowControl/>
              <w:jc w:val="right"/>
              <w:rPr>
                <w:rFonts w:eastAsia="方正仿宋_GBK"/>
                <w:color w:val="000000"/>
                <w:spacing w:val="-2"/>
                <w:kern w:val="0"/>
                <w:szCs w:val="21"/>
              </w:rPr>
            </w:pPr>
            <w:r>
              <w:rPr>
                <w:rFonts w:hint="eastAsia" w:eastAsia="方正仿宋_GBK"/>
                <w:color w:val="000000"/>
                <w:spacing w:val="-2"/>
                <w:kern w:val="0"/>
                <w:szCs w:val="21"/>
              </w:rPr>
              <w:t>　</w:t>
            </w:r>
          </w:p>
        </w:tc>
        <w:tc>
          <w:tcPr>
            <w:tcW w:w="2069" w:type="dxa"/>
            <w:gridSpan w:val="2"/>
            <w:tcBorders>
              <w:top w:val="single" w:color="auto" w:sz="4" w:space="0"/>
              <w:left w:val="nil"/>
              <w:bottom w:val="single" w:color="auto" w:sz="4" w:space="0"/>
              <w:right w:val="single" w:color="auto" w:sz="8" w:space="0"/>
            </w:tcBorders>
            <w:noWrap w:val="0"/>
            <w:vAlign w:val="center"/>
          </w:tcPr>
          <w:p>
            <w:pPr>
              <w:widowControl/>
              <w:jc w:val="center"/>
              <w:rPr>
                <w:rFonts w:eastAsia="方正仿宋_GBK"/>
                <w:color w:val="000000"/>
                <w:spacing w:val="-2"/>
                <w:kern w:val="0"/>
                <w:szCs w:val="21"/>
              </w:rPr>
            </w:pPr>
            <w:r>
              <w:rPr>
                <w:rFonts w:eastAsia="方正仿宋_GBK"/>
                <w:color w:val="000000"/>
                <w:spacing w:val="-2"/>
                <w:kern w:val="0"/>
                <w:szCs w:val="21"/>
              </w:rPr>
              <w:t>0.5</w:t>
            </w:r>
          </w:p>
        </w:tc>
      </w:tr>
      <w:tr>
        <w:tblPrEx>
          <w:tblCellMar>
            <w:top w:w="0" w:type="dxa"/>
            <w:left w:w="108" w:type="dxa"/>
            <w:bottom w:w="0" w:type="dxa"/>
            <w:right w:w="108" w:type="dxa"/>
          </w:tblCellMar>
        </w:tblPrEx>
        <w:trPr>
          <w:trHeight w:val="600" w:hRule="atLeast"/>
        </w:trPr>
        <w:tc>
          <w:tcPr>
            <w:tcW w:w="495" w:type="dxa"/>
            <w:tcBorders>
              <w:top w:val="single" w:color="auto" w:sz="4" w:space="0"/>
              <w:left w:val="single" w:color="auto" w:sz="8" w:space="0"/>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r>
              <w:rPr>
                <w:rFonts w:eastAsia="方正仿宋_GBK"/>
                <w:color w:val="000000"/>
                <w:spacing w:val="-2"/>
                <w:kern w:val="0"/>
                <w:szCs w:val="21"/>
              </w:rPr>
              <w:t>7</w:t>
            </w:r>
          </w:p>
        </w:tc>
        <w:tc>
          <w:tcPr>
            <w:tcW w:w="1681" w:type="dxa"/>
            <w:tcBorders>
              <w:top w:val="single" w:color="auto" w:sz="4" w:space="0"/>
              <w:left w:val="nil"/>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r>
              <w:rPr>
                <w:rFonts w:hint="eastAsia" w:eastAsia="方正仿宋_GBK"/>
                <w:color w:val="000000"/>
                <w:spacing w:val="-2"/>
                <w:kern w:val="0"/>
                <w:szCs w:val="21"/>
              </w:rPr>
              <w:t>耗氧量</w:t>
            </w:r>
            <w:r>
              <w:rPr>
                <w:rFonts w:eastAsia="方正仿宋_GBK"/>
                <w:color w:val="000000"/>
                <w:spacing w:val="-2"/>
                <w:kern w:val="0"/>
                <w:szCs w:val="21"/>
              </w:rPr>
              <w:t>(</w:t>
            </w:r>
            <w:r>
              <w:rPr>
                <w:rFonts w:hint="eastAsia" w:eastAsia="方正仿宋_GBK"/>
                <w:color w:val="000000"/>
                <w:spacing w:val="-2"/>
                <w:kern w:val="0"/>
                <w:szCs w:val="21"/>
              </w:rPr>
              <w:t>以</w:t>
            </w:r>
            <w:r>
              <w:rPr>
                <w:rFonts w:eastAsia="方正仿宋_GBK"/>
                <w:color w:val="000000"/>
                <w:spacing w:val="-2"/>
                <w:kern w:val="0"/>
                <w:szCs w:val="21"/>
              </w:rPr>
              <w:t>O</w:t>
            </w:r>
            <w:r>
              <w:rPr>
                <w:rFonts w:eastAsia="方正仿宋_GBK"/>
                <w:color w:val="000000"/>
                <w:spacing w:val="-2"/>
                <w:kern w:val="0"/>
                <w:szCs w:val="21"/>
                <w:vertAlign w:val="subscript"/>
              </w:rPr>
              <w:t>2</w:t>
            </w:r>
            <w:r>
              <w:rPr>
                <w:rFonts w:hint="eastAsia" w:eastAsia="方正仿宋_GBK"/>
                <w:color w:val="000000"/>
                <w:spacing w:val="-2"/>
                <w:kern w:val="0"/>
                <w:szCs w:val="21"/>
              </w:rPr>
              <w:t>计</w:t>
            </w:r>
            <w:r>
              <w:rPr>
                <w:rFonts w:eastAsia="方正仿宋_GBK"/>
                <w:color w:val="000000"/>
                <w:spacing w:val="-2"/>
                <w:kern w:val="0"/>
                <w:szCs w:val="21"/>
              </w:rPr>
              <w:t>)</w:t>
            </w:r>
          </w:p>
        </w:tc>
        <w:tc>
          <w:tcPr>
            <w:tcW w:w="963" w:type="dxa"/>
            <w:gridSpan w:val="2"/>
            <w:tcBorders>
              <w:top w:val="single" w:color="auto" w:sz="4" w:space="0"/>
              <w:left w:val="nil"/>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r>
              <w:rPr>
                <w:rFonts w:eastAsia="方正仿宋_GBK"/>
                <w:color w:val="000000"/>
                <w:spacing w:val="-2"/>
                <w:kern w:val="0"/>
                <w:szCs w:val="21"/>
              </w:rPr>
              <w:t>mg/L</w:t>
            </w:r>
          </w:p>
        </w:tc>
        <w:tc>
          <w:tcPr>
            <w:tcW w:w="523" w:type="dxa"/>
            <w:tcBorders>
              <w:top w:val="single" w:color="auto" w:sz="4" w:space="0"/>
              <w:left w:val="nil"/>
              <w:bottom w:val="single" w:color="auto" w:sz="4" w:space="0"/>
              <w:right w:val="single" w:color="auto" w:sz="4" w:space="0"/>
            </w:tcBorders>
            <w:noWrap w:val="0"/>
            <w:vAlign w:val="center"/>
          </w:tcPr>
          <w:p>
            <w:pPr>
              <w:widowControl/>
              <w:jc w:val="right"/>
              <w:rPr>
                <w:rFonts w:eastAsia="方正仿宋_GBK"/>
                <w:color w:val="000000"/>
                <w:spacing w:val="-2"/>
                <w:kern w:val="0"/>
                <w:szCs w:val="21"/>
              </w:rPr>
            </w:pPr>
          </w:p>
        </w:tc>
        <w:tc>
          <w:tcPr>
            <w:tcW w:w="2115" w:type="dxa"/>
            <w:gridSpan w:val="3"/>
            <w:tcBorders>
              <w:top w:val="single" w:color="auto" w:sz="4" w:space="0"/>
              <w:left w:val="nil"/>
              <w:bottom w:val="single" w:color="auto" w:sz="4" w:space="0"/>
              <w:right w:val="single" w:color="auto" w:sz="4" w:space="0"/>
            </w:tcBorders>
            <w:noWrap w:val="0"/>
            <w:vAlign w:val="center"/>
          </w:tcPr>
          <w:p>
            <w:pPr>
              <w:jc w:val="right"/>
              <w:rPr>
                <w:rFonts w:eastAsia="方正仿宋_GBK"/>
                <w:color w:val="000000"/>
                <w:spacing w:val="-2"/>
                <w:kern w:val="0"/>
                <w:szCs w:val="21"/>
              </w:rPr>
            </w:pPr>
            <w:r>
              <w:rPr>
                <w:rFonts w:hint="eastAsia" w:eastAsia="方正仿宋_GBK"/>
                <w:color w:val="000000"/>
                <w:spacing w:val="-2"/>
                <w:kern w:val="0"/>
                <w:szCs w:val="21"/>
              </w:rPr>
              <w:t>　</w:t>
            </w:r>
          </w:p>
        </w:tc>
        <w:tc>
          <w:tcPr>
            <w:tcW w:w="900" w:type="dxa"/>
            <w:tcBorders>
              <w:top w:val="single" w:color="auto" w:sz="4" w:space="0"/>
              <w:left w:val="nil"/>
              <w:bottom w:val="single" w:color="auto" w:sz="4" w:space="0"/>
              <w:right w:val="single" w:color="auto" w:sz="4" w:space="0"/>
            </w:tcBorders>
            <w:noWrap w:val="0"/>
            <w:vAlign w:val="center"/>
          </w:tcPr>
          <w:p>
            <w:pPr>
              <w:widowControl/>
              <w:jc w:val="right"/>
              <w:rPr>
                <w:rFonts w:eastAsia="方正仿宋_GBK"/>
                <w:color w:val="000000"/>
                <w:spacing w:val="-2"/>
                <w:kern w:val="0"/>
                <w:szCs w:val="21"/>
              </w:rPr>
            </w:pPr>
            <w:r>
              <w:rPr>
                <w:rFonts w:hint="eastAsia" w:eastAsia="方正仿宋_GBK"/>
                <w:color w:val="000000"/>
                <w:spacing w:val="-2"/>
                <w:kern w:val="0"/>
                <w:szCs w:val="21"/>
              </w:rPr>
              <w:t>　</w:t>
            </w:r>
          </w:p>
        </w:tc>
        <w:tc>
          <w:tcPr>
            <w:tcW w:w="2069" w:type="dxa"/>
            <w:gridSpan w:val="2"/>
            <w:tcBorders>
              <w:top w:val="single" w:color="auto" w:sz="4" w:space="0"/>
              <w:left w:val="nil"/>
              <w:bottom w:val="single" w:color="auto" w:sz="4" w:space="0"/>
              <w:right w:val="single" w:color="auto" w:sz="8" w:space="0"/>
            </w:tcBorders>
            <w:noWrap w:val="0"/>
            <w:vAlign w:val="center"/>
          </w:tcPr>
          <w:p>
            <w:pPr>
              <w:widowControl/>
              <w:jc w:val="center"/>
              <w:rPr>
                <w:rFonts w:eastAsia="方正仿宋_GBK"/>
                <w:color w:val="000000"/>
                <w:spacing w:val="-2"/>
                <w:kern w:val="0"/>
                <w:szCs w:val="21"/>
              </w:rPr>
            </w:pPr>
            <w:r>
              <w:rPr>
                <w:rFonts w:eastAsia="方正仿宋_GBK"/>
                <w:color w:val="000000"/>
                <w:spacing w:val="-2"/>
                <w:kern w:val="0"/>
                <w:szCs w:val="21"/>
              </w:rPr>
              <w:t>3</w:t>
            </w:r>
            <w:r>
              <w:rPr>
                <w:rFonts w:hint="eastAsia" w:eastAsia="方正仿宋_GBK"/>
                <w:color w:val="000000"/>
                <w:spacing w:val="-2"/>
                <w:kern w:val="0"/>
                <w:szCs w:val="21"/>
              </w:rPr>
              <w:t>，水源限制，原水耗氧量</w:t>
            </w:r>
            <w:r>
              <w:rPr>
                <w:rFonts w:eastAsia="方正仿宋_GBK"/>
                <w:color w:val="000000"/>
                <w:spacing w:val="-2"/>
                <w:kern w:val="0"/>
                <w:szCs w:val="21"/>
              </w:rPr>
              <w:t>&gt;6mg/L</w:t>
            </w:r>
            <w:r>
              <w:rPr>
                <w:rFonts w:hint="eastAsia" w:eastAsia="方正仿宋_GBK"/>
                <w:color w:val="000000"/>
                <w:spacing w:val="-2"/>
                <w:kern w:val="0"/>
                <w:szCs w:val="21"/>
              </w:rPr>
              <w:t>时为</w:t>
            </w:r>
            <w:r>
              <w:rPr>
                <w:rFonts w:eastAsia="方正仿宋_GBK"/>
                <w:color w:val="000000"/>
                <w:spacing w:val="-2"/>
                <w:kern w:val="0"/>
                <w:szCs w:val="21"/>
              </w:rPr>
              <w:t>5</w:t>
            </w:r>
          </w:p>
        </w:tc>
      </w:tr>
      <w:tr>
        <w:tblPrEx>
          <w:tblCellMar>
            <w:top w:w="0" w:type="dxa"/>
            <w:left w:w="108" w:type="dxa"/>
            <w:bottom w:w="0" w:type="dxa"/>
            <w:right w:w="108" w:type="dxa"/>
          </w:tblCellMar>
        </w:tblPrEx>
        <w:trPr>
          <w:trHeight w:val="600" w:hRule="atLeast"/>
        </w:trPr>
        <w:tc>
          <w:tcPr>
            <w:tcW w:w="495" w:type="dxa"/>
            <w:tcBorders>
              <w:top w:val="single" w:color="auto" w:sz="4" w:space="0"/>
              <w:left w:val="single" w:color="auto" w:sz="8" w:space="0"/>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r>
              <w:rPr>
                <w:rFonts w:eastAsia="方正仿宋_GBK"/>
                <w:color w:val="000000"/>
                <w:spacing w:val="-2"/>
                <w:kern w:val="0"/>
                <w:szCs w:val="21"/>
              </w:rPr>
              <w:t>8</w:t>
            </w:r>
          </w:p>
        </w:tc>
        <w:tc>
          <w:tcPr>
            <w:tcW w:w="1681" w:type="dxa"/>
            <w:tcBorders>
              <w:top w:val="single" w:color="auto" w:sz="4" w:space="0"/>
              <w:left w:val="nil"/>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r>
              <w:rPr>
                <w:rFonts w:hint="eastAsia" w:eastAsia="方正仿宋_GBK"/>
                <w:color w:val="000000"/>
                <w:spacing w:val="-2"/>
                <w:kern w:val="0"/>
                <w:szCs w:val="21"/>
              </w:rPr>
              <w:t>余氯</w:t>
            </w:r>
          </w:p>
        </w:tc>
        <w:tc>
          <w:tcPr>
            <w:tcW w:w="963" w:type="dxa"/>
            <w:gridSpan w:val="2"/>
            <w:tcBorders>
              <w:top w:val="single" w:color="auto" w:sz="4" w:space="0"/>
              <w:left w:val="nil"/>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r>
              <w:rPr>
                <w:rFonts w:eastAsia="方正仿宋_GBK"/>
                <w:color w:val="000000"/>
                <w:spacing w:val="-2"/>
                <w:kern w:val="0"/>
                <w:szCs w:val="21"/>
              </w:rPr>
              <w:t>mg/L</w:t>
            </w:r>
          </w:p>
        </w:tc>
        <w:tc>
          <w:tcPr>
            <w:tcW w:w="523" w:type="dxa"/>
            <w:tcBorders>
              <w:top w:val="single" w:color="auto" w:sz="4" w:space="0"/>
              <w:left w:val="nil"/>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r>
              <w:rPr>
                <w:rFonts w:eastAsia="方正仿宋_GBK"/>
                <w:color w:val="000000"/>
                <w:spacing w:val="-2"/>
                <w:kern w:val="0"/>
                <w:szCs w:val="21"/>
              </w:rPr>
              <w:t>--</w:t>
            </w:r>
          </w:p>
        </w:tc>
        <w:tc>
          <w:tcPr>
            <w:tcW w:w="2115" w:type="dxa"/>
            <w:gridSpan w:val="3"/>
            <w:tcBorders>
              <w:top w:val="single" w:color="auto" w:sz="4" w:space="0"/>
              <w:left w:val="single" w:color="auto" w:sz="4" w:space="0"/>
              <w:bottom w:val="single" w:color="auto" w:sz="4" w:space="0"/>
              <w:right w:val="nil"/>
            </w:tcBorders>
            <w:noWrap w:val="0"/>
            <w:vAlign w:val="center"/>
          </w:tcPr>
          <w:p>
            <w:pPr>
              <w:jc w:val="right"/>
              <w:rPr>
                <w:rFonts w:eastAsia="方正仿宋_GBK"/>
                <w:color w:val="000000"/>
                <w:spacing w:val="-2"/>
                <w:kern w:val="0"/>
                <w:szCs w:val="21"/>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widowControl/>
              <w:jc w:val="right"/>
              <w:rPr>
                <w:rFonts w:eastAsia="方正仿宋_GBK"/>
                <w:color w:val="000000"/>
                <w:spacing w:val="-2"/>
                <w:kern w:val="0"/>
                <w:szCs w:val="21"/>
              </w:rPr>
            </w:pPr>
            <w:r>
              <w:rPr>
                <w:rFonts w:hint="eastAsia" w:eastAsia="方正仿宋_GBK"/>
                <w:color w:val="000000"/>
                <w:spacing w:val="-2"/>
                <w:kern w:val="0"/>
                <w:szCs w:val="21"/>
              </w:rPr>
              <w:t>　</w:t>
            </w:r>
          </w:p>
        </w:tc>
        <w:tc>
          <w:tcPr>
            <w:tcW w:w="2069" w:type="dxa"/>
            <w:gridSpan w:val="2"/>
            <w:tcBorders>
              <w:top w:val="single" w:color="auto" w:sz="4" w:space="0"/>
              <w:left w:val="nil"/>
              <w:bottom w:val="single" w:color="auto" w:sz="4" w:space="0"/>
              <w:right w:val="single" w:color="auto" w:sz="8" w:space="0"/>
            </w:tcBorders>
            <w:noWrap w:val="0"/>
            <w:vAlign w:val="center"/>
          </w:tcPr>
          <w:p>
            <w:pPr>
              <w:widowControl/>
              <w:jc w:val="center"/>
              <w:rPr>
                <w:rFonts w:eastAsia="方正仿宋_GBK"/>
                <w:color w:val="000000"/>
                <w:spacing w:val="-2"/>
                <w:kern w:val="0"/>
                <w:szCs w:val="21"/>
              </w:rPr>
            </w:pPr>
            <w:r>
              <w:rPr>
                <w:rFonts w:hint="eastAsia" w:eastAsia="方正仿宋_GBK"/>
                <w:color w:val="000000"/>
                <w:spacing w:val="-2"/>
                <w:kern w:val="0"/>
                <w:szCs w:val="21"/>
              </w:rPr>
              <w:t>在与水接触</w:t>
            </w:r>
            <w:r>
              <w:rPr>
                <w:rFonts w:eastAsia="方正仿宋_GBK"/>
                <w:color w:val="000000"/>
                <w:spacing w:val="-2"/>
                <w:kern w:val="0"/>
                <w:szCs w:val="21"/>
              </w:rPr>
              <w:t>30min</w:t>
            </w:r>
            <w:r>
              <w:rPr>
                <w:rFonts w:hint="eastAsia" w:eastAsia="方正仿宋_GBK"/>
                <w:color w:val="000000"/>
                <w:spacing w:val="-2"/>
                <w:kern w:val="0"/>
                <w:szCs w:val="21"/>
              </w:rPr>
              <w:t>后，出厂水中余氯</w:t>
            </w:r>
            <w:r>
              <w:rPr>
                <w:rFonts w:eastAsia="方正仿宋_GBK"/>
                <w:color w:val="000000"/>
                <w:spacing w:val="-2"/>
                <w:kern w:val="0"/>
                <w:szCs w:val="21"/>
              </w:rPr>
              <w:t>≥0.3mg/L</w:t>
            </w:r>
          </w:p>
        </w:tc>
      </w:tr>
      <w:tr>
        <w:tblPrEx>
          <w:tblCellMar>
            <w:top w:w="0" w:type="dxa"/>
            <w:left w:w="108" w:type="dxa"/>
            <w:bottom w:w="0" w:type="dxa"/>
            <w:right w:w="108" w:type="dxa"/>
          </w:tblCellMar>
        </w:tblPrEx>
        <w:trPr>
          <w:trHeight w:val="600" w:hRule="atLeast"/>
        </w:trPr>
        <w:tc>
          <w:tcPr>
            <w:tcW w:w="495" w:type="dxa"/>
            <w:tcBorders>
              <w:top w:val="single" w:color="auto" w:sz="4" w:space="0"/>
              <w:left w:val="single" w:color="auto" w:sz="8" w:space="0"/>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r>
              <w:rPr>
                <w:rFonts w:eastAsia="方正仿宋_GBK"/>
                <w:color w:val="000000"/>
                <w:spacing w:val="-2"/>
                <w:kern w:val="0"/>
                <w:szCs w:val="21"/>
              </w:rPr>
              <w:t>9</w:t>
            </w:r>
          </w:p>
        </w:tc>
        <w:tc>
          <w:tcPr>
            <w:tcW w:w="1681" w:type="dxa"/>
            <w:tcBorders>
              <w:top w:val="single" w:color="auto" w:sz="4" w:space="0"/>
              <w:left w:val="nil"/>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r>
              <w:rPr>
                <w:rFonts w:hint="eastAsia" w:eastAsia="方正仿宋_GBK"/>
                <w:color w:val="000000"/>
                <w:spacing w:val="-2"/>
                <w:kern w:val="0"/>
                <w:szCs w:val="21"/>
              </w:rPr>
              <w:t>菌落总数</w:t>
            </w:r>
          </w:p>
        </w:tc>
        <w:tc>
          <w:tcPr>
            <w:tcW w:w="963" w:type="dxa"/>
            <w:gridSpan w:val="2"/>
            <w:tcBorders>
              <w:top w:val="single" w:color="auto" w:sz="4" w:space="0"/>
              <w:left w:val="nil"/>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r>
              <w:rPr>
                <w:rFonts w:eastAsia="方正仿宋_GBK"/>
                <w:color w:val="000000"/>
                <w:spacing w:val="-2"/>
                <w:kern w:val="0"/>
                <w:szCs w:val="21"/>
              </w:rPr>
              <w:t>CFU/mL</w:t>
            </w:r>
          </w:p>
        </w:tc>
        <w:tc>
          <w:tcPr>
            <w:tcW w:w="523" w:type="dxa"/>
            <w:tcBorders>
              <w:top w:val="single" w:color="auto" w:sz="4" w:space="0"/>
              <w:left w:val="nil"/>
              <w:bottom w:val="single" w:color="auto" w:sz="4" w:space="0"/>
              <w:right w:val="single" w:color="auto" w:sz="4" w:space="0"/>
            </w:tcBorders>
            <w:noWrap w:val="0"/>
            <w:vAlign w:val="bottom"/>
          </w:tcPr>
          <w:p>
            <w:pPr>
              <w:widowControl/>
              <w:jc w:val="left"/>
              <w:rPr>
                <w:rFonts w:eastAsia="方正仿宋_GBK"/>
                <w:color w:val="000000"/>
                <w:spacing w:val="-2"/>
                <w:kern w:val="0"/>
                <w:szCs w:val="21"/>
              </w:rPr>
            </w:pPr>
            <w:r>
              <w:rPr>
                <w:rFonts w:hint="eastAsia" w:eastAsia="方正仿宋_GBK"/>
                <w:color w:val="000000"/>
                <w:spacing w:val="-2"/>
                <w:kern w:val="0"/>
                <w:szCs w:val="21"/>
              </w:rPr>
              <w:t>　</w:t>
            </w:r>
          </w:p>
        </w:tc>
        <w:tc>
          <w:tcPr>
            <w:tcW w:w="2115" w:type="dxa"/>
            <w:gridSpan w:val="3"/>
            <w:tcBorders>
              <w:top w:val="single" w:color="auto" w:sz="4" w:space="0"/>
              <w:left w:val="nil"/>
              <w:bottom w:val="single" w:color="auto" w:sz="4" w:space="0"/>
              <w:right w:val="single" w:color="auto" w:sz="4" w:space="0"/>
            </w:tcBorders>
            <w:noWrap w:val="0"/>
            <w:vAlign w:val="bottom"/>
          </w:tcPr>
          <w:p>
            <w:pPr>
              <w:widowControl/>
              <w:jc w:val="left"/>
              <w:rPr>
                <w:rFonts w:eastAsia="方正仿宋_GBK"/>
                <w:color w:val="000000"/>
                <w:spacing w:val="-2"/>
                <w:kern w:val="0"/>
                <w:szCs w:val="21"/>
              </w:rPr>
            </w:pPr>
          </w:p>
        </w:tc>
        <w:tc>
          <w:tcPr>
            <w:tcW w:w="900" w:type="dxa"/>
            <w:tcBorders>
              <w:top w:val="single" w:color="auto" w:sz="4" w:space="0"/>
              <w:left w:val="nil"/>
              <w:bottom w:val="single" w:color="auto" w:sz="4" w:space="0"/>
              <w:right w:val="single" w:color="auto" w:sz="4" w:space="0"/>
            </w:tcBorders>
            <w:noWrap w:val="0"/>
            <w:vAlign w:val="center"/>
          </w:tcPr>
          <w:p>
            <w:pPr>
              <w:widowControl/>
              <w:jc w:val="right"/>
              <w:rPr>
                <w:rFonts w:eastAsia="方正仿宋_GBK"/>
                <w:color w:val="000000"/>
                <w:spacing w:val="-2"/>
                <w:kern w:val="0"/>
                <w:szCs w:val="21"/>
              </w:rPr>
            </w:pPr>
            <w:r>
              <w:rPr>
                <w:rFonts w:hint="eastAsia" w:eastAsia="方正仿宋_GBK"/>
                <w:color w:val="000000"/>
                <w:spacing w:val="-2"/>
                <w:kern w:val="0"/>
                <w:szCs w:val="21"/>
              </w:rPr>
              <w:t>　</w:t>
            </w:r>
          </w:p>
        </w:tc>
        <w:tc>
          <w:tcPr>
            <w:tcW w:w="2069" w:type="dxa"/>
            <w:gridSpan w:val="2"/>
            <w:tcBorders>
              <w:top w:val="single" w:color="auto" w:sz="4" w:space="0"/>
              <w:left w:val="nil"/>
              <w:bottom w:val="single" w:color="auto" w:sz="4" w:space="0"/>
              <w:right w:val="single" w:color="auto" w:sz="8" w:space="0"/>
            </w:tcBorders>
            <w:noWrap w:val="0"/>
            <w:vAlign w:val="center"/>
          </w:tcPr>
          <w:p>
            <w:pPr>
              <w:widowControl/>
              <w:jc w:val="center"/>
              <w:rPr>
                <w:rFonts w:eastAsia="方正仿宋_GBK"/>
                <w:color w:val="000000"/>
                <w:spacing w:val="-2"/>
                <w:kern w:val="0"/>
                <w:szCs w:val="21"/>
              </w:rPr>
            </w:pPr>
            <w:r>
              <w:rPr>
                <w:rFonts w:eastAsia="方正仿宋_GBK"/>
                <w:color w:val="000000"/>
                <w:spacing w:val="-2"/>
                <w:kern w:val="0"/>
                <w:szCs w:val="21"/>
              </w:rPr>
              <w:t>100</w:t>
            </w:r>
          </w:p>
        </w:tc>
      </w:tr>
      <w:tr>
        <w:tblPrEx>
          <w:tblCellMar>
            <w:top w:w="0" w:type="dxa"/>
            <w:left w:w="108" w:type="dxa"/>
            <w:bottom w:w="0" w:type="dxa"/>
            <w:right w:w="108" w:type="dxa"/>
          </w:tblCellMar>
        </w:tblPrEx>
        <w:trPr>
          <w:trHeight w:val="600" w:hRule="atLeast"/>
        </w:trPr>
        <w:tc>
          <w:tcPr>
            <w:tcW w:w="495" w:type="dxa"/>
            <w:tcBorders>
              <w:top w:val="single" w:color="auto" w:sz="4" w:space="0"/>
              <w:left w:val="single" w:color="auto" w:sz="8" w:space="0"/>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r>
              <w:rPr>
                <w:rFonts w:eastAsia="方正仿宋_GBK"/>
                <w:color w:val="000000"/>
                <w:spacing w:val="-2"/>
                <w:kern w:val="0"/>
                <w:szCs w:val="21"/>
              </w:rPr>
              <w:t>10</w:t>
            </w:r>
          </w:p>
        </w:tc>
        <w:tc>
          <w:tcPr>
            <w:tcW w:w="1681" w:type="dxa"/>
            <w:tcBorders>
              <w:top w:val="single" w:color="auto" w:sz="4" w:space="0"/>
              <w:left w:val="nil"/>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r>
              <w:rPr>
                <w:rFonts w:hint="eastAsia" w:eastAsia="方正仿宋_GBK"/>
                <w:color w:val="000000"/>
                <w:spacing w:val="-2"/>
                <w:kern w:val="0"/>
                <w:szCs w:val="21"/>
              </w:rPr>
              <w:t>总大肠菌群</w:t>
            </w:r>
          </w:p>
        </w:tc>
        <w:tc>
          <w:tcPr>
            <w:tcW w:w="963" w:type="dxa"/>
            <w:gridSpan w:val="2"/>
            <w:tcBorders>
              <w:top w:val="single" w:color="auto" w:sz="4" w:space="0"/>
              <w:left w:val="nil"/>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r>
              <w:rPr>
                <w:rFonts w:hint="eastAsia" w:eastAsia="方正仿宋_GBK"/>
                <w:color w:val="000000"/>
                <w:spacing w:val="-2"/>
                <w:kern w:val="0"/>
                <w:szCs w:val="21"/>
              </w:rPr>
              <w:t>　</w:t>
            </w:r>
          </w:p>
        </w:tc>
        <w:tc>
          <w:tcPr>
            <w:tcW w:w="523" w:type="dxa"/>
            <w:tcBorders>
              <w:top w:val="single" w:color="auto" w:sz="4" w:space="0"/>
              <w:left w:val="nil"/>
              <w:bottom w:val="single" w:color="auto" w:sz="4" w:space="0"/>
              <w:right w:val="single" w:color="auto" w:sz="4" w:space="0"/>
            </w:tcBorders>
            <w:noWrap w:val="0"/>
            <w:vAlign w:val="center"/>
          </w:tcPr>
          <w:p>
            <w:pPr>
              <w:widowControl/>
              <w:jc w:val="right"/>
              <w:rPr>
                <w:rFonts w:eastAsia="方正仿宋_GBK"/>
                <w:color w:val="000000"/>
                <w:spacing w:val="-2"/>
                <w:kern w:val="0"/>
                <w:szCs w:val="21"/>
              </w:rPr>
            </w:pPr>
          </w:p>
        </w:tc>
        <w:tc>
          <w:tcPr>
            <w:tcW w:w="2115" w:type="dxa"/>
            <w:gridSpan w:val="3"/>
            <w:tcBorders>
              <w:top w:val="single" w:color="auto" w:sz="4" w:space="0"/>
              <w:left w:val="nil"/>
              <w:bottom w:val="single" w:color="auto" w:sz="4" w:space="0"/>
              <w:right w:val="single" w:color="auto" w:sz="4" w:space="0"/>
            </w:tcBorders>
            <w:noWrap w:val="0"/>
            <w:vAlign w:val="center"/>
          </w:tcPr>
          <w:p>
            <w:pPr>
              <w:jc w:val="right"/>
              <w:rPr>
                <w:rFonts w:eastAsia="方正仿宋_GBK"/>
                <w:color w:val="000000"/>
                <w:spacing w:val="-2"/>
                <w:kern w:val="0"/>
                <w:szCs w:val="21"/>
              </w:rPr>
            </w:pPr>
            <w:r>
              <w:rPr>
                <w:rFonts w:hint="eastAsia" w:eastAsia="方正仿宋_GBK"/>
                <w:color w:val="000000"/>
                <w:spacing w:val="-2"/>
                <w:kern w:val="0"/>
                <w:szCs w:val="21"/>
              </w:rPr>
              <w:t>　</w:t>
            </w:r>
          </w:p>
        </w:tc>
        <w:tc>
          <w:tcPr>
            <w:tcW w:w="900" w:type="dxa"/>
            <w:tcBorders>
              <w:top w:val="single" w:color="auto" w:sz="4" w:space="0"/>
              <w:left w:val="nil"/>
              <w:bottom w:val="single" w:color="auto" w:sz="4" w:space="0"/>
              <w:right w:val="single" w:color="auto" w:sz="4" w:space="0"/>
            </w:tcBorders>
            <w:noWrap w:val="0"/>
            <w:vAlign w:val="center"/>
          </w:tcPr>
          <w:p>
            <w:pPr>
              <w:widowControl/>
              <w:ind w:right="420"/>
              <w:rPr>
                <w:rFonts w:eastAsia="方正仿宋_GBK"/>
                <w:color w:val="000000"/>
                <w:spacing w:val="-2"/>
                <w:kern w:val="0"/>
                <w:szCs w:val="21"/>
              </w:rPr>
            </w:pPr>
            <w:r>
              <w:rPr>
                <w:rFonts w:hint="eastAsia" w:eastAsia="方正仿宋_GBK"/>
                <w:color w:val="000000"/>
                <w:spacing w:val="-2"/>
                <w:kern w:val="0"/>
                <w:szCs w:val="21"/>
              </w:rPr>
              <w:t>　</w:t>
            </w:r>
          </w:p>
        </w:tc>
        <w:tc>
          <w:tcPr>
            <w:tcW w:w="2069" w:type="dxa"/>
            <w:gridSpan w:val="2"/>
            <w:tcBorders>
              <w:top w:val="single" w:color="auto" w:sz="4" w:space="0"/>
              <w:left w:val="nil"/>
              <w:bottom w:val="single" w:color="auto" w:sz="4" w:space="0"/>
              <w:right w:val="single" w:color="auto" w:sz="8" w:space="0"/>
            </w:tcBorders>
            <w:noWrap w:val="0"/>
            <w:vAlign w:val="center"/>
          </w:tcPr>
          <w:p>
            <w:pPr>
              <w:widowControl/>
              <w:jc w:val="center"/>
              <w:rPr>
                <w:rFonts w:eastAsia="方正仿宋_GBK"/>
                <w:color w:val="000000"/>
                <w:spacing w:val="-2"/>
                <w:kern w:val="0"/>
                <w:szCs w:val="21"/>
              </w:rPr>
            </w:pPr>
            <w:r>
              <w:rPr>
                <w:rFonts w:hint="eastAsia" w:eastAsia="方正仿宋_GBK"/>
                <w:color w:val="000000"/>
                <w:spacing w:val="-2"/>
                <w:kern w:val="0"/>
                <w:szCs w:val="21"/>
              </w:rPr>
              <w:t>不得检出</w:t>
            </w:r>
          </w:p>
        </w:tc>
      </w:tr>
      <w:tr>
        <w:tblPrEx>
          <w:tblCellMar>
            <w:top w:w="0" w:type="dxa"/>
            <w:left w:w="108" w:type="dxa"/>
            <w:bottom w:w="0" w:type="dxa"/>
            <w:right w:w="108" w:type="dxa"/>
          </w:tblCellMar>
        </w:tblPrEx>
        <w:trPr>
          <w:trHeight w:val="600" w:hRule="atLeast"/>
        </w:trPr>
        <w:tc>
          <w:tcPr>
            <w:tcW w:w="495" w:type="dxa"/>
            <w:tcBorders>
              <w:top w:val="single" w:color="auto" w:sz="4" w:space="0"/>
              <w:left w:val="single" w:color="auto" w:sz="8" w:space="0"/>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r>
              <w:rPr>
                <w:rFonts w:eastAsia="方正仿宋_GBK"/>
                <w:color w:val="000000"/>
                <w:spacing w:val="-2"/>
                <w:kern w:val="0"/>
                <w:szCs w:val="21"/>
              </w:rPr>
              <w:t>11</w:t>
            </w:r>
          </w:p>
        </w:tc>
        <w:tc>
          <w:tcPr>
            <w:tcW w:w="1681" w:type="dxa"/>
            <w:tcBorders>
              <w:top w:val="single" w:color="auto" w:sz="4" w:space="0"/>
              <w:left w:val="nil"/>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r>
              <w:rPr>
                <w:rFonts w:hint="eastAsia" w:eastAsia="方正仿宋_GBK"/>
                <w:color w:val="000000"/>
                <w:spacing w:val="-2"/>
                <w:kern w:val="0"/>
                <w:szCs w:val="21"/>
              </w:rPr>
              <w:t>耐热大肠菌群</w:t>
            </w:r>
            <w:r>
              <w:rPr>
                <w:rFonts w:eastAsia="方正仿宋_GBK"/>
                <w:color w:val="000000"/>
                <w:spacing w:val="-2"/>
                <w:kern w:val="0"/>
                <w:szCs w:val="21"/>
              </w:rPr>
              <w:t>(</w:t>
            </w:r>
            <w:r>
              <w:rPr>
                <w:rFonts w:hint="eastAsia" w:eastAsia="方正仿宋_GBK"/>
                <w:color w:val="000000"/>
                <w:spacing w:val="-2"/>
                <w:kern w:val="0"/>
                <w:szCs w:val="21"/>
              </w:rPr>
              <w:t>粪大肠菌群</w:t>
            </w:r>
            <w:r>
              <w:rPr>
                <w:rFonts w:eastAsia="方正仿宋_GBK"/>
                <w:color w:val="000000"/>
                <w:spacing w:val="-2"/>
                <w:kern w:val="0"/>
                <w:szCs w:val="21"/>
              </w:rPr>
              <w:t>)</w:t>
            </w:r>
          </w:p>
        </w:tc>
        <w:tc>
          <w:tcPr>
            <w:tcW w:w="963" w:type="dxa"/>
            <w:gridSpan w:val="2"/>
            <w:tcBorders>
              <w:top w:val="single" w:color="auto" w:sz="4" w:space="0"/>
              <w:left w:val="nil"/>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r>
              <w:rPr>
                <w:rFonts w:hint="eastAsia" w:eastAsia="方正仿宋_GBK"/>
                <w:color w:val="000000"/>
                <w:spacing w:val="-2"/>
                <w:kern w:val="0"/>
                <w:szCs w:val="21"/>
              </w:rPr>
              <w:t>　</w:t>
            </w:r>
          </w:p>
        </w:tc>
        <w:tc>
          <w:tcPr>
            <w:tcW w:w="523" w:type="dxa"/>
            <w:tcBorders>
              <w:top w:val="single" w:color="auto" w:sz="4" w:space="0"/>
              <w:left w:val="nil"/>
              <w:bottom w:val="single" w:color="auto" w:sz="4" w:space="0"/>
              <w:right w:val="single" w:color="auto" w:sz="4" w:space="0"/>
            </w:tcBorders>
            <w:noWrap w:val="0"/>
            <w:vAlign w:val="center"/>
          </w:tcPr>
          <w:p>
            <w:pPr>
              <w:widowControl/>
              <w:jc w:val="right"/>
              <w:rPr>
                <w:rFonts w:eastAsia="方正仿宋_GBK"/>
                <w:color w:val="000000"/>
                <w:spacing w:val="-2"/>
                <w:kern w:val="0"/>
                <w:szCs w:val="21"/>
              </w:rPr>
            </w:pPr>
          </w:p>
        </w:tc>
        <w:tc>
          <w:tcPr>
            <w:tcW w:w="2115" w:type="dxa"/>
            <w:gridSpan w:val="3"/>
            <w:tcBorders>
              <w:top w:val="single" w:color="auto" w:sz="4" w:space="0"/>
              <w:left w:val="nil"/>
              <w:bottom w:val="single" w:color="auto" w:sz="4" w:space="0"/>
              <w:right w:val="single" w:color="auto" w:sz="4" w:space="0"/>
            </w:tcBorders>
            <w:noWrap w:val="0"/>
            <w:vAlign w:val="center"/>
          </w:tcPr>
          <w:p>
            <w:pPr>
              <w:jc w:val="right"/>
              <w:rPr>
                <w:rFonts w:eastAsia="方正仿宋_GBK"/>
                <w:color w:val="000000"/>
                <w:spacing w:val="-2"/>
                <w:kern w:val="0"/>
                <w:szCs w:val="21"/>
              </w:rPr>
            </w:pPr>
            <w:r>
              <w:rPr>
                <w:rFonts w:hint="eastAsia" w:eastAsia="方正仿宋_GBK"/>
                <w:color w:val="000000"/>
                <w:spacing w:val="-2"/>
                <w:kern w:val="0"/>
                <w:szCs w:val="21"/>
              </w:rPr>
              <w:t>　</w:t>
            </w:r>
          </w:p>
        </w:tc>
        <w:tc>
          <w:tcPr>
            <w:tcW w:w="900" w:type="dxa"/>
            <w:tcBorders>
              <w:top w:val="single" w:color="auto" w:sz="4" w:space="0"/>
              <w:left w:val="nil"/>
              <w:bottom w:val="single" w:color="auto" w:sz="4" w:space="0"/>
              <w:right w:val="single" w:color="auto" w:sz="4" w:space="0"/>
            </w:tcBorders>
            <w:noWrap w:val="0"/>
            <w:vAlign w:val="bottom"/>
          </w:tcPr>
          <w:p>
            <w:pPr>
              <w:widowControl/>
              <w:jc w:val="left"/>
              <w:rPr>
                <w:rFonts w:eastAsia="方正仿宋_GBK"/>
                <w:color w:val="000000"/>
                <w:spacing w:val="-2"/>
                <w:kern w:val="0"/>
                <w:szCs w:val="21"/>
              </w:rPr>
            </w:pPr>
          </w:p>
        </w:tc>
        <w:tc>
          <w:tcPr>
            <w:tcW w:w="2069" w:type="dxa"/>
            <w:gridSpan w:val="2"/>
            <w:tcBorders>
              <w:top w:val="single" w:color="auto" w:sz="4" w:space="0"/>
              <w:left w:val="nil"/>
              <w:bottom w:val="single" w:color="auto" w:sz="4" w:space="0"/>
              <w:right w:val="single" w:color="auto" w:sz="8" w:space="0"/>
            </w:tcBorders>
            <w:noWrap w:val="0"/>
            <w:vAlign w:val="center"/>
          </w:tcPr>
          <w:p>
            <w:pPr>
              <w:widowControl/>
              <w:jc w:val="center"/>
              <w:rPr>
                <w:rFonts w:eastAsia="方正仿宋_GBK"/>
                <w:color w:val="000000"/>
                <w:spacing w:val="-2"/>
                <w:kern w:val="0"/>
                <w:szCs w:val="21"/>
              </w:rPr>
            </w:pPr>
            <w:r>
              <w:rPr>
                <w:rFonts w:hint="eastAsia" w:eastAsia="方正仿宋_GBK"/>
                <w:color w:val="000000"/>
                <w:spacing w:val="-2"/>
                <w:kern w:val="0"/>
                <w:szCs w:val="21"/>
              </w:rPr>
              <w:t>不得检出</w:t>
            </w:r>
          </w:p>
        </w:tc>
      </w:tr>
      <w:tr>
        <w:tblPrEx>
          <w:tblCellMar>
            <w:top w:w="0" w:type="dxa"/>
            <w:left w:w="108" w:type="dxa"/>
            <w:bottom w:w="0" w:type="dxa"/>
            <w:right w:w="108" w:type="dxa"/>
          </w:tblCellMar>
        </w:tblPrEx>
        <w:trPr>
          <w:trHeight w:val="567" w:hRule="atLeast"/>
        </w:trPr>
        <w:tc>
          <w:tcPr>
            <w:tcW w:w="495" w:type="dxa"/>
            <w:tcBorders>
              <w:top w:val="single" w:color="auto" w:sz="4" w:space="0"/>
              <w:left w:val="single" w:color="auto" w:sz="8" w:space="0"/>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r>
              <w:rPr>
                <w:rFonts w:eastAsia="方正仿宋_GBK"/>
                <w:color w:val="000000"/>
                <w:spacing w:val="-2"/>
                <w:kern w:val="0"/>
                <w:szCs w:val="21"/>
              </w:rPr>
              <w:t>12</w:t>
            </w:r>
          </w:p>
        </w:tc>
        <w:tc>
          <w:tcPr>
            <w:tcW w:w="1681" w:type="dxa"/>
            <w:tcBorders>
              <w:top w:val="single" w:color="auto" w:sz="4" w:space="0"/>
              <w:left w:val="nil"/>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p>
        </w:tc>
        <w:tc>
          <w:tcPr>
            <w:tcW w:w="963" w:type="dxa"/>
            <w:gridSpan w:val="2"/>
            <w:tcBorders>
              <w:top w:val="single" w:color="auto" w:sz="4" w:space="0"/>
              <w:left w:val="nil"/>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p>
        </w:tc>
        <w:tc>
          <w:tcPr>
            <w:tcW w:w="523" w:type="dxa"/>
            <w:tcBorders>
              <w:top w:val="single" w:color="auto" w:sz="4" w:space="0"/>
              <w:left w:val="nil"/>
              <w:bottom w:val="single" w:color="auto" w:sz="4" w:space="0"/>
              <w:right w:val="single" w:color="auto" w:sz="4" w:space="0"/>
            </w:tcBorders>
            <w:noWrap w:val="0"/>
            <w:vAlign w:val="center"/>
          </w:tcPr>
          <w:p>
            <w:pPr>
              <w:widowControl/>
              <w:jc w:val="right"/>
              <w:rPr>
                <w:rFonts w:eastAsia="方正仿宋_GBK"/>
                <w:color w:val="000000"/>
                <w:spacing w:val="-2"/>
                <w:kern w:val="0"/>
                <w:szCs w:val="21"/>
              </w:rPr>
            </w:pPr>
          </w:p>
        </w:tc>
        <w:tc>
          <w:tcPr>
            <w:tcW w:w="2115" w:type="dxa"/>
            <w:gridSpan w:val="3"/>
            <w:tcBorders>
              <w:top w:val="single" w:color="auto" w:sz="4" w:space="0"/>
              <w:left w:val="nil"/>
              <w:bottom w:val="single" w:color="auto" w:sz="4" w:space="0"/>
              <w:right w:val="single" w:color="auto" w:sz="4" w:space="0"/>
            </w:tcBorders>
            <w:noWrap w:val="0"/>
            <w:vAlign w:val="center"/>
          </w:tcPr>
          <w:p>
            <w:pPr>
              <w:widowControl/>
              <w:jc w:val="right"/>
              <w:rPr>
                <w:rFonts w:eastAsia="方正仿宋_GBK"/>
                <w:color w:val="000000"/>
                <w:spacing w:val="-2"/>
                <w:kern w:val="0"/>
                <w:szCs w:val="21"/>
              </w:rPr>
            </w:pPr>
          </w:p>
        </w:tc>
        <w:tc>
          <w:tcPr>
            <w:tcW w:w="900" w:type="dxa"/>
            <w:tcBorders>
              <w:top w:val="single" w:color="auto" w:sz="4" w:space="0"/>
              <w:left w:val="nil"/>
              <w:bottom w:val="single" w:color="auto" w:sz="4" w:space="0"/>
              <w:right w:val="single" w:color="auto" w:sz="4" w:space="0"/>
            </w:tcBorders>
            <w:noWrap w:val="0"/>
            <w:vAlign w:val="center"/>
          </w:tcPr>
          <w:p>
            <w:pPr>
              <w:widowControl/>
              <w:jc w:val="right"/>
              <w:rPr>
                <w:rFonts w:eastAsia="方正仿宋_GBK"/>
                <w:color w:val="000000"/>
                <w:spacing w:val="-2"/>
                <w:kern w:val="0"/>
                <w:szCs w:val="21"/>
              </w:rPr>
            </w:pPr>
          </w:p>
        </w:tc>
        <w:tc>
          <w:tcPr>
            <w:tcW w:w="2069" w:type="dxa"/>
            <w:gridSpan w:val="2"/>
            <w:tcBorders>
              <w:top w:val="single" w:color="auto" w:sz="4" w:space="0"/>
              <w:left w:val="nil"/>
              <w:bottom w:val="single" w:color="auto" w:sz="4" w:space="0"/>
              <w:right w:val="single" w:color="auto" w:sz="8" w:space="0"/>
            </w:tcBorders>
            <w:noWrap w:val="0"/>
            <w:vAlign w:val="center"/>
          </w:tcPr>
          <w:p>
            <w:pPr>
              <w:widowControl/>
              <w:jc w:val="center"/>
              <w:rPr>
                <w:rFonts w:eastAsia="方正仿宋_GBK"/>
                <w:color w:val="000000"/>
                <w:spacing w:val="-2"/>
                <w:kern w:val="0"/>
                <w:szCs w:val="21"/>
              </w:rPr>
            </w:pPr>
          </w:p>
        </w:tc>
      </w:tr>
      <w:tr>
        <w:tblPrEx>
          <w:tblCellMar>
            <w:top w:w="0" w:type="dxa"/>
            <w:left w:w="108" w:type="dxa"/>
            <w:bottom w:w="0" w:type="dxa"/>
            <w:right w:w="108" w:type="dxa"/>
          </w:tblCellMar>
        </w:tblPrEx>
        <w:trPr>
          <w:trHeight w:val="567" w:hRule="atLeast"/>
        </w:trPr>
        <w:tc>
          <w:tcPr>
            <w:tcW w:w="495" w:type="dxa"/>
            <w:tcBorders>
              <w:top w:val="single" w:color="auto" w:sz="4" w:space="0"/>
              <w:left w:val="single" w:color="auto" w:sz="8" w:space="0"/>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r>
              <w:rPr>
                <w:rFonts w:eastAsia="方正仿宋_GBK"/>
                <w:color w:val="000000"/>
                <w:spacing w:val="-2"/>
                <w:kern w:val="0"/>
                <w:szCs w:val="21"/>
              </w:rPr>
              <w:t>13</w:t>
            </w:r>
          </w:p>
        </w:tc>
        <w:tc>
          <w:tcPr>
            <w:tcW w:w="1681" w:type="dxa"/>
            <w:tcBorders>
              <w:top w:val="single" w:color="auto" w:sz="4" w:space="0"/>
              <w:left w:val="nil"/>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p>
        </w:tc>
        <w:tc>
          <w:tcPr>
            <w:tcW w:w="963" w:type="dxa"/>
            <w:gridSpan w:val="2"/>
            <w:tcBorders>
              <w:top w:val="single" w:color="auto" w:sz="4" w:space="0"/>
              <w:left w:val="nil"/>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p>
        </w:tc>
        <w:tc>
          <w:tcPr>
            <w:tcW w:w="523" w:type="dxa"/>
            <w:tcBorders>
              <w:top w:val="single" w:color="auto" w:sz="4" w:space="0"/>
              <w:left w:val="nil"/>
              <w:bottom w:val="single" w:color="auto" w:sz="4" w:space="0"/>
              <w:right w:val="single" w:color="auto" w:sz="4" w:space="0"/>
            </w:tcBorders>
            <w:noWrap w:val="0"/>
            <w:vAlign w:val="bottom"/>
          </w:tcPr>
          <w:p>
            <w:pPr>
              <w:widowControl/>
              <w:jc w:val="left"/>
              <w:rPr>
                <w:rFonts w:eastAsia="方正仿宋_GBK"/>
                <w:color w:val="000000"/>
                <w:spacing w:val="-2"/>
                <w:kern w:val="0"/>
                <w:szCs w:val="21"/>
              </w:rPr>
            </w:pPr>
          </w:p>
        </w:tc>
        <w:tc>
          <w:tcPr>
            <w:tcW w:w="2115" w:type="dxa"/>
            <w:gridSpan w:val="3"/>
            <w:tcBorders>
              <w:top w:val="single" w:color="auto" w:sz="4" w:space="0"/>
              <w:left w:val="nil"/>
              <w:bottom w:val="single" w:color="auto" w:sz="4" w:space="0"/>
              <w:right w:val="single" w:color="auto" w:sz="4" w:space="0"/>
            </w:tcBorders>
            <w:noWrap w:val="0"/>
            <w:vAlign w:val="bottom"/>
          </w:tcPr>
          <w:p>
            <w:pPr>
              <w:widowControl/>
              <w:jc w:val="left"/>
              <w:rPr>
                <w:rFonts w:eastAsia="方正仿宋_GBK"/>
                <w:color w:val="000000"/>
                <w:spacing w:val="-2"/>
                <w:kern w:val="0"/>
                <w:szCs w:val="21"/>
              </w:rPr>
            </w:pPr>
          </w:p>
        </w:tc>
        <w:tc>
          <w:tcPr>
            <w:tcW w:w="900" w:type="dxa"/>
            <w:tcBorders>
              <w:top w:val="single" w:color="auto" w:sz="4" w:space="0"/>
              <w:left w:val="nil"/>
              <w:bottom w:val="single" w:color="auto" w:sz="4" w:space="0"/>
              <w:right w:val="single" w:color="auto" w:sz="4" w:space="0"/>
            </w:tcBorders>
            <w:noWrap w:val="0"/>
            <w:vAlign w:val="center"/>
          </w:tcPr>
          <w:p>
            <w:pPr>
              <w:widowControl/>
              <w:jc w:val="right"/>
              <w:rPr>
                <w:rFonts w:eastAsia="方正仿宋_GBK"/>
                <w:color w:val="000000"/>
                <w:spacing w:val="-2"/>
                <w:kern w:val="0"/>
                <w:szCs w:val="21"/>
              </w:rPr>
            </w:pPr>
          </w:p>
        </w:tc>
        <w:tc>
          <w:tcPr>
            <w:tcW w:w="2069" w:type="dxa"/>
            <w:gridSpan w:val="2"/>
            <w:tcBorders>
              <w:top w:val="single" w:color="auto" w:sz="4" w:space="0"/>
              <w:left w:val="nil"/>
              <w:bottom w:val="single" w:color="auto" w:sz="4" w:space="0"/>
              <w:right w:val="single" w:color="auto" w:sz="8" w:space="0"/>
            </w:tcBorders>
            <w:noWrap w:val="0"/>
            <w:vAlign w:val="center"/>
          </w:tcPr>
          <w:p>
            <w:pPr>
              <w:widowControl/>
              <w:jc w:val="center"/>
              <w:rPr>
                <w:rFonts w:eastAsia="方正仿宋_GBK"/>
                <w:color w:val="000000"/>
                <w:spacing w:val="-2"/>
                <w:kern w:val="0"/>
                <w:szCs w:val="21"/>
              </w:rPr>
            </w:pPr>
          </w:p>
        </w:tc>
      </w:tr>
      <w:tr>
        <w:tblPrEx>
          <w:tblCellMar>
            <w:top w:w="0" w:type="dxa"/>
            <w:left w:w="108" w:type="dxa"/>
            <w:bottom w:w="0" w:type="dxa"/>
            <w:right w:w="108" w:type="dxa"/>
          </w:tblCellMar>
        </w:tblPrEx>
        <w:trPr>
          <w:trHeight w:val="567" w:hRule="atLeast"/>
        </w:trPr>
        <w:tc>
          <w:tcPr>
            <w:tcW w:w="495" w:type="dxa"/>
            <w:tcBorders>
              <w:top w:val="single" w:color="auto" w:sz="4" w:space="0"/>
              <w:left w:val="single" w:color="auto" w:sz="8" w:space="0"/>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r>
              <w:rPr>
                <w:rFonts w:eastAsia="方正仿宋_GBK"/>
                <w:color w:val="000000"/>
                <w:spacing w:val="-2"/>
                <w:kern w:val="0"/>
                <w:szCs w:val="21"/>
              </w:rPr>
              <w:t>14</w:t>
            </w:r>
          </w:p>
        </w:tc>
        <w:tc>
          <w:tcPr>
            <w:tcW w:w="1681" w:type="dxa"/>
            <w:tcBorders>
              <w:top w:val="single" w:color="auto" w:sz="4" w:space="0"/>
              <w:left w:val="nil"/>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p>
        </w:tc>
        <w:tc>
          <w:tcPr>
            <w:tcW w:w="963" w:type="dxa"/>
            <w:gridSpan w:val="2"/>
            <w:tcBorders>
              <w:top w:val="single" w:color="auto" w:sz="4" w:space="0"/>
              <w:left w:val="nil"/>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p>
        </w:tc>
        <w:tc>
          <w:tcPr>
            <w:tcW w:w="523" w:type="dxa"/>
            <w:tcBorders>
              <w:top w:val="single" w:color="auto" w:sz="4" w:space="0"/>
              <w:left w:val="nil"/>
              <w:bottom w:val="single" w:color="auto" w:sz="4" w:space="0"/>
              <w:right w:val="single" w:color="auto" w:sz="4" w:space="0"/>
            </w:tcBorders>
            <w:noWrap w:val="0"/>
            <w:vAlign w:val="center"/>
          </w:tcPr>
          <w:p>
            <w:pPr>
              <w:widowControl/>
              <w:jc w:val="right"/>
              <w:rPr>
                <w:rFonts w:eastAsia="方正仿宋_GBK"/>
                <w:color w:val="000000"/>
                <w:spacing w:val="-2"/>
                <w:kern w:val="0"/>
                <w:szCs w:val="21"/>
              </w:rPr>
            </w:pPr>
          </w:p>
        </w:tc>
        <w:tc>
          <w:tcPr>
            <w:tcW w:w="2115" w:type="dxa"/>
            <w:gridSpan w:val="3"/>
            <w:tcBorders>
              <w:top w:val="single" w:color="auto" w:sz="4" w:space="0"/>
              <w:left w:val="nil"/>
              <w:bottom w:val="single" w:color="auto" w:sz="4" w:space="0"/>
              <w:right w:val="single" w:color="auto" w:sz="4" w:space="0"/>
            </w:tcBorders>
            <w:noWrap w:val="0"/>
            <w:vAlign w:val="center"/>
          </w:tcPr>
          <w:p>
            <w:pPr>
              <w:widowControl/>
              <w:jc w:val="right"/>
              <w:rPr>
                <w:rFonts w:eastAsia="方正仿宋_GBK"/>
                <w:color w:val="000000"/>
                <w:spacing w:val="-2"/>
                <w:kern w:val="0"/>
                <w:szCs w:val="21"/>
              </w:rPr>
            </w:pPr>
          </w:p>
        </w:tc>
        <w:tc>
          <w:tcPr>
            <w:tcW w:w="900" w:type="dxa"/>
            <w:tcBorders>
              <w:top w:val="single" w:color="auto" w:sz="4" w:space="0"/>
              <w:left w:val="nil"/>
              <w:bottom w:val="single" w:color="auto" w:sz="4" w:space="0"/>
              <w:right w:val="single" w:color="auto" w:sz="4" w:space="0"/>
            </w:tcBorders>
            <w:noWrap w:val="0"/>
            <w:vAlign w:val="center"/>
          </w:tcPr>
          <w:p>
            <w:pPr>
              <w:widowControl/>
              <w:ind w:right="420"/>
              <w:rPr>
                <w:rFonts w:eastAsia="方正仿宋_GBK"/>
                <w:color w:val="000000"/>
                <w:spacing w:val="-2"/>
                <w:kern w:val="0"/>
                <w:szCs w:val="21"/>
              </w:rPr>
            </w:pPr>
          </w:p>
        </w:tc>
        <w:tc>
          <w:tcPr>
            <w:tcW w:w="2069" w:type="dxa"/>
            <w:gridSpan w:val="2"/>
            <w:tcBorders>
              <w:top w:val="single" w:color="auto" w:sz="4" w:space="0"/>
              <w:left w:val="nil"/>
              <w:bottom w:val="single" w:color="auto" w:sz="4" w:space="0"/>
              <w:right w:val="single" w:color="auto" w:sz="8" w:space="0"/>
            </w:tcBorders>
            <w:noWrap w:val="0"/>
            <w:vAlign w:val="center"/>
          </w:tcPr>
          <w:p>
            <w:pPr>
              <w:widowControl/>
              <w:jc w:val="center"/>
              <w:rPr>
                <w:rFonts w:eastAsia="方正仿宋_GBK"/>
                <w:color w:val="000000"/>
                <w:spacing w:val="-2"/>
                <w:kern w:val="0"/>
                <w:szCs w:val="21"/>
              </w:rPr>
            </w:pPr>
          </w:p>
        </w:tc>
      </w:tr>
      <w:tr>
        <w:tblPrEx>
          <w:tblCellMar>
            <w:top w:w="0" w:type="dxa"/>
            <w:left w:w="108" w:type="dxa"/>
            <w:bottom w:w="0" w:type="dxa"/>
            <w:right w:w="108" w:type="dxa"/>
          </w:tblCellMar>
        </w:tblPrEx>
        <w:trPr>
          <w:trHeight w:val="567" w:hRule="atLeast"/>
        </w:trPr>
        <w:tc>
          <w:tcPr>
            <w:tcW w:w="495" w:type="dxa"/>
            <w:tcBorders>
              <w:top w:val="single" w:color="auto" w:sz="4" w:space="0"/>
              <w:left w:val="single" w:color="auto" w:sz="8" w:space="0"/>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r>
              <w:rPr>
                <w:rFonts w:eastAsia="方正仿宋_GBK"/>
                <w:color w:val="000000"/>
                <w:spacing w:val="-2"/>
                <w:kern w:val="0"/>
                <w:szCs w:val="21"/>
              </w:rPr>
              <w:t>15</w:t>
            </w:r>
          </w:p>
        </w:tc>
        <w:tc>
          <w:tcPr>
            <w:tcW w:w="1681" w:type="dxa"/>
            <w:tcBorders>
              <w:top w:val="single" w:color="auto" w:sz="4" w:space="0"/>
              <w:left w:val="nil"/>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p>
        </w:tc>
        <w:tc>
          <w:tcPr>
            <w:tcW w:w="963" w:type="dxa"/>
            <w:gridSpan w:val="2"/>
            <w:tcBorders>
              <w:top w:val="single" w:color="auto" w:sz="4" w:space="0"/>
              <w:left w:val="nil"/>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p>
        </w:tc>
        <w:tc>
          <w:tcPr>
            <w:tcW w:w="523" w:type="dxa"/>
            <w:tcBorders>
              <w:top w:val="single" w:color="auto" w:sz="4" w:space="0"/>
              <w:left w:val="nil"/>
              <w:bottom w:val="single" w:color="auto" w:sz="4" w:space="0"/>
              <w:right w:val="single" w:color="auto" w:sz="4" w:space="0"/>
            </w:tcBorders>
            <w:noWrap w:val="0"/>
            <w:vAlign w:val="center"/>
          </w:tcPr>
          <w:p>
            <w:pPr>
              <w:widowControl/>
              <w:jc w:val="right"/>
              <w:rPr>
                <w:rFonts w:eastAsia="方正仿宋_GBK"/>
                <w:color w:val="000000"/>
                <w:spacing w:val="-2"/>
                <w:kern w:val="0"/>
                <w:szCs w:val="21"/>
              </w:rPr>
            </w:pPr>
          </w:p>
        </w:tc>
        <w:tc>
          <w:tcPr>
            <w:tcW w:w="2115" w:type="dxa"/>
            <w:gridSpan w:val="3"/>
            <w:tcBorders>
              <w:top w:val="single" w:color="auto" w:sz="4" w:space="0"/>
              <w:left w:val="nil"/>
              <w:bottom w:val="single" w:color="auto" w:sz="4" w:space="0"/>
              <w:right w:val="single" w:color="auto" w:sz="4" w:space="0"/>
            </w:tcBorders>
            <w:noWrap w:val="0"/>
            <w:vAlign w:val="center"/>
          </w:tcPr>
          <w:p>
            <w:pPr>
              <w:widowControl/>
              <w:jc w:val="right"/>
              <w:rPr>
                <w:rFonts w:eastAsia="方正仿宋_GBK"/>
                <w:color w:val="000000"/>
                <w:spacing w:val="-2"/>
                <w:kern w:val="0"/>
                <w:szCs w:val="21"/>
              </w:rPr>
            </w:pPr>
          </w:p>
        </w:tc>
        <w:tc>
          <w:tcPr>
            <w:tcW w:w="900" w:type="dxa"/>
            <w:tcBorders>
              <w:top w:val="single" w:color="auto" w:sz="4" w:space="0"/>
              <w:left w:val="nil"/>
              <w:bottom w:val="single" w:color="auto" w:sz="4" w:space="0"/>
              <w:right w:val="single" w:color="auto" w:sz="4" w:space="0"/>
            </w:tcBorders>
            <w:noWrap w:val="0"/>
            <w:vAlign w:val="bottom"/>
          </w:tcPr>
          <w:p>
            <w:pPr>
              <w:widowControl/>
              <w:jc w:val="left"/>
              <w:rPr>
                <w:rFonts w:eastAsia="方正仿宋_GBK"/>
                <w:color w:val="000000"/>
                <w:spacing w:val="-2"/>
                <w:kern w:val="0"/>
                <w:szCs w:val="21"/>
              </w:rPr>
            </w:pPr>
          </w:p>
        </w:tc>
        <w:tc>
          <w:tcPr>
            <w:tcW w:w="2069" w:type="dxa"/>
            <w:gridSpan w:val="2"/>
            <w:tcBorders>
              <w:top w:val="single" w:color="auto" w:sz="4" w:space="0"/>
              <w:left w:val="single" w:color="auto" w:sz="4" w:space="0"/>
              <w:bottom w:val="single" w:color="auto" w:sz="4" w:space="0"/>
              <w:right w:val="single" w:color="auto" w:sz="8" w:space="0"/>
            </w:tcBorders>
            <w:noWrap w:val="0"/>
            <w:vAlign w:val="center"/>
          </w:tcPr>
          <w:p>
            <w:pPr>
              <w:widowControl/>
              <w:jc w:val="center"/>
              <w:rPr>
                <w:rFonts w:eastAsia="方正仿宋_GBK"/>
                <w:color w:val="000000"/>
                <w:spacing w:val="-2"/>
                <w:kern w:val="0"/>
                <w:szCs w:val="21"/>
              </w:rPr>
            </w:pPr>
          </w:p>
        </w:tc>
      </w:tr>
      <w:tr>
        <w:tblPrEx>
          <w:tblCellMar>
            <w:top w:w="0" w:type="dxa"/>
            <w:left w:w="108" w:type="dxa"/>
            <w:bottom w:w="0" w:type="dxa"/>
            <w:right w:w="108" w:type="dxa"/>
          </w:tblCellMar>
        </w:tblPrEx>
        <w:trPr>
          <w:trHeight w:val="567" w:hRule="atLeast"/>
        </w:trPr>
        <w:tc>
          <w:tcPr>
            <w:tcW w:w="495" w:type="dxa"/>
            <w:tcBorders>
              <w:top w:val="single" w:color="auto" w:sz="4" w:space="0"/>
              <w:left w:val="single" w:color="auto" w:sz="8" w:space="0"/>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r>
              <w:rPr>
                <w:rFonts w:eastAsia="方正仿宋_GBK"/>
                <w:color w:val="000000"/>
                <w:spacing w:val="-2"/>
                <w:kern w:val="0"/>
                <w:szCs w:val="21"/>
              </w:rPr>
              <w:t>16</w:t>
            </w:r>
          </w:p>
        </w:tc>
        <w:tc>
          <w:tcPr>
            <w:tcW w:w="1681" w:type="dxa"/>
            <w:tcBorders>
              <w:top w:val="single" w:color="auto" w:sz="4" w:space="0"/>
              <w:left w:val="nil"/>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p>
        </w:tc>
        <w:tc>
          <w:tcPr>
            <w:tcW w:w="963" w:type="dxa"/>
            <w:gridSpan w:val="2"/>
            <w:tcBorders>
              <w:top w:val="single" w:color="auto" w:sz="4" w:space="0"/>
              <w:left w:val="nil"/>
              <w:bottom w:val="single" w:color="auto" w:sz="4" w:space="0"/>
              <w:right w:val="single" w:color="auto" w:sz="4" w:space="0"/>
            </w:tcBorders>
            <w:noWrap w:val="0"/>
            <w:vAlign w:val="center"/>
          </w:tcPr>
          <w:p>
            <w:pPr>
              <w:widowControl/>
              <w:jc w:val="center"/>
              <w:rPr>
                <w:rFonts w:eastAsia="方正仿宋_GBK"/>
                <w:color w:val="000000"/>
                <w:spacing w:val="-2"/>
                <w:kern w:val="0"/>
                <w:szCs w:val="21"/>
              </w:rPr>
            </w:pPr>
          </w:p>
        </w:tc>
        <w:tc>
          <w:tcPr>
            <w:tcW w:w="523" w:type="dxa"/>
            <w:tcBorders>
              <w:top w:val="single" w:color="auto" w:sz="4" w:space="0"/>
              <w:left w:val="nil"/>
              <w:bottom w:val="single" w:color="auto" w:sz="4" w:space="0"/>
              <w:right w:val="single" w:color="auto" w:sz="4" w:space="0"/>
            </w:tcBorders>
            <w:noWrap w:val="0"/>
            <w:vAlign w:val="bottom"/>
          </w:tcPr>
          <w:p>
            <w:pPr>
              <w:widowControl/>
              <w:jc w:val="left"/>
              <w:rPr>
                <w:rFonts w:eastAsia="方正仿宋_GBK"/>
                <w:color w:val="000000"/>
                <w:spacing w:val="-2"/>
                <w:kern w:val="0"/>
                <w:szCs w:val="21"/>
              </w:rPr>
            </w:pPr>
            <w:r>
              <w:rPr>
                <w:rFonts w:hint="eastAsia" w:eastAsia="方正仿宋_GBK"/>
                <w:color w:val="000000"/>
                <w:spacing w:val="-2"/>
                <w:kern w:val="0"/>
                <w:szCs w:val="21"/>
              </w:rPr>
              <w:t>　</w:t>
            </w:r>
          </w:p>
        </w:tc>
        <w:tc>
          <w:tcPr>
            <w:tcW w:w="2115" w:type="dxa"/>
            <w:gridSpan w:val="3"/>
            <w:tcBorders>
              <w:top w:val="single" w:color="auto" w:sz="4" w:space="0"/>
              <w:left w:val="nil"/>
              <w:bottom w:val="single" w:color="auto" w:sz="4" w:space="0"/>
              <w:right w:val="single" w:color="auto" w:sz="4" w:space="0"/>
            </w:tcBorders>
            <w:noWrap w:val="0"/>
            <w:vAlign w:val="bottom"/>
          </w:tcPr>
          <w:p>
            <w:pPr>
              <w:widowControl/>
              <w:jc w:val="left"/>
              <w:rPr>
                <w:rFonts w:eastAsia="方正仿宋_GBK"/>
                <w:color w:val="000000"/>
                <w:spacing w:val="-2"/>
                <w:kern w:val="0"/>
                <w:szCs w:val="21"/>
              </w:rPr>
            </w:pPr>
          </w:p>
        </w:tc>
        <w:tc>
          <w:tcPr>
            <w:tcW w:w="900" w:type="dxa"/>
            <w:tcBorders>
              <w:top w:val="single" w:color="auto" w:sz="4" w:space="0"/>
              <w:left w:val="nil"/>
              <w:bottom w:val="single" w:color="auto" w:sz="4" w:space="0"/>
              <w:right w:val="single" w:color="auto" w:sz="4" w:space="0"/>
            </w:tcBorders>
            <w:noWrap w:val="0"/>
            <w:vAlign w:val="bottom"/>
          </w:tcPr>
          <w:p>
            <w:pPr>
              <w:widowControl/>
              <w:jc w:val="left"/>
              <w:rPr>
                <w:rFonts w:eastAsia="方正仿宋_GBK"/>
                <w:color w:val="000000"/>
                <w:spacing w:val="-2"/>
                <w:kern w:val="0"/>
                <w:szCs w:val="21"/>
              </w:rPr>
            </w:pPr>
          </w:p>
        </w:tc>
        <w:tc>
          <w:tcPr>
            <w:tcW w:w="2069" w:type="dxa"/>
            <w:gridSpan w:val="2"/>
            <w:tcBorders>
              <w:top w:val="single" w:color="auto" w:sz="4" w:space="0"/>
              <w:left w:val="nil"/>
              <w:bottom w:val="single" w:color="auto" w:sz="4" w:space="0"/>
              <w:right w:val="single" w:color="auto" w:sz="8" w:space="0"/>
            </w:tcBorders>
            <w:noWrap w:val="0"/>
            <w:vAlign w:val="bottom"/>
          </w:tcPr>
          <w:p>
            <w:pPr>
              <w:widowControl/>
              <w:jc w:val="left"/>
              <w:rPr>
                <w:rFonts w:eastAsia="方正仿宋_GBK"/>
                <w:color w:val="000000"/>
                <w:spacing w:val="-2"/>
                <w:kern w:val="0"/>
                <w:szCs w:val="21"/>
              </w:rPr>
            </w:pPr>
          </w:p>
        </w:tc>
      </w:tr>
      <w:tr>
        <w:tblPrEx>
          <w:tblCellMar>
            <w:top w:w="0" w:type="dxa"/>
            <w:left w:w="108" w:type="dxa"/>
            <w:bottom w:w="0" w:type="dxa"/>
            <w:right w:w="108" w:type="dxa"/>
          </w:tblCellMar>
        </w:tblPrEx>
        <w:trPr>
          <w:trHeight w:val="669" w:hRule="atLeast"/>
        </w:trPr>
        <w:tc>
          <w:tcPr>
            <w:tcW w:w="8746" w:type="dxa"/>
            <w:gridSpan w:val="11"/>
            <w:tcBorders>
              <w:top w:val="single" w:color="auto" w:sz="4" w:space="0"/>
              <w:left w:val="single" w:color="auto" w:sz="8" w:space="0"/>
              <w:bottom w:val="single" w:color="auto" w:sz="8" w:space="0"/>
              <w:right w:val="single" w:color="auto" w:sz="8" w:space="0"/>
            </w:tcBorders>
            <w:noWrap w:val="0"/>
            <w:vAlign w:val="top"/>
          </w:tcPr>
          <w:p>
            <w:pPr>
              <w:widowControl/>
              <w:jc w:val="left"/>
              <w:rPr>
                <w:rFonts w:eastAsia="方正仿宋_GBK"/>
                <w:color w:val="000000"/>
                <w:spacing w:val="-2"/>
                <w:kern w:val="0"/>
                <w:szCs w:val="21"/>
              </w:rPr>
            </w:pPr>
            <w:r>
              <w:rPr>
                <w:rFonts w:hint="eastAsia" w:eastAsia="方正仿宋_GBK"/>
                <w:color w:val="000000"/>
                <w:spacing w:val="-2"/>
                <w:kern w:val="0"/>
                <w:szCs w:val="21"/>
              </w:rPr>
              <w:t>备注：（对原水和出厂水情况的描述。）</w:t>
            </w:r>
          </w:p>
        </w:tc>
      </w:tr>
      <w:tr>
        <w:tblPrEx>
          <w:tblCellMar>
            <w:top w:w="0" w:type="dxa"/>
            <w:left w:w="108" w:type="dxa"/>
            <w:bottom w:w="0" w:type="dxa"/>
            <w:right w:w="108" w:type="dxa"/>
          </w:tblCellMar>
        </w:tblPrEx>
        <w:trPr>
          <w:trHeight w:val="312" w:hRule="atLeast"/>
        </w:trPr>
        <w:tc>
          <w:tcPr>
            <w:tcW w:w="495" w:type="dxa"/>
            <w:tcBorders>
              <w:top w:val="single" w:color="auto" w:sz="8" w:space="0"/>
              <w:left w:val="single" w:color="auto" w:sz="8" w:space="0"/>
              <w:bottom w:val="nil"/>
              <w:right w:val="nil"/>
            </w:tcBorders>
            <w:noWrap w:val="0"/>
            <w:vAlign w:val="bottom"/>
          </w:tcPr>
          <w:p>
            <w:pPr>
              <w:widowControl/>
              <w:jc w:val="left"/>
              <w:rPr>
                <w:rFonts w:eastAsia="方正仿宋_GBK"/>
                <w:color w:val="000000"/>
                <w:spacing w:val="-2"/>
                <w:kern w:val="0"/>
                <w:sz w:val="22"/>
                <w:szCs w:val="22"/>
              </w:rPr>
            </w:pPr>
          </w:p>
        </w:tc>
        <w:tc>
          <w:tcPr>
            <w:tcW w:w="1903" w:type="dxa"/>
            <w:gridSpan w:val="2"/>
            <w:tcBorders>
              <w:top w:val="single" w:color="auto" w:sz="8" w:space="0"/>
              <w:left w:val="nil"/>
              <w:bottom w:val="nil"/>
              <w:right w:val="nil"/>
            </w:tcBorders>
            <w:noWrap w:val="0"/>
            <w:vAlign w:val="bottom"/>
          </w:tcPr>
          <w:p>
            <w:pPr>
              <w:widowControl/>
              <w:jc w:val="left"/>
              <w:rPr>
                <w:rFonts w:eastAsia="方正仿宋_GBK"/>
                <w:color w:val="000000"/>
                <w:spacing w:val="-2"/>
                <w:kern w:val="0"/>
                <w:sz w:val="22"/>
                <w:szCs w:val="22"/>
              </w:rPr>
            </w:pPr>
          </w:p>
        </w:tc>
        <w:tc>
          <w:tcPr>
            <w:tcW w:w="1342" w:type="dxa"/>
            <w:gridSpan w:val="3"/>
            <w:tcBorders>
              <w:top w:val="single" w:color="auto" w:sz="8" w:space="0"/>
              <w:left w:val="nil"/>
              <w:bottom w:val="nil"/>
              <w:right w:val="nil"/>
            </w:tcBorders>
            <w:noWrap w:val="0"/>
            <w:vAlign w:val="bottom"/>
          </w:tcPr>
          <w:p>
            <w:pPr>
              <w:widowControl/>
              <w:jc w:val="left"/>
              <w:rPr>
                <w:rFonts w:eastAsia="方正仿宋_GBK"/>
                <w:color w:val="000000"/>
                <w:spacing w:val="-2"/>
                <w:kern w:val="0"/>
                <w:sz w:val="22"/>
                <w:szCs w:val="22"/>
              </w:rPr>
            </w:pPr>
          </w:p>
        </w:tc>
        <w:tc>
          <w:tcPr>
            <w:tcW w:w="1872" w:type="dxa"/>
            <w:tcBorders>
              <w:top w:val="single" w:color="auto" w:sz="8" w:space="0"/>
              <w:left w:val="nil"/>
              <w:bottom w:val="nil"/>
              <w:right w:val="nil"/>
            </w:tcBorders>
            <w:noWrap w:val="0"/>
            <w:vAlign w:val="bottom"/>
          </w:tcPr>
          <w:p>
            <w:pPr>
              <w:widowControl/>
              <w:jc w:val="left"/>
              <w:rPr>
                <w:rFonts w:eastAsia="方正仿宋_GBK"/>
                <w:color w:val="000000"/>
                <w:spacing w:val="-2"/>
                <w:kern w:val="0"/>
                <w:sz w:val="22"/>
                <w:szCs w:val="22"/>
              </w:rPr>
            </w:pPr>
          </w:p>
        </w:tc>
        <w:tc>
          <w:tcPr>
            <w:tcW w:w="1600" w:type="dxa"/>
            <w:gridSpan w:val="3"/>
            <w:tcBorders>
              <w:top w:val="single" w:color="auto" w:sz="8" w:space="0"/>
              <w:left w:val="nil"/>
              <w:bottom w:val="nil"/>
              <w:right w:val="nil"/>
            </w:tcBorders>
            <w:noWrap w:val="0"/>
            <w:vAlign w:val="bottom"/>
          </w:tcPr>
          <w:p>
            <w:pPr>
              <w:widowControl/>
              <w:jc w:val="left"/>
              <w:rPr>
                <w:rFonts w:eastAsia="方正仿宋_GBK"/>
                <w:color w:val="000000"/>
                <w:spacing w:val="-2"/>
                <w:kern w:val="0"/>
                <w:sz w:val="22"/>
                <w:szCs w:val="22"/>
              </w:rPr>
            </w:pPr>
          </w:p>
        </w:tc>
        <w:tc>
          <w:tcPr>
            <w:tcW w:w="1534" w:type="dxa"/>
            <w:tcBorders>
              <w:top w:val="single" w:color="auto" w:sz="8" w:space="0"/>
              <w:left w:val="nil"/>
              <w:bottom w:val="nil"/>
              <w:right w:val="single" w:color="auto" w:sz="8" w:space="0"/>
            </w:tcBorders>
            <w:noWrap w:val="0"/>
            <w:vAlign w:val="bottom"/>
          </w:tcPr>
          <w:p>
            <w:pPr>
              <w:widowControl/>
              <w:jc w:val="left"/>
              <w:rPr>
                <w:rFonts w:eastAsia="方正仿宋_GBK"/>
                <w:color w:val="000000"/>
                <w:spacing w:val="-2"/>
                <w:kern w:val="0"/>
                <w:sz w:val="22"/>
                <w:szCs w:val="22"/>
              </w:rPr>
            </w:pPr>
          </w:p>
        </w:tc>
      </w:tr>
      <w:tr>
        <w:tblPrEx>
          <w:tblCellMar>
            <w:top w:w="0" w:type="dxa"/>
            <w:left w:w="108" w:type="dxa"/>
            <w:bottom w:w="0" w:type="dxa"/>
            <w:right w:w="108" w:type="dxa"/>
          </w:tblCellMar>
        </w:tblPrEx>
        <w:trPr>
          <w:trHeight w:val="312" w:hRule="atLeast"/>
        </w:trPr>
        <w:tc>
          <w:tcPr>
            <w:tcW w:w="495" w:type="dxa"/>
            <w:tcBorders>
              <w:top w:val="nil"/>
              <w:left w:val="single" w:color="auto" w:sz="8" w:space="0"/>
              <w:bottom w:val="single" w:color="auto" w:sz="8" w:space="0"/>
              <w:right w:val="nil"/>
            </w:tcBorders>
            <w:noWrap w:val="0"/>
            <w:vAlign w:val="bottom"/>
          </w:tcPr>
          <w:p>
            <w:pPr>
              <w:widowControl/>
              <w:jc w:val="left"/>
              <w:rPr>
                <w:rFonts w:eastAsia="方正仿宋_GBK"/>
                <w:color w:val="000000"/>
                <w:spacing w:val="-2"/>
                <w:kern w:val="0"/>
                <w:sz w:val="24"/>
              </w:rPr>
            </w:pPr>
          </w:p>
        </w:tc>
        <w:tc>
          <w:tcPr>
            <w:tcW w:w="1903" w:type="dxa"/>
            <w:gridSpan w:val="2"/>
            <w:tcBorders>
              <w:top w:val="nil"/>
              <w:left w:val="nil"/>
              <w:bottom w:val="single" w:color="auto" w:sz="8" w:space="0"/>
              <w:right w:val="nil"/>
            </w:tcBorders>
            <w:noWrap w:val="0"/>
            <w:vAlign w:val="center"/>
          </w:tcPr>
          <w:p>
            <w:pPr>
              <w:widowControl/>
              <w:jc w:val="left"/>
              <w:rPr>
                <w:rFonts w:eastAsia="方正仿宋_GBK"/>
                <w:color w:val="000000"/>
                <w:spacing w:val="-2"/>
                <w:kern w:val="0"/>
                <w:sz w:val="22"/>
                <w:szCs w:val="22"/>
              </w:rPr>
            </w:pPr>
            <w:r>
              <w:rPr>
                <w:rFonts w:hint="eastAsia" w:eastAsia="方正仿宋_GBK"/>
                <w:color w:val="000000"/>
                <w:spacing w:val="-2"/>
                <w:kern w:val="0"/>
                <w:sz w:val="22"/>
                <w:szCs w:val="22"/>
              </w:rPr>
              <w:t>编制人：</w:t>
            </w:r>
          </w:p>
        </w:tc>
        <w:tc>
          <w:tcPr>
            <w:tcW w:w="1342" w:type="dxa"/>
            <w:gridSpan w:val="3"/>
            <w:tcBorders>
              <w:top w:val="nil"/>
              <w:left w:val="nil"/>
              <w:bottom w:val="single" w:color="auto" w:sz="8" w:space="0"/>
              <w:right w:val="nil"/>
            </w:tcBorders>
            <w:noWrap w:val="0"/>
            <w:vAlign w:val="center"/>
          </w:tcPr>
          <w:p>
            <w:pPr>
              <w:widowControl/>
              <w:jc w:val="left"/>
              <w:rPr>
                <w:rFonts w:eastAsia="方正仿宋_GBK"/>
                <w:color w:val="000000"/>
                <w:spacing w:val="-2"/>
                <w:kern w:val="0"/>
                <w:sz w:val="22"/>
                <w:szCs w:val="22"/>
              </w:rPr>
            </w:pPr>
          </w:p>
        </w:tc>
        <w:tc>
          <w:tcPr>
            <w:tcW w:w="5006" w:type="dxa"/>
            <w:gridSpan w:val="5"/>
            <w:tcBorders>
              <w:top w:val="nil"/>
              <w:left w:val="nil"/>
              <w:bottom w:val="single" w:color="auto" w:sz="8" w:space="0"/>
              <w:right w:val="single" w:color="auto" w:sz="8" w:space="0"/>
            </w:tcBorders>
            <w:noWrap w:val="0"/>
            <w:vAlign w:val="center"/>
          </w:tcPr>
          <w:p>
            <w:pPr>
              <w:widowControl/>
              <w:jc w:val="left"/>
              <w:rPr>
                <w:rFonts w:eastAsia="方正仿宋_GBK"/>
                <w:color w:val="000000"/>
                <w:spacing w:val="-2"/>
                <w:kern w:val="0"/>
                <w:sz w:val="22"/>
                <w:szCs w:val="22"/>
              </w:rPr>
            </w:pPr>
            <w:r>
              <w:rPr>
                <w:rFonts w:eastAsia="方正仿宋_GBK"/>
                <w:color w:val="000000"/>
                <w:spacing w:val="-2"/>
                <w:kern w:val="0"/>
                <w:sz w:val="22"/>
                <w:szCs w:val="22"/>
              </w:rPr>
              <w:t xml:space="preserve">                   </w:t>
            </w:r>
            <w:r>
              <w:rPr>
                <w:rFonts w:hint="eastAsia" w:eastAsia="方正仿宋_GBK"/>
                <w:color w:val="000000"/>
                <w:spacing w:val="-2"/>
                <w:kern w:val="0"/>
                <w:sz w:val="22"/>
                <w:szCs w:val="22"/>
              </w:rPr>
              <w:t>审核人：</w:t>
            </w:r>
          </w:p>
        </w:tc>
      </w:tr>
    </w:tbl>
    <w:p>
      <w:pPr>
        <w:spacing w:line="460" w:lineRule="exact"/>
        <w:rPr>
          <w:rFonts w:ascii="Times New Roman" w:eastAsia="方正黑体_GBK"/>
          <w:color w:val="000000"/>
          <w:spacing w:val="-2"/>
          <w:sz w:val="28"/>
          <w:szCs w:val="28"/>
        </w:rPr>
      </w:pPr>
      <w:r>
        <w:rPr>
          <w:rFonts w:eastAsia="仿宋_GB2312"/>
          <w:color w:val="000000"/>
          <w:spacing w:val="-2"/>
          <w:sz w:val="32"/>
          <w:szCs w:val="32"/>
        </w:rPr>
        <w:br w:type="column"/>
      </w:r>
      <w:r>
        <w:rPr>
          <w:rFonts w:hint="eastAsia" w:ascii="Times New Roman" w:eastAsia="方正黑体_GBK"/>
          <w:color w:val="000000"/>
          <w:spacing w:val="-2"/>
          <w:sz w:val="28"/>
          <w:szCs w:val="28"/>
        </w:rPr>
        <w:t>附表3：</w:t>
      </w:r>
    </w:p>
    <w:p>
      <w:pPr>
        <w:spacing w:line="360" w:lineRule="auto"/>
        <w:jc w:val="center"/>
        <w:rPr>
          <w:rFonts w:hint="eastAsia" w:ascii="Times New Roman" w:hAnsi="Times New Roman" w:eastAsia="方正黑体_GBK"/>
          <w:bCs/>
          <w:color w:val="000000"/>
          <w:spacing w:val="-2"/>
          <w:kern w:val="0"/>
          <w:sz w:val="28"/>
          <w:szCs w:val="28"/>
        </w:rPr>
      </w:pPr>
      <w:r>
        <w:rPr>
          <w:rFonts w:hint="eastAsia" w:ascii="Times New Roman" w:hAnsi="Times New Roman" w:eastAsia="方正黑体_GBK"/>
          <w:bCs/>
          <w:color w:val="000000"/>
          <w:spacing w:val="-2"/>
          <w:kern w:val="0"/>
          <w:sz w:val="28"/>
          <w:szCs w:val="28"/>
        </w:rPr>
        <w:t>水厂烧杯搅拌试验记录</w:t>
      </w:r>
    </w:p>
    <w:p>
      <w:pPr>
        <w:autoSpaceDE w:val="0"/>
        <w:autoSpaceDN w:val="0"/>
        <w:adjustRightInd w:val="0"/>
        <w:snapToGrid w:val="0"/>
        <w:spacing w:line="360" w:lineRule="auto"/>
        <w:ind w:firstLine="1888" w:firstLineChars="800"/>
        <w:jc w:val="right"/>
        <w:rPr>
          <w:rFonts w:hint="eastAsia" w:eastAsia="方正仿宋_GBK"/>
          <w:color w:val="000000"/>
          <w:spacing w:val="-2"/>
        </w:rPr>
      </w:pPr>
      <w:r>
        <w:rPr>
          <w:rFonts w:eastAsia="方正仿宋_GBK"/>
          <w:color w:val="000000"/>
          <w:spacing w:val="-2"/>
          <w:kern w:val="0"/>
          <w:sz w:val="24"/>
        </w:rPr>
        <w:t xml:space="preserve">                        </w:t>
      </w:r>
      <w:r>
        <w:rPr>
          <w:rFonts w:hint="eastAsia" w:eastAsia="方正仿宋_GBK"/>
          <w:color w:val="000000"/>
          <w:spacing w:val="-2"/>
          <w:kern w:val="0"/>
        </w:rPr>
        <w:t>第</w:t>
      </w:r>
      <w:r>
        <w:rPr>
          <w:rFonts w:eastAsia="方正仿宋_GBK"/>
          <w:color w:val="000000"/>
          <w:spacing w:val="-2"/>
          <w:kern w:val="0"/>
        </w:rPr>
        <w:t xml:space="preserve">  </w:t>
      </w:r>
      <w:r>
        <w:rPr>
          <w:rFonts w:hint="eastAsia" w:eastAsia="方正仿宋_GBK"/>
          <w:color w:val="000000"/>
          <w:spacing w:val="-2"/>
          <w:kern w:val="0"/>
        </w:rPr>
        <w:t>页共</w:t>
      </w:r>
      <w:r>
        <w:rPr>
          <w:rFonts w:eastAsia="方正仿宋_GBK"/>
          <w:color w:val="000000"/>
          <w:spacing w:val="-2"/>
          <w:kern w:val="0"/>
        </w:rPr>
        <w:t xml:space="preserve">  </w:t>
      </w:r>
      <w:r>
        <w:rPr>
          <w:rFonts w:hint="eastAsia" w:eastAsia="方正仿宋_GBK"/>
          <w:color w:val="000000"/>
          <w:spacing w:val="-2"/>
          <w:kern w:val="0"/>
        </w:rPr>
        <w:t>页</w:t>
      </w:r>
    </w:p>
    <w:tbl>
      <w:tblPr>
        <w:tblStyle w:val="12"/>
        <w:tblW w:w="0" w:type="auto"/>
        <w:tblInd w:w="92" w:type="dxa"/>
        <w:tblLayout w:type="fixed"/>
        <w:tblCellMar>
          <w:top w:w="0" w:type="dxa"/>
          <w:left w:w="108" w:type="dxa"/>
          <w:bottom w:w="0" w:type="dxa"/>
          <w:right w:w="108" w:type="dxa"/>
        </w:tblCellMar>
      </w:tblPr>
      <w:tblGrid>
        <w:gridCol w:w="1036"/>
        <w:gridCol w:w="1099"/>
        <w:gridCol w:w="1106"/>
        <w:gridCol w:w="1107"/>
        <w:gridCol w:w="625"/>
        <w:gridCol w:w="482"/>
        <w:gridCol w:w="562"/>
        <w:gridCol w:w="545"/>
        <w:gridCol w:w="1107"/>
        <w:gridCol w:w="1107"/>
      </w:tblGrid>
      <w:tr>
        <w:tblPrEx>
          <w:tblCellMar>
            <w:top w:w="0" w:type="dxa"/>
            <w:left w:w="108" w:type="dxa"/>
            <w:bottom w:w="0" w:type="dxa"/>
            <w:right w:w="108" w:type="dxa"/>
          </w:tblCellMar>
        </w:tblPrEx>
        <w:trPr>
          <w:trHeight w:val="576" w:hRule="atLeast"/>
        </w:trPr>
        <w:tc>
          <w:tcPr>
            <w:tcW w:w="2135" w:type="dxa"/>
            <w:gridSpan w:val="2"/>
            <w:tcBorders>
              <w:top w:val="single" w:color="auto" w:sz="8" w:space="0"/>
              <w:left w:val="single" w:color="auto" w:sz="8"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r>
              <w:rPr>
                <w:rFonts w:hint="eastAsia" w:eastAsia="方正仿宋_GBK"/>
                <w:color w:val="000000"/>
                <w:spacing w:val="-2"/>
                <w:kern w:val="0"/>
              </w:rPr>
              <w:t>净水剂样品编号</w:t>
            </w:r>
          </w:p>
        </w:tc>
        <w:tc>
          <w:tcPr>
            <w:tcW w:w="2838" w:type="dxa"/>
            <w:gridSpan w:val="3"/>
            <w:tcBorders>
              <w:top w:val="single" w:color="auto" w:sz="8" w:space="0"/>
              <w:left w:val="single" w:color="auto" w:sz="6" w:space="0"/>
              <w:bottom w:val="single" w:color="auto" w:sz="6" w:space="0"/>
              <w:right w:val="single" w:color="auto" w:sz="4" w:space="0"/>
            </w:tcBorders>
            <w:noWrap w:val="0"/>
            <w:vAlign w:val="center"/>
          </w:tcPr>
          <w:p>
            <w:pPr>
              <w:spacing w:line="400" w:lineRule="exact"/>
              <w:ind w:left="-90"/>
              <w:jc w:val="center"/>
              <w:rPr>
                <w:rFonts w:eastAsia="方正仿宋_GBK"/>
                <w:color w:val="000000"/>
                <w:spacing w:val="-2"/>
              </w:rPr>
            </w:pPr>
          </w:p>
        </w:tc>
        <w:tc>
          <w:tcPr>
            <w:tcW w:w="1044" w:type="dxa"/>
            <w:gridSpan w:val="2"/>
            <w:tcBorders>
              <w:top w:val="single" w:color="auto" w:sz="8" w:space="0"/>
              <w:left w:val="single" w:color="auto" w:sz="4" w:space="0"/>
              <w:bottom w:val="single" w:color="auto" w:sz="6" w:space="0"/>
              <w:right w:val="single" w:color="auto" w:sz="4" w:space="0"/>
            </w:tcBorders>
            <w:noWrap w:val="0"/>
            <w:vAlign w:val="center"/>
          </w:tcPr>
          <w:p>
            <w:pPr>
              <w:spacing w:line="400" w:lineRule="exact"/>
              <w:ind w:left="-90"/>
              <w:jc w:val="center"/>
              <w:rPr>
                <w:rFonts w:eastAsia="方正仿宋_GBK"/>
                <w:color w:val="000000"/>
                <w:spacing w:val="-2"/>
              </w:rPr>
            </w:pPr>
            <w:r>
              <w:rPr>
                <w:rFonts w:hint="eastAsia" w:eastAsia="方正仿宋_GBK"/>
                <w:color w:val="000000"/>
                <w:spacing w:val="-2"/>
                <w:kern w:val="0"/>
              </w:rPr>
              <w:t>水样名称</w:t>
            </w:r>
          </w:p>
        </w:tc>
        <w:tc>
          <w:tcPr>
            <w:tcW w:w="2759" w:type="dxa"/>
            <w:gridSpan w:val="3"/>
            <w:tcBorders>
              <w:top w:val="single" w:color="auto" w:sz="8" w:space="0"/>
              <w:left w:val="single" w:color="auto" w:sz="4" w:space="0"/>
              <w:bottom w:val="single" w:color="auto" w:sz="6" w:space="0"/>
              <w:right w:val="single" w:color="auto" w:sz="8" w:space="0"/>
            </w:tcBorders>
            <w:noWrap w:val="0"/>
            <w:vAlign w:val="center"/>
          </w:tcPr>
          <w:p>
            <w:pPr>
              <w:spacing w:line="400" w:lineRule="exact"/>
              <w:ind w:left="-90"/>
              <w:jc w:val="center"/>
              <w:rPr>
                <w:rFonts w:eastAsia="方正仿宋_GBK"/>
                <w:color w:val="000000"/>
                <w:spacing w:val="-2"/>
              </w:rPr>
            </w:pPr>
          </w:p>
        </w:tc>
      </w:tr>
      <w:tr>
        <w:tblPrEx>
          <w:tblCellMar>
            <w:top w:w="0" w:type="dxa"/>
            <w:left w:w="108" w:type="dxa"/>
            <w:bottom w:w="0" w:type="dxa"/>
            <w:right w:w="108" w:type="dxa"/>
          </w:tblCellMar>
        </w:tblPrEx>
        <w:trPr>
          <w:trHeight w:val="581" w:hRule="atLeast"/>
        </w:trPr>
        <w:tc>
          <w:tcPr>
            <w:tcW w:w="2135" w:type="dxa"/>
            <w:gridSpan w:val="2"/>
            <w:tcBorders>
              <w:top w:val="single" w:color="auto" w:sz="6" w:space="0"/>
              <w:left w:val="single" w:color="auto" w:sz="8"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r>
              <w:rPr>
                <w:rFonts w:hint="eastAsia" w:eastAsia="方正仿宋_GBK"/>
                <w:color w:val="000000"/>
                <w:spacing w:val="-2"/>
                <w:kern w:val="0"/>
              </w:rPr>
              <w:t>净水剂名称</w:t>
            </w:r>
          </w:p>
        </w:tc>
        <w:tc>
          <w:tcPr>
            <w:tcW w:w="2838" w:type="dxa"/>
            <w:gridSpan w:val="3"/>
            <w:tcBorders>
              <w:top w:val="single" w:color="auto" w:sz="6" w:space="0"/>
              <w:left w:val="single" w:color="auto" w:sz="6" w:space="0"/>
              <w:bottom w:val="single" w:color="auto" w:sz="6" w:space="0"/>
              <w:right w:val="single" w:color="auto" w:sz="4" w:space="0"/>
            </w:tcBorders>
            <w:noWrap w:val="0"/>
            <w:vAlign w:val="center"/>
          </w:tcPr>
          <w:p>
            <w:pPr>
              <w:spacing w:line="400" w:lineRule="exact"/>
              <w:ind w:left="-90"/>
              <w:jc w:val="center"/>
              <w:rPr>
                <w:rFonts w:eastAsia="方正仿宋_GBK"/>
                <w:color w:val="000000"/>
                <w:spacing w:val="-2"/>
              </w:rPr>
            </w:pPr>
          </w:p>
        </w:tc>
        <w:tc>
          <w:tcPr>
            <w:tcW w:w="1044" w:type="dxa"/>
            <w:gridSpan w:val="2"/>
            <w:tcBorders>
              <w:top w:val="single" w:color="auto" w:sz="6" w:space="0"/>
              <w:left w:val="single" w:color="auto" w:sz="4" w:space="0"/>
              <w:bottom w:val="single" w:color="auto" w:sz="6" w:space="0"/>
              <w:right w:val="single" w:color="auto" w:sz="4" w:space="0"/>
            </w:tcBorders>
            <w:noWrap w:val="0"/>
            <w:vAlign w:val="center"/>
          </w:tcPr>
          <w:p>
            <w:pPr>
              <w:spacing w:line="400" w:lineRule="exact"/>
              <w:ind w:left="-90"/>
              <w:jc w:val="center"/>
              <w:rPr>
                <w:rFonts w:eastAsia="方正仿宋_GBK"/>
                <w:color w:val="000000"/>
                <w:spacing w:val="-2"/>
              </w:rPr>
            </w:pPr>
            <w:r>
              <w:rPr>
                <w:rFonts w:hint="eastAsia" w:eastAsia="方正仿宋_GBK"/>
                <w:color w:val="000000"/>
                <w:spacing w:val="-2"/>
                <w:kern w:val="0"/>
              </w:rPr>
              <w:t>净水剂浓度</w:t>
            </w:r>
          </w:p>
        </w:tc>
        <w:tc>
          <w:tcPr>
            <w:tcW w:w="2759" w:type="dxa"/>
            <w:gridSpan w:val="3"/>
            <w:tcBorders>
              <w:top w:val="single" w:color="auto" w:sz="6" w:space="0"/>
              <w:left w:val="single" w:color="auto" w:sz="4" w:space="0"/>
              <w:bottom w:val="single" w:color="auto" w:sz="6" w:space="0"/>
              <w:right w:val="single" w:color="auto" w:sz="8" w:space="0"/>
            </w:tcBorders>
            <w:noWrap w:val="0"/>
            <w:vAlign w:val="center"/>
          </w:tcPr>
          <w:p>
            <w:pPr>
              <w:spacing w:line="400" w:lineRule="exact"/>
              <w:ind w:left="-90"/>
              <w:jc w:val="center"/>
              <w:rPr>
                <w:rFonts w:eastAsia="方正仿宋_GBK"/>
                <w:color w:val="000000"/>
                <w:spacing w:val="-2"/>
              </w:rPr>
            </w:pPr>
          </w:p>
        </w:tc>
      </w:tr>
      <w:tr>
        <w:tblPrEx>
          <w:tblCellMar>
            <w:top w:w="0" w:type="dxa"/>
            <w:left w:w="108" w:type="dxa"/>
            <w:bottom w:w="0" w:type="dxa"/>
            <w:right w:w="108" w:type="dxa"/>
          </w:tblCellMar>
        </w:tblPrEx>
        <w:trPr>
          <w:cantSplit/>
          <w:trHeight w:val="935" w:hRule="atLeast"/>
        </w:trPr>
        <w:tc>
          <w:tcPr>
            <w:tcW w:w="2135" w:type="dxa"/>
            <w:gridSpan w:val="2"/>
            <w:tcBorders>
              <w:top w:val="single" w:color="auto" w:sz="6" w:space="0"/>
              <w:left w:val="single" w:color="auto" w:sz="8" w:space="0"/>
              <w:bottom w:val="nil"/>
              <w:right w:val="single" w:color="auto" w:sz="4" w:space="0"/>
            </w:tcBorders>
            <w:noWrap w:val="0"/>
            <w:vAlign w:val="center"/>
          </w:tcPr>
          <w:p>
            <w:pPr>
              <w:spacing w:line="400" w:lineRule="exact"/>
              <w:jc w:val="center"/>
              <w:rPr>
                <w:rFonts w:eastAsia="方正仿宋_GBK"/>
                <w:color w:val="000000"/>
                <w:spacing w:val="-2"/>
                <w:kern w:val="0"/>
              </w:rPr>
            </w:pPr>
            <w:r>
              <w:rPr>
                <w:rFonts w:hint="eastAsia" w:eastAsia="方正仿宋_GBK"/>
                <w:color w:val="000000"/>
                <w:spacing w:val="-2"/>
                <w:kern w:val="0"/>
              </w:rPr>
              <w:t>试验原水</w:t>
            </w:r>
          </w:p>
          <w:p>
            <w:pPr>
              <w:spacing w:line="400" w:lineRule="exact"/>
              <w:jc w:val="center"/>
              <w:rPr>
                <w:rFonts w:eastAsia="方正仿宋_GBK"/>
                <w:color w:val="000000"/>
                <w:spacing w:val="-2"/>
              </w:rPr>
            </w:pPr>
            <w:r>
              <w:rPr>
                <w:rFonts w:hint="eastAsia" w:eastAsia="方正仿宋_GBK"/>
                <w:color w:val="000000"/>
                <w:spacing w:val="-2"/>
                <w:kern w:val="0"/>
              </w:rPr>
              <w:t>水质情况</w:t>
            </w:r>
          </w:p>
        </w:tc>
        <w:tc>
          <w:tcPr>
            <w:tcW w:w="6641" w:type="dxa"/>
            <w:gridSpan w:val="8"/>
            <w:tcBorders>
              <w:top w:val="single" w:color="auto" w:sz="6" w:space="0"/>
              <w:left w:val="single" w:color="auto" w:sz="4" w:space="0"/>
              <w:bottom w:val="nil"/>
              <w:right w:val="single" w:color="auto" w:sz="8" w:space="0"/>
            </w:tcBorders>
            <w:noWrap w:val="0"/>
            <w:vAlign w:val="center"/>
          </w:tcPr>
          <w:p>
            <w:pPr>
              <w:spacing w:line="400" w:lineRule="exact"/>
              <w:ind w:left="-90"/>
              <w:jc w:val="center"/>
              <w:rPr>
                <w:rFonts w:eastAsia="方正仿宋_GBK"/>
                <w:color w:val="000000"/>
                <w:spacing w:val="-2"/>
              </w:rPr>
            </w:pPr>
          </w:p>
        </w:tc>
      </w:tr>
      <w:tr>
        <w:tblPrEx>
          <w:tblCellMar>
            <w:top w:w="0" w:type="dxa"/>
            <w:left w:w="108" w:type="dxa"/>
            <w:bottom w:w="0" w:type="dxa"/>
            <w:right w:w="108" w:type="dxa"/>
          </w:tblCellMar>
        </w:tblPrEx>
        <w:trPr>
          <w:trHeight w:val="567" w:hRule="atLeast"/>
        </w:trPr>
        <w:tc>
          <w:tcPr>
            <w:tcW w:w="2135" w:type="dxa"/>
            <w:gridSpan w:val="2"/>
            <w:tcBorders>
              <w:top w:val="single" w:color="auto" w:sz="6" w:space="0"/>
              <w:left w:val="single" w:color="auto" w:sz="8" w:space="0"/>
              <w:bottom w:val="single" w:color="auto" w:sz="6" w:space="0"/>
              <w:right w:val="single" w:color="auto" w:sz="6" w:space="0"/>
            </w:tcBorders>
            <w:noWrap w:val="0"/>
            <w:vAlign w:val="center"/>
          </w:tcPr>
          <w:p>
            <w:pPr>
              <w:spacing w:line="400" w:lineRule="exact"/>
              <w:ind w:left="-91"/>
              <w:jc w:val="center"/>
              <w:rPr>
                <w:rFonts w:eastAsia="方正仿宋_GBK"/>
                <w:color w:val="000000"/>
                <w:spacing w:val="-2"/>
                <w:kern w:val="0"/>
              </w:rPr>
            </w:pPr>
            <w:r>
              <w:rPr>
                <w:rFonts w:hint="eastAsia" w:eastAsia="方正仿宋_GBK"/>
                <w:color w:val="000000"/>
                <w:spacing w:val="-2"/>
                <w:kern w:val="0"/>
              </w:rPr>
              <w:t>搅拌实验条件</w:t>
            </w:r>
          </w:p>
          <w:p>
            <w:pPr>
              <w:spacing w:line="400" w:lineRule="exact"/>
              <w:ind w:left="-91"/>
              <w:jc w:val="center"/>
              <w:rPr>
                <w:rFonts w:eastAsia="方正仿宋_GBK"/>
                <w:color w:val="000000"/>
                <w:spacing w:val="-2"/>
                <w:kern w:val="0"/>
              </w:rPr>
            </w:pPr>
            <w:r>
              <w:rPr>
                <w:rFonts w:eastAsia="方正仿宋_GBK"/>
                <w:color w:val="000000"/>
                <w:spacing w:val="-2"/>
                <w:kern w:val="0"/>
              </w:rPr>
              <w:t>(</w:t>
            </w:r>
            <w:r>
              <w:rPr>
                <w:rFonts w:hint="eastAsia" w:eastAsia="方正仿宋_GBK"/>
                <w:color w:val="000000"/>
                <w:spacing w:val="-2"/>
                <w:kern w:val="0"/>
              </w:rPr>
              <w:t>分</w:t>
            </w:r>
            <w:r>
              <w:rPr>
                <w:rFonts w:eastAsia="方正仿宋_GBK"/>
                <w:color w:val="000000"/>
                <w:spacing w:val="-2"/>
                <w:kern w:val="0"/>
              </w:rPr>
              <w:t>*</w:t>
            </w:r>
            <w:r>
              <w:rPr>
                <w:rFonts w:hint="eastAsia" w:eastAsia="方正仿宋_GBK"/>
                <w:color w:val="000000"/>
                <w:spacing w:val="-2"/>
                <w:kern w:val="0"/>
              </w:rPr>
              <w:t>转</w:t>
            </w:r>
            <w:r>
              <w:rPr>
                <w:rFonts w:eastAsia="方正仿宋_GBK"/>
                <w:color w:val="000000"/>
                <w:spacing w:val="-2"/>
                <w:kern w:val="0"/>
              </w:rPr>
              <w:t>/</w:t>
            </w:r>
            <w:r>
              <w:rPr>
                <w:rFonts w:hint="eastAsia" w:eastAsia="方正仿宋_GBK"/>
                <w:color w:val="000000"/>
                <w:spacing w:val="-2"/>
                <w:kern w:val="0"/>
              </w:rPr>
              <w:t>分</w:t>
            </w:r>
            <w:r>
              <w:rPr>
                <w:rFonts w:eastAsia="方正仿宋_GBK"/>
                <w:color w:val="000000"/>
                <w:spacing w:val="-2"/>
                <w:kern w:val="0"/>
              </w:rPr>
              <w:t>)</w:t>
            </w:r>
          </w:p>
        </w:tc>
        <w:tc>
          <w:tcPr>
            <w:tcW w:w="6641" w:type="dxa"/>
            <w:gridSpan w:val="8"/>
            <w:tcBorders>
              <w:top w:val="single" w:color="auto" w:sz="6" w:space="0"/>
              <w:left w:val="single" w:color="auto" w:sz="6" w:space="0"/>
              <w:bottom w:val="single" w:color="auto" w:sz="6" w:space="0"/>
              <w:right w:val="single" w:color="auto" w:sz="8" w:space="0"/>
            </w:tcBorders>
            <w:noWrap w:val="0"/>
            <w:vAlign w:val="center"/>
          </w:tcPr>
          <w:p>
            <w:pPr>
              <w:spacing w:line="400" w:lineRule="exact"/>
              <w:ind w:left="-90"/>
              <w:jc w:val="center"/>
              <w:rPr>
                <w:rFonts w:eastAsia="方正仿宋_GBK"/>
                <w:color w:val="000000"/>
                <w:spacing w:val="-2"/>
              </w:rPr>
            </w:pPr>
          </w:p>
        </w:tc>
      </w:tr>
      <w:tr>
        <w:tblPrEx>
          <w:tblCellMar>
            <w:top w:w="0" w:type="dxa"/>
            <w:left w:w="108" w:type="dxa"/>
            <w:bottom w:w="0" w:type="dxa"/>
            <w:right w:w="108" w:type="dxa"/>
          </w:tblCellMar>
        </w:tblPrEx>
        <w:trPr>
          <w:trHeight w:val="567" w:hRule="atLeast"/>
        </w:trPr>
        <w:tc>
          <w:tcPr>
            <w:tcW w:w="2135" w:type="dxa"/>
            <w:gridSpan w:val="2"/>
            <w:tcBorders>
              <w:top w:val="single" w:color="auto" w:sz="6" w:space="0"/>
              <w:left w:val="single" w:color="auto" w:sz="8"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r>
              <w:rPr>
                <w:rFonts w:eastAsia="方正仿宋_GBK"/>
                <w:color w:val="000000"/>
                <w:spacing w:val="-2"/>
                <w:kern w:val="0"/>
              </w:rPr>
              <w:t>GT</w:t>
            </w:r>
            <w:r>
              <w:rPr>
                <w:rFonts w:hint="eastAsia" w:eastAsia="方正仿宋_GBK"/>
                <w:color w:val="000000"/>
                <w:spacing w:val="-2"/>
                <w:kern w:val="0"/>
              </w:rPr>
              <w:t>值</w:t>
            </w:r>
          </w:p>
        </w:tc>
        <w:tc>
          <w:tcPr>
            <w:tcW w:w="1106" w:type="dxa"/>
            <w:tcBorders>
              <w:top w:val="single" w:color="auto" w:sz="6" w:space="0"/>
              <w:left w:val="single" w:color="auto" w:sz="6"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tcBorders>
              <w:top w:val="single" w:color="auto" w:sz="6" w:space="0"/>
              <w:left w:val="single" w:color="auto" w:sz="6"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gridSpan w:val="2"/>
            <w:tcBorders>
              <w:top w:val="single" w:color="auto" w:sz="6" w:space="0"/>
              <w:left w:val="single" w:color="auto" w:sz="6"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gridSpan w:val="2"/>
            <w:tcBorders>
              <w:top w:val="single" w:color="auto" w:sz="6" w:space="0"/>
              <w:left w:val="single" w:color="auto" w:sz="6"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tcBorders>
              <w:top w:val="single" w:color="auto" w:sz="6" w:space="0"/>
              <w:left w:val="single" w:color="auto" w:sz="6"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tcBorders>
              <w:top w:val="single" w:color="auto" w:sz="6" w:space="0"/>
              <w:left w:val="single" w:color="auto" w:sz="6" w:space="0"/>
              <w:bottom w:val="single" w:color="auto" w:sz="6" w:space="0"/>
              <w:right w:val="single" w:color="auto" w:sz="8" w:space="0"/>
            </w:tcBorders>
            <w:noWrap w:val="0"/>
            <w:vAlign w:val="center"/>
          </w:tcPr>
          <w:p>
            <w:pPr>
              <w:spacing w:line="400" w:lineRule="exact"/>
              <w:ind w:left="-90"/>
              <w:jc w:val="center"/>
              <w:rPr>
                <w:rFonts w:eastAsia="方正仿宋_GBK"/>
                <w:color w:val="000000"/>
                <w:spacing w:val="-2"/>
              </w:rPr>
            </w:pPr>
          </w:p>
        </w:tc>
      </w:tr>
      <w:tr>
        <w:tblPrEx>
          <w:tblCellMar>
            <w:top w:w="0" w:type="dxa"/>
            <w:left w:w="108" w:type="dxa"/>
            <w:bottom w:w="0" w:type="dxa"/>
            <w:right w:w="108" w:type="dxa"/>
          </w:tblCellMar>
        </w:tblPrEx>
        <w:trPr>
          <w:trHeight w:val="567" w:hRule="atLeast"/>
        </w:trPr>
        <w:tc>
          <w:tcPr>
            <w:tcW w:w="2135" w:type="dxa"/>
            <w:gridSpan w:val="2"/>
            <w:tcBorders>
              <w:top w:val="single" w:color="auto" w:sz="6" w:space="0"/>
              <w:left w:val="single" w:color="auto" w:sz="8"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r>
              <w:rPr>
                <w:rFonts w:hint="eastAsia" w:eastAsia="方正仿宋_GBK"/>
                <w:color w:val="000000"/>
                <w:spacing w:val="-2"/>
                <w:kern w:val="0"/>
              </w:rPr>
              <w:t>杯罐号</w:t>
            </w:r>
          </w:p>
        </w:tc>
        <w:tc>
          <w:tcPr>
            <w:tcW w:w="1106" w:type="dxa"/>
            <w:tcBorders>
              <w:top w:val="single" w:color="auto" w:sz="6" w:space="0"/>
              <w:left w:val="single" w:color="auto" w:sz="6" w:space="0"/>
              <w:bottom w:val="single" w:color="auto" w:sz="6" w:space="0"/>
              <w:right w:val="single" w:color="auto" w:sz="6" w:space="0"/>
            </w:tcBorders>
            <w:noWrap w:val="0"/>
            <w:vAlign w:val="center"/>
          </w:tcPr>
          <w:p>
            <w:pPr>
              <w:spacing w:line="400" w:lineRule="exact"/>
              <w:ind w:left="-90"/>
              <w:jc w:val="center"/>
              <w:rPr>
                <w:rFonts w:eastAsia="方正仿宋_GBK"/>
                <w:bCs/>
                <w:color w:val="000000"/>
                <w:spacing w:val="-2"/>
              </w:rPr>
            </w:pPr>
            <w:r>
              <w:rPr>
                <w:rFonts w:eastAsia="方正仿宋_GBK"/>
                <w:bCs/>
                <w:color w:val="000000"/>
                <w:spacing w:val="-2"/>
                <w:kern w:val="0"/>
              </w:rPr>
              <w:t>1</w:t>
            </w:r>
          </w:p>
        </w:tc>
        <w:tc>
          <w:tcPr>
            <w:tcW w:w="1107" w:type="dxa"/>
            <w:tcBorders>
              <w:top w:val="single" w:color="auto" w:sz="6" w:space="0"/>
              <w:left w:val="single" w:color="auto" w:sz="6" w:space="0"/>
              <w:bottom w:val="single" w:color="auto" w:sz="6" w:space="0"/>
              <w:right w:val="single" w:color="auto" w:sz="6" w:space="0"/>
            </w:tcBorders>
            <w:noWrap w:val="0"/>
            <w:vAlign w:val="center"/>
          </w:tcPr>
          <w:p>
            <w:pPr>
              <w:spacing w:line="400" w:lineRule="exact"/>
              <w:ind w:left="-90"/>
              <w:jc w:val="center"/>
              <w:rPr>
                <w:rFonts w:eastAsia="方正仿宋_GBK"/>
                <w:bCs/>
                <w:color w:val="000000"/>
                <w:spacing w:val="-2"/>
              </w:rPr>
            </w:pPr>
            <w:r>
              <w:rPr>
                <w:rFonts w:eastAsia="方正仿宋_GBK"/>
                <w:bCs/>
                <w:color w:val="000000"/>
                <w:spacing w:val="-2"/>
                <w:kern w:val="0"/>
              </w:rPr>
              <w:t>2</w:t>
            </w:r>
          </w:p>
        </w:tc>
        <w:tc>
          <w:tcPr>
            <w:tcW w:w="1107" w:type="dxa"/>
            <w:gridSpan w:val="2"/>
            <w:tcBorders>
              <w:top w:val="single" w:color="auto" w:sz="6" w:space="0"/>
              <w:left w:val="single" w:color="auto" w:sz="6" w:space="0"/>
              <w:bottom w:val="single" w:color="auto" w:sz="6" w:space="0"/>
              <w:right w:val="single" w:color="auto" w:sz="6" w:space="0"/>
            </w:tcBorders>
            <w:noWrap w:val="0"/>
            <w:vAlign w:val="center"/>
          </w:tcPr>
          <w:p>
            <w:pPr>
              <w:spacing w:line="400" w:lineRule="exact"/>
              <w:ind w:left="-90"/>
              <w:jc w:val="center"/>
              <w:rPr>
                <w:rFonts w:eastAsia="方正仿宋_GBK"/>
                <w:bCs/>
                <w:color w:val="000000"/>
                <w:spacing w:val="-2"/>
              </w:rPr>
            </w:pPr>
            <w:r>
              <w:rPr>
                <w:rFonts w:eastAsia="方正仿宋_GBK"/>
                <w:bCs/>
                <w:color w:val="000000"/>
                <w:spacing w:val="-2"/>
                <w:kern w:val="0"/>
              </w:rPr>
              <w:t>3</w:t>
            </w:r>
          </w:p>
        </w:tc>
        <w:tc>
          <w:tcPr>
            <w:tcW w:w="1107" w:type="dxa"/>
            <w:gridSpan w:val="2"/>
            <w:tcBorders>
              <w:top w:val="single" w:color="auto" w:sz="6" w:space="0"/>
              <w:left w:val="single" w:color="auto" w:sz="6" w:space="0"/>
              <w:bottom w:val="single" w:color="auto" w:sz="6" w:space="0"/>
              <w:right w:val="single" w:color="auto" w:sz="6" w:space="0"/>
            </w:tcBorders>
            <w:noWrap w:val="0"/>
            <w:vAlign w:val="center"/>
          </w:tcPr>
          <w:p>
            <w:pPr>
              <w:spacing w:line="400" w:lineRule="exact"/>
              <w:ind w:left="-90"/>
              <w:jc w:val="center"/>
              <w:rPr>
                <w:rFonts w:eastAsia="方正仿宋_GBK"/>
                <w:bCs/>
                <w:color w:val="000000"/>
                <w:spacing w:val="-2"/>
              </w:rPr>
            </w:pPr>
            <w:r>
              <w:rPr>
                <w:rFonts w:eastAsia="方正仿宋_GBK"/>
                <w:bCs/>
                <w:color w:val="000000"/>
                <w:spacing w:val="-2"/>
                <w:kern w:val="0"/>
              </w:rPr>
              <w:t>4</w:t>
            </w:r>
          </w:p>
        </w:tc>
        <w:tc>
          <w:tcPr>
            <w:tcW w:w="1107" w:type="dxa"/>
            <w:tcBorders>
              <w:top w:val="single" w:color="auto" w:sz="6" w:space="0"/>
              <w:left w:val="single" w:color="auto" w:sz="6" w:space="0"/>
              <w:bottom w:val="single" w:color="auto" w:sz="6" w:space="0"/>
              <w:right w:val="single" w:color="auto" w:sz="6" w:space="0"/>
            </w:tcBorders>
            <w:noWrap w:val="0"/>
            <w:vAlign w:val="center"/>
          </w:tcPr>
          <w:p>
            <w:pPr>
              <w:spacing w:line="400" w:lineRule="exact"/>
              <w:ind w:left="330"/>
              <w:jc w:val="center"/>
              <w:rPr>
                <w:rFonts w:eastAsia="方正仿宋_GBK"/>
                <w:bCs/>
                <w:color w:val="000000"/>
                <w:spacing w:val="-2"/>
              </w:rPr>
            </w:pPr>
            <w:r>
              <w:rPr>
                <w:rFonts w:eastAsia="方正仿宋_GBK"/>
                <w:bCs/>
                <w:color w:val="000000"/>
                <w:spacing w:val="-2"/>
                <w:kern w:val="0"/>
              </w:rPr>
              <w:t>5</w:t>
            </w:r>
          </w:p>
        </w:tc>
        <w:tc>
          <w:tcPr>
            <w:tcW w:w="1107" w:type="dxa"/>
            <w:tcBorders>
              <w:top w:val="single" w:color="auto" w:sz="6" w:space="0"/>
              <w:left w:val="single" w:color="auto" w:sz="6" w:space="0"/>
              <w:bottom w:val="single" w:color="auto" w:sz="6" w:space="0"/>
              <w:right w:val="single" w:color="auto" w:sz="8" w:space="0"/>
            </w:tcBorders>
            <w:noWrap w:val="0"/>
            <w:vAlign w:val="center"/>
          </w:tcPr>
          <w:p>
            <w:pPr>
              <w:spacing w:line="400" w:lineRule="exact"/>
              <w:ind w:left="-90"/>
              <w:jc w:val="center"/>
              <w:rPr>
                <w:rFonts w:eastAsia="方正仿宋_GBK"/>
                <w:bCs/>
                <w:color w:val="000000"/>
                <w:spacing w:val="-2"/>
              </w:rPr>
            </w:pPr>
            <w:r>
              <w:rPr>
                <w:rFonts w:eastAsia="方正仿宋_GBK"/>
                <w:bCs/>
                <w:color w:val="000000"/>
                <w:spacing w:val="-2"/>
                <w:kern w:val="0"/>
              </w:rPr>
              <w:t>6</w:t>
            </w:r>
          </w:p>
        </w:tc>
      </w:tr>
      <w:tr>
        <w:tblPrEx>
          <w:tblCellMar>
            <w:top w:w="0" w:type="dxa"/>
            <w:left w:w="108" w:type="dxa"/>
            <w:bottom w:w="0" w:type="dxa"/>
            <w:right w:w="108" w:type="dxa"/>
          </w:tblCellMar>
        </w:tblPrEx>
        <w:trPr>
          <w:trHeight w:val="510" w:hRule="exact"/>
        </w:trPr>
        <w:tc>
          <w:tcPr>
            <w:tcW w:w="1036" w:type="dxa"/>
            <w:vMerge w:val="restart"/>
            <w:tcBorders>
              <w:top w:val="single" w:color="auto" w:sz="6" w:space="0"/>
              <w:left w:val="single" w:color="auto" w:sz="8"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kern w:val="0"/>
              </w:rPr>
            </w:pPr>
            <w:r>
              <w:rPr>
                <w:rFonts w:hint="eastAsia" w:eastAsia="方正仿宋_GBK"/>
                <w:color w:val="000000"/>
                <w:spacing w:val="-2"/>
                <w:kern w:val="0"/>
              </w:rPr>
              <w:t>投加量</w:t>
            </w:r>
            <w:r>
              <w:rPr>
                <w:rFonts w:eastAsia="方正仿宋_GBK"/>
                <w:color w:val="000000"/>
                <w:spacing w:val="-2"/>
                <w:kern w:val="0"/>
                <w:sz w:val="18"/>
                <w:szCs w:val="18"/>
              </w:rPr>
              <w:t>(mg/L)</w:t>
            </w:r>
          </w:p>
        </w:tc>
        <w:tc>
          <w:tcPr>
            <w:tcW w:w="1099" w:type="dxa"/>
            <w:tcBorders>
              <w:top w:val="single" w:color="auto" w:sz="6" w:space="0"/>
              <w:left w:val="single" w:color="auto" w:sz="6"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p>
        </w:tc>
        <w:tc>
          <w:tcPr>
            <w:tcW w:w="1106" w:type="dxa"/>
            <w:tcBorders>
              <w:top w:val="single" w:color="auto" w:sz="6" w:space="0"/>
              <w:left w:val="single" w:color="auto" w:sz="6" w:space="0"/>
              <w:bottom w:val="single" w:color="auto" w:sz="4"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tcBorders>
              <w:top w:val="single" w:color="auto" w:sz="6" w:space="0"/>
              <w:left w:val="single" w:color="auto" w:sz="6" w:space="0"/>
              <w:bottom w:val="single" w:color="auto" w:sz="4"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gridSpan w:val="2"/>
            <w:tcBorders>
              <w:top w:val="single" w:color="auto" w:sz="6" w:space="0"/>
              <w:left w:val="single" w:color="auto" w:sz="6" w:space="0"/>
              <w:bottom w:val="single" w:color="auto" w:sz="4"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gridSpan w:val="2"/>
            <w:tcBorders>
              <w:top w:val="single" w:color="auto" w:sz="6" w:space="0"/>
              <w:left w:val="single" w:color="auto" w:sz="6" w:space="0"/>
              <w:bottom w:val="single" w:color="auto" w:sz="4"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tcBorders>
              <w:top w:val="single" w:color="auto" w:sz="6" w:space="0"/>
              <w:left w:val="single" w:color="auto" w:sz="6" w:space="0"/>
              <w:bottom w:val="single" w:color="auto" w:sz="4"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tcBorders>
              <w:top w:val="single" w:color="auto" w:sz="6" w:space="0"/>
              <w:left w:val="single" w:color="auto" w:sz="6" w:space="0"/>
              <w:bottom w:val="single" w:color="auto" w:sz="4" w:space="0"/>
              <w:right w:val="single" w:color="auto" w:sz="8" w:space="0"/>
            </w:tcBorders>
            <w:noWrap w:val="0"/>
            <w:vAlign w:val="center"/>
          </w:tcPr>
          <w:p>
            <w:pPr>
              <w:spacing w:line="400" w:lineRule="exact"/>
              <w:ind w:left="-90"/>
              <w:jc w:val="center"/>
              <w:rPr>
                <w:rFonts w:eastAsia="方正仿宋_GBK"/>
                <w:color w:val="000000"/>
                <w:spacing w:val="-2"/>
              </w:rPr>
            </w:pPr>
          </w:p>
        </w:tc>
      </w:tr>
      <w:tr>
        <w:tblPrEx>
          <w:tblCellMar>
            <w:top w:w="0" w:type="dxa"/>
            <w:left w:w="108" w:type="dxa"/>
            <w:bottom w:w="0" w:type="dxa"/>
            <w:right w:w="108" w:type="dxa"/>
          </w:tblCellMar>
        </w:tblPrEx>
        <w:trPr>
          <w:trHeight w:val="510" w:hRule="exact"/>
        </w:trPr>
        <w:tc>
          <w:tcPr>
            <w:tcW w:w="1036"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eastAsia="方正仿宋_GBK"/>
                <w:color w:val="000000"/>
                <w:spacing w:val="-2"/>
                <w:kern w:val="0"/>
              </w:rPr>
            </w:pPr>
          </w:p>
        </w:tc>
        <w:tc>
          <w:tcPr>
            <w:tcW w:w="1099" w:type="dxa"/>
            <w:tcBorders>
              <w:top w:val="single" w:color="auto" w:sz="6" w:space="0"/>
              <w:left w:val="single" w:color="auto" w:sz="6"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kern w:val="0"/>
              </w:rPr>
            </w:pPr>
          </w:p>
        </w:tc>
        <w:tc>
          <w:tcPr>
            <w:tcW w:w="1106" w:type="dxa"/>
            <w:tcBorders>
              <w:top w:val="single" w:color="auto" w:sz="4" w:space="0"/>
              <w:left w:val="single" w:color="auto" w:sz="6" w:space="0"/>
              <w:bottom w:val="single" w:color="auto" w:sz="4"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tcBorders>
              <w:top w:val="single" w:color="auto" w:sz="4" w:space="0"/>
              <w:left w:val="single" w:color="auto" w:sz="6" w:space="0"/>
              <w:bottom w:val="single" w:color="auto" w:sz="4"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gridSpan w:val="2"/>
            <w:tcBorders>
              <w:top w:val="single" w:color="auto" w:sz="4" w:space="0"/>
              <w:left w:val="single" w:color="auto" w:sz="6" w:space="0"/>
              <w:bottom w:val="single" w:color="auto" w:sz="4"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gridSpan w:val="2"/>
            <w:tcBorders>
              <w:top w:val="single" w:color="auto" w:sz="4" w:space="0"/>
              <w:left w:val="single" w:color="auto" w:sz="6" w:space="0"/>
              <w:bottom w:val="single" w:color="auto" w:sz="4"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tcBorders>
              <w:top w:val="single" w:color="auto" w:sz="4" w:space="0"/>
              <w:left w:val="single" w:color="auto" w:sz="6" w:space="0"/>
              <w:bottom w:val="single" w:color="auto" w:sz="4"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tcBorders>
              <w:top w:val="single" w:color="auto" w:sz="4" w:space="0"/>
              <w:left w:val="single" w:color="auto" w:sz="6" w:space="0"/>
              <w:bottom w:val="single" w:color="auto" w:sz="4" w:space="0"/>
              <w:right w:val="single" w:color="auto" w:sz="8" w:space="0"/>
            </w:tcBorders>
            <w:noWrap w:val="0"/>
            <w:vAlign w:val="center"/>
          </w:tcPr>
          <w:p>
            <w:pPr>
              <w:spacing w:line="400" w:lineRule="exact"/>
              <w:ind w:left="-90"/>
              <w:jc w:val="center"/>
              <w:rPr>
                <w:rFonts w:eastAsia="方正仿宋_GBK"/>
                <w:color w:val="000000"/>
                <w:spacing w:val="-2"/>
              </w:rPr>
            </w:pPr>
          </w:p>
        </w:tc>
      </w:tr>
      <w:tr>
        <w:tblPrEx>
          <w:tblCellMar>
            <w:top w:w="0" w:type="dxa"/>
            <w:left w:w="108" w:type="dxa"/>
            <w:bottom w:w="0" w:type="dxa"/>
            <w:right w:w="108" w:type="dxa"/>
          </w:tblCellMar>
        </w:tblPrEx>
        <w:trPr>
          <w:trHeight w:val="510" w:hRule="exact"/>
        </w:trPr>
        <w:tc>
          <w:tcPr>
            <w:tcW w:w="1036"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eastAsia="方正仿宋_GBK"/>
                <w:color w:val="000000"/>
                <w:spacing w:val="-2"/>
                <w:kern w:val="0"/>
              </w:rPr>
            </w:pPr>
          </w:p>
        </w:tc>
        <w:tc>
          <w:tcPr>
            <w:tcW w:w="1099" w:type="dxa"/>
            <w:tcBorders>
              <w:top w:val="single" w:color="auto" w:sz="6" w:space="0"/>
              <w:left w:val="single" w:color="auto" w:sz="6"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kern w:val="0"/>
              </w:rPr>
            </w:pPr>
          </w:p>
        </w:tc>
        <w:tc>
          <w:tcPr>
            <w:tcW w:w="1106" w:type="dxa"/>
            <w:tcBorders>
              <w:top w:val="single" w:color="auto" w:sz="4" w:space="0"/>
              <w:left w:val="single" w:color="auto" w:sz="6"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tcBorders>
              <w:top w:val="single" w:color="auto" w:sz="4" w:space="0"/>
              <w:left w:val="single" w:color="auto" w:sz="6"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gridSpan w:val="2"/>
            <w:tcBorders>
              <w:top w:val="single" w:color="auto" w:sz="4" w:space="0"/>
              <w:left w:val="single" w:color="auto" w:sz="6"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gridSpan w:val="2"/>
            <w:tcBorders>
              <w:top w:val="single" w:color="auto" w:sz="4" w:space="0"/>
              <w:left w:val="single" w:color="auto" w:sz="6"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tcBorders>
              <w:top w:val="single" w:color="auto" w:sz="4" w:space="0"/>
              <w:left w:val="single" w:color="auto" w:sz="6"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tcBorders>
              <w:top w:val="single" w:color="auto" w:sz="4" w:space="0"/>
              <w:left w:val="single" w:color="auto" w:sz="6" w:space="0"/>
              <w:bottom w:val="single" w:color="auto" w:sz="6" w:space="0"/>
              <w:right w:val="single" w:color="auto" w:sz="8" w:space="0"/>
            </w:tcBorders>
            <w:noWrap w:val="0"/>
            <w:vAlign w:val="center"/>
          </w:tcPr>
          <w:p>
            <w:pPr>
              <w:spacing w:line="400" w:lineRule="exact"/>
              <w:ind w:left="-90"/>
              <w:jc w:val="center"/>
              <w:rPr>
                <w:rFonts w:eastAsia="方正仿宋_GBK"/>
                <w:color w:val="000000"/>
                <w:spacing w:val="-2"/>
              </w:rPr>
            </w:pPr>
          </w:p>
        </w:tc>
      </w:tr>
      <w:tr>
        <w:tblPrEx>
          <w:tblCellMar>
            <w:top w:w="0" w:type="dxa"/>
            <w:left w:w="108" w:type="dxa"/>
            <w:bottom w:w="0" w:type="dxa"/>
            <w:right w:w="108" w:type="dxa"/>
          </w:tblCellMar>
        </w:tblPrEx>
        <w:trPr>
          <w:trHeight w:val="1037" w:hRule="atLeast"/>
        </w:trPr>
        <w:tc>
          <w:tcPr>
            <w:tcW w:w="2135" w:type="dxa"/>
            <w:gridSpan w:val="2"/>
            <w:tcBorders>
              <w:top w:val="single" w:color="auto" w:sz="6" w:space="0"/>
              <w:left w:val="single" w:color="auto" w:sz="8"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kern w:val="0"/>
              </w:rPr>
            </w:pPr>
            <w:r>
              <w:rPr>
                <w:rFonts w:hint="eastAsia" w:eastAsia="方正仿宋_GBK"/>
                <w:color w:val="000000"/>
                <w:spacing w:val="-2"/>
                <w:kern w:val="0"/>
              </w:rPr>
              <w:t>出现絮体时间</w:t>
            </w:r>
          </w:p>
          <w:p>
            <w:pPr>
              <w:spacing w:line="400" w:lineRule="exact"/>
              <w:ind w:left="-90"/>
              <w:jc w:val="center"/>
              <w:rPr>
                <w:rFonts w:eastAsia="方正仿宋_GBK"/>
                <w:color w:val="000000"/>
                <w:spacing w:val="-2"/>
              </w:rPr>
            </w:pPr>
            <w:r>
              <w:rPr>
                <w:rFonts w:hint="eastAsia" w:eastAsia="方正仿宋_GBK"/>
                <w:color w:val="000000"/>
                <w:spacing w:val="-2"/>
                <w:kern w:val="0"/>
              </w:rPr>
              <w:t>及一般描述</w:t>
            </w:r>
          </w:p>
        </w:tc>
        <w:tc>
          <w:tcPr>
            <w:tcW w:w="1106" w:type="dxa"/>
            <w:tcBorders>
              <w:top w:val="single" w:color="auto" w:sz="6" w:space="0"/>
              <w:left w:val="single" w:color="auto" w:sz="6"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tcBorders>
              <w:top w:val="single" w:color="auto" w:sz="6" w:space="0"/>
              <w:left w:val="single" w:color="auto" w:sz="6"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gridSpan w:val="2"/>
            <w:tcBorders>
              <w:top w:val="single" w:color="auto" w:sz="6" w:space="0"/>
              <w:left w:val="single" w:color="auto" w:sz="6"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gridSpan w:val="2"/>
            <w:tcBorders>
              <w:top w:val="single" w:color="auto" w:sz="6" w:space="0"/>
              <w:left w:val="single" w:color="auto" w:sz="6"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tcBorders>
              <w:top w:val="single" w:color="auto" w:sz="6" w:space="0"/>
              <w:left w:val="single" w:color="auto" w:sz="6"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tcBorders>
              <w:top w:val="single" w:color="auto" w:sz="6" w:space="0"/>
              <w:left w:val="single" w:color="auto" w:sz="6" w:space="0"/>
              <w:bottom w:val="single" w:color="auto" w:sz="6" w:space="0"/>
              <w:right w:val="single" w:color="auto" w:sz="8" w:space="0"/>
            </w:tcBorders>
            <w:noWrap w:val="0"/>
            <w:vAlign w:val="center"/>
          </w:tcPr>
          <w:p>
            <w:pPr>
              <w:spacing w:line="400" w:lineRule="exact"/>
              <w:ind w:left="-90"/>
              <w:jc w:val="center"/>
              <w:rPr>
                <w:rFonts w:eastAsia="方正仿宋_GBK"/>
                <w:color w:val="000000"/>
                <w:spacing w:val="-2"/>
              </w:rPr>
            </w:pPr>
          </w:p>
        </w:tc>
      </w:tr>
      <w:tr>
        <w:tblPrEx>
          <w:tblCellMar>
            <w:top w:w="0" w:type="dxa"/>
            <w:left w:w="108" w:type="dxa"/>
            <w:bottom w:w="0" w:type="dxa"/>
            <w:right w:w="108" w:type="dxa"/>
          </w:tblCellMar>
        </w:tblPrEx>
        <w:trPr>
          <w:trHeight w:val="570" w:hRule="atLeast"/>
        </w:trPr>
        <w:tc>
          <w:tcPr>
            <w:tcW w:w="2135" w:type="dxa"/>
            <w:gridSpan w:val="2"/>
            <w:tcBorders>
              <w:top w:val="single" w:color="auto" w:sz="6" w:space="0"/>
              <w:left w:val="single" w:color="auto" w:sz="8"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r>
              <w:rPr>
                <w:rFonts w:hint="eastAsia" w:eastAsia="方正仿宋_GBK"/>
                <w:color w:val="000000"/>
                <w:spacing w:val="-2"/>
                <w:kern w:val="0"/>
              </w:rPr>
              <w:t>浑浊度</w:t>
            </w:r>
            <w:r>
              <w:rPr>
                <w:rFonts w:eastAsia="方正仿宋_GBK"/>
                <w:color w:val="000000"/>
                <w:spacing w:val="-2"/>
                <w:kern w:val="0"/>
              </w:rPr>
              <w:t xml:space="preserve"> (NTU)</w:t>
            </w:r>
          </w:p>
        </w:tc>
        <w:tc>
          <w:tcPr>
            <w:tcW w:w="1106" w:type="dxa"/>
            <w:tcBorders>
              <w:top w:val="single" w:color="auto" w:sz="6" w:space="0"/>
              <w:left w:val="single" w:color="auto" w:sz="6"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tcBorders>
              <w:top w:val="single" w:color="auto" w:sz="6" w:space="0"/>
              <w:left w:val="single" w:color="auto" w:sz="6"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gridSpan w:val="2"/>
            <w:tcBorders>
              <w:top w:val="single" w:color="auto" w:sz="6" w:space="0"/>
              <w:left w:val="single" w:color="auto" w:sz="6"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gridSpan w:val="2"/>
            <w:tcBorders>
              <w:top w:val="single" w:color="auto" w:sz="6" w:space="0"/>
              <w:left w:val="single" w:color="auto" w:sz="6"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tcBorders>
              <w:top w:val="single" w:color="auto" w:sz="6" w:space="0"/>
              <w:left w:val="single" w:color="auto" w:sz="6"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tcBorders>
              <w:top w:val="single" w:color="auto" w:sz="6" w:space="0"/>
              <w:left w:val="single" w:color="auto" w:sz="6" w:space="0"/>
              <w:bottom w:val="single" w:color="auto" w:sz="6" w:space="0"/>
              <w:right w:val="single" w:color="auto" w:sz="8" w:space="0"/>
            </w:tcBorders>
            <w:noWrap w:val="0"/>
            <w:vAlign w:val="center"/>
          </w:tcPr>
          <w:p>
            <w:pPr>
              <w:spacing w:line="400" w:lineRule="exact"/>
              <w:ind w:left="-90"/>
              <w:jc w:val="center"/>
              <w:rPr>
                <w:rFonts w:eastAsia="方正仿宋_GBK"/>
                <w:color w:val="000000"/>
                <w:spacing w:val="-2"/>
              </w:rPr>
            </w:pPr>
          </w:p>
        </w:tc>
      </w:tr>
      <w:tr>
        <w:tblPrEx>
          <w:tblCellMar>
            <w:top w:w="0" w:type="dxa"/>
            <w:left w:w="108" w:type="dxa"/>
            <w:bottom w:w="0" w:type="dxa"/>
            <w:right w:w="108" w:type="dxa"/>
          </w:tblCellMar>
        </w:tblPrEx>
        <w:trPr>
          <w:trHeight w:val="510" w:hRule="exact"/>
        </w:trPr>
        <w:tc>
          <w:tcPr>
            <w:tcW w:w="2135" w:type="dxa"/>
            <w:gridSpan w:val="2"/>
            <w:tcBorders>
              <w:top w:val="single" w:color="auto" w:sz="6" w:space="0"/>
              <w:left w:val="single" w:color="auto" w:sz="8"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r>
              <w:rPr>
                <w:rFonts w:hint="eastAsia" w:eastAsia="方正仿宋_GBK"/>
                <w:color w:val="000000"/>
                <w:spacing w:val="-2"/>
              </w:rPr>
              <w:t>（以下需要再填）</w:t>
            </w:r>
          </w:p>
        </w:tc>
        <w:tc>
          <w:tcPr>
            <w:tcW w:w="1106" w:type="dxa"/>
            <w:tcBorders>
              <w:top w:val="single" w:color="auto" w:sz="6" w:space="0"/>
              <w:left w:val="single" w:color="auto" w:sz="6"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tcBorders>
              <w:top w:val="single" w:color="auto" w:sz="6" w:space="0"/>
              <w:left w:val="single" w:color="auto" w:sz="6"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gridSpan w:val="2"/>
            <w:tcBorders>
              <w:top w:val="single" w:color="auto" w:sz="6" w:space="0"/>
              <w:left w:val="single" w:color="auto" w:sz="6"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gridSpan w:val="2"/>
            <w:tcBorders>
              <w:top w:val="single" w:color="auto" w:sz="6" w:space="0"/>
              <w:left w:val="single" w:color="auto" w:sz="6"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tcBorders>
              <w:top w:val="single" w:color="auto" w:sz="6" w:space="0"/>
              <w:left w:val="single" w:color="auto" w:sz="6"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tcBorders>
              <w:top w:val="single" w:color="auto" w:sz="6" w:space="0"/>
              <w:left w:val="single" w:color="auto" w:sz="6" w:space="0"/>
              <w:bottom w:val="single" w:color="auto" w:sz="6" w:space="0"/>
              <w:right w:val="single" w:color="auto" w:sz="8" w:space="0"/>
            </w:tcBorders>
            <w:noWrap w:val="0"/>
            <w:vAlign w:val="center"/>
          </w:tcPr>
          <w:p>
            <w:pPr>
              <w:spacing w:line="400" w:lineRule="exact"/>
              <w:ind w:left="-90"/>
              <w:jc w:val="center"/>
              <w:rPr>
                <w:rFonts w:eastAsia="方正仿宋_GBK"/>
                <w:color w:val="000000"/>
                <w:spacing w:val="-2"/>
              </w:rPr>
            </w:pPr>
          </w:p>
        </w:tc>
      </w:tr>
      <w:tr>
        <w:tblPrEx>
          <w:tblCellMar>
            <w:top w:w="0" w:type="dxa"/>
            <w:left w:w="108" w:type="dxa"/>
            <w:bottom w:w="0" w:type="dxa"/>
            <w:right w:w="108" w:type="dxa"/>
          </w:tblCellMar>
        </w:tblPrEx>
        <w:trPr>
          <w:trHeight w:val="510" w:hRule="exact"/>
        </w:trPr>
        <w:tc>
          <w:tcPr>
            <w:tcW w:w="2135" w:type="dxa"/>
            <w:gridSpan w:val="2"/>
            <w:tcBorders>
              <w:top w:val="single" w:color="auto" w:sz="6" w:space="0"/>
              <w:left w:val="single" w:color="auto" w:sz="8" w:space="0"/>
              <w:bottom w:val="single" w:color="auto" w:sz="6" w:space="0"/>
              <w:right w:val="single" w:color="auto" w:sz="6" w:space="0"/>
            </w:tcBorders>
            <w:noWrap w:val="0"/>
            <w:vAlign w:val="center"/>
          </w:tcPr>
          <w:p>
            <w:pPr>
              <w:spacing w:line="400" w:lineRule="exact"/>
              <w:ind w:left="-90"/>
              <w:rPr>
                <w:rFonts w:eastAsia="方正仿宋_GBK"/>
                <w:color w:val="000000"/>
                <w:spacing w:val="-2"/>
              </w:rPr>
            </w:pPr>
          </w:p>
        </w:tc>
        <w:tc>
          <w:tcPr>
            <w:tcW w:w="1106" w:type="dxa"/>
            <w:tcBorders>
              <w:top w:val="single" w:color="auto" w:sz="6" w:space="0"/>
              <w:left w:val="single" w:color="auto" w:sz="6"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tcBorders>
              <w:top w:val="single" w:color="auto" w:sz="6" w:space="0"/>
              <w:left w:val="single" w:color="auto" w:sz="6"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gridSpan w:val="2"/>
            <w:tcBorders>
              <w:top w:val="single" w:color="auto" w:sz="6" w:space="0"/>
              <w:left w:val="single" w:color="auto" w:sz="6"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gridSpan w:val="2"/>
            <w:tcBorders>
              <w:top w:val="single" w:color="auto" w:sz="6" w:space="0"/>
              <w:left w:val="single" w:color="auto" w:sz="6"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tcBorders>
              <w:top w:val="single" w:color="auto" w:sz="6" w:space="0"/>
              <w:left w:val="single" w:color="auto" w:sz="6"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tcBorders>
              <w:top w:val="single" w:color="auto" w:sz="6" w:space="0"/>
              <w:left w:val="single" w:color="auto" w:sz="6" w:space="0"/>
              <w:bottom w:val="single" w:color="auto" w:sz="6" w:space="0"/>
              <w:right w:val="single" w:color="auto" w:sz="8" w:space="0"/>
            </w:tcBorders>
            <w:noWrap w:val="0"/>
            <w:vAlign w:val="center"/>
          </w:tcPr>
          <w:p>
            <w:pPr>
              <w:spacing w:line="400" w:lineRule="exact"/>
              <w:ind w:left="-90"/>
              <w:jc w:val="center"/>
              <w:rPr>
                <w:rFonts w:eastAsia="方正仿宋_GBK"/>
                <w:color w:val="000000"/>
                <w:spacing w:val="-2"/>
              </w:rPr>
            </w:pPr>
          </w:p>
        </w:tc>
      </w:tr>
      <w:tr>
        <w:tblPrEx>
          <w:tblCellMar>
            <w:top w:w="0" w:type="dxa"/>
            <w:left w:w="108" w:type="dxa"/>
            <w:bottom w:w="0" w:type="dxa"/>
            <w:right w:w="108" w:type="dxa"/>
          </w:tblCellMar>
        </w:tblPrEx>
        <w:trPr>
          <w:trHeight w:val="510" w:hRule="exact"/>
        </w:trPr>
        <w:tc>
          <w:tcPr>
            <w:tcW w:w="2135" w:type="dxa"/>
            <w:gridSpan w:val="2"/>
            <w:tcBorders>
              <w:top w:val="single" w:color="auto" w:sz="6" w:space="0"/>
              <w:left w:val="single" w:color="auto" w:sz="8" w:space="0"/>
              <w:bottom w:val="single" w:color="auto" w:sz="6" w:space="0"/>
              <w:right w:val="single" w:color="auto" w:sz="6" w:space="0"/>
            </w:tcBorders>
            <w:noWrap w:val="0"/>
            <w:vAlign w:val="center"/>
          </w:tcPr>
          <w:p>
            <w:pPr>
              <w:spacing w:line="400" w:lineRule="exact"/>
              <w:rPr>
                <w:rFonts w:eastAsia="方正仿宋_GBK"/>
                <w:color w:val="000000"/>
                <w:spacing w:val="-2"/>
              </w:rPr>
            </w:pPr>
          </w:p>
        </w:tc>
        <w:tc>
          <w:tcPr>
            <w:tcW w:w="1106" w:type="dxa"/>
            <w:tcBorders>
              <w:top w:val="single" w:color="auto" w:sz="6" w:space="0"/>
              <w:left w:val="single" w:color="auto" w:sz="6"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tcBorders>
              <w:top w:val="single" w:color="auto" w:sz="6" w:space="0"/>
              <w:left w:val="single" w:color="auto" w:sz="6"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gridSpan w:val="2"/>
            <w:tcBorders>
              <w:top w:val="single" w:color="auto" w:sz="6" w:space="0"/>
              <w:left w:val="single" w:color="auto" w:sz="6"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gridSpan w:val="2"/>
            <w:tcBorders>
              <w:top w:val="single" w:color="auto" w:sz="6" w:space="0"/>
              <w:left w:val="single" w:color="auto" w:sz="6"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tcBorders>
              <w:top w:val="single" w:color="auto" w:sz="6" w:space="0"/>
              <w:left w:val="single" w:color="auto" w:sz="6"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tcBorders>
              <w:top w:val="single" w:color="auto" w:sz="6" w:space="0"/>
              <w:left w:val="single" w:color="auto" w:sz="6" w:space="0"/>
              <w:bottom w:val="single" w:color="auto" w:sz="6" w:space="0"/>
              <w:right w:val="single" w:color="auto" w:sz="8" w:space="0"/>
            </w:tcBorders>
            <w:noWrap w:val="0"/>
            <w:vAlign w:val="center"/>
          </w:tcPr>
          <w:p>
            <w:pPr>
              <w:spacing w:line="400" w:lineRule="exact"/>
              <w:ind w:left="-90"/>
              <w:jc w:val="center"/>
              <w:rPr>
                <w:rFonts w:eastAsia="方正仿宋_GBK"/>
                <w:color w:val="000000"/>
                <w:spacing w:val="-2"/>
              </w:rPr>
            </w:pPr>
          </w:p>
        </w:tc>
      </w:tr>
      <w:tr>
        <w:tblPrEx>
          <w:tblCellMar>
            <w:top w:w="0" w:type="dxa"/>
            <w:left w:w="108" w:type="dxa"/>
            <w:bottom w:w="0" w:type="dxa"/>
            <w:right w:w="108" w:type="dxa"/>
          </w:tblCellMar>
        </w:tblPrEx>
        <w:trPr>
          <w:trHeight w:val="510" w:hRule="exact"/>
        </w:trPr>
        <w:tc>
          <w:tcPr>
            <w:tcW w:w="2135" w:type="dxa"/>
            <w:gridSpan w:val="2"/>
            <w:tcBorders>
              <w:top w:val="single" w:color="auto" w:sz="6" w:space="0"/>
              <w:left w:val="single" w:color="auto" w:sz="8" w:space="0"/>
              <w:bottom w:val="single" w:color="auto" w:sz="6" w:space="0"/>
              <w:right w:val="single" w:color="auto" w:sz="6" w:space="0"/>
            </w:tcBorders>
            <w:noWrap w:val="0"/>
            <w:vAlign w:val="center"/>
          </w:tcPr>
          <w:p>
            <w:pPr>
              <w:spacing w:line="400" w:lineRule="exact"/>
              <w:rPr>
                <w:rFonts w:eastAsia="方正仿宋_GBK"/>
                <w:color w:val="000000"/>
                <w:spacing w:val="-2"/>
              </w:rPr>
            </w:pPr>
          </w:p>
        </w:tc>
        <w:tc>
          <w:tcPr>
            <w:tcW w:w="1106" w:type="dxa"/>
            <w:tcBorders>
              <w:top w:val="single" w:color="auto" w:sz="6" w:space="0"/>
              <w:left w:val="single" w:color="auto" w:sz="6"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tcBorders>
              <w:top w:val="single" w:color="auto" w:sz="6" w:space="0"/>
              <w:left w:val="single" w:color="auto" w:sz="6"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gridSpan w:val="2"/>
            <w:tcBorders>
              <w:top w:val="single" w:color="auto" w:sz="6" w:space="0"/>
              <w:left w:val="single" w:color="auto" w:sz="6"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gridSpan w:val="2"/>
            <w:tcBorders>
              <w:top w:val="single" w:color="auto" w:sz="6" w:space="0"/>
              <w:left w:val="single" w:color="auto" w:sz="6"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tcBorders>
              <w:top w:val="single" w:color="auto" w:sz="6" w:space="0"/>
              <w:left w:val="single" w:color="auto" w:sz="6"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p>
        </w:tc>
        <w:tc>
          <w:tcPr>
            <w:tcW w:w="1107" w:type="dxa"/>
            <w:tcBorders>
              <w:top w:val="single" w:color="auto" w:sz="6" w:space="0"/>
              <w:left w:val="single" w:color="auto" w:sz="6" w:space="0"/>
              <w:bottom w:val="single" w:color="auto" w:sz="6" w:space="0"/>
              <w:right w:val="single" w:color="auto" w:sz="8" w:space="0"/>
            </w:tcBorders>
            <w:noWrap w:val="0"/>
            <w:vAlign w:val="center"/>
          </w:tcPr>
          <w:p>
            <w:pPr>
              <w:spacing w:line="400" w:lineRule="exact"/>
              <w:ind w:left="-90"/>
              <w:jc w:val="center"/>
              <w:rPr>
                <w:rFonts w:eastAsia="方正仿宋_GBK"/>
                <w:color w:val="000000"/>
                <w:spacing w:val="-2"/>
              </w:rPr>
            </w:pPr>
          </w:p>
        </w:tc>
      </w:tr>
      <w:tr>
        <w:tblPrEx>
          <w:tblCellMar>
            <w:top w:w="0" w:type="dxa"/>
            <w:left w:w="108" w:type="dxa"/>
            <w:bottom w:w="0" w:type="dxa"/>
            <w:right w:w="108" w:type="dxa"/>
          </w:tblCellMar>
        </w:tblPrEx>
        <w:trPr>
          <w:trHeight w:val="661" w:hRule="exact"/>
        </w:trPr>
        <w:tc>
          <w:tcPr>
            <w:tcW w:w="2135" w:type="dxa"/>
            <w:gridSpan w:val="2"/>
            <w:tcBorders>
              <w:top w:val="single" w:color="auto" w:sz="6" w:space="0"/>
              <w:left w:val="single" w:color="auto" w:sz="8" w:space="0"/>
              <w:bottom w:val="single" w:color="auto" w:sz="6" w:space="0"/>
              <w:right w:val="single" w:color="auto" w:sz="6" w:space="0"/>
            </w:tcBorders>
            <w:noWrap w:val="0"/>
            <w:vAlign w:val="center"/>
          </w:tcPr>
          <w:p>
            <w:pPr>
              <w:spacing w:line="400" w:lineRule="exact"/>
              <w:ind w:left="-90"/>
              <w:jc w:val="center"/>
              <w:rPr>
                <w:rFonts w:eastAsia="方正仿宋_GBK"/>
                <w:color w:val="000000"/>
                <w:spacing w:val="-2"/>
              </w:rPr>
            </w:pPr>
            <w:r>
              <w:rPr>
                <w:rFonts w:hint="eastAsia" w:eastAsia="方正仿宋_GBK"/>
                <w:color w:val="000000"/>
                <w:spacing w:val="-2"/>
                <w:kern w:val="0"/>
              </w:rPr>
              <w:t>试验最佳投矾量</w:t>
            </w:r>
          </w:p>
        </w:tc>
        <w:tc>
          <w:tcPr>
            <w:tcW w:w="6641" w:type="dxa"/>
            <w:gridSpan w:val="8"/>
            <w:tcBorders>
              <w:top w:val="single" w:color="auto" w:sz="6" w:space="0"/>
              <w:left w:val="single" w:color="auto" w:sz="6" w:space="0"/>
              <w:bottom w:val="single" w:color="auto" w:sz="6" w:space="0"/>
              <w:right w:val="single" w:color="auto" w:sz="8" w:space="0"/>
            </w:tcBorders>
            <w:noWrap w:val="0"/>
            <w:vAlign w:val="center"/>
          </w:tcPr>
          <w:p>
            <w:pPr>
              <w:spacing w:line="400" w:lineRule="exact"/>
              <w:ind w:left="-90"/>
              <w:jc w:val="center"/>
              <w:rPr>
                <w:rFonts w:eastAsia="方正仿宋_GBK"/>
                <w:color w:val="000000"/>
                <w:spacing w:val="-2"/>
              </w:rPr>
            </w:pPr>
          </w:p>
        </w:tc>
      </w:tr>
      <w:tr>
        <w:tblPrEx>
          <w:tblCellMar>
            <w:top w:w="0" w:type="dxa"/>
            <w:left w:w="108" w:type="dxa"/>
            <w:bottom w:w="0" w:type="dxa"/>
            <w:right w:w="108" w:type="dxa"/>
          </w:tblCellMar>
        </w:tblPrEx>
        <w:trPr>
          <w:trHeight w:val="391" w:hRule="atLeast"/>
        </w:trPr>
        <w:tc>
          <w:tcPr>
            <w:tcW w:w="2135" w:type="dxa"/>
            <w:gridSpan w:val="2"/>
            <w:tcBorders>
              <w:top w:val="single" w:color="auto" w:sz="6" w:space="0"/>
              <w:left w:val="single" w:color="auto" w:sz="8" w:space="0"/>
              <w:bottom w:val="single" w:color="auto" w:sz="8" w:space="0"/>
              <w:right w:val="single" w:color="auto" w:sz="6" w:space="0"/>
            </w:tcBorders>
            <w:noWrap w:val="0"/>
            <w:vAlign w:val="center"/>
          </w:tcPr>
          <w:p>
            <w:pPr>
              <w:spacing w:line="400" w:lineRule="exact"/>
              <w:ind w:left="-90"/>
              <w:jc w:val="center"/>
              <w:rPr>
                <w:rFonts w:eastAsia="方正仿宋_GBK"/>
                <w:color w:val="000000"/>
                <w:spacing w:val="-2"/>
                <w:kern w:val="0"/>
              </w:rPr>
            </w:pPr>
            <w:r>
              <w:rPr>
                <w:rFonts w:hint="eastAsia" w:eastAsia="方正仿宋_GBK"/>
                <w:color w:val="000000"/>
                <w:spacing w:val="-2"/>
                <w:kern w:val="0"/>
              </w:rPr>
              <w:t>备注</w:t>
            </w:r>
          </w:p>
        </w:tc>
        <w:tc>
          <w:tcPr>
            <w:tcW w:w="6641" w:type="dxa"/>
            <w:gridSpan w:val="8"/>
            <w:tcBorders>
              <w:top w:val="single" w:color="auto" w:sz="6" w:space="0"/>
              <w:left w:val="single" w:color="auto" w:sz="6" w:space="0"/>
              <w:bottom w:val="single" w:color="auto" w:sz="8" w:space="0"/>
              <w:right w:val="single" w:color="auto" w:sz="8" w:space="0"/>
            </w:tcBorders>
            <w:noWrap w:val="0"/>
            <w:vAlign w:val="center"/>
          </w:tcPr>
          <w:p>
            <w:pPr>
              <w:spacing w:line="400" w:lineRule="exact"/>
              <w:ind w:left="-90"/>
              <w:jc w:val="center"/>
              <w:rPr>
                <w:rFonts w:eastAsia="方正仿宋_GBK"/>
                <w:color w:val="000000"/>
                <w:spacing w:val="-2"/>
              </w:rPr>
            </w:pPr>
          </w:p>
          <w:p>
            <w:pPr>
              <w:spacing w:line="400" w:lineRule="exact"/>
              <w:ind w:left="-90"/>
              <w:jc w:val="center"/>
              <w:rPr>
                <w:rFonts w:eastAsia="方正仿宋_GBK"/>
                <w:color w:val="000000"/>
                <w:spacing w:val="-2"/>
              </w:rPr>
            </w:pPr>
          </w:p>
        </w:tc>
      </w:tr>
    </w:tbl>
    <w:p>
      <w:pPr>
        <w:autoSpaceDE w:val="0"/>
        <w:autoSpaceDN w:val="0"/>
        <w:adjustRightInd w:val="0"/>
        <w:snapToGrid w:val="0"/>
        <w:spacing w:line="240" w:lineRule="atLeast"/>
        <w:rPr>
          <w:color w:val="000000"/>
          <w:spacing w:val="-2"/>
          <w:kern w:val="0"/>
        </w:rPr>
      </w:pPr>
    </w:p>
    <w:p>
      <w:pPr>
        <w:autoSpaceDE w:val="0"/>
        <w:autoSpaceDN w:val="0"/>
        <w:adjustRightInd w:val="0"/>
        <w:snapToGrid w:val="0"/>
        <w:spacing w:line="240" w:lineRule="atLeast"/>
        <w:ind w:firstLine="206" w:firstLineChars="100"/>
        <w:rPr>
          <w:rFonts w:eastAsia="方正仿宋_GBK"/>
          <w:color w:val="000000"/>
          <w:spacing w:val="-2"/>
          <w:kern w:val="0"/>
        </w:rPr>
      </w:pPr>
      <w:r>
        <w:rPr>
          <w:rFonts w:hint="eastAsia" w:eastAsia="方正仿宋_GBK"/>
          <w:color w:val="000000"/>
          <w:spacing w:val="-2"/>
          <w:kern w:val="0"/>
        </w:rPr>
        <w:t>检测人：</w:t>
      </w:r>
      <w:r>
        <w:rPr>
          <w:rFonts w:eastAsia="方正仿宋_GBK"/>
          <w:color w:val="000000"/>
          <w:spacing w:val="-2"/>
          <w:kern w:val="0"/>
        </w:rPr>
        <w:t xml:space="preserve">              </w:t>
      </w:r>
      <w:r>
        <w:rPr>
          <w:rFonts w:hint="eastAsia" w:eastAsia="方正仿宋_GBK"/>
          <w:color w:val="000000"/>
          <w:spacing w:val="-2"/>
          <w:kern w:val="0"/>
        </w:rPr>
        <w:t>检测日期：</w:t>
      </w:r>
      <w:r>
        <w:rPr>
          <w:rFonts w:eastAsia="方正仿宋_GBK"/>
          <w:color w:val="000000"/>
          <w:spacing w:val="-2"/>
          <w:kern w:val="0"/>
        </w:rPr>
        <w:t xml:space="preserve">             </w:t>
      </w:r>
      <w:r>
        <w:rPr>
          <w:rFonts w:hint="eastAsia" w:eastAsia="方正仿宋_GBK"/>
          <w:color w:val="000000"/>
          <w:spacing w:val="-2"/>
          <w:kern w:val="0"/>
        </w:rPr>
        <w:t>校核人：</w:t>
      </w:r>
      <w:r>
        <w:rPr>
          <w:rFonts w:eastAsia="方正仿宋_GBK"/>
          <w:color w:val="000000"/>
          <w:spacing w:val="-2"/>
          <w:kern w:val="0"/>
        </w:rPr>
        <w:t xml:space="preserve">         </w:t>
      </w:r>
      <w:r>
        <w:rPr>
          <w:rFonts w:hint="eastAsia" w:eastAsia="方正仿宋_GBK"/>
          <w:color w:val="000000"/>
          <w:spacing w:val="-2"/>
          <w:kern w:val="0"/>
        </w:rPr>
        <w:t>校核日期：</w:t>
      </w:r>
    </w:p>
    <w:p>
      <w:pPr>
        <w:spacing w:line="460" w:lineRule="exact"/>
        <w:rPr>
          <w:rFonts w:ascii="Times New Roman" w:eastAsia="方正黑体_GBK"/>
          <w:color w:val="000000"/>
          <w:spacing w:val="-2"/>
          <w:sz w:val="28"/>
          <w:szCs w:val="28"/>
        </w:rPr>
      </w:pPr>
      <w:r>
        <w:rPr>
          <w:rFonts w:eastAsia="仿宋_GB2312"/>
          <w:color w:val="000000"/>
          <w:spacing w:val="-2"/>
          <w:sz w:val="32"/>
          <w:szCs w:val="32"/>
        </w:rPr>
        <w:br w:type="column"/>
      </w:r>
      <w:r>
        <w:rPr>
          <w:rFonts w:hint="eastAsia" w:ascii="Times New Roman" w:eastAsia="方正黑体_GBK"/>
          <w:color w:val="000000"/>
          <w:spacing w:val="-2"/>
          <w:sz w:val="28"/>
          <w:szCs w:val="28"/>
        </w:rPr>
        <w:t>附表4：</w:t>
      </w:r>
    </w:p>
    <w:p>
      <w:pPr>
        <w:spacing w:line="360" w:lineRule="auto"/>
        <w:jc w:val="center"/>
        <w:rPr>
          <w:rFonts w:hint="eastAsia" w:ascii="Times New Roman" w:hAnsi="Times New Roman" w:eastAsia="方正黑体_GBK"/>
          <w:bCs/>
          <w:color w:val="000000"/>
          <w:spacing w:val="-2"/>
          <w:kern w:val="0"/>
          <w:sz w:val="28"/>
          <w:szCs w:val="28"/>
        </w:rPr>
      </w:pPr>
      <w:r>
        <w:rPr>
          <w:rFonts w:hint="eastAsia" w:ascii="Times New Roman" w:hAnsi="Times New Roman" w:eastAsia="方正黑体_GBK"/>
          <w:bCs/>
          <w:color w:val="000000"/>
          <w:spacing w:val="-2"/>
          <w:kern w:val="0"/>
          <w:sz w:val="28"/>
          <w:szCs w:val="28"/>
        </w:rPr>
        <w:t>滤 料 筛 分 析 原 始 记 录</w:t>
      </w:r>
    </w:p>
    <w:tbl>
      <w:tblPr>
        <w:tblStyle w:val="12"/>
        <w:tblW w:w="0" w:type="auto"/>
        <w:tblInd w:w="9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138"/>
        <w:gridCol w:w="434"/>
        <w:gridCol w:w="949"/>
        <w:gridCol w:w="825"/>
        <w:gridCol w:w="448"/>
        <w:gridCol w:w="1108"/>
        <w:gridCol w:w="38"/>
        <w:gridCol w:w="646"/>
        <w:gridCol w:w="548"/>
        <w:gridCol w:w="38"/>
        <w:gridCol w:w="18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1858" w:type="dxa"/>
            <w:gridSpan w:val="2"/>
            <w:tcBorders>
              <w:top w:val="single" w:color="auto" w:sz="8"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收样日期</w:t>
            </w:r>
          </w:p>
        </w:tc>
        <w:tc>
          <w:tcPr>
            <w:tcW w:w="2208" w:type="dxa"/>
            <w:gridSpan w:val="3"/>
            <w:tcBorders>
              <w:top w:val="single" w:color="auto" w:sz="8"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2240" w:type="dxa"/>
            <w:gridSpan w:val="4"/>
            <w:tcBorders>
              <w:top w:val="single" w:color="auto" w:sz="8"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环境温</w:t>
            </w:r>
            <w:r>
              <w:rPr>
                <w:rFonts w:eastAsia="方正仿宋_GBK"/>
                <w:color w:val="000000"/>
                <w:spacing w:val="-2"/>
                <w:szCs w:val="21"/>
              </w:rPr>
              <w:t>/</w:t>
            </w:r>
            <w:r>
              <w:rPr>
                <w:rFonts w:hint="eastAsia" w:eastAsia="方正仿宋_GBK"/>
                <w:color w:val="000000"/>
                <w:spacing w:val="-2"/>
                <w:szCs w:val="21"/>
              </w:rPr>
              <w:t>湿度</w:t>
            </w:r>
          </w:p>
        </w:tc>
        <w:tc>
          <w:tcPr>
            <w:tcW w:w="2456" w:type="dxa"/>
            <w:gridSpan w:val="3"/>
            <w:tcBorders>
              <w:top w:val="single" w:color="auto" w:sz="8" w:space="0"/>
              <w:left w:val="single" w:color="auto" w:sz="4" w:space="0"/>
              <w:bottom w:val="single" w:color="auto" w:sz="4" w:space="0"/>
              <w:right w:val="single" w:color="auto" w:sz="8" w:space="0"/>
            </w:tcBorders>
            <w:noWrap w:val="0"/>
            <w:vAlign w:val="center"/>
          </w:tcPr>
          <w:p>
            <w:pPr>
              <w:ind w:firstLine="412" w:firstLineChars="200"/>
              <w:jc w:val="center"/>
              <w:rPr>
                <w:rFonts w:eastAsia="方正仿宋_GBK"/>
                <w:color w:val="000000"/>
                <w:spacing w:val="-2"/>
                <w:szCs w:val="21"/>
              </w:rPr>
            </w:pPr>
            <w:r>
              <w:rPr>
                <w:rFonts w:hint="eastAsia" w:ascii="Times New Roman" w:hAnsi="Times New Roman" w:cs="宋体"/>
                <w:color w:val="000000"/>
                <w:spacing w:val="-2"/>
                <w:szCs w:val="21"/>
              </w:rPr>
              <w:t>℃</w:t>
            </w:r>
            <w:r>
              <w:rPr>
                <w:rFonts w:eastAsia="方正仿宋_GBK"/>
                <w:color w:val="000000"/>
                <w:spacing w:val="-2"/>
                <w:szCs w:val="21"/>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858" w:type="dxa"/>
            <w:gridSpan w:val="2"/>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样品编号</w:t>
            </w:r>
          </w:p>
        </w:tc>
        <w:tc>
          <w:tcPr>
            <w:tcW w:w="2208"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2240"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恒重温度</w:t>
            </w:r>
          </w:p>
        </w:tc>
        <w:tc>
          <w:tcPr>
            <w:tcW w:w="2456" w:type="dxa"/>
            <w:gridSpan w:val="3"/>
            <w:tcBorders>
              <w:top w:val="single" w:color="auto" w:sz="4" w:space="0"/>
              <w:left w:val="single" w:color="auto" w:sz="4" w:space="0"/>
              <w:bottom w:val="single" w:color="auto" w:sz="4" w:space="0"/>
              <w:right w:val="single" w:color="auto" w:sz="8" w:space="0"/>
            </w:tcBorders>
            <w:noWrap w:val="0"/>
            <w:vAlign w:val="center"/>
          </w:tcPr>
          <w:p>
            <w:pPr>
              <w:ind w:firstLine="824" w:firstLineChars="400"/>
              <w:jc w:val="center"/>
              <w:rPr>
                <w:rFonts w:eastAsia="方正仿宋_GBK"/>
                <w:color w:val="000000"/>
                <w:spacing w:val="-2"/>
                <w:szCs w:val="21"/>
              </w:rPr>
            </w:pPr>
            <w:r>
              <w:rPr>
                <w:rFonts w:hint="eastAsia" w:ascii="Times New Roman" w:hAnsi="Times New Roman" w:cs="宋体"/>
                <w:color w:val="000000"/>
                <w:spacing w:val="-2"/>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720" w:type="dxa"/>
            <w:tcBorders>
              <w:top w:val="single" w:color="auto" w:sz="4" w:space="0"/>
              <w:left w:val="single" w:color="auto" w:sz="8" w:space="0"/>
              <w:bottom w:val="single" w:color="auto" w:sz="4" w:space="0"/>
              <w:right w:val="single" w:color="auto" w:sz="4" w:space="0"/>
            </w:tcBorders>
            <w:noWrap w:val="0"/>
            <w:vAlign w:val="center"/>
          </w:tcPr>
          <w:p>
            <w:pPr>
              <w:spacing w:line="240" w:lineRule="exact"/>
              <w:rPr>
                <w:rFonts w:eastAsia="方正仿宋_GBK"/>
                <w:color w:val="000000"/>
                <w:spacing w:val="-2"/>
                <w:szCs w:val="21"/>
              </w:rPr>
            </w:pPr>
            <w:r>
              <w:rPr>
                <w:rFonts w:hint="eastAsia" w:eastAsia="方正仿宋_GBK"/>
                <w:color w:val="000000"/>
                <w:spacing w:val="-2"/>
                <w:szCs w:val="21"/>
              </w:rPr>
              <w:t>天平</w:t>
            </w:r>
          </w:p>
          <w:p>
            <w:pPr>
              <w:spacing w:line="240" w:lineRule="exact"/>
              <w:rPr>
                <w:rFonts w:eastAsia="方正仿宋_GBK"/>
                <w:color w:val="000000"/>
                <w:spacing w:val="-2"/>
                <w:szCs w:val="21"/>
              </w:rPr>
            </w:pPr>
            <w:r>
              <w:rPr>
                <w:rFonts w:hint="eastAsia" w:eastAsia="方正仿宋_GBK"/>
                <w:color w:val="000000"/>
                <w:spacing w:val="-2"/>
                <w:szCs w:val="21"/>
              </w:rPr>
              <w:t>型号</w:t>
            </w:r>
          </w:p>
        </w:tc>
        <w:tc>
          <w:tcPr>
            <w:tcW w:w="113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420"/>
              <w:jc w:val="center"/>
              <w:rPr>
                <w:rFonts w:eastAsia="方正仿宋_GBK"/>
                <w:color w:val="000000"/>
                <w:spacing w:val="-2"/>
                <w:szCs w:val="21"/>
              </w:rPr>
            </w:pPr>
          </w:p>
        </w:tc>
        <w:tc>
          <w:tcPr>
            <w:tcW w:w="1383"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eastAsia="方正仿宋_GBK"/>
                <w:color w:val="000000"/>
                <w:spacing w:val="-2"/>
                <w:szCs w:val="21"/>
              </w:rPr>
            </w:pPr>
            <w:r>
              <w:rPr>
                <w:rFonts w:hint="eastAsia" w:eastAsia="方正仿宋_GBK"/>
                <w:color w:val="000000"/>
                <w:spacing w:val="-2"/>
                <w:szCs w:val="21"/>
              </w:rPr>
              <w:t>天平编号</w:t>
            </w:r>
          </w:p>
        </w:tc>
        <w:tc>
          <w:tcPr>
            <w:tcW w:w="1273"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ind w:left="420"/>
              <w:jc w:val="center"/>
              <w:rPr>
                <w:rFonts w:eastAsia="方正仿宋_GBK"/>
                <w:color w:val="000000"/>
                <w:spacing w:val="-2"/>
                <w:szCs w:val="21"/>
              </w:rPr>
            </w:pPr>
          </w:p>
        </w:tc>
        <w:tc>
          <w:tcPr>
            <w:tcW w:w="2340" w:type="dxa"/>
            <w:gridSpan w:val="4"/>
            <w:tcBorders>
              <w:top w:val="single" w:color="auto" w:sz="4" w:space="0"/>
              <w:left w:val="single" w:color="auto" w:sz="4" w:space="0"/>
              <w:bottom w:val="single" w:color="auto" w:sz="4" w:space="0"/>
              <w:right w:val="single" w:color="auto" w:sz="4" w:space="0"/>
            </w:tcBorders>
            <w:noWrap w:val="0"/>
            <w:vAlign w:val="center"/>
          </w:tcPr>
          <w:p>
            <w:pPr>
              <w:spacing w:line="360" w:lineRule="auto"/>
              <w:ind w:left="420"/>
              <w:jc w:val="center"/>
              <w:rPr>
                <w:rFonts w:eastAsia="方正仿宋_GBK"/>
                <w:color w:val="000000"/>
                <w:spacing w:val="-2"/>
                <w:szCs w:val="21"/>
              </w:rPr>
            </w:pPr>
            <w:r>
              <w:rPr>
                <w:rFonts w:hint="eastAsia" w:eastAsia="方正仿宋_GBK"/>
                <w:color w:val="000000"/>
                <w:spacing w:val="-2"/>
                <w:szCs w:val="21"/>
              </w:rPr>
              <w:t>试样质量（</w:t>
            </w:r>
            <w:r>
              <w:rPr>
                <w:rFonts w:eastAsia="方正仿宋_GBK"/>
                <w:color w:val="000000"/>
                <w:spacing w:val="-2"/>
                <w:szCs w:val="21"/>
              </w:rPr>
              <w:t>g</w:t>
            </w:r>
            <w:r>
              <w:rPr>
                <w:rFonts w:hint="eastAsia" w:eastAsia="方正仿宋_GBK"/>
                <w:color w:val="000000"/>
                <w:spacing w:val="-2"/>
                <w:szCs w:val="21"/>
              </w:rPr>
              <w:t>）</w:t>
            </w:r>
          </w:p>
        </w:tc>
        <w:tc>
          <w:tcPr>
            <w:tcW w:w="1908" w:type="dxa"/>
            <w:gridSpan w:val="2"/>
            <w:tcBorders>
              <w:top w:val="single" w:color="auto" w:sz="4" w:space="0"/>
              <w:left w:val="single" w:color="auto" w:sz="4" w:space="0"/>
              <w:bottom w:val="single" w:color="auto" w:sz="4" w:space="0"/>
              <w:right w:val="single" w:color="auto" w:sz="8" w:space="0"/>
            </w:tcBorders>
            <w:noWrap w:val="0"/>
            <w:vAlign w:val="top"/>
          </w:tcPr>
          <w:p>
            <w:pPr>
              <w:spacing w:line="360" w:lineRule="auto"/>
              <w:ind w:left="420" w:firstLine="618" w:firstLineChars="300"/>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20" w:type="dxa"/>
            <w:vMerge w:val="restart"/>
            <w:tcBorders>
              <w:top w:val="single" w:color="auto" w:sz="4" w:space="0"/>
              <w:left w:val="single" w:color="auto" w:sz="8" w:space="0"/>
              <w:bottom w:val="single" w:color="auto" w:sz="4" w:space="0"/>
              <w:right w:val="single" w:color="auto" w:sz="4" w:space="0"/>
            </w:tcBorders>
            <w:noWrap w:val="0"/>
            <w:vAlign w:val="center"/>
          </w:tcPr>
          <w:p>
            <w:pPr>
              <w:spacing w:line="360" w:lineRule="auto"/>
              <w:jc w:val="center"/>
              <w:rPr>
                <w:rFonts w:eastAsia="方正仿宋_GBK"/>
                <w:color w:val="000000"/>
                <w:spacing w:val="-2"/>
                <w:szCs w:val="21"/>
              </w:rPr>
            </w:pPr>
            <w:r>
              <w:rPr>
                <w:rFonts w:hint="eastAsia" w:eastAsia="方正仿宋_GBK"/>
                <w:color w:val="000000"/>
                <w:spacing w:val="-2"/>
                <w:szCs w:val="21"/>
              </w:rPr>
              <w:t>序号</w:t>
            </w:r>
          </w:p>
        </w:tc>
        <w:tc>
          <w:tcPr>
            <w:tcW w:w="1138"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eastAsia="方正仿宋_GBK"/>
                <w:color w:val="000000"/>
                <w:spacing w:val="-2"/>
                <w:szCs w:val="21"/>
              </w:rPr>
            </w:pPr>
            <w:r>
              <w:rPr>
                <w:rFonts w:hint="eastAsia" w:eastAsia="方正仿宋_GBK"/>
                <w:color w:val="000000"/>
                <w:spacing w:val="-2"/>
                <w:szCs w:val="21"/>
              </w:rPr>
              <w:t>筛孔径</w:t>
            </w:r>
          </w:p>
          <w:p>
            <w:pPr>
              <w:spacing w:line="360" w:lineRule="auto"/>
              <w:jc w:val="center"/>
              <w:rPr>
                <w:rFonts w:eastAsia="方正仿宋_GBK"/>
                <w:color w:val="000000"/>
                <w:spacing w:val="-2"/>
                <w:szCs w:val="21"/>
              </w:rPr>
            </w:pPr>
            <w:r>
              <w:rPr>
                <w:rFonts w:eastAsia="方正仿宋_GBK"/>
                <w:color w:val="000000"/>
                <w:spacing w:val="-2"/>
                <w:szCs w:val="21"/>
              </w:rPr>
              <w:t>(mm)</w:t>
            </w:r>
          </w:p>
        </w:tc>
        <w:tc>
          <w:tcPr>
            <w:tcW w:w="3764" w:type="dxa"/>
            <w:gridSpan w:val="5"/>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auto"/>
              <w:ind w:left="420"/>
              <w:jc w:val="center"/>
              <w:rPr>
                <w:rFonts w:eastAsia="方正仿宋_GBK"/>
                <w:color w:val="000000"/>
                <w:spacing w:val="-2"/>
                <w:szCs w:val="21"/>
              </w:rPr>
            </w:pPr>
            <w:r>
              <w:rPr>
                <w:rFonts w:hint="eastAsia" w:eastAsia="方正仿宋_GBK"/>
                <w:color w:val="000000"/>
                <w:spacing w:val="-2"/>
                <w:szCs w:val="21"/>
              </w:rPr>
              <w:t>截留在筛上的试样质量（</w:t>
            </w:r>
            <w:r>
              <w:rPr>
                <w:rFonts w:eastAsia="方正仿宋_GBK"/>
                <w:color w:val="000000"/>
                <w:spacing w:val="-2"/>
                <w:szCs w:val="21"/>
              </w:rPr>
              <w:t>g</w:t>
            </w:r>
            <w:r>
              <w:rPr>
                <w:rFonts w:hint="eastAsia" w:eastAsia="方正仿宋_GBK"/>
                <w:color w:val="000000"/>
                <w:spacing w:val="-2"/>
                <w:szCs w:val="21"/>
              </w:rPr>
              <w:t>）</w:t>
            </w:r>
          </w:p>
        </w:tc>
        <w:tc>
          <w:tcPr>
            <w:tcW w:w="3140" w:type="dxa"/>
            <w:gridSpan w:val="5"/>
            <w:tcBorders>
              <w:top w:val="single" w:color="auto" w:sz="4" w:space="0"/>
              <w:left w:val="single" w:color="auto" w:sz="4" w:space="0"/>
              <w:bottom w:val="single" w:color="auto" w:sz="4" w:space="0"/>
              <w:right w:val="single" w:color="auto" w:sz="8" w:space="0"/>
            </w:tcBorders>
            <w:noWrap w:val="0"/>
            <w:vAlign w:val="center"/>
          </w:tcPr>
          <w:p>
            <w:pPr>
              <w:spacing w:line="360" w:lineRule="auto"/>
              <w:ind w:left="420"/>
              <w:jc w:val="center"/>
              <w:rPr>
                <w:rFonts w:eastAsia="方正仿宋_GBK"/>
                <w:color w:val="000000"/>
                <w:spacing w:val="-2"/>
                <w:szCs w:val="21"/>
              </w:rPr>
            </w:pPr>
            <w:r>
              <w:rPr>
                <w:rFonts w:hint="eastAsia" w:eastAsia="方正仿宋_GBK"/>
                <w:color w:val="000000"/>
                <w:spacing w:val="-2"/>
                <w:szCs w:val="21"/>
              </w:rPr>
              <w:t>通过筛子的试样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7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1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3764" w:type="dxa"/>
            <w:gridSpan w:val="5"/>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232"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eastAsia="方正仿宋_GBK"/>
                <w:color w:val="000000"/>
                <w:spacing w:val="-2"/>
                <w:szCs w:val="21"/>
              </w:rPr>
            </w:pPr>
            <w:r>
              <w:rPr>
                <w:rFonts w:hint="eastAsia" w:eastAsia="方正仿宋_GBK"/>
                <w:color w:val="000000"/>
                <w:spacing w:val="-2"/>
                <w:szCs w:val="21"/>
              </w:rPr>
              <w:t>质量（</w:t>
            </w:r>
            <w:r>
              <w:rPr>
                <w:rFonts w:eastAsia="方正仿宋_GBK"/>
                <w:color w:val="000000"/>
                <w:spacing w:val="-2"/>
                <w:szCs w:val="21"/>
              </w:rPr>
              <w:t>g</w:t>
            </w:r>
            <w:r>
              <w:rPr>
                <w:rFonts w:hint="eastAsia" w:eastAsia="方正仿宋_GBK"/>
                <w:color w:val="000000"/>
                <w:spacing w:val="-2"/>
                <w:szCs w:val="21"/>
              </w:rPr>
              <w:t>）</w:t>
            </w:r>
          </w:p>
        </w:tc>
        <w:tc>
          <w:tcPr>
            <w:tcW w:w="1908" w:type="dxa"/>
            <w:gridSpan w:val="2"/>
            <w:tcBorders>
              <w:top w:val="single" w:color="auto" w:sz="4" w:space="0"/>
              <w:left w:val="single" w:color="auto" w:sz="4" w:space="0"/>
              <w:bottom w:val="single" w:color="auto" w:sz="4" w:space="0"/>
              <w:right w:val="single" w:color="auto" w:sz="8" w:space="0"/>
            </w:tcBorders>
            <w:noWrap w:val="0"/>
            <w:vAlign w:val="center"/>
          </w:tcPr>
          <w:p>
            <w:pPr>
              <w:spacing w:line="360" w:lineRule="auto"/>
              <w:rPr>
                <w:rFonts w:eastAsia="方正仿宋_GBK"/>
                <w:color w:val="000000"/>
                <w:spacing w:val="-2"/>
                <w:szCs w:val="21"/>
              </w:rPr>
            </w:pPr>
            <w:r>
              <w:rPr>
                <w:rFonts w:hint="eastAsia" w:eastAsia="方正仿宋_GBK"/>
                <w:color w:val="000000"/>
                <w:spacing w:val="-2"/>
                <w:szCs w:val="21"/>
              </w:rPr>
              <w:t>百分数（</w:t>
            </w:r>
            <w:r>
              <w:rPr>
                <w:rFonts w:eastAsia="方正仿宋_GBK"/>
                <w:color w:val="000000"/>
                <w:spacing w:val="-2"/>
                <w:szCs w:val="21"/>
              </w:rPr>
              <w:t>%</w:t>
            </w:r>
            <w:r>
              <w:rPr>
                <w:rFonts w:hint="eastAsia" w:eastAsia="方正仿宋_GBK"/>
                <w:color w:val="000000"/>
                <w:spacing w:val="-2"/>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720" w:type="dxa"/>
            <w:tcBorders>
              <w:top w:val="single" w:color="auto" w:sz="4" w:space="0"/>
              <w:left w:val="single" w:color="auto" w:sz="8" w:space="0"/>
              <w:bottom w:val="single" w:color="auto" w:sz="4" w:space="0"/>
              <w:right w:val="single" w:color="auto" w:sz="4" w:space="0"/>
            </w:tcBorders>
            <w:noWrap w:val="0"/>
            <w:vAlign w:val="center"/>
          </w:tcPr>
          <w:p>
            <w:pPr>
              <w:spacing w:line="360" w:lineRule="auto"/>
              <w:jc w:val="center"/>
              <w:rPr>
                <w:rFonts w:eastAsia="方正仿宋_GBK"/>
                <w:color w:val="000000"/>
                <w:spacing w:val="-2"/>
                <w:szCs w:val="21"/>
              </w:rPr>
            </w:pPr>
            <w:r>
              <w:rPr>
                <w:rFonts w:eastAsia="方正仿宋_GBK"/>
                <w:color w:val="000000"/>
                <w:spacing w:val="-2"/>
                <w:szCs w:val="21"/>
              </w:rPr>
              <w:t>1</w:t>
            </w:r>
          </w:p>
        </w:tc>
        <w:tc>
          <w:tcPr>
            <w:tcW w:w="113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420"/>
              <w:jc w:val="center"/>
              <w:rPr>
                <w:rFonts w:eastAsia="方正仿宋_GBK"/>
                <w:color w:val="000000"/>
                <w:spacing w:val="-2"/>
                <w:szCs w:val="21"/>
              </w:rPr>
            </w:pPr>
          </w:p>
        </w:tc>
        <w:tc>
          <w:tcPr>
            <w:tcW w:w="3764" w:type="dxa"/>
            <w:gridSpan w:val="5"/>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232" w:type="dxa"/>
            <w:gridSpan w:val="3"/>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908" w:type="dxa"/>
            <w:gridSpan w:val="2"/>
            <w:tcBorders>
              <w:top w:val="single" w:color="auto" w:sz="4" w:space="0"/>
              <w:left w:val="single" w:color="auto" w:sz="4" w:space="0"/>
              <w:bottom w:val="single" w:color="auto" w:sz="4" w:space="0"/>
              <w:right w:val="single" w:color="auto" w:sz="8" w:space="0"/>
            </w:tcBorders>
            <w:noWrap w:val="0"/>
            <w:vAlign w:val="top"/>
          </w:tcPr>
          <w:p>
            <w:pPr>
              <w:spacing w:line="360" w:lineRule="auto"/>
              <w:ind w:left="420"/>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720" w:type="dxa"/>
            <w:tcBorders>
              <w:top w:val="single" w:color="auto" w:sz="4" w:space="0"/>
              <w:left w:val="single" w:color="auto" w:sz="8" w:space="0"/>
              <w:bottom w:val="single" w:color="auto" w:sz="4" w:space="0"/>
              <w:right w:val="single" w:color="auto" w:sz="4" w:space="0"/>
            </w:tcBorders>
            <w:noWrap w:val="0"/>
            <w:vAlign w:val="center"/>
          </w:tcPr>
          <w:p>
            <w:pPr>
              <w:spacing w:line="360" w:lineRule="auto"/>
              <w:jc w:val="center"/>
              <w:rPr>
                <w:rFonts w:eastAsia="方正仿宋_GBK"/>
                <w:color w:val="000000"/>
                <w:spacing w:val="-2"/>
                <w:szCs w:val="21"/>
              </w:rPr>
            </w:pPr>
            <w:r>
              <w:rPr>
                <w:rFonts w:eastAsia="方正仿宋_GBK"/>
                <w:color w:val="000000"/>
                <w:spacing w:val="-2"/>
                <w:szCs w:val="21"/>
              </w:rPr>
              <w:t>2</w:t>
            </w:r>
          </w:p>
        </w:tc>
        <w:tc>
          <w:tcPr>
            <w:tcW w:w="113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420"/>
              <w:jc w:val="center"/>
              <w:rPr>
                <w:rFonts w:eastAsia="方正仿宋_GBK"/>
                <w:color w:val="000000"/>
                <w:spacing w:val="-2"/>
                <w:szCs w:val="21"/>
              </w:rPr>
            </w:pPr>
          </w:p>
        </w:tc>
        <w:tc>
          <w:tcPr>
            <w:tcW w:w="3764" w:type="dxa"/>
            <w:gridSpan w:val="5"/>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232" w:type="dxa"/>
            <w:gridSpan w:val="3"/>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908" w:type="dxa"/>
            <w:gridSpan w:val="2"/>
            <w:tcBorders>
              <w:top w:val="single" w:color="auto" w:sz="4" w:space="0"/>
              <w:left w:val="single" w:color="auto" w:sz="4" w:space="0"/>
              <w:bottom w:val="single" w:color="auto" w:sz="4" w:space="0"/>
              <w:right w:val="single" w:color="auto" w:sz="8" w:space="0"/>
            </w:tcBorders>
            <w:noWrap w:val="0"/>
            <w:vAlign w:val="top"/>
          </w:tcPr>
          <w:p>
            <w:pPr>
              <w:spacing w:line="360" w:lineRule="auto"/>
              <w:ind w:left="420"/>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720" w:type="dxa"/>
            <w:tcBorders>
              <w:top w:val="single" w:color="auto" w:sz="4" w:space="0"/>
              <w:left w:val="single" w:color="auto" w:sz="8" w:space="0"/>
              <w:bottom w:val="single" w:color="auto" w:sz="4" w:space="0"/>
              <w:right w:val="single" w:color="auto" w:sz="4" w:space="0"/>
            </w:tcBorders>
            <w:noWrap w:val="0"/>
            <w:vAlign w:val="center"/>
          </w:tcPr>
          <w:p>
            <w:pPr>
              <w:spacing w:line="360" w:lineRule="auto"/>
              <w:jc w:val="center"/>
              <w:rPr>
                <w:rFonts w:eastAsia="方正仿宋_GBK"/>
                <w:color w:val="000000"/>
                <w:spacing w:val="-2"/>
                <w:szCs w:val="21"/>
              </w:rPr>
            </w:pPr>
            <w:r>
              <w:rPr>
                <w:rFonts w:eastAsia="方正仿宋_GBK"/>
                <w:color w:val="000000"/>
                <w:spacing w:val="-2"/>
                <w:szCs w:val="21"/>
              </w:rPr>
              <w:t>3</w:t>
            </w:r>
          </w:p>
        </w:tc>
        <w:tc>
          <w:tcPr>
            <w:tcW w:w="113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420"/>
              <w:jc w:val="center"/>
              <w:rPr>
                <w:rFonts w:eastAsia="方正仿宋_GBK"/>
                <w:color w:val="000000"/>
                <w:spacing w:val="-2"/>
                <w:szCs w:val="21"/>
              </w:rPr>
            </w:pPr>
          </w:p>
        </w:tc>
        <w:tc>
          <w:tcPr>
            <w:tcW w:w="3764" w:type="dxa"/>
            <w:gridSpan w:val="5"/>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232" w:type="dxa"/>
            <w:gridSpan w:val="3"/>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908" w:type="dxa"/>
            <w:gridSpan w:val="2"/>
            <w:tcBorders>
              <w:top w:val="single" w:color="auto" w:sz="4" w:space="0"/>
              <w:left w:val="single" w:color="auto" w:sz="4" w:space="0"/>
              <w:bottom w:val="single" w:color="auto" w:sz="4" w:space="0"/>
              <w:right w:val="single" w:color="auto" w:sz="8" w:space="0"/>
            </w:tcBorders>
            <w:noWrap w:val="0"/>
            <w:vAlign w:val="top"/>
          </w:tcPr>
          <w:p>
            <w:pPr>
              <w:spacing w:line="360" w:lineRule="auto"/>
              <w:ind w:left="420"/>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720" w:type="dxa"/>
            <w:tcBorders>
              <w:top w:val="single" w:color="auto" w:sz="4" w:space="0"/>
              <w:left w:val="single" w:color="auto" w:sz="8" w:space="0"/>
              <w:bottom w:val="single" w:color="auto" w:sz="4" w:space="0"/>
              <w:right w:val="single" w:color="auto" w:sz="4" w:space="0"/>
            </w:tcBorders>
            <w:noWrap w:val="0"/>
            <w:vAlign w:val="center"/>
          </w:tcPr>
          <w:p>
            <w:pPr>
              <w:spacing w:line="360" w:lineRule="auto"/>
              <w:jc w:val="center"/>
              <w:rPr>
                <w:rFonts w:eastAsia="方正仿宋_GBK"/>
                <w:color w:val="000000"/>
                <w:spacing w:val="-2"/>
                <w:szCs w:val="21"/>
              </w:rPr>
            </w:pPr>
            <w:r>
              <w:rPr>
                <w:rFonts w:eastAsia="方正仿宋_GBK"/>
                <w:color w:val="000000"/>
                <w:spacing w:val="-2"/>
                <w:szCs w:val="21"/>
              </w:rPr>
              <w:t>4</w:t>
            </w:r>
          </w:p>
        </w:tc>
        <w:tc>
          <w:tcPr>
            <w:tcW w:w="113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420"/>
              <w:jc w:val="center"/>
              <w:rPr>
                <w:rFonts w:eastAsia="方正仿宋_GBK"/>
                <w:color w:val="000000"/>
                <w:spacing w:val="-2"/>
                <w:szCs w:val="21"/>
              </w:rPr>
            </w:pPr>
          </w:p>
        </w:tc>
        <w:tc>
          <w:tcPr>
            <w:tcW w:w="3764" w:type="dxa"/>
            <w:gridSpan w:val="5"/>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232" w:type="dxa"/>
            <w:gridSpan w:val="3"/>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908" w:type="dxa"/>
            <w:gridSpan w:val="2"/>
            <w:tcBorders>
              <w:top w:val="single" w:color="auto" w:sz="4" w:space="0"/>
              <w:left w:val="single" w:color="auto" w:sz="4" w:space="0"/>
              <w:bottom w:val="single" w:color="auto" w:sz="4" w:space="0"/>
              <w:right w:val="single" w:color="auto" w:sz="8" w:space="0"/>
            </w:tcBorders>
            <w:noWrap w:val="0"/>
            <w:vAlign w:val="top"/>
          </w:tcPr>
          <w:p>
            <w:pPr>
              <w:spacing w:line="360" w:lineRule="auto"/>
              <w:ind w:left="420"/>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720" w:type="dxa"/>
            <w:tcBorders>
              <w:top w:val="single" w:color="auto" w:sz="4" w:space="0"/>
              <w:left w:val="single" w:color="auto" w:sz="8" w:space="0"/>
              <w:bottom w:val="single" w:color="auto" w:sz="4" w:space="0"/>
              <w:right w:val="single" w:color="auto" w:sz="4" w:space="0"/>
            </w:tcBorders>
            <w:noWrap w:val="0"/>
            <w:vAlign w:val="center"/>
          </w:tcPr>
          <w:p>
            <w:pPr>
              <w:spacing w:line="360" w:lineRule="auto"/>
              <w:jc w:val="center"/>
              <w:rPr>
                <w:rFonts w:eastAsia="方正仿宋_GBK"/>
                <w:color w:val="000000"/>
                <w:spacing w:val="-2"/>
                <w:szCs w:val="21"/>
              </w:rPr>
            </w:pPr>
            <w:r>
              <w:rPr>
                <w:rFonts w:eastAsia="方正仿宋_GBK"/>
                <w:color w:val="000000"/>
                <w:spacing w:val="-2"/>
                <w:szCs w:val="21"/>
              </w:rPr>
              <w:t>5</w:t>
            </w:r>
          </w:p>
        </w:tc>
        <w:tc>
          <w:tcPr>
            <w:tcW w:w="113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420"/>
              <w:jc w:val="center"/>
              <w:rPr>
                <w:rFonts w:eastAsia="方正仿宋_GBK"/>
                <w:color w:val="000000"/>
                <w:spacing w:val="-2"/>
                <w:szCs w:val="21"/>
              </w:rPr>
            </w:pPr>
          </w:p>
        </w:tc>
        <w:tc>
          <w:tcPr>
            <w:tcW w:w="3764" w:type="dxa"/>
            <w:gridSpan w:val="5"/>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232" w:type="dxa"/>
            <w:gridSpan w:val="3"/>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908" w:type="dxa"/>
            <w:gridSpan w:val="2"/>
            <w:tcBorders>
              <w:top w:val="single" w:color="auto" w:sz="4" w:space="0"/>
              <w:left w:val="single" w:color="auto" w:sz="4" w:space="0"/>
              <w:bottom w:val="single" w:color="auto" w:sz="4" w:space="0"/>
              <w:right w:val="single" w:color="auto" w:sz="8" w:space="0"/>
            </w:tcBorders>
            <w:noWrap w:val="0"/>
            <w:vAlign w:val="top"/>
          </w:tcPr>
          <w:p>
            <w:pPr>
              <w:spacing w:line="360" w:lineRule="auto"/>
              <w:ind w:left="420"/>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720" w:type="dxa"/>
            <w:tcBorders>
              <w:top w:val="single" w:color="auto" w:sz="4" w:space="0"/>
              <w:left w:val="single" w:color="auto" w:sz="8" w:space="0"/>
              <w:bottom w:val="single" w:color="auto" w:sz="4" w:space="0"/>
              <w:right w:val="single" w:color="auto" w:sz="4" w:space="0"/>
            </w:tcBorders>
            <w:noWrap w:val="0"/>
            <w:vAlign w:val="center"/>
          </w:tcPr>
          <w:p>
            <w:pPr>
              <w:spacing w:line="360" w:lineRule="auto"/>
              <w:jc w:val="center"/>
              <w:rPr>
                <w:rFonts w:eastAsia="方正仿宋_GBK"/>
                <w:color w:val="000000"/>
                <w:spacing w:val="-2"/>
                <w:szCs w:val="21"/>
              </w:rPr>
            </w:pPr>
            <w:r>
              <w:rPr>
                <w:rFonts w:eastAsia="方正仿宋_GBK"/>
                <w:color w:val="000000"/>
                <w:spacing w:val="-2"/>
                <w:szCs w:val="21"/>
              </w:rPr>
              <w:t>6</w:t>
            </w:r>
          </w:p>
        </w:tc>
        <w:tc>
          <w:tcPr>
            <w:tcW w:w="113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420"/>
              <w:jc w:val="center"/>
              <w:rPr>
                <w:rFonts w:eastAsia="方正仿宋_GBK"/>
                <w:color w:val="000000"/>
                <w:spacing w:val="-2"/>
                <w:szCs w:val="21"/>
              </w:rPr>
            </w:pPr>
          </w:p>
        </w:tc>
        <w:tc>
          <w:tcPr>
            <w:tcW w:w="3764" w:type="dxa"/>
            <w:gridSpan w:val="5"/>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232" w:type="dxa"/>
            <w:gridSpan w:val="3"/>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908" w:type="dxa"/>
            <w:gridSpan w:val="2"/>
            <w:tcBorders>
              <w:top w:val="single" w:color="auto" w:sz="4" w:space="0"/>
              <w:left w:val="single" w:color="auto" w:sz="4" w:space="0"/>
              <w:bottom w:val="single" w:color="auto" w:sz="4" w:space="0"/>
              <w:right w:val="single" w:color="auto" w:sz="8" w:space="0"/>
            </w:tcBorders>
            <w:noWrap w:val="0"/>
            <w:vAlign w:val="top"/>
          </w:tcPr>
          <w:p>
            <w:pPr>
              <w:spacing w:line="360" w:lineRule="auto"/>
              <w:ind w:left="420"/>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720" w:type="dxa"/>
            <w:tcBorders>
              <w:top w:val="single" w:color="auto" w:sz="4" w:space="0"/>
              <w:left w:val="single" w:color="auto" w:sz="8" w:space="0"/>
              <w:bottom w:val="single" w:color="auto" w:sz="4" w:space="0"/>
              <w:right w:val="single" w:color="auto" w:sz="4" w:space="0"/>
            </w:tcBorders>
            <w:noWrap w:val="0"/>
            <w:vAlign w:val="center"/>
          </w:tcPr>
          <w:p>
            <w:pPr>
              <w:spacing w:line="360" w:lineRule="auto"/>
              <w:jc w:val="center"/>
              <w:rPr>
                <w:rFonts w:eastAsia="方正仿宋_GBK"/>
                <w:color w:val="000000"/>
                <w:spacing w:val="-2"/>
                <w:szCs w:val="21"/>
              </w:rPr>
            </w:pPr>
            <w:r>
              <w:rPr>
                <w:rFonts w:eastAsia="方正仿宋_GBK"/>
                <w:color w:val="000000"/>
                <w:spacing w:val="-2"/>
                <w:szCs w:val="21"/>
              </w:rPr>
              <w:t>7</w:t>
            </w:r>
          </w:p>
        </w:tc>
        <w:tc>
          <w:tcPr>
            <w:tcW w:w="113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420"/>
              <w:jc w:val="center"/>
              <w:rPr>
                <w:rFonts w:eastAsia="方正仿宋_GBK"/>
                <w:color w:val="000000"/>
                <w:spacing w:val="-2"/>
                <w:szCs w:val="21"/>
              </w:rPr>
            </w:pPr>
          </w:p>
        </w:tc>
        <w:tc>
          <w:tcPr>
            <w:tcW w:w="3764" w:type="dxa"/>
            <w:gridSpan w:val="5"/>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232" w:type="dxa"/>
            <w:gridSpan w:val="3"/>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908" w:type="dxa"/>
            <w:gridSpan w:val="2"/>
            <w:tcBorders>
              <w:top w:val="single" w:color="auto" w:sz="4" w:space="0"/>
              <w:left w:val="single" w:color="auto" w:sz="4" w:space="0"/>
              <w:bottom w:val="single" w:color="auto" w:sz="4" w:space="0"/>
              <w:right w:val="single" w:color="auto" w:sz="8" w:space="0"/>
            </w:tcBorders>
            <w:noWrap w:val="0"/>
            <w:vAlign w:val="top"/>
          </w:tcPr>
          <w:p>
            <w:pPr>
              <w:spacing w:line="360" w:lineRule="auto"/>
              <w:ind w:left="420"/>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720" w:type="dxa"/>
            <w:tcBorders>
              <w:top w:val="single" w:color="auto" w:sz="4" w:space="0"/>
              <w:left w:val="single" w:color="auto" w:sz="8" w:space="0"/>
              <w:bottom w:val="single" w:color="auto" w:sz="4" w:space="0"/>
              <w:right w:val="single" w:color="auto" w:sz="4" w:space="0"/>
            </w:tcBorders>
            <w:noWrap w:val="0"/>
            <w:vAlign w:val="center"/>
          </w:tcPr>
          <w:p>
            <w:pPr>
              <w:spacing w:line="360" w:lineRule="auto"/>
              <w:jc w:val="center"/>
              <w:rPr>
                <w:rFonts w:eastAsia="方正仿宋_GBK"/>
                <w:color w:val="000000"/>
                <w:spacing w:val="-2"/>
                <w:szCs w:val="21"/>
              </w:rPr>
            </w:pPr>
            <w:r>
              <w:rPr>
                <w:rFonts w:eastAsia="方正仿宋_GBK"/>
                <w:color w:val="000000"/>
                <w:spacing w:val="-2"/>
                <w:szCs w:val="21"/>
              </w:rPr>
              <w:t>8</w:t>
            </w:r>
          </w:p>
        </w:tc>
        <w:tc>
          <w:tcPr>
            <w:tcW w:w="113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420"/>
              <w:jc w:val="center"/>
              <w:rPr>
                <w:rFonts w:eastAsia="方正仿宋_GBK"/>
                <w:color w:val="000000"/>
                <w:spacing w:val="-2"/>
                <w:szCs w:val="21"/>
              </w:rPr>
            </w:pPr>
          </w:p>
        </w:tc>
        <w:tc>
          <w:tcPr>
            <w:tcW w:w="3764" w:type="dxa"/>
            <w:gridSpan w:val="5"/>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232" w:type="dxa"/>
            <w:gridSpan w:val="3"/>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908" w:type="dxa"/>
            <w:gridSpan w:val="2"/>
            <w:tcBorders>
              <w:top w:val="single" w:color="auto" w:sz="4" w:space="0"/>
              <w:left w:val="single" w:color="auto" w:sz="4" w:space="0"/>
              <w:bottom w:val="single" w:color="auto" w:sz="4" w:space="0"/>
              <w:right w:val="single" w:color="auto" w:sz="8" w:space="0"/>
            </w:tcBorders>
            <w:noWrap w:val="0"/>
            <w:vAlign w:val="top"/>
          </w:tcPr>
          <w:p>
            <w:pPr>
              <w:spacing w:line="360" w:lineRule="auto"/>
              <w:ind w:left="420"/>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720" w:type="dxa"/>
            <w:tcBorders>
              <w:top w:val="single" w:color="auto" w:sz="4" w:space="0"/>
              <w:left w:val="single" w:color="auto" w:sz="8" w:space="0"/>
              <w:bottom w:val="single" w:color="auto" w:sz="4" w:space="0"/>
              <w:right w:val="single" w:color="auto" w:sz="4" w:space="0"/>
            </w:tcBorders>
            <w:noWrap w:val="0"/>
            <w:vAlign w:val="center"/>
          </w:tcPr>
          <w:p>
            <w:pPr>
              <w:spacing w:line="360" w:lineRule="auto"/>
              <w:jc w:val="center"/>
              <w:rPr>
                <w:rFonts w:eastAsia="方正仿宋_GBK"/>
                <w:color w:val="000000"/>
                <w:spacing w:val="-2"/>
                <w:szCs w:val="21"/>
              </w:rPr>
            </w:pPr>
            <w:r>
              <w:rPr>
                <w:rFonts w:eastAsia="方正仿宋_GBK"/>
                <w:color w:val="000000"/>
                <w:spacing w:val="-2"/>
                <w:szCs w:val="21"/>
              </w:rPr>
              <w:t>9</w:t>
            </w:r>
          </w:p>
        </w:tc>
        <w:tc>
          <w:tcPr>
            <w:tcW w:w="113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420"/>
              <w:jc w:val="center"/>
              <w:rPr>
                <w:rFonts w:eastAsia="方正仿宋_GBK"/>
                <w:color w:val="000000"/>
                <w:spacing w:val="-2"/>
                <w:szCs w:val="21"/>
              </w:rPr>
            </w:pPr>
          </w:p>
        </w:tc>
        <w:tc>
          <w:tcPr>
            <w:tcW w:w="3764" w:type="dxa"/>
            <w:gridSpan w:val="5"/>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232" w:type="dxa"/>
            <w:gridSpan w:val="3"/>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908" w:type="dxa"/>
            <w:gridSpan w:val="2"/>
            <w:tcBorders>
              <w:top w:val="single" w:color="auto" w:sz="4" w:space="0"/>
              <w:left w:val="single" w:color="auto" w:sz="4" w:space="0"/>
              <w:bottom w:val="single" w:color="auto" w:sz="4" w:space="0"/>
              <w:right w:val="single" w:color="auto" w:sz="8" w:space="0"/>
            </w:tcBorders>
            <w:noWrap w:val="0"/>
            <w:vAlign w:val="top"/>
          </w:tcPr>
          <w:p>
            <w:pPr>
              <w:spacing w:line="360" w:lineRule="auto"/>
              <w:ind w:left="420"/>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720" w:type="dxa"/>
            <w:tcBorders>
              <w:top w:val="single" w:color="auto" w:sz="4" w:space="0"/>
              <w:left w:val="single" w:color="auto" w:sz="8" w:space="0"/>
              <w:bottom w:val="single" w:color="auto" w:sz="4" w:space="0"/>
              <w:right w:val="single" w:color="auto" w:sz="4" w:space="0"/>
            </w:tcBorders>
            <w:noWrap w:val="0"/>
            <w:vAlign w:val="center"/>
          </w:tcPr>
          <w:p>
            <w:pPr>
              <w:spacing w:line="360" w:lineRule="auto"/>
              <w:jc w:val="center"/>
              <w:rPr>
                <w:rFonts w:eastAsia="方正仿宋_GBK"/>
                <w:color w:val="000000"/>
                <w:spacing w:val="-2"/>
                <w:szCs w:val="21"/>
              </w:rPr>
            </w:pPr>
            <w:r>
              <w:rPr>
                <w:rFonts w:eastAsia="方正仿宋_GBK"/>
                <w:color w:val="000000"/>
                <w:spacing w:val="-2"/>
                <w:szCs w:val="21"/>
              </w:rPr>
              <w:t>10</w:t>
            </w:r>
          </w:p>
        </w:tc>
        <w:tc>
          <w:tcPr>
            <w:tcW w:w="113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420"/>
              <w:jc w:val="center"/>
              <w:rPr>
                <w:rFonts w:eastAsia="方正仿宋_GBK"/>
                <w:color w:val="000000"/>
                <w:spacing w:val="-2"/>
                <w:szCs w:val="21"/>
              </w:rPr>
            </w:pPr>
          </w:p>
        </w:tc>
        <w:tc>
          <w:tcPr>
            <w:tcW w:w="3764" w:type="dxa"/>
            <w:gridSpan w:val="5"/>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232" w:type="dxa"/>
            <w:gridSpan w:val="3"/>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908" w:type="dxa"/>
            <w:gridSpan w:val="2"/>
            <w:tcBorders>
              <w:top w:val="single" w:color="auto" w:sz="4" w:space="0"/>
              <w:left w:val="single" w:color="auto" w:sz="4" w:space="0"/>
              <w:bottom w:val="single" w:color="auto" w:sz="4" w:space="0"/>
              <w:right w:val="single" w:color="auto" w:sz="8" w:space="0"/>
            </w:tcBorders>
            <w:noWrap w:val="0"/>
            <w:vAlign w:val="top"/>
          </w:tcPr>
          <w:p>
            <w:pPr>
              <w:spacing w:line="360" w:lineRule="auto"/>
              <w:ind w:left="420"/>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720" w:type="dxa"/>
            <w:tcBorders>
              <w:top w:val="single" w:color="auto" w:sz="4" w:space="0"/>
              <w:left w:val="single" w:color="auto" w:sz="8" w:space="0"/>
              <w:bottom w:val="single" w:color="auto" w:sz="4" w:space="0"/>
              <w:right w:val="single" w:color="auto" w:sz="4" w:space="0"/>
            </w:tcBorders>
            <w:noWrap w:val="0"/>
            <w:vAlign w:val="center"/>
          </w:tcPr>
          <w:p>
            <w:pPr>
              <w:spacing w:line="360" w:lineRule="auto"/>
              <w:jc w:val="center"/>
              <w:rPr>
                <w:rFonts w:eastAsia="方正仿宋_GBK"/>
                <w:color w:val="000000"/>
                <w:spacing w:val="-2"/>
                <w:szCs w:val="21"/>
              </w:rPr>
            </w:pPr>
            <w:r>
              <w:rPr>
                <w:rFonts w:eastAsia="方正仿宋_GBK"/>
                <w:color w:val="000000"/>
                <w:spacing w:val="-2"/>
                <w:szCs w:val="21"/>
              </w:rPr>
              <w:t>11</w:t>
            </w:r>
          </w:p>
        </w:tc>
        <w:tc>
          <w:tcPr>
            <w:tcW w:w="113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420"/>
              <w:jc w:val="center"/>
              <w:rPr>
                <w:rFonts w:eastAsia="方正仿宋_GBK"/>
                <w:color w:val="000000"/>
                <w:spacing w:val="-2"/>
                <w:szCs w:val="21"/>
              </w:rPr>
            </w:pPr>
          </w:p>
        </w:tc>
        <w:tc>
          <w:tcPr>
            <w:tcW w:w="3764" w:type="dxa"/>
            <w:gridSpan w:val="5"/>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232" w:type="dxa"/>
            <w:gridSpan w:val="3"/>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908" w:type="dxa"/>
            <w:gridSpan w:val="2"/>
            <w:tcBorders>
              <w:top w:val="single" w:color="auto" w:sz="4" w:space="0"/>
              <w:left w:val="single" w:color="auto" w:sz="4" w:space="0"/>
              <w:bottom w:val="single" w:color="auto" w:sz="4" w:space="0"/>
              <w:right w:val="single" w:color="auto" w:sz="8" w:space="0"/>
            </w:tcBorders>
            <w:noWrap w:val="0"/>
            <w:vAlign w:val="top"/>
          </w:tcPr>
          <w:p>
            <w:pPr>
              <w:spacing w:line="360" w:lineRule="auto"/>
              <w:ind w:left="420"/>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720" w:type="dxa"/>
            <w:tcBorders>
              <w:top w:val="single" w:color="auto" w:sz="4" w:space="0"/>
              <w:left w:val="single" w:color="auto" w:sz="8" w:space="0"/>
              <w:bottom w:val="single" w:color="auto" w:sz="4" w:space="0"/>
              <w:right w:val="single" w:color="auto" w:sz="4" w:space="0"/>
            </w:tcBorders>
            <w:noWrap w:val="0"/>
            <w:vAlign w:val="center"/>
          </w:tcPr>
          <w:p>
            <w:pPr>
              <w:spacing w:line="360" w:lineRule="auto"/>
              <w:jc w:val="center"/>
              <w:rPr>
                <w:rFonts w:eastAsia="方正仿宋_GBK"/>
                <w:color w:val="000000"/>
                <w:spacing w:val="-2"/>
                <w:szCs w:val="21"/>
              </w:rPr>
            </w:pPr>
            <w:r>
              <w:rPr>
                <w:rFonts w:eastAsia="方正仿宋_GBK"/>
                <w:color w:val="000000"/>
                <w:spacing w:val="-2"/>
                <w:szCs w:val="21"/>
              </w:rPr>
              <w:t>12</w:t>
            </w:r>
          </w:p>
        </w:tc>
        <w:tc>
          <w:tcPr>
            <w:tcW w:w="113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420"/>
              <w:jc w:val="center"/>
              <w:rPr>
                <w:rFonts w:eastAsia="方正仿宋_GBK"/>
                <w:color w:val="000000"/>
                <w:spacing w:val="-2"/>
                <w:szCs w:val="21"/>
              </w:rPr>
            </w:pPr>
          </w:p>
        </w:tc>
        <w:tc>
          <w:tcPr>
            <w:tcW w:w="3764" w:type="dxa"/>
            <w:gridSpan w:val="5"/>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232" w:type="dxa"/>
            <w:gridSpan w:val="3"/>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908" w:type="dxa"/>
            <w:gridSpan w:val="2"/>
            <w:tcBorders>
              <w:top w:val="single" w:color="auto" w:sz="4" w:space="0"/>
              <w:left w:val="single" w:color="auto" w:sz="4" w:space="0"/>
              <w:bottom w:val="single" w:color="auto" w:sz="4" w:space="0"/>
              <w:right w:val="single" w:color="auto" w:sz="8" w:space="0"/>
            </w:tcBorders>
            <w:noWrap w:val="0"/>
            <w:vAlign w:val="top"/>
          </w:tcPr>
          <w:p>
            <w:pPr>
              <w:spacing w:line="360" w:lineRule="auto"/>
              <w:ind w:left="420"/>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720" w:type="dxa"/>
            <w:tcBorders>
              <w:top w:val="single" w:color="auto" w:sz="4" w:space="0"/>
              <w:left w:val="single" w:color="auto" w:sz="8" w:space="0"/>
              <w:bottom w:val="single" w:color="auto" w:sz="4" w:space="0"/>
              <w:right w:val="single" w:color="auto" w:sz="4" w:space="0"/>
            </w:tcBorders>
            <w:noWrap w:val="0"/>
            <w:vAlign w:val="center"/>
          </w:tcPr>
          <w:p>
            <w:pPr>
              <w:spacing w:line="360" w:lineRule="auto"/>
              <w:jc w:val="center"/>
              <w:rPr>
                <w:rFonts w:eastAsia="方正仿宋_GBK"/>
                <w:color w:val="000000"/>
                <w:spacing w:val="-2"/>
                <w:szCs w:val="21"/>
              </w:rPr>
            </w:pPr>
            <w:r>
              <w:rPr>
                <w:rFonts w:eastAsia="方正仿宋_GBK"/>
                <w:color w:val="000000"/>
                <w:spacing w:val="-2"/>
                <w:szCs w:val="21"/>
              </w:rPr>
              <w:t>d</w:t>
            </w:r>
            <w:r>
              <w:rPr>
                <w:rFonts w:eastAsia="方正仿宋_GBK"/>
                <w:color w:val="000000"/>
                <w:spacing w:val="-2"/>
                <w:szCs w:val="21"/>
                <w:vertAlign w:val="subscript"/>
              </w:rPr>
              <w:t>10</w:t>
            </w:r>
            <w:r>
              <w:rPr>
                <w:rFonts w:eastAsia="方正仿宋_GBK"/>
                <w:color w:val="000000"/>
                <w:spacing w:val="-2"/>
                <w:szCs w:val="21"/>
              </w:rPr>
              <w:t>=</w:t>
            </w:r>
          </w:p>
        </w:tc>
        <w:tc>
          <w:tcPr>
            <w:tcW w:w="1572"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ind w:left="420"/>
              <w:jc w:val="center"/>
              <w:rPr>
                <w:rFonts w:eastAsia="方正仿宋_GBK"/>
                <w:color w:val="000000"/>
                <w:spacing w:val="-2"/>
                <w:szCs w:val="21"/>
              </w:rPr>
            </w:pPr>
            <w:r>
              <w:rPr>
                <w:rFonts w:eastAsia="方正仿宋_GBK"/>
                <w:color w:val="000000"/>
                <w:spacing w:val="-2"/>
                <w:szCs w:val="21"/>
              </w:rPr>
              <w:t>d</w:t>
            </w:r>
            <w:r>
              <w:rPr>
                <w:rFonts w:eastAsia="方正仿宋_GBK"/>
                <w:color w:val="000000"/>
                <w:spacing w:val="-2"/>
                <w:szCs w:val="21"/>
                <w:vertAlign w:val="subscript"/>
              </w:rPr>
              <w:t>50</w:t>
            </w:r>
            <w:r>
              <w:rPr>
                <w:rFonts w:eastAsia="方正仿宋_GBK"/>
                <w:color w:val="000000"/>
                <w:spacing w:val="-2"/>
                <w:szCs w:val="21"/>
              </w:rPr>
              <w:t>=</w:t>
            </w:r>
          </w:p>
        </w:tc>
        <w:tc>
          <w:tcPr>
            <w:tcW w:w="1774"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ind w:left="420"/>
              <w:jc w:val="center"/>
              <w:rPr>
                <w:rFonts w:eastAsia="方正仿宋_GBK"/>
                <w:color w:val="000000"/>
                <w:spacing w:val="-2"/>
                <w:szCs w:val="21"/>
              </w:rPr>
            </w:pPr>
            <w:r>
              <w:rPr>
                <w:rFonts w:eastAsia="方正仿宋_GBK"/>
                <w:color w:val="000000"/>
                <w:spacing w:val="-2"/>
                <w:szCs w:val="21"/>
              </w:rPr>
              <w:t>d</w:t>
            </w:r>
            <w:r>
              <w:rPr>
                <w:rFonts w:eastAsia="方正仿宋_GBK"/>
                <w:color w:val="000000"/>
                <w:spacing w:val="-2"/>
                <w:szCs w:val="21"/>
                <w:vertAlign w:val="subscript"/>
              </w:rPr>
              <w:t>60</w:t>
            </w:r>
            <w:r>
              <w:rPr>
                <w:rFonts w:eastAsia="方正仿宋_GBK"/>
                <w:color w:val="000000"/>
                <w:spacing w:val="-2"/>
                <w:szCs w:val="21"/>
              </w:rPr>
              <w:t>=</w:t>
            </w:r>
          </w:p>
        </w:tc>
        <w:tc>
          <w:tcPr>
            <w:tcW w:w="1594"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ind w:left="420"/>
              <w:jc w:val="center"/>
              <w:rPr>
                <w:rFonts w:eastAsia="方正仿宋_GBK"/>
                <w:color w:val="000000"/>
                <w:spacing w:val="-2"/>
                <w:szCs w:val="21"/>
              </w:rPr>
            </w:pPr>
            <w:r>
              <w:rPr>
                <w:rFonts w:eastAsia="方正仿宋_GBK"/>
                <w:color w:val="000000"/>
                <w:spacing w:val="-2"/>
                <w:szCs w:val="21"/>
              </w:rPr>
              <w:t>d</w:t>
            </w:r>
            <w:r>
              <w:rPr>
                <w:rFonts w:eastAsia="方正仿宋_GBK"/>
                <w:color w:val="000000"/>
                <w:spacing w:val="-2"/>
                <w:szCs w:val="21"/>
                <w:vertAlign w:val="subscript"/>
              </w:rPr>
              <w:t>80</w:t>
            </w:r>
            <w:r>
              <w:rPr>
                <w:rFonts w:eastAsia="方正仿宋_GBK"/>
                <w:color w:val="000000"/>
                <w:spacing w:val="-2"/>
                <w:szCs w:val="21"/>
              </w:rPr>
              <w:t>=</w:t>
            </w:r>
          </w:p>
        </w:tc>
        <w:tc>
          <w:tcPr>
            <w:tcW w:w="1232"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ind w:left="420"/>
              <w:jc w:val="center"/>
              <w:rPr>
                <w:rFonts w:eastAsia="方正仿宋_GBK"/>
                <w:color w:val="000000"/>
                <w:spacing w:val="-2"/>
                <w:szCs w:val="21"/>
              </w:rPr>
            </w:pPr>
            <w:r>
              <w:rPr>
                <w:rFonts w:eastAsia="方正仿宋_GBK"/>
                <w:color w:val="000000"/>
                <w:spacing w:val="-2"/>
                <w:szCs w:val="21"/>
              </w:rPr>
              <w:t>k</w:t>
            </w:r>
            <w:r>
              <w:rPr>
                <w:rFonts w:eastAsia="方正仿宋_GBK"/>
                <w:color w:val="000000"/>
                <w:spacing w:val="-2"/>
                <w:szCs w:val="21"/>
                <w:vertAlign w:val="subscript"/>
              </w:rPr>
              <w:t>80</w:t>
            </w:r>
            <w:r>
              <w:rPr>
                <w:rFonts w:eastAsia="方正仿宋_GBK"/>
                <w:color w:val="000000"/>
                <w:spacing w:val="-2"/>
                <w:szCs w:val="21"/>
              </w:rPr>
              <w:t>=</w:t>
            </w:r>
          </w:p>
        </w:tc>
        <w:tc>
          <w:tcPr>
            <w:tcW w:w="1870" w:type="dxa"/>
            <w:tcBorders>
              <w:top w:val="single" w:color="auto" w:sz="4" w:space="0"/>
              <w:left w:val="single" w:color="auto" w:sz="4" w:space="0"/>
              <w:bottom w:val="single" w:color="auto" w:sz="4" w:space="0"/>
              <w:right w:val="single" w:color="auto" w:sz="8" w:space="0"/>
            </w:tcBorders>
            <w:noWrap w:val="0"/>
            <w:vAlign w:val="center"/>
          </w:tcPr>
          <w:p>
            <w:pPr>
              <w:spacing w:line="360" w:lineRule="auto"/>
              <w:ind w:left="420"/>
              <w:jc w:val="center"/>
              <w:rPr>
                <w:rFonts w:eastAsia="方正仿宋_GBK"/>
                <w:color w:val="000000"/>
                <w:spacing w:val="-2"/>
                <w:szCs w:val="21"/>
              </w:rPr>
            </w:pPr>
            <w:r>
              <w:rPr>
                <w:rFonts w:eastAsia="方正仿宋_GBK"/>
                <w:color w:val="000000"/>
                <w:spacing w:val="-2"/>
                <w:szCs w:val="21"/>
              </w:rPr>
              <w:t>k</w:t>
            </w:r>
            <w:r>
              <w:rPr>
                <w:rFonts w:eastAsia="方正仿宋_GBK"/>
                <w:color w:val="000000"/>
                <w:spacing w:val="-2"/>
                <w:szCs w:val="21"/>
                <w:vertAlign w:val="subscript"/>
              </w:rPr>
              <w:t>60</w:t>
            </w:r>
            <w:r>
              <w:rPr>
                <w:rFonts w:eastAsia="方正仿宋_GBK"/>
                <w:color w:val="000000"/>
                <w:spacing w:val="-2"/>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0" w:hRule="atLeast"/>
        </w:trPr>
        <w:tc>
          <w:tcPr>
            <w:tcW w:w="720" w:type="dxa"/>
            <w:tcBorders>
              <w:top w:val="single" w:color="auto" w:sz="4" w:space="0"/>
              <w:left w:val="single" w:color="auto" w:sz="8" w:space="0"/>
              <w:bottom w:val="single" w:color="auto" w:sz="8" w:space="0"/>
              <w:right w:val="single" w:color="auto" w:sz="4" w:space="0"/>
            </w:tcBorders>
            <w:noWrap w:val="0"/>
            <w:vAlign w:val="center"/>
          </w:tcPr>
          <w:p>
            <w:pPr>
              <w:spacing w:line="360" w:lineRule="auto"/>
              <w:jc w:val="center"/>
              <w:rPr>
                <w:rFonts w:eastAsia="方正仿宋_GBK"/>
                <w:color w:val="000000"/>
                <w:spacing w:val="-2"/>
                <w:szCs w:val="21"/>
              </w:rPr>
            </w:pPr>
            <w:r>
              <w:rPr>
                <w:rFonts w:hint="eastAsia" w:eastAsia="方正仿宋_GBK"/>
                <w:color w:val="000000"/>
                <w:spacing w:val="-2"/>
                <w:szCs w:val="21"/>
              </w:rPr>
              <w:t>备</w:t>
            </w:r>
            <w:r>
              <w:rPr>
                <w:rFonts w:eastAsia="方正仿宋_GBK"/>
                <w:color w:val="000000"/>
                <w:spacing w:val="-2"/>
                <w:szCs w:val="21"/>
              </w:rPr>
              <w:t xml:space="preserve">  </w:t>
            </w:r>
            <w:r>
              <w:rPr>
                <w:rFonts w:hint="eastAsia" w:eastAsia="方正仿宋_GBK"/>
                <w:color w:val="000000"/>
                <w:spacing w:val="-2"/>
                <w:szCs w:val="21"/>
              </w:rPr>
              <w:t>注</w:t>
            </w:r>
          </w:p>
        </w:tc>
        <w:tc>
          <w:tcPr>
            <w:tcW w:w="8042" w:type="dxa"/>
            <w:gridSpan w:val="11"/>
            <w:tcBorders>
              <w:top w:val="single" w:color="auto" w:sz="4" w:space="0"/>
              <w:left w:val="single" w:color="auto" w:sz="4" w:space="0"/>
              <w:bottom w:val="single" w:color="auto" w:sz="8" w:space="0"/>
              <w:right w:val="single" w:color="auto" w:sz="8" w:space="0"/>
            </w:tcBorders>
            <w:noWrap w:val="0"/>
            <w:vAlign w:val="top"/>
          </w:tcPr>
          <w:p>
            <w:pPr>
              <w:spacing w:line="360" w:lineRule="auto"/>
              <w:ind w:left="420"/>
              <w:rPr>
                <w:rFonts w:eastAsia="方正仿宋_GBK"/>
                <w:color w:val="000000"/>
                <w:spacing w:val="-2"/>
                <w:szCs w:val="21"/>
              </w:rPr>
            </w:pPr>
          </w:p>
          <w:p>
            <w:pPr>
              <w:spacing w:line="360" w:lineRule="auto"/>
              <w:ind w:left="420"/>
              <w:rPr>
                <w:rFonts w:eastAsia="方正仿宋_GBK"/>
                <w:color w:val="000000"/>
                <w:spacing w:val="-2"/>
                <w:szCs w:val="21"/>
              </w:rPr>
            </w:pPr>
          </w:p>
        </w:tc>
      </w:tr>
    </w:tbl>
    <w:p>
      <w:pPr>
        <w:rPr>
          <w:rFonts w:hint="eastAsia" w:eastAsia="方正仿宋_GBK"/>
          <w:color w:val="000000"/>
          <w:spacing w:val="-2"/>
          <w:szCs w:val="21"/>
        </w:rPr>
      </w:pPr>
      <w:r>
        <w:rPr>
          <w:rFonts w:hint="eastAsia" w:eastAsia="方正仿宋_GBK"/>
          <w:color w:val="000000"/>
          <w:spacing w:val="-2"/>
          <w:szCs w:val="21"/>
        </w:rPr>
        <w:t>校核人：</w:t>
      </w:r>
      <w:r>
        <w:rPr>
          <w:rFonts w:eastAsia="方正仿宋_GBK"/>
          <w:color w:val="000000"/>
          <w:spacing w:val="-2"/>
          <w:szCs w:val="21"/>
        </w:rPr>
        <w:t xml:space="preserve">                        </w:t>
      </w:r>
      <w:r>
        <w:rPr>
          <w:rFonts w:hint="eastAsia" w:eastAsia="方正仿宋_GBK"/>
          <w:color w:val="000000"/>
          <w:spacing w:val="-2"/>
          <w:szCs w:val="21"/>
        </w:rPr>
        <w:t>检测人：</w:t>
      </w:r>
      <w:r>
        <w:rPr>
          <w:rFonts w:eastAsia="方正仿宋_GBK"/>
          <w:color w:val="000000"/>
          <w:spacing w:val="-2"/>
          <w:szCs w:val="21"/>
        </w:rPr>
        <w:t xml:space="preserve">                 </w:t>
      </w:r>
      <w:r>
        <w:rPr>
          <w:rFonts w:hint="eastAsia" w:eastAsia="方正仿宋_GBK"/>
          <w:color w:val="000000"/>
          <w:spacing w:val="-2"/>
          <w:szCs w:val="21"/>
        </w:rPr>
        <w:t>检测日期：</w:t>
      </w:r>
    </w:p>
    <w:p>
      <w:pPr>
        <w:spacing w:line="460" w:lineRule="exact"/>
        <w:rPr>
          <w:rFonts w:ascii="Times New Roman" w:eastAsia="方正黑体_GBK"/>
          <w:color w:val="000000"/>
          <w:spacing w:val="-2"/>
          <w:sz w:val="28"/>
          <w:szCs w:val="28"/>
        </w:rPr>
      </w:pPr>
      <w:r>
        <w:rPr>
          <w:rFonts w:eastAsia="仿宋_GB2312"/>
          <w:color w:val="000000"/>
          <w:spacing w:val="-2"/>
          <w:sz w:val="32"/>
          <w:szCs w:val="32"/>
        </w:rPr>
        <w:br w:type="column"/>
      </w:r>
      <w:r>
        <w:rPr>
          <w:rFonts w:hint="eastAsia" w:ascii="Times New Roman" w:eastAsia="方正黑体_GBK"/>
          <w:color w:val="000000"/>
          <w:spacing w:val="-2"/>
          <w:sz w:val="28"/>
          <w:szCs w:val="28"/>
        </w:rPr>
        <w:t>附表5：</w:t>
      </w:r>
    </w:p>
    <w:p>
      <w:pPr>
        <w:spacing w:line="360" w:lineRule="auto"/>
        <w:jc w:val="center"/>
        <w:rPr>
          <w:rFonts w:hint="eastAsia" w:ascii="Times New Roman" w:hAnsi="Times New Roman" w:eastAsia="方正黑体_GBK"/>
          <w:bCs/>
          <w:color w:val="000000"/>
          <w:spacing w:val="-2"/>
          <w:kern w:val="0"/>
          <w:sz w:val="28"/>
          <w:szCs w:val="28"/>
        </w:rPr>
      </w:pPr>
      <w:r>
        <w:rPr>
          <w:rFonts w:hint="eastAsia" w:ascii="Times New Roman" w:hAnsi="Times New Roman" w:eastAsia="方正黑体_GBK"/>
          <w:bCs/>
          <w:color w:val="000000"/>
          <w:spacing w:val="-2"/>
          <w:kern w:val="0"/>
          <w:sz w:val="28"/>
          <w:szCs w:val="28"/>
        </w:rPr>
        <w:t>滤 料 分 析 原 始 记 录</w:t>
      </w:r>
    </w:p>
    <w:tbl>
      <w:tblPr>
        <w:tblStyle w:val="12"/>
        <w:tblW w:w="0" w:type="auto"/>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754"/>
        <w:gridCol w:w="490"/>
        <w:gridCol w:w="286"/>
        <w:gridCol w:w="821"/>
        <w:gridCol w:w="818"/>
        <w:gridCol w:w="364"/>
        <w:gridCol w:w="1250"/>
        <w:gridCol w:w="498"/>
        <w:gridCol w:w="818"/>
        <w:gridCol w:w="15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841" w:type="dxa"/>
            <w:gridSpan w:val="2"/>
            <w:tcBorders>
              <w:top w:val="single" w:color="auto" w:sz="8" w:space="0"/>
              <w:left w:val="single" w:color="auto" w:sz="8" w:space="0"/>
              <w:bottom w:val="single" w:color="auto" w:sz="4" w:space="0"/>
              <w:right w:val="single" w:color="auto" w:sz="4" w:space="0"/>
            </w:tcBorders>
            <w:noWrap w:val="0"/>
            <w:vAlign w:val="center"/>
          </w:tcPr>
          <w:p>
            <w:pPr>
              <w:spacing w:line="360" w:lineRule="auto"/>
              <w:jc w:val="center"/>
              <w:rPr>
                <w:rFonts w:eastAsia="方正仿宋_GBK"/>
                <w:color w:val="000000"/>
                <w:spacing w:val="-2"/>
                <w:szCs w:val="21"/>
              </w:rPr>
            </w:pPr>
            <w:r>
              <w:rPr>
                <w:rFonts w:hint="eastAsia" w:eastAsia="方正仿宋_GBK"/>
                <w:color w:val="000000"/>
                <w:spacing w:val="-2"/>
                <w:szCs w:val="21"/>
              </w:rPr>
              <w:t>收样日期</w:t>
            </w:r>
          </w:p>
        </w:tc>
        <w:tc>
          <w:tcPr>
            <w:tcW w:w="2415" w:type="dxa"/>
            <w:gridSpan w:val="4"/>
            <w:tcBorders>
              <w:top w:val="single" w:color="auto" w:sz="8" w:space="0"/>
              <w:left w:val="single" w:color="auto" w:sz="4" w:space="0"/>
              <w:bottom w:val="single" w:color="auto" w:sz="4" w:space="0"/>
              <w:right w:val="single" w:color="auto" w:sz="4" w:space="0"/>
            </w:tcBorders>
            <w:noWrap w:val="0"/>
            <w:vAlign w:val="center"/>
          </w:tcPr>
          <w:p>
            <w:pPr>
              <w:spacing w:line="360" w:lineRule="auto"/>
              <w:jc w:val="center"/>
              <w:rPr>
                <w:rFonts w:eastAsia="方正仿宋_GBK"/>
                <w:color w:val="000000"/>
                <w:spacing w:val="-2"/>
                <w:szCs w:val="21"/>
              </w:rPr>
            </w:pPr>
          </w:p>
        </w:tc>
        <w:tc>
          <w:tcPr>
            <w:tcW w:w="2112" w:type="dxa"/>
            <w:gridSpan w:val="3"/>
            <w:tcBorders>
              <w:top w:val="single" w:color="auto" w:sz="8" w:space="0"/>
              <w:left w:val="single" w:color="auto" w:sz="4" w:space="0"/>
              <w:bottom w:val="single" w:color="auto" w:sz="4" w:space="0"/>
              <w:right w:val="single" w:color="auto" w:sz="4" w:space="0"/>
            </w:tcBorders>
            <w:noWrap w:val="0"/>
            <w:vAlign w:val="center"/>
          </w:tcPr>
          <w:p>
            <w:pPr>
              <w:spacing w:line="360" w:lineRule="auto"/>
              <w:jc w:val="center"/>
              <w:rPr>
                <w:rFonts w:eastAsia="方正仿宋_GBK"/>
                <w:color w:val="000000"/>
                <w:spacing w:val="-2"/>
                <w:szCs w:val="21"/>
              </w:rPr>
            </w:pPr>
            <w:r>
              <w:rPr>
                <w:rFonts w:hint="eastAsia" w:eastAsia="方正仿宋_GBK"/>
                <w:color w:val="000000"/>
                <w:spacing w:val="-2"/>
                <w:szCs w:val="21"/>
              </w:rPr>
              <w:t>环境温</w:t>
            </w:r>
            <w:r>
              <w:rPr>
                <w:rFonts w:eastAsia="方正仿宋_GBK"/>
                <w:color w:val="000000"/>
                <w:spacing w:val="-2"/>
                <w:szCs w:val="21"/>
              </w:rPr>
              <w:t>/</w:t>
            </w:r>
            <w:r>
              <w:rPr>
                <w:rFonts w:hint="eastAsia" w:eastAsia="方正仿宋_GBK"/>
                <w:color w:val="000000"/>
                <w:spacing w:val="-2"/>
                <w:szCs w:val="21"/>
              </w:rPr>
              <w:t>湿度</w:t>
            </w:r>
          </w:p>
        </w:tc>
        <w:tc>
          <w:tcPr>
            <w:tcW w:w="2378" w:type="dxa"/>
            <w:gridSpan w:val="2"/>
            <w:tcBorders>
              <w:top w:val="single" w:color="auto" w:sz="8" w:space="0"/>
              <w:left w:val="single" w:color="auto" w:sz="4" w:space="0"/>
              <w:bottom w:val="single" w:color="auto" w:sz="4" w:space="0"/>
              <w:right w:val="single" w:color="auto" w:sz="8" w:space="0"/>
            </w:tcBorders>
            <w:noWrap w:val="0"/>
            <w:vAlign w:val="center"/>
          </w:tcPr>
          <w:p>
            <w:pPr>
              <w:spacing w:line="360" w:lineRule="auto"/>
              <w:ind w:left="420"/>
              <w:jc w:val="center"/>
              <w:rPr>
                <w:rFonts w:eastAsia="方正仿宋_GBK"/>
                <w:color w:val="000000"/>
                <w:spacing w:val="-2"/>
                <w:szCs w:val="21"/>
              </w:rPr>
            </w:pPr>
            <w:r>
              <w:rPr>
                <w:rFonts w:hint="eastAsia" w:ascii="Times New Roman" w:hAnsi="Times New Roman" w:cs="宋体"/>
                <w:color w:val="000000"/>
                <w:spacing w:val="-2"/>
                <w:szCs w:val="21"/>
              </w:rPr>
              <w:t>℃</w:t>
            </w:r>
            <w:r>
              <w:rPr>
                <w:rFonts w:eastAsia="方正仿宋_GBK"/>
                <w:color w:val="000000"/>
                <w:spacing w:val="-2"/>
                <w:szCs w:val="21"/>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841" w:type="dxa"/>
            <w:gridSpan w:val="2"/>
            <w:tcBorders>
              <w:top w:val="single" w:color="auto" w:sz="4" w:space="0"/>
              <w:left w:val="single" w:color="auto" w:sz="8" w:space="0"/>
              <w:bottom w:val="single" w:color="auto" w:sz="4" w:space="0"/>
              <w:right w:val="single" w:color="auto" w:sz="4" w:space="0"/>
            </w:tcBorders>
            <w:noWrap w:val="0"/>
            <w:vAlign w:val="center"/>
          </w:tcPr>
          <w:p>
            <w:pPr>
              <w:spacing w:line="360" w:lineRule="auto"/>
              <w:jc w:val="center"/>
              <w:rPr>
                <w:rFonts w:eastAsia="方正仿宋_GBK"/>
                <w:color w:val="000000"/>
                <w:spacing w:val="-2"/>
                <w:szCs w:val="21"/>
              </w:rPr>
            </w:pPr>
            <w:r>
              <w:rPr>
                <w:rFonts w:hint="eastAsia" w:eastAsia="方正仿宋_GBK"/>
                <w:color w:val="000000"/>
                <w:spacing w:val="-2"/>
                <w:szCs w:val="21"/>
              </w:rPr>
              <w:t>分析项目</w:t>
            </w:r>
          </w:p>
        </w:tc>
        <w:tc>
          <w:tcPr>
            <w:tcW w:w="2415" w:type="dxa"/>
            <w:gridSpan w:val="4"/>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eastAsia="方正仿宋_GBK"/>
                <w:color w:val="000000"/>
                <w:spacing w:val="-2"/>
                <w:szCs w:val="21"/>
              </w:rPr>
            </w:pPr>
          </w:p>
        </w:tc>
        <w:tc>
          <w:tcPr>
            <w:tcW w:w="2112"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eastAsia="方正仿宋_GBK"/>
                <w:color w:val="000000"/>
                <w:spacing w:val="-2"/>
                <w:szCs w:val="21"/>
              </w:rPr>
            </w:pPr>
            <w:r>
              <w:rPr>
                <w:rFonts w:hint="eastAsia" w:eastAsia="方正仿宋_GBK"/>
                <w:color w:val="000000"/>
                <w:spacing w:val="-2"/>
                <w:szCs w:val="21"/>
              </w:rPr>
              <w:t>恒重温度</w:t>
            </w:r>
          </w:p>
        </w:tc>
        <w:tc>
          <w:tcPr>
            <w:tcW w:w="2378" w:type="dxa"/>
            <w:gridSpan w:val="2"/>
            <w:tcBorders>
              <w:top w:val="single" w:color="auto" w:sz="4" w:space="0"/>
              <w:left w:val="single" w:color="auto" w:sz="4" w:space="0"/>
              <w:bottom w:val="single" w:color="auto" w:sz="4" w:space="0"/>
              <w:right w:val="single" w:color="auto" w:sz="8" w:space="0"/>
            </w:tcBorders>
            <w:noWrap w:val="0"/>
            <w:vAlign w:val="center"/>
          </w:tcPr>
          <w:p>
            <w:pPr>
              <w:spacing w:line="360" w:lineRule="auto"/>
              <w:ind w:left="420"/>
              <w:jc w:val="center"/>
              <w:rPr>
                <w:rFonts w:eastAsia="方正仿宋_GBK"/>
                <w:color w:val="000000"/>
                <w:spacing w:val="-2"/>
                <w:szCs w:val="21"/>
              </w:rPr>
            </w:pPr>
            <w:r>
              <w:rPr>
                <w:rFonts w:eastAsia="方正仿宋_GBK"/>
                <w:color w:val="000000"/>
                <w:spacing w:val="-2"/>
                <w:szCs w:val="21"/>
              </w:rPr>
              <w:t xml:space="preserve">   </w:t>
            </w:r>
            <w:r>
              <w:rPr>
                <w:rFonts w:hint="eastAsia" w:ascii="Times New Roman" w:hAnsi="Times New Roman" w:cs="宋体"/>
                <w:color w:val="000000"/>
                <w:spacing w:val="-2"/>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087" w:type="dxa"/>
            <w:tcBorders>
              <w:top w:val="single" w:color="auto" w:sz="4" w:space="0"/>
              <w:left w:val="single" w:color="auto" w:sz="8" w:space="0"/>
              <w:bottom w:val="single" w:color="auto" w:sz="4" w:space="0"/>
              <w:right w:val="single" w:color="auto" w:sz="4" w:space="0"/>
            </w:tcBorders>
            <w:noWrap w:val="0"/>
            <w:vAlign w:val="center"/>
          </w:tcPr>
          <w:p>
            <w:pPr>
              <w:spacing w:line="360" w:lineRule="auto"/>
              <w:rPr>
                <w:rFonts w:eastAsia="方正仿宋_GBK"/>
                <w:color w:val="000000"/>
                <w:spacing w:val="-2"/>
                <w:szCs w:val="21"/>
              </w:rPr>
            </w:pPr>
            <w:r>
              <w:rPr>
                <w:rFonts w:hint="eastAsia" w:eastAsia="方正仿宋_GBK"/>
                <w:color w:val="000000"/>
                <w:spacing w:val="-2"/>
                <w:szCs w:val="21"/>
              </w:rPr>
              <w:t>天平型号</w:t>
            </w:r>
          </w:p>
        </w:tc>
        <w:tc>
          <w:tcPr>
            <w:tcW w:w="1530"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ind w:left="420"/>
              <w:jc w:val="center"/>
              <w:rPr>
                <w:rFonts w:eastAsia="方正仿宋_GBK"/>
                <w:color w:val="000000"/>
                <w:spacing w:val="-2"/>
                <w:szCs w:val="21"/>
              </w:rPr>
            </w:pPr>
          </w:p>
        </w:tc>
        <w:tc>
          <w:tcPr>
            <w:tcW w:w="1639"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ind w:left="420"/>
              <w:jc w:val="center"/>
              <w:rPr>
                <w:rFonts w:eastAsia="方正仿宋_GBK"/>
                <w:color w:val="000000"/>
                <w:spacing w:val="-2"/>
                <w:szCs w:val="21"/>
              </w:rPr>
            </w:pPr>
            <w:r>
              <w:rPr>
                <w:rFonts w:hint="eastAsia" w:eastAsia="方正仿宋_GBK"/>
                <w:color w:val="000000"/>
                <w:spacing w:val="-2"/>
                <w:szCs w:val="21"/>
              </w:rPr>
              <w:t>天平编号</w:t>
            </w:r>
          </w:p>
        </w:tc>
        <w:tc>
          <w:tcPr>
            <w:tcW w:w="1614"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ind w:left="420"/>
              <w:jc w:val="center"/>
              <w:rPr>
                <w:rFonts w:eastAsia="方正仿宋_GBK"/>
                <w:color w:val="000000"/>
                <w:spacing w:val="-2"/>
                <w:szCs w:val="21"/>
              </w:rPr>
            </w:pPr>
          </w:p>
        </w:tc>
        <w:tc>
          <w:tcPr>
            <w:tcW w:w="1316"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eastAsia="方正仿宋_GBK"/>
                <w:color w:val="000000"/>
                <w:spacing w:val="-2"/>
                <w:szCs w:val="21"/>
              </w:rPr>
            </w:pPr>
            <w:r>
              <w:rPr>
                <w:rFonts w:hint="eastAsia" w:eastAsia="方正仿宋_GBK"/>
                <w:color w:val="000000"/>
                <w:spacing w:val="-2"/>
                <w:szCs w:val="21"/>
              </w:rPr>
              <w:t>天平感量</w:t>
            </w:r>
          </w:p>
        </w:tc>
        <w:tc>
          <w:tcPr>
            <w:tcW w:w="1560" w:type="dxa"/>
            <w:tcBorders>
              <w:top w:val="single" w:color="auto" w:sz="4" w:space="0"/>
              <w:left w:val="single" w:color="auto" w:sz="4" w:space="0"/>
              <w:bottom w:val="single" w:color="auto" w:sz="4" w:space="0"/>
              <w:right w:val="single" w:color="auto" w:sz="8" w:space="0"/>
            </w:tcBorders>
            <w:noWrap w:val="0"/>
            <w:vAlign w:val="center"/>
          </w:tcPr>
          <w:p>
            <w:pPr>
              <w:spacing w:line="360" w:lineRule="auto"/>
              <w:ind w:left="420"/>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9" w:hRule="atLeast"/>
        </w:trPr>
        <w:tc>
          <w:tcPr>
            <w:tcW w:w="1087" w:type="dxa"/>
            <w:tcBorders>
              <w:top w:val="single" w:color="auto" w:sz="4" w:space="0"/>
              <w:left w:val="single" w:color="auto" w:sz="8" w:space="0"/>
              <w:bottom w:val="single" w:color="auto" w:sz="4" w:space="0"/>
              <w:right w:val="single" w:color="auto" w:sz="4" w:space="0"/>
            </w:tcBorders>
            <w:noWrap w:val="0"/>
            <w:vAlign w:val="center"/>
          </w:tcPr>
          <w:p>
            <w:pPr>
              <w:spacing w:line="360" w:lineRule="auto"/>
              <w:rPr>
                <w:rFonts w:eastAsia="方正仿宋_GBK"/>
                <w:color w:val="000000"/>
                <w:spacing w:val="-2"/>
                <w:szCs w:val="21"/>
              </w:rPr>
            </w:pPr>
            <w:r>
              <w:rPr>
                <w:rFonts w:hint="eastAsia" w:eastAsia="方正仿宋_GBK"/>
                <w:color w:val="000000"/>
                <w:spacing w:val="-2"/>
                <w:szCs w:val="21"/>
              </w:rPr>
              <w:t>样品编号</w:t>
            </w:r>
          </w:p>
        </w:tc>
        <w:tc>
          <w:tcPr>
            <w:tcW w:w="1244"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eastAsia="方正仿宋_GBK"/>
                <w:color w:val="000000"/>
                <w:spacing w:val="-2"/>
                <w:szCs w:val="21"/>
              </w:rPr>
            </w:pPr>
            <w:r>
              <w:rPr>
                <w:rFonts w:hint="eastAsia" w:eastAsia="方正仿宋_GBK"/>
                <w:color w:val="000000"/>
                <w:spacing w:val="-2"/>
                <w:szCs w:val="21"/>
              </w:rPr>
              <w:t>洗前重量</w:t>
            </w:r>
            <w:r>
              <w:rPr>
                <w:rFonts w:eastAsia="方正仿宋_GBK"/>
                <w:color w:val="000000"/>
                <w:spacing w:val="-2"/>
                <w:szCs w:val="21"/>
              </w:rPr>
              <w:t>G(g)</w:t>
            </w:r>
          </w:p>
        </w:tc>
        <w:tc>
          <w:tcPr>
            <w:tcW w:w="1107"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eastAsia="方正仿宋_GBK"/>
                <w:color w:val="000000"/>
                <w:spacing w:val="-2"/>
                <w:szCs w:val="21"/>
              </w:rPr>
            </w:pPr>
            <w:r>
              <w:rPr>
                <w:rFonts w:hint="eastAsia" w:eastAsia="方正仿宋_GBK"/>
                <w:color w:val="000000"/>
                <w:spacing w:val="-2"/>
                <w:szCs w:val="21"/>
              </w:rPr>
              <w:t>洗后重量</w:t>
            </w:r>
          </w:p>
          <w:p>
            <w:pPr>
              <w:spacing w:line="360" w:lineRule="auto"/>
              <w:jc w:val="center"/>
              <w:rPr>
                <w:rFonts w:eastAsia="方正仿宋_GBK"/>
                <w:color w:val="000000"/>
                <w:spacing w:val="-2"/>
                <w:szCs w:val="21"/>
              </w:rPr>
            </w:pPr>
            <w:r>
              <w:rPr>
                <w:rFonts w:eastAsia="方正仿宋_GBK"/>
                <w:color w:val="000000"/>
                <w:spacing w:val="-2"/>
                <w:szCs w:val="21"/>
              </w:rPr>
              <w:t>G</w:t>
            </w:r>
            <w:r>
              <w:rPr>
                <w:rFonts w:eastAsia="方正仿宋_GBK"/>
                <w:color w:val="000000"/>
                <w:spacing w:val="-2"/>
                <w:szCs w:val="21"/>
                <w:vertAlign w:val="subscript"/>
              </w:rPr>
              <w:t>1</w:t>
            </w:r>
            <w:r>
              <w:rPr>
                <w:rFonts w:eastAsia="方正仿宋_GBK"/>
                <w:color w:val="000000"/>
                <w:spacing w:val="-2"/>
                <w:szCs w:val="21"/>
              </w:rPr>
              <w:t xml:space="preserve"> (g)</w:t>
            </w:r>
          </w:p>
        </w:tc>
        <w:tc>
          <w:tcPr>
            <w:tcW w:w="1182"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eastAsia="方正仿宋_GBK"/>
                <w:color w:val="000000"/>
                <w:spacing w:val="-2"/>
                <w:szCs w:val="21"/>
              </w:rPr>
            </w:pPr>
            <w:r>
              <w:rPr>
                <w:rFonts w:hint="eastAsia" w:eastAsia="方正仿宋_GBK"/>
                <w:color w:val="000000"/>
                <w:spacing w:val="-2"/>
                <w:szCs w:val="21"/>
              </w:rPr>
              <w:t>含泥量</w:t>
            </w:r>
          </w:p>
          <w:p>
            <w:pPr>
              <w:spacing w:line="360" w:lineRule="auto"/>
              <w:jc w:val="center"/>
              <w:rPr>
                <w:rFonts w:eastAsia="方正仿宋_GBK"/>
                <w:color w:val="000000"/>
                <w:spacing w:val="-2"/>
                <w:szCs w:val="21"/>
              </w:rPr>
            </w:pPr>
            <w:r>
              <w:rPr>
                <w:rFonts w:hint="eastAsia" w:eastAsia="方正仿宋_GBK"/>
                <w:color w:val="000000"/>
                <w:spacing w:val="-2"/>
                <w:szCs w:val="21"/>
              </w:rPr>
              <w:t>（</w:t>
            </w:r>
            <w:r>
              <w:rPr>
                <w:rFonts w:eastAsia="方正仿宋_GBK"/>
                <w:color w:val="000000"/>
                <w:spacing w:val="-2"/>
                <w:szCs w:val="21"/>
              </w:rPr>
              <w:t>%</w:t>
            </w:r>
            <w:r>
              <w:rPr>
                <w:rFonts w:hint="eastAsia" w:eastAsia="方正仿宋_GBK"/>
                <w:color w:val="000000"/>
                <w:spacing w:val="-2"/>
                <w:szCs w:val="21"/>
              </w:rPr>
              <w:t>）</w:t>
            </w:r>
          </w:p>
        </w:tc>
        <w:tc>
          <w:tcPr>
            <w:tcW w:w="12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eastAsia="方正仿宋_GBK"/>
                <w:color w:val="000000"/>
                <w:spacing w:val="-2"/>
                <w:szCs w:val="21"/>
              </w:rPr>
            </w:pPr>
            <w:r>
              <w:rPr>
                <w:rFonts w:hint="eastAsia" w:eastAsia="方正仿宋_GBK"/>
                <w:color w:val="000000"/>
                <w:spacing w:val="-2"/>
                <w:szCs w:val="21"/>
              </w:rPr>
              <w:t>加酸前砂重</w:t>
            </w:r>
            <w:r>
              <w:rPr>
                <w:rFonts w:eastAsia="方正仿宋_GBK"/>
                <w:color w:val="000000"/>
                <w:spacing w:val="-2"/>
                <w:szCs w:val="21"/>
              </w:rPr>
              <w:t>M(g)</w:t>
            </w:r>
          </w:p>
        </w:tc>
        <w:tc>
          <w:tcPr>
            <w:tcW w:w="1316"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eastAsia="方正仿宋_GBK"/>
                <w:color w:val="000000"/>
                <w:spacing w:val="-2"/>
                <w:szCs w:val="21"/>
              </w:rPr>
            </w:pPr>
            <w:r>
              <w:rPr>
                <w:rFonts w:hint="eastAsia" w:eastAsia="方正仿宋_GBK"/>
                <w:color w:val="000000"/>
                <w:spacing w:val="-2"/>
                <w:szCs w:val="21"/>
              </w:rPr>
              <w:t>加酸后砂重</w:t>
            </w:r>
            <w:r>
              <w:rPr>
                <w:rFonts w:eastAsia="方正仿宋_GBK"/>
                <w:color w:val="000000"/>
                <w:spacing w:val="-2"/>
                <w:szCs w:val="21"/>
              </w:rPr>
              <w:t>M</w:t>
            </w:r>
            <w:r>
              <w:rPr>
                <w:rFonts w:eastAsia="方正仿宋_GBK"/>
                <w:color w:val="000000"/>
                <w:spacing w:val="-2"/>
                <w:szCs w:val="21"/>
                <w:vertAlign w:val="subscript"/>
              </w:rPr>
              <w:t xml:space="preserve">1 </w:t>
            </w:r>
            <w:r>
              <w:rPr>
                <w:rFonts w:eastAsia="方正仿宋_GBK"/>
                <w:color w:val="000000"/>
                <w:spacing w:val="-2"/>
                <w:szCs w:val="21"/>
              </w:rPr>
              <w:t>(g)</w:t>
            </w:r>
          </w:p>
        </w:tc>
        <w:tc>
          <w:tcPr>
            <w:tcW w:w="1560" w:type="dxa"/>
            <w:tcBorders>
              <w:top w:val="single" w:color="auto" w:sz="4" w:space="0"/>
              <w:left w:val="single" w:color="auto" w:sz="4" w:space="0"/>
              <w:bottom w:val="single" w:color="auto" w:sz="4" w:space="0"/>
              <w:right w:val="single" w:color="auto" w:sz="8" w:space="0"/>
            </w:tcBorders>
            <w:noWrap w:val="0"/>
            <w:vAlign w:val="center"/>
          </w:tcPr>
          <w:p>
            <w:pPr>
              <w:spacing w:line="360" w:lineRule="auto"/>
              <w:jc w:val="center"/>
              <w:rPr>
                <w:rFonts w:eastAsia="方正仿宋_GBK"/>
                <w:color w:val="000000"/>
                <w:spacing w:val="-2"/>
                <w:szCs w:val="21"/>
              </w:rPr>
            </w:pPr>
            <w:r>
              <w:rPr>
                <w:rFonts w:hint="eastAsia" w:eastAsia="方正仿宋_GBK"/>
                <w:color w:val="000000"/>
                <w:spacing w:val="-2"/>
                <w:szCs w:val="21"/>
              </w:rPr>
              <w:t>盐酸可溶率</w:t>
            </w:r>
            <w:r>
              <w:rPr>
                <w:rFonts w:eastAsia="方正仿宋_GBK"/>
                <w:color w:val="000000"/>
                <w:spacing w:val="-2"/>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087" w:type="dxa"/>
            <w:tcBorders>
              <w:top w:val="single" w:color="auto" w:sz="4" w:space="0"/>
              <w:left w:val="single" w:color="auto" w:sz="8"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244"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107"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182"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250" w:type="dxa"/>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316"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560" w:type="dxa"/>
            <w:tcBorders>
              <w:top w:val="single" w:color="auto" w:sz="4" w:space="0"/>
              <w:left w:val="single" w:color="auto" w:sz="4" w:space="0"/>
              <w:bottom w:val="single" w:color="auto" w:sz="4" w:space="0"/>
              <w:right w:val="single" w:color="auto" w:sz="8" w:space="0"/>
            </w:tcBorders>
            <w:noWrap w:val="0"/>
            <w:vAlign w:val="top"/>
          </w:tcPr>
          <w:p>
            <w:pPr>
              <w:spacing w:line="360" w:lineRule="auto"/>
              <w:ind w:left="420"/>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087" w:type="dxa"/>
            <w:tcBorders>
              <w:top w:val="single" w:color="auto" w:sz="4" w:space="0"/>
              <w:left w:val="single" w:color="auto" w:sz="8"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244"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107"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182"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250" w:type="dxa"/>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316"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560" w:type="dxa"/>
            <w:tcBorders>
              <w:top w:val="single" w:color="auto" w:sz="4" w:space="0"/>
              <w:left w:val="single" w:color="auto" w:sz="4" w:space="0"/>
              <w:bottom w:val="single" w:color="auto" w:sz="4" w:space="0"/>
              <w:right w:val="single" w:color="auto" w:sz="8" w:space="0"/>
            </w:tcBorders>
            <w:noWrap w:val="0"/>
            <w:vAlign w:val="top"/>
          </w:tcPr>
          <w:p>
            <w:pPr>
              <w:spacing w:line="360" w:lineRule="auto"/>
              <w:ind w:left="420"/>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087" w:type="dxa"/>
            <w:tcBorders>
              <w:top w:val="single" w:color="auto" w:sz="4" w:space="0"/>
              <w:left w:val="single" w:color="auto" w:sz="8"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244"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107"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182"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250" w:type="dxa"/>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316"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560" w:type="dxa"/>
            <w:tcBorders>
              <w:top w:val="single" w:color="auto" w:sz="4" w:space="0"/>
              <w:left w:val="single" w:color="auto" w:sz="4" w:space="0"/>
              <w:bottom w:val="single" w:color="auto" w:sz="4" w:space="0"/>
              <w:right w:val="single" w:color="auto" w:sz="8" w:space="0"/>
            </w:tcBorders>
            <w:noWrap w:val="0"/>
            <w:vAlign w:val="top"/>
          </w:tcPr>
          <w:p>
            <w:pPr>
              <w:spacing w:line="360" w:lineRule="auto"/>
              <w:ind w:left="420"/>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087" w:type="dxa"/>
            <w:tcBorders>
              <w:top w:val="single" w:color="auto" w:sz="4" w:space="0"/>
              <w:left w:val="single" w:color="auto" w:sz="8"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244"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107"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182"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250" w:type="dxa"/>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316"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560" w:type="dxa"/>
            <w:tcBorders>
              <w:top w:val="single" w:color="auto" w:sz="4" w:space="0"/>
              <w:left w:val="single" w:color="auto" w:sz="4" w:space="0"/>
              <w:bottom w:val="single" w:color="auto" w:sz="4" w:space="0"/>
              <w:right w:val="single" w:color="auto" w:sz="8" w:space="0"/>
            </w:tcBorders>
            <w:noWrap w:val="0"/>
            <w:vAlign w:val="top"/>
          </w:tcPr>
          <w:p>
            <w:pPr>
              <w:spacing w:line="360" w:lineRule="auto"/>
              <w:ind w:left="420"/>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087" w:type="dxa"/>
            <w:tcBorders>
              <w:top w:val="single" w:color="auto" w:sz="4" w:space="0"/>
              <w:left w:val="single" w:color="auto" w:sz="8"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244"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107"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182"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250" w:type="dxa"/>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316"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560" w:type="dxa"/>
            <w:tcBorders>
              <w:top w:val="single" w:color="auto" w:sz="4" w:space="0"/>
              <w:left w:val="single" w:color="auto" w:sz="4" w:space="0"/>
              <w:bottom w:val="single" w:color="auto" w:sz="4" w:space="0"/>
              <w:right w:val="single" w:color="auto" w:sz="8" w:space="0"/>
            </w:tcBorders>
            <w:noWrap w:val="0"/>
            <w:vAlign w:val="top"/>
          </w:tcPr>
          <w:p>
            <w:pPr>
              <w:spacing w:line="360" w:lineRule="auto"/>
              <w:ind w:left="420"/>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087" w:type="dxa"/>
            <w:tcBorders>
              <w:top w:val="single" w:color="auto" w:sz="4" w:space="0"/>
              <w:left w:val="single" w:color="auto" w:sz="8"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244"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107"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182"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250" w:type="dxa"/>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316"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560" w:type="dxa"/>
            <w:tcBorders>
              <w:top w:val="single" w:color="auto" w:sz="4" w:space="0"/>
              <w:left w:val="single" w:color="auto" w:sz="4" w:space="0"/>
              <w:bottom w:val="single" w:color="auto" w:sz="4" w:space="0"/>
              <w:right w:val="single" w:color="auto" w:sz="8" w:space="0"/>
            </w:tcBorders>
            <w:noWrap w:val="0"/>
            <w:vAlign w:val="top"/>
          </w:tcPr>
          <w:p>
            <w:pPr>
              <w:spacing w:line="360" w:lineRule="auto"/>
              <w:ind w:left="420"/>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087" w:type="dxa"/>
            <w:tcBorders>
              <w:top w:val="single" w:color="auto" w:sz="4" w:space="0"/>
              <w:left w:val="single" w:color="auto" w:sz="8"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244"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107"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182"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250" w:type="dxa"/>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316"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560" w:type="dxa"/>
            <w:tcBorders>
              <w:top w:val="single" w:color="auto" w:sz="4" w:space="0"/>
              <w:left w:val="single" w:color="auto" w:sz="4" w:space="0"/>
              <w:bottom w:val="single" w:color="auto" w:sz="4" w:space="0"/>
              <w:right w:val="single" w:color="auto" w:sz="8" w:space="0"/>
            </w:tcBorders>
            <w:noWrap w:val="0"/>
            <w:vAlign w:val="top"/>
          </w:tcPr>
          <w:p>
            <w:pPr>
              <w:spacing w:line="360" w:lineRule="auto"/>
              <w:ind w:left="420"/>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087" w:type="dxa"/>
            <w:tcBorders>
              <w:top w:val="single" w:color="auto" w:sz="4" w:space="0"/>
              <w:left w:val="single" w:color="auto" w:sz="8"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244"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107"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182"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250" w:type="dxa"/>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316"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ind w:left="420"/>
              <w:rPr>
                <w:rFonts w:eastAsia="方正仿宋_GBK"/>
                <w:color w:val="000000"/>
                <w:spacing w:val="-2"/>
                <w:szCs w:val="21"/>
              </w:rPr>
            </w:pPr>
          </w:p>
        </w:tc>
        <w:tc>
          <w:tcPr>
            <w:tcW w:w="1560" w:type="dxa"/>
            <w:tcBorders>
              <w:top w:val="single" w:color="auto" w:sz="4" w:space="0"/>
              <w:left w:val="single" w:color="auto" w:sz="4" w:space="0"/>
              <w:bottom w:val="single" w:color="auto" w:sz="4" w:space="0"/>
              <w:right w:val="single" w:color="auto" w:sz="8" w:space="0"/>
            </w:tcBorders>
            <w:noWrap w:val="0"/>
            <w:vAlign w:val="top"/>
          </w:tcPr>
          <w:p>
            <w:pPr>
              <w:spacing w:line="360" w:lineRule="auto"/>
              <w:ind w:left="420"/>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4" w:hRule="atLeast"/>
        </w:trPr>
        <w:tc>
          <w:tcPr>
            <w:tcW w:w="8746" w:type="dxa"/>
            <w:gridSpan w:val="11"/>
            <w:tcBorders>
              <w:top w:val="single" w:color="auto" w:sz="4" w:space="0"/>
              <w:left w:val="single" w:color="auto" w:sz="8" w:space="0"/>
              <w:bottom w:val="single" w:color="auto" w:sz="4" w:space="0"/>
              <w:right w:val="single" w:color="auto" w:sz="8" w:space="0"/>
            </w:tcBorders>
            <w:noWrap w:val="0"/>
            <w:vAlign w:val="center"/>
          </w:tcPr>
          <w:p>
            <w:pPr>
              <w:spacing w:line="360" w:lineRule="auto"/>
              <w:ind w:left="420"/>
              <w:jc w:val="center"/>
              <w:rPr>
                <w:rFonts w:eastAsia="方正仿宋_GBK"/>
                <w:color w:val="000000"/>
                <w:spacing w:val="-2"/>
                <w:szCs w:val="21"/>
              </w:rPr>
            </w:pPr>
            <w:r>
              <w:rPr>
                <w:rFonts w:hint="eastAsia" w:eastAsia="方正仿宋_GBK"/>
                <w:color w:val="000000"/>
                <w:spacing w:val="-2"/>
                <w:szCs w:val="21"/>
              </w:rPr>
              <w:t>含</w:t>
            </w:r>
            <w:r>
              <w:rPr>
                <w:rFonts w:eastAsia="方正仿宋_GBK"/>
                <w:color w:val="000000"/>
                <w:spacing w:val="-2"/>
                <w:szCs w:val="21"/>
              </w:rPr>
              <w:t xml:space="preserve">  </w:t>
            </w:r>
            <w:r>
              <w:rPr>
                <w:rFonts w:hint="eastAsia" w:eastAsia="方正仿宋_GBK"/>
                <w:color w:val="000000"/>
                <w:spacing w:val="-2"/>
                <w:szCs w:val="21"/>
              </w:rPr>
              <w:t>泥</w:t>
            </w:r>
            <w:r>
              <w:rPr>
                <w:rFonts w:eastAsia="方正仿宋_GBK"/>
                <w:color w:val="000000"/>
                <w:spacing w:val="-2"/>
                <w:szCs w:val="21"/>
              </w:rPr>
              <w:t xml:space="preserve">  </w:t>
            </w:r>
            <w:r>
              <w:rPr>
                <w:rFonts w:hint="eastAsia" w:eastAsia="方正仿宋_GBK"/>
                <w:color w:val="000000"/>
                <w:spacing w:val="-2"/>
                <w:szCs w:val="21"/>
              </w:rPr>
              <w:t>量（</w:t>
            </w:r>
            <w:r>
              <w:rPr>
                <w:rFonts w:eastAsia="方正仿宋_GBK"/>
                <w:color w:val="000000"/>
                <w:spacing w:val="-2"/>
                <w:szCs w:val="21"/>
              </w:rPr>
              <w:t>%</w:t>
            </w:r>
            <w:r>
              <w:rPr>
                <w:rFonts w:hint="eastAsia" w:eastAsia="方正仿宋_GBK"/>
                <w:color w:val="000000"/>
                <w:spacing w:val="-2"/>
                <w:szCs w:val="21"/>
              </w:rPr>
              <w:t>）</w:t>
            </w:r>
            <w:r>
              <w:rPr>
                <w:rFonts w:eastAsia="方正仿宋_GBK"/>
                <w:color w:val="000000"/>
                <w:spacing w:val="-2"/>
                <w:szCs w:val="21"/>
              </w:rPr>
              <w:t>=</w:t>
            </w:r>
            <w:r>
              <w:rPr>
                <w:rFonts w:hint="eastAsia" w:eastAsia="方正仿宋_GBK"/>
                <w:color w:val="000000"/>
                <w:spacing w:val="-2"/>
                <w:szCs w:val="21"/>
              </w:rPr>
              <w:t>〔（</w:t>
            </w:r>
            <w:r>
              <w:rPr>
                <w:rFonts w:eastAsia="方正仿宋_GBK"/>
                <w:color w:val="000000"/>
                <w:spacing w:val="-2"/>
                <w:szCs w:val="21"/>
              </w:rPr>
              <w:t>G-G</w:t>
            </w:r>
            <w:r>
              <w:rPr>
                <w:rFonts w:eastAsia="方正仿宋_GBK"/>
                <w:color w:val="000000"/>
                <w:spacing w:val="-2"/>
                <w:szCs w:val="21"/>
                <w:vertAlign w:val="subscript"/>
              </w:rPr>
              <w:t>1</w:t>
            </w:r>
            <w:r>
              <w:rPr>
                <w:rFonts w:hint="eastAsia" w:eastAsia="方正仿宋_GBK"/>
                <w:color w:val="000000"/>
                <w:spacing w:val="-2"/>
                <w:szCs w:val="21"/>
              </w:rPr>
              <w:t>）</w:t>
            </w:r>
            <w:r>
              <w:rPr>
                <w:rFonts w:eastAsia="方正仿宋_GBK"/>
                <w:color w:val="000000"/>
                <w:spacing w:val="-2"/>
                <w:szCs w:val="21"/>
              </w:rPr>
              <w:t>/G</w:t>
            </w:r>
            <w:r>
              <w:rPr>
                <w:rFonts w:hint="eastAsia" w:eastAsia="方正仿宋_GBK"/>
                <w:color w:val="000000"/>
                <w:spacing w:val="-2"/>
                <w:szCs w:val="21"/>
              </w:rPr>
              <w:t>〕</w:t>
            </w:r>
            <w:r>
              <w:rPr>
                <w:rFonts w:eastAsia="方正仿宋_GBK"/>
                <w:color w:val="000000"/>
                <w:spacing w:val="-2"/>
                <w:szCs w:val="21"/>
              </w:rPr>
              <w:t>×100</w:t>
            </w:r>
          </w:p>
          <w:p>
            <w:pPr>
              <w:spacing w:line="360" w:lineRule="auto"/>
              <w:ind w:left="420"/>
              <w:jc w:val="center"/>
              <w:rPr>
                <w:rFonts w:eastAsia="方正仿宋_GBK"/>
                <w:color w:val="000000"/>
                <w:spacing w:val="-2"/>
                <w:szCs w:val="21"/>
              </w:rPr>
            </w:pPr>
            <w:r>
              <w:rPr>
                <w:rFonts w:hint="eastAsia" w:eastAsia="方正仿宋_GBK"/>
                <w:color w:val="000000"/>
                <w:spacing w:val="-2"/>
                <w:szCs w:val="21"/>
              </w:rPr>
              <w:t>盐酸可溶率（</w:t>
            </w:r>
            <w:r>
              <w:rPr>
                <w:rFonts w:eastAsia="方正仿宋_GBK"/>
                <w:color w:val="000000"/>
                <w:spacing w:val="-2"/>
                <w:szCs w:val="21"/>
              </w:rPr>
              <w:t>%</w:t>
            </w:r>
            <w:r>
              <w:rPr>
                <w:rFonts w:hint="eastAsia" w:eastAsia="方正仿宋_GBK"/>
                <w:color w:val="000000"/>
                <w:spacing w:val="-2"/>
                <w:szCs w:val="21"/>
              </w:rPr>
              <w:t>）</w:t>
            </w:r>
            <w:r>
              <w:rPr>
                <w:rFonts w:eastAsia="方正仿宋_GBK"/>
                <w:color w:val="000000"/>
                <w:spacing w:val="-2"/>
                <w:szCs w:val="21"/>
              </w:rPr>
              <w:t>=</w:t>
            </w:r>
            <w:r>
              <w:rPr>
                <w:rFonts w:hint="eastAsia" w:eastAsia="方正仿宋_GBK"/>
                <w:color w:val="000000"/>
                <w:spacing w:val="-2"/>
                <w:szCs w:val="21"/>
              </w:rPr>
              <w:t>〔（</w:t>
            </w:r>
            <w:r>
              <w:rPr>
                <w:rFonts w:eastAsia="方正仿宋_GBK"/>
                <w:color w:val="000000"/>
                <w:spacing w:val="-2"/>
                <w:szCs w:val="21"/>
              </w:rPr>
              <w:t>M-M</w:t>
            </w:r>
            <w:r>
              <w:rPr>
                <w:rFonts w:eastAsia="方正仿宋_GBK"/>
                <w:color w:val="000000"/>
                <w:spacing w:val="-2"/>
                <w:szCs w:val="21"/>
                <w:vertAlign w:val="subscript"/>
              </w:rPr>
              <w:t>1</w:t>
            </w:r>
            <w:r>
              <w:rPr>
                <w:rFonts w:hint="eastAsia" w:eastAsia="方正仿宋_GBK"/>
                <w:color w:val="000000"/>
                <w:spacing w:val="-2"/>
                <w:szCs w:val="21"/>
              </w:rPr>
              <w:t>）</w:t>
            </w:r>
            <w:r>
              <w:rPr>
                <w:rFonts w:eastAsia="方正仿宋_GBK"/>
                <w:color w:val="000000"/>
                <w:spacing w:val="-2"/>
                <w:szCs w:val="21"/>
              </w:rPr>
              <w:t>/M</w:t>
            </w:r>
            <w:r>
              <w:rPr>
                <w:rFonts w:hint="eastAsia" w:eastAsia="方正仿宋_GBK"/>
                <w:color w:val="000000"/>
                <w:spacing w:val="-2"/>
                <w:szCs w:val="21"/>
              </w:rPr>
              <w:t>〕</w:t>
            </w:r>
            <w:r>
              <w:rPr>
                <w:rFonts w:eastAsia="方正仿宋_GBK"/>
                <w:color w:val="000000"/>
                <w:spacing w:val="-2"/>
                <w:szCs w:val="21"/>
              </w:rPr>
              <w:t>×100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4" w:hRule="atLeast"/>
        </w:trPr>
        <w:tc>
          <w:tcPr>
            <w:tcW w:w="1087" w:type="dxa"/>
            <w:tcBorders>
              <w:top w:val="single" w:color="auto" w:sz="4" w:space="0"/>
              <w:left w:val="single" w:color="auto" w:sz="8" w:space="0"/>
              <w:bottom w:val="single" w:color="auto" w:sz="8" w:space="0"/>
              <w:right w:val="single" w:color="auto" w:sz="4" w:space="0"/>
            </w:tcBorders>
            <w:noWrap w:val="0"/>
            <w:vAlign w:val="center"/>
          </w:tcPr>
          <w:p>
            <w:pPr>
              <w:spacing w:line="360" w:lineRule="auto"/>
              <w:jc w:val="center"/>
              <w:rPr>
                <w:rFonts w:eastAsia="方正仿宋_GBK"/>
                <w:color w:val="000000"/>
                <w:spacing w:val="-2"/>
                <w:szCs w:val="21"/>
              </w:rPr>
            </w:pPr>
            <w:r>
              <w:rPr>
                <w:rFonts w:hint="eastAsia" w:eastAsia="方正仿宋_GBK"/>
                <w:color w:val="000000"/>
                <w:spacing w:val="-2"/>
                <w:szCs w:val="21"/>
              </w:rPr>
              <w:t>备</w:t>
            </w:r>
            <w:r>
              <w:rPr>
                <w:rFonts w:eastAsia="方正仿宋_GBK"/>
                <w:color w:val="000000"/>
                <w:spacing w:val="-2"/>
                <w:szCs w:val="21"/>
              </w:rPr>
              <w:t xml:space="preserve">  </w:t>
            </w:r>
            <w:r>
              <w:rPr>
                <w:rFonts w:hint="eastAsia" w:eastAsia="方正仿宋_GBK"/>
                <w:color w:val="000000"/>
                <w:spacing w:val="-2"/>
                <w:szCs w:val="21"/>
              </w:rPr>
              <w:t>注</w:t>
            </w:r>
          </w:p>
        </w:tc>
        <w:tc>
          <w:tcPr>
            <w:tcW w:w="7659" w:type="dxa"/>
            <w:gridSpan w:val="10"/>
            <w:tcBorders>
              <w:top w:val="single" w:color="auto" w:sz="4" w:space="0"/>
              <w:left w:val="single" w:color="auto" w:sz="4" w:space="0"/>
              <w:bottom w:val="single" w:color="auto" w:sz="8" w:space="0"/>
              <w:right w:val="single" w:color="auto" w:sz="8" w:space="0"/>
            </w:tcBorders>
            <w:noWrap w:val="0"/>
            <w:vAlign w:val="top"/>
          </w:tcPr>
          <w:p>
            <w:pPr>
              <w:spacing w:line="360" w:lineRule="auto"/>
              <w:ind w:left="420"/>
              <w:rPr>
                <w:rFonts w:eastAsia="方正仿宋_GBK"/>
                <w:color w:val="000000"/>
                <w:spacing w:val="-2"/>
                <w:szCs w:val="21"/>
              </w:rPr>
            </w:pPr>
          </w:p>
        </w:tc>
      </w:tr>
    </w:tbl>
    <w:p>
      <w:pPr>
        <w:rPr>
          <w:rFonts w:hint="eastAsia" w:ascii="Times New Roman" w:eastAsia="方正仿宋_GBK"/>
          <w:color w:val="000000"/>
          <w:spacing w:val="-2"/>
          <w:szCs w:val="21"/>
        </w:rPr>
      </w:pPr>
      <w:r>
        <w:rPr>
          <w:rFonts w:hint="eastAsia" w:ascii="Times New Roman" w:eastAsia="方正仿宋_GBK"/>
          <w:color w:val="000000"/>
          <w:spacing w:val="-2"/>
          <w:szCs w:val="21"/>
        </w:rPr>
        <w:t>校核：                      检测：                     检测日期：</w:t>
      </w:r>
    </w:p>
    <w:p>
      <w:pPr>
        <w:widowControl/>
        <w:jc w:val="left"/>
        <w:rPr>
          <w:rFonts w:ascii="Times New Roman" w:eastAsia="方正仿宋_GBK"/>
          <w:color w:val="000000"/>
          <w:spacing w:val="-2"/>
          <w:szCs w:val="21"/>
        </w:rPr>
        <w:sectPr>
          <w:pgSz w:w="11906" w:h="16838"/>
          <w:pgMar w:top="1701" w:right="1588" w:bottom="1701" w:left="1588" w:header="851" w:footer="1361" w:gutter="0"/>
          <w:paperSrc w:first="7" w:other="7"/>
          <w:cols w:space="720" w:num="1"/>
        </w:sectPr>
      </w:pPr>
    </w:p>
    <w:p>
      <w:pPr>
        <w:spacing w:line="460" w:lineRule="exact"/>
        <w:rPr>
          <w:rFonts w:hint="eastAsia" w:ascii="Times New Roman" w:eastAsia="方正黑体_GBK"/>
          <w:color w:val="000000"/>
          <w:spacing w:val="-2"/>
          <w:sz w:val="28"/>
          <w:szCs w:val="28"/>
        </w:rPr>
      </w:pPr>
      <w:r>
        <w:rPr>
          <w:rFonts w:hint="eastAsia" w:ascii="Times New Roman" w:eastAsia="方正黑体_GBK"/>
          <w:color w:val="000000"/>
          <w:spacing w:val="-2"/>
          <w:sz w:val="28"/>
          <w:szCs w:val="28"/>
        </w:rPr>
        <w:t>附表6：</w:t>
      </w:r>
    </w:p>
    <w:p>
      <w:pPr>
        <w:spacing w:line="360" w:lineRule="auto"/>
        <w:jc w:val="center"/>
        <w:rPr>
          <w:rFonts w:hint="eastAsia" w:eastAsia="方正黑体_GBK"/>
          <w:color w:val="000000"/>
          <w:spacing w:val="-2"/>
          <w:sz w:val="28"/>
          <w:szCs w:val="28"/>
        </w:rPr>
      </w:pPr>
      <w:r>
        <w:rPr>
          <w:rFonts w:eastAsia="方正黑体_GBK"/>
          <w:color w:val="000000"/>
          <w:spacing w:val="-2"/>
          <w:sz w:val="28"/>
          <w:szCs w:val="28"/>
          <w:u w:val="single"/>
        </w:rPr>
        <w:t xml:space="preserve">         </w:t>
      </w:r>
      <w:r>
        <w:rPr>
          <w:rFonts w:hint="eastAsia" w:eastAsia="方正黑体_GBK"/>
          <w:color w:val="000000"/>
          <w:spacing w:val="-2"/>
          <w:sz w:val="28"/>
          <w:szCs w:val="28"/>
        </w:rPr>
        <w:t>年</w:t>
      </w:r>
      <w:r>
        <w:rPr>
          <w:rFonts w:hint="eastAsia" w:eastAsia="方正黑体_GBK"/>
          <w:color w:val="000000"/>
          <w:spacing w:val="-2"/>
          <w:sz w:val="28"/>
          <w:szCs w:val="28"/>
          <w:u w:val="single"/>
        </w:rPr>
        <w:t>　　</w:t>
      </w:r>
      <w:r>
        <w:rPr>
          <w:rFonts w:hint="eastAsia" w:eastAsia="方正黑体_GBK"/>
          <w:color w:val="000000"/>
          <w:spacing w:val="-2"/>
          <w:sz w:val="28"/>
          <w:szCs w:val="28"/>
        </w:rPr>
        <w:t>月</w:t>
      </w:r>
      <w:r>
        <w:rPr>
          <w:rFonts w:hint="eastAsia" w:eastAsia="方正黑体_GBK"/>
          <w:color w:val="000000"/>
          <w:spacing w:val="-2"/>
          <w:sz w:val="28"/>
          <w:szCs w:val="28"/>
          <w:u w:val="single"/>
        </w:rPr>
        <w:t>　　　　</w:t>
      </w:r>
      <w:r>
        <w:rPr>
          <w:rFonts w:hint="eastAsia" w:eastAsia="方正黑体_GBK"/>
          <w:color w:val="000000"/>
          <w:spacing w:val="-2"/>
          <w:sz w:val="28"/>
          <w:szCs w:val="28"/>
        </w:rPr>
        <w:t>水厂出厂水九项指标检测情况汇总表</w:t>
      </w:r>
    </w:p>
    <w:p>
      <w:pPr>
        <w:spacing w:line="360" w:lineRule="auto"/>
        <w:jc w:val="center"/>
        <w:rPr>
          <w:color w:val="000000"/>
          <w:spacing w:val="-2"/>
          <w:sz w:val="24"/>
        </w:rPr>
      </w:pPr>
      <w:r>
        <w:rPr>
          <w:color w:val="000000"/>
          <w:spacing w:val="-2"/>
          <w:sz w:val="24"/>
        </w:rPr>
        <w:t xml:space="preserve">                                              </w:t>
      </w:r>
    </w:p>
    <w:tbl>
      <w:tblPr>
        <w:tblStyle w:val="12"/>
        <w:tblW w:w="0" w:type="auto"/>
        <w:tblInd w:w="9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22"/>
        <w:gridCol w:w="1483"/>
        <w:gridCol w:w="1483"/>
        <w:gridCol w:w="1483"/>
        <w:gridCol w:w="1483"/>
        <w:gridCol w:w="1483"/>
        <w:gridCol w:w="1483"/>
        <w:gridCol w:w="1483"/>
        <w:gridCol w:w="148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22" w:type="dxa"/>
            <w:tcBorders>
              <w:top w:val="single" w:color="auto" w:sz="8" w:space="0"/>
              <w:left w:val="single" w:color="auto" w:sz="8" w:space="0"/>
              <w:bottom w:val="single" w:color="auto" w:sz="4" w:space="0"/>
              <w:right w:val="single" w:color="auto" w:sz="4" w:space="0"/>
            </w:tcBorders>
            <w:noWrap w:val="0"/>
            <w:vAlign w:val="center"/>
          </w:tcPr>
          <w:p>
            <w:pPr>
              <w:jc w:val="center"/>
              <w:rPr>
                <w:rFonts w:ascii="Times New Roman" w:eastAsia="方正黑体_GBK"/>
                <w:szCs w:val="21"/>
              </w:rPr>
            </w:pPr>
            <w:r>
              <w:rPr>
                <w:rFonts w:hint="eastAsia" w:ascii="Times New Roman" w:eastAsia="方正黑体_GBK"/>
                <w:szCs w:val="21"/>
              </w:rPr>
              <w:t>检测项目</w:t>
            </w:r>
          </w:p>
        </w:tc>
        <w:tc>
          <w:tcPr>
            <w:tcW w:w="1483" w:type="dxa"/>
            <w:tcBorders>
              <w:top w:val="single" w:color="auto" w:sz="8" w:space="0"/>
              <w:left w:val="single" w:color="auto" w:sz="4" w:space="0"/>
              <w:bottom w:val="single" w:color="auto" w:sz="4" w:space="0"/>
              <w:right w:val="single" w:color="auto" w:sz="4" w:space="0"/>
            </w:tcBorders>
            <w:noWrap w:val="0"/>
            <w:vAlign w:val="center"/>
          </w:tcPr>
          <w:p>
            <w:pPr>
              <w:jc w:val="center"/>
              <w:rPr>
                <w:rFonts w:ascii="Times New Roman" w:eastAsia="方正黑体_GBK"/>
                <w:szCs w:val="21"/>
              </w:rPr>
            </w:pPr>
            <w:r>
              <w:rPr>
                <w:rFonts w:hint="eastAsia" w:ascii="Times New Roman" w:eastAsia="方正黑体_GBK"/>
                <w:szCs w:val="21"/>
              </w:rPr>
              <w:t>应检次数</w:t>
            </w:r>
          </w:p>
        </w:tc>
        <w:tc>
          <w:tcPr>
            <w:tcW w:w="1483" w:type="dxa"/>
            <w:tcBorders>
              <w:top w:val="single" w:color="auto" w:sz="8" w:space="0"/>
              <w:left w:val="single" w:color="auto" w:sz="4" w:space="0"/>
              <w:bottom w:val="single" w:color="auto" w:sz="4" w:space="0"/>
              <w:right w:val="single" w:color="auto" w:sz="4" w:space="0"/>
            </w:tcBorders>
            <w:noWrap w:val="0"/>
            <w:vAlign w:val="center"/>
          </w:tcPr>
          <w:p>
            <w:pPr>
              <w:jc w:val="center"/>
              <w:rPr>
                <w:rFonts w:ascii="Times New Roman" w:eastAsia="方正黑体_GBK"/>
                <w:szCs w:val="21"/>
              </w:rPr>
            </w:pPr>
            <w:r>
              <w:rPr>
                <w:rFonts w:hint="eastAsia" w:ascii="Times New Roman" w:eastAsia="方正黑体_GBK"/>
                <w:szCs w:val="21"/>
              </w:rPr>
              <w:t>实检次数</w:t>
            </w:r>
          </w:p>
        </w:tc>
        <w:tc>
          <w:tcPr>
            <w:tcW w:w="1483" w:type="dxa"/>
            <w:tcBorders>
              <w:top w:val="single" w:color="auto" w:sz="8" w:space="0"/>
              <w:left w:val="single" w:color="auto" w:sz="4" w:space="0"/>
              <w:bottom w:val="single" w:color="auto" w:sz="4" w:space="0"/>
              <w:right w:val="single" w:color="auto" w:sz="4" w:space="0"/>
            </w:tcBorders>
            <w:noWrap w:val="0"/>
            <w:vAlign w:val="center"/>
          </w:tcPr>
          <w:p>
            <w:pPr>
              <w:jc w:val="center"/>
              <w:rPr>
                <w:rFonts w:ascii="Times New Roman" w:eastAsia="方正黑体_GBK"/>
                <w:szCs w:val="21"/>
              </w:rPr>
            </w:pPr>
            <w:r>
              <w:rPr>
                <w:rFonts w:hint="eastAsia" w:ascii="Times New Roman" w:eastAsia="方正黑体_GBK"/>
                <w:szCs w:val="21"/>
              </w:rPr>
              <w:t>合格次数</w:t>
            </w:r>
          </w:p>
        </w:tc>
        <w:tc>
          <w:tcPr>
            <w:tcW w:w="1483" w:type="dxa"/>
            <w:tcBorders>
              <w:top w:val="single" w:color="auto" w:sz="8" w:space="0"/>
              <w:left w:val="single" w:color="auto" w:sz="4" w:space="0"/>
              <w:bottom w:val="single" w:color="auto" w:sz="4" w:space="0"/>
              <w:right w:val="single" w:color="auto" w:sz="4" w:space="0"/>
            </w:tcBorders>
            <w:noWrap w:val="0"/>
            <w:vAlign w:val="center"/>
          </w:tcPr>
          <w:p>
            <w:pPr>
              <w:jc w:val="center"/>
              <w:rPr>
                <w:rFonts w:ascii="Times New Roman" w:eastAsia="方正黑体_GBK"/>
                <w:szCs w:val="21"/>
              </w:rPr>
            </w:pPr>
            <w:r>
              <w:rPr>
                <w:rFonts w:hint="eastAsia" w:ascii="Times New Roman" w:eastAsia="方正黑体_GBK"/>
                <w:szCs w:val="21"/>
              </w:rPr>
              <w:t>检测率</w:t>
            </w:r>
          </w:p>
        </w:tc>
        <w:tc>
          <w:tcPr>
            <w:tcW w:w="1483" w:type="dxa"/>
            <w:tcBorders>
              <w:top w:val="single" w:color="auto" w:sz="8" w:space="0"/>
              <w:left w:val="single" w:color="auto" w:sz="4" w:space="0"/>
              <w:bottom w:val="single" w:color="auto" w:sz="4" w:space="0"/>
              <w:right w:val="single" w:color="auto" w:sz="4" w:space="0"/>
            </w:tcBorders>
            <w:noWrap w:val="0"/>
            <w:vAlign w:val="center"/>
          </w:tcPr>
          <w:p>
            <w:pPr>
              <w:jc w:val="center"/>
              <w:rPr>
                <w:rFonts w:ascii="Times New Roman" w:eastAsia="方正黑体_GBK"/>
                <w:szCs w:val="21"/>
              </w:rPr>
            </w:pPr>
            <w:r>
              <w:rPr>
                <w:rFonts w:hint="eastAsia" w:ascii="Times New Roman" w:eastAsia="方正黑体_GBK"/>
                <w:szCs w:val="21"/>
              </w:rPr>
              <w:t>最高</w:t>
            </w:r>
          </w:p>
        </w:tc>
        <w:tc>
          <w:tcPr>
            <w:tcW w:w="1483" w:type="dxa"/>
            <w:tcBorders>
              <w:top w:val="single" w:color="auto" w:sz="8" w:space="0"/>
              <w:left w:val="single" w:color="auto" w:sz="4" w:space="0"/>
              <w:bottom w:val="single" w:color="auto" w:sz="4" w:space="0"/>
              <w:right w:val="single" w:color="auto" w:sz="4" w:space="0"/>
            </w:tcBorders>
            <w:noWrap w:val="0"/>
            <w:vAlign w:val="center"/>
          </w:tcPr>
          <w:p>
            <w:pPr>
              <w:jc w:val="center"/>
              <w:rPr>
                <w:rFonts w:ascii="Times New Roman" w:eastAsia="方正黑体_GBK"/>
                <w:szCs w:val="21"/>
              </w:rPr>
            </w:pPr>
            <w:r>
              <w:rPr>
                <w:rFonts w:hint="eastAsia" w:ascii="Times New Roman" w:eastAsia="方正黑体_GBK"/>
                <w:szCs w:val="21"/>
              </w:rPr>
              <w:t>最低</w:t>
            </w:r>
          </w:p>
        </w:tc>
        <w:tc>
          <w:tcPr>
            <w:tcW w:w="1483" w:type="dxa"/>
            <w:tcBorders>
              <w:top w:val="single" w:color="auto" w:sz="8" w:space="0"/>
              <w:left w:val="single" w:color="auto" w:sz="4" w:space="0"/>
              <w:bottom w:val="single" w:color="auto" w:sz="4" w:space="0"/>
              <w:right w:val="single" w:color="auto" w:sz="4" w:space="0"/>
            </w:tcBorders>
            <w:noWrap w:val="0"/>
            <w:vAlign w:val="center"/>
          </w:tcPr>
          <w:p>
            <w:pPr>
              <w:jc w:val="center"/>
              <w:rPr>
                <w:rFonts w:ascii="Times New Roman" w:eastAsia="方正黑体_GBK"/>
                <w:szCs w:val="21"/>
              </w:rPr>
            </w:pPr>
            <w:r>
              <w:rPr>
                <w:rFonts w:hint="eastAsia" w:ascii="Times New Roman" w:eastAsia="方正黑体_GBK"/>
                <w:szCs w:val="21"/>
              </w:rPr>
              <w:t>平均</w:t>
            </w:r>
          </w:p>
        </w:tc>
        <w:tc>
          <w:tcPr>
            <w:tcW w:w="1483" w:type="dxa"/>
            <w:tcBorders>
              <w:top w:val="single" w:color="auto" w:sz="8" w:space="0"/>
              <w:left w:val="single" w:color="auto" w:sz="4" w:space="0"/>
              <w:bottom w:val="single" w:color="auto" w:sz="4" w:space="0"/>
              <w:right w:val="single" w:color="auto" w:sz="8" w:space="0"/>
            </w:tcBorders>
            <w:noWrap w:val="0"/>
            <w:vAlign w:val="center"/>
          </w:tcPr>
          <w:p>
            <w:pPr>
              <w:jc w:val="center"/>
              <w:rPr>
                <w:rFonts w:ascii="Times New Roman" w:eastAsia="方正黑体_GBK"/>
                <w:szCs w:val="21"/>
              </w:rPr>
            </w:pPr>
            <w:r>
              <w:rPr>
                <w:rFonts w:hint="eastAsia" w:ascii="Times New Roman" w:eastAsia="方正黑体_GBK"/>
                <w:szCs w:val="21"/>
              </w:rPr>
              <w:t>合格率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22"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szCs w:val="21"/>
              </w:rPr>
            </w:pPr>
            <w:r>
              <w:rPr>
                <w:rFonts w:hint="eastAsia" w:eastAsia="方正仿宋_GBK"/>
                <w:szCs w:val="21"/>
              </w:rPr>
              <w:t>色度</w:t>
            </w: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22"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szCs w:val="21"/>
              </w:rPr>
            </w:pPr>
            <w:r>
              <w:rPr>
                <w:rFonts w:hint="eastAsia" w:eastAsia="方正仿宋_GBK"/>
                <w:szCs w:val="21"/>
              </w:rPr>
              <w:t>臭和味</w:t>
            </w: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22"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szCs w:val="21"/>
              </w:rPr>
            </w:pPr>
            <w:r>
              <w:rPr>
                <w:rFonts w:hint="eastAsia" w:eastAsia="方正仿宋_GBK"/>
                <w:szCs w:val="21"/>
              </w:rPr>
              <w:t>肉眼可见物</w:t>
            </w: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22"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szCs w:val="21"/>
              </w:rPr>
            </w:pPr>
            <w:r>
              <w:rPr>
                <w:rFonts w:hint="eastAsia" w:eastAsia="方正仿宋_GBK"/>
                <w:szCs w:val="21"/>
              </w:rPr>
              <w:t>浑浊度</w:t>
            </w: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22"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szCs w:val="21"/>
              </w:rPr>
            </w:pPr>
            <w:r>
              <w:rPr>
                <w:rFonts w:hint="eastAsia" w:eastAsia="方正仿宋_GBK"/>
                <w:szCs w:val="21"/>
              </w:rPr>
              <w:t>余氯</w:t>
            </w: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22"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szCs w:val="21"/>
              </w:rPr>
            </w:pPr>
            <w:r>
              <w:rPr>
                <w:rFonts w:eastAsia="方正仿宋_GBK"/>
                <w:szCs w:val="21"/>
              </w:rPr>
              <w:t>CODMn</w:t>
            </w: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22"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szCs w:val="21"/>
              </w:rPr>
            </w:pPr>
            <w:r>
              <w:rPr>
                <w:rFonts w:hint="eastAsia" w:eastAsia="方正仿宋_GBK"/>
                <w:szCs w:val="21"/>
              </w:rPr>
              <w:t>细菌总数</w:t>
            </w: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22"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szCs w:val="21"/>
              </w:rPr>
            </w:pPr>
            <w:r>
              <w:rPr>
                <w:rFonts w:hint="eastAsia" w:eastAsia="方正仿宋_GBK"/>
                <w:szCs w:val="21"/>
              </w:rPr>
              <w:t>总大肠菌群</w:t>
            </w: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622"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szCs w:val="21"/>
              </w:rPr>
            </w:pPr>
            <w:r>
              <w:rPr>
                <w:rFonts w:hint="eastAsia" w:eastAsia="方正仿宋_GBK"/>
                <w:szCs w:val="21"/>
              </w:rPr>
              <w:t>粪（耐热）大肠菌群</w:t>
            </w: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622"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szCs w:val="21"/>
              </w:rPr>
            </w:pPr>
            <w:r>
              <w:rPr>
                <w:rFonts w:hint="eastAsia" w:eastAsia="方正仿宋_GBK"/>
                <w:szCs w:val="21"/>
              </w:rPr>
              <w:t>九项综合</w:t>
            </w: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Cs w:val="21"/>
              </w:rPr>
            </w:pPr>
          </w:p>
        </w:tc>
        <w:tc>
          <w:tcPr>
            <w:tcW w:w="1483"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13486" w:type="dxa"/>
            <w:gridSpan w:val="9"/>
            <w:tcBorders>
              <w:top w:val="single" w:color="auto" w:sz="4" w:space="0"/>
              <w:left w:val="single" w:color="auto" w:sz="8" w:space="0"/>
              <w:bottom w:val="single" w:color="auto" w:sz="8" w:space="0"/>
              <w:right w:val="single" w:color="auto" w:sz="8" w:space="0"/>
            </w:tcBorders>
            <w:noWrap w:val="0"/>
            <w:vAlign w:val="center"/>
          </w:tcPr>
          <w:p>
            <w:pPr>
              <w:rPr>
                <w:rFonts w:eastAsia="方正仿宋_GBK"/>
                <w:szCs w:val="21"/>
              </w:rPr>
            </w:pPr>
            <w:r>
              <w:rPr>
                <w:rFonts w:hint="eastAsia" w:eastAsia="方正仿宋_GBK"/>
                <w:szCs w:val="21"/>
              </w:rPr>
              <w:t>注：余氯为最小值，其他项目为最大值。</w:t>
            </w:r>
          </w:p>
        </w:tc>
      </w:tr>
    </w:tbl>
    <w:p>
      <w:pPr>
        <w:spacing w:line="360" w:lineRule="auto"/>
        <w:ind w:firstLine="480"/>
        <w:rPr>
          <w:rFonts w:ascii="Times New Roman" w:eastAsia="方正仿宋_GBK"/>
          <w:color w:val="000000"/>
          <w:spacing w:val="-2"/>
          <w:szCs w:val="21"/>
        </w:rPr>
      </w:pPr>
      <w:r>
        <w:rPr>
          <w:rFonts w:hint="eastAsia" w:ascii="Times New Roman" w:eastAsia="方正仿宋_GBK"/>
          <w:color w:val="000000"/>
          <w:spacing w:val="-2"/>
          <w:szCs w:val="21"/>
        </w:rPr>
        <w:t>制表：                                                      审核：</w:t>
      </w:r>
    </w:p>
    <w:p>
      <w:pPr>
        <w:widowControl/>
        <w:spacing w:line="360" w:lineRule="auto"/>
        <w:jc w:val="left"/>
        <w:rPr>
          <w:rFonts w:ascii="Times New Roman" w:eastAsia="方正仿宋_GBK"/>
          <w:color w:val="000000"/>
          <w:spacing w:val="-2"/>
          <w:szCs w:val="21"/>
        </w:rPr>
        <w:sectPr>
          <w:pgSz w:w="16838" w:h="11906" w:orient="landscape"/>
          <w:pgMar w:top="1588" w:right="1701" w:bottom="1588" w:left="1701" w:header="851" w:footer="1361" w:gutter="0"/>
          <w:paperSrc w:first="7" w:other="7"/>
          <w:cols w:space="720" w:num="1"/>
        </w:sectPr>
      </w:pPr>
    </w:p>
    <w:p>
      <w:pPr>
        <w:spacing w:line="460" w:lineRule="exact"/>
        <w:rPr>
          <w:rFonts w:hint="eastAsia" w:ascii="Times New Roman" w:eastAsia="方正黑体_GBK"/>
          <w:color w:val="000000"/>
          <w:spacing w:val="-2"/>
          <w:sz w:val="28"/>
          <w:szCs w:val="28"/>
        </w:rPr>
      </w:pPr>
      <w:r>
        <w:rPr>
          <w:rFonts w:hint="eastAsia" w:ascii="Times New Roman" w:eastAsia="方正黑体_GBK"/>
          <w:color w:val="000000"/>
          <w:spacing w:val="-2"/>
          <w:sz w:val="28"/>
          <w:szCs w:val="28"/>
        </w:rPr>
        <w:t xml:space="preserve">表7： </w:t>
      </w:r>
    </w:p>
    <w:p>
      <w:pPr>
        <w:spacing w:line="480" w:lineRule="auto"/>
        <w:ind w:firstLine="2050" w:firstLineChars="743"/>
        <w:rPr>
          <w:rFonts w:hint="eastAsia" w:eastAsia="方正黑体_GBK"/>
          <w:bCs/>
          <w:color w:val="000000"/>
          <w:spacing w:val="-2"/>
          <w:sz w:val="28"/>
          <w:szCs w:val="28"/>
        </w:rPr>
      </w:pPr>
      <w:r>
        <w:rPr>
          <w:rFonts w:eastAsia="方正黑体_GBK"/>
          <w:bCs/>
          <w:color w:val="000000"/>
          <w:spacing w:val="-2"/>
          <w:kern w:val="0"/>
          <w:sz w:val="28"/>
          <w:szCs w:val="28"/>
          <w:u w:val="single"/>
        </w:rPr>
        <w:t xml:space="preserve">        </w:t>
      </w:r>
      <w:r>
        <w:rPr>
          <w:rFonts w:hint="eastAsia" w:eastAsia="方正黑体_GBK"/>
          <w:bCs/>
          <w:color w:val="000000"/>
          <w:spacing w:val="-2"/>
          <w:sz w:val="28"/>
          <w:szCs w:val="28"/>
        </w:rPr>
        <w:t>年</w:t>
      </w:r>
      <w:r>
        <w:rPr>
          <w:rFonts w:eastAsia="方正黑体_GBK"/>
          <w:bCs/>
          <w:color w:val="000000"/>
          <w:spacing w:val="-2"/>
          <w:sz w:val="28"/>
          <w:szCs w:val="28"/>
          <w:u w:val="single"/>
        </w:rPr>
        <w:t xml:space="preserve"> </w:t>
      </w:r>
      <w:r>
        <w:rPr>
          <w:rFonts w:hint="eastAsia" w:eastAsia="方正黑体_GBK"/>
          <w:bCs/>
          <w:color w:val="000000"/>
          <w:spacing w:val="-2"/>
          <w:sz w:val="28"/>
          <w:szCs w:val="28"/>
          <w:u w:val="single"/>
        </w:rPr>
        <w:t>　</w:t>
      </w:r>
      <w:r>
        <w:rPr>
          <w:rFonts w:hint="eastAsia" w:eastAsia="方正黑体_GBK"/>
          <w:bCs/>
          <w:color w:val="000000"/>
          <w:spacing w:val="-2"/>
          <w:sz w:val="28"/>
          <w:szCs w:val="28"/>
        </w:rPr>
        <w:t>月</w:t>
      </w:r>
      <w:r>
        <w:rPr>
          <w:rFonts w:hint="eastAsia" w:eastAsia="方正黑体_GBK"/>
          <w:color w:val="000000"/>
          <w:spacing w:val="-2"/>
          <w:sz w:val="28"/>
          <w:szCs w:val="28"/>
        </w:rPr>
        <w:t>水质合格率统计表</w:t>
      </w:r>
    </w:p>
    <w:p>
      <w:pPr>
        <w:pStyle w:val="8"/>
        <w:jc w:val="both"/>
        <w:rPr>
          <w:rFonts w:eastAsia="方正仿宋_GBK"/>
          <w:color w:val="000000"/>
          <w:spacing w:val="-2"/>
          <w:sz w:val="21"/>
          <w:szCs w:val="21"/>
        </w:rPr>
      </w:pPr>
    </w:p>
    <w:p>
      <w:pPr>
        <w:pStyle w:val="8"/>
        <w:spacing w:line="360" w:lineRule="auto"/>
        <w:jc w:val="both"/>
        <w:rPr>
          <w:rFonts w:eastAsia="方正仿宋_GBK"/>
          <w:color w:val="000000"/>
          <w:spacing w:val="-2"/>
          <w:sz w:val="21"/>
          <w:szCs w:val="21"/>
          <w:u w:val="single"/>
        </w:rPr>
      </w:pPr>
      <w:r>
        <w:rPr>
          <w:rFonts w:hint="eastAsia" w:eastAsia="方正仿宋_GBK"/>
          <w:color w:val="000000"/>
          <w:spacing w:val="-2"/>
          <w:sz w:val="21"/>
          <w:szCs w:val="21"/>
        </w:rPr>
        <w:t>填报单位：</w:t>
      </w:r>
      <w:r>
        <w:rPr>
          <w:rFonts w:eastAsia="方正仿宋_GBK"/>
          <w:color w:val="000000"/>
          <w:spacing w:val="-2"/>
          <w:sz w:val="21"/>
          <w:szCs w:val="21"/>
          <w:u w:val="single"/>
        </w:rPr>
        <w:t xml:space="preserve">                            </w:t>
      </w:r>
    </w:p>
    <w:tbl>
      <w:tblPr>
        <w:tblStyle w:val="12"/>
        <w:tblW w:w="0" w:type="auto"/>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40"/>
        <w:gridCol w:w="540"/>
        <w:gridCol w:w="1440"/>
        <w:gridCol w:w="1080"/>
        <w:gridCol w:w="1080"/>
        <w:gridCol w:w="810"/>
        <w:gridCol w:w="750"/>
        <w:gridCol w:w="714"/>
        <w:gridCol w:w="995"/>
        <w:gridCol w:w="7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37" w:hRule="atLeast"/>
        </w:trPr>
        <w:tc>
          <w:tcPr>
            <w:tcW w:w="540" w:type="dxa"/>
            <w:tcBorders>
              <w:top w:val="single" w:color="auto" w:sz="8" w:space="0"/>
              <w:left w:val="single" w:color="auto" w:sz="8" w:space="0"/>
              <w:bottom w:val="single" w:color="auto" w:sz="4" w:space="0"/>
              <w:right w:val="single" w:color="auto" w:sz="4" w:space="0"/>
            </w:tcBorders>
            <w:noWrap w:val="0"/>
            <w:vAlign w:val="center"/>
          </w:tcPr>
          <w:p>
            <w:pPr>
              <w:jc w:val="center"/>
              <w:rPr>
                <w:rFonts w:ascii="Times New Roman" w:eastAsia="方正黑体_GBK"/>
                <w:bCs/>
                <w:color w:val="000000"/>
                <w:spacing w:val="-2"/>
                <w:szCs w:val="21"/>
              </w:rPr>
            </w:pPr>
            <w:r>
              <w:rPr>
                <w:rFonts w:hint="eastAsia" w:ascii="Times New Roman" w:eastAsia="方正黑体_GBK"/>
                <w:bCs/>
                <w:color w:val="000000"/>
                <w:spacing w:val="-2"/>
                <w:szCs w:val="21"/>
              </w:rPr>
              <w:t>序号</w:t>
            </w:r>
          </w:p>
        </w:tc>
        <w:tc>
          <w:tcPr>
            <w:tcW w:w="1980" w:type="dxa"/>
            <w:gridSpan w:val="2"/>
            <w:tcBorders>
              <w:top w:val="single" w:color="auto" w:sz="8" w:space="0"/>
              <w:left w:val="single" w:color="auto" w:sz="4" w:space="0"/>
              <w:bottom w:val="single" w:color="auto" w:sz="4" w:space="0"/>
              <w:right w:val="single" w:color="auto" w:sz="4" w:space="0"/>
            </w:tcBorders>
            <w:noWrap w:val="0"/>
            <w:vAlign w:val="center"/>
          </w:tcPr>
          <w:p>
            <w:pPr>
              <w:jc w:val="center"/>
              <w:rPr>
                <w:rFonts w:ascii="Times New Roman" w:eastAsia="方正黑体_GBK"/>
                <w:bCs/>
                <w:color w:val="000000"/>
                <w:spacing w:val="-2"/>
                <w:szCs w:val="21"/>
              </w:rPr>
            </w:pPr>
            <w:r>
              <w:rPr>
                <w:rFonts w:hint="eastAsia" w:ascii="Times New Roman" w:eastAsia="方正黑体_GBK"/>
                <w:bCs/>
                <w:color w:val="000000"/>
                <w:spacing w:val="-2"/>
                <w:szCs w:val="21"/>
              </w:rPr>
              <w:t>指标名称</w:t>
            </w:r>
          </w:p>
        </w:tc>
        <w:tc>
          <w:tcPr>
            <w:tcW w:w="1080" w:type="dxa"/>
            <w:tcBorders>
              <w:top w:val="single" w:color="auto" w:sz="8" w:space="0"/>
              <w:left w:val="single" w:color="auto" w:sz="4" w:space="0"/>
              <w:bottom w:val="single" w:color="auto" w:sz="4" w:space="0"/>
              <w:right w:val="single" w:color="auto" w:sz="4" w:space="0"/>
            </w:tcBorders>
            <w:noWrap w:val="0"/>
            <w:vAlign w:val="center"/>
          </w:tcPr>
          <w:p>
            <w:pPr>
              <w:jc w:val="center"/>
              <w:rPr>
                <w:rFonts w:ascii="Times New Roman" w:eastAsia="方正黑体_GBK"/>
                <w:bCs/>
                <w:color w:val="000000"/>
                <w:spacing w:val="-2"/>
                <w:szCs w:val="21"/>
              </w:rPr>
            </w:pPr>
            <w:r>
              <w:rPr>
                <w:rFonts w:hint="eastAsia" w:ascii="Times New Roman" w:eastAsia="方正黑体_GBK"/>
                <w:bCs/>
                <w:color w:val="000000"/>
                <w:spacing w:val="-2"/>
                <w:szCs w:val="21"/>
              </w:rPr>
              <w:t>公司考核（%）</w:t>
            </w:r>
          </w:p>
        </w:tc>
        <w:tc>
          <w:tcPr>
            <w:tcW w:w="1080" w:type="dxa"/>
            <w:tcBorders>
              <w:top w:val="single" w:color="auto" w:sz="8" w:space="0"/>
              <w:left w:val="single" w:color="auto" w:sz="4" w:space="0"/>
              <w:bottom w:val="single" w:color="auto" w:sz="4" w:space="0"/>
              <w:right w:val="single" w:color="auto" w:sz="4" w:space="0"/>
            </w:tcBorders>
            <w:noWrap w:val="0"/>
            <w:vAlign w:val="center"/>
          </w:tcPr>
          <w:p>
            <w:pPr>
              <w:jc w:val="center"/>
              <w:rPr>
                <w:rFonts w:ascii="Times New Roman" w:eastAsia="方正黑体_GBK"/>
                <w:bCs/>
                <w:color w:val="000000"/>
                <w:spacing w:val="-2"/>
                <w:szCs w:val="21"/>
              </w:rPr>
            </w:pPr>
            <w:r>
              <w:rPr>
                <w:rFonts w:hint="eastAsia" w:ascii="Times New Roman" w:eastAsia="方正黑体_GBK"/>
                <w:bCs/>
                <w:color w:val="000000"/>
                <w:spacing w:val="-2"/>
                <w:szCs w:val="21"/>
              </w:rPr>
              <w:t>标准考核（%）</w:t>
            </w:r>
          </w:p>
        </w:tc>
        <w:tc>
          <w:tcPr>
            <w:tcW w:w="810" w:type="dxa"/>
            <w:tcBorders>
              <w:top w:val="single" w:color="auto" w:sz="8" w:space="0"/>
              <w:left w:val="single" w:color="auto" w:sz="4" w:space="0"/>
              <w:bottom w:val="single" w:color="auto" w:sz="4" w:space="0"/>
              <w:right w:val="single" w:color="auto" w:sz="4" w:space="0"/>
            </w:tcBorders>
            <w:noWrap w:val="0"/>
            <w:vAlign w:val="center"/>
          </w:tcPr>
          <w:p>
            <w:pPr>
              <w:jc w:val="center"/>
              <w:rPr>
                <w:rFonts w:ascii="Times New Roman" w:eastAsia="方正黑体_GBK"/>
                <w:bCs/>
                <w:color w:val="000000"/>
                <w:spacing w:val="-2"/>
                <w:szCs w:val="21"/>
              </w:rPr>
            </w:pPr>
            <w:r>
              <w:rPr>
                <w:rFonts w:hint="eastAsia" w:ascii="Times New Roman" w:eastAsia="方正黑体_GBK"/>
                <w:bCs/>
                <w:color w:val="000000"/>
                <w:spacing w:val="-2"/>
                <w:szCs w:val="21"/>
              </w:rPr>
              <w:t>应检次数</w:t>
            </w:r>
          </w:p>
        </w:tc>
        <w:tc>
          <w:tcPr>
            <w:tcW w:w="750" w:type="dxa"/>
            <w:tcBorders>
              <w:top w:val="single" w:color="auto" w:sz="8" w:space="0"/>
              <w:left w:val="single" w:color="auto" w:sz="4" w:space="0"/>
              <w:bottom w:val="single" w:color="auto" w:sz="4" w:space="0"/>
              <w:right w:val="single" w:color="auto" w:sz="4" w:space="0"/>
            </w:tcBorders>
            <w:noWrap w:val="0"/>
            <w:vAlign w:val="center"/>
          </w:tcPr>
          <w:p>
            <w:pPr>
              <w:jc w:val="center"/>
              <w:rPr>
                <w:rFonts w:ascii="Times New Roman" w:eastAsia="方正黑体_GBK"/>
                <w:bCs/>
                <w:color w:val="000000"/>
                <w:spacing w:val="-2"/>
                <w:szCs w:val="21"/>
              </w:rPr>
            </w:pPr>
            <w:r>
              <w:rPr>
                <w:rFonts w:hint="eastAsia" w:ascii="Times New Roman" w:eastAsia="方正黑体_GBK"/>
                <w:bCs/>
                <w:color w:val="000000"/>
                <w:spacing w:val="-2"/>
                <w:szCs w:val="21"/>
              </w:rPr>
              <w:t>实检次数</w:t>
            </w:r>
          </w:p>
        </w:tc>
        <w:tc>
          <w:tcPr>
            <w:tcW w:w="714" w:type="dxa"/>
            <w:tcBorders>
              <w:top w:val="single" w:color="auto" w:sz="8" w:space="0"/>
              <w:left w:val="single" w:color="auto" w:sz="4" w:space="0"/>
              <w:bottom w:val="single" w:color="auto" w:sz="4" w:space="0"/>
              <w:right w:val="single" w:color="auto" w:sz="4" w:space="0"/>
            </w:tcBorders>
            <w:noWrap w:val="0"/>
            <w:vAlign w:val="center"/>
          </w:tcPr>
          <w:p>
            <w:pPr>
              <w:jc w:val="center"/>
              <w:rPr>
                <w:rFonts w:ascii="Times New Roman" w:eastAsia="方正黑体_GBK"/>
                <w:bCs/>
                <w:color w:val="000000"/>
                <w:spacing w:val="-2"/>
                <w:szCs w:val="21"/>
              </w:rPr>
            </w:pPr>
            <w:r>
              <w:rPr>
                <w:rFonts w:hint="eastAsia" w:ascii="Times New Roman" w:eastAsia="方正黑体_GBK"/>
                <w:bCs/>
                <w:color w:val="000000"/>
                <w:spacing w:val="-2"/>
                <w:szCs w:val="21"/>
              </w:rPr>
              <w:t>合格次数</w:t>
            </w:r>
          </w:p>
        </w:tc>
        <w:tc>
          <w:tcPr>
            <w:tcW w:w="995" w:type="dxa"/>
            <w:tcBorders>
              <w:top w:val="single" w:color="auto" w:sz="8" w:space="0"/>
              <w:left w:val="single" w:color="auto" w:sz="4" w:space="0"/>
              <w:bottom w:val="single" w:color="auto" w:sz="4" w:space="0"/>
              <w:right w:val="single" w:color="auto" w:sz="4" w:space="0"/>
            </w:tcBorders>
            <w:noWrap w:val="0"/>
            <w:vAlign w:val="center"/>
          </w:tcPr>
          <w:p>
            <w:pPr>
              <w:jc w:val="center"/>
              <w:rPr>
                <w:rFonts w:ascii="Times New Roman" w:eastAsia="方正黑体_GBK"/>
                <w:bCs/>
                <w:color w:val="000000"/>
                <w:spacing w:val="-2"/>
                <w:szCs w:val="21"/>
              </w:rPr>
            </w:pPr>
            <w:r>
              <w:rPr>
                <w:rFonts w:hint="eastAsia" w:ascii="Times New Roman" w:eastAsia="方正黑体_GBK"/>
                <w:bCs/>
                <w:color w:val="000000"/>
                <w:spacing w:val="-2"/>
                <w:szCs w:val="21"/>
              </w:rPr>
              <w:t>合格率（%）</w:t>
            </w:r>
          </w:p>
        </w:tc>
        <w:tc>
          <w:tcPr>
            <w:tcW w:w="765" w:type="dxa"/>
            <w:tcBorders>
              <w:top w:val="single" w:color="auto" w:sz="8" w:space="0"/>
              <w:left w:val="single" w:color="auto" w:sz="4" w:space="0"/>
              <w:bottom w:val="single" w:color="auto" w:sz="4" w:space="0"/>
              <w:right w:val="single" w:color="auto" w:sz="8" w:space="0"/>
            </w:tcBorders>
            <w:noWrap w:val="0"/>
            <w:vAlign w:val="center"/>
          </w:tcPr>
          <w:p>
            <w:pPr>
              <w:jc w:val="center"/>
              <w:rPr>
                <w:rFonts w:ascii="Times New Roman" w:eastAsia="方正黑体_GBK"/>
                <w:bCs/>
                <w:color w:val="000000"/>
                <w:spacing w:val="-2"/>
                <w:szCs w:val="21"/>
              </w:rPr>
            </w:pPr>
            <w:r>
              <w:rPr>
                <w:rFonts w:hint="eastAsia" w:ascii="Times New Roman" w:eastAsia="方正黑体_GBK"/>
                <w:bCs/>
                <w:color w:val="000000"/>
                <w:spacing w:val="-2"/>
                <w:szCs w:val="21"/>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540" w:type="dxa"/>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1</w:t>
            </w:r>
          </w:p>
        </w:tc>
        <w:tc>
          <w:tcPr>
            <w:tcW w:w="540"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p>
            <w:pPr>
              <w:spacing w:line="240" w:lineRule="exact"/>
              <w:jc w:val="center"/>
              <w:rPr>
                <w:rFonts w:eastAsia="方正仿宋_GBK"/>
                <w:color w:val="000000"/>
                <w:spacing w:val="-2"/>
                <w:szCs w:val="21"/>
              </w:rPr>
            </w:pPr>
            <w:r>
              <w:rPr>
                <w:rFonts w:hint="eastAsia" w:eastAsia="方正仿宋_GBK"/>
                <w:color w:val="000000"/>
                <w:spacing w:val="-2"/>
                <w:szCs w:val="21"/>
              </w:rPr>
              <w:t>管网水单项合格率</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ind w:right="42" w:rightChars="20"/>
              <w:jc w:val="center"/>
              <w:rPr>
                <w:rFonts w:eastAsia="方正仿宋_GBK"/>
                <w:color w:val="000000"/>
                <w:spacing w:val="-2"/>
                <w:szCs w:val="21"/>
              </w:rPr>
            </w:pPr>
            <w:r>
              <w:rPr>
                <w:rFonts w:hint="eastAsia" w:eastAsia="方正仿宋_GBK"/>
                <w:color w:val="000000"/>
                <w:spacing w:val="-2"/>
                <w:szCs w:val="21"/>
              </w:rPr>
              <w:t>浑浊度</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hAnsi="Times New Roman"/>
                <w:color w:val="000000"/>
                <w:spacing w:val="-2"/>
                <w:szCs w:val="21"/>
              </w:rPr>
            </w:pPr>
            <w:r>
              <w:rPr>
                <w:rFonts w:hint="eastAsia" w:ascii="Times New Roman" w:hAnsi="Times New Roman"/>
                <w:color w:val="000000"/>
                <w:spacing w:val="-2"/>
                <w:szCs w:val="21"/>
              </w:rPr>
              <w:t>≥95</w:t>
            </w:r>
          </w:p>
        </w:tc>
        <w:tc>
          <w:tcPr>
            <w:tcW w:w="81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75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714"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99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765"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540" w:type="dxa"/>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2</w:t>
            </w:r>
          </w:p>
        </w:tc>
        <w:tc>
          <w:tcPr>
            <w:tcW w:w="54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hint="eastAsia" w:eastAsia="方正仿宋_GBK"/>
                <w:color w:val="000000"/>
                <w:spacing w:val="-2"/>
                <w:szCs w:val="21"/>
              </w:rPr>
              <w:t>色度</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hAnsi="Times New Roman"/>
                <w:color w:val="000000"/>
                <w:spacing w:val="-2"/>
                <w:szCs w:val="21"/>
              </w:rPr>
            </w:pPr>
            <w:r>
              <w:rPr>
                <w:rFonts w:hint="eastAsia" w:ascii="Times New Roman" w:hAnsi="Times New Roman"/>
                <w:color w:val="000000"/>
                <w:spacing w:val="-2"/>
                <w:szCs w:val="21"/>
              </w:rPr>
              <w:t>≥95</w:t>
            </w:r>
          </w:p>
        </w:tc>
        <w:tc>
          <w:tcPr>
            <w:tcW w:w="81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75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714"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99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765"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540" w:type="dxa"/>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3</w:t>
            </w:r>
          </w:p>
        </w:tc>
        <w:tc>
          <w:tcPr>
            <w:tcW w:w="54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hint="eastAsia" w:eastAsia="方正仿宋_GBK"/>
                <w:color w:val="000000"/>
                <w:spacing w:val="-2"/>
                <w:szCs w:val="21"/>
              </w:rPr>
              <w:t>臭和味</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hAnsi="Times New Roman"/>
                <w:color w:val="000000"/>
                <w:spacing w:val="-2"/>
                <w:szCs w:val="21"/>
              </w:rPr>
            </w:pPr>
            <w:r>
              <w:rPr>
                <w:rFonts w:hint="eastAsia" w:ascii="Times New Roman" w:hAnsi="Times New Roman"/>
                <w:color w:val="000000"/>
                <w:spacing w:val="-2"/>
                <w:szCs w:val="21"/>
              </w:rPr>
              <w:t>≥95</w:t>
            </w:r>
          </w:p>
        </w:tc>
        <w:tc>
          <w:tcPr>
            <w:tcW w:w="81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75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714"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99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765"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540" w:type="dxa"/>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4</w:t>
            </w:r>
          </w:p>
        </w:tc>
        <w:tc>
          <w:tcPr>
            <w:tcW w:w="54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hint="eastAsia" w:eastAsia="方正仿宋_GBK"/>
                <w:color w:val="000000"/>
                <w:spacing w:val="-2"/>
                <w:szCs w:val="21"/>
              </w:rPr>
              <w:t>游离余氯</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hAnsi="Times New Roman"/>
                <w:color w:val="000000"/>
                <w:spacing w:val="-2"/>
                <w:szCs w:val="21"/>
              </w:rPr>
            </w:pPr>
            <w:r>
              <w:rPr>
                <w:rFonts w:hint="eastAsia" w:ascii="Times New Roman" w:hAnsi="Times New Roman"/>
                <w:color w:val="000000"/>
                <w:spacing w:val="-2"/>
                <w:szCs w:val="21"/>
              </w:rPr>
              <w:t>≥95</w:t>
            </w:r>
          </w:p>
        </w:tc>
        <w:tc>
          <w:tcPr>
            <w:tcW w:w="81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75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714"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99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765"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540" w:type="dxa"/>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5</w:t>
            </w:r>
          </w:p>
        </w:tc>
        <w:tc>
          <w:tcPr>
            <w:tcW w:w="54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hint="eastAsia" w:eastAsia="方正仿宋_GBK"/>
                <w:color w:val="000000"/>
                <w:spacing w:val="-2"/>
                <w:szCs w:val="21"/>
              </w:rPr>
              <w:t>细菌总数</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hAnsi="Times New Roman"/>
                <w:color w:val="000000"/>
                <w:spacing w:val="-2"/>
                <w:szCs w:val="21"/>
              </w:rPr>
            </w:pPr>
            <w:r>
              <w:rPr>
                <w:rFonts w:hint="eastAsia" w:ascii="Times New Roman" w:hAnsi="Times New Roman"/>
                <w:color w:val="000000"/>
                <w:spacing w:val="-2"/>
                <w:szCs w:val="21"/>
              </w:rPr>
              <w:t>≥95</w:t>
            </w:r>
          </w:p>
        </w:tc>
        <w:tc>
          <w:tcPr>
            <w:tcW w:w="81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75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714"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99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765"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540" w:type="dxa"/>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6</w:t>
            </w:r>
          </w:p>
        </w:tc>
        <w:tc>
          <w:tcPr>
            <w:tcW w:w="54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hint="eastAsia" w:eastAsia="方正仿宋_GBK"/>
                <w:color w:val="000000"/>
                <w:spacing w:val="-2"/>
                <w:szCs w:val="21"/>
              </w:rPr>
              <w:t>总大肠菌</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hAnsi="Times New Roman"/>
                <w:color w:val="000000"/>
                <w:spacing w:val="-2"/>
                <w:szCs w:val="21"/>
              </w:rPr>
            </w:pPr>
            <w:r>
              <w:rPr>
                <w:rFonts w:hint="eastAsia" w:ascii="Times New Roman" w:hAnsi="Times New Roman"/>
                <w:color w:val="000000"/>
                <w:spacing w:val="-2"/>
                <w:szCs w:val="21"/>
              </w:rPr>
              <w:t>≥95</w:t>
            </w:r>
          </w:p>
        </w:tc>
        <w:tc>
          <w:tcPr>
            <w:tcW w:w="81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75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714"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99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765"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540" w:type="dxa"/>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7</w:t>
            </w:r>
          </w:p>
        </w:tc>
        <w:tc>
          <w:tcPr>
            <w:tcW w:w="54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COD</w:t>
            </w:r>
            <w:r>
              <w:rPr>
                <w:rFonts w:hint="eastAsia" w:eastAsia="方正仿宋_GBK"/>
                <w:color w:val="000000"/>
                <w:spacing w:val="-2"/>
                <w:szCs w:val="21"/>
              </w:rPr>
              <w:t>（</w:t>
            </w:r>
            <w:r>
              <w:rPr>
                <w:rFonts w:eastAsia="方正仿宋_GBK"/>
                <w:color w:val="000000"/>
                <w:spacing w:val="-2"/>
                <w:szCs w:val="21"/>
                <w:vertAlign w:val="subscript"/>
              </w:rPr>
              <w:t>Mn</w:t>
            </w:r>
            <w:r>
              <w:rPr>
                <w:rFonts w:hint="eastAsia" w:eastAsia="方正仿宋_GBK"/>
                <w:color w:val="000000"/>
                <w:spacing w:val="-2"/>
                <w:szCs w:val="21"/>
              </w:rPr>
              <w:t>）</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hAnsi="Times New Roman"/>
                <w:color w:val="000000"/>
                <w:spacing w:val="-2"/>
                <w:szCs w:val="21"/>
              </w:rPr>
            </w:pPr>
            <w:r>
              <w:rPr>
                <w:rFonts w:hint="eastAsia" w:ascii="Times New Roman" w:hAnsi="Times New Roman"/>
                <w:color w:val="000000"/>
                <w:spacing w:val="-2"/>
                <w:szCs w:val="21"/>
              </w:rPr>
              <w:t>≥95</w:t>
            </w:r>
          </w:p>
        </w:tc>
        <w:tc>
          <w:tcPr>
            <w:tcW w:w="81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75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714"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99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765"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540" w:type="dxa"/>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8</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hint="eastAsia" w:eastAsia="方正仿宋_GBK"/>
                <w:color w:val="000000"/>
                <w:spacing w:val="-2"/>
                <w:szCs w:val="21"/>
              </w:rPr>
              <w:t>管网末梢水</w:t>
            </w:r>
            <w:r>
              <w:rPr>
                <w:rFonts w:eastAsia="方正仿宋_GBK"/>
                <w:color w:val="000000"/>
                <w:spacing w:val="-2"/>
                <w:szCs w:val="21"/>
              </w:rPr>
              <w:t>42</w:t>
            </w:r>
            <w:r>
              <w:rPr>
                <w:rFonts w:hint="eastAsia" w:eastAsia="方正仿宋_GBK"/>
                <w:color w:val="000000"/>
                <w:spacing w:val="-2"/>
                <w:szCs w:val="21"/>
              </w:rPr>
              <w:t>项</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hAnsi="Times New Roman"/>
                <w:color w:val="000000"/>
                <w:spacing w:val="-2"/>
                <w:szCs w:val="21"/>
              </w:rPr>
            </w:pPr>
            <w:r>
              <w:rPr>
                <w:rFonts w:hint="eastAsia" w:ascii="Times New Roman" w:hAnsi="Times New Roman"/>
                <w:color w:val="000000"/>
                <w:spacing w:val="-2"/>
                <w:szCs w:val="21"/>
              </w:rPr>
              <w:t>≥95</w:t>
            </w:r>
          </w:p>
        </w:tc>
        <w:tc>
          <w:tcPr>
            <w:tcW w:w="81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75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714"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99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765"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540" w:type="dxa"/>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9</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hint="eastAsia" w:eastAsia="方正仿宋_GBK"/>
                <w:color w:val="000000"/>
                <w:spacing w:val="-2"/>
                <w:szCs w:val="21"/>
              </w:rPr>
              <w:t>出厂水</w:t>
            </w:r>
            <w:r>
              <w:rPr>
                <w:rFonts w:eastAsia="方正仿宋_GBK"/>
                <w:color w:val="000000"/>
                <w:spacing w:val="-2"/>
                <w:szCs w:val="21"/>
              </w:rPr>
              <w:t>9</w:t>
            </w:r>
            <w:r>
              <w:rPr>
                <w:rFonts w:hint="eastAsia" w:eastAsia="方正仿宋_GBK"/>
                <w:color w:val="000000"/>
                <w:spacing w:val="-2"/>
                <w:szCs w:val="21"/>
              </w:rPr>
              <w:t>项</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hAnsi="Times New Roman"/>
                <w:color w:val="000000"/>
                <w:spacing w:val="-2"/>
                <w:szCs w:val="21"/>
              </w:rPr>
            </w:pPr>
            <w:r>
              <w:rPr>
                <w:rFonts w:hint="eastAsia" w:ascii="Times New Roman" w:hAnsi="Times New Roman"/>
                <w:color w:val="000000"/>
                <w:spacing w:val="-2"/>
                <w:szCs w:val="21"/>
              </w:rPr>
              <w:t>≥95</w:t>
            </w:r>
          </w:p>
        </w:tc>
        <w:tc>
          <w:tcPr>
            <w:tcW w:w="81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ind w:firstLine="103" w:firstLineChars="50"/>
              <w:jc w:val="center"/>
              <w:rPr>
                <w:rFonts w:eastAsia="方正仿宋_GBK"/>
                <w:color w:val="000000"/>
                <w:spacing w:val="-2"/>
                <w:szCs w:val="21"/>
              </w:rPr>
            </w:pPr>
          </w:p>
        </w:tc>
        <w:tc>
          <w:tcPr>
            <w:tcW w:w="75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714"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99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765"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540" w:type="dxa"/>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10</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hint="eastAsia" w:eastAsia="方正仿宋_GBK"/>
                <w:color w:val="000000"/>
                <w:spacing w:val="-2"/>
                <w:szCs w:val="21"/>
              </w:rPr>
              <w:t>出厂水</w:t>
            </w:r>
            <w:r>
              <w:rPr>
                <w:rFonts w:eastAsia="方正仿宋_GBK"/>
                <w:color w:val="000000"/>
                <w:spacing w:val="-2"/>
                <w:szCs w:val="21"/>
              </w:rPr>
              <w:t>42</w:t>
            </w:r>
            <w:r>
              <w:rPr>
                <w:rFonts w:hint="eastAsia" w:eastAsia="方正仿宋_GBK"/>
                <w:color w:val="000000"/>
                <w:spacing w:val="-2"/>
                <w:szCs w:val="21"/>
              </w:rPr>
              <w:t>项</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hAnsi="Times New Roman"/>
                <w:color w:val="000000"/>
                <w:spacing w:val="-2"/>
                <w:szCs w:val="21"/>
              </w:rPr>
            </w:pPr>
            <w:r>
              <w:rPr>
                <w:rFonts w:hint="eastAsia" w:ascii="Times New Roman" w:hAnsi="Times New Roman"/>
                <w:color w:val="000000"/>
                <w:spacing w:val="-2"/>
                <w:szCs w:val="21"/>
              </w:rPr>
              <w:t>≥95</w:t>
            </w:r>
          </w:p>
        </w:tc>
        <w:tc>
          <w:tcPr>
            <w:tcW w:w="81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75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714"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99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765"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540" w:type="dxa"/>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11</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hint="eastAsia" w:eastAsia="方正仿宋_GBK"/>
                <w:color w:val="000000"/>
                <w:spacing w:val="-2"/>
                <w:szCs w:val="21"/>
              </w:rPr>
              <w:t>水质综合合格率</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hAnsi="Times New Roman"/>
                <w:color w:val="000000"/>
                <w:spacing w:val="-2"/>
                <w:szCs w:val="21"/>
              </w:rPr>
            </w:pPr>
            <w:r>
              <w:rPr>
                <w:rFonts w:hint="eastAsia" w:ascii="Times New Roman" w:hAnsi="Times New Roman"/>
                <w:color w:val="000000"/>
                <w:spacing w:val="-2"/>
                <w:szCs w:val="21"/>
              </w:rPr>
              <w:t>≥95</w:t>
            </w:r>
          </w:p>
        </w:tc>
        <w:tc>
          <w:tcPr>
            <w:tcW w:w="2274"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w:t>
            </w:r>
          </w:p>
        </w:tc>
        <w:tc>
          <w:tcPr>
            <w:tcW w:w="99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p>
        </w:tc>
        <w:tc>
          <w:tcPr>
            <w:tcW w:w="765"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85" w:hRule="atLeast"/>
        </w:trPr>
        <w:tc>
          <w:tcPr>
            <w:tcW w:w="540" w:type="dxa"/>
            <w:tcBorders>
              <w:top w:val="single" w:color="auto" w:sz="4" w:space="0"/>
              <w:left w:val="single" w:color="auto" w:sz="8" w:space="0"/>
              <w:bottom w:val="single" w:color="auto" w:sz="8"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备</w:t>
            </w:r>
          </w:p>
          <w:p>
            <w:pPr>
              <w:jc w:val="center"/>
              <w:rPr>
                <w:rFonts w:eastAsia="方正仿宋_GBK"/>
                <w:color w:val="000000"/>
                <w:spacing w:val="-2"/>
                <w:szCs w:val="21"/>
              </w:rPr>
            </w:pPr>
          </w:p>
          <w:p>
            <w:pPr>
              <w:jc w:val="center"/>
              <w:rPr>
                <w:rFonts w:eastAsia="方正仿宋_GBK"/>
                <w:color w:val="000000"/>
                <w:spacing w:val="-2"/>
                <w:szCs w:val="21"/>
              </w:rPr>
            </w:pPr>
          </w:p>
          <w:p>
            <w:pPr>
              <w:jc w:val="center"/>
              <w:rPr>
                <w:rFonts w:eastAsia="方正仿宋_GBK"/>
                <w:color w:val="000000"/>
                <w:spacing w:val="-2"/>
                <w:szCs w:val="21"/>
              </w:rPr>
            </w:pPr>
          </w:p>
          <w:p>
            <w:pPr>
              <w:jc w:val="center"/>
              <w:rPr>
                <w:rFonts w:eastAsia="方正仿宋_GBK"/>
                <w:color w:val="000000"/>
                <w:spacing w:val="-2"/>
                <w:szCs w:val="21"/>
              </w:rPr>
            </w:pPr>
            <w:r>
              <w:rPr>
                <w:rFonts w:hint="eastAsia" w:eastAsia="方正仿宋_GBK"/>
                <w:color w:val="000000"/>
                <w:spacing w:val="-2"/>
                <w:szCs w:val="21"/>
              </w:rPr>
              <w:t>注</w:t>
            </w:r>
          </w:p>
        </w:tc>
        <w:tc>
          <w:tcPr>
            <w:tcW w:w="8174" w:type="dxa"/>
            <w:gridSpan w:val="9"/>
            <w:tcBorders>
              <w:top w:val="single" w:color="auto" w:sz="4" w:space="0"/>
              <w:left w:val="single" w:color="auto" w:sz="4" w:space="0"/>
              <w:bottom w:val="single" w:color="auto" w:sz="8" w:space="0"/>
              <w:right w:val="single" w:color="auto" w:sz="8" w:space="0"/>
            </w:tcBorders>
            <w:noWrap w:val="0"/>
            <w:vAlign w:val="center"/>
          </w:tcPr>
          <w:p>
            <w:pPr>
              <w:spacing w:line="320" w:lineRule="exact"/>
              <w:rPr>
                <w:rFonts w:eastAsia="方正仿宋_GBK"/>
                <w:color w:val="000000"/>
                <w:spacing w:val="-2"/>
                <w:szCs w:val="21"/>
              </w:rPr>
            </w:pPr>
            <w:r>
              <w:rPr>
                <w:rFonts w:eastAsia="方正仿宋_GBK"/>
                <w:color w:val="000000"/>
                <w:spacing w:val="-2"/>
                <w:szCs w:val="21"/>
              </w:rPr>
              <w:t>(1)</w:t>
            </w:r>
            <w:r>
              <w:rPr>
                <w:rFonts w:hint="eastAsia" w:eastAsia="方正仿宋_GBK"/>
                <w:color w:val="000000"/>
                <w:spacing w:val="-2"/>
                <w:szCs w:val="21"/>
              </w:rPr>
              <w:t>管网水各单项合格率（</w:t>
            </w:r>
            <w:r>
              <w:rPr>
                <w:rFonts w:eastAsia="方正仿宋_GBK"/>
                <w:color w:val="000000"/>
                <w:spacing w:val="-2"/>
                <w:szCs w:val="21"/>
              </w:rPr>
              <w:t>%</w:t>
            </w:r>
            <w:r>
              <w:rPr>
                <w:rFonts w:hint="eastAsia" w:eastAsia="方正仿宋_GBK"/>
                <w:color w:val="000000"/>
                <w:spacing w:val="-2"/>
                <w:szCs w:val="21"/>
              </w:rPr>
              <w:t>）</w:t>
            </w:r>
            <w:r>
              <w:rPr>
                <w:rFonts w:eastAsia="方正仿宋_GBK"/>
                <w:color w:val="000000"/>
                <w:spacing w:val="-2"/>
                <w:szCs w:val="21"/>
              </w:rPr>
              <w:t xml:space="preserve">= </w:t>
            </w:r>
            <w:r>
              <w:rPr>
                <w:rFonts w:hint="eastAsia" w:eastAsia="方正仿宋_GBK"/>
                <w:color w:val="000000"/>
                <w:spacing w:val="-2"/>
                <w:szCs w:val="21"/>
              </w:rPr>
              <w:t>单项检验合格次数</w:t>
            </w:r>
            <w:r>
              <w:rPr>
                <w:rFonts w:eastAsia="方正仿宋_GBK"/>
                <w:color w:val="000000"/>
                <w:spacing w:val="-2"/>
                <w:szCs w:val="21"/>
              </w:rPr>
              <w:t>/</w:t>
            </w:r>
            <w:r>
              <w:rPr>
                <w:rFonts w:hint="eastAsia" w:eastAsia="方正仿宋_GBK"/>
                <w:color w:val="000000"/>
                <w:spacing w:val="-2"/>
                <w:szCs w:val="21"/>
              </w:rPr>
              <w:t>单项检验总次数</w:t>
            </w:r>
            <w:r>
              <w:rPr>
                <w:rFonts w:eastAsia="方正仿宋_GBK"/>
                <w:color w:val="000000"/>
                <w:spacing w:val="-2"/>
                <w:szCs w:val="21"/>
              </w:rPr>
              <w:t>*100%</w:t>
            </w:r>
          </w:p>
          <w:p>
            <w:pPr>
              <w:spacing w:line="320" w:lineRule="exact"/>
              <w:rPr>
                <w:rFonts w:eastAsia="方正仿宋_GBK"/>
                <w:color w:val="000000"/>
                <w:spacing w:val="-2"/>
                <w:szCs w:val="21"/>
              </w:rPr>
            </w:pPr>
            <w:r>
              <w:rPr>
                <w:rFonts w:eastAsia="方正仿宋_GBK"/>
                <w:color w:val="000000"/>
                <w:spacing w:val="-2"/>
                <w:szCs w:val="21"/>
              </w:rPr>
              <w:t xml:space="preserve">(2) </w:t>
            </w:r>
            <w:r>
              <w:rPr>
                <w:rFonts w:hint="eastAsia" w:eastAsia="方正仿宋_GBK"/>
                <w:color w:val="000000"/>
                <w:spacing w:val="-2"/>
                <w:szCs w:val="21"/>
              </w:rPr>
              <w:t>管网水末梢</w:t>
            </w:r>
            <w:r>
              <w:rPr>
                <w:rFonts w:eastAsia="方正仿宋_GBK"/>
                <w:color w:val="000000"/>
                <w:spacing w:val="-2"/>
                <w:szCs w:val="21"/>
              </w:rPr>
              <w:t>42</w:t>
            </w:r>
            <w:r>
              <w:rPr>
                <w:rFonts w:hint="eastAsia" w:eastAsia="方正仿宋_GBK"/>
                <w:color w:val="000000"/>
                <w:spacing w:val="-2"/>
                <w:szCs w:val="21"/>
              </w:rPr>
              <w:t>项合格率（</w:t>
            </w:r>
            <w:r>
              <w:rPr>
                <w:rFonts w:eastAsia="方正仿宋_GBK"/>
                <w:color w:val="000000"/>
                <w:spacing w:val="-2"/>
                <w:szCs w:val="21"/>
              </w:rPr>
              <w:t>%</w:t>
            </w:r>
            <w:r>
              <w:rPr>
                <w:rFonts w:hint="eastAsia" w:eastAsia="方正仿宋_GBK"/>
                <w:color w:val="000000"/>
                <w:spacing w:val="-2"/>
                <w:szCs w:val="21"/>
              </w:rPr>
              <w:t>）是指检测中心按</w:t>
            </w:r>
            <w:r>
              <w:rPr>
                <w:rFonts w:eastAsia="方正仿宋_GBK"/>
                <w:color w:val="000000"/>
                <w:spacing w:val="-2"/>
                <w:szCs w:val="21"/>
              </w:rPr>
              <w:t>GB5749-2006</w:t>
            </w:r>
            <w:r>
              <w:rPr>
                <w:rFonts w:hint="eastAsia" w:eastAsia="方正仿宋_GBK"/>
                <w:color w:val="000000"/>
                <w:spacing w:val="-2"/>
                <w:szCs w:val="21"/>
              </w:rPr>
              <w:t>标准每月对管网末梢点检测项目的合格率之和</w:t>
            </w:r>
          </w:p>
          <w:p>
            <w:pPr>
              <w:spacing w:line="320" w:lineRule="exact"/>
              <w:rPr>
                <w:rFonts w:eastAsia="方正仿宋_GBK"/>
                <w:color w:val="000000"/>
                <w:spacing w:val="-2"/>
                <w:szCs w:val="21"/>
              </w:rPr>
            </w:pPr>
            <w:r>
              <w:rPr>
                <w:rFonts w:eastAsia="方正仿宋_GBK"/>
                <w:color w:val="000000"/>
                <w:spacing w:val="-2"/>
                <w:szCs w:val="21"/>
              </w:rPr>
              <w:t xml:space="preserve">(3) </w:t>
            </w:r>
            <w:r>
              <w:rPr>
                <w:rFonts w:hint="eastAsia" w:eastAsia="方正仿宋_GBK"/>
                <w:color w:val="000000"/>
                <w:spacing w:val="-2"/>
                <w:szCs w:val="21"/>
              </w:rPr>
              <w:t>出厂水</w:t>
            </w:r>
            <w:r>
              <w:rPr>
                <w:rFonts w:eastAsia="方正仿宋_GBK"/>
                <w:color w:val="000000"/>
                <w:spacing w:val="-2"/>
                <w:szCs w:val="21"/>
              </w:rPr>
              <w:t>9</w:t>
            </w:r>
            <w:r>
              <w:rPr>
                <w:rFonts w:hint="eastAsia" w:eastAsia="方正仿宋_GBK"/>
                <w:color w:val="000000"/>
                <w:spacing w:val="-2"/>
                <w:szCs w:val="21"/>
              </w:rPr>
              <w:t>项合格率（</w:t>
            </w:r>
            <w:r>
              <w:rPr>
                <w:rFonts w:eastAsia="方正仿宋_GBK"/>
                <w:color w:val="000000"/>
                <w:spacing w:val="-2"/>
                <w:szCs w:val="21"/>
              </w:rPr>
              <w:t>%</w:t>
            </w:r>
            <w:r>
              <w:rPr>
                <w:rFonts w:hint="eastAsia" w:eastAsia="方正仿宋_GBK"/>
                <w:color w:val="000000"/>
                <w:spacing w:val="-2"/>
                <w:szCs w:val="21"/>
              </w:rPr>
              <w:t>）是指按</w:t>
            </w:r>
            <w:r>
              <w:rPr>
                <w:rFonts w:eastAsia="方正仿宋_GBK"/>
                <w:color w:val="000000"/>
                <w:spacing w:val="-2"/>
                <w:szCs w:val="21"/>
              </w:rPr>
              <w:t xml:space="preserve"> GB5749-2006</w:t>
            </w:r>
            <w:r>
              <w:rPr>
                <w:rFonts w:hint="eastAsia" w:eastAsia="方正仿宋_GBK"/>
                <w:color w:val="000000"/>
                <w:spacing w:val="-2"/>
                <w:szCs w:val="21"/>
              </w:rPr>
              <w:t>标准每日检测项目的合格率之和</w:t>
            </w:r>
          </w:p>
          <w:p>
            <w:pPr>
              <w:spacing w:line="320" w:lineRule="exact"/>
              <w:rPr>
                <w:rFonts w:eastAsia="方正仿宋_GBK"/>
                <w:color w:val="000000"/>
                <w:spacing w:val="-2"/>
                <w:szCs w:val="21"/>
              </w:rPr>
            </w:pPr>
            <w:r>
              <w:rPr>
                <w:rFonts w:eastAsia="方正仿宋_GBK"/>
                <w:color w:val="000000"/>
                <w:spacing w:val="-2"/>
                <w:szCs w:val="21"/>
              </w:rPr>
              <w:t xml:space="preserve">(4) </w:t>
            </w:r>
            <w:r>
              <w:rPr>
                <w:rFonts w:hint="eastAsia" w:eastAsia="方正仿宋_GBK"/>
                <w:color w:val="000000"/>
                <w:spacing w:val="-2"/>
                <w:szCs w:val="21"/>
              </w:rPr>
              <w:t>出厂水</w:t>
            </w:r>
            <w:r>
              <w:rPr>
                <w:rFonts w:eastAsia="方正仿宋_GBK"/>
                <w:color w:val="000000"/>
                <w:spacing w:val="-2"/>
                <w:szCs w:val="21"/>
              </w:rPr>
              <w:t>42</w:t>
            </w:r>
            <w:r>
              <w:rPr>
                <w:rFonts w:hint="eastAsia" w:eastAsia="方正仿宋_GBK"/>
                <w:color w:val="000000"/>
                <w:spacing w:val="-2"/>
                <w:szCs w:val="21"/>
              </w:rPr>
              <w:t>项合格率（</w:t>
            </w:r>
            <w:r>
              <w:rPr>
                <w:rFonts w:eastAsia="方正仿宋_GBK"/>
                <w:color w:val="000000"/>
                <w:spacing w:val="-2"/>
                <w:szCs w:val="21"/>
              </w:rPr>
              <w:t>%</w:t>
            </w:r>
            <w:r>
              <w:rPr>
                <w:rFonts w:hint="eastAsia" w:eastAsia="方正仿宋_GBK"/>
                <w:color w:val="000000"/>
                <w:spacing w:val="-2"/>
                <w:szCs w:val="21"/>
              </w:rPr>
              <w:t>）是指按</w:t>
            </w:r>
            <w:r>
              <w:rPr>
                <w:rFonts w:eastAsia="方正仿宋_GBK"/>
                <w:color w:val="000000"/>
                <w:spacing w:val="-2"/>
                <w:szCs w:val="21"/>
              </w:rPr>
              <w:t>GB5749-2006</w:t>
            </w:r>
            <w:r>
              <w:rPr>
                <w:rFonts w:hint="eastAsia" w:eastAsia="方正仿宋_GBK"/>
                <w:color w:val="000000"/>
                <w:spacing w:val="-2"/>
                <w:szCs w:val="21"/>
              </w:rPr>
              <w:t>标准每月对出厂水检测项目的合格率之和</w:t>
            </w:r>
          </w:p>
          <w:p>
            <w:pPr>
              <w:spacing w:line="320" w:lineRule="exact"/>
              <w:rPr>
                <w:rFonts w:eastAsia="方正仿宋_GBK"/>
                <w:color w:val="000000"/>
                <w:spacing w:val="-2"/>
                <w:szCs w:val="21"/>
              </w:rPr>
            </w:pPr>
            <w:r>
              <w:rPr>
                <w:rFonts w:eastAsia="方正仿宋_GBK"/>
                <w:color w:val="000000"/>
                <w:spacing w:val="-2"/>
                <w:szCs w:val="21"/>
              </w:rPr>
              <w:t>(6)</w:t>
            </w:r>
            <w:r>
              <w:rPr>
                <w:rFonts w:hint="eastAsia" w:eastAsia="方正仿宋_GBK"/>
                <w:color w:val="000000"/>
                <w:spacing w:val="-2"/>
                <w:szCs w:val="21"/>
              </w:rPr>
              <w:t>水质综合合格率（</w:t>
            </w:r>
            <w:r>
              <w:rPr>
                <w:rFonts w:eastAsia="方正仿宋_GBK"/>
                <w:color w:val="000000"/>
                <w:spacing w:val="-2"/>
                <w:szCs w:val="21"/>
              </w:rPr>
              <w:t>%</w:t>
            </w:r>
            <w:r>
              <w:rPr>
                <w:rFonts w:hint="eastAsia" w:eastAsia="方正仿宋_GBK"/>
                <w:color w:val="000000"/>
                <w:spacing w:val="-2"/>
                <w:szCs w:val="21"/>
              </w:rPr>
              <w:t>）</w:t>
            </w:r>
            <w:r>
              <w:rPr>
                <w:rFonts w:eastAsia="方正仿宋_GBK"/>
                <w:color w:val="000000"/>
                <w:spacing w:val="-2"/>
                <w:szCs w:val="21"/>
              </w:rPr>
              <w:t xml:space="preserve">= </w:t>
            </w:r>
            <w:r>
              <w:rPr>
                <w:rFonts w:hint="eastAsia" w:eastAsia="方正仿宋_GBK"/>
                <w:color w:val="000000"/>
                <w:spacing w:val="-2"/>
                <w:szCs w:val="21"/>
              </w:rPr>
              <w:t>（</w:t>
            </w:r>
            <w:r>
              <w:rPr>
                <w:rFonts w:eastAsia="方正仿宋_GBK"/>
                <w:color w:val="000000"/>
                <w:spacing w:val="-2"/>
                <w:szCs w:val="21"/>
              </w:rPr>
              <w:t>1+2+3+4+5+6+7+8+9+10</w:t>
            </w:r>
            <w:r>
              <w:rPr>
                <w:rFonts w:hint="eastAsia" w:eastAsia="方正仿宋_GBK"/>
                <w:color w:val="000000"/>
                <w:spacing w:val="-2"/>
                <w:szCs w:val="21"/>
              </w:rPr>
              <w:t>）合格率</w:t>
            </w:r>
            <w:r>
              <w:rPr>
                <w:rFonts w:eastAsia="方正仿宋_GBK"/>
                <w:color w:val="000000"/>
                <w:spacing w:val="-2"/>
                <w:szCs w:val="21"/>
              </w:rPr>
              <w:t>/10</w:t>
            </w:r>
          </w:p>
          <w:p>
            <w:pPr>
              <w:spacing w:line="320" w:lineRule="exact"/>
              <w:rPr>
                <w:rFonts w:eastAsia="方正仿宋_GBK"/>
                <w:color w:val="000000"/>
                <w:spacing w:val="-2"/>
                <w:szCs w:val="21"/>
              </w:rPr>
            </w:pPr>
            <w:r>
              <w:rPr>
                <w:rFonts w:hint="eastAsia" w:eastAsia="方正仿宋_GBK"/>
                <w:bCs/>
                <w:color w:val="000000"/>
                <w:spacing w:val="-2"/>
                <w:szCs w:val="21"/>
              </w:rPr>
              <w:t>〔</w:t>
            </w:r>
            <w:r>
              <w:rPr>
                <w:rFonts w:eastAsia="方正仿宋_GBK"/>
                <w:bCs/>
                <w:color w:val="000000"/>
                <w:spacing w:val="-2"/>
                <w:szCs w:val="21"/>
              </w:rPr>
              <w:t>9</w:t>
            </w:r>
            <w:r>
              <w:rPr>
                <w:rFonts w:hint="eastAsia" w:eastAsia="方正仿宋_GBK"/>
                <w:bCs/>
                <w:color w:val="000000"/>
                <w:spacing w:val="-2"/>
                <w:szCs w:val="21"/>
              </w:rPr>
              <w:t>项〕</w:t>
            </w:r>
            <w:r>
              <w:rPr>
                <w:rFonts w:eastAsia="方正仿宋_GBK"/>
                <w:color w:val="000000"/>
                <w:spacing w:val="-2"/>
                <w:szCs w:val="21"/>
              </w:rPr>
              <w:t xml:space="preserve"> </w:t>
            </w:r>
            <w:r>
              <w:rPr>
                <w:rFonts w:hint="eastAsia" w:eastAsia="方正仿宋_GBK"/>
                <w:color w:val="000000"/>
                <w:spacing w:val="-2"/>
                <w:szCs w:val="21"/>
              </w:rPr>
              <w:t>为</w:t>
            </w:r>
            <w:r>
              <w:rPr>
                <w:rFonts w:eastAsia="方正仿宋_GBK"/>
                <w:color w:val="000000"/>
                <w:spacing w:val="-2"/>
                <w:szCs w:val="21"/>
              </w:rPr>
              <w:t>GB5749-2006</w:t>
            </w:r>
            <w:r>
              <w:rPr>
                <w:rFonts w:hint="eastAsia" w:eastAsia="方正仿宋_GBK"/>
                <w:color w:val="000000"/>
                <w:spacing w:val="-2"/>
                <w:szCs w:val="21"/>
              </w:rPr>
              <w:t>标准要求的日检项目</w:t>
            </w:r>
          </w:p>
          <w:p>
            <w:pPr>
              <w:spacing w:line="320" w:lineRule="exact"/>
              <w:rPr>
                <w:rFonts w:eastAsia="方正仿宋_GBK"/>
                <w:color w:val="000000"/>
                <w:spacing w:val="-2"/>
                <w:szCs w:val="21"/>
              </w:rPr>
            </w:pPr>
            <w:r>
              <w:rPr>
                <w:rFonts w:hint="eastAsia" w:eastAsia="方正仿宋_GBK"/>
                <w:bCs/>
                <w:color w:val="000000"/>
                <w:spacing w:val="-2"/>
                <w:szCs w:val="21"/>
              </w:rPr>
              <w:t>〔</w:t>
            </w:r>
            <w:r>
              <w:rPr>
                <w:rFonts w:eastAsia="方正仿宋_GBK"/>
                <w:bCs/>
                <w:color w:val="000000"/>
                <w:spacing w:val="-2"/>
                <w:szCs w:val="21"/>
              </w:rPr>
              <w:t>42</w:t>
            </w:r>
            <w:r>
              <w:rPr>
                <w:rFonts w:hint="eastAsia" w:eastAsia="方正仿宋_GBK"/>
                <w:bCs/>
                <w:color w:val="000000"/>
                <w:spacing w:val="-2"/>
                <w:szCs w:val="21"/>
              </w:rPr>
              <w:t>项〕</w:t>
            </w:r>
            <w:r>
              <w:rPr>
                <w:rFonts w:eastAsia="方正仿宋_GBK"/>
                <w:color w:val="000000"/>
                <w:spacing w:val="-2"/>
                <w:szCs w:val="21"/>
              </w:rPr>
              <w:t xml:space="preserve"> </w:t>
            </w:r>
            <w:r>
              <w:rPr>
                <w:rFonts w:hint="eastAsia" w:eastAsia="方正仿宋_GBK"/>
                <w:color w:val="000000"/>
                <w:spacing w:val="-2"/>
                <w:szCs w:val="21"/>
              </w:rPr>
              <w:t>为</w:t>
            </w:r>
            <w:r>
              <w:rPr>
                <w:rFonts w:eastAsia="方正仿宋_GBK"/>
                <w:color w:val="000000"/>
                <w:spacing w:val="-2"/>
                <w:szCs w:val="21"/>
              </w:rPr>
              <w:t>GB5749-2006</w:t>
            </w:r>
            <w:r>
              <w:rPr>
                <w:rFonts w:hint="eastAsia" w:eastAsia="方正仿宋_GBK"/>
                <w:color w:val="000000"/>
                <w:spacing w:val="-2"/>
                <w:szCs w:val="21"/>
              </w:rPr>
              <w:t>标准表</w:t>
            </w:r>
            <w:r>
              <w:rPr>
                <w:rFonts w:eastAsia="方正仿宋_GBK"/>
                <w:color w:val="000000"/>
                <w:spacing w:val="-2"/>
                <w:szCs w:val="21"/>
              </w:rPr>
              <w:t>1</w:t>
            </w:r>
            <w:r>
              <w:rPr>
                <w:rFonts w:hint="eastAsia" w:eastAsia="方正仿宋_GBK"/>
                <w:color w:val="000000"/>
                <w:spacing w:val="-2"/>
                <w:szCs w:val="21"/>
              </w:rPr>
              <w:t>和表</w:t>
            </w:r>
            <w:r>
              <w:rPr>
                <w:rFonts w:eastAsia="方正仿宋_GBK"/>
                <w:color w:val="000000"/>
                <w:spacing w:val="-2"/>
                <w:szCs w:val="21"/>
              </w:rPr>
              <w:t>2</w:t>
            </w:r>
            <w:r>
              <w:rPr>
                <w:rFonts w:hint="eastAsia" w:eastAsia="方正仿宋_GBK"/>
                <w:color w:val="000000"/>
                <w:spacing w:val="-2"/>
                <w:szCs w:val="21"/>
              </w:rPr>
              <w:t>中</w:t>
            </w:r>
            <w:r>
              <w:rPr>
                <w:rFonts w:eastAsia="方正仿宋_GBK"/>
                <w:color w:val="000000"/>
                <w:spacing w:val="-2"/>
                <w:szCs w:val="21"/>
              </w:rPr>
              <w:t>42</w:t>
            </w:r>
            <w:r>
              <w:rPr>
                <w:rFonts w:hint="eastAsia" w:eastAsia="方正仿宋_GBK"/>
                <w:color w:val="000000"/>
                <w:spacing w:val="-2"/>
                <w:szCs w:val="21"/>
              </w:rPr>
              <w:t>项</w:t>
            </w:r>
            <w:r>
              <w:rPr>
                <w:rFonts w:eastAsia="方正仿宋_GBK"/>
                <w:color w:val="000000"/>
                <w:spacing w:val="-2"/>
                <w:szCs w:val="21"/>
              </w:rPr>
              <w:t>(</w:t>
            </w:r>
            <w:r>
              <w:rPr>
                <w:rFonts w:hint="eastAsia" w:eastAsia="方正仿宋_GBK"/>
                <w:color w:val="000000"/>
                <w:spacing w:val="-2"/>
                <w:szCs w:val="21"/>
              </w:rPr>
              <w:t>需根据采用的消毒剂品种调整检测项目</w:t>
            </w:r>
            <w:r>
              <w:rPr>
                <w:rFonts w:eastAsia="方正仿宋_GBK"/>
                <w:color w:val="000000"/>
                <w:spacing w:val="-2"/>
                <w:szCs w:val="21"/>
              </w:rPr>
              <w:t>)</w:t>
            </w:r>
          </w:p>
        </w:tc>
      </w:tr>
    </w:tbl>
    <w:p>
      <w:pPr>
        <w:rPr>
          <w:rFonts w:eastAsia="方正仿宋_GBK"/>
          <w:color w:val="000000"/>
          <w:spacing w:val="-2"/>
          <w:szCs w:val="21"/>
        </w:rPr>
      </w:pPr>
    </w:p>
    <w:p>
      <w:pPr>
        <w:rPr>
          <w:rFonts w:eastAsia="方正仿宋_GBK"/>
          <w:color w:val="000000"/>
          <w:spacing w:val="-2"/>
          <w:sz w:val="24"/>
        </w:rPr>
      </w:pPr>
      <w:r>
        <w:rPr>
          <w:rFonts w:hint="eastAsia" w:eastAsia="方正仿宋_GBK"/>
          <w:bCs/>
          <w:color w:val="000000"/>
          <w:spacing w:val="-2"/>
          <w:szCs w:val="21"/>
        </w:rPr>
        <w:t>制表</w:t>
      </w:r>
      <w:r>
        <w:rPr>
          <w:rFonts w:eastAsia="方正仿宋_GBK"/>
          <w:bCs/>
          <w:color w:val="000000"/>
          <w:spacing w:val="-2"/>
          <w:szCs w:val="21"/>
          <w:u w:val="single"/>
        </w:rPr>
        <w:t xml:space="preserve">               </w:t>
      </w:r>
      <w:r>
        <w:rPr>
          <w:rFonts w:eastAsia="方正仿宋_GBK"/>
          <w:bCs/>
          <w:color w:val="000000"/>
          <w:spacing w:val="-2"/>
          <w:szCs w:val="21"/>
        </w:rPr>
        <w:t xml:space="preserve">          </w:t>
      </w:r>
      <w:r>
        <w:rPr>
          <w:rFonts w:hint="eastAsia" w:eastAsia="方正仿宋_GBK"/>
          <w:bCs/>
          <w:color w:val="000000"/>
          <w:spacing w:val="-2"/>
          <w:szCs w:val="21"/>
        </w:rPr>
        <w:t>　　　　　　　　　　　　　审核</w:t>
      </w:r>
      <w:r>
        <w:rPr>
          <w:rFonts w:eastAsia="方正仿宋_GBK"/>
          <w:bCs/>
          <w:color w:val="000000"/>
          <w:spacing w:val="-2"/>
          <w:szCs w:val="21"/>
          <w:u w:val="single"/>
        </w:rPr>
        <w:t xml:space="preserve">             </w:t>
      </w:r>
    </w:p>
    <w:p>
      <w:pPr>
        <w:pStyle w:val="2"/>
        <w:spacing w:before="240" w:beforeLines="100" w:after="240" w:afterLines="100" w:line="240" w:lineRule="auto"/>
        <w:jc w:val="center"/>
        <w:rPr>
          <w:rFonts w:ascii="Times New Roman" w:eastAsia="方正小标宋_GBK"/>
          <w:b w:val="0"/>
          <w:sz w:val="36"/>
          <w:szCs w:val="36"/>
        </w:rPr>
      </w:pPr>
      <w:bookmarkStart w:id="94" w:name="_Toc20726332"/>
      <w:bookmarkStart w:id="95" w:name="_Toc18315413"/>
      <w:r>
        <w:rPr>
          <w:rFonts w:hint="eastAsia" w:ascii="Times New Roman" w:eastAsia="方正小标宋_GBK"/>
          <w:b w:val="0"/>
          <w:sz w:val="36"/>
          <w:szCs w:val="36"/>
        </w:rPr>
        <w:t>关于进一步加强城市供水水质检测确保             城市安全供水的通知</w:t>
      </w:r>
      <w:bookmarkEnd w:id="94"/>
      <w:bookmarkEnd w:id="95"/>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96" w:name="_Toc20726333"/>
      <w:bookmarkStart w:id="97" w:name="_Toc18315414"/>
      <w:r>
        <w:rPr>
          <w:rFonts w:hint="eastAsia" w:ascii="Times New Roman" w:hAnsi="Times New Roman" w:eastAsia="方正楷体_GBK"/>
          <w:b w:val="0"/>
          <w:sz w:val="24"/>
          <w:szCs w:val="24"/>
        </w:rPr>
        <w:t>苏建函城〔</w:t>
      </w:r>
      <w:r>
        <w:rPr>
          <w:rFonts w:ascii="Times New Roman" w:hAnsi="Times New Roman" w:eastAsia="方正楷体_GBK"/>
          <w:b w:val="0"/>
          <w:sz w:val="24"/>
          <w:szCs w:val="24"/>
        </w:rPr>
        <w:t>2009</w:t>
      </w:r>
      <w:r>
        <w:rPr>
          <w:rFonts w:hint="eastAsia" w:ascii="Times New Roman" w:hAnsi="Times New Roman" w:eastAsia="方正楷体_GBK"/>
          <w:b w:val="0"/>
          <w:sz w:val="24"/>
          <w:szCs w:val="24"/>
        </w:rPr>
        <w:t>〕</w:t>
      </w:r>
      <w:r>
        <w:rPr>
          <w:rFonts w:ascii="Times New Roman" w:hAnsi="Times New Roman" w:eastAsia="方正楷体_GBK"/>
          <w:b w:val="0"/>
          <w:sz w:val="24"/>
          <w:szCs w:val="24"/>
        </w:rPr>
        <w:t>139</w:t>
      </w:r>
      <w:r>
        <w:rPr>
          <w:rFonts w:hint="eastAsia" w:ascii="Times New Roman" w:hAnsi="Times New Roman" w:eastAsia="方正楷体_GBK"/>
          <w:b w:val="0"/>
          <w:sz w:val="24"/>
          <w:szCs w:val="24"/>
        </w:rPr>
        <w:t>号</w:t>
      </w:r>
      <w:bookmarkEnd w:id="96"/>
      <w:bookmarkEnd w:id="97"/>
    </w:p>
    <w:p>
      <w:pPr>
        <w:spacing w:line="460" w:lineRule="exact"/>
        <w:rPr>
          <w:rFonts w:eastAsia="方正仿宋_GBK"/>
          <w:color w:val="000000"/>
          <w:spacing w:val="-2"/>
          <w:sz w:val="24"/>
        </w:rPr>
      </w:pPr>
      <w:r>
        <w:rPr>
          <w:rFonts w:hint="eastAsia" w:eastAsia="方正仿宋_GBK"/>
          <w:color w:val="000000"/>
          <w:spacing w:val="-2"/>
          <w:sz w:val="24"/>
        </w:rPr>
        <w:t>各市</w:t>
      </w:r>
      <w:r>
        <w:rPr>
          <w:rFonts w:hint="eastAsia" w:eastAsia="方正仿宋_GBK"/>
          <w:color w:val="000000"/>
          <w:spacing w:val="-2"/>
          <w:w w:val="66"/>
          <w:sz w:val="24"/>
        </w:rPr>
        <w:t>、</w:t>
      </w:r>
      <w:r>
        <w:rPr>
          <w:rFonts w:hint="eastAsia" w:eastAsia="方正仿宋_GBK"/>
          <w:color w:val="000000"/>
          <w:spacing w:val="-2"/>
          <w:sz w:val="24"/>
        </w:rPr>
        <w:t>县建设局</w:t>
      </w:r>
      <w:r>
        <w:rPr>
          <w:rFonts w:hint="eastAsia" w:eastAsia="方正仿宋_GBK"/>
          <w:color w:val="000000"/>
          <w:spacing w:val="-2"/>
          <w:w w:val="66"/>
          <w:sz w:val="24"/>
        </w:rPr>
        <w:t>（</w:t>
      </w:r>
      <w:r>
        <w:rPr>
          <w:rFonts w:hint="eastAsia" w:eastAsia="方正仿宋_GBK"/>
          <w:color w:val="000000"/>
          <w:spacing w:val="-2"/>
          <w:sz w:val="24"/>
        </w:rPr>
        <w:t>委</w:t>
      </w:r>
      <w:r>
        <w:rPr>
          <w:rFonts w:hint="eastAsia" w:eastAsia="方正仿宋_GBK"/>
          <w:color w:val="000000"/>
          <w:spacing w:val="-2"/>
          <w:w w:val="66"/>
          <w:sz w:val="24"/>
        </w:rPr>
        <w:t>）</w:t>
      </w:r>
      <w:r>
        <w:rPr>
          <w:rFonts w:hint="eastAsia" w:eastAsia="方正仿宋_GBK"/>
          <w:color w:val="000000"/>
          <w:spacing w:val="-2"/>
          <w:sz w:val="24"/>
        </w:rPr>
        <w:t>，市政公用局，有关市</w:t>
      </w:r>
      <w:r>
        <w:rPr>
          <w:rFonts w:hint="eastAsia" w:eastAsia="方正仿宋_GBK"/>
          <w:color w:val="000000"/>
          <w:spacing w:val="-2"/>
          <w:w w:val="66"/>
          <w:sz w:val="24"/>
        </w:rPr>
        <w:t>、</w:t>
      </w:r>
      <w:r>
        <w:rPr>
          <w:rFonts w:hint="eastAsia" w:eastAsia="方正仿宋_GBK"/>
          <w:color w:val="000000"/>
          <w:spacing w:val="-2"/>
          <w:sz w:val="24"/>
        </w:rPr>
        <w:t>县水务局：</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为严格落实省委省政府提出的</w:t>
      </w:r>
      <w:r>
        <w:rPr>
          <w:rFonts w:eastAsia="方正仿宋_GBK"/>
          <w:color w:val="000000"/>
          <w:spacing w:val="-2"/>
          <w:sz w:val="24"/>
        </w:rPr>
        <w:t>“</w:t>
      </w:r>
      <w:r>
        <w:rPr>
          <w:rFonts w:hint="eastAsia" w:eastAsia="方正仿宋_GBK"/>
          <w:color w:val="000000"/>
          <w:spacing w:val="-2"/>
          <w:sz w:val="24"/>
        </w:rPr>
        <w:t>不合格的水不出厂、不达标的水不进管网</w:t>
      </w:r>
      <w:r>
        <w:rPr>
          <w:rFonts w:eastAsia="方正仿宋_GBK"/>
          <w:color w:val="000000"/>
          <w:spacing w:val="-2"/>
          <w:sz w:val="24"/>
        </w:rPr>
        <w:t>”</w:t>
      </w:r>
      <w:r>
        <w:rPr>
          <w:rFonts w:hint="eastAsia" w:eastAsia="方正仿宋_GBK"/>
          <w:color w:val="000000"/>
          <w:spacing w:val="-2"/>
          <w:sz w:val="24"/>
        </w:rPr>
        <w:t>的要求，确保城市安全供水，现就进一步加强城市供水水质检测等有关工作提出如下要求，请各地结合实际贯彻落实。</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一、进一步加强原水和生产过程水质监控。</w:t>
      </w:r>
      <w:r>
        <w:rPr>
          <w:rFonts w:hint="eastAsia" w:eastAsia="方正仿宋_GBK"/>
          <w:color w:val="000000"/>
          <w:spacing w:val="-2"/>
          <w:sz w:val="24"/>
        </w:rPr>
        <w:t>针对当前我省城市集中式饮用水源地保护和供水安全状况，经研究，在全省城市供水厂实施严于国家标准和规程规定的水质检测工作要求，对以下水样的水质检测，除执行</w:t>
      </w:r>
      <w:r>
        <w:rPr>
          <w:rFonts w:eastAsia="方正仿宋_GBK"/>
          <w:color w:val="000000"/>
          <w:spacing w:val="-2"/>
          <w:sz w:val="24"/>
        </w:rPr>
        <w:t>GB5749</w:t>
      </w:r>
      <w:r>
        <w:rPr>
          <w:rFonts w:hint="eastAsia" w:eastAsia="方正仿宋_GBK"/>
          <w:color w:val="000000"/>
          <w:spacing w:val="-2"/>
          <w:sz w:val="24"/>
        </w:rPr>
        <w:t>和《城镇供水厂运行、维护及安全技术规程》</w:t>
      </w:r>
      <w:r>
        <w:rPr>
          <w:rFonts w:eastAsia="方正仿宋_GBK"/>
          <w:color w:val="000000"/>
          <w:spacing w:val="-2"/>
          <w:sz w:val="24"/>
        </w:rPr>
        <w:t>CJJ58—94</w:t>
      </w:r>
      <w:r>
        <w:rPr>
          <w:rFonts w:hint="eastAsia" w:eastAsia="方正仿宋_GBK"/>
          <w:color w:val="000000"/>
          <w:spacing w:val="-2"/>
          <w:sz w:val="24"/>
        </w:rPr>
        <w:t>规定的检测频次和项目外，适当增加检测项目和检测频次，在水厂生产过程中建立新的水质检测报表制度。增加的检测项目和检测频次为：</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水源水检测项目：臭和味、色度、</w:t>
      </w:r>
      <w:r>
        <w:rPr>
          <w:rFonts w:eastAsia="方正仿宋_GBK"/>
          <w:color w:val="000000"/>
          <w:spacing w:val="-2"/>
          <w:sz w:val="24"/>
        </w:rPr>
        <w:t>COD</w:t>
      </w:r>
      <w:r>
        <w:rPr>
          <w:rFonts w:eastAsia="方正仿宋_GBK"/>
          <w:color w:val="000000"/>
          <w:spacing w:val="-2"/>
          <w:sz w:val="24"/>
          <w:vertAlign w:val="subscript"/>
        </w:rPr>
        <w:t>Mn</w:t>
      </w:r>
      <w:r>
        <w:rPr>
          <w:rFonts w:hint="eastAsia" w:eastAsia="方正仿宋_GBK"/>
          <w:color w:val="000000"/>
          <w:spacing w:val="-2"/>
          <w:sz w:val="24"/>
        </w:rPr>
        <w:t>、溶解氧、</w:t>
      </w:r>
      <w:r>
        <w:rPr>
          <w:rFonts w:eastAsia="方正仿宋_GBK"/>
          <w:color w:val="000000"/>
          <w:spacing w:val="-2"/>
          <w:sz w:val="24"/>
        </w:rPr>
        <w:t>pH</w:t>
      </w:r>
      <w:r>
        <w:rPr>
          <w:rFonts w:hint="eastAsia" w:eastAsia="方正仿宋_GBK"/>
          <w:color w:val="000000"/>
          <w:spacing w:val="-2"/>
          <w:sz w:val="24"/>
        </w:rPr>
        <w:t>；</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沉淀水、滤后水和清水库检测项目：臭和味、浑浊度、余氯、色度；</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出厂水检测项目：臭和味、色度、</w:t>
      </w:r>
      <w:r>
        <w:rPr>
          <w:rFonts w:eastAsia="方正仿宋_GBK"/>
          <w:color w:val="000000"/>
          <w:spacing w:val="-2"/>
          <w:sz w:val="24"/>
        </w:rPr>
        <w:t>COD</w:t>
      </w:r>
      <w:r>
        <w:rPr>
          <w:rFonts w:eastAsia="方正仿宋_GBK"/>
          <w:color w:val="000000"/>
          <w:spacing w:val="-2"/>
          <w:sz w:val="24"/>
          <w:vertAlign w:val="subscript"/>
        </w:rPr>
        <w:t>Mn</w:t>
      </w:r>
      <w:r>
        <w:rPr>
          <w:rFonts w:hint="eastAsia" w:eastAsia="方正仿宋_GBK"/>
          <w:color w:val="000000"/>
          <w:spacing w:val="-2"/>
          <w:sz w:val="24"/>
        </w:rPr>
        <w:t>、浑浊度、余氯。</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以上项目中</w:t>
      </w:r>
      <w:r>
        <w:rPr>
          <w:rFonts w:eastAsia="方正仿宋_GBK"/>
          <w:color w:val="000000"/>
          <w:spacing w:val="-2"/>
          <w:sz w:val="24"/>
        </w:rPr>
        <w:t>COD</w:t>
      </w:r>
      <w:r>
        <w:rPr>
          <w:rFonts w:eastAsia="方正仿宋_GBK"/>
          <w:color w:val="000000"/>
          <w:spacing w:val="-2"/>
          <w:sz w:val="24"/>
          <w:vertAlign w:val="subscript"/>
        </w:rPr>
        <w:t>Mn</w:t>
      </w:r>
      <w:r>
        <w:rPr>
          <w:rFonts w:hint="eastAsia" w:eastAsia="方正仿宋_GBK"/>
          <w:color w:val="000000"/>
          <w:spacing w:val="-2"/>
          <w:sz w:val="24"/>
        </w:rPr>
        <w:t>每</w:t>
      </w:r>
      <w:r>
        <w:rPr>
          <w:rFonts w:eastAsia="方正仿宋_GBK"/>
          <w:color w:val="000000"/>
          <w:spacing w:val="-2"/>
          <w:sz w:val="24"/>
        </w:rPr>
        <w:t>2</w:t>
      </w:r>
      <w:r>
        <w:rPr>
          <w:rFonts w:hint="eastAsia" w:eastAsia="方正仿宋_GBK"/>
          <w:color w:val="000000"/>
          <w:spacing w:val="-2"/>
          <w:sz w:val="24"/>
        </w:rPr>
        <w:t>小时检测一次，其他项目每</w:t>
      </w:r>
      <w:r>
        <w:rPr>
          <w:rFonts w:eastAsia="方正仿宋_GBK"/>
          <w:color w:val="000000"/>
          <w:spacing w:val="-2"/>
          <w:sz w:val="24"/>
        </w:rPr>
        <w:t>1</w:t>
      </w:r>
      <w:r>
        <w:rPr>
          <w:rFonts w:hint="eastAsia" w:eastAsia="方正仿宋_GBK"/>
          <w:color w:val="000000"/>
          <w:spacing w:val="-2"/>
          <w:sz w:val="24"/>
        </w:rPr>
        <w:t>小时检测一次，必要时可加密检测。</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二、强化水源污染隐患的排查和监测。</w:t>
      </w:r>
      <w:r>
        <w:rPr>
          <w:rFonts w:hint="eastAsia" w:eastAsia="方正仿宋_GBK"/>
          <w:color w:val="000000"/>
          <w:spacing w:val="-2"/>
          <w:sz w:val="24"/>
        </w:rPr>
        <w:t>各地供水主管部门和企业立即组织力量，积极配合当地环保部门对有可能影响水源地水质的污染源进行调查，并将调查结果报送当地政府。对可能影响水源水质的重大污染隐患，要提请当地政府采取有效措施坚决清除。同时，供水企业要对调查中发现的可能污染物，适当增加检测项目和频次，加强动态监测。</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三、切实做好自来水厂在线检测仪器的维护和管理。</w:t>
      </w:r>
      <w:r>
        <w:rPr>
          <w:rFonts w:hint="eastAsia" w:eastAsia="方正仿宋_GBK"/>
          <w:color w:val="000000"/>
          <w:spacing w:val="-2"/>
          <w:sz w:val="24"/>
        </w:rPr>
        <w:t>各地供水企业要立即对已经安装的在线检测仪器进行维护，确保正常使用；一些尚未对出厂水实现浊度和余氯在线检测的供水企业，要严格按照规定的频次和要求加强手工检测，并做好记录。</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四、建立齐抓共管、各负其责的水源水质监测机制。</w:t>
      </w:r>
      <w:r>
        <w:rPr>
          <w:rFonts w:hint="eastAsia" w:eastAsia="方正仿宋_GBK"/>
          <w:color w:val="000000"/>
          <w:spacing w:val="-2"/>
          <w:sz w:val="24"/>
        </w:rPr>
        <w:t>根据省人大常委会《关于加强饮用水源地保护的决定》的要求，提请当地政府明确相关部门在饮用水源地环境质量和水量、水质监测的职责，分工负责，建立起严密的水质监测长效机制。并互相通报水源地环境和水文、水质状况，共同做好集中式饮用水源地的保护工作。</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五、实行水源水质变化预警制度。</w:t>
      </w:r>
      <w:r>
        <w:rPr>
          <w:rFonts w:hint="eastAsia" w:eastAsia="方正仿宋_GBK"/>
          <w:color w:val="000000"/>
          <w:spacing w:val="-2"/>
          <w:sz w:val="24"/>
        </w:rPr>
        <w:t>各地要与当地环保、水利等部门建立水质监测信息、调水信息沟通制度，适时掌握水源水文、水质变化情况，提前做好应急准备工作。各地供水企业在发现水源水质异常时，要立即按规定上报，有重大污染时要同时通知下游供水企业。</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六、严格执行停水程序。</w:t>
      </w:r>
      <w:r>
        <w:rPr>
          <w:rFonts w:hint="eastAsia" w:eastAsia="方正仿宋_GBK"/>
          <w:color w:val="000000"/>
          <w:spacing w:val="-2"/>
          <w:sz w:val="24"/>
        </w:rPr>
        <w:t>当原水水质遭受突发污染，致使出厂水毒理学指标严重超标直接危及人的生命健康时，供水企业应立即停止供水并同时向主管部门和政府报告；感官性状等指标超标时，供水企业应立即向主管部门报告，由当地政府决定是否停止生产。</w:t>
      </w:r>
    </w:p>
    <w:p>
      <w:pPr>
        <w:spacing w:line="460" w:lineRule="exact"/>
        <w:ind w:firstLine="472" w:firstLineChars="200"/>
        <w:rPr>
          <w:rFonts w:eastAsia="方正仿宋_GBK"/>
          <w:color w:val="000000"/>
          <w:spacing w:val="-2"/>
          <w:sz w:val="24"/>
        </w:rPr>
      </w:pPr>
    </w:p>
    <w:p>
      <w:pPr>
        <w:wordWrap w:val="0"/>
        <w:spacing w:line="460" w:lineRule="exact"/>
        <w:ind w:firstLine="472" w:firstLineChars="200"/>
        <w:jc w:val="right"/>
        <w:rPr>
          <w:rFonts w:eastAsia="方正仿宋_GBK"/>
          <w:color w:val="000000"/>
          <w:spacing w:val="-2"/>
          <w:sz w:val="24"/>
        </w:rPr>
      </w:pPr>
      <w:r>
        <w:rPr>
          <w:rFonts w:hint="eastAsia" w:eastAsia="方正仿宋_GBK"/>
          <w:color w:val="000000"/>
          <w:spacing w:val="-2"/>
          <w:sz w:val="24"/>
        </w:rPr>
        <w:t>江苏省建设厅</w:t>
      </w:r>
      <w:r>
        <w:rPr>
          <w:rFonts w:eastAsia="方正仿宋_GBK"/>
          <w:color w:val="000000"/>
          <w:spacing w:val="-2"/>
          <w:sz w:val="24"/>
        </w:rPr>
        <w:t xml:space="preserve">       </w:t>
      </w:r>
    </w:p>
    <w:p>
      <w:pPr>
        <w:wordWrap w:val="0"/>
        <w:spacing w:line="460" w:lineRule="exact"/>
        <w:ind w:firstLine="472" w:firstLineChars="200"/>
        <w:jc w:val="right"/>
        <w:rPr>
          <w:rFonts w:eastAsia="方正仿宋_GBK"/>
          <w:color w:val="000000"/>
          <w:spacing w:val="-2"/>
          <w:sz w:val="24"/>
        </w:rPr>
      </w:pPr>
      <w:r>
        <w:rPr>
          <w:rFonts w:hint="eastAsia" w:eastAsia="方正仿宋_GBK"/>
          <w:color w:val="000000"/>
          <w:spacing w:val="-2"/>
          <w:sz w:val="24"/>
        </w:rPr>
        <w:t>二○○九年三月三日</w:t>
      </w:r>
      <w:r>
        <w:rPr>
          <w:rFonts w:eastAsia="方正仿宋_GBK"/>
          <w:color w:val="000000"/>
          <w:spacing w:val="-2"/>
          <w:sz w:val="24"/>
        </w:rPr>
        <w:t xml:space="preserve">    </w:t>
      </w:r>
    </w:p>
    <w:p/>
    <w:p/>
    <w:p/>
    <w:p/>
    <w:p/>
    <w:p/>
    <w:p/>
    <w:p/>
    <w:p/>
    <w:p/>
    <w:p/>
    <w:p/>
    <w:p/>
    <w:p/>
    <w:p/>
    <w:p/>
    <w:p/>
    <w:p/>
    <w:p/>
    <w:p/>
    <w:p/>
    <w:p/>
    <w:p/>
    <w:p/>
    <w:p/>
    <w:p/>
    <w:p/>
    <w:p>
      <w:pPr>
        <w:pStyle w:val="2"/>
        <w:spacing w:before="240" w:beforeLines="100" w:after="240" w:afterLines="100" w:line="240" w:lineRule="auto"/>
        <w:jc w:val="center"/>
        <w:rPr>
          <w:rFonts w:ascii="Times New Roman" w:eastAsia="方正小标宋_GBK"/>
          <w:b w:val="0"/>
          <w:sz w:val="36"/>
          <w:szCs w:val="36"/>
        </w:rPr>
      </w:pPr>
      <w:bookmarkStart w:id="98" w:name="_Toc18315415"/>
      <w:bookmarkStart w:id="99" w:name="_Toc20726334"/>
      <w:r>
        <w:rPr>
          <w:rFonts w:hint="eastAsia" w:ascii="Times New Roman" w:eastAsia="方正小标宋_GBK"/>
          <w:b w:val="0"/>
          <w:sz w:val="36"/>
          <w:szCs w:val="36"/>
        </w:rPr>
        <w:t>关于印发《江苏省瓶装燃气送气服务管理规定》的通知</w:t>
      </w:r>
      <w:bookmarkEnd w:id="98"/>
      <w:bookmarkEnd w:id="99"/>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100" w:name="_Toc18315416"/>
      <w:bookmarkStart w:id="101" w:name="_Toc20726335"/>
      <w:r>
        <w:rPr>
          <w:rFonts w:hint="eastAsia" w:ascii="Times New Roman" w:hAnsi="Times New Roman" w:eastAsia="方正楷体_GBK"/>
          <w:b w:val="0"/>
          <w:sz w:val="24"/>
          <w:szCs w:val="24"/>
        </w:rPr>
        <w:t>苏建规字〔</w:t>
      </w:r>
      <w:r>
        <w:rPr>
          <w:rFonts w:ascii="Times New Roman" w:hAnsi="Times New Roman" w:eastAsia="方正楷体_GBK"/>
          <w:b w:val="0"/>
          <w:sz w:val="24"/>
          <w:szCs w:val="24"/>
        </w:rPr>
        <w:t>2010</w:t>
      </w:r>
      <w:r>
        <w:rPr>
          <w:rFonts w:hint="eastAsia" w:ascii="Times New Roman" w:hAnsi="Times New Roman" w:eastAsia="方正楷体_GBK"/>
          <w:b w:val="0"/>
          <w:sz w:val="24"/>
          <w:szCs w:val="24"/>
        </w:rPr>
        <w:t>〕</w:t>
      </w:r>
      <w:r>
        <w:rPr>
          <w:rFonts w:ascii="Times New Roman" w:hAnsi="Times New Roman" w:eastAsia="方正楷体_GBK"/>
          <w:b w:val="0"/>
          <w:sz w:val="24"/>
          <w:szCs w:val="24"/>
        </w:rPr>
        <w:t>3</w:t>
      </w:r>
      <w:r>
        <w:rPr>
          <w:rFonts w:hint="eastAsia" w:ascii="Times New Roman" w:hAnsi="Times New Roman" w:eastAsia="方正楷体_GBK"/>
          <w:b w:val="0"/>
          <w:sz w:val="24"/>
          <w:szCs w:val="24"/>
        </w:rPr>
        <w:t>号</w:t>
      </w:r>
      <w:bookmarkEnd w:id="100"/>
      <w:bookmarkEnd w:id="101"/>
    </w:p>
    <w:p>
      <w:pPr>
        <w:spacing w:line="460" w:lineRule="exact"/>
        <w:rPr>
          <w:rFonts w:eastAsia="方正仿宋_GBK"/>
          <w:color w:val="000000"/>
          <w:spacing w:val="-2"/>
          <w:sz w:val="24"/>
        </w:rPr>
      </w:pPr>
      <w:r>
        <w:rPr>
          <w:rFonts w:hint="eastAsia" w:eastAsia="方正仿宋_GBK"/>
          <w:color w:val="000000"/>
          <w:spacing w:val="-2"/>
          <w:sz w:val="24"/>
        </w:rPr>
        <w:t>各省辖市建设局（委）、市政（园林）局：</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为加强瓶装燃气送气服务管理，维护瓶装燃气经营市场秩序，根据《中华人民共和国安全生产法》、《江苏省燃气管理条例》等法律法规规定，我厅制定了《江苏省瓶装燃气送气服务管理规定》。现印发给你们，请结合实际认真贯彻执行。</w:t>
      </w:r>
    </w:p>
    <w:p>
      <w:pPr>
        <w:spacing w:line="460" w:lineRule="exact"/>
        <w:ind w:firstLine="472" w:firstLineChars="200"/>
        <w:rPr>
          <w:rFonts w:eastAsia="方正仿宋_GBK"/>
          <w:color w:val="000000"/>
          <w:spacing w:val="-2"/>
          <w:sz w:val="24"/>
        </w:rPr>
      </w:pP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附件：《江苏省瓶装燃气送气服务管理规定》。</w:t>
      </w:r>
    </w:p>
    <w:p>
      <w:pPr>
        <w:spacing w:line="460" w:lineRule="exact"/>
        <w:ind w:firstLine="645"/>
        <w:rPr>
          <w:rFonts w:eastAsia="方正仿宋_GBK"/>
          <w:color w:val="000000"/>
          <w:spacing w:val="-2"/>
          <w:sz w:val="24"/>
        </w:rPr>
      </w:pPr>
    </w:p>
    <w:p>
      <w:pPr>
        <w:wordWrap w:val="0"/>
        <w:spacing w:line="460" w:lineRule="exact"/>
        <w:ind w:firstLine="645"/>
        <w:jc w:val="right"/>
        <w:rPr>
          <w:rFonts w:eastAsia="方正仿宋_GBK"/>
          <w:color w:val="000000"/>
          <w:spacing w:val="-2"/>
          <w:sz w:val="24"/>
        </w:rPr>
      </w:pPr>
      <w:r>
        <w:rPr>
          <w:rFonts w:hint="eastAsia" w:eastAsia="方正仿宋_GBK"/>
          <w:color w:val="000000"/>
          <w:spacing w:val="-2"/>
          <w:sz w:val="24"/>
        </w:rPr>
        <w:t>江苏省住房和城乡建设厅</w:t>
      </w:r>
      <w:r>
        <w:rPr>
          <w:rFonts w:eastAsia="方正仿宋_GBK"/>
          <w:color w:val="000000"/>
          <w:spacing w:val="-2"/>
          <w:sz w:val="24"/>
        </w:rPr>
        <w:t xml:space="preserve">    </w:t>
      </w:r>
    </w:p>
    <w:p>
      <w:pPr>
        <w:wordWrap w:val="0"/>
        <w:spacing w:line="460" w:lineRule="exact"/>
        <w:ind w:firstLine="645"/>
        <w:jc w:val="right"/>
        <w:rPr>
          <w:rFonts w:eastAsia="方正仿宋_GBK"/>
          <w:color w:val="000000"/>
          <w:spacing w:val="-2"/>
          <w:sz w:val="24"/>
        </w:rPr>
      </w:pPr>
      <w:r>
        <w:rPr>
          <w:rFonts w:hint="eastAsia" w:eastAsia="方正仿宋_GBK"/>
          <w:color w:val="000000"/>
          <w:spacing w:val="-2"/>
          <w:sz w:val="24"/>
        </w:rPr>
        <w:t>二○一○年七月二十七日</w:t>
      </w:r>
      <w:r>
        <w:rPr>
          <w:rFonts w:eastAsia="方正仿宋_GBK"/>
          <w:color w:val="000000"/>
          <w:spacing w:val="-2"/>
          <w:sz w:val="24"/>
        </w:rPr>
        <w:t xml:space="preserve">    </w:t>
      </w:r>
    </w:p>
    <w:p>
      <w:pPr>
        <w:spacing w:line="460" w:lineRule="exact"/>
        <w:rPr>
          <w:rFonts w:eastAsia="方正仿宋_GBK"/>
          <w:color w:val="000000"/>
          <w:spacing w:val="-2"/>
          <w:sz w:val="24"/>
        </w:rPr>
      </w:pPr>
    </w:p>
    <w:p>
      <w:pPr>
        <w:spacing w:line="460" w:lineRule="exact"/>
        <w:rPr>
          <w:rFonts w:eastAsia="方正仿宋_GBK"/>
          <w:color w:val="000000"/>
          <w:spacing w:val="-2"/>
          <w:sz w:val="24"/>
        </w:rPr>
      </w:pPr>
    </w:p>
    <w:p>
      <w:pPr>
        <w:spacing w:line="460" w:lineRule="exact"/>
        <w:ind w:firstLine="645"/>
        <w:jc w:val="center"/>
        <w:rPr>
          <w:rFonts w:ascii="Times New Roman" w:eastAsia="方正黑体_GBK"/>
          <w:color w:val="000000"/>
          <w:spacing w:val="-2"/>
          <w:sz w:val="36"/>
          <w:szCs w:val="36"/>
        </w:rPr>
      </w:pPr>
      <w:r>
        <w:rPr>
          <w:rFonts w:hint="eastAsia" w:ascii="Times New Roman" w:eastAsia="方正黑体_GBK"/>
          <w:color w:val="000000"/>
          <w:spacing w:val="-2"/>
          <w:sz w:val="36"/>
          <w:szCs w:val="36"/>
        </w:rPr>
        <w:t>江苏省瓶装燃气送气服务管理规定</w:t>
      </w:r>
    </w:p>
    <w:p>
      <w:pPr>
        <w:spacing w:line="460" w:lineRule="exact"/>
        <w:ind w:firstLine="645"/>
        <w:jc w:val="center"/>
        <w:rPr>
          <w:rFonts w:hint="eastAsia" w:eastAsia="方正仿宋_GBK"/>
          <w:color w:val="000000"/>
          <w:spacing w:val="-2"/>
          <w:sz w:val="24"/>
        </w:rPr>
      </w:pP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第一条</w:t>
      </w:r>
      <w:r>
        <w:rPr>
          <w:rFonts w:eastAsia="方正仿宋_GBK"/>
          <w:color w:val="000000"/>
          <w:spacing w:val="-2"/>
          <w:sz w:val="24"/>
        </w:rPr>
        <w:t xml:space="preserve">  </w:t>
      </w:r>
      <w:r>
        <w:rPr>
          <w:rFonts w:hint="eastAsia" w:eastAsia="方正仿宋_GBK"/>
          <w:color w:val="000000"/>
          <w:spacing w:val="-2"/>
          <w:sz w:val="24"/>
        </w:rPr>
        <w:t>为规范瓶装燃气的送气服务行为，维护瓶装燃气经营市场秩序，保障社会公共安全和燃气用户的使用安全，根据《中华人民共和国安全生产法》、《江苏省燃气管理条例》等有关法律、法规的规定，制定本规定。</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第二条</w:t>
      </w:r>
      <w:r>
        <w:rPr>
          <w:rFonts w:eastAsia="方正仿宋_GBK"/>
          <w:color w:val="000000"/>
          <w:spacing w:val="-2"/>
          <w:sz w:val="24"/>
        </w:rPr>
        <w:t xml:space="preserve">  </w:t>
      </w:r>
      <w:r>
        <w:rPr>
          <w:rFonts w:hint="eastAsia" w:eastAsia="方正仿宋_GBK"/>
          <w:color w:val="000000"/>
          <w:spacing w:val="-2"/>
          <w:sz w:val="24"/>
        </w:rPr>
        <w:t>本规定所称送气服务是指取得《江苏省瓶装燃气经营许可证》、《江苏省瓶装燃气供应许可证》的瓶装燃气经营企业、供应站点（以下简称瓶装燃气企业）根据用户要求，将本企业供应的瓶装燃气由企业服务人员送气到户的活动。</w:t>
      </w:r>
    </w:p>
    <w:p>
      <w:pPr>
        <w:spacing w:line="460" w:lineRule="exact"/>
        <w:ind w:firstLine="472" w:firstLineChars="200"/>
        <w:rPr>
          <w:rFonts w:eastAsia="方正仿宋_GBK"/>
          <w:color w:val="000000"/>
          <w:spacing w:val="-8"/>
          <w:sz w:val="24"/>
        </w:rPr>
      </w:pPr>
      <w:r>
        <w:rPr>
          <w:rFonts w:hint="eastAsia" w:ascii="Times New Roman" w:eastAsia="方正黑体_GBK"/>
          <w:color w:val="000000"/>
          <w:spacing w:val="-2"/>
          <w:sz w:val="24"/>
        </w:rPr>
        <w:t>第三条</w:t>
      </w:r>
      <w:r>
        <w:rPr>
          <w:rFonts w:eastAsia="方正仿宋_GBK"/>
          <w:color w:val="000000"/>
          <w:spacing w:val="-2"/>
          <w:sz w:val="24"/>
        </w:rPr>
        <w:t xml:space="preserve">  </w:t>
      </w:r>
      <w:r>
        <w:rPr>
          <w:rFonts w:hint="eastAsia" w:eastAsia="方正仿宋_GBK"/>
          <w:color w:val="000000"/>
          <w:spacing w:val="-8"/>
          <w:sz w:val="24"/>
        </w:rPr>
        <w:t>本规定适用于本省行政区域内从事瓶装燃气送气服务及其相关的管理活动。</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第四条</w:t>
      </w:r>
      <w:r>
        <w:rPr>
          <w:rFonts w:eastAsia="方正仿宋_GBK"/>
          <w:color w:val="000000"/>
          <w:spacing w:val="-2"/>
          <w:sz w:val="24"/>
        </w:rPr>
        <w:t xml:space="preserve">  </w:t>
      </w:r>
      <w:r>
        <w:rPr>
          <w:rFonts w:hint="eastAsia" w:eastAsia="方正仿宋_GBK"/>
          <w:color w:val="000000"/>
          <w:spacing w:val="-2"/>
          <w:sz w:val="24"/>
        </w:rPr>
        <w:t>省、设区市、县（市）建设（市政公用）主管部门（以下简称建设主管部门）负责本行政区域内瓶装燃气送气服务的监督管理，其所属的燃气管理机构负责瓶装燃气服务的日常监管工作。</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第五条</w:t>
      </w:r>
      <w:r>
        <w:rPr>
          <w:rFonts w:eastAsia="方正仿宋_GBK"/>
          <w:color w:val="000000"/>
          <w:spacing w:val="-2"/>
          <w:sz w:val="24"/>
        </w:rPr>
        <w:t xml:space="preserve">  </w:t>
      </w:r>
      <w:r>
        <w:rPr>
          <w:rFonts w:hint="eastAsia" w:eastAsia="方正仿宋_GBK"/>
          <w:color w:val="000000"/>
          <w:spacing w:val="-2"/>
          <w:sz w:val="24"/>
        </w:rPr>
        <w:t>瓶装燃气企业的送气服务范围为企业所在地的市、县行政区域；需要跨市、县实行异地经营服务的，企业应当向异地的建设主管部门申请设立瓶装燃气供应站点，由供应站点的服务人员进行送气服务；不得利用送气车辆直接向异地用户提供瓶装燃气送气服务。</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第六条</w:t>
      </w:r>
      <w:r>
        <w:rPr>
          <w:rFonts w:eastAsia="方正仿宋_GBK"/>
          <w:color w:val="000000"/>
          <w:spacing w:val="-2"/>
          <w:sz w:val="24"/>
        </w:rPr>
        <w:t xml:space="preserve">  </w:t>
      </w:r>
      <w:r>
        <w:rPr>
          <w:rFonts w:hint="eastAsia" w:eastAsia="方正仿宋_GBK"/>
          <w:color w:val="000000"/>
          <w:spacing w:val="-2"/>
          <w:sz w:val="24"/>
        </w:rPr>
        <w:t>瓶装燃气企业应当与送气服务人员签订劳动用工合同，并定期安排其参加由建设主管部门组织的岗位培训，考试合格后方可从事送气服务。</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sz w:val="24"/>
        </w:rPr>
        <w:t>瓶装燃气企业应当及时将已签订用工合同的在册送气服务人员名单报送建设主管部门备案；送气服务人员合同期满未续签、合同期内离职或者严重违法、违章被开除的，企业应当及时收回其从业相关证件，并告知建设主管部门。</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 xml:space="preserve">第七条 </w:t>
      </w:r>
      <w:r>
        <w:rPr>
          <w:rFonts w:eastAsia="方正仿宋_GBK"/>
          <w:color w:val="000000"/>
          <w:spacing w:val="-2"/>
          <w:sz w:val="24"/>
        </w:rPr>
        <w:t xml:space="preserve"> </w:t>
      </w:r>
      <w:r>
        <w:rPr>
          <w:rFonts w:hint="eastAsia" w:eastAsia="方正仿宋_GBK"/>
          <w:color w:val="000000"/>
          <w:spacing w:val="-2"/>
          <w:sz w:val="24"/>
        </w:rPr>
        <w:t>瓶装燃气送气服务人员应当遵守下列规定：</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（一）送气服务时必须统一穿着企业识别服，随身佩戴岗位从业证（牌）、送气配送单。从业证（牌）应包含：瓶装燃气企业名称、本人工号、照片、岗位名称。送气配送单</w:t>
      </w:r>
      <w:r>
        <w:rPr>
          <w:rFonts w:hint="eastAsia" w:eastAsia="方正仿宋_GBK"/>
          <w:color w:val="000000"/>
          <w:spacing w:val="-2"/>
          <w:kern w:val="0"/>
          <w:sz w:val="24"/>
        </w:rPr>
        <w:t>应注明送气对象、送气地址、送气数量、送气人员、收费价格、气瓶编号、塑封套流水号、用户签收等事项</w:t>
      </w:r>
      <w:r>
        <w:rPr>
          <w:rFonts w:hint="eastAsia" w:eastAsia="方正仿宋_GBK"/>
          <w:color w:val="000000"/>
          <w:spacing w:val="-2"/>
          <w:sz w:val="24"/>
        </w:rPr>
        <w:t>；</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（二）应按企业的承诺时限直接送气到用户，并接受建设主管部门的监督检查；</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sz w:val="24"/>
        </w:rPr>
        <w:t>（三）</w:t>
      </w:r>
      <w:r>
        <w:rPr>
          <w:rFonts w:hint="eastAsia" w:eastAsia="方正仿宋_GBK"/>
          <w:color w:val="000000"/>
          <w:spacing w:val="-2"/>
          <w:kern w:val="0"/>
          <w:sz w:val="24"/>
        </w:rPr>
        <w:t>向用户收取的售气款及送气服务费，必须严格执行</w:t>
      </w:r>
      <w:r>
        <w:rPr>
          <w:rFonts w:hint="eastAsia" w:eastAsia="方正仿宋_GBK"/>
          <w:color w:val="000000"/>
          <w:spacing w:val="-2"/>
          <w:sz w:val="24"/>
        </w:rPr>
        <w:t>瓶装燃气企业</w:t>
      </w:r>
      <w:r>
        <w:rPr>
          <w:rFonts w:hint="eastAsia" w:eastAsia="方正仿宋_GBK"/>
          <w:color w:val="000000"/>
          <w:spacing w:val="-2"/>
          <w:kern w:val="0"/>
          <w:sz w:val="24"/>
        </w:rPr>
        <w:t>向社会公布的统一价格，不得有任何价格欺骗行为，不得以任何形式向用户索取额外费用。</w:t>
      </w:r>
    </w:p>
    <w:p>
      <w:pPr>
        <w:spacing w:line="460" w:lineRule="exact"/>
        <w:ind w:firstLine="472" w:firstLineChars="200"/>
        <w:rPr>
          <w:rFonts w:eastAsia="方正仿宋_GBK"/>
          <w:color w:val="000000"/>
          <w:spacing w:val="-2"/>
          <w:kern w:val="0"/>
          <w:sz w:val="24"/>
        </w:rPr>
      </w:pPr>
      <w:r>
        <w:rPr>
          <w:rFonts w:hint="eastAsia" w:ascii="Times New Roman" w:eastAsia="方正黑体_GBK"/>
          <w:color w:val="000000"/>
          <w:spacing w:val="-2"/>
          <w:sz w:val="24"/>
        </w:rPr>
        <w:t>第八条</w:t>
      </w:r>
      <w:r>
        <w:rPr>
          <w:rFonts w:eastAsia="方正仿宋_GBK"/>
          <w:color w:val="000000"/>
          <w:spacing w:val="-2"/>
          <w:kern w:val="0"/>
          <w:sz w:val="24"/>
        </w:rPr>
        <w:t xml:space="preserve">  </w:t>
      </w:r>
      <w:r>
        <w:rPr>
          <w:rFonts w:hint="eastAsia" w:eastAsia="方正仿宋_GBK"/>
          <w:color w:val="000000"/>
          <w:spacing w:val="-2"/>
          <w:sz w:val="24"/>
        </w:rPr>
        <w:t>瓶装燃气企业应完善送气服务网络，配备与经营规模相适应的送气服务人员，并制定送气服务管理制度；</w:t>
      </w:r>
      <w:r>
        <w:rPr>
          <w:rFonts w:hint="eastAsia" w:eastAsia="方正仿宋_GBK"/>
          <w:color w:val="000000"/>
          <w:spacing w:val="-2"/>
          <w:kern w:val="0"/>
          <w:sz w:val="24"/>
        </w:rPr>
        <w:t>加强对所属送气服务人员的安全教育和管理，</w:t>
      </w:r>
      <w:r>
        <w:rPr>
          <w:rFonts w:hint="eastAsia" w:eastAsia="方正仿宋_GBK"/>
          <w:color w:val="000000"/>
          <w:spacing w:val="-2"/>
          <w:sz w:val="24"/>
        </w:rPr>
        <w:t>对</w:t>
      </w:r>
      <w:r>
        <w:rPr>
          <w:rFonts w:hint="eastAsia" w:eastAsia="方正仿宋_GBK"/>
          <w:color w:val="000000"/>
          <w:spacing w:val="-2"/>
          <w:kern w:val="0"/>
          <w:sz w:val="24"/>
        </w:rPr>
        <w:t>送气服务人员在送气</w:t>
      </w:r>
      <w:r>
        <w:rPr>
          <w:rFonts w:hint="eastAsia" w:eastAsia="方正仿宋_GBK"/>
          <w:color w:val="000000"/>
          <w:spacing w:val="-2"/>
          <w:sz w:val="24"/>
        </w:rPr>
        <w:t>服务过程中涉及的违法行为、服务质量及安全事故等承担相应的安全、管理责任。</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第九条</w:t>
      </w:r>
      <w:r>
        <w:rPr>
          <w:rFonts w:eastAsia="方正仿宋_GBK"/>
          <w:color w:val="000000"/>
          <w:spacing w:val="-2"/>
          <w:sz w:val="24"/>
        </w:rPr>
        <w:t xml:space="preserve">  </w:t>
      </w:r>
      <w:r>
        <w:rPr>
          <w:rFonts w:hint="eastAsia" w:eastAsia="方正仿宋_GBK"/>
          <w:color w:val="000000"/>
          <w:spacing w:val="-2"/>
          <w:sz w:val="24"/>
        </w:rPr>
        <w:t>瓶装燃气送气服务人员在从事送气服务时应当遵守下列规定：</w:t>
      </w:r>
    </w:p>
    <w:p>
      <w:pPr>
        <w:spacing w:line="460" w:lineRule="exact"/>
        <w:ind w:firstLine="472" w:firstLineChars="200"/>
        <w:jc w:val="left"/>
        <w:rPr>
          <w:rFonts w:eastAsia="方正仿宋_GBK"/>
          <w:color w:val="000000"/>
          <w:spacing w:val="-2"/>
          <w:sz w:val="24"/>
        </w:rPr>
      </w:pPr>
      <w:r>
        <w:rPr>
          <w:rFonts w:hint="eastAsia" w:eastAsia="方正仿宋_GBK"/>
          <w:color w:val="000000"/>
          <w:spacing w:val="-2"/>
          <w:sz w:val="24"/>
        </w:rPr>
        <w:t>（一）不得擅自撕启钢瓶塑封标识和警示标签；</w:t>
      </w:r>
    </w:p>
    <w:p>
      <w:pPr>
        <w:spacing w:line="460" w:lineRule="exact"/>
        <w:ind w:firstLine="472" w:firstLineChars="200"/>
        <w:jc w:val="left"/>
        <w:rPr>
          <w:rFonts w:eastAsia="方正仿宋_GBK"/>
          <w:color w:val="000000"/>
          <w:spacing w:val="-2"/>
          <w:sz w:val="24"/>
        </w:rPr>
      </w:pPr>
      <w:r>
        <w:rPr>
          <w:rFonts w:hint="eastAsia" w:eastAsia="方正仿宋_GBK"/>
          <w:color w:val="000000"/>
          <w:spacing w:val="-2"/>
          <w:sz w:val="24"/>
        </w:rPr>
        <w:t>（二）不得私自在家中、租用房屋等未经核准的场地存放已装液化石油气的气瓶。未能及时送出的</w:t>
      </w:r>
      <w:r>
        <w:rPr>
          <w:rFonts w:hint="eastAsia" w:eastAsia="方正仿宋_GBK"/>
          <w:color w:val="000000"/>
          <w:spacing w:val="-2"/>
          <w:kern w:val="0"/>
          <w:sz w:val="24"/>
        </w:rPr>
        <w:t>气瓶</w:t>
      </w:r>
      <w:r>
        <w:rPr>
          <w:rFonts w:hint="eastAsia" w:eastAsia="方正仿宋_GBK"/>
          <w:color w:val="000000"/>
          <w:spacing w:val="-2"/>
          <w:sz w:val="24"/>
        </w:rPr>
        <w:t>应及时送回瓶装燃气企业存放；</w:t>
      </w:r>
    </w:p>
    <w:p>
      <w:pPr>
        <w:spacing w:line="460" w:lineRule="exact"/>
        <w:ind w:firstLine="472" w:firstLineChars="200"/>
        <w:jc w:val="left"/>
        <w:rPr>
          <w:rFonts w:eastAsia="方正仿宋_GBK"/>
          <w:color w:val="000000"/>
          <w:spacing w:val="-2"/>
          <w:sz w:val="24"/>
        </w:rPr>
      </w:pPr>
      <w:r>
        <w:rPr>
          <w:rFonts w:hint="eastAsia" w:eastAsia="方正仿宋_GBK"/>
          <w:color w:val="000000"/>
          <w:spacing w:val="-2"/>
          <w:sz w:val="24"/>
        </w:rPr>
        <w:t>（三）未经所在企业允许，不得在用户家中从事液化石油气瓶、器具的维修及与送气业务无关的工作；</w:t>
      </w:r>
    </w:p>
    <w:p>
      <w:pPr>
        <w:spacing w:line="460" w:lineRule="exact"/>
        <w:ind w:firstLine="472" w:firstLineChars="200"/>
        <w:jc w:val="left"/>
        <w:rPr>
          <w:rFonts w:eastAsia="方正仿宋_GBK"/>
          <w:color w:val="000000"/>
          <w:spacing w:val="-2"/>
          <w:sz w:val="24"/>
        </w:rPr>
      </w:pPr>
      <w:r>
        <w:rPr>
          <w:rFonts w:hint="eastAsia" w:eastAsia="方正仿宋_GBK"/>
          <w:color w:val="000000"/>
          <w:spacing w:val="-2"/>
          <w:sz w:val="24"/>
        </w:rPr>
        <w:t>（四）不得进行气瓶间相互倒灌、掺杂使假和</w:t>
      </w:r>
      <w:r>
        <w:rPr>
          <w:rFonts w:hint="eastAsia" w:eastAsia="方正仿宋_GBK"/>
          <w:color w:val="000000"/>
          <w:spacing w:val="-2"/>
          <w:kern w:val="0"/>
          <w:sz w:val="24"/>
        </w:rPr>
        <w:t>随意倾倒</w:t>
      </w:r>
      <w:r>
        <w:rPr>
          <w:rFonts w:hint="eastAsia" w:eastAsia="方正仿宋_GBK"/>
          <w:color w:val="000000"/>
          <w:spacing w:val="-2"/>
          <w:sz w:val="24"/>
        </w:rPr>
        <w:t>液化石油气残液；</w:t>
      </w:r>
    </w:p>
    <w:p>
      <w:pPr>
        <w:spacing w:line="460" w:lineRule="exact"/>
        <w:ind w:firstLine="472" w:firstLineChars="200"/>
        <w:jc w:val="left"/>
        <w:rPr>
          <w:rFonts w:eastAsia="方正仿宋_GBK"/>
          <w:color w:val="000000"/>
          <w:spacing w:val="-2"/>
          <w:sz w:val="24"/>
        </w:rPr>
      </w:pPr>
      <w:r>
        <w:rPr>
          <w:rFonts w:hint="eastAsia" w:eastAsia="方正仿宋_GBK"/>
          <w:color w:val="000000"/>
          <w:spacing w:val="-2"/>
          <w:sz w:val="24"/>
        </w:rPr>
        <w:t>（五）不得擅自处理超期、漏气等不合格气瓶；发现气瓶漏气，应及时送回瓶装燃气企业处理。</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 xml:space="preserve">第十条 </w:t>
      </w:r>
      <w:r>
        <w:rPr>
          <w:rFonts w:eastAsia="方正仿宋_GBK"/>
          <w:color w:val="000000"/>
          <w:spacing w:val="-2"/>
          <w:sz w:val="24"/>
        </w:rPr>
        <w:t xml:space="preserve"> </w:t>
      </w:r>
      <w:r>
        <w:rPr>
          <w:rFonts w:hint="eastAsia" w:eastAsia="方正仿宋_GBK"/>
          <w:color w:val="000000"/>
          <w:spacing w:val="-2"/>
          <w:sz w:val="24"/>
        </w:rPr>
        <w:t>瓶装燃气企业应当加强对气瓶的流转管理，对已配送出的充满液化石油气的实气瓶和从用户家收回的空气瓶应当做好流转登记，防止送气服务人员私自从事非法经营行为和违反安全管理规定的行为。</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禁止向无瓶装燃气经营许可证、瓶装燃气供应许可证的单位和个人供应用于销售的燃气。</w:t>
      </w:r>
    </w:p>
    <w:p>
      <w:pPr>
        <w:spacing w:line="460" w:lineRule="exact"/>
        <w:ind w:firstLine="472" w:firstLineChars="200"/>
        <w:rPr>
          <w:rFonts w:eastAsia="方正仿宋_GBK"/>
          <w:color w:val="000000"/>
          <w:spacing w:val="-2"/>
          <w:kern w:val="0"/>
          <w:sz w:val="24"/>
        </w:rPr>
      </w:pPr>
      <w:r>
        <w:rPr>
          <w:rFonts w:hint="eastAsia" w:ascii="Times New Roman" w:eastAsia="方正黑体_GBK"/>
          <w:color w:val="000000"/>
          <w:spacing w:val="-2"/>
          <w:sz w:val="24"/>
        </w:rPr>
        <w:t>第十一条</w:t>
      </w:r>
      <w:r>
        <w:rPr>
          <w:rFonts w:eastAsia="方正仿宋_GBK"/>
          <w:color w:val="000000"/>
          <w:spacing w:val="-2"/>
          <w:sz w:val="24"/>
        </w:rPr>
        <w:t xml:space="preserve">  </w:t>
      </w:r>
      <w:r>
        <w:rPr>
          <w:rFonts w:hint="eastAsia" w:eastAsia="方正仿宋_GBK"/>
          <w:color w:val="000000"/>
          <w:spacing w:val="-6"/>
          <w:kern w:val="0"/>
          <w:sz w:val="24"/>
        </w:rPr>
        <w:t>瓶装燃气企业应当配备或者委托符合安全运输要求的车辆运输配送</w:t>
      </w:r>
      <w:r>
        <w:rPr>
          <w:rFonts w:hint="eastAsia" w:eastAsia="方正仿宋_GBK"/>
          <w:color w:val="000000"/>
          <w:spacing w:val="-6"/>
          <w:sz w:val="24"/>
        </w:rPr>
        <w:t>液化石油气</w:t>
      </w:r>
      <w:r>
        <w:rPr>
          <w:rFonts w:hint="eastAsia" w:eastAsia="方正仿宋_GBK"/>
          <w:color w:val="000000"/>
          <w:spacing w:val="-6"/>
          <w:kern w:val="0"/>
          <w:sz w:val="24"/>
        </w:rPr>
        <w:t>气瓶，不得使用厢体封闭等不符合安全要求的车辆运输装有</w:t>
      </w:r>
      <w:r>
        <w:rPr>
          <w:rFonts w:hint="eastAsia" w:eastAsia="方正仿宋_GBK"/>
          <w:color w:val="000000"/>
          <w:spacing w:val="-6"/>
          <w:sz w:val="24"/>
        </w:rPr>
        <w:t>液化石油气</w:t>
      </w:r>
      <w:r>
        <w:rPr>
          <w:rFonts w:hint="eastAsia" w:eastAsia="方正仿宋_GBK"/>
          <w:color w:val="000000"/>
          <w:spacing w:val="-6"/>
          <w:kern w:val="0"/>
          <w:sz w:val="24"/>
        </w:rPr>
        <w:t>的气瓶</w:t>
      </w:r>
      <w:r>
        <w:rPr>
          <w:rFonts w:hint="eastAsia" w:eastAsia="方正仿宋_GBK"/>
          <w:color w:val="000000"/>
          <w:spacing w:val="-2"/>
          <w:kern w:val="0"/>
          <w:sz w:val="24"/>
        </w:rPr>
        <w:t>。</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瓶装燃气企业向居民用户送气使用的车辆及其装载的气瓶数量应当符合相应的安全要求。气瓶在运送过程中应保持单层直立码放，严禁气瓶倒置和厢体外挂。</w:t>
      </w:r>
    </w:p>
    <w:p>
      <w:pPr>
        <w:spacing w:line="460" w:lineRule="exact"/>
        <w:ind w:firstLine="472" w:firstLineChars="200"/>
        <w:rPr>
          <w:rFonts w:eastAsia="方正仿宋_GBK"/>
          <w:color w:val="000000"/>
          <w:spacing w:val="-2"/>
          <w:kern w:val="0"/>
          <w:sz w:val="24"/>
        </w:rPr>
      </w:pPr>
      <w:r>
        <w:rPr>
          <w:rFonts w:hint="eastAsia" w:ascii="Times New Roman" w:eastAsia="方正黑体_GBK"/>
          <w:color w:val="000000"/>
          <w:spacing w:val="-2"/>
          <w:sz w:val="24"/>
        </w:rPr>
        <w:t xml:space="preserve">第十二条 </w:t>
      </w:r>
      <w:r>
        <w:rPr>
          <w:rFonts w:eastAsia="方正仿宋_GBK"/>
          <w:color w:val="000000"/>
          <w:spacing w:val="-2"/>
          <w:sz w:val="24"/>
        </w:rPr>
        <w:t xml:space="preserve"> </w:t>
      </w:r>
      <w:r>
        <w:rPr>
          <w:rFonts w:hint="eastAsia" w:eastAsia="方正仿宋_GBK"/>
          <w:color w:val="000000"/>
          <w:spacing w:val="-2"/>
          <w:sz w:val="24"/>
        </w:rPr>
        <w:t>建设主管部门</w:t>
      </w:r>
      <w:r>
        <w:rPr>
          <w:rFonts w:hint="eastAsia" w:eastAsia="方正仿宋_GBK"/>
          <w:color w:val="000000"/>
          <w:spacing w:val="-2"/>
          <w:kern w:val="0"/>
          <w:sz w:val="24"/>
        </w:rPr>
        <w:t>应当加强对</w:t>
      </w:r>
      <w:r>
        <w:rPr>
          <w:rFonts w:hint="eastAsia" w:eastAsia="方正仿宋_GBK"/>
          <w:color w:val="000000"/>
          <w:spacing w:val="-2"/>
          <w:sz w:val="24"/>
        </w:rPr>
        <w:t>瓶装燃气企业送气服务的监督管理，</w:t>
      </w:r>
      <w:r>
        <w:rPr>
          <w:rFonts w:hint="eastAsia" w:eastAsia="方正仿宋_GBK"/>
          <w:color w:val="000000"/>
          <w:spacing w:val="-2"/>
          <w:kern w:val="0"/>
          <w:sz w:val="24"/>
        </w:rPr>
        <w:t>定期公布本地区企业送气服务人员名册，接受社会的监督。定期组织送气服务人员进行燃气安全管理规定的培训。</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第十三条</w:t>
      </w:r>
      <w:r>
        <w:rPr>
          <w:rFonts w:eastAsia="方正仿宋_GBK"/>
          <w:color w:val="000000"/>
          <w:spacing w:val="-2"/>
          <w:sz w:val="24"/>
        </w:rPr>
        <w:t xml:space="preserve">  </w:t>
      </w:r>
      <w:r>
        <w:rPr>
          <w:rFonts w:hint="eastAsia" w:eastAsia="方正仿宋_GBK"/>
          <w:color w:val="000000"/>
          <w:spacing w:val="-2"/>
          <w:sz w:val="24"/>
        </w:rPr>
        <w:t>建设主管部门</w:t>
      </w:r>
      <w:r>
        <w:rPr>
          <w:rFonts w:hint="eastAsia" w:eastAsia="方正仿宋_GBK"/>
          <w:color w:val="000000"/>
          <w:spacing w:val="-2"/>
          <w:kern w:val="0"/>
          <w:sz w:val="24"/>
        </w:rPr>
        <w:t>应当</w:t>
      </w:r>
      <w:r>
        <w:rPr>
          <w:rFonts w:hint="eastAsia" w:eastAsia="方正仿宋_GBK"/>
          <w:color w:val="000000"/>
          <w:spacing w:val="-2"/>
          <w:sz w:val="24"/>
        </w:rPr>
        <w:t>组织力量依法查处非法经营站点以及无合法经营站点流动经销瓶装燃气的非法经营行为。</w:t>
      </w:r>
    </w:p>
    <w:p>
      <w:pPr>
        <w:spacing w:line="460" w:lineRule="exact"/>
        <w:ind w:firstLine="472" w:firstLineChars="200"/>
        <w:rPr>
          <w:rFonts w:eastAsia="方正仿宋_GBK"/>
          <w:color w:val="000000"/>
          <w:spacing w:val="-2"/>
          <w:kern w:val="0"/>
          <w:sz w:val="24"/>
        </w:rPr>
      </w:pPr>
      <w:r>
        <w:rPr>
          <w:rFonts w:hint="eastAsia" w:ascii="Times New Roman" w:eastAsia="方正黑体_GBK"/>
          <w:color w:val="000000"/>
          <w:spacing w:val="-2"/>
          <w:sz w:val="24"/>
        </w:rPr>
        <w:t>第十四条</w:t>
      </w:r>
      <w:r>
        <w:rPr>
          <w:rFonts w:eastAsia="方正仿宋_GBK"/>
          <w:color w:val="000000"/>
          <w:spacing w:val="-2"/>
          <w:kern w:val="0"/>
          <w:sz w:val="24"/>
        </w:rPr>
        <w:t xml:space="preserve">  </w:t>
      </w:r>
      <w:r>
        <w:rPr>
          <w:rFonts w:hint="eastAsia" w:eastAsia="方正仿宋_GBK"/>
          <w:color w:val="000000"/>
          <w:spacing w:val="-2"/>
          <w:kern w:val="0"/>
          <w:sz w:val="24"/>
        </w:rPr>
        <w:t>对发现送气服务人员未</w:t>
      </w:r>
      <w:r>
        <w:rPr>
          <w:rFonts w:hint="eastAsia" w:eastAsia="方正仿宋_GBK"/>
          <w:color w:val="000000"/>
          <w:spacing w:val="-2"/>
          <w:sz w:val="24"/>
        </w:rPr>
        <w:t>穿着识别服、未佩戴岗位从业证（牌）、未随身携带送气配送单等涉嫌无证经营行为的，建设主管部门可依法暂扣气瓶；经查实确实为无证经营行为的，应当依照《江苏省燃气管理条例》的有关规定</w:t>
      </w:r>
      <w:r>
        <w:rPr>
          <w:rFonts w:hint="eastAsia" w:eastAsia="方正仿宋_GBK"/>
          <w:color w:val="000000"/>
          <w:spacing w:val="-2"/>
          <w:kern w:val="0"/>
          <w:sz w:val="24"/>
        </w:rPr>
        <w:t>予以处罚。</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第十五条</w:t>
      </w:r>
      <w:r>
        <w:rPr>
          <w:rFonts w:eastAsia="方正仿宋_GBK"/>
          <w:color w:val="000000"/>
          <w:spacing w:val="-2"/>
          <w:kern w:val="0"/>
          <w:sz w:val="24"/>
        </w:rPr>
        <w:t xml:space="preserve">  </w:t>
      </w:r>
      <w:r>
        <w:rPr>
          <w:rFonts w:hint="eastAsia" w:eastAsia="方正仿宋_GBK"/>
          <w:color w:val="000000"/>
          <w:spacing w:val="-2"/>
          <w:kern w:val="0"/>
          <w:sz w:val="24"/>
        </w:rPr>
        <w:t>对</w:t>
      </w:r>
      <w:r>
        <w:rPr>
          <w:rFonts w:hint="eastAsia" w:eastAsia="方正仿宋_GBK"/>
          <w:color w:val="000000"/>
          <w:spacing w:val="-2"/>
          <w:sz w:val="24"/>
        </w:rPr>
        <w:t>瓶装燃气企业</w:t>
      </w:r>
      <w:r>
        <w:rPr>
          <w:rFonts w:hint="eastAsia" w:eastAsia="方正仿宋_GBK"/>
          <w:color w:val="000000"/>
          <w:spacing w:val="-2"/>
          <w:kern w:val="0"/>
          <w:sz w:val="24"/>
        </w:rPr>
        <w:t>违法向无证经营单位和个人供应销售燃气的，建设主管部门应按照</w:t>
      </w:r>
      <w:r>
        <w:rPr>
          <w:rFonts w:hint="eastAsia" w:eastAsia="方正仿宋_GBK"/>
          <w:color w:val="000000"/>
          <w:spacing w:val="-2"/>
          <w:sz w:val="24"/>
        </w:rPr>
        <w:t>《江苏省燃气管理条例》规定进行查处。</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第十六条</w:t>
      </w:r>
      <w:r>
        <w:rPr>
          <w:rFonts w:eastAsia="方正仿宋_GBK"/>
          <w:color w:val="000000"/>
          <w:spacing w:val="-2"/>
          <w:kern w:val="0"/>
          <w:sz w:val="24"/>
        </w:rPr>
        <w:t xml:space="preserve">  </w:t>
      </w:r>
      <w:r>
        <w:rPr>
          <w:rFonts w:hint="eastAsia" w:eastAsia="方正仿宋_GBK"/>
          <w:color w:val="000000"/>
          <w:spacing w:val="-2"/>
          <w:sz w:val="24"/>
        </w:rPr>
        <w:t>瓶装燃气企业</w:t>
      </w:r>
      <w:r>
        <w:rPr>
          <w:rFonts w:hint="eastAsia" w:eastAsia="方正仿宋_GBK"/>
          <w:color w:val="000000"/>
          <w:spacing w:val="-2"/>
          <w:kern w:val="0"/>
          <w:sz w:val="24"/>
        </w:rPr>
        <w:t>没有按规定要求对送气服务人员进行送气服务管理，一年中有三次以上违反送气服务规定被有关部门查处的，建设主管部门</w:t>
      </w:r>
      <w:r>
        <w:rPr>
          <w:rFonts w:hint="eastAsia" w:eastAsia="方正仿宋_GBK"/>
          <w:color w:val="000000"/>
          <w:spacing w:val="-2"/>
          <w:sz w:val="24"/>
        </w:rPr>
        <w:t>可以</w:t>
      </w:r>
      <w:r>
        <w:rPr>
          <w:rFonts w:hint="eastAsia" w:eastAsia="方正仿宋_GBK"/>
          <w:color w:val="000000"/>
          <w:spacing w:val="-2"/>
          <w:kern w:val="0"/>
          <w:sz w:val="24"/>
        </w:rPr>
        <w:t>按照</w:t>
      </w:r>
      <w:r>
        <w:rPr>
          <w:rFonts w:hint="eastAsia" w:eastAsia="方正仿宋_GBK"/>
          <w:color w:val="000000"/>
          <w:spacing w:val="-2"/>
          <w:sz w:val="24"/>
        </w:rPr>
        <w:t>《江苏省燃气管理条例》规定吊销其燃气企业经营许可证或供应许可证。</w:t>
      </w:r>
    </w:p>
    <w:p>
      <w:pPr>
        <w:spacing w:line="460" w:lineRule="exact"/>
        <w:ind w:firstLine="472" w:firstLineChars="200"/>
        <w:rPr>
          <w:rFonts w:eastAsia="方正仿宋_GBK"/>
          <w:color w:val="000000"/>
          <w:spacing w:val="-2"/>
          <w:kern w:val="0"/>
          <w:sz w:val="24"/>
        </w:rPr>
      </w:pPr>
      <w:r>
        <w:rPr>
          <w:rFonts w:hint="eastAsia" w:ascii="Times New Roman" w:eastAsia="方正黑体_GBK"/>
          <w:color w:val="000000"/>
          <w:spacing w:val="-2"/>
          <w:sz w:val="24"/>
        </w:rPr>
        <w:t>第十七条</w:t>
      </w:r>
      <w:r>
        <w:rPr>
          <w:rFonts w:eastAsia="方正仿宋_GBK"/>
          <w:color w:val="000000"/>
          <w:spacing w:val="-2"/>
          <w:kern w:val="0"/>
          <w:sz w:val="24"/>
        </w:rPr>
        <w:t xml:space="preserve">  </w:t>
      </w:r>
      <w:r>
        <w:rPr>
          <w:rFonts w:hint="eastAsia" w:eastAsia="方正仿宋_GBK"/>
          <w:color w:val="000000"/>
          <w:spacing w:val="-2"/>
          <w:kern w:val="0"/>
          <w:sz w:val="24"/>
        </w:rPr>
        <w:t>送气服务人员违反安全管理规定并造成严重后果的，有关部门应当按照有关法律法规给予查处。</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第十八条</w:t>
      </w:r>
      <w:r>
        <w:rPr>
          <w:rFonts w:eastAsia="方正仿宋_GBK"/>
          <w:color w:val="000000"/>
          <w:spacing w:val="-2"/>
          <w:kern w:val="0"/>
          <w:sz w:val="24"/>
        </w:rPr>
        <w:t xml:space="preserve">  </w:t>
      </w:r>
      <w:r>
        <w:rPr>
          <w:rFonts w:hint="eastAsia" w:eastAsia="方正仿宋_GBK"/>
          <w:color w:val="000000"/>
          <w:spacing w:val="-2"/>
          <w:sz w:val="24"/>
        </w:rPr>
        <w:t>本规定于</w:t>
      </w:r>
      <w:r>
        <w:rPr>
          <w:rFonts w:eastAsia="方正仿宋_GBK"/>
          <w:color w:val="000000"/>
          <w:spacing w:val="-2"/>
          <w:sz w:val="24"/>
        </w:rPr>
        <w:t>2010</w:t>
      </w:r>
      <w:r>
        <w:rPr>
          <w:rFonts w:hint="eastAsia" w:eastAsia="方正仿宋_GBK"/>
          <w:color w:val="000000"/>
          <w:spacing w:val="-2"/>
          <w:sz w:val="24"/>
        </w:rPr>
        <w:t>年</w:t>
      </w:r>
      <w:r>
        <w:rPr>
          <w:rFonts w:eastAsia="方正仿宋_GBK"/>
          <w:color w:val="000000"/>
          <w:spacing w:val="-2"/>
          <w:sz w:val="24"/>
        </w:rPr>
        <w:t>9</w:t>
      </w:r>
      <w:r>
        <w:rPr>
          <w:rFonts w:hint="eastAsia" w:eastAsia="方正仿宋_GBK"/>
          <w:color w:val="000000"/>
          <w:spacing w:val="-2"/>
          <w:sz w:val="24"/>
        </w:rPr>
        <w:t>月</w:t>
      </w:r>
      <w:r>
        <w:rPr>
          <w:rFonts w:eastAsia="方正仿宋_GBK"/>
          <w:color w:val="000000"/>
          <w:spacing w:val="-2"/>
          <w:sz w:val="24"/>
        </w:rPr>
        <w:t>1</w:t>
      </w:r>
      <w:r>
        <w:rPr>
          <w:rFonts w:hint="eastAsia" w:eastAsia="方正仿宋_GBK"/>
          <w:color w:val="000000"/>
          <w:spacing w:val="-2"/>
          <w:sz w:val="24"/>
        </w:rPr>
        <w:t>日施行。</w:t>
      </w:r>
    </w:p>
    <w:p>
      <w:pPr>
        <w:spacing w:line="500" w:lineRule="exact"/>
        <w:ind w:left="-10" w:leftChars="-8" w:hanging="7" w:hangingChars="3"/>
        <w:jc w:val="center"/>
        <w:rPr>
          <w:rFonts w:eastAsia="方正仿宋_GBK"/>
          <w:color w:val="000000"/>
          <w:sz w:val="24"/>
        </w:rPr>
      </w:pPr>
    </w:p>
    <w:p>
      <w:pPr>
        <w:pStyle w:val="2"/>
        <w:spacing w:before="240" w:beforeLines="100" w:after="240" w:afterLines="100" w:line="240" w:lineRule="auto"/>
        <w:jc w:val="center"/>
        <w:rPr>
          <w:rFonts w:ascii="Times New Roman" w:eastAsia="方正小标宋_GBK"/>
          <w:b w:val="0"/>
          <w:sz w:val="36"/>
          <w:szCs w:val="36"/>
        </w:rPr>
      </w:pPr>
      <w:r>
        <w:rPr>
          <w:rFonts w:hint="eastAsia" w:ascii="Times New Roman" w:eastAsia="方正小标宋简体"/>
          <w:b w:val="0"/>
          <w:color w:val="000000"/>
          <w:sz w:val="36"/>
          <w:szCs w:val="36"/>
        </w:rPr>
        <w:br w:type="column"/>
      </w:r>
      <w:bookmarkStart w:id="102" w:name="_Toc20726336"/>
      <w:bookmarkStart w:id="103" w:name="_Toc18315417"/>
      <w:r>
        <w:rPr>
          <w:rFonts w:hint="eastAsia" w:ascii="Times New Roman" w:eastAsia="方正小标宋_GBK"/>
          <w:b w:val="0"/>
          <w:sz w:val="36"/>
          <w:szCs w:val="36"/>
        </w:rPr>
        <w:t>关于进一步加强城乡饮用水安全保障工作的通知</w:t>
      </w:r>
      <w:bookmarkEnd w:id="102"/>
      <w:bookmarkEnd w:id="103"/>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104" w:name="_Toc20726337"/>
      <w:bookmarkStart w:id="105" w:name="_Toc18315418"/>
      <w:r>
        <w:rPr>
          <w:rFonts w:hint="eastAsia" w:ascii="Times New Roman" w:hAnsi="Times New Roman" w:eastAsia="方正楷体_GBK"/>
          <w:b w:val="0"/>
          <w:sz w:val="24"/>
          <w:szCs w:val="24"/>
        </w:rPr>
        <w:t>苏建城〔</w:t>
      </w:r>
      <w:r>
        <w:rPr>
          <w:rFonts w:ascii="Times New Roman" w:hAnsi="Times New Roman" w:eastAsia="方正楷体_GBK"/>
          <w:b w:val="0"/>
          <w:sz w:val="24"/>
          <w:szCs w:val="24"/>
        </w:rPr>
        <w:t>2010</w:t>
      </w:r>
      <w:r>
        <w:rPr>
          <w:rFonts w:hint="eastAsia" w:ascii="Times New Roman" w:hAnsi="Times New Roman" w:eastAsia="方正楷体_GBK"/>
          <w:b w:val="0"/>
          <w:sz w:val="24"/>
          <w:szCs w:val="24"/>
        </w:rPr>
        <w:t>〕</w:t>
      </w:r>
      <w:r>
        <w:rPr>
          <w:rFonts w:ascii="Times New Roman" w:hAnsi="Times New Roman" w:eastAsia="方正楷体_GBK"/>
          <w:b w:val="0"/>
          <w:sz w:val="24"/>
          <w:szCs w:val="24"/>
        </w:rPr>
        <w:t>95</w:t>
      </w:r>
      <w:r>
        <w:rPr>
          <w:rFonts w:hint="eastAsia" w:ascii="Times New Roman" w:hAnsi="Times New Roman" w:eastAsia="方正楷体_GBK"/>
          <w:b w:val="0"/>
          <w:sz w:val="24"/>
          <w:szCs w:val="24"/>
        </w:rPr>
        <w:t>号</w:t>
      </w:r>
      <w:bookmarkEnd w:id="104"/>
      <w:bookmarkEnd w:id="105"/>
    </w:p>
    <w:p>
      <w:pPr>
        <w:spacing w:line="460" w:lineRule="exact"/>
        <w:rPr>
          <w:rFonts w:eastAsia="方正仿宋_GBK"/>
          <w:color w:val="000000"/>
          <w:spacing w:val="-2"/>
          <w:sz w:val="24"/>
        </w:rPr>
      </w:pPr>
      <w:r>
        <w:rPr>
          <w:rFonts w:hint="eastAsia" w:eastAsia="方正仿宋_GBK"/>
          <w:color w:val="000000"/>
          <w:spacing w:val="-2"/>
          <w:sz w:val="24"/>
        </w:rPr>
        <w:t>各市住房和城乡建设局，无锡市市政和园林局，徐州、苏州、宿迁市水务局：</w:t>
      </w:r>
    </w:p>
    <w:p>
      <w:pPr>
        <w:spacing w:line="460" w:lineRule="exact"/>
        <w:rPr>
          <w:rFonts w:eastAsia="方正仿宋_GBK"/>
          <w:color w:val="000000"/>
          <w:spacing w:val="-2"/>
          <w:sz w:val="24"/>
        </w:rPr>
      </w:pPr>
      <w:r>
        <w:rPr>
          <w:rFonts w:eastAsia="方正仿宋_GBK"/>
          <w:color w:val="000000"/>
          <w:spacing w:val="-2"/>
          <w:sz w:val="24"/>
        </w:rPr>
        <w:t xml:space="preserve">    </w:t>
      </w:r>
      <w:r>
        <w:rPr>
          <w:rFonts w:hint="eastAsia" w:eastAsia="方正仿宋_GBK"/>
          <w:color w:val="000000"/>
          <w:spacing w:val="-2"/>
          <w:sz w:val="24"/>
        </w:rPr>
        <w:t>近年来，全省各地普遍加大了城乡饮用水安全保障工作力度，建设了一批饮用水安全保供工程，制定实施了一系列行之有效的管理措施，有力保证了城乡居民饮用水安全。但是，我省水生态环境总体上比较脆弱，特别是随着工业化、城市化的加快推进，城乡饮用水安全问题依然十分突出。为进一步加强城乡饮用水安全保障工作，现就有关事项通知如下：</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一、充分认识加强城市饮用水安全保障工作的重要性和紧迫性。</w:t>
      </w:r>
    </w:p>
    <w:p>
      <w:pPr>
        <w:spacing w:line="460" w:lineRule="exact"/>
        <w:ind w:firstLine="472" w:firstLineChars="200"/>
        <w:rPr>
          <w:rFonts w:hint="eastAsia" w:eastAsia="方正仿宋_GBK"/>
          <w:color w:val="000000"/>
          <w:spacing w:val="-2"/>
          <w:sz w:val="24"/>
        </w:rPr>
      </w:pPr>
      <w:r>
        <w:rPr>
          <w:rFonts w:hint="eastAsia" w:eastAsia="方正仿宋_GBK"/>
          <w:color w:val="000000"/>
          <w:spacing w:val="-2"/>
          <w:sz w:val="24"/>
        </w:rPr>
        <w:t>我省地处长江、淮河下游，城市集中式饮用水源地原水水质容易遭受上游客水、汛期农业面源污染和本地突发水污染的影响，饮用水源地水质安全得不到保障；苏中、苏北和里下河地区部分城市供水设施老化，技术管理和水质检测能力薄弱，不能适应原水水质变化和《生活饮用水卫生标准》的实施；乡镇和农村供水安全问题突出；部分城市应急水源尚未建成，城乡饮用水安全的形势不容乐观。保障饮用水安全，提高饮用水水质，直接关系到广大人民群众身体健康和社会稳定，各地要从实践科学发展观和执政为民的高度，充分认识保障城乡居民饮用水安全工作的重要性和紧迫性，切实加强组织领导，全面落实各项供水安全保障措施。</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二、加强供水全过程管理，保障城乡饮用水安全</w:t>
      </w:r>
    </w:p>
    <w:p>
      <w:pPr>
        <w:spacing w:line="460" w:lineRule="exact"/>
        <w:ind w:firstLine="472" w:firstLineChars="200"/>
        <w:rPr>
          <w:rFonts w:hint="eastAsia" w:eastAsia="方正仿宋_GBK"/>
          <w:color w:val="000000"/>
          <w:spacing w:val="-2"/>
          <w:sz w:val="24"/>
        </w:rPr>
      </w:pPr>
      <w:r>
        <w:rPr>
          <w:rFonts w:hint="eastAsia" w:eastAsia="方正仿宋_GBK"/>
          <w:color w:val="000000"/>
          <w:spacing w:val="-2"/>
          <w:sz w:val="24"/>
        </w:rPr>
        <w:t>城乡饮用水安全保障工作涉及水源、自来水厂、输配水管网和二次供水等各个环节，各地要切实加强从源头到龙头的管理，全面保障城乡饮用水安全。</w:t>
      </w:r>
    </w:p>
    <w:p>
      <w:pPr>
        <w:spacing w:line="460" w:lineRule="exact"/>
        <w:ind w:firstLine="472" w:firstLineChars="200"/>
        <w:rPr>
          <w:rFonts w:eastAsia="方正仿宋_GBK"/>
          <w:color w:val="000000"/>
          <w:spacing w:val="-2"/>
          <w:sz w:val="24"/>
        </w:rPr>
      </w:pPr>
      <w:r>
        <w:rPr>
          <w:rFonts w:eastAsia="方正楷体_GBK"/>
          <w:color w:val="000000"/>
          <w:spacing w:val="-2"/>
          <w:sz w:val="24"/>
        </w:rPr>
        <w:t>1</w:t>
      </w:r>
      <w:r>
        <w:rPr>
          <w:rFonts w:hint="eastAsia" w:eastAsia="方正楷体_GBK"/>
          <w:color w:val="000000"/>
          <w:spacing w:val="-2"/>
          <w:sz w:val="24"/>
        </w:rPr>
        <w:t>、加强城市供水水源地水质保护。</w:t>
      </w:r>
      <w:r>
        <w:rPr>
          <w:rFonts w:hint="eastAsia" w:eastAsia="方正仿宋_GBK"/>
          <w:color w:val="000000"/>
          <w:spacing w:val="-2"/>
          <w:sz w:val="24"/>
        </w:rPr>
        <w:t>按照</w:t>
      </w:r>
      <w:r>
        <w:rPr>
          <w:rFonts w:eastAsia="方正仿宋_GBK"/>
          <w:color w:val="000000"/>
          <w:spacing w:val="-2"/>
          <w:sz w:val="24"/>
        </w:rPr>
        <w:t>“</w:t>
      </w:r>
      <w:r>
        <w:rPr>
          <w:rFonts w:hint="eastAsia" w:eastAsia="方正仿宋_GBK"/>
          <w:color w:val="000000"/>
          <w:spacing w:val="-2"/>
          <w:sz w:val="24"/>
        </w:rPr>
        <w:t>谁管理、谁负责</w:t>
      </w:r>
      <w:r>
        <w:rPr>
          <w:rFonts w:eastAsia="方正仿宋_GBK"/>
          <w:color w:val="000000"/>
          <w:spacing w:val="-2"/>
          <w:sz w:val="24"/>
        </w:rPr>
        <w:t>”</w:t>
      </w:r>
      <w:r>
        <w:rPr>
          <w:rFonts w:hint="eastAsia" w:eastAsia="方正仿宋_GBK"/>
          <w:color w:val="000000"/>
          <w:spacing w:val="-2"/>
          <w:sz w:val="24"/>
        </w:rPr>
        <w:t>的原则，对城市供水水源存在的安全隐患进行排查和整改。各级城市供水主管部门要抓紧会同环保、水利等有关部门和供水企业对城市供水水源地保护区内外污染源情况开展详细的调查，摸清城市供水水源汇水区、引水沟（渠）、水库（井）等周边范围内的工业、生活、农业、禽畜养殖等污染源，对各类排污口和排放的主要污染物登记造册，全面掌握污染隐患的情况。</w:t>
      </w:r>
    </w:p>
    <w:p>
      <w:pPr>
        <w:spacing w:line="460" w:lineRule="exact"/>
        <w:ind w:firstLine="472" w:firstLineChars="200"/>
        <w:rPr>
          <w:rFonts w:eastAsia="方正仿宋_GBK"/>
          <w:color w:val="000000"/>
          <w:spacing w:val="-2"/>
          <w:sz w:val="24"/>
        </w:rPr>
      </w:pPr>
      <w:r>
        <w:rPr>
          <w:rFonts w:eastAsia="方正楷体_GBK"/>
          <w:color w:val="000000"/>
          <w:spacing w:val="-2"/>
          <w:sz w:val="24"/>
        </w:rPr>
        <w:t>2</w:t>
      </w:r>
      <w:r>
        <w:rPr>
          <w:rFonts w:hint="eastAsia" w:eastAsia="方正楷体_GBK"/>
          <w:color w:val="000000"/>
          <w:spacing w:val="-2"/>
          <w:sz w:val="24"/>
        </w:rPr>
        <w:t>、加强水质检测能力建设。近</w:t>
      </w:r>
      <w:r>
        <w:rPr>
          <w:rFonts w:hint="eastAsia" w:eastAsia="方正仿宋_GBK"/>
          <w:color w:val="000000"/>
          <w:spacing w:val="-2"/>
          <w:sz w:val="24"/>
        </w:rPr>
        <w:t>年来，突发性水污染事件严重威胁到我省城乡供水安全，对当地经济社会发展和稳定带来不利影响；现行的《生活饮用水卫生标准》检测指标达</w:t>
      </w:r>
      <w:r>
        <w:rPr>
          <w:rFonts w:eastAsia="方正仿宋_GBK"/>
          <w:color w:val="000000"/>
          <w:spacing w:val="-2"/>
          <w:sz w:val="24"/>
        </w:rPr>
        <w:t>106</w:t>
      </w:r>
      <w:r>
        <w:rPr>
          <w:rFonts w:hint="eastAsia" w:eastAsia="方正仿宋_GBK"/>
          <w:color w:val="000000"/>
          <w:spacing w:val="-2"/>
          <w:sz w:val="24"/>
        </w:rPr>
        <w:t>项，原水污染物浓度和种类也在逐年增加。因此，城市供水企业必须加强水质检测能力建设，全力做好水质检测工作，掌握原水水质及其变化情况，及时调整处理工艺和参数。各地要对照《江苏省城市供水企业水质检测实验室等级能力建设指导手册》要求，在规定时间内建立起与供水规模相适应的水质等级化验室。</w:t>
      </w:r>
    </w:p>
    <w:p>
      <w:pPr>
        <w:spacing w:line="460" w:lineRule="exact"/>
        <w:ind w:firstLine="472" w:firstLineChars="200"/>
        <w:rPr>
          <w:rFonts w:eastAsia="方正仿宋_GBK"/>
          <w:color w:val="000000"/>
          <w:spacing w:val="-2"/>
          <w:sz w:val="24"/>
        </w:rPr>
      </w:pPr>
      <w:r>
        <w:rPr>
          <w:rFonts w:eastAsia="方正楷体_GBK"/>
          <w:color w:val="000000"/>
          <w:spacing w:val="-2"/>
          <w:sz w:val="24"/>
        </w:rPr>
        <w:t>3</w:t>
      </w:r>
      <w:r>
        <w:rPr>
          <w:rFonts w:hint="eastAsia" w:eastAsia="方正楷体_GBK"/>
          <w:color w:val="000000"/>
          <w:spacing w:val="-2"/>
          <w:sz w:val="24"/>
        </w:rPr>
        <w:t>、强化城市供水水质检测工作。</w:t>
      </w:r>
      <w:r>
        <w:rPr>
          <w:rFonts w:hint="eastAsia" w:eastAsia="方正仿宋_GBK"/>
          <w:color w:val="000000"/>
          <w:spacing w:val="-2"/>
          <w:sz w:val="24"/>
        </w:rPr>
        <w:t>各地要督促供水企业严格按照《关于进一步加强城市供水水质检测确保城市安全供水的通知》（苏建函城〔</w:t>
      </w:r>
      <w:r>
        <w:rPr>
          <w:rFonts w:eastAsia="方正仿宋_GBK"/>
          <w:color w:val="000000"/>
          <w:spacing w:val="-2"/>
          <w:sz w:val="24"/>
        </w:rPr>
        <w:t>2009</w:t>
      </w:r>
      <w:r>
        <w:rPr>
          <w:rFonts w:hint="eastAsia" w:eastAsia="方正仿宋_GBK"/>
          <w:color w:val="000000"/>
          <w:spacing w:val="-2"/>
          <w:sz w:val="24"/>
        </w:rPr>
        <w:t>〕</w:t>
      </w:r>
      <w:r>
        <w:rPr>
          <w:rFonts w:eastAsia="方正仿宋_GBK"/>
          <w:color w:val="000000"/>
          <w:spacing w:val="-2"/>
          <w:sz w:val="24"/>
        </w:rPr>
        <w:t>139</w:t>
      </w:r>
      <w:r>
        <w:rPr>
          <w:rFonts w:hint="eastAsia" w:eastAsia="方正仿宋_GBK"/>
          <w:color w:val="000000"/>
          <w:spacing w:val="-2"/>
          <w:sz w:val="24"/>
        </w:rPr>
        <w:t>号）文件要求，对原水、沉淀水、滤后水、清水库、出厂水工艺过程的嗅和味、</w:t>
      </w:r>
      <w:r>
        <w:rPr>
          <w:rFonts w:eastAsia="方正仿宋_GBK"/>
          <w:color w:val="000000"/>
          <w:spacing w:val="-2"/>
          <w:sz w:val="24"/>
        </w:rPr>
        <w:t>pH</w:t>
      </w:r>
      <w:r>
        <w:rPr>
          <w:rFonts w:hint="eastAsia" w:eastAsia="方正仿宋_GBK"/>
          <w:color w:val="000000"/>
          <w:spacing w:val="-2"/>
          <w:sz w:val="24"/>
        </w:rPr>
        <w:t>、浊度、余氯、高锰酸盐指数等主要水质指标进行全流程、高频次监测，做到及时发现水质异常，及时做好应急处理工作。</w:t>
      </w:r>
    </w:p>
    <w:p>
      <w:pPr>
        <w:spacing w:line="460" w:lineRule="exact"/>
        <w:ind w:firstLine="472" w:firstLineChars="200"/>
        <w:rPr>
          <w:rFonts w:eastAsia="方正仿宋_GBK"/>
          <w:color w:val="000000"/>
          <w:spacing w:val="-2"/>
          <w:sz w:val="24"/>
        </w:rPr>
      </w:pPr>
      <w:r>
        <w:rPr>
          <w:rFonts w:eastAsia="方正楷体_GBK"/>
          <w:color w:val="000000"/>
          <w:spacing w:val="-2"/>
          <w:sz w:val="24"/>
        </w:rPr>
        <w:t>4</w:t>
      </w:r>
      <w:r>
        <w:rPr>
          <w:rFonts w:hint="eastAsia" w:eastAsia="方正楷体_GBK"/>
          <w:color w:val="000000"/>
          <w:spacing w:val="-2"/>
          <w:sz w:val="24"/>
        </w:rPr>
        <w:t>、落实和完善应急措施</w:t>
      </w:r>
      <w:r>
        <w:rPr>
          <w:rFonts w:hint="eastAsia" w:eastAsia="方正仿宋_GBK"/>
          <w:color w:val="000000"/>
          <w:spacing w:val="-2"/>
          <w:sz w:val="24"/>
        </w:rPr>
        <w:t>。各地要根据可能发生的各类供水安全事故，进一步完善和落实应急处理预案，做好应急处理设备的维护保养、应急处理药剂的储备，备足备齐各类抢修物资，确保一旦发生影响供水安全的事故，能够立即启动。加快应急水源建设，对具备不同水系、有条件建设多水源的城市，必须在今年内建成应急水源并建设必要的取水、净水设施和输水管道，实现净水厂之间的原水互供；对受当地水源条件限制的不具备建设应急水源的城市，按满足居民和重要用水户生活用水量的需求，通过相邻城市的清水管网联通或开采深井水等方式，来保证居民饮用水安全需要。</w:t>
      </w:r>
    </w:p>
    <w:p>
      <w:pPr>
        <w:spacing w:line="460" w:lineRule="exact"/>
        <w:ind w:firstLine="472" w:firstLineChars="200"/>
        <w:rPr>
          <w:rFonts w:eastAsia="方正仿宋_GBK"/>
          <w:color w:val="000000"/>
          <w:spacing w:val="-2"/>
          <w:sz w:val="24"/>
        </w:rPr>
      </w:pPr>
      <w:r>
        <w:rPr>
          <w:rFonts w:eastAsia="方正楷体_GBK"/>
          <w:color w:val="000000"/>
          <w:spacing w:val="-2"/>
          <w:sz w:val="24"/>
        </w:rPr>
        <w:t>5</w:t>
      </w:r>
      <w:r>
        <w:rPr>
          <w:rFonts w:hint="eastAsia" w:eastAsia="方正楷体_GBK"/>
          <w:color w:val="000000"/>
          <w:spacing w:val="-2"/>
          <w:sz w:val="24"/>
        </w:rPr>
        <w:t>、建立完善部门联动机制。</w:t>
      </w:r>
      <w:r>
        <w:rPr>
          <w:rFonts w:hint="eastAsia" w:eastAsia="方正仿宋_GBK"/>
          <w:color w:val="000000"/>
          <w:spacing w:val="-2"/>
          <w:sz w:val="24"/>
        </w:rPr>
        <w:t>各地城市供水主管部门要密切与环保、水利部门的协调和配合，在水源地保护区内外和取水口安装的水质在线检测仪器要联网，实现水质监测信息实时共享；配合环保等部门做好集中式饮用水源地保护区内外水质污染风险的排查，根据存在的安全隐患情况，制定相应的应急处理方案；建立水源地日常巡查机制，加大对特征污染物的检测频率，争取做到早监测、早发现、早告知、早处理。</w:t>
      </w:r>
    </w:p>
    <w:p>
      <w:pPr>
        <w:spacing w:line="460" w:lineRule="exact"/>
        <w:ind w:firstLine="472" w:firstLineChars="200"/>
        <w:rPr>
          <w:rFonts w:eastAsia="方正仿宋_GBK"/>
          <w:color w:val="000000"/>
          <w:spacing w:val="-2"/>
          <w:sz w:val="24"/>
        </w:rPr>
      </w:pPr>
      <w:r>
        <w:rPr>
          <w:rFonts w:eastAsia="方正楷体_GBK"/>
          <w:color w:val="000000"/>
          <w:spacing w:val="-2"/>
          <w:sz w:val="24"/>
        </w:rPr>
        <w:t>6</w:t>
      </w:r>
      <w:r>
        <w:rPr>
          <w:rFonts w:hint="eastAsia" w:eastAsia="方正楷体_GBK"/>
          <w:color w:val="000000"/>
          <w:spacing w:val="-2"/>
          <w:sz w:val="24"/>
        </w:rPr>
        <w:t>、严格供水安全值班和报告制度。</w:t>
      </w:r>
      <w:r>
        <w:rPr>
          <w:rFonts w:hint="eastAsia" w:eastAsia="方正仿宋_GBK"/>
          <w:color w:val="000000"/>
          <w:spacing w:val="-2"/>
          <w:sz w:val="24"/>
        </w:rPr>
        <w:t>各地要严格落实供水安全值班和报告制度，在重要节假日和重大活动期间，各级分管领导和供水企业领导要亲自带班，遇到突发供水安全事故，要立即按规定程序上报。各级供水主管部门会同环保、公安、海事、水利、交通等部门和供水企业建立联动预警机制，加强信息沟通和合作，做好供水安全的反恐防范和应急处理工作，确保城市供水安全。</w:t>
      </w:r>
    </w:p>
    <w:p>
      <w:pPr>
        <w:spacing w:line="460" w:lineRule="exact"/>
        <w:ind w:firstLine="472" w:firstLineChars="200"/>
        <w:rPr>
          <w:rFonts w:eastAsia="方正仿宋_GBK"/>
          <w:color w:val="000000"/>
          <w:spacing w:val="-2"/>
          <w:sz w:val="24"/>
        </w:rPr>
      </w:pPr>
      <w:r>
        <w:rPr>
          <w:rFonts w:eastAsia="方正楷体_GBK"/>
          <w:color w:val="000000"/>
          <w:spacing w:val="-2"/>
          <w:sz w:val="24"/>
        </w:rPr>
        <w:t>7</w:t>
      </w:r>
      <w:r>
        <w:rPr>
          <w:rFonts w:hint="eastAsia" w:eastAsia="方正楷体_GBK"/>
          <w:color w:val="000000"/>
          <w:spacing w:val="-2"/>
          <w:sz w:val="24"/>
        </w:rPr>
        <w:t>、加快供水设施的改造步伐</w:t>
      </w:r>
      <w:r>
        <w:rPr>
          <w:rFonts w:hint="eastAsia" w:eastAsia="方正仿宋_GBK"/>
          <w:color w:val="000000"/>
          <w:spacing w:val="-2"/>
          <w:sz w:val="24"/>
        </w:rPr>
        <w:t>。各地要对照实施《生活饮用水卫生标准》要求，对现有水处理工艺、设施处理能力和输配水管网进行评估，特别是苏中里下河地区、苏北地区以内河水为原水的城市，必须立即开展自来水深度处理工艺改造和处理能力建设，提高供水水质；积极开展城市供水管网的建设和改造，减少供水管网漏损和二次供水污染，增强供水的稳定性。同时，加强对城市供水重要设施的巡查，重点做好水源地、水厂、增压泵站、主要输水管线等重要供水设施的巡查和保护工作，落实和完善防护措施，强化安保管理制度，提高安全防范能力。</w:t>
      </w:r>
    </w:p>
    <w:p>
      <w:pPr>
        <w:spacing w:line="460" w:lineRule="exact"/>
        <w:ind w:firstLine="472" w:firstLineChars="200"/>
        <w:rPr>
          <w:rFonts w:eastAsia="方正仿宋_GBK"/>
          <w:color w:val="000000"/>
          <w:spacing w:val="-2"/>
          <w:sz w:val="24"/>
        </w:rPr>
      </w:pPr>
      <w:r>
        <w:rPr>
          <w:rFonts w:eastAsia="方正楷体_GBK"/>
          <w:color w:val="000000"/>
          <w:spacing w:val="-2"/>
          <w:sz w:val="24"/>
        </w:rPr>
        <w:t>8</w:t>
      </w:r>
      <w:r>
        <w:rPr>
          <w:rFonts w:hint="eastAsia" w:eastAsia="方正楷体_GBK"/>
          <w:color w:val="000000"/>
          <w:spacing w:val="-2"/>
          <w:sz w:val="24"/>
        </w:rPr>
        <w:t>、加快推进区域供水规划的实施</w:t>
      </w:r>
      <w:r>
        <w:rPr>
          <w:rFonts w:hint="eastAsia" w:eastAsia="方正仿宋_GBK"/>
          <w:color w:val="000000"/>
          <w:spacing w:val="-2"/>
          <w:sz w:val="24"/>
        </w:rPr>
        <w:t>。区域供水是解决乡镇和农村饮用水安全的根本出路，各地要按照环境基础设施建设目标责任状的要求，结合实施</w:t>
      </w:r>
      <w:r>
        <w:rPr>
          <w:rFonts w:eastAsia="方正仿宋_GBK"/>
          <w:color w:val="000000"/>
          <w:spacing w:val="-2"/>
          <w:sz w:val="24"/>
        </w:rPr>
        <w:t>“</w:t>
      </w:r>
      <w:r>
        <w:rPr>
          <w:rFonts w:hint="eastAsia" w:eastAsia="方正仿宋_GBK"/>
          <w:color w:val="000000"/>
          <w:spacing w:val="-2"/>
          <w:sz w:val="24"/>
        </w:rPr>
        <w:t>农村饮用水安全工程</w:t>
      </w:r>
      <w:r>
        <w:rPr>
          <w:rFonts w:eastAsia="方正仿宋_GBK"/>
          <w:color w:val="000000"/>
          <w:spacing w:val="-2"/>
          <w:sz w:val="24"/>
        </w:rPr>
        <w:t>”</w:t>
      </w:r>
      <w:r>
        <w:rPr>
          <w:rFonts w:hint="eastAsia" w:eastAsia="方正仿宋_GBK"/>
          <w:color w:val="000000"/>
          <w:spacing w:val="-2"/>
          <w:sz w:val="24"/>
        </w:rPr>
        <w:t>，继续加快实施区域供水规划，加快推进区域集中供水设施和管网建设，以城带乡扩大镇村受益范围，不断提高区域集中供水的覆盖面。</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三、切实加强对饮用水安全保障工作的组织领导</w:t>
      </w:r>
    </w:p>
    <w:p>
      <w:pPr>
        <w:spacing w:line="460" w:lineRule="exact"/>
        <w:ind w:firstLine="462" w:firstLineChars="196"/>
        <w:rPr>
          <w:rFonts w:hint="eastAsia" w:eastAsia="方正仿宋_GBK"/>
          <w:color w:val="000000"/>
          <w:spacing w:val="-2"/>
          <w:sz w:val="24"/>
        </w:rPr>
      </w:pPr>
      <w:r>
        <w:rPr>
          <w:rFonts w:hint="eastAsia" w:eastAsia="方正仿宋_GBK"/>
          <w:color w:val="000000"/>
          <w:spacing w:val="-2"/>
          <w:sz w:val="24"/>
        </w:rPr>
        <w:t>坚持政府统一领导，部门相互配合的工作原则。饮用水安全管理涉及环保、建设、水利、卫生、交通等多个部门，关系到当地人民群众的生产生活和社会稳定。各地要切实加强对这项工作的组织领导，严格落实饮用水安全保障工作责任制，按照《省政府办公厅关于切实加强饮用水安全监管工作的通知》（苏政办发〔</w:t>
      </w:r>
      <w:r>
        <w:rPr>
          <w:rFonts w:eastAsia="方正仿宋_GBK"/>
          <w:color w:val="000000"/>
          <w:spacing w:val="-2"/>
          <w:sz w:val="24"/>
        </w:rPr>
        <w:t>2009</w:t>
      </w:r>
      <w:r>
        <w:rPr>
          <w:rFonts w:hint="eastAsia" w:eastAsia="方正仿宋_GBK"/>
          <w:color w:val="000000"/>
          <w:spacing w:val="-2"/>
          <w:sz w:val="24"/>
        </w:rPr>
        <w:t>〕</w:t>
      </w:r>
      <w:r>
        <w:rPr>
          <w:rFonts w:eastAsia="方正仿宋_GBK"/>
          <w:color w:val="000000"/>
          <w:spacing w:val="-2"/>
          <w:sz w:val="24"/>
        </w:rPr>
        <w:t>54</w:t>
      </w:r>
      <w:r>
        <w:rPr>
          <w:rFonts w:hint="eastAsia" w:eastAsia="方正仿宋_GBK"/>
          <w:color w:val="000000"/>
          <w:spacing w:val="-2"/>
          <w:sz w:val="24"/>
        </w:rPr>
        <w:t>号）文件要求，紧密结合本地实际，建立健全管理制度，形成政府统一领导、部门各负其责的工作机制，全面落实饮用水安全的各项目标。各有关职能部门要密切配合，相互协作，真正形成保障饮用水安全的合力，共同做好饮用水安全保障工作。</w:t>
      </w:r>
    </w:p>
    <w:p>
      <w:pPr>
        <w:spacing w:line="460" w:lineRule="exact"/>
        <w:ind w:firstLine="462" w:firstLineChars="196"/>
        <w:rPr>
          <w:rFonts w:eastAsia="方正仿宋_GBK"/>
          <w:color w:val="000000"/>
          <w:spacing w:val="-2"/>
          <w:sz w:val="24"/>
        </w:rPr>
      </w:pPr>
      <w:r>
        <w:rPr>
          <w:rFonts w:hint="eastAsia" w:eastAsia="方正仿宋_GBK"/>
          <w:color w:val="000000"/>
          <w:spacing w:val="-2"/>
          <w:sz w:val="24"/>
        </w:rPr>
        <w:t>各地城市供水主管部门和城市供水企业要建立饮用水安全责任制，按照日常预防为主、应急处置为辅、监测预警前移的原则，建立、健全安全生产管理制度；配合相关职能部门，对饮用水各个环节中存在的安全隐患进行全面排查，对存在安全隐患的，要尽快提出整改和防范措施。对于因管理责任不落实、整改措施不到位而发生事故的，要严肃追究有关人员的责任。</w:t>
      </w:r>
    </w:p>
    <w:p>
      <w:pPr>
        <w:spacing w:line="460" w:lineRule="exact"/>
        <w:ind w:firstLine="462" w:firstLineChars="196"/>
        <w:jc w:val="right"/>
        <w:rPr>
          <w:rFonts w:eastAsia="方正仿宋_GBK"/>
          <w:color w:val="000000"/>
          <w:spacing w:val="-2"/>
          <w:sz w:val="24"/>
        </w:rPr>
      </w:pPr>
    </w:p>
    <w:p>
      <w:pPr>
        <w:wordWrap w:val="0"/>
        <w:spacing w:line="460" w:lineRule="exact"/>
        <w:ind w:firstLine="462" w:firstLineChars="196"/>
        <w:jc w:val="right"/>
        <w:rPr>
          <w:rFonts w:eastAsia="方正仿宋_GBK"/>
          <w:color w:val="000000"/>
          <w:spacing w:val="-2"/>
          <w:sz w:val="24"/>
        </w:rPr>
      </w:pPr>
      <w:r>
        <w:rPr>
          <w:rFonts w:hint="eastAsia" w:eastAsia="方正仿宋_GBK"/>
          <w:color w:val="000000"/>
          <w:spacing w:val="-2"/>
          <w:sz w:val="24"/>
        </w:rPr>
        <w:t>江苏省住房和城乡建设厅</w:t>
      </w:r>
      <w:r>
        <w:rPr>
          <w:rFonts w:eastAsia="方正仿宋_GBK"/>
          <w:color w:val="000000"/>
          <w:spacing w:val="-2"/>
          <w:sz w:val="24"/>
        </w:rPr>
        <w:t xml:space="preserve">   </w:t>
      </w:r>
    </w:p>
    <w:p>
      <w:pPr>
        <w:wordWrap w:val="0"/>
        <w:spacing w:line="460" w:lineRule="exact"/>
        <w:ind w:firstLine="462" w:firstLineChars="196"/>
        <w:jc w:val="right"/>
        <w:rPr>
          <w:rFonts w:eastAsia="方正仿宋_GBK"/>
          <w:color w:val="000000"/>
          <w:spacing w:val="-2"/>
          <w:sz w:val="24"/>
        </w:rPr>
      </w:pPr>
      <w:r>
        <w:rPr>
          <w:rFonts w:hint="eastAsia" w:eastAsia="方正仿宋_GBK"/>
          <w:color w:val="000000"/>
          <w:spacing w:val="-2"/>
          <w:sz w:val="24"/>
        </w:rPr>
        <w:t>二○一○年三月二十二日</w:t>
      </w:r>
      <w:r>
        <w:rPr>
          <w:rFonts w:eastAsia="方正仿宋_GBK"/>
          <w:color w:val="000000"/>
          <w:spacing w:val="-2"/>
          <w:sz w:val="24"/>
        </w:rPr>
        <w:t xml:space="preserve">   </w:t>
      </w:r>
    </w:p>
    <w:p>
      <w:pPr>
        <w:spacing w:line="460" w:lineRule="exact"/>
        <w:ind w:firstLine="462" w:firstLineChars="196"/>
        <w:rPr>
          <w:rFonts w:eastAsia="方正仿宋_GBK"/>
          <w:color w:val="000000"/>
          <w:spacing w:val="-2"/>
          <w:sz w:val="24"/>
        </w:rPr>
      </w:pPr>
    </w:p>
    <w:p>
      <w:pPr>
        <w:spacing w:line="440" w:lineRule="exact"/>
        <w:rPr>
          <w:rFonts w:eastAsia="方正仿宋_GBK"/>
          <w:color w:val="000000"/>
          <w:spacing w:val="-2"/>
          <w:sz w:val="24"/>
        </w:rPr>
      </w:pPr>
    </w:p>
    <w:p>
      <w:pPr>
        <w:pStyle w:val="2"/>
        <w:spacing w:before="240" w:beforeLines="100" w:after="240" w:afterLines="100" w:line="240" w:lineRule="auto"/>
        <w:jc w:val="center"/>
        <w:rPr>
          <w:rFonts w:ascii="Times New Roman" w:eastAsia="方正小标宋_GBK"/>
          <w:b w:val="0"/>
          <w:sz w:val="36"/>
          <w:szCs w:val="36"/>
        </w:rPr>
      </w:pPr>
      <w:bookmarkStart w:id="106" w:name="_Toc20726338"/>
      <w:bookmarkStart w:id="107" w:name="_Toc18315419"/>
      <w:r>
        <w:rPr>
          <w:rFonts w:hint="eastAsia" w:ascii="Times New Roman" w:eastAsia="方正小标宋_GBK"/>
          <w:b w:val="0"/>
          <w:sz w:val="36"/>
          <w:szCs w:val="36"/>
        </w:rPr>
        <w:t>关于进一步规范管道燃气用户设施安全检查工作的通知</w:t>
      </w:r>
      <w:bookmarkEnd w:id="106"/>
      <w:bookmarkEnd w:id="107"/>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108" w:name="_Toc18315420"/>
      <w:bookmarkStart w:id="109" w:name="_Toc20726339"/>
      <w:r>
        <w:rPr>
          <w:rFonts w:hint="eastAsia" w:ascii="Times New Roman" w:hAnsi="Times New Roman" w:eastAsia="方正楷体_GBK"/>
          <w:b w:val="0"/>
          <w:sz w:val="24"/>
          <w:szCs w:val="24"/>
        </w:rPr>
        <w:t>苏建函城〔</w:t>
      </w:r>
      <w:r>
        <w:rPr>
          <w:rFonts w:ascii="Times New Roman" w:hAnsi="Times New Roman" w:eastAsia="方正楷体_GBK"/>
          <w:b w:val="0"/>
          <w:sz w:val="24"/>
          <w:szCs w:val="24"/>
        </w:rPr>
        <w:t>2010</w:t>
      </w:r>
      <w:r>
        <w:rPr>
          <w:rFonts w:hint="eastAsia" w:ascii="Times New Roman" w:hAnsi="Times New Roman" w:eastAsia="方正楷体_GBK"/>
          <w:b w:val="0"/>
          <w:sz w:val="24"/>
          <w:szCs w:val="24"/>
        </w:rPr>
        <w:t>〕</w:t>
      </w:r>
      <w:r>
        <w:rPr>
          <w:rFonts w:ascii="Times New Roman" w:hAnsi="Times New Roman" w:eastAsia="方正楷体_GBK"/>
          <w:b w:val="0"/>
          <w:sz w:val="24"/>
          <w:szCs w:val="24"/>
        </w:rPr>
        <w:t>176</w:t>
      </w:r>
      <w:r>
        <w:rPr>
          <w:rFonts w:hint="eastAsia" w:ascii="Times New Roman" w:hAnsi="Times New Roman" w:eastAsia="方正楷体_GBK"/>
          <w:b w:val="0"/>
          <w:sz w:val="24"/>
          <w:szCs w:val="24"/>
        </w:rPr>
        <w:t>号</w:t>
      </w:r>
      <w:bookmarkEnd w:id="108"/>
      <w:bookmarkEnd w:id="109"/>
    </w:p>
    <w:p>
      <w:pPr>
        <w:spacing w:line="460" w:lineRule="exact"/>
        <w:rPr>
          <w:rFonts w:eastAsia="方正仿宋_GBK"/>
          <w:color w:val="000000"/>
          <w:spacing w:val="-2"/>
          <w:sz w:val="24"/>
        </w:rPr>
      </w:pPr>
      <w:r>
        <w:rPr>
          <w:rFonts w:hint="eastAsia" w:eastAsia="方正仿宋_GBK"/>
          <w:color w:val="000000"/>
          <w:spacing w:val="-2"/>
          <w:sz w:val="24"/>
        </w:rPr>
        <w:t>各市、县建设局（委）、市政（园林）局：</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为贯彻落实国家和省有关管道燃气用户设施安全检查制度，规范管道燃气供应企业的安检行为，确保燃气用户的使用安全，保障人民生命财产安全，现就进一步加强管道燃气用户设施安全检查工作提出如下意见，请各地结合实际贯彻落实。</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一、强化燃气用户设施的定期检查。</w:t>
      </w:r>
      <w:r>
        <w:rPr>
          <w:rFonts w:hint="eastAsia" w:eastAsia="方正仿宋_GBK"/>
          <w:color w:val="000000"/>
          <w:spacing w:val="-2"/>
          <w:sz w:val="24"/>
        </w:rPr>
        <w:t>根据《江苏省燃气管理条例》、《城镇燃气设施运行、维护和抢修安全技术规程》（</w:t>
      </w:r>
      <w:r>
        <w:rPr>
          <w:rFonts w:eastAsia="方正仿宋_GBK"/>
          <w:color w:val="000000"/>
          <w:spacing w:val="-2"/>
          <w:sz w:val="24"/>
        </w:rPr>
        <w:t>CJJ51</w:t>
      </w:r>
      <w:r>
        <w:rPr>
          <w:rFonts w:hint="eastAsia" w:eastAsia="方正仿宋_GBK"/>
          <w:color w:val="000000"/>
          <w:spacing w:val="-2"/>
          <w:sz w:val="24"/>
        </w:rPr>
        <w:t>）、《江苏省城镇燃气服务质量标准》的规定，各地燃气行政主管部门应督促管道燃气供应企业强化对燃气计量仪表、管道及其附属设施、燃气器具等燃气用户设施使用情况的定期检查工作。对商业用户、工业用户等非居民用户的检查每年不得少于</w:t>
      </w:r>
      <w:r>
        <w:rPr>
          <w:rFonts w:eastAsia="方正仿宋_GBK"/>
          <w:color w:val="000000"/>
          <w:spacing w:val="-2"/>
          <w:sz w:val="24"/>
        </w:rPr>
        <w:t>1</w:t>
      </w:r>
      <w:r>
        <w:rPr>
          <w:rFonts w:hint="eastAsia" w:eastAsia="方正仿宋_GBK"/>
          <w:color w:val="000000"/>
          <w:spacing w:val="-2"/>
          <w:sz w:val="24"/>
        </w:rPr>
        <w:t>次，对居民用户的检查每</w:t>
      </w:r>
      <w:r>
        <w:rPr>
          <w:rFonts w:eastAsia="方正仿宋_GBK"/>
          <w:color w:val="000000"/>
          <w:spacing w:val="-2"/>
          <w:sz w:val="24"/>
        </w:rPr>
        <w:t>2</w:t>
      </w:r>
      <w:r>
        <w:rPr>
          <w:rFonts w:hint="eastAsia" w:eastAsia="方正仿宋_GBK"/>
          <w:color w:val="000000"/>
          <w:spacing w:val="-2"/>
          <w:sz w:val="24"/>
        </w:rPr>
        <w:t>年不得少于</w:t>
      </w:r>
      <w:r>
        <w:rPr>
          <w:rFonts w:eastAsia="方正仿宋_GBK"/>
          <w:color w:val="000000"/>
          <w:spacing w:val="-2"/>
          <w:sz w:val="24"/>
        </w:rPr>
        <w:t>1</w:t>
      </w:r>
      <w:r>
        <w:rPr>
          <w:rFonts w:hint="eastAsia" w:eastAsia="方正仿宋_GBK"/>
          <w:color w:val="000000"/>
          <w:spacing w:val="-2"/>
          <w:sz w:val="24"/>
        </w:rPr>
        <w:t>次。管道燃气供应企业应按规定的检查频率要求，制定入户安全检查的年度计划、月度计划，并报送当地燃气行政主管部门。为提高入户安检率，企业应提前将分片检查的具体日程安排在居民小区适当的位置或报纸等媒体上发布，做到事先通知；对未能按时完成安检工作的用户，要通过书面通知或其他方式告知再行检查，确保安全检查制度的全面落实。</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二、完善入户检查内容。</w:t>
      </w:r>
      <w:r>
        <w:rPr>
          <w:rFonts w:hint="eastAsia" w:eastAsia="方正仿宋_GBK"/>
          <w:color w:val="000000"/>
          <w:spacing w:val="-2"/>
          <w:sz w:val="24"/>
        </w:rPr>
        <w:t>根据《城镇燃气设施运行、维护和抢修安全技术规程》（</w:t>
      </w:r>
      <w:r>
        <w:rPr>
          <w:rFonts w:eastAsia="方正仿宋_GBK"/>
          <w:color w:val="000000"/>
          <w:spacing w:val="-2"/>
          <w:sz w:val="24"/>
        </w:rPr>
        <w:t>CJJ51</w:t>
      </w:r>
      <w:r>
        <w:rPr>
          <w:rFonts w:hint="eastAsia" w:eastAsia="方正仿宋_GBK"/>
          <w:color w:val="000000"/>
          <w:spacing w:val="-2"/>
          <w:sz w:val="24"/>
        </w:rPr>
        <w:t>）的规定，结合近年来我省燃气用户使用事故的原因分析，管道燃气供应企业入户检查应当包含以下内容：</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、确认用户设施完好，不得有燃气泄漏；</w:t>
      </w:r>
    </w:p>
    <w:p>
      <w:pPr>
        <w:spacing w:line="460" w:lineRule="exact"/>
        <w:ind w:firstLine="472" w:firstLineChars="200"/>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、管道不应被擅自改动、暗埋；</w:t>
      </w:r>
    </w:p>
    <w:p>
      <w:pPr>
        <w:spacing w:line="460" w:lineRule="exact"/>
        <w:ind w:firstLine="472" w:firstLineChars="200"/>
        <w:rPr>
          <w:rFonts w:eastAsia="方正仿宋_GBK"/>
          <w:color w:val="000000"/>
          <w:spacing w:val="-2"/>
          <w:sz w:val="24"/>
        </w:rPr>
      </w:pPr>
      <w:r>
        <w:rPr>
          <w:rFonts w:eastAsia="方正仿宋_GBK"/>
          <w:color w:val="000000"/>
          <w:spacing w:val="-2"/>
          <w:sz w:val="24"/>
        </w:rPr>
        <w:t>3</w:t>
      </w:r>
      <w:r>
        <w:rPr>
          <w:rFonts w:hint="eastAsia" w:eastAsia="方正仿宋_GBK"/>
          <w:color w:val="000000"/>
          <w:spacing w:val="-2"/>
          <w:sz w:val="24"/>
        </w:rPr>
        <w:t>、管道无锈蚀、重物搭挂；</w:t>
      </w:r>
    </w:p>
    <w:p>
      <w:pPr>
        <w:spacing w:line="460" w:lineRule="exact"/>
        <w:ind w:firstLine="472" w:firstLineChars="200"/>
        <w:rPr>
          <w:rFonts w:eastAsia="方正仿宋_GBK"/>
          <w:color w:val="000000"/>
          <w:spacing w:val="-2"/>
          <w:sz w:val="24"/>
        </w:rPr>
      </w:pPr>
      <w:r>
        <w:rPr>
          <w:rFonts w:eastAsia="方正仿宋_GBK"/>
          <w:color w:val="000000"/>
          <w:spacing w:val="-2"/>
          <w:sz w:val="24"/>
        </w:rPr>
        <w:t>4</w:t>
      </w:r>
      <w:r>
        <w:rPr>
          <w:rFonts w:hint="eastAsia" w:eastAsia="方正仿宋_GBK"/>
          <w:color w:val="000000"/>
          <w:spacing w:val="-2"/>
          <w:sz w:val="24"/>
        </w:rPr>
        <w:t>、连接软管应安装牢固，不应超长、老化，并在有效期内使用；</w:t>
      </w:r>
    </w:p>
    <w:p>
      <w:pPr>
        <w:spacing w:line="460" w:lineRule="exact"/>
        <w:ind w:firstLine="472" w:firstLineChars="200"/>
        <w:rPr>
          <w:rFonts w:eastAsia="方正仿宋_GBK"/>
          <w:color w:val="000000"/>
          <w:spacing w:val="-2"/>
          <w:sz w:val="24"/>
        </w:rPr>
      </w:pPr>
      <w:r>
        <w:rPr>
          <w:rFonts w:eastAsia="方正仿宋_GBK"/>
          <w:color w:val="000000"/>
          <w:spacing w:val="-2"/>
          <w:sz w:val="24"/>
        </w:rPr>
        <w:t>5</w:t>
      </w:r>
      <w:r>
        <w:rPr>
          <w:rFonts w:hint="eastAsia" w:eastAsia="方正仿宋_GBK"/>
          <w:color w:val="000000"/>
          <w:spacing w:val="-2"/>
          <w:sz w:val="24"/>
        </w:rPr>
        <w:t>、阀门应完好有效，操作方便、灵活；</w:t>
      </w:r>
    </w:p>
    <w:p>
      <w:pPr>
        <w:spacing w:line="460" w:lineRule="exact"/>
        <w:ind w:firstLine="472" w:firstLineChars="200"/>
        <w:rPr>
          <w:rFonts w:eastAsia="方正仿宋_GBK"/>
          <w:color w:val="000000"/>
          <w:spacing w:val="-2"/>
          <w:sz w:val="24"/>
        </w:rPr>
      </w:pPr>
      <w:r>
        <w:rPr>
          <w:rFonts w:eastAsia="方正仿宋_GBK"/>
          <w:color w:val="000000"/>
          <w:spacing w:val="-2"/>
          <w:sz w:val="24"/>
        </w:rPr>
        <w:t>6</w:t>
      </w:r>
      <w:r>
        <w:rPr>
          <w:rFonts w:hint="eastAsia" w:eastAsia="方正仿宋_GBK"/>
          <w:color w:val="000000"/>
          <w:spacing w:val="-2"/>
          <w:sz w:val="24"/>
        </w:rPr>
        <w:t>、用气设备应符合安装、使用规定，燃气灶具和热水器应在国家规定的使用期内，排烟烟道和热水器的连接可靠、排烟通畅，禁止使用直排式热水器；</w:t>
      </w:r>
    </w:p>
    <w:p>
      <w:pPr>
        <w:spacing w:line="460" w:lineRule="exact"/>
        <w:ind w:firstLine="472" w:firstLineChars="200"/>
        <w:rPr>
          <w:rFonts w:eastAsia="方正仿宋_GBK"/>
          <w:color w:val="000000"/>
          <w:spacing w:val="-2"/>
          <w:sz w:val="24"/>
        </w:rPr>
      </w:pPr>
      <w:r>
        <w:rPr>
          <w:rFonts w:eastAsia="方正仿宋_GBK"/>
          <w:color w:val="000000"/>
          <w:spacing w:val="-2"/>
          <w:sz w:val="24"/>
        </w:rPr>
        <w:t>7</w:t>
      </w:r>
      <w:r>
        <w:rPr>
          <w:rFonts w:hint="eastAsia" w:eastAsia="方正仿宋_GBK"/>
          <w:color w:val="000000"/>
          <w:spacing w:val="-2"/>
          <w:sz w:val="24"/>
        </w:rPr>
        <w:t>、计量仪表完好。</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为便于各地开展好此项工作，我厅根据国家规定细化并确定了管道燃气居民用户安全检查的主要内容（见附件），请各地结合实际补充完善，制定规范的入户安全检查记录表。</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三、规范入户检查行为。</w:t>
      </w:r>
      <w:r>
        <w:rPr>
          <w:rFonts w:hint="eastAsia" w:eastAsia="方正仿宋_GBK"/>
          <w:color w:val="000000"/>
          <w:spacing w:val="-2"/>
          <w:sz w:val="24"/>
        </w:rPr>
        <w:t>为做好入户安检工作，管道燃气供应企业应配备经过专业培训、熟知安检内容和安检要求的入户安检人员。安检人员入户检查时应佩带有效证件，配备必要的检查仪器、工具；做好入户安检记录，安检记录表中的每一项内容都必须认真填写，不得漏记、少记或不记，记录表一式两份，经安检人员和用户签字确认后，一份交用户保存，一份由企业留存。安检人员在做好用户设施安全检查的同时，应向用户宣传必须遵守的有关法律、规范、规程的规定。发现用户违反安全用气规定的，应当及时劝阻、制止，避免燃气事故的发生。</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四、加大用户设施安全隐患的整治力度。</w:t>
      </w:r>
      <w:r>
        <w:rPr>
          <w:rFonts w:hint="eastAsia" w:eastAsia="方正仿宋_GBK"/>
          <w:color w:val="000000"/>
          <w:spacing w:val="-2"/>
          <w:sz w:val="24"/>
        </w:rPr>
        <w:t>对在入户安全检查中发现的安全隐患，应根据《江苏省燃气管理条例》第三十二条的规定及时维护、更新。凡属企业维护、更新的设施，燃气企业应安排专业维修人员及时修复到位；对属用户维护、更新的设施，燃气企业应及时下达隐患限期整改通知书，整改通知书一式两份，由用户签收备查。安检中发现用户设施有燃气泄漏的，必须立即处理；未作处理，安检人员不得离开。各地燃气行政主管部门应督促管道燃气供应企业定期汇总分析用户设施安全检查情况，及时跟踪用户隐患整改情况；对未按规定期限整改的用户，要进一步采取措施确保隐患整改落实到位。</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五、做好安全用气的宣传教育。</w:t>
      </w:r>
      <w:r>
        <w:rPr>
          <w:rFonts w:hint="eastAsia" w:eastAsia="方正仿宋_GBK"/>
          <w:color w:val="000000"/>
          <w:spacing w:val="-2"/>
          <w:sz w:val="24"/>
        </w:rPr>
        <w:t>各地燃气主管部门和燃气企业要充分利用橱窗、报刊、电视等各种舆论工具和抄表收费安全告知单，切实做好用户安全用气的宣传教育。要向用户宣传必须遵守的安全管理规定，教育用户正确使用户内燃气设施、正确选择燃气用具、出现异常情况和意外事故时应采取的紧急处理措施，普及用户安全使用常识，增强用户遵章守纪的自觉性和自我保护的意识，保障城市燃气使用安全。</w:t>
      </w:r>
    </w:p>
    <w:p>
      <w:pPr>
        <w:spacing w:line="460" w:lineRule="exact"/>
        <w:ind w:firstLine="472" w:firstLineChars="200"/>
        <w:rPr>
          <w:rFonts w:eastAsia="方正仿宋_GBK"/>
          <w:color w:val="000000"/>
          <w:spacing w:val="-2"/>
          <w:sz w:val="24"/>
        </w:rPr>
      </w:pP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附件：管道燃气居民用户安检主要内容。</w:t>
      </w:r>
    </w:p>
    <w:p>
      <w:pPr>
        <w:spacing w:line="460" w:lineRule="exact"/>
        <w:ind w:firstLine="660"/>
        <w:rPr>
          <w:rFonts w:eastAsia="方正仿宋_GBK"/>
          <w:color w:val="000000"/>
          <w:spacing w:val="-2"/>
          <w:sz w:val="24"/>
        </w:rPr>
      </w:pPr>
    </w:p>
    <w:p>
      <w:pPr>
        <w:wordWrap w:val="0"/>
        <w:spacing w:line="460" w:lineRule="exact"/>
        <w:ind w:right="38"/>
        <w:jc w:val="right"/>
        <w:rPr>
          <w:rFonts w:eastAsia="方正仿宋_GBK"/>
          <w:color w:val="000000"/>
          <w:spacing w:val="-2"/>
          <w:sz w:val="24"/>
        </w:rPr>
      </w:pPr>
      <w:r>
        <w:rPr>
          <w:rFonts w:hint="eastAsia" w:eastAsia="方正仿宋_GBK"/>
          <w:color w:val="000000"/>
          <w:spacing w:val="-2"/>
          <w:sz w:val="24"/>
        </w:rPr>
        <w:t>江苏省住房和城乡建设厅</w:t>
      </w:r>
      <w:r>
        <w:rPr>
          <w:rFonts w:eastAsia="方正仿宋_GBK"/>
          <w:color w:val="000000"/>
          <w:spacing w:val="-2"/>
          <w:sz w:val="24"/>
        </w:rPr>
        <w:t xml:space="preserve">    </w:t>
      </w:r>
    </w:p>
    <w:p>
      <w:pPr>
        <w:wordWrap w:val="0"/>
        <w:spacing w:line="460" w:lineRule="exact"/>
        <w:ind w:right="38"/>
        <w:jc w:val="right"/>
        <w:rPr>
          <w:rFonts w:eastAsia="方正仿宋_GBK"/>
          <w:color w:val="000000"/>
          <w:spacing w:val="-2"/>
          <w:sz w:val="24"/>
        </w:rPr>
      </w:pPr>
      <w:r>
        <w:rPr>
          <w:rFonts w:hint="eastAsia" w:eastAsia="方正仿宋_GBK"/>
          <w:color w:val="000000"/>
          <w:spacing w:val="-2"/>
          <w:sz w:val="24"/>
        </w:rPr>
        <w:t>二○一○年三月十七日</w:t>
      </w:r>
      <w:r>
        <w:rPr>
          <w:rFonts w:eastAsia="方正仿宋_GBK"/>
          <w:color w:val="000000"/>
          <w:spacing w:val="-2"/>
          <w:sz w:val="24"/>
        </w:rPr>
        <w:t xml:space="preserve">     </w:t>
      </w:r>
    </w:p>
    <w:p>
      <w:pPr>
        <w:spacing w:line="460" w:lineRule="exact"/>
        <w:rPr>
          <w:rFonts w:ascii="Times New Roman" w:eastAsia="方正黑体_GBK"/>
          <w:color w:val="000000"/>
          <w:spacing w:val="-2"/>
          <w:sz w:val="28"/>
          <w:szCs w:val="28"/>
        </w:rPr>
      </w:pPr>
      <w:r>
        <w:rPr>
          <w:rFonts w:eastAsia="方正仿宋_GBK"/>
          <w:color w:val="000000"/>
          <w:spacing w:val="-2"/>
          <w:sz w:val="24"/>
        </w:rPr>
        <w:br w:type="column"/>
      </w:r>
      <w:r>
        <w:rPr>
          <w:rFonts w:hint="eastAsia" w:ascii="Times New Roman" w:eastAsia="方正黑体_GBK"/>
          <w:color w:val="000000"/>
          <w:spacing w:val="-2"/>
          <w:sz w:val="28"/>
          <w:szCs w:val="28"/>
        </w:rPr>
        <w:t>附件：</w:t>
      </w:r>
    </w:p>
    <w:p>
      <w:pPr>
        <w:spacing w:line="460" w:lineRule="exact"/>
        <w:rPr>
          <w:rFonts w:hint="eastAsia" w:ascii="Times New Roman" w:eastAsia="黑体"/>
          <w:color w:val="000000"/>
          <w:spacing w:val="-2"/>
          <w:sz w:val="32"/>
          <w:szCs w:val="32"/>
        </w:rPr>
      </w:pPr>
    </w:p>
    <w:p>
      <w:pPr>
        <w:jc w:val="center"/>
        <w:rPr>
          <w:rFonts w:hint="eastAsia" w:ascii="Times New Roman" w:eastAsia="方正黑体_GBK"/>
          <w:color w:val="000000"/>
          <w:spacing w:val="-2"/>
          <w:sz w:val="36"/>
          <w:szCs w:val="36"/>
        </w:rPr>
      </w:pPr>
      <w:r>
        <w:rPr>
          <w:rFonts w:hint="eastAsia" w:ascii="Times New Roman" w:eastAsia="方正黑体_GBK"/>
          <w:color w:val="000000"/>
          <w:spacing w:val="-2"/>
          <w:sz w:val="36"/>
          <w:szCs w:val="36"/>
        </w:rPr>
        <w:t>管道燃气居民用户安检主要内容</w:t>
      </w:r>
    </w:p>
    <w:p>
      <w:pPr>
        <w:jc w:val="center"/>
        <w:rPr>
          <w:rFonts w:hint="eastAsia" w:eastAsia="仿宋_GB2312"/>
          <w:b/>
          <w:color w:val="000000"/>
          <w:spacing w:val="-2"/>
          <w:sz w:val="32"/>
          <w:szCs w:val="32"/>
        </w:rPr>
      </w:pPr>
    </w:p>
    <w:p>
      <w:pPr>
        <w:spacing w:line="460" w:lineRule="exact"/>
        <w:ind w:left="472"/>
        <w:rPr>
          <w:rFonts w:ascii="Times New Roman" w:eastAsia="方正黑体_GBK"/>
          <w:color w:val="000000"/>
          <w:spacing w:val="-2"/>
          <w:sz w:val="24"/>
        </w:rPr>
      </w:pPr>
      <w:r>
        <w:rPr>
          <w:rFonts w:hint="eastAsia" w:ascii="Times New Roman" w:eastAsia="方正黑体_GBK"/>
          <w:color w:val="000000"/>
          <w:spacing w:val="-2"/>
          <w:sz w:val="24"/>
        </w:rPr>
        <w:t>一、户内管道</w:t>
      </w:r>
    </w:p>
    <w:p>
      <w:pPr>
        <w:spacing w:line="460" w:lineRule="exact"/>
        <w:ind w:firstLine="472" w:firstLineChars="200"/>
        <w:rPr>
          <w:rFonts w:hint="eastAsia"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、表前管道（如有）：</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明设</w:t>
      </w:r>
      <w:r>
        <w:rPr>
          <w:rFonts w:hint="eastAsia" w:ascii="Times New Roman" w:hAnsi="Times New Roman"/>
          <w:color w:val="000000"/>
          <w:spacing w:val="-2"/>
          <w:sz w:val="24"/>
        </w:rPr>
        <w:t>□</w:t>
      </w:r>
      <w:r>
        <w:rPr>
          <w:rFonts w:hint="eastAsia" w:eastAsia="方正仿宋_GBK"/>
          <w:color w:val="000000"/>
          <w:spacing w:val="-2"/>
          <w:sz w:val="24"/>
        </w:rPr>
        <w:t>；暗设</w:t>
      </w:r>
      <w:r>
        <w:rPr>
          <w:rFonts w:hint="eastAsia" w:ascii="Times New Roman" w:hAnsi="Times New Roman"/>
          <w:color w:val="000000"/>
          <w:spacing w:val="-2"/>
          <w:sz w:val="24"/>
        </w:rPr>
        <w:t>□</w:t>
      </w:r>
      <w:r>
        <w:rPr>
          <w:rFonts w:hint="eastAsia" w:eastAsia="方正仿宋_GBK"/>
          <w:color w:val="000000"/>
          <w:spacing w:val="-2"/>
          <w:sz w:val="24"/>
        </w:rPr>
        <w:t>；暗埋</w:t>
      </w:r>
      <w:r>
        <w:rPr>
          <w:rFonts w:hint="eastAsia" w:ascii="Times New Roman" w:hAnsi="Times New Roman"/>
          <w:color w:val="000000"/>
          <w:spacing w:val="-2"/>
          <w:sz w:val="24"/>
        </w:rPr>
        <w:t>□</w:t>
      </w:r>
      <w:r>
        <w:rPr>
          <w:rFonts w:hint="eastAsia" w:eastAsia="方正仿宋_GBK"/>
          <w:color w:val="000000"/>
          <w:spacing w:val="-2"/>
          <w:sz w:val="24"/>
        </w:rPr>
        <w:t>；半明暗</w:t>
      </w:r>
      <w:r>
        <w:rPr>
          <w:rFonts w:hint="eastAsia" w:ascii="Times New Roman" w:hAnsi="Times New Roman"/>
          <w:color w:val="000000"/>
          <w:spacing w:val="-2"/>
          <w:sz w:val="24"/>
        </w:rPr>
        <w:t>□</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、表后管道：</w:t>
      </w:r>
    </w:p>
    <w:p>
      <w:pPr>
        <w:spacing w:line="460" w:lineRule="exact"/>
        <w:ind w:firstLine="472" w:firstLineChars="200"/>
        <w:rPr>
          <w:rFonts w:eastAsia="方正仿宋_GBK"/>
          <w:color w:val="000000"/>
          <w:spacing w:val="-2"/>
          <w:sz w:val="24"/>
        </w:rPr>
      </w:pPr>
      <w:r>
        <w:rPr>
          <w:rFonts w:eastAsia="方正仿宋_GBK"/>
          <w:color w:val="000000"/>
          <w:spacing w:val="-2"/>
          <w:sz w:val="24"/>
        </w:rPr>
        <w:t>A</w:t>
      </w:r>
      <w:r>
        <w:rPr>
          <w:rFonts w:hint="eastAsia" w:eastAsia="方正仿宋_GBK"/>
          <w:color w:val="000000"/>
          <w:spacing w:val="-2"/>
          <w:sz w:val="24"/>
        </w:rPr>
        <w:t>：管道材质：</w:t>
      </w:r>
    </w:p>
    <w:p>
      <w:pPr>
        <w:spacing w:line="460" w:lineRule="exact"/>
        <w:ind w:firstLine="472" w:firstLineChars="200"/>
        <w:rPr>
          <w:rFonts w:eastAsia="方正仿宋_GBK"/>
          <w:color w:val="000000"/>
          <w:spacing w:val="-2"/>
          <w:sz w:val="24"/>
          <w:u w:val="single"/>
        </w:rPr>
      </w:pPr>
      <w:r>
        <w:rPr>
          <w:rFonts w:hint="eastAsia" w:eastAsia="方正仿宋_GBK"/>
          <w:color w:val="000000"/>
          <w:spacing w:val="-2"/>
          <w:sz w:val="24"/>
        </w:rPr>
        <w:t>镀锌管</w:t>
      </w:r>
      <w:r>
        <w:rPr>
          <w:rFonts w:hint="eastAsia" w:ascii="Times New Roman" w:hAnsi="Times New Roman"/>
          <w:color w:val="000000"/>
          <w:spacing w:val="-2"/>
          <w:sz w:val="24"/>
        </w:rPr>
        <w:t>□</w:t>
      </w:r>
      <w:r>
        <w:rPr>
          <w:rFonts w:hint="eastAsia" w:eastAsia="方正仿宋_GBK"/>
          <w:color w:val="000000"/>
          <w:spacing w:val="-2"/>
          <w:sz w:val="24"/>
        </w:rPr>
        <w:t>；铝塑管</w:t>
      </w:r>
      <w:r>
        <w:rPr>
          <w:rFonts w:hint="eastAsia" w:ascii="Times New Roman" w:hAnsi="Times New Roman"/>
          <w:color w:val="000000"/>
          <w:spacing w:val="-2"/>
          <w:sz w:val="24"/>
        </w:rPr>
        <w:t>□</w:t>
      </w:r>
      <w:r>
        <w:rPr>
          <w:rFonts w:hint="eastAsia" w:eastAsia="方正仿宋_GBK"/>
          <w:color w:val="000000"/>
          <w:spacing w:val="-2"/>
          <w:sz w:val="24"/>
        </w:rPr>
        <w:t>；胶管</w:t>
      </w:r>
      <w:r>
        <w:rPr>
          <w:rFonts w:hint="eastAsia" w:ascii="Times New Roman" w:hAnsi="Times New Roman"/>
          <w:color w:val="000000"/>
          <w:spacing w:val="-2"/>
          <w:sz w:val="24"/>
        </w:rPr>
        <w:t>□</w:t>
      </w:r>
      <w:r>
        <w:rPr>
          <w:rFonts w:hint="eastAsia" w:eastAsia="方正仿宋_GBK"/>
          <w:color w:val="000000"/>
          <w:spacing w:val="-2"/>
          <w:sz w:val="24"/>
        </w:rPr>
        <w:t>；不锈钢波纹管</w:t>
      </w:r>
      <w:r>
        <w:rPr>
          <w:rFonts w:hint="eastAsia" w:ascii="Times New Roman" w:hAnsi="Times New Roman"/>
          <w:color w:val="000000"/>
          <w:spacing w:val="-2"/>
          <w:sz w:val="24"/>
        </w:rPr>
        <w:t>□</w:t>
      </w:r>
      <w:r>
        <w:rPr>
          <w:rFonts w:hint="eastAsia" w:eastAsia="方正仿宋_GBK"/>
          <w:color w:val="000000"/>
          <w:spacing w:val="-2"/>
          <w:sz w:val="24"/>
        </w:rPr>
        <w:t>；其它</w:t>
      </w:r>
      <w:r>
        <w:rPr>
          <w:rFonts w:eastAsia="方正仿宋_GBK"/>
          <w:color w:val="000000"/>
          <w:spacing w:val="-2"/>
          <w:sz w:val="24"/>
          <w:u w:val="single"/>
        </w:rPr>
        <w:t xml:space="preserve">       </w:t>
      </w:r>
    </w:p>
    <w:p>
      <w:pPr>
        <w:spacing w:line="460" w:lineRule="exact"/>
        <w:ind w:firstLine="472" w:firstLineChars="200"/>
        <w:rPr>
          <w:rFonts w:eastAsia="方正仿宋_GBK"/>
          <w:color w:val="000000"/>
          <w:spacing w:val="-2"/>
          <w:sz w:val="24"/>
        </w:rPr>
      </w:pPr>
      <w:r>
        <w:rPr>
          <w:rFonts w:eastAsia="方正仿宋_GBK"/>
          <w:color w:val="000000"/>
          <w:spacing w:val="-2"/>
          <w:sz w:val="24"/>
        </w:rPr>
        <w:t>B</w:t>
      </w:r>
      <w:r>
        <w:rPr>
          <w:rFonts w:hint="eastAsia" w:eastAsia="方正仿宋_GBK"/>
          <w:color w:val="000000"/>
          <w:spacing w:val="-2"/>
          <w:sz w:val="24"/>
        </w:rPr>
        <w:t>：管道敷设：</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明设</w:t>
      </w:r>
      <w:r>
        <w:rPr>
          <w:rFonts w:hint="eastAsia" w:ascii="Times New Roman" w:hAnsi="Times New Roman"/>
          <w:color w:val="000000"/>
          <w:spacing w:val="-2"/>
          <w:sz w:val="24"/>
        </w:rPr>
        <w:t>□</w:t>
      </w:r>
      <w:r>
        <w:rPr>
          <w:rFonts w:hint="eastAsia" w:eastAsia="方正仿宋_GBK"/>
          <w:color w:val="000000"/>
          <w:spacing w:val="-2"/>
          <w:sz w:val="24"/>
        </w:rPr>
        <w:t>；暗设</w:t>
      </w:r>
      <w:r>
        <w:rPr>
          <w:rFonts w:hint="eastAsia" w:ascii="Times New Roman" w:hAnsi="Times New Roman"/>
          <w:color w:val="000000"/>
          <w:spacing w:val="-2"/>
          <w:sz w:val="24"/>
        </w:rPr>
        <w:t>□</w:t>
      </w:r>
      <w:r>
        <w:rPr>
          <w:rFonts w:hint="eastAsia" w:eastAsia="方正仿宋_GBK"/>
          <w:color w:val="000000"/>
          <w:spacing w:val="-2"/>
          <w:sz w:val="24"/>
        </w:rPr>
        <w:t>；暗埋</w:t>
      </w:r>
      <w:r>
        <w:rPr>
          <w:rFonts w:hint="eastAsia" w:ascii="Times New Roman" w:hAnsi="Times New Roman"/>
          <w:color w:val="000000"/>
          <w:spacing w:val="-2"/>
          <w:sz w:val="24"/>
        </w:rPr>
        <w:t>□</w:t>
      </w:r>
      <w:r>
        <w:rPr>
          <w:rFonts w:hint="eastAsia" w:eastAsia="方正仿宋_GBK"/>
          <w:color w:val="000000"/>
          <w:spacing w:val="-2"/>
          <w:sz w:val="24"/>
        </w:rPr>
        <w:t>；半明暗</w:t>
      </w:r>
      <w:r>
        <w:rPr>
          <w:rFonts w:hint="eastAsia" w:ascii="Times New Roman" w:hAnsi="Times New Roman"/>
          <w:color w:val="000000"/>
          <w:spacing w:val="-2"/>
          <w:sz w:val="24"/>
        </w:rPr>
        <w:t>□</w:t>
      </w:r>
      <w:r>
        <w:rPr>
          <w:rFonts w:hint="eastAsia" w:eastAsia="方正仿宋_GBK"/>
          <w:color w:val="000000"/>
          <w:spacing w:val="-2"/>
          <w:sz w:val="24"/>
        </w:rPr>
        <w:t>；经过卧室</w:t>
      </w:r>
      <w:r>
        <w:rPr>
          <w:rFonts w:hint="eastAsia" w:ascii="Times New Roman" w:hAnsi="Times New Roman"/>
          <w:color w:val="000000"/>
          <w:spacing w:val="-2"/>
          <w:sz w:val="24"/>
        </w:rPr>
        <w:t>□</w:t>
      </w:r>
      <w:r>
        <w:rPr>
          <w:rFonts w:hint="eastAsia" w:eastAsia="方正仿宋_GBK"/>
          <w:color w:val="000000"/>
          <w:spacing w:val="-2"/>
          <w:sz w:val="24"/>
        </w:rPr>
        <w:t>；卫生间</w:t>
      </w:r>
      <w:r>
        <w:rPr>
          <w:rFonts w:hint="eastAsia" w:ascii="Times New Roman" w:hAnsi="Times New Roman"/>
          <w:color w:val="000000"/>
          <w:spacing w:val="-2"/>
          <w:sz w:val="24"/>
        </w:rPr>
        <w:t>□</w:t>
      </w:r>
      <w:r>
        <w:rPr>
          <w:rFonts w:hint="eastAsia" w:eastAsia="方正仿宋_GBK"/>
          <w:color w:val="000000"/>
          <w:spacing w:val="-2"/>
          <w:sz w:val="24"/>
        </w:rPr>
        <w:t>；客厅</w:t>
      </w:r>
      <w:r>
        <w:rPr>
          <w:rFonts w:hint="eastAsia" w:ascii="Times New Roman" w:hAnsi="Times New Roman"/>
          <w:color w:val="000000"/>
          <w:spacing w:val="-2"/>
          <w:sz w:val="24"/>
        </w:rPr>
        <w:t>□</w:t>
      </w:r>
    </w:p>
    <w:p>
      <w:pPr>
        <w:spacing w:line="460" w:lineRule="exact"/>
        <w:ind w:firstLine="472" w:firstLineChars="200"/>
        <w:rPr>
          <w:rFonts w:eastAsia="方正仿宋_GBK"/>
          <w:color w:val="000000"/>
          <w:spacing w:val="-2"/>
          <w:sz w:val="24"/>
        </w:rPr>
      </w:pPr>
      <w:r>
        <w:rPr>
          <w:rFonts w:eastAsia="方正仿宋_GBK"/>
          <w:color w:val="000000"/>
          <w:spacing w:val="-2"/>
          <w:sz w:val="24"/>
        </w:rPr>
        <w:t>3</w:t>
      </w:r>
      <w:r>
        <w:rPr>
          <w:rFonts w:hint="eastAsia" w:eastAsia="方正仿宋_GBK"/>
          <w:color w:val="000000"/>
          <w:spacing w:val="-2"/>
          <w:sz w:val="24"/>
        </w:rPr>
        <w:t>、管道腐蚀：</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完好</w:t>
      </w:r>
      <w:r>
        <w:rPr>
          <w:rFonts w:hint="eastAsia" w:ascii="Times New Roman" w:hAnsi="Times New Roman"/>
          <w:color w:val="000000"/>
          <w:spacing w:val="-2"/>
          <w:sz w:val="24"/>
        </w:rPr>
        <w:t>□</w:t>
      </w:r>
      <w:r>
        <w:rPr>
          <w:rFonts w:hint="eastAsia" w:eastAsia="方正仿宋_GBK"/>
          <w:color w:val="000000"/>
          <w:spacing w:val="-2"/>
          <w:sz w:val="24"/>
        </w:rPr>
        <w:t>；轻微</w:t>
      </w:r>
      <w:r>
        <w:rPr>
          <w:rFonts w:hint="eastAsia" w:ascii="Times New Roman" w:hAnsi="Times New Roman"/>
          <w:color w:val="000000"/>
          <w:spacing w:val="-2"/>
          <w:sz w:val="24"/>
        </w:rPr>
        <w:t>□</w:t>
      </w:r>
      <w:r>
        <w:rPr>
          <w:rFonts w:hint="eastAsia" w:eastAsia="方正仿宋_GBK"/>
          <w:color w:val="000000"/>
          <w:spacing w:val="-2"/>
          <w:sz w:val="24"/>
        </w:rPr>
        <w:t>；中度</w:t>
      </w:r>
      <w:r>
        <w:rPr>
          <w:rFonts w:hint="eastAsia" w:ascii="Times New Roman" w:hAnsi="Times New Roman"/>
          <w:color w:val="000000"/>
          <w:spacing w:val="-2"/>
          <w:sz w:val="24"/>
        </w:rPr>
        <w:t>□</w:t>
      </w:r>
      <w:r>
        <w:rPr>
          <w:rFonts w:hint="eastAsia" w:eastAsia="方正仿宋_GBK"/>
          <w:color w:val="000000"/>
          <w:spacing w:val="-2"/>
          <w:sz w:val="24"/>
        </w:rPr>
        <w:t>；较严重</w:t>
      </w:r>
      <w:r>
        <w:rPr>
          <w:rFonts w:hint="eastAsia" w:ascii="Times New Roman" w:hAnsi="Times New Roman"/>
          <w:color w:val="000000"/>
          <w:spacing w:val="-2"/>
          <w:sz w:val="24"/>
        </w:rPr>
        <w:t>□</w:t>
      </w:r>
      <w:r>
        <w:rPr>
          <w:rFonts w:hint="eastAsia" w:eastAsia="方正仿宋_GBK"/>
          <w:color w:val="000000"/>
          <w:spacing w:val="-2"/>
          <w:sz w:val="24"/>
        </w:rPr>
        <w:t>；严重</w:t>
      </w:r>
      <w:r>
        <w:rPr>
          <w:rFonts w:hint="eastAsia" w:ascii="Times New Roman" w:hAnsi="Times New Roman"/>
          <w:color w:val="000000"/>
          <w:spacing w:val="-2"/>
          <w:sz w:val="24"/>
        </w:rPr>
        <w:t>□</w:t>
      </w:r>
      <w:r>
        <w:rPr>
          <w:rFonts w:hint="eastAsia" w:eastAsia="方正仿宋_GBK"/>
          <w:color w:val="000000"/>
          <w:spacing w:val="-2"/>
          <w:sz w:val="24"/>
        </w:rPr>
        <w:t>；</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腐蚀部位：</w:t>
      </w:r>
      <w:r>
        <w:rPr>
          <w:rFonts w:eastAsia="方正仿宋_GBK"/>
          <w:color w:val="000000"/>
          <w:spacing w:val="-2"/>
          <w:sz w:val="24"/>
          <w:u w:val="single"/>
        </w:rPr>
        <w:t xml:space="preserve">       </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eastAsia="方正仿宋_GBK"/>
          <w:color w:val="000000"/>
          <w:spacing w:val="-2"/>
          <w:sz w:val="24"/>
        </w:rPr>
        <w:t>4</w:t>
      </w:r>
      <w:r>
        <w:rPr>
          <w:rFonts w:hint="eastAsia" w:eastAsia="方正仿宋_GBK"/>
          <w:color w:val="000000"/>
          <w:spacing w:val="-2"/>
          <w:sz w:val="24"/>
        </w:rPr>
        <w:t>、管道使用：</w:t>
      </w:r>
    </w:p>
    <w:p>
      <w:pPr>
        <w:spacing w:line="460" w:lineRule="exact"/>
        <w:ind w:firstLine="472" w:firstLineChars="200"/>
        <w:rPr>
          <w:rFonts w:eastAsia="方正仿宋_GBK"/>
          <w:color w:val="000000"/>
          <w:spacing w:val="-2"/>
          <w:sz w:val="24"/>
          <w:u w:val="single"/>
        </w:rPr>
      </w:pPr>
      <w:r>
        <w:rPr>
          <w:rFonts w:hint="eastAsia" w:eastAsia="方正仿宋_GBK"/>
          <w:color w:val="000000"/>
          <w:spacing w:val="-2"/>
          <w:sz w:val="24"/>
        </w:rPr>
        <w:t>擅自改动：有</w:t>
      </w:r>
      <w:r>
        <w:rPr>
          <w:rFonts w:hint="eastAsia" w:ascii="Times New Roman" w:hAnsi="Times New Roman"/>
          <w:color w:val="000000"/>
          <w:spacing w:val="-2"/>
          <w:sz w:val="24"/>
        </w:rPr>
        <w:t>□</w:t>
      </w:r>
      <w:r>
        <w:rPr>
          <w:rFonts w:hint="eastAsia" w:eastAsia="方正仿宋_GBK"/>
          <w:color w:val="000000"/>
          <w:spacing w:val="-2"/>
          <w:sz w:val="24"/>
        </w:rPr>
        <w:t>，无</w:t>
      </w:r>
      <w:r>
        <w:rPr>
          <w:rFonts w:hint="eastAsia" w:ascii="Times New Roman" w:hAnsi="Times New Roman"/>
          <w:color w:val="000000"/>
          <w:spacing w:val="-2"/>
          <w:sz w:val="24"/>
        </w:rPr>
        <w:t>□</w:t>
      </w:r>
      <w:r>
        <w:rPr>
          <w:rFonts w:hint="eastAsia" w:eastAsia="方正仿宋_GBK"/>
          <w:color w:val="000000"/>
          <w:spacing w:val="-2"/>
          <w:sz w:val="24"/>
        </w:rPr>
        <w:t>；作为电器接地线使用：有</w:t>
      </w:r>
      <w:r>
        <w:rPr>
          <w:rFonts w:hint="eastAsia" w:ascii="Times New Roman" w:hAnsi="Times New Roman"/>
          <w:color w:val="000000"/>
          <w:spacing w:val="-2"/>
          <w:sz w:val="24"/>
        </w:rPr>
        <w:t>□</w:t>
      </w:r>
      <w:r>
        <w:rPr>
          <w:rFonts w:hint="eastAsia" w:eastAsia="方正仿宋_GBK"/>
          <w:color w:val="000000"/>
          <w:spacing w:val="-2"/>
          <w:sz w:val="24"/>
        </w:rPr>
        <w:t>，无</w:t>
      </w:r>
      <w:r>
        <w:rPr>
          <w:rFonts w:hint="eastAsia" w:ascii="Times New Roman" w:hAnsi="Times New Roman"/>
          <w:color w:val="000000"/>
          <w:spacing w:val="-2"/>
          <w:sz w:val="24"/>
        </w:rPr>
        <w:t>□</w:t>
      </w:r>
      <w:r>
        <w:rPr>
          <w:rFonts w:hint="eastAsia" w:eastAsia="方正仿宋_GBK"/>
          <w:color w:val="000000"/>
          <w:spacing w:val="-2"/>
          <w:sz w:val="24"/>
        </w:rPr>
        <w:t>；重物搭挂：有</w:t>
      </w:r>
      <w:r>
        <w:rPr>
          <w:rFonts w:hint="eastAsia" w:ascii="Times New Roman" w:hAnsi="Times New Roman"/>
          <w:color w:val="000000"/>
          <w:spacing w:val="-2"/>
          <w:sz w:val="24"/>
        </w:rPr>
        <w:t>□</w:t>
      </w:r>
      <w:r>
        <w:rPr>
          <w:rFonts w:hint="eastAsia" w:eastAsia="方正仿宋_GBK"/>
          <w:color w:val="000000"/>
          <w:spacing w:val="-2"/>
          <w:sz w:val="24"/>
        </w:rPr>
        <w:t>，无</w:t>
      </w:r>
      <w:r>
        <w:rPr>
          <w:rFonts w:hint="eastAsia" w:ascii="Times New Roman" w:hAnsi="Times New Roman"/>
          <w:color w:val="000000"/>
          <w:spacing w:val="-2"/>
          <w:sz w:val="24"/>
        </w:rPr>
        <w:t>□</w:t>
      </w:r>
      <w:r>
        <w:rPr>
          <w:rFonts w:hint="eastAsia" w:eastAsia="方正仿宋_GBK"/>
          <w:color w:val="000000"/>
          <w:spacing w:val="-2"/>
          <w:sz w:val="24"/>
        </w:rPr>
        <w:t>；搭挂部位：</w:t>
      </w:r>
      <w:r>
        <w:rPr>
          <w:rFonts w:eastAsia="方正仿宋_GBK"/>
          <w:color w:val="000000"/>
          <w:spacing w:val="-2"/>
          <w:sz w:val="24"/>
          <w:u w:val="single"/>
        </w:rPr>
        <w:t xml:space="preserve">       </w:t>
      </w:r>
      <w:r>
        <w:rPr>
          <w:rFonts w:eastAsia="方正仿宋_GBK"/>
          <w:color w:val="000000"/>
          <w:spacing w:val="-2"/>
          <w:sz w:val="24"/>
        </w:rPr>
        <w:t xml:space="preserve"> </w:t>
      </w:r>
    </w:p>
    <w:p>
      <w:pPr>
        <w:spacing w:line="460" w:lineRule="exact"/>
        <w:ind w:left="472"/>
        <w:rPr>
          <w:rFonts w:ascii="Times New Roman" w:eastAsia="方正黑体_GBK"/>
          <w:color w:val="000000"/>
          <w:spacing w:val="-2"/>
          <w:sz w:val="24"/>
        </w:rPr>
      </w:pPr>
      <w:r>
        <w:rPr>
          <w:rFonts w:hint="eastAsia" w:ascii="Times New Roman" w:eastAsia="方正黑体_GBK"/>
          <w:color w:val="000000"/>
          <w:spacing w:val="-2"/>
          <w:sz w:val="24"/>
        </w:rPr>
        <w:t>二：表前总阀（如有）</w:t>
      </w:r>
    </w:p>
    <w:p>
      <w:pPr>
        <w:spacing w:line="460" w:lineRule="exact"/>
        <w:ind w:firstLine="472" w:firstLineChars="200"/>
        <w:rPr>
          <w:rFonts w:hint="eastAsia"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：阀门类型：</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球阀</w:t>
      </w:r>
      <w:r>
        <w:rPr>
          <w:rFonts w:hint="eastAsia" w:ascii="Times New Roman" w:hAnsi="Times New Roman"/>
          <w:color w:val="000000"/>
          <w:spacing w:val="-2"/>
          <w:sz w:val="24"/>
        </w:rPr>
        <w:t>□</w:t>
      </w:r>
      <w:r>
        <w:rPr>
          <w:rFonts w:hint="eastAsia" w:eastAsia="方正仿宋_GBK"/>
          <w:color w:val="000000"/>
          <w:spacing w:val="-2"/>
          <w:sz w:val="24"/>
        </w:rPr>
        <w:t>；旋塞阀</w:t>
      </w:r>
      <w:r>
        <w:rPr>
          <w:rFonts w:hint="eastAsia" w:ascii="Times New Roman" w:hAnsi="Times New Roman"/>
          <w:color w:val="000000"/>
          <w:spacing w:val="-2"/>
          <w:sz w:val="24"/>
        </w:rPr>
        <w:t>□</w:t>
      </w:r>
      <w:r>
        <w:rPr>
          <w:rFonts w:hint="eastAsia" w:eastAsia="方正仿宋_GBK"/>
          <w:color w:val="000000"/>
          <w:spacing w:val="-2"/>
          <w:sz w:val="24"/>
        </w:rPr>
        <w:t>；其它</w:t>
      </w:r>
      <w:r>
        <w:rPr>
          <w:rFonts w:eastAsia="方正仿宋_GBK"/>
          <w:color w:val="000000"/>
          <w:spacing w:val="-2"/>
          <w:sz w:val="24"/>
          <w:u w:val="single"/>
        </w:rPr>
        <w:t xml:space="preserve">       </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：开关操作：</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正常</w:t>
      </w:r>
      <w:r>
        <w:rPr>
          <w:rFonts w:hint="eastAsia" w:ascii="Times New Roman" w:hAnsi="Times New Roman"/>
          <w:color w:val="000000"/>
          <w:spacing w:val="-2"/>
          <w:sz w:val="24"/>
        </w:rPr>
        <w:t>□</w:t>
      </w:r>
      <w:r>
        <w:rPr>
          <w:rFonts w:hint="eastAsia" w:eastAsia="方正仿宋_GBK"/>
          <w:color w:val="000000"/>
          <w:spacing w:val="-2"/>
          <w:sz w:val="24"/>
        </w:rPr>
        <w:t>；不正常</w:t>
      </w:r>
      <w:r>
        <w:rPr>
          <w:rFonts w:hint="eastAsia" w:ascii="Times New Roman" w:hAnsi="Times New Roman"/>
          <w:color w:val="000000"/>
          <w:spacing w:val="-2"/>
          <w:sz w:val="24"/>
        </w:rPr>
        <w:t>□</w:t>
      </w:r>
      <w:r>
        <w:rPr>
          <w:rFonts w:hint="eastAsia" w:eastAsia="方正仿宋_GBK"/>
          <w:color w:val="000000"/>
          <w:spacing w:val="-2"/>
          <w:sz w:val="24"/>
        </w:rPr>
        <w:t>（包裹</w:t>
      </w:r>
      <w:r>
        <w:rPr>
          <w:rFonts w:hint="eastAsia" w:ascii="Times New Roman" w:hAnsi="Times New Roman"/>
          <w:color w:val="000000"/>
          <w:spacing w:val="-2"/>
          <w:sz w:val="24"/>
        </w:rPr>
        <w:t>□</w:t>
      </w:r>
      <w:r>
        <w:rPr>
          <w:rFonts w:hint="eastAsia" w:eastAsia="方正仿宋_GBK"/>
          <w:color w:val="000000"/>
          <w:spacing w:val="-2"/>
          <w:sz w:val="24"/>
        </w:rPr>
        <w:t>；无法正常开关</w:t>
      </w:r>
      <w:r>
        <w:rPr>
          <w:rFonts w:hint="eastAsia" w:ascii="Times New Roman" w:hAnsi="Times New Roman"/>
          <w:color w:val="000000"/>
          <w:spacing w:val="-2"/>
          <w:sz w:val="24"/>
        </w:rPr>
        <w:t>□</w:t>
      </w:r>
      <w:r>
        <w:rPr>
          <w:rFonts w:hint="eastAsia" w:eastAsia="方正仿宋_GBK"/>
          <w:color w:val="000000"/>
          <w:spacing w:val="-2"/>
          <w:sz w:val="24"/>
        </w:rPr>
        <w:t>；无手柄</w:t>
      </w:r>
      <w:r>
        <w:rPr>
          <w:rFonts w:hint="eastAsia" w:ascii="Times New Roman" w:hAnsi="Times New Roman"/>
          <w:color w:val="000000"/>
          <w:spacing w:val="-2"/>
          <w:sz w:val="24"/>
        </w:rPr>
        <w:t>□</w:t>
      </w:r>
      <w:r>
        <w:rPr>
          <w:rFonts w:hint="eastAsia" w:eastAsia="方正仿宋_GBK"/>
          <w:color w:val="000000"/>
          <w:spacing w:val="-2"/>
          <w:sz w:val="24"/>
        </w:rPr>
        <w:t>；其它</w:t>
      </w:r>
      <w:r>
        <w:rPr>
          <w:rFonts w:eastAsia="方正仿宋_GBK"/>
          <w:color w:val="000000"/>
          <w:spacing w:val="-2"/>
          <w:sz w:val="24"/>
          <w:u w:val="single"/>
        </w:rPr>
        <w:t xml:space="preserve">            </w:t>
      </w:r>
      <w:r>
        <w:rPr>
          <w:rFonts w:hint="eastAsia" w:eastAsia="方正仿宋_GBK"/>
          <w:color w:val="000000"/>
          <w:spacing w:val="-2"/>
          <w:sz w:val="24"/>
        </w:rPr>
        <w:t>）</w:t>
      </w:r>
    </w:p>
    <w:p>
      <w:pPr>
        <w:spacing w:line="460" w:lineRule="exact"/>
        <w:ind w:left="472"/>
        <w:rPr>
          <w:rFonts w:ascii="Times New Roman" w:eastAsia="方正黑体_GBK"/>
          <w:color w:val="000000"/>
          <w:spacing w:val="-2"/>
          <w:sz w:val="24"/>
        </w:rPr>
      </w:pPr>
      <w:r>
        <w:rPr>
          <w:rFonts w:hint="eastAsia" w:ascii="Times New Roman" w:eastAsia="方正黑体_GBK"/>
          <w:color w:val="000000"/>
          <w:spacing w:val="-2"/>
          <w:sz w:val="24"/>
        </w:rPr>
        <w:t>三、计量仪表</w:t>
      </w:r>
    </w:p>
    <w:p>
      <w:pPr>
        <w:spacing w:line="460" w:lineRule="exact"/>
        <w:ind w:firstLine="472" w:firstLineChars="200"/>
        <w:rPr>
          <w:rFonts w:hint="eastAsia"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：安装位置：</w:t>
      </w:r>
    </w:p>
    <w:p>
      <w:pPr>
        <w:spacing w:line="460" w:lineRule="exact"/>
        <w:ind w:firstLine="472" w:firstLineChars="200"/>
        <w:rPr>
          <w:rFonts w:eastAsia="方正仿宋_GBK"/>
          <w:color w:val="000000"/>
          <w:spacing w:val="-2"/>
          <w:sz w:val="24"/>
          <w:u w:val="single"/>
        </w:rPr>
      </w:pPr>
      <w:r>
        <w:rPr>
          <w:rFonts w:hint="eastAsia" w:eastAsia="方正仿宋_GBK"/>
          <w:color w:val="000000"/>
          <w:spacing w:val="-2"/>
          <w:sz w:val="24"/>
        </w:rPr>
        <w:t>厨房</w:t>
      </w:r>
      <w:r>
        <w:rPr>
          <w:rFonts w:hint="eastAsia" w:ascii="Times New Roman" w:hAnsi="Times New Roman"/>
          <w:color w:val="000000"/>
          <w:spacing w:val="-2"/>
          <w:sz w:val="24"/>
        </w:rPr>
        <w:t>□</w:t>
      </w:r>
      <w:r>
        <w:rPr>
          <w:rFonts w:hint="eastAsia" w:eastAsia="方正仿宋_GBK"/>
          <w:color w:val="000000"/>
          <w:spacing w:val="-2"/>
          <w:sz w:val="24"/>
        </w:rPr>
        <w:t>；客厅</w:t>
      </w:r>
      <w:r>
        <w:rPr>
          <w:rFonts w:hint="eastAsia" w:ascii="Times New Roman" w:hAnsi="Times New Roman"/>
          <w:color w:val="000000"/>
          <w:spacing w:val="-2"/>
          <w:sz w:val="24"/>
        </w:rPr>
        <w:t>□</w:t>
      </w:r>
      <w:r>
        <w:rPr>
          <w:rFonts w:hint="eastAsia" w:eastAsia="方正仿宋_GBK"/>
          <w:color w:val="000000"/>
          <w:spacing w:val="-2"/>
          <w:sz w:val="24"/>
        </w:rPr>
        <w:t>；</w:t>
      </w:r>
      <w:r>
        <w:rPr>
          <w:rFonts w:eastAsia="方正仿宋_GBK"/>
          <w:color w:val="000000"/>
          <w:spacing w:val="-2"/>
          <w:sz w:val="24"/>
        </w:rPr>
        <w:t xml:space="preserve"> </w:t>
      </w:r>
      <w:r>
        <w:rPr>
          <w:rFonts w:hint="eastAsia" w:eastAsia="方正仿宋_GBK"/>
          <w:color w:val="000000"/>
          <w:spacing w:val="-2"/>
          <w:sz w:val="24"/>
        </w:rPr>
        <w:t>卫生间</w:t>
      </w:r>
      <w:r>
        <w:rPr>
          <w:rFonts w:hint="eastAsia" w:ascii="Times New Roman" w:hAnsi="Times New Roman"/>
          <w:color w:val="000000"/>
          <w:spacing w:val="-2"/>
          <w:sz w:val="24"/>
        </w:rPr>
        <w:t>□</w:t>
      </w:r>
      <w:r>
        <w:rPr>
          <w:rFonts w:hint="eastAsia" w:eastAsia="方正仿宋_GBK"/>
          <w:color w:val="000000"/>
          <w:spacing w:val="-2"/>
          <w:sz w:val="24"/>
        </w:rPr>
        <w:t>；阳台</w:t>
      </w:r>
      <w:r>
        <w:rPr>
          <w:rFonts w:hint="eastAsia" w:ascii="Times New Roman" w:hAnsi="Times New Roman"/>
          <w:color w:val="000000"/>
          <w:spacing w:val="-2"/>
          <w:sz w:val="24"/>
        </w:rPr>
        <w:t>□</w:t>
      </w:r>
      <w:r>
        <w:rPr>
          <w:rFonts w:hint="eastAsia" w:eastAsia="方正仿宋_GBK"/>
          <w:color w:val="000000"/>
          <w:spacing w:val="-2"/>
          <w:sz w:val="24"/>
        </w:rPr>
        <w:t>；其它</w:t>
      </w:r>
      <w:r>
        <w:rPr>
          <w:rFonts w:eastAsia="方正仿宋_GBK"/>
          <w:color w:val="000000"/>
          <w:spacing w:val="-2"/>
          <w:sz w:val="24"/>
          <w:u w:val="single"/>
        </w:rPr>
        <w:t xml:space="preserve">                    </w:t>
      </w:r>
    </w:p>
    <w:p>
      <w:pPr>
        <w:spacing w:line="460" w:lineRule="exact"/>
        <w:ind w:firstLine="472" w:firstLineChars="200"/>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：通风情况：</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敞开</w:t>
      </w:r>
      <w:r>
        <w:rPr>
          <w:rFonts w:hint="eastAsia" w:ascii="Times New Roman" w:hAnsi="Times New Roman"/>
          <w:color w:val="000000"/>
          <w:spacing w:val="-2"/>
          <w:sz w:val="24"/>
        </w:rPr>
        <w:t>□</w:t>
      </w:r>
      <w:r>
        <w:rPr>
          <w:rFonts w:hint="eastAsia" w:eastAsia="方正仿宋_GBK"/>
          <w:color w:val="000000"/>
          <w:spacing w:val="-2"/>
          <w:sz w:val="24"/>
        </w:rPr>
        <w:t>；橱柜内</w:t>
      </w:r>
      <w:r>
        <w:rPr>
          <w:rFonts w:hint="eastAsia" w:ascii="Times New Roman" w:hAnsi="Times New Roman"/>
          <w:color w:val="000000"/>
          <w:spacing w:val="-2"/>
          <w:sz w:val="24"/>
        </w:rPr>
        <w:t>□</w:t>
      </w:r>
      <w:r>
        <w:rPr>
          <w:rFonts w:hint="eastAsia" w:eastAsia="方正仿宋_GBK"/>
          <w:color w:val="000000"/>
          <w:spacing w:val="-2"/>
          <w:sz w:val="24"/>
        </w:rPr>
        <w:t>：无通风孔</w:t>
      </w:r>
      <w:r>
        <w:rPr>
          <w:rFonts w:hint="eastAsia" w:ascii="Times New Roman" w:hAnsi="Times New Roman"/>
          <w:color w:val="000000"/>
          <w:spacing w:val="-2"/>
          <w:sz w:val="24"/>
        </w:rPr>
        <w:t>□</w:t>
      </w:r>
      <w:r>
        <w:rPr>
          <w:rFonts w:hint="eastAsia" w:eastAsia="方正仿宋_GBK"/>
          <w:color w:val="000000"/>
          <w:spacing w:val="-2"/>
          <w:sz w:val="24"/>
        </w:rPr>
        <w:t>；其它</w:t>
      </w:r>
      <w:r>
        <w:rPr>
          <w:rFonts w:eastAsia="方正仿宋_GBK"/>
          <w:color w:val="000000"/>
          <w:spacing w:val="-2"/>
          <w:sz w:val="24"/>
          <w:u w:val="single"/>
        </w:rPr>
        <w:t xml:space="preserve">         </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eastAsia="方正仿宋_GBK"/>
          <w:color w:val="000000"/>
          <w:spacing w:val="-2"/>
          <w:sz w:val="24"/>
        </w:rPr>
        <w:t>3</w:t>
      </w:r>
      <w:r>
        <w:rPr>
          <w:rFonts w:hint="eastAsia" w:eastAsia="方正仿宋_GBK"/>
          <w:color w:val="000000"/>
          <w:spacing w:val="-2"/>
          <w:sz w:val="24"/>
        </w:rPr>
        <w:t>：表具使用情况：损坏</w:t>
      </w:r>
      <w:r>
        <w:rPr>
          <w:rFonts w:hint="eastAsia" w:ascii="Times New Roman" w:hAnsi="Times New Roman"/>
          <w:color w:val="000000"/>
          <w:spacing w:val="-2"/>
          <w:sz w:val="24"/>
        </w:rPr>
        <w:t>□</w:t>
      </w:r>
      <w:r>
        <w:rPr>
          <w:rFonts w:hint="eastAsia" w:eastAsia="方正仿宋_GBK"/>
          <w:color w:val="000000"/>
          <w:spacing w:val="-2"/>
          <w:sz w:val="24"/>
        </w:rPr>
        <w:t>；轻微腐蚀</w:t>
      </w:r>
      <w:r>
        <w:rPr>
          <w:rFonts w:hint="eastAsia" w:ascii="Times New Roman" w:hAnsi="Times New Roman"/>
          <w:color w:val="000000"/>
          <w:spacing w:val="-2"/>
          <w:sz w:val="24"/>
        </w:rPr>
        <w:t>□</w:t>
      </w:r>
      <w:r>
        <w:rPr>
          <w:rFonts w:hint="eastAsia" w:eastAsia="方正仿宋_GBK"/>
          <w:color w:val="000000"/>
          <w:spacing w:val="-2"/>
          <w:sz w:val="24"/>
        </w:rPr>
        <w:t>；严重腐蚀</w:t>
      </w:r>
      <w:r>
        <w:rPr>
          <w:rFonts w:hint="eastAsia" w:ascii="Times New Roman" w:hAnsi="Times New Roman"/>
          <w:color w:val="000000"/>
          <w:spacing w:val="-2"/>
          <w:sz w:val="24"/>
        </w:rPr>
        <w:t>□</w:t>
      </w:r>
    </w:p>
    <w:p>
      <w:pPr>
        <w:spacing w:line="460" w:lineRule="exact"/>
        <w:ind w:left="472"/>
        <w:rPr>
          <w:rFonts w:ascii="Times New Roman" w:eastAsia="方正黑体_GBK"/>
          <w:color w:val="000000"/>
          <w:spacing w:val="-2"/>
          <w:sz w:val="24"/>
        </w:rPr>
      </w:pPr>
      <w:r>
        <w:rPr>
          <w:rFonts w:hint="eastAsia" w:ascii="Times New Roman" w:eastAsia="方正黑体_GBK"/>
          <w:color w:val="000000"/>
          <w:spacing w:val="-2"/>
          <w:sz w:val="24"/>
        </w:rPr>
        <w:t>四、燃气灶具</w:t>
      </w:r>
    </w:p>
    <w:p>
      <w:pPr>
        <w:spacing w:line="460" w:lineRule="exact"/>
        <w:ind w:firstLine="472" w:firstLineChars="200"/>
        <w:rPr>
          <w:rFonts w:hint="eastAsia"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、熄火保护装置：有</w:t>
      </w:r>
      <w:r>
        <w:rPr>
          <w:rFonts w:hint="eastAsia" w:ascii="Times New Roman" w:hAnsi="Times New Roman"/>
          <w:color w:val="000000"/>
          <w:spacing w:val="-2"/>
          <w:sz w:val="24"/>
        </w:rPr>
        <w:t>□</w:t>
      </w:r>
      <w:r>
        <w:rPr>
          <w:rFonts w:hint="eastAsia" w:eastAsia="方正仿宋_GBK"/>
          <w:color w:val="000000"/>
          <w:spacing w:val="-2"/>
          <w:sz w:val="24"/>
        </w:rPr>
        <w:t>：无</w:t>
      </w:r>
      <w:r>
        <w:rPr>
          <w:rFonts w:hint="eastAsia" w:ascii="Times New Roman" w:hAnsi="Times New Roman"/>
          <w:color w:val="000000"/>
          <w:spacing w:val="-2"/>
          <w:sz w:val="24"/>
        </w:rPr>
        <w:t>□</w:t>
      </w:r>
      <w:r>
        <w:rPr>
          <w:rFonts w:hint="eastAsia" w:eastAsia="方正仿宋_GBK"/>
          <w:color w:val="000000"/>
          <w:spacing w:val="-2"/>
          <w:sz w:val="24"/>
        </w:rPr>
        <w:t>；</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u w:val="single"/>
        </w:rPr>
      </w:pPr>
      <w:r>
        <w:rPr>
          <w:rFonts w:eastAsia="方正仿宋_GBK"/>
          <w:color w:val="000000"/>
          <w:spacing w:val="-2"/>
          <w:sz w:val="24"/>
        </w:rPr>
        <w:t>2</w:t>
      </w:r>
      <w:r>
        <w:rPr>
          <w:rFonts w:hint="eastAsia" w:eastAsia="方正仿宋_GBK"/>
          <w:color w:val="000000"/>
          <w:spacing w:val="-2"/>
          <w:sz w:val="24"/>
        </w:rPr>
        <w:t>、使用时间：</w:t>
      </w:r>
      <w:r>
        <w:rPr>
          <w:rFonts w:eastAsia="方正仿宋_GBK"/>
          <w:color w:val="000000"/>
          <w:spacing w:val="-2"/>
          <w:sz w:val="24"/>
          <w:u w:val="single"/>
        </w:rPr>
        <w:t xml:space="preserve">        </w:t>
      </w:r>
      <w:r>
        <w:rPr>
          <w:rFonts w:hint="eastAsia" w:eastAsia="方正仿宋_GBK"/>
          <w:color w:val="000000"/>
          <w:spacing w:val="-2"/>
          <w:sz w:val="24"/>
        </w:rPr>
        <w:t>年</w:t>
      </w:r>
      <w:r>
        <w:rPr>
          <w:rFonts w:eastAsia="方正仿宋_GBK"/>
          <w:color w:val="000000"/>
          <w:spacing w:val="-2"/>
          <w:sz w:val="24"/>
        </w:rPr>
        <w:t xml:space="preserve"> </w:t>
      </w:r>
      <w:r>
        <w:rPr>
          <w:rFonts w:hint="eastAsia" w:eastAsia="方正仿宋_GBK"/>
          <w:color w:val="000000"/>
          <w:spacing w:val="-2"/>
          <w:sz w:val="24"/>
        </w:rPr>
        <w:t>；</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u w:val="single"/>
        </w:rPr>
      </w:pPr>
      <w:r>
        <w:rPr>
          <w:rFonts w:eastAsia="方正仿宋_GBK"/>
          <w:color w:val="000000"/>
          <w:spacing w:val="-2"/>
          <w:sz w:val="24"/>
        </w:rPr>
        <w:t>3</w:t>
      </w:r>
      <w:r>
        <w:rPr>
          <w:rFonts w:hint="eastAsia" w:eastAsia="方正仿宋_GBK"/>
          <w:color w:val="000000"/>
          <w:spacing w:val="-2"/>
          <w:sz w:val="24"/>
        </w:rPr>
        <w:t>、连接管道：</w:t>
      </w:r>
      <w:r>
        <w:rPr>
          <w:rFonts w:eastAsia="方正仿宋_GBK"/>
          <w:color w:val="000000"/>
          <w:spacing w:val="-2"/>
          <w:sz w:val="24"/>
        </w:rPr>
        <w:t xml:space="preserve"> </w:t>
      </w:r>
      <w:r>
        <w:rPr>
          <w:rFonts w:hint="eastAsia" w:eastAsia="方正仿宋_GBK"/>
          <w:color w:val="000000"/>
          <w:spacing w:val="-2"/>
          <w:sz w:val="24"/>
        </w:rPr>
        <w:t>不锈钢波纹管</w:t>
      </w:r>
      <w:r>
        <w:rPr>
          <w:rFonts w:hint="eastAsia" w:ascii="Times New Roman" w:hAnsi="Times New Roman"/>
          <w:color w:val="000000"/>
          <w:spacing w:val="-2"/>
          <w:sz w:val="24"/>
        </w:rPr>
        <w:t>□</w:t>
      </w:r>
      <w:r>
        <w:rPr>
          <w:rFonts w:hint="eastAsia" w:eastAsia="方正仿宋_GBK"/>
          <w:color w:val="000000"/>
          <w:spacing w:val="-2"/>
          <w:sz w:val="24"/>
        </w:rPr>
        <w:t>；胶管</w:t>
      </w:r>
      <w:r>
        <w:rPr>
          <w:rFonts w:hint="eastAsia" w:ascii="Times New Roman" w:hAnsi="Times New Roman"/>
          <w:color w:val="000000"/>
          <w:spacing w:val="-2"/>
          <w:sz w:val="24"/>
        </w:rPr>
        <w:t>□</w:t>
      </w:r>
      <w:r>
        <w:rPr>
          <w:rFonts w:hint="eastAsia" w:eastAsia="方正仿宋_GBK"/>
          <w:color w:val="000000"/>
          <w:spacing w:val="-2"/>
          <w:sz w:val="24"/>
        </w:rPr>
        <w:t>；镀锌管</w:t>
      </w:r>
      <w:r>
        <w:rPr>
          <w:rFonts w:hint="eastAsia" w:ascii="Times New Roman" w:hAnsi="Times New Roman"/>
          <w:color w:val="000000"/>
          <w:spacing w:val="-2"/>
          <w:sz w:val="24"/>
        </w:rPr>
        <w:t>□</w:t>
      </w:r>
      <w:r>
        <w:rPr>
          <w:rFonts w:hint="eastAsia" w:eastAsia="方正仿宋_GBK"/>
          <w:color w:val="000000"/>
          <w:spacing w:val="-2"/>
          <w:sz w:val="24"/>
        </w:rPr>
        <w:t>；铝塑管</w:t>
      </w:r>
      <w:r>
        <w:rPr>
          <w:rFonts w:hint="eastAsia" w:ascii="Times New Roman" w:hAnsi="Times New Roman"/>
          <w:color w:val="000000"/>
          <w:spacing w:val="-2"/>
          <w:sz w:val="24"/>
        </w:rPr>
        <w:t>□</w:t>
      </w:r>
      <w:r>
        <w:rPr>
          <w:rFonts w:hint="eastAsia" w:eastAsia="方正仿宋_GBK"/>
          <w:color w:val="000000"/>
          <w:spacing w:val="-2"/>
          <w:sz w:val="24"/>
        </w:rPr>
        <w:t>；燃气专用软管</w:t>
      </w:r>
      <w:r>
        <w:rPr>
          <w:rFonts w:hint="eastAsia" w:ascii="Times New Roman" w:hAnsi="Times New Roman"/>
          <w:color w:val="000000"/>
          <w:spacing w:val="-2"/>
          <w:sz w:val="24"/>
        </w:rPr>
        <w:t>□</w:t>
      </w:r>
      <w:r>
        <w:rPr>
          <w:rFonts w:hint="eastAsia" w:eastAsia="方正仿宋_GBK"/>
          <w:color w:val="000000"/>
          <w:spacing w:val="-2"/>
          <w:sz w:val="24"/>
        </w:rPr>
        <w:t>；其它</w:t>
      </w:r>
      <w:r>
        <w:rPr>
          <w:rFonts w:eastAsia="方正仿宋_GBK"/>
          <w:color w:val="000000"/>
          <w:spacing w:val="-2"/>
          <w:sz w:val="24"/>
          <w:u w:val="single"/>
        </w:rPr>
        <w:t xml:space="preserve">           </w:t>
      </w:r>
    </w:p>
    <w:p>
      <w:pPr>
        <w:spacing w:line="460" w:lineRule="exact"/>
        <w:ind w:firstLine="472" w:firstLineChars="200"/>
        <w:rPr>
          <w:rFonts w:eastAsia="方正仿宋_GBK"/>
          <w:color w:val="000000"/>
          <w:spacing w:val="-2"/>
          <w:sz w:val="24"/>
        </w:rPr>
      </w:pPr>
      <w:r>
        <w:rPr>
          <w:rFonts w:eastAsia="方正仿宋_GBK"/>
          <w:color w:val="000000"/>
          <w:spacing w:val="-2"/>
          <w:sz w:val="24"/>
        </w:rPr>
        <w:t>4</w:t>
      </w:r>
      <w:r>
        <w:rPr>
          <w:rFonts w:hint="eastAsia" w:eastAsia="方正仿宋_GBK"/>
          <w:color w:val="000000"/>
          <w:spacing w:val="-2"/>
          <w:sz w:val="24"/>
        </w:rPr>
        <w:t>、胶管状况：</w:t>
      </w:r>
      <w:r>
        <w:rPr>
          <w:rFonts w:eastAsia="方正仿宋_GBK"/>
          <w:color w:val="000000"/>
          <w:spacing w:val="-2"/>
          <w:sz w:val="24"/>
        </w:rPr>
        <w:t xml:space="preserve"> </w:t>
      </w:r>
      <w:r>
        <w:rPr>
          <w:rFonts w:hint="eastAsia" w:eastAsia="方正仿宋_GBK"/>
          <w:color w:val="000000"/>
          <w:spacing w:val="-2"/>
          <w:sz w:val="24"/>
        </w:rPr>
        <w:t>良好</w:t>
      </w:r>
      <w:r>
        <w:rPr>
          <w:rFonts w:hint="eastAsia" w:ascii="Times New Roman" w:hAnsi="Times New Roman"/>
          <w:color w:val="000000"/>
          <w:spacing w:val="-2"/>
          <w:sz w:val="24"/>
        </w:rPr>
        <w:t>□</w:t>
      </w:r>
      <w:r>
        <w:rPr>
          <w:rFonts w:hint="eastAsia" w:eastAsia="方正仿宋_GBK"/>
          <w:color w:val="000000"/>
          <w:spacing w:val="-2"/>
          <w:sz w:val="24"/>
        </w:rPr>
        <w:t>；过长</w:t>
      </w:r>
      <w:r>
        <w:rPr>
          <w:rFonts w:hint="eastAsia" w:ascii="Times New Roman" w:hAnsi="Times New Roman"/>
          <w:color w:val="000000"/>
          <w:spacing w:val="-2"/>
          <w:sz w:val="24"/>
        </w:rPr>
        <w:t>□</w:t>
      </w:r>
      <w:r>
        <w:rPr>
          <w:rFonts w:hint="eastAsia" w:eastAsia="方正仿宋_GBK"/>
          <w:color w:val="000000"/>
          <w:spacing w:val="-2"/>
          <w:sz w:val="24"/>
        </w:rPr>
        <w:t>；老化</w:t>
      </w:r>
      <w:r>
        <w:rPr>
          <w:rFonts w:hint="eastAsia" w:ascii="Times New Roman" w:hAnsi="Times New Roman"/>
          <w:color w:val="000000"/>
          <w:spacing w:val="-2"/>
          <w:sz w:val="24"/>
        </w:rPr>
        <w:t>□</w:t>
      </w:r>
      <w:r>
        <w:rPr>
          <w:rFonts w:hint="eastAsia" w:eastAsia="方正仿宋_GBK"/>
          <w:color w:val="000000"/>
          <w:spacing w:val="-2"/>
          <w:sz w:val="24"/>
        </w:rPr>
        <w:t>；过期</w:t>
      </w:r>
      <w:r>
        <w:rPr>
          <w:rFonts w:hint="eastAsia" w:ascii="Times New Roman" w:hAnsi="Times New Roman"/>
          <w:color w:val="000000"/>
          <w:spacing w:val="-2"/>
          <w:sz w:val="24"/>
        </w:rPr>
        <w:t>□</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胶管暗设（埋）：是</w:t>
      </w:r>
      <w:r>
        <w:rPr>
          <w:rFonts w:hint="eastAsia" w:ascii="Times New Roman" w:hAnsi="Times New Roman"/>
          <w:color w:val="000000"/>
          <w:spacing w:val="-2"/>
          <w:sz w:val="24"/>
        </w:rPr>
        <w:t>□</w:t>
      </w:r>
      <w:r>
        <w:rPr>
          <w:rFonts w:hint="eastAsia" w:eastAsia="方正仿宋_GBK"/>
          <w:color w:val="000000"/>
          <w:spacing w:val="-2"/>
          <w:sz w:val="24"/>
        </w:rPr>
        <w:t>，否</w:t>
      </w:r>
      <w:r>
        <w:rPr>
          <w:rFonts w:hint="eastAsia" w:ascii="Times New Roman" w:hAnsi="Times New Roman"/>
          <w:color w:val="000000"/>
          <w:spacing w:val="-2"/>
          <w:sz w:val="24"/>
        </w:rPr>
        <w:t>□</w:t>
      </w:r>
      <w:r>
        <w:rPr>
          <w:rFonts w:hint="eastAsia" w:eastAsia="方正仿宋_GBK"/>
          <w:color w:val="000000"/>
          <w:spacing w:val="-2"/>
          <w:sz w:val="24"/>
        </w:rPr>
        <w:t>；胶管管夹：有</w:t>
      </w:r>
      <w:r>
        <w:rPr>
          <w:rFonts w:hint="eastAsia" w:ascii="Times New Roman" w:hAnsi="Times New Roman"/>
          <w:color w:val="000000"/>
          <w:spacing w:val="-2"/>
          <w:sz w:val="24"/>
        </w:rPr>
        <w:t>□</w:t>
      </w:r>
      <w:r>
        <w:rPr>
          <w:rFonts w:hint="eastAsia" w:eastAsia="方正仿宋_GBK"/>
          <w:color w:val="000000"/>
          <w:spacing w:val="-2"/>
          <w:sz w:val="24"/>
        </w:rPr>
        <w:t>，无</w:t>
      </w:r>
      <w:r>
        <w:rPr>
          <w:rFonts w:hint="eastAsia" w:ascii="Times New Roman" w:hAnsi="Times New Roman"/>
          <w:color w:val="000000"/>
          <w:spacing w:val="-2"/>
          <w:sz w:val="24"/>
        </w:rPr>
        <w:t>□</w:t>
      </w:r>
    </w:p>
    <w:p>
      <w:pPr>
        <w:spacing w:line="460" w:lineRule="exact"/>
        <w:ind w:firstLine="472" w:firstLineChars="200"/>
        <w:rPr>
          <w:rFonts w:eastAsia="方正仿宋_GBK"/>
          <w:color w:val="000000"/>
          <w:spacing w:val="-2"/>
          <w:sz w:val="24"/>
        </w:rPr>
      </w:pPr>
      <w:r>
        <w:rPr>
          <w:rFonts w:eastAsia="方正仿宋_GBK"/>
          <w:color w:val="000000"/>
          <w:spacing w:val="-2"/>
          <w:sz w:val="24"/>
        </w:rPr>
        <w:t>5</w:t>
      </w:r>
      <w:r>
        <w:rPr>
          <w:rFonts w:hint="eastAsia" w:eastAsia="方正仿宋_GBK"/>
          <w:color w:val="000000"/>
          <w:spacing w:val="-2"/>
          <w:sz w:val="24"/>
        </w:rPr>
        <w:t>、灶前阀：球阀</w:t>
      </w:r>
      <w:r>
        <w:rPr>
          <w:rFonts w:hint="eastAsia" w:ascii="Times New Roman" w:hAnsi="Times New Roman"/>
          <w:color w:val="000000"/>
          <w:spacing w:val="-2"/>
          <w:sz w:val="24"/>
        </w:rPr>
        <w:t>□</w:t>
      </w:r>
      <w:r>
        <w:rPr>
          <w:rFonts w:hint="eastAsia" w:eastAsia="方正仿宋_GBK"/>
          <w:color w:val="000000"/>
          <w:spacing w:val="-2"/>
          <w:sz w:val="24"/>
        </w:rPr>
        <w:t>；旋塞阀</w:t>
      </w:r>
      <w:r>
        <w:rPr>
          <w:rFonts w:hint="eastAsia" w:ascii="Times New Roman" w:hAnsi="Times New Roman"/>
          <w:color w:val="000000"/>
          <w:spacing w:val="-2"/>
          <w:sz w:val="24"/>
        </w:rPr>
        <w:t>□</w:t>
      </w:r>
      <w:r>
        <w:rPr>
          <w:rFonts w:hint="eastAsia" w:eastAsia="方正仿宋_GBK"/>
          <w:color w:val="000000"/>
          <w:spacing w:val="-2"/>
          <w:sz w:val="24"/>
        </w:rPr>
        <w:t>；无</w:t>
      </w:r>
      <w:r>
        <w:rPr>
          <w:rFonts w:hint="eastAsia" w:ascii="Times New Roman" w:hAnsi="Times New Roman"/>
          <w:color w:val="000000"/>
          <w:spacing w:val="-2"/>
          <w:sz w:val="24"/>
        </w:rPr>
        <w:t>□</w:t>
      </w:r>
      <w:r>
        <w:rPr>
          <w:rFonts w:hint="eastAsia" w:eastAsia="方正仿宋_GBK"/>
          <w:color w:val="000000"/>
          <w:spacing w:val="-2"/>
          <w:sz w:val="24"/>
        </w:rPr>
        <w:t>；其它</w:t>
      </w:r>
      <w:r>
        <w:rPr>
          <w:rFonts w:eastAsia="方正仿宋_GBK"/>
          <w:color w:val="000000"/>
          <w:spacing w:val="-2"/>
          <w:sz w:val="24"/>
          <w:u w:val="single"/>
        </w:rPr>
        <w:t xml:space="preserve">       </w:t>
      </w:r>
      <w:r>
        <w:rPr>
          <w:rFonts w:eastAsia="方正仿宋_GBK"/>
          <w:color w:val="000000"/>
          <w:spacing w:val="-2"/>
          <w:sz w:val="24"/>
        </w:rPr>
        <w:t xml:space="preserve"> </w:t>
      </w:r>
    </w:p>
    <w:p>
      <w:pPr>
        <w:spacing w:line="460" w:lineRule="exact"/>
        <w:ind w:left="472"/>
        <w:rPr>
          <w:rFonts w:ascii="Times New Roman" w:eastAsia="方正黑体_GBK"/>
          <w:color w:val="000000"/>
          <w:spacing w:val="-2"/>
          <w:sz w:val="24"/>
        </w:rPr>
      </w:pPr>
      <w:r>
        <w:rPr>
          <w:rFonts w:hint="eastAsia" w:ascii="Times New Roman" w:eastAsia="方正黑体_GBK"/>
          <w:color w:val="000000"/>
          <w:spacing w:val="-2"/>
          <w:sz w:val="24"/>
        </w:rPr>
        <w:t>五、热水器（热水锅炉）</w:t>
      </w:r>
    </w:p>
    <w:p>
      <w:pPr>
        <w:spacing w:line="460" w:lineRule="exact"/>
        <w:ind w:firstLine="472" w:firstLineChars="200"/>
        <w:rPr>
          <w:rFonts w:hint="eastAsia"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、排烟方式：直排式</w:t>
      </w:r>
      <w:r>
        <w:rPr>
          <w:rFonts w:hint="eastAsia" w:ascii="Times New Roman" w:hAnsi="Times New Roman"/>
          <w:color w:val="000000"/>
          <w:spacing w:val="-2"/>
          <w:sz w:val="24"/>
        </w:rPr>
        <w:t>□</w:t>
      </w:r>
      <w:r>
        <w:rPr>
          <w:rFonts w:hint="eastAsia" w:eastAsia="方正仿宋_GBK"/>
          <w:color w:val="000000"/>
          <w:spacing w:val="-2"/>
          <w:sz w:val="24"/>
        </w:rPr>
        <w:t>；烟道式</w:t>
      </w:r>
      <w:r>
        <w:rPr>
          <w:rFonts w:hint="eastAsia" w:ascii="Times New Roman" w:hAnsi="Times New Roman"/>
          <w:color w:val="000000"/>
          <w:spacing w:val="-2"/>
          <w:sz w:val="24"/>
        </w:rPr>
        <w:t>□</w:t>
      </w:r>
      <w:r>
        <w:rPr>
          <w:rFonts w:hint="eastAsia" w:eastAsia="方正仿宋_GBK"/>
          <w:color w:val="000000"/>
          <w:spacing w:val="-2"/>
          <w:sz w:val="24"/>
        </w:rPr>
        <w:t>；强排式</w:t>
      </w:r>
      <w:r>
        <w:rPr>
          <w:rFonts w:hint="eastAsia" w:ascii="Times New Roman" w:hAnsi="Times New Roman"/>
          <w:color w:val="000000"/>
          <w:spacing w:val="-2"/>
          <w:sz w:val="24"/>
        </w:rPr>
        <w:t>□</w:t>
      </w:r>
      <w:r>
        <w:rPr>
          <w:rFonts w:hint="eastAsia" w:eastAsia="方正仿宋_GBK"/>
          <w:color w:val="000000"/>
          <w:spacing w:val="-2"/>
          <w:sz w:val="24"/>
        </w:rPr>
        <w:t>；平衡式</w:t>
      </w:r>
      <w:r>
        <w:rPr>
          <w:rFonts w:hint="eastAsia" w:ascii="Times New Roman" w:hAnsi="Times New Roman"/>
          <w:color w:val="000000"/>
          <w:spacing w:val="-2"/>
          <w:sz w:val="24"/>
        </w:rPr>
        <w:t>□</w:t>
      </w:r>
      <w:r>
        <w:rPr>
          <w:rFonts w:hint="eastAsia" w:eastAsia="方正仿宋_GBK"/>
          <w:color w:val="000000"/>
          <w:spacing w:val="-2"/>
          <w:sz w:val="24"/>
        </w:rPr>
        <w:t>；</w:t>
      </w:r>
    </w:p>
    <w:p>
      <w:pPr>
        <w:spacing w:line="460" w:lineRule="exact"/>
        <w:ind w:firstLine="472" w:firstLineChars="200"/>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、使用年限</w:t>
      </w:r>
      <w:r>
        <w:rPr>
          <w:rFonts w:eastAsia="方正仿宋_GBK"/>
          <w:color w:val="000000"/>
          <w:spacing w:val="-2"/>
          <w:sz w:val="24"/>
          <w:u w:val="single"/>
        </w:rPr>
        <w:t xml:space="preserve">       </w:t>
      </w:r>
      <w:r>
        <w:rPr>
          <w:rFonts w:eastAsia="方正仿宋_GBK"/>
          <w:color w:val="000000"/>
          <w:spacing w:val="-2"/>
          <w:sz w:val="24"/>
        </w:rPr>
        <w:t xml:space="preserve"> </w:t>
      </w:r>
      <w:r>
        <w:rPr>
          <w:rFonts w:hint="eastAsia" w:eastAsia="方正仿宋_GBK"/>
          <w:color w:val="000000"/>
          <w:spacing w:val="-2"/>
          <w:sz w:val="24"/>
        </w:rPr>
        <w:t>年</w:t>
      </w:r>
    </w:p>
    <w:p>
      <w:pPr>
        <w:spacing w:line="460" w:lineRule="exact"/>
        <w:ind w:firstLine="472" w:firstLineChars="200"/>
        <w:rPr>
          <w:rFonts w:eastAsia="方正仿宋_GBK"/>
          <w:color w:val="000000"/>
          <w:spacing w:val="-2"/>
          <w:sz w:val="24"/>
        </w:rPr>
      </w:pPr>
      <w:r>
        <w:rPr>
          <w:rFonts w:eastAsia="方正仿宋_GBK"/>
          <w:color w:val="000000"/>
          <w:spacing w:val="-2"/>
          <w:sz w:val="24"/>
        </w:rPr>
        <w:t>3</w:t>
      </w:r>
      <w:r>
        <w:rPr>
          <w:rFonts w:hint="eastAsia" w:eastAsia="方正仿宋_GBK"/>
          <w:color w:val="000000"/>
          <w:spacing w:val="-2"/>
          <w:sz w:val="24"/>
        </w:rPr>
        <w:t>、安装位置：厨房</w:t>
      </w:r>
      <w:r>
        <w:rPr>
          <w:rFonts w:hint="eastAsia" w:ascii="Times New Roman" w:hAnsi="Times New Roman"/>
          <w:color w:val="000000"/>
          <w:spacing w:val="-2"/>
          <w:sz w:val="24"/>
        </w:rPr>
        <w:t>□</w:t>
      </w:r>
      <w:r>
        <w:rPr>
          <w:rFonts w:hint="eastAsia" w:eastAsia="方正仿宋_GBK"/>
          <w:color w:val="000000"/>
          <w:spacing w:val="-2"/>
          <w:sz w:val="24"/>
        </w:rPr>
        <w:t>；客厅</w:t>
      </w:r>
      <w:r>
        <w:rPr>
          <w:rFonts w:hint="eastAsia" w:ascii="Times New Roman" w:hAnsi="Times New Roman"/>
          <w:color w:val="000000"/>
          <w:spacing w:val="-2"/>
          <w:sz w:val="24"/>
        </w:rPr>
        <w:t>□</w:t>
      </w:r>
      <w:r>
        <w:rPr>
          <w:rFonts w:hint="eastAsia" w:eastAsia="方正仿宋_GBK"/>
          <w:color w:val="000000"/>
          <w:spacing w:val="-2"/>
          <w:sz w:val="24"/>
        </w:rPr>
        <w:t>；卫生间</w:t>
      </w:r>
      <w:r>
        <w:rPr>
          <w:rFonts w:hint="eastAsia" w:ascii="Times New Roman" w:hAnsi="Times New Roman"/>
          <w:color w:val="000000"/>
          <w:spacing w:val="-2"/>
          <w:sz w:val="24"/>
        </w:rPr>
        <w:t>□</w:t>
      </w:r>
      <w:r>
        <w:rPr>
          <w:rFonts w:hint="eastAsia" w:eastAsia="方正仿宋_GBK"/>
          <w:color w:val="000000"/>
          <w:spacing w:val="-2"/>
          <w:sz w:val="24"/>
        </w:rPr>
        <w:t>；阳台</w:t>
      </w:r>
      <w:r>
        <w:rPr>
          <w:rFonts w:hint="eastAsia" w:ascii="Times New Roman" w:hAnsi="Times New Roman"/>
          <w:color w:val="000000"/>
          <w:spacing w:val="-2"/>
          <w:sz w:val="24"/>
        </w:rPr>
        <w:t>□</w:t>
      </w:r>
      <w:r>
        <w:rPr>
          <w:rFonts w:hint="eastAsia" w:eastAsia="方正仿宋_GBK"/>
          <w:color w:val="000000"/>
          <w:spacing w:val="-2"/>
          <w:sz w:val="24"/>
        </w:rPr>
        <w:t>；橱柜内</w:t>
      </w:r>
      <w:r>
        <w:rPr>
          <w:rFonts w:hint="eastAsia" w:ascii="Times New Roman" w:hAnsi="Times New Roman"/>
          <w:color w:val="000000"/>
          <w:spacing w:val="-2"/>
          <w:sz w:val="24"/>
        </w:rPr>
        <w:t>□</w:t>
      </w:r>
      <w:r>
        <w:rPr>
          <w:rFonts w:hint="eastAsia" w:eastAsia="方正仿宋_GBK"/>
          <w:color w:val="000000"/>
          <w:spacing w:val="-2"/>
          <w:sz w:val="24"/>
        </w:rPr>
        <w:t>；其它</w:t>
      </w:r>
      <w:r>
        <w:rPr>
          <w:rFonts w:eastAsia="方正仿宋_GBK"/>
          <w:color w:val="000000"/>
          <w:spacing w:val="-2"/>
          <w:sz w:val="24"/>
          <w:u w:val="single"/>
        </w:rPr>
        <w:t xml:space="preserve">           </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eastAsia="方正仿宋_GBK"/>
          <w:color w:val="000000"/>
          <w:spacing w:val="-2"/>
          <w:sz w:val="24"/>
        </w:rPr>
        <w:t>4</w:t>
      </w:r>
      <w:r>
        <w:rPr>
          <w:rFonts w:hint="eastAsia" w:eastAsia="方正仿宋_GBK"/>
          <w:color w:val="000000"/>
          <w:spacing w:val="-2"/>
          <w:sz w:val="24"/>
        </w:rPr>
        <w:t>、排烟烟道：</w:t>
      </w:r>
    </w:p>
    <w:p>
      <w:pPr>
        <w:spacing w:line="460" w:lineRule="exact"/>
        <w:ind w:firstLine="472" w:firstLineChars="200"/>
        <w:rPr>
          <w:rFonts w:eastAsia="方正仿宋_GBK"/>
          <w:color w:val="000000"/>
          <w:spacing w:val="-2"/>
          <w:sz w:val="24"/>
        </w:rPr>
      </w:pPr>
      <w:r>
        <w:rPr>
          <w:rFonts w:eastAsia="方正仿宋_GBK"/>
          <w:color w:val="000000"/>
          <w:spacing w:val="-2"/>
          <w:sz w:val="24"/>
        </w:rPr>
        <w:t>A</w:t>
      </w:r>
      <w:r>
        <w:rPr>
          <w:rFonts w:hint="eastAsia" w:eastAsia="方正仿宋_GBK"/>
          <w:color w:val="000000"/>
          <w:spacing w:val="-2"/>
          <w:sz w:val="24"/>
        </w:rPr>
        <w:t>：安装烟道：是</w:t>
      </w:r>
      <w:r>
        <w:rPr>
          <w:rFonts w:hint="eastAsia" w:ascii="Times New Roman" w:hAnsi="Times New Roman"/>
          <w:color w:val="000000"/>
          <w:spacing w:val="-2"/>
          <w:sz w:val="24"/>
        </w:rPr>
        <w:t>□</w:t>
      </w:r>
      <w:r>
        <w:rPr>
          <w:rFonts w:hint="eastAsia" w:eastAsia="方正仿宋_GBK"/>
          <w:color w:val="000000"/>
          <w:spacing w:val="-2"/>
          <w:sz w:val="24"/>
        </w:rPr>
        <w:t>，否</w:t>
      </w:r>
      <w:r>
        <w:rPr>
          <w:rFonts w:hint="eastAsia" w:ascii="Times New Roman" w:hAnsi="Times New Roman"/>
          <w:color w:val="000000"/>
          <w:spacing w:val="-2"/>
          <w:sz w:val="24"/>
        </w:rPr>
        <w:t>□</w:t>
      </w:r>
      <w:r>
        <w:rPr>
          <w:rFonts w:hint="eastAsia" w:eastAsia="方正仿宋_GBK"/>
          <w:color w:val="000000"/>
          <w:spacing w:val="-2"/>
          <w:sz w:val="24"/>
        </w:rPr>
        <w:t>；烟道出户：是</w:t>
      </w:r>
      <w:r>
        <w:rPr>
          <w:rFonts w:hint="eastAsia" w:ascii="Times New Roman" w:hAnsi="Times New Roman"/>
          <w:color w:val="000000"/>
          <w:spacing w:val="-2"/>
          <w:sz w:val="24"/>
        </w:rPr>
        <w:t>□</w:t>
      </w:r>
      <w:r>
        <w:rPr>
          <w:rFonts w:hint="eastAsia" w:eastAsia="方正仿宋_GBK"/>
          <w:color w:val="000000"/>
          <w:spacing w:val="-2"/>
          <w:sz w:val="24"/>
        </w:rPr>
        <w:t>，否</w:t>
      </w:r>
      <w:r>
        <w:rPr>
          <w:rFonts w:eastAsia="方正仿宋_GBK"/>
          <w:color w:val="000000"/>
          <w:spacing w:val="-2"/>
          <w:sz w:val="24"/>
        </w:rPr>
        <w:t>□</w:t>
      </w:r>
      <w:r>
        <w:rPr>
          <w:rFonts w:hint="eastAsia" w:eastAsia="方正仿宋_GBK"/>
          <w:color w:val="000000"/>
          <w:spacing w:val="-2"/>
          <w:sz w:val="24"/>
        </w:rPr>
        <w:t>；烟道管破损：是</w:t>
      </w:r>
      <w:r>
        <w:rPr>
          <w:rFonts w:hint="eastAsia" w:ascii="Times New Roman" w:hAnsi="Times New Roman"/>
          <w:color w:val="000000"/>
          <w:spacing w:val="-2"/>
          <w:sz w:val="24"/>
        </w:rPr>
        <w:t>□</w:t>
      </w:r>
      <w:r>
        <w:rPr>
          <w:rFonts w:hint="eastAsia" w:eastAsia="方正仿宋_GBK"/>
          <w:color w:val="000000"/>
          <w:spacing w:val="-2"/>
          <w:sz w:val="24"/>
        </w:rPr>
        <w:t>，否</w:t>
      </w:r>
      <w:r>
        <w:rPr>
          <w:rFonts w:hint="eastAsia" w:ascii="Times New Roman" w:hAnsi="Times New Roman"/>
          <w:color w:val="000000"/>
          <w:spacing w:val="-2"/>
          <w:sz w:val="24"/>
        </w:rPr>
        <w:t>□</w:t>
      </w:r>
      <w:r>
        <w:rPr>
          <w:rFonts w:hint="eastAsia" w:eastAsia="方正仿宋_GBK"/>
          <w:color w:val="000000"/>
          <w:spacing w:val="-2"/>
          <w:sz w:val="24"/>
        </w:rPr>
        <w:t>；其它</w:t>
      </w:r>
      <w:r>
        <w:rPr>
          <w:rFonts w:eastAsia="方正仿宋_GBK"/>
          <w:color w:val="000000"/>
          <w:spacing w:val="-2"/>
          <w:sz w:val="24"/>
          <w:u w:val="single"/>
        </w:rPr>
        <w:t xml:space="preserve">        </w:t>
      </w:r>
    </w:p>
    <w:p>
      <w:pPr>
        <w:spacing w:line="460" w:lineRule="exact"/>
        <w:ind w:firstLine="472" w:firstLineChars="200"/>
        <w:rPr>
          <w:rFonts w:eastAsia="方正仿宋_GBK"/>
          <w:color w:val="000000"/>
          <w:spacing w:val="-2"/>
          <w:sz w:val="24"/>
        </w:rPr>
      </w:pPr>
      <w:r>
        <w:rPr>
          <w:rFonts w:eastAsia="方正仿宋_GBK"/>
          <w:color w:val="000000"/>
          <w:spacing w:val="-2"/>
          <w:sz w:val="24"/>
        </w:rPr>
        <w:t>B</w:t>
      </w:r>
      <w:r>
        <w:rPr>
          <w:rFonts w:hint="eastAsia" w:eastAsia="方正仿宋_GBK"/>
          <w:color w:val="000000"/>
          <w:spacing w:val="-2"/>
          <w:sz w:val="24"/>
        </w:rPr>
        <w:t>：烟道连接端</w:t>
      </w:r>
      <w:r>
        <w:rPr>
          <w:rFonts w:hint="eastAsia" w:ascii="Times New Roman" w:hAnsi="Times New Roman"/>
          <w:color w:val="000000"/>
          <w:spacing w:val="-2"/>
          <w:sz w:val="24"/>
        </w:rPr>
        <w:t>口</w:t>
      </w:r>
      <w:r>
        <w:rPr>
          <w:rFonts w:hint="eastAsia" w:eastAsia="方正仿宋_GBK"/>
          <w:color w:val="000000"/>
          <w:spacing w:val="-2"/>
          <w:sz w:val="24"/>
        </w:rPr>
        <w:t>：热水器端完好：是</w:t>
      </w:r>
      <w:r>
        <w:rPr>
          <w:rFonts w:hint="eastAsia" w:ascii="Times New Roman" w:hAnsi="Times New Roman"/>
          <w:color w:val="000000"/>
          <w:spacing w:val="-2"/>
          <w:sz w:val="24"/>
        </w:rPr>
        <w:t>□</w:t>
      </w:r>
      <w:r>
        <w:rPr>
          <w:rFonts w:hint="eastAsia" w:eastAsia="方正仿宋_GBK"/>
          <w:color w:val="000000"/>
          <w:spacing w:val="-2"/>
          <w:sz w:val="24"/>
        </w:rPr>
        <w:t>，否</w:t>
      </w:r>
      <w:r>
        <w:rPr>
          <w:rFonts w:hint="eastAsia" w:ascii="Times New Roman" w:hAnsi="Times New Roman"/>
          <w:color w:val="000000"/>
          <w:spacing w:val="-2"/>
          <w:sz w:val="24"/>
        </w:rPr>
        <w:t>□</w:t>
      </w:r>
      <w:r>
        <w:rPr>
          <w:rFonts w:eastAsia="方正仿宋_GBK"/>
          <w:color w:val="000000"/>
          <w:spacing w:val="-2"/>
          <w:sz w:val="24"/>
        </w:rPr>
        <w:t xml:space="preserve"> </w:t>
      </w:r>
      <w:r>
        <w:rPr>
          <w:rFonts w:hint="eastAsia" w:eastAsia="方正仿宋_GBK"/>
          <w:color w:val="000000"/>
          <w:spacing w:val="-2"/>
          <w:sz w:val="24"/>
        </w:rPr>
        <w:t>；室外端完好：是</w:t>
      </w:r>
      <w:r>
        <w:rPr>
          <w:rFonts w:hint="eastAsia" w:ascii="Times New Roman" w:hAnsi="Times New Roman"/>
          <w:color w:val="000000"/>
          <w:spacing w:val="-2"/>
          <w:sz w:val="24"/>
        </w:rPr>
        <w:t>□</w:t>
      </w:r>
      <w:r>
        <w:rPr>
          <w:rFonts w:hint="eastAsia" w:eastAsia="方正仿宋_GBK"/>
          <w:color w:val="000000"/>
          <w:spacing w:val="-2"/>
          <w:sz w:val="24"/>
        </w:rPr>
        <w:t>，否</w:t>
      </w:r>
      <w:r>
        <w:rPr>
          <w:rFonts w:hint="eastAsia" w:ascii="Times New Roman" w:hAnsi="Times New Roman"/>
          <w:color w:val="000000"/>
          <w:spacing w:val="-2"/>
          <w:sz w:val="24"/>
        </w:rPr>
        <w:t>□</w:t>
      </w:r>
    </w:p>
    <w:p>
      <w:pPr>
        <w:spacing w:line="460" w:lineRule="exact"/>
        <w:ind w:firstLine="472" w:firstLineChars="200"/>
        <w:rPr>
          <w:rFonts w:eastAsia="方正仿宋_GBK"/>
          <w:color w:val="000000"/>
          <w:spacing w:val="-2"/>
          <w:sz w:val="24"/>
        </w:rPr>
      </w:pPr>
      <w:r>
        <w:rPr>
          <w:rFonts w:eastAsia="方正仿宋_GBK"/>
          <w:color w:val="000000"/>
          <w:spacing w:val="-2"/>
          <w:sz w:val="24"/>
        </w:rPr>
        <w:t>C</w:t>
      </w:r>
      <w:r>
        <w:rPr>
          <w:rFonts w:hint="eastAsia" w:eastAsia="方正仿宋_GBK"/>
          <w:color w:val="000000"/>
          <w:spacing w:val="-2"/>
          <w:sz w:val="24"/>
        </w:rPr>
        <w:t>：排烟</w:t>
      </w:r>
      <w:r>
        <w:rPr>
          <w:rFonts w:hint="eastAsia" w:ascii="Times New Roman" w:hAnsi="Times New Roman"/>
          <w:color w:val="000000"/>
          <w:spacing w:val="-2"/>
          <w:sz w:val="24"/>
        </w:rPr>
        <w:t>口</w:t>
      </w:r>
      <w:r>
        <w:rPr>
          <w:rFonts w:hint="eastAsia" w:eastAsia="方正仿宋_GBK"/>
          <w:color w:val="000000"/>
          <w:spacing w:val="-2"/>
          <w:sz w:val="24"/>
        </w:rPr>
        <w:t>：室外</w:t>
      </w:r>
      <w:r>
        <w:rPr>
          <w:rFonts w:hint="eastAsia" w:ascii="Times New Roman" w:hAnsi="Times New Roman"/>
          <w:color w:val="000000"/>
          <w:spacing w:val="-2"/>
          <w:sz w:val="24"/>
        </w:rPr>
        <w:t>□</w:t>
      </w:r>
      <w:r>
        <w:rPr>
          <w:rFonts w:hint="eastAsia" w:eastAsia="方正仿宋_GBK"/>
          <w:color w:val="000000"/>
          <w:spacing w:val="-2"/>
          <w:sz w:val="24"/>
        </w:rPr>
        <w:t>；楼梯间</w:t>
      </w:r>
      <w:r>
        <w:rPr>
          <w:rFonts w:hint="eastAsia" w:ascii="Times New Roman" w:hAnsi="Times New Roman"/>
          <w:color w:val="000000"/>
          <w:spacing w:val="-2"/>
          <w:sz w:val="24"/>
        </w:rPr>
        <w:t>□</w:t>
      </w:r>
      <w:r>
        <w:rPr>
          <w:rFonts w:hint="eastAsia" w:eastAsia="方正仿宋_GBK"/>
          <w:color w:val="000000"/>
          <w:spacing w:val="-2"/>
          <w:sz w:val="24"/>
        </w:rPr>
        <w:t>；公共烟道</w:t>
      </w:r>
      <w:r>
        <w:rPr>
          <w:rFonts w:hint="eastAsia" w:ascii="Times New Roman" w:hAnsi="Times New Roman"/>
          <w:color w:val="000000"/>
          <w:spacing w:val="-2"/>
          <w:sz w:val="24"/>
        </w:rPr>
        <w:t>□</w:t>
      </w:r>
      <w:r>
        <w:rPr>
          <w:rFonts w:hint="eastAsia" w:eastAsia="方正仿宋_GBK"/>
          <w:color w:val="000000"/>
          <w:spacing w:val="-2"/>
          <w:sz w:val="24"/>
        </w:rPr>
        <w:t>；其它</w:t>
      </w:r>
      <w:r>
        <w:rPr>
          <w:rFonts w:eastAsia="方正仿宋_GBK"/>
          <w:color w:val="000000"/>
          <w:spacing w:val="-2"/>
          <w:sz w:val="24"/>
          <w:u w:val="single"/>
        </w:rPr>
        <w:t xml:space="preserve">        </w:t>
      </w:r>
    </w:p>
    <w:p>
      <w:pPr>
        <w:spacing w:line="460" w:lineRule="exact"/>
        <w:ind w:firstLine="472" w:firstLineChars="200"/>
        <w:rPr>
          <w:rFonts w:eastAsia="方正仿宋_GBK"/>
          <w:color w:val="000000"/>
          <w:spacing w:val="-2"/>
          <w:sz w:val="24"/>
        </w:rPr>
      </w:pPr>
      <w:r>
        <w:rPr>
          <w:rFonts w:eastAsia="方正仿宋_GBK"/>
          <w:color w:val="000000"/>
          <w:spacing w:val="-2"/>
          <w:sz w:val="24"/>
        </w:rPr>
        <w:t>5</w:t>
      </w:r>
      <w:r>
        <w:rPr>
          <w:rFonts w:hint="eastAsia" w:eastAsia="方正仿宋_GBK"/>
          <w:color w:val="000000"/>
          <w:spacing w:val="-2"/>
          <w:sz w:val="24"/>
        </w:rPr>
        <w:t>、阀门及连接管道：</w:t>
      </w:r>
    </w:p>
    <w:p>
      <w:pPr>
        <w:spacing w:line="460" w:lineRule="exact"/>
        <w:ind w:firstLine="472" w:firstLineChars="200"/>
        <w:rPr>
          <w:rFonts w:eastAsia="方正仿宋_GBK"/>
          <w:color w:val="000000"/>
          <w:spacing w:val="-2"/>
          <w:sz w:val="24"/>
        </w:rPr>
      </w:pPr>
      <w:r>
        <w:rPr>
          <w:rFonts w:eastAsia="方正仿宋_GBK"/>
          <w:color w:val="000000"/>
          <w:spacing w:val="-2"/>
          <w:sz w:val="24"/>
        </w:rPr>
        <w:t>A</w:t>
      </w:r>
      <w:r>
        <w:rPr>
          <w:rFonts w:hint="eastAsia" w:eastAsia="方正仿宋_GBK"/>
          <w:color w:val="000000"/>
          <w:spacing w:val="-2"/>
          <w:sz w:val="24"/>
        </w:rPr>
        <w:t>：燃气专用阀：是</w:t>
      </w:r>
      <w:r>
        <w:rPr>
          <w:rFonts w:hint="eastAsia" w:ascii="Times New Roman" w:hAnsi="Times New Roman"/>
          <w:color w:val="000000"/>
          <w:spacing w:val="-2"/>
          <w:sz w:val="24"/>
        </w:rPr>
        <w:t>□</w:t>
      </w:r>
      <w:r>
        <w:rPr>
          <w:rFonts w:hint="eastAsia" w:eastAsia="方正仿宋_GBK"/>
          <w:color w:val="000000"/>
          <w:spacing w:val="-2"/>
          <w:sz w:val="24"/>
        </w:rPr>
        <w:t>，否</w:t>
      </w:r>
      <w:r>
        <w:rPr>
          <w:rFonts w:hint="eastAsia" w:ascii="Times New Roman" w:hAnsi="Times New Roman"/>
          <w:color w:val="000000"/>
          <w:spacing w:val="-2"/>
          <w:sz w:val="24"/>
        </w:rPr>
        <w:t>□</w:t>
      </w:r>
    </w:p>
    <w:p>
      <w:pPr>
        <w:spacing w:line="460" w:lineRule="exact"/>
        <w:ind w:firstLine="472" w:firstLineChars="200"/>
        <w:rPr>
          <w:rFonts w:eastAsia="方正仿宋_GBK"/>
          <w:color w:val="000000"/>
          <w:spacing w:val="-2"/>
          <w:sz w:val="24"/>
          <w:u w:val="single"/>
        </w:rPr>
      </w:pPr>
      <w:r>
        <w:rPr>
          <w:rFonts w:eastAsia="方正仿宋_GBK"/>
          <w:color w:val="000000"/>
          <w:spacing w:val="-2"/>
          <w:sz w:val="24"/>
        </w:rPr>
        <w:t>B</w:t>
      </w:r>
      <w:r>
        <w:rPr>
          <w:rFonts w:hint="eastAsia" w:eastAsia="方正仿宋_GBK"/>
          <w:color w:val="000000"/>
          <w:spacing w:val="-2"/>
          <w:sz w:val="24"/>
        </w:rPr>
        <w:t>：连接管道：不锈钢波纹管</w:t>
      </w:r>
      <w:r>
        <w:rPr>
          <w:rFonts w:hint="eastAsia" w:ascii="Times New Roman" w:hAnsi="Times New Roman"/>
          <w:color w:val="000000"/>
          <w:spacing w:val="-2"/>
          <w:sz w:val="24"/>
        </w:rPr>
        <w:t>□</w:t>
      </w:r>
      <w:r>
        <w:rPr>
          <w:rFonts w:hint="eastAsia" w:eastAsia="方正仿宋_GBK"/>
          <w:color w:val="000000"/>
          <w:spacing w:val="-2"/>
          <w:sz w:val="24"/>
        </w:rPr>
        <w:t>；铝塑管</w:t>
      </w:r>
      <w:r>
        <w:rPr>
          <w:rFonts w:hint="eastAsia" w:ascii="Times New Roman" w:hAnsi="Times New Roman"/>
          <w:color w:val="000000"/>
          <w:spacing w:val="-2"/>
          <w:sz w:val="24"/>
        </w:rPr>
        <w:t>□</w:t>
      </w:r>
      <w:r>
        <w:rPr>
          <w:rFonts w:hint="eastAsia" w:eastAsia="方正仿宋_GBK"/>
          <w:color w:val="000000"/>
          <w:spacing w:val="-2"/>
          <w:sz w:val="24"/>
        </w:rPr>
        <w:t>；胶管</w:t>
      </w:r>
      <w:r>
        <w:rPr>
          <w:rFonts w:hint="eastAsia" w:ascii="Times New Roman" w:hAnsi="Times New Roman"/>
          <w:color w:val="000000"/>
          <w:spacing w:val="-2"/>
          <w:sz w:val="24"/>
        </w:rPr>
        <w:t>□</w:t>
      </w:r>
      <w:r>
        <w:rPr>
          <w:rFonts w:hint="eastAsia" w:eastAsia="方正仿宋_GBK"/>
          <w:color w:val="000000"/>
          <w:spacing w:val="-2"/>
          <w:sz w:val="24"/>
        </w:rPr>
        <w:t>；镀锌管</w:t>
      </w:r>
      <w:r>
        <w:rPr>
          <w:rFonts w:hint="eastAsia" w:ascii="Times New Roman" w:hAnsi="Times New Roman"/>
          <w:color w:val="000000"/>
          <w:spacing w:val="-2"/>
          <w:sz w:val="24"/>
        </w:rPr>
        <w:t>□</w:t>
      </w:r>
      <w:r>
        <w:rPr>
          <w:rFonts w:hint="eastAsia" w:eastAsia="方正仿宋_GBK"/>
          <w:color w:val="000000"/>
          <w:spacing w:val="-2"/>
          <w:sz w:val="24"/>
        </w:rPr>
        <w:t>；燃气专用软管</w:t>
      </w:r>
      <w:r>
        <w:rPr>
          <w:rFonts w:hint="eastAsia" w:ascii="Times New Roman" w:hAnsi="Times New Roman"/>
          <w:color w:val="000000"/>
          <w:spacing w:val="-2"/>
          <w:sz w:val="24"/>
        </w:rPr>
        <w:t>□</w:t>
      </w:r>
      <w:r>
        <w:rPr>
          <w:rFonts w:hint="eastAsia" w:eastAsia="方正仿宋_GBK"/>
          <w:color w:val="000000"/>
          <w:spacing w:val="-2"/>
          <w:sz w:val="24"/>
        </w:rPr>
        <w:t>；其它</w:t>
      </w:r>
      <w:r>
        <w:rPr>
          <w:rFonts w:eastAsia="方正仿宋_GBK"/>
          <w:color w:val="000000"/>
          <w:spacing w:val="-2"/>
          <w:sz w:val="24"/>
          <w:u w:val="single"/>
        </w:rPr>
        <w:t xml:space="preserve">               </w:t>
      </w:r>
    </w:p>
    <w:p>
      <w:pPr>
        <w:spacing w:line="460" w:lineRule="exact"/>
        <w:ind w:firstLine="472" w:firstLineChars="200"/>
        <w:rPr>
          <w:rFonts w:eastAsia="方正仿宋_GBK"/>
          <w:color w:val="000000"/>
          <w:spacing w:val="-2"/>
          <w:sz w:val="24"/>
        </w:rPr>
      </w:pPr>
      <w:r>
        <w:rPr>
          <w:rFonts w:eastAsia="方正仿宋_GBK"/>
          <w:color w:val="000000"/>
          <w:spacing w:val="-2"/>
          <w:sz w:val="24"/>
        </w:rPr>
        <w:t>C</w:t>
      </w:r>
      <w:r>
        <w:rPr>
          <w:rFonts w:hint="eastAsia" w:eastAsia="方正仿宋_GBK"/>
          <w:color w:val="000000"/>
          <w:spacing w:val="-2"/>
          <w:sz w:val="24"/>
        </w:rPr>
        <w:t>：胶管状况：良好</w:t>
      </w:r>
      <w:r>
        <w:rPr>
          <w:rFonts w:hint="eastAsia" w:ascii="Times New Roman" w:hAnsi="Times New Roman"/>
          <w:color w:val="000000"/>
          <w:spacing w:val="-2"/>
          <w:sz w:val="24"/>
        </w:rPr>
        <w:t>□</w:t>
      </w:r>
      <w:r>
        <w:rPr>
          <w:rFonts w:hint="eastAsia" w:eastAsia="方正仿宋_GBK"/>
          <w:color w:val="000000"/>
          <w:spacing w:val="-2"/>
          <w:sz w:val="24"/>
        </w:rPr>
        <w:t>；过长</w:t>
      </w:r>
      <w:r>
        <w:rPr>
          <w:rFonts w:hint="eastAsia" w:ascii="Times New Roman" w:hAnsi="Times New Roman"/>
          <w:color w:val="000000"/>
          <w:spacing w:val="-2"/>
          <w:sz w:val="24"/>
        </w:rPr>
        <w:t>□</w:t>
      </w:r>
      <w:r>
        <w:rPr>
          <w:rFonts w:hint="eastAsia" w:eastAsia="方正仿宋_GBK"/>
          <w:color w:val="000000"/>
          <w:spacing w:val="-2"/>
          <w:sz w:val="24"/>
        </w:rPr>
        <w:t>；老化</w:t>
      </w:r>
      <w:r>
        <w:rPr>
          <w:rFonts w:hint="eastAsia" w:ascii="Times New Roman" w:hAnsi="Times New Roman"/>
          <w:color w:val="000000"/>
          <w:spacing w:val="-2"/>
          <w:sz w:val="24"/>
        </w:rPr>
        <w:t>□</w:t>
      </w:r>
      <w:r>
        <w:rPr>
          <w:rFonts w:hint="eastAsia" w:eastAsia="方正仿宋_GBK"/>
          <w:color w:val="000000"/>
          <w:spacing w:val="-2"/>
          <w:sz w:val="24"/>
        </w:rPr>
        <w:t>；过期</w:t>
      </w:r>
      <w:r>
        <w:rPr>
          <w:rFonts w:hint="eastAsia" w:ascii="Times New Roman" w:hAnsi="Times New Roman"/>
          <w:color w:val="000000"/>
          <w:spacing w:val="-2"/>
          <w:sz w:val="24"/>
        </w:rPr>
        <w:t>□</w:t>
      </w:r>
      <w:r>
        <w:rPr>
          <w:rFonts w:hint="eastAsia" w:eastAsia="方正仿宋_GBK"/>
          <w:color w:val="000000"/>
          <w:spacing w:val="-2"/>
          <w:sz w:val="24"/>
        </w:rPr>
        <w:t>；暗设</w:t>
      </w:r>
      <w:r>
        <w:rPr>
          <w:rFonts w:hint="eastAsia" w:ascii="Times New Roman" w:hAnsi="Times New Roman"/>
          <w:color w:val="000000"/>
          <w:spacing w:val="-2"/>
          <w:sz w:val="24"/>
        </w:rPr>
        <w:t>□</w:t>
      </w:r>
      <w:r>
        <w:rPr>
          <w:rFonts w:hint="eastAsia" w:eastAsia="方正仿宋_GBK"/>
          <w:color w:val="000000"/>
          <w:spacing w:val="-2"/>
          <w:sz w:val="24"/>
        </w:rPr>
        <w:t>；</w:t>
      </w:r>
    </w:p>
    <w:p>
      <w:pPr>
        <w:spacing w:line="460" w:lineRule="exact"/>
        <w:ind w:firstLine="472" w:firstLineChars="200"/>
        <w:rPr>
          <w:rFonts w:eastAsia="方正仿宋_GBK"/>
          <w:color w:val="000000"/>
          <w:spacing w:val="-2"/>
          <w:sz w:val="24"/>
          <w:u w:val="single"/>
        </w:rPr>
      </w:pPr>
      <w:r>
        <w:rPr>
          <w:rFonts w:hint="eastAsia" w:eastAsia="方正仿宋_GBK"/>
          <w:color w:val="000000"/>
          <w:spacing w:val="-2"/>
          <w:sz w:val="24"/>
        </w:rPr>
        <w:t>燃气专用：是</w:t>
      </w:r>
      <w:r>
        <w:rPr>
          <w:rFonts w:eastAsia="方正仿宋_GBK"/>
          <w:color w:val="000000"/>
          <w:spacing w:val="-2"/>
          <w:sz w:val="24"/>
        </w:rPr>
        <w:t xml:space="preserve">□ </w:t>
      </w:r>
      <w:r>
        <w:rPr>
          <w:rFonts w:hint="eastAsia" w:eastAsia="方正仿宋_GBK"/>
          <w:color w:val="000000"/>
          <w:spacing w:val="-2"/>
          <w:sz w:val="24"/>
        </w:rPr>
        <w:t>，否</w:t>
      </w:r>
      <w:r>
        <w:rPr>
          <w:rFonts w:eastAsia="方正仿宋_GBK"/>
          <w:color w:val="000000"/>
          <w:spacing w:val="-2"/>
          <w:sz w:val="24"/>
        </w:rPr>
        <w:t>□</w:t>
      </w:r>
      <w:r>
        <w:rPr>
          <w:rFonts w:hint="eastAsia" w:eastAsia="方正仿宋_GBK"/>
          <w:color w:val="000000"/>
          <w:spacing w:val="-2"/>
          <w:sz w:val="24"/>
        </w:rPr>
        <w:t>；</w:t>
      </w:r>
      <w:r>
        <w:rPr>
          <w:rFonts w:eastAsia="方正仿宋_GBK"/>
          <w:color w:val="000000"/>
          <w:spacing w:val="-2"/>
          <w:sz w:val="24"/>
        </w:rPr>
        <w:t xml:space="preserve">     </w:t>
      </w:r>
      <w:r>
        <w:rPr>
          <w:rFonts w:hint="eastAsia" w:eastAsia="方正仿宋_GBK"/>
          <w:color w:val="000000"/>
          <w:spacing w:val="-2"/>
          <w:sz w:val="24"/>
        </w:rPr>
        <w:t>胶管管夹：有</w:t>
      </w:r>
      <w:r>
        <w:rPr>
          <w:rFonts w:eastAsia="方正仿宋_GBK"/>
          <w:color w:val="000000"/>
          <w:spacing w:val="-2"/>
          <w:sz w:val="24"/>
        </w:rPr>
        <w:t>□</w:t>
      </w:r>
      <w:r>
        <w:rPr>
          <w:rFonts w:hint="eastAsia" w:eastAsia="方正仿宋_GBK"/>
          <w:color w:val="000000"/>
          <w:spacing w:val="-2"/>
          <w:sz w:val="24"/>
        </w:rPr>
        <w:t>，无</w:t>
      </w:r>
      <w:r>
        <w:rPr>
          <w:rFonts w:eastAsia="方正仿宋_GBK"/>
          <w:color w:val="000000"/>
          <w:spacing w:val="-2"/>
          <w:sz w:val="24"/>
        </w:rPr>
        <w:t xml:space="preserve">□         </w:t>
      </w:r>
    </w:p>
    <w:p>
      <w:pPr>
        <w:spacing w:line="460" w:lineRule="exact"/>
        <w:ind w:left="472"/>
        <w:rPr>
          <w:rFonts w:ascii="Times New Roman" w:eastAsia="方正黑体_GBK"/>
          <w:color w:val="000000"/>
          <w:spacing w:val="-2"/>
          <w:sz w:val="24"/>
        </w:rPr>
      </w:pPr>
      <w:r>
        <w:rPr>
          <w:rFonts w:hint="eastAsia" w:ascii="Times New Roman" w:eastAsia="方正黑体_GBK"/>
          <w:color w:val="000000"/>
          <w:spacing w:val="-2"/>
          <w:sz w:val="24"/>
        </w:rPr>
        <w:t>六、气密性</w:t>
      </w:r>
    </w:p>
    <w:p>
      <w:pPr>
        <w:spacing w:line="460" w:lineRule="exact"/>
        <w:ind w:firstLine="472" w:firstLineChars="200"/>
        <w:rPr>
          <w:rFonts w:hint="eastAsia" w:eastAsia="方正仿宋_GBK"/>
          <w:color w:val="000000"/>
          <w:spacing w:val="-2"/>
          <w:sz w:val="24"/>
        </w:rPr>
      </w:pPr>
      <w:r>
        <w:rPr>
          <w:rFonts w:hint="eastAsia" w:eastAsia="方正仿宋_GBK"/>
          <w:color w:val="000000"/>
          <w:spacing w:val="-2"/>
          <w:sz w:val="24"/>
        </w:rPr>
        <w:t>燃气泄漏：无</w:t>
      </w:r>
      <w:r>
        <w:rPr>
          <w:rFonts w:hint="eastAsia" w:ascii="Times New Roman" w:hAnsi="Times New Roman"/>
          <w:color w:val="000000"/>
          <w:spacing w:val="-2"/>
          <w:sz w:val="24"/>
        </w:rPr>
        <w:t>□</w:t>
      </w:r>
      <w:r>
        <w:rPr>
          <w:rFonts w:hint="eastAsia" w:eastAsia="方正仿宋_GBK"/>
          <w:color w:val="000000"/>
          <w:spacing w:val="-2"/>
          <w:sz w:val="24"/>
        </w:rPr>
        <w:t>，有</w:t>
      </w:r>
      <w:r>
        <w:rPr>
          <w:rFonts w:hint="eastAsia" w:ascii="Times New Roman" w:hAnsi="Times New Roman"/>
          <w:color w:val="000000"/>
          <w:spacing w:val="-2"/>
          <w:sz w:val="24"/>
        </w:rPr>
        <w:t>□</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泄漏部位：</w:t>
      </w:r>
      <w:r>
        <w:rPr>
          <w:rFonts w:eastAsia="方正仿宋_GBK"/>
          <w:color w:val="000000"/>
          <w:spacing w:val="-2"/>
          <w:sz w:val="24"/>
          <w:u w:val="single"/>
        </w:rPr>
        <w:t xml:space="preserve">       </w:t>
      </w:r>
      <w:r>
        <w:rPr>
          <w:rFonts w:eastAsia="方正仿宋_GBK"/>
          <w:color w:val="000000"/>
          <w:spacing w:val="-2"/>
          <w:sz w:val="24"/>
        </w:rPr>
        <w:t xml:space="preserve"> </w:t>
      </w:r>
    </w:p>
    <w:p>
      <w:pPr>
        <w:spacing w:line="460" w:lineRule="exact"/>
        <w:jc w:val="center"/>
        <w:rPr>
          <w:rFonts w:ascii="Times New Roman" w:eastAsia="方正小标宋简体"/>
          <w:color w:val="000000"/>
          <w:sz w:val="36"/>
          <w:szCs w:val="36"/>
        </w:rPr>
      </w:pPr>
    </w:p>
    <w:p>
      <w:pPr>
        <w:rPr>
          <w:rFonts w:hint="eastAsia"/>
        </w:rPr>
      </w:pPr>
    </w:p>
    <w:p>
      <w:pPr>
        <w:spacing w:line="460" w:lineRule="exact"/>
        <w:rPr>
          <w:rFonts w:ascii="Times New Roman" w:eastAsia="方正小标宋简体"/>
          <w:color w:val="000000"/>
          <w:sz w:val="36"/>
          <w:szCs w:val="36"/>
        </w:rPr>
      </w:pPr>
    </w:p>
    <w:p>
      <w:pPr>
        <w:rPr>
          <w:rFonts w:hint="eastAsia"/>
        </w:rPr>
      </w:pPr>
    </w:p>
    <w:p/>
    <w:p>
      <w:pPr>
        <w:pStyle w:val="2"/>
        <w:spacing w:before="240" w:beforeLines="100" w:after="240" w:afterLines="100" w:line="240" w:lineRule="auto"/>
        <w:jc w:val="center"/>
        <w:rPr>
          <w:rFonts w:ascii="Times New Roman" w:eastAsia="方正小标宋_GBK"/>
          <w:b w:val="0"/>
          <w:sz w:val="36"/>
          <w:szCs w:val="36"/>
        </w:rPr>
      </w:pPr>
      <w:bookmarkStart w:id="110" w:name="_Toc20726340"/>
      <w:bookmarkStart w:id="111" w:name="_Toc18315421"/>
      <w:r>
        <w:rPr>
          <w:rFonts w:hint="eastAsia" w:ascii="Times New Roman" w:eastAsia="方正小标宋_GBK"/>
          <w:b w:val="0"/>
          <w:sz w:val="36"/>
          <w:szCs w:val="36"/>
        </w:rPr>
        <w:t>关于切实做好应急备用水源工程建设和管理的通知</w:t>
      </w:r>
      <w:bookmarkEnd w:id="110"/>
      <w:bookmarkEnd w:id="111"/>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112" w:name="_Toc20726341"/>
      <w:bookmarkStart w:id="113" w:name="_Toc18315422"/>
      <w:r>
        <w:rPr>
          <w:rFonts w:hint="eastAsia" w:ascii="Times New Roman" w:hAnsi="Times New Roman" w:eastAsia="方正楷体_GBK"/>
          <w:b w:val="0"/>
          <w:sz w:val="24"/>
          <w:szCs w:val="24"/>
        </w:rPr>
        <w:t>苏建城〔</w:t>
      </w:r>
      <w:r>
        <w:rPr>
          <w:rFonts w:ascii="Times New Roman" w:hAnsi="Times New Roman" w:eastAsia="方正楷体_GBK"/>
          <w:b w:val="0"/>
          <w:sz w:val="24"/>
          <w:szCs w:val="24"/>
        </w:rPr>
        <w:t>2011</w:t>
      </w:r>
      <w:r>
        <w:rPr>
          <w:rFonts w:hint="eastAsia" w:ascii="Times New Roman" w:hAnsi="Times New Roman" w:eastAsia="方正楷体_GBK"/>
          <w:b w:val="0"/>
          <w:sz w:val="24"/>
          <w:szCs w:val="24"/>
        </w:rPr>
        <w:t>〕</w:t>
      </w:r>
      <w:r>
        <w:rPr>
          <w:rFonts w:ascii="Times New Roman" w:hAnsi="Times New Roman" w:eastAsia="方正楷体_GBK"/>
          <w:b w:val="0"/>
          <w:sz w:val="24"/>
          <w:szCs w:val="24"/>
        </w:rPr>
        <w:t>254</w:t>
      </w:r>
      <w:r>
        <w:rPr>
          <w:rFonts w:hint="eastAsia" w:ascii="Times New Roman" w:hAnsi="Times New Roman" w:eastAsia="方正楷体_GBK"/>
          <w:b w:val="0"/>
          <w:sz w:val="24"/>
          <w:szCs w:val="24"/>
        </w:rPr>
        <w:t>号</w:t>
      </w:r>
      <w:bookmarkEnd w:id="112"/>
      <w:bookmarkEnd w:id="113"/>
    </w:p>
    <w:p>
      <w:pPr>
        <w:spacing w:line="420" w:lineRule="exact"/>
        <w:rPr>
          <w:rFonts w:eastAsia="方正仿宋_GBK"/>
          <w:color w:val="000000"/>
          <w:spacing w:val="-2"/>
          <w:kern w:val="0"/>
          <w:sz w:val="24"/>
        </w:rPr>
      </w:pPr>
      <w:r>
        <w:rPr>
          <w:rFonts w:hint="eastAsia" w:eastAsia="方正仿宋_GBK"/>
          <w:color w:val="000000"/>
          <w:spacing w:val="-2"/>
          <w:kern w:val="0"/>
          <w:sz w:val="24"/>
        </w:rPr>
        <w:t>各市建设局（建委），无锡市市政和园林局，徐州、苏州、宿迁市水务局：</w:t>
      </w:r>
    </w:p>
    <w:p>
      <w:pPr>
        <w:spacing w:line="42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为贯彻落实《江苏省城乡供水管理条例》和《省人大常委会关于加强饮用水源地保护的决定》要求，从根本上解决饮用水安全问题，现就做好第二水源、应急备用水源工程建设和管理工作提出以下意见。</w:t>
      </w:r>
    </w:p>
    <w:p>
      <w:pPr>
        <w:spacing w:line="420" w:lineRule="exact"/>
        <w:ind w:firstLine="472" w:firstLineChars="200"/>
        <w:rPr>
          <w:rFonts w:ascii="Times New Roman" w:eastAsia="方正黑体_GBK"/>
          <w:color w:val="000000"/>
          <w:spacing w:val="-2"/>
          <w:kern w:val="0"/>
          <w:sz w:val="24"/>
        </w:rPr>
      </w:pPr>
      <w:r>
        <w:rPr>
          <w:rFonts w:hint="eastAsia" w:ascii="Times New Roman" w:eastAsia="方正黑体_GBK"/>
          <w:color w:val="000000"/>
          <w:spacing w:val="-2"/>
          <w:kern w:val="0"/>
          <w:sz w:val="24"/>
        </w:rPr>
        <w:t>一、充分认识应急备用水源建设的重要性和紧迫性</w:t>
      </w:r>
    </w:p>
    <w:p>
      <w:pPr>
        <w:spacing w:line="420" w:lineRule="exact"/>
        <w:ind w:firstLine="472" w:firstLineChars="200"/>
        <w:rPr>
          <w:rFonts w:hint="eastAsia" w:eastAsia="方正仿宋_GBK"/>
          <w:color w:val="000000"/>
          <w:spacing w:val="-2"/>
          <w:kern w:val="0"/>
          <w:sz w:val="24"/>
        </w:rPr>
      </w:pPr>
      <w:r>
        <w:rPr>
          <w:rFonts w:hint="eastAsia" w:eastAsia="方正仿宋_GBK"/>
          <w:color w:val="000000"/>
          <w:spacing w:val="-2"/>
          <w:sz w:val="24"/>
        </w:rPr>
        <w:t>我省地处长江、淮河两大江河流域下游，受上游污染以及本地污染的影响，境内地表水不同程度受到污染，地表供水水源的不稳定性、脆弱性，是城乡安全供水的潜在隐患和威胁。特别是</w:t>
      </w:r>
      <w:r>
        <w:rPr>
          <w:rFonts w:eastAsia="方正仿宋_GBK"/>
          <w:color w:val="000000"/>
          <w:spacing w:val="-2"/>
          <w:sz w:val="24"/>
        </w:rPr>
        <w:t>2007</w:t>
      </w:r>
      <w:r>
        <w:rPr>
          <w:rFonts w:hint="eastAsia" w:eastAsia="方正仿宋_GBK"/>
          <w:color w:val="000000"/>
          <w:spacing w:val="-2"/>
          <w:sz w:val="24"/>
        </w:rPr>
        <w:t>年太湖蓝藻爆发引起无锡水污染事件后，又接连发生了沭阳、盐城等突发性水源地污染事件，给全省城市供水安全敲响了警钟。建设第二水源或者应急水源工程，是解决饮用水源地突发水污染事件的根本措施，在区域供水不断推进的形势下更显迫切和重要。为此，</w:t>
      </w:r>
      <w:r>
        <w:rPr>
          <w:rFonts w:hint="eastAsia" w:eastAsia="方正仿宋_GBK"/>
          <w:color w:val="000000"/>
          <w:spacing w:val="-2"/>
          <w:kern w:val="0"/>
          <w:sz w:val="24"/>
        </w:rPr>
        <w:t>《江苏省城乡供水管理条例》和《省人大常委会关于加强饮用水源地保护的决定》都明确提出</w:t>
      </w:r>
      <w:r>
        <w:rPr>
          <w:rFonts w:eastAsia="方正仿宋_GBK"/>
          <w:color w:val="000000"/>
          <w:spacing w:val="-2"/>
          <w:kern w:val="0"/>
          <w:sz w:val="24"/>
        </w:rPr>
        <w:t>“</w:t>
      </w:r>
      <w:r>
        <w:rPr>
          <w:rFonts w:hint="eastAsia" w:eastAsia="方正仿宋_GBK"/>
          <w:color w:val="000000"/>
          <w:spacing w:val="-2"/>
          <w:kern w:val="0"/>
          <w:sz w:val="24"/>
        </w:rPr>
        <w:t>有水源条件的地区应当建设两个以上相对独立控制取水的饮用水源地；不具备双水源条件的地区，应当依法建设地下水或者与相邻地区联网供水等应急供水水源</w:t>
      </w:r>
      <w:r>
        <w:rPr>
          <w:rFonts w:eastAsia="方正仿宋_GBK"/>
          <w:color w:val="000000"/>
          <w:spacing w:val="-2"/>
          <w:kern w:val="0"/>
          <w:sz w:val="24"/>
        </w:rPr>
        <w:t>”</w:t>
      </w:r>
      <w:r>
        <w:rPr>
          <w:rFonts w:hint="eastAsia" w:eastAsia="方正仿宋_GBK"/>
          <w:color w:val="000000"/>
          <w:spacing w:val="-2"/>
          <w:kern w:val="0"/>
          <w:sz w:val="24"/>
        </w:rPr>
        <w:t>。江苏虽然水网密布，但是水系相对单一，城市附近可用水源地已经开发完毕，且随着区域供水的实施，供水覆盖面进一步扩大，特别是长江沿线城市，供水水量大，服务范围广，对第二水源、应急备用水源工程建设的要求也越来越高。各地城市供水主管部门要以贯彻落实《条例》为契机，切实增强对第二水源、应急水源建设工作重要性和紧迫性的认识，积极组织开展第二水源、应急备用水源的规划和建设，从根本上保障本地区城乡居民饮水安全。</w:t>
      </w:r>
    </w:p>
    <w:p>
      <w:pPr>
        <w:spacing w:line="420" w:lineRule="exact"/>
        <w:ind w:firstLine="472" w:firstLineChars="200"/>
        <w:rPr>
          <w:rFonts w:ascii="Times New Roman" w:eastAsia="方正黑体_GBK"/>
          <w:color w:val="000000"/>
          <w:spacing w:val="-2"/>
          <w:kern w:val="0"/>
          <w:sz w:val="24"/>
        </w:rPr>
      </w:pPr>
      <w:r>
        <w:rPr>
          <w:rFonts w:hint="eastAsia" w:ascii="Times New Roman" w:eastAsia="方正黑体_GBK"/>
          <w:color w:val="000000"/>
          <w:spacing w:val="-2"/>
          <w:kern w:val="0"/>
          <w:sz w:val="24"/>
        </w:rPr>
        <w:t>二、因地制宜开展应急备用水源工程的规划和建设</w:t>
      </w:r>
    </w:p>
    <w:p>
      <w:pPr>
        <w:spacing w:line="420" w:lineRule="exact"/>
        <w:ind w:firstLine="472" w:firstLineChars="200"/>
        <w:rPr>
          <w:rFonts w:hint="eastAsia" w:eastAsia="方正仿宋_GBK"/>
          <w:color w:val="000000"/>
          <w:spacing w:val="-2"/>
          <w:kern w:val="0"/>
          <w:sz w:val="24"/>
        </w:rPr>
      </w:pPr>
      <w:r>
        <w:rPr>
          <w:rFonts w:hint="eastAsia" w:eastAsia="方正仿宋_GBK"/>
          <w:color w:val="000000"/>
          <w:spacing w:val="-2"/>
          <w:kern w:val="0"/>
          <w:sz w:val="24"/>
        </w:rPr>
        <w:t>各地要根据当地水资源特点，从技术经济分析出发，因地制宜提出应急备用水源的规划和建设方案，并按照规定做好水源地环境影响评价、可行性研究报告的前期论证工作，确保应急备用水源工程项目的科学性、安全性。在第二水源、应急备用水源工程规划和建设过程中，必须坚持以下原则：一是原水水质安全。水质达标是作为应急备用水源的前提条件。原水水质要在现有净水处理工艺的基础上能够保证出厂水水质稳定达标。因此，原水水质必须基本满足《地表水环境质量标准》</w:t>
      </w:r>
      <w:r>
        <w:rPr>
          <w:rFonts w:eastAsia="方正仿宋_GBK"/>
          <w:color w:val="000000"/>
          <w:spacing w:val="-2"/>
          <w:kern w:val="0"/>
          <w:sz w:val="24"/>
        </w:rPr>
        <w:fldChar w:fldCharType="begin"/>
      </w:r>
      <w:r>
        <w:rPr>
          <w:rFonts w:eastAsia="方正仿宋_GBK"/>
          <w:color w:val="000000"/>
          <w:spacing w:val="-2"/>
          <w:kern w:val="0"/>
          <w:sz w:val="24"/>
        </w:rPr>
        <w:instrText xml:space="preserve"> = 3 \* ROMAN </w:instrText>
      </w:r>
      <w:r>
        <w:rPr>
          <w:rFonts w:eastAsia="方正仿宋_GBK"/>
          <w:color w:val="000000"/>
          <w:spacing w:val="-2"/>
          <w:kern w:val="0"/>
          <w:sz w:val="24"/>
        </w:rPr>
        <w:fldChar w:fldCharType="separate"/>
      </w:r>
      <w:r>
        <w:rPr>
          <w:rFonts w:eastAsia="方正仿宋_GBK"/>
          <w:color w:val="000000"/>
          <w:spacing w:val="-2"/>
          <w:kern w:val="0"/>
          <w:sz w:val="24"/>
        </w:rPr>
        <w:t>III</w:t>
      </w:r>
      <w:r>
        <w:rPr>
          <w:rFonts w:eastAsia="方正仿宋_GBK"/>
          <w:color w:val="000000"/>
          <w:spacing w:val="-2"/>
          <w:kern w:val="0"/>
          <w:sz w:val="24"/>
        </w:rPr>
        <w:fldChar w:fldCharType="end"/>
      </w:r>
      <w:r>
        <w:rPr>
          <w:rFonts w:hint="eastAsia" w:eastAsia="方正仿宋_GBK"/>
          <w:color w:val="000000"/>
          <w:spacing w:val="-2"/>
          <w:kern w:val="0"/>
          <w:sz w:val="24"/>
        </w:rPr>
        <w:t>类以上标准。二是水源水量有保证。没有充足的水量，不能保证供水安全。因此，在选择应急备用水源时，必须充分论证水量的保证率，要从最低限度满足城乡居民饮用水和重点用户的用水量以及持续取水的时间等因素，规划和建设城市应急备用水源工程。三是供水方式可行。当选择地下水作为应急备用水源时，在水质、水量都能保证的前提下，应充分考虑与城市供水管网并网供水的可行性，尽最大可能方便用户。四是尽可能做到平战结合。第二水源、应急备用水源工程建设投入大，使用机率小，保护要求高，各地要尽可能结合当地生态环境工程项目开展应急备用水源工程的建设，充分发挥投资效益和环境效益。</w:t>
      </w:r>
    </w:p>
    <w:p>
      <w:pPr>
        <w:spacing w:line="420" w:lineRule="exact"/>
        <w:ind w:firstLine="472" w:firstLineChars="200"/>
        <w:rPr>
          <w:rFonts w:ascii="Times New Roman" w:eastAsia="方正黑体_GBK"/>
          <w:color w:val="000000"/>
          <w:spacing w:val="-2"/>
          <w:kern w:val="0"/>
          <w:sz w:val="24"/>
        </w:rPr>
      </w:pPr>
      <w:r>
        <w:rPr>
          <w:rFonts w:hint="eastAsia" w:ascii="Times New Roman" w:eastAsia="方正黑体_GBK"/>
          <w:color w:val="000000"/>
          <w:spacing w:val="-2"/>
          <w:kern w:val="0"/>
          <w:sz w:val="24"/>
        </w:rPr>
        <w:t>三、切实加快应急备用水源工程的建设</w:t>
      </w:r>
    </w:p>
    <w:p>
      <w:pPr>
        <w:spacing w:line="420" w:lineRule="exact"/>
        <w:ind w:firstLine="472" w:firstLineChars="200"/>
        <w:rPr>
          <w:rFonts w:hint="eastAsia" w:eastAsia="方正仿宋_GBK"/>
          <w:color w:val="000000"/>
          <w:spacing w:val="-2"/>
          <w:kern w:val="0"/>
          <w:sz w:val="24"/>
        </w:rPr>
      </w:pPr>
      <w:r>
        <w:rPr>
          <w:rFonts w:hint="eastAsia" w:eastAsia="方正仿宋_GBK"/>
          <w:color w:val="000000"/>
          <w:spacing w:val="-2"/>
          <w:kern w:val="0"/>
          <w:sz w:val="24"/>
        </w:rPr>
        <w:t>对当前已经确定第二水源、应急备用水源建设方案的城市，各地要加紧做好项目的前期准备工作，加大投入，加快建设步伐，力争在</w:t>
      </w:r>
      <w:r>
        <w:rPr>
          <w:rFonts w:eastAsia="方正仿宋_GBK"/>
          <w:color w:val="000000"/>
          <w:spacing w:val="-2"/>
          <w:kern w:val="0"/>
          <w:sz w:val="24"/>
        </w:rPr>
        <w:t>2011</w:t>
      </w:r>
      <w:r>
        <w:rPr>
          <w:rFonts w:hint="eastAsia" w:eastAsia="方正仿宋_GBK"/>
          <w:color w:val="000000"/>
          <w:spacing w:val="-2"/>
          <w:kern w:val="0"/>
          <w:sz w:val="24"/>
        </w:rPr>
        <w:t>年底前完成建设任务；当前尚未确定第二水源、应急备用水源建设方案的城市，要按照第二水源、应急备用水源工程规划和建设的原则，加快应急备用水源的选址，并加紧做好项目的前期准备工作，力争在</w:t>
      </w:r>
      <w:r>
        <w:rPr>
          <w:rFonts w:eastAsia="方正仿宋_GBK"/>
          <w:color w:val="000000"/>
          <w:spacing w:val="-2"/>
          <w:kern w:val="0"/>
          <w:sz w:val="24"/>
        </w:rPr>
        <w:t>2012</w:t>
      </w:r>
      <w:r>
        <w:rPr>
          <w:rFonts w:hint="eastAsia" w:eastAsia="方正仿宋_GBK"/>
          <w:color w:val="000000"/>
          <w:spacing w:val="-2"/>
          <w:kern w:val="0"/>
          <w:sz w:val="24"/>
        </w:rPr>
        <w:t>年底前全面建成应急备用水源，实现全省应急备用水源全覆盖。</w:t>
      </w:r>
    </w:p>
    <w:p>
      <w:pPr>
        <w:spacing w:line="420" w:lineRule="exact"/>
        <w:ind w:firstLine="472" w:firstLineChars="200"/>
        <w:rPr>
          <w:rFonts w:eastAsia="方正仿宋_GBK"/>
          <w:color w:val="000000"/>
          <w:spacing w:val="-2"/>
          <w:kern w:val="0"/>
          <w:sz w:val="24"/>
        </w:rPr>
      </w:pPr>
      <w:r>
        <w:rPr>
          <w:rFonts w:hint="eastAsia" w:eastAsia="方正仿宋_GBK"/>
          <w:color w:val="000000"/>
          <w:spacing w:val="-2"/>
          <w:kern w:val="0"/>
          <w:sz w:val="24"/>
        </w:rPr>
        <w:t>在工程建设中，各地要严格落实项目基建程序，特别是做好第二水源、应急备用水源的环境影响评价和可行性研究报告等前期工作，确保项目建设科学；加强工程质量管理，严格实行招投标制度，确保工程质量安全；做好项目建成后的调试运行工作，确保工程正常投运。</w:t>
      </w:r>
    </w:p>
    <w:p>
      <w:pPr>
        <w:spacing w:line="420" w:lineRule="exact"/>
        <w:ind w:firstLine="472" w:firstLineChars="200"/>
        <w:rPr>
          <w:rFonts w:ascii="Times New Roman" w:eastAsia="方正黑体_GBK"/>
          <w:color w:val="000000"/>
          <w:spacing w:val="-2"/>
          <w:kern w:val="0"/>
          <w:sz w:val="24"/>
        </w:rPr>
      </w:pPr>
      <w:r>
        <w:rPr>
          <w:rFonts w:hint="eastAsia" w:ascii="Times New Roman" w:eastAsia="方正黑体_GBK"/>
          <w:color w:val="000000"/>
          <w:spacing w:val="-2"/>
          <w:kern w:val="0"/>
          <w:sz w:val="24"/>
        </w:rPr>
        <w:t>四、加强对应急备用水源工程的管理</w:t>
      </w:r>
    </w:p>
    <w:p>
      <w:pPr>
        <w:spacing w:line="420" w:lineRule="exact"/>
        <w:ind w:firstLine="472" w:firstLineChars="200"/>
        <w:rPr>
          <w:rFonts w:hint="eastAsia" w:eastAsia="方正仿宋_GBK"/>
          <w:color w:val="000000"/>
          <w:spacing w:val="-2"/>
          <w:kern w:val="0"/>
          <w:sz w:val="24"/>
        </w:rPr>
      </w:pPr>
      <w:r>
        <w:rPr>
          <w:rFonts w:hint="eastAsia" w:eastAsia="方正仿宋_GBK"/>
          <w:color w:val="000000"/>
          <w:spacing w:val="-2"/>
          <w:kern w:val="0"/>
          <w:sz w:val="24"/>
        </w:rPr>
        <w:t>第二水源、应急备用水源工程是城市饮用水安全的根本保障，各地要切实加强对已建第二水源、应急备用水源工程的维护和管理，确保随时能够安全使用：一是要按照集中式饮用水源地保护的要求，落实保护措施，切实加强对第二水源、应急备用水源地的保护；二是要加强对输水管道、设备、设施的维护保养和运行管理，定期开机运行演练，确保需要时能安全启用运行；三是按照国家和省确定的水质检测要求，定期开展原水水质检测工作，研究制定处理工艺参数，确保应急时能够安全并网供水。</w:t>
      </w:r>
    </w:p>
    <w:p>
      <w:pPr>
        <w:spacing w:line="420" w:lineRule="exact"/>
        <w:ind w:firstLine="472" w:firstLineChars="200"/>
        <w:rPr>
          <w:rFonts w:eastAsia="方正仿宋_GBK"/>
          <w:color w:val="000000"/>
          <w:spacing w:val="-2"/>
          <w:kern w:val="0"/>
          <w:sz w:val="24"/>
        </w:rPr>
      </w:pPr>
      <w:r>
        <w:rPr>
          <w:rFonts w:hint="eastAsia" w:eastAsia="方正仿宋_GBK"/>
          <w:color w:val="000000"/>
          <w:spacing w:val="-2"/>
          <w:kern w:val="0"/>
          <w:sz w:val="24"/>
        </w:rPr>
        <w:t>第二水源、应急备用水源工程事关我省城市供水安全，是城市饮用水安全的根本保障，各地、各部门要从贯彻落实《条例》的要求和省委省政府的工作部署出发，积极做好应急备用水源工程的建设和管理各项工作，确保全省城市饮用水安全。</w:t>
      </w:r>
    </w:p>
    <w:p>
      <w:pPr>
        <w:spacing w:line="420" w:lineRule="exact"/>
        <w:ind w:firstLine="472" w:firstLineChars="200"/>
        <w:rPr>
          <w:rFonts w:eastAsia="方正仿宋_GBK"/>
          <w:color w:val="000000"/>
          <w:spacing w:val="-2"/>
          <w:kern w:val="0"/>
          <w:sz w:val="24"/>
        </w:rPr>
      </w:pPr>
      <w:r>
        <w:rPr>
          <w:rFonts w:hint="eastAsia" w:eastAsia="方正仿宋_GBK"/>
          <w:color w:val="000000"/>
          <w:spacing w:val="-2"/>
          <w:kern w:val="0"/>
          <w:sz w:val="24"/>
        </w:rPr>
        <w:t>各地贯彻落实情况请报告我厅。</w:t>
      </w:r>
    </w:p>
    <w:p>
      <w:pPr>
        <w:tabs>
          <w:tab w:val="left" w:pos="5668"/>
          <w:tab w:val="right" w:pos="8306"/>
        </w:tabs>
        <w:spacing w:line="420" w:lineRule="exact"/>
        <w:ind w:firstLine="472" w:firstLineChars="200"/>
        <w:jc w:val="left"/>
        <w:rPr>
          <w:rFonts w:eastAsia="方正仿宋_GBK"/>
          <w:color w:val="000000"/>
          <w:spacing w:val="-2"/>
          <w:kern w:val="0"/>
          <w:sz w:val="24"/>
        </w:rPr>
      </w:pPr>
      <w:r>
        <w:rPr>
          <w:rFonts w:eastAsia="方正仿宋_GBK"/>
          <w:color w:val="000000"/>
          <w:spacing w:val="-2"/>
          <w:kern w:val="0"/>
          <w:sz w:val="24"/>
        </w:rPr>
        <w:tab/>
      </w:r>
      <w:r>
        <w:rPr>
          <w:rFonts w:hint="eastAsia" w:eastAsia="方正仿宋_GBK"/>
          <w:color w:val="000000"/>
          <w:spacing w:val="-2"/>
          <w:kern w:val="0"/>
          <w:sz w:val="24"/>
        </w:rPr>
        <w:t>江苏省住房和城乡建设厅</w:t>
      </w:r>
      <w:r>
        <w:rPr>
          <w:rFonts w:eastAsia="方正仿宋_GBK"/>
          <w:color w:val="000000"/>
          <w:spacing w:val="-2"/>
          <w:kern w:val="0"/>
          <w:sz w:val="24"/>
        </w:rPr>
        <w:t xml:space="preserve">   </w:t>
      </w:r>
    </w:p>
    <w:p>
      <w:pPr>
        <w:tabs>
          <w:tab w:val="left" w:pos="3268"/>
          <w:tab w:val="right" w:pos="8306"/>
        </w:tabs>
        <w:spacing w:line="420" w:lineRule="exact"/>
        <w:ind w:firstLine="5782" w:firstLineChars="2450"/>
        <w:rPr>
          <w:rFonts w:eastAsia="方正仿宋_GBK"/>
          <w:color w:val="000000"/>
          <w:spacing w:val="-2"/>
          <w:kern w:val="0"/>
          <w:sz w:val="24"/>
        </w:rPr>
      </w:pPr>
      <w:r>
        <w:rPr>
          <w:rFonts w:hint="eastAsia" w:eastAsia="方正仿宋_GBK"/>
          <w:color w:val="000000"/>
          <w:spacing w:val="-2"/>
          <w:kern w:val="0"/>
          <w:sz w:val="24"/>
        </w:rPr>
        <w:t>二</w:t>
      </w:r>
      <w:r>
        <w:rPr>
          <w:rFonts w:hint="eastAsia" w:eastAsia="方正仿宋_GBK"/>
          <w:color w:val="000000"/>
          <w:spacing w:val="-2"/>
          <w:sz w:val="24"/>
        </w:rPr>
        <w:t>○</w:t>
      </w:r>
      <w:r>
        <w:rPr>
          <w:rFonts w:hint="eastAsia" w:eastAsia="方正仿宋_GBK"/>
          <w:color w:val="000000"/>
          <w:spacing w:val="-2"/>
          <w:kern w:val="0"/>
          <w:sz w:val="24"/>
        </w:rPr>
        <w:t>一一年四月十三日</w:t>
      </w:r>
      <w:r>
        <w:rPr>
          <w:rFonts w:eastAsia="方正仿宋_GBK"/>
          <w:color w:val="000000"/>
          <w:spacing w:val="-2"/>
          <w:kern w:val="0"/>
          <w:sz w:val="24"/>
        </w:rPr>
        <w:t xml:space="preserve">    </w:t>
      </w:r>
    </w:p>
    <w:p>
      <w:pPr>
        <w:pStyle w:val="2"/>
        <w:spacing w:before="240" w:beforeLines="100" w:after="240" w:afterLines="100" w:line="240" w:lineRule="auto"/>
        <w:jc w:val="center"/>
        <w:rPr>
          <w:rFonts w:ascii="Times New Roman" w:eastAsia="方正小标宋_GBK"/>
          <w:b w:val="0"/>
          <w:sz w:val="36"/>
          <w:szCs w:val="36"/>
        </w:rPr>
      </w:pPr>
      <w:bookmarkStart w:id="114" w:name="_Toc20726342"/>
      <w:r>
        <w:rPr>
          <w:rFonts w:hint="eastAsia" w:ascii="Times New Roman" w:eastAsia="方正小标宋_GBK"/>
          <w:b w:val="0"/>
          <w:sz w:val="36"/>
          <w:szCs w:val="36"/>
        </w:rPr>
        <w:t>关于进一步加强城乡供水工作确保安全度夏的通知</w:t>
      </w:r>
      <w:bookmarkEnd w:id="114"/>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115" w:name="_Toc20726343"/>
      <w:r>
        <w:rPr>
          <w:rFonts w:hint="eastAsia" w:ascii="Times New Roman" w:hAnsi="Times New Roman" w:eastAsia="方正楷体_GBK"/>
          <w:b w:val="0"/>
          <w:sz w:val="24"/>
          <w:szCs w:val="24"/>
        </w:rPr>
        <w:t>苏建城〔</w:t>
      </w:r>
      <w:r>
        <w:rPr>
          <w:rFonts w:ascii="Times New Roman" w:hAnsi="Times New Roman" w:eastAsia="方正楷体_GBK"/>
          <w:b w:val="0"/>
          <w:sz w:val="24"/>
          <w:szCs w:val="24"/>
        </w:rPr>
        <w:t>2011</w:t>
      </w:r>
      <w:r>
        <w:rPr>
          <w:rFonts w:hint="eastAsia" w:ascii="Times New Roman" w:hAnsi="Times New Roman" w:eastAsia="方正楷体_GBK"/>
          <w:b w:val="0"/>
          <w:sz w:val="24"/>
          <w:szCs w:val="24"/>
        </w:rPr>
        <w:t>〕</w:t>
      </w:r>
      <w:r>
        <w:rPr>
          <w:rFonts w:ascii="Times New Roman" w:hAnsi="Times New Roman" w:eastAsia="方正楷体_GBK"/>
          <w:b w:val="0"/>
          <w:sz w:val="24"/>
          <w:szCs w:val="24"/>
        </w:rPr>
        <w:t>297</w:t>
      </w:r>
      <w:r>
        <w:rPr>
          <w:rFonts w:hint="eastAsia" w:ascii="Times New Roman" w:hAnsi="Times New Roman" w:eastAsia="方正楷体_GBK"/>
          <w:b w:val="0"/>
          <w:sz w:val="24"/>
          <w:szCs w:val="24"/>
        </w:rPr>
        <w:t>号</w:t>
      </w:r>
      <w:bookmarkEnd w:id="115"/>
    </w:p>
    <w:p>
      <w:pPr>
        <w:spacing w:line="460" w:lineRule="exact"/>
        <w:rPr>
          <w:rFonts w:eastAsia="方正仿宋_GBK"/>
          <w:color w:val="000000"/>
          <w:spacing w:val="-2"/>
          <w:sz w:val="24"/>
        </w:rPr>
      </w:pPr>
      <w:r>
        <w:rPr>
          <w:rFonts w:hint="eastAsia" w:eastAsia="方正仿宋_GBK"/>
          <w:color w:val="000000"/>
          <w:spacing w:val="-2"/>
          <w:sz w:val="24"/>
        </w:rPr>
        <w:t>各市、县建设局（委）、水务局、市政园林（公用）局：</w:t>
      </w:r>
    </w:p>
    <w:p>
      <w:pPr>
        <w:spacing w:line="460" w:lineRule="exact"/>
        <w:rPr>
          <w:rFonts w:eastAsia="方正仿宋_GBK"/>
          <w:color w:val="000000"/>
          <w:spacing w:val="-2"/>
          <w:sz w:val="24"/>
        </w:rPr>
      </w:pPr>
      <w:r>
        <w:rPr>
          <w:rFonts w:eastAsia="方正仿宋_GBK"/>
          <w:color w:val="000000"/>
          <w:spacing w:val="-2"/>
          <w:sz w:val="24"/>
        </w:rPr>
        <w:t xml:space="preserve">    </w:t>
      </w:r>
      <w:r>
        <w:rPr>
          <w:rFonts w:hint="eastAsia" w:eastAsia="方正仿宋_GBK"/>
          <w:color w:val="000000"/>
          <w:spacing w:val="-2"/>
          <w:sz w:val="24"/>
        </w:rPr>
        <w:t>今年以来，降雨量较常年锐减，河湖水位偏低，太湖水位持续下降，随着气温抬升，形成了有利蓝藻暴发的条件，少数水库水资源接近枯竭，对城乡供水安全构成了较大威胁。为进一步加强城乡供水工作，确保安全度夏，现就有关事项通知如下：</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一、充分认识做好当前城乡供水安全保障工作的重要性和紧迫性</w:t>
      </w:r>
    </w:p>
    <w:p>
      <w:pPr>
        <w:spacing w:line="460" w:lineRule="exact"/>
        <w:ind w:firstLine="472" w:firstLineChars="200"/>
        <w:rPr>
          <w:rFonts w:hint="eastAsia" w:eastAsia="方正仿宋_GBK"/>
          <w:color w:val="000000"/>
          <w:spacing w:val="-2"/>
          <w:sz w:val="24"/>
        </w:rPr>
      </w:pPr>
      <w:r>
        <w:rPr>
          <w:rFonts w:hint="eastAsia" w:eastAsia="方正仿宋_GBK"/>
          <w:color w:val="000000"/>
          <w:spacing w:val="-2"/>
          <w:sz w:val="24"/>
        </w:rPr>
        <w:t>我省地处长江、淮河下游，城市集中式饮用水源地原水水质容易遭受上游客水、汛期面源污染和突发事件水污染的影响，供水水源总体较弱。特别是今年以来各地普遍降雨较少，湖库水位下降。根据气象预测，今年我省苏南地区梅雨偏少，夏季气温将偏高，淮河流域面临首汛水污染问题。此外，我省部分市县供水设施老化，技术管理和水质检测能力薄弱，部分城市应急备用水源尚未建成，城乡饮用水安全保供工作形势不容乐观。各地要充分认识到保障饮用水安全工作的长期性、艰巨性、复杂性和紧迫性，从执政为民和维护社会稳定的高度，把供水安全保障工作作为重中之重，切实加强组织领导，全面落实饮用水安全保障各项措施，完善应急机制，确保供水安全保障各项工作落到实处，实现城乡居民饮水安全度夏。</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二、完善并落实城乡供水安全保障各项工作措施</w:t>
      </w:r>
    </w:p>
    <w:p>
      <w:pPr>
        <w:spacing w:line="460" w:lineRule="exact"/>
        <w:ind w:firstLine="472" w:firstLineChars="200"/>
        <w:rPr>
          <w:rFonts w:hint="eastAsia" w:eastAsia="方正仿宋_GBK"/>
          <w:color w:val="000000"/>
          <w:spacing w:val="-2"/>
          <w:sz w:val="24"/>
        </w:rPr>
      </w:pPr>
      <w:r>
        <w:rPr>
          <w:rFonts w:hint="eastAsia" w:eastAsia="方正仿宋_GBK"/>
          <w:color w:val="000000"/>
          <w:spacing w:val="-2"/>
          <w:sz w:val="24"/>
        </w:rPr>
        <w:t>城乡供水安全保障工作涉及水源、水厂、输配水管网和二次供水等各个环节，各地要强化措施，建立供水安全目标责任制，切实加强从源头到龙头的全过程水质管理，全面保障城乡饮用水安全。</w:t>
      </w:r>
    </w:p>
    <w:p>
      <w:pPr>
        <w:spacing w:line="460" w:lineRule="exact"/>
        <w:ind w:firstLine="472" w:firstLineChars="200"/>
        <w:rPr>
          <w:rFonts w:eastAsia="方正仿宋_GBK"/>
          <w:color w:val="000000"/>
          <w:spacing w:val="-2"/>
          <w:sz w:val="24"/>
        </w:rPr>
      </w:pPr>
      <w:r>
        <w:rPr>
          <w:rFonts w:eastAsia="方正楷体_GBK"/>
          <w:color w:val="000000"/>
          <w:spacing w:val="-2"/>
          <w:sz w:val="24"/>
        </w:rPr>
        <w:t>1</w:t>
      </w:r>
      <w:r>
        <w:rPr>
          <w:rFonts w:hint="eastAsia" w:eastAsia="方正楷体_GBK"/>
          <w:color w:val="000000"/>
          <w:spacing w:val="-2"/>
          <w:sz w:val="24"/>
        </w:rPr>
        <w:t>、做好水源地安全隐患排查整改工作。</w:t>
      </w:r>
      <w:r>
        <w:rPr>
          <w:rFonts w:hint="eastAsia" w:eastAsia="方正仿宋_GBK"/>
          <w:color w:val="000000"/>
          <w:spacing w:val="-2"/>
          <w:sz w:val="24"/>
        </w:rPr>
        <w:t>按照</w:t>
      </w:r>
      <w:r>
        <w:rPr>
          <w:rFonts w:eastAsia="方正仿宋_GBK"/>
          <w:color w:val="000000"/>
          <w:spacing w:val="-2"/>
          <w:sz w:val="24"/>
        </w:rPr>
        <w:t>“</w:t>
      </w:r>
      <w:r>
        <w:rPr>
          <w:rFonts w:hint="eastAsia" w:eastAsia="方正仿宋_GBK"/>
          <w:color w:val="000000"/>
          <w:spacing w:val="-2"/>
          <w:sz w:val="24"/>
        </w:rPr>
        <w:t>谁管理、谁负责</w:t>
      </w:r>
      <w:r>
        <w:rPr>
          <w:rFonts w:eastAsia="方正仿宋_GBK"/>
          <w:color w:val="000000"/>
          <w:spacing w:val="-2"/>
          <w:sz w:val="24"/>
        </w:rPr>
        <w:t>”</w:t>
      </w:r>
      <w:r>
        <w:rPr>
          <w:rFonts w:hint="eastAsia" w:eastAsia="方正仿宋_GBK"/>
          <w:color w:val="000000"/>
          <w:spacing w:val="-2"/>
          <w:sz w:val="24"/>
        </w:rPr>
        <w:t>的原则，对城市供水水源存在的安全隐患进行排查和整改。各级城市供水主管部门要抓紧会同环保、水利、海事等有关部门和供水企业对城市供水水源地保护区内外污染源情况开展详细的调查，摸清城市供水水源汇水区、引水沟（渠）、水库（井）等周边范围内的工业、生活、农业、禽畜养殖等污染源，对各类排污口和排放的主要污染物登记造册，全面掌握污染隐患情况。对于严重威胁供水安全的污染源，要立即整改到位；对于暂时没有条件整改的污染源，要落实好防控预案。</w:t>
      </w:r>
    </w:p>
    <w:p>
      <w:pPr>
        <w:spacing w:line="460" w:lineRule="exact"/>
        <w:ind w:firstLine="472" w:firstLineChars="200"/>
        <w:rPr>
          <w:rFonts w:eastAsia="方正仿宋_GBK"/>
          <w:color w:val="000000"/>
          <w:spacing w:val="-2"/>
          <w:sz w:val="24"/>
        </w:rPr>
      </w:pPr>
      <w:r>
        <w:rPr>
          <w:rFonts w:eastAsia="方正楷体_GBK"/>
          <w:color w:val="000000"/>
          <w:spacing w:val="-2"/>
          <w:sz w:val="24"/>
        </w:rPr>
        <w:t>2</w:t>
      </w:r>
      <w:r>
        <w:rPr>
          <w:rFonts w:hint="eastAsia" w:eastAsia="方正楷体_GBK"/>
          <w:color w:val="000000"/>
          <w:spacing w:val="-2"/>
          <w:sz w:val="24"/>
        </w:rPr>
        <w:t>、加快推进应急备用水源建设和深度处理工作。</w:t>
      </w:r>
      <w:r>
        <w:rPr>
          <w:rFonts w:hint="eastAsia" w:eastAsia="方正仿宋_GBK"/>
          <w:color w:val="000000"/>
          <w:spacing w:val="-2"/>
          <w:sz w:val="24"/>
        </w:rPr>
        <w:t>认真贯彻《江苏省城乡供水管理条例》，加快应急备用水源建设，对具备不同水系、有条件建设多水源的城市，必须在今年内建成应急备用水源并建设必要的取水、净水设施和输水管道，实现净水厂之间的原水互供；对受当地水源条件限制不具备建设应急水源的城市，按满足居民和重要用水户生活用水量的需求，通过相邻城市的清水管网联通或开采深井水等方式，来保证居民饮用水安全需要。同时，各地要对照实施《生活饮用水卫生标准》要求，对现有水处理工艺、设施处理能力和输配水管网进行评估，特别是太湖流域以湖泊和水库为水源地，以及苏中里下河地区、苏北地区以内河水为水源地的城市，必须全面开展自来水深度处理工艺改造和处理能力建设，提高和保证供水水质。</w:t>
      </w:r>
    </w:p>
    <w:p>
      <w:pPr>
        <w:spacing w:line="460" w:lineRule="exact"/>
        <w:ind w:firstLine="472" w:firstLineChars="200"/>
        <w:rPr>
          <w:rFonts w:eastAsia="方正仿宋_GBK"/>
          <w:color w:val="000000"/>
          <w:spacing w:val="-2"/>
          <w:sz w:val="24"/>
        </w:rPr>
      </w:pPr>
      <w:r>
        <w:rPr>
          <w:rFonts w:eastAsia="方正楷体_GBK"/>
          <w:color w:val="000000"/>
          <w:spacing w:val="-2"/>
          <w:sz w:val="24"/>
        </w:rPr>
        <w:t>3</w:t>
      </w:r>
      <w:r>
        <w:rPr>
          <w:rFonts w:hint="eastAsia" w:eastAsia="方正楷体_GBK"/>
          <w:color w:val="000000"/>
          <w:spacing w:val="-2"/>
          <w:sz w:val="24"/>
        </w:rPr>
        <w:t>、强化城市供水水质检测工作。</w:t>
      </w:r>
      <w:r>
        <w:rPr>
          <w:rFonts w:hint="eastAsia" w:eastAsia="方正仿宋_GBK"/>
          <w:color w:val="000000"/>
          <w:spacing w:val="-2"/>
          <w:sz w:val="24"/>
        </w:rPr>
        <w:t>各地要按照《生活饮用水卫生标准》要求，对照《江苏省城市供水企业水质检测实验室等级能力建设指导手册》要求，加强水质检测能力建设，全力做好水质检测工作，掌握原水水质及其变化情况，及时调整处理工艺和参数，确保出厂水水质达标，今年年底前全面完成与供水规模相适应的水质等级化验室建设。各地要督促供水企业严格按照《关于进一步加强城市供水水质检测确保城市安全供水的通知》（苏建函城〔</w:t>
      </w:r>
      <w:r>
        <w:rPr>
          <w:rFonts w:eastAsia="方正仿宋_GBK"/>
          <w:color w:val="000000"/>
          <w:spacing w:val="-2"/>
          <w:sz w:val="24"/>
        </w:rPr>
        <w:t>2009</w:t>
      </w:r>
      <w:r>
        <w:rPr>
          <w:rFonts w:hint="eastAsia" w:eastAsia="方正仿宋_GBK"/>
          <w:color w:val="000000"/>
          <w:spacing w:val="-2"/>
          <w:sz w:val="24"/>
        </w:rPr>
        <w:t>〕</w:t>
      </w:r>
      <w:r>
        <w:rPr>
          <w:rFonts w:eastAsia="方正仿宋_GBK"/>
          <w:color w:val="000000"/>
          <w:spacing w:val="-2"/>
          <w:sz w:val="24"/>
        </w:rPr>
        <w:t>139</w:t>
      </w:r>
      <w:r>
        <w:rPr>
          <w:rFonts w:hint="eastAsia" w:eastAsia="方正仿宋_GBK"/>
          <w:color w:val="000000"/>
          <w:spacing w:val="-2"/>
          <w:sz w:val="24"/>
        </w:rPr>
        <w:t>号）文件要求，对原水、沉淀水、滤后水、清水库、出厂水工艺流程的嗅和味、</w:t>
      </w:r>
      <w:r>
        <w:rPr>
          <w:rFonts w:eastAsia="方正仿宋_GBK"/>
          <w:color w:val="000000"/>
          <w:spacing w:val="-2"/>
          <w:sz w:val="24"/>
        </w:rPr>
        <w:t>pH</w:t>
      </w:r>
      <w:r>
        <w:rPr>
          <w:rFonts w:hint="eastAsia" w:eastAsia="方正仿宋_GBK"/>
          <w:color w:val="000000"/>
          <w:spacing w:val="-2"/>
          <w:sz w:val="24"/>
        </w:rPr>
        <w:t>、浊度、余氯、高锰酸盐指数等主要水质指标进行全流程、高频次监测，做到及时发现水质异常，及时做好应急处理工作，确保</w:t>
      </w:r>
      <w:r>
        <w:rPr>
          <w:rFonts w:eastAsia="方正仿宋_GBK"/>
          <w:color w:val="000000"/>
          <w:spacing w:val="-2"/>
          <w:sz w:val="24"/>
        </w:rPr>
        <w:t>“</w:t>
      </w:r>
      <w:r>
        <w:rPr>
          <w:rFonts w:hint="eastAsia" w:eastAsia="方正仿宋_GBK"/>
          <w:color w:val="000000"/>
          <w:spacing w:val="-2"/>
          <w:sz w:val="24"/>
        </w:rPr>
        <w:t>不合格的水不出厂，不达标的水不进管网</w:t>
      </w:r>
      <w:r>
        <w:rPr>
          <w:rFonts w:eastAsia="方正仿宋_GBK"/>
          <w:color w:val="000000"/>
          <w:spacing w:val="-2"/>
          <w:sz w:val="24"/>
        </w:rPr>
        <w:t>”</w:t>
      </w:r>
      <w:r>
        <w:rPr>
          <w:rFonts w:hint="eastAsia" w:eastAsia="方正仿宋_GBK"/>
          <w:color w:val="000000"/>
          <w:spacing w:val="-2"/>
          <w:sz w:val="24"/>
        </w:rPr>
        <w:t>。</w:t>
      </w:r>
    </w:p>
    <w:p>
      <w:pPr>
        <w:spacing w:line="460" w:lineRule="exact"/>
        <w:ind w:firstLine="472" w:firstLineChars="200"/>
        <w:rPr>
          <w:rFonts w:eastAsia="方正仿宋_GBK"/>
          <w:color w:val="000000"/>
          <w:spacing w:val="-2"/>
          <w:sz w:val="24"/>
        </w:rPr>
      </w:pPr>
      <w:r>
        <w:rPr>
          <w:rFonts w:eastAsia="方正楷体_GBK"/>
          <w:color w:val="000000"/>
          <w:spacing w:val="-2"/>
          <w:sz w:val="24"/>
        </w:rPr>
        <w:t>4</w:t>
      </w:r>
      <w:r>
        <w:rPr>
          <w:rFonts w:hint="eastAsia" w:eastAsia="方正楷体_GBK"/>
          <w:color w:val="000000"/>
          <w:spacing w:val="-2"/>
          <w:sz w:val="24"/>
        </w:rPr>
        <w:t>、完善并落实各项应急处理工作措施。</w:t>
      </w:r>
      <w:r>
        <w:rPr>
          <w:rFonts w:hint="eastAsia" w:eastAsia="方正仿宋_GBK"/>
          <w:color w:val="000000"/>
          <w:spacing w:val="-2"/>
          <w:sz w:val="24"/>
        </w:rPr>
        <w:t>各地要根据可能发生的各类供水安全事故，进一步完善和落实应急处理预案，并于近期认真组织一次演练。做好应急处理设备的维护保养、应急处理药剂的储备，备足备齐各类抢修物资，确保一旦发生影响供水安全事故能够立即启动。</w:t>
      </w:r>
    </w:p>
    <w:p>
      <w:pPr>
        <w:spacing w:line="460" w:lineRule="exact"/>
        <w:ind w:firstLine="472" w:firstLineChars="200"/>
        <w:rPr>
          <w:rFonts w:eastAsia="方正仿宋_GBK"/>
          <w:color w:val="000000"/>
          <w:spacing w:val="-2"/>
          <w:sz w:val="24"/>
        </w:rPr>
      </w:pPr>
      <w:r>
        <w:rPr>
          <w:rFonts w:eastAsia="方正楷体_GBK"/>
          <w:color w:val="000000"/>
          <w:spacing w:val="-2"/>
          <w:sz w:val="24"/>
        </w:rPr>
        <w:t>5</w:t>
      </w:r>
      <w:r>
        <w:rPr>
          <w:rFonts w:hint="eastAsia" w:eastAsia="方正楷体_GBK"/>
          <w:color w:val="000000"/>
          <w:spacing w:val="-2"/>
          <w:sz w:val="24"/>
        </w:rPr>
        <w:t>、建立完善部门联动机制。</w:t>
      </w:r>
      <w:r>
        <w:rPr>
          <w:rFonts w:hint="eastAsia" w:eastAsia="方正仿宋_GBK"/>
          <w:color w:val="000000"/>
          <w:spacing w:val="-2"/>
          <w:sz w:val="24"/>
        </w:rPr>
        <w:t>各地城市供水主管部门要密切与环保、水利部门的协调和配合，在水源地保护区内外和取水口安装的水质在线监测仪器要进行联网，实现水质监测信息实时共享；密切关注与水源地相关的调水、汛期排水等活动；配合环保等部门做好集中式饮用水源地保护区内外水质污染风险的排查，根据存在的安全隐患情况，制定相应的应急处理方案；建立水源地日常巡查机制，加大对特征污染物的检测频率，做到早监测、早发现、早告知、早处理。</w:t>
      </w:r>
    </w:p>
    <w:p>
      <w:pPr>
        <w:spacing w:line="460" w:lineRule="exact"/>
        <w:ind w:firstLine="472" w:firstLineChars="200"/>
        <w:rPr>
          <w:rFonts w:eastAsia="方正仿宋_GBK"/>
          <w:color w:val="000000"/>
          <w:spacing w:val="-2"/>
          <w:sz w:val="24"/>
        </w:rPr>
      </w:pPr>
      <w:r>
        <w:rPr>
          <w:rFonts w:eastAsia="方正楷体_GBK"/>
          <w:color w:val="000000"/>
          <w:spacing w:val="-2"/>
          <w:sz w:val="24"/>
        </w:rPr>
        <w:t>6</w:t>
      </w:r>
      <w:r>
        <w:rPr>
          <w:rFonts w:hint="eastAsia" w:eastAsia="方正楷体_GBK"/>
          <w:color w:val="000000"/>
          <w:spacing w:val="-2"/>
          <w:sz w:val="24"/>
        </w:rPr>
        <w:t>、严格供水安全值班和巡查制度</w:t>
      </w:r>
      <w:r>
        <w:rPr>
          <w:rFonts w:hint="eastAsia" w:eastAsia="方正仿宋_GBK"/>
          <w:color w:val="000000"/>
          <w:spacing w:val="-2"/>
          <w:sz w:val="24"/>
        </w:rPr>
        <w:t>。各地要认真落实供水安全值班和报告制度，做好水质信息系统数据报送和太湖水质日报工作，在重要节假日和重大活动期间，各级分管领导和供水企业领导要亲自带班；遇到突发供水安全事故，要立即按规定程序上报。各级供水主管部门会同环保、公安、海事、水利、交通等部门和供水企业建立联动预警机制，加强信息沟通和合作，做好供水安全的反恐防范和应急处理工作，加强对城市供水重要设施的巡查，重点做好水源地、水厂、增压泵站、主要输水管线等重要供水设施的巡查和保护工作，落实和完善防护措施，强化安保管理制度，提高安全防范能力，确保城市供水安全。</w:t>
      </w:r>
    </w:p>
    <w:p>
      <w:pPr>
        <w:spacing w:line="460" w:lineRule="exact"/>
        <w:ind w:firstLine="472" w:firstLineChars="200"/>
        <w:rPr>
          <w:rFonts w:eastAsia="方正仿宋_GBK"/>
          <w:color w:val="000000"/>
          <w:spacing w:val="-2"/>
          <w:sz w:val="24"/>
        </w:rPr>
      </w:pPr>
      <w:r>
        <w:rPr>
          <w:rFonts w:eastAsia="方正楷体_GBK"/>
          <w:color w:val="000000"/>
          <w:spacing w:val="-2"/>
          <w:sz w:val="24"/>
        </w:rPr>
        <w:t>7</w:t>
      </w:r>
      <w:r>
        <w:rPr>
          <w:rFonts w:hint="eastAsia" w:eastAsia="方正楷体_GBK"/>
          <w:color w:val="000000"/>
          <w:spacing w:val="-2"/>
          <w:sz w:val="24"/>
        </w:rPr>
        <w:t>、加快推进区域供水规划的实施</w:t>
      </w:r>
      <w:r>
        <w:rPr>
          <w:rFonts w:hint="eastAsia" w:eastAsia="方正仿宋_GBK"/>
          <w:color w:val="000000"/>
          <w:spacing w:val="-2"/>
          <w:sz w:val="24"/>
        </w:rPr>
        <w:t>。区域供水是解决乡镇和农村饮用水安全的根本途径。各地要按照环境基础设施建设目标责任状的要求，结合实施</w:t>
      </w:r>
      <w:r>
        <w:rPr>
          <w:rFonts w:eastAsia="方正仿宋_GBK"/>
          <w:color w:val="000000"/>
          <w:spacing w:val="-2"/>
          <w:sz w:val="24"/>
        </w:rPr>
        <w:t>“</w:t>
      </w:r>
      <w:r>
        <w:rPr>
          <w:rFonts w:hint="eastAsia" w:eastAsia="方正仿宋_GBK"/>
          <w:color w:val="000000"/>
          <w:spacing w:val="-2"/>
          <w:sz w:val="24"/>
        </w:rPr>
        <w:t>农村饮用水安全工程</w:t>
      </w:r>
      <w:r>
        <w:rPr>
          <w:rFonts w:eastAsia="方正仿宋_GBK"/>
          <w:color w:val="000000"/>
          <w:spacing w:val="-2"/>
          <w:sz w:val="24"/>
        </w:rPr>
        <w:t>”</w:t>
      </w:r>
      <w:r>
        <w:rPr>
          <w:rFonts w:hint="eastAsia" w:eastAsia="方正仿宋_GBK"/>
          <w:color w:val="000000"/>
          <w:spacing w:val="-2"/>
          <w:sz w:val="24"/>
        </w:rPr>
        <w:t>，继续加快实施区域供水规划，推进区域集中供水设施和管网建设，以城带乡扩大镇村受益范围，不断提高区域集中供水的覆盖面。</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三、切实加强对城乡供水安全保障工作的组织领导</w:t>
      </w:r>
    </w:p>
    <w:p>
      <w:pPr>
        <w:spacing w:line="460" w:lineRule="exact"/>
        <w:ind w:firstLine="462" w:firstLineChars="196"/>
        <w:rPr>
          <w:rFonts w:hint="eastAsia" w:eastAsia="方正仿宋_GBK"/>
          <w:color w:val="000000"/>
          <w:spacing w:val="-2"/>
          <w:sz w:val="24"/>
        </w:rPr>
      </w:pPr>
      <w:r>
        <w:rPr>
          <w:rFonts w:hint="eastAsia" w:eastAsia="方正仿宋_GBK"/>
          <w:color w:val="000000"/>
          <w:spacing w:val="-2"/>
          <w:sz w:val="24"/>
        </w:rPr>
        <w:t>饮用水安全保障工作涉及环保、建设、水利、卫生、交通等多个部门，关系到当地人民群众的生产生活和社会稳定。各级政府是城乡饮用水安全保障工作的第一责任人，各地要坚持政府统一领导，部门相互配合的工作原则，按照《省政府办公厅关于切实加强饮用水安全监管工作的通知》（苏政办发〔</w:t>
      </w:r>
      <w:r>
        <w:rPr>
          <w:rFonts w:eastAsia="方正仿宋_GBK"/>
          <w:color w:val="000000"/>
          <w:spacing w:val="-2"/>
          <w:sz w:val="24"/>
        </w:rPr>
        <w:t>2009</w:t>
      </w:r>
      <w:r>
        <w:rPr>
          <w:rFonts w:hint="eastAsia" w:eastAsia="方正仿宋_GBK"/>
          <w:color w:val="000000"/>
          <w:spacing w:val="-2"/>
          <w:sz w:val="24"/>
        </w:rPr>
        <w:t>〕</w:t>
      </w:r>
      <w:r>
        <w:rPr>
          <w:rFonts w:eastAsia="方正仿宋_GBK"/>
          <w:color w:val="000000"/>
          <w:spacing w:val="-2"/>
          <w:sz w:val="24"/>
        </w:rPr>
        <w:t>54</w:t>
      </w:r>
      <w:r>
        <w:rPr>
          <w:rFonts w:hint="eastAsia" w:eastAsia="方正仿宋_GBK"/>
          <w:color w:val="000000"/>
          <w:spacing w:val="-2"/>
          <w:sz w:val="24"/>
        </w:rPr>
        <w:t>号）文件要求，紧密结合本地实际，建立健全管理制度，形成政府统一领导、部门各负其责的工作机制，真正形成保障饮用水安全的合力，全面落实饮用水安全各项措施。</w:t>
      </w:r>
    </w:p>
    <w:p>
      <w:pPr>
        <w:spacing w:line="460" w:lineRule="exact"/>
        <w:ind w:firstLine="462" w:firstLineChars="196"/>
        <w:rPr>
          <w:rFonts w:eastAsia="方正仿宋_GBK"/>
          <w:color w:val="000000"/>
          <w:spacing w:val="-2"/>
          <w:sz w:val="24"/>
        </w:rPr>
      </w:pPr>
      <w:r>
        <w:rPr>
          <w:rFonts w:hint="eastAsia" w:eastAsia="方正仿宋_GBK"/>
          <w:color w:val="000000"/>
          <w:spacing w:val="-2"/>
          <w:sz w:val="24"/>
        </w:rPr>
        <w:t>各地城市供水主管部门和城市供水企业要建立饮用水安全责任制，按照日常预防为主、应急处置为辅、监测预警前移的原则，建立健全安全生产管理制度；配合相关职能部门，对饮用水各个环节中存在的安全隐患进行全面排查，对存在安全隐患的，要尽快提出整改和防范措施。对于因管理责任不落实、整改措施不到位而发生事故的，要严肃追究有关人员的责任。</w:t>
      </w:r>
    </w:p>
    <w:p>
      <w:pPr>
        <w:spacing w:line="460" w:lineRule="exact"/>
        <w:ind w:firstLine="462" w:firstLineChars="196"/>
        <w:jc w:val="right"/>
        <w:rPr>
          <w:rFonts w:eastAsia="方正仿宋_GBK"/>
          <w:color w:val="000000"/>
          <w:spacing w:val="-2"/>
          <w:sz w:val="24"/>
        </w:rPr>
      </w:pPr>
    </w:p>
    <w:p>
      <w:pPr>
        <w:wordWrap w:val="0"/>
        <w:spacing w:line="460" w:lineRule="exact"/>
        <w:ind w:firstLine="462" w:firstLineChars="196"/>
        <w:jc w:val="right"/>
        <w:rPr>
          <w:rFonts w:eastAsia="方正仿宋_GBK"/>
          <w:color w:val="000000"/>
          <w:spacing w:val="-2"/>
          <w:sz w:val="24"/>
        </w:rPr>
      </w:pPr>
      <w:r>
        <w:rPr>
          <w:rFonts w:hint="eastAsia" w:eastAsia="方正仿宋_GBK"/>
          <w:color w:val="000000"/>
          <w:spacing w:val="-2"/>
          <w:sz w:val="24"/>
        </w:rPr>
        <w:t>江苏省住房和城乡建设厅</w:t>
      </w:r>
      <w:r>
        <w:rPr>
          <w:rFonts w:eastAsia="方正仿宋_GBK"/>
          <w:color w:val="000000"/>
          <w:spacing w:val="-2"/>
          <w:sz w:val="24"/>
        </w:rPr>
        <w:t xml:space="preserve">    </w:t>
      </w:r>
    </w:p>
    <w:p>
      <w:pPr>
        <w:wordWrap w:val="0"/>
        <w:spacing w:line="460" w:lineRule="exact"/>
        <w:ind w:firstLine="462" w:firstLineChars="196"/>
        <w:jc w:val="right"/>
        <w:rPr>
          <w:rFonts w:eastAsia="方正仿宋_GBK"/>
          <w:color w:val="000000"/>
          <w:spacing w:val="-2"/>
          <w:sz w:val="24"/>
        </w:rPr>
      </w:pPr>
      <w:r>
        <w:rPr>
          <w:rFonts w:hint="eastAsia" w:eastAsia="方正仿宋_GBK"/>
          <w:color w:val="000000"/>
          <w:spacing w:val="-2"/>
          <w:sz w:val="24"/>
        </w:rPr>
        <w:t>二○一一年四月二十九日</w:t>
      </w:r>
      <w:r>
        <w:rPr>
          <w:rFonts w:eastAsia="方正仿宋_GBK"/>
          <w:color w:val="000000"/>
          <w:spacing w:val="-2"/>
          <w:sz w:val="24"/>
        </w:rPr>
        <w:t xml:space="preserve">    </w:t>
      </w:r>
    </w:p>
    <w:p>
      <w:pPr>
        <w:spacing w:line="460" w:lineRule="exact"/>
        <w:jc w:val="center"/>
        <w:rPr>
          <w:rFonts w:ascii="Times New Roman" w:eastAsia="方正小标宋简体"/>
          <w:color w:val="000000"/>
          <w:sz w:val="36"/>
          <w:szCs w:val="36"/>
        </w:rPr>
      </w:pPr>
    </w:p>
    <w:p>
      <w:pPr>
        <w:spacing w:line="460" w:lineRule="exact"/>
        <w:rPr>
          <w:rFonts w:hint="eastAsia"/>
          <w:color w:val="000000"/>
        </w:rPr>
      </w:pPr>
    </w:p>
    <w:p>
      <w:pPr>
        <w:pStyle w:val="2"/>
        <w:spacing w:before="240" w:beforeLines="100" w:after="240" w:afterLines="100" w:line="240" w:lineRule="auto"/>
        <w:jc w:val="center"/>
        <w:rPr>
          <w:rFonts w:ascii="Times New Roman" w:eastAsia="方正小标宋_GBK"/>
          <w:b w:val="0"/>
          <w:sz w:val="36"/>
          <w:szCs w:val="36"/>
        </w:rPr>
      </w:pPr>
      <w:r>
        <w:rPr>
          <w:rFonts w:hint="eastAsia" w:ascii="Times New Roman" w:eastAsia="方正小标宋简体"/>
          <w:b w:val="0"/>
          <w:color w:val="000000"/>
          <w:sz w:val="36"/>
          <w:szCs w:val="36"/>
        </w:rPr>
        <w:br w:type="column"/>
      </w:r>
      <w:bookmarkStart w:id="116" w:name="_Toc18315429"/>
      <w:bookmarkStart w:id="117" w:name="_Toc20726348"/>
      <w:r>
        <w:rPr>
          <w:rFonts w:hint="eastAsia" w:ascii="Times New Roman" w:eastAsia="方正小标宋_GBK"/>
          <w:b w:val="0"/>
          <w:sz w:val="36"/>
          <w:szCs w:val="36"/>
        </w:rPr>
        <w:t>关于实施燃气经营许可有关事项的通知</w:t>
      </w:r>
      <w:bookmarkEnd w:id="116"/>
      <w:bookmarkEnd w:id="117"/>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118" w:name="_Toc18315430"/>
      <w:bookmarkStart w:id="119" w:name="_Toc20726349"/>
      <w:r>
        <w:rPr>
          <w:rFonts w:hint="eastAsia" w:ascii="Times New Roman" w:hAnsi="Times New Roman" w:eastAsia="方正楷体_GBK"/>
          <w:b w:val="0"/>
          <w:sz w:val="24"/>
          <w:szCs w:val="24"/>
        </w:rPr>
        <w:t>苏建函城〔</w:t>
      </w:r>
      <w:r>
        <w:rPr>
          <w:rFonts w:ascii="Times New Roman" w:hAnsi="Times New Roman" w:eastAsia="方正楷体_GBK"/>
          <w:b w:val="0"/>
          <w:sz w:val="24"/>
          <w:szCs w:val="24"/>
        </w:rPr>
        <w:t>2011</w:t>
      </w:r>
      <w:r>
        <w:rPr>
          <w:rFonts w:hint="eastAsia" w:ascii="Times New Roman" w:hAnsi="Times New Roman" w:eastAsia="方正楷体_GBK"/>
          <w:b w:val="0"/>
          <w:sz w:val="24"/>
          <w:szCs w:val="24"/>
        </w:rPr>
        <w:t>〕</w:t>
      </w:r>
      <w:r>
        <w:rPr>
          <w:rFonts w:ascii="Times New Roman" w:hAnsi="Times New Roman" w:eastAsia="方正楷体_GBK"/>
          <w:b w:val="0"/>
          <w:sz w:val="24"/>
          <w:szCs w:val="24"/>
        </w:rPr>
        <w:t>886</w:t>
      </w:r>
      <w:r>
        <w:rPr>
          <w:rFonts w:hint="eastAsia" w:ascii="Times New Roman" w:hAnsi="Times New Roman" w:eastAsia="方正楷体_GBK"/>
          <w:b w:val="0"/>
          <w:sz w:val="24"/>
          <w:szCs w:val="24"/>
        </w:rPr>
        <w:t>号</w:t>
      </w:r>
      <w:bookmarkEnd w:id="118"/>
      <w:bookmarkEnd w:id="119"/>
    </w:p>
    <w:p>
      <w:pPr>
        <w:spacing w:line="460" w:lineRule="exact"/>
        <w:rPr>
          <w:rFonts w:eastAsia="方正仿宋_GBK"/>
          <w:color w:val="000000"/>
          <w:spacing w:val="-2"/>
          <w:sz w:val="24"/>
        </w:rPr>
      </w:pPr>
      <w:r>
        <w:rPr>
          <w:rFonts w:hint="eastAsia" w:eastAsia="方正仿宋_GBK"/>
          <w:color w:val="000000"/>
          <w:spacing w:val="-2"/>
          <w:sz w:val="24"/>
        </w:rPr>
        <w:t>各市、县建设局（委）、无锡市政和园林局、宜兴市公用事业管理局：</w:t>
      </w:r>
    </w:p>
    <w:p>
      <w:pPr>
        <w:autoSpaceDE w:val="0"/>
        <w:autoSpaceDN w:val="0"/>
        <w:spacing w:line="460" w:lineRule="exact"/>
        <w:ind w:firstLine="472" w:firstLineChars="200"/>
        <w:rPr>
          <w:rFonts w:eastAsia="方正仿宋_GBK"/>
          <w:color w:val="000000"/>
          <w:spacing w:val="-2"/>
          <w:sz w:val="24"/>
        </w:rPr>
      </w:pPr>
      <w:r>
        <w:rPr>
          <w:rFonts w:hint="eastAsia" w:eastAsia="方正仿宋_GBK"/>
          <w:color w:val="000000"/>
          <w:spacing w:val="-2"/>
          <w:sz w:val="24"/>
        </w:rPr>
        <w:t>根据《城镇燃气管理条例》（国务院令第</w:t>
      </w:r>
      <w:r>
        <w:rPr>
          <w:rFonts w:eastAsia="方正仿宋_GBK"/>
          <w:color w:val="000000"/>
          <w:spacing w:val="-2"/>
          <w:sz w:val="24"/>
        </w:rPr>
        <w:t>583</w:t>
      </w:r>
      <w:r>
        <w:rPr>
          <w:rFonts w:hint="eastAsia" w:eastAsia="方正仿宋_GBK"/>
          <w:color w:val="000000"/>
          <w:spacing w:val="-2"/>
          <w:sz w:val="24"/>
        </w:rPr>
        <w:t>号）和住房城乡建设部《关于印发</w:t>
      </w:r>
      <w:r>
        <w:rPr>
          <w:rFonts w:eastAsia="方正仿宋_GBK"/>
          <w:color w:val="000000"/>
          <w:spacing w:val="-2"/>
          <w:sz w:val="24"/>
        </w:rPr>
        <w:t>&lt;</w:t>
      </w:r>
      <w:r>
        <w:rPr>
          <w:rFonts w:hint="eastAsia" w:eastAsia="方正仿宋_GBK"/>
          <w:color w:val="000000"/>
          <w:spacing w:val="-2"/>
          <w:sz w:val="24"/>
        </w:rPr>
        <w:t>燃气经营许可证</w:t>
      </w:r>
      <w:r>
        <w:rPr>
          <w:rFonts w:eastAsia="方正仿宋_GBK"/>
          <w:color w:val="000000"/>
          <w:spacing w:val="-2"/>
          <w:sz w:val="24"/>
        </w:rPr>
        <w:t>&gt;</w:t>
      </w:r>
      <w:r>
        <w:rPr>
          <w:rFonts w:hint="eastAsia" w:eastAsia="方正仿宋_GBK"/>
          <w:color w:val="000000"/>
          <w:spacing w:val="-2"/>
          <w:sz w:val="24"/>
        </w:rPr>
        <w:t>格式的通知》（建城〔</w:t>
      </w:r>
      <w:r>
        <w:rPr>
          <w:rFonts w:eastAsia="方正仿宋_GBK"/>
          <w:color w:val="000000"/>
          <w:spacing w:val="-2"/>
          <w:sz w:val="24"/>
        </w:rPr>
        <w:t>2011</w:t>
      </w:r>
      <w:r>
        <w:rPr>
          <w:rFonts w:hint="eastAsia" w:eastAsia="方正仿宋_GBK"/>
          <w:color w:val="000000"/>
          <w:spacing w:val="-2"/>
          <w:sz w:val="24"/>
        </w:rPr>
        <w:t>〕</w:t>
      </w:r>
      <w:r>
        <w:rPr>
          <w:rFonts w:eastAsia="方正仿宋_GBK"/>
          <w:color w:val="000000"/>
          <w:spacing w:val="-2"/>
          <w:sz w:val="24"/>
        </w:rPr>
        <w:t>174</w:t>
      </w:r>
      <w:r>
        <w:rPr>
          <w:rFonts w:hint="eastAsia" w:eastAsia="方正仿宋_GBK"/>
          <w:color w:val="000000"/>
          <w:spacing w:val="-2"/>
          <w:sz w:val="24"/>
        </w:rPr>
        <w:t>号），为切实做好《燃气经营许可证》</w:t>
      </w:r>
      <w:r>
        <w:rPr>
          <w:rFonts w:hint="eastAsia" w:eastAsia="方正仿宋_GBK"/>
          <w:bCs/>
          <w:color w:val="000000"/>
          <w:spacing w:val="-2"/>
          <w:kern w:val="0"/>
          <w:sz w:val="24"/>
        </w:rPr>
        <w:t>与《江苏省燃气管理条例》规定的管道燃气特许经营和瓶装燃气经营许可、供应许可制度的有效衔接，现就</w:t>
      </w:r>
      <w:r>
        <w:rPr>
          <w:rFonts w:hint="eastAsia" w:eastAsia="方正仿宋_GBK"/>
          <w:color w:val="000000"/>
          <w:spacing w:val="-2"/>
          <w:sz w:val="24"/>
        </w:rPr>
        <w:t>有关事项通知如下：</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一、燃气经营许可证的受理范围：</w:t>
      </w:r>
      <w:r>
        <w:rPr>
          <w:rFonts w:hint="eastAsia" w:eastAsia="方正仿宋_GBK"/>
          <w:color w:val="000000"/>
          <w:spacing w:val="-2"/>
          <w:sz w:val="24"/>
        </w:rPr>
        <w:t>具有独立法人资格的管道燃气经营企业、瓶装燃气经营企业、燃气加气站（含加气母站、汽车加气站）、瓶组气化站、燃气储存站等。</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二、燃气经营许可证的发放和相关衔接工作。</w:t>
      </w:r>
      <w:r>
        <w:rPr>
          <w:rFonts w:hint="eastAsia" w:eastAsia="方正仿宋_GBK"/>
          <w:color w:val="000000"/>
          <w:spacing w:val="-2"/>
          <w:sz w:val="24"/>
        </w:rPr>
        <w:t>《燃气经营许可证》由设区市燃气主管部门核发。管道燃气经营在实行特许经营制度并签订特许经营协议的基础上，按国家条例规定增加核发《燃气经营许可证》。对已取得《江苏省瓶装燃气经营许可证》的瓶装燃气经营企业，在符合燃气经营许可条件下，换发《燃气经营许可证》。《燃气经营许可证》由省按照住房和城乡建设部统一规定的格式组织印制。</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瓶装燃气供应站点以及不具有独立法人资格的燃气加气站等仍按</w:t>
      </w:r>
      <w:r>
        <w:rPr>
          <w:rFonts w:hint="eastAsia" w:eastAsia="方正仿宋_GBK"/>
          <w:bCs/>
          <w:color w:val="000000"/>
          <w:spacing w:val="-2"/>
          <w:kern w:val="0"/>
          <w:sz w:val="24"/>
        </w:rPr>
        <w:t>《江苏省燃气管理条例》规定，</w:t>
      </w:r>
      <w:r>
        <w:rPr>
          <w:rFonts w:hint="eastAsia" w:eastAsia="方正仿宋_GBK"/>
          <w:color w:val="000000"/>
          <w:spacing w:val="-2"/>
          <w:sz w:val="24"/>
        </w:rPr>
        <w:t>继续实行供应许可证制度。</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三、燃气经营许可证的管理。</w:t>
      </w:r>
      <w:r>
        <w:rPr>
          <w:rFonts w:hint="eastAsia" w:eastAsia="方正仿宋_GBK"/>
          <w:color w:val="000000"/>
          <w:spacing w:val="-2"/>
          <w:sz w:val="24"/>
        </w:rPr>
        <w:t>各地应按照《城镇燃气管理条例》第十五条设定的燃气经营许可条件对申请企业进行审核，其中人员培训考核事项在国家、省没有作出统一规定前，暂由各设区市燃气主管部门负责组织进行，培训考核合格证有效期暂定二年。</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《燃气经营许可证》的有效期限为四年，许可证的变更、换领、监督等内容的管理仍按《江苏省瓶装燃气经营许可证和供应许可证管理办法》有关规定执行。</w:t>
      </w:r>
    </w:p>
    <w:p>
      <w:pPr>
        <w:spacing w:line="460" w:lineRule="exact"/>
        <w:ind w:left="472"/>
        <w:rPr>
          <w:rFonts w:ascii="Times New Roman" w:eastAsia="方正黑体_GBK"/>
          <w:color w:val="000000"/>
          <w:spacing w:val="-2"/>
          <w:sz w:val="24"/>
        </w:rPr>
      </w:pPr>
      <w:r>
        <w:rPr>
          <w:rFonts w:hint="eastAsia" w:ascii="Times New Roman" w:eastAsia="方正黑体_GBK"/>
          <w:color w:val="000000"/>
          <w:spacing w:val="-2"/>
          <w:sz w:val="24"/>
        </w:rPr>
        <w:t>四、燃气经营许可证发放的其他事项</w:t>
      </w:r>
    </w:p>
    <w:p>
      <w:pPr>
        <w:spacing w:line="460" w:lineRule="exact"/>
        <w:ind w:firstLine="472" w:firstLineChars="200"/>
        <w:rPr>
          <w:rFonts w:hint="eastAsia" w:eastAsia="方正仿宋_GBK"/>
          <w:color w:val="000000"/>
          <w:spacing w:val="-2"/>
          <w:sz w:val="24"/>
        </w:rPr>
      </w:pPr>
      <w:r>
        <w:rPr>
          <w:rFonts w:hint="eastAsia" w:eastAsia="方正仿宋_GBK"/>
          <w:color w:val="000000"/>
          <w:spacing w:val="-2"/>
          <w:sz w:val="24"/>
        </w:rPr>
        <w:t>（一）《燃气经营许可证》正本与副本具有同等法律效力，正本、副本中的经营类别按照管道燃气、瓶装燃气、燃气汽车加气站、其他等四类进行划分，并且每个类别要明确标注气源种类，即：管道燃气</w:t>
      </w:r>
      <w:r>
        <w:rPr>
          <w:rFonts w:eastAsia="方正仿宋_GBK"/>
          <w:color w:val="000000"/>
          <w:spacing w:val="-2"/>
          <w:sz w:val="24"/>
        </w:rPr>
        <w:t>&lt;</w:t>
      </w:r>
      <w:r>
        <w:rPr>
          <w:rFonts w:hint="eastAsia" w:eastAsia="方正仿宋_GBK"/>
          <w:color w:val="000000"/>
          <w:spacing w:val="-2"/>
          <w:sz w:val="24"/>
        </w:rPr>
        <w:t>气源种类</w:t>
      </w:r>
      <w:r>
        <w:rPr>
          <w:rFonts w:eastAsia="方正仿宋_GBK"/>
          <w:color w:val="000000"/>
          <w:spacing w:val="-2"/>
          <w:sz w:val="24"/>
        </w:rPr>
        <w:t>&gt;</w:t>
      </w:r>
      <w:r>
        <w:rPr>
          <w:rFonts w:hint="eastAsia" w:eastAsia="方正仿宋_GBK"/>
          <w:color w:val="000000"/>
          <w:spacing w:val="-2"/>
          <w:sz w:val="24"/>
        </w:rPr>
        <w:t>、瓶装燃气</w:t>
      </w:r>
      <w:r>
        <w:rPr>
          <w:rFonts w:eastAsia="方正仿宋_GBK"/>
          <w:color w:val="000000"/>
          <w:spacing w:val="-2"/>
          <w:sz w:val="24"/>
        </w:rPr>
        <w:t>&lt;</w:t>
      </w:r>
      <w:r>
        <w:rPr>
          <w:rFonts w:hint="eastAsia" w:eastAsia="方正仿宋_GBK"/>
          <w:color w:val="000000"/>
          <w:spacing w:val="-2"/>
          <w:sz w:val="24"/>
        </w:rPr>
        <w:t>气源种类</w:t>
      </w:r>
      <w:r>
        <w:rPr>
          <w:rFonts w:eastAsia="方正仿宋_GBK"/>
          <w:color w:val="000000"/>
          <w:spacing w:val="-2"/>
          <w:sz w:val="24"/>
        </w:rPr>
        <w:t>&gt;</w:t>
      </w:r>
      <w:r>
        <w:rPr>
          <w:rFonts w:hint="eastAsia" w:eastAsia="方正仿宋_GBK"/>
          <w:color w:val="000000"/>
          <w:spacing w:val="-2"/>
          <w:sz w:val="24"/>
        </w:rPr>
        <w:t>、燃气汽车加气站</w:t>
      </w:r>
      <w:r>
        <w:rPr>
          <w:rFonts w:eastAsia="方正仿宋_GBK"/>
          <w:color w:val="000000"/>
          <w:spacing w:val="-2"/>
          <w:sz w:val="24"/>
        </w:rPr>
        <w:t>&lt;</w:t>
      </w:r>
      <w:r>
        <w:rPr>
          <w:rFonts w:hint="eastAsia" w:eastAsia="方正仿宋_GBK"/>
          <w:color w:val="000000"/>
          <w:spacing w:val="-2"/>
          <w:sz w:val="24"/>
        </w:rPr>
        <w:t>气源种类</w:t>
      </w:r>
      <w:r>
        <w:rPr>
          <w:rFonts w:eastAsia="方正仿宋_GBK"/>
          <w:color w:val="000000"/>
          <w:spacing w:val="-2"/>
          <w:sz w:val="24"/>
        </w:rPr>
        <w:t>&gt;</w:t>
      </w:r>
      <w:r>
        <w:rPr>
          <w:rFonts w:hint="eastAsia" w:eastAsia="方正仿宋_GBK"/>
          <w:color w:val="000000"/>
          <w:spacing w:val="-2"/>
          <w:sz w:val="24"/>
        </w:rPr>
        <w:t>、其他</w:t>
      </w:r>
      <w:r>
        <w:rPr>
          <w:rFonts w:eastAsia="方正仿宋_GBK"/>
          <w:color w:val="000000"/>
          <w:spacing w:val="-2"/>
          <w:sz w:val="24"/>
        </w:rPr>
        <w:t>&lt;</w:t>
      </w:r>
      <w:r>
        <w:rPr>
          <w:rFonts w:hint="eastAsia" w:eastAsia="方正仿宋_GBK"/>
          <w:color w:val="000000"/>
          <w:spacing w:val="-2"/>
          <w:sz w:val="24"/>
        </w:rPr>
        <w:t>气源种类</w:t>
      </w:r>
      <w:r>
        <w:rPr>
          <w:rFonts w:eastAsia="方正仿宋_GBK"/>
          <w:color w:val="000000"/>
          <w:spacing w:val="-2"/>
          <w:sz w:val="24"/>
        </w:rPr>
        <w:t>&gt;</w:t>
      </w:r>
      <w:r>
        <w:rPr>
          <w:rFonts w:hint="eastAsia" w:eastAsia="方正仿宋_GBK"/>
          <w:color w:val="000000"/>
          <w:spacing w:val="-2"/>
          <w:sz w:val="24"/>
        </w:rPr>
        <w:t>。</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（二）《燃气经营许可证》编号由发证机关根据以下方法编制，苏</w:t>
      </w:r>
      <w:r>
        <w:rPr>
          <w:rFonts w:eastAsia="方正仿宋_GBK"/>
          <w:color w:val="000000"/>
          <w:spacing w:val="-2"/>
          <w:sz w:val="24"/>
        </w:rPr>
        <w:t>+</w:t>
      </w:r>
      <w:r>
        <w:rPr>
          <w:rFonts w:hint="eastAsia" w:eastAsia="方正仿宋_GBK"/>
          <w:color w:val="000000"/>
          <w:spacing w:val="-2"/>
          <w:sz w:val="24"/>
        </w:rPr>
        <w:t>发证年份编号</w:t>
      </w:r>
      <w:r>
        <w:rPr>
          <w:rFonts w:eastAsia="方正仿宋_GBK"/>
          <w:color w:val="000000"/>
          <w:spacing w:val="-2"/>
          <w:sz w:val="24"/>
        </w:rPr>
        <w:t>+</w:t>
      </w:r>
      <w:r>
        <w:rPr>
          <w:rFonts w:hint="eastAsia" w:eastAsia="方正仿宋_GBK"/>
          <w:color w:val="000000"/>
          <w:spacing w:val="-2"/>
          <w:sz w:val="24"/>
        </w:rPr>
        <w:t>设区市编号</w:t>
      </w:r>
      <w:r>
        <w:rPr>
          <w:rFonts w:eastAsia="方正仿宋_GBK"/>
          <w:color w:val="000000"/>
          <w:spacing w:val="-2"/>
          <w:sz w:val="24"/>
        </w:rPr>
        <w:t>+</w:t>
      </w:r>
      <w:r>
        <w:rPr>
          <w:rFonts w:hint="eastAsia" w:eastAsia="方正仿宋_GBK"/>
          <w:color w:val="000000"/>
          <w:spacing w:val="-2"/>
          <w:sz w:val="24"/>
        </w:rPr>
        <w:t>县（市）编号</w:t>
      </w:r>
      <w:r>
        <w:rPr>
          <w:rFonts w:eastAsia="方正仿宋_GBK"/>
          <w:color w:val="000000"/>
          <w:spacing w:val="-2"/>
          <w:sz w:val="24"/>
        </w:rPr>
        <w:t>+</w:t>
      </w:r>
      <w:r>
        <w:rPr>
          <w:rFonts w:hint="eastAsia" w:eastAsia="方正仿宋_GBK"/>
          <w:color w:val="000000"/>
          <w:spacing w:val="-2"/>
          <w:sz w:val="24"/>
        </w:rPr>
        <w:t>流水号</w:t>
      </w:r>
      <w:r>
        <w:rPr>
          <w:rFonts w:eastAsia="方正仿宋_GBK"/>
          <w:color w:val="000000"/>
          <w:spacing w:val="-2"/>
          <w:sz w:val="24"/>
        </w:rPr>
        <w:t>+</w:t>
      </w:r>
      <w:r>
        <w:rPr>
          <w:rFonts w:hint="eastAsia" w:eastAsia="方正仿宋_GBK"/>
          <w:color w:val="000000"/>
          <w:spacing w:val="-2"/>
          <w:sz w:val="24"/>
        </w:rPr>
        <w:t>经营类别代码，具体编排方法如下：</w:t>
      </w:r>
    </w:p>
    <w:p>
      <w:pPr>
        <w:spacing w:line="460" w:lineRule="exact"/>
        <w:ind w:firstLine="472" w:firstLineChars="200"/>
        <w:rPr>
          <w:rFonts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、发证年份编号：四位数，如发证年份是</w:t>
      </w:r>
      <w:r>
        <w:rPr>
          <w:rFonts w:eastAsia="方正仿宋_GBK"/>
          <w:color w:val="000000"/>
          <w:spacing w:val="-2"/>
          <w:sz w:val="24"/>
        </w:rPr>
        <w:t>2011</w:t>
      </w:r>
      <w:r>
        <w:rPr>
          <w:rFonts w:hint="eastAsia" w:eastAsia="方正仿宋_GBK"/>
          <w:color w:val="000000"/>
          <w:spacing w:val="-2"/>
          <w:sz w:val="24"/>
        </w:rPr>
        <w:t>年，发证年份编号即为</w:t>
      </w:r>
      <w:r>
        <w:rPr>
          <w:rFonts w:eastAsia="方正仿宋_GBK"/>
          <w:color w:val="000000"/>
          <w:spacing w:val="-2"/>
          <w:sz w:val="24"/>
        </w:rPr>
        <w:t>“2011”</w:t>
      </w:r>
      <w:r>
        <w:rPr>
          <w:rFonts w:hint="eastAsia" w:eastAsia="方正仿宋_GBK"/>
          <w:color w:val="000000"/>
          <w:spacing w:val="-2"/>
          <w:sz w:val="24"/>
        </w:rPr>
        <w:t>。</w:t>
      </w:r>
    </w:p>
    <w:p>
      <w:pPr>
        <w:spacing w:line="460" w:lineRule="exact"/>
        <w:ind w:firstLine="472" w:firstLineChars="200"/>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、设区市编号：两位数，从</w:t>
      </w:r>
      <w:r>
        <w:rPr>
          <w:rFonts w:eastAsia="方正仿宋_GBK"/>
          <w:color w:val="000000"/>
          <w:spacing w:val="-2"/>
          <w:sz w:val="24"/>
        </w:rPr>
        <w:t>01</w:t>
      </w:r>
      <w:r>
        <w:rPr>
          <w:rFonts w:hint="eastAsia" w:eastAsia="方正仿宋_GBK"/>
          <w:color w:val="000000"/>
          <w:spacing w:val="-2"/>
          <w:sz w:val="24"/>
        </w:rPr>
        <w:t>到</w:t>
      </w:r>
      <w:r>
        <w:rPr>
          <w:rFonts w:eastAsia="方正仿宋_GBK"/>
          <w:color w:val="000000"/>
          <w:spacing w:val="-2"/>
          <w:sz w:val="24"/>
        </w:rPr>
        <w:t>13</w:t>
      </w:r>
      <w:r>
        <w:rPr>
          <w:rFonts w:hint="eastAsia" w:eastAsia="方正仿宋_GBK"/>
          <w:color w:val="000000"/>
          <w:spacing w:val="-2"/>
          <w:sz w:val="24"/>
        </w:rPr>
        <w:t>，南京市</w:t>
      </w:r>
      <w:r>
        <w:rPr>
          <w:rFonts w:eastAsia="方正仿宋_GBK"/>
          <w:color w:val="000000"/>
          <w:spacing w:val="-2"/>
          <w:sz w:val="24"/>
        </w:rPr>
        <w:t>01</w:t>
      </w:r>
      <w:r>
        <w:rPr>
          <w:rFonts w:hint="eastAsia" w:eastAsia="方正仿宋_GBK"/>
          <w:color w:val="000000"/>
          <w:spacing w:val="-2"/>
          <w:sz w:val="24"/>
        </w:rPr>
        <w:t>、无锡市</w:t>
      </w:r>
      <w:r>
        <w:rPr>
          <w:rFonts w:eastAsia="方正仿宋_GBK"/>
          <w:color w:val="000000"/>
          <w:spacing w:val="-2"/>
          <w:sz w:val="24"/>
        </w:rPr>
        <w:t>02</w:t>
      </w:r>
      <w:r>
        <w:rPr>
          <w:rFonts w:hint="eastAsia" w:eastAsia="方正仿宋_GBK"/>
          <w:color w:val="000000"/>
          <w:spacing w:val="-2"/>
          <w:sz w:val="24"/>
        </w:rPr>
        <w:t>、徐州市</w:t>
      </w:r>
      <w:r>
        <w:rPr>
          <w:rFonts w:eastAsia="方正仿宋_GBK"/>
          <w:color w:val="000000"/>
          <w:spacing w:val="-2"/>
          <w:sz w:val="24"/>
        </w:rPr>
        <w:t>03</w:t>
      </w:r>
      <w:r>
        <w:rPr>
          <w:rFonts w:hint="eastAsia" w:eastAsia="方正仿宋_GBK"/>
          <w:color w:val="000000"/>
          <w:spacing w:val="-2"/>
          <w:sz w:val="24"/>
        </w:rPr>
        <w:t>、常州市</w:t>
      </w:r>
      <w:r>
        <w:rPr>
          <w:rFonts w:eastAsia="方正仿宋_GBK"/>
          <w:color w:val="000000"/>
          <w:spacing w:val="-2"/>
          <w:sz w:val="24"/>
        </w:rPr>
        <w:t>04</w:t>
      </w:r>
      <w:r>
        <w:rPr>
          <w:rFonts w:hint="eastAsia" w:eastAsia="方正仿宋_GBK"/>
          <w:color w:val="000000"/>
          <w:spacing w:val="-2"/>
          <w:sz w:val="24"/>
        </w:rPr>
        <w:t>、苏州市</w:t>
      </w:r>
      <w:r>
        <w:rPr>
          <w:rFonts w:eastAsia="方正仿宋_GBK"/>
          <w:color w:val="000000"/>
          <w:spacing w:val="-2"/>
          <w:sz w:val="24"/>
        </w:rPr>
        <w:t>05</w:t>
      </w:r>
      <w:r>
        <w:rPr>
          <w:rFonts w:hint="eastAsia" w:eastAsia="方正仿宋_GBK"/>
          <w:color w:val="000000"/>
          <w:spacing w:val="-2"/>
          <w:sz w:val="24"/>
        </w:rPr>
        <w:t>、南通市</w:t>
      </w:r>
      <w:r>
        <w:rPr>
          <w:rFonts w:eastAsia="方正仿宋_GBK"/>
          <w:color w:val="000000"/>
          <w:spacing w:val="-2"/>
          <w:sz w:val="24"/>
        </w:rPr>
        <w:t>06</w:t>
      </w:r>
      <w:r>
        <w:rPr>
          <w:rFonts w:hint="eastAsia" w:eastAsia="方正仿宋_GBK"/>
          <w:color w:val="000000"/>
          <w:spacing w:val="-2"/>
          <w:sz w:val="24"/>
        </w:rPr>
        <w:t>、连云港市</w:t>
      </w:r>
      <w:r>
        <w:rPr>
          <w:rFonts w:eastAsia="方正仿宋_GBK"/>
          <w:color w:val="000000"/>
          <w:spacing w:val="-2"/>
          <w:sz w:val="24"/>
        </w:rPr>
        <w:t>07</w:t>
      </w:r>
      <w:r>
        <w:rPr>
          <w:rFonts w:hint="eastAsia" w:eastAsia="方正仿宋_GBK"/>
          <w:color w:val="000000"/>
          <w:spacing w:val="-2"/>
          <w:sz w:val="24"/>
        </w:rPr>
        <w:t>、淮安市</w:t>
      </w:r>
      <w:r>
        <w:rPr>
          <w:rFonts w:eastAsia="方正仿宋_GBK"/>
          <w:color w:val="000000"/>
          <w:spacing w:val="-2"/>
          <w:sz w:val="24"/>
        </w:rPr>
        <w:t>08</w:t>
      </w:r>
      <w:r>
        <w:rPr>
          <w:rFonts w:hint="eastAsia" w:eastAsia="方正仿宋_GBK"/>
          <w:color w:val="000000"/>
          <w:spacing w:val="-2"/>
          <w:sz w:val="24"/>
        </w:rPr>
        <w:t>、盐城市</w:t>
      </w:r>
      <w:r>
        <w:rPr>
          <w:rFonts w:eastAsia="方正仿宋_GBK"/>
          <w:color w:val="000000"/>
          <w:spacing w:val="-2"/>
          <w:sz w:val="24"/>
        </w:rPr>
        <w:t>09</w:t>
      </w:r>
      <w:r>
        <w:rPr>
          <w:rFonts w:hint="eastAsia" w:eastAsia="方正仿宋_GBK"/>
          <w:color w:val="000000"/>
          <w:spacing w:val="-2"/>
          <w:sz w:val="24"/>
        </w:rPr>
        <w:t>、扬州市</w:t>
      </w:r>
      <w:r>
        <w:rPr>
          <w:rFonts w:eastAsia="方正仿宋_GBK"/>
          <w:color w:val="000000"/>
          <w:spacing w:val="-2"/>
          <w:sz w:val="24"/>
        </w:rPr>
        <w:t>10</w:t>
      </w:r>
      <w:r>
        <w:rPr>
          <w:rFonts w:hint="eastAsia" w:eastAsia="方正仿宋_GBK"/>
          <w:color w:val="000000"/>
          <w:spacing w:val="-2"/>
          <w:sz w:val="24"/>
        </w:rPr>
        <w:t>、镇江市</w:t>
      </w:r>
      <w:r>
        <w:rPr>
          <w:rFonts w:eastAsia="方正仿宋_GBK"/>
          <w:color w:val="000000"/>
          <w:spacing w:val="-2"/>
          <w:sz w:val="24"/>
        </w:rPr>
        <w:t>11</w:t>
      </w:r>
      <w:r>
        <w:rPr>
          <w:rFonts w:hint="eastAsia" w:eastAsia="方正仿宋_GBK"/>
          <w:color w:val="000000"/>
          <w:spacing w:val="-2"/>
          <w:sz w:val="24"/>
        </w:rPr>
        <w:t>、泰州市</w:t>
      </w:r>
      <w:r>
        <w:rPr>
          <w:rFonts w:eastAsia="方正仿宋_GBK"/>
          <w:color w:val="000000"/>
          <w:spacing w:val="-2"/>
          <w:sz w:val="24"/>
        </w:rPr>
        <w:t>12</w:t>
      </w:r>
      <w:r>
        <w:rPr>
          <w:rFonts w:hint="eastAsia" w:eastAsia="方正仿宋_GBK"/>
          <w:color w:val="000000"/>
          <w:spacing w:val="-2"/>
          <w:sz w:val="24"/>
        </w:rPr>
        <w:t>、宿迁市</w:t>
      </w:r>
      <w:r>
        <w:rPr>
          <w:rFonts w:eastAsia="方正仿宋_GBK"/>
          <w:color w:val="000000"/>
          <w:spacing w:val="-2"/>
          <w:sz w:val="24"/>
        </w:rPr>
        <w:t>13</w:t>
      </w:r>
      <w:r>
        <w:rPr>
          <w:rFonts w:hint="eastAsia" w:eastAsia="方正仿宋_GBK"/>
          <w:color w:val="000000"/>
          <w:spacing w:val="-2"/>
          <w:sz w:val="24"/>
        </w:rPr>
        <w:t>。</w:t>
      </w:r>
    </w:p>
    <w:p>
      <w:pPr>
        <w:spacing w:line="460" w:lineRule="exact"/>
        <w:ind w:firstLine="472" w:firstLineChars="200"/>
        <w:rPr>
          <w:rFonts w:eastAsia="方正仿宋_GBK"/>
          <w:color w:val="000000"/>
          <w:spacing w:val="-2"/>
          <w:sz w:val="24"/>
        </w:rPr>
      </w:pPr>
      <w:r>
        <w:rPr>
          <w:rFonts w:eastAsia="方正仿宋_GBK"/>
          <w:color w:val="000000"/>
          <w:spacing w:val="-2"/>
          <w:sz w:val="24"/>
        </w:rPr>
        <w:t>3</w:t>
      </w:r>
      <w:r>
        <w:rPr>
          <w:rFonts w:hint="eastAsia" w:eastAsia="方正仿宋_GBK"/>
          <w:color w:val="000000"/>
          <w:spacing w:val="-2"/>
          <w:sz w:val="24"/>
        </w:rPr>
        <w:t>、县（市）编号：两位数，从</w:t>
      </w:r>
      <w:r>
        <w:rPr>
          <w:rFonts w:eastAsia="方正仿宋_GBK"/>
          <w:color w:val="000000"/>
          <w:spacing w:val="-2"/>
          <w:sz w:val="24"/>
        </w:rPr>
        <w:t>01</w:t>
      </w:r>
      <w:r>
        <w:rPr>
          <w:rFonts w:hint="eastAsia" w:eastAsia="方正仿宋_GBK"/>
          <w:color w:val="000000"/>
          <w:spacing w:val="-2"/>
          <w:sz w:val="24"/>
        </w:rPr>
        <w:t>到</w:t>
      </w:r>
      <w:r>
        <w:rPr>
          <w:rFonts w:eastAsia="方正仿宋_GBK"/>
          <w:color w:val="000000"/>
          <w:spacing w:val="-2"/>
          <w:sz w:val="24"/>
        </w:rPr>
        <w:t>99</w:t>
      </w:r>
      <w:r>
        <w:rPr>
          <w:rFonts w:hint="eastAsia" w:eastAsia="方正仿宋_GBK"/>
          <w:color w:val="000000"/>
          <w:spacing w:val="-2"/>
          <w:sz w:val="24"/>
        </w:rPr>
        <w:t>，由各设区市燃气主管部门确定。设区市层级，则此项编号为</w:t>
      </w:r>
      <w:r>
        <w:rPr>
          <w:rFonts w:eastAsia="方正仿宋_GBK"/>
          <w:color w:val="000000"/>
          <w:spacing w:val="-2"/>
          <w:sz w:val="24"/>
        </w:rPr>
        <w:t>00</w:t>
      </w:r>
      <w:r>
        <w:rPr>
          <w:rFonts w:hint="eastAsia" w:eastAsia="方正仿宋_GBK"/>
          <w:color w:val="000000"/>
          <w:spacing w:val="-2"/>
          <w:sz w:val="24"/>
        </w:rPr>
        <w:t>。</w:t>
      </w:r>
    </w:p>
    <w:p>
      <w:pPr>
        <w:spacing w:line="460" w:lineRule="exact"/>
        <w:ind w:firstLine="472" w:firstLineChars="200"/>
        <w:rPr>
          <w:rFonts w:eastAsia="方正仿宋_GBK"/>
          <w:color w:val="000000"/>
          <w:spacing w:val="-2"/>
          <w:sz w:val="24"/>
        </w:rPr>
      </w:pPr>
      <w:r>
        <w:rPr>
          <w:rFonts w:eastAsia="方正仿宋_GBK"/>
          <w:color w:val="000000"/>
          <w:spacing w:val="-2"/>
          <w:sz w:val="24"/>
        </w:rPr>
        <w:t>4</w:t>
      </w:r>
      <w:r>
        <w:rPr>
          <w:rFonts w:hint="eastAsia" w:eastAsia="方正仿宋_GBK"/>
          <w:color w:val="000000"/>
          <w:spacing w:val="-2"/>
          <w:sz w:val="24"/>
        </w:rPr>
        <w:t>、流水号：发证部门每年度核发的所有类型燃气经营许可证统一编流水号，四位数，从</w:t>
      </w:r>
      <w:r>
        <w:rPr>
          <w:rFonts w:eastAsia="方正仿宋_GBK"/>
          <w:color w:val="000000"/>
          <w:spacing w:val="-2"/>
          <w:sz w:val="24"/>
        </w:rPr>
        <w:t>0001</w:t>
      </w:r>
      <w:r>
        <w:rPr>
          <w:rFonts w:hint="eastAsia" w:eastAsia="方正仿宋_GBK"/>
          <w:color w:val="000000"/>
          <w:spacing w:val="-2"/>
          <w:sz w:val="24"/>
        </w:rPr>
        <w:t>到</w:t>
      </w:r>
      <w:r>
        <w:rPr>
          <w:rFonts w:eastAsia="方正仿宋_GBK"/>
          <w:color w:val="000000"/>
          <w:spacing w:val="-2"/>
          <w:sz w:val="24"/>
        </w:rPr>
        <w:t>9999</w:t>
      </w:r>
      <w:r>
        <w:rPr>
          <w:rFonts w:hint="eastAsia" w:eastAsia="方正仿宋_GBK"/>
          <w:color w:val="000000"/>
          <w:spacing w:val="-2"/>
          <w:sz w:val="24"/>
        </w:rPr>
        <w:t>。</w:t>
      </w:r>
    </w:p>
    <w:p>
      <w:pPr>
        <w:spacing w:line="460" w:lineRule="exact"/>
        <w:ind w:firstLine="472" w:firstLineChars="200"/>
        <w:rPr>
          <w:rFonts w:eastAsia="方正仿宋_GBK"/>
          <w:color w:val="000000"/>
          <w:spacing w:val="-2"/>
          <w:sz w:val="24"/>
        </w:rPr>
      </w:pPr>
      <w:r>
        <w:rPr>
          <w:rFonts w:eastAsia="方正仿宋_GBK"/>
          <w:color w:val="000000"/>
          <w:spacing w:val="-2"/>
          <w:sz w:val="24"/>
        </w:rPr>
        <w:t>5</w:t>
      </w:r>
      <w:r>
        <w:rPr>
          <w:rFonts w:hint="eastAsia" w:eastAsia="方正仿宋_GBK"/>
          <w:color w:val="000000"/>
          <w:spacing w:val="-2"/>
          <w:sz w:val="24"/>
        </w:rPr>
        <w:t>、经营类别代码：经营管道燃气为</w:t>
      </w:r>
      <w:r>
        <w:rPr>
          <w:rFonts w:eastAsia="方正仿宋_GBK"/>
          <w:color w:val="000000"/>
          <w:spacing w:val="-2"/>
          <w:sz w:val="24"/>
        </w:rPr>
        <w:t>“G”</w:t>
      </w:r>
      <w:r>
        <w:rPr>
          <w:rFonts w:hint="eastAsia" w:eastAsia="方正仿宋_GBK"/>
          <w:color w:val="000000"/>
          <w:spacing w:val="-2"/>
          <w:sz w:val="24"/>
        </w:rPr>
        <w:t>，经营瓶装燃气为</w:t>
      </w:r>
      <w:r>
        <w:rPr>
          <w:rFonts w:eastAsia="方正仿宋_GBK"/>
          <w:color w:val="000000"/>
          <w:spacing w:val="-2"/>
          <w:sz w:val="24"/>
        </w:rPr>
        <w:t>“P”</w:t>
      </w:r>
      <w:r>
        <w:rPr>
          <w:rFonts w:hint="eastAsia" w:eastAsia="方正仿宋_GBK"/>
          <w:color w:val="000000"/>
          <w:spacing w:val="-2"/>
          <w:sz w:val="24"/>
        </w:rPr>
        <w:t>，经营燃气汽车加气站为</w:t>
      </w:r>
      <w:r>
        <w:rPr>
          <w:rFonts w:eastAsia="方正仿宋_GBK"/>
          <w:color w:val="000000"/>
          <w:spacing w:val="-2"/>
          <w:sz w:val="24"/>
        </w:rPr>
        <w:t>“J”</w:t>
      </w:r>
      <w:r>
        <w:rPr>
          <w:rFonts w:hint="eastAsia" w:eastAsia="方正仿宋_GBK"/>
          <w:color w:val="000000"/>
          <w:spacing w:val="-2"/>
          <w:sz w:val="24"/>
        </w:rPr>
        <w:t>，经营其他类为</w:t>
      </w:r>
      <w:r>
        <w:rPr>
          <w:rFonts w:eastAsia="方正仿宋_GBK"/>
          <w:color w:val="000000"/>
          <w:spacing w:val="-2"/>
          <w:sz w:val="24"/>
        </w:rPr>
        <w:t>“T”</w:t>
      </w:r>
      <w:r>
        <w:rPr>
          <w:rFonts w:hint="eastAsia" w:eastAsia="方正仿宋_GBK"/>
          <w:color w:val="000000"/>
          <w:spacing w:val="-2"/>
          <w:sz w:val="24"/>
        </w:rPr>
        <w:t>。如经营类别有多项，则按以上顺序排列相应字母代码。</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例：</w:t>
      </w:r>
      <w:r>
        <w:rPr>
          <w:rFonts w:eastAsia="方正仿宋_GBK"/>
          <w:color w:val="000000"/>
          <w:spacing w:val="-2"/>
          <w:sz w:val="24"/>
        </w:rPr>
        <w:t>2011</w:t>
      </w:r>
      <w:r>
        <w:rPr>
          <w:rFonts w:hint="eastAsia" w:eastAsia="方正仿宋_GBK"/>
          <w:color w:val="000000"/>
          <w:spacing w:val="-2"/>
          <w:sz w:val="24"/>
        </w:rPr>
        <w:t>年</w:t>
      </w:r>
      <w:r>
        <w:rPr>
          <w:rFonts w:eastAsia="方正仿宋_GBK"/>
          <w:color w:val="000000"/>
          <w:spacing w:val="-2"/>
          <w:sz w:val="24"/>
        </w:rPr>
        <w:t>12</w:t>
      </w:r>
      <w:r>
        <w:rPr>
          <w:rFonts w:hint="eastAsia" w:eastAsia="方正仿宋_GBK"/>
          <w:color w:val="000000"/>
          <w:spacing w:val="-2"/>
          <w:sz w:val="24"/>
        </w:rPr>
        <w:t>月，南京市住房和城乡建设委员会对溧水县某燃气企业核发本年度第二份经营许可证，该企业所在地南京市（设区市编号为</w:t>
      </w:r>
      <w:r>
        <w:rPr>
          <w:rFonts w:eastAsia="方正仿宋_GBK"/>
          <w:color w:val="000000"/>
          <w:spacing w:val="-2"/>
          <w:sz w:val="24"/>
        </w:rPr>
        <w:t>01</w:t>
      </w:r>
      <w:r>
        <w:rPr>
          <w:rFonts w:hint="eastAsia" w:eastAsia="方正仿宋_GBK"/>
          <w:color w:val="000000"/>
          <w:spacing w:val="-2"/>
          <w:sz w:val="24"/>
        </w:rPr>
        <w:t>）溧水县（县编号假定为</w:t>
      </w:r>
      <w:r>
        <w:rPr>
          <w:rFonts w:eastAsia="方正仿宋_GBK"/>
          <w:color w:val="000000"/>
          <w:spacing w:val="-2"/>
          <w:sz w:val="24"/>
        </w:rPr>
        <w:t>03</w:t>
      </w:r>
      <w:r>
        <w:rPr>
          <w:rFonts w:hint="eastAsia" w:eastAsia="方正仿宋_GBK"/>
          <w:color w:val="000000"/>
          <w:spacing w:val="-2"/>
          <w:sz w:val="24"/>
        </w:rPr>
        <w:t>），经营经营管道燃气和瓶装燃气，燃气经营许可证编号即为：</w:t>
      </w:r>
      <w:r>
        <w:rPr>
          <w:rFonts w:eastAsia="方正仿宋_GBK"/>
          <w:color w:val="000000"/>
          <w:spacing w:val="-2"/>
          <w:sz w:val="24"/>
        </w:rPr>
        <w:t>“</w:t>
      </w:r>
      <w:r>
        <w:rPr>
          <w:rFonts w:hint="eastAsia" w:eastAsia="方正仿宋_GBK"/>
          <w:color w:val="000000"/>
          <w:spacing w:val="-2"/>
          <w:sz w:val="24"/>
        </w:rPr>
        <w:t>苏</w:t>
      </w:r>
      <w:r>
        <w:rPr>
          <w:rFonts w:eastAsia="方正仿宋_GBK"/>
          <w:color w:val="000000"/>
          <w:spacing w:val="-2"/>
          <w:sz w:val="24"/>
        </w:rPr>
        <w:t>201101030002GP”</w:t>
      </w:r>
      <w:r>
        <w:rPr>
          <w:rFonts w:hint="eastAsia" w:eastAsia="方正仿宋_GBK"/>
          <w:color w:val="000000"/>
          <w:spacing w:val="-2"/>
          <w:sz w:val="24"/>
        </w:rPr>
        <w:t>。</w:t>
      </w:r>
    </w:p>
    <w:p>
      <w:pPr>
        <w:spacing w:line="460" w:lineRule="exact"/>
        <w:ind w:firstLine="630"/>
        <w:rPr>
          <w:rFonts w:eastAsia="方正仿宋_GBK"/>
          <w:color w:val="000000"/>
          <w:spacing w:val="-2"/>
          <w:sz w:val="24"/>
        </w:rPr>
      </w:pPr>
      <w:r>
        <w:rPr>
          <w:rFonts w:hint="eastAsia" w:eastAsia="方正仿宋_GBK"/>
          <w:color w:val="000000"/>
          <w:spacing w:val="-2"/>
          <w:sz w:val="24"/>
        </w:rPr>
        <w:t>（三）设区市燃气主管部门应当将本行政区域内经营许可证、供应许可证的年度审批发证情况于每年度</w:t>
      </w:r>
      <w:r>
        <w:rPr>
          <w:rFonts w:eastAsia="方正仿宋_GBK"/>
          <w:color w:val="000000"/>
          <w:spacing w:val="-2"/>
          <w:sz w:val="24"/>
        </w:rPr>
        <w:t>12</w:t>
      </w:r>
      <w:r>
        <w:rPr>
          <w:rFonts w:hint="eastAsia" w:eastAsia="方正仿宋_GBK"/>
          <w:color w:val="000000"/>
          <w:spacing w:val="-2"/>
          <w:sz w:val="24"/>
        </w:rPr>
        <w:t>月底前报省住房城乡建设厅备案。</w:t>
      </w:r>
    </w:p>
    <w:p>
      <w:pPr>
        <w:spacing w:line="460" w:lineRule="exact"/>
        <w:ind w:firstLine="630"/>
        <w:rPr>
          <w:rFonts w:eastAsia="方正仿宋_GBK"/>
          <w:color w:val="000000"/>
          <w:spacing w:val="-2"/>
          <w:sz w:val="24"/>
        </w:rPr>
      </w:pPr>
      <w:r>
        <w:rPr>
          <w:rFonts w:hint="eastAsia" w:eastAsia="方正仿宋_GBK"/>
          <w:color w:val="000000"/>
          <w:spacing w:val="-2"/>
          <w:sz w:val="24"/>
        </w:rPr>
        <w:t>各地在实施过程中有何意见和建议，请及时函告我厅城市建设与管理处。联系人：周敏珍，</w:t>
      </w:r>
      <w:r>
        <w:rPr>
          <w:rFonts w:eastAsia="方正仿宋_GBK"/>
          <w:color w:val="000000"/>
          <w:spacing w:val="-2"/>
          <w:sz w:val="24"/>
        </w:rPr>
        <w:t>025-51868890</w:t>
      </w:r>
      <w:r>
        <w:rPr>
          <w:rFonts w:hint="eastAsia" w:eastAsia="方正仿宋_GBK"/>
          <w:color w:val="000000"/>
          <w:spacing w:val="-2"/>
          <w:sz w:val="24"/>
        </w:rPr>
        <w:t>。</w:t>
      </w:r>
    </w:p>
    <w:p>
      <w:pPr>
        <w:spacing w:line="460" w:lineRule="exact"/>
        <w:jc w:val="right"/>
        <w:rPr>
          <w:rFonts w:eastAsia="方正仿宋_GBK"/>
          <w:color w:val="000000"/>
          <w:spacing w:val="-2"/>
          <w:sz w:val="24"/>
        </w:rPr>
      </w:pPr>
    </w:p>
    <w:p>
      <w:pPr>
        <w:wordWrap w:val="0"/>
        <w:spacing w:line="460" w:lineRule="exact"/>
        <w:jc w:val="right"/>
        <w:rPr>
          <w:rFonts w:eastAsia="方正仿宋_GBK"/>
          <w:color w:val="000000"/>
          <w:spacing w:val="-2"/>
          <w:sz w:val="24"/>
        </w:rPr>
      </w:pPr>
      <w:r>
        <w:rPr>
          <w:rFonts w:hint="eastAsia" w:eastAsia="方正仿宋_GBK"/>
          <w:color w:val="000000"/>
          <w:spacing w:val="-2"/>
          <w:sz w:val="24"/>
        </w:rPr>
        <w:t>江苏省住房和城乡建设厅</w:t>
      </w:r>
      <w:r>
        <w:rPr>
          <w:rFonts w:eastAsia="方正仿宋_GBK"/>
          <w:color w:val="000000"/>
          <w:spacing w:val="-2"/>
          <w:sz w:val="24"/>
        </w:rPr>
        <w:t xml:space="preserve">    </w:t>
      </w:r>
    </w:p>
    <w:p>
      <w:pPr>
        <w:spacing w:line="460" w:lineRule="exact"/>
        <w:ind w:firstLine="5664" w:firstLineChars="2400"/>
        <w:rPr>
          <w:rFonts w:eastAsia="方正仿宋_GBK"/>
          <w:color w:val="000000"/>
          <w:spacing w:val="-2"/>
          <w:sz w:val="24"/>
        </w:rPr>
      </w:pPr>
      <w:r>
        <w:rPr>
          <w:rFonts w:hint="eastAsia" w:eastAsia="方正仿宋_GBK"/>
          <w:color w:val="000000"/>
          <w:spacing w:val="-2"/>
          <w:sz w:val="24"/>
        </w:rPr>
        <w:t>二○一一年十二月十二日</w:t>
      </w:r>
      <w:r>
        <w:rPr>
          <w:rFonts w:eastAsia="方正仿宋_GBK"/>
          <w:color w:val="000000"/>
          <w:spacing w:val="-2"/>
          <w:sz w:val="24"/>
        </w:rPr>
        <w:t xml:space="preserve">    </w:t>
      </w:r>
    </w:p>
    <w:p>
      <w:pPr>
        <w:spacing w:line="460" w:lineRule="exact"/>
        <w:rPr>
          <w:rFonts w:ascii="Times New Roman" w:eastAsia="方正小标宋简体"/>
          <w:color w:val="000000"/>
          <w:sz w:val="36"/>
          <w:szCs w:val="36"/>
        </w:rPr>
      </w:pPr>
    </w:p>
    <w:p>
      <w:pPr>
        <w:rPr>
          <w:rFonts w:hint="eastAsia"/>
        </w:rPr>
      </w:pPr>
    </w:p>
    <w:p/>
    <w:p/>
    <w:p/>
    <w:p/>
    <w:p>
      <w:pPr>
        <w:pStyle w:val="2"/>
        <w:spacing w:before="240" w:beforeLines="100" w:after="240" w:afterLines="100" w:line="240" w:lineRule="auto"/>
        <w:jc w:val="center"/>
        <w:rPr>
          <w:rFonts w:ascii="Times New Roman" w:eastAsia="方正小标宋_GBK"/>
          <w:b w:val="0"/>
          <w:sz w:val="36"/>
          <w:szCs w:val="36"/>
        </w:rPr>
      </w:pPr>
      <w:bookmarkStart w:id="120" w:name="_Toc18315431"/>
      <w:bookmarkStart w:id="121" w:name="_Toc20726350"/>
      <w:r>
        <w:rPr>
          <w:rFonts w:hint="eastAsia" w:ascii="Times New Roman" w:eastAsia="方正小标宋_GBK"/>
          <w:b w:val="0"/>
          <w:sz w:val="36"/>
          <w:szCs w:val="36"/>
        </w:rPr>
        <w:t>省住房城乡建设厅关于修改《江苏省燃气工程项目初步设计管理办法》有关条文的通知</w:t>
      </w:r>
      <w:bookmarkEnd w:id="120"/>
      <w:bookmarkEnd w:id="121"/>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122" w:name="_Toc20726351"/>
      <w:bookmarkStart w:id="123" w:name="_Toc18315432"/>
      <w:r>
        <w:rPr>
          <w:rFonts w:hint="eastAsia" w:ascii="Times New Roman" w:hAnsi="Times New Roman" w:eastAsia="方正楷体_GBK"/>
          <w:b w:val="0"/>
          <w:sz w:val="24"/>
          <w:szCs w:val="24"/>
        </w:rPr>
        <w:t>苏建规字〔</w:t>
      </w:r>
      <w:r>
        <w:rPr>
          <w:rFonts w:ascii="Times New Roman" w:hAnsi="Times New Roman" w:eastAsia="方正楷体_GBK"/>
          <w:b w:val="0"/>
          <w:sz w:val="24"/>
          <w:szCs w:val="24"/>
        </w:rPr>
        <w:t>2013</w:t>
      </w:r>
      <w:r>
        <w:rPr>
          <w:rFonts w:hint="eastAsia" w:ascii="Times New Roman" w:hAnsi="Times New Roman" w:eastAsia="方正楷体_GBK"/>
          <w:b w:val="0"/>
          <w:sz w:val="24"/>
          <w:szCs w:val="24"/>
        </w:rPr>
        <w:t>〕</w:t>
      </w:r>
      <w:r>
        <w:rPr>
          <w:rFonts w:ascii="Times New Roman" w:hAnsi="Times New Roman" w:eastAsia="方正楷体_GBK"/>
          <w:b w:val="0"/>
          <w:sz w:val="24"/>
          <w:szCs w:val="24"/>
        </w:rPr>
        <w:t>2</w:t>
      </w:r>
      <w:r>
        <w:rPr>
          <w:rFonts w:hint="eastAsia" w:ascii="Times New Roman" w:hAnsi="Times New Roman" w:eastAsia="方正楷体_GBK"/>
          <w:b w:val="0"/>
          <w:sz w:val="24"/>
          <w:szCs w:val="24"/>
        </w:rPr>
        <w:t>号</w:t>
      </w:r>
      <w:bookmarkEnd w:id="122"/>
      <w:bookmarkEnd w:id="123"/>
    </w:p>
    <w:p>
      <w:pPr>
        <w:spacing w:line="460" w:lineRule="exact"/>
        <w:rPr>
          <w:rFonts w:eastAsia="方正仿宋_GBK"/>
          <w:color w:val="000000"/>
          <w:spacing w:val="-2"/>
          <w:sz w:val="24"/>
        </w:rPr>
      </w:pPr>
      <w:r>
        <w:rPr>
          <w:rFonts w:hint="eastAsia" w:eastAsia="方正仿宋_GBK"/>
          <w:color w:val="000000"/>
          <w:spacing w:val="-2"/>
          <w:sz w:val="24"/>
        </w:rPr>
        <w:t>各市建设局（委）、无锡市政和园林局：</w:t>
      </w:r>
    </w:p>
    <w:p>
      <w:pPr>
        <w:spacing w:line="460" w:lineRule="exact"/>
        <w:ind w:firstLine="456" w:firstLineChars="200"/>
        <w:rPr>
          <w:rFonts w:eastAsia="方正仿宋_GBK"/>
          <w:color w:val="000000"/>
          <w:spacing w:val="-6"/>
          <w:sz w:val="24"/>
        </w:rPr>
      </w:pPr>
      <w:r>
        <w:rPr>
          <w:rFonts w:hint="eastAsia" w:eastAsia="方正仿宋_GBK"/>
          <w:color w:val="000000"/>
          <w:spacing w:val="-6"/>
          <w:sz w:val="24"/>
        </w:rPr>
        <w:t>根据《城镇燃气管理条例》（</w:t>
      </w:r>
      <w:r>
        <w:rPr>
          <w:rFonts w:eastAsia="方正仿宋_GBK"/>
          <w:color w:val="000000"/>
          <w:spacing w:val="-6"/>
          <w:sz w:val="24"/>
        </w:rPr>
        <w:t xml:space="preserve"> </w:t>
      </w:r>
      <w:r>
        <w:rPr>
          <w:rFonts w:hint="eastAsia" w:eastAsia="方正仿宋_GBK"/>
          <w:color w:val="000000"/>
          <w:spacing w:val="-6"/>
          <w:sz w:val="24"/>
        </w:rPr>
        <w:t>国务院第</w:t>
      </w:r>
      <w:r>
        <w:rPr>
          <w:rFonts w:eastAsia="方正仿宋_GBK"/>
          <w:color w:val="000000"/>
          <w:spacing w:val="-6"/>
          <w:sz w:val="24"/>
        </w:rPr>
        <w:t>583</w:t>
      </w:r>
      <w:r>
        <w:rPr>
          <w:rFonts w:hint="eastAsia" w:eastAsia="方正仿宋_GBK"/>
          <w:color w:val="000000"/>
          <w:spacing w:val="-6"/>
          <w:sz w:val="24"/>
        </w:rPr>
        <w:t>号令）、《建设项目安全设施</w:t>
      </w:r>
      <w:r>
        <w:rPr>
          <w:rFonts w:eastAsia="方正仿宋_GBK"/>
          <w:color w:val="000000"/>
          <w:spacing w:val="-6"/>
          <w:sz w:val="24"/>
        </w:rPr>
        <w:t>“</w:t>
      </w:r>
      <w:r>
        <w:rPr>
          <w:rFonts w:hint="eastAsia" w:eastAsia="方正仿宋_GBK"/>
          <w:color w:val="000000"/>
          <w:spacing w:val="-6"/>
          <w:sz w:val="24"/>
        </w:rPr>
        <w:t>三同时</w:t>
      </w:r>
      <w:r>
        <w:rPr>
          <w:rFonts w:eastAsia="方正仿宋_GBK"/>
          <w:color w:val="000000"/>
          <w:spacing w:val="-6"/>
          <w:sz w:val="24"/>
        </w:rPr>
        <w:t>”</w:t>
      </w:r>
      <w:r>
        <w:rPr>
          <w:rFonts w:hint="eastAsia" w:eastAsia="方正仿宋_GBK"/>
          <w:color w:val="000000"/>
          <w:spacing w:val="-6"/>
          <w:sz w:val="24"/>
        </w:rPr>
        <w:t>监督管理暂行办法》（国家安全生产监督管理总局</w:t>
      </w:r>
      <w:r>
        <w:rPr>
          <w:rFonts w:eastAsia="方正仿宋_GBK"/>
          <w:color w:val="000000"/>
          <w:spacing w:val="-6"/>
          <w:sz w:val="24"/>
        </w:rPr>
        <w:t>36</w:t>
      </w:r>
      <w:r>
        <w:rPr>
          <w:rFonts w:hint="eastAsia" w:eastAsia="方正仿宋_GBK"/>
          <w:color w:val="000000"/>
          <w:spacing w:val="-6"/>
          <w:sz w:val="24"/>
        </w:rPr>
        <w:t>号令）等有关法律、法规规定，为了进一步加强燃气工程初步设计管理，决定对《江苏省燃气工程项目初步设计管理办法》（苏建法〔</w:t>
      </w:r>
      <w:r>
        <w:rPr>
          <w:rFonts w:eastAsia="方正仿宋_GBK"/>
          <w:color w:val="000000"/>
          <w:spacing w:val="-6"/>
          <w:sz w:val="24"/>
        </w:rPr>
        <w:t>2006</w:t>
      </w:r>
      <w:r>
        <w:rPr>
          <w:rFonts w:hint="eastAsia" w:eastAsia="方正仿宋_GBK"/>
          <w:color w:val="000000"/>
          <w:spacing w:val="-6"/>
          <w:sz w:val="24"/>
        </w:rPr>
        <w:t>〕</w:t>
      </w:r>
      <w:r>
        <w:rPr>
          <w:rFonts w:eastAsia="方正仿宋_GBK"/>
          <w:color w:val="000000"/>
          <w:spacing w:val="-6"/>
          <w:sz w:val="24"/>
        </w:rPr>
        <w:t>279</w:t>
      </w:r>
      <w:r>
        <w:rPr>
          <w:rFonts w:hint="eastAsia" w:eastAsia="方正仿宋_GBK"/>
          <w:color w:val="000000"/>
          <w:spacing w:val="-6"/>
          <w:sz w:val="24"/>
        </w:rPr>
        <w:t>号，以下简称《办法》）予以修改。现将修改内容通知如下：</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办法》第一条修改为：为了加强燃气工程建设管理，保证燃气工程设计质量，根据国务院《建设工程质量管理条例》、《建设工程勘察设计管理条例》、《城镇燃气管理条例》、《江苏省燃气管理条例》以及有关法律法规的规定，制定本办法。</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二、《办法》第二条修改为：</w:t>
      </w:r>
      <w:r>
        <w:rPr>
          <w:rFonts w:eastAsia="方正仿宋_GBK"/>
          <w:color w:val="000000"/>
          <w:spacing w:val="-2"/>
          <w:sz w:val="24"/>
        </w:rPr>
        <w:t xml:space="preserve"> </w:t>
      </w:r>
      <w:r>
        <w:rPr>
          <w:rFonts w:hint="eastAsia" w:eastAsia="方正仿宋_GBK"/>
          <w:color w:val="000000"/>
          <w:spacing w:val="-2"/>
          <w:sz w:val="24"/>
        </w:rPr>
        <w:t>本办法所称燃气工程是指燃气生产、贮存、输配、销售设施，包括：燃气场站（人工煤气生产厂、燃气储配场、气化站、混气站、加气站、灌装站、调压站）及管道输配设施。</w:t>
      </w:r>
    </w:p>
    <w:p>
      <w:pPr>
        <w:spacing w:line="600" w:lineRule="exact"/>
        <w:ind w:firstLine="645"/>
        <w:rPr>
          <w:rFonts w:eastAsia="仿宋_GB2312"/>
          <w:color w:val="000000"/>
          <w:sz w:val="32"/>
          <w:szCs w:val="21"/>
        </w:rPr>
      </w:pPr>
      <w:r>
        <w:rPr>
          <w:rFonts w:hint="eastAsia" w:eastAsia="方正仿宋_GBK"/>
          <w:color w:val="000000"/>
          <w:spacing w:val="-2"/>
          <w:sz w:val="24"/>
        </w:rPr>
        <w:t>三、《办法》第四条修改为：燃气工程省级核准的跨市、县（市）区域项目的初步设计文件由省级建设部门审查批准，其他省级核准项目由项目所在地建设主管部门审查批准，市、县（市）核准项目由同级建设主管部门审查批准。政府投资的燃气工程项目的初步设计文件审查按照国家和省有关规定执行。</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四、《办法》第十条修改为：初步设计审查后，建设单位应督促设计单位根据专家审查意见对初步设计文件进行修改、补充和完善，并向审查机关提交初步设计修改文件以及环境影响评价审批意见、安全预评价备案书、规划选址意见书等相关附件材料。</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审查机关对初步设计修改文件及相关附件材料进行复审后，按规定时间向建设单位核发初步设计批复文件。</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五、《办法》第十一条修改为：燃气工程建设项目的安全预评价由建设单位委托有相应等级的燃气生产及供应业或陆上石油和天然气开采业、管道运输业评价类别的安全评价单位进行。安全预评价报告须报相应的安全生产监督管理部门备案。</w:t>
      </w:r>
    </w:p>
    <w:p>
      <w:pPr>
        <w:spacing w:line="460" w:lineRule="exact"/>
        <w:ind w:firstLine="472" w:firstLineChars="200"/>
        <w:rPr>
          <w:rFonts w:eastAsia="方正仿宋_GBK"/>
          <w:color w:val="000000"/>
          <w:spacing w:val="-2"/>
          <w:sz w:val="24"/>
        </w:rPr>
      </w:pP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附件：江苏省燃气工程项目初步设计管理办法（修订）</w:t>
      </w:r>
    </w:p>
    <w:p>
      <w:pPr>
        <w:spacing w:line="460" w:lineRule="exact"/>
        <w:jc w:val="left"/>
        <w:rPr>
          <w:rFonts w:eastAsia="方正仿宋_GBK"/>
          <w:color w:val="000000"/>
          <w:spacing w:val="-2"/>
          <w:sz w:val="24"/>
        </w:rPr>
      </w:pPr>
    </w:p>
    <w:p>
      <w:pPr>
        <w:spacing w:line="460" w:lineRule="exact"/>
        <w:ind w:right="439" w:rightChars="209" w:firstLine="3422" w:firstLineChars="1450"/>
        <w:jc w:val="right"/>
        <w:rPr>
          <w:rFonts w:eastAsia="方正仿宋_GBK"/>
          <w:color w:val="000000"/>
          <w:spacing w:val="-2"/>
          <w:sz w:val="24"/>
        </w:rPr>
      </w:pPr>
      <w:r>
        <w:rPr>
          <w:rFonts w:hint="eastAsia" w:eastAsia="方正仿宋_GBK"/>
          <w:color w:val="000000"/>
          <w:spacing w:val="-2"/>
          <w:sz w:val="24"/>
        </w:rPr>
        <w:t>江苏省住房和城乡建设厅</w:t>
      </w:r>
    </w:p>
    <w:p>
      <w:pPr>
        <w:spacing w:line="460" w:lineRule="exact"/>
        <w:ind w:right="640" w:firstLine="472" w:firstLineChars="200"/>
        <w:rPr>
          <w:rFonts w:eastAsia="方正仿宋_GBK"/>
          <w:color w:val="000000"/>
          <w:spacing w:val="-2"/>
          <w:sz w:val="24"/>
        </w:rPr>
      </w:pPr>
      <w:r>
        <w:rPr>
          <w:rFonts w:eastAsia="方正仿宋_GBK"/>
          <w:color w:val="000000"/>
          <w:spacing w:val="-2"/>
          <w:sz w:val="24"/>
        </w:rPr>
        <w:t xml:space="preserve">                                                2013</w:t>
      </w:r>
      <w:r>
        <w:rPr>
          <w:rFonts w:hint="eastAsia" w:eastAsia="方正仿宋_GBK"/>
          <w:color w:val="000000"/>
          <w:spacing w:val="-2"/>
          <w:sz w:val="24"/>
        </w:rPr>
        <w:t>年</w:t>
      </w:r>
      <w:r>
        <w:rPr>
          <w:rFonts w:eastAsia="方正仿宋_GBK"/>
          <w:color w:val="000000"/>
          <w:spacing w:val="-2"/>
          <w:sz w:val="24"/>
        </w:rPr>
        <w:t>4</w:t>
      </w:r>
      <w:r>
        <w:rPr>
          <w:rFonts w:hint="eastAsia" w:eastAsia="方正仿宋_GBK"/>
          <w:color w:val="000000"/>
          <w:spacing w:val="-2"/>
          <w:sz w:val="24"/>
        </w:rPr>
        <w:t>月</w:t>
      </w:r>
      <w:r>
        <w:rPr>
          <w:rFonts w:eastAsia="方正仿宋_GBK"/>
          <w:color w:val="000000"/>
          <w:spacing w:val="-2"/>
          <w:sz w:val="24"/>
        </w:rPr>
        <w:t xml:space="preserve">27 </w:t>
      </w:r>
      <w:r>
        <w:rPr>
          <w:rFonts w:hint="eastAsia" w:eastAsia="方正仿宋_GBK"/>
          <w:color w:val="000000"/>
          <w:spacing w:val="-2"/>
          <w:sz w:val="24"/>
        </w:rPr>
        <w:t>日</w:t>
      </w:r>
      <w:r>
        <w:rPr>
          <w:rFonts w:eastAsia="方正仿宋_GBK"/>
          <w:color w:val="000000"/>
          <w:spacing w:val="-2"/>
          <w:sz w:val="24"/>
        </w:rPr>
        <w:t xml:space="preserve"> </w:t>
      </w:r>
    </w:p>
    <w:p>
      <w:pPr>
        <w:spacing w:line="460" w:lineRule="exact"/>
        <w:ind w:firstLine="472" w:firstLineChars="200"/>
        <w:jc w:val="right"/>
        <w:rPr>
          <w:rFonts w:eastAsia="方正仿宋_GBK"/>
          <w:color w:val="000000"/>
          <w:spacing w:val="-2"/>
          <w:sz w:val="24"/>
        </w:rPr>
      </w:pPr>
    </w:p>
    <w:p>
      <w:pPr>
        <w:spacing w:line="460" w:lineRule="exact"/>
        <w:rPr>
          <w:rFonts w:eastAsia="方正黑体_GBK"/>
          <w:color w:val="000000"/>
          <w:spacing w:val="-2"/>
          <w:sz w:val="36"/>
          <w:szCs w:val="36"/>
        </w:rPr>
      </w:pPr>
    </w:p>
    <w:p>
      <w:pPr>
        <w:spacing w:line="460" w:lineRule="exact"/>
        <w:ind w:left="1068" w:hanging="1068" w:hangingChars="300"/>
        <w:jc w:val="center"/>
        <w:rPr>
          <w:rFonts w:eastAsia="方正黑体_GBK"/>
          <w:color w:val="000000"/>
          <w:spacing w:val="-2"/>
          <w:sz w:val="36"/>
          <w:szCs w:val="36"/>
        </w:rPr>
      </w:pPr>
      <w:r>
        <w:rPr>
          <w:rFonts w:hint="eastAsia" w:eastAsia="方正黑体_GBK"/>
          <w:color w:val="000000"/>
          <w:spacing w:val="-2"/>
          <w:sz w:val="36"/>
          <w:szCs w:val="36"/>
        </w:rPr>
        <w:t>江苏省燃气工程项目初步设计管理办法（修订）</w:t>
      </w:r>
    </w:p>
    <w:p>
      <w:pPr>
        <w:spacing w:line="440" w:lineRule="exact"/>
        <w:ind w:firstLine="472" w:firstLineChars="200"/>
        <w:rPr>
          <w:rFonts w:eastAsia="方正仿宋_GBK"/>
          <w:color w:val="000000"/>
          <w:spacing w:val="-2"/>
          <w:sz w:val="24"/>
        </w:rPr>
      </w:pPr>
    </w:p>
    <w:p>
      <w:pPr>
        <w:spacing w:line="440" w:lineRule="exact"/>
        <w:ind w:firstLine="472" w:firstLineChars="200"/>
        <w:rPr>
          <w:rFonts w:eastAsia="方正仿宋_GBK"/>
          <w:color w:val="000000"/>
          <w:spacing w:val="-2"/>
          <w:sz w:val="24"/>
        </w:rPr>
      </w:pPr>
      <w:r>
        <w:rPr>
          <w:rFonts w:hint="eastAsia" w:eastAsia="方正黑体_GBK"/>
          <w:color w:val="000000"/>
          <w:spacing w:val="-2"/>
          <w:sz w:val="24"/>
        </w:rPr>
        <w:t>第一条</w:t>
      </w:r>
      <w:r>
        <w:rPr>
          <w:rFonts w:eastAsia="方正仿宋_GBK"/>
          <w:color w:val="000000"/>
          <w:spacing w:val="-2"/>
          <w:sz w:val="24"/>
        </w:rPr>
        <w:t xml:space="preserve">  </w:t>
      </w:r>
      <w:r>
        <w:rPr>
          <w:rFonts w:hint="eastAsia" w:eastAsia="方正仿宋_GBK"/>
          <w:color w:val="000000"/>
          <w:spacing w:val="-2"/>
          <w:sz w:val="24"/>
        </w:rPr>
        <w:t>为了加强燃气工程建设管理，保证燃气工程设计质量，根据国务院《建设工程质量管理条例》、《建设工程勘察设计管理条例》、《城镇燃气管理条例》、《江苏省燃气管理条例》以及有关法律法规的规定，制定本办法。</w:t>
      </w:r>
    </w:p>
    <w:p>
      <w:pPr>
        <w:spacing w:line="440" w:lineRule="exact"/>
        <w:ind w:firstLine="472" w:firstLineChars="200"/>
        <w:jc w:val="left"/>
        <w:rPr>
          <w:rFonts w:eastAsia="方正仿宋_GBK"/>
          <w:color w:val="000000"/>
          <w:spacing w:val="-2"/>
          <w:sz w:val="24"/>
        </w:rPr>
      </w:pPr>
      <w:r>
        <w:rPr>
          <w:rFonts w:hint="eastAsia" w:eastAsia="方正黑体_GBK"/>
          <w:color w:val="000000"/>
          <w:spacing w:val="-2"/>
          <w:sz w:val="24"/>
        </w:rPr>
        <w:t>第二条</w:t>
      </w:r>
      <w:r>
        <w:rPr>
          <w:rFonts w:eastAsia="方正仿宋_GBK"/>
          <w:color w:val="000000"/>
          <w:spacing w:val="-2"/>
          <w:sz w:val="24"/>
        </w:rPr>
        <w:t xml:space="preserve">  </w:t>
      </w:r>
      <w:r>
        <w:rPr>
          <w:rFonts w:hint="eastAsia" w:eastAsia="方正仿宋_GBK"/>
          <w:color w:val="000000"/>
          <w:spacing w:val="-2"/>
          <w:sz w:val="24"/>
        </w:rPr>
        <w:t>本办法所称燃气工程是指燃气生产、贮存、输配、销售设施，包括：燃气场站（人工煤气生产厂、燃气储配场、气化站、混气站、加气站、灌装站、调压站）、管道输配设施。</w:t>
      </w:r>
    </w:p>
    <w:p>
      <w:pPr>
        <w:spacing w:line="440" w:lineRule="exact"/>
        <w:ind w:firstLine="472" w:firstLineChars="200"/>
        <w:rPr>
          <w:rFonts w:eastAsia="方正仿宋_GBK"/>
          <w:color w:val="000000"/>
          <w:spacing w:val="-2"/>
          <w:sz w:val="24"/>
        </w:rPr>
      </w:pPr>
      <w:r>
        <w:rPr>
          <w:rFonts w:hint="eastAsia" w:eastAsia="方正黑体_GBK"/>
          <w:color w:val="000000"/>
          <w:spacing w:val="-2"/>
          <w:sz w:val="24"/>
        </w:rPr>
        <w:t>第三条</w:t>
      </w:r>
      <w:r>
        <w:rPr>
          <w:rFonts w:eastAsia="方正仿宋_GBK"/>
          <w:color w:val="000000"/>
          <w:spacing w:val="-2"/>
          <w:sz w:val="24"/>
        </w:rPr>
        <w:t xml:space="preserve">  </w:t>
      </w:r>
      <w:r>
        <w:rPr>
          <w:rFonts w:hint="eastAsia" w:eastAsia="方正仿宋_GBK"/>
          <w:color w:val="000000"/>
          <w:spacing w:val="-2"/>
          <w:sz w:val="24"/>
        </w:rPr>
        <w:t>省、市、县（市）建设（市政公用）行政主管部门（以下统称建设行政主管部门）负责非政府投资的燃气工程项目初步设计的审批管理工作。</w:t>
      </w:r>
    </w:p>
    <w:p>
      <w:pPr>
        <w:spacing w:line="440" w:lineRule="exact"/>
        <w:ind w:firstLine="472" w:firstLineChars="200"/>
        <w:jc w:val="left"/>
        <w:rPr>
          <w:rFonts w:eastAsia="方正仿宋_GBK"/>
          <w:color w:val="000000"/>
          <w:spacing w:val="-2"/>
          <w:sz w:val="24"/>
        </w:rPr>
      </w:pPr>
      <w:r>
        <w:rPr>
          <w:rFonts w:hint="eastAsia" w:eastAsia="方正黑体_GBK"/>
          <w:color w:val="000000"/>
          <w:spacing w:val="-2"/>
          <w:sz w:val="24"/>
        </w:rPr>
        <w:t>第四条</w:t>
      </w:r>
      <w:r>
        <w:rPr>
          <w:rFonts w:eastAsia="方正仿宋_GBK"/>
          <w:color w:val="000000"/>
          <w:spacing w:val="-2"/>
          <w:sz w:val="24"/>
        </w:rPr>
        <w:t xml:space="preserve">  </w:t>
      </w:r>
      <w:r>
        <w:rPr>
          <w:rFonts w:hint="eastAsia" w:eastAsia="方正仿宋_GBK"/>
          <w:color w:val="000000"/>
          <w:spacing w:val="-2"/>
          <w:sz w:val="24"/>
        </w:rPr>
        <w:t>燃气工程省级核准的跨市、县（市）区域项目的初步设计文件由省级建设部门审查批准，其他省级核准项目由项目所在地建设主管部门审查批准，市、县（市）核准项目由同级建设主管部门审查批准。政府投资的燃气工程项目的初步设计文件审查按照国家和省有关规定执行。</w:t>
      </w:r>
    </w:p>
    <w:p>
      <w:pPr>
        <w:spacing w:line="440" w:lineRule="exact"/>
        <w:ind w:firstLine="472" w:firstLineChars="200"/>
        <w:rPr>
          <w:rFonts w:eastAsia="方正仿宋_GBK"/>
          <w:color w:val="000000"/>
          <w:spacing w:val="-6"/>
          <w:sz w:val="24"/>
        </w:rPr>
      </w:pPr>
      <w:r>
        <w:rPr>
          <w:rFonts w:hint="eastAsia" w:eastAsia="方正黑体_GBK"/>
          <w:color w:val="000000"/>
          <w:spacing w:val="-2"/>
          <w:sz w:val="24"/>
        </w:rPr>
        <w:t>第五条</w:t>
      </w:r>
      <w:r>
        <w:rPr>
          <w:rFonts w:eastAsia="方正仿宋_GBK"/>
          <w:color w:val="000000"/>
          <w:spacing w:val="-2"/>
          <w:sz w:val="24"/>
        </w:rPr>
        <w:t xml:space="preserve">  </w:t>
      </w:r>
      <w:r>
        <w:rPr>
          <w:rFonts w:hint="eastAsia" w:eastAsia="方正仿宋_GBK"/>
          <w:color w:val="000000"/>
          <w:spacing w:val="-6"/>
          <w:sz w:val="24"/>
        </w:rPr>
        <w:t>建设单位应持发改部门核发的《项目核准通知》，在落实相关外部条件的前提下，委托具有相应燃气设计资格的单位，在双方签署设计合同后，编制初步设计文件。</w:t>
      </w:r>
    </w:p>
    <w:p>
      <w:pPr>
        <w:spacing w:line="440" w:lineRule="exact"/>
        <w:ind w:firstLine="472" w:firstLineChars="200"/>
        <w:rPr>
          <w:rFonts w:eastAsia="方正仿宋_GBK"/>
          <w:color w:val="000000"/>
          <w:spacing w:val="-2"/>
          <w:sz w:val="24"/>
        </w:rPr>
      </w:pPr>
      <w:r>
        <w:rPr>
          <w:rFonts w:hint="eastAsia" w:eastAsia="方正黑体_GBK"/>
          <w:color w:val="000000"/>
          <w:spacing w:val="-2"/>
          <w:sz w:val="24"/>
        </w:rPr>
        <w:t>第六条</w:t>
      </w:r>
      <w:r>
        <w:rPr>
          <w:rFonts w:eastAsia="方正仿宋_GBK"/>
          <w:color w:val="000000"/>
          <w:spacing w:val="-2"/>
          <w:sz w:val="24"/>
        </w:rPr>
        <w:t xml:space="preserve">  </w:t>
      </w:r>
      <w:r>
        <w:rPr>
          <w:rFonts w:hint="eastAsia" w:eastAsia="方正仿宋_GBK"/>
          <w:color w:val="000000"/>
          <w:spacing w:val="-2"/>
          <w:sz w:val="24"/>
        </w:rPr>
        <w:t>初步设计文件深度必须符合建设部颁发的《市政公用工程设计文件编制深度规定》的有关要求。</w:t>
      </w:r>
    </w:p>
    <w:p>
      <w:pPr>
        <w:spacing w:line="440" w:lineRule="exact"/>
        <w:ind w:firstLine="472" w:firstLineChars="200"/>
        <w:rPr>
          <w:rFonts w:eastAsia="方正仿宋_GBK"/>
          <w:color w:val="000000"/>
          <w:spacing w:val="-2"/>
          <w:sz w:val="24"/>
        </w:rPr>
      </w:pPr>
      <w:r>
        <w:rPr>
          <w:rFonts w:hint="eastAsia" w:eastAsia="方正仿宋_GBK"/>
          <w:color w:val="000000"/>
          <w:spacing w:val="-2"/>
          <w:sz w:val="24"/>
        </w:rPr>
        <w:t>设计单位应当严格执行国家、省有关燃气工程建设法律、法规和工程建设强制性技术标准，对其承接的燃气工程设计质量负责。工程选用的设备、材料，应当符合国家标准、行业标准。</w:t>
      </w:r>
    </w:p>
    <w:p>
      <w:pPr>
        <w:spacing w:line="440" w:lineRule="exact"/>
        <w:ind w:firstLine="472" w:firstLineChars="200"/>
        <w:rPr>
          <w:rFonts w:eastAsia="方正仿宋_GBK"/>
          <w:color w:val="000000"/>
          <w:spacing w:val="-2"/>
          <w:sz w:val="24"/>
        </w:rPr>
      </w:pPr>
      <w:r>
        <w:rPr>
          <w:rFonts w:hint="eastAsia" w:eastAsia="方正黑体_GBK"/>
          <w:color w:val="000000"/>
          <w:spacing w:val="-2"/>
          <w:sz w:val="24"/>
        </w:rPr>
        <w:t>第七条</w:t>
      </w:r>
      <w:r>
        <w:rPr>
          <w:rFonts w:eastAsia="方正仿宋_GBK"/>
          <w:color w:val="000000"/>
          <w:spacing w:val="-2"/>
          <w:sz w:val="24"/>
        </w:rPr>
        <w:t xml:space="preserve">  </w:t>
      </w:r>
      <w:r>
        <w:rPr>
          <w:rFonts w:hint="eastAsia" w:eastAsia="方正仿宋_GBK"/>
          <w:color w:val="000000"/>
          <w:spacing w:val="-2"/>
          <w:sz w:val="24"/>
        </w:rPr>
        <w:t>初步设计文件编制完成后，建设单位应当按照项目审批权限向相应的审查批准机关提出初步设计审查申请并附需要送审的初步设计文件，送审材料须同时抄送项目所在地建设行政主管部门。</w:t>
      </w:r>
    </w:p>
    <w:p>
      <w:pPr>
        <w:spacing w:line="440" w:lineRule="exact"/>
        <w:ind w:firstLine="472" w:firstLineChars="200"/>
        <w:rPr>
          <w:rFonts w:eastAsia="方正仿宋_GBK"/>
          <w:color w:val="000000"/>
          <w:spacing w:val="-2"/>
          <w:sz w:val="24"/>
        </w:rPr>
      </w:pPr>
      <w:r>
        <w:rPr>
          <w:rFonts w:hint="eastAsia" w:eastAsia="方正黑体_GBK"/>
          <w:color w:val="000000"/>
          <w:spacing w:val="-2"/>
          <w:sz w:val="24"/>
        </w:rPr>
        <w:t>第八条</w:t>
      </w:r>
      <w:r>
        <w:rPr>
          <w:rFonts w:eastAsia="方正仿宋_GBK"/>
          <w:color w:val="000000"/>
          <w:spacing w:val="-2"/>
          <w:sz w:val="24"/>
        </w:rPr>
        <w:t xml:space="preserve">  </w:t>
      </w:r>
      <w:r>
        <w:rPr>
          <w:rFonts w:hint="eastAsia" w:eastAsia="方正仿宋_GBK"/>
          <w:color w:val="000000"/>
          <w:spacing w:val="-2"/>
          <w:sz w:val="24"/>
        </w:rPr>
        <w:t>审查机关在组织初步设计审查时应邀请设计、科研等单位的专家以及政府有关部门参加，组成专家审查委员会。专家审查委员会负责技术、经济审查，并提出书面审查意见。</w:t>
      </w:r>
    </w:p>
    <w:p>
      <w:pPr>
        <w:spacing w:line="440" w:lineRule="exact"/>
        <w:ind w:firstLine="472" w:firstLineChars="200"/>
        <w:rPr>
          <w:rFonts w:eastAsia="方正仿宋_GBK"/>
          <w:color w:val="000000"/>
          <w:spacing w:val="-2"/>
          <w:sz w:val="24"/>
        </w:rPr>
      </w:pPr>
      <w:r>
        <w:rPr>
          <w:rFonts w:hint="eastAsia" w:eastAsia="方正黑体_GBK"/>
          <w:color w:val="000000"/>
          <w:spacing w:val="-2"/>
          <w:sz w:val="24"/>
        </w:rPr>
        <w:t>第九条</w:t>
      </w:r>
      <w:r>
        <w:rPr>
          <w:rFonts w:eastAsia="方正仿宋_GBK"/>
          <w:color w:val="000000"/>
          <w:spacing w:val="-2"/>
          <w:sz w:val="24"/>
        </w:rPr>
        <w:t xml:space="preserve">  </w:t>
      </w:r>
      <w:r>
        <w:rPr>
          <w:rFonts w:hint="eastAsia" w:eastAsia="方正仿宋_GBK"/>
          <w:color w:val="000000"/>
          <w:spacing w:val="-2"/>
          <w:sz w:val="24"/>
        </w:rPr>
        <w:t>燃气工程初步设计审查的主要内容有：（一）工程设计是否符合核准的建设规模、建设标准、设计方案、投资估算等；（二）工程项目是否符合城市总体规划和燃气专业规划要求及规划部门对选址的具体意见；（三）设计文件是否达到了设计编制深度要求；（四）设计文件是否符合《城镇燃气设计规范》、《建筑设计防火规范》等有关燃气安全标准、规范、规定的要求；（五）工程项目是否按国家法律、法规规定完善了环保、安全评价等事项。</w:t>
      </w:r>
    </w:p>
    <w:p>
      <w:pPr>
        <w:spacing w:line="440" w:lineRule="exact"/>
        <w:ind w:firstLine="472" w:firstLineChars="200"/>
        <w:rPr>
          <w:rFonts w:eastAsia="方正仿宋_GBK"/>
          <w:color w:val="000000"/>
          <w:spacing w:val="-2"/>
          <w:sz w:val="24"/>
        </w:rPr>
      </w:pPr>
      <w:r>
        <w:rPr>
          <w:rFonts w:hint="eastAsia" w:eastAsia="方正黑体_GBK"/>
          <w:color w:val="000000"/>
          <w:spacing w:val="-2"/>
          <w:sz w:val="24"/>
        </w:rPr>
        <w:t>第十条</w:t>
      </w:r>
      <w:r>
        <w:rPr>
          <w:rFonts w:eastAsia="方正仿宋_GBK"/>
          <w:color w:val="000000"/>
          <w:spacing w:val="-2"/>
          <w:sz w:val="24"/>
        </w:rPr>
        <w:t xml:space="preserve">  </w:t>
      </w:r>
      <w:r>
        <w:rPr>
          <w:rFonts w:hint="eastAsia" w:eastAsia="方正仿宋_GBK"/>
          <w:color w:val="000000"/>
          <w:spacing w:val="-2"/>
          <w:sz w:val="24"/>
        </w:rPr>
        <w:t>初步设计审查后，建设单位应督促设计单位根据专家审查意见对初步设计文件进行修改、补充和完善，并向审查机关提交初步设计修改文件以及环境影响评价审批意见、安全预评价备案书、规划选址意见书等相关附件材料。</w:t>
      </w:r>
    </w:p>
    <w:p>
      <w:pPr>
        <w:spacing w:line="440" w:lineRule="exact"/>
        <w:ind w:firstLine="472" w:firstLineChars="200"/>
        <w:rPr>
          <w:rFonts w:eastAsia="方正仿宋_GBK"/>
          <w:color w:val="000000"/>
          <w:spacing w:val="-2"/>
          <w:sz w:val="24"/>
        </w:rPr>
      </w:pPr>
      <w:r>
        <w:rPr>
          <w:rFonts w:hint="eastAsia" w:eastAsia="方正仿宋_GBK"/>
          <w:color w:val="000000"/>
          <w:spacing w:val="-2"/>
          <w:sz w:val="24"/>
        </w:rPr>
        <w:t>审查机关对初步设计修改文件及相关附件材料进行复审后，按规定时间向建设单位核发初步设计批复文件。</w:t>
      </w:r>
    </w:p>
    <w:p>
      <w:pPr>
        <w:spacing w:line="440" w:lineRule="exact"/>
        <w:ind w:firstLine="472" w:firstLineChars="200"/>
        <w:rPr>
          <w:rFonts w:eastAsia="方正仿宋_GBK"/>
          <w:color w:val="000000"/>
          <w:spacing w:val="-2"/>
          <w:sz w:val="24"/>
        </w:rPr>
      </w:pPr>
      <w:r>
        <w:rPr>
          <w:rFonts w:hint="eastAsia" w:eastAsia="方正黑体_GBK"/>
          <w:color w:val="000000"/>
          <w:spacing w:val="-2"/>
          <w:sz w:val="24"/>
        </w:rPr>
        <w:t>第十一条</w:t>
      </w:r>
      <w:r>
        <w:rPr>
          <w:rFonts w:eastAsia="方正仿宋_GBK"/>
          <w:color w:val="000000"/>
          <w:spacing w:val="-2"/>
          <w:sz w:val="24"/>
        </w:rPr>
        <w:t xml:space="preserve">  </w:t>
      </w:r>
      <w:r>
        <w:rPr>
          <w:rFonts w:hint="eastAsia" w:eastAsia="方正仿宋_GBK"/>
          <w:color w:val="000000"/>
          <w:spacing w:val="-2"/>
          <w:sz w:val="24"/>
        </w:rPr>
        <w:t>燃气工程建设项目的安全预评价由建设单位委托有相应等级的燃气生产及供应业或陆上石油和天然气开采业、管道运输业评价类别的安全评价单位进行。安全预评价报告须报相应的安全生产监督管理部门备案。</w:t>
      </w:r>
    </w:p>
    <w:p>
      <w:pPr>
        <w:spacing w:line="440" w:lineRule="exact"/>
        <w:ind w:firstLine="472" w:firstLineChars="200"/>
        <w:rPr>
          <w:rFonts w:eastAsia="方正仿宋_GBK"/>
          <w:color w:val="000000"/>
          <w:spacing w:val="-2"/>
          <w:sz w:val="24"/>
        </w:rPr>
      </w:pPr>
      <w:r>
        <w:rPr>
          <w:rFonts w:hint="eastAsia" w:eastAsia="方正黑体_GBK"/>
          <w:color w:val="000000"/>
          <w:spacing w:val="-2"/>
          <w:sz w:val="24"/>
        </w:rPr>
        <w:t>第十二条</w:t>
      </w:r>
      <w:r>
        <w:rPr>
          <w:rFonts w:eastAsia="方正仿宋_GBK"/>
          <w:color w:val="000000"/>
          <w:spacing w:val="-2"/>
          <w:sz w:val="24"/>
        </w:rPr>
        <w:t xml:space="preserve">  </w:t>
      </w:r>
      <w:r>
        <w:rPr>
          <w:rFonts w:hint="eastAsia" w:eastAsia="方正仿宋_GBK"/>
          <w:color w:val="000000"/>
          <w:spacing w:val="-2"/>
          <w:sz w:val="24"/>
        </w:rPr>
        <w:t>燃气工程建设项目的环境影响评价由建设单位委托有相应等级的环境影响评价资格的单位进行。环境影响报告书或者环境影响报告表须经负责审批初步设计的建设行政主管部门预审出具意见后，报有审批权的环境保护行政主管部门审批。</w:t>
      </w:r>
    </w:p>
    <w:p>
      <w:pPr>
        <w:spacing w:line="440" w:lineRule="exact"/>
        <w:ind w:firstLine="472" w:firstLineChars="200"/>
        <w:rPr>
          <w:rFonts w:eastAsia="方正仿宋_GBK"/>
          <w:color w:val="000000"/>
          <w:spacing w:val="-2"/>
          <w:sz w:val="24"/>
        </w:rPr>
      </w:pPr>
      <w:r>
        <w:rPr>
          <w:rFonts w:hint="eastAsia" w:eastAsia="方正黑体_GBK"/>
          <w:color w:val="000000"/>
          <w:spacing w:val="-2"/>
          <w:sz w:val="24"/>
        </w:rPr>
        <w:t>第十三条</w:t>
      </w:r>
      <w:r>
        <w:rPr>
          <w:rFonts w:eastAsia="方正仿宋_GBK"/>
          <w:color w:val="000000"/>
          <w:spacing w:val="-2"/>
          <w:sz w:val="24"/>
        </w:rPr>
        <w:t xml:space="preserve">  </w:t>
      </w:r>
      <w:r>
        <w:rPr>
          <w:rFonts w:hint="eastAsia" w:eastAsia="方正仿宋_GBK"/>
          <w:color w:val="000000"/>
          <w:spacing w:val="-2"/>
          <w:sz w:val="24"/>
        </w:rPr>
        <w:t>经批准后的初步设计是建设项目实施的法定依据，设计单位必须按照批准的初步设计内容、工程量和建设标准进行施工图设计。</w:t>
      </w:r>
    </w:p>
    <w:p>
      <w:pPr>
        <w:spacing w:line="440" w:lineRule="exact"/>
        <w:ind w:firstLine="472" w:firstLineChars="200"/>
        <w:rPr>
          <w:rFonts w:eastAsia="方正仿宋_GBK"/>
          <w:color w:val="000000"/>
          <w:spacing w:val="-2"/>
          <w:sz w:val="24"/>
        </w:rPr>
      </w:pPr>
      <w:r>
        <w:rPr>
          <w:rFonts w:hint="eastAsia" w:eastAsia="方正黑体_GBK"/>
          <w:color w:val="000000"/>
          <w:spacing w:val="-2"/>
          <w:sz w:val="24"/>
        </w:rPr>
        <w:t>第十四条</w:t>
      </w:r>
      <w:r>
        <w:rPr>
          <w:rFonts w:eastAsia="方正仿宋_GBK"/>
          <w:color w:val="000000"/>
          <w:spacing w:val="-2"/>
          <w:sz w:val="24"/>
        </w:rPr>
        <w:t xml:space="preserve">  </w:t>
      </w:r>
      <w:r>
        <w:rPr>
          <w:rFonts w:hint="eastAsia" w:eastAsia="方正仿宋_GBK"/>
          <w:color w:val="000000"/>
          <w:spacing w:val="-2"/>
          <w:sz w:val="24"/>
        </w:rPr>
        <w:t>对已批准的初步设计文件，如需对建设规模、建设内容、工艺路线、建设地址等主要设计内容进行调整的，建设单位应当按照原规定程序报请审查机关审批。未经审查批准的设计变更不得实施。</w:t>
      </w:r>
    </w:p>
    <w:p>
      <w:pPr>
        <w:spacing w:line="440" w:lineRule="exact"/>
        <w:ind w:firstLine="472" w:firstLineChars="200"/>
        <w:rPr>
          <w:rFonts w:eastAsia="方正仿宋_GBK"/>
          <w:color w:val="000000"/>
          <w:spacing w:val="-2"/>
          <w:sz w:val="24"/>
        </w:rPr>
      </w:pPr>
      <w:r>
        <w:rPr>
          <w:rFonts w:hint="eastAsia" w:eastAsia="方正仿宋_GBK"/>
          <w:color w:val="000000"/>
          <w:spacing w:val="-2"/>
          <w:sz w:val="24"/>
        </w:rPr>
        <w:t>建设单位在报审设计变更文件时，应当提交以下材料：</w:t>
      </w:r>
    </w:p>
    <w:p>
      <w:pPr>
        <w:spacing w:line="440" w:lineRule="exact"/>
        <w:ind w:firstLine="472" w:firstLineChars="200"/>
        <w:rPr>
          <w:rFonts w:eastAsia="方正仿宋_GBK"/>
          <w:color w:val="000000"/>
          <w:spacing w:val="-2"/>
          <w:sz w:val="24"/>
        </w:rPr>
      </w:pPr>
      <w:r>
        <w:rPr>
          <w:rFonts w:hint="eastAsia" w:eastAsia="方正仿宋_GBK"/>
          <w:color w:val="000000"/>
          <w:spacing w:val="-2"/>
          <w:sz w:val="24"/>
        </w:rPr>
        <w:t>（一）设计变更申请。包括变更的主要内容、变更的主要理由、变更设计的设计单位资格等；</w:t>
      </w:r>
    </w:p>
    <w:p>
      <w:pPr>
        <w:spacing w:line="440" w:lineRule="exact"/>
        <w:ind w:firstLine="472" w:firstLineChars="200"/>
        <w:rPr>
          <w:rFonts w:eastAsia="方正仿宋_GBK"/>
          <w:color w:val="000000"/>
          <w:spacing w:val="-2"/>
          <w:sz w:val="24"/>
        </w:rPr>
      </w:pPr>
      <w:r>
        <w:rPr>
          <w:rFonts w:hint="eastAsia" w:eastAsia="方正仿宋_GBK"/>
          <w:color w:val="000000"/>
          <w:spacing w:val="-2"/>
          <w:sz w:val="24"/>
        </w:rPr>
        <w:t>（二）设计变更的设计图纸及原设计相应图纸；</w:t>
      </w:r>
    </w:p>
    <w:p>
      <w:pPr>
        <w:spacing w:line="440" w:lineRule="exact"/>
        <w:ind w:firstLine="472" w:firstLineChars="200"/>
        <w:rPr>
          <w:rFonts w:eastAsia="方正仿宋_GBK"/>
          <w:color w:val="000000"/>
          <w:spacing w:val="-2"/>
          <w:sz w:val="24"/>
        </w:rPr>
      </w:pPr>
      <w:r>
        <w:rPr>
          <w:rFonts w:hint="eastAsia" w:eastAsia="方正仿宋_GBK"/>
          <w:color w:val="000000"/>
          <w:spacing w:val="-2"/>
          <w:sz w:val="24"/>
        </w:rPr>
        <w:t>（三）工程量、投资变化对照清单。</w:t>
      </w:r>
    </w:p>
    <w:p>
      <w:pPr>
        <w:spacing w:line="440" w:lineRule="exact"/>
        <w:ind w:firstLine="472" w:firstLineChars="200"/>
        <w:rPr>
          <w:rFonts w:eastAsia="方正仿宋_GBK"/>
          <w:color w:val="000000"/>
          <w:spacing w:val="-6"/>
          <w:sz w:val="24"/>
        </w:rPr>
      </w:pPr>
      <w:r>
        <w:rPr>
          <w:rFonts w:hint="eastAsia" w:eastAsia="方正黑体_GBK"/>
          <w:color w:val="000000"/>
          <w:spacing w:val="-2"/>
          <w:sz w:val="24"/>
        </w:rPr>
        <w:t>第十五条</w:t>
      </w:r>
      <w:r>
        <w:rPr>
          <w:rFonts w:eastAsia="方正仿宋_GBK"/>
          <w:color w:val="000000"/>
          <w:spacing w:val="-2"/>
          <w:sz w:val="24"/>
        </w:rPr>
        <w:t xml:space="preserve">  </w:t>
      </w:r>
      <w:r>
        <w:rPr>
          <w:rFonts w:hint="eastAsia" w:eastAsia="方正仿宋_GBK"/>
          <w:color w:val="000000"/>
          <w:spacing w:val="-6"/>
          <w:sz w:val="24"/>
        </w:rPr>
        <w:t>燃气工程项目的初步设计文件以及设计变更文件未经建设行政主管部门审查批准的，由建设行政主管部门按《江苏省燃气管理条例》第五十五条规定予以处罚。</w:t>
      </w:r>
    </w:p>
    <w:p>
      <w:pPr>
        <w:spacing w:line="440" w:lineRule="exact"/>
        <w:ind w:firstLine="472" w:firstLineChars="200"/>
        <w:rPr>
          <w:rFonts w:eastAsia="方正黑体_GBK"/>
          <w:color w:val="000000"/>
          <w:spacing w:val="-12"/>
          <w:sz w:val="24"/>
        </w:rPr>
      </w:pPr>
      <w:r>
        <w:rPr>
          <w:rFonts w:hint="eastAsia" w:eastAsia="方正黑体_GBK"/>
          <w:color w:val="000000"/>
          <w:spacing w:val="-2"/>
          <w:sz w:val="24"/>
        </w:rPr>
        <w:t>第十六条</w:t>
      </w:r>
      <w:r>
        <w:rPr>
          <w:rFonts w:eastAsia="方正仿宋_GBK"/>
          <w:color w:val="000000"/>
          <w:spacing w:val="-2"/>
          <w:sz w:val="24"/>
        </w:rPr>
        <w:t xml:space="preserve">  </w:t>
      </w:r>
      <w:r>
        <w:rPr>
          <w:rFonts w:hint="eastAsia" w:eastAsia="方正仿宋_GBK"/>
          <w:color w:val="000000"/>
          <w:spacing w:val="-12"/>
          <w:sz w:val="24"/>
        </w:rPr>
        <w:t>政府投资的燃气工程项目的初步设计文件审查按照国家和省有关规定执行。</w:t>
      </w:r>
    </w:p>
    <w:p>
      <w:pPr>
        <w:spacing w:line="440" w:lineRule="exact"/>
        <w:ind w:firstLine="472" w:firstLineChars="200"/>
        <w:rPr>
          <w:rFonts w:eastAsia="方正仿宋_GBK"/>
          <w:color w:val="000000"/>
          <w:spacing w:val="-2"/>
          <w:sz w:val="24"/>
        </w:rPr>
      </w:pPr>
      <w:r>
        <w:rPr>
          <w:rFonts w:hint="eastAsia" w:eastAsia="方正黑体_GBK"/>
          <w:color w:val="000000"/>
          <w:spacing w:val="-2"/>
          <w:sz w:val="24"/>
        </w:rPr>
        <w:t>第十七条</w:t>
      </w:r>
      <w:r>
        <w:rPr>
          <w:rFonts w:eastAsia="方正黑体_GBK"/>
          <w:color w:val="000000"/>
          <w:spacing w:val="-2"/>
          <w:sz w:val="24"/>
        </w:rPr>
        <w:t xml:space="preserve"> </w:t>
      </w:r>
      <w:r>
        <w:rPr>
          <w:rFonts w:eastAsia="方正仿宋_GBK"/>
          <w:color w:val="000000"/>
          <w:spacing w:val="-2"/>
          <w:sz w:val="24"/>
        </w:rPr>
        <w:t xml:space="preserve"> </w:t>
      </w:r>
      <w:r>
        <w:rPr>
          <w:rFonts w:hint="eastAsia" w:eastAsia="方正仿宋_GBK"/>
          <w:color w:val="000000"/>
          <w:spacing w:val="-2"/>
          <w:sz w:val="24"/>
        </w:rPr>
        <w:t>本办法自</w:t>
      </w:r>
      <w:r>
        <w:rPr>
          <w:rFonts w:eastAsia="方正仿宋_GBK"/>
          <w:color w:val="000000"/>
          <w:spacing w:val="-2"/>
          <w:sz w:val="24"/>
        </w:rPr>
        <w:t>2013</w:t>
      </w:r>
      <w:r>
        <w:rPr>
          <w:rFonts w:hint="eastAsia" w:eastAsia="方正仿宋_GBK"/>
          <w:color w:val="000000"/>
          <w:spacing w:val="-2"/>
          <w:sz w:val="24"/>
        </w:rPr>
        <w:t>年</w:t>
      </w:r>
      <w:r>
        <w:rPr>
          <w:rFonts w:eastAsia="方正仿宋_GBK"/>
          <w:color w:val="000000"/>
          <w:spacing w:val="-2"/>
          <w:sz w:val="24"/>
        </w:rPr>
        <w:t>6</w:t>
      </w:r>
      <w:r>
        <w:rPr>
          <w:rFonts w:hint="eastAsia" w:eastAsia="方正仿宋_GBK"/>
          <w:color w:val="000000"/>
          <w:spacing w:val="-2"/>
          <w:sz w:val="24"/>
        </w:rPr>
        <w:t>月</w:t>
      </w:r>
      <w:r>
        <w:rPr>
          <w:rFonts w:eastAsia="方正仿宋_GBK"/>
          <w:color w:val="000000"/>
          <w:spacing w:val="-2"/>
          <w:sz w:val="24"/>
        </w:rPr>
        <w:t>1</w:t>
      </w:r>
      <w:r>
        <w:rPr>
          <w:rFonts w:hint="eastAsia" w:eastAsia="方正仿宋_GBK"/>
          <w:color w:val="000000"/>
          <w:spacing w:val="-2"/>
          <w:sz w:val="24"/>
        </w:rPr>
        <w:t>日起施行。</w:t>
      </w:r>
    </w:p>
    <w:p>
      <w:pPr>
        <w:spacing w:line="460" w:lineRule="exact"/>
        <w:rPr>
          <w:rFonts w:eastAsia="方正仿宋_GBK"/>
          <w:color w:val="000000"/>
          <w:spacing w:val="-2"/>
          <w:sz w:val="24"/>
        </w:rPr>
      </w:pPr>
    </w:p>
    <w:p>
      <w:pPr>
        <w:pStyle w:val="2"/>
        <w:spacing w:before="240" w:beforeLines="100" w:after="240" w:afterLines="100" w:line="240" w:lineRule="auto"/>
        <w:jc w:val="center"/>
        <w:rPr>
          <w:rFonts w:ascii="Times New Roman" w:eastAsia="方正小标宋_GBK"/>
          <w:b w:val="0"/>
          <w:sz w:val="36"/>
          <w:szCs w:val="36"/>
        </w:rPr>
      </w:pPr>
      <w:r>
        <w:rPr>
          <w:rFonts w:hint="eastAsia" w:ascii="Times New Roman" w:eastAsia="方正小标宋简体"/>
          <w:b w:val="0"/>
          <w:color w:val="000000"/>
          <w:sz w:val="36"/>
          <w:szCs w:val="36"/>
        </w:rPr>
        <w:br w:type="column"/>
      </w:r>
      <w:bookmarkStart w:id="124" w:name="_Toc20726352"/>
      <w:bookmarkStart w:id="125" w:name="_Toc18315433"/>
      <w:r>
        <w:rPr>
          <w:rFonts w:hint="eastAsia" w:ascii="Times New Roman" w:eastAsia="方正小标宋_GBK"/>
          <w:b w:val="0"/>
          <w:sz w:val="36"/>
          <w:szCs w:val="36"/>
        </w:rPr>
        <w:t>省住房城乡建设厅关于转发《住房城乡建设部关于加强城镇供水设施改造建设和运行管理工作的通知》的通知</w:t>
      </w:r>
      <w:bookmarkEnd w:id="124"/>
      <w:bookmarkEnd w:id="125"/>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126" w:name="_Toc20726353"/>
      <w:bookmarkStart w:id="127" w:name="_Toc18315434"/>
      <w:r>
        <w:rPr>
          <w:rFonts w:hint="eastAsia" w:ascii="Times New Roman" w:hAnsi="Times New Roman" w:eastAsia="方正楷体_GBK"/>
          <w:b w:val="0"/>
          <w:sz w:val="24"/>
          <w:szCs w:val="24"/>
        </w:rPr>
        <w:t>苏建城〔</w:t>
      </w:r>
      <w:r>
        <w:rPr>
          <w:rFonts w:ascii="Times New Roman" w:hAnsi="Times New Roman" w:eastAsia="方正楷体_GBK"/>
          <w:b w:val="0"/>
          <w:sz w:val="24"/>
          <w:szCs w:val="24"/>
        </w:rPr>
        <w:t>2013</w:t>
      </w:r>
      <w:r>
        <w:rPr>
          <w:rFonts w:hint="eastAsia" w:ascii="Times New Roman" w:hAnsi="Times New Roman" w:eastAsia="方正楷体_GBK"/>
          <w:b w:val="0"/>
          <w:sz w:val="24"/>
          <w:szCs w:val="24"/>
        </w:rPr>
        <w:t>〕</w:t>
      </w:r>
      <w:r>
        <w:rPr>
          <w:rFonts w:ascii="Times New Roman" w:hAnsi="Times New Roman" w:eastAsia="方正楷体_GBK"/>
          <w:b w:val="0"/>
          <w:sz w:val="24"/>
          <w:szCs w:val="24"/>
        </w:rPr>
        <w:t>89</w:t>
      </w:r>
      <w:r>
        <w:rPr>
          <w:rFonts w:hint="eastAsia" w:ascii="Times New Roman" w:hAnsi="Times New Roman" w:eastAsia="方正楷体_GBK"/>
          <w:b w:val="0"/>
          <w:sz w:val="24"/>
          <w:szCs w:val="24"/>
        </w:rPr>
        <w:t>号</w:t>
      </w:r>
      <w:bookmarkEnd w:id="126"/>
      <w:bookmarkEnd w:id="127"/>
    </w:p>
    <w:p>
      <w:pPr>
        <w:spacing w:line="460" w:lineRule="exact"/>
        <w:rPr>
          <w:rFonts w:eastAsia="方正仿宋_GBK"/>
          <w:color w:val="000000"/>
          <w:spacing w:val="-2"/>
          <w:sz w:val="24"/>
        </w:rPr>
      </w:pPr>
      <w:r>
        <w:rPr>
          <w:rFonts w:hint="eastAsia" w:eastAsia="方正仿宋_GBK"/>
          <w:color w:val="000000"/>
          <w:spacing w:val="-2"/>
          <w:sz w:val="24"/>
        </w:rPr>
        <w:t>各省辖市建设局（委），无锡市市政园林局，徐州、苏州、宿迁市水务局，昆山市住房和城乡建设局，泰兴市、沭阳县水务局：</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为加快推进城镇供水基础设施建设和改造，有效提升和改善供水水质，保障城乡居民饮用水安全，现将《住房城乡建设部关于加强城镇供水设施改造建设和运行管理工作的通知》（建城〔</w:t>
      </w:r>
      <w:r>
        <w:rPr>
          <w:rFonts w:eastAsia="方正仿宋_GBK"/>
          <w:color w:val="000000"/>
          <w:spacing w:val="-2"/>
          <w:sz w:val="24"/>
        </w:rPr>
        <w:t>2012</w:t>
      </w:r>
      <w:r>
        <w:rPr>
          <w:rFonts w:hint="eastAsia" w:eastAsia="方正仿宋_GBK"/>
          <w:color w:val="000000"/>
          <w:spacing w:val="-2"/>
          <w:sz w:val="24"/>
        </w:rPr>
        <w:t>〕</w:t>
      </w:r>
      <w:r>
        <w:rPr>
          <w:rFonts w:eastAsia="方正仿宋_GBK"/>
          <w:color w:val="000000"/>
          <w:spacing w:val="-2"/>
          <w:sz w:val="24"/>
        </w:rPr>
        <w:t>149</w:t>
      </w:r>
      <w:r>
        <w:rPr>
          <w:rFonts w:hint="eastAsia" w:eastAsia="方正仿宋_GBK"/>
          <w:color w:val="000000"/>
          <w:spacing w:val="-2"/>
          <w:sz w:val="24"/>
        </w:rPr>
        <w:t>号）转发给你们，结合《江苏省城镇供水设施改造与建设</w:t>
      </w:r>
      <w:r>
        <w:rPr>
          <w:rFonts w:eastAsia="方正仿宋_GBK"/>
          <w:color w:val="000000"/>
          <w:spacing w:val="-2"/>
          <w:sz w:val="24"/>
        </w:rPr>
        <w:t>“</w:t>
      </w:r>
      <w:r>
        <w:rPr>
          <w:rFonts w:hint="eastAsia" w:eastAsia="方正仿宋_GBK"/>
          <w:color w:val="000000"/>
          <w:spacing w:val="-2"/>
          <w:sz w:val="24"/>
        </w:rPr>
        <w:t>十二五</w:t>
      </w:r>
      <w:r>
        <w:rPr>
          <w:rFonts w:eastAsia="方正仿宋_GBK"/>
          <w:color w:val="000000"/>
          <w:spacing w:val="-2"/>
          <w:sz w:val="24"/>
        </w:rPr>
        <w:t>”</w:t>
      </w:r>
      <w:r>
        <w:rPr>
          <w:rFonts w:hint="eastAsia" w:eastAsia="方正仿宋_GBK"/>
          <w:color w:val="000000"/>
          <w:spacing w:val="-2"/>
          <w:sz w:val="24"/>
        </w:rPr>
        <w:t>规划及</w:t>
      </w:r>
      <w:r>
        <w:rPr>
          <w:rFonts w:eastAsia="方正仿宋_GBK"/>
          <w:color w:val="000000"/>
          <w:spacing w:val="-2"/>
          <w:sz w:val="24"/>
        </w:rPr>
        <w:t>2020</w:t>
      </w:r>
      <w:r>
        <w:rPr>
          <w:rFonts w:hint="eastAsia" w:eastAsia="方正仿宋_GBK"/>
          <w:color w:val="000000"/>
          <w:spacing w:val="-2"/>
          <w:sz w:val="24"/>
        </w:rPr>
        <w:t>年远景目标》（以下简称《规划》）的实施，提出如下意见，请一并贯彻执行。</w:t>
      </w:r>
    </w:p>
    <w:p>
      <w:pPr>
        <w:spacing w:line="460" w:lineRule="exact"/>
        <w:ind w:firstLine="472" w:firstLineChars="200"/>
        <w:rPr>
          <w:rFonts w:eastAsia="方正仿宋_GBK"/>
          <w:color w:val="000000"/>
          <w:spacing w:val="-2"/>
          <w:sz w:val="24"/>
        </w:rPr>
      </w:pPr>
      <w:r>
        <w:rPr>
          <w:rFonts w:eastAsia="方正楷体_GBK"/>
          <w:color w:val="000000"/>
          <w:spacing w:val="-2"/>
          <w:sz w:val="24"/>
        </w:rPr>
        <w:t>1</w:t>
      </w:r>
      <w:r>
        <w:rPr>
          <w:rFonts w:hint="eastAsia" w:eastAsia="方正楷体_GBK"/>
          <w:color w:val="000000"/>
          <w:spacing w:val="-2"/>
          <w:sz w:val="24"/>
        </w:rPr>
        <w:t>、加快推进供水基础设施建设和改造。</w:t>
      </w:r>
      <w:r>
        <w:rPr>
          <w:rFonts w:hint="eastAsia" w:eastAsia="方正仿宋_GBK"/>
          <w:color w:val="000000"/>
          <w:spacing w:val="-2"/>
          <w:sz w:val="24"/>
        </w:rPr>
        <w:t>各地城市供水行业主管部门要委托有资质的编制单位，根据当地城市总体规划，结合《规划》已确定的工程项目，按照《城市给水工程规划规范》等国家标准要求，于</w:t>
      </w:r>
      <w:r>
        <w:rPr>
          <w:rFonts w:eastAsia="方正仿宋_GBK"/>
          <w:color w:val="000000"/>
          <w:spacing w:val="-2"/>
          <w:sz w:val="24"/>
        </w:rPr>
        <w:t>2013</w:t>
      </w:r>
      <w:r>
        <w:rPr>
          <w:rFonts w:hint="eastAsia" w:eastAsia="方正仿宋_GBK"/>
          <w:color w:val="000000"/>
          <w:spacing w:val="-2"/>
          <w:sz w:val="24"/>
        </w:rPr>
        <w:t>年</w:t>
      </w:r>
      <w:r>
        <w:rPr>
          <w:rFonts w:eastAsia="方正仿宋_GBK"/>
          <w:color w:val="000000"/>
          <w:spacing w:val="-2"/>
          <w:sz w:val="24"/>
        </w:rPr>
        <w:t>3</w:t>
      </w:r>
      <w:r>
        <w:rPr>
          <w:rFonts w:hint="eastAsia" w:eastAsia="方正仿宋_GBK"/>
          <w:color w:val="000000"/>
          <w:spacing w:val="-2"/>
          <w:sz w:val="24"/>
        </w:rPr>
        <w:t>月底前编制或修订完成城市供水专项规划。加快第二水源、应急备用水源建设，尽快形成</w:t>
      </w:r>
      <w:r>
        <w:rPr>
          <w:rFonts w:eastAsia="方正仿宋_GBK"/>
          <w:color w:val="000000"/>
          <w:spacing w:val="-2"/>
          <w:sz w:val="24"/>
        </w:rPr>
        <w:t>“</w:t>
      </w:r>
      <w:r>
        <w:rPr>
          <w:rFonts w:hint="eastAsia" w:eastAsia="方正仿宋_GBK"/>
          <w:color w:val="000000"/>
          <w:spacing w:val="-2"/>
          <w:sz w:val="24"/>
        </w:rPr>
        <w:t>双源供水，双重保障</w:t>
      </w:r>
      <w:r>
        <w:rPr>
          <w:rFonts w:eastAsia="方正仿宋_GBK"/>
          <w:color w:val="000000"/>
          <w:spacing w:val="-2"/>
          <w:sz w:val="24"/>
        </w:rPr>
        <w:t>”</w:t>
      </w:r>
      <w:r>
        <w:rPr>
          <w:rFonts w:hint="eastAsia" w:eastAsia="方正仿宋_GBK"/>
          <w:color w:val="000000"/>
          <w:spacing w:val="-2"/>
          <w:sz w:val="24"/>
        </w:rPr>
        <w:t>能力。徐州地区以地下水为水源的城市，要加强方案比选和论证，加快地表水厂建设进度。原水水质不能稳定达标的城市，要按照《规划》要求，结合本地近远期建设改造计划，加快推进自来水深度处理工艺建设和改造，确保供水水质全面稳定达标。要把城市供水管网改造作为重点，优先改造管道材质差、建设年代久、漏损严重和对供水水质安全影响较大的管网；已经实现区域城乡一体化供水的地区，要把镇村管网纳入改造范围全面进行改造，杜绝因管网污染引起的群体性卫生事件。</w:t>
      </w:r>
    </w:p>
    <w:p>
      <w:pPr>
        <w:spacing w:line="460" w:lineRule="exact"/>
        <w:ind w:firstLine="472" w:firstLineChars="200"/>
        <w:rPr>
          <w:rFonts w:eastAsia="方正仿宋_GBK"/>
          <w:color w:val="000000"/>
          <w:spacing w:val="-2"/>
          <w:sz w:val="24"/>
        </w:rPr>
      </w:pPr>
      <w:r>
        <w:rPr>
          <w:rFonts w:eastAsia="方正楷体_GBK"/>
          <w:color w:val="000000"/>
          <w:spacing w:val="-2"/>
          <w:sz w:val="24"/>
        </w:rPr>
        <w:t>2</w:t>
      </w:r>
      <w:r>
        <w:rPr>
          <w:rFonts w:hint="eastAsia" w:eastAsia="方正楷体_GBK"/>
          <w:color w:val="000000"/>
          <w:spacing w:val="-2"/>
          <w:sz w:val="24"/>
        </w:rPr>
        <w:t>、强化二次供水设施的改造与管理</w:t>
      </w:r>
      <w:r>
        <w:rPr>
          <w:rFonts w:hint="eastAsia" w:eastAsia="方正仿宋_GBK"/>
          <w:color w:val="000000"/>
          <w:spacing w:val="-2"/>
          <w:sz w:val="24"/>
        </w:rPr>
        <w:t>。按照《江苏省城乡供水管理条例》要求，组织城市公共供水企业抓紧摸清老旧住宅小区的二次供水设施现状，鼓励和引导产权人将二次供水设施移交或委托供水企业进行运营维护，加快二次供水设施改造，落实二次供水设施的统一管理，通过财政补贴、住宅专项维修资金等解决改造费用，确保</w:t>
      </w:r>
      <w:r>
        <w:rPr>
          <w:rFonts w:eastAsia="方正仿宋_GBK"/>
          <w:color w:val="000000"/>
          <w:spacing w:val="-2"/>
          <w:sz w:val="24"/>
        </w:rPr>
        <w:t>2015</w:t>
      </w:r>
      <w:r>
        <w:rPr>
          <w:rFonts w:hint="eastAsia" w:eastAsia="方正仿宋_GBK"/>
          <w:color w:val="000000"/>
          <w:spacing w:val="-2"/>
          <w:sz w:val="24"/>
        </w:rPr>
        <w:t>年底前基本完成改造任务（按照附件</w:t>
      </w:r>
      <w:r>
        <w:rPr>
          <w:rFonts w:eastAsia="方正仿宋_GBK"/>
          <w:color w:val="000000"/>
          <w:spacing w:val="-2"/>
          <w:sz w:val="24"/>
        </w:rPr>
        <w:t>1</w:t>
      </w:r>
      <w:r>
        <w:rPr>
          <w:rFonts w:hint="eastAsia" w:eastAsia="方正仿宋_GBK"/>
          <w:color w:val="000000"/>
          <w:spacing w:val="-2"/>
          <w:sz w:val="24"/>
        </w:rPr>
        <w:t>认真填报二次供水设施改造情况）。</w:t>
      </w:r>
    </w:p>
    <w:p>
      <w:pPr>
        <w:spacing w:line="460" w:lineRule="exact"/>
        <w:ind w:firstLine="472" w:firstLineChars="200"/>
        <w:rPr>
          <w:rFonts w:eastAsia="方正仿宋_GBK"/>
          <w:color w:val="000000"/>
          <w:spacing w:val="-2"/>
          <w:sz w:val="24"/>
        </w:rPr>
      </w:pPr>
      <w:r>
        <w:rPr>
          <w:rFonts w:eastAsia="方正楷体_GBK"/>
          <w:color w:val="000000"/>
          <w:spacing w:val="-2"/>
          <w:sz w:val="24"/>
        </w:rPr>
        <w:t>3</w:t>
      </w:r>
      <w:r>
        <w:rPr>
          <w:rFonts w:hint="eastAsia" w:eastAsia="方正楷体_GBK"/>
          <w:color w:val="000000"/>
          <w:spacing w:val="-2"/>
          <w:sz w:val="24"/>
        </w:rPr>
        <w:t>、加强水质检测能力建设和水质监管。</w:t>
      </w:r>
      <w:r>
        <w:rPr>
          <w:rFonts w:hint="eastAsia" w:eastAsia="方正仿宋_GBK"/>
          <w:color w:val="000000"/>
          <w:spacing w:val="-2"/>
          <w:sz w:val="24"/>
        </w:rPr>
        <w:t>加大对城市供水水质监管的工作力度，定期开展巡查、抽查，督促供水企业严格落实有关标准规范和文件的要求，进一步完善运营管理制度，严格操作规程；按照《江苏省城市供水企业水质检测实验室等级能力建设指导手册》要求，加快水质等级检测实验室建设进度，确保</w:t>
      </w:r>
      <w:r>
        <w:rPr>
          <w:rFonts w:eastAsia="方正仿宋_GBK"/>
          <w:color w:val="000000"/>
          <w:spacing w:val="-2"/>
          <w:sz w:val="24"/>
        </w:rPr>
        <w:t>2013</w:t>
      </w:r>
      <w:r>
        <w:rPr>
          <w:rFonts w:hint="eastAsia" w:eastAsia="方正仿宋_GBK"/>
          <w:color w:val="000000"/>
          <w:spacing w:val="-2"/>
          <w:sz w:val="24"/>
        </w:rPr>
        <w:t>年底前建成相应规模的等级实验室；切实按照《生活饮用水卫生标准》规定开展水质检测工作，加强水质监控。</w:t>
      </w:r>
    </w:p>
    <w:p>
      <w:pPr>
        <w:spacing w:line="460" w:lineRule="exact"/>
        <w:ind w:firstLine="472" w:firstLineChars="200"/>
        <w:rPr>
          <w:rFonts w:eastAsia="方正仿宋_GBK"/>
          <w:color w:val="000000"/>
          <w:spacing w:val="-2"/>
          <w:sz w:val="24"/>
        </w:rPr>
      </w:pPr>
      <w:r>
        <w:rPr>
          <w:rFonts w:eastAsia="方正楷体_GBK"/>
          <w:color w:val="000000"/>
          <w:spacing w:val="-2"/>
          <w:sz w:val="24"/>
        </w:rPr>
        <w:t>4</w:t>
      </w:r>
      <w:r>
        <w:rPr>
          <w:rFonts w:hint="eastAsia" w:eastAsia="方正楷体_GBK"/>
          <w:color w:val="000000"/>
          <w:spacing w:val="-2"/>
          <w:sz w:val="24"/>
        </w:rPr>
        <w:t>、制定完善供水水质信息公示制度。</w:t>
      </w:r>
      <w:r>
        <w:rPr>
          <w:rFonts w:hint="eastAsia" w:eastAsia="方正仿宋_GBK"/>
          <w:color w:val="000000"/>
          <w:spacing w:val="-2"/>
          <w:sz w:val="24"/>
        </w:rPr>
        <w:t>按照《城市供水水质管理规定》、《生活饮用水卫生监督管理办法》、《江苏省城乡供水管理条例》、《江苏省城市供水水质督察管理办法》等要求，及时将供水水质检测结果和督查结果向社会公布。各地城市公共供水企业务必于</w:t>
      </w:r>
      <w:r>
        <w:rPr>
          <w:rFonts w:eastAsia="方正仿宋_GBK"/>
          <w:color w:val="000000"/>
          <w:spacing w:val="-2"/>
          <w:sz w:val="24"/>
        </w:rPr>
        <w:t>2013</w:t>
      </w:r>
      <w:r>
        <w:rPr>
          <w:rFonts w:hint="eastAsia" w:eastAsia="方正仿宋_GBK"/>
          <w:color w:val="000000"/>
          <w:spacing w:val="-2"/>
          <w:sz w:val="24"/>
        </w:rPr>
        <w:t>年</w:t>
      </w:r>
      <w:r>
        <w:rPr>
          <w:rFonts w:eastAsia="方正仿宋_GBK"/>
          <w:color w:val="000000"/>
          <w:spacing w:val="-2"/>
          <w:sz w:val="24"/>
        </w:rPr>
        <w:t>6</w:t>
      </w:r>
      <w:r>
        <w:rPr>
          <w:rFonts w:hint="eastAsia" w:eastAsia="方正仿宋_GBK"/>
          <w:color w:val="000000"/>
          <w:spacing w:val="-2"/>
          <w:sz w:val="24"/>
        </w:rPr>
        <w:t>月底前建立和完善水质信息公布制度，利用各类媒体发布水质信息，接受社会监督（按照附件</w:t>
      </w:r>
      <w:r>
        <w:rPr>
          <w:rFonts w:eastAsia="方正仿宋_GBK"/>
          <w:color w:val="000000"/>
          <w:spacing w:val="-2"/>
          <w:sz w:val="24"/>
        </w:rPr>
        <w:t>2</w:t>
      </w:r>
      <w:r>
        <w:rPr>
          <w:rFonts w:hint="eastAsia" w:eastAsia="方正仿宋_GBK"/>
          <w:color w:val="000000"/>
          <w:spacing w:val="-2"/>
          <w:sz w:val="24"/>
        </w:rPr>
        <w:t>填报城市公共供水企业水质信息公布的形式、项目和频次等；按照附件</w:t>
      </w:r>
      <w:r>
        <w:rPr>
          <w:rFonts w:eastAsia="方正仿宋_GBK"/>
          <w:color w:val="000000"/>
          <w:spacing w:val="-2"/>
          <w:sz w:val="24"/>
        </w:rPr>
        <w:t>3</w:t>
      </w:r>
      <w:r>
        <w:rPr>
          <w:rFonts w:hint="eastAsia" w:eastAsia="方正仿宋_GBK"/>
          <w:color w:val="000000"/>
          <w:spacing w:val="-2"/>
          <w:sz w:val="24"/>
        </w:rPr>
        <w:t>填报城市供水行业主管部门水质督察信息的相关公示情况）。</w:t>
      </w:r>
    </w:p>
    <w:p>
      <w:pPr>
        <w:spacing w:line="460" w:lineRule="exact"/>
        <w:ind w:firstLine="472" w:firstLineChars="200"/>
        <w:rPr>
          <w:rFonts w:eastAsia="方正仿宋_GBK"/>
          <w:color w:val="000000"/>
          <w:spacing w:val="-2"/>
          <w:sz w:val="24"/>
        </w:rPr>
      </w:pPr>
      <w:r>
        <w:rPr>
          <w:rFonts w:eastAsia="方正楷体_GBK"/>
          <w:color w:val="000000"/>
          <w:spacing w:val="-2"/>
          <w:sz w:val="24"/>
        </w:rPr>
        <w:t>5</w:t>
      </w:r>
      <w:r>
        <w:rPr>
          <w:rFonts w:hint="eastAsia" w:eastAsia="方正楷体_GBK"/>
          <w:color w:val="000000"/>
          <w:spacing w:val="-2"/>
          <w:sz w:val="24"/>
        </w:rPr>
        <w:t>、进一步落实应急工作措施。</w:t>
      </w:r>
      <w:r>
        <w:rPr>
          <w:rFonts w:hint="eastAsia" w:eastAsia="方正仿宋_GBK"/>
          <w:color w:val="000000"/>
          <w:spacing w:val="-2"/>
          <w:sz w:val="24"/>
        </w:rPr>
        <w:t>督促城市公共供水企业委托专业化公司定期做好各类在线监测仪器仪表的维护管理工作，确保水质在线监测数据真实有效；强化应急处理设备的维护保养和应急处理药剂的储备工作；结合地区实际，加强安全保供应急预案的修订和定期演练，强化技术专家储备，确保一旦原水水质超标时，能及时、有效启动预案和强化处理工作。</w:t>
      </w:r>
    </w:p>
    <w:p>
      <w:pPr>
        <w:spacing w:line="460" w:lineRule="exact"/>
        <w:ind w:firstLine="472" w:firstLineChars="200"/>
        <w:rPr>
          <w:rFonts w:eastAsia="方正仿宋_GBK"/>
          <w:color w:val="000000"/>
          <w:spacing w:val="-2"/>
          <w:sz w:val="24"/>
        </w:rPr>
      </w:pPr>
      <w:r>
        <w:rPr>
          <w:rFonts w:eastAsia="方正楷体_GBK"/>
          <w:color w:val="000000"/>
          <w:spacing w:val="-2"/>
          <w:sz w:val="24"/>
        </w:rPr>
        <w:t>6</w:t>
      </w:r>
      <w:r>
        <w:rPr>
          <w:rFonts w:hint="eastAsia" w:eastAsia="方正楷体_GBK"/>
          <w:color w:val="000000"/>
          <w:spacing w:val="-2"/>
          <w:sz w:val="24"/>
        </w:rPr>
        <w:t>、依法加强工程建设管理</w:t>
      </w:r>
      <w:r>
        <w:rPr>
          <w:rFonts w:hint="eastAsia" w:eastAsia="方正仿宋_GBK"/>
          <w:color w:val="000000"/>
          <w:spacing w:val="-2"/>
          <w:sz w:val="24"/>
        </w:rPr>
        <w:t>。根据《建设工程质量管理条例》等有关要求，依法做好各类项目前期审批工作。严格执行项目法人制、招标投标制、工程监理制等制度，加强工程建设现场管理和技术指导，建立覆盖工程建设全过程的质量责任体系，落实参建各方质量终身负责制，确保工程质量和安全。各地供水行业主管部门要结合地方实际，制定完善输配水管网和二次供水设施建设改造的竣工验收标准，加强对工程项目质量安全监督检查，对存在质量安全问题的项目，要责令限期整改。</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请省辖市供水行业主管部门负责通知所辖县（市、区），并汇总附件</w:t>
      </w:r>
      <w:r>
        <w:rPr>
          <w:rFonts w:eastAsia="方正仿宋_GBK"/>
          <w:color w:val="000000"/>
          <w:spacing w:val="-2"/>
          <w:sz w:val="24"/>
        </w:rPr>
        <w:t>1-3</w:t>
      </w:r>
      <w:r>
        <w:rPr>
          <w:rFonts w:hint="eastAsia" w:eastAsia="方正仿宋_GBK"/>
          <w:color w:val="000000"/>
          <w:spacing w:val="-2"/>
          <w:sz w:val="24"/>
        </w:rPr>
        <w:t>相关信息，于</w:t>
      </w:r>
      <w:r>
        <w:rPr>
          <w:rFonts w:eastAsia="方正仿宋_GBK"/>
          <w:color w:val="000000"/>
          <w:spacing w:val="-2"/>
          <w:sz w:val="24"/>
        </w:rPr>
        <w:t>2013</w:t>
      </w:r>
      <w:r>
        <w:rPr>
          <w:rFonts w:hint="eastAsia" w:eastAsia="方正仿宋_GBK"/>
          <w:color w:val="000000"/>
          <w:spacing w:val="-2"/>
          <w:sz w:val="24"/>
        </w:rPr>
        <w:t>年</w:t>
      </w:r>
      <w:r>
        <w:rPr>
          <w:rFonts w:eastAsia="方正仿宋_GBK"/>
          <w:color w:val="000000"/>
          <w:spacing w:val="-2"/>
          <w:sz w:val="24"/>
        </w:rPr>
        <w:t>3</w:t>
      </w:r>
      <w:r>
        <w:rPr>
          <w:rFonts w:hint="eastAsia" w:eastAsia="方正仿宋_GBK"/>
          <w:color w:val="000000"/>
          <w:spacing w:val="-2"/>
          <w:sz w:val="24"/>
        </w:rPr>
        <w:t>月</w:t>
      </w:r>
      <w:r>
        <w:rPr>
          <w:rFonts w:eastAsia="方正仿宋_GBK"/>
          <w:color w:val="000000"/>
          <w:spacing w:val="-2"/>
          <w:sz w:val="24"/>
        </w:rPr>
        <w:t>15</w:t>
      </w:r>
      <w:r>
        <w:rPr>
          <w:rFonts w:hint="eastAsia" w:eastAsia="方正仿宋_GBK"/>
          <w:color w:val="000000"/>
          <w:spacing w:val="-2"/>
          <w:sz w:val="24"/>
        </w:rPr>
        <w:t>日前将电子版发至</w:t>
      </w:r>
      <w:r>
        <w:rPr>
          <w:rFonts w:eastAsia="方正仿宋_GBK"/>
          <w:color w:val="000000"/>
          <w:spacing w:val="-2"/>
          <w:sz w:val="24"/>
        </w:rPr>
        <w:t>jstjsb@126.com</w:t>
      </w:r>
      <w:r>
        <w:rPr>
          <w:rFonts w:hint="eastAsia" w:eastAsia="方正仿宋_GBK"/>
          <w:color w:val="000000"/>
          <w:spacing w:val="-2"/>
          <w:sz w:val="24"/>
        </w:rPr>
        <w:t>，纸质盖章文件传真至</w:t>
      </w:r>
      <w:r>
        <w:rPr>
          <w:rFonts w:eastAsia="方正仿宋_GBK"/>
          <w:color w:val="000000"/>
          <w:spacing w:val="-2"/>
          <w:sz w:val="24"/>
        </w:rPr>
        <w:t>025-51868622</w:t>
      </w:r>
      <w:r>
        <w:rPr>
          <w:rFonts w:hint="eastAsia" w:eastAsia="方正仿宋_GBK"/>
          <w:color w:val="000000"/>
          <w:spacing w:val="-2"/>
          <w:sz w:val="24"/>
        </w:rPr>
        <w:t>。附件请从</w:t>
      </w:r>
      <w:r>
        <w:rPr>
          <w:rFonts w:eastAsia="方正仿宋_GBK"/>
          <w:color w:val="000000"/>
          <w:spacing w:val="-2"/>
          <w:sz w:val="24"/>
        </w:rPr>
        <w:t>zjtcjc@126.com</w:t>
      </w:r>
      <w:r>
        <w:rPr>
          <w:rFonts w:hint="eastAsia" w:eastAsia="方正仿宋_GBK"/>
          <w:color w:val="000000"/>
          <w:spacing w:val="-2"/>
          <w:sz w:val="24"/>
        </w:rPr>
        <w:t>下载，密码：</w:t>
      </w:r>
      <w:r>
        <w:rPr>
          <w:rFonts w:eastAsia="方正仿宋_GBK"/>
          <w:color w:val="000000"/>
          <w:spacing w:val="-2"/>
          <w:sz w:val="24"/>
        </w:rPr>
        <w:t>zjtcjc123456</w:t>
      </w:r>
      <w:r>
        <w:rPr>
          <w:rFonts w:hint="eastAsia" w:eastAsia="方正仿宋_GBK"/>
          <w:color w:val="000000"/>
          <w:spacing w:val="-2"/>
          <w:sz w:val="24"/>
        </w:rPr>
        <w:t>。联系人：省住房城乡建设厅城建处：郭杨，</w:t>
      </w:r>
      <w:r>
        <w:rPr>
          <w:rFonts w:eastAsia="方正仿宋_GBK"/>
          <w:color w:val="000000"/>
          <w:spacing w:val="-2"/>
          <w:sz w:val="24"/>
        </w:rPr>
        <w:t>025-51868623</w:t>
      </w:r>
      <w:r>
        <w:rPr>
          <w:rFonts w:hint="eastAsia" w:eastAsia="方正仿宋_GBK"/>
          <w:color w:val="000000"/>
          <w:spacing w:val="-2"/>
          <w:sz w:val="24"/>
        </w:rPr>
        <w:t>。</w:t>
      </w:r>
    </w:p>
    <w:p>
      <w:pPr>
        <w:spacing w:line="460" w:lineRule="exact"/>
        <w:ind w:firstLine="472" w:firstLineChars="200"/>
        <w:rPr>
          <w:rFonts w:eastAsia="方正仿宋_GBK"/>
          <w:color w:val="000000"/>
          <w:spacing w:val="-2"/>
          <w:sz w:val="24"/>
        </w:rPr>
      </w:pPr>
    </w:p>
    <w:p>
      <w:pPr>
        <w:spacing w:line="460" w:lineRule="exact"/>
        <w:ind w:firstLine="472" w:firstLineChars="200"/>
        <w:rPr>
          <w:rFonts w:eastAsia="方正仿宋_GBK"/>
          <w:color w:val="000000"/>
          <w:spacing w:val="-2"/>
          <w:sz w:val="24"/>
        </w:rPr>
      </w:pP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附件：</w:t>
      </w:r>
      <w:r>
        <w:rPr>
          <w:rFonts w:eastAsia="方正仿宋_GBK"/>
          <w:color w:val="000000"/>
          <w:spacing w:val="-2"/>
          <w:sz w:val="24"/>
        </w:rPr>
        <w:t>1</w:t>
      </w:r>
      <w:r>
        <w:rPr>
          <w:rFonts w:hint="eastAsia" w:eastAsia="方正仿宋_GBK"/>
          <w:color w:val="000000"/>
          <w:spacing w:val="-2"/>
          <w:sz w:val="24"/>
        </w:rPr>
        <w:t>．全省二次供水设施改造情况调查表</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      2</w:t>
      </w:r>
      <w:r>
        <w:rPr>
          <w:rFonts w:hint="eastAsia" w:eastAsia="方正仿宋_GBK"/>
          <w:color w:val="000000"/>
          <w:spacing w:val="-2"/>
          <w:sz w:val="24"/>
        </w:rPr>
        <w:t>．全省城市公共供水企业水质信息公示情况调查表</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      3</w:t>
      </w:r>
      <w:r>
        <w:rPr>
          <w:rFonts w:hint="eastAsia" w:eastAsia="方正仿宋_GBK"/>
          <w:color w:val="000000"/>
          <w:spacing w:val="-2"/>
          <w:sz w:val="24"/>
        </w:rPr>
        <w:t>．全省城市供水行业主管部门水质督察信息公示情况调查表</w:t>
      </w:r>
    </w:p>
    <w:p>
      <w:pPr>
        <w:spacing w:line="460" w:lineRule="exact"/>
        <w:ind w:firstLine="1180" w:firstLineChars="500"/>
        <w:rPr>
          <w:rFonts w:eastAsia="方正仿宋_GBK"/>
          <w:color w:val="000000"/>
          <w:spacing w:val="-2"/>
          <w:sz w:val="24"/>
        </w:rPr>
      </w:pPr>
      <w:r>
        <w:rPr>
          <w:rFonts w:eastAsia="方正仿宋_GBK"/>
          <w:color w:val="000000"/>
          <w:spacing w:val="-2"/>
          <w:sz w:val="24"/>
        </w:rPr>
        <w:t>4</w:t>
      </w:r>
      <w:r>
        <w:rPr>
          <w:rFonts w:hint="eastAsia" w:eastAsia="方正仿宋_GBK"/>
          <w:color w:val="000000"/>
          <w:spacing w:val="-2"/>
          <w:sz w:val="24"/>
        </w:rPr>
        <w:t>．住房城乡建设部关于加强城镇供水设施改造建设和运行管理工作的通</w:t>
      </w:r>
    </w:p>
    <w:p>
      <w:pPr>
        <w:spacing w:line="460" w:lineRule="exact"/>
        <w:ind w:firstLine="1510" w:firstLineChars="640"/>
        <w:rPr>
          <w:rFonts w:eastAsia="方正仿宋_GBK"/>
          <w:color w:val="000000"/>
          <w:spacing w:val="-2"/>
          <w:sz w:val="24"/>
        </w:rPr>
      </w:pPr>
      <w:r>
        <w:rPr>
          <w:rFonts w:hint="eastAsia" w:eastAsia="方正仿宋_GBK"/>
          <w:color w:val="000000"/>
          <w:spacing w:val="-2"/>
          <w:sz w:val="24"/>
        </w:rPr>
        <w:t>知（建城〔</w:t>
      </w:r>
      <w:r>
        <w:rPr>
          <w:rFonts w:eastAsia="方正仿宋_GBK"/>
          <w:color w:val="000000"/>
          <w:spacing w:val="-2"/>
          <w:sz w:val="24"/>
        </w:rPr>
        <w:t>2012</w:t>
      </w:r>
      <w:r>
        <w:rPr>
          <w:rFonts w:hint="eastAsia" w:eastAsia="方正仿宋_GBK"/>
          <w:color w:val="000000"/>
          <w:spacing w:val="-2"/>
          <w:sz w:val="24"/>
        </w:rPr>
        <w:t>〕</w:t>
      </w:r>
      <w:r>
        <w:rPr>
          <w:rFonts w:eastAsia="方正仿宋_GBK"/>
          <w:color w:val="000000"/>
          <w:spacing w:val="-2"/>
          <w:sz w:val="24"/>
        </w:rPr>
        <w:t>149</w:t>
      </w:r>
      <w:r>
        <w:rPr>
          <w:rFonts w:hint="eastAsia" w:eastAsia="方正仿宋_GBK"/>
          <w:color w:val="000000"/>
          <w:spacing w:val="-2"/>
          <w:sz w:val="24"/>
        </w:rPr>
        <w:t>号）</w:t>
      </w:r>
    </w:p>
    <w:p>
      <w:pPr>
        <w:spacing w:line="460" w:lineRule="exact"/>
        <w:ind w:firstLine="472" w:firstLineChars="200"/>
        <w:rPr>
          <w:rFonts w:eastAsia="方正仿宋_GBK"/>
          <w:color w:val="000000"/>
          <w:spacing w:val="-2"/>
          <w:sz w:val="24"/>
        </w:rPr>
      </w:pPr>
    </w:p>
    <w:p>
      <w:pPr>
        <w:wordWrap w:val="0"/>
        <w:spacing w:line="460" w:lineRule="exact"/>
        <w:ind w:firstLine="472" w:firstLineChars="200"/>
        <w:jc w:val="right"/>
        <w:rPr>
          <w:rFonts w:eastAsia="方正仿宋_GBK"/>
          <w:color w:val="000000"/>
          <w:spacing w:val="-2"/>
          <w:sz w:val="24"/>
        </w:rPr>
      </w:pPr>
      <w:r>
        <w:rPr>
          <w:rFonts w:hint="eastAsia" w:eastAsia="方正仿宋_GBK"/>
          <w:color w:val="000000"/>
          <w:spacing w:val="-2"/>
          <w:sz w:val="24"/>
        </w:rPr>
        <w:t>江苏省住房和城乡建设厅</w:t>
      </w:r>
      <w:r>
        <w:rPr>
          <w:rFonts w:eastAsia="方正仿宋_GBK"/>
          <w:color w:val="000000"/>
          <w:spacing w:val="-2"/>
          <w:sz w:val="24"/>
        </w:rPr>
        <w:t xml:space="preserve">    </w:t>
      </w:r>
    </w:p>
    <w:p>
      <w:pPr>
        <w:wordWrap w:val="0"/>
        <w:spacing w:line="460" w:lineRule="exact"/>
        <w:ind w:firstLine="472" w:firstLineChars="200"/>
        <w:jc w:val="right"/>
        <w:rPr>
          <w:rFonts w:eastAsia="仿宋_GB2312"/>
          <w:color w:val="000000"/>
          <w:spacing w:val="-2"/>
          <w:sz w:val="32"/>
          <w:szCs w:val="32"/>
        </w:rPr>
      </w:pPr>
      <w:r>
        <w:rPr>
          <w:rFonts w:eastAsia="方正仿宋_GBK"/>
          <w:color w:val="000000"/>
          <w:spacing w:val="-2"/>
          <w:sz w:val="24"/>
        </w:rPr>
        <w:t>2013</w:t>
      </w:r>
      <w:r>
        <w:rPr>
          <w:rFonts w:hint="eastAsia" w:eastAsia="方正仿宋_GBK"/>
          <w:color w:val="000000"/>
          <w:spacing w:val="-2"/>
          <w:sz w:val="24"/>
        </w:rPr>
        <w:t>年</w:t>
      </w:r>
      <w:r>
        <w:rPr>
          <w:rFonts w:eastAsia="方正仿宋_GBK"/>
          <w:color w:val="000000"/>
          <w:spacing w:val="-2"/>
          <w:sz w:val="24"/>
        </w:rPr>
        <w:t>2</w:t>
      </w:r>
      <w:r>
        <w:rPr>
          <w:rFonts w:hint="eastAsia" w:eastAsia="方正仿宋_GBK"/>
          <w:color w:val="000000"/>
          <w:spacing w:val="-2"/>
          <w:sz w:val="24"/>
        </w:rPr>
        <w:t>月</w:t>
      </w:r>
      <w:r>
        <w:rPr>
          <w:rFonts w:eastAsia="方正仿宋_GBK"/>
          <w:color w:val="000000"/>
          <w:spacing w:val="-2"/>
          <w:sz w:val="24"/>
        </w:rPr>
        <w:t>19</w:t>
      </w:r>
      <w:r>
        <w:rPr>
          <w:rFonts w:hint="eastAsia" w:eastAsia="方正仿宋_GBK"/>
          <w:color w:val="000000"/>
          <w:spacing w:val="-2"/>
          <w:sz w:val="24"/>
        </w:rPr>
        <w:t>日</w:t>
      </w:r>
      <w:r>
        <w:rPr>
          <w:rFonts w:eastAsia="仿宋_GB2312"/>
          <w:color w:val="000000"/>
          <w:spacing w:val="-2"/>
          <w:sz w:val="32"/>
          <w:szCs w:val="32"/>
        </w:rPr>
        <w:t xml:space="preserve">      </w:t>
      </w:r>
    </w:p>
    <w:p>
      <w:pPr>
        <w:widowControl/>
        <w:jc w:val="left"/>
        <w:rPr>
          <w:rFonts w:eastAsia="仿宋_GB2312"/>
          <w:color w:val="000000"/>
          <w:spacing w:val="-2"/>
          <w:sz w:val="32"/>
          <w:szCs w:val="32"/>
        </w:rPr>
        <w:sectPr>
          <w:pgSz w:w="11906" w:h="16838"/>
          <w:pgMar w:top="1701" w:right="1588" w:bottom="1701" w:left="1588" w:header="851" w:footer="1361" w:gutter="0"/>
          <w:paperSrc w:first="7" w:other="7"/>
          <w:cols w:space="720" w:num="1"/>
        </w:sectPr>
      </w:pPr>
    </w:p>
    <w:p>
      <w:pPr>
        <w:spacing w:line="460" w:lineRule="exact"/>
        <w:rPr>
          <w:rFonts w:ascii="Times New Roman" w:eastAsia="方正黑体_GBK"/>
          <w:color w:val="000000"/>
          <w:spacing w:val="-2"/>
          <w:sz w:val="28"/>
          <w:szCs w:val="28"/>
        </w:rPr>
      </w:pPr>
      <w:r>
        <w:rPr>
          <w:rFonts w:hint="eastAsia" w:ascii="Times New Roman" w:eastAsia="方正黑体_GBK"/>
          <w:color w:val="000000"/>
          <w:spacing w:val="-2"/>
          <w:sz w:val="28"/>
          <w:szCs w:val="28"/>
        </w:rPr>
        <w:t>附件1：</w:t>
      </w:r>
    </w:p>
    <w:p>
      <w:pPr>
        <w:jc w:val="center"/>
        <w:rPr>
          <w:rFonts w:hint="eastAsia" w:eastAsia="方正黑体_GBK"/>
          <w:bCs/>
          <w:color w:val="000000"/>
          <w:spacing w:val="-2"/>
          <w:kern w:val="0"/>
          <w:sz w:val="28"/>
          <w:szCs w:val="28"/>
        </w:rPr>
      </w:pPr>
      <w:r>
        <w:rPr>
          <w:rFonts w:hint="eastAsia" w:eastAsia="方正黑体_GBK"/>
          <w:bCs/>
          <w:color w:val="000000"/>
          <w:spacing w:val="-2"/>
          <w:kern w:val="0"/>
          <w:sz w:val="28"/>
          <w:szCs w:val="28"/>
        </w:rPr>
        <w:t>全省二次供水设施改造情况调查表</w:t>
      </w:r>
    </w:p>
    <w:p>
      <w:pPr>
        <w:rPr>
          <w:rFonts w:eastAsia="方正仿宋_GBK"/>
          <w:bCs/>
          <w:color w:val="000000"/>
          <w:spacing w:val="-2"/>
          <w:kern w:val="0"/>
          <w:szCs w:val="21"/>
        </w:rPr>
      </w:pPr>
      <w:r>
        <w:rPr>
          <w:rFonts w:hint="eastAsia" w:eastAsia="方正仿宋_GBK"/>
          <w:bCs/>
          <w:color w:val="000000"/>
          <w:spacing w:val="-2"/>
          <w:kern w:val="0"/>
          <w:szCs w:val="21"/>
        </w:rPr>
        <w:t>填表日期：</w:t>
      </w:r>
      <w:r>
        <w:rPr>
          <w:rFonts w:eastAsia="方正仿宋_GBK"/>
          <w:bCs/>
          <w:color w:val="000000"/>
          <w:spacing w:val="-2"/>
          <w:kern w:val="0"/>
          <w:szCs w:val="21"/>
        </w:rPr>
        <w:t xml:space="preserve">                                         </w:t>
      </w:r>
      <w:r>
        <w:rPr>
          <w:rFonts w:hint="eastAsia" w:eastAsia="方正仿宋_GBK"/>
          <w:bCs/>
          <w:color w:val="000000"/>
          <w:spacing w:val="-2"/>
          <w:kern w:val="0"/>
          <w:szCs w:val="21"/>
        </w:rPr>
        <w:t>填表人：</w:t>
      </w:r>
      <w:r>
        <w:rPr>
          <w:rFonts w:eastAsia="方正仿宋_GBK"/>
          <w:bCs/>
          <w:color w:val="000000"/>
          <w:spacing w:val="-2"/>
          <w:kern w:val="0"/>
          <w:szCs w:val="21"/>
        </w:rPr>
        <w:t xml:space="preserve">                                                     </w:t>
      </w:r>
      <w:r>
        <w:rPr>
          <w:rFonts w:hint="eastAsia" w:eastAsia="方正仿宋_GBK"/>
          <w:bCs/>
          <w:color w:val="000000"/>
          <w:spacing w:val="-2"/>
          <w:kern w:val="0"/>
          <w:szCs w:val="21"/>
        </w:rPr>
        <w:t>联系方式：</w:t>
      </w:r>
    </w:p>
    <w:tbl>
      <w:tblPr>
        <w:tblStyle w:val="12"/>
        <w:tblW w:w="0" w:type="auto"/>
        <w:tblInd w:w="124" w:type="dxa"/>
        <w:tblLayout w:type="fixed"/>
        <w:tblCellMar>
          <w:top w:w="0" w:type="dxa"/>
          <w:left w:w="108" w:type="dxa"/>
          <w:bottom w:w="0" w:type="dxa"/>
          <w:right w:w="108" w:type="dxa"/>
        </w:tblCellMar>
      </w:tblPr>
      <w:tblGrid>
        <w:gridCol w:w="857"/>
        <w:gridCol w:w="1095"/>
        <w:gridCol w:w="1892"/>
        <w:gridCol w:w="1977"/>
        <w:gridCol w:w="1897"/>
        <w:gridCol w:w="2135"/>
        <w:gridCol w:w="1897"/>
        <w:gridCol w:w="1900"/>
      </w:tblGrid>
      <w:tr>
        <w:tblPrEx>
          <w:tblCellMar>
            <w:top w:w="0" w:type="dxa"/>
            <w:left w:w="108" w:type="dxa"/>
            <w:bottom w:w="0" w:type="dxa"/>
            <w:right w:w="108" w:type="dxa"/>
          </w:tblCellMar>
        </w:tblPrEx>
        <w:trPr>
          <w:trHeight w:val="649" w:hRule="atLeast"/>
        </w:trPr>
        <w:tc>
          <w:tcPr>
            <w:tcW w:w="857" w:type="dxa"/>
            <w:vMerge w:val="restart"/>
            <w:tcBorders>
              <w:top w:val="single" w:color="auto" w:sz="8" w:space="0"/>
              <w:left w:val="single" w:color="auto" w:sz="8" w:space="0"/>
              <w:bottom w:val="single" w:color="auto" w:sz="4" w:space="0"/>
              <w:right w:val="single" w:color="auto" w:sz="4" w:space="0"/>
            </w:tcBorders>
            <w:noWrap w:val="0"/>
            <w:vAlign w:val="center"/>
          </w:tcPr>
          <w:p>
            <w:pPr>
              <w:jc w:val="center"/>
              <w:rPr>
                <w:rFonts w:eastAsia="方正黑体_GBK"/>
                <w:bCs/>
                <w:color w:val="000000"/>
                <w:spacing w:val="-2"/>
                <w:kern w:val="0"/>
                <w:szCs w:val="21"/>
              </w:rPr>
            </w:pPr>
            <w:r>
              <w:rPr>
                <w:rFonts w:hint="eastAsia" w:eastAsia="方正黑体_GBK"/>
                <w:bCs/>
                <w:color w:val="000000"/>
                <w:spacing w:val="-2"/>
                <w:kern w:val="0"/>
                <w:szCs w:val="21"/>
              </w:rPr>
              <w:t>省辖市</w:t>
            </w:r>
          </w:p>
        </w:tc>
        <w:tc>
          <w:tcPr>
            <w:tcW w:w="1095" w:type="dxa"/>
            <w:vMerge w:val="restart"/>
            <w:tcBorders>
              <w:top w:val="single" w:color="auto" w:sz="8" w:space="0"/>
              <w:left w:val="single" w:color="auto" w:sz="4" w:space="0"/>
              <w:bottom w:val="single" w:color="auto" w:sz="4" w:space="0"/>
              <w:right w:val="single" w:color="auto" w:sz="4" w:space="0"/>
            </w:tcBorders>
            <w:noWrap w:val="0"/>
            <w:vAlign w:val="center"/>
          </w:tcPr>
          <w:p>
            <w:pPr>
              <w:jc w:val="center"/>
              <w:rPr>
                <w:rFonts w:eastAsia="方正黑体_GBK"/>
                <w:bCs/>
                <w:color w:val="000000"/>
                <w:spacing w:val="-2"/>
                <w:kern w:val="0"/>
                <w:szCs w:val="21"/>
              </w:rPr>
            </w:pPr>
            <w:r>
              <w:rPr>
                <w:rFonts w:hint="eastAsia" w:eastAsia="方正黑体_GBK"/>
                <w:bCs/>
                <w:color w:val="000000"/>
                <w:spacing w:val="-2"/>
                <w:kern w:val="0"/>
                <w:szCs w:val="21"/>
              </w:rPr>
              <w:t>县</w:t>
            </w:r>
          </w:p>
          <w:p>
            <w:pPr>
              <w:jc w:val="center"/>
              <w:rPr>
                <w:rFonts w:eastAsia="方正黑体_GBK"/>
                <w:bCs/>
                <w:color w:val="000000"/>
                <w:spacing w:val="-2"/>
                <w:kern w:val="0"/>
                <w:szCs w:val="21"/>
              </w:rPr>
            </w:pPr>
            <w:r>
              <w:rPr>
                <w:rFonts w:hint="eastAsia" w:eastAsia="方正黑体_GBK"/>
                <w:bCs/>
                <w:color w:val="000000"/>
                <w:spacing w:val="-2"/>
                <w:kern w:val="0"/>
                <w:szCs w:val="21"/>
              </w:rPr>
              <w:t>（市、区）</w:t>
            </w:r>
          </w:p>
        </w:tc>
        <w:tc>
          <w:tcPr>
            <w:tcW w:w="3869" w:type="dxa"/>
            <w:gridSpan w:val="2"/>
            <w:tcBorders>
              <w:top w:val="single" w:color="auto" w:sz="8" w:space="0"/>
              <w:left w:val="nil"/>
              <w:bottom w:val="single" w:color="auto" w:sz="4" w:space="0"/>
              <w:right w:val="single" w:color="auto" w:sz="4" w:space="0"/>
            </w:tcBorders>
            <w:noWrap w:val="0"/>
            <w:vAlign w:val="center"/>
          </w:tcPr>
          <w:p>
            <w:pPr>
              <w:jc w:val="center"/>
              <w:rPr>
                <w:rFonts w:eastAsia="方正黑体_GBK"/>
                <w:bCs/>
                <w:color w:val="000000"/>
                <w:spacing w:val="-2"/>
                <w:kern w:val="0"/>
                <w:szCs w:val="21"/>
              </w:rPr>
            </w:pPr>
            <w:r>
              <w:rPr>
                <w:rFonts w:hint="eastAsia" w:eastAsia="方正黑体_GBK"/>
                <w:bCs/>
                <w:color w:val="000000"/>
                <w:spacing w:val="-2"/>
                <w:kern w:val="0"/>
                <w:szCs w:val="21"/>
              </w:rPr>
              <w:t>二次供水设施改造项目总量</w:t>
            </w:r>
          </w:p>
        </w:tc>
        <w:tc>
          <w:tcPr>
            <w:tcW w:w="4032" w:type="dxa"/>
            <w:gridSpan w:val="2"/>
            <w:tcBorders>
              <w:top w:val="single" w:color="auto" w:sz="8" w:space="0"/>
              <w:left w:val="nil"/>
              <w:bottom w:val="single" w:color="auto" w:sz="4" w:space="0"/>
              <w:right w:val="single" w:color="auto" w:sz="4" w:space="0"/>
            </w:tcBorders>
            <w:noWrap w:val="0"/>
            <w:vAlign w:val="center"/>
          </w:tcPr>
          <w:p>
            <w:pPr>
              <w:jc w:val="center"/>
              <w:rPr>
                <w:rFonts w:eastAsia="方正黑体_GBK"/>
                <w:bCs/>
                <w:color w:val="000000"/>
                <w:spacing w:val="-2"/>
                <w:kern w:val="0"/>
                <w:szCs w:val="21"/>
              </w:rPr>
            </w:pPr>
            <w:r>
              <w:rPr>
                <w:rFonts w:hint="eastAsia" w:eastAsia="方正黑体_GBK"/>
                <w:bCs/>
                <w:color w:val="000000"/>
                <w:spacing w:val="-2"/>
                <w:kern w:val="0"/>
                <w:szCs w:val="21"/>
              </w:rPr>
              <w:t>截至</w:t>
            </w:r>
            <w:r>
              <w:rPr>
                <w:rFonts w:eastAsia="方正黑体_GBK"/>
                <w:bCs/>
                <w:color w:val="000000"/>
                <w:spacing w:val="-2"/>
                <w:kern w:val="0"/>
                <w:szCs w:val="21"/>
              </w:rPr>
              <w:t>2012</w:t>
            </w:r>
            <w:r>
              <w:rPr>
                <w:rFonts w:hint="eastAsia" w:eastAsia="方正黑体_GBK"/>
                <w:bCs/>
                <w:color w:val="000000"/>
                <w:spacing w:val="-2"/>
                <w:kern w:val="0"/>
                <w:szCs w:val="21"/>
              </w:rPr>
              <w:t>年底已完成的</w:t>
            </w:r>
          </w:p>
          <w:p>
            <w:pPr>
              <w:jc w:val="center"/>
              <w:rPr>
                <w:rFonts w:eastAsia="方正黑体_GBK"/>
                <w:bCs/>
                <w:color w:val="000000"/>
                <w:spacing w:val="-2"/>
                <w:kern w:val="0"/>
                <w:szCs w:val="21"/>
              </w:rPr>
            </w:pPr>
            <w:r>
              <w:rPr>
                <w:rFonts w:hint="eastAsia" w:eastAsia="方正黑体_GBK"/>
                <w:bCs/>
                <w:color w:val="000000"/>
                <w:spacing w:val="-2"/>
                <w:kern w:val="0"/>
                <w:szCs w:val="21"/>
              </w:rPr>
              <w:t>二次供水设施改造项目</w:t>
            </w:r>
          </w:p>
        </w:tc>
        <w:tc>
          <w:tcPr>
            <w:tcW w:w="3797" w:type="dxa"/>
            <w:gridSpan w:val="2"/>
            <w:tcBorders>
              <w:top w:val="single" w:color="auto" w:sz="8" w:space="0"/>
              <w:left w:val="nil"/>
              <w:bottom w:val="single" w:color="auto" w:sz="4" w:space="0"/>
              <w:right w:val="single" w:color="auto" w:sz="8" w:space="0"/>
            </w:tcBorders>
            <w:noWrap w:val="0"/>
            <w:vAlign w:val="center"/>
          </w:tcPr>
          <w:p>
            <w:pPr>
              <w:jc w:val="center"/>
              <w:rPr>
                <w:rFonts w:eastAsia="方正黑体_GBK"/>
                <w:bCs/>
                <w:color w:val="000000"/>
                <w:spacing w:val="-2"/>
                <w:kern w:val="0"/>
                <w:szCs w:val="21"/>
              </w:rPr>
            </w:pPr>
            <w:r>
              <w:rPr>
                <w:rFonts w:eastAsia="方正黑体_GBK"/>
                <w:bCs/>
                <w:color w:val="000000"/>
                <w:spacing w:val="-2"/>
                <w:kern w:val="0"/>
                <w:szCs w:val="21"/>
              </w:rPr>
              <w:t>2013-2015</w:t>
            </w:r>
            <w:r>
              <w:rPr>
                <w:rFonts w:hint="eastAsia" w:eastAsia="方正黑体_GBK"/>
                <w:bCs/>
                <w:color w:val="000000"/>
                <w:spacing w:val="-2"/>
                <w:kern w:val="0"/>
                <w:szCs w:val="21"/>
              </w:rPr>
              <w:t>年计划完成的</w:t>
            </w:r>
          </w:p>
          <w:p>
            <w:pPr>
              <w:jc w:val="center"/>
              <w:rPr>
                <w:rFonts w:eastAsia="方正黑体_GBK"/>
                <w:bCs/>
                <w:color w:val="000000"/>
                <w:spacing w:val="-2"/>
                <w:kern w:val="0"/>
                <w:szCs w:val="21"/>
              </w:rPr>
            </w:pPr>
            <w:r>
              <w:rPr>
                <w:rFonts w:hint="eastAsia" w:eastAsia="方正黑体_GBK"/>
                <w:bCs/>
                <w:color w:val="000000"/>
                <w:spacing w:val="-2"/>
                <w:kern w:val="0"/>
                <w:szCs w:val="21"/>
              </w:rPr>
              <w:t>二次供水设施改造项目</w:t>
            </w:r>
          </w:p>
        </w:tc>
      </w:tr>
      <w:tr>
        <w:tblPrEx>
          <w:tblCellMar>
            <w:top w:w="0" w:type="dxa"/>
            <w:left w:w="108" w:type="dxa"/>
            <w:bottom w:w="0" w:type="dxa"/>
            <w:right w:w="108" w:type="dxa"/>
          </w:tblCellMar>
        </w:tblPrEx>
        <w:trPr>
          <w:trHeight w:val="393" w:hRule="atLeast"/>
        </w:trPr>
        <w:tc>
          <w:tcPr>
            <w:tcW w:w="857" w:type="dxa"/>
            <w:vMerge w:val="continue"/>
            <w:tcBorders>
              <w:top w:val="single" w:color="auto" w:sz="8" w:space="0"/>
              <w:left w:val="single" w:color="auto" w:sz="8" w:space="0"/>
              <w:bottom w:val="single" w:color="auto" w:sz="4" w:space="0"/>
              <w:right w:val="single" w:color="auto" w:sz="4" w:space="0"/>
            </w:tcBorders>
            <w:noWrap w:val="0"/>
            <w:vAlign w:val="center"/>
          </w:tcPr>
          <w:p>
            <w:pPr>
              <w:widowControl/>
              <w:jc w:val="left"/>
              <w:rPr>
                <w:rFonts w:eastAsia="方正黑体_GBK"/>
                <w:bCs/>
                <w:color w:val="000000"/>
                <w:spacing w:val="-2"/>
                <w:kern w:val="0"/>
                <w:szCs w:val="21"/>
              </w:rPr>
            </w:pPr>
          </w:p>
        </w:tc>
        <w:tc>
          <w:tcPr>
            <w:tcW w:w="1095" w:type="dxa"/>
            <w:vMerge w:val="continue"/>
            <w:tcBorders>
              <w:top w:val="single" w:color="auto" w:sz="8" w:space="0"/>
              <w:left w:val="single" w:color="auto" w:sz="4" w:space="0"/>
              <w:bottom w:val="single" w:color="auto" w:sz="4" w:space="0"/>
              <w:right w:val="single" w:color="auto" w:sz="4" w:space="0"/>
            </w:tcBorders>
            <w:noWrap w:val="0"/>
            <w:vAlign w:val="center"/>
          </w:tcPr>
          <w:p>
            <w:pPr>
              <w:widowControl/>
              <w:jc w:val="left"/>
              <w:rPr>
                <w:rFonts w:eastAsia="方正黑体_GBK"/>
                <w:bCs/>
                <w:color w:val="000000"/>
                <w:spacing w:val="-2"/>
                <w:kern w:val="0"/>
                <w:szCs w:val="21"/>
              </w:rPr>
            </w:pPr>
          </w:p>
        </w:tc>
        <w:tc>
          <w:tcPr>
            <w:tcW w:w="1892" w:type="dxa"/>
            <w:tcBorders>
              <w:top w:val="nil"/>
              <w:left w:val="nil"/>
              <w:bottom w:val="single" w:color="auto" w:sz="4" w:space="0"/>
              <w:right w:val="single" w:color="auto" w:sz="4" w:space="0"/>
            </w:tcBorders>
            <w:noWrap w:val="0"/>
            <w:vAlign w:val="center"/>
          </w:tcPr>
          <w:p>
            <w:pPr>
              <w:jc w:val="center"/>
              <w:rPr>
                <w:rFonts w:eastAsia="方正黑体_GBK"/>
                <w:bCs/>
                <w:color w:val="000000"/>
                <w:spacing w:val="-2"/>
                <w:kern w:val="0"/>
                <w:szCs w:val="21"/>
              </w:rPr>
            </w:pPr>
            <w:r>
              <w:rPr>
                <w:rFonts w:hint="eastAsia" w:eastAsia="方正黑体_GBK"/>
                <w:bCs/>
                <w:color w:val="000000"/>
                <w:spacing w:val="-2"/>
                <w:kern w:val="0"/>
                <w:szCs w:val="21"/>
              </w:rPr>
              <w:t>工程点（个）</w:t>
            </w:r>
          </w:p>
        </w:tc>
        <w:tc>
          <w:tcPr>
            <w:tcW w:w="1977" w:type="dxa"/>
            <w:tcBorders>
              <w:top w:val="nil"/>
              <w:left w:val="nil"/>
              <w:bottom w:val="single" w:color="auto" w:sz="4" w:space="0"/>
              <w:right w:val="single" w:color="auto" w:sz="4" w:space="0"/>
            </w:tcBorders>
            <w:noWrap w:val="0"/>
            <w:vAlign w:val="center"/>
          </w:tcPr>
          <w:p>
            <w:pPr>
              <w:jc w:val="center"/>
              <w:rPr>
                <w:rFonts w:eastAsia="方正黑体_GBK"/>
                <w:bCs/>
                <w:color w:val="000000"/>
                <w:spacing w:val="-2"/>
                <w:kern w:val="0"/>
                <w:szCs w:val="21"/>
              </w:rPr>
            </w:pPr>
            <w:r>
              <w:rPr>
                <w:rFonts w:hint="eastAsia" w:eastAsia="方正黑体_GBK"/>
                <w:bCs/>
                <w:color w:val="000000"/>
                <w:spacing w:val="-2"/>
                <w:kern w:val="0"/>
                <w:szCs w:val="21"/>
              </w:rPr>
              <w:t>投资（亿元）</w:t>
            </w:r>
          </w:p>
        </w:tc>
        <w:tc>
          <w:tcPr>
            <w:tcW w:w="1897" w:type="dxa"/>
            <w:tcBorders>
              <w:top w:val="nil"/>
              <w:left w:val="nil"/>
              <w:bottom w:val="single" w:color="auto" w:sz="4" w:space="0"/>
              <w:right w:val="single" w:color="auto" w:sz="4" w:space="0"/>
            </w:tcBorders>
            <w:noWrap w:val="0"/>
            <w:vAlign w:val="center"/>
          </w:tcPr>
          <w:p>
            <w:pPr>
              <w:jc w:val="center"/>
              <w:rPr>
                <w:rFonts w:eastAsia="方正黑体_GBK"/>
                <w:bCs/>
                <w:color w:val="000000"/>
                <w:spacing w:val="-2"/>
                <w:kern w:val="0"/>
                <w:szCs w:val="21"/>
              </w:rPr>
            </w:pPr>
            <w:r>
              <w:rPr>
                <w:rFonts w:hint="eastAsia" w:eastAsia="方正黑体_GBK"/>
                <w:bCs/>
                <w:color w:val="000000"/>
                <w:spacing w:val="-2"/>
                <w:kern w:val="0"/>
                <w:szCs w:val="21"/>
              </w:rPr>
              <w:t>工程点（个）</w:t>
            </w:r>
          </w:p>
        </w:tc>
        <w:tc>
          <w:tcPr>
            <w:tcW w:w="2135" w:type="dxa"/>
            <w:tcBorders>
              <w:top w:val="nil"/>
              <w:left w:val="nil"/>
              <w:bottom w:val="single" w:color="auto" w:sz="4" w:space="0"/>
              <w:right w:val="single" w:color="auto" w:sz="4" w:space="0"/>
            </w:tcBorders>
            <w:noWrap w:val="0"/>
            <w:vAlign w:val="center"/>
          </w:tcPr>
          <w:p>
            <w:pPr>
              <w:jc w:val="center"/>
              <w:rPr>
                <w:rFonts w:eastAsia="方正黑体_GBK"/>
                <w:bCs/>
                <w:color w:val="000000"/>
                <w:spacing w:val="-2"/>
                <w:kern w:val="0"/>
                <w:szCs w:val="21"/>
              </w:rPr>
            </w:pPr>
            <w:r>
              <w:rPr>
                <w:rFonts w:hint="eastAsia" w:eastAsia="方正黑体_GBK"/>
                <w:bCs/>
                <w:color w:val="000000"/>
                <w:spacing w:val="-2"/>
                <w:kern w:val="0"/>
                <w:szCs w:val="21"/>
              </w:rPr>
              <w:t>投资（亿元）</w:t>
            </w:r>
          </w:p>
        </w:tc>
        <w:tc>
          <w:tcPr>
            <w:tcW w:w="1897" w:type="dxa"/>
            <w:tcBorders>
              <w:top w:val="nil"/>
              <w:left w:val="nil"/>
              <w:bottom w:val="single" w:color="auto" w:sz="4" w:space="0"/>
              <w:right w:val="single" w:color="auto" w:sz="4" w:space="0"/>
            </w:tcBorders>
            <w:noWrap w:val="0"/>
            <w:vAlign w:val="center"/>
          </w:tcPr>
          <w:p>
            <w:pPr>
              <w:jc w:val="center"/>
              <w:rPr>
                <w:rFonts w:eastAsia="方正黑体_GBK"/>
                <w:bCs/>
                <w:color w:val="000000"/>
                <w:spacing w:val="-2"/>
                <w:kern w:val="0"/>
                <w:szCs w:val="21"/>
              </w:rPr>
            </w:pPr>
            <w:r>
              <w:rPr>
                <w:rFonts w:hint="eastAsia" w:eastAsia="方正黑体_GBK"/>
                <w:bCs/>
                <w:color w:val="000000"/>
                <w:spacing w:val="-2"/>
                <w:kern w:val="0"/>
                <w:szCs w:val="21"/>
              </w:rPr>
              <w:t>工程点（个）</w:t>
            </w:r>
          </w:p>
        </w:tc>
        <w:tc>
          <w:tcPr>
            <w:tcW w:w="1900" w:type="dxa"/>
            <w:tcBorders>
              <w:top w:val="nil"/>
              <w:left w:val="nil"/>
              <w:bottom w:val="single" w:color="auto" w:sz="4" w:space="0"/>
              <w:right w:val="single" w:color="auto" w:sz="8" w:space="0"/>
            </w:tcBorders>
            <w:noWrap w:val="0"/>
            <w:vAlign w:val="center"/>
          </w:tcPr>
          <w:p>
            <w:pPr>
              <w:jc w:val="center"/>
              <w:rPr>
                <w:rFonts w:eastAsia="方正黑体_GBK"/>
                <w:bCs/>
                <w:color w:val="000000"/>
                <w:spacing w:val="-2"/>
                <w:kern w:val="0"/>
                <w:szCs w:val="21"/>
              </w:rPr>
            </w:pPr>
            <w:r>
              <w:rPr>
                <w:rFonts w:hint="eastAsia" w:eastAsia="方正黑体_GBK"/>
                <w:bCs/>
                <w:color w:val="000000"/>
                <w:spacing w:val="-2"/>
                <w:kern w:val="0"/>
                <w:szCs w:val="21"/>
              </w:rPr>
              <w:t>投资（亿元）</w:t>
            </w:r>
          </w:p>
        </w:tc>
      </w:tr>
      <w:tr>
        <w:tblPrEx>
          <w:tblCellMar>
            <w:top w:w="0" w:type="dxa"/>
            <w:left w:w="108" w:type="dxa"/>
            <w:bottom w:w="0" w:type="dxa"/>
            <w:right w:w="108" w:type="dxa"/>
          </w:tblCellMar>
        </w:tblPrEx>
        <w:trPr>
          <w:trHeight w:val="315" w:hRule="atLeast"/>
        </w:trPr>
        <w:tc>
          <w:tcPr>
            <w:tcW w:w="857" w:type="dxa"/>
            <w:tcBorders>
              <w:top w:val="nil"/>
              <w:left w:val="single" w:color="auto" w:sz="8" w:space="0"/>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095"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2"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97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2135"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900" w:type="dxa"/>
            <w:tcBorders>
              <w:top w:val="nil"/>
              <w:left w:val="nil"/>
              <w:bottom w:val="single" w:color="auto" w:sz="4" w:space="0"/>
              <w:right w:val="single" w:color="auto" w:sz="8"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r>
      <w:tr>
        <w:tblPrEx>
          <w:tblCellMar>
            <w:top w:w="0" w:type="dxa"/>
            <w:left w:w="108" w:type="dxa"/>
            <w:bottom w:w="0" w:type="dxa"/>
            <w:right w:w="108" w:type="dxa"/>
          </w:tblCellMar>
        </w:tblPrEx>
        <w:trPr>
          <w:trHeight w:val="315" w:hRule="atLeast"/>
        </w:trPr>
        <w:tc>
          <w:tcPr>
            <w:tcW w:w="857" w:type="dxa"/>
            <w:tcBorders>
              <w:top w:val="nil"/>
              <w:left w:val="single" w:color="auto" w:sz="8" w:space="0"/>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095"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2"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97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2135"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900" w:type="dxa"/>
            <w:tcBorders>
              <w:top w:val="nil"/>
              <w:left w:val="nil"/>
              <w:bottom w:val="single" w:color="auto" w:sz="4" w:space="0"/>
              <w:right w:val="single" w:color="auto" w:sz="8"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r>
      <w:tr>
        <w:tblPrEx>
          <w:tblCellMar>
            <w:top w:w="0" w:type="dxa"/>
            <w:left w:w="108" w:type="dxa"/>
            <w:bottom w:w="0" w:type="dxa"/>
            <w:right w:w="108" w:type="dxa"/>
          </w:tblCellMar>
        </w:tblPrEx>
        <w:trPr>
          <w:trHeight w:val="315" w:hRule="atLeast"/>
        </w:trPr>
        <w:tc>
          <w:tcPr>
            <w:tcW w:w="857" w:type="dxa"/>
            <w:tcBorders>
              <w:top w:val="nil"/>
              <w:left w:val="single" w:color="auto" w:sz="8" w:space="0"/>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095"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2"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97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2135"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900" w:type="dxa"/>
            <w:tcBorders>
              <w:top w:val="nil"/>
              <w:left w:val="nil"/>
              <w:bottom w:val="single" w:color="auto" w:sz="4" w:space="0"/>
              <w:right w:val="single" w:color="auto" w:sz="8"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r>
      <w:tr>
        <w:tblPrEx>
          <w:tblCellMar>
            <w:top w:w="0" w:type="dxa"/>
            <w:left w:w="108" w:type="dxa"/>
            <w:bottom w:w="0" w:type="dxa"/>
            <w:right w:w="108" w:type="dxa"/>
          </w:tblCellMar>
        </w:tblPrEx>
        <w:trPr>
          <w:trHeight w:val="315" w:hRule="atLeast"/>
        </w:trPr>
        <w:tc>
          <w:tcPr>
            <w:tcW w:w="857" w:type="dxa"/>
            <w:tcBorders>
              <w:top w:val="nil"/>
              <w:left w:val="single" w:color="auto" w:sz="8" w:space="0"/>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095"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2"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97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2135"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900" w:type="dxa"/>
            <w:tcBorders>
              <w:top w:val="nil"/>
              <w:left w:val="nil"/>
              <w:bottom w:val="single" w:color="auto" w:sz="4" w:space="0"/>
              <w:right w:val="single" w:color="auto" w:sz="8"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r>
      <w:tr>
        <w:tblPrEx>
          <w:tblCellMar>
            <w:top w:w="0" w:type="dxa"/>
            <w:left w:w="108" w:type="dxa"/>
            <w:bottom w:w="0" w:type="dxa"/>
            <w:right w:w="108" w:type="dxa"/>
          </w:tblCellMar>
        </w:tblPrEx>
        <w:trPr>
          <w:trHeight w:val="315" w:hRule="atLeast"/>
        </w:trPr>
        <w:tc>
          <w:tcPr>
            <w:tcW w:w="857" w:type="dxa"/>
            <w:tcBorders>
              <w:top w:val="nil"/>
              <w:left w:val="single" w:color="auto" w:sz="8" w:space="0"/>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095"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2"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97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2135"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900" w:type="dxa"/>
            <w:tcBorders>
              <w:top w:val="nil"/>
              <w:left w:val="nil"/>
              <w:bottom w:val="single" w:color="auto" w:sz="4" w:space="0"/>
              <w:right w:val="single" w:color="auto" w:sz="8"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r>
      <w:tr>
        <w:tblPrEx>
          <w:tblCellMar>
            <w:top w:w="0" w:type="dxa"/>
            <w:left w:w="108" w:type="dxa"/>
            <w:bottom w:w="0" w:type="dxa"/>
            <w:right w:w="108" w:type="dxa"/>
          </w:tblCellMar>
        </w:tblPrEx>
        <w:trPr>
          <w:trHeight w:val="315" w:hRule="atLeast"/>
        </w:trPr>
        <w:tc>
          <w:tcPr>
            <w:tcW w:w="857" w:type="dxa"/>
            <w:tcBorders>
              <w:top w:val="nil"/>
              <w:left w:val="single" w:color="auto" w:sz="8" w:space="0"/>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095"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2"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97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2135"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900" w:type="dxa"/>
            <w:tcBorders>
              <w:top w:val="nil"/>
              <w:left w:val="nil"/>
              <w:bottom w:val="single" w:color="auto" w:sz="4" w:space="0"/>
              <w:right w:val="single" w:color="auto" w:sz="8"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r>
      <w:tr>
        <w:tblPrEx>
          <w:tblCellMar>
            <w:top w:w="0" w:type="dxa"/>
            <w:left w:w="108" w:type="dxa"/>
            <w:bottom w:w="0" w:type="dxa"/>
            <w:right w:w="108" w:type="dxa"/>
          </w:tblCellMar>
        </w:tblPrEx>
        <w:trPr>
          <w:trHeight w:val="315" w:hRule="atLeast"/>
        </w:trPr>
        <w:tc>
          <w:tcPr>
            <w:tcW w:w="857" w:type="dxa"/>
            <w:tcBorders>
              <w:top w:val="nil"/>
              <w:left w:val="single" w:color="auto" w:sz="8" w:space="0"/>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095"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2"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97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2135"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900" w:type="dxa"/>
            <w:tcBorders>
              <w:top w:val="nil"/>
              <w:left w:val="nil"/>
              <w:bottom w:val="single" w:color="auto" w:sz="4" w:space="0"/>
              <w:right w:val="single" w:color="auto" w:sz="8"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r>
      <w:tr>
        <w:tblPrEx>
          <w:tblCellMar>
            <w:top w:w="0" w:type="dxa"/>
            <w:left w:w="108" w:type="dxa"/>
            <w:bottom w:w="0" w:type="dxa"/>
            <w:right w:w="108" w:type="dxa"/>
          </w:tblCellMar>
        </w:tblPrEx>
        <w:trPr>
          <w:trHeight w:val="315" w:hRule="atLeast"/>
        </w:trPr>
        <w:tc>
          <w:tcPr>
            <w:tcW w:w="857" w:type="dxa"/>
            <w:tcBorders>
              <w:top w:val="nil"/>
              <w:left w:val="single" w:color="auto" w:sz="8" w:space="0"/>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095"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2"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97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2135"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900" w:type="dxa"/>
            <w:tcBorders>
              <w:top w:val="nil"/>
              <w:left w:val="nil"/>
              <w:bottom w:val="single" w:color="auto" w:sz="4" w:space="0"/>
              <w:right w:val="single" w:color="auto" w:sz="8"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r>
      <w:tr>
        <w:tblPrEx>
          <w:tblCellMar>
            <w:top w:w="0" w:type="dxa"/>
            <w:left w:w="108" w:type="dxa"/>
            <w:bottom w:w="0" w:type="dxa"/>
            <w:right w:w="108" w:type="dxa"/>
          </w:tblCellMar>
        </w:tblPrEx>
        <w:trPr>
          <w:trHeight w:val="315" w:hRule="atLeast"/>
        </w:trPr>
        <w:tc>
          <w:tcPr>
            <w:tcW w:w="857" w:type="dxa"/>
            <w:tcBorders>
              <w:top w:val="nil"/>
              <w:left w:val="single" w:color="auto" w:sz="8" w:space="0"/>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095"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2"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97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2135"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900" w:type="dxa"/>
            <w:tcBorders>
              <w:top w:val="nil"/>
              <w:left w:val="nil"/>
              <w:bottom w:val="single" w:color="auto" w:sz="4" w:space="0"/>
              <w:right w:val="single" w:color="auto" w:sz="8"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r>
      <w:tr>
        <w:tblPrEx>
          <w:tblCellMar>
            <w:top w:w="0" w:type="dxa"/>
            <w:left w:w="108" w:type="dxa"/>
            <w:bottom w:w="0" w:type="dxa"/>
            <w:right w:w="108" w:type="dxa"/>
          </w:tblCellMar>
        </w:tblPrEx>
        <w:trPr>
          <w:trHeight w:val="315" w:hRule="atLeast"/>
        </w:trPr>
        <w:tc>
          <w:tcPr>
            <w:tcW w:w="857" w:type="dxa"/>
            <w:tcBorders>
              <w:top w:val="nil"/>
              <w:left w:val="single" w:color="auto" w:sz="8" w:space="0"/>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095"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2"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97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2135"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900" w:type="dxa"/>
            <w:tcBorders>
              <w:top w:val="nil"/>
              <w:left w:val="nil"/>
              <w:bottom w:val="single" w:color="auto" w:sz="4" w:space="0"/>
              <w:right w:val="single" w:color="auto" w:sz="8"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r>
      <w:tr>
        <w:tblPrEx>
          <w:tblCellMar>
            <w:top w:w="0" w:type="dxa"/>
            <w:left w:w="108" w:type="dxa"/>
            <w:bottom w:w="0" w:type="dxa"/>
            <w:right w:w="108" w:type="dxa"/>
          </w:tblCellMar>
        </w:tblPrEx>
        <w:trPr>
          <w:trHeight w:val="315" w:hRule="atLeast"/>
        </w:trPr>
        <w:tc>
          <w:tcPr>
            <w:tcW w:w="857" w:type="dxa"/>
            <w:tcBorders>
              <w:top w:val="nil"/>
              <w:left w:val="single" w:color="auto" w:sz="8" w:space="0"/>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095"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2"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97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2135"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900" w:type="dxa"/>
            <w:tcBorders>
              <w:top w:val="nil"/>
              <w:left w:val="nil"/>
              <w:bottom w:val="single" w:color="auto" w:sz="4" w:space="0"/>
              <w:right w:val="single" w:color="auto" w:sz="8"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r>
      <w:tr>
        <w:tblPrEx>
          <w:tblCellMar>
            <w:top w:w="0" w:type="dxa"/>
            <w:left w:w="108" w:type="dxa"/>
            <w:bottom w:w="0" w:type="dxa"/>
            <w:right w:w="108" w:type="dxa"/>
          </w:tblCellMar>
        </w:tblPrEx>
        <w:trPr>
          <w:trHeight w:val="315" w:hRule="atLeast"/>
        </w:trPr>
        <w:tc>
          <w:tcPr>
            <w:tcW w:w="857" w:type="dxa"/>
            <w:tcBorders>
              <w:top w:val="nil"/>
              <w:left w:val="single" w:color="auto" w:sz="8" w:space="0"/>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095"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2"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97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2135"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900" w:type="dxa"/>
            <w:tcBorders>
              <w:top w:val="nil"/>
              <w:left w:val="nil"/>
              <w:bottom w:val="single" w:color="auto" w:sz="4" w:space="0"/>
              <w:right w:val="single" w:color="auto" w:sz="8"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r>
      <w:tr>
        <w:tblPrEx>
          <w:tblCellMar>
            <w:top w:w="0" w:type="dxa"/>
            <w:left w:w="108" w:type="dxa"/>
            <w:bottom w:w="0" w:type="dxa"/>
            <w:right w:w="108" w:type="dxa"/>
          </w:tblCellMar>
        </w:tblPrEx>
        <w:trPr>
          <w:trHeight w:val="315" w:hRule="atLeast"/>
        </w:trPr>
        <w:tc>
          <w:tcPr>
            <w:tcW w:w="857" w:type="dxa"/>
            <w:tcBorders>
              <w:top w:val="nil"/>
              <w:left w:val="single" w:color="auto" w:sz="8" w:space="0"/>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095"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2"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97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2135"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900" w:type="dxa"/>
            <w:tcBorders>
              <w:top w:val="nil"/>
              <w:left w:val="nil"/>
              <w:bottom w:val="single" w:color="auto" w:sz="4" w:space="0"/>
              <w:right w:val="single" w:color="auto" w:sz="8"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r>
      <w:tr>
        <w:tblPrEx>
          <w:tblCellMar>
            <w:top w:w="0" w:type="dxa"/>
            <w:left w:w="108" w:type="dxa"/>
            <w:bottom w:w="0" w:type="dxa"/>
            <w:right w:w="108" w:type="dxa"/>
          </w:tblCellMar>
        </w:tblPrEx>
        <w:trPr>
          <w:trHeight w:val="315" w:hRule="atLeast"/>
        </w:trPr>
        <w:tc>
          <w:tcPr>
            <w:tcW w:w="857" w:type="dxa"/>
            <w:tcBorders>
              <w:top w:val="nil"/>
              <w:left w:val="single" w:color="auto" w:sz="8" w:space="0"/>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095"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2"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97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2135"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900" w:type="dxa"/>
            <w:tcBorders>
              <w:top w:val="nil"/>
              <w:left w:val="nil"/>
              <w:bottom w:val="single" w:color="auto" w:sz="4" w:space="0"/>
              <w:right w:val="single" w:color="auto" w:sz="8"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r>
      <w:tr>
        <w:tblPrEx>
          <w:tblCellMar>
            <w:top w:w="0" w:type="dxa"/>
            <w:left w:w="108" w:type="dxa"/>
            <w:bottom w:w="0" w:type="dxa"/>
            <w:right w:w="108" w:type="dxa"/>
          </w:tblCellMar>
        </w:tblPrEx>
        <w:trPr>
          <w:trHeight w:val="315" w:hRule="atLeast"/>
        </w:trPr>
        <w:tc>
          <w:tcPr>
            <w:tcW w:w="857" w:type="dxa"/>
            <w:tcBorders>
              <w:top w:val="nil"/>
              <w:left w:val="single" w:color="auto" w:sz="8" w:space="0"/>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095"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2"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97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2135"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900" w:type="dxa"/>
            <w:tcBorders>
              <w:top w:val="nil"/>
              <w:left w:val="nil"/>
              <w:bottom w:val="single" w:color="auto" w:sz="4" w:space="0"/>
              <w:right w:val="single" w:color="auto" w:sz="8"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r>
      <w:tr>
        <w:tblPrEx>
          <w:tblCellMar>
            <w:top w:w="0" w:type="dxa"/>
            <w:left w:w="108" w:type="dxa"/>
            <w:bottom w:w="0" w:type="dxa"/>
            <w:right w:w="108" w:type="dxa"/>
          </w:tblCellMar>
        </w:tblPrEx>
        <w:trPr>
          <w:trHeight w:val="315" w:hRule="atLeast"/>
        </w:trPr>
        <w:tc>
          <w:tcPr>
            <w:tcW w:w="857" w:type="dxa"/>
            <w:tcBorders>
              <w:top w:val="nil"/>
              <w:left w:val="single" w:color="auto" w:sz="8" w:space="0"/>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095"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2"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97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2135"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900" w:type="dxa"/>
            <w:tcBorders>
              <w:top w:val="nil"/>
              <w:left w:val="nil"/>
              <w:bottom w:val="single" w:color="auto" w:sz="4" w:space="0"/>
              <w:right w:val="single" w:color="auto" w:sz="8"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r>
      <w:tr>
        <w:tblPrEx>
          <w:tblCellMar>
            <w:top w:w="0" w:type="dxa"/>
            <w:left w:w="108" w:type="dxa"/>
            <w:bottom w:w="0" w:type="dxa"/>
            <w:right w:w="108" w:type="dxa"/>
          </w:tblCellMar>
        </w:tblPrEx>
        <w:trPr>
          <w:trHeight w:val="315" w:hRule="atLeast"/>
        </w:trPr>
        <w:tc>
          <w:tcPr>
            <w:tcW w:w="857" w:type="dxa"/>
            <w:tcBorders>
              <w:top w:val="nil"/>
              <w:left w:val="single" w:color="auto" w:sz="8" w:space="0"/>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095"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2"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97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2135"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7" w:type="dxa"/>
            <w:tcBorders>
              <w:top w:val="nil"/>
              <w:left w:val="nil"/>
              <w:bottom w:val="single" w:color="auto" w:sz="4"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900" w:type="dxa"/>
            <w:tcBorders>
              <w:top w:val="nil"/>
              <w:left w:val="nil"/>
              <w:bottom w:val="single" w:color="auto" w:sz="4" w:space="0"/>
              <w:right w:val="single" w:color="auto" w:sz="8"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r>
      <w:tr>
        <w:tblPrEx>
          <w:tblCellMar>
            <w:top w:w="0" w:type="dxa"/>
            <w:left w:w="108" w:type="dxa"/>
            <w:bottom w:w="0" w:type="dxa"/>
            <w:right w:w="108" w:type="dxa"/>
          </w:tblCellMar>
        </w:tblPrEx>
        <w:trPr>
          <w:trHeight w:val="315" w:hRule="atLeast"/>
        </w:trPr>
        <w:tc>
          <w:tcPr>
            <w:tcW w:w="857" w:type="dxa"/>
            <w:tcBorders>
              <w:top w:val="nil"/>
              <w:left w:val="single" w:color="auto" w:sz="8" w:space="0"/>
              <w:bottom w:val="single" w:color="auto" w:sz="8"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095" w:type="dxa"/>
            <w:tcBorders>
              <w:top w:val="nil"/>
              <w:left w:val="nil"/>
              <w:bottom w:val="single" w:color="auto" w:sz="8"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2" w:type="dxa"/>
            <w:tcBorders>
              <w:top w:val="nil"/>
              <w:left w:val="nil"/>
              <w:bottom w:val="single" w:color="auto" w:sz="8"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977" w:type="dxa"/>
            <w:tcBorders>
              <w:top w:val="nil"/>
              <w:left w:val="nil"/>
              <w:bottom w:val="single" w:color="auto" w:sz="8"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7" w:type="dxa"/>
            <w:tcBorders>
              <w:top w:val="nil"/>
              <w:left w:val="nil"/>
              <w:bottom w:val="single" w:color="auto" w:sz="8"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2135" w:type="dxa"/>
            <w:tcBorders>
              <w:top w:val="nil"/>
              <w:left w:val="nil"/>
              <w:bottom w:val="single" w:color="auto" w:sz="8"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897" w:type="dxa"/>
            <w:tcBorders>
              <w:top w:val="nil"/>
              <w:left w:val="nil"/>
              <w:bottom w:val="single" w:color="auto" w:sz="8" w:space="0"/>
              <w:right w:val="single" w:color="auto" w:sz="4"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c>
          <w:tcPr>
            <w:tcW w:w="1900" w:type="dxa"/>
            <w:tcBorders>
              <w:top w:val="nil"/>
              <w:left w:val="nil"/>
              <w:bottom w:val="single" w:color="auto" w:sz="8" w:space="0"/>
              <w:right w:val="single" w:color="auto" w:sz="8" w:space="0"/>
            </w:tcBorders>
            <w:noWrap w:val="0"/>
            <w:vAlign w:val="bottom"/>
          </w:tcPr>
          <w:p>
            <w:pPr>
              <w:jc w:val="left"/>
              <w:rPr>
                <w:rFonts w:cs="宋体"/>
                <w:color w:val="000000"/>
                <w:spacing w:val="-2"/>
                <w:kern w:val="0"/>
                <w:szCs w:val="21"/>
              </w:rPr>
            </w:pPr>
            <w:r>
              <w:rPr>
                <w:rFonts w:hint="eastAsia" w:hAnsi="Times New Roman" w:cs="宋体"/>
                <w:color w:val="000000"/>
                <w:spacing w:val="-2"/>
                <w:kern w:val="0"/>
                <w:szCs w:val="21"/>
              </w:rPr>
              <w:t>　</w:t>
            </w:r>
          </w:p>
        </w:tc>
      </w:tr>
    </w:tbl>
    <w:p>
      <w:pPr>
        <w:rPr>
          <w:color w:val="000000"/>
          <w:spacing w:val="-2"/>
        </w:rPr>
      </w:pPr>
    </w:p>
    <w:p>
      <w:pPr>
        <w:spacing w:line="460" w:lineRule="exact"/>
        <w:rPr>
          <w:rFonts w:ascii="Times New Roman" w:eastAsia="方正黑体_GBK"/>
          <w:color w:val="000000"/>
          <w:spacing w:val="-2"/>
          <w:sz w:val="28"/>
          <w:szCs w:val="28"/>
        </w:rPr>
      </w:pPr>
      <w:r>
        <w:rPr>
          <w:rFonts w:eastAsia="仿宋_GB2312"/>
          <w:color w:val="000000"/>
          <w:spacing w:val="-2"/>
          <w:kern w:val="0"/>
          <w:sz w:val="28"/>
          <w:szCs w:val="28"/>
        </w:rPr>
        <w:br w:type="column"/>
      </w:r>
      <w:r>
        <w:rPr>
          <w:rFonts w:hint="eastAsia" w:ascii="Times New Roman" w:eastAsia="方正黑体_GBK"/>
          <w:color w:val="000000"/>
          <w:spacing w:val="-2"/>
          <w:sz w:val="28"/>
          <w:szCs w:val="28"/>
        </w:rPr>
        <w:t>附件2：</w:t>
      </w:r>
    </w:p>
    <w:p>
      <w:pPr>
        <w:jc w:val="center"/>
        <w:rPr>
          <w:rFonts w:hint="eastAsia" w:eastAsia="方正黑体_GBK"/>
          <w:bCs/>
          <w:color w:val="000000"/>
          <w:spacing w:val="-2"/>
          <w:kern w:val="0"/>
          <w:sz w:val="28"/>
          <w:szCs w:val="28"/>
        </w:rPr>
      </w:pPr>
      <w:r>
        <w:rPr>
          <w:rFonts w:hint="eastAsia" w:eastAsia="方正黑体_GBK"/>
          <w:bCs/>
          <w:color w:val="000000"/>
          <w:spacing w:val="-2"/>
          <w:kern w:val="0"/>
          <w:sz w:val="28"/>
          <w:szCs w:val="28"/>
        </w:rPr>
        <w:t>全省城市公共供水企业水质信息公示情况调查表</w:t>
      </w:r>
    </w:p>
    <w:p>
      <w:pPr>
        <w:rPr>
          <w:rFonts w:eastAsia="方正仿宋_GBK"/>
          <w:color w:val="000000"/>
          <w:spacing w:val="-2"/>
          <w:szCs w:val="21"/>
        </w:rPr>
      </w:pPr>
      <w:r>
        <w:rPr>
          <w:rFonts w:hint="eastAsia" w:eastAsia="方正仿宋_GBK"/>
          <w:bCs/>
          <w:color w:val="000000"/>
          <w:spacing w:val="-2"/>
          <w:kern w:val="0"/>
          <w:szCs w:val="21"/>
        </w:rPr>
        <w:t>填表日期：</w:t>
      </w:r>
      <w:r>
        <w:rPr>
          <w:rFonts w:eastAsia="方正仿宋_GBK"/>
          <w:bCs/>
          <w:color w:val="000000"/>
          <w:spacing w:val="-2"/>
          <w:kern w:val="0"/>
          <w:szCs w:val="21"/>
        </w:rPr>
        <w:t xml:space="preserve">                                                    </w:t>
      </w:r>
      <w:r>
        <w:rPr>
          <w:rFonts w:hint="eastAsia" w:eastAsia="方正仿宋_GBK"/>
          <w:bCs/>
          <w:color w:val="000000"/>
          <w:spacing w:val="-2"/>
          <w:kern w:val="0"/>
          <w:szCs w:val="21"/>
        </w:rPr>
        <w:t>填表人：</w:t>
      </w:r>
      <w:r>
        <w:rPr>
          <w:rFonts w:eastAsia="方正仿宋_GBK"/>
          <w:bCs/>
          <w:color w:val="000000"/>
          <w:spacing w:val="-2"/>
          <w:kern w:val="0"/>
          <w:szCs w:val="21"/>
        </w:rPr>
        <w:t xml:space="preserve">                                          </w:t>
      </w:r>
      <w:r>
        <w:rPr>
          <w:rFonts w:hint="eastAsia" w:eastAsia="方正仿宋_GBK"/>
          <w:bCs/>
          <w:color w:val="000000"/>
          <w:spacing w:val="-2"/>
          <w:kern w:val="0"/>
          <w:szCs w:val="21"/>
        </w:rPr>
        <w:t>联系方式：</w:t>
      </w:r>
    </w:p>
    <w:tbl>
      <w:tblPr>
        <w:tblStyle w:val="12"/>
        <w:tblW w:w="0" w:type="auto"/>
        <w:tblInd w:w="108" w:type="dxa"/>
        <w:tblLayout w:type="fixed"/>
        <w:tblCellMar>
          <w:top w:w="0" w:type="dxa"/>
          <w:left w:w="108" w:type="dxa"/>
          <w:bottom w:w="0" w:type="dxa"/>
          <w:right w:w="108" w:type="dxa"/>
        </w:tblCellMar>
      </w:tblPr>
      <w:tblGrid>
        <w:gridCol w:w="862"/>
        <w:gridCol w:w="1758"/>
        <w:gridCol w:w="1574"/>
        <w:gridCol w:w="3463"/>
        <w:gridCol w:w="2170"/>
        <w:gridCol w:w="1954"/>
        <w:gridCol w:w="1886"/>
      </w:tblGrid>
      <w:tr>
        <w:tblPrEx>
          <w:tblCellMar>
            <w:top w:w="0" w:type="dxa"/>
            <w:left w:w="108" w:type="dxa"/>
            <w:bottom w:w="0" w:type="dxa"/>
            <w:right w:w="108" w:type="dxa"/>
          </w:tblCellMar>
        </w:tblPrEx>
        <w:trPr>
          <w:trHeight w:val="306" w:hRule="atLeast"/>
        </w:trPr>
        <w:tc>
          <w:tcPr>
            <w:tcW w:w="862" w:type="dxa"/>
            <w:tcBorders>
              <w:top w:val="single" w:color="auto" w:sz="8" w:space="0"/>
              <w:left w:val="single" w:color="auto" w:sz="8" w:space="0"/>
              <w:bottom w:val="single" w:color="auto" w:sz="4" w:space="0"/>
              <w:right w:val="single" w:color="auto" w:sz="4" w:space="0"/>
            </w:tcBorders>
            <w:noWrap w:val="0"/>
            <w:vAlign w:val="center"/>
          </w:tcPr>
          <w:p>
            <w:pPr>
              <w:spacing w:line="220" w:lineRule="exact"/>
              <w:jc w:val="center"/>
              <w:rPr>
                <w:rFonts w:ascii="Times New Roman" w:eastAsia="方正黑体_GBK"/>
                <w:bCs/>
                <w:color w:val="000000"/>
                <w:spacing w:val="-2"/>
                <w:kern w:val="0"/>
                <w:szCs w:val="21"/>
              </w:rPr>
            </w:pPr>
            <w:r>
              <w:rPr>
                <w:rFonts w:hint="eastAsia" w:ascii="Times New Roman" w:eastAsia="方正黑体_GBK"/>
                <w:bCs/>
                <w:color w:val="000000"/>
                <w:spacing w:val="-2"/>
                <w:kern w:val="0"/>
                <w:szCs w:val="21"/>
              </w:rPr>
              <w:t>省辖市</w:t>
            </w:r>
          </w:p>
        </w:tc>
        <w:tc>
          <w:tcPr>
            <w:tcW w:w="1758" w:type="dxa"/>
            <w:tcBorders>
              <w:top w:val="single" w:color="auto" w:sz="8" w:space="0"/>
              <w:left w:val="nil"/>
              <w:bottom w:val="single" w:color="auto" w:sz="4" w:space="0"/>
              <w:right w:val="single" w:color="auto" w:sz="4" w:space="0"/>
            </w:tcBorders>
            <w:noWrap w:val="0"/>
            <w:vAlign w:val="center"/>
          </w:tcPr>
          <w:p>
            <w:pPr>
              <w:spacing w:line="220" w:lineRule="exact"/>
              <w:jc w:val="center"/>
              <w:rPr>
                <w:rFonts w:ascii="Times New Roman" w:eastAsia="方正黑体_GBK"/>
                <w:bCs/>
                <w:color w:val="000000"/>
                <w:spacing w:val="-2"/>
                <w:kern w:val="0"/>
                <w:szCs w:val="21"/>
              </w:rPr>
            </w:pPr>
            <w:r>
              <w:rPr>
                <w:rFonts w:hint="eastAsia" w:ascii="Times New Roman" w:eastAsia="方正黑体_GBK"/>
                <w:bCs/>
                <w:color w:val="000000"/>
                <w:spacing w:val="-2"/>
                <w:kern w:val="0"/>
                <w:szCs w:val="21"/>
              </w:rPr>
              <w:t>县（市、区）</w:t>
            </w:r>
          </w:p>
        </w:tc>
        <w:tc>
          <w:tcPr>
            <w:tcW w:w="1574" w:type="dxa"/>
            <w:tcBorders>
              <w:top w:val="single" w:color="auto" w:sz="8" w:space="0"/>
              <w:left w:val="nil"/>
              <w:bottom w:val="single" w:color="auto" w:sz="4" w:space="0"/>
              <w:right w:val="single" w:color="auto" w:sz="4" w:space="0"/>
            </w:tcBorders>
            <w:noWrap w:val="0"/>
            <w:vAlign w:val="center"/>
          </w:tcPr>
          <w:p>
            <w:pPr>
              <w:spacing w:line="220" w:lineRule="exact"/>
              <w:jc w:val="center"/>
              <w:rPr>
                <w:rFonts w:ascii="Times New Roman" w:eastAsia="方正黑体_GBK"/>
                <w:bCs/>
                <w:color w:val="000000"/>
                <w:spacing w:val="-2"/>
                <w:kern w:val="0"/>
                <w:szCs w:val="21"/>
              </w:rPr>
            </w:pPr>
            <w:r>
              <w:rPr>
                <w:rFonts w:hint="eastAsia" w:ascii="Times New Roman" w:eastAsia="方正黑体_GBK"/>
                <w:bCs/>
                <w:color w:val="000000"/>
                <w:spacing w:val="-2"/>
                <w:kern w:val="0"/>
                <w:szCs w:val="21"/>
              </w:rPr>
              <w:t>水质类别</w:t>
            </w:r>
          </w:p>
        </w:tc>
        <w:tc>
          <w:tcPr>
            <w:tcW w:w="9473" w:type="dxa"/>
            <w:gridSpan w:val="4"/>
            <w:tcBorders>
              <w:top w:val="single" w:color="auto" w:sz="8" w:space="0"/>
              <w:left w:val="nil"/>
              <w:bottom w:val="single" w:color="auto" w:sz="4" w:space="0"/>
              <w:right w:val="single" w:color="auto" w:sz="8" w:space="0"/>
            </w:tcBorders>
            <w:noWrap w:val="0"/>
            <w:vAlign w:val="center"/>
          </w:tcPr>
          <w:p>
            <w:pPr>
              <w:spacing w:line="220" w:lineRule="exact"/>
              <w:jc w:val="center"/>
              <w:rPr>
                <w:rFonts w:ascii="Times New Roman" w:eastAsia="方正黑体_GBK"/>
                <w:bCs/>
                <w:color w:val="000000"/>
                <w:spacing w:val="-2"/>
                <w:kern w:val="0"/>
                <w:szCs w:val="21"/>
              </w:rPr>
            </w:pPr>
            <w:r>
              <w:rPr>
                <w:rFonts w:hint="eastAsia" w:ascii="Times New Roman" w:eastAsia="方正黑体_GBK"/>
                <w:bCs/>
                <w:color w:val="000000"/>
                <w:spacing w:val="-2"/>
                <w:kern w:val="0"/>
                <w:szCs w:val="21"/>
              </w:rPr>
              <w:t>城市公共供水企业</w:t>
            </w:r>
          </w:p>
        </w:tc>
      </w:tr>
      <w:tr>
        <w:tblPrEx>
          <w:tblCellMar>
            <w:top w:w="0" w:type="dxa"/>
            <w:left w:w="108" w:type="dxa"/>
            <w:bottom w:w="0" w:type="dxa"/>
            <w:right w:w="108" w:type="dxa"/>
          </w:tblCellMar>
        </w:tblPrEx>
        <w:trPr>
          <w:trHeight w:val="555" w:hRule="atLeast"/>
        </w:trPr>
        <w:tc>
          <w:tcPr>
            <w:tcW w:w="862" w:type="dxa"/>
            <w:vMerge w:val="restart"/>
            <w:tcBorders>
              <w:top w:val="nil"/>
              <w:left w:val="single" w:color="auto" w:sz="8" w:space="0"/>
              <w:bottom w:val="single" w:color="auto" w:sz="8" w:space="0"/>
              <w:right w:val="single" w:color="auto" w:sz="4" w:space="0"/>
            </w:tcBorders>
            <w:noWrap w:val="0"/>
            <w:vAlign w:val="bottom"/>
          </w:tcPr>
          <w:p>
            <w:pPr>
              <w:spacing w:line="220" w:lineRule="exact"/>
              <w:jc w:val="center"/>
              <w:rPr>
                <w:rFonts w:eastAsia="方正仿宋_GBK"/>
                <w:color w:val="000000"/>
                <w:spacing w:val="-2"/>
                <w:kern w:val="0"/>
                <w:szCs w:val="21"/>
              </w:rPr>
            </w:pPr>
            <w:r>
              <w:rPr>
                <w:rFonts w:hint="eastAsia" w:eastAsia="方正仿宋_GBK"/>
                <w:color w:val="000000"/>
                <w:spacing w:val="-2"/>
                <w:kern w:val="0"/>
                <w:szCs w:val="21"/>
              </w:rPr>
              <w:t>　</w:t>
            </w:r>
          </w:p>
        </w:tc>
        <w:tc>
          <w:tcPr>
            <w:tcW w:w="1758" w:type="dxa"/>
            <w:vMerge w:val="restart"/>
            <w:tcBorders>
              <w:top w:val="nil"/>
              <w:left w:val="single" w:color="auto" w:sz="4" w:space="0"/>
              <w:bottom w:val="single" w:color="000000" w:sz="4" w:space="0"/>
              <w:right w:val="single" w:color="auto" w:sz="4" w:space="0"/>
            </w:tcBorders>
            <w:noWrap w:val="0"/>
            <w:vAlign w:val="bottom"/>
          </w:tcPr>
          <w:p>
            <w:pPr>
              <w:spacing w:line="220" w:lineRule="exact"/>
              <w:jc w:val="center"/>
              <w:rPr>
                <w:rFonts w:eastAsia="方正仿宋_GBK"/>
                <w:color w:val="000000"/>
                <w:spacing w:val="-2"/>
                <w:kern w:val="0"/>
                <w:szCs w:val="21"/>
              </w:rPr>
            </w:pPr>
            <w:r>
              <w:rPr>
                <w:rFonts w:hint="eastAsia" w:eastAsia="方正仿宋_GBK"/>
                <w:color w:val="000000"/>
                <w:spacing w:val="-2"/>
                <w:kern w:val="0"/>
                <w:szCs w:val="21"/>
              </w:rPr>
              <w:t>　</w:t>
            </w:r>
          </w:p>
        </w:tc>
        <w:tc>
          <w:tcPr>
            <w:tcW w:w="1574" w:type="dxa"/>
            <w:vMerge w:val="restart"/>
            <w:tcBorders>
              <w:top w:val="nil"/>
              <w:left w:val="single" w:color="auto" w:sz="4" w:space="0"/>
              <w:bottom w:val="single" w:color="000000" w:sz="4" w:space="0"/>
              <w:right w:val="single" w:color="auto" w:sz="4" w:space="0"/>
            </w:tcBorders>
            <w:noWrap w:val="0"/>
            <w:vAlign w:val="center"/>
          </w:tcPr>
          <w:p>
            <w:pPr>
              <w:spacing w:line="220" w:lineRule="exact"/>
              <w:jc w:val="center"/>
              <w:rPr>
                <w:rFonts w:eastAsia="方正仿宋_GBK"/>
                <w:bCs/>
                <w:color w:val="000000"/>
                <w:spacing w:val="-2"/>
                <w:kern w:val="0"/>
                <w:szCs w:val="21"/>
              </w:rPr>
            </w:pPr>
            <w:r>
              <w:rPr>
                <w:rFonts w:hint="eastAsia" w:eastAsia="方正仿宋_GBK"/>
                <w:bCs/>
                <w:color w:val="000000"/>
                <w:spacing w:val="-2"/>
                <w:kern w:val="0"/>
                <w:szCs w:val="21"/>
              </w:rPr>
              <w:t>出厂水</w:t>
            </w:r>
          </w:p>
        </w:tc>
        <w:tc>
          <w:tcPr>
            <w:tcW w:w="3463" w:type="dxa"/>
            <w:tcBorders>
              <w:top w:val="nil"/>
              <w:left w:val="nil"/>
              <w:bottom w:val="single" w:color="auto" w:sz="4" w:space="0"/>
              <w:right w:val="single" w:color="auto" w:sz="4" w:space="0"/>
            </w:tcBorders>
            <w:noWrap w:val="0"/>
            <w:vAlign w:val="top"/>
          </w:tcPr>
          <w:p>
            <w:pPr>
              <w:spacing w:line="220" w:lineRule="exact"/>
              <w:jc w:val="left"/>
              <w:rPr>
                <w:rFonts w:eastAsia="方正仿宋_GBK"/>
                <w:bCs/>
                <w:color w:val="000000"/>
                <w:spacing w:val="-2"/>
                <w:kern w:val="0"/>
                <w:szCs w:val="21"/>
              </w:rPr>
            </w:pPr>
            <w:r>
              <w:rPr>
                <w:rFonts w:eastAsia="方正仿宋_GBK"/>
                <w:bCs/>
                <w:color w:val="000000"/>
                <w:spacing w:val="-2"/>
                <w:kern w:val="0"/>
                <w:szCs w:val="21"/>
              </w:rPr>
              <w:t xml:space="preserve">                       </w:t>
            </w:r>
            <w:r>
              <w:rPr>
                <w:rFonts w:hint="eastAsia" w:eastAsia="方正仿宋_GBK"/>
                <w:bCs/>
                <w:color w:val="000000"/>
                <w:spacing w:val="-2"/>
                <w:kern w:val="0"/>
                <w:szCs w:val="21"/>
              </w:rPr>
              <w:t>公示要求</w:t>
            </w:r>
          </w:p>
          <w:p>
            <w:pPr>
              <w:spacing w:line="220" w:lineRule="exact"/>
              <w:jc w:val="left"/>
              <w:rPr>
                <w:rFonts w:eastAsia="方正仿宋_GBK"/>
                <w:bCs/>
                <w:color w:val="000000"/>
                <w:spacing w:val="-2"/>
                <w:kern w:val="0"/>
                <w:szCs w:val="21"/>
              </w:rPr>
            </w:pPr>
            <w:r>
              <w:rPr>
                <w:rFonts w:hint="eastAsia" w:eastAsia="方正仿宋_GBK"/>
                <w:bCs/>
                <w:color w:val="000000"/>
                <w:spacing w:val="-2"/>
                <w:kern w:val="0"/>
                <w:szCs w:val="21"/>
              </w:rPr>
              <w:t>数据分类</w:t>
            </w:r>
          </w:p>
        </w:tc>
        <w:tc>
          <w:tcPr>
            <w:tcW w:w="2170" w:type="dxa"/>
            <w:tcBorders>
              <w:top w:val="nil"/>
              <w:left w:val="nil"/>
              <w:bottom w:val="single" w:color="auto" w:sz="4" w:space="0"/>
              <w:right w:val="single" w:color="auto" w:sz="4" w:space="0"/>
            </w:tcBorders>
            <w:noWrap w:val="0"/>
            <w:vAlign w:val="center"/>
          </w:tcPr>
          <w:p>
            <w:pPr>
              <w:spacing w:line="220" w:lineRule="exact"/>
              <w:jc w:val="center"/>
              <w:rPr>
                <w:rFonts w:eastAsia="方正仿宋_GBK"/>
                <w:bCs/>
                <w:color w:val="000000"/>
                <w:spacing w:val="-2"/>
                <w:kern w:val="0"/>
                <w:szCs w:val="21"/>
              </w:rPr>
            </w:pPr>
            <w:r>
              <w:rPr>
                <w:rFonts w:hint="eastAsia" w:eastAsia="方正仿宋_GBK"/>
                <w:bCs/>
                <w:color w:val="000000"/>
                <w:spacing w:val="-2"/>
                <w:kern w:val="0"/>
                <w:szCs w:val="21"/>
              </w:rPr>
              <w:t>公示形式</w:t>
            </w:r>
          </w:p>
        </w:tc>
        <w:tc>
          <w:tcPr>
            <w:tcW w:w="1954" w:type="dxa"/>
            <w:tcBorders>
              <w:top w:val="nil"/>
              <w:left w:val="nil"/>
              <w:bottom w:val="single" w:color="auto" w:sz="4" w:space="0"/>
              <w:right w:val="single" w:color="auto" w:sz="4" w:space="0"/>
            </w:tcBorders>
            <w:noWrap w:val="0"/>
            <w:vAlign w:val="center"/>
          </w:tcPr>
          <w:p>
            <w:pPr>
              <w:spacing w:line="220" w:lineRule="exact"/>
              <w:jc w:val="center"/>
              <w:rPr>
                <w:rFonts w:eastAsia="方正仿宋_GBK"/>
                <w:bCs/>
                <w:color w:val="000000"/>
                <w:spacing w:val="-2"/>
                <w:kern w:val="0"/>
                <w:szCs w:val="21"/>
              </w:rPr>
            </w:pPr>
            <w:r>
              <w:rPr>
                <w:rFonts w:hint="eastAsia" w:eastAsia="方正仿宋_GBK"/>
                <w:bCs/>
                <w:color w:val="000000"/>
                <w:spacing w:val="-2"/>
                <w:kern w:val="0"/>
                <w:szCs w:val="21"/>
              </w:rPr>
              <w:t>公示项目</w:t>
            </w:r>
          </w:p>
        </w:tc>
        <w:tc>
          <w:tcPr>
            <w:tcW w:w="1886" w:type="dxa"/>
            <w:tcBorders>
              <w:top w:val="nil"/>
              <w:left w:val="nil"/>
              <w:bottom w:val="single" w:color="auto" w:sz="4" w:space="0"/>
              <w:right w:val="single" w:color="auto" w:sz="8" w:space="0"/>
            </w:tcBorders>
            <w:noWrap w:val="0"/>
            <w:vAlign w:val="center"/>
          </w:tcPr>
          <w:p>
            <w:pPr>
              <w:spacing w:line="220" w:lineRule="exact"/>
              <w:jc w:val="center"/>
              <w:rPr>
                <w:rFonts w:eastAsia="方正仿宋_GBK"/>
                <w:bCs/>
                <w:color w:val="000000"/>
                <w:spacing w:val="-2"/>
                <w:kern w:val="0"/>
                <w:szCs w:val="21"/>
              </w:rPr>
            </w:pPr>
            <w:r>
              <w:rPr>
                <w:rFonts w:hint="eastAsia" w:eastAsia="方正仿宋_GBK"/>
                <w:bCs/>
                <w:color w:val="000000"/>
                <w:spacing w:val="-2"/>
                <w:kern w:val="0"/>
                <w:szCs w:val="21"/>
              </w:rPr>
              <w:t>公示频次</w:t>
            </w:r>
          </w:p>
        </w:tc>
      </w:tr>
      <w:tr>
        <w:tblPrEx>
          <w:tblCellMar>
            <w:top w:w="0" w:type="dxa"/>
            <w:left w:w="108" w:type="dxa"/>
            <w:bottom w:w="0" w:type="dxa"/>
            <w:right w:w="108" w:type="dxa"/>
          </w:tblCellMar>
        </w:tblPrEx>
        <w:trPr>
          <w:trHeight w:val="255" w:hRule="atLeast"/>
        </w:trPr>
        <w:tc>
          <w:tcPr>
            <w:tcW w:w="862" w:type="dxa"/>
            <w:vMerge w:val="continue"/>
            <w:tcBorders>
              <w:top w:val="nil"/>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758"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kern w:val="0"/>
                <w:szCs w:val="21"/>
              </w:rPr>
            </w:pPr>
          </w:p>
        </w:tc>
        <w:tc>
          <w:tcPr>
            <w:tcW w:w="1574"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bCs/>
                <w:color w:val="000000"/>
                <w:spacing w:val="-2"/>
                <w:kern w:val="0"/>
                <w:szCs w:val="21"/>
              </w:rPr>
            </w:pPr>
          </w:p>
        </w:tc>
        <w:tc>
          <w:tcPr>
            <w:tcW w:w="3463" w:type="dxa"/>
            <w:tcBorders>
              <w:top w:val="nil"/>
              <w:left w:val="nil"/>
              <w:bottom w:val="single" w:color="auto" w:sz="4" w:space="0"/>
              <w:right w:val="single" w:color="auto" w:sz="4" w:space="0"/>
            </w:tcBorders>
            <w:noWrap w:val="0"/>
            <w:vAlign w:val="center"/>
          </w:tcPr>
          <w:p>
            <w:pPr>
              <w:spacing w:line="220" w:lineRule="exact"/>
              <w:jc w:val="center"/>
              <w:rPr>
                <w:rFonts w:eastAsia="方正仿宋_GBK"/>
                <w:bCs/>
                <w:color w:val="000000"/>
                <w:spacing w:val="-2"/>
                <w:kern w:val="0"/>
                <w:szCs w:val="21"/>
              </w:rPr>
            </w:pPr>
            <w:r>
              <w:rPr>
                <w:rFonts w:hint="eastAsia" w:eastAsia="方正仿宋_GBK"/>
                <w:bCs/>
                <w:color w:val="000000"/>
                <w:spacing w:val="-2"/>
                <w:kern w:val="0"/>
                <w:szCs w:val="21"/>
              </w:rPr>
              <w:t>实时监测数据</w:t>
            </w:r>
          </w:p>
        </w:tc>
        <w:tc>
          <w:tcPr>
            <w:tcW w:w="2170" w:type="dxa"/>
            <w:tcBorders>
              <w:top w:val="nil"/>
              <w:left w:val="nil"/>
              <w:bottom w:val="single" w:color="auto" w:sz="4" w:space="0"/>
              <w:right w:val="single" w:color="auto" w:sz="4"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c>
          <w:tcPr>
            <w:tcW w:w="1954" w:type="dxa"/>
            <w:tcBorders>
              <w:top w:val="nil"/>
              <w:left w:val="nil"/>
              <w:bottom w:val="single" w:color="auto" w:sz="4" w:space="0"/>
              <w:right w:val="single" w:color="auto" w:sz="4"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c>
          <w:tcPr>
            <w:tcW w:w="1886" w:type="dxa"/>
            <w:tcBorders>
              <w:top w:val="nil"/>
              <w:left w:val="nil"/>
              <w:bottom w:val="single" w:color="auto" w:sz="4" w:space="0"/>
              <w:right w:val="single" w:color="auto" w:sz="8"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r>
      <w:tr>
        <w:tblPrEx>
          <w:tblCellMar>
            <w:top w:w="0" w:type="dxa"/>
            <w:left w:w="108" w:type="dxa"/>
            <w:bottom w:w="0" w:type="dxa"/>
            <w:right w:w="108" w:type="dxa"/>
          </w:tblCellMar>
        </w:tblPrEx>
        <w:trPr>
          <w:trHeight w:val="255" w:hRule="atLeast"/>
        </w:trPr>
        <w:tc>
          <w:tcPr>
            <w:tcW w:w="862" w:type="dxa"/>
            <w:vMerge w:val="continue"/>
            <w:tcBorders>
              <w:top w:val="nil"/>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758"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kern w:val="0"/>
                <w:szCs w:val="21"/>
              </w:rPr>
            </w:pPr>
          </w:p>
        </w:tc>
        <w:tc>
          <w:tcPr>
            <w:tcW w:w="1574"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bCs/>
                <w:color w:val="000000"/>
                <w:spacing w:val="-2"/>
                <w:kern w:val="0"/>
                <w:szCs w:val="21"/>
              </w:rPr>
            </w:pPr>
          </w:p>
        </w:tc>
        <w:tc>
          <w:tcPr>
            <w:tcW w:w="3463" w:type="dxa"/>
            <w:tcBorders>
              <w:top w:val="nil"/>
              <w:left w:val="nil"/>
              <w:bottom w:val="single" w:color="auto" w:sz="4" w:space="0"/>
              <w:right w:val="single" w:color="auto" w:sz="4" w:space="0"/>
            </w:tcBorders>
            <w:noWrap w:val="0"/>
            <w:vAlign w:val="center"/>
          </w:tcPr>
          <w:p>
            <w:pPr>
              <w:spacing w:line="220" w:lineRule="exact"/>
              <w:jc w:val="center"/>
              <w:rPr>
                <w:rFonts w:eastAsia="方正仿宋_GBK"/>
                <w:bCs/>
                <w:color w:val="000000"/>
                <w:spacing w:val="-2"/>
                <w:kern w:val="0"/>
                <w:szCs w:val="21"/>
              </w:rPr>
            </w:pPr>
            <w:r>
              <w:rPr>
                <w:rFonts w:hint="eastAsia" w:eastAsia="方正仿宋_GBK"/>
                <w:bCs/>
                <w:color w:val="000000"/>
                <w:spacing w:val="-2"/>
                <w:kern w:val="0"/>
                <w:szCs w:val="21"/>
              </w:rPr>
              <w:t>日检数据</w:t>
            </w:r>
          </w:p>
        </w:tc>
        <w:tc>
          <w:tcPr>
            <w:tcW w:w="2170" w:type="dxa"/>
            <w:tcBorders>
              <w:top w:val="nil"/>
              <w:left w:val="nil"/>
              <w:bottom w:val="single" w:color="auto" w:sz="4" w:space="0"/>
              <w:right w:val="single" w:color="auto" w:sz="4"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c>
          <w:tcPr>
            <w:tcW w:w="1954" w:type="dxa"/>
            <w:tcBorders>
              <w:top w:val="nil"/>
              <w:left w:val="nil"/>
              <w:bottom w:val="single" w:color="auto" w:sz="4" w:space="0"/>
              <w:right w:val="single" w:color="auto" w:sz="4"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c>
          <w:tcPr>
            <w:tcW w:w="1886" w:type="dxa"/>
            <w:tcBorders>
              <w:top w:val="nil"/>
              <w:left w:val="nil"/>
              <w:bottom w:val="single" w:color="auto" w:sz="4" w:space="0"/>
              <w:right w:val="single" w:color="auto" w:sz="8"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r>
      <w:tr>
        <w:tblPrEx>
          <w:tblCellMar>
            <w:top w:w="0" w:type="dxa"/>
            <w:left w:w="108" w:type="dxa"/>
            <w:bottom w:w="0" w:type="dxa"/>
            <w:right w:w="108" w:type="dxa"/>
          </w:tblCellMar>
        </w:tblPrEx>
        <w:trPr>
          <w:trHeight w:val="255" w:hRule="atLeast"/>
        </w:trPr>
        <w:tc>
          <w:tcPr>
            <w:tcW w:w="862" w:type="dxa"/>
            <w:vMerge w:val="continue"/>
            <w:tcBorders>
              <w:top w:val="nil"/>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758"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kern w:val="0"/>
                <w:szCs w:val="21"/>
              </w:rPr>
            </w:pPr>
          </w:p>
        </w:tc>
        <w:tc>
          <w:tcPr>
            <w:tcW w:w="1574"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bCs/>
                <w:color w:val="000000"/>
                <w:spacing w:val="-2"/>
                <w:kern w:val="0"/>
                <w:szCs w:val="21"/>
              </w:rPr>
            </w:pPr>
          </w:p>
        </w:tc>
        <w:tc>
          <w:tcPr>
            <w:tcW w:w="3463" w:type="dxa"/>
            <w:tcBorders>
              <w:top w:val="nil"/>
              <w:left w:val="nil"/>
              <w:bottom w:val="single" w:color="auto" w:sz="4" w:space="0"/>
              <w:right w:val="single" w:color="auto" w:sz="4" w:space="0"/>
            </w:tcBorders>
            <w:noWrap w:val="0"/>
            <w:vAlign w:val="center"/>
          </w:tcPr>
          <w:p>
            <w:pPr>
              <w:spacing w:line="220" w:lineRule="exact"/>
              <w:jc w:val="center"/>
              <w:rPr>
                <w:rFonts w:eastAsia="方正仿宋_GBK"/>
                <w:bCs/>
                <w:color w:val="000000"/>
                <w:spacing w:val="-2"/>
                <w:kern w:val="0"/>
                <w:szCs w:val="21"/>
              </w:rPr>
            </w:pPr>
            <w:r>
              <w:rPr>
                <w:rFonts w:hint="eastAsia" w:eastAsia="方正仿宋_GBK"/>
                <w:bCs/>
                <w:color w:val="000000"/>
                <w:spacing w:val="-2"/>
                <w:kern w:val="0"/>
                <w:szCs w:val="21"/>
              </w:rPr>
              <w:t>月检数据</w:t>
            </w:r>
          </w:p>
        </w:tc>
        <w:tc>
          <w:tcPr>
            <w:tcW w:w="2170" w:type="dxa"/>
            <w:tcBorders>
              <w:top w:val="nil"/>
              <w:left w:val="nil"/>
              <w:bottom w:val="single" w:color="auto" w:sz="4" w:space="0"/>
              <w:right w:val="single" w:color="auto" w:sz="4"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c>
          <w:tcPr>
            <w:tcW w:w="1954" w:type="dxa"/>
            <w:tcBorders>
              <w:top w:val="nil"/>
              <w:left w:val="nil"/>
              <w:bottom w:val="single" w:color="auto" w:sz="4" w:space="0"/>
              <w:right w:val="single" w:color="auto" w:sz="4"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c>
          <w:tcPr>
            <w:tcW w:w="1886" w:type="dxa"/>
            <w:tcBorders>
              <w:top w:val="nil"/>
              <w:left w:val="nil"/>
              <w:bottom w:val="single" w:color="auto" w:sz="4" w:space="0"/>
              <w:right w:val="single" w:color="auto" w:sz="8"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r>
      <w:tr>
        <w:tblPrEx>
          <w:tblCellMar>
            <w:top w:w="0" w:type="dxa"/>
            <w:left w:w="108" w:type="dxa"/>
            <w:bottom w:w="0" w:type="dxa"/>
            <w:right w:w="108" w:type="dxa"/>
          </w:tblCellMar>
        </w:tblPrEx>
        <w:trPr>
          <w:trHeight w:val="255" w:hRule="atLeast"/>
        </w:trPr>
        <w:tc>
          <w:tcPr>
            <w:tcW w:w="862" w:type="dxa"/>
            <w:vMerge w:val="continue"/>
            <w:tcBorders>
              <w:top w:val="nil"/>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758"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kern w:val="0"/>
                <w:szCs w:val="21"/>
              </w:rPr>
            </w:pPr>
          </w:p>
        </w:tc>
        <w:tc>
          <w:tcPr>
            <w:tcW w:w="1574"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bCs/>
                <w:color w:val="000000"/>
                <w:spacing w:val="-2"/>
                <w:kern w:val="0"/>
                <w:szCs w:val="21"/>
              </w:rPr>
            </w:pPr>
          </w:p>
        </w:tc>
        <w:tc>
          <w:tcPr>
            <w:tcW w:w="3463" w:type="dxa"/>
            <w:tcBorders>
              <w:top w:val="nil"/>
              <w:left w:val="nil"/>
              <w:bottom w:val="single" w:color="auto" w:sz="4" w:space="0"/>
              <w:right w:val="single" w:color="auto" w:sz="4" w:space="0"/>
            </w:tcBorders>
            <w:noWrap w:val="0"/>
            <w:vAlign w:val="center"/>
          </w:tcPr>
          <w:p>
            <w:pPr>
              <w:spacing w:line="220" w:lineRule="exact"/>
              <w:jc w:val="center"/>
              <w:rPr>
                <w:rFonts w:eastAsia="方正仿宋_GBK"/>
                <w:bCs/>
                <w:color w:val="000000"/>
                <w:spacing w:val="-2"/>
                <w:kern w:val="0"/>
                <w:szCs w:val="21"/>
              </w:rPr>
            </w:pPr>
            <w:r>
              <w:rPr>
                <w:rFonts w:eastAsia="方正仿宋_GBK"/>
                <w:bCs/>
                <w:color w:val="000000"/>
                <w:spacing w:val="-2"/>
                <w:kern w:val="0"/>
                <w:szCs w:val="21"/>
              </w:rPr>
              <w:t>106</w:t>
            </w:r>
            <w:r>
              <w:rPr>
                <w:rFonts w:hint="eastAsia" w:eastAsia="方正仿宋_GBK"/>
                <w:bCs/>
                <w:color w:val="000000"/>
                <w:spacing w:val="-2"/>
                <w:kern w:val="0"/>
                <w:szCs w:val="21"/>
              </w:rPr>
              <w:t>项全分析数据</w:t>
            </w:r>
          </w:p>
        </w:tc>
        <w:tc>
          <w:tcPr>
            <w:tcW w:w="2170" w:type="dxa"/>
            <w:tcBorders>
              <w:top w:val="nil"/>
              <w:left w:val="nil"/>
              <w:bottom w:val="single" w:color="auto" w:sz="4" w:space="0"/>
              <w:right w:val="single" w:color="auto" w:sz="4"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c>
          <w:tcPr>
            <w:tcW w:w="1954" w:type="dxa"/>
            <w:tcBorders>
              <w:top w:val="nil"/>
              <w:left w:val="nil"/>
              <w:bottom w:val="single" w:color="auto" w:sz="4" w:space="0"/>
              <w:right w:val="single" w:color="auto" w:sz="4"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c>
          <w:tcPr>
            <w:tcW w:w="1886" w:type="dxa"/>
            <w:tcBorders>
              <w:top w:val="nil"/>
              <w:left w:val="nil"/>
              <w:bottom w:val="single" w:color="auto" w:sz="4" w:space="0"/>
              <w:right w:val="single" w:color="auto" w:sz="8"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r>
      <w:tr>
        <w:tblPrEx>
          <w:tblCellMar>
            <w:top w:w="0" w:type="dxa"/>
            <w:left w:w="108" w:type="dxa"/>
            <w:bottom w:w="0" w:type="dxa"/>
            <w:right w:w="108" w:type="dxa"/>
          </w:tblCellMar>
        </w:tblPrEx>
        <w:trPr>
          <w:trHeight w:val="578" w:hRule="atLeast"/>
        </w:trPr>
        <w:tc>
          <w:tcPr>
            <w:tcW w:w="862" w:type="dxa"/>
            <w:vMerge w:val="continue"/>
            <w:tcBorders>
              <w:top w:val="nil"/>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758"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kern w:val="0"/>
                <w:szCs w:val="21"/>
              </w:rPr>
            </w:pPr>
          </w:p>
        </w:tc>
        <w:tc>
          <w:tcPr>
            <w:tcW w:w="1574" w:type="dxa"/>
            <w:vMerge w:val="restart"/>
            <w:tcBorders>
              <w:top w:val="nil"/>
              <w:left w:val="single" w:color="auto" w:sz="4" w:space="0"/>
              <w:bottom w:val="single" w:color="000000" w:sz="4" w:space="0"/>
              <w:right w:val="single" w:color="auto" w:sz="4" w:space="0"/>
            </w:tcBorders>
            <w:noWrap w:val="0"/>
            <w:vAlign w:val="center"/>
          </w:tcPr>
          <w:p>
            <w:pPr>
              <w:spacing w:line="220" w:lineRule="exact"/>
              <w:jc w:val="center"/>
              <w:rPr>
                <w:rFonts w:eastAsia="方正仿宋_GBK"/>
                <w:bCs/>
                <w:color w:val="000000"/>
                <w:spacing w:val="-2"/>
                <w:kern w:val="0"/>
                <w:szCs w:val="21"/>
              </w:rPr>
            </w:pPr>
            <w:r>
              <w:rPr>
                <w:rFonts w:hint="eastAsia" w:eastAsia="方正仿宋_GBK"/>
                <w:bCs/>
                <w:color w:val="000000"/>
                <w:spacing w:val="-2"/>
                <w:kern w:val="0"/>
                <w:szCs w:val="21"/>
              </w:rPr>
              <w:t>管网水</w:t>
            </w:r>
          </w:p>
          <w:p>
            <w:pPr>
              <w:spacing w:line="220" w:lineRule="exact"/>
              <w:jc w:val="center"/>
              <w:rPr>
                <w:rFonts w:eastAsia="方正仿宋_GBK"/>
                <w:bCs/>
                <w:color w:val="000000"/>
                <w:spacing w:val="-2"/>
                <w:kern w:val="0"/>
                <w:szCs w:val="21"/>
              </w:rPr>
            </w:pPr>
            <w:r>
              <w:rPr>
                <w:rFonts w:hint="eastAsia" w:eastAsia="方正仿宋_GBK"/>
                <w:bCs/>
                <w:color w:val="000000"/>
                <w:spacing w:val="-2"/>
                <w:kern w:val="0"/>
                <w:szCs w:val="21"/>
              </w:rPr>
              <w:t>（含管网末梢水）</w:t>
            </w:r>
          </w:p>
        </w:tc>
        <w:tc>
          <w:tcPr>
            <w:tcW w:w="3463" w:type="dxa"/>
            <w:tcBorders>
              <w:top w:val="nil"/>
              <w:left w:val="nil"/>
              <w:bottom w:val="single" w:color="auto" w:sz="4" w:space="0"/>
              <w:right w:val="single" w:color="auto" w:sz="4" w:space="0"/>
            </w:tcBorders>
            <w:noWrap w:val="0"/>
            <w:vAlign w:val="top"/>
          </w:tcPr>
          <w:p>
            <w:pPr>
              <w:spacing w:line="220" w:lineRule="exact"/>
              <w:jc w:val="left"/>
              <w:rPr>
                <w:rFonts w:eastAsia="方正仿宋_GBK"/>
                <w:bCs/>
                <w:color w:val="000000"/>
                <w:spacing w:val="-2"/>
                <w:kern w:val="0"/>
                <w:szCs w:val="21"/>
              </w:rPr>
            </w:pPr>
            <w:r>
              <w:rPr>
                <w:rFonts w:eastAsia="方正仿宋_GBK"/>
                <w:bCs/>
                <w:color w:val="000000"/>
                <w:spacing w:val="-2"/>
                <w:kern w:val="0"/>
                <w:szCs w:val="21"/>
              </w:rPr>
              <w:t xml:space="preserve">                       </w:t>
            </w:r>
            <w:r>
              <w:rPr>
                <w:rFonts w:hint="eastAsia" w:eastAsia="方正仿宋_GBK"/>
                <w:bCs/>
                <w:color w:val="000000"/>
                <w:spacing w:val="-2"/>
                <w:kern w:val="0"/>
                <w:szCs w:val="21"/>
              </w:rPr>
              <w:t>公示要求</w:t>
            </w:r>
          </w:p>
          <w:p>
            <w:pPr>
              <w:spacing w:line="220" w:lineRule="exact"/>
              <w:jc w:val="left"/>
              <w:rPr>
                <w:rFonts w:eastAsia="方正仿宋_GBK"/>
                <w:bCs/>
                <w:color w:val="000000"/>
                <w:spacing w:val="-2"/>
                <w:kern w:val="0"/>
                <w:szCs w:val="21"/>
              </w:rPr>
            </w:pPr>
            <w:r>
              <w:rPr>
                <w:rFonts w:hint="eastAsia" w:eastAsia="方正仿宋_GBK"/>
                <w:bCs/>
                <w:color w:val="000000"/>
                <w:spacing w:val="-2"/>
                <w:kern w:val="0"/>
                <w:szCs w:val="21"/>
              </w:rPr>
              <w:t>数据分类</w:t>
            </w:r>
          </w:p>
        </w:tc>
        <w:tc>
          <w:tcPr>
            <w:tcW w:w="2170" w:type="dxa"/>
            <w:tcBorders>
              <w:top w:val="nil"/>
              <w:left w:val="nil"/>
              <w:bottom w:val="single" w:color="auto" w:sz="4" w:space="0"/>
              <w:right w:val="single" w:color="auto" w:sz="4" w:space="0"/>
            </w:tcBorders>
            <w:noWrap w:val="0"/>
            <w:vAlign w:val="center"/>
          </w:tcPr>
          <w:p>
            <w:pPr>
              <w:spacing w:line="220" w:lineRule="exact"/>
              <w:jc w:val="center"/>
              <w:rPr>
                <w:rFonts w:eastAsia="方正仿宋_GBK"/>
                <w:bCs/>
                <w:color w:val="000000"/>
                <w:spacing w:val="-2"/>
                <w:kern w:val="0"/>
                <w:szCs w:val="21"/>
              </w:rPr>
            </w:pPr>
            <w:r>
              <w:rPr>
                <w:rFonts w:hint="eastAsia" w:eastAsia="方正仿宋_GBK"/>
                <w:bCs/>
                <w:color w:val="000000"/>
                <w:spacing w:val="-2"/>
                <w:kern w:val="0"/>
                <w:szCs w:val="21"/>
              </w:rPr>
              <w:t>公示形式</w:t>
            </w:r>
          </w:p>
        </w:tc>
        <w:tc>
          <w:tcPr>
            <w:tcW w:w="1954" w:type="dxa"/>
            <w:tcBorders>
              <w:top w:val="nil"/>
              <w:left w:val="nil"/>
              <w:bottom w:val="single" w:color="auto" w:sz="4" w:space="0"/>
              <w:right w:val="single" w:color="auto" w:sz="4" w:space="0"/>
            </w:tcBorders>
            <w:noWrap w:val="0"/>
            <w:vAlign w:val="center"/>
          </w:tcPr>
          <w:p>
            <w:pPr>
              <w:spacing w:line="220" w:lineRule="exact"/>
              <w:jc w:val="center"/>
              <w:rPr>
                <w:rFonts w:eastAsia="方正仿宋_GBK"/>
                <w:bCs/>
                <w:color w:val="000000"/>
                <w:spacing w:val="-2"/>
                <w:kern w:val="0"/>
                <w:szCs w:val="21"/>
              </w:rPr>
            </w:pPr>
            <w:r>
              <w:rPr>
                <w:rFonts w:hint="eastAsia" w:eastAsia="方正仿宋_GBK"/>
                <w:bCs/>
                <w:color w:val="000000"/>
                <w:spacing w:val="-2"/>
                <w:kern w:val="0"/>
                <w:szCs w:val="21"/>
              </w:rPr>
              <w:t>公示项目</w:t>
            </w:r>
          </w:p>
        </w:tc>
        <w:tc>
          <w:tcPr>
            <w:tcW w:w="1886" w:type="dxa"/>
            <w:tcBorders>
              <w:top w:val="nil"/>
              <w:left w:val="nil"/>
              <w:bottom w:val="single" w:color="auto" w:sz="4" w:space="0"/>
              <w:right w:val="single" w:color="auto" w:sz="8" w:space="0"/>
            </w:tcBorders>
            <w:noWrap w:val="0"/>
            <w:vAlign w:val="center"/>
          </w:tcPr>
          <w:p>
            <w:pPr>
              <w:spacing w:line="220" w:lineRule="exact"/>
              <w:jc w:val="center"/>
              <w:rPr>
                <w:rFonts w:eastAsia="方正仿宋_GBK"/>
                <w:bCs/>
                <w:color w:val="000000"/>
                <w:spacing w:val="-2"/>
                <w:kern w:val="0"/>
                <w:szCs w:val="21"/>
              </w:rPr>
            </w:pPr>
            <w:r>
              <w:rPr>
                <w:rFonts w:hint="eastAsia" w:eastAsia="方正仿宋_GBK"/>
                <w:bCs/>
                <w:color w:val="000000"/>
                <w:spacing w:val="-2"/>
                <w:kern w:val="0"/>
                <w:szCs w:val="21"/>
              </w:rPr>
              <w:t>公示频次</w:t>
            </w:r>
          </w:p>
        </w:tc>
      </w:tr>
      <w:tr>
        <w:tblPrEx>
          <w:tblCellMar>
            <w:top w:w="0" w:type="dxa"/>
            <w:left w:w="108" w:type="dxa"/>
            <w:bottom w:w="0" w:type="dxa"/>
            <w:right w:w="108" w:type="dxa"/>
          </w:tblCellMar>
        </w:tblPrEx>
        <w:trPr>
          <w:trHeight w:val="306" w:hRule="atLeast"/>
        </w:trPr>
        <w:tc>
          <w:tcPr>
            <w:tcW w:w="862" w:type="dxa"/>
            <w:vMerge w:val="continue"/>
            <w:tcBorders>
              <w:top w:val="nil"/>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758"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kern w:val="0"/>
                <w:szCs w:val="21"/>
              </w:rPr>
            </w:pPr>
          </w:p>
        </w:tc>
        <w:tc>
          <w:tcPr>
            <w:tcW w:w="1574"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bCs/>
                <w:color w:val="000000"/>
                <w:spacing w:val="-2"/>
                <w:kern w:val="0"/>
                <w:szCs w:val="21"/>
              </w:rPr>
            </w:pPr>
          </w:p>
        </w:tc>
        <w:tc>
          <w:tcPr>
            <w:tcW w:w="3463" w:type="dxa"/>
            <w:tcBorders>
              <w:top w:val="nil"/>
              <w:left w:val="nil"/>
              <w:bottom w:val="single" w:color="auto" w:sz="4" w:space="0"/>
              <w:right w:val="single" w:color="auto" w:sz="4" w:space="0"/>
            </w:tcBorders>
            <w:noWrap w:val="0"/>
            <w:vAlign w:val="center"/>
          </w:tcPr>
          <w:p>
            <w:pPr>
              <w:spacing w:line="220" w:lineRule="exact"/>
              <w:jc w:val="center"/>
              <w:rPr>
                <w:rFonts w:eastAsia="方正仿宋_GBK"/>
                <w:bCs/>
                <w:color w:val="000000"/>
                <w:spacing w:val="-2"/>
                <w:kern w:val="0"/>
                <w:szCs w:val="21"/>
              </w:rPr>
            </w:pPr>
            <w:r>
              <w:rPr>
                <w:rFonts w:hint="eastAsia" w:eastAsia="方正仿宋_GBK"/>
                <w:bCs/>
                <w:color w:val="000000"/>
                <w:spacing w:val="-2"/>
                <w:kern w:val="0"/>
                <w:szCs w:val="21"/>
              </w:rPr>
              <w:t>实时监测数据</w:t>
            </w:r>
          </w:p>
        </w:tc>
        <w:tc>
          <w:tcPr>
            <w:tcW w:w="2170" w:type="dxa"/>
            <w:tcBorders>
              <w:top w:val="nil"/>
              <w:left w:val="nil"/>
              <w:bottom w:val="single" w:color="auto" w:sz="4" w:space="0"/>
              <w:right w:val="single" w:color="auto" w:sz="4"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c>
          <w:tcPr>
            <w:tcW w:w="1954" w:type="dxa"/>
            <w:tcBorders>
              <w:top w:val="nil"/>
              <w:left w:val="nil"/>
              <w:bottom w:val="single" w:color="auto" w:sz="4" w:space="0"/>
              <w:right w:val="single" w:color="auto" w:sz="4"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c>
          <w:tcPr>
            <w:tcW w:w="1886" w:type="dxa"/>
            <w:tcBorders>
              <w:top w:val="nil"/>
              <w:left w:val="nil"/>
              <w:bottom w:val="single" w:color="auto" w:sz="4" w:space="0"/>
              <w:right w:val="single" w:color="auto" w:sz="8"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r>
      <w:tr>
        <w:tblPrEx>
          <w:tblCellMar>
            <w:top w:w="0" w:type="dxa"/>
            <w:left w:w="108" w:type="dxa"/>
            <w:bottom w:w="0" w:type="dxa"/>
            <w:right w:w="108" w:type="dxa"/>
          </w:tblCellMar>
        </w:tblPrEx>
        <w:trPr>
          <w:trHeight w:val="306" w:hRule="atLeast"/>
        </w:trPr>
        <w:tc>
          <w:tcPr>
            <w:tcW w:w="862" w:type="dxa"/>
            <w:vMerge w:val="continue"/>
            <w:tcBorders>
              <w:top w:val="nil"/>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758"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kern w:val="0"/>
                <w:szCs w:val="21"/>
              </w:rPr>
            </w:pPr>
          </w:p>
        </w:tc>
        <w:tc>
          <w:tcPr>
            <w:tcW w:w="1574"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bCs/>
                <w:color w:val="000000"/>
                <w:spacing w:val="-2"/>
                <w:kern w:val="0"/>
                <w:szCs w:val="21"/>
              </w:rPr>
            </w:pPr>
          </w:p>
        </w:tc>
        <w:tc>
          <w:tcPr>
            <w:tcW w:w="3463" w:type="dxa"/>
            <w:tcBorders>
              <w:top w:val="nil"/>
              <w:left w:val="nil"/>
              <w:bottom w:val="single" w:color="auto" w:sz="4" w:space="0"/>
              <w:right w:val="single" w:color="auto" w:sz="4" w:space="0"/>
            </w:tcBorders>
            <w:noWrap w:val="0"/>
            <w:vAlign w:val="center"/>
          </w:tcPr>
          <w:p>
            <w:pPr>
              <w:spacing w:line="220" w:lineRule="exact"/>
              <w:jc w:val="center"/>
              <w:rPr>
                <w:rFonts w:eastAsia="方正仿宋_GBK"/>
                <w:bCs/>
                <w:color w:val="000000"/>
                <w:spacing w:val="-2"/>
                <w:kern w:val="0"/>
                <w:szCs w:val="21"/>
              </w:rPr>
            </w:pPr>
            <w:r>
              <w:rPr>
                <w:rFonts w:hint="eastAsia" w:eastAsia="方正仿宋_GBK"/>
                <w:bCs/>
                <w:color w:val="000000"/>
                <w:spacing w:val="-2"/>
                <w:kern w:val="0"/>
                <w:szCs w:val="21"/>
              </w:rPr>
              <w:t>日检数据</w:t>
            </w:r>
          </w:p>
        </w:tc>
        <w:tc>
          <w:tcPr>
            <w:tcW w:w="2170" w:type="dxa"/>
            <w:tcBorders>
              <w:top w:val="nil"/>
              <w:left w:val="nil"/>
              <w:bottom w:val="single" w:color="auto" w:sz="4" w:space="0"/>
              <w:right w:val="single" w:color="auto" w:sz="4"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c>
          <w:tcPr>
            <w:tcW w:w="1954" w:type="dxa"/>
            <w:tcBorders>
              <w:top w:val="nil"/>
              <w:left w:val="nil"/>
              <w:bottom w:val="single" w:color="auto" w:sz="4" w:space="0"/>
              <w:right w:val="single" w:color="auto" w:sz="4"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c>
          <w:tcPr>
            <w:tcW w:w="1886" w:type="dxa"/>
            <w:tcBorders>
              <w:top w:val="nil"/>
              <w:left w:val="nil"/>
              <w:bottom w:val="single" w:color="auto" w:sz="4" w:space="0"/>
              <w:right w:val="single" w:color="auto" w:sz="8"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r>
      <w:tr>
        <w:tblPrEx>
          <w:tblCellMar>
            <w:top w:w="0" w:type="dxa"/>
            <w:left w:w="108" w:type="dxa"/>
            <w:bottom w:w="0" w:type="dxa"/>
            <w:right w:w="108" w:type="dxa"/>
          </w:tblCellMar>
        </w:tblPrEx>
        <w:trPr>
          <w:trHeight w:val="306" w:hRule="atLeast"/>
        </w:trPr>
        <w:tc>
          <w:tcPr>
            <w:tcW w:w="862" w:type="dxa"/>
            <w:vMerge w:val="continue"/>
            <w:tcBorders>
              <w:top w:val="nil"/>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758"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kern w:val="0"/>
                <w:szCs w:val="21"/>
              </w:rPr>
            </w:pPr>
          </w:p>
        </w:tc>
        <w:tc>
          <w:tcPr>
            <w:tcW w:w="1574"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bCs/>
                <w:color w:val="000000"/>
                <w:spacing w:val="-2"/>
                <w:kern w:val="0"/>
                <w:szCs w:val="21"/>
              </w:rPr>
            </w:pPr>
          </w:p>
        </w:tc>
        <w:tc>
          <w:tcPr>
            <w:tcW w:w="3463" w:type="dxa"/>
            <w:tcBorders>
              <w:top w:val="nil"/>
              <w:left w:val="nil"/>
              <w:bottom w:val="single" w:color="auto" w:sz="4" w:space="0"/>
              <w:right w:val="single" w:color="auto" w:sz="4" w:space="0"/>
            </w:tcBorders>
            <w:noWrap w:val="0"/>
            <w:vAlign w:val="center"/>
          </w:tcPr>
          <w:p>
            <w:pPr>
              <w:spacing w:line="220" w:lineRule="exact"/>
              <w:jc w:val="center"/>
              <w:rPr>
                <w:rFonts w:eastAsia="方正仿宋_GBK"/>
                <w:bCs/>
                <w:color w:val="000000"/>
                <w:spacing w:val="-2"/>
                <w:kern w:val="0"/>
                <w:szCs w:val="21"/>
              </w:rPr>
            </w:pPr>
            <w:r>
              <w:rPr>
                <w:rFonts w:hint="eastAsia" w:eastAsia="方正仿宋_GBK"/>
                <w:bCs/>
                <w:color w:val="000000"/>
                <w:spacing w:val="-2"/>
                <w:kern w:val="0"/>
                <w:szCs w:val="21"/>
              </w:rPr>
              <w:t>月检数据</w:t>
            </w:r>
          </w:p>
        </w:tc>
        <w:tc>
          <w:tcPr>
            <w:tcW w:w="2170" w:type="dxa"/>
            <w:tcBorders>
              <w:top w:val="nil"/>
              <w:left w:val="nil"/>
              <w:bottom w:val="single" w:color="auto" w:sz="4" w:space="0"/>
              <w:right w:val="single" w:color="auto" w:sz="4"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c>
          <w:tcPr>
            <w:tcW w:w="1954" w:type="dxa"/>
            <w:tcBorders>
              <w:top w:val="nil"/>
              <w:left w:val="nil"/>
              <w:bottom w:val="single" w:color="auto" w:sz="4" w:space="0"/>
              <w:right w:val="single" w:color="auto" w:sz="4"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c>
          <w:tcPr>
            <w:tcW w:w="1886" w:type="dxa"/>
            <w:tcBorders>
              <w:top w:val="nil"/>
              <w:left w:val="nil"/>
              <w:bottom w:val="single" w:color="auto" w:sz="4" w:space="0"/>
              <w:right w:val="single" w:color="auto" w:sz="8"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r>
      <w:tr>
        <w:tblPrEx>
          <w:tblCellMar>
            <w:top w:w="0" w:type="dxa"/>
            <w:left w:w="108" w:type="dxa"/>
            <w:bottom w:w="0" w:type="dxa"/>
            <w:right w:w="108" w:type="dxa"/>
          </w:tblCellMar>
        </w:tblPrEx>
        <w:trPr>
          <w:trHeight w:val="306" w:hRule="atLeast"/>
        </w:trPr>
        <w:tc>
          <w:tcPr>
            <w:tcW w:w="862" w:type="dxa"/>
            <w:vMerge w:val="continue"/>
            <w:tcBorders>
              <w:top w:val="nil"/>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758"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kern w:val="0"/>
                <w:szCs w:val="21"/>
              </w:rPr>
            </w:pPr>
          </w:p>
        </w:tc>
        <w:tc>
          <w:tcPr>
            <w:tcW w:w="1574"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bCs/>
                <w:color w:val="000000"/>
                <w:spacing w:val="-2"/>
                <w:kern w:val="0"/>
                <w:szCs w:val="21"/>
              </w:rPr>
            </w:pPr>
          </w:p>
        </w:tc>
        <w:tc>
          <w:tcPr>
            <w:tcW w:w="3463" w:type="dxa"/>
            <w:tcBorders>
              <w:top w:val="nil"/>
              <w:left w:val="nil"/>
              <w:bottom w:val="single" w:color="auto" w:sz="4" w:space="0"/>
              <w:right w:val="single" w:color="auto" w:sz="4" w:space="0"/>
            </w:tcBorders>
            <w:noWrap w:val="0"/>
            <w:vAlign w:val="center"/>
          </w:tcPr>
          <w:p>
            <w:pPr>
              <w:spacing w:line="220" w:lineRule="exact"/>
              <w:jc w:val="center"/>
              <w:rPr>
                <w:rFonts w:eastAsia="方正仿宋_GBK"/>
                <w:bCs/>
                <w:color w:val="000000"/>
                <w:spacing w:val="-2"/>
                <w:kern w:val="0"/>
                <w:szCs w:val="21"/>
              </w:rPr>
            </w:pPr>
            <w:r>
              <w:rPr>
                <w:rFonts w:eastAsia="方正仿宋_GBK"/>
                <w:bCs/>
                <w:color w:val="000000"/>
                <w:spacing w:val="-2"/>
                <w:kern w:val="0"/>
                <w:szCs w:val="21"/>
              </w:rPr>
              <w:t>106</w:t>
            </w:r>
            <w:r>
              <w:rPr>
                <w:rFonts w:hint="eastAsia" w:eastAsia="方正仿宋_GBK"/>
                <w:bCs/>
                <w:color w:val="000000"/>
                <w:spacing w:val="-2"/>
                <w:kern w:val="0"/>
                <w:szCs w:val="21"/>
              </w:rPr>
              <w:t>项全分析数据</w:t>
            </w:r>
          </w:p>
        </w:tc>
        <w:tc>
          <w:tcPr>
            <w:tcW w:w="2170" w:type="dxa"/>
            <w:tcBorders>
              <w:top w:val="nil"/>
              <w:left w:val="nil"/>
              <w:bottom w:val="single" w:color="auto" w:sz="4" w:space="0"/>
              <w:right w:val="single" w:color="auto" w:sz="4"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c>
          <w:tcPr>
            <w:tcW w:w="1954" w:type="dxa"/>
            <w:tcBorders>
              <w:top w:val="nil"/>
              <w:left w:val="nil"/>
              <w:bottom w:val="single" w:color="auto" w:sz="4" w:space="0"/>
              <w:right w:val="single" w:color="auto" w:sz="4"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c>
          <w:tcPr>
            <w:tcW w:w="1886" w:type="dxa"/>
            <w:tcBorders>
              <w:top w:val="nil"/>
              <w:left w:val="nil"/>
              <w:bottom w:val="single" w:color="auto" w:sz="4" w:space="0"/>
              <w:right w:val="single" w:color="auto" w:sz="8"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r>
      <w:tr>
        <w:tblPrEx>
          <w:tblCellMar>
            <w:top w:w="0" w:type="dxa"/>
            <w:left w:w="108" w:type="dxa"/>
            <w:bottom w:w="0" w:type="dxa"/>
            <w:right w:w="108" w:type="dxa"/>
          </w:tblCellMar>
        </w:tblPrEx>
        <w:trPr>
          <w:trHeight w:val="555" w:hRule="atLeast"/>
        </w:trPr>
        <w:tc>
          <w:tcPr>
            <w:tcW w:w="862" w:type="dxa"/>
            <w:vMerge w:val="continue"/>
            <w:tcBorders>
              <w:top w:val="nil"/>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758" w:type="dxa"/>
            <w:vMerge w:val="restart"/>
            <w:tcBorders>
              <w:top w:val="nil"/>
              <w:left w:val="single" w:color="auto" w:sz="4" w:space="0"/>
              <w:bottom w:val="single" w:color="auto" w:sz="8" w:space="0"/>
              <w:right w:val="single" w:color="auto" w:sz="4" w:space="0"/>
            </w:tcBorders>
            <w:noWrap w:val="0"/>
            <w:vAlign w:val="bottom"/>
          </w:tcPr>
          <w:p>
            <w:pPr>
              <w:spacing w:line="220" w:lineRule="exact"/>
              <w:jc w:val="center"/>
              <w:rPr>
                <w:rFonts w:eastAsia="方正仿宋_GBK"/>
                <w:color w:val="000000"/>
                <w:spacing w:val="-2"/>
                <w:kern w:val="0"/>
                <w:szCs w:val="21"/>
              </w:rPr>
            </w:pPr>
            <w:r>
              <w:rPr>
                <w:rFonts w:hint="eastAsia" w:eastAsia="方正仿宋_GBK"/>
                <w:color w:val="000000"/>
                <w:spacing w:val="-2"/>
                <w:kern w:val="0"/>
                <w:szCs w:val="21"/>
              </w:rPr>
              <w:t>　</w:t>
            </w:r>
          </w:p>
        </w:tc>
        <w:tc>
          <w:tcPr>
            <w:tcW w:w="1574" w:type="dxa"/>
            <w:vMerge w:val="restart"/>
            <w:tcBorders>
              <w:top w:val="nil"/>
              <w:left w:val="single" w:color="auto" w:sz="4" w:space="0"/>
              <w:bottom w:val="single" w:color="000000" w:sz="4" w:space="0"/>
              <w:right w:val="single" w:color="auto" w:sz="4" w:space="0"/>
            </w:tcBorders>
            <w:noWrap w:val="0"/>
            <w:vAlign w:val="center"/>
          </w:tcPr>
          <w:p>
            <w:pPr>
              <w:spacing w:line="220" w:lineRule="exact"/>
              <w:jc w:val="center"/>
              <w:rPr>
                <w:rFonts w:eastAsia="方正仿宋_GBK"/>
                <w:bCs/>
                <w:color w:val="000000"/>
                <w:spacing w:val="-2"/>
                <w:kern w:val="0"/>
                <w:szCs w:val="21"/>
              </w:rPr>
            </w:pPr>
            <w:r>
              <w:rPr>
                <w:rFonts w:hint="eastAsia" w:eastAsia="方正仿宋_GBK"/>
                <w:bCs/>
                <w:color w:val="000000"/>
                <w:spacing w:val="-2"/>
                <w:kern w:val="0"/>
                <w:szCs w:val="21"/>
              </w:rPr>
              <w:t>出厂水</w:t>
            </w:r>
          </w:p>
        </w:tc>
        <w:tc>
          <w:tcPr>
            <w:tcW w:w="3463" w:type="dxa"/>
            <w:tcBorders>
              <w:top w:val="nil"/>
              <w:left w:val="nil"/>
              <w:bottom w:val="single" w:color="auto" w:sz="4" w:space="0"/>
              <w:right w:val="single" w:color="auto" w:sz="4" w:space="0"/>
            </w:tcBorders>
            <w:noWrap w:val="0"/>
            <w:vAlign w:val="top"/>
          </w:tcPr>
          <w:p>
            <w:pPr>
              <w:spacing w:line="220" w:lineRule="exact"/>
              <w:jc w:val="left"/>
              <w:rPr>
                <w:rFonts w:eastAsia="方正仿宋_GBK"/>
                <w:bCs/>
                <w:color w:val="000000"/>
                <w:spacing w:val="-2"/>
                <w:kern w:val="0"/>
                <w:szCs w:val="21"/>
              </w:rPr>
            </w:pPr>
            <w:r>
              <w:rPr>
                <w:rFonts w:eastAsia="方正仿宋_GBK"/>
                <w:bCs/>
                <w:color w:val="000000"/>
                <w:spacing w:val="-2"/>
                <w:kern w:val="0"/>
                <w:szCs w:val="21"/>
              </w:rPr>
              <w:t xml:space="preserve">                       </w:t>
            </w:r>
            <w:r>
              <w:rPr>
                <w:rFonts w:hint="eastAsia" w:eastAsia="方正仿宋_GBK"/>
                <w:bCs/>
                <w:color w:val="000000"/>
                <w:spacing w:val="-2"/>
                <w:kern w:val="0"/>
                <w:szCs w:val="21"/>
              </w:rPr>
              <w:t>公示要求</w:t>
            </w:r>
          </w:p>
          <w:p>
            <w:pPr>
              <w:spacing w:line="220" w:lineRule="exact"/>
              <w:jc w:val="left"/>
              <w:rPr>
                <w:rFonts w:eastAsia="方正仿宋_GBK"/>
                <w:bCs/>
                <w:color w:val="000000"/>
                <w:spacing w:val="-2"/>
                <w:kern w:val="0"/>
                <w:szCs w:val="21"/>
              </w:rPr>
            </w:pPr>
            <w:r>
              <w:rPr>
                <w:rFonts w:hint="eastAsia" w:eastAsia="方正仿宋_GBK"/>
                <w:bCs/>
                <w:color w:val="000000"/>
                <w:spacing w:val="-2"/>
                <w:kern w:val="0"/>
                <w:szCs w:val="21"/>
              </w:rPr>
              <w:t>数据分类</w:t>
            </w:r>
          </w:p>
        </w:tc>
        <w:tc>
          <w:tcPr>
            <w:tcW w:w="2170" w:type="dxa"/>
            <w:tcBorders>
              <w:top w:val="nil"/>
              <w:left w:val="nil"/>
              <w:bottom w:val="single" w:color="auto" w:sz="4" w:space="0"/>
              <w:right w:val="single" w:color="auto" w:sz="4" w:space="0"/>
            </w:tcBorders>
            <w:noWrap w:val="0"/>
            <w:vAlign w:val="center"/>
          </w:tcPr>
          <w:p>
            <w:pPr>
              <w:spacing w:line="220" w:lineRule="exact"/>
              <w:jc w:val="center"/>
              <w:rPr>
                <w:rFonts w:eastAsia="方正仿宋_GBK"/>
                <w:bCs/>
                <w:color w:val="000000"/>
                <w:spacing w:val="-2"/>
                <w:kern w:val="0"/>
                <w:szCs w:val="21"/>
              </w:rPr>
            </w:pPr>
            <w:r>
              <w:rPr>
                <w:rFonts w:hint="eastAsia" w:eastAsia="方正仿宋_GBK"/>
                <w:bCs/>
                <w:color w:val="000000"/>
                <w:spacing w:val="-2"/>
                <w:kern w:val="0"/>
                <w:szCs w:val="21"/>
              </w:rPr>
              <w:t>公示形式</w:t>
            </w:r>
          </w:p>
        </w:tc>
        <w:tc>
          <w:tcPr>
            <w:tcW w:w="1954" w:type="dxa"/>
            <w:tcBorders>
              <w:top w:val="nil"/>
              <w:left w:val="nil"/>
              <w:bottom w:val="single" w:color="auto" w:sz="4" w:space="0"/>
              <w:right w:val="single" w:color="auto" w:sz="4" w:space="0"/>
            </w:tcBorders>
            <w:noWrap w:val="0"/>
            <w:vAlign w:val="center"/>
          </w:tcPr>
          <w:p>
            <w:pPr>
              <w:spacing w:line="220" w:lineRule="exact"/>
              <w:jc w:val="center"/>
              <w:rPr>
                <w:rFonts w:eastAsia="方正仿宋_GBK"/>
                <w:bCs/>
                <w:color w:val="000000"/>
                <w:spacing w:val="-2"/>
                <w:kern w:val="0"/>
                <w:szCs w:val="21"/>
              </w:rPr>
            </w:pPr>
            <w:r>
              <w:rPr>
                <w:rFonts w:hint="eastAsia" w:eastAsia="方正仿宋_GBK"/>
                <w:bCs/>
                <w:color w:val="000000"/>
                <w:spacing w:val="-2"/>
                <w:kern w:val="0"/>
                <w:szCs w:val="21"/>
              </w:rPr>
              <w:t>公示项目</w:t>
            </w:r>
          </w:p>
        </w:tc>
        <w:tc>
          <w:tcPr>
            <w:tcW w:w="1886" w:type="dxa"/>
            <w:tcBorders>
              <w:top w:val="nil"/>
              <w:left w:val="nil"/>
              <w:bottom w:val="single" w:color="auto" w:sz="4" w:space="0"/>
              <w:right w:val="single" w:color="auto" w:sz="8" w:space="0"/>
            </w:tcBorders>
            <w:noWrap w:val="0"/>
            <w:vAlign w:val="center"/>
          </w:tcPr>
          <w:p>
            <w:pPr>
              <w:spacing w:line="220" w:lineRule="exact"/>
              <w:jc w:val="center"/>
              <w:rPr>
                <w:rFonts w:eastAsia="方正仿宋_GBK"/>
                <w:bCs/>
                <w:color w:val="000000"/>
                <w:spacing w:val="-2"/>
                <w:kern w:val="0"/>
                <w:szCs w:val="21"/>
              </w:rPr>
            </w:pPr>
            <w:r>
              <w:rPr>
                <w:rFonts w:hint="eastAsia" w:eastAsia="方正仿宋_GBK"/>
                <w:bCs/>
                <w:color w:val="000000"/>
                <w:spacing w:val="-2"/>
                <w:kern w:val="0"/>
                <w:szCs w:val="21"/>
              </w:rPr>
              <w:t>公示频次</w:t>
            </w:r>
          </w:p>
        </w:tc>
      </w:tr>
      <w:tr>
        <w:tblPrEx>
          <w:tblCellMar>
            <w:top w:w="0" w:type="dxa"/>
            <w:left w:w="108" w:type="dxa"/>
            <w:bottom w:w="0" w:type="dxa"/>
            <w:right w:w="108" w:type="dxa"/>
          </w:tblCellMar>
        </w:tblPrEx>
        <w:trPr>
          <w:trHeight w:val="300" w:hRule="atLeast"/>
        </w:trPr>
        <w:tc>
          <w:tcPr>
            <w:tcW w:w="862" w:type="dxa"/>
            <w:vMerge w:val="continue"/>
            <w:tcBorders>
              <w:top w:val="nil"/>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758" w:type="dxa"/>
            <w:vMerge w:val="continue"/>
            <w:tcBorders>
              <w:top w:val="nil"/>
              <w:left w:val="single" w:color="auto" w:sz="4"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574"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bCs/>
                <w:color w:val="000000"/>
                <w:spacing w:val="-2"/>
                <w:kern w:val="0"/>
                <w:szCs w:val="21"/>
              </w:rPr>
            </w:pPr>
          </w:p>
        </w:tc>
        <w:tc>
          <w:tcPr>
            <w:tcW w:w="3463" w:type="dxa"/>
            <w:tcBorders>
              <w:top w:val="nil"/>
              <w:left w:val="nil"/>
              <w:bottom w:val="single" w:color="auto" w:sz="4" w:space="0"/>
              <w:right w:val="single" w:color="auto" w:sz="4" w:space="0"/>
            </w:tcBorders>
            <w:noWrap w:val="0"/>
            <w:vAlign w:val="center"/>
          </w:tcPr>
          <w:p>
            <w:pPr>
              <w:spacing w:line="220" w:lineRule="exact"/>
              <w:jc w:val="center"/>
              <w:rPr>
                <w:rFonts w:eastAsia="方正仿宋_GBK"/>
                <w:bCs/>
                <w:color w:val="000000"/>
                <w:spacing w:val="-2"/>
                <w:kern w:val="0"/>
                <w:szCs w:val="21"/>
              </w:rPr>
            </w:pPr>
            <w:r>
              <w:rPr>
                <w:rFonts w:hint="eastAsia" w:eastAsia="方正仿宋_GBK"/>
                <w:bCs/>
                <w:color w:val="000000"/>
                <w:spacing w:val="-2"/>
                <w:kern w:val="0"/>
                <w:szCs w:val="21"/>
              </w:rPr>
              <w:t>实时监测数据</w:t>
            </w:r>
          </w:p>
        </w:tc>
        <w:tc>
          <w:tcPr>
            <w:tcW w:w="2170" w:type="dxa"/>
            <w:tcBorders>
              <w:top w:val="nil"/>
              <w:left w:val="nil"/>
              <w:bottom w:val="single" w:color="auto" w:sz="4" w:space="0"/>
              <w:right w:val="single" w:color="auto" w:sz="4"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c>
          <w:tcPr>
            <w:tcW w:w="1954" w:type="dxa"/>
            <w:tcBorders>
              <w:top w:val="nil"/>
              <w:left w:val="nil"/>
              <w:bottom w:val="single" w:color="auto" w:sz="4" w:space="0"/>
              <w:right w:val="single" w:color="auto" w:sz="4"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c>
          <w:tcPr>
            <w:tcW w:w="1886" w:type="dxa"/>
            <w:tcBorders>
              <w:top w:val="nil"/>
              <w:left w:val="nil"/>
              <w:bottom w:val="single" w:color="auto" w:sz="4" w:space="0"/>
              <w:right w:val="single" w:color="auto" w:sz="8"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r>
      <w:tr>
        <w:tblPrEx>
          <w:tblCellMar>
            <w:top w:w="0" w:type="dxa"/>
            <w:left w:w="108" w:type="dxa"/>
            <w:bottom w:w="0" w:type="dxa"/>
            <w:right w:w="108" w:type="dxa"/>
          </w:tblCellMar>
        </w:tblPrEx>
        <w:trPr>
          <w:trHeight w:val="300" w:hRule="atLeast"/>
        </w:trPr>
        <w:tc>
          <w:tcPr>
            <w:tcW w:w="862" w:type="dxa"/>
            <w:vMerge w:val="continue"/>
            <w:tcBorders>
              <w:top w:val="nil"/>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758" w:type="dxa"/>
            <w:vMerge w:val="continue"/>
            <w:tcBorders>
              <w:top w:val="nil"/>
              <w:left w:val="single" w:color="auto" w:sz="4"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574"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bCs/>
                <w:color w:val="000000"/>
                <w:spacing w:val="-2"/>
                <w:kern w:val="0"/>
                <w:szCs w:val="21"/>
              </w:rPr>
            </w:pPr>
          </w:p>
        </w:tc>
        <w:tc>
          <w:tcPr>
            <w:tcW w:w="3463" w:type="dxa"/>
            <w:tcBorders>
              <w:top w:val="nil"/>
              <w:left w:val="nil"/>
              <w:bottom w:val="single" w:color="auto" w:sz="4" w:space="0"/>
              <w:right w:val="single" w:color="auto" w:sz="4" w:space="0"/>
            </w:tcBorders>
            <w:noWrap w:val="0"/>
            <w:vAlign w:val="center"/>
          </w:tcPr>
          <w:p>
            <w:pPr>
              <w:spacing w:line="220" w:lineRule="exact"/>
              <w:jc w:val="center"/>
              <w:rPr>
                <w:rFonts w:eastAsia="方正仿宋_GBK"/>
                <w:bCs/>
                <w:color w:val="000000"/>
                <w:spacing w:val="-2"/>
                <w:kern w:val="0"/>
                <w:szCs w:val="21"/>
              </w:rPr>
            </w:pPr>
            <w:r>
              <w:rPr>
                <w:rFonts w:hint="eastAsia" w:eastAsia="方正仿宋_GBK"/>
                <w:bCs/>
                <w:color w:val="000000"/>
                <w:spacing w:val="-2"/>
                <w:kern w:val="0"/>
                <w:szCs w:val="21"/>
              </w:rPr>
              <w:t>日检数据</w:t>
            </w:r>
          </w:p>
        </w:tc>
        <w:tc>
          <w:tcPr>
            <w:tcW w:w="2170" w:type="dxa"/>
            <w:tcBorders>
              <w:top w:val="nil"/>
              <w:left w:val="nil"/>
              <w:bottom w:val="single" w:color="auto" w:sz="4" w:space="0"/>
              <w:right w:val="single" w:color="auto" w:sz="4"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c>
          <w:tcPr>
            <w:tcW w:w="1954" w:type="dxa"/>
            <w:tcBorders>
              <w:top w:val="nil"/>
              <w:left w:val="nil"/>
              <w:bottom w:val="single" w:color="auto" w:sz="4" w:space="0"/>
              <w:right w:val="single" w:color="auto" w:sz="4"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c>
          <w:tcPr>
            <w:tcW w:w="1886" w:type="dxa"/>
            <w:tcBorders>
              <w:top w:val="nil"/>
              <w:left w:val="nil"/>
              <w:bottom w:val="single" w:color="auto" w:sz="4" w:space="0"/>
              <w:right w:val="single" w:color="auto" w:sz="8"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r>
      <w:tr>
        <w:tblPrEx>
          <w:tblCellMar>
            <w:top w:w="0" w:type="dxa"/>
            <w:left w:w="108" w:type="dxa"/>
            <w:bottom w:w="0" w:type="dxa"/>
            <w:right w:w="108" w:type="dxa"/>
          </w:tblCellMar>
        </w:tblPrEx>
        <w:trPr>
          <w:trHeight w:val="300" w:hRule="atLeast"/>
        </w:trPr>
        <w:tc>
          <w:tcPr>
            <w:tcW w:w="862" w:type="dxa"/>
            <w:vMerge w:val="continue"/>
            <w:tcBorders>
              <w:top w:val="nil"/>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758" w:type="dxa"/>
            <w:vMerge w:val="continue"/>
            <w:tcBorders>
              <w:top w:val="nil"/>
              <w:left w:val="single" w:color="auto" w:sz="4"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574"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bCs/>
                <w:color w:val="000000"/>
                <w:spacing w:val="-2"/>
                <w:kern w:val="0"/>
                <w:szCs w:val="21"/>
              </w:rPr>
            </w:pPr>
          </w:p>
        </w:tc>
        <w:tc>
          <w:tcPr>
            <w:tcW w:w="3463" w:type="dxa"/>
            <w:tcBorders>
              <w:top w:val="nil"/>
              <w:left w:val="nil"/>
              <w:bottom w:val="single" w:color="auto" w:sz="4" w:space="0"/>
              <w:right w:val="single" w:color="auto" w:sz="4" w:space="0"/>
            </w:tcBorders>
            <w:noWrap w:val="0"/>
            <w:vAlign w:val="center"/>
          </w:tcPr>
          <w:p>
            <w:pPr>
              <w:spacing w:line="220" w:lineRule="exact"/>
              <w:jc w:val="center"/>
              <w:rPr>
                <w:rFonts w:eastAsia="方正仿宋_GBK"/>
                <w:bCs/>
                <w:color w:val="000000"/>
                <w:spacing w:val="-2"/>
                <w:kern w:val="0"/>
                <w:szCs w:val="21"/>
              </w:rPr>
            </w:pPr>
            <w:r>
              <w:rPr>
                <w:rFonts w:hint="eastAsia" w:eastAsia="方正仿宋_GBK"/>
                <w:bCs/>
                <w:color w:val="000000"/>
                <w:spacing w:val="-2"/>
                <w:kern w:val="0"/>
                <w:szCs w:val="21"/>
              </w:rPr>
              <w:t>月检数据</w:t>
            </w:r>
          </w:p>
        </w:tc>
        <w:tc>
          <w:tcPr>
            <w:tcW w:w="2170" w:type="dxa"/>
            <w:tcBorders>
              <w:top w:val="nil"/>
              <w:left w:val="nil"/>
              <w:bottom w:val="single" w:color="auto" w:sz="4" w:space="0"/>
              <w:right w:val="single" w:color="auto" w:sz="4"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c>
          <w:tcPr>
            <w:tcW w:w="1954" w:type="dxa"/>
            <w:tcBorders>
              <w:top w:val="nil"/>
              <w:left w:val="nil"/>
              <w:bottom w:val="single" w:color="auto" w:sz="4" w:space="0"/>
              <w:right w:val="single" w:color="auto" w:sz="4"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c>
          <w:tcPr>
            <w:tcW w:w="1886" w:type="dxa"/>
            <w:tcBorders>
              <w:top w:val="nil"/>
              <w:left w:val="nil"/>
              <w:bottom w:val="single" w:color="auto" w:sz="4" w:space="0"/>
              <w:right w:val="single" w:color="auto" w:sz="8"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r>
      <w:tr>
        <w:tblPrEx>
          <w:tblCellMar>
            <w:top w:w="0" w:type="dxa"/>
            <w:left w:w="108" w:type="dxa"/>
            <w:bottom w:w="0" w:type="dxa"/>
            <w:right w:w="108" w:type="dxa"/>
          </w:tblCellMar>
        </w:tblPrEx>
        <w:trPr>
          <w:trHeight w:val="300" w:hRule="atLeast"/>
        </w:trPr>
        <w:tc>
          <w:tcPr>
            <w:tcW w:w="862" w:type="dxa"/>
            <w:vMerge w:val="continue"/>
            <w:tcBorders>
              <w:top w:val="nil"/>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758" w:type="dxa"/>
            <w:vMerge w:val="continue"/>
            <w:tcBorders>
              <w:top w:val="nil"/>
              <w:left w:val="single" w:color="auto" w:sz="4"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574"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bCs/>
                <w:color w:val="000000"/>
                <w:spacing w:val="-2"/>
                <w:kern w:val="0"/>
                <w:szCs w:val="21"/>
              </w:rPr>
            </w:pPr>
          </w:p>
        </w:tc>
        <w:tc>
          <w:tcPr>
            <w:tcW w:w="3463" w:type="dxa"/>
            <w:tcBorders>
              <w:top w:val="nil"/>
              <w:left w:val="nil"/>
              <w:bottom w:val="single" w:color="auto" w:sz="4" w:space="0"/>
              <w:right w:val="single" w:color="auto" w:sz="4" w:space="0"/>
            </w:tcBorders>
            <w:noWrap w:val="0"/>
            <w:vAlign w:val="center"/>
          </w:tcPr>
          <w:p>
            <w:pPr>
              <w:spacing w:line="220" w:lineRule="exact"/>
              <w:jc w:val="center"/>
              <w:rPr>
                <w:rFonts w:eastAsia="方正仿宋_GBK"/>
                <w:bCs/>
                <w:color w:val="000000"/>
                <w:spacing w:val="-2"/>
                <w:kern w:val="0"/>
                <w:szCs w:val="21"/>
              </w:rPr>
            </w:pPr>
            <w:r>
              <w:rPr>
                <w:rFonts w:eastAsia="方正仿宋_GBK"/>
                <w:bCs/>
                <w:color w:val="000000"/>
                <w:spacing w:val="-2"/>
                <w:kern w:val="0"/>
                <w:szCs w:val="21"/>
              </w:rPr>
              <w:t>106</w:t>
            </w:r>
            <w:r>
              <w:rPr>
                <w:rFonts w:hint="eastAsia" w:eastAsia="方正仿宋_GBK"/>
                <w:bCs/>
                <w:color w:val="000000"/>
                <w:spacing w:val="-2"/>
                <w:kern w:val="0"/>
                <w:szCs w:val="21"/>
              </w:rPr>
              <w:t>项全分析数据</w:t>
            </w:r>
          </w:p>
        </w:tc>
        <w:tc>
          <w:tcPr>
            <w:tcW w:w="2170" w:type="dxa"/>
            <w:tcBorders>
              <w:top w:val="nil"/>
              <w:left w:val="nil"/>
              <w:bottom w:val="single" w:color="auto" w:sz="4" w:space="0"/>
              <w:right w:val="single" w:color="auto" w:sz="4"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c>
          <w:tcPr>
            <w:tcW w:w="1954" w:type="dxa"/>
            <w:tcBorders>
              <w:top w:val="nil"/>
              <w:left w:val="nil"/>
              <w:bottom w:val="single" w:color="auto" w:sz="4" w:space="0"/>
              <w:right w:val="single" w:color="auto" w:sz="4"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c>
          <w:tcPr>
            <w:tcW w:w="1886" w:type="dxa"/>
            <w:tcBorders>
              <w:top w:val="nil"/>
              <w:left w:val="nil"/>
              <w:bottom w:val="single" w:color="auto" w:sz="4" w:space="0"/>
              <w:right w:val="single" w:color="auto" w:sz="8"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r>
      <w:tr>
        <w:tblPrEx>
          <w:tblCellMar>
            <w:top w:w="0" w:type="dxa"/>
            <w:left w:w="108" w:type="dxa"/>
            <w:bottom w:w="0" w:type="dxa"/>
            <w:right w:w="108" w:type="dxa"/>
          </w:tblCellMar>
        </w:tblPrEx>
        <w:trPr>
          <w:trHeight w:val="510" w:hRule="atLeast"/>
        </w:trPr>
        <w:tc>
          <w:tcPr>
            <w:tcW w:w="862" w:type="dxa"/>
            <w:vMerge w:val="continue"/>
            <w:tcBorders>
              <w:top w:val="nil"/>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758" w:type="dxa"/>
            <w:vMerge w:val="continue"/>
            <w:tcBorders>
              <w:top w:val="nil"/>
              <w:left w:val="single" w:color="auto" w:sz="4"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574" w:type="dxa"/>
            <w:vMerge w:val="restart"/>
            <w:tcBorders>
              <w:top w:val="nil"/>
              <w:left w:val="single" w:color="auto" w:sz="4" w:space="0"/>
              <w:bottom w:val="single" w:color="auto" w:sz="8" w:space="0"/>
              <w:right w:val="single" w:color="auto" w:sz="4" w:space="0"/>
            </w:tcBorders>
            <w:noWrap w:val="0"/>
            <w:vAlign w:val="center"/>
          </w:tcPr>
          <w:p>
            <w:pPr>
              <w:spacing w:line="220" w:lineRule="exact"/>
              <w:jc w:val="center"/>
              <w:rPr>
                <w:rFonts w:eastAsia="方正仿宋_GBK"/>
                <w:bCs/>
                <w:color w:val="000000"/>
                <w:spacing w:val="-2"/>
                <w:kern w:val="0"/>
                <w:szCs w:val="21"/>
              </w:rPr>
            </w:pPr>
            <w:r>
              <w:rPr>
                <w:rFonts w:hint="eastAsia" w:eastAsia="方正仿宋_GBK"/>
                <w:bCs/>
                <w:color w:val="000000"/>
                <w:spacing w:val="-2"/>
                <w:kern w:val="0"/>
                <w:szCs w:val="21"/>
              </w:rPr>
              <w:t>管网水</w:t>
            </w:r>
          </w:p>
          <w:p>
            <w:pPr>
              <w:spacing w:line="220" w:lineRule="exact"/>
              <w:jc w:val="center"/>
              <w:rPr>
                <w:rFonts w:eastAsia="方正仿宋_GBK"/>
                <w:bCs/>
                <w:color w:val="000000"/>
                <w:spacing w:val="-2"/>
                <w:kern w:val="0"/>
                <w:szCs w:val="21"/>
              </w:rPr>
            </w:pPr>
            <w:r>
              <w:rPr>
                <w:rFonts w:hint="eastAsia" w:eastAsia="方正仿宋_GBK"/>
                <w:bCs/>
                <w:color w:val="000000"/>
                <w:spacing w:val="-2"/>
                <w:kern w:val="0"/>
                <w:szCs w:val="21"/>
              </w:rPr>
              <w:t>（含管网末梢水）</w:t>
            </w:r>
          </w:p>
        </w:tc>
        <w:tc>
          <w:tcPr>
            <w:tcW w:w="3463" w:type="dxa"/>
            <w:tcBorders>
              <w:top w:val="nil"/>
              <w:left w:val="nil"/>
              <w:bottom w:val="single" w:color="auto" w:sz="4" w:space="0"/>
              <w:right w:val="single" w:color="auto" w:sz="4" w:space="0"/>
            </w:tcBorders>
            <w:noWrap w:val="0"/>
            <w:vAlign w:val="top"/>
          </w:tcPr>
          <w:p>
            <w:pPr>
              <w:spacing w:line="220" w:lineRule="exact"/>
              <w:jc w:val="left"/>
              <w:rPr>
                <w:rFonts w:eastAsia="方正仿宋_GBK"/>
                <w:bCs/>
                <w:color w:val="000000"/>
                <w:spacing w:val="-2"/>
                <w:kern w:val="0"/>
                <w:szCs w:val="21"/>
              </w:rPr>
            </w:pPr>
            <w:r>
              <w:rPr>
                <w:rFonts w:eastAsia="方正仿宋_GBK"/>
                <w:bCs/>
                <w:color w:val="000000"/>
                <w:spacing w:val="-2"/>
                <w:kern w:val="0"/>
                <w:szCs w:val="21"/>
              </w:rPr>
              <w:t xml:space="preserve">                     </w:t>
            </w:r>
            <w:r>
              <w:rPr>
                <w:rFonts w:hint="eastAsia" w:eastAsia="方正仿宋_GBK"/>
                <w:bCs/>
                <w:color w:val="000000"/>
                <w:spacing w:val="-2"/>
                <w:kern w:val="0"/>
                <w:szCs w:val="21"/>
              </w:rPr>
              <w:t>公示要求</w:t>
            </w:r>
          </w:p>
          <w:p>
            <w:pPr>
              <w:spacing w:line="220" w:lineRule="exact"/>
              <w:jc w:val="left"/>
              <w:rPr>
                <w:rFonts w:eastAsia="方正仿宋_GBK"/>
                <w:bCs/>
                <w:color w:val="000000"/>
                <w:spacing w:val="-2"/>
                <w:kern w:val="0"/>
                <w:szCs w:val="21"/>
              </w:rPr>
            </w:pPr>
            <w:r>
              <w:rPr>
                <w:rFonts w:hint="eastAsia" w:eastAsia="方正仿宋_GBK"/>
                <w:bCs/>
                <w:color w:val="000000"/>
                <w:spacing w:val="-2"/>
                <w:kern w:val="0"/>
                <w:szCs w:val="21"/>
              </w:rPr>
              <w:t>数据分类</w:t>
            </w:r>
          </w:p>
        </w:tc>
        <w:tc>
          <w:tcPr>
            <w:tcW w:w="2170" w:type="dxa"/>
            <w:tcBorders>
              <w:top w:val="nil"/>
              <w:left w:val="nil"/>
              <w:bottom w:val="single" w:color="auto" w:sz="4" w:space="0"/>
              <w:right w:val="single" w:color="auto" w:sz="4" w:space="0"/>
            </w:tcBorders>
            <w:noWrap w:val="0"/>
            <w:vAlign w:val="center"/>
          </w:tcPr>
          <w:p>
            <w:pPr>
              <w:spacing w:line="220" w:lineRule="exact"/>
              <w:jc w:val="center"/>
              <w:rPr>
                <w:rFonts w:eastAsia="方正仿宋_GBK"/>
                <w:bCs/>
                <w:color w:val="000000"/>
                <w:spacing w:val="-2"/>
                <w:kern w:val="0"/>
                <w:szCs w:val="21"/>
              </w:rPr>
            </w:pPr>
            <w:r>
              <w:rPr>
                <w:rFonts w:hint="eastAsia" w:eastAsia="方正仿宋_GBK"/>
                <w:bCs/>
                <w:color w:val="000000"/>
                <w:spacing w:val="-2"/>
                <w:kern w:val="0"/>
                <w:szCs w:val="21"/>
              </w:rPr>
              <w:t>公示形式</w:t>
            </w:r>
          </w:p>
        </w:tc>
        <w:tc>
          <w:tcPr>
            <w:tcW w:w="1954" w:type="dxa"/>
            <w:tcBorders>
              <w:top w:val="nil"/>
              <w:left w:val="nil"/>
              <w:bottom w:val="single" w:color="auto" w:sz="4" w:space="0"/>
              <w:right w:val="single" w:color="auto" w:sz="4" w:space="0"/>
            </w:tcBorders>
            <w:noWrap w:val="0"/>
            <w:vAlign w:val="center"/>
          </w:tcPr>
          <w:p>
            <w:pPr>
              <w:spacing w:line="220" w:lineRule="exact"/>
              <w:jc w:val="center"/>
              <w:rPr>
                <w:rFonts w:eastAsia="方正仿宋_GBK"/>
                <w:bCs/>
                <w:color w:val="000000"/>
                <w:spacing w:val="-2"/>
                <w:kern w:val="0"/>
                <w:szCs w:val="21"/>
              </w:rPr>
            </w:pPr>
            <w:r>
              <w:rPr>
                <w:rFonts w:hint="eastAsia" w:eastAsia="方正仿宋_GBK"/>
                <w:bCs/>
                <w:color w:val="000000"/>
                <w:spacing w:val="-2"/>
                <w:kern w:val="0"/>
                <w:szCs w:val="21"/>
              </w:rPr>
              <w:t>公示项目</w:t>
            </w:r>
          </w:p>
        </w:tc>
        <w:tc>
          <w:tcPr>
            <w:tcW w:w="1886" w:type="dxa"/>
            <w:tcBorders>
              <w:top w:val="nil"/>
              <w:left w:val="nil"/>
              <w:bottom w:val="single" w:color="auto" w:sz="4" w:space="0"/>
              <w:right w:val="single" w:color="auto" w:sz="8" w:space="0"/>
            </w:tcBorders>
            <w:noWrap w:val="0"/>
            <w:vAlign w:val="center"/>
          </w:tcPr>
          <w:p>
            <w:pPr>
              <w:spacing w:line="220" w:lineRule="exact"/>
              <w:jc w:val="center"/>
              <w:rPr>
                <w:rFonts w:eastAsia="方正仿宋_GBK"/>
                <w:bCs/>
                <w:color w:val="000000"/>
                <w:spacing w:val="-2"/>
                <w:kern w:val="0"/>
                <w:szCs w:val="21"/>
              </w:rPr>
            </w:pPr>
            <w:r>
              <w:rPr>
                <w:rFonts w:hint="eastAsia" w:eastAsia="方正仿宋_GBK"/>
                <w:bCs/>
                <w:color w:val="000000"/>
                <w:spacing w:val="-2"/>
                <w:kern w:val="0"/>
                <w:szCs w:val="21"/>
              </w:rPr>
              <w:t>公示频次</w:t>
            </w:r>
          </w:p>
        </w:tc>
      </w:tr>
      <w:tr>
        <w:tblPrEx>
          <w:tblCellMar>
            <w:top w:w="0" w:type="dxa"/>
            <w:left w:w="108" w:type="dxa"/>
            <w:bottom w:w="0" w:type="dxa"/>
            <w:right w:w="108" w:type="dxa"/>
          </w:tblCellMar>
        </w:tblPrEx>
        <w:trPr>
          <w:trHeight w:val="255" w:hRule="atLeast"/>
        </w:trPr>
        <w:tc>
          <w:tcPr>
            <w:tcW w:w="862" w:type="dxa"/>
            <w:vMerge w:val="continue"/>
            <w:tcBorders>
              <w:top w:val="nil"/>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758" w:type="dxa"/>
            <w:vMerge w:val="continue"/>
            <w:tcBorders>
              <w:top w:val="nil"/>
              <w:left w:val="single" w:color="auto" w:sz="4"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574" w:type="dxa"/>
            <w:vMerge w:val="continue"/>
            <w:tcBorders>
              <w:top w:val="nil"/>
              <w:left w:val="single" w:color="auto" w:sz="4" w:space="0"/>
              <w:bottom w:val="single" w:color="auto" w:sz="8" w:space="0"/>
              <w:right w:val="single" w:color="auto" w:sz="4" w:space="0"/>
            </w:tcBorders>
            <w:noWrap w:val="0"/>
            <w:vAlign w:val="center"/>
          </w:tcPr>
          <w:p>
            <w:pPr>
              <w:widowControl/>
              <w:jc w:val="left"/>
              <w:rPr>
                <w:rFonts w:eastAsia="方正仿宋_GBK"/>
                <w:bCs/>
                <w:color w:val="000000"/>
                <w:spacing w:val="-2"/>
                <w:kern w:val="0"/>
                <w:szCs w:val="21"/>
              </w:rPr>
            </w:pPr>
          </w:p>
        </w:tc>
        <w:tc>
          <w:tcPr>
            <w:tcW w:w="3463" w:type="dxa"/>
            <w:tcBorders>
              <w:top w:val="nil"/>
              <w:left w:val="nil"/>
              <w:bottom w:val="single" w:color="auto" w:sz="4" w:space="0"/>
              <w:right w:val="single" w:color="auto" w:sz="4" w:space="0"/>
            </w:tcBorders>
            <w:noWrap w:val="0"/>
            <w:vAlign w:val="center"/>
          </w:tcPr>
          <w:p>
            <w:pPr>
              <w:spacing w:line="220" w:lineRule="exact"/>
              <w:jc w:val="center"/>
              <w:rPr>
                <w:rFonts w:eastAsia="方正仿宋_GBK"/>
                <w:bCs/>
                <w:color w:val="000000"/>
                <w:spacing w:val="-2"/>
                <w:kern w:val="0"/>
                <w:szCs w:val="21"/>
              </w:rPr>
            </w:pPr>
            <w:r>
              <w:rPr>
                <w:rFonts w:hint="eastAsia" w:eastAsia="方正仿宋_GBK"/>
                <w:bCs/>
                <w:color w:val="000000"/>
                <w:spacing w:val="-2"/>
                <w:kern w:val="0"/>
                <w:szCs w:val="21"/>
              </w:rPr>
              <w:t>实时监测数据</w:t>
            </w:r>
          </w:p>
        </w:tc>
        <w:tc>
          <w:tcPr>
            <w:tcW w:w="2170" w:type="dxa"/>
            <w:tcBorders>
              <w:top w:val="nil"/>
              <w:left w:val="nil"/>
              <w:bottom w:val="single" w:color="auto" w:sz="4" w:space="0"/>
              <w:right w:val="single" w:color="auto" w:sz="4"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c>
          <w:tcPr>
            <w:tcW w:w="1954" w:type="dxa"/>
            <w:tcBorders>
              <w:top w:val="nil"/>
              <w:left w:val="nil"/>
              <w:bottom w:val="single" w:color="auto" w:sz="4" w:space="0"/>
              <w:right w:val="single" w:color="auto" w:sz="4"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c>
          <w:tcPr>
            <w:tcW w:w="1886" w:type="dxa"/>
            <w:tcBorders>
              <w:top w:val="nil"/>
              <w:left w:val="nil"/>
              <w:bottom w:val="single" w:color="auto" w:sz="4" w:space="0"/>
              <w:right w:val="single" w:color="auto" w:sz="8"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r>
      <w:tr>
        <w:tblPrEx>
          <w:tblCellMar>
            <w:top w:w="0" w:type="dxa"/>
            <w:left w:w="108" w:type="dxa"/>
            <w:bottom w:w="0" w:type="dxa"/>
            <w:right w:w="108" w:type="dxa"/>
          </w:tblCellMar>
        </w:tblPrEx>
        <w:trPr>
          <w:trHeight w:val="255" w:hRule="atLeast"/>
        </w:trPr>
        <w:tc>
          <w:tcPr>
            <w:tcW w:w="862" w:type="dxa"/>
            <w:vMerge w:val="continue"/>
            <w:tcBorders>
              <w:top w:val="nil"/>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758" w:type="dxa"/>
            <w:vMerge w:val="continue"/>
            <w:tcBorders>
              <w:top w:val="nil"/>
              <w:left w:val="single" w:color="auto" w:sz="4"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574" w:type="dxa"/>
            <w:vMerge w:val="continue"/>
            <w:tcBorders>
              <w:top w:val="nil"/>
              <w:left w:val="single" w:color="auto" w:sz="4" w:space="0"/>
              <w:bottom w:val="single" w:color="auto" w:sz="8" w:space="0"/>
              <w:right w:val="single" w:color="auto" w:sz="4" w:space="0"/>
            </w:tcBorders>
            <w:noWrap w:val="0"/>
            <w:vAlign w:val="center"/>
          </w:tcPr>
          <w:p>
            <w:pPr>
              <w:widowControl/>
              <w:jc w:val="left"/>
              <w:rPr>
                <w:rFonts w:eastAsia="方正仿宋_GBK"/>
                <w:bCs/>
                <w:color w:val="000000"/>
                <w:spacing w:val="-2"/>
                <w:kern w:val="0"/>
                <w:szCs w:val="21"/>
              </w:rPr>
            </w:pPr>
          </w:p>
        </w:tc>
        <w:tc>
          <w:tcPr>
            <w:tcW w:w="3463" w:type="dxa"/>
            <w:tcBorders>
              <w:top w:val="nil"/>
              <w:left w:val="nil"/>
              <w:bottom w:val="single" w:color="auto" w:sz="4" w:space="0"/>
              <w:right w:val="single" w:color="auto" w:sz="4" w:space="0"/>
            </w:tcBorders>
            <w:noWrap w:val="0"/>
            <w:vAlign w:val="center"/>
          </w:tcPr>
          <w:p>
            <w:pPr>
              <w:spacing w:line="220" w:lineRule="exact"/>
              <w:jc w:val="center"/>
              <w:rPr>
                <w:rFonts w:eastAsia="方正仿宋_GBK"/>
                <w:bCs/>
                <w:color w:val="000000"/>
                <w:spacing w:val="-2"/>
                <w:kern w:val="0"/>
                <w:szCs w:val="21"/>
              </w:rPr>
            </w:pPr>
            <w:r>
              <w:rPr>
                <w:rFonts w:hint="eastAsia" w:eastAsia="方正仿宋_GBK"/>
                <w:bCs/>
                <w:color w:val="000000"/>
                <w:spacing w:val="-2"/>
                <w:kern w:val="0"/>
                <w:szCs w:val="21"/>
              </w:rPr>
              <w:t>日检数据</w:t>
            </w:r>
          </w:p>
        </w:tc>
        <w:tc>
          <w:tcPr>
            <w:tcW w:w="2170" w:type="dxa"/>
            <w:tcBorders>
              <w:top w:val="nil"/>
              <w:left w:val="nil"/>
              <w:bottom w:val="single" w:color="auto" w:sz="4" w:space="0"/>
              <w:right w:val="single" w:color="auto" w:sz="4"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c>
          <w:tcPr>
            <w:tcW w:w="1954" w:type="dxa"/>
            <w:tcBorders>
              <w:top w:val="nil"/>
              <w:left w:val="nil"/>
              <w:bottom w:val="single" w:color="auto" w:sz="4" w:space="0"/>
              <w:right w:val="single" w:color="auto" w:sz="4"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c>
          <w:tcPr>
            <w:tcW w:w="1886" w:type="dxa"/>
            <w:tcBorders>
              <w:top w:val="nil"/>
              <w:left w:val="nil"/>
              <w:bottom w:val="single" w:color="auto" w:sz="4" w:space="0"/>
              <w:right w:val="single" w:color="auto" w:sz="8"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r>
      <w:tr>
        <w:tblPrEx>
          <w:tblCellMar>
            <w:top w:w="0" w:type="dxa"/>
            <w:left w:w="108" w:type="dxa"/>
            <w:bottom w:w="0" w:type="dxa"/>
            <w:right w:w="108" w:type="dxa"/>
          </w:tblCellMar>
        </w:tblPrEx>
        <w:trPr>
          <w:trHeight w:val="255" w:hRule="atLeast"/>
        </w:trPr>
        <w:tc>
          <w:tcPr>
            <w:tcW w:w="862" w:type="dxa"/>
            <w:vMerge w:val="continue"/>
            <w:tcBorders>
              <w:top w:val="nil"/>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758" w:type="dxa"/>
            <w:vMerge w:val="continue"/>
            <w:tcBorders>
              <w:top w:val="nil"/>
              <w:left w:val="single" w:color="auto" w:sz="4"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574" w:type="dxa"/>
            <w:vMerge w:val="continue"/>
            <w:tcBorders>
              <w:top w:val="nil"/>
              <w:left w:val="single" w:color="auto" w:sz="4" w:space="0"/>
              <w:bottom w:val="single" w:color="auto" w:sz="8" w:space="0"/>
              <w:right w:val="single" w:color="auto" w:sz="4" w:space="0"/>
            </w:tcBorders>
            <w:noWrap w:val="0"/>
            <w:vAlign w:val="center"/>
          </w:tcPr>
          <w:p>
            <w:pPr>
              <w:widowControl/>
              <w:jc w:val="left"/>
              <w:rPr>
                <w:rFonts w:eastAsia="方正仿宋_GBK"/>
                <w:bCs/>
                <w:color w:val="000000"/>
                <w:spacing w:val="-2"/>
                <w:kern w:val="0"/>
                <w:szCs w:val="21"/>
              </w:rPr>
            </w:pPr>
          </w:p>
        </w:tc>
        <w:tc>
          <w:tcPr>
            <w:tcW w:w="3463" w:type="dxa"/>
            <w:tcBorders>
              <w:top w:val="nil"/>
              <w:left w:val="nil"/>
              <w:bottom w:val="single" w:color="auto" w:sz="4" w:space="0"/>
              <w:right w:val="single" w:color="auto" w:sz="4" w:space="0"/>
            </w:tcBorders>
            <w:noWrap w:val="0"/>
            <w:vAlign w:val="center"/>
          </w:tcPr>
          <w:p>
            <w:pPr>
              <w:spacing w:line="220" w:lineRule="exact"/>
              <w:jc w:val="center"/>
              <w:rPr>
                <w:rFonts w:eastAsia="方正仿宋_GBK"/>
                <w:bCs/>
                <w:color w:val="000000"/>
                <w:spacing w:val="-2"/>
                <w:kern w:val="0"/>
                <w:szCs w:val="21"/>
              </w:rPr>
            </w:pPr>
            <w:r>
              <w:rPr>
                <w:rFonts w:hint="eastAsia" w:eastAsia="方正仿宋_GBK"/>
                <w:bCs/>
                <w:color w:val="000000"/>
                <w:spacing w:val="-2"/>
                <w:kern w:val="0"/>
                <w:szCs w:val="21"/>
              </w:rPr>
              <w:t>月检数据</w:t>
            </w:r>
          </w:p>
        </w:tc>
        <w:tc>
          <w:tcPr>
            <w:tcW w:w="2170" w:type="dxa"/>
            <w:tcBorders>
              <w:top w:val="nil"/>
              <w:left w:val="nil"/>
              <w:bottom w:val="single" w:color="auto" w:sz="4" w:space="0"/>
              <w:right w:val="single" w:color="auto" w:sz="4"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c>
          <w:tcPr>
            <w:tcW w:w="1954" w:type="dxa"/>
            <w:tcBorders>
              <w:top w:val="nil"/>
              <w:left w:val="nil"/>
              <w:bottom w:val="single" w:color="auto" w:sz="4" w:space="0"/>
              <w:right w:val="single" w:color="auto" w:sz="4"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c>
          <w:tcPr>
            <w:tcW w:w="1886" w:type="dxa"/>
            <w:tcBorders>
              <w:top w:val="nil"/>
              <w:left w:val="nil"/>
              <w:bottom w:val="single" w:color="auto" w:sz="4" w:space="0"/>
              <w:right w:val="single" w:color="auto" w:sz="8"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r>
      <w:tr>
        <w:tblPrEx>
          <w:tblCellMar>
            <w:top w:w="0" w:type="dxa"/>
            <w:left w:w="108" w:type="dxa"/>
            <w:bottom w:w="0" w:type="dxa"/>
            <w:right w:w="108" w:type="dxa"/>
          </w:tblCellMar>
        </w:tblPrEx>
        <w:trPr>
          <w:trHeight w:val="300" w:hRule="atLeast"/>
        </w:trPr>
        <w:tc>
          <w:tcPr>
            <w:tcW w:w="862" w:type="dxa"/>
            <w:vMerge w:val="continue"/>
            <w:tcBorders>
              <w:top w:val="nil"/>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758" w:type="dxa"/>
            <w:vMerge w:val="continue"/>
            <w:tcBorders>
              <w:top w:val="nil"/>
              <w:left w:val="single" w:color="auto" w:sz="4"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574" w:type="dxa"/>
            <w:vMerge w:val="continue"/>
            <w:tcBorders>
              <w:top w:val="nil"/>
              <w:left w:val="single" w:color="auto" w:sz="4" w:space="0"/>
              <w:bottom w:val="single" w:color="auto" w:sz="8" w:space="0"/>
              <w:right w:val="single" w:color="auto" w:sz="4" w:space="0"/>
            </w:tcBorders>
            <w:noWrap w:val="0"/>
            <w:vAlign w:val="center"/>
          </w:tcPr>
          <w:p>
            <w:pPr>
              <w:widowControl/>
              <w:jc w:val="left"/>
              <w:rPr>
                <w:rFonts w:eastAsia="方正仿宋_GBK"/>
                <w:bCs/>
                <w:color w:val="000000"/>
                <w:spacing w:val="-2"/>
                <w:kern w:val="0"/>
                <w:szCs w:val="21"/>
              </w:rPr>
            </w:pPr>
          </w:p>
        </w:tc>
        <w:tc>
          <w:tcPr>
            <w:tcW w:w="3463" w:type="dxa"/>
            <w:tcBorders>
              <w:top w:val="nil"/>
              <w:left w:val="nil"/>
              <w:bottom w:val="single" w:color="auto" w:sz="8" w:space="0"/>
              <w:right w:val="single" w:color="auto" w:sz="4" w:space="0"/>
            </w:tcBorders>
            <w:noWrap w:val="0"/>
            <w:vAlign w:val="center"/>
          </w:tcPr>
          <w:p>
            <w:pPr>
              <w:spacing w:line="220" w:lineRule="exact"/>
              <w:jc w:val="center"/>
              <w:rPr>
                <w:rFonts w:eastAsia="方正仿宋_GBK"/>
                <w:bCs/>
                <w:color w:val="000000"/>
                <w:spacing w:val="-2"/>
                <w:kern w:val="0"/>
                <w:szCs w:val="21"/>
              </w:rPr>
            </w:pPr>
            <w:r>
              <w:rPr>
                <w:rFonts w:eastAsia="方正仿宋_GBK"/>
                <w:bCs/>
                <w:color w:val="000000"/>
                <w:spacing w:val="-2"/>
                <w:kern w:val="0"/>
                <w:szCs w:val="21"/>
              </w:rPr>
              <w:t>106</w:t>
            </w:r>
            <w:r>
              <w:rPr>
                <w:rFonts w:hint="eastAsia" w:eastAsia="方正仿宋_GBK"/>
                <w:bCs/>
                <w:color w:val="000000"/>
                <w:spacing w:val="-2"/>
                <w:kern w:val="0"/>
                <w:szCs w:val="21"/>
              </w:rPr>
              <w:t>项全分析数据</w:t>
            </w:r>
          </w:p>
        </w:tc>
        <w:tc>
          <w:tcPr>
            <w:tcW w:w="2170" w:type="dxa"/>
            <w:tcBorders>
              <w:top w:val="nil"/>
              <w:left w:val="nil"/>
              <w:bottom w:val="single" w:color="auto" w:sz="8" w:space="0"/>
              <w:right w:val="single" w:color="auto" w:sz="4"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c>
          <w:tcPr>
            <w:tcW w:w="1954" w:type="dxa"/>
            <w:tcBorders>
              <w:top w:val="nil"/>
              <w:left w:val="nil"/>
              <w:bottom w:val="single" w:color="auto" w:sz="8" w:space="0"/>
              <w:right w:val="single" w:color="auto" w:sz="4"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c>
          <w:tcPr>
            <w:tcW w:w="1886" w:type="dxa"/>
            <w:tcBorders>
              <w:top w:val="nil"/>
              <w:left w:val="nil"/>
              <w:bottom w:val="single" w:color="auto" w:sz="8" w:space="0"/>
              <w:right w:val="single" w:color="auto" w:sz="8" w:space="0"/>
            </w:tcBorders>
            <w:noWrap w:val="0"/>
            <w:vAlign w:val="bottom"/>
          </w:tcPr>
          <w:p>
            <w:pPr>
              <w:spacing w:line="220" w:lineRule="exact"/>
              <w:jc w:val="left"/>
              <w:rPr>
                <w:rFonts w:eastAsia="方正仿宋_GBK"/>
                <w:color w:val="000000"/>
                <w:spacing w:val="-2"/>
                <w:kern w:val="0"/>
                <w:szCs w:val="21"/>
              </w:rPr>
            </w:pPr>
            <w:r>
              <w:rPr>
                <w:rFonts w:hint="eastAsia" w:eastAsia="方正仿宋_GBK"/>
                <w:color w:val="000000"/>
                <w:spacing w:val="-2"/>
                <w:kern w:val="0"/>
                <w:szCs w:val="21"/>
              </w:rPr>
              <w:t>　</w:t>
            </w:r>
          </w:p>
        </w:tc>
      </w:tr>
    </w:tbl>
    <w:p>
      <w:pPr>
        <w:spacing w:line="460" w:lineRule="exact"/>
        <w:rPr>
          <w:rFonts w:ascii="Times New Roman" w:eastAsia="方正黑体_GBK"/>
          <w:color w:val="000000"/>
          <w:spacing w:val="-2"/>
          <w:sz w:val="28"/>
          <w:szCs w:val="28"/>
        </w:rPr>
      </w:pPr>
      <w:r>
        <w:rPr>
          <w:rFonts w:hint="eastAsia" w:ascii="Times New Roman" w:eastAsia="方正黑体_GBK"/>
          <w:color w:val="000000"/>
          <w:spacing w:val="-2"/>
          <w:sz w:val="28"/>
          <w:szCs w:val="28"/>
        </w:rPr>
        <w:t>附件3：</w:t>
      </w:r>
    </w:p>
    <w:p>
      <w:pPr>
        <w:jc w:val="center"/>
        <w:rPr>
          <w:rFonts w:hint="eastAsia" w:eastAsia="方正黑体_GBK"/>
          <w:bCs/>
          <w:color w:val="000000"/>
          <w:spacing w:val="-2"/>
          <w:kern w:val="0"/>
          <w:sz w:val="28"/>
          <w:szCs w:val="28"/>
        </w:rPr>
      </w:pPr>
      <w:r>
        <w:rPr>
          <w:rFonts w:hint="eastAsia" w:eastAsia="方正黑体_GBK"/>
          <w:bCs/>
          <w:color w:val="000000"/>
          <w:spacing w:val="-2"/>
          <w:kern w:val="0"/>
          <w:sz w:val="28"/>
          <w:szCs w:val="28"/>
        </w:rPr>
        <w:t>全省城市供水行业主管部门水质督察信息公示情况调查表</w:t>
      </w:r>
    </w:p>
    <w:p>
      <w:pPr>
        <w:rPr>
          <w:rFonts w:eastAsia="方正仿宋_GBK"/>
          <w:bCs/>
          <w:color w:val="000000"/>
          <w:spacing w:val="-2"/>
          <w:kern w:val="0"/>
          <w:szCs w:val="21"/>
        </w:rPr>
      </w:pPr>
      <w:r>
        <w:rPr>
          <w:rFonts w:hint="eastAsia" w:eastAsia="方正仿宋_GBK"/>
          <w:bCs/>
          <w:color w:val="000000"/>
          <w:spacing w:val="-2"/>
          <w:kern w:val="0"/>
          <w:szCs w:val="21"/>
        </w:rPr>
        <w:t>填表日期：</w:t>
      </w:r>
      <w:r>
        <w:rPr>
          <w:rFonts w:eastAsia="方正仿宋_GBK"/>
          <w:bCs/>
          <w:color w:val="000000"/>
          <w:spacing w:val="-2"/>
          <w:kern w:val="0"/>
          <w:szCs w:val="21"/>
        </w:rPr>
        <w:t xml:space="preserve">                                                    </w:t>
      </w:r>
      <w:r>
        <w:rPr>
          <w:rFonts w:hint="eastAsia" w:eastAsia="方正仿宋_GBK"/>
          <w:bCs/>
          <w:color w:val="000000"/>
          <w:spacing w:val="-2"/>
          <w:kern w:val="0"/>
          <w:szCs w:val="21"/>
        </w:rPr>
        <w:t>填表人：</w:t>
      </w:r>
      <w:r>
        <w:rPr>
          <w:rFonts w:eastAsia="方正仿宋_GBK"/>
          <w:bCs/>
          <w:color w:val="000000"/>
          <w:spacing w:val="-2"/>
          <w:kern w:val="0"/>
          <w:szCs w:val="21"/>
        </w:rPr>
        <w:t xml:space="preserve">                                       </w:t>
      </w:r>
      <w:r>
        <w:rPr>
          <w:rFonts w:hint="eastAsia" w:eastAsia="方正仿宋_GBK"/>
          <w:bCs/>
          <w:color w:val="000000"/>
          <w:spacing w:val="-2"/>
          <w:kern w:val="0"/>
          <w:szCs w:val="21"/>
        </w:rPr>
        <w:t>联系方式：</w:t>
      </w:r>
    </w:p>
    <w:tbl>
      <w:tblPr>
        <w:tblStyle w:val="12"/>
        <w:tblW w:w="0" w:type="auto"/>
        <w:tblInd w:w="108" w:type="dxa"/>
        <w:tblLayout w:type="fixed"/>
        <w:tblCellMar>
          <w:top w:w="0" w:type="dxa"/>
          <w:left w:w="108" w:type="dxa"/>
          <w:bottom w:w="0" w:type="dxa"/>
          <w:right w:w="108" w:type="dxa"/>
        </w:tblCellMar>
      </w:tblPr>
      <w:tblGrid>
        <w:gridCol w:w="1380"/>
        <w:gridCol w:w="1640"/>
        <w:gridCol w:w="1980"/>
        <w:gridCol w:w="3200"/>
        <w:gridCol w:w="2900"/>
        <w:gridCol w:w="2566"/>
      </w:tblGrid>
      <w:tr>
        <w:tblPrEx>
          <w:tblCellMar>
            <w:top w:w="0" w:type="dxa"/>
            <w:left w:w="108" w:type="dxa"/>
            <w:bottom w:w="0" w:type="dxa"/>
            <w:right w:w="108" w:type="dxa"/>
          </w:tblCellMar>
        </w:tblPrEx>
        <w:trPr>
          <w:trHeight w:val="540" w:hRule="atLeast"/>
        </w:trPr>
        <w:tc>
          <w:tcPr>
            <w:tcW w:w="1380" w:type="dxa"/>
            <w:tcBorders>
              <w:top w:val="single" w:color="auto" w:sz="8" w:space="0"/>
              <w:left w:val="single" w:color="auto" w:sz="8" w:space="0"/>
              <w:bottom w:val="single" w:color="auto" w:sz="4" w:space="0"/>
              <w:right w:val="single" w:color="auto" w:sz="4" w:space="0"/>
            </w:tcBorders>
            <w:noWrap w:val="0"/>
            <w:vAlign w:val="center"/>
          </w:tcPr>
          <w:p>
            <w:pPr>
              <w:jc w:val="center"/>
              <w:rPr>
                <w:rFonts w:ascii="Times New Roman" w:eastAsia="方正黑体_GBK"/>
                <w:bCs/>
                <w:color w:val="000000"/>
                <w:spacing w:val="-2"/>
                <w:kern w:val="0"/>
                <w:szCs w:val="21"/>
              </w:rPr>
            </w:pPr>
            <w:r>
              <w:rPr>
                <w:rFonts w:hint="eastAsia" w:ascii="Times New Roman" w:eastAsia="方正黑体_GBK"/>
                <w:bCs/>
                <w:color w:val="000000"/>
                <w:spacing w:val="-2"/>
                <w:kern w:val="0"/>
                <w:szCs w:val="21"/>
              </w:rPr>
              <w:t>省辖市</w:t>
            </w:r>
          </w:p>
        </w:tc>
        <w:tc>
          <w:tcPr>
            <w:tcW w:w="1640" w:type="dxa"/>
            <w:tcBorders>
              <w:top w:val="single" w:color="auto" w:sz="8" w:space="0"/>
              <w:left w:val="nil"/>
              <w:bottom w:val="single" w:color="auto" w:sz="4" w:space="0"/>
              <w:right w:val="single" w:color="auto" w:sz="4" w:space="0"/>
            </w:tcBorders>
            <w:noWrap w:val="0"/>
            <w:vAlign w:val="center"/>
          </w:tcPr>
          <w:p>
            <w:pPr>
              <w:jc w:val="center"/>
              <w:rPr>
                <w:rFonts w:ascii="Times New Roman" w:eastAsia="方正黑体_GBK"/>
                <w:bCs/>
                <w:color w:val="000000"/>
                <w:spacing w:val="-2"/>
                <w:kern w:val="0"/>
                <w:szCs w:val="21"/>
              </w:rPr>
            </w:pPr>
            <w:r>
              <w:rPr>
                <w:rFonts w:hint="eastAsia" w:ascii="Times New Roman" w:eastAsia="方正黑体_GBK"/>
                <w:bCs/>
                <w:color w:val="000000"/>
                <w:spacing w:val="-2"/>
                <w:kern w:val="0"/>
                <w:szCs w:val="21"/>
              </w:rPr>
              <w:t>县</w:t>
            </w:r>
          </w:p>
          <w:p>
            <w:pPr>
              <w:jc w:val="center"/>
              <w:rPr>
                <w:rFonts w:ascii="Times New Roman" w:eastAsia="方正黑体_GBK"/>
                <w:bCs/>
                <w:color w:val="000000"/>
                <w:spacing w:val="-2"/>
                <w:kern w:val="0"/>
                <w:szCs w:val="21"/>
              </w:rPr>
            </w:pPr>
            <w:r>
              <w:rPr>
                <w:rFonts w:hint="eastAsia" w:ascii="Times New Roman" w:eastAsia="方正黑体_GBK"/>
                <w:bCs/>
                <w:color w:val="000000"/>
                <w:spacing w:val="-2"/>
                <w:kern w:val="0"/>
                <w:szCs w:val="21"/>
              </w:rPr>
              <w:t>（市、区）</w:t>
            </w:r>
          </w:p>
        </w:tc>
        <w:tc>
          <w:tcPr>
            <w:tcW w:w="1980" w:type="dxa"/>
            <w:tcBorders>
              <w:top w:val="single" w:color="auto" w:sz="8" w:space="0"/>
              <w:left w:val="nil"/>
              <w:bottom w:val="single" w:color="auto" w:sz="4" w:space="0"/>
              <w:right w:val="single" w:color="auto" w:sz="4" w:space="0"/>
            </w:tcBorders>
            <w:noWrap w:val="0"/>
            <w:vAlign w:val="center"/>
          </w:tcPr>
          <w:p>
            <w:pPr>
              <w:jc w:val="center"/>
              <w:rPr>
                <w:rFonts w:ascii="Times New Roman" w:eastAsia="方正黑体_GBK"/>
                <w:bCs/>
                <w:color w:val="000000"/>
                <w:spacing w:val="-2"/>
                <w:kern w:val="0"/>
                <w:szCs w:val="21"/>
              </w:rPr>
            </w:pPr>
            <w:r>
              <w:rPr>
                <w:rFonts w:hint="eastAsia" w:ascii="Times New Roman" w:eastAsia="方正黑体_GBK"/>
                <w:bCs/>
                <w:color w:val="000000"/>
                <w:spacing w:val="-2"/>
                <w:kern w:val="0"/>
                <w:szCs w:val="21"/>
              </w:rPr>
              <w:t>水质类别</w:t>
            </w:r>
          </w:p>
        </w:tc>
        <w:tc>
          <w:tcPr>
            <w:tcW w:w="8666" w:type="dxa"/>
            <w:gridSpan w:val="3"/>
            <w:tcBorders>
              <w:top w:val="single" w:color="auto" w:sz="8" w:space="0"/>
              <w:left w:val="nil"/>
              <w:bottom w:val="single" w:color="auto" w:sz="4" w:space="0"/>
              <w:right w:val="single" w:color="auto" w:sz="8" w:space="0"/>
            </w:tcBorders>
            <w:noWrap w:val="0"/>
            <w:vAlign w:val="center"/>
          </w:tcPr>
          <w:p>
            <w:pPr>
              <w:jc w:val="center"/>
              <w:rPr>
                <w:rFonts w:ascii="Times New Roman" w:eastAsia="方正黑体_GBK"/>
                <w:bCs/>
                <w:color w:val="000000"/>
                <w:spacing w:val="-2"/>
                <w:kern w:val="0"/>
                <w:szCs w:val="21"/>
              </w:rPr>
            </w:pPr>
            <w:r>
              <w:rPr>
                <w:rFonts w:hint="eastAsia" w:ascii="Times New Roman" w:eastAsia="方正黑体_GBK"/>
                <w:bCs/>
                <w:color w:val="000000"/>
                <w:spacing w:val="-2"/>
                <w:kern w:val="0"/>
                <w:szCs w:val="21"/>
              </w:rPr>
              <w:t>城市供水行业主管部门</w:t>
            </w:r>
          </w:p>
        </w:tc>
      </w:tr>
      <w:tr>
        <w:tblPrEx>
          <w:tblCellMar>
            <w:top w:w="0" w:type="dxa"/>
            <w:left w:w="108" w:type="dxa"/>
            <w:bottom w:w="0" w:type="dxa"/>
            <w:right w:w="108" w:type="dxa"/>
          </w:tblCellMar>
        </w:tblPrEx>
        <w:trPr>
          <w:trHeight w:val="285" w:hRule="atLeast"/>
        </w:trPr>
        <w:tc>
          <w:tcPr>
            <w:tcW w:w="1380" w:type="dxa"/>
            <w:vMerge w:val="restart"/>
            <w:tcBorders>
              <w:top w:val="nil"/>
              <w:left w:val="single" w:color="auto" w:sz="8" w:space="0"/>
              <w:bottom w:val="single" w:color="auto" w:sz="8" w:space="0"/>
              <w:right w:val="single" w:color="auto" w:sz="4" w:space="0"/>
            </w:tcBorders>
            <w:noWrap w:val="0"/>
            <w:vAlign w:val="bottom"/>
          </w:tcPr>
          <w:p>
            <w:pPr>
              <w:jc w:val="center"/>
              <w:rPr>
                <w:rFonts w:eastAsia="方正仿宋_GBK"/>
                <w:color w:val="000000"/>
                <w:spacing w:val="-2"/>
                <w:kern w:val="0"/>
                <w:szCs w:val="21"/>
              </w:rPr>
            </w:pPr>
            <w:r>
              <w:rPr>
                <w:rFonts w:hint="eastAsia" w:eastAsia="方正仿宋_GBK"/>
                <w:color w:val="000000"/>
                <w:spacing w:val="-2"/>
                <w:kern w:val="0"/>
                <w:szCs w:val="21"/>
              </w:rPr>
              <w:t>　</w:t>
            </w:r>
          </w:p>
        </w:tc>
        <w:tc>
          <w:tcPr>
            <w:tcW w:w="1640" w:type="dxa"/>
            <w:vMerge w:val="restart"/>
            <w:tcBorders>
              <w:top w:val="nil"/>
              <w:left w:val="single" w:color="auto" w:sz="4" w:space="0"/>
              <w:bottom w:val="single" w:color="000000" w:sz="4" w:space="0"/>
              <w:right w:val="single" w:color="auto" w:sz="4" w:space="0"/>
            </w:tcBorders>
            <w:noWrap w:val="0"/>
            <w:vAlign w:val="bottom"/>
          </w:tcPr>
          <w:p>
            <w:pPr>
              <w:jc w:val="center"/>
              <w:rPr>
                <w:rFonts w:eastAsia="方正仿宋_GBK"/>
                <w:color w:val="000000"/>
                <w:spacing w:val="-2"/>
                <w:kern w:val="0"/>
                <w:szCs w:val="21"/>
              </w:rPr>
            </w:pPr>
            <w:r>
              <w:rPr>
                <w:rFonts w:hint="eastAsia" w:eastAsia="方正仿宋_GBK"/>
                <w:color w:val="000000"/>
                <w:spacing w:val="-2"/>
                <w:kern w:val="0"/>
                <w:szCs w:val="21"/>
              </w:rPr>
              <w:t>　</w:t>
            </w:r>
          </w:p>
        </w:tc>
        <w:tc>
          <w:tcPr>
            <w:tcW w:w="1980" w:type="dxa"/>
            <w:vMerge w:val="restart"/>
            <w:tcBorders>
              <w:top w:val="nil"/>
              <w:left w:val="single" w:color="auto" w:sz="4" w:space="0"/>
              <w:bottom w:val="single" w:color="000000" w:sz="4" w:space="0"/>
              <w:right w:val="single" w:color="auto" w:sz="4" w:space="0"/>
            </w:tcBorders>
            <w:noWrap w:val="0"/>
            <w:vAlign w:val="center"/>
          </w:tcPr>
          <w:p>
            <w:pPr>
              <w:jc w:val="center"/>
              <w:rPr>
                <w:rFonts w:eastAsia="方正仿宋_GBK"/>
                <w:bCs/>
                <w:color w:val="000000"/>
                <w:spacing w:val="-2"/>
                <w:kern w:val="0"/>
                <w:szCs w:val="21"/>
              </w:rPr>
            </w:pPr>
            <w:r>
              <w:rPr>
                <w:rFonts w:hint="eastAsia" w:eastAsia="方正仿宋_GBK"/>
                <w:bCs/>
                <w:color w:val="000000"/>
                <w:spacing w:val="-2"/>
                <w:kern w:val="0"/>
                <w:szCs w:val="21"/>
              </w:rPr>
              <w:t>出厂水</w:t>
            </w:r>
          </w:p>
        </w:tc>
        <w:tc>
          <w:tcPr>
            <w:tcW w:w="3200" w:type="dxa"/>
            <w:tcBorders>
              <w:top w:val="nil"/>
              <w:left w:val="nil"/>
              <w:bottom w:val="single" w:color="auto" w:sz="4" w:space="0"/>
              <w:right w:val="single" w:color="auto" w:sz="4" w:space="0"/>
            </w:tcBorders>
            <w:noWrap w:val="0"/>
            <w:vAlign w:val="center"/>
          </w:tcPr>
          <w:p>
            <w:pPr>
              <w:jc w:val="center"/>
              <w:rPr>
                <w:rFonts w:eastAsia="方正仿宋_GBK"/>
                <w:bCs/>
                <w:color w:val="000000"/>
                <w:spacing w:val="-2"/>
                <w:kern w:val="0"/>
                <w:szCs w:val="21"/>
              </w:rPr>
            </w:pPr>
            <w:r>
              <w:rPr>
                <w:rFonts w:hint="eastAsia" w:eastAsia="方正仿宋_GBK"/>
                <w:bCs/>
                <w:color w:val="000000"/>
                <w:spacing w:val="-2"/>
                <w:kern w:val="0"/>
                <w:szCs w:val="21"/>
              </w:rPr>
              <w:t>公示形式</w:t>
            </w:r>
          </w:p>
        </w:tc>
        <w:tc>
          <w:tcPr>
            <w:tcW w:w="2900" w:type="dxa"/>
            <w:tcBorders>
              <w:top w:val="nil"/>
              <w:left w:val="nil"/>
              <w:bottom w:val="single" w:color="auto" w:sz="4" w:space="0"/>
              <w:right w:val="single" w:color="auto" w:sz="4" w:space="0"/>
            </w:tcBorders>
            <w:noWrap w:val="0"/>
            <w:vAlign w:val="center"/>
          </w:tcPr>
          <w:p>
            <w:pPr>
              <w:jc w:val="center"/>
              <w:rPr>
                <w:rFonts w:eastAsia="方正仿宋_GBK"/>
                <w:bCs/>
                <w:color w:val="000000"/>
                <w:spacing w:val="-2"/>
                <w:kern w:val="0"/>
                <w:szCs w:val="21"/>
              </w:rPr>
            </w:pPr>
            <w:r>
              <w:rPr>
                <w:rFonts w:hint="eastAsia" w:eastAsia="方正仿宋_GBK"/>
                <w:bCs/>
                <w:color w:val="000000"/>
                <w:spacing w:val="-2"/>
                <w:kern w:val="0"/>
                <w:szCs w:val="21"/>
              </w:rPr>
              <w:t>公示项目</w:t>
            </w:r>
          </w:p>
        </w:tc>
        <w:tc>
          <w:tcPr>
            <w:tcW w:w="2566" w:type="dxa"/>
            <w:tcBorders>
              <w:top w:val="nil"/>
              <w:left w:val="nil"/>
              <w:bottom w:val="single" w:color="auto" w:sz="4" w:space="0"/>
              <w:right w:val="single" w:color="auto" w:sz="8" w:space="0"/>
            </w:tcBorders>
            <w:noWrap w:val="0"/>
            <w:vAlign w:val="center"/>
          </w:tcPr>
          <w:p>
            <w:pPr>
              <w:jc w:val="center"/>
              <w:rPr>
                <w:rFonts w:eastAsia="方正仿宋_GBK"/>
                <w:bCs/>
                <w:color w:val="000000"/>
                <w:spacing w:val="-2"/>
                <w:kern w:val="0"/>
                <w:szCs w:val="21"/>
              </w:rPr>
            </w:pPr>
            <w:r>
              <w:rPr>
                <w:rFonts w:hint="eastAsia" w:eastAsia="方正仿宋_GBK"/>
                <w:bCs/>
                <w:color w:val="000000"/>
                <w:spacing w:val="-2"/>
                <w:kern w:val="0"/>
                <w:szCs w:val="21"/>
              </w:rPr>
              <w:t>公示频次</w:t>
            </w:r>
          </w:p>
        </w:tc>
      </w:tr>
      <w:tr>
        <w:tblPrEx>
          <w:tblCellMar>
            <w:top w:w="0" w:type="dxa"/>
            <w:left w:w="108" w:type="dxa"/>
            <w:bottom w:w="0" w:type="dxa"/>
            <w:right w:w="108" w:type="dxa"/>
          </w:tblCellMar>
        </w:tblPrEx>
        <w:trPr>
          <w:trHeight w:val="300" w:hRule="atLeast"/>
        </w:trPr>
        <w:tc>
          <w:tcPr>
            <w:tcW w:w="1380" w:type="dxa"/>
            <w:vMerge w:val="continue"/>
            <w:tcBorders>
              <w:top w:val="nil"/>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64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kern w:val="0"/>
                <w:szCs w:val="21"/>
              </w:rPr>
            </w:pPr>
          </w:p>
        </w:tc>
        <w:tc>
          <w:tcPr>
            <w:tcW w:w="19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bCs/>
                <w:color w:val="000000"/>
                <w:spacing w:val="-2"/>
                <w:kern w:val="0"/>
                <w:szCs w:val="21"/>
              </w:rPr>
            </w:pPr>
          </w:p>
        </w:tc>
        <w:tc>
          <w:tcPr>
            <w:tcW w:w="3200" w:type="dxa"/>
            <w:tcBorders>
              <w:top w:val="nil"/>
              <w:left w:val="nil"/>
              <w:bottom w:val="single" w:color="auto" w:sz="4" w:space="0"/>
              <w:right w:val="single" w:color="auto" w:sz="4" w:space="0"/>
            </w:tcBorders>
            <w:noWrap w:val="0"/>
            <w:vAlign w:val="bottom"/>
          </w:tcPr>
          <w:p>
            <w:pPr>
              <w:jc w:val="left"/>
              <w:rPr>
                <w:rFonts w:eastAsia="方正仿宋_GBK"/>
                <w:color w:val="000000"/>
                <w:spacing w:val="-2"/>
                <w:kern w:val="0"/>
                <w:szCs w:val="21"/>
              </w:rPr>
            </w:pPr>
            <w:r>
              <w:rPr>
                <w:rFonts w:hint="eastAsia" w:eastAsia="方正仿宋_GBK"/>
                <w:color w:val="000000"/>
                <w:spacing w:val="-2"/>
                <w:kern w:val="0"/>
                <w:szCs w:val="21"/>
              </w:rPr>
              <w:t>　</w:t>
            </w:r>
          </w:p>
        </w:tc>
        <w:tc>
          <w:tcPr>
            <w:tcW w:w="2900" w:type="dxa"/>
            <w:tcBorders>
              <w:top w:val="nil"/>
              <w:left w:val="nil"/>
              <w:bottom w:val="single" w:color="auto" w:sz="4" w:space="0"/>
              <w:right w:val="single" w:color="auto" w:sz="4" w:space="0"/>
            </w:tcBorders>
            <w:noWrap w:val="0"/>
            <w:vAlign w:val="bottom"/>
          </w:tcPr>
          <w:p>
            <w:pPr>
              <w:jc w:val="left"/>
              <w:rPr>
                <w:rFonts w:eastAsia="方正仿宋_GBK"/>
                <w:color w:val="000000"/>
                <w:spacing w:val="-2"/>
                <w:kern w:val="0"/>
                <w:szCs w:val="21"/>
              </w:rPr>
            </w:pPr>
            <w:r>
              <w:rPr>
                <w:rFonts w:hint="eastAsia" w:eastAsia="方正仿宋_GBK"/>
                <w:color w:val="000000"/>
                <w:spacing w:val="-2"/>
                <w:kern w:val="0"/>
                <w:szCs w:val="21"/>
              </w:rPr>
              <w:t>　</w:t>
            </w:r>
          </w:p>
        </w:tc>
        <w:tc>
          <w:tcPr>
            <w:tcW w:w="2566" w:type="dxa"/>
            <w:tcBorders>
              <w:top w:val="nil"/>
              <w:left w:val="nil"/>
              <w:bottom w:val="single" w:color="auto" w:sz="4" w:space="0"/>
              <w:right w:val="single" w:color="auto" w:sz="8" w:space="0"/>
            </w:tcBorders>
            <w:noWrap w:val="0"/>
            <w:vAlign w:val="bottom"/>
          </w:tcPr>
          <w:p>
            <w:pPr>
              <w:jc w:val="left"/>
              <w:rPr>
                <w:rFonts w:eastAsia="方正仿宋_GBK"/>
                <w:color w:val="000000"/>
                <w:spacing w:val="-2"/>
                <w:kern w:val="0"/>
                <w:szCs w:val="21"/>
              </w:rPr>
            </w:pPr>
            <w:r>
              <w:rPr>
                <w:rFonts w:hint="eastAsia" w:eastAsia="方正仿宋_GBK"/>
                <w:color w:val="000000"/>
                <w:spacing w:val="-2"/>
                <w:kern w:val="0"/>
                <w:szCs w:val="21"/>
              </w:rPr>
              <w:t>　</w:t>
            </w:r>
          </w:p>
        </w:tc>
      </w:tr>
      <w:tr>
        <w:tblPrEx>
          <w:tblCellMar>
            <w:top w:w="0" w:type="dxa"/>
            <w:left w:w="108" w:type="dxa"/>
            <w:bottom w:w="0" w:type="dxa"/>
            <w:right w:w="108" w:type="dxa"/>
          </w:tblCellMar>
        </w:tblPrEx>
        <w:trPr>
          <w:trHeight w:val="300" w:hRule="atLeast"/>
        </w:trPr>
        <w:tc>
          <w:tcPr>
            <w:tcW w:w="1380" w:type="dxa"/>
            <w:vMerge w:val="continue"/>
            <w:tcBorders>
              <w:top w:val="nil"/>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64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kern w:val="0"/>
                <w:szCs w:val="21"/>
              </w:rPr>
            </w:pPr>
          </w:p>
        </w:tc>
        <w:tc>
          <w:tcPr>
            <w:tcW w:w="19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bCs/>
                <w:color w:val="000000"/>
                <w:spacing w:val="-2"/>
                <w:kern w:val="0"/>
                <w:szCs w:val="21"/>
              </w:rPr>
            </w:pPr>
          </w:p>
        </w:tc>
        <w:tc>
          <w:tcPr>
            <w:tcW w:w="3200" w:type="dxa"/>
            <w:tcBorders>
              <w:top w:val="nil"/>
              <w:left w:val="nil"/>
              <w:bottom w:val="single" w:color="auto" w:sz="4" w:space="0"/>
              <w:right w:val="single" w:color="auto" w:sz="4" w:space="0"/>
            </w:tcBorders>
            <w:noWrap w:val="0"/>
            <w:vAlign w:val="bottom"/>
          </w:tcPr>
          <w:p>
            <w:pPr>
              <w:jc w:val="left"/>
              <w:rPr>
                <w:rFonts w:eastAsia="方正仿宋_GBK"/>
                <w:color w:val="000000"/>
                <w:spacing w:val="-2"/>
                <w:kern w:val="0"/>
                <w:szCs w:val="21"/>
              </w:rPr>
            </w:pPr>
            <w:r>
              <w:rPr>
                <w:rFonts w:hint="eastAsia" w:eastAsia="方正仿宋_GBK"/>
                <w:color w:val="000000"/>
                <w:spacing w:val="-2"/>
                <w:kern w:val="0"/>
                <w:szCs w:val="21"/>
              </w:rPr>
              <w:t>　</w:t>
            </w:r>
          </w:p>
        </w:tc>
        <w:tc>
          <w:tcPr>
            <w:tcW w:w="2900" w:type="dxa"/>
            <w:tcBorders>
              <w:top w:val="nil"/>
              <w:left w:val="nil"/>
              <w:bottom w:val="single" w:color="auto" w:sz="4" w:space="0"/>
              <w:right w:val="single" w:color="auto" w:sz="4" w:space="0"/>
            </w:tcBorders>
            <w:noWrap w:val="0"/>
            <w:vAlign w:val="bottom"/>
          </w:tcPr>
          <w:p>
            <w:pPr>
              <w:jc w:val="left"/>
              <w:rPr>
                <w:rFonts w:eastAsia="方正仿宋_GBK"/>
                <w:color w:val="000000"/>
                <w:spacing w:val="-2"/>
                <w:kern w:val="0"/>
                <w:szCs w:val="21"/>
              </w:rPr>
            </w:pPr>
            <w:r>
              <w:rPr>
                <w:rFonts w:hint="eastAsia" w:eastAsia="方正仿宋_GBK"/>
                <w:color w:val="000000"/>
                <w:spacing w:val="-2"/>
                <w:kern w:val="0"/>
                <w:szCs w:val="21"/>
              </w:rPr>
              <w:t>　</w:t>
            </w:r>
          </w:p>
        </w:tc>
        <w:tc>
          <w:tcPr>
            <w:tcW w:w="2566" w:type="dxa"/>
            <w:tcBorders>
              <w:top w:val="nil"/>
              <w:left w:val="nil"/>
              <w:bottom w:val="single" w:color="auto" w:sz="4" w:space="0"/>
              <w:right w:val="single" w:color="auto" w:sz="8" w:space="0"/>
            </w:tcBorders>
            <w:noWrap w:val="0"/>
            <w:vAlign w:val="bottom"/>
          </w:tcPr>
          <w:p>
            <w:pPr>
              <w:jc w:val="left"/>
              <w:rPr>
                <w:rFonts w:eastAsia="方正仿宋_GBK"/>
                <w:color w:val="000000"/>
                <w:spacing w:val="-2"/>
                <w:kern w:val="0"/>
                <w:szCs w:val="21"/>
              </w:rPr>
            </w:pPr>
            <w:r>
              <w:rPr>
                <w:rFonts w:hint="eastAsia" w:eastAsia="方正仿宋_GBK"/>
                <w:color w:val="000000"/>
                <w:spacing w:val="-2"/>
                <w:kern w:val="0"/>
                <w:szCs w:val="21"/>
              </w:rPr>
              <w:t>　</w:t>
            </w:r>
          </w:p>
        </w:tc>
      </w:tr>
      <w:tr>
        <w:tblPrEx>
          <w:tblCellMar>
            <w:top w:w="0" w:type="dxa"/>
            <w:left w:w="108" w:type="dxa"/>
            <w:bottom w:w="0" w:type="dxa"/>
            <w:right w:w="108" w:type="dxa"/>
          </w:tblCellMar>
        </w:tblPrEx>
        <w:trPr>
          <w:trHeight w:val="300" w:hRule="atLeast"/>
        </w:trPr>
        <w:tc>
          <w:tcPr>
            <w:tcW w:w="1380" w:type="dxa"/>
            <w:vMerge w:val="continue"/>
            <w:tcBorders>
              <w:top w:val="nil"/>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64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kern w:val="0"/>
                <w:szCs w:val="21"/>
              </w:rPr>
            </w:pPr>
          </w:p>
        </w:tc>
        <w:tc>
          <w:tcPr>
            <w:tcW w:w="19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bCs/>
                <w:color w:val="000000"/>
                <w:spacing w:val="-2"/>
                <w:kern w:val="0"/>
                <w:szCs w:val="21"/>
              </w:rPr>
            </w:pPr>
          </w:p>
        </w:tc>
        <w:tc>
          <w:tcPr>
            <w:tcW w:w="3200" w:type="dxa"/>
            <w:tcBorders>
              <w:top w:val="nil"/>
              <w:left w:val="nil"/>
              <w:bottom w:val="single" w:color="auto" w:sz="4" w:space="0"/>
              <w:right w:val="single" w:color="auto" w:sz="4" w:space="0"/>
            </w:tcBorders>
            <w:noWrap w:val="0"/>
            <w:vAlign w:val="bottom"/>
          </w:tcPr>
          <w:p>
            <w:pPr>
              <w:jc w:val="left"/>
              <w:rPr>
                <w:rFonts w:eastAsia="方正仿宋_GBK"/>
                <w:color w:val="000000"/>
                <w:spacing w:val="-2"/>
                <w:kern w:val="0"/>
                <w:szCs w:val="21"/>
              </w:rPr>
            </w:pPr>
            <w:r>
              <w:rPr>
                <w:rFonts w:hint="eastAsia" w:eastAsia="方正仿宋_GBK"/>
                <w:color w:val="000000"/>
                <w:spacing w:val="-2"/>
                <w:kern w:val="0"/>
                <w:szCs w:val="21"/>
              </w:rPr>
              <w:t>　</w:t>
            </w:r>
          </w:p>
        </w:tc>
        <w:tc>
          <w:tcPr>
            <w:tcW w:w="2900" w:type="dxa"/>
            <w:tcBorders>
              <w:top w:val="nil"/>
              <w:left w:val="nil"/>
              <w:bottom w:val="single" w:color="auto" w:sz="4" w:space="0"/>
              <w:right w:val="single" w:color="auto" w:sz="4" w:space="0"/>
            </w:tcBorders>
            <w:noWrap w:val="0"/>
            <w:vAlign w:val="bottom"/>
          </w:tcPr>
          <w:p>
            <w:pPr>
              <w:jc w:val="left"/>
              <w:rPr>
                <w:rFonts w:eastAsia="方正仿宋_GBK"/>
                <w:color w:val="000000"/>
                <w:spacing w:val="-2"/>
                <w:kern w:val="0"/>
                <w:szCs w:val="21"/>
              </w:rPr>
            </w:pPr>
            <w:r>
              <w:rPr>
                <w:rFonts w:hint="eastAsia" w:eastAsia="方正仿宋_GBK"/>
                <w:color w:val="000000"/>
                <w:spacing w:val="-2"/>
                <w:kern w:val="0"/>
                <w:szCs w:val="21"/>
              </w:rPr>
              <w:t>　</w:t>
            </w:r>
          </w:p>
        </w:tc>
        <w:tc>
          <w:tcPr>
            <w:tcW w:w="2566" w:type="dxa"/>
            <w:tcBorders>
              <w:top w:val="nil"/>
              <w:left w:val="nil"/>
              <w:bottom w:val="single" w:color="auto" w:sz="4" w:space="0"/>
              <w:right w:val="single" w:color="auto" w:sz="8" w:space="0"/>
            </w:tcBorders>
            <w:noWrap w:val="0"/>
            <w:vAlign w:val="bottom"/>
          </w:tcPr>
          <w:p>
            <w:pPr>
              <w:jc w:val="left"/>
              <w:rPr>
                <w:rFonts w:eastAsia="方正仿宋_GBK"/>
                <w:color w:val="000000"/>
                <w:spacing w:val="-2"/>
                <w:kern w:val="0"/>
                <w:szCs w:val="21"/>
              </w:rPr>
            </w:pPr>
            <w:r>
              <w:rPr>
                <w:rFonts w:hint="eastAsia" w:eastAsia="方正仿宋_GBK"/>
                <w:color w:val="000000"/>
                <w:spacing w:val="-2"/>
                <w:kern w:val="0"/>
                <w:szCs w:val="21"/>
              </w:rPr>
              <w:t>　</w:t>
            </w:r>
          </w:p>
        </w:tc>
      </w:tr>
      <w:tr>
        <w:tblPrEx>
          <w:tblCellMar>
            <w:top w:w="0" w:type="dxa"/>
            <w:left w:w="108" w:type="dxa"/>
            <w:bottom w:w="0" w:type="dxa"/>
            <w:right w:w="108" w:type="dxa"/>
          </w:tblCellMar>
        </w:tblPrEx>
        <w:trPr>
          <w:trHeight w:val="300" w:hRule="atLeast"/>
        </w:trPr>
        <w:tc>
          <w:tcPr>
            <w:tcW w:w="1380" w:type="dxa"/>
            <w:vMerge w:val="continue"/>
            <w:tcBorders>
              <w:top w:val="nil"/>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64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kern w:val="0"/>
                <w:szCs w:val="21"/>
              </w:rPr>
            </w:pPr>
          </w:p>
        </w:tc>
        <w:tc>
          <w:tcPr>
            <w:tcW w:w="19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bCs/>
                <w:color w:val="000000"/>
                <w:spacing w:val="-2"/>
                <w:kern w:val="0"/>
                <w:szCs w:val="21"/>
              </w:rPr>
            </w:pPr>
          </w:p>
        </w:tc>
        <w:tc>
          <w:tcPr>
            <w:tcW w:w="3200" w:type="dxa"/>
            <w:tcBorders>
              <w:top w:val="nil"/>
              <w:left w:val="nil"/>
              <w:bottom w:val="single" w:color="auto" w:sz="4" w:space="0"/>
              <w:right w:val="single" w:color="auto" w:sz="4" w:space="0"/>
            </w:tcBorders>
            <w:noWrap w:val="0"/>
            <w:vAlign w:val="bottom"/>
          </w:tcPr>
          <w:p>
            <w:pPr>
              <w:jc w:val="left"/>
              <w:rPr>
                <w:rFonts w:eastAsia="方正仿宋_GBK"/>
                <w:color w:val="000000"/>
                <w:spacing w:val="-2"/>
                <w:kern w:val="0"/>
                <w:szCs w:val="21"/>
              </w:rPr>
            </w:pPr>
            <w:r>
              <w:rPr>
                <w:rFonts w:hint="eastAsia" w:eastAsia="方正仿宋_GBK"/>
                <w:color w:val="000000"/>
                <w:spacing w:val="-2"/>
                <w:kern w:val="0"/>
                <w:szCs w:val="21"/>
              </w:rPr>
              <w:t>　</w:t>
            </w:r>
          </w:p>
        </w:tc>
        <w:tc>
          <w:tcPr>
            <w:tcW w:w="2900" w:type="dxa"/>
            <w:tcBorders>
              <w:top w:val="nil"/>
              <w:left w:val="nil"/>
              <w:bottom w:val="single" w:color="auto" w:sz="4" w:space="0"/>
              <w:right w:val="single" w:color="auto" w:sz="4" w:space="0"/>
            </w:tcBorders>
            <w:noWrap w:val="0"/>
            <w:vAlign w:val="bottom"/>
          </w:tcPr>
          <w:p>
            <w:pPr>
              <w:jc w:val="left"/>
              <w:rPr>
                <w:rFonts w:eastAsia="方正仿宋_GBK"/>
                <w:color w:val="000000"/>
                <w:spacing w:val="-2"/>
                <w:kern w:val="0"/>
                <w:szCs w:val="21"/>
              </w:rPr>
            </w:pPr>
            <w:r>
              <w:rPr>
                <w:rFonts w:hint="eastAsia" w:eastAsia="方正仿宋_GBK"/>
                <w:color w:val="000000"/>
                <w:spacing w:val="-2"/>
                <w:kern w:val="0"/>
                <w:szCs w:val="21"/>
              </w:rPr>
              <w:t>　</w:t>
            </w:r>
          </w:p>
        </w:tc>
        <w:tc>
          <w:tcPr>
            <w:tcW w:w="2566" w:type="dxa"/>
            <w:tcBorders>
              <w:top w:val="nil"/>
              <w:left w:val="nil"/>
              <w:bottom w:val="single" w:color="auto" w:sz="4" w:space="0"/>
              <w:right w:val="single" w:color="auto" w:sz="8" w:space="0"/>
            </w:tcBorders>
            <w:noWrap w:val="0"/>
            <w:vAlign w:val="bottom"/>
          </w:tcPr>
          <w:p>
            <w:pPr>
              <w:jc w:val="left"/>
              <w:rPr>
                <w:rFonts w:eastAsia="方正仿宋_GBK"/>
                <w:color w:val="000000"/>
                <w:spacing w:val="-2"/>
                <w:kern w:val="0"/>
                <w:szCs w:val="21"/>
              </w:rPr>
            </w:pPr>
            <w:r>
              <w:rPr>
                <w:rFonts w:hint="eastAsia" w:eastAsia="方正仿宋_GBK"/>
                <w:color w:val="000000"/>
                <w:spacing w:val="-2"/>
                <w:kern w:val="0"/>
                <w:szCs w:val="21"/>
              </w:rPr>
              <w:t>　</w:t>
            </w:r>
          </w:p>
        </w:tc>
      </w:tr>
      <w:tr>
        <w:tblPrEx>
          <w:tblCellMar>
            <w:top w:w="0" w:type="dxa"/>
            <w:left w:w="108" w:type="dxa"/>
            <w:bottom w:w="0" w:type="dxa"/>
            <w:right w:w="108" w:type="dxa"/>
          </w:tblCellMar>
        </w:tblPrEx>
        <w:trPr>
          <w:trHeight w:val="578" w:hRule="atLeast"/>
        </w:trPr>
        <w:tc>
          <w:tcPr>
            <w:tcW w:w="1380" w:type="dxa"/>
            <w:vMerge w:val="continue"/>
            <w:tcBorders>
              <w:top w:val="nil"/>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64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kern w:val="0"/>
                <w:szCs w:val="21"/>
              </w:rPr>
            </w:pPr>
          </w:p>
        </w:tc>
        <w:tc>
          <w:tcPr>
            <w:tcW w:w="1980" w:type="dxa"/>
            <w:vMerge w:val="restart"/>
            <w:tcBorders>
              <w:top w:val="nil"/>
              <w:left w:val="single" w:color="auto" w:sz="4" w:space="0"/>
              <w:bottom w:val="single" w:color="000000" w:sz="4" w:space="0"/>
              <w:right w:val="single" w:color="auto" w:sz="4" w:space="0"/>
            </w:tcBorders>
            <w:noWrap w:val="0"/>
            <w:vAlign w:val="center"/>
          </w:tcPr>
          <w:p>
            <w:pPr>
              <w:jc w:val="center"/>
              <w:rPr>
                <w:rFonts w:eastAsia="方正仿宋_GBK"/>
                <w:bCs/>
                <w:color w:val="000000"/>
                <w:spacing w:val="-2"/>
                <w:kern w:val="0"/>
                <w:szCs w:val="21"/>
              </w:rPr>
            </w:pPr>
            <w:r>
              <w:rPr>
                <w:rFonts w:hint="eastAsia" w:eastAsia="方正仿宋_GBK"/>
                <w:bCs/>
                <w:color w:val="000000"/>
                <w:spacing w:val="-2"/>
                <w:kern w:val="0"/>
                <w:szCs w:val="21"/>
              </w:rPr>
              <w:t>管网水</w:t>
            </w:r>
          </w:p>
          <w:p>
            <w:pPr>
              <w:jc w:val="center"/>
              <w:rPr>
                <w:rFonts w:eastAsia="方正仿宋_GBK"/>
                <w:bCs/>
                <w:color w:val="000000"/>
                <w:spacing w:val="-2"/>
                <w:kern w:val="0"/>
                <w:szCs w:val="21"/>
              </w:rPr>
            </w:pPr>
            <w:r>
              <w:rPr>
                <w:rFonts w:hint="eastAsia" w:eastAsia="方正仿宋_GBK"/>
                <w:bCs/>
                <w:color w:val="000000"/>
                <w:spacing w:val="-2"/>
                <w:kern w:val="0"/>
                <w:szCs w:val="21"/>
              </w:rPr>
              <w:t>（含管网末梢水）</w:t>
            </w:r>
          </w:p>
        </w:tc>
        <w:tc>
          <w:tcPr>
            <w:tcW w:w="3200" w:type="dxa"/>
            <w:tcBorders>
              <w:top w:val="nil"/>
              <w:left w:val="nil"/>
              <w:bottom w:val="single" w:color="auto" w:sz="4" w:space="0"/>
              <w:right w:val="single" w:color="auto" w:sz="4" w:space="0"/>
            </w:tcBorders>
            <w:noWrap w:val="0"/>
            <w:vAlign w:val="center"/>
          </w:tcPr>
          <w:p>
            <w:pPr>
              <w:jc w:val="center"/>
              <w:rPr>
                <w:rFonts w:eastAsia="方正仿宋_GBK"/>
                <w:bCs/>
                <w:color w:val="000000"/>
                <w:spacing w:val="-2"/>
                <w:kern w:val="0"/>
                <w:szCs w:val="21"/>
              </w:rPr>
            </w:pPr>
            <w:r>
              <w:rPr>
                <w:rFonts w:hint="eastAsia" w:eastAsia="方正仿宋_GBK"/>
                <w:bCs/>
                <w:color w:val="000000"/>
                <w:spacing w:val="-2"/>
                <w:kern w:val="0"/>
                <w:szCs w:val="21"/>
              </w:rPr>
              <w:t>公示形式</w:t>
            </w:r>
          </w:p>
        </w:tc>
        <w:tc>
          <w:tcPr>
            <w:tcW w:w="2900" w:type="dxa"/>
            <w:tcBorders>
              <w:top w:val="nil"/>
              <w:left w:val="nil"/>
              <w:bottom w:val="single" w:color="auto" w:sz="4" w:space="0"/>
              <w:right w:val="single" w:color="auto" w:sz="4" w:space="0"/>
            </w:tcBorders>
            <w:noWrap w:val="0"/>
            <w:vAlign w:val="center"/>
          </w:tcPr>
          <w:p>
            <w:pPr>
              <w:jc w:val="center"/>
              <w:rPr>
                <w:rFonts w:eastAsia="方正仿宋_GBK"/>
                <w:bCs/>
                <w:color w:val="000000"/>
                <w:spacing w:val="-2"/>
                <w:kern w:val="0"/>
                <w:szCs w:val="21"/>
              </w:rPr>
            </w:pPr>
            <w:r>
              <w:rPr>
                <w:rFonts w:hint="eastAsia" w:eastAsia="方正仿宋_GBK"/>
                <w:bCs/>
                <w:color w:val="000000"/>
                <w:spacing w:val="-2"/>
                <w:kern w:val="0"/>
                <w:szCs w:val="21"/>
              </w:rPr>
              <w:t>公示项目</w:t>
            </w:r>
          </w:p>
        </w:tc>
        <w:tc>
          <w:tcPr>
            <w:tcW w:w="2566" w:type="dxa"/>
            <w:tcBorders>
              <w:top w:val="nil"/>
              <w:left w:val="nil"/>
              <w:bottom w:val="single" w:color="auto" w:sz="4" w:space="0"/>
              <w:right w:val="single" w:color="auto" w:sz="8" w:space="0"/>
            </w:tcBorders>
            <w:noWrap w:val="0"/>
            <w:vAlign w:val="center"/>
          </w:tcPr>
          <w:p>
            <w:pPr>
              <w:jc w:val="center"/>
              <w:rPr>
                <w:rFonts w:eastAsia="方正仿宋_GBK"/>
                <w:bCs/>
                <w:color w:val="000000"/>
                <w:spacing w:val="-2"/>
                <w:kern w:val="0"/>
                <w:szCs w:val="21"/>
              </w:rPr>
            </w:pPr>
            <w:r>
              <w:rPr>
                <w:rFonts w:hint="eastAsia" w:eastAsia="方正仿宋_GBK"/>
                <w:bCs/>
                <w:color w:val="000000"/>
                <w:spacing w:val="-2"/>
                <w:kern w:val="0"/>
                <w:szCs w:val="21"/>
              </w:rPr>
              <w:t>公示频次</w:t>
            </w:r>
          </w:p>
        </w:tc>
      </w:tr>
      <w:tr>
        <w:tblPrEx>
          <w:tblCellMar>
            <w:top w:w="0" w:type="dxa"/>
            <w:left w:w="108" w:type="dxa"/>
            <w:bottom w:w="0" w:type="dxa"/>
            <w:right w:w="108" w:type="dxa"/>
          </w:tblCellMar>
        </w:tblPrEx>
        <w:trPr>
          <w:trHeight w:val="300" w:hRule="atLeast"/>
        </w:trPr>
        <w:tc>
          <w:tcPr>
            <w:tcW w:w="1380" w:type="dxa"/>
            <w:vMerge w:val="continue"/>
            <w:tcBorders>
              <w:top w:val="nil"/>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64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kern w:val="0"/>
                <w:szCs w:val="21"/>
              </w:rPr>
            </w:pPr>
          </w:p>
        </w:tc>
        <w:tc>
          <w:tcPr>
            <w:tcW w:w="19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bCs/>
                <w:color w:val="000000"/>
                <w:spacing w:val="-2"/>
                <w:kern w:val="0"/>
                <w:szCs w:val="21"/>
              </w:rPr>
            </w:pPr>
          </w:p>
        </w:tc>
        <w:tc>
          <w:tcPr>
            <w:tcW w:w="3200" w:type="dxa"/>
            <w:tcBorders>
              <w:top w:val="nil"/>
              <w:left w:val="nil"/>
              <w:bottom w:val="single" w:color="auto" w:sz="4" w:space="0"/>
              <w:right w:val="single" w:color="auto" w:sz="4" w:space="0"/>
            </w:tcBorders>
            <w:noWrap w:val="0"/>
            <w:vAlign w:val="bottom"/>
          </w:tcPr>
          <w:p>
            <w:pPr>
              <w:jc w:val="left"/>
              <w:rPr>
                <w:rFonts w:eastAsia="方正仿宋_GBK"/>
                <w:color w:val="000000"/>
                <w:spacing w:val="-2"/>
                <w:kern w:val="0"/>
                <w:szCs w:val="21"/>
              </w:rPr>
            </w:pPr>
            <w:r>
              <w:rPr>
                <w:rFonts w:hint="eastAsia" w:eastAsia="方正仿宋_GBK"/>
                <w:color w:val="000000"/>
                <w:spacing w:val="-2"/>
                <w:kern w:val="0"/>
                <w:szCs w:val="21"/>
              </w:rPr>
              <w:t>　</w:t>
            </w:r>
          </w:p>
        </w:tc>
        <w:tc>
          <w:tcPr>
            <w:tcW w:w="2900" w:type="dxa"/>
            <w:tcBorders>
              <w:top w:val="nil"/>
              <w:left w:val="nil"/>
              <w:bottom w:val="single" w:color="auto" w:sz="4" w:space="0"/>
              <w:right w:val="single" w:color="auto" w:sz="4" w:space="0"/>
            </w:tcBorders>
            <w:noWrap w:val="0"/>
            <w:vAlign w:val="bottom"/>
          </w:tcPr>
          <w:p>
            <w:pPr>
              <w:jc w:val="left"/>
              <w:rPr>
                <w:rFonts w:eastAsia="方正仿宋_GBK"/>
                <w:color w:val="000000"/>
                <w:spacing w:val="-2"/>
                <w:kern w:val="0"/>
                <w:szCs w:val="21"/>
              </w:rPr>
            </w:pPr>
            <w:r>
              <w:rPr>
                <w:rFonts w:hint="eastAsia" w:eastAsia="方正仿宋_GBK"/>
                <w:color w:val="000000"/>
                <w:spacing w:val="-2"/>
                <w:kern w:val="0"/>
                <w:szCs w:val="21"/>
              </w:rPr>
              <w:t>　</w:t>
            </w:r>
          </w:p>
        </w:tc>
        <w:tc>
          <w:tcPr>
            <w:tcW w:w="2566" w:type="dxa"/>
            <w:tcBorders>
              <w:top w:val="nil"/>
              <w:left w:val="nil"/>
              <w:bottom w:val="single" w:color="auto" w:sz="4" w:space="0"/>
              <w:right w:val="single" w:color="auto" w:sz="8" w:space="0"/>
            </w:tcBorders>
            <w:noWrap w:val="0"/>
            <w:vAlign w:val="bottom"/>
          </w:tcPr>
          <w:p>
            <w:pPr>
              <w:jc w:val="left"/>
              <w:rPr>
                <w:rFonts w:eastAsia="方正仿宋_GBK"/>
                <w:color w:val="000000"/>
                <w:spacing w:val="-2"/>
                <w:kern w:val="0"/>
                <w:szCs w:val="21"/>
              </w:rPr>
            </w:pPr>
            <w:r>
              <w:rPr>
                <w:rFonts w:hint="eastAsia" w:eastAsia="方正仿宋_GBK"/>
                <w:color w:val="000000"/>
                <w:spacing w:val="-2"/>
                <w:kern w:val="0"/>
                <w:szCs w:val="21"/>
              </w:rPr>
              <w:t>　</w:t>
            </w:r>
          </w:p>
        </w:tc>
      </w:tr>
      <w:tr>
        <w:tblPrEx>
          <w:tblCellMar>
            <w:top w:w="0" w:type="dxa"/>
            <w:left w:w="108" w:type="dxa"/>
            <w:bottom w:w="0" w:type="dxa"/>
            <w:right w:w="108" w:type="dxa"/>
          </w:tblCellMar>
        </w:tblPrEx>
        <w:trPr>
          <w:trHeight w:val="300" w:hRule="atLeast"/>
        </w:trPr>
        <w:tc>
          <w:tcPr>
            <w:tcW w:w="1380" w:type="dxa"/>
            <w:vMerge w:val="continue"/>
            <w:tcBorders>
              <w:top w:val="nil"/>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64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kern w:val="0"/>
                <w:szCs w:val="21"/>
              </w:rPr>
            </w:pPr>
          </w:p>
        </w:tc>
        <w:tc>
          <w:tcPr>
            <w:tcW w:w="19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bCs/>
                <w:color w:val="000000"/>
                <w:spacing w:val="-2"/>
                <w:kern w:val="0"/>
                <w:szCs w:val="21"/>
              </w:rPr>
            </w:pPr>
          </w:p>
        </w:tc>
        <w:tc>
          <w:tcPr>
            <w:tcW w:w="3200" w:type="dxa"/>
            <w:tcBorders>
              <w:top w:val="nil"/>
              <w:left w:val="nil"/>
              <w:bottom w:val="single" w:color="auto" w:sz="4" w:space="0"/>
              <w:right w:val="single" w:color="auto" w:sz="4" w:space="0"/>
            </w:tcBorders>
            <w:noWrap w:val="0"/>
            <w:vAlign w:val="bottom"/>
          </w:tcPr>
          <w:p>
            <w:pPr>
              <w:jc w:val="left"/>
              <w:rPr>
                <w:rFonts w:eastAsia="方正仿宋_GBK"/>
                <w:color w:val="000000"/>
                <w:spacing w:val="-2"/>
                <w:kern w:val="0"/>
                <w:szCs w:val="21"/>
              </w:rPr>
            </w:pPr>
            <w:r>
              <w:rPr>
                <w:rFonts w:hint="eastAsia" w:eastAsia="方正仿宋_GBK"/>
                <w:color w:val="000000"/>
                <w:spacing w:val="-2"/>
                <w:kern w:val="0"/>
                <w:szCs w:val="21"/>
              </w:rPr>
              <w:t>　</w:t>
            </w:r>
          </w:p>
        </w:tc>
        <w:tc>
          <w:tcPr>
            <w:tcW w:w="2900" w:type="dxa"/>
            <w:tcBorders>
              <w:top w:val="nil"/>
              <w:left w:val="nil"/>
              <w:bottom w:val="single" w:color="auto" w:sz="4" w:space="0"/>
              <w:right w:val="single" w:color="auto" w:sz="4" w:space="0"/>
            </w:tcBorders>
            <w:noWrap w:val="0"/>
            <w:vAlign w:val="bottom"/>
          </w:tcPr>
          <w:p>
            <w:pPr>
              <w:jc w:val="left"/>
              <w:rPr>
                <w:rFonts w:eastAsia="方正仿宋_GBK"/>
                <w:color w:val="000000"/>
                <w:spacing w:val="-2"/>
                <w:kern w:val="0"/>
                <w:szCs w:val="21"/>
              </w:rPr>
            </w:pPr>
            <w:r>
              <w:rPr>
                <w:rFonts w:hint="eastAsia" w:eastAsia="方正仿宋_GBK"/>
                <w:color w:val="000000"/>
                <w:spacing w:val="-2"/>
                <w:kern w:val="0"/>
                <w:szCs w:val="21"/>
              </w:rPr>
              <w:t>　</w:t>
            </w:r>
          </w:p>
        </w:tc>
        <w:tc>
          <w:tcPr>
            <w:tcW w:w="2566" w:type="dxa"/>
            <w:tcBorders>
              <w:top w:val="nil"/>
              <w:left w:val="nil"/>
              <w:bottom w:val="single" w:color="auto" w:sz="4" w:space="0"/>
              <w:right w:val="single" w:color="auto" w:sz="8" w:space="0"/>
            </w:tcBorders>
            <w:noWrap w:val="0"/>
            <w:vAlign w:val="bottom"/>
          </w:tcPr>
          <w:p>
            <w:pPr>
              <w:jc w:val="left"/>
              <w:rPr>
                <w:rFonts w:eastAsia="方正仿宋_GBK"/>
                <w:color w:val="000000"/>
                <w:spacing w:val="-2"/>
                <w:kern w:val="0"/>
                <w:szCs w:val="21"/>
              </w:rPr>
            </w:pPr>
            <w:r>
              <w:rPr>
                <w:rFonts w:hint="eastAsia" w:eastAsia="方正仿宋_GBK"/>
                <w:color w:val="000000"/>
                <w:spacing w:val="-2"/>
                <w:kern w:val="0"/>
                <w:szCs w:val="21"/>
              </w:rPr>
              <w:t>　</w:t>
            </w:r>
          </w:p>
        </w:tc>
      </w:tr>
      <w:tr>
        <w:tblPrEx>
          <w:tblCellMar>
            <w:top w:w="0" w:type="dxa"/>
            <w:left w:w="108" w:type="dxa"/>
            <w:bottom w:w="0" w:type="dxa"/>
            <w:right w:w="108" w:type="dxa"/>
          </w:tblCellMar>
        </w:tblPrEx>
        <w:trPr>
          <w:trHeight w:val="300" w:hRule="atLeast"/>
        </w:trPr>
        <w:tc>
          <w:tcPr>
            <w:tcW w:w="1380" w:type="dxa"/>
            <w:vMerge w:val="continue"/>
            <w:tcBorders>
              <w:top w:val="nil"/>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64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kern w:val="0"/>
                <w:szCs w:val="21"/>
              </w:rPr>
            </w:pPr>
          </w:p>
        </w:tc>
        <w:tc>
          <w:tcPr>
            <w:tcW w:w="19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bCs/>
                <w:color w:val="000000"/>
                <w:spacing w:val="-2"/>
                <w:kern w:val="0"/>
                <w:szCs w:val="21"/>
              </w:rPr>
            </w:pPr>
          </w:p>
        </w:tc>
        <w:tc>
          <w:tcPr>
            <w:tcW w:w="3200" w:type="dxa"/>
            <w:tcBorders>
              <w:top w:val="nil"/>
              <w:left w:val="nil"/>
              <w:bottom w:val="single" w:color="auto" w:sz="4" w:space="0"/>
              <w:right w:val="single" w:color="auto" w:sz="4" w:space="0"/>
            </w:tcBorders>
            <w:noWrap w:val="0"/>
            <w:vAlign w:val="bottom"/>
          </w:tcPr>
          <w:p>
            <w:pPr>
              <w:jc w:val="left"/>
              <w:rPr>
                <w:rFonts w:eastAsia="方正仿宋_GBK"/>
                <w:color w:val="000000"/>
                <w:spacing w:val="-2"/>
                <w:kern w:val="0"/>
                <w:szCs w:val="21"/>
              </w:rPr>
            </w:pPr>
            <w:r>
              <w:rPr>
                <w:rFonts w:hint="eastAsia" w:eastAsia="方正仿宋_GBK"/>
                <w:color w:val="000000"/>
                <w:spacing w:val="-2"/>
                <w:kern w:val="0"/>
                <w:szCs w:val="21"/>
              </w:rPr>
              <w:t>　</w:t>
            </w:r>
          </w:p>
        </w:tc>
        <w:tc>
          <w:tcPr>
            <w:tcW w:w="2900" w:type="dxa"/>
            <w:tcBorders>
              <w:top w:val="nil"/>
              <w:left w:val="nil"/>
              <w:bottom w:val="single" w:color="auto" w:sz="4" w:space="0"/>
              <w:right w:val="single" w:color="auto" w:sz="4" w:space="0"/>
            </w:tcBorders>
            <w:noWrap w:val="0"/>
            <w:vAlign w:val="bottom"/>
          </w:tcPr>
          <w:p>
            <w:pPr>
              <w:jc w:val="left"/>
              <w:rPr>
                <w:rFonts w:eastAsia="方正仿宋_GBK"/>
                <w:color w:val="000000"/>
                <w:spacing w:val="-2"/>
                <w:kern w:val="0"/>
                <w:szCs w:val="21"/>
              </w:rPr>
            </w:pPr>
            <w:r>
              <w:rPr>
                <w:rFonts w:hint="eastAsia" w:eastAsia="方正仿宋_GBK"/>
                <w:color w:val="000000"/>
                <w:spacing w:val="-2"/>
                <w:kern w:val="0"/>
                <w:szCs w:val="21"/>
              </w:rPr>
              <w:t>　</w:t>
            </w:r>
          </w:p>
        </w:tc>
        <w:tc>
          <w:tcPr>
            <w:tcW w:w="2566" w:type="dxa"/>
            <w:tcBorders>
              <w:top w:val="nil"/>
              <w:left w:val="nil"/>
              <w:bottom w:val="single" w:color="auto" w:sz="4" w:space="0"/>
              <w:right w:val="single" w:color="auto" w:sz="8" w:space="0"/>
            </w:tcBorders>
            <w:noWrap w:val="0"/>
            <w:vAlign w:val="bottom"/>
          </w:tcPr>
          <w:p>
            <w:pPr>
              <w:jc w:val="left"/>
              <w:rPr>
                <w:rFonts w:eastAsia="方正仿宋_GBK"/>
                <w:color w:val="000000"/>
                <w:spacing w:val="-2"/>
                <w:kern w:val="0"/>
                <w:szCs w:val="21"/>
              </w:rPr>
            </w:pPr>
            <w:r>
              <w:rPr>
                <w:rFonts w:hint="eastAsia" w:eastAsia="方正仿宋_GBK"/>
                <w:color w:val="000000"/>
                <w:spacing w:val="-2"/>
                <w:kern w:val="0"/>
                <w:szCs w:val="21"/>
              </w:rPr>
              <w:t>　</w:t>
            </w:r>
          </w:p>
        </w:tc>
      </w:tr>
      <w:tr>
        <w:tblPrEx>
          <w:tblCellMar>
            <w:top w:w="0" w:type="dxa"/>
            <w:left w:w="108" w:type="dxa"/>
            <w:bottom w:w="0" w:type="dxa"/>
            <w:right w:w="108" w:type="dxa"/>
          </w:tblCellMar>
        </w:tblPrEx>
        <w:trPr>
          <w:trHeight w:val="300" w:hRule="atLeast"/>
        </w:trPr>
        <w:tc>
          <w:tcPr>
            <w:tcW w:w="1380" w:type="dxa"/>
            <w:vMerge w:val="continue"/>
            <w:tcBorders>
              <w:top w:val="nil"/>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64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kern w:val="0"/>
                <w:szCs w:val="21"/>
              </w:rPr>
            </w:pPr>
          </w:p>
        </w:tc>
        <w:tc>
          <w:tcPr>
            <w:tcW w:w="19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bCs/>
                <w:color w:val="000000"/>
                <w:spacing w:val="-2"/>
                <w:kern w:val="0"/>
                <w:szCs w:val="21"/>
              </w:rPr>
            </w:pPr>
          </w:p>
        </w:tc>
        <w:tc>
          <w:tcPr>
            <w:tcW w:w="3200" w:type="dxa"/>
            <w:tcBorders>
              <w:top w:val="nil"/>
              <w:left w:val="nil"/>
              <w:bottom w:val="single" w:color="auto" w:sz="4" w:space="0"/>
              <w:right w:val="single" w:color="auto" w:sz="4" w:space="0"/>
            </w:tcBorders>
            <w:noWrap w:val="0"/>
            <w:vAlign w:val="bottom"/>
          </w:tcPr>
          <w:p>
            <w:pPr>
              <w:jc w:val="left"/>
              <w:rPr>
                <w:rFonts w:eastAsia="方正仿宋_GBK"/>
                <w:color w:val="000000"/>
                <w:spacing w:val="-2"/>
                <w:kern w:val="0"/>
                <w:szCs w:val="21"/>
              </w:rPr>
            </w:pPr>
            <w:r>
              <w:rPr>
                <w:rFonts w:hint="eastAsia" w:eastAsia="方正仿宋_GBK"/>
                <w:color w:val="000000"/>
                <w:spacing w:val="-2"/>
                <w:kern w:val="0"/>
                <w:szCs w:val="21"/>
              </w:rPr>
              <w:t>　</w:t>
            </w:r>
          </w:p>
        </w:tc>
        <w:tc>
          <w:tcPr>
            <w:tcW w:w="2900" w:type="dxa"/>
            <w:tcBorders>
              <w:top w:val="nil"/>
              <w:left w:val="nil"/>
              <w:bottom w:val="single" w:color="auto" w:sz="4" w:space="0"/>
              <w:right w:val="single" w:color="auto" w:sz="4" w:space="0"/>
            </w:tcBorders>
            <w:noWrap w:val="0"/>
            <w:vAlign w:val="bottom"/>
          </w:tcPr>
          <w:p>
            <w:pPr>
              <w:jc w:val="left"/>
              <w:rPr>
                <w:rFonts w:eastAsia="方正仿宋_GBK"/>
                <w:color w:val="000000"/>
                <w:spacing w:val="-2"/>
                <w:kern w:val="0"/>
                <w:szCs w:val="21"/>
              </w:rPr>
            </w:pPr>
            <w:r>
              <w:rPr>
                <w:rFonts w:hint="eastAsia" w:eastAsia="方正仿宋_GBK"/>
                <w:color w:val="000000"/>
                <w:spacing w:val="-2"/>
                <w:kern w:val="0"/>
                <w:szCs w:val="21"/>
              </w:rPr>
              <w:t>　</w:t>
            </w:r>
          </w:p>
        </w:tc>
        <w:tc>
          <w:tcPr>
            <w:tcW w:w="2566" w:type="dxa"/>
            <w:tcBorders>
              <w:top w:val="nil"/>
              <w:left w:val="nil"/>
              <w:bottom w:val="single" w:color="auto" w:sz="4" w:space="0"/>
              <w:right w:val="single" w:color="auto" w:sz="8" w:space="0"/>
            </w:tcBorders>
            <w:noWrap w:val="0"/>
            <w:vAlign w:val="bottom"/>
          </w:tcPr>
          <w:p>
            <w:pPr>
              <w:jc w:val="left"/>
              <w:rPr>
                <w:rFonts w:eastAsia="方正仿宋_GBK"/>
                <w:color w:val="000000"/>
                <w:spacing w:val="-2"/>
                <w:kern w:val="0"/>
                <w:szCs w:val="21"/>
              </w:rPr>
            </w:pPr>
            <w:r>
              <w:rPr>
                <w:rFonts w:hint="eastAsia" w:eastAsia="方正仿宋_GBK"/>
                <w:color w:val="000000"/>
                <w:spacing w:val="-2"/>
                <w:kern w:val="0"/>
                <w:szCs w:val="21"/>
              </w:rPr>
              <w:t>　</w:t>
            </w:r>
          </w:p>
        </w:tc>
      </w:tr>
      <w:tr>
        <w:tblPrEx>
          <w:tblCellMar>
            <w:top w:w="0" w:type="dxa"/>
            <w:left w:w="108" w:type="dxa"/>
            <w:bottom w:w="0" w:type="dxa"/>
            <w:right w:w="108" w:type="dxa"/>
          </w:tblCellMar>
        </w:tblPrEx>
        <w:trPr>
          <w:trHeight w:val="285" w:hRule="atLeast"/>
        </w:trPr>
        <w:tc>
          <w:tcPr>
            <w:tcW w:w="1380" w:type="dxa"/>
            <w:vMerge w:val="continue"/>
            <w:tcBorders>
              <w:top w:val="nil"/>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640" w:type="dxa"/>
            <w:vMerge w:val="restart"/>
            <w:tcBorders>
              <w:top w:val="nil"/>
              <w:left w:val="single" w:color="auto" w:sz="4" w:space="0"/>
              <w:bottom w:val="single" w:color="auto" w:sz="8" w:space="0"/>
              <w:right w:val="single" w:color="auto" w:sz="4" w:space="0"/>
            </w:tcBorders>
            <w:noWrap w:val="0"/>
            <w:vAlign w:val="bottom"/>
          </w:tcPr>
          <w:p>
            <w:pPr>
              <w:jc w:val="center"/>
              <w:rPr>
                <w:rFonts w:eastAsia="方正仿宋_GBK"/>
                <w:color w:val="000000"/>
                <w:spacing w:val="-2"/>
                <w:kern w:val="0"/>
                <w:szCs w:val="21"/>
              </w:rPr>
            </w:pPr>
            <w:r>
              <w:rPr>
                <w:rFonts w:hint="eastAsia" w:eastAsia="方正仿宋_GBK"/>
                <w:color w:val="000000"/>
                <w:spacing w:val="-2"/>
                <w:kern w:val="0"/>
                <w:szCs w:val="21"/>
              </w:rPr>
              <w:t>　</w:t>
            </w:r>
          </w:p>
        </w:tc>
        <w:tc>
          <w:tcPr>
            <w:tcW w:w="1980" w:type="dxa"/>
            <w:vMerge w:val="restart"/>
            <w:tcBorders>
              <w:top w:val="nil"/>
              <w:left w:val="single" w:color="auto" w:sz="4" w:space="0"/>
              <w:bottom w:val="single" w:color="000000" w:sz="4" w:space="0"/>
              <w:right w:val="single" w:color="auto" w:sz="4" w:space="0"/>
            </w:tcBorders>
            <w:noWrap w:val="0"/>
            <w:vAlign w:val="center"/>
          </w:tcPr>
          <w:p>
            <w:pPr>
              <w:jc w:val="center"/>
              <w:rPr>
                <w:rFonts w:eastAsia="方正仿宋_GBK"/>
                <w:bCs/>
                <w:color w:val="000000"/>
                <w:spacing w:val="-2"/>
                <w:kern w:val="0"/>
                <w:szCs w:val="21"/>
              </w:rPr>
            </w:pPr>
            <w:r>
              <w:rPr>
                <w:rFonts w:hint="eastAsia" w:eastAsia="方正仿宋_GBK"/>
                <w:bCs/>
                <w:color w:val="000000"/>
                <w:spacing w:val="-2"/>
                <w:kern w:val="0"/>
                <w:szCs w:val="21"/>
              </w:rPr>
              <w:t>出厂水</w:t>
            </w:r>
          </w:p>
        </w:tc>
        <w:tc>
          <w:tcPr>
            <w:tcW w:w="3200" w:type="dxa"/>
            <w:tcBorders>
              <w:top w:val="nil"/>
              <w:left w:val="nil"/>
              <w:bottom w:val="single" w:color="auto" w:sz="4" w:space="0"/>
              <w:right w:val="single" w:color="auto" w:sz="4" w:space="0"/>
            </w:tcBorders>
            <w:noWrap w:val="0"/>
            <w:vAlign w:val="center"/>
          </w:tcPr>
          <w:p>
            <w:pPr>
              <w:jc w:val="center"/>
              <w:rPr>
                <w:rFonts w:eastAsia="方正仿宋_GBK"/>
                <w:bCs/>
                <w:color w:val="000000"/>
                <w:spacing w:val="-2"/>
                <w:kern w:val="0"/>
                <w:szCs w:val="21"/>
              </w:rPr>
            </w:pPr>
            <w:r>
              <w:rPr>
                <w:rFonts w:hint="eastAsia" w:eastAsia="方正仿宋_GBK"/>
                <w:bCs/>
                <w:color w:val="000000"/>
                <w:spacing w:val="-2"/>
                <w:kern w:val="0"/>
                <w:szCs w:val="21"/>
              </w:rPr>
              <w:t>公示形式</w:t>
            </w:r>
          </w:p>
        </w:tc>
        <w:tc>
          <w:tcPr>
            <w:tcW w:w="2900" w:type="dxa"/>
            <w:tcBorders>
              <w:top w:val="nil"/>
              <w:left w:val="nil"/>
              <w:bottom w:val="single" w:color="auto" w:sz="4" w:space="0"/>
              <w:right w:val="single" w:color="auto" w:sz="4" w:space="0"/>
            </w:tcBorders>
            <w:noWrap w:val="0"/>
            <w:vAlign w:val="center"/>
          </w:tcPr>
          <w:p>
            <w:pPr>
              <w:jc w:val="center"/>
              <w:rPr>
                <w:rFonts w:eastAsia="方正仿宋_GBK"/>
                <w:bCs/>
                <w:color w:val="000000"/>
                <w:spacing w:val="-2"/>
                <w:kern w:val="0"/>
                <w:szCs w:val="21"/>
              </w:rPr>
            </w:pPr>
            <w:r>
              <w:rPr>
                <w:rFonts w:hint="eastAsia" w:eastAsia="方正仿宋_GBK"/>
                <w:bCs/>
                <w:color w:val="000000"/>
                <w:spacing w:val="-2"/>
                <w:kern w:val="0"/>
                <w:szCs w:val="21"/>
              </w:rPr>
              <w:t>公示项目</w:t>
            </w:r>
          </w:p>
        </w:tc>
        <w:tc>
          <w:tcPr>
            <w:tcW w:w="2566" w:type="dxa"/>
            <w:tcBorders>
              <w:top w:val="nil"/>
              <w:left w:val="nil"/>
              <w:bottom w:val="single" w:color="auto" w:sz="4" w:space="0"/>
              <w:right w:val="single" w:color="auto" w:sz="8" w:space="0"/>
            </w:tcBorders>
            <w:noWrap w:val="0"/>
            <w:vAlign w:val="center"/>
          </w:tcPr>
          <w:p>
            <w:pPr>
              <w:jc w:val="center"/>
              <w:rPr>
                <w:rFonts w:eastAsia="方正仿宋_GBK"/>
                <w:bCs/>
                <w:color w:val="000000"/>
                <w:spacing w:val="-2"/>
                <w:kern w:val="0"/>
                <w:szCs w:val="21"/>
              </w:rPr>
            </w:pPr>
            <w:r>
              <w:rPr>
                <w:rFonts w:hint="eastAsia" w:eastAsia="方正仿宋_GBK"/>
                <w:bCs/>
                <w:color w:val="000000"/>
                <w:spacing w:val="-2"/>
                <w:kern w:val="0"/>
                <w:szCs w:val="21"/>
              </w:rPr>
              <w:t>公示频次</w:t>
            </w:r>
          </w:p>
        </w:tc>
      </w:tr>
      <w:tr>
        <w:tblPrEx>
          <w:tblCellMar>
            <w:top w:w="0" w:type="dxa"/>
            <w:left w:w="108" w:type="dxa"/>
            <w:bottom w:w="0" w:type="dxa"/>
            <w:right w:w="108" w:type="dxa"/>
          </w:tblCellMar>
        </w:tblPrEx>
        <w:trPr>
          <w:trHeight w:val="300" w:hRule="atLeast"/>
        </w:trPr>
        <w:tc>
          <w:tcPr>
            <w:tcW w:w="1380" w:type="dxa"/>
            <w:vMerge w:val="continue"/>
            <w:tcBorders>
              <w:top w:val="nil"/>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640" w:type="dxa"/>
            <w:vMerge w:val="continue"/>
            <w:tcBorders>
              <w:top w:val="nil"/>
              <w:left w:val="single" w:color="auto" w:sz="4"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9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bCs/>
                <w:color w:val="000000"/>
                <w:spacing w:val="-2"/>
                <w:kern w:val="0"/>
                <w:szCs w:val="21"/>
              </w:rPr>
            </w:pPr>
          </w:p>
        </w:tc>
        <w:tc>
          <w:tcPr>
            <w:tcW w:w="3200" w:type="dxa"/>
            <w:tcBorders>
              <w:top w:val="nil"/>
              <w:left w:val="nil"/>
              <w:bottom w:val="single" w:color="auto" w:sz="4" w:space="0"/>
              <w:right w:val="single" w:color="auto" w:sz="4" w:space="0"/>
            </w:tcBorders>
            <w:noWrap w:val="0"/>
            <w:vAlign w:val="bottom"/>
          </w:tcPr>
          <w:p>
            <w:pPr>
              <w:jc w:val="left"/>
              <w:rPr>
                <w:rFonts w:eastAsia="方正仿宋_GBK"/>
                <w:color w:val="000000"/>
                <w:spacing w:val="-2"/>
                <w:kern w:val="0"/>
                <w:szCs w:val="21"/>
              </w:rPr>
            </w:pPr>
            <w:r>
              <w:rPr>
                <w:rFonts w:hint="eastAsia" w:eastAsia="方正仿宋_GBK"/>
                <w:color w:val="000000"/>
                <w:spacing w:val="-2"/>
                <w:kern w:val="0"/>
                <w:szCs w:val="21"/>
              </w:rPr>
              <w:t>　</w:t>
            </w:r>
          </w:p>
        </w:tc>
        <w:tc>
          <w:tcPr>
            <w:tcW w:w="2900" w:type="dxa"/>
            <w:tcBorders>
              <w:top w:val="nil"/>
              <w:left w:val="nil"/>
              <w:bottom w:val="single" w:color="auto" w:sz="4" w:space="0"/>
              <w:right w:val="single" w:color="auto" w:sz="4" w:space="0"/>
            </w:tcBorders>
            <w:noWrap w:val="0"/>
            <w:vAlign w:val="bottom"/>
          </w:tcPr>
          <w:p>
            <w:pPr>
              <w:jc w:val="left"/>
              <w:rPr>
                <w:rFonts w:eastAsia="方正仿宋_GBK"/>
                <w:color w:val="000000"/>
                <w:spacing w:val="-2"/>
                <w:kern w:val="0"/>
                <w:szCs w:val="21"/>
              </w:rPr>
            </w:pPr>
            <w:r>
              <w:rPr>
                <w:rFonts w:hint="eastAsia" w:eastAsia="方正仿宋_GBK"/>
                <w:color w:val="000000"/>
                <w:spacing w:val="-2"/>
                <w:kern w:val="0"/>
                <w:szCs w:val="21"/>
              </w:rPr>
              <w:t>　</w:t>
            </w:r>
          </w:p>
        </w:tc>
        <w:tc>
          <w:tcPr>
            <w:tcW w:w="2566" w:type="dxa"/>
            <w:tcBorders>
              <w:top w:val="nil"/>
              <w:left w:val="nil"/>
              <w:bottom w:val="single" w:color="auto" w:sz="4" w:space="0"/>
              <w:right w:val="single" w:color="auto" w:sz="8" w:space="0"/>
            </w:tcBorders>
            <w:noWrap w:val="0"/>
            <w:vAlign w:val="bottom"/>
          </w:tcPr>
          <w:p>
            <w:pPr>
              <w:jc w:val="left"/>
              <w:rPr>
                <w:rFonts w:eastAsia="方正仿宋_GBK"/>
                <w:color w:val="000000"/>
                <w:spacing w:val="-2"/>
                <w:kern w:val="0"/>
                <w:szCs w:val="21"/>
              </w:rPr>
            </w:pPr>
            <w:r>
              <w:rPr>
                <w:rFonts w:hint="eastAsia" w:eastAsia="方正仿宋_GBK"/>
                <w:color w:val="000000"/>
                <w:spacing w:val="-2"/>
                <w:kern w:val="0"/>
                <w:szCs w:val="21"/>
              </w:rPr>
              <w:t>　</w:t>
            </w:r>
          </w:p>
        </w:tc>
      </w:tr>
      <w:tr>
        <w:tblPrEx>
          <w:tblCellMar>
            <w:top w:w="0" w:type="dxa"/>
            <w:left w:w="108" w:type="dxa"/>
            <w:bottom w:w="0" w:type="dxa"/>
            <w:right w:w="108" w:type="dxa"/>
          </w:tblCellMar>
        </w:tblPrEx>
        <w:trPr>
          <w:trHeight w:val="300" w:hRule="atLeast"/>
        </w:trPr>
        <w:tc>
          <w:tcPr>
            <w:tcW w:w="1380" w:type="dxa"/>
            <w:vMerge w:val="continue"/>
            <w:tcBorders>
              <w:top w:val="nil"/>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640" w:type="dxa"/>
            <w:vMerge w:val="continue"/>
            <w:tcBorders>
              <w:top w:val="nil"/>
              <w:left w:val="single" w:color="auto" w:sz="4"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9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bCs/>
                <w:color w:val="000000"/>
                <w:spacing w:val="-2"/>
                <w:kern w:val="0"/>
                <w:szCs w:val="21"/>
              </w:rPr>
            </w:pPr>
          </w:p>
        </w:tc>
        <w:tc>
          <w:tcPr>
            <w:tcW w:w="3200" w:type="dxa"/>
            <w:tcBorders>
              <w:top w:val="nil"/>
              <w:left w:val="nil"/>
              <w:bottom w:val="single" w:color="auto" w:sz="4" w:space="0"/>
              <w:right w:val="single" w:color="auto" w:sz="4" w:space="0"/>
            </w:tcBorders>
            <w:noWrap w:val="0"/>
            <w:vAlign w:val="bottom"/>
          </w:tcPr>
          <w:p>
            <w:pPr>
              <w:jc w:val="left"/>
              <w:rPr>
                <w:rFonts w:eastAsia="方正仿宋_GBK"/>
                <w:color w:val="000000"/>
                <w:spacing w:val="-2"/>
                <w:kern w:val="0"/>
                <w:szCs w:val="21"/>
              </w:rPr>
            </w:pPr>
            <w:r>
              <w:rPr>
                <w:rFonts w:hint="eastAsia" w:eastAsia="方正仿宋_GBK"/>
                <w:color w:val="000000"/>
                <w:spacing w:val="-2"/>
                <w:kern w:val="0"/>
                <w:szCs w:val="21"/>
              </w:rPr>
              <w:t>　</w:t>
            </w:r>
          </w:p>
        </w:tc>
        <w:tc>
          <w:tcPr>
            <w:tcW w:w="2900" w:type="dxa"/>
            <w:tcBorders>
              <w:top w:val="nil"/>
              <w:left w:val="nil"/>
              <w:bottom w:val="single" w:color="auto" w:sz="4" w:space="0"/>
              <w:right w:val="single" w:color="auto" w:sz="4" w:space="0"/>
            </w:tcBorders>
            <w:noWrap w:val="0"/>
            <w:vAlign w:val="bottom"/>
          </w:tcPr>
          <w:p>
            <w:pPr>
              <w:jc w:val="left"/>
              <w:rPr>
                <w:rFonts w:eastAsia="方正仿宋_GBK"/>
                <w:color w:val="000000"/>
                <w:spacing w:val="-2"/>
                <w:kern w:val="0"/>
                <w:szCs w:val="21"/>
              </w:rPr>
            </w:pPr>
            <w:r>
              <w:rPr>
                <w:rFonts w:hint="eastAsia" w:eastAsia="方正仿宋_GBK"/>
                <w:color w:val="000000"/>
                <w:spacing w:val="-2"/>
                <w:kern w:val="0"/>
                <w:szCs w:val="21"/>
              </w:rPr>
              <w:t>　</w:t>
            </w:r>
          </w:p>
        </w:tc>
        <w:tc>
          <w:tcPr>
            <w:tcW w:w="2566" w:type="dxa"/>
            <w:tcBorders>
              <w:top w:val="nil"/>
              <w:left w:val="nil"/>
              <w:bottom w:val="single" w:color="auto" w:sz="4" w:space="0"/>
              <w:right w:val="single" w:color="auto" w:sz="8" w:space="0"/>
            </w:tcBorders>
            <w:noWrap w:val="0"/>
            <w:vAlign w:val="bottom"/>
          </w:tcPr>
          <w:p>
            <w:pPr>
              <w:jc w:val="left"/>
              <w:rPr>
                <w:rFonts w:eastAsia="方正仿宋_GBK"/>
                <w:color w:val="000000"/>
                <w:spacing w:val="-2"/>
                <w:kern w:val="0"/>
                <w:szCs w:val="21"/>
              </w:rPr>
            </w:pPr>
            <w:r>
              <w:rPr>
                <w:rFonts w:hint="eastAsia" w:eastAsia="方正仿宋_GBK"/>
                <w:color w:val="000000"/>
                <w:spacing w:val="-2"/>
                <w:kern w:val="0"/>
                <w:szCs w:val="21"/>
              </w:rPr>
              <w:t>　</w:t>
            </w:r>
          </w:p>
        </w:tc>
      </w:tr>
      <w:tr>
        <w:tblPrEx>
          <w:tblCellMar>
            <w:top w:w="0" w:type="dxa"/>
            <w:left w:w="108" w:type="dxa"/>
            <w:bottom w:w="0" w:type="dxa"/>
            <w:right w:w="108" w:type="dxa"/>
          </w:tblCellMar>
        </w:tblPrEx>
        <w:trPr>
          <w:trHeight w:val="300" w:hRule="atLeast"/>
        </w:trPr>
        <w:tc>
          <w:tcPr>
            <w:tcW w:w="1380" w:type="dxa"/>
            <w:vMerge w:val="continue"/>
            <w:tcBorders>
              <w:top w:val="nil"/>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640" w:type="dxa"/>
            <w:vMerge w:val="continue"/>
            <w:tcBorders>
              <w:top w:val="nil"/>
              <w:left w:val="single" w:color="auto" w:sz="4"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9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bCs/>
                <w:color w:val="000000"/>
                <w:spacing w:val="-2"/>
                <w:kern w:val="0"/>
                <w:szCs w:val="21"/>
              </w:rPr>
            </w:pPr>
          </w:p>
        </w:tc>
        <w:tc>
          <w:tcPr>
            <w:tcW w:w="3200" w:type="dxa"/>
            <w:tcBorders>
              <w:top w:val="nil"/>
              <w:left w:val="nil"/>
              <w:bottom w:val="single" w:color="auto" w:sz="4" w:space="0"/>
              <w:right w:val="single" w:color="auto" w:sz="4" w:space="0"/>
            </w:tcBorders>
            <w:noWrap w:val="0"/>
            <w:vAlign w:val="bottom"/>
          </w:tcPr>
          <w:p>
            <w:pPr>
              <w:jc w:val="left"/>
              <w:rPr>
                <w:rFonts w:eastAsia="方正仿宋_GBK"/>
                <w:color w:val="000000"/>
                <w:spacing w:val="-2"/>
                <w:kern w:val="0"/>
                <w:szCs w:val="21"/>
              </w:rPr>
            </w:pPr>
            <w:r>
              <w:rPr>
                <w:rFonts w:hint="eastAsia" w:eastAsia="方正仿宋_GBK"/>
                <w:color w:val="000000"/>
                <w:spacing w:val="-2"/>
                <w:kern w:val="0"/>
                <w:szCs w:val="21"/>
              </w:rPr>
              <w:t>　</w:t>
            </w:r>
          </w:p>
        </w:tc>
        <w:tc>
          <w:tcPr>
            <w:tcW w:w="2900" w:type="dxa"/>
            <w:tcBorders>
              <w:top w:val="nil"/>
              <w:left w:val="nil"/>
              <w:bottom w:val="single" w:color="auto" w:sz="4" w:space="0"/>
              <w:right w:val="single" w:color="auto" w:sz="4" w:space="0"/>
            </w:tcBorders>
            <w:noWrap w:val="0"/>
            <w:vAlign w:val="bottom"/>
          </w:tcPr>
          <w:p>
            <w:pPr>
              <w:jc w:val="left"/>
              <w:rPr>
                <w:rFonts w:eastAsia="方正仿宋_GBK"/>
                <w:color w:val="000000"/>
                <w:spacing w:val="-2"/>
                <w:kern w:val="0"/>
                <w:szCs w:val="21"/>
              </w:rPr>
            </w:pPr>
            <w:r>
              <w:rPr>
                <w:rFonts w:hint="eastAsia" w:eastAsia="方正仿宋_GBK"/>
                <w:color w:val="000000"/>
                <w:spacing w:val="-2"/>
                <w:kern w:val="0"/>
                <w:szCs w:val="21"/>
              </w:rPr>
              <w:t>　</w:t>
            </w:r>
          </w:p>
        </w:tc>
        <w:tc>
          <w:tcPr>
            <w:tcW w:w="2566" w:type="dxa"/>
            <w:tcBorders>
              <w:top w:val="nil"/>
              <w:left w:val="nil"/>
              <w:bottom w:val="single" w:color="auto" w:sz="4" w:space="0"/>
              <w:right w:val="single" w:color="auto" w:sz="8" w:space="0"/>
            </w:tcBorders>
            <w:noWrap w:val="0"/>
            <w:vAlign w:val="bottom"/>
          </w:tcPr>
          <w:p>
            <w:pPr>
              <w:jc w:val="left"/>
              <w:rPr>
                <w:rFonts w:eastAsia="方正仿宋_GBK"/>
                <w:color w:val="000000"/>
                <w:spacing w:val="-2"/>
                <w:kern w:val="0"/>
                <w:szCs w:val="21"/>
              </w:rPr>
            </w:pPr>
            <w:r>
              <w:rPr>
                <w:rFonts w:hint="eastAsia" w:eastAsia="方正仿宋_GBK"/>
                <w:color w:val="000000"/>
                <w:spacing w:val="-2"/>
                <w:kern w:val="0"/>
                <w:szCs w:val="21"/>
              </w:rPr>
              <w:t>　</w:t>
            </w:r>
          </w:p>
        </w:tc>
      </w:tr>
      <w:tr>
        <w:tblPrEx>
          <w:tblCellMar>
            <w:top w:w="0" w:type="dxa"/>
            <w:left w:w="108" w:type="dxa"/>
            <w:bottom w:w="0" w:type="dxa"/>
            <w:right w:w="108" w:type="dxa"/>
          </w:tblCellMar>
        </w:tblPrEx>
        <w:trPr>
          <w:trHeight w:val="300" w:hRule="atLeast"/>
        </w:trPr>
        <w:tc>
          <w:tcPr>
            <w:tcW w:w="1380" w:type="dxa"/>
            <w:vMerge w:val="continue"/>
            <w:tcBorders>
              <w:top w:val="nil"/>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640" w:type="dxa"/>
            <w:vMerge w:val="continue"/>
            <w:tcBorders>
              <w:top w:val="nil"/>
              <w:left w:val="single" w:color="auto" w:sz="4"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9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bCs/>
                <w:color w:val="000000"/>
                <w:spacing w:val="-2"/>
                <w:kern w:val="0"/>
                <w:szCs w:val="21"/>
              </w:rPr>
            </w:pPr>
          </w:p>
        </w:tc>
        <w:tc>
          <w:tcPr>
            <w:tcW w:w="3200" w:type="dxa"/>
            <w:tcBorders>
              <w:top w:val="nil"/>
              <w:left w:val="nil"/>
              <w:bottom w:val="single" w:color="auto" w:sz="4" w:space="0"/>
              <w:right w:val="single" w:color="auto" w:sz="4" w:space="0"/>
            </w:tcBorders>
            <w:noWrap w:val="0"/>
            <w:vAlign w:val="bottom"/>
          </w:tcPr>
          <w:p>
            <w:pPr>
              <w:jc w:val="left"/>
              <w:rPr>
                <w:rFonts w:eastAsia="方正仿宋_GBK"/>
                <w:color w:val="000000"/>
                <w:spacing w:val="-2"/>
                <w:kern w:val="0"/>
                <w:szCs w:val="21"/>
              </w:rPr>
            </w:pPr>
            <w:r>
              <w:rPr>
                <w:rFonts w:hint="eastAsia" w:eastAsia="方正仿宋_GBK"/>
                <w:color w:val="000000"/>
                <w:spacing w:val="-2"/>
                <w:kern w:val="0"/>
                <w:szCs w:val="21"/>
              </w:rPr>
              <w:t>　</w:t>
            </w:r>
          </w:p>
        </w:tc>
        <w:tc>
          <w:tcPr>
            <w:tcW w:w="2900" w:type="dxa"/>
            <w:tcBorders>
              <w:top w:val="nil"/>
              <w:left w:val="nil"/>
              <w:bottom w:val="single" w:color="auto" w:sz="4" w:space="0"/>
              <w:right w:val="single" w:color="auto" w:sz="4" w:space="0"/>
            </w:tcBorders>
            <w:noWrap w:val="0"/>
            <w:vAlign w:val="bottom"/>
          </w:tcPr>
          <w:p>
            <w:pPr>
              <w:jc w:val="left"/>
              <w:rPr>
                <w:rFonts w:eastAsia="方正仿宋_GBK"/>
                <w:color w:val="000000"/>
                <w:spacing w:val="-2"/>
                <w:kern w:val="0"/>
                <w:szCs w:val="21"/>
              </w:rPr>
            </w:pPr>
            <w:r>
              <w:rPr>
                <w:rFonts w:hint="eastAsia" w:eastAsia="方正仿宋_GBK"/>
                <w:color w:val="000000"/>
                <w:spacing w:val="-2"/>
                <w:kern w:val="0"/>
                <w:szCs w:val="21"/>
              </w:rPr>
              <w:t>　</w:t>
            </w:r>
          </w:p>
        </w:tc>
        <w:tc>
          <w:tcPr>
            <w:tcW w:w="2566" w:type="dxa"/>
            <w:tcBorders>
              <w:top w:val="nil"/>
              <w:left w:val="nil"/>
              <w:bottom w:val="single" w:color="auto" w:sz="4" w:space="0"/>
              <w:right w:val="single" w:color="auto" w:sz="8" w:space="0"/>
            </w:tcBorders>
            <w:noWrap w:val="0"/>
            <w:vAlign w:val="bottom"/>
          </w:tcPr>
          <w:p>
            <w:pPr>
              <w:jc w:val="left"/>
              <w:rPr>
                <w:rFonts w:eastAsia="方正仿宋_GBK"/>
                <w:color w:val="000000"/>
                <w:spacing w:val="-2"/>
                <w:kern w:val="0"/>
                <w:szCs w:val="21"/>
              </w:rPr>
            </w:pPr>
            <w:r>
              <w:rPr>
                <w:rFonts w:hint="eastAsia" w:eastAsia="方正仿宋_GBK"/>
                <w:color w:val="000000"/>
                <w:spacing w:val="-2"/>
                <w:kern w:val="0"/>
                <w:szCs w:val="21"/>
              </w:rPr>
              <w:t>　</w:t>
            </w:r>
          </w:p>
        </w:tc>
      </w:tr>
      <w:tr>
        <w:tblPrEx>
          <w:tblCellMar>
            <w:top w:w="0" w:type="dxa"/>
            <w:left w:w="108" w:type="dxa"/>
            <w:bottom w:w="0" w:type="dxa"/>
            <w:right w:w="108" w:type="dxa"/>
          </w:tblCellMar>
        </w:tblPrEx>
        <w:trPr>
          <w:trHeight w:val="578" w:hRule="atLeast"/>
        </w:trPr>
        <w:tc>
          <w:tcPr>
            <w:tcW w:w="1380" w:type="dxa"/>
            <w:vMerge w:val="continue"/>
            <w:tcBorders>
              <w:top w:val="nil"/>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640" w:type="dxa"/>
            <w:vMerge w:val="continue"/>
            <w:tcBorders>
              <w:top w:val="nil"/>
              <w:left w:val="single" w:color="auto" w:sz="4"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980" w:type="dxa"/>
            <w:vMerge w:val="restart"/>
            <w:tcBorders>
              <w:top w:val="nil"/>
              <w:left w:val="single" w:color="auto" w:sz="4" w:space="0"/>
              <w:bottom w:val="single" w:color="auto" w:sz="8" w:space="0"/>
              <w:right w:val="single" w:color="auto" w:sz="4" w:space="0"/>
            </w:tcBorders>
            <w:noWrap w:val="0"/>
            <w:vAlign w:val="center"/>
          </w:tcPr>
          <w:p>
            <w:pPr>
              <w:jc w:val="center"/>
              <w:rPr>
                <w:rFonts w:eastAsia="方正仿宋_GBK"/>
                <w:bCs/>
                <w:color w:val="000000"/>
                <w:spacing w:val="-2"/>
                <w:kern w:val="0"/>
                <w:szCs w:val="21"/>
              </w:rPr>
            </w:pPr>
            <w:r>
              <w:rPr>
                <w:rFonts w:hint="eastAsia" w:eastAsia="方正仿宋_GBK"/>
                <w:bCs/>
                <w:color w:val="000000"/>
                <w:spacing w:val="-2"/>
                <w:kern w:val="0"/>
                <w:szCs w:val="21"/>
              </w:rPr>
              <w:t>管网水</w:t>
            </w:r>
          </w:p>
          <w:p>
            <w:pPr>
              <w:jc w:val="center"/>
              <w:rPr>
                <w:rFonts w:eastAsia="方正仿宋_GBK"/>
                <w:bCs/>
                <w:color w:val="000000"/>
                <w:spacing w:val="-2"/>
                <w:kern w:val="0"/>
                <w:szCs w:val="21"/>
              </w:rPr>
            </w:pPr>
            <w:r>
              <w:rPr>
                <w:rFonts w:hint="eastAsia" w:eastAsia="方正仿宋_GBK"/>
                <w:bCs/>
                <w:color w:val="000000"/>
                <w:spacing w:val="-2"/>
                <w:kern w:val="0"/>
                <w:szCs w:val="21"/>
              </w:rPr>
              <w:t>（含管网末梢水）</w:t>
            </w:r>
          </w:p>
        </w:tc>
        <w:tc>
          <w:tcPr>
            <w:tcW w:w="3200" w:type="dxa"/>
            <w:tcBorders>
              <w:top w:val="nil"/>
              <w:left w:val="nil"/>
              <w:bottom w:val="single" w:color="auto" w:sz="4" w:space="0"/>
              <w:right w:val="single" w:color="auto" w:sz="4" w:space="0"/>
            </w:tcBorders>
            <w:noWrap w:val="0"/>
            <w:vAlign w:val="center"/>
          </w:tcPr>
          <w:p>
            <w:pPr>
              <w:jc w:val="center"/>
              <w:rPr>
                <w:rFonts w:eastAsia="方正仿宋_GBK"/>
                <w:bCs/>
                <w:color w:val="000000"/>
                <w:spacing w:val="-2"/>
                <w:kern w:val="0"/>
                <w:szCs w:val="21"/>
              </w:rPr>
            </w:pPr>
            <w:r>
              <w:rPr>
                <w:rFonts w:hint="eastAsia" w:eastAsia="方正仿宋_GBK"/>
                <w:bCs/>
                <w:color w:val="000000"/>
                <w:spacing w:val="-2"/>
                <w:kern w:val="0"/>
                <w:szCs w:val="21"/>
              </w:rPr>
              <w:t>公示形式</w:t>
            </w:r>
          </w:p>
        </w:tc>
        <w:tc>
          <w:tcPr>
            <w:tcW w:w="2900" w:type="dxa"/>
            <w:tcBorders>
              <w:top w:val="nil"/>
              <w:left w:val="nil"/>
              <w:bottom w:val="single" w:color="auto" w:sz="4" w:space="0"/>
              <w:right w:val="single" w:color="auto" w:sz="4" w:space="0"/>
            </w:tcBorders>
            <w:noWrap w:val="0"/>
            <w:vAlign w:val="center"/>
          </w:tcPr>
          <w:p>
            <w:pPr>
              <w:jc w:val="center"/>
              <w:rPr>
                <w:rFonts w:eastAsia="方正仿宋_GBK"/>
                <w:bCs/>
                <w:color w:val="000000"/>
                <w:spacing w:val="-2"/>
                <w:kern w:val="0"/>
                <w:szCs w:val="21"/>
              </w:rPr>
            </w:pPr>
            <w:r>
              <w:rPr>
                <w:rFonts w:hint="eastAsia" w:eastAsia="方正仿宋_GBK"/>
                <w:bCs/>
                <w:color w:val="000000"/>
                <w:spacing w:val="-2"/>
                <w:kern w:val="0"/>
                <w:szCs w:val="21"/>
              </w:rPr>
              <w:t>公示项目</w:t>
            </w:r>
          </w:p>
        </w:tc>
        <w:tc>
          <w:tcPr>
            <w:tcW w:w="2566" w:type="dxa"/>
            <w:tcBorders>
              <w:top w:val="nil"/>
              <w:left w:val="nil"/>
              <w:bottom w:val="single" w:color="auto" w:sz="4" w:space="0"/>
              <w:right w:val="single" w:color="auto" w:sz="8" w:space="0"/>
            </w:tcBorders>
            <w:noWrap w:val="0"/>
            <w:vAlign w:val="center"/>
          </w:tcPr>
          <w:p>
            <w:pPr>
              <w:jc w:val="center"/>
              <w:rPr>
                <w:rFonts w:eastAsia="方正仿宋_GBK"/>
                <w:bCs/>
                <w:color w:val="000000"/>
                <w:spacing w:val="-2"/>
                <w:kern w:val="0"/>
                <w:szCs w:val="21"/>
              </w:rPr>
            </w:pPr>
            <w:r>
              <w:rPr>
                <w:rFonts w:hint="eastAsia" w:eastAsia="方正仿宋_GBK"/>
                <w:bCs/>
                <w:color w:val="000000"/>
                <w:spacing w:val="-2"/>
                <w:kern w:val="0"/>
                <w:szCs w:val="21"/>
              </w:rPr>
              <w:t>公示频次</w:t>
            </w:r>
          </w:p>
        </w:tc>
      </w:tr>
      <w:tr>
        <w:tblPrEx>
          <w:tblCellMar>
            <w:top w:w="0" w:type="dxa"/>
            <w:left w:w="108" w:type="dxa"/>
            <w:bottom w:w="0" w:type="dxa"/>
            <w:right w:w="108" w:type="dxa"/>
          </w:tblCellMar>
        </w:tblPrEx>
        <w:trPr>
          <w:trHeight w:val="300" w:hRule="atLeast"/>
        </w:trPr>
        <w:tc>
          <w:tcPr>
            <w:tcW w:w="1380" w:type="dxa"/>
            <w:vMerge w:val="continue"/>
            <w:tcBorders>
              <w:top w:val="nil"/>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640" w:type="dxa"/>
            <w:vMerge w:val="continue"/>
            <w:tcBorders>
              <w:top w:val="nil"/>
              <w:left w:val="single" w:color="auto" w:sz="4"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980" w:type="dxa"/>
            <w:vMerge w:val="continue"/>
            <w:tcBorders>
              <w:top w:val="nil"/>
              <w:left w:val="single" w:color="auto" w:sz="4" w:space="0"/>
              <w:bottom w:val="single" w:color="auto" w:sz="8" w:space="0"/>
              <w:right w:val="single" w:color="auto" w:sz="4" w:space="0"/>
            </w:tcBorders>
            <w:noWrap w:val="0"/>
            <w:vAlign w:val="center"/>
          </w:tcPr>
          <w:p>
            <w:pPr>
              <w:widowControl/>
              <w:jc w:val="left"/>
              <w:rPr>
                <w:rFonts w:eastAsia="方正仿宋_GBK"/>
                <w:bCs/>
                <w:color w:val="000000"/>
                <w:spacing w:val="-2"/>
                <w:kern w:val="0"/>
                <w:szCs w:val="21"/>
              </w:rPr>
            </w:pPr>
          </w:p>
        </w:tc>
        <w:tc>
          <w:tcPr>
            <w:tcW w:w="3200" w:type="dxa"/>
            <w:tcBorders>
              <w:top w:val="nil"/>
              <w:left w:val="nil"/>
              <w:bottom w:val="single" w:color="auto" w:sz="4" w:space="0"/>
              <w:right w:val="single" w:color="auto" w:sz="4" w:space="0"/>
            </w:tcBorders>
            <w:noWrap w:val="0"/>
            <w:vAlign w:val="bottom"/>
          </w:tcPr>
          <w:p>
            <w:pPr>
              <w:jc w:val="left"/>
              <w:rPr>
                <w:rFonts w:eastAsia="方正仿宋_GBK"/>
                <w:color w:val="000000"/>
                <w:spacing w:val="-2"/>
                <w:kern w:val="0"/>
                <w:szCs w:val="21"/>
              </w:rPr>
            </w:pPr>
            <w:r>
              <w:rPr>
                <w:rFonts w:hint="eastAsia" w:eastAsia="方正仿宋_GBK"/>
                <w:color w:val="000000"/>
                <w:spacing w:val="-2"/>
                <w:kern w:val="0"/>
                <w:szCs w:val="21"/>
              </w:rPr>
              <w:t>　</w:t>
            </w:r>
          </w:p>
        </w:tc>
        <w:tc>
          <w:tcPr>
            <w:tcW w:w="2900" w:type="dxa"/>
            <w:tcBorders>
              <w:top w:val="nil"/>
              <w:left w:val="nil"/>
              <w:bottom w:val="single" w:color="auto" w:sz="4" w:space="0"/>
              <w:right w:val="single" w:color="auto" w:sz="4" w:space="0"/>
            </w:tcBorders>
            <w:noWrap w:val="0"/>
            <w:vAlign w:val="bottom"/>
          </w:tcPr>
          <w:p>
            <w:pPr>
              <w:jc w:val="left"/>
              <w:rPr>
                <w:rFonts w:eastAsia="方正仿宋_GBK"/>
                <w:color w:val="000000"/>
                <w:spacing w:val="-2"/>
                <w:kern w:val="0"/>
                <w:szCs w:val="21"/>
              </w:rPr>
            </w:pPr>
            <w:r>
              <w:rPr>
                <w:rFonts w:hint="eastAsia" w:eastAsia="方正仿宋_GBK"/>
                <w:color w:val="000000"/>
                <w:spacing w:val="-2"/>
                <w:kern w:val="0"/>
                <w:szCs w:val="21"/>
              </w:rPr>
              <w:t>　</w:t>
            </w:r>
          </w:p>
        </w:tc>
        <w:tc>
          <w:tcPr>
            <w:tcW w:w="2566" w:type="dxa"/>
            <w:tcBorders>
              <w:top w:val="nil"/>
              <w:left w:val="nil"/>
              <w:bottom w:val="single" w:color="auto" w:sz="4" w:space="0"/>
              <w:right w:val="single" w:color="auto" w:sz="8" w:space="0"/>
            </w:tcBorders>
            <w:noWrap w:val="0"/>
            <w:vAlign w:val="bottom"/>
          </w:tcPr>
          <w:p>
            <w:pPr>
              <w:jc w:val="left"/>
              <w:rPr>
                <w:rFonts w:eastAsia="方正仿宋_GBK"/>
                <w:color w:val="000000"/>
                <w:spacing w:val="-2"/>
                <w:kern w:val="0"/>
                <w:szCs w:val="21"/>
              </w:rPr>
            </w:pPr>
            <w:r>
              <w:rPr>
                <w:rFonts w:hint="eastAsia" w:eastAsia="方正仿宋_GBK"/>
                <w:color w:val="000000"/>
                <w:spacing w:val="-2"/>
                <w:kern w:val="0"/>
                <w:szCs w:val="21"/>
              </w:rPr>
              <w:t>　</w:t>
            </w:r>
          </w:p>
        </w:tc>
      </w:tr>
      <w:tr>
        <w:tblPrEx>
          <w:tblCellMar>
            <w:top w:w="0" w:type="dxa"/>
            <w:left w:w="108" w:type="dxa"/>
            <w:bottom w:w="0" w:type="dxa"/>
            <w:right w:w="108" w:type="dxa"/>
          </w:tblCellMar>
        </w:tblPrEx>
        <w:trPr>
          <w:trHeight w:val="300" w:hRule="atLeast"/>
        </w:trPr>
        <w:tc>
          <w:tcPr>
            <w:tcW w:w="1380" w:type="dxa"/>
            <w:vMerge w:val="continue"/>
            <w:tcBorders>
              <w:top w:val="nil"/>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640" w:type="dxa"/>
            <w:vMerge w:val="continue"/>
            <w:tcBorders>
              <w:top w:val="nil"/>
              <w:left w:val="single" w:color="auto" w:sz="4"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980" w:type="dxa"/>
            <w:vMerge w:val="continue"/>
            <w:tcBorders>
              <w:top w:val="nil"/>
              <w:left w:val="single" w:color="auto" w:sz="4" w:space="0"/>
              <w:bottom w:val="single" w:color="auto" w:sz="8" w:space="0"/>
              <w:right w:val="single" w:color="auto" w:sz="4" w:space="0"/>
            </w:tcBorders>
            <w:noWrap w:val="0"/>
            <w:vAlign w:val="center"/>
          </w:tcPr>
          <w:p>
            <w:pPr>
              <w:widowControl/>
              <w:jc w:val="left"/>
              <w:rPr>
                <w:rFonts w:eastAsia="方正仿宋_GBK"/>
                <w:bCs/>
                <w:color w:val="000000"/>
                <w:spacing w:val="-2"/>
                <w:kern w:val="0"/>
                <w:szCs w:val="21"/>
              </w:rPr>
            </w:pPr>
          </w:p>
        </w:tc>
        <w:tc>
          <w:tcPr>
            <w:tcW w:w="3200" w:type="dxa"/>
            <w:tcBorders>
              <w:top w:val="nil"/>
              <w:left w:val="nil"/>
              <w:bottom w:val="single" w:color="auto" w:sz="4" w:space="0"/>
              <w:right w:val="single" w:color="auto" w:sz="4" w:space="0"/>
            </w:tcBorders>
            <w:noWrap w:val="0"/>
            <w:vAlign w:val="bottom"/>
          </w:tcPr>
          <w:p>
            <w:pPr>
              <w:jc w:val="left"/>
              <w:rPr>
                <w:rFonts w:eastAsia="方正仿宋_GBK"/>
                <w:color w:val="000000"/>
                <w:spacing w:val="-2"/>
                <w:kern w:val="0"/>
                <w:szCs w:val="21"/>
              </w:rPr>
            </w:pPr>
            <w:r>
              <w:rPr>
                <w:rFonts w:hint="eastAsia" w:eastAsia="方正仿宋_GBK"/>
                <w:color w:val="000000"/>
                <w:spacing w:val="-2"/>
                <w:kern w:val="0"/>
                <w:szCs w:val="21"/>
              </w:rPr>
              <w:t>　</w:t>
            </w:r>
          </w:p>
        </w:tc>
        <w:tc>
          <w:tcPr>
            <w:tcW w:w="2900" w:type="dxa"/>
            <w:tcBorders>
              <w:top w:val="nil"/>
              <w:left w:val="nil"/>
              <w:bottom w:val="single" w:color="auto" w:sz="4" w:space="0"/>
              <w:right w:val="single" w:color="auto" w:sz="4" w:space="0"/>
            </w:tcBorders>
            <w:noWrap w:val="0"/>
            <w:vAlign w:val="bottom"/>
          </w:tcPr>
          <w:p>
            <w:pPr>
              <w:jc w:val="left"/>
              <w:rPr>
                <w:rFonts w:eastAsia="方正仿宋_GBK"/>
                <w:color w:val="000000"/>
                <w:spacing w:val="-2"/>
                <w:kern w:val="0"/>
                <w:szCs w:val="21"/>
              </w:rPr>
            </w:pPr>
            <w:r>
              <w:rPr>
                <w:rFonts w:hint="eastAsia" w:eastAsia="方正仿宋_GBK"/>
                <w:color w:val="000000"/>
                <w:spacing w:val="-2"/>
                <w:kern w:val="0"/>
                <w:szCs w:val="21"/>
              </w:rPr>
              <w:t>　</w:t>
            </w:r>
          </w:p>
        </w:tc>
        <w:tc>
          <w:tcPr>
            <w:tcW w:w="2566" w:type="dxa"/>
            <w:tcBorders>
              <w:top w:val="nil"/>
              <w:left w:val="nil"/>
              <w:bottom w:val="single" w:color="auto" w:sz="4" w:space="0"/>
              <w:right w:val="single" w:color="auto" w:sz="8" w:space="0"/>
            </w:tcBorders>
            <w:noWrap w:val="0"/>
            <w:vAlign w:val="bottom"/>
          </w:tcPr>
          <w:p>
            <w:pPr>
              <w:jc w:val="left"/>
              <w:rPr>
                <w:rFonts w:eastAsia="方正仿宋_GBK"/>
                <w:color w:val="000000"/>
                <w:spacing w:val="-2"/>
                <w:kern w:val="0"/>
                <w:szCs w:val="21"/>
              </w:rPr>
            </w:pPr>
            <w:r>
              <w:rPr>
                <w:rFonts w:hint="eastAsia" w:eastAsia="方正仿宋_GBK"/>
                <w:color w:val="000000"/>
                <w:spacing w:val="-2"/>
                <w:kern w:val="0"/>
                <w:szCs w:val="21"/>
              </w:rPr>
              <w:t>　</w:t>
            </w:r>
          </w:p>
        </w:tc>
      </w:tr>
      <w:tr>
        <w:tblPrEx>
          <w:tblCellMar>
            <w:top w:w="0" w:type="dxa"/>
            <w:left w:w="108" w:type="dxa"/>
            <w:bottom w:w="0" w:type="dxa"/>
            <w:right w:w="108" w:type="dxa"/>
          </w:tblCellMar>
        </w:tblPrEx>
        <w:trPr>
          <w:trHeight w:val="300" w:hRule="atLeast"/>
        </w:trPr>
        <w:tc>
          <w:tcPr>
            <w:tcW w:w="1380" w:type="dxa"/>
            <w:vMerge w:val="continue"/>
            <w:tcBorders>
              <w:top w:val="nil"/>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640" w:type="dxa"/>
            <w:vMerge w:val="continue"/>
            <w:tcBorders>
              <w:top w:val="nil"/>
              <w:left w:val="single" w:color="auto" w:sz="4" w:space="0"/>
              <w:bottom w:val="single" w:color="auto" w:sz="8" w:space="0"/>
              <w:right w:val="single" w:color="auto" w:sz="4" w:space="0"/>
            </w:tcBorders>
            <w:noWrap w:val="0"/>
            <w:vAlign w:val="center"/>
          </w:tcPr>
          <w:p>
            <w:pPr>
              <w:widowControl/>
              <w:jc w:val="left"/>
              <w:rPr>
                <w:rFonts w:eastAsia="方正仿宋_GBK"/>
                <w:color w:val="000000"/>
                <w:spacing w:val="-2"/>
                <w:kern w:val="0"/>
                <w:szCs w:val="21"/>
              </w:rPr>
            </w:pPr>
          </w:p>
        </w:tc>
        <w:tc>
          <w:tcPr>
            <w:tcW w:w="1980" w:type="dxa"/>
            <w:vMerge w:val="continue"/>
            <w:tcBorders>
              <w:top w:val="nil"/>
              <w:left w:val="single" w:color="auto" w:sz="4" w:space="0"/>
              <w:bottom w:val="single" w:color="auto" w:sz="8" w:space="0"/>
              <w:right w:val="single" w:color="auto" w:sz="4" w:space="0"/>
            </w:tcBorders>
            <w:noWrap w:val="0"/>
            <w:vAlign w:val="center"/>
          </w:tcPr>
          <w:p>
            <w:pPr>
              <w:widowControl/>
              <w:jc w:val="left"/>
              <w:rPr>
                <w:rFonts w:eastAsia="方正仿宋_GBK"/>
                <w:bCs/>
                <w:color w:val="000000"/>
                <w:spacing w:val="-2"/>
                <w:kern w:val="0"/>
                <w:szCs w:val="21"/>
              </w:rPr>
            </w:pPr>
          </w:p>
        </w:tc>
        <w:tc>
          <w:tcPr>
            <w:tcW w:w="3200" w:type="dxa"/>
            <w:tcBorders>
              <w:top w:val="nil"/>
              <w:left w:val="nil"/>
              <w:bottom w:val="single" w:color="auto" w:sz="8" w:space="0"/>
              <w:right w:val="single" w:color="auto" w:sz="4" w:space="0"/>
            </w:tcBorders>
            <w:noWrap w:val="0"/>
            <w:vAlign w:val="bottom"/>
          </w:tcPr>
          <w:p>
            <w:pPr>
              <w:jc w:val="left"/>
              <w:rPr>
                <w:rFonts w:eastAsia="方正仿宋_GBK"/>
                <w:color w:val="000000"/>
                <w:spacing w:val="-2"/>
                <w:kern w:val="0"/>
                <w:szCs w:val="21"/>
              </w:rPr>
            </w:pPr>
            <w:r>
              <w:rPr>
                <w:rFonts w:hint="eastAsia" w:eastAsia="方正仿宋_GBK"/>
                <w:color w:val="000000"/>
                <w:spacing w:val="-2"/>
                <w:kern w:val="0"/>
                <w:szCs w:val="21"/>
              </w:rPr>
              <w:t>　</w:t>
            </w:r>
          </w:p>
        </w:tc>
        <w:tc>
          <w:tcPr>
            <w:tcW w:w="2900" w:type="dxa"/>
            <w:tcBorders>
              <w:top w:val="nil"/>
              <w:left w:val="nil"/>
              <w:bottom w:val="single" w:color="auto" w:sz="8" w:space="0"/>
              <w:right w:val="single" w:color="auto" w:sz="4" w:space="0"/>
            </w:tcBorders>
            <w:noWrap w:val="0"/>
            <w:vAlign w:val="bottom"/>
          </w:tcPr>
          <w:p>
            <w:pPr>
              <w:jc w:val="left"/>
              <w:rPr>
                <w:rFonts w:eastAsia="方正仿宋_GBK"/>
                <w:color w:val="000000"/>
                <w:spacing w:val="-2"/>
                <w:kern w:val="0"/>
                <w:szCs w:val="21"/>
              </w:rPr>
            </w:pPr>
            <w:r>
              <w:rPr>
                <w:rFonts w:hint="eastAsia" w:eastAsia="方正仿宋_GBK"/>
                <w:color w:val="000000"/>
                <w:spacing w:val="-2"/>
                <w:kern w:val="0"/>
                <w:szCs w:val="21"/>
              </w:rPr>
              <w:t>　</w:t>
            </w:r>
          </w:p>
        </w:tc>
        <w:tc>
          <w:tcPr>
            <w:tcW w:w="2566" w:type="dxa"/>
            <w:tcBorders>
              <w:top w:val="nil"/>
              <w:left w:val="nil"/>
              <w:bottom w:val="single" w:color="auto" w:sz="8" w:space="0"/>
              <w:right w:val="single" w:color="auto" w:sz="8" w:space="0"/>
            </w:tcBorders>
            <w:noWrap w:val="0"/>
            <w:vAlign w:val="bottom"/>
          </w:tcPr>
          <w:p>
            <w:pPr>
              <w:jc w:val="left"/>
              <w:rPr>
                <w:rFonts w:eastAsia="方正仿宋_GBK"/>
                <w:color w:val="000000"/>
                <w:spacing w:val="-2"/>
                <w:kern w:val="0"/>
                <w:szCs w:val="21"/>
              </w:rPr>
            </w:pPr>
            <w:r>
              <w:rPr>
                <w:rFonts w:hint="eastAsia" w:eastAsia="方正仿宋_GBK"/>
                <w:color w:val="000000"/>
                <w:spacing w:val="-2"/>
                <w:kern w:val="0"/>
                <w:szCs w:val="21"/>
              </w:rPr>
              <w:t>　</w:t>
            </w:r>
          </w:p>
        </w:tc>
      </w:tr>
    </w:tbl>
    <w:p>
      <w:pPr>
        <w:widowControl/>
        <w:jc w:val="left"/>
        <w:rPr>
          <w:color w:val="000000"/>
          <w:spacing w:val="-2"/>
        </w:rPr>
        <w:sectPr>
          <w:type w:val="nextColumn"/>
          <w:pgSz w:w="16838" w:h="11906" w:orient="landscape"/>
          <w:pgMar w:top="1701" w:right="1588" w:bottom="1701" w:left="1588" w:header="851" w:footer="1361" w:gutter="0"/>
          <w:paperSrc w:first="7" w:other="7"/>
          <w:cols w:space="720" w:num="1"/>
        </w:sectPr>
      </w:pPr>
    </w:p>
    <w:p>
      <w:pPr>
        <w:spacing w:line="460" w:lineRule="exact"/>
        <w:rPr>
          <w:rFonts w:ascii="Times New Roman" w:eastAsia="方正黑体_GBK"/>
          <w:color w:val="000000"/>
          <w:spacing w:val="-2"/>
          <w:sz w:val="28"/>
          <w:szCs w:val="28"/>
        </w:rPr>
      </w:pPr>
      <w:r>
        <w:rPr>
          <w:rFonts w:hint="eastAsia" w:ascii="Times New Roman" w:eastAsia="方正黑体_GBK"/>
          <w:color w:val="000000"/>
          <w:spacing w:val="-2"/>
          <w:sz w:val="28"/>
          <w:szCs w:val="28"/>
        </w:rPr>
        <w:t>附件4</w:t>
      </w:r>
    </w:p>
    <w:p>
      <w:pPr>
        <w:rPr>
          <w:rFonts w:hint="eastAsia" w:ascii="Times New Roman" w:eastAsia="黑体"/>
          <w:color w:val="000000"/>
          <w:spacing w:val="-2"/>
          <w:kern w:val="0"/>
          <w:sz w:val="32"/>
          <w:szCs w:val="32"/>
        </w:rPr>
      </w:pPr>
    </w:p>
    <w:p>
      <w:pPr>
        <w:spacing w:line="500" w:lineRule="exact"/>
        <w:jc w:val="center"/>
        <w:rPr>
          <w:rFonts w:hint="eastAsia" w:ascii="Times New Roman" w:eastAsia="方正黑体_GBK"/>
          <w:bCs/>
          <w:color w:val="000000"/>
          <w:spacing w:val="-2"/>
          <w:kern w:val="0"/>
          <w:sz w:val="36"/>
          <w:szCs w:val="36"/>
        </w:rPr>
      </w:pPr>
      <w:r>
        <w:rPr>
          <w:rFonts w:hint="eastAsia" w:ascii="Times New Roman" w:eastAsia="方正黑体_GBK"/>
          <w:bCs/>
          <w:color w:val="000000"/>
          <w:spacing w:val="-2"/>
          <w:kern w:val="0"/>
          <w:sz w:val="36"/>
          <w:szCs w:val="36"/>
        </w:rPr>
        <w:t>住房城乡建设部关于加强城镇供水设施改造建设和</w:t>
      </w:r>
    </w:p>
    <w:p>
      <w:pPr>
        <w:spacing w:line="500" w:lineRule="exact"/>
        <w:jc w:val="center"/>
        <w:rPr>
          <w:rFonts w:hint="eastAsia" w:ascii="Times New Roman" w:eastAsia="方正黑体_GBK"/>
          <w:bCs/>
          <w:color w:val="000000"/>
          <w:spacing w:val="-2"/>
          <w:kern w:val="0"/>
          <w:sz w:val="36"/>
          <w:szCs w:val="36"/>
        </w:rPr>
      </w:pPr>
      <w:r>
        <w:rPr>
          <w:rFonts w:hint="eastAsia" w:ascii="Times New Roman" w:eastAsia="方正黑体_GBK"/>
          <w:bCs/>
          <w:color w:val="000000"/>
          <w:spacing w:val="-2"/>
          <w:kern w:val="0"/>
          <w:sz w:val="36"/>
          <w:szCs w:val="36"/>
        </w:rPr>
        <w:t>运行管理工作的通知</w:t>
      </w:r>
    </w:p>
    <w:p>
      <w:pPr>
        <w:spacing w:line="460" w:lineRule="exact"/>
        <w:rPr>
          <w:rFonts w:hint="eastAsia" w:eastAsia="方正仿宋_GBK"/>
          <w:color w:val="000000"/>
          <w:spacing w:val="-2"/>
          <w:sz w:val="24"/>
        </w:rPr>
      </w:pPr>
    </w:p>
    <w:p>
      <w:pPr>
        <w:spacing w:line="460" w:lineRule="exact"/>
        <w:jc w:val="center"/>
        <w:rPr>
          <w:rFonts w:eastAsia="方正楷体_GBK"/>
          <w:bCs/>
          <w:color w:val="000000"/>
          <w:spacing w:val="-2"/>
          <w:kern w:val="0"/>
          <w:sz w:val="24"/>
        </w:rPr>
      </w:pPr>
      <w:bookmarkStart w:id="128" w:name="_Toc18315435"/>
      <w:r>
        <w:rPr>
          <w:rFonts w:hint="eastAsia" w:eastAsia="方正楷体_GBK"/>
          <w:bCs/>
          <w:color w:val="000000"/>
          <w:spacing w:val="-2"/>
          <w:kern w:val="0"/>
          <w:sz w:val="24"/>
        </w:rPr>
        <w:t>建城〔</w:t>
      </w:r>
      <w:r>
        <w:rPr>
          <w:rFonts w:eastAsia="方正楷体_GBK"/>
          <w:bCs/>
          <w:color w:val="000000"/>
          <w:spacing w:val="-2"/>
          <w:kern w:val="0"/>
          <w:sz w:val="24"/>
        </w:rPr>
        <w:t>2012</w:t>
      </w:r>
      <w:r>
        <w:rPr>
          <w:rFonts w:hint="eastAsia" w:eastAsia="方正楷体_GBK"/>
          <w:bCs/>
          <w:color w:val="000000"/>
          <w:spacing w:val="-2"/>
          <w:kern w:val="0"/>
          <w:sz w:val="24"/>
        </w:rPr>
        <w:t>〕</w:t>
      </w:r>
      <w:r>
        <w:rPr>
          <w:rFonts w:eastAsia="方正楷体_GBK"/>
          <w:bCs/>
          <w:color w:val="000000"/>
          <w:spacing w:val="-2"/>
          <w:kern w:val="0"/>
          <w:sz w:val="24"/>
        </w:rPr>
        <w:t>149</w:t>
      </w:r>
      <w:r>
        <w:rPr>
          <w:rFonts w:hint="eastAsia" w:eastAsia="方正楷体_GBK"/>
          <w:bCs/>
          <w:color w:val="000000"/>
          <w:spacing w:val="-2"/>
          <w:kern w:val="0"/>
          <w:sz w:val="24"/>
        </w:rPr>
        <w:t>号</w:t>
      </w:r>
      <w:bookmarkEnd w:id="128"/>
    </w:p>
    <w:p>
      <w:pPr>
        <w:spacing w:line="460" w:lineRule="exact"/>
        <w:rPr>
          <w:rFonts w:eastAsia="方正仿宋_GBK"/>
          <w:b/>
          <w:bCs/>
          <w:color w:val="000000"/>
          <w:spacing w:val="-2"/>
          <w:kern w:val="0"/>
          <w:sz w:val="24"/>
        </w:rPr>
      </w:pPr>
    </w:p>
    <w:p>
      <w:pPr>
        <w:spacing w:line="460" w:lineRule="exact"/>
        <w:rPr>
          <w:rFonts w:eastAsia="方正仿宋_GBK"/>
          <w:color w:val="000000"/>
          <w:spacing w:val="-2"/>
          <w:kern w:val="0"/>
          <w:sz w:val="24"/>
        </w:rPr>
      </w:pPr>
      <w:r>
        <w:rPr>
          <w:rFonts w:hint="eastAsia" w:eastAsia="方正仿宋_GBK"/>
          <w:color w:val="000000"/>
          <w:spacing w:val="-2"/>
          <w:kern w:val="0"/>
          <w:sz w:val="24"/>
        </w:rPr>
        <w:t>各省、自治区住房城乡建设厅，海南省水务厅，北京、上海、天津市水务局，重庆市市政管委，新疆生产建设兵团建设局：</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加强城镇供水设施改造、建设和运行管理工作，对保障广大人民群众的身体健康和生命安全、实现基本公共服务均等化、促进城镇化健康发展具有重要作用。近日，我部会同国家发展改革委印发了《全国城镇供水设施改造与建设</w:t>
      </w:r>
      <w:r>
        <w:rPr>
          <w:rFonts w:eastAsia="方正仿宋_GBK"/>
          <w:color w:val="000000"/>
          <w:spacing w:val="-2"/>
          <w:kern w:val="0"/>
          <w:sz w:val="24"/>
        </w:rPr>
        <w:t>“</w:t>
      </w:r>
      <w:r>
        <w:rPr>
          <w:rFonts w:hint="eastAsia" w:eastAsia="方正仿宋_GBK"/>
          <w:color w:val="000000"/>
          <w:spacing w:val="-2"/>
          <w:kern w:val="0"/>
          <w:sz w:val="24"/>
        </w:rPr>
        <w:t>十二五</w:t>
      </w:r>
      <w:r>
        <w:rPr>
          <w:rFonts w:eastAsia="方正仿宋_GBK"/>
          <w:color w:val="000000"/>
          <w:spacing w:val="-2"/>
          <w:kern w:val="0"/>
          <w:sz w:val="24"/>
        </w:rPr>
        <w:t>”</w:t>
      </w:r>
      <w:r>
        <w:rPr>
          <w:rFonts w:hint="eastAsia" w:eastAsia="方正仿宋_GBK"/>
          <w:color w:val="000000"/>
          <w:spacing w:val="-2"/>
          <w:kern w:val="0"/>
          <w:sz w:val="24"/>
        </w:rPr>
        <w:t>规划及</w:t>
      </w:r>
      <w:r>
        <w:rPr>
          <w:rFonts w:eastAsia="方正仿宋_GBK"/>
          <w:color w:val="000000"/>
          <w:spacing w:val="-2"/>
          <w:kern w:val="0"/>
          <w:sz w:val="24"/>
        </w:rPr>
        <w:t>2020</w:t>
      </w:r>
      <w:r>
        <w:rPr>
          <w:rFonts w:hint="eastAsia" w:eastAsia="方正仿宋_GBK"/>
          <w:color w:val="000000"/>
          <w:spacing w:val="-2"/>
          <w:kern w:val="0"/>
          <w:sz w:val="24"/>
        </w:rPr>
        <w:t>年远景目标》（以下简称《规划》），为贯彻落实《规划》，现通知如下：</w:t>
      </w:r>
    </w:p>
    <w:p>
      <w:pPr>
        <w:spacing w:line="460" w:lineRule="exact"/>
        <w:ind w:firstLine="472" w:firstLineChars="200"/>
        <w:rPr>
          <w:rFonts w:ascii="Times New Roman" w:eastAsia="方正黑体_GBK"/>
          <w:color w:val="000000"/>
          <w:spacing w:val="-2"/>
          <w:kern w:val="0"/>
          <w:sz w:val="24"/>
        </w:rPr>
      </w:pPr>
      <w:r>
        <w:rPr>
          <w:rFonts w:hint="eastAsia" w:ascii="Times New Roman" w:eastAsia="方正黑体_GBK"/>
          <w:color w:val="000000"/>
          <w:spacing w:val="-2"/>
          <w:kern w:val="0"/>
          <w:sz w:val="24"/>
        </w:rPr>
        <w:t>一、尽快开展前期工作</w:t>
      </w:r>
    </w:p>
    <w:p>
      <w:pPr>
        <w:spacing w:line="460" w:lineRule="exact"/>
        <w:ind w:firstLine="472" w:firstLineChars="200"/>
        <w:rPr>
          <w:rFonts w:hint="eastAsia" w:eastAsia="方正仿宋_GBK"/>
          <w:color w:val="000000"/>
          <w:spacing w:val="-2"/>
          <w:kern w:val="0"/>
          <w:sz w:val="24"/>
        </w:rPr>
      </w:pPr>
      <w:r>
        <w:rPr>
          <w:rFonts w:hint="eastAsia" w:ascii="Times New Roman" w:eastAsia="方正楷体_GBK"/>
          <w:color w:val="000000"/>
          <w:spacing w:val="-2"/>
          <w:kern w:val="0"/>
          <w:sz w:val="24"/>
        </w:rPr>
        <w:t>（一）分解落实规划任务。</w:t>
      </w:r>
      <w:r>
        <w:rPr>
          <w:rFonts w:hint="eastAsia" w:eastAsia="方正仿宋_GBK"/>
          <w:color w:val="000000"/>
          <w:spacing w:val="-2"/>
          <w:kern w:val="0"/>
          <w:sz w:val="24"/>
        </w:rPr>
        <w:t>按照《规划》确定的原则，结合本地实际情况，制定和完善本地区城镇供水设施改造与建设规划，明确辖区内各市县近远期的建设任务。市县供水主管部门要将规划任务逐一落实到工程项目，并组织和监督相关单位按照国家标准规范要求认真实施。</w:t>
      </w:r>
    </w:p>
    <w:p>
      <w:pPr>
        <w:spacing w:line="460" w:lineRule="exact"/>
        <w:ind w:firstLine="472" w:firstLineChars="200"/>
        <w:rPr>
          <w:rFonts w:eastAsia="方正仿宋_GBK"/>
          <w:color w:val="000000"/>
          <w:spacing w:val="-2"/>
          <w:kern w:val="0"/>
          <w:sz w:val="24"/>
        </w:rPr>
      </w:pPr>
      <w:r>
        <w:rPr>
          <w:rFonts w:hint="eastAsia" w:ascii="Times New Roman" w:eastAsia="方正楷体_GBK"/>
          <w:color w:val="000000"/>
          <w:spacing w:val="-2"/>
          <w:kern w:val="0"/>
          <w:sz w:val="24"/>
        </w:rPr>
        <w:t>（二）加强项目技术论证。</w:t>
      </w:r>
      <w:r>
        <w:rPr>
          <w:rFonts w:hint="eastAsia" w:eastAsia="方正仿宋_GBK"/>
          <w:color w:val="000000"/>
          <w:spacing w:val="-4"/>
          <w:kern w:val="0"/>
          <w:sz w:val="24"/>
        </w:rPr>
        <w:t>抓紧组织编制工程项目建议书、可行性研究报告等。项目立项审批前，要根据水源水质、供水设施状况、地质条件等，参照《城镇供水设施建设与改造技术指南》制定技术对策与方案，并充分进行技术论证，确保工程技术适用、建设规模合理，满足抗震设防要求。水厂改造项目应考虑水质检测和应对突发性水源污染的要求，配置必要的水质检测设备和应急净水设施；管网改造项目应采用优质管材和配件，有条件的地区应同步建设水量、水压及关键水质指标的在线检测设备</w:t>
      </w:r>
      <w:r>
        <w:rPr>
          <w:rFonts w:hint="eastAsia" w:eastAsia="方正仿宋_GBK"/>
          <w:color w:val="000000"/>
          <w:spacing w:val="-2"/>
          <w:kern w:val="0"/>
          <w:sz w:val="24"/>
        </w:rPr>
        <w:t>。</w:t>
      </w:r>
    </w:p>
    <w:p>
      <w:pPr>
        <w:spacing w:line="460" w:lineRule="exact"/>
        <w:ind w:firstLine="472" w:firstLineChars="200"/>
        <w:rPr>
          <w:rFonts w:eastAsia="方正仿宋_GBK"/>
          <w:color w:val="000000"/>
          <w:spacing w:val="-2"/>
          <w:kern w:val="0"/>
          <w:sz w:val="24"/>
        </w:rPr>
      </w:pPr>
      <w:r>
        <w:rPr>
          <w:rFonts w:hint="eastAsia" w:ascii="Times New Roman" w:eastAsia="方正楷体_GBK"/>
          <w:color w:val="000000"/>
          <w:spacing w:val="-2"/>
          <w:kern w:val="0"/>
          <w:sz w:val="24"/>
        </w:rPr>
        <w:t>（三）加快工程项目实施。</w:t>
      </w:r>
      <w:r>
        <w:rPr>
          <w:rFonts w:hint="eastAsia" w:eastAsia="方正仿宋_GBK"/>
          <w:color w:val="000000"/>
          <w:spacing w:val="-2"/>
          <w:kern w:val="0"/>
          <w:sz w:val="24"/>
        </w:rPr>
        <w:t>要加快工程项目的实施，定期汇总项目建设情况并加强监督指导。市县供水主管部门要结合本地实际情况，优先实施供水设施改造，限期解决水源污染、设施陈旧造成的水质不能稳定达标问题；制定好工程项目年度实施计划，纳入当地城市建设年度计划统筹实施；通过</w:t>
      </w:r>
      <w:r>
        <w:rPr>
          <w:rFonts w:eastAsia="方正仿宋_GBK"/>
          <w:color w:val="000000"/>
          <w:spacing w:val="-2"/>
          <w:kern w:val="0"/>
          <w:sz w:val="24"/>
        </w:rPr>
        <w:t>“</w:t>
      </w:r>
      <w:r>
        <w:rPr>
          <w:rFonts w:hint="eastAsia" w:eastAsia="方正仿宋_GBK"/>
          <w:color w:val="000000"/>
          <w:spacing w:val="-2"/>
          <w:kern w:val="0"/>
          <w:sz w:val="24"/>
        </w:rPr>
        <w:t>全国城镇供水信息系统</w:t>
      </w:r>
      <w:r>
        <w:rPr>
          <w:rFonts w:eastAsia="方正仿宋_GBK"/>
          <w:color w:val="000000"/>
          <w:spacing w:val="-2"/>
          <w:kern w:val="0"/>
          <w:sz w:val="24"/>
        </w:rPr>
        <w:t>”</w:t>
      </w:r>
      <w:r>
        <w:rPr>
          <w:rFonts w:hint="eastAsia" w:eastAsia="方正仿宋_GBK"/>
          <w:color w:val="000000"/>
          <w:spacing w:val="-2"/>
          <w:kern w:val="0"/>
          <w:sz w:val="24"/>
        </w:rPr>
        <w:t>填报项目信息，并及时更新项目进展情况。</w:t>
      </w:r>
    </w:p>
    <w:p>
      <w:pPr>
        <w:spacing w:line="460" w:lineRule="exact"/>
        <w:ind w:firstLine="472" w:firstLineChars="200"/>
        <w:rPr>
          <w:rFonts w:ascii="Times New Roman" w:eastAsia="方正黑体_GBK"/>
          <w:color w:val="000000"/>
          <w:spacing w:val="-2"/>
          <w:kern w:val="0"/>
          <w:sz w:val="24"/>
        </w:rPr>
      </w:pPr>
      <w:r>
        <w:rPr>
          <w:rFonts w:hint="eastAsia" w:ascii="Times New Roman" w:eastAsia="方正黑体_GBK"/>
          <w:color w:val="000000"/>
          <w:spacing w:val="-2"/>
          <w:kern w:val="0"/>
          <w:sz w:val="24"/>
        </w:rPr>
        <w:t>二、强化指导和监管</w:t>
      </w:r>
    </w:p>
    <w:p>
      <w:pPr>
        <w:spacing w:line="460" w:lineRule="exact"/>
        <w:ind w:firstLine="472" w:firstLineChars="200"/>
        <w:rPr>
          <w:rFonts w:hint="eastAsia" w:eastAsia="方正仿宋_GBK"/>
          <w:color w:val="000000"/>
          <w:spacing w:val="-2"/>
          <w:kern w:val="0"/>
          <w:sz w:val="24"/>
        </w:rPr>
      </w:pPr>
      <w:r>
        <w:rPr>
          <w:rFonts w:hint="eastAsia" w:ascii="Times New Roman" w:eastAsia="方正楷体_GBK"/>
          <w:color w:val="000000"/>
          <w:spacing w:val="-2"/>
          <w:kern w:val="0"/>
          <w:sz w:val="24"/>
        </w:rPr>
        <w:t>（四）严把工程质量。</w:t>
      </w:r>
      <w:r>
        <w:rPr>
          <w:rFonts w:hint="eastAsia" w:eastAsia="方正仿宋_GBK"/>
          <w:color w:val="000000"/>
          <w:spacing w:val="-2"/>
          <w:kern w:val="0"/>
          <w:sz w:val="24"/>
        </w:rPr>
        <w:t>加强工程项目质量安全监督检查，督促建设单位通过重点检查、随机抽查等掌握工程进度和质量情况，对存在质量安全问题的项目，要责令限期整改。工程项目严格执行项目法人制、招标投标制、合同管理制、工程监理制、竣工验收备案制等制度。</w:t>
      </w:r>
    </w:p>
    <w:p>
      <w:pPr>
        <w:spacing w:line="460" w:lineRule="exact"/>
        <w:ind w:firstLine="472" w:firstLineChars="200"/>
        <w:rPr>
          <w:rFonts w:eastAsia="方正仿宋_GBK"/>
          <w:color w:val="000000"/>
          <w:spacing w:val="-2"/>
          <w:kern w:val="0"/>
          <w:sz w:val="24"/>
        </w:rPr>
      </w:pPr>
      <w:r>
        <w:rPr>
          <w:rFonts w:hint="eastAsia" w:ascii="Times New Roman" w:eastAsia="方正楷体_GBK"/>
          <w:color w:val="000000"/>
          <w:spacing w:val="-2"/>
          <w:kern w:val="0"/>
          <w:sz w:val="24"/>
        </w:rPr>
        <w:t>（五）加强行业监管</w:t>
      </w:r>
      <w:r>
        <w:rPr>
          <w:rFonts w:hint="eastAsia" w:eastAsia="方正仿宋_GBK"/>
          <w:color w:val="000000"/>
          <w:spacing w:val="-2"/>
          <w:kern w:val="0"/>
          <w:sz w:val="24"/>
        </w:rPr>
        <w:t>。督促市县供水主管部门根据供水经营模式，及时调整监管方式，加强监管能力建设；严格按照国家法律法规和标准规范的要求，对供水企业的水质状况、运营水平和服务质量进行监督检查。</w:t>
      </w:r>
    </w:p>
    <w:p>
      <w:pPr>
        <w:spacing w:line="460" w:lineRule="exact"/>
        <w:ind w:firstLine="472" w:firstLineChars="200"/>
        <w:rPr>
          <w:rFonts w:eastAsia="方正仿宋_GBK"/>
          <w:color w:val="000000"/>
          <w:spacing w:val="-2"/>
          <w:kern w:val="0"/>
          <w:sz w:val="24"/>
        </w:rPr>
      </w:pPr>
      <w:r>
        <w:rPr>
          <w:rFonts w:hint="eastAsia" w:ascii="Times New Roman" w:eastAsia="方正楷体_GBK"/>
          <w:color w:val="000000"/>
          <w:spacing w:val="-2"/>
          <w:kern w:val="0"/>
          <w:sz w:val="24"/>
        </w:rPr>
        <w:t>（六）提高企业运行管理水平</w:t>
      </w:r>
      <w:r>
        <w:rPr>
          <w:rFonts w:hint="eastAsia" w:eastAsia="方正仿宋_GBK"/>
          <w:color w:val="000000"/>
          <w:spacing w:val="-2"/>
          <w:kern w:val="0"/>
          <w:sz w:val="24"/>
        </w:rPr>
        <w:t>。严格执行《城镇供水厂运行维护及安全技术规程》等标准，督促供水企业实施精细化管理，落实岗位职责、规范操作规程，建立健全供水企业管理人员和关键岗位持证上岗制度。供水企业要定期开展业务交流和技术培训，组织有关人员认真学习贯彻相关标准规范，严格按照《生活饮用水卫生标准》要求的检测项目和频率实施水质自检，加强内部质量控制；特别要加强消毒环节管理，合理选择消毒方式，严格控制消毒副产物的产生。</w:t>
      </w:r>
    </w:p>
    <w:p>
      <w:pPr>
        <w:spacing w:line="460" w:lineRule="exact"/>
        <w:ind w:firstLine="472" w:firstLineChars="200"/>
        <w:rPr>
          <w:rFonts w:eastAsia="方正仿宋_GBK"/>
          <w:color w:val="000000"/>
          <w:spacing w:val="-2"/>
          <w:kern w:val="0"/>
          <w:sz w:val="24"/>
        </w:rPr>
      </w:pPr>
      <w:r>
        <w:rPr>
          <w:rFonts w:hint="eastAsia" w:ascii="Times New Roman" w:eastAsia="方正楷体_GBK"/>
          <w:color w:val="000000"/>
          <w:spacing w:val="-2"/>
          <w:kern w:val="0"/>
          <w:sz w:val="24"/>
        </w:rPr>
        <w:t>（七）加快水质信息公开。</w:t>
      </w:r>
      <w:r>
        <w:rPr>
          <w:rFonts w:hint="eastAsia" w:eastAsia="方正仿宋_GBK"/>
          <w:color w:val="000000"/>
          <w:spacing w:val="-2"/>
          <w:kern w:val="0"/>
          <w:sz w:val="24"/>
        </w:rPr>
        <w:t>各地按照《城市供水水质管理规定》、《生活饮用水卫生监督管理办法》等文件的要求，及时将供水水质监督检查结果向社会公布。供水企业务必于</w:t>
      </w:r>
      <w:r>
        <w:rPr>
          <w:rFonts w:eastAsia="方正仿宋_GBK"/>
          <w:color w:val="000000"/>
          <w:spacing w:val="-2"/>
          <w:kern w:val="0"/>
          <w:sz w:val="24"/>
        </w:rPr>
        <w:t>2013</w:t>
      </w:r>
      <w:r>
        <w:rPr>
          <w:rFonts w:hint="eastAsia" w:eastAsia="方正仿宋_GBK"/>
          <w:color w:val="000000"/>
          <w:spacing w:val="-2"/>
          <w:kern w:val="0"/>
          <w:sz w:val="24"/>
        </w:rPr>
        <w:t>年底前建立水质信息公布制度，接受社会监督。</w:t>
      </w:r>
    </w:p>
    <w:p>
      <w:pPr>
        <w:spacing w:line="460" w:lineRule="exact"/>
        <w:ind w:firstLine="472" w:firstLineChars="200"/>
        <w:rPr>
          <w:rFonts w:ascii="Times New Roman" w:eastAsia="方正黑体_GBK"/>
          <w:color w:val="000000"/>
          <w:spacing w:val="-2"/>
          <w:kern w:val="0"/>
          <w:sz w:val="24"/>
        </w:rPr>
      </w:pPr>
      <w:r>
        <w:rPr>
          <w:rFonts w:hint="eastAsia" w:ascii="Times New Roman" w:eastAsia="方正黑体_GBK"/>
          <w:color w:val="000000"/>
          <w:spacing w:val="-2"/>
          <w:kern w:val="0"/>
          <w:sz w:val="24"/>
        </w:rPr>
        <w:t>三、加大资金投入</w:t>
      </w:r>
    </w:p>
    <w:p>
      <w:pPr>
        <w:spacing w:line="460" w:lineRule="exact"/>
        <w:ind w:firstLine="472" w:firstLineChars="200"/>
        <w:rPr>
          <w:rFonts w:hint="eastAsia" w:eastAsia="方正仿宋_GBK"/>
          <w:color w:val="000000"/>
          <w:spacing w:val="-2"/>
          <w:kern w:val="0"/>
          <w:sz w:val="24"/>
        </w:rPr>
      </w:pPr>
      <w:r>
        <w:rPr>
          <w:rFonts w:hint="eastAsia" w:ascii="Times New Roman" w:eastAsia="方正楷体_GBK"/>
          <w:color w:val="000000"/>
          <w:spacing w:val="-2"/>
          <w:kern w:val="0"/>
          <w:sz w:val="24"/>
        </w:rPr>
        <w:t>（八）加大地方投入。</w:t>
      </w:r>
      <w:r>
        <w:rPr>
          <w:rFonts w:hint="eastAsia" w:eastAsia="方正仿宋_GBK"/>
          <w:color w:val="000000"/>
          <w:spacing w:val="-2"/>
          <w:kern w:val="0"/>
          <w:sz w:val="24"/>
        </w:rPr>
        <w:t>市县供水主管部门要将规划任务和实施计划向当地人民政府主要领导作专题汇报，积极争取将项目建设资金列入当地财政预算，加大地方财政投入；争取将城市建设维护资金、土地出让收益、市政工程配套费的一定比例用于工程项目；主动配合发展改革部门做好中央预算内投资的安排，对获得资金支持的项目要加强监督检查，确保资金发挥效益。对于城乡统筹区域供水项目，结合受益的农村人口，争取农村饮用水安全工程补助资金。</w:t>
      </w:r>
    </w:p>
    <w:p>
      <w:pPr>
        <w:spacing w:line="460" w:lineRule="exact"/>
        <w:ind w:firstLine="472" w:firstLineChars="200"/>
        <w:rPr>
          <w:rFonts w:eastAsia="方正仿宋_GBK"/>
          <w:color w:val="000000"/>
          <w:spacing w:val="-2"/>
          <w:kern w:val="0"/>
          <w:sz w:val="24"/>
        </w:rPr>
      </w:pPr>
      <w:r>
        <w:rPr>
          <w:rFonts w:hint="eastAsia" w:ascii="Times New Roman" w:eastAsia="方正楷体_GBK"/>
          <w:color w:val="000000"/>
          <w:spacing w:val="-2"/>
          <w:kern w:val="0"/>
          <w:sz w:val="24"/>
        </w:rPr>
        <w:t>（九）利用好价格机制。</w:t>
      </w:r>
      <w:r>
        <w:rPr>
          <w:rFonts w:hint="eastAsia" w:eastAsia="方正仿宋_GBK"/>
          <w:color w:val="000000"/>
          <w:spacing w:val="-2"/>
          <w:kern w:val="0"/>
          <w:sz w:val="24"/>
        </w:rPr>
        <w:t>市县供水主管部门应主动配合价格主管部门做好成本监审和水价调整工作，及时补偿供水成本；按照国家规定提取资产折旧费，并确保资产折旧费足额用于供水设施的更新改造；对水价不能及时调整到位的，应向当地人民政府汇报有关情况，争取对供水企业予以补贴。</w:t>
      </w:r>
    </w:p>
    <w:p>
      <w:pPr>
        <w:spacing w:line="460" w:lineRule="exact"/>
        <w:ind w:firstLine="472" w:firstLineChars="200"/>
        <w:rPr>
          <w:rFonts w:ascii="Times New Roman" w:eastAsia="方正黑体_GBK"/>
          <w:color w:val="000000"/>
          <w:spacing w:val="-2"/>
          <w:kern w:val="0"/>
          <w:sz w:val="24"/>
        </w:rPr>
      </w:pPr>
      <w:r>
        <w:rPr>
          <w:rFonts w:hint="eastAsia" w:ascii="Times New Roman" w:eastAsia="方正黑体_GBK"/>
          <w:color w:val="000000"/>
          <w:spacing w:val="-2"/>
          <w:kern w:val="0"/>
          <w:sz w:val="24"/>
        </w:rPr>
        <w:t>四、强化薄弱环节建设</w:t>
      </w:r>
    </w:p>
    <w:p>
      <w:pPr>
        <w:spacing w:line="460" w:lineRule="exact"/>
        <w:ind w:firstLine="472" w:firstLineChars="200"/>
        <w:rPr>
          <w:rFonts w:hint="eastAsia" w:eastAsia="方正仿宋_GBK"/>
          <w:color w:val="000000"/>
          <w:spacing w:val="-2"/>
          <w:kern w:val="0"/>
          <w:sz w:val="24"/>
        </w:rPr>
      </w:pPr>
      <w:r>
        <w:rPr>
          <w:rFonts w:hint="eastAsia" w:ascii="Times New Roman" w:eastAsia="方正楷体_GBK"/>
          <w:color w:val="000000"/>
          <w:spacing w:val="-2"/>
          <w:kern w:val="0"/>
          <w:sz w:val="24"/>
        </w:rPr>
        <w:t>（十）加快编制供水专项规划。</w:t>
      </w:r>
      <w:r>
        <w:rPr>
          <w:rFonts w:hint="eastAsia" w:eastAsia="方正仿宋_GBK"/>
          <w:color w:val="000000"/>
          <w:spacing w:val="-2"/>
          <w:kern w:val="0"/>
          <w:sz w:val="24"/>
        </w:rPr>
        <w:t>市县供水主管部门要委托具有资质的编制单位，根据当地城市总体规划，结合已确定的工程项目，按照《城市给水工程规划规范》国家标准的要求，于</w:t>
      </w:r>
      <w:r>
        <w:rPr>
          <w:rFonts w:eastAsia="方正仿宋_GBK"/>
          <w:color w:val="000000"/>
          <w:spacing w:val="-2"/>
          <w:kern w:val="0"/>
          <w:sz w:val="24"/>
        </w:rPr>
        <w:t>2013</w:t>
      </w:r>
      <w:r>
        <w:rPr>
          <w:rFonts w:hint="eastAsia" w:eastAsia="方正仿宋_GBK"/>
          <w:color w:val="000000"/>
          <w:spacing w:val="-2"/>
          <w:kern w:val="0"/>
          <w:sz w:val="24"/>
        </w:rPr>
        <w:t>年</w:t>
      </w:r>
      <w:r>
        <w:rPr>
          <w:rFonts w:eastAsia="方正仿宋_GBK"/>
          <w:color w:val="000000"/>
          <w:spacing w:val="-2"/>
          <w:kern w:val="0"/>
          <w:sz w:val="24"/>
        </w:rPr>
        <w:t>3</w:t>
      </w:r>
      <w:r>
        <w:rPr>
          <w:rFonts w:hint="eastAsia" w:eastAsia="方正仿宋_GBK"/>
          <w:color w:val="000000"/>
          <w:spacing w:val="-2"/>
          <w:kern w:val="0"/>
          <w:sz w:val="24"/>
        </w:rPr>
        <w:t>月底前编制或修订完成城市供水专项规划，优化城镇供水设施布局。</w:t>
      </w:r>
    </w:p>
    <w:p>
      <w:pPr>
        <w:spacing w:line="460" w:lineRule="exact"/>
        <w:ind w:firstLine="472" w:firstLineChars="200"/>
        <w:rPr>
          <w:rFonts w:eastAsia="方正仿宋_GBK"/>
          <w:color w:val="000000"/>
          <w:spacing w:val="-2"/>
          <w:kern w:val="0"/>
          <w:sz w:val="24"/>
        </w:rPr>
      </w:pPr>
      <w:r>
        <w:rPr>
          <w:rFonts w:hint="eastAsia" w:ascii="Times New Roman" w:eastAsia="方正楷体_GBK"/>
          <w:color w:val="000000"/>
          <w:spacing w:val="-2"/>
          <w:kern w:val="0"/>
          <w:sz w:val="24"/>
        </w:rPr>
        <w:t>（十一）严格落实特许经营制度。</w:t>
      </w:r>
      <w:r>
        <w:rPr>
          <w:rFonts w:hint="eastAsia" w:eastAsia="方正仿宋_GBK"/>
          <w:color w:val="000000"/>
          <w:spacing w:val="-2"/>
          <w:kern w:val="0"/>
          <w:sz w:val="24"/>
        </w:rPr>
        <w:t>按照《市政公用事业特许经营管理办法》、《关于进一步鼓励和引导民间资本进入市政公用事业领域的实施意见》等文件的要求，通过政府购买服务的模式引入市场竞争机制，逐步提高城镇供水行业的产业集中度；规范市场准入退出，公开、公平、公正地选择专业化运营企业，签订并严格执行特许经营协议，提高公共服务水平和运营效率。</w:t>
      </w:r>
    </w:p>
    <w:p>
      <w:pPr>
        <w:spacing w:line="460" w:lineRule="exact"/>
        <w:ind w:firstLine="472" w:firstLineChars="200"/>
        <w:rPr>
          <w:rFonts w:eastAsia="方正仿宋_GBK"/>
          <w:color w:val="000000"/>
          <w:spacing w:val="-2"/>
          <w:kern w:val="0"/>
          <w:sz w:val="24"/>
        </w:rPr>
      </w:pPr>
      <w:r>
        <w:rPr>
          <w:rFonts w:hint="eastAsia" w:ascii="Times New Roman" w:eastAsia="方正楷体_GBK"/>
          <w:color w:val="000000"/>
          <w:spacing w:val="-2"/>
          <w:kern w:val="0"/>
          <w:sz w:val="24"/>
        </w:rPr>
        <w:t>（十二）强化水源污染风险控制</w:t>
      </w:r>
      <w:r>
        <w:rPr>
          <w:rFonts w:hint="eastAsia" w:eastAsia="方正仿宋_GBK"/>
          <w:color w:val="000000"/>
          <w:spacing w:val="-2"/>
          <w:kern w:val="0"/>
          <w:sz w:val="24"/>
        </w:rPr>
        <w:t>。市县供水主管部门要积极配合环保部门科学划定饮用水水源地保护区，加强水源地水质信息的沟通。供水企业要按照国家标准要求加强饮用水水源水质检测，全面掌握特征污染物情况，并针对污染状况采取有效应对措施。</w:t>
      </w:r>
    </w:p>
    <w:p>
      <w:pPr>
        <w:spacing w:line="460" w:lineRule="exact"/>
        <w:ind w:firstLine="472" w:firstLineChars="200"/>
        <w:rPr>
          <w:rFonts w:eastAsia="方正仿宋_GBK"/>
          <w:color w:val="000000"/>
          <w:spacing w:val="-2"/>
          <w:kern w:val="0"/>
          <w:sz w:val="24"/>
        </w:rPr>
      </w:pPr>
      <w:r>
        <w:rPr>
          <w:rFonts w:hint="eastAsia" w:ascii="Times New Roman" w:eastAsia="方正楷体_GBK"/>
          <w:color w:val="000000"/>
          <w:spacing w:val="-2"/>
          <w:kern w:val="0"/>
          <w:sz w:val="24"/>
        </w:rPr>
        <w:t>（十三）加强水质检测能力建设</w:t>
      </w:r>
      <w:r>
        <w:rPr>
          <w:rFonts w:hint="eastAsia" w:eastAsia="方正仿宋_GBK"/>
          <w:color w:val="000000"/>
          <w:spacing w:val="-2"/>
          <w:kern w:val="0"/>
          <w:sz w:val="24"/>
        </w:rPr>
        <w:t>。各地在</w:t>
      </w:r>
      <w:r>
        <w:rPr>
          <w:rFonts w:eastAsia="方正仿宋_GBK"/>
          <w:color w:val="000000"/>
          <w:spacing w:val="-2"/>
          <w:kern w:val="0"/>
          <w:sz w:val="24"/>
        </w:rPr>
        <w:t>2012</w:t>
      </w:r>
      <w:r>
        <w:rPr>
          <w:rFonts w:hint="eastAsia" w:eastAsia="方正仿宋_GBK"/>
          <w:color w:val="000000"/>
          <w:spacing w:val="-2"/>
          <w:kern w:val="0"/>
          <w:sz w:val="24"/>
        </w:rPr>
        <w:t>年底前要实现国家标准规定的全部</w:t>
      </w:r>
      <w:r>
        <w:rPr>
          <w:rFonts w:eastAsia="方正仿宋_GBK"/>
          <w:color w:val="000000"/>
          <w:spacing w:val="-2"/>
          <w:kern w:val="0"/>
          <w:sz w:val="24"/>
        </w:rPr>
        <w:t>106</w:t>
      </w:r>
      <w:r>
        <w:rPr>
          <w:rFonts w:hint="eastAsia" w:eastAsia="方正仿宋_GBK"/>
          <w:color w:val="000000"/>
          <w:spacing w:val="-2"/>
          <w:kern w:val="0"/>
          <w:sz w:val="24"/>
        </w:rPr>
        <w:t>项水质指标检测能力全覆盖；要求规模超过</w:t>
      </w:r>
      <w:r>
        <w:rPr>
          <w:rFonts w:eastAsia="方正仿宋_GBK"/>
          <w:color w:val="000000"/>
          <w:spacing w:val="-2"/>
          <w:kern w:val="0"/>
          <w:sz w:val="24"/>
        </w:rPr>
        <w:t>30</w:t>
      </w:r>
      <w:r>
        <w:rPr>
          <w:rFonts w:hint="eastAsia" w:eastAsia="方正仿宋_GBK"/>
          <w:color w:val="000000"/>
          <w:spacing w:val="-2"/>
          <w:kern w:val="0"/>
          <w:sz w:val="24"/>
        </w:rPr>
        <w:t>万立方米</w:t>
      </w:r>
      <w:r>
        <w:rPr>
          <w:rFonts w:eastAsia="方正仿宋_GBK"/>
          <w:color w:val="000000"/>
          <w:spacing w:val="-2"/>
          <w:kern w:val="0"/>
          <w:sz w:val="24"/>
        </w:rPr>
        <w:t>/</w:t>
      </w:r>
      <w:r>
        <w:rPr>
          <w:rFonts w:hint="eastAsia" w:eastAsia="方正仿宋_GBK"/>
          <w:color w:val="000000"/>
          <w:spacing w:val="-2"/>
          <w:kern w:val="0"/>
          <w:sz w:val="24"/>
        </w:rPr>
        <w:t>日的供水企业具备国家标准规定的常规指标和当地重点非常规指标的检测能力、所有公共供水厂具备国家标准规定的日常检测指标的检测能力。</w:t>
      </w:r>
    </w:p>
    <w:p>
      <w:pPr>
        <w:spacing w:line="460" w:lineRule="exact"/>
        <w:ind w:firstLine="472" w:firstLineChars="200"/>
        <w:rPr>
          <w:rFonts w:eastAsia="方正仿宋_GBK"/>
          <w:color w:val="000000"/>
          <w:spacing w:val="-2"/>
          <w:kern w:val="0"/>
          <w:sz w:val="24"/>
        </w:rPr>
      </w:pPr>
      <w:r>
        <w:rPr>
          <w:rFonts w:hint="eastAsia" w:ascii="Times New Roman" w:eastAsia="方正楷体_GBK"/>
          <w:color w:val="000000"/>
          <w:spacing w:val="-2"/>
          <w:kern w:val="0"/>
          <w:sz w:val="24"/>
        </w:rPr>
        <w:t>（十四）提升应急供水保障能力</w:t>
      </w:r>
      <w:r>
        <w:rPr>
          <w:rFonts w:hint="eastAsia" w:eastAsia="方正仿宋_GBK"/>
          <w:color w:val="000000"/>
          <w:spacing w:val="-2"/>
          <w:kern w:val="0"/>
          <w:sz w:val="24"/>
        </w:rPr>
        <w:t>。完善应对突发性水源污染和重大自然灾害的应急供水预案，加快应急水源建设，加强应急抢险队伍建设，储备必要的应急器材，落实水厂应对突发性水源污染的技术措施，配置救灾期紧急供水设备和水质检测仪器。</w:t>
      </w:r>
    </w:p>
    <w:p>
      <w:pPr>
        <w:spacing w:line="460" w:lineRule="exact"/>
        <w:ind w:firstLine="472" w:firstLineChars="200"/>
        <w:rPr>
          <w:rFonts w:eastAsia="方正仿宋_GBK"/>
          <w:color w:val="000000"/>
          <w:spacing w:val="-2"/>
          <w:kern w:val="0"/>
          <w:sz w:val="24"/>
        </w:rPr>
      </w:pPr>
      <w:r>
        <w:rPr>
          <w:rFonts w:hint="eastAsia" w:ascii="Times New Roman" w:eastAsia="方正楷体_GBK"/>
          <w:color w:val="000000"/>
          <w:spacing w:val="-2"/>
          <w:kern w:val="0"/>
          <w:sz w:val="24"/>
        </w:rPr>
        <w:t>（十五）加强二次供水设施管理。</w:t>
      </w:r>
      <w:r>
        <w:rPr>
          <w:rFonts w:hint="eastAsia" w:eastAsia="方正仿宋_GBK"/>
          <w:color w:val="000000"/>
          <w:spacing w:val="-2"/>
          <w:kern w:val="0"/>
          <w:sz w:val="24"/>
        </w:rPr>
        <w:t>鼓励和引导产权人将二次供水设施移交或委托供水企业进行运营维护，实行专业化管理。加快改造存在水质安全风险的二次供水设施，通过财政补贴、住宅专项维修资金等解决改造费用。</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各地要尽快将本通知的要求部署和贯彻到辖区内各市县供水主管部门和供水企业，认真组织做好落实工作，并于</w:t>
      </w:r>
      <w:r>
        <w:rPr>
          <w:rFonts w:eastAsia="方正仿宋_GBK"/>
          <w:color w:val="000000"/>
          <w:spacing w:val="-2"/>
          <w:kern w:val="0"/>
          <w:sz w:val="24"/>
        </w:rPr>
        <w:t>2013</w:t>
      </w:r>
      <w:r>
        <w:rPr>
          <w:rFonts w:hint="eastAsia" w:eastAsia="方正仿宋_GBK"/>
          <w:color w:val="000000"/>
          <w:spacing w:val="-2"/>
          <w:kern w:val="0"/>
          <w:sz w:val="24"/>
        </w:rPr>
        <w:t>年</w:t>
      </w:r>
      <w:r>
        <w:rPr>
          <w:rFonts w:eastAsia="方正仿宋_GBK"/>
          <w:color w:val="000000"/>
          <w:spacing w:val="-2"/>
          <w:kern w:val="0"/>
          <w:sz w:val="24"/>
        </w:rPr>
        <w:t>3</w:t>
      </w:r>
      <w:r>
        <w:rPr>
          <w:rFonts w:hint="eastAsia" w:eastAsia="方正仿宋_GBK"/>
          <w:color w:val="000000"/>
          <w:spacing w:val="-2"/>
          <w:kern w:val="0"/>
          <w:sz w:val="24"/>
        </w:rPr>
        <w:t>月</w:t>
      </w:r>
      <w:r>
        <w:rPr>
          <w:rFonts w:eastAsia="方正仿宋_GBK"/>
          <w:color w:val="000000"/>
          <w:spacing w:val="-2"/>
          <w:kern w:val="0"/>
          <w:sz w:val="24"/>
        </w:rPr>
        <w:t>31</w:t>
      </w:r>
      <w:r>
        <w:rPr>
          <w:rFonts w:hint="eastAsia" w:eastAsia="方正仿宋_GBK"/>
          <w:color w:val="000000"/>
          <w:spacing w:val="-2"/>
          <w:kern w:val="0"/>
          <w:sz w:val="24"/>
        </w:rPr>
        <w:t>日前将落实情况和辖区内供水企业公布水质信息的时间安排报住房城乡建设部城市建设司。</w:t>
      </w:r>
    </w:p>
    <w:p>
      <w:pPr>
        <w:spacing w:line="460" w:lineRule="exact"/>
        <w:ind w:firstLine="472" w:firstLineChars="200"/>
        <w:rPr>
          <w:rFonts w:eastAsia="方正仿宋_GBK"/>
          <w:color w:val="000000"/>
          <w:spacing w:val="-2"/>
          <w:kern w:val="0"/>
          <w:sz w:val="24"/>
        </w:rPr>
      </w:pPr>
      <w:r>
        <w:rPr>
          <w:rFonts w:eastAsia="方正仿宋_GBK"/>
          <w:color w:val="000000"/>
          <w:spacing w:val="-2"/>
          <w:kern w:val="0"/>
          <w:sz w:val="24"/>
        </w:rPr>
        <w:t xml:space="preserve">                                   </w:t>
      </w:r>
      <w:r>
        <w:rPr>
          <w:rFonts w:hint="eastAsia" w:eastAsia="方正仿宋_GBK"/>
          <w:color w:val="000000"/>
          <w:spacing w:val="-2"/>
          <w:kern w:val="0"/>
          <w:sz w:val="24"/>
        </w:rPr>
        <w:t>中华人民共和国住房和城乡建设部</w:t>
      </w:r>
      <w:r>
        <w:rPr>
          <w:rFonts w:eastAsia="方正仿宋_GBK"/>
          <w:color w:val="000000"/>
          <w:spacing w:val="-2"/>
          <w:kern w:val="0"/>
          <w:sz w:val="24"/>
        </w:rPr>
        <w:t xml:space="preserve">    </w:t>
      </w:r>
    </w:p>
    <w:p>
      <w:pPr>
        <w:spacing w:line="460" w:lineRule="exact"/>
        <w:ind w:firstLine="5428" w:firstLineChars="2300"/>
        <w:rPr>
          <w:rFonts w:eastAsia="方正仿宋_GBK"/>
          <w:color w:val="000000"/>
          <w:spacing w:val="-2"/>
          <w:kern w:val="0"/>
          <w:sz w:val="24"/>
        </w:rPr>
      </w:pPr>
      <w:r>
        <w:rPr>
          <w:rFonts w:eastAsia="方正仿宋_GBK"/>
          <w:color w:val="000000"/>
          <w:spacing w:val="-2"/>
          <w:kern w:val="0"/>
          <w:sz w:val="24"/>
        </w:rPr>
        <w:t>2012</w:t>
      </w:r>
      <w:r>
        <w:rPr>
          <w:rFonts w:hint="eastAsia" w:eastAsia="方正仿宋_GBK"/>
          <w:color w:val="000000"/>
          <w:spacing w:val="-2"/>
          <w:kern w:val="0"/>
          <w:sz w:val="24"/>
        </w:rPr>
        <w:t>年</w:t>
      </w:r>
      <w:r>
        <w:rPr>
          <w:rFonts w:eastAsia="方正仿宋_GBK"/>
          <w:color w:val="000000"/>
          <w:spacing w:val="-2"/>
          <w:kern w:val="0"/>
          <w:sz w:val="24"/>
        </w:rPr>
        <w:t>10</w:t>
      </w:r>
      <w:r>
        <w:rPr>
          <w:rFonts w:hint="eastAsia" w:eastAsia="方正仿宋_GBK"/>
          <w:color w:val="000000"/>
          <w:spacing w:val="-2"/>
          <w:kern w:val="0"/>
          <w:sz w:val="24"/>
        </w:rPr>
        <w:t>月</w:t>
      </w:r>
      <w:r>
        <w:rPr>
          <w:rFonts w:eastAsia="方正仿宋_GBK"/>
          <w:color w:val="000000"/>
          <w:spacing w:val="-2"/>
          <w:kern w:val="0"/>
          <w:sz w:val="24"/>
        </w:rPr>
        <w:t>18</w:t>
      </w:r>
      <w:r>
        <w:rPr>
          <w:rFonts w:hint="eastAsia" w:eastAsia="方正仿宋_GBK"/>
          <w:color w:val="000000"/>
          <w:spacing w:val="-2"/>
          <w:kern w:val="0"/>
          <w:sz w:val="24"/>
        </w:rPr>
        <w:t>日</w:t>
      </w:r>
    </w:p>
    <w:p>
      <w:pPr>
        <w:pStyle w:val="2"/>
        <w:spacing w:before="240" w:beforeLines="100" w:after="240" w:afterLines="100" w:line="240" w:lineRule="auto"/>
        <w:jc w:val="center"/>
        <w:rPr>
          <w:rFonts w:ascii="Times New Roman" w:eastAsia="方正小标宋_GBK"/>
          <w:b w:val="0"/>
          <w:sz w:val="36"/>
          <w:szCs w:val="36"/>
        </w:rPr>
      </w:pPr>
      <w:bookmarkStart w:id="129" w:name="_Toc20726356"/>
      <w:bookmarkStart w:id="130" w:name="_Toc18315438"/>
      <w:r>
        <w:rPr>
          <w:rFonts w:hint="eastAsia" w:ascii="Times New Roman" w:eastAsia="方正小标宋_GBK"/>
          <w:b w:val="0"/>
          <w:sz w:val="36"/>
          <w:szCs w:val="36"/>
        </w:rPr>
        <w:t>省住房和城乡建设厅关于印发《江苏太湖水源饮用水安全保障技术集成与综合示范课题管理办法》的通知</w:t>
      </w:r>
      <w:bookmarkEnd w:id="129"/>
      <w:bookmarkEnd w:id="130"/>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131" w:name="_Toc20726357"/>
      <w:bookmarkStart w:id="132" w:name="_Toc18315439"/>
      <w:r>
        <w:rPr>
          <w:rFonts w:hint="eastAsia" w:ascii="Times New Roman" w:hAnsi="Times New Roman" w:eastAsia="方正楷体_GBK"/>
          <w:b w:val="0"/>
          <w:sz w:val="24"/>
          <w:szCs w:val="24"/>
        </w:rPr>
        <w:t>苏建函城〔</w:t>
      </w:r>
      <w:r>
        <w:rPr>
          <w:rFonts w:ascii="Times New Roman" w:hAnsi="Times New Roman" w:eastAsia="方正楷体_GBK"/>
          <w:b w:val="0"/>
          <w:sz w:val="24"/>
          <w:szCs w:val="24"/>
        </w:rPr>
        <w:t>2013</w:t>
      </w:r>
      <w:r>
        <w:rPr>
          <w:rFonts w:hint="eastAsia" w:ascii="Times New Roman" w:hAnsi="Times New Roman" w:eastAsia="方正楷体_GBK"/>
          <w:b w:val="0"/>
          <w:sz w:val="24"/>
          <w:szCs w:val="24"/>
        </w:rPr>
        <w:t>〕</w:t>
      </w:r>
      <w:r>
        <w:rPr>
          <w:rFonts w:ascii="Times New Roman" w:hAnsi="Times New Roman" w:eastAsia="方正楷体_GBK"/>
          <w:b w:val="0"/>
          <w:sz w:val="24"/>
          <w:szCs w:val="24"/>
        </w:rPr>
        <w:t>338</w:t>
      </w:r>
      <w:r>
        <w:rPr>
          <w:rFonts w:hint="eastAsia" w:ascii="Times New Roman" w:hAnsi="Times New Roman" w:eastAsia="方正楷体_GBK"/>
          <w:b w:val="0"/>
          <w:sz w:val="24"/>
          <w:szCs w:val="24"/>
        </w:rPr>
        <w:t>号</w:t>
      </w:r>
      <w:bookmarkEnd w:id="131"/>
      <w:bookmarkEnd w:id="132"/>
    </w:p>
    <w:p>
      <w:pPr>
        <w:spacing w:line="460" w:lineRule="exact"/>
        <w:jc w:val="left"/>
        <w:rPr>
          <w:rFonts w:eastAsia="方正仿宋_GBK"/>
          <w:color w:val="000000"/>
          <w:spacing w:val="-2"/>
          <w:sz w:val="24"/>
        </w:rPr>
      </w:pPr>
      <w:r>
        <w:rPr>
          <w:rFonts w:hint="eastAsia" w:eastAsia="方正仿宋_GBK"/>
          <w:color w:val="000000"/>
          <w:spacing w:val="-2"/>
          <w:sz w:val="24"/>
        </w:rPr>
        <w:t>无锡市市政园林局、苏州市水务局、宜兴市公用事业局、吴江区住建局，各课题参加单位：</w:t>
      </w:r>
    </w:p>
    <w:p>
      <w:pPr>
        <w:spacing w:line="460" w:lineRule="exact"/>
        <w:ind w:firstLine="472" w:firstLineChars="200"/>
        <w:jc w:val="left"/>
        <w:rPr>
          <w:rFonts w:eastAsia="方正仿宋_GBK"/>
          <w:color w:val="000000"/>
          <w:spacing w:val="-2"/>
          <w:sz w:val="24"/>
        </w:rPr>
      </w:pPr>
      <w:r>
        <w:rPr>
          <w:rFonts w:hint="eastAsia" w:eastAsia="方正仿宋_GBK"/>
          <w:color w:val="000000"/>
          <w:spacing w:val="-2"/>
          <w:sz w:val="24"/>
        </w:rPr>
        <w:t>现将《江苏太湖水源饮用水安全保障技术集成与综合示范课题管理办法》印发给你们，请认真贯彻执行。</w:t>
      </w:r>
    </w:p>
    <w:p>
      <w:pPr>
        <w:spacing w:line="460" w:lineRule="exact"/>
        <w:ind w:firstLine="472" w:firstLineChars="200"/>
        <w:rPr>
          <w:rFonts w:eastAsia="方正仿宋_GBK"/>
          <w:color w:val="000000"/>
          <w:spacing w:val="-2"/>
          <w:sz w:val="24"/>
        </w:rPr>
      </w:pP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附件：江苏太湖水源饮用水安全保障技术集成与综合示范课题管理办法</w:t>
      </w:r>
    </w:p>
    <w:p>
      <w:pPr>
        <w:spacing w:line="460" w:lineRule="exact"/>
        <w:ind w:firstLine="472" w:firstLineChars="200"/>
        <w:rPr>
          <w:rFonts w:eastAsia="方正仿宋_GBK"/>
          <w:color w:val="000000"/>
          <w:spacing w:val="-2"/>
          <w:sz w:val="24"/>
        </w:rPr>
      </w:pPr>
    </w:p>
    <w:p>
      <w:pPr>
        <w:wordWrap w:val="0"/>
        <w:spacing w:line="460" w:lineRule="exact"/>
        <w:ind w:right="-2"/>
        <w:jc w:val="right"/>
        <w:rPr>
          <w:rFonts w:eastAsia="方正仿宋_GBK"/>
          <w:color w:val="000000"/>
          <w:spacing w:val="-2"/>
          <w:sz w:val="24"/>
        </w:rPr>
      </w:pPr>
      <w:r>
        <w:rPr>
          <w:rFonts w:hint="eastAsia" w:eastAsia="方正仿宋_GBK"/>
          <w:color w:val="000000"/>
          <w:spacing w:val="-2"/>
          <w:sz w:val="24"/>
        </w:rPr>
        <w:t>江苏省住房和城乡建设厅</w:t>
      </w:r>
      <w:r>
        <w:rPr>
          <w:rFonts w:eastAsia="方正仿宋_GBK"/>
          <w:color w:val="000000"/>
          <w:spacing w:val="-2"/>
          <w:sz w:val="24"/>
        </w:rPr>
        <w:t xml:space="preserve">    </w:t>
      </w:r>
    </w:p>
    <w:p>
      <w:pPr>
        <w:wordWrap w:val="0"/>
        <w:spacing w:line="460" w:lineRule="exact"/>
        <w:jc w:val="right"/>
        <w:rPr>
          <w:rFonts w:eastAsia="方正仿宋_GBK"/>
          <w:color w:val="000000"/>
          <w:spacing w:val="-2"/>
          <w:sz w:val="24"/>
        </w:rPr>
      </w:pPr>
      <w:r>
        <w:rPr>
          <w:rFonts w:eastAsia="方正仿宋_GBK"/>
          <w:color w:val="000000"/>
          <w:spacing w:val="-2"/>
          <w:sz w:val="24"/>
        </w:rPr>
        <w:t>2013</w:t>
      </w:r>
      <w:r>
        <w:rPr>
          <w:rFonts w:hint="eastAsia" w:eastAsia="方正仿宋_GBK"/>
          <w:color w:val="000000"/>
          <w:spacing w:val="-2"/>
          <w:sz w:val="24"/>
        </w:rPr>
        <w:t>年</w:t>
      </w:r>
      <w:r>
        <w:rPr>
          <w:rFonts w:eastAsia="方正仿宋_GBK"/>
          <w:color w:val="000000"/>
          <w:spacing w:val="-2"/>
          <w:sz w:val="24"/>
        </w:rPr>
        <w:t>5</w:t>
      </w:r>
      <w:r>
        <w:rPr>
          <w:rFonts w:hint="eastAsia" w:eastAsia="方正仿宋_GBK"/>
          <w:color w:val="000000"/>
          <w:spacing w:val="-2"/>
          <w:sz w:val="24"/>
        </w:rPr>
        <w:t>月</w:t>
      </w:r>
      <w:r>
        <w:rPr>
          <w:rFonts w:eastAsia="方正仿宋_GBK"/>
          <w:color w:val="000000"/>
          <w:spacing w:val="-2"/>
          <w:sz w:val="24"/>
        </w:rPr>
        <w:t>20</w:t>
      </w:r>
      <w:r>
        <w:rPr>
          <w:rFonts w:hint="eastAsia" w:eastAsia="方正仿宋_GBK"/>
          <w:color w:val="000000"/>
          <w:spacing w:val="-2"/>
          <w:sz w:val="24"/>
        </w:rPr>
        <w:t>日</w:t>
      </w:r>
      <w:r>
        <w:rPr>
          <w:rFonts w:eastAsia="方正仿宋_GBK"/>
          <w:color w:val="000000"/>
          <w:spacing w:val="-2"/>
          <w:sz w:val="24"/>
        </w:rPr>
        <w:t xml:space="preserve">       </w:t>
      </w:r>
    </w:p>
    <w:p>
      <w:pPr>
        <w:spacing w:line="460" w:lineRule="exact"/>
        <w:jc w:val="right"/>
        <w:rPr>
          <w:rFonts w:eastAsia="方正仿宋_GBK"/>
          <w:color w:val="000000"/>
          <w:spacing w:val="-2"/>
          <w:sz w:val="24"/>
        </w:rPr>
      </w:pPr>
    </w:p>
    <w:p>
      <w:pPr>
        <w:spacing w:line="460" w:lineRule="exact"/>
        <w:rPr>
          <w:rFonts w:eastAsia="方正仿宋_GBK"/>
          <w:color w:val="000000"/>
          <w:spacing w:val="-2"/>
          <w:sz w:val="24"/>
        </w:rPr>
      </w:pPr>
    </w:p>
    <w:p>
      <w:pPr>
        <w:spacing w:line="500" w:lineRule="exact"/>
        <w:jc w:val="center"/>
        <w:rPr>
          <w:rFonts w:ascii="Times New Roman" w:eastAsia="方正黑体_GBK"/>
          <w:color w:val="000000"/>
          <w:spacing w:val="-2"/>
          <w:sz w:val="36"/>
          <w:szCs w:val="36"/>
        </w:rPr>
      </w:pPr>
      <w:r>
        <w:rPr>
          <w:rFonts w:hint="eastAsia" w:ascii="Times New Roman" w:eastAsia="方正黑体_GBK"/>
          <w:color w:val="000000"/>
          <w:spacing w:val="-2"/>
          <w:sz w:val="36"/>
          <w:szCs w:val="36"/>
        </w:rPr>
        <w:t>江苏太湖水源饮用水安全保障技术集成</w:t>
      </w:r>
    </w:p>
    <w:p>
      <w:pPr>
        <w:spacing w:line="500" w:lineRule="exact"/>
        <w:jc w:val="center"/>
        <w:rPr>
          <w:rFonts w:hint="eastAsia" w:ascii="Times New Roman" w:eastAsia="方正黑体_GBK"/>
          <w:color w:val="000000"/>
          <w:spacing w:val="-2"/>
          <w:sz w:val="36"/>
          <w:szCs w:val="36"/>
        </w:rPr>
      </w:pPr>
      <w:r>
        <w:rPr>
          <w:rFonts w:hint="eastAsia" w:ascii="Times New Roman" w:eastAsia="方正黑体_GBK"/>
          <w:color w:val="000000"/>
          <w:spacing w:val="-2"/>
          <w:sz w:val="36"/>
          <w:szCs w:val="36"/>
        </w:rPr>
        <w:t>与综合示范课题管理办法</w:t>
      </w:r>
    </w:p>
    <w:p>
      <w:pPr>
        <w:spacing w:line="460" w:lineRule="exact"/>
        <w:jc w:val="center"/>
        <w:rPr>
          <w:rFonts w:hint="eastAsia" w:eastAsia="方正仿宋_GBK"/>
          <w:color w:val="000000"/>
          <w:spacing w:val="-2"/>
          <w:sz w:val="24"/>
        </w:rPr>
      </w:pPr>
    </w:p>
    <w:p>
      <w:pPr>
        <w:spacing w:line="460" w:lineRule="exact"/>
        <w:jc w:val="center"/>
        <w:rPr>
          <w:rFonts w:ascii="Times New Roman" w:eastAsia="方正黑体_GBK"/>
          <w:color w:val="000000"/>
          <w:spacing w:val="-2"/>
          <w:sz w:val="24"/>
        </w:rPr>
      </w:pPr>
      <w:r>
        <w:rPr>
          <w:rFonts w:hint="eastAsia" w:ascii="Times New Roman" w:eastAsia="方正黑体_GBK"/>
          <w:color w:val="000000"/>
          <w:spacing w:val="-2"/>
          <w:sz w:val="24"/>
        </w:rPr>
        <w:t>第一章  总  则</w:t>
      </w:r>
    </w:p>
    <w:p>
      <w:pPr>
        <w:spacing w:line="460" w:lineRule="exact"/>
        <w:rPr>
          <w:rFonts w:hint="eastAsia" w:eastAsia="方正仿宋_GBK"/>
          <w:color w:val="000000"/>
          <w:spacing w:val="-2"/>
          <w:sz w:val="24"/>
        </w:rPr>
      </w:pP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第一条</w:t>
      </w:r>
      <w:r>
        <w:rPr>
          <w:rFonts w:eastAsia="方正仿宋_GBK"/>
          <w:color w:val="000000"/>
          <w:spacing w:val="-2"/>
          <w:sz w:val="24"/>
        </w:rPr>
        <w:t xml:space="preserve">  </w:t>
      </w:r>
      <w:r>
        <w:rPr>
          <w:rFonts w:hint="eastAsia" w:eastAsia="方正仿宋_GBK"/>
          <w:color w:val="000000"/>
          <w:spacing w:val="-2"/>
          <w:sz w:val="24"/>
        </w:rPr>
        <w:t>为保证江苏太湖水源饮用水安全保障技术集成与综合示范课题（以下简称</w:t>
      </w:r>
      <w:r>
        <w:rPr>
          <w:rFonts w:eastAsia="方正仿宋_GBK"/>
          <w:color w:val="000000"/>
          <w:spacing w:val="-2"/>
          <w:sz w:val="24"/>
        </w:rPr>
        <w:t>“</w:t>
      </w:r>
      <w:r>
        <w:rPr>
          <w:rFonts w:hint="eastAsia" w:eastAsia="方正仿宋_GBK"/>
          <w:color w:val="000000"/>
          <w:spacing w:val="-2"/>
          <w:sz w:val="24"/>
        </w:rPr>
        <w:t>课题</w:t>
      </w:r>
      <w:r>
        <w:rPr>
          <w:rFonts w:eastAsia="方正仿宋_GBK"/>
          <w:color w:val="000000"/>
          <w:spacing w:val="-2"/>
          <w:sz w:val="24"/>
        </w:rPr>
        <w:t>”</w:t>
      </w:r>
      <w:r>
        <w:rPr>
          <w:rFonts w:hint="eastAsia" w:eastAsia="方正仿宋_GBK"/>
          <w:color w:val="000000"/>
          <w:spacing w:val="-2"/>
          <w:sz w:val="24"/>
        </w:rPr>
        <w:t>）的实施，实现课题规范管理，按时、保质、保量完成课题研究任务，根据国务院办公厅《组织实施科技重大专项若干工作规则》，国务院常务会议审议通过的《水体污染控制与治理科技重大专项实施方案》，科技部、发展改革委和财政部《国家科技重大专项管理暂行规定》，环保部《关于印发〈水体污染控制与治理科技重大专项管理办法（试行）〉的通知》等要求，制定本管理办法。适用范围为课题牵头组织单位、责任单位、任务承担单位、科研合作院校（单位）的管理。</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第二条</w:t>
      </w:r>
      <w:r>
        <w:rPr>
          <w:rFonts w:eastAsia="方正仿宋_GBK"/>
          <w:color w:val="000000"/>
          <w:spacing w:val="-2"/>
          <w:sz w:val="24"/>
        </w:rPr>
        <w:t xml:space="preserve">  </w:t>
      </w:r>
      <w:r>
        <w:rPr>
          <w:rFonts w:hint="eastAsia" w:eastAsia="方正仿宋_GBK"/>
          <w:color w:val="000000"/>
          <w:spacing w:val="-2"/>
          <w:sz w:val="24"/>
        </w:rPr>
        <w:t>课题是</w:t>
      </w:r>
      <w:r>
        <w:rPr>
          <w:rFonts w:eastAsia="方正仿宋_GBK"/>
          <w:color w:val="000000"/>
          <w:spacing w:val="-2"/>
          <w:sz w:val="24"/>
        </w:rPr>
        <w:t>“</w:t>
      </w:r>
      <w:r>
        <w:rPr>
          <w:rFonts w:hint="eastAsia" w:eastAsia="方正仿宋_GBK"/>
          <w:color w:val="000000"/>
          <w:spacing w:val="-2"/>
          <w:sz w:val="24"/>
        </w:rPr>
        <w:t>太湖流域地区饮用水安全保障技术集成与综合示范</w:t>
      </w:r>
      <w:r>
        <w:rPr>
          <w:rFonts w:eastAsia="方正仿宋_GBK"/>
          <w:color w:val="000000"/>
          <w:spacing w:val="-2"/>
          <w:sz w:val="24"/>
        </w:rPr>
        <w:t>”</w:t>
      </w:r>
      <w:r>
        <w:rPr>
          <w:rFonts w:hint="eastAsia" w:eastAsia="方正仿宋_GBK"/>
          <w:color w:val="000000"/>
          <w:spacing w:val="-2"/>
          <w:sz w:val="24"/>
        </w:rPr>
        <w:t>项目中的课题之一。课题研究对于我省实现</w:t>
      </w:r>
      <w:r>
        <w:rPr>
          <w:rFonts w:eastAsia="方正仿宋_GBK"/>
          <w:color w:val="000000"/>
          <w:spacing w:val="-2"/>
          <w:sz w:val="24"/>
        </w:rPr>
        <w:t>“</w:t>
      </w:r>
      <w:r>
        <w:rPr>
          <w:rFonts w:hint="eastAsia" w:eastAsia="方正仿宋_GBK"/>
          <w:color w:val="000000"/>
          <w:spacing w:val="-2"/>
          <w:sz w:val="24"/>
        </w:rPr>
        <w:t>十二五</w:t>
      </w:r>
      <w:r>
        <w:rPr>
          <w:rFonts w:eastAsia="方正仿宋_GBK"/>
          <w:color w:val="000000"/>
          <w:spacing w:val="-2"/>
          <w:sz w:val="24"/>
        </w:rPr>
        <w:t>”</w:t>
      </w:r>
      <w:r>
        <w:rPr>
          <w:rFonts w:hint="eastAsia" w:eastAsia="方正仿宋_GBK"/>
          <w:color w:val="000000"/>
          <w:spacing w:val="-2"/>
          <w:sz w:val="24"/>
        </w:rPr>
        <w:t>供水安全保障工作目标，提升太湖流域的城镇供水水质、指导全省饮用水安全保障工作都具有重要的示范和引领作用。</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第三条</w:t>
      </w:r>
      <w:r>
        <w:rPr>
          <w:rFonts w:eastAsia="方正仿宋_GBK"/>
          <w:color w:val="000000"/>
          <w:spacing w:val="-2"/>
          <w:sz w:val="24"/>
        </w:rPr>
        <w:t xml:space="preserve">  </w:t>
      </w:r>
      <w:r>
        <w:rPr>
          <w:rFonts w:hint="eastAsia" w:eastAsia="方正仿宋_GBK"/>
          <w:color w:val="000000"/>
          <w:spacing w:val="-2"/>
          <w:sz w:val="24"/>
        </w:rPr>
        <w:t>课题管理的主要措施：</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加强统一领导和资源整合。在省住房城乡建设厅的统一领导下，充分调动地方政府和主管部门积极性，加强与现有科技资源及成果的衔接，整合供水企业、科研院所、高校以及国际合作的科技资源，发挥产学研结合的优势，集中力量开展科技攻关。</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二）强化实施管理。根据国家课题合同书确定的研究任务和主要考核指标、时间节点要求，省住房城乡建设厅分别同无锡、苏州、宜兴、吴江四市的城市供水主管部门及省水处理中心签订任务合同，明确各城市研究任务和内容。课题实施过程中，以牵头城市为责任主体，具体负责研究任务的进展和质量。对于多个城市共同承担的研究内容，牵头城市要主动与配合城市加强联系和交流，定期召开任务研究进展情况联席会议，协调解决研究中的重大问题。为保证研究质量，承担科研任务的各院校、单位必须在相关牵头城市现场设立办公试验场所，实行驻点科研、办公，牵头城市对科研人员现场工作情况进行定量考核；技术负责人每季度至少去两次现场，协调、解决科研过程中存在的问题。</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三）明确进度监管。各科研合作院校、单位和配合城市要根据合同规定的年度任务、年度考核指标和重要任务时间节点，拟定季度研究任务完成目标，每季度向牵头城市填报研究进展情况，省住房城乡建设厅每半年对前</w:t>
      </w:r>
      <w:r>
        <w:rPr>
          <w:rFonts w:eastAsia="方正仿宋_GBK"/>
          <w:color w:val="000000"/>
          <w:spacing w:val="-2"/>
          <w:sz w:val="24"/>
        </w:rPr>
        <w:t>2</w:t>
      </w:r>
      <w:r>
        <w:rPr>
          <w:rFonts w:hint="eastAsia" w:eastAsia="方正仿宋_GBK"/>
          <w:color w:val="000000"/>
          <w:spacing w:val="-2"/>
          <w:sz w:val="24"/>
        </w:rPr>
        <w:t>个季度完成情况进行考核，并通报各市研究进展情况。</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四）强化研究质量控制。省住房城乡建设厅组织专家对课题研究中的重要节点、开题、中期评估和验收进行质量把关，并根据各任务的研究具体情况进行不定期抽查，确保各项主要技术考核指标、示范工程建设、重要时间节点达到或者满足合同的规定要求。</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五）加强专家技术指导。由省住房城乡建设厅聘请国家和省内知名的行业和财务专家组成专家咨询委员会，对各任务实施过程中的进度、质量、技术、财务等方面进行指导、把关和咨询，确保研究任务在专家的指导下顺利完成。</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六）严格经费拨付和使用管理。各任务参与研究单位要严格执行财务管理纪律，经费使用必须符合国家水专项课题经费使用有关规定。课题经费拨付和使用采取以市为单位的包干制，除中央财政资金外，其余配套资金由牵头城市筹措。中央财政资金的拨付明确由牵头城市统筹把关。拨付方式采取由任务参与研究单位提出具体拨付申请，牵头城市提出拨付审核意见，省水处理服务中心根据专家咨询意见、工作进展情况和研究质量进行拨付。</w:t>
      </w:r>
    </w:p>
    <w:p>
      <w:pPr>
        <w:spacing w:line="460" w:lineRule="exact"/>
        <w:rPr>
          <w:rFonts w:eastAsia="方正仿宋_GBK"/>
          <w:color w:val="000000"/>
          <w:spacing w:val="-2"/>
          <w:sz w:val="24"/>
        </w:rPr>
      </w:pPr>
    </w:p>
    <w:p>
      <w:pPr>
        <w:spacing w:line="460" w:lineRule="exact"/>
        <w:jc w:val="center"/>
        <w:rPr>
          <w:rFonts w:ascii="Times New Roman" w:eastAsia="方正黑体_GBK"/>
          <w:color w:val="000000"/>
          <w:spacing w:val="-2"/>
          <w:sz w:val="24"/>
        </w:rPr>
      </w:pPr>
      <w:r>
        <w:rPr>
          <w:rFonts w:hint="eastAsia" w:ascii="Times New Roman" w:eastAsia="方正黑体_GBK"/>
          <w:color w:val="000000"/>
          <w:spacing w:val="-2"/>
          <w:sz w:val="24"/>
        </w:rPr>
        <w:t>第二章  组织机构与职责</w:t>
      </w:r>
    </w:p>
    <w:p>
      <w:pPr>
        <w:spacing w:line="460" w:lineRule="exact"/>
        <w:rPr>
          <w:rFonts w:hint="eastAsia" w:eastAsia="方正仿宋_GBK"/>
          <w:color w:val="000000"/>
          <w:spacing w:val="-2"/>
          <w:sz w:val="24"/>
        </w:rPr>
      </w:pP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第四条</w:t>
      </w:r>
      <w:r>
        <w:rPr>
          <w:rFonts w:eastAsia="方正仿宋_GBK"/>
          <w:color w:val="000000"/>
          <w:spacing w:val="-2"/>
          <w:sz w:val="24"/>
        </w:rPr>
        <w:t xml:space="preserve">  </w:t>
      </w:r>
      <w:r>
        <w:rPr>
          <w:rFonts w:hint="eastAsia" w:eastAsia="方正仿宋_GBK"/>
          <w:color w:val="000000"/>
          <w:spacing w:val="-2"/>
          <w:sz w:val="24"/>
        </w:rPr>
        <w:t>课题牵头组织单位省住房城乡建设厅，负责课题的组织实施。</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课题管理办公室（以下简称</w:t>
      </w:r>
      <w:r>
        <w:rPr>
          <w:rFonts w:eastAsia="方正仿宋_GBK"/>
          <w:color w:val="000000"/>
          <w:spacing w:val="-2"/>
          <w:sz w:val="24"/>
        </w:rPr>
        <w:t>“</w:t>
      </w:r>
      <w:r>
        <w:rPr>
          <w:rFonts w:hint="eastAsia" w:eastAsia="方正仿宋_GBK"/>
          <w:color w:val="000000"/>
          <w:spacing w:val="-2"/>
          <w:sz w:val="24"/>
        </w:rPr>
        <w:t>课题办</w:t>
      </w:r>
      <w:r>
        <w:rPr>
          <w:rFonts w:eastAsia="方正仿宋_GBK"/>
          <w:color w:val="000000"/>
          <w:spacing w:val="-2"/>
          <w:sz w:val="24"/>
        </w:rPr>
        <w:t>”</w:t>
      </w:r>
      <w:r>
        <w:rPr>
          <w:rFonts w:hint="eastAsia" w:eastAsia="方正仿宋_GBK"/>
          <w:color w:val="000000"/>
          <w:spacing w:val="-2"/>
          <w:sz w:val="24"/>
        </w:rPr>
        <w:t>）由省水处理服务中心（以下简称</w:t>
      </w:r>
      <w:r>
        <w:rPr>
          <w:rFonts w:eastAsia="方正仿宋_GBK"/>
          <w:color w:val="000000"/>
          <w:spacing w:val="-2"/>
          <w:sz w:val="24"/>
        </w:rPr>
        <w:t>“</w:t>
      </w:r>
      <w:r>
        <w:rPr>
          <w:rFonts w:hint="eastAsia" w:eastAsia="方正仿宋_GBK"/>
          <w:color w:val="000000"/>
          <w:spacing w:val="-2"/>
          <w:sz w:val="24"/>
        </w:rPr>
        <w:t>水中心</w:t>
      </w:r>
      <w:r>
        <w:rPr>
          <w:rFonts w:eastAsia="方正仿宋_GBK"/>
          <w:color w:val="000000"/>
          <w:spacing w:val="-2"/>
          <w:sz w:val="24"/>
        </w:rPr>
        <w:t>”</w:t>
      </w:r>
      <w:r>
        <w:rPr>
          <w:rFonts w:hint="eastAsia" w:eastAsia="方正仿宋_GBK"/>
          <w:color w:val="000000"/>
          <w:spacing w:val="-2"/>
          <w:sz w:val="24"/>
        </w:rPr>
        <w:t>）和同济大学组成，在省住房城乡建设厅的领导下，负责课题实施管理的具体日常工作。</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第五条</w:t>
      </w:r>
      <w:r>
        <w:rPr>
          <w:rFonts w:eastAsia="方正仿宋_GBK"/>
          <w:color w:val="000000"/>
          <w:spacing w:val="-2"/>
          <w:sz w:val="24"/>
        </w:rPr>
        <w:t xml:space="preserve">  </w:t>
      </w:r>
      <w:r>
        <w:rPr>
          <w:rFonts w:hint="eastAsia" w:eastAsia="方正仿宋_GBK"/>
          <w:color w:val="000000"/>
          <w:spacing w:val="-2"/>
          <w:sz w:val="24"/>
        </w:rPr>
        <w:t>省住房城乡建设厅的主要职责是：</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（一）成立课题管理办公室；</w:t>
      </w:r>
    </w:p>
    <w:p>
      <w:pPr>
        <w:spacing w:line="460" w:lineRule="exact"/>
        <w:rPr>
          <w:rFonts w:eastAsia="方正仿宋_GBK"/>
          <w:color w:val="000000"/>
          <w:spacing w:val="-2"/>
          <w:sz w:val="24"/>
        </w:rPr>
      </w:pPr>
      <w:r>
        <w:rPr>
          <w:rFonts w:eastAsia="方正仿宋_GBK"/>
          <w:color w:val="000000"/>
          <w:spacing w:val="-2"/>
          <w:sz w:val="24"/>
        </w:rPr>
        <w:t xml:space="preserve">    </w:t>
      </w:r>
      <w:r>
        <w:rPr>
          <w:rFonts w:hint="eastAsia" w:eastAsia="方正仿宋_GBK"/>
          <w:color w:val="000000"/>
          <w:spacing w:val="-2"/>
          <w:sz w:val="24"/>
        </w:rPr>
        <w:t>（二）组建课题专家咨询委员会，为课题管理提供咨询和技术支撑，为课题实施提供技术指导；</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（三）与无锡、苏州、宜兴、吴江四市的城市供水主管部门及省水处理中心签订任务合同；</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（四）制定课题管理办法和中央财政经费使用管理办法；</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（五）协调、落实课题实施的相关支撑条件；</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（六）批准各任务的资金拨付申请；</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（七）组织对各任务的督促、考核和通报；</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（八）组织对各任务的开题、中期评估和验收等。</w:t>
      </w:r>
    </w:p>
    <w:p>
      <w:pPr>
        <w:spacing w:line="460" w:lineRule="exact"/>
        <w:rPr>
          <w:rFonts w:eastAsia="方正仿宋_GBK"/>
          <w:color w:val="000000"/>
          <w:spacing w:val="-2"/>
          <w:sz w:val="24"/>
        </w:rPr>
      </w:pPr>
      <w:r>
        <w:rPr>
          <w:rFonts w:eastAsia="方正仿宋_GBK"/>
          <w:color w:val="000000"/>
          <w:spacing w:val="-2"/>
          <w:sz w:val="24"/>
        </w:rPr>
        <w:t xml:space="preserve">    </w:t>
      </w:r>
      <w:r>
        <w:rPr>
          <w:rFonts w:hint="eastAsia" w:eastAsia="方正仿宋_GBK"/>
          <w:color w:val="000000"/>
          <w:spacing w:val="-2"/>
          <w:sz w:val="24"/>
        </w:rPr>
        <w:t>（九）根据需要向住房城乡建设部水专项办提出课题内容的调整建议。</w:t>
      </w:r>
    </w:p>
    <w:p>
      <w:pPr>
        <w:spacing w:line="460" w:lineRule="exact"/>
        <w:ind w:firstLine="570"/>
        <w:rPr>
          <w:rFonts w:eastAsia="方正仿宋_GBK"/>
          <w:color w:val="000000"/>
          <w:spacing w:val="-2"/>
          <w:sz w:val="24"/>
        </w:rPr>
      </w:pPr>
      <w:r>
        <w:rPr>
          <w:rFonts w:hint="eastAsia" w:ascii="Times New Roman" w:eastAsia="方正黑体_GBK"/>
          <w:color w:val="000000"/>
          <w:spacing w:val="-2"/>
          <w:sz w:val="24"/>
        </w:rPr>
        <w:t>第六条</w:t>
      </w:r>
      <w:r>
        <w:rPr>
          <w:rFonts w:eastAsia="方正仿宋_GBK"/>
          <w:color w:val="000000"/>
          <w:spacing w:val="-2"/>
          <w:sz w:val="24"/>
        </w:rPr>
        <w:t xml:space="preserve">  </w:t>
      </w:r>
      <w:r>
        <w:rPr>
          <w:rFonts w:hint="eastAsia" w:eastAsia="方正仿宋_GBK"/>
          <w:color w:val="000000"/>
          <w:spacing w:val="-2"/>
          <w:sz w:val="24"/>
        </w:rPr>
        <w:t>课题管理办公室的主要职责是：</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（一）承办住房城乡建设部水专项办和省住房城乡建设厅交办的事务；</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（二）研究提出课题管理办法和中央财政经费使用管理细则；</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（三）对课题实施工作进行指导；</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（四）负责与无锡、苏州、宜兴、吴江四市间的联系沟通；</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（五）编制有关课题信息的简报，负责课题信息的报送和课题实施中有关问题的组织协调；</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（六）审核各任务的阶段实施计划；</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（七）审核各研究任务的资金拨付申请；</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（八）组织落实水专项实施的相关支撑条件，做好课题与其他计划、规划、重大工程的衔接；</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（九）根据需要向省住房城乡建设厅提出课题内容的调整建议；未经省住房城乡建设厅同意，不得擅自向牵头城市和科研合作院校、单位提出课题内容的调整要求。</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第七条</w:t>
      </w:r>
      <w:r>
        <w:rPr>
          <w:rFonts w:eastAsia="方正仿宋_GBK"/>
          <w:color w:val="000000"/>
          <w:spacing w:val="-2"/>
          <w:sz w:val="24"/>
        </w:rPr>
        <w:t xml:space="preserve">  </w:t>
      </w:r>
      <w:r>
        <w:rPr>
          <w:rFonts w:hint="eastAsia" w:eastAsia="方正仿宋_GBK"/>
          <w:color w:val="000000"/>
          <w:spacing w:val="-2"/>
          <w:sz w:val="24"/>
        </w:rPr>
        <w:t>示范工程所在地的城市供水主管部门主要职责是：落实本辖区内示范工程的各项配套保障条件；参与和配合示范工程的立项、监督检查、评估和验收工作；加强对任务研究工作的指导，保证配套经费及时足额到位，强化定期监督考核，协调、帮助供水企业做好中试研究、示范工程和成果转化工作，确保按时序进度要求高质量完成任务研究内容。</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第八条</w:t>
      </w:r>
      <w:r>
        <w:rPr>
          <w:rFonts w:eastAsia="方正仿宋_GBK"/>
          <w:color w:val="000000"/>
          <w:spacing w:val="-2"/>
          <w:sz w:val="24"/>
        </w:rPr>
        <w:t xml:space="preserve">  </w:t>
      </w:r>
      <w:r>
        <w:rPr>
          <w:rFonts w:hint="eastAsia" w:eastAsia="方正仿宋_GBK"/>
          <w:color w:val="000000"/>
          <w:spacing w:val="-2"/>
          <w:sz w:val="24"/>
        </w:rPr>
        <w:t>任务承担单位（无锡、苏州、宜兴、吴江）主要职责：</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（一）严格执行合同的相关条款；</w:t>
      </w:r>
    </w:p>
    <w:p>
      <w:pPr>
        <w:spacing w:line="460" w:lineRule="exact"/>
        <w:rPr>
          <w:rFonts w:eastAsia="方正仿宋_GBK"/>
          <w:color w:val="000000"/>
          <w:spacing w:val="-2"/>
          <w:sz w:val="24"/>
        </w:rPr>
      </w:pPr>
      <w:r>
        <w:rPr>
          <w:rFonts w:hint="eastAsia" w:eastAsia="方正仿宋_GBK"/>
          <w:color w:val="000000"/>
          <w:spacing w:val="-2"/>
          <w:sz w:val="24"/>
        </w:rPr>
        <w:t>　</w:t>
      </w:r>
      <w:r>
        <w:rPr>
          <w:rFonts w:eastAsia="方正仿宋_GBK"/>
          <w:color w:val="000000"/>
          <w:spacing w:val="-2"/>
          <w:sz w:val="24"/>
        </w:rPr>
        <w:t xml:space="preserve">  </w:t>
      </w:r>
      <w:r>
        <w:rPr>
          <w:rFonts w:hint="eastAsia" w:eastAsia="方正仿宋_GBK"/>
          <w:color w:val="000000"/>
          <w:spacing w:val="-2"/>
          <w:sz w:val="24"/>
        </w:rPr>
        <w:t>（二）提供和协调落实任务实施配套保障条件；</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（三）为任务实施提供财务、知识产权、固定资产和科技档案管理；</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（四）督促、检查相关合作院校和单位的研究内容实施进度和质量，协调相关事宜；</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（五）针对多个城市共同研究的内容，牵头城市要与配合城市加强联系和交流，定期召开任务进展情况联席会议，沟通研究进展情况，协调解决研究中的重大责任；</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（六）组织合作院校、单位和配合城市，根据合同规定的年度任务、年度考核指标和重要任务时间节点，拟定季度研究任务完成目标，每季度了解研究进展情况；</w:t>
      </w:r>
    </w:p>
    <w:p>
      <w:pPr>
        <w:spacing w:line="460" w:lineRule="exact"/>
        <w:rPr>
          <w:rFonts w:eastAsia="方正仿宋_GBK"/>
          <w:color w:val="000000"/>
          <w:spacing w:val="-2"/>
          <w:sz w:val="24"/>
        </w:rPr>
      </w:pPr>
      <w:r>
        <w:rPr>
          <w:rFonts w:eastAsia="方正仿宋_GBK"/>
          <w:color w:val="000000"/>
          <w:spacing w:val="-2"/>
          <w:sz w:val="24"/>
        </w:rPr>
        <w:t xml:space="preserve">    </w:t>
      </w:r>
      <w:r>
        <w:rPr>
          <w:rFonts w:hint="eastAsia" w:eastAsia="方正仿宋_GBK"/>
          <w:color w:val="000000"/>
          <w:spacing w:val="-2"/>
          <w:sz w:val="24"/>
        </w:rPr>
        <w:t>（七）对科研合作院校、单位的科研人员现场工作情况进行定量考核；</w:t>
      </w:r>
    </w:p>
    <w:p>
      <w:pPr>
        <w:spacing w:line="460" w:lineRule="exact"/>
        <w:rPr>
          <w:rFonts w:eastAsia="方正仿宋_GBK"/>
          <w:color w:val="000000"/>
          <w:spacing w:val="-2"/>
          <w:sz w:val="24"/>
        </w:rPr>
      </w:pPr>
      <w:r>
        <w:rPr>
          <w:rFonts w:eastAsia="方正仿宋_GBK"/>
          <w:color w:val="000000"/>
          <w:spacing w:val="-2"/>
          <w:sz w:val="24"/>
        </w:rPr>
        <w:t xml:space="preserve">    </w:t>
      </w:r>
      <w:r>
        <w:rPr>
          <w:rFonts w:hint="eastAsia" w:eastAsia="方正仿宋_GBK"/>
          <w:color w:val="000000"/>
          <w:spacing w:val="-2"/>
          <w:sz w:val="24"/>
        </w:rPr>
        <w:t>（八）</w:t>
      </w:r>
      <w:r>
        <w:rPr>
          <w:rFonts w:eastAsia="方正仿宋_GBK"/>
          <w:color w:val="000000"/>
          <w:spacing w:val="-2"/>
          <w:sz w:val="24"/>
        </w:rPr>
        <w:t>6</w:t>
      </w:r>
      <w:r>
        <w:rPr>
          <w:rFonts w:hint="eastAsia" w:eastAsia="方正仿宋_GBK"/>
          <w:color w:val="000000"/>
          <w:spacing w:val="-2"/>
          <w:sz w:val="24"/>
        </w:rPr>
        <w:t>部规程和导则的初稿起草单位；</w:t>
      </w:r>
    </w:p>
    <w:p>
      <w:pPr>
        <w:spacing w:line="460" w:lineRule="exact"/>
        <w:rPr>
          <w:rFonts w:eastAsia="方正仿宋_GBK"/>
          <w:color w:val="000000"/>
          <w:spacing w:val="-2"/>
          <w:sz w:val="24"/>
        </w:rPr>
      </w:pPr>
      <w:r>
        <w:rPr>
          <w:rFonts w:eastAsia="方正仿宋_GBK"/>
          <w:color w:val="000000"/>
          <w:spacing w:val="-2"/>
          <w:sz w:val="24"/>
        </w:rPr>
        <w:t xml:space="preserve">    </w:t>
      </w:r>
      <w:r>
        <w:rPr>
          <w:rFonts w:hint="eastAsia" w:eastAsia="方正仿宋_GBK"/>
          <w:color w:val="000000"/>
          <w:spacing w:val="-2"/>
          <w:sz w:val="24"/>
        </w:rPr>
        <w:t>（九）对合作院校、单位的资金拨付申请进行预审核，并提出拨付意见。</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（十）根据需要向课题办提出研究内容的调整申请。</w:t>
      </w:r>
    </w:p>
    <w:p>
      <w:pPr>
        <w:spacing w:line="460" w:lineRule="exact"/>
        <w:rPr>
          <w:rFonts w:eastAsia="方正仿宋_GBK"/>
          <w:color w:val="000000"/>
          <w:spacing w:val="-2"/>
          <w:sz w:val="24"/>
        </w:rPr>
      </w:pPr>
      <w:r>
        <w:rPr>
          <w:rFonts w:hint="eastAsia" w:eastAsia="方正仿宋_GBK"/>
          <w:color w:val="000000"/>
          <w:spacing w:val="-2"/>
          <w:sz w:val="24"/>
        </w:rPr>
        <w:t>　</w:t>
      </w:r>
      <w:r>
        <w:rPr>
          <w:rFonts w:eastAsia="方正仿宋_GBK"/>
          <w:color w:val="000000"/>
          <w:spacing w:val="-2"/>
          <w:sz w:val="24"/>
        </w:rPr>
        <w:t xml:space="preserve">   </w:t>
      </w:r>
      <w:r>
        <w:rPr>
          <w:rFonts w:hint="eastAsia" w:ascii="Times New Roman" w:eastAsia="方正黑体_GBK"/>
          <w:color w:val="000000"/>
          <w:spacing w:val="-2"/>
          <w:sz w:val="24"/>
        </w:rPr>
        <w:t>第九条</w:t>
      </w:r>
      <w:r>
        <w:rPr>
          <w:rFonts w:eastAsia="方正仿宋_GBK"/>
          <w:color w:val="000000"/>
          <w:spacing w:val="-2"/>
          <w:sz w:val="24"/>
        </w:rPr>
        <w:t xml:space="preserve">  </w:t>
      </w:r>
      <w:r>
        <w:rPr>
          <w:rFonts w:hint="eastAsia" w:eastAsia="方正仿宋_GBK"/>
          <w:color w:val="000000"/>
          <w:spacing w:val="-2"/>
          <w:sz w:val="24"/>
        </w:rPr>
        <w:t>科研合作院校、单位的主要职责：</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（一）严格执行合同的相关条款；</w:t>
      </w:r>
    </w:p>
    <w:p>
      <w:pPr>
        <w:spacing w:line="460" w:lineRule="exact"/>
        <w:rPr>
          <w:rFonts w:eastAsia="方正仿宋_GBK"/>
          <w:color w:val="000000"/>
          <w:spacing w:val="-2"/>
          <w:sz w:val="24"/>
        </w:rPr>
      </w:pPr>
      <w:r>
        <w:rPr>
          <w:rFonts w:hint="eastAsia" w:eastAsia="方正仿宋_GBK"/>
          <w:color w:val="000000"/>
          <w:spacing w:val="-2"/>
          <w:sz w:val="24"/>
        </w:rPr>
        <w:t>　</w:t>
      </w:r>
      <w:r>
        <w:rPr>
          <w:rFonts w:eastAsia="方正仿宋_GBK"/>
          <w:color w:val="000000"/>
          <w:spacing w:val="-2"/>
          <w:sz w:val="24"/>
        </w:rPr>
        <w:t xml:space="preserve">  </w:t>
      </w:r>
      <w:r>
        <w:rPr>
          <w:rFonts w:hint="eastAsia" w:eastAsia="方正仿宋_GBK"/>
          <w:color w:val="000000"/>
          <w:spacing w:val="-2"/>
          <w:sz w:val="24"/>
        </w:rPr>
        <w:t>（二）提供和协调落实任务实施配套保障条件；</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（三）为任务实施提供财务、知识产权、固定资产和科技档案管理；</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（四）在相关牵头城市现场设立办公试验场所，实行驻点科研、办公，技术负责人每季度至少去两次现场，协调、解决科研过程中存在的问题；</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（五）根据季度研究任务完成目标，每季度按时向牵头城市报送任务研究进度，并根据牵头城市的意见及时调整相关内容；</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（六）配合牵头城市做好</w:t>
      </w:r>
      <w:r>
        <w:rPr>
          <w:rFonts w:eastAsia="方正仿宋_GBK"/>
          <w:color w:val="000000"/>
          <w:spacing w:val="-2"/>
          <w:sz w:val="24"/>
        </w:rPr>
        <w:t>6</w:t>
      </w:r>
      <w:r>
        <w:rPr>
          <w:rFonts w:hint="eastAsia" w:eastAsia="方正仿宋_GBK"/>
          <w:color w:val="000000"/>
          <w:spacing w:val="-2"/>
          <w:sz w:val="24"/>
        </w:rPr>
        <w:t>部规程和导则的起草工作；</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（七）根据需要向牵头城市提出研究内容的调整申请。</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第十条</w:t>
      </w:r>
      <w:r>
        <w:rPr>
          <w:rFonts w:eastAsia="方正仿宋_GBK"/>
          <w:color w:val="000000"/>
          <w:spacing w:val="-2"/>
          <w:sz w:val="24"/>
        </w:rPr>
        <w:t xml:space="preserve">  </w:t>
      </w:r>
      <w:r>
        <w:rPr>
          <w:rFonts w:hint="eastAsia" w:eastAsia="方正仿宋_GBK"/>
          <w:color w:val="000000"/>
          <w:spacing w:val="-2"/>
          <w:sz w:val="24"/>
        </w:rPr>
        <w:t>课题组长、任务负责人及科研合作院校、单位技术负责人的主要职责：</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（一）严格按照合同的要求，完成研究任务和考核指标。</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（二）严格按照课题预算书合理使用经费；</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（三）督促、检查课题（任务）的实施，组织课题（任务）间的协调和交流；</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（四）报告课题（任务）年度执行情况、阶段总结和重大事项；</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（五）编制课题（任务）验收申请报告和验收材料。</w:t>
      </w:r>
    </w:p>
    <w:p>
      <w:pPr>
        <w:spacing w:line="460" w:lineRule="exact"/>
        <w:rPr>
          <w:rFonts w:eastAsia="方正仿宋_GBK"/>
          <w:color w:val="000000"/>
          <w:spacing w:val="-2"/>
          <w:sz w:val="24"/>
        </w:rPr>
      </w:pPr>
    </w:p>
    <w:p>
      <w:pPr>
        <w:spacing w:line="460" w:lineRule="exact"/>
        <w:jc w:val="center"/>
        <w:rPr>
          <w:rFonts w:ascii="Times New Roman" w:eastAsia="方正黑体_GBK"/>
          <w:color w:val="000000"/>
          <w:spacing w:val="-2"/>
          <w:sz w:val="24"/>
        </w:rPr>
      </w:pPr>
      <w:r>
        <w:rPr>
          <w:rFonts w:hint="eastAsia" w:ascii="Times New Roman" w:eastAsia="方正黑体_GBK"/>
          <w:color w:val="000000"/>
          <w:spacing w:val="-2"/>
          <w:sz w:val="24"/>
        </w:rPr>
        <w:t>第三章  资金管理</w:t>
      </w:r>
    </w:p>
    <w:p>
      <w:pPr>
        <w:spacing w:line="460" w:lineRule="exact"/>
        <w:rPr>
          <w:rFonts w:hint="eastAsia" w:eastAsia="方正仿宋_GBK"/>
          <w:color w:val="000000"/>
          <w:spacing w:val="-2"/>
          <w:sz w:val="24"/>
        </w:rPr>
      </w:pPr>
      <w:r>
        <w:rPr>
          <w:rFonts w:hint="eastAsia" w:eastAsia="方正仿宋_GBK"/>
          <w:color w:val="000000"/>
          <w:spacing w:val="-2"/>
          <w:sz w:val="24"/>
        </w:rPr>
        <w:t>　</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第十一条</w:t>
      </w:r>
      <w:r>
        <w:rPr>
          <w:rFonts w:eastAsia="方正仿宋_GBK"/>
          <w:color w:val="000000"/>
          <w:spacing w:val="-2"/>
          <w:sz w:val="24"/>
        </w:rPr>
        <w:t xml:space="preserve">  </w:t>
      </w:r>
      <w:r>
        <w:rPr>
          <w:rFonts w:hint="eastAsia" w:eastAsia="方正仿宋_GBK"/>
          <w:color w:val="000000"/>
          <w:spacing w:val="-2"/>
          <w:sz w:val="24"/>
        </w:rPr>
        <w:t>课题经费来源于中央财政投入、地方财政投入以及企业、金融机构和社会资金投入。中央财政投入主要用于课题实施过程中市场机制不能有效配置资源的基础性和公益性研究，以及企业竞争前的共性技术和重大关键技术研究开发等，地方财政投入和企业等资金投入主要用于技术的工程示范、产业化及相关研究。中央财政、地方财政和社会资金应统筹安排、使用和管理。</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第十二条</w:t>
      </w:r>
      <w:r>
        <w:rPr>
          <w:rFonts w:eastAsia="方正仿宋_GBK"/>
          <w:color w:val="000000"/>
          <w:spacing w:val="-2"/>
          <w:sz w:val="24"/>
        </w:rPr>
        <w:t xml:space="preserve">  </w:t>
      </w:r>
      <w:r>
        <w:rPr>
          <w:rFonts w:hint="eastAsia" w:eastAsia="方正仿宋_GBK"/>
          <w:color w:val="000000"/>
          <w:spacing w:val="-2"/>
          <w:sz w:val="24"/>
        </w:rPr>
        <w:t>统筹使用各方面的资金投入，提高资金使用效益。示范工程所在地方政府应确保配套资金及时、足额到位。来源于中央财政的专项经费，严格执行国家预算管理和财政资金管理的有关规定。来源于地方财政的专项经费，严格执行地方预算管理和财政资金管理的有关规定。其他来源资金，按照</w:t>
      </w:r>
      <w:r>
        <w:rPr>
          <w:rFonts w:eastAsia="方正仿宋_GBK"/>
          <w:color w:val="000000"/>
          <w:spacing w:val="-2"/>
          <w:sz w:val="24"/>
        </w:rPr>
        <w:t>“</w:t>
      </w:r>
      <w:r>
        <w:rPr>
          <w:rFonts w:hint="eastAsia" w:eastAsia="方正仿宋_GBK"/>
          <w:color w:val="000000"/>
          <w:spacing w:val="-2"/>
          <w:sz w:val="24"/>
        </w:rPr>
        <w:t>谁出资、谁监管</w:t>
      </w:r>
      <w:r>
        <w:rPr>
          <w:rFonts w:eastAsia="方正仿宋_GBK"/>
          <w:color w:val="000000"/>
          <w:spacing w:val="-2"/>
          <w:sz w:val="24"/>
        </w:rPr>
        <w:t>”</w:t>
      </w:r>
      <w:r>
        <w:rPr>
          <w:rFonts w:hint="eastAsia" w:eastAsia="方正仿宋_GBK"/>
          <w:color w:val="000000"/>
          <w:spacing w:val="-2"/>
          <w:sz w:val="24"/>
        </w:rPr>
        <w:t>的原则和相应的管理规定进行管理。</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第十三条</w:t>
      </w:r>
      <w:r>
        <w:rPr>
          <w:rFonts w:eastAsia="方正仿宋_GBK"/>
          <w:color w:val="000000"/>
          <w:spacing w:val="-2"/>
          <w:sz w:val="24"/>
        </w:rPr>
        <w:t xml:space="preserve">  </w:t>
      </w:r>
      <w:r>
        <w:rPr>
          <w:rFonts w:hint="eastAsia" w:eastAsia="方正仿宋_GBK"/>
          <w:color w:val="000000"/>
          <w:spacing w:val="-2"/>
          <w:sz w:val="24"/>
        </w:rPr>
        <w:t>课题经费管理细则根据国家有关规定另行制定。</w:t>
      </w:r>
    </w:p>
    <w:p>
      <w:pPr>
        <w:spacing w:line="460" w:lineRule="exact"/>
        <w:ind w:firstLine="564"/>
        <w:rPr>
          <w:rFonts w:eastAsia="方正仿宋_GBK"/>
          <w:color w:val="000000"/>
          <w:spacing w:val="-2"/>
          <w:sz w:val="24"/>
        </w:rPr>
      </w:pPr>
    </w:p>
    <w:p>
      <w:pPr>
        <w:spacing w:line="460" w:lineRule="exact"/>
        <w:ind w:firstLine="564"/>
        <w:rPr>
          <w:rFonts w:eastAsia="方正仿宋_GBK"/>
          <w:color w:val="000000"/>
          <w:spacing w:val="-2"/>
          <w:sz w:val="24"/>
        </w:rPr>
      </w:pPr>
    </w:p>
    <w:p>
      <w:pPr>
        <w:spacing w:line="460" w:lineRule="exact"/>
        <w:jc w:val="center"/>
        <w:rPr>
          <w:rFonts w:ascii="Times New Roman" w:eastAsia="方正黑体_GBK"/>
          <w:color w:val="000000"/>
          <w:spacing w:val="-2"/>
          <w:sz w:val="24"/>
        </w:rPr>
      </w:pPr>
      <w:r>
        <w:rPr>
          <w:rFonts w:hint="eastAsia" w:ascii="Times New Roman" w:eastAsia="方正黑体_GBK"/>
          <w:color w:val="000000"/>
          <w:spacing w:val="-2"/>
          <w:sz w:val="24"/>
        </w:rPr>
        <w:t>第四章  人才、知识产权和资产管理</w:t>
      </w:r>
    </w:p>
    <w:p>
      <w:pPr>
        <w:spacing w:line="460" w:lineRule="exact"/>
        <w:rPr>
          <w:rFonts w:hint="eastAsia" w:eastAsia="方正仿宋_GBK"/>
          <w:color w:val="000000"/>
          <w:spacing w:val="-2"/>
          <w:sz w:val="24"/>
        </w:rPr>
      </w:pP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第十四条</w:t>
      </w:r>
      <w:r>
        <w:rPr>
          <w:rFonts w:eastAsia="方正仿宋_GBK"/>
          <w:color w:val="000000"/>
          <w:spacing w:val="-2"/>
          <w:sz w:val="24"/>
        </w:rPr>
        <w:t xml:space="preserve">  </w:t>
      </w:r>
      <w:r>
        <w:rPr>
          <w:rFonts w:hint="eastAsia" w:eastAsia="方正仿宋_GBK"/>
          <w:color w:val="000000"/>
          <w:spacing w:val="-2"/>
          <w:sz w:val="24"/>
        </w:rPr>
        <w:t>课题研究积极吸引各类高层次人才参与科技攻关，鼓励中青年科技骨干承担课题，凝聚和培养一批高水平的研究开发人才队伍。</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第十五条</w:t>
      </w:r>
      <w:r>
        <w:rPr>
          <w:rFonts w:eastAsia="方正仿宋_GBK"/>
          <w:color w:val="000000"/>
          <w:spacing w:val="-2"/>
          <w:sz w:val="24"/>
        </w:rPr>
        <w:t xml:space="preserve">  </w:t>
      </w:r>
      <w:r>
        <w:rPr>
          <w:rFonts w:hint="eastAsia" w:eastAsia="方正仿宋_GBK"/>
          <w:color w:val="000000"/>
          <w:spacing w:val="-2"/>
          <w:sz w:val="24"/>
        </w:rPr>
        <w:t>课题有关组织实施管理机构要加强知识产权管理，严格执行科技部《关于加强国家科技计划知识产权管理工作的规定》。课题形成的知识产权，其归属、使用和管理按照《关于国家科研计划项目研究成果知识产权管理的若干规定》执行。</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第十六条</w:t>
      </w:r>
      <w:r>
        <w:rPr>
          <w:rFonts w:eastAsia="方正仿宋_GBK"/>
          <w:color w:val="000000"/>
          <w:spacing w:val="-2"/>
          <w:sz w:val="24"/>
        </w:rPr>
        <w:t xml:space="preserve">  </w:t>
      </w:r>
      <w:r>
        <w:rPr>
          <w:rFonts w:hint="eastAsia" w:eastAsia="方正仿宋_GBK"/>
          <w:color w:val="000000"/>
          <w:spacing w:val="-2"/>
          <w:sz w:val="24"/>
        </w:rPr>
        <w:t>课题实施形成的研究成果，包括论文、专著、专利、软件、数据库等，均应标注</w:t>
      </w:r>
      <w:r>
        <w:rPr>
          <w:rFonts w:eastAsia="方正仿宋_GBK"/>
          <w:color w:val="000000"/>
          <w:spacing w:val="-2"/>
          <w:sz w:val="24"/>
        </w:rPr>
        <w:t>“</w:t>
      </w:r>
      <w:r>
        <w:rPr>
          <w:rFonts w:hint="eastAsia" w:eastAsia="方正仿宋_GBK"/>
          <w:color w:val="000000"/>
          <w:spacing w:val="-2"/>
          <w:sz w:val="24"/>
        </w:rPr>
        <w:t>水体污染控制与治理科技重大专项资助</w:t>
      </w:r>
      <w:r>
        <w:rPr>
          <w:rFonts w:eastAsia="方正仿宋_GBK"/>
          <w:color w:val="000000"/>
          <w:spacing w:val="-2"/>
          <w:sz w:val="24"/>
        </w:rPr>
        <w:t>”</w:t>
      </w:r>
      <w:r>
        <w:rPr>
          <w:rFonts w:hint="eastAsia" w:eastAsia="方正仿宋_GBK"/>
          <w:color w:val="000000"/>
          <w:spacing w:val="-2"/>
          <w:sz w:val="24"/>
        </w:rPr>
        <w:t>字样及课题编号，不做标注的成果，评估或验收时不予认可。</w:t>
      </w:r>
    </w:p>
    <w:p>
      <w:pPr>
        <w:spacing w:line="460" w:lineRule="exact"/>
        <w:rPr>
          <w:rFonts w:eastAsia="方正仿宋_GBK"/>
          <w:color w:val="000000"/>
          <w:spacing w:val="-2"/>
          <w:sz w:val="24"/>
        </w:rPr>
      </w:pPr>
      <w:r>
        <w:rPr>
          <w:rFonts w:eastAsia="方正仿宋_GBK"/>
          <w:color w:val="000000"/>
          <w:spacing w:val="-2"/>
          <w:sz w:val="24"/>
        </w:rPr>
        <w:t xml:space="preserve">  </w:t>
      </w:r>
      <w:r>
        <w:rPr>
          <w:rFonts w:hint="eastAsia" w:eastAsia="方正仿宋_GBK"/>
          <w:color w:val="000000"/>
          <w:spacing w:val="-2"/>
          <w:sz w:val="24"/>
        </w:rPr>
        <w:t>　</w:t>
      </w:r>
      <w:r>
        <w:rPr>
          <w:rFonts w:hint="eastAsia" w:ascii="Times New Roman" w:eastAsia="方正黑体_GBK"/>
          <w:color w:val="000000"/>
          <w:spacing w:val="-2"/>
          <w:sz w:val="24"/>
        </w:rPr>
        <w:t>第十七条</w:t>
      </w:r>
      <w:r>
        <w:rPr>
          <w:rFonts w:eastAsia="方正仿宋_GBK"/>
          <w:color w:val="000000"/>
          <w:spacing w:val="-2"/>
          <w:sz w:val="24"/>
        </w:rPr>
        <w:t xml:space="preserve">  </w:t>
      </w:r>
      <w:r>
        <w:rPr>
          <w:rFonts w:hint="eastAsia" w:eastAsia="方正仿宋_GBK"/>
          <w:color w:val="000000"/>
          <w:spacing w:val="-2"/>
          <w:sz w:val="24"/>
        </w:rPr>
        <w:t>课题研究过程中形成的无形资产，属国有资产，由相应承担单位负责管理和使用。课题研究成果转化及无形资产使用产生的经济效益按《中华人民共和国促进科技成果转化法》和国家有关规定执行。</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第十八条</w:t>
      </w:r>
      <w:r>
        <w:rPr>
          <w:rFonts w:eastAsia="方正仿宋_GBK"/>
          <w:color w:val="000000"/>
          <w:spacing w:val="-2"/>
          <w:sz w:val="24"/>
        </w:rPr>
        <w:t xml:space="preserve">  </w:t>
      </w:r>
      <w:r>
        <w:rPr>
          <w:rFonts w:hint="eastAsia" w:eastAsia="方正仿宋_GBK"/>
          <w:color w:val="000000"/>
          <w:spacing w:val="-2"/>
          <w:sz w:val="24"/>
        </w:rPr>
        <w:t>用课题经费购置或试制的固定资产属于国有资产，资产的管理按照国家有关规定执行。</w:t>
      </w:r>
    </w:p>
    <w:p>
      <w:pPr>
        <w:spacing w:line="460" w:lineRule="exact"/>
        <w:jc w:val="center"/>
        <w:rPr>
          <w:rFonts w:ascii="Times New Roman" w:eastAsia="方正黑体_GBK"/>
          <w:color w:val="000000"/>
          <w:spacing w:val="-2"/>
          <w:sz w:val="24"/>
        </w:rPr>
      </w:pPr>
    </w:p>
    <w:p>
      <w:pPr>
        <w:spacing w:line="460" w:lineRule="exact"/>
        <w:jc w:val="center"/>
        <w:rPr>
          <w:rFonts w:hint="eastAsia" w:ascii="Times New Roman" w:eastAsia="方正黑体_GBK"/>
          <w:color w:val="000000"/>
          <w:spacing w:val="-2"/>
          <w:sz w:val="24"/>
        </w:rPr>
      </w:pPr>
      <w:r>
        <w:rPr>
          <w:rFonts w:hint="eastAsia" w:ascii="Times New Roman" w:eastAsia="方正黑体_GBK"/>
          <w:color w:val="000000"/>
          <w:spacing w:val="-2"/>
          <w:sz w:val="24"/>
        </w:rPr>
        <w:t>第五章  其    他</w:t>
      </w:r>
    </w:p>
    <w:p>
      <w:pPr>
        <w:spacing w:line="460" w:lineRule="exact"/>
        <w:ind w:firstLine="472" w:firstLineChars="200"/>
        <w:rPr>
          <w:rFonts w:hint="eastAsia" w:eastAsia="方正仿宋_GBK"/>
          <w:color w:val="000000"/>
          <w:spacing w:val="-2"/>
          <w:sz w:val="24"/>
        </w:rPr>
      </w:pP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第十九条</w:t>
      </w:r>
      <w:r>
        <w:rPr>
          <w:rFonts w:eastAsia="方正仿宋_GBK"/>
          <w:color w:val="000000"/>
          <w:spacing w:val="-2"/>
          <w:sz w:val="24"/>
        </w:rPr>
        <w:t xml:space="preserve">  </w:t>
      </w:r>
      <w:r>
        <w:rPr>
          <w:rFonts w:hint="eastAsia" w:eastAsia="方正仿宋_GBK"/>
          <w:color w:val="000000"/>
          <w:spacing w:val="-2"/>
          <w:sz w:val="24"/>
        </w:rPr>
        <w:t>对于在申请、评议、评审、评估、检查、执行和验收过程中发现的弄虚作假、徇私舞弊行为，以及违规操作或因主观原因未能完成合同任务并造成重大损失者，将公开通报直接责任者，并上报住房城乡建设部水专项办按相关规定进行处理。</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第二十条</w:t>
      </w:r>
      <w:r>
        <w:rPr>
          <w:rFonts w:eastAsia="方正仿宋_GBK"/>
          <w:color w:val="000000"/>
          <w:spacing w:val="-2"/>
          <w:sz w:val="24"/>
        </w:rPr>
        <w:t xml:space="preserve">  </w:t>
      </w:r>
      <w:r>
        <w:rPr>
          <w:rFonts w:hint="eastAsia" w:eastAsia="方正仿宋_GBK"/>
          <w:color w:val="000000"/>
          <w:spacing w:val="-2"/>
          <w:sz w:val="24"/>
        </w:rPr>
        <w:t>本办法由省住房城乡建设厅负责解释，自发布之日起施行。</w:t>
      </w:r>
    </w:p>
    <w:p>
      <w:pPr>
        <w:spacing w:line="460" w:lineRule="exact"/>
        <w:jc w:val="center"/>
        <w:rPr>
          <w:rFonts w:ascii="Times New Roman" w:eastAsia="方正小标宋简体"/>
          <w:color w:val="000000"/>
          <w:sz w:val="36"/>
          <w:szCs w:val="36"/>
        </w:rPr>
      </w:pPr>
    </w:p>
    <w:p>
      <w:pPr>
        <w:spacing w:line="460" w:lineRule="exact"/>
        <w:jc w:val="center"/>
        <w:rPr>
          <w:rFonts w:hint="eastAsia" w:ascii="Times New Roman" w:eastAsia="方正小标宋简体"/>
          <w:color w:val="000000"/>
          <w:sz w:val="36"/>
          <w:szCs w:val="36"/>
        </w:rPr>
      </w:pPr>
    </w:p>
    <w:p>
      <w:pPr>
        <w:spacing w:line="460" w:lineRule="exact"/>
        <w:rPr>
          <w:rFonts w:hint="eastAsia" w:ascii="Times New Roman" w:eastAsia="方正小标宋简体"/>
          <w:color w:val="000000"/>
          <w:sz w:val="36"/>
          <w:szCs w:val="36"/>
        </w:rPr>
      </w:pPr>
    </w:p>
    <w:p>
      <w:pPr>
        <w:spacing w:line="460" w:lineRule="exact"/>
        <w:rPr>
          <w:rFonts w:hint="eastAsia" w:ascii="Times New Roman" w:eastAsia="方正小标宋简体"/>
          <w:color w:val="000000"/>
          <w:sz w:val="36"/>
          <w:szCs w:val="36"/>
        </w:rPr>
      </w:pPr>
    </w:p>
    <w:p>
      <w:pPr>
        <w:pStyle w:val="2"/>
        <w:spacing w:before="240" w:beforeLines="100" w:after="240" w:afterLines="100" w:line="240" w:lineRule="auto"/>
        <w:jc w:val="center"/>
        <w:rPr>
          <w:rFonts w:hint="eastAsia" w:ascii="Times New Roman" w:eastAsia="方正小标宋_GBK"/>
          <w:b w:val="0"/>
          <w:sz w:val="36"/>
          <w:szCs w:val="36"/>
        </w:rPr>
      </w:pPr>
      <w:bookmarkStart w:id="133" w:name="_Toc20726360"/>
      <w:bookmarkStart w:id="134" w:name="_Toc18315442"/>
      <w:r>
        <w:rPr>
          <w:rFonts w:hint="eastAsia" w:ascii="Times New Roman" w:eastAsia="方正小标宋_GBK"/>
          <w:b w:val="0"/>
          <w:sz w:val="36"/>
          <w:szCs w:val="36"/>
        </w:rPr>
        <w:t>省住房城乡建设厅关于规范城镇燃气设施建设和     运行管理工作的若干意见</w:t>
      </w:r>
      <w:bookmarkEnd w:id="133"/>
      <w:bookmarkEnd w:id="134"/>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135" w:name="_Toc20726361"/>
      <w:bookmarkStart w:id="136" w:name="_Toc18315443"/>
      <w:r>
        <w:rPr>
          <w:rFonts w:hint="eastAsia" w:ascii="Times New Roman" w:hAnsi="Times New Roman" w:eastAsia="方正楷体_GBK"/>
          <w:b w:val="0"/>
          <w:sz w:val="24"/>
          <w:szCs w:val="24"/>
        </w:rPr>
        <w:t>苏建规字〔</w:t>
      </w:r>
      <w:r>
        <w:rPr>
          <w:rFonts w:ascii="Times New Roman" w:hAnsi="Times New Roman" w:eastAsia="方正楷体_GBK"/>
          <w:b w:val="0"/>
          <w:sz w:val="24"/>
          <w:szCs w:val="24"/>
        </w:rPr>
        <w:t>2014</w:t>
      </w:r>
      <w:r>
        <w:rPr>
          <w:rFonts w:hint="eastAsia" w:ascii="Times New Roman" w:hAnsi="Times New Roman" w:eastAsia="方正楷体_GBK"/>
          <w:b w:val="0"/>
          <w:sz w:val="24"/>
          <w:szCs w:val="24"/>
        </w:rPr>
        <w:t>〕</w:t>
      </w:r>
      <w:r>
        <w:rPr>
          <w:rFonts w:ascii="Times New Roman" w:hAnsi="Times New Roman" w:eastAsia="方正楷体_GBK"/>
          <w:b w:val="0"/>
          <w:sz w:val="24"/>
          <w:szCs w:val="24"/>
        </w:rPr>
        <w:t>1</w:t>
      </w:r>
      <w:r>
        <w:rPr>
          <w:rFonts w:hint="eastAsia" w:ascii="Times New Roman" w:hAnsi="Times New Roman" w:eastAsia="方正楷体_GBK"/>
          <w:b w:val="0"/>
          <w:sz w:val="24"/>
          <w:szCs w:val="24"/>
        </w:rPr>
        <w:t>号</w:t>
      </w:r>
      <w:bookmarkEnd w:id="135"/>
      <w:bookmarkEnd w:id="136"/>
    </w:p>
    <w:p>
      <w:pPr>
        <w:spacing w:line="440" w:lineRule="exact"/>
        <w:jc w:val="left"/>
        <w:rPr>
          <w:rFonts w:eastAsia="方正仿宋_GBK"/>
          <w:color w:val="000000"/>
          <w:spacing w:val="-2"/>
          <w:kern w:val="0"/>
          <w:sz w:val="24"/>
        </w:rPr>
      </w:pPr>
      <w:r>
        <w:rPr>
          <w:rFonts w:hint="eastAsia" w:eastAsia="方正仿宋_GBK"/>
          <w:bCs/>
          <w:color w:val="000000"/>
          <w:spacing w:val="-2"/>
          <w:kern w:val="0"/>
          <w:sz w:val="24"/>
        </w:rPr>
        <w:t>各省辖市建设局、规划局、城管局，无锡市市政和园林局，昆山、泰兴、沭阳县（市）建设局、规划局、城管局：</w:t>
      </w:r>
    </w:p>
    <w:p>
      <w:pPr>
        <w:spacing w:line="440" w:lineRule="exact"/>
        <w:ind w:firstLine="456" w:firstLineChars="200"/>
        <w:jc w:val="left"/>
        <w:rPr>
          <w:rFonts w:eastAsia="方正仿宋_GBK"/>
          <w:color w:val="000000"/>
          <w:spacing w:val="-6"/>
          <w:kern w:val="0"/>
          <w:sz w:val="24"/>
        </w:rPr>
      </w:pPr>
      <w:r>
        <w:rPr>
          <w:rFonts w:hint="eastAsia" w:eastAsia="方正仿宋_GBK"/>
          <w:color w:val="000000"/>
          <w:spacing w:val="-6"/>
          <w:kern w:val="0"/>
          <w:sz w:val="24"/>
        </w:rPr>
        <w:t>为进一步加强城镇燃气设施建设和运行管理，保证城镇燃气设施建设质量和运行安全，根据《城乡规划法》、《建设工程质量管理条例》、《城镇燃气管理条例》、《江苏省燃气管理条例》、《房屋建筑和市政基础设施工程竣工验收备案管理办法》等法律法规，结合我省实际，现就规范城镇燃气设施建设和运行管理工作提出如下意见：</w:t>
      </w:r>
    </w:p>
    <w:p>
      <w:pPr>
        <w:spacing w:line="440" w:lineRule="exact"/>
        <w:ind w:firstLine="495" w:firstLineChars="210"/>
        <w:jc w:val="left"/>
        <w:rPr>
          <w:rFonts w:eastAsia="方正黑体_GBK"/>
          <w:color w:val="000000"/>
          <w:spacing w:val="-2"/>
          <w:kern w:val="0"/>
          <w:sz w:val="24"/>
        </w:rPr>
      </w:pPr>
      <w:r>
        <w:rPr>
          <w:rFonts w:hint="eastAsia" w:eastAsia="方正黑体_GBK"/>
          <w:color w:val="000000"/>
          <w:spacing w:val="-2"/>
          <w:kern w:val="0"/>
          <w:sz w:val="24"/>
        </w:rPr>
        <w:t>一、严格城镇燃气设施建设程序</w:t>
      </w:r>
    </w:p>
    <w:p>
      <w:pPr>
        <w:autoSpaceDE w:val="0"/>
        <w:autoSpaceDN w:val="0"/>
        <w:adjustRightInd w:val="0"/>
        <w:spacing w:line="440" w:lineRule="exact"/>
        <w:ind w:firstLine="472" w:firstLineChars="200"/>
        <w:jc w:val="left"/>
        <w:rPr>
          <w:rFonts w:eastAsia="方正仿宋_GBK"/>
          <w:color w:val="000000"/>
          <w:spacing w:val="-2"/>
          <w:kern w:val="0"/>
          <w:sz w:val="24"/>
        </w:rPr>
      </w:pPr>
      <w:r>
        <w:rPr>
          <w:rFonts w:hint="eastAsia" w:eastAsia="方正楷体_GBK"/>
          <w:color w:val="000000"/>
          <w:spacing w:val="-2"/>
          <w:sz w:val="24"/>
        </w:rPr>
        <w:t>（一）项目核准。</w:t>
      </w:r>
      <w:r>
        <w:rPr>
          <w:rFonts w:hint="eastAsia" w:eastAsia="方正仿宋_GBK"/>
          <w:color w:val="000000"/>
          <w:spacing w:val="-2"/>
          <w:kern w:val="0"/>
          <w:sz w:val="24"/>
        </w:rPr>
        <w:t>城镇燃气设施项目的新建、改建、扩建工程，应严格按照《江苏省燃气管理条例》和项目核准或备案的有关规定，履行城镇燃气设施项目核准或备案手续。</w:t>
      </w:r>
    </w:p>
    <w:p>
      <w:pPr>
        <w:autoSpaceDE w:val="0"/>
        <w:autoSpaceDN w:val="0"/>
        <w:adjustRightInd w:val="0"/>
        <w:spacing w:line="440" w:lineRule="exact"/>
        <w:ind w:firstLine="472" w:firstLineChars="200"/>
        <w:jc w:val="left"/>
        <w:rPr>
          <w:rFonts w:eastAsia="方正仿宋_GBK"/>
          <w:color w:val="000000"/>
          <w:spacing w:val="-2"/>
          <w:kern w:val="0"/>
          <w:sz w:val="24"/>
          <w:shd w:val="pct10" w:color="auto" w:fill="FFFFFF"/>
        </w:rPr>
      </w:pPr>
      <w:r>
        <w:rPr>
          <w:rFonts w:hint="eastAsia" w:eastAsia="方正楷体_GBK"/>
          <w:color w:val="000000"/>
          <w:spacing w:val="-2"/>
          <w:sz w:val="24"/>
        </w:rPr>
        <w:t>（二）规划许可。</w:t>
      </w:r>
      <w:r>
        <w:rPr>
          <w:rFonts w:hint="eastAsia" w:eastAsia="方正仿宋_GBK"/>
          <w:color w:val="000000"/>
          <w:spacing w:val="-2"/>
          <w:kern w:val="0"/>
          <w:sz w:val="24"/>
        </w:rPr>
        <w:t>新建、改建、扩建城镇燃气设施，按照国家规定需要有关部门批准或者核准的，以划拨方式提供国有土地使用权的，应当向城乡规划主管部门申请核发选址意见书。在城市、镇规划区内使用国有土地建设城镇燃气设施，应当向城乡规划主管部门申请核发建设用地规划许可证。在城市、镇规划区内进行燃气设施建设的，建设单位应当向市、县（市）人民政府城乡规划主管部门申请办理建设工程规划许可证。燃气设施建设过程中，应当依法履行向城乡规划主管部门申请验线、核实和报送竣工验收资料等手续。</w:t>
      </w:r>
    </w:p>
    <w:p>
      <w:pPr>
        <w:spacing w:line="440" w:lineRule="exact"/>
        <w:ind w:firstLine="645"/>
        <w:rPr>
          <w:rFonts w:eastAsia="方正仿宋_GBK"/>
          <w:color w:val="000000"/>
          <w:spacing w:val="-2"/>
          <w:kern w:val="0"/>
          <w:sz w:val="24"/>
        </w:rPr>
      </w:pPr>
      <w:r>
        <w:rPr>
          <w:rFonts w:hint="eastAsia" w:eastAsia="方正楷体_GBK"/>
          <w:color w:val="000000"/>
          <w:spacing w:val="-2"/>
          <w:szCs w:val="21"/>
        </w:rPr>
        <w:t>（三）初步设计审查。</w:t>
      </w:r>
      <w:r>
        <w:rPr>
          <w:rFonts w:hint="eastAsia" w:eastAsia="方正仿宋_GBK"/>
          <w:color w:val="000000"/>
          <w:spacing w:val="-2"/>
          <w:szCs w:val="21"/>
        </w:rPr>
        <w:t>燃气场站、燃气管道设施等燃气设施项目的初步设计文件，应</w:t>
      </w:r>
      <w:r>
        <w:rPr>
          <w:rFonts w:hint="eastAsia" w:eastAsia="方正仿宋_GBK"/>
          <w:color w:val="000000"/>
          <w:spacing w:val="-2"/>
          <w:kern w:val="0"/>
          <w:sz w:val="24"/>
        </w:rPr>
        <w:t>当符合《城镇燃气设计规范》等国家有关技术规范和燃气专业规划的要求，燃气工程省级核准的跨市、县（市）区域项目的初步设计文件由省级建设部门审查批准，其他省级核准项目由项目所在地建设主管部门审查批准，市、县（市）核准项目由同级建设主管部门审查批准。政府投资的燃气工程项目的初步设计文件审查按照国家和省有关规定执行。</w:t>
      </w:r>
    </w:p>
    <w:p>
      <w:pPr>
        <w:spacing w:line="440" w:lineRule="exact"/>
        <w:ind w:firstLine="462" w:firstLineChars="196"/>
        <w:jc w:val="left"/>
        <w:rPr>
          <w:rFonts w:eastAsia="方正仿宋_GBK"/>
          <w:color w:val="000000"/>
          <w:spacing w:val="-2"/>
          <w:kern w:val="0"/>
          <w:sz w:val="24"/>
        </w:rPr>
      </w:pPr>
      <w:r>
        <w:rPr>
          <w:rFonts w:hint="eastAsia" w:eastAsia="方正楷体_GBK"/>
          <w:color w:val="000000"/>
          <w:spacing w:val="-2"/>
          <w:sz w:val="24"/>
        </w:rPr>
        <w:t>（四）施工图审查。</w:t>
      </w:r>
      <w:r>
        <w:rPr>
          <w:rFonts w:hint="eastAsia" w:eastAsia="方正仿宋_GBK"/>
          <w:color w:val="000000"/>
          <w:spacing w:val="-2"/>
          <w:kern w:val="0"/>
          <w:sz w:val="24"/>
        </w:rPr>
        <w:t>燃气场站、燃气管道设施等燃气设施项目应当进行施工图设计文件审查。未经审查或审查不合格的燃气设施施工图设计文件不得用于施工。施工图设计文件一经审查批准，不得擅自修改；如遇特殊情况确需进行修改时，应按照规定重新审查。</w:t>
      </w:r>
    </w:p>
    <w:p>
      <w:pPr>
        <w:spacing w:line="440" w:lineRule="exact"/>
        <w:ind w:firstLine="462" w:firstLineChars="196"/>
        <w:jc w:val="left"/>
        <w:rPr>
          <w:rFonts w:eastAsia="方正仿宋_GBK"/>
          <w:color w:val="000000"/>
          <w:spacing w:val="-2"/>
          <w:kern w:val="0"/>
          <w:sz w:val="24"/>
        </w:rPr>
      </w:pPr>
      <w:r>
        <w:rPr>
          <w:rFonts w:hint="eastAsia" w:eastAsia="方正楷体_GBK"/>
          <w:color w:val="000000"/>
          <w:spacing w:val="-2"/>
          <w:sz w:val="24"/>
        </w:rPr>
        <w:t>（五）质量安全监督。</w:t>
      </w:r>
      <w:r>
        <w:rPr>
          <w:rFonts w:hint="eastAsia" w:eastAsia="方正仿宋_GBK"/>
          <w:color w:val="000000"/>
          <w:spacing w:val="-2"/>
          <w:kern w:val="0"/>
          <w:sz w:val="24"/>
        </w:rPr>
        <w:t>县级以上建设（燃气）行政主管部门应明确本辖区内燃气工程质量、安全监督管理部门，燃气设施工程（除特种设备外）应按规定办理工程质量和安全监督手续。燃气场站、燃气管道（除特种设备外）由建设单位单独办理，零星市政燃气管道、单体建筑及小区庭院燃气管道（除特种设备外）可与市政道路、房屋建筑工程一并办理。</w:t>
      </w:r>
    </w:p>
    <w:p>
      <w:pPr>
        <w:spacing w:line="440" w:lineRule="exact"/>
        <w:ind w:firstLine="495" w:firstLineChars="210"/>
        <w:jc w:val="left"/>
        <w:rPr>
          <w:rFonts w:eastAsia="方正仿宋_GBK"/>
          <w:color w:val="000000"/>
          <w:spacing w:val="-2"/>
          <w:kern w:val="0"/>
          <w:sz w:val="24"/>
        </w:rPr>
      </w:pPr>
      <w:r>
        <w:rPr>
          <w:rFonts w:hint="eastAsia" w:eastAsia="方正楷体_GBK"/>
          <w:color w:val="000000"/>
          <w:spacing w:val="-2"/>
          <w:sz w:val="24"/>
        </w:rPr>
        <w:t>（六）施工许可。</w:t>
      </w:r>
      <w:r>
        <w:rPr>
          <w:rFonts w:hint="eastAsia" w:eastAsia="方正仿宋_GBK"/>
          <w:color w:val="000000"/>
          <w:spacing w:val="-2"/>
          <w:kern w:val="0"/>
          <w:sz w:val="24"/>
        </w:rPr>
        <w:t>燃气场站、燃气管道等燃气设施项目，在工程开工前，建设单位应按规定向项目所在地建设行政主管部门申请领取施工许可证。申领施工许可证的建设单位应当取得燃气设施项目的建设工程规划许可证并符合《建筑工程施工许可管理办法》的规定条件。未按规定办理施工许可手续，不得开工建设。</w:t>
      </w:r>
    </w:p>
    <w:p>
      <w:pPr>
        <w:spacing w:line="440" w:lineRule="exact"/>
        <w:ind w:firstLine="495" w:firstLineChars="210"/>
        <w:jc w:val="left"/>
        <w:rPr>
          <w:rFonts w:eastAsia="方正仿宋_GBK"/>
          <w:color w:val="000000"/>
          <w:spacing w:val="-2"/>
          <w:kern w:val="0"/>
          <w:sz w:val="24"/>
        </w:rPr>
      </w:pPr>
      <w:r>
        <w:rPr>
          <w:rFonts w:hint="eastAsia" w:eastAsia="方正楷体_GBK"/>
          <w:color w:val="000000"/>
          <w:spacing w:val="-2"/>
          <w:sz w:val="24"/>
        </w:rPr>
        <w:t>（七）竣工验收。</w:t>
      </w:r>
      <w:r>
        <w:rPr>
          <w:rFonts w:hint="eastAsia" w:eastAsia="方正仿宋_GBK"/>
          <w:color w:val="000000"/>
          <w:spacing w:val="-2"/>
          <w:kern w:val="0"/>
          <w:sz w:val="24"/>
        </w:rPr>
        <w:t>燃气设施工程竣工后，建设单位应当组织设计、施工、监理等单位进行竣工验收。未经验收或者验收不合格的燃气工程，不得交付使用。</w:t>
      </w:r>
    </w:p>
    <w:p>
      <w:pPr>
        <w:spacing w:line="440" w:lineRule="exact"/>
        <w:ind w:firstLine="495" w:firstLineChars="210"/>
        <w:jc w:val="left"/>
        <w:rPr>
          <w:rFonts w:eastAsia="方正仿宋_GBK"/>
          <w:color w:val="000000"/>
          <w:spacing w:val="-2"/>
          <w:kern w:val="0"/>
          <w:sz w:val="24"/>
        </w:rPr>
      </w:pPr>
      <w:r>
        <w:rPr>
          <w:rFonts w:hint="eastAsia" w:eastAsia="方正楷体_GBK"/>
          <w:color w:val="000000"/>
          <w:spacing w:val="-2"/>
          <w:sz w:val="24"/>
        </w:rPr>
        <w:t>（八）备案。</w:t>
      </w:r>
      <w:r>
        <w:rPr>
          <w:rFonts w:hint="eastAsia" w:eastAsia="方正仿宋_GBK"/>
          <w:color w:val="000000"/>
          <w:spacing w:val="-2"/>
          <w:kern w:val="0"/>
          <w:sz w:val="24"/>
        </w:rPr>
        <w:t>建设单位应当在燃气设施工程竣工验收合格之日起</w:t>
      </w:r>
      <w:r>
        <w:rPr>
          <w:rFonts w:eastAsia="方正仿宋_GBK"/>
          <w:color w:val="000000"/>
          <w:spacing w:val="-2"/>
          <w:kern w:val="0"/>
          <w:sz w:val="24"/>
        </w:rPr>
        <w:t>15</w:t>
      </w:r>
      <w:r>
        <w:rPr>
          <w:rFonts w:hint="eastAsia" w:eastAsia="方正仿宋_GBK"/>
          <w:color w:val="000000"/>
          <w:spacing w:val="-2"/>
          <w:kern w:val="0"/>
          <w:sz w:val="24"/>
        </w:rPr>
        <w:t>日内，向所在地建设（燃气）行政主管部门办理备案手续，报告竣工验收情况。单体建筑及小区庭院燃气管道竣工验收备案由燃气配套单位单独办理。</w:t>
      </w:r>
    </w:p>
    <w:p>
      <w:pPr>
        <w:spacing w:line="440" w:lineRule="exact"/>
        <w:ind w:firstLine="495" w:firstLineChars="210"/>
        <w:jc w:val="left"/>
        <w:rPr>
          <w:rFonts w:eastAsia="方正仿宋_GBK"/>
          <w:color w:val="000000"/>
          <w:spacing w:val="-2"/>
          <w:kern w:val="0"/>
          <w:sz w:val="24"/>
        </w:rPr>
      </w:pPr>
      <w:r>
        <w:rPr>
          <w:rFonts w:hint="eastAsia" w:eastAsia="方正楷体_GBK"/>
          <w:color w:val="000000"/>
          <w:spacing w:val="-2"/>
          <w:sz w:val="24"/>
        </w:rPr>
        <w:t>（九）档案登记、验收与移交。</w:t>
      </w:r>
      <w:r>
        <w:rPr>
          <w:rFonts w:hint="eastAsia" w:eastAsia="方正仿宋_GBK"/>
          <w:color w:val="000000"/>
          <w:spacing w:val="-2"/>
          <w:kern w:val="0"/>
          <w:sz w:val="24"/>
        </w:rPr>
        <w:t>建设单位在申请领取施工许可证前，应当到城建档案管理机构进行登记，并签订档案移交责任书，城建档案馆应当告知档案接收的内容和要求。在组织燃气工程竣工验收时，向城建档案管理机构报送燃气设施项目档案，并提请城建档案管理机构对工程档案进行验收，建设工程档案验收意见纳入备案材料。</w:t>
      </w:r>
    </w:p>
    <w:p>
      <w:pPr>
        <w:spacing w:line="440" w:lineRule="exact"/>
        <w:ind w:firstLine="495" w:firstLineChars="210"/>
        <w:jc w:val="left"/>
        <w:rPr>
          <w:rFonts w:eastAsia="方正黑体_GBK"/>
          <w:color w:val="000000"/>
          <w:spacing w:val="-2"/>
          <w:kern w:val="0"/>
          <w:sz w:val="24"/>
        </w:rPr>
      </w:pPr>
      <w:r>
        <w:rPr>
          <w:rFonts w:hint="eastAsia" w:eastAsia="方正黑体_GBK"/>
          <w:color w:val="000000"/>
          <w:spacing w:val="-2"/>
          <w:kern w:val="0"/>
          <w:sz w:val="24"/>
        </w:rPr>
        <w:t>二、加强城镇燃气设施运行维护</w:t>
      </w:r>
    </w:p>
    <w:p>
      <w:pPr>
        <w:spacing w:line="440" w:lineRule="exact"/>
        <w:ind w:firstLine="472" w:firstLineChars="200"/>
        <w:rPr>
          <w:rFonts w:eastAsia="方正仿宋_GBK"/>
          <w:color w:val="000000"/>
          <w:spacing w:val="-2"/>
          <w:kern w:val="0"/>
          <w:sz w:val="24"/>
        </w:rPr>
      </w:pPr>
      <w:r>
        <w:rPr>
          <w:rFonts w:hint="eastAsia" w:eastAsia="方正楷体_GBK"/>
          <w:color w:val="000000"/>
          <w:spacing w:val="-2"/>
          <w:sz w:val="24"/>
        </w:rPr>
        <w:t>（一）燃气设施安全评估。</w:t>
      </w:r>
      <w:r>
        <w:rPr>
          <w:rFonts w:hint="eastAsia" w:eastAsia="方正仿宋_GBK"/>
          <w:color w:val="000000"/>
          <w:spacing w:val="-2"/>
          <w:kern w:val="0"/>
          <w:sz w:val="24"/>
        </w:rPr>
        <w:t>燃气</w:t>
      </w:r>
      <w:r>
        <w:rPr>
          <w:rFonts w:hint="eastAsia" w:eastAsia="方正仿宋_GBK"/>
          <w:color w:val="000000"/>
          <w:spacing w:val="-2"/>
          <w:sz w:val="24"/>
        </w:rPr>
        <w:t>设施运行单位应定期对燃气管道进行管网安全运行状况评估，及时</w:t>
      </w:r>
      <w:r>
        <w:rPr>
          <w:rFonts w:hint="eastAsia" w:eastAsia="方正仿宋_GBK"/>
          <w:color w:val="000000"/>
          <w:spacing w:val="-2"/>
          <w:kern w:val="0"/>
          <w:sz w:val="24"/>
        </w:rPr>
        <w:t>编制更新改造计划、制定保障安全措施</w:t>
      </w:r>
      <w:r>
        <w:rPr>
          <w:rFonts w:hint="eastAsia" w:eastAsia="方正仿宋_GBK"/>
          <w:color w:val="000000"/>
          <w:spacing w:val="-2"/>
          <w:sz w:val="24"/>
        </w:rPr>
        <w:t>；对埋置在环境复杂区域的燃气</w:t>
      </w:r>
      <w:r>
        <w:rPr>
          <w:rFonts w:hint="eastAsia" w:eastAsia="方正仿宋_GBK"/>
          <w:color w:val="000000"/>
          <w:spacing w:val="-2"/>
          <w:kern w:val="0"/>
          <w:sz w:val="24"/>
        </w:rPr>
        <w:t>管道和设施必须重点监护、定时检测</w:t>
      </w:r>
      <w:r>
        <w:rPr>
          <w:rFonts w:hint="eastAsia" w:eastAsia="方正仿宋_GBK"/>
          <w:color w:val="000000"/>
          <w:spacing w:val="-2"/>
          <w:sz w:val="24"/>
        </w:rPr>
        <w:t>。</w:t>
      </w:r>
      <w:r>
        <w:rPr>
          <w:rFonts w:hint="eastAsia" w:eastAsia="方正仿宋_GBK"/>
          <w:color w:val="000000"/>
          <w:spacing w:val="-2"/>
          <w:kern w:val="0"/>
          <w:sz w:val="24"/>
        </w:rPr>
        <w:t>燃气管道及其附件发生损坏或丢失的，应及时修复</w:t>
      </w:r>
      <w:r>
        <w:rPr>
          <w:rFonts w:hint="eastAsia" w:eastAsia="方正仿宋_GBK"/>
          <w:color w:val="000000"/>
          <w:spacing w:val="-2"/>
          <w:sz w:val="24"/>
        </w:rPr>
        <w:t>。</w:t>
      </w:r>
    </w:p>
    <w:p>
      <w:pPr>
        <w:spacing w:line="440" w:lineRule="exact"/>
        <w:ind w:firstLine="472" w:firstLineChars="200"/>
        <w:rPr>
          <w:rFonts w:eastAsia="方正仿宋_GBK"/>
          <w:color w:val="000000"/>
          <w:spacing w:val="-2"/>
          <w:kern w:val="0"/>
          <w:sz w:val="24"/>
        </w:rPr>
      </w:pPr>
      <w:r>
        <w:rPr>
          <w:rFonts w:hint="eastAsia" w:eastAsia="方正楷体_GBK"/>
          <w:color w:val="000000"/>
          <w:spacing w:val="-2"/>
          <w:sz w:val="24"/>
        </w:rPr>
        <w:t>（二）燃气设施安全巡查。</w:t>
      </w:r>
      <w:r>
        <w:rPr>
          <w:rFonts w:hint="eastAsia" w:eastAsia="方正仿宋_GBK"/>
          <w:color w:val="000000"/>
          <w:spacing w:val="-2"/>
          <w:kern w:val="0"/>
          <w:sz w:val="24"/>
        </w:rPr>
        <w:t>燃气设施运行单位要按照《城镇燃气设施运行、维护和抢修安全技术规程》的规定，加强燃气设施运行、维护和抢修管理工作，加强管线巡查责任制度的落实，对燃气管线被占压、与其它管线有交叉、周围有施工工地的地段以及尚未改造的老旧管道、曾经发生过燃气泄漏事故的管段，要重点巡查、监控，对发现影响燃气设施安全运行或安全供气行为的，应及时制止并做好建档立卷，向所在地建设（燃气）行政主管部门报告。</w:t>
      </w:r>
    </w:p>
    <w:p>
      <w:pPr>
        <w:spacing w:line="440" w:lineRule="exact"/>
        <w:ind w:firstLine="472" w:firstLineChars="200"/>
        <w:rPr>
          <w:rFonts w:eastAsia="方正仿宋_GBK"/>
          <w:color w:val="000000"/>
          <w:spacing w:val="-2"/>
          <w:kern w:val="0"/>
          <w:sz w:val="24"/>
        </w:rPr>
      </w:pPr>
      <w:r>
        <w:rPr>
          <w:rFonts w:hint="eastAsia" w:eastAsia="方正楷体_GBK"/>
          <w:color w:val="000000"/>
          <w:spacing w:val="-2"/>
          <w:sz w:val="24"/>
        </w:rPr>
        <w:t>（三）燃气设施安全警示。</w:t>
      </w:r>
      <w:r>
        <w:rPr>
          <w:rFonts w:hint="eastAsia" w:eastAsia="方正仿宋_GBK"/>
          <w:color w:val="000000"/>
          <w:spacing w:val="-2"/>
          <w:kern w:val="0"/>
          <w:sz w:val="24"/>
        </w:rPr>
        <w:t>燃气设施运行单位应按照《城镇燃气标志标准》的规定，进一步完善和规范燃气管线地面标识和站点安全警示标志。</w:t>
      </w:r>
    </w:p>
    <w:p>
      <w:pPr>
        <w:spacing w:line="440" w:lineRule="exact"/>
        <w:ind w:firstLine="472" w:firstLineChars="200"/>
        <w:rPr>
          <w:rFonts w:eastAsia="方正仿宋_GBK"/>
          <w:color w:val="000000"/>
          <w:spacing w:val="-2"/>
          <w:sz w:val="24"/>
        </w:rPr>
      </w:pPr>
      <w:r>
        <w:rPr>
          <w:rFonts w:hint="eastAsia" w:eastAsia="方正楷体_GBK"/>
          <w:color w:val="000000"/>
          <w:spacing w:val="-2"/>
          <w:sz w:val="24"/>
        </w:rPr>
        <w:t>（四）燃气设施抢险抢修。</w:t>
      </w:r>
      <w:r>
        <w:rPr>
          <w:rFonts w:hint="eastAsia" w:eastAsia="方正仿宋_GBK"/>
          <w:color w:val="000000"/>
          <w:spacing w:val="-2"/>
          <w:kern w:val="0"/>
          <w:sz w:val="24"/>
        </w:rPr>
        <w:t>燃气设施运行单位应当依据燃气运输、储存、调峰、应急的要求，采取有效措施保证燃气设施的安全运行。建设（燃气）行政主管部门、燃气设施运行单位应组织编制燃气设施安全事故应急预案，并定期开展演练，发生设施运行事故时，及时启动应急预案，组织抢险、抢修。</w:t>
      </w:r>
    </w:p>
    <w:p>
      <w:pPr>
        <w:spacing w:line="440" w:lineRule="exact"/>
        <w:ind w:firstLine="472" w:firstLineChars="200"/>
        <w:rPr>
          <w:rFonts w:eastAsia="方正仿宋_GBK"/>
          <w:color w:val="000000"/>
          <w:spacing w:val="-2"/>
          <w:kern w:val="0"/>
          <w:sz w:val="24"/>
        </w:rPr>
      </w:pPr>
      <w:r>
        <w:rPr>
          <w:rFonts w:hint="eastAsia" w:eastAsia="方正楷体_GBK"/>
          <w:color w:val="000000"/>
          <w:spacing w:val="-2"/>
          <w:sz w:val="24"/>
        </w:rPr>
        <w:t>（五）</w:t>
      </w:r>
      <w:r>
        <w:rPr>
          <w:rFonts w:hint="eastAsia" w:eastAsia="方正楷体_GBK"/>
          <w:color w:val="000000"/>
          <w:spacing w:val="-6"/>
          <w:sz w:val="24"/>
        </w:rPr>
        <w:t>燃气设施安全保护。</w:t>
      </w:r>
      <w:r>
        <w:rPr>
          <w:rFonts w:hint="eastAsia" w:eastAsia="方正仿宋_GBK"/>
          <w:color w:val="000000"/>
          <w:spacing w:val="-6"/>
          <w:kern w:val="0"/>
          <w:sz w:val="24"/>
        </w:rPr>
        <w:t>所有建设工程施工不得影响燃气设施安全。建设工程开工前，建设单位或者施工单位应当向燃气设施运行单位或者城建档案管理机构查明地下燃气设施的相关情况；对原有地下管线或者设施埋设的位置不明时，应当采用人工探挖，在掌握实际情况后，方可施工。对施工范围内有地下燃气管线等燃气设施的，应当与燃气设施运行单位共同制定安全保护措施并实施现场监护，确保燃气设施运行安全。</w:t>
      </w:r>
    </w:p>
    <w:p>
      <w:pPr>
        <w:spacing w:line="440" w:lineRule="exact"/>
        <w:ind w:firstLine="495" w:firstLineChars="210"/>
        <w:jc w:val="left"/>
        <w:rPr>
          <w:rFonts w:eastAsia="方正黑体_GBK"/>
          <w:color w:val="000000"/>
          <w:spacing w:val="-2"/>
          <w:kern w:val="0"/>
          <w:sz w:val="24"/>
        </w:rPr>
      </w:pPr>
      <w:r>
        <w:rPr>
          <w:rFonts w:hint="eastAsia" w:eastAsia="方正黑体_GBK"/>
          <w:color w:val="000000"/>
          <w:spacing w:val="-2"/>
          <w:kern w:val="0"/>
          <w:sz w:val="24"/>
        </w:rPr>
        <w:t>三、强化城镇燃气设施行业监管</w:t>
      </w:r>
    </w:p>
    <w:p>
      <w:pPr>
        <w:spacing w:line="440" w:lineRule="exact"/>
        <w:ind w:firstLine="472" w:firstLineChars="200"/>
        <w:rPr>
          <w:rFonts w:eastAsia="方正仿宋_GBK"/>
          <w:color w:val="000000"/>
          <w:spacing w:val="-2"/>
          <w:sz w:val="24"/>
        </w:rPr>
      </w:pPr>
      <w:r>
        <w:rPr>
          <w:rFonts w:hint="eastAsia" w:eastAsia="方正楷体_GBK"/>
          <w:color w:val="000000"/>
          <w:spacing w:val="-2"/>
          <w:sz w:val="24"/>
        </w:rPr>
        <w:t>（一）加强城镇燃气设施的规划管理。</w:t>
      </w:r>
      <w:r>
        <w:rPr>
          <w:rFonts w:hint="eastAsia" w:eastAsia="方正仿宋_GBK"/>
          <w:color w:val="000000"/>
          <w:spacing w:val="-2"/>
          <w:sz w:val="24"/>
        </w:rPr>
        <w:t>城镇燃气设施建设必须符合城市总体规划和燃气专项规划，项目选址必须严格按照安全防护的要求，认真执行相关法规、规范和标准，确保与周边地下管线、建筑物、构筑物等的安全距离。城乡规划确定的燃气设施用地，未经规划审批机关批准，不得改变用途。城乡规划部门核发燃气设施选址意见书或建设用地规划许可证时，应按照《城镇燃气管理条例》规定征求建设（燃气）行政主管部门意见。</w:t>
      </w:r>
    </w:p>
    <w:p>
      <w:pPr>
        <w:spacing w:line="440" w:lineRule="exact"/>
        <w:ind w:firstLine="472" w:firstLineChars="200"/>
        <w:rPr>
          <w:rFonts w:eastAsia="方正仿宋_GBK"/>
          <w:color w:val="000000"/>
          <w:spacing w:val="-2"/>
          <w:kern w:val="0"/>
          <w:sz w:val="24"/>
        </w:rPr>
      </w:pPr>
      <w:r>
        <w:rPr>
          <w:rFonts w:hint="eastAsia" w:eastAsia="方正楷体_GBK"/>
          <w:color w:val="000000"/>
          <w:spacing w:val="-2"/>
          <w:sz w:val="24"/>
        </w:rPr>
        <w:t>（二）强化城镇燃气设施建设</w:t>
      </w:r>
      <w:r>
        <w:rPr>
          <w:rFonts w:eastAsia="方正楷体_GBK"/>
          <w:color w:val="000000"/>
          <w:spacing w:val="-2"/>
          <w:sz w:val="24"/>
        </w:rPr>
        <w:t>“</w:t>
      </w:r>
      <w:r>
        <w:rPr>
          <w:rFonts w:hint="eastAsia" w:eastAsia="方正楷体_GBK"/>
          <w:color w:val="000000"/>
          <w:spacing w:val="-2"/>
          <w:sz w:val="24"/>
        </w:rPr>
        <w:t>三同时</w:t>
      </w:r>
      <w:r>
        <w:rPr>
          <w:rFonts w:eastAsia="方正楷体_GBK"/>
          <w:color w:val="000000"/>
          <w:spacing w:val="-2"/>
          <w:sz w:val="24"/>
        </w:rPr>
        <w:t>”</w:t>
      </w:r>
      <w:r>
        <w:rPr>
          <w:rFonts w:hint="eastAsia" w:eastAsia="方正楷体_GBK"/>
          <w:color w:val="000000"/>
          <w:spacing w:val="-2"/>
          <w:sz w:val="24"/>
        </w:rPr>
        <w:t>管理。</w:t>
      </w:r>
      <w:r>
        <w:rPr>
          <w:rFonts w:hint="eastAsia" w:eastAsia="方正仿宋_GBK"/>
          <w:color w:val="000000"/>
          <w:spacing w:val="-2"/>
          <w:sz w:val="24"/>
        </w:rPr>
        <w:t>根据</w:t>
      </w:r>
      <w:r>
        <w:rPr>
          <w:rFonts w:eastAsia="方正仿宋_GBK"/>
          <w:color w:val="000000"/>
          <w:spacing w:val="-2"/>
          <w:sz w:val="24"/>
        </w:rPr>
        <w:t>“</w:t>
      </w:r>
      <w:r>
        <w:rPr>
          <w:rFonts w:hint="eastAsia" w:eastAsia="方正仿宋_GBK"/>
          <w:color w:val="000000"/>
          <w:spacing w:val="-2"/>
          <w:sz w:val="24"/>
        </w:rPr>
        <w:t>统一规划、配套建设、合理利用</w:t>
      </w:r>
      <w:r>
        <w:rPr>
          <w:rFonts w:eastAsia="方正仿宋_GBK"/>
          <w:color w:val="000000"/>
          <w:spacing w:val="-2"/>
          <w:sz w:val="24"/>
        </w:rPr>
        <w:t>”</w:t>
      </w:r>
      <w:r>
        <w:rPr>
          <w:rFonts w:hint="eastAsia" w:eastAsia="方正仿宋_GBK"/>
          <w:color w:val="000000"/>
          <w:spacing w:val="-2"/>
          <w:sz w:val="24"/>
        </w:rPr>
        <w:t>的要求，城市新区开发、旧城改造工程，新建、扩建、改建道路、桥梁等市政工程，新建住宅工程等，按照燃气专项规划必须建设管道燃气设施的，管道燃气设施应当与主体工程同时设计、同时审查、同时施工、同时竣工验收。</w:t>
      </w:r>
    </w:p>
    <w:p>
      <w:pPr>
        <w:spacing w:line="440" w:lineRule="exact"/>
        <w:ind w:firstLine="462" w:firstLineChars="196"/>
        <w:jc w:val="left"/>
        <w:rPr>
          <w:rFonts w:eastAsia="方正仿宋_GBK"/>
          <w:color w:val="000000"/>
          <w:spacing w:val="-2"/>
          <w:kern w:val="0"/>
          <w:sz w:val="24"/>
        </w:rPr>
      </w:pPr>
      <w:r>
        <w:rPr>
          <w:rFonts w:hint="eastAsia" w:eastAsia="方正楷体_GBK"/>
          <w:color w:val="000000"/>
          <w:spacing w:val="-2"/>
          <w:sz w:val="24"/>
        </w:rPr>
        <w:t>（三）规范城镇燃气设施建设市场管理。</w:t>
      </w:r>
      <w:r>
        <w:rPr>
          <w:rFonts w:hint="eastAsia" w:eastAsia="方正仿宋_GBK"/>
          <w:color w:val="000000"/>
          <w:spacing w:val="-2"/>
          <w:kern w:val="0"/>
          <w:sz w:val="24"/>
        </w:rPr>
        <w:t>从事燃气设施项目勘察、设计、施工、监理的单位，应当依法取得相应等级的资质证书，并在其资质等级许可的范围内承揽工程。施工图审查应当由具有相应审查业务范围的审图机构进行；对审图机构暂不具有燃气相应审查业务的地区，可采取由建设（燃气）行政主管部门组织专家会审的形式进行审查，并将专家论证意见作为施工图审查结论。各市、县（市）建设（燃气）行政主管部门应加强质量、安全监督机构及人员队伍建设，可在现有机构及人员基础上，设置燃气工程质量安全监督科室，配备市政公用专业监督人员、仪器设备、监督车辆等；有条件的地区，可设立独立的市政公用质量、安全监督机构，强化燃气设施工程质量、安全、文明施工、竣工验收监督，严格执行相关标准和规范，确保燃气工程质量安全。</w:t>
      </w:r>
    </w:p>
    <w:p>
      <w:pPr>
        <w:spacing w:line="440" w:lineRule="exact"/>
        <w:ind w:firstLine="462" w:firstLineChars="196"/>
        <w:jc w:val="left"/>
        <w:rPr>
          <w:rFonts w:eastAsia="方正仿宋_GBK"/>
          <w:color w:val="000000"/>
          <w:spacing w:val="-2"/>
          <w:kern w:val="0"/>
          <w:sz w:val="24"/>
          <w:shd w:val="pct10" w:color="auto" w:fill="FFFFFF"/>
        </w:rPr>
      </w:pPr>
      <w:r>
        <w:rPr>
          <w:rFonts w:hint="eastAsia" w:eastAsia="方正楷体_GBK"/>
          <w:color w:val="000000"/>
          <w:spacing w:val="-2"/>
          <w:sz w:val="24"/>
        </w:rPr>
        <w:t>（四）强化燃气设施安全监管。</w:t>
      </w:r>
      <w:r>
        <w:rPr>
          <w:rFonts w:hint="eastAsia" w:eastAsia="方正仿宋_GBK"/>
          <w:color w:val="000000"/>
          <w:spacing w:val="-2"/>
          <w:kern w:val="0"/>
          <w:sz w:val="24"/>
        </w:rPr>
        <w:t>建设（燃气）行政主管部门应当会同规划、公安消防等部门按照国家相关规范划定燃气设施安全保护范围。在安全保护范围内，禁止建设建筑物、构筑物或者其他设施，禁止存放易燃易爆物品或者排放腐蚀性液体（气体）、开挖沟渠、挖坑取土、打桩或者顶进作业、从事爆破作业以及危及燃气设施安全的行为。按照城市政府职责分工，建设（燃气）、规划、城管等相关部门应当加强配合，对燃气设施安全间距范围内已存在的建（构）筑物依法责令限期拆除；对燃气设施运行单位巡查发现有可能影响燃气设施安全运行的行为，应及时采取措施加以制止。建设（燃气）行政主管部门要强化对燃气从业人员的安全培训和考核，逐步实行全员培训和持证上岗。</w:t>
      </w:r>
    </w:p>
    <w:p>
      <w:pPr>
        <w:spacing w:line="440" w:lineRule="exact"/>
        <w:ind w:firstLine="472" w:firstLineChars="200"/>
        <w:jc w:val="left"/>
        <w:rPr>
          <w:rFonts w:eastAsia="方正仿宋_GBK"/>
          <w:color w:val="000000"/>
          <w:spacing w:val="-2"/>
          <w:kern w:val="0"/>
          <w:sz w:val="24"/>
        </w:rPr>
      </w:pPr>
      <w:r>
        <w:rPr>
          <w:rFonts w:hint="eastAsia" w:eastAsia="方正楷体_GBK"/>
          <w:color w:val="000000"/>
          <w:spacing w:val="-2"/>
          <w:sz w:val="24"/>
        </w:rPr>
        <w:t>（五）规范零星市政燃气管道、单体建筑及小区庭院燃气管道工程的建设管理。</w:t>
      </w:r>
      <w:r>
        <w:rPr>
          <w:rFonts w:hint="eastAsia" w:eastAsia="方正仿宋_GBK"/>
          <w:color w:val="000000"/>
          <w:spacing w:val="-2"/>
          <w:kern w:val="0"/>
          <w:sz w:val="24"/>
        </w:rPr>
        <w:t>依附于市政道路新建的零星市政燃气管道、单体建筑配套的燃气管道、小区庭院燃气管道工程项目，可将市政道路、单体建筑工程项目批复作为其核准依据，办理相关报建、施工手续；道路改造、老小区改造配套的燃气管道以及危旧管道改造的工程项目可以捆绑的方式一次性由建设（燃气）主管部门下达建设任务，以建设任务文件办理相关报建、施工手续。</w:t>
      </w:r>
      <w:r>
        <w:rPr>
          <w:rFonts w:eastAsia="方正仿宋_GBK"/>
          <w:color w:val="000000"/>
          <w:spacing w:val="-2"/>
          <w:kern w:val="0"/>
          <w:sz w:val="24"/>
        </w:rPr>
        <w:t>30</w:t>
      </w:r>
      <w:r>
        <w:rPr>
          <w:rFonts w:hint="eastAsia" w:eastAsia="方正仿宋_GBK"/>
          <w:color w:val="000000"/>
          <w:spacing w:val="-2"/>
          <w:kern w:val="0"/>
          <w:sz w:val="24"/>
        </w:rPr>
        <w:t>万元以下燃气工程项目的建设质量和安全管理由建设单位自行负责，建设单位应当做好工程建设资料的整理归档工作，同时报送建设（燃气）主管部门和城建档案馆。</w:t>
      </w:r>
    </w:p>
    <w:p>
      <w:pPr>
        <w:spacing w:line="440" w:lineRule="exact"/>
        <w:ind w:firstLine="495" w:firstLineChars="210"/>
        <w:jc w:val="left"/>
        <w:rPr>
          <w:rFonts w:eastAsia="方正仿宋_GBK"/>
          <w:color w:val="000000"/>
          <w:spacing w:val="-2"/>
          <w:kern w:val="0"/>
          <w:sz w:val="24"/>
        </w:rPr>
      </w:pPr>
      <w:r>
        <w:rPr>
          <w:rFonts w:hint="eastAsia" w:eastAsia="方正楷体_GBK"/>
          <w:color w:val="000000"/>
          <w:spacing w:val="-2"/>
          <w:sz w:val="24"/>
        </w:rPr>
        <w:t>（六）强化城镇燃气设施建设和运行管理的执法工作。</w:t>
      </w:r>
      <w:r>
        <w:rPr>
          <w:rFonts w:hint="eastAsia" w:eastAsia="方正仿宋_GBK"/>
          <w:color w:val="000000"/>
          <w:spacing w:val="-2"/>
          <w:kern w:val="0"/>
          <w:sz w:val="24"/>
        </w:rPr>
        <w:t>各地建设（燃气）、规划、城管行政主管部门要高度重视燃气设施建设和运行管理，定期组织开展燃气工程建设和设施运行专项执法检查，对违反燃气设施工程建设和运行安全管理规定的行为，要按有关法律法规的规定予以查处。</w:t>
      </w:r>
    </w:p>
    <w:p>
      <w:pPr>
        <w:spacing w:line="440" w:lineRule="exact"/>
        <w:ind w:firstLine="495" w:firstLineChars="210"/>
        <w:jc w:val="left"/>
        <w:rPr>
          <w:rFonts w:eastAsia="方正仿宋_GBK"/>
          <w:color w:val="000000"/>
          <w:spacing w:val="-2"/>
          <w:kern w:val="0"/>
          <w:sz w:val="24"/>
        </w:rPr>
      </w:pPr>
      <w:r>
        <w:rPr>
          <w:rFonts w:hint="eastAsia" w:eastAsia="方正仿宋_GBK"/>
          <w:color w:val="000000"/>
          <w:spacing w:val="-2"/>
          <w:kern w:val="0"/>
          <w:sz w:val="24"/>
        </w:rPr>
        <w:t>本意见自</w:t>
      </w:r>
      <w:r>
        <w:rPr>
          <w:rFonts w:eastAsia="方正仿宋_GBK"/>
          <w:color w:val="000000"/>
          <w:spacing w:val="-2"/>
          <w:kern w:val="0"/>
          <w:sz w:val="24"/>
        </w:rPr>
        <w:t>2014</w:t>
      </w:r>
      <w:r>
        <w:rPr>
          <w:rFonts w:hint="eastAsia" w:eastAsia="方正仿宋_GBK"/>
          <w:color w:val="000000"/>
          <w:spacing w:val="-2"/>
          <w:kern w:val="0"/>
          <w:sz w:val="24"/>
        </w:rPr>
        <w:t>年</w:t>
      </w:r>
      <w:r>
        <w:rPr>
          <w:rFonts w:eastAsia="方正仿宋_GBK"/>
          <w:color w:val="000000"/>
          <w:spacing w:val="-2"/>
          <w:kern w:val="0"/>
          <w:sz w:val="24"/>
        </w:rPr>
        <w:t>7</w:t>
      </w:r>
      <w:r>
        <w:rPr>
          <w:rFonts w:hint="eastAsia" w:eastAsia="方正仿宋_GBK"/>
          <w:color w:val="000000"/>
          <w:spacing w:val="-2"/>
          <w:kern w:val="0"/>
          <w:sz w:val="24"/>
        </w:rPr>
        <w:t>月</w:t>
      </w:r>
      <w:r>
        <w:rPr>
          <w:rFonts w:eastAsia="方正仿宋_GBK"/>
          <w:color w:val="000000"/>
          <w:spacing w:val="-2"/>
          <w:kern w:val="0"/>
          <w:sz w:val="24"/>
        </w:rPr>
        <w:t>1</w:t>
      </w:r>
      <w:r>
        <w:rPr>
          <w:rFonts w:hint="eastAsia" w:eastAsia="方正仿宋_GBK"/>
          <w:color w:val="000000"/>
          <w:spacing w:val="-2"/>
          <w:kern w:val="0"/>
          <w:sz w:val="24"/>
        </w:rPr>
        <w:t>日起施行。各地可结合当地实际，制定相应的管理规定；在实施过程中有何意见和建议，请及时函告我厅。</w:t>
      </w:r>
    </w:p>
    <w:p>
      <w:pPr>
        <w:spacing w:line="440" w:lineRule="exact"/>
        <w:ind w:right="439" w:firstLine="4720" w:firstLineChars="2000"/>
        <w:jc w:val="right"/>
        <w:rPr>
          <w:rFonts w:eastAsia="方正仿宋_GBK"/>
          <w:color w:val="000000"/>
          <w:spacing w:val="-2"/>
          <w:kern w:val="0"/>
          <w:sz w:val="24"/>
        </w:rPr>
      </w:pPr>
      <w:r>
        <w:rPr>
          <w:rFonts w:hint="eastAsia" w:eastAsia="方正仿宋_GBK"/>
          <w:color w:val="000000"/>
          <w:spacing w:val="-2"/>
          <w:kern w:val="0"/>
          <w:sz w:val="24"/>
        </w:rPr>
        <w:t>江苏省住房和城乡建设厅</w:t>
      </w:r>
    </w:p>
    <w:p>
      <w:pPr>
        <w:spacing w:line="440" w:lineRule="exact"/>
        <w:ind w:firstLine="5664" w:firstLineChars="2400"/>
        <w:rPr>
          <w:rFonts w:eastAsia="方正仿宋_GBK"/>
          <w:color w:val="000000"/>
          <w:spacing w:val="-2"/>
          <w:kern w:val="0"/>
          <w:sz w:val="24"/>
        </w:rPr>
      </w:pPr>
      <w:r>
        <w:rPr>
          <w:rFonts w:eastAsia="方正仿宋_GBK"/>
          <w:color w:val="000000"/>
          <w:spacing w:val="-2"/>
          <w:kern w:val="0"/>
          <w:sz w:val="24"/>
        </w:rPr>
        <w:t xml:space="preserve">    2014</w:t>
      </w:r>
      <w:r>
        <w:rPr>
          <w:rFonts w:hint="eastAsia" w:eastAsia="方正仿宋_GBK"/>
          <w:color w:val="000000"/>
          <w:spacing w:val="-2"/>
          <w:kern w:val="0"/>
          <w:sz w:val="24"/>
        </w:rPr>
        <w:t>年</w:t>
      </w:r>
      <w:r>
        <w:rPr>
          <w:rFonts w:eastAsia="方正仿宋_GBK"/>
          <w:color w:val="000000"/>
          <w:spacing w:val="-2"/>
          <w:kern w:val="0"/>
          <w:sz w:val="24"/>
        </w:rPr>
        <w:t>5</w:t>
      </w:r>
      <w:r>
        <w:rPr>
          <w:rFonts w:hint="eastAsia" w:eastAsia="方正仿宋_GBK"/>
          <w:color w:val="000000"/>
          <w:spacing w:val="-2"/>
          <w:kern w:val="0"/>
          <w:sz w:val="24"/>
        </w:rPr>
        <w:t>月</w:t>
      </w:r>
      <w:r>
        <w:rPr>
          <w:rFonts w:eastAsia="方正仿宋_GBK"/>
          <w:color w:val="000000"/>
          <w:spacing w:val="-2"/>
          <w:kern w:val="0"/>
          <w:sz w:val="24"/>
        </w:rPr>
        <w:t>20</w:t>
      </w:r>
      <w:r>
        <w:rPr>
          <w:rFonts w:hint="eastAsia" w:eastAsia="方正仿宋_GBK"/>
          <w:color w:val="000000"/>
          <w:spacing w:val="-2"/>
          <w:kern w:val="0"/>
          <w:sz w:val="24"/>
        </w:rPr>
        <w:t>日</w:t>
      </w:r>
    </w:p>
    <w:p/>
    <w:p/>
    <w:p/>
    <w:p/>
    <w:p/>
    <w:p>
      <w:pPr>
        <w:pStyle w:val="2"/>
        <w:spacing w:before="240" w:beforeLines="100" w:after="240" w:afterLines="100" w:line="240" w:lineRule="auto"/>
        <w:jc w:val="center"/>
        <w:rPr>
          <w:rFonts w:ascii="Times New Roman" w:eastAsia="方正小标宋_GBK"/>
          <w:b w:val="0"/>
          <w:sz w:val="36"/>
          <w:szCs w:val="36"/>
        </w:rPr>
      </w:pPr>
      <w:bookmarkStart w:id="137" w:name="_Toc18315484"/>
      <w:bookmarkStart w:id="138" w:name="_Toc20726402"/>
      <w:r>
        <w:rPr>
          <w:rFonts w:hint="eastAsia" w:ascii="Times New Roman" w:eastAsia="方正小标宋_GBK"/>
          <w:b w:val="0"/>
          <w:sz w:val="36"/>
          <w:szCs w:val="36"/>
        </w:rPr>
        <w:t>省住房城乡建设厅 省物价局 省公安厅 省卫生计生委关于转发《关于加强和改进城镇居民二次供水设施建设与管理确保水质安全的通知》的通知</w:t>
      </w:r>
      <w:bookmarkEnd w:id="137"/>
      <w:bookmarkEnd w:id="138"/>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139" w:name="_Toc18315485"/>
      <w:bookmarkStart w:id="140" w:name="_Toc20726403"/>
      <w:r>
        <w:rPr>
          <w:rFonts w:hint="eastAsia" w:ascii="Times New Roman" w:hAnsi="Times New Roman" w:eastAsia="方正楷体_GBK"/>
          <w:b w:val="0"/>
          <w:sz w:val="24"/>
          <w:szCs w:val="24"/>
        </w:rPr>
        <w:t>苏建城〔</w:t>
      </w:r>
      <w:r>
        <w:rPr>
          <w:rFonts w:ascii="Times New Roman" w:hAnsi="Times New Roman" w:eastAsia="方正楷体_GBK"/>
          <w:b w:val="0"/>
          <w:sz w:val="24"/>
          <w:szCs w:val="24"/>
        </w:rPr>
        <w:t>2015</w:t>
      </w:r>
      <w:r>
        <w:rPr>
          <w:rFonts w:hint="eastAsia" w:ascii="Times New Roman" w:hAnsi="Times New Roman" w:eastAsia="方正楷体_GBK"/>
          <w:b w:val="0"/>
          <w:sz w:val="24"/>
          <w:szCs w:val="24"/>
        </w:rPr>
        <w:t>〕</w:t>
      </w:r>
      <w:r>
        <w:rPr>
          <w:rFonts w:ascii="Times New Roman" w:hAnsi="Times New Roman" w:eastAsia="方正楷体_GBK"/>
          <w:b w:val="0"/>
          <w:sz w:val="24"/>
          <w:szCs w:val="24"/>
        </w:rPr>
        <w:t>235</w:t>
      </w:r>
      <w:r>
        <w:rPr>
          <w:rFonts w:hint="eastAsia" w:ascii="Times New Roman" w:hAnsi="Times New Roman" w:eastAsia="方正楷体_GBK"/>
          <w:b w:val="0"/>
          <w:sz w:val="24"/>
          <w:szCs w:val="24"/>
        </w:rPr>
        <w:t>号</w:t>
      </w:r>
      <w:bookmarkEnd w:id="139"/>
      <w:bookmarkEnd w:id="140"/>
    </w:p>
    <w:p>
      <w:pPr>
        <w:spacing w:line="460" w:lineRule="exact"/>
        <w:rPr>
          <w:rFonts w:eastAsia="方正仿宋_GBK"/>
          <w:color w:val="000000"/>
          <w:spacing w:val="-2"/>
          <w:sz w:val="24"/>
        </w:rPr>
      </w:pPr>
      <w:r>
        <w:rPr>
          <w:rFonts w:hint="eastAsia" w:eastAsia="方正仿宋_GBK"/>
          <w:color w:val="000000"/>
          <w:spacing w:val="-2"/>
          <w:sz w:val="24"/>
        </w:rPr>
        <w:t>各省辖市建设局（委），无锡市市政园林局，徐州、苏州、宿迁市水务局，昆山市建设局，泰兴市、沭阳县水务局，各市、县物价局、公安局、卫生局：</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为贯彻落实《国务院关于加强城市基础设施建设的意见》（国发〔</w:t>
      </w:r>
      <w:r>
        <w:rPr>
          <w:rFonts w:eastAsia="方正仿宋_GBK"/>
          <w:color w:val="000000"/>
          <w:spacing w:val="-2"/>
          <w:sz w:val="24"/>
        </w:rPr>
        <w:t>2013</w:t>
      </w:r>
      <w:r>
        <w:rPr>
          <w:rFonts w:hint="eastAsia" w:eastAsia="方正仿宋_GBK"/>
          <w:color w:val="000000"/>
          <w:spacing w:val="-2"/>
          <w:sz w:val="24"/>
        </w:rPr>
        <w:t>〕</w:t>
      </w:r>
      <w:r>
        <w:rPr>
          <w:rFonts w:eastAsia="方正仿宋_GBK"/>
          <w:color w:val="000000"/>
          <w:spacing w:val="-2"/>
          <w:sz w:val="24"/>
        </w:rPr>
        <w:t>36</w:t>
      </w:r>
      <w:r>
        <w:rPr>
          <w:rFonts w:hint="eastAsia" w:eastAsia="方正仿宋_GBK"/>
          <w:color w:val="000000"/>
          <w:spacing w:val="-2"/>
          <w:sz w:val="24"/>
        </w:rPr>
        <w:t>号），住房城乡建设部、国家发展改革委、公安部、国家卫生计生委联合下发了《关于加强和改进城镇居民二次供水设施建设与管理确保水质安全的通知》（建城〔</w:t>
      </w:r>
      <w:r>
        <w:rPr>
          <w:rFonts w:eastAsia="方正仿宋_GBK"/>
          <w:color w:val="000000"/>
          <w:spacing w:val="-2"/>
          <w:sz w:val="24"/>
        </w:rPr>
        <w:t>2015</w:t>
      </w:r>
      <w:r>
        <w:rPr>
          <w:rFonts w:hint="eastAsia" w:eastAsia="方正仿宋_GBK"/>
          <w:color w:val="000000"/>
          <w:spacing w:val="-2"/>
          <w:sz w:val="24"/>
        </w:rPr>
        <w:t>〕</w:t>
      </w:r>
      <w:r>
        <w:rPr>
          <w:rFonts w:eastAsia="方正仿宋_GBK"/>
          <w:color w:val="000000"/>
          <w:spacing w:val="-2"/>
          <w:sz w:val="24"/>
        </w:rPr>
        <w:t>31</w:t>
      </w:r>
      <w:r>
        <w:rPr>
          <w:rFonts w:hint="eastAsia" w:eastAsia="方正仿宋_GBK"/>
          <w:color w:val="000000"/>
          <w:spacing w:val="-2"/>
          <w:sz w:val="24"/>
        </w:rPr>
        <w:t>号），现转发给你们，并提出如下意见，请一并贯彻执行。</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一、高度重视城镇居民二次供水设施建设改造与管理工作</w:t>
      </w:r>
    </w:p>
    <w:p>
      <w:pPr>
        <w:spacing w:line="460" w:lineRule="exact"/>
        <w:ind w:firstLine="472" w:firstLineChars="200"/>
        <w:rPr>
          <w:rFonts w:hint="eastAsia" w:eastAsia="方正仿宋_GBK"/>
          <w:color w:val="000000"/>
          <w:spacing w:val="-2"/>
          <w:sz w:val="24"/>
        </w:rPr>
      </w:pPr>
      <w:r>
        <w:rPr>
          <w:rFonts w:hint="eastAsia" w:eastAsia="方正仿宋_GBK"/>
          <w:color w:val="000000"/>
          <w:spacing w:val="-2"/>
          <w:sz w:val="24"/>
        </w:rPr>
        <w:t>由于原有二次供水设施建设和管理多元化，监管职责不明晰，导致城镇老旧居民二次供水设施建设和管理达不到《二次供水设施卫生规范》和江苏省《居民住宅二次供水工程技术规程》要求，存在施工质量参差不齐，日常维护管理不到位，跑冒滴漏严重，治安隐患多，易发生饮用水二次污染等问题。据统计，我省二次供水水质投诉约占自来水投诉的</w:t>
      </w:r>
      <w:r>
        <w:rPr>
          <w:rFonts w:eastAsia="方正仿宋_GBK"/>
          <w:color w:val="000000"/>
          <w:spacing w:val="-2"/>
          <w:sz w:val="24"/>
        </w:rPr>
        <w:t>60%</w:t>
      </w:r>
      <w:r>
        <w:rPr>
          <w:rFonts w:hint="eastAsia" w:eastAsia="方正仿宋_GBK"/>
          <w:color w:val="000000"/>
          <w:spacing w:val="-2"/>
          <w:sz w:val="24"/>
        </w:rPr>
        <w:t>以上。此外，由于原有二次供水模式均采用总分表制，造成水费收缴困难，用户水价同城不同价，供水矛盾突出。为此，《江苏省城乡供水管理条例》（以下简称《条例》）明确规定了新、老居民住宅小区二次供水设施的建设和运行管理体制。各地要认真贯彻落实《条例》要求</w:t>
      </w:r>
      <w:r>
        <w:rPr>
          <w:rFonts w:eastAsia="方正仿宋_GBK"/>
          <w:color w:val="000000"/>
          <w:spacing w:val="-2"/>
          <w:sz w:val="24"/>
        </w:rPr>
        <w:t>,</w:t>
      </w:r>
      <w:r>
        <w:rPr>
          <w:rFonts w:hint="eastAsia" w:eastAsia="方正仿宋_GBK"/>
          <w:color w:val="000000"/>
          <w:spacing w:val="-2"/>
          <w:sz w:val="24"/>
        </w:rPr>
        <w:t>将保障二次供水安全提升到改善民生和反恐战略的高度，多渠道筹措改造资金、落实监管责任，加快推进二次供水设施改造、规范二次供水设施运行管理，提升公共服务水平，从根本上保障城市供水安全。</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二、城镇居民二次供水设施改造目标</w:t>
      </w:r>
    </w:p>
    <w:p>
      <w:pPr>
        <w:spacing w:line="460" w:lineRule="exact"/>
        <w:ind w:firstLine="472" w:firstLineChars="200"/>
        <w:rPr>
          <w:rFonts w:hint="eastAsia" w:eastAsia="方正仿宋_GBK"/>
          <w:color w:val="000000"/>
          <w:spacing w:val="-2"/>
          <w:sz w:val="24"/>
        </w:rPr>
      </w:pPr>
      <w:r>
        <w:rPr>
          <w:rFonts w:hint="eastAsia" w:eastAsia="方正仿宋_GBK"/>
          <w:color w:val="000000"/>
          <w:spacing w:val="-2"/>
          <w:sz w:val="24"/>
        </w:rPr>
        <w:t>将老旧居民二次供水设施改造与抄表到户、</w:t>
      </w:r>
      <w:r>
        <w:rPr>
          <w:rFonts w:eastAsia="方正仿宋_GBK"/>
          <w:color w:val="000000"/>
          <w:spacing w:val="-2"/>
          <w:sz w:val="24"/>
        </w:rPr>
        <w:t>“</w:t>
      </w:r>
      <w:r>
        <w:rPr>
          <w:rFonts w:hint="eastAsia" w:eastAsia="方正仿宋_GBK"/>
          <w:color w:val="000000"/>
          <w:spacing w:val="-2"/>
          <w:sz w:val="24"/>
        </w:rPr>
        <w:t>一户一表</w:t>
      </w:r>
      <w:r>
        <w:rPr>
          <w:rFonts w:eastAsia="方正仿宋_GBK"/>
          <w:color w:val="000000"/>
          <w:spacing w:val="-2"/>
          <w:sz w:val="24"/>
        </w:rPr>
        <w:t>”</w:t>
      </w:r>
      <w:r>
        <w:rPr>
          <w:rFonts w:hint="eastAsia" w:eastAsia="方正仿宋_GBK"/>
          <w:color w:val="000000"/>
          <w:spacing w:val="-2"/>
          <w:sz w:val="24"/>
        </w:rPr>
        <w:t>改造和安全防范设施建设等统筹实施，加强物防、技防建设，推行封闭管理模式。</w:t>
      </w:r>
      <w:r>
        <w:rPr>
          <w:rFonts w:eastAsia="方正仿宋_GBK"/>
          <w:color w:val="000000"/>
          <w:spacing w:val="-2"/>
          <w:sz w:val="24"/>
        </w:rPr>
        <w:t>2015</w:t>
      </w:r>
      <w:r>
        <w:rPr>
          <w:rFonts w:hint="eastAsia" w:eastAsia="方正仿宋_GBK"/>
          <w:color w:val="000000"/>
          <w:spacing w:val="-2"/>
          <w:sz w:val="24"/>
        </w:rPr>
        <w:t>年底前，完成</w:t>
      </w:r>
      <w:r>
        <w:rPr>
          <w:rFonts w:eastAsia="方正仿宋_GBK"/>
          <w:color w:val="000000"/>
          <w:spacing w:val="-2"/>
          <w:sz w:val="24"/>
        </w:rPr>
        <w:t>60%</w:t>
      </w:r>
      <w:r>
        <w:rPr>
          <w:rFonts w:hint="eastAsia" w:eastAsia="方正仿宋_GBK"/>
          <w:color w:val="000000"/>
          <w:spacing w:val="-2"/>
          <w:sz w:val="24"/>
        </w:rPr>
        <w:t>以上城镇居民老旧住宅小区二次供水设施和抄表到户的改造和统一管理，设市城市应全面实行居民阶梯水价；</w:t>
      </w:r>
      <w:r>
        <w:rPr>
          <w:rFonts w:eastAsia="方正仿宋_GBK"/>
          <w:color w:val="000000"/>
          <w:spacing w:val="-2"/>
          <w:sz w:val="24"/>
        </w:rPr>
        <w:t>2017</w:t>
      </w:r>
      <w:r>
        <w:rPr>
          <w:rFonts w:hint="eastAsia" w:eastAsia="方正仿宋_GBK"/>
          <w:color w:val="000000"/>
          <w:spacing w:val="-2"/>
          <w:sz w:val="24"/>
        </w:rPr>
        <w:t>年底前基本完成城镇居民老旧住宅小区二次供水设施和抄表到户的改造和统一管理。对于部分二次供水设施存量较大难以在上述时限完成的城市，</w:t>
      </w:r>
      <w:r>
        <w:rPr>
          <w:rFonts w:eastAsia="方正仿宋_GBK"/>
          <w:color w:val="000000"/>
          <w:spacing w:val="-2"/>
          <w:sz w:val="24"/>
        </w:rPr>
        <w:t xml:space="preserve"> 2020</w:t>
      </w:r>
      <w:r>
        <w:rPr>
          <w:rFonts w:hint="eastAsia" w:eastAsia="方正仿宋_GBK"/>
          <w:color w:val="000000"/>
          <w:spacing w:val="-2"/>
          <w:sz w:val="24"/>
        </w:rPr>
        <w:t>年要全面完成，并制定全面改造和统一管理的具体实施方案并明确时间节点，报省住房城乡建设厅备案。</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三、全力做好城镇居民二次供水设施的改造与管理工作</w:t>
      </w:r>
    </w:p>
    <w:p>
      <w:pPr>
        <w:spacing w:line="460" w:lineRule="exact"/>
        <w:ind w:firstLine="472" w:firstLineChars="200"/>
        <w:rPr>
          <w:rFonts w:hint="eastAsia" w:eastAsia="方正仿宋_GBK"/>
          <w:color w:val="000000"/>
          <w:spacing w:val="-2"/>
          <w:sz w:val="24"/>
        </w:rPr>
      </w:pPr>
      <w:r>
        <w:rPr>
          <w:rFonts w:eastAsia="方正楷体_GBK"/>
          <w:color w:val="000000"/>
          <w:spacing w:val="-2"/>
          <w:sz w:val="24"/>
        </w:rPr>
        <w:t>1</w:t>
      </w:r>
      <w:r>
        <w:rPr>
          <w:rFonts w:hint="eastAsia" w:eastAsia="方正楷体_GBK"/>
          <w:color w:val="000000"/>
          <w:spacing w:val="-2"/>
          <w:sz w:val="24"/>
        </w:rPr>
        <w:t>．规范新建住宅小区的二次供水设施建设。</w:t>
      </w:r>
      <w:r>
        <w:rPr>
          <w:rFonts w:hint="eastAsia" w:eastAsia="方正仿宋_GBK"/>
          <w:color w:val="000000"/>
          <w:spacing w:val="-2"/>
          <w:sz w:val="24"/>
        </w:rPr>
        <w:t>新建住宅小区要严格按照</w:t>
      </w:r>
      <w:r>
        <w:rPr>
          <w:rFonts w:eastAsia="方正仿宋_GBK"/>
          <w:color w:val="000000"/>
          <w:spacing w:val="-2"/>
          <w:sz w:val="24"/>
        </w:rPr>
        <w:t>“</w:t>
      </w:r>
      <w:r>
        <w:rPr>
          <w:rFonts w:hint="eastAsia" w:eastAsia="方正仿宋_GBK"/>
          <w:color w:val="000000"/>
          <w:spacing w:val="-2"/>
          <w:sz w:val="24"/>
        </w:rPr>
        <w:t>一户一表、水表出户</w:t>
      </w:r>
      <w:r>
        <w:rPr>
          <w:rFonts w:eastAsia="方正仿宋_GBK"/>
          <w:color w:val="000000"/>
          <w:spacing w:val="-2"/>
          <w:sz w:val="24"/>
        </w:rPr>
        <w:t>”</w:t>
      </w:r>
      <w:r>
        <w:rPr>
          <w:rFonts w:hint="eastAsia" w:eastAsia="方正仿宋_GBK"/>
          <w:color w:val="000000"/>
          <w:spacing w:val="-2"/>
          <w:sz w:val="24"/>
        </w:rPr>
        <w:t>的要求进行设计和建设；二次供水设施的设计应当符合国家和地方二次供水设施卫生规范、二次供水工程技术规程和安全防范等要求，并与主体工程同时设计、同时施工、同时交付使用。住房城乡建设（城市供水）部门要做好工程设计、施工图审查等各环节的审批工作，确保新建住宅小区二次供水设施的规范化建设。对新建住宅小区二次供水设施，其运行、维护和管理按照《条例》相关规定执行，在有供水企业参加验收合格的基础上，建设单位按照当地二次供水设施运行、维护和管理的指导性收费标准，与供水企业协商承担并交纳具体费用后，移交供水企业统一管理，并由供水企业抄表到户。</w:t>
      </w:r>
    </w:p>
    <w:p>
      <w:pPr>
        <w:spacing w:line="460" w:lineRule="exact"/>
        <w:ind w:firstLine="472" w:firstLineChars="200"/>
        <w:rPr>
          <w:rFonts w:eastAsia="方正仿宋_GBK"/>
          <w:color w:val="000000"/>
          <w:spacing w:val="-2"/>
          <w:sz w:val="24"/>
        </w:rPr>
      </w:pPr>
      <w:r>
        <w:rPr>
          <w:rFonts w:eastAsia="方正楷体_GBK"/>
          <w:color w:val="000000"/>
          <w:spacing w:val="-2"/>
          <w:sz w:val="24"/>
        </w:rPr>
        <w:t>2</w:t>
      </w:r>
      <w:r>
        <w:rPr>
          <w:rFonts w:hint="eastAsia" w:eastAsia="方正楷体_GBK"/>
          <w:color w:val="000000"/>
          <w:spacing w:val="-2"/>
          <w:sz w:val="24"/>
        </w:rPr>
        <w:t>．</w:t>
      </w:r>
      <w:r>
        <w:rPr>
          <w:rFonts w:hint="eastAsia" w:eastAsia="方正楷体_GBK"/>
          <w:color w:val="000000"/>
          <w:spacing w:val="2"/>
          <w:sz w:val="24"/>
        </w:rPr>
        <w:t>全面开展老旧住宅小区的二次供水设施改造工作。</w:t>
      </w:r>
      <w:r>
        <w:rPr>
          <w:rFonts w:hint="eastAsia" w:eastAsia="方正仿宋_GBK"/>
          <w:color w:val="000000"/>
          <w:spacing w:val="2"/>
          <w:sz w:val="24"/>
        </w:rPr>
        <w:t>老旧住宅小区的二次供水设施改造工作面广量大，各地住房城乡建设（城市供水）、卫生、公安等部门要会同供水企业，摸清本地老旧住宅小区的二次供水设施现状，按照二次供水技术规程和《江苏省城市公共供水行业反恐怖防范标准》要求，编制改造计划并明确资金筹措方式和来源，经当地政府批准后尽快组织实施。老旧住宅小区的二次供水设施按相应标准改造完成经验收合格，移交供水企业统一管理。为维持正常的供水秩序，现有二次供水设施移交前的</w:t>
      </w:r>
      <w:bookmarkStart w:id="141" w:name="OLE_LINK2"/>
      <w:r>
        <w:rPr>
          <w:rFonts w:hint="eastAsia" w:eastAsia="方正仿宋_GBK"/>
          <w:color w:val="000000"/>
          <w:spacing w:val="2"/>
          <w:sz w:val="24"/>
        </w:rPr>
        <w:t>管理</w:t>
      </w:r>
      <w:bookmarkEnd w:id="141"/>
      <w:r>
        <w:rPr>
          <w:rFonts w:hint="eastAsia" w:eastAsia="方正仿宋_GBK"/>
          <w:color w:val="000000"/>
          <w:spacing w:val="2"/>
          <w:sz w:val="24"/>
        </w:rPr>
        <w:t>体制和管理单位不变，对不符合技术、卫生和安全防范要求的二次供水设施，由当地住房城乡建设（城市供水）、卫生、公安等部门督促限期整改，逾期不整改的予以通报批评。</w:t>
      </w:r>
    </w:p>
    <w:p>
      <w:pPr>
        <w:spacing w:line="460" w:lineRule="exact"/>
        <w:ind w:firstLine="472" w:firstLineChars="200"/>
        <w:rPr>
          <w:rFonts w:eastAsia="方正仿宋_GBK"/>
          <w:color w:val="000000"/>
          <w:spacing w:val="-2"/>
          <w:sz w:val="24"/>
        </w:rPr>
      </w:pPr>
      <w:r>
        <w:rPr>
          <w:rFonts w:eastAsia="方正楷体_GBK"/>
          <w:color w:val="000000"/>
          <w:spacing w:val="-2"/>
          <w:sz w:val="24"/>
        </w:rPr>
        <w:t>3</w:t>
      </w:r>
      <w:r>
        <w:rPr>
          <w:rFonts w:hint="eastAsia" w:eastAsia="方正楷体_GBK"/>
          <w:color w:val="000000"/>
          <w:spacing w:val="-2"/>
          <w:sz w:val="24"/>
        </w:rPr>
        <w:t>．加强二次供水安全工作</w:t>
      </w:r>
      <w:r>
        <w:rPr>
          <w:rFonts w:hint="eastAsia" w:eastAsia="方正仿宋_GBK"/>
          <w:color w:val="000000"/>
          <w:spacing w:val="-2"/>
          <w:sz w:val="24"/>
        </w:rPr>
        <w:t>。承担二次供水运行维护的单位要严格按照安全运行、卫生管理、治安保卫等有关法规和标准规范，建立健全设施维护、清洗消毒、水质检测、持证上岗、档案管理、应急和治安防范等制度。配备专职或兼职安全生产、卫生管理、治安保卫人员，强化日常管理。各地住房城乡建设（城市供水）、卫生、公安等部门要对设施改造、运营维护、水质保障进行全过程监管，并督促二次供水运行维护单位按照《生活饮用水卫生标准》和相关技术规程要求，加强水质检测能力建设，全力做好二次供水水质检测工作，确保二次供水水质安全。</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四、切实加强对二次供水设施改造和管理的组织领导</w:t>
      </w:r>
    </w:p>
    <w:p>
      <w:pPr>
        <w:adjustRightInd w:val="0"/>
        <w:spacing w:line="460" w:lineRule="exact"/>
        <w:ind w:firstLine="472" w:firstLineChars="200"/>
        <w:rPr>
          <w:rFonts w:hint="eastAsia" w:eastAsia="方正仿宋_GBK"/>
          <w:color w:val="000000"/>
          <w:spacing w:val="-2"/>
          <w:sz w:val="24"/>
        </w:rPr>
      </w:pPr>
      <w:r>
        <w:rPr>
          <w:rFonts w:eastAsia="方正楷体_GBK"/>
          <w:color w:val="000000"/>
          <w:spacing w:val="-2"/>
          <w:sz w:val="24"/>
        </w:rPr>
        <w:t>1</w:t>
      </w:r>
      <w:r>
        <w:rPr>
          <w:rFonts w:hint="eastAsia" w:eastAsia="方正楷体_GBK"/>
          <w:color w:val="000000"/>
          <w:spacing w:val="-2"/>
          <w:sz w:val="24"/>
        </w:rPr>
        <w:t>．落实二次供水设施改造和运行管理费用。</w:t>
      </w:r>
      <w:r>
        <w:rPr>
          <w:rFonts w:hint="eastAsia" w:eastAsia="方正仿宋_GBK"/>
          <w:color w:val="000000"/>
          <w:spacing w:val="-2"/>
          <w:sz w:val="24"/>
        </w:rPr>
        <w:t>各地要因地制宜研究建立以政府、供水企业投入为主，居民合理分担，多渠道筹集资金的二次供水设施改造费用筹集机制。由各地价格主管部门会同住房城乡建设（城市供水）主管部门研究制定二次供水设施运行维护收费办法。按照弥补二次供水设施正常运行、水质安全保障及设施折旧、设备大修维修等费用支出的原则确定收费标准。按照《关于调整销售电价分类结构有关问题的通知》（发改价格〔</w:t>
      </w:r>
      <w:r>
        <w:rPr>
          <w:rFonts w:eastAsia="方正仿宋_GBK"/>
          <w:color w:val="000000"/>
          <w:spacing w:val="-2"/>
          <w:sz w:val="24"/>
        </w:rPr>
        <w:t>2013</w:t>
      </w:r>
      <w:r>
        <w:rPr>
          <w:rFonts w:hint="eastAsia" w:eastAsia="方正仿宋_GBK"/>
          <w:color w:val="000000"/>
          <w:spacing w:val="-2"/>
          <w:sz w:val="24"/>
        </w:rPr>
        <w:t>〕</w:t>
      </w:r>
      <w:r>
        <w:rPr>
          <w:rFonts w:eastAsia="方正仿宋_GBK"/>
          <w:color w:val="000000"/>
          <w:spacing w:val="-2"/>
          <w:sz w:val="24"/>
        </w:rPr>
        <w:t>973</w:t>
      </w:r>
      <w:r>
        <w:rPr>
          <w:rFonts w:hint="eastAsia" w:eastAsia="方正仿宋_GBK"/>
          <w:color w:val="000000"/>
          <w:spacing w:val="-2"/>
          <w:sz w:val="24"/>
        </w:rPr>
        <w:t>号）的要求，二次供水设施运行电价执行居民用电价格。</w:t>
      </w:r>
    </w:p>
    <w:p>
      <w:pPr>
        <w:adjustRightInd w:val="0"/>
        <w:spacing w:line="460" w:lineRule="exact"/>
        <w:ind w:firstLine="472" w:firstLineChars="200"/>
        <w:rPr>
          <w:rFonts w:eastAsia="方正仿宋_GBK"/>
          <w:color w:val="000000"/>
          <w:spacing w:val="-2"/>
          <w:sz w:val="24"/>
        </w:rPr>
      </w:pPr>
      <w:r>
        <w:rPr>
          <w:rFonts w:eastAsia="方正楷体_GBK"/>
          <w:color w:val="000000"/>
          <w:spacing w:val="-2"/>
          <w:sz w:val="24"/>
        </w:rPr>
        <w:t>2</w:t>
      </w:r>
      <w:r>
        <w:rPr>
          <w:rFonts w:hint="eastAsia" w:eastAsia="方正楷体_GBK"/>
          <w:color w:val="000000"/>
          <w:spacing w:val="-2"/>
          <w:sz w:val="24"/>
        </w:rPr>
        <w:t>．加强部门协调。</w:t>
      </w:r>
      <w:r>
        <w:rPr>
          <w:rFonts w:hint="eastAsia" w:eastAsia="方正仿宋_GBK"/>
          <w:color w:val="000000"/>
          <w:spacing w:val="-2"/>
          <w:sz w:val="24"/>
        </w:rPr>
        <w:t>住房城乡建设（城市供水）、卫生、公安、价格等部门要加强协调，形成政府统一领导、部门各负其责的工作机制，保障人民群众的饮用水安全。住房城乡建设（城市供水）部门要加强二次供水的日常监管，严把质量关，监督落实二次供水设施设计、建设和运行维护相关制度；卫生部门要强化居民二次供水设施的卫生及日常水质监督管理，规范二次供水单位卫生管理，依法查处违法行为；价格部门负责建立健全二次供水设施运行维护收费制度，加强收费监管；公安部门要会同住房城乡建设（城市供水）部门指导监督二次供水运行维护单位严格执行治安保卫有关法律法规和标准规范，落实治安防范主体责任。</w:t>
      </w:r>
    </w:p>
    <w:p>
      <w:pPr>
        <w:spacing w:line="460" w:lineRule="exact"/>
        <w:ind w:firstLine="472" w:firstLineChars="200"/>
        <w:jc w:val="left"/>
        <w:rPr>
          <w:rFonts w:eastAsia="方正仿宋_GBK"/>
          <w:color w:val="000000"/>
          <w:spacing w:val="-2"/>
          <w:sz w:val="24"/>
        </w:rPr>
      </w:pPr>
      <w:r>
        <w:rPr>
          <w:rFonts w:hint="eastAsia" w:eastAsia="方正仿宋_GBK"/>
          <w:color w:val="000000"/>
          <w:spacing w:val="-2"/>
          <w:sz w:val="24"/>
        </w:rPr>
        <w:t>执行中具体问题及时与省住房城乡建设厅城建处联系，联系人：熊正龙，联系电话：</w:t>
      </w:r>
      <w:r>
        <w:rPr>
          <w:rFonts w:eastAsia="方正仿宋_GBK"/>
          <w:color w:val="000000"/>
          <w:spacing w:val="-2"/>
          <w:sz w:val="24"/>
        </w:rPr>
        <w:t>025-51868622</w:t>
      </w:r>
      <w:r>
        <w:rPr>
          <w:rFonts w:hint="eastAsia" w:eastAsia="方正仿宋_GBK"/>
          <w:color w:val="000000"/>
          <w:spacing w:val="-2"/>
          <w:sz w:val="24"/>
        </w:rPr>
        <w:t>。</w:t>
      </w:r>
    </w:p>
    <w:p>
      <w:pPr>
        <w:spacing w:line="460" w:lineRule="exact"/>
        <w:rPr>
          <w:rFonts w:eastAsia="方正仿宋_GBK"/>
          <w:color w:val="000000"/>
          <w:spacing w:val="-2"/>
          <w:sz w:val="24"/>
        </w:rPr>
      </w:pP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附件：《住房城乡建设部</w:t>
      </w:r>
      <w:r>
        <w:rPr>
          <w:rFonts w:eastAsia="方正仿宋_GBK"/>
          <w:color w:val="000000"/>
          <w:spacing w:val="-2"/>
          <w:sz w:val="24"/>
        </w:rPr>
        <w:t xml:space="preserve"> </w:t>
      </w:r>
      <w:r>
        <w:rPr>
          <w:rFonts w:hint="eastAsia" w:eastAsia="方正仿宋_GBK"/>
          <w:color w:val="000000"/>
          <w:spacing w:val="-2"/>
          <w:sz w:val="24"/>
        </w:rPr>
        <w:t>国家发展改革委</w:t>
      </w:r>
      <w:r>
        <w:rPr>
          <w:rFonts w:eastAsia="方正仿宋_GBK"/>
          <w:color w:val="000000"/>
          <w:spacing w:val="-2"/>
          <w:sz w:val="24"/>
        </w:rPr>
        <w:t xml:space="preserve"> </w:t>
      </w:r>
      <w:r>
        <w:rPr>
          <w:rFonts w:hint="eastAsia" w:eastAsia="方正仿宋_GBK"/>
          <w:color w:val="000000"/>
          <w:spacing w:val="-2"/>
          <w:sz w:val="24"/>
        </w:rPr>
        <w:t>公安部</w:t>
      </w:r>
      <w:r>
        <w:rPr>
          <w:rFonts w:eastAsia="方正仿宋_GBK"/>
          <w:color w:val="000000"/>
          <w:spacing w:val="-2"/>
          <w:sz w:val="24"/>
        </w:rPr>
        <w:t xml:space="preserve"> </w:t>
      </w:r>
      <w:r>
        <w:rPr>
          <w:rFonts w:hint="eastAsia" w:eastAsia="方正仿宋_GBK"/>
          <w:color w:val="000000"/>
          <w:spacing w:val="-2"/>
          <w:sz w:val="24"/>
        </w:rPr>
        <w:t>国家卫生计生委关于加强和改</w:t>
      </w:r>
    </w:p>
    <w:p>
      <w:pPr>
        <w:spacing w:line="460" w:lineRule="exact"/>
        <w:ind w:firstLine="1130" w:firstLineChars="479"/>
        <w:rPr>
          <w:rFonts w:eastAsia="方正仿宋_GBK"/>
          <w:color w:val="000000"/>
          <w:spacing w:val="-2"/>
          <w:sz w:val="24"/>
        </w:rPr>
      </w:pPr>
      <w:r>
        <w:rPr>
          <w:rFonts w:hint="eastAsia" w:eastAsia="方正仿宋_GBK"/>
          <w:color w:val="000000"/>
          <w:spacing w:val="-2"/>
          <w:sz w:val="24"/>
        </w:rPr>
        <w:t>进城镇居民二次供水设施建设与管理确保水质安全的通知》（建城〔</w:t>
      </w:r>
      <w:r>
        <w:rPr>
          <w:rFonts w:eastAsia="方正仿宋_GBK"/>
          <w:color w:val="000000"/>
          <w:spacing w:val="-2"/>
          <w:sz w:val="24"/>
        </w:rPr>
        <w:t>2015</w:t>
      </w:r>
      <w:r>
        <w:rPr>
          <w:rFonts w:hint="eastAsia" w:eastAsia="方正仿宋_GBK"/>
          <w:color w:val="000000"/>
          <w:spacing w:val="-2"/>
          <w:sz w:val="24"/>
        </w:rPr>
        <w:t>〕</w:t>
      </w:r>
    </w:p>
    <w:p>
      <w:pPr>
        <w:spacing w:line="460" w:lineRule="exact"/>
        <w:ind w:firstLine="1130" w:firstLineChars="479"/>
        <w:rPr>
          <w:rFonts w:eastAsia="方正仿宋_GBK"/>
          <w:color w:val="000000"/>
          <w:spacing w:val="-2"/>
          <w:sz w:val="24"/>
        </w:rPr>
      </w:pPr>
      <w:r>
        <w:rPr>
          <w:rFonts w:eastAsia="方正仿宋_GBK"/>
          <w:color w:val="000000"/>
          <w:spacing w:val="-2"/>
          <w:sz w:val="24"/>
        </w:rPr>
        <w:t>31</w:t>
      </w:r>
      <w:r>
        <w:rPr>
          <w:rFonts w:hint="eastAsia" w:eastAsia="方正仿宋_GBK"/>
          <w:color w:val="000000"/>
          <w:spacing w:val="-2"/>
          <w:sz w:val="24"/>
        </w:rPr>
        <w:t>号）</w:t>
      </w:r>
    </w:p>
    <w:p>
      <w:pPr>
        <w:spacing w:line="460" w:lineRule="exact"/>
        <w:rPr>
          <w:rFonts w:eastAsia="方正仿宋_GBK"/>
          <w:color w:val="000000"/>
          <w:spacing w:val="-2"/>
          <w:sz w:val="24"/>
        </w:rPr>
      </w:pPr>
    </w:p>
    <w:p>
      <w:pPr>
        <w:wordWrap w:val="0"/>
        <w:spacing w:line="460" w:lineRule="exact"/>
        <w:jc w:val="right"/>
        <w:rPr>
          <w:rFonts w:eastAsia="方正仿宋_GBK"/>
          <w:color w:val="000000"/>
          <w:spacing w:val="168"/>
          <w:kern w:val="0"/>
          <w:sz w:val="24"/>
        </w:rPr>
      </w:pPr>
      <w:r>
        <w:rPr>
          <w:rFonts w:hint="eastAsia" w:eastAsia="方正仿宋_GBK"/>
          <w:color w:val="000000"/>
          <w:spacing w:val="24"/>
          <w:kern w:val="0"/>
          <w:sz w:val="24"/>
        </w:rPr>
        <w:t>江苏省住房和城乡建设</w:t>
      </w:r>
      <w:r>
        <w:rPr>
          <w:rFonts w:hint="eastAsia" w:eastAsia="方正仿宋_GBK"/>
          <w:color w:val="000000"/>
          <w:kern w:val="0"/>
          <w:sz w:val="24"/>
        </w:rPr>
        <w:t>厅</w:t>
      </w:r>
      <w:r>
        <w:rPr>
          <w:rFonts w:eastAsia="方正仿宋_GBK"/>
          <w:color w:val="000000"/>
          <w:kern w:val="0"/>
          <w:sz w:val="24"/>
        </w:rPr>
        <w:t xml:space="preserve">    </w:t>
      </w:r>
    </w:p>
    <w:p>
      <w:pPr>
        <w:wordWrap w:val="0"/>
        <w:spacing w:line="460" w:lineRule="exact"/>
        <w:jc w:val="right"/>
        <w:rPr>
          <w:rFonts w:eastAsia="方正仿宋_GBK"/>
          <w:color w:val="000000"/>
          <w:spacing w:val="168"/>
          <w:kern w:val="0"/>
          <w:sz w:val="24"/>
        </w:rPr>
      </w:pPr>
      <w:r>
        <w:rPr>
          <w:rFonts w:hint="eastAsia" w:eastAsia="方正仿宋_GBK"/>
          <w:color w:val="000000"/>
          <w:spacing w:val="168"/>
          <w:kern w:val="0"/>
          <w:sz w:val="24"/>
        </w:rPr>
        <w:t>江苏省物价</w:t>
      </w:r>
      <w:r>
        <w:rPr>
          <w:rFonts w:hint="eastAsia" w:eastAsia="方正仿宋_GBK"/>
          <w:color w:val="000000"/>
          <w:kern w:val="0"/>
          <w:sz w:val="24"/>
        </w:rPr>
        <w:t>局</w:t>
      </w:r>
      <w:r>
        <w:rPr>
          <w:rFonts w:eastAsia="方正仿宋_GBK"/>
          <w:color w:val="000000"/>
          <w:kern w:val="0"/>
          <w:sz w:val="24"/>
        </w:rPr>
        <w:t xml:space="preserve">    </w:t>
      </w:r>
    </w:p>
    <w:p>
      <w:pPr>
        <w:wordWrap w:val="0"/>
        <w:spacing w:line="460" w:lineRule="exact"/>
        <w:jc w:val="right"/>
        <w:rPr>
          <w:rFonts w:eastAsia="方正仿宋_GBK"/>
          <w:color w:val="000000"/>
          <w:spacing w:val="-2"/>
          <w:kern w:val="0"/>
          <w:sz w:val="24"/>
        </w:rPr>
      </w:pPr>
      <w:r>
        <w:rPr>
          <w:rFonts w:hint="eastAsia" w:eastAsia="方正仿宋_GBK"/>
          <w:color w:val="000000"/>
          <w:spacing w:val="168"/>
          <w:kern w:val="0"/>
          <w:sz w:val="24"/>
        </w:rPr>
        <w:t>江苏省公安</w:t>
      </w:r>
      <w:r>
        <w:rPr>
          <w:rFonts w:hint="eastAsia" w:eastAsia="方正仿宋_GBK"/>
          <w:color w:val="000000"/>
          <w:kern w:val="0"/>
          <w:sz w:val="24"/>
        </w:rPr>
        <w:t>厅</w:t>
      </w:r>
      <w:r>
        <w:rPr>
          <w:rFonts w:eastAsia="方正仿宋_GBK"/>
          <w:color w:val="000000"/>
          <w:kern w:val="0"/>
          <w:sz w:val="24"/>
        </w:rPr>
        <w:t xml:space="preserve">    </w:t>
      </w:r>
    </w:p>
    <w:p>
      <w:pPr>
        <w:wordWrap w:val="0"/>
        <w:spacing w:line="460" w:lineRule="exact"/>
        <w:jc w:val="right"/>
        <w:rPr>
          <w:rFonts w:eastAsia="方正仿宋_GBK"/>
          <w:color w:val="000000"/>
          <w:spacing w:val="-2"/>
          <w:sz w:val="24"/>
        </w:rPr>
      </w:pPr>
      <w:r>
        <w:rPr>
          <w:rFonts w:hint="eastAsia" w:eastAsia="方正仿宋_GBK"/>
          <w:color w:val="000000"/>
          <w:spacing w:val="-2"/>
          <w:sz w:val="24"/>
        </w:rPr>
        <w:t>江苏省卫生和计划生育委员会</w:t>
      </w:r>
      <w:r>
        <w:rPr>
          <w:rFonts w:eastAsia="方正仿宋_GBK"/>
          <w:color w:val="000000"/>
          <w:spacing w:val="-2"/>
          <w:sz w:val="24"/>
        </w:rPr>
        <w:t xml:space="preserve">    </w:t>
      </w:r>
    </w:p>
    <w:p>
      <w:pPr>
        <w:wordWrap w:val="0"/>
        <w:spacing w:line="460" w:lineRule="exact"/>
        <w:ind w:firstLine="4366" w:firstLineChars="1850"/>
        <w:jc w:val="right"/>
        <w:rPr>
          <w:rFonts w:eastAsia="方正仿宋_GBK"/>
          <w:color w:val="000000"/>
          <w:spacing w:val="-2"/>
          <w:sz w:val="24"/>
        </w:rPr>
      </w:pPr>
      <w:r>
        <w:rPr>
          <w:rFonts w:eastAsia="方正仿宋_GBK"/>
          <w:color w:val="000000"/>
          <w:spacing w:val="-2"/>
          <w:kern w:val="0"/>
          <w:sz w:val="24"/>
        </w:rPr>
        <w:t>2015</w:t>
      </w:r>
      <w:r>
        <w:rPr>
          <w:rFonts w:hint="eastAsia" w:eastAsia="方正仿宋_GBK"/>
          <w:color w:val="000000"/>
          <w:spacing w:val="-2"/>
          <w:kern w:val="0"/>
          <w:sz w:val="24"/>
        </w:rPr>
        <w:t>年</w:t>
      </w:r>
      <w:r>
        <w:rPr>
          <w:rFonts w:eastAsia="方正仿宋_GBK"/>
          <w:color w:val="000000"/>
          <w:spacing w:val="-2"/>
          <w:kern w:val="0"/>
          <w:sz w:val="24"/>
        </w:rPr>
        <w:t>6</w:t>
      </w:r>
      <w:r>
        <w:rPr>
          <w:rFonts w:hint="eastAsia" w:eastAsia="方正仿宋_GBK"/>
          <w:color w:val="000000"/>
          <w:spacing w:val="-2"/>
          <w:kern w:val="0"/>
          <w:sz w:val="24"/>
        </w:rPr>
        <w:t>月</w:t>
      </w:r>
      <w:r>
        <w:rPr>
          <w:rFonts w:eastAsia="方正仿宋_GBK"/>
          <w:color w:val="000000"/>
          <w:spacing w:val="-2"/>
          <w:kern w:val="0"/>
          <w:sz w:val="24"/>
        </w:rPr>
        <w:t>8</w:t>
      </w:r>
      <w:r>
        <w:rPr>
          <w:rFonts w:hint="eastAsia" w:eastAsia="方正仿宋_GBK"/>
          <w:color w:val="000000"/>
          <w:spacing w:val="-2"/>
          <w:kern w:val="0"/>
          <w:sz w:val="24"/>
        </w:rPr>
        <w:t>日</w:t>
      </w:r>
      <w:r>
        <w:rPr>
          <w:rFonts w:eastAsia="方正仿宋_GBK"/>
          <w:color w:val="000000"/>
          <w:spacing w:val="-2"/>
          <w:kern w:val="0"/>
          <w:sz w:val="24"/>
        </w:rPr>
        <w:t xml:space="preserve">          </w:t>
      </w:r>
    </w:p>
    <w:p>
      <w:pPr>
        <w:spacing w:line="460" w:lineRule="exact"/>
        <w:rPr>
          <w:rFonts w:eastAsia="方正仿宋_GBK"/>
          <w:color w:val="000000"/>
          <w:spacing w:val="-2"/>
          <w:sz w:val="24"/>
        </w:rPr>
      </w:pPr>
    </w:p>
    <w:p>
      <w:pPr>
        <w:widowControl/>
        <w:jc w:val="left"/>
        <w:rPr>
          <w:rFonts w:eastAsia="方正仿宋_GBK"/>
          <w:color w:val="000000"/>
          <w:spacing w:val="-2"/>
          <w:sz w:val="24"/>
        </w:rPr>
        <w:sectPr>
          <w:pgSz w:w="11905" w:h="16838"/>
          <w:pgMar w:top="1701" w:right="1587" w:bottom="1701" w:left="1587" w:header="850" w:footer="1361" w:gutter="0"/>
          <w:paperSrc w:first="4" w:other="4"/>
          <w:cols w:space="720" w:num="1"/>
        </w:sectPr>
      </w:pPr>
    </w:p>
    <w:p>
      <w:pPr>
        <w:spacing w:line="460" w:lineRule="exact"/>
        <w:rPr>
          <w:rFonts w:ascii="Times New Roman" w:eastAsia="方正黑体_GBK"/>
          <w:color w:val="000000"/>
          <w:spacing w:val="-2"/>
          <w:sz w:val="28"/>
          <w:szCs w:val="28"/>
        </w:rPr>
      </w:pPr>
      <w:r>
        <w:rPr>
          <w:rFonts w:hint="eastAsia" w:ascii="Times New Roman" w:eastAsia="方正黑体_GBK"/>
          <w:color w:val="000000"/>
          <w:spacing w:val="-2"/>
          <w:sz w:val="28"/>
          <w:szCs w:val="28"/>
        </w:rPr>
        <w:t>附件：</w:t>
      </w:r>
    </w:p>
    <w:p>
      <w:pPr>
        <w:spacing w:line="460" w:lineRule="exact"/>
        <w:rPr>
          <w:rFonts w:hint="eastAsia" w:eastAsia="方正仿宋_GBK"/>
          <w:color w:val="000000"/>
          <w:spacing w:val="-2"/>
          <w:sz w:val="24"/>
        </w:rPr>
      </w:pPr>
    </w:p>
    <w:p>
      <w:pPr>
        <w:spacing w:line="460" w:lineRule="exact"/>
        <w:jc w:val="center"/>
        <w:rPr>
          <w:rFonts w:ascii="Times New Roman" w:eastAsia="方正黑体_GBK"/>
          <w:color w:val="000000"/>
          <w:sz w:val="36"/>
          <w:szCs w:val="36"/>
        </w:rPr>
      </w:pPr>
      <w:r>
        <w:rPr>
          <w:rFonts w:hint="eastAsia" w:ascii="Times New Roman" w:eastAsia="方正黑体_GBK"/>
          <w:color w:val="000000"/>
          <w:sz w:val="36"/>
          <w:szCs w:val="36"/>
        </w:rPr>
        <w:t>住房城乡建设部  国家发展改革委  公安部</w:t>
      </w:r>
    </w:p>
    <w:p>
      <w:pPr>
        <w:spacing w:line="460" w:lineRule="exact"/>
        <w:jc w:val="center"/>
        <w:rPr>
          <w:rFonts w:hint="eastAsia" w:ascii="Times New Roman" w:eastAsia="方正黑体_GBK"/>
          <w:color w:val="000000"/>
          <w:sz w:val="36"/>
          <w:szCs w:val="36"/>
        </w:rPr>
      </w:pPr>
      <w:r>
        <w:rPr>
          <w:rFonts w:hint="eastAsia" w:ascii="Times New Roman" w:eastAsia="方正黑体_GBK"/>
          <w:color w:val="000000"/>
          <w:sz w:val="36"/>
          <w:szCs w:val="36"/>
        </w:rPr>
        <w:t>国家卫生计生委关于加强和改进城镇居民二次供水设施建设与管理确保水质安全的通知</w:t>
      </w:r>
    </w:p>
    <w:p>
      <w:pPr>
        <w:spacing w:line="460" w:lineRule="exact"/>
        <w:rPr>
          <w:rFonts w:hint="eastAsia" w:eastAsia="方正仿宋_GBK"/>
          <w:color w:val="000000"/>
          <w:spacing w:val="-2"/>
          <w:sz w:val="24"/>
        </w:rPr>
      </w:pPr>
    </w:p>
    <w:p>
      <w:pPr>
        <w:spacing w:line="460" w:lineRule="exact"/>
        <w:jc w:val="center"/>
        <w:rPr>
          <w:rFonts w:eastAsia="方正楷体_GBK"/>
          <w:color w:val="000000"/>
          <w:spacing w:val="-2"/>
          <w:sz w:val="24"/>
        </w:rPr>
      </w:pPr>
      <w:r>
        <w:rPr>
          <w:rFonts w:hint="eastAsia" w:eastAsia="方正楷体_GBK"/>
          <w:color w:val="000000"/>
          <w:spacing w:val="-2"/>
          <w:sz w:val="24"/>
        </w:rPr>
        <w:t>建城〔</w:t>
      </w:r>
      <w:r>
        <w:rPr>
          <w:rFonts w:eastAsia="方正楷体_GBK"/>
          <w:color w:val="000000"/>
          <w:spacing w:val="-2"/>
          <w:sz w:val="24"/>
        </w:rPr>
        <w:t>2015</w:t>
      </w:r>
      <w:r>
        <w:rPr>
          <w:rFonts w:hint="eastAsia" w:eastAsia="方正楷体_GBK"/>
          <w:color w:val="000000"/>
          <w:spacing w:val="-2"/>
          <w:sz w:val="24"/>
        </w:rPr>
        <w:t>〕</w:t>
      </w:r>
      <w:r>
        <w:rPr>
          <w:rFonts w:eastAsia="方正楷体_GBK"/>
          <w:color w:val="000000"/>
          <w:spacing w:val="-2"/>
          <w:sz w:val="24"/>
        </w:rPr>
        <w:t>31</w:t>
      </w:r>
      <w:r>
        <w:rPr>
          <w:rFonts w:hint="eastAsia" w:eastAsia="方正楷体_GBK"/>
          <w:color w:val="000000"/>
          <w:spacing w:val="-2"/>
          <w:sz w:val="24"/>
        </w:rPr>
        <w:t>号</w:t>
      </w:r>
    </w:p>
    <w:p>
      <w:pPr>
        <w:spacing w:line="460" w:lineRule="exact"/>
        <w:jc w:val="center"/>
        <w:rPr>
          <w:rFonts w:eastAsia="方正仿宋_GBK"/>
          <w:color w:val="000000"/>
          <w:spacing w:val="-2"/>
          <w:sz w:val="24"/>
        </w:rPr>
      </w:pPr>
    </w:p>
    <w:p>
      <w:pPr>
        <w:spacing w:line="460" w:lineRule="exact"/>
        <w:rPr>
          <w:rFonts w:eastAsia="方正仿宋_GBK"/>
          <w:color w:val="000000"/>
          <w:spacing w:val="-2"/>
          <w:sz w:val="24"/>
        </w:rPr>
      </w:pPr>
      <w:r>
        <w:rPr>
          <w:rFonts w:hint="eastAsia" w:eastAsia="方正仿宋_GBK"/>
          <w:color w:val="000000"/>
          <w:spacing w:val="-2"/>
          <w:sz w:val="24"/>
        </w:rPr>
        <w:t>各省、自治区、直辖市住房城乡建设厅（建委、市政管委、水务厅、水务局）、发展改革委、公安厅（局）、卫生计生委：</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为贯彻落实《国务院关于加强城市基础设施建设的意见》</w:t>
      </w:r>
      <w:r>
        <w:rPr>
          <w:rFonts w:eastAsia="方正仿宋_GBK"/>
          <w:color w:val="000000"/>
          <w:spacing w:val="-2"/>
          <w:sz w:val="24"/>
        </w:rPr>
        <w:t>(</w:t>
      </w:r>
      <w:r>
        <w:rPr>
          <w:rFonts w:hint="eastAsia" w:eastAsia="方正仿宋_GBK"/>
          <w:color w:val="000000"/>
          <w:spacing w:val="-2"/>
          <w:sz w:val="24"/>
        </w:rPr>
        <w:t>国发〔</w:t>
      </w:r>
      <w:r>
        <w:rPr>
          <w:rFonts w:eastAsia="方正仿宋_GBK"/>
          <w:color w:val="000000"/>
          <w:spacing w:val="-2"/>
          <w:sz w:val="24"/>
        </w:rPr>
        <w:t>2013</w:t>
      </w:r>
      <w:r>
        <w:rPr>
          <w:rFonts w:hint="eastAsia" w:eastAsia="方正仿宋_GBK"/>
          <w:color w:val="000000"/>
          <w:spacing w:val="-2"/>
          <w:sz w:val="24"/>
        </w:rPr>
        <w:t>〕</w:t>
      </w:r>
      <w:r>
        <w:rPr>
          <w:rFonts w:eastAsia="方正仿宋_GBK"/>
          <w:color w:val="000000"/>
          <w:spacing w:val="-2"/>
          <w:sz w:val="24"/>
        </w:rPr>
        <w:t xml:space="preserve"> 36</w:t>
      </w:r>
      <w:r>
        <w:rPr>
          <w:rFonts w:hint="eastAsia" w:eastAsia="方正仿宋_GBK"/>
          <w:color w:val="000000"/>
          <w:spacing w:val="-2"/>
          <w:sz w:val="24"/>
        </w:rPr>
        <w:t>号），提高城镇居民二次供水设施建设和管理水平，改善供水水质和服务质量，促进节能降耗，加强治安防范，更好地保障生活饮用水质量，现就加强和改进城镇居民二次供水设施建设与管理有关工作通知如下：</w:t>
      </w:r>
    </w:p>
    <w:p>
      <w:pPr>
        <w:spacing w:line="460" w:lineRule="exact"/>
        <w:ind w:firstLine="450"/>
        <w:rPr>
          <w:rFonts w:ascii="Times New Roman" w:eastAsia="方正黑体_GBK"/>
          <w:color w:val="000000"/>
          <w:spacing w:val="-2"/>
          <w:sz w:val="24"/>
        </w:rPr>
      </w:pPr>
      <w:r>
        <w:rPr>
          <w:rFonts w:hint="eastAsia" w:ascii="Times New Roman" w:eastAsia="方正黑体_GBK"/>
          <w:color w:val="000000"/>
          <w:spacing w:val="-2"/>
          <w:sz w:val="24"/>
        </w:rPr>
        <w:t>一、充分认识加强和改进二次供水设施建设与管理的重要性和紧迫性</w:t>
      </w:r>
    </w:p>
    <w:p>
      <w:pPr>
        <w:spacing w:line="460" w:lineRule="exact"/>
        <w:ind w:firstLine="450"/>
        <w:rPr>
          <w:rFonts w:hint="eastAsia" w:eastAsia="方正仿宋_GBK"/>
          <w:color w:val="000000"/>
          <w:spacing w:val="-2"/>
          <w:sz w:val="24"/>
        </w:rPr>
      </w:pPr>
      <w:r>
        <w:rPr>
          <w:rFonts w:hint="eastAsia" w:eastAsia="方正仿宋_GBK"/>
          <w:color w:val="000000"/>
          <w:spacing w:val="-2"/>
          <w:sz w:val="24"/>
        </w:rPr>
        <w:t>城镇居民二次供水设施是将集中式供水的管道水通过另行加压、储存，再送至居民家庭的供水设施，是保障城镇居民用水需求的重要基础设施。由于目前二次供水设施建设和管理多元化，监管职责不明晰，运行维护责任不到位，造成一些设施跑冒滴漏严重、供水服务不规范、水质污染风险高、治安隐患多等诸多问题，群众反映强烈，城镇饮用水安全保障形势严峻。各地要充分认识加强和改进城镇居民二次供水设施建设与管理工作的重要性，将保障二次供水安全提升到改善民生和国家反恐战略的高度，进一步创新运营机制，多渠道解决资金来源，落实监管责任，推动形成权责明晰、管理专业、监管到位的二次供水设施建设与管理工作新格局，解决好城镇供水</w:t>
      </w:r>
      <w:r>
        <w:rPr>
          <w:rFonts w:eastAsia="方正仿宋_GBK"/>
          <w:color w:val="000000"/>
          <w:spacing w:val="-2"/>
          <w:sz w:val="24"/>
        </w:rPr>
        <w:t>“</w:t>
      </w:r>
      <w:r>
        <w:rPr>
          <w:rFonts w:hint="eastAsia" w:eastAsia="方正仿宋_GBK"/>
          <w:color w:val="000000"/>
          <w:spacing w:val="-2"/>
          <w:sz w:val="24"/>
        </w:rPr>
        <w:t>最后一公里</w:t>
      </w:r>
      <w:r>
        <w:rPr>
          <w:rFonts w:eastAsia="方正仿宋_GBK"/>
          <w:color w:val="000000"/>
          <w:spacing w:val="-2"/>
          <w:sz w:val="24"/>
        </w:rPr>
        <w:t>”</w:t>
      </w:r>
      <w:r>
        <w:rPr>
          <w:rFonts w:hint="eastAsia" w:eastAsia="方正仿宋_GBK"/>
          <w:color w:val="000000"/>
          <w:spacing w:val="-2"/>
          <w:sz w:val="24"/>
        </w:rPr>
        <w:t>的水质安全问题。</w:t>
      </w:r>
    </w:p>
    <w:p>
      <w:pPr>
        <w:spacing w:line="460" w:lineRule="exact"/>
        <w:ind w:firstLine="450"/>
        <w:rPr>
          <w:rFonts w:ascii="Times New Roman" w:eastAsia="方正黑体_GBK"/>
          <w:color w:val="000000"/>
          <w:spacing w:val="-2"/>
          <w:sz w:val="24"/>
        </w:rPr>
      </w:pPr>
      <w:r>
        <w:rPr>
          <w:rFonts w:hint="eastAsia" w:ascii="Times New Roman" w:eastAsia="方正黑体_GBK"/>
          <w:color w:val="000000"/>
          <w:spacing w:val="-2"/>
          <w:sz w:val="24"/>
        </w:rPr>
        <w:t xml:space="preserve">二、全面加强和改进二次供水设施建设与管理工作   </w:t>
      </w:r>
    </w:p>
    <w:p>
      <w:pPr>
        <w:spacing w:line="460" w:lineRule="exact"/>
        <w:ind w:firstLine="450"/>
        <w:rPr>
          <w:rFonts w:hint="eastAsia" w:ascii="Times New Roman" w:eastAsia="方正楷体_GBK"/>
          <w:color w:val="000000"/>
          <w:spacing w:val="-2"/>
          <w:sz w:val="24"/>
        </w:rPr>
      </w:pPr>
      <w:r>
        <w:rPr>
          <w:rFonts w:hint="eastAsia" w:ascii="Times New Roman" w:eastAsia="方正楷体_GBK"/>
          <w:color w:val="000000"/>
          <w:spacing w:val="-2"/>
          <w:sz w:val="24"/>
        </w:rPr>
        <w:t>（一）科学规划建设二次供水设施</w:t>
      </w:r>
    </w:p>
    <w:p>
      <w:pPr>
        <w:spacing w:line="460" w:lineRule="exact"/>
        <w:ind w:firstLine="450"/>
        <w:rPr>
          <w:rFonts w:hint="eastAsia"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．统筹安排，合理建设二次供水设施。城镇供水专项规划</w:t>
      </w:r>
    </w:p>
    <w:p>
      <w:pPr>
        <w:spacing w:line="460" w:lineRule="exact"/>
        <w:ind w:firstLine="450"/>
        <w:rPr>
          <w:rFonts w:eastAsia="方正仿宋_GBK"/>
          <w:color w:val="000000"/>
          <w:spacing w:val="-2"/>
          <w:sz w:val="24"/>
        </w:rPr>
      </w:pPr>
      <w:r>
        <w:rPr>
          <w:rFonts w:hint="eastAsia" w:eastAsia="方正仿宋_GBK"/>
          <w:color w:val="000000"/>
          <w:spacing w:val="-2"/>
          <w:sz w:val="24"/>
        </w:rPr>
        <w:t>应统筹考虑供水管网区域集中调蓄调压设施布局，确保管网压力平稳均衡；发挥城镇供水专项规划对二次供水设施建设的调控作用，合理布置二次供水设施，促进节能降耗。城镇供水管网建设或改造时，设计供水压力要满足住宅用水的合理需求，减少因管网水压过低而增建二次供水设施的数量。要对建设二次供水设施的必要性进行技术论证，在保障水质达标和供水管网运行安全的前提下，经济合理选择二次供水方式。要大力推广使用先进的安防技术，落实防范恶意破坏二次供水的技防、物防措施。</w:t>
      </w:r>
    </w:p>
    <w:p>
      <w:pPr>
        <w:spacing w:line="460" w:lineRule="exact"/>
        <w:ind w:firstLine="450"/>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全面排查，改造老旧二次供水设施。各地住房城乡建设（城市供水）、卫生计生、公安等部门要尽快对既有居民二次供水设施开展排查，制定工作计划，对不符合技术、卫生和安全防范要求的二次供水设施，要限期整改；对老旧落后的二次供水设施要制定改造计划并抓紧逐一落实技术方案，力争用</w:t>
      </w:r>
      <w:r>
        <w:rPr>
          <w:rFonts w:eastAsia="方正仿宋_GBK"/>
          <w:color w:val="000000"/>
          <w:spacing w:val="-2"/>
          <w:sz w:val="24"/>
        </w:rPr>
        <w:t>5</w:t>
      </w:r>
      <w:r>
        <w:rPr>
          <w:rFonts w:hint="eastAsia" w:eastAsia="方正仿宋_GBK"/>
          <w:color w:val="000000"/>
          <w:spacing w:val="-2"/>
          <w:sz w:val="24"/>
        </w:rPr>
        <w:t>年时间完成改造任务。二次供水设施的改造要与抄表到户、</w:t>
      </w:r>
      <w:r>
        <w:rPr>
          <w:rFonts w:eastAsia="方正仿宋_GBK"/>
          <w:color w:val="000000"/>
          <w:spacing w:val="-2"/>
          <w:sz w:val="24"/>
        </w:rPr>
        <w:t>“</w:t>
      </w:r>
      <w:r>
        <w:rPr>
          <w:rFonts w:hint="eastAsia" w:eastAsia="方正仿宋_GBK"/>
          <w:color w:val="000000"/>
          <w:spacing w:val="-2"/>
          <w:sz w:val="24"/>
        </w:rPr>
        <w:t>一户一表</w:t>
      </w:r>
      <w:r>
        <w:rPr>
          <w:rFonts w:eastAsia="方正仿宋_GBK"/>
          <w:color w:val="000000"/>
          <w:spacing w:val="-2"/>
          <w:sz w:val="24"/>
        </w:rPr>
        <w:t>”</w:t>
      </w:r>
      <w:r>
        <w:rPr>
          <w:rFonts w:hint="eastAsia" w:eastAsia="方正仿宋_GBK"/>
          <w:color w:val="000000"/>
          <w:spacing w:val="-2"/>
          <w:sz w:val="24"/>
        </w:rPr>
        <w:t>改造和安全防范设施建设等统筹实施，加强物防、技防建设，推行封闭管理模式，切实提高安全供水保障能力。</w:t>
      </w:r>
    </w:p>
    <w:p>
      <w:pPr>
        <w:spacing w:line="460" w:lineRule="exact"/>
        <w:ind w:firstLine="450"/>
        <w:rPr>
          <w:rFonts w:eastAsia="方正仿宋_GBK"/>
          <w:color w:val="000000"/>
          <w:spacing w:val="-2"/>
          <w:sz w:val="24"/>
        </w:rPr>
      </w:pPr>
      <w:r>
        <w:rPr>
          <w:rFonts w:eastAsia="方正仿宋_GBK"/>
          <w:color w:val="000000"/>
          <w:spacing w:val="-2"/>
          <w:sz w:val="24"/>
        </w:rPr>
        <w:t>3</w:t>
      </w:r>
      <w:r>
        <w:rPr>
          <w:rFonts w:hint="eastAsia" w:eastAsia="方正仿宋_GBK"/>
          <w:color w:val="000000"/>
          <w:spacing w:val="-2"/>
          <w:sz w:val="24"/>
        </w:rPr>
        <w:t>．加强管理，保证二次供水设施工程建设质量。住房城乡建设（城市供水）、卫生计生、公安等部门要进一步加强对二次供水设施建设的监督，督促建设单位严格执行相关标准规范，落实技术、卫生和安全防范等要求，确保设施工程建设质量。强化供水企业对用水报装的管理，健全供水企业对二次供水设施建设的技术审验制度，在工程设计、竣工验收等环节进行技术把关。</w:t>
      </w:r>
      <w:r>
        <w:rPr>
          <w:rFonts w:eastAsia="方正仿宋_GBK"/>
          <w:color w:val="000000"/>
          <w:spacing w:val="-2"/>
          <w:sz w:val="24"/>
        </w:rPr>
        <w:t xml:space="preserve"> </w:t>
      </w:r>
    </w:p>
    <w:p>
      <w:pPr>
        <w:spacing w:line="460" w:lineRule="exact"/>
        <w:ind w:firstLine="450"/>
        <w:rPr>
          <w:rFonts w:ascii="Times New Roman" w:eastAsia="方正楷体_GBK"/>
          <w:color w:val="000000"/>
          <w:spacing w:val="-2"/>
          <w:sz w:val="24"/>
        </w:rPr>
      </w:pPr>
      <w:r>
        <w:rPr>
          <w:rFonts w:hint="eastAsia" w:ascii="Times New Roman" w:eastAsia="方正楷体_GBK"/>
          <w:color w:val="000000"/>
          <w:spacing w:val="-2"/>
          <w:sz w:val="24"/>
        </w:rPr>
        <w:t>（二）推进二次供水设施运行维护专业化</w:t>
      </w:r>
    </w:p>
    <w:p>
      <w:pPr>
        <w:spacing w:line="460" w:lineRule="exact"/>
        <w:ind w:firstLine="450"/>
        <w:rPr>
          <w:rFonts w:hint="eastAsia" w:eastAsia="方正仿宋_GBK"/>
          <w:color w:val="000000"/>
          <w:spacing w:val="-2"/>
          <w:sz w:val="24"/>
        </w:rPr>
      </w:pPr>
      <w:r>
        <w:rPr>
          <w:rFonts w:eastAsia="方正仿宋_GBK"/>
          <w:color w:val="000000"/>
          <w:spacing w:val="-2"/>
          <w:sz w:val="24"/>
        </w:rPr>
        <w:t>1. </w:t>
      </w:r>
      <w:r>
        <w:rPr>
          <w:rFonts w:hint="eastAsia" w:eastAsia="方正仿宋_GBK"/>
          <w:color w:val="000000"/>
          <w:spacing w:val="-2"/>
          <w:sz w:val="24"/>
        </w:rPr>
        <w:t>计量到户，明晰运行维护管理边界。推行居民供用水合同制度，实现供水企业抄表到户、计量到户、服务到户。居民家庭水表至用户水龙头之间管道、设备等，由用户自行维护管理；居民家庭水表（含）至市政供水设施之间的管道、水池、设备等由业主委托或当地人民政府指定的单位负责运行维护。</w:t>
      </w:r>
    </w:p>
    <w:p>
      <w:pPr>
        <w:spacing w:line="460" w:lineRule="exact"/>
        <w:ind w:firstLine="450"/>
        <w:rPr>
          <w:rFonts w:eastAsia="方正仿宋_GBK"/>
          <w:color w:val="000000"/>
          <w:spacing w:val="-2"/>
          <w:sz w:val="24"/>
        </w:rPr>
      </w:pPr>
      <w:r>
        <w:rPr>
          <w:rFonts w:eastAsia="方正仿宋_GBK"/>
          <w:color w:val="000000"/>
          <w:spacing w:val="-2"/>
          <w:sz w:val="24"/>
        </w:rPr>
        <w:t>2.</w:t>
      </w:r>
      <w:r>
        <w:rPr>
          <w:rFonts w:hint="cs" w:eastAsia="方正仿宋_GBK"/>
          <w:color w:val="000000"/>
          <w:spacing w:val="-2"/>
          <w:sz w:val="24"/>
          <w:cs/>
        </w:rPr>
        <w:t> </w:t>
      </w:r>
      <w:r>
        <w:rPr>
          <w:rFonts w:hint="eastAsia" w:eastAsia="方正仿宋_GBK"/>
          <w:color w:val="000000"/>
          <w:spacing w:val="-2"/>
          <w:sz w:val="24"/>
        </w:rPr>
        <w:t>专业运行维护，改进二次供水服务。积极鼓励供水企业逐步将设施的管理延伸至居民家庭水表，对二次供水设施实施专业运行维护。对新建的居民二次供水设施，鼓励供水企业实施统建统管；对改造合格的二次供水设施，鼓励供水企业负责运行维护；对既有的居民二次供水设施，鼓励业主自行决定将设施管理委托给供水企业。物业服务企业可将物业管理区域内的二次供水设施运行维护业务委托给供水企业。将二次供水设施委托给供水企业运行维护的，业主或原管理单位应将竣工总平面图、结构设备竣工图、地下管网工程竣工图、设备的安装使用及维护保养等设施档案及图文资料一并移交。</w:t>
      </w:r>
    </w:p>
    <w:p>
      <w:pPr>
        <w:spacing w:line="460" w:lineRule="exact"/>
        <w:ind w:firstLine="450"/>
        <w:rPr>
          <w:rFonts w:eastAsia="方正仿宋_GBK"/>
          <w:color w:val="000000"/>
          <w:spacing w:val="-2"/>
          <w:sz w:val="24"/>
        </w:rPr>
      </w:pPr>
      <w:r>
        <w:rPr>
          <w:rFonts w:hint="eastAsia" w:eastAsia="方正仿宋_GBK"/>
          <w:color w:val="000000"/>
          <w:spacing w:val="-2"/>
          <w:sz w:val="24"/>
        </w:rPr>
        <w:t>供水企业承接二次供水运行维护业务时，应对二次供水设施、设备进行查验。受委托承担二次供水运行维护的供水企业应与委托方签订二次供水服务合同，合同内容应当包括：二次供水服务具体事项、服务质量、治安防范措施、服务费用、双方的权利义务、二次供水管理用房、合同期限、违约责任等。</w:t>
      </w:r>
    </w:p>
    <w:p>
      <w:pPr>
        <w:spacing w:line="460" w:lineRule="exact"/>
        <w:ind w:firstLine="450"/>
        <w:rPr>
          <w:rFonts w:eastAsia="方正仿宋_GBK"/>
          <w:color w:val="000000"/>
          <w:spacing w:val="-2"/>
          <w:sz w:val="24"/>
        </w:rPr>
      </w:pPr>
      <w:r>
        <w:rPr>
          <w:rFonts w:eastAsia="方正仿宋_GBK"/>
          <w:color w:val="000000"/>
          <w:spacing w:val="-2"/>
          <w:sz w:val="24"/>
        </w:rPr>
        <w:t>3</w:t>
      </w:r>
      <w:r>
        <w:rPr>
          <w:rFonts w:hint="eastAsia" w:eastAsia="方正仿宋_GBK"/>
          <w:color w:val="000000"/>
          <w:spacing w:val="-2"/>
          <w:sz w:val="24"/>
        </w:rPr>
        <w:t>．落实责任，确保二次供水安全。承担二次供水运行维护的单位要严格按照安全运行、卫生管理、治安保卫等有关法规和标准规范，建立健全设施维护、清洗消毒、水质检测、持证上岗、档案管理、应急和治安防范等制度。配备专职或兼职安全生产、卫生管理、治安保卫人员，强化日常管理，提供优质服务。要充分利用物联网技术，建立二次供水远程管理控制网络，提高管理效率和服务水平。要制定或完善应急处置预案并组织演练，严格落实人防技防物防措施。</w:t>
      </w:r>
    </w:p>
    <w:p>
      <w:pPr>
        <w:spacing w:line="460" w:lineRule="exact"/>
        <w:ind w:firstLine="450"/>
        <w:rPr>
          <w:rFonts w:ascii="Times New Roman" w:eastAsia="方正黑体_GBK"/>
          <w:color w:val="000000"/>
          <w:spacing w:val="-2"/>
          <w:sz w:val="24"/>
        </w:rPr>
      </w:pPr>
      <w:r>
        <w:rPr>
          <w:rFonts w:hint="eastAsia" w:ascii="Times New Roman" w:eastAsia="方正黑体_GBK"/>
          <w:color w:val="000000"/>
          <w:spacing w:val="-2"/>
          <w:sz w:val="24"/>
        </w:rPr>
        <w:t>三、充分发挥政府在二次供水设施建设与管理中的主导作用</w:t>
      </w:r>
    </w:p>
    <w:p>
      <w:pPr>
        <w:spacing w:line="460" w:lineRule="exact"/>
        <w:ind w:firstLine="450"/>
        <w:rPr>
          <w:rFonts w:hint="eastAsia" w:eastAsia="方正仿宋_GBK"/>
          <w:color w:val="000000"/>
          <w:spacing w:val="-2"/>
          <w:sz w:val="24"/>
        </w:rPr>
      </w:pPr>
      <w:r>
        <w:rPr>
          <w:rFonts w:hint="eastAsia" w:ascii="Times New Roman" w:eastAsia="方正楷体_GBK"/>
          <w:color w:val="000000"/>
          <w:spacing w:val="-2"/>
          <w:sz w:val="24"/>
        </w:rPr>
        <w:t>（一）完善政策，落实二次供水运行维护和设施改造费用</w:t>
      </w:r>
      <w:r>
        <w:rPr>
          <w:rFonts w:eastAsia="方正仿宋_GBK"/>
          <w:color w:val="000000"/>
          <w:spacing w:val="-2"/>
          <w:sz w:val="24"/>
        </w:rPr>
        <w:t xml:space="preserve"> </w:t>
      </w:r>
    </w:p>
    <w:p>
      <w:pPr>
        <w:spacing w:line="460" w:lineRule="exact"/>
        <w:ind w:firstLine="450"/>
        <w:rPr>
          <w:rFonts w:eastAsia="方正仿宋_GBK"/>
          <w:color w:val="000000"/>
          <w:spacing w:val="-2"/>
          <w:sz w:val="24"/>
        </w:rPr>
      </w:pPr>
      <w:r>
        <w:rPr>
          <w:rFonts w:hint="eastAsia" w:eastAsia="方正仿宋_GBK"/>
          <w:color w:val="000000"/>
          <w:spacing w:val="-2"/>
          <w:sz w:val="24"/>
        </w:rPr>
        <w:t>由各地价格主管部门会同住房城乡建设（城市供水）主管部门研究制定二次供水设施运行维护收费办法。按照弥补二次供水设施正常运行、水质安全保障及设施折旧、大修维修等费用支出的原则确定收费标准。根据二次供水不同运营主体，确定二次供水运行维护费征收方式。由供水企业负责运行管理的，二次供水设施运行维护费用开支原则上应计入供水企业运营成本，通过城市供水价格统一弥补。按照《关于调整销售电价分类结构有关问题的通知》（发改价格〔</w:t>
      </w:r>
      <w:r>
        <w:rPr>
          <w:rFonts w:eastAsia="方正仿宋_GBK"/>
          <w:color w:val="000000"/>
          <w:spacing w:val="-2"/>
          <w:sz w:val="24"/>
        </w:rPr>
        <w:t>2013</w:t>
      </w:r>
      <w:r>
        <w:rPr>
          <w:rFonts w:hint="eastAsia" w:eastAsia="方正仿宋_GBK"/>
          <w:color w:val="000000"/>
          <w:spacing w:val="-2"/>
          <w:sz w:val="24"/>
        </w:rPr>
        <w:t>〕</w:t>
      </w:r>
      <w:r>
        <w:rPr>
          <w:rFonts w:eastAsia="方正仿宋_GBK"/>
          <w:color w:val="000000"/>
          <w:spacing w:val="-2"/>
          <w:sz w:val="24"/>
        </w:rPr>
        <w:t>973</w:t>
      </w:r>
      <w:r>
        <w:rPr>
          <w:rFonts w:hint="eastAsia" w:eastAsia="方正仿宋_GBK"/>
          <w:color w:val="000000"/>
          <w:spacing w:val="-2"/>
          <w:sz w:val="24"/>
        </w:rPr>
        <w:t>号）的要求，二次供水设施运行电价执行居民用电价格。</w:t>
      </w:r>
    </w:p>
    <w:p>
      <w:pPr>
        <w:spacing w:line="460" w:lineRule="exact"/>
        <w:ind w:firstLine="450"/>
        <w:rPr>
          <w:rFonts w:eastAsia="方正仿宋_GBK"/>
          <w:color w:val="000000"/>
          <w:spacing w:val="-2"/>
          <w:sz w:val="24"/>
        </w:rPr>
      </w:pPr>
      <w:r>
        <w:rPr>
          <w:rFonts w:hint="eastAsia" w:eastAsia="方正仿宋_GBK"/>
          <w:color w:val="000000"/>
          <w:spacing w:val="-2"/>
          <w:sz w:val="24"/>
        </w:rPr>
        <w:t>各地要因地制宜研究建立以政府、供水企业投入为主，居民合理分担，多渠道筹集资金的二次供水设施改造费用筹集机制。对于</w:t>
      </w:r>
      <w:r>
        <w:rPr>
          <w:rFonts w:eastAsia="方正仿宋_GBK"/>
          <w:color w:val="000000"/>
          <w:spacing w:val="-2"/>
          <w:sz w:val="24"/>
        </w:rPr>
        <w:t>“</w:t>
      </w:r>
      <w:r>
        <w:rPr>
          <w:rFonts w:hint="eastAsia" w:eastAsia="方正仿宋_GBK"/>
          <w:color w:val="000000"/>
          <w:spacing w:val="-2"/>
          <w:sz w:val="24"/>
        </w:rPr>
        <w:t>无物业、无业主委员会、无管理单位</w:t>
      </w:r>
      <w:r>
        <w:rPr>
          <w:rFonts w:eastAsia="方正仿宋_GBK"/>
          <w:color w:val="000000"/>
          <w:spacing w:val="-2"/>
          <w:sz w:val="24"/>
        </w:rPr>
        <w:t>”</w:t>
      </w:r>
      <w:r>
        <w:rPr>
          <w:rFonts w:hint="eastAsia" w:eastAsia="方正仿宋_GBK"/>
          <w:color w:val="000000"/>
          <w:spacing w:val="-2"/>
          <w:sz w:val="24"/>
        </w:rPr>
        <w:t>的老旧居民小区，地方政府要加大投入力度。对于国有企业办社会提供供水服务的职工家属区，二次供水设施的改造要根据国家有关剥离国有企业办社会职能的要求落实改造费用。需要使用小区住宅专项维修资金等业主共有资金或通过其他方式由居民负责的，应当向业主、居民公开二次供水设施改造项目实施计划等信息，并经业主、居民依法表决同意。</w:t>
      </w:r>
    </w:p>
    <w:p>
      <w:pPr>
        <w:spacing w:line="460" w:lineRule="exact"/>
        <w:ind w:firstLine="450"/>
        <w:rPr>
          <w:rFonts w:ascii="Times New Roman" w:eastAsia="方正楷体_GBK"/>
          <w:color w:val="000000"/>
          <w:spacing w:val="-2"/>
          <w:sz w:val="24"/>
        </w:rPr>
      </w:pPr>
      <w:r>
        <w:rPr>
          <w:rFonts w:hint="eastAsia" w:ascii="Times New Roman" w:eastAsia="方正楷体_GBK"/>
          <w:color w:val="000000"/>
          <w:spacing w:val="-2"/>
          <w:sz w:val="24"/>
        </w:rPr>
        <w:t>（二）加强部门协调，落实二次供水安全保障责任</w:t>
      </w:r>
    </w:p>
    <w:p>
      <w:pPr>
        <w:spacing w:line="460" w:lineRule="exact"/>
        <w:ind w:firstLine="450"/>
        <w:rPr>
          <w:rFonts w:hint="eastAsia" w:eastAsia="方正仿宋_GBK"/>
          <w:color w:val="000000"/>
          <w:spacing w:val="-2"/>
          <w:sz w:val="24"/>
        </w:rPr>
      </w:pPr>
      <w:r>
        <w:rPr>
          <w:rFonts w:hint="eastAsia" w:eastAsia="方正仿宋_GBK"/>
          <w:color w:val="000000"/>
          <w:spacing w:val="-2"/>
          <w:sz w:val="24"/>
        </w:rPr>
        <w:t>住房城乡建设（城市供水）、卫生计行、公安、价格等部门要加强协调，按照职责分工做好二次供水设施建设和管理的指导监督工作，切实保障公共利益不受损害。住房城乡建设（城市供水）部门要加强二次供水的日常监管，严把质量关，监督落实二次供水设施设计、建设和运行维护相关制度；卫生计生部门要强化居民二次供水设施的卫生监督，规范二次供水单位卫生管理，依法查处违法行为；价格部门负责建立健全二次供水设施运行维护收费制度，加强收费监管；公安部门要会同住房城乡建设（城市供水）部门指导监督二次供水运行维护单位严格执行治安保卫有关法律法规和标准规范，落实治安防范主体责任。</w:t>
      </w:r>
    </w:p>
    <w:p>
      <w:pPr>
        <w:spacing w:line="460" w:lineRule="exact"/>
        <w:ind w:firstLine="450"/>
        <w:rPr>
          <w:rFonts w:eastAsia="方正仿宋_GBK"/>
          <w:color w:val="000000"/>
          <w:spacing w:val="-2"/>
          <w:sz w:val="24"/>
        </w:rPr>
      </w:pPr>
      <w:r>
        <w:rPr>
          <w:rFonts w:hint="eastAsia" w:eastAsia="方正仿宋_GBK"/>
          <w:color w:val="000000"/>
          <w:spacing w:val="-2"/>
          <w:sz w:val="24"/>
        </w:rPr>
        <w:t>各地可根据本通知精神，结合本地实际制定或完善当地城镇居民二次供水管理具体办法，确保城镇居民饮用水水质安全。</w:t>
      </w:r>
    </w:p>
    <w:p>
      <w:pPr>
        <w:spacing w:line="460" w:lineRule="exact"/>
        <w:rPr>
          <w:rFonts w:eastAsia="方正仿宋_GBK"/>
          <w:color w:val="000000"/>
          <w:spacing w:val="-2"/>
          <w:sz w:val="24"/>
        </w:rPr>
      </w:pPr>
    </w:p>
    <w:p>
      <w:pPr>
        <w:spacing w:line="460" w:lineRule="exact"/>
        <w:ind w:firstLine="4165" w:firstLineChars="1765"/>
        <w:jc w:val="center"/>
        <w:rPr>
          <w:rFonts w:eastAsia="方正仿宋_GBK"/>
          <w:color w:val="000000"/>
          <w:spacing w:val="-2"/>
          <w:sz w:val="24"/>
        </w:rPr>
      </w:pPr>
      <w:r>
        <w:rPr>
          <w:rFonts w:hint="eastAsia" w:eastAsia="方正仿宋_GBK"/>
          <w:color w:val="000000"/>
          <w:spacing w:val="-2"/>
          <w:sz w:val="24"/>
        </w:rPr>
        <w:t>住房城乡建设部</w:t>
      </w:r>
    </w:p>
    <w:p>
      <w:pPr>
        <w:spacing w:line="460" w:lineRule="exact"/>
        <w:ind w:firstLine="4165" w:firstLineChars="1765"/>
        <w:jc w:val="center"/>
        <w:rPr>
          <w:rFonts w:eastAsia="方正仿宋_GBK"/>
          <w:color w:val="000000"/>
          <w:spacing w:val="-2"/>
          <w:sz w:val="24"/>
        </w:rPr>
      </w:pPr>
      <w:r>
        <w:rPr>
          <w:rFonts w:hint="eastAsia" w:eastAsia="方正仿宋_GBK"/>
          <w:color w:val="000000"/>
          <w:spacing w:val="-2"/>
          <w:sz w:val="24"/>
        </w:rPr>
        <w:t>国家发展改革委</w:t>
      </w:r>
    </w:p>
    <w:p>
      <w:pPr>
        <w:spacing w:line="460" w:lineRule="exact"/>
        <w:ind w:firstLine="4165" w:firstLineChars="1765"/>
        <w:jc w:val="center"/>
        <w:rPr>
          <w:rFonts w:eastAsia="方正仿宋_GBK"/>
          <w:color w:val="000000"/>
          <w:spacing w:val="-2"/>
          <w:sz w:val="24"/>
        </w:rPr>
      </w:pPr>
      <w:r>
        <w:rPr>
          <w:rFonts w:hint="eastAsia" w:eastAsia="方正仿宋_GBK"/>
          <w:color w:val="000000"/>
          <w:spacing w:val="-2"/>
          <w:sz w:val="24"/>
        </w:rPr>
        <w:t>公</w:t>
      </w:r>
      <w:r>
        <w:rPr>
          <w:rFonts w:eastAsia="方正仿宋_GBK"/>
          <w:color w:val="000000"/>
          <w:spacing w:val="-2"/>
          <w:sz w:val="24"/>
        </w:rPr>
        <w:t xml:space="preserve">    </w:t>
      </w:r>
      <w:r>
        <w:rPr>
          <w:rFonts w:hint="eastAsia" w:eastAsia="方正仿宋_GBK"/>
          <w:color w:val="000000"/>
          <w:spacing w:val="-2"/>
          <w:sz w:val="24"/>
        </w:rPr>
        <w:t>安</w:t>
      </w:r>
      <w:r>
        <w:rPr>
          <w:rFonts w:eastAsia="方正仿宋_GBK"/>
          <w:color w:val="000000"/>
          <w:spacing w:val="-2"/>
          <w:sz w:val="24"/>
        </w:rPr>
        <w:t xml:space="preserve">    </w:t>
      </w:r>
      <w:r>
        <w:rPr>
          <w:rFonts w:hint="eastAsia" w:eastAsia="方正仿宋_GBK"/>
          <w:color w:val="000000"/>
          <w:spacing w:val="-2"/>
          <w:sz w:val="24"/>
        </w:rPr>
        <w:t>部</w:t>
      </w:r>
    </w:p>
    <w:p>
      <w:pPr>
        <w:spacing w:line="460" w:lineRule="exact"/>
        <w:ind w:firstLine="4165" w:firstLineChars="1765"/>
        <w:jc w:val="center"/>
        <w:rPr>
          <w:rFonts w:eastAsia="方正仿宋_GBK"/>
          <w:color w:val="000000"/>
          <w:spacing w:val="-2"/>
          <w:sz w:val="24"/>
        </w:rPr>
      </w:pPr>
      <w:r>
        <w:rPr>
          <w:rFonts w:hint="eastAsia" w:eastAsia="方正仿宋_GBK"/>
          <w:color w:val="000000"/>
          <w:spacing w:val="-2"/>
          <w:sz w:val="24"/>
        </w:rPr>
        <w:t>国家卫生计生委</w:t>
      </w:r>
    </w:p>
    <w:p>
      <w:pPr>
        <w:spacing w:line="460" w:lineRule="exact"/>
        <w:ind w:firstLine="5546" w:firstLineChars="2350"/>
        <w:rPr>
          <w:rFonts w:eastAsia="方正仿宋_GBK"/>
          <w:color w:val="000000"/>
          <w:spacing w:val="-2"/>
          <w:sz w:val="24"/>
        </w:rPr>
      </w:pPr>
      <w:r>
        <w:rPr>
          <w:rFonts w:eastAsia="方正仿宋_GBK"/>
          <w:color w:val="000000"/>
          <w:spacing w:val="-2"/>
          <w:sz w:val="24"/>
        </w:rPr>
        <w:t>2015</w:t>
      </w:r>
      <w:r>
        <w:rPr>
          <w:rFonts w:hint="eastAsia" w:eastAsia="方正仿宋_GBK"/>
          <w:color w:val="000000"/>
          <w:spacing w:val="-2"/>
          <w:sz w:val="24"/>
        </w:rPr>
        <w:t>年</w:t>
      </w:r>
      <w:r>
        <w:rPr>
          <w:rFonts w:eastAsia="方正仿宋_GBK"/>
          <w:color w:val="000000"/>
          <w:spacing w:val="-2"/>
          <w:sz w:val="24"/>
        </w:rPr>
        <w:t>2</w:t>
      </w:r>
      <w:r>
        <w:rPr>
          <w:rFonts w:hint="eastAsia" w:eastAsia="方正仿宋_GBK"/>
          <w:color w:val="000000"/>
          <w:spacing w:val="-2"/>
          <w:sz w:val="24"/>
        </w:rPr>
        <w:t>月</w:t>
      </w:r>
      <w:r>
        <w:rPr>
          <w:rFonts w:eastAsia="方正仿宋_GBK"/>
          <w:color w:val="000000"/>
          <w:spacing w:val="-2"/>
          <w:sz w:val="24"/>
        </w:rPr>
        <w:t>17</w:t>
      </w:r>
      <w:r>
        <w:rPr>
          <w:rFonts w:hint="eastAsia" w:eastAsia="方正仿宋_GBK"/>
          <w:color w:val="000000"/>
          <w:spacing w:val="-2"/>
          <w:sz w:val="24"/>
        </w:rPr>
        <w:t>日</w:t>
      </w:r>
      <w:r>
        <w:rPr>
          <w:rFonts w:eastAsia="方正仿宋_GBK"/>
          <w:color w:val="000000"/>
          <w:spacing w:val="-2"/>
          <w:sz w:val="24"/>
        </w:rPr>
        <w:t xml:space="preserve"> </w:t>
      </w:r>
    </w:p>
    <w:p>
      <w:pPr>
        <w:spacing w:line="460" w:lineRule="exact"/>
        <w:jc w:val="center"/>
        <w:rPr>
          <w:rFonts w:eastAsia="方正仿宋_GBK"/>
          <w:color w:val="000000"/>
          <w:spacing w:val="-2"/>
          <w:sz w:val="24"/>
        </w:rPr>
      </w:pPr>
    </w:p>
    <w:p>
      <w:pPr>
        <w:pStyle w:val="2"/>
        <w:spacing w:before="240" w:beforeLines="100" w:after="240" w:afterLines="100" w:line="240" w:lineRule="auto"/>
        <w:jc w:val="center"/>
        <w:rPr>
          <w:rFonts w:ascii="Times New Roman" w:eastAsia="方正小标宋_GBK"/>
          <w:b w:val="0"/>
          <w:sz w:val="36"/>
          <w:szCs w:val="36"/>
        </w:rPr>
      </w:pPr>
      <w:r>
        <w:rPr>
          <w:rFonts w:eastAsia="方正仿宋_GBK"/>
          <w:b w:val="0"/>
          <w:color w:val="000000"/>
          <w:spacing w:val="-2"/>
          <w:sz w:val="24"/>
        </w:rPr>
        <w:br w:type="column"/>
      </w:r>
      <w:bookmarkStart w:id="142" w:name="_Toc18315486"/>
      <w:bookmarkStart w:id="143" w:name="_Toc20726404"/>
      <w:r>
        <w:rPr>
          <w:rFonts w:hint="eastAsia" w:ascii="Times New Roman" w:eastAsia="方正小标宋_GBK"/>
          <w:b w:val="0"/>
          <w:sz w:val="36"/>
          <w:szCs w:val="36"/>
        </w:rPr>
        <w:t>省住房城乡建设厅关于印发《江苏省域城乡统筹供水技术集成与综合示范课题管理办法》、《江苏省域城乡统筹供水技术集成与综合示范课题中央财政经费管理暂行办法》的通知</w:t>
      </w:r>
      <w:bookmarkEnd w:id="142"/>
      <w:bookmarkEnd w:id="143"/>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144" w:name="_Toc18315487"/>
      <w:bookmarkStart w:id="145" w:name="_Toc20726405"/>
      <w:r>
        <w:rPr>
          <w:rFonts w:hint="eastAsia" w:ascii="Times New Roman" w:hAnsi="Times New Roman" w:eastAsia="方正楷体_GBK"/>
          <w:b w:val="0"/>
          <w:sz w:val="24"/>
          <w:szCs w:val="24"/>
        </w:rPr>
        <w:t>苏建函城〔</w:t>
      </w:r>
      <w:r>
        <w:rPr>
          <w:rFonts w:ascii="Times New Roman" w:hAnsi="Times New Roman" w:eastAsia="方正楷体_GBK"/>
          <w:b w:val="0"/>
          <w:sz w:val="24"/>
          <w:szCs w:val="24"/>
        </w:rPr>
        <w:t>2015</w:t>
      </w:r>
      <w:r>
        <w:rPr>
          <w:rFonts w:hint="eastAsia" w:ascii="Times New Roman" w:hAnsi="Times New Roman" w:eastAsia="方正楷体_GBK"/>
          <w:b w:val="0"/>
          <w:sz w:val="24"/>
          <w:szCs w:val="24"/>
        </w:rPr>
        <w:t>〕</w:t>
      </w:r>
      <w:r>
        <w:rPr>
          <w:rFonts w:ascii="Times New Roman" w:hAnsi="Times New Roman" w:eastAsia="方正楷体_GBK"/>
          <w:b w:val="0"/>
          <w:sz w:val="24"/>
          <w:szCs w:val="24"/>
        </w:rPr>
        <w:t>299</w:t>
      </w:r>
      <w:r>
        <w:rPr>
          <w:rFonts w:hint="eastAsia" w:ascii="Times New Roman" w:hAnsi="Times New Roman" w:eastAsia="方正楷体_GBK"/>
          <w:b w:val="0"/>
          <w:sz w:val="24"/>
          <w:szCs w:val="24"/>
        </w:rPr>
        <w:t>号</w:t>
      </w:r>
      <w:bookmarkEnd w:id="144"/>
      <w:bookmarkEnd w:id="145"/>
    </w:p>
    <w:p>
      <w:pPr>
        <w:spacing w:line="460" w:lineRule="exact"/>
        <w:rPr>
          <w:rFonts w:eastAsia="方正仿宋_GBK"/>
          <w:color w:val="000000"/>
          <w:spacing w:val="-2"/>
          <w:sz w:val="24"/>
        </w:rPr>
      </w:pPr>
      <w:r>
        <w:rPr>
          <w:rFonts w:hint="eastAsia" w:eastAsia="方正仿宋_GBK"/>
          <w:color w:val="000000"/>
          <w:spacing w:val="-2"/>
          <w:sz w:val="24"/>
        </w:rPr>
        <w:t>各课题参加单位：</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现将《江苏省域城乡统筹供水技术集成与综合示范课题管理办法》、《江苏省域城乡统筹供水技术集成与综合示范课题中央财政经费管理暂行办法》印发给你们，请认真贯彻执行。</w:t>
      </w:r>
    </w:p>
    <w:p>
      <w:pPr>
        <w:spacing w:line="460" w:lineRule="exact"/>
        <w:ind w:firstLine="472" w:firstLineChars="200"/>
        <w:rPr>
          <w:rFonts w:eastAsia="方正仿宋_GBK"/>
          <w:color w:val="000000"/>
          <w:spacing w:val="-2"/>
          <w:sz w:val="24"/>
        </w:rPr>
      </w:pPr>
    </w:p>
    <w:p>
      <w:pPr>
        <w:spacing w:line="460" w:lineRule="exact"/>
        <w:rPr>
          <w:rFonts w:eastAsia="方正仿宋_GBK"/>
          <w:color w:val="000000"/>
          <w:spacing w:val="-2"/>
          <w:sz w:val="24"/>
        </w:rPr>
      </w:pPr>
      <w:r>
        <w:rPr>
          <w:rFonts w:eastAsia="方正仿宋_GBK"/>
          <w:color w:val="000000"/>
          <w:spacing w:val="-2"/>
          <w:sz w:val="24"/>
        </w:rPr>
        <w:t xml:space="preserve">    </w:t>
      </w:r>
      <w:r>
        <w:rPr>
          <w:rFonts w:hint="eastAsia" w:eastAsia="方正仿宋_GBK"/>
          <w:color w:val="000000"/>
          <w:spacing w:val="-2"/>
          <w:sz w:val="24"/>
        </w:rPr>
        <w:t>附件：</w:t>
      </w:r>
      <w:r>
        <w:rPr>
          <w:rFonts w:eastAsia="方正仿宋_GBK"/>
          <w:color w:val="000000"/>
          <w:spacing w:val="-2"/>
          <w:sz w:val="24"/>
        </w:rPr>
        <w:t>1. </w:t>
      </w:r>
      <w:r>
        <w:rPr>
          <w:rFonts w:hint="eastAsia" w:eastAsia="方正仿宋_GBK"/>
          <w:color w:val="000000"/>
          <w:spacing w:val="-2"/>
          <w:sz w:val="24"/>
        </w:rPr>
        <w:t>江苏省域城乡统筹供水技术集成与综合示范课题管理办法</w:t>
      </w:r>
    </w:p>
    <w:p>
      <w:pPr>
        <w:spacing w:line="460" w:lineRule="exact"/>
        <w:ind w:firstLine="1180" w:firstLineChars="500"/>
        <w:rPr>
          <w:rFonts w:eastAsia="方正仿宋_GBK"/>
          <w:color w:val="000000"/>
          <w:spacing w:val="-2"/>
          <w:sz w:val="24"/>
        </w:rPr>
      </w:pPr>
      <w:r>
        <w:rPr>
          <w:rFonts w:eastAsia="方正仿宋_GBK"/>
          <w:color w:val="000000"/>
          <w:spacing w:val="-2"/>
          <w:sz w:val="24"/>
        </w:rPr>
        <w:t>2. </w:t>
      </w:r>
      <w:r>
        <w:rPr>
          <w:rFonts w:hint="eastAsia" w:eastAsia="方正仿宋_GBK"/>
          <w:color w:val="000000"/>
          <w:spacing w:val="-2"/>
          <w:sz w:val="24"/>
        </w:rPr>
        <w:t>江苏省域城乡统筹供水技术集成与综合示范课题中央财政经费管理暂行</w:t>
      </w:r>
    </w:p>
    <w:p>
      <w:pPr>
        <w:spacing w:line="460" w:lineRule="exact"/>
        <w:ind w:firstLine="1390" w:firstLineChars="589"/>
        <w:rPr>
          <w:rFonts w:eastAsia="方正仿宋_GBK"/>
          <w:color w:val="000000"/>
          <w:spacing w:val="-2"/>
          <w:sz w:val="24"/>
        </w:rPr>
      </w:pPr>
      <w:r>
        <w:rPr>
          <w:rFonts w:hint="eastAsia" w:eastAsia="方正仿宋_GBK"/>
          <w:color w:val="000000"/>
          <w:spacing w:val="-2"/>
          <w:sz w:val="24"/>
        </w:rPr>
        <w:t>办法</w:t>
      </w:r>
    </w:p>
    <w:p>
      <w:pPr>
        <w:spacing w:line="460" w:lineRule="exact"/>
        <w:ind w:left="944" w:hanging="944" w:hangingChars="400"/>
        <w:rPr>
          <w:rFonts w:eastAsia="方正仿宋_GBK"/>
          <w:color w:val="000000"/>
          <w:spacing w:val="-2"/>
          <w:sz w:val="24"/>
        </w:rPr>
      </w:pPr>
    </w:p>
    <w:p>
      <w:pPr>
        <w:tabs>
          <w:tab w:val="left" w:pos="8730"/>
        </w:tabs>
        <w:wordWrap w:val="0"/>
        <w:spacing w:line="460" w:lineRule="exact"/>
        <w:ind w:right="-2" w:firstLine="472" w:firstLineChars="200"/>
        <w:jc w:val="right"/>
        <w:rPr>
          <w:rFonts w:eastAsia="方正仿宋_GBK"/>
          <w:color w:val="000000"/>
          <w:spacing w:val="-2"/>
          <w:sz w:val="24"/>
        </w:rPr>
      </w:pPr>
      <w:r>
        <w:rPr>
          <w:rFonts w:hint="eastAsia" w:eastAsia="方正仿宋_GBK"/>
          <w:color w:val="000000"/>
          <w:spacing w:val="-2"/>
          <w:sz w:val="24"/>
        </w:rPr>
        <w:t>江苏省住房和城乡建设厅</w:t>
      </w:r>
      <w:r>
        <w:rPr>
          <w:rFonts w:eastAsia="方正仿宋_GBK"/>
          <w:color w:val="000000"/>
          <w:spacing w:val="-2"/>
          <w:sz w:val="24"/>
        </w:rPr>
        <w:t xml:space="preserve">    </w:t>
      </w:r>
    </w:p>
    <w:p>
      <w:pPr>
        <w:tabs>
          <w:tab w:val="left" w:pos="8730"/>
        </w:tabs>
        <w:wordWrap w:val="0"/>
        <w:spacing w:line="460" w:lineRule="exact"/>
        <w:ind w:right="-2" w:firstLine="472" w:firstLineChars="200"/>
        <w:jc w:val="right"/>
        <w:rPr>
          <w:rFonts w:eastAsia="方正仿宋_GBK"/>
          <w:color w:val="000000"/>
          <w:spacing w:val="-2"/>
          <w:sz w:val="24"/>
        </w:rPr>
      </w:pPr>
      <w:r>
        <w:rPr>
          <w:rFonts w:eastAsia="方正仿宋_GBK"/>
          <w:color w:val="000000"/>
          <w:spacing w:val="-2"/>
          <w:sz w:val="24"/>
        </w:rPr>
        <w:t xml:space="preserve">                       2015</w:t>
      </w:r>
      <w:r>
        <w:rPr>
          <w:rFonts w:hint="eastAsia" w:eastAsia="方正仿宋_GBK"/>
          <w:color w:val="000000"/>
          <w:spacing w:val="-2"/>
          <w:sz w:val="24"/>
        </w:rPr>
        <w:t>年</w:t>
      </w:r>
      <w:r>
        <w:rPr>
          <w:rFonts w:eastAsia="方正仿宋_GBK"/>
          <w:color w:val="000000"/>
          <w:spacing w:val="-2"/>
          <w:sz w:val="24"/>
        </w:rPr>
        <w:t>5</w:t>
      </w:r>
      <w:r>
        <w:rPr>
          <w:rFonts w:hint="eastAsia" w:eastAsia="方正仿宋_GBK"/>
          <w:color w:val="000000"/>
          <w:spacing w:val="-2"/>
          <w:sz w:val="24"/>
        </w:rPr>
        <w:t>月</w:t>
      </w:r>
      <w:r>
        <w:rPr>
          <w:rFonts w:eastAsia="方正仿宋_GBK"/>
          <w:color w:val="000000"/>
          <w:spacing w:val="-2"/>
          <w:sz w:val="24"/>
        </w:rPr>
        <w:t>7</w:t>
      </w:r>
      <w:r>
        <w:rPr>
          <w:rFonts w:hint="eastAsia" w:eastAsia="方正仿宋_GBK"/>
          <w:color w:val="000000"/>
          <w:spacing w:val="-2"/>
          <w:sz w:val="24"/>
        </w:rPr>
        <w:t>日</w:t>
      </w:r>
      <w:r>
        <w:rPr>
          <w:rFonts w:eastAsia="方正仿宋_GBK"/>
          <w:color w:val="000000"/>
          <w:spacing w:val="-2"/>
          <w:sz w:val="24"/>
        </w:rPr>
        <w:t xml:space="preserve">       </w:t>
      </w:r>
    </w:p>
    <w:p>
      <w:pPr>
        <w:spacing w:line="460" w:lineRule="exact"/>
        <w:ind w:right="640"/>
        <w:rPr>
          <w:rFonts w:ascii="Times New Roman" w:eastAsia="方正黑体_GBK"/>
          <w:color w:val="000000"/>
          <w:spacing w:val="-2"/>
          <w:sz w:val="28"/>
          <w:szCs w:val="28"/>
        </w:rPr>
      </w:pPr>
      <w:r>
        <w:rPr>
          <w:rFonts w:eastAsia="方正仿宋_GBK"/>
          <w:color w:val="000000"/>
          <w:spacing w:val="-2"/>
          <w:sz w:val="24"/>
        </w:rPr>
        <w:br w:type="column"/>
      </w:r>
      <w:r>
        <w:rPr>
          <w:rFonts w:hint="eastAsia" w:ascii="Times New Roman" w:eastAsia="方正黑体_GBK"/>
          <w:color w:val="000000"/>
          <w:spacing w:val="-2"/>
          <w:sz w:val="28"/>
          <w:szCs w:val="28"/>
        </w:rPr>
        <w:t>附件1：</w:t>
      </w:r>
    </w:p>
    <w:p>
      <w:pPr>
        <w:spacing w:line="460" w:lineRule="exact"/>
        <w:ind w:right="640"/>
        <w:rPr>
          <w:rFonts w:hint="eastAsia" w:eastAsia="方正仿宋_GBK"/>
          <w:color w:val="000000"/>
          <w:spacing w:val="-2"/>
          <w:sz w:val="24"/>
        </w:rPr>
      </w:pPr>
    </w:p>
    <w:p>
      <w:pPr>
        <w:spacing w:line="500" w:lineRule="exact"/>
        <w:jc w:val="center"/>
        <w:rPr>
          <w:rFonts w:ascii="Times New Roman" w:eastAsia="方正黑体_GBK"/>
          <w:color w:val="000000"/>
          <w:spacing w:val="-2"/>
          <w:sz w:val="36"/>
          <w:szCs w:val="36"/>
        </w:rPr>
      </w:pPr>
      <w:r>
        <w:rPr>
          <w:rFonts w:hint="eastAsia" w:ascii="Times New Roman" w:eastAsia="方正黑体_GBK"/>
          <w:color w:val="000000"/>
          <w:spacing w:val="-2"/>
          <w:sz w:val="36"/>
          <w:szCs w:val="36"/>
        </w:rPr>
        <w:t>江苏省域城乡统筹供水技术集成与综合示范</w:t>
      </w:r>
    </w:p>
    <w:p>
      <w:pPr>
        <w:spacing w:line="500" w:lineRule="exact"/>
        <w:jc w:val="center"/>
        <w:rPr>
          <w:rFonts w:hint="eastAsia" w:ascii="Times New Roman" w:eastAsia="方正黑体_GBK"/>
          <w:color w:val="000000"/>
          <w:spacing w:val="-2"/>
          <w:sz w:val="36"/>
          <w:szCs w:val="36"/>
        </w:rPr>
      </w:pPr>
      <w:r>
        <w:rPr>
          <w:rFonts w:hint="eastAsia" w:ascii="Times New Roman" w:eastAsia="方正黑体_GBK"/>
          <w:color w:val="000000"/>
          <w:spacing w:val="-2"/>
          <w:sz w:val="36"/>
          <w:szCs w:val="36"/>
        </w:rPr>
        <w:t>课题管理办法</w:t>
      </w:r>
    </w:p>
    <w:p>
      <w:pPr>
        <w:spacing w:line="460" w:lineRule="exact"/>
        <w:jc w:val="center"/>
        <w:rPr>
          <w:rFonts w:hint="eastAsia" w:eastAsia="方正仿宋_GBK"/>
          <w:color w:val="000000"/>
          <w:spacing w:val="-2"/>
          <w:sz w:val="24"/>
        </w:rPr>
      </w:pPr>
    </w:p>
    <w:p>
      <w:pPr>
        <w:spacing w:line="460" w:lineRule="exact"/>
        <w:jc w:val="center"/>
        <w:rPr>
          <w:rFonts w:ascii="Times New Roman" w:eastAsia="方正黑体_GBK"/>
          <w:color w:val="000000"/>
          <w:spacing w:val="-2"/>
          <w:sz w:val="24"/>
        </w:rPr>
      </w:pPr>
      <w:r>
        <w:rPr>
          <w:rFonts w:hint="eastAsia" w:ascii="Times New Roman" w:eastAsia="方正黑体_GBK"/>
          <w:color w:val="000000"/>
          <w:spacing w:val="-2"/>
          <w:sz w:val="24"/>
        </w:rPr>
        <w:t>第一章  总  则</w:t>
      </w:r>
    </w:p>
    <w:p>
      <w:pPr>
        <w:spacing w:line="460" w:lineRule="exact"/>
        <w:ind w:firstLine="474" w:firstLineChars="200"/>
        <w:rPr>
          <w:rFonts w:hint="eastAsia" w:eastAsia="方正仿宋_GBK"/>
          <w:b/>
          <w:color w:val="000000"/>
          <w:spacing w:val="-2"/>
          <w:sz w:val="24"/>
        </w:rPr>
      </w:pP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第一条</w:t>
      </w:r>
      <w:r>
        <w:rPr>
          <w:rFonts w:eastAsia="方正仿宋_GBK"/>
          <w:b/>
          <w:color w:val="000000"/>
          <w:spacing w:val="-2"/>
          <w:sz w:val="24"/>
        </w:rPr>
        <w:t xml:space="preserve">  </w:t>
      </w:r>
      <w:r>
        <w:rPr>
          <w:rFonts w:hint="eastAsia" w:eastAsia="方正仿宋_GBK"/>
          <w:color w:val="000000"/>
          <w:spacing w:val="-2"/>
          <w:sz w:val="24"/>
        </w:rPr>
        <w:t>为保证</w:t>
      </w:r>
      <w:r>
        <w:rPr>
          <w:rFonts w:eastAsia="方正仿宋_GBK"/>
          <w:color w:val="000000"/>
          <w:spacing w:val="-2"/>
          <w:sz w:val="24"/>
        </w:rPr>
        <w:t>“</w:t>
      </w:r>
      <w:r>
        <w:rPr>
          <w:rFonts w:hint="eastAsia" w:eastAsia="方正仿宋_GBK"/>
          <w:color w:val="000000"/>
          <w:spacing w:val="-2"/>
          <w:sz w:val="24"/>
        </w:rPr>
        <w:t>江苏省域城乡统筹供水技术集成与综合示范课题</w:t>
      </w:r>
      <w:r>
        <w:rPr>
          <w:rFonts w:eastAsia="方正仿宋_GBK"/>
          <w:color w:val="000000"/>
          <w:spacing w:val="-2"/>
          <w:sz w:val="24"/>
        </w:rPr>
        <w:t>”</w:t>
      </w:r>
      <w:r>
        <w:rPr>
          <w:rFonts w:hint="eastAsia" w:eastAsia="方正仿宋_GBK"/>
          <w:color w:val="000000"/>
          <w:spacing w:val="-2"/>
          <w:sz w:val="24"/>
        </w:rPr>
        <w:t>（以下简称</w:t>
      </w:r>
      <w:r>
        <w:rPr>
          <w:rFonts w:eastAsia="方正仿宋_GBK"/>
          <w:color w:val="000000"/>
          <w:spacing w:val="-2"/>
          <w:sz w:val="24"/>
        </w:rPr>
        <w:t>“</w:t>
      </w:r>
      <w:r>
        <w:rPr>
          <w:rFonts w:hint="eastAsia" w:eastAsia="方正仿宋_GBK"/>
          <w:color w:val="000000"/>
          <w:spacing w:val="-2"/>
          <w:sz w:val="24"/>
        </w:rPr>
        <w:t>课题</w:t>
      </w:r>
      <w:r>
        <w:rPr>
          <w:rFonts w:eastAsia="方正仿宋_GBK"/>
          <w:color w:val="000000"/>
          <w:spacing w:val="-2"/>
          <w:sz w:val="24"/>
        </w:rPr>
        <w:t>”</w:t>
      </w:r>
      <w:r>
        <w:rPr>
          <w:rFonts w:hint="eastAsia" w:eastAsia="方正仿宋_GBK"/>
          <w:color w:val="000000"/>
          <w:spacing w:val="-2"/>
          <w:sz w:val="24"/>
        </w:rPr>
        <w:t>）顺利实施，规范管理课题，按时、保质、保量完成课题研究任务，根据国务院办公厅《组织实施科技重大专项若干工作规则》，国务院常务会议审议通过的《水体污染控制与治理科技重大专项实施方案》，科技部、发展改革委和财政部《国家科技重大专项管理暂行规定》，环保部《关于印发</w:t>
      </w:r>
      <w:r>
        <w:rPr>
          <w:rFonts w:eastAsia="方正仿宋_GBK"/>
          <w:color w:val="000000"/>
          <w:spacing w:val="-2"/>
          <w:sz w:val="24"/>
        </w:rPr>
        <w:t>&lt;</w:t>
      </w:r>
      <w:r>
        <w:rPr>
          <w:rFonts w:hint="eastAsia" w:eastAsia="方正仿宋_GBK"/>
          <w:color w:val="000000"/>
          <w:spacing w:val="-2"/>
          <w:sz w:val="24"/>
        </w:rPr>
        <w:t>水体污染控制与治理科技重大专项管理办法（试行）</w:t>
      </w:r>
      <w:r>
        <w:rPr>
          <w:rFonts w:eastAsia="方正仿宋_GBK"/>
          <w:color w:val="000000"/>
          <w:spacing w:val="-2"/>
          <w:sz w:val="24"/>
        </w:rPr>
        <w:t>&gt;</w:t>
      </w:r>
      <w:r>
        <w:rPr>
          <w:rFonts w:hint="eastAsia" w:eastAsia="方正仿宋_GBK"/>
          <w:color w:val="000000"/>
          <w:spacing w:val="-2"/>
          <w:sz w:val="24"/>
        </w:rPr>
        <w:t>的通知》等要求，特制定课题管理办法。</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第二条</w:t>
      </w:r>
      <w:r>
        <w:rPr>
          <w:rFonts w:eastAsia="方正仿宋_GBK"/>
          <w:color w:val="000000"/>
          <w:spacing w:val="-2"/>
          <w:sz w:val="24"/>
        </w:rPr>
        <w:t xml:space="preserve">  </w:t>
      </w:r>
      <w:r>
        <w:rPr>
          <w:rFonts w:hint="eastAsia" w:eastAsia="方正仿宋_GBK"/>
          <w:color w:val="000000"/>
          <w:spacing w:val="-2"/>
          <w:sz w:val="24"/>
        </w:rPr>
        <w:t>本办法适用于课题牵头组织单位、课题责任单位、任务责任单位、任务参与单位等课题参与单位和课题负责人、任务负责人及任务参与单位技术负责人等相关人员。</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第三条</w:t>
      </w:r>
      <w:r>
        <w:rPr>
          <w:rFonts w:eastAsia="方正仿宋_GBK"/>
          <w:color w:val="000000"/>
          <w:spacing w:val="-2"/>
          <w:sz w:val="24"/>
        </w:rPr>
        <w:t xml:space="preserve">  </w:t>
      </w:r>
      <w:r>
        <w:rPr>
          <w:rFonts w:hint="eastAsia" w:eastAsia="方正仿宋_GBK"/>
          <w:color w:val="000000"/>
          <w:spacing w:val="-2"/>
          <w:sz w:val="24"/>
        </w:rPr>
        <w:t>主要管理措施</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加强统一领导和资源整合。在江苏省住房和城乡建设厅的牵头组织下，充分调动地方政府和主管部门积极性，加强与现有科技资源及成果的衔接，整合科研院所、高校、企业以及国际合作的科技资源，发挥产学研结合的优势，集中力量开展科技攻关。</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二）强化实施管理。根据课题合同书确定的研究任务和主要考核指标、时间节点要求，江苏省城市规划设计研究院分别同东南大学、江苏省城镇供水安全保障中心、宜兴水务集团有限公司三家任务责任单位签订任务合同，同时深化完善自身承担任务内容，明确各任务责任单位和参与单位具体研究任务、考核指标、时间节点等内容。课题实施过程中，以任务责任单位为主体，具体负责研究任务的进度和质量。对于多个单位共同参与的研究内容，任务责任单位应主动加强与各参与单位联系和交流，定期召开任务研究进展情况联席会议，协调解决研究过程中的重大问题，每季度至少召开一次联席会。为保证研究质量，承担科研任务的各单位应根据需要在相关研究内容现场设立办公试验场所，实行驻点科研、办公，任务责任单位对科研人员现场工作情况进行定量考核；技术负责人每季度至少去两次现场，协调、解决科研过程中存在的问题。</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三）明确进度监管。各科研合作院所、高校、企业应根据合同规定的年度任务、年度考核指标和时间节点，拟定季度研究任务完成目标，每季度向任务责任单位报送研究进展情况，任务责任单位向江苏省城市规划设计研究院报送相关情况，江苏省城市规划设计研究院每半年对前两个季度完成情况进行考核，并通报各任务研究进展情况。</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四）强化研究质量控制。江苏省城市规划设计研究院组织专家对课题研究中的重要节点（开题、中期评估和验收）进行质量把关，并根据各任务的研究具体情况进行不定期抽查，确保各项主要技术考核指标、示范工程建设、重要时间节点进度满足合同规定的要求。</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五）加强专家技术指导。由江苏省城市规划设计研究院聘请国家和省内知名的行业和财务专家组成专家咨询委员会，对各任务实施过程中的进度、质量、技术、财务等方面工作进行指导、把关和咨询，确保研究任务在专家的指导下顺利完成。</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六）严格经费拨付和使用管理。课题各参与单位应严格执行财务管理纪律，经费使用必须符合国家水专项课题经费使用有关规定。中央财政经费拨付和使用采取以任务为单位的包干制，除中央财政资金外，其余配套资金由示范工程所在城市或企业筹措。中央财政资金的拨付明确由任务责任单位统筹把关。拨付方式采取由任务参与单位提出具体拨付申请，任务责任单位提出拨付审核意见，江苏省城市规划设计研究院根据专家咨询意见、工作进展情况和研究质量进行拨付。</w:t>
      </w:r>
    </w:p>
    <w:p>
      <w:pPr>
        <w:spacing w:line="460" w:lineRule="exact"/>
        <w:ind w:firstLine="472" w:firstLineChars="200"/>
        <w:rPr>
          <w:rFonts w:eastAsia="方正仿宋_GBK"/>
          <w:color w:val="000000"/>
          <w:spacing w:val="-2"/>
          <w:sz w:val="24"/>
        </w:rPr>
      </w:pPr>
    </w:p>
    <w:p>
      <w:pPr>
        <w:spacing w:line="460" w:lineRule="exact"/>
        <w:jc w:val="center"/>
        <w:rPr>
          <w:rFonts w:ascii="Times New Roman" w:eastAsia="方正黑体_GBK"/>
          <w:color w:val="000000"/>
          <w:spacing w:val="-2"/>
          <w:sz w:val="24"/>
        </w:rPr>
      </w:pPr>
      <w:r>
        <w:rPr>
          <w:rFonts w:hint="eastAsia" w:ascii="Times New Roman" w:eastAsia="方正黑体_GBK"/>
          <w:color w:val="000000"/>
          <w:spacing w:val="-2"/>
          <w:sz w:val="24"/>
        </w:rPr>
        <w:t>第二章  组织机构与职责</w:t>
      </w:r>
    </w:p>
    <w:p>
      <w:pPr>
        <w:spacing w:line="460" w:lineRule="exact"/>
        <w:ind w:firstLine="474" w:firstLineChars="200"/>
        <w:rPr>
          <w:rFonts w:hint="eastAsia" w:eastAsia="方正仿宋_GBK"/>
          <w:b/>
          <w:color w:val="000000"/>
          <w:spacing w:val="-2"/>
          <w:sz w:val="24"/>
        </w:rPr>
      </w:pP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第四条</w:t>
      </w:r>
      <w:r>
        <w:rPr>
          <w:rFonts w:eastAsia="方正仿宋_GBK"/>
          <w:b/>
          <w:color w:val="000000"/>
          <w:spacing w:val="-2"/>
          <w:sz w:val="24"/>
        </w:rPr>
        <w:t xml:space="preserve">  </w:t>
      </w:r>
      <w:r>
        <w:rPr>
          <w:rFonts w:hint="eastAsia" w:eastAsia="方正仿宋_GBK"/>
          <w:color w:val="000000"/>
          <w:spacing w:val="-2"/>
          <w:sz w:val="24"/>
        </w:rPr>
        <w:t>课题牵头组织单位江苏省住房和城乡建设厅负责课题的组织实施。</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在江苏省住房和城乡建设厅领导下，由江苏省城市规划设计研究院和江苏省城镇供水安全保障中心组织成立课题管理办公室，负责课题实施的日常管理工作。</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课题责任单位为江苏省城市规划设计研究院，四个任务责任单位分别为江苏省城市规划设计研究院、东南大学、江苏省城镇供水安全保障中心、宜兴水务集团有限公司，任务参与单位有同济大学、哈尔滨工业大学、河海大学、中国城市规划设计研究院、盐城市市政公用投资有限公司、北京首创股份有限公司、镇江市自来水公司。</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第五条</w:t>
      </w:r>
      <w:r>
        <w:rPr>
          <w:rFonts w:eastAsia="方正仿宋_GBK"/>
          <w:b/>
          <w:color w:val="000000"/>
          <w:spacing w:val="-2"/>
          <w:sz w:val="24"/>
        </w:rPr>
        <w:t xml:space="preserve">  </w:t>
      </w:r>
      <w:r>
        <w:rPr>
          <w:rFonts w:hint="eastAsia" w:eastAsia="方正仿宋_GBK"/>
          <w:color w:val="000000"/>
          <w:spacing w:val="-2"/>
          <w:sz w:val="24"/>
        </w:rPr>
        <w:t>江苏省住房和城乡建设厅的主要职责是：</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（一）组织成立课题管理办公室；</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（二）牵头制定课题管理办法和中央财政经费管理办法；</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（三）协调课题实施的相关支撑条件。</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第六条</w:t>
      </w:r>
      <w:r>
        <w:rPr>
          <w:rFonts w:eastAsia="方正仿宋_GBK"/>
          <w:b/>
          <w:color w:val="000000"/>
          <w:spacing w:val="-2"/>
          <w:sz w:val="24"/>
        </w:rPr>
        <w:t xml:space="preserve">  </w:t>
      </w:r>
      <w:r>
        <w:rPr>
          <w:rFonts w:hint="eastAsia" w:eastAsia="方正仿宋_GBK"/>
          <w:color w:val="000000"/>
          <w:spacing w:val="-2"/>
          <w:sz w:val="24"/>
        </w:rPr>
        <w:t>课题管理办公室的主要职责是：</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（一）承办住房和城乡建设部水专项办和江苏省住房和城乡建设厅交办的有关课题的事务；</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（二）研究提出课题管理办法和中央财政经费管理办法；</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（三）指导课题实施工作；</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（四）审核各任务的阶段实施计划；</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（五）落实课题实施的相关支撑条件，做好课题与其他规划、计划、重大工程的衔接；</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（六）组织对各任务的开题、中期评估和验收；</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（七）根据需要向住房和城乡建设部水专项办提出课题内容的调整建议。</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第七条</w:t>
      </w:r>
      <w:r>
        <w:rPr>
          <w:rFonts w:eastAsia="方正仿宋_GBK"/>
          <w:color w:val="000000"/>
          <w:spacing w:val="-2"/>
          <w:sz w:val="24"/>
        </w:rPr>
        <w:t xml:space="preserve">  </w:t>
      </w:r>
      <w:r>
        <w:rPr>
          <w:rFonts w:hint="eastAsia" w:eastAsia="方正仿宋_GBK"/>
          <w:color w:val="000000"/>
          <w:spacing w:val="-2"/>
          <w:sz w:val="24"/>
        </w:rPr>
        <w:t>江苏省城市规划设计研究院的主要职责是：</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（一）组建课题专家咨询委员会，为课题管理提供咨询和技术支撑，为课题实施提供技术指导；</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（二）与任务责任单位签订任务合同；</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（三）与任务责任单位、参与单位联系沟通，课题实施过程中有关问题的协调解决；</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（四）自身承担任务相关工作；</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（五）对各任务的督促、考核和通报；</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（六）审核、批准各课题参与单位的资金拨付申请；</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（七）编制有关课题信息的简报，报送课题相关信息。</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第八条</w:t>
      </w:r>
      <w:r>
        <w:rPr>
          <w:rFonts w:eastAsia="方正仿宋_GBK"/>
          <w:b/>
          <w:color w:val="000000"/>
          <w:spacing w:val="-2"/>
          <w:sz w:val="24"/>
        </w:rPr>
        <w:t xml:space="preserve">  </w:t>
      </w:r>
      <w:r>
        <w:rPr>
          <w:rFonts w:hint="eastAsia" w:eastAsia="方正仿宋_GBK"/>
          <w:color w:val="000000"/>
          <w:spacing w:val="-2"/>
          <w:sz w:val="24"/>
        </w:rPr>
        <w:t>任务责任单位的主要职责是：</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（一）严格执行任务合同的相关条款；</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（二）提供和协调落实任务实施配套保障条件；</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（三）为任务实施提供财务、知识产权、固定资产和科技档案管理；</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（四）督促、检查相关参与单位的研究内容实施进度和质量，协调相关事宜；</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（五）针对多个单位共同研究的内容，任务责任单位要与任务参与单位加强联系和沟通，定期召开任务进展情况联席会议，沟通研究进展情况，协调解决研究过程中的主要问题；</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（六）组织任务参与单位，根据合同规定的年度任务、年度考核指标和时间节点，拟定季度研究任务完成目标，每季度了解研究进展情况；</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（七）对任务参与单位的科研人员现场工作情况进行定量考核；</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（八）起草相关规程、导则和指南；</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（九）对任务参与单位的资金拨付申请进行预审核，并提出拨付审核意见；</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（十）根据需要向课题管理办公室提出研究内容的调整申请。</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第九条</w:t>
      </w:r>
      <w:r>
        <w:rPr>
          <w:rFonts w:eastAsia="方正仿宋_GBK"/>
          <w:b/>
          <w:color w:val="000000"/>
          <w:spacing w:val="-2"/>
          <w:sz w:val="24"/>
        </w:rPr>
        <w:t xml:space="preserve">  </w:t>
      </w:r>
      <w:r>
        <w:rPr>
          <w:rFonts w:hint="eastAsia" w:eastAsia="方正仿宋_GBK"/>
          <w:color w:val="000000"/>
          <w:spacing w:val="-2"/>
          <w:sz w:val="24"/>
        </w:rPr>
        <w:t>任务参与单位的主要职责是</w:t>
      </w:r>
      <w:r>
        <w:rPr>
          <w:rFonts w:eastAsia="方正仿宋_GBK"/>
          <w:color w:val="000000"/>
          <w:spacing w:val="-2"/>
          <w:sz w:val="24"/>
        </w:rPr>
        <w:t>:</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（一）严格执行合同的相关条款；</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（二）提供和协调落实任务实施配套保障条件；</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（三）为任务实施提供财务、知识产权、固定资产和科技档案管理；</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（四）根据需要在相关研究内容现场设立办公试验场所，实行驻点科研、办公，技术负责人每季度至少去两次现场，协调、解决科研过程中存在的问题；</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（五）根据季度研究任务完成目标，每季度按时向任务责任单位报送任务研究进度，并根据任务责任单位的意见及时调整相关内容；</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（六）配合任务责任单位做好相关规程、导则和指南的起草工作；</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（七）根据需要向任务责任单位提出研究内容的调整申请。</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第十条</w:t>
      </w:r>
      <w:r>
        <w:rPr>
          <w:rFonts w:eastAsia="方正仿宋_GBK"/>
          <w:b/>
          <w:color w:val="000000"/>
          <w:spacing w:val="-2"/>
          <w:sz w:val="24"/>
        </w:rPr>
        <w:t xml:space="preserve">  </w:t>
      </w:r>
      <w:r>
        <w:rPr>
          <w:rFonts w:hint="eastAsia" w:eastAsia="方正仿宋_GBK"/>
          <w:color w:val="000000"/>
          <w:spacing w:val="-2"/>
          <w:sz w:val="24"/>
        </w:rPr>
        <w:t>示范工程及依托工程所在地的城市供水主管部门主要职责是：</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落实本辖区内示范工程或依托工程的各项配套保障条件；参与和配合示范工程或依托工程的立项、监督检查、评估和验收工作；保证配套经费及时足额到位；加强对任务研究工作的指导，强化定期监督考核；协调、帮助供水企业做好中试研究、示范工程、依托工程和成果转化工作，确保按时序进度要求高质量完成任务研究内容和考核指标。</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第十一条</w:t>
      </w:r>
      <w:r>
        <w:rPr>
          <w:rFonts w:eastAsia="方正仿宋_GBK"/>
          <w:b/>
          <w:color w:val="000000"/>
          <w:spacing w:val="-2"/>
          <w:sz w:val="24"/>
        </w:rPr>
        <w:t xml:space="preserve">  </w:t>
      </w:r>
      <w:r>
        <w:rPr>
          <w:rFonts w:hint="eastAsia" w:eastAsia="方正仿宋_GBK"/>
          <w:color w:val="000000"/>
          <w:spacing w:val="-2"/>
          <w:sz w:val="24"/>
        </w:rPr>
        <w:t>课题负责人、任务负责人及任务参与单位技术负责人的主要职责是：</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（一）严格按照合同的要求，完成研究任务和考核指标；</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（二）严格按照课题预算书合理使用经费；</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（三）督促、检查课题（任务）的实施，组织课题（任务）间的沟通和协调；</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（四）报告课题（任务）年度执行情况、阶段总结和重大事项；</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（五）编制课题（任务）验收申请报告和验收材料。</w:t>
      </w:r>
    </w:p>
    <w:p>
      <w:pPr>
        <w:spacing w:line="460" w:lineRule="exact"/>
        <w:ind w:firstLine="472" w:firstLineChars="200"/>
        <w:rPr>
          <w:rFonts w:eastAsia="方正仿宋_GBK"/>
          <w:color w:val="000000"/>
          <w:spacing w:val="-2"/>
          <w:sz w:val="24"/>
        </w:rPr>
      </w:pPr>
    </w:p>
    <w:p>
      <w:pPr>
        <w:spacing w:line="460" w:lineRule="exact"/>
        <w:jc w:val="center"/>
        <w:rPr>
          <w:rFonts w:ascii="Times New Roman" w:eastAsia="方正黑体_GBK"/>
          <w:color w:val="000000"/>
          <w:spacing w:val="-2"/>
          <w:sz w:val="24"/>
        </w:rPr>
      </w:pPr>
      <w:r>
        <w:rPr>
          <w:rFonts w:hint="eastAsia" w:ascii="Times New Roman" w:eastAsia="方正黑体_GBK"/>
          <w:color w:val="000000"/>
          <w:spacing w:val="-2"/>
          <w:sz w:val="24"/>
        </w:rPr>
        <w:t>第三章  资金管理</w:t>
      </w:r>
    </w:p>
    <w:p>
      <w:pPr>
        <w:spacing w:line="460" w:lineRule="exact"/>
        <w:ind w:firstLine="474" w:firstLineChars="200"/>
        <w:rPr>
          <w:rFonts w:hint="eastAsia" w:eastAsia="方正仿宋_GBK"/>
          <w:b/>
          <w:color w:val="000000"/>
          <w:spacing w:val="-2"/>
          <w:sz w:val="24"/>
        </w:rPr>
      </w:pP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第十二条</w:t>
      </w:r>
      <w:r>
        <w:rPr>
          <w:rFonts w:eastAsia="方正仿宋_GBK"/>
          <w:b/>
          <w:color w:val="000000"/>
          <w:spacing w:val="-2"/>
          <w:sz w:val="24"/>
        </w:rPr>
        <w:t xml:space="preserve">  </w:t>
      </w:r>
      <w:r>
        <w:rPr>
          <w:rFonts w:hint="eastAsia" w:eastAsia="方正仿宋_GBK"/>
          <w:color w:val="000000"/>
          <w:spacing w:val="-2"/>
          <w:sz w:val="24"/>
        </w:rPr>
        <w:t>课题经费来源于中央财政投入、地方财政投入以及企业、金融机构和社会资金投入。中央财政投入主要用于课题实施过程中市场机制不能有效配置资源的基础性和公益性研究，以及企业竞争前的共性技术和重大关键技术研究开发等，地方财政投入和企业等资金投入主要用于技术的工程示范、产业化及相关研究。中央财政、地方财政和社会资金应统筹安排、使用和管理。</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第十三条</w:t>
      </w:r>
      <w:r>
        <w:rPr>
          <w:rFonts w:eastAsia="方正仿宋_GBK"/>
          <w:b/>
          <w:color w:val="000000"/>
          <w:spacing w:val="-2"/>
          <w:sz w:val="24"/>
        </w:rPr>
        <w:t xml:space="preserve">  </w:t>
      </w:r>
      <w:r>
        <w:rPr>
          <w:rFonts w:hint="eastAsia" w:eastAsia="方正仿宋_GBK"/>
          <w:color w:val="000000"/>
          <w:spacing w:val="-2"/>
          <w:sz w:val="24"/>
        </w:rPr>
        <w:t>统筹使用各方面的资金投入，提高资金使用效益。示范工程、依托工程所在地方政府应确保配套资金及时、足额到位。来源于中央财政的专项经费，严格执行国家预算管理和财政资金管理的有关规定；来源于地方财政的专项经费，严格执行地方预算管理和财政资金管理的有关规定；其他来源资金，按照</w:t>
      </w:r>
      <w:r>
        <w:rPr>
          <w:rFonts w:eastAsia="方正仿宋_GBK"/>
          <w:color w:val="000000"/>
          <w:spacing w:val="-2"/>
          <w:sz w:val="24"/>
        </w:rPr>
        <w:t>“</w:t>
      </w:r>
      <w:r>
        <w:rPr>
          <w:rFonts w:hint="eastAsia" w:eastAsia="方正仿宋_GBK"/>
          <w:color w:val="000000"/>
          <w:spacing w:val="-2"/>
          <w:sz w:val="24"/>
        </w:rPr>
        <w:t>谁出资、谁监管</w:t>
      </w:r>
      <w:r>
        <w:rPr>
          <w:rFonts w:eastAsia="方正仿宋_GBK"/>
          <w:color w:val="000000"/>
          <w:spacing w:val="-2"/>
          <w:sz w:val="24"/>
        </w:rPr>
        <w:t>”</w:t>
      </w:r>
      <w:r>
        <w:rPr>
          <w:rFonts w:hint="eastAsia" w:eastAsia="方正仿宋_GBK"/>
          <w:color w:val="000000"/>
          <w:spacing w:val="-2"/>
          <w:sz w:val="24"/>
        </w:rPr>
        <w:t>的原则和相应的管理规定进行管理。</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第十四条</w:t>
      </w:r>
      <w:r>
        <w:rPr>
          <w:rFonts w:eastAsia="方正仿宋_GBK"/>
          <w:b/>
          <w:color w:val="000000"/>
          <w:spacing w:val="-2"/>
          <w:sz w:val="24"/>
        </w:rPr>
        <w:t xml:space="preserve">  </w:t>
      </w:r>
      <w:r>
        <w:rPr>
          <w:rFonts w:hint="eastAsia" w:eastAsia="方正仿宋_GBK"/>
          <w:color w:val="000000"/>
          <w:spacing w:val="-2"/>
          <w:sz w:val="24"/>
        </w:rPr>
        <w:t>中央财政经费管理办法根据国家有关规定另行制定。</w:t>
      </w:r>
    </w:p>
    <w:p>
      <w:pPr>
        <w:spacing w:line="460" w:lineRule="exact"/>
        <w:ind w:firstLine="472" w:firstLineChars="200"/>
        <w:rPr>
          <w:rFonts w:eastAsia="方正仿宋_GBK"/>
          <w:color w:val="000000"/>
          <w:spacing w:val="-2"/>
          <w:sz w:val="24"/>
        </w:rPr>
      </w:pPr>
    </w:p>
    <w:p>
      <w:pPr>
        <w:spacing w:line="460" w:lineRule="exact"/>
        <w:jc w:val="center"/>
        <w:rPr>
          <w:rFonts w:ascii="Times New Roman" w:eastAsia="方正黑体_GBK"/>
          <w:color w:val="000000"/>
          <w:spacing w:val="-2"/>
          <w:sz w:val="24"/>
        </w:rPr>
      </w:pPr>
      <w:r>
        <w:rPr>
          <w:rFonts w:hint="eastAsia" w:ascii="Times New Roman" w:eastAsia="方正黑体_GBK"/>
          <w:color w:val="000000"/>
          <w:spacing w:val="-2"/>
          <w:sz w:val="24"/>
        </w:rPr>
        <w:t>第四章  人才、知识产权和资产管理</w:t>
      </w:r>
    </w:p>
    <w:p>
      <w:pPr>
        <w:spacing w:line="460" w:lineRule="exact"/>
        <w:ind w:firstLine="472" w:firstLineChars="200"/>
        <w:rPr>
          <w:rFonts w:hint="eastAsia" w:ascii="Times New Roman" w:eastAsia="方正黑体_GBK"/>
          <w:color w:val="000000"/>
          <w:spacing w:val="-2"/>
          <w:sz w:val="24"/>
        </w:rPr>
      </w:pPr>
    </w:p>
    <w:p>
      <w:pPr>
        <w:spacing w:line="460" w:lineRule="exact"/>
        <w:ind w:firstLine="472" w:firstLineChars="200"/>
        <w:rPr>
          <w:rFonts w:hint="eastAsia" w:eastAsia="方正仿宋_GBK"/>
          <w:color w:val="000000"/>
          <w:spacing w:val="-2"/>
          <w:sz w:val="24"/>
        </w:rPr>
      </w:pPr>
      <w:r>
        <w:rPr>
          <w:rFonts w:hint="eastAsia" w:ascii="Times New Roman" w:eastAsia="方正黑体_GBK"/>
          <w:color w:val="000000"/>
          <w:spacing w:val="-2"/>
          <w:sz w:val="24"/>
        </w:rPr>
        <w:t>第十五条</w:t>
      </w:r>
      <w:r>
        <w:rPr>
          <w:rFonts w:eastAsia="方正仿宋_GBK"/>
          <w:b/>
          <w:color w:val="000000"/>
          <w:spacing w:val="-2"/>
          <w:sz w:val="24"/>
        </w:rPr>
        <w:t xml:space="preserve">  </w:t>
      </w:r>
      <w:r>
        <w:rPr>
          <w:rFonts w:hint="eastAsia" w:eastAsia="方正仿宋_GBK"/>
          <w:color w:val="000000"/>
          <w:spacing w:val="-2"/>
          <w:sz w:val="24"/>
        </w:rPr>
        <w:t>课题研究应积极吸引各类高层次人才参与科技攻关，鼓励中青年科技骨干参与课题，凝聚和培养一批高水平的研究开发人才队伍。</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第十六条</w:t>
      </w:r>
      <w:r>
        <w:rPr>
          <w:rFonts w:eastAsia="方正仿宋_GBK"/>
          <w:b/>
          <w:color w:val="000000"/>
          <w:spacing w:val="-2"/>
          <w:sz w:val="24"/>
        </w:rPr>
        <w:t xml:space="preserve">  </w:t>
      </w:r>
      <w:r>
        <w:rPr>
          <w:rFonts w:hint="eastAsia" w:eastAsia="方正仿宋_GBK"/>
          <w:color w:val="000000"/>
          <w:spacing w:val="-2"/>
          <w:sz w:val="24"/>
        </w:rPr>
        <w:t>课题参与单位应加强知识产权管理，严格执行科技部《关于加强国家科技计划知识产权管理工作的规定》。课题形成的知识产权，其归属、使用和管理按照《关于国家科研计划项目研究成果知识产权管理的若干规定》执行。</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第十七条</w:t>
      </w:r>
      <w:r>
        <w:rPr>
          <w:rFonts w:eastAsia="方正仿宋_GBK"/>
          <w:b/>
          <w:color w:val="000000"/>
          <w:spacing w:val="-2"/>
          <w:sz w:val="24"/>
        </w:rPr>
        <w:t xml:space="preserve">  </w:t>
      </w:r>
      <w:r>
        <w:rPr>
          <w:rFonts w:hint="eastAsia" w:eastAsia="方正仿宋_GBK"/>
          <w:color w:val="000000"/>
          <w:spacing w:val="-2"/>
          <w:sz w:val="24"/>
        </w:rPr>
        <w:t>课题实施形成的研究成果，包括论文、专著、专利、软件、数据库等，均应标注</w:t>
      </w:r>
      <w:r>
        <w:rPr>
          <w:rFonts w:eastAsia="方正仿宋_GBK"/>
          <w:color w:val="000000"/>
          <w:spacing w:val="-2"/>
          <w:sz w:val="24"/>
        </w:rPr>
        <w:t>“</w:t>
      </w:r>
      <w:r>
        <w:rPr>
          <w:rFonts w:hint="eastAsia" w:eastAsia="方正仿宋_GBK"/>
          <w:color w:val="000000"/>
          <w:spacing w:val="-2"/>
          <w:sz w:val="24"/>
        </w:rPr>
        <w:t>水体污染控制与治理科技重大专项资助</w:t>
      </w:r>
      <w:r>
        <w:rPr>
          <w:rFonts w:eastAsia="方正仿宋_GBK"/>
          <w:color w:val="000000"/>
          <w:spacing w:val="-2"/>
          <w:sz w:val="24"/>
        </w:rPr>
        <w:t>”</w:t>
      </w:r>
      <w:r>
        <w:rPr>
          <w:rFonts w:hint="eastAsia" w:eastAsia="方正仿宋_GBK"/>
          <w:color w:val="000000"/>
          <w:spacing w:val="-2"/>
          <w:sz w:val="24"/>
        </w:rPr>
        <w:t>字样及课题编号，不做标注的成果，评估或验收时不予认可。</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第十八条</w:t>
      </w:r>
      <w:r>
        <w:rPr>
          <w:rFonts w:eastAsia="方正仿宋_GBK"/>
          <w:b/>
          <w:color w:val="000000"/>
          <w:spacing w:val="-2"/>
          <w:sz w:val="24"/>
        </w:rPr>
        <w:t xml:space="preserve">  </w:t>
      </w:r>
      <w:r>
        <w:rPr>
          <w:rFonts w:hint="eastAsia" w:eastAsia="方正仿宋_GBK"/>
          <w:color w:val="000000"/>
          <w:spacing w:val="-2"/>
          <w:sz w:val="24"/>
        </w:rPr>
        <w:t>课题研究过程中形成的无形资产，属国有资产，由相应课题参与单位负责管理和使用。课题研究成果转化及无形资产使用产生的经济效益按《中华人民共和国促进科技成果转化法》和国家有关规定执行。</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第十九条</w:t>
      </w:r>
      <w:r>
        <w:rPr>
          <w:rFonts w:eastAsia="方正仿宋_GBK"/>
          <w:b/>
          <w:color w:val="000000"/>
          <w:spacing w:val="-2"/>
          <w:sz w:val="24"/>
        </w:rPr>
        <w:t xml:space="preserve">  </w:t>
      </w:r>
      <w:r>
        <w:rPr>
          <w:rFonts w:hint="eastAsia" w:eastAsia="方正仿宋_GBK"/>
          <w:color w:val="000000"/>
          <w:spacing w:val="-2"/>
          <w:sz w:val="24"/>
        </w:rPr>
        <w:t>用中央财政经费购置或试制的固定资产属于国有资产，资产的管理按照国家有关规定执行。</w:t>
      </w:r>
    </w:p>
    <w:p>
      <w:pPr>
        <w:spacing w:line="460" w:lineRule="exact"/>
        <w:ind w:firstLine="472" w:firstLineChars="200"/>
        <w:rPr>
          <w:rFonts w:eastAsia="方正仿宋_GBK"/>
          <w:color w:val="000000"/>
          <w:spacing w:val="-2"/>
          <w:sz w:val="24"/>
        </w:rPr>
      </w:pPr>
    </w:p>
    <w:p>
      <w:pPr>
        <w:spacing w:line="460" w:lineRule="exact"/>
        <w:jc w:val="center"/>
        <w:rPr>
          <w:rFonts w:ascii="Times New Roman" w:eastAsia="方正黑体_GBK"/>
          <w:color w:val="000000"/>
          <w:spacing w:val="-2"/>
          <w:sz w:val="24"/>
        </w:rPr>
      </w:pPr>
      <w:r>
        <w:rPr>
          <w:rFonts w:hint="eastAsia" w:ascii="Times New Roman" w:eastAsia="方正黑体_GBK"/>
          <w:color w:val="000000"/>
          <w:spacing w:val="-2"/>
          <w:sz w:val="24"/>
        </w:rPr>
        <w:t>第五章  其    他</w:t>
      </w:r>
    </w:p>
    <w:p>
      <w:pPr>
        <w:spacing w:line="460" w:lineRule="exact"/>
        <w:ind w:firstLine="474" w:firstLineChars="200"/>
        <w:rPr>
          <w:rFonts w:hint="eastAsia" w:eastAsia="方正仿宋_GBK"/>
          <w:b/>
          <w:color w:val="000000"/>
          <w:spacing w:val="-2"/>
          <w:sz w:val="24"/>
        </w:rPr>
      </w:pP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第二十条</w:t>
      </w:r>
      <w:r>
        <w:rPr>
          <w:rFonts w:eastAsia="方正仿宋_GBK"/>
          <w:b/>
          <w:color w:val="000000"/>
          <w:spacing w:val="-2"/>
          <w:sz w:val="24"/>
        </w:rPr>
        <w:t xml:space="preserve">  </w:t>
      </w:r>
      <w:r>
        <w:rPr>
          <w:rFonts w:hint="eastAsia" w:eastAsia="方正仿宋_GBK"/>
          <w:color w:val="000000"/>
          <w:spacing w:val="-2"/>
          <w:sz w:val="24"/>
        </w:rPr>
        <w:t>对于在申请、评议、评审、评估、检查、执行和验收过程中发现的弄虚作假、徇私舞弊行为，以及违规操作或因主观原因未能完成合同任务并造成重大损失者，将公开通报直接责任者，并上报住房和城乡建设部水专项办按相关规定进行处理。</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第二十一条</w:t>
      </w:r>
      <w:r>
        <w:rPr>
          <w:rFonts w:eastAsia="方正仿宋_GBK"/>
          <w:b/>
          <w:color w:val="000000"/>
          <w:spacing w:val="-2"/>
          <w:sz w:val="24"/>
        </w:rPr>
        <w:t xml:space="preserve">  </w:t>
      </w:r>
      <w:r>
        <w:rPr>
          <w:rFonts w:hint="eastAsia" w:eastAsia="方正仿宋_GBK"/>
          <w:color w:val="000000"/>
          <w:spacing w:val="-2"/>
          <w:sz w:val="24"/>
        </w:rPr>
        <w:t>本办法由江苏省住房和城乡建设厅负责解释，自发布之日起施行。</w:t>
      </w:r>
    </w:p>
    <w:p>
      <w:pPr>
        <w:spacing w:line="460" w:lineRule="exact"/>
        <w:rPr>
          <w:rFonts w:ascii="Times New Roman" w:eastAsia="方正黑体_GBK"/>
          <w:color w:val="000000"/>
          <w:spacing w:val="-2"/>
          <w:sz w:val="28"/>
          <w:szCs w:val="28"/>
        </w:rPr>
      </w:pPr>
      <w:r>
        <w:rPr>
          <w:rFonts w:eastAsia="方正仿宋_GBK"/>
          <w:color w:val="000000"/>
          <w:spacing w:val="-2"/>
          <w:sz w:val="24"/>
        </w:rPr>
        <w:br w:type="page"/>
      </w:r>
      <w:r>
        <w:rPr>
          <w:rFonts w:hint="eastAsia" w:ascii="Times New Roman" w:eastAsia="方正黑体_GBK"/>
          <w:color w:val="000000"/>
          <w:spacing w:val="-2"/>
          <w:sz w:val="28"/>
          <w:szCs w:val="28"/>
        </w:rPr>
        <w:t>附件2：</w:t>
      </w:r>
    </w:p>
    <w:p>
      <w:pPr>
        <w:spacing w:line="460" w:lineRule="exact"/>
        <w:rPr>
          <w:rFonts w:hint="eastAsia" w:eastAsia="方正仿宋_GBK"/>
          <w:b/>
          <w:color w:val="000000"/>
          <w:spacing w:val="-2"/>
          <w:sz w:val="24"/>
        </w:rPr>
      </w:pPr>
    </w:p>
    <w:p>
      <w:pPr>
        <w:spacing w:line="460" w:lineRule="exact"/>
        <w:jc w:val="center"/>
        <w:rPr>
          <w:rFonts w:ascii="Times New Roman" w:eastAsia="方正黑体_GBK"/>
          <w:color w:val="000000"/>
          <w:spacing w:val="-2"/>
          <w:sz w:val="36"/>
          <w:szCs w:val="36"/>
        </w:rPr>
      </w:pPr>
      <w:r>
        <w:rPr>
          <w:rFonts w:hint="eastAsia" w:ascii="Times New Roman" w:eastAsia="方正黑体_GBK"/>
          <w:color w:val="000000"/>
          <w:spacing w:val="-2"/>
          <w:sz w:val="36"/>
          <w:szCs w:val="36"/>
        </w:rPr>
        <w:t>江苏省域城乡统筹供水技术集成与综合示范</w:t>
      </w:r>
    </w:p>
    <w:p>
      <w:pPr>
        <w:spacing w:line="460" w:lineRule="exact"/>
        <w:jc w:val="center"/>
        <w:rPr>
          <w:rFonts w:hint="eastAsia" w:ascii="Times New Roman" w:eastAsia="方正黑体_GBK"/>
          <w:color w:val="000000"/>
          <w:spacing w:val="-2"/>
          <w:sz w:val="36"/>
          <w:szCs w:val="36"/>
        </w:rPr>
      </w:pPr>
      <w:r>
        <w:rPr>
          <w:rFonts w:hint="eastAsia" w:ascii="Times New Roman" w:eastAsia="方正黑体_GBK"/>
          <w:color w:val="000000"/>
          <w:spacing w:val="-2"/>
          <w:sz w:val="36"/>
          <w:szCs w:val="36"/>
        </w:rPr>
        <w:t>课题中央财政经费管理暂行办法</w:t>
      </w:r>
    </w:p>
    <w:p>
      <w:pPr>
        <w:spacing w:line="460" w:lineRule="exact"/>
        <w:rPr>
          <w:rFonts w:hint="eastAsia" w:eastAsia="方正仿宋_GBK"/>
          <w:b/>
          <w:color w:val="000000"/>
          <w:spacing w:val="-2"/>
          <w:sz w:val="24"/>
        </w:rPr>
      </w:pPr>
    </w:p>
    <w:p>
      <w:pPr>
        <w:spacing w:line="460" w:lineRule="exact"/>
        <w:jc w:val="center"/>
        <w:rPr>
          <w:rFonts w:ascii="Times New Roman" w:eastAsia="方正黑体_GBK"/>
          <w:color w:val="000000"/>
          <w:spacing w:val="-2"/>
          <w:sz w:val="24"/>
        </w:rPr>
      </w:pPr>
      <w:r>
        <w:rPr>
          <w:rFonts w:hint="eastAsia" w:ascii="Times New Roman" w:eastAsia="方正黑体_GBK"/>
          <w:color w:val="000000"/>
          <w:spacing w:val="-2"/>
          <w:sz w:val="24"/>
        </w:rPr>
        <w:t>第一章  总    则</w:t>
      </w:r>
    </w:p>
    <w:p>
      <w:pPr>
        <w:spacing w:line="460" w:lineRule="exact"/>
        <w:ind w:firstLine="474" w:firstLineChars="200"/>
        <w:rPr>
          <w:rFonts w:hint="eastAsia" w:eastAsia="方正仿宋_GBK"/>
          <w:b/>
          <w:bCs/>
          <w:color w:val="000000"/>
          <w:spacing w:val="-2"/>
          <w:sz w:val="24"/>
        </w:rPr>
      </w:pP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第一条</w:t>
      </w:r>
      <w:r>
        <w:rPr>
          <w:rFonts w:eastAsia="方正仿宋_GBK"/>
          <w:b/>
          <w:bCs/>
          <w:color w:val="000000"/>
          <w:spacing w:val="-2"/>
          <w:sz w:val="24"/>
        </w:rPr>
        <w:t xml:space="preserve">  </w:t>
      </w:r>
      <w:r>
        <w:rPr>
          <w:rFonts w:hint="eastAsia" w:eastAsia="方正仿宋_GBK"/>
          <w:color w:val="000000"/>
          <w:spacing w:val="-2"/>
          <w:sz w:val="24"/>
        </w:rPr>
        <w:t>为保障</w:t>
      </w:r>
      <w:r>
        <w:rPr>
          <w:rFonts w:eastAsia="方正仿宋_GBK"/>
          <w:color w:val="000000"/>
          <w:spacing w:val="-2"/>
          <w:sz w:val="24"/>
        </w:rPr>
        <w:t>“</w:t>
      </w:r>
      <w:r>
        <w:rPr>
          <w:rFonts w:hint="eastAsia" w:eastAsia="方正仿宋_GBK"/>
          <w:color w:val="000000"/>
          <w:spacing w:val="-2"/>
          <w:sz w:val="24"/>
        </w:rPr>
        <w:t>江苏省域城乡统筹供水技术集成与综合示范</w:t>
      </w:r>
      <w:r>
        <w:rPr>
          <w:rFonts w:eastAsia="方正仿宋_GBK"/>
          <w:color w:val="000000"/>
          <w:spacing w:val="-2"/>
          <w:sz w:val="24"/>
        </w:rPr>
        <w:t>”</w:t>
      </w:r>
      <w:r>
        <w:rPr>
          <w:rFonts w:hint="eastAsia" w:eastAsia="方正仿宋_GBK"/>
          <w:color w:val="000000"/>
          <w:spacing w:val="-2"/>
          <w:sz w:val="24"/>
        </w:rPr>
        <w:t>课题（以下简称</w:t>
      </w:r>
      <w:r>
        <w:rPr>
          <w:rFonts w:eastAsia="方正仿宋_GBK"/>
          <w:color w:val="000000"/>
          <w:spacing w:val="-2"/>
          <w:sz w:val="24"/>
        </w:rPr>
        <w:t>“</w:t>
      </w:r>
      <w:r>
        <w:rPr>
          <w:rFonts w:hint="eastAsia" w:eastAsia="方正仿宋_GBK"/>
          <w:color w:val="000000"/>
          <w:spacing w:val="-2"/>
          <w:sz w:val="24"/>
        </w:rPr>
        <w:t>课题</w:t>
      </w:r>
      <w:r>
        <w:rPr>
          <w:rFonts w:eastAsia="方正仿宋_GBK"/>
          <w:color w:val="000000"/>
          <w:spacing w:val="-2"/>
          <w:sz w:val="24"/>
        </w:rPr>
        <w:t>”</w:t>
      </w:r>
      <w:r>
        <w:rPr>
          <w:rFonts w:hint="eastAsia" w:eastAsia="方正仿宋_GBK"/>
          <w:color w:val="000000"/>
          <w:spacing w:val="-2"/>
          <w:sz w:val="24"/>
        </w:rPr>
        <w:t>）的组织实施，规范和加强课题经费管理，根据《民口科技重大专项资金管理暂行办法》（财教〔</w:t>
      </w:r>
      <w:r>
        <w:rPr>
          <w:rFonts w:eastAsia="方正仿宋_GBK"/>
          <w:color w:val="000000"/>
          <w:spacing w:val="-2"/>
          <w:sz w:val="24"/>
        </w:rPr>
        <w:t>2009</w:t>
      </w:r>
      <w:r>
        <w:rPr>
          <w:rFonts w:hint="eastAsia" w:eastAsia="方正仿宋_GBK"/>
          <w:color w:val="000000"/>
          <w:spacing w:val="-2"/>
          <w:sz w:val="24"/>
        </w:rPr>
        <w:t>〕</w:t>
      </w:r>
      <w:r>
        <w:rPr>
          <w:rFonts w:eastAsia="方正仿宋_GBK"/>
          <w:color w:val="000000"/>
          <w:spacing w:val="-2"/>
          <w:sz w:val="24"/>
        </w:rPr>
        <w:t>218</w:t>
      </w:r>
      <w:r>
        <w:rPr>
          <w:rFonts w:hint="eastAsia" w:eastAsia="方正仿宋_GBK"/>
          <w:color w:val="000000"/>
          <w:spacing w:val="-2"/>
          <w:sz w:val="24"/>
        </w:rPr>
        <w:t>号）以及《水体污染控制与治理科技重大专项管理暂行办法》（建计函〔</w:t>
      </w:r>
      <w:r>
        <w:rPr>
          <w:rFonts w:eastAsia="方正仿宋_GBK"/>
          <w:color w:val="000000"/>
          <w:spacing w:val="-2"/>
          <w:sz w:val="24"/>
        </w:rPr>
        <w:t>2010</w:t>
      </w:r>
      <w:r>
        <w:rPr>
          <w:rFonts w:hint="eastAsia" w:eastAsia="方正仿宋_GBK"/>
          <w:color w:val="000000"/>
          <w:spacing w:val="-2"/>
          <w:sz w:val="24"/>
        </w:rPr>
        <w:t>〕</w:t>
      </w:r>
      <w:r>
        <w:rPr>
          <w:rFonts w:eastAsia="方正仿宋_GBK"/>
          <w:color w:val="000000"/>
          <w:spacing w:val="-2"/>
          <w:sz w:val="24"/>
        </w:rPr>
        <w:t>184</w:t>
      </w:r>
      <w:r>
        <w:rPr>
          <w:rFonts w:hint="eastAsia" w:eastAsia="方正仿宋_GBK"/>
          <w:color w:val="000000"/>
          <w:spacing w:val="-2"/>
          <w:sz w:val="24"/>
        </w:rPr>
        <w:t>号）的有关规定，并结合国家有关财政财务管理制度，制订本办法。</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第二条</w:t>
      </w:r>
      <w:r>
        <w:rPr>
          <w:rFonts w:eastAsia="方正仿宋_GBK"/>
          <w:b/>
          <w:bCs/>
          <w:color w:val="000000"/>
          <w:spacing w:val="-2"/>
          <w:sz w:val="24"/>
        </w:rPr>
        <w:t xml:space="preserve">  </w:t>
      </w:r>
      <w:r>
        <w:rPr>
          <w:rFonts w:hint="eastAsia" w:eastAsia="方正仿宋_GBK"/>
          <w:color w:val="000000"/>
          <w:spacing w:val="-2"/>
          <w:sz w:val="24"/>
        </w:rPr>
        <w:t>中央财政经费及地方财政、企业自筹等其他渠道获得的资金都应当按照</w:t>
      </w:r>
      <w:r>
        <w:rPr>
          <w:rFonts w:eastAsia="方正仿宋_GBK"/>
          <w:color w:val="000000"/>
          <w:spacing w:val="-2"/>
          <w:sz w:val="24"/>
        </w:rPr>
        <w:t>“</w:t>
      </w:r>
      <w:r>
        <w:rPr>
          <w:rFonts w:hint="eastAsia" w:eastAsia="方正仿宋_GBK"/>
          <w:color w:val="000000"/>
          <w:spacing w:val="-2"/>
          <w:sz w:val="24"/>
        </w:rPr>
        <w:t>专款专用、单独核算、注重绩效</w:t>
      </w:r>
      <w:r>
        <w:rPr>
          <w:rFonts w:eastAsia="方正仿宋_GBK"/>
          <w:color w:val="000000"/>
          <w:spacing w:val="-2"/>
          <w:sz w:val="24"/>
        </w:rPr>
        <w:t>”</w:t>
      </w:r>
      <w:r>
        <w:rPr>
          <w:rFonts w:hint="eastAsia" w:eastAsia="方正仿宋_GBK"/>
          <w:color w:val="000000"/>
          <w:spacing w:val="-2"/>
          <w:sz w:val="24"/>
        </w:rPr>
        <w:t>的原则使用和管理，其他来源资金应当按照相关资金提供方对资金使用和管理的具体要求，统筹安排和使用。</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第三条</w:t>
      </w:r>
      <w:r>
        <w:rPr>
          <w:rFonts w:eastAsia="方正仿宋_GBK"/>
          <w:b/>
          <w:bCs/>
          <w:color w:val="000000"/>
          <w:spacing w:val="-2"/>
          <w:sz w:val="24"/>
        </w:rPr>
        <w:t xml:space="preserve">  </w:t>
      </w:r>
      <w:r>
        <w:rPr>
          <w:rFonts w:hint="eastAsia" w:eastAsia="方正仿宋_GBK"/>
          <w:color w:val="000000"/>
          <w:spacing w:val="-2"/>
          <w:sz w:val="24"/>
        </w:rPr>
        <w:t>本办法重点规范课题中央财政经费的使用和管理，不涉及经费预算编制、申报、决算和验收等内容。</w:t>
      </w:r>
    </w:p>
    <w:p>
      <w:pPr>
        <w:spacing w:line="460" w:lineRule="exact"/>
        <w:rPr>
          <w:rFonts w:eastAsia="方正仿宋_GBK"/>
          <w:b/>
          <w:color w:val="000000"/>
          <w:spacing w:val="-2"/>
          <w:sz w:val="24"/>
        </w:rPr>
      </w:pPr>
    </w:p>
    <w:p>
      <w:pPr>
        <w:spacing w:line="460" w:lineRule="exact"/>
        <w:jc w:val="center"/>
        <w:rPr>
          <w:rFonts w:ascii="Times New Roman" w:eastAsia="方正黑体_GBK"/>
          <w:color w:val="000000"/>
          <w:spacing w:val="-2"/>
          <w:sz w:val="24"/>
        </w:rPr>
      </w:pPr>
      <w:r>
        <w:rPr>
          <w:rFonts w:hint="eastAsia" w:ascii="Times New Roman" w:eastAsia="方正黑体_GBK"/>
          <w:color w:val="000000"/>
          <w:spacing w:val="-2"/>
          <w:sz w:val="24"/>
        </w:rPr>
        <w:t>第二章  管理机构与职责</w:t>
      </w:r>
    </w:p>
    <w:p>
      <w:pPr>
        <w:spacing w:line="460" w:lineRule="exact"/>
        <w:ind w:firstLine="474" w:firstLineChars="200"/>
        <w:rPr>
          <w:rFonts w:hint="eastAsia" w:eastAsia="方正仿宋_GBK"/>
          <w:b/>
          <w:bCs/>
          <w:color w:val="000000"/>
          <w:spacing w:val="-2"/>
          <w:sz w:val="24"/>
        </w:rPr>
      </w:pP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第四条</w:t>
      </w:r>
      <w:r>
        <w:rPr>
          <w:rFonts w:eastAsia="方正仿宋_GBK"/>
          <w:b/>
          <w:bCs/>
          <w:color w:val="000000"/>
          <w:spacing w:val="-2"/>
          <w:sz w:val="24"/>
        </w:rPr>
        <w:t xml:space="preserve">  </w:t>
      </w:r>
      <w:r>
        <w:rPr>
          <w:rFonts w:hint="eastAsia" w:eastAsia="方正仿宋_GBK"/>
          <w:color w:val="000000"/>
          <w:spacing w:val="-2"/>
          <w:sz w:val="24"/>
        </w:rPr>
        <w:t>课题责任单位江苏省城市规划设计研究院是课题经费管理的责任主体，按规定组织开展中央财政经费的监督与检查等工作。</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第五条</w:t>
      </w:r>
      <w:r>
        <w:rPr>
          <w:rFonts w:eastAsia="方正仿宋_GBK"/>
          <w:b/>
          <w:bCs/>
          <w:color w:val="000000"/>
          <w:spacing w:val="-2"/>
          <w:sz w:val="24"/>
        </w:rPr>
        <w:t xml:space="preserve">  </w:t>
      </w:r>
      <w:r>
        <w:rPr>
          <w:rFonts w:hint="eastAsia" w:eastAsia="方正仿宋_GBK"/>
          <w:color w:val="000000"/>
          <w:spacing w:val="-2"/>
          <w:sz w:val="24"/>
        </w:rPr>
        <w:t>任务责任单位江苏省城市规划设计研究院、东南大学、江苏省城镇供水安全保障中心、宜兴水务集团负责有关参与单位中央经费使用情况的监督管理，对其下一年度经费的拨付提出意见。</w:t>
      </w:r>
    </w:p>
    <w:p>
      <w:pPr>
        <w:spacing w:line="460" w:lineRule="exact"/>
        <w:ind w:firstLine="474" w:firstLineChars="200"/>
        <w:rPr>
          <w:rFonts w:eastAsia="方正仿宋_GBK"/>
          <w:b/>
          <w:color w:val="000000"/>
          <w:spacing w:val="-2"/>
          <w:sz w:val="24"/>
        </w:rPr>
      </w:pPr>
    </w:p>
    <w:p>
      <w:pPr>
        <w:spacing w:line="460" w:lineRule="exact"/>
        <w:jc w:val="center"/>
        <w:rPr>
          <w:rFonts w:ascii="Times New Roman" w:eastAsia="方正黑体_GBK"/>
          <w:color w:val="000000"/>
          <w:spacing w:val="-2"/>
          <w:sz w:val="24"/>
        </w:rPr>
      </w:pPr>
      <w:r>
        <w:rPr>
          <w:rFonts w:hint="eastAsia" w:ascii="Times New Roman" w:eastAsia="方正黑体_GBK"/>
          <w:color w:val="000000"/>
          <w:spacing w:val="-2"/>
          <w:sz w:val="24"/>
        </w:rPr>
        <w:t>第三章  外拨经费管理</w:t>
      </w:r>
    </w:p>
    <w:p>
      <w:pPr>
        <w:spacing w:line="460" w:lineRule="exact"/>
        <w:ind w:firstLine="474" w:firstLineChars="200"/>
        <w:rPr>
          <w:rFonts w:hint="eastAsia" w:eastAsia="方正仿宋_GBK"/>
          <w:b/>
          <w:bCs/>
          <w:color w:val="000000"/>
          <w:spacing w:val="-2"/>
          <w:sz w:val="24"/>
        </w:rPr>
      </w:pP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第六条</w:t>
      </w:r>
      <w:r>
        <w:rPr>
          <w:rFonts w:eastAsia="方正仿宋_GBK"/>
          <w:b/>
          <w:bCs/>
          <w:color w:val="000000"/>
          <w:spacing w:val="-2"/>
          <w:sz w:val="24"/>
        </w:rPr>
        <w:t xml:space="preserve">  </w:t>
      </w:r>
      <w:r>
        <w:rPr>
          <w:rFonts w:hint="eastAsia" w:eastAsia="方正仿宋_GBK"/>
          <w:color w:val="000000"/>
          <w:spacing w:val="-2"/>
          <w:sz w:val="24"/>
        </w:rPr>
        <w:t>课题经费采取由课题参与单位提出拨付申请，江苏省城市规划设计研究院根据专家咨询意见和有关任务责任单位考核意见的综合结果进行拨付。</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第七条</w:t>
      </w:r>
      <w:r>
        <w:rPr>
          <w:rFonts w:eastAsia="方正仿宋_GBK"/>
          <w:b/>
          <w:color w:val="000000"/>
          <w:spacing w:val="-2"/>
          <w:sz w:val="24"/>
        </w:rPr>
        <w:t xml:space="preserve">  </w:t>
      </w:r>
      <w:r>
        <w:rPr>
          <w:rFonts w:hint="eastAsia" w:eastAsia="方正仿宋_GBK"/>
          <w:color w:val="000000"/>
          <w:spacing w:val="-2"/>
          <w:sz w:val="24"/>
        </w:rPr>
        <w:t>江苏省城市规划设计研究院应严格按照科研合同约定额度、时间向课题参与单位划拨科研经费，不得截留科研经费。</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第八条</w:t>
      </w:r>
      <w:r>
        <w:rPr>
          <w:rFonts w:eastAsia="方正仿宋_GBK"/>
          <w:b/>
          <w:color w:val="000000"/>
          <w:spacing w:val="-2"/>
          <w:sz w:val="24"/>
        </w:rPr>
        <w:t xml:space="preserve">  </w:t>
      </w:r>
      <w:r>
        <w:rPr>
          <w:rFonts w:hint="eastAsia" w:eastAsia="方正仿宋_GBK"/>
          <w:color w:val="000000"/>
          <w:spacing w:val="-2"/>
          <w:sz w:val="24"/>
        </w:rPr>
        <w:t>江苏省城市规划设计研究院负责指导外拨经费的合理使用，定期组织财务专家对各课题参与单位的经费使用情况进行评估，并进行必要的协调，确保经费使用满足审计和财务管理相关规定。</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第九条</w:t>
      </w:r>
      <w:r>
        <w:rPr>
          <w:rFonts w:eastAsia="方正仿宋_GBK"/>
          <w:b/>
          <w:color w:val="000000"/>
          <w:spacing w:val="-2"/>
          <w:sz w:val="24"/>
        </w:rPr>
        <w:t xml:space="preserve">  </w:t>
      </w:r>
      <w:r>
        <w:rPr>
          <w:rFonts w:hint="eastAsia" w:eastAsia="方正仿宋_GBK"/>
          <w:color w:val="000000"/>
          <w:spacing w:val="-2"/>
          <w:sz w:val="24"/>
        </w:rPr>
        <w:t>任务责任单位负责有关参与单位的经费执行情况以及开支明细账的汇总，每半年报送江苏省城市规划设计研究院。</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第十条</w:t>
      </w:r>
      <w:r>
        <w:rPr>
          <w:rFonts w:eastAsia="方正仿宋_GBK"/>
          <w:b/>
          <w:color w:val="000000"/>
          <w:spacing w:val="-2"/>
          <w:sz w:val="24"/>
        </w:rPr>
        <w:t xml:space="preserve">  </w:t>
      </w:r>
      <w:r>
        <w:rPr>
          <w:rFonts w:hint="eastAsia" w:eastAsia="方正仿宋_GBK"/>
          <w:color w:val="000000"/>
          <w:spacing w:val="-2"/>
          <w:sz w:val="24"/>
        </w:rPr>
        <w:t>任务责任单位或有关参与单位不能按时保质完成合同确定的研究任务，由江苏省城市规划设计研究院提出调减相关单位经费建议，按照课题经费调整相关规定，报住房和城乡建设部水专项办审批，并报财政部备案。</w:t>
      </w:r>
    </w:p>
    <w:p>
      <w:pPr>
        <w:spacing w:line="460" w:lineRule="exact"/>
        <w:ind w:firstLine="472" w:firstLineChars="200"/>
        <w:rPr>
          <w:rFonts w:eastAsia="方正仿宋_GBK"/>
          <w:color w:val="000000"/>
          <w:spacing w:val="-2"/>
          <w:sz w:val="24"/>
        </w:rPr>
      </w:pPr>
    </w:p>
    <w:p>
      <w:pPr>
        <w:spacing w:line="460" w:lineRule="exact"/>
        <w:jc w:val="center"/>
        <w:rPr>
          <w:rFonts w:ascii="Times New Roman" w:eastAsia="方正黑体_GBK"/>
          <w:color w:val="000000"/>
          <w:spacing w:val="-2"/>
          <w:sz w:val="24"/>
        </w:rPr>
      </w:pPr>
      <w:r>
        <w:rPr>
          <w:rFonts w:hint="eastAsia" w:ascii="Times New Roman" w:eastAsia="方正黑体_GBK"/>
          <w:color w:val="000000"/>
          <w:spacing w:val="-2"/>
          <w:sz w:val="24"/>
        </w:rPr>
        <w:t>第四章  开支范围及限制</w:t>
      </w:r>
    </w:p>
    <w:p>
      <w:pPr>
        <w:spacing w:line="460" w:lineRule="exact"/>
        <w:ind w:firstLine="355" w:firstLineChars="150"/>
        <w:rPr>
          <w:rFonts w:hint="eastAsia" w:eastAsia="方正仿宋_GBK"/>
          <w:b/>
          <w:color w:val="000000"/>
          <w:spacing w:val="-2"/>
          <w:sz w:val="24"/>
        </w:rPr>
      </w:pP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第十一条</w:t>
      </w:r>
      <w:r>
        <w:rPr>
          <w:rFonts w:eastAsia="方正仿宋_GBK"/>
          <w:b/>
          <w:color w:val="000000"/>
          <w:spacing w:val="-2"/>
          <w:sz w:val="24"/>
        </w:rPr>
        <w:t xml:space="preserve">  </w:t>
      </w:r>
      <w:r>
        <w:rPr>
          <w:rFonts w:hint="eastAsia" w:eastAsia="方正仿宋_GBK"/>
          <w:color w:val="000000"/>
          <w:spacing w:val="-2"/>
          <w:sz w:val="24"/>
        </w:rPr>
        <w:t>各课题参与单位应严格按照《民口科技重大专项资金管理暂行办法》规定的开支范围使用中央财政经费。</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第十二条</w:t>
      </w:r>
      <w:r>
        <w:rPr>
          <w:rFonts w:eastAsia="方正仿宋_GBK"/>
          <w:b/>
          <w:color w:val="000000"/>
          <w:spacing w:val="-2"/>
          <w:sz w:val="24"/>
        </w:rPr>
        <w:t xml:space="preserve">  </w:t>
      </w:r>
      <w:r>
        <w:rPr>
          <w:rFonts w:hint="eastAsia" w:eastAsia="方正仿宋_GBK"/>
          <w:color w:val="000000"/>
          <w:spacing w:val="-2"/>
          <w:sz w:val="24"/>
        </w:rPr>
        <w:t>各课题参与单位中央财政经费各科目支出额度应严格按照合同约定。如有调整，应及时向任务责任单位提出申请，并报江苏省城市规划设计研究院，按有关程序报批。</w:t>
      </w:r>
    </w:p>
    <w:p>
      <w:pPr>
        <w:spacing w:line="460" w:lineRule="exact"/>
        <w:ind w:firstLine="354" w:firstLineChars="150"/>
        <w:rPr>
          <w:rFonts w:eastAsia="方正仿宋_GBK"/>
          <w:color w:val="000000"/>
          <w:spacing w:val="-2"/>
          <w:sz w:val="24"/>
        </w:rPr>
      </w:pPr>
    </w:p>
    <w:p>
      <w:pPr>
        <w:spacing w:line="460" w:lineRule="exact"/>
        <w:jc w:val="center"/>
        <w:rPr>
          <w:rFonts w:ascii="Times New Roman" w:eastAsia="方正黑体_GBK"/>
          <w:color w:val="000000"/>
          <w:spacing w:val="-2"/>
          <w:sz w:val="24"/>
        </w:rPr>
      </w:pPr>
      <w:r>
        <w:rPr>
          <w:rFonts w:hint="eastAsia" w:ascii="Times New Roman" w:eastAsia="方正黑体_GBK"/>
          <w:color w:val="000000"/>
          <w:spacing w:val="-2"/>
          <w:sz w:val="24"/>
        </w:rPr>
        <w:t>第五章  附    则</w:t>
      </w:r>
    </w:p>
    <w:p>
      <w:pPr>
        <w:spacing w:line="460" w:lineRule="exact"/>
        <w:ind w:firstLine="474" w:firstLineChars="200"/>
        <w:rPr>
          <w:rFonts w:hint="eastAsia" w:eastAsia="方正仿宋_GBK"/>
          <w:b/>
          <w:color w:val="000000"/>
          <w:spacing w:val="-2"/>
          <w:sz w:val="24"/>
        </w:rPr>
      </w:pP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第十三条</w:t>
      </w:r>
      <w:r>
        <w:rPr>
          <w:rFonts w:eastAsia="方正仿宋_GBK"/>
          <w:b/>
          <w:color w:val="000000"/>
          <w:spacing w:val="-2"/>
          <w:sz w:val="24"/>
        </w:rPr>
        <w:t xml:space="preserve">  </w:t>
      </w:r>
      <w:r>
        <w:rPr>
          <w:rFonts w:hint="eastAsia" w:eastAsia="方正仿宋_GBK"/>
          <w:color w:val="000000"/>
          <w:spacing w:val="-2"/>
          <w:sz w:val="24"/>
        </w:rPr>
        <w:t>本办法由江苏省住房和城乡建设厅负责解释。</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第十四条</w:t>
      </w:r>
      <w:r>
        <w:rPr>
          <w:rFonts w:eastAsia="方正仿宋_GBK"/>
          <w:b/>
          <w:color w:val="000000"/>
          <w:spacing w:val="-2"/>
          <w:sz w:val="24"/>
        </w:rPr>
        <w:t xml:space="preserve">  </w:t>
      </w:r>
      <w:r>
        <w:rPr>
          <w:rFonts w:hint="eastAsia" w:eastAsia="方正仿宋_GBK"/>
          <w:color w:val="000000"/>
          <w:spacing w:val="-2"/>
          <w:sz w:val="24"/>
        </w:rPr>
        <w:t>本办法自发布之日起施行，内容如与财政部、科技部和地方财政有关最新管理文件冲突时，以最新文件为准。</w:t>
      </w:r>
    </w:p>
    <w:p>
      <w:pPr>
        <w:spacing w:line="460" w:lineRule="exact"/>
        <w:jc w:val="center"/>
        <w:rPr>
          <w:rFonts w:ascii="Times New Roman" w:eastAsia="方正小标宋简体"/>
          <w:color w:val="000000"/>
          <w:sz w:val="36"/>
          <w:szCs w:val="36"/>
        </w:rPr>
      </w:pPr>
    </w:p>
    <w:p>
      <w:pPr>
        <w:pStyle w:val="2"/>
        <w:spacing w:before="240" w:beforeLines="100" w:after="240" w:afterLines="100" w:line="240" w:lineRule="auto"/>
        <w:jc w:val="center"/>
        <w:rPr>
          <w:rFonts w:hint="eastAsia" w:ascii="Times New Roman" w:eastAsia="方正小标宋_GBK"/>
          <w:b w:val="0"/>
          <w:sz w:val="36"/>
          <w:szCs w:val="36"/>
        </w:rPr>
      </w:pPr>
      <w:r>
        <w:rPr>
          <w:rFonts w:eastAsia="方正仿宋_GBK"/>
          <w:b w:val="0"/>
          <w:color w:val="000000"/>
          <w:spacing w:val="-2"/>
          <w:sz w:val="24"/>
        </w:rPr>
        <w:br w:type="column"/>
      </w:r>
      <w:bookmarkStart w:id="146" w:name="_Toc20726408"/>
      <w:bookmarkStart w:id="147" w:name="_Toc18315491"/>
      <w:r>
        <w:rPr>
          <w:rFonts w:hint="eastAsia" w:ascii="Times New Roman" w:eastAsia="方正小标宋_GBK"/>
          <w:b w:val="0"/>
          <w:sz w:val="36"/>
          <w:szCs w:val="36"/>
        </w:rPr>
        <w:t>省住房和城乡建设厅印发关于推进海绵城市建设     指导意见的通知</w:t>
      </w:r>
      <w:bookmarkEnd w:id="146"/>
      <w:bookmarkEnd w:id="147"/>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148" w:name="_Toc18315492"/>
      <w:bookmarkStart w:id="149" w:name="_Toc20726409"/>
      <w:r>
        <w:rPr>
          <w:rFonts w:hint="eastAsia" w:ascii="Times New Roman" w:hAnsi="Times New Roman" w:eastAsia="方正楷体_GBK"/>
          <w:b w:val="0"/>
          <w:sz w:val="24"/>
          <w:szCs w:val="24"/>
        </w:rPr>
        <w:t>苏建城〔</w:t>
      </w:r>
      <w:r>
        <w:rPr>
          <w:rFonts w:ascii="Times New Roman" w:hAnsi="Times New Roman" w:eastAsia="方正楷体_GBK"/>
          <w:b w:val="0"/>
          <w:sz w:val="24"/>
          <w:szCs w:val="24"/>
        </w:rPr>
        <w:t>2015</w:t>
      </w:r>
      <w:r>
        <w:rPr>
          <w:rFonts w:hint="eastAsia" w:ascii="Times New Roman" w:hAnsi="Times New Roman" w:eastAsia="方正楷体_GBK"/>
          <w:b w:val="0"/>
          <w:sz w:val="24"/>
          <w:szCs w:val="24"/>
        </w:rPr>
        <w:t>〕</w:t>
      </w:r>
      <w:r>
        <w:rPr>
          <w:rFonts w:ascii="Times New Roman" w:hAnsi="Times New Roman" w:eastAsia="方正楷体_GBK"/>
          <w:b w:val="0"/>
          <w:sz w:val="24"/>
          <w:szCs w:val="24"/>
        </w:rPr>
        <w:t>331</w:t>
      </w:r>
      <w:r>
        <w:rPr>
          <w:rFonts w:hint="eastAsia" w:ascii="Times New Roman" w:hAnsi="Times New Roman" w:eastAsia="方正楷体_GBK"/>
          <w:b w:val="0"/>
          <w:sz w:val="24"/>
          <w:szCs w:val="24"/>
        </w:rPr>
        <w:t>号</w:t>
      </w:r>
      <w:bookmarkEnd w:id="148"/>
      <w:bookmarkEnd w:id="149"/>
    </w:p>
    <w:p>
      <w:pPr>
        <w:spacing w:line="460" w:lineRule="exact"/>
        <w:rPr>
          <w:rFonts w:eastAsia="方正仿宋_GBK"/>
          <w:color w:val="000000"/>
          <w:spacing w:val="-2"/>
          <w:sz w:val="24"/>
        </w:rPr>
      </w:pPr>
      <w:r>
        <w:rPr>
          <w:rFonts w:hint="eastAsia" w:eastAsia="方正仿宋_GBK"/>
          <w:color w:val="000000"/>
          <w:spacing w:val="-2"/>
          <w:sz w:val="24"/>
        </w:rPr>
        <w:t>各市、县（市）建设局（委）、规划局、园林（市政）局、房产局、城管局、水务局：</w:t>
      </w:r>
    </w:p>
    <w:p>
      <w:pPr>
        <w:spacing w:line="460" w:lineRule="exact"/>
        <w:rPr>
          <w:rFonts w:eastAsia="方正仿宋_GBK"/>
          <w:color w:val="000000"/>
          <w:spacing w:val="-2"/>
          <w:sz w:val="24"/>
        </w:rPr>
      </w:pPr>
      <w:r>
        <w:rPr>
          <w:rFonts w:hint="eastAsia" w:eastAsia="方正仿宋_GBK"/>
          <w:color w:val="000000"/>
          <w:spacing w:val="-2"/>
          <w:sz w:val="24"/>
        </w:rPr>
        <w:t>现将《关于推进海绵城市建设的指导意见》印发你们，请结合实际认真贯彻执行。</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为扎实推进海绵城市建设，厅成立</w:t>
      </w:r>
      <w:r>
        <w:rPr>
          <w:rFonts w:eastAsia="方正仿宋_GBK"/>
          <w:color w:val="000000"/>
          <w:spacing w:val="-2"/>
          <w:sz w:val="24"/>
        </w:rPr>
        <w:t>“</w:t>
      </w:r>
      <w:r>
        <w:rPr>
          <w:rFonts w:hint="eastAsia" w:eastAsia="方正仿宋_GBK"/>
          <w:color w:val="000000"/>
          <w:spacing w:val="-2"/>
          <w:sz w:val="24"/>
        </w:rPr>
        <w:t>江苏省海绵城市建设工作推进小组</w:t>
      </w:r>
      <w:r>
        <w:rPr>
          <w:rFonts w:eastAsia="方正仿宋_GBK"/>
          <w:color w:val="000000"/>
          <w:spacing w:val="-2"/>
          <w:sz w:val="24"/>
        </w:rPr>
        <w:t>”</w:t>
      </w:r>
      <w:r>
        <w:rPr>
          <w:rFonts w:hint="eastAsia" w:eastAsia="方正仿宋_GBK"/>
          <w:color w:val="000000"/>
          <w:spacing w:val="-2"/>
          <w:sz w:val="24"/>
        </w:rPr>
        <w:t>，工作推进小组办公室设在厅城建处。各地在工作推进中遇到问题或有何建议，请与厅城建处沟通联系。</w:t>
      </w:r>
    </w:p>
    <w:p>
      <w:pPr>
        <w:spacing w:line="460" w:lineRule="exact"/>
        <w:rPr>
          <w:rFonts w:eastAsia="方正仿宋_GBK"/>
          <w:color w:val="000000"/>
          <w:spacing w:val="-2"/>
          <w:sz w:val="24"/>
        </w:rPr>
      </w:pPr>
    </w:p>
    <w:p>
      <w:pPr>
        <w:pStyle w:val="22"/>
        <w:tabs>
          <w:tab w:val="left" w:pos="1442"/>
        </w:tabs>
        <w:wordWrap w:val="0"/>
        <w:adjustRightInd w:val="0"/>
        <w:spacing w:line="460" w:lineRule="exact"/>
        <w:ind w:left="3045" w:leftChars="1450" w:right="105" w:rightChars="50"/>
        <w:jc w:val="right"/>
        <w:rPr>
          <w:color w:val="000000"/>
          <w:spacing w:val="-2"/>
          <w:sz w:val="24"/>
        </w:rPr>
      </w:pPr>
      <w:r>
        <w:rPr>
          <w:rFonts w:hint="eastAsia"/>
          <w:color w:val="000000"/>
          <w:spacing w:val="-2"/>
          <w:sz w:val="24"/>
        </w:rPr>
        <w:t>江苏省住房和城乡建设厅</w:t>
      </w:r>
      <w:r>
        <w:rPr>
          <w:color w:val="000000"/>
          <w:spacing w:val="-2"/>
          <w:sz w:val="24"/>
        </w:rPr>
        <w:t xml:space="preserve">    </w:t>
      </w:r>
    </w:p>
    <w:p>
      <w:pPr>
        <w:adjustRightInd w:val="0"/>
        <w:spacing w:line="460" w:lineRule="exact"/>
        <w:ind w:left="3045" w:leftChars="1450" w:right="105" w:rightChars="50" w:firstLine="2692" w:firstLineChars="1141"/>
        <w:rPr>
          <w:rFonts w:eastAsia="方正仿宋_GBK"/>
          <w:color w:val="000000"/>
          <w:spacing w:val="-2"/>
          <w:sz w:val="24"/>
        </w:rPr>
      </w:pPr>
      <w:r>
        <w:rPr>
          <w:rFonts w:eastAsia="方正仿宋_GBK"/>
          <w:color w:val="000000"/>
          <w:spacing w:val="-2"/>
          <w:sz w:val="24"/>
        </w:rPr>
        <w:t>   2015</w:t>
      </w:r>
      <w:r>
        <w:rPr>
          <w:rFonts w:hint="eastAsia" w:eastAsia="方正仿宋_GBK"/>
          <w:color w:val="000000"/>
          <w:spacing w:val="-2"/>
          <w:sz w:val="24"/>
        </w:rPr>
        <w:t>年</w:t>
      </w:r>
      <w:r>
        <w:rPr>
          <w:rFonts w:eastAsia="方正仿宋_GBK"/>
          <w:color w:val="000000"/>
          <w:spacing w:val="-2"/>
          <w:sz w:val="24"/>
        </w:rPr>
        <w:t>7</w:t>
      </w:r>
      <w:r>
        <w:rPr>
          <w:rFonts w:hint="eastAsia" w:eastAsia="方正仿宋_GBK"/>
          <w:color w:val="000000"/>
          <w:spacing w:val="-2"/>
          <w:sz w:val="24"/>
        </w:rPr>
        <w:t>月</w:t>
      </w:r>
      <w:r>
        <w:rPr>
          <w:rFonts w:eastAsia="方正仿宋_GBK"/>
          <w:color w:val="000000"/>
          <w:spacing w:val="-2"/>
          <w:sz w:val="24"/>
        </w:rPr>
        <w:t>8</w:t>
      </w:r>
      <w:r>
        <w:rPr>
          <w:rFonts w:hint="eastAsia" w:eastAsia="方正仿宋_GBK"/>
          <w:color w:val="000000"/>
          <w:spacing w:val="-2"/>
          <w:sz w:val="24"/>
        </w:rPr>
        <w:t>日</w:t>
      </w:r>
      <w:r>
        <w:rPr>
          <w:rFonts w:eastAsia="方正仿宋_GBK"/>
          <w:color w:val="000000"/>
          <w:spacing w:val="-2"/>
          <w:sz w:val="24"/>
        </w:rPr>
        <w:t xml:space="preserve">     </w:t>
      </w:r>
    </w:p>
    <w:p>
      <w:pPr>
        <w:adjustRightInd w:val="0"/>
        <w:spacing w:line="460" w:lineRule="exact"/>
        <w:ind w:right="105" w:rightChars="50"/>
        <w:rPr>
          <w:rFonts w:eastAsia="方正仿宋_GBK"/>
          <w:color w:val="000000"/>
          <w:spacing w:val="-2"/>
          <w:sz w:val="24"/>
        </w:rPr>
      </w:pPr>
    </w:p>
    <w:p>
      <w:pPr>
        <w:adjustRightInd w:val="0"/>
        <w:spacing w:line="460" w:lineRule="exact"/>
        <w:ind w:right="105" w:rightChars="50"/>
        <w:rPr>
          <w:rFonts w:eastAsia="方正仿宋_GBK"/>
          <w:color w:val="000000"/>
          <w:spacing w:val="-2"/>
          <w:sz w:val="24"/>
        </w:rPr>
      </w:pPr>
    </w:p>
    <w:p>
      <w:pPr>
        <w:pStyle w:val="23"/>
        <w:spacing w:line="460" w:lineRule="exact"/>
        <w:rPr>
          <w:rFonts w:ascii="Times New Roman" w:eastAsia="方正黑体_GBK"/>
          <w:color w:val="000000"/>
          <w:spacing w:val="-2"/>
          <w:sz w:val="36"/>
          <w:szCs w:val="36"/>
        </w:rPr>
      </w:pPr>
      <w:r>
        <w:rPr>
          <w:rFonts w:hint="eastAsia" w:ascii="Times New Roman" w:eastAsia="方正黑体_GBK"/>
          <w:color w:val="000000"/>
          <w:spacing w:val="-2"/>
          <w:sz w:val="36"/>
          <w:szCs w:val="36"/>
        </w:rPr>
        <w:t>关于推进海绵城市建设的指导意见</w:t>
      </w:r>
    </w:p>
    <w:p>
      <w:pPr>
        <w:spacing w:line="460" w:lineRule="exact"/>
        <w:rPr>
          <w:rFonts w:hint="eastAsia" w:eastAsia="方正仿宋_GBK"/>
          <w:color w:val="000000"/>
          <w:spacing w:val="-2"/>
          <w:sz w:val="24"/>
        </w:rPr>
      </w:pPr>
    </w:p>
    <w:p>
      <w:pPr>
        <w:spacing w:line="460" w:lineRule="exact"/>
        <w:ind w:firstLine="472" w:firstLineChars="200"/>
        <w:rPr>
          <w:rFonts w:eastAsia="方正仿宋_GBK"/>
          <w:color w:val="000000"/>
          <w:spacing w:val="-2"/>
          <w:sz w:val="24"/>
        </w:rPr>
      </w:pPr>
      <w:r>
        <w:rPr>
          <w:rFonts w:eastAsia="方正仿宋_GBK"/>
          <w:color w:val="000000"/>
          <w:spacing w:val="-2"/>
          <w:sz w:val="24"/>
        </w:rPr>
        <w:t>2013</w:t>
      </w:r>
      <w:r>
        <w:rPr>
          <w:rFonts w:hint="eastAsia" w:eastAsia="方正仿宋_GBK"/>
          <w:color w:val="000000"/>
          <w:spacing w:val="-2"/>
          <w:sz w:val="24"/>
        </w:rPr>
        <w:t>年</w:t>
      </w:r>
      <w:r>
        <w:rPr>
          <w:rFonts w:eastAsia="方正仿宋_GBK"/>
          <w:color w:val="000000"/>
          <w:spacing w:val="-2"/>
          <w:sz w:val="24"/>
        </w:rPr>
        <w:t>12</w:t>
      </w:r>
      <w:r>
        <w:rPr>
          <w:rFonts w:hint="eastAsia" w:eastAsia="方正仿宋_GBK"/>
          <w:color w:val="000000"/>
          <w:spacing w:val="-2"/>
          <w:sz w:val="24"/>
        </w:rPr>
        <w:t>月，习近平总书记在中央城镇化工作会议上提出要大力建设自然渗透、自然积存、自然净化的海绵城市，并要求</w:t>
      </w:r>
      <w:r>
        <w:rPr>
          <w:rFonts w:eastAsia="方正仿宋_GBK"/>
          <w:color w:val="000000"/>
          <w:spacing w:val="-2"/>
          <w:sz w:val="24"/>
        </w:rPr>
        <w:t>“</w:t>
      </w:r>
      <w:r>
        <w:rPr>
          <w:rFonts w:hint="eastAsia" w:eastAsia="方正仿宋_GBK"/>
          <w:color w:val="000000"/>
          <w:spacing w:val="-2"/>
          <w:sz w:val="24"/>
        </w:rPr>
        <w:t>在提升城市排水系统时要优先考虑把有限的雨水留下来，优先考虑更多利用自然力量排水</w:t>
      </w:r>
      <w:r>
        <w:rPr>
          <w:rFonts w:eastAsia="方正仿宋_GBK"/>
          <w:color w:val="000000"/>
          <w:spacing w:val="-2"/>
          <w:sz w:val="24"/>
        </w:rPr>
        <w:t>”</w:t>
      </w:r>
      <w:r>
        <w:rPr>
          <w:rFonts w:hint="eastAsia" w:eastAsia="方正仿宋_GBK"/>
          <w:color w:val="000000"/>
          <w:spacing w:val="-2"/>
          <w:sz w:val="24"/>
        </w:rPr>
        <w:t>。为贯彻习近平总书记讲话精神，落实国务院关于加强城市基础设施建设和建设部关于推进海绵城市建设的相关工作要求，现就我省海绵城市建设提出如下指导意见：</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一、充分认识海绵城市建设的重要意义</w:t>
      </w:r>
    </w:p>
    <w:p>
      <w:pPr>
        <w:spacing w:line="460" w:lineRule="exact"/>
        <w:ind w:firstLine="472" w:firstLineChars="200"/>
        <w:rPr>
          <w:rFonts w:hint="eastAsia" w:eastAsia="方正仿宋_GBK"/>
          <w:color w:val="000000"/>
          <w:spacing w:val="-2"/>
          <w:sz w:val="24"/>
        </w:rPr>
      </w:pPr>
      <w:r>
        <w:rPr>
          <w:rFonts w:hint="eastAsia" w:eastAsia="方正仿宋_GBK"/>
          <w:color w:val="000000"/>
          <w:spacing w:val="-2"/>
          <w:sz w:val="24"/>
        </w:rPr>
        <w:t>海绵城市建设是生态文明建设的重要举措，是提升城市建设品质的重要途径，是改善人居环境的重要措施，是通过有效需求推动经济增长的重要方面。长期以来，受传统思维的影响，城市建设中存在</w:t>
      </w:r>
      <w:r>
        <w:rPr>
          <w:rFonts w:eastAsia="方正仿宋_GBK"/>
          <w:color w:val="000000"/>
          <w:spacing w:val="-2"/>
          <w:sz w:val="24"/>
        </w:rPr>
        <w:t>“</w:t>
      </w:r>
      <w:r>
        <w:rPr>
          <w:rFonts w:hint="eastAsia" w:eastAsia="方正仿宋_GBK"/>
          <w:color w:val="000000"/>
          <w:spacing w:val="-2"/>
          <w:sz w:val="24"/>
        </w:rPr>
        <w:t>重地上轻地下</w:t>
      </w:r>
      <w:r>
        <w:rPr>
          <w:rFonts w:eastAsia="方正仿宋_GBK"/>
          <w:color w:val="000000"/>
          <w:spacing w:val="-2"/>
          <w:sz w:val="24"/>
        </w:rPr>
        <w:t>”</w:t>
      </w:r>
      <w:r>
        <w:rPr>
          <w:rFonts w:hint="eastAsia" w:eastAsia="方正仿宋_GBK"/>
          <w:color w:val="000000"/>
          <w:spacing w:val="-2"/>
          <w:sz w:val="24"/>
        </w:rPr>
        <w:t>、</w:t>
      </w:r>
      <w:r>
        <w:rPr>
          <w:rFonts w:eastAsia="方正仿宋_GBK"/>
          <w:color w:val="000000"/>
          <w:spacing w:val="-2"/>
          <w:sz w:val="24"/>
        </w:rPr>
        <w:t>“</w:t>
      </w:r>
      <w:r>
        <w:rPr>
          <w:rFonts w:hint="eastAsia" w:eastAsia="方正仿宋_GBK"/>
          <w:color w:val="000000"/>
          <w:spacing w:val="-2"/>
          <w:sz w:val="24"/>
        </w:rPr>
        <w:t>重工程手段轻自然方法</w:t>
      </w:r>
      <w:r>
        <w:rPr>
          <w:rFonts w:eastAsia="方正仿宋_GBK"/>
          <w:color w:val="000000"/>
          <w:spacing w:val="-2"/>
          <w:sz w:val="24"/>
        </w:rPr>
        <w:t>”</w:t>
      </w:r>
      <w:r>
        <w:rPr>
          <w:rFonts w:hint="eastAsia" w:eastAsia="方正仿宋_GBK"/>
          <w:color w:val="000000"/>
          <w:spacing w:val="-2"/>
          <w:sz w:val="24"/>
        </w:rPr>
        <w:t>的偏向，城市排水设施标准不高、能力不足，且多局限于采用工程措施尽快排除雨水，忽视了城市生态系统应有的吸纳、渗透、滞蓄、净化等功能，不能从根本上解决城市内涝、初期雨水地表径流污染等问题。海绵城市建设坚持工程措施和生态措施并重，通过绿色生态方法与灰色基础设施有效结合，在提升城市排水系统能力的同时，充分发挥城市绿地、水体、道路、建筑及设施等对雨水的吸纳、蓄渗和缓释等作用，最大程度实现雨水在城市区域的自然积存、渗透和净化，从而实现城市排水防涝能力的综合提升、径流污染的有效削减、雨水资源的高效利用，是构建健康的城市水生态系统、促进生态文明建设的有效途径。全省住房城乡建设系统要充分认识海绵城市建设的重大意义，把海绵城市建设摆上重要位置，加大政策支持，通过推进海绵城市建设，提升城市雨洪管理能力，削减城市地表径流污染，促进雨水资源有效利用，不断完善城市功能，有效改善人居环境。</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二、推进海绵城市建设的总体思路</w:t>
      </w:r>
    </w:p>
    <w:p>
      <w:pPr>
        <w:spacing w:line="460" w:lineRule="exact"/>
        <w:ind w:firstLine="472" w:firstLineChars="200"/>
        <w:rPr>
          <w:rFonts w:hint="eastAsia" w:eastAsia="方正仿宋_GBK"/>
          <w:color w:val="000000"/>
          <w:spacing w:val="-2"/>
          <w:sz w:val="24"/>
        </w:rPr>
      </w:pPr>
      <w:r>
        <w:rPr>
          <w:rFonts w:hint="eastAsia" w:eastAsia="方正仿宋_GBK"/>
          <w:color w:val="000000"/>
          <w:spacing w:val="-2"/>
          <w:sz w:val="24"/>
        </w:rPr>
        <w:t>海绵城市建设是一项系统工程，各地要依据住房城乡建设部《海绵城市建设技术指南</w:t>
      </w:r>
      <w:r>
        <w:rPr>
          <w:rFonts w:eastAsia="方正仿宋_GBK"/>
          <w:color w:val="000000"/>
          <w:spacing w:val="-2"/>
          <w:sz w:val="24"/>
        </w:rPr>
        <w:t>——</w:t>
      </w:r>
      <w:r>
        <w:rPr>
          <w:rFonts w:hint="eastAsia" w:eastAsia="方正仿宋_GBK"/>
          <w:color w:val="000000"/>
          <w:spacing w:val="-2"/>
          <w:sz w:val="24"/>
        </w:rPr>
        <w:t>低影响开发雨水系统构建（试行）》（建城函〔</w:t>
      </w:r>
      <w:r>
        <w:rPr>
          <w:rFonts w:eastAsia="方正仿宋_GBK"/>
          <w:color w:val="000000"/>
          <w:spacing w:val="-2"/>
          <w:sz w:val="24"/>
        </w:rPr>
        <w:t>2014</w:t>
      </w:r>
      <w:r>
        <w:rPr>
          <w:rFonts w:hint="eastAsia" w:eastAsia="方正仿宋_GBK"/>
          <w:color w:val="000000"/>
          <w:spacing w:val="-2"/>
          <w:sz w:val="24"/>
        </w:rPr>
        <w:t>〕</w:t>
      </w:r>
      <w:r>
        <w:rPr>
          <w:rFonts w:eastAsia="方正仿宋_GBK"/>
          <w:color w:val="000000"/>
          <w:spacing w:val="-2"/>
          <w:sz w:val="24"/>
        </w:rPr>
        <w:t>275</w:t>
      </w:r>
      <w:r>
        <w:rPr>
          <w:rFonts w:hint="eastAsia" w:eastAsia="方正仿宋_GBK"/>
          <w:color w:val="000000"/>
          <w:spacing w:val="-2"/>
          <w:sz w:val="24"/>
        </w:rPr>
        <w:t>号）要求，借鉴发达国家水资源综合利用，尤其是雨洪管理的成功做法，按照系统治理、源头减排、过程控制、统筹建设的工作原则，系统综合地推进海绵城市建设。</w:t>
      </w:r>
    </w:p>
    <w:p>
      <w:pPr>
        <w:spacing w:line="460" w:lineRule="exact"/>
        <w:ind w:firstLine="472" w:firstLineChars="200"/>
        <w:rPr>
          <w:rFonts w:eastAsia="方正仿宋_GBK"/>
          <w:color w:val="000000"/>
          <w:spacing w:val="-2"/>
          <w:sz w:val="24"/>
        </w:rPr>
      </w:pPr>
      <w:r>
        <w:rPr>
          <w:rFonts w:hint="eastAsia" w:ascii="Times New Roman" w:eastAsia="方正楷体_GBK"/>
          <w:color w:val="000000"/>
          <w:spacing w:val="-2"/>
          <w:sz w:val="24"/>
        </w:rPr>
        <w:t>（一）转变理念。</w:t>
      </w:r>
      <w:r>
        <w:rPr>
          <w:rFonts w:hint="eastAsia" w:eastAsia="方正仿宋_GBK"/>
          <w:color w:val="000000"/>
          <w:spacing w:val="-2"/>
          <w:sz w:val="24"/>
        </w:rPr>
        <w:t>海绵城市建设要改变传统思维和做法，对雨水径流实现由</w:t>
      </w:r>
      <w:r>
        <w:rPr>
          <w:rFonts w:eastAsia="方正仿宋_GBK"/>
          <w:color w:val="000000"/>
          <w:spacing w:val="-2"/>
          <w:sz w:val="24"/>
        </w:rPr>
        <w:t>“</w:t>
      </w:r>
      <w:r>
        <w:rPr>
          <w:rFonts w:hint="eastAsia" w:eastAsia="方正仿宋_GBK"/>
          <w:color w:val="000000"/>
          <w:spacing w:val="-2"/>
          <w:sz w:val="24"/>
        </w:rPr>
        <w:t>快速排除</w:t>
      </w:r>
      <w:r>
        <w:rPr>
          <w:rFonts w:eastAsia="方正仿宋_GBK"/>
          <w:color w:val="000000"/>
          <w:spacing w:val="-2"/>
          <w:sz w:val="24"/>
        </w:rPr>
        <w:t>”</w:t>
      </w:r>
      <w:r>
        <w:rPr>
          <w:rFonts w:hint="eastAsia" w:eastAsia="方正仿宋_GBK"/>
          <w:color w:val="000000"/>
          <w:spacing w:val="-2"/>
          <w:sz w:val="24"/>
        </w:rPr>
        <w:t>、</w:t>
      </w:r>
      <w:r>
        <w:rPr>
          <w:rFonts w:eastAsia="方正仿宋_GBK"/>
          <w:color w:val="000000"/>
          <w:spacing w:val="-2"/>
          <w:sz w:val="24"/>
        </w:rPr>
        <w:t>“</w:t>
      </w:r>
      <w:r>
        <w:rPr>
          <w:rFonts w:hint="eastAsia" w:eastAsia="方正仿宋_GBK"/>
          <w:color w:val="000000"/>
          <w:spacing w:val="-2"/>
          <w:sz w:val="24"/>
        </w:rPr>
        <w:t>末端集中</w:t>
      </w:r>
      <w:r>
        <w:rPr>
          <w:rFonts w:eastAsia="方正仿宋_GBK"/>
          <w:color w:val="000000"/>
          <w:spacing w:val="-2"/>
          <w:sz w:val="24"/>
        </w:rPr>
        <w:t>”</w:t>
      </w:r>
      <w:r>
        <w:rPr>
          <w:rFonts w:hint="eastAsia" w:eastAsia="方正仿宋_GBK"/>
          <w:color w:val="000000"/>
          <w:spacing w:val="-2"/>
          <w:sz w:val="24"/>
        </w:rPr>
        <w:t>向</w:t>
      </w:r>
      <w:r>
        <w:rPr>
          <w:rFonts w:eastAsia="方正仿宋_GBK"/>
          <w:color w:val="000000"/>
          <w:spacing w:val="-2"/>
          <w:sz w:val="24"/>
        </w:rPr>
        <w:t>“</w:t>
      </w:r>
      <w:r>
        <w:rPr>
          <w:rFonts w:hint="eastAsia" w:eastAsia="方正仿宋_GBK"/>
          <w:color w:val="000000"/>
          <w:spacing w:val="-2"/>
          <w:sz w:val="24"/>
        </w:rPr>
        <w:t>慢排缓释</w:t>
      </w:r>
      <w:r>
        <w:rPr>
          <w:rFonts w:eastAsia="方正仿宋_GBK"/>
          <w:color w:val="000000"/>
          <w:spacing w:val="-2"/>
          <w:sz w:val="24"/>
        </w:rPr>
        <w:t>”</w:t>
      </w:r>
      <w:r>
        <w:rPr>
          <w:rFonts w:hint="eastAsia" w:eastAsia="方正仿宋_GBK"/>
          <w:color w:val="000000"/>
          <w:spacing w:val="-2"/>
          <w:sz w:val="24"/>
        </w:rPr>
        <w:t>、</w:t>
      </w:r>
      <w:r>
        <w:rPr>
          <w:rFonts w:eastAsia="方正仿宋_GBK"/>
          <w:color w:val="000000"/>
          <w:spacing w:val="-2"/>
          <w:sz w:val="24"/>
        </w:rPr>
        <w:t>“</w:t>
      </w:r>
      <w:r>
        <w:rPr>
          <w:rFonts w:hint="eastAsia" w:eastAsia="方正仿宋_GBK"/>
          <w:color w:val="000000"/>
          <w:spacing w:val="-2"/>
          <w:sz w:val="24"/>
        </w:rPr>
        <w:t>源头分散</w:t>
      </w:r>
      <w:r>
        <w:rPr>
          <w:rFonts w:eastAsia="方正仿宋_GBK"/>
          <w:color w:val="000000"/>
          <w:spacing w:val="-2"/>
          <w:sz w:val="24"/>
        </w:rPr>
        <w:t>”</w:t>
      </w:r>
      <w:r>
        <w:rPr>
          <w:rFonts w:hint="eastAsia" w:eastAsia="方正仿宋_GBK"/>
          <w:color w:val="000000"/>
          <w:spacing w:val="-2"/>
          <w:sz w:val="24"/>
        </w:rPr>
        <w:t>的转变，综合运用渗、滞、蓄、净、用、排等措施，在源头上减少雨水径流的产生，延缓和降低径流峰值，降低排水强度，实现雨水径流的源头减量。</w:t>
      </w:r>
    </w:p>
    <w:p>
      <w:pPr>
        <w:spacing w:line="460" w:lineRule="exact"/>
        <w:ind w:firstLine="472" w:firstLineChars="200"/>
        <w:rPr>
          <w:rFonts w:eastAsia="方正仿宋_GBK"/>
          <w:color w:val="000000"/>
          <w:spacing w:val="-2"/>
          <w:sz w:val="24"/>
        </w:rPr>
      </w:pPr>
      <w:r>
        <w:rPr>
          <w:rFonts w:hint="eastAsia" w:ascii="Times New Roman" w:eastAsia="方正楷体_GBK"/>
          <w:color w:val="000000"/>
          <w:spacing w:val="-2"/>
          <w:sz w:val="24"/>
        </w:rPr>
        <w:t>（二）分类实施。</w:t>
      </w:r>
      <w:r>
        <w:rPr>
          <w:rFonts w:hint="eastAsia" w:eastAsia="方正仿宋_GBK"/>
          <w:color w:val="000000"/>
          <w:spacing w:val="-2"/>
          <w:sz w:val="24"/>
        </w:rPr>
        <w:t>综合考虑各地的自然地理条件、水资源状况、原有排水系统基础、城市建设能力、经济社会发展条件等因素，坚持因地制宜、因地施策。对城市规划建设的新区以及新建的道路、广场、公园绿地、河道整治等公共项目，要按照海绵城市建设的理念和方法系统推进。既有建成区要结合棚户区（危旧房）改造、易淹易涝片区整治和城市环境综合整治等项目逐步实施。</w:t>
      </w:r>
    </w:p>
    <w:p>
      <w:pPr>
        <w:spacing w:line="460" w:lineRule="exact"/>
        <w:ind w:firstLine="472" w:firstLineChars="200"/>
        <w:rPr>
          <w:rFonts w:eastAsia="方正仿宋_GBK"/>
          <w:color w:val="000000"/>
          <w:spacing w:val="-2"/>
          <w:sz w:val="24"/>
        </w:rPr>
      </w:pPr>
      <w:r>
        <w:rPr>
          <w:rFonts w:hint="eastAsia" w:ascii="Times New Roman" w:eastAsia="方正楷体_GBK"/>
          <w:color w:val="000000"/>
          <w:spacing w:val="-2"/>
          <w:sz w:val="24"/>
        </w:rPr>
        <w:t>（三）有效推进。</w:t>
      </w:r>
      <w:r>
        <w:rPr>
          <w:rFonts w:hint="eastAsia" w:eastAsia="方正仿宋_GBK"/>
          <w:color w:val="000000"/>
          <w:spacing w:val="-2"/>
          <w:sz w:val="24"/>
        </w:rPr>
        <w:t>海绵城市建设既要拉动有效投资，也要坚持集约节约，结合城市建设、地块开发和旧城改造工作统筹推进。要以解决实际问题为导向，加强质量控制，加强施工管理，反对搞形象工程，避免铺张浪费，减少施工扰民，做到功能性、经济性、实用性有机统一。</w:t>
      </w:r>
    </w:p>
    <w:p>
      <w:pPr>
        <w:spacing w:line="460" w:lineRule="exact"/>
        <w:ind w:firstLine="472" w:firstLineChars="200"/>
        <w:rPr>
          <w:rFonts w:eastAsia="方正仿宋_GBK"/>
          <w:color w:val="000000"/>
          <w:spacing w:val="-2"/>
          <w:sz w:val="24"/>
        </w:rPr>
      </w:pPr>
      <w:r>
        <w:rPr>
          <w:rFonts w:hint="eastAsia" w:ascii="Times New Roman" w:eastAsia="方正楷体_GBK"/>
          <w:color w:val="000000"/>
          <w:spacing w:val="-2"/>
          <w:sz w:val="24"/>
        </w:rPr>
        <w:t>（四）部门联动。</w:t>
      </w:r>
      <w:r>
        <w:rPr>
          <w:rFonts w:hint="eastAsia" w:eastAsia="方正仿宋_GBK"/>
          <w:color w:val="000000"/>
          <w:spacing w:val="-2"/>
          <w:sz w:val="24"/>
        </w:rPr>
        <w:t>海绵城市建设系统性、综合性、创新性强，需要统筹和协调。各级建设、规划、园林、房产、城管部门要联动推进，同时加强与水利、环保、气象、国土等部门紧密合作，带动社会力量和投资形成推进合力。</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三、推进海绵城市建设的重点工作</w:t>
      </w:r>
    </w:p>
    <w:p>
      <w:pPr>
        <w:spacing w:line="460" w:lineRule="exact"/>
        <w:ind w:firstLine="472" w:firstLineChars="200"/>
        <w:rPr>
          <w:rFonts w:hint="eastAsia" w:eastAsia="方正仿宋_GBK"/>
          <w:color w:val="000000"/>
          <w:spacing w:val="-2"/>
          <w:sz w:val="24"/>
        </w:rPr>
      </w:pPr>
      <w:r>
        <w:rPr>
          <w:rFonts w:hint="eastAsia" w:ascii="Times New Roman" w:eastAsia="方正楷体_GBK"/>
          <w:color w:val="000000"/>
          <w:spacing w:val="-2"/>
          <w:sz w:val="24"/>
        </w:rPr>
        <w:t>（一）加强城乡规划的综合调控引导。</w:t>
      </w:r>
      <w:r>
        <w:rPr>
          <w:rFonts w:hint="eastAsia" w:eastAsia="方正仿宋_GBK"/>
          <w:color w:val="000000"/>
          <w:spacing w:val="-2"/>
          <w:sz w:val="24"/>
        </w:rPr>
        <w:t>在区域城镇体系规划和城市总体规划编制和实施过程中，要按照</w:t>
      </w:r>
      <w:r>
        <w:rPr>
          <w:rFonts w:eastAsia="方正仿宋_GBK"/>
          <w:color w:val="000000"/>
          <w:spacing w:val="-2"/>
          <w:sz w:val="24"/>
        </w:rPr>
        <w:t>“</w:t>
      </w:r>
      <w:r>
        <w:rPr>
          <w:rFonts w:hint="eastAsia" w:eastAsia="方正仿宋_GBK"/>
          <w:color w:val="000000"/>
          <w:spacing w:val="-2"/>
          <w:sz w:val="24"/>
        </w:rPr>
        <w:t>紧凑型城镇、开敞型区域</w:t>
      </w:r>
      <w:r>
        <w:rPr>
          <w:rFonts w:eastAsia="方正仿宋_GBK"/>
          <w:color w:val="000000"/>
          <w:spacing w:val="-2"/>
          <w:sz w:val="24"/>
        </w:rPr>
        <w:t>”</w:t>
      </w:r>
      <w:r>
        <w:rPr>
          <w:rFonts w:hint="eastAsia" w:eastAsia="方正仿宋_GBK"/>
          <w:color w:val="000000"/>
          <w:spacing w:val="-2"/>
          <w:sz w:val="24"/>
        </w:rPr>
        <w:t>的总体要求，科学界定城市增长边界，保护好山水田林湖自然本底，优化城乡空间结构，加强各专项规划间的协调与融合，构建城乡一体、区域联动的空间格局，夯实海绵城市的生态基底。在规划建成区内要通过规划划定</w:t>
      </w:r>
      <w:r>
        <w:rPr>
          <w:rFonts w:eastAsia="方正仿宋_GBK"/>
          <w:color w:val="000000"/>
          <w:spacing w:val="-2"/>
          <w:sz w:val="24"/>
        </w:rPr>
        <w:t>“</w:t>
      </w:r>
      <w:r>
        <w:rPr>
          <w:rFonts w:hint="eastAsia" w:eastAsia="方正仿宋_GBK"/>
          <w:color w:val="000000"/>
          <w:spacing w:val="-2"/>
          <w:sz w:val="24"/>
        </w:rPr>
        <w:t>蓝线</w:t>
      </w:r>
      <w:r>
        <w:rPr>
          <w:rFonts w:eastAsia="方正仿宋_GBK"/>
          <w:color w:val="000000"/>
          <w:spacing w:val="-2"/>
          <w:sz w:val="24"/>
        </w:rPr>
        <w:t>”</w:t>
      </w:r>
      <w:r>
        <w:rPr>
          <w:rFonts w:hint="eastAsia" w:eastAsia="方正仿宋_GBK"/>
          <w:color w:val="000000"/>
          <w:spacing w:val="-2"/>
          <w:sz w:val="24"/>
        </w:rPr>
        <w:t>、</w:t>
      </w:r>
      <w:r>
        <w:rPr>
          <w:rFonts w:eastAsia="方正仿宋_GBK"/>
          <w:color w:val="000000"/>
          <w:spacing w:val="-2"/>
          <w:sz w:val="24"/>
        </w:rPr>
        <w:t>“</w:t>
      </w:r>
      <w:r>
        <w:rPr>
          <w:rFonts w:hint="eastAsia" w:eastAsia="方正仿宋_GBK"/>
          <w:color w:val="000000"/>
          <w:spacing w:val="-2"/>
          <w:sz w:val="24"/>
        </w:rPr>
        <w:t>绿线</w:t>
      </w:r>
      <w:r>
        <w:rPr>
          <w:rFonts w:eastAsia="方正仿宋_GBK"/>
          <w:color w:val="000000"/>
          <w:spacing w:val="-2"/>
          <w:sz w:val="24"/>
        </w:rPr>
        <w:t>”</w:t>
      </w:r>
      <w:r>
        <w:rPr>
          <w:rFonts w:hint="eastAsia" w:eastAsia="方正仿宋_GBK"/>
          <w:color w:val="000000"/>
          <w:spacing w:val="-2"/>
          <w:sz w:val="24"/>
        </w:rPr>
        <w:t>，有效落实城市河湖水系和山体林地等生态空间的保护。要把地块雨水吸纳率等指标作为开发建设项目规划条件的重要技术指标，通过规划管理手段有效落实。</w:t>
      </w:r>
    </w:p>
    <w:p>
      <w:pPr>
        <w:spacing w:line="460" w:lineRule="exact"/>
        <w:ind w:firstLine="472" w:firstLineChars="200"/>
        <w:rPr>
          <w:rFonts w:eastAsia="方正仿宋_GBK"/>
          <w:color w:val="000000"/>
          <w:spacing w:val="-2"/>
          <w:sz w:val="24"/>
        </w:rPr>
      </w:pPr>
      <w:r>
        <w:rPr>
          <w:rFonts w:hint="eastAsia" w:ascii="Times New Roman" w:eastAsia="方正楷体_GBK"/>
          <w:color w:val="000000"/>
          <w:spacing w:val="-2"/>
          <w:sz w:val="24"/>
        </w:rPr>
        <w:t>（二）提高城市绿地系统的雨水吸纳能力</w:t>
      </w:r>
      <w:r>
        <w:rPr>
          <w:rFonts w:hint="eastAsia" w:eastAsia="方正仿宋_GBK"/>
          <w:color w:val="000000"/>
          <w:spacing w:val="-2"/>
          <w:sz w:val="24"/>
        </w:rPr>
        <w:t>。城市绿地系统是重要的海绵体，要将构建海绵型绿地系统作为园林城市、生态园林城市创建的重要内容。城市绿地系统构建要考虑绿网、水网、路网的有机融合，在满足生态、景观、游憩等功能的基础上，更多地考虑雨水调蓄、净化等功能。要重视滨水绿廊建设，严禁随意填埋河道水系，有条件的地区要逐步恢复已覆盖的河道，加强水系沟通，并通过河湖水体和岸坡生态化处理、滨水空间合理利用等综合举措，提高城市绿地系统的雨水吸纳能力。</w:t>
      </w:r>
    </w:p>
    <w:p>
      <w:pPr>
        <w:spacing w:line="460" w:lineRule="exact"/>
        <w:ind w:firstLine="472" w:firstLineChars="200"/>
        <w:rPr>
          <w:rFonts w:eastAsia="方正仿宋_GBK"/>
          <w:color w:val="000000"/>
          <w:spacing w:val="-2"/>
          <w:sz w:val="24"/>
        </w:rPr>
      </w:pPr>
      <w:r>
        <w:rPr>
          <w:rFonts w:hint="eastAsia" w:ascii="Times New Roman" w:eastAsia="方正楷体_GBK"/>
          <w:color w:val="000000"/>
          <w:spacing w:val="-2"/>
          <w:sz w:val="24"/>
        </w:rPr>
        <w:t>（三）推进海绵型公园绿地建设。</w:t>
      </w:r>
      <w:r>
        <w:rPr>
          <w:rFonts w:hint="eastAsia" w:eastAsia="方正仿宋_GBK"/>
          <w:color w:val="000000"/>
          <w:spacing w:val="-2"/>
          <w:sz w:val="24"/>
        </w:rPr>
        <w:t>城市公园绿地要结合周边水系、道路、市政设施等，统筹开展竖向设计。公园绿地在消纳自身雨水径流的同时，要尽可能为周边区域提供雨水滞留、缓释空间。要结合公园的布局和生态景观等要素，因地制宜地采取小微湿地、雨水花园、下凹式绿地、植草沟等多种形式，公园绿地内硬质铺装、步行系统、停车场等宜采用透水材料，提升公园绿地对雨水的滞蓄和净化能力。各地要充分利用植物园和苗圃基地开展试验与研究，选育和储备适合本地生长、生态和景观效益良好的水生植物和耐水湿植物。省园艺博览会要为海绵型公园绿地建设提供示范。</w:t>
      </w:r>
    </w:p>
    <w:p>
      <w:pPr>
        <w:spacing w:line="460" w:lineRule="exact"/>
        <w:ind w:firstLine="472" w:firstLineChars="200"/>
        <w:rPr>
          <w:rFonts w:eastAsia="方正仿宋_GBK"/>
          <w:color w:val="000000"/>
          <w:spacing w:val="-2"/>
          <w:sz w:val="24"/>
        </w:rPr>
      </w:pPr>
      <w:r>
        <w:rPr>
          <w:rFonts w:hint="eastAsia" w:ascii="Times New Roman" w:eastAsia="方正楷体_GBK"/>
          <w:color w:val="000000"/>
          <w:spacing w:val="-2"/>
          <w:sz w:val="24"/>
        </w:rPr>
        <w:t>（四）推进海绵型道路和广场建设</w:t>
      </w:r>
      <w:r>
        <w:rPr>
          <w:rFonts w:hint="eastAsia" w:eastAsia="方正仿宋_GBK"/>
          <w:color w:val="000000"/>
          <w:spacing w:val="-2"/>
          <w:sz w:val="24"/>
        </w:rPr>
        <w:t>。要转变道路和广场建设理念，变快速汇水为分散就地吸水，提高城市道路广场对雨水的渗、滞、蓄能力。新建道路的绿化隔离带和两侧绿化带要因地制宜运用下凹式绿地、植草沟等多种形式，可采取不设道路侧石或利用道路侧石设置雨水排放口等措施，增加道路绿地雨水吸纳力。新建城市道路的非机动车道、人行道和广场、停车场推广使用透水铺装系统，采用可下渗结构，增加透水性。城市广场可因地制宜采用下沉式结构或配套建设雨水调蓄设施，最大程度减缓雨水径流。既有道路和广场，要有计划地按照低影响开发控制目标建设要求，实施海绵化改造。</w:t>
      </w:r>
    </w:p>
    <w:p>
      <w:pPr>
        <w:spacing w:line="460" w:lineRule="exact"/>
        <w:ind w:firstLine="472" w:firstLineChars="200"/>
        <w:rPr>
          <w:rFonts w:eastAsia="方正仿宋_GBK"/>
          <w:color w:val="000000"/>
          <w:spacing w:val="-2"/>
          <w:sz w:val="24"/>
        </w:rPr>
      </w:pPr>
      <w:r>
        <w:rPr>
          <w:rFonts w:hint="eastAsia" w:ascii="Times New Roman" w:eastAsia="方正楷体_GBK"/>
          <w:color w:val="000000"/>
          <w:spacing w:val="-2"/>
          <w:sz w:val="24"/>
        </w:rPr>
        <w:t>（五）推进海绵型住区建设。</w:t>
      </w:r>
      <w:r>
        <w:rPr>
          <w:rFonts w:hint="eastAsia" w:eastAsia="方正仿宋_GBK"/>
          <w:color w:val="000000"/>
          <w:spacing w:val="-2"/>
          <w:sz w:val="24"/>
        </w:rPr>
        <w:t>新建住宅小区要按照低影响开发的要求规划建设雨水系统。小区室外步行道、停车场应采取透水铺装；推广建筑雨水收集利用和屋顶绿化技术；鼓励居住区绿地采用雨水花园等形式，因地制宜规划建设蓄存雨水的景观水体或相应设施。政府投资建设的保障性住房和棚户区（危旧房）改造项目要率先落实海绵型住区的要求。在城市低洼易淹易涝的老旧小区改造过程中，要同时考虑海绵城市建设技术与排水设施能力建设两项措施并举。</w:t>
      </w:r>
    </w:p>
    <w:p>
      <w:pPr>
        <w:spacing w:line="460" w:lineRule="exact"/>
        <w:ind w:firstLine="472" w:firstLineChars="200"/>
        <w:rPr>
          <w:rFonts w:eastAsia="方正仿宋_GBK"/>
          <w:color w:val="000000"/>
          <w:spacing w:val="-2"/>
          <w:sz w:val="24"/>
        </w:rPr>
      </w:pPr>
      <w:r>
        <w:rPr>
          <w:rFonts w:hint="eastAsia" w:ascii="Times New Roman" w:eastAsia="方正楷体_GBK"/>
          <w:color w:val="000000"/>
          <w:spacing w:val="-2"/>
          <w:sz w:val="24"/>
        </w:rPr>
        <w:t>（六）推进公共项目的海绵体建设。</w:t>
      </w:r>
      <w:r>
        <w:rPr>
          <w:rFonts w:hint="eastAsia" w:eastAsia="方正仿宋_GBK"/>
          <w:color w:val="000000"/>
          <w:spacing w:val="-2"/>
          <w:sz w:val="24"/>
        </w:rPr>
        <w:t>机关、学校、医院、文化体育场馆、交通场站和商业综合体等各类大型公共项目建设，要率先践行生态优先的海绵城市建设理念，减少建筑和广场的硬质铺装面积，推广使用透水铺装、屋顶绿化和下凹式绿地广场，规划用地面积</w:t>
      </w:r>
      <w:r>
        <w:rPr>
          <w:rFonts w:eastAsia="方正仿宋_GBK"/>
          <w:color w:val="000000"/>
          <w:spacing w:val="-2"/>
          <w:sz w:val="24"/>
        </w:rPr>
        <w:t>2</w:t>
      </w:r>
      <w:r>
        <w:rPr>
          <w:rFonts w:hint="eastAsia" w:eastAsia="方正仿宋_GBK"/>
          <w:color w:val="000000"/>
          <w:spacing w:val="-2"/>
          <w:sz w:val="24"/>
        </w:rPr>
        <w:t>万平方米以上的新建建筑物要配套建设雨水收集利用设施。鼓励工矿企业和工业厂区因地制宜采用下凹式绿地、透水铺装和雨水花园等措施，有条件的可建设雨水收集、蓄存和利用设施。</w:t>
      </w:r>
    </w:p>
    <w:p>
      <w:pPr>
        <w:spacing w:line="460" w:lineRule="exact"/>
        <w:ind w:firstLine="472" w:firstLineChars="200"/>
        <w:rPr>
          <w:rFonts w:eastAsia="方正仿宋_GBK"/>
          <w:color w:val="000000"/>
          <w:spacing w:val="-2"/>
          <w:sz w:val="24"/>
        </w:rPr>
      </w:pPr>
      <w:r>
        <w:rPr>
          <w:rFonts w:hint="eastAsia" w:ascii="Times New Roman" w:eastAsia="方正楷体_GBK"/>
          <w:color w:val="000000"/>
          <w:spacing w:val="-2"/>
          <w:sz w:val="24"/>
        </w:rPr>
        <w:t>（七）不断提高城市排水系统能力。</w:t>
      </w:r>
      <w:r>
        <w:rPr>
          <w:rFonts w:hint="eastAsia" w:eastAsia="方正仿宋_GBK"/>
          <w:color w:val="000000"/>
          <w:spacing w:val="-2"/>
          <w:sz w:val="24"/>
        </w:rPr>
        <w:t>在推进海绵城市建设过程中，既要注重绿色基础设施建设，增强就地吸纳雨水能力，又要加强城市排水管网、排涝泵站等灰色基础设施建设，提高城市排水能力。要全面推进城市排水防涝设施达标建设，加快实施城市易淹易涝片区改造，加强排水管网养护，全面提升城市整体排水防涝能力。</w:t>
      </w:r>
    </w:p>
    <w:p>
      <w:pPr>
        <w:spacing w:line="460" w:lineRule="exact"/>
        <w:ind w:firstLine="472" w:firstLineChars="200"/>
        <w:rPr>
          <w:rFonts w:eastAsia="方正仿宋_GBK"/>
          <w:color w:val="000000"/>
          <w:spacing w:val="-2"/>
          <w:sz w:val="24"/>
        </w:rPr>
      </w:pPr>
      <w:r>
        <w:rPr>
          <w:rFonts w:hint="eastAsia" w:ascii="Times New Roman" w:eastAsia="方正楷体_GBK"/>
          <w:color w:val="000000"/>
          <w:spacing w:val="-2"/>
          <w:sz w:val="24"/>
        </w:rPr>
        <w:t>（八）延伸推进海绵型镇村建设。</w:t>
      </w:r>
      <w:r>
        <w:rPr>
          <w:rFonts w:hint="eastAsia" w:eastAsia="方正仿宋_GBK"/>
          <w:color w:val="000000"/>
          <w:spacing w:val="-2"/>
          <w:sz w:val="24"/>
        </w:rPr>
        <w:t>在推进小城镇和村庄建设过程中，要借鉴海绵城市建设理念，因地制宜规划建设海绵型镇村。海绵型镇村建设要更加强调与周围山水田林湖等自然生态环境的有机结合，更加强调运用低成本和自然生态的方法提高镇村雨水吸纳和排放能力。结合全省重点中心镇、综合规划建设示范创建镇、美丽乡村建设示范村等省级示范，综合运用工程和绿色生态措施，探索推进</w:t>
      </w:r>
      <w:r>
        <w:rPr>
          <w:rFonts w:eastAsia="方正仿宋_GBK"/>
          <w:color w:val="000000"/>
          <w:spacing w:val="-2"/>
          <w:sz w:val="24"/>
        </w:rPr>
        <w:t>“</w:t>
      </w:r>
      <w:r>
        <w:rPr>
          <w:rFonts w:hint="eastAsia" w:eastAsia="方正仿宋_GBK"/>
          <w:color w:val="000000"/>
          <w:spacing w:val="-2"/>
          <w:sz w:val="24"/>
        </w:rPr>
        <w:t>海绵镇村</w:t>
      </w:r>
      <w:r>
        <w:rPr>
          <w:rFonts w:eastAsia="方正仿宋_GBK"/>
          <w:color w:val="000000"/>
          <w:spacing w:val="-2"/>
          <w:sz w:val="24"/>
        </w:rPr>
        <w:t>”</w:t>
      </w:r>
      <w:r>
        <w:rPr>
          <w:rFonts w:hint="eastAsia" w:eastAsia="方正仿宋_GBK"/>
          <w:color w:val="000000"/>
          <w:spacing w:val="-2"/>
          <w:sz w:val="24"/>
        </w:rPr>
        <w:t>建设。</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四、建立海绵城市建设的工作推进机制</w:t>
      </w:r>
    </w:p>
    <w:p>
      <w:pPr>
        <w:spacing w:line="460" w:lineRule="exact"/>
        <w:ind w:firstLine="472" w:firstLineChars="200"/>
        <w:rPr>
          <w:rFonts w:hint="eastAsia" w:eastAsia="方正仿宋_GBK"/>
          <w:color w:val="000000"/>
          <w:spacing w:val="-2"/>
          <w:sz w:val="24"/>
        </w:rPr>
      </w:pPr>
      <w:r>
        <w:rPr>
          <w:rFonts w:hint="eastAsia" w:ascii="Times New Roman" w:eastAsia="方正楷体_GBK"/>
          <w:color w:val="000000"/>
          <w:spacing w:val="-2"/>
          <w:sz w:val="24"/>
        </w:rPr>
        <w:t>（一）加强组织领导。</w:t>
      </w:r>
      <w:r>
        <w:rPr>
          <w:rFonts w:hint="eastAsia" w:eastAsia="方正仿宋_GBK"/>
          <w:color w:val="000000"/>
          <w:spacing w:val="-2"/>
          <w:sz w:val="24"/>
        </w:rPr>
        <w:t>省住房城乡建设厅成立</w:t>
      </w:r>
      <w:r>
        <w:rPr>
          <w:rFonts w:eastAsia="方正仿宋_GBK"/>
          <w:color w:val="000000"/>
          <w:spacing w:val="-2"/>
          <w:sz w:val="24"/>
        </w:rPr>
        <w:t>“</w:t>
      </w:r>
      <w:r>
        <w:rPr>
          <w:rFonts w:hint="eastAsia" w:eastAsia="方正仿宋_GBK"/>
          <w:color w:val="000000"/>
          <w:spacing w:val="-2"/>
          <w:sz w:val="24"/>
        </w:rPr>
        <w:t>江苏省海绵城市建设工作推进小组</w:t>
      </w:r>
      <w:r>
        <w:rPr>
          <w:rFonts w:eastAsia="方正仿宋_GBK"/>
          <w:color w:val="000000"/>
          <w:spacing w:val="-2"/>
          <w:sz w:val="24"/>
        </w:rPr>
        <w:t>”</w:t>
      </w:r>
      <w:r>
        <w:rPr>
          <w:rFonts w:hint="eastAsia" w:eastAsia="方正仿宋_GBK"/>
          <w:color w:val="000000"/>
          <w:spacing w:val="-2"/>
          <w:sz w:val="24"/>
        </w:rPr>
        <w:t>，厅主要领导任组长，相关分管副厅长任副组长，厅城建处、规划处、园林处、科技处、村镇处、住房保障处、房产处和城镇供水安全保障中心、科技发展中心等处室（单位）负责同志参加。工作推进小组办公室设在厅城建处，负责统筹协调组织推进海绵城市建设工作，牵头组织开展省级试点示范等工作。全省住房城乡建设系统各相关职能部门要在城市人民政府的统一领导下，形成各司其职、通力协作的工作推进机制。建设行政主管部门要牵头组织好海绵城市建设工作，加强与相关部门的统筹协调；城乡规划主管部门负责将海绵城市建设要求落实到规划编制、实施管理过程中，将有关控制指标纳入城市总体规划、控制性详细规划、相关专项规划以及建设用地规划条件；园林、房产、城管、市政等主管部门根据各自职责，协同推进海绵城市建设工作。</w:t>
      </w:r>
    </w:p>
    <w:p>
      <w:pPr>
        <w:spacing w:line="460" w:lineRule="exact"/>
        <w:ind w:firstLine="472" w:firstLineChars="200"/>
        <w:rPr>
          <w:rFonts w:eastAsia="方正仿宋_GBK"/>
          <w:color w:val="000000"/>
          <w:spacing w:val="-2"/>
          <w:sz w:val="24"/>
        </w:rPr>
      </w:pPr>
      <w:r>
        <w:rPr>
          <w:rFonts w:hint="eastAsia" w:ascii="Times New Roman" w:eastAsia="方正楷体_GBK"/>
          <w:color w:val="000000"/>
          <w:spacing w:val="-2"/>
          <w:sz w:val="24"/>
        </w:rPr>
        <w:t>（二）抓好典型示范。</w:t>
      </w:r>
      <w:r>
        <w:rPr>
          <w:rFonts w:hint="eastAsia" w:eastAsia="方正仿宋_GBK"/>
          <w:color w:val="000000"/>
          <w:spacing w:val="-2"/>
          <w:sz w:val="24"/>
        </w:rPr>
        <w:t>组织开展海绵城市省级试点示范工作，推进海绵城市示范区、海绵型公园绿地、海绵型住区、海绵型道路广场、海绵型小城镇、海绵型村庄等示范建设。申报省级海绵城市试点城市的要编制完成海绵城市建设规划行动方案并报同级城市人民政府批准实施。申报国家级海绵城市试点城市原则上从省级试点城市中择优推荐。修订完善江苏人居环境奖、省优秀管理城市、省园林城市、节水型城市等创建评价指标体系，将海绵城市建设目标纳入创建要求。完善省级建筑节能和绿色建筑示范区指标体系，将海绵城市建设要求纳入其中，推动率先建成海绵城市示范区。</w:t>
      </w:r>
    </w:p>
    <w:p>
      <w:pPr>
        <w:spacing w:line="460" w:lineRule="exact"/>
        <w:ind w:firstLine="472" w:firstLineChars="200"/>
        <w:rPr>
          <w:rFonts w:eastAsia="方正仿宋_GBK"/>
          <w:color w:val="000000"/>
          <w:spacing w:val="-2"/>
          <w:sz w:val="24"/>
        </w:rPr>
      </w:pPr>
      <w:r>
        <w:rPr>
          <w:rFonts w:hint="eastAsia" w:ascii="Times New Roman" w:eastAsia="方正楷体_GBK"/>
          <w:color w:val="000000"/>
          <w:spacing w:val="-2"/>
          <w:sz w:val="24"/>
        </w:rPr>
        <w:t>（三）加强技术支撑。</w:t>
      </w:r>
      <w:r>
        <w:rPr>
          <w:rFonts w:hint="eastAsia" w:eastAsia="方正仿宋_GBK"/>
          <w:color w:val="000000"/>
          <w:spacing w:val="-2"/>
          <w:sz w:val="24"/>
        </w:rPr>
        <w:t>加快研究制定海绵城市建设相关指标体系、检测评价方法。加强海绵城市技术标准体系建设，尽快出台《江苏省海绵城市建设技术导则》、《雨水花园工程建设标准》等技术标准和规程。在江苏省城镇供水安全保障中心设立</w:t>
      </w:r>
      <w:r>
        <w:rPr>
          <w:rFonts w:eastAsia="方正仿宋_GBK"/>
          <w:color w:val="000000"/>
          <w:spacing w:val="-2"/>
          <w:sz w:val="24"/>
        </w:rPr>
        <w:t>“</w:t>
      </w:r>
      <w:r>
        <w:rPr>
          <w:rFonts w:hint="eastAsia" w:eastAsia="方正仿宋_GBK"/>
          <w:color w:val="000000"/>
          <w:spacing w:val="-2"/>
          <w:sz w:val="24"/>
        </w:rPr>
        <w:t>海绵城市技术中心</w:t>
      </w:r>
      <w:r>
        <w:rPr>
          <w:rFonts w:eastAsia="方正仿宋_GBK"/>
          <w:color w:val="000000"/>
          <w:spacing w:val="-2"/>
          <w:sz w:val="24"/>
        </w:rPr>
        <w:t>”</w:t>
      </w:r>
      <w:r>
        <w:rPr>
          <w:rFonts w:hint="eastAsia" w:eastAsia="方正仿宋_GBK"/>
          <w:color w:val="000000"/>
          <w:spacing w:val="-2"/>
          <w:sz w:val="24"/>
        </w:rPr>
        <w:t>，开展城市试点示范技术指导，开展技术研究、标准编制以及相关技术推广与指导。各地要整合当地相关力量，加强工作研究，结合工程实践，总结提炼工作经验，培养相关技术研究和服务队伍，为推进海绵城市建设提供技术支撑。</w:t>
      </w:r>
    </w:p>
    <w:p>
      <w:pPr>
        <w:spacing w:line="460" w:lineRule="exact"/>
        <w:jc w:val="center"/>
        <w:rPr>
          <w:rFonts w:eastAsia="方正仿宋_GBK"/>
          <w:color w:val="000000"/>
          <w:spacing w:val="-2"/>
          <w:sz w:val="24"/>
        </w:rPr>
      </w:pPr>
    </w:p>
    <w:p>
      <w:pPr>
        <w:spacing w:line="460" w:lineRule="exact"/>
        <w:rPr>
          <w:rFonts w:eastAsia="方正仿宋_GBK"/>
          <w:color w:val="000000"/>
          <w:spacing w:val="-2"/>
          <w:sz w:val="24"/>
        </w:rPr>
      </w:pPr>
      <w:r>
        <w:rPr>
          <w:rFonts w:eastAsia="方正仿宋_GBK"/>
          <w:color w:val="000000"/>
          <w:spacing w:val="-2"/>
          <w:sz w:val="24"/>
        </w:rPr>
        <w:br w:type="column"/>
      </w:r>
    </w:p>
    <w:p>
      <w:pPr>
        <w:pStyle w:val="2"/>
        <w:spacing w:before="240" w:beforeLines="100" w:after="240" w:afterLines="100" w:line="240" w:lineRule="auto"/>
        <w:jc w:val="center"/>
        <w:rPr>
          <w:rFonts w:ascii="Times New Roman" w:eastAsia="方正小标宋_GBK"/>
          <w:b w:val="0"/>
          <w:sz w:val="36"/>
          <w:szCs w:val="36"/>
        </w:rPr>
      </w:pPr>
      <w:bookmarkStart w:id="150" w:name="_Toc20726410"/>
      <w:bookmarkStart w:id="151" w:name="_Toc18315493"/>
      <w:r>
        <w:rPr>
          <w:rFonts w:hint="eastAsia" w:ascii="Times New Roman" w:eastAsia="方正小标宋_GBK"/>
          <w:b w:val="0"/>
          <w:sz w:val="36"/>
          <w:szCs w:val="36"/>
        </w:rPr>
        <w:t>省住房城乡建设厅关于转发《住房城乡建设部&lt;关于印发燃气经营许可管理办法&gt;的通知》的通知</w:t>
      </w:r>
      <w:bookmarkEnd w:id="150"/>
      <w:bookmarkEnd w:id="151"/>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152" w:name="_Toc20726411"/>
      <w:bookmarkStart w:id="153" w:name="_Toc18315494"/>
      <w:r>
        <w:rPr>
          <w:rFonts w:hint="eastAsia" w:ascii="Times New Roman" w:hAnsi="Times New Roman" w:eastAsia="方正楷体_GBK"/>
          <w:b w:val="0"/>
          <w:sz w:val="24"/>
          <w:szCs w:val="24"/>
        </w:rPr>
        <w:t>苏建函城〔</w:t>
      </w:r>
      <w:r>
        <w:rPr>
          <w:rFonts w:ascii="Times New Roman" w:hAnsi="Times New Roman" w:eastAsia="方正楷体_GBK"/>
          <w:b w:val="0"/>
          <w:sz w:val="24"/>
          <w:szCs w:val="24"/>
        </w:rPr>
        <w:t>2015</w:t>
      </w:r>
      <w:r>
        <w:rPr>
          <w:rFonts w:hint="eastAsia" w:ascii="Times New Roman" w:hAnsi="Times New Roman" w:eastAsia="方正楷体_GBK"/>
          <w:b w:val="0"/>
          <w:sz w:val="24"/>
          <w:szCs w:val="24"/>
        </w:rPr>
        <w:t>〕</w:t>
      </w:r>
      <w:r>
        <w:rPr>
          <w:rFonts w:ascii="Times New Roman" w:hAnsi="Times New Roman" w:eastAsia="方正楷体_GBK"/>
          <w:b w:val="0"/>
          <w:sz w:val="24"/>
          <w:szCs w:val="24"/>
        </w:rPr>
        <w:t>361</w:t>
      </w:r>
      <w:r>
        <w:rPr>
          <w:rFonts w:hint="eastAsia" w:ascii="Times New Roman" w:hAnsi="Times New Roman" w:eastAsia="方正楷体_GBK"/>
          <w:b w:val="0"/>
          <w:sz w:val="24"/>
          <w:szCs w:val="24"/>
        </w:rPr>
        <w:t>号</w:t>
      </w:r>
      <w:bookmarkEnd w:id="152"/>
      <w:bookmarkEnd w:id="153"/>
    </w:p>
    <w:p>
      <w:pPr>
        <w:spacing w:line="460" w:lineRule="exact"/>
        <w:rPr>
          <w:rFonts w:eastAsia="方正仿宋_GBK"/>
          <w:bCs/>
          <w:color w:val="000000"/>
          <w:sz w:val="24"/>
        </w:rPr>
      </w:pPr>
      <w:r>
        <w:rPr>
          <w:rFonts w:hint="eastAsia" w:eastAsia="方正仿宋_GBK"/>
          <w:bCs/>
          <w:color w:val="000000"/>
          <w:sz w:val="24"/>
        </w:rPr>
        <w:t>各省辖市建设局（委），无锡市市政和园林局，昆山、泰兴、</w:t>
      </w:r>
    </w:p>
    <w:p>
      <w:pPr>
        <w:spacing w:line="460" w:lineRule="exact"/>
        <w:rPr>
          <w:rFonts w:eastAsia="方正仿宋_GBK"/>
          <w:bCs/>
          <w:color w:val="000000"/>
          <w:sz w:val="24"/>
        </w:rPr>
      </w:pPr>
      <w:r>
        <w:rPr>
          <w:rFonts w:hint="eastAsia" w:eastAsia="方正仿宋_GBK"/>
          <w:bCs/>
          <w:color w:val="000000"/>
          <w:sz w:val="24"/>
        </w:rPr>
        <w:t>沭阳县（市）建设局：</w:t>
      </w:r>
    </w:p>
    <w:p>
      <w:pPr>
        <w:spacing w:line="460" w:lineRule="exact"/>
        <w:ind w:firstLine="480" w:firstLineChars="200"/>
        <w:rPr>
          <w:rFonts w:eastAsia="方正仿宋_GBK"/>
          <w:bCs/>
          <w:color w:val="000000"/>
          <w:sz w:val="24"/>
        </w:rPr>
      </w:pPr>
      <w:r>
        <w:rPr>
          <w:rFonts w:hint="eastAsia" w:eastAsia="方正仿宋_GBK"/>
          <w:bCs/>
          <w:color w:val="000000"/>
          <w:sz w:val="24"/>
        </w:rPr>
        <w:t>现将住房城乡建设部《关于印发</w:t>
      </w:r>
      <w:r>
        <w:rPr>
          <w:rFonts w:eastAsia="方正仿宋_GBK"/>
          <w:bCs/>
          <w:color w:val="000000"/>
          <w:sz w:val="24"/>
        </w:rPr>
        <w:t>&lt;</w:t>
      </w:r>
      <w:r>
        <w:rPr>
          <w:rFonts w:hint="eastAsia" w:eastAsia="方正仿宋_GBK"/>
          <w:bCs/>
          <w:color w:val="000000"/>
          <w:sz w:val="24"/>
        </w:rPr>
        <w:t>燃气经营许可管理办法</w:t>
      </w:r>
      <w:r>
        <w:rPr>
          <w:rFonts w:eastAsia="方正仿宋_GBK"/>
          <w:bCs/>
          <w:color w:val="000000"/>
          <w:sz w:val="24"/>
        </w:rPr>
        <w:t>&gt;</w:t>
      </w:r>
      <w:r>
        <w:rPr>
          <w:rFonts w:hint="eastAsia" w:eastAsia="方正仿宋_GBK"/>
          <w:bCs/>
          <w:color w:val="000000"/>
          <w:sz w:val="24"/>
        </w:rPr>
        <w:t>和</w:t>
      </w:r>
      <w:r>
        <w:rPr>
          <w:rFonts w:eastAsia="方正仿宋_GBK"/>
          <w:bCs/>
          <w:color w:val="000000"/>
          <w:sz w:val="24"/>
        </w:rPr>
        <w:t>&lt;</w:t>
      </w:r>
      <w:r>
        <w:rPr>
          <w:rFonts w:hint="eastAsia" w:eastAsia="方正仿宋_GBK"/>
          <w:bCs/>
          <w:color w:val="000000"/>
          <w:sz w:val="24"/>
        </w:rPr>
        <w:t>燃气经营企业从业人员专业培训考核管理办法</w:t>
      </w:r>
      <w:r>
        <w:rPr>
          <w:rFonts w:eastAsia="方正仿宋_GBK"/>
          <w:bCs/>
          <w:color w:val="000000"/>
          <w:sz w:val="24"/>
        </w:rPr>
        <w:t>&gt;</w:t>
      </w:r>
      <w:r>
        <w:rPr>
          <w:rFonts w:hint="eastAsia" w:eastAsia="方正仿宋_GBK"/>
          <w:bCs/>
          <w:color w:val="000000"/>
          <w:sz w:val="24"/>
        </w:rPr>
        <w:t>的通知》</w:t>
      </w:r>
      <w:r>
        <w:rPr>
          <w:rFonts w:eastAsia="方正仿宋_GBK"/>
          <w:bCs/>
          <w:color w:val="000000"/>
          <w:sz w:val="24"/>
        </w:rPr>
        <w:t>(</w:t>
      </w:r>
      <w:r>
        <w:rPr>
          <w:rFonts w:hint="eastAsia" w:eastAsia="方正仿宋_GBK"/>
          <w:bCs/>
          <w:color w:val="000000"/>
          <w:sz w:val="24"/>
        </w:rPr>
        <w:t>建城〔</w:t>
      </w:r>
      <w:r>
        <w:rPr>
          <w:rFonts w:eastAsia="方正仿宋_GBK"/>
          <w:bCs/>
          <w:color w:val="000000"/>
          <w:sz w:val="24"/>
        </w:rPr>
        <w:t>2014</w:t>
      </w:r>
      <w:r>
        <w:rPr>
          <w:rFonts w:hint="eastAsia" w:eastAsia="方正仿宋_GBK"/>
          <w:bCs/>
          <w:color w:val="000000"/>
          <w:sz w:val="24"/>
        </w:rPr>
        <w:t>〕</w:t>
      </w:r>
      <w:r>
        <w:rPr>
          <w:rFonts w:eastAsia="方正仿宋_GBK"/>
          <w:bCs/>
          <w:color w:val="000000"/>
          <w:sz w:val="24"/>
        </w:rPr>
        <w:t>167</w:t>
      </w:r>
      <w:r>
        <w:rPr>
          <w:rFonts w:hint="eastAsia" w:eastAsia="方正仿宋_GBK"/>
          <w:bCs/>
          <w:color w:val="000000"/>
          <w:sz w:val="24"/>
        </w:rPr>
        <w:t>号</w:t>
      </w:r>
      <w:r>
        <w:rPr>
          <w:rFonts w:eastAsia="方正仿宋_GBK"/>
          <w:bCs/>
          <w:color w:val="000000"/>
          <w:sz w:val="24"/>
        </w:rPr>
        <w:t>)</w:t>
      </w:r>
      <w:r>
        <w:rPr>
          <w:rFonts w:hint="eastAsia" w:eastAsia="方正仿宋_GBK"/>
          <w:bCs/>
          <w:color w:val="000000"/>
          <w:sz w:val="24"/>
        </w:rPr>
        <w:t>转发给你们，并提出如下贯彻意见：</w:t>
      </w:r>
      <w:r>
        <w:rPr>
          <w:rFonts w:eastAsia="方正仿宋_GBK"/>
          <w:bCs/>
          <w:color w:val="000000"/>
          <w:sz w:val="24"/>
        </w:rPr>
        <w:t xml:space="preserve"> </w:t>
      </w:r>
    </w:p>
    <w:p>
      <w:pPr>
        <w:spacing w:line="460" w:lineRule="exact"/>
        <w:ind w:firstLine="480" w:firstLineChars="200"/>
        <w:rPr>
          <w:rFonts w:ascii="Times New Roman" w:eastAsia="黑体"/>
          <w:color w:val="000000"/>
          <w:sz w:val="24"/>
        </w:rPr>
      </w:pPr>
      <w:r>
        <w:rPr>
          <w:rFonts w:hint="eastAsia" w:ascii="Times New Roman" w:eastAsia="黑体"/>
          <w:color w:val="000000"/>
          <w:sz w:val="24"/>
        </w:rPr>
        <w:t>一、燃气经营许可的核发</w:t>
      </w:r>
    </w:p>
    <w:p>
      <w:pPr>
        <w:spacing w:line="460" w:lineRule="exact"/>
        <w:ind w:firstLine="480" w:firstLineChars="200"/>
        <w:rPr>
          <w:rFonts w:hint="eastAsia" w:eastAsia="方正仿宋_GBK"/>
          <w:color w:val="000000"/>
          <w:sz w:val="24"/>
        </w:rPr>
      </w:pPr>
      <w:r>
        <w:rPr>
          <w:rFonts w:hint="eastAsia" w:eastAsia="方正仿宋_GBK"/>
          <w:color w:val="000000"/>
          <w:sz w:val="24"/>
        </w:rPr>
        <w:t>瓶装燃气经营企业的许可证由设区市燃气主管部门负责核发和管理，其他燃气经营企业的许可证由经营设施所在地的设区市、县（市、区）燃气主管部门负责核发和管理；省直管试点县（市）燃气管理部门负责辖区内燃气经营企业许可证的核发和管理。</w:t>
      </w:r>
    </w:p>
    <w:p>
      <w:pPr>
        <w:spacing w:line="460" w:lineRule="exact"/>
        <w:ind w:firstLine="480" w:firstLineChars="200"/>
        <w:rPr>
          <w:rFonts w:ascii="Times New Roman" w:eastAsia="黑体"/>
          <w:color w:val="000000"/>
          <w:sz w:val="24"/>
        </w:rPr>
      </w:pPr>
      <w:r>
        <w:rPr>
          <w:rFonts w:hint="eastAsia" w:ascii="Times New Roman" w:eastAsia="黑体"/>
          <w:color w:val="000000"/>
          <w:sz w:val="24"/>
        </w:rPr>
        <w:t>二、燃气经营许可证发放的其他事项</w:t>
      </w:r>
    </w:p>
    <w:p>
      <w:pPr>
        <w:spacing w:line="460" w:lineRule="exact"/>
        <w:ind w:firstLine="480" w:firstLineChars="200"/>
        <w:rPr>
          <w:rFonts w:hint="eastAsia" w:eastAsia="方正仿宋_GBK"/>
          <w:bCs/>
          <w:color w:val="000000"/>
          <w:sz w:val="24"/>
        </w:rPr>
      </w:pPr>
      <w:r>
        <w:rPr>
          <w:rFonts w:eastAsia="方正仿宋_GBK"/>
          <w:bCs/>
          <w:color w:val="000000"/>
          <w:sz w:val="24"/>
        </w:rPr>
        <w:t>1</w:t>
      </w:r>
      <w:r>
        <w:rPr>
          <w:rFonts w:hint="eastAsia" w:eastAsia="方正仿宋_GBK"/>
          <w:bCs/>
          <w:color w:val="000000"/>
          <w:sz w:val="24"/>
        </w:rPr>
        <w:t>、燃气汽车加气站等其他类型燃气经营企业负责人和安全生产管理人员按照住房城乡建设部《燃气经营许可管理办法》中的有关人员标准执行；运行、维护和抢修人员及数量配备：</w:t>
      </w:r>
      <w:r>
        <w:rPr>
          <w:rFonts w:eastAsia="方正仿宋_GBK"/>
          <w:bCs/>
          <w:color w:val="000000"/>
          <w:sz w:val="24"/>
        </w:rPr>
        <w:t>CNG</w:t>
      </w:r>
      <w:r>
        <w:rPr>
          <w:rFonts w:hint="eastAsia" w:eastAsia="方正仿宋_GBK"/>
          <w:bCs/>
          <w:color w:val="000000"/>
          <w:sz w:val="24"/>
        </w:rPr>
        <w:t>加气母站和</w:t>
      </w:r>
      <w:r>
        <w:rPr>
          <w:rFonts w:eastAsia="方正仿宋_GBK"/>
          <w:bCs/>
          <w:color w:val="000000"/>
          <w:sz w:val="24"/>
        </w:rPr>
        <w:t>LNG</w:t>
      </w:r>
      <w:r>
        <w:rPr>
          <w:rFonts w:hint="eastAsia" w:eastAsia="方正仿宋_GBK"/>
          <w:bCs/>
          <w:color w:val="000000"/>
          <w:sz w:val="24"/>
        </w:rPr>
        <w:t>生产储配经营企业不少于</w:t>
      </w:r>
      <w:r>
        <w:rPr>
          <w:rFonts w:eastAsia="方正仿宋_GBK"/>
          <w:bCs/>
          <w:color w:val="000000"/>
          <w:sz w:val="24"/>
        </w:rPr>
        <w:t>6</w:t>
      </w:r>
      <w:r>
        <w:rPr>
          <w:rFonts w:hint="eastAsia" w:eastAsia="方正仿宋_GBK"/>
          <w:bCs/>
          <w:color w:val="000000"/>
          <w:sz w:val="24"/>
        </w:rPr>
        <w:t>人。</w:t>
      </w:r>
      <w:r>
        <w:rPr>
          <w:rFonts w:eastAsia="方正仿宋_GBK"/>
          <w:bCs/>
          <w:color w:val="000000"/>
          <w:sz w:val="24"/>
        </w:rPr>
        <w:t>CNG</w:t>
      </w:r>
      <w:r>
        <w:rPr>
          <w:rFonts w:hint="eastAsia" w:eastAsia="方正仿宋_GBK"/>
          <w:bCs/>
          <w:color w:val="000000"/>
          <w:sz w:val="24"/>
        </w:rPr>
        <w:t>常规站、子站和</w:t>
      </w:r>
      <w:r>
        <w:rPr>
          <w:rFonts w:eastAsia="方正仿宋_GBK"/>
          <w:bCs/>
          <w:color w:val="000000"/>
          <w:sz w:val="24"/>
        </w:rPr>
        <w:t>LNG</w:t>
      </w:r>
      <w:r>
        <w:rPr>
          <w:rFonts w:hint="eastAsia" w:eastAsia="方正仿宋_GBK"/>
          <w:bCs/>
          <w:color w:val="000000"/>
          <w:sz w:val="24"/>
        </w:rPr>
        <w:t>加气站不少于</w:t>
      </w:r>
      <w:r>
        <w:rPr>
          <w:rFonts w:eastAsia="方正仿宋_GBK"/>
          <w:bCs/>
          <w:color w:val="000000"/>
          <w:sz w:val="24"/>
        </w:rPr>
        <w:t>4</w:t>
      </w:r>
      <w:r>
        <w:rPr>
          <w:rFonts w:hint="eastAsia" w:eastAsia="方正仿宋_GBK"/>
          <w:bCs/>
          <w:color w:val="000000"/>
          <w:sz w:val="24"/>
        </w:rPr>
        <w:t>人。</w:t>
      </w:r>
      <w:r>
        <w:rPr>
          <w:rFonts w:hint="eastAsia" w:ascii="Times New Roman" w:hAnsi="Times New Roman" w:cs="宋体"/>
          <w:bCs/>
          <w:color w:val="000000"/>
          <w:sz w:val="24"/>
        </w:rPr>
        <w:t>Ⅰ</w:t>
      </w:r>
      <w:r>
        <w:rPr>
          <w:rFonts w:hint="eastAsia" w:eastAsia="方正仿宋_GBK"/>
          <w:bCs/>
          <w:color w:val="000000"/>
          <w:sz w:val="24"/>
        </w:rPr>
        <w:t>、</w:t>
      </w:r>
      <w:r>
        <w:rPr>
          <w:rFonts w:hint="eastAsia" w:ascii="Times New Roman" w:hAnsi="Times New Roman" w:cs="宋体"/>
          <w:bCs/>
          <w:color w:val="000000"/>
          <w:sz w:val="24"/>
        </w:rPr>
        <w:t>Ⅱ</w:t>
      </w:r>
      <w:r>
        <w:rPr>
          <w:rFonts w:hint="eastAsia" w:eastAsia="方正仿宋_GBK"/>
          <w:bCs/>
          <w:color w:val="000000"/>
          <w:sz w:val="24"/>
        </w:rPr>
        <w:t>、</w:t>
      </w:r>
      <w:r>
        <w:rPr>
          <w:rFonts w:hint="eastAsia" w:ascii="Times New Roman" w:hAnsi="Times New Roman" w:cs="宋体"/>
          <w:bCs/>
          <w:color w:val="000000"/>
          <w:sz w:val="24"/>
        </w:rPr>
        <w:t>Ⅲ</w:t>
      </w:r>
      <w:r>
        <w:rPr>
          <w:rFonts w:hint="eastAsia" w:eastAsia="方正仿宋_GBK"/>
          <w:bCs/>
          <w:color w:val="000000"/>
          <w:sz w:val="24"/>
        </w:rPr>
        <w:t>级瓶装燃气供应站点不少于</w:t>
      </w:r>
      <w:r>
        <w:rPr>
          <w:rFonts w:eastAsia="方正仿宋_GBK"/>
          <w:bCs/>
          <w:color w:val="000000"/>
          <w:sz w:val="24"/>
        </w:rPr>
        <w:t>4</w:t>
      </w:r>
      <w:r>
        <w:rPr>
          <w:rFonts w:hint="eastAsia" w:eastAsia="方正仿宋_GBK"/>
          <w:bCs/>
          <w:color w:val="000000"/>
          <w:sz w:val="24"/>
        </w:rPr>
        <w:t>人、</w:t>
      </w:r>
      <w:r>
        <w:rPr>
          <w:rFonts w:eastAsia="方正仿宋_GBK"/>
          <w:bCs/>
          <w:color w:val="000000"/>
          <w:sz w:val="24"/>
        </w:rPr>
        <w:t>3</w:t>
      </w:r>
      <w:r>
        <w:rPr>
          <w:rFonts w:hint="eastAsia" w:eastAsia="方正仿宋_GBK"/>
          <w:bCs/>
          <w:color w:val="000000"/>
          <w:sz w:val="24"/>
        </w:rPr>
        <w:t>人、</w:t>
      </w:r>
      <w:r>
        <w:rPr>
          <w:rFonts w:eastAsia="方正仿宋_GBK"/>
          <w:bCs/>
          <w:color w:val="000000"/>
          <w:sz w:val="24"/>
        </w:rPr>
        <w:t>2</w:t>
      </w:r>
      <w:r>
        <w:rPr>
          <w:rFonts w:hint="eastAsia" w:eastAsia="方正仿宋_GBK"/>
          <w:bCs/>
          <w:color w:val="000000"/>
          <w:sz w:val="24"/>
        </w:rPr>
        <w:t>人。</w:t>
      </w:r>
    </w:p>
    <w:p>
      <w:pPr>
        <w:spacing w:line="460" w:lineRule="exact"/>
        <w:ind w:firstLine="480" w:firstLineChars="200"/>
        <w:jc w:val="left"/>
        <w:rPr>
          <w:rFonts w:eastAsia="方正仿宋_GBK"/>
          <w:color w:val="000000"/>
          <w:sz w:val="24"/>
        </w:rPr>
      </w:pPr>
      <w:r>
        <w:rPr>
          <w:rFonts w:eastAsia="方正仿宋_GBK"/>
          <w:color w:val="000000"/>
          <w:kern w:val="0"/>
          <w:sz w:val="24"/>
        </w:rPr>
        <w:t>2</w:t>
      </w:r>
      <w:r>
        <w:rPr>
          <w:rFonts w:hint="eastAsia" w:eastAsia="方正仿宋_GBK"/>
          <w:color w:val="000000"/>
          <w:kern w:val="0"/>
          <w:sz w:val="24"/>
        </w:rPr>
        <w:t>、燃气企业的主要负责人、安全生产管理人员以及运行、维护和抢修人员的</w:t>
      </w:r>
      <w:r>
        <w:rPr>
          <w:rFonts w:hint="eastAsia" w:eastAsia="方正仿宋_GBK"/>
          <w:color w:val="000000"/>
          <w:sz w:val="24"/>
        </w:rPr>
        <w:t>专业培训考核合格证书由省住房城乡建设厅统一核发，培训、考核的具体工作另行通知。</w:t>
      </w:r>
    </w:p>
    <w:p>
      <w:pPr>
        <w:spacing w:line="460" w:lineRule="exact"/>
        <w:ind w:firstLine="480" w:firstLineChars="200"/>
        <w:rPr>
          <w:rFonts w:eastAsia="方正仿宋_GBK"/>
          <w:color w:val="000000"/>
          <w:sz w:val="24"/>
        </w:rPr>
      </w:pPr>
      <w:r>
        <w:rPr>
          <w:rFonts w:eastAsia="方正仿宋_GBK"/>
          <w:color w:val="000000"/>
          <w:sz w:val="24"/>
        </w:rPr>
        <w:t>3</w:t>
      </w:r>
      <w:r>
        <w:rPr>
          <w:rFonts w:hint="eastAsia" w:eastAsia="方正仿宋_GBK"/>
          <w:color w:val="000000"/>
          <w:sz w:val="24"/>
        </w:rPr>
        <w:t>、《燃气经营许可证》正本与副本具有同等法律效力，正本、副本中的经营类别按照管道燃气、瓶装燃气、燃气汽车加气站、其他等四类进行划分，并且每个类别要明确标注气源种类，即：管道燃气</w:t>
      </w:r>
      <w:r>
        <w:rPr>
          <w:rFonts w:eastAsia="方正仿宋_GBK"/>
          <w:color w:val="000000"/>
          <w:sz w:val="24"/>
        </w:rPr>
        <w:t>&lt;</w:t>
      </w:r>
      <w:r>
        <w:rPr>
          <w:rFonts w:hint="eastAsia" w:eastAsia="方正仿宋_GBK"/>
          <w:color w:val="000000"/>
          <w:sz w:val="24"/>
        </w:rPr>
        <w:t>气源种类</w:t>
      </w:r>
      <w:r>
        <w:rPr>
          <w:rFonts w:eastAsia="方正仿宋_GBK"/>
          <w:color w:val="000000"/>
          <w:sz w:val="24"/>
        </w:rPr>
        <w:t>&gt;</w:t>
      </w:r>
      <w:r>
        <w:rPr>
          <w:rFonts w:hint="eastAsia" w:eastAsia="方正仿宋_GBK"/>
          <w:color w:val="000000"/>
          <w:sz w:val="24"/>
        </w:rPr>
        <w:t>、瓶装燃气</w:t>
      </w:r>
      <w:r>
        <w:rPr>
          <w:rFonts w:eastAsia="方正仿宋_GBK"/>
          <w:color w:val="000000"/>
          <w:sz w:val="24"/>
        </w:rPr>
        <w:t>&lt;</w:t>
      </w:r>
      <w:r>
        <w:rPr>
          <w:rFonts w:hint="eastAsia" w:eastAsia="方正仿宋_GBK"/>
          <w:color w:val="000000"/>
          <w:sz w:val="24"/>
        </w:rPr>
        <w:t>气源种类</w:t>
      </w:r>
      <w:r>
        <w:rPr>
          <w:rFonts w:eastAsia="方正仿宋_GBK"/>
          <w:color w:val="000000"/>
          <w:sz w:val="24"/>
        </w:rPr>
        <w:t>&gt;</w:t>
      </w:r>
      <w:r>
        <w:rPr>
          <w:rFonts w:hint="eastAsia" w:eastAsia="方正仿宋_GBK"/>
          <w:color w:val="000000"/>
          <w:sz w:val="24"/>
        </w:rPr>
        <w:t>、燃气汽车加气站</w:t>
      </w:r>
      <w:r>
        <w:rPr>
          <w:rFonts w:eastAsia="方正仿宋_GBK"/>
          <w:color w:val="000000"/>
          <w:sz w:val="24"/>
        </w:rPr>
        <w:t>&lt;</w:t>
      </w:r>
      <w:r>
        <w:rPr>
          <w:rFonts w:hint="eastAsia" w:eastAsia="方正仿宋_GBK"/>
          <w:color w:val="000000"/>
          <w:sz w:val="24"/>
        </w:rPr>
        <w:t>气源种类</w:t>
      </w:r>
      <w:r>
        <w:rPr>
          <w:rFonts w:eastAsia="方正仿宋_GBK"/>
          <w:color w:val="000000"/>
          <w:sz w:val="24"/>
        </w:rPr>
        <w:t>&gt;</w:t>
      </w:r>
      <w:r>
        <w:rPr>
          <w:rFonts w:hint="eastAsia" w:eastAsia="方正仿宋_GBK"/>
          <w:color w:val="000000"/>
          <w:sz w:val="24"/>
        </w:rPr>
        <w:t>、其他</w:t>
      </w:r>
      <w:r>
        <w:rPr>
          <w:rFonts w:eastAsia="方正仿宋_GBK"/>
          <w:color w:val="000000"/>
          <w:sz w:val="24"/>
        </w:rPr>
        <w:t>&lt;</w:t>
      </w:r>
      <w:r>
        <w:rPr>
          <w:rFonts w:hint="eastAsia" w:eastAsia="方正仿宋_GBK"/>
          <w:color w:val="000000"/>
          <w:sz w:val="24"/>
        </w:rPr>
        <w:t>气源种类</w:t>
      </w:r>
      <w:r>
        <w:rPr>
          <w:rFonts w:eastAsia="方正仿宋_GBK"/>
          <w:color w:val="000000"/>
          <w:sz w:val="24"/>
        </w:rPr>
        <w:t>&gt;</w:t>
      </w:r>
      <w:r>
        <w:rPr>
          <w:rFonts w:hint="eastAsia" w:eastAsia="方正仿宋_GBK"/>
          <w:color w:val="000000"/>
          <w:sz w:val="24"/>
        </w:rPr>
        <w:t>。</w:t>
      </w:r>
    </w:p>
    <w:p>
      <w:pPr>
        <w:spacing w:line="460" w:lineRule="exact"/>
        <w:ind w:firstLine="480" w:firstLineChars="200"/>
        <w:rPr>
          <w:rFonts w:eastAsia="方正仿宋_GBK"/>
          <w:color w:val="000000"/>
          <w:sz w:val="24"/>
        </w:rPr>
      </w:pPr>
      <w:r>
        <w:rPr>
          <w:rFonts w:eastAsia="方正仿宋_GBK"/>
          <w:color w:val="000000"/>
          <w:sz w:val="24"/>
        </w:rPr>
        <w:t>4</w:t>
      </w:r>
      <w:r>
        <w:rPr>
          <w:rFonts w:hint="eastAsia" w:eastAsia="方正仿宋_GBK"/>
          <w:color w:val="000000"/>
          <w:sz w:val="24"/>
        </w:rPr>
        <w:t>、《燃气经营许可证》编号由发证机关根据以下方法编制，苏</w:t>
      </w:r>
      <w:r>
        <w:rPr>
          <w:rFonts w:eastAsia="方正仿宋_GBK"/>
          <w:color w:val="000000"/>
          <w:sz w:val="24"/>
        </w:rPr>
        <w:t>+</w:t>
      </w:r>
      <w:r>
        <w:rPr>
          <w:rFonts w:hint="eastAsia" w:eastAsia="方正仿宋_GBK"/>
          <w:color w:val="000000"/>
          <w:sz w:val="24"/>
        </w:rPr>
        <w:t>发证年份编号</w:t>
      </w:r>
      <w:r>
        <w:rPr>
          <w:rFonts w:eastAsia="方正仿宋_GBK"/>
          <w:color w:val="000000"/>
          <w:sz w:val="24"/>
        </w:rPr>
        <w:t>+</w:t>
      </w:r>
      <w:r>
        <w:rPr>
          <w:rFonts w:hint="eastAsia" w:eastAsia="方正仿宋_GBK"/>
          <w:color w:val="000000"/>
          <w:sz w:val="24"/>
        </w:rPr>
        <w:t>设区市（省直管试点县、市）编号</w:t>
      </w:r>
      <w:r>
        <w:rPr>
          <w:rFonts w:eastAsia="方正仿宋_GBK"/>
          <w:color w:val="000000"/>
          <w:sz w:val="24"/>
        </w:rPr>
        <w:t>+</w:t>
      </w:r>
      <w:r>
        <w:rPr>
          <w:rFonts w:hint="eastAsia" w:eastAsia="方正仿宋_GBK"/>
          <w:color w:val="000000"/>
          <w:sz w:val="24"/>
        </w:rPr>
        <w:t>县（市、区）编号</w:t>
      </w:r>
      <w:r>
        <w:rPr>
          <w:rFonts w:eastAsia="方正仿宋_GBK"/>
          <w:color w:val="000000"/>
          <w:sz w:val="24"/>
        </w:rPr>
        <w:t>+</w:t>
      </w:r>
      <w:r>
        <w:rPr>
          <w:rFonts w:hint="eastAsia" w:eastAsia="方正仿宋_GBK"/>
          <w:color w:val="000000"/>
          <w:sz w:val="24"/>
        </w:rPr>
        <w:t>流水号</w:t>
      </w:r>
      <w:r>
        <w:rPr>
          <w:rFonts w:eastAsia="方正仿宋_GBK"/>
          <w:color w:val="000000"/>
          <w:sz w:val="24"/>
        </w:rPr>
        <w:t>+</w:t>
      </w:r>
      <w:r>
        <w:rPr>
          <w:rFonts w:hint="eastAsia" w:eastAsia="方正仿宋_GBK"/>
          <w:color w:val="000000"/>
          <w:sz w:val="24"/>
        </w:rPr>
        <w:t>经营类别代码，其中设区市（省直管试点县、市）编号为：南京市</w:t>
      </w:r>
      <w:r>
        <w:rPr>
          <w:rFonts w:eastAsia="方正仿宋_GBK"/>
          <w:color w:val="000000"/>
          <w:sz w:val="24"/>
        </w:rPr>
        <w:t>01</w:t>
      </w:r>
      <w:r>
        <w:rPr>
          <w:rFonts w:hint="eastAsia" w:eastAsia="方正仿宋_GBK"/>
          <w:color w:val="000000"/>
          <w:sz w:val="24"/>
        </w:rPr>
        <w:t>、无锡市</w:t>
      </w:r>
      <w:r>
        <w:rPr>
          <w:rFonts w:eastAsia="方正仿宋_GBK"/>
          <w:color w:val="000000"/>
          <w:sz w:val="24"/>
        </w:rPr>
        <w:t>02</w:t>
      </w:r>
      <w:r>
        <w:rPr>
          <w:rFonts w:hint="eastAsia" w:eastAsia="方正仿宋_GBK"/>
          <w:color w:val="000000"/>
          <w:sz w:val="24"/>
        </w:rPr>
        <w:t>、徐州市</w:t>
      </w:r>
      <w:r>
        <w:rPr>
          <w:rFonts w:eastAsia="方正仿宋_GBK"/>
          <w:color w:val="000000"/>
          <w:sz w:val="24"/>
        </w:rPr>
        <w:t>03</w:t>
      </w:r>
      <w:r>
        <w:rPr>
          <w:rFonts w:hint="eastAsia" w:eastAsia="方正仿宋_GBK"/>
          <w:color w:val="000000"/>
          <w:sz w:val="24"/>
        </w:rPr>
        <w:t>、常州市</w:t>
      </w:r>
      <w:r>
        <w:rPr>
          <w:rFonts w:eastAsia="方正仿宋_GBK"/>
          <w:color w:val="000000"/>
          <w:sz w:val="24"/>
        </w:rPr>
        <w:t>04</w:t>
      </w:r>
      <w:r>
        <w:rPr>
          <w:rFonts w:hint="eastAsia" w:eastAsia="方正仿宋_GBK"/>
          <w:color w:val="000000"/>
          <w:sz w:val="24"/>
        </w:rPr>
        <w:t>、苏州市</w:t>
      </w:r>
      <w:r>
        <w:rPr>
          <w:rFonts w:eastAsia="方正仿宋_GBK"/>
          <w:color w:val="000000"/>
          <w:sz w:val="24"/>
        </w:rPr>
        <w:t>05</w:t>
      </w:r>
      <w:r>
        <w:rPr>
          <w:rFonts w:hint="eastAsia" w:eastAsia="方正仿宋_GBK"/>
          <w:color w:val="000000"/>
          <w:sz w:val="24"/>
        </w:rPr>
        <w:t>、南通市</w:t>
      </w:r>
      <w:r>
        <w:rPr>
          <w:rFonts w:eastAsia="方正仿宋_GBK"/>
          <w:color w:val="000000"/>
          <w:sz w:val="24"/>
        </w:rPr>
        <w:t>06</w:t>
      </w:r>
      <w:r>
        <w:rPr>
          <w:rFonts w:hint="eastAsia" w:eastAsia="方正仿宋_GBK"/>
          <w:color w:val="000000"/>
          <w:sz w:val="24"/>
        </w:rPr>
        <w:t>、连云港市</w:t>
      </w:r>
      <w:r>
        <w:rPr>
          <w:rFonts w:eastAsia="方正仿宋_GBK"/>
          <w:color w:val="000000"/>
          <w:sz w:val="24"/>
        </w:rPr>
        <w:t>07</w:t>
      </w:r>
      <w:r>
        <w:rPr>
          <w:rFonts w:hint="eastAsia" w:eastAsia="方正仿宋_GBK"/>
          <w:color w:val="000000"/>
          <w:sz w:val="24"/>
        </w:rPr>
        <w:t>、淮安市</w:t>
      </w:r>
      <w:r>
        <w:rPr>
          <w:rFonts w:eastAsia="方正仿宋_GBK"/>
          <w:color w:val="000000"/>
          <w:sz w:val="24"/>
        </w:rPr>
        <w:t>08</w:t>
      </w:r>
      <w:r>
        <w:rPr>
          <w:rFonts w:hint="eastAsia" w:eastAsia="方正仿宋_GBK"/>
          <w:color w:val="000000"/>
          <w:sz w:val="24"/>
        </w:rPr>
        <w:t>、盐城市</w:t>
      </w:r>
      <w:r>
        <w:rPr>
          <w:rFonts w:eastAsia="方正仿宋_GBK"/>
          <w:color w:val="000000"/>
          <w:sz w:val="24"/>
        </w:rPr>
        <w:t>09</w:t>
      </w:r>
      <w:r>
        <w:rPr>
          <w:rFonts w:hint="eastAsia" w:eastAsia="方正仿宋_GBK"/>
          <w:color w:val="000000"/>
          <w:sz w:val="24"/>
        </w:rPr>
        <w:t>、扬州市</w:t>
      </w:r>
      <w:r>
        <w:rPr>
          <w:rFonts w:eastAsia="方正仿宋_GBK"/>
          <w:color w:val="000000"/>
          <w:sz w:val="24"/>
        </w:rPr>
        <w:t>10</w:t>
      </w:r>
      <w:r>
        <w:rPr>
          <w:rFonts w:hint="eastAsia" w:eastAsia="方正仿宋_GBK"/>
          <w:color w:val="000000"/>
          <w:sz w:val="24"/>
        </w:rPr>
        <w:t>、镇江市</w:t>
      </w:r>
      <w:r>
        <w:rPr>
          <w:rFonts w:eastAsia="方正仿宋_GBK"/>
          <w:color w:val="000000"/>
          <w:sz w:val="24"/>
        </w:rPr>
        <w:t>11</w:t>
      </w:r>
      <w:r>
        <w:rPr>
          <w:rFonts w:hint="eastAsia" w:eastAsia="方正仿宋_GBK"/>
          <w:color w:val="000000"/>
          <w:sz w:val="24"/>
        </w:rPr>
        <w:t>、泰州市</w:t>
      </w:r>
      <w:r>
        <w:rPr>
          <w:rFonts w:eastAsia="方正仿宋_GBK"/>
          <w:color w:val="000000"/>
          <w:sz w:val="24"/>
        </w:rPr>
        <w:t>12</w:t>
      </w:r>
      <w:r>
        <w:rPr>
          <w:rFonts w:hint="eastAsia" w:eastAsia="方正仿宋_GBK"/>
          <w:color w:val="000000"/>
          <w:sz w:val="24"/>
        </w:rPr>
        <w:t>、宿迁市</w:t>
      </w:r>
      <w:r>
        <w:rPr>
          <w:rFonts w:eastAsia="方正仿宋_GBK"/>
          <w:color w:val="000000"/>
          <w:sz w:val="24"/>
        </w:rPr>
        <w:t>13</w:t>
      </w:r>
      <w:r>
        <w:rPr>
          <w:rFonts w:hint="eastAsia" w:eastAsia="方正仿宋_GBK"/>
          <w:color w:val="000000"/>
          <w:sz w:val="24"/>
        </w:rPr>
        <w:t>、昆山</w:t>
      </w:r>
      <w:r>
        <w:rPr>
          <w:rFonts w:eastAsia="方正仿宋_GBK"/>
          <w:color w:val="000000"/>
          <w:sz w:val="24"/>
        </w:rPr>
        <w:t>14</w:t>
      </w:r>
      <w:r>
        <w:rPr>
          <w:rFonts w:hint="eastAsia" w:eastAsia="方正仿宋_GBK"/>
          <w:color w:val="000000"/>
          <w:sz w:val="24"/>
        </w:rPr>
        <w:t>、泰兴</w:t>
      </w:r>
      <w:r>
        <w:rPr>
          <w:rFonts w:eastAsia="方正仿宋_GBK"/>
          <w:color w:val="000000"/>
          <w:sz w:val="24"/>
        </w:rPr>
        <w:t>15</w:t>
      </w:r>
      <w:r>
        <w:rPr>
          <w:rFonts w:hint="eastAsia" w:eastAsia="方正仿宋_GBK"/>
          <w:color w:val="000000"/>
          <w:sz w:val="24"/>
        </w:rPr>
        <w:t>、沭阳</w:t>
      </w:r>
      <w:r>
        <w:rPr>
          <w:rFonts w:eastAsia="方正仿宋_GBK"/>
          <w:color w:val="000000"/>
          <w:sz w:val="24"/>
        </w:rPr>
        <w:t>16</w:t>
      </w:r>
      <w:r>
        <w:rPr>
          <w:rFonts w:hint="eastAsia" w:eastAsia="方正仿宋_GBK"/>
          <w:color w:val="000000"/>
          <w:sz w:val="24"/>
        </w:rPr>
        <w:t>。</w:t>
      </w:r>
    </w:p>
    <w:p>
      <w:pPr>
        <w:spacing w:line="460" w:lineRule="exact"/>
        <w:ind w:firstLine="480" w:firstLineChars="200"/>
        <w:rPr>
          <w:rFonts w:ascii="Times New Roman" w:eastAsia="黑体"/>
          <w:color w:val="000000"/>
          <w:sz w:val="24"/>
        </w:rPr>
      </w:pPr>
      <w:r>
        <w:rPr>
          <w:rFonts w:hint="eastAsia" w:ascii="Times New Roman" w:eastAsia="黑体"/>
          <w:color w:val="000000"/>
          <w:sz w:val="24"/>
        </w:rPr>
        <w:t>三、有关工作要求</w:t>
      </w:r>
    </w:p>
    <w:p>
      <w:pPr>
        <w:spacing w:line="460" w:lineRule="exact"/>
        <w:ind w:firstLine="480" w:firstLineChars="200"/>
        <w:rPr>
          <w:rFonts w:hint="eastAsia" w:eastAsia="方正仿宋_GBK"/>
          <w:color w:val="000000"/>
          <w:sz w:val="24"/>
        </w:rPr>
      </w:pPr>
      <w:r>
        <w:rPr>
          <w:rFonts w:hint="eastAsia" w:eastAsia="方正仿宋_GBK"/>
          <w:color w:val="000000"/>
          <w:sz w:val="24"/>
        </w:rPr>
        <w:t>各地</w:t>
      </w:r>
      <w:r>
        <w:rPr>
          <w:rFonts w:hint="eastAsia" w:eastAsia="方正仿宋_GBK"/>
          <w:bCs/>
          <w:color w:val="000000"/>
          <w:sz w:val="24"/>
        </w:rPr>
        <w:t>燃气主管部门</w:t>
      </w:r>
      <w:r>
        <w:rPr>
          <w:rFonts w:hint="eastAsia" w:eastAsia="方正仿宋_GBK"/>
          <w:color w:val="000000"/>
          <w:sz w:val="24"/>
        </w:rPr>
        <w:t>应当加强对经营许可证的监督管理，建立、健全经营许可证审批、颁发的档案管理制度，定期向社会公布企业取得经营许可证的情况。加强对辖区内燃气经营企业的日常监督检查，依法查处企业的非法违法经营行为，每年至少开展一次经营许可条件检查。供应许可证制度仍按</w:t>
      </w:r>
      <w:r>
        <w:rPr>
          <w:rFonts w:hint="eastAsia" w:eastAsia="方正仿宋_GBK"/>
          <w:bCs/>
          <w:color w:val="000000"/>
          <w:kern w:val="0"/>
          <w:sz w:val="24"/>
        </w:rPr>
        <w:t>《江苏省燃气管理条例》有关规定</w:t>
      </w:r>
      <w:r>
        <w:rPr>
          <w:rFonts w:hint="eastAsia" w:eastAsia="方正仿宋_GBK"/>
          <w:color w:val="000000"/>
          <w:sz w:val="24"/>
        </w:rPr>
        <w:t>继续实行。</w:t>
      </w:r>
    </w:p>
    <w:p>
      <w:pPr>
        <w:spacing w:line="460" w:lineRule="exact"/>
        <w:ind w:firstLine="480" w:firstLineChars="200"/>
        <w:rPr>
          <w:rFonts w:eastAsia="方正仿宋_GBK"/>
          <w:color w:val="000000"/>
          <w:sz w:val="24"/>
        </w:rPr>
      </w:pPr>
      <w:r>
        <w:rPr>
          <w:rFonts w:hint="eastAsia" w:eastAsia="方正仿宋_GBK"/>
          <w:color w:val="000000"/>
          <w:sz w:val="24"/>
        </w:rPr>
        <w:t>设区市燃气主管部门应当将本行政区域内经营许可证、供应许可证的发放情况于每年度</w:t>
      </w:r>
      <w:r>
        <w:rPr>
          <w:rFonts w:eastAsia="方正仿宋_GBK"/>
          <w:color w:val="000000"/>
          <w:sz w:val="24"/>
        </w:rPr>
        <w:t>12</w:t>
      </w:r>
      <w:r>
        <w:rPr>
          <w:rFonts w:hint="eastAsia" w:eastAsia="方正仿宋_GBK"/>
          <w:color w:val="000000"/>
          <w:sz w:val="24"/>
        </w:rPr>
        <w:t>月底前报省住房城乡建设厅备案。</w:t>
      </w:r>
    </w:p>
    <w:p>
      <w:pPr>
        <w:spacing w:line="460" w:lineRule="exact"/>
        <w:ind w:firstLine="480" w:firstLineChars="200"/>
        <w:rPr>
          <w:rFonts w:eastAsia="方正仿宋_GBK"/>
          <w:color w:val="000000"/>
          <w:sz w:val="24"/>
        </w:rPr>
      </w:pPr>
      <w:r>
        <w:rPr>
          <w:rFonts w:hint="eastAsia" w:eastAsia="方正仿宋_GBK"/>
          <w:color w:val="000000"/>
          <w:sz w:val="24"/>
        </w:rPr>
        <w:t>本通知与原《省住房城乡建设厅关于实施燃气经营许可有关事项的通知》（苏建函城〔</w:t>
      </w:r>
      <w:r>
        <w:rPr>
          <w:rFonts w:eastAsia="方正仿宋_GBK"/>
          <w:color w:val="000000"/>
          <w:sz w:val="24"/>
        </w:rPr>
        <w:t>2011</w:t>
      </w:r>
      <w:r>
        <w:rPr>
          <w:rFonts w:hint="eastAsia" w:eastAsia="方正仿宋_GBK"/>
          <w:color w:val="000000"/>
          <w:sz w:val="24"/>
        </w:rPr>
        <w:t>〕</w:t>
      </w:r>
      <w:r>
        <w:rPr>
          <w:rFonts w:eastAsia="方正仿宋_GBK"/>
          <w:color w:val="000000"/>
          <w:sz w:val="24"/>
        </w:rPr>
        <w:t>886</w:t>
      </w:r>
      <w:r>
        <w:rPr>
          <w:rFonts w:hint="eastAsia" w:eastAsia="方正仿宋_GBK"/>
          <w:color w:val="000000"/>
          <w:sz w:val="24"/>
        </w:rPr>
        <w:t>号）存有不一致之处，按本通知执行。</w:t>
      </w:r>
    </w:p>
    <w:p>
      <w:pPr>
        <w:spacing w:line="460" w:lineRule="exact"/>
        <w:ind w:firstLine="480" w:firstLineChars="200"/>
        <w:rPr>
          <w:rFonts w:eastAsia="方正仿宋_GBK"/>
          <w:color w:val="000000"/>
          <w:sz w:val="24"/>
        </w:rPr>
      </w:pPr>
      <w:r>
        <w:rPr>
          <w:rFonts w:hint="eastAsia" w:eastAsia="方正仿宋_GBK"/>
          <w:color w:val="000000"/>
          <w:sz w:val="24"/>
        </w:rPr>
        <w:t>本通知与原《省住房城乡建设厅关于印发〈江苏省瓶装燃气经营许可证和供应许可证管理办法〉的通知》（苏建法〔</w:t>
      </w:r>
      <w:r>
        <w:rPr>
          <w:rFonts w:eastAsia="方正仿宋_GBK"/>
          <w:color w:val="000000"/>
          <w:sz w:val="24"/>
        </w:rPr>
        <w:t>2005</w:t>
      </w:r>
      <w:r>
        <w:rPr>
          <w:rFonts w:hint="eastAsia" w:eastAsia="方正仿宋_GBK"/>
          <w:color w:val="000000"/>
          <w:sz w:val="24"/>
        </w:rPr>
        <w:t>〕</w:t>
      </w:r>
      <w:r>
        <w:rPr>
          <w:rFonts w:eastAsia="方正仿宋_GBK"/>
          <w:color w:val="000000"/>
          <w:sz w:val="24"/>
        </w:rPr>
        <w:t>256</w:t>
      </w:r>
      <w:r>
        <w:rPr>
          <w:rFonts w:hint="eastAsia" w:eastAsia="方正仿宋_GBK"/>
          <w:color w:val="000000"/>
          <w:sz w:val="24"/>
        </w:rPr>
        <w:t>号）存有不一致之处，按本通知执行。</w:t>
      </w:r>
    </w:p>
    <w:p>
      <w:pPr>
        <w:spacing w:line="460" w:lineRule="exact"/>
        <w:ind w:firstLine="640"/>
        <w:rPr>
          <w:rFonts w:eastAsia="方正仿宋_GBK"/>
          <w:bCs/>
          <w:color w:val="000000"/>
          <w:sz w:val="24"/>
        </w:rPr>
      </w:pPr>
    </w:p>
    <w:p>
      <w:pPr>
        <w:spacing w:line="460" w:lineRule="exact"/>
        <w:ind w:left="824" w:leftChars="278" w:hanging="240" w:hangingChars="100"/>
        <w:rPr>
          <w:rFonts w:eastAsia="方正仿宋_GBK"/>
          <w:bCs/>
          <w:color w:val="000000"/>
          <w:sz w:val="24"/>
        </w:rPr>
      </w:pPr>
      <w:r>
        <w:rPr>
          <w:rFonts w:hint="eastAsia" w:eastAsia="方正仿宋_GBK"/>
          <w:bCs/>
          <w:color w:val="000000"/>
          <w:sz w:val="24"/>
        </w:rPr>
        <w:t>附件：住房城乡建设部《关于印发</w:t>
      </w:r>
      <w:r>
        <w:rPr>
          <w:rFonts w:eastAsia="方正仿宋_GBK"/>
          <w:bCs/>
          <w:color w:val="000000"/>
          <w:sz w:val="24"/>
        </w:rPr>
        <w:t>&lt;</w:t>
      </w:r>
      <w:r>
        <w:rPr>
          <w:rFonts w:hint="eastAsia" w:eastAsia="方正仿宋_GBK"/>
          <w:bCs/>
          <w:color w:val="000000"/>
          <w:sz w:val="24"/>
        </w:rPr>
        <w:t>燃气经营许可管理办法</w:t>
      </w:r>
      <w:r>
        <w:rPr>
          <w:rFonts w:eastAsia="方正仿宋_GBK"/>
          <w:bCs/>
          <w:color w:val="000000"/>
          <w:sz w:val="24"/>
        </w:rPr>
        <w:t>&gt;</w:t>
      </w:r>
      <w:r>
        <w:rPr>
          <w:rFonts w:hint="eastAsia" w:eastAsia="方正仿宋_GBK"/>
          <w:bCs/>
          <w:color w:val="000000"/>
          <w:sz w:val="24"/>
        </w:rPr>
        <w:t>和</w:t>
      </w:r>
      <w:r>
        <w:rPr>
          <w:rFonts w:eastAsia="方正仿宋_GBK"/>
          <w:bCs/>
          <w:color w:val="000000"/>
          <w:sz w:val="24"/>
        </w:rPr>
        <w:t>&lt;</w:t>
      </w:r>
      <w:r>
        <w:rPr>
          <w:rFonts w:hint="eastAsia" w:eastAsia="方正仿宋_GBK"/>
          <w:bCs/>
          <w:color w:val="000000"/>
          <w:sz w:val="24"/>
        </w:rPr>
        <w:t>燃气经营企业从业人员专业培训考核管理办法</w:t>
      </w:r>
      <w:r>
        <w:rPr>
          <w:rFonts w:eastAsia="方正仿宋_GBK"/>
          <w:bCs/>
          <w:color w:val="000000"/>
          <w:sz w:val="24"/>
        </w:rPr>
        <w:t>&gt;</w:t>
      </w:r>
      <w:r>
        <w:rPr>
          <w:rFonts w:hint="eastAsia" w:eastAsia="方正仿宋_GBK"/>
          <w:bCs/>
          <w:color w:val="000000"/>
          <w:sz w:val="24"/>
        </w:rPr>
        <w:t>的通知》（建城〔</w:t>
      </w:r>
      <w:r>
        <w:rPr>
          <w:rFonts w:eastAsia="方正仿宋_GBK"/>
          <w:bCs/>
          <w:color w:val="000000"/>
          <w:sz w:val="24"/>
        </w:rPr>
        <w:t>2014</w:t>
      </w:r>
      <w:r>
        <w:rPr>
          <w:rFonts w:hint="eastAsia" w:eastAsia="方正仿宋_GBK"/>
          <w:bCs/>
          <w:color w:val="000000"/>
          <w:sz w:val="24"/>
        </w:rPr>
        <w:t>〕</w:t>
      </w:r>
      <w:r>
        <w:rPr>
          <w:rFonts w:eastAsia="方正仿宋_GBK"/>
          <w:bCs/>
          <w:color w:val="000000"/>
          <w:sz w:val="24"/>
        </w:rPr>
        <w:t>167</w:t>
      </w:r>
      <w:r>
        <w:rPr>
          <w:rFonts w:hint="eastAsia" w:eastAsia="方正仿宋_GBK"/>
          <w:bCs/>
          <w:color w:val="000000"/>
          <w:sz w:val="24"/>
        </w:rPr>
        <w:t>号）</w:t>
      </w:r>
    </w:p>
    <w:p>
      <w:pPr>
        <w:spacing w:line="460" w:lineRule="exact"/>
        <w:ind w:firstLine="1200" w:firstLineChars="500"/>
        <w:rPr>
          <w:rFonts w:eastAsia="方正仿宋_GBK"/>
          <w:bCs/>
          <w:color w:val="000000"/>
          <w:sz w:val="24"/>
        </w:rPr>
      </w:pPr>
    </w:p>
    <w:p>
      <w:pPr>
        <w:spacing w:line="460" w:lineRule="exact"/>
        <w:ind w:firstLine="1200" w:firstLineChars="500"/>
        <w:rPr>
          <w:rFonts w:eastAsia="方正仿宋_GBK"/>
          <w:bCs/>
          <w:color w:val="000000"/>
          <w:sz w:val="24"/>
        </w:rPr>
      </w:pPr>
    </w:p>
    <w:p>
      <w:pPr>
        <w:spacing w:line="460" w:lineRule="exact"/>
        <w:ind w:right="480" w:firstLine="640"/>
        <w:jc w:val="right"/>
        <w:rPr>
          <w:rFonts w:eastAsia="方正仿宋_GBK"/>
          <w:color w:val="000000"/>
          <w:kern w:val="0"/>
          <w:sz w:val="24"/>
        </w:rPr>
      </w:pPr>
      <w:r>
        <w:rPr>
          <w:rFonts w:hint="eastAsia" w:eastAsia="方正仿宋_GBK"/>
          <w:color w:val="000000"/>
          <w:kern w:val="0"/>
          <w:sz w:val="24"/>
        </w:rPr>
        <w:t>江苏省住房和城乡建设厅</w:t>
      </w:r>
    </w:p>
    <w:p>
      <w:pPr>
        <w:spacing w:line="460" w:lineRule="exact"/>
        <w:ind w:right="320" w:firstLine="6156" w:firstLineChars="2565"/>
        <w:rPr>
          <w:rFonts w:eastAsia="仿宋_GB2312"/>
          <w:color w:val="000000"/>
          <w:kern w:val="0"/>
          <w:sz w:val="32"/>
          <w:szCs w:val="32"/>
        </w:rPr>
      </w:pPr>
      <w:r>
        <w:rPr>
          <w:rFonts w:eastAsia="方正仿宋_GBK"/>
          <w:color w:val="000000"/>
          <w:kern w:val="0"/>
          <w:sz w:val="24"/>
        </w:rPr>
        <w:t>2015</w:t>
      </w:r>
      <w:r>
        <w:rPr>
          <w:rFonts w:hint="eastAsia" w:eastAsia="方正仿宋_GBK"/>
          <w:color w:val="000000"/>
          <w:kern w:val="0"/>
          <w:sz w:val="24"/>
        </w:rPr>
        <w:t>年</w:t>
      </w:r>
      <w:r>
        <w:rPr>
          <w:rFonts w:eastAsia="方正仿宋_GBK"/>
          <w:color w:val="000000"/>
          <w:kern w:val="0"/>
          <w:sz w:val="24"/>
        </w:rPr>
        <w:t>5</w:t>
      </w:r>
      <w:r>
        <w:rPr>
          <w:rFonts w:hint="eastAsia" w:eastAsia="方正仿宋_GBK"/>
          <w:color w:val="000000"/>
          <w:kern w:val="0"/>
          <w:sz w:val="24"/>
        </w:rPr>
        <w:t>月</w:t>
      </w:r>
      <w:r>
        <w:rPr>
          <w:rFonts w:eastAsia="方正仿宋_GBK"/>
          <w:color w:val="000000"/>
          <w:kern w:val="0"/>
          <w:sz w:val="24"/>
        </w:rPr>
        <w:t>28</w:t>
      </w:r>
      <w:r>
        <w:rPr>
          <w:rFonts w:hint="eastAsia" w:eastAsia="方正仿宋_GBK"/>
          <w:color w:val="000000"/>
          <w:kern w:val="0"/>
          <w:sz w:val="24"/>
        </w:rPr>
        <w:t>日</w:t>
      </w:r>
    </w:p>
    <w:p>
      <w:pPr>
        <w:spacing w:line="570" w:lineRule="exact"/>
        <w:rPr>
          <w:rFonts w:eastAsia="仿宋_GB2312"/>
          <w:color w:val="000000"/>
          <w:kern w:val="0"/>
          <w:sz w:val="28"/>
          <w:szCs w:val="28"/>
        </w:rPr>
      </w:pPr>
    </w:p>
    <w:p>
      <w:pPr>
        <w:spacing w:line="500" w:lineRule="exact"/>
        <w:ind w:left="-7" w:leftChars="-8" w:hanging="10" w:hangingChars="3"/>
        <w:rPr>
          <w:rFonts w:ascii="Times New Roman" w:eastAsia="方正小标宋简体"/>
          <w:sz w:val="36"/>
          <w:szCs w:val="36"/>
        </w:rPr>
      </w:pPr>
    </w:p>
    <w:p>
      <w:pPr>
        <w:spacing w:line="500" w:lineRule="exact"/>
        <w:ind w:left="-7" w:leftChars="-8" w:hanging="10" w:hangingChars="3"/>
        <w:rPr>
          <w:rFonts w:hint="eastAsia" w:ascii="Times New Roman" w:eastAsia="方正小标宋简体"/>
          <w:sz w:val="36"/>
          <w:szCs w:val="36"/>
        </w:rPr>
      </w:pPr>
    </w:p>
    <w:p>
      <w:pPr>
        <w:rPr>
          <w:rFonts w:hint="eastAsia"/>
        </w:rPr>
      </w:pPr>
    </w:p>
    <w:p/>
    <w:p>
      <w:pPr>
        <w:spacing w:line="460" w:lineRule="exact"/>
        <w:rPr>
          <w:rFonts w:ascii="Times New Roman" w:eastAsia="方正黑体_GBK"/>
          <w:color w:val="000000"/>
          <w:spacing w:val="-2"/>
          <w:sz w:val="28"/>
          <w:szCs w:val="28"/>
        </w:rPr>
      </w:pPr>
      <w:r>
        <w:rPr>
          <w:rFonts w:hint="eastAsia" w:ascii="Times New Roman" w:eastAsia="方正黑体_GBK"/>
          <w:color w:val="000000"/>
          <w:spacing w:val="-2"/>
          <w:sz w:val="28"/>
          <w:szCs w:val="28"/>
        </w:rPr>
        <w:t>附件：</w:t>
      </w:r>
    </w:p>
    <w:p>
      <w:pPr>
        <w:spacing w:line="460" w:lineRule="exact"/>
        <w:rPr>
          <w:rFonts w:hint="eastAsia" w:eastAsia="方正仿宋_GBK"/>
          <w:color w:val="000000"/>
          <w:spacing w:val="-2"/>
          <w:sz w:val="24"/>
        </w:rPr>
      </w:pPr>
    </w:p>
    <w:p>
      <w:pPr>
        <w:spacing w:line="500" w:lineRule="exact"/>
        <w:jc w:val="center"/>
        <w:rPr>
          <w:rFonts w:ascii="Times New Roman" w:eastAsia="方正黑体_GBK"/>
          <w:color w:val="000000"/>
          <w:spacing w:val="-2"/>
          <w:sz w:val="36"/>
          <w:szCs w:val="36"/>
        </w:rPr>
      </w:pPr>
      <w:r>
        <w:rPr>
          <w:rFonts w:hint="eastAsia" w:ascii="Times New Roman" w:eastAsia="方正黑体_GBK"/>
          <w:color w:val="000000"/>
          <w:spacing w:val="-2"/>
          <w:sz w:val="36"/>
          <w:szCs w:val="36"/>
        </w:rPr>
        <w:t>住房城乡建设部关于印发《燃气经营许可管理办法》和《燃气经营企业从业人员专业培训考核</w:t>
      </w:r>
    </w:p>
    <w:p>
      <w:pPr>
        <w:spacing w:line="500" w:lineRule="exact"/>
        <w:jc w:val="center"/>
        <w:rPr>
          <w:rFonts w:hint="eastAsia" w:ascii="Times New Roman" w:eastAsia="方正黑体_GBK"/>
          <w:color w:val="000000"/>
          <w:spacing w:val="-2"/>
          <w:sz w:val="36"/>
          <w:szCs w:val="36"/>
        </w:rPr>
      </w:pPr>
      <w:r>
        <w:rPr>
          <w:rFonts w:hint="eastAsia" w:ascii="Times New Roman" w:eastAsia="方正黑体_GBK"/>
          <w:color w:val="000000"/>
          <w:spacing w:val="-2"/>
          <w:sz w:val="36"/>
          <w:szCs w:val="36"/>
        </w:rPr>
        <w:t>管理办法》的通知</w:t>
      </w:r>
    </w:p>
    <w:p>
      <w:pPr>
        <w:spacing w:line="460" w:lineRule="exact"/>
        <w:rPr>
          <w:rFonts w:hint="eastAsia" w:eastAsia="方正仿宋_GBK"/>
          <w:color w:val="000000"/>
          <w:spacing w:val="-2"/>
          <w:sz w:val="24"/>
        </w:rPr>
      </w:pPr>
    </w:p>
    <w:p>
      <w:pPr>
        <w:spacing w:line="460" w:lineRule="exact"/>
        <w:jc w:val="center"/>
        <w:rPr>
          <w:rFonts w:eastAsia="方正楷体_GBK"/>
          <w:color w:val="000000"/>
          <w:spacing w:val="-2"/>
          <w:sz w:val="24"/>
        </w:rPr>
      </w:pPr>
      <w:r>
        <w:rPr>
          <w:rFonts w:hint="eastAsia" w:eastAsia="方正楷体_GBK"/>
          <w:color w:val="000000"/>
          <w:spacing w:val="-2"/>
          <w:sz w:val="24"/>
        </w:rPr>
        <w:t>建城〔</w:t>
      </w:r>
      <w:r>
        <w:rPr>
          <w:rFonts w:eastAsia="方正楷体_GBK"/>
          <w:color w:val="000000"/>
          <w:spacing w:val="-2"/>
          <w:sz w:val="24"/>
        </w:rPr>
        <w:t>2014</w:t>
      </w:r>
      <w:r>
        <w:rPr>
          <w:rFonts w:hint="eastAsia" w:eastAsia="方正楷体_GBK"/>
          <w:color w:val="000000"/>
          <w:spacing w:val="-2"/>
          <w:sz w:val="24"/>
        </w:rPr>
        <w:t>〕</w:t>
      </w:r>
      <w:r>
        <w:rPr>
          <w:rFonts w:eastAsia="方正楷体_GBK"/>
          <w:color w:val="000000"/>
          <w:spacing w:val="-2"/>
          <w:sz w:val="24"/>
        </w:rPr>
        <w:t>167</w:t>
      </w:r>
      <w:r>
        <w:rPr>
          <w:rFonts w:hint="eastAsia" w:eastAsia="方正楷体_GBK"/>
          <w:color w:val="000000"/>
          <w:spacing w:val="-2"/>
          <w:sz w:val="24"/>
        </w:rPr>
        <w:t>号</w:t>
      </w:r>
    </w:p>
    <w:p>
      <w:pPr>
        <w:spacing w:line="460" w:lineRule="exact"/>
        <w:rPr>
          <w:rFonts w:eastAsia="方正仿宋_GBK"/>
          <w:color w:val="000000"/>
          <w:spacing w:val="-2"/>
          <w:sz w:val="24"/>
        </w:rPr>
      </w:pPr>
    </w:p>
    <w:p>
      <w:pPr>
        <w:spacing w:line="460" w:lineRule="exact"/>
        <w:rPr>
          <w:rFonts w:eastAsia="方正仿宋_GBK"/>
          <w:color w:val="000000"/>
          <w:spacing w:val="-2"/>
          <w:sz w:val="24"/>
        </w:rPr>
      </w:pPr>
      <w:r>
        <w:rPr>
          <w:rFonts w:hint="eastAsia" w:eastAsia="方正仿宋_GBK"/>
          <w:color w:val="000000"/>
          <w:spacing w:val="-2"/>
          <w:sz w:val="24"/>
        </w:rPr>
        <w:t>各省、自治区住房城乡建设厅，北京市市政市容委，天津市、上海市建委，重庆市市政管委、经信委、商委，新疆生产建设兵团建设局：</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根据《城镇燃气管理条例》的有关规定，我部制定了《燃气经营许可管理办法》和《燃气经营企业从业人员专业培训考核管理办法》。现印发你们，请认真组织实施。</w:t>
      </w:r>
    </w:p>
    <w:p>
      <w:pPr>
        <w:spacing w:line="460" w:lineRule="exact"/>
        <w:rPr>
          <w:rFonts w:eastAsia="方正仿宋_GBK"/>
          <w:color w:val="000000"/>
          <w:spacing w:val="-2"/>
          <w:sz w:val="24"/>
        </w:rPr>
      </w:pPr>
      <w:r>
        <w:rPr>
          <w:rFonts w:eastAsia="方正仿宋_GBK"/>
          <w:color w:val="000000"/>
          <w:spacing w:val="-2"/>
          <w:sz w:val="24"/>
        </w:rPr>
        <w:t xml:space="preserve"> </w:t>
      </w:r>
    </w:p>
    <w:p>
      <w:pPr>
        <w:wordWrap w:val="0"/>
        <w:spacing w:line="460" w:lineRule="exact"/>
        <w:ind w:firstLine="2360" w:firstLineChars="1000"/>
        <w:jc w:val="right"/>
        <w:rPr>
          <w:rFonts w:eastAsia="方正仿宋_GBK"/>
          <w:color w:val="000000"/>
          <w:spacing w:val="-2"/>
          <w:sz w:val="24"/>
        </w:rPr>
      </w:pPr>
      <w:r>
        <w:rPr>
          <w:rFonts w:hint="eastAsia" w:eastAsia="方正仿宋_GBK"/>
          <w:color w:val="000000"/>
          <w:spacing w:val="-2"/>
          <w:sz w:val="24"/>
        </w:rPr>
        <w:t>中华人民共和国住房和城乡建设部</w:t>
      </w:r>
      <w:r>
        <w:rPr>
          <w:rFonts w:eastAsia="方正仿宋_GBK"/>
          <w:color w:val="000000"/>
          <w:spacing w:val="-2"/>
          <w:sz w:val="24"/>
        </w:rPr>
        <w:t xml:space="preserve">    </w:t>
      </w:r>
    </w:p>
    <w:p>
      <w:pPr>
        <w:wordWrap w:val="0"/>
        <w:spacing w:line="460" w:lineRule="exact"/>
        <w:ind w:firstLine="3304" w:firstLineChars="1400"/>
        <w:jc w:val="right"/>
        <w:rPr>
          <w:rFonts w:eastAsia="方正仿宋_GBK"/>
          <w:color w:val="000000"/>
          <w:spacing w:val="-2"/>
          <w:sz w:val="24"/>
        </w:rPr>
      </w:pPr>
      <w:r>
        <w:rPr>
          <w:rFonts w:eastAsia="方正仿宋_GBK"/>
          <w:color w:val="000000"/>
          <w:spacing w:val="-2"/>
          <w:sz w:val="24"/>
        </w:rPr>
        <w:t>2014</w:t>
      </w:r>
      <w:r>
        <w:rPr>
          <w:rFonts w:hint="eastAsia" w:eastAsia="方正仿宋_GBK"/>
          <w:color w:val="000000"/>
          <w:spacing w:val="-2"/>
          <w:sz w:val="24"/>
        </w:rPr>
        <w:t>年</w:t>
      </w:r>
      <w:r>
        <w:rPr>
          <w:rFonts w:eastAsia="方正仿宋_GBK"/>
          <w:color w:val="000000"/>
          <w:spacing w:val="-2"/>
          <w:sz w:val="24"/>
        </w:rPr>
        <w:t>11</w:t>
      </w:r>
      <w:r>
        <w:rPr>
          <w:rFonts w:hint="eastAsia" w:eastAsia="方正仿宋_GBK"/>
          <w:color w:val="000000"/>
          <w:spacing w:val="-2"/>
          <w:sz w:val="24"/>
        </w:rPr>
        <w:t>月</w:t>
      </w:r>
      <w:r>
        <w:rPr>
          <w:rFonts w:eastAsia="方正仿宋_GBK"/>
          <w:color w:val="000000"/>
          <w:spacing w:val="-2"/>
          <w:sz w:val="24"/>
        </w:rPr>
        <w:t>19</w:t>
      </w:r>
      <w:r>
        <w:rPr>
          <w:rFonts w:hint="eastAsia" w:eastAsia="方正仿宋_GBK"/>
          <w:color w:val="000000"/>
          <w:spacing w:val="-2"/>
          <w:sz w:val="24"/>
        </w:rPr>
        <w:t>日</w:t>
      </w:r>
      <w:r>
        <w:rPr>
          <w:rFonts w:eastAsia="方正仿宋_GBK"/>
          <w:color w:val="000000"/>
          <w:spacing w:val="-2"/>
          <w:sz w:val="24"/>
        </w:rPr>
        <w:t xml:space="preserve">            </w:t>
      </w:r>
    </w:p>
    <w:p>
      <w:pPr>
        <w:spacing w:line="460" w:lineRule="exact"/>
        <w:ind w:firstLine="3304" w:firstLineChars="1400"/>
        <w:rPr>
          <w:rFonts w:eastAsia="方正仿宋_GBK"/>
          <w:color w:val="000000"/>
          <w:spacing w:val="-2"/>
          <w:sz w:val="24"/>
        </w:rPr>
      </w:pPr>
    </w:p>
    <w:p>
      <w:pPr>
        <w:spacing w:line="460" w:lineRule="exact"/>
        <w:ind w:firstLine="3304" w:firstLineChars="1400"/>
        <w:rPr>
          <w:rFonts w:eastAsia="方正仿宋_GBK"/>
          <w:color w:val="000000"/>
          <w:spacing w:val="-2"/>
          <w:sz w:val="24"/>
        </w:rPr>
      </w:pPr>
    </w:p>
    <w:p>
      <w:pPr>
        <w:spacing w:line="500" w:lineRule="exact"/>
        <w:jc w:val="center"/>
        <w:rPr>
          <w:rFonts w:ascii="Times New Roman" w:eastAsia="方正黑体_GBK"/>
          <w:color w:val="000000"/>
          <w:spacing w:val="-2"/>
          <w:sz w:val="36"/>
          <w:szCs w:val="36"/>
        </w:rPr>
      </w:pPr>
      <w:r>
        <w:rPr>
          <w:rFonts w:hint="eastAsia" w:ascii="Times New Roman" w:eastAsia="方正黑体_GBK"/>
          <w:color w:val="000000"/>
          <w:spacing w:val="-2"/>
          <w:sz w:val="36"/>
          <w:szCs w:val="36"/>
        </w:rPr>
        <w:t>燃气经营许可管理办法</w:t>
      </w:r>
    </w:p>
    <w:p>
      <w:pPr>
        <w:spacing w:line="460" w:lineRule="exact"/>
        <w:rPr>
          <w:rFonts w:hint="eastAsia" w:eastAsia="方正仿宋_GBK"/>
          <w:color w:val="000000"/>
          <w:spacing w:val="-2"/>
          <w:sz w:val="24"/>
        </w:rPr>
      </w:pP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第一条</w:t>
      </w:r>
      <w:r>
        <w:rPr>
          <w:rFonts w:hint="eastAsia" w:eastAsia="方正仿宋_GBK"/>
          <w:color w:val="000000"/>
          <w:spacing w:val="-2"/>
          <w:sz w:val="24"/>
        </w:rPr>
        <w:t>　为规范燃气经营许可行为，加强燃气经营许可管理，根据《城镇燃气管理条例》，制定本办法。</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第二条　</w:t>
      </w:r>
      <w:r>
        <w:rPr>
          <w:rFonts w:hint="eastAsia" w:eastAsia="方正仿宋_GBK"/>
          <w:color w:val="000000"/>
          <w:spacing w:val="-2"/>
          <w:sz w:val="24"/>
        </w:rPr>
        <w:t>从事燃气经营活动的，应当依法取得燃气经营许可，并在许可事项规定的范围内经营。</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燃气经营许可的申请、受理、审查批准、证件核发以及相关的监督管理等行为，适用本办法。</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第三条　</w:t>
      </w:r>
      <w:r>
        <w:rPr>
          <w:rFonts w:hint="eastAsia" w:eastAsia="方正仿宋_GBK"/>
          <w:color w:val="000000"/>
          <w:spacing w:val="-2"/>
          <w:sz w:val="24"/>
        </w:rPr>
        <w:t>住房城乡建设部指导全国燃气经营许可管理工作。县级以上地方人民政府燃气管理部门负责本行政区域内的燃气经营许可管理工作。</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第四条　</w:t>
      </w:r>
      <w:r>
        <w:rPr>
          <w:rFonts w:hint="eastAsia" w:eastAsia="方正仿宋_GBK"/>
          <w:color w:val="000000"/>
          <w:spacing w:val="-2"/>
          <w:sz w:val="24"/>
        </w:rPr>
        <w:t>燃气经营许可证由县级以上地方人民政府燃气管理部门核发，具体发证部门根据省级地方性法规、省级人民政府规章或决定确定。</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第五条　</w:t>
      </w:r>
      <w:r>
        <w:rPr>
          <w:rFonts w:hint="eastAsia" w:eastAsia="方正仿宋_GBK"/>
          <w:color w:val="000000"/>
          <w:spacing w:val="-2"/>
          <w:sz w:val="24"/>
        </w:rPr>
        <w:t>申请燃气经营许可的，应当具备下列条件：</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（一）符合燃气发展规划要求。</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燃气经营区域、燃气种类、供应方式和规模、燃气设施布局和建设时序等符合依法批准并备案的燃气发展规划。</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（二）有符合国家标准的燃气气源。</w:t>
      </w:r>
    </w:p>
    <w:p>
      <w:pPr>
        <w:spacing w:line="460" w:lineRule="exact"/>
        <w:ind w:firstLine="472" w:firstLineChars="200"/>
        <w:rPr>
          <w:rFonts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应与气源生产供应企业签订供用气合同或供用气意向书。</w:t>
      </w:r>
    </w:p>
    <w:p>
      <w:pPr>
        <w:spacing w:line="460" w:lineRule="exact"/>
        <w:ind w:firstLine="472" w:firstLineChars="200"/>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燃气气源应符合国家城镇燃气气质有关标准。</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（三）有符合国家标准的燃气设施。</w:t>
      </w:r>
    </w:p>
    <w:p>
      <w:pPr>
        <w:spacing w:line="460" w:lineRule="exact"/>
        <w:ind w:firstLine="472" w:firstLineChars="200"/>
        <w:rPr>
          <w:rFonts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有符合国家标准的燃气生产、储气、输配、供应、计量、安全等设施设备。</w:t>
      </w:r>
    </w:p>
    <w:p>
      <w:pPr>
        <w:spacing w:line="460" w:lineRule="exact"/>
        <w:ind w:firstLine="472" w:firstLineChars="200"/>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燃气设施工程建设符合法定程序，竣工验收合格并依法备案。</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（四）有固定的经营场所。</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有固定办公场所、经营和服务站点等。</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（五）有完善的安全管理制度和健全的经营方案。</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安全管理制度主要包括：安全生产责任制度，设施设备（含用户设施）安全巡检、检测制度，燃气质量检测制度，岗位操作规程，燃气突发事件应急预案，燃气安全宣传制度等。</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经营方案主要包括：企业章程、发展规划、工程建设计划，用户发展业务流程、故障报修、投诉处置、安全用气等服务制度。</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（六）企业的主要负责人、安全生产管理人员以及运行、维护和抢修人员经专业培训并经燃气管理部门考核合格。专业培训考核具体办法另行制定。</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经专业培训并考核合格的人员及数量，应与企业经营规模相适应，最低人数应符合以下要求：</w:t>
      </w:r>
    </w:p>
    <w:p>
      <w:pPr>
        <w:spacing w:line="460" w:lineRule="exact"/>
        <w:ind w:firstLine="472" w:firstLineChars="200"/>
        <w:rPr>
          <w:rFonts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企业主要负责人。是指企业法人代表（董事长）、企业总经理（总裁），每个岗位</w:t>
      </w:r>
      <w:r>
        <w:rPr>
          <w:rFonts w:eastAsia="方正仿宋_GBK"/>
          <w:color w:val="000000"/>
          <w:spacing w:val="-2"/>
          <w:sz w:val="24"/>
        </w:rPr>
        <w:t>1</w:t>
      </w:r>
      <w:r>
        <w:rPr>
          <w:rFonts w:hint="eastAsia" w:eastAsia="方正仿宋_GBK"/>
          <w:color w:val="000000"/>
          <w:spacing w:val="-2"/>
          <w:sz w:val="24"/>
        </w:rPr>
        <w:t>人。</w:t>
      </w:r>
    </w:p>
    <w:p>
      <w:pPr>
        <w:spacing w:line="460" w:lineRule="exact"/>
        <w:ind w:firstLine="472" w:firstLineChars="200"/>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安全生产管理人员。是指企业负责安全运行的副总经理（副总裁），企业生产、安全管理部门负责人，企业生产和销售分支机构的负责人以及企业专职安全员，每个岗位不少于</w:t>
      </w:r>
      <w:r>
        <w:rPr>
          <w:rFonts w:eastAsia="方正仿宋_GBK"/>
          <w:color w:val="000000"/>
          <w:spacing w:val="-2"/>
          <w:sz w:val="24"/>
        </w:rPr>
        <w:t>1</w:t>
      </w:r>
      <w:r>
        <w:rPr>
          <w:rFonts w:hint="eastAsia" w:eastAsia="方正仿宋_GBK"/>
          <w:color w:val="000000"/>
          <w:spacing w:val="-2"/>
          <w:sz w:val="24"/>
        </w:rPr>
        <w:t>人。</w:t>
      </w:r>
    </w:p>
    <w:p>
      <w:pPr>
        <w:spacing w:line="460" w:lineRule="exact"/>
        <w:ind w:firstLine="472" w:firstLineChars="200"/>
        <w:rPr>
          <w:rFonts w:eastAsia="方正仿宋_GBK"/>
          <w:color w:val="000000"/>
          <w:spacing w:val="-2"/>
          <w:sz w:val="24"/>
        </w:rPr>
      </w:pPr>
      <w:r>
        <w:rPr>
          <w:rFonts w:eastAsia="方正仿宋_GBK"/>
          <w:color w:val="000000"/>
          <w:spacing w:val="-2"/>
          <w:sz w:val="24"/>
        </w:rPr>
        <w:t>3.</w:t>
      </w:r>
      <w:r>
        <w:rPr>
          <w:rFonts w:hint="eastAsia" w:eastAsia="方正仿宋_GBK"/>
          <w:color w:val="000000"/>
          <w:spacing w:val="-2"/>
          <w:sz w:val="24"/>
        </w:rPr>
        <w:t>运行、维护和抢修人员。是指负责燃气设施设备运行、维护和事故抢险抢修的操作人员，包括但不仅限于燃气输配场站工、液化石油气库站工、压缩天然气场站工、液化天然气储运工、汽车加气站操作工、燃气管网工、燃气用户检修工。最低人数应满足：</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管道燃气经营企业，燃气用户</w:t>
      </w:r>
      <w:r>
        <w:rPr>
          <w:rFonts w:eastAsia="方正仿宋_GBK"/>
          <w:color w:val="000000"/>
          <w:spacing w:val="-2"/>
          <w:sz w:val="24"/>
        </w:rPr>
        <w:t>10</w:t>
      </w:r>
      <w:r>
        <w:rPr>
          <w:rFonts w:hint="eastAsia" w:eastAsia="方正仿宋_GBK"/>
          <w:color w:val="000000"/>
          <w:spacing w:val="-2"/>
          <w:sz w:val="24"/>
        </w:rPr>
        <w:t>万户以下的，每</w:t>
      </w:r>
      <w:r>
        <w:rPr>
          <w:rFonts w:eastAsia="方正仿宋_GBK"/>
          <w:color w:val="000000"/>
          <w:spacing w:val="-2"/>
          <w:sz w:val="24"/>
        </w:rPr>
        <w:t>2500</w:t>
      </w:r>
      <w:r>
        <w:rPr>
          <w:rFonts w:hint="eastAsia" w:eastAsia="方正仿宋_GBK"/>
          <w:color w:val="000000"/>
          <w:spacing w:val="-2"/>
          <w:sz w:val="24"/>
        </w:rPr>
        <w:t>户不少于</w:t>
      </w:r>
      <w:r>
        <w:rPr>
          <w:rFonts w:eastAsia="方正仿宋_GBK"/>
          <w:color w:val="000000"/>
          <w:spacing w:val="-2"/>
          <w:sz w:val="24"/>
        </w:rPr>
        <w:t>1</w:t>
      </w:r>
      <w:r>
        <w:rPr>
          <w:rFonts w:hint="eastAsia" w:eastAsia="方正仿宋_GBK"/>
          <w:color w:val="000000"/>
          <w:spacing w:val="-2"/>
          <w:sz w:val="24"/>
        </w:rPr>
        <w:t>人；</w:t>
      </w:r>
      <w:r>
        <w:rPr>
          <w:rFonts w:eastAsia="方正仿宋_GBK"/>
          <w:color w:val="000000"/>
          <w:spacing w:val="-2"/>
          <w:sz w:val="24"/>
        </w:rPr>
        <w:t>10</w:t>
      </w:r>
      <w:r>
        <w:rPr>
          <w:rFonts w:hint="eastAsia" w:eastAsia="方正仿宋_GBK"/>
          <w:color w:val="000000"/>
          <w:spacing w:val="-2"/>
          <w:sz w:val="24"/>
        </w:rPr>
        <w:t>万户以上的，每增加</w:t>
      </w:r>
      <w:r>
        <w:rPr>
          <w:rFonts w:eastAsia="方正仿宋_GBK"/>
          <w:color w:val="000000"/>
          <w:spacing w:val="-2"/>
          <w:sz w:val="24"/>
        </w:rPr>
        <w:t>2500</w:t>
      </w:r>
      <w:r>
        <w:rPr>
          <w:rFonts w:hint="eastAsia" w:eastAsia="方正仿宋_GBK"/>
          <w:color w:val="000000"/>
          <w:spacing w:val="-2"/>
          <w:sz w:val="24"/>
        </w:rPr>
        <w:t>户增加</w:t>
      </w:r>
      <w:r>
        <w:rPr>
          <w:rFonts w:eastAsia="方正仿宋_GBK"/>
          <w:color w:val="000000"/>
          <w:spacing w:val="-2"/>
          <w:sz w:val="24"/>
        </w:rPr>
        <w:t>1</w:t>
      </w:r>
      <w:r>
        <w:rPr>
          <w:rFonts w:hint="eastAsia" w:eastAsia="方正仿宋_GBK"/>
          <w:color w:val="000000"/>
          <w:spacing w:val="-2"/>
          <w:sz w:val="24"/>
        </w:rPr>
        <w:t>人；</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瓶装燃气经营企业，燃气用户</w:t>
      </w:r>
      <w:r>
        <w:rPr>
          <w:rFonts w:eastAsia="方正仿宋_GBK"/>
          <w:color w:val="000000"/>
          <w:spacing w:val="-2"/>
          <w:sz w:val="24"/>
        </w:rPr>
        <w:t>1000</w:t>
      </w:r>
      <w:r>
        <w:rPr>
          <w:rFonts w:hint="eastAsia" w:eastAsia="方正仿宋_GBK"/>
          <w:color w:val="000000"/>
          <w:spacing w:val="-2"/>
          <w:sz w:val="24"/>
        </w:rPr>
        <w:t>户及以下的不少于</w:t>
      </w:r>
      <w:r>
        <w:rPr>
          <w:rFonts w:eastAsia="方正仿宋_GBK"/>
          <w:color w:val="000000"/>
          <w:spacing w:val="-2"/>
          <w:sz w:val="24"/>
        </w:rPr>
        <w:t>3</w:t>
      </w:r>
      <w:r>
        <w:rPr>
          <w:rFonts w:hint="eastAsia" w:eastAsia="方正仿宋_GBK"/>
          <w:color w:val="000000"/>
          <w:spacing w:val="-2"/>
          <w:sz w:val="24"/>
        </w:rPr>
        <w:t>人；</w:t>
      </w:r>
      <w:r>
        <w:rPr>
          <w:rFonts w:eastAsia="方正仿宋_GBK"/>
          <w:color w:val="000000"/>
          <w:spacing w:val="-2"/>
          <w:sz w:val="24"/>
        </w:rPr>
        <w:t>1000</w:t>
      </w:r>
      <w:r>
        <w:rPr>
          <w:rFonts w:hint="eastAsia" w:eastAsia="方正仿宋_GBK"/>
          <w:color w:val="000000"/>
          <w:spacing w:val="-2"/>
          <w:sz w:val="24"/>
        </w:rPr>
        <w:t>户以上不到</w:t>
      </w:r>
      <w:r>
        <w:rPr>
          <w:rFonts w:eastAsia="方正仿宋_GBK"/>
          <w:color w:val="000000"/>
          <w:spacing w:val="-2"/>
          <w:sz w:val="24"/>
        </w:rPr>
        <w:t>1</w:t>
      </w:r>
      <w:r>
        <w:rPr>
          <w:rFonts w:hint="eastAsia" w:eastAsia="方正仿宋_GBK"/>
          <w:color w:val="000000"/>
          <w:spacing w:val="-2"/>
          <w:sz w:val="24"/>
        </w:rPr>
        <w:t>万户的，每</w:t>
      </w:r>
      <w:r>
        <w:rPr>
          <w:rFonts w:eastAsia="方正仿宋_GBK"/>
          <w:color w:val="000000"/>
          <w:spacing w:val="-2"/>
          <w:sz w:val="24"/>
        </w:rPr>
        <w:t>800</w:t>
      </w:r>
      <w:r>
        <w:rPr>
          <w:rFonts w:hint="eastAsia" w:eastAsia="方正仿宋_GBK"/>
          <w:color w:val="000000"/>
          <w:spacing w:val="-2"/>
          <w:sz w:val="24"/>
        </w:rPr>
        <w:t>户</w:t>
      </w:r>
      <w:r>
        <w:rPr>
          <w:rFonts w:eastAsia="方正仿宋_GBK"/>
          <w:color w:val="000000"/>
          <w:spacing w:val="-2"/>
          <w:sz w:val="24"/>
        </w:rPr>
        <w:t>1</w:t>
      </w:r>
      <w:r>
        <w:rPr>
          <w:rFonts w:hint="eastAsia" w:eastAsia="方正仿宋_GBK"/>
          <w:color w:val="000000"/>
          <w:spacing w:val="-2"/>
          <w:sz w:val="24"/>
        </w:rPr>
        <w:t>人；</w:t>
      </w:r>
      <w:r>
        <w:rPr>
          <w:rFonts w:eastAsia="方正仿宋_GBK"/>
          <w:color w:val="000000"/>
          <w:spacing w:val="-2"/>
          <w:sz w:val="24"/>
        </w:rPr>
        <w:t>1-5</w:t>
      </w:r>
      <w:r>
        <w:rPr>
          <w:rFonts w:hint="eastAsia" w:eastAsia="方正仿宋_GBK"/>
          <w:color w:val="000000"/>
          <w:spacing w:val="-2"/>
          <w:sz w:val="24"/>
        </w:rPr>
        <w:t>万户，每增加</w:t>
      </w:r>
      <w:r>
        <w:rPr>
          <w:rFonts w:eastAsia="方正仿宋_GBK"/>
          <w:color w:val="000000"/>
          <w:spacing w:val="-2"/>
          <w:sz w:val="24"/>
        </w:rPr>
        <w:t>1</w:t>
      </w:r>
      <w:r>
        <w:rPr>
          <w:rFonts w:hint="eastAsia" w:eastAsia="方正仿宋_GBK"/>
          <w:color w:val="000000"/>
          <w:spacing w:val="-2"/>
          <w:sz w:val="24"/>
        </w:rPr>
        <w:t>万户增加</w:t>
      </w:r>
      <w:r>
        <w:rPr>
          <w:rFonts w:eastAsia="方正仿宋_GBK"/>
          <w:color w:val="000000"/>
          <w:spacing w:val="-2"/>
          <w:sz w:val="24"/>
        </w:rPr>
        <w:t>10</w:t>
      </w:r>
      <w:r>
        <w:rPr>
          <w:rFonts w:hint="eastAsia" w:eastAsia="方正仿宋_GBK"/>
          <w:color w:val="000000"/>
          <w:spacing w:val="-2"/>
          <w:sz w:val="24"/>
        </w:rPr>
        <w:t>人；</w:t>
      </w:r>
      <w:r>
        <w:rPr>
          <w:rFonts w:eastAsia="方正仿宋_GBK"/>
          <w:color w:val="000000"/>
          <w:spacing w:val="-2"/>
          <w:sz w:val="24"/>
        </w:rPr>
        <w:t>5-10</w:t>
      </w:r>
      <w:r>
        <w:rPr>
          <w:rFonts w:hint="eastAsia" w:eastAsia="方正仿宋_GBK"/>
          <w:color w:val="000000"/>
          <w:spacing w:val="-2"/>
          <w:sz w:val="24"/>
        </w:rPr>
        <w:t>万户，每增加</w:t>
      </w:r>
      <w:r>
        <w:rPr>
          <w:rFonts w:eastAsia="方正仿宋_GBK"/>
          <w:color w:val="000000"/>
          <w:spacing w:val="-2"/>
          <w:sz w:val="24"/>
        </w:rPr>
        <w:t>1</w:t>
      </w:r>
      <w:r>
        <w:rPr>
          <w:rFonts w:hint="eastAsia" w:eastAsia="方正仿宋_GBK"/>
          <w:color w:val="000000"/>
          <w:spacing w:val="-2"/>
          <w:sz w:val="24"/>
        </w:rPr>
        <w:t>万户增加</w:t>
      </w:r>
      <w:r>
        <w:rPr>
          <w:rFonts w:eastAsia="方正仿宋_GBK"/>
          <w:color w:val="000000"/>
          <w:spacing w:val="-2"/>
          <w:sz w:val="24"/>
        </w:rPr>
        <w:t>8</w:t>
      </w:r>
      <w:r>
        <w:rPr>
          <w:rFonts w:hint="eastAsia" w:eastAsia="方正仿宋_GBK"/>
          <w:color w:val="000000"/>
          <w:spacing w:val="-2"/>
          <w:sz w:val="24"/>
        </w:rPr>
        <w:t>人；</w:t>
      </w:r>
      <w:r>
        <w:rPr>
          <w:rFonts w:eastAsia="方正仿宋_GBK"/>
          <w:color w:val="000000"/>
          <w:spacing w:val="-2"/>
          <w:sz w:val="24"/>
        </w:rPr>
        <w:t>10</w:t>
      </w:r>
      <w:r>
        <w:rPr>
          <w:rFonts w:hint="eastAsia" w:eastAsia="方正仿宋_GBK"/>
          <w:color w:val="000000"/>
          <w:spacing w:val="-2"/>
          <w:sz w:val="24"/>
        </w:rPr>
        <w:t>万户以上每增加</w:t>
      </w:r>
      <w:r>
        <w:rPr>
          <w:rFonts w:eastAsia="方正仿宋_GBK"/>
          <w:color w:val="000000"/>
          <w:spacing w:val="-2"/>
          <w:sz w:val="24"/>
        </w:rPr>
        <w:t>1</w:t>
      </w:r>
      <w:r>
        <w:rPr>
          <w:rFonts w:hint="eastAsia" w:eastAsia="方正仿宋_GBK"/>
          <w:color w:val="000000"/>
          <w:spacing w:val="-2"/>
          <w:sz w:val="24"/>
        </w:rPr>
        <w:t>万户增加</w:t>
      </w:r>
      <w:r>
        <w:rPr>
          <w:rFonts w:eastAsia="方正仿宋_GBK"/>
          <w:color w:val="000000"/>
          <w:spacing w:val="-2"/>
          <w:sz w:val="24"/>
        </w:rPr>
        <w:t>5</w:t>
      </w:r>
      <w:r>
        <w:rPr>
          <w:rFonts w:hint="eastAsia" w:eastAsia="方正仿宋_GBK"/>
          <w:color w:val="000000"/>
          <w:spacing w:val="-2"/>
          <w:sz w:val="24"/>
        </w:rPr>
        <w:t>人；</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燃气汽车加气站等其他类型燃气经营企业人员及数量配备以及其他运行、维护和抢修类人员，由省级人民政府燃气管理部门根据具体情况确定。</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（七）法律、法规规定的其他条件。</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第六条　</w:t>
      </w:r>
      <w:r>
        <w:rPr>
          <w:rFonts w:hint="eastAsia" w:eastAsia="方正仿宋_GBK"/>
          <w:color w:val="000000"/>
          <w:spacing w:val="-2"/>
          <w:sz w:val="24"/>
        </w:rPr>
        <w:t>申请燃气经营许可的，应当向发证部门提交下列申请材料，并对其真实性、合法性、有效性负责：</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（一）燃气经营许可申请书；</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（二）企业章程和企业资本结构说明；</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（三）企业的主要负责人、安全生产管理人员以及运行、维护和抢修等人员的身份证明、所取得的有效期内的燃气从业人员专业培训考核合格证书；</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（四）固定的经营场所（包括办公场所、经营和服务站点等）的产权证明或租赁协议；</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（五）燃气设施建设工程竣工验收报告及备案文件；</w:t>
      </w:r>
    </w:p>
    <w:p>
      <w:pPr>
        <w:spacing w:line="460" w:lineRule="exact"/>
        <w:ind w:firstLine="472" w:firstLineChars="200"/>
        <w:rPr>
          <w:rFonts w:eastAsia="方正仿宋_GBK"/>
          <w:color w:val="000000"/>
          <w:spacing w:val="-2"/>
          <w:sz w:val="24"/>
        </w:rPr>
      </w:pP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（六）申请的燃气经营类别和经营区域，企业实施燃气发展规划的具体方案；</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（七）气源证明。燃气气质检测报告；与气源供应企业签订的供用气合同书或供用气意向书；</w:t>
      </w:r>
    </w:p>
    <w:p>
      <w:pPr>
        <w:spacing w:line="460" w:lineRule="exact"/>
        <w:ind w:firstLine="472" w:firstLineChars="200"/>
        <w:rPr>
          <w:rFonts w:eastAsia="方正仿宋_GBK"/>
          <w:color w:val="000000"/>
          <w:spacing w:val="-6"/>
          <w:sz w:val="24"/>
        </w:rPr>
      </w:pPr>
      <w:r>
        <w:rPr>
          <w:rFonts w:hint="eastAsia" w:eastAsia="方正仿宋_GBK"/>
          <w:color w:val="000000"/>
          <w:spacing w:val="-2"/>
          <w:sz w:val="24"/>
        </w:rPr>
        <w:t>（八）</w:t>
      </w:r>
      <w:r>
        <w:rPr>
          <w:rFonts w:hint="eastAsia" w:eastAsia="方正仿宋_GBK"/>
          <w:color w:val="000000"/>
          <w:spacing w:val="-6"/>
          <w:sz w:val="24"/>
        </w:rPr>
        <w:t>本办法第五条第（五）项要求的完善的安全管理制度和健全的经营方案材料；</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（九）法律、法规和规章规定的其他材料。</w:t>
      </w:r>
    </w:p>
    <w:p>
      <w:pPr>
        <w:spacing w:line="460" w:lineRule="exact"/>
        <w:ind w:firstLine="472" w:firstLineChars="200"/>
        <w:rPr>
          <w:rFonts w:eastAsia="方正仿宋_GBK"/>
          <w:color w:val="000000"/>
          <w:spacing w:val="-8"/>
          <w:sz w:val="24"/>
        </w:rPr>
      </w:pPr>
      <w:r>
        <w:rPr>
          <w:rFonts w:hint="eastAsia" w:ascii="Times New Roman" w:eastAsia="方正黑体_GBK"/>
          <w:color w:val="000000"/>
          <w:spacing w:val="-2"/>
          <w:sz w:val="24"/>
        </w:rPr>
        <w:t>第七条　</w:t>
      </w:r>
      <w:r>
        <w:rPr>
          <w:rFonts w:hint="eastAsia" w:eastAsia="方正仿宋_GBK"/>
          <w:color w:val="000000"/>
          <w:spacing w:val="-8"/>
          <w:sz w:val="24"/>
        </w:rPr>
        <w:t>发证部门通过材料审查和现场核查的方式对申请人的申请材料进行审查。</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第</w:t>
      </w:r>
      <w:r>
        <w:rPr>
          <w:rFonts w:hint="eastAsia" w:ascii="Times New Roman" w:eastAsia="方正黑体_GBK"/>
          <w:color w:val="000000"/>
          <w:spacing w:val="-2"/>
          <w:sz w:val="24"/>
        </w:rPr>
        <w:t>八</w:t>
      </w:r>
      <w:r>
        <w:rPr>
          <w:rFonts w:hint="eastAsia" w:eastAsia="方正仿宋_GBK"/>
          <w:color w:val="000000"/>
          <w:spacing w:val="-2"/>
          <w:sz w:val="24"/>
        </w:rPr>
        <w:t>条　发证部门应当自受理申请之日起二十个工作日内作出是否准予许可的决定。二十日内不能作出许可决定的，经发证部门负责人批准，可以延长十个工作日，并应当将延长期限的理由告知申请人。发证部门作出准予许可决定的，应向申请人出具《准予许可通知书》，告知申请人领取燃气经营许可证。</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发证部门作出不予许可决定的，应当出具《不予许可决定书》，说明不予许可的理由，并告知申请人依法享有申请行政复议或者提起行政诉讼的权利。</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第九条　</w:t>
      </w:r>
      <w:r>
        <w:rPr>
          <w:rFonts w:hint="eastAsia" w:eastAsia="方正仿宋_GBK"/>
          <w:color w:val="000000"/>
          <w:spacing w:val="-2"/>
          <w:sz w:val="24"/>
        </w:rPr>
        <w:t>发证部门作出的准予许可决定的，应当予以公开，公众有权查询。</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公开的内容包括：准予许可的燃气经营企业名称、燃气经营许可证编号、企业注册登记地址、企业法定代表人、经营类别、经营区域、发证部门名称、发证日期和许可证有效期限等。</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第十条　</w:t>
      </w:r>
      <w:r>
        <w:rPr>
          <w:rFonts w:hint="eastAsia" w:eastAsia="方正仿宋_GBK"/>
          <w:color w:val="000000"/>
          <w:spacing w:val="-2"/>
          <w:sz w:val="24"/>
        </w:rPr>
        <w:t>燃气经营许可证的格式、内容、有效期限、编号方式等按照住房城乡建设部《关于印发〈燃气经营许可证〉格式的通知》（建城〔</w:t>
      </w:r>
      <w:r>
        <w:rPr>
          <w:rFonts w:eastAsia="方正仿宋_GBK"/>
          <w:color w:val="000000"/>
          <w:spacing w:val="-2"/>
          <w:sz w:val="24"/>
        </w:rPr>
        <w:t>2011</w:t>
      </w:r>
      <w:r>
        <w:rPr>
          <w:rFonts w:hint="eastAsia" w:eastAsia="方正仿宋_GBK"/>
          <w:color w:val="000000"/>
          <w:spacing w:val="-2"/>
          <w:sz w:val="24"/>
        </w:rPr>
        <w:t>〕</w:t>
      </w:r>
      <w:r>
        <w:rPr>
          <w:rFonts w:eastAsia="方正仿宋_GBK"/>
          <w:color w:val="000000"/>
          <w:spacing w:val="-2"/>
          <w:sz w:val="24"/>
        </w:rPr>
        <w:t>174</w:t>
      </w:r>
      <w:r>
        <w:rPr>
          <w:rFonts w:hint="eastAsia" w:eastAsia="方正仿宋_GBK"/>
          <w:color w:val="000000"/>
          <w:spacing w:val="-2"/>
          <w:sz w:val="24"/>
        </w:rPr>
        <w:t>号）执行。</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第十一条　</w:t>
      </w:r>
      <w:r>
        <w:rPr>
          <w:rFonts w:hint="eastAsia" w:eastAsia="方正仿宋_GBK"/>
          <w:color w:val="000000"/>
          <w:spacing w:val="-2"/>
          <w:sz w:val="24"/>
        </w:rPr>
        <w:t>已取得燃气经营许可证的燃气经营企业需要变更企业名称、登记注册地址、法定代表人的，应向原发证部门申请变更燃气经营许可，其中变更法定代表人的，新法定代表人应具有燃气从业人员专业培训考核合格证书。未经许可，不得擅自改变许可事项。</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第十二条　</w:t>
      </w:r>
      <w:r>
        <w:rPr>
          <w:rFonts w:hint="eastAsia" w:eastAsia="方正仿宋_GBK"/>
          <w:color w:val="000000"/>
          <w:spacing w:val="-2"/>
          <w:sz w:val="24"/>
        </w:rPr>
        <w:t>已取得燃气经营许可证的燃气经营企业，有下列情形的，应重新申请经营许可。</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（一）燃气经营企业的经营类别、经营区域、供应方式等发生变化的；</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（二）燃气经营企业发生分立、合并的。</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第十三条　</w:t>
      </w:r>
      <w:r>
        <w:rPr>
          <w:rFonts w:hint="eastAsia" w:eastAsia="方正仿宋_GBK"/>
          <w:color w:val="000000"/>
          <w:spacing w:val="-2"/>
          <w:sz w:val="24"/>
        </w:rPr>
        <w:t>有下列情形之一的，出具《准予许可通知书》的发证部门或者其上级行政机关，可以撤销已作出的燃气经营许可：</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（一）许可机关工作人员滥用职权，玩忽职守，给不符合条件的申请人发放燃气经营许可证的；</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（二）许可机关工作人员超越法定权限发放燃气经营许可证的；</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（三）许可机关工作人员违反法定程序发放燃气经营许可证的；</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（四）对不具备申请资格或者不符合法定条件的申请人出具《准予许可通知书》；</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（五）依法可以撤销燃气经营许可证的其他情形。</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燃气经营企业以欺骗、贿赂等不正当手段取得燃气经营许可，应当予以撤销。</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第十四条　</w:t>
      </w:r>
      <w:r>
        <w:rPr>
          <w:rFonts w:hint="eastAsia" w:eastAsia="方正仿宋_GBK"/>
          <w:color w:val="000000"/>
          <w:spacing w:val="-2"/>
          <w:sz w:val="24"/>
        </w:rPr>
        <w:t>有下列情形之一的，发证部门应当依法办理燃气经营许可的注销手续：</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（一）燃气经营许可证有效期届满且燃气经营企业未申请延续的；</w:t>
      </w:r>
    </w:p>
    <w:p>
      <w:pPr>
        <w:spacing w:line="460" w:lineRule="exact"/>
        <w:ind w:firstLine="472" w:firstLineChars="200"/>
        <w:rPr>
          <w:rFonts w:eastAsia="方正仿宋_GBK"/>
          <w:color w:val="000000"/>
          <w:spacing w:val="-6"/>
          <w:sz w:val="24"/>
        </w:rPr>
      </w:pPr>
      <w:r>
        <w:rPr>
          <w:rFonts w:hint="eastAsia" w:eastAsia="方正仿宋_GBK"/>
          <w:color w:val="000000"/>
          <w:spacing w:val="-2"/>
          <w:sz w:val="24"/>
        </w:rPr>
        <w:t>（二）</w:t>
      </w:r>
      <w:r>
        <w:rPr>
          <w:rFonts w:hint="eastAsia" w:eastAsia="方正仿宋_GBK"/>
          <w:color w:val="000000"/>
          <w:spacing w:val="-6"/>
          <w:sz w:val="24"/>
        </w:rPr>
        <w:t>燃气经营企业没有在法定期限内取得合法主体资格或者主体资格依法终止的；</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（三）燃气经营许可依法被撤销、撤回，或者燃气经营许可证被依法吊销的；</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（四）因不可抗力导致燃气经营许可事项无法实施的；</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（五）依法应当注销燃气经营许可的其他情形。</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第十五条　</w:t>
      </w:r>
      <w:r>
        <w:rPr>
          <w:rFonts w:hint="eastAsia" w:eastAsia="方正仿宋_GBK"/>
          <w:color w:val="000000"/>
          <w:spacing w:val="-2"/>
          <w:sz w:val="24"/>
        </w:rPr>
        <w:t>燃气经营企业申请注销燃气经营许可的，应当向原许可机关提交下列申请材料：</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（一）燃气经营许可注销申请书；</w:t>
      </w:r>
    </w:p>
    <w:p>
      <w:pPr>
        <w:spacing w:line="460" w:lineRule="exact"/>
        <w:ind w:firstLine="472" w:firstLineChars="200"/>
        <w:rPr>
          <w:rFonts w:eastAsia="方正仿宋_GBK"/>
          <w:color w:val="000000"/>
          <w:spacing w:val="-2"/>
          <w:position w:val="2"/>
          <w:sz w:val="24"/>
        </w:rPr>
      </w:pPr>
      <w:r>
        <w:rPr>
          <w:rFonts w:hint="eastAsia" w:eastAsia="方正仿宋_GBK"/>
          <w:color w:val="000000"/>
          <w:spacing w:val="-2"/>
          <w:sz w:val="24"/>
        </w:rPr>
        <w:t>（二）</w:t>
      </w:r>
      <w:r>
        <w:rPr>
          <w:rFonts w:hint="eastAsia" w:eastAsia="方正仿宋_GBK"/>
          <w:color w:val="000000"/>
          <w:spacing w:val="-2"/>
          <w:position w:val="2"/>
          <w:sz w:val="24"/>
        </w:rPr>
        <w:t>燃气经营企业对原有用户安置和设施处置等相关方案；</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（三）燃气经营许可证正、副本；</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（四）与注销燃气经营许可证相关的证明文件。</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发证部门受理注销申请后，经审核依法注销燃气经营许可证。</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第十六条　</w:t>
      </w:r>
      <w:r>
        <w:rPr>
          <w:rFonts w:hint="eastAsia" w:eastAsia="方正仿宋_GBK"/>
          <w:color w:val="000000"/>
          <w:spacing w:val="-2"/>
          <w:sz w:val="24"/>
        </w:rPr>
        <w:t>燃气经营企业遗失燃气经营许可证的，应当在国家认可的报刊上公开声明，并持相关证明向发证部门申请补办，发证部门应在二十个工作日内核实补办燃气经营许可证。</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燃气经营许可证表面发生脏污、破损或其他原因造成燃气经营许可证内容无法辨识的，燃气经营企业应向发证部门申请补办，发证部门应收回原经营许可证正、副本，并在二十个工作日内核实补办燃气经营许可证。</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第十七条　</w:t>
      </w:r>
      <w:r>
        <w:rPr>
          <w:rFonts w:hint="eastAsia" w:eastAsia="方正仿宋_GBK"/>
          <w:color w:val="000000"/>
          <w:spacing w:val="-2"/>
          <w:sz w:val="24"/>
        </w:rPr>
        <w:t>已取得燃气经营许可证的燃气经营企业，应当于每年</w:t>
      </w:r>
      <w:r>
        <w:rPr>
          <w:rFonts w:eastAsia="方正仿宋_GBK"/>
          <w:color w:val="000000"/>
          <w:spacing w:val="-2"/>
          <w:sz w:val="24"/>
        </w:rPr>
        <w:t>1</w:t>
      </w:r>
      <w:r>
        <w:rPr>
          <w:rFonts w:hint="eastAsia" w:eastAsia="方正仿宋_GBK"/>
          <w:color w:val="000000"/>
          <w:spacing w:val="-2"/>
          <w:sz w:val="24"/>
        </w:rPr>
        <w:t>月</w:t>
      </w:r>
      <w:r>
        <w:rPr>
          <w:rFonts w:eastAsia="方正仿宋_GBK"/>
          <w:color w:val="000000"/>
          <w:spacing w:val="-2"/>
          <w:sz w:val="24"/>
        </w:rPr>
        <w:t>1</w:t>
      </w:r>
      <w:r>
        <w:rPr>
          <w:rFonts w:hint="eastAsia" w:eastAsia="方正仿宋_GBK"/>
          <w:color w:val="000000"/>
          <w:spacing w:val="-2"/>
          <w:sz w:val="24"/>
        </w:rPr>
        <w:t>日至</w:t>
      </w:r>
      <w:r>
        <w:rPr>
          <w:rFonts w:eastAsia="方正仿宋_GBK"/>
          <w:color w:val="000000"/>
          <w:spacing w:val="-2"/>
          <w:sz w:val="24"/>
        </w:rPr>
        <w:t>3</w:t>
      </w:r>
      <w:r>
        <w:rPr>
          <w:rFonts w:hint="eastAsia" w:eastAsia="方正仿宋_GBK"/>
          <w:color w:val="000000"/>
          <w:spacing w:val="-2"/>
          <w:sz w:val="24"/>
        </w:rPr>
        <w:t>月</w:t>
      </w:r>
      <w:r>
        <w:rPr>
          <w:rFonts w:eastAsia="方正仿宋_GBK"/>
          <w:color w:val="000000"/>
          <w:spacing w:val="-2"/>
          <w:sz w:val="24"/>
        </w:rPr>
        <w:t>31</w:t>
      </w:r>
      <w:r>
        <w:rPr>
          <w:rFonts w:hint="eastAsia" w:eastAsia="方正仿宋_GBK"/>
          <w:color w:val="000000"/>
          <w:spacing w:val="-2"/>
          <w:sz w:val="24"/>
        </w:rPr>
        <w:t>日，向发证部门报送上一年度企业年度报告。当年设立登记的企业，自下一年起报送企业年度报告。</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燃气经营企业的出资比例、股权结构等重大事项发生变化的，应当在事项变化结束后十五个工作日内，向发证部门报告并提供相关材料，由发证部门记载在燃气经营许可证副本中。</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第十八条　</w:t>
      </w:r>
      <w:r>
        <w:rPr>
          <w:rFonts w:hint="eastAsia" w:eastAsia="方正仿宋_GBK"/>
          <w:color w:val="000000"/>
          <w:spacing w:val="-2"/>
          <w:sz w:val="24"/>
        </w:rPr>
        <w:t>企业年度报告内容主要包括：</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（一）企业章程和企业资本结构及其变化情况；</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（二）企业的主要负责人、安全生产管理人员以及运行、维护和抢修等人员变更和培训情况；</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（三）企业建设改造燃气设施具体情况；</w:t>
      </w:r>
    </w:p>
    <w:p>
      <w:pPr>
        <w:spacing w:line="460" w:lineRule="exact"/>
        <w:ind w:firstLine="472" w:firstLineChars="200"/>
        <w:rPr>
          <w:rFonts w:eastAsia="方正仿宋_GBK"/>
          <w:color w:val="000000"/>
          <w:spacing w:val="-2"/>
          <w:position w:val="2"/>
          <w:sz w:val="24"/>
        </w:rPr>
      </w:pPr>
      <w:r>
        <w:rPr>
          <w:rFonts w:hint="eastAsia" w:eastAsia="方正仿宋_GBK"/>
          <w:color w:val="000000"/>
          <w:spacing w:val="-2"/>
          <w:position w:val="2"/>
          <w:sz w:val="24"/>
        </w:rPr>
        <w:t>（四）企业运行情况（包括供应规模、用户发展、安全运行等）；</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（五）其他需要报告的内容。</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具体报告内容和要求由省级人民政府燃气管理部门确定。</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第十九条　</w:t>
      </w:r>
      <w:r>
        <w:rPr>
          <w:rFonts w:hint="eastAsia" w:eastAsia="方正仿宋_GBK"/>
          <w:color w:val="000000"/>
          <w:spacing w:val="-2"/>
          <w:sz w:val="24"/>
        </w:rPr>
        <w:t>发证部门应当按照国家统一要求建立本行政区域燃气经营许可管理信息系统，内容包括燃气许可证发证、变更、撤回、撤销、注销、吊销等，燃气经营企业从业人员信息、燃气经营出资比例和股权结构、燃气事故统计、处罚情况、诚信记录、年度报告等事项。</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省级人民政府燃气管理部门应当建立本行政区域燃气经营许可管理信息系统，对本行政区域内发证部门的燃气经营许可管理信息系统监督指导。</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第二十条　</w:t>
      </w:r>
      <w:r>
        <w:rPr>
          <w:rFonts w:hint="eastAsia" w:eastAsia="方正仿宋_GBK"/>
          <w:color w:val="000000"/>
          <w:spacing w:val="-2"/>
          <w:sz w:val="24"/>
        </w:rPr>
        <w:t>省级人民政府燃气管理部门可以根据本地实际情况，制定具体实施办法，报住房城乡建设部备案。</w:t>
      </w:r>
    </w:p>
    <w:p>
      <w:pPr>
        <w:spacing w:line="460" w:lineRule="exact"/>
        <w:rPr>
          <w:rFonts w:eastAsia="方正仿宋_GBK"/>
          <w:color w:val="000000"/>
          <w:spacing w:val="-2"/>
          <w:sz w:val="24"/>
        </w:rPr>
      </w:pPr>
      <w:r>
        <w:rPr>
          <w:rFonts w:eastAsia="方正仿宋_GBK"/>
          <w:color w:val="000000"/>
          <w:spacing w:val="-2"/>
          <w:sz w:val="24"/>
        </w:rPr>
        <w:t xml:space="preserve"> </w:t>
      </w:r>
    </w:p>
    <w:p>
      <w:pPr>
        <w:spacing w:line="460" w:lineRule="exact"/>
        <w:rPr>
          <w:rFonts w:eastAsia="方正仿宋_GBK"/>
          <w:color w:val="000000"/>
          <w:spacing w:val="-2"/>
          <w:sz w:val="24"/>
        </w:rPr>
      </w:pPr>
    </w:p>
    <w:p>
      <w:pPr>
        <w:spacing w:line="460" w:lineRule="exact"/>
        <w:jc w:val="center"/>
        <w:rPr>
          <w:rFonts w:ascii="Times New Roman" w:eastAsia="方正黑体_GBK"/>
          <w:color w:val="000000"/>
          <w:spacing w:val="-2"/>
          <w:sz w:val="36"/>
          <w:szCs w:val="36"/>
        </w:rPr>
      </w:pPr>
      <w:r>
        <w:rPr>
          <w:rFonts w:hint="eastAsia" w:ascii="Times New Roman" w:eastAsia="方正黑体_GBK"/>
          <w:color w:val="000000"/>
          <w:spacing w:val="-2"/>
          <w:sz w:val="36"/>
          <w:szCs w:val="36"/>
        </w:rPr>
        <w:t>燃气经营企业从业人员专业培训</w:t>
      </w:r>
    </w:p>
    <w:p>
      <w:pPr>
        <w:spacing w:line="460" w:lineRule="exact"/>
        <w:jc w:val="center"/>
        <w:rPr>
          <w:rFonts w:hint="eastAsia" w:ascii="Times New Roman" w:eastAsia="方正黑体_GBK"/>
          <w:color w:val="000000"/>
          <w:spacing w:val="-2"/>
          <w:sz w:val="36"/>
          <w:szCs w:val="36"/>
        </w:rPr>
      </w:pPr>
      <w:r>
        <w:rPr>
          <w:rFonts w:hint="eastAsia" w:ascii="Times New Roman" w:eastAsia="方正黑体_GBK"/>
          <w:color w:val="000000"/>
          <w:spacing w:val="-2"/>
          <w:sz w:val="36"/>
          <w:szCs w:val="36"/>
        </w:rPr>
        <w:t>考核管理办法</w:t>
      </w:r>
    </w:p>
    <w:p>
      <w:pPr>
        <w:spacing w:line="460" w:lineRule="exact"/>
        <w:rPr>
          <w:rFonts w:hint="eastAsia" w:eastAsia="方正仿宋_GBK"/>
          <w:color w:val="000000"/>
          <w:spacing w:val="-2"/>
          <w:sz w:val="24"/>
        </w:rPr>
      </w:pP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第一条　</w:t>
      </w:r>
      <w:r>
        <w:rPr>
          <w:rFonts w:hint="eastAsia" w:eastAsia="方正仿宋_GBK"/>
          <w:color w:val="000000"/>
          <w:spacing w:val="-2"/>
          <w:sz w:val="24"/>
        </w:rPr>
        <w:t>为规范燃气经营许可行为，做好燃气经营企业从业人员（以下简称</w:t>
      </w:r>
      <w:r>
        <w:rPr>
          <w:rFonts w:eastAsia="方正仿宋_GBK"/>
          <w:color w:val="000000"/>
          <w:spacing w:val="-2"/>
          <w:sz w:val="24"/>
        </w:rPr>
        <w:t>“</w:t>
      </w:r>
      <w:r>
        <w:rPr>
          <w:rFonts w:hint="eastAsia" w:eastAsia="方正仿宋_GBK"/>
          <w:color w:val="000000"/>
          <w:spacing w:val="-2"/>
          <w:sz w:val="24"/>
        </w:rPr>
        <w:t>燃气从业人员</w:t>
      </w:r>
      <w:r>
        <w:rPr>
          <w:rFonts w:eastAsia="方正仿宋_GBK"/>
          <w:color w:val="000000"/>
          <w:spacing w:val="-2"/>
          <w:sz w:val="24"/>
        </w:rPr>
        <w:t>”</w:t>
      </w:r>
      <w:r>
        <w:rPr>
          <w:rFonts w:hint="eastAsia" w:eastAsia="方正仿宋_GBK"/>
          <w:color w:val="000000"/>
          <w:spacing w:val="-2"/>
          <w:sz w:val="24"/>
        </w:rPr>
        <w:t>）的专业培训考核工作，根据《城镇燃气管理条例》的有关规定，制定本办法。</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第二条　</w:t>
      </w:r>
      <w:r>
        <w:rPr>
          <w:rFonts w:hint="eastAsia" w:eastAsia="方正仿宋_GBK"/>
          <w:color w:val="000000"/>
          <w:spacing w:val="-2"/>
          <w:sz w:val="24"/>
        </w:rPr>
        <w:t>本办法所指燃气从业人员是指：</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（一）企业主要负责人。是指企业法人代表（董事长）、企业总经理（总裁）；</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（二）安全生产管理人员。是指企业负责安全运行的副总经理（副总裁），企业生产、安全管理部门负责人，企业生产和销售分支机构的负责人以及企业专职安全员；</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三）运行、维护和抢修人员。是指负责燃气设施设备运行、维护和事故抢险抢修的操作人员，包括但不仅限于燃气输配场站工、液化石油气库站工、压缩天然气场站工、液化天然气储运工、汽车加气站操作工、燃气管网工、燃气用户检修工，其他人员由各省级人民政府燃气管理部门根据具体情况确定。</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第三条　</w:t>
      </w:r>
      <w:r>
        <w:rPr>
          <w:rFonts w:hint="eastAsia" w:eastAsia="方正仿宋_GBK"/>
          <w:color w:val="000000"/>
          <w:spacing w:val="-2"/>
          <w:sz w:val="24"/>
        </w:rPr>
        <w:t>住房城乡建设部指导全国燃气从业人员专业培训考核工作。负责组织编制全国燃气经营企业主要负责人，安全生产管理人员以及燃气输配场站工、液化石油气库站工、压缩天然气场站工、液化天然气储运工、汽车加气站操作工、燃气管网工、燃气用户检修工等运行、维护和抢修人员的职业标准、专业培训大纲和教材；建立全国统一的专业考核题库。</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省级人民政府燃气管理部门负责本行政区域燃气从业人员专业培训考核工作。负责编制本行政区域燃气从业人员继续教育教材，编制本行政区域其他运行、维护和抢修人员专业培训大纲和教材，建立本行政区域其他运行、维护和抢修人员专业考核题库，并报住房城乡建设部备案。</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县级以上地方人民政府燃气管理部门负责监督管理本行政区域燃气从业人员继续教育工作。</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城市燃气行业协会协助同级燃气管理部门，做好燃气从业人员专业培训考核和继续教育工作，加强行业燃气从业人员自律管理。</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第四条　</w:t>
      </w:r>
      <w:r>
        <w:rPr>
          <w:rFonts w:hint="eastAsia" w:eastAsia="方正仿宋_GBK"/>
          <w:color w:val="000000"/>
          <w:spacing w:val="-2"/>
          <w:sz w:val="24"/>
        </w:rPr>
        <w:t>从事燃气经营活动的企业，应组织本企业燃气从业人员参加有关燃气知识的专业培训考核和继续教育。</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燃气从业人员由所从业的燃气经营企业组织参加燃气知识的专业培训，并经专业考核合格；在从业期间，应参加相应岗位的燃气知识继续教育，以提高从业能力和水平。</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企业主要负责人、安全生产管理人员和运行、维护和抢修人员在专业培训考核合格证书复检日期前，应参加不少于三十学时的继续教育。</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第五条　</w:t>
      </w:r>
      <w:r>
        <w:rPr>
          <w:rFonts w:hint="eastAsia" w:eastAsia="方正仿宋_GBK"/>
          <w:color w:val="000000"/>
          <w:spacing w:val="-2"/>
          <w:sz w:val="24"/>
        </w:rPr>
        <w:t>燃气从业人员专业培训和继续教育由具备必要的燃气专业培训能力的燃气经营企业或社会培训机构（单位）承担，从事燃气从业人员专业培训和继续教育的企业或社会培训机构（单位）应主动报省级人民政府燃气管理部门备案，接受省级人民政府燃气管理部门指导监督。</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从事燃气从业人员专业培训和继续教育的企业或社会培训机构（单位），要保证培训质量，应采用统一的燃气从业人员专业培训大纲开展专业培训工作。</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第六条　</w:t>
      </w:r>
      <w:r>
        <w:rPr>
          <w:rFonts w:hint="eastAsia" w:eastAsia="方正仿宋_GBK"/>
          <w:color w:val="000000"/>
          <w:spacing w:val="-2"/>
          <w:sz w:val="24"/>
        </w:rPr>
        <w:t>从事燃气从业人员专业培训的企业或社会培训机构（单位），在专业培训结束后，应向省级人民政府燃气管理部门提出专业考核申请。</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省级人民政府燃气管理部门在接到专业考核申请后，应从燃气从业人员专业考核题库内抽取相应类别的专业考核题目，对不同类别燃气从业人员，分别进行专业考核。</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经专业考核合格的人员，由省级人民政府燃气管理部门发放相应类别的燃气从业人员专业培训考核合格证书。</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第七条　</w:t>
      </w:r>
      <w:r>
        <w:rPr>
          <w:rFonts w:hint="eastAsia" w:eastAsia="方正仿宋_GBK"/>
          <w:color w:val="000000"/>
          <w:spacing w:val="-2"/>
          <w:sz w:val="24"/>
        </w:rPr>
        <w:t>燃气从业人员专业培训考核合格证书样式由住房城乡建设部制订。燃气从业人员专业培训考核合格证书不得转让、涂改、伪造、冒用。</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燃气从业人员专业培训考核合格证书（除各省级人民政府燃气管理部门确定的其他运行、维护和抢修人员以外），全国通用，统一编号；各省级人民政府燃气管理部门确定的运行、维护和抢修人员专业培训考核合格证书，在本省级行政区域内通用、统一编号。</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省级人民政府燃气管理部门应按照国家统一要求建立本行政区域燃气从业人员专业培训考核合格人员信息库，统一管理专业培训考核合格人员信息。专业培训考核合格人员信息应向社会公告。</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专业培训考核合格证书每五年由省级人民政府燃气管理部门开展一次复检，未经复检或复检不通过的，专业培训考核合格证书自动失效。</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第八条　</w:t>
      </w:r>
      <w:r>
        <w:rPr>
          <w:rFonts w:hint="eastAsia" w:eastAsia="方正仿宋_GBK"/>
          <w:color w:val="000000"/>
          <w:spacing w:val="-2"/>
          <w:sz w:val="24"/>
        </w:rPr>
        <w:t>燃气从业人员应在专业培训考核合格证书复检日期前六十个工作日内，由燃气经营企业向所在地省级人民政府燃气管理部门提出复检申请，省级人民政府燃气管理部门应在收到复检申请三十个工作日内作出复检意见。</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燃气从业人员专业培训考核合格证书复检，应包括持证人从业期间在岗履职情况、安全事故记录和继续教育等内容。具体复检标准由各省级人民政府燃气管理部门确定。</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第九条　</w:t>
      </w:r>
      <w:r>
        <w:rPr>
          <w:rFonts w:hint="eastAsia" w:eastAsia="方正仿宋_GBK"/>
          <w:color w:val="000000"/>
          <w:spacing w:val="-2"/>
          <w:sz w:val="24"/>
        </w:rPr>
        <w:t>专业培训考核合格人员跨企业流动从业的，应由流入燃气经营企业向流入地省级人民政府燃气管理部门申请办理燃气从业人员专业培训考核合格证书变更。</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专业培训考核合格人员流出企业应主动向本行政区省级人民政府燃气管理部门报告人员变更事项。</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第十条　</w:t>
      </w:r>
      <w:r>
        <w:rPr>
          <w:rFonts w:hint="eastAsia" w:eastAsia="方正仿宋_GBK"/>
          <w:color w:val="000000"/>
          <w:spacing w:val="-2"/>
          <w:sz w:val="24"/>
        </w:rPr>
        <w:t>燃气从业人员专业培训考核和继续教育工作接受上级燃气管理部门和社会监督，燃气管理部门设立对外监督投诉电话，接受社会监督。</w:t>
      </w:r>
    </w:p>
    <w:p/>
    <w:p/>
    <w:p/>
    <w:p/>
    <w:p/>
    <w:p/>
    <w:p>
      <w:pPr>
        <w:pStyle w:val="2"/>
        <w:spacing w:before="240" w:beforeLines="100" w:after="240" w:afterLines="100" w:line="240" w:lineRule="auto"/>
        <w:jc w:val="center"/>
        <w:rPr>
          <w:rFonts w:ascii="Times New Roman" w:eastAsia="方正小标宋_GBK"/>
          <w:b w:val="0"/>
          <w:sz w:val="36"/>
          <w:szCs w:val="36"/>
        </w:rPr>
      </w:pPr>
      <w:bookmarkStart w:id="154" w:name="_Toc20726412"/>
      <w:bookmarkStart w:id="155" w:name="_Toc18315495"/>
      <w:r>
        <w:rPr>
          <w:rFonts w:hint="eastAsia" w:ascii="Times New Roman" w:eastAsia="方正小标宋_GBK"/>
          <w:b w:val="0"/>
          <w:sz w:val="36"/>
          <w:szCs w:val="36"/>
        </w:rPr>
        <w:t>省住房城乡建设厅关于加强城镇燃气地下管线       隐患排查和安全管理的通知</w:t>
      </w:r>
      <w:bookmarkEnd w:id="154"/>
      <w:bookmarkEnd w:id="155"/>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156" w:name="_Toc20726413"/>
      <w:bookmarkStart w:id="157" w:name="_Toc18315496"/>
      <w:r>
        <w:rPr>
          <w:rFonts w:hint="eastAsia" w:ascii="Times New Roman" w:hAnsi="Times New Roman" w:eastAsia="方正楷体_GBK"/>
          <w:b w:val="0"/>
          <w:sz w:val="24"/>
          <w:szCs w:val="24"/>
        </w:rPr>
        <w:t>苏建函城〔</w:t>
      </w:r>
      <w:r>
        <w:rPr>
          <w:rFonts w:ascii="Times New Roman" w:hAnsi="Times New Roman" w:eastAsia="方正楷体_GBK"/>
          <w:b w:val="0"/>
          <w:sz w:val="24"/>
          <w:szCs w:val="24"/>
        </w:rPr>
        <w:t>2015</w:t>
      </w:r>
      <w:r>
        <w:rPr>
          <w:rFonts w:hint="eastAsia" w:ascii="Times New Roman" w:hAnsi="Times New Roman" w:eastAsia="方正楷体_GBK"/>
          <w:b w:val="0"/>
          <w:sz w:val="24"/>
          <w:szCs w:val="24"/>
        </w:rPr>
        <w:t>〕</w:t>
      </w:r>
      <w:r>
        <w:rPr>
          <w:rFonts w:ascii="Times New Roman" w:hAnsi="Times New Roman" w:eastAsia="方正楷体_GBK"/>
          <w:b w:val="0"/>
          <w:sz w:val="24"/>
          <w:szCs w:val="24"/>
        </w:rPr>
        <w:t>591</w:t>
      </w:r>
      <w:r>
        <w:rPr>
          <w:rFonts w:hint="eastAsia" w:ascii="Times New Roman" w:hAnsi="Times New Roman" w:eastAsia="方正楷体_GBK"/>
          <w:b w:val="0"/>
          <w:sz w:val="24"/>
          <w:szCs w:val="24"/>
        </w:rPr>
        <w:t>号</w:t>
      </w:r>
      <w:bookmarkEnd w:id="156"/>
      <w:bookmarkEnd w:id="157"/>
    </w:p>
    <w:p>
      <w:pPr>
        <w:spacing w:line="460" w:lineRule="exact"/>
        <w:rPr>
          <w:rFonts w:eastAsia="方正仿宋_GBK"/>
          <w:color w:val="000000"/>
          <w:spacing w:val="-2"/>
          <w:sz w:val="24"/>
        </w:rPr>
      </w:pPr>
      <w:r>
        <w:rPr>
          <w:rFonts w:hint="eastAsia" w:eastAsia="方正仿宋_GBK"/>
          <w:color w:val="000000"/>
          <w:spacing w:val="-2"/>
          <w:sz w:val="24"/>
        </w:rPr>
        <w:t>各市建设局（委）、规划局、城管局、无锡市政公用和园林局，昆山、泰兴、沭阳县（市）建设局：</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为了贯彻落实《国务院办公厅关于加强城市地下管线建设管理的指导意见》（国办发〔</w:t>
      </w:r>
      <w:r>
        <w:rPr>
          <w:rFonts w:eastAsia="方正仿宋_GBK"/>
          <w:color w:val="000000"/>
          <w:spacing w:val="-2"/>
          <w:sz w:val="24"/>
        </w:rPr>
        <w:t>2014</w:t>
      </w:r>
      <w:r>
        <w:rPr>
          <w:rFonts w:hint="eastAsia" w:eastAsia="方正仿宋_GBK"/>
          <w:color w:val="000000"/>
          <w:spacing w:val="-2"/>
          <w:sz w:val="24"/>
        </w:rPr>
        <w:t>〕</w:t>
      </w:r>
      <w:r>
        <w:rPr>
          <w:rFonts w:eastAsia="方正仿宋_GBK"/>
          <w:color w:val="000000"/>
          <w:spacing w:val="-2"/>
          <w:sz w:val="24"/>
        </w:rPr>
        <w:t>27</w:t>
      </w:r>
      <w:r>
        <w:rPr>
          <w:rFonts w:hint="eastAsia" w:eastAsia="方正仿宋_GBK"/>
          <w:color w:val="000000"/>
          <w:spacing w:val="-2"/>
          <w:sz w:val="24"/>
        </w:rPr>
        <w:t>号））、《省政府办公厅关于加强城市地下管线建设管理的实施意见》（苏政办发〔</w:t>
      </w:r>
      <w:r>
        <w:rPr>
          <w:rFonts w:eastAsia="方正仿宋_GBK"/>
          <w:color w:val="000000"/>
          <w:spacing w:val="-2"/>
          <w:sz w:val="24"/>
        </w:rPr>
        <w:t>2014</w:t>
      </w:r>
      <w:r>
        <w:rPr>
          <w:rFonts w:hint="eastAsia" w:eastAsia="方正仿宋_GBK"/>
          <w:color w:val="000000"/>
          <w:spacing w:val="-2"/>
          <w:sz w:val="24"/>
        </w:rPr>
        <w:t>〕</w:t>
      </w:r>
      <w:r>
        <w:rPr>
          <w:rFonts w:eastAsia="方正仿宋_GBK"/>
          <w:color w:val="000000"/>
          <w:spacing w:val="-2"/>
          <w:sz w:val="24"/>
        </w:rPr>
        <w:t>110</w:t>
      </w:r>
      <w:r>
        <w:rPr>
          <w:rFonts w:hint="eastAsia" w:eastAsia="方正仿宋_GBK"/>
          <w:color w:val="000000"/>
          <w:spacing w:val="-2"/>
          <w:sz w:val="24"/>
        </w:rPr>
        <w:t>号），切实加强城镇燃气管线的安全保护和管理，现通知如下：</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一、做好城镇燃气专业管线普查。</w:t>
      </w:r>
      <w:r>
        <w:rPr>
          <w:rFonts w:hint="eastAsia" w:eastAsia="方正仿宋_GBK"/>
          <w:color w:val="000000"/>
          <w:spacing w:val="-2"/>
          <w:sz w:val="24"/>
        </w:rPr>
        <w:t>各地燃气主管部门应按照《住房城乡建设部等部门关于开展城市地下管线普查工作的通知》（建城〔</w:t>
      </w:r>
      <w:r>
        <w:rPr>
          <w:rFonts w:eastAsia="方正仿宋_GBK"/>
          <w:color w:val="000000"/>
          <w:spacing w:val="-2"/>
          <w:sz w:val="24"/>
        </w:rPr>
        <w:t>2014</w:t>
      </w:r>
      <w:r>
        <w:rPr>
          <w:rFonts w:hint="eastAsia" w:eastAsia="方正仿宋_GBK"/>
          <w:color w:val="000000"/>
          <w:spacing w:val="-2"/>
          <w:sz w:val="24"/>
        </w:rPr>
        <w:t>〕</w:t>
      </w:r>
      <w:r>
        <w:rPr>
          <w:rFonts w:eastAsia="方正仿宋_GBK"/>
          <w:color w:val="000000"/>
          <w:spacing w:val="-2"/>
          <w:sz w:val="24"/>
        </w:rPr>
        <w:t>179</w:t>
      </w:r>
      <w:r>
        <w:rPr>
          <w:rFonts w:hint="eastAsia" w:eastAsia="方正仿宋_GBK"/>
          <w:color w:val="000000"/>
          <w:spacing w:val="-2"/>
          <w:sz w:val="24"/>
        </w:rPr>
        <w:t>号）要求，积极配合做好燃气专业管线的基础信息普查和补测工作，督促燃气企业及时提供现有管线数据资料，对管线基本情况不清晰的要抓紧时间配合做好补查补测工作，确保</w:t>
      </w:r>
      <w:r>
        <w:rPr>
          <w:rFonts w:eastAsia="方正仿宋_GBK"/>
          <w:color w:val="000000"/>
          <w:spacing w:val="-2"/>
          <w:sz w:val="24"/>
        </w:rPr>
        <w:t>2015</w:t>
      </w:r>
      <w:r>
        <w:rPr>
          <w:rFonts w:hint="eastAsia" w:eastAsia="方正仿宋_GBK"/>
          <w:color w:val="000000"/>
          <w:spacing w:val="-2"/>
          <w:sz w:val="24"/>
        </w:rPr>
        <w:t>年底前完成专业管线普查工作。燃气专业管线普查信息主要包括：数量、压力、材质、管径、埋设方式、埋深、走向、连接方式、权属单位、建设时间、运行时间、以及相关场站等信息。在做好城镇燃气专业管线基础信息普查的基础上，应按相关规范要求（见附件）全面摸清燃气管线存在的结构性隐患和管线交叉、安全间距、防腐、管道标识以及违章建筑等方面的隐患，对查出的隐患要及时研究整改方案报城市人民政府。</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二、加大燃气老旧管线改造力度。</w:t>
      </w:r>
      <w:r>
        <w:rPr>
          <w:rFonts w:hint="eastAsia" w:eastAsia="方正仿宋_GBK"/>
          <w:color w:val="000000"/>
          <w:spacing w:val="-2"/>
          <w:sz w:val="24"/>
        </w:rPr>
        <w:t>各地应强化对燃气管线运行的安全检测和评估，有计划地推进运行</w:t>
      </w:r>
      <w:r>
        <w:rPr>
          <w:rFonts w:eastAsia="方正仿宋_GBK"/>
          <w:color w:val="000000"/>
          <w:spacing w:val="-2"/>
          <w:sz w:val="24"/>
        </w:rPr>
        <w:t>15</w:t>
      </w:r>
      <w:r>
        <w:rPr>
          <w:rFonts w:hint="eastAsia" w:eastAsia="方正仿宋_GBK"/>
          <w:color w:val="000000"/>
          <w:spacing w:val="-2"/>
          <w:sz w:val="24"/>
        </w:rPr>
        <w:t>年以上或有严重安全隐患的老旧管网改造，力争</w:t>
      </w:r>
      <w:r>
        <w:rPr>
          <w:rFonts w:eastAsia="方正仿宋_GBK"/>
          <w:color w:val="000000"/>
          <w:spacing w:val="-2"/>
          <w:sz w:val="24"/>
        </w:rPr>
        <w:t>2019</w:t>
      </w:r>
      <w:r>
        <w:rPr>
          <w:rFonts w:hint="eastAsia" w:eastAsia="方正仿宋_GBK"/>
          <w:color w:val="000000"/>
          <w:spacing w:val="-2"/>
          <w:sz w:val="24"/>
        </w:rPr>
        <w:t>年底前完成全省燃气地下老旧管网的改造，保障燃气管网安全运行。各燃气主管部门应会同规划、发改等部门研究制定管网改造建设程序，尽可能简化管网改造手续，减免相关规费。</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三、强化燃气管线保护。</w:t>
      </w:r>
      <w:r>
        <w:rPr>
          <w:rFonts w:hint="eastAsia" w:eastAsia="方正仿宋_GBK"/>
          <w:color w:val="000000"/>
          <w:spacing w:val="-2"/>
          <w:sz w:val="24"/>
        </w:rPr>
        <w:t>各地要依据城市总体规划、地下空间开发利用规划以及燃气专业规划，合理布置燃气管道线路和场站，控制好燃气设施与周边地下管线、建筑物、构筑物的安全距离。各地城乡规划主管部门核发燃气设施选址意见书或建设用地规划许可证时，应按照《城镇燃气管理条例》规定征求燃气主管部门意见。各地建设主管部门应加强对城镇燃气管线安全保护范围内施工作业行为的管理，在核发工程施工许可证时，应要求建设单位提供燃气管线交底手续、管线保护技术方案和应急预案，防止燃气管道被外力损坏。各地城管部门</w:t>
      </w:r>
      <w:r>
        <w:rPr>
          <w:rFonts w:hint="eastAsia" w:eastAsia="方正仿宋_GBK"/>
          <w:color w:val="000000"/>
          <w:spacing w:val="-2"/>
          <w:kern w:val="0"/>
          <w:sz w:val="24"/>
        </w:rPr>
        <w:t>要依据相应的法律法规，限期清理整治现存燃气管线的违法建筑</w:t>
      </w:r>
      <w:r>
        <w:rPr>
          <w:rFonts w:hint="eastAsia" w:eastAsia="方正仿宋_GBK"/>
          <w:vanish/>
          <w:color w:val="000000"/>
          <w:spacing w:val="-2"/>
          <w:kern w:val="0"/>
          <w:sz w:val="24"/>
        </w:rPr>
        <w:t>，</w:t>
      </w:r>
      <w:r>
        <w:rPr>
          <w:rFonts w:hint="eastAsia" w:eastAsia="方正仿宋_GBK"/>
          <w:color w:val="000000"/>
          <w:spacing w:val="-2"/>
          <w:kern w:val="0"/>
          <w:sz w:val="24"/>
        </w:rPr>
        <w:t>对确实无法清除的，规划部门应积极配合更改管线走向，消除隐患。</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四、有力推进燃气管线地理信息系统建设。</w:t>
      </w:r>
      <w:r>
        <w:rPr>
          <w:rFonts w:hint="eastAsia" w:eastAsia="方正仿宋_GBK"/>
          <w:color w:val="000000"/>
          <w:spacing w:val="-2"/>
          <w:sz w:val="24"/>
        </w:rPr>
        <w:t>城镇管道燃气企业在完成地下燃气管线普查的基础上，应按统一的数据标准加快建立地下燃气管线现状数据库和信息数据管理平台，建立完善燃气管线地理信息系统，及时存储、动态更新本企业燃气管道设施信息，并与当地政府地下管线综合信息系统实现互联互通、信息共享。对已经建成的燃气管线地理信息系统建设，管道燃气企业应当按照我厅下发的统一数据标准组织修正或者更新燃气管道专业信息系统相关数据。</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五、进一步加强燃气管线及其场站设施的运行管理。</w:t>
      </w:r>
      <w:r>
        <w:rPr>
          <w:rFonts w:hint="eastAsia" w:eastAsia="方正仿宋_GBK"/>
          <w:color w:val="000000"/>
          <w:spacing w:val="-2"/>
          <w:sz w:val="24"/>
        </w:rPr>
        <w:t>各燃气主管部门应督促燃气企业按规定进一步完善和规范燃气管线地面标识和站点安全警示标志。加强对液化气储灌站经营行为的监管，严禁充装过期钢瓶、报废钢瓶和不合格钢瓶的使用，加大对违法充装、违法倒灌、违法使用的查处力度。燃气主管部门、燃气企业要制定切实可行的燃气事故应急预案，并加强应急预案的组织演练、人员培训等工作，做到培训到位、应急到位、管理到位。</w:t>
      </w:r>
    </w:p>
    <w:p>
      <w:pPr>
        <w:spacing w:line="460" w:lineRule="exact"/>
        <w:ind w:firstLine="472" w:firstLineChars="200"/>
        <w:rPr>
          <w:rFonts w:eastAsia="方正仿宋_GBK"/>
          <w:color w:val="000000"/>
          <w:spacing w:val="-2"/>
          <w:sz w:val="24"/>
        </w:rPr>
      </w:pP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附件：埋地燃气管道隐患排查相关技术规范</w:t>
      </w:r>
    </w:p>
    <w:p>
      <w:pPr>
        <w:spacing w:line="460" w:lineRule="exact"/>
        <w:ind w:right="314" w:firstLine="472" w:firstLineChars="200"/>
        <w:jc w:val="right"/>
        <w:rPr>
          <w:rFonts w:eastAsia="方正仿宋_GBK"/>
          <w:color w:val="000000"/>
          <w:spacing w:val="-2"/>
          <w:sz w:val="24"/>
        </w:rPr>
      </w:pPr>
    </w:p>
    <w:p>
      <w:pPr>
        <w:wordWrap w:val="0"/>
        <w:spacing w:line="460" w:lineRule="exact"/>
        <w:ind w:right="314" w:firstLine="472" w:firstLineChars="200"/>
        <w:jc w:val="right"/>
        <w:rPr>
          <w:rFonts w:eastAsia="方正仿宋_GBK"/>
          <w:color w:val="000000"/>
          <w:spacing w:val="-2"/>
          <w:sz w:val="24"/>
        </w:rPr>
      </w:pPr>
      <w:r>
        <w:rPr>
          <w:rFonts w:hint="eastAsia" w:eastAsia="方正仿宋_GBK"/>
          <w:color w:val="000000"/>
          <w:spacing w:val="-2"/>
          <w:sz w:val="24"/>
        </w:rPr>
        <w:t>江苏省住房和城乡建设厅</w:t>
      </w:r>
      <w:r>
        <w:rPr>
          <w:rFonts w:eastAsia="方正仿宋_GBK"/>
          <w:color w:val="000000"/>
          <w:spacing w:val="-2"/>
          <w:sz w:val="24"/>
        </w:rPr>
        <w:t xml:space="preserve">    </w:t>
      </w:r>
    </w:p>
    <w:p>
      <w:pPr>
        <w:wordWrap w:val="0"/>
        <w:spacing w:line="460" w:lineRule="exact"/>
        <w:ind w:right="797" w:firstLine="472" w:firstLineChars="200"/>
        <w:jc w:val="right"/>
        <w:rPr>
          <w:rFonts w:eastAsia="方正仿宋_GBK"/>
          <w:color w:val="000000"/>
          <w:spacing w:val="-2"/>
          <w:sz w:val="24"/>
        </w:rPr>
      </w:pPr>
      <w:r>
        <w:rPr>
          <w:rFonts w:eastAsia="方正仿宋_GBK"/>
          <w:color w:val="000000"/>
          <w:spacing w:val="-2"/>
          <w:sz w:val="24"/>
        </w:rPr>
        <w:t>2015</w:t>
      </w:r>
      <w:r>
        <w:rPr>
          <w:rFonts w:hint="eastAsia" w:eastAsia="方正仿宋_GBK"/>
          <w:color w:val="000000"/>
          <w:spacing w:val="-2"/>
          <w:sz w:val="24"/>
        </w:rPr>
        <w:t>年</w:t>
      </w:r>
      <w:r>
        <w:rPr>
          <w:rFonts w:eastAsia="方正仿宋_GBK"/>
          <w:color w:val="000000"/>
          <w:spacing w:val="-2"/>
          <w:sz w:val="24"/>
        </w:rPr>
        <w:t>8</w:t>
      </w:r>
      <w:r>
        <w:rPr>
          <w:rFonts w:hint="eastAsia" w:eastAsia="方正仿宋_GBK"/>
          <w:color w:val="000000"/>
          <w:spacing w:val="-2"/>
          <w:sz w:val="24"/>
        </w:rPr>
        <w:t>月</w:t>
      </w:r>
      <w:r>
        <w:rPr>
          <w:rFonts w:eastAsia="方正仿宋_GBK"/>
          <w:color w:val="000000"/>
          <w:spacing w:val="-2"/>
          <w:sz w:val="24"/>
        </w:rPr>
        <w:t>17</w:t>
      </w:r>
      <w:r>
        <w:rPr>
          <w:rFonts w:hint="eastAsia" w:eastAsia="方正仿宋_GBK"/>
          <w:color w:val="000000"/>
          <w:spacing w:val="-2"/>
          <w:sz w:val="24"/>
        </w:rPr>
        <w:t>日</w:t>
      </w:r>
      <w:r>
        <w:rPr>
          <w:rFonts w:eastAsia="方正仿宋_GBK"/>
          <w:color w:val="000000"/>
          <w:spacing w:val="-2"/>
          <w:sz w:val="24"/>
        </w:rPr>
        <w:t xml:space="preserve">   </w:t>
      </w:r>
    </w:p>
    <w:p>
      <w:pPr>
        <w:spacing w:line="460" w:lineRule="exact"/>
        <w:rPr>
          <w:rFonts w:ascii="Times New Roman" w:eastAsia="方正黑体_GBK"/>
          <w:color w:val="000000"/>
          <w:spacing w:val="-2"/>
          <w:sz w:val="28"/>
          <w:szCs w:val="28"/>
        </w:rPr>
      </w:pPr>
      <w:r>
        <w:rPr>
          <w:rFonts w:hint="eastAsia" w:ascii="Times New Roman" w:eastAsia="黑体"/>
          <w:color w:val="000000"/>
          <w:spacing w:val="-2"/>
          <w:sz w:val="32"/>
          <w:szCs w:val="32"/>
        </w:rPr>
        <w:br w:type="column"/>
      </w:r>
      <w:r>
        <w:rPr>
          <w:rFonts w:hint="eastAsia" w:ascii="Times New Roman" w:eastAsia="方正黑体_GBK"/>
          <w:color w:val="000000"/>
          <w:spacing w:val="-2"/>
          <w:sz w:val="28"/>
          <w:szCs w:val="28"/>
        </w:rPr>
        <w:t>附件：</w:t>
      </w:r>
    </w:p>
    <w:p>
      <w:pPr>
        <w:spacing w:line="570" w:lineRule="exact"/>
        <w:rPr>
          <w:rFonts w:hint="eastAsia" w:ascii="Times New Roman" w:eastAsia="黑体"/>
          <w:color w:val="000000"/>
          <w:spacing w:val="-2"/>
          <w:sz w:val="32"/>
          <w:szCs w:val="32"/>
        </w:rPr>
      </w:pPr>
    </w:p>
    <w:p>
      <w:pPr>
        <w:spacing w:line="480" w:lineRule="exact"/>
        <w:jc w:val="center"/>
        <w:rPr>
          <w:rFonts w:hint="eastAsia" w:ascii="Times New Roman" w:hAnsi="Times New Roman" w:eastAsia="方正黑体_GBK"/>
          <w:color w:val="000000"/>
          <w:spacing w:val="-2"/>
          <w:sz w:val="36"/>
          <w:szCs w:val="36"/>
        </w:rPr>
      </w:pPr>
      <w:r>
        <w:rPr>
          <w:rFonts w:hint="eastAsia" w:ascii="Times New Roman" w:hAnsi="Times New Roman" w:eastAsia="方正黑体_GBK"/>
          <w:color w:val="000000"/>
          <w:spacing w:val="-2"/>
          <w:sz w:val="36"/>
          <w:szCs w:val="36"/>
        </w:rPr>
        <w:t>埋地燃气管道隐患排查相关技术规范</w:t>
      </w:r>
    </w:p>
    <w:p>
      <w:pPr>
        <w:spacing w:line="480" w:lineRule="exact"/>
        <w:jc w:val="center"/>
        <w:rPr>
          <w:rFonts w:hint="eastAsia" w:eastAsia="仿宋"/>
          <w:color w:val="000000"/>
          <w:spacing w:val="-2"/>
          <w:sz w:val="28"/>
          <w:szCs w:val="36"/>
        </w:rPr>
      </w:pP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一、埋地管道与建、构筑物或相邻管道间距技术规范要求</w:t>
      </w:r>
    </w:p>
    <w:p>
      <w:pPr>
        <w:spacing w:line="460" w:lineRule="exact"/>
        <w:ind w:firstLine="472" w:firstLineChars="200"/>
        <w:rPr>
          <w:rFonts w:hint="eastAsia" w:eastAsia="方正楷体_GBK"/>
          <w:color w:val="000000"/>
          <w:spacing w:val="-2"/>
          <w:sz w:val="24"/>
        </w:rPr>
      </w:pPr>
      <w:r>
        <w:rPr>
          <w:rFonts w:eastAsia="方正楷体_GBK"/>
          <w:color w:val="000000"/>
          <w:spacing w:val="-2"/>
          <w:sz w:val="24"/>
        </w:rPr>
        <w:t>1</w:t>
      </w:r>
      <w:r>
        <w:rPr>
          <w:rFonts w:hint="eastAsia" w:eastAsia="方正楷体_GBK"/>
          <w:color w:val="000000"/>
          <w:spacing w:val="-2"/>
          <w:sz w:val="24"/>
        </w:rPr>
        <w:t>、压力不大于</w:t>
      </w:r>
      <w:r>
        <w:rPr>
          <w:rFonts w:eastAsia="方正楷体_GBK"/>
          <w:color w:val="000000"/>
          <w:spacing w:val="-2"/>
          <w:sz w:val="24"/>
        </w:rPr>
        <w:t>1.6</w:t>
      </w:r>
      <w:r>
        <w:rPr>
          <w:rFonts w:eastAsia="方正楷体_GBK"/>
          <w:color w:val="000000"/>
          <w:spacing w:val="-2"/>
          <w:kern w:val="0"/>
          <w:sz w:val="24"/>
        </w:rPr>
        <w:t xml:space="preserve"> MPa</w:t>
      </w:r>
      <w:r>
        <w:rPr>
          <w:rFonts w:hint="eastAsia" w:eastAsia="方正楷体_GBK"/>
          <w:color w:val="000000"/>
          <w:spacing w:val="-2"/>
          <w:sz w:val="24"/>
        </w:rPr>
        <w:t>地下燃气管道</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w:t>
      </w:r>
      <w:r>
        <w:rPr>
          <w:rFonts w:eastAsia="方正仿宋_GBK"/>
          <w:color w:val="000000"/>
          <w:spacing w:val="-2"/>
          <w:sz w:val="24"/>
        </w:rPr>
        <w:t>1</w:t>
      </w:r>
      <w:r>
        <w:rPr>
          <w:rFonts w:hint="eastAsia" w:eastAsia="方正仿宋_GBK"/>
          <w:color w:val="000000"/>
          <w:spacing w:val="-2"/>
          <w:sz w:val="24"/>
        </w:rPr>
        <w:t>）不得从建筑物和大型构筑物（不包括架空的建筑物和大型构筑物）的下面穿越。地下燃气管道与建筑物、构筑物或相邻管道之间的水平和垂直净距，不应小于《城镇燃气设计规范》</w:t>
      </w:r>
      <w:r>
        <w:rPr>
          <w:rFonts w:eastAsia="方正仿宋_GBK"/>
          <w:color w:val="000000"/>
          <w:spacing w:val="-2"/>
          <w:sz w:val="24"/>
        </w:rPr>
        <w:t>GB50028</w:t>
      </w:r>
      <w:r>
        <w:rPr>
          <w:rFonts w:hint="eastAsia" w:eastAsia="方正仿宋_GBK"/>
          <w:color w:val="000000"/>
          <w:spacing w:val="-2"/>
          <w:sz w:val="24"/>
        </w:rPr>
        <w:t>表</w:t>
      </w:r>
      <w:r>
        <w:rPr>
          <w:rFonts w:eastAsia="方正仿宋_GBK"/>
          <w:color w:val="000000"/>
          <w:spacing w:val="-2"/>
          <w:sz w:val="24"/>
        </w:rPr>
        <w:t xml:space="preserve">6.3.3-1 </w:t>
      </w:r>
      <w:r>
        <w:rPr>
          <w:rFonts w:hint="eastAsia" w:eastAsia="方正仿宋_GBK"/>
          <w:color w:val="000000"/>
          <w:spacing w:val="-2"/>
          <w:sz w:val="24"/>
        </w:rPr>
        <w:t>和表</w:t>
      </w:r>
      <w:r>
        <w:rPr>
          <w:rFonts w:eastAsia="方正仿宋_GBK"/>
          <w:color w:val="000000"/>
          <w:spacing w:val="-2"/>
          <w:sz w:val="24"/>
        </w:rPr>
        <w:t xml:space="preserve">6.3.3-2 </w:t>
      </w:r>
      <w:r>
        <w:rPr>
          <w:rFonts w:hint="eastAsia" w:eastAsia="方正仿宋_GBK"/>
          <w:color w:val="000000"/>
          <w:spacing w:val="-2"/>
          <w:sz w:val="24"/>
        </w:rPr>
        <w:t>的规定。</w:t>
      </w:r>
    </w:p>
    <w:p>
      <w:pPr>
        <w:spacing w:line="460" w:lineRule="exact"/>
        <w:jc w:val="center"/>
        <w:rPr>
          <w:rFonts w:eastAsia="方正黑体_GBK"/>
          <w:color w:val="000000"/>
          <w:spacing w:val="-2"/>
          <w:kern w:val="0"/>
          <w:sz w:val="24"/>
        </w:rPr>
      </w:pPr>
      <w:r>
        <w:rPr>
          <w:rFonts w:hint="eastAsia" w:eastAsia="方正黑体_GBK"/>
          <w:color w:val="000000"/>
          <w:spacing w:val="-2"/>
          <w:kern w:val="0"/>
          <w:sz w:val="24"/>
        </w:rPr>
        <w:t>表</w:t>
      </w:r>
      <w:r>
        <w:rPr>
          <w:rFonts w:eastAsia="方正黑体_GBK"/>
          <w:color w:val="000000"/>
          <w:spacing w:val="-2"/>
          <w:kern w:val="0"/>
          <w:sz w:val="24"/>
        </w:rPr>
        <w:t xml:space="preserve">6.3.3-1 </w:t>
      </w:r>
      <w:r>
        <w:rPr>
          <w:rFonts w:hint="eastAsia" w:eastAsia="方正黑体_GBK"/>
          <w:color w:val="000000"/>
          <w:spacing w:val="-2"/>
          <w:kern w:val="0"/>
          <w:sz w:val="24"/>
        </w:rPr>
        <w:t>地下燃气管道与建筑物、构筑物或相邻管道之间的水平净距（</w:t>
      </w:r>
      <w:r>
        <w:rPr>
          <w:rFonts w:eastAsia="方正黑体_GBK"/>
          <w:color w:val="000000"/>
          <w:spacing w:val="-2"/>
          <w:kern w:val="0"/>
          <w:sz w:val="24"/>
        </w:rPr>
        <w:t>m</w:t>
      </w:r>
      <w:r>
        <w:rPr>
          <w:rFonts w:hint="eastAsia" w:eastAsia="方正黑体_GBK"/>
          <w:color w:val="000000"/>
          <w:spacing w:val="-2"/>
          <w:kern w:val="0"/>
          <w:sz w:val="24"/>
        </w:rPr>
        <w:t>）</w:t>
      </w:r>
    </w:p>
    <w:tbl>
      <w:tblPr>
        <w:tblStyle w:val="12"/>
        <w:tblW w:w="0" w:type="auto"/>
        <w:tblInd w:w="-2" w:type="dxa"/>
        <w:tblBorders>
          <w:top w:val="single" w:color="auto" w:sz="8" w:space="0"/>
          <w:left w:val="single" w:color="auto" w:sz="8" w:space="0"/>
          <w:bottom w:val="single" w:color="auto" w:sz="8" w:space="0"/>
          <w:right w:val="single" w:color="auto" w:sz="8" w:space="0"/>
          <w:insideH w:val="single" w:color="333333" w:sz="6" w:space="0"/>
          <w:insideV w:val="single" w:color="333333" w:sz="6" w:space="0"/>
        </w:tblBorders>
        <w:tblLayout w:type="fixed"/>
        <w:tblCellMar>
          <w:top w:w="0" w:type="dxa"/>
          <w:left w:w="0" w:type="dxa"/>
          <w:bottom w:w="0" w:type="dxa"/>
          <w:right w:w="0" w:type="dxa"/>
        </w:tblCellMar>
      </w:tblPr>
      <w:tblGrid>
        <w:gridCol w:w="1460"/>
        <w:gridCol w:w="1396"/>
        <w:gridCol w:w="1198"/>
        <w:gridCol w:w="1182"/>
        <w:gridCol w:w="1145"/>
        <w:gridCol w:w="1105"/>
        <w:gridCol w:w="1260"/>
      </w:tblGrid>
      <w:tr>
        <w:tblPrEx>
          <w:tblBorders>
            <w:top w:val="single" w:color="auto" w:sz="8" w:space="0"/>
            <w:left w:val="single" w:color="auto" w:sz="8" w:space="0"/>
            <w:bottom w:val="single" w:color="auto" w:sz="8" w:space="0"/>
            <w:right w:val="single" w:color="auto" w:sz="8" w:space="0"/>
            <w:insideH w:val="single" w:color="333333" w:sz="6" w:space="0"/>
            <w:insideV w:val="single" w:color="333333" w:sz="6" w:space="0"/>
          </w:tblBorders>
          <w:tblCellMar>
            <w:top w:w="0" w:type="dxa"/>
            <w:left w:w="0" w:type="dxa"/>
            <w:bottom w:w="0" w:type="dxa"/>
            <w:right w:w="0" w:type="dxa"/>
          </w:tblCellMar>
        </w:tblPrEx>
        <w:trPr>
          <w:trHeight w:val="436" w:hRule="atLeast"/>
          <w:tblHeader/>
        </w:trPr>
        <w:tc>
          <w:tcPr>
            <w:tcW w:w="2856" w:type="dxa"/>
            <w:gridSpan w:val="2"/>
            <w:vMerge w:val="restart"/>
            <w:tcBorders>
              <w:top w:val="single" w:color="auto" w:sz="8" w:space="0"/>
              <w:left w:val="single" w:color="auto" w:sz="8" w:space="0"/>
              <w:bottom w:val="single" w:color="333333" w:sz="6" w:space="0"/>
              <w:right w:val="single" w:color="333333" w:sz="6" w:space="0"/>
            </w:tcBorders>
            <w:noWrap w:val="0"/>
            <w:vAlign w:val="center"/>
          </w:tcPr>
          <w:p>
            <w:pPr>
              <w:widowControl/>
              <w:spacing w:line="200" w:lineRule="exact"/>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项    目</w:t>
            </w:r>
          </w:p>
        </w:tc>
        <w:tc>
          <w:tcPr>
            <w:tcW w:w="5890" w:type="dxa"/>
            <w:gridSpan w:val="5"/>
            <w:tcBorders>
              <w:top w:val="single" w:color="auto" w:sz="8" w:space="0"/>
              <w:left w:val="single" w:color="333333" w:sz="6" w:space="0"/>
              <w:bottom w:val="single" w:color="333333" w:sz="6" w:space="0"/>
              <w:right w:val="single" w:color="auto" w:sz="8" w:space="0"/>
            </w:tcBorders>
            <w:noWrap w:val="0"/>
            <w:vAlign w:val="center"/>
          </w:tcPr>
          <w:p>
            <w:pPr>
              <w:widowControl/>
              <w:spacing w:line="200" w:lineRule="exact"/>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地下燃气管道压力（MPa）</w:t>
            </w:r>
          </w:p>
        </w:tc>
      </w:tr>
      <w:tr>
        <w:tblPrEx>
          <w:tblBorders>
            <w:top w:val="single" w:color="auto" w:sz="8" w:space="0"/>
            <w:left w:val="single" w:color="auto" w:sz="8" w:space="0"/>
            <w:bottom w:val="single" w:color="auto" w:sz="8" w:space="0"/>
            <w:right w:val="single" w:color="auto" w:sz="8" w:space="0"/>
            <w:insideH w:val="single" w:color="333333" w:sz="6" w:space="0"/>
            <w:insideV w:val="single" w:color="333333" w:sz="6" w:space="0"/>
          </w:tblBorders>
          <w:tblCellMar>
            <w:top w:w="0" w:type="dxa"/>
            <w:left w:w="0" w:type="dxa"/>
            <w:bottom w:w="0" w:type="dxa"/>
            <w:right w:w="0" w:type="dxa"/>
          </w:tblCellMar>
        </w:tblPrEx>
        <w:trPr>
          <w:trHeight w:val="373" w:hRule="atLeast"/>
          <w:tblHeader/>
        </w:trPr>
        <w:tc>
          <w:tcPr>
            <w:tcW w:w="2856" w:type="dxa"/>
            <w:gridSpan w:val="2"/>
            <w:vMerge w:val="continue"/>
            <w:tcBorders>
              <w:top w:val="single" w:color="auto" w:sz="8" w:space="0"/>
              <w:left w:val="single" w:color="auto" w:sz="8" w:space="0"/>
              <w:bottom w:val="single" w:color="333333" w:sz="6" w:space="0"/>
              <w:right w:val="single" w:color="333333" w:sz="6" w:space="0"/>
            </w:tcBorders>
            <w:noWrap w:val="0"/>
            <w:vAlign w:val="center"/>
          </w:tcPr>
          <w:p>
            <w:pPr>
              <w:widowControl/>
              <w:jc w:val="left"/>
              <w:rPr>
                <w:rFonts w:ascii="Times New Roman" w:eastAsia="方正黑体_GBK"/>
                <w:color w:val="000000"/>
                <w:spacing w:val="-2"/>
                <w:kern w:val="0"/>
                <w:szCs w:val="21"/>
              </w:rPr>
            </w:pPr>
          </w:p>
        </w:tc>
        <w:tc>
          <w:tcPr>
            <w:tcW w:w="1198" w:type="dxa"/>
            <w:vMerge w:val="restart"/>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低压</w:t>
            </w:r>
          </w:p>
          <w:p>
            <w:pPr>
              <w:widowControl/>
              <w:spacing w:line="200" w:lineRule="exact"/>
              <w:jc w:val="center"/>
              <w:rPr>
                <w:rFonts w:eastAsia="方正仿宋_GBK"/>
                <w:color w:val="000000"/>
                <w:spacing w:val="-2"/>
                <w:kern w:val="0"/>
                <w:szCs w:val="21"/>
              </w:rPr>
            </w:pPr>
            <w:r>
              <w:rPr>
                <w:rFonts w:hint="eastAsia" w:eastAsia="方正仿宋_GBK"/>
                <w:color w:val="000000"/>
                <w:spacing w:val="-2"/>
                <w:kern w:val="0"/>
                <w:szCs w:val="21"/>
              </w:rPr>
              <w:t>＜</w:t>
            </w:r>
            <w:r>
              <w:rPr>
                <w:rFonts w:eastAsia="方正仿宋_GBK"/>
                <w:color w:val="000000"/>
                <w:spacing w:val="-2"/>
                <w:kern w:val="0"/>
                <w:szCs w:val="21"/>
              </w:rPr>
              <w:t>0.01</w:t>
            </w:r>
          </w:p>
        </w:tc>
        <w:tc>
          <w:tcPr>
            <w:tcW w:w="2327" w:type="dxa"/>
            <w:gridSpan w:val="2"/>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中压</w:t>
            </w:r>
          </w:p>
        </w:tc>
        <w:tc>
          <w:tcPr>
            <w:tcW w:w="2365" w:type="dxa"/>
            <w:gridSpan w:val="2"/>
            <w:tcBorders>
              <w:top w:val="single" w:color="333333" w:sz="6" w:space="0"/>
              <w:left w:val="single" w:color="333333" w:sz="6" w:space="0"/>
              <w:bottom w:val="single" w:color="333333" w:sz="6" w:space="0"/>
              <w:right w:val="single" w:color="auto" w:sz="8" w:space="0"/>
            </w:tcBorders>
            <w:noWrap w:val="0"/>
            <w:vAlign w:val="center"/>
          </w:tcPr>
          <w:p>
            <w:pPr>
              <w:widowControl/>
              <w:spacing w:line="200" w:lineRule="exact"/>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次高压</w:t>
            </w:r>
          </w:p>
        </w:tc>
      </w:tr>
      <w:tr>
        <w:tblPrEx>
          <w:tblBorders>
            <w:top w:val="single" w:color="auto" w:sz="8" w:space="0"/>
            <w:left w:val="single" w:color="auto" w:sz="8" w:space="0"/>
            <w:bottom w:val="single" w:color="auto" w:sz="8" w:space="0"/>
            <w:right w:val="single" w:color="auto" w:sz="8" w:space="0"/>
            <w:insideH w:val="single" w:color="333333" w:sz="6" w:space="0"/>
            <w:insideV w:val="single" w:color="333333" w:sz="6" w:space="0"/>
          </w:tblBorders>
          <w:tblCellMar>
            <w:top w:w="0" w:type="dxa"/>
            <w:left w:w="0" w:type="dxa"/>
            <w:bottom w:w="0" w:type="dxa"/>
            <w:right w:w="0" w:type="dxa"/>
          </w:tblCellMar>
        </w:tblPrEx>
        <w:trPr>
          <w:trHeight w:val="390" w:hRule="atLeast"/>
          <w:tblHeader/>
        </w:trPr>
        <w:tc>
          <w:tcPr>
            <w:tcW w:w="2856" w:type="dxa"/>
            <w:gridSpan w:val="2"/>
            <w:vMerge w:val="continue"/>
            <w:tcBorders>
              <w:top w:val="single" w:color="auto" w:sz="8" w:space="0"/>
              <w:left w:val="single" w:color="auto" w:sz="8" w:space="0"/>
              <w:bottom w:val="single" w:color="333333" w:sz="6" w:space="0"/>
              <w:right w:val="single" w:color="333333" w:sz="6" w:space="0"/>
            </w:tcBorders>
            <w:noWrap w:val="0"/>
            <w:vAlign w:val="center"/>
          </w:tcPr>
          <w:p>
            <w:pPr>
              <w:widowControl/>
              <w:jc w:val="left"/>
              <w:rPr>
                <w:rFonts w:ascii="Times New Roman" w:eastAsia="方正黑体_GBK"/>
                <w:color w:val="000000"/>
                <w:spacing w:val="-2"/>
                <w:kern w:val="0"/>
                <w:szCs w:val="21"/>
              </w:rPr>
            </w:pPr>
          </w:p>
        </w:tc>
        <w:tc>
          <w:tcPr>
            <w:tcW w:w="1198" w:type="dxa"/>
            <w:vMerge w:val="continue"/>
            <w:tcBorders>
              <w:top w:val="single" w:color="333333" w:sz="6" w:space="0"/>
              <w:left w:val="single" w:color="333333" w:sz="6" w:space="0"/>
              <w:bottom w:val="single" w:color="333333" w:sz="6" w:space="0"/>
              <w:right w:val="single" w:color="333333" w:sz="6" w:space="0"/>
            </w:tcBorders>
            <w:noWrap w:val="0"/>
            <w:vAlign w:val="center"/>
          </w:tcPr>
          <w:p>
            <w:pPr>
              <w:widowControl/>
              <w:jc w:val="left"/>
              <w:rPr>
                <w:rFonts w:eastAsia="方正仿宋_GBK"/>
                <w:color w:val="000000"/>
                <w:spacing w:val="-2"/>
                <w:kern w:val="0"/>
                <w:szCs w:val="21"/>
              </w:rPr>
            </w:pPr>
          </w:p>
        </w:tc>
        <w:tc>
          <w:tcPr>
            <w:tcW w:w="1182"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ascii="Times New Roman" w:hAnsi="Times New Roman"/>
                <w:color w:val="000000"/>
                <w:spacing w:val="-2"/>
                <w:kern w:val="0"/>
                <w:szCs w:val="21"/>
              </w:rPr>
            </w:pPr>
            <w:r>
              <w:rPr>
                <w:rFonts w:hint="eastAsia" w:ascii="Times New Roman" w:hAnsi="Times New Roman"/>
                <w:color w:val="000000"/>
                <w:spacing w:val="-2"/>
                <w:kern w:val="0"/>
                <w:szCs w:val="21"/>
              </w:rPr>
              <w:t>B</w:t>
            </w:r>
          </w:p>
          <w:p>
            <w:pPr>
              <w:widowControl/>
              <w:spacing w:line="200" w:lineRule="exact"/>
              <w:jc w:val="center"/>
              <w:rPr>
                <w:rFonts w:ascii="Times New Roman" w:hAnsi="Times New Roman"/>
                <w:color w:val="000000"/>
                <w:spacing w:val="-2"/>
                <w:kern w:val="0"/>
                <w:szCs w:val="21"/>
              </w:rPr>
            </w:pPr>
            <w:r>
              <w:rPr>
                <w:rFonts w:hint="eastAsia" w:ascii="Times New Roman" w:hAnsi="Times New Roman"/>
                <w:color w:val="000000"/>
                <w:spacing w:val="-2"/>
                <w:kern w:val="0"/>
                <w:szCs w:val="21"/>
              </w:rPr>
              <w:t>≤</w:t>
            </w:r>
            <w:r>
              <w:rPr>
                <w:color w:val="000000"/>
                <w:spacing w:val="-2"/>
                <w:kern w:val="0"/>
                <w:szCs w:val="21"/>
              </w:rPr>
              <w:t>0.2</w:t>
            </w:r>
          </w:p>
        </w:tc>
        <w:tc>
          <w:tcPr>
            <w:tcW w:w="1145"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ascii="Times New Roman" w:hAnsi="Times New Roman"/>
                <w:color w:val="000000"/>
                <w:spacing w:val="-2"/>
                <w:kern w:val="0"/>
                <w:szCs w:val="21"/>
              </w:rPr>
            </w:pPr>
            <w:r>
              <w:rPr>
                <w:rFonts w:hint="eastAsia" w:ascii="Times New Roman" w:hAnsi="Times New Roman"/>
                <w:color w:val="000000"/>
                <w:spacing w:val="-2"/>
                <w:kern w:val="0"/>
                <w:szCs w:val="21"/>
              </w:rPr>
              <w:t>A</w:t>
            </w:r>
          </w:p>
          <w:p>
            <w:pPr>
              <w:widowControl/>
              <w:spacing w:line="200" w:lineRule="exact"/>
              <w:jc w:val="center"/>
              <w:rPr>
                <w:rFonts w:ascii="Times New Roman" w:hAnsi="Times New Roman"/>
                <w:color w:val="000000"/>
                <w:spacing w:val="-2"/>
                <w:kern w:val="0"/>
                <w:szCs w:val="21"/>
              </w:rPr>
            </w:pPr>
            <w:r>
              <w:rPr>
                <w:rFonts w:hint="eastAsia" w:ascii="Times New Roman" w:hAnsi="Times New Roman"/>
                <w:color w:val="000000"/>
                <w:spacing w:val="-2"/>
                <w:kern w:val="0"/>
                <w:szCs w:val="21"/>
              </w:rPr>
              <w:t>≤</w:t>
            </w:r>
            <w:r>
              <w:rPr>
                <w:color w:val="000000"/>
                <w:spacing w:val="-2"/>
                <w:kern w:val="0"/>
                <w:szCs w:val="21"/>
              </w:rPr>
              <w:t>0.4</w:t>
            </w:r>
          </w:p>
        </w:tc>
        <w:tc>
          <w:tcPr>
            <w:tcW w:w="1105"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 xml:space="preserve">B </w:t>
            </w:r>
          </w:p>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0.8</w:t>
            </w:r>
          </w:p>
        </w:tc>
        <w:tc>
          <w:tcPr>
            <w:tcW w:w="1260" w:type="dxa"/>
            <w:tcBorders>
              <w:top w:val="single" w:color="333333" w:sz="6" w:space="0"/>
              <w:left w:val="single" w:color="333333" w:sz="6" w:space="0"/>
              <w:bottom w:val="single" w:color="333333" w:sz="6" w:space="0"/>
              <w:right w:val="single" w:color="auto" w:sz="8"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 xml:space="preserve">A </w:t>
            </w:r>
          </w:p>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1.6</w:t>
            </w:r>
          </w:p>
        </w:tc>
      </w:tr>
      <w:tr>
        <w:tblPrEx>
          <w:tblBorders>
            <w:top w:val="single" w:color="auto" w:sz="8" w:space="0"/>
            <w:left w:val="single" w:color="auto" w:sz="8" w:space="0"/>
            <w:bottom w:val="single" w:color="auto" w:sz="8" w:space="0"/>
            <w:right w:val="single" w:color="auto" w:sz="8" w:space="0"/>
            <w:insideH w:val="single" w:color="333333" w:sz="6" w:space="0"/>
            <w:insideV w:val="single" w:color="333333" w:sz="6" w:space="0"/>
          </w:tblBorders>
          <w:tblCellMar>
            <w:top w:w="0" w:type="dxa"/>
            <w:left w:w="0" w:type="dxa"/>
            <w:bottom w:w="0" w:type="dxa"/>
            <w:right w:w="0" w:type="dxa"/>
          </w:tblCellMar>
        </w:tblPrEx>
        <w:trPr>
          <w:trHeight w:val="397" w:hRule="exact"/>
        </w:trPr>
        <w:tc>
          <w:tcPr>
            <w:tcW w:w="1460" w:type="dxa"/>
            <w:vMerge w:val="restart"/>
            <w:tcBorders>
              <w:top w:val="single" w:color="333333" w:sz="6" w:space="0"/>
              <w:left w:val="single" w:color="auto" w:sz="8"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hint="eastAsia" w:eastAsia="方正仿宋_GBK"/>
                <w:color w:val="000000"/>
                <w:spacing w:val="-2"/>
                <w:kern w:val="0"/>
                <w:szCs w:val="21"/>
              </w:rPr>
              <w:t>建筑物</w:t>
            </w:r>
          </w:p>
        </w:tc>
        <w:tc>
          <w:tcPr>
            <w:tcW w:w="1396"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hint="eastAsia" w:eastAsia="方正仿宋_GBK"/>
                <w:color w:val="000000"/>
                <w:spacing w:val="-2"/>
                <w:kern w:val="0"/>
                <w:szCs w:val="21"/>
              </w:rPr>
              <w:t>基础</w:t>
            </w:r>
          </w:p>
        </w:tc>
        <w:tc>
          <w:tcPr>
            <w:tcW w:w="1198"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0.7</w:t>
            </w:r>
          </w:p>
        </w:tc>
        <w:tc>
          <w:tcPr>
            <w:tcW w:w="1182"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145"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1.5</w:t>
            </w:r>
          </w:p>
        </w:tc>
        <w:tc>
          <w:tcPr>
            <w:tcW w:w="1105"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ascii="Times New Roman" w:hAnsi="Times New Roman"/>
                <w:color w:val="000000"/>
                <w:spacing w:val="-2"/>
                <w:kern w:val="0"/>
                <w:szCs w:val="21"/>
              </w:rPr>
            </w:pPr>
            <w:r>
              <w:rPr>
                <w:rFonts w:hint="eastAsia" w:ascii="Times New Roman" w:hAnsi="Times New Roman"/>
                <w:color w:val="000000"/>
                <w:spacing w:val="-2"/>
                <w:kern w:val="0"/>
                <w:szCs w:val="21"/>
              </w:rPr>
              <w:t>-</w:t>
            </w:r>
          </w:p>
        </w:tc>
        <w:tc>
          <w:tcPr>
            <w:tcW w:w="1260" w:type="dxa"/>
            <w:tcBorders>
              <w:top w:val="single" w:color="333333" w:sz="6" w:space="0"/>
              <w:left w:val="single" w:color="333333" w:sz="6" w:space="0"/>
              <w:bottom w:val="single" w:color="333333" w:sz="6" w:space="0"/>
              <w:right w:val="single" w:color="auto" w:sz="8" w:space="0"/>
            </w:tcBorders>
            <w:noWrap w:val="0"/>
            <w:vAlign w:val="center"/>
          </w:tcPr>
          <w:p>
            <w:pPr>
              <w:widowControl/>
              <w:spacing w:line="200" w:lineRule="exact"/>
              <w:jc w:val="center"/>
              <w:rPr>
                <w:rFonts w:ascii="Times New Roman" w:hAnsi="Times New Roman"/>
                <w:color w:val="000000"/>
                <w:spacing w:val="-2"/>
                <w:kern w:val="0"/>
                <w:szCs w:val="21"/>
              </w:rPr>
            </w:pPr>
            <w:r>
              <w:rPr>
                <w:rFonts w:hint="eastAsia" w:ascii="Times New Roman" w:hAnsi="Times New Roman"/>
                <w:color w:val="000000"/>
                <w:spacing w:val="-2"/>
                <w:kern w:val="0"/>
                <w:szCs w:val="21"/>
              </w:rPr>
              <w:t>-</w:t>
            </w:r>
          </w:p>
        </w:tc>
      </w:tr>
      <w:tr>
        <w:tblPrEx>
          <w:tblBorders>
            <w:top w:val="single" w:color="auto" w:sz="8" w:space="0"/>
            <w:left w:val="single" w:color="auto" w:sz="8" w:space="0"/>
            <w:bottom w:val="single" w:color="auto" w:sz="8" w:space="0"/>
            <w:right w:val="single" w:color="auto" w:sz="8" w:space="0"/>
            <w:insideH w:val="single" w:color="333333" w:sz="6" w:space="0"/>
            <w:insideV w:val="single" w:color="333333" w:sz="6" w:space="0"/>
          </w:tblBorders>
          <w:tblCellMar>
            <w:top w:w="0" w:type="dxa"/>
            <w:left w:w="0" w:type="dxa"/>
            <w:bottom w:w="0" w:type="dxa"/>
            <w:right w:w="0" w:type="dxa"/>
          </w:tblCellMar>
        </w:tblPrEx>
        <w:trPr>
          <w:trHeight w:val="460" w:hRule="atLeast"/>
        </w:trPr>
        <w:tc>
          <w:tcPr>
            <w:tcW w:w="1460" w:type="dxa"/>
            <w:vMerge w:val="continue"/>
            <w:tcBorders>
              <w:top w:val="single" w:color="333333" w:sz="6" w:space="0"/>
              <w:left w:val="single" w:color="auto" w:sz="8" w:space="0"/>
              <w:bottom w:val="single" w:color="333333" w:sz="6" w:space="0"/>
              <w:right w:val="single" w:color="333333" w:sz="6" w:space="0"/>
            </w:tcBorders>
            <w:noWrap w:val="0"/>
            <w:vAlign w:val="center"/>
          </w:tcPr>
          <w:p>
            <w:pPr>
              <w:widowControl/>
              <w:jc w:val="left"/>
              <w:rPr>
                <w:rFonts w:eastAsia="方正仿宋_GBK"/>
                <w:color w:val="000000"/>
                <w:spacing w:val="-2"/>
                <w:kern w:val="0"/>
                <w:szCs w:val="21"/>
              </w:rPr>
            </w:pPr>
          </w:p>
        </w:tc>
        <w:tc>
          <w:tcPr>
            <w:tcW w:w="1396"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hint="eastAsia" w:eastAsia="方正仿宋_GBK"/>
                <w:color w:val="000000"/>
                <w:spacing w:val="-2"/>
                <w:kern w:val="0"/>
                <w:szCs w:val="21"/>
              </w:rPr>
              <w:t>外墙面</w:t>
            </w:r>
          </w:p>
          <w:p>
            <w:pPr>
              <w:widowControl/>
              <w:spacing w:line="200" w:lineRule="exact"/>
              <w:jc w:val="center"/>
              <w:rPr>
                <w:rFonts w:eastAsia="方正仿宋_GBK"/>
                <w:color w:val="000000"/>
                <w:spacing w:val="-2"/>
                <w:kern w:val="0"/>
                <w:szCs w:val="21"/>
              </w:rPr>
            </w:pPr>
            <w:r>
              <w:rPr>
                <w:rFonts w:hint="eastAsia" w:eastAsia="方正仿宋_GBK"/>
                <w:color w:val="000000"/>
                <w:spacing w:val="-2"/>
                <w:kern w:val="0"/>
                <w:szCs w:val="21"/>
              </w:rPr>
              <w:t>（出地面处）</w:t>
            </w:r>
          </w:p>
        </w:tc>
        <w:tc>
          <w:tcPr>
            <w:tcW w:w="1198"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ascii="Times New Roman" w:hAnsi="Times New Roman"/>
                <w:color w:val="000000"/>
                <w:spacing w:val="-2"/>
                <w:kern w:val="0"/>
                <w:szCs w:val="21"/>
              </w:rPr>
            </w:pPr>
            <w:r>
              <w:rPr>
                <w:rFonts w:hint="eastAsia" w:ascii="Times New Roman" w:hAnsi="Times New Roman"/>
                <w:color w:val="000000"/>
                <w:spacing w:val="-2"/>
                <w:kern w:val="0"/>
                <w:szCs w:val="21"/>
              </w:rPr>
              <w:t>-</w:t>
            </w:r>
          </w:p>
        </w:tc>
        <w:tc>
          <w:tcPr>
            <w:tcW w:w="1182"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ascii="Times New Roman" w:hAnsi="Times New Roman"/>
                <w:color w:val="000000"/>
                <w:spacing w:val="-2"/>
                <w:kern w:val="0"/>
                <w:szCs w:val="21"/>
              </w:rPr>
            </w:pPr>
            <w:r>
              <w:rPr>
                <w:rFonts w:hint="eastAsia" w:ascii="Times New Roman" w:hAnsi="Times New Roman"/>
                <w:color w:val="000000"/>
                <w:spacing w:val="-2"/>
                <w:kern w:val="0"/>
                <w:szCs w:val="21"/>
              </w:rPr>
              <w:t>-</w:t>
            </w:r>
          </w:p>
        </w:tc>
        <w:tc>
          <w:tcPr>
            <w:tcW w:w="1145"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ascii="Times New Roman" w:hAnsi="Times New Roman"/>
                <w:color w:val="000000"/>
                <w:spacing w:val="-2"/>
                <w:kern w:val="0"/>
                <w:szCs w:val="21"/>
              </w:rPr>
            </w:pPr>
            <w:r>
              <w:rPr>
                <w:rFonts w:hint="eastAsia" w:ascii="Times New Roman" w:hAnsi="Times New Roman"/>
                <w:color w:val="000000"/>
                <w:spacing w:val="-2"/>
                <w:kern w:val="0"/>
                <w:szCs w:val="21"/>
              </w:rPr>
              <w:t>-</w:t>
            </w:r>
          </w:p>
        </w:tc>
        <w:tc>
          <w:tcPr>
            <w:tcW w:w="1105"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5.0</w:t>
            </w:r>
          </w:p>
        </w:tc>
        <w:tc>
          <w:tcPr>
            <w:tcW w:w="1260" w:type="dxa"/>
            <w:tcBorders>
              <w:top w:val="single" w:color="333333" w:sz="6" w:space="0"/>
              <w:left w:val="single" w:color="333333" w:sz="6" w:space="0"/>
              <w:bottom w:val="single" w:color="333333" w:sz="6" w:space="0"/>
              <w:right w:val="single" w:color="auto" w:sz="8"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13.5</w:t>
            </w:r>
          </w:p>
        </w:tc>
      </w:tr>
      <w:tr>
        <w:tblPrEx>
          <w:tblBorders>
            <w:top w:val="single" w:color="auto" w:sz="8" w:space="0"/>
            <w:left w:val="single" w:color="auto" w:sz="8" w:space="0"/>
            <w:bottom w:val="single" w:color="auto" w:sz="8" w:space="0"/>
            <w:right w:val="single" w:color="auto" w:sz="8" w:space="0"/>
            <w:insideH w:val="single" w:color="333333" w:sz="6" w:space="0"/>
            <w:insideV w:val="single" w:color="333333" w:sz="6" w:space="0"/>
          </w:tblBorders>
          <w:tblCellMar>
            <w:top w:w="0" w:type="dxa"/>
            <w:left w:w="0" w:type="dxa"/>
            <w:bottom w:w="0" w:type="dxa"/>
            <w:right w:w="0" w:type="dxa"/>
          </w:tblCellMar>
        </w:tblPrEx>
        <w:trPr>
          <w:trHeight w:val="397" w:hRule="exact"/>
        </w:trPr>
        <w:tc>
          <w:tcPr>
            <w:tcW w:w="2856" w:type="dxa"/>
            <w:gridSpan w:val="2"/>
            <w:tcBorders>
              <w:top w:val="single" w:color="333333" w:sz="6" w:space="0"/>
              <w:left w:val="single" w:color="auto" w:sz="8"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hint="eastAsia" w:eastAsia="方正仿宋_GBK"/>
                <w:color w:val="000000"/>
                <w:spacing w:val="-2"/>
                <w:kern w:val="0"/>
                <w:szCs w:val="21"/>
              </w:rPr>
              <w:t>给水管</w:t>
            </w:r>
          </w:p>
        </w:tc>
        <w:tc>
          <w:tcPr>
            <w:tcW w:w="1198"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0.5</w:t>
            </w:r>
          </w:p>
        </w:tc>
        <w:tc>
          <w:tcPr>
            <w:tcW w:w="1182"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0.5</w:t>
            </w:r>
          </w:p>
        </w:tc>
        <w:tc>
          <w:tcPr>
            <w:tcW w:w="1145"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0.5</w:t>
            </w:r>
          </w:p>
        </w:tc>
        <w:tc>
          <w:tcPr>
            <w:tcW w:w="1105"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260" w:type="dxa"/>
            <w:tcBorders>
              <w:top w:val="single" w:color="333333" w:sz="6" w:space="0"/>
              <w:left w:val="single" w:color="333333" w:sz="6" w:space="0"/>
              <w:bottom w:val="single" w:color="333333" w:sz="6" w:space="0"/>
              <w:right w:val="single" w:color="auto" w:sz="8"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1.5</w:t>
            </w:r>
          </w:p>
        </w:tc>
      </w:tr>
      <w:tr>
        <w:tblPrEx>
          <w:tblBorders>
            <w:top w:val="single" w:color="auto" w:sz="8" w:space="0"/>
            <w:left w:val="single" w:color="auto" w:sz="8" w:space="0"/>
            <w:bottom w:val="single" w:color="auto" w:sz="8" w:space="0"/>
            <w:right w:val="single" w:color="auto" w:sz="8" w:space="0"/>
            <w:insideH w:val="single" w:color="333333" w:sz="6" w:space="0"/>
            <w:insideV w:val="single" w:color="333333" w:sz="6" w:space="0"/>
          </w:tblBorders>
          <w:tblCellMar>
            <w:top w:w="0" w:type="dxa"/>
            <w:left w:w="0" w:type="dxa"/>
            <w:bottom w:w="0" w:type="dxa"/>
            <w:right w:w="0" w:type="dxa"/>
          </w:tblCellMar>
        </w:tblPrEx>
        <w:trPr>
          <w:trHeight w:val="397" w:hRule="exact"/>
        </w:trPr>
        <w:tc>
          <w:tcPr>
            <w:tcW w:w="2856" w:type="dxa"/>
            <w:gridSpan w:val="2"/>
            <w:tcBorders>
              <w:top w:val="single" w:color="333333" w:sz="6" w:space="0"/>
              <w:left w:val="single" w:color="auto" w:sz="8"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hint="eastAsia" w:eastAsia="方正仿宋_GBK"/>
                <w:color w:val="000000"/>
                <w:spacing w:val="-2"/>
                <w:kern w:val="0"/>
                <w:szCs w:val="21"/>
              </w:rPr>
              <w:t>污水、雨水排水管</w:t>
            </w:r>
          </w:p>
        </w:tc>
        <w:tc>
          <w:tcPr>
            <w:tcW w:w="1198"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182"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1.2</w:t>
            </w:r>
          </w:p>
        </w:tc>
        <w:tc>
          <w:tcPr>
            <w:tcW w:w="1145"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1.2</w:t>
            </w:r>
          </w:p>
        </w:tc>
        <w:tc>
          <w:tcPr>
            <w:tcW w:w="1105"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1.5</w:t>
            </w:r>
          </w:p>
        </w:tc>
        <w:tc>
          <w:tcPr>
            <w:tcW w:w="1260" w:type="dxa"/>
            <w:tcBorders>
              <w:top w:val="single" w:color="333333" w:sz="6" w:space="0"/>
              <w:left w:val="single" w:color="333333" w:sz="6" w:space="0"/>
              <w:bottom w:val="single" w:color="333333" w:sz="6" w:space="0"/>
              <w:right w:val="single" w:color="auto" w:sz="8"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2.0</w:t>
            </w:r>
          </w:p>
        </w:tc>
      </w:tr>
      <w:tr>
        <w:tblPrEx>
          <w:tblBorders>
            <w:top w:val="single" w:color="auto" w:sz="8" w:space="0"/>
            <w:left w:val="single" w:color="auto" w:sz="8" w:space="0"/>
            <w:bottom w:val="single" w:color="auto" w:sz="8" w:space="0"/>
            <w:right w:val="single" w:color="auto" w:sz="8" w:space="0"/>
            <w:insideH w:val="single" w:color="333333" w:sz="6" w:space="0"/>
            <w:insideV w:val="single" w:color="333333" w:sz="6" w:space="0"/>
          </w:tblBorders>
          <w:tblCellMar>
            <w:top w:w="0" w:type="dxa"/>
            <w:left w:w="0" w:type="dxa"/>
            <w:bottom w:w="0" w:type="dxa"/>
            <w:right w:w="0" w:type="dxa"/>
          </w:tblCellMar>
        </w:tblPrEx>
        <w:trPr>
          <w:trHeight w:val="397" w:hRule="exact"/>
        </w:trPr>
        <w:tc>
          <w:tcPr>
            <w:tcW w:w="1460" w:type="dxa"/>
            <w:vMerge w:val="restart"/>
            <w:tcBorders>
              <w:top w:val="single" w:color="333333" w:sz="6" w:space="0"/>
              <w:left w:val="single" w:color="auto" w:sz="8"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hint="eastAsia" w:eastAsia="方正仿宋_GBK"/>
                <w:color w:val="000000"/>
                <w:spacing w:val="-2"/>
                <w:kern w:val="0"/>
                <w:szCs w:val="21"/>
              </w:rPr>
              <w:t>电力电缆</w:t>
            </w:r>
          </w:p>
          <w:p>
            <w:pPr>
              <w:widowControl/>
              <w:spacing w:line="200" w:lineRule="exact"/>
              <w:jc w:val="center"/>
              <w:rPr>
                <w:rFonts w:eastAsia="方正仿宋_GBK"/>
                <w:color w:val="000000"/>
                <w:spacing w:val="-2"/>
                <w:kern w:val="0"/>
                <w:szCs w:val="21"/>
              </w:rPr>
            </w:pPr>
            <w:r>
              <w:rPr>
                <w:rFonts w:hint="eastAsia" w:eastAsia="方正仿宋_GBK"/>
                <w:color w:val="000000"/>
                <w:spacing w:val="-2"/>
                <w:kern w:val="0"/>
                <w:szCs w:val="21"/>
              </w:rPr>
              <w:t>（含电车电缆）</w:t>
            </w:r>
          </w:p>
        </w:tc>
        <w:tc>
          <w:tcPr>
            <w:tcW w:w="1396"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hint="eastAsia" w:eastAsia="方正仿宋_GBK"/>
                <w:color w:val="000000"/>
                <w:spacing w:val="-2"/>
                <w:kern w:val="0"/>
                <w:szCs w:val="21"/>
              </w:rPr>
              <w:t>直埋</w:t>
            </w:r>
          </w:p>
        </w:tc>
        <w:tc>
          <w:tcPr>
            <w:tcW w:w="1198"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0.5</w:t>
            </w:r>
          </w:p>
        </w:tc>
        <w:tc>
          <w:tcPr>
            <w:tcW w:w="1182"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0.5</w:t>
            </w:r>
          </w:p>
        </w:tc>
        <w:tc>
          <w:tcPr>
            <w:tcW w:w="1145"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0.5</w:t>
            </w:r>
          </w:p>
        </w:tc>
        <w:tc>
          <w:tcPr>
            <w:tcW w:w="1105"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260" w:type="dxa"/>
            <w:tcBorders>
              <w:top w:val="single" w:color="333333" w:sz="6" w:space="0"/>
              <w:left w:val="single" w:color="333333" w:sz="6" w:space="0"/>
              <w:bottom w:val="single" w:color="333333" w:sz="6" w:space="0"/>
              <w:right w:val="single" w:color="auto" w:sz="8"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1.5</w:t>
            </w:r>
          </w:p>
        </w:tc>
      </w:tr>
      <w:tr>
        <w:tblPrEx>
          <w:tblBorders>
            <w:top w:val="single" w:color="auto" w:sz="8" w:space="0"/>
            <w:left w:val="single" w:color="auto" w:sz="8" w:space="0"/>
            <w:bottom w:val="single" w:color="auto" w:sz="8" w:space="0"/>
            <w:right w:val="single" w:color="auto" w:sz="8" w:space="0"/>
            <w:insideH w:val="single" w:color="333333" w:sz="6" w:space="0"/>
            <w:insideV w:val="single" w:color="333333" w:sz="6" w:space="0"/>
          </w:tblBorders>
          <w:tblCellMar>
            <w:top w:w="0" w:type="dxa"/>
            <w:left w:w="0" w:type="dxa"/>
            <w:bottom w:w="0" w:type="dxa"/>
            <w:right w:w="0" w:type="dxa"/>
          </w:tblCellMar>
        </w:tblPrEx>
        <w:trPr>
          <w:trHeight w:val="397" w:hRule="exact"/>
        </w:trPr>
        <w:tc>
          <w:tcPr>
            <w:tcW w:w="1460" w:type="dxa"/>
            <w:vMerge w:val="continue"/>
            <w:tcBorders>
              <w:top w:val="single" w:color="333333" w:sz="6" w:space="0"/>
              <w:left w:val="single" w:color="auto" w:sz="8" w:space="0"/>
              <w:bottom w:val="single" w:color="333333" w:sz="6" w:space="0"/>
              <w:right w:val="single" w:color="333333" w:sz="6" w:space="0"/>
            </w:tcBorders>
            <w:noWrap w:val="0"/>
            <w:vAlign w:val="center"/>
          </w:tcPr>
          <w:p>
            <w:pPr>
              <w:widowControl/>
              <w:jc w:val="left"/>
              <w:rPr>
                <w:rFonts w:eastAsia="方正仿宋_GBK"/>
                <w:color w:val="000000"/>
                <w:spacing w:val="-2"/>
                <w:kern w:val="0"/>
                <w:szCs w:val="21"/>
              </w:rPr>
            </w:pPr>
          </w:p>
        </w:tc>
        <w:tc>
          <w:tcPr>
            <w:tcW w:w="1396"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hint="eastAsia" w:eastAsia="方正仿宋_GBK"/>
                <w:color w:val="000000"/>
                <w:spacing w:val="-2"/>
                <w:kern w:val="0"/>
                <w:szCs w:val="21"/>
              </w:rPr>
              <w:t>在导管内</w:t>
            </w:r>
          </w:p>
        </w:tc>
        <w:tc>
          <w:tcPr>
            <w:tcW w:w="1198"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182"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145"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105"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260" w:type="dxa"/>
            <w:tcBorders>
              <w:top w:val="single" w:color="333333" w:sz="6" w:space="0"/>
              <w:left w:val="single" w:color="333333" w:sz="6" w:space="0"/>
              <w:bottom w:val="single" w:color="333333" w:sz="6" w:space="0"/>
              <w:right w:val="single" w:color="auto" w:sz="8"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1.5</w:t>
            </w:r>
          </w:p>
        </w:tc>
      </w:tr>
      <w:tr>
        <w:tblPrEx>
          <w:tblBorders>
            <w:top w:val="single" w:color="auto" w:sz="8" w:space="0"/>
            <w:left w:val="single" w:color="auto" w:sz="8" w:space="0"/>
            <w:bottom w:val="single" w:color="auto" w:sz="8" w:space="0"/>
            <w:right w:val="single" w:color="auto" w:sz="8" w:space="0"/>
            <w:insideH w:val="single" w:color="333333" w:sz="6" w:space="0"/>
            <w:insideV w:val="single" w:color="333333" w:sz="6" w:space="0"/>
          </w:tblBorders>
          <w:tblCellMar>
            <w:top w:w="0" w:type="dxa"/>
            <w:left w:w="0" w:type="dxa"/>
            <w:bottom w:w="0" w:type="dxa"/>
            <w:right w:w="0" w:type="dxa"/>
          </w:tblCellMar>
        </w:tblPrEx>
        <w:trPr>
          <w:trHeight w:val="397" w:hRule="exact"/>
        </w:trPr>
        <w:tc>
          <w:tcPr>
            <w:tcW w:w="1460" w:type="dxa"/>
            <w:vMerge w:val="restart"/>
            <w:tcBorders>
              <w:top w:val="single" w:color="333333" w:sz="6" w:space="0"/>
              <w:left w:val="single" w:color="auto" w:sz="8"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hint="eastAsia" w:eastAsia="方正仿宋_GBK"/>
                <w:color w:val="000000"/>
                <w:spacing w:val="-2"/>
                <w:kern w:val="0"/>
                <w:szCs w:val="21"/>
              </w:rPr>
              <w:t>通信电缆</w:t>
            </w:r>
          </w:p>
        </w:tc>
        <w:tc>
          <w:tcPr>
            <w:tcW w:w="1396"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hint="eastAsia" w:eastAsia="方正仿宋_GBK"/>
                <w:color w:val="000000"/>
                <w:spacing w:val="-2"/>
                <w:kern w:val="0"/>
                <w:szCs w:val="21"/>
              </w:rPr>
              <w:t>直埋</w:t>
            </w:r>
          </w:p>
        </w:tc>
        <w:tc>
          <w:tcPr>
            <w:tcW w:w="1198"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0.5</w:t>
            </w:r>
          </w:p>
        </w:tc>
        <w:tc>
          <w:tcPr>
            <w:tcW w:w="1182"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0.5</w:t>
            </w:r>
          </w:p>
        </w:tc>
        <w:tc>
          <w:tcPr>
            <w:tcW w:w="1145"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0.5</w:t>
            </w:r>
          </w:p>
        </w:tc>
        <w:tc>
          <w:tcPr>
            <w:tcW w:w="1105"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260" w:type="dxa"/>
            <w:tcBorders>
              <w:top w:val="single" w:color="333333" w:sz="6" w:space="0"/>
              <w:left w:val="single" w:color="333333" w:sz="6" w:space="0"/>
              <w:bottom w:val="single" w:color="333333" w:sz="6" w:space="0"/>
              <w:right w:val="single" w:color="auto" w:sz="8"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1.5</w:t>
            </w:r>
          </w:p>
        </w:tc>
      </w:tr>
      <w:tr>
        <w:tblPrEx>
          <w:tblBorders>
            <w:top w:val="single" w:color="auto" w:sz="8" w:space="0"/>
            <w:left w:val="single" w:color="auto" w:sz="8" w:space="0"/>
            <w:bottom w:val="single" w:color="auto" w:sz="8" w:space="0"/>
            <w:right w:val="single" w:color="auto" w:sz="8" w:space="0"/>
            <w:insideH w:val="single" w:color="333333" w:sz="6" w:space="0"/>
            <w:insideV w:val="single" w:color="333333" w:sz="6" w:space="0"/>
          </w:tblBorders>
          <w:tblCellMar>
            <w:top w:w="0" w:type="dxa"/>
            <w:left w:w="0" w:type="dxa"/>
            <w:bottom w:w="0" w:type="dxa"/>
            <w:right w:w="0" w:type="dxa"/>
          </w:tblCellMar>
        </w:tblPrEx>
        <w:trPr>
          <w:trHeight w:val="397" w:hRule="exact"/>
        </w:trPr>
        <w:tc>
          <w:tcPr>
            <w:tcW w:w="1460" w:type="dxa"/>
            <w:vMerge w:val="continue"/>
            <w:tcBorders>
              <w:top w:val="single" w:color="333333" w:sz="6" w:space="0"/>
              <w:left w:val="single" w:color="auto" w:sz="8" w:space="0"/>
              <w:bottom w:val="single" w:color="333333" w:sz="6" w:space="0"/>
              <w:right w:val="single" w:color="333333" w:sz="6" w:space="0"/>
            </w:tcBorders>
            <w:noWrap w:val="0"/>
            <w:vAlign w:val="center"/>
          </w:tcPr>
          <w:p>
            <w:pPr>
              <w:widowControl/>
              <w:jc w:val="left"/>
              <w:rPr>
                <w:rFonts w:eastAsia="方正仿宋_GBK"/>
                <w:color w:val="000000"/>
                <w:spacing w:val="-2"/>
                <w:kern w:val="0"/>
                <w:szCs w:val="21"/>
              </w:rPr>
            </w:pPr>
          </w:p>
        </w:tc>
        <w:tc>
          <w:tcPr>
            <w:tcW w:w="1396"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hint="eastAsia" w:eastAsia="方正仿宋_GBK"/>
                <w:color w:val="000000"/>
                <w:spacing w:val="-2"/>
                <w:kern w:val="0"/>
                <w:szCs w:val="21"/>
              </w:rPr>
              <w:t>在导管内</w:t>
            </w:r>
          </w:p>
        </w:tc>
        <w:tc>
          <w:tcPr>
            <w:tcW w:w="1198"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182"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145"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105"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260" w:type="dxa"/>
            <w:tcBorders>
              <w:top w:val="single" w:color="333333" w:sz="6" w:space="0"/>
              <w:left w:val="single" w:color="333333" w:sz="6" w:space="0"/>
              <w:bottom w:val="single" w:color="333333" w:sz="6" w:space="0"/>
              <w:right w:val="single" w:color="auto" w:sz="8"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1.5</w:t>
            </w:r>
          </w:p>
        </w:tc>
      </w:tr>
      <w:tr>
        <w:tblPrEx>
          <w:tblBorders>
            <w:top w:val="single" w:color="auto" w:sz="8" w:space="0"/>
            <w:left w:val="single" w:color="auto" w:sz="8" w:space="0"/>
            <w:bottom w:val="single" w:color="auto" w:sz="8" w:space="0"/>
            <w:right w:val="single" w:color="auto" w:sz="8" w:space="0"/>
            <w:insideH w:val="single" w:color="333333" w:sz="6" w:space="0"/>
            <w:insideV w:val="single" w:color="333333" w:sz="6" w:space="0"/>
          </w:tblBorders>
          <w:tblCellMar>
            <w:top w:w="0" w:type="dxa"/>
            <w:left w:w="0" w:type="dxa"/>
            <w:bottom w:w="0" w:type="dxa"/>
            <w:right w:w="0" w:type="dxa"/>
          </w:tblCellMar>
        </w:tblPrEx>
        <w:trPr>
          <w:trHeight w:val="397" w:hRule="exact"/>
        </w:trPr>
        <w:tc>
          <w:tcPr>
            <w:tcW w:w="1460" w:type="dxa"/>
            <w:vMerge w:val="restart"/>
            <w:tcBorders>
              <w:top w:val="single" w:color="333333" w:sz="6" w:space="0"/>
              <w:left w:val="single" w:color="auto" w:sz="8"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hint="eastAsia" w:eastAsia="方正仿宋_GBK"/>
                <w:color w:val="000000"/>
                <w:spacing w:val="-2"/>
                <w:kern w:val="0"/>
                <w:szCs w:val="21"/>
              </w:rPr>
              <w:t>其他燃气管道</w:t>
            </w:r>
          </w:p>
        </w:tc>
        <w:tc>
          <w:tcPr>
            <w:tcW w:w="1396"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DN≤300mm</w:t>
            </w:r>
          </w:p>
        </w:tc>
        <w:tc>
          <w:tcPr>
            <w:tcW w:w="1198"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0.4</w:t>
            </w:r>
          </w:p>
        </w:tc>
        <w:tc>
          <w:tcPr>
            <w:tcW w:w="1182"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0.4</w:t>
            </w:r>
          </w:p>
        </w:tc>
        <w:tc>
          <w:tcPr>
            <w:tcW w:w="1145"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0.4</w:t>
            </w:r>
          </w:p>
        </w:tc>
        <w:tc>
          <w:tcPr>
            <w:tcW w:w="1105"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0.4</w:t>
            </w:r>
          </w:p>
        </w:tc>
        <w:tc>
          <w:tcPr>
            <w:tcW w:w="1260" w:type="dxa"/>
            <w:tcBorders>
              <w:top w:val="single" w:color="333333" w:sz="6" w:space="0"/>
              <w:left w:val="single" w:color="333333" w:sz="6" w:space="0"/>
              <w:bottom w:val="single" w:color="333333" w:sz="6" w:space="0"/>
              <w:right w:val="single" w:color="auto" w:sz="8"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0.4</w:t>
            </w:r>
          </w:p>
        </w:tc>
      </w:tr>
      <w:tr>
        <w:tblPrEx>
          <w:tblBorders>
            <w:top w:val="single" w:color="auto" w:sz="8" w:space="0"/>
            <w:left w:val="single" w:color="auto" w:sz="8" w:space="0"/>
            <w:bottom w:val="single" w:color="auto" w:sz="8" w:space="0"/>
            <w:right w:val="single" w:color="auto" w:sz="8" w:space="0"/>
            <w:insideH w:val="single" w:color="333333" w:sz="6" w:space="0"/>
            <w:insideV w:val="single" w:color="333333" w:sz="6" w:space="0"/>
          </w:tblBorders>
          <w:tblCellMar>
            <w:top w:w="0" w:type="dxa"/>
            <w:left w:w="0" w:type="dxa"/>
            <w:bottom w:w="0" w:type="dxa"/>
            <w:right w:w="0" w:type="dxa"/>
          </w:tblCellMar>
        </w:tblPrEx>
        <w:trPr>
          <w:trHeight w:val="397" w:hRule="exact"/>
        </w:trPr>
        <w:tc>
          <w:tcPr>
            <w:tcW w:w="1460" w:type="dxa"/>
            <w:vMerge w:val="continue"/>
            <w:tcBorders>
              <w:top w:val="single" w:color="333333" w:sz="6" w:space="0"/>
              <w:left w:val="single" w:color="auto" w:sz="8" w:space="0"/>
              <w:bottom w:val="single" w:color="333333" w:sz="6" w:space="0"/>
              <w:right w:val="single" w:color="333333" w:sz="6" w:space="0"/>
            </w:tcBorders>
            <w:noWrap w:val="0"/>
            <w:vAlign w:val="center"/>
          </w:tcPr>
          <w:p>
            <w:pPr>
              <w:widowControl/>
              <w:jc w:val="left"/>
              <w:rPr>
                <w:rFonts w:eastAsia="方正仿宋_GBK"/>
                <w:color w:val="000000"/>
                <w:spacing w:val="-2"/>
                <w:kern w:val="0"/>
                <w:szCs w:val="21"/>
              </w:rPr>
            </w:pPr>
          </w:p>
        </w:tc>
        <w:tc>
          <w:tcPr>
            <w:tcW w:w="1396"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DN</w:t>
            </w:r>
            <w:r>
              <w:rPr>
                <w:rFonts w:hint="eastAsia" w:eastAsia="方正仿宋_GBK"/>
                <w:color w:val="000000"/>
                <w:spacing w:val="-2"/>
                <w:kern w:val="0"/>
                <w:szCs w:val="21"/>
              </w:rPr>
              <w:t>＞</w:t>
            </w:r>
            <w:r>
              <w:rPr>
                <w:rFonts w:eastAsia="方正仿宋_GBK"/>
                <w:color w:val="000000"/>
                <w:spacing w:val="-2"/>
                <w:kern w:val="0"/>
                <w:szCs w:val="21"/>
              </w:rPr>
              <w:t>300mm</w:t>
            </w:r>
          </w:p>
        </w:tc>
        <w:tc>
          <w:tcPr>
            <w:tcW w:w="1198"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0.5</w:t>
            </w:r>
          </w:p>
        </w:tc>
        <w:tc>
          <w:tcPr>
            <w:tcW w:w="1182"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0.5</w:t>
            </w:r>
          </w:p>
        </w:tc>
        <w:tc>
          <w:tcPr>
            <w:tcW w:w="1145"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0.5</w:t>
            </w:r>
          </w:p>
        </w:tc>
        <w:tc>
          <w:tcPr>
            <w:tcW w:w="1105"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0.5</w:t>
            </w:r>
          </w:p>
        </w:tc>
        <w:tc>
          <w:tcPr>
            <w:tcW w:w="1260" w:type="dxa"/>
            <w:tcBorders>
              <w:top w:val="single" w:color="333333" w:sz="6" w:space="0"/>
              <w:left w:val="single" w:color="333333" w:sz="6" w:space="0"/>
              <w:bottom w:val="single" w:color="333333" w:sz="6" w:space="0"/>
              <w:right w:val="single" w:color="auto" w:sz="8"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0.5</w:t>
            </w:r>
          </w:p>
        </w:tc>
      </w:tr>
      <w:tr>
        <w:tblPrEx>
          <w:tblBorders>
            <w:top w:val="single" w:color="auto" w:sz="8" w:space="0"/>
            <w:left w:val="single" w:color="auto" w:sz="8" w:space="0"/>
            <w:bottom w:val="single" w:color="auto" w:sz="8" w:space="0"/>
            <w:right w:val="single" w:color="auto" w:sz="8" w:space="0"/>
            <w:insideH w:val="single" w:color="333333" w:sz="6" w:space="0"/>
            <w:insideV w:val="single" w:color="333333" w:sz="6" w:space="0"/>
          </w:tblBorders>
          <w:tblCellMar>
            <w:top w:w="0" w:type="dxa"/>
            <w:left w:w="0" w:type="dxa"/>
            <w:bottom w:w="0" w:type="dxa"/>
            <w:right w:w="0" w:type="dxa"/>
          </w:tblCellMar>
        </w:tblPrEx>
        <w:trPr>
          <w:trHeight w:val="397" w:hRule="exact"/>
        </w:trPr>
        <w:tc>
          <w:tcPr>
            <w:tcW w:w="1460" w:type="dxa"/>
            <w:vMerge w:val="restart"/>
            <w:tcBorders>
              <w:top w:val="single" w:color="333333" w:sz="6" w:space="0"/>
              <w:left w:val="single" w:color="auto" w:sz="8"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hint="eastAsia" w:eastAsia="方正仿宋_GBK"/>
                <w:color w:val="000000"/>
                <w:spacing w:val="-2"/>
                <w:kern w:val="0"/>
                <w:szCs w:val="21"/>
              </w:rPr>
              <w:t>热力管</w:t>
            </w:r>
          </w:p>
        </w:tc>
        <w:tc>
          <w:tcPr>
            <w:tcW w:w="1396"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hint="eastAsia" w:eastAsia="方正仿宋_GBK"/>
                <w:color w:val="000000"/>
                <w:spacing w:val="-2"/>
                <w:kern w:val="0"/>
                <w:szCs w:val="21"/>
              </w:rPr>
              <w:t>直埋</w:t>
            </w:r>
          </w:p>
        </w:tc>
        <w:tc>
          <w:tcPr>
            <w:tcW w:w="1198"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182"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145"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105"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1.5</w:t>
            </w:r>
          </w:p>
        </w:tc>
        <w:tc>
          <w:tcPr>
            <w:tcW w:w="1260" w:type="dxa"/>
            <w:tcBorders>
              <w:top w:val="single" w:color="333333" w:sz="6" w:space="0"/>
              <w:left w:val="single" w:color="333333" w:sz="6" w:space="0"/>
              <w:bottom w:val="single" w:color="333333" w:sz="6" w:space="0"/>
              <w:right w:val="single" w:color="auto" w:sz="8"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2.0</w:t>
            </w:r>
          </w:p>
        </w:tc>
      </w:tr>
      <w:tr>
        <w:tblPrEx>
          <w:tblBorders>
            <w:top w:val="single" w:color="auto" w:sz="8" w:space="0"/>
            <w:left w:val="single" w:color="auto" w:sz="8" w:space="0"/>
            <w:bottom w:val="single" w:color="auto" w:sz="8" w:space="0"/>
            <w:right w:val="single" w:color="auto" w:sz="8" w:space="0"/>
            <w:insideH w:val="single" w:color="333333" w:sz="6" w:space="0"/>
            <w:insideV w:val="single" w:color="333333" w:sz="6" w:space="0"/>
          </w:tblBorders>
          <w:tblCellMar>
            <w:top w:w="0" w:type="dxa"/>
            <w:left w:w="0" w:type="dxa"/>
            <w:bottom w:w="0" w:type="dxa"/>
            <w:right w:w="0" w:type="dxa"/>
          </w:tblCellMar>
        </w:tblPrEx>
        <w:trPr>
          <w:trHeight w:val="397" w:hRule="exact"/>
        </w:trPr>
        <w:tc>
          <w:tcPr>
            <w:tcW w:w="1460" w:type="dxa"/>
            <w:vMerge w:val="continue"/>
            <w:tcBorders>
              <w:top w:val="single" w:color="333333" w:sz="6" w:space="0"/>
              <w:left w:val="single" w:color="auto" w:sz="8" w:space="0"/>
              <w:bottom w:val="single" w:color="333333" w:sz="6" w:space="0"/>
              <w:right w:val="single" w:color="333333" w:sz="6" w:space="0"/>
            </w:tcBorders>
            <w:noWrap w:val="0"/>
            <w:vAlign w:val="center"/>
          </w:tcPr>
          <w:p>
            <w:pPr>
              <w:widowControl/>
              <w:jc w:val="left"/>
              <w:rPr>
                <w:rFonts w:eastAsia="方正仿宋_GBK"/>
                <w:color w:val="000000"/>
                <w:spacing w:val="-2"/>
                <w:kern w:val="0"/>
                <w:szCs w:val="21"/>
              </w:rPr>
            </w:pPr>
          </w:p>
        </w:tc>
        <w:tc>
          <w:tcPr>
            <w:tcW w:w="1396"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hint="eastAsia" w:eastAsia="方正仿宋_GBK"/>
                <w:color w:val="000000"/>
                <w:spacing w:val="-2"/>
                <w:kern w:val="0"/>
                <w:szCs w:val="21"/>
              </w:rPr>
              <w:t>在管沟内</w:t>
            </w:r>
          </w:p>
          <w:p>
            <w:pPr>
              <w:widowControl/>
              <w:spacing w:line="200" w:lineRule="exact"/>
              <w:jc w:val="center"/>
              <w:rPr>
                <w:rFonts w:eastAsia="方正仿宋_GBK"/>
                <w:color w:val="000000"/>
                <w:spacing w:val="-2"/>
                <w:kern w:val="0"/>
                <w:szCs w:val="21"/>
              </w:rPr>
            </w:pPr>
            <w:r>
              <w:rPr>
                <w:rFonts w:hint="eastAsia" w:eastAsia="方正仿宋_GBK"/>
                <w:color w:val="000000"/>
                <w:spacing w:val="-2"/>
                <w:kern w:val="0"/>
                <w:szCs w:val="21"/>
              </w:rPr>
              <w:t>（至外壁）</w:t>
            </w:r>
          </w:p>
        </w:tc>
        <w:tc>
          <w:tcPr>
            <w:tcW w:w="1198"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182"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1.5</w:t>
            </w:r>
          </w:p>
        </w:tc>
        <w:tc>
          <w:tcPr>
            <w:tcW w:w="1145"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1.5</w:t>
            </w:r>
          </w:p>
        </w:tc>
        <w:tc>
          <w:tcPr>
            <w:tcW w:w="1105"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2.0</w:t>
            </w:r>
          </w:p>
        </w:tc>
        <w:tc>
          <w:tcPr>
            <w:tcW w:w="1260" w:type="dxa"/>
            <w:tcBorders>
              <w:top w:val="single" w:color="333333" w:sz="6" w:space="0"/>
              <w:left w:val="single" w:color="333333" w:sz="6" w:space="0"/>
              <w:bottom w:val="single" w:color="333333" w:sz="6" w:space="0"/>
              <w:right w:val="single" w:color="auto" w:sz="8"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4.0</w:t>
            </w:r>
          </w:p>
        </w:tc>
      </w:tr>
      <w:tr>
        <w:tblPrEx>
          <w:tblBorders>
            <w:top w:val="single" w:color="auto" w:sz="8" w:space="0"/>
            <w:left w:val="single" w:color="auto" w:sz="8" w:space="0"/>
            <w:bottom w:val="single" w:color="auto" w:sz="8" w:space="0"/>
            <w:right w:val="single" w:color="auto" w:sz="8" w:space="0"/>
            <w:insideH w:val="single" w:color="333333" w:sz="6" w:space="0"/>
            <w:insideV w:val="single" w:color="333333" w:sz="6" w:space="0"/>
          </w:tblBorders>
          <w:tblCellMar>
            <w:top w:w="0" w:type="dxa"/>
            <w:left w:w="0" w:type="dxa"/>
            <w:bottom w:w="0" w:type="dxa"/>
            <w:right w:w="0" w:type="dxa"/>
          </w:tblCellMar>
        </w:tblPrEx>
        <w:trPr>
          <w:trHeight w:val="397" w:hRule="exact"/>
        </w:trPr>
        <w:tc>
          <w:tcPr>
            <w:tcW w:w="1460" w:type="dxa"/>
            <w:vMerge w:val="restart"/>
            <w:tcBorders>
              <w:top w:val="single" w:color="333333" w:sz="6" w:space="0"/>
              <w:left w:val="single" w:color="auto" w:sz="8"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hint="eastAsia" w:eastAsia="方正仿宋_GBK"/>
                <w:color w:val="000000"/>
                <w:spacing w:val="-2"/>
                <w:kern w:val="0"/>
                <w:szCs w:val="21"/>
              </w:rPr>
              <w:t>电杆（塔）</w:t>
            </w:r>
          </w:p>
          <w:p>
            <w:pPr>
              <w:widowControl/>
              <w:spacing w:line="200" w:lineRule="exact"/>
              <w:jc w:val="center"/>
              <w:rPr>
                <w:rFonts w:eastAsia="方正仿宋_GBK"/>
                <w:color w:val="000000"/>
                <w:spacing w:val="-2"/>
                <w:kern w:val="0"/>
                <w:szCs w:val="21"/>
              </w:rPr>
            </w:pPr>
            <w:r>
              <w:rPr>
                <w:rFonts w:hint="eastAsia" w:eastAsia="方正仿宋_GBK"/>
                <w:color w:val="000000"/>
                <w:spacing w:val="-2"/>
                <w:kern w:val="0"/>
                <w:szCs w:val="21"/>
              </w:rPr>
              <w:t>的基础</w:t>
            </w:r>
          </w:p>
        </w:tc>
        <w:tc>
          <w:tcPr>
            <w:tcW w:w="1396"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≤35kV</w:t>
            </w:r>
          </w:p>
        </w:tc>
        <w:tc>
          <w:tcPr>
            <w:tcW w:w="1198"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182"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145"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105"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260" w:type="dxa"/>
            <w:tcBorders>
              <w:top w:val="single" w:color="333333" w:sz="6" w:space="0"/>
              <w:left w:val="single" w:color="333333" w:sz="6" w:space="0"/>
              <w:bottom w:val="single" w:color="333333" w:sz="6" w:space="0"/>
              <w:right w:val="single" w:color="auto" w:sz="8"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r>
      <w:tr>
        <w:tblPrEx>
          <w:tblBorders>
            <w:top w:val="single" w:color="auto" w:sz="8" w:space="0"/>
            <w:left w:val="single" w:color="auto" w:sz="8" w:space="0"/>
            <w:bottom w:val="single" w:color="auto" w:sz="8" w:space="0"/>
            <w:right w:val="single" w:color="auto" w:sz="8" w:space="0"/>
            <w:insideH w:val="single" w:color="333333" w:sz="6" w:space="0"/>
            <w:insideV w:val="single" w:color="333333" w:sz="6" w:space="0"/>
          </w:tblBorders>
          <w:tblCellMar>
            <w:top w:w="0" w:type="dxa"/>
            <w:left w:w="0" w:type="dxa"/>
            <w:bottom w:w="0" w:type="dxa"/>
            <w:right w:w="0" w:type="dxa"/>
          </w:tblCellMar>
        </w:tblPrEx>
        <w:trPr>
          <w:trHeight w:val="397" w:hRule="exact"/>
        </w:trPr>
        <w:tc>
          <w:tcPr>
            <w:tcW w:w="1460" w:type="dxa"/>
            <w:vMerge w:val="continue"/>
            <w:tcBorders>
              <w:top w:val="single" w:color="333333" w:sz="6" w:space="0"/>
              <w:left w:val="single" w:color="auto" w:sz="8" w:space="0"/>
              <w:bottom w:val="single" w:color="333333" w:sz="6" w:space="0"/>
              <w:right w:val="single" w:color="333333" w:sz="6" w:space="0"/>
            </w:tcBorders>
            <w:noWrap w:val="0"/>
            <w:vAlign w:val="center"/>
          </w:tcPr>
          <w:p>
            <w:pPr>
              <w:widowControl/>
              <w:jc w:val="left"/>
              <w:rPr>
                <w:rFonts w:eastAsia="方正仿宋_GBK"/>
                <w:color w:val="000000"/>
                <w:spacing w:val="-2"/>
                <w:kern w:val="0"/>
                <w:szCs w:val="21"/>
              </w:rPr>
            </w:pPr>
          </w:p>
        </w:tc>
        <w:tc>
          <w:tcPr>
            <w:tcW w:w="1396"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hint="eastAsia" w:eastAsia="方正仿宋_GBK"/>
                <w:color w:val="000000"/>
                <w:spacing w:val="-2"/>
                <w:kern w:val="0"/>
                <w:szCs w:val="21"/>
              </w:rPr>
              <w:t>＞</w:t>
            </w:r>
            <w:r>
              <w:rPr>
                <w:rFonts w:eastAsia="方正仿宋_GBK"/>
                <w:color w:val="000000"/>
                <w:spacing w:val="-2"/>
                <w:kern w:val="0"/>
                <w:szCs w:val="21"/>
              </w:rPr>
              <w:t>35kV</w:t>
            </w:r>
          </w:p>
        </w:tc>
        <w:tc>
          <w:tcPr>
            <w:tcW w:w="1198"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2.0</w:t>
            </w:r>
          </w:p>
        </w:tc>
        <w:tc>
          <w:tcPr>
            <w:tcW w:w="1182"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2.0</w:t>
            </w:r>
          </w:p>
        </w:tc>
        <w:tc>
          <w:tcPr>
            <w:tcW w:w="1145"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2.0</w:t>
            </w:r>
          </w:p>
        </w:tc>
        <w:tc>
          <w:tcPr>
            <w:tcW w:w="1105"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5.0</w:t>
            </w:r>
          </w:p>
        </w:tc>
        <w:tc>
          <w:tcPr>
            <w:tcW w:w="1260" w:type="dxa"/>
            <w:tcBorders>
              <w:top w:val="single" w:color="333333" w:sz="6" w:space="0"/>
              <w:left w:val="single" w:color="333333" w:sz="6" w:space="0"/>
              <w:bottom w:val="single" w:color="333333" w:sz="6" w:space="0"/>
              <w:right w:val="single" w:color="auto" w:sz="8"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5.0</w:t>
            </w:r>
          </w:p>
        </w:tc>
      </w:tr>
      <w:tr>
        <w:tblPrEx>
          <w:tblBorders>
            <w:top w:val="single" w:color="auto" w:sz="8" w:space="0"/>
            <w:left w:val="single" w:color="auto" w:sz="8" w:space="0"/>
            <w:bottom w:val="single" w:color="auto" w:sz="8" w:space="0"/>
            <w:right w:val="single" w:color="auto" w:sz="8" w:space="0"/>
            <w:insideH w:val="single" w:color="333333" w:sz="6" w:space="0"/>
            <w:insideV w:val="single" w:color="333333" w:sz="6" w:space="0"/>
          </w:tblBorders>
          <w:tblCellMar>
            <w:top w:w="0" w:type="dxa"/>
            <w:left w:w="0" w:type="dxa"/>
            <w:bottom w:w="0" w:type="dxa"/>
            <w:right w:w="0" w:type="dxa"/>
          </w:tblCellMar>
        </w:tblPrEx>
        <w:trPr>
          <w:trHeight w:val="397" w:hRule="exact"/>
        </w:trPr>
        <w:tc>
          <w:tcPr>
            <w:tcW w:w="2856" w:type="dxa"/>
            <w:gridSpan w:val="2"/>
            <w:tcBorders>
              <w:top w:val="single" w:color="333333" w:sz="6" w:space="0"/>
              <w:left w:val="single" w:color="auto" w:sz="8"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hint="eastAsia" w:eastAsia="方正仿宋_GBK"/>
                <w:color w:val="000000"/>
                <w:spacing w:val="-2"/>
                <w:kern w:val="0"/>
                <w:szCs w:val="21"/>
              </w:rPr>
              <w:t>通讯照明电杆（至电杆中心）</w:t>
            </w:r>
          </w:p>
        </w:tc>
        <w:tc>
          <w:tcPr>
            <w:tcW w:w="1198"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182"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145"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105"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260" w:type="dxa"/>
            <w:tcBorders>
              <w:top w:val="single" w:color="333333" w:sz="6" w:space="0"/>
              <w:left w:val="single" w:color="333333" w:sz="6" w:space="0"/>
              <w:bottom w:val="single" w:color="333333" w:sz="6" w:space="0"/>
              <w:right w:val="single" w:color="auto" w:sz="8"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r>
      <w:tr>
        <w:tblPrEx>
          <w:tblBorders>
            <w:top w:val="single" w:color="auto" w:sz="8" w:space="0"/>
            <w:left w:val="single" w:color="auto" w:sz="8" w:space="0"/>
            <w:bottom w:val="single" w:color="auto" w:sz="8" w:space="0"/>
            <w:right w:val="single" w:color="auto" w:sz="8" w:space="0"/>
            <w:insideH w:val="single" w:color="333333" w:sz="6" w:space="0"/>
            <w:insideV w:val="single" w:color="333333" w:sz="6" w:space="0"/>
          </w:tblBorders>
          <w:tblCellMar>
            <w:top w:w="0" w:type="dxa"/>
            <w:left w:w="0" w:type="dxa"/>
            <w:bottom w:w="0" w:type="dxa"/>
            <w:right w:w="0" w:type="dxa"/>
          </w:tblCellMar>
        </w:tblPrEx>
        <w:trPr>
          <w:trHeight w:val="397" w:hRule="exact"/>
        </w:trPr>
        <w:tc>
          <w:tcPr>
            <w:tcW w:w="2856" w:type="dxa"/>
            <w:gridSpan w:val="2"/>
            <w:tcBorders>
              <w:top w:val="single" w:color="333333" w:sz="6" w:space="0"/>
              <w:left w:val="single" w:color="auto" w:sz="8"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hint="eastAsia" w:eastAsia="方正仿宋_GBK"/>
                <w:color w:val="000000"/>
                <w:spacing w:val="-2"/>
                <w:kern w:val="0"/>
                <w:szCs w:val="21"/>
              </w:rPr>
              <w:t>铁路路堤坡脚</w:t>
            </w:r>
          </w:p>
        </w:tc>
        <w:tc>
          <w:tcPr>
            <w:tcW w:w="1198"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5.0</w:t>
            </w:r>
          </w:p>
        </w:tc>
        <w:tc>
          <w:tcPr>
            <w:tcW w:w="1182"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5.0</w:t>
            </w:r>
          </w:p>
        </w:tc>
        <w:tc>
          <w:tcPr>
            <w:tcW w:w="1145"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5.0</w:t>
            </w:r>
          </w:p>
        </w:tc>
        <w:tc>
          <w:tcPr>
            <w:tcW w:w="1105"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5.0</w:t>
            </w:r>
          </w:p>
        </w:tc>
        <w:tc>
          <w:tcPr>
            <w:tcW w:w="1260" w:type="dxa"/>
            <w:tcBorders>
              <w:top w:val="single" w:color="333333" w:sz="6" w:space="0"/>
              <w:left w:val="single" w:color="333333" w:sz="6" w:space="0"/>
              <w:bottom w:val="single" w:color="333333" w:sz="6" w:space="0"/>
              <w:right w:val="single" w:color="auto" w:sz="8"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5.0</w:t>
            </w:r>
          </w:p>
        </w:tc>
      </w:tr>
      <w:tr>
        <w:tblPrEx>
          <w:tblBorders>
            <w:top w:val="single" w:color="auto" w:sz="8" w:space="0"/>
            <w:left w:val="single" w:color="auto" w:sz="8" w:space="0"/>
            <w:bottom w:val="single" w:color="auto" w:sz="8" w:space="0"/>
            <w:right w:val="single" w:color="auto" w:sz="8" w:space="0"/>
            <w:insideH w:val="single" w:color="333333" w:sz="6" w:space="0"/>
            <w:insideV w:val="single" w:color="333333" w:sz="6" w:space="0"/>
          </w:tblBorders>
          <w:tblCellMar>
            <w:top w:w="0" w:type="dxa"/>
            <w:left w:w="0" w:type="dxa"/>
            <w:bottom w:w="0" w:type="dxa"/>
            <w:right w:w="0" w:type="dxa"/>
          </w:tblCellMar>
        </w:tblPrEx>
        <w:trPr>
          <w:trHeight w:val="397" w:hRule="exact"/>
        </w:trPr>
        <w:tc>
          <w:tcPr>
            <w:tcW w:w="2856" w:type="dxa"/>
            <w:gridSpan w:val="2"/>
            <w:tcBorders>
              <w:top w:val="single" w:color="333333" w:sz="6" w:space="0"/>
              <w:left w:val="single" w:color="auto" w:sz="8"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hint="eastAsia" w:eastAsia="方正仿宋_GBK"/>
                <w:color w:val="000000"/>
                <w:spacing w:val="-2"/>
                <w:kern w:val="0"/>
                <w:szCs w:val="21"/>
              </w:rPr>
              <w:t>有轨电车钢轨</w:t>
            </w:r>
          </w:p>
        </w:tc>
        <w:tc>
          <w:tcPr>
            <w:tcW w:w="1198"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2.0</w:t>
            </w:r>
          </w:p>
        </w:tc>
        <w:tc>
          <w:tcPr>
            <w:tcW w:w="1182"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2.0</w:t>
            </w:r>
          </w:p>
        </w:tc>
        <w:tc>
          <w:tcPr>
            <w:tcW w:w="1145"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2.0</w:t>
            </w:r>
          </w:p>
        </w:tc>
        <w:tc>
          <w:tcPr>
            <w:tcW w:w="1105"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2.0</w:t>
            </w:r>
          </w:p>
        </w:tc>
        <w:tc>
          <w:tcPr>
            <w:tcW w:w="1260" w:type="dxa"/>
            <w:tcBorders>
              <w:top w:val="single" w:color="333333" w:sz="6" w:space="0"/>
              <w:left w:val="single" w:color="333333" w:sz="6" w:space="0"/>
              <w:bottom w:val="single" w:color="333333" w:sz="6" w:space="0"/>
              <w:right w:val="single" w:color="auto" w:sz="8"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2.0</w:t>
            </w:r>
          </w:p>
        </w:tc>
      </w:tr>
      <w:tr>
        <w:tblPrEx>
          <w:tblBorders>
            <w:top w:val="single" w:color="auto" w:sz="8" w:space="0"/>
            <w:left w:val="single" w:color="auto" w:sz="8" w:space="0"/>
            <w:bottom w:val="single" w:color="auto" w:sz="8" w:space="0"/>
            <w:right w:val="single" w:color="auto" w:sz="8" w:space="0"/>
            <w:insideH w:val="single" w:color="333333" w:sz="6" w:space="0"/>
            <w:insideV w:val="single" w:color="333333" w:sz="6" w:space="0"/>
          </w:tblBorders>
          <w:tblCellMar>
            <w:top w:w="0" w:type="dxa"/>
            <w:left w:w="0" w:type="dxa"/>
            <w:bottom w:w="0" w:type="dxa"/>
            <w:right w:w="0" w:type="dxa"/>
          </w:tblCellMar>
        </w:tblPrEx>
        <w:trPr>
          <w:trHeight w:val="397" w:hRule="exact"/>
        </w:trPr>
        <w:tc>
          <w:tcPr>
            <w:tcW w:w="2856" w:type="dxa"/>
            <w:gridSpan w:val="2"/>
            <w:tcBorders>
              <w:top w:val="single" w:color="333333" w:sz="6" w:space="0"/>
              <w:left w:val="single" w:color="auto" w:sz="8" w:space="0"/>
              <w:bottom w:val="single" w:color="auto" w:sz="8"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hint="eastAsia" w:eastAsia="方正仿宋_GBK"/>
                <w:color w:val="000000"/>
                <w:spacing w:val="-2"/>
                <w:kern w:val="0"/>
                <w:szCs w:val="21"/>
              </w:rPr>
              <w:t>街树（至树中心）</w:t>
            </w:r>
          </w:p>
        </w:tc>
        <w:tc>
          <w:tcPr>
            <w:tcW w:w="1198" w:type="dxa"/>
            <w:tcBorders>
              <w:top w:val="single" w:color="333333" w:sz="6" w:space="0"/>
              <w:left w:val="single" w:color="333333" w:sz="6" w:space="0"/>
              <w:bottom w:val="single" w:color="auto" w:sz="8"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0.75</w:t>
            </w:r>
          </w:p>
        </w:tc>
        <w:tc>
          <w:tcPr>
            <w:tcW w:w="1182" w:type="dxa"/>
            <w:tcBorders>
              <w:top w:val="single" w:color="333333" w:sz="6" w:space="0"/>
              <w:left w:val="single" w:color="333333" w:sz="6" w:space="0"/>
              <w:bottom w:val="single" w:color="auto" w:sz="8"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0.75</w:t>
            </w:r>
          </w:p>
        </w:tc>
        <w:tc>
          <w:tcPr>
            <w:tcW w:w="1145" w:type="dxa"/>
            <w:tcBorders>
              <w:top w:val="single" w:color="333333" w:sz="6" w:space="0"/>
              <w:left w:val="single" w:color="333333" w:sz="6" w:space="0"/>
              <w:bottom w:val="single" w:color="auto" w:sz="8"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0.75</w:t>
            </w:r>
          </w:p>
        </w:tc>
        <w:tc>
          <w:tcPr>
            <w:tcW w:w="1105" w:type="dxa"/>
            <w:tcBorders>
              <w:top w:val="single" w:color="333333" w:sz="6" w:space="0"/>
              <w:left w:val="single" w:color="333333" w:sz="6" w:space="0"/>
              <w:bottom w:val="single" w:color="auto" w:sz="8" w:space="0"/>
              <w:right w:val="single" w:color="333333" w:sz="6"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1.2</w:t>
            </w:r>
          </w:p>
        </w:tc>
        <w:tc>
          <w:tcPr>
            <w:tcW w:w="1260" w:type="dxa"/>
            <w:tcBorders>
              <w:top w:val="single" w:color="333333" w:sz="6" w:space="0"/>
              <w:left w:val="single" w:color="333333" w:sz="6" w:space="0"/>
              <w:bottom w:val="single" w:color="auto" w:sz="8" w:space="0"/>
              <w:right w:val="single" w:color="auto" w:sz="8" w:space="0"/>
            </w:tcBorders>
            <w:noWrap w:val="0"/>
            <w:vAlign w:val="center"/>
          </w:tcPr>
          <w:p>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1.2</w:t>
            </w:r>
          </w:p>
        </w:tc>
      </w:tr>
    </w:tbl>
    <w:p>
      <w:pPr>
        <w:spacing w:before="120" w:beforeLines="50" w:line="460" w:lineRule="exact"/>
        <w:jc w:val="center"/>
        <w:rPr>
          <w:rFonts w:eastAsia="方正黑体_GBK"/>
          <w:color w:val="000000"/>
          <w:spacing w:val="-2"/>
          <w:kern w:val="0"/>
          <w:sz w:val="24"/>
        </w:rPr>
      </w:pPr>
      <w:r>
        <w:rPr>
          <w:rFonts w:hint="eastAsia" w:eastAsia="方正黑体_GBK"/>
          <w:color w:val="000000"/>
          <w:spacing w:val="-2"/>
          <w:kern w:val="0"/>
          <w:sz w:val="24"/>
        </w:rPr>
        <w:t>表</w:t>
      </w:r>
      <w:r>
        <w:rPr>
          <w:rFonts w:eastAsia="方正黑体_GBK"/>
          <w:color w:val="000000"/>
          <w:spacing w:val="-2"/>
          <w:kern w:val="0"/>
          <w:sz w:val="24"/>
        </w:rPr>
        <w:t xml:space="preserve">6.3.3-2 </w:t>
      </w:r>
      <w:r>
        <w:rPr>
          <w:rFonts w:hint="eastAsia" w:eastAsia="方正黑体_GBK"/>
          <w:color w:val="000000"/>
          <w:spacing w:val="-2"/>
          <w:kern w:val="0"/>
          <w:sz w:val="24"/>
        </w:rPr>
        <w:t>地下燃气管道与构筑物或相邻管道之间垂直净距（</w:t>
      </w:r>
      <w:r>
        <w:rPr>
          <w:rFonts w:eastAsia="方正黑体_GBK"/>
          <w:color w:val="000000"/>
          <w:spacing w:val="-2"/>
          <w:kern w:val="0"/>
          <w:sz w:val="24"/>
        </w:rPr>
        <w:t>m</w:t>
      </w:r>
      <w:r>
        <w:rPr>
          <w:rFonts w:hint="eastAsia" w:eastAsia="方正黑体_GBK"/>
          <w:color w:val="000000"/>
          <w:spacing w:val="-2"/>
          <w:kern w:val="0"/>
          <w:sz w:val="24"/>
        </w:rPr>
        <w:t>）</w:t>
      </w:r>
    </w:p>
    <w:tbl>
      <w:tblPr>
        <w:tblStyle w:val="12"/>
        <w:tblW w:w="0" w:type="auto"/>
        <w:tblInd w:w="-10" w:type="dxa"/>
        <w:tblBorders>
          <w:top w:val="single" w:color="auto" w:sz="8" w:space="0"/>
          <w:left w:val="single" w:color="auto" w:sz="8" w:space="0"/>
          <w:bottom w:val="single" w:color="auto" w:sz="8" w:space="0"/>
          <w:right w:val="single" w:color="auto" w:sz="8" w:space="0"/>
          <w:insideH w:val="single" w:color="333333" w:sz="6" w:space="0"/>
          <w:insideV w:val="single" w:color="333333" w:sz="6" w:space="0"/>
        </w:tblBorders>
        <w:tblLayout w:type="fixed"/>
        <w:tblCellMar>
          <w:top w:w="0" w:type="dxa"/>
          <w:left w:w="0" w:type="dxa"/>
          <w:bottom w:w="0" w:type="dxa"/>
          <w:right w:w="0" w:type="dxa"/>
        </w:tblCellMar>
      </w:tblPr>
      <w:tblGrid>
        <w:gridCol w:w="1522"/>
        <w:gridCol w:w="2804"/>
        <w:gridCol w:w="4412"/>
      </w:tblGrid>
      <w:tr>
        <w:tblPrEx>
          <w:tblBorders>
            <w:top w:val="single" w:color="auto" w:sz="8" w:space="0"/>
            <w:left w:val="single" w:color="auto" w:sz="8" w:space="0"/>
            <w:bottom w:val="single" w:color="auto" w:sz="8" w:space="0"/>
            <w:right w:val="single" w:color="auto" w:sz="8" w:space="0"/>
            <w:insideH w:val="single" w:color="333333" w:sz="6" w:space="0"/>
            <w:insideV w:val="single" w:color="333333" w:sz="6" w:space="0"/>
          </w:tblBorders>
          <w:tblCellMar>
            <w:top w:w="0" w:type="dxa"/>
            <w:left w:w="0" w:type="dxa"/>
            <w:bottom w:w="0" w:type="dxa"/>
            <w:right w:w="0" w:type="dxa"/>
          </w:tblCellMar>
        </w:tblPrEx>
        <w:tc>
          <w:tcPr>
            <w:tcW w:w="4326" w:type="dxa"/>
            <w:gridSpan w:val="2"/>
            <w:tcBorders>
              <w:top w:val="single" w:color="auto" w:sz="8" w:space="0"/>
              <w:left w:val="single" w:color="auto" w:sz="8" w:space="0"/>
              <w:bottom w:val="single" w:color="333333" w:sz="6" w:space="0"/>
              <w:right w:val="single" w:color="333333" w:sz="6" w:space="0"/>
            </w:tcBorders>
            <w:noWrap w:val="0"/>
            <w:vAlign w:val="center"/>
          </w:tcPr>
          <w:p>
            <w:pPr>
              <w:widowControl/>
              <w:spacing w:before="100" w:beforeAutospacing="1" w:after="100" w:afterAutospacing="1" w:line="330" w:lineRule="atLeast"/>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项目</w:t>
            </w:r>
          </w:p>
        </w:tc>
        <w:tc>
          <w:tcPr>
            <w:tcW w:w="4412" w:type="dxa"/>
            <w:tcBorders>
              <w:top w:val="single" w:color="auto" w:sz="8" w:space="0"/>
              <w:left w:val="single" w:color="333333" w:sz="6" w:space="0"/>
              <w:bottom w:val="single" w:color="333333" w:sz="6" w:space="0"/>
              <w:right w:val="single" w:color="auto" w:sz="8" w:space="0"/>
            </w:tcBorders>
            <w:noWrap w:val="0"/>
            <w:vAlign w:val="center"/>
          </w:tcPr>
          <w:p>
            <w:pPr>
              <w:widowControl/>
              <w:spacing w:before="100" w:beforeAutospacing="1" w:after="100" w:afterAutospacing="1" w:line="330" w:lineRule="atLeast"/>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地下燃气管道（当有套管时，以套管计）</w:t>
            </w:r>
          </w:p>
        </w:tc>
      </w:tr>
      <w:tr>
        <w:tblPrEx>
          <w:tblBorders>
            <w:top w:val="single" w:color="auto" w:sz="8" w:space="0"/>
            <w:left w:val="single" w:color="auto" w:sz="8" w:space="0"/>
            <w:bottom w:val="single" w:color="auto" w:sz="8" w:space="0"/>
            <w:right w:val="single" w:color="auto" w:sz="8" w:space="0"/>
            <w:insideH w:val="single" w:color="333333" w:sz="6" w:space="0"/>
            <w:insideV w:val="single" w:color="333333" w:sz="6" w:space="0"/>
          </w:tblBorders>
          <w:tblCellMar>
            <w:top w:w="0" w:type="dxa"/>
            <w:left w:w="0" w:type="dxa"/>
            <w:bottom w:w="0" w:type="dxa"/>
            <w:right w:w="0" w:type="dxa"/>
          </w:tblCellMar>
        </w:tblPrEx>
        <w:trPr>
          <w:trHeight w:val="454" w:hRule="exact"/>
        </w:trPr>
        <w:tc>
          <w:tcPr>
            <w:tcW w:w="4326" w:type="dxa"/>
            <w:gridSpan w:val="2"/>
            <w:tcBorders>
              <w:top w:val="single" w:color="333333" w:sz="6" w:space="0"/>
              <w:left w:val="single" w:color="auto" w:sz="8" w:space="0"/>
              <w:bottom w:val="single" w:color="333333" w:sz="6" w:space="0"/>
              <w:right w:val="single" w:color="333333" w:sz="6" w:space="0"/>
            </w:tcBorders>
            <w:noWrap w:val="0"/>
            <w:vAlign w:val="center"/>
          </w:tcPr>
          <w:p>
            <w:pPr>
              <w:widowControl/>
              <w:spacing w:before="100" w:beforeAutospacing="1" w:after="100" w:afterAutospacing="1" w:line="330" w:lineRule="atLeast"/>
              <w:jc w:val="center"/>
              <w:rPr>
                <w:rFonts w:eastAsia="方正仿宋_GBK"/>
                <w:color w:val="000000"/>
                <w:spacing w:val="-2"/>
                <w:kern w:val="0"/>
                <w:szCs w:val="21"/>
              </w:rPr>
            </w:pPr>
            <w:r>
              <w:rPr>
                <w:rFonts w:hint="eastAsia" w:eastAsia="方正仿宋_GBK"/>
                <w:color w:val="000000"/>
                <w:spacing w:val="-2"/>
                <w:kern w:val="0"/>
                <w:szCs w:val="21"/>
              </w:rPr>
              <w:t>给水管、排水管或其它燃气管道</w:t>
            </w:r>
          </w:p>
        </w:tc>
        <w:tc>
          <w:tcPr>
            <w:tcW w:w="4412" w:type="dxa"/>
            <w:tcBorders>
              <w:top w:val="single" w:color="333333" w:sz="6" w:space="0"/>
              <w:left w:val="single" w:color="333333" w:sz="6" w:space="0"/>
              <w:bottom w:val="single" w:color="333333" w:sz="6" w:space="0"/>
              <w:right w:val="single" w:color="auto" w:sz="8" w:space="0"/>
            </w:tcBorders>
            <w:noWrap w:val="0"/>
            <w:vAlign w:val="center"/>
          </w:tcPr>
          <w:p>
            <w:pPr>
              <w:widowControl/>
              <w:spacing w:before="100" w:beforeAutospacing="1" w:after="100" w:afterAutospacing="1" w:line="330" w:lineRule="atLeast"/>
              <w:jc w:val="center"/>
              <w:rPr>
                <w:rFonts w:eastAsia="方正仿宋_GBK"/>
                <w:color w:val="000000"/>
                <w:spacing w:val="-2"/>
                <w:kern w:val="0"/>
                <w:szCs w:val="21"/>
              </w:rPr>
            </w:pPr>
            <w:r>
              <w:rPr>
                <w:rFonts w:eastAsia="方正仿宋_GBK"/>
                <w:color w:val="000000"/>
                <w:spacing w:val="-2"/>
                <w:kern w:val="0"/>
                <w:szCs w:val="21"/>
              </w:rPr>
              <w:t>0.15</w:t>
            </w:r>
          </w:p>
        </w:tc>
      </w:tr>
      <w:tr>
        <w:tblPrEx>
          <w:tblBorders>
            <w:top w:val="single" w:color="auto" w:sz="8" w:space="0"/>
            <w:left w:val="single" w:color="auto" w:sz="8" w:space="0"/>
            <w:bottom w:val="single" w:color="auto" w:sz="8" w:space="0"/>
            <w:right w:val="single" w:color="auto" w:sz="8" w:space="0"/>
            <w:insideH w:val="single" w:color="333333" w:sz="6" w:space="0"/>
            <w:insideV w:val="single" w:color="333333" w:sz="6" w:space="0"/>
          </w:tblBorders>
          <w:tblCellMar>
            <w:top w:w="0" w:type="dxa"/>
            <w:left w:w="0" w:type="dxa"/>
            <w:bottom w:w="0" w:type="dxa"/>
            <w:right w:w="0" w:type="dxa"/>
          </w:tblCellMar>
        </w:tblPrEx>
        <w:trPr>
          <w:trHeight w:val="454" w:hRule="exact"/>
        </w:trPr>
        <w:tc>
          <w:tcPr>
            <w:tcW w:w="4326" w:type="dxa"/>
            <w:gridSpan w:val="2"/>
            <w:tcBorders>
              <w:top w:val="single" w:color="333333" w:sz="6" w:space="0"/>
              <w:left w:val="single" w:color="auto" w:sz="8" w:space="0"/>
              <w:bottom w:val="single" w:color="333333" w:sz="6" w:space="0"/>
              <w:right w:val="single" w:color="333333" w:sz="6" w:space="0"/>
            </w:tcBorders>
            <w:noWrap w:val="0"/>
            <w:vAlign w:val="center"/>
          </w:tcPr>
          <w:p>
            <w:pPr>
              <w:widowControl/>
              <w:spacing w:before="100" w:beforeAutospacing="1" w:after="100" w:afterAutospacing="1" w:line="330" w:lineRule="atLeast"/>
              <w:jc w:val="center"/>
              <w:rPr>
                <w:rFonts w:eastAsia="方正仿宋_GBK"/>
                <w:color w:val="000000"/>
                <w:spacing w:val="-2"/>
                <w:kern w:val="0"/>
                <w:szCs w:val="21"/>
              </w:rPr>
            </w:pPr>
            <w:r>
              <w:rPr>
                <w:rFonts w:hint="eastAsia" w:eastAsia="方正仿宋_GBK"/>
                <w:color w:val="000000"/>
                <w:spacing w:val="-2"/>
                <w:kern w:val="0"/>
                <w:szCs w:val="21"/>
              </w:rPr>
              <w:t>热力管的管沟底（或顶）</w:t>
            </w:r>
          </w:p>
        </w:tc>
        <w:tc>
          <w:tcPr>
            <w:tcW w:w="4412" w:type="dxa"/>
            <w:tcBorders>
              <w:top w:val="single" w:color="333333" w:sz="6" w:space="0"/>
              <w:left w:val="single" w:color="333333" w:sz="6" w:space="0"/>
              <w:bottom w:val="single" w:color="333333" w:sz="6" w:space="0"/>
              <w:right w:val="single" w:color="auto" w:sz="8" w:space="0"/>
            </w:tcBorders>
            <w:noWrap w:val="0"/>
            <w:vAlign w:val="center"/>
          </w:tcPr>
          <w:p>
            <w:pPr>
              <w:widowControl/>
              <w:spacing w:before="100" w:beforeAutospacing="1" w:after="100" w:afterAutospacing="1" w:line="330" w:lineRule="atLeast"/>
              <w:jc w:val="center"/>
              <w:rPr>
                <w:rFonts w:eastAsia="方正仿宋_GBK"/>
                <w:color w:val="000000"/>
                <w:spacing w:val="-2"/>
                <w:kern w:val="0"/>
                <w:szCs w:val="21"/>
              </w:rPr>
            </w:pPr>
            <w:r>
              <w:rPr>
                <w:rFonts w:eastAsia="方正仿宋_GBK"/>
                <w:color w:val="000000"/>
                <w:spacing w:val="-2"/>
                <w:kern w:val="0"/>
                <w:szCs w:val="21"/>
              </w:rPr>
              <w:t>0.15</w:t>
            </w:r>
          </w:p>
        </w:tc>
      </w:tr>
      <w:tr>
        <w:tblPrEx>
          <w:tblBorders>
            <w:top w:val="single" w:color="auto" w:sz="8" w:space="0"/>
            <w:left w:val="single" w:color="auto" w:sz="8" w:space="0"/>
            <w:bottom w:val="single" w:color="auto" w:sz="8" w:space="0"/>
            <w:right w:val="single" w:color="auto" w:sz="8" w:space="0"/>
            <w:insideH w:val="single" w:color="333333" w:sz="6" w:space="0"/>
            <w:insideV w:val="single" w:color="333333" w:sz="6" w:space="0"/>
          </w:tblBorders>
          <w:tblCellMar>
            <w:top w:w="0" w:type="dxa"/>
            <w:left w:w="0" w:type="dxa"/>
            <w:bottom w:w="0" w:type="dxa"/>
            <w:right w:w="0" w:type="dxa"/>
          </w:tblCellMar>
        </w:tblPrEx>
        <w:trPr>
          <w:trHeight w:val="454" w:hRule="exact"/>
        </w:trPr>
        <w:tc>
          <w:tcPr>
            <w:tcW w:w="1522" w:type="dxa"/>
            <w:vMerge w:val="restart"/>
            <w:tcBorders>
              <w:top w:val="single" w:color="333333" w:sz="6" w:space="0"/>
              <w:left w:val="single" w:color="auto" w:sz="8" w:space="0"/>
              <w:bottom w:val="single" w:color="333333" w:sz="6" w:space="0"/>
              <w:right w:val="single" w:color="333333" w:sz="6" w:space="0"/>
            </w:tcBorders>
            <w:noWrap w:val="0"/>
            <w:vAlign w:val="center"/>
          </w:tcPr>
          <w:p>
            <w:pPr>
              <w:widowControl/>
              <w:spacing w:before="100" w:beforeAutospacing="1" w:after="100" w:afterAutospacing="1" w:line="330" w:lineRule="atLeast"/>
              <w:jc w:val="center"/>
              <w:rPr>
                <w:rFonts w:eastAsia="方正仿宋_GBK"/>
                <w:color w:val="000000"/>
                <w:spacing w:val="-2"/>
                <w:kern w:val="0"/>
                <w:szCs w:val="21"/>
              </w:rPr>
            </w:pPr>
            <w:r>
              <w:rPr>
                <w:rFonts w:hint="eastAsia" w:eastAsia="方正仿宋_GBK"/>
                <w:color w:val="000000"/>
                <w:spacing w:val="-2"/>
                <w:kern w:val="0"/>
                <w:szCs w:val="21"/>
              </w:rPr>
              <w:t>电缆</w:t>
            </w:r>
          </w:p>
        </w:tc>
        <w:tc>
          <w:tcPr>
            <w:tcW w:w="2804" w:type="dxa"/>
            <w:tcBorders>
              <w:top w:val="single" w:color="333333" w:sz="6" w:space="0"/>
              <w:left w:val="single" w:color="333333" w:sz="6" w:space="0"/>
              <w:bottom w:val="single" w:color="333333" w:sz="6" w:space="0"/>
              <w:right w:val="single" w:color="333333" w:sz="6" w:space="0"/>
            </w:tcBorders>
            <w:noWrap w:val="0"/>
            <w:vAlign w:val="center"/>
          </w:tcPr>
          <w:p>
            <w:pPr>
              <w:widowControl/>
              <w:spacing w:before="100" w:beforeAutospacing="1" w:after="100" w:afterAutospacing="1" w:line="330" w:lineRule="atLeast"/>
              <w:jc w:val="center"/>
              <w:rPr>
                <w:rFonts w:eastAsia="方正仿宋_GBK"/>
                <w:color w:val="000000"/>
                <w:spacing w:val="-2"/>
                <w:kern w:val="0"/>
                <w:szCs w:val="21"/>
              </w:rPr>
            </w:pPr>
            <w:r>
              <w:rPr>
                <w:rFonts w:hint="eastAsia" w:eastAsia="方正仿宋_GBK"/>
                <w:color w:val="000000"/>
                <w:spacing w:val="-2"/>
                <w:kern w:val="0"/>
                <w:szCs w:val="21"/>
              </w:rPr>
              <w:t>直埋</w:t>
            </w:r>
          </w:p>
        </w:tc>
        <w:tc>
          <w:tcPr>
            <w:tcW w:w="4412" w:type="dxa"/>
            <w:tcBorders>
              <w:top w:val="single" w:color="333333" w:sz="6" w:space="0"/>
              <w:left w:val="single" w:color="333333" w:sz="6" w:space="0"/>
              <w:bottom w:val="single" w:color="333333" w:sz="6" w:space="0"/>
              <w:right w:val="single" w:color="auto" w:sz="8" w:space="0"/>
            </w:tcBorders>
            <w:noWrap w:val="0"/>
            <w:vAlign w:val="center"/>
          </w:tcPr>
          <w:p>
            <w:pPr>
              <w:widowControl/>
              <w:spacing w:before="100" w:beforeAutospacing="1" w:after="100" w:afterAutospacing="1" w:line="330" w:lineRule="atLeast"/>
              <w:jc w:val="center"/>
              <w:rPr>
                <w:rFonts w:eastAsia="方正仿宋_GBK"/>
                <w:color w:val="000000"/>
                <w:spacing w:val="-2"/>
                <w:kern w:val="0"/>
                <w:szCs w:val="21"/>
              </w:rPr>
            </w:pPr>
            <w:r>
              <w:rPr>
                <w:rFonts w:eastAsia="方正仿宋_GBK"/>
                <w:color w:val="000000"/>
                <w:spacing w:val="-2"/>
                <w:kern w:val="0"/>
                <w:szCs w:val="21"/>
              </w:rPr>
              <w:t>0.50</w:t>
            </w:r>
          </w:p>
        </w:tc>
      </w:tr>
      <w:tr>
        <w:tblPrEx>
          <w:tblBorders>
            <w:top w:val="single" w:color="auto" w:sz="8" w:space="0"/>
            <w:left w:val="single" w:color="auto" w:sz="8" w:space="0"/>
            <w:bottom w:val="single" w:color="auto" w:sz="8" w:space="0"/>
            <w:right w:val="single" w:color="auto" w:sz="8" w:space="0"/>
            <w:insideH w:val="single" w:color="333333" w:sz="6" w:space="0"/>
            <w:insideV w:val="single" w:color="333333" w:sz="6" w:space="0"/>
          </w:tblBorders>
          <w:tblCellMar>
            <w:top w:w="0" w:type="dxa"/>
            <w:left w:w="0" w:type="dxa"/>
            <w:bottom w:w="0" w:type="dxa"/>
            <w:right w:w="0" w:type="dxa"/>
          </w:tblCellMar>
        </w:tblPrEx>
        <w:trPr>
          <w:trHeight w:val="454" w:hRule="exact"/>
        </w:trPr>
        <w:tc>
          <w:tcPr>
            <w:tcW w:w="1522" w:type="dxa"/>
            <w:vMerge w:val="continue"/>
            <w:tcBorders>
              <w:top w:val="single" w:color="333333" w:sz="6" w:space="0"/>
              <w:left w:val="single" w:color="auto" w:sz="8" w:space="0"/>
              <w:bottom w:val="single" w:color="333333" w:sz="6" w:space="0"/>
              <w:right w:val="single" w:color="333333" w:sz="6" w:space="0"/>
            </w:tcBorders>
            <w:noWrap w:val="0"/>
            <w:vAlign w:val="center"/>
          </w:tcPr>
          <w:p>
            <w:pPr>
              <w:widowControl/>
              <w:jc w:val="left"/>
              <w:rPr>
                <w:rFonts w:eastAsia="方正仿宋_GBK"/>
                <w:color w:val="000000"/>
                <w:spacing w:val="-2"/>
                <w:kern w:val="0"/>
                <w:szCs w:val="21"/>
              </w:rPr>
            </w:pPr>
          </w:p>
        </w:tc>
        <w:tc>
          <w:tcPr>
            <w:tcW w:w="2804" w:type="dxa"/>
            <w:tcBorders>
              <w:top w:val="single" w:color="333333" w:sz="6" w:space="0"/>
              <w:left w:val="single" w:color="333333" w:sz="6" w:space="0"/>
              <w:bottom w:val="single" w:color="333333" w:sz="6" w:space="0"/>
              <w:right w:val="single" w:color="333333" w:sz="6" w:space="0"/>
            </w:tcBorders>
            <w:noWrap w:val="0"/>
            <w:vAlign w:val="center"/>
          </w:tcPr>
          <w:p>
            <w:pPr>
              <w:widowControl/>
              <w:spacing w:before="100" w:beforeAutospacing="1" w:after="100" w:afterAutospacing="1" w:line="330" w:lineRule="atLeast"/>
              <w:jc w:val="center"/>
              <w:rPr>
                <w:rFonts w:eastAsia="方正仿宋_GBK"/>
                <w:color w:val="000000"/>
                <w:spacing w:val="-2"/>
                <w:kern w:val="0"/>
                <w:szCs w:val="21"/>
              </w:rPr>
            </w:pPr>
            <w:r>
              <w:rPr>
                <w:rFonts w:hint="eastAsia" w:eastAsia="方正仿宋_GBK"/>
                <w:color w:val="000000"/>
                <w:spacing w:val="-2"/>
                <w:kern w:val="0"/>
                <w:szCs w:val="21"/>
              </w:rPr>
              <w:t>在导管内</w:t>
            </w:r>
          </w:p>
        </w:tc>
        <w:tc>
          <w:tcPr>
            <w:tcW w:w="4412" w:type="dxa"/>
            <w:tcBorders>
              <w:top w:val="single" w:color="333333" w:sz="6" w:space="0"/>
              <w:left w:val="single" w:color="333333" w:sz="6" w:space="0"/>
              <w:bottom w:val="single" w:color="333333" w:sz="6" w:space="0"/>
              <w:right w:val="single" w:color="auto" w:sz="8" w:space="0"/>
            </w:tcBorders>
            <w:noWrap w:val="0"/>
            <w:vAlign w:val="center"/>
          </w:tcPr>
          <w:p>
            <w:pPr>
              <w:widowControl/>
              <w:spacing w:before="100" w:beforeAutospacing="1" w:after="100" w:afterAutospacing="1" w:line="330" w:lineRule="atLeast"/>
              <w:jc w:val="center"/>
              <w:rPr>
                <w:rFonts w:eastAsia="方正仿宋_GBK"/>
                <w:color w:val="000000"/>
                <w:spacing w:val="-2"/>
                <w:kern w:val="0"/>
                <w:szCs w:val="21"/>
              </w:rPr>
            </w:pPr>
            <w:r>
              <w:rPr>
                <w:rFonts w:eastAsia="方正仿宋_GBK"/>
                <w:color w:val="000000"/>
                <w:spacing w:val="-2"/>
                <w:kern w:val="0"/>
                <w:szCs w:val="21"/>
              </w:rPr>
              <w:t>0.15</w:t>
            </w:r>
          </w:p>
        </w:tc>
      </w:tr>
      <w:tr>
        <w:tblPrEx>
          <w:tblBorders>
            <w:top w:val="single" w:color="auto" w:sz="8" w:space="0"/>
            <w:left w:val="single" w:color="auto" w:sz="8" w:space="0"/>
            <w:bottom w:val="single" w:color="auto" w:sz="8" w:space="0"/>
            <w:right w:val="single" w:color="auto" w:sz="8" w:space="0"/>
            <w:insideH w:val="single" w:color="333333" w:sz="6" w:space="0"/>
            <w:insideV w:val="single" w:color="333333" w:sz="6" w:space="0"/>
          </w:tblBorders>
          <w:tblCellMar>
            <w:top w:w="0" w:type="dxa"/>
            <w:left w:w="0" w:type="dxa"/>
            <w:bottom w:w="0" w:type="dxa"/>
            <w:right w:w="0" w:type="dxa"/>
          </w:tblCellMar>
        </w:tblPrEx>
        <w:trPr>
          <w:trHeight w:val="454" w:hRule="exact"/>
        </w:trPr>
        <w:tc>
          <w:tcPr>
            <w:tcW w:w="4326" w:type="dxa"/>
            <w:gridSpan w:val="2"/>
            <w:tcBorders>
              <w:top w:val="single" w:color="333333" w:sz="6" w:space="0"/>
              <w:left w:val="single" w:color="auto" w:sz="8" w:space="0"/>
              <w:bottom w:val="single" w:color="333333" w:sz="6" w:space="0"/>
              <w:right w:val="single" w:color="333333" w:sz="6" w:space="0"/>
            </w:tcBorders>
            <w:noWrap w:val="0"/>
            <w:vAlign w:val="center"/>
          </w:tcPr>
          <w:p>
            <w:pPr>
              <w:widowControl/>
              <w:spacing w:before="100" w:beforeAutospacing="1" w:after="100" w:afterAutospacing="1" w:line="330" w:lineRule="atLeast"/>
              <w:jc w:val="center"/>
              <w:rPr>
                <w:rFonts w:eastAsia="方正仿宋_GBK"/>
                <w:color w:val="000000"/>
                <w:spacing w:val="-2"/>
                <w:kern w:val="0"/>
                <w:szCs w:val="21"/>
              </w:rPr>
            </w:pPr>
            <w:r>
              <w:rPr>
                <w:rFonts w:hint="eastAsia" w:eastAsia="方正仿宋_GBK"/>
                <w:color w:val="000000"/>
                <w:spacing w:val="-2"/>
                <w:kern w:val="0"/>
                <w:szCs w:val="21"/>
              </w:rPr>
              <w:t>铁路轨底</w:t>
            </w:r>
          </w:p>
        </w:tc>
        <w:tc>
          <w:tcPr>
            <w:tcW w:w="4412" w:type="dxa"/>
            <w:tcBorders>
              <w:top w:val="single" w:color="333333" w:sz="6" w:space="0"/>
              <w:left w:val="single" w:color="333333" w:sz="6" w:space="0"/>
              <w:bottom w:val="single" w:color="333333" w:sz="6" w:space="0"/>
              <w:right w:val="single" w:color="auto" w:sz="8" w:space="0"/>
            </w:tcBorders>
            <w:noWrap w:val="0"/>
            <w:vAlign w:val="center"/>
          </w:tcPr>
          <w:p>
            <w:pPr>
              <w:widowControl/>
              <w:spacing w:before="100" w:beforeAutospacing="1" w:after="100" w:afterAutospacing="1" w:line="330" w:lineRule="atLeast"/>
              <w:jc w:val="center"/>
              <w:rPr>
                <w:rFonts w:eastAsia="方正仿宋_GBK"/>
                <w:color w:val="000000"/>
                <w:spacing w:val="-2"/>
                <w:kern w:val="0"/>
                <w:szCs w:val="21"/>
              </w:rPr>
            </w:pPr>
            <w:r>
              <w:rPr>
                <w:rFonts w:eastAsia="方正仿宋_GBK"/>
                <w:color w:val="000000"/>
                <w:spacing w:val="-2"/>
                <w:kern w:val="0"/>
                <w:szCs w:val="21"/>
              </w:rPr>
              <w:t>1.20</w:t>
            </w:r>
          </w:p>
        </w:tc>
      </w:tr>
      <w:tr>
        <w:tblPrEx>
          <w:tblBorders>
            <w:top w:val="single" w:color="auto" w:sz="8" w:space="0"/>
            <w:left w:val="single" w:color="auto" w:sz="8" w:space="0"/>
            <w:bottom w:val="single" w:color="auto" w:sz="8" w:space="0"/>
            <w:right w:val="single" w:color="auto" w:sz="8" w:space="0"/>
            <w:insideH w:val="single" w:color="333333" w:sz="6" w:space="0"/>
            <w:insideV w:val="single" w:color="333333" w:sz="6" w:space="0"/>
          </w:tblBorders>
          <w:tblCellMar>
            <w:top w:w="0" w:type="dxa"/>
            <w:left w:w="0" w:type="dxa"/>
            <w:bottom w:w="0" w:type="dxa"/>
            <w:right w:w="0" w:type="dxa"/>
          </w:tblCellMar>
        </w:tblPrEx>
        <w:trPr>
          <w:trHeight w:val="454" w:hRule="exact"/>
        </w:trPr>
        <w:tc>
          <w:tcPr>
            <w:tcW w:w="4326" w:type="dxa"/>
            <w:gridSpan w:val="2"/>
            <w:tcBorders>
              <w:top w:val="single" w:color="333333" w:sz="6" w:space="0"/>
              <w:left w:val="single" w:color="auto" w:sz="8" w:space="0"/>
              <w:bottom w:val="single" w:color="auto" w:sz="8" w:space="0"/>
              <w:right w:val="single" w:color="333333" w:sz="6" w:space="0"/>
            </w:tcBorders>
            <w:noWrap w:val="0"/>
            <w:vAlign w:val="center"/>
          </w:tcPr>
          <w:p>
            <w:pPr>
              <w:widowControl/>
              <w:spacing w:before="100" w:beforeAutospacing="1" w:after="100" w:afterAutospacing="1" w:line="330" w:lineRule="atLeast"/>
              <w:jc w:val="center"/>
              <w:rPr>
                <w:rFonts w:eastAsia="方正仿宋_GBK"/>
                <w:color w:val="000000"/>
                <w:spacing w:val="-2"/>
                <w:kern w:val="0"/>
                <w:szCs w:val="21"/>
              </w:rPr>
            </w:pPr>
            <w:r>
              <w:rPr>
                <w:rFonts w:hint="eastAsia" w:eastAsia="方正仿宋_GBK"/>
                <w:color w:val="000000"/>
                <w:spacing w:val="-2"/>
                <w:kern w:val="0"/>
                <w:szCs w:val="21"/>
              </w:rPr>
              <w:t>有轨电车</w:t>
            </w:r>
            <w:r>
              <w:rPr>
                <w:rFonts w:eastAsia="方正仿宋_GBK"/>
                <w:color w:val="000000"/>
                <w:spacing w:val="-2"/>
                <w:kern w:val="0"/>
                <w:szCs w:val="21"/>
              </w:rPr>
              <w:t>(</w:t>
            </w:r>
            <w:r>
              <w:rPr>
                <w:rFonts w:hint="eastAsia" w:eastAsia="方正仿宋_GBK"/>
                <w:color w:val="000000"/>
                <w:spacing w:val="-2"/>
                <w:kern w:val="0"/>
                <w:szCs w:val="21"/>
              </w:rPr>
              <w:t>轨底</w:t>
            </w:r>
            <w:r>
              <w:rPr>
                <w:rFonts w:eastAsia="方正仿宋_GBK"/>
                <w:color w:val="000000"/>
                <w:spacing w:val="-2"/>
                <w:kern w:val="0"/>
                <w:szCs w:val="21"/>
              </w:rPr>
              <w:t>)</w:t>
            </w:r>
          </w:p>
        </w:tc>
        <w:tc>
          <w:tcPr>
            <w:tcW w:w="4412" w:type="dxa"/>
            <w:tcBorders>
              <w:top w:val="single" w:color="333333" w:sz="6" w:space="0"/>
              <w:left w:val="single" w:color="333333" w:sz="6" w:space="0"/>
              <w:bottom w:val="single" w:color="auto" w:sz="8" w:space="0"/>
              <w:right w:val="single" w:color="auto" w:sz="8" w:space="0"/>
            </w:tcBorders>
            <w:noWrap w:val="0"/>
            <w:vAlign w:val="center"/>
          </w:tcPr>
          <w:p>
            <w:pPr>
              <w:widowControl/>
              <w:spacing w:before="100" w:beforeAutospacing="1" w:after="100" w:afterAutospacing="1" w:line="330" w:lineRule="atLeast"/>
              <w:jc w:val="center"/>
              <w:rPr>
                <w:rFonts w:eastAsia="方正仿宋_GBK"/>
                <w:color w:val="000000"/>
                <w:spacing w:val="-2"/>
                <w:kern w:val="0"/>
                <w:szCs w:val="21"/>
              </w:rPr>
            </w:pPr>
            <w:r>
              <w:rPr>
                <w:rFonts w:eastAsia="方正仿宋_GBK"/>
                <w:color w:val="000000"/>
                <w:spacing w:val="-2"/>
                <w:kern w:val="0"/>
                <w:szCs w:val="21"/>
              </w:rPr>
              <w:t>1.00</w:t>
            </w:r>
          </w:p>
        </w:tc>
      </w:tr>
    </w:tbl>
    <w:p>
      <w:pPr>
        <w:widowControl/>
        <w:spacing w:before="120" w:beforeLines="50" w:line="260" w:lineRule="exact"/>
        <w:rPr>
          <w:rFonts w:eastAsia="方正仿宋_GBK"/>
          <w:color w:val="000000"/>
          <w:spacing w:val="-2"/>
          <w:kern w:val="0"/>
          <w:sz w:val="18"/>
          <w:szCs w:val="18"/>
        </w:rPr>
      </w:pPr>
      <w:r>
        <w:rPr>
          <w:rFonts w:hint="eastAsia" w:eastAsia="方正仿宋_GBK"/>
          <w:color w:val="000000"/>
          <w:spacing w:val="-2"/>
          <w:kern w:val="0"/>
          <w:sz w:val="18"/>
          <w:szCs w:val="18"/>
        </w:rPr>
        <w:t>注：</w:t>
      </w:r>
      <w:r>
        <w:rPr>
          <w:rFonts w:eastAsia="方正仿宋_GBK"/>
          <w:color w:val="000000"/>
          <w:spacing w:val="-2"/>
          <w:kern w:val="0"/>
          <w:sz w:val="18"/>
          <w:szCs w:val="18"/>
        </w:rPr>
        <w:t xml:space="preserve">1 </w:t>
      </w:r>
      <w:r>
        <w:rPr>
          <w:rFonts w:hint="eastAsia" w:eastAsia="方正仿宋_GBK"/>
          <w:color w:val="000000"/>
          <w:spacing w:val="-2"/>
          <w:kern w:val="0"/>
          <w:sz w:val="18"/>
          <w:szCs w:val="18"/>
        </w:rPr>
        <w:t>当次高压燃气管道压力与表中数不相同时</w:t>
      </w:r>
      <w:r>
        <w:rPr>
          <w:rFonts w:eastAsia="方正仿宋_GBK"/>
          <w:color w:val="000000"/>
          <w:spacing w:val="-2"/>
          <w:kern w:val="0"/>
          <w:sz w:val="18"/>
          <w:szCs w:val="18"/>
        </w:rPr>
        <w:t>,</w:t>
      </w:r>
      <w:r>
        <w:rPr>
          <w:rFonts w:hint="eastAsia" w:eastAsia="方正仿宋_GBK"/>
          <w:color w:val="000000"/>
          <w:spacing w:val="-2"/>
          <w:kern w:val="0"/>
          <w:sz w:val="18"/>
          <w:szCs w:val="18"/>
        </w:rPr>
        <w:t>可采用直线方程内插法确定水平净距。</w:t>
      </w:r>
      <w:r>
        <w:rPr>
          <w:rFonts w:eastAsia="方正仿宋_GBK"/>
          <w:color w:val="000000"/>
          <w:spacing w:val="-2"/>
          <w:kern w:val="0"/>
          <w:sz w:val="18"/>
          <w:szCs w:val="18"/>
        </w:rPr>
        <w:t xml:space="preserve"> </w:t>
      </w:r>
    </w:p>
    <w:p>
      <w:pPr>
        <w:widowControl/>
        <w:spacing w:line="260" w:lineRule="exact"/>
        <w:ind w:firstLine="344" w:firstLineChars="196"/>
        <w:rPr>
          <w:rFonts w:eastAsia="方正仿宋_GBK"/>
          <w:color w:val="000000"/>
          <w:spacing w:val="-2"/>
          <w:kern w:val="0"/>
          <w:sz w:val="18"/>
          <w:szCs w:val="18"/>
        </w:rPr>
      </w:pPr>
      <w:r>
        <w:rPr>
          <w:rFonts w:eastAsia="方正仿宋_GBK"/>
          <w:color w:val="000000"/>
          <w:spacing w:val="-2"/>
          <w:kern w:val="0"/>
          <w:sz w:val="18"/>
          <w:szCs w:val="18"/>
        </w:rPr>
        <w:t xml:space="preserve">2 </w:t>
      </w:r>
      <w:r>
        <w:rPr>
          <w:rFonts w:hint="eastAsia" w:eastAsia="方正仿宋_GBK"/>
          <w:color w:val="000000"/>
          <w:spacing w:val="-2"/>
          <w:kern w:val="0"/>
          <w:sz w:val="18"/>
          <w:szCs w:val="18"/>
        </w:rPr>
        <w:t>如受地形限制无法满足表</w:t>
      </w:r>
      <w:r>
        <w:rPr>
          <w:rFonts w:eastAsia="方正仿宋_GBK"/>
          <w:color w:val="000000"/>
          <w:spacing w:val="-2"/>
          <w:kern w:val="0"/>
          <w:sz w:val="18"/>
          <w:szCs w:val="18"/>
        </w:rPr>
        <w:t xml:space="preserve">6.3.3-1 </w:t>
      </w:r>
      <w:r>
        <w:rPr>
          <w:rFonts w:hint="eastAsia" w:eastAsia="方正仿宋_GBK"/>
          <w:color w:val="000000"/>
          <w:spacing w:val="-2"/>
          <w:kern w:val="0"/>
          <w:sz w:val="18"/>
          <w:szCs w:val="18"/>
        </w:rPr>
        <w:t>和表</w:t>
      </w:r>
      <w:r>
        <w:rPr>
          <w:rFonts w:eastAsia="方正仿宋_GBK"/>
          <w:color w:val="000000"/>
          <w:spacing w:val="-2"/>
          <w:kern w:val="0"/>
          <w:sz w:val="18"/>
          <w:szCs w:val="18"/>
        </w:rPr>
        <w:t xml:space="preserve">6.3.3-2 </w:t>
      </w:r>
      <w:r>
        <w:rPr>
          <w:rFonts w:hint="eastAsia" w:eastAsia="方正仿宋_GBK"/>
          <w:color w:val="000000"/>
          <w:spacing w:val="-2"/>
          <w:kern w:val="0"/>
          <w:sz w:val="18"/>
          <w:szCs w:val="18"/>
        </w:rPr>
        <w:t>时，经与有关部门协商，采取有效的安全防护措施后，表</w:t>
      </w:r>
      <w:r>
        <w:rPr>
          <w:rFonts w:eastAsia="方正仿宋_GBK"/>
          <w:color w:val="000000"/>
          <w:spacing w:val="-2"/>
          <w:kern w:val="0"/>
          <w:sz w:val="18"/>
          <w:szCs w:val="18"/>
        </w:rPr>
        <w:t xml:space="preserve">6.3.3-1 </w:t>
      </w:r>
      <w:r>
        <w:rPr>
          <w:rFonts w:hint="eastAsia" w:eastAsia="方正仿宋_GBK"/>
          <w:color w:val="000000"/>
          <w:spacing w:val="-2"/>
          <w:kern w:val="0"/>
          <w:sz w:val="18"/>
          <w:szCs w:val="18"/>
        </w:rPr>
        <w:t>和表</w:t>
      </w:r>
      <w:r>
        <w:rPr>
          <w:rFonts w:eastAsia="方正仿宋_GBK"/>
          <w:color w:val="000000"/>
          <w:spacing w:val="-2"/>
          <w:kern w:val="0"/>
          <w:sz w:val="18"/>
          <w:szCs w:val="18"/>
        </w:rPr>
        <w:t xml:space="preserve">6.3.3-2 </w:t>
      </w:r>
      <w:r>
        <w:rPr>
          <w:rFonts w:hint="eastAsia" w:eastAsia="方正仿宋_GBK"/>
          <w:color w:val="000000"/>
          <w:spacing w:val="-2"/>
          <w:kern w:val="0"/>
          <w:sz w:val="18"/>
          <w:szCs w:val="18"/>
        </w:rPr>
        <w:t>规定的净距，均可适当缩小，但低压管道应不影响建（构）筑物和相邻管道基础的稳固性，中压管道距建筑物基础不应小于</w:t>
      </w:r>
      <w:r>
        <w:rPr>
          <w:rFonts w:eastAsia="方正仿宋_GBK"/>
          <w:color w:val="000000"/>
          <w:spacing w:val="-2"/>
          <w:kern w:val="0"/>
          <w:sz w:val="18"/>
          <w:szCs w:val="18"/>
        </w:rPr>
        <w:t>0.5m</w:t>
      </w:r>
      <w:r>
        <w:rPr>
          <w:rFonts w:hint="eastAsia" w:eastAsia="方正仿宋_GBK"/>
          <w:color w:val="000000"/>
          <w:spacing w:val="-2"/>
          <w:kern w:val="0"/>
          <w:sz w:val="18"/>
          <w:szCs w:val="18"/>
        </w:rPr>
        <w:t>且距建筑物外墙面不应小于</w:t>
      </w:r>
      <w:r>
        <w:rPr>
          <w:rFonts w:eastAsia="方正仿宋_GBK"/>
          <w:color w:val="000000"/>
          <w:spacing w:val="-2"/>
          <w:kern w:val="0"/>
          <w:sz w:val="18"/>
          <w:szCs w:val="18"/>
        </w:rPr>
        <w:t>1m</w:t>
      </w:r>
      <w:r>
        <w:rPr>
          <w:rFonts w:hint="eastAsia" w:eastAsia="方正仿宋_GBK"/>
          <w:color w:val="000000"/>
          <w:spacing w:val="-2"/>
          <w:kern w:val="0"/>
          <w:sz w:val="18"/>
          <w:szCs w:val="18"/>
        </w:rPr>
        <w:t>，次高压燃气管道距建筑物外墙面不应小于</w:t>
      </w:r>
      <w:r>
        <w:rPr>
          <w:rFonts w:eastAsia="方正仿宋_GBK"/>
          <w:color w:val="000000"/>
          <w:spacing w:val="-2"/>
          <w:kern w:val="0"/>
          <w:sz w:val="18"/>
          <w:szCs w:val="18"/>
        </w:rPr>
        <w:t>3.0m</w:t>
      </w:r>
      <w:r>
        <w:rPr>
          <w:rFonts w:hint="eastAsia" w:eastAsia="方正仿宋_GBK"/>
          <w:color w:val="000000"/>
          <w:spacing w:val="-2"/>
          <w:kern w:val="0"/>
          <w:sz w:val="18"/>
          <w:szCs w:val="18"/>
        </w:rPr>
        <w:t>。其中当对次高压</w:t>
      </w:r>
      <w:r>
        <w:rPr>
          <w:rFonts w:eastAsia="方正仿宋_GBK"/>
          <w:color w:val="000000"/>
          <w:spacing w:val="-2"/>
          <w:kern w:val="0"/>
          <w:sz w:val="18"/>
          <w:szCs w:val="18"/>
        </w:rPr>
        <w:t xml:space="preserve">A </w:t>
      </w:r>
      <w:r>
        <w:rPr>
          <w:rFonts w:hint="eastAsia" w:eastAsia="方正仿宋_GBK"/>
          <w:color w:val="000000"/>
          <w:spacing w:val="-2"/>
          <w:kern w:val="0"/>
          <w:sz w:val="18"/>
          <w:szCs w:val="18"/>
        </w:rPr>
        <w:t>燃气管道采取有效的安全防护措施或当管道壁厚不小于</w:t>
      </w:r>
      <w:r>
        <w:rPr>
          <w:rFonts w:eastAsia="方正仿宋_GBK"/>
          <w:color w:val="000000"/>
          <w:spacing w:val="-2"/>
          <w:kern w:val="0"/>
          <w:sz w:val="18"/>
          <w:szCs w:val="18"/>
        </w:rPr>
        <w:t>9.5mm</w:t>
      </w:r>
      <w:r>
        <w:rPr>
          <w:rFonts w:hint="eastAsia" w:eastAsia="方正仿宋_GBK"/>
          <w:color w:val="000000"/>
          <w:spacing w:val="-2"/>
          <w:kern w:val="0"/>
          <w:sz w:val="18"/>
          <w:szCs w:val="18"/>
        </w:rPr>
        <w:t>时，管道距建筑物外墙面不应小于</w:t>
      </w:r>
      <w:r>
        <w:rPr>
          <w:rFonts w:eastAsia="方正仿宋_GBK"/>
          <w:color w:val="000000"/>
          <w:spacing w:val="-2"/>
          <w:kern w:val="0"/>
          <w:sz w:val="18"/>
          <w:szCs w:val="18"/>
        </w:rPr>
        <w:t>6.5m</w:t>
      </w:r>
      <w:r>
        <w:rPr>
          <w:rFonts w:hint="eastAsia" w:eastAsia="方正仿宋_GBK"/>
          <w:color w:val="000000"/>
          <w:spacing w:val="-2"/>
          <w:kern w:val="0"/>
          <w:sz w:val="18"/>
          <w:szCs w:val="18"/>
        </w:rPr>
        <w:t>；当管壁厚度不小于</w:t>
      </w:r>
      <w:r>
        <w:rPr>
          <w:rFonts w:eastAsia="方正仿宋_GBK"/>
          <w:color w:val="000000"/>
          <w:spacing w:val="-2"/>
          <w:kern w:val="0"/>
          <w:sz w:val="18"/>
          <w:szCs w:val="18"/>
        </w:rPr>
        <w:t>11.9mm</w:t>
      </w:r>
      <w:r>
        <w:rPr>
          <w:rFonts w:hint="eastAsia" w:eastAsia="方正仿宋_GBK"/>
          <w:color w:val="000000"/>
          <w:spacing w:val="-2"/>
          <w:kern w:val="0"/>
          <w:sz w:val="18"/>
          <w:szCs w:val="18"/>
        </w:rPr>
        <w:t>时，管道距建筑物外墙面不应小于</w:t>
      </w:r>
      <w:r>
        <w:rPr>
          <w:rFonts w:eastAsia="方正仿宋_GBK"/>
          <w:color w:val="000000"/>
          <w:spacing w:val="-2"/>
          <w:kern w:val="0"/>
          <w:sz w:val="18"/>
          <w:szCs w:val="18"/>
        </w:rPr>
        <w:t>3.0m</w:t>
      </w:r>
      <w:r>
        <w:rPr>
          <w:rFonts w:hint="eastAsia" w:eastAsia="方正仿宋_GBK"/>
          <w:color w:val="000000"/>
          <w:spacing w:val="-2"/>
          <w:kern w:val="0"/>
          <w:sz w:val="18"/>
          <w:szCs w:val="18"/>
        </w:rPr>
        <w:t>。</w:t>
      </w:r>
    </w:p>
    <w:p>
      <w:pPr>
        <w:widowControl/>
        <w:spacing w:line="260" w:lineRule="exact"/>
        <w:rPr>
          <w:rFonts w:eastAsia="方正仿宋_GBK"/>
          <w:color w:val="000000"/>
          <w:spacing w:val="-2"/>
          <w:kern w:val="0"/>
          <w:sz w:val="18"/>
          <w:szCs w:val="18"/>
        </w:rPr>
      </w:pPr>
      <w:r>
        <w:rPr>
          <w:rFonts w:eastAsia="方正仿宋_GBK"/>
          <w:color w:val="000000"/>
          <w:spacing w:val="-2"/>
          <w:kern w:val="0"/>
          <w:sz w:val="18"/>
          <w:szCs w:val="18"/>
        </w:rPr>
        <w:t xml:space="preserve">3 </w:t>
      </w:r>
      <w:r>
        <w:rPr>
          <w:rFonts w:hint="eastAsia" w:eastAsia="方正仿宋_GBK"/>
          <w:color w:val="000000"/>
          <w:spacing w:val="-2"/>
          <w:kern w:val="0"/>
          <w:sz w:val="18"/>
          <w:szCs w:val="18"/>
        </w:rPr>
        <w:t>表</w:t>
      </w:r>
      <w:r>
        <w:rPr>
          <w:rFonts w:eastAsia="方正仿宋_GBK"/>
          <w:color w:val="000000"/>
          <w:spacing w:val="-2"/>
          <w:kern w:val="0"/>
          <w:sz w:val="18"/>
          <w:szCs w:val="18"/>
        </w:rPr>
        <w:t xml:space="preserve">6.3.3-1 </w:t>
      </w:r>
      <w:r>
        <w:rPr>
          <w:rFonts w:hint="eastAsia" w:eastAsia="方正仿宋_GBK"/>
          <w:color w:val="000000"/>
          <w:spacing w:val="-2"/>
          <w:kern w:val="0"/>
          <w:sz w:val="18"/>
          <w:szCs w:val="18"/>
        </w:rPr>
        <w:t>和表</w:t>
      </w:r>
      <w:r>
        <w:rPr>
          <w:rFonts w:eastAsia="方正仿宋_GBK"/>
          <w:color w:val="000000"/>
          <w:spacing w:val="-2"/>
          <w:kern w:val="0"/>
          <w:sz w:val="18"/>
          <w:szCs w:val="18"/>
        </w:rPr>
        <w:t xml:space="preserve">6.3.3-2 </w:t>
      </w:r>
      <w:r>
        <w:rPr>
          <w:rFonts w:hint="eastAsia" w:eastAsia="方正仿宋_GBK"/>
          <w:color w:val="000000"/>
          <w:spacing w:val="-2"/>
          <w:kern w:val="0"/>
          <w:sz w:val="18"/>
          <w:szCs w:val="18"/>
        </w:rPr>
        <w:t>规定除地下室燃气管道与热力管的净距不适于聚乙烯燃气管道和钢骨架聚乙烯塑料复合管外，其它规定也均适用于聚乙烯燃气管道和钢骨架聚乙烯塑料复合管道。聚乙烯燃气管道与热力管道的净距应按国家现行标准《聚乙烯燃气管道工程技术规程》</w:t>
      </w:r>
      <w:r>
        <w:rPr>
          <w:rFonts w:eastAsia="方正仿宋_GBK"/>
          <w:color w:val="000000"/>
          <w:spacing w:val="-2"/>
          <w:kern w:val="0"/>
          <w:sz w:val="18"/>
          <w:szCs w:val="18"/>
        </w:rPr>
        <w:t xml:space="preserve">CJJ 63 </w:t>
      </w:r>
      <w:r>
        <w:rPr>
          <w:rFonts w:hint="eastAsia" w:eastAsia="方正仿宋_GBK"/>
          <w:color w:val="000000"/>
          <w:spacing w:val="-2"/>
          <w:kern w:val="0"/>
          <w:sz w:val="18"/>
          <w:szCs w:val="18"/>
        </w:rPr>
        <w:t>执行。</w:t>
      </w:r>
    </w:p>
    <w:p>
      <w:pPr>
        <w:snapToGrid w:val="0"/>
        <w:spacing w:before="120" w:beforeLines="50" w:line="460" w:lineRule="exact"/>
        <w:ind w:firstLine="472" w:firstLineChars="200"/>
        <w:rPr>
          <w:rFonts w:eastAsia="方正仿宋_GBK"/>
          <w:color w:val="000000"/>
          <w:spacing w:val="-2"/>
          <w:sz w:val="24"/>
        </w:rPr>
      </w:pPr>
      <w:r>
        <w:rPr>
          <w:rFonts w:hint="eastAsia" w:eastAsia="方正仿宋_GBK"/>
          <w:color w:val="000000"/>
          <w:spacing w:val="-2"/>
          <w:sz w:val="24"/>
        </w:rPr>
        <w:t>（</w:t>
      </w:r>
      <w:r>
        <w:rPr>
          <w:rFonts w:eastAsia="方正仿宋_GBK"/>
          <w:color w:val="000000"/>
          <w:spacing w:val="-2"/>
          <w:sz w:val="24"/>
        </w:rPr>
        <w:t>2</w:t>
      </w:r>
      <w:r>
        <w:rPr>
          <w:rFonts w:hint="eastAsia" w:eastAsia="方正仿宋_GBK"/>
          <w:color w:val="000000"/>
          <w:spacing w:val="-2"/>
          <w:sz w:val="24"/>
        </w:rPr>
        <w:t>）</w:t>
      </w:r>
      <w:r>
        <w:rPr>
          <w:rFonts w:eastAsia="方正仿宋_GBK"/>
          <w:color w:val="000000"/>
          <w:spacing w:val="-2"/>
          <w:sz w:val="24"/>
        </w:rPr>
        <w:t xml:space="preserve"> </w:t>
      </w:r>
      <w:r>
        <w:rPr>
          <w:rFonts w:hint="eastAsia" w:eastAsia="方正仿宋_GBK"/>
          <w:color w:val="000000"/>
          <w:spacing w:val="-2"/>
          <w:sz w:val="24"/>
        </w:rPr>
        <w:t>聚乙烯燃气管道应执行《聚乙烯燃气管道工程技术规程》</w:t>
      </w:r>
      <w:r>
        <w:rPr>
          <w:rFonts w:eastAsia="方正仿宋_GBK"/>
          <w:color w:val="000000"/>
          <w:spacing w:val="-2"/>
          <w:sz w:val="24"/>
        </w:rPr>
        <w:t>CJJ63-2008</w:t>
      </w:r>
      <w:r>
        <w:rPr>
          <w:rFonts w:hint="eastAsia" w:eastAsia="方正仿宋_GBK"/>
          <w:color w:val="000000"/>
          <w:spacing w:val="-2"/>
          <w:sz w:val="24"/>
        </w:rPr>
        <w:t>第</w:t>
      </w:r>
      <w:r>
        <w:rPr>
          <w:rFonts w:eastAsia="方正仿宋_GBK"/>
          <w:color w:val="000000"/>
          <w:spacing w:val="-2"/>
          <w:sz w:val="24"/>
        </w:rPr>
        <w:t>4.3.1</w:t>
      </w:r>
      <w:r>
        <w:rPr>
          <w:rFonts w:hint="eastAsia" w:eastAsia="方正仿宋_GBK"/>
          <w:color w:val="000000"/>
          <w:spacing w:val="-2"/>
          <w:sz w:val="24"/>
        </w:rPr>
        <w:t>、</w:t>
      </w:r>
      <w:r>
        <w:rPr>
          <w:rFonts w:eastAsia="方正仿宋_GBK"/>
          <w:color w:val="000000"/>
          <w:spacing w:val="-2"/>
          <w:sz w:val="24"/>
        </w:rPr>
        <w:t>4.3.2</w:t>
      </w:r>
      <w:r>
        <w:rPr>
          <w:rFonts w:hint="eastAsia" w:eastAsia="方正仿宋_GBK"/>
          <w:color w:val="000000"/>
          <w:spacing w:val="-2"/>
          <w:sz w:val="24"/>
        </w:rPr>
        <w:t>条规定：</w:t>
      </w:r>
    </w:p>
    <w:p>
      <w:pPr>
        <w:snapToGrid w:val="0"/>
        <w:spacing w:line="460" w:lineRule="exact"/>
        <w:ind w:firstLine="472" w:firstLineChars="200"/>
        <w:rPr>
          <w:rFonts w:eastAsia="方正仿宋_GBK"/>
          <w:color w:val="000000"/>
          <w:spacing w:val="-2"/>
          <w:sz w:val="24"/>
        </w:rPr>
      </w:pPr>
      <w:r>
        <w:rPr>
          <w:rFonts w:eastAsia="方正仿宋_GBK"/>
          <w:color w:val="000000"/>
          <w:spacing w:val="-2"/>
          <w:sz w:val="24"/>
        </w:rPr>
        <w:t xml:space="preserve">4.3.1 </w:t>
      </w:r>
      <w:r>
        <w:rPr>
          <w:rFonts w:hint="eastAsia" w:eastAsia="方正仿宋_GBK"/>
          <w:color w:val="000000"/>
          <w:spacing w:val="-2"/>
          <w:sz w:val="24"/>
        </w:rPr>
        <w:t>聚乙烯管道和钢骨架聚乙烯复合管道不得从建筑物或大型构筑物的下面穿越（不包括架空的建筑物和立交桥等大型构筑物）；不得在堆积易燃、易爆材料和具有腐蚀性液体的场地下面穿越；不得与非燃气管道或电缆同沟敷设。</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4.3.2 </w:t>
      </w:r>
      <w:r>
        <w:rPr>
          <w:rFonts w:hint="eastAsia" w:eastAsia="方正仿宋_GBK"/>
          <w:color w:val="000000"/>
          <w:spacing w:val="-2"/>
          <w:sz w:val="24"/>
        </w:rPr>
        <w:t>聚乙烯管道和钢骨架聚乙烯复合管道与热力管道之间的水平净距和垂直净距，不应小于表</w:t>
      </w:r>
      <w:r>
        <w:rPr>
          <w:rFonts w:eastAsia="方正仿宋_GBK"/>
          <w:color w:val="000000"/>
          <w:spacing w:val="-2"/>
          <w:sz w:val="24"/>
        </w:rPr>
        <w:t>4.3.2-1</w:t>
      </w:r>
      <w:r>
        <w:rPr>
          <w:rFonts w:hint="eastAsia" w:eastAsia="方正仿宋_GBK"/>
          <w:color w:val="000000"/>
          <w:spacing w:val="-2"/>
          <w:sz w:val="24"/>
        </w:rPr>
        <w:t>和表</w:t>
      </w:r>
      <w:r>
        <w:rPr>
          <w:rFonts w:eastAsia="方正仿宋_GBK"/>
          <w:color w:val="000000"/>
          <w:spacing w:val="-2"/>
          <w:sz w:val="24"/>
        </w:rPr>
        <w:t>4.3.2-2</w:t>
      </w:r>
      <w:r>
        <w:rPr>
          <w:rFonts w:hint="eastAsia" w:eastAsia="方正仿宋_GBK"/>
          <w:color w:val="000000"/>
          <w:spacing w:val="-2"/>
          <w:sz w:val="24"/>
        </w:rPr>
        <w:t>的规定。</w:t>
      </w:r>
    </w:p>
    <w:p>
      <w:pPr>
        <w:spacing w:before="120" w:beforeLines="50" w:line="460" w:lineRule="exact"/>
        <w:jc w:val="center"/>
        <w:rPr>
          <w:rFonts w:eastAsia="方正黑体_GBK"/>
          <w:color w:val="000000"/>
          <w:spacing w:val="-2"/>
          <w:kern w:val="0"/>
          <w:sz w:val="24"/>
        </w:rPr>
      </w:pPr>
      <w:r>
        <w:rPr>
          <w:rFonts w:hint="eastAsia" w:eastAsia="方正黑体_GBK"/>
          <w:color w:val="000000"/>
          <w:spacing w:val="-2"/>
          <w:kern w:val="0"/>
          <w:sz w:val="24"/>
        </w:rPr>
        <w:t>表</w:t>
      </w:r>
      <w:r>
        <w:rPr>
          <w:rFonts w:eastAsia="方正黑体_GBK"/>
          <w:color w:val="000000"/>
          <w:spacing w:val="-2"/>
          <w:kern w:val="0"/>
          <w:sz w:val="24"/>
        </w:rPr>
        <w:t xml:space="preserve">4.3.2-1 </w:t>
      </w:r>
      <w:r>
        <w:rPr>
          <w:rFonts w:hint="eastAsia" w:eastAsia="方正黑体_GBK"/>
          <w:color w:val="000000"/>
          <w:spacing w:val="-2"/>
          <w:kern w:val="0"/>
          <w:sz w:val="24"/>
        </w:rPr>
        <w:t>聚乙烯管道和钢骨架聚乙烯复合管道与热力管道之间的水平净距（</w:t>
      </w:r>
      <w:r>
        <w:rPr>
          <w:rFonts w:eastAsia="方正黑体_GBK"/>
          <w:color w:val="000000"/>
          <w:spacing w:val="-2"/>
          <w:kern w:val="0"/>
          <w:sz w:val="24"/>
        </w:rPr>
        <w:t>m</w:t>
      </w:r>
      <w:r>
        <w:rPr>
          <w:rFonts w:hint="eastAsia" w:eastAsia="方正黑体_GBK"/>
          <w:color w:val="000000"/>
          <w:spacing w:val="-2"/>
          <w:kern w:val="0"/>
          <w:sz w:val="24"/>
        </w:rPr>
        <w:t>）</w:t>
      </w:r>
    </w:p>
    <w:tbl>
      <w:tblPr>
        <w:tblStyle w:val="12"/>
        <w:tblW w:w="0" w:type="auto"/>
        <w:tblInd w:w="-10" w:type="dxa"/>
        <w:tblBorders>
          <w:top w:val="single" w:color="auto" w:sz="8" w:space="0"/>
          <w:left w:val="single" w:color="auto" w:sz="8" w:space="0"/>
          <w:bottom w:val="single" w:color="auto" w:sz="8" w:space="0"/>
          <w:right w:val="single" w:color="auto" w:sz="8" w:space="0"/>
          <w:insideH w:val="single" w:color="333333" w:sz="6" w:space="0"/>
          <w:insideV w:val="single" w:color="333333" w:sz="6" w:space="0"/>
        </w:tblBorders>
        <w:tblLayout w:type="fixed"/>
        <w:tblCellMar>
          <w:top w:w="0" w:type="dxa"/>
          <w:left w:w="0" w:type="dxa"/>
          <w:bottom w:w="0" w:type="dxa"/>
          <w:right w:w="0" w:type="dxa"/>
        </w:tblCellMar>
      </w:tblPr>
      <w:tblGrid>
        <w:gridCol w:w="924"/>
        <w:gridCol w:w="1064"/>
        <w:gridCol w:w="1560"/>
        <w:gridCol w:w="1261"/>
        <w:gridCol w:w="1261"/>
        <w:gridCol w:w="1357"/>
        <w:gridCol w:w="1357"/>
      </w:tblGrid>
      <w:tr>
        <w:tblPrEx>
          <w:tblBorders>
            <w:top w:val="single" w:color="auto" w:sz="8" w:space="0"/>
            <w:left w:val="single" w:color="auto" w:sz="8" w:space="0"/>
            <w:bottom w:val="single" w:color="auto" w:sz="8" w:space="0"/>
            <w:right w:val="single" w:color="auto" w:sz="8" w:space="0"/>
            <w:insideH w:val="single" w:color="333333" w:sz="6" w:space="0"/>
            <w:insideV w:val="single" w:color="333333" w:sz="6" w:space="0"/>
          </w:tblBorders>
          <w:tblCellMar>
            <w:top w:w="0" w:type="dxa"/>
            <w:left w:w="0" w:type="dxa"/>
            <w:bottom w:w="0" w:type="dxa"/>
            <w:right w:w="0" w:type="dxa"/>
          </w:tblCellMar>
        </w:tblPrEx>
        <w:trPr>
          <w:trHeight w:val="454" w:hRule="atLeast"/>
        </w:trPr>
        <w:tc>
          <w:tcPr>
            <w:tcW w:w="1988" w:type="dxa"/>
            <w:gridSpan w:val="2"/>
            <w:vMerge w:val="restart"/>
            <w:tcBorders>
              <w:top w:val="single" w:color="auto" w:sz="8" w:space="0"/>
              <w:left w:val="single" w:color="auto" w:sz="8" w:space="0"/>
              <w:bottom w:val="single" w:color="333333" w:sz="6" w:space="0"/>
              <w:right w:val="single" w:color="333333" w:sz="6" w:space="0"/>
            </w:tcBorders>
            <w:noWrap w:val="0"/>
            <w:vAlign w:val="center"/>
          </w:tcPr>
          <w:p>
            <w:pPr>
              <w:widowControl/>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 xml:space="preserve">项目 </w:t>
            </w:r>
          </w:p>
        </w:tc>
        <w:tc>
          <w:tcPr>
            <w:tcW w:w="6796" w:type="dxa"/>
            <w:gridSpan w:val="5"/>
            <w:tcBorders>
              <w:top w:val="single" w:color="auto" w:sz="8" w:space="0"/>
              <w:left w:val="single" w:color="333333" w:sz="6" w:space="0"/>
              <w:bottom w:val="single" w:color="333333" w:sz="6" w:space="0"/>
              <w:right w:val="single" w:color="auto" w:sz="8" w:space="0"/>
            </w:tcBorders>
            <w:noWrap w:val="0"/>
            <w:vAlign w:val="center"/>
          </w:tcPr>
          <w:p>
            <w:pPr>
              <w:widowControl/>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 xml:space="preserve">地下燃气管道（m） </w:t>
            </w:r>
          </w:p>
        </w:tc>
      </w:tr>
      <w:tr>
        <w:tblPrEx>
          <w:tblBorders>
            <w:top w:val="single" w:color="auto" w:sz="8" w:space="0"/>
            <w:left w:val="single" w:color="auto" w:sz="8" w:space="0"/>
            <w:bottom w:val="single" w:color="auto" w:sz="8" w:space="0"/>
            <w:right w:val="single" w:color="auto" w:sz="8" w:space="0"/>
            <w:insideH w:val="single" w:color="333333" w:sz="6" w:space="0"/>
            <w:insideV w:val="single" w:color="333333" w:sz="6" w:space="0"/>
          </w:tblBorders>
          <w:tblCellMar>
            <w:top w:w="0" w:type="dxa"/>
            <w:left w:w="0" w:type="dxa"/>
            <w:bottom w:w="0" w:type="dxa"/>
            <w:right w:w="0" w:type="dxa"/>
          </w:tblCellMar>
        </w:tblPrEx>
        <w:trPr>
          <w:trHeight w:val="454" w:hRule="atLeast"/>
        </w:trPr>
        <w:tc>
          <w:tcPr>
            <w:tcW w:w="1988" w:type="dxa"/>
            <w:gridSpan w:val="2"/>
            <w:vMerge w:val="continue"/>
            <w:tcBorders>
              <w:top w:val="single" w:color="auto" w:sz="8" w:space="0"/>
              <w:left w:val="single" w:color="auto" w:sz="8" w:space="0"/>
              <w:bottom w:val="single" w:color="333333" w:sz="6" w:space="0"/>
              <w:right w:val="single" w:color="333333" w:sz="6" w:space="0"/>
            </w:tcBorders>
            <w:noWrap w:val="0"/>
            <w:vAlign w:val="center"/>
          </w:tcPr>
          <w:p>
            <w:pPr>
              <w:widowControl/>
              <w:jc w:val="left"/>
              <w:rPr>
                <w:rFonts w:ascii="Times New Roman" w:eastAsia="方正黑体_GBK"/>
                <w:color w:val="000000"/>
                <w:spacing w:val="-2"/>
                <w:kern w:val="0"/>
                <w:szCs w:val="21"/>
              </w:rPr>
            </w:pPr>
          </w:p>
        </w:tc>
        <w:tc>
          <w:tcPr>
            <w:tcW w:w="1560" w:type="dxa"/>
            <w:vMerge w:val="restart"/>
            <w:tcBorders>
              <w:top w:val="single" w:color="333333" w:sz="6" w:space="0"/>
              <w:left w:val="single" w:color="333333" w:sz="6" w:space="0"/>
              <w:bottom w:val="single" w:color="333333" w:sz="6" w:space="0"/>
              <w:right w:val="single" w:color="333333" w:sz="6" w:space="0"/>
            </w:tcBorders>
            <w:noWrap w:val="0"/>
            <w:vAlign w:val="center"/>
          </w:tcPr>
          <w:p>
            <w:pPr>
              <w:widowControl/>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低压</w:t>
            </w:r>
          </w:p>
        </w:tc>
        <w:tc>
          <w:tcPr>
            <w:tcW w:w="2522" w:type="dxa"/>
            <w:gridSpan w:val="2"/>
            <w:tcBorders>
              <w:top w:val="single" w:color="333333" w:sz="6" w:space="0"/>
              <w:left w:val="single" w:color="333333" w:sz="6" w:space="0"/>
              <w:bottom w:val="single" w:color="333333" w:sz="6" w:space="0"/>
              <w:right w:val="single" w:color="333333" w:sz="6" w:space="0"/>
            </w:tcBorders>
            <w:noWrap w:val="0"/>
            <w:vAlign w:val="center"/>
          </w:tcPr>
          <w:p>
            <w:pPr>
              <w:widowControl/>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中压</w:t>
            </w:r>
          </w:p>
        </w:tc>
        <w:tc>
          <w:tcPr>
            <w:tcW w:w="2714" w:type="dxa"/>
            <w:gridSpan w:val="2"/>
            <w:tcBorders>
              <w:top w:val="single" w:color="333333" w:sz="6" w:space="0"/>
              <w:left w:val="single" w:color="333333" w:sz="6" w:space="0"/>
              <w:bottom w:val="single" w:color="333333" w:sz="6" w:space="0"/>
              <w:right w:val="single" w:color="auto" w:sz="8" w:space="0"/>
            </w:tcBorders>
            <w:noWrap w:val="0"/>
            <w:vAlign w:val="center"/>
          </w:tcPr>
          <w:p>
            <w:pPr>
              <w:widowControl/>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次高压</w:t>
            </w:r>
          </w:p>
        </w:tc>
      </w:tr>
      <w:tr>
        <w:tblPrEx>
          <w:tblBorders>
            <w:top w:val="single" w:color="auto" w:sz="8" w:space="0"/>
            <w:left w:val="single" w:color="auto" w:sz="8" w:space="0"/>
            <w:bottom w:val="single" w:color="auto" w:sz="8" w:space="0"/>
            <w:right w:val="single" w:color="auto" w:sz="8" w:space="0"/>
            <w:insideH w:val="single" w:color="333333" w:sz="6" w:space="0"/>
            <w:insideV w:val="single" w:color="333333" w:sz="6" w:space="0"/>
          </w:tblBorders>
          <w:tblCellMar>
            <w:top w:w="0" w:type="dxa"/>
            <w:left w:w="0" w:type="dxa"/>
            <w:bottom w:w="0" w:type="dxa"/>
            <w:right w:w="0" w:type="dxa"/>
          </w:tblCellMar>
        </w:tblPrEx>
        <w:trPr>
          <w:trHeight w:val="454" w:hRule="atLeast"/>
        </w:trPr>
        <w:tc>
          <w:tcPr>
            <w:tcW w:w="1988" w:type="dxa"/>
            <w:gridSpan w:val="2"/>
            <w:vMerge w:val="continue"/>
            <w:tcBorders>
              <w:top w:val="single" w:color="auto" w:sz="8" w:space="0"/>
              <w:left w:val="single" w:color="auto" w:sz="8" w:space="0"/>
              <w:bottom w:val="single" w:color="333333" w:sz="6" w:space="0"/>
              <w:right w:val="single" w:color="333333" w:sz="6" w:space="0"/>
            </w:tcBorders>
            <w:noWrap w:val="0"/>
            <w:vAlign w:val="center"/>
          </w:tcPr>
          <w:p>
            <w:pPr>
              <w:widowControl/>
              <w:jc w:val="left"/>
              <w:rPr>
                <w:rFonts w:ascii="Times New Roman" w:eastAsia="方正黑体_GBK"/>
                <w:color w:val="000000"/>
                <w:spacing w:val="-2"/>
                <w:kern w:val="0"/>
                <w:szCs w:val="21"/>
              </w:rPr>
            </w:pPr>
          </w:p>
        </w:tc>
        <w:tc>
          <w:tcPr>
            <w:tcW w:w="1560" w:type="dxa"/>
            <w:vMerge w:val="continue"/>
            <w:tcBorders>
              <w:top w:val="single" w:color="333333" w:sz="6" w:space="0"/>
              <w:left w:val="single" w:color="333333" w:sz="6" w:space="0"/>
              <w:bottom w:val="single" w:color="333333" w:sz="6" w:space="0"/>
              <w:right w:val="single" w:color="333333" w:sz="6" w:space="0"/>
            </w:tcBorders>
            <w:noWrap w:val="0"/>
            <w:vAlign w:val="center"/>
          </w:tcPr>
          <w:p>
            <w:pPr>
              <w:widowControl/>
              <w:jc w:val="left"/>
              <w:rPr>
                <w:rFonts w:ascii="Times New Roman" w:eastAsia="方正黑体_GBK"/>
                <w:color w:val="000000"/>
                <w:spacing w:val="-2"/>
                <w:kern w:val="0"/>
                <w:szCs w:val="21"/>
              </w:rPr>
            </w:pPr>
          </w:p>
        </w:tc>
        <w:tc>
          <w:tcPr>
            <w:tcW w:w="1261" w:type="dxa"/>
            <w:tcBorders>
              <w:top w:val="single" w:color="333333" w:sz="6" w:space="0"/>
              <w:left w:val="single" w:color="333333" w:sz="6" w:space="0"/>
              <w:bottom w:val="single" w:color="333333" w:sz="6" w:space="0"/>
              <w:right w:val="single" w:color="333333" w:sz="6" w:space="0"/>
            </w:tcBorders>
            <w:noWrap w:val="0"/>
            <w:vAlign w:val="center"/>
          </w:tcPr>
          <w:p>
            <w:pPr>
              <w:widowControl/>
              <w:jc w:val="center"/>
              <w:rPr>
                <w:rFonts w:eastAsia="方正仿宋_GBK"/>
                <w:color w:val="000000"/>
                <w:spacing w:val="-2"/>
                <w:kern w:val="0"/>
                <w:szCs w:val="21"/>
              </w:rPr>
            </w:pPr>
            <w:r>
              <w:rPr>
                <w:rFonts w:eastAsia="方正仿宋_GBK"/>
                <w:color w:val="000000"/>
                <w:spacing w:val="-2"/>
                <w:kern w:val="0"/>
                <w:szCs w:val="21"/>
              </w:rPr>
              <w:t>B</w:t>
            </w:r>
          </w:p>
        </w:tc>
        <w:tc>
          <w:tcPr>
            <w:tcW w:w="1261" w:type="dxa"/>
            <w:tcBorders>
              <w:top w:val="single" w:color="333333" w:sz="6" w:space="0"/>
              <w:left w:val="single" w:color="333333" w:sz="6" w:space="0"/>
              <w:bottom w:val="single" w:color="333333" w:sz="6" w:space="0"/>
              <w:right w:val="single" w:color="333333" w:sz="6" w:space="0"/>
            </w:tcBorders>
            <w:noWrap w:val="0"/>
            <w:vAlign w:val="center"/>
          </w:tcPr>
          <w:p>
            <w:pPr>
              <w:widowControl/>
              <w:jc w:val="center"/>
              <w:rPr>
                <w:rFonts w:eastAsia="方正仿宋_GBK"/>
                <w:color w:val="000000"/>
                <w:spacing w:val="-2"/>
                <w:kern w:val="0"/>
                <w:szCs w:val="21"/>
              </w:rPr>
            </w:pPr>
            <w:r>
              <w:rPr>
                <w:rFonts w:eastAsia="方正仿宋_GBK"/>
                <w:color w:val="000000"/>
                <w:spacing w:val="-2"/>
                <w:kern w:val="0"/>
                <w:szCs w:val="21"/>
              </w:rPr>
              <w:t>A</w:t>
            </w:r>
          </w:p>
        </w:tc>
        <w:tc>
          <w:tcPr>
            <w:tcW w:w="2714" w:type="dxa"/>
            <w:gridSpan w:val="2"/>
            <w:tcBorders>
              <w:top w:val="single" w:color="333333" w:sz="6" w:space="0"/>
              <w:left w:val="single" w:color="333333" w:sz="6" w:space="0"/>
              <w:bottom w:val="single" w:color="333333" w:sz="6" w:space="0"/>
              <w:right w:val="single" w:color="auto" w:sz="8" w:space="0"/>
            </w:tcBorders>
            <w:noWrap w:val="0"/>
            <w:vAlign w:val="center"/>
          </w:tcPr>
          <w:p>
            <w:pPr>
              <w:widowControl/>
              <w:jc w:val="center"/>
              <w:rPr>
                <w:rFonts w:eastAsia="方正仿宋_GBK"/>
                <w:color w:val="000000"/>
                <w:spacing w:val="-2"/>
                <w:kern w:val="0"/>
                <w:szCs w:val="21"/>
              </w:rPr>
            </w:pPr>
            <w:r>
              <w:rPr>
                <w:rFonts w:eastAsia="方正仿宋_GBK"/>
                <w:color w:val="000000"/>
                <w:spacing w:val="-2"/>
                <w:kern w:val="0"/>
                <w:szCs w:val="21"/>
              </w:rPr>
              <w:t>B</w:t>
            </w:r>
          </w:p>
        </w:tc>
      </w:tr>
      <w:tr>
        <w:tblPrEx>
          <w:tblBorders>
            <w:top w:val="single" w:color="auto" w:sz="8" w:space="0"/>
            <w:left w:val="single" w:color="auto" w:sz="8" w:space="0"/>
            <w:bottom w:val="single" w:color="auto" w:sz="8" w:space="0"/>
            <w:right w:val="single" w:color="auto" w:sz="8" w:space="0"/>
            <w:insideH w:val="single" w:color="333333" w:sz="6" w:space="0"/>
            <w:insideV w:val="single" w:color="333333" w:sz="6" w:space="0"/>
          </w:tblBorders>
          <w:tblCellMar>
            <w:top w:w="0" w:type="dxa"/>
            <w:left w:w="0" w:type="dxa"/>
            <w:bottom w:w="0" w:type="dxa"/>
            <w:right w:w="0" w:type="dxa"/>
          </w:tblCellMar>
        </w:tblPrEx>
        <w:trPr>
          <w:trHeight w:val="454" w:hRule="atLeast"/>
        </w:trPr>
        <w:tc>
          <w:tcPr>
            <w:tcW w:w="924" w:type="dxa"/>
            <w:vMerge w:val="restart"/>
            <w:tcBorders>
              <w:top w:val="single" w:color="333333" w:sz="6" w:space="0"/>
              <w:left w:val="single" w:color="auto" w:sz="8" w:space="0"/>
              <w:bottom w:val="single" w:color="auto" w:sz="8" w:space="0"/>
              <w:right w:val="single" w:color="333333" w:sz="6" w:space="0"/>
            </w:tcBorders>
            <w:noWrap w:val="0"/>
            <w:vAlign w:val="center"/>
          </w:tcPr>
          <w:p>
            <w:pPr>
              <w:widowControl/>
              <w:jc w:val="center"/>
              <w:rPr>
                <w:rFonts w:eastAsia="方正仿宋_GBK"/>
                <w:color w:val="000000"/>
                <w:spacing w:val="-2"/>
                <w:kern w:val="0"/>
                <w:szCs w:val="21"/>
              </w:rPr>
            </w:pPr>
            <w:r>
              <w:rPr>
                <w:rFonts w:hint="eastAsia" w:eastAsia="方正仿宋_GBK"/>
                <w:color w:val="000000"/>
                <w:spacing w:val="-2"/>
                <w:kern w:val="0"/>
                <w:szCs w:val="21"/>
              </w:rPr>
              <w:t>热力管</w:t>
            </w:r>
          </w:p>
        </w:tc>
        <w:tc>
          <w:tcPr>
            <w:tcW w:w="1064" w:type="dxa"/>
            <w:vMerge w:val="restart"/>
            <w:tcBorders>
              <w:top w:val="single" w:color="333333" w:sz="6" w:space="0"/>
              <w:left w:val="single" w:color="333333" w:sz="6" w:space="0"/>
              <w:bottom w:val="single" w:color="333333" w:sz="6" w:space="0"/>
              <w:right w:val="single" w:color="333333" w:sz="6" w:space="0"/>
            </w:tcBorders>
            <w:noWrap w:val="0"/>
            <w:vAlign w:val="center"/>
          </w:tcPr>
          <w:p>
            <w:pPr>
              <w:widowControl/>
              <w:jc w:val="center"/>
              <w:rPr>
                <w:rFonts w:eastAsia="方正仿宋_GBK"/>
                <w:color w:val="000000"/>
                <w:spacing w:val="-2"/>
                <w:kern w:val="0"/>
                <w:szCs w:val="21"/>
              </w:rPr>
            </w:pPr>
            <w:r>
              <w:rPr>
                <w:rFonts w:hint="eastAsia" w:eastAsia="方正仿宋_GBK"/>
                <w:color w:val="000000"/>
                <w:spacing w:val="-2"/>
                <w:kern w:val="0"/>
                <w:szCs w:val="21"/>
              </w:rPr>
              <w:t>直埋</w:t>
            </w:r>
          </w:p>
        </w:tc>
        <w:tc>
          <w:tcPr>
            <w:tcW w:w="1560" w:type="dxa"/>
            <w:tcBorders>
              <w:top w:val="single" w:color="333333" w:sz="6" w:space="0"/>
              <w:left w:val="single" w:color="333333" w:sz="6" w:space="0"/>
              <w:bottom w:val="single" w:color="333333" w:sz="6" w:space="0"/>
              <w:right w:val="single" w:color="333333" w:sz="6" w:space="0"/>
            </w:tcBorders>
            <w:noWrap w:val="0"/>
            <w:vAlign w:val="center"/>
          </w:tcPr>
          <w:p>
            <w:pPr>
              <w:widowControl/>
              <w:jc w:val="center"/>
              <w:rPr>
                <w:rFonts w:eastAsia="方正仿宋_GBK"/>
                <w:color w:val="000000"/>
                <w:spacing w:val="-2"/>
                <w:kern w:val="0"/>
                <w:szCs w:val="21"/>
              </w:rPr>
            </w:pPr>
            <w:r>
              <w:rPr>
                <w:rFonts w:hint="eastAsia" w:eastAsia="方正仿宋_GBK"/>
                <w:color w:val="000000"/>
                <w:spacing w:val="-2"/>
                <w:kern w:val="0"/>
                <w:szCs w:val="21"/>
              </w:rPr>
              <w:t>热水</w:t>
            </w:r>
          </w:p>
        </w:tc>
        <w:tc>
          <w:tcPr>
            <w:tcW w:w="1261" w:type="dxa"/>
            <w:tcBorders>
              <w:top w:val="single" w:color="333333" w:sz="6" w:space="0"/>
              <w:left w:val="single" w:color="333333" w:sz="6" w:space="0"/>
              <w:bottom w:val="single" w:color="333333" w:sz="6" w:space="0"/>
              <w:right w:val="single" w:color="333333" w:sz="6" w:space="0"/>
            </w:tcBorders>
            <w:noWrap w:val="0"/>
            <w:vAlign w:val="center"/>
          </w:tcPr>
          <w:p>
            <w:pPr>
              <w:widowControl/>
              <w:jc w:val="center"/>
              <w:rPr>
                <w:rFonts w:eastAsia="方正仿宋_GBK"/>
                <w:color w:val="000000"/>
                <w:spacing w:val="-2"/>
                <w:kern w:val="0"/>
                <w:szCs w:val="21"/>
              </w:rPr>
            </w:pPr>
            <w:r>
              <w:rPr>
                <w:rFonts w:eastAsia="方正仿宋_GBK"/>
                <w:color w:val="000000"/>
                <w:spacing w:val="-2"/>
                <w:kern w:val="0"/>
                <w:szCs w:val="21"/>
              </w:rPr>
              <w:t>1.0</w:t>
            </w:r>
          </w:p>
        </w:tc>
        <w:tc>
          <w:tcPr>
            <w:tcW w:w="1261" w:type="dxa"/>
            <w:tcBorders>
              <w:top w:val="single" w:color="333333" w:sz="6" w:space="0"/>
              <w:left w:val="single" w:color="333333" w:sz="6" w:space="0"/>
              <w:bottom w:val="single" w:color="333333" w:sz="6" w:space="0"/>
              <w:right w:val="single" w:color="333333" w:sz="6" w:space="0"/>
            </w:tcBorders>
            <w:noWrap w:val="0"/>
            <w:vAlign w:val="center"/>
          </w:tcPr>
          <w:p>
            <w:pPr>
              <w:widowControl/>
              <w:jc w:val="center"/>
              <w:rPr>
                <w:rFonts w:eastAsia="方正仿宋_GBK"/>
                <w:color w:val="000000"/>
                <w:spacing w:val="-2"/>
                <w:kern w:val="0"/>
                <w:szCs w:val="21"/>
              </w:rPr>
            </w:pPr>
            <w:r>
              <w:rPr>
                <w:rFonts w:eastAsia="方正仿宋_GBK"/>
                <w:color w:val="000000"/>
                <w:spacing w:val="-2"/>
                <w:kern w:val="0"/>
                <w:szCs w:val="21"/>
              </w:rPr>
              <w:t>1.0</w:t>
            </w:r>
          </w:p>
        </w:tc>
        <w:tc>
          <w:tcPr>
            <w:tcW w:w="1357" w:type="dxa"/>
            <w:tcBorders>
              <w:top w:val="single" w:color="333333" w:sz="6" w:space="0"/>
              <w:left w:val="single" w:color="333333" w:sz="6" w:space="0"/>
              <w:bottom w:val="single" w:color="333333" w:sz="6" w:space="0"/>
              <w:right w:val="single" w:color="333333" w:sz="6" w:space="0"/>
            </w:tcBorders>
            <w:noWrap w:val="0"/>
            <w:vAlign w:val="center"/>
          </w:tcPr>
          <w:p>
            <w:pPr>
              <w:widowControl/>
              <w:jc w:val="center"/>
              <w:rPr>
                <w:rFonts w:eastAsia="方正仿宋_GBK"/>
                <w:color w:val="000000"/>
                <w:spacing w:val="-2"/>
                <w:kern w:val="0"/>
                <w:szCs w:val="21"/>
              </w:rPr>
            </w:pPr>
            <w:r>
              <w:rPr>
                <w:rFonts w:eastAsia="方正仿宋_GBK"/>
                <w:color w:val="000000"/>
                <w:spacing w:val="-2"/>
                <w:kern w:val="0"/>
                <w:szCs w:val="21"/>
              </w:rPr>
              <w:t>1.0</w:t>
            </w:r>
          </w:p>
        </w:tc>
        <w:tc>
          <w:tcPr>
            <w:tcW w:w="1357" w:type="dxa"/>
            <w:tcBorders>
              <w:top w:val="single" w:color="333333" w:sz="6" w:space="0"/>
              <w:left w:val="single" w:color="333333" w:sz="6" w:space="0"/>
              <w:bottom w:val="single" w:color="333333" w:sz="6" w:space="0"/>
              <w:right w:val="single" w:color="auto" w:sz="8" w:space="0"/>
            </w:tcBorders>
            <w:noWrap w:val="0"/>
            <w:vAlign w:val="center"/>
          </w:tcPr>
          <w:p>
            <w:pPr>
              <w:widowControl/>
              <w:jc w:val="center"/>
              <w:rPr>
                <w:rFonts w:eastAsia="方正仿宋_GBK"/>
                <w:color w:val="000000"/>
                <w:spacing w:val="-2"/>
                <w:kern w:val="0"/>
                <w:szCs w:val="21"/>
              </w:rPr>
            </w:pPr>
            <w:r>
              <w:rPr>
                <w:rFonts w:eastAsia="方正仿宋_GBK"/>
                <w:color w:val="000000"/>
                <w:spacing w:val="-2"/>
                <w:kern w:val="0"/>
                <w:szCs w:val="21"/>
              </w:rPr>
              <w:t>1.5</w:t>
            </w:r>
          </w:p>
        </w:tc>
      </w:tr>
      <w:tr>
        <w:tblPrEx>
          <w:tblBorders>
            <w:top w:val="single" w:color="auto" w:sz="8" w:space="0"/>
            <w:left w:val="single" w:color="auto" w:sz="8" w:space="0"/>
            <w:bottom w:val="single" w:color="auto" w:sz="8" w:space="0"/>
            <w:right w:val="single" w:color="auto" w:sz="8" w:space="0"/>
            <w:insideH w:val="single" w:color="333333" w:sz="6" w:space="0"/>
            <w:insideV w:val="single" w:color="333333" w:sz="6" w:space="0"/>
          </w:tblBorders>
          <w:tblCellMar>
            <w:top w:w="0" w:type="dxa"/>
            <w:left w:w="0" w:type="dxa"/>
            <w:bottom w:w="0" w:type="dxa"/>
            <w:right w:w="0" w:type="dxa"/>
          </w:tblCellMar>
        </w:tblPrEx>
        <w:trPr>
          <w:trHeight w:val="454" w:hRule="atLeast"/>
        </w:trPr>
        <w:tc>
          <w:tcPr>
            <w:tcW w:w="924" w:type="dxa"/>
            <w:vMerge w:val="continue"/>
            <w:tcBorders>
              <w:top w:val="single" w:color="333333" w:sz="6" w:space="0"/>
              <w:left w:val="single" w:color="auto" w:sz="8" w:space="0"/>
              <w:bottom w:val="single" w:color="auto" w:sz="8" w:space="0"/>
              <w:right w:val="single" w:color="333333" w:sz="6" w:space="0"/>
            </w:tcBorders>
            <w:noWrap w:val="0"/>
            <w:vAlign w:val="center"/>
          </w:tcPr>
          <w:p>
            <w:pPr>
              <w:widowControl/>
              <w:jc w:val="left"/>
              <w:rPr>
                <w:rFonts w:eastAsia="方正仿宋_GBK"/>
                <w:color w:val="000000"/>
                <w:spacing w:val="-2"/>
                <w:kern w:val="0"/>
                <w:szCs w:val="21"/>
              </w:rPr>
            </w:pPr>
          </w:p>
        </w:tc>
        <w:tc>
          <w:tcPr>
            <w:tcW w:w="1064" w:type="dxa"/>
            <w:vMerge w:val="continue"/>
            <w:tcBorders>
              <w:top w:val="single" w:color="333333" w:sz="6" w:space="0"/>
              <w:left w:val="single" w:color="333333" w:sz="6" w:space="0"/>
              <w:bottom w:val="single" w:color="333333" w:sz="6" w:space="0"/>
              <w:right w:val="single" w:color="333333" w:sz="6" w:space="0"/>
            </w:tcBorders>
            <w:noWrap w:val="0"/>
            <w:vAlign w:val="center"/>
          </w:tcPr>
          <w:p>
            <w:pPr>
              <w:widowControl/>
              <w:jc w:val="left"/>
              <w:rPr>
                <w:rFonts w:eastAsia="方正仿宋_GBK"/>
                <w:color w:val="000000"/>
                <w:spacing w:val="-2"/>
                <w:kern w:val="0"/>
                <w:szCs w:val="21"/>
              </w:rPr>
            </w:pPr>
          </w:p>
        </w:tc>
        <w:tc>
          <w:tcPr>
            <w:tcW w:w="1560" w:type="dxa"/>
            <w:tcBorders>
              <w:top w:val="single" w:color="333333" w:sz="6" w:space="0"/>
              <w:left w:val="single" w:color="333333" w:sz="6" w:space="0"/>
              <w:bottom w:val="single" w:color="333333" w:sz="6" w:space="0"/>
              <w:right w:val="single" w:color="333333" w:sz="6" w:space="0"/>
            </w:tcBorders>
            <w:noWrap w:val="0"/>
            <w:vAlign w:val="center"/>
          </w:tcPr>
          <w:p>
            <w:pPr>
              <w:widowControl/>
              <w:jc w:val="center"/>
              <w:rPr>
                <w:rFonts w:eastAsia="方正仿宋_GBK"/>
                <w:color w:val="000000"/>
                <w:spacing w:val="-2"/>
                <w:kern w:val="0"/>
                <w:szCs w:val="21"/>
              </w:rPr>
            </w:pPr>
            <w:r>
              <w:rPr>
                <w:rFonts w:hint="eastAsia" w:eastAsia="方正仿宋_GBK"/>
                <w:color w:val="000000"/>
                <w:spacing w:val="-2"/>
                <w:kern w:val="0"/>
                <w:szCs w:val="21"/>
              </w:rPr>
              <w:t>蒸汽</w:t>
            </w:r>
          </w:p>
        </w:tc>
        <w:tc>
          <w:tcPr>
            <w:tcW w:w="1261" w:type="dxa"/>
            <w:tcBorders>
              <w:top w:val="single" w:color="333333" w:sz="6" w:space="0"/>
              <w:left w:val="single" w:color="333333" w:sz="6" w:space="0"/>
              <w:bottom w:val="single" w:color="333333" w:sz="6" w:space="0"/>
              <w:right w:val="single" w:color="333333" w:sz="6" w:space="0"/>
            </w:tcBorders>
            <w:noWrap w:val="0"/>
            <w:vAlign w:val="center"/>
          </w:tcPr>
          <w:p>
            <w:pPr>
              <w:widowControl/>
              <w:jc w:val="center"/>
              <w:rPr>
                <w:rFonts w:eastAsia="方正仿宋_GBK"/>
                <w:color w:val="000000"/>
                <w:spacing w:val="-2"/>
                <w:kern w:val="0"/>
                <w:szCs w:val="21"/>
              </w:rPr>
            </w:pPr>
            <w:r>
              <w:rPr>
                <w:rFonts w:eastAsia="方正仿宋_GBK"/>
                <w:color w:val="000000"/>
                <w:spacing w:val="-2"/>
                <w:kern w:val="0"/>
                <w:szCs w:val="21"/>
              </w:rPr>
              <w:t>2.0</w:t>
            </w:r>
          </w:p>
        </w:tc>
        <w:tc>
          <w:tcPr>
            <w:tcW w:w="1261" w:type="dxa"/>
            <w:tcBorders>
              <w:top w:val="single" w:color="333333" w:sz="6" w:space="0"/>
              <w:left w:val="single" w:color="333333" w:sz="6" w:space="0"/>
              <w:bottom w:val="single" w:color="333333" w:sz="6" w:space="0"/>
              <w:right w:val="single" w:color="333333" w:sz="6" w:space="0"/>
            </w:tcBorders>
            <w:noWrap w:val="0"/>
            <w:vAlign w:val="center"/>
          </w:tcPr>
          <w:p>
            <w:pPr>
              <w:widowControl/>
              <w:jc w:val="center"/>
              <w:rPr>
                <w:rFonts w:eastAsia="方正仿宋_GBK"/>
                <w:color w:val="000000"/>
                <w:spacing w:val="-2"/>
                <w:kern w:val="0"/>
                <w:szCs w:val="21"/>
              </w:rPr>
            </w:pPr>
            <w:r>
              <w:rPr>
                <w:rFonts w:eastAsia="方正仿宋_GBK"/>
                <w:color w:val="000000"/>
                <w:spacing w:val="-2"/>
                <w:kern w:val="0"/>
                <w:szCs w:val="21"/>
              </w:rPr>
              <w:t>2.0</w:t>
            </w:r>
          </w:p>
        </w:tc>
        <w:tc>
          <w:tcPr>
            <w:tcW w:w="1357" w:type="dxa"/>
            <w:tcBorders>
              <w:top w:val="single" w:color="333333" w:sz="6" w:space="0"/>
              <w:left w:val="single" w:color="333333" w:sz="6" w:space="0"/>
              <w:bottom w:val="single" w:color="333333" w:sz="6" w:space="0"/>
              <w:right w:val="single" w:color="333333" w:sz="6" w:space="0"/>
            </w:tcBorders>
            <w:noWrap w:val="0"/>
            <w:vAlign w:val="center"/>
          </w:tcPr>
          <w:p>
            <w:pPr>
              <w:widowControl/>
              <w:jc w:val="center"/>
              <w:rPr>
                <w:rFonts w:eastAsia="方正仿宋_GBK"/>
                <w:color w:val="000000"/>
                <w:spacing w:val="-2"/>
                <w:kern w:val="0"/>
                <w:szCs w:val="21"/>
              </w:rPr>
            </w:pPr>
            <w:r>
              <w:rPr>
                <w:rFonts w:eastAsia="方正仿宋_GBK"/>
                <w:color w:val="000000"/>
                <w:spacing w:val="-2"/>
                <w:kern w:val="0"/>
                <w:szCs w:val="21"/>
              </w:rPr>
              <w:t>2.0</w:t>
            </w:r>
          </w:p>
        </w:tc>
        <w:tc>
          <w:tcPr>
            <w:tcW w:w="1357" w:type="dxa"/>
            <w:tcBorders>
              <w:top w:val="single" w:color="333333" w:sz="6" w:space="0"/>
              <w:left w:val="single" w:color="333333" w:sz="6" w:space="0"/>
              <w:bottom w:val="single" w:color="333333" w:sz="6" w:space="0"/>
              <w:right w:val="single" w:color="auto" w:sz="8" w:space="0"/>
            </w:tcBorders>
            <w:noWrap w:val="0"/>
            <w:vAlign w:val="center"/>
          </w:tcPr>
          <w:p>
            <w:pPr>
              <w:widowControl/>
              <w:jc w:val="center"/>
              <w:rPr>
                <w:rFonts w:eastAsia="方正仿宋_GBK"/>
                <w:color w:val="000000"/>
                <w:spacing w:val="-2"/>
                <w:kern w:val="0"/>
                <w:szCs w:val="21"/>
              </w:rPr>
            </w:pPr>
            <w:r>
              <w:rPr>
                <w:rFonts w:eastAsia="方正仿宋_GBK"/>
                <w:color w:val="000000"/>
                <w:spacing w:val="-2"/>
                <w:kern w:val="0"/>
                <w:szCs w:val="21"/>
              </w:rPr>
              <w:t>3.0</w:t>
            </w:r>
          </w:p>
        </w:tc>
      </w:tr>
      <w:tr>
        <w:tblPrEx>
          <w:tblBorders>
            <w:top w:val="single" w:color="auto" w:sz="8" w:space="0"/>
            <w:left w:val="single" w:color="auto" w:sz="8" w:space="0"/>
            <w:bottom w:val="single" w:color="auto" w:sz="8" w:space="0"/>
            <w:right w:val="single" w:color="auto" w:sz="8" w:space="0"/>
            <w:insideH w:val="single" w:color="333333" w:sz="6" w:space="0"/>
            <w:insideV w:val="single" w:color="333333" w:sz="6" w:space="0"/>
          </w:tblBorders>
          <w:tblCellMar>
            <w:top w:w="0" w:type="dxa"/>
            <w:left w:w="0" w:type="dxa"/>
            <w:bottom w:w="0" w:type="dxa"/>
            <w:right w:w="0" w:type="dxa"/>
          </w:tblCellMar>
        </w:tblPrEx>
        <w:trPr>
          <w:trHeight w:val="454" w:hRule="atLeast"/>
        </w:trPr>
        <w:tc>
          <w:tcPr>
            <w:tcW w:w="924" w:type="dxa"/>
            <w:vMerge w:val="continue"/>
            <w:tcBorders>
              <w:top w:val="single" w:color="333333" w:sz="6" w:space="0"/>
              <w:left w:val="single" w:color="auto" w:sz="8" w:space="0"/>
              <w:bottom w:val="single" w:color="auto" w:sz="8" w:space="0"/>
              <w:right w:val="single" w:color="333333" w:sz="6" w:space="0"/>
            </w:tcBorders>
            <w:noWrap w:val="0"/>
            <w:vAlign w:val="center"/>
          </w:tcPr>
          <w:p>
            <w:pPr>
              <w:widowControl/>
              <w:jc w:val="left"/>
              <w:rPr>
                <w:rFonts w:eastAsia="方正仿宋_GBK"/>
                <w:color w:val="000000"/>
                <w:spacing w:val="-2"/>
                <w:kern w:val="0"/>
                <w:szCs w:val="21"/>
              </w:rPr>
            </w:pPr>
          </w:p>
        </w:tc>
        <w:tc>
          <w:tcPr>
            <w:tcW w:w="2624" w:type="dxa"/>
            <w:gridSpan w:val="2"/>
            <w:tcBorders>
              <w:top w:val="single" w:color="333333" w:sz="6" w:space="0"/>
              <w:left w:val="single" w:color="333333" w:sz="6" w:space="0"/>
              <w:bottom w:val="single" w:color="auto" w:sz="8" w:space="0"/>
              <w:right w:val="single" w:color="333333" w:sz="6" w:space="0"/>
            </w:tcBorders>
            <w:noWrap w:val="0"/>
            <w:vAlign w:val="center"/>
          </w:tcPr>
          <w:p>
            <w:pPr>
              <w:widowControl/>
              <w:jc w:val="center"/>
              <w:rPr>
                <w:rFonts w:eastAsia="方正仿宋_GBK"/>
                <w:color w:val="000000"/>
                <w:spacing w:val="-2"/>
                <w:kern w:val="0"/>
                <w:szCs w:val="21"/>
              </w:rPr>
            </w:pPr>
            <w:r>
              <w:rPr>
                <w:rFonts w:hint="eastAsia" w:eastAsia="方正仿宋_GBK"/>
                <w:color w:val="000000"/>
                <w:spacing w:val="-2"/>
                <w:kern w:val="0"/>
                <w:szCs w:val="21"/>
              </w:rPr>
              <w:t>在管沟内（至外壁）</w:t>
            </w:r>
          </w:p>
        </w:tc>
        <w:tc>
          <w:tcPr>
            <w:tcW w:w="1261" w:type="dxa"/>
            <w:tcBorders>
              <w:top w:val="single" w:color="333333" w:sz="6" w:space="0"/>
              <w:left w:val="single" w:color="333333" w:sz="6" w:space="0"/>
              <w:bottom w:val="single" w:color="auto" w:sz="8" w:space="0"/>
              <w:right w:val="single" w:color="333333" w:sz="6" w:space="0"/>
            </w:tcBorders>
            <w:noWrap w:val="0"/>
            <w:vAlign w:val="center"/>
          </w:tcPr>
          <w:p>
            <w:pPr>
              <w:widowControl/>
              <w:jc w:val="center"/>
              <w:rPr>
                <w:rFonts w:eastAsia="方正仿宋_GBK"/>
                <w:color w:val="000000"/>
                <w:spacing w:val="-2"/>
                <w:kern w:val="0"/>
                <w:szCs w:val="21"/>
              </w:rPr>
            </w:pPr>
            <w:r>
              <w:rPr>
                <w:rFonts w:eastAsia="方正仿宋_GBK"/>
                <w:color w:val="000000"/>
                <w:spacing w:val="-2"/>
                <w:kern w:val="0"/>
                <w:szCs w:val="21"/>
              </w:rPr>
              <w:t>1.0</w:t>
            </w:r>
          </w:p>
        </w:tc>
        <w:tc>
          <w:tcPr>
            <w:tcW w:w="1261" w:type="dxa"/>
            <w:tcBorders>
              <w:top w:val="single" w:color="333333" w:sz="6" w:space="0"/>
              <w:left w:val="single" w:color="333333" w:sz="6" w:space="0"/>
              <w:bottom w:val="single" w:color="auto" w:sz="8" w:space="0"/>
              <w:right w:val="single" w:color="333333" w:sz="6" w:space="0"/>
            </w:tcBorders>
            <w:noWrap w:val="0"/>
            <w:vAlign w:val="center"/>
          </w:tcPr>
          <w:p>
            <w:pPr>
              <w:widowControl/>
              <w:jc w:val="center"/>
              <w:rPr>
                <w:rFonts w:eastAsia="方正仿宋_GBK"/>
                <w:color w:val="000000"/>
                <w:spacing w:val="-2"/>
                <w:kern w:val="0"/>
                <w:szCs w:val="21"/>
              </w:rPr>
            </w:pPr>
            <w:r>
              <w:rPr>
                <w:rFonts w:eastAsia="方正仿宋_GBK"/>
                <w:color w:val="000000"/>
                <w:spacing w:val="-2"/>
                <w:kern w:val="0"/>
                <w:szCs w:val="21"/>
              </w:rPr>
              <w:t>1.5</w:t>
            </w:r>
          </w:p>
        </w:tc>
        <w:tc>
          <w:tcPr>
            <w:tcW w:w="1357" w:type="dxa"/>
            <w:tcBorders>
              <w:top w:val="single" w:color="333333" w:sz="6" w:space="0"/>
              <w:left w:val="single" w:color="333333" w:sz="6" w:space="0"/>
              <w:bottom w:val="single" w:color="auto" w:sz="8" w:space="0"/>
              <w:right w:val="single" w:color="333333" w:sz="6" w:space="0"/>
            </w:tcBorders>
            <w:noWrap w:val="0"/>
            <w:vAlign w:val="center"/>
          </w:tcPr>
          <w:p>
            <w:pPr>
              <w:widowControl/>
              <w:jc w:val="center"/>
              <w:rPr>
                <w:rFonts w:eastAsia="方正仿宋_GBK"/>
                <w:color w:val="000000"/>
                <w:spacing w:val="-2"/>
                <w:kern w:val="0"/>
                <w:szCs w:val="21"/>
              </w:rPr>
            </w:pPr>
            <w:r>
              <w:rPr>
                <w:rFonts w:eastAsia="方正仿宋_GBK"/>
                <w:color w:val="000000"/>
                <w:spacing w:val="-2"/>
                <w:kern w:val="0"/>
                <w:szCs w:val="21"/>
              </w:rPr>
              <w:t>1.5</w:t>
            </w:r>
          </w:p>
        </w:tc>
        <w:tc>
          <w:tcPr>
            <w:tcW w:w="1357" w:type="dxa"/>
            <w:tcBorders>
              <w:top w:val="single" w:color="333333" w:sz="6" w:space="0"/>
              <w:left w:val="single" w:color="333333" w:sz="6" w:space="0"/>
              <w:bottom w:val="single" w:color="auto" w:sz="8" w:space="0"/>
              <w:right w:val="single" w:color="auto" w:sz="8" w:space="0"/>
            </w:tcBorders>
            <w:noWrap w:val="0"/>
            <w:vAlign w:val="center"/>
          </w:tcPr>
          <w:p>
            <w:pPr>
              <w:widowControl/>
              <w:jc w:val="center"/>
              <w:rPr>
                <w:rFonts w:eastAsia="方正仿宋_GBK"/>
                <w:color w:val="000000"/>
                <w:spacing w:val="-2"/>
                <w:kern w:val="0"/>
                <w:szCs w:val="21"/>
              </w:rPr>
            </w:pPr>
            <w:r>
              <w:rPr>
                <w:rFonts w:eastAsia="方正仿宋_GBK"/>
                <w:color w:val="000000"/>
                <w:spacing w:val="-2"/>
                <w:kern w:val="0"/>
                <w:szCs w:val="21"/>
              </w:rPr>
              <w:t>2.0</w:t>
            </w:r>
          </w:p>
        </w:tc>
      </w:tr>
    </w:tbl>
    <w:p>
      <w:pPr>
        <w:spacing w:before="120" w:beforeLines="50" w:line="460" w:lineRule="exact"/>
        <w:jc w:val="center"/>
        <w:rPr>
          <w:rFonts w:eastAsia="方正黑体_GBK"/>
          <w:color w:val="000000"/>
          <w:spacing w:val="-2"/>
          <w:kern w:val="0"/>
          <w:sz w:val="24"/>
        </w:rPr>
      </w:pPr>
    </w:p>
    <w:p>
      <w:pPr>
        <w:spacing w:before="120" w:beforeLines="50" w:line="460" w:lineRule="exact"/>
        <w:jc w:val="center"/>
        <w:rPr>
          <w:rFonts w:eastAsia="方正黑体_GBK"/>
          <w:color w:val="000000"/>
          <w:spacing w:val="-2"/>
          <w:kern w:val="0"/>
          <w:sz w:val="24"/>
        </w:rPr>
      </w:pPr>
      <w:r>
        <w:rPr>
          <w:rFonts w:hint="eastAsia" w:eastAsia="方正黑体_GBK"/>
          <w:color w:val="000000"/>
          <w:spacing w:val="-2"/>
          <w:kern w:val="0"/>
          <w:sz w:val="24"/>
        </w:rPr>
        <w:t>表</w:t>
      </w:r>
      <w:r>
        <w:rPr>
          <w:rFonts w:eastAsia="方正黑体_GBK"/>
          <w:color w:val="000000"/>
          <w:spacing w:val="-2"/>
          <w:kern w:val="0"/>
          <w:sz w:val="24"/>
        </w:rPr>
        <w:t xml:space="preserve">4.3.2-2 </w:t>
      </w:r>
      <w:r>
        <w:rPr>
          <w:rFonts w:hint="eastAsia" w:eastAsia="方正黑体_GBK"/>
          <w:color w:val="000000"/>
          <w:spacing w:val="-2"/>
          <w:kern w:val="0"/>
          <w:sz w:val="24"/>
        </w:rPr>
        <w:t>聚乙烯管道和钢骨架聚乙烯复合管道与热力管道之间的水平净距（</w:t>
      </w:r>
      <w:r>
        <w:rPr>
          <w:rFonts w:eastAsia="方正黑体_GBK"/>
          <w:color w:val="000000"/>
          <w:spacing w:val="-2"/>
          <w:kern w:val="0"/>
          <w:sz w:val="24"/>
        </w:rPr>
        <w:t>m</w:t>
      </w:r>
      <w:r>
        <w:rPr>
          <w:rFonts w:hint="eastAsia" w:eastAsia="方正黑体_GBK"/>
          <w:color w:val="000000"/>
          <w:spacing w:val="-2"/>
          <w:kern w:val="0"/>
          <w:sz w:val="24"/>
        </w:rPr>
        <w:t>）</w:t>
      </w:r>
    </w:p>
    <w:tbl>
      <w:tblPr>
        <w:tblStyle w:val="12"/>
        <w:tblW w:w="0" w:type="auto"/>
        <w:tblInd w:w="-10" w:type="dxa"/>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tblLayout w:type="fixed"/>
        <w:tblCellMar>
          <w:top w:w="0" w:type="dxa"/>
          <w:left w:w="0" w:type="dxa"/>
          <w:bottom w:w="0" w:type="dxa"/>
          <w:right w:w="0" w:type="dxa"/>
        </w:tblCellMar>
      </w:tblPr>
      <w:tblGrid>
        <w:gridCol w:w="1418"/>
        <w:gridCol w:w="2835"/>
        <w:gridCol w:w="4515"/>
      </w:tblGrid>
      <w:tr>
        <w:tblPrEx>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tblCellMar>
            <w:top w:w="0" w:type="dxa"/>
            <w:left w:w="0" w:type="dxa"/>
            <w:bottom w:w="0" w:type="dxa"/>
            <w:right w:w="0" w:type="dxa"/>
          </w:tblCellMar>
        </w:tblPrEx>
        <w:trPr>
          <w:trHeight w:val="695" w:hRule="atLeast"/>
        </w:trPr>
        <w:tc>
          <w:tcPr>
            <w:tcW w:w="4253" w:type="dxa"/>
            <w:gridSpan w:val="2"/>
            <w:tcBorders>
              <w:top w:val="single" w:color="auto" w:sz="8" w:space="0"/>
              <w:left w:val="single" w:color="auto" w:sz="8" w:space="0"/>
              <w:bottom w:val="nil"/>
              <w:right w:val="single" w:color="333333" w:sz="6" w:space="0"/>
            </w:tcBorders>
            <w:noWrap w:val="0"/>
            <w:vAlign w:val="center"/>
          </w:tcPr>
          <w:p>
            <w:pPr>
              <w:widowControl/>
              <w:spacing w:before="100" w:beforeAutospacing="1" w:after="100" w:afterAutospacing="1"/>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项    目</w:t>
            </w:r>
          </w:p>
        </w:tc>
        <w:tc>
          <w:tcPr>
            <w:tcW w:w="4515" w:type="dxa"/>
            <w:tcBorders>
              <w:top w:val="single" w:color="auto" w:sz="8" w:space="0"/>
              <w:left w:val="single" w:color="333333" w:sz="6" w:space="0"/>
              <w:bottom w:val="single" w:color="333333" w:sz="6" w:space="0"/>
              <w:right w:val="single" w:color="auto" w:sz="8" w:space="0"/>
            </w:tcBorders>
            <w:noWrap w:val="0"/>
            <w:vAlign w:val="center"/>
          </w:tcPr>
          <w:p>
            <w:pPr>
              <w:widowControl/>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燃气管道（当有套管时，</w:t>
            </w:r>
          </w:p>
          <w:p>
            <w:pPr>
              <w:widowControl/>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从套管外径计）（m）</w:t>
            </w:r>
          </w:p>
        </w:tc>
      </w:tr>
      <w:tr>
        <w:tblPrEx>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1418" w:type="dxa"/>
            <w:vMerge w:val="restart"/>
            <w:tcBorders>
              <w:top w:val="single" w:color="333333" w:sz="6" w:space="0"/>
              <w:left w:val="single" w:color="auto" w:sz="8" w:space="0"/>
              <w:bottom w:val="single" w:color="auto" w:sz="8" w:space="0"/>
              <w:right w:val="single" w:color="333333" w:sz="6" w:space="0"/>
            </w:tcBorders>
            <w:noWrap w:val="0"/>
            <w:vAlign w:val="center"/>
          </w:tcPr>
          <w:p>
            <w:pPr>
              <w:widowControl/>
              <w:spacing w:before="100" w:beforeAutospacing="1" w:after="100" w:afterAutospacing="1"/>
              <w:jc w:val="center"/>
              <w:rPr>
                <w:rFonts w:eastAsia="方正仿宋_GBK"/>
                <w:color w:val="000000"/>
                <w:spacing w:val="-2"/>
                <w:kern w:val="0"/>
                <w:szCs w:val="21"/>
              </w:rPr>
            </w:pPr>
            <w:r>
              <w:rPr>
                <w:rFonts w:hint="eastAsia" w:eastAsia="方正仿宋_GBK"/>
                <w:color w:val="000000"/>
                <w:spacing w:val="-2"/>
                <w:kern w:val="0"/>
                <w:szCs w:val="21"/>
              </w:rPr>
              <w:t>热力管</w:t>
            </w:r>
          </w:p>
        </w:tc>
        <w:tc>
          <w:tcPr>
            <w:tcW w:w="2835" w:type="dxa"/>
            <w:tcBorders>
              <w:top w:val="single" w:color="333333" w:sz="6" w:space="0"/>
              <w:left w:val="single" w:color="333333" w:sz="6" w:space="0"/>
              <w:bottom w:val="single" w:color="333333" w:sz="6" w:space="0"/>
              <w:right w:val="single" w:color="333333" w:sz="6" w:space="0"/>
            </w:tcBorders>
            <w:noWrap w:val="0"/>
            <w:vAlign w:val="center"/>
          </w:tcPr>
          <w:p>
            <w:pPr>
              <w:widowControl/>
              <w:spacing w:before="100" w:beforeAutospacing="1" w:after="100" w:afterAutospacing="1"/>
              <w:jc w:val="center"/>
              <w:rPr>
                <w:rFonts w:eastAsia="方正仿宋_GBK"/>
                <w:color w:val="000000"/>
                <w:spacing w:val="-2"/>
                <w:kern w:val="0"/>
                <w:szCs w:val="21"/>
              </w:rPr>
            </w:pPr>
            <w:r>
              <w:rPr>
                <w:rFonts w:hint="eastAsia" w:eastAsia="方正仿宋_GBK"/>
                <w:color w:val="000000"/>
                <w:spacing w:val="-2"/>
                <w:kern w:val="0"/>
                <w:szCs w:val="21"/>
              </w:rPr>
              <w:t>燃气管在直埋管上方</w:t>
            </w:r>
          </w:p>
        </w:tc>
        <w:tc>
          <w:tcPr>
            <w:tcW w:w="4515" w:type="dxa"/>
            <w:tcBorders>
              <w:top w:val="single" w:color="333333" w:sz="6" w:space="0"/>
              <w:left w:val="single" w:color="333333" w:sz="6" w:space="0"/>
              <w:bottom w:val="single" w:color="333333" w:sz="6" w:space="0"/>
              <w:right w:val="single" w:color="auto" w:sz="8" w:space="0"/>
            </w:tcBorders>
            <w:noWrap w:val="0"/>
            <w:vAlign w:val="center"/>
          </w:tcPr>
          <w:p>
            <w:pPr>
              <w:widowControl/>
              <w:spacing w:before="100" w:beforeAutospacing="1" w:after="100" w:afterAutospacing="1"/>
              <w:jc w:val="center"/>
              <w:rPr>
                <w:rFonts w:eastAsia="方正仿宋_GBK"/>
                <w:color w:val="000000"/>
                <w:spacing w:val="-2"/>
                <w:kern w:val="0"/>
                <w:szCs w:val="21"/>
              </w:rPr>
            </w:pPr>
            <w:r>
              <w:rPr>
                <w:rFonts w:eastAsia="方正仿宋_GBK"/>
                <w:color w:val="000000"/>
                <w:spacing w:val="-2"/>
                <w:kern w:val="0"/>
                <w:szCs w:val="21"/>
              </w:rPr>
              <w:t>0.5</w:t>
            </w:r>
            <w:r>
              <w:rPr>
                <w:rFonts w:hint="eastAsia" w:eastAsia="方正仿宋_GBK"/>
                <w:color w:val="000000"/>
                <w:spacing w:val="-2"/>
                <w:kern w:val="0"/>
                <w:szCs w:val="21"/>
              </w:rPr>
              <w:t>（加套管）</w:t>
            </w:r>
          </w:p>
        </w:tc>
      </w:tr>
      <w:tr>
        <w:tblPrEx>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1418" w:type="dxa"/>
            <w:vMerge w:val="continue"/>
            <w:tcBorders>
              <w:top w:val="single" w:color="333333" w:sz="6" w:space="0"/>
              <w:left w:val="single" w:color="auto" w:sz="8" w:space="0"/>
              <w:bottom w:val="single" w:color="auto" w:sz="8" w:space="0"/>
              <w:right w:val="single" w:color="333333" w:sz="6" w:space="0"/>
            </w:tcBorders>
            <w:noWrap w:val="0"/>
            <w:vAlign w:val="center"/>
          </w:tcPr>
          <w:p>
            <w:pPr>
              <w:widowControl/>
              <w:jc w:val="left"/>
              <w:rPr>
                <w:rFonts w:eastAsia="方正仿宋_GBK"/>
                <w:color w:val="000000"/>
                <w:spacing w:val="-2"/>
                <w:kern w:val="0"/>
                <w:szCs w:val="21"/>
              </w:rPr>
            </w:pPr>
          </w:p>
        </w:tc>
        <w:tc>
          <w:tcPr>
            <w:tcW w:w="2835" w:type="dxa"/>
            <w:tcBorders>
              <w:top w:val="nil"/>
              <w:left w:val="single" w:color="333333" w:sz="6" w:space="0"/>
              <w:bottom w:val="single" w:color="333333" w:sz="6" w:space="0"/>
              <w:right w:val="single" w:color="333333" w:sz="6" w:space="0"/>
            </w:tcBorders>
            <w:noWrap w:val="0"/>
            <w:vAlign w:val="center"/>
          </w:tcPr>
          <w:p>
            <w:pPr>
              <w:widowControl/>
              <w:spacing w:before="100" w:beforeAutospacing="1" w:after="100" w:afterAutospacing="1"/>
              <w:jc w:val="center"/>
              <w:rPr>
                <w:rFonts w:eastAsia="方正仿宋_GBK"/>
                <w:color w:val="000000"/>
                <w:spacing w:val="-2"/>
                <w:kern w:val="0"/>
                <w:szCs w:val="21"/>
              </w:rPr>
            </w:pPr>
            <w:r>
              <w:rPr>
                <w:rFonts w:hint="eastAsia" w:eastAsia="方正仿宋_GBK"/>
                <w:color w:val="000000"/>
                <w:spacing w:val="-2"/>
                <w:kern w:val="0"/>
                <w:szCs w:val="21"/>
              </w:rPr>
              <w:t>燃气管在直埋管下方</w:t>
            </w:r>
          </w:p>
        </w:tc>
        <w:tc>
          <w:tcPr>
            <w:tcW w:w="4515" w:type="dxa"/>
            <w:tcBorders>
              <w:top w:val="single" w:color="333333" w:sz="6" w:space="0"/>
              <w:left w:val="single" w:color="333333" w:sz="6" w:space="0"/>
              <w:bottom w:val="single" w:color="333333" w:sz="6" w:space="0"/>
              <w:right w:val="single" w:color="auto" w:sz="8" w:space="0"/>
            </w:tcBorders>
            <w:noWrap w:val="0"/>
            <w:vAlign w:val="center"/>
          </w:tcPr>
          <w:p>
            <w:pPr>
              <w:widowControl/>
              <w:spacing w:before="100" w:beforeAutospacing="1" w:after="100" w:afterAutospacing="1"/>
              <w:jc w:val="center"/>
              <w:rPr>
                <w:rFonts w:eastAsia="方正仿宋_GBK"/>
                <w:color w:val="000000"/>
                <w:spacing w:val="-2"/>
                <w:kern w:val="0"/>
                <w:szCs w:val="21"/>
              </w:rPr>
            </w:pPr>
            <w:r>
              <w:rPr>
                <w:rFonts w:eastAsia="方正仿宋_GBK"/>
                <w:color w:val="000000"/>
                <w:spacing w:val="-2"/>
                <w:kern w:val="0"/>
                <w:szCs w:val="21"/>
              </w:rPr>
              <w:t>1.0</w:t>
            </w:r>
            <w:r>
              <w:rPr>
                <w:rFonts w:hint="eastAsia" w:eastAsia="方正仿宋_GBK"/>
                <w:color w:val="000000"/>
                <w:spacing w:val="-2"/>
                <w:kern w:val="0"/>
                <w:szCs w:val="21"/>
              </w:rPr>
              <w:t>（加套管）</w:t>
            </w:r>
          </w:p>
        </w:tc>
      </w:tr>
      <w:tr>
        <w:tblPrEx>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1418" w:type="dxa"/>
            <w:vMerge w:val="continue"/>
            <w:tcBorders>
              <w:top w:val="single" w:color="333333" w:sz="6" w:space="0"/>
              <w:left w:val="single" w:color="auto" w:sz="8" w:space="0"/>
              <w:bottom w:val="single" w:color="auto" w:sz="8" w:space="0"/>
              <w:right w:val="single" w:color="333333" w:sz="6" w:space="0"/>
            </w:tcBorders>
            <w:noWrap w:val="0"/>
            <w:vAlign w:val="center"/>
          </w:tcPr>
          <w:p>
            <w:pPr>
              <w:widowControl/>
              <w:jc w:val="left"/>
              <w:rPr>
                <w:rFonts w:eastAsia="方正仿宋_GBK"/>
                <w:color w:val="000000"/>
                <w:spacing w:val="-2"/>
                <w:kern w:val="0"/>
                <w:szCs w:val="21"/>
              </w:rPr>
            </w:pPr>
          </w:p>
        </w:tc>
        <w:tc>
          <w:tcPr>
            <w:tcW w:w="2835" w:type="dxa"/>
            <w:tcBorders>
              <w:top w:val="single" w:color="333333" w:sz="6" w:space="0"/>
              <w:left w:val="single" w:color="333333" w:sz="6" w:space="0"/>
              <w:bottom w:val="single" w:color="333333" w:sz="6" w:space="0"/>
              <w:right w:val="single" w:color="333333" w:sz="6" w:space="0"/>
            </w:tcBorders>
            <w:noWrap w:val="0"/>
            <w:vAlign w:val="center"/>
          </w:tcPr>
          <w:p>
            <w:pPr>
              <w:widowControl/>
              <w:spacing w:before="100" w:beforeAutospacing="1" w:after="100" w:afterAutospacing="1"/>
              <w:jc w:val="center"/>
              <w:rPr>
                <w:rFonts w:eastAsia="方正仿宋_GBK"/>
                <w:color w:val="000000"/>
                <w:spacing w:val="-2"/>
                <w:kern w:val="0"/>
                <w:szCs w:val="21"/>
              </w:rPr>
            </w:pPr>
            <w:r>
              <w:rPr>
                <w:rFonts w:hint="eastAsia" w:eastAsia="方正仿宋_GBK"/>
                <w:color w:val="000000"/>
                <w:spacing w:val="-2"/>
                <w:kern w:val="0"/>
                <w:szCs w:val="21"/>
              </w:rPr>
              <w:t>燃气管在管沟上方</w:t>
            </w:r>
          </w:p>
        </w:tc>
        <w:tc>
          <w:tcPr>
            <w:tcW w:w="4515" w:type="dxa"/>
            <w:tcBorders>
              <w:top w:val="single" w:color="333333" w:sz="6" w:space="0"/>
              <w:left w:val="single" w:color="333333" w:sz="6" w:space="0"/>
              <w:bottom w:val="single" w:color="333333" w:sz="6" w:space="0"/>
              <w:right w:val="single" w:color="auto" w:sz="8" w:space="0"/>
            </w:tcBorders>
            <w:noWrap w:val="0"/>
            <w:vAlign w:val="center"/>
          </w:tcPr>
          <w:p>
            <w:pPr>
              <w:widowControl/>
              <w:spacing w:before="100" w:beforeAutospacing="1" w:after="100" w:afterAutospacing="1"/>
              <w:jc w:val="center"/>
              <w:rPr>
                <w:rFonts w:eastAsia="方正仿宋_GBK"/>
                <w:color w:val="000000"/>
                <w:spacing w:val="-2"/>
                <w:kern w:val="0"/>
                <w:szCs w:val="21"/>
              </w:rPr>
            </w:pPr>
            <w:r>
              <w:rPr>
                <w:rFonts w:eastAsia="方正仿宋_GBK"/>
                <w:color w:val="000000"/>
                <w:spacing w:val="-2"/>
                <w:kern w:val="0"/>
                <w:szCs w:val="21"/>
              </w:rPr>
              <w:t>0.2</w:t>
            </w:r>
            <w:r>
              <w:rPr>
                <w:rFonts w:hint="eastAsia" w:eastAsia="方正仿宋_GBK"/>
                <w:color w:val="000000"/>
                <w:spacing w:val="-2"/>
                <w:kern w:val="0"/>
                <w:szCs w:val="21"/>
              </w:rPr>
              <w:t>（加套管）或</w:t>
            </w:r>
            <w:r>
              <w:rPr>
                <w:rFonts w:eastAsia="方正仿宋_GBK"/>
                <w:color w:val="000000"/>
                <w:spacing w:val="-2"/>
                <w:kern w:val="0"/>
                <w:szCs w:val="21"/>
              </w:rPr>
              <w:t>0.4</w:t>
            </w:r>
          </w:p>
        </w:tc>
      </w:tr>
      <w:tr>
        <w:tblPrEx>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1418" w:type="dxa"/>
            <w:vMerge w:val="continue"/>
            <w:tcBorders>
              <w:top w:val="single" w:color="333333" w:sz="6" w:space="0"/>
              <w:left w:val="single" w:color="auto" w:sz="8" w:space="0"/>
              <w:bottom w:val="single" w:color="auto" w:sz="8" w:space="0"/>
              <w:right w:val="single" w:color="333333" w:sz="6" w:space="0"/>
            </w:tcBorders>
            <w:noWrap w:val="0"/>
            <w:vAlign w:val="center"/>
          </w:tcPr>
          <w:p>
            <w:pPr>
              <w:widowControl/>
              <w:jc w:val="left"/>
              <w:rPr>
                <w:rFonts w:eastAsia="方正仿宋_GBK"/>
                <w:color w:val="000000"/>
                <w:spacing w:val="-2"/>
                <w:kern w:val="0"/>
                <w:szCs w:val="21"/>
              </w:rPr>
            </w:pPr>
          </w:p>
        </w:tc>
        <w:tc>
          <w:tcPr>
            <w:tcW w:w="2835" w:type="dxa"/>
            <w:tcBorders>
              <w:top w:val="single" w:color="333333" w:sz="6" w:space="0"/>
              <w:left w:val="single" w:color="333333" w:sz="6" w:space="0"/>
              <w:bottom w:val="single" w:color="auto" w:sz="8" w:space="0"/>
              <w:right w:val="single" w:color="333333" w:sz="6" w:space="0"/>
            </w:tcBorders>
            <w:noWrap w:val="0"/>
            <w:vAlign w:val="center"/>
          </w:tcPr>
          <w:p>
            <w:pPr>
              <w:widowControl/>
              <w:spacing w:before="100" w:beforeAutospacing="1" w:after="100" w:afterAutospacing="1"/>
              <w:jc w:val="center"/>
              <w:rPr>
                <w:rFonts w:eastAsia="方正仿宋_GBK"/>
                <w:color w:val="000000"/>
                <w:spacing w:val="-2"/>
                <w:kern w:val="0"/>
                <w:szCs w:val="21"/>
              </w:rPr>
            </w:pPr>
            <w:r>
              <w:rPr>
                <w:rFonts w:hint="eastAsia" w:eastAsia="方正仿宋_GBK"/>
                <w:color w:val="000000"/>
                <w:spacing w:val="-2"/>
                <w:kern w:val="0"/>
                <w:szCs w:val="21"/>
              </w:rPr>
              <w:t>燃气管在管沟下方</w:t>
            </w:r>
          </w:p>
        </w:tc>
        <w:tc>
          <w:tcPr>
            <w:tcW w:w="4515" w:type="dxa"/>
            <w:tcBorders>
              <w:top w:val="single" w:color="333333" w:sz="6" w:space="0"/>
              <w:left w:val="single" w:color="333333" w:sz="6" w:space="0"/>
              <w:bottom w:val="single" w:color="auto" w:sz="8" w:space="0"/>
              <w:right w:val="single" w:color="auto" w:sz="8" w:space="0"/>
            </w:tcBorders>
            <w:noWrap w:val="0"/>
            <w:vAlign w:val="center"/>
          </w:tcPr>
          <w:p>
            <w:pPr>
              <w:widowControl/>
              <w:spacing w:before="100" w:beforeAutospacing="1" w:after="100" w:afterAutospacing="1"/>
              <w:jc w:val="center"/>
              <w:rPr>
                <w:rFonts w:eastAsia="方正仿宋_GBK"/>
                <w:color w:val="000000"/>
                <w:spacing w:val="-2"/>
                <w:kern w:val="0"/>
                <w:szCs w:val="21"/>
              </w:rPr>
            </w:pPr>
            <w:r>
              <w:rPr>
                <w:rFonts w:eastAsia="方正仿宋_GBK"/>
                <w:color w:val="000000"/>
                <w:spacing w:val="-2"/>
                <w:kern w:val="0"/>
                <w:szCs w:val="21"/>
              </w:rPr>
              <w:t>0.3</w:t>
            </w:r>
            <w:r>
              <w:rPr>
                <w:rFonts w:hint="eastAsia" w:eastAsia="方正仿宋_GBK"/>
                <w:color w:val="000000"/>
                <w:spacing w:val="-2"/>
                <w:kern w:val="0"/>
                <w:szCs w:val="21"/>
              </w:rPr>
              <w:t>（加套管）</w:t>
            </w:r>
          </w:p>
        </w:tc>
      </w:tr>
    </w:tbl>
    <w:p>
      <w:pPr>
        <w:spacing w:line="460" w:lineRule="exact"/>
        <w:ind w:firstLine="472" w:firstLineChars="200"/>
        <w:rPr>
          <w:rFonts w:eastAsia="方正楷体_GBK"/>
          <w:color w:val="000000"/>
          <w:spacing w:val="-2"/>
          <w:sz w:val="24"/>
        </w:rPr>
      </w:pPr>
      <w:r>
        <w:rPr>
          <w:rFonts w:eastAsia="方正楷体_GBK"/>
          <w:color w:val="000000"/>
          <w:spacing w:val="-2"/>
          <w:sz w:val="24"/>
        </w:rPr>
        <w:t>2</w:t>
      </w:r>
      <w:r>
        <w:rPr>
          <w:rFonts w:hint="eastAsia" w:eastAsia="方正楷体_GBK"/>
          <w:color w:val="000000"/>
          <w:spacing w:val="-2"/>
          <w:sz w:val="24"/>
        </w:rPr>
        <w:t>、压力大于</w:t>
      </w:r>
      <w:r>
        <w:rPr>
          <w:rFonts w:eastAsia="方正楷体_GBK"/>
          <w:color w:val="000000"/>
          <w:spacing w:val="-2"/>
          <w:sz w:val="24"/>
        </w:rPr>
        <w:t>1.6 MPa</w:t>
      </w:r>
      <w:r>
        <w:rPr>
          <w:rFonts w:hint="eastAsia" w:eastAsia="方正楷体_GBK"/>
          <w:color w:val="000000"/>
          <w:spacing w:val="-2"/>
          <w:sz w:val="24"/>
        </w:rPr>
        <w:t>地下燃气管道</w:t>
      </w:r>
    </w:p>
    <w:p>
      <w:pPr>
        <w:widowControl/>
        <w:spacing w:line="460" w:lineRule="exact"/>
        <w:ind w:firstLine="472" w:firstLineChars="200"/>
        <w:jc w:val="left"/>
        <w:rPr>
          <w:rFonts w:eastAsia="方正仿宋_GBK"/>
          <w:color w:val="000000"/>
          <w:spacing w:val="-2"/>
          <w:sz w:val="24"/>
        </w:rPr>
      </w:pPr>
      <w:r>
        <w:rPr>
          <w:rFonts w:hint="eastAsia" w:eastAsia="方正仿宋_GBK"/>
          <w:color w:val="000000"/>
          <w:spacing w:val="-2"/>
          <w:sz w:val="24"/>
        </w:rPr>
        <w:t>（</w:t>
      </w:r>
      <w:r>
        <w:rPr>
          <w:rFonts w:eastAsia="方正仿宋_GBK"/>
          <w:color w:val="000000"/>
          <w:spacing w:val="-2"/>
          <w:sz w:val="24"/>
        </w:rPr>
        <w:t>1</w:t>
      </w:r>
      <w:r>
        <w:rPr>
          <w:rFonts w:hint="eastAsia" w:eastAsia="方正仿宋_GBK"/>
          <w:color w:val="000000"/>
          <w:spacing w:val="-2"/>
          <w:sz w:val="24"/>
        </w:rPr>
        <w:t>）一级或二级地区地下燃气管道与建筑物之间的水平净距不应小于《城镇燃气设计规范》</w:t>
      </w:r>
      <w:r>
        <w:rPr>
          <w:rFonts w:eastAsia="方正仿宋_GBK"/>
          <w:color w:val="000000"/>
          <w:spacing w:val="-2"/>
          <w:sz w:val="24"/>
        </w:rPr>
        <w:t>GB50028</w:t>
      </w:r>
      <w:r>
        <w:rPr>
          <w:rFonts w:hint="eastAsia" w:eastAsia="方正仿宋_GBK"/>
          <w:color w:val="000000"/>
          <w:spacing w:val="-2"/>
          <w:sz w:val="24"/>
        </w:rPr>
        <w:t>表</w:t>
      </w:r>
      <w:r>
        <w:rPr>
          <w:rFonts w:eastAsia="方正仿宋_GBK"/>
          <w:color w:val="000000"/>
          <w:spacing w:val="-2"/>
          <w:sz w:val="24"/>
        </w:rPr>
        <w:t xml:space="preserve">6.4.11 </w:t>
      </w:r>
      <w:r>
        <w:rPr>
          <w:rFonts w:hint="eastAsia" w:eastAsia="方正仿宋_GBK"/>
          <w:color w:val="000000"/>
          <w:spacing w:val="-2"/>
          <w:sz w:val="24"/>
        </w:rPr>
        <w:t>的规定。</w:t>
      </w:r>
    </w:p>
    <w:p>
      <w:pPr>
        <w:spacing w:before="120" w:beforeLines="50" w:line="460" w:lineRule="exact"/>
        <w:jc w:val="center"/>
        <w:rPr>
          <w:rFonts w:eastAsia="方正黑体_GBK"/>
          <w:color w:val="000000"/>
          <w:spacing w:val="-2"/>
          <w:kern w:val="0"/>
          <w:sz w:val="24"/>
        </w:rPr>
      </w:pPr>
      <w:r>
        <w:rPr>
          <w:rFonts w:hint="eastAsia" w:eastAsia="方正黑体_GBK"/>
          <w:color w:val="000000"/>
          <w:spacing w:val="-2"/>
          <w:kern w:val="0"/>
          <w:sz w:val="24"/>
        </w:rPr>
        <w:t>表</w:t>
      </w:r>
      <w:r>
        <w:rPr>
          <w:rFonts w:eastAsia="方正黑体_GBK"/>
          <w:color w:val="000000"/>
          <w:spacing w:val="-2"/>
          <w:kern w:val="0"/>
          <w:sz w:val="24"/>
        </w:rPr>
        <w:t xml:space="preserve">6.4.11 </w:t>
      </w:r>
      <w:r>
        <w:rPr>
          <w:rFonts w:hint="eastAsia" w:eastAsia="方正黑体_GBK"/>
          <w:color w:val="000000"/>
          <w:spacing w:val="-2"/>
          <w:kern w:val="0"/>
          <w:sz w:val="24"/>
        </w:rPr>
        <w:t>一级或二级地区地下燃气管道与建筑物之间的水平净距（</w:t>
      </w:r>
      <w:r>
        <w:rPr>
          <w:rFonts w:eastAsia="方正黑体_GBK"/>
          <w:color w:val="000000"/>
          <w:spacing w:val="-2"/>
          <w:kern w:val="0"/>
          <w:sz w:val="24"/>
        </w:rPr>
        <w:t>m</w:t>
      </w:r>
      <w:r>
        <w:rPr>
          <w:rFonts w:hint="eastAsia" w:eastAsia="方正黑体_GBK"/>
          <w:color w:val="000000"/>
          <w:spacing w:val="-2"/>
          <w:kern w:val="0"/>
          <w:sz w:val="24"/>
        </w:rPr>
        <w:t>）</w:t>
      </w:r>
    </w:p>
    <w:tbl>
      <w:tblPr>
        <w:tblStyle w:val="12"/>
        <w:tblW w:w="0" w:type="auto"/>
        <w:tblInd w:w="-10" w:type="dxa"/>
        <w:tblBorders>
          <w:top w:val="single" w:color="auto" w:sz="8" w:space="0"/>
          <w:left w:val="single" w:color="auto" w:sz="8" w:space="0"/>
          <w:bottom w:val="single" w:color="auto" w:sz="8" w:space="0"/>
          <w:right w:val="single" w:color="auto" w:sz="8" w:space="0"/>
          <w:insideH w:val="single" w:color="333333" w:sz="6" w:space="0"/>
          <w:insideV w:val="single" w:color="333333" w:sz="6" w:space="0"/>
        </w:tblBorders>
        <w:tblLayout w:type="fixed"/>
        <w:tblCellMar>
          <w:top w:w="0" w:type="dxa"/>
          <w:left w:w="0" w:type="dxa"/>
          <w:bottom w:w="0" w:type="dxa"/>
          <w:right w:w="0" w:type="dxa"/>
        </w:tblCellMar>
      </w:tblPr>
      <w:tblGrid>
        <w:gridCol w:w="2988"/>
        <w:gridCol w:w="8"/>
        <w:gridCol w:w="2380"/>
        <w:gridCol w:w="1590"/>
        <w:gridCol w:w="1802"/>
      </w:tblGrid>
      <w:tr>
        <w:tblPrEx>
          <w:tblBorders>
            <w:top w:val="single" w:color="auto" w:sz="8" w:space="0"/>
            <w:left w:val="single" w:color="auto" w:sz="8" w:space="0"/>
            <w:bottom w:val="single" w:color="auto" w:sz="8" w:space="0"/>
            <w:right w:val="single" w:color="auto" w:sz="8" w:space="0"/>
            <w:insideH w:val="single" w:color="333333" w:sz="6" w:space="0"/>
            <w:insideV w:val="single" w:color="333333" w:sz="6" w:space="0"/>
          </w:tblBorders>
          <w:tblCellMar>
            <w:top w:w="0" w:type="dxa"/>
            <w:left w:w="0" w:type="dxa"/>
            <w:bottom w:w="0" w:type="dxa"/>
            <w:right w:w="0" w:type="dxa"/>
          </w:tblCellMar>
        </w:tblPrEx>
        <w:tc>
          <w:tcPr>
            <w:tcW w:w="2988" w:type="dxa"/>
            <w:tcBorders>
              <w:top w:val="single" w:color="auto" w:sz="8" w:space="0"/>
              <w:left w:val="single" w:color="auto" w:sz="8" w:space="0"/>
              <w:bottom w:val="single" w:color="333333" w:sz="6" w:space="0"/>
              <w:right w:val="single" w:color="333333" w:sz="6" w:space="0"/>
            </w:tcBorders>
            <w:noWrap w:val="0"/>
            <w:vAlign w:val="center"/>
          </w:tcPr>
          <w:p>
            <w:pPr>
              <w:widowControl/>
              <w:spacing w:line="330" w:lineRule="atLeast"/>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燃气管道公称直径 DN</w:t>
            </w:r>
          </w:p>
          <w:p>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 xml:space="preserve">(mm) </w:t>
            </w:r>
          </w:p>
        </w:tc>
        <w:tc>
          <w:tcPr>
            <w:tcW w:w="5780" w:type="dxa"/>
            <w:gridSpan w:val="4"/>
            <w:tcBorders>
              <w:top w:val="single" w:color="auto" w:sz="8" w:space="0"/>
              <w:left w:val="single" w:color="333333" w:sz="6" w:space="0"/>
              <w:bottom w:val="single" w:color="333333" w:sz="6" w:space="0"/>
              <w:right w:val="single" w:color="auto" w:sz="8" w:space="0"/>
            </w:tcBorders>
            <w:noWrap w:val="0"/>
            <w:vAlign w:val="center"/>
          </w:tcPr>
          <w:p>
            <w:pPr>
              <w:widowControl/>
              <w:spacing w:line="330" w:lineRule="atLeast"/>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 xml:space="preserve">地下燃气管道压力（ MPa ） </w:t>
            </w:r>
          </w:p>
        </w:tc>
      </w:tr>
      <w:tr>
        <w:tblPrEx>
          <w:tblBorders>
            <w:top w:val="single" w:color="auto" w:sz="8" w:space="0"/>
            <w:left w:val="single" w:color="auto" w:sz="8" w:space="0"/>
            <w:bottom w:val="single" w:color="auto" w:sz="8" w:space="0"/>
            <w:right w:val="single" w:color="auto" w:sz="8" w:space="0"/>
            <w:insideH w:val="single" w:color="333333" w:sz="6" w:space="0"/>
            <w:insideV w:val="single" w:color="333333" w:sz="6" w:space="0"/>
          </w:tblBorders>
          <w:tblCellMar>
            <w:top w:w="0" w:type="dxa"/>
            <w:left w:w="0" w:type="dxa"/>
            <w:bottom w:w="0" w:type="dxa"/>
            <w:right w:w="0" w:type="dxa"/>
          </w:tblCellMar>
        </w:tblPrEx>
        <w:trPr>
          <w:trHeight w:val="397" w:hRule="exact"/>
        </w:trPr>
        <w:tc>
          <w:tcPr>
            <w:tcW w:w="2996" w:type="dxa"/>
            <w:gridSpan w:val="2"/>
            <w:tcBorders>
              <w:top w:val="single" w:color="333333" w:sz="6" w:space="0"/>
              <w:left w:val="single" w:color="auto" w:sz="8" w:space="0"/>
              <w:bottom w:val="single" w:color="333333" w:sz="6" w:space="0"/>
              <w:right w:val="single" w:color="333333" w:sz="6" w:space="0"/>
            </w:tcBorders>
            <w:noWrap w:val="0"/>
            <w:vAlign w:val="center"/>
          </w:tcPr>
          <w:p>
            <w:pPr>
              <w:widowControl/>
              <w:spacing w:line="240" w:lineRule="exact"/>
              <w:jc w:val="left"/>
              <w:rPr>
                <w:rFonts w:eastAsia="方正仿宋_GBK"/>
                <w:color w:val="000000"/>
                <w:spacing w:val="-2"/>
                <w:kern w:val="0"/>
                <w:szCs w:val="21"/>
              </w:rPr>
            </w:pPr>
          </w:p>
        </w:tc>
        <w:tc>
          <w:tcPr>
            <w:tcW w:w="2380" w:type="dxa"/>
            <w:tcBorders>
              <w:top w:val="single" w:color="333333" w:sz="6" w:space="0"/>
              <w:left w:val="single" w:color="333333" w:sz="6" w:space="0"/>
              <w:bottom w:val="single" w:color="333333" w:sz="6" w:space="0"/>
              <w:right w:val="single" w:color="333333" w:sz="6" w:space="0"/>
            </w:tcBorders>
            <w:noWrap w:val="0"/>
            <w:vAlign w:val="center"/>
          </w:tcPr>
          <w:p>
            <w:pPr>
              <w:widowControl/>
              <w:spacing w:before="100" w:beforeAutospacing="1" w:after="100" w:afterAutospacing="1" w:line="240" w:lineRule="exact"/>
              <w:jc w:val="center"/>
              <w:rPr>
                <w:rFonts w:eastAsia="方正仿宋_GBK"/>
                <w:color w:val="000000"/>
                <w:spacing w:val="-2"/>
                <w:kern w:val="0"/>
                <w:szCs w:val="21"/>
              </w:rPr>
            </w:pPr>
            <w:r>
              <w:rPr>
                <w:rFonts w:eastAsia="方正仿宋_GBK"/>
                <w:color w:val="000000"/>
                <w:spacing w:val="-2"/>
                <w:kern w:val="0"/>
                <w:szCs w:val="21"/>
              </w:rPr>
              <w:t xml:space="preserve">1.61 </w:t>
            </w:r>
          </w:p>
        </w:tc>
        <w:tc>
          <w:tcPr>
            <w:tcW w:w="1590" w:type="dxa"/>
            <w:tcBorders>
              <w:top w:val="single" w:color="333333" w:sz="6" w:space="0"/>
              <w:left w:val="single" w:color="333333" w:sz="6" w:space="0"/>
              <w:bottom w:val="single" w:color="333333" w:sz="6" w:space="0"/>
              <w:right w:val="single" w:color="333333" w:sz="6" w:space="0"/>
            </w:tcBorders>
            <w:noWrap w:val="0"/>
            <w:vAlign w:val="center"/>
          </w:tcPr>
          <w:p>
            <w:pPr>
              <w:widowControl/>
              <w:spacing w:before="100" w:beforeAutospacing="1" w:after="100" w:afterAutospacing="1" w:line="240" w:lineRule="exact"/>
              <w:jc w:val="center"/>
              <w:rPr>
                <w:rFonts w:eastAsia="方正仿宋_GBK"/>
                <w:color w:val="000000"/>
                <w:spacing w:val="-2"/>
                <w:kern w:val="0"/>
                <w:szCs w:val="21"/>
              </w:rPr>
            </w:pPr>
            <w:r>
              <w:rPr>
                <w:rFonts w:eastAsia="方正仿宋_GBK"/>
                <w:color w:val="000000"/>
                <w:spacing w:val="-2"/>
                <w:kern w:val="0"/>
                <w:szCs w:val="21"/>
              </w:rPr>
              <w:t xml:space="preserve">2.50 </w:t>
            </w:r>
          </w:p>
        </w:tc>
        <w:tc>
          <w:tcPr>
            <w:tcW w:w="1802" w:type="dxa"/>
            <w:tcBorders>
              <w:top w:val="single" w:color="333333" w:sz="6" w:space="0"/>
              <w:left w:val="single" w:color="333333" w:sz="6" w:space="0"/>
              <w:bottom w:val="single" w:color="333333" w:sz="6" w:space="0"/>
              <w:right w:val="single" w:color="auto" w:sz="8" w:space="0"/>
            </w:tcBorders>
            <w:noWrap w:val="0"/>
            <w:vAlign w:val="center"/>
          </w:tcPr>
          <w:p>
            <w:pPr>
              <w:widowControl/>
              <w:spacing w:before="100" w:beforeAutospacing="1" w:after="100" w:afterAutospacing="1" w:line="240" w:lineRule="exact"/>
              <w:jc w:val="center"/>
              <w:rPr>
                <w:rFonts w:eastAsia="方正仿宋_GBK"/>
                <w:color w:val="000000"/>
                <w:spacing w:val="-2"/>
                <w:kern w:val="0"/>
                <w:szCs w:val="21"/>
              </w:rPr>
            </w:pPr>
            <w:r>
              <w:rPr>
                <w:rFonts w:eastAsia="方正仿宋_GBK"/>
                <w:color w:val="000000"/>
                <w:spacing w:val="-2"/>
                <w:kern w:val="0"/>
                <w:szCs w:val="21"/>
              </w:rPr>
              <w:t xml:space="preserve">4.00 </w:t>
            </w:r>
          </w:p>
        </w:tc>
      </w:tr>
      <w:tr>
        <w:tblPrEx>
          <w:tblBorders>
            <w:top w:val="single" w:color="auto" w:sz="8" w:space="0"/>
            <w:left w:val="single" w:color="auto" w:sz="8" w:space="0"/>
            <w:bottom w:val="single" w:color="auto" w:sz="8" w:space="0"/>
            <w:right w:val="single" w:color="auto" w:sz="8" w:space="0"/>
            <w:insideH w:val="single" w:color="333333" w:sz="6" w:space="0"/>
            <w:insideV w:val="single" w:color="333333" w:sz="6" w:space="0"/>
          </w:tblBorders>
          <w:tblCellMar>
            <w:top w:w="0" w:type="dxa"/>
            <w:left w:w="0" w:type="dxa"/>
            <w:bottom w:w="0" w:type="dxa"/>
            <w:right w:w="0" w:type="dxa"/>
          </w:tblCellMar>
        </w:tblPrEx>
        <w:tc>
          <w:tcPr>
            <w:tcW w:w="2988" w:type="dxa"/>
            <w:tcBorders>
              <w:top w:val="single" w:color="333333" w:sz="6" w:space="0"/>
              <w:left w:val="single" w:color="auto" w:sz="8" w:space="0"/>
              <w:bottom w:val="single" w:color="auto" w:sz="8" w:space="0"/>
              <w:right w:val="single" w:color="333333" w:sz="6" w:space="0"/>
            </w:tcBorders>
            <w:noWrap w:val="0"/>
            <w:vAlign w:val="center"/>
          </w:tcPr>
          <w:p>
            <w:pPr>
              <w:widowControl/>
              <w:spacing w:line="330" w:lineRule="atLeast"/>
              <w:jc w:val="center"/>
              <w:rPr>
                <w:rFonts w:ascii="Times New Roman" w:hAnsi="Times New Roman"/>
                <w:color w:val="000000"/>
                <w:spacing w:val="-2"/>
                <w:kern w:val="0"/>
                <w:szCs w:val="21"/>
              </w:rPr>
            </w:pPr>
            <w:r>
              <w:rPr>
                <w:rFonts w:hint="eastAsia" w:ascii="Times New Roman" w:hAnsi="Times New Roman"/>
                <w:color w:val="000000"/>
                <w:spacing w:val="-2"/>
                <w:kern w:val="0"/>
                <w:szCs w:val="21"/>
              </w:rPr>
              <w:t>900＜DN≤1050</w:t>
            </w:r>
          </w:p>
          <w:p>
            <w:pPr>
              <w:widowControl/>
              <w:spacing w:line="330" w:lineRule="atLeast"/>
              <w:jc w:val="center"/>
              <w:rPr>
                <w:rFonts w:hint="eastAsia" w:ascii="Times New Roman" w:hAnsi="Times New Roman"/>
                <w:color w:val="000000"/>
                <w:spacing w:val="-2"/>
                <w:kern w:val="0"/>
                <w:szCs w:val="21"/>
              </w:rPr>
            </w:pPr>
            <w:r>
              <w:rPr>
                <w:rFonts w:hint="eastAsia" w:ascii="Times New Roman" w:hAnsi="Times New Roman"/>
                <w:color w:val="000000"/>
                <w:spacing w:val="-2"/>
                <w:kern w:val="0"/>
                <w:szCs w:val="21"/>
              </w:rPr>
              <w:t>750＜DN≤900</w:t>
            </w:r>
          </w:p>
          <w:p>
            <w:pPr>
              <w:widowControl/>
              <w:spacing w:line="330" w:lineRule="atLeast"/>
              <w:jc w:val="center"/>
              <w:rPr>
                <w:rFonts w:hint="eastAsia" w:ascii="Times New Roman" w:hAnsi="Times New Roman"/>
                <w:color w:val="000000"/>
                <w:spacing w:val="-2"/>
                <w:kern w:val="0"/>
                <w:szCs w:val="21"/>
              </w:rPr>
            </w:pPr>
            <w:r>
              <w:rPr>
                <w:rFonts w:hint="eastAsia" w:ascii="Times New Roman" w:hAnsi="Times New Roman"/>
                <w:color w:val="000000"/>
                <w:spacing w:val="-2"/>
                <w:kern w:val="0"/>
                <w:szCs w:val="21"/>
              </w:rPr>
              <w:t>600＜DN≤750</w:t>
            </w:r>
          </w:p>
          <w:p>
            <w:pPr>
              <w:widowControl/>
              <w:spacing w:line="330" w:lineRule="atLeast"/>
              <w:jc w:val="center"/>
              <w:rPr>
                <w:rFonts w:hint="eastAsia" w:ascii="Times New Roman" w:hAnsi="Times New Roman"/>
                <w:color w:val="000000"/>
                <w:spacing w:val="-2"/>
                <w:kern w:val="0"/>
                <w:szCs w:val="21"/>
              </w:rPr>
            </w:pPr>
            <w:r>
              <w:rPr>
                <w:rFonts w:hint="eastAsia" w:ascii="Times New Roman" w:hAnsi="Times New Roman"/>
                <w:color w:val="000000"/>
                <w:spacing w:val="-2"/>
                <w:kern w:val="0"/>
                <w:szCs w:val="21"/>
              </w:rPr>
              <w:t>450＜DN≤600</w:t>
            </w:r>
          </w:p>
          <w:p>
            <w:pPr>
              <w:widowControl/>
              <w:spacing w:line="330" w:lineRule="atLeast"/>
              <w:jc w:val="center"/>
              <w:rPr>
                <w:rFonts w:hint="eastAsia" w:ascii="Times New Roman" w:hAnsi="Times New Roman"/>
                <w:color w:val="000000"/>
                <w:spacing w:val="-2"/>
                <w:kern w:val="0"/>
                <w:szCs w:val="21"/>
              </w:rPr>
            </w:pPr>
            <w:r>
              <w:rPr>
                <w:rFonts w:hint="eastAsia" w:ascii="Times New Roman" w:hAnsi="Times New Roman"/>
                <w:color w:val="000000"/>
                <w:spacing w:val="-2"/>
                <w:kern w:val="0"/>
                <w:szCs w:val="21"/>
              </w:rPr>
              <w:t>300＜DN≤450</w:t>
            </w:r>
          </w:p>
          <w:p>
            <w:pPr>
              <w:widowControl/>
              <w:spacing w:line="330" w:lineRule="atLeast"/>
              <w:jc w:val="center"/>
              <w:rPr>
                <w:rFonts w:hint="eastAsia" w:ascii="Times New Roman" w:hAnsi="Times New Roman"/>
                <w:color w:val="000000"/>
                <w:spacing w:val="-2"/>
                <w:kern w:val="0"/>
                <w:szCs w:val="21"/>
              </w:rPr>
            </w:pPr>
            <w:r>
              <w:rPr>
                <w:rFonts w:hint="eastAsia" w:ascii="Times New Roman" w:hAnsi="Times New Roman"/>
                <w:color w:val="000000"/>
                <w:spacing w:val="-2"/>
                <w:kern w:val="0"/>
                <w:szCs w:val="21"/>
              </w:rPr>
              <w:t>150＜DN≤300</w:t>
            </w:r>
          </w:p>
          <w:p>
            <w:pPr>
              <w:widowControl/>
              <w:spacing w:line="330" w:lineRule="atLeast"/>
              <w:jc w:val="center"/>
              <w:rPr>
                <w:rFonts w:eastAsia="方正仿宋_GBK"/>
                <w:color w:val="000000"/>
                <w:spacing w:val="-2"/>
                <w:kern w:val="0"/>
                <w:szCs w:val="21"/>
              </w:rPr>
            </w:pPr>
            <w:r>
              <w:rPr>
                <w:rFonts w:hint="eastAsia" w:ascii="Times New Roman" w:hAnsi="Times New Roman"/>
                <w:color w:val="000000"/>
                <w:spacing w:val="-2"/>
                <w:kern w:val="0"/>
                <w:szCs w:val="21"/>
              </w:rPr>
              <w:t>DN≤300</w:t>
            </w:r>
            <w:r>
              <w:rPr>
                <w:rFonts w:eastAsia="方正仿宋_GBK"/>
                <w:color w:val="000000"/>
                <w:spacing w:val="-2"/>
                <w:kern w:val="0"/>
                <w:szCs w:val="21"/>
              </w:rPr>
              <w:t xml:space="preserve"> </w:t>
            </w:r>
          </w:p>
        </w:tc>
        <w:tc>
          <w:tcPr>
            <w:tcW w:w="2388" w:type="dxa"/>
            <w:gridSpan w:val="2"/>
            <w:tcBorders>
              <w:top w:val="single" w:color="333333" w:sz="6" w:space="0"/>
              <w:left w:val="single" w:color="333333" w:sz="6" w:space="0"/>
              <w:bottom w:val="single" w:color="auto" w:sz="8" w:space="0"/>
              <w:right w:val="single" w:color="333333" w:sz="6" w:space="0"/>
            </w:tcBorders>
            <w:noWrap w:val="0"/>
            <w:vAlign w:val="center"/>
          </w:tcPr>
          <w:p>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53</w:t>
            </w:r>
          </w:p>
          <w:p>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40</w:t>
            </w:r>
          </w:p>
          <w:p>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31</w:t>
            </w:r>
          </w:p>
          <w:p>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24</w:t>
            </w:r>
          </w:p>
          <w:p>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19</w:t>
            </w:r>
          </w:p>
          <w:p>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14</w:t>
            </w:r>
          </w:p>
          <w:p>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11</w:t>
            </w:r>
          </w:p>
        </w:tc>
        <w:tc>
          <w:tcPr>
            <w:tcW w:w="1590" w:type="dxa"/>
            <w:tcBorders>
              <w:top w:val="single" w:color="333333" w:sz="6" w:space="0"/>
              <w:left w:val="single" w:color="333333" w:sz="6" w:space="0"/>
              <w:bottom w:val="single" w:color="auto" w:sz="8" w:space="0"/>
              <w:right w:val="single" w:color="333333" w:sz="6" w:space="0"/>
            </w:tcBorders>
            <w:noWrap w:val="0"/>
            <w:vAlign w:val="center"/>
          </w:tcPr>
          <w:p>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60</w:t>
            </w:r>
          </w:p>
          <w:p>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47</w:t>
            </w:r>
          </w:p>
          <w:p>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37</w:t>
            </w:r>
          </w:p>
          <w:p>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28</w:t>
            </w:r>
          </w:p>
          <w:p>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23</w:t>
            </w:r>
          </w:p>
          <w:p>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18</w:t>
            </w:r>
          </w:p>
          <w:p>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13</w:t>
            </w:r>
          </w:p>
        </w:tc>
        <w:tc>
          <w:tcPr>
            <w:tcW w:w="1802" w:type="dxa"/>
            <w:tcBorders>
              <w:top w:val="single" w:color="333333" w:sz="6" w:space="0"/>
              <w:left w:val="single" w:color="333333" w:sz="6" w:space="0"/>
              <w:bottom w:val="single" w:color="auto" w:sz="8" w:space="0"/>
              <w:right w:val="single" w:color="auto" w:sz="8" w:space="0"/>
            </w:tcBorders>
            <w:noWrap w:val="0"/>
            <w:vAlign w:val="center"/>
          </w:tcPr>
          <w:p>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70</w:t>
            </w:r>
          </w:p>
          <w:p>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57</w:t>
            </w:r>
          </w:p>
          <w:p>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45</w:t>
            </w:r>
          </w:p>
          <w:p>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35</w:t>
            </w:r>
          </w:p>
          <w:p>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28</w:t>
            </w:r>
          </w:p>
          <w:p>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22</w:t>
            </w:r>
          </w:p>
          <w:p>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15</w:t>
            </w:r>
          </w:p>
        </w:tc>
      </w:tr>
    </w:tbl>
    <w:p>
      <w:pPr>
        <w:widowControl/>
        <w:spacing w:before="120" w:beforeLines="50" w:line="240" w:lineRule="exact"/>
        <w:jc w:val="left"/>
        <w:rPr>
          <w:rFonts w:eastAsia="方正仿宋_GBK"/>
          <w:color w:val="000000"/>
          <w:spacing w:val="-2"/>
          <w:kern w:val="0"/>
          <w:sz w:val="18"/>
          <w:szCs w:val="18"/>
        </w:rPr>
      </w:pPr>
      <w:r>
        <w:rPr>
          <w:rFonts w:hint="eastAsia" w:eastAsia="方正仿宋_GBK"/>
          <w:color w:val="000000"/>
          <w:spacing w:val="-2"/>
          <w:kern w:val="0"/>
          <w:sz w:val="18"/>
          <w:szCs w:val="18"/>
        </w:rPr>
        <w:t>注：</w:t>
      </w:r>
      <w:r>
        <w:rPr>
          <w:rFonts w:eastAsia="方正仿宋_GBK"/>
          <w:color w:val="000000"/>
          <w:spacing w:val="-2"/>
          <w:kern w:val="0"/>
          <w:sz w:val="18"/>
          <w:szCs w:val="18"/>
        </w:rPr>
        <w:t xml:space="preserve"> 1 </w:t>
      </w:r>
      <w:r>
        <w:rPr>
          <w:rFonts w:hint="eastAsia" w:eastAsia="方正仿宋_GBK"/>
          <w:color w:val="000000"/>
          <w:spacing w:val="-2"/>
          <w:kern w:val="0"/>
          <w:sz w:val="18"/>
          <w:szCs w:val="18"/>
        </w:rPr>
        <w:t>如果燃气管道强度设计系数不大于</w:t>
      </w:r>
      <w:r>
        <w:rPr>
          <w:rFonts w:eastAsia="方正仿宋_GBK"/>
          <w:color w:val="000000"/>
          <w:spacing w:val="-2"/>
          <w:kern w:val="0"/>
          <w:sz w:val="18"/>
          <w:szCs w:val="18"/>
        </w:rPr>
        <w:t xml:space="preserve">0.4 </w:t>
      </w:r>
      <w:r>
        <w:rPr>
          <w:rFonts w:hint="eastAsia" w:eastAsia="方正仿宋_GBK"/>
          <w:color w:val="000000"/>
          <w:spacing w:val="-2"/>
          <w:kern w:val="0"/>
          <w:sz w:val="18"/>
          <w:szCs w:val="18"/>
        </w:rPr>
        <w:t>时，一级或二级地区地下燃气管道与建筑之间的水平净距可按表</w:t>
      </w:r>
      <w:r>
        <w:rPr>
          <w:rFonts w:eastAsia="方正仿宋_GBK"/>
          <w:color w:val="000000"/>
          <w:spacing w:val="-2"/>
          <w:kern w:val="0"/>
          <w:sz w:val="18"/>
          <w:szCs w:val="18"/>
        </w:rPr>
        <w:t xml:space="preserve">6.4.12 </w:t>
      </w:r>
      <w:r>
        <w:rPr>
          <w:rFonts w:hint="eastAsia" w:eastAsia="方正仿宋_GBK"/>
          <w:color w:val="000000"/>
          <w:spacing w:val="-2"/>
          <w:kern w:val="0"/>
          <w:sz w:val="18"/>
          <w:szCs w:val="18"/>
        </w:rPr>
        <w:t>确定。</w:t>
      </w:r>
    </w:p>
    <w:p>
      <w:pPr>
        <w:widowControl/>
        <w:spacing w:line="240" w:lineRule="exact"/>
        <w:jc w:val="left"/>
        <w:rPr>
          <w:rFonts w:eastAsia="方正仿宋_GBK"/>
          <w:color w:val="000000"/>
          <w:spacing w:val="-2"/>
          <w:kern w:val="0"/>
          <w:sz w:val="18"/>
          <w:szCs w:val="18"/>
        </w:rPr>
      </w:pPr>
      <w:r>
        <w:rPr>
          <w:rFonts w:eastAsia="方正仿宋_GBK"/>
          <w:color w:val="000000"/>
          <w:spacing w:val="-2"/>
          <w:kern w:val="0"/>
          <w:sz w:val="18"/>
          <w:szCs w:val="18"/>
        </w:rPr>
        <w:t xml:space="preserve">    2 </w:t>
      </w:r>
      <w:r>
        <w:rPr>
          <w:rFonts w:hint="eastAsia" w:eastAsia="方正仿宋_GBK"/>
          <w:color w:val="000000"/>
          <w:spacing w:val="-2"/>
          <w:kern w:val="0"/>
          <w:sz w:val="18"/>
          <w:szCs w:val="18"/>
        </w:rPr>
        <w:t>水平净距是指管道外壁到建筑物出地面处外墙面的距离。建筑物是指平常有人的建筑物。</w:t>
      </w:r>
    </w:p>
    <w:p>
      <w:pPr>
        <w:widowControl/>
        <w:spacing w:line="240" w:lineRule="exact"/>
        <w:jc w:val="left"/>
        <w:rPr>
          <w:rFonts w:eastAsia="方正仿宋_GBK"/>
          <w:color w:val="000000"/>
          <w:spacing w:val="-2"/>
          <w:kern w:val="0"/>
          <w:sz w:val="18"/>
          <w:szCs w:val="18"/>
        </w:rPr>
      </w:pPr>
      <w:r>
        <w:rPr>
          <w:rFonts w:eastAsia="方正仿宋_GBK"/>
          <w:color w:val="000000"/>
          <w:spacing w:val="-2"/>
          <w:kern w:val="0"/>
          <w:sz w:val="18"/>
          <w:szCs w:val="18"/>
        </w:rPr>
        <w:t xml:space="preserve">    3 </w:t>
      </w:r>
      <w:r>
        <w:rPr>
          <w:rFonts w:hint="eastAsia" w:eastAsia="方正仿宋_GBK"/>
          <w:color w:val="000000"/>
          <w:spacing w:val="-2"/>
          <w:kern w:val="0"/>
          <w:sz w:val="18"/>
          <w:szCs w:val="18"/>
        </w:rPr>
        <w:t>当燃气管道压力与表中数不相同时，可采用直线方程内插法确定水平净距。</w:t>
      </w:r>
    </w:p>
    <w:p>
      <w:pPr>
        <w:widowControl/>
        <w:spacing w:line="460" w:lineRule="exact"/>
        <w:ind w:firstLine="462" w:firstLineChars="196"/>
        <w:jc w:val="left"/>
        <w:rPr>
          <w:rFonts w:eastAsia="方正仿宋_GBK"/>
          <w:color w:val="000000"/>
          <w:spacing w:val="-2"/>
          <w:sz w:val="24"/>
        </w:rPr>
      </w:pPr>
      <w:r>
        <w:rPr>
          <w:rFonts w:hint="eastAsia" w:eastAsia="方正仿宋_GBK"/>
          <w:color w:val="000000"/>
          <w:spacing w:val="-2"/>
          <w:sz w:val="24"/>
        </w:rPr>
        <w:t>（</w:t>
      </w:r>
      <w:r>
        <w:rPr>
          <w:rFonts w:eastAsia="方正仿宋_GBK"/>
          <w:color w:val="000000"/>
          <w:spacing w:val="-2"/>
          <w:sz w:val="24"/>
        </w:rPr>
        <w:t>2</w:t>
      </w:r>
      <w:r>
        <w:rPr>
          <w:rFonts w:hint="eastAsia" w:eastAsia="方正仿宋_GBK"/>
          <w:color w:val="000000"/>
          <w:spacing w:val="-2"/>
          <w:sz w:val="24"/>
        </w:rPr>
        <w:t>）三级地区地下燃气管道与建筑物之间的水平净距不应小于表</w:t>
      </w:r>
      <w:r>
        <w:rPr>
          <w:rFonts w:eastAsia="方正仿宋_GBK"/>
          <w:color w:val="000000"/>
          <w:spacing w:val="-2"/>
          <w:sz w:val="24"/>
        </w:rPr>
        <w:t xml:space="preserve">6.4.12 </w:t>
      </w:r>
      <w:r>
        <w:rPr>
          <w:rFonts w:hint="eastAsia" w:eastAsia="方正仿宋_GBK"/>
          <w:color w:val="000000"/>
          <w:spacing w:val="-2"/>
          <w:sz w:val="24"/>
        </w:rPr>
        <w:t>的规定。</w:t>
      </w:r>
    </w:p>
    <w:p>
      <w:pPr>
        <w:spacing w:before="120" w:beforeLines="50" w:line="460" w:lineRule="exact"/>
        <w:jc w:val="center"/>
        <w:rPr>
          <w:rFonts w:eastAsia="方正黑体_GBK"/>
          <w:color w:val="000000"/>
          <w:spacing w:val="-2"/>
          <w:kern w:val="0"/>
          <w:sz w:val="24"/>
        </w:rPr>
      </w:pPr>
      <w:r>
        <w:rPr>
          <w:rFonts w:hint="eastAsia" w:eastAsia="方正黑体_GBK"/>
          <w:color w:val="000000"/>
          <w:spacing w:val="-2"/>
          <w:kern w:val="0"/>
          <w:sz w:val="24"/>
        </w:rPr>
        <w:t>表</w:t>
      </w:r>
      <w:r>
        <w:rPr>
          <w:rFonts w:eastAsia="方正黑体_GBK"/>
          <w:color w:val="000000"/>
          <w:spacing w:val="-2"/>
          <w:kern w:val="0"/>
          <w:sz w:val="24"/>
        </w:rPr>
        <w:t xml:space="preserve">6.4.12 </w:t>
      </w:r>
      <w:r>
        <w:rPr>
          <w:rFonts w:hint="eastAsia" w:eastAsia="方正黑体_GBK"/>
          <w:color w:val="000000"/>
          <w:spacing w:val="-2"/>
          <w:kern w:val="0"/>
          <w:sz w:val="24"/>
        </w:rPr>
        <w:t>三级地区地下燃气管道与建筑物之间的水平净距</w:t>
      </w:r>
      <w:r>
        <w:rPr>
          <w:rFonts w:eastAsia="方正黑体_GBK"/>
          <w:color w:val="000000"/>
          <w:spacing w:val="-2"/>
          <w:kern w:val="0"/>
          <w:sz w:val="24"/>
        </w:rPr>
        <w:t xml:space="preserve"> </w:t>
      </w:r>
      <w:r>
        <w:rPr>
          <w:rFonts w:hint="eastAsia" w:eastAsia="方正黑体_GBK"/>
          <w:color w:val="000000"/>
          <w:spacing w:val="-2"/>
          <w:kern w:val="0"/>
          <w:sz w:val="24"/>
        </w:rPr>
        <w:t>（</w:t>
      </w:r>
      <w:r>
        <w:rPr>
          <w:rFonts w:eastAsia="方正黑体_GBK"/>
          <w:color w:val="000000"/>
          <w:spacing w:val="-2"/>
          <w:kern w:val="0"/>
          <w:sz w:val="24"/>
        </w:rPr>
        <w:t>m</w:t>
      </w:r>
      <w:r>
        <w:rPr>
          <w:rFonts w:hint="eastAsia" w:eastAsia="方正黑体_GBK"/>
          <w:color w:val="000000"/>
          <w:spacing w:val="-2"/>
          <w:kern w:val="0"/>
          <w:sz w:val="24"/>
        </w:rPr>
        <w:t>）</w:t>
      </w:r>
    </w:p>
    <w:tbl>
      <w:tblPr>
        <w:tblStyle w:val="12"/>
        <w:tblW w:w="0" w:type="auto"/>
        <w:tblInd w:w="-10" w:type="dxa"/>
        <w:tblBorders>
          <w:top w:val="single" w:color="auto" w:sz="8" w:space="0"/>
          <w:left w:val="single" w:color="auto" w:sz="8" w:space="0"/>
          <w:bottom w:val="single" w:color="auto" w:sz="8" w:space="0"/>
          <w:right w:val="single" w:color="auto" w:sz="8" w:space="0"/>
          <w:insideH w:val="single" w:color="333333" w:sz="6" w:space="0"/>
          <w:insideV w:val="single" w:color="333333" w:sz="6" w:space="0"/>
        </w:tblBorders>
        <w:tblLayout w:type="fixed"/>
        <w:tblCellMar>
          <w:top w:w="0" w:type="dxa"/>
          <w:left w:w="0" w:type="dxa"/>
          <w:bottom w:w="0" w:type="dxa"/>
          <w:right w:w="0" w:type="dxa"/>
        </w:tblCellMar>
      </w:tblPr>
      <w:tblGrid>
        <w:gridCol w:w="3585"/>
        <w:gridCol w:w="1717"/>
        <w:gridCol w:w="1718"/>
        <w:gridCol w:w="1718"/>
      </w:tblGrid>
      <w:tr>
        <w:tblPrEx>
          <w:tblBorders>
            <w:top w:val="single" w:color="auto" w:sz="8" w:space="0"/>
            <w:left w:val="single" w:color="auto" w:sz="8" w:space="0"/>
            <w:bottom w:val="single" w:color="auto" w:sz="8" w:space="0"/>
            <w:right w:val="single" w:color="auto" w:sz="8" w:space="0"/>
            <w:insideH w:val="single" w:color="333333" w:sz="6" w:space="0"/>
            <w:insideV w:val="single" w:color="333333" w:sz="6" w:space="0"/>
          </w:tblBorders>
          <w:tblCellMar>
            <w:top w:w="0" w:type="dxa"/>
            <w:left w:w="0" w:type="dxa"/>
            <w:bottom w:w="0" w:type="dxa"/>
            <w:right w:w="0" w:type="dxa"/>
          </w:tblCellMar>
        </w:tblPrEx>
        <w:trPr>
          <w:trHeight w:val="555" w:hRule="atLeast"/>
        </w:trPr>
        <w:tc>
          <w:tcPr>
            <w:tcW w:w="3585" w:type="dxa"/>
            <w:vMerge w:val="restart"/>
            <w:tcBorders>
              <w:top w:val="single" w:color="auto" w:sz="8" w:space="0"/>
              <w:left w:val="single" w:color="auto" w:sz="8" w:space="0"/>
              <w:bottom w:val="single" w:color="333333" w:sz="6" w:space="0"/>
              <w:right w:val="single" w:color="333333" w:sz="6" w:space="0"/>
            </w:tcBorders>
            <w:noWrap w:val="0"/>
            <w:vAlign w:val="center"/>
          </w:tcPr>
          <w:p>
            <w:pPr>
              <w:widowControl/>
              <w:spacing w:line="330" w:lineRule="atLeast"/>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 xml:space="preserve">燃气管道公称直径和壁 </w:t>
            </w:r>
          </w:p>
          <w:p>
            <w:pPr>
              <w:widowControl/>
              <w:spacing w:line="330" w:lineRule="atLeast"/>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厚δ (mm)</w:t>
            </w:r>
          </w:p>
        </w:tc>
        <w:tc>
          <w:tcPr>
            <w:tcW w:w="5153" w:type="dxa"/>
            <w:gridSpan w:val="3"/>
            <w:tcBorders>
              <w:top w:val="single" w:color="auto" w:sz="8" w:space="0"/>
              <w:left w:val="single" w:color="333333" w:sz="6" w:space="0"/>
              <w:bottom w:val="single" w:color="333333" w:sz="6" w:space="0"/>
              <w:right w:val="single" w:color="auto" w:sz="8" w:space="0"/>
            </w:tcBorders>
            <w:noWrap w:val="0"/>
            <w:vAlign w:val="center"/>
          </w:tcPr>
          <w:p>
            <w:pPr>
              <w:widowControl/>
              <w:spacing w:line="330" w:lineRule="atLeast"/>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地下燃气管道压力（ MPa ）</w:t>
            </w:r>
          </w:p>
        </w:tc>
      </w:tr>
      <w:tr>
        <w:tblPrEx>
          <w:tblBorders>
            <w:top w:val="single" w:color="auto" w:sz="8" w:space="0"/>
            <w:left w:val="single" w:color="auto" w:sz="8" w:space="0"/>
            <w:bottom w:val="single" w:color="auto" w:sz="8" w:space="0"/>
            <w:right w:val="single" w:color="auto" w:sz="8" w:space="0"/>
            <w:insideH w:val="single" w:color="333333" w:sz="6" w:space="0"/>
            <w:insideV w:val="single" w:color="333333" w:sz="6" w:space="0"/>
          </w:tblBorders>
          <w:tblCellMar>
            <w:top w:w="0" w:type="dxa"/>
            <w:left w:w="0" w:type="dxa"/>
            <w:bottom w:w="0" w:type="dxa"/>
            <w:right w:w="0" w:type="dxa"/>
          </w:tblCellMar>
        </w:tblPrEx>
        <w:trPr>
          <w:trHeight w:val="555" w:hRule="atLeast"/>
        </w:trPr>
        <w:tc>
          <w:tcPr>
            <w:tcW w:w="3585" w:type="dxa"/>
            <w:vMerge w:val="continue"/>
            <w:tcBorders>
              <w:top w:val="single" w:color="auto" w:sz="8" w:space="0"/>
              <w:left w:val="single" w:color="auto" w:sz="8" w:space="0"/>
              <w:bottom w:val="single" w:color="333333" w:sz="6" w:space="0"/>
              <w:right w:val="single" w:color="333333" w:sz="6" w:space="0"/>
            </w:tcBorders>
            <w:noWrap w:val="0"/>
            <w:vAlign w:val="center"/>
          </w:tcPr>
          <w:p>
            <w:pPr>
              <w:widowControl/>
              <w:jc w:val="left"/>
              <w:rPr>
                <w:rFonts w:ascii="Times New Roman" w:eastAsia="方正黑体_GBK"/>
                <w:color w:val="000000"/>
                <w:spacing w:val="-2"/>
                <w:kern w:val="0"/>
                <w:szCs w:val="21"/>
              </w:rPr>
            </w:pPr>
          </w:p>
        </w:tc>
        <w:tc>
          <w:tcPr>
            <w:tcW w:w="1717" w:type="dxa"/>
            <w:tcBorders>
              <w:top w:val="single" w:color="333333" w:sz="6" w:space="0"/>
              <w:left w:val="single" w:color="333333" w:sz="6" w:space="0"/>
              <w:bottom w:val="single" w:color="333333" w:sz="6" w:space="0"/>
              <w:right w:val="single" w:color="333333" w:sz="6" w:space="0"/>
            </w:tcBorders>
            <w:noWrap w:val="0"/>
            <w:vAlign w:val="center"/>
          </w:tcPr>
          <w:p>
            <w:pPr>
              <w:widowControl/>
              <w:jc w:val="center"/>
              <w:rPr>
                <w:rFonts w:eastAsia="方正仿宋_GBK"/>
                <w:color w:val="000000"/>
                <w:spacing w:val="-2"/>
                <w:kern w:val="0"/>
                <w:szCs w:val="21"/>
              </w:rPr>
            </w:pPr>
            <w:r>
              <w:rPr>
                <w:rFonts w:eastAsia="方正仿宋_GBK"/>
                <w:color w:val="000000"/>
                <w:spacing w:val="-2"/>
                <w:kern w:val="0"/>
                <w:szCs w:val="21"/>
              </w:rPr>
              <w:t>1.61</w:t>
            </w:r>
          </w:p>
        </w:tc>
        <w:tc>
          <w:tcPr>
            <w:tcW w:w="1718" w:type="dxa"/>
            <w:tcBorders>
              <w:top w:val="single" w:color="333333" w:sz="6" w:space="0"/>
              <w:left w:val="single" w:color="333333" w:sz="6" w:space="0"/>
              <w:bottom w:val="single" w:color="333333" w:sz="6" w:space="0"/>
              <w:right w:val="single" w:color="333333" w:sz="6" w:space="0"/>
            </w:tcBorders>
            <w:noWrap w:val="0"/>
            <w:vAlign w:val="center"/>
          </w:tcPr>
          <w:p>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2.50</w:t>
            </w:r>
          </w:p>
        </w:tc>
        <w:tc>
          <w:tcPr>
            <w:tcW w:w="1718" w:type="dxa"/>
            <w:tcBorders>
              <w:top w:val="single" w:color="333333" w:sz="6" w:space="0"/>
              <w:left w:val="single" w:color="333333" w:sz="6" w:space="0"/>
              <w:bottom w:val="single" w:color="333333" w:sz="6" w:space="0"/>
              <w:right w:val="single" w:color="auto" w:sz="8" w:space="0"/>
            </w:tcBorders>
            <w:noWrap w:val="0"/>
            <w:vAlign w:val="center"/>
          </w:tcPr>
          <w:p>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4.00</w:t>
            </w:r>
          </w:p>
        </w:tc>
      </w:tr>
      <w:tr>
        <w:tblPrEx>
          <w:tblBorders>
            <w:top w:val="single" w:color="auto" w:sz="8" w:space="0"/>
            <w:left w:val="single" w:color="auto" w:sz="8" w:space="0"/>
            <w:bottom w:val="single" w:color="auto" w:sz="8" w:space="0"/>
            <w:right w:val="single" w:color="auto" w:sz="8" w:space="0"/>
            <w:insideH w:val="single" w:color="333333" w:sz="6" w:space="0"/>
            <w:insideV w:val="single" w:color="333333" w:sz="6" w:space="0"/>
          </w:tblBorders>
          <w:tblCellMar>
            <w:top w:w="0" w:type="dxa"/>
            <w:left w:w="0" w:type="dxa"/>
            <w:bottom w:w="0" w:type="dxa"/>
            <w:right w:w="0" w:type="dxa"/>
          </w:tblCellMar>
        </w:tblPrEx>
        <w:tc>
          <w:tcPr>
            <w:tcW w:w="3585" w:type="dxa"/>
            <w:tcBorders>
              <w:top w:val="single" w:color="333333" w:sz="6" w:space="0"/>
              <w:left w:val="single" w:color="auto" w:sz="8" w:space="0"/>
              <w:bottom w:val="single" w:color="auto" w:sz="8" w:space="0"/>
              <w:right w:val="single" w:color="333333" w:sz="6" w:space="0"/>
            </w:tcBorders>
            <w:noWrap w:val="0"/>
            <w:vAlign w:val="top"/>
          </w:tcPr>
          <w:p>
            <w:pPr>
              <w:widowControl/>
              <w:spacing w:line="330" w:lineRule="atLeast"/>
              <w:ind w:left="109" w:leftChars="52"/>
              <w:jc w:val="center"/>
              <w:rPr>
                <w:rFonts w:eastAsia="方正仿宋_GBK"/>
                <w:color w:val="000000"/>
                <w:spacing w:val="-2"/>
                <w:kern w:val="0"/>
                <w:szCs w:val="21"/>
              </w:rPr>
            </w:pPr>
            <w:r>
              <w:rPr>
                <w:rFonts w:eastAsia="方正仿宋_GBK"/>
                <w:color w:val="000000"/>
                <w:spacing w:val="-2"/>
                <w:kern w:val="0"/>
                <w:szCs w:val="21"/>
              </w:rPr>
              <w:t xml:space="preserve">A </w:t>
            </w:r>
            <w:r>
              <w:rPr>
                <w:rFonts w:hint="eastAsia" w:eastAsia="方正仿宋_GBK"/>
                <w:color w:val="000000"/>
                <w:spacing w:val="-2"/>
                <w:kern w:val="0"/>
                <w:szCs w:val="21"/>
              </w:rPr>
              <w:t>、所有管径</w:t>
            </w:r>
            <w:r>
              <w:rPr>
                <w:rFonts w:eastAsia="方正仿宋_GBK"/>
                <w:color w:val="000000"/>
                <w:spacing w:val="-2"/>
                <w:kern w:val="0"/>
                <w:szCs w:val="21"/>
              </w:rPr>
              <w:t>δ</w:t>
            </w:r>
            <w:r>
              <w:rPr>
                <w:rFonts w:hint="eastAsia" w:eastAsia="方正仿宋_GBK"/>
                <w:color w:val="000000"/>
                <w:spacing w:val="-2"/>
                <w:kern w:val="0"/>
                <w:szCs w:val="21"/>
              </w:rPr>
              <w:t>＜</w:t>
            </w:r>
            <w:r>
              <w:rPr>
                <w:rFonts w:eastAsia="方正仿宋_GBK"/>
                <w:color w:val="000000"/>
                <w:spacing w:val="-2"/>
                <w:kern w:val="0"/>
                <w:szCs w:val="21"/>
              </w:rPr>
              <w:t xml:space="preserve">9.5 </w:t>
            </w:r>
          </w:p>
          <w:p>
            <w:pPr>
              <w:widowControl/>
              <w:spacing w:line="330" w:lineRule="atLeast"/>
              <w:ind w:left="109" w:leftChars="52"/>
              <w:jc w:val="center"/>
              <w:rPr>
                <w:rFonts w:eastAsia="方正仿宋_GBK"/>
                <w:color w:val="000000"/>
                <w:spacing w:val="-2"/>
                <w:kern w:val="0"/>
                <w:szCs w:val="21"/>
              </w:rPr>
            </w:pPr>
            <w:r>
              <w:rPr>
                <w:rFonts w:eastAsia="方正仿宋_GBK"/>
                <w:color w:val="000000"/>
                <w:spacing w:val="-2"/>
                <w:kern w:val="0"/>
                <w:szCs w:val="21"/>
              </w:rPr>
              <w:t xml:space="preserve">B </w:t>
            </w:r>
            <w:r>
              <w:rPr>
                <w:rFonts w:hint="eastAsia" w:eastAsia="方正仿宋_GBK"/>
                <w:color w:val="000000"/>
                <w:spacing w:val="-2"/>
                <w:kern w:val="0"/>
                <w:szCs w:val="21"/>
              </w:rPr>
              <w:t>、所有管径</w:t>
            </w:r>
            <w:r>
              <w:rPr>
                <w:rFonts w:eastAsia="方正仿宋_GBK"/>
                <w:color w:val="000000"/>
                <w:spacing w:val="-2"/>
                <w:kern w:val="0"/>
                <w:szCs w:val="21"/>
              </w:rPr>
              <w:t xml:space="preserve"> 9.5</w:t>
            </w:r>
            <w:r>
              <w:rPr>
                <w:rFonts w:hint="eastAsia" w:ascii="Times New Roman" w:hAnsi="Times New Roman"/>
                <w:color w:val="000000"/>
                <w:spacing w:val="-2"/>
                <w:kern w:val="0"/>
                <w:szCs w:val="21"/>
              </w:rPr>
              <w:t>≤</w:t>
            </w:r>
            <w:r>
              <w:rPr>
                <w:rFonts w:eastAsia="方正仿宋_GBK"/>
                <w:color w:val="000000"/>
                <w:spacing w:val="-2"/>
                <w:kern w:val="0"/>
                <w:szCs w:val="21"/>
              </w:rPr>
              <w:t>δ</w:t>
            </w:r>
            <w:r>
              <w:rPr>
                <w:rFonts w:hint="eastAsia" w:eastAsia="方正仿宋_GBK"/>
                <w:color w:val="000000"/>
                <w:spacing w:val="-2"/>
                <w:kern w:val="0"/>
                <w:szCs w:val="21"/>
              </w:rPr>
              <w:t>＜</w:t>
            </w:r>
            <w:r>
              <w:rPr>
                <w:rFonts w:eastAsia="方正仿宋_GBK"/>
                <w:color w:val="000000"/>
                <w:spacing w:val="-2"/>
                <w:kern w:val="0"/>
                <w:szCs w:val="21"/>
              </w:rPr>
              <w:t xml:space="preserve">11.9 </w:t>
            </w:r>
          </w:p>
          <w:p>
            <w:pPr>
              <w:widowControl/>
              <w:spacing w:line="330" w:lineRule="atLeast"/>
              <w:ind w:left="109" w:leftChars="52"/>
              <w:jc w:val="center"/>
              <w:rPr>
                <w:rFonts w:eastAsia="方正仿宋_GBK"/>
                <w:color w:val="000000"/>
                <w:spacing w:val="-2"/>
                <w:kern w:val="0"/>
                <w:szCs w:val="21"/>
              </w:rPr>
            </w:pPr>
            <w:r>
              <w:rPr>
                <w:rFonts w:eastAsia="方正仿宋_GBK"/>
                <w:color w:val="000000"/>
                <w:spacing w:val="-2"/>
                <w:kern w:val="0"/>
                <w:szCs w:val="21"/>
              </w:rPr>
              <w:t xml:space="preserve">C </w:t>
            </w:r>
            <w:r>
              <w:rPr>
                <w:rFonts w:hint="eastAsia" w:eastAsia="方正仿宋_GBK"/>
                <w:color w:val="000000"/>
                <w:spacing w:val="-2"/>
                <w:kern w:val="0"/>
                <w:szCs w:val="21"/>
              </w:rPr>
              <w:t>、所有管径</w:t>
            </w:r>
            <w:r>
              <w:rPr>
                <w:rFonts w:eastAsia="方正仿宋_GBK"/>
                <w:color w:val="000000"/>
                <w:spacing w:val="-2"/>
                <w:kern w:val="0"/>
                <w:szCs w:val="21"/>
              </w:rPr>
              <w:t>δ</w:t>
            </w:r>
            <w:r>
              <w:rPr>
                <w:rFonts w:hint="eastAsia" w:ascii="Times New Roman" w:hAnsi="Times New Roman"/>
                <w:color w:val="000000"/>
                <w:spacing w:val="-2"/>
                <w:kern w:val="0"/>
                <w:szCs w:val="21"/>
              </w:rPr>
              <w:t>≥</w:t>
            </w:r>
            <w:r>
              <w:rPr>
                <w:rFonts w:eastAsia="方正仿宋_GBK"/>
                <w:color w:val="000000"/>
                <w:spacing w:val="-2"/>
                <w:kern w:val="0"/>
                <w:szCs w:val="21"/>
              </w:rPr>
              <w:t>11.9</w:t>
            </w:r>
          </w:p>
        </w:tc>
        <w:tc>
          <w:tcPr>
            <w:tcW w:w="1717" w:type="dxa"/>
            <w:tcBorders>
              <w:top w:val="single" w:color="333333" w:sz="6" w:space="0"/>
              <w:left w:val="single" w:color="333333" w:sz="6" w:space="0"/>
              <w:bottom w:val="single" w:color="auto" w:sz="8" w:space="0"/>
              <w:right w:val="single" w:color="333333" w:sz="6" w:space="0"/>
            </w:tcBorders>
            <w:noWrap w:val="0"/>
            <w:vAlign w:val="top"/>
          </w:tcPr>
          <w:p>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13.5</w:t>
            </w:r>
          </w:p>
          <w:p>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6.5</w:t>
            </w:r>
          </w:p>
          <w:p>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3.0</w:t>
            </w:r>
          </w:p>
        </w:tc>
        <w:tc>
          <w:tcPr>
            <w:tcW w:w="1718" w:type="dxa"/>
            <w:tcBorders>
              <w:top w:val="single" w:color="333333" w:sz="6" w:space="0"/>
              <w:left w:val="single" w:color="333333" w:sz="6" w:space="0"/>
              <w:bottom w:val="single" w:color="auto" w:sz="8" w:space="0"/>
              <w:right w:val="single" w:color="333333" w:sz="6" w:space="0"/>
            </w:tcBorders>
            <w:noWrap w:val="0"/>
            <w:vAlign w:val="top"/>
          </w:tcPr>
          <w:p>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15.0</w:t>
            </w:r>
          </w:p>
          <w:p>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7.5</w:t>
            </w:r>
          </w:p>
          <w:p>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5.0</w:t>
            </w:r>
          </w:p>
        </w:tc>
        <w:tc>
          <w:tcPr>
            <w:tcW w:w="1718" w:type="dxa"/>
            <w:tcBorders>
              <w:top w:val="single" w:color="333333" w:sz="6" w:space="0"/>
              <w:left w:val="single" w:color="333333" w:sz="6" w:space="0"/>
              <w:bottom w:val="single" w:color="auto" w:sz="8" w:space="0"/>
              <w:right w:val="single" w:color="auto" w:sz="8" w:space="0"/>
            </w:tcBorders>
            <w:noWrap w:val="0"/>
            <w:vAlign w:val="top"/>
          </w:tcPr>
          <w:p>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 xml:space="preserve">17.0 </w:t>
            </w:r>
          </w:p>
          <w:p>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 xml:space="preserve">9.0 </w:t>
            </w:r>
          </w:p>
          <w:p>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8.0</w:t>
            </w:r>
          </w:p>
        </w:tc>
      </w:tr>
    </w:tbl>
    <w:p>
      <w:pPr>
        <w:widowControl/>
        <w:spacing w:line="240" w:lineRule="exact"/>
        <w:jc w:val="left"/>
        <w:rPr>
          <w:rFonts w:eastAsia="方正仿宋_GBK"/>
          <w:color w:val="000000"/>
          <w:spacing w:val="-2"/>
          <w:kern w:val="0"/>
          <w:sz w:val="18"/>
          <w:szCs w:val="18"/>
        </w:rPr>
      </w:pPr>
      <w:r>
        <w:rPr>
          <w:rFonts w:hint="eastAsia" w:eastAsia="方正仿宋_GBK"/>
          <w:color w:val="000000"/>
          <w:spacing w:val="-2"/>
          <w:kern w:val="0"/>
          <w:sz w:val="18"/>
          <w:szCs w:val="18"/>
        </w:rPr>
        <w:t>注：</w:t>
      </w:r>
      <w:r>
        <w:rPr>
          <w:rFonts w:eastAsia="方正仿宋_GBK"/>
          <w:color w:val="000000"/>
          <w:spacing w:val="-2"/>
          <w:kern w:val="0"/>
          <w:sz w:val="18"/>
          <w:szCs w:val="18"/>
        </w:rPr>
        <w:t xml:space="preserve"> 1 </w:t>
      </w:r>
      <w:r>
        <w:rPr>
          <w:rFonts w:hint="eastAsia" w:eastAsia="方正仿宋_GBK"/>
          <w:color w:val="000000"/>
          <w:spacing w:val="-2"/>
          <w:kern w:val="0"/>
          <w:sz w:val="18"/>
          <w:szCs w:val="18"/>
        </w:rPr>
        <w:t>如果对燃气管道采取行之有效的保护措施</w:t>
      </w:r>
      <w:r>
        <w:rPr>
          <w:rFonts w:eastAsia="方正仿宋_GBK"/>
          <w:color w:val="000000"/>
          <w:spacing w:val="-2"/>
          <w:kern w:val="0"/>
          <w:sz w:val="18"/>
          <w:szCs w:val="18"/>
        </w:rPr>
        <w:t>, δ</w:t>
      </w:r>
      <w:r>
        <w:rPr>
          <w:rFonts w:hint="eastAsia" w:eastAsia="方正仿宋_GBK"/>
          <w:color w:val="000000"/>
          <w:spacing w:val="-2"/>
          <w:kern w:val="0"/>
          <w:sz w:val="18"/>
          <w:szCs w:val="18"/>
        </w:rPr>
        <w:t>＜</w:t>
      </w:r>
      <w:r>
        <w:rPr>
          <w:rFonts w:eastAsia="方正仿宋_GBK"/>
          <w:color w:val="000000"/>
          <w:spacing w:val="-2"/>
          <w:kern w:val="0"/>
          <w:sz w:val="18"/>
          <w:szCs w:val="18"/>
        </w:rPr>
        <w:t xml:space="preserve">9.5mm </w:t>
      </w:r>
      <w:r>
        <w:rPr>
          <w:rFonts w:hint="eastAsia" w:eastAsia="方正仿宋_GBK"/>
          <w:color w:val="000000"/>
          <w:spacing w:val="-2"/>
          <w:kern w:val="0"/>
          <w:sz w:val="18"/>
          <w:szCs w:val="18"/>
        </w:rPr>
        <w:t>的燃气管道也可采用表中</w:t>
      </w:r>
      <w:r>
        <w:rPr>
          <w:rFonts w:eastAsia="方正仿宋_GBK"/>
          <w:color w:val="000000"/>
          <w:spacing w:val="-2"/>
          <w:kern w:val="0"/>
          <w:sz w:val="18"/>
          <w:szCs w:val="18"/>
        </w:rPr>
        <w:t xml:space="preserve">B </w:t>
      </w:r>
      <w:r>
        <w:rPr>
          <w:rFonts w:hint="eastAsia" w:eastAsia="方正仿宋_GBK"/>
          <w:color w:val="000000"/>
          <w:spacing w:val="-2"/>
          <w:kern w:val="0"/>
          <w:sz w:val="18"/>
          <w:szCs w:val="18"/>
        </w:rPr>
        <w:t>行的水平净距。</w:t>
      </w:r>
    </w:p>
    <w:p>
      <w:pPr>
        <w:widowControl/>
        <w:spacing w:line="240" w:lineRule="exact"/>
        <w:ind w:firstLine="440" w:firstLineChars="250"/>
        <w:jc w:val="left"/>
        <w:rPr>
          <w:rFonts w:eastAsia="方正仿宋_GBK"/>
          <w:color w:val="000000"/>
          <w:spacing w:val="-2"/>
          <w:kern w:val="0"/>
          <w:sz w:val="18"/>
          <w:szCs w:val="18"/>
        </w:rPr>
      </w:pPr>
      <w:r>
        <w:rPr>
          <w:rFonts w:eastAsia="方正仿宋_GBK"/>
          <w:color w:val="000000"/>
          <w:spacing w:val="-2"/>
          <w:kern w:val="0"/>
          <w:sz w:val="18"/>
          <w:szCs w:val="18"/>
        </w:rPr>
        <w:t xml:space="preserve">2 </w:t>
      </w:r>
      <w:r>
        <w:rPr>
          <w:rFonts w:hint="eastAsia" w:eastAsia="方正仿宋_GBK"/>
          <w:color w:val="000000"/>
          <w:spacing w:val="-2"/>
          <w:kern w:val="0"/>
          <w:sz w:val="18"/>
          <w:szCs w:val="18"/>
        </w:rPr>
        <w:t>水平净距是指管道外壁到建筑物出地面处外墙面的距离。建筑物是指平常有人的建筑物。</w:t>
      </w:r>
    </w:p>
    <w:p>
      <w:pPr>
        <w:widowControl/>
        <w:spacing w:line="240" w:lineRule="exact"/>
        <w:ind w:firstLine="440" w:firstLineChars="250"/>
        <w:jc w:val="left"/>
        <w:rPr>
          <w:rFonts w:eastAsia="方正仿宋_GBK"/>
          <w:color w:val="000000"/>
          <w:spacing w:val="-2"/>
          <w:kern w:val="0"/>
          <w:sz w:val="18"/>
          <w:szCs w:val="18"/>
        </w:rPr>
      </w:pPr>
      <w:r>
        <w:rPr>
          <w:rFonts w:eastAsia="方正仿宋_GBK"/>
          <w:color w:val="000000"/>
          <w:spacing w:val="-2"/>
          <w:kern w:val="0"/>
          <w:sz w:val="18"/>
          <w:szCs w:val="18"/>
        </w:rPr>
        <w:t xml:space="preserve">3 </w:t>
      </w:r>
      <w:r>
        <w:rPr>
          <w:rFonts w:hint="eastAsia" w:eastAsia="方正仿宋_GBK"/>
          <w:color w:val="000000"/>
          <w:spacing w:val="-2"/>
          <w:kern w:val="0"/>
          <w:sz w:val="18"/>
          <w:szCs w:val="18"/>
        </w:rPr>
        <w:t>燃气管道压力表中数不相同时，可采用直线方程内插法确定水平距离。</w:t>
      </w:r>
    </w:p>
    <w:p>
      <w:pPr>
        <w:snapToGrid w:val="0"/>
        <w:spacing w:line="460" w:lineRule="exact"/>
        <w:ind w:firstLine="462" w:firstLineChars="196"/>
        <w:rPr>
          <w:rFonts w:eastAsia="方正仿宋_GBK"/>
          <w:color w:val="000000"/>
          <w:spacing w:val="-2"/>
          <w:sz w:val="24"/>
        </w:rPr>
      </w:pPr>
      <w:r>
        <w:rPr>
          <w:rFonts w:hint="eastAsia" w:eastAsia="方正仿宋_GBK"/>
          <w:color w:val="000000"/>
          <w:spacing w:val="-2"/>
          <w:sz w:val="24"/>
        </w:rPr>
        <w:t>（</w:t>
      </w:r>
      <w:r>
        <w:rPr>
          <w:rFonts w:eastAsia="方正仿宋_GBK"/>
          <w:color w:val="000000"/>
          <w:spacing w:val="-2"/>
          <w:sz w:val="24"/>
        </w:rPr>
        <w:t>3</w:t>
      </w:r>
      <w:r>
        <w:rPr>
          <w:rFonts w:hint="eastAsia" w:eastAsia="方正仿宋_GBK"/>
          <w:color w:val="000000"/>
          <w:spacing w:val="-2"/>
          <w:sz w:val="24"/>
        </w:rPr>
        <w:t>）高压地下燃气管道与构筑物或相邻管道之间的水平和垂直净距，不应小于《城镇燃气设计规范》</w:t>
      </w:r>
      <w:r>
        <w:rPr>
          <w:rFonts w:eastAsia="方正仿宋_GBK"/>
          <w:color w:val="000000"/>
          <w:spacing w:val="-2"/>
          <w:sz w:val="24"/>
        </w:rPr>
        <w:t>GB50028</w:t>
      </w:r>
      <w:r>
        <w:rPr>
          <w:rFonts w:hint="eastAsia" w:eastAsia="方正仿宋_GBK"/>
          <w:color w:val="000000"/>
          <w:spacing w:val="-2"/>
          <w:sz w:val="24"/>
        </w:rPr>
        <w:t>表</w:t>
      </w:r>
      <w:r>
        <w:rPr>
          <w:rFonts w:eastAsia="方正仿宋_GBK"/>
          <w:color w:val="000000"/>
          <w:spacing w:val="-2"/>
          <w:sz w:val="24"/>
        </w:rPr>
        <w:t xml:space="preserve">6.3.3-1 </w:t>
      </w:r>
      <w:r>
        <w:rPr>
          <w:rFonts w:hint="eastAsia" w:eastAsia="方正仿宋_GBK"/>
          <w:color w:val="000000"/>
          <w:spacing w:val="-2"/>
          <w:sz w:val="24"/>
        </w:rPr>
        <w:t>和</w:t>
      </w:r>
      <w:r>
        <w:rPr>
          <w:rFonts w:eastAsia="方正仿宋_GBK"/>
          <w:color w:val="000000"/>
          <w:spacing w:val="-2"/>
          <w:sz w:val="24"/>
        </w:rPr>
        <w:t>6.3.3-2</w:t>
      </w:r>
      <w:r>
        <w:rPr>
          <w:rFonts w:hint="eastAsia" w:eastAsia="方正仿宋_GBK"/>
          <w:color w:val="000000"/>
          <w:spacing w:val="-2"/>
          <w:sz w:val="24"/>
        </w:rPr>
        <w:t>次高压</w:t>
      </w:r>
      <w:r>
        <w:rPr>
          <w:rFonts w:eastAsia="方正仿宋_GBK"/>
          <w:color w:val="000000"/>
          <w:spacing w:val="-2"/>
          <w:sz w:val="24"/>
        </w:rPr>
        <w:t xml:space="preserve">A </w:t>
      </w:r>
      <w:r>
        <w:rPr>
          <w:rFonts w:hint="eastAsia" w:eastAsia="方正仿宋_GBK"/>
          <w:color w:val="000000"/>
          <w:spacing w:val="-2"/>
          <w:sz w:val="24"/>
        </w:rPr>
        <w:t>的规定。但高压</w:t>
      </w:r>
      <w:r>
        <w:rPr>
          <w:rFonts w:eastAsia="方正仿宋_GBK"/>
          <w:color w:val="000000"/>
          <w:spacing w:val="-2"/>
          <w:sz w:val="24"/>
        </w:rPr>
        <w:t xml:space="preserve">A </w:t>
      </w:r>
      <w:r>
        <w:rPr>
          <w:rFonts w:hint="eastAsia" w:eastAsia="方正仿宋_GBK"/>
          <w:color w:val="000000"/>
          <w:spacing w:val="-2"/>
          <w:sz w:val="24"/>
        </w:rPr>
        <w:t>和高压</w:t>
      </w:r>
      <w:r>
        <w:rPr>
          <w:rFonts w:eastAsia="方正仿宋_GBK"/>
          <w:color w:val="000000"/>
          <w:spacing w:val="-2"/>
          <w:sz w:val="24"/>
        </w:rPr>
        <w:t xml:space="preserve">B </w:t>
      </w:r>
      <w:r>
        <w:rPr>
          <w:rFonts w:hint="eastAsia" w:eastAsia="方正仿宋_GBK"/>
          <w:color w:val="000000"/>
          <w:spacing w:val="-2"/>
          <w:sz w:val="24"/>
        </w:rPr>
        <w:t>地下燃气管道与铁路路堤坡脚的水平净距分别不应小于</w:t>
      </w:r>
      <w:r>
        <w:rPr>
          <w:rFonts w:eastAsia="方正仿宋_GBK"/>
          <w:color w:val="000000"/>
          <w:spacing w:val="-2"/>
          <w:sz w:val="24"/>
        </w:rPr>
        <w:t xml:space="preserve">8m </w:t>
      </w:r>
      <w:r>
        <w:rPr>
          <w:rFonts w:hint="eastAsia" w:eastAsia="方正仿宋_GBK"/>
          <w:color w:val="000000"/>
          <w:spacing w:val="-2"/>
          <w:sz w:val="24"/>
        </w:rPr>
        <w:t>和</w:t>
      </w:r>
      <w:r>
        <w:rPr>
          <w:rFonts w:eastAsia="方正仿宋_GBK"/>
          <w:color w:val="000000"/>
          <w:spacing w:val="-2"/>
          <w:sz w:val="24"/>
        </w:rPr>
        <w:t>6m</w:t>
      </w:r>
      <w:r>
        <w:rPr>
          <w:rFonts w:hint="eastAsia" w:eastAsia="方正仿宋_GBK"/>
          <w:color w:val="000000"/>
          <w:spacing w:val="-2"/>
          <w:sz w:val="24"/>
        </w:rPr>
        <w:t>；与有轨电车钢轨的水平净距分别不应小于</w:t>
      </w:r>
      <w:r>
        <w:rPr>
          <w:rFonts w:eastAsia="方正仿宋_GBK"/>
          <w:color w:val="000000"/>
          <w:spacing w:val="-2"/>
          <w:sz w:val="24"/>
        </w:rPr>
        <w:t xml:space="preserve">4m </w:t>
      </w:r>
      <w:r>
        <w:rPr>
          <w:rFonts w:hint="eastAsia" w:eastAsia="方正仿宋_GBK"/>
          <w:color w:val="000000"/>
          <w:spacing w:val="-2"/>
          <w:sz w:val="24"/>
        </w:rPr>
        <w:t>和</w:t>
      </w:r>
      <w:r>
        <w:rPr>
          <w:rFonts w:eastAsia="方正仿宋_GBK"/>
          <w:color w:val="000000"/>
          <w:spacing w:val="-2"/>
          <w:sz w:val="24"/>
        </w:rPr>
        <w:t>3m</w:t>
      </w:r>
      <w:r>
        <w:rPr>
          <w:rFonts w:hint="eastAsia" w:eastAsia="方正仿宋_GBK"/>
          <w:color w:val="000000"/>
          <w:spacing w:val="-2"/>
          <w:sz w:val="24"/>
        </w:rPr>
        <w:t>。</w:t>
      </w:r>
      <w:r>
        <w:rPr>
          <w:rFonts w:hint="eastAsia" w:eastAsia="方正仿宋_GBK"/>
          <w:color w:val="000000"/>
          <w:spacing w:val="-2"/>
          <w:kern w:val="0"/>
          <w:sz w:val="24"/>
        </w:rPr>
        <w:t>注：当达不到本条净距要求时，采取行之有效的防护措施后，净距可适当缩小。</w:t>
      </w:r>
    </w:p>
    <w:p>
      <w:pPr>
        <w:spacing w:line="460" w:lineRule="exact"/>
        <w:ind w:firstLine="462" w:firstLineChars="196"/>
        <w:rPr>
          <w:rFonts w:eastAsia="方正仿宋_GBK"/>
          <w:color w:val="000000"/>
          <w:spacing w:val="-2"/>
          <w:sz w:val="24"/>
        </w:rPr>
      </w:pPr>
      <w:r>
        <w:rPr>
          <w:rFonts w:hint="eastAsia" w:eastAsia="方正仿宋_GBK"/>
          <w:color w:val="000000"/>
          <w:spacing w:val="-2"/>
          <w:sz w:val="24"/>
        </w:rPr>
        <w:t>（</w:t>
      </w:r>
      <w:r>
        <w:rPr>
          <w:rFonts w:eastAsia="方正仿宋_GBK"/>
          <w:color w:val="000000"/>
          <w:spacing w:val="-2"/>
          <w:sz w:val="24"/>
        </w:rPr>
        <w:t>4</w:t>
      </w:r>
      <w:r>
        <w:rPr>
          <w:rFonts w:hint="eastAsia" w:eastAsia="方正仿宋_GBK"/>
          <w:color w:val="000000"/>
          <w:spacing w:val="-2"/>
          <w:sz w:val="24"/>
        </w:rPr>
        <w:t>）</w:t>
      </w:r>
      <w:r>
        <w:rPr>
          <w:rFonts w:eastAsia="方正仿宋_GBK"/>
          <w:color w:val="000000"/>
          <w:spacing w:val="-2"/>
          <w:sz w:val="24"/>
        </w:rPr>
        <w:t xml:space="preserve"> </w:t>
      </w:r>
      <w:r>
        <w:rPr>
          <w:rFonts w:hint="eastAsia" w:eastAsia="方正仿宋_GBK"/>
          <w:color w:val="000000"/>
          <w:spacing w:val="-2"/>
          <w:sz w:val="24"/>
        </w:rPr>
        <w:t>高压燃气管道的布置应符合《城镇燃气设计规范》</w:t>
      </w:r>
      <w:r>
        <w:rPr>
          <w:rFonts w:eastAsia="方正仿宋_GBK"/>
          <w:color w:val="000000"/>
          <w:spacing w:val="-2"/>
          <w:sz w:val="24"/>
        </w:rPr>
        <w:t>GB50028</w:t>
      </w:r>
      <w:r>
        <w:rPr>
          <w:rFonts w:hint="eastAsia" w:eastAsia="方正仿宋_GBK"/>
          <w:color w:val="000000"/>
          <w:spacing w:val="-2"/>
          <w:sz w:val="24"/>
        </w:rPr>
        <w:t>第</w:t>
      </w:r>
      <w:r>
        <w:rPr>
          <w:rFonts w:eastAsia="方正仿宋_GBK"/>
          <w:color w:val="000000"/>
          <w:spacing w:val="-2"/>
          <w:sz w:val="24"/>
        </w:rPr>
        <w:t>6.4.15</w:t>
      </w:r>
      <w:r>
        <w:rPr>
          <w:rFonts w:hint="eastAsia" w:eastAsia="方正仿宋_GBK"/>
          <w:color w:val="000000"/>
          <w:spacing w:val="-2"/>
          <w:sz w:val="24"/>
        </w:rPr>
        <w:t>条要求：高压燃气管道不宜进入四级地区；当受条件限制需要进入或通过四级地区时，应遵守下列规定：、</w:t>
      </w:r>
    </w:p>
    <w:p>
      <w:pPr>
        <w:spacing w:line="460" w:lineRule="exact"/>
        <w:ind w:firstLine="462" w:firstLineChars="196"/>
        <w:rPr>
          <w:rFonts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）高压</w:t>
      </w:r>
      <w:r>
        <w:rPr>
          <w:rFonts w:eastAsia="方正仿宋_GBK"/>
          <w:color w:val="000000"/>
          <w:spacing w:val="-2"/>
          <w:sz w:val="24"/>
        </w:rPr>
        <w:t xml:space="preserve">A </w:t>
      </w:r>
      <w:r>
        <w:rPr>
          <w:rFonts w:hint="eastAsia" w:eastAsia="方正仿宋_GBK"/>
          <w:color w:val="000000"/>
          <w:spacing w:val="-2"/>
          <w:sz w:val="24"/>
        </w:rPr>
        <w:t>地下燃气管道与建筑物外墙面之间的水平净距不应小于</w:t>
      </w:r>
      <w:r>
        <w:rPr>
          <w:rFonts w:eastAsia="方正仿宋_GBK"/>
          <w:color w:val="000000"/>
          <w:spacing w:val="-2"/>
          <w:sz w:val="24"/>
        </w:rPr>
        <w:t>30m</w:t>
      </w:r>
      <w:r>
        <w:rPr>
          <w:rFonts w:hint="eastAsia" w:eastAsia="方正仿宋_GBK"/>
          <w:color w:val="000000"/>
          <w:spacing w:val="-2"/>
          <w:sz w:val="24"/>
        </w:rPr>
        <w:t>（当管壁厚度</w:t>
      </w:r>
      <w:r>
        <w:rPr>
          <w:rFonts w:eastAsia="方正仿宋_GBK"/>
          <w:color w:val="000000"/>
          <w:spacing w:val="-2"/>
          <w:sz w:val="24"/>
        </w:rPr>
        <w:t>δ≥9.5mm</w:t>
      </w:r>
      <w:r>
        <w:rPr>
          <w:rFonts w:hint="eastAsia" w:eastAsia="方正仿宋_GBK"/>
          <w:color w:val="000000"/>
          <w:spacing w:val="-2"/>
          <w:sz w:val="24"/>
        </w:rPr>
        <w:t>或对燃气管道采取有效的保护措施时，不应小于</w:t>
      </w:r>
      <w:r>
        <w:rPr>
          <w:rFonts w:eastAsia="方正仿宋_GBK"/>
          <w:color w:val="000000"/>
          <w:spacing w:val="-2"/>
          <w:sz w:val="24"/>
        </w:rPr>
        <w:t>15m</w:t>
      </w:r>
      <w:r>
        <w:rPr>
          <w:rFonts w:hint="eastAsia" w:eastAsia="方正仿宋_GBK"/>
          <w:color w:val="000000"/>
          <w:spacing w:val="-2"/>
          <w:sz w:val="24"/>
        </w:rPr>
        <w:t>）；</w:t>
      </w:r>
    </w:p>
    <w:p>
      <w:pPr>
        <w:spacing w:line="460" w:lineRule="exact"/>
        <w:ind w:firstLine="462" w:firstLineChars="196"/>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w:t>
      </w:r>
      <w:r>
        <w:rPr>
          <w:rFonts w:eastAsia="方正仿宋_GBK"/>
          <w:color w:val="000000"/>
          <w:spacing w:val="-2"/>
          <w:sz w:val="24"/>
        </w:rPr>
        <w:t xml:space="preserve"> </w:t>
      </w:r>
      <w:r>
        <w:rPr>
          <w:rFonts w:hint="eastAsia" w:eastAsia="方正仿宋_GBK"/>
          <w:color w:val="000000"/>
          <w:spacing w:val="-2"/>
          <w:sz w:val="24"/>
        </w:rPr>
        <w:t>高压</w:t>
      </w:r>
      <w:r>
        <w:rPr>
          <w:rFonts w:eastAsia="方正仿宋_GBK"/>
          <w:color w:val="000000"/>
          <w:spacing w:val="-2"/>
          <w:sz w:val="24"/>
        </w:rPr>
        <w:t xml:space="preserve">B </w:t>
      </w:r>
      <w:r>
        <w:rPr>
          <w:rFonts w:hint="eastAsia" w:eastAsia="方正仿宋_GBK"/>
          <w:color w:val="000000"/>
          <w:spacing w:val="-2"/>
          <w:sz w:val="24"/>
        </w:rPr>
        <w:t>地下燃气管道与建筑物外墙面之间的水平净距不应小于</w:t>
      </w:r>
      <w:r>
        <w:rPr>
          <w:rFonts w:eastAsia="方正仿宋_GBK"/>
          <w:color w:val="000000"/>
          <w:spacing w:val="-2"/>
          <w:sz w:val="24"/>
        </w:rPr>
        <w:t>16m</w:t>
      </w:r>
      <w:r>
        <w:rPr>
          <w:rFonts w:hint="eastAsia" w:eastAsia="方正仿宋_GBK"/>
          <w:color w:val="000000"/>
          <w:spacing w:val="-2"/>
          <w:sz w:val="24"/>
        </w:rPr>
        <w:t>（当管壁厚度</w:t>
      </w:r>
      <w:r>
        <w:rPr>
          <w:rFonts w:eastAsia="方正仿宋_GBK"/>
          <w:color w:val="000000"/>
          <w:spacing w:val="-2"/>
          <w:sz w:val="24"/>
        </w:rPr>
        <w:t>δ≥9.5mm</w:t>
      </w:r>
      <w:r>
        <w:rPr>
          <w:rFonts w:hint="eastAsia" w:eastAsia="方正仿宋_GBK"/>
          <w:color w:val="000000"/>
          <w:spacing w:val="-2"/>
          <w:sz w:val="24"/>
        </w:rPr>
        <w:t>或对燃气管道采取有效的保护措施时，不应小于</w:t>
      </w:r>
      <w:r>
        <w:rPr>
          <w:rFonts w:eastAsia="方正仿宋_GBK"/>
          <w:color w:val="000000"/>
          <w:spacing w:val="-2"/>
          <w:sz w:val="24"/>
        </w:rPr>
        <w:t>10m</w:t>
      </w:r>
      <w:r>
        <w:rPr>
          <w:rFonts w:hint="eastAsia" w:eastAsia="方正仿宋_GBK"/>
          <w:color w:val="000000"/>
          <w:spacing w:val="-2"/>
          <w:sz w:val="24"/>
        </w:rPr>
        <w:t>）；</w:t>
      </w:r>
    </w:p>
    <w:p>
      <w:pPr>
        <w:spacing w:line="460" w:lineRule="exact"/>
        <w:ind w:firstLine="462" w:firstLineChars="196"/>
        <w:rPr>
          <w:rFonts w:ascii="Times New Roman" w:eastAsia="方正黑体_GBK"/>
          <w:color w:val="000000"/>
          <w:spacing w:val="-2"/>
          <w:sz w:val="24"/>
        </w:rPr>
      </w:pPr>
      <w:r>
        <w:rPr>
          <w:rFonts w:hint="eastAsia" w:ascii="Times New Roman" w:eastAsia="方正黑体_GBK"/>
          <w:color w:val="000000"/>
          <w:spacing w:val="-2"/>
          <w:sz w:val="24"/>
        </w:rPr>
        <w:t>二、埋地管道埋深技术规范要求</w:t>
      </w:r>
    </w:p>
    <w:p>
      <w:pPr>
        <w:spacing w:line="460" w:lineRule="exact"/>
        <w:ind w:firstLine="462" w:firstLineChars="196"/>
        <w:rPr>
          <w:rFonts w:hint="eastAsia"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、地下燃气管道埋设的最小覆土厚度（路面至管顶）应符合《城镇燃气设计规范》</w:t>
      </w:r>
      <w:r>
        <w:rPr>
          <w:rFonts w:eastAsia="方正仿宋_GBK"/>
          <w:color w:val="000000"/>
          <w:spacing w:val="-2"/>
          <w:sz w:val="24"/>
        </w:rPr>
        <w:t>GB50028</w:t>
      </w:r>
      <w:r>
        <w:rPr>
          <w:rFonts w:hint="eastAsia" w:eastAsia="方正仿宋_GBK"/>
          <w:color w:val="000000"/>
          <w:spacing w:val="-2"/>
          <w:sz w:val="24"/>
        </w:rPr>
        <w:t>第</w:t>
      </w:r>
      <w:r>
        <w:rPr>
          <w:rFonts w:eastAsia="方正仿宋_GBK"/>
          <w:color w:val="000000"/>
          <w:spacing w:val="-2"/>
          <w:sz w:val="24"/>
        </w:rPr>
        <w:t>6.3.4</w:t>
      </w:r>
      <w:r>
        <w:rPr>
          <w:rFonts w:hint="eastAsia" w:eastAsia="方正仿宋_GBK"/>
          <w:color w:val="000000"/>
          <w:spacing w:val="-2"/>
          <w:sz w:val="24"/>
        </w:rPr>
        <w:t>条的要求：</w:t>
      </w:r>
    </w:p>
    <w:p>
      <w:pPr>
        <w:spacing w:line="460" w:lineRule="exact"/>
        <w:ind w:firstLine="462" w:firstLineChars="196"/>
        <w:rPr>
          <w:rFonts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）埋设在车行道下时，不得小于</w:t>
      </w:r>
      <w:r>
        <w:rPr>
          <w:rFonts w:eastAsia="方正仿宋_GBK"/>
          <w:color w:val="000000"/>
          <w:spacing w:val="-2"/>
          <w:sz w:val="24"/>
        </w:rPr>
        <w:t>0.9m</w:t>
      </w:r>
      <w:r>
        <w:rPr>
          <w:rFonts w:hint="eastAsia" w:eastAsia="方正仿宋_GBK"/>
          <w:color w:val="000000"/>
          <w:spacing w:val="-2"/>
          <w:sz w:val="24"/>
        </w:rPr>
        <w:t>；</w:t>
      </w:r>
    </w:p>
    <w:p>
      <w:pPr>
        <w:spacing w:line="460" w:lineRule="exact"/>
        <w:ind w:firstLine="462" w:firstLineChars="196"/>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）埋设在非机动车车道（含人行道）下时，不得小于</w:t>
      </w:r>
      <w:r>
        <w:rPr>
          <w:rFonts w:eastAsia="方正仿宋_GBK"/>
          <w:color w:val="000000"/>
          <w:spacing w:val="-2"/>
          <w:sz w:val="24"/>
        </w:rPr>
        <w:t>0.6m</w:t>
      </w:r>
      <w:r>
        <w:rPr>
          <w:rFonts w:hint="eastAsia" w:eastAsia="方正仿宋_GBK"/>
          <w:color w:val="000000"/>
          <w:spacing w:val="-2"/>
          <w:sz w:val="24"/>
        </w:rPr>
        <w:t>；</w:t>
      </w:r>
    </w:p>
    <w:p>
      <w:pPr>
        <w:spacing w:line="460" w:lineRule="exact"/>
        <w:ind w:firstLine="462" w:firstLineChars="196"/>
        <w:rPr>
          <w:rFonts w:eastAsia="方正仿宋_GBK"/>
          <w:color w:val="000000"/>
          <w:spacing w:val="-2"/>
          <w:sz w:val="24"/>
        </w:rPr>
      </w:pPr>
      <w:r>
        <w:rPr>
          <w:rFonts w:eastAsia="方正仿宋_GBK"/>
          <w:color w:val="000000"/>
          <w:spacing w:val="-2"/>
          <w:sz w:val="24"/>
        </w:rPr>
        <w:t>3</w:t>
      </w:r>
      <w:r>
        <w:rPr>
          <w:rFonts w:hint="eastAsia" w:eastAsia="方正仿宋_GBK"/>
          <w:color w:val="000000"/>
          <w:spacing w:val="-2"/>
          <w:sz w:val="24"/>
        </w:rPr>
        <w:t>）埋设在机动车不可能到达的地方时，不得小于</w:t>
      </w:r>
      <w:r>
        <w:rPr>
          <w:rFonts w:eastAsia="方正仿宋_GBK"/>
          <w:color w:val="000000"/>
          <w:spacing w:val="-2"/>
          <w:sz w:val="24"/>
        </w:rPr>
        <w:t>0.3m</w:t>
      </w:r>
      <w:r>
        <w:rPr>
          <w:rFonts w:hint="eastAsia" w:eastAsia="方正仿宋_GBK"/>
          <w:color w:val="000000"/>
          <w:spacing w:val="-2"/>
          <w:sz w:val="24"/>
        </w:rPr>
        <w:t>；</w:t>
      </w:r>
    </w:p>
    <w:p>
      <w:pPr>
        <w:spacing w:line="460" w:lineRule="exact"/>
        <w:ind w:firstLine="462" w:firstLineChars="196"/>
        <w:rPr>
          <w:rFonts w:eastAsia="方正仿宋_GBK"/>
          <w:color w:val="000000"/>
          <w:spacing w:val="-2"/>
          <w:sz w:val="24"/>
        </w:rPr>
      </w:pPr>
      <w:r>
        <w:rPr>
          <w:rFonts w:eastAsia="方正仿宋_GBK"/>
          <w:color w:val="000000"/>
          <w:spacing w:val="-2"/>
          <w:sz w:val="24"/>
        </w:rPr>
        <w:t>4</w:t>
      </w:r>
      <w:r>
        <w:rPr>
          <w:rFonts w:hint="eastAsia" w:eastAsia="方正仿宋_GBK"/>
          <w:color w:val="000000"/>
          <w:spacing w:val="-2"/>
          <w:sz w:val="24"/>
        </w:rPr>
        <w:t>）埋设在水田下时，不得小于</w:t>
      </w:r>
      <w:r>
        <w:rPr>
          <w:rFonts w:eastAsia="方正仿宋_GBK"/>
          <w:color w:val="000000"/>
          <w:spacing w:val="-2"/>
          <w:sz w:val="24"/>
        </w:rPr>
        <w:t>0.8m</w:t>
      </w:r>
      <w:r>
        <w:rPr>
          <w:rFonts w:hint="eastAsia" w:eastAsia="方正仿宋_GBK"/>
          <w:color w:val="000000"/>
          <w:spacing w:val="-2"/>
          <w:sz w:val="24"/>
        </w:rPr>
        <w:t>。</w:t>
      </w:r>
    </w:p>
    <w:p>
      <w:pPr>
        <w:spacing w:line="460" w:lineRule="exact"/>
        <w:ind w:firstLine="462" w:firstLineChars="196"/>
        <w:rPr>
          <w:rFonts w:eastAsia="方正仿宋_GBK"/>
          <w:color w:val="000000"/>
          <w:spacing w:val="-2"/>
          <w:kern w:val="0"/>
          <w:sz w:val="24"/>
        </w:rPr>
      </w:pPr>
      <w:r>
        <w:rPr>
          <w:rFonts w:hint="eastAsia" w:eastAsia="方正仿宋_GBK"/>
          <w:color w:val="000000"/>
          <w:spacing w:val="-2"/>
          <w:kern w:val="0"/>
          <w:sz w:val="24"/>
        </w:rPr>
        <w:t>注：当不能满足上述规定时，应采取行之有效的安全防护措施。</w:t>
      </w:r>
    </w:p>
    <w:p>
      <w:pPr>
        <w:spacing w:line="460" w:lineRule="exact"/>
        <w:ind w:firstLine="462" w:firstLineChars="196"/>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、聚乙烯管道和钢骨架聚乙烯复合管道埋设的最小覆土厚度（地面至管顶）应符合《聚乙烯燃气管道工程技术规程》</w:t>
      </w:r>
      <w:r>
        <w:rPr>
          <w:rFonts w:eastAsia="方正仿宋_GBK"/>
          <w:color w:val="000000"/>
          <w:spacing w:val="-2"/>
          <w:sz w:val="24"/>
        </w:rPr>
        <w:t>CJJ63-2008</w:t>
      </w:r>
      <w:r>
        <w:rPr>
          <w:rFonts w:hint="eastAsia" w:eastAsia="方正仿宋_GBK"/>
          <w:color w:val="000000"/>
          <w:spacing w:val="-2"/>
          <w:sz w:val="24"/>
        </w:rPr>
        <w:t>第</w:t>
      </w:r>
      <w:r>
        <w:rPr>
          <w:rFonts w:eastAsia="方正仿宋_GBK"/>
          <w:color w:val="000000"/>
          <w:spacing w:val="-2"/>
          <w:sz w:val="24"/>
        </w:rPr>
        <w:t>4.3.3</w:t>
      </w:r>
      <w:r>
        <w:rPr>
          <w:rFonts w:hint="eastAsia" w:eastAsia="方正仿宋_GBK"/>
          <w:color w:val="000000"/>
          <w:spacing w:val="-2"/>
          <w:sz w:val="24"/>
        </w:rPr>
        <w:t>条的要求：</w:t>
      </w:r>
    </w:p>
    <w:p>
      <w:pPr>
        <w:spacing w:line="460" w:lineRule="exact"/>
        <w:ind w:firstLine="472" w:firstLineChars="200"/>
        <w:rPr>
          <w:rFonts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）埋设在车行道下，不得小于</w:t>
      </w:r>
      <w:r>
        <w:rPr>
          <w:rFonts w:eastAsia="方正仿宋_GBK"/>
          <w:color w:val="000000"/>
          <w:spacing w:val="-2"/>
          <w:sz w:val="24"/>
        </w:rPr>
        <w:t>0.9m</w:t>
      </w:r>
      <w:r>
        <w:rPr>
          <w:rFonts w:hint="eastAsia" w:eastAsia="方正仿宋_GBK"/>
          <w:color w:val="000000"/>
          <w:spacing w:val="-2"/>
          <w:sz w:val="24"/>
        </w:rPr>
        <w:t>；</w:t>
      </w:r>
    </w:p>
    <w:p>
      <w:pPr>
        <w:spacing w:line="460" w:lineRule="exact"/>
        <w:ind w:firstLine="472" w:firstLineChars="200"/>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）埋设在非车行道（含人行道）下，不得小于</w:t>
      </w:r>
      <w:r>
        <w:rPr>
          <w:rFonts w:eastAsia="方正仿宋_GBK"/>
          <w:color w:val="000000"/>
          <w:spacing w:val="-2"/>
          <w:sz w:val="24"/>
        </w:rPr>
        <w:t>0.6m</w:t>
      </w:r>
      <w:r>
        <w:rPr>
          <w:rFonts w:hint="eastAsia" w:eastAsia="方正仿宋_GBK"/>
          <w:color w:val="000000"/>
          <w:spacing w:val="-2"/>
          <w:sz w:val="24"/>
        </w:rPr>
        <w:t>；</w:t>
      </w:r>
    </w:p>
    <w:p>
      <w:pPr>
        <w:spacing w:line="460" w:lineRule="exact"/>
        <w:ind w:firstLine="472" w:firstLineChars="200"/>
        <w:rPr>
          <w:rFonts w:eastAsia="方正仿宋_GBK"/>
          <w:color w:val="000000"/>
          <w:spacing w:val="-2"/>
          <w:sz w:val="24"/>
        </w:rPr>
      </w:pPr>
      <w:r>
        <w:rPr>
          <w:rFonts w:eastAsia="方正仿宋_GBK"/>
          <w:color w:val="000000"/>
          <w:spacing w:val="-2"/>
          <w:sz w:val="24"/>
        </w:rPr>
        <w:t>3</w:t>
      </w:r>
      <w:r>
        <w:rPr>
          <w:rFonts w:hint="eastAsia" w:eastAsia="方正仿宋_GBK"/>
          <w:color w:val="000000"/>
          <w:spacing w:val="-2"/>
          <w:sz w:val="24"/>
        </w:rPr>
        <w:t>）埋设在机动车不可能到达的地方时，不得小于</w:t>
      </w:r>
      <w:r>
        <w:rPr>
          <w:rFonts w:eastAsia="方正仿宋_GBK"/>
          <w:color w:val="000000"/>
          <w:spacing w:val="-2"/>
          <w:sz w:val="24"/>
        </w:rPr>
        <w:t>0.5m</w:t>
      </w:r>
      <w:r>
        <w:rPr>
          <w:rFonts w:hint="eastAsia" w:eastAsia="方正仿宋_GBK"/>
          <w:color w:val="000000"/>
          <w:spacing w:val="-2"/>
          <w:sz w:val="24"/>
        </w:rPr>
        <w:t>；</w:t>
      </w:r>
    </w:p>
    <w:p>
      <w:pPr>
        <w:spacing w:line="460" w:lineRule="exact"/>
        <w:ind w:firstLine="472" w:firstLineChars="200"/>
        <w:rPr>
          <w:rFonts w:eastAsia="方正仿宋_GBK"/>
          <w:color w:val="000000"/>
          <w:spacing w:val="-2"/>
          <w:sz w:val="24"/>
        </w:rPr>
      </w:pPr>
      <w:r>
        <w:rPr>
          <w:rFonts w:eastAsia="方正仿宋_GBK"/>
          <w:color w:val="000000"/>
          <w:spacing w:val="-2"/>
          <w:sz w:val="24"/>
        </w:rPr>
        <w:t>4</w:t>
      </w:r>
      <w:r>
        <w:rPr>
          <w:rFonts w:hint="eastAsia" w:eastAsia="方正仿宋_GBK"/>
          <w:color w:val="000000"/>
          <w:spacing w:val="-2"/>
          <w:sz w:val="24"/>
        </w:rPr>
        <w:t>）埋设在水田下时，不得小于</w:t>
      </w:r>
      <w:r>
        <w:rPr>
          <w:rFonts w:eastAsia="方正仿宋_GBK"/>
          <w:color w:val="000000"/>
          <w:spacing w:val="-2"/>
          <w:sz w:val="24"/>
        </w:rPr>
        <w:t>0.8m</w:t>
      </w:r>
      <w:r>
        <w:rPr>
          <w:rFonts w:hint="eastAsia" w:eastAsia="方正仿宋_GBK"/>
          <w:color w:val="000000"/>
          <w:spacing w:val="-2"/>
          <w:sz w:val="24"/>
        </w:rPr>
        <w:t>。</w:t>
      </w:r>
    </w:p>
    <w:p>
      <w:pPr>
        <w:spacing w:line="460" w:lineRule="exact"/>
        <w:ind w:firstLine="462" w:firstLineChars="196"/>
        <w:rPr>
          <w:rFonts w:ascii="Times New Roman" w:eastAsia="方正黑体_GBK"/>
          <w:color w:val="000000"/>
          <w:spacing w:val="-2"/>
          <w:sz w:val="24"/>
        </w:rPr>
      </w:pPr>
      <w:r>
        <w:rPr>
          <w:rFonts w:hint="eastAsia" w:ascii="Times New Roman" w:eastAsia="方正黑体_GBK"/>
          <w:color w:val="000000"/>
          <w:spacing w:val="-2"/>
          <w:sz w:val="24"/>
        </w:rPr>
        <w:t>三、埋地管道保护技术规范要求</w:t>
      </w:r>
    </w:p>
    <w:p>
      <w:pPr>
        <w:spacing w:line="460" w:lineRule="exact"/>
        <w:ind w:firstLine="472" w:firstLineChars="200"/>
        <w:rPr>
          <w:rFonts w:hint="eastAsia"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、《城镇燃气设计规范》</w:t>
      </w:r>
      <w:r>
        <w:rPr>
          <w:rFonts w:eastAsia="方正仿宋_GBK"/>
          <w:color w:val="000000"/>
          <w:spacing w:val="-2"/>
          <w:sz w:val="24"/>
        </w:rPr>
        <w:t>GB50028</w:t>
      </w:r>
      <w:r>
        <w:rPr>
          <w:rFonts w:hint="eastAsia" w:eastAsia="方正仿宋_GBK"/>
          <w:color w:val="000000"/>
          <w:spacing w:val="-2"/>
          <w:sz w:val="24"/>
        </w:rPr>
        <w:t>第</w:t>
      </w:r>
      <w:r>
        <w:rPr>
          <w:rFonts w:eastAsia="方正仿宋_GBK"/>
          <w:color w:val="000000"/>
          <w:spacing w:val="-2"/>
          <w:sz w:val="24"/>
        </w:rPr>
        <w:t>6.3.7</w:t>
      </w:r>
      <w:r>
        <w:rPr>
          <w:rFonts w:hint="eastAsia" w:eastAsia="方正仿宋_GBK"/>
          <w:color w:val="000000"/>
          <w:spacing w:val="-2"/>
          <w:sz w:val="24"/>
        </w:rPr>
        <w:t>条：地下燃气管道不得在堆积易燃、易爆材料和具有腐蚀性液体的场地下面穿越，并不宜与其他管道或电缆同沟敷设。当需要同沟敷设时，必须采取防护措施。</w:t>
      </w:r>
    </w:p>
    <w:p>
      <w:pPr>
        <w:spacing w:line="460" w:lineRule="exact"/>
        <w:ind w:firstLine="472" w:firstLineChars="200"/>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、《城镇燃气设计规范》</w:t>
      </w:r>
      <w:r>
        <w:rPr>
          <w:rFonts w:eastAsia="方正仿宋_GBK"/>
          <w:color w:val="000000"/>
          <w:spacing w:val="-2"/>
          <w:sz w:val="24"/>
        </w:rPr>
        <w:t>GB50028</w:t>
      </w:r>
      <w:r>
        <w:rPr>
          <w:rFonts w:hint="eastAsia" w:eastAsia="方正仿宋_GBK"/>
          <w:color w:val="000000"/>
          <w:spacing w:val="-2"/>
          <w:sz w:val="24"/>
        </w:rPr>
        <w:t>第</w:t>
      </w:r>
      <w:r>
        <w:rPr>
          <w:rFonts w:eastAsia="方正仿宋_GBK"/>
          <w:color w:val="000000"/>
          <w:spacing w:val="-2"/>
          <w:sz w:val="24"/>
        </w:rPr>
        <w:t>6.3.8</w:t>
      </w:r>
      <w:r>
        <w:rPr>
          <w:rFonts w:hint="eastAsia" w:eastAsia="方正仿宋_GBK"/>
          <w:color w:val="000000"/>
          <w:spacing w:val="-2"/>
          <w:sz w:val="24"/>
        </w:rPr>
        <w:t>条：地下燃气管道穿过排水管（沟）、热力管沟、联合地沟、隧道及其他各种用途沟槽内穿过时，应将燃气管道敷设于套管内。套管伸出构筑物外壁不应小于表</w:t>
      </w:r>
      <w:r>
        <w:rPr>
          <w:rFonts w:eastAsia="方正仿宋_GBK"/>
          <w:color w:val="000000"/>
          <w:spacing w:val="-2"/>
          <w:sz w:val="24"/>
        </w:rPr>
        <w:t xml:space="preserve">6.3.3-1 </w:t>
      </w:r>
      <w:r>
        <w:rPr>
          <w:rFonts w:hint="eastAsia" w:eastAsia="方正仿宋_GBK"/>
          <w:color w:val="000000"/>
          <w:spacing w:val="-2"/>
          <w:sz w:val="24"/>
        </w:rPr>
        <w:t>中燃气管道与该构筑物的水平净距。套管两端应采用柔性的防腐、防水材料密封。</w:t>
      </w:r>
    </w:p>
    <w:p>
      <w:pPr>
        <w:spacing w:line="460" w:lineRule="exact"/>
        <w:ind w:firstLine="472" w:firstLineChars="200"/>
        <w:rPr>
          <w:rFonts w:eastAsia="方正仿宋_GBK"/>
          <w:color w:val="000000"/>
          <w:spacing w:val="-2"/>
          <w:sz w:val="24"/>
        </w:rPr>
      </w:pPr>
      <w:r>
        <w:rPr>
          <w:rFonts w:eastAsia="方正仿宋_GBK"/>
          <w:color w:val="000000"/>
          <w:spacing w:val="-2"/>
          <w:sz w:val="24"/>
        </w:rPr>
        <w:t>3</w:t>
      </w:r>
      <w:r>
        <w:rPr>
          <w:rFonts w:hint="eastAsia" w:eastAsia="方正仿宋_GBK"/>
          <w:color w:val="000000"/>
          <w:spacing w:val="-2"/>
          <w:sz w:val="24"/>
        </w:rPr>
        <w:t>、埋地管道地面标识应符合《城镇燃气标志标准》（</w:t>
      </w:r>
      <w:r>
        <w:rPr>
          <w:rFonts w:eastAsia="方正仿宋_GBK"/>
          <w:color w:val="000000"/>
          <w:spacing w:val="-2"/>
          <w:sz w:val="24"/>
        </w:rPr>
        <w:t>CJJ/T153-2010</w:t>
      </w:r>
      <w:r>
        <w:rPr>
          <w:rFonts w:hint="eastAsia" w:eastAsia="方正仿宋_GBK"/>
          <w:color w:val="000000"/>
          <w:spacing w:val="-2"/>
          <w:sz w:val="24"/>
        </w:rPr>
        <w:t>）。</w:t>
      </w:r>
    </w:p>
    <w:p>
      <w:pPr>
        <w:spacing w:line="460" w:lineRule="exact"/>
        <w:ind w:firstLine="472" w:firstLineChars="200"/>
        <w:rPr>
          <w:rFonts w:eastAsia="方正仿宋_GBK"/>
          <w:color w:val="000000"/>
          <w:spacing w:val="-2"/>
          <w:sz w:val="24"/>
        </w:rPr>
      </w:pPr>
      <w:r>
        <w:rPr>
          <w:rFonts w:eastAsia="方正仿宋_GBK"/>
          <w:color w:val="000000"/>
          <w:spacing w:val="-2"/>
          <w:sz w:val="24"/>
        </w:rPr>
        <w:t>4</w:t>
      </w:r>
      <w:r>
        <w:rPr>
          <w:rFonts w:hint="eastAsia" w:eastAsia="方正仿宋_GBK"/>
          <w:color w:val="000000"/>
          <w:spacing w:val="-2"/>
          <w:sz w:val="24"/>
        </w:rPr>
        <w:t>、埋地钢管防腐层应符合《城镇燃气埋地钢质管道腐蚀控制技术规程》</w:t>
      </w:r>
      <w:r>
        <w:rPr>
          <w:rFonts w:eastAsia="方正仿宋_GBK"/>
          <w:color w:val="000000"/>
          <w:spacing w:val="-2"/>
          <w:sz w:val="24"/>
        </w:rPr>
        <w:t>CJJ95-2013</w:t>
      </w:r>
      <w:r>
        <w:rPr>
          <w:rFonts w:hint="eastAsia" w:eastAsia="方正仿宋_GBK"/>
          <w:color w:val="000000"/>
          <w:spacing w:val="-2"/>
          <w:sz w:val="24"/>
        </w:rPr>
        <w:t>第</w:t>
      </w:r>
      <w:r>
        <w:rPr>
          <w:rFonts w:eastAsia="方正仿宋_GBK"/>
          <w:color w:val="000000"/>
          <w:spacing w:val="-2"/>
          <w:sz w:val="24"/>
        </w:rPr>
        <w:t>8.1</w:t>
      </w:r>
      <w:r>
        <w:rPr>
          <w:rFonts w:hint="eastAsia" w:eastAsia="方正仿宋_GBK"/>
          <w:color w:val="000000"/>
          <w:spacing w:val="-2"/>
          <w:sz w:val="24"/>
        </w:rPr>
        <w:t>节规定。</w:t>
      </w:r>
    </w:p>
    <w:p>
      <w:pPr>
        <w:spacing w:line="460" w:lineRule="exact"/>
        <w:ind w:firstLine="472" w:firstLineChars="200"/>
        <w:rPr>
          <w:rFonts w:eastAsia="方正仿宋_GBK"/>
          <w:color w:val="000000"/>
          <w:spacing w:val="-2"/>
          <w:sz w:val="24"/>
        </w:rPr>
      </w:pPr>
      <w:r>
        <w:rPr>
          <w:rFonts w:eastAsia="方正仿宋_GBK"/>
          <w:color w:val="000000"/>
          <w:spacing w:val="-2"/>
          <w:sz w:val="24"/>
        </w:rPr>
        <w:t>5</w:t>
      </w:r>
      <w:r>
        <w:rPr>
          <w:rFonts w:hint="eastAsia" w:eastAsia="方正仿宋_GBK"/>
          <w:color w:val="000000"/>
          <w:spacing w:val="-2"/>
          <w:sz w:val="24"/>
        </w:rPr>
        <w:t>、埋地钢管阴极保护符合《城镇燃气埋地钢质管道腐蚀控制技术规程》</w:t>
      </w:r>
      <w:r>
        <w:rPr>
          <w:rFonts w:eastAsia="方正仿宋_GBK"/>
          <w:color w:val="000000"/>
          <w:spacing w:val="-2"/>
          <w:sz w:val="24"/>
        </w:rPr>
        <w:t>CJJ95-2013</w:t>
      </w:r>
      <w:r>
        <w:rPr>
          <w:rFonts w:hint="eastAsia" w:eastAsia="方正仿宋_GBK"/>
          <w:color w:val="000000"/>
          <w:spacing w:val="-2"/>
          <w:sz w:val="24"/>
        </w:rPr>
        <w:t>第</w:t>
      </w:r>
      <w:r>
        <w:rPr>
          <w:rFonts w:eastAsia="方正仿宋_GBK"/>
          <w:color w:val="000000"/>
          <w:spacing w:val="-2"/>
          <w:sz w:val="24"/>
        </w:rPr>
        <w:t>8.2</w:t>
      </w:r>
      <w:r>
        <w:rPr>
          <w:rFonts w:hint="eastAsia" w:eastAsia="方正仿宋_GBK"/>
          <w:color w:val="000000"/>
          <w:spacing w:val="-2"/>
          <w:sz w:val="24"/>
        </w:rPr>
        <w:t>节、第</w:t>
      </w:r>
      <w:r>
        <w:rPr>
          <w:rFonts w:eastAsia="方正仿宋_GBK"/>
          <w:color w:val="000000"/>
          <w:spacing w:val="-2"/>
          <w:sz w:val="24"/>
        </w:rPr>
        <w:t>8.3</w:t>
      </w:r>
      <w:r>
        <w:rPr>
          <w:rFonts w:hint="eastAsia" w:eastAsia="方正仿宋_GBK"/>
          <w:color w:val="000000"/>
          <w:spacing w:val="-2"/>
          <w:sz w:val="24"/>
        </w:rPr>
        <w:t>节规定。</w:t>
      </w:r>
    </w:p>
    <w:p>
      <w:pPr>
        <w:spacing w:line="460" w:lineRule="exact"/>
        <w:ind w:firstLine="472" w:firstLineChars="200"/>
        <w:rPr>
          <w:rFonts w:eastAsia="方正仿宋_GBK"/>
          <w:color w:val="000000"/>
          <w:spacing w:val="-2"/>
          <w:sz w:val="24"/>
        </w:rPr>
      </w:pPr>
      <w:r>
        <w:rPr>
          <w:rFonts w:eastAsia="方正仿宋_GBK"/>
          <w:color w:val="000000"/>
          <w:spacing w:val="-2"/>
          <w:sz w:val="24"/>
        </w:rPr>
        <w:t>6</w:t>
      </w:r>
      <w:r>
        <w:rPr>
          <w:rFonts w:hint="eastAsia" w:eastAsia="方正仿宋_GBK"/>
          <w:color w:val="000000"/>
          <w:spacing w:val="-2"/>
          <w:sz w:val="24"/>
        </w:rPr>
        <w:t>、《城镇燃气设施运行、维护和抢修安全技术规程》</w:t>
      </w:r>
      <w:r>
        <w:rPr>
          <w:rFonts w:eastAsia="方正仿宋_GBK"/>
          <w:color w:val="000000"/>
          <w:spacing w:val="-2"/>
          <w:sz w:val="24"/>
        </w:rPr>
        <w:t>CJJ51-2006</w:t>
      </w:r>
      <w:r>
        <w:rPr>
          <w:rFonts w:hint="eastAsia" w:eastAsia="方正仿宋_GBK"/>
          <w:color w:val="000000"/>
          <w:spacing w:val="-2"/>
          <w:sz w:val="24"/>
        </w:rPr>
        <w:t>第</w:t>
      </w:r>
      <w:r>
        <w:rPr>
          <w:rFonts w:eastAsia="方正仿宋_GBK"/>
          <w:color w:val="000000"/>
          <w:spacing w:val="-2"/>
          <w:sz w:val="24"/>
        </w:rPr>
        <w:t>3.2.3</w:t>
      </w:r>
      <w:r>
        <w:rPr>
          <w:rFonts w:hint="eastAsia" w:eastAsia="方正仿宋_GBK"/>
          <w:color w:val="000000"/>
          <w:spacing w:val="-2"/>
          <w:sz w:val="24"/>
        </w:rPr>
        <w:t>条，对地下燃气管道的巡查应包括下列内容：在燃气管道设施的安全保护范围内不应有土壤塌陷、滑坡、下沉、人工取土、堆积垃圾或重物、管道裸露、种植深根植物及搭建建（构）筑物等。</w:t>
      </w:r>
    </w:p>
    <w:p>
      <w:pPr>
        <w:spacing w:line="460" w:lineRule="exact"/>
        <w:ind w:firstLine="462" w:firstLineChars="196"/>
        <w:rPr>
          <w:rFonts w:ascii="Times New Roman" w:eastAsia="方正黑体_GBK"/>
          <w:color w:val="000000"/>
          <w:spacing w:val="-2"/>
          <w:sz w:val="24"/>
        </w:rPr>
      </w:pPr>
      <w:r>
        <w:rPr>
          <w:rFonts w:hint="eastAsia" w:ascii="Times New Roman" w:eastAsia="方正黑体_GBK"/>
          <w:color w:val="000000"/>
          <w:spacing w:val="-2"/>
          <w:sz w:val="24"/>
        </w:rPr>
        <w:t>四、管道选用和检测技术规范要求</w:t>
      </w:r>
    </w:p>
    <w:p>
      <w:pPr>
        <w:spacing w:line="460" w:lineRule="exact"/>
        <w:ind w:firstLine="472" w:firstLineChars="200"/>
        <w:rPr>
          <w:rFonts w:hint="eastAsia"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、《城镇燃气设施运行、维护和抢修安全技术规程》</w:t>
      </w:r>
      <w:r>
        <w:rPr>
          <w:rFonts w:eastAsia="方正仿宋_GBK"/>
          <w:color w:val="000000"/>
          <w:spacing w:val="-2"/>
          <w:sz w:val="24"/>
        </w:rPr>
        <w:t>CJJ51-2006</w:t>
      </w:r>
      <w:r>
        <w:rPr>
          <w:rFonts w:hint="eastAsia" w:eastAsia="方正仿宋_GBK"/>
          <w:color w:val="000000"/>
          <w:spacing w:val="-2"/>
          <w:sz w:val="24"/>
        </w:rPr>
        <w:t>第</w:t>
      </w:r>
      <w:r>
        <w:rPr>
          <w:rFonts w:eastAsia="方正仿宋_GBK"/>
          <w:color w:val="000000"/>
          <w:spacing w:val="-2"/>
          <w:sz w:val="24"/>
        </w:rPr>
        <w:t>3.2.4</w:t>
      </w:r>
      <w:r>
        <w:rPr>
          <w:rFonts w:hint="eastAsia" w:eastAsia="方正仿宋_GBK"/>
          <w:color w:val="000000"/>
          <w:spacing w:val="-2"/>
          <w:sz w:val="24"/>
        </w:rPr>
        <w:t>条，地下燃气管道的泄漏检测应符合下列规定：</w:t>
      </w:r>
    </w:p>
    <w:p>
      <w:pPr>
        <w:spacing w:line="460" w:lineRule="exact"/>
        <w:ind w:firstLine="472" w:firstLineChars="200"/>
        <w:rPr>
          <w:rFonts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）高压、次高压管道每年不得少于</w:t>
      </w:r>
      <w:r>
        <w:rPr>
          <w:rFonts w:eastAsia="方正仿宋_GBK"/>
          <w:color w:val="000000"/>
          <w:spacing w:val="-2"/>
          <w:sz w:val="24"/>
        </w:rPr>
        <w:t>1</w:t>
      </w:r>
      <w:r>
        <w:rPr>
          <w:rFonts w:hint="eastAsia" w:eastAsia="方正仿宋_GBK"/>
          <w:color w:val="000000"/>
          <w:spacing w:val="-2"/>
          <w:sz w:val="24"/>
        </w:rPr>
        <w:t>次；</w:t>
      </w:r>
    </w:p>
    <w:p>
      <w:pPr>
        <w:spacing w:line="460" w:lineRule="exact"/>
        <w:ind w:firstLine="472" w:firstLineChars="200"/>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）聚乙烯塑料管或设有阴极保护的中压钢管，每</w:t>
      </w:r>
      <w:r>
        <w:rPr>
          <w:rFonts w:eastAsia="方正仿宋_GBK"/>
          <w:color w:val="000000"/>
          <w:spacing w:val="-2"/>
          <w:sz w:val="24"/>
        </w:rPr>
        <w:t>2</w:t>
      </w:r>
      <w:r>
        <w:rPr>
          <w:rFonts w:hint="eastAsia" w:eastAsia="方正仿宋_GBK"/>
          <w:color w:val="000000"/>
          <w:spacing w:val="-2"/>
          <w:sz w:val="24"/>
        </w:rPr>
        <w:t>年不得少于</w:t>
      </w:r>
      <w:r>
        <w:rPr>
          <w:rFonts w:eastAsia="方正仿宋_GBK"/>
          <w:color w:val="000000"/>
          <w:spacing w:val="-2"/>
          <w:sz w:val="24"/>
        </w:rPr>
        <w:t>1</w:t>
      </w:r>
      <w:r>
        <w:rPr>
          <w:rFonts w:hint="eastAsia" w:eastAsia="方正仿宋_GBK"/>
          <w:color w:val="000000"/>
          <w:spacing w:val="-2"/>
          <w:sz w:val="24"/>
        </w:rPr>
        <w:t>次；</w:t>
      </w:r>
    </w:p>
    <w:p>
      <w:pPr>
        <w:spacing w:line="460" w:lineRule="exact"/>
        <w:ind w:firstLine="472" w:firstLineChars="200"/>
        <w:rPr>
          <w:rFonts w:eastAsia="方正仿宋_GBK"/>
          <w:color w:val="000000"/>
          <w:spacing w:val="-2"/>
          <w:sz w:val="24"/>
        </w:rPr>
      </w:pPr>
      <w:r>
        <w:rPr>
          <w:rFonts w:eastAsia="方正仿宋_GBK"/>
          <w:color w:val="000000"/>
          <w:spacing w:val="-2"/>
          <w:sz w:val="24"/>
        </w:rPr>
        <w:t>3</w:t>
      </w:r>
      <w:r>
        <w:rPr>
          <w:rFonts w:hint="eastAsia" w:eastAsia="方正仿宋_GBK"/>
          <w:color w:val="000000"/>
          <w:spacing w:val="-2"/>
          <w:sz w:val="24"/>
        </w:rPr>
        <w:t>）铸铁管道和未设阴极保护的中压钢管，每年不得少于</w:t>
      </w:r>
      <w:r>
        <w:rPr>
          <w:rFonts w:eastAsia="方正仿宋_GBK"/>
          <w:color w:val="000000"/>
          <w:spacing w:val="-2"/>
          <w:sz w:val="24"/>
        </w:rPr>
        <w:t>2</w:t>
      </w:r>
      <w:r>
        <w:rPr>
          <w:rFonts w:hint="eastAsia" w:eastAsia="方正仿宋_GBK"/>
          <w:color w:val="000000"/>
          <w:spacing w:val="-2"/>
          <w:sz w:val="24"/>
        </w:rPr>
        <w:t>次；</w:t>
      </w:r>
    </w:p>
    <w:p>
      <w:pPr>
        <w:spacing w:line="460" w:lineRule="exact"/>
        <w:ind w:firstLine="472" w:firstLineChars="200"/>
        <w:rPr>
          <w:rFonts w:eastAsia="方正仿宋_GBK"/>
          <w:color w:val="000000"/>
          <w:spacing w:val="-2"/>
          <w:sz w:val="24"/>
        </w:rPr>
      </w:pPr>
      <w:r>
        <w:rPr>
          <w:rFonts w:eastAsia="方正仿宋_GBK"/>
          <w:color w:val="000000"/>
          <w:spacing w:val="-2"/>
          <w:sz w:val="24"/>
        </w:rPr>
        <w:t>4</w:t>
      </w:r>
      <w:r>
        <w:rPr>
          <w:rFonts w:hint="eastAsia" w:eastAsia="方正仿宋_GBK"/>
          <w:color w:val="000000"/>
          <w:spacing w:val="-2"/>
          <w:sz w:val="24"/>
        </w:rPr>
        <w:t>）新通气的管道应在</w:t>
      </w:r>
      <w:r>
        <w:rPr>
          <w:rFonts w:eastAsia="方正仿宋_GBK"/>
          <w:color w:val="000000"/>
          <w:spacing w:val="-2"/>
          <w:sz w:val="24"/>
        </w:rPr>
        <w:t>24h</w:t>
      </w:r>
      <w:r>
        <w:rPr>
          <w:rFonts w:hint="eastAsia" w:eastAsia="方正仿宋_GBK"/>
          <w:color w:val="000000"/>
          <w:spacing w:val="-2"/>
          <w:sz w:val="24"/>
        </w:rPr>
        <w:t>之内检查</w:t>
      </w:r>
      <w:r>
        <w:rPr>
          <w:rFonts w:eastAsia="方正仿宋_GBK"/>
          <w:color w:val="000000"/>
          <w:spacing w:val="-2"/>
          <w:sz w:val="24"/>
        </w:rPr>
        <w:t>1</w:t>
      </w:r>
      <w:r>
        <w:rPr>
          <w:rFonts w:hint="eastAsia" w:eastAsia="方正仿宋_GBK"/>
          <w:color w:val="000000"/>
          <w:spacing w:val="-2"/>
          <w:sz w:val="24"/>
        </w:rPr>
        <w:t>次，并应在通气后的第一周进行</w:t>
      </w:r>
      <w:r>
        <w:rPr>
          <w:rFonts w:eastAsia="方正仿宋_GBK"/>
          <w:color w:val="000000"/>
          <w:spacing w:val="-2"/>
          <w:sz w:val="24"/>
        </w:rPr>
        <w:t>1</w:t>
      </w:r>
      <w:r>
        <w:rPr>
          <w:rFonts w:hint="eastAsia" w:eastAsia="方正仿宋_GBK"/>
          <w:color w:val="000000"/>
          <w:spacing w:val="-2"/>
          <w:sz w:val="24"/>
        </w:rPr>
        <w:t>次复查。</w:t>
      </w:r>
    </w:p>
    <w:p>
      <w:pPr>
        <w:spacing w:line="460" w:lineRule="exact"/>
        <w:ind w:firstLine="472" w:firstLineChars="200"/>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、《城镇燃气设计规范》</w:t>
      </w:r>
      <w:r>
        <w:rPr>
          <w:rFonts w:eastAsia="方正仿宋_GBK"/>
          <w:color w:val="000000"/>
          <w:spacing w:val="-2"/>
          <w:sz w:val="24"/>
        </w:rPr>
        <w:t>GB50028</w:t>
      </w:r>
      <w:r>
        <w:rPr>
          <w:rFonts w:hint="eastAsia" w:eastAsia="方正仿宋_GBK"/>
          <w:color w:val="000000"/>
          <w:spacing w:val="-2"/>
          <w:sz w:val="24"/>
        </w:rPr>
        <w:t>第</w:t>
      </w:r>
      <w:r>
        <w:rPr>
          <w:rFonts w:eastAsia="方正仿宋_GBK"/>
          <w:color w:val="000000"/>
          <w:spacing w:val="-2"/>
          <w:sz w:val="24"/>
        </w:rPr>
        <w:t>6.3.1</w:t>
      </w:r>
      <w:r>
        <w:rPr>
          <w:rFonts w:hint="eastAsia" w:eastAsia="方正仿宋_GBK"/>
          <w:color w:val="000000"/>
          <w:spacing w:val="-2"/>
          <w:sz w:val="24"/>
        </w:rPr>
        <w:t>条，中压和低压燃气管道宜采用聚乙烯管、机械接口球墨铸铁管、钢管或钢骨架聚乙烯塑料复合管，并应符合下列要求：</w:t>
      </w:r>
    </w:p>
    <w:p>
      <w:pPr>
        <w:spacing w:line="460" w:lineRule="exact"/>
        <w:ind w:firstLine="472" w:firstLineChars="200"/>
        <w:rPr>
          <w:rFonts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）聚乙烯燃气管道应符合现行的国家标准《燃气用埋地聚乙烯管材》</w:t>
      </w:r>
      <w:r>
        <w:rPr>
          <w:rFonts w:eastAsia="方正仿宋_GBK"/>
          <w:color w:val="000000"/>
          <w:spacing w:val="-2"/>
          <w:sz w:val="24"/>
        </w:rPr>
        <w:t>GB 15558.1</w:t>
      </w:r>
      <w:r>
        <w:rPr>
          <w:rFonts w:hint="eastAsia" w:eastAsia="方正仿宋_GBK"/>
          <w:color w:val="000000"/>
          <w:spacing w:val="-2"/>
          <w:sz w:val="24"/>
        </w:rPr>
        <w:t>和《燃气用埋地聚乙烯管件》</w:t>
      </w:r>
      <w:r>
        <w:rPr>
          <w:rFonts w:eastAsia="方正仿宋_GBK"/>
          <w:color w:val="000000"/>
          <w:spacing w:val="-2"/>
          <w:sz w:val="24"/>
        </w:rPr>
        <w:t>GB 15558.2</w:t>
      </w:r>
      <w:r>
        <w:rPr>
          <w:rFonts w:hint="eastAsia" w:eastAsia="方正仿宋_GBK"/>
          <w:color w:val="000000"/>
          <w:spacing w:val="-2"/>
          <w:sz w:val="24"/>
        </w:rPr>
        <w:t>的规定；</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）机械接口球墨铸铁管道应符合现行的国家标准《水及燃气管道用球墨铸铁管、管件和附件》</w:t>
      </w:r>
      <w:r>
        <w:rPr>
          <w:rFonts w:eastAsia="方正仿宋_GBK"/>
          <w:color w:val="000000"/>
          <w:spacing w:val="-2"/>
          <w:sz w:val="24"/>
        </w:rPr>
        <w:t>GB/T 13295</w:t>
      </w:r>
      <w:r>
        <w:rPr>
          <w:rFonts w:hint="eastAsia" w:eastAsia="方正仿宋_GBK"/>
          <w:color w:val="000000"/>
          <w:spacing w:val="-2"/>
          <w:sz w:val="24"/>
        </w:rPr>
        <w:t>的规定；</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eastAsia="方正仿宋_GBK"/>
          <w:color w:val="000000"/>
          <w:spacing w:val="-2"/>
          <w:sz w:val="24"/>
        </w:rPr>
        <w:t>3</w:t>
      </w:r>
      <w:r>
        <w:rPr>
          <w:rFonts w:hint="eastAsia" w:eastAsia="方正仿宋_GBK"/>
          <w:color w:val="000000"/>
          <w:spacing w:val="-2"/>
          <w:sz w:val="24"/>
        </w:rPr>
        <w:t>）钢管采用焊接钢管、镀锌钢管或无缝钢管时，应分别符合现行的国家标准《低压流体输送用焊接钢管》</w:t>
      </w:r>
      <w:r>
        <w:rPr>
          <w:rFonts w:eastAsia="方正仿宋_GBK"/>
          <w:color w:val="000000"/>
          <w:spacing w:val="-2"/>
          <w:sz w:val="24"/>
        </w:rPr>
        <w:t>GB/T 3091</w:t>
      </w:r>
      <w:r>
        <w:rPr>
          <w:rFonts w:hint="eastAsia" w:eastAsia="方正仿宋_GBK"/>
          <w:color w:val="000000"/>
          <w:spacing w:val="-2"/>
          <w:sz w:val="24"/>
        </w:rPr>
        <w:t>、《输送流体用无缝钢管》</w:t>
      </w:r>
      <w:r>
        <w:rPr>
          <w:rFonts w:eastAsia="方正仿宋_GBK"/>
          <w:color w:val="000000"/>
          <w:spacing w:val="-2"/>
          <w:sz w:val="24"/>
        </w:rPr>
        <w:t>GB/T 8163</w:t>
      </w:r>
      <w:r>
        <w:rPr>
          <w:rFonts w:hint="eastAsia" w:eastAsia="方正仿宋_GBK"/>
          <w:color w:val="000000"/>
          <w:spacing w:val="-2"/>
          <w:sz w:val="24"/>
        </w:rPr>
        <w:t>的规定；</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eastAsia="方正仿宋_GBK"/>
          <w:color w:val="000000"/>
          <w:spacing w:val="-2"/>
          <w:sz w:val="24"/>
        </w:rPr>
        <w:t>4</w:t>
      </w:r>
      <w:r>
        <w:rPr>
          <w:rFonts w:hint="eastAsia" w:eastAsia="方正仿宋_GBK"/>
          <w:color w:val="000000"/>
          <w:spacing w:val="-2"/>
          <w:sz w:val="24"/>
        </w:rPr>
        <w:t>）钢骨架聚乙烯塑料复合管道应符合国家现行标准《燃气用钢骨架聚乙烯塑料复合管》</w:t>
      </w:r>
      <w:r>
        <w:rPr>
          <w:rFonts w:eastAsia="方正仿宋_GBK"/>
          <w:color w:val="000000"/>
          <w:spacing w:val="-2"/>
          <w:sz w:val="24"/>
        </w:rPr>
        <w:t>CJ/T 125</w:t>
      </w:r>
      <w:r>
        <w:rPr>
          <w:rFonts w:hint="eastAsia" w:eastAsia="方正仿宋_GBK"/>
          <w:color w:val="000000"/>
          <w:spacing w:val="-2"/>
          <w:sz w:val="24"/>
        </w:rPr>
        <w:t>和《燃气用钢骨架聚乙烯塑料复合管件》</w:t>
      </w:r>
      <w:r>
        <w:rPr>
          <w:rFonts w:eastAsia="方正仿宋_GBK"/>
          <w:color w:val="000000"/>
          <w:spacing w:val="-2"/>
          <w:sz w:val="24"/>
        </w:rPr>
        <w:t>CJ/T 126</w:t>
      </w:r>
      <w:r>
        <w:rPr>
          <w:rFonts w:hint="eastAsia" w:eastAsia="方正仿宋_GBK"/>
          <w:color w:val="000000"/>
          <w:spacing w:val="-2"/>
          <w:sz w:val="24"/>
        </w:rPr>
        <w:t>的规定。</w:t>
      </w:r>
    </w:p>
    <w:p>
      <w:pPr>
        <w:spacing w:line="440" w:lineRule="exact"/>
        <w:rPr>
          <w:rFonts w:eastAsia="方正仿宋_GBK"/>
          <w:color w:val="000000"/>
          <w:spacing w:val="-2"/>
          <w:sz w:val="24"/>
        </w:rPr>
      </w:pPr>
      <w:r>
        <w:rPr>
          <w:rFonts w:eastAsia="方正仿宋_GBK"/>
          <w:color w:val="000000"/>
          <w:spacing w:val="-2"/>
          <w:sz w:val="24"/>
        </w:rPr>
        <w:t>3</w:t>
      </w:r>
      <w:r>
        <w:rPr>
          <w:rFonts w:hint="eastAsia" w:eastAsia="方正仿宋_GBK"/>
          <w:color w:val="000000"/>
          <w:spacing w:val="-2"/>
          <w:sz w:val="24"/>
        </w:rPr>
        <w:t>、埋地铸铁管道接口符合《水及燃气管道用球墨铸铁管、管件和附件》</w:t>
      </w:r>
      <w:r>
        <w:rPr>
          <w:rFonts w:eastAsia="方正仿宋_GBK"/>
          <w:color w:val="000000"/>
          <w:spacing w:val="-2"/>
          <w:sz w:val="24"/>
        </w:rPr>
        <w:t>GB</w:t>
      </w:r>
      <w:r>
        <w:rPr>
          <w:rFonts w:hint="eastAsia" w:eastAsia="方正仿宋_GBK"/>
          <w:color w:val="000000"/>
          <w:spacing w:val="-2"/>
          <w:sz w:val="24"/>
        </w:rPr>
        <w:t>／</w:t>
      </w:r>
      <w:r>
        <w:rPr>
          <w:rFonts w:eastAsia="方正仿宋_GBK"/>
          <w:color w:val="000000"/>
          <w:spacing w:val="-2"/>
          <w:sz w:val="24"/>
        </w:rPr>
        <w:t>T13295-2008</w:t>
      </w:r>
      <w:r>
        <w:rPr>
          <w:rFonts w:hint="eastAsia" w:eastAsia="方正仿宋_GBK"/>
          <w:color w:val="000000"/>
          <w:spacing w:val="-2"/>
          <w:sz w:val="24"/>
        </w:rPr>
        <w:t>规定。</w:t>
      </w:r>
    </w:p>
    <w:p>
      <w:pPr>
        <w:pStyle w:val="2"/>
        <w:spacing w:before="240" w:beforeLines="100" w:after="240" w:afterLines="100" w:line="240" w:lineRule="auto"/>
        <w:jc w:val="center"/>
        <w:rPr>
          <w:rFonts w:ascii="Times New Roman" w:eastAsia="方正小标宋_GBK"/>
          <w:b w:val="0"/>
          <w:sz w:val="36"/>
          <w:szCs w:val="36"/>
        </w:rPr>
      </w:pPr>
      <w:r>
        <w:rPr>
          <w:rFonts w:eastAsia="方正仿宋_GBK"/>
          <w:b w:val="0"/>
          <w:color w:val="000000"/>
          <w:spacing w:val="-2"/>
          <w:sz w:val="24"/>
        </w:rPr>
        <w:br w:type="column"/>
      </w:r>
      <w:bookmarkStart w:id="158" w:name="_Toc20726644"/>
      <w:bookmarkStart w:id="159" w:name="_Toc18315785"/>
      <w:r>
        <w:rPr>
          <w:rFonts w:hint="eastAsia" w:ascii="Times New Roman" w:eastAsia="方正小标宋_GBK"/>
          <w:b w:val="0"/>
          <w:sz w:val="36"/>
          <w:szCs w:val="36"/>
        </w:rPr>
        <w:t>关于进一步加强我省城乡生活垃圾处理设施建设和运行管理工作的意见</w:t>
      </w:r>
      <w:bookmarkEnd w:id="158"/>
      <w:bookmarkEnd w:id="159"/>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160" w:name="_Toc18315786"/>
      <w:bookmarkStart w:id="161" w:name="_Toc20726645"/>
      <w:r>
        <w:rPr>
          <w:rFonts w:hint="eastAsia" w:ascii="Times New Roman" w:hAnsi="Times New Roman" w:eastAsia="方正楷体_GBK"/>
          <w:b w:val="0"/>
          <w:sz w:val="24"/>
          <w:szCs w:val="24"/>
        </w:rPr>
        <w:t>苏建规字〔</w:t>
      </w:r>
      <w:r>
        <w:rPr>
          <w:rFonts w:ascii="Times New Roman" w:hAnsi="Times New Roman" w:eastAsia="方正楷体_GBK"/>
          <w:b w:val="0"/>
          <w:sz w:val="24"/>
          <w:szCs w:val="24"/>
        </w:rPr>
        <w:t>2010</w:t>
      </w:r>
      <w:r>
        <w:rPr>
          <w:rFonts w:hint="eastAsia" w:ascii="Times New Roman" w:hAnsi="Times New Roman" w:eastAsia="方正楷体_GBK"/>
          <w:b w:val="0"/>
          <w:sz w:val="24"/>
          <w:szCs w:val="24"/>
        </w:rPr>
        <w:t>〕</w:t>
      </w:r>
      <w:r>
        <w:rPr>
          <w:rFonts w:ascii="Times New Roman" w:hAnsi="Times New Roman" w:eastAsia="方正楷体_GBK"/>
          <w:b w:val="0"/>
          <w:sz w:val="24"/>
          <w:szCs w:val="24"/>
        </w:rPr>
        <w:t>1</w:t>
      </w:r>
      <w:r>
        <w:rPr>
          <w:rFonts w:hint="eastAsia" w:ascii="Times New Roman" w:hAnsi="Times New Roman" w:eastAsia="方正楷体_GBK"/>
          <w:b w:val="0"/>
          <w:sz w:val="24"/>
          <w:szCs w:val="24"/>
        </w:rPr>
        <w:t>号</w:t>
      </w:r>
      <w:bookmarkEnd w:id="160"/>
      <w:bookmarkEnd w:id="161"/>
    </w:p>
    <w:p>
      <w:pPr>
        <w:spacing w:line="460" w:lineRule="exact"/>
        <w:jc w:val="left"/>
        <w:rPr>
          <w:rFonts w:eastAsia="方正仿宋_GBK"/>
          <w:color w:val="000000"/>
          <w:sz w:val="24"/>
        </w:rPr>
      </w:pPr>
      <w:r>
        <w:rPr>
          <w:rFonts w:hint="eastAsia" w:eastAsia="方正仿宋_GBK"/>
          <w:color w:val="000000"/>
          <w:sz w:val="24"/>
        </w:rPr>
        <w:t>各市、县城管（市容）局，有关县（市）建设局：</w:t>
      </w:r>
    </w:p>
    <w:p>
      <w:pPr>
        <w:spacing w:line="460" w:lineRule="exact"/>
        <w:ind w:firstLine="480" w:firstLineChars="200"/>
        <w:jc w:val="left"/>
        <w:rPr>
          <w:rFonts w:eastAsia="方正仿宋_GBK"/>
          <w:color w:val="000000"/>
          <w:sz w:val="24"/>
        </w:rPr>
      </w:pPr>
      <w:r>
        <w:rPr>
          <w:rFonts w:eastAsia="方正仿宋_GBK"/>
          <w:color w:val="000000"/>
          <w:sz w:val="24"/>
        </w:rPr>
        <w:t>2009</w:t>
      </w:r>
      <w:r>
        <w:rPr>
          <w:rFonts w:hint="eastAsia" w:eastAsia="方正仿宋_GBK"/>
          <w:color w:val="000000"/>
          <w:sz w:val="24"/>
        </w:rPr>
        <w:t>年</w:t>
      </w:r>
      <w:r>
        <w:rPr>
          <w:rFonts w:eastAsia="方正仿宋_GBK"/>
          <w:color w:val="000000"/>
          <w:sz w:val="24"/>
        </w:rPr>
        <w:t>9</w:t>
      </w:r>
      <w:r>
        <w:rPr>
          <w:rFonts w:hint="eastAsia" w:eastAsia="方正仿宋_GBK"/>
          <w:color w:val="000000"/>
          <w:sz w:val="24"/>
        </w:rPr>
        <w:t>月</w:t>
      </w:r>
      <w:r>
        <w:rPr>
          <w:rFonts w:eastAsia="方正仿宋_GBK"/>
          <w:color w:val="000000"/>
          <w:sz w:val="24"/>
        </w:rPr>
        <w:t>23</w:t>
      </w:r>
      <w:r>
        <w:rPr>
          <w:rFonts w:hint="eastAsia" w:eastAsia="方正仿宋_GBK"/>
          <w:color w:val="000000"/>
          <w:sz w:val="24"/>
        </w:rPr>
        <w:t>日，《江苏省固体废物污染环境防治条例》（以下简称《条例》）已经省第十一届人大常委会第十一次会议审议通过，自</w:t>
      </w:r>
      <w:r>
        <w:rPr>
          <w:rFonts w:eastAsia="方正仿宋_GBK"/>
          <w:color w:val="000000"/>
          <w:sz w:val="24"/>
        </w:rPr>
        <w:t>2010</w:t>
      </w:r>
      <w:r>
        <w:rPr>
          <w:rFonts w:hint="eastAsia" w:eastAsia="方正仿宋_GBK"/>
          <w:color w:val="000000"/>
          <w:sz w:val="24"/>
        </w:rPr>
        <w:t>年</w:t>
      </w:r>
      <w:r>
        <w:rPr>
          <w:rFonts w:eastAsia="方正仿宋_GBK"/>
          <w:color w:val="000000"/>
          <w:sz w:val="24"/>
        </w:rPr>
        <w:t>1</w:t>
      </w:r>
      <w:r>
        <w:rPr>
          <w:rFonts w:hint="eastAsia" w:eastAsia="方正仿宋_GBK"/>
          <w:color w:val="000000"/>
          <w:sz w:val="24"/>
        </w:rPr>
        <w:t>月</w:t>
      </w:r>
      <w:r>
        <w:rPr>
          <w:rFonts w:eastAsia="方正仿宋_GBK"/>
          <w:color w:val="000000"/>
          <w:sz w:val="24"/>
        </w:rPr>
        <w:t>1</w:t>
      </w:r>
      <w:r>
        <w:rPr>
          <w:rFonts w:hint="eastAsia" w:eastAsia="方正仿宋_GBK"/>
          <w:color w:val="000000"/>
          <w:sz w:val="24"/>
        </w:rPr>
        <w:t>日起施行。为认真贯彻落实《条例》，进一步加强城乡生活垃圾污染防治工作，现提出如下意见，请遵照执行。</w:t>
      </w:r>
    </w:p>
    <w:p>
      <w:pPr>
        <w:spacing w:line="460" w:lineRule="exact"/>
        <w:ind w:firstLine="480" w:firstLineChars="200"/>
        <w:jc w:val="left"/>
        <w:rPr>
          <w:rFonts w:ascii="Times New Roman" w:eastAsia="黑体"/>
          <w:color w:val="000000"/>
          <w:sz w:val="24"/>
        </w:rPr>
      </w:pPr>
      <w:r>
        <w:rPr>
          <w:rFonts w:hint="eastAsia" w:ascii="Times New Roman" w:eastAsia="黑体"/>
          <w:color w:val="000000"/>
          <w:sz w:val="24"/>
        </w:rPr>
        <w:t>一、切实做好《条例》宣传贯彻工作，进一步提高对加强城乡生活垃圾污染防治重要意义的认识</w:t>
      </w:r>
    </w:p>
    <w:p>
      <w:pPr>
        <w:spacing w:line="460" w:lineRule="exact"/>
        <w:ind w:firstLine="480" w:firstLineChars="200"/>
        <w:jc w:val="left"/>
        <w:rPr>
          <w:rFonts w:hint="eastAsia" w:eastAsia="方正仿宋_GBK"/>
          <w:color w:val="000000"/>
          <w:sz w:val="24"/>
        </w:rPr>
      </w:pPr>
      <w:r>
        <w:rPr>
          <w:rFonts w:hint="eastAsia" w:eastAsia="方正仿宋_GBK"/>
          <w:color w:val="000000"/>
          <w:sz w:val="24"/>
        </w:rPr>
        <w:t>近年来，各地认真贯彻落实环保优先方针，加大投入，城乡生活垃圾处理设施建设取得了明显成效。截至</w:t>
      </w:r>
      <w:r>
        <w:rPr>
          <w:rFonts w:eastAsia="方正仿宋_GBK"/>
          <w:color w:val="000000"/>
          <w:sz w:val="24"/>
        </w:rPr>
        <w:t>2009</w:t>
      </w:r>
      <w:r>
        <w:rPr>
          <w:rFonts w:hint="eastAsia" w:eastAsia="方正仿宋_GBK"/>
          <w:color w:val="000000"/>
          <w:sz w:val="24"/>
        </w:rPr>
        <w:t>年底，全省城市（含县城）共建有生活垃圾处理设施</w:t>
      </w:r>
      <w:r>
        <w:rPr>
          <w:rFonts w:eastAsia="方正仿宋_GBK"/>
          <w:color w:val="000000"/>
          <w:sz w:val="24"/>
        </w:rPr>
        <w:t>72</w:t>
      </w:r>
      <w:r>
        <w:rPr>
          <w:rFonts w:hint="eastAsia" w:eastAsia="方正仿宋_GBK"/>
          <w:color w:val="000000"/>
          <w:sz w:val="24"/>
        </w:rPr>
        <w:t>座，其中，达到无害化处理标准的设施共</w:t>
      </w:r>
      <w:r>
        <w:rPr>
          <w:rFonts w:eastAsia="方正仿宋_GBK"/>
          <w:color w:val="000000"/>
          <w:sz w:val="24"/>
        </w:rPr>
        <w:t>46</w:t>
      </w:r>
      <w:r>
        <w:rPr>
          <w:rFonts w:hint="eastAsia" w:eastAsia="方正仿宋_GBK"/>
          <w:color w:val="000000"/>
          <w:sz w:val="24"/>
        </w:rPr>
        <w:t>座，生活垃圾无害化处理能力达</w:t>
      </w:r>
      <w:r>
        <w:rPr>
          <w:rFonts w:eastAsia="方正仿宋_GBK"/>
          <w:color w:val="000000"/>
          <w:sz w:val="24"/>
        </w:rPr>
        <w:t>3.4</w:t>
      </w:r>
      <w:r>
        <w:rPr>
          <w:rFonts w:hint="eastAsia" w:eastAsia="方正仿宋_GBK"/>
          <w:color w:val="000000"/>
          <w:sz w:val="24"/>
        </w:rPr>
        <w:t>万吨</w:t>
      </w:r>
      <w:r>
        <w:rPr>
          <w:rFonts w:eastAsia="方正仿宋_GBK"/>
          <w:color w:val="000000"/>
          <w:sz w:val="24"/>
        </w:rPr>
        <w:t>/</w:t>
      </w:r>
      <w:r>
        <w:rPr>
          <w:rFonts w:hint="eastAsia" w:eastAsia="方正仿宋_GBK"/>
          <w:color w:val="000000"/>
          <w:sz w:val="24"/>
        </w:rPr>
        <w:t>日，全省城市（含县城）生活垃圾无害化处理率约</w:t>
      </w:r>
      <w:r>
        <w:rPr>
          <w:rFonts w:eastAsia="方正仿宋_GBK"/>
          <w:color w:val="000000"/>
          <w:sz w:val="24"/>
        </w:rPr>
        <w:t>83%</w:t>
      </w:r>
      <w:r>
        <w:rPr>
          <w:rFonts w:hint="eastAsia" w:eastAsia="方正仿宋_GBK"/>
          <w:color w:val="000000"/>
          <w:sz w:val="24"/>
        </w:rPr>
        <w:t>，农村生活垃圾收运体系逐步建立。但是，随着我省城市化和城市现代化进程加快，人民群众环境意识的增强，对生活垃圾处理的标准和要求也不断提高，我省城乡生活垃圾处理工作面临新的形势和新的问题。《条例》总结了我省垃圾污染防治工作的经验，确定了一系列法律制度，具有很强的针对性和可操作性。各级环境卫生行政主管部门要从落实科学发展观、加快推进生态省建设、实现</w:t>
      </w:r>
      <w:r>
        <w:rPr>
          <w:rFonts w:eastAsia="方正仿宋_GBK"/>
          <w:color w:val="000000"/>
          <w:sz w:val="24"/>
        </w:rPr>
        <w:t>“</w:t>
      </w:r>
      <w:r>
        <w:rPr>
          <w:rFonts w:hint="eastAsia" w:eastAsia="方正仿宋_GBK"/>
          <w:color w:val="000000"/>
          <w:sz w:val="24"/>
        </w:rPr>
        <w:t>两个率先</w:t>
      </w:r>
      <w:r>
        <w:rPr>
          <w:rFonts w:eastAsia="方正仿宋_GBK"/>
          <w:color w:val="000000"/>
          <w:sz w:val="24"/>
        </w:rPr>
        <w:t>”</w:t>
      </w:r>
      <w:r>
        <w:rPr>
          <w:rFonts w:hint="eastAsia" w:eastAsia="方正仿宋_GBK"/>
          <w:color w:val="000000"/>
          <w:sz w:val="24"/>
        </w:rPr>
        <w:t>目标的高度，深刻认识加强城乡生活垃圾污染防治工作的重要性和紧迫性。各地要借《条例》施行之机，结合年度普法任务，掀起宣传学习《条例》的高潮。要采取多种形式向全社会宣传《条例》，让企业和广大城乡居民都知晓《条例》中有关城乡生活垃圾污染防治的主要内容，了解法律赋予的相关权利和义务。同时，要抓紧组织学习培训，将有关内容宣传到机关事业单位管理人员、执法人员和相关企业经营管理人员，形成一个宣传、学习《条例》的良好舆论环境，掌握和领会《条例》的精神实质，切实把各项法律制度落到实处。</w:t>
      </w:r>
    </w:p>
    <w:p>
      <w:pPr>
        <w:spacing w:line="460" w:lineRule="exact"/>
        <w:ind w:firstLine="480" w:firstLineChars="200"/>
        <w:jc w:val="left"/>
        <w:rPr>
          <w:rFonts w:ascii="Times New Roman" w:eastAsia="黑体"/>
          <w:color w:val="000000"/>
          <w:sz w:val="24"/>
        </w:rPr>
      </w:pPr>
      <w:r>
        <w:rPr>
          <w:rFonts w:hint="eastAsia" w:ascii="Times New Roman" w:eastAsia="黑体"/>
          <w:color w:val="000000"/>
          <w:sz w:val="24"/>
        </w:rPr>
        <w:t>二、严格执行《条例》规定的各项制度，加快推进城乡生活垃圾处理设施建设</w:t>
      </w:r>
    </w:p>
    <w:p>
      <w:pPr>
        <w:spacing w:line="460" w:lineRule="exact"/>
        <w:ind w:firstLine="480" w:firstLineChars="200"/>
        <w:jc w:val="left"/>
        <w:rPr>
          <w:rFonts w:hint="eastAsia" w:eastAsia="方正仿宋_GBK"/>
          <w:color w:val="000000"/>
          <w:sz w:val="24"/>
        </w:rPr>
      </w:pPr>
      <w:r>
        <w:rPr>
          <w:rFonts w:eastAsia="方正仿宋_GBK"/>
          <w:color w:val="000000"/>
          <w:sz w:val="24"/>
        </w:rPr>
        <w:t>1</w:t>
      </w:r>
      <w:r>
        <w:rPr>
          <w:rFonts w:hint="eastAsia" w:eastAsia="方正仿宋_GBK"/>
          <w:color w:val="000000"/>
          <w:sz w:val="24"/>
        </w:rPr>
        <w:t>、加强环境卫生专业规划编制工作，切实落实分级评审制度。各级环境卫生行政主管部门要按照规定权限和程序，会同城乡规划行政主管部门，以城市总体规划为依据，遵循城乡统筹、区域统筹、节约土地和规模化经营的原则，依照《江苏省城市环境卫生专业规划编制纲要》（苏建城〔</w:t>
      </w:r>
      <w:r>
        <w:rPr>
          <w:rFonts w:eastAsia="方正仿宋_GBK"/>
          <w:color w:val="000000"/>
          <w:sz w:val="24"/>
        </w:rPr>
        <w:t>2009</w:t>
      </w:r>
      <w:r>
        <w:rPr>
          <w:rFonts w:hint="eastAsia" w:eastAsia="方正仿宋_GBK"/>
          <w:color w:val="000000"/>
          <w:sz w:val="24"/>
        </w:rPr>
        <w:t>〕</w:t>
      </w:r>
      <w:r>
        <w:rPr>
          <w:rFonts w:eastAsia="方正仿宋_GBK"/>
          <w:color w:val="000000"/>
          <w:sz w:val="24"/>
        </w:rPr>
        <w:t>175</w:t>
      </w:r>
      <w:r>
        <w:rPr>
          <w:rFonts w:hint="eastAsia" w:eastAsia="方正仿宋_GBK"/>
          <w:color w:val="000000"/>
          <w:sz w:val="24"/>
        </w:rPr>
        <w:t>号）要求，委托具有相应资质的规划编制单位开展规划编制工作，对生活垃圾处理设施布局和规模作出具体安排。生活垃圾处理厂的选址必须符合国家有关标准，项目规划定点后，需严格控制厂址周边的建设开发，特别是居住小区项目开发活动。鼓励以建设</w:t>
      </w:r>
      <w:r>
        <w:rPr>
          <w:rFonts w:eastAsia="方正仿宋_GBK"/>
          <w:color w:val="000000"/>
          <w:sz w:val="24"/>
        </w:rPr>
        <w:t>“</w:t>
      </w:r>
      <w:r>
        <w:rPr>
          <w:rFonts w:hint="eastAsia" w:eastAsia="方正仿宋_GBK"/>
          <w:color w:val="000000"/>
          <w:sz w:val="24"/>
        </w:rPr>
        <w:t>固废处理产业园</w:t>
      </w:r>
      <w:r>
        <w:rPr>
          <w:rFonts w:eastAsia="方正仿宋_GBK"/>
          <w:color w:val="000000"/>
          <w:sz w:val="24"/>
        </w:rPr>
        <w:t>”</w:t>
      </w:r>
      <w:r>
        <w:rPr>
          <w:rFonts w:hint="eastAsia" w:eastAsia="方正仿宋_GBK"/>
          <w:color w:val="000000"/>
          <w:sz w:val="24"/>
        </w:rPr>
        <w:t>的模式，将城乡各类固废垃圾统筹布局、集中处理。全面落实城市环境卫生专业规划的分级指导与评审制度。省辖市的环境卫生专业规划须报送省住房和城乡建设厅审查通过后，报当地人民政府批准实施；县（市）的环境卫生专业规划须报送省辖市环境卫生行政主管部门审查通过后，报当地人民政府批准实施。</w:t>
      </w:r>
    </w:p>
    <w:p>
      <w:pPr>
        <w:spacing w:line="460" w:lineRule="exact"/>
        <w:ind w:firstLine="480" w:firstLineChars="200"/>
        <w:jc w:val="left"/>
        <w:rPr>
          <w:rFonts w:eastAsia="方正仿宋_GBK"/>
          <w:color w:val="000000"/>
          <w:sz w:val="24"/>
        </w:rPr>
      </w:pPr>
      <w:r>
        <w:rPr>
          <w:rFonts w:eastAsia="方正仿宋_GBK"/>
          <w:color w:val="000000"/>
          <w:sz w:val="24"/>
        </w:rPr>
        <w:t>2</w:t>
      </w:r>
      <w:r>
        <w:rPr>
          <w:rFonts w:hint="eastAsia" w:eastAsia="方正仿宋_GBK"/>
          <w:color w:val="000000"/>
          <w:sz w:val="24"/>
        </w:rPr>
        <w:t>、严格执行技术标准和基本建设程序，规范环境卫生基础设施建设。新建（含改扩建）生活垃圾处理设施必须执行国家标准规范；选用新技术、新工艺要有完整的生产性试验报告和专门的技术评估报告，并按照住房和城乡建设部有关规定要求，报请省级以上住房和建设行政主管部门组织审定。要认真开展前期研究，做好项目立项、可行性研究、环境影响评价、初步设计与施工图审查等前期准备工作。严格执行项目建设管理规定，落实项目法人制、招投标制、工程监理制、质量监督制。项目建设应选用具备相应的市政公用行业环境卫生工程设计资质、施工资质、工程监理资质和良好业绩的单位。卫生填埋项目要同步建设人工防渗、渗沥液处理、填埋气导排、环境检测等设施，同步配套相关作业设备。</w:t>
      </w:r>
    </w:p>
    <w:p>
      <w:pPr>
        <w:spacing w:line="460" w:lineRule="exact"/>
        <w:ind w:firstLine="480" w:firstLineChars="200"/>
        <w:jc w:val="left"/>
        <w:rPr>
          <w:rFonts w:eastAsia="方正仿宋_GBK"/>
          <w:color w:val="000000"/>
          <w:sz w:val="24"/>
        </w:rPr>
      </w:pPr>
      <w:r>
        <w:rPr>
          <w:rFonts w:eastAsia="方正仿宋_GBK"/>
          <w:color w:val="000000"/>
          <w:sz w:val="24"/>
        </w:rPr>
        <w:t>3</w:t>
      </w:r>
      <w:r>
        <w:rPr>
          <w:rFonts w:hint="eastAsia" w:eastAsia="方正仿宋_GBK"/>
          <w:color w:val="000000"/>
          <w:sz w:val="24"/>
        </w:rPr>
        <w:t>、合理确定垃圾处理方式，提高生活垃圾处理技术水平。各地要将科技进步放在突出位置，以国家有关生活垃圾处理的技术政策为指导，因地制宜地选择先进适用的垃圾处理技术和工艺设备。垃圾焚烧是当今世界生活垃圾处理的主流技术之一，其技术是成熟的，相比较卫生填埋和生化制肥工艺，其在节约占地、减量化、资源化等方面具有明显优势，适用于地少人多、经济较发达的地区。卫生填埋是现阶段我国生活垃圾处理的主要方式，在具备卫生填埋场地资源和自然条件的城市，应以卫生填埋作为生活垃圾处理的基本方案。尚未普及生活垃圾分类收集的地区，应审慎采用生化制肥等综合处理技术。</w:t>
      </w:r>
    </w:p>
    <w:p>
      <w:pPr>
        <w:spacing w:line="460" w:lineRule="exact"/>
        <w:ind w:firstLine="480" w:firstLineChars="200"/>
        <w:rPr>
          <w:rFonts w:eastAsia="方正仿宋_GBK"/>
          <w:color w:val="000000"/>
          <w:sz w:val="24"/>
        </w:rPr>
      </w:pPr>
      <w:r>
        <w:rPr>
          <w:rFonts w:eastAsia="方正仿宋_GBK"/>
          <w:color w:val="000000"/>
          <w:sz w:val="24"/>
        </w:rPr>
        <w:t>4</w:t>
      </w:r>
      <w:r>
        <w:rPr>
          <w:rFonts w:hint="eastAsia" w:eastAsia="方正仿宋_GBK"/>
          <w:color w:val="000000"/>
          <w:sz w:val="24"/>
        </w:rPr>
        <w:t>、加大政府投入，加快构建完善城乡统筹垃圾收运处置体系。各地要按照《条例》规定统筹规划、建设城乡生活垃圾收运体系和无害化处置设施，全面建立和完善</w:t>
      </w:r>
      <w:r>
        <w:rPr>
          <w:rFonts w:eastAsia="方正仿宋_GBK"/>
          <w:color w:val="000000"/>
          <w:sz w:val="24"/>
        </w:rPr>
        <w:t>“</w:t>
      </w:r>
      <w:r>
        <w:rPr>
          <w:rFonts w:hint="eastAsia" w:eastAsia="方正仿宋_GBK"/>
          <w:color w:val="000000"/>
          <w:sz w:val="24"/>
        </w:rPr>
        <w:t>组保洁、村收集、乡（镇）转运、县（市、区）集中处置</w:t>
      </w:r>
      <w:r>
        <w:rPr>
          <w:rFonts w:eastAsia="方正仿宋_GBK"/>
          <w:color w:val="000000"/>
          <w:sz w:val="24"/>
        </w:rPr>
        <w:t>”</w:t>
      </w:r>
      <w:r>
        <w:rPr>
          <w:rFonts w:hint="eastAsia" w:eastAsia="方正仿宋_GBK"/>
          <w:color w:val="000000"/>
          <w:sz w:val="24"/>
        </w:rPr>
        <w:t>的城乡统筹生活垃圾收运处置体系，实现城乡环境基础设施的共建共享。各地要明确城乡环境卫生的管理体制和乡镇政府职责，落实城乡环境卫生长效管理机制，加大乡镇压缩式中转站和农村垃圾箱（房）等环境卫生基础设施建设力度，市、县、镇（乡）财政要建立城乡垃圾处理分级投入保障机制，设区的市、县（市、区）政府要对农村生活垃圾清扫、收集、运输和处置给予财政补助和支持。到</w:t>
      </w:r>
      <w:r>
        <w:rPr>
          <w:rFonts w:eastAsia="方正仿宋_GBK"/>
          <w:color w:val="000000"/>
          <w:sz w:val="24"/>
        </w:rPr>
        <w:t>2012</w:t>
      </w:r>
      <w:r>
        <w:rPr>
          <w:rFonts w:hint="eastAsia" w:eastAsia="方正仿宋_GBK"/>
          <w:color w:val="000000"/>
          <w:sz w:val="24"/>
        </w:rPr>
        <w:t>年底前，要全部建成运行农村垃圾收运体系。</w:t>
      </w:r>
    </w:p>
    <w:p>
      <w:pPr>
        <w:spacing w:line="460" w:lineRule="exact"/>
        <w:ind w:firstLine="480" w:firstLineChars="200"/>
        <w:jc w:val="left"/>
        <w:rPr>
          <w:rFonts w:eastAsia="方正仿宋_GBK"/>
          <w:color w:val="000000"/>
          <w:sz w:val="24"/>
        </w:rPr>
      </w:pPr>
      <w:r>
        <w:rPr>
          <w:rFonts w:eastAsia="方正仿宋_GBK"/>
          <w:color w:val="000000"/>
          <w:sz w:val="24"/>
        </w:rPr>
        <w:t>5</w:t>
      </w:r>
      <w:r>
        <w:rPr>
          <w:rFonts w:hint="eastAsia" w:eastAsia="方正仿宋_GBK"/>
          <w:color w:val="000000"/>
          <w:sz w:val="24"/>
        </w:rPr>
        <w:t>、注重源头减量，加快推行生活垃圾分类收集。坚持源头治理，结合当地生活垃圾成份特点，选择适用的生活垃圾分类方法，制定相关管理措施，明确居民、企业以及环境卫生行政主管部门在生活垃圾分类收集的责任和义务，逐步将生活垃圾分类收集管理纳入规范化、制度化轨道。倡导净菜上市、文明用餐，减少餐厨垃圾的产生量；加强餐厨垃圾的单独收集、贮存、运输系统建设，推进餐厨垃圾综合利用。因地制宜地选择城市主要干道、重点地区深入开展生活垃圾分类收集试点工作；联合有关部门大力推进生活垃圾资源再生利用工作，依托社区建立健全回收网络，鼓励开展对废纸、废金属、废塑料等回收利用。采取生活垃圾焚烧处理的，要采取措施剔除含氯塑料，减少焚烧产生的有毒有害气体。农村地区要推行生活垃圾</w:t>
      </w:r>
      <w:r>
        <w:rPr>
          <w:rFonts w:eastAsia="方正仿宋_GBK"/>
          <w:color w:val="000000"/>
          <w:sz w:val="24"/>
        </w:rPr>
        <w:t>“</w:t>
      </w:r>
      <w:r>
        <w:rPr>
          <w:rFonts w:hint="eastAsia" w:eastAsia="方正仿宋_GBK"/>
          <w:color w:val="000000"/>
          <w:sz w:val="24"/>
        </w:rPr>
        <w:t>户分类</w:t>
      </w:r>
      <w:r>
        <w:rPr>
          <w:rFonts w:eastAsia="方正仿宋_GBK"/>
          <w:color w:val="000000"/>
          <w:sz w:val="24"/>
        </w:rPr>
        <w:t>”</w:t>
      </w:r>
      <w:r>
        <w:rPr>
          <w:rFonts w:hint="eastAsia" w:eastAsia="方正仿宋_GBK"/>
          <w:color w:val="000000"/>
          <w:sz w:val="24"/>
        </w:rPr>
        <w:t>与源头减量试点工作，倡导有机垃圾回田。鼓励建筑垃圾的综合利用。</w:t>
      </w:r>
    </w:p>
    <w:p>
      <w:pPr>
        <w:spacing w:line="460" w:lineRule="exact"/>
        <w:ind w:firstLine="480" w:firstLineChars="200"/>
        <w:jc w:val="left"/>
        <w:rPr>
          <w:rFonts w:eastAsia="方正仿宋_GBK"/>
          <w:color w:val="000000"/>
          <w:sz w:val="24"/>
        </w:rPr>
      </w:pPr>
      <w:r>
        <w:rPr>
          <w:rFonts w:eastAsia="方正仿宋_GBK"/>
          <w:color w:val="000000"/>
          <w:sz w:val="24"/>
        </w:rPr>
        <w:t>6</w:t>
      </w:r>
      <w:r>
        <w:rPr>
          <w:rFonts w:hint="eastAsia" w:eastAsia="方正仿宋_GBK"/>
          <w:color w:val="000000"/>
          <w:sz w:val="24"/>
        </w:rPr>
        <w:t>、坚持政府投入与市场化并重的原则，加快推进生活垃圾处理设施建设。各地要把环境卫生事业纳入国民经济和社会发展计划，建立健全公共财政为基础的多元化投入机制。要按照《江苏省城市生活垃圾处理收费管理暂行办法》要求，创新生活垃圾处理收费方式，加大征收力度，推进在水费中同步收取生活垃圾处理费的试点面，不断提高生活垃圾处理费的收缴率。同时，进一步完善市场准入机制，打破行业、地域和所有制限制，鼓励不同经济成份和各类投资主体，以独资、合资、</w:t>
      </w:r>
      <w:r>
        <w:rPr>
          <w:rFonts w:eastAsia="方正仿宋_GBK"/>
          <w:color w:val="000000"/>
          <w:sz w:val="24"/>
        </w:rPr>
        <w:t>BOT</w:t>
      </w:r>
      <w:r>
        <w:rPr>
          <w:rFonts w:hint="eastAsia" w:eastAsia="方正仿宋_GBK"/>
          <w:color w:val="000000"/>
          <w:sz w:val="24"/>
        </w:rPr>
        <w:t>等形式参与生活垃圾处理设施的建设。生活垃圾处理设施尚未达标的县（市），应立足于新填埋库区的规范建设与老库区整治相结合，加快实施达标改造，尽快实现无害化处理目标。</w:t>
      </w:r>
    </w:p>
    <w:p>
      <w:pPr>
        <w:spacing w:line="460" w:lineRule="exact"/>
        <w:ind w:firstLine="480" w:firstLineChars="200"/>
        <w:jc w:val="left"/>
        <w:rPr>
          <w:rFonts w:ascii="Times New Roman" w:eastAsia="黑体"/>
          <w:color w:val="000000"/>
          <w:sz w:val="24"/>
        </w:rPr>
      </w:pPr>
      <w:r>
        <w:rPr>
          <w:rFonts w:hint="eastAsia" w:ascii="Times New Roman" w:eastAsia="黑体"/>
          <w:color w:val="000000"/>
          <w:sz w:val="24"/>
        </w:rPr>
        <w:t>三、加强监督管理，提高城乡生活垃圾处理处置水平</w:t>
      </w:r>
    </w:p>
    <w:p>
      <w:pPr>
        <w:spacing w:line="460" w:lineRule="exact"/>
        <w:ind w:firstLine="480" w:firstLineChars="200"/>
        <w:jc w:val="left"/>
        <w:rPr>
          <w:rFonts w:hint="eastAsia" w:eastAsia="方正仿宋_GBK"/>
          <w:color w:val="000000"/>
          <w:sz w:val="24"/>
        </w:rPr>
      </w:pPr>
      <w:r>
        <w:rPr>
          <w:rFonts w:eastAsia="方正仿宋_GBK"/>
          <w:color w:val="000000"/>
          <w:sz w:val="24"/>
        </w:rPr>
        <w:t>1</w:t>
      </w:r>
      <w:r>
        <w:rPr>
          <w:rFonts w:hint="eastAsia" w:eastAsia="方正仿宋_GBK"/>
          <w:color w:val="000000"/>
          <w:sz w:val="24"/>
        </w:rPr>
        <w:t>、严格行政许可，进一步规范垃圾收集处置管理行为。全面落实生活垃圾经营性清扫、收集、运输以及处置服务许可证制度。各地要按照行政许可法的规定，对许可的依据、条件、材料要求、以及办理程序等予以公示，努力提高行政效率和服务水平。县级以上城市从事生活垃圾经营性清扫、收集、运输以及处置服务的单位，应当按照规定向当地城市环境卫生行政主管部门申请领取</w:t>
      </w:r>
      <w:r>
        <w:rPr>
          <w:rFonts w:eastAsia="方正仿宋_GBK"/>
          <w:color w:val="000000"/>
          <w:sz w:val="24"/>
        </w:rPr>
        <w:t>“</w:t>
      </w:r>
      <w:r>
        <w:rPr>
          <w:rFonts w:hint="eastAsia" w:eastAsia="方正仿宋_GBK"/>
          <w:color w:val="000000"/>
          <w:sz w:val="24"/>
        </w:rPr>
        <w:t>城市生活垃圾经营性清扫、收集、运输服务许可证以及城市生活垃圾经营性处置服务许可证</w:t>
      </w:r>
      <w:r>
        <w:rPr>
          <w:rFonts w:eastAsia="方正仿宋_GBK"/>
          <w:color w:val="000000"/>
          <w:sz w:val="24"/>
        </w:rPr>
        <w:t>”</w:t>
      </w:r>
      <w:r>
        <w:rPr>
          <w:rFonts w:hint="eastAsia" w:eastAsia="方正仿宋_GBK"/>
          <w:color w:val="000000"/>
          <w:sz w:val="24"/>
        </w:rPr>
        <w:t>。许可证由国务院建设主管部门统一规定格式，省级政府建设主管部门统一印刷。</w:t>
      </w:r>
    </w:p>
    <w:p>
      <w:pPr>
        <w:spacing w:line="460" w:lineRule="exact"/>
        <w:ind w:firstLine="480" w:firstLineChars="200"/>
        <w:jc w:val="left"/>
        <w:rPr>
          <w:rFonts w:eastAsia="方正仿宋_GBK"/>
          <w:color w:val="000000"/>
          <w:sz w:val="24"/>
        </w:rPr>
      </w:pPr>
      <w:r>
        <w:rPr>
          <w:rFonts w:eastAsia="方正仿宋_GBK"/>
          <w:color w:val="000000"/>
          <w:sz w:val="24"/>
        </w:rPr>
        <w:t>2</w:t>
      </w:r>
      <w:r>
        <w:rPr>
          <w:rFonts w:hint="eastAsia" w:eastAsia="方正仿宋_GBK"/>
          <w:color w:val="000000"/>
          <w:sz w:val="24"/>
        </w:rPr>
        <w:t>、加强建筑垃圾管理，防止运输和处置过程中的二次污染。严格落实建筑垃圾处置行政许可制度。建设单位需要处置建筑垃圾的，应当按照规定在工程开工前向当地环境卫生行政主管部门申请办理建筑垃圾处置核准手续，建筑垃圾消纳场地设置应当经当地环境卫生行政主管部门批准并与公布。加强建筑施工现场管理，施工单位要做好施工现场出入口地面硬化工作，设置清洗设施、设备清洗出场车辆。加强建筑垃圾运输管理，运输单位应当采用密闭式运输工具，按照规定的时间和线路运送到指定的消纳场地。城市环境卫生行政主管部门要积极会同公安等部门加大监管力度，查处超载超速运输、乱倾乱倒以及不按规定线路行驶等行为，防止环境污染，维护良好的市容和交通秩序。</w:t>
      </w:r>
    </w:p>
    <w:p>
      <w:pPr>
        <w:spacing w:line="460" w:lineRule="exact"/>
        <w:ind w:firstLine="480" w:firstLineChars="200"/>
        <w:jc w:val="left"/>
        <w:rPr>
          <w:rFonts w:eastAsia="方正仿宋_GBK"/>
          <w:color w:val="000000"/>
          <w:sz w:val="24"/>
        </w:rPr>
      </w:pPr>
      <w:r>
        <w:rPr>
          <w:rFonts w:eastAsia="方正仿宋_GBK"/>
          <w:color w:val="000000"/>
          <w:sz w:val="24"/>
        </w:rPr>
        <w:t>3</w:t>
      </w:r>
      <w:r>
        <w:rPr>
          <w:rFonts w:hint="eastAsia" w:eastAsia="方正仿宋_GBK"/>
          <w:color w:val="000000"/>
          <w:sz w:val="24"/>
        </w:rPr>
        <w:t>、严格实行无害化等级评定制度，充分发挥生活垃圾处理设施的环境效益。</w:t>
      </w:r>
    </w:p>
    <w:p>
      <w:pPr>
        <w:spacing w:line="460" w:lineRule="exact"/>
        <w:ind w:firstLine="480" w:firstLineChars="200"/>
        <w:jc w:val="left"/>
        <w:rPr>
          <w:rFonts w:eastAsia="方正仿宋_GBK"/>
          <w:color w:val="000000"/>
          <w:sz w:val="24"/>
        </w:rPr>
      </w:pPr>
      <w:r>
        <w:rPr>
          <w:rFonts w:hint="eastAsia" w:eastAsia="方正仿宋_GBK"/>
          <w:color w:val="000000"/>
          <w:sz w:val="24"/>
        </w:rPr>
        <w:t>生活垃圾处理设施工程竣工后，建设单位应组织设计、施工、监理等有关单位进行竣工验收，项目不经验收，不得投入运营。生活垃圾处理设施运行单位，要严格按照国家和省有关要求，规范设施运行管理，充分发挥处理设施的环境效益。各地新建（含改扩建）的生活垃圾处理场（厂）在持续稳定运行</w:t>
      </w:r>
      <w:r>
        <w:rPr>
          <w:rFonts w:eastAsia="方正仿宋_GBK"/>
          <w:color w:val="000000"/>
          <w:sz w:val="24"/>
        </w:rPr>
        <w:t>6</w:t>
      </w:r>
      <w:r>
        <w:rPr>
          <w:rFonts w:hint="eastAsia" w:eastAsia="方正仿宋_GBK"/>
          <w:color w:val="000000"/>
          <w:sz w:val="24"/>
        </w:rPr>
        <w:t>个月后，应向省住房和城乡建设厅申报无害化等级认定。</w:t>
      </w:r>
    </w:p>
    <w:p>
      <w:pPr>
        <w:spacing w:line="460" w:lineRule="exact"/>
        <w:ind w:firstLine="480" w:firstLineChars="200"/>
        <w:jc w:val="left"/>
        <w:rPr>
          <w:rFonts w:eastAsia="方正仿宋_GBK"/>
          <w:color w:val="000000"/>
          <w:sz w:val="24"/>
        </w:rPr>
      </w:pPr>
      <w:r>
        <w:rPr>
          <w:rFonts w:eastAsia="方正仿宋_GBK"/>
          <w:color w:val="000000"/>
          <w:sz w:val="24"/>
        </w:rPr>
        <w:t>4</w:t>
      </w:r>
      <w:r>
        <w:rPr>
          <w:rFonts w:hint="eastAsia" w:eastAsia="方正仿宋_GBK"/>
          <w:color w:val="000000"/>
          <w:sz w:val="24"/>
        </w:rPr>
        <w:t>、强化运行管理，保障生活垃圾处理设施稳定达标运行。省住房和城乡建设厅将依照国家标准规范，制定城市生活垃圾处理设施运行管理考核标准，并组织对生活垃圾处理设施建设和运营管理情况进行检查考核。各地要抓紧制定和完善各项管理制度，强化政府监管与考核。生活垃圾填埋场要落实称重计量、日覆盖、场区消杀、渗沥液处理、环境监测等管理制度。要强化对垃圾焚烧厂运行的监管，逐步将生活垃圾焚烧过程中产生的主要污染物排放情况纳入在线检测，并通过检测炉膛温度、适当增加对二恶英检测频次等辅助手段，实现主要污染物排放指标的实时监控，确保达标排放。要强化已关闭垃圾填埋场的后续监管，定期做好环境与安全等监测工作；鼓励有条件的城市实施规范化封场工作。</w:t>
      </w:r>
    </w:p>
    <w:p>
      <w:pPr>
        <w:spacing w:line="460" w:lineRule="exact"/>
        <w:ind w:firstLine="480" w:firstLineChars="200"/>
        <w:jc w:val="left"/>
        <w:rPr>
          <w:rFonts w:eastAsia="方正仿宋_GBK"/>
          <w:color w:val="000000"/>
          <w:sz w:val="24"/>
        </w:rPr>
      </w:pPr>
      <w:r>
        <w:rPr>
          <w:rFonts w:hint="eastAsia" w:eastAsia="方正仿宋_GBK"/>
          <w:color w:val="000000"/>
          <w:sz w:val="24"/>
        </w:rPr>
        <w:t>各地要认真落实生活垃圾处理信息填报制度，提高填报数据的准确性、及时性和完整性，充分利用信息化等技术手段，强化政府对生活垃圾治理全过程的监督管理。城市环境卫生行政主管部门和从事生活垃圾清扫、收集、运输和处置的单位，要分别制定生活垃圾清扫、收集、运输和处置应急预案，建立应急响应体系，保障社会公众利益，维护城市正常的秩序。</w:t>
      </w:r>
    </w:p>
    <w:p>
      <w:pPr>
        <w:spacing w:line="460" w:lineRule="exact"/>
        <w:ind w:firstLine="480" w:firstLineChars="200"/>
        <w:jc w:val="left"/>
        <w:rPr>
          <w:rFonts w:eastAsia="方正仿宋_GBK"/>
          <w:color w:val="000000"/>
          <w:sz w:val="24"/>
        </w:rPr>
      </w:pPr>
    </w:p>
    <w:p>
      <w:pPr>
        <w:spacing w:line="460" w:lineRule="exact"/>
        <w:ind w:right="598" w:rightChars="285" w:firstLine="480" w:firstLineChars="200"/>
        <w:jc w:val="right"/>
        <w:rPr>
          <w:rFonts w:eastAsia="方正仿宋_GBK"/>
          <w:color w:val="000000"/>
          <w:sz w:val="24"/>
        </w:rPr>
      </w:pPr>
      <w:r>
        <w:rPr>
          <w:rFonts w:hint="eastAsia" w:eastAsia="方正仿宋_GBK"/>
          <w:color w:val="000000"/>
          <w:sz w:val="24"/>
        </w:rPr>
        <w:t>江苏省住房和城乡建设厅</w:t>
      </w:r>
    </w:p>
    <w:p>
      <w:pPr>
        <w:spacing w:line="460" w:lineRule="exact"/>
        <w:ind w:firstLine="5731" w:firstLineChars="2388"/>
        <w:jc w:val="left"/>
        <w:rPr>
          <w:rFonts w:eastAsia="方正仿宋_GBK"/>
          <w:color w:val="000000"/>
          <w:sz w:val="24"/>
        </w:rPr>
      </w:pPr>
      <w:r>
        <w:rPr>
          <w:rFonts w:hint="eastAsia" w:eastAsia="方正仿宋_GBK"/>
          <w:color w:val="000000"/>
          <w:sz w:val="24"/>
        </w:rPr>
        <w:t>二</w:t>
      </w:r>
      <w:r>
        <w:rPr>
          <w:rFonts w:hint="eastAsia" w:ascii="Times New Roman" w:hAnsi="Times New Roman"/>
          <w:color w:val="000000"/>
          <w:sz w:val="24"/>
        </w:rPr>
        <w:t>○</w:t>
      </w:r>
      <w:r>
        <w:rPr>
          <w:rFonts w:hint="eastAsia" w:eastAsia="方正仿宋_GBK"/>
          <w:color w:val="000000"/>
          <w:sz w:val="24"/>
        </w:rPr>
        <w:t>一</w:t>
      </w:r>
      <w:r>
        <w:rPr>
          <w:rFonts w:hint="eastAsia" w:ascii="Times New Roman" w:hAnsi="Times New Roman"/>
          <w:color w:val="000000"/>
          <w:sz w:val="24"/>
        </w:rPr>
        <w:t>○</w:t>
      </w:r>
      <w:r>
        <w:rPr>
          <w:rFonts w:hint="eastAsia" w:eastAsia="方正仿宋_GBK"/>
          <w:color w:val="000000"/>
          <w:sz w:val="24"/>
        </w:rPr>
        <w:t>年三月一日</w:t>
      </w:r>
    </w:p>
    <w:p>
      <w:pPr>
        <w:spacing w:line="460" w:lineRule="exact"/>
        <w:jc w:val="left"/>
        <w:rPr>
          <w:rFonts w:eastAsia="方正仿宋_GBK"/>
          <w:color w:val="000000"/>
          <w:sz w:val="24"/>
        </w:rPr>
      </w:pPr>
    </w:p>
    <w:p>
      <w:pPr>
        <w:spacing w:line="560" w:lineRule="exact"/>
        <w:rPr>
          <w:rFonts w:eastAsia="方正仿宋_GBK"/>
          <w:color w:val="000000"/>
          <w:spacing w:val="-2"/>
          <w:sz w:val="32"/>
          <w:szCs w:val="32"/>
        </w:rPr>
      </w:pPr>
    </w:p>
    <w:p>
      <w:pPr>
        <w:spacing w:line="460" w:lineRule="exact"/>
        <w:jc w:val="center"/>
        <w:rPr>
          <w:rFonts w:ascii="Times New Roman" w:eastAsia="方正小标宋简体"/>
          <w:color w:val="000000"/>
          <w:sz w:val="36"/>
          <w:szCs w:val="36"/>
        </w:rPr>
      </w:pPr>
      <w:r>
        <w:rPr>
          <w:rFonts w:eastAsia="方正仿宋_GBK"/>
          <w:color w:val="000000"/>
          <w:spacing w:val="-2"/>
          <w:sz w:val="32"/>
          <w:szCs w:val="32"/>
        </w:rPr>
        <w:br w:type="column"/>
      </w:r>
    </w:p>
    <w:p>
      <w:pPr>
        <w:pStyle w:val="2"/>
        <w:spacing w:before="240" w:beforeLines="100" w:after="240" w:afterLines="100" w:line="240" w:lineRule="auto"/>
        <w:jc w:val="center"/>
        <w:rPr>
          <w:rFonts w:hint="eastAsia" w:ascii="Times New Roman" w:eastAsia="方正小标宋_GBK"/>
          <w:b w:val="0"/>
          <w:sz w:val="36"/>
          <w:szCs w:val="36"/>
        </w:rPr>
      </w:pPr>
      <w:bookmarkStart w:id="162" w:name="_Toc20726646"/>
      <w:bookmarkStart w:id="163" w:name="_Toc18315787"/>
      <w:r>
        <w:rPr>
          <w:rFonts w:hint="eastAsia" w:ascii="Times New Roman" w:eastAsia="方正小标宋_GBK"/>
          <w:b w:val="0"/>
          <w:sz w:val="36"/>
          <w:szCs w:val="36"/>
        </w:rPr>
        <w:t>关于进一步加强建筑垃圾和工程渣土运输处置       管理工作的意见</w:t>
      </w:r>
      <w:bookmarkEnd w:id="162"/>
      <w:bookmarkEnd w:id="163"/>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164" w:name="_Toc20726647"/>
      <w:bookmarkStart w:id="165" w:name="_Toc18315788"/>
      <w:r>
        <w:rPr>
          <w:rFonts w:hint="eastAsia" w:ascii="Times New Roman" w:hAnsi="Times New Roman" w:eastAsia="方正楷体_GBK"/>
          <w:b w:val="0"/>
          <w:sz w:val="24"/>
          <w:szCs w:val="24"/>
        </w:rPr>
        <w:t>苏建规字〔</w:t>
      </w:r>
      <w:r>
        <w:rPr>
          <w:rFonts w:ascii="Times New Roman" w:hAnsi="Times New Roman" w:eastAsia="方正楷体_GBK"/>
          <w:b w:val="0"/>
          <w:sz w:val="24"/>
          <w:szCs w:val="24"/>
        </w:rPr>
        <w:t>2012</w:t>
      </w:r>
      <w:r>
        <w:rPr>
          <w:rFonts w:hint="eastAsia" w:ascii="Times New Roman" w:hAnsi="Times New Roman" w:eastAsia="方正楷体_GBK"/>
          <w:b w:val="0"/>
          <w:sz w:val="24"/>
          <w:szCs w:val="24"/>
        </w:rPr>
        <w:t>〕</w:t>
      </w:r>
      <w:r>
        <w:rPr>
          <w:rFonts w:ascii="Times New Roman" w:hAnsi="Times New Roman" w:eastAsia="方正楷体_GBK"/>
          <w:b w:val="0"/>
          <w:sz w:val="24"/>
          <w:szCs w:val="24"/>
        </w:rPr>
        <w:t>1</w:t>
      </w:r>
      <w:r>
        <w:rPr>
          <w:rFonts w:hint="eastAsia" w:ascii="Times New Roman" w:hAnsi="Times New Roman" w:eastAsia="方正楷体_GBK"/>
          <w:b w:val="0"/>
          <w:sz w:val="24"/>
          <w:szCs w:val="24"/>
        </w:rPr>
        <w:t>号</w:t>
      </w:r>
      <w:bookmarkEnd w:id="164"/>
      <w:bookmarkEnd w:id="165"/>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为进一步规范全省建筑垃圾和工程渣土（以下统称</w:t>
      </w:r>
      <w:r>
        <w:rPr>
          <w:rFonts w:eastAsia="方正仿宋_GBK"/>
          <w:color w:val="000000"/>
          <w:spacing w:val="-2"/>
          <w:sz w:val="24"/>
        </w:rPr>
        <w:t>“</w:t>
      </w:r>
      <w:r>
        <w:rPr>
          <w:rFonts w:hint="eastAsia" w:eastAsia="方正仿宋_GBK"/>
          <w:color w:val="000000"/>
          <w:spacing w:val="-2"/>
          <w:sz w:val="24"/>
        </w:rPr>
        <w:t>建筑渣土</w:t>
      </w:r>
      <w:r>
        <w:rPr>
          <w:rFonts w:eastAsia="方正仿宋_GBK"/>
          <w:color w:val="000000"/>
          <w:spacing w:val="-2"/>
          <w:sz w:val="24"/>
        </w:rPr>
        <w:t>”</w:t>
      </w:r>
      <w:r>
        <w:rPr>
          <w:rFonts w:hint="eastAsia" w:eastAsia="方正仿宋_GBK"/>
          <w:color w:val="000000"/>
          <w:spacing w:val="-2"/>
          <w:sz w:val="24"/>
        </w:rPr>
        <w:t>）运输处置秩序，巩固和发展建筑渣土运输车辆百日集中整治行动成果，改善城市容貌、环境卫生和交通秩序，推进城乡文明建设，根据《固体废弃物污染环境防治法》、《道路交通安全法》、《城市市容和环境卫生管理条例》、《城市建筑垃圾管理规定》和我省有关法律法规，现就加强全省建筑渣土运输处置管理提出如下意见。</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一、充分认识加强建筑渣土运输处置管理工作的重要意义</w:t>
      </w:r>
    </w:p>
    <w:p>
      <w:pPr>
        <w:spacing w:line="460" w:lineRule="exact"/>
        <w:ind w:firstLine="472" w:firstLineChars="200"/>
        <w:rPr>
          <w:rFonts w:hint="eastAsia" w:eastAsia="方正仿宋_GBK"/>
          <w:color w:val="000000"/>
          <w:spacing w:val="-2"/>
          <w:sz w:val="24"/>
        </w:rPr>
      </w:pPr>
      <w:r>
        <w:rPr>
          <w:rFonts w:hint="eastAsia" w:eastAsia="方正仿宋_GBK"/>
          <w:color w:val="000000"/>
          <w:spacing w:val="-2"/>
          <w:sz w:val="24"/>
        </w:rPr>
        <w:t>近年来，伴随着城市化进程的加速，建设项目和建筑工地逐步增多，建筑渣土及各类工程材料运输需求及处置数量日益增加，涉及建筑渣土运输车辆的交通事故较为突出。应该看到，建筑渣土运输处置市场在快速发展的同时，也带来了建筑渣土运输处置污染环境、危害人民群众生命财产安全等问题，社会各界对此十分关注。加强建筑渣土统一运输处置、规范管理，是贯彻科学发展观、加快实现</w:t>
      </w:r>
      <w:r>
        <w:rPr>
          <w:rFonts w:eastAsia="方正仿宋_GBK"/>
          <w:color w:val="000000"/>
          <w:spacing w:val="-2"/>
          <w:sz w:val="24"/>
        </w:rPr>
        <w:t>“</w:t>
      </w:r>
      <w:r>
        <w:rPr>
          <w:rFonts w:hint="eastAsia" w:eastAsia="方正仿宋_GBK"/>
          <w:color w:val="000000"/>
          <w:spacing w:val="-2"/>
          <w:sz w:val="24"/>
        </w:rPr>
        <w:t>两个率先</w:t>
      </w:r>
      <w:r>
        <w:rPr>
          <w:rFonts w:eastAsia="方正仿宋_GBK"/>
          <w:color w:val="000000"/>
          <w:spacing w:val="-2"/>
          <w:sz w:val="24"/>
        </w:rPr>
        <w:t>”</w:t>
      </w:r>
      <w:r>
        <w:rPr>
          <w:rFonts w:hint="eastAsia" w:eastAsia="方正仿宋_GBK"/>
          <w:color w:val="000000"/>
          <w:spacing w:val="-2"/>
          <w:sz w:val="24"/>
        </w:rPr>
        <w:t>的现实需要，是改善人居环境、提升生态文明的具体体现，是坚持依法行政、构建和谐社会的重要举措。强化建筑渣土运输处置管理，对于推进生态文明建设，保障道路交通安全，营造安全整洁优美舒适的宜居环境有着重要作用。各地要按照省委、省政府提出的全面贯彻</w:t>
      </w:r>
      <w:r>
        <w:rPr>
          <w:rFonts w:eastAsia="方正仿宋_GBK"/>
          <w:color w:val="000000"/>
          <w:spacing w:val="-2"/>
          <w:sz w:val="24"/>
        </w:rPr>
        <w:t>“</w:t>
      </w:r>
      <w:r>
        <w:rPr>
          <w:rFonts w:hint="eastAsia" w:eastAsia="方正仿宋_GBK"/>
          <w:color w:val="000000"/>
          <w:spacing w:val="-2"/>
          <w:sz w:val="24"/>
        </w:rPr>
        <w:t>六个注重</w:t>
      </w:r>
      <w:r>
        <w:rPr>
          <w:rFonts w:eastAsia="方正仿宋_GBK"/>
          <w:color w:val="000000"/>
          <w:spacing w:val="-2"/>
          <w:sz w:val="24"/>
        </w:rPr>
        <w:t>”</w:t>
      </w:r>
      <w:r>
        <w:rPr>
          <w:rFonts w:hint="eastAsia" w:eastAsia="方正仿宋_GBK"/>
          <w:color w:val="000000"/>
          <w:spacing w:val="-2"/>
          <w:sz w:val="24"/>
        </w:rPr>
        <w:t>、全力实施</w:t>
      </w:r>
      <w:r>
        <w:rPr>
          <w:rFonts w:eastAsia="方正仿宋_GBK"/>
          <w:color w:val="000000"/>
          <w:spacing w:val="-2"/>
          <w:sz w:val="24"/>
        </w:rPr>
        <w:t>“</w:t>
      </w:r>
      <w:r>
        <w:rPr>
          <w:rFonts w:hint="eastAsia" w:eastAsia="方正仿宋_GBK"/>
          <w:color w:val="000000"/>
          <w:spacing w:val="-2"/>
          <w:sz w:val="24"/>
        </w:rPr>
        <w:t>八项工程</w:t>
      </w:r>
      <w:r>
        <w:rPr>
          <w:rFonts w:eastAsia="方正仿宋_GBK"/>
          <w:color w:val="000000"/>
          <w:spacing w:val="-2"/>
          <w:sz w:val="24"/>
        </w:rPr>
        <w:t>”</w:t>
      </w:r>
      <w:r>
        <w:rPr>
          <w:rFonts w:hint="eastAsia" w:eastAsia="方正仿宋_GBK"/>
          <w:color w:val="000000"/>
          <w:spacing w:val="-2"/>
          <w:sz w:val="24"/>
        </w:rPr>
        <w:t>、又好又快推进</w:t>
      </w:r>
      <w:r>
        <w:rPr>
          <w:rFonts w:eastAsia="方正仿宋_GBK"/>
          <w:color w:val="000000"/>
          <w:spacing w:val="-2"/>
          <w:sz w:val="24"/>
        </w:rPr>
        <w:t>“</w:t>
      </w:r>
      <w:r>
        <w:rPr>
          <w:rFonts w:hint="eastAsia" w:eastAsia="方正仿宋_GBK"/>
          <w:color w:val="000000"/>
          <w:spacing w:val="-2"/>
          <w:sz w:val="24"/>
        </w:rPr>
        <w:t>两个率先</w:t>
      </w:r>
      <w:r>
        <w:rPr>
          <w:rFonts w:eastAsia="方正仿宋_GBK"/>
          <w:color w:val="000000"/>
          <w:spacing w:val="-2"/>
          <w:sz w:val="24"/>
        </w:rPr>
        <w:t>”</w:t>
      </w:r>
      <w:r>
        <w:rPr>
          <w:rFonts w:hint="eastAsia" w:eastAsia="方正仿宋_GBK"/>
          <w:color w:val="000000"/>
          <w:spacing w:val="-2"/>
          <w:sz w:val="24"/>
        </w:rPr>
        <w:t>的重大战略部署，进一步统一思想，提高认识，积极配合，落实分工，齐抓共管，推进全省建筑渣土运输处置管理工作步入法制化、规范化、长效化轨道。</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二、明确建筑渣土运输处置管理工作的总体要求</w:t>
      </w:r>
    </w:p>
    <w:p>
      <w:pPr>
        <w:spacing w:line="460" w:lineRule="exact"/>
        <w:ind w:firstLine="472" w:firstLineChars="200"/>
        <w:rPr>
          <w:rFonts w:hint="eastAsia" w:eastAsia="方正仿宋_GBK"/>
          <w:color w:val="000000"/>
          <w:spacing w:val="-2"/>
          <w:sz w:val="24"/>
        </w:rPr>
      </w:pPr>
      <w:r>
        <w:rPr>
          <w:rFonts w:hint="eastAsia" w:eastAsia="方正仿宋_GBK"/>
          <w:color w:val="000000"/>
          <w:spacing w:val="-2"/>
          <w:sz w:val="24"/>
        </w:rPr>
        <w:t>今后一个时期，全省建筑渣土运输处置管理工作的总体思路是：以科学发展观为统领，以解决建筑渣土运输处置管理中突出问题为重点，坚持</w:t>
      </w:r>
      <w:r>
        <w:rPr>
          <w:rFonts w:eastAsia="方正仿宋_GBK"/>
          <w:color w:val="000000"/>
          <w:spacing w:val="-2"/>
          <w:sz w:val="24"/>
        </w:rPr>
        <w:t>“</w:t>
      </w:r>
      <w:r>
        <w:rPr>
          <w:rFonts w:hint="eastAsia" w:eastAsia="方正仿宋_GBK"/>
          <w:color w:val="000000"/>
          <w:spacing w:val="-2"/>
          <w:sz w:val="24"/>
        </w:rPr>
        <w:t>规划引导、科学定点，统一管理、分级处置，合理收费、规范运输</w:t>
      </w:r>
      <w:r>
        <w:rPr>
          <w:rFonts w:eastAsia="方正仿宋_GBK"/>
          <w:color w:val="000000"/>
          <w:spacing w:val="-2"/>
          <w:sz w:val="24"/>
        </w:rPr>
        <w:t>”</w:t>
      </w:r>
      <w:r>
        <w:rPr>
          <w:rFonts w:hint="eastAsia" w:eastAsia="方正仿宋_GBK"/>
          <w:color w:val="000000"/>
          <w:spacing w:val="-2"/>
          <w:sz w:val="24"/>
        </w:rPr>
        <w:t>的工作思路，遵循源头减量化、运输规范化、处置资源化和谁产生、谁承担处理责任的原则，着力构建布局合理、设置规范、能力充足、循环利用的处理体系和政府主导、社会参与、行业管理、属地负责的管理体系，全面提升建筑渣土运输处置管理水平，为加快推进生态省建设、实现</w:t>
      </w:r>
      <w:r>
        <w:rPr>
          <w:rFonts w:eastAsia="方正仿宋_GBK"/>
          <w:color w:val="000000"/>
          <w:spacing w:val="-2"/>
          <w:sz w:val="24"/>
        </w:rPr>
        <w:t>“</w:t>
      </w:r>
      <w:r>
        <w:rPr>
          <w:rFonts w:hint="eastAsia" w:eastAsia="方正仿宋_GBK"/>
          <w:color w:val="000000"/>
          <w:spacing w:val="-2"/>
          <w:sz w:val="24"/>
        </w:rPr>
        <w:t>两个率先</w:t>
      </w:r>
      <w:r>
        <w:rPr>
          <w:rFonts w:eastAsia="方正仿宋_GBK"/>
          <w:color w:val="000000"/>
          <w:spacing w:val="-2"/>
          <w:sz w:val="24"/>
        </w:rPr>
        <w:t>”</w:t>
      </w:r>
      <w:r>
        <w:rPr>
          <w:rFonts w:hint="eastAsia" w:eastAsia="方正仿宋_GBK"/>
          <w:color w:val="000000"/>
          <w:spacing w:val="-2"/>
          <w:sz w:val="24"/>
        </w:rPr>
        <w:t>提供良好的城市交通秩序和市容环境保障。</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全省建筑渣土运输处置管理工作的基本原则：</w:t>
      </w:r>
    </w:p>
    <w:p>
      <w:pPr>
        <w:spacing w:line="460" w:lineRule="exact"/>
        <w:ind w:firstLine="472" w:firstLineChars="200"/>
        <w:rPr>
          <w:rFonts w:eastAsia="方正仿宋_GBK"/>
          <w:color w:val="000000"/>
          <w:spacing w:val="-2"/>
          <w:kern w:val="0"/>
          <w:sz w:val="24"/>
        </w:rPr>
      </w:pPr>
      <w:r>
        <w:rPr>
          <w:rFonts w:eastAsia="方正仿宋_GBK"/>
          <w:color w:val="000000"/>
          <w:spacing w:val="-2"/>
          <w:kern w:val="0"/>
          <w:sz w:val="24"/>
        </w:rPr>
        <w:t>——</w:t>
      </w:r>
      <w:r>
        <w:rPr>
          <w:rFonts w:hint="eastAsia" w:eastAsia="方正仿宋_GBK"/>
          <w:color w:val="000000"/>
          <w:spacing w:val="-2"/>
          <w:kern w:val="0"/>
          <w:sz w:val="24"/>
        </w:rPr>
        <w:t>坚持属地管理、条块结合原则。通过强化组织领导、明确目标责任等方式，形成统一领导、属地管理、条块结合、齐抓共管的运行管理机制。</w:t>
      </w:r>
    </w:p>
    <w:p>
      <w:pPr>
        <w:spacing w:line="460" w:lineRule="exact"/>
        <w:ind w:firstLine="472" w:firstLineChars="200"/>
        <w:rPr>
          <w:rFonts w:eastAsia="方正仿宋_GBK"/>
          <w:color w:val="000000"/>
          <w:spacing w:val="-2"/>
          <w:kern w:val="0"/>
          <w:sz w:val="24"/>
        </w:rPr>
      </w:pPr>
      <w:r>
        <w:rPr>
          <w:rFonts w:eastAsia="方正仿宋_GBK"/>
          <w:color w:val="000000"/>
          <w:spacing w:val="-2"/>
          <w:kern w:val="0"/>
          <w:sz w:val="24"/>
        </w:rPr>
        <w:t>——</w:t>
      </w:r>
      <w:r>
        <w:rPr>
          <w:rFonts w:hint="eastAsia" w:eastAsia="方正仿宋_GBK"/>
          <w:color w:val="000000"/>
          <w:spacing w:val="-2"/>
          <w:kern w:val="0"/>
          <w:sz w:val="24"/>
        </w:rPr>
        <w:t>坚持重点突出、注重效果原则。结合当前建筑渣土运输处置工作的热点、难点问题，着力破解建筑渣土处置场所规划建设、运输处置价格核</w:t>
      </w:r>
      <w:r>
        <w:rPr>
          <w:rFonts w:hint="eastAsia" w:eastAsia="方正仿宋_GBK"/>
          <w:color w:val="000000"/>
          <w:spacing w:val="-2"/>
          <w:sz w:val="24"/>
        </w:rPr>
        <w:t>准、落实企业安全责任等关</w:t>
      </w:r>
      <w:r>
        <w:rPr>
          <w:rFonts w:hint="eastAsia" w:eastAsia="方正仿宋_GBK"/>
          <w:color w:val="000000"/>
          <w:spacing w:val="-2"/>
          <w:kern w:val="0"/>
          <w:sz w:val="24"/>
        </w:rPr>
        <w:t>键问题，提高运输处置工作的整体成效。</w:t>
      </w:r>
    </w:p>
    <w:p>
      <w:pPr>
        <w:spacing w:line="460" w:lineRule="exact"/>
        <w:ind w:firstLine="472" w:firstLineChars="200"/>
        <w:rPr>
          <w:rFonts w:eastAsia="方正仿宋_GBK"/>
          <w:color w:val="000000"/>
          <w:spacing w:val="-2"/>
          <w:kern w:val="0"/>
          <w:sz w:val="24"/>
        </w:rPr>
      </w:pPr>
      <w:r>
        <w:rPr>
          <w:rFonts w:eastAsia="方正仿宋_GBK"/>
          <w:color w:val="000000"/>
          <w:spacing w:val="-2"/>
          <w:kern w:val="0"/>
          <w:sz w:val="24"/>
        </w:rPr>
        <w:t>——</w:t>
      </w:r>
      <w:r>
        <w:rPr>
          <w:rFonts w:hint="eastAsia" w:eastAsia="方正仿宋_GBK"/>
          <w:color w:val="000000"/>
          <w:spacing w:val="-2"/>
          <w:kern w:val="0"/>
          <w:sz w:val="24"/>
        </w:rPr>
        <w:t>坚持控源减量、利用为先原则。切实加强源头管理，综合运用经济、技术等手段消减建筑渣土产生量，积极引导和鼓励建筑渣土的综合处理和资源化利用。</w:t>
      </w:r>
    </w:p>
    <w:p>
      <w:pPr>
        <w:spacing w:line="460" w:lineRule="exact"/>
        <w:ind w:firstLine="472" w:firstLineChars="200"/>
        <w:rPr>
          <w:rFonts w:eastAsia="方正仿宋_GBK"/>
          <w:color w:val="000000"/>
          <w:spacing w:val="-2"/>
          <w:sz w:val="24"/>
        </w:rPr>
      </w:pPr>
      <w:r>
        <w:rPr>
          <w:rFonts w:eastAsia="方正仿宋_GBK"/>
          <w:color w:val="000000"/>
          <w:spacing w:val="-2"/>
          <w:sz w:val="24"/>
        </w:rPr>
        <w:t>——</w:t>
      </w:r>
      <w:r>
        <w:rPr>
          <w:rFonts w:hint="eastAsia" w:eastAsia="方正仿宋_GBK"/>
          <w:color w:val="000000"/>
          <w:spacing w:val="-2"/>
          <w:kern w:val="0"/>
          <w:sz w:val="24"/>
        </w:rPr>
        <w:t>坚持严格执法、常态管控原则。</w:t>
      </w:r>
      <w:r>
        <w:rPr>
          <w:rFonts w:hint="eastAsia" w:eastAsia="方正仿宋_GBK"/>
          <w:color w:val="000000"/>
          <w:spacing w:val="-2"/>
          <w:sz w:val="24"/>
        </w:rPr>
        <w:t>强化建筑渣土运输处置的日常管理，实行多部门联合执法，保持对建筑渣土运输处置违法违规行为的严管态势。</w:t>
      </w:r>
    </w:p>
    <w:p>
      <w:pPr>
        <w:spacing w:line="460" w:lineRule="exact"/>
        <w:ind w:firstLine="472" w:firstLineChars="200"/>
        <w:rPr>
          <w:rFonts w:eastAsia="方正仿宋_GBK"/>
          <w:color w:val="000000"/>
          <w:spacing w:val="-2"/>
          <w:sz w:val="24"/>
        </w:rPr>
      </w:pPr>
      <w:r>
        <w:rPr>
          <w:rFonts w:eastAsia="方正仿宋_GBK"/>
          <w:color w:val="000000"/>
          <w:spacing w:val="-2"/>
          <w:kern w:val="0"/>
          <w:sz w:val="24"/>
        </w:rPr>
        <w:t>——</w:t>
      </w:r>
      <w:r>
        <w:rPr>
          <w:rFonts w:hint="eastAsia" w:eastAsia="方正仿宋_GBK"/>
          <w:color w:val="000000"/>
          <w:spacing w:val="-2"/>
          <w:kern w:val="0"/>
          <w:sz w:val="24"/>
        </w:rPr>
        <w:t>坚持督促检查、落实长效原则。按照相关法律、法规</w:t>
      </w:r>
      <w:r>
        <w:rPr>
          <w:rFonts w:eastAsia="方正仿宋_GBK"/>
          <w:color w:val="000000"/>
          <w:spacing w:val="-2"/>
          <w:kern w:val="0"/>
          <w:sz w:val="24"/>
        </w:rPr>
        <w:t>,</w:t>
      </w:r>
      <w:r>
        <w:rPr>
          <w:rFonts w:hint="eastAsia" w:eastAsia="方正仿宋_GBK"/>
          <w:color w:val="000000"/>
          <w:spacing w:val="-2"/>
          <w:kern w:val="0"/>
          <w:sz w:val="24"/>
        </w:rPr>
        <w:t>细化建筑渣土运输处置工作目标，完善监督考核办法和奖惩措施，确保责任到位、措施到位、监管到位。</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全省建筑渣土运输处置管理工作的目标任务是：</w:t>
      </w:r>
      <w:r>
        <w:rPr>
          <w:rFonts w:eastAsia="方正仿宋_GBK"/>
          <w:color w:val="000000"/>
          <w:spacing w:val="-2"/>
          <w:sz w:val="24"/>
        </w:rPr>
        <w:t>“</w:t>
      </w:r>
      <w:r>
        <w:rPr>
          <w:rFonts w:hint="eastAsia" w:eastAsia="方正仿宋_GBK"/>
          <w:color w:val="000000"/>
          <w:spacing w:val="-2"/>
          <w:sz w:val="24"/>
        </w:rPr>
        <w:t>十二五</w:t>
      </w:r>
      <w:r>
        <w:rPr>
          <w:rFonts w:eastAsia="方正仿宋_GBK"/>
          <w:color w:val="000000"/>
          <w:spacing w:val="-2"/>
          <w:sz w:val="24"/>
        </w:rPr>
        <w:t>”</w:t>
      </w:r>
      <w:r>
        <w:rPr>
          <w:rFonts w:hint="eastAsia" w:eastAsia="方正仿宋_GBK"/>
          <w:color w:val="000000"/>
          <w:spacing w:val="-2"/>
          <w:sz w:val="24"/>
        </w:rPr>
        <w:t>期间，规划建设满足需求的建筑渣土处置场所；加强建筑工地施工管理，实施密闭运输，严格控制扬尘污染，杜绝机动车带泥上路和运输过程中的抛撒滴漏；规范建筑渣土运输秩序，严格落实运输资质审批，严肃查处无证运输，坚决遏制建筑渣土运输车辆不遵守交通信号、超载超速、车容不洁、偷倒乱倒等现象；积极推进资源综合利用，提高资源化管理水平；完善许可制度，强化依法行政，整合管理资源，逐步形成源头控制有力、运输监管严密、处理处置有序、执法查处严厉的建筑渣土全程管理长效机制，改善城市道路交通和生态环境，促进经济与环境协调发展。</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三、严格落实建筑渣土运输管理各项措施</w:t>
      </w:r>
    </w:p>
    <w:p>
      <w:pPr>
        <w:spacing w:line="460" w:lineRule="exact"/>
        <w:ind w:firstLine="472" w:firstLineChars="200"/>
        <w:rPr>
          <w:rFonts w:hint="eastAsia" w:eastAsia="方正仿宋_GBK"/>
          <w:color w:val="000000"/>
          <w:spacing w:val="-2"/>
          <w:sz w:val="24"/>
        </w:rPr>
      </w:pPr>
      <w:r>
        <w:rPr>
          <w:rFonts w:hint="eastAsia" w:eastAsia="方正仿宋_GBK"/>
          <w:color w:val="000000"/>
          <w:spacing w:val="-2"/>
          <w:sz w:val="24"/>
        </w:rPr>
        <w:t>（</w:t>
      </w:r>
      <w:r>
        <w:rPr>
          <w:rFonts w:hint="eastAsia" w:ascii="Times New Roman" w:eastAsia="方正楷体_GBK"/>
          <w:color w:val="000000"/>
          <w:spacing w:val="-2"/>
          <w:sz w:val="24"/>
        </w:rPr>
        <w:t>一</w:t>
      </w:r>
      <w:r>
        <w:rPr>
          <w:rFonts w:hint="eastAsia" w:eastAsia="方正仿宋_GBK"/>
          <w:color w:val="000000"/>
          <w:spacing w:val="-2"/>
          <w:sz w:val="24"/>
        </w:rPr>
        <w:t>）</w:t>
      </w:r>
      <w:r>
        <w:rPr>
          <w:rFonts w:hint="eastAsia" w:ascii="Times New Roman" w:eastAsia="方正楷体_GBK"/>
          <w:color w:val="000000"/>
          <w:spacing w:val="-2"/>
          <w:sz w:val="24"/>
        </w:rPr>
        <w:t>健全规章制度</w:t>
      </w:r>
      <w:r>
        <w:rPr>
          <w:rFonts w:hint="eastAsia" w:eastAsia="方正仿宋_GBK"/>
          <w:color w:val="000000"/>
          <w:spacing w:val="-2"/>
          <w:sz w:val="24"/>
        </w:rPr>
        <w:t>。</w:t>
      </w:r>
      <w:r>
        <w:rPr>
          <w:rFonts w:hint="eastAsia" w:eastAsia="方正仿宋_GBK"/>
          <w:color w:val="000000"/>
          <w:spacing w:val="-2"/>
          <w:kern w:val="0"/>
          <w:sz w:val="24"/>
        </w:rPr>
        <w:t>研究制定建筑渣土管理、运输企业资格管理、运输车辆管理等相关规章制度，完善建筑渣土处置管理程序</w:t>
      </w:r>
      <w:r>
        <w:rPr>
          <w:rFonts w:hint="eastAsia" w:eastAsia="方正仿宋_GBK"/>
          <w:color w:val="000000"/>
          <w:spacing w:val="-2"/>
          <w:sz w:val="24"/>
        </w:rPr>
        <w:t>，进一步加强运输企业、运输车辆驾驶人资质检查，凡不是合法取得资质的，一律停止其从业活动。督促运输企业健全安全生产责任制度，明确和落实各个岗位的工作职责，完善相应的制度约束和操作规程。</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sz w:val="24"/>
        </w:rPr>
        <w:t>（</w:t>
      </w:r>
      <w:r>
        <w:rPr>
          <w:rFonts w:hint="eastAsia" w:ascii="Times New Roman" w:eastAsia="方正楷体_GBK"/>
          <w:color w:val="000000"/>
          <w:spacing w:val="-2"/>
          <w:sz w:val="24"/>
        </w:rPr>
        <w:t>二</w:t>
      </w:r>
      <w:r>
        <w:rPr>
          <w:rFonts w:hint="eastAsia" w:eastAsia="方正仿宋_GBK"/>
          <w:color w:val="000000"/>
          <w:spacing w:val="-2"/>
          <w:sz w:val="24"/>
        </w:rPr>
        <w:t>）</w:t>
      </w:r>
      <w:r>
        <w:rPr>
          <w:rFonts w:hint="eastAsia" w:ascii="Times New Roman" w:eastAsia="方正楷体_GBK"/>
          <w:color w:val="000000"/>
          <w:spacing w:val="-2"/>
          <w:sz w:val="24"/>
        </w:rPr>
        <w:t>合理布局定点</w:t>
      </w:r>
      <w:r>
        <w:rPr>
          <w:rFonts w:hint="eastAsia" w:eastAsia="方正仿宋_GBK"/>
          <w:color w:val="000000"/>
          <w:spacing w:val="-2"/>
          <w:sz w:val="24"/>
        </w:rPr>
        <w:t>。各地</w:t>
      </w:r>
      <w:r>
        <w:rPr>
          <w:rFonts w:hint="eastAsia" w:eastAsia="方正仿宋_GBK"/>
          <w:color w:val="000000"/>
          <w:spacing w:val="-2"/>
          <w:kern w:val="0"/>
          <w:sz w:val="24"/>
        </w:rPr>
        <w:t>要结合当前和长远经济社会发展的需要，合理安排建筑渣土处置场所布点。建筑渣土处置场所选择应符合城市规划，满足环境卫生和年度城市建设的需求。要拓宽建筑渣土处置和资源化利用场所建设的投资渠道，鼓励社会资本依法建设建筑渣土处置场所。</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w:t>
      </w:r>
      <w:r>
        <w:rPr>
          <w:rFonts w:hint="eastAsia" w:ascii="Times New Roman" w:eastAsia="方正楷体_GBK"/>
          <w:color w:val="000000"/>
          <w:spacing w:val="-2"/>
          <w:sz w:val="24"/>
        </w:rPr>
        <w:t>三</w:t>
      </w:r>
      <w:r>
        <w:rPr>
          <w:rFonts w:hint="eastAsia" w:eastAsia="方正仿宋_GBK"/>
          <w:color w:val="000000"/>
          <w:spacing w:val="-2"/>
          <w:sz w:val="24"/>
        </w:rPr>
        <w:t>）</w:t>
      </w:r>
      <w:r>
        <w:rPr>
          <w:rFonts w:hint="eastAsia" w:ascii="Times New Roman" w:eastAsia="方正楷体_GBK"/>
          <w:color w:val="000000"/>
          <w:spacing w:val="-2"/>
          <w:sz w:val="24"/>
        </w:rPr>
        <w:t>严格许可制度</w:t>
      </w:r>
      <w:r>
        <w:rPr>
          <w:rFonts w:hint="eastAsia" w:eastAsia="方正仿宋_GBK"/>
          <w:color w:val="000000"/>
          <w:spacing w:val="-2"/>
          <w:sz w:val="24"/>
        </w:rPr>
        <w:t>。严格落实建筑渣土运输处置行政许可制度。建设单位需要运输处置建筑渣土的，应当按照规定向当地城市管理、公安交管部门履行相关申请手续，获得核准后方可运输。建立和完善建筑渣土运输企业车辆安全运行诚信档案，加强对运输企业的日常检查考核，各级城市管理、公安交管等部门要在当地政府门户网站、主要媒体上定期向社会公示建筑渣土运输企业车辆的交通安全状况和交通违法行为。在由国有资金投资的工程项目中，应严格限制交通违法行为或交通事故较多的运输企业参与工程招投标，杜绝个体渣土运输车辆参与招投标。积极探索建立</w:t>
      </w:r>
      <w:r>
        <w:rPr>
          <w:rFonts w:eastAsia="方正仿宋_GBK"/>
          <w:color w:val="000000"/>
          <w:spacing w:val="-2"/>
          <w:sz w:val="24"/>
        </w:rPr>
        <w:t>“</w:t>
      </w:r>
      <w:r>
        <w:rPr>
          <w:rFonts w:hint="eastAsia" w:eastAsia="方正仿宋_GBK"/>
          <w:color w:val="000000"/>
          <w:spacing w:val="-2"/>
          <w:sz w:val="24"/>
        </w:rPr>
        <w:t>黑名单</w:t>
      </w:r>
      <w:r>
        <w:rPr>
          <w:rFonts w:eastAsia="方正仿宋_GBK"/>
          <w:color w:val="000000"/>
          <w:spacing w:val="-2"/>
          <w:sz w:val="24"/>
        </w:rPr>
        <w:t>”</w:t>
      </w:r>
      <w:r>
        <w:rPr>
          <w:rFonts w:hint="eastAsia" w:eastAsia="方正仿宋_GBK"/>
          <w:color w:val="000000"/>
          <w:spacing w:val="-2"/>
          <w:sz w:val="24"/>
        </w:rPr>
        <w:t>制度，并在有关工程招投标文件中，将建筑渣土运输单位内部安全管理等级和所属建筑渣土运输车辆交通违法行为、交通事故数量、扬尘污染防治措施不到位以及违规运输、处置渣土受处罚记录等纳入准入条件。</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w:t>
      </w:r>
      <w:r>
        <w:rPr>
          <w:rFonts w:hint="eastAsia" w:ascii="Times New Roman" w:eastAsia="方正楷体_GBK"/>
          <w:color w:val="000000"/>
          <w:spacing w:val="-2"/>
          <w:sz w:val="24"/>
        </w:rPr>
        <w:t>四</w:t>
      </w:r>
      <w:r>
        <w:rPr>
          <w:rFonts w:hint="eastAsia" w:eastAsia="方正仿宋_GBK"/>
          <w:color w:val="000000"/>
          <w:spacing w:val="-2"/>
          <w:sz w:val="24"/>
        </w:rPr>
        <w:t>）</w:t>
      </w:r>
      <w:r>
        <w:rPr>
          <w:rFonts w:hint="eastAsia" w:ascii="Times New Roman" w:eastAsia="方正楷体_GBK"/>
          <w:color w:val="000000"/>
          <w:spacing w:val="-2"/>
          <w:sz w:val="24"/>
        </w:rPr>
        <w:t>强化源头管控</w:t>
      </w:r>
      <w:r>
        <w:rPr>
          <w:rFonts w:hint="eastAsia" w:eastAsia="方正仿宋_GBK"/>
          <w:color w:val="000000"/>
          <w:spacing w:val="-2"/>
          <w:sz w:val="24"/>
        </w:rPr>
        <w:t>。加强建筑施工现场管理，</w:t>
      </w:r>
      <w:r>
        <w:rPr>
          <w:rFonts w:hint="eastAsia" w:eastAsia="方正仿宋_GBK"/>
          <w:color w:val="000000"/>
          <w:spacing w:val="-2"/>
          <w:kern w:val="0"/>
          <w:sz w:val="24"/>
        </w:rPr>
        <w:t>施工单位要与当地建设、城管部门签订建筑工地规范施工、市容环境卫生等责任书。</w:t>
      </w:r>
      <w:r>
        <w:rPr>
          <w:rFonts w:hint="eastAsia" w:eastAsia="方正仿宋_GBK"/>
          <w:color w:val="000000"/>
          <w:spacing w:val="-2"/>
          <w:sz w:val="24"/>
        </w:rPr>
        <w:t>已实施</w:t>
      </w:r>
      <w:r>
        <w:rPr>
          <w:rFonts w:eastAsia="方正仿宋_GBK"/>
          <w:color w:val="000000"/>
          <w:spacing w:val="-2"/>
          <w:sz w:val="24"/>
        </w:rPr>
        <w:t>“</w:t>
      </w:r>
      <w:r>
        <w:rPr>
          <w:rFonts w:hint="eastAsia" w:eastAsia="方正仿宋_GBK"/>
          <w:color w:val="000000"/>
          <w:spacing w:val="-2"/>
          <w:sz w:val="24"/>
        </w:rPr>
        <w:t>数字城管</w:t>
      </w:r>
      <w:r>
        <w:rPr>
          <w:rFonts w:eastAsia="方正仿宋_GBK"/>
          <w:color w:val="000000"/>
          <w:spacing w:val="-2"/>
          <w:sz w:val="24"/>
        </w:rPr>
        <w:t>”</w:t>
      </w:r>
      <w:r>
        <w:rPr>
          <w:rFonts w:hint="eastAsia" w:eastAsia="方正仿宋_GBK"/>
          <w:color w:val="000000"/>
          <w:spacing w:val="-2"/>
          <w:sz w:val="24"/>
        </w:rPr>
        <w:t>的城市，要将视频监控监管等信息化手段延伸到建筑工地。</w:t>
      </w:r>
      <w:r>
        <w:rPr>
          <w:rFonts w:hint="eastAsia" w:eastAsia="方正仿宋_GBK"/>
          <w:color w:val="000000"/>
          <w:spacing w:val="-2"/>
          <w:kern w:val="0"/>
          <w:sz w:val="24"/>
        </w:rPr>
        <w:t>建筑工地必须做到封闭施工和降尘施工，场内主要道路及出入口路面硬化，配备冲洗设施，加强卫生保洁，</w:t>
      </w:r>
      <w:r>
        <w:rPr>
          <w:rFonts w:hint="eastAsia" w:eastAsia="方正仿宋_GBK"/>
          <w:color w:val="000000"/>
          <w:spacing w:val="-2"/>
          <w:sz w:val="24"/>
        </w:rPr>
        <w:t>采取密闭运输措施，</w:t>
      </w:r>
      <w:r>
        <w:rPr>
          <w:rFonts w:hint="eastAsia" w:eastAsia="方正仿宋_GBK"/>
          <w:color w:val="000000"/>
          <w:spacing w:val="-2"/>
          <w:kern w:val="0"/>
          <w:sz w:val="24"/>
        </w:rPr>
        <w:t>杜绝车辆带泥出场和</w:t>
      </w:r>
      <w:r>
        <w:rPr>
          <w:rFonts w:hint="eastAsia" w:eastAsia="方正仿宋_GBK"/>
          <w:color w:val="000000"/>
          <w:spacing w:val="-2"/>
          <w:sz w:val="24"/>
        </w:rPr>
        <w:t>抛撒滴漏</w:t>
      </w:r>
      <w:r>
        <w:rPr>
          <w:rFonts w:hint="eastAsia" w:eastAsia="方正仿宋_GBK"/>
          <w:color w:val="000000"/>
          <w:spacing w:val="-2"/>
          <w:kern w:val="0"/>
          <w:sz w:val="24"/>
        </w:rPr>
        <w:t>。</w:t>
      </w:r>
      <w:r>
        <w:rPr>
          <w:rFonts w:hint="eastAsia" w:eastAsia="方正仿宋_GBK"/>
          <w:color w:val="000000"/>
          <w:spacing w:val="-2"/>
          <w:sz w:val="24"/>
        </w:rPr>
        <w:t>鼓励</w:t>
      </w:r>
      <w:r>
        <w:rPr>
          <w:rFonts w:hint="eastAsia" w:eastAsia="方正仿宋_GBK"/>
          <w:color w:val="000000"/>
          <w:spacing w:val="-2"/>
          <w:kern w:val="0"/>
          <w:sz w:val="24"/>
        </w:rPr>
        <w:t>通过委托代包等方式，对建筑工地出入口周边实施机械化清扫（冲洗）保洁服务。</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w:t>
      </w:r>
      <w:r>
        <w:rPr>
          <w:rFonts w:hint="eastAsia" w:ascii="Times New Roman" w:eastAsia="方正楷体_GBK"/>
          <w:color w:val="000000"/>
          <w:spacing w:val="-2"/>
          <w:sz w:val="24"/>
        </w:rPr>
        <w:t>五</w:t>
      </w:r>
      <w:r>
        <w:rPr>
          <w:rFonts w:hint="eastAsia" w:eastAsia="方正仿宋_GBK"/>
          <w:color w:val="000000"/>
          <w:spacing w:val="-2"/>
          <w:sz w:val="24"/>
        </w:rPr>
        <w:t>）</w:t>
      </w:r>
      <w:r>
        <w:rPr>
          <w:rFonts w:hint="eastAsia" w:ascii="Times New Roman" w:eastAsia="方正楷体_GBK"/>
          <w:color w:val="000000"/>
          <w:spacing w:val="-2"/>
          <w:sz w:val="24"/>
        </w:rPr>
        <w:t>完善收费机制</w:t>
      </w:r>
      <w:r>
        <w:rPr>
          <w:rFonts w:hint="eastAsia" w:eastAsia="方正仿宋_GBK"/>
          <w:color w:val="000000"/>
          <w:spacing w:val="-2"/>
          <w:sz w:val="24"/>
        </w:rPr>
        <w:t>。根据</w:t>
      </w:r>
      <w:r>
        <w:rPr>
          <w:rFonts w:eastAsia="方正仿宋_GBK"/>
          <w:color w:val="000000"/>
          <w:spacing w:val="-2"/>
          <w:sz w:val="24"/>
        </w:rPr>
        <w:t>“</w:t>
      </w:r>
      <w:r>
        <w:rPr>
          <w:rFonts w:hint="eastAsia" w:eastAsia="方正仿宋_GBK"/>
          <w:color w:val="000000"/>
          <w:spacing w:val="-2"/>
          <w:sz w:val="24"/>
        </w:rPr>
        <w:t>谁产生、谁负责、谁付费</w:t>
      </w:r>
      <w:r>
        <w:rPr>
          <w:rFonts w:eastAsia="方正仿宋_GBK"/>
          <w:color w:val="000000"/>
          <w:spacing w:val="-2"/>
          <w:sz w:val="24"/>
        </w:rPr>
        <w:t>”</w:t>
      </w:r>
      <w:r>
        <w:rPr>
          <w:rFonts w:hint="eastAsia" w:eastAsia="方正仿宋_GBK"/>
          <w:color w:val="000000"/>
          <w:spacing w:val="-2"/>
          <w:sz w:val="24"/>
        </w:rPr>
        <w:t>的原则，对建筑渣土实施有偿处置。建设单位应将建筑渣土运输、处置等相关经费列入工程预算。建设工程在办理建筑渣土处置许可手续时，应按规定缴纳有偿处置管理有关费用，并与城市管理部门签订建筑渣土处置责任书。有偿处置管理有关费用专项用于建筑渣土处置场所的建设、运行、维护和建筑渣土管理等相关事项。</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w:t>
      </w:r>
      <w:r>
        <w:rPr>
          <w:rFonts w:hint="eastAsia" w:ascii="Times New Roman" w:eastAsia="方正楷体_GBK"/>
          <w:color w:val="000000"/>
          <w:spacing w:val="-2"/>
          <w:sz w:val="24"/>
        </w:rPr>
        <w:t>六</w:t>
      </w:r>
      <w:r>
        <w:rPr>
          <w:rFonts w:hint="eastAsia" w:eastAsia="方正仿宋_GBK"/>
          <w:color w:val="000000"/>
          <w:spacing w:val="-2"/>
          <w:sz w:val="24"/>
        </w:rPr>
        <w:t>）</w:t>
      </w:r>
      <w:r>
        <w:rPr>
          <w:rFonts w:hint="eastAsia" w:ascii="Times New Roman" w:eastAsia="方正楷体_GBK"/>
          <w:color w:val="000000"/>
          <w:spacing w:val="-2"/>
          <w:sz w:val="24"/>
        </w:rPr>
        <w:t>规范运输市场</w:t>
      </w:r>
      <w:r>
        <w:rPr>
          <w:rFonts w:hint="eastAsia" w:eastAsia="方正仿宋_GBK"/>
          <w:color w:val="000000"/>
          <w:spacing w:val="-2"/>
          <w:sz w:val="24"/>
        </w:rPr>
        <w:t>。</w:t>
      </w:r>
      <w:r>
        <w:rPr>
          <w:rFonts w:hint="eastAsia" w:eastAsia="方正仿宋_GBK"/>
          <w:color w:val="000000"/>
          <w:spacing w:val="-2"/>
          <w:kern w:val="0"/>
          <w:sz w:val="24"/>
        </w:rPr>
        <w:t>建筑渣土运输实行市场准入制度。从事建筑渣土的运输企业须经当地城市管理部门核准，取得城市建筑渣土经营服务资格。</w:t>
      </w:r>
      <w:r>
        <w:rPr>
          <w:rFonts w:hint="eastAsia" w:eastAsia="方正仿宋_GBK"/>
          <w:color w:val="000000"/>
          <w:spacing w:val="-2"/>
          <w:sz w:val="24"/>
        </w:rPr>
        <w:t>全面加强建筑渣土及各类工程材料运输车辆管理，综合运用监控系统、</w:t>
      </w:r>
      <w:r>
        <w:rPr>
          <w:rFonts w:eastAsia="方正仿宋_GBK"/>
          <w:color w:val="000000"/>
          <w:spacing w:val="-2"/>
          <w:sz w:val="24"/>
        </w:rPr>
        <w:t>GPS</w:t>
      </w:r>
      <w:r>
        <w:rPr>
          <w:rFonts w:hint="eastAsia" w:eastAsia="方正仿宋_GBK"/>
          <w:color w:val="000000"/>
          <w:spacing w:val="-2"/>
          <w:sz w:val="24"/>
        </w:rPr>
        <w:t>定位系统等科技信息手段，监督运输车辆无证偷运、不遵守交通信号和禁行标志等行为，并通过安装使用记录路线、时间和处置场所的电子信息装置，实施对建筑渣土运输车辆的动态管理。运输单位必须采用密闭式运输工具，统一标识，使用运输车辆专用号段并放大号牌。运输建筑渣土时，须随车携带由当地城市管理、公安交管部门核发的相关证件，并按照规定的线路、时间，送到指定的处置场所。</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w:t>
      </w:r>
      <w:r>
        <w:rPr>
          <w:rFonts w:hint="eastAsia" w:ascii="Times New Roman" w:eastAsia="方正楷体_GBK"/>
          <w:color w:val="000000"/>
          <w:spacing w:val="-2"/>
          <w:sz w:val="24"/>
        </w:rPr>
        <w:t>七</w:t>
      </w:r>
      <w:r>
        <w:rPr>
          <w:rFonts w:hint="eastAsia" w:eastAsia="方正仿宋_GBK"/>
          <w:color w:val="000000"/>
          <w:spacing w:val="-2"/>
          <w:sz w:val="24"/>
        </w:rPr>
        <w:t>）</w:t>
      </w:r>
      <w:r>
        <w:rPr>
          <w:rFonts w:hint="eastAsia" w:ascii="Times New Roman" w:eastAsia="方正楷体_GBK"/>
          <w:color w:val="000000"/>
          <w:spacing w:val="-2"/>
          <w:sz w:val="24"/>
        </w:rPr>
        <w:t>推进综合利用</w:t>
      </w:r>
      <w:r>
        <w:rPr>
          <w:rFonts w:hint="eastAsia" w:eastAsia="方正仿宋_GBK"/>
          <w:color w:val="000000"/>
          <w:spacing w:val="-2"/>
          <w:sz w:val="24"/>
        </w:rPr>
        <w:t>。制定完善建筑渣土再生利用处置相关政策、标准和技术规范，鼓励并逐步推广使用建筑渣土的再生产品，构建新型低碳经济产业链，推动资源综合利用产业化发展，促进建筑渣土由简易填埋向资源化处理和循环利用方向转变。开展建筑渣土分类收集和循环利用的试点工作，积极推行建筑渣土分类利用、源头就地利用、末端综合利用等多种方式，形成各种经济成分投资参与、资源市场配置合理的建筑渣土利用体系，实现各类建筑渣土资源化利用和集约化处置。鼓励建设单位、施工单位优先采用建筑渣土综合利用产品。</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w:t>
      </w:r>
      <w:r>
        <w:rPr>
          <w:rFonts w:hint="eastAsia" w:ascii="Times New Roman" w:eastAsia="方正楷体_GBK"/>
          <w:color w:val="000000"/>
          <w:spacing w:val="-2"/>
          <w:sz w:val="24"/>
        </w:rPr>
        <w:t>八</w:t>
      </w:r>
      <w:r>
        <w:rPr>
          <w:rFonts w:hint="eastAsia" w:eastAsia="方正仿宋_GBK"/>
          <w:color w:val="000000"/>
          <w:spacing w:val="-2"/>
          <w:sz w:val="24"/>
        </w:rPr>
        <w:t>）</w:t>
      </w:r>
      <w:r>
        <w:rPr>
          <w:rFonts w:hint="eastAsia" w:ascii="Times New Roman" w:eastAsia="方正楷体_GBK"/>
          <w:color w:val="000000"/>
          <w:spacing w:val="-2"/>
          <w:sz w:val="24"/>
        </w:rPr>
        <w:t>加强安全管理</w:t>
      </w:r>
      <w:r>
        <w:rPr>
          <w:rFonts w:hint="eastAsia" w:eastAsia="方正仿宋_GBK"/>
          <w:color w:val="000000"/>
          <w:spacing w:val="-2"/>
          <w:sz w:val="24"/>
        </w:rPr>
        <w:t>。进一步建立健全安全管理联动机制，公安交管部门要督促建筑渣土运输企业建立、落实交通安全管理制度，对建筑渣土运输车辆和驾驶人实行严格的安全管理措施，定期检查车辆安全设施，对驾驶人开展交通安全教育培训。建立建筑渣土运输车辆和驾驶人信息搜集制度，定期对运输车辆、驾驶人的交通违法、交通事故情况进行检查，在责令运输企业限期整改的同时，通报建设、城管等部门，实行重点监管。</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w:t>
      </w:r>
      <w:r>
        <w:rPr>
          <w:rFonts w:hint="eastAsia" w:ascii="Times New Roman" w:eastAsia="方正楷体_GBK"/>
          <w:color w:val="000000"/>
          <w:spacing w:val="-2"/>
          <w:sz w:val="24"/>
        </w:rPr>
        <w:t>九</w:t>
      </w:r>
      <w:r>
        <w:rPr>
          <w:rFonts w:hint="eastAsia" w:eastAsia="方正仿宋_GBK"/>
          <w:color w:val="000000"/>
          <w:spacing w:val="-2"/>
          <w:sz w:val="24"/>
        </w:rPr>
        <w:t>）</w:t>
      </w:r>
      <w:r>
        <w:rPr>
          <w:rFonts w:hint="eastAsia" w:ascii="Times New Roman" w:eastAsia="方正楷体_GBK"/>
          <w:color w:val="000000"/>
          <w:spacing w:val="-2"/>
          <w:sz w:val="24"/>
        </w:rPr>
        <w:t>坚持联合执法</w:t>
      </w:r>
      <w:r>
        <w:rPr>
          <w:rFonts w:hint="eastAsia" w:eastAsia="方正仿宋_GBK"/>
          <w:color w:val="000000"/>
          <w:spacing w:val="-2"/>
          <w:sz w:val="24"/>
        </w:rPr>
        <w:t>。</w:t>
      </w:r>
      <w:r>
        <w:rPr>
          <w:rFonts w:hint="eastAsia" w:eastAsia="方正仿宋_GBK"/>
          <w:color w:val="000000"/>
          <w:spacing w:val="-2"/>
          <w:kern w:val="0"/>
          <w:sz w:val="24"/>
        </w:rPr>
        <w:t>建立健全联合执法机制，组织开展联合执法和专项整治活动，加大执法力度和频次，严厉打击违法违规运输处置建筑渣土的行为，形成工作合力，提高执法效能。各地公安交管、建设、城管、环保、交通</w:t>
      </w:r>
      <w:r>
        <w:rPr>
          <w:rFonts w:hint="eastAsia" w:eastAsia="方正仿宋_GBK"/>
          <w:color w:val="000000"/>
          <w:spacing w:val="-2"/>
          <w:sz w:val="24"/>
        </w:rPr>
        <w:t>等部门要积极配合，加大监管力度，并通过路面监控、现场执法、</w:t>
      </w:r>
      <w:r>
        <w:rPr>
          <w:rFonts w:eastAsia="方正仿宋_GBK"/>
          <w:color w:val="000000"/>
          <w:spacing w:val="-2"/>
          <w:sz w:val="24"/>
        </w:rPr>
        <w:t>GPS</w:t>
      </w:r>
      <w:r>
        <w:rPr>
          <w:rFonts w:hint="eastAsia" w:eastAsia="方正仿宋_GBK"/>
          <w:color w:val="000000"/>
          <w:spacing w:val="-2"/>
          <w:sz w:val="24"/>
        </w:rPr>
        <w:t>定位系统等手段，严肃查处建筑渣土运输车辆无证偷运、不遵守交通信号和禁行标志、无牌无证、假牌假证、超载超速、乱倾乱倒、抛撒滴漏、带泥上路、未实施密闭运输、不按规定路线行驶、不按规定悬挂以及故意遮挡或污损号牌等行为，维护良好的城市市容和交通秩序。</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四、加强对建筑渣土运输处置管理工作的组织领导</w:t>
      </w:r>
    </w:p>
    <w:p>
      <w:pPr>
        <w:spacing w:line="460" w:lineRule="exact"/>
        <w:ind w:firstLine="472" w:firstLineChars="200"/>
        <w:rPr>
          <w:rFonts w:hint="eastAsia" w:eastAsia="方正仿宋_GBK"/>
          <w:color w:val="000000"/>
          <w:spacing w:val="-2"/>
          <w:sz w:val="24"/>
        </w:rPr>
      </w:pPr>
      <w:r>
        <w:rPr>
          <w:rFonts w:hint="eastAsia" w:eastAsia="方正仿宋_GBK"/>
          <w:color w:val="000000"/>
          <w:spacing w:val="-2"/>
          <w:sz w:val="24"/>
        </w:rPr>
        <w:t>加强建筑渣土运输处置管理是一项事关全局的系统工程，需要加强领导，各方配合，形成合力，扎实推进。</w:t>
      </w:r>
    </w:p>
    <w:p>
      <w:pPr>
        <w:spacing w:line="460" w:lineRule="exact"/>
        <w:ind w:firstLine="472" w:firstLineChars="200"/>
        <w:rPr>
          <w:rFonts w:eastAsia="方正仿宋_GBK"/>
          <w:color w:val="000000"/>
          <w:spacing w:val="-2"/>
          <w:sz w:val="24"/>
        </w:rPr>
      </w:pPr>
      <w:r>
        <w:rPr>
          <w:rFonts w:hint="eastAsia" w:ascii="Times New Roman" w:eastAsia="方正楷体_GBK"/>
          <w:color w:val="000000"/>
          <w:spacing w:val="-2"/>
          <w:sz w:val="24"/>
        </w:rPr>
        <w:t>健全工作机制</w:t>
      </w:r>
      <w:r>
        <w:rPr>
          <w:rFonts w:hint="eastAsia" w:eastAsia="方正仿宋_GBK"/>
          <w:color w:val="000000"/>
          <w:spacing w:val="-2"/>
          <w:sz w:val="24"/>
        </w:rPr>
        <w:t>。要高度重视建筑渣土运输处置管理工作，进一步创新思路、协调各方、整合资源、强化责任，形成齐心协力、齐抓共管的工作格局。要建立健全建筑渣土运输处置管理工作领导机构及由公安交管、城管、建设、环保、交通等部门参加的联席会议制度，</w:t>
      </w:r>
      <w:r>
        <w:rPr>
          <w:rFonts w:hint="eastAsia" w:eastAsia="方正仿宋_GBK"/>
          <w:color w:val="000000"/>
          <w:spacing w:val="-2"/>
          <w:kern w:val="0"/>
          <w:sz w:val="24"/>
        </w:rPr>
        <w:t>定期召开会议，通报交流工作情况，协调解决重大问题，落实必要经费，</w:t>
      </w:r>
      <w:r>
        <w:rPr>
          <w:rFonts w:hint="eastAsia" w:eastAsia="方正仿宋_GBK"/>
          <w:color w:val="000000"/>
          <w:spacing w:val="-2"/>
          <w:sz w:val="24"/>
        </w:rPr>
        <w:t>顺利推进建筑渣土运输处置工作。建立建筑渣土运输管理信息共享平台，定期交换相关信息，包括运输企业、车辆、驾驶人基础信息，交通违法、交通事故信息、许可信息、扬尘污染防治不到位等情况，确保长效管理制度的落实。</w:t>
      </w:r>
    </w:p>
    <w:p>
      <w:pPr>
        <w:spacing w:line="460" w:lineRule="exact"/>
        <w:ind w:firstLine="472" w:firstLineChars="200"/>
        <w:rPr>
          <w:rFonts w:eastAsia="方正仿宋_GBK"/>
          <w:color w:val="000000"/>
          <w:spacing w:val="-2"/>
          <w:kern w:val="0"/>
          <w:sz w:val="24"/>
        </w:rPr>
      </w:pPr>
      <w:r>
        <w:rPr>
          <w:rFonts w:hint="eastAsia" w:ascii="Times New Roman" w:eastAsia="方正楷体_GBK"/>
          <w:color w:val="000000"/>
          <w:spacing w:val="-2"/>
          <w:sz w:val="24"/>
        </w:rPr>
        <w:t>明确工作职责</w:t>
      </w:r>
      <w:r>
        <w:rPr>
          <w:rFonts w:hint="eastAsia" w:eastAsia="方正仿宋_GBK"/>
          <w:color w:val="000000"/>
          <w:spacing w:val="-2"/>
          <w:kern w:val="0"/>
          <w:sz w:val="24"/>
        </w:rPr>
        <w:t>。要按照属地管理原则，以源头控制减量化、运输市场规范化、综合利用资源化为目标，有效落实建筑渣土处置场所，合理调配建筑渣土处置能力，建立完善管理信息通报制度，切实承担起建筑渣土运输处置监管责任。城管部门应加强渣土处置场所日常运营的监管；公安交管部门要在加强对建筑渣土运输车辆</w:t>
      </w:r>
      <w:r>
        <w:rPr>
          <w:rFonts w:hint="eastAsia" w:eastAsia="方正仿宋_GBK"/>
          <w:color w:val="000000"/>
          <w:spacing w:val="-2"/>
          <w:sz w:val="24"/>
        </w:rPr>
        <w:t>和驾驶人交通安全管理的同时，依法查处运输车辆的交通安全违法行为；建设部门要加强对建筑工地施工管理，会同城管、环保等部门开展规范化管理评比考核活动；环保部门要加强建筑工地周边环境及道路积尘监测，及时通报监测结果；交通部门要加强对管辖道路日常巡查，依法对建筑渣土运输车辆违法行为进行查处。</w:t>
      </w:r>
    </w:p>
    <w:p>
      <w:pPr>
        <w:spacing w:line="460" w:lineRule="exact"/>
        <w:ind w:firstLine="472" w:firstLineChars="200"/>
        <w:rPr>
          <w:rFonts w:eastAsia="方正仿宋_GBK"/>
          <w:color w:val="000000"/>
          <w:spacing w:val="-2"/>
          <w:kern w:val="0"/>
          <w:sz w:val="24"/>
        </w:rPr>
      </w:pPr>
      <w:r>
        <w:rPr>
          <w:rFonts w:hint="eastAsia" w:ascii="Times New Roman" w:eastAsia="方正楷体_GBK"/>
          <w:color w:val="000000"/>
          <w:spacing w:val="-2"/>
          <w:sz w:val="24"/>
        </w:rPr>
        <w:t>发动全民参与</w:t>
      </w:r>
      <w:r>
        <w:rPr>
          <w:rFonts w:hint="eastAsia" w:eastAsia="方正仿宋_GBK"/>
          <w:color w:val="000000"/>
          <w:spacing w:val="-2"/>
          <w:kern w:val="0"/>
          <w:sz w:val="24"/>
        </w:rPr>
        <w:t>。</w:t>
      </w:r>
      <w:r>
        <w:rPr>
          <w:rFonts w:hint="eastAsia" w:eastAsia="方正仿宋_GBK"/>
          <w:color w:val="000000"/>
          <w:spacing w:val="-2"/>
          <w:sz w:val="24"/>
        </w:rPr>
        <w:t>充分发挥媒体作用，主动邀请新闻单位参与联合整治和日常管理，加大对建筑渣土运输处置管理工作的宣传力度，及时曝光建筑渣土运输车辆违法违规行为，营造浓厚的舆论氛围，切实提高各建设、施工、运输单位遵守有关法律法规的自觉性。建立社会监督机制，设立举报投诉电话，建立举报奖励制度，切实提高社会各界、市民群众参与程度。</w:t>
      </w:r>
    </w:p>
    <w:p>
      <w:pPr>
        <w:spacing w:line="460" w:lineRule="exact"/>
        <w:ind w:firstLine="472" w:firstLineChars="200"/>
        <w:rPr>
          <w:rFonts w:eastAsia="方正仿宋_GBK"/>
          <w:color w:val="000000"/>
          <w:spacing w:val="-2"/>
          <w:kern w:val="0"/>
          <w:sz w:val="24"/>
        </w:rPr>
      </w:pPr>
      <w:r>
        <w:rPr>
          <w:rFonts w:hint="eastAsia" w:ascii="Times New Roman" w:eastAsia="方正楷体_GBK"/>
          <w:color w:val="000000"/>
          <w:spacing w:val="-2"/>
          <w:sz w:val="24"/>
        </w:rPr>
        <w:t>严格监督考核</w:t>
      </w:r>
      <w:r>
        <w:rPr>
          <w:rFonts w:hint="eastAsia" w:eastAsia="方正仿宋_GBK"/>
          <w:color w:val="000000"/>
          <w:spacing w:val="-2"/>
          <w:kern w:val="0"/>
          <w:sz w:val="24"/>
        </w:rPr>
        <w:t>。研究制定建筑渣土运输处置工作的考核标准和检查办法，定期组织开展督查行动，通报检查考核结果。建立健全评比表彰和责任追究制度，对措施得力、成效显著的予以表彰和奖励；对工作不力、进展缓慢以及运输处置违法现象较多，建筑渣土运输车辆发生重大交通事故的，要严肃追究相关部门、相关人员责任。</w:t>
      </w:r>
    </w:p>
    <w:p>
      <w:pPr>
        <w:wordWrap w:val="0"/>
        <w:spacing w:line="460" w:lineRule="exact"/>
        <w:jc w:val="right"/>
        <w:rPr>
          <w:rFonts w:eastAsia="方正仿宋_GBK"/>
          <w:color w:val="000000"/>
          <w:spacing w:val="-2"/>
          <w:sz w:val="24"/>
        </w:rPr>
      </w:pPr>
      <w:r>
        <w:rPr>
          <w:rFonts w:hint="eastAsia" w:eastAsia="方正仿宋_GBK"/>
          <w:color w:val="000000"/>
          <w:spacing w:val="-2"/>
          <w:sz w:val="24"/>
        </w:rPr>
        <w:t>江苏省住房和城乡建设厅</w:t>
      </w:r>
      <w:r>
        <w:rPr>
          <w:rFonts w:eastAsia="方正仿宋_GBK"/>
          <w:color w:val="000000"/>
          <w:spacing w:val="-2"/>
          <w:sz w:val="24"/>
        </w:rPr>
        <w:t xml:space="preserve">    </w:t>
      </w:r>
    </w:p>
    <w:p>
      <w:pPr>
        <w:wordWrap w:val="0"/>
        <w:spacing w:line="460" w:lineRule="exact"/>
        <w:jc w:val="right"/>
        <w:rPr>
          <w:rFonts w:eastAsia="方正仿宋_GBK"/>
          <w:color w:val="000000"/>
          <w:spacing w:val="-2"/>
          <w:sz w:val="24"/>
        </w:rPr>
      </w:pPr>
      <w:r>
        <w:rPr>
          <w:rFonts w:hint="eastAsia" w:eastAsia="方正仿宋_GBK"/>
          <w:color w:val="000000"/>
          <w:spacing w:val="120"/>
          <w:kern w:val="0"/>
          <w:sz w:val="24"/>
        </w:rPr>
        <w:t>江苏省公安</w:t>
      </w:r>
      <w:r>
        <w:rPr>
          <w:rFonts w:hint="eastAsia" w:eastAsia="方正仿宋_GBK"/>
          <w:color w:val="000000"/>
          <w:kern w:val="0"/>
          <w:sz w:val="24"/>
        </w:rPr>
        <w:t>厅</w:t>
      </w:r>
      <w:r>
        <w:rPr>
          <w:rFonts w:eastAsia="方正仿宋_GBK"/>
          <w:color w:val="000000"/>
          <w:kern w:val="0"/>
          <w:sz w:val="24"/>
        </w:rPr>
        <w:t xml:space="preserve">    </w:t>
      </w:r>
    </w:p>
    <w:p>
      <w:pPr>
        <w:wordWrap w:val="0"/>
        <w:spacing w:line="460" w:lineRule="exact"/>
        <w:jc w:val="right"/>
        <w:rPr>
          <w:rFonts w:eastAsia="方正仿宋_GBK"/>
          <w:color w:val="000000"/>
          <w:spacing w:val="120"/>
          <w:kern w:val="0"/>
          <w:sz w:val="24"/>
        </w:rPr>
      </w:pPr>
      <w:r>
        <w:rPr>
          <w:rFonts w:hint="eastAsia" w:eastAsia="方正仿宋_GBK"/>
          <w:color w:val="000000"/>
          <w:spacing w:val="51"/>
          <w:kern w:val="0"/>
          <w:sz w:val="24"/>
        </w:rPr>
        <w:t>江苏省环境保护</w:t>
      </w:r>
      <w:r>
        <w:rPr>
          <w:rFonts w:hint="eastAsia" w:eastAsia="方正仿宋_GBK"/>
          <w:color w:val="000000"/>
          <w:spacing w:val="3"/>
          <w:kern w:val="0"/>
          <w:sz w:val="24"/>
        </w:rPr>
        <w:t>厅</w:t>
      </w:r>
      <w:r>
        <w:rPr>
          <w:rFonts w:eastAsia="方正仿宋_GBK"/>
          <w:color w:val="000000"/>
          <w:kern w:val="0"/>
          <w:sz w:val="24"/>
        </w:rPr>
        <w:t xml:space="preserve">    </w:t>
      </w:r>
    </w:p>
    <w:p>
      <w:pPr>
        <w:wordWrap w:val="0"/>
        <w:spacing w:line="460" w:lineRule="exact"/>
        <w:jc w:val="right"/>
        <w:rPr>
          <w:rFonts w:eastAsia="方正仿宋_GBK"/>
          <w:color w:val="000000"/>
          <w:spacing w:val="120"/>
          <w:kern w:val="0"/>
          <w:sz w:val="24"/>
        </w:rPr>
      </w:pPr>
      <w:r>
        <w:rPr>
          <w:rFonts w:hint="eastAsia" w:eastAsia="方正仿宋_GBK"/>
          <w:color w:val="000000"/>
          <w:spacing w:val="51"/>
          <w:kern w:val="0"/>
          <w:sz w:val="24"/>
        </w:rPr>
        <w:t>江苏省交通运输</w:t>
      </w:r>
      <w:r>
        <w:rPr>
          <w:rFonts w:hint="eastAsia" w:eastAsia="方正仿宋_GBK"/>
          <w:color w:val="000000"/>
          <w:spacing w:val="3"/>
          <w:kern w:val="0"/>
          <w:sz w:val="24"/>
        </w:rPr>
        <w:t>厅</w:t>
      </w:r>
      <w:r>
        <w:rPr>
          <w:rFonts w:eastAsia="方正仿宋_GBK"/>
          <w:color w:val="000000"/>
          <w:kern w:val="0"/>
          <w:sz w:val="24"/>
        </w:rPr>
        <w:t xml:space="preserve">    </w:t>
      </w:r>
    </w:p>
    <w:p>
      <w:pPr>
        <w:spacing w:line="460" w:lineRule="exact"/>
        <w:ind w:right="640"/>
        <w:jc w:val="right"/>
        <w:rPr>
          <w:rFonts w:eastAsia="方正仿宋_GBK"/>
          <w:color w:val="000000"/>
          <w:spacing w:val="-2"/>
          <w:sz w:val="24"/>
        </w:rPr>
      </w:pPr>
      <w:r>
        <w:rPr>
          <w:rFonts w:hint="eastAsia" w:eastAsia="方正仿宋_GBK"/>
          <w:color w:val="000000"/>
          <w:spacing w:val="-2"/>
          <w:sz w:val="24"/>
        </w:rPr>
        <w:t>二○一二年一月十一日</w:t>
      </w:r>
    </w:p>
    <w:p>
      <w:pPr>
        <w:spacing w:line="460" w:lineRule="exact"/>
        <w:ind w:firstLine="640" w:firstLineChars="200"/>
        <w:jc w:val="center"/>
        <w:rPr>
          <w:rFonts w:eastAsia="仿宋"/>
          <w:snapToGrid w:val="0"/>
          <w:color w:val="000000"/>
          <w:kern w:val="0"/>
          <w:sz w:val="32"/>
        </w:rPr>
      </w:pPr>
    </w:p>
    <w:p>
      <w:pPr>
        <w:spacing w:line="560" w:lineRule="exact"/>
        <w:rPr>
          <w:rFonts w:eastAsia="方正仿宋_GBK"/>
          <w:color w:val="000000"/>
          <w:spacing w:val="-2"/>
          <w:sz w:val="32"/>
          <w:szCs w:val="32"/>
        </w:rPr>
      </w:pPr>
    </w:p>
    <w:p/>
    <w:p/>
    <w:p/>
    <w:p>
      <w:pPr>
        <w:pStyle w:val="2"/>
        <w:spacing w:before="240" w:beforeLines="100" w:after="240" w:afterLines="100" w:line="240" w:lineRule="auto"/>
        <w:jc w:val="center"/>
        <w:rPr>
          <w:rFonts w:ascii="Times New Roman" w:eastAsia="方正小标宋_GBK"/>
          <w:b w:val="0"/>
          <w:sz w:val="36"/>
          <w:szCs w:val="36"/>
        </w:rPr>
      </w:pPr>
      <w:bookmarkStart w:id="166" w:name="_Toc20726648"/>
      <w:bookmarkStart w:id="167" w:name="_Toc18315789"/>
      <w:r>
        <w:rPr>
          <w:rFonts w:hint="eastAsia" w:ascii="Times New Roman" w:eastAsia="方正小标宋_GBK"/>
          <w:b w:val="0"/>
          <w:sz w:val="36"/>
          <w:szCs w:val="36"/>
        </w:rPr>
        <w:t>关于进一步保障全省环卫行业职工合法权益的实施意见</w:t>
      </w:r>
      <w:bookmarkEnd w:id="166"/>
      <w:bookmarkEnd w:id="167"/>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168" w:name="_Toc18315790"/>
      <w:bookmarkStart w:id="169" w:name="_Toc20726649"/>
      <w:r>
        <w:rPr>
          <w:rFonts w:hint="eastAsia" w:ascii="Times New Roman" w:hAnsi="Times New Roman" w:eastAsia="方正楷体_GBK"/>
          <w:b w:val="0"/>
          <w:sz w:val="24"/>
          <w:szCs w:val="24"/>
        </w:rPr>
        <w:t>苏建城〔</w:t>
      </w:r>
      <w:r>
        <w:rPr>
          <w:rFonts w:ascii="Times New Roman" w:hAnsi="Times New Roman" w:eastAsia="方正楷体_GBK"/>
          <w:b w:val="0"/>
          <w:sz w:val="24"/>
          <w:szCs w:val="24"/>
        </w:rPr>
        <w:t>2012</w:t>
      </w:r>
      <w:r>
        <w:rPr>
          <w:rFonts w:hint="eastAsia" w:ascii="Times New Roman" w:hAnsi="Times New Roman" w:eastAsia="方正楷体_GBK"/>
          <w:b w:val="0"/>
          <w:sz w:val="24"/>
          <w:szCs w:val="24"/>
        </w:rPr>
        <w:t>〕</w:t>
      </w:r>
      <w:r>
        <w:rPr>
          <w:rFonts w:ascii="Times New Roman" w:hAnsi="Times New Roman" w:eastAsia="方正楷体_GBK"/>
          <w:b w:val="0"/>
          <w:sz w:val="24"/>
          <w:szCs w:val="24"/>
        </w:rPr>
        <w:t>614</w:t>
      </w:r>
      <w:r>
        <w:rPr>
          <w:rFonts w:hint="eastAsia" w:ascii="Times New Roman" w:hAnsi="Times New Roman" w:eastAsia="方正楷体_GBK"/>
          <w:b w:val="0"/>
          <w:sz w:val="24"/>
          <w:szCs w:val="24"/>
        </w:rPr>
        <w:t>号</w:t>
      </w:r>
      <w:bookmarkEnd w:id="168"/>
      <w:bookmarkEnd w:id="169"/>
    </w:p>
    <w:p>
      <w:pPr>
        <w:spacing w:line="460" w:lineRule="exact"/>
        <w:rPr>
          <w:rFonts w:eastAsia="方正仿宋_GBK"/>
          <w:color w:val="000000"/>
          <w:spacing w:val="-2"/>
          <w:sz w:val="24"/>
        </w:rPr>
      </w:pPr>
      <w:r>
        <w:rPr>
          <w:rFonts w:hint="eastAsia" w:eastAsia="方正仿宋_GBK"/>
          <w:color w:val="000000"/>
          <w:spacing w:val="-2"/>
          <w:sz w:val="24"/>
        </w:rPr>
        <w:t>各市、县（市）城管（市容市政）局、人力资源和社会保障局、公安局、财政局、卫生局、安监局、总工会：</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为进一步保障我省环卫行业职工的合法权益，推动环境卫生事业持续健康发展，根据国家住房和城乡建设部等七部门《关于进一步保障环卫行业职工合法权益的意见》（建城〔</w:t>
      </w:r>
      <w:r>
        <w:rPr>
          <w:rFonts w:eastAsia="方正仿宋_GBK"/>
          <w:color w:val="000000"/>
          <w:spacing w:val="-2"/>
          <w:sz w:val="24"/>
        </w:rPr>
        <w:t>2012</w:t>
      </w:r>
      <w:r>
        <w:rPr>
          <w:rFonts w:hint="eastAsia" w:eastAsia="方正仿宋_GBK"/>
          <w:color w:val="000000"/>
          <w:spacing w:val="-2"/>
          <w:sz w:val="24"/>
        </w:rPr>
        <w:t>〕</w:t>
      </w:r>
      <w:r>
        <w:rPr>
          <w:rFonts w:eastAsia="方正仿宋_GBK"/>
          <w:color w:val="000000"/>
          <w:spacing w:val="-2"/>
          <w:sz w:val="24"/>
        </w:rPr>
        <w:t>73</w:t>
      </w:r>
      <w:r>
        <w:rPr>
          <w:rFonts w:hint="eastAsia" w:eastAsia="方正仿宋_GBK"/>
          <w:color w:val="000000"/>
          <w:spacing w:val="-2"/>
          <w:sz w:val="24"/>
        </w:rPr>
        <w:t>号）和《省政府关于进一步加强城乡生活垃圾处理工作的实施意见》（苏政发〔</w:t>
      </w:r>
      <w:r>
        <w:rPr>
          <w:rFonts w:eastAsia="方正仿宋_GBK"/>
          <w:color w:val="000000"/>
          <w:spacing w:val="-2"/>
          <w:sz w:val="24"/>
        </w:rPr>
        <w:t>2011</w:t>
      </w:r>
      <w:r>
        <w:rPr>
          <w:rFonts w:hint="eastAsia" w:eastAsia="方正仿宋_GBK"/>
          <w:color w:val="000000"/>
          <w:spacing w:val="-2"/>
          <w:sz w:val="24"/>
        </w:rPr>
        <w:t>〕</w:t>
      </w:r>
      <w:r>
        <w:rPr>
          <w:rFonts w:eastAsia="方正仿宋_GBK"/>
          <w:color w:val="000000"/>
          <w:spacing w:val="-2"/>
          <w:sz w:val="24"/>
        </w:rPr>
        <w:t>185</w:t>
      </w:r>
      <w:r>
        <w:rPr>
          <w:rFonts w:hint="eastAsia" w:eastAsia="方正仿宋_GBK"/>
          <w:color w:val="000000"/>
          <w:spacing w:val="-2"/>
          <w:sz w:val="24"/>
        </w:rPr>
        <w:t>号）精神，现提出以下意见，请各地认真贯彻执行。</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一、充分认识保障环卫行业职工合法权益的重要意义</w:t>
      </w:r>
    </w:p>
    <w:p>
      <w:pPr>
        <w:spacing w:line="460" w:lineRule="exact"/>
        <w:ind w:firstLine="472" w:firstLineChars="200"/>
        <w:rPr>
          <w:rFonts w:hint="eastAsia" w:eastAsia="方正仿宋_GBK"/>
          <w:color w:val="000000"/>
          <w:spacing w:val="-2"/>
          <w:sz w:val="24"/>
        </w:rPr>
      </w:pPr>
      <w:r>
        <w:rPr>
          <w:rFonts w:hint="eastAsia" w:eastAsia="方正仿宋_GBK"/>
          <w:color w:val="000000"/>
          <w:spacing w:val="-2"/>
          <w:sz w:val="24"/>
        </w:rPr>
        <w:t>市容环境卫生工作是城市管理和公共服务的重要组成部分，是关系民生的基础性公益事业。近年来，我省环卫事业取得了快速发展，城市（县城）生活垃圾无害化处理率达到</w:t>
      </w:r>
      <w:r>
        <w:rPr>
          <w:rFonts w:eastAsia="方正仿宋_GBK"/>
          <w:color w:val="000000"/>
          <w:spacing w:val="-2"/>
          <w:sz w:val="24"/>
        </w:rPr>
        <w:t>87%</w:t>
      </w:r>
      <w:r>
        <w:rPr>
          <w:rFonts w:hint="eastAsia" w:eastAsia="方正仿宋_GBK"/>
          <w:color w:val="000000"/>
          <w:spacing w:val="-2"/>
          <w:sz w:val="24"/>
        </w:rPr>
        <w:t>以上，环卫作业质量和服务水平不断提升，城市市容环境卫生明显改善，为保障全省经济社会的持续快速发展奠定了良好基础，这其中凝结了广大环卫职工的辛勤劳动。但是，我们也要清醒地认识到，全省环卫事业的发展现状与日益增长的社会需求还不适应，大量一线环卫职工工作与生活条件还比较艰苦，工作强度大，合法权益不能得到有效保障，队伍难以稳定，严重制约了环卫事业发展，影响城市正常运行和人居环境质量。因此，各地、各有关部门要从保障民生、构建和谐社会和推动经济社会可持续发展的高度出发，加强领导，把健全市容环卫组织管理机构、规范环卫行业职工队伍建设和管理、保障环卫行业职工合法权益作为提升城市形象、落实政府责任的重要工作，保证环卫职工队伍稳定，实现环卫事业健康和可持续发展。</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二、进一步规范劳动人事管理</w:t>
      </w:r>
    </w:p>
    <w:p>
      <w:pPr>
        <w:spacing w:line="460" w:lineRule="exact"/>
        <w:ind w:firstLine="472" w:firstLineChars="200"/>
        <w:rPr>
          <w:rFonts w:hint="eastAsia" w:eastAsia="方正仿宋_GBK"/>
          <w:color w:val="000000"/>
          <w:spacing w:val="-2"/>
          <w:sz w:val="24"/>
        </w:rPr>
      </w:pPr>
      <w:r>
        <w:rPr>
          <w:rFonts w:hint="eastAsia" w:ascii="Times New Roman" w:eastAsia="方正楷体_GBK"/>
          <w:color w:val="000000"/>
          <w:spacing w:val="-2"/>
          <w:sz w:val="24"/>
        </w:rPr>
        <w:t>（一）企业单位用工</w:t>
      </w:r>
      <w:r>
        <w:rPr>
          <w:rFonts w:hint="eastAsia" w:eastAsia="方正仿宋_GBK"/>
          <w:color w:val="000000"/>
          <w:spacing w:val="-2"/>
          <w:sz w:val="24"/>
        </w:rPr>
        <w:t>。所有环卫企业都必须按照《中华人民共和国劳动合同法》的要求与职工签订劳动合同，明确劳动合同期限、劳动报酬、工作时间和休息休假等必备条款，并按照国家有关规定为环卫工人办理各项社会保险手续，包括养老保险、医疗保险、失业保险、工伤保险和生育保险等，做到应保尽保，及时足额缴纳社会保险费。</w:t>
      </w:r>
    </w:p>
    <w:p>
      <w:pPr>
        <w:spacing w:line="460" w:lineRule="exact"/>
        <w:ind w:firstLine="472" w:firstLineChars="200"/>
        <w:rPr>
          <w:rFonts w:eastAsia="方正仿宋_GBK"/>
          <w:color w:val="000000"/>
          <w:spacing w:val="-2"/>
          <w:sz w:val="24"/>
        </w:rPr>
      </w:pPr>
      <w:r>
        <w:rPr>
          <w:rFonts w:hint="eastAsia" w:ascii="Times New Roman" w:eastAsia="方正楷体_GBK"/>
          <w:color w:val="000000"/>
          <w:spacing w:val="-2"/>
          <w:sz w:val="24"/>
        </w:rPr>
        <w:t>（二）事业单位用人。</w:t>
      </w:r>
      <w:r>
        <w:rPr>
          <w:rFonts w:hint="eastAsia" w:eastAsia="方正仿宋_GBK"/>
          <w:color w:val="000000"/>
          <w:spacing w:val="-2"/>
          <w:sz w:val="24"/>
        </w:rPr>
        <w:t>环卫事业单位与职工应在平等自愿、协商一致的基础上，通过签订聘用合同，明确聘用单位和受聘人员与工作有关的权利和义务，并明确依法参加社会保险的内容。环卫事业单位职工应按照国家或当地有关规定参加养老保险。</w:t>
      </w:r>
    </w:p>
    <w:p>
      <w:pPr>
        <w:spacing w:line="460" w:lineRule="exact"/>
        <w:ind w:firstLine="472" w:firstLineChars="200"/>
        <w:rPr>
          <w:rFonts w:eastAsia="方正仿宋_GBK"/>
          <w:color w:val="000000"/>
          <w:spacing w:val="-2"/>
          <w:sz w:val="24"/>
        </w:rPr>
      </w:pPr>
      <w:r>
        <w:rPr>
          <w:rFonts w:hint="eastAsia" w:ascii="Times New Roman" w:eastAsia="方正楷体_GBK"/>
          <w:color w:val="000000"/>
          <w:spacing w:val="-2"/>
          <w:sz w:val="24"/>
        </w:rPr>
        <w:t>（三）有效抵御风险。</w:t>
      </w:r>
      <w:r>
        <w:rPr>
          <w:rFonts w:hint="eastAsia" w:eastAsia="方正仿宋_GBK"/>
          <w:color w:val="000000"/>
          <w:spacing w:val="-2"/>
          <w:sz w:val="24"/>
        </w:rPr>
        <w:t>针对环卫工作特点，建立环卫职工风险保障机制。各地要将环卫职工纳入政府体制内的社会救助体系。鼓励有条件的市、县（市、区）环卫行业工会成立困难环卫职工帮扶中心（站），设立困难环卫职工救助基金，并积极引导社会各界捐助。救助基金主要用于因工伤或患有重病住院治疗且家庭特别困难的环卫职工的补助。鼓励地方组织开展环卫职工医疗互助互济活动，帮助环卫职工缓解因病致贫、因病返贫的实际问题。</w:t>
      </w:r>
      <w:r>
        <w:rPr>
          <w:rFonts w:hint="eastAsia" w:eastAsia="方正仿宋_GBK"/>
          <w:color w:val="000000"/>
          <w:spacing w:val="-2"/>
          <w:kern w:val="0"/>
          <w:sz w:val="24"/>
        </w:rPr>
        <w:t>定期组织环卫职工健康体检，每两年不得少于一次，有条件的城市应当每年一次。关爱女性环卫职工中特殊困难群体，每年免费进行</w:t>
      </w:r>
      <w:r>
        <w:rPr>
          <w:rFonts w:eastAsia="方正仿宋_GBK"/>
          <w:color w:val="000000"/>
          <w:spacing w:val="-2"/>
          <w:kern w:val="0"/>
          <w:sz w:val="24"/>
        </w:rPr>
        <w:t>“</w:t>
      </w:r>
      <w:r>
        <w:rPr>
          <w:rFonts w:hint="eastAsia" w:eastAsia="方正仿宋_GBK"/>
          <w:color w:val="000000"/>
          <w:spacing w:val="-2"/>
          <w:kern w:val="0"/>
          <w:sz w:val="24"/>
        </w:rPr>
        <w:t>两癌普查</w:t>
      </w:r>
      <w:r>
        <w:rPr>
          <w:rFonts w:eastAsia="方正仿宋_GBK"/>
          <w:color w:val="000000"/>
          <w:spacing w:val="-2"/>
          <w:kern w:val="0"/>
          <w:sz w:val="24"/>
        </w:rPr>
        <w:t>”</w:t>
      </w:r>
      <w:r>
        <w:rPr>
          <w:rFonts w:hint="eastAsia" w:eastAsia="方正仿宋_GBK"/>
          <w:color w:val="000000"/>
          <w:spacing w:val="-2"/>
          <w:kern w:val="0"/>
          <w:sz w:val="24"/>
        </w:rPr>
        <w:t>。</w:t>
      </w:r>
      <w:r>
        <w:rPr>
          <w:rFonts w:hint="eastAsia" w:eastAsia="方正仿宋_GBK"/>
          <w:color w:val="000000"/>
          <w:spacing w:val="-2"/>
          <w:sz w:val="24"/>
        </w:rPr>
        <w:t>整合社会资源，不断提升法律援助的层次和水平，为合法权益受到侵害的环卫职工提供及时有效的法律服务。</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三、切实提高职工薪资福利待遇</w:t>
      </w:r>
    </w:p>
    <w:p>
      <w:pPr>
        <w:spacing w:line="460" w:lineRule="exact"/>
        <w:ind w:firstLine="472" w:firstLineChars="200"/>
        <w:rPr>
          <w:rFonts w:hint="eastAsia" w:eastAsia="方正仿宋_GBK"/>
          <w:color w:val="000000"/>
          <w:spacing w:val="4"/>
          <w:sz w:val="24"/>
        </w:rPr>
      </w:pPr>
      <w:r>
        <w:rPr>
          <w:rFonts w:hint="eastAsia" w:ascii="Times New Roman" w:eastAsia="方正楷体_GBK"/>
          <w:color w:val="000000"/>
          <w:spacing w:val="-2"/>
          <w:sz w:val="24"/>
        </w:rPr>
        <w:t>（一）明确工资待遇</w:t>
      </w:r>
      <w:r>
        <w:rPr>
          <w:rFonts w:hint="eastAsia" w:eastAsia="方正仿宋_GBK"/>
          <w:color w:val="000000"/>
          <w:spacing w:val="4"/>
          <w:sz w:val="24"/>
        </w:rPr>
        <w:t>。各地要切实落实国家有关工资倾斜政策，保障环卫事业单位职工的工资待遇。环卫企业要完善内部工资分配制度，建立健全职工工资决定机制、正常增长机制和支付保障机制，着力提高一线环卫职工工资收入水平，一线环卫职工月工资收入不得低于当地最低工资标准的</w:t>
      </w:r>
      <w:r>
        <w:rPr>
          <w:rFonts w:eastAsia="方正仿宋_GBK"/>
          <w:color w:val="000000"/>
          <w:spacing w:val="4"/>
          <w:sz w:val="24"/>
        </w:rPr>
        <w:t>110%</w:t>
      </w:r>
      <w:r>
        <w:rPr>
          <w:rFonts w:hint="eastAsia" w:eastAsia="方正仿宋_GBK"/>
          <w:color w:val="000000"/>
          <w:spacing w:val="4"/>
          <w:sz w:val="24"/>
        </w:rPr>
        <w:t>。探索建立环卫行业有毒有害岗位津贴制度，鼓励环卫企业建立环卫一线职工工龄工资制度，稳定一线环卫职工队伍。</w:t>
      </w:r>
    </w:p>
    <w:p>
      <w:pPr>
        <w:spacing w:line="460" w:lineRule="exact"/>
        <w:ind w:firstLine="472" w:firstLineChars="200"/>
        <w:rPr>
          <w:rFonts w:eastAsia="方正仿宋_GBK"/>
          <w:color w:val="000000"/>
          <w:spacing w:val="-2"/>
          <w:sz w:val="24"/>
        </w:rPr>
      </w:pPr>
      <w:r>
        <w:rPr>
          <w:rFonts w:hint="eastAsia" w:ascii="Times New Roman" w:eastAsia="方正楷体_GBK"/>
          <w:color w:val="000000"/>
          <w:spacing w:val="-2"/>
          <w:sz w:val="24"/>
        </w:rPr>
        <w:t>（二）解决生活困难。</w:t>
      </w:r>
      <w:r>
        <w:rPr>
          <w:rFonts w:hint="eastAsia" w:eastAsia="方正仿宋_GBK"/>
          <w:color w:val="000000"/>
          <w:spacing w:val="-2"/>
          <w:sz w:val="24"/>
        </w:rPr>
        <w:t>对环卫职工住房方面给予政策倾斜，对符合当地保障性住房申请条件的环卫职工，在同等条件下可优先配租配售。根据各地实际，解决好环卫职工子女医疗和入学问题。</w:t>
      </w:r>
    </w:p>
    <w:p>
      <w:pPr>
        <w:spacing w:line="460" w:lineRule="exact"/>
        <w:ind w:firstLine="472" w:firstLineChars="200"/>
        <w:rPr>
          <w:rFonts w:eastAsia="方正仿宋_GBK"/>
          <w:color w:val="000000"/>
          <w:spacing w:val="-2"/>
          <w:sz w:val="24"/>
        </w:rPr>
      </w:pPr>
      <w:r>
        <w:rPr>
          <w:rFonts w:hint="eastAsia" w:ascii="Times New Roman" w:eastAsia="方正楷体_GBK"/>
          <w:color w:val="000000"/>
          <w:spacing w:val="-2"/>
          <w:sz w:val="24"/>
        </w:rPr>
        <w:t>（三）落实防暑降温措施</w:t>
      </w:r>
      <w:r>
        <w:rPr>
          <w:rFonts w:hint="eastAsia" w:eastAsia="方正仿宋_GBK"/>
          <w:color w:val="000000"/>
          <w:spacing w:val="-2"/>
          <w:sz w:val="24"/>
        </w:rPr>
        <w:t>。按照国家安全生产监督管理总局等部门《防暑降温措施管理办法》的要求，各地环卫企业（单位）应当为在高温天气作业的环卫职工供给足够的、符合食品安全标准的防暑降温饮料及必需的药品，并按规定发放高温津贴，防暑降温饮料和药品不能充抵高温津贴。</w:t>
      </w:r>
    </w:p>
    <w:p>
      <w:pPr>
        <w:spacing w:line="460" w:lineRule="exact"/>
        <w:ind w:firstLine="472" w:firstLineChars="200"/>
        <w:rPr>
          <w:rFonts w:eastAsia="方正仿宋_GBK"/>
          <w:color w:val="000000"/>
          <w:spacing w:val="-2"/>
          <w:sz w:val="24"/>
        </w:rPr>
      </w:pPr>
      <w:r>
        <w:rPr>
          <w:rFonts w:hint="eastAsia" w:ascii="Times New Roman" w:eastAsia="方正楷体_GBK"/>
          <w:color w:val="000000"/>
          <w:spacing w:val="-2"/>
          <w:sz w:val="24"/>
        </w:rPr>
        <w:t>（四）建立健全关爱制度。</w:t>
      </w:r>
      <w:r>
        <w:rPr>
          <w:rFonts w:hint="eastAsia" w:eastAsia="方正仿宋_GBK"/>
          <w:color w:val="000000"/>
          <w:spacing w:val="4"/>
          <w:kern w:val="0"/>
          <w:sz w:val="24"/>
        </w:rPr>
        <w:t>每逢重大节日，及时做好节日慰问工作。</w:t>
      </w:r>
      <w:r>
        <w:rPr>
          <w:rFonts w:hint="eastAsia" w:eastAsia="方正仿宋_GBK"/>
          <w:color w:val="000000"/>
          <w:spacing w:val="4"/>
          <w:sz w:val="24"/>
        </w:rPr>
        <w:t>加强对环卫职工的人文关怀，开展心理疏导，加大对环卫职工先进事迹的宣传，各项表彰和荣誉向一线环卫职工倾斜，加大环卫职工关爱力度，努力营造社会各界尊重关爱环卫职工的良好氛围。制定相关优惠政策，对连续工作满</w:t>
      </w:r>
      <w:r>
        <w:rPr>
          <w:rFonts w:eastAsia="方正仿宋_GBK"/>
          <w:color w:val="000000"/>
          <w:spacing w:val="4"/>
          <w:sz w:val="24"/>
        </w:rPr>
        <w:t>15</w:t>
      </w:r>
      <w:r>
        <w:rPr>
          <w:rFonts w:hint="eastAsia" w:eastAsia="方正仿宋_GBK"/>
          <w:color w:val="000000"/>
          <w:spacing w:val="4"/>
          <w:sz w:val="24"/>
        </w:rPr>
        <w:t>年且获得市（厅）级以上表彰或被评为市级以上劳动模范的优秀环卫工人，可享受本地居民基本福利政策待遇。</w:t>
      </w:r>
    </w:p>
    <w:p>
      <w:pPr>
        <w:spacing w:line="460" w:lineRule="exact"/>
        <w:ind w:firstLine="472" w:firstLineChars="200"/>
        <w:rPr>
          <w:rFonts w:eastAsia="方正仿宋_GBK"/>
          <w:color w:val="000000"/>
          <w:spacing w:val="-2"/>
          <w:sz w:val="24"/>
        </w:rPr>
      </w:pPr>
      <w:r>
        <w:rPr>
          <w:rFonts w:hint="eastAsia" w:ascii="Times New Roman" w:eastAsia="方正楷体_GBK"/>
          <w:color w:val="000000"/>
          <w:spacing w:val="-2"/>
          <w:sz w:val="24"/>
        </w:rPr>
        <w:t>（五）加强环卫职工教育培训</w:t>
      </w:r>
      <w:r>
        <w:rPr>
          <w:rFonts w:hint="eastAsia" w:eastAsia="方正仿宋_GBK"/>
          <w:color w:val="000000"/>
          <w:spacing w:val="-2"/>
          <w:sz w:val="24"/>
        </w:rPr>
        <w:t>。进一步建立健全职工教育培训制度，积极发挥环卫企事业单位在职业培训中的主体作用，足额提取职工教育经费，广泛开展多种形式技能培训，强化实际操作技能训练和职业素质培养。</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四、改善环卫作业条件</w:t>
      </w:r>
    </w:p>
    <w:p>
      <w:pPr>
        <w:spacing w:line="460" w:lineRule="exact"/>
        <w:ind w:firstLine="472" w:firstLineChars="200"/>
        <w:rPr>
          <w:rFonts w:hint="eastAsia" w:eastAsia="方正仿宋_GBK"/>
          <w:color w:val="000000"/>
          <w:spacing w:val="-2"/>
          <w:sz w:val="24"/>
        </w:rPr>
      </w:pPr>
      <w:r>
        <w:rPr>
          <w:rFonts w:hint="eastAsia" w:ascii="Times New Roman" w:eastAsia="方正楷体_GBK"/>
          <w:color w:val="000000"/>
          <w:spacing w:val="-2"/>
          <w:sz w:val="24"/>
        </w:rPr>
        <w:t>（一）保障休息时间。</w:t>
      </w:r>
      <w:r>
        <w:rPr>
          <w:rFonts w:hint="eastAsia" w:eastAsia="方正仿宋_GBK"/>
          <w:color w:val="000000"/>
          <w:spacing w:val="-2"/>
          <w:sz w:val="24"/>
        </w:rPr>
        <w:t>严格执行《职工带薪年休假条例》和相关休假规定，合理安排环卫职工工作量和休息时间，超过法定工作时间的，要按照国家有关规定安排补休或支付加班工资。各地要根据《城镇环境卫生设施设置标准》要求，做好规划布局和控制，合理设置环卫职工休息场所，提供适当的装备和器材，为环卫职工工间休息和车辆停放提供良好的条件。鼓励各地充分挖掘政府机关、企事业单位、居民小区等社会资源，建设环卫职工工间休息场所。</w:t>
      </w:r>
    </w:p>
    <w:p>
      <w:pPr>
        <w:spacing w:line="460" w:lineRule="exact"/>
        <w:ind w:firstLine="472" w:firstLineChars="200"/>
        <w:rPr>
          <w:rFonts w:eastAsia="方正仿宋_GBK"/>
          <w:color w:val="000000"/>
          <w:spacing w:val="-2"/>
          <w:sz w:val="24"/>
        </w:rPr>
      </w:pPr>
      <w:r>
        <w:rPr>
          <w:rFonts w:hint="eastAsia" w:ascii="Times New Roman" w:eastAsia="方正楷体_GBK"/>
          <w:color w:val="000000"/>
          <w:spacing w:val="-2"/>
          <w:sz w:val="24"/>
        </w:rPr>
        <w:t>（二）强化作业安全。</w:t>
      </w:r>
      <w:r>
        <w:rPr>
          <w:rFonts w:hint="eastAsia" w:eastAsia="方正仿宋_GBK"/>
          <w:color w:val="000000"/>
          <w:spacing w:val="-2"/>
          <w:sz w:val="24"/>
        </w:rPr>
        <w:t>推进工会与环卫企业（单位）签订劳动保护专项集体合同，从源头落实环卫职工的劳动保护和安全生产工作。严格执行安全生产责任制和环卫安全作业规范，重点做好道路清扫保洁、粪便清运处理、垃圾处理等一线作业人员的安全保障工作，完善应对极端天气工作预案，落实人身安全防护措施，有效防范各类安全事故。要采取切实措施，加强环卫作业道路安全管理，严格执行国家和地方环卫清扫车辆有关安全作业标准，严禁清扫作业车辆在道路上逆向行驶或者随意变更车道。要完善和落实道路清扫作业人员安全防护措施，按照规范设置安全标志和设施，环卫职工进行人工道路清扫作业时应配备使用具有警示和反光性能的安全服和安全帽，有条件的，要划出临时清扫作业区并设置交通围挡。加强环卫职工安全生产知识的培训教育，强化环卫职工安全防范意识，提高环卫职工安全生产素质，增强环卫职工的安全操作技能和自我保护能力，环卫企业（单位）要免费为环卫工人提供安全防护用品。要依法妥善处理环卫作业中发生的交通事故，造成环卫职工伤亡的，积极做好损害赔偿纠纷调解工作，切实维护环卫职工的合法权益。</w:t>
      </w:r>
    </w:p>
    <w:p>
      <w:pPr>
        <w:spacing w:line="480" w:lineRule="exact"/>
        <w:ind w:firstLine="472" w:firstLineChars="200"/>
        <w:rPr>
          <w:rFonts w:eastAsia="方正仿宋_GBK"/>
          <w:color w:val="000000"/>
          <w:spacing w:val="-2"/>
          <w:sz w:val="24"/>
        </w:rPr>
      </w:pPr>
      <w:r>
        <w:rPr>
          <w:rFonts w:hint="eastAsia" w:ascii="Times New Roman" w:eastAsia="方正楷体_GBK"/>
          <w:color w:val="000000"/>
          <w:spacing w:val="-2"/>
          <w:sz w:val="24"/>
        </w:rPr>
        <w:t>（三）加强职业病防治。</w:t>
      </w:r>
      <w:r>
        <w:rPr>
          <w:rFonts w:hint="eastAsia" w:eastAsia="方正仿宋_GBK"/>
          <w:color w:val="000000"/>
          <w:spacing w:val="-2"/>
          <w:sz w:val="24"/>
        </w:rPr>
        <w:t>环卫企业（单位）的主要负责人和职业卫生管理人员应当遵守职业病防治法律、法规，接受职业卫生培训，依法组织本单位的职业病防治工作，落实各项职业病防治措施。环卫企业（单位）要建立健全环卫职工职业卫生管理制度、职业卫生档案和劳动者健康监护档案，对环卫职工要进行上岗前和在岗期间的职业卫生培训。加强密闭空间作业的环卫职工的个体防护，加强尘毒、高温及生物等职业病危害因素的防控工作。开展环卫职业卫生的研究和专用劳动保护用品的研发。对从事接触职业病危害因素作业的环卫职工依法组织开展职业健康检查，配备必要的劳动防护用品。推广建立一线职工健康疗养制度。</w:t>
      </w:r>
    </w:p>
    <w:p>
      <w:pPr>
        <w:spacing w:line="480" w:lineRule="exact"/>
        <w:ind w:firstLine="472" w:firstLineChars="200"/>
        <w:rPr>
          <w:rFonts w:eastAsia="方正仿宋_GBK"/>
          <w:color w:val="000000"/>
          <w:spacing w:val="-2"/>
          <w:sz w:val="24"/>
        </w:rPr>
      </w:pPr>
      <w:r>
        <w:rPr>
          <w:rFonts w:hint="eastAsia" w:eastAsia="方正仿宋_GBK"/>
          <w:color w:val="000000"/>
          <w:spacing w:val="-2"/>
          <w:sz w:val="24"/>
        </w:rPr>
        <w:t>（四）逐步提高环卫机械化作业比例。要积极采用先进适用的机械化清扫方式，增加机扫、洒水等作业车辆，不断扩大机械化作业范围和区域，到</w:t>
      </w:r>
      <w:r>
        <w:rPr>
          <w:rFonts w:eastAsia="方正仿宋_GBK"/>
          <w:color w:val="000000"/>
          <w:spacing w:val="-2"/>
          <w:sz w:val="24"/>
        </w:rPr>
        <w:t>2015</w:t>
      </w:r>
      <w:r>
        <w:rPr>
          <w:rFonts w:hint="eastAsia" w:eastAsia="方正仿宋_GBK"/>
          <w:color w:val="000000"/>
          <w:spacing w:val="-2"/>
          <w:sz w:val="24"/>
        </w:rPr>
        <w:t>年底基本实现全省城市主次干道机械化清扫。同时，认真核定工作定额，逐步减轻一线环卫职工劳动强度，提高作业安全系数。</w:t>
      </w:r>
    </w:p>
    <w:p>
      <w:pPr>
        <w:spacing w:line="48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五、努力为保障环卫行业职工合法权益创造良好氛围</w:t>
      </w:r>
    </w:p>
    <w:p>
      <w:pPr>
        <w:spacing w:line="480" w:lineRule="exact"/>
        <w:ind w:firstLine="472" w:firstLineChars="200"/>
        <w:rPr>
          <w:rFonts w:hint="eastAsia" w:eastAsia="方正仿宋_GBK"/>
          <w:color w:val="000000"/>
          <w:spacing w:val="-2"/>
          <w:sz w:val="24"/>
        </w:rPr>
      </w:pPr>
      <w:r>
        <w:rPr>
          <w:rFonts w:hint="eastAsia" w:ascii="Times New Roman" w:eastAsia="方正楷体_GBK"/>
          <w:color w:val="000000"/>
          <w:spacing w:val="-2"/>
          <w:sz w:val="24"/>
        </w:rPr>
        <w:t>（一）加大资金投入。</w:t>
      </w:r>
      <w:r>
        <w:rPr>
          <w:rFonts w:hint="eastAsia" w:eastAsia="方正仿宋_GBK"/>
          <w:color w:val="000000"/>
          <w:spacing w:val="-2"/>
          <w:sz w:val="24"/>
        </w:rPr>
        <w:t>省级城镇基础设施建设引导资金加大对各地垃圾处理设施建设、机械化清扫车辆设备等支持力度。各地要加大对环卫职工权益保障工作的投入，重点保障环卫职工工资福利和休息场所建设，按照国家、省及各地环境卫生劳动定额向作业单位核拨经费。</w:t>
      </w:r>
    </w:p>
    <w:p>
      <w:pPr>
        <w:spacing w:line="480" w:lineRule="exact"/>
        <w:ind w:firstLine="472" w:firstLineChars="200"/>
        <w:rPr>
          <w:rFonts w:eastAsia="方正仿宋_GBK"/>
          <w:color w:val="000000"/>
          <w:spacing w:val="-2"/>
          <w:sz w:val="24"/>
        </w:rPr>
      </w:pPr>
      <w:r>
        <w:rPr>
          <w:rFonts w:hint="eastAsia" w:ascii="Times New Roman" w:eastAsia="方正楷体_GBK"/>
          <w:color w:val="000000"/>
          <w:spacing w:val="-2"/>
          <w:sz w:val="24"/>
        </w:rPr>
        <w:t>（二）落实各级责任。</w:t>
      </w:r>
      <w:r>
        <w:rPr>
          <w:rFonts w:hint="eastAsia" w:eastAsia="方正仿宋_GBK"/>
          <w:color w:val="000000"/>
          <w:spacing w:val="-2"/>
          <w:sz w:val="24"/>
        </w:rPr>
        <w:t>环卫职工权益保障工作的主要责任在地方政府有关部门，省各有关部门做好指导工作。省住房城乡建设厅牵头会同有关部门建立部门协调机制，协调解决有关问题。</w:t>
      </w:r>
    </w:p>
    <w:p>
      <w:pPr>
        <w:spacing w:line="480" w:lineRule="exact"/>
        <w:ind w:firstLine="472" w:firstLineChars="200"/>
        <w:rPr>
          <w:rFonts w:eastAsia="方正仿宋_GBK"/>
          <w:color w:val="000000"/>
          <w:spacing w:val="-2"/>
          <w:sz w:val="24"/>
        </w:rPr>
      </w:pPr>
      <w:r>
        <w:rPr>
          <w:rFonts w:hint="eastAsia" w:ascii="Times New Roman" w:eastAsia="方正楷体_GBK"/>
          <w:color w:val="000000"/>
          <w:spacing w:val="-2"/>
          <w:sz w:val="24"/>
        </w:rPr>
        <w:t>（三）加强监督管理。</w:t>
      </w:r>
      <w:r>
        <w:rPr>
          <w:rFonts w:hint="eastAsia" w:eastAsia="方正仿宋_GBK"/>
          <w:color w:val="000000"/>
          <w:spacing w:val="-2"/>
          <w:sz w:val="24"/>
        </w:rPr>
        <w:t>加大对环卫行业用工和工资福利政策执行情况的监督检查力度，限期整改出现的问题。省住房城乡建设厅牵头建立环卫行业职工合法权益保障工作落实情况的考核制度，并定期开展检查通报。加大工会劳动法律监督力度，对环卫企业（单位）遵守劳动法律、保障环卫职工合法权益情况进行监督，维护环卫职工的合法权益。各地要将环卫职工权益保障工作情况纳入环卫企业市场准入和评价条件，完善行业进入及退出机制，规范环卫企业用工行为，对拒不落实国家、省和地方有关保障环卫职工权益要求的企业，要坚决予以清退。要严肃查处殴打侮辱环卫职工事件。</w:t>
      </w:r>
    </w:p>
    <w:p>
      <w:pPr>
        <w:spacing w:line="480" w:lineRule="exact"/>
        <w:ind w:firstLine="472" w:firstLineChars="200"/>
        <w:rPr>
          <w:rFonts w:eastAsia="方正仿宋_GBK"/>
          <w:color w:val="000000"/>
          <w:spacing w:val="-2"/>
          <w:sz w:val="24"/>
        </w:rPr>
      </w:pPr>
      <w:r>
        <w:rPr>
          <w:rFonts w:hint="eastAsia" w:ascii="Times New Roman" w:eastAsia="方正楷体_GBK"/>
          <w:color w:val="000000"/>
          <w:spacing w:val="-2"/>
          <w:sz w:val="24"/>
        </w:rPr>
        <w:t>（四）做好宣传教育。</w:t>
      </w:r>
      <w:r>
        <w:rPr>
          <w:rFonts w:hint="eastAsia" w:eastAsia="方正仿宋_GBK"/>
          <w:color w:val="000000"/>
          <w:spacing w:val="-2"/>
          <w:sz w:val="24"/>
        </w:rPr>
        <w:t>各地要结合</w:t>
      </w:r>
      <w:r>
        <w:rPr>
          <w:rFonts w:eastAsia="方正仿宋_GBK"/>
          <w:color w:val="000000"/>
          <w:spacing w:val="-2"/>
          <w:sz w:val="24"/>
        </w:rPr>
        <w:t>“</w:t>
      </w:r>
      <w:r>
        <w:rPr>
          <w:rFonts w:hint="eastAsia" w:eastAsia="方正仿宋_GBK"/>
          <w:color w:val="000000"/>
          <w:spacing w:val="-2"/>
          <w:sz w:val="24"/>
        </w:rPr>
        <w:t>五一劳动节</w:t>
      </w:r>
      <w:r>
        <w:rPr>
          <w:rFonts w:eastAsia="方正仿宋_GBK"/>
          <w:color w:val="000000"/>
          <w:spacing w:val="-2"/>
          <w:sz w:val="24"/>
        </w:rPr>
        <w:t>”</w:t>
      </w:r>
      <w:r>
        <w:rPr>
          <w:rFonts w:hint="eastAsia" w:eastAsia="方正仿宋_GBK"/>
          <w:color w:val="000000"/>
          <w:spacing w:val="-2"/>
          <w:sz w:val="24"/>
        </w:rPr>
        <w:t>等节日和活动，丰富环卫职工业余生活。借助各类媒体大力宣传环卫工作的重要意义和作用，弘扬环卫职工的奉献精神。教育群众尊重环卫职工的劳动成果，引导鼓励社会各界开展向环卫职工献爱心活动，树立尊重环卫职工的良好社会风气。</w:t>
      </w:r>
    </w:p>
    <w:p>
      <w:pPr>
        <w:spacing w:line="460" w:lineRule="exact"/>
        <w:ind w:firstLine="432"/>
        <w:rPr>
          <w:rFonts w:eastAsia="方正仿宋_GBK"/>
          <w:color w:val="000000"/>
          <w:spacing w:val="-2"/>
          <w:sz w:val="24"/>
        </w:rPr>
      </w:pPr>
    </w:p>
    <w:p>
      <w:pPr>
        <w:wordWrap w:val="0"/>
        <w:spacing w:line="460" w:lineRule="exact"/>
        <w:ind w:firstLine="720" w:firstLineChars="250"/>
        <w:jc w:val="right"/>
        <w:rPr>
          <w:rFonts w:eastAsia="方正仿宋_GBK"/>
          <w:color w:val="000000"/>
          <w:spacing w:val="54"/>
          <w:kern w:val="0"/>
          <w:sz w:val="24"/>
        </w:rPr>
      </w:pPr>
      <w:r>
        <w:rPr>
          <w:rFonts w:hint="eastAsia" w:eastAsia="方正仿宋_GBK"/>
          <w:color w:val="000000"/>
          <w:spacing w:val="24"/>
          <w:kern w:val="0"/>
          <w:sz w:val="24"/>
        </w:rPr>
        <w:t>江苏省住房和城乡建设</w:t>
      </w:r>
      <w:r>
        <w:rPr>
          <w:rFonts w:hint="eastAsia" w:eastAsia="方正仿宋_GBK"/>
          <w:color w:val="000000"/>
          <w:kern w:val="0"/>
          <w:sz w:val="24"/>
        </w:rPr>
        <w:t>厅</w:t>
      </w:r>
      <w:r>
        <w:rPr>
          <w:rFonts w:eastAsia="方正仿宋_GBK"/>
          <w:color w:val="000000"/>
          <w:kern w:val="0"/>
          <w:sz w:val="24"/>
        </w:rPr>
        <w:t xml:space="preserve">    </w:t>
      </w:r>
    </w:p>
    <w:p>
      <w:pPr>
        <w:wordWrap w:val="0"/>
        <w:spacing w:line="460" w:lineRule="exact"/>
        <w:ind w:firstLine="600" w:firstLineChars="250"/>
        <w:jc w:val="right"/>
        <w:rPr>
          <w:rFonts w:eastAsia="方正仿宋_GBK"/>
          <w:color w:val="000000"/>
          <w:spacing w:val="54"/>
          <w:kern w:val="0"/>
          <w:sz w:val="24"/>
        </w:rPr>
      </w:pPr>
      <w:r>
        <w:rPr>
          <w:rFonts w:hint="eastAsia" w:eastAsia="方正仿宋_GBK"/>
          <w:color w:val="000000"/>
          <w:kern w:val="0"/>
          <w:sz w:val="24"/>
        </w:rPr>
        <w:t>江苏省人力资源和社会保障厅</w:t>
      </w:r>
      <w:r>
        <w:rPr>
          <w:rFonts w:eastAsia="方正仿宋_GBK"/>
          <w:color w:val="000000"/>
          <w:kern w:val="0"/>
          <w:sz w:val="24"/>
        </w:rPr>
        <w:t xml:space="preserve">    </w:t>
      </w:r>
    </w:p>
    <w:p>
      <w:pPr>
        <w:wordWrap w:val="0"/>
        <w:spacing w:line="460" w:lineRule="exact"/>
        <w:ind w:firstLine="870" w:firstLineChars="250"/>
        <w:jc w:val="right"/>
        <w:rPr>
          <w:rFonts w:eastAsia="方正仿宋_GBK"/>
          <w:color w:val="000000"/>
          <w:spacing w:val="24"/>
          <w:kern w:val="0"/>
          <w:sz w:val="24"/>
        </w:rPr>
      </w:pPr>
      <w:r>
        <w:rPr>
          <w:rFonts w:hint="eastAsia" w:eastAsia="方正仿宋_GBK"/>
          <w:color w:val="000000"/>
          <w:spacing w:val="54"/>
          <w:kern w:val="0"/>
          <w:sz w:val="24"/>
        </w:rPr>
        <w:t>江</w:t>
      </w:r>
      <w:r>
        <w:rPr>
          <w:rFonts w:eastAsia="方正仿宋_GBK"/>
          <w:color w:val="000000"/>
          <w:spacing w:val="54"/>
          <w:kern w:val="0"/>
          <w:sz w:val="24"/>
        </w:rPr>
        <w:t xml:space="preserve"> </w:t>
      </w:r>
      <w:r>
        <w:rPr>
          <w:rFonts w:hint="eastAsia" w:eastAsia="方正仿宋_GBK"/>
          <w:color w:val="000000"/>
          <w:spacing w:val="54"/>
          <w:kern w:val="0"/>
          <w:sz w:val="24"/>
        </w:rPr>
        <w:t>苏</w:t>
      </w:r>
      <w:r>
        <w:rPr>
          <w:rFonts w:eastAsia="方正仿宋_GBK"/>
          <w:color w:val="000000"/>
          <w:spacing w:val="54"/>
          <w:kern w:val="0"/>
          <w:sz w:val="24"/>
        </w:rPr>
        <w:t xml:space="preserve"> </w:t>
      </w:r>
      <w:r>
        <w:rPr>
          <w:rFonts w:hint="eastAsia" w:eastAsia="方正仿宋_GBK"/>
          <w:color w:val="000000"/>
          <w:spacing w:val="54"/>
          <w:kern w:val="0"/>
          <w:sz w:val="24"/>
        </w:rPr>
        <w:t>省</w:t>
      </w:r>
      <w:r>
        <w:rPr>
          <w:rFonts w:eastAsia="方正仿宋_GBK"/>
          <w:color w:val="000000"/>
          <w:spacing w:val="54"/>
          <w:kern w:val="0"/>
          <w:sz w:val="24"/>
        </w:rPr>
        <w:t xml:space="preserve"> </w:t>
      </w:r>
      <w:r>
        <w:rPr>
          <w:rFonts w:hint="eastAsia" w:eastAsia="方正仿宋_GBK"/>
          <w:color w:val="000000"/>
          <w:spacing w:val="54"/>
          <w:kern w:val="0"/>
          <w:sz w:val="24"/>
        </w:rPr>
        <w:t>公</w:t>
      </w:r>
      <w:r>
        <w:rPr>
          <w:rFonts w:eastAsia="方正仿宋_GBK"/>
          <w:color w:val="000000"/>
          <w:spacing w:val="54"/>
          <w:kern w:val="0"/>
          <w:sz w:val="24"/>
        </w:rPr>
        <w:t xml:space="preserve"> </w:t>
      </w:r>
      <w:r>
        <w:rPr>
          <w:rFonts w:hint="eastAsia" w:eastAsia="方正仿宋_GBK"/>
          <w:color w:val="000000"/>
          <w:spacing w:val="54"/>
          <w:kern w:val="0"/>
          <w:sz w:val="24"/>
        </w:rPr>
        <w:t>安</w:t>
      </w:r>
      <w:r>
        <w:rPr>
          <w:rFonts w:eastAsia="方正仿宋_GBK"/>
          <w:color w:val="000000"/>
          <w:spacing w:val="54"/>
          <w:kern w:val="0"/>
          <w:sz w:val="24"/>
        </w:rPr>
        <w:t xml:space="preserve"> </w:t>
      </w:r>
      <w:r>
        <w:rPr>
          <w:rFonts w:hint="eastAsia" w:eastAsia="方正仿宋_GBK"/>
          <w:color w:val="000000"/>
          <w:kern w:val="0"/>
          <w:sz w:val="24"/>
        </w:rPr>
        <w:t>厅</w:t>
      </w:r>
      <w:r>
        <w:rPr>
          <w:rFonts w:eastAsia="方正仿宋_GBK"/>
          <w:color w:val="000000"/>
          <w:kern w:val="0"/>
          <w:sz w:val="24"/>
        </w:rPr>
        <w:t xml:space="preserve">    </w:t>
      </w:r>
    </w:p>
    <w:p>
      <w:pPr>
        <w:wordWrap w:val="0"/>
        <w:spacing w:line="460" w:lineRule="exact"/>
        <w:ind w:firstLine="870" w:firstLineChars="250"/>
        <w:jc w:val="right"/>
        <w:rPr>
          <w:rFonts w:eastAsia="方正仿宋_GBK"/>
          <w:color w:val="000000"/>
          <w:spacing w:val="24"/>
          <w:kern w:val="0"/>
          <w:sz w:val="24"/>
        </w:rPr>
      </w:pPr>
      <w:r>
        <w:rPr>
          <w:rFonts w:hint="eastAsia" w:eastAsia="方正仿宋_GBK"/>
          <w:color w:val="000000"/>
          <w:spacing w:val="54"/>
          <w:kern w:val="0"/>
          <w:sz w:val="24"/>
        </w:rPr>
        <w:t>江</w:t>
      </w:r>
      <w:r>
        <w:rPr>
          <w:rFonts w:eastAsia="方正仿宋_GBK"/>
          <w:color w:val="000000"/>
          <w:spacing w:val="54"/>
          <w:kern w:val="0"/>
          <w:sz w:val="24"/>
        </w:rPr>
        <w:t xml:space="preserve"> </w:t>
      </w:r>
      <w:r>
        <w:rPr>
          <w:rFonts w:hint="eastAsia" w:eastAsia="方正仿宋_GBK"/>
          <w:color w:val="000000"/>
          <w:spacing w:val="54"/>
          <w:kern w:val="0"/>
          <w:sz w:val="24"/>
        </w:rPr>
        <w:t>苏</w:t>
      </w:r>
      <w:r>
        <w:rPr>
          <w:rFonts w:eastAsia="方正仿宋_GBK"/>
          <w:color w:val="000000"/>
          <w:spacing w:val="54"/>
          <w:kern w:val="0"/>
          <w:sz w:val="24"/>
        </w:rPr>
        <w:t xml:space="preserve"> </w:t>
      </w:r>
      <w:r>
        <w:rPr>
          <w:rFonts w:hint="eastAsia" w:eastAsia="方正仿宋_GBK"/>
          <w:color w:val="000000"/>
          <w:spacing w:val="54"/>
          <w:kern w:val="0"/>
          <w:sz w:val="24"/>
        </w:rPr>
        <w:t>省</w:t>
      </w:r>
      <w:r>
        <w:rPr>
          <w:rFonts w:eastAsia="方正仿宋_GBK"/>
          <w:color w:val="000000"/>
          <w:spacing w:val="54"/>
          <w:kern w:val="0"/>
          <w:sz w:val="24"/>
        </w:rPr>
        <w:t xml:space="preserve"> </w:t>
      </w:r>
      <w:r>
        <w:rPr>
          <w:rFonts w:hint="eastAsia" w:eastAsia="方正仿宋_GBK"/>
          <w:color w:val="000000"/>
          <w:spacing w:val="54"/>
          <w:kern w:val="0"/>
          <w:sz w:val="24"/>
        </w:rPr>
        <w:t>财</w:t>
      </w:r>
      <w:r>
        <w:rPr>
          <w:rFonts w:eastAsia="方正仿宋_GBK"/>
          <w:color w:val="000000"/>
          <w:spacing w:val="54"/>
          <w:kern w:val="0"/>
          <w:sz w:val="24"/>
        </w:rPr>
        <w:t xml:space="preserve"> </w:t>
      </w:r>
      <w:r>
        <w:rPr>
          <w:rFonts w:hint="eastAsia" w:eastAsia="方正仿宋_GBK"/>
          <w:color w:val="000000"/>
          <w:spacing w:val="54"/>
          <w:kern w:val="0"/>
          <w:sz w:val="24"/>
        </w:rPr>
        <w:t>政</w:t>
      </w:r>
      <w:r>
        <w:rPr>
          <w:rFonts w:eastAsia="方正仿宋_GBK"/>
          <w:color w:val="000000"/>
          <w:spacing w:val="54"/>
          <w:kern w:val="0"/>
          <w:sz w:val="24"/>
        </w:rPr>
        <w:t xml:space="preserve"> </w:t>
      </w:r>
      <w:r>
        <w:rPr>
          <w:rFonts w:hint="eastAsia" w:eastAsia="方正仿宋_GBK"/>
          <w:color w:val="000000"/>
          <w:kern w:val="0"/>
          <w:sz w:val="24"/>
        </w:rPr>
        <w:t>厅</w:t>
      </w:r>
      <w:r>
        <w:rPr>
          <w:rFonts w:eastAsia="方正仿宋_GBK"/>
          <w:color w:val="000000"/>
          <w:kern w:val="0"/>
          <w:sz w:val="24"/>
        </w:rPr>
        <w:t xml:space="preserve">    </w:t>
      </w:r>
    </w:p>
    <w:p>
      <w:pPr>
        <w:wordWrap w:val="0"/>
        <w:spacing w:line="460" w:lineRule="exact"/>
        <w:ind w:firstLine="870" w:firstLineChars="250"/>
        <w:jc w:val="right"/>
        <w:rPr>
          <w:rFonts w:eastAsia="方正仿宋_GBK"/>
          <w:color w:val="000000"/>
          <w:spacing w:val="24"/>
          <w:kern w:val="0"/>
          <w:sz w:val="24"/>
        </w:rPr>
      </w:pPr>
      <w:r>
        <w:rPr>
          <w:rFonts w:hint="eastAsia" w:eastAsia="方正仿宋_GBK"/>
          <w:color w:val="000000"/>
          <w:spacing w:val="54"/>
          <w:kern w:val="0"/>
          <w:sz w:val="24"/>
        </w:rPr>
        <w:t>江</w:t>
      </w:r>
      <w:r>
        <w:rPr>
          <w:rFonts w:eastAsia="方正仿宋_GBK"/>
          <w:color w:val="000000"/>
          <w:spacing w:val="54"/>
          <w:kern w:val="0"/>
          <w:sz w:val="24"/>
        </w:rPr>
        <w:t xml:space="preserve"> </w:t>
      </w:r>
      <w:r>
        <w:rPr>
          <w:rFonts w:hint="eastAsia" w:eastAsia="方正仿宋_GBK"/>
          <w:color w:val="000000"/>
          <w:spacing w:val="54"/>
          <w:kern w:val="0"/>
          <w:sz w:val="24"/>
        </w:rPr>
        <w:t>苏</w:t>
      </w:r>
      <w:r>
        <w:rPr>
          <w:rFonts w:eastAsia="方正仿宋_GBK"/>
          <w:color w:val="000000"/>
          <w:spacing w:val="54"/>
          <w:kern w:val="0"/>
          <w:sz w:val="24"/>
        </w:rPr>
        <w:t xml:space="preserve"> </w:t>
      </w:r>
      <w:r>
        <w:rPr>
          <w:rFonts w:hint="eastAsia" w:eastAsia="方正仿宋_GBK"/>
          <w:color w:val="000000"/>
          <w:spacing w:val="54"/>
          <w:kern w:val="0"/>
          <w:sz w:val="24"/>
        </w:rPr>
        <w:t>省</w:t>
      </w:r>
      <w:r>
        <w:rPr>
          <w:rFonts w:eastAsia="方正仿宋_GBK"/>
          <w:color w:val="000000"/>
          <w:spacing w:val="54"/>
          <w:kern w:val="0"/>
          <w:sz w:val="24"/>
        </w:rPr>
        <w:t xml:space="preserve"> </w:t>
      </w:r>
      <w:r>
        <w:rPr>
          <w:rFonts w:hint="eastAsia" w:eastAsia="方正仿宋_GBK"/>
          <w:color w:val="000000"/>
          <w:spacing w:val="54"/>
          <w:kern w:val="0"/>
          <w:sz w:val="24"/>
        </w:rPr>
        <w:t>卫</w:t>
      </w:r>
      <w:r>
        <w:rPr>
          <w:rFonts w:eastAsia="方正仿宋_GBK"/>
          <w:color w:val="000000"/>
          <w:spacing w:val="54"/>
          <w:kern w:val="0"/>
          <w:sz w:val="24"/>
        </w:rPr>
        <w:t xml:space="preserve"> </w:t>
      </w:r>
      <w:r>
        <w:rPr>
          <w:rFonts w:hint="eastAsia" w:eastAsia="方正仿宋_GBK"/>
          <w:color w:val="000000"/>
          <w:spacing w:val="54"/>
          <w:kern w:val="0"/>
          <w:sz w:val="24"/>
        </w:rPr>
        <w:t>生</w:t>
      </w:r>
      <w:r>
        <w:rPr>
          <w:rFonts w:eastAsia="方正仿宋_GBK"/>
          <w:color w:val="000000"/>
          <w:spacing w:val="54"/>
          <w:kern w:val="0"/>
          <w:sz w:val="24"/>
        </w:rPr>
        <w:t xml:space="preserve"> </w:t>
      </w:r>
      <w:r>
        <w:rPr>
          <w:rFonts w:hint="eastAsia" w:eastAsia="方正仿宋_GBK"/>
          <w:color w:val="000000"/>
          <w:kern w:val="0"/>
          <w:sz w:val="24"/>
        </w:rPr>
        <w:t>厅</w:t>
      </w:r>
      <w:r>
        <w:rPr>
          <w:rFonts w:eastAsia="方正仿宋_GBK"/>
          <w:color w:val="000000"/>
          <w:kern w:val="0"/>
          <w:sz w:val="24"/>
        </w:rPr>
        <w:t xml:space="preserve">    </w:t>
      </w:r>
    </w:p>
    <w:p>
      <w:pPr>
        <w:wordWrap w:val="0"/>
        <w:spacing w:line="460" w:lineRule="exact"/>
        <w:ind w:firstLine="655" w:firstLineChars="250"/>
        <w:jc w:val="right"/>
        <w:rPr>
          <w:rFonts w:eastAsia="方正仿宋_GBK"/>
          <w:color w:val="000000"/>
          <w:spacing w:val="24"/>
          <w:kern w:val="0"/>
          <w:sz w:val="24"/>
        </w:rPr>
      </w:pPr>
      <w:r>
        <w:rPr>
          <w:rFonts w:hint="eastAsia" w:eastAsia="方正仿宋_GBK"/>
          <w:color w:val="000000"/>
          <w:spacing w:val="11"/>
          <w:kern w:val="0"/>
          <w:sz w:val="24"/>
        </w:rPr>
        <w:t>江苏省安全生产监督管理</w:t>
      </w:r>
      <w:r>
        <w:rPr>
          <w:rFonts w:hint="eastAsia" w:eastAsia="方正仿宋_GBK"/>
          <w:color w:val="000000"/>
          <w:spacing w:val="-1"/>
          <w:kern w:val="0"/>
          <w:sz w:val="24"/>
        </w:rPr>
        <w:t>局</w:t>
      </w:r>
      <w:r>
        <w:rPr>
          <w:rFonts w:eastAsia="方正仿宋_GBK"/>
          <w:color w:val="000000"/>
          <w:kern w:val="0"/>
          <w:sz w:val="24"/>
        </w:rPr>
        <w:t xml:space="preserve">    </w:t>
      </w:r>
    </w:p>
    <w:p>
      <w:pPr>
        <w:wordWrap w:val="0"/>
        <w:spacing w:line="460" w:lineRule="exact"/>
        <w:ind w:firstLine="870" w:firstLineChars="250"/>
        <w:jc w:val="right"/>
        <w:rPr>
          <w:rFonts w:eastAsia="方正仿宋_GBK"/>
          <w:color w:val="000000"/>
          <w:spacing w:val="54"/>
          <w:kern w:val="0"/>
          <w:sz w:val="24"/>
        </w:rPr>
      </w:pPr>
      <w:r>
        <w:rPr>
          <w:rFonts w:hint="eastAsia" w:eastAsia="方正仿宋_GBK"/>
          <w:color w:val="000000"/>
          <w:spacing w:val="54"/>
          <w:kern w:val="0"/>
          <w:sz w:val="24"/>
        </w:rPr>
        <w:t>江</w:t>
      </w:r>
      <w:r>
        <w:rPr>
          <w:rFonts w:eastAsia="方正仿宋_GBK"/>
          <w:color w:val="000000"/>
          <w:spacing w:val="54"/>
          <w:kern w:val="0"/>
          <w:sz w:val="24"/>
        </w:rPr>
        <w:t xml:space="preserve"> </w:t>
      </w:r>
      <w:r>
        <w:rPr>
          <w:rFonts w:hint="eastAsia" w:eastAsia="方正仿宋_GBK"/>
          <w:color w:val="000000"/>
          <w:spacing w:val="54"/>
          <w:kern w:val="0"/>
          <w:sz w:val="24"/>
        </w:rPr>
        <w:t>苏</w:t>
      </w:r>
      <w:r>
        <w:rPr>
          <w:rFonts w:eastAsia="方正仿宋_GBK"/>
          <w:color w:val="000000"/>
          <w:spacing w:val="54"/>
          <w:kern w:val="0"/>
          <w:sz w:val="24"/>
        </w:rPr>
        <w:t xml:space="preserve"> </w:t>
      </w:r>
      <w:r>
        <w:rPr>
          <w:rFonts w:hint="eastAsia" w:eastAsia="方正仿宋_GBK"/>
          <w:color w:val="000000"/>
          <w:spacing w:val="54"/>
          <w:kern w:val="0"/>
          <w:sz w:val="24"/>
        </w:rPr>
        <w:t>省</w:t>
      </w:r>
      <w:r>
        <w:rPr>
          <w:rFonts w:eastAsia="方正仿宋_GBK"/>
          <w:color w:val="000000"/>
          <w:spacing w:val="54"/>
          <w:kern w:val="0"/>
          <w:sz w:val="24"/>
        </w:rPr>
        <w:t xml:space="preserve"> </w:t>
      </w:r>
      <w:r>
        <w:rPr>
          <w:rFonts w:hint="eastAsia" w:eastAsia="方正仿宋_GBK"/>
          <w:color w:val="000000"/>
          <w:spacing w:val="54"/>
          <w:kern w:val="0"/>
          <w:sz w:val="24"/>
        </w:rPr>
        <w:t>总</w:t>
      </w:r>
      <w:r>
        <w:rPr>
          <w:rFonts w:eastAsia="方正仿宋_GBK"/>
          <w:color w:val="000000"/>
          <w:spacing w:val="54"/>
          <w:kern w:val="0"/>
          <w:sz w:val="24"/>
        </w:rPr>
        <w:t xml:space="preserve"> </w:t>
      </w:r>
      <w:r>
        <w:rPr>
          <w:rFonts w:hint="eastAsia" w:eastAsia="方正仿宋_GBK"/>
          <w:color w:val="000000"/>
          <w:spacing w:val="54"/>
          <w:kern w:val="0"/>
          <w:sz w:val="24"/>
        </w:rPr>
        <w:t>工</w:t>
      </w:r>
      <w:r>
        <w:rPr>
          <w:rFonts w:eastAsia="方正仿宋_GBK"/>
          <w:color w:val="000000"/>
          <w:spacing w:val="54"/>
          <w:kern w:val="0"/>
          <w:sz w:val="24"/>
        </w:rPr>
        <w:t xml:space="preserve"> </w:t>
      </w:r>
      <w:r>
        <w:rPr>
          <w:rFonts w:hint="eastAsia" w:eastAsia="方正仿宋_GBK"/>
          <w:color w:val="000000"/>
          <w:kern w:val="0"/>
          <w:sz w:val="24"/>
        </w:rPr>
        <w:t>会</w:t>
      </w:r>
      <w:r>
        <w:rPr>
          <w:rFonts w:eastAsia="方正仿宋_GBK"/>
          <w:color w:val="000000"/>
          <w:kern w:val="0"/>
          <w:sz w:val="24"/>
        </w:rPr>
        <w:t xml:space="preserve">    </w:t>
      </w:r>
    </w:p>
    <w:p>
      <w:pPr>
        <w:spacing w:line="460" w:lineRule="exact"/>
        <w:ind w:firstLine="450" w:firstLineChars="200"/>
        <w:rPr>
          <w:rFonts w:eastAsia="方正仿宋_GBK"/>
          <w:color w:val="000000"/>
          <w:spacing w:val="-2"/>
          <w:sz w:val="24"/>
        </w:rPr>
      </w:pPr>
      <w:r>
        <w:rPr>
          <w:rFonts w:eastAsia="方正仿宋_GBK"/>
          <w:color w:val="000000"/>
          <w:w w:val="94"/>
          <w:kern w:val="0"/>
          <w:sz w:val="24"/>
        </w:rPr>
        <w:t xml:space="preserve">                 </w:t>
      </w:r>
      <w:r>
        <w:rPr>
          <w:rFonts w:eastAsia="方正仿宋_GBK"/>
          <w:color w:val="000000"/>
          <w:spacing w:val="21"/>
          <w:w w:val="94"/>
          <w:kern w:val="0"/>
          <w:sz w:val="24"/>
        </w:rPr>
        <w:t xml:space="preserve"> </w:t>
      </w:r>
      <w:r>
        <w:rPr>
          <w:rFonts w:eastAsia="方正仿宋_GBK"/>
          <w:color w:val="000000"/>
          <w:spacing w:val="-2"/>
          <w:sz w:val="24"/>
        </w:rPr>
        <w:t xml:space="preserve">                             2012</w:t>
      </w:r>
      <w:r>
        <w:rPr>
          <w:rFonts w:hint="eastAsia" w:eastAsia="方正仿宋_GBK"/>
          <w:color w:val="000000"/>
          <w:spacing w:val="-2"/>
          <w:sz w:val="24"/>
        </w:rPr>
        <w:t>年</w:t>
      </w:r>
      <w:r>
        <w:rPr>
          <w:rFonts w:eastAsia="方正仿宋_GBK"/>
          <w:color w:val="000000"/>
          <w:spacing w:val="-2"/>
          <w:sz w:val="24"/>
        </w:rPr>
        <w:t>11</w:t>
      </w:r>
      <w:r>
        <w:rPr>
          <w:rFonts w:hint="eastAsia" w:eastAsia="方正仿宋_GBK"/>
          <w:color w:val="000000"/>
          <w:spacing w:val="-2"/>
          <w:sz w:val="24"/>
        </w:rPr>
        <w:t>月</w:t>
      </w:r>
      <w:r>
        <w:rPr>
          <w:rFonts w:eastAsia="方正仿宋_GBK"/>
          <w:color w:val="000000"/>
          <w:spacing w:val="-2"/>
          <w:sz w:val="24"/>
        </w:rPr>
        <w:t>5</w:t>
      </w:r>
      <w:r>
        <w:rPr>
          <w:rFonts w:hint="eastAsia" w:eastAsia="方正仿宋_GBK"/>
          <w:color w:val="000000"/>
          <w:spacing w:val="-2"/>
          <w:sz w:val="24"/>
        </w:rPr>
        <w:t>日</w:t>
      </w:r>
      <w:r>
        <w:rPr>
          <w:rFonts w:eastAsia="方正仿宋_GBK"/>
          <w:color w:val="000000"/>
          <w:spacing w:val="-2"/>
          <w:sz w:val="24"/>
        </w:rPr>
        <w:t xml:space="preserve">  </w:t>
      </w:r>
    </w:p>
    <w:p>
      <w:pPr>
        <w:spacing w:line="460" w:lineRule="exact"/>
        <w:ind w:firstLine="472" w:firstLineChars="200"/>
        <w:outlineLvl w:val="0"/>
        <w:rPr>
          <w:rFonts w:eastAsia="方正仿宋_GBK"/>
          <w:color w:val="000000"/>
          <w:spacing w:val="-2"/>
          <w:kern w:val="0"/>
          <w:sz w:val="24"/>
        </w:rPr>
      </w:pPr>
    </w:p>
    <w:p>
      <w:pPr>
        <w:spacing w:line="460" w:lineRule="exact"/>
        <w:ind w:firstLine="472" w:firstLineChars="200"/>
        <w:outlineLvl w:val="0"/>
        <w:rPr>
          <w:rFonts w:eastAsia="方正仿宋_GBK"/>
          <w:color w:val="000000"/>
          <w:spacing w:val="-2"/>
          <w:kern w:val="0"/>
          <w:sz w:val="24"/>
        </w:rPr>
      </w:pPr>
    </w:p>
    <w:p>
      <w:pPr>
        <w:pStyle w:val="2"/>
        <w:spacing w:before="240" w:beforeLines="100" w:after="240" w:afterLines="100" w:line="240" w:lineRule="auto"/>
        <w:jc w:val="center"/>
        <w:rPr>
          <w:rFonts w:ascii="Times New Roman" w:eastAsia="方正小标宋_GBK"/>
          <w:b w:val="0"/>
          <w:sz w:val="36"/>
          <w:szCs w:val="36"/>
        </w:rPr>
      </w:pPr>
      <w:r>
        <w:rPr>
          <w:rFonts w:eastAsia="方正仿宋_GBK"/>
          <w:b w:val="0"/>
          <w:color w:val="000000"/>
          <w:spacing w:val="-2"/>
          <w:kern w:val="0"/>
          <w:sz w:val="24"/>
        </w:rPr>
        <w:br w:type="column"/>
      </w:r>
      <w:bookmarkStart w:id="170" w:name="_Toc20726216"/>
      <w:bookmarkStart w:id="171" w:name="_Toc18315597"/>
      <w:r>
        <w:rPr>
          <w:rFonts w:hint="eastAsia" w:ascii="Times New Roman" w:eastAsia="方正小标宋_GBK"/>
          <w:b w:val="0"/>
          <w:sz w:val="36"/>
          <w:szCs w:val="36"/>
        </w:rPr>
        <w:t>关于做好我省施工图设计文件审查机构及审查人员认定工作的通知</w:t>
      </w:r>
      <w:bookmarkEnd w:id="170"/>
      <w:bookmarkEnd w:id="171"/>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172" w:name="_Toc18315598"/>
      <w:bookmarkStart w:id="173" w:name="_Toc20726217"/>
      <w:r>
        <w:rPr>
          <w:rFonts w:hint="eastAsia" w:ascii="Times New Roman" w:hAnsi="Times New Roman" w:eastAsia="方正楷体_GBK"/>
          <w:b w:val="0"/>
          <w:sz w:val="24"/>
          <w:szCs w:val="24"/>
        </w:rPr>
        <w:t>苏建科（</w:t>
      </w:r>
      <w:r>
        <w:rPr>
          <w:rFonts w:ascii="Times New Roman" w:hAnsi="Times New Roman" w:eastAsia="方正楷体_GBK"/>
          <w:b w:val="0"/>
          <w:sz w:val="24"/>
          <w:szCs w:val="24"/>
        </w:rPr>
        <w:t>2004</w:t>
      </w:r>
      <w:r>
        <w:rPr>
          <w:rFonts w:hint="eastAsia" w:ascii="Times New Roman" w:hAnsi="Times New Roman" w:eastAsia="方正楷体_GBK"/>
          <w:b w:val="0"/>
          <w:sz w:val="24"/>
          <w:szCs w:val="24"/>
        </w:rPr>
        <w:t>）</w:t>
      </w:r>
      <w:r>
        <w:rPr>
          <w:rFonts w:ascii="Times New Roman" w:hAnsi="Times New Roman" w:eastAsia="方正楷体_GBK"/>
          <w:b w:val="0"/>
          <w:sz w:val="24"/>
          <w:szCs w:val="24"/>
        </w:rPr>
        <w:t>433</w:t>
      </w:r>
      <w:r>
        <w:rPr>
          <w:rFonts w:hint="eastAsia" w:ascii="Times New Roman" w:hAnsi="Times New Roman" w:eastAsia="方正楷体_GBK"/>
          <w:b w:val="0"/>
          <w:sz w:val="24"/>
          <w:szCs w:val="24"/>
        </w:rPr>
        <w:t>号</w:t>
      </w:r>
      <w:bookmarkEnd w:id="172"/>
      <w:bookmarkEnd w:id="173"/>
    </w:p>
    <w:p>
      <w:pPr>
        <w:spacing w:line="460" w:lineRule="exact"/>
        <w:rPr>
          <w:rFonts w:eastAsia="方正仿宋_GBK"/>
          <w:color w:val="000000"/>
          <w:kern w:val="0"/>
          <w:sz w:val="24"/>
        </w:rPr>
      </w:pPr>
      <w:r>
        <w:rPr>
          <w:rFonts w:hint="eastAsia" w:eastAsia="方正仿宋_GBK"/>
          <w:color w:val="000000"/>
          <w:kern w:val="0"/>
          <w:sz w:val="24"/>
        </w:rPr>
        <w:t>各设区市建设局（建委）：</w:t>
      </w:r>
    </w:p>
    <w:p>
      <w:pPr>
        <w:spacing w:line="460" w:lineRule="exact"/>
        <w:ind w:firstLine="480" w:firstLineChars="200"/>
        <w:rPr>
          <w:rFonts w:eastAsia="方正仿宋_GBK"/>
          <w:color w:val="000000"/>
          <w:kern w:val="0"/>
          <w:sz w:val="24"/>
        </w:rPr>
      </w:pPr>
      <w:r>
        <w:rPr>
          <w:rFonts w:hint="eastAsia" w:eastAsia="方正仿宋_GBK"/>
          <w:color w:val="000000"/>
          <w:kern w:val="0"/>
          <w:sz w:val="24"/>
        </w:rPr>
        <w:t>根据《房屋建筑和市政基础设施工程施工图设计文件审查管理办法》（住房和城乡建设部令第</w:t>
      </w:r>
      <w:r>
        <w:rPr>
          <w:rFonts w:eastAsia="方正仿宋_GBK"/>
          <w:color w:val="000000"/>
          <w:kern w:val="0"/>
          <w:sz w:val="24"/>
        </w:rPr>
        <w:t>13</w:t>
      </w:r>
      <w:r>
        <w:rPr>
          <w:rFonts w:hint="eastAsia" w:eastAsia="方正仿宋_GBK"/>
          <w:color w:val="000000"/>
          <w:kern w:val="0"/>
          <w:sz w:val="24"/>
        </w:rPr>
        <w:t>号，以下简称住建部</w:t>
      </w:r>
      <w:r>
        <w:rPr>
          <w:rFonts w:eastAsia="方正仿宋_GBK"/>
          <w:color w:val="000000"/>
          <w:kern w:val="0"/>
          <w:sz w:val="24"/>
        </w:rPr>
        <w:t>13</w:t>
      </w:r>
      <w:r>
        <w:rPr>
          <w:rFonts w:hint="eastAsia" w:eastAsia="方正仿宋_GBK"/>
          <w:color w:val="000000"/>
          <w:kern w:val="0"/>
          <w:sz w:val="24"/>
        </w:rPr>
        <w:t>号令）和《住房和城乡建设部</w:t>
      </w:r>
      <w:r>
        <w:rPr>
          <w:rFonts w:hint="eastAsia" w:eastAsia="方正仿宋_GBK"/>
          <w:bCs/>
          <w:color w:val="000000"/>
          <w:kern w:val="0"/>
          <w:sz w:val="24"/>
        </w:rPr>
        <w:t>关于实施〈房屋建筑和市政基础设施工程施工图设计文件审查管理办法〉有关问题的通知》（建质〔</w:t>
      </w:r>
      <w:r>
        <w:rPr>
          <w:rFonts w:eastAsia="方正仿宋_GBK"/>
          <w:bCs/>
          <w:color w:val="000000"/>
          <w:kern w:val="0"/>
          <w:sz w:val="24"/>
        </w:rPr>
        <w:t>2013</w:t>
      </w:r>
      <w:r>
        <w:rPr>
          <w:rFonts w:hint="eastAsia" w:eastAsia="方正仿宋_GBK"/>
          <w:bCs/>
          <w:color w:val="000000"/>
          <w:kern w:val="0"/>
          <w:sz w:val="24"/>
        </w:rPr>
        <w:t>〕</w:t>
      </w:r>
      <w:r>
        <w:rPr>
          <w:rFonts w:eastAsia="方正仿宋_GBK"/>
          <w:bCs/>
          <w:color w:val="000000"/>
          <w:kern w:val="0"/>
          <w:sz w:val="24"/>
        </w:rPr>
        <w:t>111</w:t>
      </w:r>
      <w:r>
        <w:rPr>
          <w:rFonts w:hint="eastAsia" w:eastAsia="方正仿宋_GBK"/>
          <w:bCs/>
          <w:color w:val="000000"/>
          <w:kern w:val="0"/>
          <w:sz w:val="24"/>
        </w:rPr>
        <w:t>号）的规定，我省对房屋建筑和市政基础设施工程施工图设计文件审查机构（以下简称审图机构）实施认定制度。为</w:t>
      </w:r>
      <w:r>
        <w:rPr>
          <w:rFonts w:hint="eastAsia" w:eastAsia="方正仿宋_GBK"/>
          <w:color w:val="000000"/>
          <w:kern w:val="0"/>
          <w:sz w:val="24"/>
        </w:rPr>
        <w:t>做好认定工作，现将有关问题事项通知如下：</w:t>
      </w:r>
    </w:p>
    <w:p>
      <w:pPr>
        <w:spacing w:line="460" w:lineRule="exact"/>
        <w:ind w:firstLine="480" w:firstLineChars="200"/>
        <w:rPr>
          <w:rFonts w:eastAsia="黑体"/>
          <w:bCs/>
          <w:color w:val="000000"/>
          <w:kern w:val="0"/>
          <w:sz w:val="24"/>
        </w:rPr>
      </w:pPr>
      <w:r>
        <w:rPr>
          <w:rFonts w:hint="eastAsia" w:eastAsia="黑体"/>
          <w:bCs/>
          <w:color w:val="000000"/>
          <w:kern w:val="0"/>
          <w:sz w:val="24"/>
        </w:rPr>
        <w:t>一、认定原则</w:t>
      </w:r>
    </w:p>
    <w:p>
      <w:pPr>
        <w:spacing w:line="460" w:lineRule="exact"/>
        <w:ind w:firstLine="480" w:firstLineChars="200"/>
        <w:rPr>
          <w:rFonts w:eastAsia="方正仿宋_GBK"/>
          <w:color w:val="000000"/>
          <w:sz w:val="24"/>
        </w:rPr>
      </w:pPr>
      <w:r>
        <w:rPr>
          <w:rFonts w:eastAsia="方正仿宋_GBK"/>
          <w:color w:val="000000"/>
          <w:sz w:val="24"/>
        </w:rPr>
        <w:t>1</w:t>
      </w:r>
      <w:r>
        <w:rPr>
          <w:rFonts w:hint="eastAsia" w:eastAsia="方正仿宋_GBK"/>
          <w:color w:val="000000"/>
          <w:sz w:val="24"/>
        </w:rPr>
        <w:t>、我省审查机构的认定实行总量控制。省建设行政主管部门应当会同有关部门从有利于巩固和提高施工图设计文件审查的覆盖面，有利于现有审查机构的稳定过渡和持续发展，有利于促进审查质量和服务水平的提高等因素出发，根据各地房屋建筑建设规模和审查技术力量情况，进行合理测算，控制全省审查机构总数和各市审查机构数量，并定期予以调整和公布，稳步开展审查机构的认定工作。</w:t>
      </w:r>
    </w:p>
    <w:p>
      <w:pPr>
        <w:spacing w:line="460" w:lineRule="exact"/>
        <w:ind w:firstLine="480" w:firstLineChars="200"/>
        <w:rPr>
          <w:rFonts w:eastAsia="方正仿宋_GBK"/>
          <w:color w:val="000000"/>
          <w:sz w:val="24"/>
        </w:rPr>
      </w:pPr>
      <w:r>
        <w:rPr>
          <w:rFonts w:eastAsia="方正仿宋_GBK"/>
          <w:color w:val="000000"/>
          <w:sz w:val="24"/>
        </w:rPr>
        <w:t>2</w:t>
      </w:r>
      <w:r>
        <w:rPr>
          <w:rFonts w:hint="eastAsia" w:eastAsia="方正仿宋_GBK"/>
          <w:color w:val="000000"/>
          <w:sz w:val="24"/>
        </w:rPr>
        <w:t>、各市审查机构数量，暂按各地建设规模确定。对于年均房屋建筑建设规模在</w:t>
      </w:r>
      <w:r>
        <w:rPr>
          <w:rFonts w:eastAsia="方正仿宋_GBK"/>
          <w:color w:val="000000"/>
          <w:sz w:val="24"/>
        </w:rPr>
        <w:t>500</w:t>
      </w:r>
      <w:r>
        <w:rPr>
          <w:rFonts w:hint="eastAsia" w:eastAsia="方正仿宋_GBK"/>
          <w:color w:val="000000"/>
          <w:sz w:val="24"/>
        </w:rPr>
        <w:t>万平方米以下的省辖市、市区或县（市），审查机构认定数原则上不超过</w:t>
      </w:r>
      <w:r>
        <w:rPr>
          <w:rFonts w:eastAsia="方正仿宋_GBK"/>
          <w:color w:val="000000"/>
          <w:sz w:val="24"/>
        </w:rPr>
        <w:t>1</w:t>
      </w:r>
      <w:r>
        <w:rPr>
          <w:rFonts w:hint="eastAsia" w:eastAsia="方正仿宋_GBK"/>
          <w:color w:val="000000"/>
          <w:sz w:val="24"/>
        </w:rPr>
        <w:t>家；对于年均房屋建筑建设规模超过</w:t>
      </w:r>
      <w:r>
        <w:rPr>
          <w:rFonts w:eastAsia="方正仿宋_GBK"/>
          <w:color w:val="000000"/>
          <w:sz w:val="24"/>
        </w:rPr>
        <w:t>500</w:t>
      </w:r>
      <w:r>
        <w:rPr>
          <w:rFonts w:hint="eastAsia" w:eastAsia="方正仿宋_GBK"/>
          <w:color w:val="000000"/>
          <w:sz w:val="24"/>
        </w:rPr>
        <w:t>万平方米的，每超过</w:t>
      </w:r>
      <w:r>
        <w:rPr>
          <w:rFonts w:eastAsia="方正仿宋_GBK"/>
          <w:color w:val="000000"/>
          <w:sz w:val="24"/>
        </w:rPr>
        <w:t>500</w:t>
      </w:r>
      <w:r>
        <w:rPr>
          <w:rFonts w:hint="eastAsia" w:eastAsia="方正仿宋_GBK"/>
          <w:color w:val="000000"/>
          <w:sz w:val="24"/>
        </w:rPr>
        <w:t>万平方米可再增设</w:t>
      </w:r>
      <w:r>
        <w:rPr>
          <w:rFonts w:eastAsia="方正仿宋_GBK"/>
          <w:color w:val="000000"/>
          <w:sz w:val="24"/>
        </w:rPr>
        <w:t>1</w:t>
      </w:r>
      <w:r>
        <w:rPr>
          <w:rFonts w:hint="eastAsia" w:eastAsia="方正仿宋_GBK"/>
          <w:color w:val="000000"/>
          <w:sz w:val="24"/>
        </w:rPr>
        <w:t>家审查机构。</w:t>
      </w:r>
    </w:p>
    <w:p>
      <w:pPr>
        <w:spacing w:line="460" w:lineRule="exact"/>
        <w:ind w:firstLine="480" w:firstLineChars="200"/>
        <w:rPr>
          <w:rFonts w:eastAsia="方正仿宋_GBK"/>
          <w:color w:val="000000"/>
          <w:sz w:val="24"/>
        </w:rPr>
      </w:pPr>
      <w:r>
        <w:rPr>
          <w:rFonts w:eastAsia="方正仿宋_GBK"/>
          <w:color w:val="000000"/>
          <w:sz w:val="24"/>
        </w:rPr>
        <w:t>3</w:t>
      </w:r>
      <w:r>
        <w:rPr>
          <w:rFonts w:hint="eastAsia" w:eastAsia="方正仿宋_GBK"/>
          <w:color w:val="000000"/>
          <w:sz w:val="24"/>
        </w:rPr>
        <w:t>、审查机构需取得省建设行政主管部门颁发的《施工图设计文件审查机构认定书》后，方可从事施工图审查，并不得超出认定的范围从事施工图审查。</w:t>
      </w:r>
    </w:p>
    <w:p>
      <w:pPr>
        <w:spacing w:line="460" w:lineRule="exact"/>
        <w:ind w:firstLine="480" w:firstLineChars="200"/>
        <w:rPr>
          <w:rFonts w:eastAsia="黑体"/>
          <w:bCs/>
          <w:color w:val="000000"/>
          <w:kern w:val="0"/>
          <w:sz w:val="24"/>
        </w:rPr>
      </w:pPr>
      <w:r>
        <w:rPr>
          <w:rFonts w:hint="eastAsia" w:eastAsia="黑体"/>
          <w:bCs/>
          <w:color w:val="000000"/>
          <w:kern w:val="0"/>
          <w:sz w:val="24"/>
        </w:rPr>
        <w:t>二、认定条件</w:t>
      </w:r>
    </w:p>
    <w:p>
      <w:pPr>
        <w:spacing w:line="460" w:lineRule="exact"/>
        <w:ind w:firstLine="480" w:firstLineChars="200"/>
        <w:rPr>
          <w:rFonts w:eastAsia="方正仿宋_GBK"/>
          <w:color w:val="000000"/>
          <w:sz w:val="24"/>
        </w:rPr>
      </w:pPr>
      <w:r>
        <w:rPr>
          <w:rFonts w:eastAsia="方正仿宋_GBK"/>
          <w:color w:val="000000"/>
          <w:sz w:val="24"/>
        </w:rPr>
        <w:t>1</w:t>
      </w:r>
      <w:r>
        <w:rPr>
          <w:rFonts w:hint="eastAsia" w:eastAsia="方正仿宋_GBK"/>
          <w:color w:val="000000"/>
          <w:sz w:val="24"/>
        </w:rPr>
        <w:t>、审查机构应是专门从事施工图设计审查、不以营利为目的的独立法人实体，不得兼营工程勘察设计业务。审查机构按承接业务范围分为一类和二类。一类、二类机构以及承担超限高层建筑工程施工图审查的设立条件和承接业务范围按住建部</w:t>
      </w:r>
      <w:r>
        <w:rPr>
          <w:rFonts w:eastAsia="方正仿宋_GBK"/>
          <w:color w:val="000000"/>
          <w:sz w:val="24"/>
        </w:rPr>
        <w:t>13</w:t>
      </w:r>
      <w:r>
        <w:rPr>
          <w:rFonts w:hint="eastAsia" w:eastAsia="方正仿宋_GBK"/>
          <w:color w:val="000000"/>
          <w:sz w:val="24"/>
        </w:rPr>
        <w:t>号令和</w:t>
      </w:r>
      <w:r>
        <w:rPr>
          <w:rFonts w:hint="eastAsia" w:eastAsia="方正仿宋_GBK"/>
          <w:bCs/>
          <w:color w:val="000000"/>
          <w:sz w:val="24"/>
        </w:rPr>
        <w:t>建质〔</w:t>
      </w:r>
      <w:r>
        <w:rPr>
          <w:rFonts w:eastAsia="方正仿宋_GBK"/>
          <w:bCs/>
          <w:color w:val="000000"/>
          <w:sz w:val="24"/>
        </w:rPr>
        <w:t>2013</w:t>
      </w:r>
      <w:r>
        <w:rPr>
          <w:rFonts w:hint="eastAsia" w:eastAsia="方正仿宋_GBK"/>
          <w:bCs/>
          <w:color w:val="000000"/>
          <w:sz w:val="24"/>
        </w:rPr>
        <w:t>〕</w:t>
      </w:r>
      <w:r>
        <w:rPr>
          <w:rFonts w:eastAsia="方正仿宋_GBK"/>
          <w:color w:val="000000"/>
          <w:sz w:val="24"/>
        </w:rPr>
        <w:t>111</w:t>
      </w:r>
      <w:r>
        <w:rPr>
          <w:rFonts w:hint="eastAsia" w:eastAsia="方正仿宋_GBK"/>
          <w:color w:val="000000"/>
          <w:sz w:val="24"/>
        </w:rPr>
        <w:t>号文规定执行，但中型及以下房屋建筑工程，不宜跨市审查。</w:t>
      </w:r>
    </w:p>
    <w:p>
      <w:pPr>
        <w:adjustRightInd w:val="0"/>
        <w:spacing w:line="460" w:lineRule="exact"/>
        <w:ind w:firstLine="480" w:firstLineChars="200"/>
        <w:rPr>
          <w:rFonts w:eastAsia="方正仿宋_GBK"/>
          <w:color w:val="000000"/>
          <w:sz w:val="24"/>
        </w:rPr>
      </w:pPr>
      <w:r>
        <w:rPr>
          <w:rFonts w:eastAsia="方正仿宋_GBK"/>
          <w:color w:val="000000"/>
          <w:sz w:val="24"/>
        </w:rPr>
        <w:t>2</w:t>
      </w:r>
      <w:r>
        <w:rPr>
          <w:rFonts w:hint="eastAsia" w:eastAsia="方正仿宋_GBK"/>
          <w:color w:val="000000"/>
          <w:sz w:val="24"/>
        </w:rPr>
        <w:t>、审查人员的审查级别分为两级。一级审查人员负责审查相应专业的项目范围不受限制；二级审查人员可以负责中型及以下房屋建筑、市政基础设施工程相应专业的审查工作。</w:t>
      </w:r>
    </w:p>
    <w:p>
      <w:pPr>
        <w:adjustRightInd w:val="0"/>
        <w:spacing w:line="460" w:lineRule="exact"/>
        <w:ind w:firstLine="480" w:firstLineChars="200"/>
        <w:rPr>
          <w:rFonts w:eastAsia="方正仿宋_GBK"/>
          <w:color w:val="000000"/>
          <w:sz w:val="24"/>
        </w:rPr>
      </w:pPr>
      <w:r>
        <w:rPr>
          <w:rFonts w:hint="eastAsia" w:eastAsia="方正仿宋_GBK"/>
          <w:color w:val="000000"/>
          <w:sz w:val="24"/>
        </w:rPr>
        <w:t>一级、二级审查人员应当分别符合住建部</w:t>
      </w:r>
      <w:r>
        <w:rPr>
          <w:rFonts w:eastAsia="方正仿宋_GBK"/>
          <w:color w:val="000000"/>
          <w:sz w:val="24"/>
        </w:rPr>
        <w:t>13</w:t>
      </w:r>
      <w:r>
        <w:rPr>
          <w:rFonts w:hint="eastAsia" w:eastAsia="方正仿宋_GBK"/>
          <w:color w:val="000000"/>
          <w:sz w:val="24"/>
        </w:rPr>
        <w:t>号令关于一类、二类审查机构规定的审查人员条件。</w:t>
      </w:r>
    </w:p>
    <w:p>
      <w:pPr>
        <w:adjustRightInd w:val="0"/>
        <w:spacing w:line="460" w:lineRule="exact"/>
        <w:ind w:firstLine="480" w:firstLineChars="200"/>
        <w:rPr>
          <w:rFonts w:eastAsia="方正仿宋_GBK"/>
          <w:color w:val="000000"/>
          <w:sz w:val="24"/>
        </w:rPr>
      </w:pPr>
      <w:r>
        <w:rPr>
          <w:rFonts w:hint="eastAsia" w:eastAsia="方正仿宋_GBK"/>
          <w:color w:val="000000"/>
          <w:sz w:val="24"/>
        </w:rPr>
        <w:t>审查人员只能在一个审查机构从事审查工作。</w:t>
      </w:r>
    </w:p>
    <w:p>
      <w:pPr>
        <w:spacing w:line="460" w:lineRule="exact"/>
        <w:ind w:firstLine="480" w:firstLineChars="200"/>
        <w:rPr>
          <w:rFonts w:eastAsia="黑体"/>
          <w:bCs/>
          <w:color w:val="000000"/>
          <w:kern w:val="0"/>
          <w:sz w:val="24"/>
        </w:rPr>
      </w:pPr>
      <w:r>
        <w:rPr>
          <w:rFonts w:hint="eastAsia" w:eastAsia="黑体"/>
          <w:bCs/>
          <w:color w:val="000000"/>
          <w:kern w:val="0"/>
          <w:sz w:val="24"/>
        </w:rPr>
        <w:t>三、认定程序和要求</w:t>
      </w:r>
    </w:p>
    <w:p>
      <w:pPr>
        <w:spacing w:line="460" w:lineRule="exact"/>
        <w:ind w:firstLine="480" w:firstLineChars="200"/>
        <w:rPr>
          <w:rFonts w:eastAsia="方正仿宋_GBK"/>
          <w:color w:val="000000"/>
          <w:kern w:val="0"/>
          <w:sz w:val="24"/>
        </w:rPr>
      </w:pPr>
      <w:r>
        <w:rPr>
          <w:rFonts w:hint="eastAsia" w:eastAsia="方正仿宋_GBK"/>
          <w:color w:val="000000"/>
          <w:kern w:val="0"/>
          <w:sz w:val="24"/>
        </w:rPr>
        <w:t>审查机构的认定工作应按下列程序和要求进行申报：</w:t>
      </w:r>
    </w:p>
    <w:p>
      <w:pPr>
        <w:spacing w:line="460" w:lineRule="exact"/>
        <w:ind w:firstLine="480" w:firstLineChars="200"/>
        <w:rPr>
          <w:rFonts w:ascii="Times New Roman" w:eastAsia="楷体_GB2312"/>
          <w:color w:val="000000"/>
          <w:kern w:val="0"/>
          <w:sz w:val="24"/>
        </w:rPr>
      </w:pPr>
      <w:r>
        <w:rPr>
          <w:rFonts w:hint="eastAsia" w:ascii="Times New Roman" w:eastAsia="楷体_GB2312"/>
          <w:color w:val="000000"/>
          <w:kern w:val="0"/>
          <w:sz w:val="24"/>
        </w:rPr>
        <w:t>（一）审查机构申报材料</w:t>
      </w:r>
    </w:p>
    <w:p>
      <w:pPr>
        <w:spacing w:line="460" w:lineRule="exact"/>
        <w:ind w:firstLine="480" w:firstLineChars="200"/>
        <w:rPr>
          <w:rFonts w:hint="eastAsia" w:eastAsia="方正仿宋_GBK"/>
          <w:color w:val="000000"/>
          <w:kern w:val="0"/>
          <w:sz w:val="24"/>
        </w:rPr>
      </w:pPr>
      <w:r>
        <w:rPr>
          <w:rFonts w:eastAsia="方正仿宋_GBK"/>
          <w:color w:val="000000"/>
          <w:kern w:val="0"/>
          <w:sz w:val="24"/>
        </w:rPr>
        <w:t>1</w:t>
      </w:r>
      <w:r>
        <w:rPr>
          <w:rFonts w:hint="eastAsia" w:eastAsia="方正仿宋_GBK"/>
          <w:color w:val="000000"/>
          <w:kern w:val="0"/>
          <w:sz w:val="24"/>
        </w:rPr>
        <w:t>、审查机构填写《施工图设计文件审查机构认定申请表》（见附件</w:t>
      </w:r>
      <w:r>
        <w:rPr>
          <w:rFonts w:eastAsia="方正仿宋_GBK"/>
          <w:color w:val="000000"/>
          <w:kern w:val="0"/>
          <w:sz w:val="24"/>
        </w:rPr>
        <w:t>1</w:t>
      </w:r>
      <w:r>
        <w:rPr>
          <w:rFonts w:hint="eastAsia" w:eastAsia="方正仿宋_GBK"/>
          <w:color w:val="000000"/>
          <w:kern w:val="0"/>
          <w:sz w:val="24"/>
        </w:rPr>
        <w:t>，一式二份，</w:t>
      </w:r>
      <w:r>
        <w:rPr>
          <w:rFonts w:eastAsia="方正仿宋_GBK"/>
          <w:color w:val="000000"/>
          <w:kern w:val="0"/>
          <w:sz w:val="24"/>
        </w:rPr>
        <w:t>A4</w:t>
      </w:r>
      <w:r>
        <w:rPr>
          <w:rFonts w:hint="eastAsia" w:eastAsia="方正仿宋_GBK"/>
          <w:color w:val="000000"/>
          <w:kern w:val="0"/>
          <w:sz w:val="24"/>
        </w:rPr>
        <w:t>大小）；《施工图设计文件审查机构自审表》（见附件</w:t>
      </w:r>
      <w:r>
        <w:rPr>
          <w:rFonts w:eastAsia="方正仿宋_GBK"/>
          <w:color w:val="000000"/>
          <w:kern w:val="0"/>
          <w:sz w:val="24"/>
        </w:rPr>
        <w:t>2</w:t>
      </w:r>
      <w:r>
        <w:rPr>
          <w:rFonts w:hint="eastAsia" w:eastAsia="方正仿宋_GBK"/>
          <w:color w:val="000000"/>
          <w:kern w:val="0"/>
          <w:sz w:val="24"/>
        </w:rPr>
        <w:t>，</w:t>
      </w:r>
      <w:r>
        <w:rPr>
          <w:rFonts w:eastAsia="方正仿宋_GBK"/>
          <w:color w:val="000000"/>
          <w:kern w:val="0"/>
          <w:sz w:val="24"/>
        </w:rPr>
        <w:t>A4</w:t>
      </w:r>
      <w:r>
        <w:rPr>
          <w:rFonts w:hint="eastAsia" w:eastAsia="方正仿宋_GBK"/>
          <w:color w:val="000000"/>
          <w:kern w:val="0"/>
          <w:sz w:val="24"/>
        </w:rPr>
        <w:t>大小）；</w:t>
      </w:r>
      <w:bookmarkStart w:id="174" w:name="_Hlk493785190"/>
      <w:r>
        <w:rPr>
          <w:rFonts w:hint="eastAsia" w:eastAsia="方正仿宋_GBK"/>
          <w:color w:val="000000"/>
          <w:kern w:val="0"/>
          <w:sz w:val="24"/>
        </w:rPr>
        <w:t>《施工图设计文件审查人员核查汇总表》</w:t>
      </w:r>
      <w:bookmarkEnd w:id="174"/>
      <w:r>
        <w:rPr>
          <w:rFonts w:hint="eastAsia" w:eastAsia="方正仿宋_GBK"/>
          <w:color w:val="000000"/>
          <w:kern w:val="0"/>
          <w:sz w:val="24"/>
        </w:rPr>
        <w:t>（见附件</w:t>
      </w:r>
      <w:r>
        <w:rPr>
          <w:rFonts w:eastAsia="方正仿宋_GBK"/>
          <w:color w:val="000000"/>
          <w:kern w:val="0"/>
          <w:sz w:val="24"/>
        </w:rPr>
        <w:t>3</w:t>
      </w:r>
      <w:r>
        <w:rPr>
          <w:rFonts w:hint="eastAsia" w:eastAsia="方正仿宋_GBK"/>
          <w:color w:val="000000"/>
          <w:kern w:val="0"/>
          <w:sz w:val="24"/>
        </w:rPr>
        <w:t>，</w:t>
      </w:r>
      <w:r>
        <w:rPr>
          <w:rFonts w:eastAsia="方正仿宋_GBK"/>
          <w:color w:val="000000"/>
          <w:kern w:val="0"/>
          <w:sz w:val="24"/>
        </w:rPr>
        <w:t>A3</w:t>
      </w:r>
      <w:r>
        <w:rPr>
          <w:rFonts w:hint="eastAsia" w:eastAsia="方正仿宋_GBK"/>
          <w:color w:val="000000"/>
          <w:kern w:val="0"/>
          <w:sz w:val="24"/>
        </w:rPr>
        <w:t>大小）。</w:t>
      </w:r>
    </w:p>
    <w:p>
      <w:pPr>
        <w:spacing w:line="460" w:lineRule="exact"/>
        <w:ind w:firstLine="480" w:firstLineChars="200"/>
        <w:rPr>
          <w:rFonts w:eastAsia="方正仿宋_GBK"/>
          <w:color w:val="000000"/>
          <w:kern w:val="0"/>
          <w:sz w:val="24"/>
        </w:rPr>
      </w:pPr>
      <w:r>
        <w:rPr>
          <w:rFonts w:eastAsia="方正仿宋_GBK"/>
          <w:color w:val="000000"/>
          <w:kern w:val="0"/>
          <w:sz w:val="24"/>
        </w:rPr>
        <w:t>2</w:t>
      </w:r>
      <w:r>
        <w:rPr>
          <w:rFonts w:hint="eastAsia" w:eastAsia="方正仿宋_GBK"/>
          <w:color w:val="000000"/>
          <w:kern w:val="0"/>
          <w:sz w:val="24"/>
        </w:rPr>
        <w:t>、提供相应的附件材料。包括：</w:t>
      </w:r>
      <w:r>
        <w:rPr>
          <w:rFonts w:hint="eastAsia" w:ascii="Times New Roman" w:hAnsi="Times New Roman" w:cs="宋体"/>
          <w:color w:val="000000"/>
          <w:kern w:val="0"/>
          <w:sz w:val="24"/>
        </w:rPr>
        <w:t>①</w:t>
      </w:r>
      <w:r>
        <w:rPr>
          <w:rFonts w:hint="eastAsia" w:eastAsia="方正仿宋_GBK"/>
          <w:color w:val="000000"/>
          <w:kern w:val="0"/>
          <w:sz w:val="24"/>
        </w:rPr>
        <w:t>单位组织机构代码证（复印件）；</w:t>
      </w:r>
      <w:r>
        <w:rPr>
          <w:rFonts w:hint="eastAsia" w:ascii="Times New Roman" w:hAnsi="Times New Roman" w:cs="宋体"/>
          <w:color w:val="000000"/>
          <w:kern w:val="0"/>
          <w:sz w:val="24"/>
        </w:rPr>
        <w:t>②</w:t>
      </w:r>
      <w:r>
        <w:rPr>
          <w:rFonts w:hint="eastAsia" w:eastAsia="方正仿宋_GBK"/>
          <w:color w:val="000000"/>
          <w:kern w:val="0"/>
          <w:sz w:val="24"/>
        </w:rPr>
        <w:t>事业法人登记证书或营业执照（或工商预核准材料）或民办非企业登记证书（复印件）；</w:t>
      </w:r>
      <w:r>
        <w:rPr>
          <w:rFonts w:hint="eastAsia" w:ascii="Times New Roman" w:hAnsi="Times New Roman" w:cs="宋体"/>
          <w:color w:val="000000"/>
          <w:kern w:val="0"/>
          <w:sz w:val="24"/>
        </w:rPr>
        <w:t>③</w:t>
      </w:r>
      <w:r>
        <w:rPr>
          <w:rFonts w:hint="eastAsia" w:eastAsia="方正仿宋_GBK"/>
          <w:color w:val="000000"/>
          <w:kern w:val="0"/>
          <w:sz w:val="24"/>
        </w:rPr>
        <w:t>事业或企业法定代表人和技术负责人简历；</w:t>
      </w:r>
      <w:r>
        <w:rPr>
          <w:rFonts w:hint="eastAsia" w:ascii="Times New Roman" w:hAnsi="Times New Roman" w:cs="宋体"/>
          <w:color w:val="000000"/>
          <w:kern w:val="0"/>
          <w:sz w:val="24"/>
        </w:rPr>
        <w:t>④</w:t>
      </w:r>
      <w:r>
        <w:rPr>
          <w:rFonts w:hint="eastAsia" w:eastAsia="方正仿宋_GBK"/>
          <w:color w:val="000000"/>
          <w:kern w:val="0"/>
          <w:sz w:val="24"/>
        </w:rPr>
        <w:t>办公场所证明（复印件）；</w:t>
      </w:r>
      <w:r>
        <w:rPr>
          <w:rFonts w:hint="eastAsia" w:ascii="Times New Roman" w:hAnsi="Times New Roman" w:cs="宋体"/>
          <w:color w:val="000000"/>
          <w:kern w:val="0"/>
          <w:sz w:val="24"/>
        </w:rPr>
        <w:t>⑤</w:t>
      </w:r>
      <w:r>
        <w:rPr>
          <w:rFonts w:hint="eastAsia" w:eastAsia="方正仿宋_GBK"/>
          <w:color w:val="000000"/>
          <w:kern w:val="0"/>
          <w:sz w:val="24"/>
        </w:rPr>
        <w:t>质量保证体系及规章制度等。</w:t>
      </w:r>
    </w:p>
    <w:p>
      <w:pPr>
        <w:spacing w:line="460" w:lineRule="exact"/>
        <w:ind w:firstLine="480" w:firstLineChars="200"/>
        <w:rPr>
          <w:rFonts w:eastAsia="方正仿宋_GBK"/>
          <w:color w:val="000000"/>
          <w:kern w:val="0"/>
          <w:sz w:val="24"/>
        </w:rPr>
      </w:pPr>
      <w:r>
        <w:rPr>
          <w:rFonts w:eastAsia="方正仿宋_GBK"/>
          <w:color w:val="000000"/>
          <w:kern w:val="0"/>
          <w:sz w:val="24"/>
        </w:rPr>
        <w:t>3</w:t>
      </w:r>
      <w:r>
        <w:rPr>
          <w:rFonts w:hint="eastAsia" w:eastAsia="方正仿宋_GBK"/>
          <w:color w:val="000000"/>
          <w:kern w:val="0"/>
          <w:sz w:val="24"/>
        </w:rPr>
        <w:t>、《施工图设计文件审查机构认定申请表》一份与附件材料（</w:t>
      </w:r>
      <w:r>
        <w:rPr>
          <w:rFonts w:eastAsia="方正仿宋_GBK"/>
          <w:color w:val="000000"/>
          <w:kern w:val="0"/>
          <w:sz w:val="24"/>
        </w:rPr>
        <w:t>A4</w:t>
      </w:r>
      <w:r>
        <w:rPr>
          <w:rFonts w:hint="eastAsia" w:eastAsia="方正仿宋_GBK"/>
          <w:color w:val="000000"/>
          <w:kern w:val="0"/>
          <w:sz w:val="24"/>
        </w:rPr>
        <w:t>大小，应有封面和目录）按顺序装订成册；其他一份申请表、《施工图设计文件审查机构自审表》、《施工图设计文件审查人员核查汇总表》单列。</w:t>
      </w:r>
    </w:p>
    <w:p>
      <w:pPr>
        <w:spacing w:line="460" w:lineRule="exact"/>
        <w:ind w:firstLine="480" w:firstLineChars="200"/>
        <w:rPr>
          <w:rFonts w:ascii="Times New Roman" w:eastAsia="楷体_GB2312"/>
          <w:color w:val="000000"/>
          <w:kern w:val="0"/>
          <w:sz w:val="24"/>
        </w:rPr>
      </w:pPr>
      <w:r>
        <w:rPr>
          <w:rFonts w:hint="eastAsia" w:ascii="Times New Roman" w:eastAsia="楷体_GB2312"/>
          <w:color w:val="000000"/>
          <w:kern w:val="0"/>
          <w:sz w:val="24"/>
        </w:rPr>
        <w:t>（二）审查人员申报材料</w:t>
      </w:r>
    </w:p>
    <w:p>
      <w:pPr>
        <w:adjustRightInd w:val="0"/>
        <w:spacing w:line="460" w:lineRule="exact"/>
        <w:ind w:firstLine="480" w:firstLineChars="200"/>
        <w:rPr>
          <w:rFonts w:hint="eastAsia" w:eastAsia="方正仿宋_GBK"/>
          <w:color w:val="000000"/>
          <w:sz w:val="24"/>
        </w:rPr>
      </w:pPr>
      <w:r>
        <w:rPr>
          <w:rFonts w:eastAsia="方正仿宋_GBK"/>
          <w:color w:val="000000"/>
          <w:sz w:val="24"/>
        </w:rPr>
        <w:t>1</w:t>
      </w:r>
      <w:r>
        <w:rPr>
          <w:rFonts w:hint="eastAsia" w:eastAsia="方正仿宋_GBK"/>
          <w:color w:val="000000"/>
          <w:sz w:val="24"/>
        </w:rPr>
        <w:t>、审查人员填写《施工图设计文件审查人员认定申请表》（见附件</w:t>
      </w:r>
      <w:r>
        <w:rPr>
          <w:rFonts w:eastAsia="方正仿宋_GBK"/>
          <w:color w:val="000000"/>
          <w:sz w:val="24"/>
        </w:rPr>
        <w:t>4</w:t>
      </w:r>
      <w:r>
        <w:rPr>
          <w:rFonts w:hint="eastAsia" w:eastAsia="方正仿宋_GBK"/>
          <w:color w:val="000000"/>
          <w:sz w:val="24"/>
        </w:rPr>
        <w:t>，一式二份）；</w:t>
      </w:r>
    </w:p>
    <w:p>
      <w:pPr>
        <w:adjustRightInd w:val="0"/>
        <w:spacing w:line="460" w:lineRule="exact"/>
        <w:ind w:firstLine="480" w:firstLineChars="200"/>
        <w:rPr>
          <w:rFonts w:eastAsia="方正仿宋_GBK"/>
          <w:color w:val="000000"/>
          <w:sz w:val="24"/>
        </w:rPr>
      </w:pPr>
      <w:r>
        <w:rPr>
          <w:rFonts w:eastAsia="方正仿宋_GBK"/>
          <w:color w:val="000000"/>
          <w:sz w:val="24"/>
        </w:rPr>
        <w:t>2</w:t>
      </w:r>
      <w:r>
        <w:rPr>
          <w:rFonts w:hint="eastAsia" w:eastAsia="方正仿宋_GBK"/>
          <w:color w:val="000000"/>
          <w:sz w:val="24"/>
        </w:rPr>
        <w:t>、提供相应附件材料：</w:t>
      </w:r>
      <w:r>
        <w:rPr>
          <w:rFonts w:hint="eastAsia" w:ascii="Times New Roman" w:hAnsi="Times New Roman" w:cs="宋体"/>
          <w:color w:val="000000"/>
          <w:sz w:val="24"/>
        </w:rPr>
        <w:t>①</w:t>
      </w:r>
      <w:r>
        <w:rPr>
          <w:rFonts w:hint="eastAsia" w:eastAsia="方正仿宋_GBK"/>
          <w:color w:val="000000"/>
          <w:sz w:val="24"/>
        </w:rPr>
        <w:t>近两年曾工作过单位出具的职业道德证明；</w:t>
      </w:r>
      <w:r>
        <w:rPr>
          <w:rFonts w:hint="eastAsia" w:ascii="Times New Roman" w:hAnsi="Times New Roman" w:cs="宋体"/>
          <w:color w:val="000000"/>
          <w:sz w:val="24"/>
        </w:rPr>
        <w:t>②</w:t>
      </w:r>
      <w:r>
        <w:rPr>
          <w:rFonts w:hint="eastAsia" w:eastAsia="方正仿宋_GBK"/>
          <w:color w:val="000000"/>
          <w:sz w:val="24"/>
        </w:rPr>
        <w:t>身份证（复印件）；</w:t>
      </w:r>
      <w:r>
        <w:rPr>
          <w:rFonts w:hint="eastAsia" w:ascii="Times New Roman" w:hAnsi="Times New Roman" w:cs="宋体"/>
          <w:color w:val="000000"/>
          <w:sz w:val="24"/>
        </w:rPr>
        <w:t>③</w:t>
      </w:r>
      <w:r>
        <w:rPr>
          <w:rFonts w:hint="eastAsia" w:eastAsia="方正仿宋_GBK"/>
          <w:color w:val="000000"/>
          <w:sz w:val="24"/>
        </w:rPr>
        <w:t>职称证书及执业资格注册证书（复印件）；</w:t>
      </w:r>
      <w:r>
        <w:rPr>
          <w:rFonts w:hint="eastAsia" w:ascii="Times New Roman" w:hAnsi="Times New Roman" w:cs="宋体"/>
          <w:color w:val="000000"/>
          <w:sz w:val="24"/>
        </w:rPr>
        <w:t>④</w:t>
      </w:r>
      <w:r>
        <w:rPr>
          <w:rFonts w:hint="eastAsia" w:eastAsia="方正仿宋_GBK"/>
          <w:color w:val="000000"/>
          <w:sz w:val="24"/>
        </w:rPr>
        <w:t>符合规定的工作关系证明或与审查机构签订的聘用合同（复印件）；</w:t>
      </w:r>
      <w:r>
        <w:rPr>
          <w:rFonts w:hint="eastAsia" w:ascii="Times New Roman" w:hAnsi="Times New Roman" w:cs="宋体"/>
          <w:color w:val="000000"/>
          <w:sz w:val="24"/>
        </w:rPr>
        <w:t>⑤</w:t>
      </w:r>
      <w:r>
        <w:rPr>
          <w:rFonts w:hint="eastAsia" w:eastAsia="方正仿宋_GBK"/>
          <w:color w:val="000000"/>
          <w:sz w:val="24"/>
        </w:rPr>
        <w:t>近期</w:t>
      </w:r>
      <w:r>
        <w:rPr>
          <w:rFonts w:eastAsia="方正仿宋_GBK"/>
          <w:color w:val="000000"/>
          <w:sz w:val="24"/>
        </w:rPr>
        <w:t>1</w:t>
      </w:r>
      <w:r>
        <w:rPr>
          <w:rFonts w:hint="eastAsia" w:eastAsia="方正仿宋_GBK"/>
          <w:color w:val="000000"/>
          <w:sz w:val="24"/>
        </w:rPr>
        <w:t>寸彩色标准照片</w:t>
      </w:r>
      <w:r>
        <w:rPr>
          <w:rFonts w:eastAsia="方正仿宋_GBK"/>
          <w:color w:val="000000"/>
          <w:sz w:val="24"/>
        </w:rPr>
        <w:t>1</w:t>
      </w:r>
      <w:r>
        <w:rPr>
          <w:rFonts w:hint="eastAsia" w:eastAsia="方正仿宋_GBK"/>
          <w:color w:val="000000"/>
          <w:sz w:val="24"/>
        </w:rPr>
        <w:t>张（背面注明机构名称、专业和姓名）。</w:t>
      </w:r>
    </w:p>
    <w:p>
      <w:pPr>
        <w:adjustRightInd w:val="0"/>
        <w:spacing w:line="460" w:lineRule="exact"/>
        <w:ind w:firstLine="480" w:firstLineChars="200"/>
        <w:rPr>
          <w:rFonts w:eastAsia="方正仿宋_GBK"/>
          <w:color w:val="000000"/>
          <w:sz w:val="24"/>
        </w:rPr>
      </w:pPr>
      <w:r>
        <w:rPr>
          <w:rFonts w:eastAsia="方正仿宋_GBK"/>
          <w:color w:val="000000"/>
          <w:sz w:val="24"/>
        </w:rPr>
        <w:t>3</w:t>
      </w:r>
      <w:r>
        <w:rPr>
          <w:rFonts w:hint="eastAsia" w:eastAsia="方正仿宋_GBK"/>
          <w:color w:val="000000"/>
          <w:sz w:val="24"/>
        </w:rPr>
        <w:t>、申请表一份与附件材料（</w:t>
      </w:r>
      <w:r>
        <w:rPr>
          <w:rFonts w:eastAsia="方正仿宋_GBK"/>
          <w:color w:val="000000"/>
          <w:sz w:val="24"/>
        </w:rPr>
        <w:t>A4</w:t>
      </w:r>
      <w:r>
        <w:rPr>
          <w:rFonts w:hint="eastAsia" w:eastAsia="方正仿宋_GBK"/>
          <w:color w:val="000000"/>
          <w:sz w:val="24"/>
        </w:rPr>
        <w:t>大小，应有封面和目录）按《施工图设计文件审查人员核查汇总表》的填报顺序排列装订成册，其他一份申请表单列。</w:t>
      </w:r>
    </w:p>
    <w:p>
      <w:pPr>
        <w:adjustRightInd w:val="0"/>
        <w:spacing w:line="460" w:lineRule="exact"/>
        <w:ind w:firstLine="480" w:firstLineChars="200"/>
        <w:rPr>
          <w:rFonts w:eastAsia="方正仿宋_GBK"/>
          <w:color w:val="000000"/>
          <w:sz w:val="24"/>
        </w:rPr>
      </w:pPr>
    </w:p>
    <w:p>
      <w:pPr>
        <w:spacing w:line="460" w:lineRule="exact"/>
        <w:ind w:firstLine="480" w:firstLineChars="200"/>
        <w:rPr>
          <w:rFonts w:eastAsia="方正仿宋_GBK"/>
          <w:color w:val="000000"/>
          <w:kern w:val="0"/>
          <w:sz w:val="24"/>
        </w:rPr>
      </w:pPr>
      <w:r>
        <w:rPr>
          <w:rFonts w:hint="eastAsia" w:eastAsia="方正仿宋_GBK"/>
          <w:color w:val="000000"/>
          <w:kern w:val="0"/>
          <w:sz w:val="24"/>
        </w:rPr>
        <w:t>附件：</w:t>
      </w:r>
      <w:r>
        <w:rPr>
          <w:rFonts w:eastAsia="方正仿宋_GBK"/>
          <w:color w:val="000000"/>
          <w:kern w:val="0"/>
          <w:sz w:val="24"/>
        </w:rPr>
        <w:t>1. </w:t>
      </w:r>
      <w:r>
        <w:rPr>
          <w:rFonts w:hint="eastAsia" w:eastAsia="方正仿宋_GBK"/>
          <w:color w:val="000000"/>
          <w:kern w:val="0"/>
          <w:sz w:val="24"/>
        </w:rPr>
        <w:t>施工图设计文件审查机构认定申请表；</w:t>
      </w:r>
      <w:r>
        <w:rPr>
          <w:rFonts w:eastAsia="方正仿宋_GBK"/>
          <w:color w:val="000000"/>
          <w:kern w:val="0"/>
          <w:sz w:val="24"/>
        </w:rPr>
        <w:t xml:space="preserve"> </w:t>
      </w:r>
    </w:p>
    <w:p>
      <w:pPr>
        <w:spacing w:line="460" w:lineRule="exact"/>
        <w:ind w:firstLine="1171" w:firstLineChars="488"/>
        <w:rPr>
          <w:rFonts w:eastAsia="方正仿宋_GBK"/>
          <w:bCs/>
          <w:color w:val="000000"/>
          <w:kern w:val="0"/>
          <w:sz w:val="24"/>
        </w:rPr>
      </w:pPr>
      <w:r>
        <w:rPr>
          <w:rFonts w:eastAsia="方正仿宋_GBK"/>
          <w:color w:val="000000"/>
          <w:kern w:val="0"/>
          <w:sz w:val="24"/>
        </w:rPr>
        <w:t xml:space="preserve">2. </w:t>
      </w:r>
      <w:r>
        <w:rPr>
          <w:rFonts w:hint="eastAsia" w:eastAsia="方正仿宋_GBK"/>
          <w:color w:val="000000"/>
          <w:kern w:val="0"/>
          <w:sz w:val="24"/>
        </w:rPr>
        <w:t>施工图设计文件审查机构自审表；</w:t>
      </w:r>
    </w:p>
    <w:p>
      <w:pPr>
        <w:spacing w:line="460" w:lineRule="exact"/>
        <w:ind w:firstLine="1171" w:firstLineChars="488"/>
        <w:rPr>
          <w:rFonts w:eastAsia="方正仿宋_GBK"/>
          <w:color w:val="000000"/>
          <w:kern w:val="0"/>
          <w:sz w:val="24"/>
        </w:rPr>
      </w:pPr>
      <w:r>
        <w:rPr>
          <w:rFonts w:eastAsia="方正仿宋_GBK"/>
          <w:bCs/>
          <w:color w:val="000000"/>
          <w:kern w:val="0"/>
          <w:sz w:val="24"/>
        </w:rPr>
        <w:t>3</w:t>
      </w:r>
      <w:r>
        <w:rPr>
          <w:rFonts w:eastAsia="方正仿宋_GBK"/>
          <w:color w:val="000000"/>
          <w:kern w:val="0"/>
          <w:sz w:val="24"/>
        </w:rPr>
        <w:t>. </w:t>
      </w:r>
      <w:r>
        <w:rPr>
          <w:rFonts w:hint="eastAsia" w:eastAsia="方正仿宋_GBK"/>
          <w:color w:val="000000"/>
          <w:kern w:val="0"/>
          <w:sz w:val="24"/>
        </w:rPr>
        <w:t>施工图设计文件审查人员核查汇总表；</w:t>
      </w:r>
    </w:p>
    <w:p>
      <w:pPr>
        <w:spacing w:line="460" w:lineRule="exact"/>
        <w:ind w:firstLine="1171" w:firstLineChars="488"/>
        <w:rPr>
          <w:rFonts w:eastAsia="方正仿宋_GBK"/>
          <w:color w:val="000000"/>
          <w:kern w:val="0"/>
          <w:sz w:val="24"/>
        </w:rPr>
      </w:pPr>
      <w:r>
        <w:rPr>
          <w:rFonts w:eastAsia="方正仿宋_GBK"/>
          <w:color w:val="000000"/>
          <w:kern w:val="0"/>
          <w:sz w:val="24"/>
        </w:rPr>
        <w:t>4. </w:t>
      </w:r>
      <w:r>
        <w:rPr>
          <w:rFonts w:hint="eastAsia" w:eastAsia="方正仿宋_GBK"/>
          <w:color w:val="000000"/>
          <w:kern w:val="0"/>
          <w:sz w:val="24"/>
        </w:rPr>
        <w:t>施工图设计文件审查人员认定申请表。</w:t>
      </w:r>
    </w:p>
    <w:p>
      <w:pPr>
        <w:spacing w:line="460" w:lineRule="exact"/>
        <w:ind w:firstLine="480" w:firstLineChars="200"/>
        <w:rPr>
          <w:rFonts w:eastAsia="方正仿宋_GBK"/>
          <w:color w:val="000000"/>
          <w:kern w:val="0"/>
          <w:sz w:val="24"/>
        </w:rPr>
      </w:pPr>
    </w:p>
    <w:p>
      <w:pPr>
        <w:spacing w:line="460" w:lineRule="exact"/>
        <w:ind w:firstLine="480" w:firstLineChars="200"/>
        <w:rPr>
          <w:rFonts w:eastAsia="方正仿宋_GBK"/>
          <w:color w:val="000000"/>
          <w:kern w:val="0"/>
          <w:sz w:val="24"/>
        </w:rPr>
      </w:pPr>
    </w:p>
    <w:p>
      <w:pPr>
        <w:spacing w:line="460" w:lineRule="exact"/>
        <w:ind w:right="439" w:rightChars="209" w:firstLine="480" w:firstLineChars="200"/>
        <w:jc w:val="right"/>
        <w:rPr>
          <w:rFonts w:eastAsia="仿宋_GB2312"/>
          <w:color w:val="000000"/>
          <w:spacing w:val="20"/>
          <w:kern w:val="0"/>
          <w:sz w:val="32"/>
        </w:rPr>
      </w:pPr>
      <w:r>
        <w:rPr>
          <w:rFonts w:hint="eastAsia" w:eastAsia="方正仿宋_GBK"/>
          <w:color w:val="000000"/>
          <w:kern w:val="0"/>
          <w:sz w:val="24"/>
        </w:rPr>
        <w:t>二</w:t>
      </w:r>
      <w:r>
        <w:rPr>
          <w:rFonts w:hint="eastAsia" w:ascii="Times New Roman" w:hAnsi="Times New Roman"/>
          <w:color w:val="000000"/>
          <w:kern w:val="0"/>
          <w:sz w:val="24"/>
        </w:rPr>
        <w:t>○○</w:t>
      </w:r>
      <w:r>
        <w:rPr>
          <w:rFonts w:hint="eastAsia" w:eastAsia="方正仿宋_GBK"/>
          <w:color w:val="000000"/>
          <w:kern w:val="0"/>
          <w:sz w:val="24"/>
        </w:rPr>
        <w:t>四年十二月九日</w:t>
      </w:r>
    </w:p>
    <w:p>
      <w:pPr>
        <w:spacing w:line="560" w:lineRule="exact"/>
        <w:rPr>
          <w:rFonts w:eastAsia="黑体"/>
          <w:color w:val="000000"/>
          <w:sz w:val="28"/>
          <w:szCs w:val="28"/>
        </w:rPr>
      </w:pPr>
      <w:r>
        <w:rPr>
          <w:rFonts w:eastAsia="仿宋_GB2312"/>
          <w:color w:val="000000"/>
          <w:spacing w:val="20"/>
          <w:kern w:val="0"/>
          <w:sz w:val="32"/>
        </w:rPr>
        <w:br w:type="column"/>
      </w:r>
      <w:r>
        <w:rPr>
          <w:rFonts w:hint="eastAsia" w:eastAsia="黑体"/>
          <w:color w:val="000000"/>
          <w:sz w:val="28"/>
          <w:szCs w:val="28"/>
        </w:rPr>
        <w:t>附件</w:t>
      </w:r>
      <w:r>
        <w:rPr>
          <w:rFonts w:eastAsia="黑体"/>
          <w:color w:val="000000"/>
          <w:sz w:val="28"/>
          <w:szCs w:val="28"/>
        </w:rPr>
        <w:t>1</w:t>
      </w:r>
      <w:r>
        <w:rPr>
          <w:rFonts w:hint="eastAsia" w:eastAsia="黑体"/>
          <w:color w:val="000000"/>
          <w:sz w:val="28"/>
          <w:szCs w:val="28"/>
        </w:rPr>
        <w:t>：</w:t>
      </w:r>
    </w:p>
    <w:p>
      <w:pPr>
        <w:jc w:val="center"/>
        <w:rPr>
          <w:rFonts w:eastAsia="黑体"/>
          <w:color w:val="000000"/>
          <w:sz w:val="44"/>
        </w:rPr>
      </w:pPr>
    </w:p>
    <w:p>
      <w:pPr>
        <w:jc w:val="center"/>
        <w:rPr>
          <w:rFonts w:eastAsia="黑体"/>
          <w:color w:val="000000"/>
          <w:sz w:val="44"/>
        </w:rPr>
      </w:pPr>
    </w:p>
    <w:p>
      <w:pPr>
        <w:jc w:val="center"/>
        <w:rPr>
          <w:rFonts w:eastAsia="黑体"/>
          <w:color w:val="000000"/>
          <w:sz w:val="44"/>
        </w:rPr>
      </w:pPr>
      <w:r>
        <w:rPr>
          <w:rFonts w:hint="eastAsia" w:eastAsia="黑体"/>
          <w:color w:val="000000"/>
          <w:sz w:val="44"/>
        </w:rPr>
        <w:t>施工图设计文件审查机构认定申请表</w:t>
      </w:r>
    </w:p>
    <w:p>
      <w:pPr>
        <w:jc w:val="center"/>
        <w:rPr>
          <w:rFonts w:eastAsia="黑体"/>
          <w:color w:val="000000"/>
          <w:sz w:val="36"/>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rFonts w:ascii="Times New Roman" w:eastAsia="仿宋_GB2312"/>
          <w:color w:val="000000"/>
        </w:rPr>
      </w:pPr>
    </w:p>
    <w:p>
      <w:pPr>
        <w:rPr>
          <w:rFonts w:hint="eastAsia" w:ascii="Times New Roman" w:eastAsia="仿宋_GB2312"/>
          <w:color w:val="000000"/>
        </w:rPr>
      </w:pPr>
    </w:p>
    <w:p>
      <w:pPr>
        <w:rPr>
          <w:rFonts w:hint="eastAsia" w:ascii="Times New Roman" w:eastAsia="仿宋_GB2312"/>
          <w:color w:val="000000"/>
        </w:rPr>
      </w:pPr>
    </w:p>
    <w:p>
      <w:pPr>
        <w:rPr>
          <w:rFonts w:hint="eastAsia" w:ascii="Times New Roman" w:eastAsia="仿宋_GB2312"/>
          <w:color w:val="000000"/>
          <w:sz w:val="32"/>
        </w:rPr>
      </w:pPr>
      <w:r>
        <w:rPr>
          <w:rFonts w:hint="eastAsia" w:ascii="Times New Roman" w:eastAsia="仿宋_GB2312"/>
          <w:color w:val="000000"/>
        </w:rPr>
        <w:t xml:space="preserve"> </w:t>
      </w:r>
      <w:r>
        <w:rPr>
          <w:rFonts w:hint="eastAsia" w:ascii="Times New Roman" w:eastAsia="仿宋_GB2312"/>
          <w:color w:val="000000"/>
          <w:sz w:val="28"/>
        </w:rPr>
        <w:t xml:space="preserve">       </w:t>
      </w:r>
      <w:r>
        <w:rPr>
          <w:rFonts w:hint="eastAsia" w:ascii="Times New Roman" w:eastAsia="仿宋_GB2312"/>
          <w:color w:val="000000"/>
          <w:sz w:val="32"/>
        </w:rPr>
        <w:t xml:space="preserve">申报机构：                         </w:t>
      </w:r>
    </w:p>
    <w:p>
      <w:pPr>
        <w:rPr>
          <w:rFonts w:hint="eastAsia" w:ascii="Times New Roman" w:eastAsia="仿宋_GB2312"/>
          <w:color w:val="000000"/>
          <w:sz w:val="28"/>
        </w:rPr>
      </w:pPr>
      <w:r>
        <w:rPr>
          <w:rFonts w:hint="eastAsia" w:ascii="Times New Roman" w:eastAsia="仿宋_GB2312"/>
          <w:color w:val="000000"/>
        </w:rPr>
        <w:t xml:space="preserve"> </w:t>
      </w:r>
      <w:r>
        <w:rPr>
          <w:rFonts w:hint="eastAsia" w:ascii="Times New Roman" w:eastAsia="仿宋_GB2312"/>
          <w:color w:val="000000"/>
          <w:sz w:val="28"/>
        </w:rPr>
        <w:t xml:space="preserve">       </w:t>
      </w:r>
    </w:p>
    <w:p>
      <w:pPr>
        <w:rPr>
          <w:rFonts w:hint="eastAsia" w:ascii="Times New Roman" w:eastAsia="仿宋_GB2312"/>
          <w:color w:val="000000"/>
          <w:sz w:val="28"/>
        </w:rPr>
      </w:pPr>
    </w:p>
    <w:p>
      <w:pPr>
        <w:ind w:firstLine="1072" w:firstLineChars="335"/>
        <w:rPr>
          <w:rFonts w:hint="eastAsia" w:ascii="Times New Roman" w:eastAsia="仿宋_GB2312"/>
          <w:color w:val="000000"/>
          <w:sz w:val="32"/>
        </w:rPr>
      </w:pPr>
      <w:r>
        <w:rPr>
          <w:rFonts w:hint="eastAsia" w:ascii="Times New Roman" w:eastAsia="仿宋_GB2312"/>
          <w:color w:val="000000"/>
          <w:sz w:val="32"/>
        </w:rPr>
        <w:t xml:space="preserve">申报级别：                         </w:t>
      </w:r>
    </w:p>
    <w:p>
      <w:pPr>
        <w:ind w:firstLine="1072" w:firstLineChars="335"/>
        <w:rPr>
          <w:rFonts w:hint="eastAsia" w:ascii="Times New Roman" w:eastAsia="仿宋_GB2312"/>
          <w:color w:val="000000"/>
          <w:sz w:val="32"/>
        </w:rPr>
      </w:pPr>
      <w:r>
        <w:rPr>
          <w:rFonts w:hint="eastAsia" w:ascii="Times New Roman" w:eastAsia="仿宋_GB2312"/>
          <w:color w:val="000000"/>
          <w:sz w:val="32"/>
        </w:rPr>
        <w:t xml:space="preserve">       </w:t>
      </w:r>
    </w:p>
    <w:p>
      <w:pPr>
        <w:ind w:firstLine="1072" w:firstLineChars="335"/>
        <w:rPr>
          <w:rFonts w:hint="eastAsia" w:ascii="Times New Roman" w:eastAsia="仿宋_GB2312"/>
          <w:color w:val="000000"/>
          <w:sz w:val="32"/>
        </w:rPr>
      </w:pPr>
    </w:p>
    <w:p>
      <w:pPr>
        <w:ind w:firstLine="1072" w:firstLineChars="335"/>
        <w:rPr>
          <w:rFonts w:hint="eastAsia" w:ascii="Times New Roman" w:eastAsia="仿宋_GB2312"/>
          <w:color w:val="000000"/>
          <w:sz w:val="32"/>
        </w:rPr>
      </w:pPr>
      <w:r>
        <w:rPr>
          <w:rFonts w:hint="eastAsia" w:ascii="Times New Roman" w:eastAsia="仿宋_GB2312"/>
          <w:color w:val="000000"/>
          <w:sz w:val="32"/>
        </w:rPr>
        <w:t xml:space="preserve">填报日期：                         </w:t>
      </w:r>
    </w:p>
    <w:p>
      <w:pPr>
        <w:rPr>
          <w:rFonts w:hint="eastAsia" w:ascii="Times New Roman" w:eastAsia="仿宋_GB2312"/>
          <w:color w:val="000000"/>
        </w:rPr>
      </w:pPr>
    </w:p>
    <w:p>
      <w:pPr>
        <w:rPr>
          <w:rFonts w:hint="eastAsia" w:ascii="Times New Roman" w:eastAsia="仿宋_GB2312"/>
          <w:color w:val="000000"/>
        </w:rPr>
      </w:pPr>
    </w:p>
    <w:p>
      <w:pPr>
        <w:rPr>
          <w:rFonts w:hint="eastAsia" w:ascii="Times New Roman" w:eastAsia="仿宋_GB2312"/>
          <w:color w:val="000000"/>
        </w:rPr>
      </w:pPr>
    </w:p>
    <w:p>
      <w:pPr>
        <w:rPr>
          <w:rFonts w:hint="eastAsia" w:ascii="Times New Roman" w:eastAsia="仿宋_GB2312"/>
          <w:color w:val="000000"/>
        </w:rPr>
      </w:pPr>
    </w:p>
    <w:p>
      <w:pPr>
        <w:rPr>
          <w:rFonts w:hint="eastAsia" w:ascii="Times New Roman" w:eastAsia="仿宋_GB2312"/>
          <w:color w:val="000000"/>
        </w:rPr>
      </w:pPr>
    </w:p>
    <w:p>
      <w:pPr>
        <w:rPr>
          <w:rFonts w:hint="eastAsia" w:ascii="Times New Roman" w:eastAsia="仿宋_GB2312"/>
          <w:color w:val="000000"/>
        </w:rPr>
      </w:pPr>
    </w:p>
    <w:p>
      <w:pPr>
        <w:rPr>
          <w:rFonts w:hint="eastAsia" w:ascii="Times New Roman" w:eastAsia="仿宋_GB2312"/>
          <w:color w:val="000000"/>
        </w:rPr>
      </w:pPr>
    </w:p>
    <w:p>
      <w:pPr>
        <w:rPr>
          <w:rFonts w:hint="eastAsia" w:ascii="Times New Roman" w:eastAsia="仿宋_GB2312"/>
          <w:color w:val="000000"/>
        </w:rPr>
      </w:pPr>
    </w:p>
    <w:p>
      <w:pPr>
        <w:rPr>
          <w:rFonts w:hint="eastAsia" w:ascii="Times New Roman" w:eastAsia="仿宋_GB2312"/>
          <w:color w:val="000000"/>
        </w:rPr>
      </w:pPr>
    </w:p>
    <w:p>
      <w:pPr>
        <w:rPr>
          <w:rFonts w:hint="eastAsia" w:ascii="Times New Roman" w:eastAsia="仿宋_GB2312"/>
          <w:color w:val="000000"/>
        </w:rPr>
      </w:pPr>
    </w:p>
    <w:p>
      <w:pPr>
        <w:rPr>
          <w:rFonts w:hint="eastAsia" w:ascii="Times New Roman" w:eastAsia="仿宋_GB2312"/>
          <w:color w:val="000000"/>
        </w:rPr>
      </w:pPr>
    </w:p>
    <w:p>
      <w:pPr>
        <w:rPr>
          <w:rFonts w:hint="eastAsia" w:ascii="Times New Roman" w:eastAsia="仿宋_GB2312"/>
          <w:color w:val="000000"/>
        </w:rPr>
      </w:pPr>
    </w:p>
    <w:p>
      <w:pPr>
        <w:tabs>
          <w:tab w:val="left" w:pos="5940"/>
        </w:tabs>
        <w:jc w:val="center"/>
        <w:rPr>
          <w:rFonts w:hint="eastAsia" w:ascii="Times New Roman" w:eastAsia="仿宋_GB2312"/>
          <w:color w:val="000000"/>
          <w:sz w:val="32"/>
        </w:rPr>
      </w:pPr>
      <w:r>
        <w:rPr>
          <w:rFonts w:hint="eastAsia" w:ascii="Times New Roman" w:eastAsia="仿宋_GB2312"/>
          <w:color w:val="000000"/>
          <w:sz w:val="32"/>
        </w:rPr>
        <w:t>江苏省住房和城乡建设厅制</w:t>
      </w:r>
    </w:p>
    <w:p>
      <w:pPr>
        <w:tabs>
          <w:tab w:val="left" w:pos="5940"/>
        </w:tabs>
        <w:jc w:val="center"/>
        <w:rPr>
          <w:rFonts w:hint="eastAsia"/>
          <w:color w:val="000000"/>
          <w:sz w:val="32"/>
        </w:rPr>
      </w:pPr>
    </w:p>
    <w:p>
      <w:pPr>
        <w:jc w:val="center"/>
        <w:rPr>
          <w:rFonts w:eastAsia="仿宋_GB2312"/>
          <w:b/>
          <w:color w:val="000000"/>
          <w:sz w:val="24"/>
        </w:rPr>
      </w:pPr>
      <w:r>
        <w:rPr>
          <w:rFonts w:eastAsia="仿宋_GB2312"/>
          <w:b/>
          <w:color w:val="000000"/>
          <w:sz w:val="32"/>
        </w:rPr>
        <w:br w:type="column"/>
      </w:r>
      <w:r>
        <w:rPr>
          <w:rFonts w:hint="eastAsia" w:eastAsia="仿宋_GB2312"/>
          <w:b/>
          <w:color w:val="000000"/>
          <w:sz w:val="24"/>
        </w:rPr>
        <w:t>一、机构基本情况</w:t>
      </w:r>
    </w:p>
    <w:tbl>
      <w:tblPr>
        <w:tblStyle w:val="12"/>
        <w:tblW w:w="0" w:type="auto"/>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1683"/>
        <w:gridCol w:w="80"/>
        <w:gridCol w:w="465"/>
        <w:gridCol w:w="175"/>
        <w:gridCol w:w="540"/>
        <w:gridCol w:w="180"/>
        <w:gridCol w:w="1259"/>
        <w:gridCol w:w="395"/>
        <w:gridCol w:w="1224"/>
        <w:gridCol w:w="1619"/>
        <w:gridCol w:w="180"/>
        <w:gridCol w:w="1569"/>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49" w:hRule="atLeast"/>
          <w:jc w:val="center"/>
        </w:trPr>
        <w:tc>
          <w:tcPr>
            <w:tcW w:w="1683"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distribute"/>
              <w:rPr>
                <w:rFonts w:eastAsia="仿宋_GB2312"/>
                <w:color w:val="000000"/>
                <w:kern w:val="0"/>
                <w:szCs w:val="21"/>
              </w:rPr>
            </w:pPr>
            <w:r>
              <w:rPr>
                <w:rFonts w:hint="eastAsia" w:eastAsia="仿宋_GB2312"/>
                <w:color w:val="000000"/>
                <w:kern w:val="0"/>
                <w:szCs w:val="21"/>
              </w:rPr>
              <w:t>机构名称</w:t>
            </w:r>
          </w:p>
        </w:tc>
        <w:tc>
          <w:tcPr>
            <w:tcW w:w="4318" w:type="dxa"/>
            <w:gridSpan w:val="8"/>
            <w:tcBorders>
              <w:top w:val="single" w:color="auto" w:sz="4" w:space="0"/>
              <w:left w:val="single" w:color="auto" w:sz="4" w:space="0"/>
              <w:bottom w:val="single" w:color="auto" w:sz="4" w:space="0"/>
              <w:right w:val="single" w:color="auto" w:sz="4" w:space="0"/>
            </w:tcBorders>
            <w:noWrap w:val="0"/>
            <w:vAlign w:val="top"/>
          </w:tcPr>
          <w:p>
            <w:pPr>
              <w:spacing w:line="480" w:lineRule="exact"/>
              <w:rPr>
                <w:rFonts w:eastAsia="仿宋_GB2312"/>
                <w:color w:val="000000"/>
                <w:kern w:val="0"/>
                <w:szCs w:val="21"/>
              </w:rPr>
            </w:pPr>
          </w:p>
        </w:tc>
        <w:tc>
          <w:tcPr>
            <w:tcW w:w="1619"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distribute"/>
              <w:rPr>
                <w:rFonts w:eastAsia="仿宋_GB2312"/>
                <w:color w:val="000000"/>
                <w:kern w:val="0"/>
                <w:szCs w:val="21"/>
              </w:rPr>
            </w:pPr>
            <w:r>
              <w:rPr>
                <w:rFonts w:hint="eastAsia" w:eastAsia="仿宋_GB2312"/>
                <w:color w:val="000000"/>
                <w:kern w:val="0"/>
                <w:szCs w:val="21"/>
              </w:rPr>
              <w:t>联系人</w:t>
            </w:r>
          </w:p>
        </w:tc>
        <w:tc>
          <w:tcPr>
            <w:tcW w:w="1749" w:type="dxa"/>
            <w:gridSpan w:val="2"/>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eastAsia="仿宋_GB2312"/>
                <w:color w:val="000000"/>
                <w:kern w:val="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41" w:hRule="atLeast"/>
          <w:jc w:val="center"/>
        </w:trPr>
        <w:tc>
          <w:tcPr>
            <w:tcW w:w="1683"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distribute"/>
              <w:rPr>
                <w:rFonts w:eastAsia="仿宋_GB2312"/>
                <w:color w:val="000000"/>
                <w:kern w:val="0"/>
                <w:szCs w:val="21"/>
              </w:rPr>
            </w:pPr>
            <w:r>
              <w:rPr>
                <w:rFonts w:hint="eastAsia" w:eastAsia="仿宋_GB2312"/>
                <w:color w:val="000000"/>
                <w:kern w:val="0"/>
                <w:szCs w:val="21"/>
              </w:rPr>
              <w:t>机构地址</w:t>
            </w:r>
          </w:p>
        </w:tc>
        <w:tc>
          <w:tcPr>
            <w:tcW w:w="4318" w:type="dxa"/>
            <w:gridSpan w:val="8"/>
            <w:tcBorders>
              <w:top w:val="single" w:color="auto" w:sz="4" w:space="0"/>
              <w:left w:val="single" w:color="auto" w:sz="4" w:space="0"/>
              <w:bottom w:val="single" w:color="auto" w:sz="4" w:space="0"/>
              <w:right w:val="single" w:color="auto" w:sz="4" w:space="0"/>
            </w:tcBorders>
            <w:noWrap w:val="0"/>
            <w:vAlign w:val="top"/>
          </w:tcPr>
          <w:p>
            <w:pPr>
              <w:spacing w:line="480" w:lineRule="exact"/>
              <w:rPr>
                <w:rFonts w:eastAsia="仿宋_GB2312"/>
                <w:color w:val="000000"/>
                <w:kern w:val="0"/>
                <w:szCs w:val="21"/>
              </w:rPr>
            </w:pPr>
          </w:p>
        </w:tc>
        <w:tc>
          <w:tcPr>
            <w:tcW w:w="1619"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distribute"/>
              <w:rPr>
                <w:rFonts w:eastAsia="仿宋_GB2312"/>
                <w:color w:val="000000"/>
                <w:kern w:val="0"/>
                <w:szCs w:val="21"/>
              </w:rPr>
            </w:pPr>
            <w:r>
              <w:rPr>
                <w:rFonts w:hint="eastAsia" w:eastAsia="仿宋_GB2312"/>
                <w:color w:val="000000"/>
                <w:kern w:val="0"/>
                <w:szCs w:val="21"/>
              </w:rPr>
              <w:t>邮政编码</w:t>
            </w:r>
          </w:p>
        </w:tc>
        <w:tc>
          <w:tcPr>
            <w:tcW w:w="1749" w:type="dxa"/>
            <w:gridSpan w:val="2"/>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eastAsia="仿宋_GB2312"/>
                <w:color w:val="000000"/>
                <w:kern w:val="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18" w:hRule="atLeast"/>
          <w:jc w:val="center"/>
        </w:trPr>
        <w:tc>
          <w:tcPr>
            <w:tcW w:w="1683"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distribute"/>
              <w:rPr>
                <w:rFonts w:eastAsia="仿宋_GB2312"/>
                <w:color w:val="000000"/>
                <w:kern w:val="0"/>
                <w:szCs w:val="21"/>
              </w:rPr>
            </w:pPr>
            <w:r>
              <w:rPr>
                <w:rFonts w:hint="eastAsia" w:eastAsia="仿宋_GB2312"/>
                <w:color w:val="000000"/>
                <w:kern w:val="0"/>
                <w:szCs w:val="21"/>
              </w:rPr>
              <w:t>成立时间</w:t>
            </w:r>
          </w:p>
        </w:tc>
        <w:tc>
          <w:tcPr>
            <w:tcW w:w="1260" w:type="dxa"/>
            <w:gridSpan w:val="4"/>
            <w:tcBorders>
              <w:top w:val="single" w:color="auto" w:sz="4" w:space="0"/>
              <w:left w:val="single" w:color="auto" w:sz="4" w:space="0"/>
              <w:bottom w:val="single" w:color="auto" w:sz="4" w:space="0"/>
              <w:right w:val="single" w:color="auto" w:sz="4" w:space="0"/>
            </w:tcBorders>
            <w:noWrap w:val="0"/>
            <w:vAlign w:val="top"/>
          </w:tcPr>
          <w:p>
            <w:pPr>
              <w:spacing w:line="480" w:lineRule="exact"/>
              <w:rPr>
                <w:rFonts w:eastAsia="仿宋_GB2312"/>
                <w:color w:val="000000"/>
                <w:kern w:val="0"/>
                <w:szCs w:val="21"/>
              </w:rPr>
            </w:pPr>
          </w:p>
        </w:tc>
        <w:tc>
          <w:tcPr>
            <w:tcW w:w="1439" w:type="dxa"/>
            <w:gridSpan w:val="2"/>
            <w:tcBorders>
              <w:top w:val="single" w:color="auto" w:sz="4" w:space="0"/>
              <w:left w:val="single" w:color="auto" w:sz="4" w:space="0"/>
              <w:bottom w:val="single" w:color="auto" w:sz="4" w:space="0"/>
              <w:right w:val="single" w:color="auto" w:sz="4" w:space="0"/>
            </w:tcBorders>
            <w:noWrap w:val="0"/>
            <w:vAlign w:val="center"/>
          </w:tcPr>
          <w:p>
            <w:pPr>
              <w:spacing w:line="480" w:lineRule="exact"/>
              <w:jc w:val="distribute"/>
              <w:rPr>
                <w:rFonts w:eastAsia="仿宋_GB2312"/>
                <w:color w:val="000000"/>
                <w:kern w:val="0"/>
                <w:szCs w:val="21"/>
              </w:rPr>
            </w:pPr>
            <w:r>
              <w:rPr>
                <w:rFonts w:hint="eastAsia" w:eastAsia="仿宋_GB2312"/>
                <w:color w:val="000000"/>
                <w:kern w:val="0"/>
                <w:szCs w:val="21"/>
              </w:rPr>
              <w:t>机构性质</w:t>
            </w:r>
          </w:p>
        </w:tc>
        <w:tc>
          <w:tcPr>
            <w:tcW w:w="1619" w:type="dxa"/>
            <w:gridSpan w:val="2"/>
            <w:tcBorders>
              <w:top w:val="single" w:color="auto" w:sz="4" w:space="0"/>
              <w:left w:val="single" w:color="auto" w:sz="4" w:space="0"/>
              <w:bottom w:val="single" w:color="auto" w:sz="4" w:space="0"/>
              <w:right w:val="single" w:color="auto" w:sz="4" w:space="0"/>
            </w:tcBorders>
            <w:noWrap w:val="0"/>
            <w:vAlign w:val="top"/>
          </w:tcPr>
          <w:p>
            <w:pPr>
              <w:spacing w:line="480" w:lineRule="exact"/>
              <w:rPr>
                <w:rFonts w:eastAsia="仿宋_GB2312"/>
                <w:color w:val="000000"/>
                <w:kern w:val="0"/>
                <w:szCs w:val="21"/>
              </w:rPr>
            </w:pPr>
          </w:p>
        </w:tc>
        <w:tc>
          <w:tcPr>
            <w:tcW w:w="1619"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distribute"/>
              <w:rPr>
                <w:rFonts w:eastAsia="仿宋_GB2312"/>
                <w:color w:val="000000"/>
                <w:kern w:val="0"/>
                <w:szCs w:val="21"/>
              </w:rPr>
            </w:pPr>
            <w:r>
              <w:rPr>
                <w:rFonts w:hint="eastAsia" w:eastAsia="仿宋_GB2312"/>
                <w:color w:val="000000"/>
                <w:kern w:val="0"/>
                <w:szCs w:val="21"/>
              </w:rPr>
              <w:t>联系电话</w:t>
            </w:r>
          </w:p>
        </w:tc>
        <w:tc>
          <w:tcPr>
            <w:tcW w:w="1749" w:type="dxa"/>
            <w:gridSpan w:val="2"/>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eastAsia="仿宋_GB2312"/>
                <w:color w:val="000000"/>
                <w:kern w:val="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94" w:hRule="atLeast"/>
          <w:jc w:val="center"/>
        </w:trPr>
        <w:tc>
          <w:tcPr>
            <w:tcW w:w="1683"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distribute"/>
              <w:rPr>
                <w:rFonts w:eastAsia="仿宋_GB2312"/>
                <w:color w:val="000000"/>
                <w:spacing w:val="-20"/>
                <w:kern w:val="0"/>
                <w:szCs w:val="21"/>
              </w:rPr>
            </w:pPr>
            <w:r>
              <w:rPr>
                <w:rFonts w:hint="eastAsia" w:eastAsia="仿宋_GB2312"/>
                <w:color w:val="000000"/>
                <w:spacing w:val="-20"/>
                <w:kern w:val="0"/>
                <w:szCs w:val="21"/>
              </w:rPr>
              <w:t>办公场所面积</w:t>
            </w:r>
          </w:p>
          <w:p>
            <w:pPr>
              <w:spacing w:line="300" w:lineRule="exact"/>
              <w:jc w:val="distribute"/>
              <w:rPr>
                <w:rFonts w:eastAsia="仿宋_GB2312"/>
                <w:color w:val="000000"/>
                <w:spacing w:val="-20"/>
                <w:kern w:val="0"/>
                <w:szCs w:val="21"/>
              </w:rPr>
            </w:pPr>
            <w:r>
              <w:rPr>
                <w:rFonts w:hint="eastAsia" w:eastAsia="仿宋_GB2312"/>
                <w:color w:val="000000"/>
                <w:spacing w:val="-20"/>
                <w:kern w:val="0"/>
                <w:szCs w:val="21"/>
              </w:rPr>
              <w:t>（平米）</w:t>
            </w:r>
          </w:p>
        </w:tc>
        <w:tc>
          <w:tcPr>
            <w:tcW w:w="1260" w:type="dxa"/>
            <w:gridSpan w:val="4"/>
            <w:tcBorders>
              <w:top w:val="single" w:color="auto" w:sz="4" w:space="0"/>
              <w:left w:val="single" w:color="auto" w:sz="4" w:space="0"/>
              <w:bottom w:val="single" w:color="auto" w:sz="4" w:space="0"/>
              <w:right w:val="single" w:color="auto" w:sz="4" w:space="0"/>
            </w:tcBorders>
            <w:noWrap w:val="0"/>
            <w:vAlign w:val="top"/>
          </w:tcPr>
          <w:p>
            <w:pPr>
              <w:spacing w:line="300" w:lineRule="exact"/>
              <w:jc w:val="left"/>
              <w:rPr>
                <w:rFonts w:eastAsia="仿宋_GB2312"/>
                <w:color w:val="000000"/>
                <w:kern w:val="0"/>
                <w:szCs w:val="21"/>
              </w:rPr>
            </w:pPr>
          </w:p>
          <w:p>
            <w:pPr>
              <w:spacing w:line="300" w:lineRule="exact"/>
              <w:rPr>
                <w:rFonts w:eastAsia="仿宋_GB2312"/>
                <w:color w:val="000000"/>
                <w:kern w:val="0"/>
                <w:szCs w:val="21"/>
              </w:rPr>
            </w:pPr>
          </w:p>
        </w:tc>
        <w:tc>
          <w:tcPr>
            <w:tcW w:w="1439" w:type="dxa"/>
            <w:gridSpan w:val="2"/>
            <w:tcBorders>
              <w:top w:val="single" w:color="auto" w:sz="4" w:space="0"/>
              <w:left w:val="single" w:color="auto" w:sz="4" w:space="0"/>
              <w:bottom w:val="single" w:color="auto" w:sz="4" w:space="0"/>
              <w:right w:val="single" w:color="auto" w:sz="4" w:space="0"/>
            </w:tcBorders>
            <w:noWrap w:val="0"/>
            <w:vAlign w:val="center"/>
          </w:tcPr>
          <w:p>
            <w:pPr>
              <w:spacing w:line="300" w:lineRule="exact"/>
              <w:jc w:val="distribute"/>
              <w:rPr>
                <w:rFonts w:eastAsia="仿宋_GB2312"/>
                <w:color w:val="000000"/>
                <w:kern w:val="0"/>
                <w:szCs w:val="21"/>
              </w:rPr>
            </w:pPr>
            <w:r>
              <w:rPr>
                <w:rFonts w:hint="eastAsia" w:eastAsia="仿宋_GB2312"/>
                <w:color w:val="000000"/>
                <w:kern w:val="0"/>
                <w:szCs w:val="21"/>
              </w:rPr>
              <w:t>注册资金</w:t>
            </w:r>
          </w:p>
          <w:p>
            <w:pPr>
              <w:spacing w:line="300" w:lineRule="exact"/>
              <w:jc w:val="distribute"/>
              <w:rPr>
                <w:rFonts w:eastAsia="仿宋_GB2312"/>
                <w:color w:val="000000"/>
                <w:kern w:val="0"/>
                <w:szCs w:val="21"/>
              </w:rPr>
            </w:pPr>
            <w:r>
              <w:rPr>
                <w:rFonts w:hint="eastAsia" w:eastAsia="仿宋_GB2312"/>
                <w:color w:val="000000"/>
                <w:kern w:val="0"/>
                <w:szCs w:val="21"/>
              </w:rPr>
              <w:t>（万元）</w:t>
            </w:r>
          </w:p>
        </w:tc>
        <w:tc>
          <w:tcPr>
            <w:tcW w:w="1619" w:type="dxa"/>
            <w:gridSpan w:val="2"/>
            <w:tcBorders>
              <w:top w:val="single" w:color="auto" w:sz="4" w:space="0"/>
              <w:left w:val="single" w:color="auto" w:sz="4" w:space="0"/>
              <w:bottom w:val="single" w:color="auto" w:sz="4" w:space="0"/>
              <w:right w:val="single" w:color="auto" w:sz="4" w:space="0"/>
            </w:tcBorders>
            <w:noWrap w:val="0"/>
            <w:vAlign w:val="top"/>
          </w:tcPr>
          <w:p>
            <w:pPr>
              <w:spacing w:line="300" w:lineRule="exact"/>
              <w:jc w:val="left"/>
              <w:rPr>
                <w:rFonts w:eastAsia="仿宋_GB2312"/>
                <w:color w:val="000000"/>
                <w:kern w:val="0"/>
                <w:szCs w:val="21"/>
              </w:rPr>
            </w:pPr>
          </w:p>
          <w:p>
            <w:pPr>
              <w:spacing w:line="300" w:lineRule="exact"/>
              <w:rPr>
                <w:rFonts w:eastAsia="仿宋_GB2312"/>
                <w:color w:val="000000"/>
                <w:kern w:val="0"/>
                <w:szCs w:val="21"/>
              </w:rPr>
            </w:pPr>
          </w:p>
        </w:tc>
        <w:tc>
          <w:tcPr>
            <w:tcW w:w="161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distribute"/>
              <w:rPr>
                <w:rFonts w:eastAsia="仿宋_GB2312"/>
                <w:color w:val="000000"/>
                <w:kern w:val="0"/>
                <w:szCs w:val="21"/>
              </w:rPr>
            </w:pPr>
            <w:r>
              <w:rPr>
                <w:rFonts w:hint="eastAsia" w:eastAsia="仿宋_GB2312"/>
                <w:color w:val="000000"/>
                <w:kern w:val="0"/>
                <w:szCs w:val="21"/>
              </w:rPr>
              <w:t>人员总数</w:t>
            </w:r>
          </w:p>
        </w:tc>
        <w:tc>
          <w:tcPr>
            <w:tcW w:w="1749" w:type="dxa"/>
            <w:gridSpan w:val="2"/>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eastAsia="仿宋_GB2312"/>
                <w:color w:val="000000"/>
                <w:kern w:val="0"/>
                <w:szCs w:val="21"/>
              </w:rPr>
            </w:pPr>
          </w:p>
          <w:p>
            <w:pPr>
              <w:spacing w:line="300" w:lineRule="exact"/>
              <w:jc w:val="center"/>
              <w:rPr>
                <w:rFonts w:eastAsia="仿宋_GB2312"/>
                <w:color w:val="000000"/>
                <w:kern w:val="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trHeight w:val="306" w:hRule="atLeast"/>
          <w:jc w:val="center"/>
        </w:trPr>
        <w:tc>
          <w:tcPr>
            <w:tcW w:w="168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_GB2312"/>
                <w:color w:val="000000"/>
                <w:szCs w:val="21"/>
              </w:rPr>
            </w:pPr>
            <w:r>
              <w:rPr>
                <w:rFonts w:hint="eastAsia" w:eastAsia="仿宋_GB2312"/>
                <w:color w:val="000000"/>
                <w:szCs w:val="21"/>
              </w:rPr>
              <w:t>审查</w:t>
            </w:r>
          </w:p>
          <w:p>
            <w:pPr>
              <w:jc w:val="center"/>
              <w:rPr>
                <w:rFonts w:eastAsia="仿宋_GB2312"/>
                <w:color w:val="000000"/>
                <w:szCs w:val="21"/>
              </w:rPr>
            </w:pPr>
            <w:r>
              <w:rPr>
                <w:rFonts w:hint="eastAsia" w:eastAsia="仿宋_GB2312"/>
                <w:color w:val="000000"/>
                <w:szCs w:val="21"/>
              </w:rPr>
              <w:t>人员</w:t>
            </w:r>
          </w:p>
          <w:p>
            <w:pPr>
              <w:jc w:val="center"/>
              <w:rPr>
                <w:rFonts w:eastAsia="仿宋_GB2312"/>
                <w:color w:val="000000"/>
                <w:szCs w:val="21"/>
              </w:rPr>
            </w:pPr>
            <w:r>
              <w:rPr>
                <w:rFonts w:hint="eastAsia" w:eastAsia="仿宋_GB2312"/>
                <w:color w:val="000000"/>
                <w:szCs w:val="21"/>
              </w:rPr>
              <w:t>总数</w:t>
            </w:r>
          </w:p>
          <w:p>
            <w:pPr>
              <w:jc w:val="center"/>
              <w:rPr>
                <w:rFonts w:eastAsia="仿宋_GB2312"/>
                <w:color w:val="000000"/>
                <w:szCs w:val="21"/>
              </w:rPr>
            </w:pPr>
            <w:r>
              <w:rPr>
                <w:rFonts w:hint="eastAsia" w:eastAsia="仿宋_GB2312"/>
                <w:color w:val="000000"/>
                <w:szCs w:val="21"/>
              </w:rPr>
              <w:t>人</w:t>
            </w:r>
          </w:p>
        </w:tc>
        <w:tc>
          <w:tcPr>
            <w:tcW w:w="7686" w:type="dxa"/>
            <w:gridSpan w:val="11"/>
            <w:tcBorders>
              <w:top w:val="single" w:color="auto" w:sz="4" w:space="0"/>
              <w:left w:val="single" w:color="auto" w:sz="4" w:space="0"/>
              <w:bottom w:val="single" w:color="auto" w:sz="4" w:space="0"/>
              <w:right w:val="single" w:color="auto" w:sz="4" w:space="0"/>
            </w:tcBorders>
            <w:noWrap w:val="0"/>
            <w:vAlign w:val="top"/>
          </w:tcPr>
          <w:p>
            <w:pPr>
              <w:snapToGrid w:val="0"/>
              <w:spacing w:line="480" w:lineRule="exact"/>
              <w:rPr>
                <w:rFonts w:eastAsia="仿宋_GB2312"/>
                <w:color w:val="000000"/>
                <w:szCs w:val="21"/>
              </w:rPr>
            </w:pPr>
          </w:p>
          <w:p>
            <w:pPr>
              <w:snapToGrid w:val="0"/>
              <w:spacing w:line="480" w:lineRule="exact"/>
              <w:ind w:firstLine="630" w:firstLineChars="300"/>
              <w:rPr>
                <w:rFonts w:eastAsia="仿宋_GB2312"/>
                <w:color w:val="000000"/>
                <w:szCs w:val="21"/>
              </w:rPr>
            </w:pPr>
            <w:r>
              <w:rPr>
                <w:rFonts w:hint="eastAsia" w:eastAsia="仿宋_GB2312"/>
                <w:color w:val="000000"/>
                <w:szCs w:val="21"/>
              </w:rPr>
              <w:t>专职审查人员总数</w:t>
            </w:r>
            <w:r>
              <w:rPr>
                <w:rFonts w:eastAsia="仿宋_GB2312"/>
                <w:color w:val="000000"/>
                <w:szCs w:val="21"/>
              </w:rPr>
              <w:t xml:space="preserve">        </w:t>
            </w:r>
            <w:r>
              <w:rPr>
                <w:rFonts w:hint="eastAsia" w:eastAsia="仿宋_GB2312"/>
                <w:color w:val="000000"/>
                <w:szCs w:val="21"/>
              </w:rPr>
              <w:t>人</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trHeight w:val="465" w:hRule="atLeast"/>
          <w:jc w:val="center"/>
        </w:trPr>
        <w:tc>
          <w:tcPr>
            <w:tcW w:w="1683" w:type="dxa"/>
            <w:vMerge w:val="restart"/>
            <w:tcBorders>
              <w:top w:val="nil"/>
              <w:left w:val="single" w:color="auto" w:sz="4" w:space="0"/>
              <w:bottom w:val="single" w:color="auto" w:sz="4" w:space="0"/>
              <w:right w:val="single" w:color="auto" w:sz="4" w:space="0"/>
            </w:tcBorders>
            <w:noWrap w:val="0"/>
            <w:vAlign w:val="center"/>
          </w:tcPr>
          <w:p>
            <w:pPr>
              <w:rPr>
                <w:color w:val="000000"/>
                <w:szCs w:val="21"/>
              </w:rPr>
            </w:pPr>
          </w:p>
        </w:tc>
        <w:tc>
          <w:tcPr>
            <w:tcW w:w="545"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snapToGrid w:val="0"/>
              <w:spacing w:line="480" w:lineRule="exact"/>
              <w:jc w:val="center"/>
              <w:rPr>
                <w:rFonts w:eastAsia="仿宋_GB2312"/>
                <w:color w:val="000000"/>
                <w:szCs w:val="21"/>
              </w:rPr>
            </w:pPr>
            <w:r>
              <w:rPr>
                <w:rFonts w:hint="eastAsia" w:eastAsia="仿宋_GB2312"/>
                <w:color w:val="000000"/>
                <w:szCs w:val="21"/>
              </w:rPr>
              <w:t>其中</w:t>
            </w:r>
          </w:p>
        </w:tc>
        <w:tc>
          <w:tcPr>
            <w:tcW w:w="7141" w:type="dxa"/>
            <w:gridSpan w:val="9"/>
            <w:tcBorders>
              <w:top w:val="single" w:color="auto" w:sz="4" w:space="0"/>
              <w:left w:val="single" w:color="auto" w:sz="4" w:space="0"/>
              <w:bottom w:val="single" w:color="auto" w:sz="4" w:space="0"/>
              <w:right w:val="single" w:color="auto" w:sz="4" w:space="0"/>
            </w:tcBorders>
            <w:noWrap w:val="0"/>
            <w:vAlign w:val="center"/>
          </w:tcPr>
          <w:p>
            <w:pPr>
              <w:snapToGrid w:val="0"/>
              <w:spacing w:line="300" w:lineRule="exact"/>
              <w:rPr>
                <w:rFonts w:eastAsia="仿宋_GB2312"/>
                <w:color w:val="000000"/>
                <w:szCs w:val="21"/>
              </w:rPr>
            </w:pPr>
            <w:r>
              <w:rPr>
                <w:rFonts w:hint="eastAsia" w:eastAsia="仿宋_GB2312"/>
                <w:color w:val="000000"/>
                <w:szCs w:val="21"/>
              </w:rPr>
              <w:t>勘察</w:t>
            </w:r>
            <w:r>
              <w:rPr>
                <w:rFonts w:eastAsia="仿宋_GB2312"/>
                <w:color w:val="000000"/>
                <w:szCs w:val="21"/>
              </w:rPr>
              <w:t xml:space="preserve">    </w:t>
            </w:r>
            <w:r>
              <w:rPr>
                <w:rFonts w:hint="eastAsia" w:eastAsia="仿宋_GB2312"/>
                <w:color w:val="000000"/>
                <w:szCs w:val="21"/>
              </w:rPr>
              <w:t>人</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trHeight w:val="435" w:hRule="atLeast"/>
          <w:jc w:val="center"/>
        </w:trPr>
        <w:tc>
          <w:tcPr>
            <w:tcW w:w="1683" w:type="dxa"/>
            <w:vMerge w:val="continue"/>
            <w:tcBorders>
              <w:top w:val="nil"/>
              <w:left w:val="single" w:color="auto" w:sz="4" w:space="0"/>
              <w:bottom w:val="single" w:color="auto" w:sz="4" w:space="0"/>
              <w:right w:val="single" w:color="auto" w:sz="4" w:space="0"/>
            </w:tcBorders>
            <w:noWrap w:val="0"/>
            <w:vAlign w:val="center"/>
          </w:tcPr>
          <w:p>
            <w:pPr>
              <w:widowControl/>
              <w:jc w:val="left"/>
              <w:rPr>
                <w:color w:val="000000"/>
                <w:szCs w:val="21"/>
              </w:rPr>
            </w:pPr>
          </w:p>
        </w:tc>
        <w:tc>
          <w:tcPr>
            <w:tcW w:w="545"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zCs w:val="21"/>
              </w:rPr>
            </w:pPr>
          </w:p>
        </w:tc>
        <w:tc>
          <w:tcPr>
            <w:tcW w:w="7141" w:type="dxa"/>
            <w:gridSpan w:val="9"/>
            <w:tcBorders>
              <w:top w:val="single" w:color="auto" w:sz="4" w:space="0"/>
              <w:left w:val="single" w:color="auto" w:sz="4" w:space="0"/>
              <w:bottom w:val="single" w:color="auto" w:sz="4" w:space="0"/>
              <w:right w:val="single" w:color="auto" w:sz="4" w:space="0"/>
            </w:tcBorders>
            <w:noWrap w:val="0"/>
            <w:tcMar>
              <w:top w:w="28" w:type="dxa"/>
              <w:left w:w="108" w:type="dxa"/>
              <w:bottom w:w="28" w:type="dxa"/>
              <w:right w:w="108" w:type="dxa"/>
            </w:tcMar>
            <w:vAlign w:val="top"/>
          </w:tcPr>
          <w:p>
            <w:pPr>
              <w:snapToGrid w:val="0"/>
              <w:spacing w:line="300" w:lineRule="exact"/>
              <w:rPr>
                <w:rFonts w:eastAsia="仿宋_GB2312"/>
                <w:color w:val="000000"/>
                <w:szCs w:val="21"/>
              </w:rPr>
            </w:pPr>
            <w:r>
              <w:rPr>
                <w:rFonts w:hint="eastAsia" w:eastAsia="仿宋_GB2312"/>
                <w:color w:val="000000"/>
                <w:szCs w:val="21"/>
              </w:rPr>
              <w:t>建筑工程：建筑</w:t>
            </w:r>
            <w:r>
              <w:rPr>
                <w:rFonts w:eastAsia="仿宋_GB2312"/>
                <w:color w:val="000000"/>
                <w:szCs w:val="21"/>
              </w:rPr>
              <w:t xml:space="preserve">  </w:t>
            </w:r>
            <w:r>
              <w:rPr>
                <w:rFonts w:hint="eastAsia" w:eastAsia="仿宋_GB2312"/>
                <w:color w:val="000000"/>
                <w:szCs w:val="21"/>
              </w:rPr>
              <w:t>人；结构</w:t>
            </w:r>
            <w:r>
              <w:rPr>
                <w:rFonts w:eastAsia="仿宋_GB2312"/>
                <w:color w:val="000000"/>
                <w:szCs w:val="21"/>
              </w:rPr>
              <w:t xml:space="preserve">  </w:t>
            </w:r>
            <w:r>
              <w:rPr>
                <w:rFonts w:hint="eastAsia" w:eastAsia="仿宋_GB2312"/>
                <w:color w:val="000000"/>
                <w:szCs w:val="21"/>
              </w:rPr>
              <w:t>人；暖通</w:t>
            </w:r>
            <w:r>
              <w:rPr>
                <w:rFonts w:eastAsia="仿宋_GB2312"/>
                <w:color w:val="000000"/>
                <w:szCs w:val="21"/>
              </w:rPr>
              <w:t xml:space="preserve">  </w:t>
            </w:r>
            <w:r>
              <w:rPr>
                <w:rFonts w:hint="eastAsia" w:eastAsia="仿宋_GB2312"/>
                <w:color w:val="000000"/>
                <w:szCs w:val="21"/>
              </w:rPr>
              <w:t>人；</w:t>
            </w:r>
          </w:p>
          <w:p>
            <w:pPr>
              <w:snapToGrid w:val="0"/>
              <w:spacing w:line="300" w:lineRule="exact"/>
              <w:rPr>
                <w:rFonts w:eastAsia="仿宋_GB2312"/>
                <w:color w:val="000000"/>
                <w:szCs w:val="21"/>
              </w:rPr>
            </w:pPr>
            <w:r>
              <w:rPr>
                <w:rFonts w:hint="eastAsia" w:eastAsia="仿宋_GB2312"/>
                <w:color w:val="000000"/>
                <w:szCs w:val="21"/>
              </w:rPr>
              <w:t>给排水</w:t>
            </w:r>
            <w:r>
              <w:rPr>
                <w:rFonts w:eastAsia="仿宋_GB2312"/>
                <w:color w:val="000000"/>
                <w:szCs w:val="21"/>
              </w:rPr>
              <w:t xml:space="preserve">  </w:t>
            </w:r>
            <w:r>
              <w:rPr>
                <w:rFonts w:hint="eastAsia" w:eastAsia="仿宋_GB2312"/>
                <w:color w:val="000000"/>
                <w:szCs w:val="21"/>
              </w:rPr>
              <w:t>人；电气</w:t>
            </w:r>
            <w:r>
              <w:rPr>
                <w:rFonts w:eastAsia="仿宋_GB2312"/>
                <w:color w:val="000000"/>
                <w:szCs w:val="21"/>
              </w:rPr>
              <w:t xml:space="preserve">  </w:t>
            </w:r>
            <w:r>
              <w:rPr>
                <w:rFonts w:hint="eastAsia" w:eastAsia="仿宋_GB2312"/>
                <w:color w:val="000000"/>
                <w:szCs w:val="21"/>
              </w:rPr>
              <w:t>人</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trHeight w:val="135" w:hRule="atLeast"/>
          <w:jc w:val="center"/>
        </w:trPr>
        <w:tc>
          <w:tcPr>
            <w:tcW w:w="1683" w:type="dxa"/>
            <w:vMerge w:val="continue"/>
            <w:tcBorders>
              <w:top w:val="nil"/>
              <w:left w:val="single" w:color="auto" w:sz="4" w:space="0"/>
              <w:bottom w:val="single" w:color="auto" w:sz="4" w:space="0"/>
              <w:right w:val="single" w:color="auto" w:sz="4" w:space="0"/>
            </w:tcBorders>
            <w:noWrap w:val="0"/>
            <w:vAlign w:val="center"/>
          </w:tcPr>
          <w:p>
            <w:pPr>
              <w:widowControl/>
              <w:jc w:val="left"/>
              <w:rPr>
                <w:color w:val="000000"/>
                <w:szCs w:val="21"/>
              </w:rPr>
            </w:pPr>
          </w:p>
        </w:tc>
        <w:tc>
          <w:tcPr>
            <w:tcW w:w="545"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zCs w:val="21"/>
              </w:rPr>
            </w:pPr>
          </w:p>
        </w:tc>
        <w:tc>
          <w:tcPr>
            <w:tcW w:w="7141" w:type="dxa"/>
            <w:gridSpan w:val="9"/>
            <w:tcBorders>
              <w:top w:val="single" w:color="auto" w:sz="4" w:space="0"/>
              <w:left w:val="single" w:color="auto" w:sz="4" w:space="0"/>
              <w:bottom w:val="single" w:color="auto" w:sz="4" w:space="0"/>
              <w:right w:val="single" w:color="auto" w:sz="4" w:space="0"/>
            </w:tcBorders>
            <w:noWrap w:val="0"/>
            <w:tcMar>
              <w:top w:w="28" w:type="dxa"/>
              <w:left w:w="108" w:type="dxa"/>
              <w:bottom w:w="28" w:type="dxa"/>
              <w:right w:w="108" w:type="dxa"/>
            </w:tcMar>
            <w:vAlign w:val="top"/>
          </w:tcPr>
          <w:p>
            <w:pPr>
              <w:snapToGrid w:val="0"/>
              <w:spacing w:line="300" w:lineRule="exact"/>
              <w:rPr>
                <w:rFonts w:eastAsia="仿宋_GB2312"/>
                <w:color w:val="000000"/>
                <w:szCs w:val="21"/>
              </w:rPr>
            </w:pPr>
            <w:r>
              <w:rPr>
                <w:rFonts w:hint="eastAsia" w:eastAsia="仿宋_GB2312"/>
                <w:color w:val="000000"/>
                <w:szCs w:val="21"/>
              </w:rPr>
              <w:t>市政基础设施工程：给水</w:t>
            </w:r>
            <w:r>
              <w:rPr>
                <w:rFonts w:eastAsia="仿宋_GB2312"/>
                <w:color w:val="000000"/>
                <w:szCs w:val="21"/>
              </w:rPr>
              <w:t xml:space="preserve">  </w:t>
            </w:r>
            <w:r>
              <w:rPr>
                <w:rFonts w:hint="eastAsia" w:eastAsia="仿宋_GB2312"/>
                <w:color w:val="000000"/>
                <w:szCs w:val="21"/>
              </w:rPr>
              <w:t>人；排水</w:t>
            </w:r>
            <w:r>
              <w:rPr>
                <w:rFonts w:eastAsia="仿宋_GB2312"/>
                <w:color w:val="000000"/>
                <w:szCs w:val="21"/>
              </w:rPr>
              <w:t xml:space="preserve">  </w:t>
            </w:r>
            <w:r>
              <w:rPr>
                <w:rFonts w:hint="eastAsia" w:eastAsia="仿宋_GB2312"/>
                <w:color w:val="000000"/>
                <w:szCs w:val="21"/>
              </w:rPr>
              <w:t>人；道路</w:t>
            </w:r>
            <w:r>
              <w:rPr>
                <w:rFonts w:eastAsia="仿宋_GB2312"/>
                <w:color w:val="000000"/>
                <w:szCs w:val="21"/>
              </w:rPr>
              <w:t xml:space="preserve">  </w:t>
            </w:r>
            <w:r>
              <w:rPr>
                <w:rFonts w:hint="eastAsia" w:eastAsia="仿宋_GB2312"/>
                <w:color w:val="000000"/>
                <w:szCs w:val="21"/>
              </w:rPr>
              <w:t>人；</w:t>
            </w:r>
          </w:p>
          <w:p>
            <w:pPr>
              <w:snapToGrid w:val="0"/>
              <w:spacing w:line="300" w:lineRule="exact"/>
              <w:rPr>
                <w:rFonts w:eastAsia="仿宋_GB2312"/>
                <w:color w:val="000000"/>
                <w:szCs w:val="21"/>
              </w:rPr>
            </w:pPr>
            <w:r>
              <w:rPr>
                <w:rFonts w:hint="eastAsia" w:eastAsia="仿宋_GB2312"/>
                <w:color w:val="000000"/>
                <w:szCs w:val="21"/>
              </w:rPr>
              <w:t>桥隧</w:t>
            </w:r>
            <w:r>
              <w:rPr>
                <w:rFonts w:eastAsia="仿宋_GB2312"/>
                <w:color w:val="000000"/>
                <w:szCs w:val="21"/>
              </w:rPr>
              <w:t xml:space="preserve">  </w:t>
            </w:r>
            <w:r>
              <w:rPr>
                <w:rFonts w:hint="eastAsia" w:eastAsia="仿宋_GB2312"/>
                <w:color w:val="000000"/>
                <w:szCs w:val="21"/>
              </w:rPr>
              <w:t>人；燃气</w:t>
            </w:r>
            <w:r>
              <w:rPr>
                <w:rFonts w:eastAsia="仿宋_GB2312"/>
                <w:color w:val="000000"/>
                <w:szCs w:val="21"/>
              </w:rPr>
              <w:t xml:space="preserve">  </w:t>
            </w:r>
            <w:r>
              <w:rPr>
                <w:rFonts w:hint="eastAsia" w:eastAsia="仿宋_GB2312"/>
                <w:color w:val="000000"/>
                <w:szCs w:val="21"/>
              </w:rPr>
              <w:t>人；热力</w:t>
            </w:r>
            <w:r>
              <w:rPr>
                <w:rFonts w:eastAsia="仿宋_GB2312"/>
                <w:color w:val="000000"/>
                <w:szCs w:val="21"/>
              </w:rPr>
              <w:t xml:space="preserve">  </w:t>
            </w:r>
            <w:r>
              <w:rPr>
                <w:rFonts w:hint="eastAsia" w:eastAsia="仿宋_GB2312"/>
                <w:color w:val="000000"/>
                <w:szCs w:val="21"/>
              </w:rPr>
              <w:t>人</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trHeight w:val="375" w:hRule="atLeast"/>
          <w:jc w:val="center"/>
        </w:trPr>
        <w:tc>
          <w:tcPr>
            <w:tcW w:w="1683" w:type="dxa"/>
            <w:vMerge w:val="continue"/>
            <w:tcBorders>
              <w:top w:val="nil"/>
              <w:left w:val="single" w:color="auto" w:sz="4" w:space="0"/>
              <w:bottom w:val="single" w:color="auto" w:sz="4" w:space="0"/>
              <w:right w:val="single" w:color="auto" w:sz="4" w:space="0"/>
            </w:tcBorders>
            <w:noWrap w:val="0"/>
            <w:vAlign w:val="center"/>
          </w:tcPr>
          <w:p>
            <w:pPr>
              <w:widowControl/>
              <w:jc w:val="left"/>
              <w:rPr>
                <w:color w:val="000000"/>
                <w:szCs w:val="21"/>
              </w:rPr>
            </w:pPr>
          </w:p>
        </w:tc>
        <w:tc>
          <w:tcPr>
            <w:tcW w:w="7686" w:type="dxa"/>
            <w:gridSpan w:val="11"/>
            <w:tcBorders>
              <w:top w:val="single" w:color="auto" w:sz="4" w:space="0"/>
              <w:left w:val="single" w:color="auto" w:sz="4" w:space="0"/>
              <w:bottom w:val="single" w:color="auto" w:sz="4" w:space="0"/>
              <w:right w:val="single" w:color="auto" w:sz="4" w:space="0"/>
            </w:tcBorders>
            <w:noWrap w:val="0"/>
            <w:tcMar>
              <w:top w:w="28" w:type="dxa"/>
              <w:left w:w="108" w:type="dxa"/>
              <w:bottom w:w="28" w:type="dxa"/>
              <w:right w:w="108" w:type="dxa"/>
            </w:tcMar>
            <w:vAlign w:val="top"/>
          </w:tcPr>
          <w:p>
            <w:pPr>
              <w:snapToGrid w:val="0"/>
              <w:spacing w:line="300" w:lineRule="exact"/>
              <w:jc w:val="center"/>
              <w:rPr>
                <w:rFonts w:eastAsia="仿宋_GB2312"/>
                <w:color w:val="000000"/>
                <w:szCs w:val="21"/>
              </w:rPr>
            </w:pPr>
            <w:r>
              <w:rPr>
                <w:rFonts w:hint="eastAsia" w:eastAsia="仿宋_GB2312"/>
                <w:color w:val="000000"/>
                <w:szCs w:val="21"/>
              </w:rPr>
              <w:t>兼职审查人员总数</w:t>
            </w:r>
            <w:r>
              <w:rPr>
                <w:rFonts w:eastAsia="仿宋_GB2312"/>
                <w:color w:val="000000"/>
                <w:szCs w:val="21"/>
              </w:rPr>
              <w:t xml:space="preserve">        </w:t>
            </w:r>
            <w:r>
              <w:rPr>
                <w:rFonts w:hint="eastAsia" w:eastAsia="仿宋_GB2312"/>
                <w:color w:val="000000"/>
                <w:szCs w:val="21"/>
              </w:rPr>
              <w:t>人</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trHeight w:val="495" w:hRule="atLeast"/>
          <w:jc w:val="center"/>
        </w:trPr>
        <w:tc>
          <w:tcPr>
            <w:tcW w:w="1683" w:type="dxa"/>
            <w:vMerge w:val="continue"/>
            <w:tcBorders>
              <w:top w:val="nil"/>
              <w:left w:val="single" w:color="auto" w:sz="4" w:space="0"/>
              <w:bottom w:val="single" w:color="auto" w:sz="4" w:space="0"/>
              <w:right w:val="single" w:color="auto" w:sz="4" w:space="0"/>
            </w:tcBorders>
            <w:noWrap w:val="0"/>
            <w:vAlign w:val="center"/>
          </w:tcPr>
          <w:p>
            <w:pPr>
              <w:widowControl/>
              <w:jc w:val="left"/>
              <w:rPr>
                <w:color w:val="000000"/>
                <w:szCs w:val="21"/>
              </w:rPr>
            </w:pPr>
          </w:p>
        </w:tc>
        <w:tc>
          <w:tcPr>
            <w:tcW w:w="545"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snapToGrid w:val="0"/>
              <w:spacing w:line="480" w:lineRule="exact"/>
              <w:jc w:val="center"/>
              <w:rPr>
                <w:rFonts w:eastAsia="仿宋_GB2312"/>
                <w:color w:val="000000"/>
                <w:szCs w:val="21"/>
              </w:rPr>
            </w:pPr>
            <w:r>
              <w:rPr>
                <w:rFonts w:hint="eastAsia" w:eastAsia="仿宋_GB2312"/>
                <w:color w:val="000000"/>
                <w:szCs w:val="21"/>
              </w:rPr>
              <w:t>其中</w:t>
            </w:r>
          </w:p>
        </w:tc>
        <w:tc>
          <w:tcPr>
            <w:tcW w:w="7141" w:type="dxa"/>
            <w:gridSpan w:val="9"/>
            <w:tcBorders>
              <w:top w:val="single" w:color="auto" w:sz="4" w:space="0"/>
              <w:left w:val="single" w:color="auto" w:sz="4" w:space="0"/>
              <w:bottom w:val="single" w:color="auto" w:sz="4" w:space="0"/>
              <w:right w:val="single" w:color="auto" w:sz="4" w:space="0"/>
            </w:tcBorders>
            <w:noWrap w:val="0"/>
            <w:tcMar>
              <w:top w:w="28" w:type="dxa"/>
              <w:left w:w="108" w:type="dxa"/>
              <w:bottom w:w="28" w:type="dxa"/>
              <w:right w:w="108" w:type="dxa"/>
            </w:tcMar>
            <w:vAlign w:val="center"/>
          </w:tcPr>
          <w:p>
            <w:pPr>
              <w:snapToGrid w:val="0"/>
              <w:spacing w:line="300" w:lineRule="exact"/>
              <w:rPr>
                <w:rFonts w:eastAsia="仿宋_GB2312"/>
                <w:color w:val="000000"/>
                <w:szCs w:val="21"/>
              </w:rPr>
            </w:pPr>
            <w:r>
              <w:rPr>
                <w:rFonts w:hint="eastAsia" w:eastAsia="仿宋_GB2312"/>
                <w:color w:val="000000"/>
                <w:szCs w:val="21"/>
              </w:rPr>
              <w:t>勘察</w:t>
            </w:r>
            <w:r>
              <w:rPr>
                <w:rFonts w:eastAsia="仿宋_GB2312"/>
                <w:color w:val="000000"/>
                <w:szCs w:val="21"/>
              </w:rPr>
              <w:t xml:space="preserve">    </w:t>
            </w:r>
            <w:r>
              <w:rPr>
                <w:rFonts w:hint="eastAsia" w:eastAsia="仿宋_GB2312"/>
                <w:color w:val="000000"/>
                <w:szCs w:val="21"/>
              </w:rPr>
              <w:t>人</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trHeight w:val="300" w:hRule="atLeast"/>
          <w:jc w:val="center"/>
        </w:trPr>
        <w:tc>
          <w:tcPr>
            <w:tcW w:w="1683" w:type="dxa"/>
            <w:vMerge w:val="continue"/>
            <w:tcBorders>
              <w:top w:val="nil"/>
              <w:left w:val="single" w:color="auto" w:sz="4" w:space="0"/>
              <w:bottom w:val="single" w:color="auto" w:sz="4" w:space="0"/>
              <w:right w:val="single" w:color="auto" w:sz="4" w:space="0"/>
            </w:tcBorders>
            <w:noWrap w:val="0"/>
            <w:vAlign w:val="center"/>
          </w:tcPr>
          <w:p>
            <w:pPr>
              <w:widowControl/>
              <w:jc w:val="left"/>
              <w:rPr>
                <w:color w:val="000000"/>
                <w:szCs w:val="21"/>
              </w:rPr>
            </w:pPr>
          </w:p>
        </w:tc>
        <w:tc>
          <w:tcPr>
            <w:tcW w:w="545"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zCs w:val="21"/>
              </w:rPr>
            </w:pPr>
          </w:p>
        </w:tc>
        <w:tc>
          <w:tcPr>
            <w:tcW w:w="7141" w:type="dxa"/>
            <w:gridSpan w:val="9"/>
            <w:tcBorders>
              <w:top w:val="single" w:color="auto" w:sz="4" w:space="0"/>
              <w:left w:val="single" w:color="auto" w:sz="4" w:space="0"/>
              <w:bottom w:val="single" w:color="auto" w:sz="4" w:space="0"/>
              <w:right w:val="single" w:color="auto" w:sz="4" w:space="0"/>
            </w:tcBorders>
            <w:noWrap w:val="0"/>
            <w:tcMar>
              <w:top w:w="28" w:type="dxa"/>
              <w:left w:w="108" w:type="dxa"/>
              <w:bottom w:w="28" w:type="dxa"/>
              <w:right w:w="108" w:type="dxa"/>
            </w:tcMar>
            <w:vAlign w:val="top"/>
          </w:tcPr>
          <w:p>
            <w:pPr>
              <w:snapToGrid w:val="0"/>
              <w:spacing w:line="300" w:lineRule="exact"/>
              <w:rPr>
                <w:rFonts w:eastAsia="仿宋_GB2312"/>
                <w:color w:val="000000"/>
                <w:szCs w:val="21"/>
              </w:rPr>
            </w:pPr>
            <w:r>
              <w:rPr>
                <w:rFonts w:hint="eastAsia" w:eastAsia="仿宋_GB2312"/>
                <w:color w:val="000000"/>
                <w:szCs w:val="21"/>
              </w:rPr>
              <w:t>建筑工程：建筑</w:t>
            </w:r>
            <w:r>
              <w:rPr>
                <w:rFonts w:eastAsia="仿宋_GB2312"/>
                <w:color w:val="000000"/>
                <w:szCs w:val="21"/>
              </w:rPr>
              <w:t xml:space="preserve">  </w:t>
            </w:r>
            <w:r>
              <w:rPr>
                <w:rFonts w:hint="eastAsia" w:eastAsia="仿宋_GB2312"/>
                <w:color w:val="000000"/>
                <w:szCs w:val="21"/>
              </w:rPr>
              <w:t>人；结构</w:t>
            </w:r>
            <w:r>
              <w:rPr>
                <w:rFonts w:eastAsia="仿宋_GB2312"/>
                <w:color w:val="000000"/>
                <w:szCs w:val="21"/>
              </w:rPr>
              <w:t xml:space="preserve">  </w:t>
            </w:r>
            <w:r>
              <w:rPr>
                <w:rFonts w:hint="eastAsia" w:eastAsia="仿宋_GB2312"/>
                <w:color w:val="000000"/>
                <w:szCs w:val="21"/>
              </w:rPr>
              <w:t>人；暖通</w:t>
            </w:r>
            <w:r>
              <w:rPr>
                <w:rFonts w:eastAsia="仿宋_GB2312"/>
                <w:color w:val="000000"/>
                <w:szCs w:val="21"/>
              </w:rPr>
              <w:t xml:space="preserve">  </w:t>
            </w:r>
            <w:r>
              <w:rPr>
                <w:rFonts w:hint="eastAsia" w:eastAsia="仿宋_GB2312"/>
                <w:color w:val="000000"/>
                <w:szCs w:val="21"/>
              </w:rPr>
              <w:t>人；</w:t>
            </w:r>
          </w:p>
          <w:p>
            <w:pPr>
              <w:snapToGrid w:val="0"/>
              <w:spacing w:line="300" w:lineRule="exact"/>
              <w:rPr>
                <w:rFonts w:eastAsia="仿宋_GB2312"/>
                <w:color w:val="000000"/>
                <w:szCs w:val="21"/>
              </w:rPr>
            </w:pPr>
            <w:r>
              <w:rPr>
                <w:rFonts w:hint="eastAsia" w:eastAsia="仿宋_GB2312"/>
                <w:color w:val="000000"/>
                <w:szCs w:val="21"/>
              </w:rPr>
              <w:t>给排水</w:t>
            </w:r>
            <w:r>
              <w:rPr>
                <w:rFonts w:eastAsia="仿宋_GB2312"/>
                <w:color w:val="000000"/>
                <w:szCs w:val="21"/>
              </w:rPr>
              <w:t xml:space="preserve">  </w:t>
            </w:r>
            <w:r>
              <w:rPr>
                <w:rFonts w:hint="eastAsia" w:eastAsia="仿宋_GB2312"/>
                <w:color w:val="000000"/>
                <w:szCs w:val="21"/>
              </w:rPr>
              <w:t>人；电气</w:t>
            </w:r>
            <w:r>
              <w:rPr>
                <w:rFonts w:eastAsia="仿宋_GB2312"/>
                <w:color w:val="000000"/>
                <w:szCs w:val="21"/>
              </w:rPr>
              <w:t xml:space="preserve">  </w:t>
            </w:r>
            <w:r>
              <w:rPr>
                <w:rFonts w:hint="eastAsia" w:eastAsia="仿宋_GB2312"/>
                <w:color w:val="000000"/>
                <w:szCs w:val="21"/>
              </w:rPr>
              <w:t>人</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trHeight w:val="165" w:hRule="atLeast"/>
          <w:jc w:val="center"/>
        </w:trPr>
        <w:tc>
          <w:tcPr>
            <w:tcW w:w="1683" w:type="dxa"/>
            <w:vMerge w:val="continue"/>
            <w:tcBorders>
              <w:top w:val="nil"/>
              <w:left w:val="single" w:color="auto" w:sz="4" w:space="0"/>
              <w:bottom w:val="single" w:color="auto" w:sz="4" w:space="0"/>
              <w:right w:val="single" w:color="auto" w:sz="4" w:space="0"/>
            </w:tcBorders>
            <w:noWrap w:val="0"/>
            <w:vAlign w:val="center"/>
          </w:tcPr>
          <w:p>
            <w:pPr>
              <w:widowControl/>
              <w:jc w:val="left"/>
              <w:rPr>
                <w:color w:val="000000"/>
                <w:szCs w:val="21"/>
              </w:rPr>
            </w:pPr>
          </w:p>
        </w:tc>
        <w:tc>
          <w:tcPr>
            <w:tcW w:w="545"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zCs w:val="21"/>
              </w:rPr>
            </w:pPr>
          </w:p>
        </w:tc>
        <w:tc>
          <w:tcPr>
            <w:tcW w:w="7141" w:type="dxa"/>
            <w:gridSpan w:val="9"/>
            <w:tcBorders>
              <w:top w:val="single" w:color="auto" w:sz="4" w:space="0"/>
              <w:left w:val="single" w:color="auto" w:sz="4" w:space="0"/>
              <w:bottom w:val="single" w:color="auto" w:sz="4" w:space="0"/>
              <w:right w:val="single" w:color="auto" w:sz="4" w:space="0"/>
            </w:tcBorders>
            <w:noWrap w:val="0"/>
            <w:tcMar>
              <w:top w:w="28" w:type="dxa"/>
              <w:left w:w="108" w:type="dxa"/>
              <w:bottom w:w="28" w:type="dxa"/>
              <w:right w:w="108" w:type="dxa"/>
            </w:tcMar>
            <w:vAlign w:val="top"/>
          </w:tcPr>
          <w:p>
            <w:pPr>
              <w:snapToGrid w:val="0"/>
              <w:spacing w:line="300" w:lineRule="exact"/>
              <w:rPr>
                <w:rFonts w:eastAsia="仿宋_GB2312"/>
                <w:color w:val="000000"/>
                <w:szCs w:val="21"/>
              </w:rPr>
            </w:pPr>
            <w:r>
              <w:rPr>
                <w:rFonts w:hint="eastAsia" w:eastAsia="仿宋_GB2312"/>
                <w:color w:val="000000"/>
                <w:szCs w:val="21"/>
              </w:rPr>
              <w:t>市政基础设施工程：给水</w:t>
            </w:r>
            <w:r>
              <w:rPr>
                <w:rFonts w:eastAsia="仿宋_GB2312"/>
                <w:color w:val="000000"/>
                <w:szCs w:val="21"/>
              </w:rPr>
              <w:t xml:space="preserve">  </w:t>
            </w:r>
            <w:r>
              <w:rPr>
                <w:rFonts w:hint="eastAsia" w:eastAsia="仿宋_GB2312"/>
                <w:color w:val="000000"/>
                <w:szCs w:val="21"/>
              </w:rPr>
              <w:t>人；排水</w:t>
            </w:r>
            <w:r>
              <w:rPr>
                <w:rFonts w:eastAsia="仿宋_GB2312"/>
                <w:color w:val="000000"/>
                <w:szCs w:val="21"/>
              </w:rPr>
              <w:t xml:space="preserve">  </w:t>
            </w:r>
            <w:r>
              <w:rPr>
                <w:rFonts w:hint="eastAsia" w:eastAsia="仿宋_GB2312"/>
                <w:color w:val="000000"/>
                <w:szCs w:val="21"/>
              </w:rPr>
              <w:t>人；道路</w:t>
            </w:r>
            <w:r>
              <w:rPr>
                <w:rFonts w:eastAsia="仿宋_GB2312"/>
                <w:color w:val="000000"/>
                <w:szCs w:val="21"/>
              </w:rPr>
              <w:t xml:space="preserve">  </w:t>
            </w:r>
            <w:r>
              <w:rPr>
                <w:rFonts w:hint="eastAsia" w:eastAsia="仿宋_GB2312"/>
                <w:color w:val="000000"/>
                <w:szCs w:val="21"/>
              </w:rPr>
              <w:t>人；</w:t>
            </w:r>
          </w:p>
          <w:p>
            <w:pPr>
              <w:snapToGrid w:val="0"/>
              <w:spacing w:line="300" w:lineRule="exact"/>
              <w:rPr>
                <w:rFonts w:eastAsia="仿宋_GB2312"/>
                <w:color w:val="000000"/>
                <w:szCs w:val="21"/>
              </w:rPr>
            </w:pPr>
            <w:r>
              <w:rPr>
                <w:rFonts w:hint="eastAsia" w:eastAsia="仿宋_GB2312"/>
                <w:color w:val="000000"/>
                <w:szCs w:val="21"/>
              </w:rPr>
              <w:t>桥隧</w:t>
            </w:r>
            <w:r>
              <w:rPr>
                <w:rFonts w:eastAsia="仿宋_GB2312"/>
                <w:color w:val="000000"/>
                <w:szCs w:val="21"/>
              </w:rPr>
              <w:t xml:space="preserve">  </w:t>
            </w:r>
            <w:r>
              <w:rPr>
                <w:rFonts w:hint="eastAsia" w:eastAsia="仿宋_GB2312"/>
                <w:color w:val="000000"/>
                <w:szCs w:val="21"/>
              </w:rPr>
              <w:t>人；燃气</w:t>
            </w:r>
            <w:r>
              <w:rPr>
                <w:rFonts w:eastAsia="仿宋_GB2312"/>
                <w:color w:val="000000"/>
                <w:szCs w:val="21"/>
              </w:rPr>
              <w:t xml:space="preserve">  </w:t>
            </w:r>
            <w:r>
              <w:rPr>
                <w:rFonts w:hint="eastAsia" w:eastAsia="仿宋_GB2312"/>
                <w:color w:val="000000"/>
                <w:szCs w:val="21"/>
              </w:rPr>
              <w:t>人；热力</w:t>
            </w:r>
            <w:r>
              <w:rPr>
                <w:rFonts w:eastAsia="仿宋_GB2312"/>
                <w:color w:val="000000"/>
                <w:szCs w:val="21"/>
              </w:rPr>
              <w:t xml:space="preserve">  </w:t>
            </w:r>
            <w:r>
              <w:rPr>
                <w:rFonts w:hint="eastAsia" w:eastAsia="仿宋_GB2312"/>
                <w:color w:val="000000"/>
                <w:szCs w:val="21"/>
              </w:rPr>
              <w:t>人</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trHeight w:val="390" w:hRule="atLeast"/>
          <w:jc w:val="center"/>
        </w:trPr>
        <w:tc>
          <w:tcPr>
            <w:tcW w:w="1683" w:type="dxa"/>
            <w:vMerge w:val="continue"/>
            <w:tcBorders>
              <w:top w:val="nil"/>
              <w:left w:val="single" w:color="auto" w:sz="4" w:space="0"/>
              <w:bottom w:val="single" w:color="auto" w:sz="4" w:space="0"/>
              <w:right w:val="single" w:color="auto" w:sz="4" w:space="0"/>
            </w:tcBorders>
            <w:noWrap w:val="0"/>
            <w:vAlign w:val="center"/>
          </w:tcPr>
          <w:p>
            <w:pPr>
              <w:widowControl/>
              <w:jc w:val="left"/>
              <w:rPr>
                <w:color w:val="000000"/>
                <w:szCs w:val="21"/>
              </w:rPr>
            </w:pPr>
          </w:p>
        </w:tc>
        <w:tc>
          <w:tcPr>
            <w:tcW w:w="7686" w:type="dxa"/>
            <w:gridSpan w:val="11"/>
            <w:tcBorders>
              <w:top w:val="single" w:color="auto" w:sz="4" w:space="0"/>
              <w:left w:val="single" w:color="auto" w:sz="4" w:space="0"/>
              <w:bottom w:val="single" w:color="auto" w:sz="4" w:space="0"/>
              <w:right w:val="single" w:color="auto" w:sz="4" w:space="0"/>
            </w:tcBorders>
            <w:noWrap w:val="0"/>
            <w:vAlign w:val="top"/>
          </w:tcPr>
          <w:p>
            <w:pPr>
              <w:spacing w:line="480" w:lineRule="exact"/>
              <w:jc w:val="center"/>
              <w:rPr>
                <w:rFonts w:eastAsia="仿宋_GB2312"/>
                <w:color w:val="000000"/>
                <w:szCs w:val="21"/>
              </w:rPr>
            </w:pPr>
            <w:r>
              <w:rPr>
                <w:rFonts w:hint="eastAsia" w:eastAsia="仿宋_GB2312"/>
                <w:color w:val="000000"/>
                <w:szCs w:val="21"/>
              </w:rPr>
              <w:t>其它专业审查人员数</w:t>
            </w:r>
            <w:r>
              <w:rPr>
                <w:rFonts w:eastAsia="仿宋_GB2312"/>
                <w:color w:val="000000"/>
                <w:szCs w:val="21"/>
              </w:rPr>
              <w:t xml:space="preserve">        </w:t>
            </w:r>
            <w:r>
              <w:rPr>
                <w:rFonts w:hint="eastAsia" w:eastAsia="仿宋_GB2312"/>
                <w:color w:val="000000"/>
                <w:szCs w:val="21"/>
              </w:rPr>
              <w:t>人</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trHeight w:val="953" w:hRule="atLeast"/>
          <w:jc w:val="center"/>
        </w:trPr>
        <w:tc>
          <w:tcPr>
            <w:tcW w:w="1683" w:type="dxa"/>
            <w:vMerge w:val="continue"/>
            <w:tcBorders>
              <w:top w:val="nil"/>
              <w:left w:val="single" w:color="auto" w:sz="4" w:space="0"/>
              <w:bottom w:val="single" w:color="auto" w:sz="4" w:space="0"/>
              <w:right w:val="single" w:color="auto" w:sz="4" w:space="0"/>
            </w:tcBorders>
            <w:noWrap w:val="0"/>
            <w:vAlign w:val="center"/>
          </w:tcPr>
          <w:p>
            <w:pPr>
              <w:widowControl/>
              <w:jc w:val="left"/>
              <w:rPr>
                <w:color w:val="000000"/>
                <w:szCs w:val="21"/>
              </w:rPr>
            </w:pPr>
          </w:p>
        </w:tc>
        <w:tc>
          <w:tcPr>
            <w:tcW w:w="545" w:type="dxa"/>
            <w:gridSpan w:val="2"/>
            <w:tcBorders>
              <w:top w:val="single" w:color="auto" w:sz="4" w:space="0"/>
              <w:left w:val="single" w:color="auto" w:sz="4" w:space="0"/>
              <w:bottom w:val="single" w:color="auto" w:sz="4" w:space="0"/>
              <w:right w:val="single" w:color="auto" w:sz="4" w:space="0"/>
            </w:tcBorders>
            <w:noWrap w:val="0"/>
            <w:vAlign w:val="top"/>
          </w:tcPr>
          <w:p>
            <w:pPr>
              <w:spacing w:line="480" w:lineRule="exact"/>
              <w:rPr>
                <w:rFonts w:eastAsia="仿宋_GB2312"/>
                <w:color w:val="000000"/>
                <w:szCs w:val="21"/>
              </w:rPr>
            </w:pPr>
            <w:r>
              <w:rPr>
                <w:rFonts w:hint="eastAsia" w:eastAsia="仿宋_GB2312"/>
                <w:color w:val="000000"/>
                <w:szCs w:val="21"/>
              </w:rPr>
              <w:t>其中</w:t>
            </w:r>
          </w:p>
        </w:tc>
        <w:tc>
          <w:tcPr>
            <w:tcW w:w="7141" w:type="dxa"/>
            <w:gridSpan w:val="9"/>
            <w:tcBorders>
              <w:top w:val="single" w:color="auto" w:sz="4" w:space="0"/>
              <w:left w:val="single" w:color="auto" w:sz="4" w:space="0"/>
              <w:bottom w:val="single" w:color="auto" w:sz="4" w:space="0"/>
              <w:right w:val="single" w:color="auto" w:sz="4" w:space="0"/>
            </w:tcBorders>
            <w:noWrap w:val="0"/>
            <w:vAlign w:val="top"/>
          </w:tcPr>
          <w:p>
            <w:pPr>
              <w:spacing w:line="480" w:lineRule="exact"/>
              <w:rPr>
                <w:rFonts w:eastAsia="仿宋_GB2312"/>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98" w:hRule="atLeast"/>
          <w:jc w:val="center"/>
        </w:trPr>
        <w:tc>
          <w:tcPr>
            <w:tcW w:w="9369" w:type="dxa"/>
            <w:gridSpan w:val="12"/>
            <w:tcBorders>
              <w:top w:val="single" w:color="auto" w:sz="4" w:space="0"/>
              <w:left w:val="single" w:color="auto" w:sz="4" w:space="0"/>
              <w:bottom w:val="single" w:color="auto" w:sz="4" w:space="0"/>
              <w:right w:val="single" w:color="auto" w:sz="4" w:space="0"/>
            </w:tcBorders>
            <w:noWrap w:val="0"/>
            <w:vAlign w:val="center"/>
          </w:tcPr>
          <w:p>
            <w:pPr>
              <w:jc w:val="center"/>
              <w:rPr>
                <w:rFonts w:eastAsia="仿宋_GB2312"/>
                <w:color w:val="000000"/>
                <w:szCs w:val="21"/>
              </w:rPr>
            </w:pPr>
            <w:r>
              <w:rPr>
                <w:rFonts w:hint="eastAsia" w:eastAsia="仿宋_GB2312"/>
                <w:color w:val="000000"/>
                <w:szCs w:val="21"/>
              </w:rPr>
              <w:t>单</w:t>
            </w:r>
            <w:r>
              <w:rPr>
                <w:rFonts w:eastAsia="仿宋_GB2312"/>
                <w:color w:val="000000"/>
                <w:szCs w:val="21"/>
              </w:rPr>
              <w:t xml:space="preserve"> </w:t>
            </w:r>
            <w:r>
              <w:rPr>
                <w:rFonts w:hint="eastAsia" w:eastAsia="仿宋_GB2312"/>
                <w:color w:val="000000"/>
                <w:szCs w:val="21"/>
              </w:rPr>
              <w:t>位</w:t>
            </w:r>
            <w:r>
              <w:rPr>
                <w:rFonts w:eastAsia="仿宋_GB2312"/>
                <w:color w:val="000000"/>
                <w:szCs w:val="21"/>
              </w:rPr>
              <w:t xml:space="preserve"> </w:t>
            </w:r>
            <w:r>
              <w:rPr>
                <w:rFonts w:hint="eastAsia" w:eastAsia="仿宋_GB2312"/>
                <w:color w:val="000000"/>
                <w:szCs w:val="21"/>
              </w:rPr>
              <w:t>法</w:t>
            </w:r>
            <w:r>
              <w:rPr>
                <w:rFonts w:eastAsia="仿宋_GB2312"/>
                <w:color w:val="000000"/>
                <w:szCs w:val="21"/>
              </w:rPr>
              <w:t xml:space="preserve"> </w:t>
            </w:r>
            <w:r>
              <w:rPr>
                <w:rFonts w:hint="eastAsia" w:eastAsia="仿宋_GB2312"/>
                <w:color w:val="000000"/>
                <w:szCs w:val="21"/>
              </w:rPr>
              <w:t>定</w:t>
            </w:r>
            <w:r>
              <w:rPr>
                <w:rFonts w:eastAsia="仿宋_GB2312"/>
                <w:color w:val="000000"/>
                <w:szCs w:val="21"/>
              </w:rPr>
              <w:t xml:space="preserve"> </w:t>
            </w:r>
            <w:r>
              <w:rPr>
                <w:rFonts w:hint="eastAsia" w:eastAsia="仿宋_GB2312"/>
                <w:color w:val="000000"/>
                <w:szCs w:val="21"/>
              </w:rPr>
              <w:t>代</w:t>
            </w:r>
            <w:r>
              <w:rPr>
                <w:rFonts w:eastAsia="仿宋_GB2312"/>
                <w:color w:val="000000"/>
                <w:szCs w:val="21"/>
              </w:rPr>
              <w:t xml:space="preserve"> </w:t>
            </w:r>
            <w:r>
              <w:rPr>
                <w:rFonts w:hint="eastAsia" w:eastAsia="仿宋_GB2312"/>
                <w:color w:val="000000"/>
                <w:szCs w:val="21"/>
              </w:rPr>
              <w:t>表</w:t>
            </w:r>
            <w:r>
              <w:rPr>
                <w:rFonts w:eastAsia="仿宋_GB2312"/>
                <w:color w:val="000000"/>
                <w:szCs w:val="21"/>
              </w:rPr>
              <w:t xml:space="preserve"> </w:t>
            </w:r>
            <w:r>
              <w:rPr>
                <w:rFonts w:hint="eastAsia" w:eastAsia="仿宋_GB2312"/>
                <w:color w:val="000000"/>
                <w:szCs w:val="21"/>
              </w:rPr>
              <w:t>人</w:t>
            </w:r>
            <w:r>
              <w:rPr>
                <w:rFonts w:eastAsia="仿宋_GB2312"/>
                <w:color w:val="000000"/>
                <w:szCs w:val="21"/>
              </w:rPr>
              <w:t xml:space="preserve"> </w:t>
            </w:r>
            <w:r>
              <w:rPr>
                <w:rFonts w:hint="eastAsia" w:eastAsia="仿宋_GB2312"/>
                <w:color w:val="000000"/>
                <w:szCs w:val="21"/>
              </w:rPr>
              <w:t>和</w:t>
            </w:r>
            <w:r>
              <w:rPr>
                <w:rFonts w:eastAsia="仿宋_GB2312"/>
                <w:color w:val="000000"/>
                <w:szCs w:val="21"/>
              </w:rPr>
              <w:t xml:space="preserve"> </w:t>
            </w:r>
            <w:r>
              <w:rPr>
                <w:rFonts w:hint="eastAsia" w:eastAsia="仿宋_GB2312"/>
                <w:color w:val="000000"/>
                <w:szCs w:val="21"/>
              </w:rPr>
              <w:t>技</w:t>
            </w:r>
            <w:r>
              <w:rPr>
                <w:rFonts w:eastAsia="仿宋_GB2312"/>
                <w:color w:val="000000"/>
                <w:szCs w:val="21"/>
              </w:rPr>
              <w:t xml:space="preserve"> </w:t>
            </w:r>
            <w:r>
              <w:rPr>
                <w:rFonts w:hint="eastAsia" w:eastAsia="仿宋_GB2312"/>
                <w:color w:val="000000"/>
                <w:szCs w:val="21"/>
              </w:rPr>
              <w:t>术</w:t>
            </w:r>
            <w:r>
              <w:rPr>
                <w:rFonts w:eastAsia="仿宋_GB2312"/>
                <w:color w:val="000000"/>
                <w:szCs w:val="21"/>
              </w:rPr>
              <w:t xml:space="preserve"> </w:t>
            </w:r>
            <w:r>
              <w:rPr>
                <w:rFonts w:hint="eastAsia" w:eastAsia="仿宋_GB2312"/>
                <w:color w:val="000000"/>
                <w:szCs w:val="21"/>
              </w:rPr>
              <w:t>负</w:t>
            </w:r>
            <w:r>
              <w:rPr>
                <w:rFonts w:eastAsia="仿宋_GB2312"/>
                <w:color w:val="000000"/>
                <w:szCs w:val="21"/>
              </w:rPr>
              <w:t xml:space="preserve"> </w:t>
            </w:r>
            <w:r>
              <w:rPr>
                <w:rFonts w:hint="eastAsia" w:eastAsia="仿宋_GB2312"/>
                <w:color w:val="000000"/>
                <w:szCs w:val="21"/>
              </w:rPr>
              <w:t>责</w:t>
            </w:r>
            <w:r>
              <w:rPr>
                <w:rFonts w:eastAsia="仿宋_GB2312"/>
                <w:color w:val="000000"/>
                <w:szCs w:val="21"/>
              </w:rPr>
              <w:t xml:space="preserve"> </w:t>
            </w:r>
            <w:r>
              <w:rPr>
                <w:rFonts w:hint="eastAsia" w:eastAsia="仿宋_GB2312"/>
                <w:color w:val="000000"/>
                <w:szCs w:val="21"/>
              </w:rPr>
              <w:t>人</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784" w:hRule="atLeast"/>
          <w:jc w:val="center"/>
        </w:trPr>
        <w:tc>
          <w:tcPr>
            <w:tcW w:w="1763"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仿宋_GB2312"/>
                <w:color w:val="000000"/>
                <w:szCs w:val="21"/>
              </w:rPr>
            </w:pPr>
            <w:r>
              <w:rPr>
                <w:rFonts w:hint="eastAsia" w:eastAsia="仿宋_GB2312"/>
                <w:color w:val="000000"/>
                <w:szCs w:val="21"/>
              </w:rPr>
              <w:t>姓</w:t>
            </w:r>
            <w:r>
              <w:rPr>
                <w:rFonts w:eastAsia="仿宋_GB2312"/>
                <w:color w:val="000000"/>
                <w:szCs w:val="21"/>
              </w:rPr>
              <w:t xml:space="preserve">   </w:t>
            </w:r>
            <w:r>
              <w:rPr>
                <w:rFonts w:hint="eastAsia" w:eastAsia="仿宋_GB2312"/>
                <w:color w:val="000000"/>
                <w:szCs w:val="21"/>
              </w:rPr>
              <w:t>名</w:t>
            </w:r>
          </w:p>
        </w:tc>
        <w:tc>
          <w:tcPr>
            <w:tcW w:w="640"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仿宋_GB2312"/>
                <w:color w:val="000000"/>
                <w:szCs w:val="21"/>
              </w:rPr>
            </w:pPr>
            <w:r>
              <w:rPr>
                <w:rFonts w:hint="eastAsia" w:eastAsia="仿宋_GB2312"/>
                <w:color w:val="000000"/>
                <w:szCs w:val="21"/>
              </w:rPr>
              <w:t>性别</w:t>
            </w:r>
          </w:p>
        </w:tc>
        <w:tc>
          <w:tcPr>
            <w:tcW w:w="720"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仿宋_GB2312"/>
                <w:color w:val="000000"/>
                <w:szCs w:val="21"/>
              </w:rPr>
            </w:pPr>
            <w:r>
              <w:rPr>
                <w:rFonts w:hint="eastAsia" w:eastAsia="仿宋_GB2312"/>
                <w:color w:val="000000"/>
                <w:szCs w:val="21"/>
              </w:rPr>
              <w:t>年龄</w:t>
            </w:r>
          </w:p>
        </w:tc>
        <w:tc>
          <w:tcPr>
            <w:tcW w:w="1654"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仿宋_GB2312"/>
                <w:color w:val="000000"/>
                <w:szCs w:val="21"/>
              </w:rPr>
            </w:pPr>
            <w:r>
              <w:rPr>
                <w:rFonts w:hint="eastAsia" w:eastAsia="仿宋_GB2312"/>
                <w:color w:val="000000"/>
                <w:szCs w:val="21"/>
              </w:rPr>
              <w:t>职</w:t>
            </w:r>
            <w:r>
              <w:rPr>
                <w:rFonts w:eastAsia="仿宋_GB2312"/>
                <w:color w:val="000000"/>
                <w:szCs w:val="21"/>
              </w:rPr>
              <w:t xml:space="preserve">  </w:t>
            </w:r>
            <w:r>
              <w:rPr>
                <w:rFonts w:hint="eastAsia" w:eastAsia="仿宋_GB2312"/>
                <w:color w:val="000000"/>
                <w:szCs w:val="21"/>
              </w:rPr>
              <w:t>务</w:t>
            </w:r>
          </w:p>
        </w:tc>
        <w:tc>
          <w:tcPr>
            <w:tcW w:w="3023"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仿宋_GB2312"/>
                <w:color w:val="000000"/>
                <w:szCs w:val="21"/>
              </w:rPr>
            </w:pPr>
            <w:r>
              <w:rPr>
                <w:rFonts w:hint="eastAsia" w:eastAsia="仿宋_GB2312"/>
                <w:color w:val="000000"/>
                <w:szCs w:val="21"/>
              </w:rPr>
              <w:t>技术职称及执业资格</w:t>
            </w:r>
          </w:p>
        </w:tc>
        <w:tc>
          <w:tcPr>
            <w:tcW w:w="156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仿宋_GB2312"/>
                <w:color w:val="000000"/>
                <w:szCs w:val="21"/>
              </w:rPr>
            </w:pPr>
            <w:r>
              <w:rPr>
                <w:rFonts w:hint="eastAsia" w:eastAsia="仿宋_GB2312"/>
                <w:color w:val="000000"/>
                <w:szCs w:val="21"/>
              </w:rPr>
              <w:t>专</w:t>
            </w:r>
            <w:r>
              <w:rPr>
                <w:rFonts w:eastAsia="仿宋_GB2312"/>
                <w:color w:val="000000"/>
                <w:szCs w:val="21"/>
              </w:rPr>
              <w:t xml:space="preserve">    </w:t>
            </w:r>
            <w:r>
              <w:rPr>
                <w:rFonts w:hint="eastAsia" w:eastAsia="仿宋_GB2312"/>
                <w:color w:val="000000"/>
                <w:szCs w:val="21"/>
              </w:rPr>
              <w:t>业</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76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4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72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65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3023"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569"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76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4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72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65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3023"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569"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76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4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72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65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3023"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569"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76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4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72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65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3023"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569"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bl>
    <w:p>
      <w:pPr>
        <w:jc w:val="center"/>
        <w:rPr>
          <w:rFonts w:eastAsia="仿宋_GB2312"/>
          <w:b/>
          <w:color w:val="000000"/>
          <w:sz w:val="24"/>
        </w:rPr>
      </w:pPr>
    </w:p>
    <w:p>
      <w:pPr>
        <w:jc w:val="center"/>
        <w:rPr>
          <w:rFonts w:eastAsia="仿宋_GB2312"/>
          <w:b/>
          <w:color w:val="000000"/>
          <w:sz w:val="24"/>
        </w:rPr>
      </w:pPr>
      <w:r>
        <w:rPr>
          <w:rFonts w:eastAsia="仿宋_GB2312"/>
          <w:b/>
          <w:color w:val="000000"/>
          <w:sz w:val="24"/>
        </w:rPr>
        <w:br w:type="column"/>
      </w:r>
      <w:r>
        <w:rPr>
          <w:rFonts w:hint="eastAsia" w:eastAsia="仿宋_GB2312"/>
          <w:b/>
          <w:color w:val="000000"/>
          <w:sz w:val="24"/>
        </w:rPr>
        <w:t>二、在职和退休返聘审查人员概况</w:t>
      </w:r>
    </w:p>
    <w:tbl>
      <w:tblPr>
        <w:tblStyle w:val="12"/>
        <w:tblW w:w="0" w:type="auto"/>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528"/>
        <w:gridCol w:w="1178"/>
        <w:gridCol w:w="622"/>
        <w:gridCol w:w="540"/>
        <w:gridCol w:w="1080"/>
        <w:gridCol w:w="1260"/>
        <w:gridCol w:w="1260"/>
        <w:gridCol w:w="1080"/>
        <w:gridCol w:w="1260"/>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725" w:hRule="atLeast"/>
          <w:jc w:val="center"/>
        </w:trPr>
        <w:tc>
          <w:tcPr>
            <w:tcW w:w="52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仿宋_GB2312"/>
                <w:color w:val="000000"/>
                <w:szCs w:val="21"/>
              </w:rPr>
            </w:pPr>
            <w:r>
              <w:rPr>
                <w:rFonts w:hint="eastAsia" w:eastAsia="仿宋_GB2312"/>
                <w:color w:val="000000"/>
                <w:szCs w:val="21"/>
              </w:rPr>
              <w:t>序号</w:t>
            </w:r>
          </w:p>
        </w:tc>
        <w:tc>
          <w:tcPr>
            <w:tcW w:w="117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仿宋_GB2312"/>
                <w:color w:val="000000"/>
                <w:szCs w:val="21"/>
              </w:rPr>
            </w:pPr>
            <w:r>
              <w:rPr>
                <w:rFonts w:hint="eastAsia" w:eastAsia="仿宋_GB2312"/>
                <w:color w:val="000000"/>
                <w:szCs w:val="21"/>
              </w:rPr>
              <w:t>姓</w:t>
            </w:r>
            <w:r>
              <w:rPr>
                <w:rFonts w:eastAsia="仿宋_GB2312"/>
                <w:color w:val="000000"/>
                <w:szCs w:val="21"/>
              </w:rPr>
              <w:t xml:space="preserve">  </w:t>
            </w:r>
            <w:r>
              <w:rPr>
                <w:rFonts w:hint="eastAsia" w:eastAsia="仿宋_GB2312"/>
                <w:color w:val="000000"/>
                <w:szCs w:val="21"/>
              </w:rPr>
              <w:t>名</w:t>
            </w:r>
          </w:p>
        </w:tc>
        <w:tc>
          <w:tcPr>
            <w:tcW w:w="62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仿宋_GB2312"/>
                <w:color w:val="000000"/>
                <w:szCs w:val="21"/>
              </w:rPr>
            </w:pPr>
            <w:r>
              <w:rPr>
                <w:rFonts w:hint="eastAsia" w:eastAsia="仿宋_GB2312"/>
                <w:color w:val="000000"/>
                <w:szCs w:val="21"/>
              </w:rPr>
              <w:t>性别</w:t>
            </w: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仿宋_GB2312"/>
                <w:color w:val="000000"/>
                <w:szCs w:val="21"/>
              </w:rPr>
            </w:pPr>
            <w:r>
              <w:rPr>
                <w:rFonts w:hint="eastAsia" w:eastAsia="仿宋_GB2312"/>
                <w:color w:val="000000"/>
                <w:szCs w:val="21"/>
              </w:rPr>
              <w:t>年龄</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仿宋_GB2312"/>
                <w:color w:val="000000"/>
                <w:szCs w:val="21"/>
              </w:rPr>
            </w:pPr>
            <w:r>
              <w:rPr>
                <w:rFonts w:hint="eastAsia" w:eastAsia="仿宋_GB2312"/>
                <w:color w:val="000000"/>
                <w:szCs w:val="21"/>
              </w:rPr>
              <w:t>技术职称</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仿宋_GB2312"/>
                <w:color w:val="000000"/>
                <w:szCs w:val="21"/>
              </w:rPr>
            </w:pPr>
            <w:r>
              <w:rPr>
                <w:rFonts w:hint="eastAsia" w:eastAsia="仿宋_GB2312"/>
                <w:color w:val="000000"/>
                <w:szCs w:val="21"/>
              </w:rPr>
              <w:t>执业</w:t>
            </w:r>
          </w:p>
          <w:p>
            <w:pPr>
              <w:spacing w:line="360" w:lineRule="exact"/>
              <w:jc w:val="center"/>
              <w:rPr>
                <w:rFonts w:eastAsia="仿宋_GB2312"/>
                <w:color w:val="000000"/>
                <w:szCs w:val="21"/>
              </w:rPr>
            </w:pPr>
            <w:r>
              <w:rPr>
                <w:rFonts w:hint="eastAsia" w:eastAsia="仿宋_GB2312"/>
                <w:color w:val="000000"/>
                <w:szCs w:val="21"/>
              </w:rPr>
              <w:t>资格</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仿宋_GB2312"/>
                <w:color w:val="000000"/>
                <w:szCs w:val="21"/>
              </w:rPr>
            </w:pPr>
            <w:r>
              <w:rPr>
                <w:rFonts w:hint="eastAsia" w:eastAsia="仿宋_GB2312"/>
                <w:color w:val="000000"/>
                <w:szCs w:val="21"/>
              </w:rPr>
              <w:t>从事勘察设计工作年限</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仿宋_GB2312"/>
                <w:color w:val="000000"/>
                <w:szCs w:val="21"/>
              </w:rPr>
            </w:pPr>
            <w:r>
              <w:rPr>
                <w:rFonts w:hint="eastAsia" w:eastAsia="仿宋_GB2312"/>
                <w:color w:val="000000"/>
                <w:szCs w:val="21"/>
              </w:rPr>
              <w:t>审查专业</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仿宋_GB2312"/>
                <w:color w:val="000000"/>
                <w:szCs w:val="21"/>
              </w:rPr>
            </w:pPr>
            <w:r>
              <w:rPr>
                <w:rFonts w:hint="eastAsia" w:eastAsia="仿宋_GB2312"/>
                <w:color w:val="000000"/>
                <w:szCs w:val="21"/>
              </w:rPr>
              <w:t>备注</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528"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17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22"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528"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17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22"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528"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17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22"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528"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17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22"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528"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17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22"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528"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17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22"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528"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17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22"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528"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17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22"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528"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17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22"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528"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17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22"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528"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17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22"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528"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17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22"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528"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17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22"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528"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17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22"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528"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17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22"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528"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17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22"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528"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17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22"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528"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17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22"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528"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17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22"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528"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17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22"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528"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17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22"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528"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17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22"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bl>
    <w:p>
      <w:pPr>
        <w:jc w:val="center"/>
        <w:rPr>
          <w:rFonts w:eastAsia="仿宋_GB2312"/>
          <w:b/>
          <w:color w:val="000000"/>
          <w:sz w:val="24"/>
        </w:rPr>
      </w:pPr>
      <w:r>
        <w:rPr>
          <w:rFonts w:hint="eastAsia" w:eastAsia="仿宋_GB2312"/>
          <w:b/>
          <w:color w:val="000000"/>
          <w:sz w:val="24"/>
        </w:rPr>
        <w:t>三、兼职审查人员概况</w:t>
      </w:r>
    </w:p>
    <w:tbl>
      <w:tblPr>
        <w:tblStyle w:val="12"/>
        <w:tblW w:w="0" w:type="auto"/>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528"/>
        <w:gridCol w:w="1178"/>
        <w:gridCol w:w="622"/>
        <w:gridCol w:w="540"/>
        <w:gridCol w:w="1080"/>
        <w:gridCol w:w="1260"/>
        <w:gridCol w:w="1260"/>
        <w:gridCol w:w="1080"/>
        <w:gridCol w:w="1260"/>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725" w:hRule="atLeast"/>
          <w:jc w:val="center"/>
        </w:trPr>
        <w:tc>
          <w:tcPr>
            <w:tcW w:w="52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仿宋_GB2312"/>
                <w:color w:val="000000"/>
                <w:szCs w:val="21"/>
              </w:rPr>
            </w:pPr>
            <w:r>
              <w:rPr>
                <w:rFonts w:hint="eastAsia" w:eastAsia="仿宋_GB2312"/>
                <w:color w:val="000000"/>
                <w:szCs w:val="21"/>
              </w:rPr>
              <w:t>序号</w:t>
            </w:r>
          </w:p>
        </w:tc>
        <w:tc>
          <w:tcPr>
            <w:tcW w:w="117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仿宋_GB2312"/>
                <w:color w:val="000000"/>
                <w:szCs w:val="21"/>
              </w:rPr>
            </w:pPr>
            <w:r>
              <w:rPr>
                <w:rFonts w:hint="eastAsia" w:eastAsia="仿宋_GB2312"/>
                <w:color w:val="000000"/>
                <w:szCs w:val="21"/>
              </w:rPr>
              <w:t>姓</w:t>
            </w:r>
            <w:r>
              <w:rPr>
                <w:rFonts w:eastAsia="仿宋_GB2312"/>
                <w:color w:val="000000"/>
                <w:szCs w:val="21"/>
              </w:rPr>
              <w:t xml:space="preserve">  </w:t>
            </w:r>
            <w:r>
              <w:rPr>
                <w:rFonts w:hint="eastAsia" w:eastAsia="仿宋_GB2312"/>
                <w:color w:val="000000"/>
                <w:szCs w:val="21"/>
              </w:rPr>
              <w:t>名</w:t>
            </w:r>
          </w:p>
        </w:tc>
        <w:tc>
          <w:tcPr>
            <w:tcW w:w="62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仿宋_GB2312"/>
                <w:color w:val="000000"/>
                <w:szCs w:val="21"/>
              </w:rPr>
            </w:pPr>
            <w:r>
              <w:rPr>
                <w:rFonts w:hint="eastAsia" w:eastAsia="仿宋_GB2312"/>
                <w:color w:val="000000"/>
                <w:szCs w:val="21"/>
              </w:rPr>
              <w:t>性别</w:t>
            </w: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仿宋_GB2312"/>
                <w:color w:val="000000"/>
                <w:szCs w:val="21"/>
              </w:rPr>
            </w:pPr>
            <w:r>
              <w:rPr>
                <w:rFonts w:hint="eastAsia" w:eastAsia="仿宋_GB2312"/>
                <w:color w:val="000000"/>
                <w:szCs w:val="21"/>
              </w:rPr>
              <w:t>年龄</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仿宋_GB2312"/>
                <w:color w:val="000000"/>
                <w:szCs w:val="21"/>
              </w:rPr>
            </w:pPr>
            <w:r>
              <w:rPr>
                <w:rFonts w:hint="eastAsia" w:eastAsia="仿宋_GB2312"/>
                <w:color w:val="000000"/>
                <w:szCs w:val="21"/>
              </w:rPr>
              <w:t>技术职称</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仿宋_GB2312"/>
                <w:color w:val="000000"/>
                <w:szCs w:val="21"/>
              </w:rPr>
            </w:pPr>
            <w:r>
              <w:rPr>
                <w:rFonts w:hint="eastAsia" w:eastAsia="仿宋_GB2312"/>
                <w:color w:val="000000"/>
                <w:szCs w:val="21"/>
              </w:rPr>
              <w:t>执业</w:t>
            </w:r>
          </w:p>
          <w:p>
            <w:pPr>
              <w:spacing w:line="360" w:lineRule="exact"/>
              <w:jc w:val="center"/>
              <w:rPr>
                <w:rFonts w:eastAsia="仿宋_GB2312"/>
                <w:color w:val="000000"/>
                <w:szCs w:val="21"/>
              </w:rPr>
            </w:pPr>
            <w:r>
              <w:rPr>
                <w:rFonts w:hint="eastAsia" w:eastAsia="仿宋_GB2312"/>
                <w:color w:val="000000"/>
                <w:szCs w:val="21"/>
              </w:rPr>
              <w:t>资格</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仿宋_GB2312"/>
                <w:color w:val="000000"/>
                <w:szCs w:val="21"/>
              </w:rPr>
            </w:pPr>
            <w:r>
              <w:rPr>
                <w:rFonts w:hint="eastAsia" w:eastAsia="仿宋_GB2312"/>
                <w:color w:val="000000"/>
                <w:szCs w:val="21"/>
              </w:rPr>
              <w:t>从事勘察设计工作年限</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仿宋_GB2312"/>
                <w:color w:val="000000"/>
                <w:szCs w:val="21"/>
              </w:rPr>
            </w:pPr>
            <w:r>
              <w:rPr>
                <w:rFonts w:hint="eastAsia" w:eastAsia="仿宋_GB2312"/>
                <w:color w:val="000000"/>
                <w:szCs w:val="21"/>
              </w:rPr>
              <w:t>审查专业</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仿宋_GB2312"/>
                <w:color w:val="000000"/>
                <w:szCs w:val="21"/>
              </w:rPr>
            </w:pPr>
            <w:r>
              <w:rPr>
                <w:rFonts w:hint="eastAsia" w:eastAsia="仿宋_GB2312"/>
                <w:color w:val="000000"/>
                <w:szCs w:val="21"/>
              </w:rPr>
              <w:t>备注</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528"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17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22"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528"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17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22"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528"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17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22"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528"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17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22"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528"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17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22"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528"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17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22"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528"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17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22"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528"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17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22"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528"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17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22"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528"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17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22"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528"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17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22"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528"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17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22"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528"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17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22"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528"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17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22"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528"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17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22"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528"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17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22"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528"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17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22"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528"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17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22"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528"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17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22"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528"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17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22"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528"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17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22"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528"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17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622"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color w:val="000000"/>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p>
        </w:tc>
      </w:tr>
    </w:tbl>
    <w:p>
      <w:pPr>
        <w:jc w:val="center"/>
        <w:rPr>
          <w:rFonts w:eastAsia="仿宋_GB2312"/>
          <w:b/>
          <w:color w:val="000000"/>
          <w:sz w:val="24"/>
        </w:rPr>
      </w:pPr>
      <w:r>
        <w:rPr>
          <w:rFonts w:hint="eastAsia" w:eastAsia="仿宋_GB2312"/>
          <w:b/>
          <w:color w:val="000000"/>
          <w:sz w:val="24"/>
        </w:rPr>
        <w:t>四、单位技术及质量保证体系情况（含审查规程）</w:t>
      </w:r>
    </w:p>
    <w:tbl>
      <w:tblPr>
        <w:tblStyle w:val="12"/>
        <w:tblW w:w="0" w:type="auto"/>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9365"/>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12949" w:hRule="atLeast"/>
          <w:jc w:val="center"/>
        </w:trPr>
        <w:tc>
          <w:tcPr>
            <w:tcW w:w="9365" w:type="dxa"/>
            <w:tcBorders>
              <w:top w:val="single" w:color="auto" w:sz="4" w:space="0"/>
              <w:left w:val="single" w:color="auto" w:sz="4" w:space="0"/>
              <w:bottom w:val="single" w:color="auto" w:sz="4" w:space="0"/>
              <w:right w:val="single" w:color="auto" w:sz="4" w:space="0"/>
            </w:tcBorders>
            <w:noWrap w:val="0"/>
            <w:vAlign w:val="top"/>
          </w:tcPr>
          <w:p>
            <w:pPr>
              <w:rPr>
                <w:b/>
                <w:color w:val="000000"/>
                <w:sz w:val="28"/>
              </w:rPr>
            </w:pPr>
          </w:p>
        </w:tc>
      </w:tr>
    </w:tbl>
    <w:p>
      <w:pPr>
        <w:jc w:val="center"/>
        <w:rPr>
          <w:rFonts w:eastAsia="仿宋_GB2312"/>
          <w:b/>
          <w:color w:val="000000"/>
          <w:sz w:val="32"/>
        </w:rPr>
      </w:pPr>
    </w:p>
    <w:p>
      <w:pPr>
        <w:jc w:val="center"/>
        <w:rPr>
          <w:rFonts w:eastAsia="仿宋_GB2312"/>
          <w:b/>
          <w:color w:val="000000"/>
          <w:sz w:val="24"/>
        </w:rPr>
      </w:pPr>
      <w:r>
        <w:rPr>
          <w:rFonts w:hint="eastAsia" w:eastAsia="仿宋_GB2312"/>
          <w:b/>
          <w:color w:val="000000"/>
          <w:sz w:val="24"/>
        </w:rPr>
        <w:t>五、申请类别及认定意见</w:t>
      </w:r>
    </w:p>
    <w:tbl>
      <w:tblPr>
        <w:tblStyle w:val="12"/>
        <w:tblW w:w="0" w:type="auto"/>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1320"/>
        <w:gridCol w:w="7737"/>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2790" w:hRule="atLeast"/>
          <w:jc w:val="center"/>
        </w:trPr>
        <w:tc>
          <w:tcPr>
            <w:tcW w:w="9057" w:type="dxa"/>
            <w:gridSpan w:val="2"/>
            <w:tcBorders>
              <w:top w:val="single" w:color="auto" w:sz="4" w:space="0"/>
              <w:left w:val="single" w:color="auto" w:sz="4" w:space="0"/>
              <w:bottom w:val="single" w:color="auto" w:sz="4" w:space="0"/>
              <w:right w:val="single" w:color="auto" w:sz="4" w:space="0"/>
            </w:tcBorders>
            <w:noWrap w:val="0"/>
            <w:vAlign w:val="top"/>
          </w:tcPr>
          <w:p>
            <w:pPr>
              <w:spacing w:before="156"/>
              <w:rPr>
                <w:rFonts w:eastAsia="仿宋_GB2312"/>
                <w:color w:val="000000"/>
                <w:szCs w:val="21"/>
              </w:rPr>
            </w:pPr>
            <w:r>
              <w:rPr>
                <w:rFonts w:hint="eastAsia" w:eastAsia="仿宋_GB2312"/>
                <w:color w:val="000000"/>
                <w:szCs w:val="21"/>
              </w:rPr>
              <w:t>申请审查类别及范围：</w:t>
            </w:r>
          </w:p>
          <w:p>
            <w:pPr>
              <w:rPr>
                <w:rFonts w:eastAsia="仿宋_GB2312"/>
                <w:color w:val="000000"/>
                <w:szCs w:val="21"/>
              </w:rPr>
            </w:pPr>
          </w:p>
          <w:p>
            <w:pPr>
              <w:rPr>
                <w:rFonts w:eastAsia="仿宋_GB2312"/>
                <w:color w:val="000000"/>
                <w:szCs w:val="21"/>
              </w:rPr>
            </w:pPr>
          </w:p>
          <w:p>
            <w:pPr>
              <w:rPr>
                <w:rFonts w:eastAsia="仿宋_GB2312"/>
                <w:color w:val="000000"/>
                <w:szCs w:val="21"/>
              </w:rPr>
            </w:pPr>
          </w:p>
          <w:p>
            <w:pPr>
              <w:rPr>
                <w:rFonts w:eastAsia="仿宋_GB2312"/>
                <w:color w:val="000000"/>
                <w:szCs w:val="21"/>
              </w:rPr>
            </w:pPr>
          </w:p>
          <w:p>
            <w:pPr>
              <w:rPr>
                <w:color w:val="000000"/>
                <w:szCs w:val="21"/>
              </w:rPr>
            </w:pPr>
            <w:r>
              <w:rPr>
                <w:rFonts w:hint="eastAsia" w:eastAsia="仿宋_GB2312"/>
                <w:color w:val="000000"/>
                <w:szCs w:val="21"/>
              </w:rPr>
              <w:t>（法定代表人签字）</w:t>
            </w:r>
            <w:r>
              <w:rPr>
                <w:rFonts w:eastAsia="仿宋_GB2312"/>
                <w:color w:val="000000"/>
                <w:szCs w:val="21"/>
              </w:rPr>
              <w:t xml:space="preserve">                          </w:t>
            </w:r>
            <w:r>
              <w:rPr>
                <w:rFonts w:hint="eastAsia" w:eastAsia="仿宋_GB2312"/>
                <w:color w:val="000000"/>
                <w:szCs w:val="21"/>
              </w:rPr>
              <w:t>（申请单位盖章）</w:t>
            </w:r>
          </w:p>
          <w:p>
            <w:pPr>
              <w:rPr>
                <w:rFonts w:eastAsia="仿宋_GB2312"/>
                <w:color w:val="000000"/>
                <w:szCs w:val="21"/>
              </w:rPr>
            </w:pPr>
            <w:r>
              <w:rPr>
                <w:color w:val="000000"/>
                <w:szCs w:val="21"/>
              </w:rPr>
              <w:t xml:space="preserve">             </w:t>
            </w:r>
            <w:r>
              <w:rPr>
                <w:rFonts w:hint="eastAsia" w:eastAsia="仿宋_GB2312"/>
                <w:color w:val="000000"/>
                <w:szCs w:val="21"/>
              </w:rPr>
              <w:t>年</w:t>
            </w:r>
            <w:r>
              <w:rPr>
                <w:rFonts w:eastAsia="仿宋_GB2312"/>
                <w:color w:val="000000"/>
                <w:szCs w:val="21"/>
              </w:rPr>
              <w:t xml:space="preserve">   </w:t>
            </w:r>
            <w:r>
              <w:rPr>
                <w:rFonts w:hint="eastAsia" w:eastAsia="仿宋_GB2312"/>
                <w:color w:val="000000"/>
                <w:szCs w:val="21"/>
              </w:rPr>
              <w:t>月</w:t>
            </w:r>
            <w:r>
              <w:rPr>
                <w:rFonts w:eastAsia="仿宋_GB2312"/>
                <w:color w:val="000000"/>
                <w:szCs w:val="21"/>
              </w:rPr>
              <w:t xml:space="preserve">   </w:t>
            </w:r>
            <w:r>
              <w:rPr>
                <w:rFonts w:hint="eastAsia" w:eastAsia="仿宋_GB2312"/>
                <w:color w:val="000000"/>
                <w:szCs w:val="21"/>
              </w:rPr>
              <w:t>日</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2120" w:hRule="atLeast"/>
          <w:jc w:val="center"/>
        </w:trPr>
        <w:tc>
          <w:tcPr>
            <w:tcW w:w="9057" w:type="dxa"/>
            <w:gridSpan w:val="2"/>
            <w:tcBorders>
              <w:top w:val="single" w:color="auto" w:sz="4" w:space="0"/>
              <w:left w:val="single" w:color="auto" w:sz="4" w:space="0"/>
              <w:bottom w:val="single" w:color="auto" w:sz="4" w:space="0"/>
              <w:right w:val="single" w:color="auto" w:sz="4" w:space="0"/>
            </w:tcBorders>
            <w:noWrap w:val="0"/>
            <w:vAlign w:val="top"/>
          </w:tcPr>
          <w:p>
            <w:pPr>
              <w:spacing w:before="156"/>
              <w:rPr>
                <w:rFonts w:eastAsia="仿宋_GB2312"/>
                <w:color w:val="000000"/>
                <w:szCs w:val="21"/>
              </w:rPr>
            </w:pPr>
            <w:r>
              <w:rPr>
                <w:rFonts w:hint="eastAsia" w:eastAsia="仿宋_GB2312"/>
                <w:color w:val="000000"/>
                <w:szCs w:val="21"/>
              </w:rPr>
              <w:t>县（市）建设行政主管部门审核意见：</w:t>
            </w:r>
          </w:p>
          <w:p>
            <w:pPr>
              <w:rPr>
                <w:rFonts w:eastAsia="仿宋_GB2312"/>
                <w:color w:val="000000"/>
                <w:szCs w:val="21"/>
              </w:rPr>
            </w:pPr>
          </w:p>
          <w:p>
            <w:pPr>
              <w:rPr>
                <w:rFonts w:eastAsia="仿宋_GB2312"/>
                <w:color w:val="000000"/>
                <w:szCs w:val="21"/>
              </w:rPr>
            </w:pPr>
          </w:p>
          <w:p>
            <w:pPr>
              <w:rPr>
                <w:rFonts w:eastAsia="仿宋_GB2312"/>
                <w:color w:val="000000"/>
                <w:szCs w:val="21"/>
              </w:rPr>
            </w:pPr>
          </w:p>
          <w:p>
            <w:pPr>
              <w:rPr>
                <w:rFonts w:eastAsia="仿宋_GB2312"/>
                <w:color w:val="000000"/>
                <w:szCs w:val="21"/>
              </w:rPr>
            </w:pPr>
            <w:r>
              <w:rPr>
                <w:rFonts w:eastAsia="仿宋_GB2312"/>
                <w:color w:val="000000"/>
                <w:szCs w:val="21"/>
              </w:rPr>
              <w:t xml:space="preserve">                                        </w:t>
            </w:r>
            <w:r>
              <w:rPr>
                <w:rFonts w:hint="eastAsia" w:eastAsia="仿宋_GB2312"/>
                <w:color w:val="000000"/>
                <w:szCs w:val="21"/>
              </w:rPr>
              <w:t>签字（盖章）</w:t>
            </w:r>
          </w:p>
          <w:p>
            <w:pPr>
              <w:spacing w:before="156"/>
              <w:rPr>
                <w:color w:val="000000"/>
                <w:szCs w:val="21"/>
              </w:rPr>
            </w:pPr>
            <w:r>
              <w:rPr>
                <w:rFonts w:eastAsia="仿宋_GB2312"/>
                <w:color w:val="000000"/>
                <w:szCs w:val="21"/>
              </w:rPr>
              <w:t xml:space="preserve">                                         </w:t>
            </w:r>
            <w:r>
              <w:rPr>
                <w:rFonts w:hint="eastAsia" w:eastAsia="仿宋_GB2312"/>
                <w:color w:val="000000"/>
                <w:szCs w:val="21"/>
              </w:rPr>
              <w:t>年</w:t>
            </w:r>
            <w:r>
              <w:rPr>
                <w:rFonts w:eastAsia="仿宋_GB2312"/>
                <w:color w:val="000000"/>
                <w:szCs w:val="21"/>
              </w:rPr>
              <w:t xml:space="preserve">   </w:t>
            </w:r>
            <w:r>
              <w:rPr>
                <w:rFonts w:hint="eastAsia" w:eastAsia="仿宋_GB2312"/>
                <w:color w:val="000000"/>
                <w:szCs w:val="21"/>
              </w:rPr>
              <w:t>月</w:t>
            </w:r>
            <w:r>
              <w:rPr>
                <w:rFonts w:eastAsia="仿宋_GB2312"/>
                <w:color w:val="000000"/>
                <w:szCs w:val="21"/>
              </w:rPr>
              <w:t xml:space="preserve">   </w:t>
            </w:r>
            <w:r>
              <w:rPr>
                <w:rFonts w:hint="eastAsia" w:eastAsia="仿宋_GB2312"/>
                <w:color w:val="000000"/>
                <w:szCs w:val="21"/>
              </w:rPr>
              <w:t>日</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2340" w:hRule="atLeast"/>
          <w:jc w:val="center"/>
        </w:trPr>
        <w:tc>
          <w:tcPr>
            <w:tcW w:w="9057" w:type="dxa"/>
            <w:gridSpan w:val="2"/>
            <w:tcBorders>
              <w:top w:val="single" w:color="auto" w:sz="4" w:space="0"/>
              <w:left w:val="single" w:color="auto" w:sz="4" w:space="0"/>
              <w:bottom w:val="single" w:color="auto" w:sz="4" w:space="0"/>
              <w:right w:val="single" w:color="auto" w:sz="4" w:space="0"/>
            </w:tcBorders>
            <w:noWrap w:val="0"/>
            <w:vAlign w:val="top"/>
          </w:tcPr>
          <w:p>
            <w:pPr>
              <w:spacing w:before="156"/>
              <w:rPr>
                <w:rFonts w:eastAsia="仿宋_GB2312"/>
                <w:color w:val="000000"/>
                <w:szCs w:val="21"/>
              </w:rPr>
            </w:pPr>
            <w:r>
              <w:rPr>
                <w:rFonts w:hint="eastAsia" w:eastAsia="仿宋_GB2312"/>
                <w:color w:val="000000"/>
                <w:szCs w:val="21"/>
              </w:rPr>
              <w:t>省辖市建设行政主管部门审核意见：</w:t>
            </w:r>
          </w:p>
          <w:p>
            <w:pPr>
              <w:rPr>
                <w:rFonts w:eastAsia="仿宋_GB2312"/>
                <w:color w:val="000000"/>
                <w:szCs w:val="21"/>
              </w:rPr>
            </w:pPr>
          </w:p>
          <w:p>
            <w:pPr>
              <w:rPr>
                <w:rFonts w:eastAsia="仿宋_GB2312"/>
                <w:color w:val="000000"/>
                <w:szCs w:val="21"/>
              </w:rPr>
            </w:pPr>
            <w:r>
              <w:rPr>
                <w:rFonts w:eastAsia="仿宋_GB2312"/>
                <w:color w:val="000000"/>
                <w:szCs w:val="21"/>
              </w:rPr>
              <w:t xml:space="preserve">                                        </w:t>
            </w:r>
            <w:r>
              <w:rPr>
                <w:rFonts w:hint="eastAsia" w:eastAsia="仿宋_GB2312"/>
                <w:color w:val="000000"/>
                <w:szCs w:val="21"/>
              </w:rPr>
              <w:t>签字（盖章）</w:t>
            </w:r>
          </w:p>
          <w:p>
            <w:pPr>
              <w:rPr>
                <w:rFonts w:eastAsia="仿宋_GB2312"/>
                <w:color w:val="000000"/>
                <w:szCs w:val="21"/>
              </w:rPr>
            </w:pPr>
            <w:r>
              <w:rPr>
                <w:rFonts w:eastAsia="仿宋_GB2312"/>
                <w:color w:val="000000"/>
                <w:szCs w:val="21"/>
              </w:rPr>
              <w:t xml:space="preserve">                                         </w:t>
            </w:r>
            <w:r>
              <w:rPr>
                <w:rFonts w:hint="eastAsia" w:eastAsia="仿宋_GB2312"/>
                <w:color w:val="000000"/>
                <w:szCs w:val="21"/>
              </w:rPr>
              <w:t>年</w:t>
            </w:r>
            <w:r>
              <w:rPr>
                <w:rFonts w:eastAsia="仿宋_GB2312"/>
                <w:color w:val="000000"/>
                <w:szCs w:val="21"/>
              </w:rPr>
              <w:t xml:space="preserve">   </w:t>
            </w:r>
            <w:r>
              <w:rPr>
                <w:rFonts w:hint="eastAsia" w:eastAsia="仿宋_GB2312"/>
                <w:color w:val="000000"/>
                <w:szCs w:val="21"/>
              </w:rPr>
              <w:t>月</w:t>
            </w:r>
            <w:r>
              <w:rPr>
                <w:rFonts w:eastAsia="仿宋_GB2312"/>
                <w:color w:val="000000"/>
                <w:szCs w:val="21"/>
              </w:rPr>
              <w:t xml:space="preserve">   </w:t>
            </w:r>
            <w:r>
              <w:rPr>
                <w:rFonts w:hint="eastAsia" w:eastAsia="仿宋_GB2312"/>
                <w:color w:val="000000"/>
                <w:szCs w:val="21"/>
              </w:rPr>
              <w:t>日</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2431" w:hRule="atLeast"/>
          <w:jc w:val="center"/>
        </w:trPr>
        <w:tc>
          <w:tcPr>
            <w:tcW w:w="9057" w:type="dxa"/>
            <w:gridSpan w:val="2"/>
            <w:tcBorders>
              <w:top w:val="single" w:color="auto" w:sz="4" w:space="0"/>
              <w:left w:val="single" w:color="auto" w:sz="4" w:space="0"/>
              <w:bottom w:val="single" w:color="auto" w:sz="4" w:space="0"/>
              <w:right w:val="single" w:color="auto" w:sz="4" w:space="0"/>
            </w:tcBorders>
            <w:noWrap w:val="0"/>
            <w:vAlign w:val="top"/>
          </w:tcPr>
          <w:p>
            <w:pPr>
              <w:spacing w:before="156"/>
              <w:rPr>
                <w:rFonts w:eastAsia="仿宋_GB2312"/>
                <w:b/>
                <w:color w:val="000000"/>
                <w:szCs w:val="21"/>
              </w:rPr>
            </w:pPr>
            <w:r>
              <w:rPr>
                <w:rFonts w:hint="eastAsia" w:eastAsia="仿宋_GB2312"/>
                <w:color w:val="000000"/>
                <w:szCs w:val="21"/>
              </w:rPr>
              <w:t>省住房和城乡建设行政主管部门认定意见</w:t>
            </w:r>
            <w:r>
              <w:rPr>
                <w:rFonts w:hint="eastAsia" w:eastAsia="仿宋_GB2312"/>
                <w:b/>
                <w:color w:val="000000"/>
                <w:szCs w:val="21"/>
              </w:rPr>
              <w:t>：</w:t>
            </w:r>
          </w:p>
          <w:p>
            <w:pPr>
              <w:rPr>
                <w:rFonts w:eastAsia="仿宋_GB2312"/>
                <w:color w:val="000000"/>
                <w:szCs w:val="21"/>
              </w:rPr>
            </w:pPr>
            <w:r>
              <w:rPr>
                <w:rFonts w:eastAsia="仿宋_GB2312"/>
                <w:color w:val="000000"/>
                <w:szCs w:val="21"/>
              </w:rPr>
              <w:t xml:space="preserve">  </w:t>
            </w:r>
          </w:p>
          <w:p>
            <w:pPr>
              <w:rPr>
                <w:rFonts w:eastAsia="仿宋_GB2312"/>
                <w:color w:val="000000"/>
                <w:szCs w:val="21"/>
              </w:rPr>
            </w:pPr>
            <w:r>
              <w:rPr>
                <w:rFonts w:eastAsia="仿宋_GB2312"/>
                <w:color w:val="000000"/>
                <w:szCs w:val="21"/>
              </w:rPr>
              <w:t xml:space="preserve">                                            </w:t>
            </w:r>
            <w:r>
              <w:rPr>
                <w:rFonts w:hint="eastAsia" w:eastAsia="仿宋_GB2312"/>
                <w:color w:val="000000"/>
                <w:szCs w:val="21"/>
              </w:rPr>
              <w:t>（盖章）</w:t>
            </w:r>
          </w:p>
          <w:p>
            <w:pPr>
              <w:rPr>
                <w:b/>
                <w:color w:val="000000"/>
                <w:szCs w:val="21"/>
              </w:rPr>
            </w:pPr>
            <w:r>
              <w:rPr>
                <w:rFonts w:eastAsia="仿宋_GB2312"/>
                <w:color w:val="000000"/>
                <w:szCs w:val="21"/>
              </w:rPr>
              <w:t xml:space="preserve">                                          </w:t>
            </w:r>
            <w:r>
              <w:rPr>
                <w:rFonts w:hint="eastAsia" w:eastAsia="仿宋_GB2312"/>
                <w:color w:val="000000"/>
                <w:szCs w:val="21"/>
              </w:rPr>
              <w:t>年</w:t>
            </w:r>
            <w:r>
              <w:rPr>
                <w:rFonts w:eastAsia="仿宋_GB2312"/>
                <w:color w:val="000000"/>
                <w:szCs w:val="21"/>
              </w:rPr>
              <w:t xml:space="preserve">   </w:t>
            </w:r>
            <w:r>
              <w:rPr>
                <w:rFonts w:hint="eastAsia" w:eastAsia="仿宋_GB2312"/>
                <w:color w:val="000000"/>
                <w:szCs w:val="21"/>
              </w:rPr>
              <w:t>月</w:t>
            </w:r>
            <w:r>
              <w:rPr>
                <w:rFonts w:eastAsia="仿宋_GB2312"/>
                <w:color w:val="000000"/>
                <w:szCs w:val="21"/>
              </w:rPr>
              <w:t xml:space="preserve">   </w:t>
            </w:r>
            <w:r>
              <w:rPr>
                <w:rFonts w:hint="eastAsia" w:eastAsia="仿宋_GB2312"/>
                <w:color w:val="000000"/>
                <w:szCs w:val="21"/>
              </w:rPr>
              <w:t>日</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2559" w:hRule="atLeast"/>
          <w:jc w:val="center"/>
        </w:trPr>
        <w:tc>
          <w:tcPr>
            <w:tcW w:w="1320" w:type="dxa"/>
            <w:tcBorders>
              <w:top w:val="single" w:color="auto" w:sz="4" w:space="0"/>
              <w:left w:val="single" w:color="auto" w:sz="4" w:space="0"/>
              <w:bottom w:val="single" w:color="auto" w:sz="4" w:space="0"/>
              <w:right w:val="single" w:color="auto" w:sz="4" w:space="0"/>
            </w:tcBorders>
            <w:noWrap w:val="0"/>
            <w:vAlign w:val="center"/>
          </w:tcPr>
          <w:p>
            <w:pPr>
              <w:spacing w:before="156"/>
              <w:jc w:val="center"/>
              <w:rPr>
                <w:rFonts w:eastAsia="仿宋_GB2312"/>
                <w:color w:val="000000"/>
                <w:szCs w:val="21"/>
              </w:rPr>
            </w:pPr>
            <w:r>
              <w:rPr>
                <w:rFonts w:hint="eastAsia" w:eastAsia="仿宋_GB2312"/>
                <w:color w:val="000000"/>
                <w:szCs w:val="21"/>
              </w:rPr>
              <w:t>备</w:t>
            </w:r>
            <w:r>
              <w:rPr>
                <w:rFonts w:eastAsia="仿宋_GB2312"/>
                <w:color w:val="000000"/>
                <w:szCs w:val="21"/>
              </w:rPr>
              <w:t xml:space="preserve"> </w:t>
            </w:r>
            <w:r>
              <w:rPr>
                <w:rFonts w:hint="eastAsia" w:eastAsia="仿宋_GB2312"/>
                <w:color w:val="000000"/>
                <w:szCs w:val="21"/>
              </w:rPr>
              <w:t>注</w:t>
            </w:r>
          </w:p>
        </w:tc>
        <w:tc>
          <w:tcPr>
            <w:tcW w:w="7737" w:type="dxa"/>
            <w:tcBorders>
              <w:top w:val="single" w:color="auto" w:sz="4" w:space="0"/>
              <w:left w:val="single" w:color="auto" w:sz="4" w:space="0"/>
              <w:bottom w:val="single" w:color="auto" w:sz="4" w:space="0"/>
              <w:right w:val="single" w:color="auto" w:sz="4" w:space="0"/>
            </w:tcBorders>
            <w:noWrap w:val="0"/>
            <w:vAlign w:val="top"/>
          </w:tcPr>
          <w:p>
            <w:pPr>
              <w:spacing w:before="156"/>
              <w:rPr>
                <w:rFonts w:eastAsia="仿宋_GB2312"/>
                <w:color w:val="000000"/>
                <w:szCs w:val="21"/>
              </w:rPr>
            </w:pPr>
          </w:p>
        </w:tc>
      </w:tr>
    </w:tbl>
    <w:p>
      <w:pPr>
        <w:spacing w:line="500" w:lineRule="exact"/>
        <w:ind w:left="-7" w:leftChars="-119" w:hanging="243" w:hangingChars="87"/>
        <w:rPr>
          <w:rFonts w:eastAsia="黑体"/>
          <w:color w:val="000000"/>
          <w:sz w:val="28"/>
          <w:szCs w:val="28"/>
        </w:rPr>
      </w:pPr>
      <w:r>
        <w:rPr>
          <w:rFonts w:hint="eastAsia" w:eastAsia="黑体"/>
          <w:color w:val="000000"/>
          <w:sz w:val="28"/>
          <w:szCs w:val="28"/>
        </w:rPr>
        <w:t>附件</w:t>
      </w:r>
      <w:r>
        <w:rPr>
          <w:rFonts w:eastAsia="黑体"/>
          <w:color w:val="000000"/>
          <w:sz w:val="28"/>
          <w:szCs w:val="28"/>
        </w:rPr>
        <w:t>2</w:t>
      </w:r>
      <w:r>
        <w:rPr>
          <w:rFonts w:hint="eastAsia" w:eastAsia="黑体"/>
          <w:color w:val="000000"/>
          <w:sz w:val="28"/>
          <w:szCs w:val="28"/>
        </w:rPr>
        <w:t>：</w:t>
      </w:r>
    </w:p>
    <w:p>
      <w:pPr>
        <w:spacing w:after="120" w:afterLines="50" w:line="500" w:lineRule="exact"/>
        <w:jc w:val="center"/>
        <w:rPr>
          <w:color w:val="000000"/>
        </w:rPr>
      </w:pPr>
      <w:r>
        <w:rPr>
          <w:rFonts w:hint="eastAsia" w:eastAsia="黑体"/>
          <w:color w:val="000000"/>
          <w:sz w:val="36"/>
        </w:rPr>
        <w:t>施工图设计文件审查机构自审表</w:t>
      </w:r>
    </w:p>
    <w:tbl>
      <w:tblPr>
        <w:tblStyle w:val="1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68"/>
        <w:gridCol w:w="480"/>
        <w:gridCol w:w="57"/>
        <w:gridCol w:w="1258"/>
        <w:gridCol w:w="1085"/>
        <w:gridCol w:w="552"/>
        <w:gridCol w:w="720"/>
        <w:gridCol w:w="177"/>
        <w:gridCol w:w="711"/>
        <w:gridCol w:w="732"/>
        <w:gridCol w:w="720"/>
        <w:gridCol w:w="6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397" w:type="dxa"/>
            <w:gridSpan w:val="8"/>
            <w:tcBorders>
              <w:top w:val="single" w:color="000000" w:sz="4" w:space="0"/>
              <w:left w:val="single" w:color="000000" w:sz="4" w:space="0"/>
              <w:bottom w:val="single" w:color="000000" w:sz="4" w:space="0"/>
              <w:right w:val="single" w:color="000000" w:sz="4" w:space="0"/>
            </w:tcBorders>
            <w:noWrap w:val="0"/>
            <w:vAlign w:val="center"/>
          </w:tcPr>
          <w:p>
            <w:pPr>
              <w:spacing w:line="360" w:lineRule="exact"/>
              <w:rPr>
                <w:rFonts w:eastAsia="方正仿宋_GBK"/>
                <w:color w:val="000000"/>
                <w:sz w:val="18"/>
                <w:szCs w:val="18"/>
              </w:rPr>
            </w:pPr>
            <w:r>
              <w:rPr>
                <w:rFonts w:hint="eastAsia" w:eastAsia="方正仿宋_GBK"/>
                <w:color w:val="000000"/>
                <w:sz w:val="18"/>
                <w:szCs w:val="18"/>
              </w:rPr>
              <w:t>单位名称：</w:t>
            </w:r>
            <w:r>
              <w:rPr>
                <w:rFonts w:eastAsia="方正仿宋_GBK"/>
                <w:color w:val="000000"/>
                <w:sz w:val="18"/>
                <w:szCs w:val="18"/>
              </w:rPr>
              <w:t xml:space="preserve"> </w:t>
            </w:r>
          </w:p>
        </w:tc>
        <w:tc>
          <w:tcPr>
            <w:tcW w:w="2831" w:type="dxa"/>
            <w:gridSpan w:val="4"/>
            <w:tcBorders>
              <w:top w:val="single" w:color="000000" w:sz="4" w:space="0"/>
              <w:left w:val="single" w:color="000000" w:sz="4" w:space="0"/>
              <w:bottom w:val="single" w:color="000000" w:sz="4" w:space="0"/>
              <w:right w:val="single" w:color="000000" w:sz="4" w:space="0"/>
            </w:tcBorders>
            <w:noWrap w:val="0"/>
            <w:vAlign w:val="center"/>
          </w:tcPr>
          <w:p>
            <w:pPr>
              <w:spacing w:line="360" w:lineRule="exact"/>
              <w:rPr>
                <w:rFonts w:eastAsia="方正仿宋_GBK"/>
                <w:color w:val="000000"/>
                <w:sz w:val="18"/>
                <w:szCs w:val="18"/>
              </w:rPr>
            </w:pPr>
            <w:r>
              <w:rPr>
                <w:rFonts w:hint="eastAsia" w:eastAsia="方正仿宋_GBK"/>
                <w:color w:val="000000"/>
                <w:sz w:val="18"/>
                <w:szCs w:val="18"/>
              </w:rPr>
              <w:t>自审日期：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397" w:type="dxa"/>
            <w:gridSpan w:val="8"/>
            <w:vMerge w:val="restart"/>
            <w:tcBorders>
              <w:top w:val="single" w:color="000000" w:sz="4" w:space="0"/>
              <w:left w:val="single" w:color="000000" w:sz="4" w:space="0"/>
              <w:bottom w:val="single" w:color="000000" w:sz="4" w:space="0"/>
              <w:right w:val="single" w:color="auto"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原证书审查类别、范围：</w:t>
            </w:r>
          </w:p>
          <w:p>
            <w:pPr>
              <w:spacing w:line="360" w:lineRule="exact"/>
              <w:rPr>
                <w:rFonts w:eastAsia="方正仿宋_GBK"/>
                <w:color w:val="000000"/>
                <w:sz w:val="18"/>
                <w:szCs w:val="18"/>
              </w:rPr>
            </w:pPr>
          </w:p>
        </w:tc>
        <w:tc>
          <w:tcPr>
            <w:tcW w:w="2831" w:type="dxa"/>
            <w:gridSpan w:val="4"/>
            <w:tcBorders>
              <w:top w:val="single" w:color="000000" w:sz="4" w:space="0"/>
              <w:left w:val="single" w:color="auto" w:sz="4" w:space="0"/>
              <w:bottom w:val="single" w:color="auto" w:sz="4" w:space="0"/>
              <w:right w:val="single" w:color="000000" w:sz="4" w:space="0"/>
            </w:tcBorders>
            <w:noWrap w:val="0"/>
            <w:vAlign w:val="center"/>
          </w:tcPr>
          <w:p>
            <w:pPr>
              <w:spacing w:line="360" w:lineRule="exact"/>
              <w:rPr>
                <w:rFonts w:eastAsia="方正仿宋_GBK"/>
                <w:color w:val="000000"/>
                <w:sz w:val="18"/>
                <w:szCs w:val="18"/>
              </w:rPr>
            </w:pPr>
            <w:r>
              <w:rPr>
                <w:rFonts w:hint="eastAsia" w:eastAsia="方正仿宋_GBK"/>
                <w:color w:val="000000"/>
                <w:sz w:val="18"/>
                <w:szCs w:val="18"/>
              </w:rPr>
              <w:t>原证书号：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397" w:type="dxa"/>
            <w:gridSpan w:val="8"/>
            <w:vMerge w:val="continue"/>
            <w:tcBorders>
              <w:top w:val="single" w:color="000000" w:sz="4" w:space="0"/>
              <w:left w:val="single" w:color="000000" w:sz="4" w:space="0"/>
              <w:bottom w:val="single" w:color="000000" w:sz="4" w:space="0"/>
              <w:right w:val="single" w:color="auto" w:sz="4" w:space="0"/>
            </w:tcBorders>
            <w:noWrap w:val="0"/>
            <w:vAlign w:val="center"/>
          </w:tcPr>
          <w:p>
            <w:pPr>
              <w:widowControl/>
              <w:jc w:val="left"/>
              <w:rPr>
                <w:rFonts w:eastAsia="方正仿宋_GBK"/>
                <w:color w:val="000000"/>
                <w:sz w:val="18"/>
                <w:szCs w:val="18"/>
              </w:rPr>
            </w:pPr>
          </w:p>
        </w:tc>
        <w:tc>
          <w:tcPr>
            <w:tcW w:w="2831" w:type="dxa"/>
            <w:gridSpan w:val="4"/>
            <w:tcBorders>
              <w:top w:val="single" w:color="auto" w:sz="4" w:space="0"/>
              <w:left w:val="single" w:color="auto" w:sz="4" w:space="0"/>
              <w:bottom w:val="single" w:color="000000" w:sz="4" w:space="0"/>
              <w:right w:val="single" w:color="000000" w:sz="4" w:space="0"/>
            </w:tcBorders>
            <w:noWrap w:val="0"/>
            <w:vAlign w:val="center"/>
          </w:tcPr>
          <w:p>
            <w:pPr>
              <w:spacing w:line="360" w:lineRule="exact"/>
              <w:rPr>
                <w:rFonts w:eastAsia="方正仿宋_GBK"/>
                <w:color w:val="000000"/>
                <w:sz w:val="18"/>
                <w:szCs w:val="18"/>
              </w:rPr>
            </w:pPr>
            <w:r>
              <w:rPr>
                <w:rFonts w:hint="eastAsia" w:eastAsia="方正仿宋_GBK"/>
                <w:color w:val="000000"/>
                <w:sz w:val="18"/>
                <w:szCs w:val="18"/>
              </w:rPr>
              <w:t>有效日期：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28" w:type="dxa"/>
            <w:gridSpan w:val="12"/>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现申请认定类别、范围：</w:t>
            </w:r>
          </w:p>
          <w:p>
            <w:pPr>
              <w:spacing w:line="360" w:lineRule="exact"/>
              <w:rPr>
                <w:rFonts w:eastAsia="方正仿宋_GBK"/>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48" w:type="dxa"/>
            <w:gridSpan w:val="2"/>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成立时间：</w:t>
            </w:r>
          </w:p>
        </w:tc>
        <w:tc>
          <w:tcPr>
            <w:tcW w:w="2400" w:type="dxa"/>
            <w:gridSpan w:val="3"/>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机构性质：</w:t>
            </w:r>
            <w:r>
              <w:rPr>
                <w:rFonts w:eastAsia="方正仿宋_GBK"/>
                <w:color w:val="000000"/>
                <w:sz w:val="18"/>
                <w:szCs w:val="18"/>
              </w:rPr>
              <w:t xml:space="preserve"> </w:t>
            </w:r>
          </w:p>
        </w:tc>
        <w:tc>
          <w:tcPr>
            <w:tcW w:w="4280" w:type="dxa"/>
            <w:gridSpan w:val="7"/>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法定代表人：</w:t>
            </w:r>
            <w:r>
              <w:rPr>
                <w:rFonts w:eastAsia="方正仿宋_GBK"/>
                <w:color w:val="000000"/>
                <w:sz w:val="18"/>
                <w:szCs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48" w:type="dxa"/>
            <w:gridSpan w:val="2"/>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注册资金：</w:t>
            </w:r>
            <w:r>
              <w:rPr>
                <w:rFonts w:eastAsia="方正仿宋_GBK"/>
                <w:color w:val="000000"/>
                <w:sz w:val="18"/>
                <w:szCs w:val="18"/>
              </w:rPr>
              <w:t xml:space="preserve"> </w:t>
            </w:r>
          </w:p>
        </w:tc>
        <w:tc>
          <w:tcPr>
            <w:tcW w:w="2400" w:type="dxa"/>
            <w:gridSpan w:val="3"/>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人员总数：</w:t>
            </w:r>
          </w:p>
        </w:tc>
        <w:tc>
          <w:tcPr>
            <w:tcW w:w="4280" w:type="dxa"/>
            <w:gridSpan w:val="7"/>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单位办公场所面积（</w:t>
            </w:r>
            <w:r>
              <w:rPr>
                <w:rFonts w:eastAsia="方正仿宋_GBK"/>
                <w:color w:val="000000"/>
                <w:sz w:val="18"/>
                <w:szCs w:val="18"/>
              </w:rPr>
              <w:t>M</w:t>
            </w:r>
            <w:r>
              <w:rPr>
                <w:rFonts w:eastAsia="方正仿宋_GBK"/>
                <w:color w:val="000000"/>
                <w:sz w:val="18"/>
                <w:szCs w:val="18"/>
                <w:vertAlign w:val="superscript"/>
              </w:rPr>
              <w:t>2</w:t>
            </w:r>
            <w:r>
              <w:rPr>
                <w:rFonts w:hint="eastAsia" w:eastAsia="方正仿宋_GBK"/>
                <w:color w:val="000000"/>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3863" w:type="dxa"/>
            <w:gridSpan w:val="4"/>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房屋建筑工程审查人员总数：</w:t>
            </w:r>
          </w:p>
        </w:tc>
        <w:tc>
          <w:tcPr>
            <w:tcW w:w="2534" w:type="dxa"/>
            <w:gridSpan w:val="4"/>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其中专职：</w:t>
            </w:r>
          </w:p>
        </w:tc>
        <w:tc>
          <w:tcPr>
            <w:tcW w:w="2831" w:type="dxa"/>
            <w:gridSpan w:val="4"/>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其中兼职：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2068" w:type="dxa"/>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建筑专业：</w:t>
            </w:r>
          </w:p>
        </w:tc>
        <w:tc>
          <w:tcPr>
            <w:tcW w:w="480" w:type="dxa"/>
            <w:vMerge w:val="restart"/>
            <w:tcBorders>
              <w:top w:val="single" w:color="000000" w:sz="4" w:space="0"/>
              <w:left w:val="single" w:color="000000" w:sz="4" w:space="0"/>
              <w:bottom w:val="single" w:color="000000" w:sz="4" w:space="0"/>
              <w:right w:val="single" w:color="000000" w:sz="4" w:space="0"/>
            </w:tcBorders>
            <w:noWrap w:val="0"/>
            <w:vAlign w:val="center"/>
          </w:tcPr>
          <w:p>
            <w:pPr>
              <w:spacing w:line="360" w:lineRule="exact"/>
              <w:jc w:val="center"/>
              <w:rPr>
                <w:rFonts w:eastAsia="方正仿宋_GBK"/>
                <w:color w:val="000000"/>
                <w:sz w:val="18"/>
                <w:szCs w:val="18"/>
              </w:rPr>
            </w:pPr>
            <w:r>
              <w:rPr>
                <w:rFonts w:hint="eastAsia" w:eastAsia="方正仿宋_GBK"/>
                <w:color w:val="000000"/>
                <w:sz w:val="18"/>
                <w:szCs w:val="18"/>
              </w:rPr>
              <w:t>其</w:t>
            </w:r>
          </w:p>
          <w:p>
            <w:pPr>
              <w:spacing w:line="360" w:lineRule="exact"/>
              <w:jc w:val="center"/>
              <w:rPr>
                <w:rFonts w:eastAsia="方正仿宋_GBK"/>
                <w:color w:val="000000"/>
                <w:sz w:val="18"/>
                <w:szCs w:val="18"/>
              </w:rPr>
            </w:pPr>
          </w:p>
          <w:p>
            <w:pPr>
              <w:spacing w:line="360" w:lineRule="exact"/>
              <w:jc w:val="center"/>
              <w:rPr>
                <w:rFonts w:eastAsia="方正仿宋_GBK"/>
                <w:color w:val="000000"/>
                <w:sz w:val="18"/>
                <w:szCs w:val="18"/>
              </w:rPr>
            </w:pPr>
            <w:r>
              <w:rPr>
                <w:rFonts w:hint="eastAsia" w:eastAsia="方正仿宋_GBK"/>
                <w:color w:val="000000"/>
                <w:sz w:val="18"/>
                <w:szCs w:val="18"/>
              </w:rPr>
              <w:t>中</w:t>
            </w:r>
          </w:p>
        </w:tc>
        <w:tc>
          <w:tcPr>
            <w:tcW w:w="1315" w:type="dxa"/>
            <w:gridSpan w:val="2"/>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专职：</w:t>
            </w:r>
          </w:p>
        </w:tc>
        <w:tc>
          <w:tcPr>
            <w:tcW w:w="1085" w:type="dxa"/>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兼职：</w:t>
            </w:r>
          </w:p>
        </w:tc>
        <w:tc>
          <w:tcPr>
            <w:tcW w:w="2160" w:type="dxa"/>
            <w:gridSpan w:val="4"/>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高工及以上：</w:t>
            </w:r>
          </w:p>
        </w:tc>
        <w:tc>
          <w:tcPr>
            <w:tcW w:w="2120" w:type="dxa"/>
            <w:gridSpan w:val="3"/>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工程师：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2068" w:type="dxa"/>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结构专业：</w:t>
            </w:r>
          </w:p>
        </w:tc>
        <w:tc>
          <w:tcPr>
            <w:tcW w:w="4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方正仿宋_GBK"/>
                <w:color w:val="000000"/>
                <w:sz w:val="18"/>
                <w:szCs w:val="18"/>
              </w:rPr>
            </w:pPr>
          </w:p>
        </w:tc>
        <w:tc>
          <w:tcPr>
            <w:tcW w:w="1315" w:type="dxa"/>
            <w:gridSpan w:val="2"/>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专职：</w:t>
            </w:r>
          </w:p>
        </w:tc>
        <w:tc>
          <w:tcPr>
            <w:tcW w:w="1085" w:type="dxa"/>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兼职：</w:t>
            </w:r>
          </w:p>
        </w:tc>
        <w:tc>
          <w:tcPr>
            <w:tcW w:w="2160" w:type="dxa"/>
            <w:gridSpan w:val="4"/>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高工及以上：</w:t>
            </w:r>
          </w:p>
        </w:tc>
        <w:tc>
          <w:tcPr>
            <w:tcW w:w="2120" w:type="dxa"/>
            <w:gridSpan w:val="3"/>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工程师：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2068" w:type="dxa"/>
            <w:tcBorders>
              <w:top w:val="nil"/>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给排水专业：</w:t>
            </w:r>
          </w:p>
        </w:tc>
        <w:tc>
          <w:tcPr>
            <w:tcW w:w="4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方正仿宋_GBK"/>
                <w:color w:val="000000"/>
                <w:sz w:val="18"/>
                <w:szCs w:val="18"/>
              </w:rPr>
            </w:pPr>
          </w:p>
        </w:tc>
        <w:tc>
          <w:tcPr>
            <w:tcW w:w="1315" w:type="dxa"/>
            <w:gridSpan w:val="2"/>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专职：</w:t>
            </w:r>
          </w:p>
        </w:tc>
        <w:tc>
          <w:tcPr>
            <w:tcW w:w="1085" w:type="dxa"/>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兼职：</w:t>
            </w:r>
          </w:p>
        </w:tc>
        <w:tc>
          <w:tcPr>
            <w:tcW w:w="2160" w:type="dxa"/>
            <w:gridSpan w:val="4"/>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高工及以上：</w:t>
            </w:r>
          </w:p>
        </w:tc>
        <w:tc>
          <w:tcPr>
            <w:tcW w:w="2120" w:type="dxa"/>
            <w:gridSpan w:val="3"/>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工程师：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2068" w:type="dxa"/>
            <w:tcBorders>
              <w:top w:val="nil"/>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电气专业：</w:t>
            </w:r>
          </w:p>
        </w:tc>
        <w:tc>
          <w:tcPr>
            <w:tcW w:w="4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方正仿宋_GBK"/>
                <w:color w:val="000000"/>
                <w:sz w:val="18"/>
                <w:szCs w:val="18"/>
              </w:rPr>
            </w:pPr>
          </w:p>
        </w:tc>
        <w:tc>
          <w:tcPr>
            <w:tcW w:w="1315" w:type="dxa"/>
            <w:gridSpan w:val="2"/>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专职：</w:t>
            </w:r>
          </w:p>
        </w:tc>
        <w:tc>
          <w:tcPr>
            <w:tcW w:w="1085" w:type="dxa"/>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兼职：</w:t>
            </w:r>
          </w:p>
        </w:tc>
        <w:tc>
          <w:tcPr>
            <w:tcW w:w="2160" w:type="dxa"/>
            <w:gridSpan w:val="4"/>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高工及以上：</w:t>
            </w:r>
          </w:p>
        </w:tc>
        <w:tc>
          <w:tcPr>
            <w:tcW w:w="2120" w:type="dxa"/>
            <w:gridSpan w:val="3"/>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工程师：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2068" w:type="dxa"/>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暖通专业：</w:t>
            </w:r>
          </w:p>
        </w:tc>
        <w:tc>
          <w:tcPr>
            <w:tcW w:w="4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方正仿宋_GBK"/>
                <w:color w:val="000000"/>
                <w:sz w:val="18"/>
                <w:szCs w:val="18"/>
              </w:rPr>
            </w:pPr>
          </w:p>
        </w:tc>
        <w:tc>
          <w:tcPr>
            <w:tcW w:w="1315" w:type="dxa"/>
            <w:gridSpan w:val="2"/>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专职：</w:t>
            </w:r>
          </w:p>
        </w:tc>
        <w:tc>
          <w:tcPr>
            <w:tcW w:w="1085" w:type="dxa"/>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兼职：</w:t>
            </w:r>
          </w:p>
        </w:tc>
        <w:tc>
          <w:tcPr>
            <w:tcW w:w="2160" w:type="dxa"/>
            <w:gridSpan w:val="4"/>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高工及以上：</w:t>
            </w:r>
          </w:p>
        </w:tc>
        <w:tc>
          <w:tcPr>
            <w:tcW w:w="2120" w:type="dxa"/>
            <w:gridSpan w:val="3"/>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工程师：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2068" w:type="dxa"/>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勘察专业：</w:t>
            </w:r>
          </w:p>
        </w:tc>
        <w:tc>
          <w:tcPr>
            <w:tcW w:w="48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方正仿宋_GBK"/>
                <w:color w:val="000000"/>
                <w:sz w:val="18"/>
                <w:szCs w:val="18"/>
              </w:rPr>
            </w:pPr>
          </w:p>
        </w:tc>
        <w:tc>
          <w:tcPr>
            <w:tcW w:w="1315" w:type="dxa"/>
            <w:gridSpan w:val="2"/>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专职：</w:t>
            </w:r>
          </w:p>
        </w:tc>
        <w:tc>
          <w:tcPr>
            <w:tcW w:w="1085" w:type="dxa"/>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兼职：</w:t>
            </w:r>
          </w:p>
        </w:tc>
        <w:tc>
          <w:tcPr>
            <w:tcW w:w="2160" w:type="dxa"/>
            <w:gridSpan w:val="4"/>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高工及以上：</w:t>
            </w:r>
          </w:p>
        </w:tc>
        <w:tc>
          <w:tcPr>
            <w:tcW w:w="2120" w:type="dxa"/>
            <w:gridSpan w:val="3"/>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工程师：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3863" w:type="dxa"/>
            <w:gridSpan w:val="4"/>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市政基础设施工程审查人员总数：</w:t>
            </w:r>
          </w:p>
        </w:tc>
        <w:tc>
          <w:tcPr>
            <w:tcW w:w="2534" w:type="dxa"/>
            <w:gridSpan w:val="4"/>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其中专职：</w:t>
            </w:r>
          </w:p>
        </w:tc>
        <w:tc>
          <w:tcPr>
            <w:tcW w:w="2831" w:type="dxa"/>
            <w:gridSpan w:val="4"/>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其中兼职：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2068" w:type="dxa"/>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（相关）专业：</w:t>
            </w:r>
          </w:p>
        </w:tc>
        <w:tc>
          <w:tcPr>
            <w:tcW w:w="537"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spacing w:line="360" w:lineRule="exact"/>
              <w:jc w:val="center"/>
              <w:rPr>
                <w:rFonts w:eastAsia="方正仿宋_GBK"/>
                <w:color w:val="000000"/>
                <w:sz w:val="18"/>
                <w:szCs w:val="18"/>
              </w:rPr>
            </w:pPr>
            <w:r>
              <w:rPr>
                <w:rFonts w:hint="eastAsia" w:eastAsia="方正仿宋_GBK"/>
                <w:color w:val="000000"/>
                <w:sz w:val="18"/>
                <w:szCs w:val="18"/>
              </w:rPr>
              <w:t>其</w:t>
            </w:r>
          </w:p>
          <w:p>
            <w:pPr>
              <w:spacing w:line="360" w:lineRule="exact"/>
              <w:jc w:val="center"/>
              <w:rPr>
                <w:rFonts w:eastAsia="方正仿宋_GBK"/>
                <w:color w:val="000000"/>
                <w:sz w:val="18"/>
                <w:szCs w:val="18"/>
              </w:rPr>
            </w:pPr>
            <w:r>
              <w:rPr>
                <w:rFonts w:hint="eastAsia" w:eastAsia="方正仿宋_GBK"/>
                <w:color w:val="000000"/>
                <w:sz w:val="18"/>
                <w:szCs w:val="18"/>
              </w:rPr>
              <w:t>中</w:t>
            </w:r>
          </w:p>
        </w:tc>
        <w:tc>
          <w:tcPr>
            <w:tcW w:w="1258" w:type="dxa"/>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专职：</w:t>
            </w:r>
          </w:p>
        </w:tc>
        <w:tc>
          <w:tcPr>
            <w:tcW w:w="1085" w:type="dxa"/>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兼职：</w:t>
            </w:r>
          </w:p>
        </w:tc>
        <w:tc>
          <w:tcPr>
            <w:tcW w:w="2160" w:type="dxa"/>
            <w:gridSpan w:val="4"/>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高工及以上：</w:t>
            </w:r>
          </w:p>
        </w:tc>
        <w:tc>
          <w:tcPr>
            <w:tcW w:w="2120" w:type="dxa"/>
            <w:gridSpan w:val="3"/>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工程师：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2068" w:type="dxa"/>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（相关）专业：</w:t>
            </w:r>
          </w:p>
        </w:tc>
        <w:tc>
          <w:tcPr>
            <w:tcW w:w="537"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方正仿宋_GBK"/>
                <w:color w:val="000000"/>
                <w:sz w:val="18"/>
                <w:szCs w:val="18"/>
              </w:rPr>
            </w:pPr>
          </w:p>
        </w:tc>
        <w:tc>
          <w:tcPr>
            <w:tcW w:w="1258" w:type="dxa"/>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专职：</w:t>
            </w:r>
          </w:p>
        </w:tc>
        <w:tc>
          <w:tcPr>
            <w:tcW w:w="1085" w:type="dxa"/>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兼职：</w:t>
            </w:r>
          </w:p>
        </w:tc>
        <w:tc>
          <w:tcPr>
            <w:tcW w:w="2160" w:type="dxa"/>
            <w:gridSpan w:val="4"/>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高工及以上：</w:t>
            </w:r>
          </w:p>
        </w:tc>
        <w:tc>
          <w:tcPr>
            <w:tcW w:w="2120" w:type="dxa"/>
            <w:gridSpan w:val="3"/>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工程师：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3863" w:type="dxa"/>
            <w:gridSpan w:val="4"/>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专项工程审查人员总数：</w:t>
            </w:r>
          </w:p>
        </w:tc>
        <w:tc>
          <w:tcPr>
            <w:tcW w:w="2534" w:type="dxa"/>
            <w:gridSpan w:val="4"/>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其中专职：</w:t>
            </w:r>
          </w:p>
        </w:tc>
        <w:tc>
          <w:tcPr>
            <w:tcW w:w="2831" w:type="dxa"/>
            <w:gridSpan w:val="4"/>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其中兼职：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2068" w:type="dxa"/>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（相关）专业：</w:t>
            </w:r>
          </w:p>
        </w:tc>
        <w:tc>
          <w:tcPr>
            <w:tcW w:w="537" w:type="dxa"/>
            <w:gridSpan w:val="2"/>
            <w:vMerge w:val="restart"/>
            <w:tcBorders>
              <w:top w:val="nil"/>
              <w:left w:val="single" w:color="000000" w:sz="4" w:space="0"/>
              <w:bottom w:val="single" w:color="000000" w:sz="4" w:space="0"/>
              <w:right w:val="single" w:color="000000" w:sz="4" w:space="0"/>
            </w:tcBorders>
            <w:noWrap w:val="0"/>
            <w:vAlign w:val="center"/>
          </w:tcPr>
          <w:p>
            <w:pPr>
              <w:spacing w:line="360" w:lineRule="exact"/>
              <w:jc w:val="center"/>
              <w:rPr>
                <w:rFonts w:eastAsia="方正仿宋_GBK"/>
                <w:color w:val="000000"/>
                <w:sz w:val="18"/>
                <w:szCs w:val="18"/>
              </w:rPr>
            </w:pPr>
            <w:r>
              <w:rPr>
                <w:rFonts w:hint="eastAsia" w:eastAsia="方正仿宋_GBK"/>
                <w:color w:val="000000"/>
                <w:sz w:val="18"/>
                <w:szCs w:val="18"/>
              </w:rPr>
              <w:t>其</w:t>
            </w:r>
          </w:p>
          <w:p>
            <w:pPr>
              <w:jc w:val="center"/>
              <w:rPr>
                <w:rFonts w:eastAsia="方正仿宋_GBK"/>
                <w:color w:val="000000"/>
                <w:sz w:val="18"/>
                <w:szCs w:val="18"/>
              </w:rPr>
            </w:pPr>
            <w:r>
              <w:rPr>
                <w:rFonts w:hint="eastAsia" w:eastAsia="方正仿宋_GBK"/>
                <w:color w:val="000000"/>
                <w:sz w:val="18"/>
                <w:szCs w:val="18"/>
              </w:rPr>
              <w:t>中</w:t>
            </w:r>
          </w:p>
        </w:tc>
        <w:tc>
          <w:tcPr>
            <w:tcW w:w="1258" w:type="dxa"/>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专职：</w:t>
            </w:r>
          </w:p>
        </w:tc>
        <w:tc>
          <w:tcPr>
            <w:tcW w:w="1085" w:type="dxa"/>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兼职：</w:t>
            </w:r>
          </w:p>
        </w:tc>
        <w:tc>
          <w:tcPr>
            <w:tcW w:w="2160" w:type="dxa"/>
            <w:gridSpan w:val="4"/>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高工及以上：</w:t>
            </w:r>
          </w:p>
        </w:tc>
        <w:tc>
          <w:tcPr>
            <w:tcW w:w="2120" w:type="dxa"/>
            <w:gridSpan w:val="3"/>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工程师：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2068" w:type="dxa"/>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（相关）专业：</w:t>
            </w:r>
          </w:p>
        </w:tc>
        <w:tc>
          <w:tcPr>
            <w:tcW w:w="537"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方正仿宋_GBK"/>
                <w:color w:val="000000"/>
                <w:sz w:val="18"/>
                <w:szCs w:val="18"/>
              </w:rPr>
            </w:pPr>
          </w:p>
        </w:tc>
        <w:tc>
          <w:tcPr>
            <w:tcW w:w="1258" w:type="dxa"/>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专职：</w:t>
            </w:r>
          </w:p>
        </w:tc>
        <w:tc>
          <w:tcPr>
            <w:tcW w:w="1085" w:type="dxa"/>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兼职：</w:t>
            </w:r>
          </w:p>
        </w:tc>
        <w:tc>
          <w:tcPr>
            <w:tcW w:w="2160" w:type="dxa"/>
            <w:gridSpan w:val="4"/>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高工及以上：</w:t>
            </w:r>
          </w:p>
        </w:tc>
        <w:tc>
          <w:tcPr>
            <w:tcW w:w="2120" w:type="dxa"/>
            <w:gridSpan w:val="3"/>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工程师：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2" w:hRule="atLeast"/>
          <w:jc w:val="center"/>
        </w:trPr>
        <w:tc>
          <w:tcPr>
            <w:tcW w:w="9228" w:type="dxa"/>
            <w:gridSpan w:val="12"/>
            <w:tcBorders>
              <w:top w:val="single" w:color="000000" w:sz="4" w:space="0"/>
              <w:left w:val="single" w:color="000000" w:sz="4" w:space="0"/>
              <w:bottom w:val="single" w:color="000000" w:sz="4" w:space="0"/>
              <w:right w:val="single" w:color="000000" w:sz="4" w:space="0"/>
            </w:tcBorders>
            <w:noWrap w:val="0"/>
            <w:vAlign w:val="top"/>
          </w:tcPr>
          <w:p>
            <w:pPr>
              <w:spacing w:line="360" w:lineRule="exact"/>
              <w:rPr>
                <w:rFonts w:eastAsia="方正仿宋_GBK"/>
                <w:color w:val="000000"/>
                <w:sz w:val="18"/>
                <w:szCs w:val="18"/>
              </w:rPr>
            </w:pPr>
            <w:r>
              <w:rPr>
                <w:rFonts w:hint="eastAsia" w:eastAsia="方正仿宋_GBK"/>
                <w:color w:val="000000"/>
                <w:sz w:val="18"/>
                <w:szCs w:val="18"/>
              </w:rPr>
              <w:t>其他需要说明的问题：</w:t>
            </w:r>
          </w:p>
          <w:p>
            <w:pPr>
              <w:spacing w:line="360" w:lineRule="exact"/>
              <w:rPr>
                <w:rFonts w:eastAsia="方正仿宋_GBK"/>
                <w:b/>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 w:hRule="atLeast"/>
          <w:jc w:val="center"/>
        </w:trPr>
        <w:tc>
          <w:tcPr>
            <w:tcW w:w="5500" w:type="dxa"/>
            <w:gridSpan w:val="6"/>
            <w:vMerge w:val="restart"/>
            <w:tcBorders>
              <w:top w:val="single" w:color="000000" w:sz="4" w:space="0"/>
              <w:left w:val="single" w:color="000000" w:sz="4" w:space="0"/>
              <w:bottom w:val="single" w:color="auto" w:sz="4" w:space="0"/>
              <w:right w:val="single" w:color="auto" w:sz="4" w:space="0"/>
            </w:tcBorders>
            <w:noWrap w:val="0"/>
            <w:vAlign w:val="top"/>
          </w:tcPr>
          <w:p>
            <w:pPr>
              <w:spacing w:line="360" w:lineRule="exact"/>
              <w:rPr>
                <w:rFonts w:eastAsia="方正仿宋_GBK"/>
                <w:b/>
                <w:color w:val="000000"/>
                <w:sz w:val="18"/>
                <w:szCs w:val="18"/>
              </w:rPr>
            </w:pPr>
            <w:r>
              <w:rPr>
                <w:rFonts w:hint="eastAsia" w:eastAsia="方正仿宋_GBK"/>
                <w:b/>
                <w:color w:val="000000"/>
                <w:sz w:val="18"/>
                <w:szCs w:val="18"/>
              </w:rPr>
              <w:t>专家审查意见</w:t>
            </w:r>
            <w:r>
              <w:rPr>
                <w:rFonts w:eastAsia="方正仿宋_GBK"/>
                <w:b/>
                <w:color w:val="000000"/>
                <w:sz w:val="18"/>
                <w:szCs w:val="18"/>
              </w:rPr>
              <w:t>(</w:t>
            </w:r>
            <w:r>
              <w:rPr>
                <w:rFonts w:hint="eastAsia" w:eastAsia="方正仿宋_GBK"/>
                <w:b/>
                <w:color w:val="000000"/>
                <w:sz w:val="18"/>
                <w:szCs w:val="18"/>
              </w:rPr>
              <w:t>包括明确的审查结论和详细原因</w:t>
            </w:r>
            <w:r>
              <w:rPr>
                <w:rFonts w:eastAsia="方正仿宋_GBK"/>
                <w:b/>
                <w:color w:val="000000"/>
                <w:sz w:val="18"/>
                <w:szCs w:val="18"/>
              </w:rPr>
              <w:t>)</w:t>
            </w:r>
            <w:r>
              <w:rPr>
                <w:rFonts w:hint="eastAsia" w:eastAsia="方正仿宋_GBK"/>
                <w:b/>
                <w:color w:val="000000"/>
                <w:sz w:val="18"/>
                <w:szCs w:val="18"/>
              </w:rPr>
              <w:t>：</w:t>
            </w:r>
          </w:p>
          <w:p>
            <w:pPr>
              <w:spacing w:line="360" w:lineRule="exact"/>
              <w:rPr>
                <w:rFonts w:eastAsia="方正仿宋_GBK"/>
                <w:b/>
                <w:color w:val="000000"/>
                <w:sz w:val="18"/>
                <w:szCs w:val="18"/>
              </w:rPr>
            </w:pPr>
            <w:r>
              <w:rPr>
                <w:rFonts w:eastAsia="方正仿宋_GBK"/>
                <w:b/>
                <w:color w:val="000000"/>
                <w:sz w:val="18"/>
                <w:szCs w:val="18"/>
              </w:rPr>
              <w:t xml:space="preserve">                                                                                   </w:t>
            </w:r>
          </w:p>
          <w:p>
            <w:pPr>
              <w:spacing w:line="360" w:lineRule="exact"/>
              <w:rPr>
                <w:rFonts w:eastAsia="方正仿宋_GBK"/>
                <w:b/>
                <w:color w:val="000000"/>
                <w:sz w:val="18"/>
                <w:szCs w:val="18"/>
              </w:rPr>
            </w:pPr>
          </w:p>
          <w:p>
            <w:pPr>
              <w:spacing w:line="360" w:lineRule="exact"/>
              <w:rPr>
                <w:rFonts w:eastAsia="方正仿宋_GBK"/>
                <w:b/>
                <w:color w:val="000000"/>
                <w:sz w:val="18"/>
                <w:szCs w:val="18"/>
              </w:rPr>
            </w:pPr>
          </w:p>
        </w:tc>
        <w:tc>
          <w:tcPr>
            <w:tcW w:w="720" w:type="dxa"/>
            <w:tcBorders>
              <w:top w:val="single" w:color="000000" w:sz="4" w:space="0"/>
              <w:left w:val="single" w:color="auto" w:sz="4" w:space="0"/>
              <w:bottom w:val="single" w:color="000000" w:sz="4" w:space="0"/>
              <w:right w:val="single" w:color="000000" w:sz="4" w:space="0"/>
            </w:tcBorders>
            <w:noWrap w:val="0"/>
            <w:vAlign w:val="center"/>
          </w:tcPr>
          <w:p>
            <w:pPr>
              <w:spacing w:line="360" w:lineRule="exact"/>
              <w:jc w:val="center"/>
              <w:rPr>
                <w:rFonts w:eastAsia="方正仿宋_GBK"/>
                <w:b/>
                <w:color w:val="000000"/>
                <w:sz w:val="18"/>
                <w:szCs w:val="18"/>
              </w:rPr>
            </w:pPr>
            <w:r>
              <w:rPr>
                <w:rFonts w:hint="eastAsia" w:eastAsia="方正仿宋_GBK"/>
                <w:b/>
                <w:color w:val="000000"/>
                <w:sz w:val="18"/>
                <w:szCs w:val="18"/>
              </w:rPr>
              <w:t>标准</w:t>
            </w:r>
          </w:p>
        </w:tc>
        <w:tc>
          <w:tcPr>
            <w:tcW w:w="888" w:type="dxa"/>
            <w:gridSpan w:val="2"/>
            <w:tcBorders>
              <w:top w:val="single" w:color="000000" w:sz="4" w:space="0"/>
              <w:left w:val="single" w:color="auto" w:sz="4" w:space="0"/>
              <w:bottom w:val="single" w:color="000000" w:sz="4" w:space="0"/>
              <w:right w:val="single" w:color="000000" w:sz="4" w:space="0"/>
            </w:tcBorders>
            <w:noWrap w:val="0"/>
            <w:vAlign w:val="center"/>
          </w:tcPr>
          <w:p>
            <w:pPr>
              <w:spacing w:line="360" w:lineRule="exact"/>
              <w:jc w:val="center"/>
              <w:rPr>
                <w:rFonts w:eastAsia="方正仿宋_GBK"/>
                <w:b/>
                <w:color w:val="000000"/>
                <w:sz w:val="18"/>
                <w:szCs w:val="18"/>
              </w:rPr>
            </w:pPr>
            <w:r>
              <w:rPr>
                <w:rFonts w:hint="eastAsia" w:eastAsia="方正仿宋_GBK"/>
                <w:b/>
                <w:color w:val="000000"/>
                <w:sz w:val="18"/>
                <w:szCs w:val="18"/>
              </w:rPr>
              <w:t>专业</w:t>
            </w:r>
          </w:p>
        </w:tc>
        <w:tc>
          <w:tcPr>
            <w:tcW w:w="732" w:type="dxa"/>
            <w:tcBorders>
              <w:top w:val="single" w:color="000000" w:sz="4" w:space="0"/>
              <w:left w:val="single" w:color="auto" w:sz="4" w:space="0"/>
              <w:bottom w:val="single" w:color="000000" w:sz="4" w:space="0"/>
              <w:right w:val="single" w:color="000000" w:sz="4" w:space="0"/>
            </w:tcBorders>
            <w:noWrap w:val="0"/>
            <w:vAlign w:val="center"/>
          </w:tcPr>
          <w:p>
            <w:pPr>
              <w:spacing w:line="360" w:lineRule="exact"/>
              <w:jc w:val="center"/>
              <w:rPr>
                <w:rFonts w:eastAsia="方正仿宋_GBK"/>
                <w:b/>
                <w:color w:val="000000"/>
                <w:sz w:val="18"/>
                <w:szCs w:val="18"/>
              </w:rPr>
            </w:pPr>
            <w:r>
              <w:rPr>
                <w:rFonts w:hint="eastAsia" w:eastAsia="方正仿宋_GBK"/>
                <w:b/>
                <w:color w:val="000000"/>
                <w:sz w:val="18"/>
                <w:szCs w:val="18"/>
              </w:rPr>
              <w:t>专职</w:t>
            </w:r>
          </w:p>
        </w:tc>
        <w:tc>
          <w:tcPr>
            <w:tcW w:w="720" w:type="dxa"/>
            <w:tcBorders>
              <w:top w:val="single" w:color="000000" w:sz="4" w:space="0"/>
              <w:left w:val="single" w:color="auto" w:sz="4" w:space="0"/>
              <w:bottom w:val="single" w:color="000000" w:sz="4" w:space="0"/>
              <w:right w:val="single" w:color="000000" w:sz="4" w:space="0"/>
            </w:tcBorders>
            <w:noWrap w:val="0"/>
            <w:vAlign w:val="center"/>
          </w:tcPr>
          <w:p>
            <w:pPr>
              <w:spacing w:line="360" w:lineRule="exact"/>
              <w:jc w:val="center"/>
              <w:rPr>
                <w:rFonts w:eastAsia="方正仿宋_GBK"/>
                <w:b/>
                <w:color w:val="000000"/>
                <w:sz w:val="18"/>
                <w:szCs w:val="18"/>
              </w:rPr>
            </w:pPr>
            <w:r>
              <w:rPr>
                <w:rFonts w:hint="eastAsia" w:eastAsia="方正仿宋_GBK"/>
                <w:b/>
                <w:color w:val="000000"/>
                <w:sz w:val="18"/>
                <w:szCs w:val="18"/>
              </w:rPr>
              <w:t>兼职</w:t>
            </w:r>
          </w:p>
        </w:tc>
        <w:tc>
          <w:tcPr>
            <w:tcW w:w="668" w:type="dxa"/>
            <w:tcBorders>
              <w:top w:val="single" w:color="000000" w:sz="4" w:space="0"/>
              <w:left w:val="single" w:color="auto" w:sz="4" w:space="0"/>
              <w:bottom w:val="single" w:color="000000" w:sz="4" w:space="0"/>
              <w:right w:val="single" w:color="000000" w:sz="4" w:space="0"/>
            </w:tcBorders>
            <w:noWrap w:val="0"/>
            <w:vAlign w:val="center"/>
          </w:tcPr>
          <w:p>
            <w:pPr>
              <w:spacing w:line="360" w:lineRule="exact"/>
              <w:jc w:val="center"/>
              <w:rPr>
                <w:rFonts w:eastAsia="方正仿宋_GBK"/>
                <w:b/>
                <w:color w:val="000000"/>
                <w:sz w:val="18"/>
                <w:szCs w:val="18"/>
              </w:rPr>
            </w:pPr>
            <w:r>
              <w:rPr>
                <w:rFonts w:hint="eastAsia" w:eastAsia="方正仿宋_GBK"/>
                <w:b/>
                <w:color w:val="000000"/>
                <w:sz w:val="18"/>
                <w:szCs w:val="18"/>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 w:hRule="atLeast"/>
          <w:jc w:val="center"/>
        </w:trPr>
        <w:tc>
          <w:tcPr>
            <w:tcW w:w="5500" w:type="dxa"/>
            <w:gridSpan w:val="6"/>
            <w:vMerge w:val="continue"/>
            <w:tcBorders>
              <w:top w:val="single" w:color="000000" w:sz="4" w:space="0"/>
              <w:left w:val="single" w:color="000000" w:sz="4" w:space="0"/>
              <w:bottom w:val="single" w:color="auto" w:sz="4" w:space="0"/>
              <w:right w:val="single" w:color="auto" w:sz="4" w:space="0"/>
            </w:tcBorders>
            <w:noWrap w:val="0"/>
            <w:vAlign w:val="center"/>
          </w:tcPr>
          <w:p>
            <w:pPr>
              <w:widowControl/>
              <w:jc w:val="left"/>
              <w:rPr>
                <w:rFonts w:eastAsia="方正仿宋_GBK"/>
                <w:b/>
                <w:color w:val="000000"/>
                <w:sz w:val="18"/>
                <w:szCs w:val="18"/>
              </w:rPr>
            </w:pPr>
          </w:p>
        </w:tc>
        <w:tc>
          <w:tcPr>
            <w:tcW w:w="720" w:type="dxa"/>
            <w:tcBorders>
              <w:top w:val="single" w:color="000000" w:sz="4" w:space="0"/>
              <w:left w:val="single" w:color="auto" w:sz="4" w:space="0"/>
              <w:bottom w:val="single" w:color="auto" w:sz="4" w:space="0"/>
              <w:right w:val="single" w:color="000000" w:sz="4" w:space="0"/>
            </w:tcBorders>
            <w:noWrap w:val="0"/>
            <w:vAlign w:val="center"/>
          </w:tcPr>
          <w:p>
            <w:pPr>
              <w:jc w:val="center"/>
              <w:rPr>
                <w:rFonts w:eastAsia="方正仿宋_GBK"/>
                <w:b/>
                <w:color w:val="000000"/>
                <w:spacing w:val="-4"/>
                <w:sz w:val="18"/>
                <w:szCs w:val="18"/>
              </w:rPr>
            </w:pPr>
          </w:p>
        </w:tc>
        <w:tc>
          <w:tcPr>
            <w:tcW w:w="888" w:type="dxa"/>
            <w:gridSpan w:val="2"/>
            <w:tcBorders>
              <w:top w:val="single" w:color="000000" w:sz="4" w:space="0"/>
              <w:left w:val="single" w:color="auto" w:sz="4" w:space="0"/>
              <w:bottom w:val="single" w:color="auto" w:sz="4" w:space="0"/>
              <w:right w:val="single" w:color="000000" w:sz="4" w:space="0"/>
            </w:tcBorders>
            <w:noWrap w:val="0"/>
            <w:vAlign w:val="center"/>
          </w:tcPr>
          <w:p>
            <w:pPr>
              <w:jc w:val="center"/>
              <w:rPr>
                <w:rFonts w:eastAsia="方正仿宋_GBK"/>
                <w:b/>
                <w:color w:val="000000"/>
                <w:spacing w:val="-4"/>
                <w:sz w:val="18"/>
                <w:szCs w:val="18"/>
              </w:rPr>
            </w:pPr>
          </w:p>
        </w:tc>
        <w:tc>
          <w:tcPr>
            <w:tcW w:w="732" w:type="dxa"/>
            <w:tcBorders>
              <w:top w:val="single" w:color="000000" w:sz="4" w:space="0"/>
              <w:left w:val="single" w:color="auto" w:sz="4" w:space="0"/>
              <w:bottom w:val="single" w:color="auto" w:sz="4" w:space="0"/>
              <w:right w:val="single" w:color="000000" w:sz="4" w:space="0"/>
            </w:tcBorders>
            <w:noWrap w:val="0"/>
            <w:vAlign w:val="center"/>
          </w:tcPr>
          <w:p>
            <w:pPr>
              <w:jc w:val="center"/>
              <w:rPr>
                <w:rFonts w:eastAsia="方正仿宋_GBK"/>
                <w:b/>
                <w:color w:val="000000"/>
                <w:spacing w:val="-8"/>
                <w:sz w:val="18"/>
                <w:szCs w:val="18"/>
              </w:rPr>
            </w:pPr>
          </w:p>
        </w:tc>
        <w:tc>
          <w:tcPr>
            <w:tcW w:w="720" w:type="dxa"/>
            <w:tcBorders>
              <w:top w:val="single" w:color="000000" w:sz="4" w:space="0"/>
              <w:left w:val="single" w:color="auto" w:sz="4" w:space="0"/>
              <w:bottom w:val="single" w:color="auto" w:sz="4" w:space="0"/>
              <w:right w:val="single" w:color="000000" w:sz="4" w:space="0"/>
            </w:tcBorders>
            <w:noWrap w:val="0"/>
            <w:vAlign w:val="center"/>
          </w:tcPr>
          <w:p>
            <w:pPr>
              <w:jc w:val="center"/>
              <w:rPr>
                <w:rFonts w:eastAsia="方正仿宋_GBK"/>
                <w:b/>
                <w:color w:val="000000"/>
                <w:sz w:val="18"/>
                <w:szCs w:val="18"/>
              </w:rPr>
            </w:pPr>
          </w:p>
        </w:tc>
        <w:tc>
          <w:tcPr>
            <w:tcW w:w="668" w:type="dxa"/>
            <w:tcBorders>
              <w:top w:val="single" w:color="000000" w:sz="4" w:space="0"/>
              <w:left w:val="single" w:color="auto" w:sz="4" w:space="0"/>
              <w:bottom w:val="single" w:color="auto" w:sz="4" w:space="0"/>
              <w:right w:val="single" w:color="000000" w:sz="4" w:space="0"/>
            </w:tcBorders>
            <w:noWrap w:val="0"/>
            <w:vAlign w:val="center"/>
          </w:tcPr>
          <w:p>
            <w:pPr>
              <w:jc w:val="center"/>
              <w:rPr>
                <w:rFonts w:eastAsia="方正仿宋_GBK"/>
                <w:b/>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 w:hRule="atLeast"/>
          <w:jc w:val="center"/>
        </w:trPr>
        <w:tc>
          <w:tcPr>
            <w:tcW w:w="5500" w:type="dxa"/>
            <w:gridSpan w:val="6"/>
            <w:vMerge w:val="continue"/>
            <w:tcBorders>
              <w:top w:val="single" w:color="000000" w:sz="4" w:space="0"/>
              <w:left w:val="single" w:color="000000" w:sz="4" w:space="0"/>
              <w:bottom w:val="single" w:color="auto" w:sz="4" w:space="0"/>
              <w:right w:val="single" w:color="auto" w:sz="4" w:space="0"/>
            </w:tcBorders>
            <w:noWrap w:val="0"/>
            <w:vAlign w:val="center"/>
          </w:tcPr>
          <w:p>
            <w:pPr>
              <w:widowControl/>
              <w:jc w:val="left"/>
              <w:rPr>
                <w:rFonts w:eastAsia="方正仿宋_GBK"/>
                <w:b/>
                <w:color w:val="000000"/>
                <w:sz w:val="18"/>
                <w:szCs w:val="18"/>
              </w:rPr>
            </w:pPr>
          </w:p>
        </w:tc>
        <w:tc>
          <w:tcPr>
            <w:tcW w:w="720" w:type="dxa"/>
            <w:tcBorders>
              <w:top w:val="single" w:color="auto" w:sz="4" w:space="0"/>
              <w:left w:val="single" w:color="auto" w:sz="4" w:space="0"/>
              <w:bottom w:val="single" w:color="auto" w:sz="4" w:space="0"/>
              <w:right w:val="single" w:color="000000" w:sz="4" w:space="0"/>
            </w:tcBorders>
            <w:noWrap w:val="0"/>
            <w:vAlign w:val="center"/>
          </w:tcPr>
          <w:p>
            <w:pPr>
              <w:jc w:val="center"/>
              <w:rPr>
                <w:rFonts w:eastAsia="方正仿宋_GBK"/>
                <w:b/>
                <w:color w:val="000000"/>
                <w:sz w:val="18"/>
                <w:szCs w:val="18"/>
              </w:rPr>
            </w:pPr>
          </w:p>
        </w:tc>
        <w:tc>
          <w:tcPr>
            <w:tcW w:w="888" w:type="dxa"/>
            <w:gridSpan w:val="2"/>
            <w:tcBorders>
              <w:top w:val="single" w:color="auto" w:sz="4" w:space="0"/>
              <w:left w:val="single" w:color="auto" w:sz="4" w:space="0"/>
              <w:bottom w:val="single" w:color="auto" w:sz="4" w:space="0"/>
              <w:right w:val="single" w:color="000000" w:sz="4" w:space="0"/>
            </w:tcBorders>
            <w:noWrap w:val="0"/>
            <w:vAlign w:val="center"/>
          </w:tcPr>
          <w:p>
            <w:pPr>
              <w:jc w:val="center"/>
              <w:rPr>
                <w:rFonts w:eastAsia="方正仿宋_GBK"/>
                <w:b/>
                <w:color w:val="000000"/>
                <w:sz w:val="18"/>
                <w:szCs w:val="18"/>
              </w:rPr>
            </w:pPr>
          </w:p>
        </w:tc>
        <w:tc>
          <w:tcPr>
            <w:tcW w:w="732" w:type="dxa"/>
            <w:tcBorders>
              <w:top w:val="single" w:color="auto" w:sz="4" w:space="0"/>
              <w:left w:val="single" w:color="auto" w:sz="4" w:space="0"/>
              <w:bottom w:val="single" w:color="auto" w:sz="4" w:space="0"/>
              <w:right w:val="single" w:color="000000" w:sz="4" w:space="0"/>
            </w:tcBorders>
            <w:noWrap w:val="0"/>
            <w:vAlign w:val="center"/>
          </w:tcPr>
          <w:p>
            <w:pPr>
              <w:jc w:val="center"/>
              <w:rPr>
                <w:rFonts w:eastAsia="方正仿宋_GBK"/>
                <w:b/>
                <w:color w:val="000000"/>
                <w:sz w:val="18"/>
                <w:szCs w:val="18"/>
              </w:rPr>
            </w:pPr>
          </w:p>
        </w:tc>
        <w:tc>
          <w:tcPr>
            <w:tcW w:w="720" w:type="dxa"/>
            <w:tcBorders>
              <w:top w:val="single" w:color="auto" w:sz="4" w:space="0"/>
              <w:left w:val="single" w:color="auto" w:sz="4" w:space="0"/>
              <w:bottom w:val="single" w:color="auto" w:sz="4" w:space="0"/>
              <w:right w:val="single" w:color="000000" w:sz="4" w:space="0"/>
            </w:tcBorders>
            <w:noWrap w:val="0"/>
            <w:vAlign w:val="center"/>
          </w:tcPr>
          <w:p>
            <w:pPr>
              <w:jc w:val="center"/>
              <w:rPr>
                <w:rFonts w:eastAsia="方正仿宋_GBK"/>
                <w:b/>
                <w:color w:val="000000"/>
                <w:sz w:val="18"/>
                <w:szCs w:val="18"/>
              </w:rPr>
            </w:pPr>
          </w:p>
        </w:tc>
        <w:tc>
          <w:tcPr>
            <w:tcW w:w="668" w:type="dxa"/>
            <w:tcBorders>
              <w:top w:val="single" w:color="auto" w:sz="4" w:space="0"/>
              <w:left w:val="single" w:color="auto" w:sz="4" w:space="0"/>
              <w:bottom w:val="single" w:color="auto" w:sz="4" w:space="0"/>
              <w:right w:val="single" w:color="000000" w:sz="4" w:space="0"/>
            </w:tcBorders>
            <w:noWrap w:val="0"/>
            <w:vAlign w:val="center"/>
          </w:tcPr>
          <w:p>
            <w:pPr>
              <w:jc w:val="center"/>
              <w:rPr>
                <w:rFonts w:eastAsia="方正仿宋_GBK"/>
                <w:b/>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 w:hRule="atLeast"/>
          <w:jc w:val="center"/>
        </w:trPr>
        <w:tc>
          <w:tcPr>
            <w:tcW w:w="5500" w:type="dxa"/>
            <w:gridSpan w:val="6"/>
            <w:vMerge w:val="continue"/>
            <w:tcBorders>
              <w:top w:val="single" w:color="000000" w:sz="4" w:space="0"/>
              <w:left w:val="single" w:color="000000" w:sz="4" w:space="0"/>
              <w:bottom w:val="single" w:color="auto" w:sz="4" w:space="0"/>
              <w:right w:val="single" w:color="auto" w:sz="4" w:space="0"/>
            </w:tcBorders>
            <w:noWrap w:val="0"/>
            <w:vAlign w:val="center"/>
          </w:tcPr>
          <w:p>
            <w:pPr>
              <w:widowControl/>
              <w:jc w:val="left"/>
              <w:rPr>
                <w:rFonts w:eastAsia="方正仿宋_GBK"/>
                <w:b/>
                <w:color w:val="000000"/>
                <w:sz w:val="18"/>
                <w:szCs w:val="18"/>
              </w:rPr>
            </w:pPr>
          </w:p>
        </w:tc>
        <w:tc>
          <w:tcPr>
            <w:tcW w:w="720" w:type="dxa"/>
            <w:tcBorders>
              <w:top w:val="single" w:color="auto" w:sz="4" w:space="0"/>
              <w:left w:val="single" w:color="auto" w:sz="4" w:space="0"/>
              <w:bottom w:val="single" w:color="auto" w:sz="4" w:space="0"/>
              <w:right w:val="single" w:color="000000" w:sz="4" w:space="0"/>
            </w:tcBorders>
            <w:noWrap w:val="0"/>
            <w:vAlign w:val="center"/>
          </w:tcPr>
          <w:p>
            <w:pPr>
              <w:rPr>
                <w:rFonts w:eastAsia="方正仿宋_GBK"/>
                <w:b/>
                <w:color w:val="000000"/>
                <w:sz w:val="18"/>
                <w:szCs w:val="18"/>
              </w:rPr>
            </w:pPr>
          </w:p>
        </w:tc>
        <w:tc>
          <w:tcPr>
            <w:tcW w:w="888" w:type="dxa"/>
            <w:gridSpan w:val="2"/>
            <w:tcBorders>
              <w:top w:val="single" w:color="auto" w:sz="4" w:space="0"/>
              <w:left w:val="single" w:color="auto" w:sz="4" w:space="0"/>
              <w:bottom w:val="single" w:color="auto" w:sz="4" w:space="0"/>
              <w:right w:val="single" w:color="000000" w:sz="4" w:space="0"/>
            </w:tcBorders>
            <w:noWrap w:val="0"/>
            <w:vAlign w:val="center"/>
          </w:tcPr>
          <w:p>
            <w:pPr>
              <w:jc w:val="center"/>
              <w:rPr>
                <w:rFonts w:eastAsia="方正仿宋_GBK"/>
                <w:b/>
                <w:color w:val="000000"/>
                <w:sz w:val="18"/>
                <w:szCs w:val="18"/>
              </w:rPr>
            </w:pPr>
          </w:p>
        </w:tc>
        <w:tc>
          <w:tcPr>
            <w:tcW w:w="732" w:type="dxa"/>
            <w:tcBorders>
              <w:top w:val="single" w:color="auto" w:sz="4" w:space="0"/>
              <w:left w:val="single" w:color="auto" w:sz="4" w:space="0"/>
              <w:bottom w:val="single" w:color="auto" w:sz="4" w:space="0"/>
              <w:right w:val="single" w:color="000000" w:sz="4" w:space="0"/>
            </w:tcBorders>
            <w:noWrap w:val="0"/>
            <w:vAlign w:val="center"/>
          </w:tcPr>
          <w:p>
            <w:pPr>
              <w:rPr>
                <w:rFonts w:eastAsia="方正仿宋_GBK"/>
                <w:b/>
                <w:color w:val="000000"/>
                <w:sz w:val="18"/>
                <w:szCs w:val="18"/>
              </w:rPr>
            </w:pPr>
          </w:p>
        </w:tc>
        <w:tc>
          <w:tcPr>
            <w:tcW w:w="720" w:type="dxa"/>
            <w:tcBorders>
              <w:top w:val="single" w:color="auto" w:sz="4" w:space="0"/>
              <w:left w:val="single" w:color="auto" w:sz="4" w:space="0"/>
              <w:bottom w:val="single" w:color="auto" w:sz="4" w:space="0"/>
              <w:right w:val="single" w:color="000000" w:sz="4" w:space="0"/>
            </w:tcBorders>
            <w:noWrap w:val="0"/>
            <w:vAlign w:val="center"/>
          </w:tcPr>
          <w:p>
            <w:pPr>
              <w:rPr>
                <w:rFonts w:eastAsia="方正仿宋_GBK"/>
                <w:b/>
                <w:color w:val="000000"/>
                <w:sz w:val="18"/>
                <w:szCs w:val="18"/>
              </w:rPr>
            </w:pPr>
          </w:p>
        </w:tc>
        <w:tc>
          <w:tcPr>
            <w:tcW w:w="668" w:type="dxa"/>
            <w:tcBorders>
              <w:top w:val="single" w:color="auto" w:sz="4" w:space="0"/>
              <w:left w:val="single" w:color="auto" w:sz="4" w:space="0"/>
              <w:bottom w:val="single" w:color="auto" w:sz="4" w:space="0"/>
              <w:right w:val="single" w:color="000000" w:sz="4" w:space="0"/>
            </w:tcBorders>
            <w:noWrap w:val="0"/>
            <w:vAlign w:val="center"/>
          </w:tcPr>
          <w:p>
            <w:pPr>
              <w:rPr>
                <w:rFonts w:eastAsia="方正仿宋_GBK"/>
                <w:b/>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 w:hRule="atLeast"/>
          <w:jc w:val="center"/>
        </w:trPr>
        <w:tc>
          <w:tcPr>
            <w:tcW w:w="5500" w:type="dxa"/>
            <w:gridSpan w:val="6"/>
            <w:vMerge w:val="continue"/>
            <w:tcBorders>
              <w:top w:val="single" w:color="000000" w:sz="4" w:space="0"/>
              <w:left w:val="single" w:color="000000" w:sz="4" w:space="0"/>
              <w:bottom w:val="single" w:color="auto" w:sz="4" w:space="0"/>
              <w:right w:val="single" w:color="auto" w:sz="4" w:space="0"/>
            </w:tcBorders>
            <w:noWrap w:val="0"/>
            <w:vAlign w:val="center"/>
          </w:tcPr>
          <w:p>
            <w:pPr>
              <w:widowControl/>
              <w:jc w:val="left"/>
              <w:rPr>
                <w:rFonts w:eastAsia="方正仿宋_GBK"/>
                <w:b/>
                <w:color w:val="000000"/>
                <w:sz w:val="18"/>
                <w:szCs w:val="18"/>
              </w:rPr>
            </w:pPr>
          </w:p>
        </w:tc>
        <w:tc>
          <w:tcPr>
            <w:tcW w:w="720" w:type="dxa"/>
            <w:tcBorders>
              <w:top w:val="single" w:color="auto" w:sz="4" w:space="0"/>
              <w:left w:val="single" w:color="auto" w:sz="4" w:space="0"/>
              <w:bottom w:val="single" w:color="auto" w:sz="4" w:space="0"/>
              <w:right w:val="single" w:color="000000" w:sz="4" w:space="0"/>
            </w:tcBorders>
            <w:noWrap w:val="0"/>
            <w:vAlign w:val="center"/>
          </w:tcPr>
          <w:p>
            <w:pPr>
              <w:rPr>
                <w:rFonts w:eastAsia="方正仿宋_GBK"/>
                <w:b/>
                <w:color w:val="000000"/>
                <w:sz w:val="18"/>
                <w:szCs w:val="18"/>
              </w:rPr>
            </w:pPr>
          </w:p>
        </w:tc>
        <w:tc>
          <w:tcPr>
            <w:tcW w:w="888" w:type="dxa"/>
            <w:gridSpan w:val="2"/>
            <w:tcBorders>
              <w:top w:val="single" w:color="auto" w:sz="4" w:space="0"/>
              <w:left w:val="single" w:color="auto" w:sz="4" w:space="0"/>
              <w:bottom w:val="single" w:color="auto" w:sz="4" w:space="0"/>
              <w:right w:val="single" w:color="000000" w:sz="4" w:space="0"/>
            </w:tcBorders>
            <w:noWrap w:val="0"/>
            <w:vAlign w:val="center"/>
          </w:tcPr>
          <w:p>
            <w:pPr>
              <w:jc w:val="center"/>
              <w:rPr>
                <w:rFonts w:eastAsia="方正仿宋_GBK"/>
                <w:b/>
                <w:color w:val="000000"/>
                <w:sz w:val="18"/>
                <w:szCs w:val="18"/>
              </w:rPr>
            </w:pPr>
          </w:p>
        </w:tc>
        <w:tc>
          <w:tcPr>
            <w:tcW w:w="732" w:type="dxa"/>
            <w:tcBorders>
              <w:top w:val="single" w:color="auto" w:sz="4" w:space="0"/>
              <w:left w:val="single" w:color="auto" w:sz="4" w:space="0"/>
              <w:bottom w:val="single" w:color="auto" w:sz="4" w:space="0"/>
              <w:right w:val="single" w:color="000000" w:sz="4" w:space="0"/>
            </w:tcBorders>
            <w:noWrap w:val="0"/>
            <w:vAlign w:val="center"/>
          </w:tcPr>
          <w:p>
            <w:pPr>
              <w:rPr>
                <w:rFonts w:eastAsia="方正仿宋_GBK"/>
                <w:b/>
                <w:color w:val="000000"/>
                <w:sz w:val="18"/>
                <w:szCs w:val="18"/>
              </w:rPr>
            </w:pPr>
          </w:p>
        </w:tc>
        <w:tc>
          <w:tcPr>
            <w:tcW w:w="720" w:type="dxa"/>
            <w:tcBorders>
              <w:top w:val="single" w:color="auto" w:sz="4" w:space="0"/>
              <w:left w:val="single" w:color="auto" w:sz="4" w:space="0"/>
              <w:bottom w:val="single" w:color="auto" w:sz="4" w:space="0"/>
              <w:right w:val="single" w:color="000000" w:sz="4" w:space="0"/>
            </w:tcBorders>
            <w:noWrap w:val="0"/>
            <w:vAlign w:val="center"/>
          </w:tcPr>
          <w:p>
            <w:pPr>
              <w:jc w:val="center"/>
              <w:rPr>
                <w:rFonts w:eastAsia="方正仿宋_GBK"/>
                <w:b/>
                <w:color w:val="000000"/>
                <w:sz w:val="18"/>
                <w:szCs w:val="18"/>
              </w:rPr>
            </w:pPr>
          </w:p>
        </w:tc>
        <w:tc>
          <w:tcPr>
            <w:tcW w:w="668" w:type="dxa"/>
            <w:tcBorders>
              <w:top w:val="single" w:color="auto" w:sz="4" w:space="0"/>
              <w:left w:val="single" w:color="auto" w:sz="4" w:space="0"/>
              <w:bottom w:val="single" w:color="auto" w:sz="4" w:space="0"/>
              <w:right w:val="single" w:color="000000" w:sz="4" w:space="0"/>
            </w:tcBorders>
            <w:noWrap w:val="0"/>
            <w:vAlign w:val="center"/>
          </w:tcPr>
          <w:p>
            <w:pPr>
              <w:jc w:val="center"/>
              <w:rPr>
                <w:rFonts w:eastAsia="方正仿宋_GBK"/>
                <w:b/>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 w:hRule="atLeast"/>
          <w:jc w:val="center"/>
        </w:trPr>
        <w:tc>
          <w:tcPr>
            <w:tcW w:w="5500" w:type="dxa"/>
            <w:gridSpan w:val="6"/>
            <w:vMerge w:val="continue"/>
            <w:tcBorders>
              <w:top w:val="single" w:color="000000" w:sz="4" w:space="0"/>
              <w:left w:val="single" w:color="000000" w:sz="4" w:space="0"/>
              <w:bottom w:val="single" w:color="auto" w:sz="4" w:space="0"/>
              <w:right w:val="single" w:color="auto" w:sz="4" w:space="0"/>
            </w:tcBorders>
            <w:noWrap w:val="0"/>
            <w:vAlign w:val="center"/>
          </w:tcPr>
          <w:p>
            <w:pPr>
              <w:widowControl/>
              <w:jc w:val="left"/>
              <w:rPr>
                <w:rFonts w:eastAsia="方正仿宋_GBK"/>
                <w:b/>
                <w:color w:val="000000"/>
                <w:sz w:val="18"/>
                <w:szCs w:val="18"/>
              </w:rPr>
            </w:pPr>
          </w:p>
        </w:tc>
        <w:tc>
          <w:tcPr>
            <w:tcW w:w="720" w:type="dxa"/>
            <w:tcBorders>
              <w:top w:val="single" w:color="auto" w:sz="4" w:space="0"/>
              <w:left w:val="single" w:color="auto" w:sz="4" w:space="0"/>
              <w:bottom w:val="single" w:color="auto" w:sz="4" w:space="0"/>
              <w:right w:val="single" w:color="000000" w:sz="4" w:space="0"/>
            </w:tcBorders>
            <w:noWrap w:val="0"/>
            <w:vAlign w:val="center"/>
          </w:tcPr>
          <w:p>
            <w:pPr>
              <w:jc w:val="center"/>
              <w:rPr>
                <w:rFonts w:eastAsia="方正仿宋_GBK"/>
                <w:b/>
                <w:color w:val="000000"/>
                <w:sz w:val="18"/>
                <w:szCs w:val="18"/>
              </w:rPr>
            </w:pPr>
          </w:p>
        </w:tc>
        <w:tc>
          <w:tcPr>
            <w:tcW w:w="888" w:type="dxa"/>
            <w:gridSpan w:val="2"/>
            <w:tcBorders>
              <w:top w:val="single" w:color="auto" w:sz="4" w:space="0"/>
              <w:left w:val="single" w:color="auto" w:sz="4" w:space="0"/>
              <w:bottom w:val="single" w:color="auto" w:sz="4" w:space="0"/>
              <w:right w:val="single" w:color="000000" w:sz="4" w:space="0"/>
            </w:tcBorders>
            <w:noWrap w:val="0"/>
            <w:vAlign w:val="center"/>
          </w:tcPr>
          <w:p>
            <w:pPr>
              <w:jc w:val="center"/>
              <w:rPr>
                <w:rFonts w:eastAsia="方正仿宋_GBK"/>
                <w:b/>
                <w:color w:val="000000"/>
                <w:sz w:val="18"/>
                <w:szCs w:val="18"/>
              </w:rPr>
            </w:pPr>
          </w:p>
        </w:tc>
        <w:tc>
          <w:tcPr>
            <w:tcW w:w="732" w:type="dxa"/>
            <w:tcBorders>
              <w:top w:val="single" w:color="auto" w:sz="4" w:space="0"/>
              <w:left w:val="single" w:color="auto" w:sz="4" w:space="0"/>
              <w:bottom w:val="single" w:color="auto" w:sz="4" w:space="0"/>
              <w:right w:val="single" w:color="000000" w:sz="4" w:space="0"/>
            </w:tcBorders>
            <w:noWrap w:val="0"/>
            <w:vAlign w:val="center"/>
          </w:tcPr>
          <w:p>
            <w:pPr>
              <w:jc w:val="center"/>
              <w:rPr>
                <w:rFonts w:eastAsia="方正仿宋_GBK"/>
                <w:b/>
                <w:color w:val="000000"/>
                <w:sz w:val="18"/>
                <w:szCs w:val="18"/>
              </w:rPr>
            </w:pPr>
          </w:p>
        </w:tc>
        <w:tc>
          <w:tcPr>
            <w:tcW w:w="720" w:type="dxa"/>
            <w:tcBorders>
              <w:top w:val="single" w:color="auto" w:sz="4" w:space="0"/>
              <w:left w:val="single" w:color="auto" w:sz="4" w:space="0"/>
              <w:bottom w:val="single" w:color="auto" w:sz="4" w:space="0"/>
              <w:right w:val="single" w:color="000000" w:sz="4" w:space="0"/>
            </w:tcBorders>
            <w:noWrap w:val="0"/>
            <w:vAlign w:val="center"/>
          </w:tcPr>
          <w:p>
            <w:pPr>
              <w:jc w:val="center"/>
              <w:rPr>
                <w:rFonts w:eastAsia="方正仿宋_GBK"/>
                <w:b/>
                <w:color w:val="000000"/>
                <w:sz w:val="18"/>
                <w:szCs w:val="18"/>
              </w:rPr>
            </w:pPr>
          </w:p>
        </w:tc>
        <w:tc>
          <w:tcPr>
            <w:tcW w:w="668" w:type="dxa"/>
            <w:tcBorders>
              <w:top w:val="single" w:color="auto" w:sz="4" w:space="0"/>
              <w:left w:val="single" w:color="auto" w:sz="4" w:space="0"/>
              <w:bottom w:val="single" w:color="auto" w:sz="4" w:space="0"/>
              <w:right w:val="single" w:color="000000" w:sz="4" w:space="0"/>
            </w:tcBorders>
            <w:noWrap w:val="0"/>
            <w:vAlign w:val="center"/>
          </w:tcPr>
          <w:p>
            <w:pPr>
              <w:jc w:val="center"/>
              <w:rPr>
                <w:rFonts w:eastAsia="方正仿宋_GBK"/>
                <w:b/>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5" w:hRule="atLeast"/>
          <w:jc w:val="center"/>
        </w:trPr>
        <w:tc>
          <w:tcPr>
            <w:tcW w:w="5500" w:type="dxa"/>
            <w:gridSpan w:val="6"/>
            <w:vMerge w:val="continue"/>
            <w:tcBorders>
              <w:top w:val="single" w:color="000000" w:sz="4" w:space="0"/>
              <w:left w:val="single" w:color="000000" w:sz="4" w:space="0"/>
              <w:bottom w:val="single" w:color="auto" w:sz="4" w:space="0"/>
              <w:right w:val="single" w:color="auto" w:sz="4" w:space="0"/>
            </w:tcBorders>
            <w:noWrap w:val="0"/>
            <w:vAlign w:val="center"/>
          </w:tcPr>
          <w:p>
            <w:pPr>
              <w:widowControl/>
              <w:jc w:val="left"/>
              <w:rPr>
                <w:rFonts w:eastAsia="方正仿宋_GBK"/>
                <w:b/>
                <w:color w:val="000000"/>
                <w:sz w:val="18"/>
                <w:szCs w:val="18"/>
              </w:rPr>
            </w:pPr>
          </w:p>
        </w:tc>
        <w:tc>
          <w:tcPr>
            <w:tcW w:w="720" w:type="dxa"/>
            <w:tcBorders>
              <w:top w:val="single" w:color="auto" w:sz="4" w:space="0"/>
              <w:left w:val="single" w:color="auto" w:sz="4" w:space="0"/>
              <w:bottom w:val="single" w:color="auto" w:sz="4" w:space="0"/>
              <w:right w:val="single" w:color="000000" w:sz="4" w:space="0"/>
            </w:tcBorders>
            <w:noWrap w:val="0"/>
            <w:vAlign w:val="center"/>
          </w:tcPr>
          <w:p>
            <w:pPr>
              <w:jc w:val="center"/>
              <w:rPr>
                <w:rFonts w:eastAsia="方正仿宋_GBK"/>
                <w:b/>
                <w:color w:val="000000"/>
                <w:sz w:val="18"/>
                <w:szCs w:val="18"/>
              </w:rPr>
            </w:pPr>
          </w:p>
        </w:tc>
        <w:tc>
          <w:tcPr>
            <w:tcW w:w="888" w:type="dxa"/>
            <w:gridSpan w:val="2"/>
            <w:tcBorders>
              <w:top w:val="single" w:color="auto" w:sz="4" w:space="0"/>
              <w:left w:val="single" w:color="auto" w:sz="4" w:space="0"/>
              <w:bottom w:val="single" w:color="auto" w:sz="4" w:space="0"/>
              <w:right w:val="single" w:color="000000" w:sz="4" w:space="0"/>
            </w:tcBorders>
            <w:noWrap w:val="0"/>
            <w:vAlign w:val="center"/>
          </w:tcPr>
          <w:p>
            <w:pPr>
              <w:jc w:val="center"/>
              <w:rPr>
                <w:rFonts w:eastAsia="方正仿宋_GBK"/>
                <w:b/>
                <w:color w:val="000000"/>
                <w:sz w:val="18"/>
                <w:szCs w:val="18"/>
              </w:rPr>
            </w:pPr>
          </w:p>
        </w:tc>
        <w:tc>
          <w:tcPr>
            <w:tcW w:w="732" w:type="dxa"/>
            <w:tcBorders>
              <w:top w:val="single" w:color="auto" w:sz="4" w:space="0"/>
              <w:left w:val="single" w:color="auto" w:sz="4" w:space="0"/>
              <w:bottom w:val="single" w:color="auto" w:sz="4" w:space="0"/>
              <w:right w:val="single" w:color="000000" w:sz="4" w:space="0"/>
            </w:tcBorders>
            <w:noWrap w:val="0"/>
            <w:vAlign w:val="center"/>
          </w:tcPr>
          <w:p>
            <w:pPr>
              <w:jc w:val="center"/>
              <w:rPr>
                <w:rFonts w:eastAsia="方正仿宋_GBK"/>
                <w:b/>
                <w:color w:val="000000"/>
                <w:sz w:val="18"/>
                <w:szCs w:val="18"/>
              </w:rPr>
            </w:pPr>
          </w:p>
        </w:tc>
        <w:tc>
          <w:tcPr>
            <w:tcW w:w="720" w:type="dxa"/>
            <w:tcBorders>
              <w:top w:val="single" w:color="auto" w:sz="4" w:space="0"/>
              <w:left w:val="single" w:color="auto" w:sz="4" w:space="0"/>
              <w:bottom w:val="single" w:color="auto" w:sz="4" w:space="0"/>
              <w:right w:val="single" w:color="000000" w:sz="4" w:space="0"/>
            </w:tcBorders>
            <w:noWrap w:val="0"/>
            <w:vAlign w:val="center"/>
          </w:tcPr>
          <w:p>
            <w:pPr>
              <w:jc w:val="center"/>
              <w:rPr>
                <w:rFonts w:eastAsia="方正仿宋_GBK"/>
                <w:b/>
                <w:color w:val="000000"/>
                <w:sz w:val="18"/>
                <w:szCs w:val="18"/>
              </w:rPr>
            </w:pPr>
          </w:p>
        </w:tc>
        <w:tc>
          <w:tcPr>
            <w:tcW w:w="668" w:type="dxa"/>
            <w:tcBorders>
              <w:top w:val="single" w:color="auto" w:sz="4" w:space="0"/>
              <w:left w:val="single" w:color="auto" w:sz="4" w:space="0"/>
              <w:bottom w:val="single" w:color="auto" w:sz="4" w:space="0"/>
              <w:right w:val="single" w:color="000000" w:sz="4" w:space="0"/>
            </w:tcBorders>
            <w:noWrap w:val="0"/>
            <w:vAlign w:val="center"/>
          </w:tcPr>
          <w:p>
            <w:pPr>
              <w:jc w:val="center"/>
              <w:rPr>
                <w:rFonts w:eastAsia="方正仿宋_GBK"/>
                <w:b/>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10" w:hRule="atLeast"/>
          <w:jc w:val="center"/>
        </w:trPr>
        <w:tc>
          <w:tcPr>
            <w:tcW w:w="5500" w:type="dxa"/>
            <w:gridSpan w:val="6"/>
            <w:vMerge w:val="continue"/>
            <w:tcBorders>
              <w:top w:val="single" w:color="000000" w:sz="4" w:space="0"/>
              <w:left w:val="single" w:color="000000" w:sz="4" w:space="0"/>
              <w:bottom w:val="single" w:color="auto" w:sz="4" w:space="0"/>
              <w:right w:val="single" w:color="auto" w:sz="4" w:space="0"/>
            </w:tcBorders>
            <w:noWrap w:val="0"/>
            <w:vAlign w:val="center"/>
          </w:tcPr>
          <w:p>
            <w:pPr>
              <w:widowControl/>
              <w:jc w:val="left"/>
              <w:rPr>
                <w:rFonts w:eastAsia="方正仿宋_GBK"/>
                <w:b/>
                <w:color w:val="000000"/>
                <w:sz w:val="18"/>
                <w:szCs w:val="18"/>
              </w:rPr>
            </w:pPr>
          </w:p>
        </w:tc>
        <w:tc>
          <w:tcPr>
            <w:tcW w:w="3728" w:type="dxa"/>
            <w:gridSpan w:val="6"/>
            <w:tcBorders>
              <w:top w:val="single" w:color="auto" w:sz="4" w:space="0"/>
              <w:left w:val="single" w:color="auto" w:sz="4" w:space="0"/>
              <w:bottom w:val="single" w:color="auto" w:sz="4" w:space="0"/>
              <w:right w:val="single" w:color="000000" w:sz="4" w:space="0"/>
            </w:tcBorders>
            <w:noWrap w:val="0"/>
            <w:vAlign w:val="center"/>
          </w:tcPr>
          <w:p>
            <w:pPr>
              <w:rPr>
                <w:rFonts w:eastAsia="方正仿宋_GBK"/>
                <w:b/>
                <w:color w:val="000000"/>
                <w:sz w:val="18"/>
                <w:szCs w:val="18"/>
              </w:rPr>
            </w:pPr>
            <w:r>
              <w:rPr>
                <w:rFonts w:hint="eastAsia" w:eastAsia="方正仿宋_GBK"/>
                <w:b/>
                <w:color w:val="000000"/>
                <w:sz w:val="18"/>
                <w:szCs w:val="18"/>
              </w:rPr>
              <w:t>专家签字：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0" w:hRule="atLeast"/>
          <w:jc w:val="center"/>
        </w:trPr>
        <w:tc>
          <w:tcPr>
            <w:tcW w:w="9228" w:type="dxa"/>
            <w:gridSpan w:val="12"/>
            <w:tcBorders>
              <w:top w:val="single" w:color="auto" w:sz="4" w:space="0"/>
              <w:left w:val="single" w:color="000000" w:sz="4" w:space="0"/>
              <w:bottom w:val="single" w:color="000000" w:sz="4" w:space="0"/>
              <w:right w:val="single" w:color="000000" w:sz="4" w:space="0"/>
            </w:tcBorders>
            <w:noWrap w:val="0"/>
            <w:vAlign w:val="top"/>
          </w:tcPr>
          <w:p>
            <w:pPr>
              <w:spacing w:line="360" w:lineRule="exact"/>
              <w:rPr>
                <w:rFonts w:eastAsia="方正仿宋_GBK"/>
                <w:b/>
                <w:color w:val="000000"/>
                <w:sz w:val="18"/>
                <w:szCs w:val="18"/>
              </w:rPr>
            </w:pPr>
            <w:r>
              <w:rPr>
                <w:rFonts w:hint="eastAsia" w:eastAsia="方正仿宋_GBK"/>
                <w:b/>
                <w:color w:val="000000"/>
                <w:sz w:val="18"/>
                <w:szCs w:val="18"/>
              </w:rPr>
              <w:t>初审专家委员会如对专家审查意见进行调整，调整后的意见及调整理由：</w:t>
            </w:r>
          </w:p>
          <w:p>
            <w:pPr>
              <w:spacing w:line="360" w:lineRule="exact"/>
              <w:rPr>
                <w:rFonts w:eastAsia="方正仿宋_GBK"/>
                <w:b/>
                <w:color w:val="000000"/>
                <w:sz w:val="18"/>
                <w:szCs w:val="18"/>
              </w:rPr>
            </w:pPr>
          </w:p>
          <w:p>
            <w:pPr>
              <w:spacing w:line="360" w:lineRule="exact"/>
              <w:rPr>
                <w:rFonts w:eastAsia="方正仿宋_GBK"/>
                <w:b/>
                <w:color w:val="000000"/>
                <w:sz w:val="18"/>
                <w:szCs w:val="18"/>
              </w:rPr>
            </w:pPr>
            <w:r>
              <w:rPr>
                <w:rFonts w:hint="eastAsia" w:eastAsia="方正仿宋_GBK"/>
                <w:b/>
                <w:color w:val="000000"/>
                <w:sz w:val="18"/>
                <w:szCs w:val="18"/>
              </w:rPr>
              <w:t>初审负责人签字：</w:t>
            </w:r>
          </w:p>
        </w:tc>
      </w:tr>
    </w:tbl>
    <w:p>
      <w:pPr>
        <w:spacing w:line="360" w:lineRule="exact"/>
        <w:rPr>
          <w:color w:val="000000"/>
          <w:sz w:val="18"/>
          <w:szCs w:val="18"/>
        </w:rPr>
      </w:pPr>
      <w:r>
        <w:rPr>
          <w:rFonts w:hint="eastAsia"/>
          <w:color w:val="000000"/>
          <w:sz w:val="18"/>
          <w:szCs w:val="18"/>
        </w:rPr>
        <w:t>注：本表格请各机构填写除最后两栏（加粗部分）以外的内容。</w:t>
      </w:r>
    </w:p>
    <w:p>
      <w:pPr>
        <w:widowControl/>
        <w:jc w:val="left"/>
        <w:rPr>
          <w:rFonts w:eastAsia="仿宋_GB2312"/>
          <w:color w:val="000000"/>
          <w:spacing w:val="20"/>
          <w:kern w:val="0"/>
          <w:sz w:val="18"/>
          <w:szCs w:val="18"/>
        </w:rPr>
        <w:sectPr>
          <w:pgSz w:w="11905" w:h="16838"/>
          <w:pgMar w:top="1701" w:right="1587" w:bottom="1701" w:left="1587" w:header="850" w:footer="1361" w:gutter="0"/>
          <w:paperSrc w:first="4" w:other="4"/>
          <w:pgNumType w:start="1"/>
          <w:cols w:space="720" w:num="1"/>
        </w:sectPr>
      </w:pPr>
    </w:p>
    <w:p>
      <w:pPr>
        <w:spacing w:line="560" w:lineRule="exact"/>
        <w:rPr>
          <w:rFonts w:eastAsia="黑体"/>
          <w:color w:val="000000"/>
          <w:sz w:val="28"/>
          <w:szCs w:val="28"/>
        </w:rPr>
      </w:pPr>
      <w:r>
        <w:rPr>
          <w:rFonts w:hint="eastAsia" w:eastAsia="黑体"/>
          <w:color w:val="000000"/>
          <w:sz w:val="28"/>
          <w:szCs w:val="28"/>
        </w:rPr>
        <w:t>附件</w:t>
      </w:r>
      <w:r>
        <w:rPr>
          <w:rFonts w:eastAsia="黑体"/>
          <w:color w:val="000000"/>
          <w:sz w:val="28"/>
          <w:szCs w:val="28"/>
        </w:rPr>
        <w:t>3</w:t>
      </w:r>
      <w:r>
        <w:rPr>
          <w:rFonts w:hint="eastAsia" w:eastAsia="黑体"/>
          <w:color w:val="000000"/>
          <w:sz w:val="28"/>
          <w:szCs w:val="28"/>
        </w:rPr>
        <w:t>：</w:t>
      </w:r>
    </w:p>
    <w:p>
      <w:pPr>
        <w:spacing w:line="560" w:lineRule="exact"/>
        <w:jc w:val="center"/>
        <w:rPr>
          <w:rFonts w:eastAsia="黑体"/>
          <w:color w:val="000000"/>
          <w:sz w:val="36"/>
        </w:rPr>
      </w:pPr>
      <w:r>
        <w:rPr>
          <w:rFonts w:hint="eastAsia" w:eastAsia="黑体"/>
          <w:color w:val="000000"/>
          <w:sz w:val="36"/>
        </w:rPr>
        <w:t>施工图设计文件审查人员核查汇总表</w:t>
      </w:r>
    </w:p>
    <w:p>
      <w:pPr>
        <w:spacing w:line="240" w:lineRule="exact"/>
        <w:jc w:val="center"/>
        <w:rPr>
          <w:rFonts w:eastAsia="黑体"/>
          <w:color w:val="000000"/>
          <w:sz w:val="36"/>
        </w:rPr>
      </w:pPr>
    </w:p>
    <w:tbl>
      <w:tblPr>
        <w:tblStyle w:val="12"/>
        <w:tblW w:w="0" w:type="auto"/>
        <w:jc w:val="center"/>
        <w:tblLayout w:type="fixed"/>
        <w:tblCellMar>
          <w:top w:w="0" w:type="dxa"/>
          <w:left w:w="108" w:type="dxa"/>
          <w:bottom w:w="0" w:type="dxa"/>
          <w:right w:w="108" w:type="dxa"/>
        </w:tblCellMar>
      </w:tblPr>
      <w:tblGrid>
        <w:gridCol w:w="433"/>
        <w:gridCol w:w="836"/>
        <w:gridCol w:w="407"/>
        <w:gridCol w:w="1177"/>
        <w:gridCol w:w="722"/>
        <w:gridCol w:w="748"/>
        <w:gridCol w:w="734"/>
        <w:gridCol w:w="481"/>
        <w:gridCol w:w="481"/>
        <w:gridCol w:w="469"/>
        <w:gridCol w:w="469"/>
        <w:gridCol w:w="924"/>
        <w:gridCol w:w="1928"/>
        <w:gridCol w:w="1325"/>
        <w:gridCol w:w="1348"/>
        <w:gridCol w:w="1738"/>
      </w:tblGrid>
      <w:tr>
        <w:tblPrEx>
          <w:tblCellMar>
            <w:top w:w="0" w:type="dxa"/>
            <w:left w:w="108" w:type="dxa"/>
            <w:bottom w:w="0" w:type="dxa"/>
            <w:right w:w="108" w:type="dxa"/>
          </w:tblCellMar>
        </w:tblPrEx>
        <w:trPr>
          <w:trHeight w:val="344" w:hRule="atLeast"/>
          <w:jc w:val="center"/>
        </w:trPr>
        <w:tc>
          <w:tcPr>
            <w:tcW w:w="9809" w:type="dxa"/>
            <w:gridSpan w:val="13"/>
            <w:tcBorders>
              <w:top w:val="single" w:color="auto" w:sz="4" w:space="0"/>
              <w:left w:val="single" w:color="auto" w:sz="4" w:space="0"/>
              <w:bottom w:val="single" w:color="auto" w:sz="4" w:space="0"/>
              <w:right w:val="nil"/>
            </w:tcBorders>
            <w:noWrap w:val="0"/>
            <w:vAlign w:val="center"/>
          </w:tcPr>
          <w:p>
            <w:pPr>
              <w:spacing w:line="240" w:lineRule="exact"/>
              <w:jc w:val="left"/>
              <w:rPr>
                <w:b/>
                <w:bCs/>
                <w:color w:val="000000"/>
                <w:kern w:val="0"/>
                <w:sz w:val="15"/>
                <w:szCs w:val="15"/>
              </w:rPr>
            </w:pPr>
            <w:r>
              <w:rPr>
                <w:rFonts w:hint="eastAsia"/>
                <w:b/>
                <w:bCs/>
                <w:color w:val="000000"/>
                <w:kern w:val="0"/>
                <w:sz w:val="15"/>
                <w:szCs w:val="15"/>
              </w:rPr>
              <w:t>申请单位：</w:t>
            </w:r>
          </w:p>
        </w:tc>
        <w:tc>
          <w:tcPr>
            <w:tcW w:w="4411" w:type="dxa"/>
            <w:gridSpan w:val="3"/>
            <w:tcBorders>
              <w:top w:val="single" w:color="auto" w:sz="4" w:space="0"/>
              <w:left w:val="single" w:color="auto" w:sz="4" w:space="0"/>
              <w:bottom w:val="single" w:color="auto" w:sz="4" w:space="0"/>
              <w:right w:val="single" w:color="000000" w:sz="4" w:space="0"/>
            </w:tcBorders>
            <w:noWrap w:val="0"/>
            <w:vAlign w:val="center"/>
          </w:tcPr>
          <w:p>
            <w:pPr>
              <w:spacing w:line="240" w:lineRule="exact"/>
              <w:jc w:val="center"/>
              <w:rPr>
                <w:b/>
                <w:bCs/>
                <w:color w:val="000000"/>
                <w:kern w:val="0"/>
                <w:sz w:val="15"/>
                <w:szCs w:val="15"/>
              </w:rPr>
            </w:pPr>
            <w:r>
              <w:rPr>
                <w:rFonts w:hint="eastAsia"/>
                <w:b/>
                <w:bCs/>
                <w:color w:val="000000"/>
                <w:kern w:val="0"/>
                <w:sz w:val="15"/>
                <w:szCs w:val="15"/>
              </w:rPr>
              <w:t>省住房和城乡建设厅核查专家填写列</w:t>
            </w:r>
          </w:p>
        </w:tc>
      </w:tr>
      <w:tr>
        <w:tblPrEx>
          <w:tblCellMar>
            <w:top w:w="0" w:type="dxa"/>
            <w:left w:w="108" w:type="dxa"/>
            <w:bottom w:w="0" w:type="dxa"/>
            <w:right w:w="108" w:type="dxa"/>
          </w:tblCellMar>
        </w:tblPrEx>
        <w:trPr>
          <w:trHeight w:val="415" w:hRule="atLeast"/>
          <w:jc w:val="center"/>
        </w:trPr>
        <w:tc>
          <w:tcPr>
            <w:tcW w:w="433" w:type="dxa"/>
            <w:tcBorders>
              <w:top w:val="nil"/>
              <w:left w:val="single" w:color="auto" w:sz="4" w:space="0"/>
              <w:bottom w:val="single" w:color="auto" w:sz="4" w:space="0"/>
              <w:right w:val="single" w:color="auto" w:sz="4" w:space="0"/>
            </w:tcBorders>
            <w:noWrap w:val="0"/>
            <w:vAlign w:val="center"/>
          </w:tcPr>
          <w:p>
            <w:pPr>
              <w:spacing w:line="200" w:lineRule="exact"/>
              <w:ind w:left="-105" w:leftChars="-50" w:right="-105" w:rightChars="-50"/>
              <w:jc w:val="center"/>
              <w:rPr>
                <w:rFonts w:eastAsia="黑体"/>
                <w:bCs/>
                <w:color w:val="000000"/>
                <w:kern w:val="0"/>
                <w:sz w:val="15"/>
                <w:szCs w:val="15"/>
              </w:rPr>
            </w:pPr>
            <w:r>
              <w:rPr>
                <w:rFonts w:hint="eastAsia" w:eastAsia="黑体"/>
                <w:bCs/>
                <w:color w:val="000000"/>
                <w:kern w:val="0"/>
                <w:sz w:val="15"/>
                <w:szCs w:val="15"/>
              </w:rPr>
              <w:t>序号</w:t>
            </w:r>
          </w:p>
        </w:tc>
        <w:tc>
          <w:tcPr>
            <w:tcW w:w="836" w:type="dxa"/>
            <w:tcBorders>
              <w:top w:val="nil"/>
              <w:left w:val="nil"/>
              <w:bottom w:val="single" w:color="auto" w:sz="4" w:space="0"/>
              <w:right w:val="single" w:color="auto" w:sz="4" w:space="0"/>
            </w:tcBorders>
            <w:noWrap w:val="0"/>
            <w:vAlign w:val="center"/>
          </w:tcPr>
          <w:p>
            <w:pPr>
              <w:spacing w:line="200" w:lineRule="exact"/>
              <w:ind w:left="-105" w:leftChars="-50" w:right="-105" w:rightChars="-50"/>
              <w:jc w:val="center"/>
              <w:rPr>
                <w:rFonts w:eastAsia="黑体"/>
                <w:bCs/>
                <w:color w:val="000000"/>
                <w:kern w:val="0"/>
                <w:sz w:val="15"/>
                <w:szCs w:val="15"/>
              </w:rPr>
            </w:pPr>
            <w:r>
              <w:rPr>
                <w:rFonts w:hint="eastAsia" w:eastAsia="黑体"/>
                <w:bCs/>
                <w:color w:val="000000"/>
                <w:kern w:val="0"/>
                <w:sz w:val="15"/>
                <w:szCs w:val="15"/>
              </w:rPr>
              <w:t>姓名</w:t>
            </w:r>
          </w:p>
        </w:tc>
        <w:tc>
          <w:tcPr>
            <w:tcW w:w="407" w:type="dxa"/>
            <w:tcBorders>
              <w:top w:val="nil"/>
              <w:left w:val="nil"/>
              <w:bottom w:val="single" w:color="auto" w:sz="4" w:space="0"/>
              <w:right w:val="single" w:color="auto" w:sz="4" w:space="0"/>
            </w:tcBorders>
            <w:noWrap w:val="0"/>
            <w:vAlign w:val="center"/>
          </w:tcPr>
          <w:p>
            <w:pPr>
              <w:spacing w:line="200" w:lineRule="exact"/>
              <w:ind w:left="-105" w:leftChars="-50" w:right="-105" w:rightChars="-50"/>
              <w:jc w:val="center"/>
              <w:rPr>
                <w:rFonts w:eastAsia="黑体"/>
                <w:bCs/>
                <w:color w:val="000000"/>
                <w:kern w:val="0"/>
                <w:sz w:val="15"/>
                <w:szCs w:val="15"/>
              </w:rPr>
            </w:pPr>
            <w:r>
              <w:rPr>
                <w:rFonts w:hint="eastAsia" w:eastAsia="黑体"/>
                <w:bCs/>
                <w:color w:val="000000"/>
                <w:kern w:val="0"/>
                <w:sz w:val="15"/>
                <w:szCs w:val="15"/>
              </w:rPr>
              <w:t>年龄</w:t>
            </w:r>
          </w:p>
        </w:tc>
        <w:tc>
          <w:tcPr>
            <w:tcW w:w="1177" w:type="dxa"/>
            <w:tcBorders>
              <w:top w:val="nil"/>
              <w:left w:val="nil"/>
              <w:bottom w:val="single" w:color="auto" w:sz="4" w:space="0"/>
              <w:right w:val="single" w:color="auto" w:sz="4" w:space="0"/>
            </w:tcBorders>
            <w:noWrap w:val="0"/>
            <w:vAlign w:val="center"/>
          </w:tcPr>
          <w:p>
            <w:pPr>
              <w:spacing w:line="200" w:lineRule="exact"/>
              <w:ind w:left="-105" w:leftChars="-50" w:right="-105" w:rightChars="-50"/>
              <w:jc w:val="center"/>
              <w:rPr>
                <w:rFonts w:eastAsia="黑体"/>
                <w:bCs/>
                <w:color w:val="000000"/>
                <w:kern w:val="0"/>
                <w:sz w:val="15"/>
                <w:szCs w:val="15"/>
              </w:rPr>
            </w:pPr>
            <w:r>
              <w:rPr>
                <w:rFonts w:hint="eastAsia" w:eastAsia="黑体"/>
                <w:bCs/>
                <w:color w:val="000000"/>
                <w:kern w:val="0"/>
                <w:sz w:val="15"/>
                <w:szCs w:val="15"/>
              </w:rPr>
              <w:t>身份证号码</w:t>
            </w:r>
          </w:p>
        </w:tc>
        <w:tc>
          <w:tcPr>
            <w:tcW w:w="722" w:type="dxa"/>
            <w:tcBorders>
              <w:top w:val="nil"/>
              <w:left w:val="nil"/>
              <w:bottom w:val="single" w:color="auto" w:sz="4" w:space="0"/>
              <w:right w:val="single" w:color="auto" w:sz="4" w:space="0"/>
            </w:tcBorders>
            <w:noWrap w:val="0"/>
            <w:vAlign w:val="center"/>
          </w:tcPr>
          <w:p>
            <w:pPr>
              <w:spacing w:line="200" w:lineRule="exact"/>
              <w:ind w:left="-105" w:leftChars="-50" w:right="-105" w:rightChars="-50"/>
              <w:jc w:val="center"/>
              <w:rPr>
                <w:rFonts w:eastAsia="黑体"/>
                <w:bCs/>
                <w:color w:val="000000"/>
                <w:kern w:val="0"/>
                <w:sz w:val="15"/>
                <w:szCs w:val="15"/>
              </w:rPr>
            </w:pPr>
            <w:r>
              <w:rPr>
                <w:rFonts w:hint="eastAsia" w:eastAsia="黑体"/>
                <w:bCs/>
                <w:color w:val="000000"/>
                <w:kern w:val="0"/>
                <w:sz w:val="15"/>
                <w:szCs w:val="15"/>
              </w:rPr>
              <w:t>申请级别</w:t>
            </w:r>
          </w:p>
        </w:tc>
        <w:tc>
          <w:tcPr>
            <w:tcW w:w="748" w:type="dxa"/>
            <w:tcBorders>
              <w:top w:val="nil"/>
              <w:left w:val="nil"/>
              <w:bottom w:val="single" w:color="auto" w:sz="4" w:space="0"/>
              <w:right w:val="single" w:color="auto" w:sz="4" w:space="0"/>
            </w:tcBorders>
            <w:noWrap w:val="0"/>
            <w:vAlign w:val="center"/>
          </w:tcPr>
          <w:p>
            <w:pPr>
              <w:spacing w:line="200" w:lineRule="exact"/>
              <w:ind w:left="-105" w:leftChars="-50" w:right="-105" w:rightChars="-50"/>
              <w:jc w:val="center"/>
              <w:rPr>
                <w:rFonts w:eastAsia="黑体"/>
                <w:bCs/>
                <w:color w:val="000000"/>
                <w:kern w:val="0"/>
                <w:sz w:val="15"/>
                <w:szCs w:val="15"/>
              </w:rPr>
            </w:pPr>
            <w:r>
              <w:rPr>
                <w:rFonts w:hint="eastAsia" w:eastAsia="黑体"/>
                <w:bCs/>
                <w:color w:val="000000"/>
                <w:kern w:val="0"/>
                <w:sz w:val="15"/>
                <w:szCs w:val="15"/>
              </w:rPr>
              <w:t>审查行业</w:t>
            </w:r>
          </w:p>
        </w:tc>
        <w:tc>
          <w:tcPr>
            <w:tcW w:w="734" w:type="dxa"/>
            <w:tcBorders>
              <w:top w:val="nil"/>
              <w:left w:val="nil"/>
              <w:bottom w:val="single" w:color="auto" w:sz="4" w:space="0"/>
              <w:right w:val="single" w:color="auto" w:sz="4" w:space="0"/>
            </w:tcBorders>
            <w:noWrap w:val="0"/>
            <w:vAlign w:val="center"/>
          </w:tcPr>
          <w:p>
            <w:pPr>
              <w:spacing w:line="200" w:lineRule="exact"/>
              <w:ind w:left="-105" w:leftChars="-50" w:right="-105" w:rightChars="-50"/>
              <w:jc w:val="center"/>
              <w:rPr>
                <w:rFonts w:eastAsia="黑体"/>
                <w:bCs/>
                <w:color w:val="000000"/>
                <w:kern w:val="0"/>
                <w:sz w:val="15"/>
                <w:szCs w:val="15"/>
              </w:rPr>
            </w:pPr>
            <w:r>
              <w:rPr>
                <w:rFonts w:hint="eastAsia" w:eastAsia="黑体"/>
                <w:bCs/>
                <w:color w:val="000000"/>
                <w:kern w:val="0"/>
                <w:sz w:val="15"/>
                <w:szCs w:val="15"/>
              </w:rPr>
              <w:t>审查专业</w:t>
            </w:r>
          </w:p>
        </w:tc>
        <w:tc>
          <w:tcPr>
            <w:tcW w:w="481" w:type="dxa"/>
            <w:tcBorders>
              <w:top w:val="nil"/>
              <w:left w:val="nil"/>
              <w:bottom w:val="single" w:color="auto" w:sz="4" w:space="0"/>
              <w:right w:val="single" w:color="auto" w:sz="4" w:space="0"/>
            </w:tcBorders>
            <w:noWrap w:val="0"/>
            <w:vAlign w:val="center"/>
          </w:tcPr>
          <w:p>
            <w:pPr>
              <w:spacing w:line="200" w:lineRule="exact"/>
              <w:ind w:left="-105" w:leftChars="-50" w:right="-105" w:rightChars="-50"/>
              <w:jc w:val="center"/>
              <w:rPr>
                <w:rFonts w:eastAsia="黑体"/>
                <w:bCs/>
                <w:color w:val="000000"/>
                <w:kern w:val="0"/>
                <w:sz w:val="15"/>
                <w:szCs w:val="15"/>
              </w:rPr>
            </w:pPr>
            <w:r>
              <w:rPr>
                <w:rFonts w:hint="eastAsia" w:eastAsia="黑体"/>
                <w:bCs/>
                <w:color w:val="000000"/>
                <w:kern w:val="0"/>
                <w:sz w:val="15"/>
                <w:szCs w:val="15"/>
              </w:rPr>
              <w:t>受聘</w:t>
            </w:r>
          </w:p>
          <w:p>
            <w:pPr>
              <w:spacing w:line="200" w:lineRule="exact"/>
              <w:ind w:left="-105" w:leftChars="-50" w:right="-105" w:rightChars="-50"/>
              <w:jc w:val="center"/>
              <w:rPr>
                <w:rFonts w:eastAsia="黑体"/>
                <w:bCs/>
                <w:color w:val="000000"/>
                <w:kern w:val="0"/>
                <w:sz w:val="15"/>
                <w:szCs w:val="15"/>
              </w:rPr>
            </w:pPr>
            <w:r>
              <w:rPr>
                <w:rFonts w:hint="eastAsia" w:eastAsia="黑体"/>
                <w:bCs/>
                <w:color w:val="000000"/>
                <w:kern w:val="0"/>
                <w:sz w:val="15"/>
                <w:szCs w:val="15"/>
              </w:rPr>
              <w:t>性质</w:t>
            </w:r>
          </w:p>
        </w:tc>
        <w:tc>
          <w:tcPr>
            <w:tcW w:w="481" w:type="dxa"/>
            <w:tcBorders>
              <w:top w:val="nil"/>
              <w:left w:val="nil"/>
              <w:bottom w:val="single" w:color="auto" w:sz="4" w:space="0"/>
              <w:right w:val="single" w:color="auto" w:sz="4" w:space="0"/>
            </w:tcBorders>
            <w:noWrap w:val="0"/>
            <w:vAlign w:val="center"/>
          </w:tcPr>
          <w:p>
            <w:pPr>
              <w:spacing w:line="200" w:lineRule="exact"/>
              <w:ind w:left="-105" w:leftChars="-50" w:right="-105" w:rightChars="-50"/>
              <w:jc w:val="center"/>
              <w:rPr>
                <w:rFonts w:eastAsia="黑体"/>
                <w:bCs/>
                <w:color w:val="000000"/>
                <w:kern w:val="0"/>
                <w:sz w:val="15"/>
                <w:szCs w:val="15"/>
              </w:rPr>
            </w:pPr>
            <w:r>
              <w:rPr>
                <w:rFonts w:hint="eastAsia" w:eastAsia="黑体"/>
                <w:bCs/>
                <w:color w:val="000000"/>
                <w:kern w:val="0"/>
                <w:sz w:val="15"/>
                <w:szCs w:val="15"/>
              </w:rPr>
              <w:t>学历</w:t>
            </w:r>
          </w:p>
        </w:tc>
        <w:tc>
          <w:tcPr>
            <w:tcW w:w="469" w:type="dxa"/>
            <w:tcBorders>
              <w:top w:val="nil"/>
              <w:left w:val="nil"/>
              <w:bottom w:val="single" w:color="auto" w:sz="4" w:space="0"/>
              <w:right w:val="single" w:color="auto" w:sz="4" w:space="0"/>
            </w:tcBorders>
            <w:noWrap w:val="0"/>
            <w:vAlign w:val="center"/>
          </w:tcPr>
          <w:p>
            <w:pPr>
              <w:spacing w:line="200" w:lineRule="exact"/>
              <w:ind w:left="-105" w:leftChars="-50" w:right="-105" w:rightChars="-50"/>
              <w:jc w:val="center"/>
              <w:rPr>
                <w:rFonts w:eastAsia="黑体"/>
                <w:bCs/>
                <w:color w:val="000000"/>
                <w:kern w:val="0"/>
                <w:sz w:val="15"/>
                <w:szCs w:val="15"/>
              </w:rPr>
            </w:pPr>
            <w:r>
              <w:rPr>
                <w:rFonts w:hint="eastAsia" w:eastAsia="黑体"/>
                <w:bCs/>
                <w:color w:val="000000"/>
                <w:kern w:val="0"/>
                <w:sz w:val="15"/>
                <w:szCs w:val="15"/>
              </w:rPr>
              <w:t>职称</w:t>
            </w:r>
          </w:p>
        </w:tc>
        <w:tc>
          <w:tcPr>
            <w:tcW w:w="469" w:type="dxa"/>
            <w:tcBorders>
              <w:top w:val="nil"/>
              <w:left w:val="nil"/>
              <w:bottom w:val="single" w:color="auto" w:sz="4" w:space="0"/>
              <w:right w:val="single" w:color="auto" w:sz="4" w:space="0"/>
            </w:tcBorders>
            <w:noWrap w:val="0"/>
            <w:vAlign w:val="center"/>
          </w:tcPr>
          <w:p>
            <w:pPr>
              <w:spacing w:line="200" w:lineRule="exact"/>
              <w:ind w:left="-105" w:leftChars="-50" w:right="-105" w:rightChars="-50"/>
              <w:jc w:val="center"/>
              <w:rPr>
                <w:rFonts w:eastAsia="黑体"/>
                <w:bCs/>
                <w:color w:val="000000"/>
                <w:kern w:val="0"/>
                <w:sz w:val="15"/>
                <w:szCs w:val="15"/>
              </w:rPr>
            </w:pPr>
            <w:r>
              <w:rPr>
                <w:rFonts w:hint="eastAsia" w:eastAsia="黑体"/>
                <w:bCs/>
                <w:color w:val="000000"/>
                <w:kern w:val="0"/>
                <w:sz w:val="15"/>
                <w:szCs w:val="15"/>
              </w:rPr>
              <w:t>工作</w:t>
            </w:r>
          </w:p>
          <w:p>
            <w:pPr>
              <w:spacing w:line="200" w:lineRule="exact"/>
              <w:ind w:left="-105" w:leftChars="-50" w:right="-105" w:rightChars="-50"/>
              <w:jc w:val="center"/>
              <w:rPr>
                <w:rFonts w:eastAsia="黑体"/>
                <w:bCs/>
                <w:color w:val="000000"/>
                <w:kern w:val="0"/>
                <w:sz w:val="15"/>
                <w:szCs w:val="15"/>
              </w:rPr>
            </w:pPr>
            <w:r>
              <w:rPr>
                <w:rFonts w:hint="eastAsia" w:eastAsia="黑体"/>
                <w:bCs/>
                <w:color w:val="000000"/>
                <w:kern w:val="0"/>
                <w:sz w:val="15"/>
                <w:szCs w:val="15"/>
              </w:rPr>
              <w:t>年限</w:t>
            </w:r>
          </w:p>
        </w:tc>
        <w:tc>
          <w:tcPr>
            <w:tcW w:w="924" w:type="dxa"/>
            <w:tcBorders>
              <w:top w:val="nil"/>
              <w:left w:val="nil"/>
              <w:bottom w:val="single" w:color="auto" w:sz="4" w:space="0"/>
              <w:right w:val="single" w:color="auto" w:sz="4" w:space="0"/>
            </w:tcBorders>
            <w:noWrap w:val="0"/>
            <w:vAlign w:val="center"/>
          </w:tcPr>
          <w:p>
            <w:pPr>
              <w:spacing w:line="200" w:lineRule="exact"/>
              <w:ind w:left="-105" w:leftChars="-50" w:right="-105" w:rightChars="-50"/>
              <w:jc w:val="center"/>
              <w:rPr>
                <w:rFonts w:eastAsia="黑体"/>
                <w:bCs/>
                <w:color w:val="000000"/>
                <w:kern w:val="0"/>
                <w:sz w:val="15"/>
                <w:szCs w:val="15"/>
              </w:rPr>
            </w:pPr>
            <w:r>
              <w:rPr>
                <w:rFonts w:hint="eastAsia" w:eastAsia="黑体"/>
                <w:bCs/>
                <w:color w:val="000000"/>
                <w:kern w:val="0"/>
                <w:sz w:val="15"/>
                <w:szCs w:val="15"/>
              </w:rPr>
              <w:t>执业资格及执业印章号</w:t>
            </w:r>
          </w:p>
        </w:tc>
        <w:tc>
          <w:tcPr>
            <w:tcW w:w="1928" w:type="dxa"/>
            <w:tcBorders>
              <w:top w:val="nil"/>
              <w:left w:val="nil"/>
              <w:bottom w:val="single" w:color="auto" w:sz="4" w:space="0"/>
              <w:right w:val="single" w:color="auto" w:sz="4" w:space="0"/>
            </w:tcBorders>
            <w:noWrap w:val="0"/>
            <w:vAlign w:val="center"/>
          </w:tcPr>
          <w:p>
            <w:pPr>
              <w:spacing w:line="200" w:lineRule="exact"/>
              <w:ind w:left="-105" w:leftChars="-50" w:right="-105" w:rightChars="-50"/>
              <w:jc w:val="center"/>
              <w:rPr>
                <w:rFonts w:eastAsia="黑体"/>
                <w:bCs/>
                <w:color w:val="000000"/>
                <w:kern w:val="0"/>
                <w:sz w:val="15"/>
                <w:szCs w:val="15"/>
              </w:rPr>
            </w:pPr>
            <w:r>
              <w:rPr>
                <w:rFonts w:hint="eastAsia" w:eastAsia="黑体"/>
                <w:bCs/>
                <w:color w:val="000000"/>
                <w:kern w:val="0"/>
                <w:sz w:val="15"/>
                <w:szCs w:val="15"/>
              </w:rPr>
              <w:t>原勘察设计单位</w:t>
            </w:r>
          </w:p>
        </w:tc>
        <w:tc>
          <w:tcPr>
            <w:tcW w:w="1325" w:type="dxa"/>
            <w:tcBorders>
              <w:top w:val="nil"/>
              <w:left w:val="nil"/>
              <w:bottom w:val="single" w:color="auto" w:sz="4" w:space="0"/>
              <w:right w:val="single" w:color="auto" w:sz="4" w:space="0"/>
            </w:tcBorders>
            <w:noWrap w:val="0"/>
            <w:vAlign w:val="center"/>
          </w:tcPr>
          <w:p>
            <w:pPr>
              <w:spacing w:line="200" w:lineRule="exact"/>
              <w:ind w:left="-105" w:leftChars="-50" w:right="-105" w:rightChars="-50"/>
              <w:jc w:val="center"/>
              <w:rPr>
                <w:rFonts w:eastAsia="黑体"/>
                <w:bCs/>
                <w:color w:val="000000"/>
                <w:kern w:val="0"/>
                <w:sz w:val="15"/>
                <w:szCs w:val="15"/>
              </w:rPr>
            </w:pPr>
            <w:r>
              <w:rPr>
                <w:rFonts w:hint="eastAsia" w:eastAsia="黑体"/>
                <w:bCs/>
                <w:color w:val="000000"/>
                <w:kern w:val="0"/>
                <w:sz w:val="15"/>
                <w:szCs w:val="15"/>
              </w:rPr>
              <w:t>专家审查意见</w:t>
            </w:r>
          </w:p>
        </w:tc>
        <w:tc>
          <w:tcPr>
            <w:tcW w:w="1348" w:type="dxa"/>
            <w:tcBorders>
              <w:top w:val="nil"/>
              <w:left w:val="nil"/>
              <w:bottom w:val="single" w:color="auto" w:sz="4" w:space="0"/>
              <w:right w:val="single" w:color="auto" w:sz="4" w:space="0"/>
            </w:tcBorders>
            <w:noWrap w:val="0"/>
            <w:vAlign w:val="center"/>
          </w:tcPr>
          <w:p>
            <w:pPr>
              <w:spacing w:line="200" w:lineRule="exact"/>
              <w:ind w:left="-105" w:leftChars="-50" w:right="-105" w:rightChars="-50"/>
              <w:jc w:val="center"/>
              <w:rPr>
                <w:rFonts w:eastAsia="黑体"/>
                <w:bCs/>
                <w:color w:val="000000"/>
                <w:kern w:val="0"/>
                <w:sz w:val="15"/>
                <w:szCs w:val="15"/>
              </w:rPr>
            </w:pPr>
            <w:r>
              <w:rPr>
                <w:rFonts w:hint="eastAsia" w:eastAsia="黑体"/>
                <w:bCs/>
                <w:color w:val="000000"/>
                <w:kern w:val="0"/>
                <w:sz w:val="15"/>
                <w:szCs w:val="15"/>
              </w:rPr>
              <w:t>审核意见</w:t>
            </w:r>
          </w:p>
        </w:tc>
        <w:tc>
          <w:tcPr>
            <w:tcW w:w="1738" w:type="dxa"/>
            <w:tcBorders>
              <w:top w:val="nil"/>
              <w:left w:val="nil"/>
              <w:bottom w:val="single" w:color="auto" w:sz="4" w:space="0"/>
              <w:right w:val="single" w:color="auto" w:sz="4" w:space="0"/>
            </w:tcBorders>
            <w:noWrap w:val="0"/>
            <w:vAlign w:val="center"/>
          </w:tcPr>
          <w:p>
            <w:pPr>
              <w:spacing w:line="200" w:lineRule="exact"/>
              <w:ind w:left="-105" w:leftChars="-50" w:right="-105" w:rightChars="-50"/>
              <w:jc w:val="center"/>
              <w:rPr>
                <w:rFonts w:eastAsia="黑体"/>
                <w:bCs/>
                <w:color w:val="000000"/>
                <w:kern w:val="0"/>
                <w:sz w:val="15"/>
                <w:szCs w:val="15"/>
              </w:rPr>
            </w:pPr>
            <w:r>
              <w:rPr>
                <w:rFonts w:hint="eastAsia" w:eastAsia="黑体"/>
                <w:bCs/>
                <w:color w:val="000000"/>
                <w:kern w:val="0"/>
                <w:sz w:val="15"/>
                <w:szCs w:val="15"/>
              </w:rPr>
              <w:t>备注</w:t>
            </w:r>
          </w:p>
        </w:tc>
      </w:tr>
      <w:tr>
        <w:tblPrEx>
          <w:tblCellMar>
            <w:top w:w="0" w:type="dxa"/>
            <w:left w:w="108" w:type="dxa"/>
            <w:bottom w:w="0" w:type="dxa"/>
            <w:right w:w="108" w:type="dxa"/>
          </w:tblCellMar>
        </w:tblPrEx>
        <w:trPr>
          <w:trHeight w:val="312" w:hRule="exact"/>
          <w:jc w:val="center"/>
        </w:trPr>
        <w:tc>
          <w:tcPr>
            <w:tcW w:w="433" w:type="dxa"/>
            <w:tcBorders>
              <w:top w:val="nil"/>
              <w:left w:val="single" w:color="auto" w:sz="4" w:space="0"/>
              <w:bottom w:val="single" w:color="auto" w:sz="4" w:space="0"/>
              <w:right w:val="single" w:color="auto" w:sz="4" w:space="0"/>
            </w:tcBorders>
            <w:noWrap w:val="0"/>
            <w:vAlign w:val="center"/>
          </w:tcPr>
          <w:p>
            <w:pPr>
              <w:spacing w:line="240" w:lineRule="exact"/>
              <w:jc w:val="center"/>
              <w:rPr>
                <w:color w:val="000000"/>
                <w:kern w:val="0"/>
                <w:sz w:val="15"/>
                <w:szCs w:val="15"/>
              </w:rPr>
            </w:pPr>
            <w:r>
              <w:rPr>
                <w:color w:val="000000"/>
                <w:kern w:val="0"/>
                <w:sz w:val="15"/>
                <w:szCs w:val="15"/>
              </w:rPr>
              <w:t>1</w:t>
            </w:r>
          </w:p>
        </w:tc>
        <w:tc>
          <w:tcPr>
            <w:tcW w:w="836"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07"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1177"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22"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48"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34"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81"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81"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69"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69"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924"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928"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325" w:type="dxa"/>
            <w:tcBorders>
              <w:top w:val="nil"/>
              <w:left w:val="nil"/>
              <w:bottom w:val="single" w:color="auto" w:sz="4" w:space="0"/>
              <w:right w:val="single" w:color="auto" w:sz="4" w:space="0"/>
            </w:tcBorders>
            <w:noWrap w:val="0"/>
            <w:vAlign w:val="bottom"/>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348" w:type="dxa"/>
            <w:tcBorders>
              <w:top w:val="nil"/>
              <w:left w:val="nil"/>
              <w:bottom w:val="single" w:color="auto" w:sz="4" w:space="0"/>
              <w:right w:val="single" w:color="auto" w:sz="4" w:space="0"/>
            </w:tcBorders>
            <w:noWrap w:val="0"/>
            <w:vAlign w:val="bottom"/>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738"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r>
      <w:tr>
        <w:tblPrEx>
          <w:tblCellMar>
            <w:top w:w="0" w:type="dxa"/>
            <w:left w:w="108" w:type="dxa"/>
            <w:bottom w:w="0" w:type="dxa"/>
            <w:right w:w="108" w:type="dxa"/>
          </w:tblCellMar>
        </w:tblPrEx>
        <w:trPr>
          <w:trHeight w:val="312" w:hRule="exact"/>
          <w:jc w:val="center"/>
        </w:trPr>
        <w:tc>
          <w:tcPr>
            <w:tcW w:w="433" w:type="dxa"/>
            <w:tcBorders>
              <w:top w:val="nil"/>
              <w:left w:val="single" w:color="auto" w:sz="4" w:space="0"/>
              <w:bottom w:val="single" w:color="auto" w:sz="4" w:space="0"/>
              <w:right w:val="single" w:color="auto" w:sz="4" w:space="0"/>
            </w:tcBorders>
            <w:noWrap w:val="0"/>
            <w:vAlign w:val="center"/>
          </w:tcPr>
          <w:p>
            <w:pPr>
              <w:spacing w:line="240" w:lineRule="exact"/>
              <w:jc w:val="center"/>
              <w:rPr>
                <w:color w:val="000000"/>
                <w:kern w:val="0"/>
                <w:sz w:val="15"/>
                <w:szCs w:val="15"/>
              </w:rPr>
            </w:pPr>
            <w:r>
              <w:rPr>
                <w:color w:val="000000"/>
                <w:kern w:val="0"/>
                <w:sz w:val="15"/>
                <w:szCs w:val="15"/>
              </w:rPr>
              <w:t>2</w:t>
            </w:r>
          </w:p>
        </w:tc>
        <w:tc>
          <w:tcPr>
            <w:tcW w:w="836"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07"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1177"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22"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48"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34"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81"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81"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69"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69"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924"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928"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325" w:type="dxa"/>
            <w:tcBorders>
              <w:top w:val="nil"/>
              <w:left w:val="nil"/>
              <w:bottom w:val="single" w:color="auto" w:sz="4" w:space="0"/>
              <w:right w:val="single" w:color="auto" w:sz="4" w:space="0"/>
            </w:tcBorders>
            <w:noWrap w:val="0"/>
            <w:vAlign w:val="bottom"/>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348" w:type="dxa"/>
            <w:tcBorders>
              <w:top w:val="nil"/>
              <w:left w:val="nil"/>
              <w:bottom w:val="single" w:color="auto" w:sz="4" w:space="0"/>
              <w:right w:val="single" w:color="auto" w:sz="4" w:space="0"/>
            </w:tcBorders>
            <w:noWrap w:val="0"/>
            <w:vAlign w:val="bottom"/>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738"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r>
      <w:tr>
        <w:tblPrEx>
          <w:tblCellMar>
            <w:top w:w="0" w:type="dxa"/>
            <w:left w:w="108" w:type="dxa"/>
            <w:bottom w:w="0" w:type="dxa"/>
            <w:right w:w="108" w:type="dxa"/>
          </w:tblCellMar>
        </w:tblPrEx>
        <w:trPr>
          <w:trHeight w:val="312" w:hRule="exact"/>
          <w:jc w:val="center"/>
        </w:trPr>
        <w:tc>
          <w:tcPr>
            <w:tcW w:w="433" w:type="dxa"/>
            <w:tcBorders>
              <w:top w:val="nil"/>
              <w:left w:val="single" w:color="auto" w:sz="4" w:space="0"/>
              <w:bottom w:val="single" w:color="auto" w:sz="4" w:space="0"/>
              <w:right w:val="single" w:color="auto" w:sz="4" w:space="0"/>
            </w:tcBorders>
            <w:noWrap w:val="0"/>
            <w:vAlign w:val="center"/>
          </w:tcPr>
          <w:p>
            <w:pPr>
              <w:spacing w:line="240" w:lineRule="exact"/>
              <w:jc w:val="center"/>
              <w:rPr>
                <w:color w:val="000000"/>
                <w:kern w:val="0"/>
                <w:sz w:val="15"/>
                <w:szCs w:val="15"/>
              </w:rPr>
            </w:pPr>
            <w:r>
              <w:rPr>
                <w:color w:val="000000"/>
                <w:kern w:val="0"/>
                <w:sz w:val="15"/>
                <w:szCs w:val="15"/>
              </w:rPr>
              <w:t>3</w:t>
            </w:r>
          </w:p>
        </w:tc>
        <w:tc>
          <w:tcPr>
            <w:tcW w:w="836"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07"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1177"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22"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48"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34"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81"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81"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69"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69"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924"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928"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325" w:type="dxa"/>
            <w:tcBorders>
              <w:top w:val="nil"/>
              <w:left w:val="nil"/>
              <w:bottom w:val="single" w:color="auto" w:sz="4" w:space="0"/>
              <w:right w:val="single" w:color="auto" w:sz="4" w:space="0"/>
            </w:tcBorders>
            <w:noWrap w:val="0"/>
            <w:vAlign w:val="bottom"/>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348" w:type="dxa"/>
            <w:tcBorders>
              <w:top w:val="nil"/>
              <w:left w:val="nil"/>
              <w:bottom w:val="single" w:color="auto" w:sz="4" w:space="0"/>
              <w:right w:val="single" w:color="auto" w:sz="4" w:space="0"/>
            </w:tcBorders>
            <w:noWrap w:val="0"/>
            <w:vAlign w:val="bottom"/>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738"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r>
      <w:tr>
        <w:tblPrEx>
          <w:tblCellMar>
            <w:top w:w="0" w:type="dxa"/>
            <w:left w:w="108" w:type="dxa"/>
            <w:bottom w:w="0" w:type="dxa"/>
            <w:right w:w="108" w:type="dxa"/>
          </w:tblCellMar>
        </w:tblPrEx>
        <w:trPr>
          <w:trHeight w:val="312" w:hRule="exact"/>
          <w:jc w:val="center"/>
        </w:trPr>
        <w:tc>
          <w:tcPr>
            <w:tcW w:w="433" w:type="dxa"/>
            <w:tcBorders>
              <w:top w:val="nil"/>
              <w:left w:val="single" w:color="auto" w:sz="4" w:space="0"/>
              <w:bottom w:val="single" w:color="auto" w:sz="4" w:space="0"/>
              <w:right w:val="single" w:color="auto" w:sz="4" w:space="0"/>
            </w:tcBorders>
            <w:noWrap w:val="0"/>
            <w:vAlign w:val="center"/>
          </w:tcPr>
          <w:p>
            <w:pPr>
              <w:spacing w:line="240" w:lineRule="exact"/>
              <w:jc w:val="center"/>
              <w:rPr>
                <w:color w:val="000000"/>
                <w:kern w:val="0"/>
                <w:sz w:val="15"/>
                <w:szCs w:val="15"/>
              </w:rPr>
            </w:pPr>
            <w:r>
              <w:rPr>
                <w:color w:val="000000"/>
                <w:kern w:val="0"/>
                <w:sz w:val="15"/>
                <w:szCs w:val="15"/>
              </w:rPr>
              <w:t>4</w:t>
            </w:r>
          </w:p>
        </w:tc>
        <w:tc>
          <w:tcPr>
            <w:tcW w:w="836"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07"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1177"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22"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48"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34"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81"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81"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69"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69"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924"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928"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325" w:type="dxa"/>
            <w:tcBorders>
              <w:top w:val="nil"/>
              <w:left w:val="nil"/>
              <w:bottom w:val="single" w:color="auto" w:sz="4" w:space="0"/>
              <w:right w:val="single" w:color="auto" w:sz="4" w:space="0"/>
            </w:tcBorders>
            <w:noWrap w:val="0"/>
            <w:vAlign w:val="bottom"/>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348" w:type="dxa"/>
            <w:tcBorders>
              <w:top w:val="nil"/>
              <w:left w:val="nil"/>
              <w:bottom w:val="single" w:color="auto" w:sz="4" w:space="0"/>
              <w:right w:val="single" w:color="auto" w:sz="4" w:space="0"/>
            </w:tcBorders>
            <w:noWrap w:val="0"/>
            <w:vAlign w:val="bottom"/>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738"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r>
      <w:tr>
        <w:tblPrEx>
          <w:tblCellMar>
            <w:top w:w="0" w:type="dxa"/>
            <w:left w:w="108" w:type="dxa"/>
            <w:bottom w:w="0" w:type="dxa"/>
            <w:right w:w="108" w:type="dxa"/>
          </w:tblCellMar>
        </w:tblPrEx>
        <w:trPr>
          <w:trHeight w:val="312" w:hRule="exact"/>
          <w:jc w:val="center"/>
        </w:trPr>
        <w:tc>
          <w:tcPr>
            <w:tcW w:w="433" w:type="dxa"/>
            <w:tcBorders>
              <w:top w:val="nil"/>
              <w:left w:val="single" w:color="auto" w:sz="4" w:space="0"/>
              <w:bottom w:val="single" w:color="auto" w:sz="4" w:space="0"/>
              <w:right w:val="single" w:color="auto" w:sz="4" w:space="0"/>
            </w:tcBorders>
            <w:noWrap w:val="0"/>
            <w:vAlign w:val="center"/>
          </w:tcPr>
          <w:p>
            <w:pPr>
              <w:spacing w:line="240" w:lineRule="exact"/>
              <w:jc w:val="center"/>
              <w:rPr>
                <w:color w:val="000000"/>
                <w:kern w:val="0"/>
                <w:sz w:val="15"/>
                <w:szCs w:val="15"/>
              </w:rPr>
            </w:pPr>
            <w:r>
              <w:rPr>
                <w:color w:val="000000"/>
                <w:kern w:val="0"/>
                <w:sz w:val="15"/>
                <w:szCs w:val="15"/>
              </w:rPr>
              <w:t>5</w:t>
            </w:r>
          </w:p>
        </w:tc>
        <w:tc>
          <w:tcPr>
            <w:tcW w:w="836"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07"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1177"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22"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48"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34"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81"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81"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69"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69"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924"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928"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325" w:type="dxa"/>
            <w:tcBorders>
              <w:top w:val="nil"/>
              <w:left w:val="nil"/>
              <w:bottom w:val="single" w:color="auto" w:sz="4" w:space="0"/>
              <w:right w:val="single" w:color="auto" w:sz="4" w:space="0"/>
            </w:tcBorders>
            <w:noWrap w:val="0"/>
            <w:vAlign w:val="bottom"/>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348" w:type="dxa"/>
            <w:tcBorders>
              <w:top w:val="nil"/>
              <w:left w:val="nil"/>
              <w:bottom w:val="single" w:color="auto" w:sz="4" w:space="0"/>
              <w:right w:val="single" w:color="auto" w:sz="4" w:space="0"/>
            </w:tcBorders>
            <w:noWrap w:val="0"/>
            <w:vAlign w:val="bottom"/>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738"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r>
      <w:tr>
        <w:tblPrEx>
          <w:tblCellMar>
            <w:top w:w="0" w:type="dxa"/>
            <w:left w:w="108" w:type="dxa"/>
            <w:bottom w:w="0" w:type="dxa"/>
            <w:right w:w="108" w:type="dxa"/>
          </w:tblCellMar>
        </w:tblPrEx>
        <w:trPr>
          <w:trHeight w:val="312" w:hRule="exact"/>
          <w:jc w:val="center"/>
        </w:trPr>
        <w:tc>
          <w:tcPr>
            <w:tcW w:w="433" w:type="dxa"/>
            <w:tcBorders>
              <w:top w:val="nil"/>
              <w:left w:val="single" w:color="auto" w:sz="4" w:space="0"/>
              <w:bottom w:val="single" w:color="auto" w:sz="4" w:space="0"/>
              <w:right w:val="single" w:color="auto" w:sz="4" w:space="0"/>
            </w:tcBorders>
            <w:noWrap w:val="0"/>
            <w:vAlign w:val="center"/>
          </w:tcPr>
          <w:p>
            <w:pPr>
              <w:spacing w:line="240" w:lineRule="exact"/>
              <w:jc w:val="center"/>
              <w:rPr>
                <w:color w:val="000000"/>
                <w:kern w:val="0"/>
                <w:sz w:val="15"/>
                <w:szCs w:val="15"/>
              </w:rPr>
            </w:pPr>
            <w:r>
              <w:rPr>
                <w:color w:val="000000"/>
                <w:kern w:val="0"/>
                <w:sz w:val="15"/>
                <w:szCs w:val="15"/>
              </w:rPr>
              <w:t>6</w:t>
            </w:r>
          </w:p>
        </w:tc>
        <w:tc>
          <w:tcPr>
            <w:tcW w:w="836"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07"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1177"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22"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48"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34"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81"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81"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69"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69"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924"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928"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325" w:type="dxa"/>
            <w:tcBorders>
              <w:top w:val="nil"/>
              <w:left w:val="nil"/>
              <w:bottom w:val="single" w:color="auto" w:sz="4" w:space="0"/>
              <w:right w:val="single" w:color="auto" w:sz="4" w:space="0"/>
            </w:tcBorders>
            <w:noWrap w:val="0"/>
            <w:vAlign w:val="bottom"/>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348" w:type="dxa"/>
            <w:tcBorders>
              <w:top w:val="nil"/>
              <w:left w:val="nil"/>
              <w:bottom w:val="single" w:color="auto" w:sz="4" w:space="0"/>
              <w:right w:val="single" w:color="auto" w:sz="4" w:space="0"/>
            </w:tcBorders>
            <w:noWrap w:val="0"/>
            <w:vAlign w:val="bottom"/>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738"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r>
      <w:tr>
        <w:tblPrEx>
          <w:tblCellMar>
            <w:top w:w="0" w:type="dxa"/>
            <w:left w:w="108" w:type="dxa"/>
            <w:bottom w:w="0" w:type="dxa"/>
            <w:right w:w="108" w:type="dxa"/>
          </w:tblCellMar>
        </w:tblPrEx>
        <w:trPr>
          <w:trHeight w:val="312" w:hRule="exact"/>
          <w:jc w:val="center"/>
        </w:trPr>
        <w:tc>
          <w:tcPr>
            <w:tcW w:w="433" w:type="dxa"/>
            <w:tcBorders>
              <w:top w:val="nil"/>
              <w:left w:val="single" w:color="auto" w:sz="4" w:space="0"/>
              <w:bottom w:val="single" w:color="auto" w:sz="4" w:space="0"/>
              <w:right w:val="single" w:color="auto" w:sz="4" w:space="0"/>
            </w:tcBorders>
            <w:noWrap w:val="0"/>
            <w:vAlign w:val="center"/>
          </w:tcPr>
          <w:p>
            <w:pPr>
              <w:spacing w:line="240" w:lineRule="exact"/>
              <w:jc w:val="center"/>
              <w:rPr>
                <w:color w:val="000000"/>
                <w:kern w:val="0"/>
                <w:sz w:val="15"/>
                <w:szCs w:val="15"/>
              </w:rPr>
            </w:pPr>
            <w:r>
              <w:rPr>
                <w:color w:val="000000"/>
                <w:kern w:val="0"/>
                <w:sz w:val="15"/>
                <w:szCs w:val="15"/>
              </w:rPr>
              <w:t>7</w:t>
            </w:r>
          </w:p>
        </w:tc>
        <w:tc>
          <w:tcPr>
            <w:tcW w:w="836"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07"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1177"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22"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48"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34"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81"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81"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69"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69"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924"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928"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325" w:type="dxa"/>
            <w:tcBorders>
              <w:top w:val="nil"/>
              <w:left w:val="nil"/>
              <w:bottom w:val="single" w:color="auto" w:sz="4" w:space="0"/>
              <w:right w:val="single" w:color="auto" w:sz="4" w:space="0"/>
            </w:tcBorders>
            <w:noWrap w:val="0"/>
            <w:vAlign w:val="bottom"/>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348" w:type="dxa"/>
            <w:tcBorders>
              <w:top w:val="nil"/>
              <w:left w:val="nil"/>
              <w:bottom w:val="single" w:color="auto" w:sz="4" w:space="0"/>
              <w:right w:val="single" w:color="auto" w:sz="4" w:space="0"/>
            </w:tcBorders>
            <w:noWrap w:val="0"/>
            <w:vAlign w:val="bottom"/>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738"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r>
      <w:tr>
        <w:tblPrEx>
          <w:tblCellMar>
            <w:top w:w="0" w:type="dxa"/>
            <w:left w:w="108" w:type="dxa"/>
            <w:bottom w:w="0" w:type="dxa"/>
            <w:right w:w="108" w:type="dxa"/>
          </w:tblCellMar>
        </w:tblPrEx>
        <w:trPr>
          <w:trHeight w:val="312" w:hRule="exact"/>
          <w:jc w:val="center"/>
        </w:trPr>
        <w:tc>
          <w:tcPr>
            <w:tcW w:w="433" w:type="dxa"/>
            <w:tcBorders>
              <w:top w:val="nil"/>
              <w:left w:val="single" w:color="auto" w:sz="4" w:space="0"/>
              <w:bottom w:val="single" w:color="auto" w:sz="4" w:space="0"/>
              <w:right w:val="single" w:color="auto" w:sz="4" w:space="0"/>
            </w:tcBorders>
            <w:noWrap w:val="0"/>
            <w:vAlign w:val="center"/>
          </w:tcPr>
          <w:p>
            <w:pPr>
              <w:spacing w:line="240" w:lineRule="exact"/>
              <w:jc w:val="center"/>
              <w:rPr>
                <w:color w:val="000000"/>
                <w:kern w:val="0"/>
                <w:sz w:val="15"/>
                <w:szCs w:val="15"/>
              </w:rPr>
            </w:pPr>
            <w:r>
              <w:rPr>
                <w:color w:val="000000"/>
                <w:kern w:val="0"/>
                <w:sz w:val="15"/>
                <w:szCs w:val="15"/>
              </w:rPr>
              <w:t>8</w:t>
            </w:r>
          </w:p>
        </w:tc>
        <w:tc>
          <w:tcPr>
            <w:tcW w:w="836"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07"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1177"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22"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48"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34"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81"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81"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69"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69"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924"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928"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325" w:type="dxa"/>
            <w:tcBorders>
              <w:top w:val="nil"/>
              <w:left w:val="nil"/>
              <w:bottom w:val="single" w:color="auto" w:sz="4" w:space="0"/>
              <w:right w:val="single" w:color="auto" w:sz="4" w:space="0"/>
            </w:tcBorders>
            <w:noWrap w:val="0"/>
            <w:vAlign w:val="bottom"/>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348" w:type="dxa"/>
            <w:tcBorders>
              <w:top w:val="nil"/>
              <w:left w:val="nil"/>
              <w:bottom w:val="single" w:color="auto" w:sz="4" w:space="0"/>
              <w:right w:val="single" w:color="auto" w:sz="4" w:space="0"/>
            </w:tcBorders>
            <w:noWrap w:val="0"/>
            <w:vAlign w:val="bottom"/>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738"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r>
      <w:tr>
        <w:tblPrEx>
          <w:tblCellMar>
            <w:top w:w="0" w:type="dxa"/>
            <w:left w:w="108" w:type="dxa"/>
            <w:bottom w:w="0" w:type="dxa"/>
            <w:right w:w="108" w:type="dxa"/>
          </w:tblCellMar>
        </w:tblPrEx>
        <w:trPr>
          <w:trHeight w:val="312" w:hRule="exact"/>
          <w:jc w:val="center"/>
        </w:trPr>
        <w:tc>
          <w:tcPr>
            <w:tcW w:w="433" w:type="dxa"/>
            <w:tcBorders>
              <w:top w:val="nil"/>
              <w:left w:val="single" w:color="auto" w:sz="4" w:space="0"/>
              <w:bottom w:val="single" w:color="auto" w:sz="4" w:space="0"/>
              <w:right w:val="single" w:color="auto" w:sz="4" w:space="0"/>
            </w:tcBorders>
            <w:noWrap w:val="0"/>
            <w:vAlign w:val="center"/>
          </w:tcPr>
          <w:p>
            <w:pPr>
              <w:spacing w:line="240" w:lineRule="exact"/>
              <w:jc w:val="center"/>
              <w:rPr>
                <w:color w:val="000000"/>
                <w:kern w:val="0"/>
                <w:sz w:val="15"/>
                <w:szCs w:val="15"/>
              </w:rPr>
            </w:pPr>
            <w:r>
              <w:rPr>
                <w:color w:val="000000"/>
                <w:kern w:val="0"/>
                <w:sz w:val="15"/>
                <w:szCs w:val="15"/>
              </w:rPr>
              <w:t>9</w:t>
            </w:r>
          </w:p>
        </w:tc>
        <w:tc>
          <w:tcPr>
            <w:tcW w:w="836"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07"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1177"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22"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48"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34"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81"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81"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69"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69"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924"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928"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325" w:type="dxa"/>
            <w:tcBorders>
              <w:top w:val="nil"/>
              <w:left w:val="nil"/>
              <w:bottom w:val="single" w:color="auto" w:sz="4" w:space="0"/>
              <w:right w:val="single" w:color="auto" w:sz="4" w:space="0"/>
            </w:tcBorders>
            <w:noWrap w:val="0"/>
            <w:vAlign w:val="bottom"/>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348" w:type="dxa"/>
            <w:tcBorders>
              <w:top w:val="nil"/>
              <w:left w:val="nil"/>
              <w:bottom w:val="single" w:color="auto" w:sz="4" w:space="0"/>
              <w:right w:val="single" w:color="auto" w:sz="4" w:space="0"/>
            </w:tcBorders>
            <w:noWrap w:val="0"/>
            <w:vAlign w:val="bottom"/>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738"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r>
      <w:tr>
        <w:tblPrEx>
          <w:tblCellMar>
            <w:top w:w="0" w:type="dxa"/>
            <w:left w:w="108" w:type="dxa"/>
            <w:bottom w:w="0" w:type="dxa"/>
            <w:right w:w="108" w:type="dxa"/>
          </w:tblCellMar>
        </w:tblPrEx>
        <w:trPr>
          <w:trHeight w:val="312" w:hRule="exact"/>
          <w:jc w:val="center"/>
        </w:trPr>
        <w:tc>
          <w:tcPr>
            <w:tcW w:w="433" w:type="dxa"/>
            <w:tcBorders>
              <w:top w:val="nil"/>
              <w:left w:val="single" w:color="auto" w:sz="4" w:space="0"/>
              <w:bottom w:val="single" w:color="auto" w:sz="4" w:space="0"/>
              <w:right w:val="single" w:color="auto" w:sz="4" w:space="0"/>
            </w:tcBorders>
            <w:noWrap w:val="0"/>
            <w:vAlign w:val="center"/>
          </w:tcPr>
          <w:p>
            <w:pPr>
              <w:spacing w:line="240" w:lineRule="exact"/>
              <w:jc w:val="center"/>
              <w:rPr>
                <w:color w:val="000000"/>
                <w:kern w:val="0"/>
                <w:sz w:val="15"/>
                <w:szCs w:val="15"/>
              </w:rPr>
            </w:pPr>
            <w:r>
              <w:rPr>
                <w:color w:val="000000"/>
                <w:kern w:val="0"/>
                <w:sz w:val="15"/>
                <w:szCs w:val="15"/>
              </w:rPr>
              <w:t>10</w:t>
            </w:r>
          </w:p>
        </w:tc>
        <w:tc>
          <w:tcPr>
            <w:tcW w:w="836"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07"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1177"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22"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48"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34"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81"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81"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69"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69"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924"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928"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325" w:type="dxa"/>
            <w:tcBorders>
              <w:top w:val="nil"/>
              <w:left w:val="nil"/>
              <w:bottom w:val="single" w:color="auto" w:sz="4" w:space="0"/>
              <w:right w:val="single" w:color="auto" w:sz="4" w:space="0"/>
            </w:tcBorders>
            <w:noWrap w:val="0"/>
            <w:vAlign w:val="bottom"/>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348" w:type="dxa"/>
            <w:tcBorders>
              <w:top w:val="nil"/>
              <w:left w:val="nil"/>
              <w:bottom w:val="single" w:color="auto" w:sz="4" w:space="0"/>
              <w:right w:val="single" w:color="auto" w:sz="4" w:space="0"/>
            </w:tcBorders>
            <w:noWrap w:val="0"/>
            <w:vAlign w:val="bottom"/>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738"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r>
      <w:tr>
        <w:tblPrEx>
          <w:tblCellMar>
            <w:top w:w="0" w:type="dxa"/>
            <w:left w:w="108" w:type="dxa"/>
            <w:bottom w:w="0" w:type="dxa"/>
            <w:right w:w="108" w:type="dxa"/>
          </w:tblCellMar>
        </w:tblPrEx>
        <w:trPr>
          <w:trHeight w:val="312" w:hRule="exact"/>
          <w:jc w:val="center"/>
        </w:trPr>
        <w:tc>
          <w:tcPr>
            <w:tcW w:w="433" w:type="dxa"/>
            <w:tcBorders>
              <w:top w:val="nil"/>
              <w:left w:val="single" w:color="auto" w:sz="4" w:space="0"/>
              <w:bottom w:val="single" w:color="auto" w:sz="4" w:space="0"/>
              <w:right w:val="single" w:color="auto" w:sz="4" w:space="0"/>
            </w:tcBorders>
            <w:noWrap w:val="0"/>
            <w:vAlign w:val="center"/>
          </w:tcPr>
          <w:p>
            <w:pPr>
              <w:spacing w:line="240" w:lineRule="exact"/>
              <w:jc w:val="center"/>
              <w:rPr>
                <w:color w:val="000000"/>
                <w:kern w:val="0"/>
                <w:sz w:val="15"/>
                <w:szCs w:val="15"/>
              </w:rPr>
            </w:pPr>
            <w:r>
              <w:rPr>
                <w:color w:val="000000"/>
                <w:kern w:val="0"/>
                <w:sz w:val="15"/>
                <w:szCs w:val="15"/>
              </w:rPr>
              <w:t>11</w:t>
            </w:r>
          </w:p>
        </w:tc>
        <w:tc>
          <w:tcPr>
            <w:tcW w:w="836"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07"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1177"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22"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48"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34"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81"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81"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69"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69"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924"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928"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325" w:type="dxa"/>
            <w:tcBorders>
              <w:top w:val="nil"/>
              <w:left w:val="nil"/>
              <w:bottom w:val="single" w:color="auto" w:sz="4" w:space="0"/>
              <w:right w:val="single" w:color="auto" w:sz="4" w:space="0"/>
            </w:tcBorders>
            <w:noWrap w:val="0"/>
            <w:vAlign w:val="bottom"/>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348" w:type="dxa"/>
            <w:tcBorders>
              <w:top w:val="nil"/>
              <w:left w:val="nil"/>
              <w:bottom w:val="single" w:color="auto" w:sz="4" w:space="0"/>
              <w:right w:val="single" w:color="auto" w:sz="4" w:space="0"/>
            </w:tcBorders>
            <w:noWrap w:val="0"/>
            <w:vAlign w:val="bottom"/>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738"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r>
      <w:tr>
        <w:tblPrEx>
          <w:tblCellMar>
            <w:top w:w="0" w:type="dxa"/>
            <w:left w:w="108" w:type="dxa"/>
            <w:bottom w:w="0" w:type="dxa"/>
            <w:right w:w="108" w:type="dxa"/>
          </w:tblCellMar>
        </w:tblPrEx>
        <w:trPr>
          <w:trHeight w:val="312" w:hRule="exact"/>
          <w:jc w:val="center"/>
        </w:trPr>
        <w:tc>
          <w:tcPr>
            <w:tcW w:w="433" w:type="dxa"/>
            <w:tcBorders>
              <w:top w:val="nil"/>
              <w:left w:val="single" w:color="auto" w:sz="4" w:space="0"/>
              <w:bottom w:val="single" w:color="auto" w:sz="4" w:space="0"/>
              <w:right w:val="single" w:color="auto" w:sz="4" w:space="0"/>
            </w:tcBorders>
            <w:noWrap w:val="0"/>
            <w:vAlign w:val="center"/>
          </w:tcPr>
          <w:p>
            <w:pPr>
              <w:spacing w:line="240" w:lineRule="exact"/>
              <w:jc w:val="center"/>
              <w:rPr>
                <w:color w:val="000000"/>
                <w:kern w:val="0"/>
                <w:sz w:val="15"/>
                <w:szCs w:val="15"/>
              </w:rPr>
            </w:pPr>
            <w:r>
              <w:rPr>
                <w:color w:val="000000"/>
                <w:kern w:val="0"/>
                <w:sz w:val="15"/>
                <w:szCs w:val="15"/>
              </w:rPr>
              <w:t>12</w:t>
            </w:r>
          </w:p>
        </w:tc>
        <w:tc>
          <w:tcPr>
            <w:tcW w:w="836"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07"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1177"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22"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48"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34"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81"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81"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69"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69"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924"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928"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325" w:type="dxa"/>
            <w:tcBorders>
              <w:top w:val="nil"/>
              <w:left w:val="nil"/>
              <w:bottom w:val="single" w:color="auto" w:sz="4" w:space="0"/>
              <w:right w:val="single" w:color="auto" w:sz="4" w:space="0"/>
            </w:tcBorders>
            <w:noWrap w:val="0"/>
            <w:vAlign w:val="bottom"/>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348" w:type="dxa"/>
            <w:tcBorders>
              <w:top w:val="nil"/>
              <w:left w:val="nil"/>
              <w:bottom w:val="single" w:color="auto" w:sz="4" w:space="0"/>
              <w:right w:val="single" w:color="auto" w:sz="4" w:space="0"/>
            </w:tcBorders>
            <w:noWrap w:val="0"/>
            <w:vAlign w:val="bottom"/>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738"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r>
      <w:tr>
        <w:tblPrEx>
          <w:tblCellMar>
            <w:top w:w="0" w:type="dxa"/>
            <w:left w:w="108" w:type="dxa"/>
            <w:bottom w:w="0" w:type="dxa"/>
            <w:right w:w="108" w:type="dxa"/>
          </w:tblCellMar>
        </w:tblPrEx>
        <w:trPr>
          <w:trHeight w:val="312" w:hRule="exact"/>
          <w:jc w:val="center"/>
        </w:trPr>
        <w:tc>
          <w:tcPr>
            <w:tcW w:w="433" w:type="dxa"/>
            <w:tcBorders>
              <w:top w:val="nil"/>
              <w:left w:val="single" w:color="auto" w:sz="4" w:space="0"/>
              <w:bottom w:val="single" w:color="auto" w:sz="4" w:space="0"/>
              <w:right w:val="single" w:color="auto" w:sz="4" w:space="0"/>
            </w:tcBorders>
            <w:noWrap w:val="0"/>
            <w:vAlign w:val="center"/>
          </w:tcPr>
          <w:p>
            <w:pPr>
              <w:spacing w:line="240" w:lineRule="exact"/>
              <w:jc w:val="center"/>
              <w:rPr>
                <w:color w:val="000000"/>
                <w:kern w:val="0"/>
                <w:sz w:val="15"/>
                <w:szCs w:val="15"/>
              </w:rPr>
            </w:pPr>
            <w:r>
              <w:rPr>
                <w:color w:val="000000"/>
                <w:kern w:val="0"/>
                <w:sz w:val="15"/>
                <w:szCs w:val="15"/>
              </w:rPr>
              <w:t>13</w:t>
            </w:r>
          </w:p>
        </w:tc>
        <w:tc>
          <w:tcPr>
            <w:tcW w:w="836"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07"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1177"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22"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48"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34"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81"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81"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69"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69"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924"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928"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325" w:type="dxa"/>
            <w:tcBorders>
              <w:top w:val="nil"/>
              <w:left w:val="nil"/>
              <w:bottom w:val="single" w:color="auto" w:sz="4" w:space="0"/>
              <w:right w:val="single" w:color="auto" w:sz="4" w:space="0"/>
            </w:tcBorders>
            <w:noWrap w:val="0"/>
            <w:vAlign w:val="bottom"/>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348" w:type="dxa"/>
            <w:tcBorders>
              <w:top w:val="nil"/>
              <w:left w:val="nil"/>
              <w:bottom w:val="single" w:color="auto" w:sz="4" w:space="0"/>
              <w:right w:val="single" w:color="auto" w:sz="4" w:space="0"/>
            </w:tcBorders>
            <w:noWrap w:val="0"/>
            <w:vAlign w:val="bottom"/>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738"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r>
      <w:tr>
        <w:tblPrEx>
          <w:tblCellMar>
            <w:top w:w="0" w:type="dxa"/>
            <w:left w:w="108" w:type="dxa"/>
            <w:bottom w:w="0" w:type="dxa"/>
            <w:right w:w="108" w:type="dxa"/>
          </w:tblCellMar>
        </w:tblPrEx>
        <w:trPr>
          <w:trHeight w:val="312" w:hRule="exact"/>
          <w:jc w:val="center"/>
        </w:trPr>
        <w:tc>
          <w:tcPr>
            <w:tcW w:w="433" w:type="dxa"/>
            <w:tcBorders>
              <w:top w:val="nil"/>
              <w:left w:val="single" w:color="auto" w:sz="4" w:space="0"/>
              <w:bottom w:val="single" w:color="auto" w:sz="4" w:space="0"/>
              <w:right w:val="single" w:color="auto" w:sz="4" w:space="0"/>
            </w:tcBorders>
            <w:noWrap w:val="0"/>
            <w:vAlign w:val="center"/>
          </w:tcPr>
          <w:p>
            <w:pPr>
              <w:spacing w:line="240" w:lineRule="exact"/>
              <w:jc w:val="center"/>
              <w:rPr>
                <w:color w:val="000000"/>
                <w:kern w:val="0"/>
                <w:sz w:val="15"/>
                <w:szCs w:val="15"/>
              </w:rPr>
            </w:pPr>
            <w:r>
              <w:rPr>
                <w:color w:val="000000"/>
                <w:kern w:val="0"/>
                <w:sz w:val="15"/>
                <w:szCs w:val="15"/>
              </w:rPr>
              <w:t>14</w:t>
            </w:r>
          </w:p>
        </w:tc>
        <w:tc>
          <w:tcPr>
            <w:tcW w:w="836"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07"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1177"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22"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48"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34"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81"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81"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69"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69"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924"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928"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325" w:type="dxa"/>
            <w:tcBorders>
              <w:top w:val="nil"/>
              <w:left w:val="nil"/>
              <w:bottom w:val="single" w:color="auto" w:sz="4" w:space="0"/>
              <w:right w:val="single" w:color="auto" w:sz="4" w:space="0"/>
            </w:tcBorders>
            <w:noWrap w:val="0"/>
            <w:vAlign w:val="bottom"/>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348" w:type="dxa"/>
            <w:tcBorders>
              <w:top w:val="nil"/>
              <w:left w:val="nil"/>
              <w:bottom w:val="single" w:color="auto" w:sz="4" w:space="0"/>
              <w:right w:val="single" w:color="auto" w:sz="4" w:space="0"/>
            </w:tcBorders>
            <w:noWrap w:val="0"/>
            <w:vAlign w:val="bottom"/>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738"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r>
      <w:tr>
        <w:tblPrEx>
          <w:tblCellMar>
            <w:top w:w="0" w:type="dxa"/>
            <w:left w:w="108" w:type="dxa"/>
            <w:bottom w:w="0" w:type="dxa"/>
            <w:right w:w="108" w:type="dxa"/>
          </w:tblCellMar>
        </w:tblPrEx>
        <w:trPr>
          <w:trHeight w:val="312" w:hRule="exact"/>
          <w:jc w:val="center"/>
        </w:trPr>
        <w:tc>
          <w:tcPr>
            <w:tcW w:w="433" w:type="dxa"/>
            <w:tcBorders>
              <w:top w:val="nil"/>
              <w:left w:val="single" w:color="auto" w:sz="4" w:space="0"/>
              <w:bottom w:val="single" w:color="auto" w:sz="4" w:space="0"/>
              <w:right w:val="single" w:color="auto" w:sz="4" w:space="0"/>
            </w:tcBorders>
            <w:noWrap w:val="0"/>
            <w:vAlign w:val="center"/>
          </w:tcPr>
          <w:p>
            <w:pPr>
              <w:spacing w:line="240" w:lineRule="exact"/>
              <w:jc w:val="center"/>
              <w:rPr>
                <w:color w:val="000000"/>
                <w:kern w:val="0"/>
                <w:sz w:val="15"/>
                <w:szCs w:val="15"/>
              </w:rPr>
            </w:pPr>
            <w:r>
              <w:rPr>
                <w:color w:val="000000"/>
                <w:kern w:val="0"/>
                <w:sz w:val="15"/>
                <w:szCs w:val="15"/>
              </w:rPr>
              <w:t>15</w:t>
            </w:r>
          </w:p>
        </w:tc>
        <w:tc>
          <w:tcPr>
            <w:tcW w:w="836"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07"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1177"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22"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48"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34"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81"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81"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69"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69"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924"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928"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325" w:type="dxa"/>
            <w:tcBorders>
              <w:top w:val="nil"/>
              <w:left w:val="nil"/>
              <w:bottom w:val="single" w:color="auto" w:sz="4" w:space="0"/>
              <w:right w:val="single" w:color="auto" w:sz="4" w:space="0"/>
            </w:tcBorders>
            <w:noWrap w:val="0"/>
            <w:vAlign w:val="bottom"/>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348" w:type="dxa"/>
            <w:tcBorders>
              <w:top w:val="nil"/>
              <w:left w:val="nil"/>
              <w:bottom w:val="single" w:color="auto" w:sz="4" w:space="0"/>
              <w:right w:val="single" w:color="auto" w:sz="4" w:space="0"/>
            </w:tcBorders>
            <w:noWrap w:val="0"/>
            <w:vAlign w:val="bottom"/>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738"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r>
      <w:tr>
        <w:tblPrEx>
          <w:tblCellMar>
            <w:top w:w="0" w:type="dxa"/>
            <w:left w:w="108" w:type="dxa"/>
            <w:bottom w:w="0" w:type="dxa"/>
            <w:right w:w="108" w:type="dxa"/>
          </w:tblCellMar>
        </w:tblPrEx>
        <w:trPr>
          <w:trHeight w:val="312" w:hRule="exact"/>
          <w:jc w:val="center"/>
        </w:trPr>
        <w:tc>
          <w:tcPr>
            <w:tcW w:w="433" w:type="dxa"/>
            <w:tcBorders>
              <w:top w:val="nil"/>
              <w:left w:val="single" w:color="auto" w:sz="4" w:space="0"/>
              <w:bottom w:val="single" w:color="auto" w:sz="4" w:space="0"/>
              <w:right w:val="single" w:color="auto" w:sz="4" w:space="0"/>
            </w:tcBorders>
            <w:noWrap w:val="0"/>
            <w:vAlign w:val="center"/>
          </w:tcPr>
          <w:p>
            <w:pPr>
              <w:spacing w:line="240" w:lineRule="exact"/>
              <w:jc w:val="center"/>
              <w:rPr>
                <w:color w:val="000000"/>
                <w:kern w:val="0"/>
                <w:sz w:val="15"/>
                <w:szCs w:val="15"/>
              </w:rPr>
            </w:pPr>
            <w:r>
              <w:rPr>
                <w:color w:val="000000"/>
                <w:kern w:val="0"/>
                <w:sz w:val="15"/>
                <w:szCs w:val="15"/>
              </w:rPr>
              <w:t>16</w:t>
            </w:r>
          </w:p>
        </w:tc>
        <w:tc>
          <w:tcPr>
            <w:tcW w:w="836"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07"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1177"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22"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48"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34"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81"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81"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69"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69"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924"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928"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325" w:type="dxa"/>
            <w:tcBorders>
              <w:top w:val="nil"/>
              <w:left w:val="nil"/>
              <w:bottom w:val="single" w:color="auto" w:sz="4" w:space="0"/>
              <w:right w:val="single" w:color="auto" w:sz="4" w:space="0"/>
            </w:tcBorders>
            <w:noWrap w:val="0"/>
            <w:vAlign w:val="bottom"/>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348" w:type="dxa"/>
            <w:tcBorders>
              <w:top w:val="nil"/>
              <w:left w:val="nil"/>
              <w:bottom w:val="single" w:color="auto" w:sz="4" w:space="0"/>
              <w:right w:val="single" w:color="auto" w:sz="4" w:space="0"/>
            </w:tcBorders>
            <w:noWrap w:val="0"/>
            <w:vAlign w:val="bottom"/>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738"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r>
      <w:tr>
        <w:tblPrEx>
          <w:tblCellMar>
            <w:top w:w="0" w:type="dxa"/>
            <w:left w:w="108" w:type="dxa"/>
            <w:bottom w:w="0" w:type="dxa"/>
            <w:right w:w="108" w:type="dxa"/>
          </w:tblCellMar>
        </w:tblPrEx>
        <w:trPr>
          <w:trHeight w:val="312" w:hRule="exact"/>
          <w:jc w:val="center"/>
        </w:trPr>
        <w:tc>
          <w:tcPr>
            <w:tcW w:w="433" w:type="dxa"/>
            <w:tcBorders>
              <w:top w:val="nil"/>
              <w:left w:val="single" w:color="auto" w:sz="4" w:space="0"/>
              <w:bottom w:val="single" w:color="auto" w:sz="4" w:space="0"/>
              <w:right w:val="single" w:color="auto" w:sz="4" w:space="0"/>
            </w:tcBorders>
            <w:noWrap w:val="0"/>
            <w:vAlign w:val="center"/>
          </w:tcPr>
          <w:p>
            <w:pPr>
              <w:spacing w:line="240" w:lineRule="exact"/>
              <w:jc w:val="center"/>
              <w:rPr>
                <w:color w:val="000000"/>
                <w:kern w:val="0"/>
                <w:sz w:val="15"/>
                <w:szCs w:val="15"/>
              </w:rPr>
            </w:pPr>
            <w:r>
              <w:rPr>
                <w:color w:val="000000"/>
                <w:kern w:val="0"/>
                <w:sz w:val="15"/>
                <w:szCs w:val="15"/>
              </w:rPr>
              <w:t>17</w:t>
            </w:r>
          </w:p>
        </w:tc>
        <w:tc>
          <w:tcPr>
            <w:tcW w:w="836"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07"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1177"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22"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48"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34"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81"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81"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69"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69"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924"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928"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325" w:type="dxa"/>
            <w:tcBorders>
              <w:top w:val="nil"/>
              <w:left w:val="nil"/>
              <w:bottom w:val="single" w:color="auto" w:sz="4" w:space="0"/>
              <w:right w:val="single" w:color="auto" w:sz="4" w:space="0"/>
            </w:tcBorders>
            <w:noWrap w:val="0"/>
            <w:vAlign w:val="bottom"/>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348" w:type="dxa"/>
            <w:tcBorders>
              <w:top w:val="nil"/>
              <w:left w:val="nil"/>
              <w:bottom w:val="single" w:color="auto" w:sz="4" w:space="0"/>
              <w:right w:val="single" w:color="auto" w:sz="4" w:space="0"/>
            </w:tcBorders>
            <w:noWrap w:val="0"/>
            <w:vAlign w:val="bottom"/>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738"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r>
      <w:tr>
        <w:tblPrEx>
          <w:tblCellMar>
            <w:top w:w="0" w:type="dxa"/>
            <w:left w:w="108" w:type="dxa"/>
            <w:bottom w:w="0" w:type="dxa"/>
            <w:right w:w="108" w:type="dxa"/>
          </w:tblCellMar>
        </w:tblPrEx>
        <w:trPr>
          <w:trHeight w:val="312" w:hRule="exact"/>
          <w:jc w:val="center"/>
        </w:trPr>
        <w:tc>
          <w:tcPr>
            <w:tcW w:w="433" w:type="dxa"/>
            <w:tcBorders>
              <w:top w:val="nil"/>
              <w:left w:val="single" w:color="auto" w:sz="4" w:space="0"/>
              <w:bottom w:val="single" w:color="auto" w:sz="4" w:space="0"/>
              <w:right w:val="single" w:color="auto" w:sz="4" w:space="0"/>
            </w:tcBorders>
            <w:noWrap w:val="0"/>
            <w:vAlign w:val="center"/>
          </w:tcPr>
          <w:p>
            <w:pPr>
              <w:spacing w:line="240" w:lineRule="exact"/>
              <w:jc w:val="center"/>
              <w:rPr>
                <w:color w:val="000000"/>
                <w:kern w:val="0"/>
                <w:sz w:val="15"/>
                <w:szCs w:val="15"/>
              </w:rPr>
            </w:pPr>
            <w:r>
              <w:rPr>
                <w:color w:val="000000"/>
                <w:kern w:val="0"/>
                <w:sz w:val="15"/>
                <w:szCs w:val="15"/>
              </w:rPr>
              <w:t>18</w:t>
            </w:r>
          </w:p>
        </w:tc>
        <w:tc>
          <w:tcPr>
            <w:tcW w:w="836"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07"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1177"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22"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48"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34"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81"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81"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69"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69"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924"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928"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325" w:type="dxa"/>
            <w:tcBorders>
              <w:top w:val="nil"/>
              <w:left w:val="nil"/>
              <w:bottom w:val="single" w:color="auto" w:sz="4" w:space="0"/>
              <w:right w:val="single" w:color="auto" w:sz="4" w:space="0"/>
            </w:tcBorders>
            <w:noWrap w:val="0"/>
            <w:vAlign w:val="bottom"/>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348" w:type="dxa"/>
            <w:tcBorders>
              <w:top w:val="nil"/>
              <w:left w:val="nil"/>
              <w:bottom w:val="single" w:color="auto" w:sz="4" w:space="0"/>
              <w:right w:val="single" w:color="auto" w:sz="4" w:space="0"/>
            </w:tcBorders>
            <w:noWrap w:val="0"/>
            <w:vAlign w:val="bottom"/>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738"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r>
      <w:tr>
        <w:tblPrEx>
          <w:tblCellMar>
            <w:top w:w="0" w:type="dxa"/>
            <w:left w:w="108" w:type="dxa"/>
            <w:bottom w:w="0" w:type="dxa"/>
            <w:right w:w="108" w:type="dxa"/>
          </w:tblCellMar>
        </w:tblPrEx>
        <w:trPr>
          <w:trHeight w:val="312" w:hRule="exact"/>
          <w:jc w:val="center"/>
        </w:trPr>
        <w:tc>
          <w:tcPr>
            <w:tcW w:w="433" w:type="dxa"/>
            <w:tcBorders>
              <w:top w:val="nil"/>
              <w:left w:val="single" w:color="auto" w:sz="4" w:space="0"/>
              <w:bottom w:val="single" w:color="auto" w:sz="4" w:space="0"/>
              <w:right w:val="single" w:color="auto" w:sz="4" w:space="0"/>
            </w:tcBorders>
            <w:noWrap w:val="0"/>
            <w:vAlign w:val="center"/>
          </w:tcPr>
          <w:p>
            <w:pPr>
              <w:spacing w:line="240" w:lineRule="exact"/>
              <w:jc w:val="center"/>
              <w:rPr>
                <w:color w:val="000000"/>
                <w:kern w:val="0"/>
                <w:sz w:val="15"/>
                <w:szCs w:val="15"/>
              </w:rPr>
            </w:pPr>
            <w:r>
              <w:rPr>
                <w:color w:val="000000"/>
                <w:kern w:val="0"/>
                <w:sz w:val="15"/>
                <w:szCs w:val="15"/>
              </w:rPr>
              <w:t>19</w:t>
            </w:r>
          </w:p>
        </w:tc>
        <w:tc>
          <w:tcPr>
            <w:tcW w:w="836"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07"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1177"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22"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48"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34"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81"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81"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69"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69"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924"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928"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325" w:type="dxa"/>
            <w:tcBorders>
              <w:top w:val="nil"/>
              <w:left w:val="nil"/>
              <w:bottom w:val="single" w:color="auto" w:sz="4" w:space="0"/>
              <w:right w:val="single" w:color="auto" w:sz="4" w:space="0"/>
            </w:tcBorders>
            <w:noWrap w:val="0"/>
            <w:vAlign w:val="bottom"/>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348" w:type="dxa"/>
            <w:tcBorders>
              <w:top w:val="nil"/>
              <w:left w:val="nil"/>
              <w:bottom w:val="single" w:color="auto" w:sz="4" w:space="0"/>
              <w:right w:val="single" w:color="auto" w:sz="4" w:space="0"/>
            </w:tcBorders>
            <w:noWrap w:val="0"/>
            <w:vAlign w:val="bottom"/>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738"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r>
      <w:tr>
        <w:tblPrEx>
          <w:tblCellMar>
            <w:top w:w="0" w:type="dxa"/>
            <w:left w:w="108" w:type="dxa"/>
            <w:bottom w:w="0" w:type="dxa"/>
            <w:right w:w="108" w:type="dxa"/>
          </w:tblCellMar>
        </w:tblPrEx>
        <w:trPr>
          <w:trHeight w:val="312" w:hRule="exact"/>
          <w:jc w:val="center"/>
        </w:trPr>
        <w:tc>
          <w:tcPr>
            <w:tcW w:w="433" w:type="dxa"/>
            <w:tcBorders>
              <w:top w:val="nil"/>
              <w:left w:val="single" w:color="auto" w:sz="4" w:space="0"/>
              <w:bottom w:val="single" w:color="auto" w:sz="4" w:space="0"/>
              <w:right w:val="single" w:color="auto" w:sz="4" w:space="0"/>
            </w:tcBorders>
            <w:noWrap w:val="0"/>
            <w:vAlign w:val="center"/>
          </w:tcPr>
          <w:p>
            <w:pPr>
              <w:spacing w:line="240" w:lineRule="exact"/>
              <w:jc w:val="center"/>
              <w:rPr>
                <w:color w:val="000000"/>
                <w:kern w:val="0"/>
                <w:sz w:val="15"/>
                <w:szCs w:val="15"/>
              </w:rPr>
            </w:pPr>
            <w:r>
              <w:rPr>
                <w:color w:val="000000"/>
                <w:kern w:val="0"/>
                <w:sz w:val="15"/>
                <w:szCs w:val="15"/>
              </w:rPr>
              <w:t>20</w:t>
            </w:r>
          </w:p>
        </w:tc>
        <w:tc>
          <w:tcPr>
            <w:tcW w:w="836"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07"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1177"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22"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48" w:type="dxa"/>
            <w:tcBorders>
              <w:top w:val="nil"/>
              <w:left w:val="nil"/>
              <w:bottom w:val="single" w:color="auto" w:sz="4" w:space="0"/>
              <w:right w:val="single" w:color="auto" w:sz="4" w:space="0"/>
            </w:tcBorders>
            <w:noWrap w:val="0"/>
            <w:vAlign w:val="center"/>
          </w:tcPr>
          <w:p>
            <w:pPr>
              <w:spacing w:line="240" w:lineRule="exact"/>
              <w:jc w:val="center"/>
              <w:rPr>
                <w:color w:val="000000"/>
                <w:kern w:val="0"/>
                <w:sz w:val="15"/>
                <w:szCs w:val="15"/>
              </w:rPr>
            </w:pPr>
            <w:r>
              <w:rPr>
                <w:rFonts w:hint="eastAsia"/>
                <w:color w:val="000000"/>
                <w:kern w:val="0"/>
                <w:sz w:val="15"/>
                <w:szCs w:val="15"/>
              </w:rPr>
              <w:t>　</w:t>
            </w:r>
          </w:p>
        </w:tc>
        <w:tc>
          <w:tcPr>
            <w:tcW w:w="734"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81"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81"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69"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469"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924"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928"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325" w:type="dxa"/>
            <w:tcBorders>
              <w:top w:val="nil"/>
              <w:left w:val="nil"/>
              <w:bottom w:val="single" w:color="auto" w:sz="4" w:space="0"/>
              <w:right w:val="single" w:color="auto" w:sz="4" w:space="0"/>
            </w:tcBorders>
            <w:noWrap w:val="0"/>
            <w:vAlign w:val="bottom"/>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348" w:type="dxa"/>
            <w:tcBorders>
              <w:top w:val="nil"/>
              <w:left w:val="nil"/>
              <w:bottom w:val="single" w:color="auto" w:sz="4" w:space="0"/>
              <w:right w:val="single" w:color="auto" w:sz="4" w:space="0"/>
            </w:tcBorders>
            <w:noWrap w:val="0"/>
            <w:vAlign w:val="bottom"/>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c>
          <w:tcPr>
            <w:tcW w:w="1738" w:type="dxa"/>
            <w:tcBorders>
              <w:top w:val="nil"/>
              <w:left w:val="nil"/>
              <w:bottom w:val="single" w:color="auto" w:sz="4" w:space="0"/>
              <w:right w:val="single" w:color="auto" w:sz="4" w:space="0"/>
            </w:tcBorders>
            <w:noWrap w:val="0"/>
            <w:vAlign w:val="center"/>
          </w:tcPr>
          <w:p>
            <w:pPr>
              <w:spacing w:line="240" w:lineRule="exact"/>
              <w:jc w:val="center"/>
              <w:rPr>
                <w:rFonts w:eastAsia="仿宋_GB2312"/>
                <w:color w:val="000000"/>
                <w:kern w:val="0"/>
                <w:sz w:val="15"/>
                <w:szCs w:val="15"/>
              </w:rPr>
            </w:pPr>
            <w:r>
              <w:rPr>
                <w:rFonts w:hint="eastAsia" w:eastAsia="仿宋_GB2312"/>
                <w:color w:val="000000"/>
                <w:kern w:val="0"/>
                <w:sz w:val="15"/>
                <w:szCs w:val="15"/>
              </w:rPr>
              <w:t>　</w:t>
            </w:r>
          </w:p>
        </w:tc>
      </w:tr>
    </w:tbl>
    <w:p>
      <w:pPr>
        <w:spacing w:line="240" w:lineRule="exact"/>
        <w:rPr>
          <w:rFonts w:eastAsia="仿宋_GB2312"/>
          <w:color w:val="000000"/>
          <w:spacing w:val="20"/>
          <w:kern w:val="0"/>
          <w:sz w:val="18"/>
          <w:szCs w:val="18"/>
        </w:rPr>
      </w:pPr>
      <w:r>
        <w:rPr>
          <w:rFonts w:hint="eastAsia" w:eastAsia="仿宋_GB2312"/>
          <w:color w:val="000000"/>
          <w:spacing w:val="20"/>
          <w:kern w:val="0"/>
          <w:sz w:val="18"/>
          <w:szCs w:val="18"/>
        </w:rPr>
        <w:t>注：本表格请各机构填写除最后三列以外的内容。</w:t>
      </w:r>
    </w:p>
    <w:p>
      <w:pPr>
        <w:widowControl/>
        <w:jc w:val="left"/>
        <w:rPr>
          <w:rFonts w:eastAsia="仿宋_GB2312"/>
          <w:color w:val="000000"/>
          <w:spacing w:val="20"/>
          <w:kern w:val="0"/>
          <w:sz w:val="18"/>
          <w:szCs w:val="18"/>
        </w:rPr>
        <w:sectPr>
          <w:pgSz w:w="16838" w:h="11905" w:orient="landscape"/>
          <w:pgMar w:top="1587" w:right="1701" w:bottom="1587" w:left="1701" w:header="850" w:footer="1361" w:gutter="0"/>
          <w:paperSrc w:first="4" w:other="4"/>
          <w:cols w:space="720" w:num="1"/>
        </w:sectPr>
      </w:pPr>
    </w:p>
    <w:p>
      <w:pPr>
        <w:spacing w:before="156" w:line="240" w:lineRule="atLeast"/>
        <w:jc w:val="left"/>
        <w:rPr>
          <w:rFonts w:eastAsia="黑体"/>
          <w:color w:val="000000"/>
          <w:sz w:val="28"/>
          <w:szCs w:val="28"/>
        </w:rPr>
      </w:pPr>
      <w:r>
        <w:rPr>
          <w:rFonts w:hint="eastAsia" w:eastAsia="黑体"/>
          <w:color w:val="000000"/>
          <w:sz w:val="28"/>
          <w:szCs w:val="28"/>
        </w:rPr>
        <w:t>附件</w:t>
      </w:r>
      <w:r>
        <w:rPr>
          <w:rFonts w:eastAsia="黑体"/>
          <w:color w:val="000000"/>
          <w:sz w:val="28"/>
          <w:szCs w:val="28"/>
        </w:rPr>
        <w:t>4</w:t>
      </w:r>
      <w:r>
        <w:rPr>
          <w:rFonts w:hint="eastAsia" w:eastAsia="黑体"/>
          <w:color w:val="000000"/>
          <w:sz w:val="28"/>
          <w:szCs w:val="28"/>
        </w:rPr>
        <w:t>：</w:t>
      </w:r>
    </w:p>
    <w:p>
      <w:pPr>
        <w:spacing w:before="156" w:line="240" w:lineRule="atLeast"/>
        <w:jc w:val="center"/>
        <w:rPr>
          <w:b/>
          <w:color w:val="000000"/>
          <w:sz w:val="44"/>
        </w:rPr>
      </w:pPr>
    </w:p>
    <w:p>
      <w:pPr>
        <w:spacing w:before="156" w:line="240" w:lineRule="atLeast"/>
        <w:jc w:val="center"/>
        <w:rPr>
          <w:b/>
          <w:color w:val="000000"/>
          <w:sz w:val="44"/>
        </w:rPr>
      </w:pPr>
      <w:r>
        <w:rPr>
          <w:rFonts w:hint="eastAsia"/>
          <w:b/>
          <w:color w:val="000000"/>
          <w:sz w:val="44"/>
        </w:rPr>
        <w:t>施工图设计文件审查人员认定申请表</w:t>
      </w:r>
    </w:p>
    <w:p>
      <w:pPr>
        <w:spacing w:line="240" w:lineRule="atLeast"/>
        <w:jc w:val="center"/>
        <w:rPr>
          <w:rFonts w:eastAsia="黑体"/>
          <w:b/>
          <w:color w:val="000000"/>
          <w:sz w:val="32"/>
        </w:rPr>
      </w:pPr>
    </w:p>
    <w:p>
      <w:pPr>
        <w:spacing w:line="240" w:lineRule="atLeast"/>
        <w:rPr>
          <w:rFonts w:eastAsia="黑体"/>
          <w:b/>
          <w:color w:val="000000"/>
          <w:sz w:val="32"/>
        </w:rPr>
      </w:pPr>
    </w:p>
    <w:p>
      <w:pPr>
        <w:spacing w:line="240" w:lineRule="atLeast"/>
        <w:jc w:val="center"/>
        <w:rPr>
          <w:rFonts w:eastAsia="黑体"/>
          <w:b/>
          <w:color w:val="000000"/>
          <w:sz w:val="32"/>
        </w:rPr>
      </w:pPr>
    </w:p>
    <w:p>
      <w:pPr>
        <w:spacing w:before="312" w:line="240" w:lineRule="atLeast"/>
        <w:ind w:firstLine="1792" w:firstLineChars="560"/>
        <w:jc w:val="left"/>
        <w:rPr>
          <w:color w:val="000000"/>
          <w:sz w:val="32"/>
        </w:rPr>
      </w:pPr>
      <w:r>
        <w:rPr>
          <w:rFonts w:hint="eastAsia"/>
          <w:color w:val="000000"/>
          <w:sz w:val="32"/>
        </w:rPr>
        <w:t>所在机构：</w:t>
      </w:r>
      <w:r>
        <w:rPr>
          <w:color w:val="000000"/>
          <w:sz w:val="32"/>
        </w:rPr>
        <w:t>__________________________</w:t>
      </w:r>
    </w:p>
    <w:p>
      <w:pPr>
        <w:spacing w:before="312" w:line="240" w:lineRule="atLeast"/>
        <w:ind w:firstLine="1792" w:firstLineChars="560"/>
        <w:jc w:val="left"/>
        <w:rPr>
          <w:color w:val="000000"/>
          <w:sz w:val="32"/>
        </w:rPr>
      </w:pPr>
      <w:r>
        <w:rPr>
          <w:rFonts w:hint="eastAsia"/>
          <w:color w:val="000000"/>
          <w:sz w:val="32"/>
        </w:rPr>
        <w:t>姓</w:t>
      </w:r>
      <w:r>
        <w:rPr>
          <w:color w:val="000000"/>
          <w:sz w:val="32"/>
        </w:rPr>
        <w:t xml:space="preserve">    </w:t>
      </w:r>
      <w:r>
        <w:rPr>
          <w:rFonts w:hint="eastAsia"/>
          <w:color w:val="000000"/>
          <w:sz w:val="32"/>
        </w:rPr>
        <w:t>名：</w:t>
      </w:r>
      <w:r>
        <w:rPr>
          <w:color w:val="000000"/>
          <w:sz w:val="32"/>
        </w:rPr>
        <w:t>______________</w:t>
      </w:r>
    </w:p>
    <w:p>
      <w:pPr>
        <w:spacing w:before="312" w:line="240" w:lineRule="atLeast"/>
        <w:ind w:firstLine="1792" w:firstLineChars="560"/>
        <w:jc w:val="left"/>
        <w:rPr>
          <w:color w:val="000000"/>
          <w:sz w:val="32"/>
        </w:rPr>
      </w:pPr>
      <w:r>
        <w:rPr>
          <w:rFonts w:hint="eastAsia"/>
          <w:color w:val="000000"/>
          <w:sz w:val="32"/>
        </w:rPr>
        <w:t>审查专业：</w:t>
      </w:r>
      <w:r>
        <w:rPr>
          <w:color w:val="000000"/>
          <w:sz w:val="32"/>
        </w:rPr>
        <w:t>______________</w:t>
      </w:r>
    </w:p>
    <w:p>
      <w:pPr>
        <w:spacing w:before="312" w:line="240" w:lineRule="atLeast"/>
        <w:ind w:firstLine="1792" w:firstLineChars="560"/>
        <w:jc w:val="left"/>
        <w:rPr>
          <w:color w:val="000000"/>
          <w:sz w:val="32"/>
        </w:rPr>
      </w:pPr>
      <w:r>
        <w:rPr>
          <w:rFonts w:hint="eastAsia"/>
          <w:color w:val="000000"/>
          <w:sz w:val="32"/>
        </w:rPr>
        <w:t>申请级别：</w:t>
      </w:r>
      <w:r>
        <w:rPr>
          <w:color w:val="000000"/>
          <w:sz w:val="32"/>
        </w:rPr>
        <w:t>______________</w:t>
      </w:r>
    </w:p>
    <w:p>
      <w:pPr>
        <w:spacing w:before="312" w:line="240" w:lineRule="atLeast"/>
        <w:ind w:firstLine="1792" w:firstLineChars="560"/>
        <w:jc w:val="left"/>
        <w:rPr>
          <w:b/>
          <w:color w:val="000000"/>
          <w:sz w:val="32"/>
        </w:rPr>
      </w:pPr>
      <w:r>
        <w:rPr>
          <w:rFonts w:hint="eastAsia"/>
          <w:color w:val="000000"/>
          <w:sz w:val="32"/>
        </w:rPr>
        <w:t>填报日期：</w:t>
      </w:r>
      <w:r>
        <w:rPr>
          <w:color w:val="000000"/>
          <w:sz w:val="32"/>
        </w:rPr>
        <w:t>______________</w:t>
      </w:r>
    </w:p>
    <w:p>
      <w:pPr>
        <w:spacing w:line="240" w:lineRule="atLeast"/>
        <w:jc w:val="center"/>
        <w:rPr>
          <w:b/>
          <w:color w:val="000000"/>
          <w:sz w:val="32"/>
        </w:rPr>
      </w:pPr>
    </w:p>
    <w:p>
      <w:pPr>
        <w:spacing w:line="240" w:lineRule="atLeast"/>
        <w:jc w:val="center"/>
        <w:rPr>
          <w:b/>
          <w:color w:val="000000"/>
          <w:sz w:val="32"/>
        </w:rPr>
      </w:pPr>
    </w:p>
    <w:p>
      <w:pPr>
        <w:spacing w:line="240" w:lineRule="atLeast"/>
        <w:jc w:val="center"/>
        <w:rPr>
          <w:b/>
          <w:color w:val="000000"/>
          <w:sz w:val="32"/>
        </w:rPr>
      </w:pPr>
    </w:p>
    <w:p>
      <w:pPr>
        <w:spacing w:line="240" w:lineRule="atLeast"/>
        <w:rPr>
          <w:b/>
          <w:color w:val="000000"/>
          <w:sz w:val="32"/>
        </w:rPr>
      </w:pPr>
    </w:p>
    <w:p>
      <w:pPr>
        <w:spacing w:line="240" w:lineRule="atLeast"/>
        <w:jc w:val="center"/>
        <w:rPr>
          <w:bCs/>
          <w:color w:val="000000"/>
          <w:spacing w:val="30"/>
          <w:sz w:val="32"/>
        </w:rPr>
      </w:pPr>
      <w:r>
        <w:rPr>
          <w:rFonts w:hint="eastAsia"/>
          <w:bCs/>
          <w:color w:val="000000"/>
          <w:spacing w:val="30"/>
          <w:sz w:val="32"/>
        </w:rPr>
        <w:t>江苏省住房和城乡建设厅制</w:t>
      </w:r>
    </w:p>
    <w:p>
      <w:pPr>
        <w:spacing w:line="240" w:lineRule="atLeast"/>
        <w:rPr>
          <w:rFonts w:eastAsia="黑体"/>
          <w:b/>
          <w:color w:val="000000"/>
          <w:sz w:val="32"/>
        </w:rPr>
      </w:pPr>
    </w:p>
    <w:p>
      <w:pPr>
        <w:spacing w:after="240" w:line="240" w:lineRule="atLeast"/>
        <w:jc w:val="center"/>
        <w:rPr>
          <w:rFonts w:eastAsia="黑体"/>
          <w:b/>
          <w:color w:val="000000"/>
          <w:sz w:val="32"/>
        </w:rPr>
      </w:pPr>
    </w:p>
    <w:p>
      <w:pPr>
        <w:spacing w:after="240" w:line="240" w:lineRule="atLeast"/>
        <w:jc w:val="center"/>
        <w:rPr>
          <w:b/>
          <w:color w:val="000000"/>
          <w:sz w:val="32"/>
        </w:rPr>
      </w:pPr>
      <w:r>
        <w:rPr>
          <w:rFonts w:hint="eastAsia"/>
          <w:b/>
          <w:color w:val="000000"/>
          <w:sz w:val="32"/>
        </w:rPr>
        <w:t>一、基本情况</w:t>
      </w:r>
      <w:r>
        <w:rPr>
          <w:b/>
          <w:color w:val="000000"/>
          <w:sz w:val="32"/>
        </w:rPr>
        <w:t xml:space="preserve"> </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
        <w:gridCol w:w="1599"/>
        <w:gridCol w:w="79"/>
        <w:gridCol w:w="1260"/>
        <w:gridCol w:w="285"/>
        <w:gridCol w:w="420"/>
        <w:gridCol w:w="765"/>
        <w:gridCol w:w="195"/>
        <w:gridCol w:w="165"/>
        <w:gridCol w:w="315"/>
        <w:gridCol w:w="480"/>
        <w:gridCol w:w="210"/>
        <w:gridCol w:w="30"/>
        <w:gridCol w:w="180"/>
        <w:gridCol w:w="330"/>
        <w:gridCol w:w="210"/>
        <w:gridCol w:w="90"/>
        <w:gridCol w:w="630"/>
        <w:gridCol w:w="105"/>
        <w:gridCol w:w="135"/>
        <w:gridCol w:w="375"/>
        <w:gridCol w:w="105"/>
        <w:gridCol w:w="480"/>
        <w:gridCol w:w="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422"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r>
              <w:rPr>
                <w:rFonts w:hint="eastAsia" w:eastAsia="楷体_GB2312"/>
                <w:color w:val="000000"/>
                <w:szCs w:val="21"/>
              </w:rPr>
              <w:t>姓</w:t>
            </w:r>
          </w:p>
          <w:p>
            <w:pPr>
              <w:spacing w:line="240" w:lineRule="exact"/>
              <w:jc w:val="center"/>
              <w:rPr>
                <w:rFonts w:eastAsia="楷体_GB2312"/>
                <w:color w:val="000000"/>
                <w:szCs w:val="21"/>
              </w:rPr>
            </w:pPr>
            <w:r>
              <w:rPr>
                <w:rFonts w:hint="eastAsia" w:eastAsia="楷体_GB2312"/>
                <w:color w:val="000000"/>
                <w:szCs w:val="21"/>
              </w:rPr>
              <w:t>名</w:t>
            </w:r>
          </w:p>
        </w:tc>
        <w:tc>
          <w:tcPr>
            <w:tcW w:w="1678"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r>
              <w:rPr>
                <w:rFonts w:hint="eastAsia" w:eastAsia="楷体_GB2312"/>
                <w:color w:val="000000"/>
                <w:szCs w:val="21"/>
              </w:rPr>
              <w:t>姓</w:t>
            </w:r>
            <w:r>
              <w:rPr>
                <w:rFonts w:eastAsia="楷体_GB2312"/>
                <w:color w:val="000000"/>
                <w:szCs w:val="21"/>
              </w:rPr>
              <w:t xml:space="preserve">  </w:t>
            </w:r>
            <w:r>
              <w:rPr>
                <w:rFonts w:hint="eastAsia" w:eastAsia="楷体_GB2312"/>
                <w:color w:val="000000"/>
                <w:szCs w:val="21"/>
              </w:rPr>
              <w:t>名</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p>
        </w:tc>
        <w:tc>
          <w:tcPr>
            <w:tcW w:w="1470"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r>
              <w:rPr>
                <w:rFonts w:hint="eastAsia" w:eastAsia="楷体_GB2312"/>
                <w:color w:val="000000"/>
                <w:szCs w:val="21"/>
              </w:rPr>
              <w:t>出生年月</w:t>
            </w:r>
          </w:p>
        </w:tc>
        <w:tc>
          <w:tcPr>
            <w:tcW w:w="1365" w:type="dxa"/>
            <w:gridSpan w:val="5"/>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p>
        </w:tc>
        <w:tc>
          <w:tcPr>
            <w:tcW w:w="840" w:type="dxa"/>
            <w:gridSpan w:val="5"/>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r>
              <w:rPr>
                <w:rFonts w:hint="eastAsia" w:eastAsia="楷体_GB2312"/>
                <w:color w:val="000000"/>
                <w:szCs w:val="21"/>
              </w:rPr>
              <w:t>性别</w:t>
            </w:r>
          </w:p>
        </w:tc>
        <w:tc>
          <w:tcPr>
            <w:tcW w:w="735"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p>
        </w:tc>
        <w:tc>
          <w:tcPr>
            <w:tcW w:w="1818" w:type="dxa"/>
            <w:gridSpan w:val="5"/>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r>
              <w:rPr>
                <w:rFonts w:hint="eastAsia" w:eastAsia="楷体_GB2312"/>
                <w:color w:val="000000"/>
                <w:szCs w:val="21"/>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楷体_GB2312"/>
                <w:color w:val="000000"/>
                <w:szCs w:val="21"/>
              </w:rPr>
            </w:pPr>
          </w:p>
        </w:tc>
        <w:tc>
          <w:tcPr>
            <w:tcW w:w="1678"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r>
              <w:rPr>
                <w:rFonts w:hint="eastAsia" w:eastAsia="楷体_GB2312"/>
                <w:color w:val="000000"/>
                <w:szCs w:val="21"/>
              </w:rPr>
              <w:t>曾用名</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p>
        </w:tc>
        <w:tc>
          <w:tcPr>
            <w:tcW w:w="1470"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r>
              <w:rPr>
                <w:rFonts w:hint="eastAsia" w:eastAsia="楷体_GB2312"/>
                <w:color w:val="000000"/>
                <w:szCs w:val="21"/>
              </w:rPr>
              <w:t>身份证号</w:t>
            </w:r>
          </w:p>
        </w:tc>
        <w:tc>
          <w:tcPr>
            <w:tcW w:w="2940" w:type="dxa"/>
            <w:gridSpan w:val="1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p>
        </w:tc>
        <w:tc>
          <w:tcPr>
            <w:tcW w:w="1818" w:type="dxa"/>
            <w:gridSpan w:val="5"/>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楷体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2100"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r>
              <w:rPr>
                <w:rFonts w:hint="eastAsia" w:eastAsia="楷体_GB2312"/>
                <w:color w:val="000000"/>
                <w:szCs w:val="21"/>
              </w:rPr>
              <w:t>从事专业</w:t>
            </w:r>
          </w:p>
        </w:tc>
        <w:tc>
          <w:tcPr>
            <w:tcW w:w="2730" w:type="dxa"/>
            <w:gridSpan w:val="4"/>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p>
        </w:tc>
        <w:tc>
          <w:tcPr>
            <w:tcW w:w="1575" w:type="dxa"/>
            <w:gridSpan w:val="7"/>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r>
              <w:rPr>
                <w:rFonts w:hint="eastAsia" w:eastAsia="楷体_GB2312"/>
                <w:color w:val="000000"/>
                <w:szCs w:val="21"/>
              </w:rPr>
              <w:t>身体状况</w:t>
            </w:r>
          </w:p>
        </w:tc>
        <w:tc>
          <w:tcPr>
            <w:tcW w:w="1365" w:type="dxa"/>
            <w:gridSpan w:val="5"/>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p>
        </w:tc>
        <w:tc>
          <w:tcPr>
            <w:tcW w:w="1818" w:type="dxa"/>
            <w:gridSpan w:val="5"/>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楷体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22"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r>
              <w:rPr>
                <w:rFonts w:hint="eastAsia" w:eastAsia="楷体_GB2312"/>
                <w:color w:val="000000"/>
                <w:szCs w:val="21"/>
              </w:rPr>
              <w:t>所</w:t>
            </w:r>
          </w:p>
          <w:p>
            <w:pPr>
              <w:spacing w:line="240" w:lineRule="exact"/>
              <w:jc w:val="center"/>
              <w:rPr>
                <w:rFonts w:eastAsia="楷体_GB2312"/>
                <w:color w:val="000000"/>
                <w:szCs w:val="21"/>
              </w:rPr>
            </w:pPr>
            <w:r>
              <w:rPr>
                <w:rFonts w:hint="eastAsia" w:eastAsia="楷体_GB2312"/>
                <w:color w:val="000000"/>
                <w:szCs w:val="21"/>
              </w:rPr>
              <w:t>在</w:t>
            </w:r>
          </w:p>
          <w:p>
            <w:pPr>
              <w:spacing w:line="240" w:lineRule="exact"/>
              <w:jc w:val="center"/>
              <w:rPr>
                <w:rFonts w:eastAsia="楷体_GB2312"/>
                <w:color w:val="000000"/>
                <w:szCs w:val="21"/>
              </w:rPr>
            </w:pPr>
            <w:r>
              <w:rPr>
                <w:rFonts w:hint="eastAsia" w:eastAsia="楷体_GB2312"/>
                <w:color w:val="000000"/>
                <w:szCs w:val="21"/>
              </w:rPr>
              <w:t>机</w:t>
            </w:r>
          </w:p>
          <w:p>
            <w:pPr>
              <w:spacing w:line="240" w:lineRule="exact"/>
              <w:jc w:val="center"/>
              <w:rPr>
                <w:rFonts w:eastAsia="楷体_GB2312"/>
                <w:color w:val="000000"/>
                <w:szCs w:val="21"/>
              </w:rPr>
            </w:pPr>
            <w:r>
              <w:rPr>
                <w:rFonts w:hint="eastAsia" w:eastAsia="楷体_GB2312"/>
                <w:color w:val="000000"/>
                <w:szCs w:val="21"/>
              </w:rPr>
              <w:t>构</w:t>
            </w:r>
          </w:p>
        </w:tc>
        <w:tc>
          <w:tcPr>
            <w:tcW w:w="1678"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r>
              <w:rPr>
                <w:rFonts w:hint="eastAsia" w:eastAsia="楷体_GB2312"/>
                <w:color w:val="000000"/>
                <w:szCs w:val="21"/>
              </w:rPr>
              <w:t>机构名称</w:t>
            </w:r>
          </w:p>
        </w:tc>
        <w:tc>
          <w:tcPr>
            <w:tcW w:w="5670" w:type="dxa"/>
            <w:gridSpan w:val="16"/>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p>
        </w:tc>
        <w:tc>
          <w:tcPr>
            <w:tcW w:w="1818" w:type="dxa"/>
            <w:gridSpan w:val="5"/>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楷体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楷体_GB2312"/>
                <w:color w:val="000000"/>
                <w:szCs w:val="21"/>
              </w:rPr>
            </w:pPr>
          </w:p>
        </w:tc>
        <w:tc>
          <w:tcPr>
            <w:tcW w:w="1678"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r>
              <w:rPr>
                <w:rFonts w:hint="eastAsia" w:eastAsia="楷体_GB2312"/>
                <w:color w:val="000000"/>
                <w:szCs w:val="21"/>
              </w:rPr>
              <w:t>通讯地址</w:t>
            </w:r>
          </w:p>
        </w:tc>
        <w:tc>
          <w:tcPr>
            <w:tcW w:w="4125" w:type="dxa"/>
            <w:gridSpan w:val="10"/>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p>
        </w:tc>
        <w:tc>
          <w:tcPr>
            <w:tcW w:w="1545" w:type="dxa"/>
            <w:gridSpan w:val="6"/>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r>
              <w:rPr>
                <w:rFonts w:hint="eastAsia" w:eastAsia="楷体_GB2312"/>
                <w:color w:val="000000"/>
                <w:szCs w:val="21"/>
              </w:rPr>
              <w:t>受聘性质</w:t>
            </w:r>
          </w:p>
        </w:tc>
        <w:tc>
          <w:tcPr>
            <w:tcW w:w="1818" w:type="dxa"/>
            <w:gridSpan w:val="5"/>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楷体_GB2312"/>
                <w:color w:val="000000"/>
                <w:szCs w:val="21"/>
              </w:rPr>
            </w:pPr>
          </w:p>
        </w:tc>
        <w:tc>
          <w:tcPr>
            <w:tcW w:w="1678"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r>
              <w:rPr>
                <w:rFonts w:hint="eastAsia" w:eastAsia="楷体_GB2312"/>
                <w:color w:val="000000"/>
                <w:szCs w:val="21"/>
              </w:rPr>
              <w:t>联系电话</w:t>
            </w:r>
          </w:p>
        </w:tc>
        <w:tc>
          <w:tcPr>
            <w:tcW w:w="4125" w:type="dxa"/>
            <w:gridSpan w:val="10"/>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p>
        </w:tc>
        <w:tc>
          <w:tcPr>
            <w:tcW w:w="1545" w:type="dxa"/>
            <w:gridSpan w:val="6"/>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r>
              <w:rPr>
                <w:rFonts w:hint="eastAsia" w:eastAsia="楷体_GB2312"/>
                <w:color w:val="000000"/>
                <w:szCs w:val="21"/>
              </w:rPr>
              <w:t>邮</w:t>
            </w:r>
            <w:r>
              <w:rPr>
                <w:rFonts w:eastAsia="楷体_GB2312"/>
                <w:color w:val="000000"/>
                <w:szCs w:val="21"/>
              </w:rPr>
              <w:t xml:space="preserve">   </w:t>
            </w:r>
            <w:r>
              <w:rPr>
                <w:rFonts w:hint="eastAsia" w:eastAsia="楷体_GB2312"/>
                <w:color w:val="000000"/>
                <w:szCs w:val="21"/>
              </w:rPr>
              <w:t>编</w:t>
            </w:r>
          </w:p>
        </w:tc>
        <w:tc>
          <w:tcPr>
            <w:tcW w:w="1818" w:type="dxa"/>
            <w:gridSpan w:val="5"/>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exact"/>
          <w:jc w:val="center"/>
        </w:trPr>
        <w:tc>
          <w:tcPr>
            <w:tcW w:w="422"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r>
              <w:rPr>
                <w:rFonts w:hint="eastAsia" w:eastAsia="楷体_GB2312"/>
                <w:color w:val="000000"/>
                <w:szCs w:val="21"/>
              </w:rPr>
              <w:t>学</w:t>
            </w:r>
          </w:p>
          <w:p>
            <w:pPr>
              <w:spacing w:line="240" w:lineRule="exact"/>
              <w:jc w:val="center"/>
              <w:rPr>
                <w:rFonts w:eastAsia="楷体_GB2312"/>
                <w:color w:val="000000"/>
                <w:szCs w:val="21"/>
              </w:rPr>
            </w:pPr>
            <w:r>
              <w:rPr>
                <w:rFonts w:hint="eastAsia" w:eastAsia="楷体_GB2312"/>
                <w:color w:val="000000"/>
                <w:szCs w:val="21"/>
              </w:rPr>
              <w:t>历</w:t>
            </w:r>
          </w:p>
        </w:tc>
        <w:tc>
          <w:tcPr>
            <w:tcW w:w="1678"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r>
              <w:rPr>
                <w:rFonts w:hint="eastAsia" w:eastAsia="楷体_GB2312"/>
                <w:color w:val="000000"/>
                <w:szCs w:val="21"/>
              </w:rPr>
              <w:t>毕（肄、结）业时间</w:t>
            </w:r>
          </w:p>
        </w:tc>
        <w:tc>
          <w:tcPr>
            <w:tcW w:w="1545"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r>
              <w:rPr>
                <w:rFonts w:hint="eastAsia" w:eastAsia="楷体_GB2312"/>
                <w:color w:val="000000"/>
                <w:szCs w:val="21"/>
              </w:rPr>
              <w:t>毕业院校</w:t>
            </w:r>
          </w:p>
        </w:tc>
        <w:tc>
          <w:tcPr>
            <w:tcW w:w="1545" w:type="dxa"/>
            <w:gridSpan w:val="4"/>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r>
              <w:rPr>
                <w:rFonts w:hint="eastAsia" w:eastAsia="楷体_GB2312"/>
                <w:color w:val="000000"/>
                <w:szCs w:val="21"/>
              </w:rPr>
              <w:t>专业</w:t>
            </w:r>
          </w:p>
        </w:tc>
        <w:tc>
          <w:tcPr>
            <w:tcW w:w="1545" w:type="dxa"/>
            <w:gridSpan w:val="6"/>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r>
              <w:rPr>
                <w:rFonts w:hint="eastAsia" w:eastAsia="楷体_GB2312"/>
                <w:color w:val="000000"/>
                <w:szCs w:val="21"/>
              </w:rPr>
              <w:t>学历</w:t>
            </w:r>
          </w:p>
        </w:tc>
        <w:tc>
          <w:tcPr>
            <w:tcW w:w="1545" w:type="dxa"/>
            <w:gridSpan w:val="6"/>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r>
              <w:rPr>
                <w:rFonts w:hint="eastAsia" w:eastAsia="楷体_GB2312"/>
                <w:color w:val="000000"/>
                <w:szCs w:val="21"/>
              </w:rPr>
              <w:t>学制</w:t>
            </w:r>
          </w:p>
        </w:tc>
        <w:tc>
          <w:tcPr>
            <w:tcW w:w="1308"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r>
              <w:rPr>
                <w:rFonts w:hint="eastAsia" w:eastAsia="楷体_GB2312"/>
                <w:color w:val="000000"/>
                <w:szCs w:val="21"/>
              </w:rPr>
              <w:t>学位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exact"/>
          <w:jc w:val="center"/>
        </w:trPr>
        <w:tc>
          <w:tcPr>
            <w:tcW w:w="4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楷体_GB2312"/>
                <w:color w:val="000000"/>
                <w:szCs w:val="21"/>
              </w:rPr>
            </w:pPr>
          </w:p>
        </w:tc>
        <w:tc>
          <w:tcPr>
            <w:tcW w:w="1678"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p>
        </w:tc>
        <w:tc>
          <w:tcPr>
            <w:tcW w:w="1545"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p>
        </w:tc>
        <w:tc>
          <w:tcPr>
            <w:tcW w:w="1545" w:type="dxa"/>
            <w:gridSpan w:val="4"/>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p>
        </w:tc>
        <w:tc>
          <w:tcPr>
            <w:tcW w:w="1545" w:type="dxa"/>
            <w:gridSpan w:val="6"/>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p>
        </w:tc>
        <w:tc>
          <w:tcPr>
            <w:tcW w:w="1545" w:type="dxa"/>
            <w:gridSpan w:val="6"/>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p>
        </w:tc>
        <w:tc>
          <w:tcPr>
            <w:tcW w:w="1308"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exact"/>
          <w:jc w:val="center"/>
        </w:trPr>
        <w:tc>
          <w:tcPr>
            <w:tcW w:w="2100"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r>
              <w:rPr>
                <w:rFonts w:hint="eastAsia" w:eastAsia="楷体_GB2312"/>
                <w:color w:val="000000"/>
                <w:szCs w:val="21"/>
              </w:rPr>
              <w:t>从事勘察设计工作年限</w:t>
            </w:r>
          </w:p>
        </w:tc>
        <w:tc>
          <w:tcPr>
            <w:tcW w:w="1965"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p>
        </w:tc>
        <w:tc>
          <w:tcPr>
            <w:tcW w:w="1440" w:type="dxa"/>
            <w:gridSpan w:val="4"/>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r>
              <w:rPr>
                <w:rFonts w:hint="eastAsia" w:eastAsia="楷体_GB2312"/>
                <w:color w:val="000000"/>
                <w:szCs w:val="21"/>
              </w:rPr>
              <w:t>执业资格</w:t>
            </w:r>
          </w:p>
        </w:tc>
        <w:tc>
          <w:tcPr>
            <w:tcW w:w="1440" w:type="dxa"/>
            <w:gridSpan w:val="6"/>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p>
        </w:tc>
        <w:tc>
          <w:tcPr>
            <w:tcW w:w="1440" w:type="dxa"/>
            <w:gridSpan w:val="6"/>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r>
              <w:rPr>
                <w:rFonts w:hint="eastAsia" w:eastAsia="楷体_GB2312"/>
                <w:color w:val="000000"/>
                <w:szCs w:val="21"/>
              </w:rPr>
              <w:t>执业印章号</w:t>
            </w:r>
          </w:p>
        </w:tc>
        <w:tc>
          <w:tcPr>
            <w:tcW w:w="1203"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9" w:hRule="exact"/>
          <w:jc w:val="center"/>
        </w:trPr>
        <w:tc>
          <w:tcPr>
            <w:tcW w:w="4065" w:type="dxa"/>
            <w:gridSpan w:val="6"/>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r>
              <w:rPr>
                <w:rFonts w:hint="eastAsia" w:eastAsia="楷体_GB2312"/>
                <w:color w:val="000000"/>
                <w:szCs w:val="21"/>
              </w:rPr>
              <w:t>技术职称</w:t>
            </w:r>
          </w:p>
        </w:tc>
        <w:tc>
          <w:tcPr>
            <w:tcW w:w="2160" w:type="dxa"/>
            <w:gridSpan w:val="7"/>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p>
        </w:tc>
        <w:tc>
          <w:tcPr>
            <w:tcW w:w="1440" w:type="dxa"/>
            <w:gridSpan w:val="5"/>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eastAsia="楷体_GB2312"/>
                <w:color w:val="000000"/>
                <w:szCs w:val="21"/>
              </w:rPr>
            </w:pPr>
            <w:r>
              <w:rPr>
                <w:rFonts w:hint="eastAsia" w:eastAsia="楷体_GB2312"/>
                <w:color w:val="000000"/>
                <w:szCs w:val="21"/>
              </w:rPr>
              <w:t>评定时间</w:t>
            </w:r>
          </w:p>
        </w:tc>
        <w:tc>
          <w:tcPr>
            <w:tcW w:w="1923" w:type="dxa"/>
            <w:gridSpan w:val="6"/>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exact"/>
          <w:jc w:val="center"/>
        </w:trPr>
        <w:tc>
          <w:tcPr>
            <w:tcW w:w="4065" w:type="dxa"/>
            <w:gridSpan w:val="6"/>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r>
              <w:rPr>
                <w:rFonts w:hint="eastAsia" w:eastAsia="楷体_GB2312"/>
                <w:color w:val="000000"/>
                <w:szCs w:val="21"/>
              </w:rPr>
              <w:t>从事勘察设计类型</w:t>
            </w:r>
          </w:p>
        </w:tc>
        <w:tc>
          <w:tcPr>
            <w:tcW w:w="960"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r>
              <w:rPr>
                <w:rFonts w:hint="eastAsia" w:eastAsia="楷体_GB2312"/>
                <w:color w:val="000000"/>
                <w:szCs w:val="21"/>
              </w:rPr>
              <w:t>工程</w:t>
            </w:r>
          </w:p>
          <w:p>
            <w:pPr>
              <w:spacing w:line="240" w:lineRule="exact"/>
              <w:jc w:val="center"/>
              <w:rPr>
                <w:rFonts w:eastAsia="楷体_GB2312"/>
                <w:color w:val="000000"/>
                <w:szCs w:val="21"/>
              </w:rPr>
            </w:pPr>
            <w:r>
              <w:rPr>
                <w:rFonts w:hint="eastAsia" w:eastAsia="楷体_GB2312"/>
                <w:color w:val="000000"/>
                <w:szCs w:val="21"/>
              </w:rPr>
              <w:t>勘察</w:t>
            </w:r>
          </w:p>
        </w:tc>
        <w:tc>
          <w:tcPr>
            <w:tcW w:w="960"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p>
        </w:tc>
        <w:tc>
          <w:tcPr>
            <w:tcW w:w="960" w:type="dxa"/>
            <w:gridSpan w:val="5"/>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r>
              <w:rPr>
                <w:rFonts w:hint="eastAsia" w:eastAsia="楷体_GB2312"/>
                <w:color w:val="000000"/>
                <w:szCs w:val="21"/>
              </w:rPr>
              <w:t>建筑</w:t>
            </w:r>
          </w:p>
          <w:p>
            <w:pPr>
              <w:spacing w:line="240" w:lineRule="exact"/>
              <w:jc w:val="center"/>
              <w:rPr>
                <w:rFonts w:eastAsia="楷体_GB2312"/>
                <w:color w:val="000000"/>
                <w:szCs w:val="21"/>
              </w:rPr>
            </w:pPr>
            <w:r>
              <w:rPr>
                <w:rFonts w:hint="eastAsia" w:eastAsia="楷体_GB2312"/>
                <w:color w:val="000000"/>
                <w:szCs w:val="21"/>
              </w:rPr>
              <w:t>工程</w:t>
            </w:r>
          </w:p>
        </w:tc>
        <w:tc>
          <w:tcPr>
            <w:tcW w:w="960" w:type="dxa"/>
            <w:gridSpan w:val="4"/>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p>
        </w:tc>
        <w:tc>
          <w:tcPr>
            <w:tcW w:w="960"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r>
              <w:rPr>
                <w:rFonts w:hint="eastAsia" w:eastAsia="楷体_GB2312"/>
                <w:color w:val="000000"/>
                <w:szCs w:val="21"/>
              </w:rPr>
              <w:t>市政</w:t>
            </w:r>
          </w:p>
          <w:p>
            <w:pPr>
              <w:spacing w:line="240" w:lineRule="exact"/>
              <w:jc w:val="center"/>
              <w:rPr>
                <w:rFonts w:eastAsia="楷体_GB2312"/>
                <w:color w:val="000000"/>
                <w:szCs w:val="21"/>
              </w:rPr>
            </w:pPr>
            <w:r>
              <w:rPr>
                <w:rFonts w:hint="eastAsia" w:eastAsia="楷体_GB2312"/>
                <w:color w:val="000000"/>
                <w:szCs w:val="21"/>
              </w:rPr>
              <w:t>工程</w:t>
            </w:r>
          </w:p>
        </w:tc>
        <w:tc>
          <w:tcPr>
            <w:tcW w:w="723"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exact"/>
          <w:jc w:val="center"/>
        </w:trPr>
        <w:tc>
          <w:tcPr>
            <w:tcW w:w="422"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r>
              <w:rPr>
                <w:rFonts w:hint="eastAsia" w:eastAsia="楷体_GB2312"/>
                <w:color w:val="000000"/>
                <w:szCs w:val="21"/>
              </w:rPr>
              <w:t>进修或培训情况</w:t>
            </w:r>
          </w:p>
        </w:tc>
        <w:tc>
          <w:tcPr>
            <w:tcW w:w="1599"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r>
              <w:rPr>
                <w:rFonts w:hint="eastAsia" w:eastAsia="楷体_GB2312"/>
                <w:color w:val="000000"/>
                <w:szCs w:val="21"/>
              </w:rPr>
              <w:t>起止时间</w:t>
            </w:r>
          </w:p>
          <w:p>
            <w:pPr>
              <w:spacing w:line="240" w:lineRule="exact"/>
              <w:jc w:val="center"/>
              <w:rPr>
                <w:rFonts w:eastAsia="楷体_GB2312"/>
                <w:color w:val="000000"/>
                <w:szCs w:val="21"/>
              </w:rPr>
            </w:pPr>
            <w:r>
              <w:rPr>
                <w:rFonts w:hint="eastAsia" w:eastAsia="楷体_GB2312"/>
                <w:color w:val="000000"/>
                <w:szCs w:val="21"/>
              </w:rPr>
              <w:t>（年月）</w:t>
            </w:r>
          </w:p>
        </w:tc>
        <w:tc>
          <w:tcPr>
            <w:tcW w:w="2809" w:type="dxa"/>
            <w:gridSpan w:val="5"/>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r>
              <w:rPr>
                <w:rFonts w:hint="eastAsia" w:eastAsia="楷体_GB2312"/>
                <w:color w:val="000000"/>
                <w:szCs w:val="21"/>
              </w:rPr>
              <w:t>进修或培训单位</w:t>
            </w:r>
          </w:p>
        </w:tc>
        <w:tc>
          <w:tcPr>
            <w:tcW w:w="2940" w:type="dxa"/>
            <w:gridSpan w:val="1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r>
              <w:rPr>
                <w:rFonts w:hint="eastAsia" w:eastAsia="楷体_GB2312"/>
                <w:color w:val="000000"/>
                <w:szCs w:val="21"/>
              </w:rPr>
              <w:t>专业或课程主要内容</w:t>
            </w:r>
          </w:p>
        </w:tc>
        <w:tc>
          <w:tcPr>
            <w:tcW w:w="1818" w:type="dxa"/>
            <w:gridSpan w:val="5"/>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r>
              <w:rPr>
                <w:rFonts w:hint="eastAsia" w:eastAsia="楷体_GB2312"/>
                <w:color w:val="000000"/>
                <w:szCs w:val="21"/>
              </w:rPr>
              <w:t>结业证明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3" w:hRule="exact"/>
          <w:jc w:val="center"/>
        </w:trPr>
        <w:tc>
          <w:tcPr>
            <w:tcW w:w="4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楷体_GB2312"/>
                <w:color w:val="000000"/>
                <w:szCs w:val="21"/>
              </w:rPr>
            </w:pPr>
          </w:p>
        </w:tc>
        <w:tc>
          <w:tcPr>
            <w:tcW w:w="1599"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p>
        </w:tc>
        <w:tc>
          <w:tcPr>
            <w:tcW w:w="2809" w:type="dxa"/>
            <w:gridSpan w:val="5"/>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p>
        </w:tc>
        <w:tc>
          <w:tcPr>
            <w:tcW w:w="2940" w:type="dxa"/>
            <w:gridSpan w:val="1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p>
        </w:tc>
        <w:tc>
          <w:tcPr>
            <w:tcW w:w="1818" w:type="dxa"/>
            <w:gridSpan w:val="5"/>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exact"/>
          <w:jc w:val="center"/>
        </w:trPr>
        <w:tc>
          <w:tcPr>
            <w:tcW w:w="4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楷体_GB2312"/>
                <w:color w:val="000000"/>
                <w:szCs w:val="21"/>
              </w:rPr>
            </w:pPr>
          </w:p>
        </w:tc>
        <w:tc>
          <w:tcPr>
            <w:tcW w:w="1599"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p>
        </w:tc>
        <w:tc>
          <w:tcPr>
            <w:tcW w:w="2809" w:type="dxa"/>
            <w:gridSpan w:val="5"/>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p>
        </w:tc>
        <w:tc>
          <w:tcPr>
            <w:tcW w:w="2940" w:type="dxa"/>
            <w:gridSpan w:val="1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p>
        </w:tc>
        <w:tc>
          <w:tcPr>
            <w:tcW w:w="1818" w:type="dxa"/>
            <w:gridSpan w:val="5"/>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exact"/>
          <w:jc w:val="center"/>
        </w:trPr>
        <w:tc>
          <w:tcPr>
            <w:tcW w:w="4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楷体_GB2312"/>
                <w:color w:val="000000"/>
                <w:szCs w:val="21"/>
              </w:rPr>
            </w:pPr>
          </w:p>
        </w:tc>
        <w:tc>
          <w:tcPr>
            <w:tcW w:w="1599"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p>
        </w:tc>
        <w:tc>
          <w:tcPr>
            <w:tcW w:w="2809" w:type="dxa"/>
            <w:gridSpan w:val="5"/>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p>
        </w:tc>
        <w:tc>
          <w:tcPr>
            <w:tcW w:w="2940" w:type="dxa"/>
            <w:gridSpan w:val="1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p>
        </w:tc>
        <w:tc>
          <w:tcPr>
            <w:tcW w:w="1818" w:type="dxa"/>
            <w:gridSpan w:val="5"/>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exact"/>
          <w:jc w:val="center"/>
        </w:trPr>
        <w:tc>
          <w:tcPr>
            <w:tcW w:w="4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楷体_GB2312"/>
                <w:color w:val="000000"/>
                <w:szCs w:val="21"/>
              </w:rPr>
            </w:pPr>
          </w:p>
        </w:tc>
        <w:tc>
          <w:tcPr>
            <w:tcW w:w="1599"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p>
        </w:tc>
        <w:tc>
          <w:tcPr>
            <w:tcW w:w="2809" w:type="dxa"/>
            <w:gridSpan w:val="5"/>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p>
        </w:tc>
        <w:tc>
          <w:tcPr>
            <w:tcW w:w="2940" w:type="dxa"/>
            <w:gridSpan w:val="1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p>
        </w:tc>
        <w:tc>
          <w:tcPr>
            <w:tcW w:w="1818" w:type="dxa"/>
            <w:gridSpan w:val="5"/>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exact"/>
          <w:jc w:val="center"/>
        </w:trPr>
        <w:tc>
          <w:tcPr>
            <w:tcW w:w="4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楷体_GB2312"/>
                <w:color w:val="000000"/>
                <w:szCs w:val="21"/>
              </w:rPr>
            </w:pPr>
          </w:p>
        </w:tc>
        <w:tc>
          <w:tcPr>
            <w:tcW w:w="1599"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p>
        </w:tc>
        <w:tc>
          <w:tcPr>
            <w:tcW w:w="2809" w:type="dxa"/>
            <w:gridSpan w:val="5"/>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p>
        </w:tc>
        <w:tc>
          <w:tcPr>
            <w:tcW w:w="2940" w:type="dxa"/>
            <w:gridSpan w:val="1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p>
        </w:tc>
        <w:tc>
          <w:tcPr>
            <w:tcW w:w="1818" w:type="dxa"/>
            <w:gridSpan w:val="5"/>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p>
        </w:tc>
      </w:tr>
    </w:tbl>
    <w:p>
      <w:pPr>
        <w:spacing w:before="240" w:after="120" w:line="120" w:lineRule="atLeast"/>
        <w:jc w:val="center"/>
        <w:rPr>
          <w:b/>
          <w:color w:val="000000"/>
          <w:sz w:val="32"/>
        </w:rPr>
      </w:pPr>
    </w:p>
    <w:p>
      <w:pPr>
        <w:spacing w:before="240" w:after="120" w:line="120" w:lineRule="atLeast"/>
        <w:jc w:val="center"/>
        <w:rPr>
          <w:b/>
          <w:color w:val="000000"/>
          <w:sz w:val="32"/>
        </w:rPr>
      </w:pPr>
      <w:r>
        <w:rPr>
          <w:rFonts w:hint="eastAsia"/>
          <w:b/>
          <w:color w:val="000000"/>
          <w:sz w:val="32"/>
        </w:rPr>
        <w:t>二、主要勘察设计及审查工作经历</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3"/>
        <w:gridCol w:w="3150"/>
        <w:gridCol w:w="2520"/>
        <w:gridCol w:w="2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top"/>
          </w:tcPr>
          <w:p>
            <w:pPr>
              <w:spacing w:before="120" w:line="120" w:lineRule="atLeast"/>
              <w:jc w:val="center"/>
              <w:rPr>
                <w:rFonts w:eastAsia="楷体_GB2312"/>
                <w:color w:val="000000"/>
                <w:szCs w:val="21"/>
              </w:rPr>
            </w:pPr>
            <w:r>
              <w:rPr>
                <w:rFonts w:hint="eastAsia" w:eastAsia="楷体_GB2312"/>
                <w:color w:val="000000"/>
                <w:szCs w:val="21"/>
              </w:rPr>
              <w:t>起止日期</w:t>
            </w:r>
          </w:p>
        </w:tc>
        <w:tc>
          <w:tcPr>
            <w:tcW w:w="3150" w:type="dxa"/>
            <w:tcBorders>
              <w:top w:val="single" w:color="auto" w:sz="4" w:space="0"/>
              <w:left w:val="single" w:color="auto" w:sz="4" w:space="0"/>
              <w:bottom w:val="single" w:color="auto" w:sz="4" w:space="0"/>
              <w:right w:val="single" w:color="auto" w:sz="4" w:space="0"/>
            </w:tcBorders>
            <w:noWrap w:val="0"/>
            <w:vAlign w:val="top"/>
          </w:tcPr>
          <w:p>
            <w:pPr>
              <w:spacing w:before="120" w:line="120" w:lineRule="atLeast"/>
              <w:jc w:val="center"/>
              <w:rPr>
                <w:rFonts w:eastAsia="楷体_GB2312"/>
                <w:color w:val="000000"/>
                <w:szCs w:val="21"/>
              </w:rPr>
            </w:pPr>
            <w:r>
              <w:rPr>
                <w:rFonts w:hint="eastAsia" w:eastAsia="楷体_GB2312"/>
                <w:color w:val="000000"/>
                <w:szCs w:val="21"/>
              </w:rPr>
              <w:t>工作单位</w:t>
            </w:r>
          </w:p>
        </w:tc>
        <w:tc>
          <w:tcPr>
            <w:tcW w:w="2520" w:type="dxa"/>
            <w:tcBorders>
              <w:top w:val="single" w:color="auto" w:sz="4" w:space="0"/>
              <w:left w:val="single" w:color="auto" w:sz="4" w:space="0"/>
              <w:bottom w:val="single" w:color="auto" w:sz="4" w:space="0"/>
              <w:right w:val="single" w:color="auto" w:sz="4" w:space="0"/>
            </w:tcBorders>
            <w:noWrap w:val="0"/>
            <w:vAlign w:val="top"/>
          </w:tcPr>
          <w:p>
            <w:pPr>
              <w:spacing w:before="120" w:line="120" w:lineRule="atLeast"/>
              <w:jc w:val="center"/>
              <w:rPr>
                <w:rFonts w:eastAsia="楷体_GB2312"/>
                <w:color w:val="000000"/>
                <w:szCs w:val="21"/>
              </w:rPr>
            </w:pPr>
            <w:r>
              <w:rPr>
                <w:rFonts w:hint="eastAsia" w:eastAsia="楷体_GB2312"/>
                <w:color w:val="000000"/>
                <w:szCs w:val="21"/>
              </w:rPr>
              <w:t>从事何技术工作</w:t>
            </w:r>
          </w:p>
        </w:tc>
        <w:tc>
          <w:tcPr>
            <w:tcW w:w="2055" w:type="dxa"/>
            <w:tcBorders>
              <w:top w:val="single" w:color="auto" w:sz="4" w:space="0"/>
              <w:left w:val="single" w:color="auto" w:sz="4" w:space="0"/>
              <w:bottom w:val="single" w:color="auto" w:sz="4" w:space="0"/>
              <w:right w:val="single" w:color="auto" w:sz="4" w:space="0"/>
            </w:tcBorders>
            <w:noWrap w:val="0"/>
            <w:vAlign w:val="top"/>
          </w:tcPr>
          <w:p>
            <w:pPr>
              <w:spacing w:before="120" w:line="120" w:lineRule="atLeast"/>
              <w:jc w:val="center"/>
              <w:rPr>
                <w:rFonts w:eastAsia="楷体_GB2312"/>
                <w:color w:val="000000"/>
                <w:szCs w:val="21"/>
              </w:rPr>
            </w:pPr>
            <w:r>
              <w:rPr>
                <w:rFonts w:hint="eastAsia" w:eastAsia="楷体_GB2312"/>
                <w:color w:val="000000"/>
                <w:szCs w:val="21"/>
              </w:rPr>
              <w:t>职务及职称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c>
          <w:tcPr>
            <w:tcW w:w="3150"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c>
          <w:tcPr>
            <w:tcW w:w="2520"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c>
          <w:tcPr>
            <w:tcW w:w="2055"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c>
          <w:tcPr>
            <w:tcW w:w="3150"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c>
          <w:tcPr>
            <w:tcW w:w="2520"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c>
          <w:tcPr>
            <w:tcW w:w="2055"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c>
          <w:tcPr>
            <w:tcW w:w="3150"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c>
          <w:tcPr>
            <w:tcW w:w="2520"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c>
          <w:tcPr>
            <w:tcW w:w="2055"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c>
          <w:tcPr>
            <w:tcW w:w="3150"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c>
          <w:tcPr>
            <w:tcW w:w="2520"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c>
          <w:tcPr>
            <w:tcW w:w="2055"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c>
          <w:tcPr>
            <w:tcW w:w="3150"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c>
          <w:tcPr>
            <w:tcW w:w="2520"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c>
          <w:tcPr>
            <w:tcW w:w="2055"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c>
          <w:tcPr>
            <w:tcW w:w="3150"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c>
          <w:tcPr>
            <w:tcW w:w="2520"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c>
          <w:tcPr>
            <w:tcW w:w="2055"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c>
          <w:tcPr>
            <w:tcW w:w="3150"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c>
          <w:tcPr>
            <w:tcW w:w="2520"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c>
          <w:tcPr>
            <w:tcW w:w="2055"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c>
          <w:tcPr>
            <w:tcW w:w="3150"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c>
          <w:tcPr>
            <w:tcW w:w="2520"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c>
          <w:tcPr>
            <w:tcW w:w="2055"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c>
          <w:tcPr>
            <w:tcW w:w="3150"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c>
          <w:tcPr>
            <w:tcW w:w="2520"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c>
          <w:tcPr>
            <w:tcW w:w="2055"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c>
          <w:tcPr>
            <w:tcW w:w="3150"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c>
          <w:tcPr>
            <w:tcW w:w="2520"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c>
          <w:tcPr>
            <w:tcW w:w="2055"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c>
          <w:tcPr>
            <w:tcW w:w="3150"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c>
          <w:tcPr>
            <w:tcW w:w="2520"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c>
          <w:tcPr>
            <w:tcW w:w="2055"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c>
          <w:tcPr>
            <w:tcW w:w="3150"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c>
          <w:tcPr>
            <w:tcW w:w="2520"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c>
          <w:tcPr>
            <w:tcW w:w="2055" w:type="dxa"/>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34"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top"/>
          </w:tcPr>
          <w:p>
            <w:pPr>
              <w:spacing w:before="480" w:line="120" w:lineRule="atLeast"/>
              <w:jc w:val="center"/>
              <w:rPr>
                <w:rFonts w:eastAsia="楷体_GB2312"/>
                <w:color w:val="000000"/>
                <w:szCs w:val="21"/>
              </w:rPr>
            </w:pPr>
            <w:r>
              <w:rPr>
                <w:rFonts w:hint="eastAsia" w:eastAsia="楷体_GB2312"/>
                <w:color w:val="000000"/>
                <w:szCs w:val="21"/>
              </w:rPr>
              <w:t>遵守职业道德情况</w:t>
            </w:r>
          </w:p>
        </w:tc>
        <w:tc>
          <w:tcPr>
            <w:tcW w:w="7725" w:type="dxa"/>
            <w:gridSpan w:val="3"/>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2"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center"/>
          </w:tcPr>
          <w:p>
            <w:pPr>
              <w:spacing w:line="120" w:lineRule="atLeast"/>
              <w:jc w:val="center"/>
              <w:rPr>
                <w:rFonts w:eastAsia="楷体_GB2312"/>
                <w:color w:val="000000"/>
                <w:szCs w:val="21"/>
              </w:rPr>
            </w:pPr>
            <w:r>
              <w:rPr>
                <w:rFonts w:hint="eastAsia" w:eastAsia="楷体_GB2312"/>
                <w:color w:val="000000"/>
                <w:szCs w:val="21"/>
              </w:rPr>
              <w:t>现行相应专业标准、规范掌握程度</w:t>
            </w:r>
          </w:p>
        </w:tc>
        <w:tc>
          <w:tcPr>
            <w:tcW w:w="7725" w:type="dxa"/>
            <w:gridSpan w:val="3"/>
            <w:tcBorders>
              <w:top w:val="single" w:color="auto" w:sz="4" w:space="0"/>
              <w:left w:val="single" w:color="auto" w:sz="4" w:space="0"/>
              <w:bottom w:val="single" w:color="auto" w:sz="4" w:space="0"/>
              <w:right w:val="single" w:color="auto" w:sz="4" w:space="0"/>
            </w:tcBorders>
            <w:noWrap w:val="0"/>
            <w:vAlign w:val="top"/>
          </w:tcPr>
          <w:p>
            <w:pPr>
              <w:spacing w:line="120" w:lineRule="atLeast"/>
              <w:jc w:val="center"/>
              <w:rPr>
                <w:rFonts w:eastAsia="楷体_GB2312"/>
                <w:color w:val="000000"/>
                <w:szCs w:val="21"/>
              </w:rPr>
            </w:pPr>
          </w:p>
        </w:tc>
      </w:tr>
    </w:tbl>
    <w:p>
      <w:pPr>
        <w:spacing w:after="120" w:line="40" w:lineRule="atLeast"/>
        <w:rPr>
          <w:rFonts w:eastAsia="楷体_GB2312"/>
          <w:color w:val="000000"/>
          <w:sz w:val="28"/>
        </w:rPr>
      </w:pPr>
    </w:p>
    <w:p>
      <w:pPr>
        <w:spacing w:after="120" w:line="40" w:lineRule="atLeast"/>
        <w:jc w:val="center"/>
        <w:rPr>
          <w:b/>
          <w:color w:val="000000"/>
          <w:sz w:val="32"/>
        </w:rPr>
      </w:pPr>
      <w:r>
        <w:rPr>
          <w:rFonts w:hint="eastAsia"/>
          <w:b/>
          <w:color w:val="000000"/>
          <w:sz w:val="32"/>
        </w:rPr>
        <w:t>三、主要勘察设计业绩</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858"/>
        <w:gridCol w:w="2565"/>
        <w:gridCol w:w="1349"/>
        <w:gridCol w:w="1568"/>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435" w:hRule="atLeast"/>
          <w:jc w:val="center"/>
        </w:trPr>
        <w:tc>
          <w:tcPr>
            <w:tcW w:w="496"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r>
              <w:rPr>
                <w:rFonts w:hint="eastAsia" w:eastAsia="楷体_GB2312"/>
                <w:color w:val="000000"/>
                <w:szCs w:val="21"/>
              </w:rPr>
              <w:t>序号</w:t>
            </w:r>
          </w:p>
        </w:tc>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r>
              <w:rPr>
                <w:rFonts w:hint="eastAsia" w:eastAsia="楷体_GB2312"/>
                <w:color w:val="000000"/>
                <w:szCs w:val="21"/>
              </w:rPr>
              <w:t>起始</w:t>
            </w:r>
            <w:r>
              <w:rPr>
                <w:rFonts w:eastAsia="楷体_GB2312"/>
                <w:color w:val="000000"/>
                <w:szCs w:val="21"/>
              </w:rPr>
              <w:t xml:space="preserve">  </w:t>
            </w:r>
            <w:r>
              <w:rPr>
                <w:rFonts w:hint="eastAsia" w:eastAsia="楷体_GB2312"/>
                <w:color w:val="000000"/>
                <w:szCs w:val="21"/>
              </w:rPr>
              <w:t>时间</w:t>
            </w:r>
          </w:p>
        </w:tc>
        <w:tc>
          <w:tcPr>
            <w:tcW w:w="256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r>
              <w:rPr>
                <w:rFonts w:hint="eastAsia" w:eastAsia="楷体_GB2312"/>
                <w:color w:val="000000"/>
                <w:szCs w:val="21"/>
              </w:rPr>
              <w:t>勘察设计项目</w:t>
            </w:r>
          </w:p>
          <w:p>
            <w:pPr>
              <w:spacing w:line="240" w:lineRule="exact"/>
              <w:jc w:val="center"/>
              <w:rPr>
                <w:rFonts w:eastAsia="楷体_GB2312"/>
                <w:color w:val="000000"/>
                <w:szCs w:val="21"/>
              </w:rPr>
            </w:pPr>
            <w:r>
              <w:rPr>
                <w:rFonts w:hint="eastAsia" w:eastAsia="楷体_GB2312"/>
                <w:color w:val="000000"/>
                <w:szCs w:val="21"/>
              </w:rPr>
              <w:t>名称</w:t>
            </w:r>
          </w:p>
        </w:tc>
        <w:tc>
          <w:tcPr>
            <w:tcW w:w="1349"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r>
              <w:rPr>
                <w:rFonts w:hint="eastAsia" w:eastAsia="楷体_GB2312"/>
                <w:color w:val="000000"/>
                <w:szCs w:val="21"/>
              </w:rPr>
              <w:t>规模及</w:t>
            </w:r>
            <w:r>
              <w:rPr>
                <w:rFonts w:eastAsia="楷体_GB2312"/>
                <w:color w:val="000000"/>
                <w:szCs w:val="21"/>
              </w:rPr>
              <w:t xml:space="preserve">  </w:t>
            </w:r>
            <w:r>
              <w:rPr>
                <w:rFonts w:hint="eastAsia" w:eastAsia="楷体_GB2312"/>
                <w:color w:val="000000"/>
                <w:szCs w:val="21"/>
              </w:rPr>
              <w:t>等级</w:t>
            </w:r>
          </w:p>
        </w:tc>
        <w:tc>
          <w:tcPr>
            <w:tcW w:w="1568"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r>
              <w:rPr>
                <w:rFonts w:hint="eastAsia" w:eastAsia="楷体_GB2312"/>
                <w:color w:val="000000"/>
                <w:szCs w:val="21"/>
              </w:rPr>
              <w:t>勘察设计阶段（初勘、详勘、方案、初设、施工图）</w:t>
            </w:r>
          </w:p>
        </w:tc>
        <w:tc>
          <w:tcPr>
            <w:tcW w:w="146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楷体_GB2312"/>
                <w:color w:val="000000"/>
                <w:szCs w:val="21"/>
              </w:rPr>
            </w:pPr>
            <w:r>
              <w:rPr>
                <w:rFonts w:hint="eastAsia" w:eastAsia="楷体_GB2312"/>
                <w:color w:val="000000"/>
                <w:szCs w:val="21"/>
              </w:rPr>
              <w:t>完成情况及效果（获何奖励）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5" w:hRule="atLeast"/>
          <w:jc w:val="center"/>
        </w:trPr>
        <w:tc>
          <w:tcPr>
            <w:tcW w:w="496"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c>
          <w:tcPr>
            <w:tcW w:w="858"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c>
          <w:tcPr>
            <w:tcW w:w="2565"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c>
          <w:tcPr>
            <w:tcW w:w="1349"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c>
          <w:tcPr>
            <w:tcW w:w="1568"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c>
          <w:tcPr>
            <w:tcW w:w="1460"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5" w:hRule="atLeast"/>
          <w:jc w:val="center"/>
        </w:trPr>
        <w:tc>
          <w:tcPr>
            <w:tcW w:w="496"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c>
          <w:tcPr>
            <w:tcW w:w="858"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c>
          <w:tcPr>
            <w:tcW w:w="2565"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c>
          <w:tcPr>
            <w:tcW w:w="1349"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c>
          <w:tcPr>
            <w:tcW w:w="1568"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c>
          <w:tcPr>
            <w:tcW w:w="1460"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5" w:hRule="atLeast"/>
          <w:jc w:val="center"/>
        </w:trPr>
        <w:tc>
          <w:tcPr>
            <w:tcW w:w="496"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c>
          <w:tcPr>
            <w:tcW w:w="858"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c>
          <w:tcPr>
            <w:tcW w:w="2565"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c>
          <w:tcPr>
            <w:tcW w:w="1349"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c>
          <w:tcPr>
            <w:tcW w:w="1568"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c>
          <w:tcPr>
            <w:tcW w:w="1460"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5" w:hRule="atLeast"/>
          <w:jc w:val="center"/>
        </w:trPr>
        <w:tc>
          <w:tcPr>
            <w:tcW w:w="496"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c>
          <w:tcPr>
            <w:tcW w:w="858"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c>
          <w:tcPr>
            <w:tcW w:w="2565"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c>
          <w:tcPr>
            <w:tcW w:w="1349"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c>
          <w:tcPr>
            <w:tcW w:w="1568"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c>
          <w:tcPr>
            <w:tcW w:w="1460"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5" w:hRule="atLeast"/>
          <w:jc w:val="center"/>
        </w:trPr>
        <w:tc>
          <w:tcPr>
            <w:tcW w:w="496"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c>
          <w:tcPr>
            <w:tcW w:w="858"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c>
          <w:tcPr>
            <w:tcW w:w="2565"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c>
          <w:tcPr>
            <w:tcW w:w="1349"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c>
          <w:tcPr>
            <w:tcW w:w="1568"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c>
          <w:tcPr>
            <w:tcW w:w="1460"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5" w:hRule="atLeast"/>
          <w:jc w:val="center"/>
        </w:trPr>
        <w:tc>
          <w:tcPr>
            <w:tcW w:w="496"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c>
          <w:tcPr>
            <w:tcW w:w="858"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c>
          <w:tcPr>
            <w:tcW w:w="2565"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c>
          <w:tcPr>
            <w:tcW w:w="1349"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c>
          <w:tcPr>
            <w:tcW w:w="1568"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c>
          <w:tcPr>
            <w:tcW w:w="1460"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5" w:hRule="atLeast"/>
          <w:jc w:val="center"/>
        </w:trPr>
        <w:tc>
          <w:tcPr>
            <w:tcW w:w="496"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c>
          <w:tcPr>
            <w:tcW w:w="858"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c>
          <w:tcPr>
            <w:tcW w:w="2565"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c>
          <w:tcPr>
            <w:tcW w:w="1349"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c>
          <w:tcPr>
            <w:tcW w:w="1568"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c>
          <w:tcPr>
            <w:tcW w:w="1460"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5" w:hRule="atLeast"/>
          <w:jc w:val="center"/>
        </w:trPr>
        <w:tc>
          <w:tcPr>
            <w:tcW w:w="496"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c>
          <w:tcPr>
            <w:tcW w:w="858"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c>
          <w:tcPr>
            <w:tcW w:w="2565"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c>
          <w:tcPr>
            <w:tcW w:w="1349"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c>
          <w:tcPr>
            <w:tcW w:w="1568"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c>
          <w:tcPr>
            <w:tcW w:w="1460"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楷体_GB2312"/>
                <w:color w:val="000000"/>
                <w:szCs w:val="21"/>
              </w:rPr>
            </w:pPr>
          </w:p>
        </w:tc>
      </w:tr>
    </w:tbl>
    <w:p>
      <w:pPr>
        <w:jc w:val="left"/>
        <w:rPr>
          <w:rFonts w:eastAsia="仿宋_GB2312"/>
          <w:color w:val="000000"/>
          <w:szCs w:val="21"/>
        </w:rPr>
      </w:pPr>
    </w:p>
    <w:p>
      <w:pPr>
        <w:jc w:val="left"/>
        <w:rPr>
          <w:rFonts w:eastAsia="仿宋_GB2312"/>
          <w:color w:val="000000"/>
          <w:szCs w:val="21"/>
        </w:rPr>
      </w:pPr>
      <w:r>
        <w:rPr>
          <w:rFonts w:hint="eastAsia" w:eastAsia="仿宋_GB2312"/>
          <w:color w:val="000000"/>
          <w:szCs w:val="21"/>
        </w:rPr>
        <w:t>注：主要勘察设计业绩不少于</w:t>
      </w:r>
      <w:r>
        <w:rPr>
          <w:rFonts w:eastAsia="仿宋_GB2312"/>
          <w:color w:val="000000"/>
          <w:szCs w:val="21"/>
        </w:rPr>
        <w:t>5</w:t>
      </w:r>
      <w:r>
        <w:rPr>
          <w:rFonts w:hint="eastAsia" w:eastAsia="仿宋_GB2312"/>
          <w:color w:val="000000"/>
          <w:szCs w:val="21"/>
        </w:rPr>
        <w:t>项，且应作为主持人完成的、符合申请级别要求的项目。</w:t>
      </w:r>
    </w:p>
    <w:p>
      <w:pPr>
        <w:jc w:val="center"/>
        <w:rPr>
          <w:rFonts w:eastAsia="仿宋_GB2312"/>
          <w:color w:val="000000"/>
          <w:sz w:val="28"/>
        </w:rPr>
      </w:pPr>
      <w:r>
        <w:rPr>
          <w:rFonts w:hint="eastAsia"/>
          <w:b/>
          <w:color w:val="000000"/>
          <w:sz w:val="32"/>
        </w:rPr>
        <w:t>四、主要施工图设计审查业绩</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856"/>
        <w:gridCol w:w="4832"/>
        <w:gridCol w:w="1046"/>
        <w:gridCol w:w="1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3" w:hRule="atLeas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zCs w:val="21"/>
              </w:rPr>
            </w:pPr>
            <w:r>
              <w:rPr>
                <w:rFonts w:hint="eastAsia" w:eastAsia="楷体_GB2312"/>
                <w:color w:val="000000"/>
                <w:szCs w:val="21"/>
              </w:rPr>
              <w:t>序号</w:t>
            </w:r>
          </w:p>
        </w:tc>
        <w:tc>
          <w:tcPr>
            <w:tcW w:w="856"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zCs w:val="21"/>
              </w:rPr>
            </w:pPr>
            <w:r>
              <w:rPr>
                <w:rFonts w:hint="eastAsia" w:eastAsia="楷体_GB2312"/>
                <w:color w:val="000000"/>
                <w:szCs w:val="21"/>
              </w:rPr>
              <w:t>时间</w:t>
            </w:r>
          </w:p>
        </w:tc>
        <w:tc>
          <w:tcPr>
            <w:tcW w:w="4832"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zCs w:val="21"/>
              </w:rPr>
            </w:pPr>
            <w:r>
              <w:rPr>
                <w:rFonts w:hint="eastAsia" w:eastAsia="楷体_GB2312"/>
                <w:color w:val="000000"/>
                <w:szCs w:val="21"/>
              </w:rPr>
              <w:t>审查项目名称</w:t>
            </w:r>
          </w:p>
        </w:tc>
        <w:tc>
          <w:tcPr>
            <w:tcW w:w="1046"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zCs w:val="21"/>
              </w:rPr>
            </w:pPr>
            <w:r>
              <w:rPr>
                <w:rFonts w:hint="eastAsia" w:eastAsia="楷体_GB2312"/>
                <w:color w:val="000000"/>
                <w:szCs w:val="21"/>
              </w:rPr>
              <w:t>规模及等级</w:t>
            </w:r>
          </w:p>
        </w:tc>
        <w:tc>
          <w:tcPr>
            <w:tcW w:w="1346"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zCs w:val="21"/>
              </w:rPr>
            </w:pPr>
            <w:r>
              <w:rPr>
                <w:rFonts w:hint="eastAsia" w:eastAsia="楷体_GB2312"/>
                <w:color w:val="000000"/>
                <w:szCs w:val="21"/>
              </w:rPr>
              <w:t>担任工作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exac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zCs w:val="21"/>
              </w:rPr>
            </w:pPr>
            <w:r>
              <w:rPr>
                <w:rFonts w:eastAsia="楷体_GB2312"/>
                <w:color w:val="000000"/>
                <w:szCs w:val="21"/>
              </w:rPr>
              <w:t>1</w:t>
            </w:r>
          </w:p>
        </w:tc>
        <w:tc>
          <w:tcPr>
            <w:tcW w:w="856"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pacing w:val="-20"/>
                <w:szCs w:val="21"/>
              </w:rPr>
            </w:pPr>
          </w:p>
        </w:tc>
        <w:tc>
          <w:tcPr>
            <w:tcW w:w="4832"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eastAsia="楷体_GB2312"/>
                <w:color w:val="000000"/>
                <w:szCs w:val="21"/>
              </w:rPr>
            </w:pPr>
          </w:p>
        </w:tc>
        <w:tc>
          <w:tcPr>
            <w:tcW w:w="1046"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zCs w:val="21"/>
              </w:rPr>
            </w:pPr>
          </w:p>
        </w:tc>
        <w:tc>
          <w:tcPr>
            <w:tcW w:w="1346"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exac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zCs w:val="21"/>
              </w:rPr>
            </w:pPr>
            <w:r>
              <w:rPr>
                <w:rFonts w:eastAsia="楷体_GB2312"/>
                <w:color w:val="000000"/>
                <w:szCs w:val="21"/>
              </w:rPr>
              <w:t>2</w:t>
            </w:r>
          </w:p>
        </w:tc>
        <w:tc>
          <w:tcPr>
            <w:tcW w:w="856"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pacing w:val="-20"/>
                <w:szCs w:val="21"/>
              </w:rPr>
            </w:pPr>
          </w:p>
        </w:tc>
        <w:tc>
          <w:tcPr>
            <w:tcW w:w="4832"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eastAsia="楷体_GB2312"/>
                <w:color w:val="000000"/>
                <w:szCs w:val="21"/>
              </w:rPr>
            </w:pPr>
          </w:p>
        </w:tc>
        <w:tc>
          <w:tcPr>
            <w:tcW w:w="1046"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zCs w:val="21"/>
              </w:rPr>
            </w:pPr>
          </w:p>
        </w:tc>
        <w:tc>
          <w:tcPr>
            <w:tcW w:w="1346"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exac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zCs w:val="21"/>
              </w:rPr>
            </w:pPr>
            <w:r>
              <w:rPr>
                <w:rFonts w:eastAsia="楷体_GB2312"/>
                <w:color w:val="000000"/>
                <w:szCs w:val="21"/>
              </w:rPr>
              <w:t>3</w:t>
            </w:r>
          </w:p>
        </w:tc>
        <w:tc>
          <w:tcPr>
            <w:tcW w:w="856"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pacing w:val="-20"/>
                <w:szCs w:val="21"/>
              </w:rPr>
            </w:pPr>
          </w:p>
        </w:tc>
        <w:tc>
          <w:tcPr>
            <w:tcW w:w="4832"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eastAsia="楷体_GB2312"/>
                <w:color w:val="000000"/>
                <w:szCs w:val="21"/>
              </w:rPr>
            </w:pPr>
          </w:p>
        </w:tc>
        <w:tc>
          <w:tcPr>
            <w:tcW w:w="1046"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zCs w:val="21"/>
              </w:rPr>
            </w:pPr>
          </w:p>
        </w:tc>
        <w:tc>
          <w:tcPr>
            <w:tcW w:w="1346"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exac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zCs w:val="21"/>
              </w:rPr>
            </w:pPr>
            <w:r>
              <w:rPr>
                <w:rFonts w:eastAsia="楷体_GB2312"/>
                <w:color w:val="000000"/>
                <w:szCs w:val="21"/>
              </w:rPr>
              <w:t>4</w:t>
            </w:r>
          </w:p>
        </w:tc>
        <w:tc>
          <w:tcPr>
            <w:tcW w:w="856"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pacing w:val="-20"/>
                <w:szCs w:val="21"/>
              </w:rPr>
            </w:pPr>
          </w:p>
        </w:tc>
        <w:tc>
          <w:tcPr>
            <w:tcW w:w="4832"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eastAsia="楷体_GB2312"/>
                <w:color w:val="000000"/>
                <w:szCs w:val="21"/>
              </w:rPr>
            </w:pPr>
          </w:p>
        </w:tc>
        <w:tc>
          <w:tcPr>
            <w:tcW w:w="1046"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zCs w:val="21"/>
              </w:rPr>
            </w:pPr>
          </w:p>
        </w:tc>
        <w:tc>
          <w:tcPr>
            <w:tcW w:w="1346"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exac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zCs w:val="21"/>
              </w:rPr>
            </w:pPr>
            <w:r>
              <w:rPr>
                <w:rFonts w:eastAsia="楷体_GB2312"/>
                <w:color w:val="000000"/>
                <w:szCs w:val="21"/>
              </w:rPr>
              <w:t>5</w:t>
            </w:r>
          </w:p>
        </w:tc>
        <w:tc>
          <w:tcPr>
            <w:tcW w:w="856"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pacing w:val="-20"/>
                <w:szCs w:val="21"/>
              </w:rPr>
            </w:pPr>
          </w:p>
        </w:tc>
        <w:tc>
          <w:tcPr>
            <w:tcW w:w="4832"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eastAsia="楷体_GB2312"/>
                <w:color w:val="000000"/>
                <w:szCs w:val="21"/>
              </w:rPr>
            </w:pPr>
          </w:p>
        </w:tc>
        <w:tc>
          <w:tcPr>
            <w:tcW w:w="1046"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zCs w:val="21"/>
              </w:rPr>
            </w:pPr>
          </w:p>
        </w:tc>
        <w:tc>
          <w:tcPr>
            <w:tcW w:w="1346"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exac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zCs w:val="21"/>
              </w:rPr>
            </w:pPr>
            <w:r>
              <w:rPr>
                <w:rFonts w:eastAsia="楷体_GB2312"/>
                <w:color w:val="000000"/>
                <w:szCs w:val="21"/>
              </w:rPr>
              <w:t>6</w:t>
            </w:r>
          </w:p>
        </w:tc>
        <w:tc>
          <w:tcPr>
            <w:tcW w:w="856"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pacing w:val="-20"/>
                <w:szCs w:val="21"/>
              </w:rPr>
            </w:pPr>
          </w:p>
        </w:tc>
        <w:tc>
          <w:tcPr>
            <w:tcW w:w="4832"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eastAsia="楷体_GB2312"/>
                <w:color w:val="000000"/>
                <w:szCs w:val="21"/>
              </w:rPr>
            </w:pPr>
          </w:p>
        </w:tc>
        <w:tc>
          <w:tcPr>
            <w:tcW w:w="1046"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zCs w:val="21"/>
              </w:rPr>
            </w:pPr>
          </w:p>
        </w:tc>
        <w:tc>
          <w:tcPr>
            <w:tcW w:w="1346"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exac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zCs w:val="21"/>
              </w:rPr>
            </w:pPr>
            <w:r>
              <w:rPr>
                <w:rFonts w:eastAsia="楷体_GB2312"/>
                <w:color w:val="000000"/>
                <w:szCs w:val="21"/>
              </w:rPr>
              <w:t>7</w:t>
            </w:r>
          </w:p>
        </w:tc>
        <w:tc>
          <w:tcPr>
            <w:tcW w:w="856"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pacing w:val="-20"/>
                <w:szCs w:val="21"/>
              </w:rPr>
            </w:pPr>
          </w:p>
        </w:tc>
        <w:tc>
          <w:tcPr>
            <w:tcW w:w="4832"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eastAsia="楷体_GB2312"/>
                <w:color w:val="000000"/>
                <w:szCs w:val="21"/>
              </w:rPr>
            </w:pPr>
          </w:p>
        </w:tc>
        <w:tc>
          <w:tcPr>
            <w:tcW w:w="1046"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zCs w:val="21"/>
              </w:rPr>
            </w:pPr>
          </w:p>
        </w:tc>
        <w:tc>
          <w:tcPr>
            <w:tcW w:w="1346"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exac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zCs w:val="21"/>
              </w:rPr>
            </w:pPr>
            <w:r>
              <w:rPr>
                <w:rFonts w:eastAsia="楷体_GB2312"/>
                <w:color w:val="000000"/>
                <w:szCs w:val="21"/>
              </w:rPr>
              <w:t>8</w:t>
            </w:r>
          </w:p>
        </w:tc>
        <w:tc>
          <w:tcPr>
            <w:tcW w:w="856"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pacing w:val="-20"/>
                <w:szCs w:val="21"/>
              </w:rPr>
            </w:pPr>
          </w:p>
        </w:tc>
        <w:tc>
          <w:tcPr>
            <w:tcW w:w="4832"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eastAsia="楷体_GB2312"/>
                <w:color w:val="000000"/>
                <w:szCs w:val="21"/>
              </w:rPr>
            </w:pPr>
          </w:p>
        </w:tc>
        <w:tc>
          <w:tcPr>
            <w:tcW w:w="1046"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zCs w:val="21"/>
              </w:rPr>
            </w:pPr>
          </w:p>
        </w:tc>
        <w:tc>
          <w:tcPr>
            <w:tcW w:w="1346"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exac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zCs w:val="21"/>
              </w:rPr>
            </w:pPr>
            <w:r>
              <w:rPr>
                <w:rFonts w:eastAsia="楷体_GB2312"/>
                <w:color w:val="000000"/>
                <w:szCs w:val="21"/>
              </w:rPr>
              <w:t>9</w:t>
            </w:r>
          </w:p>
        </w:tc>
        <w:tc>
          <w:tcPr>
            <w:tcW w:w="856"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pacing w:val="-20"/>
                <w:szCs w:val="21"/>
              </w:rPr>
            </w:pPr>
          </w:p>
        </w:tc>
        <w:tc>
          <w:tcPr>
            <w:tcW w:w="4832"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eastAsia="楷体_GB2312"/>
                <w:color w:val="000000"/>
                <w:szCs w:val="21"/>
              </w:rPr>
            </w:pPr>
          </w:p>
        </w:tc>
        <w:tc>
          <w:tcPr>
            <w:tcW w:w="1046"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zCs w:val="21"/>
              </w:rPr>
            </w:pPr>
          </w:p>
        </w:tc>
        <w:tc>
          <w:tcPr>
            <w:tcW w:w="1346"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exac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zCs w:val="21"/>
              </w:rPr>
            </w:pPr>
            <w:r>
              <w:rPr>
                <w:rFonts w:eastAsia="楷体_GB2312"/>
                <w:color w:val="000000"/>
                <w:szCs w:val="21"/>
              </w:rPr>
              <w:t>10</w:t>
            </w:r>
          </w:p>
        </w:tc>
        <w:tc>
          <w:tcPr>
            <w:tcW w:w="856"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pacing w:val="-20"/>
                <w:szCs w:val="21"/>
              </w:rPr>
            </w:pPr>
          </w:p>
        </w:tc>
        <w:tc>
          <w:tcPr>
            <w:tcW w:w="4832"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eastAsia="楷体_GB2312"/>
                <w:color w:val="000000"/>
                <w:szCs w:val="21"/>
              </w:rPr>
            </w:pPr>
          </w:p>
        </w:tc>
        <w:tc>
          <w:tcPr>
            <w:tcW w:w="1046"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zCs w:val="21"/>
              </w:rPr>
            </w:pPr>
          </w:p>
        </w:tc>
        <w:tc>
          <w:tcPr>
            <w:tcW w:w="1346"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exac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zCs w:val="21"/>
              </w:rPr>
            </w:pPr>
            <w:r>
              <w:rPr>
                <w:rFonts w:eastAsia="楷体_GB2312"/>
                <w:color w:val="000000"/>
                <w:szCs w:val="21"/>
              </w:rPr>
              <w:t>11</w:t>
            </w:r>
          </w:p>
        </w:tc>
        <w:tc>
          <w:tcPr>
            <w:tcW w:w="856"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pacing w:val="-20"/>
                <w:szCs w:val="21"/>
              </w:rPr>
            </w:pPr>
          </w:p>
        </w:tc>
        <w:tc>
          <w:tcPr>
            <w:tcW w:w="4832"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eastAsia="楷体_GB2312"/>
                <w:color w:val="000000"/>
                <w:szCs w:val="21"/>
              </w:rPr>
            </w:pPr>
          </w:p>
        </w:tc>
        <w:tc>
          <w:tcPr>
            <w:tcW w:w="1046"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zCs w:val="21"/>
              </w:rPr>
            </w:pPr>
          </w:p>
        </w:tc>
        <w:tc>
          <w:tcPr>
            <w:tcW w:w="1346"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exac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zCs w:val="21"/>
              </w:rPr>
            </w:pPr>
            <w:r>
              <w:rPr>
                <w:rFonts w:eastAsia="楷体_GB2312"/>
                <w:color w:val="000000"/>
                <w:szCs w:val="21"/>
              </w:rPr>
              <w:t>12</w:t>
            </w:r>
          </w:p>
        </w:tc>
        <w:tc>
          <w:tcPr>
            <w:tcW w:w="856"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pacing w:val="-20"/>
                <w:szCs w:val="21"/>
              </w:rPr>
            </w:pPr>
          </w:p>
        </w:tc>
        <w:tc>
          <w:tcPr>
            <w:tcW w:w="4832"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eastAsia="楷体_GB2312"/>
                <w:color w:val="000000"/>
                <w:szCs w:val="21"/>
              </w:rPr>
            </w:pPr>
          </w:p>
        </w:tc>
        <w:tc>
          <w:tcPr>
            <w:tcW w:w="1046"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zCs w:val="21"/>
              </w:rPr>
            </w:pPr>
          </w:p>
        </w:tc>
        <w:tc>
          <w:tcPr>
            <w:tcW w:w="1346"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eastAsia="楷体_GB2312"/>
                <w:color w:val="000000"/>
                <w:szCs w:val="21"/>
              </w:rPr>
            </w:pPr>
          </w:p>
        </w:tc>
      </w:tr>
    </w:tbl>
    <w:p>
      <w:pPr>
        <w:jc w:val="left"/>
        <w:rPr>
          <w:rFonts w:eastAsia="仿宋_GB2312"/>
          <w:color w:val="000000"/>
          <w:szCs w:val="21"/>
        </w:rPr>
      </w:pPr>
    </w:p>
    <w:p>
      <w:pPr>
        <w:jc w:val="left"/>
        <w:rPr>
          <w:rFonts w:eastAsia="仿宋_GB2312"/>
          <w:color w:val="000000"/>
          <w:szCs w:val="21"/>
        </w:rPr>
      </w:pPr>
      <w:r>
        <w:rPr>
          <w:rFonts w:hint="eastAsia" w:eastAsia="仿宋_GB2312"/>
          <w:color w:val="000000"/>
          <w:szCs w:val="21"/>
        </w:rPr>
        <w:t>注：主要施工图设计审查业绩不少于</w:t>
      </w:r>
      <w:r>
        <w:rPr>
          <w:rFonts w:eastAsia="仿宋_GB2312"/>
          <w:color w:val="000000"/>
          <w:szCs w:val="21"/>
        </w:rPr>
        <w:t>10</w:t>
      </w:r>
      <w:r>
        <w:rPr>
          <w:rFonts w:hint="eastAsia" w:eastAsia="仿宋_GB2312"/>
          <w:color w:val="000000"/>
          <w:szCs w:val="21"/>
        </w:rPr>
        <w:t>项，且应符合申请级别要求的项目。担任工作（填写）：审查或复审。</w:t>
      </w:r>
    </w:p>
    <w:p>
      <w:pPr>
        <w:spacing w:line="240" w:lineRule="exact"/>
        <w:jc w:val="left"/>
        <w:rPr>
          <w:rFonts w:eastAsia="仿宋_GB2312"/>
          <w:color w:val="000000"/>
          <w:sz w:val="28"/>
        </w:rPr>
      </w:pPr>
      <w:r>
        <w:rPr>
          <w:rFonts w:eastAsia="仿宋_GB2312"/>
          <w:color w:val="000000"/>
          <w:sz w:val="28"/>
        </w:rPr>
        <w:br w:type="column"/>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3546"/>
        <w:gridCol w:w="4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jc w:val="center"/>
        </w:trPr>
        <w:tc>
          <w:tcPr>
            <w:tcW w:w="491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楷体_GB2312"/>
                <w:color w:val="000000"/>
                <w:szCs w:val="21"/>
              </w:rPr>
            </w:pPr>
            <w:r>
              <w:rPr>
                <w:rFonts w:hint="eastAsia" w:eastAsia="楷体_GB2312"/>
                <w:color w:val="000000"/>
                <w:szCs w:val="21"/>
              </w:rPr>
              <w:t>所在审查机构意见</w:t>
            </w:r>
          </w:p>
        </w:tc>
        <w:tc>
          <w:tcPr>
            <w:tcW w:w="4914"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楷体_GB2312"/>
                <w:color w:val="000000"/>
                <w:szCs w:val="21"/>
              </w:rPr>
            </w:pPr>
            <w:r>
              <w:rPr>
                <w:rFonts w:hint="eastAsia" w:eastAsia="楷体_GB2312"/>
                <w:color w:val="000000"/>
                <w:szCs w:val="21"/>
              </w:rPr>
              <w:t>兼职人员所在勘察设计企业意见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5" w:hRule="atLeast"/>
          <w:jc w:val="center"/>
        </w:trPr>
        <w:tc>
          <w:tcPr>
            <w:tcW w:w="4914"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eastAsia="楷体_GB2312"/>
                <w:color w:val="000000"/>
                <w:szCs w:val="21"/>
              </w:rPr>
            </w:pPr>
          </w:p>
          <w:p>
            <w:pPr>
              <w:spacing w:line="360" w:lineRule="exact"/>
              <w:rPr>
                <w:rFonts w:eastAsia="楷体_GB2312"/>
                <w:color w:val="000000"/>
                <w:szCs w:val="21"/>
              </w:rPr>
            </w:pPr>
            <w:r>
              <w:rPr>
                <w:rFonts w:eastAsia="楷体_GB2312"/>
                <w:color w:val="000000"/>
                <w:szCs w:val="21"/>
              </w:rPr>
              <w:t xml:space="preserve"> </w:t>
            </w:r>
          </w:p>
          <w:p>
            <w:pPr>
              <w:spacing w:line="360" w:lineRule="exact"/>
              <w:rPr>
                <w:rFonts w:eastAsia="楷体_GB2312"/>
                <w:color w:val="000000"/>
                <w:szCs w:val="21"/>
              </w:rPr>
            </w:pPr>
          </w:p>
          <w:p>
            <w:pPr>
              <w:spacing w:line="360" w:lineRule="exact"/>
              <w:rPr>
                <w:rFonts w:eastAsia="楷体_GB2312"/>
                <w:color w:val="000000"/>
                <w:szCs w:val="21"/>
              </w:rPr>
            </w:pPr>
          </w:p>
          <w:p>
            <w:pPr>
              <w:spacing w:line="360" w:lineRule="exact"/>
              <w:rPr>
                <w:rFonts w:eastAsia="楷体_GB2312"/>
                <w:color w:val="000000"/>
                <w:szCs w:val="21"/>
              </w:rPr>
            </w:pPr>
          </w:p>
          <w:p>
            <w:pPr>
              <w:spacing w:line="360" w:lineRule="exact"/>
              <w:jc w:val="center"/>
              <w:rPr>
                <w:rFonts w:eastAsia="楷体_GB2312"/>
                <w:color w:val="000000"/>
                <w:szCs w:val="21"/>
              </w:rPr>
            </w:pPr>
          </w:p>
          <w:p>
            <w:pPr>
              <w:spacing w:line="360" w:lineRule="exact"/>
              <w:rPr>
                <w:rFonts w:eastAsia="楷体_GB2312"/>
                <w:color w:val="000000"/>
                <w:szCs w:val="21"/>
              </w:rPr>
            </w:pPr>
            <w:r>
              <w:rPr>
                <w:rFonts w:hint="eastAsia" w:eastAsia="楷体_GB2312"/>
                <w:color w:val="000000"/>
                <w:szCs w:val="21"/>
              </w:rPr>
              <w:t>负责人签字：</w:t>
            </w:r>
          </w:p>
          <w:p>
            <w:pPr>
              <w:spacing w:before="240" w:line="360" w:lineRule="exact"/>
              <w:rPr>
                <w:rFonts w:eastAsia="楷体_GB2312"/>
                <w:color w:val="000000"/>
                <w:szCs w:val="21"/>
              </w:rPr>
            </w:pPr>
            <w:r>
              <w:rPr>
                <w:rFonts w:hint="eastAsia" w:eastAsia="楷体_GB2312"/>
                <w:color w:val="000000"/>
                <w:szCs w:val="21"/>
              </w:rPr>
              <w:t>（公章）</w:t>
            </w:r>
            <w:r>
              <w:rPr>
                <w:rFonts w:eastAsia="楷体_GB2312"/>
                <w:color w:val="000000"/>
                <w:szCs w:val="21"/>
              </w:rPr>
              <w:t xml:space="preserve">    </w:t>
            </w:r>
          </w:p>
          <w:p>
            <w:pPr>
              <w:spacing w:line="360" w:lineRule="exact"/>
              <w:jc w:val="right"/>
              <w:rPr>
                <w:rFonts w:eastAsia="楷体_GB2312"/>
                <w:color w:val="000000"/>
                <w:szCs w:val="21"/>
              </w:rPr>
            </w:pPr>
            <w:r>
              <w:rPr>
                <w:rFonts w:hint="eastAsia" w:eastAsia="楷体_GB2312"/>
                <w:color w:val="000000"/>
                <w:szCs w:val="21"/>
              </w:rPr>
              <w:t>年</w:t>
            </w:r>
            <w:r>
              <w:rPr>
                <w:rFonts w:eastAsia="楷体_GB2312"/>
                <w:color w:val="000000"/>
                <w:szCs w:val="21"/>
              </w:rPr>
              <w:t xml:space="preserve">  </w:t>
            </w:r>
            <w:r>
              <w:rPr>
                <w:rFonts w:hint="eastAsia" w:eastAsia="楷体_GB2312"/>
                <w:color w:val="000000"/>
                <w:szCs w:val="21"/>
              </w:rPr>
              <w:t>月</w:t>
            </w:r>
            <w:r>
              <w:rPr>
                <w:rFonts w:eastAsia="楷体_GB2312"/>
                <w:color w:val="000000"/>
                <w:szCs w:val="21"/>
              </w:rPr>
              <w:t xml:space="preserve">  </w:t>
            </w:r>
            <w:r>
              <w:rPr>
                <w:rFonts w:hint="eastAsia" w:eastAsia="楷体_GB2312"/>
                <w:color w:val="000000"/>
                <w:szCs w:val="21"/>
              </w:rPr>
              <w:t>日</w:t>
            </w:r>
          </w:p>
        </w:tc>
        <w:tc>
          <w:tcPr>
            <w:tcW w:w="4914"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eastAsia="楷体_GB2312"/>
                <w:color w:val="000000"/>
                <w:szCs w:val="21"/>
              </w:rPr>
            </w:pPr>
          </w:p>
          <w:p>
            <w:pPr>
              <w:spacing w:line="360" w:lineRule="exact"/>
              <w:rPr>
                <w:rFonts w:eastAsia="楷体_GB2312"/>
                <w:color w:val="000000"/>
                <w:szCs w:val="21"/>
              </w:rPr>
            </w:pPr>
          </w:p>
          <w:p>
            <w:pPr>
              <w:spacing w:line="360" w:lineRule="exact"/>
              <w:rPr>
                <w:rFonts w:eastAsia="楷体_GB2312"/>
                <w:color w:val="000000"/>
                <w:szCs w:val="21"/>
              </w:rPr>
            </w:pPr>
          </w:p>
          <w:p>
            <w:pPr>
              <w:spacing w:line="360" w:lineRule="exact"/>
              <w:rPr>
                <w:rFonts w:eastAsia="楷体_GB2312"/>
                <w:color w:val="000000"/>
                <w:szCs w:val="21"/>
              </w:rPr>
            </w:pPr>
          </w:p>
          <w:p>
            <w:pPr>
              <w:spacing w:line="360" w:lineRule="exact"/>
              <w:rPr>
                <w:rFonts w:eastAsia="楷体_GB2312"/>
                <w:color w:val="000000"/>
                <w:szCs w:val="21"/>
              </w:rPr>
            </w:pPr>
          </w:p>
          <w:p>
            <w:pPr>
              <w:spacing w:line="360" w:lineRule="exact"/>
              <w:jc w:val="center"/>
              <w:rPr>
                <w:rFonts w:eastAsia="楷体_GB2312"/>
                <w:color w:val="000000"/>
                <w:szCs w:val="21"/>
              </w:rPr>
            </w:pPr>
          </w:p>
          <w:p>
            <w:pPr>
              <w:spacing w:line="360" w:lineRule="exact"/>
              <w:rPr>
                <w:rFonts w:eastAsia="楷体_GB2312"/>
                <w:color w:val="000000"/>
                <w:szCs w:val="21"/>
              </w:rPr>
            </w:pPr>
            <w:r>
              <w:rPr>
                <w:rFonts w:hint="eastAsia" w:eastAsia="楷体_GB2312"/>
                <w:color w:val="000000"/>
                <w:szCs w:val="21"/>
              </w:rPr>
              <w:t>负责人签字：</w:t>
            </w:r>
          </w:p>
          <w:p>
            <w:pPr>
              <w:spacing w:before="240" w:line="360" w:lineRule="exact"/>
              <w:rPr>
                <w:rFonts w:eastAsia="楷体_GB2312"/>
                <w:color w:val="000000"/>
                <w:szCs w:val="21"/>
              </w:rPr>
            </w:pPr>
            <w:r>
              <w:rPr>
                <w:rFonts w:hint="eastAsia" w:eastAsia="楷体_GB2312"/>
                <w:color w:val="000000"/>
                <w:szCs w:val="21"/>
              </w:rPr>
              <w:t>（公章）</w:t>
            </w:r>
            <w:r>
              <w:rPr>
                <w:rFonts w:eastAsia="楷体_GB2312"/>
                <w:color w:val="000000"/>
                <w:szCs w:val="21"/>
              </w:rPr>
              <w:t xml:space="preserve">    </w:t>
            </w:r>
          </w:p>
          <w:p>
            <w:pPr>
              <w:spacing w:line="360" w:lineRule="exact"/>
              <w:jc w:val="right"/>
              <w:rPr>
                <w:rFonts w:eastAsia="楷体_GB2312"/>
                <w:color w:val="000000"/>
                <w:szCs w:val="21"/>
              </w:rPr>
            </w:pPr>
            <w:r>
              <w:rPr>
                <w:rFonts w:hint="eastAsia" w:eastAsia="楷体_GB2312"/>
                <w:color w:val="000000"/>
                <w:szCs w:val="21"/>
              </w:rPr>
              <w:t>年</w:t>
            </w:r>
            <w:r>
              <w:rPr>
                <w:rFonts w:eastAsia="楷体_GB2312"/>
                <w:color w:val="000000"/>
                <w:szCs w:val="21"/>
              </w:rPr>
              <w:t xml:space="preserve">  </w:t>
            </w:r>
            <w:r>
              <w:rPr>
                <w:rFonts w:hint="eastAsia" w:eastAsia="楷体_GB2312"/>
                <w:color w:val="000000"/>
                <w:szCs w:val="21"/>
              </w:rPr>
              <w:t>月</w:t>
            </w:r>
            <w:r>
              <w:rPr>
                <w:rFonts w:eastAsia="楷体_GB2312"/>
                <w:color w:val="000000"/>
                <w:szCs w:val="21"/>
              </w:rPr>
              <w:t xml:space="preserve">  </w:t>
            </w:r>
            <w:r>
              <w:rPr>
                <w:rFonts w:hint="eastAsia" w:eastAsia="楷体_GB2312"/>
                <w:color w:val="000000"/>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8" w:hRule="atLeast"/>
          <w:jc w:val="center"/>
        </w:trPr>
        <w:tc>
          <w:tcPr>
            <w:tcW w:w="491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楷体_GB2312"/>
                <w:color w:val="000000"/>
                <w:szCs w:val="21"/>
              </w:rPr>
            </w:pPr>
            <w:r>
              <w:rPr>
                <w:rFonts w:hint="eastAsia" w:eastAsia="楷体_GB2312"/>
                <w:color w:val="000000"/>
                <w:szCs w:val="21"/>
              </w:rPr>
              <w:t>县（市）建设行政主管部门审核意见</w:t>
            </w:r>
          </w:p>
        </w:tc>
        <w:tc>
          <w:tcPr>
            <w:tcW w:w="4914"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楷体_GB2312"/>
                <w:color w:val="000000"/>
                <w:szCs w:val="21"/>
              </w:rPr>
            </w:pPr>
            <w:r>
              <w:rPr>
                <w:rFonts w:hint="eastAsia" w:eastAsia="楷体_GB2312"/>
                <w:color w:val="000000"/>
                <w:szCs w:val="21"/>
              </w:rPr>
              <w:t>省辖市建设行政主管部门审核意见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2" w:hRule="atLeast"/>
          <w:jc w:val="center"/>
        </w:trPr>
        <w:tc>
          <w:tcPr>
            <w:tcW w:w="4914"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eastAsia="楷体_GB2312"/>
                <w:color w:val="000000"/>
                <w:szCs w:val="21"/>
              </w:rPr>
            </w:pPr>
          </w:p>
          <w:p>
            <w:pPr>
              <w:spacing w:line="360" w:lineRule="exact"/>
              <w:rPr>
                <w:rFonts w:eastAsia="楷体_GB2312"/>
                <w:color w:val="000000"/>
                <w:szCs w:val="21"/>
              </w:rPr>
            </w:pPr>
          </w:p>
          <w:p>
            <w:pPr>
              <w:spacing w:line="360" w:lineRule="exact"/>
              <w:rPr>
                <w:rFonts w:eastAsia="楷体_GB2312"/>
                <w:color w:val="000000"/>
                <w:szCs w:val="21"/>
              </w:rPr>
            </w:pPr>
          </w:p>
          <w:p>
            <w:pPr>
              <w:spacing w:line="360" w:lineRule="exact"/>
              <w:rPr>
                <w:rFonts w:eastAsia="楷体_GB2312"/>
                <w:color w:val="000000"/>
                <w:szCs w:val="21"/>
              </w:rPr>
            </w:pPr>
          </w:p>
          <w:p>
            <w:pPr>
              <w:spacing w:line="360" w:lineRule="exact"/>
              <w:rPr>
                <w:rFonts w:eastAsia="楷体_GB2312"/>
                <w:color w:val="000000"/>
                <w:szCs w:val="21"/>
              </w:rPr>
            </w:pPr>
          </w:p>
          <w:p>
            <w:pPr>
              <w:spacing w:line="360" w:lineRule="exact"/>
              <w:jc w:val="center"/>
              <w:rPr>
                <w:rFonts w:eastAsia="楷体_GB2312"/>
                <w:color w:val="000000"/>
                <w:szCs w:val="21"/>
              </w:rPr>
            </w:pPr>
          </w:p>
          <w:p>
            <w:pPr>
              <w:spacing w:line="360" w:lineRule="exact"/>
              <w:rPr>
                <w:rFonts w:eastAsia="楷体_GB2312"/>
                <w:color w:val="000000"/>
                <w:szCs w:val="21"/>
              </w:rPr>
            </w:pPr>
            <w:r>
              <w:rPr>
                <w:rFonts w:hint="eastAsia" w:eastAsia="楷体_GB2312"/>
                <w:color w:val="000000"/>
                <w:szCs w:val="21"/>
              </w:rPr>
              <w:t>负责人签字：</w:t>
            </w:r>
          </w:p>
          <w:p>
            <w:pPr>
              <w:spacing w:before="240" w:line="360" w:lineRule="exact"/>
              <w:rPr>
                <w:rFonts w:eastAsia="楷体_GB2312"/>
                <w:color w:val="000000"/>
                <w:szCs w:val="21"/>
              </w:rPr>
            </w:pPr>
            <w:r>
              <w:rPr>
                <w:rFonts w:hint="eastAsia" w:eastAsia="楷体_GB2312"/>
                <w:color w:val="000000"/>
                <w:szCs w:val="21"/>
              </w:rPr>
              <w:t>（公章）</w:t>
            </w:r>
            <w:r>
              <w:rPr>
                <w:rFonts w:eastAsia="楷体_GB2312"/>
                <w:color w:val="000000"/>
                <w:szCs w:val="21"/>
              </w:rPr>
              <w:t xml:space="preserve">    </w:t>
            </w:r>
          </w:p>
          <w:p>
            <w:pPr>
              <w:spacing w:line="360" w:lineRule="exact"/>
              <w:jc w:val="right"/>
              <w:rPr>
                <w:rFonts w:eastAsia="楷体_GB2312"/>
                <w:color w:val="000000"/>
                <w:szCs w:val="21"/>
              </w:rPr>
            </w:pPr>
            <w:r>
              <w:rPr>
                <w:rFonts w:hint="eastAsia" w:eastAsia="楷体_GB2312"/>
                <w:color w:val="000000"/>
                <w:szCs w:val="21"/>
              </w:rPr>
              <w:t>年</w:t>
            </w:r>
            <w:r>
              <w:rPr>
                <w:rFonts w:eastAsia="楷体_GB2312"/>
                <w:color w:val="000000"/>
                <w:szCs w:val="21"/>
              </w:rPr>
              <w:t xml:space="preserve">  </w:t>
            </w:r>
            <w:r>
              <w:rPr>
                <w:rFonts w:hint="eastAsia" w:eastAsia="楷体_GB2312"/>
                <w:color w:val="000000"/>
                <w:szCs w:val="21"/>
              </w:rPr>
              <w:t>月</w:t>
            </w:r>
            <w:r>
              <w:rPr>
                <w:rFonts w:eastAsia="楷体_GB2312"/>
                <w:color w:val="000000"/>
                <w:szCs w:val="21"/>
              </w:rPr>
              <w:t xml:space="preserve">  </w:t>
            </w:r>
            <w:r>
              <w:rPr>
                <w:rFonts w:hint="eastAsia" w:eastAsia="楷体_GB2312"/>
                <w:color w:val="000000"/>
                <w:szCs w:val="21"/>
              </w:rPr>
              <w:t>日</w:t>
            </w:r>
          </w:p>
        </w:tc>
        <w:tc>
          <w:tcPr>
            <w:tcW w:w="4914"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eastAsia="楷体_GB2312"/>
                <w:color w:val="000000"/>
                <w:szCs w:val="21"/>
              </w:rPr>
            </w:pPr>
          </w:p>
          <w:p>
            <w:pPr>
              <w:spacing w:line="360" w:lineRule="exact"/>
              <w:rPr>
                <w:rFonts w:eastAsia="楷体_GB2312"/>
                <w:color w:val="000000"/>
                <w:szCs w:val="21"/>
              </w:rPr>
            </w:pPr>
          </w:p>
          <w:p>
            <w:pPr>
              <w:spacing w:line="360" w:lineRule="exact"/>
              <w:rPr>
                <w:rFonts w:eastAsia="楷体_GB2312"/>
                <w:color w:val="000000"/>
                <w:szCs w:val="21"/>
              </w:rPr>
            </w:pPr>
          </w:p>
          <w:p>
            <w:pPr>
              <w:spacing w:line="360" w:lineRule="exact"/>
              <w:rPr>
                <w:rFonts w:eastAsia="楷体_GB2312"/>
                <w:color w:val="000000"/>
                <w:szCs w:val="21"/>
              </w:rPr>
            </w:pPr>
          </w:p>
          <w:p>
            <w:pPr>
              <w:spacing w:line="360" w:lineRule="exact"/>
              <w:rPr>
                <w:rFonts w:eastAsia="楷体_GB2312"/>
                <w:color w:val="000000"/>
                <w:szCs w:val="21"/>
              </w:rPr>
            </w:pPr>
          </w:p>
          <w:p>
            <w:pPr>
              <w:spacing w:line="360" w:lineRule="exact"/>
              <w:jc w:val="center"/>
              <w:rPr>
                <w:rFonts w:eastAsia="楷体_GB2312"/>
                <w:color w:val="000000"/>
                <w:szCs w:val="21"/>
              </w:rPr>
            </w:pPr>
          </w:p>
          <w:p>
            <w:pPr>
              <w:spacing w:line="360" w:lineRule="exact"/>
              <w:rPr>
                <w:rFonts w:eastAsia="楷体_GB2312"/>
                <w:color w:val="000000"/>
                <w:szCs w:val="21"/>
              </w:rPr>
            </w:pPr>
            <w:r>
              <w:rPr>
                <w:rFonts w:hint="eastAsia" w:eastAsia="楷体_GB2312"/>
                <w:color w:val="000000"/>
                <w:szCs w:val="21"/>
              </w:rPr>
              <w:t>负责人签字：</w:t>
            </w:r>
          </w:p>
          <w:p>
            <w:pPr>
              <w:spacing w:before="240" w:line="360" w:lineRule="exact"/>
              <w:rPr>
                <w:rFonts w:eastAsia="楷体_GB2312"/>
                <w:color w:val="000000"/>
                <w:szCs w:val="21"/>
              </w:rPr>
            </w:pPr>
            <w:r>
              <w:rPr>
                <w:rFonts w:hint="eastAsia" w:eastAsia="楷体_GB2312"/>
                <w:color w:val="000000"/>
                <w:szCs w:val="21"/>
              </w:rPr>
              <w:t>（公章）</w:t>
            </w:r>
            <w:r>
              <w:rPr>
                <w:rFonts w:eastAsia="楷体_GB2312"/>
                <w:color w:val="000000"/>
                <w:szCs w:val="21"/>
              </w:rPr>
              <w:t xml:space="preserve">    </w:t>
            </w:r>
          </w:p>
          <w:p>
            <w:pPr>
              <w:spacing w:line="360" w:lineRule="exact"/>
              <w:jc w:val="right"/>
              <w:rPr>
                <w:rFonts w:eastAsia="楷体_GB2312"/>
                <w:color w:val="000000"/>
                <w:szCs w:val="21"/>
              </w:rPr>
            </w:pPr>
            <w:r>
              <w:rPr>
                <w:rFonts w:hint="eastAsia" w:eastAsia="楷体_GB2312"/>
                <w:color w:val="000000"/>
                <w:szCs w:val="21"/>
              </w:rPr>
              <w:t>年</w:t>
            </w:r>
            <w:r>
              <w:rPr>
                <w:rFonts w:eastAsia="楷体_GB2312"/>
                <w:color w:val="000000"/>
                <w:szCs w:val="21"/>
              </w:rPr>
              <w:t xml:space="preserve">  </w:t>
            </w:r>
            <w:r>
              <w:rPr>
                <w:rFonts w:hint="eastAsia" w:eastAsia="楷体_GB2312"/>
                <w:color w:val="000000"/>
                <w:szCs w:val="21"/>
              </w:rPr>
              <w:t>月</w:t>
            </w:r>
            <w:r>
              <w:rPr>
                <w:rFonts w:eastAsia="楷体_GB2312"/>
                <w:color w:val="000000"/>
                <w:szCs w:val="21"/>
              </w:rPr>
              <w:t xml:space="preserve">  </w:t>
            </w:r>
            <w:r>
              <w:rPr>
                <w:rFonts w:hint="eastAsia" w:eastAsia="楷体_GB2312"/>
                <w:color w:val="000000"/>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7" w:hRule="atLeast"/>
          <w:jc w:val="center"/>
        </w:trPr>
        <w:tc>
          <w:tcPr>
            <w:tcW w:w="9828" w:type="dxa"/>
            <w:gridSpan w:val="3"/>
            <w:tcBorders>
              <w:top w:val="single" w:color="auto" w:sz="4" w:space="0"/>
              <w:left w:val="single" w:color="auto" w:sz="4" w:space="0"/>
              <w:bottom w:val="single" w:color="auto" w:sz="4" w:space="0"/>
              <w:right w:val="single" w:color="auto" w:sz="4" w:space="0"/>
            </w:tcBorders>
            <w:noWrap w:val="0"/>
            <w:vAlign w:val="top"/>
          </w:tcPr>
          <w:p>
            <w:pPr>
              <w:spacing w:before="240" w:line="360" w:lineRule="exact"/>
              <w:jc w:val="center"/>
              <w:rPr>
                <w:rFonts w:eastAsia="楷体_GB2312"/>
                <w:color w:val="000000"/>
                <w:szCs w:val="21"/>
              </w:rPr>
            </w:pPr>
            <w:r>
              <w:rPr>
                <w:rFonts w:hint="eastAsia" w:eastAsia="楷体_GB2312"/>
                <w:color w:val="000000"/>
                <w:szCs w:val="21"/>
              </w:rPr>
              <w:t>省</w:t>
            </w:r>
            <w:r>
              <w:rPr>
                <w:rFonts w:eastAsia="楷体_GB2312"/>
                <w:color w:val="000000"/>
                <w:szCs w:val="21"/>
              </w:rPr>
              <w:t xml:space="preserve"> </w:t>
            </w:r>
            <w:r>
              <w:rPr>
                <w:rFonts w:hint="eastAsia" w:eastAsia="楷体_GB2312"/>
                <w:color w:val="000000"/>
                <w:szCs w:val="21"/>
              </w:rPr>
              <w:t>住</w:t>
            </w:r>
            <w:r>
              <w:rPr>
                <w:rFonts w:eastAsia="楷体_GB2312"/>
                <w:color w:val="000000"/>
                <w:szCs w:val="21"/>
              </w:rPr>
              <w:t xml:space="preserve"> </w:t>
            </w:r>
            <w:r>
              <w:rPr>
                <w:rFonts w:hint="eastAsia" w:eastAsia="楷体_GB2312"/>
                <w:color w:val="000000"/>
                <w:szCs w:val="21"/>
              </w:rPr>
              <w:t>房</w:t>
            </w:r>
            <w:r>
              <w:rPr>
                <w:rFonts w:eastAsia="楷体_GB2312"/>
                <w:color w:val="000000"/>
                <w:szCs w:val="21"/>
              </w:rPr>
              <w:t xml:space="preserve"> </w:t>
            </w:r>
            <w:r>
              <w:rPr>
                <w:rFonts w:hint="eastAsia" w:eastAsia="楷体_GB2312"/>
                <w:color w:val="000000"/>
                <w:szCs w:val="21"/>
              </w:rPr>
              <w:t>和</w:t>
            </w:r>
            <w:r>
              <w:rPr>
                <w:rFonts w:eastAsia="楷体_GB2312"/>
                <w:color w:val="000000"/>
                <w:szCs w:val="21"/>
              </w:rPr>
              <w:t xml:space="preserve"> </w:t>
            </w:r>
            <w:r>
              <w:rPr>
                <w:rFonts w:hint="eastAsia" w:eastAsia="楷体_GB2312"/>
                <w:color w:val="000000"/>
                <w:szCs w:val="21"/>
              </w:rPr>
              <w:t>城</w:t>
            </w:r>
            <w:r>
              <w:rPr>
                <w:rFonts w:eastAsia="楷体_GB2312"/>
                <w:color w:val="000000"/>
                <w:szCs w:val="21"/>
              </w:rPr>
              <w:t xml:space="preserve"> </w:t>
            </w:r>
            <w:r>
              <w:rPr>
                <w:rFonts w:hint="eastAsia" w:eastAsia="楷体_GB2312"/>
                <w:color w:val="000000"/>
                <w:szCs w:val="21"/>
              </w:rPr>
              <w:t>乡</w:t>
            </w:r>
            <w:r>
              <w:rPr>
                <w:rFonts w:eastAsia="楷体_GB2312"/>
                <w:color w:val="000000"/>
                <w:szCs w:val="21"/>
              </w:rPr>
              <w:t xml:space="preserve"> </w:t>
            </w:r>
            <w:r>
              <w:rPr>
                <w:rFonts w:hint="eastAsia" w:eastAsia="楷体_GB2312"/>
                <w:color w:val="000000"/>
                <w:szCs w:val="21"/>
              </w:rPr>
              <w:t>建</w:t>
            </w:r>
            <w:r>
              <w:rPr>
                <w:rFonts w:eastAsia="楷体_GB2312"/>
                <w:color w:val="000000"/>
                <w:szCs w:val="21"/>
              </w:rPr>
              <w:t xml:space="preserve"> </w:t>
            </w:r>
            <w:r>
              <w:rPr>
                <w:rFonts w:hint="eastAsia" w:eastAsia="楷体_GB2312"/>
                <w:color w:val="000000"/>
                <w:szCs w:val="21"/>
              </w:rPr>
              <w:t>设</w:t>
            </w:r>
            <w:r>
              <w:rPr>
                <w:rFonts w:eastAsia="楷体_GB2312"/>
                <w:color w:val="000000"/>
                <w:szCs w:val="21"/>
              </w:rPr>
              <w:t xml:space="preserve"> </w:t>
            </w:r>
            <w:r>
              <w:rPr>
                <w:rFonts w:hint="eastAsia" w:eastAsia="楷体_GB2312"/>
                <w:color w:val="000000"/>
                <w:szCs w:val="21"/>
              </w:rPr>
              <w:t>行</w:t>
            </w:r>
            <w:r>
              <w:rPr>
                <w:rFonts w:eastAsia="楷体_GB2312"/>
                <w:color w:val="000000"/>
                <w:szCs w:val="21"/>
              </w:rPr>
              <w:t xml:space="preserve"> </w:t>
            </w:r>
            <w:r>
              <w:rPr>
                <w:rFonts w:hint="eastAsia" w:eastAsia="楷体_GB2312"/>
                <w:color w:val="000000"/>
                <w:szCs w:val="21"/>
              </w:rPr>
              <w:t>政</w:t>
            </w:r>
            <w:r>
              <w:rPr>
                <w:rFonts w:eastAsia="楷体_GB2312"/>
                <w:color w:val="000000"/>
                <w:szCs w:val="21"/>
              </w:rPr>
              <w:t xml:space="preserve"> </w:t>
            </w:r>
            <w:r>
              <w:rPr>
                <w:rFonts w:hint="eastAsia" w:eastAsia="楷体_GB2312"/>
                <w:color w:val="000000"/>
                <w:szCs w:val="21"/>
              </w:rPr>
              <w:t>主</w:t>
            </w:r>
            <w:r>
              <w:rPr>
                <w:rFonts w:eastAsia="楷体_GB2312"/>
                <w:color w:val="000000"/>
                <w:szCs w:val="21"/>
              </w:rPr>
              <w:t xml:space="preserve"> </w:t>
            </w:r>
            <w:r>
              <w:rPr>
                <w:rFonts w:hint="eastAsia" w:eastAsia="楷体_GB2312"/>
                <w:color w:val="000000"/>
                <w:szCs w:val="21"/>
              </w:rPr>
              <w:t>管</w:t>
            </w:r>
            <w:r>
              <w:rPr>
                <w:rFonts w:eastAsia="楷体_GB2312"/>
                <w:color w:val="000000"/>
                <w:szCs w:val="21"/>
              </w:rPr>
              <w:t xml:space="preserve"> </w:t>
            </w:r>
            <w:r>
              <w:rPr>
                <w:rFonts w:hint="eastAsia" w:eastAsia="楷体_GB2312"/>
                <w:color w:val="000000"/>
                <w:szCs w:val="21"/>
              </w:rPr>
              <w:t>部</w:t>
            </w:r>
            <w:r>
              <w:rPr>
                <w:rFonts w:eastAsia="楷体_GB2312"/>
                <w:color w:val="000000"/>
                <w:szCs w:val="21"/>
              </w:rPr>
              <w:t xml:space="preserve"> </w:t>
            </w:r>
            <w:r>
              <w:rPr>
                <w:rFonts w:hint="eastAsia" w:eastAsia="楷体_GB2312"/>
                <w:color w:val="000000"/>
                <w:szCs w:val="21"/>
              </w:rPr>
              <w:t>门</w:t>
            </w:r>
            <w:r>
              <w:rPr>
                <w:rFonts w:eastAsia="楷体_GB2312"/>
                <w:color w:val="000000"/>
                <w:szCs w:val="21"/>
              </w:rPr>
              <w:t xml:space="preserve"> </w:t>
            </w:r>
            <w:r>
              <w:rPr>
                <w:rFonts w:hint="eastAsia" w:eastAsia="楷体_GB2312"/>
                <w:color w:val="000000"/>
                <w:szCs w:val="21"/>
              </w:rPr>
              <w:t>认</w:t>
            </w:r>
            <w:r>
              <w:rPr>
                <w:rFonts w:eastAsia="楷体_GB2312"/>
                <w:color w:val="000000"/>
                <w:szCs w:val="21"/>
              </w:rPr>
              <w:t xml:space="preserve"> </w:t>
            </w:r>
            <w:r>
              <w:rPr>
                <w:rFonts w:hint="eastAsia" w:eastAsia="楷体_GB2312"/>
                <w:color w:val="000000"/>
                <w:szCs w:val="21"/>
              </w:rPr>
              <w:t>定</w:t>
            </w:r>
            <w:r>
              <w:rPr>
                <w:rFonts w:eastAsia="楷体_GB2312"/>
                <w:color w:val="000000"/>
                <w:szCs w:val="21"/>
              </w:rPr>
              <w:t xml:space="preserve"> </w:t>
            </w:r>
            <w:r>
              <w:rPr>
                <w:rFonts w:hint="eastAsia" w:eastAsia="楷体_GB2312"/>
                <w:color w:val="000000"/>
                <w:szCs w:val="21"/>
              </w:rPr>
              <w:t>意</w:t>
            </w:r>
            <w:r>
              <w:rPr>
                <w:rFonts w:eastAsia="楷体_GB2312"/>
                <w:color w:val="000000"/>
                <w:szCs w:val="21"/>
              </w:rPr>
              <w:t xml:space="preserve"> </w:t>
            </w:r>
            <w:r>
              <w:rPr>
                <w:rFonts w:hint="eastAsia" w:eastAsia="楷体_GB2312"/>
                <w:color w:val="000000"/>
                <w:szCs w:val="21"/>
              </w:rPr>
              <w:t>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02" w:hRule="atLeast"/>
          <w:jc w:val="center"/>
        </w:trPr>
        <w:tc>
          <w:tcPr>
            <w:tcW w:w="9828" w:type="dxa"/>
            <w:gridSpan w:val="3"/>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eastAsia="楷体_GB2312"/>
                <w:color w:val="000000"/>
                <w:szCs w:val="21"/>
              </w:rPr>
            </w:pPr>
          </w:p>
          <w:p>
            <w:pPr>
              <w:spacing w:line="360" w:lineRule="exact"/>
              <w:rPr>
                <w:rFonts w:eastAsia="楷体_GB2312"/>
                <w:color w:val="000000"/>
                <w:szCs w:val="21"/>
              </w:rPr>
            </w:pPr>
          </w:p>
          <w:p>
            <w:pPr>
              <w:spacing w:line="360" w:lineRule="exact"/>
              <w:rPr>
                <w:rFonts w:eastAsia="楷体_GB2312"/>
                <w:color w:val="000000"/>
                <w:szCs w:val="21"/>
              </w:rPr>
            </w:pPr>
          </w:p>
          <w:p>
            <w:pPr>
              <w:spacing w:line="360" w:lineRule="exact"/>
              <w:rPr>
                <w:rFonts w:eastAsia="楷体_GB2312"/>
                <w:color w:val="000000"/>
                <w:szCs w:val="21"/>
              </w:rPr>
            </w:pPr>
          </w:p>
          <w:p>
            <w:pPr>
              <w:spacing w:line="360" w:lineRule="exact"/>
              <w:jc w:val="center"/>
              <w:rPr>
                <w:rFonts w:eastAsia="楷体_GB2312"/>
                <w:color w:val="000000"/>
                <w:szCs w:val="21"/>
              </w:rPr>
            </w:pPr>
            <w:r>
              <w:rPr>
                <w:rFonts w:eastAsia="楷体_GB2312"/>
                <w:color w:val="000000"/>
                <w:szCs w:val="21"/>
              </w:rPr>
              <w:t xml:space="preserve">                                     </w:t>
            </w:r>
            <w:r>
              <w:rPr>
                <w:rFonts w:hint="eastAsia" w:eastAsia="楷体_GB2312"/>
                <w:color w:val="000000"/>
                <w:szCs w:val="21"/>
              </w:rPr>
              <w:t>（公章）</w:t>
            </w:r>
          </w:p>
          <w:p>
            <w:pPr>
              <w:spacing w:line="360" w:lineRule="exact"/>
              <w:rPr>
                <w:rFonts w:eastAsia="楷体_GB2312"/>
                <w:color w:val="000000"/>
                <w:szCs w:val="21"/>
              </w:rPr>
            </w:pPr>
            <w:r>
              <w:rPr>
                <w:rFonts w:eastAsia="楷体_GB2312"/>
                <w:color w:val="000000"/>
                <w:szCs w:val="21"/>
              </w:rPr>
              <w:t xml:space="preserve">                                                           </w:t>
            </w:r>
            <w:r>
              <w:rPr>
                <w:rFonts w:hint="eastAsia" w:eastAsia="楷体_GB2312"/>
                <w:color w:val="000000"/>
                <w:szCs w:val="21"/>
              </w:rPr>
              <w:t>年</w:t>
            </w:r>
            <w:r>
              <w:rPr>
                <w:rFonts w:eastAsia="楷体_GB2312"/>
                <w:color w:val="000000"/>
                <w:szCs w:val="21"/>
              </w:rPr>
              <w:t xml:space="preserve">  </w:t>
            </w:r>
            <w:r>
              <w:rPr>
                <w:rFonts w:hint="eastAsia" w:eastAsia="楷体_GB2312"/>
                <w:color w:val="000000"/>
                <w:szCs w:val="21"/>
              </w:rPr>
              <w:t>月</w:t>
            </w:r>
            <w:r>
              <w:rPr>
                <w:rFonts w:eastAsia="楷体_GB2312"/>
                <w:color w:val="000000"/>
                <w:szCs w:val="21"/>
              </w:rPr>
              <w:t xml:space="preserve">  </w:t>
            </w:r>
            <w:r>
              <w:rPr>
                <w:rFonts w:hint="eastAsia" w:eastAsia="楷体_GB2312"/>
                <w:color w:val="000000"/>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1368" w:type="dxa"/>
            <w:tcBorders>
              <w:top w:val="single" w:color="auto" w:sz="4" w:space="0"/>
              <w:left w:val="single" w:color="auto" w:sz="4" w:space="0"/>
              <w:bottom w:val="single" w:color="auto" w:sz="4" w:space="0"/>
              <w:right w:val="single" w:color="auto" w:sz="4" w:space="0"/>
            </w:tcBorders>
            <w:noWrap w:val="0"/>
            <w:vAlign w:val="center"/>
          </w:tcPr>
          <w:p>
            <w:pPr>
              <w:spacing w:before="120" w:line="360" w:lineRule="exact"/>
              <w:jc w:val="center"/>
              <w:rPr>
                <w:rFonts w:eastAsia="楷体_GB2312"/>
                <w:color w:val="000000"/>
                <w:szCs w:val="21"/>
              </w:rPr>
            </w:pPr>
            <w:r>
              <w:rPr>
                <w:rFonts w:hint="eastAsia" w:eastAsia="楷体_GB2312"/>
                <w:color w:val="000000"/>
                <w:szCs w:val="21"/>
              </w:rPr>
              <w:t>备</w:t>
            </w:r>
            <w:r>
              <w:rPr>
                <w:rFonts w:eastAsia="楷体_GB2312"/>
                <w:color w:val="000000"/>
                <w:szCs w:val="21"/>
              </w:rPr>
              <w:t xml:space="preserve">  </w:t>
            </w:r>
            <w:r>
              <w:rPr>
                <w:rFonts w:hint="eastAsia" w:eastAsia="楷体_GB2312"/>
                <w:color w:val="000000"/>
                <w:szCs w:val="21"/>
              </w:rPr>
              <w:t>注</w:t>
            </w:r>
          </w:p>
        </w:tc>
        <w:tc>
          <w:tcPr>
            <w:tcW w:w="8460"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eastAsia="楷体_GB2312"/>
                <w:color w:val="000000"/>
                <w:szCs w:val="21"/>
              </w:rPr>
            </w:pPr>
          </w:p>
          <w:p>
            <w:pPr>
              <w:spacing w:line="360" w:lineRule="exact"/>
              <w:rPr>
                <w:rFonts w:eastAsia="楷体_GB2312"/>
                <w:color w:val="000000"/>
                <w:szCs w:val="21"/>
              </w:rPr>
            </w:pPr>
          </w:p>
          <w:p>
            <w:pPr>
              <w:spacing w:line="360" w:lineRule="exact"/>
              <w:rPr>
                <w:rFonts w:eastAsia="楷体_GB2312"/>
                <w:color w:val="000000"/>
                <w:szCs w:val="21"/>
              </w:rPr>
            </w:pPr>
          </w:p>
        </w:tc>
      </w:tr>
    </w:tbl>
    <w:p>
      <w:pPr>
        <w:spacing w:line="500" w:lineRule="exact"/>
        <w:jc w:val="center"/>
        <w:outlineLvl w:val="2"/>
        <w:rPr>
          <w:rFonts w:eastAsia="黑体"/>
          <w:b/>
          <w:color w:val="000000"/>
          <w:sz w:val="30"/>
        </w:rPr>
      </w:pPr>
    </w:p>
    <w:p/>
    <w:p/>
    <w:p>
      <w:pPr>
        <w:pStyle w:val="2"/>
        <w:spacing w:before="240" w:beforeLines="100" w:after="240" w:afterLines="100" w:line="240" w:lineRule="auto"/>
        <w:jc w:val="center"/>
        <w:rPr>
          <w:rFonts w:ascii="Times New Roman" w:eastAsia="方正小标宋_GBK"/>
          <w:b w:val="0"/>
          <w:sz w:val="36"/>
          <w:szCs w:val="36"/>
        </w:rPr>
      </w:pPr>
      <w:bookmarkStart w:id="175" w:name="_Toc20726218"/>
      <w:bookmarkStart w:id="176" w:name="_Toc18315599"/>
      <w:r>
        <w:rPr>
          <w:rFonts w:hint="eastAsia" w:ascii="Times New Roman" w:eastAsia="方正小标宋_GBK"/>
          <w:b w:val="0"/>
          <w:sz w:val="36"/>
          <w:szCs w:val="36"/>
        </w:rPr>
        <w:t>关于印发《江苏省房屋建筑和市政基础设施工程施工图设计文件审查管理实施意见》的通知</w:t>
      </w:r>
      <w:bookmarkEnd w:id="175"/>
      <w:bookmarkEnd w:id="176"/>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177" w:name="_Toc18315600"/>
      <w:bookmarkStart w:id="178" w:name="_Toc20726219"/>
      <w:r>
        <w:rPr>
          <w:rFonts w:hint="eastAsia" w:ascii="Times New Roman" w:hAnsi="Times New Roman" w:eastAsia="方正楷体_GBK"/>
          <w:b w:val="0"/>
          <w:sz w:val="24"/>
          <w:szCs w:val="24"/>
        </w:rPr>
        <w:t>苏建科〔</w:t>
      </w:r>
      <w:r>
        <w:rPr>
          <w:rFonts w:ascii="Times New Roman" w:hAnsi="Times New Roman" w:eastAsia="方正楷体_GBK"/>
          <w:b w:val="0"/>
          <w:sz w:val="24"/>
          <w:szCs w:val="24"/>
        </w:rPr>
        <w:t>2005</w:t>
      </w:r>
      <w:r>
        <w:rPr>
          <w:rFonts w:hint="eastAsia" w:ascii="Times New Roman" w:hAnsi="Times New Roman" w:eastAsia="方正楷体_GBK"/>
          <w:b w:val="0"/>
          <w:sz w:val="24"/>
          <w:szCs w:val="24"/>
        </w:rPr>
        <w:t>）</w:t>
      </w:r>
      <w:r>
        <w:rPr>
          <w:rFonts w:ascii="Times New Roman" w:hAnsi="Times New Roman" w:eastAsia="方正楷体_GBK"/>
          <w:b w:val="0"/>
          <w:sz w:val="24"/>
          <w:szCs w:val="24"/>
        </w:rPr>
        <w:t>226</w:t>
      </w:r>
      <w:r>
        <w:rPr>
          <w:rFonts w:hint="eastAsia" w:ascii="Times New Roman" w:hAnsi="Times New Roman" w:eastAsia="方正楷体_GBK"/>
          <w:b w:val="0"/>
          <w:sz w:val="24"/>
          <w:szCs w:val="24"/>
        </w:rPr>
        <w:t>号</w:t>
      </w:r>
      <w:bookmarkEnd w:id="177"/>
      <w:bookmarkEnd w:id="178"/>
    </w:p>
    <w:p>
      <w:pPr>
        <w:spacing w:line="460" w:lineRule="exact"/>
        <w:rPr>
          <w:rFonts w:eastAsia="方正仿宋_GBK"/>
          <w:color w:val="000000"/>
          <w:sz w:val="24"/>
        </w:rPr>
      </w:pPr>
      <w:r>
        <w:rPr>
          <w:rFonts w:hint="eastAsia" w:eastAsia="方正仿宋_GBK"/>
          <w:color w:val="000000"/>
          <w:sz w:val="24"/>
        </w:rPr>
        <w:t>各设区市建设局（建委）、市政公用局，省有关厅、局、总公司：</w:t>
      </w:r>
    </w:p>
    <w:p>
      <w:pPr>
        <w:spacing w:line="460" w:lineRule="exact"/>
        <w:ind w:firstLine="480" w:firstLineChars="200"/>
        <w:rPr>
          <w:rFonts w:eastAsia="方正仿宋_GBK"/>
          <w:color w:val="000000"/>
          <w:sz w:val="24"/>
        </w:rPr>
      </w:pPr>
      <w:r>
        <w:rPr>
          <w:rFonts w:hint="eastAsia" w:eastAsia="方正仿宋_GBK"/>
          <w:color w:val="000000"/>
          <w:sz w:val="24"/>
        </w:rPr>
        <w:t>为加强对房屋建筑和市政基础设施工程施工图设计文件审查的管理</w:t>
      </w:r>
      <w:r>
        <w:rPr>
          <w:rFonts w:eastAsia="方正仿宋_GBK"/>
          <w:color w:val="000000"/>
          <w:sz w:val="24"/>
        </w:rPr>
        <w:t>,</w:t>
      </w:r>
      <w:r>
        <w:rPr>
          <w:rFonts w:hint="eastAsia" w:eastAsia="方正仿宋_GBK"/>
          <w:color w:val="000000"/>
          <w:sz w:val="24"/>
        </w:rPr>
        <w:t>保证建设工程质量，维护国家及人民生命财产安全和社会公众利益，根据《建设工程质量管理条例》、《建设工程勘察设计管理条例》、《房屋建筑和市政基础设施工程施工图设计文件审查管理办法》（住房和城乡建设部第</w:t>
      </w:r>
      <w:r>
        <w:rPr>
          <w:rFonts w:eastAsia="方正仿宋_GBK"/>
          <w:color w:val="000000"/>
          <w:sz w:val="24"/>
        </w:rPr>
        <w:t>13</w:t>
      </w:r>
      <w:r>
        <w:rPr>
          <w:rFonts w:hint="eastAsia" w:eastAsia="方正仿宋_GBK"/>
          <w:color w:val="000000"/>
          <w:sz w:val="24"/>
        </w:rPr>
        <w:t>号令）和《住房和城乡建设部关于实施〈房屋建筑和市政基础设施工程施工图设计文件审查管理办法〉有关问题的通知》（建质〔</w:t>
      </w:r>
      <w:r>
        <w:rPr>
          <w:rFonts w:eastAsia="方正仿宋_GBK"/>
          <w:color w:val="000000"/>
          <w:sz w:val="24"/>
        </w:rPr>
        <w:t>2013</w:t>
      </w:r>
      <w:r>
        <w:rPr>
          <w:rFonts w:hint="eastAsia" w:eastAsia="方正仿宋_GBK"/>
          <w:color w:val="000000"/>
          <w:sz w:val="24"/>
        </w:rPr>
        <w:t>〕</w:t>
      </w:r>
      <w:r>
        <w:rPr>
          <w:rFonts w:eastAsia="方正仿宋_GBK"/>
          <w:color w:val="000000"/>
          <w:sz w:val="24"/>
        </w:rPr>
        <w:t>111</w:t>
      </w:r>
      <w:r>
        <w:rPr>
          <w:rFonts w:hint="eastAsia" w:eastAsia="方正仿宋_GBK"/>
          <w:color w:val="000000"/>
          <w:sz w:val="24"/>
        </w:rPr>
        <w:t>号），结合我省实际，我厅制定了《江苏省房屋建筑和市政基础设施工程施工图设计文件审查管理实施意见》，现印发给你们，请认真贯彻执行。在执行中有何问题和建议，请及时告我厅建筑节能与科研设计处。</w:t>
      </w:r>
    </w:p>
    <w:p>
      <w:pPr>
        <w:spacing w:line="460" w:lineRule="exact"/>
        <w:rPr>
          <w:rFonts w:eastAsia="方正仿宋_GBK"/>
          <w:color w:val="000000"/>
          <w:sz w:val="24"/>
        </w:rPr>
      </w:pPr>
      <w:r>
        <w:rPr>
          <w:rFonts w:eastAsia="方正仿宋_GBK"/>
          <w:color w:val="000000"/>
          <w:sz w:val="24"/>
        </w:rPr>
        <w:t xml:space="preserve">    </w:t>
      </w:r>
    </w:p>
    <w:p>
      <w:pPr>
        <w:spacing w:line="460" w:lineRule="exact"/>
        <w:ind w:firstLine="480" w:firstLineChars="200"/>
        <w:rPr>
          <w:rFonts w:eastAsia="方正仿宋_GBK"/>
          <w:color w:val="000000"/>
          <w:sz w:val="24"/>
        </w:rPr>
      </w:pPr>
      <w:r>
        <w:rPr>
          <w:rFonts w:hint="eastAsia" w:eastAsia="方正仿宋_GBK"/>
          <w:color w:val="000000"/>
          <w:sz w:val="24"/>
        </w:rPr>
        <w:t>附件：江苏省房屋建筑和市政基础设施工程施工图设计文件审查管理实施意见。</w:t>
      </w:r>
    </w:p>
    <w:p>
      <w:pPr>
        <w:spacing w:line="460" w:lineRule="exact"/>
        <w:ind w:firstLine="861"/>
        <w:rPr>
          <w:rFonts w:eastAsia="方正仿宋_GBK"/>
          <w:color w:val="000000"/>
          <w:sz w:val="24"/>
        </w:rPr>
      </w:pPr>
    </w:p>
    <w:p>
      <w:pPr>
        <w:spacing w:line="460" w:lineRule="exact"/>
        <w:ind w:right="498" w:rightChars="237"/>
        <w:jc w:val="right"/>
        <w:rPr>
          <w:rFonts w:eastAsia="方正仿宋_GBK"/>
          <w:color w:val="000000"/>
          <w:sz w:val="24"/>
        </w:rPr>
      </w:pPr>
      <w:r>
        <w:rPr>
          <w:rFonts w:eastAsia="方正仿宋_GBK"/>
          <w:color w:val="000000"/>
          <w:sz w:val="24"/>
        </w:rPr>
        <w:t xml:space="preserve">                   </w:t>
      </w:r>
      <w:r>
        <w:rPr>
          <w:rFonts w:hint="eastAsia" w:eastAsia="方正仿宋_GBK"/>
          <w:color w:val="000000"/>
          <w:sz w:val="24"/>
        </w:rPr>
        <w:t>二</w:t>
      </w:r>
      <w:r>
        <w:rPr>
          <w:rFonts w:eastAsia="方正仿宋_GBK"/>
          <w:color w:val="000000"/>
          <w:sz w:val="24"/>
        </w:rPr>
        <w:t>ΟΟ</w:t>
      </w:r>
      <w:r>
        <w:rPr>
          <w:rFonts w:hint="eastAsia" w:eastAsia="方正仿宋_GBK"/>
          <w:color w:val="000000"/>
          <w:sz w:val="24"/>
        </w:rPr>
        <w:t>五年七月十八日</w:t>
      </w:r>
    </w:p>
    <w:p>
      <w:pPr>
        <w:spacing w:line="500" w:lineRule="exact"/>
        <w:jc w:val="left"/>
        <w:rPr>
          <w:rFonts w:eastAsia="仿宋_GB2312"/>
          <w:color w:val="000000"/>
          <w:spacing w:val="20"/>
          <w:sz w:val="30"/>
        </w:rPr>
      </w:pPr>
    </w:p>
    <w:p>
      <w:pPr>
        <w:spacing w:line="500" w:lineRule="exact"/>
        <w:jc w:val="left"/>
        <w:rPr>
          <w:rFonts w:eastAsia="仿宋_GB2312"/>
          <w:color w:val="000000"/>
          <w:spacing w:val="20"/>
          <w:sz w:val="30"/>
        </w:rPr>
      </w:pPr>
    </w:p>
    <w:p>
      <w:pPr>
        <w:spacing w:line="500" w:lineRule="exact"/>
        <w:rPr>
          <w:rFonts w:eastAsia="仿宋_GB2312"/>
          <w:color w:val="000000"/>
          <w:spacing w:val="20"/>
          <w:sz w:val="30"/>
        </w:rPr>
      </w:pPr>
    </w:p>
    <w:p>
      <w:pPr>
        <w:spacing w:line="500" w:lineRule="exact"/>
        <w:rPr>
          <w:rFonts w:eastAsia="仿宋_GB2312"/>
          <w:color w:val="000000"/>
          <w:spacing w:val="20"/>
          <w:sz w:val="30"/>
        </w:rPr>
      </w:pPr>
    </w:p>
    <w:p>
      <w:pPr>
        <w:spacing w:line="500" w:lineRule="exact"/>
        <w:rPr>
          <w:rFonts w:eastAsia="仿宋_GB2312"/>
          <w:color w:val="000000"/>
          <w:spacing w:val="20"/>
          <w:sz w:val="30"/>
        </w:rPr>
      </w:pPr>
    </w:p>
    <w:p>
      <w:pPr>
        <w:spacing w:line="500" w:lineRule="exact"/>
        <w:rPr>
          <w:rFonts w:eastAsia="仿宋_GB2312"/>
          <w:color w:val="000000"/>
          <w:spacing w:val="20"/>
          <w:sz w:val="30"/>
        </w:rPr>
      </w:pPr>
    </w:p>
    <w:p>
      <w:pPr>
        <w:spacing w:line="500" w:lineRule="exact"/>
        <w:rPr>
          <w:rFonts w:eastAsia="仿宋_GB2312"/>
          <w:color w:val="000000"/>
          <w:spacing w:val="20"/>
          <w:sz w:val="30"/>
        </w:rPr>
      </w:pPr>
    </w:p>
    <w:p>
      <w:pPr>
        <w:snapToGrid w:val="0"/>
        <w:spacing w:line="500" w:lineRule="atLeast"/>
        <w:jc w:val="left"/>
        <w:rPr>
          <w:rFonts w:eastAsia="黑体"/>
          <w:color w:val="000000"/>
          <w:spacing w:val="20"/>
          <w:sz w:val="28"/>
          <w:szCs w:val="28"/>
        </w:rPr>
      </w:pPr>
      <w:r>
        <w:rPr>
          <w:rFonts w:eastAsia="仿宋_GB2312"/>
          <w:color w:val="000000"/>
          <w:spacing w:val="20"/>
          <w:sz w:val="30"/>
        </w:rPr>
        <w:br w:type="column"/>
      </w:r>
      <w:r>
        <w:rPr>
          <w:rFonts w:hint="eastAsia" w:eastAsia="黑体"/>
          <w:color w:val="000000"/>
          <w:spacing w:val="20"/>
          <w:sz w:val="28"/>
          <w:szCs w:val="28"/>
        </w:rPr>
        <w:t>附件：</w:t>
      </w:r>
    </w:p>
    <w:p>
      <w:pPr>
        <w:snapToGrid w:val="0"/>
        <w:spacing w:line="500" w:lineRule="atLeast"/>
        <w:ind w:left="1031" w:hanging="1034" w:hangingChars="303"/>
        <w:jc w:val="left"/>
        <w:rPr>
          <w:rFonts w:eastAsia="仿宋_GB2312"/>
          <w:b/>
          <w:color w:val="000000"/>
          <w:spacing w:val="20"/>
          <w:sz w:val="30"/>
        </w:rPr>
      </w:pPr>
    </w:p>
    <w:p>
      <w:pPr>
        <w:spacing w:line="500" w:lineRule="exact"/>
        <w:jc w:val="center"/>
        <w:outlineLvl w:val="2"/>
        <w:rPr>
          <w:rFonts w:eastAsia="方正小标宋简体"/>
          <w:color w:val="000000"/>
          <w:sz w:val="36"/>
          <w:szCs w:val="36"/>
        </w:rPr>
      </w:pPr>
      <w:r>
        <w:rPr>
          <w:rFonts w:hint="eastAsia" w:eastAsia="方正小标宋简体"/>
          <w:color w:val="000000"/>
          <w:sz w:val="36"/>
          <w:szCs w:val="36"/>
        </w:rPr>
        <w:t>江苏省房屋建筑和市政基础设施工程施工图设计文件</w:t>
      </w:r>
    </w:p>
    <w:p>
      <w:pPr>
        <w:spacing w:line="500" w:lineRule="exact"/>
        <w:jc w:val="center"/>
        <w:outlineLvl w:val="2"/>
        <w:rPr>
          <w:rFonts w:eastAsia="方正小标宋简体"/>
          <w:color w:val="000000"/>
          <w:sz w:val="36"/>
          <w:szCs w:val="36"/>
        </w:rPr>
      </w:pPr>
      <w:r>
        <w:rPr>
          <w:rFonts w:hint="eastAsia" w:eastAsia="方正小标宋简体"/>
          <w:color w:val="000000"/>
          <w:sz w:val="36"/>
          <w:szCs w:val="36"/>
        </w:rPr>
        <w:t>审查管理实施意见</w:t>
      </w:r>
    </w:p>
    <w:p>
      <w:pPr>
        <w:snapToGrid w:val="0"/>
        <w:spacing w:line="460" w:lineRule="exact"/>
        <w:ind w:firstLine="560" w:firstLineChars="200"/>
        <w:rPr>
          <w:rFonts w:eastAsia="仿宋_GB2312"/>
          <w:color w:val="000000"/>
          <w:spacing w:val="20"/>
          <w:sz w:val="24"/>
        </w:rPr>
      </w:pPr>
    </w:p>
    <w:p>
      <w:pPr>
        <w:snapToGrid w:val="0"/>
        <w:spacing w:line="460" w:lineRule="exact"/>
        <w:ind w:firstLine="480" w:firstLineChars="200"/>
        <w:rPr>
          <w:rFonts w:eastAsia="方正仿宋_GBK"/>
          <w:color w:val="000000"/>
          <w:sz w:val="24"/>
        </w:rPr>
      </w:pPr>
      <w:r>
        <w:rPr>
          <w:rFonts w:hint="eastAsia" w:eastAsia="方正仿宋_GBK"/>
          <w:color w:val="000000"/>
          <w:sz w:val="24"/>
        </w:rPr>
        <w:t>根据《房屋建筑和市政基础设施工程施工图设计文件审查管理办法》（住房和城乡建设部第</w:t>
      </w:r>
      <w:r>
        <w:rPr>
          <w:rFonts w:eastAsia="方正仿宋_GBK"/>
          <w:color w:val="000000"/>
          <w:sz w:val="24"/>
        </w:rPr>
        <w:t>13</w:t>
      </w:r>
      <w:r>
        <w:rPr>
          <w:rFonts w:hint="eastAsia" w:eastAsia="方正仿宋_GBK"/>
          <w:color w:val="000000"/>
          <w:sz w:val="24"/>
        </w:rPr>
        <w:t>号令）和《住房和城乡建设部关于实施〈房屋建筑和市政基础设施工程施工图设计文件审查管理办法〉有关问题的通知》（建质〔</w:t>
      </w:r>
      <w:r>
        <w:rPr>
          <w:rFonts w:eastAsia="方正仿宋_GBK"/>
          <w:color w:val="000000"/>
          <w:sz w:val="24"/>
        </w:rPr>
        <w:t>2013</w:t>
      </w:r>
      <w:r>
        <w:rPr>
          <w:rFonts w:hint="eastAsia" w:eastAsia="方正仿宋_GBK"/>
          <w:color w:val="000000"/>
          <w:sz w:val="24"/>
        </w:rPr>
        <w:t>〕</w:t>
      </w:r>
      <w:r>
        <w:rPr>
          <w:rFonts w:eastAsia="方正仿宋_GBK"/>
          <w:color w:val="000000"/>
          <w:sz w:val="24"/>
        </w:rPr>
        <w:t>111</w:t>
      </w:r>
      <w:r>
        <w:rPr>
          <w:rFonts w:hint="eastAsia" w:eastAsia="方正仿宋_GBK"/>
          <w:color w:val="000000"/>
          <w:sz w:val="24"/>
        </w:rPr>
        <w:t>号）的相关规定，为做好我省房屋建筑和市政基础设施工程施工图设计文件审查工作</w:t>
      </w:r>
      <w:r>
        <w:rPr>
          <w:rFonts w:eastAsia="方正仿宋_GBK"/>
          <w:color w:val="000000"/>
          <w:sz w:val="24"/>
        </w:rPr>
        <w:t>,</w:t>
      </w:r>
      <w:r>
        <w:rPr>
          <w:rFonts w:hint="eastAsia" w:eastAsia="方正仿宋_GBK"/>
          <w:color w:val="000000"/>
          <w:sz w:val="24"/>
        </w:rPr>
        <w:t>结合我省实际，制定本实施意见。</w:t>
      </w:r>
    </w:p>
    <w:p>
      <w:pPr>
        <w:snapToGrid w:val="0"/>
        <w:spacing w:line="460" w:lineRule="exact"/>
        <w:ind w:firstLine="480" w:firstLineChars="200"/>
        <w:outlineLvl w:val="0"/>
        <w:rPr>
          <w:rFonts w:eastAsia="黑体"/>
          <w:color w:val="000000"/>
          <w:sz w:val="24"/>
        </w:rPr>
      </w:pPr>
      <w:bookmarkStart w:id="179" w:name="_Toc20667694"/>
      <w:bookmarkStart w:id="180" w:name="_Toc18315601"/>
      <w:bookmarkStart w:id="181" w:name="_Toc20726220"/>
      <w:r>
        <w:rPr>
          <w:rFonts w:hint="eastAsia" w:eastAsia="黑体"/>
          <w:color w:val="000000"/>
          <w:sz w:val="24"/>
        </w:rPr>
        <w:t>一、审查范围及内容</w:t>
      </w:r>
      <w:bookmarkEnd w:id="179"/>
      <w:bookmarkEnd w:id="180"/>
      <w:bookmarkEnd w:id="181"/>
    </w:p>
    <w:p>
      <w:pPr>
        <w:snapToGrid w:val="0"/>
        <w:spacing w:line="460" w:lineRule="exact"/>
        <w:ind w:firstLine="480" w:firstLineChars="200"/>
        <w:rPr>
          <w:rFonts w:eastAsia="方正仿宋_GBK"/>
          <w:color w:val="000000"/>
          <w:sz w:val="24"/>
        </w:rPr>
      </w:pPr>
      <w:r>
        <w:rPr>
          <w:rFonts w:hint="eastAsia" w:eastAsia="方正仿宋_GBK"/>
          <w:color w:val="000000"/>
          <w:sz w:val="24"/>
        </w:rPr>
        <w:t>（一）除法律、法规另有规定外，我省行政区域内房屋建筑和市政基础设施工程项目的施工图设计文件（含工程地质勘察文件，以下简称施工图）须进行审查，重点审查以下范围的项目：</w:t>
      </w:r>
    </w:p>
    <w:p>
      <w:pPr>
        <w:snapToGrid w:val="0"/>
        <w:spacing w:line="460" w:lineRule="exact"/>
        <w:ind w:firstLine="480" w:firstLineChars="200"/>
        <w:rPr>
          <w:rFonts w:eastAsia="方正仿宋_GBK"/>
          <w:color w:val="000000"/>
          <w:sz w:val="24"/>
        </w:rPr>
      </w:pPr>
      <w:r>
        <w:rPr>
          <w:rFonts w:eastAsia="方正仿宋_GBK"/>
          <w:color w:val="000000"/>
          <w:sz w:val="24"/>
        </w:rPr>
        <w:t>1</w:t>
      </w:r>
      <w:r>
        <w:rPr>
          <w:rFonts w:hint="eastAsia" w:eastAsia="方正仿宋_GBK"/>
          <w:color w:val="000000"/>
          <w:sz w:val="24"/>
        </w:rPr>
        <w:t>、住宅小区、工厂生活区、地下工程，三层及以上的住宅工程</w:t>
      </w:r>
      <w:r>
        <w:rPr>
          <w:rFonts w:eastAsia="方正仿宋_GBK"/>
          <w:color w:val="000000"/>
          <w:sz w:val="24"/>
        </w:rPr>
        <w:t>(</w:t>
      </w:r>
      <w:r>
        <w:rPr>
          <w:rFonts w:hint="eastAsia" w:eastAsia="方正仿宋_GBK"/>
          <w:color w:val="000000"/>
          <w:sz w:val="24"/>
        </w:rPr>
        <w:t>含建制镇、集镇规划建设用地范围</w:t>
      </w:r>
      <w:r>
        <w:rPr>
          <w:rFonts w:eastAsia="方正仿宋_GBK"/>
          <w:color w:val="000000"/>
          <w:sz w:val="24"/>
        </w:rPr>
        <w:t>)</w:t>
      </w:r>
      <w:r>
        <w:rPr>
          <w:rFonts w:hint="eastAsia" w:eastAsia="方正仿宋_GBK"/>
          <w:color w:val="000000"/>
          <w:sz w:val="24"/>
        </w:rPr>
        <w:t>；</w:t>
      </w:r>
    </w:p>
    <w:p>
      <w:pPr>
        <w:snapToGrid w:val="0"/>
        <w:spacing w:line="460" w:lineRule="exact"/>
        <w:ind w:firstLine="480" w:firstLineChars="200"/>
        <w:rPr>
          <w:rFonts w:eastAsia="方正仿宋_GBK"/>
          <w:color w:val="000000"/>
          <w:sz w:val="24"/>
        </w:rPr>
      </w:pPr>
      <w:r>
        <w:rPr>
          <w:rFonts w:eastAsia="方正仿宋_GBK"/>
          <w:color w:val="000000"/>
          <w:sz w:val="24"/>
        </w:rPr>
        <w:t>2</w:t>
      </w:r>
      <w:r>
        <w:rPr>
          <w:rFonts w:hint="eastAsia" w:eastAsia="方正仿宋_GBK"/>
          <w:color w:val="000000"/>
          <w:sz w:val="24"/>
        </w:rPr>
        <w:t>、建筑面积在</w:t>
      </w:r>
      <w:r>
        <w:rPr>
          <w:rFonts w:eastAsia="方正仿宋_GBK"/>
          <w:color w:val="000000"/>
          <w:sz w:val="24"/>
        </w:rPr>
        <w:t>300</w:t>
      </w:r>
      <w:r>
        <w:rPr>
          <w:rFonts w:hint="eastAsia" w:eastAsia="方正仿宋_GBK"/>
          <w:color w:val="000000"/>
          <w:sz w:val="24"/>
        </w:rPr>
        <w:t>平方米及以上的一般公共建筑工程，国家民用建筑工程设计等级分类标准规定的特殊公共建筑；</w:t>
      </w:r>
    </w:p>
    <w:p>
      <w:pPr>
        <w:snapToGrid w:val="0"/>
        <w:spacing w:line="460" w:lineRule="exact"/>
        <w:ind w:firstLine="480" w:firstLineChars="200"/>
        <w:rPr>
          <w:rFonts w:eastAsia="方正仿宋_GBK"/>
          <w:color w:val="000000"/>
          <w:sz w:val="24"/>
        </w:rPr>
      </w:pPr>
      <w:r>
        <w:rPr>
          <w:rFonts w:eastAsia="方正仿宋_GBK"/>
          <w:color w:val="000000"/>
          <w:sz w:val="24"/>
        </w:rPr>
        <w:t>3</w:t>
      </w:r>
      <w:r>
        <w:rPr>
          <w:rFonts w:hint="eastAsia" w:eastAsia="方正仿宋_GBK"/>
          <w:color w:val="000000"/>
          <w:sz w:val="24"/>
        </w:rPr>
        <w:t>、工程投资额在</w:t>
      </w:r>
      <w:r>
        <w:rPr>
          <w:rFonts w:eastAsia="方正仿宋_GBK"/>
          <w:color w:val="000000"/>
          <w:sz w:val="24"/>
        </w:rPr>
        <w:t>30</w:t>
      </w:r>
      <w:r>
        <w:rPr>
          <w:rFonts w:hint="eastAsia" w:eastAsia="方正仿宋_GBK"/>
          <w:color w:val="000000"/>
          <w:sz w:val="24"/>
        </w:rPr>
        <w:t>万元及以上的工业建筑工程，乙级及以上设计单位方可承接的构筑物；</w:t>
      </w:r>
    </w:p>
    <w:p>
      <w:pPr>
        <w:snapToGrid w:val="0"/>
        <w:spacing w:line="460" w:lineRule="exact"/>
        <w:ind w:firstLine="480" w:firstLineChars="200"/>
        <w:rPr>
          <w:rFonts w:eastAsia="方正仿宋_GBK"/>
          <w:color w:val="000000"/>
          <w:sz w:val="24"/>
        </w:rPr>
      </w:pPr>
      <w:r>
        <w:rPr>
          <w:rFonts w:eastAsia="方正仿宋_GBK"/>
          <w:color w:val="000000"/>
          <w:sz w:val="24"/>
        </w:rPr>
        <w:t>4</w:t>
      </w:r>
      <w:r>
        <w:rPr>
          <w:rFonts w:hint="eastAsia" w:eastAsia="方正仿宋_GBK"/>
          <w:color w:val="000000"/>
          <w:sz w:val="24"/>
        </w:rPr>
        <w:t>、工程投资额在</w:t>
      </w:r>
      <w:r>
        <w:rPr>
          <w:rFonts w:eastAsia="方正仿宋_GBK"/>
          <w:color w:val="000000"/>
          <w:sz w:val="24"/>
        </w:rPr>
        <w:t>50</w:t>
      </w:r>
      <w:r>
        <w:rPr>
          <w:rFonts w:hint="eastAsia" w:eastAsia="方正仿宋_GBK"/>
          <w:color w:val="000000"/>
          <w:sz w:val="24"/>
        </w:rPr>
        <w:t>万元以上的给水、排水、燃气、道路、桥隧、热力等市政基础设施工程；</w:t>
      </w:r>
    </w:p>
    <w:p>
      <w:pPr>
        <w:snapToGrid w:val="0"/>
        <w:spacing w:line="460" w:lineRule="exact"/>
        <w:ind w:firstLine="480" w:firstLineChars="200"/>
        <w:rPr>
          <w:rFonts w:eastAsia="方正仿宋_GBK"/>
          <w:color w:val="000000"/>
          <w:sz w:val="24"/>
        </w:rPr>
      </w:pPr>
      <w:r>
        <w:rPr>
          <w:rFonts w:eastAsia="方正仿宋_GBK"/>
          <w:color w:val="000000"/>
          <w:sz w:val="24"/>
        </w:rPr>
        <w:t>5</w:t>
      </w:r>
      <w:r>
        <w:rPr>
          <w:rFonts w:hint="eastAsia" w:eastAsia="方正仿宋_GBK"/>
          <w:color w:val="000000"/>
          <w:sz w:val="24"/>
        </w:rPr>
        <w:t>、涉及城镇生命线的低于</w:t>
      </w:r>
      <w:r>
        <w:rPr>
          <w:rFonts w:eastAsia="方正仿宋_GBK"/>
          <w:color w:val="000000"/>
          <w:sz w:val="24"/>
        </w:rPr>
        <w:t>30</w:t>
      </w:r>
      <w:r>
        <w:rPr>
          <w:rFonts w:hint="eastAsia" w:eastAsia="方正仿宋_GBK"/>
          <w:color w:val="000000"/>
          <w:sz w:val="24"/>
        </w:rPr>
        <w:t>万元或</w:t>
      </w:r>
      <w:r>
        <w:rPr>
          <w:rFonts w:eastAsia="方正仿宋_GBK"/>
          <w:color w:val="000000"/>
          <w:sz w:val="24"/>
        </w:rPr>
        <w:t>300M</w:t>
      </w:r>
      <w:r>
        <w:rPr>
          <w:rFonts w:eastAsia="方正仿宋_GBK"/>
          <w:color w:val="000000"/>
          <w:sz w:val="24"/>
          <w:vertAlign w:val="superscript"/>
        </w:rPr>
        <w:t>2</w:t>
      </w:r>
      <w:r>
        <w:rPr>
          <w:rFonts w:hint="eastAsia" w:eastAsia="方正仿宋_GBK"/>
          <w:color w:val="000000"/>
          <w:sz w:val="24"/>
        </w:rPr>
        <w:t>的建筑物和构筑物；</w:t>
      </w:r>
    </w:p>
    <w:p>
      <w:pPr>
        <w:snapToGrid w:val="0"/>
        <w:spacing w:line="460" w:lineRule="exact"/>
        <w:ind w:firstLine="480" w:firstLineChars="200"/>
        <w:rPr>
          <w:rFonts w:eastAsia="方正仿宋_GBK"/>
          <w:color w:val="000000"/>
          <w:sz w:val="24"/>
        </w:rPr>
      </w:pPr>
      <w:r>
        <w:rPr>
          <w:rFonts w:eastAsia="方正仿宋_GBK"/>
          <w:color w:val="000000"/>
          <w:sz w:val="24"/>
        </w:rPr>
        <w:t>6</w:t>
      </w:r>
      <w:r>
        <w:rPr>
          <w:rFonts w:hint="eastAsia" w:eastAsia="方正仿宋_GBK"/>
          <w:color w:val="000000"/>
          <w:sz w:val="24"/>
        </w:rPr>
        <w:t>、国家民用建筑工程设计等级分类标准规定的中型及以上民用建筑工程的装饰装修，工程投资额在</w:t>
      </w:r>
      <w:r>
        <w:rPr>
          <w:rFonts w:eastAsia="方正仿宋_GBK"/>
          <w:color w:val="000000"/>
          <w:sz w:val="24"/>
        </w:rPr>
        <w:t>50</w:t>
      </w:r>
      <w:r>
        <w:rPr>
          <w:rFonts w:hint="eastAsia" w:eastAsia="方正仿宋_GBK"/>
          <w:color w:val="000000"/>
          <w:sz w:val="24"/>
        </w:rPr>
        <w:t>万元及以上的建筑智能化、建筑幕墙、轻型钢结构等专项工程。</w:t>
      </w:r>
    </w:p>
    <w:p>
      <w:pPr>
        <w:snapToGrid w:val="0"/>
        <w:spacing w:line="460" w:lineRule="exact"/>
        <w:ind w:firstLine="480" w:firstLineChars="200"/>
        <w:rPr>
          <w:rFonts w:eastAsia="方正仿宋_GBK"/>
          <w:color w:val="000000"/>
          <w:sz w:val="24"/>
        </w:rPr>
      </w:pPr>
      <w:r>
        <w:rPr>
          <w:rFonts w:hint="eastAsia" w:eastAsia="方正仿宋_GBK"/>
          <w:color w:val="000000"/>
          <w:sz w:val="24"/>
        </w:rPr>
        <w:t>凡列入重点审查范围的项目，未取得施工图审查合格书，施工图设计文件未加盖审查专用章的，不得使用。</w:t>
      </w:r>
    </w:p>
    <w:p>
      <w:pPr>
        <w:snapToGrid w:val="0"/>
        <w:spacing w:line="460" w:lineRule="exact"/>
        <w:ind w:firstLine="480" w:firstLineChars="200"/>
        <w:rPr>
          <w:rFonts w:eastAsia="方正仿宋_GBK"/>
          <w:color w:val="000000"/>
          <w:sz w:val="24"/>
        </w:rPr>
      </w:pPr>
      <w:r>
        <w:rPr>
          <w:rFonts w:hint="eastAsia" w:eastAsia="方正仿宋_GBK"/>
          <w:color w:val="000000"/>
          <w:sz w:val="24"/>
        </w:rPr>
        <w:t>（二）施工图审查包括下列内容：</w:t>
      </w:r>
    </w:p>
    <w:p>
      <w:pPr>
        <w:snapToGrid w:val="0"/>
        <w:spacing w:line="460" w:lineRule="exact"/>
        <w:ind w:firstLine="480" w:firstLineChars="200"/>
        <w:rPr>
          <w:rFonts w:eastAsia="方正仿宋_GBK"/>
          <w:color w:val="000000"/>
          <w:sz w:val="24"/>
        </w:rPr>
      </w:pPr>
      <w:r>
        <w:rPr>
          <w:rFonts w:eastAsia="方正仿宋_GBK"/>
          <w:color w:val="000000"/>
          <w:sz w:val="24"/>
        </w:rPr>
        <w:t>1</w:t>
      </w:r>
      <w:r>
        <w:rPr>
          <w:rFonts w:hint="eastAsia" w:eastAsia="方正仿宋_GBK"/>
          <w:color w:val="000000"/>
          <w:sz w:val="24"/>
        </w:rPr>
        <w:t>、是否符合工程建设强制性标准；</w:t>
      </w:r>
    </w:p>
    <w:p>
      <w:pPr>
        <w:snapToGrid w:val="0"/>
        <w:spacing w:line="460" w:lineRule="exact"/>
        <w:ind w:firstLine="480" w:firstLineChars="200"/>
        <w:rPr>
          <w:rFonts w:eastAsia="方正仿宋_GBK"/>
          <w:color w:val="000000"/>
          <w:sz w:val="24"/>
        </w:rPr>
      </w:pPr>
      <w:r>
        <w:rPr>
          <w:rFonts w:eastAsia="方正仿宋_GBK"/>
          <w:color w:val="000000"/>
          <w:sz w:val="24"/>
        </w:rPr>
        <w:t>2</w:t>
      </w:r>
      <w:r>
        <w:rPr>
          <w:rFonts w:hint="eastAsia" w:eastAsia="方正仿宋_GBK"/>
          <w:color w:val="000000"/>
          <w:sz w:val="24"/>
        </w:rPr>
        <w:t>、地基基础和主体结构的安全性；</w:t>
      </w:r>
    </w:p>
    <w:p>
      <w:pPr>
        <w:snapToGrid w:val="0"/>
        <w:spacing w:line="460" w:lineRule="exact"/>
        <w:ind w:firstLine="480" w:firstLineChars="200"/>
        <w:rPr>
          <w:rFonts w:eastAsia="方正仿宋_GBK"/>
          <w:color w:val="000000"/>
          <w:sz w:val="24"/>
        </w:rPr>
      </w:pPr>
      <w:r>
        <w:rPr>
          <w:rFonts w:eastAsia="方正仿宋_GBK"/>
          <w:color w:val="000000"/>
          <w:sz w:val="24"/>
        </w:rPr>
        <w:t>3</w:t>
      </w:r>
      <w:r>
        <w:rPr>
          <w:rFonts w:hint="eastAsia" w:eastAsia="方正仿宋_GBK"/>
          <w:color w:val="000000"/>
          <w:sz w:val="24"/>
        </w:rPr>
        <w:t>、消防安全性；</w:t>
      </w:r>
    </w:p>
    <w:p>
      <w:pPr>
        <w:snapToGrid w:val="0"/>
        <w:spacing w:line="460" w:lineRule="exact"/>
        <w:ind w:firstLine="480" w:firstLineChars="200"/>
        <w:rPr>
          <w:rFonts w:eastAsia="方正仿宋_GBK"/>
          <w:color w:val="000000"/>
          <w:sz w:val="24"/>
        </w:rPr>
      </w:pPr>
      <w:r>
        <w:rPr>
          <w:rFonts w:eastAsia="方正仿宋_GBK"/>
          <w:color w:val="000000"/>
          <w:sz w:val="24"/>
        </w:rPr>
        <w:t>4</w:t>
      </w:r>
      <w:r>
        <w:rPr>
          <w:rFonts w:hint="eastAsia" w:eastAsia="方正仿宋_GBK"/>
          <w:color w:val="000000"/>
          <w:sz w:val="24"/>
        </w:rPr>
        <w:t>、人防工程（不含人防指挥工程）防护安全性；</w:t>
      </w:r>
    </w:p>
    <w:p>
      <w:pPr>
        <w:snapToGrid w:val="0"/>
        <w:spacing w:line="460" w:lineRule="exact"/>
        <w:ind w:firstLine="480" w:firstLineChars="200"/>
        <w:rPr>
          <w:rFonts w:eastAsia="方正仿宋_GBK"/>
          <w:color w:val="000000"/>
          <w:sz w:val="24"/>
        </w:rPr>
      </w:pPr>
      <w:r>
        <w:rPr>
          <w:rFonts w:eastAsia="方正仿宋_GBK"/>
          <w:color w:val="000000"/>
          <w:sz w:val="24"/>
        </w:rPr>
        <w:t>5</w:t>
      </w:r>
      <w:r>
        <w:rPr>
          <w:rFonts w:hint="eastAsia" w:eastAsia="方正仿宋_GBK"/>
          <w:color w:val="000000"/>
          <w:sz w:val="24"/>
        </w:rPr>
        <w:t>、是否符合民用建筑节能强制性标准，对执行绿色建筑标准的项目，还应当审查是否符合绿色建筑标准；</w:t>
      </w:r>
    </w:p>
    <w:p>
      <w:pPr>
        <w:snapToGrid w:val="0"/>
        <w:spacing w:line="460" w:lineRule="exact"/>
        <w:ind w:firstLine="480" w:firstLineChars="200"/>
        <w:rPr>
          <w:rFonts w:eastAsia="方正仿宋_GBK"/>
          <w:color w:val="000000"/>
          <w:sz w:val="24"/>
        </w:rPr>
      </w:pPr>
      <w:r>
        <w:rPr>
          <w:rFonts w:eastAsia="方正仿宋_GBK"/>
          <w:color w:val="000000"/>
          <w:sz w:val="24"/>
        </w:rPr>
        <w:t>6</w:t>
      </w:r>
      <w:r>
        <w:rPr>
          <w:rFonts w:hint="eastAsia" w:eastAsia="方正仿宋_GBK"/>
          <w:color w:val="000000"/>
          <w:sz w:val="24"/>
        </w:rPr>
        <w:t>、是否执行了超限高层建筑工程抗震设防专项审查意见；</w:t>
      </w:r>
    </w:p>
    <w:p>
      <w:pPr>
        <w:snapToGrid w:val="0"/>
        <w:spacing w:line="460" w:lineRule="exact"/>
        <w:ind w:firstLine="480" w:firstLineChars="200"/>
        <w:rPr>
          <w:rFonts w:eastAsia="方正仿宋_GBK"/>
          <w:color w:val="000000"/>
          <w:sz w:val="24"/>
        </w:rPr>
      </w:pPr>
      <w:r>
        <w:rPr>
          <w:rFonts w:eastAsia="方正仿宋_GBK"/>
          <w:color w:val="000000"/>
          <w:sz w:val="24"/>
        </w:rPr>
        <w:t>7</w:t>
      </w:r>
      <w:r>
        <w:rPr>
          <w:rFonts w:hint="eastAsia" w:eastAsia="方正仿宋_GBK"/>
          <w:color w:val="000000"/>
          <w:sz w:val="24"/>
        </w:rPr>
        <w:t>、勘察设计企业和注册执业人员以及相关人员是否按规定在施工图上加盖相应的图章和签字；</w:t>
      </w:r>
    </w:p>
    <w:p>
      <w:pPr>
        <w:snapToGrid w:val="0"/>
        <w:spacing w:line="460" w:lineRule="exact"/>
        <w:ind w:firstLine="480" w:firstLineChars="200"/>
        <w:rPr>
          <w:rFonts w:eastAsia="方正仿宋_GBK"/>
          <w:color w:val="000000"/>
          <w:sz w:val="24"/>
        </w:rPr>
      </w:pPr>
      <w:r>
        <w:rPr>
          <w:rFonts w:eastAsia="方正仿宋_GBK"/>
          <w:color w:val="000000"/>
          <w:sz w:val="24"/>
        </w:rPr>
        <w:t>8</w:t>
      </w:r>
      <w:r>
        <w:rPr>
          <w:rFonts w:hint="eastAsia" w:eastAsia="方正仿宋_GBK"/>
          <w:color w:val="000000"/>
          <w:sz w:val="24"/>
        </w:rPr>
        <w:t>、法律、法规、规章规定必须审查的其他内容。</w:t>
      </w:r>
    </w:p>
    <w:p>
      <w:pPr>
        <w:snapToGrid w:val="0"/>
        <w:spacing w:line="460" w:lineRule="exact"/>
        <w:ind w:firstLine="480" w:firstLineChars="200"/>
        <w:outlineLvl w:val="0"/>
        <w:rPr>
          <w:rFonts w:eastAsia="黑体"/>
          <w:color w:val="000000"/>
          <w:sz w:val="24"/>
        </w:rPr>
      </w:pPr>
      <w:bookmarkStart w:id="182" w:name="_Toc20726221"/>
      <w:bookmarkStart w:id="183" w:name="_Toc20667695"/>
      <w:bookmarkStart w:id="184" w:name="_Toc18315602"/>
      <w:r>
        <w:rPr>
          <w:rFonts w:hint="eastAsia" w:eastAsia="黑体"/>
          <w:color w:val="000000"/>
          <w:sz w:val="24"/>
        </w:rPr>
        <w:t>二、审查机构及人员管理</w:t>
      </w:r>
      <w:bookmarkEnd w:id="182"/>
      <w:bookmarkEnd w:id="183"/>
      <w:bookmarkEnd w:id="184"/>
    </w:p>
    <w:p>
      <w:pPr>
        <w:snapToGrid w:val="0"/>
        <w:spacing w:line="460" w:lineRule="exact"/>
        <w:ind w:firstLine="480" w:firstLineChars="200"/>
        <w:outlineLvl w:val="0"/>
        <w:rPr>
          <w:rFonts w:eastAsia="方正仿宋_GBK"/>
          <w:color w:val="000000"/>
          <w:sz w:val="24"/>
        </w:rPr>
      </w:pPr>
      <w:bookmarkStart w:id="185" w:name="_Toc20726222"/>
      <w:bookmarkStart w:id="186" w:name="_Toc18315603"/>
      <w:bookmarkStart w:id="187" w:name="_Toc20667696"/>
      <w:r>
        <w:rPr>
          <w:rFonts w:hint="eastAsia" w:eastAsia="方正仿宋_GBK"/>
          <w:color w:val="000000"/>
          <w:sz w:val="24"/>
        </w:rPr>
        <w:t>（三）建设行政主管部门对审查机构实施认定制度。审查机构取得省建设行政主管部门颁发的《施工图设计文件审查机构认定书》后，方可从事施工图审查。</w:t>
      </w:r>
      <w:bookmarkEnd w:id="185"/>
      <w:bookmarkEnd w:id="186"/>
      <w:bookmarkEnd w:id="187"/>
    </w:p>
    <w:p>
      <w:pPr>
        <w:spacing w:line="460" w:lineRule="exact"/>
        <w:ind w:firstLine="480" w:firstLineChars="200"/>
        <w:rPr>
          <w:rFonts w:eastAsia="方正仿宋_GBK"/>
          <w:color w:val="000000"/>
          <w:sz w:val="24"/>
        </w:rPr>
      </w:pPr>
      <w:r>
        <w:rPr>
          <w:rFonts w:hint="eastAsia" w:eastAsia="方正仿宋_GBK"/>
          <w:color w:val="000000"/>
          <w:sz w:val="24"/>
        </w:rPr>
        <w:t>（四）根据国家有关规定，审查机构的认定实行总量控制。</w:t>
      </w:r>
    </w:p>
    <w:p>
      <w:pPr>
        <w:spacing w:line="460" w:lineRule="exact"/>
        <w:ind w:firstLine="480" w:firstLineChars="200"/>
        <w:rPr>
          <w:rFonts w:eastAsia="方正仿宋_GBK"/>
          <w:color w:val="000000"/>
          <w:sz w:val="24"/>
        </w:rPr>
      </w:pPr>
      <w:r>
        <w:rPr>
          <w:rFonts w:hint="eastAsia" w:eastAsia="方正仿宋_GBK"/>
          <w:color w:val="000000"/>
          <w:sz w:val="24"/>
        </w:rPr>
        <w:t>省建设行政主管部门应当会同有关部门根据各地房屋建筑建设规模和审查技术力量情况，结合各地提出的审查机构发展初步计划，进行合理测算，控制全省审查机构总数和各市设置数量，并定期予以调整和公布。</w:t>
      </w:r>
    </w:p>
    <w:p>
      <w:pPr>
        <w:spacing w:line="460" w:lineRule="exact"/>
        <w:ind w:firstLine="480" w:firstLineChars="200"/>
        <w:rPr>
          <w:rFonts w:eastAsia="方正仿宋_GBK"/>
          <w:color w:val="000000"/>
          <w:sz w:val="24"/>
        </w:rPr>
      </w:pPr>
      <w:r>
        <w:rPr>
          <w:rFonts w:hint="eastAsia" w:eastAsia="方正仿宋_GBK"/>
          <w:color w:val="000000"/>
          <w:sz w:val="24"/>
        </w:rPr>
        <w:t>（五）审查机构应是专门从事施工图审查、不以营利为目的的独立法人实体，不得兼营工程勘察设计业务，不得审查与其有隶属关系或者其他利害关系的建设单位、勘察设计企业的项目，并接受建设行政主管部门的指导和监督。</w:t>
      </w:r>
    </w:p>
    <w:p>
      <w:pPr>
        <w:snapToGrid w:val="0"/>
        <w:spacing w:line="460" w:lineRule="exact"/>
        <w:ind w:firstLine="480" w:firstLineChars="200"/>
        <w:rPr>
          <w:rFonts w:eastAsia="方正仿宋_GBK"/>
          <w:color w:val="000000"/>
          <w:sz w:val="24"/>
        </w:rPr>
      </w:pPr>
      <w:r>
        <w:rPr>
          <w:rFonts w:hint="eastAsia" w:eastAsia="方正仿宋_GBK"/>
          <w:color w:val="000000"/>
          <w:sz w:val="24"/>
        </w:rPr>
        <w:t>（六）审查机构按承接业务范围分为两类。一类机构在全省行政区域内承接认定范围内的施工图审查业务，等级不受限制；二类机构在机构所在地行政区域内承接认定范围内的中型及以下房屋建筑、市政基础设施工程的施工图审查业务。</w:t>
      </w:r>
    </w:p>
    <w:p>
      <w:pPr>
        <w:snapToGrid w:val="0"/>
        <w:spacing w:line="460" w:lineRule="exact"/>
        <w:ind w:firstLine="480" w:firstLineChars="200"/>
        <w:rPr>
          <w:rFonts w:eastAsia="方正仿宋_GBK"/>
          <w:color w:val="000000"/>
          <w:sz w:val="24"/>
        </w:rPr>
      </w:pPr>
      <w:r>
        <w:rPr>
          <w:rFonts w:hint="eastAsia" w:eastAsia="方正仿宋_GBK"/>
          <w:color w:val="000000"/>
          <w:sz w:val="24"/>
        </w:rPr>
        <w:t>一类、二类机构以及承担超限高层建筑工程施工图审查的设立条件按住房和城乡建设部第</w:t>
      </w:r>
      <w:r>
        <w:rPr>
          <w:rFonts w:eastAsia="方正仿宋_GBK"/>
          <w:color w:val="000000"/>
          <w:sz w:val="24"/>
        </w:rPr>
        <w:t>13</w:t>
      </w:r>
      <w:r>
        <w:rPr>
          <w:rFonts w:hint="eastAsia" w:eastAsia="方正仿宋_GBK"/>
          <w:color w:val="000000"/>
          <w:sz w:val="24"/>
        </w:rPr>
        <w:t>号令及有关规定执行。</w:t>
      </w:r>
    </w:p>
    <w:p>
      <w:pPr>
        <w:snapToGrid w:val="0"/>
        <w:spacing w:line="460" w:lineRule="exact"/>
        <w:ind w:firstLine="480" w:firstLineChars="200"/>
        <w:rPr>
          <w:rFonts w:eastAsia="方正仿宋_GBK"/>
          <w:color w:val="000000"/>
          <w:sz w:val="24"/>
        </w:rPr>
      </w:pPr>
      <w:r>
        <w:rPr>
          <w:rFonts w:hint="eastAsia" w:eastAsia="方正仿宋_GBK"/>
          <w:color w:val="000000"/>
          <w:sz w:val="24"/>
        </w:rPr>
        <w:t>（七）审查人员分为两级。一级审查人员负责审查相应专业的项目，范围不受限制；二级审查人员可以负责中型及以下房屋建筑、市政基础设施工程相应专业的审查工作。</w:t>
      </w:r>
    </w:p>
    <w:p>
      <w:pPr>
        <w:snapToGrid w:val="0"/>
        <w:spacing w:line="460" w:lineRule="exact"/>
        <w:ind w:firstLine="480" w:firstLineChars="200"/>
        <w:rPr>
          <w:rFonts w:eastAsia="方正仿宋_GBK"/>
          <w:color w:val="000000"/>
          <w:sz w:val="24"/>
        </w:rPr>
      </w:pPr>
      <w:r>
        <w:rPr>
          <w:rFonts w:hint="eastAsia" w:eastAsia="方正仿宋_GBK"/>
          <w:color w:val="000000"/>
          <w:sz w:val="24"/>
        </w:rPr>
        <w:t>一级、二级审查人员应当分别符合住房和城乡建设部第</w:t>
      </w:r>
      <w:r>
        <w:rPr>
          <w:rFonts w:eastAsia="方正仿宋_GBK"/>
          <w:color w:val="000000"/>
          <w:sz w:val="24"/>
        </w:rPr>
        <w:t>13</w:t>
      </w:r>
      <w:r>
        <w:rPr>
          <w:rFonts w:hint="eastAsia" w:eastAsia="方正仿宋_GBK"/>
          <w:color w:val="000000"/>
          <w:sz w:val="24"/>
        </w:rPr>
        <w:t>号令关于一类、二类审查机构规定的审查人员条件。审查人员只能在一个审查机构从事审查工作。</w:t>
      </w:r>
    </w:p>
    <w:p>
      <w:pPr>
        <w:snapToGrid w:val="0"/>
        <w:spacing w:line="460" w:lineRule="exact"/>
        <w:ind w:firstLine="480" w:firstLineChars="200"/>
        <w:rPr>
          <w:rFonts w:eastAsia="方正仿宋_GBK"/>
          <w:color w:val="000000"/>
          <w:sz w:val="24"/>
        </w:rPr>
      </w:pPr>
      <w:r>
        <w:rPr>
          <w:rFonts w:hint="eastAsia" w:eastAsia="方正仿宋_GBK"/>
          <w:color w:val="000000"/>
          <w:sz w:val="24"/>
        </w:rPr>
        <w:t>省建设行政主管部门对施工图审查人员进行统一管理，颁发《施工图设计文件审查人员工作手册》并编发专业审查号。审查人员从业、考核及接受技术培训或继续教育等情况，应在《施工图设计文件审查人员工作手册》上予以登记。审查人员脱离审查工作岗位或不再符合相应条件的，其所在审查机构应及时向省建设行政主管部门交回其《施工图设计文件审查人员工作手册》，注销专业审查号。</w:t>
      </w:r>
    </w:p>
    <w:p>
      <w:pPr>
        <w:snapToGrid w:val="0"/>
        <w:spacing w:line="460" w:lineRule="exact"/>
        <w:ind w:firstLine="480" w:firstLineChars="200"/>
        <w:outlineLvl w:val="0"/>
        <w:rPr>
          <w:rFonts w:eastAsia="黑体"/>
          <w:color w:val="000000"/>
          <w:sz w:val="24"/>
        </w:rPr>
      </w:pPr>
      <w:bookmarkStart w:id="188" w:name="_Toc20667697"/>
      <w:bookmarkStart w:id="189" w:name="_Toc18315604"/>
      <w:bookmarkStart w:id="190" w:name="_Toc20726223"/>
      <w:r>
        <w:rPr>
          <w:rFonts w:hint="eastAsia" w:eastAsia="黑体"/>
          <w:color w:val="000000"/>
          <w:sz w:val="24"/>
        </w:rPr>
        <w:t>三、审查业务的委托和承接</w:t>
      </w:r>
      <w:bookmarkEnd w:id="188"/>
      <w:bookmarkEnd w:id="189"/>
      <w:bookmarkEnd w:id="190"/>
    </w:p>
    <w:p>
      <w:pPr>
        <w:snapToGrid w:val="0"/>
        <w:spacing w:line="460" w:lineRule="exact"/>
        <w:ind w:firstLine="480" w:firstLineChars="200"/>
        <w:rPr>
          <w:rFonts w:eastAsia="方正仿宋_GBK"/>
          <w:color w:val="000000"/>
          <w:sz w:val="24"/>
        </w:rPr>
      </w:pPr>
      <w:r>
        <w:rPr>
          <w:rFonts w:hint="eastAsia" w:eastAsia="方正仿宋_GBK"/>
          <w:color w:val="000000"/>
          <w:sz w:val="24"/>
        </w:rPr>
        <w:t>（八）建设单位可在一定范围内自主选择具备相应认定资格的审查机构。中型及以下房屋建筑工程宜在设区市范围内委托审查，积极鼓励中型及以上市政基础设施工程跨市委托审查。</w:t>
      </w:r>
    </w:p>
    <w:p>
      <w:pPr>
        <w:snapToGrid w:val="0"/>
        <w:spacing w:line="460" w:lineRule="exact"/>
        <w:ind w:firstLine="480" w:firstLineChars="200"/>
        <w:rPr>
          <w:rFonts w:eastAsia="方正仿宋_GBK"/>
          <w:color w:val="000000"/>
          <w:sz w:val="24"/>
        </w:rPr>
      </w:pPr>
      <w:r>
        <w:rPr>
          <w:rFonts w:hint="eastAsia" w:eastAsia="方正仿宋_GBK"/>
          <w:color w:val="000000"/>
          <w:sz w:val="24"/>
        </w:rPr>
        <w:t>（九）审查机构应当在认定范围内承接业务。未经认定或超出认定范围从事审查的，所出具的审查合格书无效，由建设行政主管部门责令审查机构收回审查合格书，并依法予以处罚。造成损失的，应当依法承担赔偿责任。</w:t>
      </w:r>
    </w:p>
    <w:p>
      <w:pPr>
        <w:snapToGrid w:val="0"/>
        <w:spacing w:line="460" w:lineRule="exact"/>
        <w:ind w:firstLine="480" w:firstLineChars="200"/>
        <w:outlineLvl w:val="0"/>
        <w:rPr>
          <w:rFonts w:eastAsia="黑体"/>
          <w:color w:val="000000"/>
          <w:sz w:val="24"/>
        </w:rPr>
      </w:pPr>
      <w:bookmarkStart w:id="191" w:name="_Toc18315605"/>
      <w:bookmarkStart w:id="192" w:name="_Toc20726224"/>
      <w:bookmarkStart w:id="193" w:name="_Toc20667698"/>
      <w:r>
        <w:rPr>
          <w:rFonts w:hint="eastAsia" w:eastAsia="黑体"/>
          <w:color w:val="000000"/>
          <w:sz w:val="24"/>
        </w:rPr>
        <w:t>四、审查程序及结果处置</w:t>
      </w:r>
      <w:bookmarkEnd w:id="191"/>
      <w:bookmarkEnd w:id="192"/>
      <w:bookmarkEnd w:id="193"/>
    </w:p>
    <w:p>
      <w:pPr>
        <w:snapToGrid w:val="0"/>
        <w:spacing w:line="460" w:lineRule="exact"/>
        <w:ind w:firstLine="480" w:firstLineChars="200"/>
        <w:jc w:val="left"/>
        <w:rPr>
          <w:rFonts w:eastAsia="方正仿宋_GBK"/>
          <w:color w:val="000000"/>
          <w:sz w:val="24"/>
        </w:rPr>
      </w:pPr>
      <w:r>
        <w:rPr>
          <w:rFonts w:hint="eastAsia" w:eastAsia="方正仿宋_GBK"/>
          <w:color w:val="000000"/>
          <w:sz w:val="24"/>
        </w:rPr>
        <w:t>（十）施工图审查分两阶段进行，先期进行工程勘察文件审查，审查通过后，建设单位方可申报其他专业施工图审查。</w:t>
      </w:r>
    </w:p>
    <w:p>
      <w:pPr>
        <w:snapToGrid w:val="0"/>
        <w:spacing w:line="460" w:lineRule="exact"/>
        <w:ind w:firstLine="480" w:firstLineChars="200"/>
        <w:jc w:val="left"/>
        <w:rPr>
          <w:rFonts w:eastAsia="方正仿宋_GBK"/>
          <w:color w:val="000000"/>
          <w:sz w:val="24"/>
        </w:rPr>
      </w:pPr>
      <w:r>
        <w:rPr>
          <w:rFonts w:hint="eastAsia" w:eastAsia="方正仿宋_GBK"/>
          <w:color w:val="000000"/>
          <w:sz w:val="24"/>
        </w:rPr>
        <w:t>（十一）审查机构对施工图进行审查后，应当根据下列情况分别作出处理：</w:t>
      </w:r>
    </w:p>
    <w:p>
      <w:pPr>
        <w:overflowPunct w:val="0"/>
        <w:autoSpaceDE w:val="0"/>
        <w:autoSpaceDN w:val="0"/>
        <w:snapToGrid w:val="0"/>
        <w:spacing w:line="460" w:lineRule="exact"/>
        <w:ind w:firstLine="480" w:firstLineChars="200"/>
        <w:rPr>
          <w:rFonts w:eastAsia="方正仿宋_GBK"/>
          <w:color w:val="000000"/>
          <w:sz w:val="24"/>
        </w:rPr>
      </w:pPr>
      <w:r>
        <w:rPr>
          <w:rFonts w:hint="eastAsia" w:eastAsia="方正仿宋_GBK"/>
          <w:color w:val="000000"/>
          <w:sz w:val="24"/>
        </w:rPr>
        <w:t>审查合格的，审查机构应当向建设单位出具审查合格书，并在项目全套施工图（包括须经审查的设计变更文件）的每一张图纸上加盖审查专用章。审查合格书应采用由省建设行政主管部门制定的统一格式，经法定代表人签发，并加盖审查机构公章。</w:t>
      </w:r>
    </w:p>
    <w:p>
      <w:pPr>
        <w:tabs>
          <w:tab w:val="left" w:pos="287"/>
        </w:tabs>
        <w:overflowPunct w:val="0"/>
        <w:autoSpaceDE w:val="0"/>
        <w:autoSpaceDN w:val="0"/>
        <w:snapToGrid w:val="0"/>
        <w:spacing w:line="460" w:lineRule="exact"/>
        <w:ind w:firstLine="480" w:firstLineChars="200"/>
        <w:rPr>
          <w:rFonts w:eastAsia="方正仿宋_GBK"/>
          <w:color w:val="000000"/>
          <w:sz w:val="24"/>
        </w:rPr>
      </w:pPr>
      <w:r>
        <w:rPr>
          <w:rFonts w:hint="eastAsia" w:eastAsia="方正仿宋_GBK"/>
          <w:color w:val="000000"/>
          <w:sz w:val="24"/>
        </w:rPr>
        <w:t>审查不合格的，审查机构应当出具审查意见书。审查意见书应将审查中发现的违反工程建设强制性标准和建设单位、勘察设计企业和注册执业人员违反法律、法规的问题逐一列出。</w:t>
      </w:r>
    </w:p>
    <w:p>
      <w:pPr>
        <w:tabs>
          <w:tab w:val="left" w:pos="287"/>
        </w:tabs>
        <w:overflowPunct w:val="0"/>
        <w:autoSpaceDE w:val="0"/>
        <w:autoSpaceDN w:val="0"/>
        <w:snapToGrid w:val="0"/>
        <w:spacing w:line="460" w:lineRule="exact"/>
        <w:ind w:firstLine="480" w:firstLineChars="200"/>
        <w:rPr>
          <w:rFonts w:eastAsia="方正仿宋_GBK"/>
          <w:color w:val="000000"/>
          <w:sz w:val="24"/>
        </w:rPr>
      </w:pPr>
      <w:r>
        <w:rPr>
          <w:rFonts w:hint="eastAsia" w:eastAsia="方正仿宋_GBK"/>
          <w:color w:val="000000"/>
          <w:sz w:val="24"/>
        </w:rPr>
        <w:t>对审查机构出具的审查意见书，建设单位应责成原勘察、设计企业进行修改调整，并将修改后的施工图报原审查机构复审。</w:t>
      </w:r>
    </w:p>
    <w:p>
      <w:pPr>
        <w:overflowPunct w:val="0"/>
        <w:autoSpaceDE w:val="0"/>
        <w:autoSpaceDN w:val="0"/>
        <w:snapToGrid w:val="0"/>
        <w:spacing w:line="460" w:lineRule="exact"/>
        <w:ind w:firstLine="480" w:firstLineChars="200"/>
        <w:rPr>
          <w:rFonts w:eastAsia="方正仿宋_GBK"/>
          <w:color w:val="000000"/>
          <w:sz w:val="24"/>
        </w:rPr>
      </w:pPr>
      <w:r>
        <w:rPr>
          <w:rFonts w:hint="eastAsia" w:eastAsia="方正仿宋_GBK"/>
          <w:color w:val="000000"/>
          <w:sz w:val="24"/>
        </w:rPr>
        <w:t>（十二）建设单位或勘察设计企业对审查机构作出的审查意见有重大原则分歧时，可由建设单位或勘察设计企业向省建设行政主管部门提出复查申请，由省建设行政主管部门组织专家论证并作出复查结论。</w:t>
      </w:r>
    </w:p>
    <w:p>
      <w:pPr>
        <w:spacing w:line="460" w:lineRule="exact"/>
        <w:ind w:firstLine="480" w:firstLineChars="200"/>
        <w:rPr>
          <w:rFonts w:eastAsia="方正仿宋_GBK"/>
          <w:color w:val="000000"/>
          <w:sz w:val="24"/>
        </w:rPr>
      </w:pPr>
      <w:r>
        <w:rPr>
          <w:rFonts w:hint="eastAsia" w:eastAsia="方正仿宋_GBK"/>
          <w:color w:val="000000"/>
          <w:sz w:val="24"/>
        </w:rPr>
        <w:t>（十三）任何单位或者个人不得擅自修改审查通过的施工图。</w:t>
      </w:r>
    </w:p>
    <w:p>
      <w:pPr>
        <w:overflowPunct w:val="0"/>
        <w:autoSpaceDE w:val="0"/>
        <w:autoSpaceDN w:val="0"/>
        <w:spacing w:line="460" w:lineRule="exact"/>
        <w:ind w:firstLine="480" w:firstLineChars="200"/>
        <w:rPr>
          <w:rFonts w:eastAsia="方正仿宋_GBK"/>
          <w:color w:val="000000"/>
          <w:sz w:val="24"/>
        </w:rPr>
      </w:pPr>
      <w:r>
        <w:rPr>
          <w:rFonts w:hint="eastAsia" w:eastAsia="方正仿宋_GBK"/>
          <w:color w:val="000000"/>
          <w:sz w:val="24"/>
        </w:rPr>
        <w:t>确需修改的，凡涉及实施意见规定的审查内容，建设单位应当将修改后的施工图送原审查机构重新审查。对于修改涉及建筑物性质、规模、结构特点，地基基础设计等内容或建（构）筑物总平面布置发生较大变化的，建设单位还应先期重新送审工程勘察文件。</w:t>
      </w:r>
    </w:p>
    <w:p>
      <w:pPr>
        <w:snapToGrid w:val="0"/>
        <w:spacing w:line="460" w:lineRule="exact"/>
        <w:ind w:firstLine="480" w:firstLineChars="200"/>
        <w:outlineLvl w:val="0"/>
        <w:rPr>
          <w:rFonts w:eastAsia="黑体"/>
          <w:color w:val="000000"/>
          <w:sz w:val="24"/>
        </w:rPr>
      </w:pPr>
      <w:bookmarkStart w:id="194" w:name="_Toc20667699"/>
      <w:bookmarkStart w:id="195" w:name="_Toc20726225"/>
      <w:bookmarkStart w:id="196" w:name="_Toc18315606"/>
      <w:r>
        <w:rPr>
          <w:rFonts w:hint="eastAsia" w:eastAsia="黑体"/>
          <w:color w:val="000000"/>
          <w:sz w:val="24"/>
        </w:rPr>
        <w:t>五、备案、信息报送及信息公示</w:t>
      </w:r>
      <w:bookmarkEnd w:id="194"/>
      <w:bookmarkEnd w:id="195"/>
      <w:bookmarkEnd w:id="196"/>
    </w:p>
    <w:p>
      <w:pPr>
        <w:spacing w:line="460" w:lineRule="exact"/>
        <w:ind w:firstLine="480" w:firstLineChars="200"/>
        <w:rPr>
          <w:rFonts w:eastAsia="方正仿宋_GBK"/>
          <w:color w:val="000000"/>
          <w:sz w:val="24"/>
        </w:rPr>
      </w:pPr>
      <w:r>
        <w:rPr>
          <w:rFonts w:hint="eastAsia" w:eastAsia="方正仿宋_GBK"/>
          <w:color w:val="000000"/>
          <w:sz w:val="24"/>
        </w:rPr>
        <w:t>（十四）审查机构应在审查意见书和审查合格书签发后</w:t>
      </w:r>
      <w:r>
        <w:rPr>
          <w:rFonts w:eastAsia="方正仿宋_GBK"/>
          <w:color w:val="000000"/>
          <w:sz w:val="24"/>
        </w:rPr>
        <w:t>5</w:t>
      </w:r>
      <w:r>
        <w:rPr>
          <w:rFonts w:hint="eastAsia" w:eastAsia="方正仿宋_GBK"/>
          <w:color w:val="000000"/>
          <w:sz w:val="24"/>
        </w:rPr>
        <w:t>个工作日内，按项目管理权限将其报项目所在地建设行政主管部门备案。</w:t>
      </w:r>
    </w:p>
    <w:p>
      <w:pPr>
        <w:spacing w:line="460" w:lineRule="exact"/>
        <w:ind w:firstLine="480" w:firstLineChars="200"/>
        <w:rPr>
          <w:rFonts w:eastAsia="方正仿宋_GBK"/>
          <w:color w:val="000000"/>
          <w:sz w:val="24"/>
        </w:rPr>
      </w:pPr>
      <w:r>
        <w:rPr>
          <w:rFonts w:hint="eastAsia" w:eastAsia="方正仿宋_GBK"/>
          <w:color w:val="000000"/>
          <w:sz w:val="24"/>
        </w:rPr>
        <w:t>对于审查中发现的建设单位、勘察设计企业和注册执业人员违反法律、法规和工程建设强制性标准的问题，审查机构应当通过审查意见书的形式报告相关建设行政主管部门。</w:t>
      </w:r>
    </w:p>
    <w:p>
      <w:pPr>
        <w:spacing w:line="460" w:lineRule="exact"/>
        <w:ind w:firstLine="480" w:firstLineChars="200"/>
        <w:rPr>
          <w:rFonts w:eastAsia="方正仿宋_GBK"/>
          <w:color w:val="000000"/>
          <w:sz w:val="24"/>
        </w:rPr>
      </w:pPr>
      <w:bookmarkStart w:id="197" w:name="_268435457"/>
      <w:bookmarkStart w:id="198" w:name="_268435456"/>
      <w:bookmarkStart w:id="199" w:name="_268435459"/>
      <w:bookmarkStart w:id="200" w:name="_268435465"/>
      <w:r>
        <w:rPr>
          <w:rFonts w:hint="eastAsia" w:eastAsia="方正仿宋_GBK"/>
          <w:color w:val="000000"/>
          <w:sz w:val="24"/>
        </w:rPr>
        <w:t>审查合格书、审查意见书应采用由省建设行政主管部门制定的统一格式。</w:t>
      </w:r>
    </w:p>
    <w:p>
      <w:pPr>
        <w:spacing w:line="460" w:lineRule="exact"/>
        <w:ind w:firstLine="480" w:firstLineChars="200"/>
        <w:rPr>
          <w:rFonts w:eastAsia="方正仿宋_GBK"/>
          <w:color w:val="000000"/>
          <w:sz w:val="24"/>
        </w:rPr>
      </w:pPr>
      <w:r>
        <w:rPr>
          <w:rFonts w:hint="eastAsia" w:eastAsia="方正仿宋_GBK"/>
          <w:color w:val="000000"/>
          <w:sz w:val="24"/>
        </w:rPr>
        <w:t>（十五）在施工图审查过程中，发现存在以下情形之一的，审查机构应在出具审查意见书后</w:t>
      </w:r>
      <w:r>
        <w:rPr>
          <w:rFonts w:eastAsia="方正仿宋_GBK"/>
          <w:color w:val="000000"/>
          <w:sz w:val="24"/>
        </w:rPr>
        <w:t>5</w:t>
      </w:r>
      <w:r>
        <w:rPr>
          <w:rFonts w:hint="eastAsia" w:eastAsia="方正仿宋_GBK"/>
          <w:color w:val="000000"/>
          <w:sz w:val="24"/>
        </w:rPr>
        <w:t>个工作日内，将审查意见书</w:t>
      </w:r>
      <w:bookmarkEnd w:id="197"/>
      <w:r>
        <w:rPr>
          <w:rFonts w:hint="eastAsia" w:eastAsia="方正仿宋_GBK"/>
          <w:color w:val="000000"/>
          <w:sz w:val="24"/>
        </w:rPr>
        <w:t>抄</w:t>
      </w:r>
      <w:bookmarkEnd w:id="198"/>
      <w:r>
        <w:rPr>
          <w:rFonts w:hint="eastAsia" w:eastAsia="方正仿宋_GBK"/>
          <w:color w:val="000000"/>
          <w:sz w:val="24"/>
        </w:rPr>
        <w:t>报省建设</w:t>
      </w:r>
      <w:bookmarkEnd w:id="199"/>
      <w:r>
        <w:rPr>
          <w:rFonts w:hint="eastAsia" w:eastAsia="方正仿宋_GBK"/>
          <w:color w:val="000000"/>
          <w:sz w:val="24"/>
        </w:rPr>
        <w:t>行</w:t>
      </w:r>
      <w:bookmarkEnd w:id="200"/>
      <w:r>
        <w:rPr>
          <w:rFonts w:hint="eastAsia" w:eastAsia="方正仿宋_GBK"/>
          <w:color w:val="000000"/>
          <w:sz w:val="24"/>
        </w:rPr>
        <w:t>政主管部门：</w:t>
      </w:r>
    </w:p>
    <w:p>
      <w:pPr>
        <w:spacing w:line="460" w:lineRule="exact"/>
        <w:ind w:firstLine="480" w:firstLineChars="200"/>
        <w:rPr>
          <w:rFonts w:eastAsia="方正仿宋_GBK"/>
          <w:color w:val="000000"/>
          <w:sz w:val="24"/>
        </w:rPr>
      </w:pPr>
      <w:r>
        <w:rPr>
          <w:rFonts w:eastAsia="方正仿宋_GBK"/>
          <w:color w:val="000000"/>
          <w:sz w:val="24"/>
        </w:rPr>
        <w:t>1</w:t>
      </w:r>
      <w:r>
        <w:rPr>
          <w:rFonts w:hint="eastAsia" w:eastAsia="方正仿宋_GBK"/>
          <w:color w:val="000000"/>
          <w:sz w:val="24"/>
        </w:rPr>
        <w:t>、施工图存在重大安全隐患的；</w:t>
      </w:r>
    </w:p>
    <w:p>
      <w:pPr>
        <w:spacing w:line="460" w:lineRule="exact"/>
        <w:ind w:firstLine="480" w:firstLineChars="200"/>
        <w:rPr>
          <w:rFonts w:eastAsia="方正仿宋_GBK"/>
          <w:color w:val="000000"/>
          <w:sz w:val="24"/>
        </w:rPr>
      </w:pPr>
      <w:r>
        <w:rPr>
          <w:rFonts w:eastAsia="方正仿宋_GBK"/>
          <w:color w:val="000000"/>
          <w:sz w:val="24"/>
        </w:rPr>
        <w:t>2</w:t>
      </w:r>
      <w:r>
        <w:rPr>
          <w:rFonts w:hint="eastAsia" w:eastAsia="方正仿宋_GBK"/>
          <w:color w:val="000000"/>
          <w:sz w:val="24"/>
        </w:rPr>
        <w:t>、未取得资质（资格）证书、超越本单位（个人）资质（资格）等级进行勘察设计或执业的，转让、出售、出租或者伪造图签图章、印章、资质（资格）证书等违反勘察设计市场管理和注册执业管理规定的；</w:t>
      </w:r>
    </w:p>
    <w:p>
      <w:pPr>
        <w:spacing w:line="460" w:lineRule="exact"/>
        <w:ind w:firstLine="480" w:firstLineChars="200"/>
        <w:rPr>
          <w:rFonts w:eastAsia="方正仿宋_GBK"/>
          <w:color w:val="000000"/>
          <w:sz w:val="24"/>
        </w:rPr>
      </w:pPr>
      <w:r>
        <w:rPr>
          <w:rFonts w:eastAsia="方正仿宋_GBK"/>
          <w:color w:val="000000"/>
          <w:sz w:val="24"/>
        </w:rPr>
        <w:t>3</w:t>
      </w:r>
      <w:r>
        <w:rPr>
          <w:rFonts w:hint="eastAsia" w:eastAsia="方正仿宋_GBK"/>
          <w:color w:val="000000"/>
          <w:sz w:val="24"/>
        </w:rPr>
        <w:t>、施工图指定建筑材料、建筑构配件生产厂、供应商的；</w:t>
      </w:r>
    </w:p>
    <w:p>
      <w:pPr>
        <w:overflowPunct w:val="0"/>
        <w:autoSpaceDE w:val="0"/>
        <w:autoSpaceDN w:val="0"/>
        <w:spacing w:line="460" w:lineRule="exact"/>
        <w:ind w:firstLine="480" w:firstLineChars="200"/>
        <w:rPr>
          <w:rFonts w:eastAsia="方正仿宋_GBK"/>
          <w:color w:val="000000"/>
          <w:sz w:val="24"/>
        </w:rPr>
      </w:pPr>
      <w:r>
        <w:rPr>
          <w:rFonts w:eastAsia="方正仿宋_GBK"/>
          <w:color w:val="000000"/>
          <w:sz w:val="24"/>
        </w:rPr>
        <w:t>4</w:t>
      </w:r>
      <w:r>
        <w:rPr>
          <w:rFonts w:hint="eastAsia" w:eastAsia="方正仿宋_GBK"/>
          <w:color w:val="000000"/>
          <w:sz w:val="24"/>
        </w:rPr>
        <w:t>、超限高层建筑工程未报省建设行政主管部门进行抗震设防专项审查的。</w:t>
      </w:r>
    </w:p>
    <w:p>
      <w:pPr>
        <w:overflowPunct w:val="0"/>
        <w:autoSpaceDE w:val="0"/>
        <w:autoSpaceDN w:val="0"/>
        <w:snapToGrid w:val="0"/>
        <w:spacing w:line="460" w:lineRule="exact"/>
        <w:ind w:firstLine="480" w:firstLineChars="200"/>
        <w:rPr>
          <w:rFonts w:eastAsia="方正仿宋_GBK"/>
          <w:color w:val="000000"/>
          <w:sz w:val="24"/>
        </w:rPr>
      </w:pPr>
      <w:r>
        <w:rPr>
          <w:rFonts w:hint="eastAsia" w:eastAsia="方正仿宋_GBK"/>
          <w:color w:val="000000"/>
          <w:sz w:val="24"/>
        </w:rPr>
        <w:t>（十六）施工图审查数据信息实行月报、季报和年报制度。审查机构应当及时记录、整理审查项目的数据信息情况，报送项目所在地建设行政主管部门。市、县建设行政主管部门应当按时汇总本地区施工图审查数据信息，向省建设行政主管部门上报。</w:t>
      </w:r>
    </w:p>
    <w:p>
      <w:pPr>
        <w:snapToGrid w:val="0"/>
        <w:spacing w:line="460" w:lineRule="exact"/>
        <w:ind w:firstLine="480" w:firstLineChars="200"/>
        <w:rPr>
          <w:rFonts w:eastAsia="方正仿宋_GBK"/>
          <w:color w:val="000000"/>
          <w:sz w:val="24"/>
        </w:rPr>
      </w:pPr>
      <w:r>
        <w:rPr>
          <w:rFonts w:hint="eastAsia" w:eastAsia="方正仿宋_GBK"/>
          <w:color w:val="000000"/>
          <w:sz w:val="24"/>
        </w:rPr>
        <w:t>（十七）审查机构应将施工图审查过程中发现的勘察设计单位违反工程建设标准强制性条文情况按半年和年度周期进行汇总，并向社会进行公示。并应在汇总公示工作完成后五个工作日内将公示结果报送上级建设行政主管部门及省住房和城乡建设厅备案。</w:t>
      </w:r>
    </w:p>
    <w:p>
      <w:pPr>
        <w:snapToGrid w:val="0"/>
        <w:spacing w:line="460" w:lineRule="exact"/>
        <w:ind w:firstLine="480" w:firstLineChars="200"/>
        <w:outlineLvl w:val="0"/>
        <w:rPr>
          <w:rFonts w:eastAsia="黑体"/>
          <w:color w:val="000000"/>
          <w:sz w:val="24"/>
        </w:rPr>
      </w:pPr>
      <w:bookmarkStart w:id="201" w:name="_Toc20726226"/>
      <w:bookmarkStart w:id="202" w:name="_Toc20667700"/>
      <w:bookmarkStart w:id="203" w:name="_Toc18315607"/>
      <w:r>
        <w:rPr>
          <w:rFonts w:hint="eastAsia" w:eastAsia="黑体"/>
          <w:color w:val="000000"/>
          <w:sz w:val="24"/>
        </w:rPr>
        <w:t>六、职责与监督</w:t>
      </w:r>
      <w:bookmarkEnd w:id="201"/>
      <w:bookmarkEnd w:id="202"/>
      <w:bookmarkEnd w:id="203"/>
    </w:p>
    <w:p>
      <w:pPr>
        <w:spacing w:line="460" w:lineRule="exact"/>
        <w:ind w:firstLine="480" w:firstLineChars="200"/>
        <w:rPr>
          <w:rFonts w:eastAsia="方正仿宋_GBK"/>
          <w:color w:val="000000"/>
          <w:sz w:val="24"/>
        </w:rPr>
      </w:pPr>
      <w:r>
        <w:rPr>
          <w:rFonts w:hint="eastAsia" w:eastAsia="方正仿宋_GBK"/>
          <w:color w:val="000000"/>
          <w:sz w:val="24"/>
        </w:rPr>
        <w:t>（十八）建设单位应对施工图审查送审材料的真实性、有效性负责；勘察、设计企业应对提交的勘察、设计文件的真实性、有效性负责，并应积极配合审查。</w:t>
      </w:r>
    </w:p>
    <w:p>
      <w:pPr>
        <w:spacing w:line="460" w:lineRule="exact"/>
        <w:ind w:firstLine="480" w:firstLineChars="200"/>
        <w:rPr>
          <w:rFonts w:eastAsia="方正仿宋_GBK"/>
          <w:color w:val="000000"/>
          <w:sz w:val="24"/>
        </w:rPr>
      </w:pPr>
      <w:r>
        <w:rPr>
          <w:rFonts w:hint="eastAsia" w:eastAsia="方正仿宋_GBK"/>
          <w:color w:val="000000"/>
          <w:sz w:val="24"/>
        </w:rPr>
        <w:t>因弄虚作假、报送材料不及时等原因产生的后果由相关责任单位承担。</w:t>
      </w:r>
    </w:p>
    <w:p>
      <w:pPr>
        <w:spacing w:line="460" w:lineRule="exact"/>
        <w:ind w:firstLine="480" w:firstLineChars="200"/>
        <w:rPr>
          <w:rFonts w:eastAsia="方正仿宋_GBK"/>
          <w:color w:val="000000"/>
          <w:sz w:val="24"/>
        </w:rPr>
      </w:pPr>
      <w:r>
        <w:rPr>
          <w:rFonts w:hint="eastAsia" w:eastAsia="方正仿宋_GBK"/>
          <w:color w:val="000000"/>
          <w:sz w:val="24"/>
        </w:rPr>
        <w:t>（十九）审查机构应当认真履行法律、法规赋予的审查职责，秉公办事，不得徇私舞弊、弄虚作假，对施工图审查工作负责，承担审查责任，但不替代勘察设计单位的质量责任。</w:t>
      </w:r>
    </w:p>
    <w:p>
      <w:pPr>
        <w:spacing w:line="440" w:lineRule="exact"/>
        <w:ind w:firstLine="480" w:firstLineChars="200"/>
        <w:rPr>
          <w:rFonts w:eastAsia="方正仿宋_GBK"/>
          <w:color w:val="000000"/>
          <w:sz w:val="24"/>
        </w:rPr>
      </w:pPr>
      <w:r>
        <w:rPr>
          <w:rFonts w:hint="eastAsia" w:eastAsia="方正仿宋_GBK"/>
          <w:color w:val="000000"/>
          <w:sz w:val="24"/>
        </w:rPr>
        <w:t>施工图经审查通过后，仍有未查出的违反法律、法规和工程建设强制性标准的问题，给建设单位造成损失的，审查机构依法承担相应的赔偿责任；建设行政主管部门对审查机构、审查机构的法定代表人和审查人员依法作出处理或处罚。</w:t>
      </w:r>
    </w:p>
    <w:p>
      <w:pPr>
        <w:spacing w:line="440" w:lineRule="exact"/>
        <w:ind w:firstLine="480" w:firstLineChars="200"/>
        <w:rPr>
          <w:rFonts w:eastAsia="方正仿宋_GBK"/>
          <w:color w:val="000000"/>
          <w:sz w:val="24"/>
        </w:rPr>
      </w:pPr>
      <w:r>
        <w:rPr>
          <w:rFonts w:hint="eastAsia" w:eastAsia="方正仿宋_GBK"/>
          <w:color w:val="000000"/>
          <w:sz w:val="24"/>
        </w:rPr>
        <w:t>（二十）审查机构应当建立、健全岗位质量责任和档案管理制度。施工图审查应当有经各专业审查人员签字的审查记录，审查记录、审查意见书及合格书等全套审查资料应当归档保存。</w:t>
      </w:r>
    </w:p>
    <w:p>
      <w:pPr>
        <w:overflowPunct w:val="0"/>
        <w:autoSpaceDE w:val="0"/>
        <w:autoSpaceDN w:val="0"/>
        <w:spacing w:line="440" w:lineRule="exact"/>
        <w:ind w:firstLine="480" w:firstLineChars="200"/>
        <w:rPr>
          <w:rFonts w:eastAsia="方正仿宋_GBK"/>
          <w:color w:val="000000"/>
          <w:sz w:val="24"/>
        </w:rPr>
      </w:pPr>
      <w:r>
        <w:rPr>
          <w:rFonts w:hint="eastAsia" w:eastAsia="方正仿宋_GBK"/>
          <w:color w:val="000000"/>
          <w:sz w:val="24"/>
        </w:rPr>
        <w:t>（二十一）建设行政主管部门对审查机构报告的建设单位、勘察单位、设计单位和注册执业人员等的违规行为，应当及时核查，作为不良记录予以公布，或对有关单位或人员依法给予相应的处罚。</w:t>
      </w:r>
    </w:p>
    <w:p>
      <w:pPr>
        <w:overflowPunct w:val="0"/>
        <w:autoSpaceDE w:val="0"/>
        <w:autoSpaceDN w:val="0"/>
        <w:spacing w:line="440" w:lineRule="exact"/>
        <w:ind w:firstLine="480" w:firstLineChars="200"/>
        <w:rPr>
          <w:rFonts w:eastAsia="方正仿宋_GBK"/>
          <w:color w:val="000000"/>
          <w:sz w:val="24"/>
        </w:rPr>
      </w:pPr>
      <w:r>
        <w:rPr>
          <w:rFonts w:hint="eastAsia" w:eastAsia="方正仿宋_GBK"/>
          <w:color w:val="000000"/>
          <w:sz w:val="24"/>
        </w:rPr>
        <w:t>（二十二）建设行政主管部门应当依据国家和省有关规定，加强对审查机构在技术条件和能力、审查人员的培训认定情况、审查质量、审查行为等方面的日常监督。发现审查机构和审查人员有违规行为的，建设行政主管部门应当依法给予相应的处罚。涉及消防安全性、人防工程（不含人防指挥工程）防护安全性的，由县级以上人民政府有关部门按照职责分工实施监督检查和行政处罚，并将监督检查结果向社会公布。</w:t>
      </w:r>
    </w:p>
    <w:p>
      <w:pPr>
        <w:overflowPunct w:val="0"/>
        <w:autoSpaceDE w:val="0"/>
        <w:autoSpaceDN w:val="0"/>
        <w:spacing w:line="440" w:lineRule="exact"/>
        <w:ind w:firstLine="480" w:firstLineChars="200"/>
      </w:pPr>
      <w:r>
        <w:rPr>
          <w:rFonts w:hint="eastAsia" w:eastAsia="方正仿宋_GBK"/>
          <w:color w:val="000000"/>
          <w:sz w:val="24"/>
        </w:rPr>
        <w:t>建设行政主管部门实施监督检查时，有权要求被检查的审查机构提供有关施工图审查的文件和资料。</w:t>
      </w:r>
    </w:p>
    <w:p/>
    <w:p>
      <w:pPr>
        <w:pStyle w:val="2"/>
        <w:spacing w:before="240" w:beforeLines="100" w:after="240" w:afterLines="100" w:line="240" w:lineRule="auto"/>
        <w:jc w:val="center"/>
      </w:pPr>
    </w:p>
    <w:p/>
    <w:p/>
    <w:p/>
    <w:p/>
    <w:p/>
    <w:p/>
    <w:p/>
    <w:p>
      <w:pPr>
        <w:pStyle w:val="2"/>
        <w:spacing w:before="240" w:beforeLines="100" w:after="240" w:afterLines="100" w:line="240" w:lineRule="auto"/>
        <w:jc w:val="center"/>
        <w:rPr>
          <w:rFonts w:ascii="Times New Roman" w:eastAsia="方正小标宋_GBK"/>
          <w:b w:val="0"/>
          <w:sz w:val="36"/>
          <w:szCs w:val="36"/>
        </w:rPr>
      </w:pPr>
      <w:bookmarkStart w:id="204" w:name="_Toc20726272"/>
      <w:bookmarkStart w:id="205" w:name="_Toc18315349"/>
      <w:r>
        <w:rPr>
          <w:rFonts w:hint="eastAsia" w:ascii="Times New Roman" w:eastAsia="方正小标宋_GBK"/>
          <w:b w:val="0"/>
          <w:sz w:val="36"/>
          <w:szCs w:val="36"/>
        </w:rPr>
        <w:t>关于进一步加强施工图审查档案管理工作的通知</w:t>
      </w:r>
      <w:bookmarkEnd w:id="204"/>
      <w:bookmarkEnd w:id="205"/>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206" w:name="_Toc20726273"/>
      <w:bookmarkStart w:id="207" w:name="_Toc18315350"/>
      <w:r>
        <w:rPr>
          <w:rFonts w:hint="eastAsia" w:ascii="Times New Roman" w:hAnsi="Times New Roman" w:eastAsia="方正楷体_GBK"/>
          <w:b w:val="0"/>
          <w:sz w:val="24"/>
          <w:szCs w:val="24"/>
        </w:rPr>
        <w:t>苏建函科〔</w:t>
      </w:r>
      <w:r>
        <w:rPr>
          <w:rFonts w:ascii="Times New Roman" w:hAnsi="Times New Roman" w:eastAsia="方正楷体_GBK"/>
          <w:b w:val="0"/>
          <w:sz w:val="24"/>
          <w:szCs w:val="24"/>
        </w:rPr>
        <w:t>2008</w:t>
      </w:r>
      <w:r>
        <w:rPr>
          <w:rFonts w:hint="eastAsia" w:ascii="Times New Roman" w:hAnsi="Times New Roman" w:eastAsia="方正楷体_GBK"/>
          <w:b w:val="0"/>
          <w:sz w:val="24"/>
          <w:szCs w:val="24"/>
        </w:rPr>
        <w:t>〕</w:t>
      </w:r>
      <w:r>
        <w:rPr>
          <w:rFonts w:ascii="Times New Roman" w:hAnsi="Times New Roman" w:eastAsia="方正楷体_GBK"/>
          <w:b w:val="0"/>
          <w:sz w:val="24"/>
          <w:szCs w:val="24"/>
        </w:rPr>
        <w:t>186</w:t>
      </w:r>
      <w:r>
        <w:rPr>
          <w:rFonts w:hint="eastAsia" w:ascii="Times New Roman" w:hAnsi="Times New Roman" w:eastAsia="方正楷体_GBK"/>
          <w:b w:val="0"/>
          <w:sz w:val="24"/>
          <w:szCs w:val="24"/>
        </w:rPr>
        <w:t>号</w:t>
      </w:r>
      <w:bookmarkEnd w:id="206"/>
      <w:bookmarkEnd w:id="207"/>
    </w:p>
    <w:p>
      <w:pPr>
        <w:spacing w:line="460" w:lineRule="exact"/>
        <w:rPr>
          <w:rFonts w:eastAsia="方正仿宋_GBK"/>
          <w:color w:val="000000"/>
          <w:spacing w:val="-2"/>
          <w:sz w:val="24"/>
        </w:rPr>
      </w:pPr>
      <w:r>
        <w:rPr>
          <w:rFonts w:hint="eastAsia" w:eastAsia="方正仿宋_GBK"/>
          <w:color w:val="000000"/>
          <w:spacing w:val="-2"/>
          <w:sz w:val="24"/>
        </w:rPr>
        <w:t>各省辖市建设局（建委）：</w:t>
      </w:r>
    </w:p>
    <w:p>
      <w:pPr>
        <w:spacing w:line="460" w:lineRule="exact"/>
        <w:ind w:firstLine="472" w:firstLineChars="200"/>
        <w:jc w:val="left"/>
        <w:rPr>
          <w:rFonts w:eastAsia="方正仿宋_GBK"/>
          <w:color w:val="000000"/>
          <w:spacing w:val="-2"/>
          <w:sz w:val="24"/>
        </w:rPr>
      </w:pPr>
      <w:r>
        <w:rPr>
          <w:rFonts w:hint="eastAsia" w:eastAsia="方正仿宋_GBK"/>
          <w:color w:val="000000"/>
          <w:spacing w:val="-2"/>
          <w:sz w:val="24"/>
        </w:rPr>
        <w:t>施工图审查档案是施工图审查过程的记录，是审查机构接受监督检查需要提供的资料，是建设行政主管部门依法实施监管的依据。做好施工图审查档案工作，对促进我省施工图审查工作发展具有重要的意义。近年来，我省施工图审查工作发展迅速，施工图审查档案日益增加，规范管理急待加强。为了进一步加强我省施工图审查档案管理工作，特作如下通知：</w:t>
      </w:r>
    </w:p>
    <w:p>
      <w:pPr>
        <w:pStyle w:val="6"/>
        <w:spacing w:after="0" w:line="460" w:lineRule="exact"/>
        <w:ind w:left="0" w:leftChars="0" w:firstLine="472" w:firstLineChars="200"/>
        <w:rPr>
          <w:rFonts w:eastAsia="方正仿宋_GBK"/>
          <w:color w:val="000000"/>
          <w:spacing w:val="-2"/>
          <w:sz w:val="24"/>
        </w:rPr>
      </w:pPr>
      <w:r>
        <w:rPr>
          <w:rFonts w:hint="eastAsia" w:eastAsia="方正仿宋_GBK"/>
          <w:color w:val="000000"/>
          <w:spacing w:val="-2"/>
          <w:sz w:val="24"/>
        </w:rPr>
        <w:t>一、施工图审查各阶段相关文件资料作为施工图审查流程的记录，应包含以下内容，由施工图审查机构长期保存：</w:t>
      </w:r>
    </w:p>
    <w:p>
      <w:pPr>
        <w:spacing w:line="460" w:lineRule="exact"/>
        <w:ind w:firstLine="472" w:firstLineChars="200"/>
        <w:rPr>
          <w:rFonts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、作为勘察、设计依据的政府有关部门的批准文件及附件（复印件）；</w:t>
      </w:r>
    </w:p>
    <w:p>
      <w:pPr>
        <w:spacing w:line="460" w:lineRule="exact"/>
        <w:ind w:firstLine="472" w:firstLineChars="200"/>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、建设工程施工图审查报审表和绿色建筑报审表；</w:t>
      </w:r>
    </w:p>
    <w:p>
      <w:pPr>
        <w:spacing w:line="460" w:lineRule="exact"/>
        <w:ind w:firstLine="472" w:firstLineChars="200"/>
        <w:rPr>
          <w:rFonts w:eastAsia="方正仿宋_GBK"/>
          <w:color w:val="000000"/>
          <w:spacing w:val="-2"/>
          <w:sz w:val="24"/>
        </w:rPr>
      </w:pPr>
      <w:r>
        <w:rPr>
          <w:rFonts w:eastAsia="方正仿宋_GBK"/>
          <w:color w:val="000000"/>
          <w:spacing w:val="-2"/>
          <w:sz w:val="24"/>
        </w:rPr>
        <w:t>3</w:t>
      </w:r>
      <w:r>
        <w:rPr>
          <w:rFonts w:hint="eastAsia" w:eastAsia="方正仿宋_GBK"/>
          <w:color w:val="000000"/>
          <w:spacing w:val="-2"/>
          <w:sz w:val="24"/>
        </w:rPr>
        <w:t>、施工图审查意见书；</w:t>
      </w:r>
    </w:p>
    <w:p>
      <w:pPr>
        <w:spacing w:line="460" w:lineRule="exact"/>
        <w:ind w:firstLine="472" w:firstLineChars="200"/>
        <w:rPr>
          <w:rFonts w:eastAsia="方正仿宋_GBK"/>
          <w:color w:val="000000"/>
          <w:spacing w:val="-2"/>
          <w:sz w:val="24"/>
        </w:rPr>
      </w:pPr>
      <w:r>
        <w:rPr>
          <w:rFonts w:eastAsia="方正仿宋_GBK"/>
          <w:color w:val="000000"/>
          <w:spacing w:val="-2"/>
          <w:sz w:val="24"/>
        </w:rPr>
        <w:t>4</w:t>
      </w:r>
      <w:r>
        <w:rPr>
          <w:rFonts w:hint="eastAsia" w:eastAsia="方正仿宋_GBK"/>
          <w:color w:val="000000"/>
          <w:spacing w:val="-2"/>
          <w:sz w:val="24"/>
        </w:rPr>
        <w:t>、勘察、设计单位针对施工图审查意见的回复意见和修改、变更图纸；</w:t>
      </w:r>
    </w:p>
    <w:p>
      <w:pPr>
        <w:spacing w:line="460" w:lineRule="exact"/>
        <w:ind w:firstLine="472" w:firstLineChars="200"/>
        <w:rPr>
          <w:rFonts w:eastAsia="方正仿宋_GBK"/>
          <w:color w:val="000000"/>
          <w:spacing w:val="-2"/>
          <w:sz w:val="24"/>
        </w:rPr>
      </w:pPr>
      <w:r>
        <w:rPr>
          <w:rFonts w:eastAsia="方正仿宋_GBK"/>
          <w:color w:val="000000"/>
          <w:spacing w:val="-2"/>
          <w:sz w:val="24"/>
        </w:rPr>
        <w:t>5</w:t>
      </w:r>
      <w:r>
        <w:rPr>
          <w:rFonts w:hint="eastAsia" w:eastAsia="方正仿宋_GBK"/>
          <w:color w:val="000000"/>
          <w:spacing w:val="-2"/>
          <w:sz w:val="24"/>
        </w:rPr>
        <w:t>、审查机构对回复意见和修改、变更图纸的复审意见；</w:t>
      </w:r>
    </w:p>
    <w:p>
      <w:pPr>
        <w:spacing w:line="460" w:lineRule="exact"/>
        <w:ind w:firstLine="472" w:firstLineChars="200"/>
        <w:rPr>
          <w:rFonts w:eastAsia="方正仿宋_GBK"/>
          <w:color w:val="000000"/>
          <w:spacing w:val="-2"/>
          <w:sz w:val="24"/>
        </w:rPr>
      </w:pPr>
      <w:r>
        <w:rPr>
          <w:rFonts w:eastAsia="方正仿宋_GBK"/>
          <w:color w:val="000000"/>
          <w:spacing w:val="-2"/>
          <w:sz w:val="24"/>
        </w:rPr>
        <w:t>6</w:t>
      </w:r>
      <w:r>
        <w:rPr>
          <w:rFonts w:hint="eastAsia" w:eastAsia="方正仿宋_GBK"/>
          <w:color w:val="000000"/>
          <w:spacing w:val="-2"/>
          <w:sz w:val="24"/>
        </w:rPr>
        <w:t>、施工图审查合格书（复印件）。</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二、全套施工图纸（含工程勘察文件、施工图设计文件及各专业计算资料）作为工程建设阶段性资料，由施工图审查机构保存至工程竣工验收，之后交还建设单位。</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三、建设单位向工程所在地城建档案馆移交的竣工图，应当在盖有施工图审查专用章的全套施工图上（包括工程勘察文件、施工图设计文件，以及勘察、设计单位针对施工图审查意见的回复意见和修改、变更图纸）进行编制。</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建设单位在移交竣工图时，应同时移交施工图审查意见书、施工图审查合格书。</w:t>
      </w:r>
    </w:p>
    <w:p>
      <w:pPr>
        <w:spacing w:line="460" w:lineRule="exact"/>
        <w:rPr>
          <w:rFonts w:eastAsia="方正仿宋_GBK"/>
          <w:color w:val="000000"/>
          <w:spacing w:val="-2"/>
          <w:sz w:val="24"/>
        </w:rPr>
      </w:pPr>
    </w:p>
    <w:p>
      <w:pPr>
        <w:spacing w:line="460" w:lineRule="exact"/>
        <w:ind w:right="657" w:rightChars="313"/>
        <w:jc w:val="right"/>
        <w:rPr>
          <w:rFonts w:eastAsia="方正仿宋_GBK"/>
          <w:color w:val="000000"/>
          <w:spacing w:val="-2"/>
          <w:sz w:val="24"/>
        </w:rPr>
      </w:pPr>
      <w:r>
        <w:rPr>
          <w:rFonts w:hint="eastAsia" w:eastAsia="方正仿宋_GBK"/>
          <w:color w:val="000000"/>
          <w:spacing w:val="-2"/>
          <w:sz w:val="24"/>
        </w:rPr>
        <w:t>江苏省建设厅</w:t>
      </w:r>
      <w:r>
        <w:rPr>
          <w:rFonts w:eastAsia="方正仿宋_GBK"/>
          <w:color w:val="000000"/>
          <w:spacing w:val="-2"/>
          <w:sz w:val="24"/>
        </w:rPr>
        <w:t xml:space="preserve">      </w:t>
      </w:r>
    </w:p>
    <w:p>
      <w:pPr>
        <w:spacing w:line="460" w:lineRule="exact"/>
        <w:ind w:right="437" w:rightChars="208"/>
        <w:jc w:val="right"/>
        <w:rPr>
          <w:rFonts w:eastAsia="方正仿宋_GBK"/>
          <w:color w:val="000000"/>
          <w:spacing w:val="-2"/>
          <w:sz w:val="24"/>
        </w:rPr>
      </w:pPr>
      <w:r>
        <w:rPr>
          <w:rFonts w:hint="eastAsia" w:eastAsia="方正仿宋_GBK"/>
          <w:color w:val="000000"/>
          <w:spacing w:val="-2"/>
          <w:sz w:val="24"/>
        </w:rPr>
        <w:t>二〇〇八年四月三日</w:t>
      </w:r>
      <w:r>
        <w:rPr>
          <w:rFonts w:eastAsia="方正仿宋_GBK"/>
          <w:color w:val="000000"/>
          <w:spacing w:val="-2"/>
          <w:sz w:val="24"/>
        </w:rPr>
        <w:t xml:space="preserve">    </w:t>
      </w:r>
    </w:p>
    <w:p/>
    <w:p>
      <w:pPr>
        <w:pStyle w:val="2"/>
        <w:spacing w:before="240" w:beforeLines="100" w:after="240" w:afterLines="100" w:line="240" w:lineRule="auto"/>
        <w:jc w:val="center"/>
        <w:rPr>
          <w:rFonts w:ascii="Times New Roman" w:eastAsia="方正小标宋_GBK"/>
          <w:b w:val="0"/>
          <w:sz w:val="36"/>
          <w:szCs w:val="36"/>
        </w:rPr>
      </w:pPr>
      <w:r>
        <w:rPr>
          <w:b w:val="0"/>
        </w:rPr>
        <w:br w:type="column"/>
      </w:r>
      <w:bookmarkStart w:id="208" w:name="_Toc18315617"/>
      <w:bookmarkStart w:id="209" w:name="_Toc20726235"/>
      <w:r>
        <w:rPr>
          <w:rFonts w:hint="eastAsia" w:ascii="Times New Roman" w:eastAsia="方正小标宋_GBK"/>
          <w:b w:val="0"/>
          <w:sz w:val="36"/>
          <w:szCs w:val="36"/>
        </w:rPr>
        <w:t>关于印发《关于加强我省工程勘察市场及质量管理工作的实施意见》的通知</w:t>
      </w:r>
      <w:bookmarkEnd w:id="208"/>
      <w:bookmarkEnd w:id="209"/>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210" w:name="_Toc20726236"/>
      <w:bookmarkStart w:id="211" w:name="_Toc18315618"/>
      <w:r>
        <w:rPr>
          <w:rFonts w:hint="eastAsia" w:ascii="Times New Roman" w:hAnsi="Times New Roman" w:eastAsia="方正楷体_GBK"/>
          <w:b w:val="0"/>
          <w:sz w:val="24"/>
          <w:szCs w:val="24"/>
        </w:rPr>
        <w:t>苏建科〔</w:t>
      </w:r>
      <w:r>
        <w:rPr>
          <w:rFonts w:ascii="Times New Roman" w:hAnsi="Times New Roman" w:eastAsia="方正楷体_GBK"/>
          <w:b w:val="0"/>
          <w:sz w:val="24"/>
          <w:szCs w:val="24"/>
        </w:rPr>
        <w:t>2010</w:t>
      </w:r>
      <w:r>
        <w:rPr>
          <w:rFonts w:hint="eastAsia" w:ascii="Times New Roman" w:hAnsi="Times New Roman" w:eastAsia="方正楷体_GBK"/>
          <w:b w:val="0"/>
          <w:sz w:val="24"/>
          <w:szCs w:val="24"/>
        </w:rPr>
        <w:t>〕</w:t>
      </w:r>
      <w:r>
        <w:rPr>
          <w:rFonts w:ascii="Times New Roman" w:hAnsi="Times New Roman" w:eastAsia="方正楷体_GBK"/>
          <w:b w:val="0"/>
          <w:sz w:val="24"/>
          <w:szCs w:val="24"/>
        </w:rPr>
        <w:t>389</w:t>
      </w:r>
      <w:r>
        <w:rPr>
          <w:rFonts w:hint="eastAsia" w:ascii="Times New Roman" w:hAnsi="Times New Roman" w:eastAsia="方正楷体_GBK"/>
          <w:b w:val="0"/>
          <w:sz w:val="24"/>
          <w:szCs w:val="24"/>
        </w:rPr>
        <w:t>号</w:t>
      </w:r>
      <w:bookmarkEnd w:id="210"/>
      <w:bookmarkEnd w:id="211"/>
    </w:p>
    <w:p>
      <w:pPr>
        <w:spacing w:line="460" w:lineRule="exact"/>
        <w:rPr>
          <w:rFonts w:eastAsia="方正仿宋_GBK"/>
          <w:color w:val="000000"/>
          <w:sz w:val="24"/>
        </w:rPr>
      </w:pPr>
      <w:r>
        <w:rPr>
          <w:rFonts w:hint="eastAsia" w:eastAsia="方正仿宋_GBK"/>
          <w:color w:val="000000"/>
          <w:sz w:val="24"/>
        </w:rPr>
        <w:t>各省辖市、县（市）建设局（委）：</w:t>
      </w:r>
    </w:p>
    <w:p>
      <w:pPr>
        <w:spacing w:line="460" w:lineRule="exact"/>
        <w:ind w:firstLine="480" w:firstLineChars="200"/>
        <w:rPr>
          <w:rFonts w:eastAsia="方正仿宋_GBK"/>
          <w:color w:val="000000"/>
          <w:sz w:val="24"/>
        </w:rPr>
      </w:pPr>
      <w:r>
        <w:rPr>
          <w:rFonts w:hint="eastAsia" w:eastAsia="方正仿宋_GBK"/>
          <w:color w:val="000000"/>
          <w:kern w:val="0"/>
          <w:sz w:val="24"/>
        </w:rPr>
        <w:t>根据《中华人民共和国建筑法》、《建设工程质量管理条例》、《建设工程勘察设计管理条例》、《建设工程勘察质量管理办法》、《江苏省工程建设管理条例》、《江苏省建设工程勘察设计管理办法》等有关法律、法规及规章的规定和</w:t>
      </w:r>
      <w:r>
        <w:rPr>
          <w:rFonts w:hint="eastAsia" w:eastAsia="方正仿宋_GBK"/>
          <w:color w:val="000000"/>
          <w:sz w:val="24"/>
        </w:rPr>
        <w:t>住房和城乡建设部</w:t>
      </w:r>
      <w:r>
        <w:rPr>
          <w:rFonts w:hint="eastAsia" w:eastAsia="方正仿宋_GBK"/>
          <w:color w:val="000000"/>
          <w:kern w:val="0"/>
          <w:sz w:val="24"/>
        </w:rPr>
        <w:t>《</w:t>
      </w:r>
      <w:r>
        <w:rPr>
          <w:rFonts w:hint="eastAsia" w:eastAsia="方正仿宋_GBK"/>
          <w:bCs/>
          <w:color w:val="000000"/>
          <w:sz w:val="24"/>
        </w:rPr>
        <w:t>关于加强工程勘察质量管理工作的若干意见</w:t>
      </w:r>
      <w:r>
        <w:rPr>
          <w:rFonts w:hint="eastAsia" w:eastAsia="方正仿宋_GBK"/>
          <w:color w:val="000000"/>
          <w:kern w:val="0"/>
          <w:sz w:val="24"/>
        </w:rPr>
        <w:t>》（</w:t>
      </w:r>
      <w:r>
        <w:rPr>
          <w:rFonts w:hint="eastAsia" w:eastAsia="方正仿宋_GBK"/>
          <w:color w:val="000000"/>
          <w:sz w:val="24"/>
        </w:rPr>
        <w:t>建质〔</w:t>
      </w:r>
      <w:r>
        <w:rPr>
          <w:rFonts w:eastAsia="方正仿宋_GBK"/>
          <w:color w:val="000000"/>
          <w:sz w:val="24"/>
        </w:rPr>
        <w:t>2008</w:t>
      </w:r>
      <w:r>
        <w:rPr>
          <w:rFonts w:hint="eastAsia" w:eastAsia="方正仿宋_GBK"/>
          <w:color w:val="000000"/>
          <w:sz w:val="24"/>
        </w:rPr>
        <w:t>〕</w:t>
      </w:r>
      <w:r>
        <w:rPr>
          <w:rFonts w:eastAsia="方正仿宋_GBK"/>
          <w:color w:val="000000"/>
          <w:sz w:val="24"/>
        </w:rPr>
        <w:t>231</w:t>
      </w:r>
      <w:r>
        <w:rPr>
          <w:rFonts w:hint="eastAsia" w:eastAsia="方正仿宋_GBK"/>
          <w:color w:val="000000"/>
          <w:sz w:val="24"/>
        </w:rPr>
        <w:t>号）</w:t>
      </w:r>
      <w:r>
        <w:rPr>
          <w:rFonts w:hint="eastAsia" w:eastAsia="方正仿宋_GBK"/>
          <w:color w:val="000000"/>
          <w:kern w:val="0"/>
          <w:sz w:val="24"/>
        </w:rPr>
        <w:t>的要求，结合我省实际，</w:t>
      </w:r>
      <w:r>
        <w:rPr>
          <w:rFonts w:hint="eastAsia" w:eastAsia="方正仿宋_GBK"/>
          <w:color w:val="000000"/>
          <w:sz w:val="24"/>
        </w:rPr>
        <w:t>我厅研究制定了《</w:t>
      </w:r>
      <w:r>
        <w:rPr>
          <w:rFonts w:hint="eastAsia" w:eastAsia="方正仿宋_GBK"/>
          <w:bCs/>
          <w:color w:val="000000"/>
          <w:kern w:val="36"/>
          <w:sz w:val="24"/>
        </w:rPr>
        <w:t>关于加强我省工程勘察市场及质量管理工作的实施意见</w:t>
      </w:r>
      <w:r>
        <w:rPr>
          <w:rFonts w:hint="eastAsia" w:eastAsia="方正仿宋_GBK"/>
          <w:color w:val="000000"/>
          <w:sz w:val="24"/>
        </w:rPr>
        <w:t>》，现印发给你们，请遵照执行。</w:t>
      </w:r>
    </w:p>
    <w:p>
      <w:pPr>
        <w:spacing w:line="460" w:lineRule="exact"/>
        <w:ind w:firstLine="480" w:firstLineChars="200"/>
        <w:rPr>
          <w:rFonts w:eastAsia="方正仿宋_GBK"/>
          <w:color w:val="000000"/>
          <w:sz w:val="24"/>
        </w:rPr>
      </w:pPr>
    </w:p>
    <w:p>
      <w:pPr>
        <w:spacing w:line="460" w:lineRule="exact"/>
        <w:ind w:firstLine="448" w:firstLineChars="200"/>
        <w:rPr>
          <w:rFonts w:eastAsia="方正仿宋_GBK"/>
          <w:color w:val="000000"/>
          <w:spacing w:val="-8"/>
          <w:sz w:val="24"/>
        </w:rPr>
      </w:pPr>
      <w:r>
        <w:rPr>
          <w:rFonts w:hint="eastAsia" w:eastAsia="方正仿宋_GBK"/>
          <w:color w:val="000000"/>
          <w:spacing w:val="-8"/>
          <w:sz w:val="24"/>
        </w:rPr>
        <w:t>附件：《</w:t>
      </w:r>
      <w:r>
        <w:rPr>
          <w:rFonts w:hint="eastAsia" w:eastAsia="方正仿宋_GBK"/>
          <w:bCs/>
          <w:color w:val="000000"/>
          <w:spacing w:val="-8"/>
          <w:kern w:val="36"/>
          <w:sz w:val="24"/>
        </w:rPr>
        <w:t>关于加强我省工程勘察市场及质量管理工作的实施意见</w:t>
      </w:r>
      <w:r>
        <w:rPr>
          <w:rFonts w:hint="eastAsia" w:eastAsia="方正仿宋_GBK"/>
          <w:color w:val="000000"/>
          <w:spacing w:val="-8"/>
          <w:sz w:val="24"/>
        </w:rPr>
        <w:t>》</w:t>
      </w:r>
    </w:p>
    <w:p>
      <w:pPr>
        <w:spacing w:line="460" w:lineRule="exact"/>
        <w:ind w:firstLine="480" w:firstLineChars="200"/>
        <w:jc w:val="right"/>
        <w:rPr>
          <w:rFonts w:eastAsia="方正仿宋_GBK"/>
          <w:color w:val="000000"/>
          <w:sz w:val="24"/>
        </w:rPr>
      </w:pPr>
    </w:p>
    <w:p>
      <w:pPr>
        <w:spacing w:line="460" w:lineRule="exact"/>
        <w:ind w:firstLine="480" w:firstLineChars="200"/>
        <w:jc w:val="right"/>
        <w:rPr>
          <w:rFonts w:eastAsia="方正仿宋_GBK"/>
          <w:color w:val="000000"/>
          <w:sz w:val="24"/>
        </w:rPr>
      </w:pPr>
    </w:p>
    <w:p>
      <w:pPr>
        <w:spacing w:line="460" w:lineRule="exact"/>
        <w:ind w:right="464" w:rightChars="221" w:firstLine="480" w:firstLineChars="200"/>
        <w:jc w:val="right"/>
        <w:rPr>
          <w:rFonts w:eastAsia="方正仿宋_GBK"/>
          <w:color w:val="000000"/>
          <w:sz w:val="24"/>
        </w:rPr>
      </w:pPr>
      <w:r>
        <w:rPr>
          <w:rFonts w:eastAsia="方正仿宋_GBK"/>
          <w:color w:val="000000"/>
          <w:sz w:val="24"/>
        </w:rPr>
        <w:t xml:space="preserve">                    </w:t>
      </w:r>
      <w:r>
        <w:rPr>
          <w:rFonts w:hint="eastAsia" w:eastAsia="方正仿宋_GBK"/>
          <w:color w:val="000000"/>
          <w:sz w:val="24"/>
        </w:rPr>
        <w:t>二</w:t>
      </w:r>
      <w:r>
        <w:rPr>
          <w:rFonts w:hint="eastAsia" w:ascii="Times New Roman" w:hAnsi="Times New Roman"/>
          <w:color w:val="000000"/>
          <w:spacing w:val="-20"/>
          <w:sz w:val="24"/>
        </w:rPr>
        <w:t>○</w:t>
      </w:r>
      <w:r>
        <w:rPr>
          <w:rFonts w:hint="eastAsia" w:eastAsia="方正仿宋_GBK"/>
          <w:color w:val="000000"/>
          <w:spacing w:val="-20"/>
          <w:sz w:val="24"/>
        </w:rPr>
        <w:t>一</w:t>
      </w:r>
      <w:r>
        <w:rPr>
          <w:rFonts w:hint="eastAsia" w:ascii="Times New Roman" w:hAnsi="Times New Roman"/>
          <w:color w:val="000000"/>
          <w:spacing w:val="-20"/>
          <w:sz w:val="24"/>
        </w:rPr>
        <w:t>○</w:t>
      </w:r>
      <w:r>
        <w:rPr>
          <w:rFonts w:hint="eastAsia" w:eastAsia="方正仿宋_GBK"/>
          <w:color w:val="000000"/>
          <w:sz w:val="24"/>
        </w:rPr>
        <w:t>年八月二十五日</w:t>
      </w:r>
    </w:p>
    <w:p>
      <w:pPr>
        <w:spacing w:line="460" w:lineRule="exact"/>
        <w:ind w:firstLine="480" w:firstLineChars="200"/>
        <w:jc w:val="center"/>
        <w:rPr>
          <w:rFonts w:eastAsia="方正仿宋_GBK"/>
          <w:color w:val="000000"/>
          <w:sz w:val="24"/>
        </w:rPr>
      </w:pPr>
    </w:p>
    <w:p>
      <w:pPr>
        <w:widowControl/>
        <w:jc w:val="left"/>
        <w:rPr>
          <w:rFonts w:eastAsia="方正仿宋_GBK"/>
          <w:color w:val="000000"/>
          <w:spacing w:val="-2"/>
          <w:sz w:val="24"/>
        </w:rPr>
        <w:sectPr>
          <w:pgSz w:w="11905" w:h="16838"/>
          <w:pgMar w:top="1701" w:right="1587" w:bottom="1701" w:left="1587" w:header="850" w:footer="1361" w:gutter="0"/>
          <w:paperSrc w:first="4" w:other="4"/>
          <w:cols w:space="720" w:num="1"/>
        </w:sectPr>
      </w:pPr>
    </w:p>
    <w:p>
      <w:pPr>
        <w:spacing w:line="460" w:lineRule="exact"/>
        <w:rPr>
          <w:rFonts w:ascii="Times New Roman" w:eastAsia="黑体"/>
          <w:bCs/>
          <w:color w:val="000000"/>
          <w:kern w:val="36"/>
          <w:sz w:val="28"/>
          <w:szCs w:val="28"/>
        </w:rPr>
      </w:pPr>
      <w:r>
        <w:rPr>
          <w:rFonts w:hint="eastAsia" w:ascii="Times New Roman" w:eastAsia="黑体"/>
          <w:bCs/>
          <w:color w:val="000000"/>
          <w:kern w:val="36"/>
          <w:sz w:val="28"/>
          <w:szCs w:val="28"/>
        </w:rPr>
        <w:t>附件：</w:t>
      </w:r>
    </w:p>
    <w:p>
      <w:pPr>
        <w:spacing w:line="460" w:lineRule="exact"/>
        <w:ind w:firstLine="480" w:firstLineChars="200"/>
        <w:rPr>
          <w:rFonts w:hint="eastAsia" w:eastAsia="方正仿宋_GBK"/>
          <w:bCs/>
          <w:color w:val="000000"/>
          <w:kern w:val="36"/>
          <w:sz w:val="24"/>
        </w:rPr>
      </w:pPr>
    </w:p>
    <w:p>
      <w:pPr>
        <w:spacing w:line="460" w:lineRule="exact"/>
        <w:jc w:val="center"/>
        <w:rPr>
          <w:rFonts w:ascii="Times New Roman" w:eastAsia="方正小标宋简体"/>
          <w:bCs/>
          <w:color w:val="000000"/>
          <w:kern w:val="36"/>
          <w:sz w:val="36"/>
          <w:szCs w:val="36"/>
        </w:rPr>
      </w:pPr>
      <w:r>
        <w:rPr>
          <w:rFonts w:hint="eastAsia" w:ascii="Times New Roman" w:eastAsia="方正小标宋简体"/>
          <w:bCs/>
          <w:color w:val="000000"/>
          <w:kern w:val="36"/>
          <w:sz w:val="36"/>
          <w:szCs w:val="36"/>
        </w:rPr>
        <w:t>关于加强我省工程勘察市场及质量管理工作的</w:t>
      </w:r>
    </w:p>
    <w:p>
      <w:pPr>
        <w:spacing w:line="460" w:lineRule="exact"/>
        <w:jc w:val="center"/>
        <w:rPr>
          <w:rFonts w:hint="eastAsia" w:ascii="Times New Roman" w:eastAsia="方正小标宋简体"/>
          <w:bCs/>
          <w:color w:val="000000"/>
          <w:kern w:val="36"/>
          <w:sz w:val="36"/>
          <w:szCs w:val="36"/>
        </w:rPr>
      </w:pPr>
      <w:r>
        <w:rPr>
          <w:rFonts w:hint="eastAsia" w:ascii="Times New Roman" w:eastAsia="方正小标宋简体"/>
          <w:bCs/>
          <w:color w:val="000000"/>
          <w:kern w:val="36"/>
          <w:sz w:val="36"/>
          <w:szCs w:val="36"/>
        </w:rPr>
        <w:t>实施意见</w:t>
      </w:r>
    </w:p>
    <w:p>
      <w:pPr>
        <w:spacing w:line="460" w:lineRule="exact"/>
        <w:ind w:firstLine="480" w:firstLineChars="200"/>
        <w:rPr>
          <w:rFonts w:hint="eastAsia" w:eastAsia="方正仿宋_GBK"/>
          <w:color w:val="000000"/>
          <w:kern w:val="0"/>
          <w:sz w:val="24"/>
        </w:rPr>
      </w:pPr>
    </w:p>
    <w:p>
      <w:pPr>
        <w:spacing w:line="460" w:lineRule="exact"/>
        <w:ind w:firstLine="480" w:firstLineChars="200"/>
        <w:rPr>
          <w:rFonts w:eastAsia="方正仿宋_GBK"/>
          <w:color w:val="000000"/>
          <w:kern w:val="0"/>
          <w:sz w:val="24"/>
        </w:rPr>
      </w:pPr>
      <w:r>
        <w:rPr>
          <w:rFonts w:hint="eastAsia" w:eastAsia="方正仿宋_GBK"/>
          <w:color w:val="000000"/>
          <w:kern w:val="0"/>
          <w:sz w:val="24"/>
        </w:rPr>
        <w:t>为了进一步规范全省工程勘察市场秩序，确保工程勘察质量，提高工程勘察水平，根据《中华人民共和国建筑法》、《建设工程质量管理条例》、《建设工程勘察设计管理条例》、《建设工程勘察质量管理办法》、《江苏省工程建设管理条例》、《江苏省建设工程勘察设计管理办法》等有关法律、法规及规章的规定和</w:t>
      </w:r>
      <w:r>
        <w:rPr>
          <w:rFonts w:hint="eastAsia" w:eastAsia="方正仿宋_GBK"/>
          <w:color w:val="000000"/>
          <w:sz w:val="24"/>
        </w:rPr>
        <w:t>住房和城乡建设部</w:t>
      </w:r>
      <w:r>
        <w:rPr>
          <w:rFonts w:hint="eastAsia" w:eastAsia="方正仿宋_GBK"/>
          <w:color w:val="000000"/>
          <w:kern w:val="0"/>
          <w:sz w:val="24"/>
        </w:rPr>
        <w:t>《</w:t>
      </w:r>
      <w:r>
        <w:rPr>
          <w:rFonts w:hint="eastAsia" w:eastAsia="方正仿宋_GBK"/>
          <w:bCs/>
          <w:color w:val="000000"/>
          <w:sz w:val="24"/>
        </w:rPr>
        <w:t>关于加强工程勘察质量管理工作的若干意见</w:t>
      </w:r>
      <w:r>
        <w:rPr>
          <w:rFonts w:hint="eastAsia" w:eastAsia="方正仿宋_GBK"/>
          <w:color w:val="000000"/>
          <w:kern w:val="0"/>
          <w:sz w:val="24"/>
        </w:rPr>
        <w:t>》（</w:t>
      </w:r>
      <w:r>
        <w:rPr>
          <w:rFonts w:hint="eastAsia" w:eastAsia="方正仿宋_GBK"/>
          <w:color w:val="000000"/>
          <w:sz w:val="24"/>
        </w:rPr>
        <w:t>建质〔</w:t>
      </w:r>
      <w:r>
        <w:rPr>
          <w:rFonts w:eastAsia="方正仿宋_GBK"/>
          <w:color w:val="000000"/>
          <w:sz w:val="24"/>
        </w:rPr>
        <w:t>2008</w:t>
      </w:r>
      <w:r>
        <w:rPr>
          <w:rFonts w:hint="eastAsia" w:eastAsia="方正仿宋_GBK"/>
          <w:color w:val="000000"/>
          <w:sz w:val="24"/>
        </w:rPr>
        <w:t>〕</w:t>
      </w:r>
      <w:r>
        <w:rPr>
          <w:rFonts w:eastAsia="方正仿宋_GBK"/>
          <w:color w:val="000000"/>
          <w:sz w:val="24"/>
        </w:rPr>
        <w:t>231</w:t>
      </w:r>
      <w:r>
        <w:rPr>
          <w:rFonts w:hint="eastAsia" w:eastAsia="方正仿宋_GBK"/>
          <w:color w:val="000000"/>
          <w:sz w:val="24"/>
        </w:rPr>
        <w:t>号）</w:t>
      </w:r>
      <w:r>
        <w:rPr>
          <w:rFonts w:hint="eastAsia" w:eastAsia="方正仿宋_GBK"/>
          <w:color w:val="000000"/>
          <w:kern w:val="0"/>
          <w:sz w:val="24"/>
        </w:rPr>
        <w:t>的要求，结合我省实际，现就加强我省工程勘察市场及质量管理工作提出以下意见：</w:t>
      </w:r>
    </w:p>
    <w:p>
      <w:pPr>
        <w:spacing w:line="460" w:lineRule="exact"/>
        <w:ind w:firstLine="480" w:firstLineChars="200"/>
        <w:rPr>
          <w:rFonts w:ascii="Times New Roman" w:eastAsia="黑体"/>
          <w:bCs/>
          <w:color w:val="000000"/>
          <w:kern w:val="0"/>
          <w:sz w:val="24"/>
        </w:rPr>
      </w:pPr>
      <w:r>
        <w:rPr>
          <w:rFonts w:hint="eastAsia" w:ascii="Times New Roman" w:eastAsia="黑体"/>
          <w:bCs/>
          <w:color w:val="000000"/>
          <w:kern w:val="0"/>
          <w:sz w:val="24"/>
        </w:rPr>
        <w:t>一、</w:t>
      </w:r>
      <w:r>
        <w:rPr>
          <w:rFonts w:hint="eastAsia" w:ascii="Times New Roman" w:eastAsia="黑体"/>
          <w:color w:val="000000"/>
          <w:sz w:val="24"/>
        </w:rPr>
        <w:t>加大对工程勘察市场的监管力度，营造规范、公平的市场环境</w:t>
      </w:r>
    </w:p>
    <w:p>
      <w:pPr>
        <w:spacing w:line="460" w:lineRule="exact"/>
        <w:ind w:firstLine="480" w:firstLineChars="200"/>
        <w:rPr>
          <w:rFonts w:hint="eastAsia" w:eastAsia="方正仿宋_GBK"/>
          <w:bCs/>
          <w:color w:val="000000"/>
          <w:kern w:val="0"/>
          <w:sz w:val="24"/>
        </w:rPr>
      </w:pPr>
      <w:r>
        <w:rPr>
          <w:rFonts w:eastAsia="方正仿宋_GBK"/>
          <w:bCs/>
          <w:color w:val="000000"/>
          <w:kern w:val="0"/>
          <w:sz w:val="24"/>
        </w:rPr>
        <w:t>1</w:t>
      </w:r>
      <w:r>
        <w:rPr>
          <w:rFonts w:hint="eastAsia" w:eastAsia="方正仿宋_GBK"/>
          <w:bCs/>
          <w:color w:val="000000"/>
          <w:kern w:val="0"/>
          <w:sz w:val="24"/>
        </w:rPr>
        <w:t>、加强监督检查。通过市场集中检查、资质审查、施工图审查、资质核验、动态监管等措施，严厉查处挂靠、转包、违法分包以及无资质、超越资质承揽业务等违法违规行为，整顿市场秩序，净化市场环境。对存在上述问题的单位及个人要依法严肃查处，并向社会公布。</w:t>
      </w:r>
    </w:p>
    <w:p>
      <w:pPr>
        <w:spacing w:line="460" w:lineRule="exact"/>
        <w:ind w:firstLine="480" w:firstLineChars="200"/>
        <w:rPr>
          <w:rFonts w:eastAsia="方正仿宋_GBK"/>
          <w:bCs/>
          <w:color w:val="000000"/>
          <w:kern w:val="0"/>
          <w:sz w:val="24"/>
        </w:rPr>
      </w:pPr>
      <w:r>
        <w:rPr>
          <w:rFonts w:eastAsia="方正仿宋_GBK"/>
          <w:bCs/>
          <w:color w:val="000000"/>
          <w:kern w:val="0"/>
          <w:sz w:val="24"/>
        </w:rPr>
        <w:t>2</w:t>
      </w:r>
      <w:r>
        <w:rPr>
          <w:rFonts w:hint="eastAsia" w:eastAsia="方正仿宋_GBK"/>
          <w:bCs/>
          <w:color w:val="000000"/>
          <w:kern w:val="0"/>
          <w:sz w:val="24"/>
        </w:rPr>
        <w:t>、进一步完善诚信体系建设。</w:t>
      </w:r>
      <w:r>
        <w:rPr>
          <w:rFonts w:hint="eastAsia" w:eastAsia="方正仿宋_GBK"/>
          <w:color w:val="000000"/>
          <w:sz w:val="24"/>
        </w:rPr>
        <w:t>各地要逐渐在行政许可、市场准入、招标投标、资质管理、表彰评优等工作中，积极利用已公布的诚信行为信息，依法对守信行为给予激励和支持，对失信行为给予惩戒，逐步健全有效的诚信奖惩机制。</w:t>
      </w:r>
    </w:p>
    <w:p>
      <w:pPr>
        <w:spacing w:line="460" w:lineRule="exact"/>
        <w:ind w:firstLine="480" w:firstLineChars="200"/>
        <w:rPr>
          <w:rFonts w:ascii="Times New Roman" w:eastAsia="黑体"/>
          <w:bCs/>
          <w:color w:val="000000"/>
          <w:kern w:val="0"/>
          <w:sz w:val="24"/>
        </w:rPr>
      </w:pPr>
      <w:r>
        <w:rPr>
          <w:rFonts w:hint="eastAsia" w:ascii="Times New Roman" w:eastAsia="黑体"/>
          <w:bCs/>
          <w:color w:val="000000"/>
          <w:kern w:val="0"/>
          <w:sz w:val="24"/>
        </w:rPr>
        <w:t>二、加强质量监督，提高工程勘察质量</w:t>
      </w:r>
    </w:p>
    <w:p>
      <w:pPr>
        <w:spacing w:line="460" w:lineRule="exact"/>
        <w:ind w:firstLine="480" w:firstLineChars="200"/>
        <w:rPr>
          <w:rFonts w:hint="eastAsia" w:eastAsia="方正仿宋_GBK"/>
          <w:color w:val="000000"/>
          <w:sz w:val="24"/>
        </w:rPr>
      </w:pPr>
      <w:r>
        <w:rPr>
          <w:rFonts w:eastAsia="方正仿宋_GBK"/>
          <w:bCs/>
          <w:color w:val="000000"/>
          <w:kern w:val="0"/>
          <w:sz w:val="24"/>
        </w:rPr>
        <w:t>1</w:t>
      </w:r>
      <w:r>
        <w:rPr>
          <w:rFonts w:hint="eastAsia" w:eastAsia="方正仿宋_GBK"/>
          <w:bCs/>
          <w:color w:val="000000"/>
          <w:kern w:val="0"/>
          <w:sz w:val="24"/>
        </w:rPr>
        <w:t>、加大工程勘察质量检查的力度、深度和频次。</w:t>
      </w:r>
      <w:r>
        <w:rPr>
          <w:rFonts w:hint="eastAsia" w:eastAsia="方正仿宋_GBK"/>
          <w:color w:val="000000"/>
          <w:sz w:val="24"/>
        </w:rPr>
        <w:t>要持续开展工程勘察质量专项治理工作，重点检查钻孔数量、深度等现场作业是否符合规范要求和勘察方案，现场编录与试验记录的真实性等问题，注重根据施工中反映出的实际地质情况核查勘察成果质量。对于未按工程建设强制性标准和勘察方案进行勘察、弄虚作假等行为，要依法严肃处罚，并及时向社会公布。</w:t>
      </w:r>
    </w:p>
    <w:p>
      <w:pPr>
        <w:spacing w:line="460" w:lineRule="exact"/>
        <w:ind w:firstLine="480" w:firstLineChars="200"/>
        <w:rPr>
          <w:rFonts w:eastAsia="方正仿宋_GBK"/>
          <w:bCs/>
          <w:color w:val="000000"/>
          <w:kern w:val="0"/>
          <w:sz w:val="24"/>
        </w:rPr>
      </w:pPr>
      <w:r>
        <w:rPr>
          <w:rFonts w:eastAsia="方正仿宋_GBK"/>
          <w:color w:val="000000"/>
          <w:sz w:val="24"/>
        </w:rPr>
        <w:t>2</w:t>
      </w:r>
      <w:r>
        <w:rPr>
          <w:rFonts w:hint="eastAsia" w:eastAsia="方正仿宋_GBK"/>
          <w:color w:val="000000"/>
          <w:sz w:val="24"/>
        </w:rPr>
        <w:t>、</w:t>
      </w:r>
      <w:r>
        <w:rPr>
          <w:rFonts w:hint="eastAsia" w:eastAsia="方正仿宋_GBK"/>
          <w:bCs/>
          <w:color w:val="000000"/>
          <w:kern w:val="0"/>
          <w:sz w:val="24"/>
        </w:rPr>
        <w:t>加强工程勘察现场作业的动态监管。</w:t>
      </w:r>
      <w:r>
        <w:rPr>
          <w:rFonts w:hint="eastAsia" w:eastAsia="方正仿宋_GBK"/>
          <w:color w:val="000000"/>
          <w:sz w:val="24"/>
        </w:rPr>
        <w:t>勘察单位应在现场作业前三个工作日告知项目所在地建设行政主管部门，建设行政主管部门可以组织有关人员对现场作业情况进行抽查。有条件的地区或单位可以实施</w:t>
      </w:r>
      <w:r>
        <w:rPr>
          <w:rFonts w:hint="eastAsia" w:eastAsia="方正仿宋_GBK"/>
          <w:bCs/>
          <w:color w:val="000000"/>
          <w:sz w:val="24"/>
        </w:rPr>
        <w:t>工程勘察现场作业见证。</w:t>
      </w:r>
      <w:r>
        <w:rPr>
          <w:rFonts w:hint="eastAsia" w:eastAsia="方正仿宋_GBK"/>
          <w:color w:val="000000"/>
          <w:sz w:val="24"/>
        </w:rPr>
        <w:t>建立并实施工程勘察现场作业质量举报制度。任何单位和个人都有权对工程勘察现场作业时不按照标准、规范或技术规程进行勘察，编录数据时弄虚作假等行为进行举报。各市（县）建设行政主管部门要公布举报联系方式，对被举报的行为认真核查，一经查实，须按照相关法律、法规和规章对责任单位和责任人进行处罚。</w:t>
      </w:r>
    </w:p>
    <w:p>
      <w:pPr>
        <w:spacing w:line="460" w:lineRule="exact"/>
        <w:ind w:firstLine="480" w:firstLineChars="200"/>
        <w:rPr>
          <w:rFonts w:eastAsia="方正仿宋_GBK"/>
          <w:bCs/>
          <w:color w:val="000000"/>
          <w:kern w:val="0"/>
          <w:sz w:val="24"/>
        </w:rPr>
      </w:pPr>
      <w:r>
        <w:rPr>
          <w:rFonts w:eastAsia="方正仿宋_GBK"/>
          <w:bCs/>
          <w:color w:val="000000"/>
          <w:kern w:val="0"/>
          <w:sz w:val="24"/>
        </w:rPr>
        <w:t>3</w:t>
      </w:r>
      <w:r>
        <w:rPr>
          <w:rFonts w:hint="eastAsia" w:eastAsia="方正仿宋_GBK"/>
          <w:bCs/>
          <w:color w:val="000000"/>
          <w:kern w:val="0"/>
          <w:sz w:val="24"/>
        </w:rPr>
        <w:t>、加强对施工图审查机构的监管力度。要定期开展对施工图审查机构的监督检查，重点检查其是否错审、漏审强制性标准或强制性条文及审查的内容是否缺项等。对于在检查中存在上述问题的审图机构要依法予以处理。</w:t>
      </w:r>
    </w:p>
    <w:p>
      <w:pPr>
        <w:spacing w:line="460" w:lineRule="exact"/>
        <w:ind w:firstLine="480" w:firstLineChars="200"/>
        <w:rPr>
          <w:rFonts w:eastAsia="方正仿宋_GBK"/>
          <w:bCs/>
          <w:color w:val="000000"/>
          <w:sz w:val="24"/>
        </w:rPr>
      </w:pPr>
      <w:r>
        <w:rPr>
          <w:rFonts w:eastAsia="方正仿宋_GBK"/>
          <w:bCs/>
          <w:color w:val="000000"/>
          <w:sz w:val="24"/>
        </w:rPr>
        <w:t>4</w:t>
      </w:r>
      <w:r>
        <w:rPr>
          <w:rFonts w:hint="eastAsia" w:eastAsia="方正仿宋_GBK"/>
          <w:bCs/>
          <w:color w:val="000000"/>
          <w:sz w:val="24"/>
        </w:rPr>
        <w:t>、建立并实施工程勘察质量定期公布制度。施工图审查机构应及时向项目所在地建设行政主管部门上报勘察单位违反强制性标准的情况，建设行政主管部门应定期汇总施工图审查机构的上报信息，并向社会公布。</w:t>
      </w:r>
    </w:p>
    <w:p>
      <w:pPr>
        <w:spacing w:line="460" w:lineRule="exact"/>
        <w:ind w:firstLine="480" w:firstLineChars="200"/>
        <w:rPr>
          <w:rFonts w:eastAsia="方正仿宋_GBK"/>
          <w:color w:val="000000"/>
          <w:sz w:val="24"/>
        </w:rPr>
      </w:pPr>
      <w:r>
        <w:rPr>
          <w:rFonts w:eastAsia="方正仿宋_GBK"/>
          <w:color w:val="000000"/>
          <w:kern w:val="0"/>
          <w:sz w:val="24"/>
        </w:rPr>
        <w:t>5</w:t>
      </w:r>
      <w:r>
        <w:rPr>
          <w:rFonts w:hint="eastAsia" w:eastAsia="方正仿宋_GBK"/>
          <w:color w:val="000000"/>
          <w:kern w:val="0"/>
          <w:sz w:val="24"/>
        </w:rPr>
        <w:t>、认真落实工程勘察从业人员执业、持证上岗制度。要依据部、省有关注册土木工程师（岩土）执业的要求，认真落实注册土木工程师（岩土）执业制度。</w:t>
      </w:r>
      <w:r>
        <w:rPr>
          <w:rFonts w:hint="eastAsia" w:eastAsia="方正仿宋_GBK"/>
          <w:color w:val="000000"/>
          <w:sz w:val="24"/>
        </w:rPr>
        <w:t>注册土木工程师（岩土）须按照住房和城乡建设部《</w:t>
      </w:r>
      <w:r>
        <w:rPr>
          <w:rStyle w:val="14"/>
          <w:rFonts w:hint="eastAsia" w:eastAsia="方正仿宋_GBK"/>
          <w:color w:val="000000"/>
        </w:rPr>
        <w:t>注册土木工程师（岩土）执业及管理工作暂行规定</w:t>
      </w:r>
      <w:r>
        <w:rPr>
          <w:rFonts w:hint="eastAsia" w:eastAsia="方正仿宋_GBK"/>
          <w:color w:val="000000"/>
          <w:sz w:val="24"/>
        </w:rPr>
        <w:t>》的要求在相关技术文件上签字、盖章，并对其签章技术文件的技术质量负责。凡未经注册土木工程师（岩土）签章的技术文件，不得作为岩土工程项目实施的依据。</w:t>
      </w:r>
      <w:r>
        <w:rPr>
          <w:rFonts w:hint="eastAsia" w:eastAsia="方正仿宋_GBK"/>
          <w:color w:val="000000"/>
          <w:kern w:val="0"/>
          <w:sz w:val="24"/>
        </w:rPr>
        <w:t>要对工程勘察现场作业人员和土工试验人员实施持证上岗制度。</w:t>
      </w:r>
      <w:r>
        <w:rPr>
          <w:rFonts w:hint="eastAsia" w:eastAsia="方正仿宋_GBK"/>
          <w:color w:val="000000"/>
          <w:sz w:val="24"/>
        </w:rPr>
        <w:t>上述人员必须经过专业培训，经培训合格后方可上岗。各级建设行政主管部门及勘察单位应建立现场作业和土工试验人员的培训档案。</w:t>
      </w:r>
    </w:p>
    <w:p>
      <w:pPr>
        <w:spacing w:line="460" w:lineRule="exact"/>
        <w:ind w:firstLine="456" w:firstLineChars="200"/>
        <w:rPr>
          <w:rFonts w:ascii="Times New Roman" w:eastAsia="黑体"/>
          <w:bCs/>
          <w:color w:val="000000"/>
          <w:spacing w:val="-6"/>
          <w:kern w:val="0"/>
          <w:sz w:val="24"/>
        </w:rPr>
      </w:pPr>
      <w:r>
        <w:rPr>
          <w:rFonts w:hint="eastAsia" w:ascii="Times New Roman" w:eastAsia="黑体"/>
          <w:bCs/>
          <w:color w:val="000000"/>
          <w:spacing w:val="-6"/>
          <w:kern w:val="0"/>
          <w:sz w:val="24"/>
        </w:rPr>
        <w:t>三、进一步提高工程勘察质量责任意识，全面落实工程勘察有关各方质量责任</w:t>
      </w:r>
    </w:p>
    <w:p>
      <w:pPr>
        <w:spacing w:line="460" w:lineRule="exact"/>
        <w:ind w:firstLine="480" w:firstLineChars="200"/>
        <w:rPr>
          <w:rFonts w:hint="eastAsia" w:eastAsia="方正仿宋_GBK"/>
          <w:bCs/>
          <w:color w:val="000000"/>
          <w:kern w:val="0"/>
          <w:sz w:val="24"/>
        </w:rPr>
      </w:pPr>
      <w:r>
        <w:rPr>
          <w:rFonts w:hint="eastAsia" w:eastAsia="方正仿宋_GBK"/>
          <w:color w:val="000000"/>
          <w:kern w:val="0"/>
          <w:sz w:val="24"/>
        </w:rPr>
        <w:t>工程勘察是工程建设的基础，其质量的优劣直接关系到建设工程质量、投资效益和使用安全。各方责任主体应切实增强质量意识，落实质量责任，保证工程勘察质量。</w:t>
      </w:r>
    </w:p>
    <w:p>
      <w:pPr>
        <w:spacing w:line="460" w:lineRule="exact"/>
        <w:ind w:firstLine="480" w:firstLineChars="200"/>
        <w:rPr>
          <w:rFonts w:eastAsia="方正仿宋_GBK"/>
          <w:bCs/>
          <w:color w:val="000000"/>
          <w:kern w:val="0"/>
          <w:sz w:val="24"/>
        </w:rPr>
      </w:pPr>
      <w:r>
        <w:rPr>
          <w:rFonts w:hint="eastAsia" w:eastAsia="方正仿宋_GBK"/>
          <w:bCs/>
          <w:color w:val="000000"/>
          <w:kern w:val="0"/>
          <w:sz w:val="24"/>
        </w:rPr>
        <w:t>建设</w:t>
      </w:r>
      <w:r>
        <w:rPr>
          <w:rFonts w:hint="eastAsia" w:eastAsia="方正仿宋_GBK"/>
          <w:color w:val="000000"/>
          <w:sz w:val="24"/>
        </w:rPr>
        <w:t>单位要为勘察工作提供必要的现场工作条件，保证合理的勘察周期，提供真实、可靠的勘察依据和相关资料，同时要充分利用城建档案资料。要严格执行工程勘察收费标准。不得明示或暗示勘察企业违反工程建设强制性标准。</w:t>
      </w:r>
    </w:p>
    <w:p>
      <w:pPr>
        <w:spacing w:line="460" w:lineRule="exact"/>
        <w:ind w:firstLine="480" w:firstLineChars="200"/>
        <w:rPr>
          <w:rFonts w:eastAsia="方正仿宋_GBK"/>
          <w:bCs/>
          <w:color w:val="000000"/>
          <w:kern w:val="0"/>
          <w:sz w:val="24"/>
        </w:rPr>
      </w:pPr>
      <w:r>
        <w:rPr>
          <w:rFonts w:hint="eastAsia" w:eastAsia="方正仿宋_GBK"/>
          <w:bCs/>
          <w:color w:val="000000"/>
          <w:kern w:val="0"/>
          <w:sz w:val="24"/>
        </w:rPr>
        <w:t>工程勘察单位</w:t>
      </w:r>
      <w:r>
        <w:rPr>
          <w:rFonts w:hint="eastAsia" w:eastAsia="方正仿宋_GBK"/>
          <w:color w:val="000000"/>
          <w:sz w:val="24"/>
        </w:rPr>
        <w:t>要严格按照有关法律、法规和技术标准开展勘察工作，并对勘察质量全面负责。要按照《工程建设勘察企业质量管理规范》要求，建立健全内部质量管理体系和质量责任制度，强化现场作业质量和土工试验管理，保证原始记录和试验数据的可靠性、真实性和完整性，严禁离开现场进行追记、补记和修改记录。勘察文件（含原始资料）应符合国家有关勘察规范、标准、编制深度规定及国家关于城建档案管理的要求，并在勘察报告中对复杂场地条件和可能给工程造成危险的环境条件，做出必要说明。</w:t>
      </w:r>
    </w:p>
    <w:p>
      <w:pPr>
        <w:spacing w:line="460" w:lineRule="exact"/>
        <w:ind w:firstLine="480" w:firstLineChars="200"/>
        <w:rPr>
          <w:rFonts w:eastAsia="方正仿宋_GBK"/>
          <w:bCs/>
          <w:color w:val="000000"/>
          <w:kern w:val="0"/>
          <w:sz w:val="24"/>
        </w:rPr>
      </w:pPr>
      <w:r>
        <w:rPr>
          <w:rFonts w:hint="eastAsia" w:eastAsia="方正仿宋_GBK"/>
          <w:bCs/>
          <w:color w:val="000000"/>
          <w:kern w:val="0"/>
          <w:sz w:val="24"/>
        </w:rPr>
        <w:t>施工图审查机构</w:t>
      </w:r>
      <w:r>
        <w:rPr>
          <w:rFonts w:hint="eastAsia" w:eastAsia="方正仿宋_GBK"/>
          <w:color w:val="000000"/>
          <w:sz w:val="24"/>
        </w:rPr>
        <w:t>要对勘察文件（含原始资料）中涉及工程建设强制性标准的内容严格把关，并认真核查原始资料与勘察报告的有关内容是否吻合。审查不合格的勘察文件要及时退建设单位并书面说明不合格原因，发现有关违反法律、法规和工程建设强制性标准的问题，应及时报建设行政主管部门。</w:t>
      </w:r>
    </w:p>
    <w:p>
      <w:pPr>
        <w:spacing w:line="460" w:lineRule="exact"/>
        <w:ind w:firstLine="480" w:firstLineChars="200"/>
        <w:rPr>
          <w:rFonts w:eastAsia="方正仿宋_GBK"/>
          <w:bCs/>
          <w:color w:val="000000"/>
          <w:kern w:val="0"/>
          <w:sz w:val="24"/>
        </w:rPr>
      </w:pPr>
      <w:r>
        <w:rPr>
          <w:rFonts w:hint="eastAsia" w:eastAsia="方正仿宋_GBK"/>
          <w:bCs/>
          <w:color w:val="000000"/>
          <w:kern w:val="0"/>
          <w:sz w:val="24"/>
        </w:rPr>
        <w:t>工程设计、施工、监理企业</w:t>
      </w:r>
      <w:r>
        <w:rPr>
          <w:rFonts w:hint="eastAsia" w:eastAsia="方正仿宋_GBK"/>
          <w:color w:val="000000"/>
          <w:sz w:val="24"/>
        </w:rPr>
        <w:t>发现勘察文件不符合工程建设强制性标准，存在质量安全问题和隐患的，要及时报告建设单位和有关部门。</w:t>
      </w:r>
    </w:p>
    <w:p>
      <w:pPr>
        <w:spacing w:line="460" w:lineRule="exact"/>
        <w:ind w:firstLine="480" w:firstLineChars="200"/>
        <w:rPr>
          <w:rFonts w:ascii="Times New Roman" w:eastAsia="黑体"/>
          <w:bCs/>
          <w:color w:val="000000"/>
          <w:kern w:val="0"/>
          <w:sz w:val="24"/>
        </w:rPr>
      </w:pPr>
      <w:r>
        <w:rPr>
          <w:rFonts w:hint="eastAsia" w:ascii="Times New Roman" w:eastAsia="黑体"/>
          <w:bCs/>
          <w:color w:val="000000"/>
          <w:kern w:val="0"/>
          <w:sz w:val="24"/>
        </w:rPr>
        <w:t>四、建立健全企业内部质量管理制度，全面提高工程勘察水平</w:t>
      </w:r>
    </w:p>
    <w:p>
      <w:pPr>
        <w:spacing w:line="460" w:lineRule="exact"/>
        <w:ind w:firstLine="480" w:firstLineChars="200"/>
        <w:rPr>
          <w:rFonts w:hint="eastAsia" w:eastAsia="方正仿宋_GBK"/>
          <w:color w:val="000000"/>
          <w:kern w:val="0"/>
          <w:sz w:val="24"/>
        </w:rPr>
      </w:pPr>
      <w:r>
        <w:rPr>
          <w:rFonts w:hint="eastAsia" w:eastAsia="方正仿宋_GBK"/>
          <w:color w:val="000000"/>
          <w:kern w:val="0"/>
          <w:sz w:val="24"/>
        </w:rPr>
        <w:t>（一）建立健全质量管理的长效机制。工程勘察单位要全面建立健全质量责任管理制度，科学划分本单位法定代表人、技术负责人、项目负责人、审核人、审定人的质量职责范围，设置必要的质量保证组织。法定代表人应对本单位勘察质量全面负责。</w:t>
      </w:r>
    </w:p>
    <w:p>
      <w:pPr>
        <w:spacing w:line="460" w:lineRule="exact"/>
        <w:ind w:firstLine="480" w:firstLineChars="200"/>
        <w:rPr>
          <w:rFonts w:eastAsia="方正仿宋_GBK"/>
          <w:color w:val="000000"/>
          <w:kern w:val="0"/>
          <w:sz w:val="24"/>
        </w:rPr>
      </w:pPr>
      <w:r>
        <w:rPr>
          <w:rFonts w:hint="eastAsia" w:eastAsia="方正仿宋_GBK"/>
          <w:color w:val="000000"/>
          <w:kern w:val="0"/>
          <w:sz w:val="24"/>
        </w:rPr>
        <w:t>（二）建立工程勘察文件质量的内部审查制度。要严格执行签字签章制度，相关技术人员应按照有关规定在勘察文件上签字（不得代签或打印），注册执业人员应</w:t>
      </w:r>
      <w:r>
        <w:rPr>
          <w:rFonts w:hint="eastAsia" w:eastAsia="方正仿宋_GBK"/>
          <w:color w:val="000000"/>
          <w:sz w:val="24"/>
        </w:rPr>
        <w:t>在规定的技术文件上签字并加盖执业印章</w:t>
      </w:r>
      <w:r>
        <w:rPr>
          <w:rFonts w:hint="eastAsia" w:eastAsia="方正仿宋_GBK"/>
          <w:color w:val="000000"/>
          <w:kern w:val="0"/>
          <w:sz w:val="24"/>
        </w:rPr>
        <w:t>，并对工程勘察质量承担相应责任；项目负责人必须对工程勘察过程中各项作业资料包括现场作业原始记录和试验资料进行验收和签字，对勘察资料的真实性负责，并对项目的勘察文件负主要质量责任。勘察文件须经本单位校审合格后方可盖章出图，由项目业主报送施工图审查机构进行审查，勘察单位不得以施工图审查机构审查代替本单位的审查。</w:t>
      </w:r>
    </w:p>
    <w:p>
      <w:pPr>
        <w:spacing w:line="460" w:lineRule="exact"/>
        <w:ind w:firstLine="480" w:firstLineChars="200"/>
        <w:rPr>
          <w:rFonts w:eastAsia="方正仿宋_GBK"/>
          <w:color w:val="000000"/>
          <w:kern w:val="0"/>
          <w:sz w:val="24"/>
        </w:rPr>
      </w:pPr>
      <w:r>
        <w:rPr>
          <w:rFonts w:hint="eastAsia" w:eastAsia="方正仿宋_GBK"/>
          <w:color w:val="000000"/>
          <w:kern w:val="0"/>
          <w:sz w:val="24"/>
        </w:rPr>
        <w:t>（三）建立健全工程勘察文件档案管理制度。工程勘察成果资料是工程建设的依据，为保证对工程勘察质量全过程进行系统的管理，各工程勘察单位应在勘察过程中收集所必须的文件和资料，进行规范整理，并根据有关要求认真做好工程勘察文件的档案管理工作，强化工程勘察质量记录的可追溯性。</w:t>
      </w:r>
    </w:p>
    <w:p>
      <w:pPr>
        <w:spacing w:line="460" w:lineRule="exact"/>
        <w:ind w:firstLine="480" w:firstLineChars="200"/>
        <w:rPr>
          <w:rFonts w:ascii="Times New Roman" w:eastAsia="黑体"/>
          <w:bCs/>
          <w:color w:val="000000"/>
          <w:kern w:val="0"/>
          <w:sz w:val="24"/>
        </w:rPr>
      </w:pPr>
      <w:r>
        <w:rPr>
          <w:rFonts w:hint="eastAsia" w:ascii="Times New Roman" w:eastAsia="黑体"/>
          <w:bCs/>
          <w:color w:val="000000"/>
          <w:kern w:val="0"/>
          <w:sz w:val="24"/>
        </w:rPr>
        <w:t>五、加强人才培养，切实提高勘察人员的技术水平</w:t>
      </w:r>
    </w:p>
    <w:p>
      <w:pPr>
        <w:spacing w:line="460" w:lineRule="exact"/>
        <w:ind w:firstLine="480" w:firstLineChars="200"/>
        <w:rPr>
          <w:rFonts w:hint="eastAsia" w:eastAsia="方正仿宋_GBK"/>
          <w:color w:val="000000"/>
          <w:kern w:val="0"/>
          <w:sz w:val="24"/>
        </w:rPr>
      </w:pPr>
      <w:r>
        <w:rPr>
          <w:rFonts w:hint="eastAsia" w:eastAsia="方正仿宋_GBK"/>
          <w:color w:val="000000"/>
          <w:kern w:val="0"/>
          <w:sz w:val="24"/>
        </w:rPr>
        <w:t>各工程勘察单位应制定技术人员中长期培训计划，采取行之有效的方式，组织管理人员、技术人员进行培训，系统学习工程建设相关法律法规、工程勘察文件编制深度规定、勘察标准、规范和相关文件等，增强管理人员与技术人员的法律意识和责任意识，切实提高管理水平与业务技术水平。</w:t>
      </w:r>
    </w:p>
    <w:p>
      <w:pPr>
        <w:spacing w:line="460" w:lineRule="exact"/>
        <w:ind w:firstLine="480" w:firstLineChars="200"/>
        <w:rPr>
          <w:rFonts w:ascii="Times New Roman" w:eastAsia="黑体"/>
          <w:bCs/>
          <w:color w:val="000000"/>
          <w:kern w:val="0"/>
          <w:sz w:val="24"/>
        </w:rPr>
      </w:pPr>
      <w:r>
        <w:rPr>
          <w:rFonts w:hint="eastAsia" w:ascii="Times New Roman" w:eastAsia="黑体"/>
          <w:bCs/>
          <w:color w:val="000000"/>
          <w:kern w:val="0"/>
          <w:sz w:val="24"/>
        </w:rPr>
        <w:t>六、充分发挥行业协会作用，加强行业自律</w:t>
      </w:r>
    </w:p>
    <w:p>
      <w:pPr>
        <w:spacing w:line="460" w:lineRule="exact"/>
        <w:ind w:firstLine="480" w:firstLineChars="200"/>
        <w:rPr>
          <w:rFonts w:hint="eastAsia" w:eastAsia="方正仿宋_GBK"/>
          <w:color w:val="000000"/>
          <w:sz w:val="24"/>
        </w:rPr>
      </w:pPr>
      <w:r>
        <w:rPr>
          <w:rFonts w:hint="eastAsia" w:eastAsia="方正仿宋_GBK"/>
          <w:color w:val="000000"/>
          <w:sz w:val="24"/>
        </w:rPr>
        <w:t>在行业自律建设方面，行业协会担负着重要职责，要围绕规范市场秩序，健全各项自律性管理制度，制定并组织实施行业职业道德准则，大力推动行业诚信建设，建立完善行业自律性管理约束机制，规范会员行为，协调会员关系，维护公平竞争的市场秩序。</w:t>
      </w:r>
    </w:p>
    <w:p>
      <w:pPr>
        <w:spacing w:line="460" w:lineRule="exact"/>
        <w:ind w:firstLine="480" w:firstLineChars="200"/>
        <w:rPr>
          <w:rFonts w:eastAsia="方正仿宋_GBK"/>
          <w:color w:val="000000"/>
          <w:sz w:val="24"/>
        </w:rPr>
      </w:pPr>
    </w:p>
    <w:p>
      <w:pPr>
        <w:spacing w:line="460" w:lineRule="exact"/>
        <w:ind w:firstLine="480" w:firstLineChars="200"/>
        <w:rPr>
          <w:rFonts w:eastAsia="方正仿宋_GBK"/>
          <w:color w:val="000000"/>
          <w:sz w:val="24"/>
        </w:rPr>
      </w:pPr>
    </w:p>
    <w:p>
      <w:pPr>
        <w:spacing w:line="460" w:lineRule="exact"/>
        <w:ind w:firstLine="480" w:firstLineChars="200"/>
        <w:rPr>
          <w:rFonts w:eastAsia="方正仿宋_GBK"/>
          <w:color w:val="000000"/>
          <w:sz w:val="24"/>
        </w:rPr>
      </w:pPr>
    </w:p>
    <w:p/>
    <w:p/>
    <w:p/>
    <w:p/>
    <w:p/>
    <w:p/>
    <w:p/>
    <w:p/>
    <w:p/>
    <w:p/>
    <w:p/>
    <w:p/>
    <w:p/>
    <w:p/>
    <w:p/>
    <w:p/>
    <w:p/>
    <w:p/>
    <w:p/>
    <w:p/>
    <w:p/>
    <w:p/>
    <w:p/>
    <w:p/>
    <w:p/>
    <w:p/>
    <w:p/>
    <w:p/>
    <w:p/>
    <w:p/>
    <w:p/>
    <w:p/>
    <w:p/>
    <w:p/>
    <w:p/>
    <w:p/>
    <w:p>
      <w:pPr>
        <w:pStyle w:val="2"/>
        <w:spacing w:before="240" w:beforeLines="100" w:after="240" w:afterLines="100" w:line="240" w:lineRule="auto"/>
        <w:jc w:val="center"/>
        <w:rPr>
          <w:rFonts w:ascii="Times New Roman" w:eastAsia="方正小标宋_GBK"/>
          <w:b w:val="0"/>
          <w:sz w:val="36"/>
          <w:szCs w:val="36"/>
        </w:rPr>
      </w:pPr>
      <w:bookmarkStart w:id="212" w:name="_Toc20726456"/>
      <w:bookmarkStart w:id="213" w:name="_Toc18315562"/>
      <w:r>
        <w:rPr>
          <w:rFonts w:hint="eastAsia" w:ascii="Times New Roman" w:eastAsia="方正小标宋_GBK"/>
          <w:b w:val="0"/>
          <w:sz w:val="36"/>
          <w:szCs w:val="36"/>
        </w:rPr>
        <w:t>省住房城乡建设厅、省通信管理局关于全面贯彻落实光纤到户国家标准的通知</w:t>
      </w:r>
      <w:bookmarkEnd w:id="212"/>
      <w:bookmarkEnd w:id="213"/>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214" w:name="_Toc20726457"/>
      <w:bookmarkStart w:id="215" w:name="_Toc18315563"/>
      <w:r>
        <w:rPr>
          <w:rFonts w:hint="eastAsia" w:ascii="Times New Roman" w:hAnsi="Times New Roman" w:eastAsia="方正楷体_GBK"/>
          <w:b w:val="0"/>
          <w:sz w:val="24"/>
          <w:szCs w:val="24"/>
        </w:rPr>
        <w:t>苏建科〔</w:t>
      </w:r>
      <w:r>
        <w:rPr>
          <w:rFonts w:ascii="Times New Roman" w:hAnsi="Times New Roman" w:eastAsia="方正楷体_GBK"/>
          <w:b w:val="0"/>
          <w:sz w:val="24"/>
          <w:szCs w:val="24"/>
        </w:rPr>
        <w:t>2013</w:t>
      </w:r>
      <w:r>
        <w:rPr>
          <w:rFonts w:hint="eastAsia" w:ascii="Times New Roman" w:hAnsi="Times New Roman" w:eastAsia="方正楷体_GBK"/>
          <w:b w:val="0"/>
          <w:sz w:val="24"/>
          <w:szCs w:val="24"/>
        </w:rPr>
        <w:t>〕</w:t>
      </w:r>
      <w:r>
        <w:rPr>
          <w:rFonts w:ascii="Times New Roman" w:hAnsi="Times New Roman" w:eastAsia="方正楷体_GBK"/>
          <w:b w:val="0"/>
          <w:sz w:val="24"/>
          <w:szCs w:val="24"/>
        </w:rPr>
        <w:t>348</w:t>
      </w:r>
      <w:r>
        <w:rPr>
          <w:rFonts w:hint="eastAsia" w:ascii="Times New Roman" w:hAnsi="Times New Roman" w:eastAsia="方正楷体_GBK"/>
          <w:b w:val="0"/>
          <w:sz w:val="24"/>
          <w:szCs w:val="24"/>
        </w:rPr>
        <w:t>号</w:t>
      </w:r>
      <w:bookmarkEnd w:id="214"/>
      <w:bookmarkEnd w:id="215"/>
    </w:p>
    <w:p>
      <w:pPr>
        <w:spacing w:line="420" w:lineRule="exact"/>
        <w:rPr>
          <w:rFonts w:eastAsia="方正仿宋_GBK"/>
          <w:color w:val="000000"/>
          <w:spacing w:val="-2"/>
          <w:sz w:val="24"/>
        </w:rPr>
      </w:pPr>
      <w:r>
        <w:rPr>
          <w:rFonts w:hint="eastAsia" w:eastAsia="方正仿宋_GBK"/>
          <w:color w:val="000000"/>
          <w:spacing w:val="-2"/>
          <w:sz w:val="24"/>
        </w:rPr>
        <w:t>各省辖市建设局（委）、规划局、房管局，昆山、泰兴、沭阳县（市）建设局、规划局，中国电信股份有限公司江苏分公司、中国移动通信集团江苏有限公司、中国联合网络通信有限公司江苏省分公司，江苏省通信行业协会、各市通信行业协会：</w:t>
      </w:r>
    </w:p>
    <w:p>
      <w:pPr>
        <w:spacing w:line="420" w:lineRule="exact"/>
        <w:ind w:firstLine="472" w:firstLineChars="200"/>
        <w:rPr>
          <w:rFonts w:eastAsia="方正仿宋_GBK"/>
          <w:color w:val="000000"/>
          <w:spacing w:val="-2"/>
          <w:sz w:val="24"/>
        </w:rPr>
      </w:pPr>
      <w:r>
        <w:rPr>
          <w:rFonts w:hint="eastAsia" w:eastAsia="方正仿宋_GBK"/>
          <w:color w:val="000000"/>
          <w:spacing w:val="-2"/>
          <w:sz w:val="24"/>
        </w:rPr>
        <w:t>为贯彻落实《住房城乡建设部、工业和信息化部关于贯彻落实光纤到户国家标准的通知》（建标〔</w:t>
      </w:r>
      <w:r>
        <w:rPr>
          <w:rFonts w:eastAsia="方正仿宋_GBK"/>
          <w:color w:val="000000"/>
          <w:spacing w:val="-2"/>
          <w:sz w:val="24"/>
        </w:rPr>
        <w:t>2013</w:t>
      </w:r>
      <w:r>
        <w:rPr>
          <w:rFonts w:hint="eastAsia" w:eastAsia="方正仿宋_GBK"/>
          <w:color w:val="000000"/>
          <w:spacing w:val="-2"/>
          <w:sz w:val="24"/>
        </w:rPr>
        <w:t>〕</w:t>
      </w:r>
      <w:r>
        <w:rPr>
          <w:rFonts w:eastAsia="方正仿宋_GBK"/>
          <w:color w:val="000000"/>
          <w:spacing w:val="-2"/>
          <w:sz w:val="24"/>
        </w:rPr>
        <w:t>36</w:t>
      </w:r>
      <w:r>
        <w:rPr>
          <w:rFonts w:hint="eastAsia" w:eastAsia="方正仿宋_GBK"/>
          <w:color w:val="000000"/>
          <w:spacing w:val="-2"/>
          <w:sz w:val="24"/>
        </w:rPr>
        <w:t>号）精神，进一步规范我省住宅区和住宅建筑内光纤到户通信设施建设（以下简称光纤到户），提升住宅区通信基础设施建设水平，实现资源共享，满足居民对通信业务的需求，保障居住者的合法权益，结合我省实际情况，就有关要求通知如下：</w:t>
      </w:r>
    </w:p>
    <w:p>
      <w:pPr>
        <w:spacing w:line="42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一、全面推进新建住宅建筑光纤到户</w:t>
      </w:r>
    </w:p>
    <w:p>
      <w:pPr>
        <w:pStyle w:val="18"/>
        <w:spacing w:line="420" w:lineRule="exact"/>
        <w:ind w:firstLine="354" w:firstLineChars="150"/>
        <w:rPr>
          <w:rFonts w:hint="eastAsia" w:eastAsia="方正仿宋_GBK"/>
          <w:color w:val="000000"/>
          <w:spacing w:val="-2"/>
          <w:sz w:val="24"/>
        </w:rPr>
      </w:pPr>
      <w:r>
        <w:rPr>
          <w:rFonts w:hint="eastAsia" w:eastAsia="方正仿宋_GBK"/>
          <w:color w:val="000000"/>
          <w:spacing w:val="-2"/>
          <w:sz w:val="24"/>
        </w:rPr>
        <w:t>（一）贯彻落实好光纤到户国家标准。国家标准《住宅区和住宅建筑内光纤到户通信设施工程设计规范》（</w:t>
      </w:r>
      <w:r>
        <w:rPr>
          <w:rFonts w:eastAsia="方正仿宋_GBK"/>
          <w:color w:val="000000"/>
          <w:spacing w:val="-2"/>
          <w:sz w:val="24"/>
        </w:rPr>
        <w:t>GB 50846-2012</w:t>
      </w:r>
      <w:r>
        <w:rPr>
          <w:rFonts w:hint="eastAsia" w:eastAsia="方正仿宋_GBK"/>
          <w:color w:val="000000"/>
          <w:spacing w:val="-2"/>
          <w:sz w:val="24"/>
        </w:rPr>
        <w:t>）、《住宅区和住宅建筑内光纤到户通信设施工程施工及验收规范》（</w:t>
      </w:r>
      <w:r>
        <w:rPr>
          <w:rFonts w:eastAsia="方正仿宋_GBK"/>
          <w:color w:val="000000"/>
          <w:spacing w:val="-2"/>
          <w:sz w:val="24"/>
        </w:rPr>
        <w:t>GB 50847-2012</w:t>
      </w:r>
      <w:r>
        <w:rPr>
          <w:rFonts w:hint="eastAsia" w:eastAsia="方正仿宋_GBK"/>
          <w:color w:val="000000"/>
          <w:spacing w:val="-2"/>
          <w:sz w:val="24"/>
        </w:rPr>
        <w:t>）（以下简称光纤到户国家标准）已于</w:t>
      </w:r>
      <w:r>
        <w:rPr>
          <w:rFonts w:eastAsia="方正仿宋_GBK"/>
          <w:color w:val="000000"/>
          <w:spacing w:val="-2"/>
          <w:sz w:val="24"/>
        </w:rPr>
        <w:t>2013</w:t>
      </w:r>
      <w:r>
        <w:rPr>
          <w:rFonts w:hint="eastAsia" w:eastAsia="方正仿宋_GBK"/>
          <w:color w:val="000000"/>
          <w:spacing w:val="-2"/>
          <w:sz w:val="24"/>
        </w:rPr>
        <w:t>年</w:t>
      </w:r>
      <w:r>
        <w:rPr>
          <w:rFonts w:eastAsia="方正仿宋_GBK"/>
          <w:color w:val="000000"/>
          <w:spacing w:val="-2"/>
          <w:sz w:val="24"/>
        </w:rPr>
        <w:t>4</w:t>
      </w:r>
      <w:r>
        <w:rPr>
          <w:rFonts w:hint="eastAsia" w:eastAsia="方正仿宋_GBK"/>
          <w:color w:val="000000"/>
          <w:spacing w:val="-2"/>
          <w:sz w:val="24"/>
        </w:rPr>
        <w:t>月</w:t>
      </w:r>
      <w:r>
        <w:rPr>
          <w:rFonts w:eastAsia="方正仿宋_GBK"/>
          <w:color w:val="000000"/>
          <w:spacing w:val="-2"/>
          <w:sz w:val="24"/>
        </w:rPr>
        <w:t>1</w:t>
      </w:r>
      <w:r>
        <w:rPr>
          <w:rFonts w:hint="eastAsia" w:eastAsia="方正仿宋_GBK"/>
          <w:color w:val="000000"/>
          <w:spacing w:val="-2"/>
          <w:sz w:val="24"/>
        </w:rPr>
        <w:t>日正式实施。各省辖市有关部门和单位要根据各自职责做好国家标准的贯彻落实工作。全省县级及以上城区新建住宅区、住宅建筑及商住楼的建设规划、设计、施工和验收等活动，应当执行光纤到户国家标准。江苏省《住宅小区光纤到户通信配套设施建设标准》（</w:t>
      </w:r>
      <w:r>
        <w:rPr>
          <w:rFonts w:eastAsia="方正仿宋_GBK"/>
          <w:color w:val="000000"/>
          <w:spacing w:val="-2"/>
          <w:sz w:val="24"/>
        </w:rPr>
        <w:t>DGJ32/TJ 118—2011</w:t>
      </w:r>
      <w:r>
        <w:rPr>
          <w:rFonts w:hint="eastAsia" w:eastAsia="方正仿宋_GBK"/>
          <w:color w:val="000000"/>
          <w:spacing w:val="-2"/>
          <w:sz w:val="24"/>
        </w:rPr>
        <w:t>）中技术指标高于国标的仍以省标执行。</w:t>
      </w:r>
    </w:p>
    <w:p>
      <w:pPr>
        <w:spacing w:line="420" w:lineRule="exact"/>
        <w:ind w:firstLine="354" w:firstLineChars="150"/>
        <w:rPr>
          <w:rFonts w:eastAsia="方正仿宋_GBK"/>
          <w:color w:val="000000"/>
          <w:spacing w:val="-2"/>
          <w:sz w:val="24"/>
          <w:u w:val="single"/>
        </w:rPr>
      </w:pPr>
      <w:r>
        <w:rPr>
          <w:rFonts w:hint="eastAsia" w:eastAsia="方正仿宋_GBK"/>
          <w:color w:val="000000"/>
          <w:spacing w:val="-2"/>
          <w:sz w:val="24"/>
        </w:rPr>
        <w:t>（二）工程设计单位应按照光纤到户国家要求和合同约定进行住宅建筑及商住楼通信配套设施的设计。</w:t>
      </w:r>
    </w:p>
    <w:p>
      <w:pPr>
        <w:spacing w:line="420" w:lineRule="exact"/>
        <w:ind w:firstLine="354" w:firstLineChars="150"/>
        <w:rPr>
          <w:rFonts w:eastAsia="方正仿宋_GBK"/>
          <w:color w:val="000000"/>
          <w:spacing w:val="-2"/>
          <w:sz w:val="24"/>
          <w:u w:val="single"/>
        </w:rPr>
      </w:pPr>
      <w:r>
        <w:rPr>
          <w:rFonts w:hint="eastAsia" w:eastAsia="方正仿宋_GBK"/>
          <w:color w:val="000000"/>
          <w:spacing w:val="-2"/>
          <w:sz w:val="24"/>
        </w:rPr>
        <w:t>（三）施工图审查机构在审查建设单位报送的施工图设计文件时，应根据规范规定的要求对设计光纤到户的内容进行审查。建设行政主管部门应在含光纤到户国家标准实施内容的施工图设计审查合格后，核发《施工许可证》。</w:t>
      </w:r>
    </w:p>
    <w:p>
      <w:pPr>
        <w:pStyle w:val="18"/>
        <w:spacing w:line="420" w:lineRule="exact"/>
        <w:ind w:firstLine="354" w:firstLineChars="150"/>
        <w:rPr>
          <w:rFonts w:eastAsia="方正仿宋_GBK"/>
          <w:color w:val="000000"/>
          <w:spacing w:val="-2"/>
          <w:sz w:val="24"/>
        </w:rPr>
      </w:pPr>
      <w:r>
        <w:rPr>
          <w:rFonts w:hint="eastAsia" w:eastAsia="方正仿宋_GBK"/>
          <w:color w:val="000000"/>
          <w:spacing w:val="-2"/>
          <w:sz w:val="24"/>
        </w:rPr>
        <w:t>（四）住宅建设单位必须组织对光纤到户通信设施进行验收，并将验收文件报通信主管部门备案。各地市通信行业协会应积极组织力量，配合做好住宅建筑及商住楼通信配套设施专项验收，向住宅建设单位提供相关技术标准服务。省通信工程质量监督中心应根据光纤到户标准要求加大检查力度，严格光纤到户工程质量。</w:t>
      </w:r>
    </w:p>
    <w:p>
      <w:pPr>
        <w:pStyle w:val="18"/>
        <w:spacing w:line="420" w:lineRule="exact"/>
        <w:ind w:firstLine="354" w:firstLineChars="150"/>
        <w:rPr>
          <w:rFonts w:eastAsia="方正仿宋_GBK"/>
          <w:color w:val="000000"/>
          <w:spacing w:val="-2"/>
          <w:sz w:val="24"/>
        </w:rPr>
      </w:pPr>
      <w:r>
        <w:rPr>
          <w:rFonts w:hint="eastAsia" w:eastAsia="方正仿宋_GBK"/>
          <w:color w:val="000000"/>
          <w:spacing w:val="-2"/>
          <w:sz w:val="24"/>
        </w:rPr>
        <w:t>（五）通信配套设施专项验收备案工作由省通信管理局委托各市通信行业协会受理。各市通信行业协会按月汇总报送江苏省通信管理局。光纤到户通信设施未按要求验收或者验收不合格的，不得接入公用电信网；对擅自为未取得验收备案意见的住宅区和住宅项目提供公用通信接入的通信运营企业和用户驻地网业务经营单位，省通信管理局将根据有关规定严肃处理。</w:t>
      </w:r>
    </w:p>
    <w:p>
      <w:pPr>
        <w:spacing w:line="42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二、加快推动老小区光纤到户的改造</w:t>
      </w:r>
    </w:p>
    <w:p>
      <w:pPr>
        <w:pStyle w:val="18"/>
        <w:spacing w:line="420" w:lineRule="exact"/>
        <w:ind w:firstLine="354" w:firstLineChars="150"/>
        <w:rPr>
          <w:rFonts w:hint="eastAsia" w:eastAsia="方正仿宋_GBK"/>
          <w:color w:val="000000"/>
          <w:spacing w:val="-2"/>
          <w:sz w:val="24"/>
        </w:rPr>
      </w:pPr>
      <w:r>
        <w:rPr>
          <w:rFonts w:hint="eastAsia" w:eastAsia="方正仿宋_GBK"/>
          <w:color w:val="000000"/>
          <w:spacing w:val="-2"/>
          <w:sz w:val="24"/>
        </w:rPr>
        <w:t>（一）既有住宅区、住宅建筑及商住楼进行通信基础设施及相关配套改造时，应当按照光纤到户强制性标准的要求实施。</w:t>
      </w:r>
    </w:p>
    <w:p>
      <w:pPr>
        <w:pStyle w:val="18"/>
        <w:spacing w:line="420" w:lineRule="exact"/>
        <w:ind w:firstLine="354" w:firstLineChars="150"/>
        <w:rPr>
          <w:rFonts w:eastAsia="方正仿宋_GBK"/>
          <w:color w:val="000000"/>
          <w:spacing w:val="-2"/>
          <w:sz w:val="24"/>
        </w:rPr>
      </w:pPr>
      <w:r>
        <w:rPr>
          <w:rFonts w:hint="eastAsia" w:eastAsia="方正仿宋_GBK"/>
          <w:color w:val="000000"/>
          <w:spacing w:val="-2"/>
          <w:sz w:val="24"/>
        </w:rPr>
        <w:t>（二）各市通信行业协会应组织各电信运营企业主动分析本地区光纤到户的改造实施进度和存在问题，共同制定可行的实施计划。</w:t>
      </w:r>
    </w:p>
    <w:p>
      <w:pPr>
        <w:pStyle w:val="18"/>
        <w:spacing w:line="420" w:lineRule="exact"/>
        <w:ind w:firstLine="354" w:firstLineChars="150"/>
        <w:rPr>
          <w:rFonts w:eastAsia="方正仿宋_GBK"/>
          <w:color w:val="000000"/>
          <w:spacing w:val="-2"/>
          <w:sz w:val="24"/>
        </w:rPr>
      </w:pPr>
      <w:r>
        <w:rPr>
          <w:rFonts w:hint="eastAsia" w:eastAsia="方正仿宋_GBK"/>
          <w:color w:val="000000"/>
          <w:spacing w:val="-2"/>
          <w:sz w:val="24"/>
        </w:rPr>
        <w:t>（三）既有小区改造中住宅原建设单位、物业服务企业不得阻挠正常光纤到户改造，不得与任何企业签订垄断性协议，不得以任何方式限制用户选择权。对违法违规行为，依照相关法规规章，依法予以严肃处罚。</w:t>
      </w:r>
    </w:p>
    <w:p>
      <w:pPr>
        <w:spacing w:line="42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三、加强标准宣贯和监督检查</w:t>
      </w:r>
    </w:p>
    <w:p>
      <w:pPr>
        <w:spacing w:line="420" w:lineRule="exact"/>
        <w:ind w:firstLine="472" w:firstLineChars="200"/>
        <w:rPr>
          <w:rFonts w:hint="eastAsia" w:eastAsia="方正仿宋_GBK"/>
          <w:color w:val="000000"/>
          <w:spacing w:val="-2"/>
          <w:sz w:val="24"/>
        </w:rPr>
      </w:pPr>
      <w:r>
        <w:rPr>
          <w:rFonts w:hint="eastAsia" w:eastAsia="方正仿宋_GBK"/>
          <w:color w:val="000000"/>
          <w:spacing w:val="-2"/>
          <w:sz w:val="24"/>
        </w:rPr>
        <w:t>省住房和城乡建设厅、省通信管理局将继续组织对全省建设行政主管部门、施工图审查机构、工程质量监督部门，以及建设、设计、施工、监理、电信运营商等单位进行光纤到户国家标准宣贯培训。各市县有关单位要组织落实好标准宣贯培训工作。省住房和城乡建设厅、省通信管理局将根据各市贯彻实施光纤入户国家标准实际情况，适时组织联合监督检查，对执行国家标准不力的建设单位和责任人进行通报，并按相关规定进行处罚。</w:t>
      </w:r>
    </w:p>
    <w:p>
      <w:pPr>
        <w:spacing w:line="420" w:lineRule="exact"/>
        <w:rPr>
          <w:rFonts w:eastAsia="方正仿宋_GBK"/>
          <w:color w:val="000000"/>
          <w:spacing w:val="-2"/>
          <w:sz w:val="24"/>
        </w:rPr>
      </w:pPr>
    </w:p>
    <w:p>
      <w:pPr>
        <w:spacing w:line="420" w:lineRule="exact"/>
        <w:ind w:left="-2" w:leftChars="-1" w:firstLine="472" w:firstLineChars="200"/>
        <w:jc w:val="left"/>
        <w:rPr>
          <w:rFonts w:eastAsia="方正仿宋_GBK"/>
          <w:color w:val="000000"/>
          <w:spacing w:val="-2"/>
          <w:sz w:val="24"/>
        </w:rPr>
      </w:pPr>
      <w:r>
        <w:rPr>
          <w:rFonts w:hint="eastAsia" w:eastAsia="方正仿宋_GBK"/>
          <w:color w:val="000000"/>
          <w:spacing w:val="-2"/>
          <w:sz w:val="24"/>
        </w:rPr>
        <w:t>附件：《住房城乡建设部</w:t>
      </w:r>
      <w:r>
        <w:rPr>
          <w:rFonts w:eastAsia="方正仿宋_GBK"/>
          <w:color w:val="000000"/>
          <w:spacing w:val="-2"/>
          <w:sz w:val="24"/>
        </w:rPr>
        <w:t xml:space="preserve">  </w:t>
      </w:r>
      <w:r>
        <w:rPr>
          <w:rFonts w:hint="eastAsia" w:eastAsia="方正仿宋_GBK"/>
          <w:color w:val="000000"/>
          <w:spacing w:val="-2"/>
          <w:sz w:val="24"/>
        </w:rPr>
        <w:t>工业和信息化部关于贯彻落实光纤到户国家标准的通</w:t>
      </w:r>
    </w:p>
    <w:p>
      <w:pPr>
        <w:spacing w:line="420" w:lineRule="exact"/>
        <w:ind w:left="-2" w:leftChars="-1" w:firstLine="1253" w:firstLineChars="531"/>
        <w:jc w:val="left"/>
        <w:rPr>
          <w:rFonts w:eastAsia="方正仿宋_GBK"/>
          <w:color w:val="000000"/>
          <w:spacing w:val="-2"/>
          <w:sz w:val="24"/>
        </w:rPr>
      </w:pPr>
      <w:r>
        <w:rPr>
          <w:rFonts w:hint="eastAsia" w:eastAsia="方正仿宋_GBK"/>
          <w:color w:val="000000"/>
          <w:spacing w:val="-2"/>
          <w:sz w:val="24"/>
        </w:rPr>
        <w:t>知》（建标〔</w:t>
      </w:r>
      <w:r>
        <w:rPr>
          <w:rFonts w:eastAsia="方正仿宋_GBK"/>
          <w:color w:val="000000"/>
          <w:spacing w:val="-2"/>
          <w:sz w:val="24"/>
        </w:rPr>
        <w:t>2013</w:t>
      </w:r>
      <w:r>
        <w:rPr>
          <w:rFonts w:hint="eastAsia" w:eastAsia="方正仿宋_GBK"/>
          <w:color w:val="000000"/>
          <w:spacing w:val="-2"/>
          <w:sz w:val="24"/>
        </w:rPr>
        <w:t>〕</w:t>
      </w:r>
      <w:r>
        <w:rPr>
          <w:rFonts w:eastAsia="方正仿宋_GBK"/>
          <w:color w:val="000000"/>
          <w:spacing w:val="-2"/>
          <w:sz w:val="24"/>
        </w:rPr>
        <w:t>36</w:t>
      </w:r>
      <w:r>
        <w:rPr>
          <w:rFonts w:hint="eastAsia" w:eastAsia="方正仿宋_GBK"/>
          <w:color w:val="000000"/>
          <w:spacing w:val="-2"/>
          <w:sz w:val="24"/>
        </w:rPr>
        <w:t>号）</w:t>
      </w:r>
    </w:p>
    <w:p>
      <w:pPr>
        <w:spacing w:line="420" w:lineRule="exact"/>
        <w:jc w:val="left"/>
        <w:rPr>
          <w:rFonts w:eastAsia="方正仿宋_GBK"/>
          <w:color w:val="000000"/>
          <w:spacing w:val="-2"/>
          <w:sz w:val="24"/>
        </w:rPr>
      </w:pPr>
    </w:p>
    <w:p>
      <w:pPr>
        <w:spacing w:line="420" w:lineRule="exact"/>
        <w:ind w:right="458" w:rightChars="218" w:firstLine="472" w:firstLineChars="200"/>
        <w:jc w:val="right"/>
        <w:rPr>
          <w:rFonts w:eastAsia="方正仿宋_GBK"/>
          <w:color w:val="000000"/>
          <w:spacing w:val="-2"/>
          <w:sz w:val="24"/>
        </w:rPr>
      </w:pPr>
      <w:r>
        <w:rPr>
          <w:rFonts w:eastAsia="方正仿宋_GBK"/>
          <w:color w:val="000000"/>
          <w:spacing w:val="-2"/>
          <w:sz w:val="24"/>
        </w:rPr>
        <w:t xml:space="preserve"> </w:t>
      </w:r>
      <w:r>
        <w:rPr>
          <w:rFonts w:hint="eastAsia" w:eastAsia="方正仿宋_GBK"/>
          <w:color w:val="000000"/>
          <w:spacing w:val="-2"/>
          <w:sz w:val="24"/>
        </w:rPr>
        <w:t>江苏省住房和城乡建设厅</w:t>
      </w:r>
      <w:r>
        <w:rPr>
          <w:rFonts w:eastAsia="方正仿宋_GBK"/>
          <w:color w:val="000000"/>
          <w:spacing w:val="-2"/>
          <w:sz w:val="24"/>
        </w:rPr>
        <w:t xml:space="preserve">    </w:t>
      </w:r>
    </w:p>
    <w:p>
      <w:pPr>
        <w:spacing w:line="420" w:lineRule="exact"/>
        <w:ind w:right="458" w:rightChars="218" w:firstLine="684" w:firstLineChars="200"/>
        <w:jc w:val="right"/>
        <w:rPr>
          <w:rFonts w:eastAsia="方正仿宋_GBK"/>
          <w:color w:val="000000"/>
          <w:spacing w:val="-2"/>
          <w:sz w:val="24"/>
        </w:rPr>
      </w:pPr>
      <w:r>
        <w:rPr>
          <w:rFonts w:hint="eastAsia" w:eastAsia="方正仿宋_GBK"/>
          <w:color w:val="000000"/>
          <w:spacing w:val="51"/>
          <w:kern w:val="0"/>
          <w:sz w:val="24"/>
        </w:rPr>
        <w:t>江苏省通信管理</w:t>
      </w:r>
      <w:r>
        <w:rPr>
          <w:rFonts w:hint="eastAsia" w:eastAsia="方正仿宋_GBK"/>
          <w:color w:val="000000"/>
          <w:spacing w:val="3"/>
          <w:kern w:val="0"/>
          <w:sz w:val="24"/>
        </w:rPr>
        <w:t>局</w:t>
      </w:r>
      <w:r>
        <w:rPr>
          <w:rFonts w:eastAsia="方正仿宋_GBK"/>
          <w:color w:val="000000"/>
          <w:kern w:val="0"/>
          <w:sz w:val="24"/>
        </w:rPr>
        <w:t xml:space="preserve">    </w:t>
      </w:r>
    </w:p>
    <w:p>
      <w:pPr>
        <w:spacing w:line="420" w:lineRule="exact"/>
        <w:ind w:right="838" w:rightChars="399" w:firstLine="4012" w:firstLineChars="1700"/>
        <w:jc w:val="right"/>
        <w:rPr>
          <w:rFonts w:eastAsia="方正仿宋_GBK"/>
          <w:color w:val="000000"/>
          <w:spacing w:val="-2"/>
          <w:sz w:val="24"/>
        </w:rPr>
      </w:pPr>
      <w:r>
        <w:rPr>
          <w:rFonts w:eastAsia="方正仿宋_GBK"/>
          <w:color w:val="000000"/>
          <w:spacing w:val="-2"/>
          <w:sz w:val="24"/>
        </w:rPr>
        <w:t>2013</w:t>
      </w:r>
      <w:r>
        <w:rPr>
          <w:rFonts w:hint="eastAsia" w:eastAsia="方正仿宋_GBK"/>
          <w:color w:val="000000"/>
          <w:spacing w:val="-2"/>
          <w:sz w:val="24"/>
        </w:rPr>
        <w:t>年</w:t>
      </w:r>
      <w:r>
        <w:rPr>
          <w:rFonts w:eastAsia="方正仿宋_GBK"/>
          <w:color w:val="000000"/>
          <w:spacing w:val="-2"/>
          <w:sz w:val="24"/>
        </w:rPr>
        <w:t>7</w:t>
      </w:r>
      <w:r>
        <w:rPr>
          <w:rFonts w:hint="eastAsia" w:eastAsia="方正仿宋_GBK"/>
          <w:color w:val="000000"/>
          <w:spacing w:val="-2"/>
          <w:sz w:val="24"/>
        </w:rPr>
        <w:t>月</w:t>
      </w:r>
      <w:r>
        <w:rPr>
          <w:rFonts w:eastAsia="方正仿宋_GBK"/>
          <w:color w:val="000000"/>
          <w:spacing w:val="-2"/>
          <w:sz w:val="24"/>
        </w:rPr>
        <w:t>16</w:t>
      </w:r>
      <w:r>
        <w:rPr>
          <w:rFonts w:hint="eastAsia" w:eastAsia="方正仿宋_GBK"/>
          <w:color w:val="000000"/>
          <w:spacing w:val="-2"/>
          <w:sz w:val="24"/>
        </w:rPr>
        <w:t>日</w:t>
      </w:r>
      <w:r>
        <w:rPr>
          <w:rFonts w:eastAsia="方正仿宋_GBK"/>
          <w:color w:val="000000"/>
          <w:spacing w:val="-2"/>
          <w:sz w:val="24"/>
        </w:rPr>
        <w:t xml:space="preserve">       </w:t>
      </w:r>
    </w:p>
    <w:p>
      <w:pPr>
        <w:shd w:val="clear" w:color="auto" w:fill="FFFFFF"/>
        <w:spacing w:line="460" w:lineRule="exact"/>
        <w:rPr>
          <w:rFonts w:eastAsia="方正仿宋_GBK"/>
          <w:bCs/>
          <w:color w:val="000000"/>
          <w:spacing w:val="-2"/>
          <w:kern w:val="0"/>
          <w:sz w:val="24"/>
        </w:rPr>
      </w:pPr>
    </w:p>
    <w:p>
      <w:pPr>
        <w:shd w:val="clear" w:color="auto" w:fill="FFFFFF"/>
        <w:spacing w:line="460" w:lineRule="exact"/>
        <w:rPr>
          <w:rFonts w:ascii="Times New Roman" w:eastAsia="方正黑体_GBK"/>
          <w:bCs/>
          <w:color w:val="000000"/>
          <w:spacing w:val="-2"/>
          <w:kern w:val="0"/>
          <w:sz w:val="28"/>
          <w:szCs w:val="28"/>
        </w:rPr>
      </w:pPr>
      <w:r>
        <w:rPr>
          <w:rFonts w:eastAsia="方正仿宋_GBK"/>
          <w:bCs/>
          <w:color w:val="000000"/>
          <w:spacing w:val="-2"/>
          <w:kern w:val="0"/>
          <w:sz w:val="24"/>
        </w:rPr>
        <w:br w:type="column"/>
      </w:r>
      <w:r>
        <w:rPr>
          <w:rFonts w:hint="eastAsia" w:ascii="Times New Roman" w:eastAsia="方正黑体_GBK"/>
          <w:bCs/>
          <w:color w:val="000000"/>
          <w:spacing w:val="-2"/>
          <w:kern w:val="0"/>
          <w:sz w:val="28"/>
          <w:szCs w:val="28"/>
        </w:rPr>
        <w:t>附件：</w:t>
      </w:r>
    </w:p>
    <w:p>
      <w:pPr>
        <w:shd w:val="clear" w:color="auto" w:fill="FFFFFF"/>
        <w:spacing w:line="460" w:lineRule="exact"/>
        <w:rPr>
          <w:rFonts w:hint="eastAsia" w:ascii="Times New Roman" w:eastAsia="方正黑体_GBK"/>
          <w:bCs/>
          <w:color w:val="000000"/>
          <w:spacing w:val="-2"/>
          <w:kern w:val="0"/>
          <w:sz w:val="28"/>
          <w:szCs w:val="28"/>
        </w:rPr>
      </w:pPr>
    </w:p>
    <w:p>
      <w:pPr>
        <w:spacing w:line="500" w:lineRule="exact"/>
        <w:ind w:left="-7" w:leftChars="-8" w:hanging="10" w:hangingChars="3"/>
        <w:jc w:val="center"/>
        <w:rPr>
          <w:rFonts w:hint="eastAsia" w:ascii="Times New Roman" w:eastAsia="方正小标宋简体"/>
          <w:sz w:val="36"/>
          <w:szCs w:val="36"/>
        </w:rPr>
      </w:pPr>
      <w:r>
        <w:rPr>
          <w:rFonts w:hint="eastAsia" w:ascii="Times New Roman" w:eastAsia="方正小标宋简体"/>
          <w:sz w:val="36"/>
          <w:szCs w:val="36"/>
        </w:rPr>
        <w:t>住房城乡建设部　工业和信息化部</w:t>
      </w:r>
    </w:p>
    <w:p>
      <w:pPr>
        <w:spacing w:line="500" w:lineRule="exact"/>
        <w:ind w:left="-7" w:leftChars="-8" w:hanging="10" w:hangingChars="3"/>
        <w:jc w:val="center"/>
        <w:rPr>
          <w:rFonts w:hint="eastAsia" w:ascii="Times New Roman" w:eastAsia="方正小标宋简体"/>
          <w:sz w:val="36"/>
          <w:szCs w:val="36"/>
        </w:rPr>
      </w:pPr>
      <w:r>
        <w:rPr>
          <w:rFonts w:hint="eastAsia" w:ascii="Times New Roman" w:eastAsia="方正小标宋简体"/>
          <w:sz w:val="36"/>
          <w:szCs w:val="36"/>
        </w:rPr>
        <w:t>关于贯彻落实光纤到户国家标准的通知</w:t>
      </w:r>
    </w:p>
    <w:p>
      <w:pPr>
        <w:shd w:val="clear" w:color="auto" w:fill="FFFFFF"/>
        <w:spacing w:line="460" w:lineRule="exact"/>
        <w:ind w:firstLine="472" w:firstLineChars="200"/>
        <w:jc w:val="center"/>
        <w:rPr>
          <w:rFonts w:hint="eastAsia" w:eastAsia="方正仿宋_GBK"/>
          <w:color w:val="000000"/>
          <w:spacing w:val="-2"/>
          <w:kern w:val="0"/>
          <w:sz w:val="24"/>
        </w:rPr>
      </w:pPr>
    </w:p>
    <w:p>
      <w:pPr>
        <w:spacing w:line="460" w:lineRule="exact"/>
        <w:jc w:val="center"/>
        <w:rPr>
          <w:rFonts w:eastAsia="方正楷体_GBK"/>
          <w:sz w:val="24"/>
        </w:rPr>
      </w:pPr>
      <w:r>
        <w:rPr>
          <w:rFonts w:hint="eastAsia" w:eastAsia="方正楷体_GBK"/>
          <w:sz w:val="24"/>
        </w:rPr>
        <w:t>建标〔</w:t>
      </w:r>
      <w:r>
        <w:rPr>
          <w:rFonts w:eastAsia="方正楷体_GBK"/>
          <w:sz w:val="24"/>
        </w:rPr>
        <w:t>2013</w:t>
      </w:r>
      <w:r>
        <w:rPr>
          <w:rFonts w:hint="eastAsia" w:eastAsia="方正楷体_GBK"/>
          <w:sz w:val="24"/>
        </w:rPr>
        <w:t>〕</w:t>
      </w:r>
      <w:r>
        <w:rPr>
          <w:rFonts w:eastAsia="方正楷体_GBK"/>
          <w:sz w:val="24"/>
        </w:rPr>
        <w:t>36</w:t>
      </w:r>
      <w:r>
        <w:rPr>
          <w:rFonts w:hint="eastAsia" w:eastAsia="方正楷体_GBK"/>
          <w:sz w:val="24"/>
        </w:rPr>
        <w:t>号</w:t>
      </w:r>
    </w:p>
    <w:p>
      <w:pPr>
        <w:shd w:val="clear" w:color="auto" w:fill="FFFFFF"/>
        <w:spacing w:line="460" w:lineRule="exact"/>
        <w:jc w:val="left"/>
        <w:rPr>
          <w:rFonts w:eastAsia="方正仿宋_GBK"/>
          <w:color w:val="000000"/>
          <w:spacing w:val="-2"/>
          <w:kern w:val="0"/>
          <w:sz w:val="24"/>
        </w:rPr>
      </w:pPr>
    </w:p>
    <w:p>
      <w:pPr>
        <w:shd w:val="clear" w:color="auto" w:fill="FFFFFF"/>
        <w:spacing w:line="460" w:lineRule="exact"/>
        <w:jc w:val="left"/>
        <w:rPr>
          <w:rFonts w:eastAsia="方正仿宋_GBK"/>
          <w:color w:val="000000"/>
          <w:spacing w:val="-2"/>
          <w:kern w:val="0"/>
          <w:sz w:val="24"/>
        </w:rPr>
      </w:pPr>
      <w:r>
        <w:rPr>
          <w:rFonts w:hint="eastAsia" w:eastAsia="方正仿宋_GBK"/>
          <w:color w:val="000000"/>
          <w:spacing w:val="-2"/>
          <w:kern w:val="0"/>
          <w:sz w:val="24"/>
        </w:rPr>
        <w:t>各省、自治区、直辖市住房城乡建设厅（建委、建交委）、通信管理局，有关单位：</w:t>
      </w:r>
    </w:p>
    <w:p>
      <w:pPr>
        <w:shd w:val="clear" w:color="auto" w:fill="FFFFFF"/>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为全面贯彻《国民经济和社会发展第十二个五年规划纲要》、《</w:t>
      </w:r>
      <w:r>
        <w:rPr>
          <w:rFonts w:eastAsia="方正仿宋_GBK"/>
          <w:color w:val="000000"/>
          <w:spacing w:val="-2"/>
          <w:kern w:val="0"/>
          <w:sz w:val="24"/>
        </w:rPr>
        <w:t>“</w:t>
      </w:r>
      <w:r>
        <w:rPr>
          <w:rFonts w:hint="eastAsia" w:eastAsia="方正仿宋_GBK"/>
          <w:color w:val="000000"/>
          <w:spacing w:val="-2"/>
          <w:kern w:val="0"/>
          <w:sz w:val="24"/>
        </w:rPr>
        <w:t>十二五</w:t>
      </w:r>
      <w:r>
        <w:rPr>
          <w:rFonts w:eastAsia="方正仿宋_GBK"/>
          <w:color w:val="000000"/>
          <w:spacing w:val="-2"/>
          <w:kern w:val="0"/>
          <w:sz w:val="24"/>
        </w:rPr>
        <w:t>”</w:t>
      </w:r>
      <w:r>
        <w:rPr>
          <w:rFonts w:hint="eastAsia" w:eastAsia="方正仿宋_GBK"/>
          <w:color w:val="000000"/>
          <w:spacing w:val="-2"/>
          <w:kern w:val="0"/>
          <w:sz w:val="24"/>
        </w:rPr>
        <w:t>国家战略性新兴产业发展规划》以及国务院关于加快宽带中国建设的要求，加快推进光纤到户建设，充分发挥光纤宽带网络在经济社会发展中的战略性、基础性作用，全面提升国家信息化水平，住房城乡建设部发布了《住宅区和住宅建筑内光纤到户通信设施工程设计规范》及《住宅区和住宅建筑内光纤到户通信设施工程施工及验收规范》两项国家标准（以下简称光纤到户国家标准），现就贯彻落实标准有关要求通知如下：</w:t>
      </w:r>
    </w:p>
    <w:p>
      <w:pPr>
        <w:shd w:val="clear" w:color="auto" w:fill="FFFFFF"/>
        <w:spacing w:line="460" w:lineRule="exact"/>
        <w:ind w:firstLine="472" w:firstLineChars="200"/>
        <w:jc w:val="left"/>
        <w:rPr>
          <w:rFonts w:ascii="Times New Roman" w:eastAsia="方正黑体_GBK"/>
          <w:color w:val="000000"/>
          <w:spacing w:val="-2"/>
          <w:kern w:val="0"/>
          <w:sz w:val="24"/>
        </w:rPr>
      </w:pPr>
      <w:r>
        <w:rPr>
          <w:rFonts w:hint="eastAsia" w:ascii="Times New Roman" w:eastAsia="方正黑体_GBK"/>
          <w:bCs/>
          <w:color w:val="000000"/>
          <w:spacing w:val="-2"/>
          <w:kern w:val="0"/>
          <w:sz w:val="24"/>
        </w:rPr>
        <w:t>一、充分认识贯彻落实光纤到户国家标准的重要性和必要性</w:t>
      </w:r>
    </w:p>
    <w:p>
      <w:pPr>
        <w:shd w:val="clear" w:color="auto" w:fill="FFFFFF"/>
        <w:spacing w:line="460" w:lineRule="exact"/>
        <w:ind w:firstLine="472" w:firstLineChars="200"/>
        <w:jc w:val="left"/>
        <w:rPr>
          <w:rFonts w:hint="eastAsia" w:eastAsia="方正仿宋_GBK"/>
          <w:color w:val="000000"/>
          <w:spacing w:val="-2"/>
          <w:kern w:val="0"/>
          <w:sz w:val="24"/>
        </w:rPr>
      </w:pPr>
      <w:r>
        <w:rPr>
          <w:rFonts w:hint="eastAsia" w:eastAsia="方正仿宋_GBK"/>
          <w:color w:val="000000"/>
          <w:spacing w:val="-2"/>
          <w:kern w:val="0"/>
          <w:sz w:val="24"/>
        </w:rPr>
        <w:t>贯彻落实光纤到户国家标准、加快推进光纤到户建设是加快宽带网络发展、提升宽带基础设施水平的关键要素，是实施宽带中国工程，构建宽带、泛在、融合、安全的国家信息基础设施的迫切需要，是促进传统产业改造升级、推动信息化与工业化深度融合的重要动力，对于转变经济发展方式，调整优化产业结构，促进经济社会可持续发展，提升国家综合竞争力具有重要的战略意义。</w:t>
      </w:r>
    </w:p>
    <w:p>
      <w:pPr>
        <w:shd w:val="clear" w:color="auto" w:fill="FFFFFF"/>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近年来，我国宽带网络发展取得了长足的进步，宽带网络覆盖和接入能力逐步提高，但我国宽带发展水平与全社会日益增长的需求还存在比较突出的矛盾、与国际先进水平相比还存在较大差距，面临</w:t>
      </w:r>
      <w:r>
        <w:rPr>
          <w:rFonts w:eastAsia="方正仿宋_GBK"/>
          <w:color w:val="000000"/>
          <w:spacing w:val="-2"/>
          <w:kern w:val="0"/>
          <w:sz w:val="24"/>
        </w:rPr>
        <w:t>“</w:t>
      </w:r>
      <w:r>
        <w:rPr>
          <w:rFonts w:hint="eastAsia" w:eastAsia="方正仿宋_GBK"/>
          <w:color w:val="000000"/>
          <w:spacing w:val="-2"/>
          <w:kern w:val="0"/>
          <w:sz w:val="24"/>
        </w:rPr>
        <w:t>慢进亦退</w:t>
      </w:r>
      <w:r>
        <w:rPr>
          <w:rFonts w:eastAsia="方正仿宋_GBK"/>
          <w:color w:val="000000"/>
          <w:spacing w:val="-2"/>
          <w:kern w:val="0"/>
          <w:sz w:val="24"/>
        </w:rPr>
        <w:t>”</w:t>
      </w:r>
      <w:r>
        <w:rPr>
          <w:rFonts w:hint="eastAsia" w:eastAsia="方正仿宋_GBK"/>
          <w:color w:val="000000"/>
          <w:spacing w:val="-2"/>
          <w:kern w:val="0"/>
          <w:sz w:val="24"/>
        </w:rPr>
        <w:t>的风险，加快宽带发展势在必行。目前，我国宽带接入主要采用以非对称数字用户环路（</w:t>
      </w:r>
      <w:r>
        <w:rPr>
          <w:rFonts w:eastAsia="方正仿宋_GBK"/>
          <w:color w:val="000000"/>
          <w:spacing w:val="-2"/>
          <w:kern w:val="0"/>
          <w:sz w:val="24"/>
        </w:rPr>
        <w:t>ADSL</w:t>
      </w:r>
      <w:r>
        <w:rPr>
          <w:rFonts w:hint="eastAsia" w:eastAsia="方正仿宋_GBK"/>
          <w:color w:val="000000"/>
          <w:spacing w:val="-2"/>
          <w:kern w:val="0"/>
          <w:sz w:val="24"/>
        </w:rPr>
        <w:t>）为代表的铜线宽带技术，升级改造存在固有的技术瓶颈。要加快宽带发展，必须推动技术换代和网络改造，实现光纤到户。与此同时，光纤到户建设中存在建设标准难以落实、多部门管理协调机制不完善、责任要求需进一步明确等问题，有必要制定政策措施，切实贯彻落实光纤到户国家标准的有关规定，着力解决光纤到户建设中的现实难题。</w:t>
      </w:r>
    </w:p>
    <w:p>
      <w:pPr>
        <w:shd w:val="clear" w:color="auto" w:fill="FFFFFF"/>
        <w:spacing w:line="460" w:lineRule="exact"/>
        <w:ind w:firstLine="472" w:firstLineChars="200"/>
        <w:jc w:val="left"/>
        <w:rPr>
          <w:rFonts w:ascii="Times New Roman" w:eastAsia="方正黑体_GBK"/>
          <w:bCs/>
          <w:color w:val="000000"/>
          <w:spacing w:val="-2"/>
          <w:kern w:val="0"/>
          <w:sz w:val="24"/>
        </w:rPr>
      </w:pPr>
      <w:r>
        <w:rPr>
          <w:rFonts w:hint="eastAsia" w:ascii="Times New Roman" w:eastAsia="方正黑体_GBK"/>
          <w:bCs/>
          <w:color w:val="000000"/>
          <w:spacing w:val="-2"/>
          <w:kern w:val="0"/>
          <w:sz w:val="24"/>
        </w:rPr>
        <w:t>二、全面实施新建住宅建筑光纤到户</w:t>
      </w:r>
    </w:p>
    <w:p>
      <w:pPr>
        <w:shd w:val="clear" w:color="auto" w:fill="FFFFFF"/>
        <w:spacing w:line="460" w:lineRule="exact"/>
        <w:ind w:firstLine="472" w:firstLineChars="200"/>
        <w:jc w:val="left"/>
        <w:rPr>
          <w:rFonts w:hint="eastAsia" w:eastAsia="方正仿宋_GBK"/>
          <w:color w:val="000000"/>
          <w:spacing w:val="-2"/>
          <w:kern w:val="0"/>
          <w:sz w:val="24"/>
        </w:rPr>
      </w:pPr>
      <w:r>
        <w:rPr>
          <w:rFonts w:hint="eastAsia" w:eastAsia="方正仿宋_GBK"/>
          <w:color w:val="000000"/>
          <w:spacing w:val="-2"/>
          <w:kern w:val="0"/>
          <w:sz w:val="24"/>
        </w:rPr>
        <w:t>根据光纤到户国家标准的要求，自</w:t>
      </w:r>
      <w:r>
        <w:rPr>
          <w:rFonts w:eastAsia="方正仿宋_GBK"/>
          <w:color w:val="000000"/>
          <w:spacing w:val="-2"/>
          <w:kern w:val="0"/>
          <w:sz w:val="24"/>
        </w:rPr>
        <w:t>2013</w:t>
      </w:r>
      <w:r>
        <w:rPr>
          <w:rFonts w:hint="eastAsia" w:eastAsia="方正仿宋_GBK"/>
          <w:color w:val="000000"/>
          <w:spacing w:val="-2"/>
          <w:kern w:val="0"/>
          <w:sz w:val="24"/>
        </w:rPr>
        <w:t>年</w:t>
      </w:r>
      <w:r>
        <w:rPr>
          <w:rFonts w:eastAsia="方正仿宋_GBK"/>
          <w:color w:val="000000"/>
          <w:spacing w:val="-2"/>
          <w:kern w:val="0"/>
          <w:sz w:val="24"/>
        </w:rPr>
        <w:t>4</w:t>
      </w:r>
      <w:r>
        <w:rPr>
          <w:rFonts w:hint="eastAsia" w:eastAsia="方正仿宋_GBK"/>
          <w:color w:val="000000"/>
          <w:spacing w:val="-2"/>
          <w:kern w:val="0"/>
          <w:sz w:val="24"/>
        </w:rPr>
        <w:t>月</w:t>
      </w:r>
      <w:r>
        <w:rPr>
          <w:rFonts w:eastAsia="方正仿宋_GBK"/>
          <w:color w:val="000000"/>
          <w:spacing w:val="-2"/>
          <w:kern w:val="0"/>
          <w:sz w:val="24"/>
        </w:rPr>
        <w:t>1</w:t>
      </w:r>
      <w:r>
        <w:rPr>
          <w:rFonts w:hint="eastAsia" w:eastAsia="方正仿宋_GBK"/>
          <w:color w:val="000000"/>
          <w:spacing w:val="-2"/>
          <w:kern w:val="0"/>
          <w:sz w:val="24"/>
        </w:rPr>
        <w:t>日起，在公用电信网已实现光纤传输的县级及以上城区，新建住宅区和住宅建筑的通信设施应采用光纤到户方式建设，同时鼓励和支持有条件的乡镇、农村地区新建住宅区和住宅建筑实现光纤到户。</w:t>
      </w:r>
    </w:p>
    <w:p>
      <w:pPr>
        <w:shd w:val="clear" w:color="auto" w:fill="FFFFFF"/>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（一）住宅建设单位必须同步建设住宅区内通信管道和楼内通信暗管、暗线等通信设施，预先铺设入户光纤、预留设备间，所需投资纳入相应建设项目概算。</w:t>
      </w:r>
    </w:p>
    <w:p>
      <w:pPr>
        <w:shd w:val="clear" w:color="auto" w:fill="FFFFFF"/>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（二）新建住宅区和住宅建筑涉及的通信管道、楼内光纤、设备间等通信配套设施，应满足多家电信运营企业共享使用的需要，保障用户自由选择的权利。</w:t>
      </w:r>
    </w:p>
    <w:p>
      <w:pPr>
        <w:shd w:val="clear" w:color="auto" w:fill="FFFFFF"/>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三）设计单位应按照光纤到户国家标准要求和合同约定进行住宅区和住宅建筑通信配套设施的设计，施工图设计文件审查机构应对涉及光纤到户国家标准的内容进行设计审查。住房城乡建设、规划主管部门在核发建设工程规划许可证、施工许可证时，应依照法定职责严格把关。</w:t>
      </w:r>
    </w:p>
    <w:p>
      <w:pPr>
        <w:shd w:val="clear" w:color="auto" w:fill="FFFFFF"/>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四）住宅建设单位应组织对光纤到户通信设施进行验收，并将验收文件报所在地通信行业主管部门备案。各地通信行业主管部门及通信工程质量监督机构要认真履行职责，严把质量关，加强对光纤到户工程质量的监督管理。光纤到户通信设施未按要求验收或者验收不合格的，不得接入公用电信网。</w:t>
      </w:r>
    </w:p>
    <w:p>
      <w:pPr>
        <w:shd w:val="clear" w:color="auto" w:fill="FFFFFF"/>
        <w:spacing w:line="460" w:lineRule="exact"/>
        <w:ind w:firstLine="472" w:firstLineChars="200"/>
        <w:jc w:val="left"/>
        <w:rPr>
          <w:rFonts w:ascii="Times New Roman" w:eastAsia="方正黑体_GBK"/>
          <w:bCs/>
          <w:color w:val="000000"/>
          <w:spacing w:val="-2"/>
          <w:kern w:val="0"/>
          <w:sz w:val="24"/>
        </w:rPr>
      </w:pPr>
      <w:r>
        <w:rPr>
          <w:rFonts w:hint="eastAsia" w:ascii="Times New Roman" w:eastAsia="方正黑体_GBK"/>
          <w:bCs/>
          <w:color w:val="000000"/>
          <w:spacing w:val="-2"/>
          <w:kern w:val="0"/>
          <w:sz w:val="24"/>
        </w:rPr>
        <w:t>三、加快推动既有住宅建筑光纤到户改造</w:t>
      </w:r>
    </w:p>
    <w:p>
      <w:pPr>
        <w:shd w:val="clear" w:color="auto" w:fill="FFFFFF"/>
        <w:spacing w:line="460" w:lineRule="exact"/>
        <w:ind w:firstLine="472" w:firstLineChars="200"/>
        <w:jc w:val="left"/>
        <w:rPr>
          <w:rFonts w:hint="eastAsia" w:eastAsia="方正仿宋_GBK"/>
          <w:color w:val="000000"/>
          <w:spacing w:val="-2"/>
          <w:kern w:val="0"/>
          <w:sz w:val="24"/>
        </w:rPr>
      </w:pPr>
      <w:r>
        <w:rPr>
          <w:rFonts w:hint="eastAsia" w:eastAsia="方正仿宋_GBK"/>
          <w:color w:val="000000"/>
          <w:spacing w:val="-2"/>
          <w:kern w:val="0"/>
          <w:sz w:val="24"/>
        </w:rPr>
        <w:t>既有住宅建筑光纤到户改造是全面实现光纤到户的难点，各单位应参照光纤到户国家标准，加快推动既有住宅建筑逐步实施光纤到户改造。</w:t>
      </w:r>
    </w:p>
    <w:p>
      <w:pPr>
        <w:shd w:val="clear" w:color="auto" w:fill="FFFFFF"/>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（一）各地住房城乡建设、通信行业主管部门要加大对既有住宅区和住宅建筑通信配套设施资源共享的监管力度，对阻挠正常光纤到户改造的行为予以纠正，切实解决光纤到户改造入场难的问题。</w:t>
      </w:r>
    </w:p>
    <w:p>
      <w:pPr>
        <w:shd w:val="clear" w:color="auto" w:fill="FFFFFF"/>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（二）各地通信行业主管部门要加强对电信运营企业的指导，积极组织编制光纤到户改造的实施计划。</w:t>
      </w:r>
    </w:p>
    <w:p>
      <w:pPr>
        <w:shd w:val="clear" w:color="auto" w:fill="FFFFFF"/>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（三）住宅建设单位、物业服务企业要积极支持光纤到户改造，为光纤到户改造提供便利条件。不得与任何企业签订垄断性协议，不得限制各电信运营企业平等接入和使用，不得以任何方式限制用户选择权。</w:t>
      </w:r>
    </w:p>
    <w:p>
      <w:pPr>
        <w:shd w:val="clear" w:color="auto" w:fill="FFFFFF"/>
        <w:spacing w:line="460" w:lineRule="exact"/>
        <w:ind w:firstLine="472" w:firstLineChars="200"/>
        <w:jc w:val="left"/>
        <w:rPr>
          <w:rFonts w:ascii="Times New Roman" w:eastAsia="方正黑体_GBK"/>
          <w:bCs/>
          <w:color w:val="000000"/>
          <w:spacing w:val="-2"/>
          <w:kern w:val="0"/>
          <w:sz w:val="24"/>
        </w:rPr>
      </w:pPr>
      <w:r>
        <w:rPr>
          <w:rFonts w:hint="eastAsia" w:ascii="Times New Roman" w:eastAsia="方正黑体_GBK"/>
          <w:bCs/>
          <w:color w:val="000000"/>
          <w:spacing w:val="-2"/>
          <w:kern w:val="0"/>
          <w:sz w:val="24"/>
        </w:rPr>
        <w:t>四、切实落实各项保障措施</w:t>
      </w:r>
    </w:p>
    <w:p>
      <w:pPr>
        <w:shd w:val="clear" w:color="auto" w:fill="FFFFFF"/>
        <w:spacing w:line="460" w:lineRule="exact"/>
        <w:ind w:firstLine="472" w:firstLineChars="200"/>
        <w:jc w:val="left"/>
        <w:rPr>
          <w:rFonts w:hint="eastAsia" w:eastAsia="方正仿宋_GBK"/>
          <w:color w:val="000000"/>
          <w:spacing w:val="-2"/>
          <w:kern w:val="0"/>
          <w:sz w:val="24"/>
        </w:rPr>
      </w:pPr>
      <w:r>
        <w:rPr>
          <w:rFonts w:hint="eastAsia" w:eastAsia="方正仿宋_GBK"/>
          <w:color w:val="000000"/>
          <w:spacing w:val="-2"/>
          <w:kern w:val="0"/>
          <w:sz w:val="24"/>
        </w:rPr>
        <w:t>各地、各有关部门要以光纤到户国家标准发布实施为契机，加强组织领导，密切协调配合，切实落实各项保障措施。</w:t>
      </w:r>
    </w:p>
    <w:p>
      <w:pPr>
        <w:shd w:val="clear" w:color="auto" w:fill="FFFFFF"/>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一）统一思想认识。各有关单位要统一思想，从解决社会关注、群众关切的民生问题，实践科学发展观、构建社会主义和谐社会的高度深刻认识贯彻落实光纤到户国家标准的重要意义，进一步增强责任感、使命感和紧迫感，加快推进光纤到户建设。</w:t>
      </w:r>
    </w:p>
    <w:p>
      <w:pPr>
        <w:shd w:val="clear" w:color="auto" w:fill="FFFFFF"/>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（二）加大宣传力度。各有关单位要积极组织开展科普和政策宣传活动，增强公众对光纤到户的认识，争取社会各界的广泛理解和支持，营造良好的建设环境。</w:t>
      </w:r>
    </w:p>
    <w:p>
      <w:pPr>
        <w:shd w:val="clear" w:color="auto" w:fill="FFFFFF"/>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三）做好宣贯培训。各地住房城乡建设、通信行业主管部门要及时组织对工程质量监督、施工图审查、电信运营、设计、施工、监理等单位的宣贯培训，帮助相关企业准确理解和掌握标准有关规定，保障标准的顺利实施。</w:t>
      </w:r>
    </w:p>
    <w:p>
      <w:pPr>
        <w:shd w:val="clear" w:color="auto" w:fill="FFFFFF"/>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（四）强化监督管理。各地住房城乡建设、通信行业主管部门要加大协调力度，组织开展光纤到户国家标准实施情况的监督检查，强化对相关单位的监督管理。</w:t>
      </w:r>
    </w:p>
    <w:p>
      <w:pPr>
        <w:shd w:val="clear" w:color="auto" w:fill="FFFFFF"/>
        <w:spacing w:line="460" w:lineRule="exact"/>
        <w:ind w:firstLine="472" w:firstLineChars="200"/>
        <w:jc w:val="left"/>
        <w:rPr>
          <w:rFonts w:eastAsia="方正仿宋_GBK"/>
          <w:color w:val="000000"/>
          <w:spacing w:val="-2"/>
          <w:kern w:val="0"/>
          <w:sz w:val="24"/>
        </w:rPr>
      </w:pPr>
      <w:r>
        <w:rPr>
          <w:rFonts w:eastAsia="方正仿宋_GBK"/>
          <w:color w:val="000000"/>
          <w:spacing w:val="-2"/>
          <w:kern w:val="0"/>
          <w:sz w:val="24"/>
        </w:rPr>
        <w:t> </w:t>
      </w:r>
    </w:p>
    <w:p>
      <w:pPr>
        <w:shd w:val="clear" w:color="auto" w:fill="FFFFFF"/>
        <w:spacing w:line="460" w:lineRule="exact"/>
        <w:ind w:right="418" w:rightChars="199" w:firstLine="472" w:firstLineChars="200"/>
        <w:jc w:val="right"/>
        <w:rPr>
          <w:rFonts w:eastAsia="方正仿宋_GBK"/>
          <w:color w:val="000000"/>
          <w:spacing w:val="-2"/>
          <w:kern w:val="0"/>
          <w:sz w:val="24"/>
        </w:rPr>
      </w:pPr>
      <w:r>
        <w:rPr>
          <w:rFonts w:hint="eastAsia" w:eastAsia="方正仿宋_GBK"/>
          <w:color w:val="000000"/>
          <w:spacing w:val="-2"/>
          <w:kern w:val="0"/>
          <w:sz w:val="24"/>
        </w:rPr>
        <w:t>中华人民共和国住房和城乡建设部</w:t>
      </w:r>
      <w:r>
        <w:rPr>
          <w:rFonts w:eastAsia="方正仿宋_GBK"/>
          <w:color w:val="000000"/>
          <w:spacing w:val="-2"/>
          <w:kern w:val="0"/>
          <w:sz w:val="24"/>
        </w:rPr>
        <w:t xml:space="preserve">    </w:t>
      </w:r>
    </w:p>
    <w:p>
      <w:pPr>
        <w:shd w:val="clear" w:color="auto" w:fill="FFFFFF"/>
        <w:spacing w:line="460" w:lineRule="exact"/>
        <w:ind w:right="437" w:rightChars="208" w:firstLine="3263" w:firstLineChars="1265"/>
        <w:jc w:val="right"/>
        <w:rPr>
          <w:rFonts w:eastAsia="方正仿宋_GBK"/>
          <w:color w:val="000000"/>
          <w:spacing w:val="-2"/>
          <w:kern w:val="0"/>
          <w:sz w:val="24"/>
        </w:rPr>
      </w:pPr>
      <w:r>
        <w:rPr>
          <w:rFonts w:hint="eastAsia" w:eastAsia="方正仿宋_GBK"/>
          <w:color w:val="000000"/>
          <w:spacing w:val="9"/>
          <w:kern w:val="0"/>
          <w:sz w:val="24"/>
        </w:rPr>
        <w:t>中华人民共和国工业和信息化</w:t>
      </w:r>
      <w:r>
        <w:rPr>
          <w:rFonts w:hint="eastAsia" w:eastAsia="方正仿宋_GBK"/>
          <w:color w:val="000000"/>
          <w:spacing w:val="3"/>
          <w:kern w:val="0"/>
          <w:sz w:val="24"/>
        </w:rPr>
        <w:t>部</w:t>
      </w:r>
      <w:r>
        <w:rPr>
          <w:rFonts w:eastAsia="方正仿宋_GBK"/>
          <w:color w:val="000000"/>
          <w:kern w:val="0"/>
          <w:sz w:val="24"/>
        </w:rPr>
        <w:t xml:space="preserve">    </w:t>
      </w:r>
    </w:p>
    <w:p>
      <w:pPr>
        <w:shd w:val="clear" w:color="auto" w:fill="FFFFFF"/>
        <w:spacing w:line="460" w:lineRule="exact"/>
        <w:ind w:right="1338" w:rightChars="637" w:firstLine="4002" w:firstLineChars="1696"/>
        <w:jc w:val="right"/>
        <w:rPr>
          <w:rFonts w:eastAsia="方正仿宋_GBK"/>
          <w:color w:val="000000"/>
          <w:spacing w:val="-2"/>
          <w:kern w:val="0"/>
          <w:sz w:val="24"/>
        </w:rPr>
      </w:pPr>
      <w:r>
        <w:rPr>
          <w:rFonts w:eastAsia="方正仿宋_GBK"/>
          <w:color w:val="000000"/>
          <w:spacing w:val="-2"/>
          <w:kern w:val="0"/>
          <w:sz w:val="24"/>
        </w:rPr>
        <w:t>2013</w:t>
      </w:r>
      <w:r>
        <w:rPr>
          <w:rFonts w:hint="eastAsia" w:eastAsia="方正仿宋_GBK"/>
          <w:color w:val="000000"/>
          <w:spacing w:val="-2"/>
          <w:kern w:val="0"/>
          <w:sz w:val="24"/>
        </w:rPr>
        <w:t>年</w:t>
      </w:r>
      <w:r>
        <w:rPr>
          <w:rFonts w:eastAsia="方正仿宋_GBK"/>
          <w:color w:val="000000"/>
          <w:spacing w:val="-2"/>
          <w:kern w:val="0"/>
          <w:sz w:val="24"/>
        </w:rPr>
        <w:t>3</w:t>
      </w:r>
      <w:r>
        <w:rPr>
          <w:rFonts w:hint="eastAsia" w:eastAsia="方正仿宋_GBK"/>
          <w:color w:val="000000"/>
          <w:spacing w:val="-2"/>
          <w:kern w:val="0"/>
          <w:sz w:val="24"/>
        </w:rPr>
        <w:t>月</w:t>
      </w:r>
      <w:r>
        <w:rPr>
          <w:rFonts w:eastAsia="方正仿宋_GBK"/>
          <w:color w:val="000000"/>
          <w:spacing w:val="-2"/>
          <w:kern w:val="0"/>
          <w:sz w:val="24"/>
        </w:rPr>
        <w:t>11</w:t>
      </w:r>
      <w:r>
        <w:rPr>
          <w:rFonts w:hint="eastAsia" w:eastAsia="方正仿宋_GBK"/>
          <w:color w:val="000000"/>
          <w:spacing w:val="-2"/>
          <w:kern w:val="0"/>
          <w:sz w:val="24"/>
        </w:rPr>
        <w:t>日</w:t>
      </w:r>
      <w:r>
        <w:rPr>
          <w:rFonts w:eastAsia="方正仿宋_GBK"/>
          <w:color w:val="000000"/>
          <w:spacing w:val="-2"/>
          <w:kern w:val="0"/>
          <w:sz w:val="24"/>
        </w:rPr>
        <w:t xml:space="preserve">           </w:t>
      </w:r>
    </w:p>
    <w:p>
      <w:pPr>
        <w:spacing w:line="460" w:lineRule="exact"/>
        <w:rPr>
          <w:rFonts w:eastAsia="方正仿宋_GBK"/>
          <w:color w:val="000000"/>
          <w:spacing w:val="-2"/>
          <w:sz w:val="24"/>
        </w:rPr>
      </w:pPr>
    </w:p>
    <w:p/>
    <w:p/>
    <w:p/>
    <w:p/>
    <w:p/>
    <w:p/>
    <w:p/>
    <w:p/>
    <w:p/>
    <w:p/>
    <w:p/>
    <w:p/>
    <w:p/>
    <w:p/>
    <w:p/>
    <w:p/>
    <w:p/>
    <w:p/>
    <w:p/>
    <w:p/>
    <w:p/>
    <w:p/>
    <w:p/>
    <w:p/>
    <w:p/>
    <w:p/>
    <w:p/>
    <w:p/>
    <w:p>
      <w:pPr>
        <w:pStyle w:val="2"/>
        <w:spacing w:before="240" w:beforeLines="100" w:after="240" w:afterLines="100" w:line="240" w:lineRule="auto"/>
        <w:jc w:val="center"/>
        <w:rPr>
          <w:rFonts w:ascii="Times New Roman" w:eastAsia="方正小标宋_GBK"/>
          <w:b w:val="0"/>
          <w:sz w:val="36"/>
          <w:szCs w:val="36"/>
        </w:rPr>
      </w:pPr>
      <w:bookmarkStart w:id="216" w:name="_Toc18315638"/>
      <w:bookmarkStart w:id="217" w:name="_Toc20726255"/>
      <w:r>
        <w:rPr>
          <w:rFonts w:hint="eastAsia" w:ascii="Times New Roman" w:eastAsia="方正小标宋_GBK"/>
          <w:b w:val="0"/>
          <w:sz w:val="36"/>
          <w:szCs w:val="36"/>
        </w:rPr>
        <w:t>省住房城乡建设厅关于启用江苏省勘察设计行业     管理信息系统的通知</w:t>
      </w:r>
      <w:bookmarkEnd w:id="216"/>
      <w:bookmarkEnd w:id="217"/>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218" w:name="_Toc20726256"/>
      <w:bookmarkStart w:id="219" w:name="_Toc18315639"/>
      <w:r>
        <w:rPr>
          <w:rFonts w:hint="eastAsia" w:ascii="Times New Roman" w:hAnsi="Times New Roman" w:eastAsia="方正楷体_GBK"/>
          <w:b w:val="0"/>
          <w:sz w:val="24"/>
          <w:szCs w:val="24"/>
        </w:rPr>
        <w:t>苏建科〔</w:t>
      </w:r>
      <w:r>
        <w:rPr>
          <w:rFonts w:ascii="Times New Roman" w:hAnsi="Times New Roman" w:eastAsia="方正楷体_GBK"/>
          <w:b w:val="0"/>
          <w:sz w:val="24"/>
          <w:szCs w:val="24"/>
        </w:rPr>
        <w:t>2013</w:t>
      </w:r>
      <w:r>
        <w:rPr>
          <w:rFonts w:hint="eastAsia" w:ascii="Times New Roman" w:hAnsi="Times New Roman" w:eastAsia="方正楷体_GBK"/>
          <w:b w:val="0"/>
          <w:sz w:val="24"/>
          <w:szCs w:val="24"/>
        </w:rPr>
        <w:t>〕</w:t>
      </w:r>
      <w:r>
        <w:rPr>
          <w:rFonts w:ascii="Times New Roman" w:hAnsi="Times New Roman" w:eastAsia="方正楷体_GBK"/>
          <w:b w:val="0"/>
          <w:sz w:val="24"/>
          <w:szCs w:val="24"/>
        </w:rPr>
        <w:t>623</w:t>
      </w:r>
      <w:r>
        <w:rPr>
          <w:rFonts w:hint="eastAsia" w:ascii="Times New Roman" w:hAnsi="Times New Roman" w:eastAsia="方正楷体_GBK"/>
          <w:b w:val="0"/>
          <w:sz w:val="24"/>
          <w:szCs w:val="24"/>
        </w:rPr>
        <w:t>号</w:t>
      </w:r>
      <w:bookmarkEnd w:id="218"/>
      <w:bookmarkEnd w:id="219"/>
    </w:p>
    <w:p>
      <w:pPr>
        <w:spacing w:line="460" w:lineRule="exact"/>
        <w:rPr>
          <w:rFonts w:eastAsia="方正仿宋_GBK"/>
          <w:color w:val="000000"/>
          <w:spacing w:val="-2"/>
          <w:sz w:val="24"/>
        </w:rPr>
      </w:pPr>
      <w:r>
        <w:rPr>
          <w:rFonts w:hint="eastAsia" w:eastAsia="方正仿宋_GBK"/>
          <w:color w:val="000000"/>
          <w:spacing w:val="-2"/>
          <w:sz w:val="24"/>
        </w:rPr>
        <w:t>各省辖市、县（市）建设局（委）：</w:t>
      </w:r>
    </w:p>
    <w:p>
      <w:pPr>
        <w:shd w:val="clear" w:color="auto" w:fill="FFFFFF"/>
        <w:spacing w:line="460" w:lineRule="exact"/>
        <w:ind w:firstLine="472" w:firstLineChars="200"/>
        <w:rPr>
          <w:rFonts w:eastAsia="方正仿宋_GBK"/>
          <w:color w:val="000000"/>
          <w:spacing w:val="-2"/>
          <w:sz w:val="24"/>
        </w:rPr>
      </w:pPr>
      <w:r>
        <w:rPr>
          <w:rFonts w:hint="eastAsia" w:eastAsia="方正仿宋_GBK"/>
          <w:color w:val="000000"/>
          <w:spacing w:val="-2"/>
          <w:sz w:val="24"/>
        </w:rPr>
        <w:t>为进一步规范我省工程勘察设计市场秩序，确保勘察设计质量，提高监管效能，我厅组织开发了</w:t>
      </w:r>
      <w:r>
        <w:rPr>
          <w:rFonts w:eastAsia="方正仿宋_GBK"/>
          <w:color w:val="000000"/>
          <w:spacing w:val="-2"/>
          <w:sz w:val="24"/>
        </w:rPr>
        <w:t>“</w:t>
      </w:r>
      <w:r>
        <w:rPr>
          <w:rFonts w:hint="eastAsia" w:eastAsia="方正仿宋_GBK"/>
          <w:color w:val="000000"/>
          <w:spacing w:val="-2"/>
          <w:sz w:val="24"/>
        </w:rPr>
        <w:t>江苏省勘察设计行业管理信息系统</w:t>
      </w:r>
      <w:r>
        <w:rPr>
          <w:rFonts w:eastAsia="方正仿宋_GBK"/>
          <w:color w:val="000000"/>
          <w:spacing w:val="-2"/>
          <w:sz w:val="24"/>
        </w:rPr>
        <w:t>”</w:t>
      </w:r>
      <w:r>
        <w:rPr>
          <w:rFonts w:hint="eastAsia" w:eastAsia="方正仿宋_GBK"/>
          <w:color w:val="000000"/>
          <w:spacing w:val="-2"/>
          <w:sz w:val="24"/>
        </w:rPr>
        <w:t>，并在部分城市进行了试运行。经研究，决定自</w:t>
      </w:r>
      <w:r>
        <w:rPr>
          <w:rFonts w:eastAsia="方正仿宋_GBK"/>
          <w:color w:val="000000"/>
          <w:spacing w:val="-2"/>
          <w:sz w:val="24"/>
        </w:rPr>
        <w:t>2013</w:t>
      </w:r>
      <w:r>
        <w:rPr>
          <w:rFonts w:hint="eastAsia" w:eastAsia="方正仿宋_GBK"/>
          <w:color w:val="000000"/>
          <w:spacing w:val="-2"/>
          <w:sz w:val="24"/>
        </w:rPr>
        <w:t>年</w:t>
      </w:r>
      <w:r>
        <w:rPr>
          <w:rFonts w:eastAsia="方正仿宋_GBK"/>
          <w:color w:val="000000"/>
          <w:spacing w:val="-2"/>
          <w:sz w:val="24"/>
        </w:rPr>
        <w:t>12</w:t>
      </w:r>
      <w:r>
        <w:rPr>
          <w:rFonts w:hint="eastAsia" w:eastAsia="方正仿宋_GBK"/>
          <w:color w:val="000000"/>
          <w:spacing w:val="-2"/>
          <w:sz w:val="24"/>
        </w:rPr>
        <w:t>月</w:t>
      </w:r>
      <w:r>
        <w:rPr>
          <w:rFonts w:eastAsia="方正仿宋_GBK"/>
          <w:color w:val="000000"/>
          <w:spacing w:val="-2"/>
          <w:sz w:val="24"/>
        </w:rPr>
        <w:t>26</w:t>
      </w:r>
      <w:r>
        <w:rPr>
          <w:rFonts w:hint="eastAsia" w:eastAsia="方正仿宋_GBK"/>
          <w:color w:val="000000"/>
          <w:spacing w:val="-2"/>
          <w:sz w:val="24"/>
        </w:rPr>
        <w:t>日起在全省范围内全面启用该系统。现就有关事项通知如下。</w:t>
      </w:r>
    </w:p>
    <w:p>
      <w:pPr>
        <w:shd w:val="clear" w:color="auto" w:fill="FFFFFF"/>
        <w:spacing w:line="460" w:lineRule="exact"/>
        <w:ind w:firstLine="472" w:firstLineChars="200"/>
        <w:jc w:val="left"/>
        <w:rPr>
          <w:rFonts w:ascii="Times New Roman" w:eastAsia="方正黑体_GBK"/>
          <w:color w:val="000000"/>
          <w:spacing w:val="-2"/>
          <w:sz w:val="24"/>
        </w:rPr>
      </w:pPr>
      <w:r>
        <w:rPr>
          <w:rFonts w:hint="eastAsia" w:ascii="Times New Roman" w:eastAsia="方正黑体_GBK"/>
          <w:bCs/>
          <w:color w:val="000000"/>
          <w:spacing w:val="-2"/>
          <w:sz w:val="24"/>
        </w:rPr>
        <w:t>一、该系统的内容及功能</w:t>
      </w:r>
    </w:p>
    <w:p>
      <w:pPr>
        <w:shd w:val="clear" w:color="auto" w:fill="FFFFFF"/>
        <w:spacing w:line="460" w:lineRule="exact"/>
        <w:ind w:firstLine="472" w:firstLineChars="200"/>
        <w:rPr>
          <w:rFonts w:hint="eastAsia" w:eastAsia="方正仿宋_GBK"/>
          <w:color w:val="000000"/>
          <w:spacing w:val="-2"/>
          <w:sz w:val="24"/>
        </w:rPr>
      </w:pPr>
      <w:r>
        <w:rPr>
          <w:rFonts w:hint="eastAsia" w:eastAsia="方正仿宋_GBK"/>
          <w:color w:val="000000"/>
          <w:spacing w:val="-2"/>
          <w:sz w:val="24"/>
        </w:rPr>
        <w:t>运用现代化网络手段，采集工程勘察设计企业、人员信息，建立相关基础数据库，</w:t>
      </w:r>
      <w:r>
        <w:rPr>
          <w:rFonts w:hint="eastAsia" w:eastAsia="方正仿宋_GBK"/>
          <w:bCs/>
          <w:color w:val="000000"/>
          <w:spacing w:val="-2"/>
          <w:sz w:val="24"/>
        </w:rPr>
        <w:t>实现在网上办理工程勘察现场作业提前告知、勘察设计市场集中检查、勘察设计行业注册人员继续教育管理、统计年报和季报分析、优秀勘察设计奖评选等具体工作，并可实时地对全省勘察设计企业、技术人员及项目进行信息查询、统计与监督管理。</w:t>
      </w:r>
    </w:p>
    <w:p>
      <w:pPr>
        <w:shd w:val="clear" w:color="auto" w:fill="FFFFFF"/>
        <w:spacing w:line="460" w:lineRule="exact"/>
        <w:ind w:firstLine="472" w:firstLineChars="200"/>
        <w:jc w:val="left"/>
        <w:rPr>
          <w:rFonts w:ascii="Times New Roman" w:eastAsia="方正黑体_GBK"/>
          <w:bCs/>
          <w:color w:val="000000"/>
          <w:spacing w:val="-2"/>
          <w:sz w:val="24"/>
        </w:rPr>
      </w:pPr>
      <w:r>
        <w:rPr>
          <w:rFonts w:hint="eastAsia" w:ascii="Times New Roman" w:eastAsia="方正黑体_GBK"/>
          <w:bCs/>
          <w:color w:val="000000"/>
          <w:spacing w:val="-2"/>
          <w:sz w:val="24"/>
        </w:rPr>
        <w:t>二、时间安排</w:t>
      </w:r>
    </w:p>
    <w:p>
      <w:pPr>
        <w:shd w:val="clear" w:color="auto" w:fill="FFFFFF"/>
        <w:spacing w:line="460" w:lineRule="exact"/>
        <w:ind w:firstLine="472" w:firstLineChars="200"/>
        <w:jc w:val="left"/>
        <w:rPr>
          <w:rFonts w:hint="eastAsia" w:eastAsia="方正仿宋_GBK"/>
          <w:bCs/>
          <w:color w:val="000000"/>
          <w:spacing w:val="-2"/>
          <w:sz w:val="24"/>
        </w:rPr>
      </w:pPr>
      <w:r>
        <w:rPr>
          <w:rFonts w:hint="eastAsia" w:eastAsia="方正仿宋_GBK"/>
          <w:color w:val="000000"/>
          <w:spacing w:val="-2"/>
          <w:sz w:val="24"/>
        </w:rPr>
        <w:t>江苏省勘察设计行业信息管理系统从</w:t>
      </w:r>
      <w:r>
        <w:rPr>
          <w:rFonts w:eastAsia="方正仿宋_GBK"/>
          <w:color w:val="000000"/>
          <w:spacing w:val="-2"/>
          <w:sz w:val="24"/>
        </w:rPr>
        <w:t>2013</w:t>
      </w:r>
      <w:r>
        <w:rPr>
          <w:rFonts w:hint="eastAsia" w:eastAsia="方正仿宋_GBK"/>
          <w:color w:val="000000"/>
          <w:spacing w:val="-2"/>
          <w:sz w:val="24"/>
        </w:rPr>
        <w:t>年</w:t>
      </w:r>
      <w:r>
        <w:rPr>
          <w:rFonts w:eastAsia="方正仿宋_GBK"/>
          <w:color w:val="000000"/>
          <w:spacing w:val="-2"/>
          <w:sz w:val="24"/>
        </w:rPr>
        <w:t>12</w:t>
      </w:r>
      <w:r>
        <w:rPr>
          <w:rFonts w:hint="eastAsia" w:eastAsia="方正仿宋_GBK"/>
          <w:color w:val="000000"/>
          <w:spacing w:val="-2"/>
          <w:sz w:val="24"/>
        </w:rPr>
        <w:t>月</w:t>
      </w:r>
      <w:r>
        <w:rPr>
          <w:rFonts w:eastAsia="方正仿宋_GBK"/>
          <w:color w:val="000000"/>
          <w:spacing w:val="-2"/>
          <w:sz w:val="24"/>
        </w:rPr>
        <w:t>26</w:t>
      </w:r>
      <w:r>
        <w:rPr>
          <w:rFonts w:hint="eastAsia" w:eastAsia="方正仿宋_GBK"/>
          <w:color w:val="000000"/>
          <w:spacing w:val="-2"/>
          <w:sz w:val="24"/>
        </w:rPr>
        <w:t>日起正式启用，各企业在</w:t>
      </w:r>
      <w:r>
        <w:rPr>
          <w:rFonts w:eastAsia="方正仿宋_GBK"/>
          <w:color w:val="000000"/>
          <w:spacing w:val="-2"/>
          <w:sz w:val="24"/>
        </w:rPr>
        <w:t>2014</w:t>
      </w:r>
      <w:r>
        <w:rPr>
          <w:rFonts w:hint="eastAsia" w:eastAsia="方正仿宋_GBK"/>
          <w:color w:val="000000"/>
          <w:spacing w:val="-2"/>
          <w:sz w:val="24"/>
        </w:rPr>
        <w:t>年</w:t>
      </w:r>
      <w:r>
        <w:rPr>
          <w:rFonts w:eastAsia="方正仿宋_GBK"/>
          <w:color w:val="000000"/>
          <w:spacing w:val="-2"/>
          <w:sz w:val="24"/>
        </w:rPr>
        <w:t>3</w:t>
      </w:r>
      <w:r>
        <w:rPr>
          <w:rFonts w:hint="eastAsia" w:eastAsia="方正仿宋_GBK"/>
          <w:color w:val="000000"/>
          <w:spacing w:val="-2"/>
          <w:sz w:val="24"/>
        </w:rPr>
        <w:t>月</w:t>
      </w:r>
      <w:r>
        <w:rPr>
          <w:rFonts w:eastAsia="方正仿宋_GBK"/>
          <w:color w:val="000000"/>
          <w:spacing w:val="-2"/>
          <w:sz w:val="24"/>
        </w:rPr>
        <w:t>1</w:t>
      </w:r>
      <w:r>
        <w:rPr>
          <w:rFonts w:hint="eastAsia" w:eastAsia="方正仿宋_GBK"/>
          <w:color w:val="000000"/>
          <w:spacing w:val="-2"/>
          <w:sz w:val="24"/>
        </w:rPr>
        <w:t>日前必须将企业及人员信息录入完毕。自</w:t>
      </w:r>
      <w:r>
        <w:rPr>
          <w:rFonts w:eastAsia="方正仿宋_GBK"/>
          <w:color w:val="000000"/>
          <w:spacing w:val="-2"/>
          <w:sz w:val="24"/>
        </w:rPr>
        <w:t>2014</w:t>
      </w:r>
      <w:r>
        <w:rPr>
          <w:rFonts w:hint="eastAsia" w:eastAsia="方正仿宋_GBK"/>
          <w:color w:val="000000"/>
          <w:spacing w:val="-2"/>
          <w:sz w:val="24"/>
        </w:rPr>
        <w:t>年</w:t>
      </w:r>
      <w:r>
        <w:rPr>
          <w:rFonts w:eastAsia="方正仿宋_GBK"/>
          <w:color w:val="000000"/>
          <w:spacing w:val="-2"/>
          <w:sz w:val="24"/>
        </w:rPr>
        <w:t>4</w:t>
      </w:r>
      <w:r>
        <w:rPr>
          <w:rFonts w:hint="eastAsia" w:eastAsia="方正仿宋_GBK"/>
          <w:color w:val="000000"/>
          <w:spacing w:val="-2"/>
          <w:sz w:val="24"/>
        </w:rPr>
        <w:t>月</w:t>
      </w:r>
      <w:r>
        <w:rPr>
          <w:rFonts w:eastAsia="方正仿宋_GBK"/>
          <w:color w:val="000000"/>
          <w:spacing w:val="-2"/>
          <w:sz w:val="24"/>
        </w:rPr>
        <w:t>1</w:t>
      </w:r>
      <w:r>
        <w:rPr>
          <w:rFonts w:hint="eastAsia" w:eastAsia="方正仿宋_GBK"/>
          <w:color w:val="000000"/>
          <w:spacing w:val="-2"/>
          <w:sz w:val="24"/>
        </w:rPr>
        <w:t>日起，</w:t>
      </w:r>
      <w:r>
        <w:rPr>
          <w:rFonts w:hint="eastAsia" w:eastAsia="方正仿宋_GBK"/>
          <w:bCs/>
          <w:color w:val="000000"/>
          <w:spacing w:val="-2"/>
          <w:sz w:val="24"/>
        </w:rPr>
        <w:t>工程勘察现场作业提前告知、勘察设计市场集中检查、勘察设计行业注册人员继续教育管理、优秀勘察设计奖评选等具体工作都须通过该系统办理。</w:t>
      </w:r>
    </w:p>
    <w:p>
      <w:pPr>
        <w:shd w:val="clear" w:color="auto" w:fill="FFFFFF"/>
        <w:spacing w:line="460" w:lineRule="exact"/>
        <w:ind w:firstLine="472" w:firstLineChars="200"/>
        <w:rPr>
          <w:rFonts w:eastAsia="方正仿宋_GBK"/>
          <w:color w:val="000000"/>
          <w:spacing w:val="-2"/>
          <w:sz w:val="24"/>
        </w:rPr>
      </w:pPr>
      <w:r>
        <w:rPr>
          <w:rFonts w:hint="eastAsia" w:eastAsia="方正仿宋_GBK"/>
          <w:color w:val="000000"/>
          <w:spacing w:val="-2"/>
          <w:sz w:val="24"/>
        </w:rPr>
        <w:t>各省辖市、县（市）住房城乡建设主管部门负责指导和督促，并对企业录入信息按权限及时进行审核。各省辖市建设主管部门对工商注册所在地在市区的单位及承接市区项目的省外单位的企业、人员和项目等的相关资料的原件进行审核；各县（市）建设主管部门对工商注册所在地在本行政区域内的单位及承接本行政区域内项目的省外单位的企业、人员和项目等的相关资料的原件进行审核。在对原件进行审核时，要确保进入省勘察设计行业信息管理系统中的各项资料的扫描件与原件一致。</w:t>
      </w:r>
    </w:p>
    <w:p>
      <w:pPr>
        <w:shd w:val="clear" w:color="auto" w:fill="FFFFFF"/>
        <w:spacing w:line="460" w:lineRule="exact"/>
        <w:ind w:firstLine="472" w:firstLineChars="200"/>
        <w:jc w:val="left"/>
        <w:rPr>
          <w:rFonts w:ascii="Times New Roman" w:eastAsia="方正黑体_GBK"/>
          <w:bCs/>
          <w:color w:val="000000"/>
          <w:spacing w:val="-2"/>
          <w:sz w:val="24"/>
        </w:rPr>
      </w:pPr>
      <w:r>
        <w:rPr>
          <w:rFonts w:hint="eastAsia" w:ascii="Times New Roman" w:eastAsia="方正黑体_GBK"/>
          <w:bCs/>
          <w:color w:val="000000"/>
          <w:spacing w:val="-2"/>
          <w:sz w:val="24"/>
        </w:rPr>
        <w:t>三、操作步骤</w:t>
      </w:r>
    </w:p>
    <w:p>
      <w:pPr>
        <w:shd w:val="clear" w:color="auto" w:fill="FFFFFF"/>
        <w:spacing w:line="460" w:lineRule="exact"/>
        <w:ind w:firstLine="472" w:firstLineChars="200"/>
        <w:rPr>
          <w:rFonts w:hint="eastAsia" w:eastAsia="方正仿宋_GBK"/>
          <w:color w:val="000000"/>
          <w:spacing w:val="-2"/>
          <w:sz w:val="24"/>
        </w:rPr>
      </w:pPr>
      <w:r>
        <w:rPr>
          <w:rFonts w:hint="eastAsia" w:eastAsia="方正仿宋_GBK"/>
          <w:color w:val="000000"/>
          <w:spacing w:val="-2"/>
          <w:sz w:val="24"/>
        </w:rPr>
        <w:t>用户需注册才能使用本系统。在浏览器地址栏中输入网址</w:t>
      </w:r>
      <w:r>
        <w:rPr>
          <w:rFonts w:eastAsia="方正仿宋_GBK"/>
          <w:color w:val="000000"/>
          <w:spacing w:val="-2"/>
          <w:sz w:val="24"/>
        </w:rPr>
        <w:t>“http://www.jscst.cn/Jskcsjfront/”</w:t>
      </w:r>
      <w:r>
        <w:rPr>
          <w:rFonts w:hint="eastAsia" w:eastAsia="方正仿宋_GBK"/>
          <w:color w:val="000000"/>
          <w:spacing w:val="-2"/>
          <w:sz w:val="24"/>
        </w:rPr>
        <w:t>，进入注册页面，填入相关信息后上报省级系统管理员。用户注册成功后，可以登陆使用本系统。登陆时，用户名为企业组织机构代码，初始密码为</w:t>
      </w:r>
      <w:r>
        <w:rPr>
          <w:rFonts w:eastAsia="方正仿宋_GBK"/>
          <w:color w:val="000000"/>
          <w:spacing w:val="-2"/>
          <w:sz w:val="24"/>
        </w:rPr>
        <w:t>11111</w:t>
      </w:r>
      <w:r>
        <w:rPr>
          <w:rFonts w:hint="eastAsia" w:eastAsia="方正仿宋_GBK"/>
          <w:color w:val="000000"/>
          <w:spacing w:val="-2"/>
          <w:sz w:val="24"/>
        </w:rPr>
        <w:t>。为确保用户信息安全，用户登陆后应修改密码。住房城乡建设主管部门的用户名及密码另行通知。</w:t>
      </w:r>
    </w:p>
    <w:p>
      <w:pPr>
        <w:shd w:val="clear" w:color="auto" w:fill="FFFFFF"/>
        <w:spacing w:line="460" w:lineRule="exact"/>
        <w:ind w:firstLine="472" w:firstLineChars="200"/>
        <w:rPr>
          <w:rFonts w:eastAsia="方正仿宋_GBK"/>
          <w:color w:val="000000"/>
          <w:spacing w:val="-2"/>
          <w:sz w:val="24"/>
        </w:rPr>
      </w:pPr>
      <w:r>
        <w:rPr>
          <w:rFonts w:hint="eastAsia" w:eastAsia="方正仿宋_GBK"/>
          <w:color w:val="000000"/>
          <w:spacing w:val="-2"/>
          <w:sz w:val="24"/>
        </w:rPr>
        <w:t>该系统的具体操作步骤见《江苏省勘察设计行业管理信息系统操作手册》（企业用户操作手册在</w:t>
      </w:r>
      <w:r>
        <w:rPr>
          <w:rFonts w:eastAsia="方正仿宋_GBK"/>
          <w:color w:val="000000"/>
          <w:spacing w:val="-2"/>
          <w:sz w:val="24"/>
        </w:rPr>
        <w:t>http://www.jscst.cn/Jskcsjfront/</w:t>
      </w:r>
      <w:r>
        <w:rPr>
          <w:rFonts w:hint="eastAsia" w:eastAsia="方正仿宋_GBK"/>
          <w:color w:val="000000"/>
          <w:spacing w:val="-2"/>
          <w:sz w:val="24"/>
        </w:rPr>
        <w:t>系统登录页面的</w:t>
      </w:r>
      <w:r>
        <w:rPr>
          <w:rFonts w:eastAsia="方正仿宋_GBK"/>
          <w:color w:val="000000"/>
          <w:spacing w:val="-2"/>
          <w:sz w:val="24"/>
        </w:rPr>
        <w:t>“</w:t>
      </w:r>
      <w:r>
        <w:rPr>
          <w:rFonts w:hint="eastAsia" w:eastAsia="方正仿宋_GBK"/>
          <w:color w:val="000000"/>
          <w:spacing w:val="-2"/>
          <w:sz w:val="24"/>
        </w:rPr>
        <w:t>用户手册</w:t>
      </w:r>
      <w:r>
        <w:rPr>
          <w:rFonts w:eastAsia="方正仿宋_GBK"/>
          <w:color w:val="000000"/>
          <w:spacing w:val="-2"/>
          <w:sz w:val="24"/>
        </w:rPr>
        <w:t>”</w:t>
      </w:r>
      <w:r>
        <w:rPr>
          <w:rFonts w:hint="eastAsia" w:eastAsia="方正仿宋_GBK"/>
          <w:color w:val="000000"/>
          <w:spacing w:val="-2"/>
          <w:sz w:val="24"/>
        </w:rPr>
        <w:t>点击下载；管理机关操作手册需要在取得帐号后登录系统，在首页面的</w:t>
      </w:r>
      <w:r>
        <w:rPr>
          <w:rFonts w:eastAsia="方正仿宋_GBK"/>
          <w:color w:val="000000"/>
          <w:spacing w:val="-2"/>
          <w:sz w:val="24"/>
        </w:rPr>
        <w:t>“</w:t>
      </w:r>
      <w:r>
        <w:rPr>
          <w:rFonts w:hint="eastAsia" w:eastAsia="方正仿宋_GBK"/>
          <w:color w:val="000000"/>
          <w:spacing w:val="-2"/>
          <w:sz w:val="24"/>
        </w:rPr>
        <w:t>通知公告</w:t>
      </w:r>
      <w:r>
        <w:rPr>
          <w:rFonts w:eastAsia="方正仿宋_GBK"/>
          <w:color w:val="000000"/>
          <w:spacing w:val="-2"/>
          <w:sz w:val="24"/>
        </w:rPr>
        <w:t>”</w:t>
      </w:r>
      <w:r>
        <w:rPr>
          <w:rFonts w:hint="eastAsia" w:eastAsia="方正仿宋_GBK"/>
          <w:color w:val="000000"/>
          <w:spacing w:val="-2"/>
          <w:sz w:val="24"/>
        </w:rPr>
        <w:t>栏进行下载）。</w:t>
      </w:r>
    </w:p>
    <w:p>
      <w:pPr>
        <w:shd w:val="clear" w:color="auto" w:fill="FFFFFF"/>
        <w:spacing w:line="460" w:lineRule="exact"/>
        <w:ind w:firstLine="472" w:firstLineChars="200"/>
        <w:jc w:val="left"/>
        <w:rPr>
          <w:rFonts w:eastAsia="方正仿宋_GBK"/>
          <w:color w:val="000000"/>
          <w:spacing w:val="-2"/>
          <w:sz w:val="24"/>
        </w:rPr>
      </w:pPr>
      <w:r>
        <w:rPr>
          <w:rFonts w:hint="eastAsia" w:eastAsia="方正仿宋_GBK"/>
          <w:color w:val="000000"/>
          <w:spacing w:val="-2"/>
          <w:sz w:val="24"/>
        </w:rPr>
        <w:t>本系统启用后，我厅将委托省勘察设计协会组织培训，以便于各企业及各级住房城乡建设主管部门尽快熟悉操作。</w:t>
      </w:r>
    </w:p>
    <w:p>
      <w:pPr>
        <w:shd w:val="clear" w:color="auto" w:fill="FFFFFF"/>
        <w:spacing w:line="460" w:lineRule="exact"/>
        <w:ind w:firstLine="472" w:firstLineChars="200"/>
        <w:jc w:val="left"/>
        <w:rPr>
          <w:rFonts w:ascii="Times New Roman" w:eastAsia="方正黑体_GBK"/>
          <w:bCs/>
          <w:color w:val="000000"/>
          <w:spacing w:val="-2"/>
          <w:sz w:val="24"/>
        </w:rPr>
      </w:pPr>
      <w:r>
        <w:rPr>
          <w:rFonts w:hint="eastAsia" w:ascii="Times New Roman" w:eastAsia="方正黑体_GBK"/>
          <w:bCs/>
          <w:color w:val="000000"/>
          <w:spacing w:val="-2"/>
          <w:sz w:val="24"/>
        </w:rPr>
        <w:t>四、工作要求</w:t>
      </w:r>
    </w:p>
    <w:p>
      <w:pPr>
        <w:shd w:val="clear" w:color="auto" w:fill="FFFFFF"/>
        <w:spacing w:line="460" w:lineRule="exact"/>
        <w:ind w:firstLine="472" w:firstLineChars="200"/>
        <w:rPr>
          <w:rFonts w:hint="eastAsia"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、各企业要按要求及时录入相关信息。</w:t>
      </w:r>
    </w:p>
    <w:p>
      <w:pPr>
        <w:shd w:val="clear" w:color="auto" w:fill="FFFFFF"/>
        <w:spacing w:line="460" w:lineRule="exact"/>
        <w:ind w:firstLine="472" w:firstLineChars="200"/>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、企业在利用该系统参加全省工程勘察设计市场集中检查时，不需提供相关材料的原件及复印件，只需提供从该系统中打印出的检查申报表。本省企业应于每年</w:t>
      </w:r>
      <w:r>
        <w:rPr>
          <w:rFonts w:eastAsia="方正仿宋_GBK"/>
          <w:color w:val="000000"/>
          <w:spacing w:val="-2"/>
          <w:sz w:val="24"/>
        </w:rPr>
        <w:t>6</w:t>
      </w:r>
      <w:r>
        <w:rPr>
          <w:rFonts w:hint="eastAsia" w:eastAsia="方正仿宋_GBK"/>
          <w:color w:val="000000"/>
          <w:spacing w:val="-2"/>
          <w:sz w:val="24"/>
        </w:rPr>
        <w:t>月底前将本单位所有资质相对应的人员、设备等相关信息填入市场集中检查子系统，如遇人员等发生变化，应及时进行调整。各级住房城乡建设主管部门通过系统中已由企业工商注册所在地住房城乡建设主管部门审查通过的企业、人员、办公场所及设备等的相关材料的扫描件和企业填报的其它相关信息进行审核。</w:t>
      </w:r>
    </w:p>
    <w:p>
      <w:pPr>
        <w:shd w:val="clear" w:color="auto" w:fill="FFFFFF"/>
        <w:spacing w:line="460" w:lineRule="exact"/>
        <w:ind w:firstLine="472" w:firstLineChars="200"/>
        <w:rPr>
          <w:rFonts w:eastAsia="方正仿宋_GBK"/>
          <w:color w:val="000000"/>
          <w:spacing w:val="-2"/>
          <w:sz w:val="24"/>
        </w:rPr>
      </w:pPr>
      <w:r>
        <w:rPr>
          <w:rFonts w:eastAsia="方正仿宋_GBK"/>
          <w:color w:val="000000"/>
          <w:spacing w:val="-2"/>
          <w:sz w:val="24"/>
        </w:rPr>
        <w:t>3</w:t>
      </w:r>
      <w:r>
        <w:rPr>
          <w:rFonts w:hint="eastAsia" w:eastAsia="方正仿宋_GBK"/>
          <w:color w:val="000000"/>
          <w:spacing w:val="-2"/>
          <w:sz w:val="24"/>
        </w:rPr>
        <w:t>、通过该系统进行的评优申报，适用于省城乡建设系统优秀勘察设计奖评选或省级</w:t>
      </w:r>
      <w:r>
        <w:rPr>
          <w:rFonts w:eastAsia="方正仿宋_GBK"/>
          <w:color w:val="000000"/>
          <w:spacing w:val="-2"/>
          <w:sz w:val="24"/>
        </w:rPr>
        <w:t>“</w:t>
      </w:r>
      <w:r>
        <w:rPr>
          <w:rFonts w:hint="eastAsia" w:eastAsia="方正仿宋_GBK"/>
          <w:color w:val="000000"/>
          <w:spacing w:val="-2"/>
          <w:sz w:val="24"/>
        </w:rPr>
        <w:t>四优</w:t>
      </w:r>
      <w:r>
        <w:rPr>
          <w:rFonts w:eastAsia="方正仿宋_GBK"/>
          <w:color w:val="000000"/>
          <w:spacing w:val="-2"/>
          <w:sz w:val="24"/>
        </w:rPr>
        <w:t>”</w:t>
      </w:r>
      <w:r>
        <w:rPr>
          <w:rFonts w:hint="eastAsia" w:eastAsia="方正仿宋_GBK"/>
          <w:color w:val="000000"/>
          <w:spacing w:val="-2"/>
          <w:sz w:val="24"/>
        </w:rPr>
        <w:t>奖评选。进行评优申报时，应遵照当年的申报细则及相关的评选管理办法。具体程序为：拟申报项目应先通过系统录入相关信息，并上传项目合同主要页</w:t>
      </w:r>
      <w:r>
        <w:rPr>
          <w:rFonts w:eastAsia="方正仿宋_GBK"/>
          <w:color w:val="000000"/>
          <w:spacing w:val="-2"/>
          <w:sz w:val="24"/>
        </w:rPr>
        <w:t>(</w:t>
      </w:r>
      <w:r>
        <w:rPr>
          <w:rFonts w:hint="eastAsia" w:eastAsia="方正仿宋_GBK"/>
          <w:color w:val="000000"/>
          <w:spacing w:val="-2"/>
          <w:sz w:val="24"/>
        </w:rPr>
        <w:t>封面页、包含项目名称及规模等信息的合同页、签字盖章页</w:t>
      </w:r>
      <w:r>
        <w:rPr>
          <w:rFonts w:eastAsia="方正仿宋_GBK"/>
          <w:color w:val="000000"/>
          <w:spacing w:val="-2"/>
          <w:sz w:val="24"/>
        </w:rPr>
        <w:t>)</w:t>
      </w:r>
      <w:r>
        <w:rPr>
          <w:rFonts w:hint="eastAsia" w:eastAsia="方正仿宋_GBK"/>
          <w:color w:val="000000"/>
          <w:spacing w:val="-2"/>
          <w:sz w:val="24"/>
        </w:rPr>
        <w:t>、施工图设计文件审查合格书、消防部门竣工验收合格证明、使用单位对设计的反馈意见、施工单位对设计的反馈意见等材料的扫描件及项目报优成果的电子文件。项目申报单位将系统生成的申报表</w:t>
      </w:r>
      <w:r>
        <w:rPr>
          <w:rFonts w:eastAsia="方正仿宋_GBK"/>
          <w:color w:val="000000"/>
          <w:spacing w:val="-2"/>
          <w:sz w:val="24"/>
        </w:rPr>
        <w:t>3</w:t>
      </w:r>
      <w:r>
        <w:rPr>
          <w:rFonts w:hint="eastAsia" w:eastAsia="方正仿宋_GBK"/>
          <w:color w:val="000000"/>
          <w:spacing w:val="-2"/>
          <w:sz w:val="24"/>
        </w:rPr>
        <w:t>份、</w:t>
      </w:r>
      <w:r>
        <w:rPr>
          <w:rFonts w:eastAsia="方正仿宋_GBK"/>
          <w:color w:val="000000"/>
          <w:spacing w:val="-2"/>
          <w:sz w:val="24"/>
        </w:rPr>
        <w:t>A3</w:t>
      </w:r>
      <w:r>
        <w:rPr>
          <w:rFonts w:hint="eastAsia" w:eastAsia="方正仿宋_GBK"/>
          <w:color w:val="000000"/>
          <w:spacing w:val="-2"/>
          <w:sz w:val="24"/>
        </w:rPr>
        <w:t>报优文本</w:t>
      </w:r>
      <w:r>
        <w:rPr>
          <w:rFonts w:eastAsia="方正仿宋_GBK"/>
          <w:color w:val="000000"/>
          <w:spacing w:val="-2"/>
          <w:sz w:val="24"/>
        </w:rPr>
        <w:t>1</w:t>
      </w:r>
      <w:r>
        <w:rPr>
          <w:rFonts w:hint="eastAsia" w:eastAsia="方正仿宋_GBK"/>
          <w:color w:val="000000"/>
          <w:spacing w:val="-2"/>
          <w:sz w:val="24"/>
        </w:rPr>
        <w:t>份及上述扫描件的原件，报单位所在地省辖市住房城乡建设主管部门进行审核，审核无误的，省辖市住房城乡建设主管部门在申报表中相应栏目签署意见、加盖单位公章，并在该系统中签署意见。符合申报条件及申报程序的项目，推荐参加省城乡建设系统优秀勘察设计奖或省级</w:t>
      </w:r>
      <w:r>
        <w:rPr>
          <w:rFonts w:eastAsia="方正仿宋_GBK"/>
          <w:color w:val="000000"/>
          <w:spacing w:val="-2"/>
          <w:sz w:val="24"/>
        </w:rPr>
        <w:t>“</w:t>
      </w:r>
      <w:r>
        <w:rPr>
          <w:rFonts w:hint="eastAsia" w:eastAsia="方正仿宋_GBK"/>
          <w:color w:val="000000"/>
          <w:spacing w:val="-2"/>
          <w:sz w:val="24"/>
        </w:rPr>
        <w:t>四优</w:t>
      </w:r>
      <w:r>
        <w:rPr>
          <w:rFonts w:eastAsia="方正仿宋_GBK"/>
          <w:color w:val="000000"/>
          <w:spacing w:val="-2"/>
          <w:sz w:val="24"/>
        </w:rPr>
        <w:t>”</w:t>
      </w:r>
      <w:r>
        <w:rPr>
          <w:rFonts w:hint="eastAsia" w:eastAsia="方正仿宋_GBK"/>
          <w:color w:val="000000"/>
          <w:spacing w:val="-2"/>
          <w:sz w:val="24"/>
        </w:rPr>
        <w:t>奖的评选活动。</w:t>
      </w:r>
    </w:p>
    <w:p>
      <w:pPr>
        <w:shd w:val="clear" w:color="auto" w:fill="FFFFFF"/>
        <w:spacing w:line="460" w:lineRule="exact"/>
        <w:ind w:firstLine="472" w:firstLineChars="200"/>
        <w:rPr>
          <w:rFonts w:eastAsia="方正仿宋_GBK"/>
          <w:color w:val="000000"/>
          <w:spacing w:val="-2"/>
          <w:sz w:val="24"/>
        </w:rPr>
      </w:pPr>
      <w:r>
        <w:rPr>
          <w:rFonts w:eastAsia="方正仿宋_GBK"/>
          <w:color w:val="000000"/>
          <w:spacing w:val="-2"/>
          <w:sz w:val="24"/>
        </w:rPr>
        <w:t>4</w:t>
      </w:r>
      <w:r>
        <w:rPr>
          <w:rFonts w:hint="eastAsia" w:eastAsia="方正仿宋_GBK"/>
          <w:color w:val="000000"/>
          <w:spacing w:val="-2"/>
          <w:sz w:val="24"/>
        </w:rPr>
        <w:t>、各省辖市、县（市）建设主管部门要从规范工程勘察设计市场秩序、加强质量监管的高度，认真做好系统启用运行的相关工作，明确责任人及工作职责；督促各相关企业在规定时间内完成相关数据录入，并认真做好系统启用后的组织协调和后续监管等工作，确保系统全面启用实施。</w:t>
      </w:r>
    </w:p>
    <w:p>
      <w:pPr>
        <w:shd w:val="clear" w:color="auto" w:fill="FFFFFF"/>
        <w:spacing w:line="460" w:lineRule="exact"/>
        <w:ind w:firstLine="472" w:firstLineChars="200"/>
        <w:rPr>
          <w:rFonts w:eastAsia="方正仿宋_GBK"/>
          <w:color w:val="000000"/>
          <w:spacing w:val="-2"/>
          <w:sz w:val="24"/>
        </w:rPr>
      </w:pPr>
      <w:r>
        <w:rPr>
          <w:rFonts w:eastAsia="方正仿宋_GBK"/>
          <w:color w:val="000000"/>
          <w:spacing w:val="-2"/>
          <w:sz w:val="24"/>
        </w:rPr>
        <w:t>5</w:t>
      </w:r>
      <w:r>
        <w:rPr>
          <w:rFonts w:hint="eastAsia" w:eastAsia="方正仿宋_GBK"/>
          <w:color w:val="000000"/>
          <w:spacing w:val="-2"/>
          <w:sz w:val="24"/>
        </w:rPr>
        <w:t>、各省辖市、县（市）住房城乡建设主管部门要及时将本部门需使用该系统的人员相关信息于</w:t>
      </w:r>
      <w:r>
        <w:rPr>
          <w:rFonts w:eastAsia="方正仿宋_GBK"/>
          <w:color w:val="000000"/>
          <w:spacing w:val="-2"/>
          <w:sz w:val="24"/>
        </w:rPr>
        <w:t>2014</w:t>
      </w:r>
      <w:r>
        <w:rPr>
          <w:rFonts w:hint="eastAsia" w:eastAsia="方正仿宋_GBK"/>
          <w:color w:val="000000"/>
          <w:spacing w:val="-2"/>
          <w:sz w:val="24"/>
        </w:rPr>
        <w:t>年</w:t>
      </w:r>
      <w:r>
        <w:rPr>
          <w:rFonts w:eastAsia="方正仿宋_GBK"/>
          <w:color w:val="000000"/>
          <w:spacing w:val="-2"/>
          <w:sz w:val="24"/>
        </w:rPr>
        <w:t>1</w:t>
      </w:r>
      <w:r>
        <w:rPr>
          <w:rFonts w:hint="eastAsia" w:eastAsia="方正仿宋_GBK"/>
          <w:color w:val="000000"/>
          <w:spacing w:val="-2"/>
          <w:sz w:val="24"/>
        </w:rPr>
        <w:t>月</w:t>
      </w:r>
      <w:r>
        <w:rPr>
          <w:rFonts w:eastAsia="方正仿宋_GBK"/>
          <w:color w:val="000000"/>
          <w:spacing w:val="-2"/>
          <w:sz w:val="24"/>
        </w:rPr>
        <w:t>10</w:t>
      </w:r>
      <w:r>
        <w:rPr>
          <w:rFonts w:hint="eastAsia" w:eastAsia="方正仿宋_GBK"/>
          <w:color w:val="000000"/>
          <w:spacing w:val="-2"/>
          <w:sz w:val="24"/>
        </w:rPr>
        <w:t>日前报我厅建筑节能与科研设计处（格式见附件，各县（市）住房城乡建设主管部门的相关人员信息由省辖市住房城乡建设主管部门汇总后上报）。</w:t>
      </w:r>
    </w:p>
    <w:p>
      <w:pPr>
        <w:shd w:val="clear" w:color="auto" w:fill="FFFFFF"/>
        <w:spacing w:line="460" w:lineRule="exact"/>
        <w:ind w:firstLine="472" w:firstLineChars="200"/>
        <w:rPr>
          <w:rFonts w:eastAsia="方正仿宋_GBK"/>
          <w:color w:val="000000"/>
          <w:spacing w:val="-2"/>
          <w:sz w:val="24"/>
        </w:rPr>
      </w:pPr>
      <w:r>
        <w:rPr>
          <w:rFonts w:eastAsia="方正仿宋_GBK"/>
          <w:color w:val="000000"/>
          <w:spacing w:val="-2"/>
          <w:sz w:val="24"/>
        </w:rPr>
        <w:t>6</w:t>
      </w:r>
      <w:r>
        <w:rPr>
          <w:rFonts w:hint="eastAsia" w:eastAsia="方正仿宋_GBK"/>
          <w:color w:val="000000"/>
          <w:spacing w:val="-2"/>
          <w:sz w:val="24"/>
        </w:rPr>
        <w:t>、我厅将对各企业的上报信息及各省辖市、县（市）住房城乡建设主管部门通过该系统办理的各项业务进行不定期抽查。对于上报虚假信息的企业、违反规定或审查不严导致不符合条件的企业通过审查的各级住房城乡建设主管部门，我厅将予以通报批评，并责令该主管部门重新办理相关业务事项。</w:t>
      </w:r>
    </w:p>
    <w:p>
      <w:pPr>
        <w:shd w:val="clear" w:color="auto" w:fill="FFFFFF"/>
        <w:spacing w:line="460" w:lineRule="exact"/>
        <w:ind w:firstLine="472" w:firstLineChars="200"/>
        <w:rPr>
          <w:rFonts w:eastAsia="方正仿宋_GBK"/>
          <w:color w:val="000000"/>
          <w:spacing w:val="-2"/>
          <w:sz w:val="24"/>
        </w:rPr>
      </w:pPr>
      <w:r>
        <w:rPr>
          <w:rFonts w:hint="eastAsia" w:eastAsia="方正仿宋_GBK"/>
          <w:bCs/>
          <w:color w:val="000000"/>
          <w:spacing w:val="-2"/>
          <w:sz w:val="24"/>
        </w:rPr>
        <w:t>联系人：</w:t>
      </w:r>
      <w:r>
        <w:rPr>
          <w:rFonts w:hint="eastAsia" w:eastAsia="方正仿宋_GBK"/>
          <w:color w:val="000000"/>
          <w:spacing w:val="-2"/>
          <w:sz w:val="24"/>
        </w:rPr>
        <w:t>罗荣彪、倪梅仙，</w:t>
      </w:r>
      <w:r>
        <w:rPr>
          <w:rFonts w:eastAsia="方正仿宋_GBK"/>
          <w:color w:val="000000"/>
          <w:spacing w:val="-2"/>
          <w:sz w:val="24"/>
        </w:rPr>
        <w:t>025-51868833</w:t>
      </w:r>
      <w:r>
        <w:rPr>
          <w:rFonts w:hint="eastAsia" w:eastAsia="方正仿宋_GBK"/>
          <w:color w:val="000000"/>
          <w:spacing w:val="-2"/>
          <w:sz w:val="24"/>
        </w:rPr>
        <w:t>、</w:t>
      </w:r>
      <w:r>
        <w:rPr>
          <w:rFonts w:eastAsia="方正仿宋_GBK"/>
          <w:color w:val="000000"/>
          <w:spacing w:val="-2"/>
          <w:sz w:val="24"/>
        </w:rPr>
        <w:t>51868129</w:t>
      </w:r>
      <w:r>
        <w:rPr>
          <w:rFonts w:hint="eastAsia" w:eastAsia="方正仿宋_GBK"/>
          <w:color w:val="000000"/>
          <w:spacing w:val="-2"/>
          <w:sz w:val="24"/>
        </w:rPr>
        <w:t>，邮箱：</w:t>
      </w:r>
      <w:r>
        <w:fldChar w:fldCharType="begin"/>
      </w:r>
      <w:r>
        <w:instrText xml:space="preserve"> HYPERLINK "mailto:njlrb@163.com" </w:instrText>
      </w:r>
      <w:r>
        <w:fldChar w:fldCharType="separate"/>
      </w:r>
      <w:r>
        <w:rPr>
          <w:rStyle w:val="16"/>
          <w:rFonts w:eastAsia="方正仿宋_GBK"/>
          <w:spacing w:val="-2"/>
          <w:sz w:val="24"/>
        </w:rPr>
        <w:t>njlrb@163.com</w:t>
      </w:r>
      <w:r>
        <w:fldChar w:fldCharType="end"/>
      </w:r>
      <w:r>
        <w:rPr>
          <w:rFonts w:hint="eastAsia" w:eastAsia="方正仿宋_GBK"/>
          <w:color w:val="000000"/>
          <w:spacing w:val="-2"/>
          <w:sz w:val="24"/>
        </w:rPr>
        <w:t>。</w:t>
      </w:r>
    </w:p>
    <w:p>
      <w:pPr>
        <w:shd w:val="clear" w:color="auto" w:fill="FFFFFF"/>
        <w:spacing w:line="460" w:lineRule="exact"/>
        <w:ind w:firstLine="472" w:firstLineChars="200"/>
        <w:rPr>
          <w:rFonts w:eastAsia="方正仿宋_GBK"/>
          <w:color w:val="000000"/>
          <w:spacing w:val="-2"/>
          <w:sz w:val="24"/>
        </w:rPr>
      </w:pPr>
      <w:r>
        <w:rPr>
          <w:rFonts w:hint="eastAsia" w:eastAsia="方正仿宋_GBK"/>
          <w:bCs/>
          <w:color w:val="000000"/>
          <w:spacing w:val="-2"/>
          <w:sz w:val="24"/>
        </w:rPr>
        <w:t>技术咨询：</w:t>
      </w:r>
      <w:r>
        <w:rPr>
          <w:rFonts w:hint="eastAsia" w:eastAsia="方正仿宋_GBK"/>
          <w:color w:val="000000"/>
          <w:spacing w:val="-2"/>
          <w:sz w:val="24"/>
        </w:rPr>
        <w:t>吉峰，</w:t>
      </w:r>
      <w:r>
        <w:rPr>
          <w:rFonts w:eastAsia="方正仿宋_GBK"/>
          <w:color w:val="000000"/>
          <w:spacing w:val="-2"/>
          <w:sz w:val="24"/>
        </w:rPr>
        <w:t>18625172298</w:t>
      </w:r>
      <w:r>
        <w:rPr>
          <w:rFonts w:hint="eastAsia" w:eastAsia="方正仿宋_GBK"/>
          <w:color w:val="000000"/>
          <w:spacing w:val="-2"/>
          <w:sz w:val="24"/>
        </w:rPr>
        <w:t>，</w:t>
      </w:r>
      <w:r>
        <w:rPr>
          <w:rFonts w:eastAsia="方正仿宋_GBK"/>
          <w:color w:val="000000"/>
          <w:spacing w:val="-2"/>
          <w:sz w:val="24"/>
        </w:rPr>
        <w:t>QQ:582886282</w:t>
      </w:r>
    </w:p>
    <w:p>
      <w:pPr>
        <w:pStyle w:val="10"/>
        <w:widowControl w:val="0"/>
        <w:spacing w:before="0" w:beforeAutospacing="0" w:after="0" w:afterAutospacing="0" w:line="460" w:lineRule="exact"/>
        <w:ind w:left="1346" w:leftChars="304" w:hanging="708" w:hangingChars="300"/>
        <w:jc w:val="both"/>
        <w:rPr>
          <w:rFonts w:ascii="Times New Roman" w:hAnsi="Times New Roman" w:eastAsia="方正仿宋_GBK"/>
          <w:color w:val="000000"/>
          <w:spacing w:val="-2"/>
        </w:rPr>
      </w:pPr>
    </w:p>
    <w:p>
      <w:pPr>
        <w:pStyle w:val="10"/>
        <w:widowControl w:val="0"/>
        <w:spacing w:before="0" w:beforeAutospacing="0" w:after="0" w:afterAutospacing="0" w:line="460" w:lineRule="exact"/>
        <w:ind w:left="1346" w:leftChars="304" w:hanging="708" w:hangingChars="300"/>
        <w:jc w:val="both"/>
        <w:rPr>
          <w:rFonts w:ascii="Times New Roman" w:hAnsi="Times New Roman" w:eastAsia="方正仿宋_GBK"/>
          <w:color w:val="000000"/>
          <w:spacing w:val="-2"/>
        </w:rPr>
      </w:pPr>
      <w:r>
        <w:rPr>
          <w:rFonts w:hint="eastAsia" w:ascii="Times New Roman" w:hAnsi="Times New Roman" w:eastAsia="方正仿宋_GBK"/>
          <w:color w:val="000000"/>
          <w:spacing w:val="-2"/>
        </w:rPr>
        <w:t>附件：住房城乡建设主管部门使用</w:t>
      </w:r>
      <w:r>
        <w:rPr>
          <w:rFonts w:ascii="Times New Roman" w:hAnsi="Times New Roman" w:eastAsia="方正仿宋_GBK"/>
          <w:color w:val="000000"/>
          <w:spacing w:val="-2"/>
        </w:rPr>
        <w:t>“</w:t>
      </w:r>
      <w:r>
        <w:rPr>
          <w:rFonts w:hint="eastAsia" w:ascii="Times New Roman" w:hAnsi="Times New Roman" w:eastAsia="方正仿宋_GBK"/>
          <w:color w:val="000000"/>
          <w:spacing w:val="-2"/>
        </w:rPr>
        <w:t>江苏省勘察设计行业管理信息系统</w:t>
      </w:r>
      <w:r>
        <w:rPr>
          <w:rFonts w:ascii="Times New Roman" w:hAnsi="Times New Roman" w:eastAsia="方正仿宋_GBK"/>
          <w:color w:val="000000"/>
          <w:spacing w:val="-2"/>
        </w:rPr>
        <w:t>”</w:t>
      </w:r>
      <w:r>
        <w:rPr>
          <w:rFonts w:hint="eastAsia" w:ascii="Times New Roman" w:hAnsi="Times New Roman" w:eastAsia="方正仿宋_GBK"/>
          <w:color w:val="000000"/>
          <w:spacing w:val="-2"/>
        </w:rPr>
        <w:t>人员的相关信息汇总表</w:t>
      </w:r>
    </w:p>
    <w:p>
      <w:pPr>
        <w:pStyle w:val="10"/>
        <w:widowControl w:val="0"/>
        <w:spacing w:before="0" w:beforeAutospacing="0" w:after="0" w:afterAutospacing="0" w:line="460" w:lineRule="exact"/>
        <w:ind w:firstLine="472" w:firstLineChars="200"/>
        <w:jc w:val="both"/>
        <w:rPr>
          <w:rFonts w:ascii="Times New Roman" w:hAnsi="Times New Roman" w:eastAsia="方正仿宋_GBK"/>
          <w:color w:val="000000"/>
          <w:spacing w:val="-2"/>
        </w:rPr>
      </w:pPr>
    </w:p>
    <w:p>
      <w:pPr>
        <w:pStyle w:val="10"/>
        <w:widowControl w:val="0"/>
        <w:spacing w:before="0" w:beforeAutospacing="0" w:after="0" w:afterAutospacing="0" w:line="460" w:lineRule="exact"/>
        <w:ind w:right="437" w:rightChars="208" w:firstLine="3422" w:firstLineChars="1450"/>
        <w:jc w:val="right"/>
        <w:rPr>
          <w:rFonts w:ascii="Times New Roman" w:hAnsi="Times New Roman" w:eastAsia="方正仿宋_GBK"/>
          <w:color w:val="000000"/>
          <w:spacing w:val="-2"/>
        </w:rPr>
      </w:pPr>
      <w:r>
        <w:rPr>
          <w:rFonts w:hint="eastAsia" w:ascii="Times New Roman" w:hAnsi="Times New Roman" w:eastAsia="方正仿宋_GBK"/>
          <w:color w:val="000000"/>
          <w:spacing w:val="-2"/>
        </w:rPr>
        <w:t>江苏省住房和城乡建设厅</w:t>
      </w:r>
      <w:r>
        <w:rPr>
          <w:rFonts w:ascii="Times New Roman" w:hAnsi="Times New Roman" w:eastAsia="方正仿宋_GBK"/>
          <w:color w:val="000000"/>
          <w:spacing w:val="-2"/>
        </w:rPr>
        <w:t xml:space="preserve">    </w:t>
      </w:r>
    </w:p>
    <w:p>
      <w:pPr>
        <w:pStyle w:val="10"/>
        <w:widowControl w:val="0"/>
        <w:spacing w:before="0" w:beforeAutospacing="0" w:after="0" w:afterAutospacing="0" w:line="460" w:lineRule="exact"/>
        <w:ind w:right="878" w:rightChars="418"/>
        <w:jc w:val="right"/>
        <w:rPr>
          <w:rFonts w:ascii="Times New Roman" w:hAnsi="Times New Roman" w:eastAsia="方正仿宋_GBK"/>
          <w:color w:val="000000"/>
          <w:spacing w:val="-2"/>
        </w:rPr>
      </w:pPr>
      <w:r>
        <w:rPr>
          <w:rFonts w:ascii="Times New Roman" w:hAnsi="Times New Roman" w:eastAsia="方正仿宋_GBK"/>
          <w:color w:val="000000"/>
          <w:spacing w:val="-2"/>
        </w:rPr>
        <w:t xml:space="preserve">                          2013</w:t>
      </w:r>
      <w:r>
        <w:rPr>
          <w:rFonts w:hint="eastAsia" w:ascii="Times New Roman" w:hAnsi="Times New Roman" w:eastAsia="方正仿宋_GBK"/>
          <w:color w:val="000000"/>
          <w:spacing w:val="-2"/>
        </w:rPr>
        <w:t>年</w:t>
      </w:r>
      <w:r>
        <w:rPr>
          <w:rFonts w:ascii="Times New Roman" w:hAnsi="Times New Roman" w:eastAsia="方正仿宋_GBK"/>
          <w:color w:val="000000"/>
          <w:spacing w:val="-2"/>
        </w:rPr>
        <w:t>12</w:t>
      </w:r>
      <w:r>
        <w:rPr>
          <w:rFonts w:hint="eastAsia" w:ascii="Times New Roman" w:hAnsi="Times New Roman" w:eastAsia="方正仿宋_GBK"/>
          <w:color w:val="000000"/>
          <w:spacing w:val="-2"/>
        </w:rPr>
        <w:t>月</w:t>
      </w:r>
      <w:r>
        <w:rPr>
          <w:rFonts w:ascii="Times New Roman" w:hAnsi="Times New Roman" w:eastAsia="方正仿宋_GBK"/>
          <w:color w:val="000000"/>
          <w:spacing w:val="-2"/>
        </w:rPr>
        <w:t>16</w:t>
      </w:r>
      <w:r>
        <w:rPr>
          <w:rFonts w:hint="eastAsia" w:ascii="Times New Roman" w:hAnsi="Times New Roman" w:eastAsia="方正仿宋_GBK"/>
          <w:color w:val="000000"/>
          <w:spacing w:val="-2"/>
        </w:rPr>
        <w:t>日</w:t>
      </w:r>
      <w:r>
        <w:rPr>
          <w:rFonts w:ascii="Times New Roman" w:hAnsi="Times New Roman" w:eastAsia="方正仿宋_GBK"/>
          <w:color w:val="000000"/>
          <w:spacing w:val="-2"/>
        </w:rPr>
        <w:t xml:space="preserve">      </w:t>
      </w:r>
    </w:p>
    <w:p>
      <w:pPr>
        <w:pStyle w:val="10"/>
        <w:widowControl w:val="0"/>
        <w:spacing w:before="0" w:beforeAutospacing="0" w:after="0" w:afterAutospacing="0" w:line="460" w:lineRule="exact"/>
        <w:ind w:firstLine="292" w:firstLineChars="124"/>
        <w:jc w:val="both"/>
        <w:rPr>
          <w:rFonts w:ascii="Times New Roman" w:hAnsi="Times New Roman" w:eastAsia="方正仿宋_GBK"/>
          <w:color w:val="000000"/>
          <w:spacing w:val="-2"/>
        </w:rPr>
      </w:pPr>
    </w:p>
    <w:p/>
    <w:p/>
    <w:p/>
    <w:p/>
    <w:p/>
    <w:p/>
    <w:p/>
    <w:p/>
    <w:p/>
    <w:p/>
    <w:p/>
    <w:p/>
    <w:p/>
    <w:p/>
    <w:p/>
    <w:p/>
    <w:p/>
    <w:p/>
    <w:p/>
    <w:p/>
    <w:p/>
    <w:p/>
    <w:p/>
    <w:p>
      <w:pPr>
        <w:pStyle w:val="2"/>
        <w:spacing w:before="240" w:beforeLines="100" w:after="240" w:afterLines="100" w:line="240" w:lineRule="auto"/>
        <w:jc w:val="center"/>
        <w:rPr>
          <w:rFonts w:ascii="Times New Roman" w:eastAsia="方正小标宋_GBK"/>
          <w:b w:val="0"/>
          <w:sz w:val="36"/>
          <w:szCs w:val="36"/>
        </w:rPr>
      </w:pPr>
      <w:bookmarkStart w:id="220" w:name="_Toc20726259"/>
      <w:bookmarkStart w:id="221" w:name="_Toc18315642"/>
      <w:r>
        <w:rPr>
          <w:rFonts w:hint="eastAsia" w:ascii="Times New Roman" w:eastAsia="方正小标宋_GBK"/>
          <w:b w:val="0"/>
          <w:sz w:val="36"/>
          <w:szCs w:val="36"/>
        </w:rPr>
        <w:t>省住房城乡建设厅关于加强全省工程勘察设计市场    动态核查工作的通知</w:t>
      </w:r>
      <w:bookmarkEnd w:id="220"/>
      <w:bookmarkEnd w:id="221"/>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222" w:name="_Toc20726260"/>
      <w:bookmarkStart w:id="223" w:name="_Toc18315643"/>
      <w:r>
        <w:rPr>
          <w:rFonts w:hint="eastAsia" w:ascii="Times New Roman" w:hAnsi="Times New Roman" w:eastAsia="方正楷体_GBK"/>
          <w:b w:val="0"/>
          <w:sz w:val="24"/>
          <w:szCs w:val="24"/>
        </w:rPr>
        <w:t>苏建科〔</w:t>
      </w:r>
      <w:r>
        <w:rPr>
          <w:rFonts w:ascii="Times New Roman" w:hAnsi="Times New Roman" w:eastAsia="方正楷体_GBK"/>
          <w:b w:val="0"/>
          <w:sz w:val="24"/>
          <w:szCs w:val="24"/>
        </w:rPr>
        <w:t>2014</w:t>
      </w:r>
      <w:r>
        <w:rPr>
          <w:rFonts w:hint="eastAsia" w:ascii="Times New Roman" w:hAnsi="Times New Roman" w:eastAsia="方正楷体_GBK"/>
          <w:b w:val="0"/>
          <w:sz w:val="24"/>
          <w:szCs w:val="24"/>
        </w:rPr>
        <w:t>〕</w:t>
      </w:r>
      <w:r>
        <w:rPr>
          <w:rFonts w:ascii="Times New Roman" w:hAnsi="Times New Roman" w:eastAsia="方正楷体_GBK"/>
          <w:b w:val="0"/>
          <w:sz w:val="24"/>
          <w:szCs w:val="24"/>
        </w:rPr>
        <w:t>705</w:t>
      </w:r>
      <w:r>
        <w:rPr>
          <w:rFonts w:hint="eastAsia" w:ascii="Times New Roman" w:hAnsi="Times New Roman" w:eastAsia="方正楷体_GBK"/>
          <w:b w:val="0"/>
          <w:sz w:val="24"/>
          <w:szCs w:val="24"/>
        </w:rPr>
        <w:t>号</w:t>
      </w:r>
      <w:bookmarkEnd w:id="222"/>
      <w:bookmarkEnd w:id="223"/>
    </w:p>
    <w:p>
      <w:pPr>
        <w:spacing w:line="460" w:lineRule="exact"/>
        <w:rPr>
          <w:rFonts w:eastAsia="方正仿宋_GBK"/>
          <w:color w:val="000000"/>
          <w:spacing w:val="-2"/>
          <w:sz w:val="24"/>
        </w:rPr>
      </w:pPr>
      <w:r>
        <w:rPr>
          <w:rFonts w:hint="eastAsia" w:eastAsia="方正仿宋_GBK"/>
          <w:color w:val="000000"/>
          <w:spacing w:val="-2"/>
          <w:sz w:val="24"/>
        </w:rPr>
        <w:t>各省辖市建设局（委）：</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为进一步规范全省工程勘察设计市场秩序，推动行业诚信体系建设，确保勘察设计质量，根据国家及省有关法律、法规及规章要求，我省将大力加强工程勘察设计市场动态核查工作。现就有关事项通知如下：</w:t>
      </w:r>
    </w:p>
    <w:p>
      <w:pPr>
        <w:spacing w:line="460" w:lineRule="exact"/>
        <w:rPr>
          <w:rFonts w:ascii="Times New Roman" w:eastAsia="方正黑体_GBK"/>
          <w:color w:val="000000"/>
          <w:spacing w:val="-2"/>
          <w:sz w:val="24"/>
        </w:rPr>
      </w:pPr>
      <w:r>
        <w:rPr>
          <w:rFonts w:hint="eastAsia" w:ascii="Times New Roman" w:eastAsia="方正黑体_GBK"/>
          <w:color w:val="000000"/>
          <w:spacing w:val="-2"/>
          <w:sz w:val="24"/>
        </w:rPr>
        <w:t xml:space="preserve">    一、核查对象</w:t>
      </w:r>
    </w:p>
    <w:p>
      <w:pPr>
        <w:spacing w:line="460" w:lineRule="exact"/>
        <w:ind w:firstLine="472" w:firstLineChars="200"/>
        <w:rPr>
          <w:rFonts w:hint="eastAsia" w:eastAsia="方正仿宋_GBK"/>
          <w:bCs/>
          <w:color w:val="000000"/>
          <w:spacing w:val="-2"/>
          <w:kern w:val="0"/>
          <w:sz w:val="24"/>
        </w:rPr>
      </w:pPr>
      <w:r>
        <w:rPr>
          <w:rFonts w:hint="eastAsia" w:eastAsia="方正仿宋_GBK"/>
          <w:bCs/>
          <w:color w:val="000000"/>
          <w:spacing w:val="-2"/>
          <w:kern w:val="0"/>
          <w:sz w:val="24"/>
        </w:rPr>
        <w:t>持有工程勘察、工程设计及设计施工一体化资质的本省单位及在我省承接勘察设计业务的省外单位。重点核查以下单位：</w:t>
      </w:r>
    </w:p>
    <w:p>
      <w:pPr>
        <w:spacing w:line="460" w:lineRule="exact"/>
        <w:ind w:firstLine="472" w:firstLineChars="200"/>
        <w:rPr>
          <w:rFonts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、新申请、升级、增项、延续资质的单位；</w:t>
      </w:r>
    </w:p>
    <w:p>
      <w:pPr>
        <w:spacing w:line="460" w:lineRule="exact"/>
        <w:ind w:firstLine="472" w:firstLineChars="200"/>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、未通过省勘察设计行业管理信息系统上报相关信息的单位；</w:t>
      </w:r>
    </w:p>
    <w:p>
      <w:pPr>
        <w:spacing w:line="460" w:lineRule="exact"/>
        <w:ind w:firstLine="472" w:firstLineChars="200"/>
        <w:rPr>
          <w:rFonts w:eastAsia="方正仿宋_GBK"/>
          <w:color w:val="000000"/>
          <w:spacing w:val="-2"/>
          <w:sz w:val="24"/>
        </w:rPr>
      </w:pPr>
      <w:r>
        <w:rPr>
          <w:rFonts w:eastAsia="方正仿宋_GBK"/>
          <w:bCs/>
          <w:color w:val="000000"/>
          <w:spacing w:val="-2"/>
          <w:kern w:val="0"/>
          <w:sz w:val="24"/>
        </w:rPr>
        <w:t>3</w:t>
      </w:r>
      <w:r>
        <w:rPr>
          <w:rFonts w:hint="eastAsia" w:eastAsia="方正仿宋_GBK"/>
          <w:bCs/>
          <w:color w:val="000000"/>
          <w:spacing w:val="-2"/>
          <w:kern w:val="0"/>
          <w:sz w:val="24"/>
        </w:rPr>
        <w:t>、通过</w:t>
      </w:r>
      <w:r>
        <w:rPr>
          <w:rFonts w:hint="eastAsia" w:eastAsia="方正仿宋_GBK"/>
          <w:color w:val="000000"/>
          <w:spacing w:val="-2"/>
          <w:sz w:val="24"/>
        </w:rPr>
        <w:t>省勘察设计行业管理信息系统发现的人员不足的单位；</w:t>
      </w:r>
    </w:p>
    <w:p>
      <w:pPr>
        <w:spacing w:line="460" w:lineRule="exact"/>
        <w:ind w:firstLine="472" w:firstLineChars="200"/>
        <w:rPr>
          <w:rFonts w:eastAsia="方正仿宋_GBK"/>
          <w:color w:val="000000"/>
          <w:spacing w:val="-2"/>
          <w:sz w:val="24"/>
        </w:rPr>
      </w:pPr>
      <w:r>
        <w:rPr>
          <w:rFonts w:eastAsia="方正仿宋_GBK"/>
          <w:color w:val="000000"/>
          <w:spacing w:val="-2"/>
          <w:sz w:val="24"/>
        </w:rPr>
        <w:t>4</w:t>
      </w:r>
      <w:r>
        <w:rPr>
          <w:rFonts w:hint="eastAsia" w:eastAsia="方正仿宋_GBK"/>
          <w:color w:val="000000"/>
          <w:spacing w:val="-2"/>
          <w:sz w:val="24"/>
        </w:rPr>
        <w:t>、上级主管部门通报处理的单位；</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eastAsia="方正仿宋_GBK"/>
          <w:color w:val="000000"/>
          <w:spacing w:val="-2"/>
          <w:sz w:val="24"/>
        </w:rPr>
        <w:t>5</w:t>
      </w:r>
      <w:r>
        <w:rPr>
          <w:rFonts w:hint="eastAsia" w:eastAsia="方正仿宋_GBK"/>
          <w:color w:val="000000"/>
          <w:spacing w:val="-2"/>
          <w:sz w:val="24"/>
        </w:rPr>
        <w:t>、业绩核查中有疑义的单位；</w:t>
      </w:r>
    </w:p>
    <w:p>
      <w:pPr>
        <w:spacing w:line="460" w:lineRule="exact"/>
        <w:ind w:firstLine="472" w:firstLineChars="200"/>
        <w:rPr>
          <w:rFonts w:eastAsia="方正仿宋_GBK"/>
          <w:color w:val="000000"/>
          <w:spacing w:val="-2"/>
          <w:sz w:val="24"/>
        </w:rPr>
      </w:pPr>
      <w:r>
        <w:rPr>
          <w:rFonts w:eastAsia="方正仿宋_GBK"/>
          <w:color w:val="000000"/>
          <w:spacing w:val="-2"/>
          <w:sz w:val="24"/>
        </w:rPr>
        <w:t>6</w:t>
      </w:r>
      <w:r>
        <w:rPr>
          <w:rFonts w:hint="eastAsia" w:eastAsia="方正仿宋_GBK"/>
          <w:color w:val="000000"/>
          <w:spacing w:val="-2"/>
          <w:sz w:val="24"/>
        </w:rPr>
        <w:t>、通过市场检查或动态核查发现的涉嫌违法违规或存在问题的单位；</w:t>
      </w:r>
    </w:p>
    <w:p>
      <w:pPr>
        <w:spacing w:line="460" w:lineRule="exact"/>
        <w:ind w:firstLine="472" w:firstLineChars="200"/>
        <w:rPr>
          <w:rFonts w:eastAsia="方正仿宋_GBK"/>
          <w:color w:val="000000"/>
          <w:spacing w:val="-2"/>
          <w:sz w:val="24"/>
        </w:rPr>
      </w:pPr>
      <w:r>
        <w:rPr>
          <w:rFonts w:eastAsia="方正仿宋_GBK"/>
          <w:color w:val="000000"/>
          <w:spacing w:val="-2"/>
          <w:sz w:val="24"/>
        </w:rPr>
        <w:t>7</w:t>
      </w:r>
      <w:r>
        <w:rPr>
          <w:rFonts w:hint="eastAsia" w:eastAsia="方正仿宋_GBK"/>
          <w:color w:val="000000"/>
          <w:spacing w:val="-2"/>
          <w:sz w:val="24"/>
        </w:rPr>
        <w:t>、群众举报的单位；</w:t>
      </w:r>
    </w:p>
    <w:p>
      <w:pPr>
        <w:spacing w:line="460" w:lineRule="exact"/>
        <w:ind w:firstLine="472" w:firstLineChars="200"/>
        <w:rPr>
          <w:rFonts w:eastAsia="方正仿宋_GBK"/>
          <w:color w:val="000000"/>
          <w:spacing w:val="-2"/>
          <w:sz w:val="24"/>
        </w:rPr>
      </w:pPr>
      <w:r>
        <w:rPr>
          <w:rFonts w:eastAsia="方正仿宋_GBK"/>
          <w:color w:val="000000"/>
          <w:spacing w:val="-2"/>
          <w:sz w:val="24"/>
        </w:rPr>
        <w:t>8</w:t>
      </w:r>
      <w:r>
        <w:rPr>
          <w:rFonts w:hint="eastAsia" w:eastAsia="方正仿宋_GBK"/>
          <w:color w:val="000000"/>
          <w:spacing w:val="-2"/>
          <w:sz w:val="24"/>
        </w:rPr>
        <w:t>、违反强条较多的单位；</w:t>
      </w:r>
    </w:p>
    <w:p>
      <w:pPr>
        <w:spacing w:line="460" w:lineRule="exact"/>
        <w:ind w:firstLine="472" w:firstLineChars="200"/>
        <w:rPr>
          <w:rFonts w:eastAsia="方正仿宋_GBK"/>
          <w:color w:val="000000"/>
          <w:spacing w:val="-2"/>
          <w:sz w:val="24"/>
        </w:rPr>
      </w:pPr>
      <w:r>
        <w:rPr>
          <w:rFonts w:eastAsia="方正仿宋_GBK"/>
          <w:color w:val="000000"/>
          <w:spacing w:val="-2"/>
          <w:sz w:val="24"/>
        </w:rPr>
        <w:t>9</w:t>
      </w:r>
      <w:r>
        <w:rPr>
          <w:rFonts w:hint="eastAsia" w:eastAsia="方正仿宋_GBK"/>
          <w:color w:val="000000"/>
          <w:spacing w:val="-2"/>
          <w:sz w:val="24"/>
        </w:rPr>
        <w:t>、未上报统计年报或季报的单位；</w:t>
      </w:r>
    </w:p>
    <w:p>
      <w:pPr>
        <w:spacing w:line="460" w:lineRule="exact"/>
        <w:ind w:firstLine="472" w:firstLineChars="200"/>
        <w:rPr>
          <w:rFonts w:eastAsia="方正仿宋_GBK"/>
          <w:color w:val="000000"/>
          <w:spacing w:val="-2"/>
          <w:sz w:val="24"/>
        </w:rPr>
      </w:pPr>
      <w:r>
        <w:rPr>
          <w:rFonts w:eastAsia="方正仿宋_GBK"/>
          <w:color w:val="000000"/>
          <w:spacing w:val="-2"/>
          <w:sz w:val="24"/>
        </w:rPr>
        <w:t>10</w:t>
      </w:r>
      <w:r>
        <w:rPr>
          <w:rFonts w:hint="eastAsia" w:eastAsia="方正仿宋_GBK"/>
          <w:color w:val="000000"/>
          <w:spacing w:val="-2"/>
          <w:sz w:val="24"/>
        </w:rPr>
        <w:t>、在我省设有非独立法人分支机构且分支机构管理较差的单位等。</w:t>
      </w:r>
    </w:p>
    <w:p>
      <w:pPr>
        <w:spacing w:line="460" w:lineRule="exact"/>
        <w:ind w:firstLine="462" w:firstLineChars="196"/>
        <w:rPr>
          <w:rFonts w:ascii="Times New Roman" w:eastAsia="方正黑体_GBK"/>
          <w:color w:val="000000"/>
          <w:spacing w:val="-2"/>
          <w:sz w:val="24"/>
        </w:rPr>
      </w:pPr>
      <w:r>
        <w:rPr>
          <w:rFonts w:hint="eastAsia" w:ascii="Times New Roman" w:eastAsia="方正黑体_GBK"/>
          <w:color w:val="000000"/>
          <w:spacing w:val="-2"/>
          <w:sz w:val="24"/>
        </w:rPr>
        <w:t>二、核查内容</w:t>
      </w:r>
    </w:p>
    <w:p>
      <w:pPr>
        <w:spacing w:line="460" w:lineRule="exact"/>
        <w:ind w:firstLine="472" w:firstLineChars="200"/>
        <w:rPr>
          <w:rFonts w:hint="eastAsia" w:eastAsia="方正仿宋_GBK"/>
          <w:b/>
          <w:color w:val="000000"/>
          <w:spacing w:val="-2"/>
          <w:sz w:val="24"/>
        </w:rPr>
      </w:pPr>
      <w:r>
        <w:rPr>
          <w:rFonts w:eastAsia="方正仿宋_GBK"/>
          <w:color w:val="000000"/>
          <w:spacing w:val="-2"/>
          <w:sz w:val="24"/>
        </w:rPr>
        <w:t>1</w:t>
      </w:r>
      <w:r>
        <w:rPr>
          <w:rFonts w:hint="eastAsia" w:eastAsia="方正仿宋_GBK"/>
          <w:color w:val="000000"/>
          <w:spacing w:val="-2"/>
          <w:sz w:val="24"/>
        </w:rPr>
        <w:t>、被核查单位的资质现状是否符合相应的资质标准；</w:t>
      </w:r>
    </w:p>
    <w:p>
      <w:pPr>
        <w:spacing w:line="460" w:lineRule="exact"/>
        <w:ind w:firstLine="462" w:firstLineChars="196"/>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、被核查单位和专业技术人员遵守国家有关法律、法规和规章的情况；</w:t>
      </w:r>
    </w:p>
    <w:p>
      <w:pPr>
        <w:spacing w:line="460" w:lineRule="exact"/>
        <w:ind w:firstLine="462" w:firstLineChars="196"/>
        <w:rPr>
          <w:rFonts w:eastAsia="方正仿宋_GBK"/>
          <w:color w:val="000000"/>
          <w:spacing w:val="-2"/>
          <w:sz w:val="24"/>
        </w:rPr>
      </w:pPr>
      <w:r>
        <w:rPr>
          <w:rFonts w:eastAsia="方正仿宋_GBK"/>
          <w:color w:val="000000"/>
          <w:spacing w:val="-2"/>
          <w:sz w:val="24"/>
        </w:rPr>
        <w:t>3</w:t>
      </w:r>
      <w:r>
        <w:rPr>
          <w:rFonts w:hint="eastAsia" w:eastAsia="方正仿宋_GBK"/>
          <w:color w:val="000000"/>
          <w:spacing w:val="-2"/>
          <w:sz w:val="24"/>
        </w:rPr>
        <w:t>、被核查单位的质量保证体系情况、执行国家和地方工程建设强制性标准的情况及勘察设计文件的规范性等。</w:t>
      </w:r>
    </w:p>
    <w:p>
      <w:pPr>
        <w:spacing w:line="460" w:lineRule="exact"/>
        <w:ind w:firstLine="462" w:firstLineChars="196"/>
        <w:rPr>
          <w:rFonts w:ascii="Times New Roman" w:eastAsia="方正黑体_GBK"/>
          <w:color w:val="000000"/>
          <w:spacing w:val="-2"/>
          <w:sz w:val="24"/>
        </w:rPr>
      </w:pPr>
      <w:r>
        <w:rPr>
          <w:rFonts w:hint="eastAsia" w:ascii="Times New Roman" w:eastAsia="方正黑体_GBK"/>
          <w:color w:val="000000"/>
          <w:spacing w:val="-2"/>
          <w:sz w:val="24"/>
        </w:rPr>
        <w:t>三、核查程序</w:t>
      </w:r>
    </w:p>
    <w:p>
      <w:pPr>
        <w:snapToGrid w:val="0"/>
        <w:spacing w:line="460" w:lineRule="exact"/>
        <w:ind w:firstLine="462" w:firstLineChars="196"/>
        <w:rPr>
          <w:rFonts w:hint="eastAsia"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、住房城乡建设行政主管部门对有关单位进行核查时，应当在核查前不少于</w:t>
      </w:r>
      <w:r>
        <w:rPr>
          <w:rFonts w:eastAsia="方正仿宋_GBK"/>
          <w:color w:val="000000"/>
          <w:spacing w:val="-2"/>
          <w:sz w:val="24"/>
        </w:rPr>
        <w:t>2</w:t>
      </w:r>
      <w:r>
        <w:rPr>
          <w:rFonts w:hint="eastAsia" w:eastAsia="方正仿宋_GBK"/>
          <w:color w:val="000000"/>
          <w:spacing w:val="-2"/>
          <w:sz w:val="24"/>
        </w:rPr>
        <w:t>个工作日向被核查单位以书面形式发出《江苏省工程勘察设计市场动态核查通知书》（详见附件</w:t>
      </w:r>
      <w:r>
        <w:rPr>
          <w:rFonts w:eastAsia="方正仿宋_GBK"/>
          <w:color w:val="000000"/>
          <w:spacing w:val="-2"/>
          <w:sz w:val="24"/>
        </w:rPr>
        <w:t>1</w:t>
      </w:r>
      <w:r>
        <w:rPr>
          <w:rFonts w:hint="eastAsia" w:eastAsia="方正仿宋_GBK"/>
          <w:color w:val="000000"/>
          <w:spacing w:val="-2"/>
          <w:sz w:val="24"/>
        </w:rPr>
        <w:t>）。</w:t>
      </w:r>
    </w:p>
    <w:p>
      <w:pPr>
        <w:snapToGrid w:val="0"/>
        <w:spacing w:line="460" w:lineRule="exact"/>
        <w:ind w:firstLine="472" w:firstLineChars="200"/>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、住房城乡建设行政主管部门应当指派</w:t>
      </w:r>
      <w:r>
        <w:rPr>
          <w:rFonts w:eastAsia="方正仿宋_GBK"/>
          <w:color w:val="000000"/>
          <w:spacing w:val="-2"/>
          <w:sz w:val="24"/>
        </w:rPr>
        <w:t>2</w:t>
      </w:r>
      <w:r>
        <w:rPr>
          <w:rFonts w:hint="eastAsia" w:eastAsia="方正仿宋_GBK"/>
          <w:color w:val="000000"/>
          <w:spacing w:val="-2"/>
          <w:sz w:val="24"/>
        </w:rPr>
        <w:t>名以上行政执法人员及专家在规定的核查工作日到达核查场所。核查人员与被核查单位有直接利害关系的，应当主动申请回避。</w:t>
      </w:r>
    </w:p>
    <w:p>
      <w:pPr>
        <w:snapToGrid w:val="0"/>
        <w:spacing w:line="460" w:lineRule="exact"/>
        <w:ind w:firstLine="472" w:firstLineChars="200"/>
        <w:rPr>
          <w:rFonts w:eastAsia="方正仿宋_GBK"/>
          <w:color w:val="000000"/>
          <w:spacing w:val="-2"/>
          <w:sz w:val="24"/>
        </w:rPr>
      </w:pPr>
      <w:r>
        <w:rPr>
          <w:rFonts w:hint="eastAsia" w:eastAsia="方正仿宋_GBK"/>
          <w:color w:val="000000"/>
          <w:spacing w:val="-2"/>
          <w:sz w:val="24"/>
        </w:rPr>
        <w:t>被核查单位的法定代表人（负责人）或其委托代理人、工程勘察、设计项目负责人以及有关专业技术人员应当在办公经营场所或规定的核查场所配合核查。属于委托代理人的，核查人员应先核实其身份，并留存授权委托书原件。</w:t>
      </w:r>
    </w:p>
    <w:p>
      <w:pPr>
        <w:spacing w:line="460" w:lineRule="exact"/>
        <w:ind w:firstLine="462" w:firstLineChars="196"/>
        <w:rPr>
          <w:rFonts w:eastAsia="方正仿宋_GBK"/>
          <w:color w:val="000000"/>
          <w:spacing w:val="-2"/>
          <w:sz w:val="24"/>
        </w:rPr>
      </w:pPr>
      <w:r>
        <w:rPr>
          <w:rFonts w:eastAsia="方正仿宋_GBK"/>
          <w:color w:val="000000"/>
          <w:spacing w:val="-2"/>
          <w:sz w:val="24"/>
        </w:rPr>
        <w:t>3</w:t>
      </w:r>
      <w:r>
        <w:rPr>
          <w:rFonts w:hint="eastAsia" w:eastAsia="方正仿宋_GBK"/>
          <w:color w:val="000000"/>
          <w:spacing w:val="-2"/>
          <w:sz w:val="24"/>
        </w:rPr>
        <w:t>、核查人员对被核查单位的资质状况、市场行为或质量状况等进行核查。</w:t>
      </w:r>
    </w:p>
    <w:p>
      <w:pPr>
        <w:spacing w:line="460" w:lineRule="exact"/>
        <w:ind w:firstLine="462" w:firstLineChars="196"/>
        <w:rPr>
          <w:rFonts w:eastAsia="方正仿宋_GBK"/>
          <w:color w:val="000000"/>
          <w:spacing w:val="-2"/>
          <w:sz w:val="24"/>
        </w:rPr>
      </w:pPr>
      <w:r>
        <w:rPr>
          <w:rFonts w:eastAsia="方正仿宋_GBK"/>
          <w:color w:val="000000"/>
          <w:spacing w:val="-2"/>
          <w:sz w:val="24"/>
        </w:rPr>
        <w:t>4</w:t>
      </w:r>
      <w:r>
        <w:rPr>
          <w:rFonts w:hint="eastAsia" w:eastAsia="方正仿宋_GBK"/>
          <w:color w:val="000000"/>
          <w:spacing w:val="-2"/>
          <w:sz w:val="24"/>
        </w:rPr>
        <w:t>、核查人员根据核查的情况填写《江苏省工程勘察设计市场动态核查结果意见表》（详见附件</w:t>
      </w:r>
      <w:r>
        <w:rPr>
          <w:rFonts w:eastAsia="方正仿宋_GBK"/>
          <w:color w:val="000000"/>
          <w:spacing w:val="-2"/>
          <w:sz w:val="24"/>
        </w:rPr>
        <w:t>2</w:t>
      </w:r>
      <w:r>
        <w:rPr>
          <w:rFonts w:hint="eastAsia" w:eastAsia="方正仿宋_GBK"/>
          <w:color w:val="000000"/>
          <w:spacing w:val="-2"/>
          <w:sz w:val="24"/>
        </w:rPr>
        <w:t>）。核查人员、被核查单位法定代表人或委托代理人在核查表上签字确认。</w:t>
      </w:r>
    </w:p>
    <w:p>
      <w:pPr>
        <w:spacing w:line="460" w:lineRule="exact"/>
        <w:ind w:firstLine="462" w:firstLineChars="196"/>
        <w:rPr>
          <w:rFonts w:eastAsia="方正仿宋_GBK"/>
          <w:color w:val="000000"/>
          <w:spacing w:val="-2"/>
          <w:sz w:val="24"/>
        </w:rPr>
      </w:pPr>
      <w:r>
        <w:rPr>
          <w:rFonts w:hint="eastAsia" w:eastAsia="方正仿宋_GBK"/>
          <w:color w:val="000000"/>
          <w:spacing w:val="-2"/>
          <w:sz w:val="24"/>
        </w:rPr>
        <w:t>除上述核查方式外，省住房和城乡建设厅也可根据日常监管的情况指定相关省辖市建设局（委）对其行政区域内的有关工程勘察设计单位进行核查，并将核查意见及有关材料及时向省住房和城乡建设厅上报，省住房和城乡建设厅对核查意见及上述材料进行审查（必要时现场核查），并依法做出处理决定。</w:t>
      </w:r>
    </w:p>
    <w:p>
      <w:pPr>
        <w:spacing w:line="460" w:lineRule="exact"/>
        <w:ind w:firstLine="462" w:firstLineChars="196"/>
        <w:rPr>
          <w:rFonts w:ascii="Times New Roman" w:eastAsia="方正黑体_GBK"/>
          <w:color w:val="000000"/>
          <w:spacing w:val="-2"/>
          <w:sz w:val="24"/>
        </w:rPr>
      </w:pPr>
      <w:r>
        <w:rPr>
          <w:rFonts w:hint="eastAsia" w:ascii="Times New Roman" w:eastAsia="方正黑体_GBK"/>
          <w:color w:val="000000"/>
          <w:spacing w:val="-2"/>
          <w:sz w:val="24"/>
        </w:rPr>
        <w:t>四、核查处理</w:t>
      </w:r>
    </w:p>
    <w:p>
      <w:pPr>
        <w:spacing w:line="460" w:lineRule="exact"/>
        <w:ind w:firstLine="462" w:firstLineChars="196"/>
        <w:rPr>
          <w:rFonts w:hint="eastAsia" w:eastAsia="方正仿宋_GBK"/>
          <w:color w:val="000000"/>
          <w:spacing w:val="-2"/>
          <w:sz w:val="24"/>
        </w:rPr>
      </w:pPr>
      <w:r>
        <w:rPr>
          <w:rFonts w:hint="eastAsia" w:eastAsia="方正仿宋_GBK"/>
          <w:color w:val="000000"/>
          <w:spacing w:val="-2"/>
          <w:sz w:val="24"/>
        </w:rPr>
        <w:t>工程勘察设计市场动态核查结果分为合格和不合格。有下列情形之一的，核查结果为不合格：</w:t>
      </w:r>
    </w:p>
    <w:p>
      <w:pPr>
        <w:pStyle w:val="7"/>
        <w:snapToGrid w:val="0"/>
        <w:spacing w:after="0" w:line="460" w:lineRule="exact"/>
        <w:ind w:left="0" w:leftChars="0" w:firstLine="462" w:firstLineChars="196"/>
        <w:rPr>
          <w:rFonts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、被核查单位的资质现状不符合资质标准要求的；</w:t>
      </w:r>
    </w:p>
    <w:p>
      <w:pPr>
        <w:pStyle w:val="7"/>
        <w:snapToGrid w:val="0"/>
        <w:spacing w:after="0" w:line="460" w:lineRule="exact"/>
        <w:ind w:left="0" w:leftChars="0" w:firstLine="462" w:firstLineChars="196"/>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、被核查单位及技术人员存在违法违规行为的；</w:t>
      </w:r>
    </w:p>
    <w:p>
      <w:pPr>
        <w:pStyle w:val="7"/>
        <w:snapToGrid w:val="0"/>
        <w:spacing w:after="0" w:line="460" w:lineRule="exact"/>
        <w:ind w:left="0" w:leftChars="0" w:firstLine="462" w:firstLineChars="196"/>
        <w:rPr>
          <w:rFonts w:eastAsia="方正仿宋_GBK"/>
          <w:color w:val="000000"/>
          <w:spacing w:val="-2"/>
          <w:sz w:val="24"/>
        </w:rPr>
      </w:pPr>
      <w:r>
        <w:rPr>
          <w:rFonts w:eastAsia="方正仿宋_GBK"/>
          <w:color w:val="000000"/>
          <w:spacing w:val="-2"/>
          <w:sz w:val="24"/>
        </w:rPr>
        <w:t>3</w:t>
      </w:r>
      <w:r>
        <w:rPr>
          <w:rFonts w:hint="eastAsia" w:eastAsia="方正仿宋_GBK"/>
          <w:color w:val="000000"/>
          <w:spacing w:val="-2"/>
          <w:sz w:val="24"/>
        </w:rPr>
        <w:t>、被核查单位内部质量管理不完善的；</w:t>
      </w:r>
    </w:p>
    <w:p>
      <w:pPr>
        <w:pStyle w:val="7"/>
        <w:snapToGrid w:val="0"/>
        <w:spacing w:after="0" w:line="460" w:lineRule="exact"/>
        <w:ind w:left="0" w:leftChars="0" w:firstLine="462" w:firstLineChars="196"/>
        <w:rPr>
          <w:rFonts w:eastAsia="方正仿宋_GBK"/>
          <w:color w:val="000000"/>
          <w:spacing w:val="-2"/>
          <w:sz w:val="24"/>
        </w:rPr>
      </w:pPr>
      <w:r>
        <w:rPr>
          <w:rFonts w:eastAsia="方正仿宋_GBK"/>
          <w:color w:val="000000"/>
          <w:spacing w:val="-2"/>
          <w:sz w:val="24"/>
        </w:rPr>
        <w:t>4</w:t>
      </w:r>
      <w:r>
        <w:rPr>
          <w:rFonts w:hint="eastAsia" w:eastAsia="方正仿宋_GBK"/>
          <w:color w:val="000000"/>
          <w:spacing w:val="-2"/>
          <w:sz w:val="24"/>
        </w:rPr>
        <w:t>、被核查单位未按照核查要求提供核查材料的；</w:t>
      </w:r>
    </w:p>
    <w:p>
      <w:pPr>
        <w:pStyle w:val="7"/>
        <w:snapToGrid w:val="0"/>
        <w:spacing w:after="0" w:line="460" w:lineRule="exact"/>
        <w:ind w:left="0" w:leftChars="0" w:firstLine="462" w:firstLineChars="196"/>
        <w:rPr>
          <w:rFonts w:eastAsia="方正仿宋_GBK"/>
          <w:color w:val="000000"/>
          <w:spacing w:val="-2"/>
          <w:sz w:val="24"/>
        </w:rPr>
      </w:pPr>
      <w:r>
        <w:rPr>
          <w:rFonts w:eastAsia="方正仿宋_GBK"/>
          <w:color w:val="000000"/>
          <w:spacing w:val="-2"/>
          <w:sz w:val="24"/>
        </w:rPr>
        <w:t>5</w:t>
      </w:r>
      <w:r>
        <w:rPr>
          <w:rFonts w:hint="eastAsia" w:eastAsia="方正仿宋_GBK"/>
          <w:color w:val="000000"/>
          <w:spacing w:val="-2"/>
          <w:sz w:val="24"/>
        </w:rPr>
        <w:t>、被核查单位拒绝接受核查的。</w:t>
      </w:r>
    </w:p>
    <w:p>
      <w:pPr>
        <w:pStyle w:val="7"/>
        <w:snapToGrid w:val="0"/>
        <w:spacing w:after="0" w:line="460" w:lineRule="exact"/>
        <w:ind w:left="0" w:leftChars="0" w:firstLine="462" w:firstLineChars="196"/>
        <w:rPr>
          <w:rFonts w:eastAsia="方正仿宋_GBK"/>
          <w:color w:val="000000"/>
          <w:spacing w:val="-2"/>
          <w:sz w:val="24"/>
        </w:rPr>
      </w:pPr>
      <w:r>
        <w:rPr>
          <w:rFonts w:hint="eastAsia" w:eastAsia="方正仿宋_GBK"/>
          <w:color w:val="000000"/>
          <w:spacing w:val="-2"/>
          <w:sz w:val="24"/>
        </w:rPr>
        <w:t>对于资质现状不符合资质标准的单位，限期三个月予以整改。整改期结束后仍不符合资质标准的，由资质审批部门撤回其相应资质；对于住房城乡建设部审批的资质，由省住房城乡建设厅上报住房城乡建设部处理。</w:t>
      </w:r>
    </w:p>
    <w:p>
      <w:pPr>
        <w:pStyle w:val="7"/>
        <w:snapToGrid w:val="0"/>
        <w:spacing w:after="0" w:line="460" w:lineRule="exact"/>
        <w:ind w:left="0" w:leftChars="0" w:firstLine="462" w:firstLineChars="196"/>
        <w:rPr>
          <w:rFonts w:eastAsia="方正仿宋_GBK"/>
          <w:color w:val="000000"/>
          <w:spacing w:val="-2"/>
          <w:sz w:val="24"/>
        </w:rPr>
      </w:pPr>
      <w:r>
        <w:rPr>
          <w:rFonts w:hint="eastAsia" w:eastAsia="方正仿宋_GBK"/>
          <w:color w:val="000000"/>
          <w:spacing w:val="-2"/>
          <w:sz w:val="24"/>
        </w:rPr>
        <w:t>对于存在违法违规行为的单位或技术人员，由企业工商注册所在地或违法违规行为发生地省辖市、县（市）住房城乡建设主管部门核查处理，并将处理结果上报省住房城乡建设厅。</w:t>
      </w:r>
    </w:p>
    <w:p>
      <w:pPr>
        <w:widowControl/>
        <w:spacing w:line="460" w:lineRule="exact"/>
        <w:ind w:left="-42" w:leftChars="-20" w:right="-42" w:rightChars="-20"/>
        <w:jc w:val="left"/>
        <w:rPr>
          <w:rFonts w:ascii="Times New Roman" w:hAnsi="Times New Roman" w:eastAsia="方正仿宋_GBK"/>
          <w:color w:val="000000"/>
          <w:spacing w:val="-2"/>
          <w:sz w:val="24"/>
        </w:rPr>
      </w:pPr>
      <w:r>
        <w:rPr>
          <w:rFonts w:hint="eastAsia" w:ascii="Times New Roman" w:hAnsi="Times New Roman" w:eastAsia="方正仿宋_GBK"/>
          <w:color w:val="000000"/>
          <w:spacing w:val="-2"/>
          <w:sz w:val="24"/>
        </w:rPr>
        <w:t>对于内部质量管理不完善的、未按照核查要求提供核查材料、拒绝接受核查的单位，限期一个月内予以整改。整改期结束后仍不符合要求的，向社会公布其存在问题，并列为重点监管对象，加大检查力度和频次。</w:t>
      </w:r>
    </w:p>
    <w:p>
      <w:pPr>
        <w:pStyle w:val="7"/>
        <w:snapToGrid w:val="0"/>
        <w:spacing w:after="0" w:line="460" w:lineRule="exact"/>
        <w:ind w:left="0" w:leftChars="0" w:firstLine="462" w:firstLineChars="196"/>
        <w:rPr>
          <w:rFonts w:ascii="Times New Roman" w:eastAsia="方正黑体_GBK"/>
          <w:color w:val="000000"/>
          <w:spacing w:val="-2"/>
          <w:sz w:val="24"/>
        </w:rPr>
      </w:pPr>
      <w:r>
        <w:rPr>
          <w:rFonts w:hint="eastAsia" w:ascii="Times New Roman" w:eastAsia="方正黑体_GBK"/>
          <w:color w:val="000000"/>
          <w:spacing w:val="-2"/>
          <w:sz w:val="24"/>
        </w:rPr>
        <w:t>五、核查要求</w:t>
      </w:r>
    </w:p>
    <w:p>
      <w:pPr>
        <w:pStyle w:val="7"/>
        <w:snapToGrid w:val="0"/>
        <w:spacing w:after="0" w:line="460" w:lineRule="exact"/>
        <w:ind w:left="0" w:leftChars="0" w:firstLine="462" w:firstLineChars="196"/>
        <w:rPr>
          <w:rFonts w:hint="eastAsia"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、各级住房城乡建设主管部门应当建立健全工程勘察设计市场动态监管机制，加强监督检查。各省辖市应对重点核查对象中的第</w:t>
      </w:r>
      <w:r>
        <w:rPr>
          <w:rFonts w:eastAsia="方正仿宋_GBK"/>
          <w:color w:val="000000"/>
          <w:spacing w:val="-2"/>
          <w:sz w:val="24"/>
        </w:rPr>
        <w:t>1</w:t>
      </w:r>
      <w:r>
        <w:rPr>
          <w:rFonts w:hint="eastAsia" w:eastAsia="方正仿宋_GBK"/>
          <w:color w:val="000000"/>
          <w:spacing w:val="-2"/>
          <w:sz w:val="24"/>
        </w:rPr>
        <w:t>、</w:t>
      </w:r>
      <w:r>
        <w:rPr>
          <w:rFonts w:eastAsia="方正仿宋_GBK"/>
          <w:color w:val="000000"/>
          <w:spacing w:val="-2"/>
          <w:sz w:val="24"/>
        </w:rPr>
        <w:t>2</w:t>
      </w:r>
      <w:r>
        <w:rPr>
          <w:rFonts w:hint="eastAsia" w:eastAsia="方正仿宋_GBK"/>
          <w:color w:val="000000"/>
          <w:spacing w:val="-2"/>
          <w:sz w:val="24"/>
        </w:rPr>
        <w:t>、</w:t>
      </w:r>
      <w:r>
        <w:rPr>
          <w:rFonts w:eastAsia="方正仿宋_GBK"/>
          <w:color w:val="000000"/>
          <w:spacing w:val="-2"/>
          <w:sz w:val="24"/>
        </w:rPr>
        <w:t>9</w:t>
      </w:r>
      <w:r>
        <w:rPr>
          <w:rFonts w:hint="eastAsia" w:eastAsia="方正仿宋_GBK"/>
          <w:color w:val="000000"/>
          <w:spacing w:val="-2"/>
          <w:sz w:val="24"/>
        </w:rPr>
        <w:t>、</w:t>
      </w:r>
      <w:r>
        <w:rPr>
          <w:rFonts w:eastAsia="方正仿宋_GBK"/>
          <w:color w:val="000000"/>
          <w:spacing w:val="-2"/>
          <w:sz w:val="24"/>
        </w:rPr>
        <w:t>10</w:t>
      </w:r>
      <w:r>
        <w:rPr>
          <w:rFonts w:hint="eastAsia" w:eastAsia="方正仿宋_GBK"/>
          <w:color w:val="000000"/>
          <w:spacing w:val="-2"/>
          <w:sz w:val="24"/>
        </w:rPr>
        <w:t>类单位每年核查不少于一次，对其他单位应在发现问题后及时核查。核查处理结果或建议应在核查后一个月内上报省住房和城乡建设厅。</w:t>
      </w:r>
    </w:p>
    <w:p>
      <w:pPr>
        <w:pStyle w:val="7"/>
        <w:snapToGrid w:val="0"/>
        <w:spacing w:after="0" w:line="460" w:lineRule="exact"/>
        <w:ind w:left="0" w:leftChars="0" w:firstLine="462" w:firstLineChars="196"/>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、核查人员应当严格按照法律、法规及规章的要求进行核查，对发现的问题依法处理，不得违反检查纪律。</w:t>
      </w:r>
    </w:p>
    <w:p>
      <w:pPr>
        <w:pStyle w:val="7"/>
        <w:snapToGrid w:val="0"/>
        <w:spacing w:after="0" w:line="460" w:lineRule="exact"/>
        <w:ind w:left="0" w:leftChars="0" w:firstLine="462" w:firstLineChars="196"/>
        <w:rPr>
          <w:rFonts w:eastAsia="方正仿宋_GBK"/>
          <w:color w:val="000000"/>
          <w:spacing w:val="-2"/>
          <w:sz w:val="24"/>
        </w:rPr>
      </w:pPr>
      <w:r>
        <w:rPr>
          <w:rFonts w:eastAsia="方正仿宋_GBK"/>
          <w:color w:val="000000"/>
          <w:spacing w:val="-2"/>
          <w:sz w:val="24"/>
        </w:rPr>
        <w:t>3</w:t>
      </w:r>
      <w:r>
        <w:rPr>
          <w:rFonts w:hint="eastAsia" w:eastAsia="方正仿宋_GBK"/>
          <w:color w:val="000000"/>
          <w:spacing w:val="-2"/>
          <w:sz w:val="24"/>
        </w:rPr>
        <w:t>、各相关工程勘察设计单位应当积极配合核查工作，对存在的问题及时整改，不断提高勘察设计水平。</w:t>
      </w:r>
    </w:p>
    <w:p>
      <w:pPr>
        <w:pStyle w:val="7"/>
        <w:snapToGrid w:val="0"/>
        <w:spacing w:after="0" w:line="460" w:lineRule="exact"/>
        <w:ind w:left="0" w:leftChars="0" w:firstLine="462" w:firstLineChars="196"/>
        <w:rPr>
          <w:rFonts w:eastAsia="方正仿宋_GBK"/>
          <w:color w:val="000000"/>
          <w:spacing w:val="-2"/>
          <w:sz w:val="24"/>
        </w:rPr>
      </w:pPr>
    </w:p>
    <w:p>
      <w:pPr>
        <w:pStyle w:val="7"/>
        <w:snapToGrid w:val="0"/>
        <w:spacing w:after="0" w:line="460" w:lineRule="exact"/>
        <w:ind w:left="0" w:leftChars="0" w:firstLine="462" w:firstLineChars="196"/>
        <w:rPr>
          <w:rFonts w:eastAsia="方正仿宋_GBK"/>
          <w:color w:val="000000"/>
          <w:spacing w:val="-2"/>
          <w:sz w:val="24"/>
        </w:rPr>
      </w:pPr>
      <w:r>
        <w:rPr>
          <w:rFonts w:hint="eastAsia" w:eastAsia="方正仿宋_GBK"/>
          <w:color w:val="000000"/>
          <w:spacing w:val="-2"/>
          <w:sz w:val="24"/>
        </w:rPr>
        <w:t>附件：</w:t>
      </w:r>
      <w:r>
        <w:rPr>
          <w:rFonts w:eastAsia="方正仿宋_GBK"/>
          <w:color w:val="000000"/>
          <w:spacing w:val="-2"/>
          <w:sz w:val="24"/>
        </w:rPr>
        <w:t>1.</w:t>
      </w:r>
      <w:r>
        <w:rPr>
          <w:rFonts w:hint="cs" w:eastAsia="方正仿宋_GBK"/>
          <w:color w:val="000000"/>
          <w:spacing w:val="-2"/>
          <w:sz w:val="24"/>
          <w:cs/>
        </w:rPr>
        <w:t> </w:t>
      </w:r>
      <w:r>
        <w:rPr>
          <w:rFonts w:hint="eastAsia" w:eastAsia="方正仿宋_GBK"/>
          <w:color w:val="000000"/>
          <w:spacing w:val="-2"/>
          <w:sz w:val="24"/>
        </w:rPr>
        <w:t>江苏省工程勘察设计市场动态核查通知书</w:t>
      </w:r>
    </w:p>
    <w:p>
      <w:pPr>
        <w:pStyle w:val="7"/>
        <w:snapToGrid w:val="0"/>
        <w:spacing w:after="0" w:line="460" w:lineRule="exact"/>
        <w:ind w:left="0" w:leftChars="0" w:firstLine="462" w:firstLineChars="196"/>
        <w:rPr>
          <w:rFonts w:eastAsia="方正仿宋_GBK"/>
          <w:color w:val="000000"/>
          <w:spacing w:val="-2"/>
          <w:sz w:val="24"/>
        </w:rPr>
      </w:pPr>
      <w:r>
        <w:rPr>
          <w:rFonts w:eastAsia="方正仿宋_GBK"/>
          <w:color w:val="000000"/>
          <w:spacing w:val="-2"/>
          <w:sz w:val="24"/>
        </w:rPr>
        <w:t xml:space="preserve">      2.</w:t>
      </w:r>
      <w:r>
        <w:rPr>
          <w:rFonts w:hint="cs" w:eastAsia="方正仿宋_GBK"/>
          <w:color w:val="000000"/>
          <w:spacing w:val="-2"/>
          <w:sz w:val="24"/>
          <w:cs/>
        </w:rPr>
        <w:t> </w:t>
      </w:r>
      <w:r>
        <w:rPr>
          <w:rFonts w:hint="eastAsia" w:eastAsia="方正仿宋_GBK"/>
          <w:color w:val="000000"/>
          <w:spacing w:val="-2"/>
          <w:sz w:val="24"/>
        </w:rPr>
        <w:t>江苏省工程勘察设计市场动态核查结果意见表</w:t>
      </w:r>
    </w:p>
    <w:p>
      <w:pPr>
        <w:spacing w:line="460" w:lineRule="exact"/>
        <w:ind w:firstLine="462" w:firstLineChars="196"/>
        <w:jc w:val="right"/>
        <w:rPr>
          <w:rFonts w:eastAsia="方正仿宋_GBK"/>
          <w:color w:val="000000"/>
          <w:spacing w:val="-2"/>
          <w:sz w:val="24"/>
        </w:rPr>
      </w:pPr>
    </w:p>
    <w:p>
      <w:pPr>
        <w:spacing w:line="460" w:lineRule="exact"/>
        <w:ind w:right="418" w:rightChars="199" w:firstLine="4078" w:firstLineChars="1728"/>
        <w:jc w:val="right"/>
        <w:rPr>
          <w:rFonts w:eastAsia="方正仿宋_GBK"/>
          <w:color w:val="000000"/>
          <w:spacing w:val="-2"/>
          <w:sz w:val="24"/>
        </w:rPr>
      </w:pPr>
      <w:r>
        <w:rPr>
          <w:rFonts w:hint="eastAsia" w:eastAsia="方正仿宋_GBK"/>
          <w:color w:val="000000"/>
          <w:spacing w:val="-2"/>
          <w:sz w:val="24"/>
        </w:rPr>
        <w:t>江苏省住房和城乡建设厅</w:t>
      </w:r>
      <w:r>
        <w:rPr>
          <w:rFonts w:eastAsia="方正仿宋_GBK"/>
          <w:color w:val="000000"/>
          <w:spacing w:val="-2"/>
          <w:sz w:val="24"/>
        </w:rPr>
        <w:t xml:space="preserve">    </w:t>
      </w:r>
    </w:p>
    <w:p>
      <w:pPr>
        <w:spacing w:line="460" w:lineRule="exact"/>
        <w:ind w:right="256" w:rightChars="122" w:firstLine="6022" w:firstLineChars="2552"/>
        <w:rPr>
          <w:rFonts w:eastAsia="方正仿宋_GBK"/>
          <w:b/>
          <w:color w:val="000000"/>
          <w:spacing w:val="-2"/>
          <w:sz w:val="24"/>
        </w:rPr>
      </w:pPr>
      <w:r>
        <w:rPr>
          <w:rFonts w:hint="cs" w:eastAsia="方正仿宋_GBK"/>
          <w:color w:val="000000"/>
          <w:spacing w:val="-2"/>
          <w:sz w:val="24"/>
          <w:cs/>
        </w:rPr>
        <w:t> </w:t>
      </w:r>
      <w:r>
        <w:rPr>
          <w:rFonts w:eastAsia="方正仿宋_GBK"/>
          <w:color w:val="000000"/>
          <w:spacing w:val="-2"/>
          <w:sz w:val="24"/>
        </w:rPr>
        <w:t>2014</w:t>
      </w:r>
      <w:r>
        <w:rPr>
          <w:rFonts w:hint="eastAsia" w:eastAsia="方正仿宋_GBK"/>
          <w:color w:val="000000"/>
          <w:spacing w:val="-2"/>
          <w:sz w:val="24"/>
        </w:rPr>
        <w:t>年</w:t>
      </w:r>
      <w:r>
        <w:rPr>
          <w:rFonts w:eastAsia="方正仿宋_GBK"/>
          <w:color w:val="000000"/>
          <w:spacing w:val="-2"/>
          <w:sz w:val="24"/>
        </w:rPr>
        <w:t>12</w:t>
      </w:r>
      <w:r>
        <w:rPr>
          <w:rFonts w:hint="eastAsia" w:eastAsia="方正仿宋_GBK"/>
          <w:color w:val="000000"/>
          <w:spacing w:val="-2"/>
          <w:sz w:val="24"/>
        </w:rPr>
        <w:t>月</w:t>
      </w:r>
      <w:r>
        <w:rPr>
          <w:rFonts w:eastAsia="方正仿宋_GBK"/>
          <w:color w:val="000000"/>
          <w:spacing w:val="-2"/>
          <w:sz w:val="24"/>
        </w:rPr>
        <w:t>17</w:t>
      </w:r>
      <w:r>
        <w:rPr>
          <w:rFonts w:hint="eastAsia" w:eastAsia="方正仿宋_GBK"/>
          <w:color w:val="000000"/>
          <w:spacing w:val="-2"/>
          <w:sz w:val="24"/>
        </w:rPr>
        <w:t>日</w:t>
      </w:r>
      <w:r>
        <w:rPr>
          <w:rFonts w:eastAsia="方正仿宋_GBK"/>
          <w:color w:val="000000"/>
          <w:spacing w:val="-2"/>
          <w:sz w:val="24"/>
        </w:rPr>
        <w:t xml:space="preserve">  </w:t>
      </w:r>
      <w:r>
        <w:rPr>
          <w:rFonts w:hint="cs" w:eastAsia="方正仿宋_GBK"/>
          <w:color w:val="000000"/>
          <w:spacing w:val="-2"/>
          <w:sz w:val="24"/>
          <w:cs/>
        </w:rPr>
        <w:t> </w:t>
      </w:r>
      <w:r>
        <w:rPr>
          <w:rFonts w:eastAsia="方正仿宋_GBK"/>
          <w:color w:val="000000"/>
          <w:spacing w:val="-2"/>
          <w:sz w:val="24"/>
        </w:rPr>
        <w:t xml:space="preserve">  </w:t>
      </w:r>
    </w:p>
    <w:p>
      <w:pPr>
        <w:spacing w:line="460" w:lineRule="exact"/>
        <w:rPr>
          <w:rFonts w:eastAsia="方正仿宋_GBK"/>
          <w:color w:val="000000"/>
          <w:spacing w:val="-2"/>
          <w:sz w:val="24"/>
        </w:rPr>
      </w:pPr>
    </w:p>
    <w:p>
      <w:pPr>
        <w:spacing w:line="460" w:lineRule="exact"/>
        <w:rPr>
          <w:rFonts w:ascii="Times New Roman" w:eastAsia="方正黑体_GBK"/>
          <w:color w:val="000000"/>
          <w:spacing w:val="-2"/>
          <w:sz w:val="28"/>
          <w:szCs w:val="28"/>
        </w:rPr>
      </w:pPr>
      <w:r>
        <w:rPr>
          <w:rFonts w:eastAsia="方正仿宋_GBK"/>
          <w:color w:val="000000"/>
          <w:spacing w:val="-2"/>
          <w:sz w:val="24"/>
        </w:rPr>
        <w:br w:type="column"/>
      </w:r>
      <w:r>
        <w:rPr>
          <w:rFonts w:hint="eastAsia" w:ascii="Times New Roman" w:eastAsia="方正黑体_GBK"/>
          <w:color w:val="000000"/>
          <w:spacing w:val="-2"/>
          <w:sz w:val="28"/>
          <w:szCs w:val="28"/>
        </w:rPr>
        <w:t>附件1：</w:t>
      </w:r>
    </w:p>
    <w:p>
      <w:pPr>
        <w:spacing w:line="460" w:lineRule="exact"/>
        <w:ind w:firstLine="7209" w:firstLineChars="3055"/>
        <w:rPr>
          <w:rFonts w:hint="eastAsia" w:eastAsia="方正仿宋_GBK"/>
          <w:color w:val="000000"/>
          <w:spacing w:val="-2"/>
          <w:sz w:val="24"/>
        </w:rPr>
      </w:pPr>
      <w:r>
        <w:rPr>
          <w:rFonts w:hint="eastAsia" w:eastAsia="方正仿宋_GBK"/>
          <w:color w:val="000000"/>
          <w:spacing w:val="-2"/>
          <w:sz w:val="24"/>
        </w:rPr>
        <w:t>编号：</w:t>
      </w:r>
    </w:p>
    <w:p>
      <w:pPr>
        <w:spacing w:line="460" w:lineRule="exact"/>
        <w:ind w:firstLine="5706" w:firstLineChars="2418"/>
        <w:rPr>
          <w:rFonts w:eastAsia="方正仿宋_GBK"/>
          <w:color w:val="000000"/>
          <w:spacing w:val="-2"/>
          <w:sz w:val="24"/>
        </w:rPr>
      </w:pPr>
    </w:p>
    <w:p>
      <w:pPr>
        <w:spacing w:line="460" w:lineRule="exact"/>
        <w:jc w:val="center"/>
        <w:rPr>
          <w:rFonts w:eastAsia="方正仿宋_GBK"/>
          <w:b/>
          <w:color w:val="000000"/>
          <w:spacing w:val="-2"/>
          <w:sz w:val="36"/>
          <w:szCs w:val="36"/>
        </w:rPr>
      </w:pPr>
      <w:r>
        <w:rPr>
          <w:rFonts w:hint="eastAsia" w:eastAsia="方正仿宋_GBK"/>
          <w:b/>
          <w:color w:val="000000"/>
          <w:spacing w:val="-2"/>
          <w:sz w:val="36"/>
          <w:szCs w:val="36"/>
        </w:rPr>
        <w:t>江苏省工程勘察设计市场动态核查通知书</w:t>
      </w:r>
    </w:p>
    <w:p>
      <w:pPr>
        <w:spacing w:line="460" w:lineRule="exact"/>
        <w:jc w:val="center"/>
        <w:rPr>
          <w:rFonts w:eastAsia="方正仿宋_GBK"/>
          <w:b/>
          <w:color w:val="000000"/>
          <w:spacing w:val="-2"/>
          <w:sz w:val="24"/>
        </w:rPr>
      </w:pPr>
    </w:p>
    <w:p>
      <w:pPr>
        <w:spacing w:line="460" w:lineRule="exact"/>
        <w:rPr>
          <w:rFonts w:eastAsia="方正仿宋_GBK"/>
          <w:color w:val="000000"/>
          <w:spacing w:val="-2"/>
          <w:sz w:val="24"/>
        </w:rPr>
      </w:pPr>
      <w:r>
        <w:rPr>
          <w:rFonts w:eastAsia="方正仿宋_GBK"/>
          <w:color w:val="000000"/>
          <w:spacing w:val="-2"/>
          <w:sz w:val="24"/>
          <w:u w:val="single"/>
        </w:rPr>
        <w:t xml:space="preserve">                              </w:t>
      </w:r>
      <w:r>
        <w:rPr>
          <w:rFonts w:hint="eastAsia" w:eastAsia="方正仿宋_GBK"/>
          <w:color w:val="000000"/>
          <w:spacing w:val="-2"/>
          <w:sz w:val="24"/>
        </w:rPr>
        <w:t>：</w:t>
      </w:r>
    </w:p>
    <w:p>
      <w:pPr>
        <w:spacing w:line="460" w:lineRule="exact"/>
        <w:ind w:firstLine="472" w:firstLineChars="200"/>
        <w:rPr>
          <w:rFonts w:eastAsia="方正仿宋_GBK"/>
          <w:color w:val="000000"/>
          <w:spacing w:val="-2"/>
          <w:sz w:val="24"/>
          <w:u w:val="single"/>
        </w:rPr>
      </w:pPr>
      <w:r>
        <w:rPr>
          <w:rFonts w:hint="eastAsia" w:eastAsia="方正仿宋_GBK"/>
          <w:color w:val="000000"/>
          <w:spacing w:val="-2"/>
          <w:sz w:val="24"/>
        </w:rPr>
        <w:t>根据《中华人民共和国建筑法》、《建设工程勘察设计管理条例》（国务院令第</w:t>
      </w:r>
      <w:r>
        <w:rPr>
          <w:rFonts w:eastAsia="方正仿宋_GBK"/>
          <w:color w:val="000000"/>
          <w:spacing w:val="-2"/>
          <w:sz w:val="24"/>
        </w:rPr>
        <w:t>293</w:t>
      </w:r>
      <w:r>
        <w:rPr>
          <w:rFonts w:hint="eastAsia" w:eastAsia="方正仿宋_GBK"/>
          <w:color w:val="000000"/>
          <w:spacing w:val="-2"/>
          <w:sz w:val="24"/>
        </w:rPr>
        <w:t>号）、《建设工程质量管理条例》（国务院令第</w:t>
      </w:r>
      <w:r>
        <w:rPr>
          <w:rFonts w:eastAsia="方正仿宋_GBK"/>
          <w:color w:val="000000"/>
          <w:spacing w:val="-2"/>
          <w:sz w:val="24"/>
        </w:rPr>
        <w:t>279</w:t>
      </w:r>
      <w:r>
        <w:rPr>
          <w:rFonts w:hint="eastAsia" w:eastAsia="方正仿宋_GBK"/>
          <w:color w:val="000000"/>
          <w:spacing w:val="-2"/>
          <w:sz w:val="24"/>
        </w:rPr>
        <w:t>号）、《建设工程勘察设计资质管理规定》（建设部令第</w:t>
      </w:r>
      <w:r>
        <w:rPr>
          <w:rFonts w:eastAsia="方正仿宋_GBK"/>
          <w:color w:val="000000"/>
          <w:spacing w:val="-2"/>
          <w:sz w:val="24"/>
        </w:rPr>
        <w:t>160</w:t>
      </w:r>
      <w:r>
        <w:rPr>
          <w:rFonts w:hint="eastAsia" w:eastAsia="方正仿宋_GBK"/>
          <w:color w:val="000000"/>
          <w:spacing w:val="-2"/>
          <w:sz w:val="24"/>
        </w:rPr>
        <w:t>号）、《建设工程勘察质量管理办法》（建设部令第</w:t>
      </w:r>
      <w:r>
        <w:rPr>
          <w:rFonts w:eastAsia="方正仿宋_GBK"/>
          <w:color w:val="000000"/>
          <w:spacing w:val="-2"/>
          <w:sz w:val="24"/>
        </w:rPr>
        <w:t>163</w:t>
      </w:r>
      <w:r>
        <w:rPr>
          <w:rFonts w:hint="eastAsia" w:eastAsia="方正仿宋_GBK"/>
          <w:color w:val="000000"/>
          <w:spacing w:val="-2"/>
          <w:sz w:val="24"/>
        </w:rPr>
        <w:t>号）等的有关规定，我单位将派核查人员对你单位进行资质条件</w:t>
      </w:r>
      <w:r>
        <w:rPr>
          <w:rFonts w:eastAsia="方正仿宋_GBK"/>
          <w:color w:val="000000"/>
          <w:spacing w:val="-2"/>
          <w:sz w:val="24"/>
        </w:rPr>
        <w:t>/</w:t>
      </w:r>
      <w:r>
        <w:rPr>
          <w:rFonts w:hint="eastAsia" w:eastAsia="方正仿宋_GBK"/>
          <w:color w:val="000000"/>
          <w:spacing w:val="-2"/>
          <w:sz w:val="24"/>
        </w:rPr>
        <w:t>市场行为</w:t>
      </w:r>
      <w:r>
        <w:rPr>
          <w:rFonts w:eastAsia="方正仿宋_GBK"/>
          <w:color w:val="000000"/>
          <w:spacing w:val="-2"/>
          <w:sz w:val="24"/>
        </w:rPr>
        <w:t>/</w:t>
      </w:r>
      <w:r>
        <w:rPr>
          <w:rFonts w:hint="eastAsia" w:eastAsia="方正仿宋_GBK"/>
          <w:color w:val="000000"/>
          <w:spacing w:val="-2"/>
          <w:sz w:val="24"/>
        </w:rPr>
        <w:t>质量状况动态核查，请予配合。为保证此次现场核查工作的顺利进行，请你单位的</w:t>
      </w:r>
      <w:r>
        <w:rPr>
          <w:rFonts w:eastAsia="方正仿宋_GBK"/>
          <w:color w:val="000000"/>
          <w:spacing w:val="-2"/>
          <w:sz w:val="24"/>
          <w:u w:val="single"/>
        </w:rPr>
        <w:t xml:space="preserve">                                                        </w:t>
      </w:r>
    </w:p>
    <w:p>
      <w:pPr>
        <w:spacing w:line="460" w:lineRule="exact"/>
        <w:rPr>
          <w:rFonts w:eastAsia="方正仿宋_GBK"/>
          <w:color w:val="000000"/>
          <w:spacing w:val="-2"/>
          <w:sz w:val="24"/>
        </w:rPr>
      </w:pPr>
      <w:r>
        <w:rPr>
          <w:rFonts w:eastAsia="方正仿宋_GBK"/>
          <w:color w:val="000000"/>
          <w:spacing w:val="-2"/>
          <w:sz w:val="24"/>
          <w:u w:val="single"/>
        </w:rPr>
        <w:t xml:space="preserve">                                                                                                                                                  </w:t>
      </w:r>
    </w:p>
    <w:p>
      <w:pPr>
        <w:spacing w:line="460" w:lineRule="exact"/>
        <w:rPr>
          <w:rFonts w:eastAsia="方正仿宋_GBK"/>
          <w:color w:val="000000"/>
          <w:spacing w:val="-2"/>
          <w:sz w:val="24"/>
        </w:rPr>
      </w:pPr>
      <w:r>
        <w:rPr>
          <w:rFonts w:hint="eastAsia" w:eastAsia="方正仿宋_GBK"/>
          <w:color w:val="000000"/>
          <w:spacing w:val="-2"/>
          <w:sz w:val="24"/>
        </w:rPr>
        <w:t>于</w:t>
      </w:r>
      <w:r>
        <w:rPr>
          <w:rFonts w:eastAsia="方正仿宋_GBK"/>
          <w:color w:val="000000"/>
          <w:spacing w:val="-2"/>
          <w:sz w:val="24"/>
        </w:rPr>
        <w:t xml:space="preserve">   </w:t>
      </w:r>
      <w:r>
        <w:rPr>
          <w:rFonts w:hint="eastAsia" w:eastAsia="方正仿宋_GBK"/>
          <w:color w:val="000000"/>
          <w:spacing w:val="-2"/>
          <w:sz w:val="24"/>
        </w:rPr>
        <w:t>年</w:t>
      </w:r>
      <w:r>
        <w:rPr>
          <w:rFonts w:eastAsia="方正仿宋_GBK"/>
          <w:color w:val="000000"/>
          <w:spacing w:val="-2"/>
          <w:sz w:val="24"/>
        </w:rPr>
        <w:t xml:space="preserve">  </w:t>
      </w:r>
      <w:r>
        <w:rPr>
          <w:rFonts w:hint="eastAsia" w:eastAsia="方正仿宋_GBK"/>
          <w:color w:val="000000"/>
          <w:spacing w:val="-2"/>
          <w:sz w:val="24"/>
        </w:rPr>
        <w:t>月</w:t>
      </w:r>
      <w:r>
        <w:rPr>
          <w:rFonts w:eastAsia="方正仿宋_GBK"/>
          <w:color w:val="000000"/>
          <w:spacing w:val="-2"/>
          <w:sz w:val="24"/>
        </w:rPr>
        <w:t xml:space="preserve">  </w:t>
      </w:r>
      <w:r>
        <w:rPr>
          <w:rFonts w:hint="eastAsia" w:eastAsia="方正仿宋_GBK"/>
          <w:color w:val="000000"/>
          <w:spacing w:val="-2"/>
          <w:sz w:val="24"/>
        </w:rPr>
        <w:t>日</w:t>
      </w:r>
      <w:r>
        <w:rPr>
          <w:rFonts w:eastAsia="方正仿宋_GBK"/>
          <w:color w:val="000000"/>
          <w:spacing w:val="-2"/>
          <w:sz w:val="24"/>
        </w:rPr>
        <w:t xml:space="preserve">  </w:t>
      </w:r>
      <w:r>
        <w:rPr>
          <w:rFonts w:hint="eastAsia" w:eastAsia="方正仿宋_GBK"/>
          <w:color w:val="000000"/>
          <w:spacing w:val="-2"/>
          <w:sz w:val="24"/>
        </w:rPr>
        <w:t>时到</w:t>
      </w:r>
      <w:r>
        <w:rPr>
          <w:rFonts w:eastAsia="方正仿宋_GBK"/>
          <w:color w:val="000000"/>
          <w:spacing w:val="-2"/>
          <w:sz w:val="24"/>
          <w:u w:val="single"/>
        </w:rPr>
        <w:t xml:space="preserve">                                </w:t>
      </w:r>
      <w:r>
        <w:rPr>
          <w:rFonts w:hint="eastAsia" w:eastAsia="方正仿宋_GBK"/>
          <w:color w:val="000000"/>
          <w:spacing w:val="-2"/>
          <w:sz w:val="24"/>
        </w:rPr>
        <w:t>配合核查，并按照附表的要求提供有关资料。</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特此通知。</w:t>
      </w:r>
    </w:p>
    <w:p>
      <w:pPr>
        <w:spacing w:line="460" w:lineRule="exact"/>
        <w:ind w:firstLine="578" w:firstLineChars="245"/>
        <w:jc w:val="right"/>
        <w:rPr>
          <w:rFonts w:eastAsia="方正仿宋_GBK"/>
          <w:color w:val="000000"/>
          <w:spacing w:val="-2"/>
          <w:sz w:val="24"/>
        </w:rPr>
      </w:pPr>
    </w:p>
    <w:p>
      <w:pPr>
        <w:spacing w:line="460" w:lineRule="exact"/>
        <w:ind w:firstLine="578" w:firstLineChars="245"/>
        <w:jc w:val="center"/>
        <w:rPr>
          <w:rFonts w:eastAsia="方正仿宋_GBK"/>
          <w:b/>
          <w:color w:val="000000"/>
          <w:spacing w:val="-2"/>
          <w:sz w:val="24"/>
        </w:rPr>
      </w:pPr>
      <w:r>
        <w:rPr>
          <w:rFonts w:eastAsia="方正仿宋_GBK"/>
          <w:color w:val="000000"/>
          <w:spacing w:val="-2"/>
          <w:sz w:val="24"/>
        </w:rPr>
        <w:t xml:space="preserve">                                     </w:t>
      </w:r>
      <w:r>
        <w:rPr>
          <w:rFonts w:hint="eastAsia" w:eastAsia="方正仿宋_GBK"/>
          <w:color w:val="000000"/>
          <w:spacing w:val="-2"/>
          <w:sz w:val="24"/>
        </w:rPr>
        <w:t>（印章）</w:t>
      </w:r>
    </w:p>
    <w:p>
      <w:pPr>
        <w:spacing w:line="460" w:lineRule="exact"/>
        <w:ind w:firstLine="7065" w:firstLineChars="2994"/>
        <w:rPr>
          <w:rFonts w:eastAsia="方正仿宋_GBK"/>
          <w:color w:val="000000"/>
          <w:spacing w:val="-2"/>
          <w:sz w:val="24"/>
        </w:rPr>
      </w:pPr>
      <w:r>
        <w:rPr>
          <w:rFonts w:hint="eastAsia" w:eastAsia="方正仿宋_GBK"/>
          <w:color w:val="000000"/>
          <w:spacing w:val="-2"/>
          <w:sz w:val="24"/>
        </w:rPr>
        <w:t>年</w:t>
      </w:r>
      <w:r>
        <w:rPr>
          <w:rFonts w:eastAsia="方正仿宋_GBK"/>
          <w:color w:val="000000"/>
          <w:spacing w:val="-2"/>
          <w:sz w:val="24"/>
        </w:rPr>
        <w:t xml:space="preserve">  </w:t>
      </w:r>
      <w:r>
        <w:rPr>
          <w:rFonts w:hint="eastAsia" w:eastAsia="方正仿宋_GBK"/>
          <w:color w:val="000000"/>
          <w:spacing w:val="-2"/>
          <w:sz w:val="24"/>
        </w:rPr>
        <w:t>月</w:t>
      </w:r>
      <w:r>
        <w:rPr>
          <w:rFonts w:eastAsia="方正仿宋_GBK"/>
          <w:color w:val="000000"/>
          <w:spacing w:val="-2"/>
          <w:sz w:val="24"/>
        </w:rPr>
        <w:t xml:space="preserve">  </w:t>
      </w:r>
      <w:r>
        <w:rPr>
          <w:rFonts w:hint="eastAsia" w:eastAsia="方正仿宋_GBK"/>
          <w:color w:val="000000"/>
          <w:spacing w:val="-2"/>
          <w:sz w:val="24"/>
        </w:rPr>
        <w:t>日</w:t>
      </w:r>
    </w:p>
    <w:p>
      <w:pPr>
        <w:spacing w:line="460" w:lineRule="exact"/>
        <w:rPr>
          <w:rFonts w:eastAsia="仿宋_GB2312"/>
          <w:color w:val="000000"/>
          <w:spacing w:val="-2"/>
          <w:sz w:val="32"/>
          <w:szCs w:val="32"/>
        </w:rPr>
      </w:pPr>
    </w:p>
    <w:p>
      <w:pPr>
        <w:spacing w:line="460" w:lineRule="exact"/>
        <w:rPr>
          <w:rFonts w:eastAsia="仿宋_GB2312"/>
          <w:color w:val="000000"/>
          <w:spacing w:val="-2"/>
          <w:sz w:val="32"/>
          <w:szCs w:val="32"/>
        </w:rPr>
      </w:pPr>
    </w:p>
    <w:p>
      <w:pPr>
        <w:spacing w:line="460" w:lineRule="exact"/>
        <w:rPr>
          <w:rFonts w:ascii="Times New Roman" w:eastAsia="方正黑体_GBK"/>
          <w:color w:val="000000"/>
          <w:spacing w:val="-2"/>
          <w:sz w:val="28"/>
          <w:szCs w:val="28"/>
        </w:rPr>
      </w:pPr>
      <w:r>
        <w:rPr>
          <w:rFonts w:eastAsia="仿宋_GB2312"/>
          <w:color w:val="000000"/>
          <w:spacing w:val="-2"/>
          <w:sz w:val="32"/>
          <w:szCs w:val="32"/>
        </w:rPr>
        <w:br w:type="column"/>
      </w:r>
      <w:r>
        <w:rPr>
          <w:rFonts w:hint="eastAsia" w:ascii="Times New Roman" w:eastAsia="方正黑体_GBK"/>
          <w:color w:val="000000"/>
          <w:spacing w:val="-2"/>
          <w:sz w:val="28"/>
          <w:szCs w:val="28"/>
        </w:rPr>
        <w:t>附表：</w:t>
      </w:r>
    </w:p>
    <w:p>
      <w:pPr>
        <w:jc w:val="center"/>
        <w:rPr>
          <w:rFonts w:hint="eastAsia" w:ascii="Times New Roman" w:eastAsia="方正黑体_GBK"/>
          <w:color w:val="000000"/>
          <w:spacing w:val="-2"/>
          <w:sz w:val="28"/>
          <w:szCs w:val="28"/>
        </w:rPr>
      </w:pPr>
      <w:r>
        <w:rPr>
          <w:rFonts w:hint="eastAsia" w:ascii="Times New Roman" w:eastAsia="方正黑体_GBK"/>
          <w:color w:val="000000"/>
          <w:spacing w:val="-2"/>
          <w:sz w:val="28"/>
          <w:szCs w:val="28"/>
        </w:rPr>
        <w:t>工程勘察设计市场动态核查所需资料清单</w:t>
      </w:r>
    </w:p>
    <w:tbl>
      <w:tblPr>
        <w:tblStyle w:val="12"/>
        <w:tblW w:w="0" w:type="auto"/>
        <w:tblInd w:w="12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0"/>
        <w:gridCol w:w="3700"/>
        <w:gridCol w:w="2160"/>
        <w:gridCol w:w="19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00" w:type="dxa"/>
            <w:tcBorders>
              <w:top w:val="single" w:color="auto" w:sz="8" w:space="0"/>
              <w:left w:val="single" w:color="auto" w:sz="8" w:space="0"/>
              <w:bottom w:val="single" w:color="auto" w:sz="4" w:space="0"/>
              <w:right w:val="single" w:color="auto" w:sz="4" w:space="0"/>
            </w:tcBorders>
            <w:noWrap w:val="0"/>
            <w:vAlign w:val="center"/>
          </w:tcPr>
          <w:p>
            <w:pPr>
              <w:spacing w:line="260" w:lineRule="exact"/>
              <w:jc w:val="center"/>
              <w:rPr>
                <w:rFonts w:eastAsia="方正黑体_GBK"/>
                <w:color w:val="000000"/>
                <w:spacing w:val="-2"/>
                <w:szCs w:val="21"/>
              </w:rPr>
            </w:pPr>
            <w:r>
              <w:rPr>
                <w:rFonts w:hint="eastAsia" w:eastAsia="方正黑体_GBK"/>
                <w:color w:val="000000"/>
                <w:spacing w:val="-2"/>
                <w:szCs w:val="21"/>
              </w:rPr>
              <w:t>序号</w:t>
            </w:r>
          </w:p>
        </w:tc>
        <w:tc>
          <w:tcPr>
            <w:tcW w:w="3700" w:type="dxa"/>
            <w:tcBorders>
              <w:top w:val="single" w:color="auto" w:sz="8" w:space="0"/>
              <w:left w:val="single" w:color="auto" w:sz="4" w:space="0"/>
              <w:bottom w:val="single" w:color="auto" w:sz="4" w:space="0"/>
              <w:right w:val="single" w:color="auto" w:sz="4" w:space="0"/>
            </w:tcBorders>
            <w:noWrap w:val="0"/>
            <w:vAlign w:val="center"/>
          </w:tcPr>
          <w:p>
            <w:pPr>
              <w:spacing w:line="260" w:lineRule="exact"/>
              <w:jc w:val="center"/>
              <w:rPr>
                <w:rFonts w:eastAsia="方正黑体_GBK"/>
                <w:color w:val="000000"/>
                <w:spacing w:val="-2"/>
                <w:szCs w:val="21"/>
              </w:rPr>
            </w:pPr>
            <w:r>
              <w:rPr>
                <w:rFonts w:hint="eastAsia" w:eastAsia="方正黑体_GBK"/>
                <w:color w:val="000000"/>
                <w:spacing w:val="-2"/>
                <w:szCs w:val="21"/>
              </w:rPr>
              <w:t>材料清单</w:t>
            </w:r>
          </w:p>
        </w:tc>
        <w:tc>
          <w:tcPr>
            <w:tcW w:w="2160" w:type="dxa"/>
            <w:tcBorders>
              <w:top w:val="single" w:color="auto" w:sz="8" w:space="0"/>
              <w:left w:val="single" w:color="auto" w:sz="4" w:space="0"/>
              <w:bottom w:val="single" w:color="auto" w:sz="4" w:space="0"/>
              <w:right w:val="single" w:color="auto" w:sz="4" w:space="0"/>
            </w:tcBorders>
            <w:noWrap w:val="0"/>
            <w:vAlign w:val="center"/>
          </w:tcPr>
          <w:p>
            <w:pPr>
              <w:spacing w:line="260" w:lineRule="exact"/>
              <w:jc w:val="center"/>
              <w:rPr>
                <w:rFonts w:eastAsia="方正黑体_GBK"/>
                <w:color w:val="000000"/>
                <w:spacing w:val="-2"/>
                <w:szCs w:val="21"/>
              </w:rPr>
            </w:pPr>
            <w:r>
              <w:rPr>
                <w:rFonts w:hint="eastAsia" w:eastAsia="方正黑体_GBK"/>
                <w:color w:val="000000"/>
                <w:spacing w:val="-2"/>
                <w:szCs w:val="21"/>
              </w:rPr>
              <w:t>核查所需的材料（如需要，则打</w:t>
            </w:r>
            <w:r>
              <w:rPr>
                <w:rFonts w:eastAsia="方正黑体_GBK"/>
                <w:color w:val="000000"/>
                <w:spacing w:val="-2"/>
                <w:szCs w:val="21"/>
              </w:rPr>
              <w:t>“√”</w:t>
            </w:r>
            <w:r>
              <w:rPr>
                <w:rFonts w:hint="eastAsia" w:eastAsia="方正黑体_GBK"/>
                <w:color w:val="000000"/>
                <w:spacing w:val="-2"/>
                <w:szCs w:val="21"/>
              </w:rPr>
              <w:t>；如不需要，则空）</w:t>
            </w:r>
          </w:p>
        </w:tc>
        <w:tc>
          <w:tcPr>
            <w:tcW w:w="1980" w:type="dxa"/>
            <w:tcBorders>
              <w:top w:val="single" w:color="auto" w:sz="8" w:space="0"/>
              <w:left w:val="single" w:color="auto" w:sz="4" w:space="0"/>
              <w:bottom w:val="single" w:color="auto" w:sz="4" w:space="0"/>
              <w:right w:val="single" w:color="auto" w:sz="8" w:space="0"/>
            </w:tcBorders>
            <w:noWrap w:val="0"/>
            <w:vAlign w:val="center"/>
          </w:tcPr>
          <w:p>
            <w:pPr>
              <w:spacing w:line="260" w:lineRule="exact"/>
              <w:jc w:val="center"/>
              <w:rPr>
                <w:rFonts w:eastAsia="方正黑体_GBK"/>
                <w:color w:val="000000"/>
                <w:spacing w:val="-2"/>
                <w:szCs w:val="21"/>
              </w:rPr>
            </w:pPr>
            <w:r>
              <w:rPr>
                <w:rFonts w:hint="eastAsia" w:eastAsia="方正黑体_GBK"/>
                <w:color w:val="000000"/>
                <w:spacing w:val="-2"/>
                <w:szCs w:val="21"/>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00" w:type="dxa"/>
            <w:tcBorders>
              <w:top w:val="single" w:color="auto" w:sz="4" w:space="0"/>
              <w:left w:val="single" w:color="auto" w:sz="8" w:space="0"/>
              <w:bottom w:val="single" w:color="auto" w:sz="4" w:space="0"/>
              <w:right w:val="single" w:color="auto" w:sz="4" w:space="0"/>
            </w:tcBorders>
            <w:noWrap w:val="0"/>
            <w:vAlign w:val="center"/>
          </w:tcPr>
          <w:p>
            <w:pPr>
              <w:spacing w:line="260" w:lineRule="exact"/>
              <w:jc w:val="center"/>
              <w:rPr>
                <w:rFonts w:eastAsia="方正仿宋_GBK"/>
                <w:color w:val="000000"/>
                <w:spacing w:val="-2"/>
                <w:szCs w:val="21"/>
              </w:rPr>
            </w:pPr>
            <w:r>
              <w:rPr>
                <w:rFonts w:eastAsia="方正仿宋_GBK"/>
                <w:color w:val="000000"/>
                <w:spacing w:val="-2"/>
                <w:szCs w:val="21"/>
              </w:rPr>
              <w:t>1</w:t>
            </w:r>
          </w:p>
        </w:tc>
        <w:tc>
          <w:tcPr>
            <w:tcW w:w="3700"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rFonts w:eastAsia="方正仿宋_GBK"/>
                <w:color w:val="000000"/>
                <w:spacing w:val="-2"/>
                <w:szCs w:val="21"/>
              </w:rPr>
            </w:pPr>
            <w:r>
              <w:rPr>
                <w:rFonts w:hint="eastAsia" w:eastAsia="方正仿宋_GBK"/>
                <w:color w:val="000000"/>
                <w:spacing w:val="-2"/>
                <w:szCs w:val="21"/>
              </w:rPr>
              <w:t>江苏省工程勘察设计市场检查申报表</w:t>
            </w:r>
          </w:p>
        </w:tc>
        <w:tc>
          <w:tcPr>
            <w:tcW w:w="2160" w:type="dxa"/>
            <w:tcBorders>
              <w:top w:val="single" w:color="auto" w:sz="4" w:space="0"/>
              <w:left w:val="single" w:color="auto" w:sz="4" w:space="0"/>
              <w:bottom w:val="single" w:color="auto" w:sz="4" w:space="0"/>
              <w:right w:val="single" w:color="auto" w:sz="4" w:space="0"/>
            </w:tcBorders>
            <w:noWrap w:val="0"/>
            <w:vAlign w:val="top"/>
          </w:tcPr>
          <w:p>
            <w:pPr>
              <w:spacing w:line="260" w:lineRule="exact"/>
              <w:rPr>
                <w:rFonts w:eastAsia="方正仿宋_GBK"/>
                <w:color w:val="000000"/>
                <w:spacing w:val="-2"/>
                <w:szCs w:val="21"/>
              </w:rPr>
            </w:pPr>
          </w:p>
        </w:tc>
        <w:tc>
          <w:tcPr>
            <w:tcW w:w="1980" w:type="dxa"/>
            <w:tcBorders>
              <w:top w:val="single" w:color="auto" w:sz="4" w:space="0"/>
              <w:left w:val="single" w:color="auto" w:sz="4" w:space="0"/>
              <w:bottom w:val="single" w:color="auto" w:sz="4" w:space="0"/>
              <w:right w:val="single" w:color="auto" w:sz="8" w:space="0"/>
            </w:tcBorders>
            <w:noWrap w:val="0"/>
            <w:vAlign w:val="top"/>
          </w:tcPr>
          <w:p>
            <w:pPr>
              <w:spacing w:line="260" w:lineRule="exact"/>
              <w:rPr>
                <w:rFonts w:eastAsia="方正仿宋_GBK"/>
                <w:color w:val="000000"/>
                <w:spacing w:val="-2"/>
                <w:szCs w:val="21"/>
              </w:rPr>
            </w:pPr>
            <w:r>
              <w:rPr>
                <w:rFonts w:hint="eastAsia" w:eastAsia="方正仿宋_GBK"/>
                <w:color w:val="000000"/>
                <w:spacing w:val="-2"/>
                <w:szCs w:val="21"/>
              </w:rPr>
              <w:t>通过江苏省勘察设计行业管理信息系统中的市场检查模块产生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00" w:type="dxa"/>
            <w:tcBorders>
              <w:top w:val="single" w:color="auto" w:sz="4" w:space="0"/>
              <w:left w:val="single" w:color="auto" w:sz="8" w:space="0"/>
              <w:bottom w:val="single" w:color="auto" w:sz="4" w:space="0"/>
              <w:right w:val="single" w:color="auto" w:sz="4" w:space="0"/>
            </w:tcBorders>
            <w:noWrap w:val="0"/>
            <w:vAlign w:val="center"/>
          </w:tcPr>
          <w:p>
            <w:pPr>
              <w:spacing w:line="260" w:lineRule="exact"/>
              <w:jc w:val="center"/>
              <w:rPr>
                <w:rFonts w:eastAsia="方正仿宋_GBK"/>
                <w:color w:val="000000"/>
                <w:spacing w:val="-2"/>
                <w:szCs w:val="21"/>
              </w:rPr>
            </w:pPr>
            <w:r>
              <w:rPr>
                <w:rFonts w:eastAsia="方正仿宋_GBK"/>
                <w:color w:val="000000"/>
                <w:spacing w:val="-2"/>
                <w:szCs w:val="21"/>
              </w:rPr>
              <w:t>2</w:t>
            </w:r>
          </w:p>
        </w:tc>
        <w:tc>
          <w:tcPr>
            <w:tcW w:w="3700" w:type="dxa"/>
            <w:tcBorders>
              <w:top w:val="single" w:color="auto" w:sz="4" w:space="0"/>
              <w:left w:val="single" w:color="auto" w:sz="4" w:space="0"/>
              <w:bottom w:val="single" w:color="auto" w:sz="4" w:space="0"/>
              <w:right w:val="single" w:color="auto" w:sz="4" w:space="0"/>
            </w:tcBorders>
            <w:noWrap w:val="0"/>
            <w:vAlign w:val="top"/>
          </w:tcPr>
          <w:p>
            <w:pPr>
              <w:spacing w:line="260" w:lineRule="exact"/>
              <w:rPr>
                <w:rFonts w:eastAsia="方正仿宋_GBK"/>
                <w:color w:val="000000"/>
                <w:spacing w:val="-2"/>
                <w:szCs w:val="21"/>
              </w:rPr>
            </w:pPr>
            <w:r>
              <w:rPr>
                <w:rFonts w:hint="eastAsia" w:eastAsia="方正仿宋_GBK"/>
                <w:color w:val="000000"/>
                <w:spacing w:val="-2"/>
                <w:szCs w:val="21"/>
              </w:rPr>
              <w:t>企业法人营业执照正、副本</w:t>
            </w:r>
          </w:p>
        </w:tc>
        <w:tc>
          <w:tcPr>
            <w:tcW w:w="2160" w:type="dxa"/>
            <w:tcBorders>
              <w:top w:val="single" w:color="auto" w:sz="4" w:space="0"/>
              <w:left w:val="single" w:color="auto" w:sz="4" w:space="0"/>
              <w:bottom w:val="single" w:color="auto" w:sz="4" w:space="0"/>
              <w:right w:val="single" w:color="auto" w:sz="4" w:space="0"/>
            </w:tcBorders>
            <w:noWrap w:val="0"/>
            <w:vAlign w:val="top"/>
          </w:tcPr>
          <w:p>
            <w:pPr>
              <w:spacing w:line="260" w:lineRule="exact"/>
              <w:rPr>
                <w:rFonts w:eastAsia="方正仿宋_GBK"/>
                <w:color w:val="000000"/>
                <w:spacing w:val="-2"/>
                <w:szCs w:val="21"/>
              </w:rPr>
            </w:pPr>
          </w:p>
        </w:tc>
        <w:tc>
          <w:tcPr>
            <w:tcW w:w="1980" w:type="dxa"/>
            <w:tcBorders>
              <w:top w:val="single" w:color="auto" w:sz="4" w:space="0"/>
              <w:left w:val="single" w:color="auto" w:sz="4" w:space="0"/>
              <w:bottom w:val="single" w:color="auto" w:sz="4" w:space="0"/>
              <w:right w:val="single" w:color="auto" w:sz="8" w:space="0"/>
            </w:tcBorders>
            <w:noWrap w:val="0"/>
            <w:vAlign w:val="top"/>
          </w:tcPr>
          <w:p>
            <w:pPr>
              <w:spacing w:line="260" w:lineRule="exact"/>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00" w:type="dxa"/>
            <w:tcBorders>
              <w:top w:val="single" w:color="auto" w:sz="4" w:space="0"/>
              <w:left w:val="single" w:color="auto" w:sz="8" w:space="0"/>
              <w:bottom w:val="single" w:color="auto" w:sz="4" w:space="0"/>
              <w:right w:val="single" w:color="auto" w:sz="4" w:space="0"/>
            </w:tcBorders>
            <w:noWrap w:val="0"/>
            <w:vAlign w:val="center"/>
          </w:tcPr>
          <w:p>
            <w:pPr>
              <w:spacing w:line="260" w:lineRule="exact"/>
              <w:jc w:val="center"/>
              <w:rPr>
                <w:rFonts w:eastAsia="方正仿宋_GBK"/>
                <w:color w:val="000000"/>
                <w:spacing w:val="-2"/>
                <w:szCs w:val="21"/>
              </w:rPr>
            </w:pPr>
            <w:r>
              <w:rPr>
                <w:rFonts w:eastAsia="方正仿宋_GBK"/>
                <w:color w:val="000000"/>
                <w:spacing w:val="-2"/>
                <w:szCs w:val="21"/>
              </w:rPr>
              <w:t>3</w:t>
            </w:r>
          </w:p>
        </w:tc>
        <w:tc>
          <w:tcPr>
            <w:tcW w:w="3700" w:type="dxa"/>
            <w:tcBorders>
              <w:top w:val="single" w:color="auto" w:sz="4" w:space="0"/>
              <w:left w:val="single" w:color="auto" w:sz="4" w:space="0"/>
              <w:bottom w:val="single" w:color="auto" w:sz="4" w:space="0"/>
              <w:right w:val="single" w:color="auto" w:sz="4" w:space="0"/>
            </w:tcBorders>
            <w:noWrap w:val="0"/>
            <w:vAlign w:val="top"/>
          </w:tcPr>
          <w:p>
            <w:pPr>
              <w:spacing w:line="260" w:lineRule="exact"/>
              <w:rPr>
                <w:rFonts w:eastAsia="方正仿宋_GBK"/>
                <w:color w:val="000000"/>
                <w:spacing w:val="-2"/>
                <w:szCs w:val="21"/>
              </w:rPr>
            </w:pPr>
            <w:r>
              <w:rPr>
                <w:rFonts w:hint="eastAsia" w:eastAsia="方正仿宋_GBK"/>
                <w:color w:val="000000"/>
                <w:spacing w:val="-2"/>
                <w:szCs w:val="21"/>
              </w:rPr>
              <w:t>与受检业务范围相对应的企业勘察设计资质证书正、副本</w:t>
            </w:r>
          </w:p>
        </w:tc>
        <w:tc>
          <w:tcPr>
            <w:tcW w:w="2160" w:type="dxa"/>
            <w:tcBorders>
              <w:top w:val="single" w:color="auto" w:sz="4" w:space="0"/>
              <w:left w:val="single" w:color="auto" w:sz="4" w:space="0"/>
              <w:bottom w:val="single" w:color="auto" w:sz="4" w:space="0"/>
              <w:right w:val="single" w:color="auto" w:sz="4" w:space="0"/>
            </w:tcBorders>
            <w:noWrap w:val="0"/>
            <w:vAlign w:val="top"/>
          </w:tcPr>
          <w:p>
            <w:pPr>
              <w:spacing w:line="260" w:lineRule="exact"/>
              <w:rPr>
                <w:rFonts w:eastAsia="方正仿宋_GBK"/>
                <w:color w:val="000000"/>
                <w:spacing w:val="-2"/>
                <w:szCs w:val="21"/>
              </w:rPr>
            </w:pPr>
          </w:p>
        </w:tc>
        <w:tc>
          <w:tcPr>
            <w:tcW w:w="1980" w:type="dxa"/>
            <w:tcBorders>
              <w:top w:val="single" w:color="auto" w:sz="4" w:space="0"/>
              <w:left w:val="single" w:color="auto" w:sz="4" w:space="0"/>
              <w:bottom w:val="single" w:color="auto" w:sz="4" w:space="0"/>
              <w:right w:val="single" w:color="auto" w:sz="8" w:space="0"/>
            </w:tcBorders>
            <w:noWrap w:val="0"/>
            <w:vAlign w:val="top"/>
          </w:tcPr>
          <w:p>
            <w:pPr>
              <w:spacing w:line="260" w:lineRule="exact"/>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00" w:type="dxa"/>
            <w:tcBorders>
              <w:top w:val="single" w:color="auto" w:sz="4" w:space="0"/>
              <w:left w:val="single" w:color="auto" w:sz="8" w:space="0"/>
              <w:bottom w:val="single" w:color="auto" w:sz="4" w:space="0"/>
              <w:right w:val="single" w:color="auto" w:sz="4" w:space="0"/>
            </w:tcBorders>
            <w:noWrap w:val="0"/>
            <w:vAlign w:val="center"/>
          </w:tcPr>
          <w:p>
            <w:pPr>
              <w:spacing w:line="260" w:lineRule="exact"/>
              <w:jc w:val="center"/>
              <w:rPr>
                <w:rFonts w:eastAsia="方正仿宋_GBK"/>
                <w:color w:val="000000"/>
                <w:spacing w:val="-2"/>
                <w:szCs w:val="21"/>
              </w:rPr>
            </w:pPr>
            <w:r>
              <w:rPr>
                <w:rFonts w:eastAsia="方正仿宋_GBK"/>
                <w:color w:val="000000"/>
                <w:spacing w:val="-2"/>
                <w:szCs w:val="21"/>
              </w:rPr>
              <w:t>4</w:t>
            </w:r>
          </w:p>
        </w:tc>
        <w:tc>
          <w:tcPr>
            <w:tcW w:w="3700" w:type="dxa"/>
            <w:tcBorders>
              <w:top w:val="single" w:color="auto" w:sz="4" w:space="0"/>
              <w:left w:val="single" w:color="auto" w:sz="4" w:space="0"/>
              <w:bottom w:val="single" w:color="auto" w:sz="4" w:space="0"/>
              <w:right w:val="single" w:color="auto" w:sz="4" w:space="0"/>
            </w:tcBorders>
            <w:noWrap w:val="0"/>
            <w:vAlign w:val="top"/>
          </w:tcPr>
          <w:p>
            <w:pPr>
              <w:spacing w:line="260" w:lineRule="exact"/>
              <w:rPr>
                <w:rFonts w:eastAsia="方正仿宋_GBK"/>
                <w:color w:val="000000"/>
                <w:spacing w:val="-2"/>
                <w:szCs w:val="21"/>
              </w:rPr>
            </w:pPr>
            <w:r>
              <w:rPr>
                <w:rFonts w:hint="eastAsia" w:eastAsia="方正仿宋_GBK"/>
                <w:color w:val="000000"/>
                <w:spacing w:val="-2"/>
                <w:szCs w:val="21"/>
              </w:rPr>
              <w:t>企业技术负责人的身份证、毕业证书、职称证书（或注册执业证书）、任职文件、劳动合同、社保证明及其《专业技术人员基本情况及业绩表》</w:t>
            </w:r>
          </w:p>
        </w:tc>
        <w:tc>
          <w:tcPr>
            <w:tcW w:w="2160" w:type="dxa"/>
            <w:tcBorders>
              <w:top w:val="single" w:color="auto" w:sz="4" w:space="0"/>
              <w:left w:val="single" w:color="auto" w:sz="4" w:space="0"/>
              <w:bottom w:val="single" w:color="auto" w:sz="4" w:space="0"/>
              <w:right w:val="single" w:color="auto" w:sz="4" w:space="0"/>
            </w:tcBorders>
            <w:noWrap w:val="0"/>
            <w:vAlign w:val="top"/>
          </w:tcPr>
          <w:p>
            <w:pPr>
              <w:spacing w:line="260" w:lineRule="exact"/>
              <w:rPr>
                <w:rFonts w:eastAsia="方正仿宋_GBK"/>
                <w:color w:val="000000"/>
                <w:spacing w:val="-2"/>
                <w:szCs w:val="21"/>
              </w:rPr>
            </w:pPr>
          </w:p>
        </w:tc>
        <w:tc>
          <w:tcPr>
            <w:tcW w:w="1980" w:type="dxa"/>
            <w:tcBorders>
              <w:top w:val="single" w:color="auto" w:sz="4" w:space="0"/>
              <w:left w:val="single" w:color="auto" w:sz="4" w:space="0"/>
              <w:bottom w:val="single" w:color="auto" w:sz="4" w:space="0"/>
              <w:right w:val="single" w:color="auto" w:sz="8" w:space="0"/>
            </w:tcBorders>
            <w:noWrap w:val="0"/>
            <w:vAlign w:val="top"/>
          </w:tcPr>
          <w:p>
            <w:pPr>
              <w:spacing w:line="260" w:lineRule="exact"/>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00" w:type="dxa"/>
            <w:tcBorders>
              <w:top w:val="single" w:color="auto" w:sz="4" w:space="0"/>
              <w:left w:val="single" w:color="auto" w:sz="8" w:space="0"/>
              <w:bottom w:val="single" w:color="auto" w:sz="4" w:space="0"/>
              <w:right w:val="single" w:color="auto" w:sz="4" w:space="0"/>
            </w:tcBorders>
            <w:noWrap w:val="0"/>
            <w:vAlign w:val="center"/>
          </w:tcPr>
          <w:p>
            <w:pPr>
              <w:spacing w:line="260" w:lineRule="exact"/>
              <w:jc w:val="center"/>
              <w:rPr>
                <w:rFonts w:eastAsia="方正仿宋_GBK"/>
                <w:color w:val="000000"/>
                <w:spacing w:val="-2"/>
                <w:szCs w:val="21"/>
              </w:rPr>
            </w:pPr>
            <w:r>
              <w:rPr>
                <w:rFonts w:eastAsia="方正仿宋_GBK"/>
                <w:color w:val="000000"/>
                <w:spacing w:val="-2"/>
                <w:szCs w:val="21"/>
              </w:rPr>
              <w:t>5</w:t>
            </w:r>
          </w:p>
        </w:tc>
        <w:tc>
          <w:tcPr>
            <w:tcW w:w="3700" w:type="dxa"/>
            <w:tcBorders>
              <w:top w:val="single" w:color="auto" w:sz="4" w:space="0"/>
              <w:left w:val="single" w:color="auto" w:sz="4" w:space="0"/>
              <w:bottom w:val="single" w:color="auto" w:sz="4" w:space="0"/>
              <w:right w:val="single" w:color="auto" w:sz="4" w:space="0"/>
            </w:tcBorders>
            <w:noWrap w:val="0"/>
            <w:vAlign w:val="top"/>
          </w:tcPr>
          <w:p>
            <w:pPr>
              <w:spacing w:line="260" w:lineRule="exact"/>
              <w:rPr>
                <w:rFonts w:eastAsia="方正仿宋_GBK"/>
                <w:color w:val="000000"/>
                <w:spacing w:val="-2"/>
                <w:szCs w:val="21"/>
              </w:rPr>
            </w:pPr>
            <w:r>
              <w:rPr>
                <w:rFonts w:hint="eastAsia" w:eastAsia="方正仿宋_GBK"/>
                <w:color w:val="000000"/>
                <w:spacing w:val="-2"/>
                <w:szCs w:val="21"/>
              </w:rPr>
              <w:t>主要专业技术人员（注册执业人员除外）的身份证、毕业证书、职称证书、劳动合同、社保证明及其《专业技术人员基本情况及业绩表》</w:t>
            </w:r>
          </w:p>
        </w:tc>
        <w:tc>
          <w:tcPr>
            <w:tcW w:w="2160" w:type="dxa"/>
            <w:tcBorders>
              <w:top w:val="single" w:color="auto" w:sz="4" w:space="0"/>
              <w:left w:val="single" w:color="auto" w:sz="4" w:space="0"/>
              <w:bottom w:val="single" w:color="auto" w:sz="4" w:space="0"/>
              <w:right w:val="single" w:color="auto" w:sz="4" w:space="0"/>
            </w:tcBorders>
            <w:noWrap w:val="0"/>
            <w:vAlign w:val="top"/>
          </w:tcPr>
          <w:p>
            <w:pPr>
              <w:spacing w:line="260" w:lineRule="exact"/>
              <w:rPr>
                <w:rFonts w:eastAsia="方正仿宋_GBK"/>
                <w:color w:val="000000"/>
                <w:spacing w:val="-2"/>
                <w:szCs w:val="21"/>
              </w:rPr>
            </w:pPr>
          </w:p>
        </w:tc>
        <w:tc>
          <w:tcPr>
            <w:tcW w:w="1980" w:type="dxa"/>
            <w:tcBorders>
              <w:top w:val="single" w:color="auto" w:sz="4" w:space="0"/>
              <w:left w:val="single" w:color="auto" w:sz="4" w:space="0"/>
              <w:bottom w:val="single" w:color="auto" w:sz="4" w:space="0"/>
              <w:right w:val="single" w:color="auto" w:sz="8" w:space="0"/>
            </w:tcBorders>
            <w:noWrap w:val="0"/>
            <w:vAlign w:val="top"/>
          </w:tcPr>
          <w:p>
            <w:pPr>
              <w:spacing w:line="260" w:lineRule="exact"/>
              <w:rPr>
                <w:rFonts w:eastAsia="方正仿宋_GBK"/>
                <w:color w:val="000000"/>
                <w:spacing w:val="-2"/>
                <w:szCs w:val="21"/>
              </w:rPr>
            </w:pPr>
            <w:r>
              <w:rPr>
                <w:rFonts w:hint="eastAsia" w:eastAsia="方正仿宋_GBK"/>
                <w:color w:val="000000"/>
                <w:spacing w:val="-2"/>
                <w:szCs w:val="21"/>
              </w:rPr>
              <w:t>省外单位提供参加项目的专业技术人员的身份证、毕业证书、职称证书、劳动合同和社保证明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00" w:type="dxa"/>
            <w:tcBorders>
              <w:top w:val="single" w:color="auto" w:sz="4" w:space="0"/>
              <w:left w:val="single" w:color="auto" w:sz="8" w:space="0"/>
              <w:bottom w:val="single" w:color="auto" w:sz="4" w:space="0"/>
              <w:right w:val="single" w:color="auto" w:sz="4" w:space="0"/>
            </w:tcBorders>
            <w:noWrap w:val="0"/>
            <w:vAlign w:val="center"/>
          </w:tcPr>
          <w:p>
            <w:pPr>
              <w:spacing w:line="260" w:lineRule="exact"/>
              <w:jc w:val="center"/>
              <w:rPr>
                <w:rFonts w:eastAsia="方正仿宋_GBK"/>
                <w:color w:val="000000"/>
                <w:spacing w:val="-2"/>
                <w:szCs w:val="21"/>
              </w:rPr>
            </w:pPr>
            <w:r>
              <w:rPr>
                <w:rFonts w:eastAsia="方正仿宋_GBK"/>
                <w:color w:val="000000"/>
                <w:spacing w:val="-2"/>
                <w:szCs w:val="21"/>
              </w:rPr>
              <w:t>6</w:t>
            </w:r>
          </w:p>
        </w:tc>
        <w:tc>
          <w:tcPr>
            <w:tcW w:w="3700"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rFonts w:eastAsia="方正仿宋_GBK"/>
                <w:color w:val="000000"/>
                <w:spacing w:val="-2"/>
                <w:szCs w:val="21"/>
              </w:rPr>
            </w:pPr>
            <w:r>
              <w:rPr>
                <w:rFonts w:hint="eastAsia" w:eastAsia="方正仿宋_GBK"/>
                <w:color w:val="000000"/>
                <w:spacing w:val="-2"/>
                <w:szCs w:val="21"/>
              </w:rPr>
              <w:t>注册执业人员身份证、社保证明、加盖执业印章的注册执业证书复印件</w:t>
            </w:r>
          </w:p>
        </w:tc>
        <w:tc>
          <w:tcPr>
            <w:tcW w:w="2160" w:type="dxa"/>
            <w:tcBorders>
              <w:top w:val="single" w:color="auto" w:sz="4" w:space="0"/>
              <w:left w:val="single" w:color="auto" w:sz="4" w:space="0"/>
              <w:bottom w:val="single" w:color="auto" w:sz="4" w:space="0"/>
              <w:right w:val="single" w:color="auto" w:sz="4" w:space="0"/>
            </w:tcBorders>
            <w:noWrap w:val="0"/>
            <w:vAlign w:val="top"/>
          </w:tcPr>
          <w:p>
            <w:pPr>
              <w:spacing w:line="260" w:lineRule="exact"/>
              <w:rPr>
                <w:rFonts w:eastAsia="方正仿宋_GBK"/>
                <w:color w:val="000000"/>
                <w:spacing w:val="-2"/>
                <w:szCs w:val="21"/>
              </w:rPr>
            </w:pPr>
          </w:p>
        </w:tc>
        <w:tc>
          <w:tcPr>
            <w:tcW w:w="1980" w:type="dxa"/>
            <w:tcBorders>
              <w:top w:val="single" w:color="auto" w:sz="4" w:space="0"/>
              <w:left w:val="single" w:color="auto" w:sz="4" w:space="0"/>
              <w:bottom w:val="single" w:color="auto" w:sz="4" w:space="0"/>
              <w:right w:val="single" w:color="auto" w:sz="8" w:space="0"/>
            </w:tcBorders>
            <w:noWrap w:val="0"/>
            <w:vAlign w:val="top"/>
          </w:tcPr>
          <w:p>
            <w:pPr>
              <w:spacing w:line="260" w:lineRule="exact"/>
              <w:rPr>
                <w:rFonts w:eastAsia="方正仿宋_GBK"/>
                <w:color w:val="000000"/>
                <w:spacing w:val="-2"/>
                <w:szCs w:val="21"/>
              </w:rPr>
            </w:pPr>
            <w:r>
              <w:rPr>
                <w:rFonts w:hint="eastAsia" w:eastAsia="方正仿宋_GBK"/>
                <w:color w:val="000000"/>
                <w:spacing w:val="-2"/>
                <w:szCs w:val="21"/>
              </w:rPr>
              <w:t>省外单位提供参加项目的注册执业人员身份证、社保证明、加盖执业印章的注册执业证书复印件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00" w:type="dxa"/>
            <w:tcBorders>
              <w:top w:val="single" w:color="auto" w:sz="4" w:space="0"/>
              <w:left w:val="single" w:color="auto" w:sz="8" w:space="0"/>
              <w:bottom w:val="single" w:color="auto" w:sz="4" w:space="0"/>
              <w:right w:val="single" w:color="auto" w:sz="4" w:space="0"/>
            </w:tcBorders>
            <w:noWrap w:val="0"/>
            <w:vAlign w:val="center"/>
          </w:tcPr>
          <w:p>
            <w:pPr>
              <w:spacing w:line="260" w:lineRule="exact"/>
              <w:jc w:val="center"/>
              <w:rPr>
                <w:rFonts w:eastAsia="方正仿宋_GBK"/>
                <w:color w:val="000000"/>
                <w:spacing w:val="-2"/>
                <w:szCs w:val="21"/>
              </w:rPr>
            </w:pPr>
            <w:r>
              <w:rPr>
                <w:rFonts w:eastAsia="方正仿宋_GBK"/>
                <w:color w:val="000000"/>
                <w:spacing w:val="-2"/>
                <w:szCs w:val="21"/>
              </w:rPr>
              <w:t>7</w:t>
            </w:r>
          </w:p>
        </w:tc>
        <w:tc>
          <w:tcPr>
            <w:tcW w:w="3700" w:type="dxa"/>
            <w:tcBorders>
              <w:top w:val="single" w:color="auto" w:sz="4" w:space="0"/>
              <w:left w:val="single" w:color="auto" w:sz="4" w:space="0"/>
              <w:bottom w:val="single" w:color="auto" w:sz="4" w:space="0"/>
              <w:right w:val="single" w:color="auto" w:sz="4" w:space="0"/>
            </w:tcBorders>
            <w:noWrap w:val="0"/>
            <w:vAlign w:val="top"/>
          </w:tcPr>
          <w:p>
            <w:pPr>
              <w:spacing w:line="260" w:lineRule="exact"/>
              <w:rPr>
                <w:rFonts w:eastAsia="方正仿宋_GBK"/>
                <w:color w:val="000000"/>
                <w:spacing w:val="-2"/>
                <w:szCs w:val="21"/>
              </w:rPr>
            </w:pPr>
            <w:r>
              <w:rPr>
                <w:rFonts w:hint="eastAsia" w:eastAsia="方正仿宋_GBK"/>
                <w:color w:val="000000"/>
                <w:spacing w:val="-2"/>
                <w:szCs w:val="21"/>
              </w:rPr>
              <w:t>技术工人的身份证、考核或培训合格证书、劳动合同和社保证明</w:t>
            </w:r>
          </w:p>
        </w:tc>
        <w:tc>
          <w:tcPr>
            <w:tcW w:w="2160" w:type="dxa"/>
            <w:tcBorders>
              <w:top w:val="single" w:color="auto" w:sz="4" w:space="0"/>
              <w:left w:val="single" w:color="auto" w:sz="4" w:space="0"/>
              <w:bottom w:val="single" w:color="auto" w:sz="4" w:space="0"/>
              <w:right w:val="single" w:color="auto" w:sz="4" w:space="0"/>
            </w:tcBorders>
            <w:noWrap w:val="0"/>
            <w:vAlign w:val="top"/>
          </w:tcPr>
          <w:p>
            <w:pPr>
              <w:spacing w:line="260" w:lineRule="exact"/>
              <w:rPr>
                <w:rFonts w:eastAsia="方正仿宋_GBK"/>
                <w:color w:val="000000"/>
                <w:spacing w:val="-2"/>
                <w:szCs w:val="21"/>
              </w:rPr>
            </w:pPr>
          </w:p>
        </w:tc>
        <w:tc>
          <w:tcPr>
            <w:tcW w:w="1980" w:type="dxa"/>
            <w:tcBorders>
              <w:top w:val="single" w:color="auto" w:sz="4" w:space="0"/>
              <w:left w:val="single" w:color="auto" w:sz="4" w:space="0"/>
              <w:bottom w:val="single" w:color="auto" w:sz="4" w:space="0"/>
              <w:right w:val="single" w:color="auto" w:sz="8" w:space="0"/>
            </w:tcBorders>
            <w:noWrap w:val="0"/>
            <w:vAlign w:val="top"/>
          </w:tcPr>
          <w:p>
            <w:pPr>
              <w:spacing w:line="260" w:lineRule="exact"/>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00" w:type="dxa"/>
            <w:tcBorders>
              <w:top w:val="single" w:color="auto" w:sz="4" w:space="0"/>
              <w:left w:val="single" w:color="auto" w:sz="8" w:space="0"/>
              <w:bottom w:val="single" w:color="auto" w:sz="4" w:space="0"/>
              <w:right w:val="single" w:color="auto" w:sz="4" w:space="0"/>
            </w:tcBorders>
            <w:noWrap w:val="0"/>
            <w:vAlign w:val="center"/>
          </w:tcPr>
          <w:p>
            <w:pPr>
              <w:spacing w:line="260" w:lineRule="exact"/>
              <w:jc w:val="center"/>
              <w:rPr>
                <w:rFonts w:eastAsia="方正仿宋_GBK"/>
                <w:color w:val="000000"/>
                <w:spacing w:val="-2"/>
                <w:szCs w:val="21"/>
              </w:rPr>
            </w:pPr>
            <w:r>
              <w:rPr>
                <w:rFonts w:eastAsia="方正仿宋_GBK"/>
                <w:color w:val="000000"/>
                <w:spacing w:val="-2"/>
                <w:szCs w:val="21"/>
              </w:rPr>
              <w:t>8</w:t>
            </w:r>
          </w:p>
        </w:tc>
        <w:tc>
          <w:tcPr>
            <w:tcW w:w="3700" w:type="dxa"/>
            <w:tcBorders>
              <w:top w:val="single" w:color="auto" w:sz="4" w:space="0"/>
              <w:left w:val="single" w:color="auto" w:sz="4" w:space="0"/>
              <w:bottom w:val="single" w:color="auto" w:sz="4" w:space="0"/>
              <w:right w:val="single" w:color="auto" w:sz="4" w:space="0"/>
            </w:tcBorders>
            <w:noWrap w:val="0"/>
            <w:vAlign w:val="top"/>
          </w:tcPr>
          <w:p>
            <w:pPr>
              <w:spacing w:line="260" w:lineRule="exact"/>
              <w:rPr>
                <w:rFonts w:eastAsia="方正仿宋_GBK"/>
                <w:color w:val="000000"/>
                <w:spacing w:val="-2"/>
                <w:szCs w:val="21"/>
              </w:rPr>
            </w:pPr>
            <w:r>
              <w:rPr>
                <w:rFonts w:hint="eastAsia" w:eastAsia="方正仿宋_GBK"/>
                <w:color w:val="000000"/>
                <w:spacing w:val="-2"/>
                <w:szCs w:val="21"/>
              </w:rPr>
              <w:t>与质量保证体系相关的材料</w:t>
            </w:r>
          </w:p>
        </w:tc>
        <w:tc>
          <w:tcPr>
            <w:tcW w:w="2160" w:type="dxa"/>
            <w:tcBorders>
              <w:top w:val="single" w:color="auto" w:sz="4" w:space="0"/>
              <w:left w:val="single" w:color="auto" w:sz="4" w:space="0"/>
              <w:bottom w:val="single" w:color="auto" w:sz="4" w:space="0"/>
              <w:right w:val="single" w:color="auto" w:sz="4" w:space="0"/>
            </w:tcBorders>
            <w:noWrap w:val="0"/>
            <w:vAlign w:val="top"/>
          </w:tcPr>
          <w:p>
            <w:pPr>
              <w:spacing w:line="260" w:lineRule="exact"/>
              <w:rPr>
                <w:rFonts w:eastAsia="方正仿宋_GBK"/>
                <w:color w:val="000000"/>
                <w:spacing w:val="-2"/>
                <w:szCs w:val="21"/>
              </w:rPr>
            </w:pPr>
          </w:p>
        </w:tc>
        <w:tc>
          <w:tcPr>
            <w:tcW w:w="1980" w:type="dxa"/>
            <w:tcBorders>
              <w:top w:val="single" w:color="auto" w:sz="4" w:space="0"/>
              <w:left w:val="single" w:color="auto" w:sz="4" w:space="0"/>
              <w:bottom w:val="single" w:color="auto" w:sz="4" w:space="0"/>
              <w:right w:val="single" w:color="auto" w:sz="8" w:space="0"/>
            </w:tcBorders>
            <w:noWrap w:val="0"/>
            <w:vAlign w:val="top"/>
          </w:tcPr>
          <w:p>
            <w:pPr>
              <w:spacing w:line="260" w:lineRule="exact"/>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00" w:type="dxa"/>
            <w:tcBorders>
              <w:top w:val="single" w:color="auto" w:sz="4" w:space="0"/>
              <w:left w:val="single" w:color="auto" w:sz="8" w:space="0"/>
              <w:bottom w:val="single" w:color="auto" w:sz="4" w:space="0"/>
              <w:right w:val="single" w:color="auto" w:sz="4" w:space="0"/>
            </w:tcBorders>
            <w:noWrap w:val="0"/>
            <w:vAlign w:val="center"/>
          </w:tcPr>
          <w:p>
            <w:pPr>
              <w:spacing w:line="260" w:lineRule="exact"/>
              <w:jc w:val="center"/>
              <w:rPr>
                <w:rFonts w:eastAsia="方正仿宋_GBK"/>
                <w:color w:val="000000"/>
                <w:spacing w:val="-2"/>
                <w:szCs w:val="21"/>
              </w:rPr>
            </w:pPr>
            <w:r>
              <w:rPr>
                <w:rFonts w:eastAsia="方正仿宋_GBK"/>
                <w:color w:val="000000"/>
                <w:spacing w:val="-2"/>
                <w:szCs w:val="21"/>
              </w:rPr>
              <w:t>9</w:t>
            </w:r>
          </w:p>
        </w:tc>
        <w:tc>
          <w:tcPr>
            <w:tcW w:w="3700" w:type="dxa"/>
            <w:tcBorders>
              <w:top w:val="single" w:color="auto" w:sz="4" w:space="0"/>
              <w:left w:val="single" w:color="auto" w:sz="4" w:space="0"/>
              <w:bottom w:val="single" w:color="auto" w:sz="4" w:space="0"/>
              <w:right w:val="single" w:color="auto" w:sz="4" w:space="0"/>
            </w:tcBorders>
            <w:noWrap w:val="0"/>
            <w:vAlign w:val="top"/>
          </w:tcPr>
          <w:p>
            <w:pPr>
              <w:spacing w:line="260" w:lineRule="exact"/>
              <w:rPr>
                <w:rFonts w:eastAsia="方正仿宋_GBK"/>
                <w:color w:val="000000"/>
                <w:spacing w:val="-2"/>
                <w:szCs w:val="21"/>
              </w:rPr>
            </w:pPr>
            <w:r>
              <w:rPr>
                <w:rFonts w:hint="eastAsia" w:eastAsia="方正仿宋_GBK"/>
                <w:color w:val="000000"/>
                <w:spacing w:val="-2"/>
                <w:szCs w:val="21"/>
              </w:rPr>
              <w:t>主要技术装备购置发票</w:t>
            </w:r>
          </w:p>
        </w:tc>
        <w:tc>
          <w:tcPr>
            <w:tcW w:w="2160" w:type="dxa"/>
            <w:tcBorders>
              <w:top w:val="single" w:color="auto" w:sz="4" w:space="0"/>
              <w:left w:val="single" w:color="auto" w:sz="4" w:space="0"/>
              <w:bottom w:val="single" w:color="auto" w:sz="4" w:space="0"/>
              <w:right w:val="single" w:color="auto" w:sz="4" w:space="0"/>
            </w:tcBorders>
            <w:noWrap w:val="0"/>
            <w:vAlign w:val="top"/>
          </w:tcPr>
          <w:p>
            <w:pPr>
              <w:spacing w:line="260" w:lineRule="exact"/>
              <w:rPr>
                <w:rFonts w:eastAsia="方正仿宋_GBK"/>
                <w:color w:val="000000"/>
                <w:spacing w:val="-2"/>
                <w:szCs w:val="21"/>
              </w:rPr>
            </w:pPr>
          </w:p>
        </w:tc>
        <w:tc>
          <w:tcPr>
            <w:tcW w:w="1980" w:type="dxa"/>
            <w:tcBorders>
              <w:top w:val="single" w:color="auto" w:sz="4" w:space="0"/>
              <w:left w:val="single" w:color="auto" w:sz="4" w:space="0"/>
              <w:bottom w:val="single" w:color="auto" w:sz="4" w:space="0"/>
              <w:right w:val="single" w:color="auto" w:sz="8" w:space="0"/>
            </w:tcBorders>
            <w:noWrap w:val="0"/>
            <w:vAlign w:val="top"/>
          </w:tcPr>
          <w:p>
            <w:pPr>
              <w:spacing w:line="260" w:lineRule="exact"/>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00" w:type="dxa"/>
            <w:tcBorders>
              <w:top w:val="single" w:color="auto" w:sz="4" w:space="0"/>
              <w:left w:val="single" w:color="auto" w:sz="8" w:space="0"/>
              <w:bottom w:val="single" w:color="auto" w:sz="4" w:space="0"/>
              <w:right w:val="single" w:color="auto" w:sz="4" w:space="0"/>
            </w:tcBorders>
            <w:noWrap w:val="0"/>
            <w:vAlign w:val="center"/>
          </w:tcPr>
          <w:p>
            <w:pPr>
              <w:spacing w:line="260" w:lineRule="exact"/>
              <w:jc w:val="center"/>
              <w:rPr>
                <w:rFonts w:eastAsia="方正仿宋_GBK"/>
                <w:color w:val="000000"/>
                <w:spacing w:val="-2"/>
                <w:szCs w:val="21"/>
              </w:rPr>
            </w:pPr>
            <w:r>
              <w:rPr>
                <w:rFonts w:eastAsia="方正仿宋_GBK"/>
                <w:color w:val="000000"/>
                <w:spacing w:val="-2"/>
                <w:szCs w:val="21"/>
              </w:rPr>
              <w:t>10</w:t>
            </w:r>
          </w:p>
        </w:tc>
        <w:tc>
          <w:tcPr>
            <w:tcW w:w="3700" w:type="dxa"/>
            <w:tcBorders>
              <w:top w:val="single" w:color="auto" w:sz="4" w:space="0"/>
              <w:left w:val="single" w:color="auto" w:sz="4" w:space="0"/>
              <w:bottom w:val="single" w:color="auto" w:sz="4" w:space="0"/>
              <w:right w:val="single" w:color="auto" w:sz="4" w:space="0"/>
            </w:tcBorders>
            <w:noWrap w:val="0"/>
            <w:vAlign w:val="top"/>
          </w:tcPr>
          <w:p>
            <w:pPr>
              <w:spacing w:line="260" w:lineRule="exact"/>
              <w:rPr>
                <w:rFonts w:eastAsia="方正仿宋_GBK"/>
                <w:color w:val="000000"/>
                <w:spacing w:val="-2"/>
                <w:szCs w:val="21"/>
              </w:rPr>
            </w:pPr>
            <w:r>
              <w:rPr>
                <w:rFonts w:hint="eastAsia" w:eastAsia="方正仿宋_GBK"/>
                <w:color w:val="000000"/>
                <w:spacing w:val="-2"/>
                <w:szCs w:val="21"/>
              </w:rPr>
              <w:t>固定办公场所证明（自有的：提供产权证；租用的：提供出租方产权证及租用合同（协议））</w:t>
            </w:r>
          </w:p>
        </w:tc>
        <w:tc>
          <w:tcPr>
            <w:tcW w:w="2160" w:type="dxa"/>
            <w:tcBorders>
              <w:top w:val="single" w:color="auto" w:sz="4" w:space="0"/>
              <w:left w:val="single" w:color="auto" w:sz="4" w:space="0"/>
              <w:bottom w:val="single" w:color="auto" w:sz="4" w:space="0"/>
              <w:right w:val="single" w:color="auto" w:sz="4" w:space="0"/>
            </w:tcBorders>
            <w:noWrap w:val="0"/>
            <w:vAlign w:val="top"/>
          </w:tcPr>
          <w:p>
            <w:pPr>
              <w:spacing w:line="260" w:lineRule="exact"/>
              <w:rPr>
                <w:rFonts w:eastAsia="方正仿宋_GBK"/>
                <w:color w:val="000000"/>
                <w:spacing w:val="-2"/>
                <w:szCs w:val="21"/>
              </w:rPr>
            </w:pPr>
          </w:p>
        </w:tc>
        <w:tc>
          <w:tcPr>
            <w:tcW w:w="1980" w:type="dxa"/>
            <w:tcBorders>
              <w:top w:val="single" w:color="auto" w:sz="4" w:space="0"/>
              <w:left w:val="single" w:color="auto" w:sz="4" w:space="0"/>
              <w:bottom w:val="single" w:color="auto" w:sz="4" w:space="0"/>
              <w:right w:val="single" w:color="auto" w:sz="8" w:space="0"/>
            </w:tcBorders>
            <w:noWrap w:val="0"/>
            <w:vAlign w:val="top"/>
          </w:tcPr>
          <w:p>
            <w:pPr>
              <w:spacing w:line="260" w:lineRule="exact"/>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00" w:type="dxa"/>
            <w:tcBorders>
              <w:top w:val="single" w:color="auto" w:sz="4" w:space="0"/>
              <w:left w:val="single" w:color="auto" w:sz="8" w:space="0"/>
              <w:bottom w:val="single" w:color="auto" w:sz="4" w:space="0"/>
              <w:right w:val="single" w:color="auto" w:sz="4" w:space="0"/>
            </w:tcBorders>
            <w:noWrap w:val="0"/>
            <w:vAlign w:val="center"/>
          </w:tcPr>
          <w:p>
            <w:pPr>
              <w:spacing w:line="260" w:lineRule="exact"/>
              <w:jc w:val="center"/>
              <w:rPr>
                <w:rFonts w:eastAsia="方正仿宋_GBK"/>
                <w:color w:val="000000"/>
                <w:spacing w:val="-2"/>
                <w:szCs w:val="21"/>
              </w:rPr>
            </w:pPr>
            <w:r>
              <w:rPr>
                <w:rFonts w:eastAsia="方正仿宋_GBK"/>
                <w:color w:val="000000"/>
                <w:spacing w:val="-2"/>
                <w:szCs w:val="21"/>
              </w:rPr>
              <w:t>11</w:t>
            </w:r>
          </w:p>
        </w:tc>
        <w:tc>
          <w:tcPr>
            <w:tcW w:w="3700" w:type="dxa"/>
            <w:tcBorders>
              <w:top w:val="single" w:color="auto" w:sz="4" w:space="0"/>
              <w:left w:val="single" w:color="auto" w:sz="4" w:space="0"/>
              <w:bottom w:val="single" w:color="auto" w:sz="4" w:space="0"/>
              <w:right w:val="single" w:color="auto" w:sz="4" w:space="0"/>
            </w:tcBorders>
            <w:noWrap w:val="0"/>
            <w:vAlign w:val="top"/>
          </w:tcPr>
          <w:p>
            <w:pPr>
              <w:spacing w:line="260" w:lineRule="exact"/>
              <w:rPr>
                <w:rFonts w:eastAsia="方正仿宋_GBK"/>
                <w:color w:val="000000"/>
                <w:spacing w:val="-2"/>
                <w:szCs w:val="21"/>
              </w:rPr>
            </w:pPr>
            <w:r>
              <w:rPr>
                <w:rFonts w:hint="eastAsia" w:eastAsia="方正仿宋_GBK"/>
                <w:color w:val="000000"/>
                <w:spacing w:val="-2"/>
                <w:szCs w:val="21"/>
              </w:rPr>
              <w:t>近</w:t>
            </w:r>
            <w:r>
              <w:rPr>
                <w:rFonts w:eastAsia="方正仿宋_GBK"/>
                <w:color w:val="000000"/>
                <w:spacing w:val="-2"/>
                <w:szCs w:val="21"/>
              </w:rPr>
              <w:t>2</w:t>
            </w:r>
            <w:r>
              <w:rPr>
                <w:rFonts w:hint="eastAsia" w:eastAsia="方正仿宋_GBK"/>
                <w:color w:val="000000"/>
                <w:spacing w:val="-2"/>
                <w:szCs w:val="21"/>
              </w:rPr>
              <w:t>年来企业承接的项目清单（含竣工和正在进行的）</w:t>
            </w:r>
          </w:p>
        </w:tc>
        <w:tc>
          <w:tcPr>
            <w:tcW w:w="2160" w:type="dxa"/>
            <w:tcBorders>
              <w:top w:val="single" w:color="auto" w:sz="4" w:space="0"/>
              <w:left w:val="single" w:color="auto" w:sz="4" w:space="0"/>
              <w:bottom w:val="single" w:color="auto" w:sz="4" w:space="0"/>
              <w:right w:val="single" w:color="auto" w:sz="4" w:space="0"/>
            </w:tcBorders>
            <w:noWrap w:val="0"/>
            <w:vAlign w:val="top"/>
          </w:tcPr>
          <w:p>
            <w:pPr>
              <w:spacing w:line="260" w:lineRule="exact"/>
              <w:rPr>
                <w:rFonts w:eastAsia="方正仿宋_GBK"/>
                <w:color w:val="000000"/>
                <w:spacing w:val="-2"/>
                <w:szCs w:val="21"/>
              </w:rPr>
            </w:pPr>
          </w:p>
        </w:tc>
        <w:tc>
          <w:tcPr>
            <w:tcW w:w="1980" w:type="dxa"/>
            <w:tcBorders>
              <w:top w:val="single" w:color="auto" w:sz="4" w:space="0"/>
              <w:left w:val="single" w:color="auto" w:sz="4" w:space="0"/>
              <w:bottom w:val="single" w:color="auto" w:sz="4" w:space="0"/>
              <w:right w:val="single" w:color="auto" w:sz="8" w:space="0"/>
            </w:tcBorders>
            <w:noWrap w:val="0"/>
            <w:vAlign w:val="top"/>
          </w:tcPr>
          <w:p>
            <w:pPr>
              <w:spacing w:line="260" w:lineRule="exact"/>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00" w:type="dxa"/>
            <w:tcBorders>
              <w:top w:val="single" w:color="auto" w:sz="4" w:space="0"/>
              <w:left w:val="single" w:color="auto" w:sz="8" w:space="0"/>
              <w:bottom w:val="single" w:color="auto" w:sz="4" w:space="0"/>
              <w:right w:val="single" w:color="auto" w:sz="4" w:space="0"/>
            </w:tcBorders>
            <w:noWrap w:val="0"/>
            <w:vAlign w:val="center"/>
          </w:tcPr>
          <w:p>
            <w:pPr>
              <w:spacing w:line="260" w:lineRule="exact"/>
              <w:jc w:val="center"/>
              <w:rPr>
                <w:rFonts w:eastAsia="方正仿宋_GBK"/>
                <w:color w:val="000000"/>
                <w:spacing w:val="-2"/>
                <w:szCs w:val="21"/>
              </w:rPr>
            </w:pPr>
            <w:r>
              <w:rPr>
                <w:rFonts w:eastAsia="方正仿宋_GBK"/>
                <w:color w:val="000000"/>
                <w:spacing w:val="-2"/>
                <w:szCs w:val="21"/>
              </w:rPr>
              <w:t>12</w:t>
            </w:r>
          </w:p>
        </w:tc>
        <w:tc>
          <w:tcPr>
            <w:tcW w:w="3700" w:type="dxa"/>
            <w:tcBorders>
              <w:top w:val="single" w:color="auto" w:sz="4" w:space="0"/>
              <w:left w:val="single" w:color="auto" w:sz="4" w:space="0"/>
              <w:bottom w:val="single" w:color="auto" w:sz="4" w:space="0"/>
              <w:right w:val="single" w:color="auto" w:sz="4" w:space="0"/>
            </w:tcBorders>
            <w:noWrap w:val="0"/>
            <w:vAlign w:val="top"/>
          </w:tcPr>
          <w:p>
            <w:pPr>
              <w:spacing w:line="260" w:lineRule="exact"/>
              <w:rPr>
                <w:rFonts w:eastAsia="方正仿宋_GBK"/>
                <w:color w:val="000000"/>
                <w:spacing w:val="-2"/>
                <w:szCs w:val="21"/>
              </w:rPr>
            </w:pPr>
            <w:r>
              <w:rPr>
                <w:rFonts w:hint="eastAsia" w:eastAsia="方正仿宋_GBK"/>
                <w:color w:val="000000"/>
                <w:spacing w:val="-2"/>
                <w:szCs w:val="21"/>
              </w:rPr>
              <w:t>受检项目的勘察设计合同</w:t>
            </w:r>
          </w:p>
        </w:tc>
        <w:tc>
          <w:tcPr>
            <w:tcW w:w="2160" w:type="dxa"/>
            <w:tcBorders>
              <w:top w:val="single" w:color="auto" w:sz="4" w:space="0"/>
              <w:left w:val="single" w:color="auto" w:sz="4" w:space="0"/>
              <w:bottom w:val="single" w:color="auto" w:sz="4" w:space="0"/>
              <w:right w:val="single" w:color="auto" w:sz="4" w:space="0"/>
            </w:tcBorders>
            <w:noWrap w:val="0"/>
            <w:vAlign w:val="top"/>
          </w:tcPr>
          <w:p>
            <w:pPr>
              <w:spacing w:line="260" w:lineRule="exact"/>
              <w:rPr>
                <w:rFonts w:eastAsia="方正仿宋_GBK"/>
                <w:color w:val="000000"/>
                <w:spacing w:val="-2"/>
                <w:szCs w:val="21"/>
              </w:rPr>
            </w:pPr>
          </w:p>
        </w:tc>
        <w:tc>
          <w:tcPr>
            <w:tcW w:w="1980" w:type="dxa"/>
            <w:tcBorders>
              <w:top w:val="single" w:color="auto" w:sz="4" w:space="0"/>
              <w:left w:val="single" w:color="auto" w:sz="4" w:space="0"/>
              <w:bottom w:val="single" w:color="auto" w:sz="4" w:space="0"/>
              <w:right w:val="single" w:color="auto" w:sz="8" w:space="0"/>
            </w:tcBorders>
            <w:noWrap w:val="0"/>
            <w:vAlign w:val="top"/>
          </w:tcPr>
          <w:p>
            <w:pPr>
              <w:spacing w:line="260" w:lineRule="exact"/>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900" w:type="dxa"/>
            <w:tcBorders>
              <w:top w:val="single" w:color="auto" w:sz="4" w:space="0"/>
              <w:left w:val="single" w:color="auto" w:sz="8" w:space="0"/>
              <w:bottom w:val="single" w:color="auto" w:sz="4" w:space="0"/>
              <w:right w:val="single" w:color="auto" w:sz="4" w:space="0"/>
            </w:tcBorders>
            <w:noWrap w:val="0"/>
            <w:vAlign w:val="center"/>
          </w:tcPr>
          <w:p>
            <w:pPr>
              <w:spacing w:line="260" w:lineRule="exact"/>
              <w:jc w:val="center"/>
              <w:rPr>
                <w:rFonts w:eastAsia="方正仿宋_GBK"/>
                <w:color w:val="000000"/>
                <w:spacing w:val="-2"/>
                <w:szCs w:val="21"/>
              </w:rPr>
            </w:pPr>
            <w:r>
              <w:rPr>
                <w:rFonts w:eastAsia="方正仿宋_GBK"/>
                <w:color w:val="000000"/>
                <w:spacing w:val="-2"/>
                <w:szCs w:val="21"/>
              </w:rPr>
              <w:t>13</w:t>
            </w:r>
          </w:p>
        </w:tc>
        <w:tc>
          <w:tcPr>
            <w:tcW w:w="3700" w:type="dxa"/>
            <w:tcBorders>
              <w:top w:val="single" w:color="auto" w:sz="4" w:space="0"/>
              <w:left w:val="single" w:color="auto" w:sz="4" w:space="0"/>
              <w:bottom w:val="single" w:color="auto" w:sz="4" w:space="0"/>
              <w:right w:val="single" w:color="auto" w:sz="4" w:space="0"/>
            </w:tcBorders>
            <w:noWrap w:val="0"/>
            <w:vAlign w:val="top"/>
          </w:tcPr>
          <w:p>
            <w:pPr>
              <w:spacing w:line="260" w:lineRule="exact"/>
              <w:rPr>
                <w:rFonts w:eastAsia="方正仿宋_GBK"/>
                <w:color w:val="000000"/>
                <w:spacing w:val="-2"/>
                <w:szCs w:val="21"/>
              </w:rPr>
            </w:pPr>
            <w:r>
              <w:rPr>
                <w:rFonts w:hint="eastAsia" w:eastAsia="方正仿宋_GBK"/>
                <w:color w:val="000000"/>
                <w:spacing w:val="-2"/>
                <w:szCs w:val="21"/>
              </w:rPr>
              <w:t>受检项目的设计文件或勘察成果报告</w:t>
            </w:r>
          </w:p>
        </w:tc>
        <w:tc>
          <w:tcPr>
            <w:tcW w:w="2160" w:type="dxa"/>
            <w:tcBorders>
              <w:top w:val="single" w:color="auto" w:sz="4" w:space="0"/>
              <w:left w:val="single" w:color="auto" w:sz="4" w:space="0"/>
              <w:bottom w:val="single" w:color="auto" w:sz="4" w:space="0"/>
              <w:right w:val="single" w:color="auto" w:sz="4" w:space="0"/>
            </w:tcBorders>
            <w:noWrap w:val="0"/>
            <w:vAlign w:val="top"/>
          </w:tcPr>
          <w:p>
            <w:pPr>
              <w:spacing w:line="260" w:lineRule="exact"/>
              <w:rPr>
                <w:rFonts w:eastAsia="方正仿宋_GBK"/>
                <w:color w:val="000000"/>
                <w:spacing w:val="-2"/>
                <w:szCs w:val="21"/>
              </w:rPr>
            </w:pPr>
          </w:p>
        </w:tc>
        <w:tc>
          <w:tcPr>
            <w:tcW w:w="1980" w:type="dxa"/>
            <w:tcBorders>
              <w:top w:val="single" w:color="auto" w:sz="4" w:space="0"/>
              <w:left w:val="single" w:color="auto" w:sz="4" w:space="0"/>
              <w:bottom w:val="single" w:color="auto" w:sz="4" w:space="0"/>
              <w:right w:val="single" w:color="auto" w:sz="8" w:space="0"/>
            </w:tcBorders>
            <w:noWrap w:val="0"/>
            <w:vAlign w:val="top"/>
          </w:tcPr>
          <w:p>
            <w:pPr>
              <w:spacing w:line="260" w:lineRule="exact"/>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00" w:type="dxa"/>
            <w:tcBorders>
              <w:top w:val="single" w:color="auto" w:sz="4" w:space="0"/>
              <w:left w:val="single" w:color="auto" w:sz="8" w:space="0"/>
              <w:bottom w:val="single" w:color="auto" w:sz="4" w:space="0"/>
              <w:right w:val="single" w:color="auto" w:sz="4" w:space="0"/>
            </w:tcBorders>
            <w:noWrap w:val="0"/>
            <w:vAlign w:val="center"/>
          </w:tcPr>
          <w:p>
            <w:pPr>
              <w:spacing w:line="260" w:lineRule="exact"/>
              <w:jc w:val="center"/>
              <w:rPr>
                <w:rFonts w:eastAsia="方正仿宋_GBK"/>
                <w:color w:val="000000"/>
                <w:spacing w:val="-2"/>
                <w:szCs w:val="21"/>
              </w:rPr>
            </w:pPr>
            <w:r>
              <w:rPr>
                <w:rFonts w:eastAsia="方正仿宋_GBK"/>
                <w:color w:val="000000"/>
                <w:spacing w:val="-2"/>
                <w:szCs w:val="21"/>
              </w:rPr>
              <w:t>14</w:t>
            </w:r>
          </w:p>
        </w:tc>
        <w:tc>
          <w:tcPr>
            <w:tcW w:w="3700" w:type="dxa"/>
            <w:tcBorders>
              <w:top w:val="single" w:color="auto" w:sz="4" w:space="0"/>
              <w:left w:val="single" w:color="auto" w:sz="4" w:space="0"/>
              <w:bottom w:val="single" w:color="auto" w:sz="4" w:space="0"/>
              <w:right w:val="single" w:color="auto" w:sz="4" w:space="0"/>
            </w:tcBorders>
            <w:noWrap w:val="0"/>
            <w:vAlign w:val="top"/>
          </w:tcPr>
          <w:p>
            <w:pPr>
              <w:spacing w:line="260" w:lineRule="exact"/>
              <w:rPr>
                <w:rFonts w:eastAsia="方正仿宋_GBK"/>
                <w:color w:val="000000"/>
                <w:spacing w:val="-2"/>
                <w:szCs w:val="21"/>
              </w:rPr>
            </w:pPr>
            <w:r>
              <w:rPr>
                <w:rFonts w:hint="eastAsia" w:eastAsia="方正仿宋_GBK"/>
                <w:color w:val="000000"/>
                <w:spacing w:val="-2"/>
                <w:szCs w:val="21"/>
              </w:rPr>
              <w:t>受检项目的施工图审查意见书及审查合格书</w:t>
            </w:r>
          </w:p>
        </w:tc>
        <w:tc>
          <w:tcPr>
            <w:tcW w:w="2160" w:type="dxa"/>
            <w:tcBorders>
              <w:top w:val="single" w:color="auto" w:sz="4" w:space="0"/>
              <w:left w:val="single" w:color="auto" w:sz="4" w:space="0"/>
              <w:bottom w:val="single" w:color="auto" w:sz="4" w:space="0"/>
              <w:right w:val="single" w:color="auto" w:sz="4" w:space="0"/>
            </w:tcBorders>
            <w:noWrap w:val="0"/>
            <w:vAlign w:val="top"/>
          </w:tcPr>
          <w:p>
            <w:pPr>
              <w:spacing w:line="260" w:lineRule="exact"/>
              <w:rPr>
                <w:rFonts w:eastAsia="方正仿宋_GBK"/>
                <w:color w:val="000000"/>
                <w:spacing w:val="-2"/>
                <w:szCs w:val="21"/>
              </w:rPr>
            </w:pPr>
          </w:p>
        </w:tc>
        <w:tc>
          <w:tcPr>
            <w:tcW w:w="1980" w:type="dxa"/>
            <w:tcBorders>
              <w:top w:val="single" w:color="auto" w:sz="4" w:space="0"/>
              <w:left w:val="single" w:color="auto" w:sz="4" w:space="0"/>
              <w:bottom w:val="single" w:color="auto" w:sz="4" w:space="0"/>
              <w:right w:val="single" w:color="auto" w:sz="8" w:space="0"/>
            </w:tcBorders>
            <w:noWrap w:val="0"/>
            <w:vAlign w:val="top"/>
          </w:tcPr>
          <w:p>
            <w:pPr>
              <w:spacing w:line="260" w:lineRule="exact"/>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900" w:type="dxa"/>
            <w:tcBorders>
              <w:top w:val="single" w:color="auto" w:sz="4" w:space="0"/>
              <w:left w:val="single" w:color="auto" w:sz="8" w:space="0"/>
              <w:bottom w:val="single" w:color="auto" w:sz="8" w:space="0"/>
              <w:right w:val="single" w:color="auto" w:sz="4" w:space="0"/>
            </w:tcBorders>
            <w:noWrap w:val="0"/>
            <w:vAlign w:val="center"/>
          </w:tcPr>
          <w:p>
            <w:pPr>
              <w:spacing w:line="260" w:lineRule="exact"/>
              <w:jc w:val="center"/>
              <w:rPr>
                <w:rFonts w:eastAsia="方正仿宋_GBK"/>
                <w:color w:val="000000"/>
                <w:spacing w:val="-2"/>
                <w:szCs w:val="21"/>
              </w:rPr>
            </w:pPr>
            <w:r>
              <w:rPr>
                <w:rFonts w:eastAsia="方正仿宋_GBK"/>
                <w:color w:val="000000"/>
                <w:spacing w:val="-2"/>
                <w:szCs w:val="21"/>
              </w:rPr>
              <w:t>15</w:t>
            </w:r>
          </w:p>
        </w:tc>
        <w:tc>
          <w:tcPr>
            <w:tcW w:w="3700" w:type="dxa"/>
            <w:tcBorders>
              <w:top w:val="single" w:color="auto" w:sz="4" w:space="0"/>
              <w:left w:val="single" w:color="auto" w:sz="4" w:space="0"/>
              <w:bottom w:val="single" w:color="auto" w:sz="8" w:space="0"/>
              <w:right w:val="single" w:color="auto" w:sz="4" w:space="0"/>
            </w:tcBorders>
            <w:noWrap w:val="0"/>
            <w:vAlign w:val="center"/>
          </w:tcPr>
          <w:p>
            <w:pPr>
              <w:spacing w:line="260" w:lineRule="exact"/>
              <w:rPr>
                <w:rFonts w:eastAsia="方正仿宋_GBK"/>
                <w:color w:val="000000"/>
                <w:spacing w:val="-2"/>
                <w:szCs w:val="21"/>
              </w:rPr>
            </w:pPr>
            <w:r>
              <w:rPr>
                <w:rFonts w:hint="eastAsia" w:eastAsia="方正仿宋_GBK"/>
                <w:color w:val="000000"/>
                <w:spacing w:val="-2"/>
                <w:szCs w:val="21"/>
              </w:rPr>
              <w:t>其它需要提供的材料</w:t>
            </w:r>
          </w:p>
        </w:tc>
        <w:tc>
          <w:tcPr>
            <w:tcW w:w="2160" w:type="dxa"/>
            <w:tcBorders>
              <w:top w:val="single" w:color="auto" w:sz="4" w:space="0"/>
              <w:left w:val="single" w:color="auto" w:sz="4" w:space="0"/>
              <w:bottom w:val="single" w:color="auto" w:sz="8" w:space="0"/>
              <w:right w:val="single" w:color="auto" w:sz="4" w:space="0"/>
            </w:tcBorders>
            <w:noWrap w:val="0"/>
            <w:vAlign w:val="center"/>
          </w:tcPr>
          <w:p>
            <w:pPr>
              <w:spacing w:line="260" w:lineRule="exact"/>
              <w:rPr>
                <w:rFonts w:eastAsia="方正仿宋_GBK"/>
                <w:color w:val="000000"/>
                <w:spacing w:val="-2"/>
                <w:szCs w:val="21"/>
              </w:rPr>
            </w:pPr>
          </w:p>
        </w:tc>
        <w:tc>
          <w:tcPr>
            <w:tcW w:w="1980" w:type="dxa"/>
            <w:tcBorders>
              <w:top w:val="single" w:color="auto" w:sz="4" w:space="0"/>
              <w:left w:val="single" w:color="auto" w:sz="4" w:space="0"/>
              <w:bottom w:val="single" w:color="auto" w:sz="8" w:space="0"/>
              <w:right w:val="single" w:color="auto" w:sz="8" w:space="0"/>
            </w:tcBorders>
            <w:noWrap w:val="0"/>
            <w:vAlign w:val="center"/>
          </w:tcPr>
          <w:p>
            <w:pPr>
              <w:spacing w:line="260" w:lineRule="exact"/>
              <w:rPr>
                <w:rFonts w:eastAsia="方正仿宋_GBK"/>
                <w:color w:val="000000"/>
                <w:spacing w:val="-2"/>
                <w:szCs w:val="21"/>
              </w:rPr>
            </w:pPr>
          </w:p>
        </w:tc>
      </w:tr>
    </w:tbl>
    <w:p>
      <w:pPr>
        <w:spacing w:line="240" w:lineRule="exact"/>
        <w:rPr>
          <w:rFonts w:hint="eastAsia" w:eastAsia="方正仿宋_GBK"/>
          <w:color w:val="000000"/>
          <w:spacing w:val="-2"/>
          <w:szCs w:val="21"/>
        </w:rPr>
      </w:pPr>
      <w:r>
        <w:rPr>
          <w:rFonts w:hint="eastAsia" w:eastAsia="方正仿宋_GBK"/>
          <w:color w:val="000000"/>
          <w:spacing w:val="-2"/>
          <w:szCs w:val="21"/>
        </w:rPr>
        <w:t>注：以上材料未注明复印件的，均为原件。</w:t>
      </w:r>
    </w:p>
    <w:p>
      <w:pPr>
        <w:rPr>
          <w:rFonts w:ascii="Times New Roman" w:eastAsia="方正黑体_GBK" w:cs="宋体"/>
          <w:color w:val="000000"/>
          <w:spacing w:val="-2"/>
          <w:sz w:val="28"/>
          <w:szCs w:val="28"/>
        </w:rPr>
      </w:pPr>
      <w:r>
        <w:rPr>
          <w:rFonts w:eastAsia="仿宋_GB2312" w:cs="宋体"/>
          <w:color w:val="000000"/>
          <w:spacing w:val="-2"/>
          <w:sz w:val="32"/>
          <w:szCs w:val="32"/>
        </w:rPr>
        <w:br w:type="column"/>
      </w:r>
      <w:r>
        <w:rPr>
          <w:rFonts w:hint="eastAsia" w:ascii="Times New Roman" w:eastAsia="方正黑体_GBK" w:cs="宋体"/>
          <w:color w:val="000000"/>
          <w:spacing w:val="-2"/>
          <w:sz w:val="28"/>
          <w:szCs w:val="28"/>
        </w:rPr>
        <w:t>附件2：</w:t>
      </w:r>
    </w:p>
    <w:p>
      <w:pPr>
        <w:spacing w:line="600" w:lineRule="exact"/>
        <w:jc w:val="center"/>
        <w:rPr>
          <w:rFonts w:hint="eastAsia" w:eastAsia="黑体"/>
          <w:b/>
          <w:color w:val="000000"/>
          <w:spacing w:val="-2"/>
          <w:sz w:val="32"/>
          <w:szCs w:val="32"/>
        </w:rPr>
      </w:pPr>
      <w:r>
        <w:rPr>
          <w:rFonts w:hint="eastAsia" w:eastAsia="黑体"/>
          <w:color w:val="000000"/>
          <w:spacing w:val="-2"/>
          <w:sz w:val="32"/>
          <w:szCs w:val="32"/>
        </w:rPr>
        <w:t>江苏省工程勘察设计市场动态核查结果意见表（用于本省单位）</w:t>
      </w:r>
    </w:p>
    <w:p>
      <w:pPr>
        <w:spacing w:line="600" w:lineRule="exact"/>
        <w:jc w:val="center"/>
        <w:rPr>
          <w:rFonts w:eastAsia="仿宋_GB2312"/>
          <w:color w:val="000000"/>
          <w:spacing w:val="-2"/>
          <w:szCs w:val="21"/>
        </w:rPr>
      </w:pPr>
      <w:r>
        <w:rPr>
          <w:rFonts w:eastAsia="仿宋_GB2312"/>
          <w:color w:val="000000"/>
          <w:spacing w:val="-2"/>
          <w:szCs w:val="21"/>
        </w:rPr>
        <w:t xml:space="preserve">                                                        </w:t>
      </w:r>
      <w:r>
        <w:rPr>
          <w:rFonts w:hint="eastAsia" w:eastAsia="仿宋_GB2312"/>
          <w:color w:val="000000"/>
          <w:spacing w:val="-2"/>
          <w:szCs w:val="21"/>
        </w:rPr>
        <w:t>核查时间：</w:t>
      </w:r>
    </w:p>
    <w:tbl>
      <w:tblPr>
        <w:tblStyle w:val="1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3103"/>
        <w:gridCol w:w="1551"/>
        <w:gridCol w:w="1160"/>
        <w:gridCol w:w="17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auto" w:sz="8" w:space="0"/>
              <w:left w:val="single" w:color="auto" w:sz="8" w:space="0"/>
              <w:bottom w:val="single" w:color="auto" w:sz="4" w:space="0"/>
              <w:right w:val="single" w:color="auto" w:sz="4" w:space="0"/>
            </w:tcBorders>
            <w:noWrap w:val="0"/>
            <w:vAlign w:val="center"/>
          </w:tcPr>
          <w:p>
            <w:pPr>
              <w:spacing w:line="240" w:lineRule="exact"/>
              <w:jc w:val="center"/>
              <w:rPr>
                <w:rFonts w:eastAsia="仿宋_GB2312"/>
                <w:color w:val="000000"/>
                <w:spacing w:val="-2"/>
                <w:szCs w:val="21"/>
              </w:rPr>
            </w:pPr>
            <w:r>
              <w:rPr>
                <w:rFonts w:hint="eastAsia" w:eastAsia="仿宋_GB2312"/>
                <w:color w:val="000000"/>
                <w:spacing w:val="-2"/>
                <w:szCs w:val="21"/>
              </w:rPr>
              <w:t>单位名称</w:t>
            </w:r>
          </w:p>
        </w:tc>
        <w:tc>
          <w:tcPr>
            <w:tcW w:w="4654" w:type="dxa"/>
            <w:gridSpan w:val="2"/>
            <w:tcBorders>
              <w:top w:val="single" w:color="auto" w:sz="8" w:space="0"/>
              <w:left w:val="single" w:color="auto" w:sz="4" w:space="0"/>
              <w:bottom w:val="single" w:color="auto" w:sz="4" w:space="0"/>
              <w:right w:val="single" w:color="auto" w:sz="4" w:space="0"/>
            </w:tcBorders>
            <w:noWrap w:val="0"/>
            <w:vAlign w:val="center"/>
          </w:tcPr>
          <w:p>
            <w:pPr>
              <w:spacing w:line="240" w:lineRule="exact"/>
              <w:rPr>
                <w:rFonts w:eastAsia="仿宋_GB2312"/>
                <w:color w:val="000000"/>
                <w:spacing w:val="-2"/>
                <w:szCs w:val="21"/>
              </w:rPr>
            </w:pPr>
          </w:p>
        </w:tc>
        <w:tc>
          <w:tcPr>
            <w:tcW w:w="1160" w:type="dxa"/>
            <w:tcBorders>
              <w:top w:val="single" w:color="auto" w:sz="8" w:space="0"/>
              <w:left w:val="single" w:color="auto" w:sz="4" w:space="0"/>
              <w:bottom w:val="single" w:color="auto" w:sz="4" w:space="0"/>
              <w:right w:val="single" w:color="auto" w:sz="4" w:space="0"/>
            </w:tcBorders>
            <w:noWrap w:val="0"/>
            <w:vAlign w:val="center"/>
          </w:tcPr>
          <w:p>
            <w:pPr>
              <w:spacing w:line="240" w:lineRule="exact"/>
              <w:jc w:val="center"/>
              <w:rPr>
                <w:rFonts w:eastAsia="仿宋_GB2312"/>
                <w:color w:val="000000"/>
                <w:spacing w:val="-2"/>
                <w:szCs w:val="21"/>
              </w:rPr>
            </w:pPr>
            <w:r>
              <w:rPr>
                <w:rFonts w:hint="eastAsia" w:eastAsia="仿宋_GB2312"/>
                <w:color w:val="000000"/>
                <w:spacing w:val="-2"/>
                <w:szCs w:val="21"/>
              </w:rPr>
              <w:t>法人代表</w:t>
            </w:r>
          </w:p>
        </w:tc>
        <w:tc>
          <w:tcPr>
            <w:tcW w:w="1784" w:type="dxa"/>
            <w:tcBorders>
              <w:top w:val="single" w:color="auto" w:sz="8" w:space="0"/>
              <w:left w:val="single" w:color="auto" w:sz="4" w:space="0"/>
              <w:bottom w:val="single" w:color="auto" w:sz="4" w:space="0"/>
              <w:right w:val="single" w:color="auto" w:sz="8" w:space="0"/>
            </w:tcBorders>
            <w:noWrap w:val="0"/>
            <w:vAlign w:val="top"/>
          </w:tcPr>
          <w:p>
            <w:pPr>
              <w:spacing w:line="240" w:lineRule="exact"/>
              <w:rPr>
                <w:rFonts w:eastAsia="仿宋_GB2312"/>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auto" w:sz="4" w:space="0"/>
              <w:left w:val="single" w:color="auto" w:sz="8" w:space="0"/>
              <w:bottom w:val="single" w:color="auto" w:sz="4" w:space="0"/>
              <w:right w:val="single" w:color="auto" w:sz="4" w:space="0"/>
            </w:tcBorders>
            <w:noWrap w:val="0"/>
            <w:vAlign w:val="center"/>
          </w:tcPr>
          <w:p>
            <w:pPr>
              <w:spacing w:line="240" w:lineRule="exact"/>
              <w:rPr>
                <w:rFonts w:eastAsia="仿宋_GB2312"/>
                <w:color w:val="000000"/>
                <w:spacing w:val="-2"/>
                <w:szCs w:val="21"/>
              </w:rPr>
            </w:pPr>
            <w:r>
              <w:rPr>
                <w:rFonts w:hint="eastAsia" w:eastAsia="仿宋_GB2312"/>
                <w:color w:val="000000"/>
                <w:spacing w:val="-2"/>
                <w:szCs w:val="21"/>
              </w:rPr>
              <w:t>资质证书级别和范围</w:t>
            </w:r>
          </w:p>
        </w:tc>
        <w:tc>
          <w:tcPr>
            <w:tcW w:w="4654" w:type="dxa"/>
            <w:gridSpan w:val="2"/>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eastAsia="仿宋_GB2312"/>
                <w:color w:val="000000"/>
                <w:spacing w:val="-2"/>
                <w:szCs w:val="21"/>
              </w:rPr>
            </w:pPr>
          </w:p>
        </w:tc>
        <w:tc>
          <w:tcPr>
            <w:tcW w:w="116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仿宋_GB2312"/>
                <w:color w:val="000000"/>
                <w:spacing w:val="-2"/>
                <w:szCs w:val="21"/>
              </w:rPr>
            </w:pPr>
            <w:r>
              <w:rPr>
                <w:rFonts w:hint="eastAsia" w:eastAsia="仿宋_GB2312"/>
                <w:color w:val="000000"/>
                <w:spacing w:val="-2"/>
                <w:szCs w:val="21"/>
              </w:rPr>
              <w:t>联系电话</w:t>
            </w:r>
          </w:p>
        </w:tc>
        <w:tc>
          <w:tcPr>
            <w:tcW w:w="1784" w:type="dxa"/>
            <w:tcBorders>
              <w:top w:val="single" w:color="auto" w:sz="4" w:space="0"/>
              <w:left w:val="single" w:color="auto" w:sz="4" w:space="0"/>
              <w:bottom w:val="single" w:color="auto" w:sz="4" w:space="0"/>
              <w:right w:val="single" w:color="auto" w:sz="8" w:space="0"/>
            </w:tcBorders>
            <w:noWrap w:val="0"/>
            <w:vAlign w:val="top"/>
          </w:tcPr>
          <w:p>
            <w:pPr>
              <w:spacing w:line="240" w:lineRule="exact"/>
              <w:rPr>
                <w:rFonts w:eastAsia="仿宋_GB2312"/>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946" w:type="dxa"/>
            <w:gridSpan w:val="5"/>
            <w:tcBorders>
              <w:top w:val="single" w:color="auto" w:sz="4" w:space="0"/>
              <w:left w:val="single" w:color="auto" w:sz="8" w:space="0"/>
              <w:bottom w:val="single" w:color="auto" w:sz="4" w:space="0"/>
              <w:right w:val="single" w:color="auto" w:sz="8" w:space="0"/>
            </w:tcBorders>
            <w:noWrap w:val="0"/>
            <w:vAlign w:val="top"/>
          </w:tcPr>
          <w:p>
            <w:pPr>
              <w:spacing w:line="240" w:lineRule="exact"/>
              <w:rPr>
                <w:rFonts w:eastAsia="仿宋_GB2312"/>
                <w:color w:val="000000"/>
                <w:spacing w:val="-2"/>
                <w:szCs w:val="21"/>
              </w:rPr>
            </w:pPr>
            <w:r>
              <w:rPr>
                <w:rFonts w:hint="eastAsia" w:eastAsia="仿宋_GB2312"/>
                <w:color w:val="000000"/>
                <w:spacing w:val="-2"/>
                <w:szCs w:val="21"/>
              </w:rPr>
              <w:t>一、资质状况：</w:t>
            </w:r>
          </w:p>
          <w:p>
            <w:pPr>
              <w:spacing w:line="240" w:lineRule="exact"/>
              <w:rPr>
                <w:rFonts w:eastAsia="仿宋_GB2312"/>
                <w:color w:val="000000"/>
                <w:spacing w:val="-2"/>
                <w:szCs w:val="21"/>
              </w:rPr>
            </w:pPr>
            <w:r>
              <w:rPr>
                <w:rFonts w:eastAsia="仿宋_GB2312"/>
                <w:color w:val="000000"/>
                <w:spacing w:val="-2"/>
                <w:szCs w:val="21"/>
              </w:rPr>
              <w:t>1</w:t>
            </w:r>
            <w:r>
              <w:rPr>
                <w:rFonts w:hint="eastAsia" w:eastAsia="仿宋_GB2312"/>
                <w:color w:val="000000"/>
                <w:spacing w:val="-2"/>
                <w:szCs w:val="21"/>
              </w:rPr>
              <w:t>、注册资本：□符合标准</w:t>
            </w:r>
            <w:r>
              <w:rPr>
                <w:rFonts w:eastAsia="仿宋_GB2312"/>
                <w:color w:val="000000"/>
                <w:spacing w:val="-2"/>
                <w:szCs w:val="21"/>
              </w:rPr>
              <w:t xml:space="preserve">  </w:t>
            </w:r>
            <w:r>
              <w:rPr>
                <w:rFonts w:hint="eastAsia" w:eastAsia="仿宋_GB2312"/>
                <w:color w:val="000000"/>
                <w:spacing w:val="-2"/>
                <w:szCs w:val="21"/>
              </w:rPr>
              <w:t>□不符合标准及原因：</w:t>
            </w:r>
          </w:p>
          <w:p>
            <w:pPr>
              <w:spacing w:line="240" w:lineRule="exact"/>
              <w:rPr>
                <w:rFonts w:eastAsia="仿宋_GB2312"/>
                <w:color w:val="000000"/>
                <w:spacing w:val="-2"/>
                <w:szCs w:val="21"/>
              </w:rPr>
            </w:pPr>
          </w:p>
          <w:p>
            <w:pPr>
              <w:spacing w:line="240" w:lineRule="exact"/>
              <w:rPr>
                <w:rFonts w:eastAsia="仿宋_GB2312"/>
                <w:color w:val="000000"/>
                <w:spacing w:val="-2"/>
                <w:szCs w:val="21"/>
              </w:rPr>
            </w:pPr>
          </w:p>
          <w:p>
            <w:pPr>
              <w:spacing w:line="240" w:lineRule="exact"/>
              <w:rPr>
                <w:rFonts w:eastAsia="仿宋_GB2312"/>
                <w:color w:val="000000"/>
                <w:spacing w:val="-2"/>
                <w:szCs w:val="21"/>
              </w:rPr>
            </w:pPr>
            <w:r>
              <w:rPr>
                <w:rFonts w:eastAsia="仿宋_GB2312"/>
                <w:color w:val="000000"/>
                <w:spacing w:val="-2"/>
                <w:szCs w:val="21"/>
              </w:rPr>
              <w:t>2</w:t>
            </w:r>
            <w:r>
              <w:rPr>
                <w:rFonts w:hint="eastAsia" w:eastAsia="仿宋_GB2312"/>
                <w:color w:val="000000"/>
                <w:spacing w:val="-2"/>
                <w:szCs w:val="21"/>
              </w:rPr>
              <w:t>、技术负责人情况：□符合标准</w:t>
            </w:r>
            <w:r>
              <w:rPr>
                <w:rFonts w:eastAsia="仿宋_GB2312"/>
                <w:color w:val="000000"/>
                <w:spacing w:val="-2"/>
                <w:szCs w:val="21"/>
              </w:rPr>
              <w:t xml:space="preserve">  </w:t>
            </w:r>
            <w:r>
              <w:rPr>
                <w:rFonts w:hint="eastAsia" w:eastAsia="仿宋_GB2312"/>
                <w:color w:val="000000"/>
                <w:spacing w:val="-2"/>
                <w:szCs w:val="21"/>
              </w:rPr>
              <w:t>□不符合标准及原因：</w:t>
            </w:r>
          </w:p>
          <w:p>
            <w:pPr>
              <w:spacing w:line="240" w:lineRule="exact"/>
              <w:rPr>
                <w:rFonts w:eastAsia="仿宋_GB2312"/>
                <w:color w:val="000000"/>
                <w:spacing w:val="-2"/>
                <w:szCs w:val="21"/>
              </w:rPr>
            </w:pPr>
          </w:p>
          <w:p>
            <w:pPr>
              <w:spacing w:line="240" w:lineRule="exact"/>
              <w:rPr>
                <w:rFonts w:eastAsia="仿宋_GB2312"/>
                <w:color w:val="000000"/>
                <w:spacing w:val="-2"/>
                <w:szCs w:val="21"/>
              </w:rPr>
            </w:pPr>
          </w:p>
          <w:p>
            <w:pPr>
              <w:spacing w:line="240" w:lineRule="exact"/>
              <w:rPr>
                <w:rFonts w:eastAsia="仿宋_GB2312"/>
                <w:color w:val="000000"/>
                <w:spacing w:val="-2"/>
                <w:szCs w:val="21"/>
              </w:rPr>
            </w:pPr>
            <w:r>
              <w:rPr>
                <w:rFonts w:eastAsia="仿宋_GB2312"/>
                <w:color w:val="000000"/>
                <w:spacing w:val="-2"/>
                <w:szCs w:val="21"/>
              </w:rPr>
              <w:t>3</w:t>
            </w:r>
            <w:r>
              <w:rPr>
                <w:rFonts w:hint="eastAsia" w:eastAsia="仿宋_GB2312"/>
                <w:color w:val="000000"/>
                <w:spacing w:val="-2"/>
                <w:szCs w:val="21"/>
              </w:rPr>
              <w:t>、注册人员情况：□符合标准</w:t>
            </w:r>
            <w:r>
              <w:rPr>
                <w:rFonts w:eastAsia="仿宋_GB2312"/>
                <w:color w:val="000000"/>
                <w:spacing w:val="-2"/>
                <w:szCs w:val="21"/>
              </w:rPr>
              <w:t xml:space="preserve">  </w:t>
            </w:r>
            <w:r>
              <w:rPr>
                <w:rFonts w:hint="eastAsia" w:eastAsia="仿宋_GB2312"/>
                <w:color w:val="000000"/>
                <w:spacing w:val="-2"/>
                <w:szCs w:val="21"/>
              </w:rPr>
              <w:t>□不符合标准及原因：</w:t>
            </w:r>
          </w:p>
          <w:p>
            <w:pPr>
              <w:spacing w:line="240" w:lineRule="exact"/>
              <w:rPr>
                <w:rFonts w:eastAsia="仿宋_GB2312"/>
                <w:color w:val="000000"/>
                <w:spacing w:val="-2"/>
                <w:szCs w:val="21"/>
              </w:rPr>
            </w:pPr>
          </w:p>
          <w:p>
            <w:pPr>
              <w:spacing w:line="240" w:lineRule="exact"/>
              <w:rPr>
                <w:rFonts w:eastAsia="仿宋_GB2312"/>
                <w:color w:val="000000"/>
                <w:spacing w:val="-2"/>
                <w:szCs w:val="21"/>
              </w:rPr>
            </w:pPr>
          </w:p>
          <w:p>
            <w:pPr>
              <w:spacing w:line="240" w:lineRule="exact"/>
              <w:rPr>
                <w:rFonts w:eastAsia="仿宋_GB2312"/>
                <w:color w:val="000000"/>
                <w:spacing w:val="-2"/>
                <w:szCs w:val="21"/>
              </w:rPr>
            </w:pPr>
            <w:r>
              <w:rPr>
                <w:rFonts w:eastAsia="仿宋_GB2312"/>
                <w:color w:val="000000"/>
                <w:spacing w:val="-2"/>
                <w:szCs w:val="21"/>
              </w:rPr>
              <w:t>4</w:t>
            </w:r>
            <w:r>
              <w:rPr>
                <w:rFonts w:hint="eastAsia" w:eastAsia="仿宋_GB2312"/>
                <w:color w:val="000000"/>
                <w:spacing w:val="-2"/>
                <w:szCs w:val="21"/>
              </w:rPr>
              <w:t>、主要专业技术人员（注册人员除外）情况：□符合标准</w:t>
            </w:r>
            <w:r>
              <w:rPr>
                <w:rFonts w:eastAsia="仿宋_GB2312"/>
                <w:color w:val="000000"/>
                <w:spacing w:val="-2"/>
                <w:szCs w:val="21"/>
              </w:rPr>
              <w:t xml:space="preserve">  </w:t>
            </w:r>
            <w:r>
              <w:rPr>
                <w:rFonts w:hint="eastAsia" w:eastAsia="仿宋_GB2312"/>
                <w:color w:val="000000"/>
                <w:spacing w:val="-2"/>
                <w:szCs w:val="21"/>
              </w:rPr>
              <w:t>□不符合标准及原因：</w:t>
            </w:r>
          </w:p>
          <w:p>
            <w:pPr>
              <w:spacing w:line="240" w:lineRule="exact"/>
              <w:rPr>
                <w:rFonts w:eastAsia="仿宋_GB2312"/>
                <w:color w:val="000000"/>
                <w:spacing w:val="-2"/>
                <w:szCs w:val="21"/>
              </w:rPr>
            </w:pPr>
          </w:p>
          <w:p>
            <w:pPr>
              <w:spacing w:line="240" w:lineRule="exact"/>
              <w:rPr>
                <w:rFonts w:eastAsia="仿宋_GB2312"/>
                <w:color w:val="000000"/>
                <w:spacing w:val="-2"/>
                <w:szCs w:val="21"/>
              </w:rPr>
            </w:pPr>
          </w:p>
          <w:p>
            <w:pPr>
              <w:spacing w:line="240" w:lineRule="exact"/>
              <w:rPr>
                <w:rFonts w:eastAsia="仿宋_GB2312"/>
                <w:color w:val="000000"/>
                <w:spacing w:val="-2"/>
                <w:szCs w:val="21"/>
              </w:rPr>
            </w:pPr>
            <w:r>
              <w:rPr>
                <w:rFonts w:eastAsia="仿宋_GB2312"/>
                <w:color w:val="000000"/>
                <w:spacing w:val="-2"/>
                <w:szCs w:val="21"/>
              </w:rPr>
              <w:t>5</w:t>
            </w:r>
            <w:r>
              <w:rPr>
                <w:rFonts w:hint="eastAsia" w:eastAsia="仿宋_GB2312"/>
                <w:color w:val="000000"/>
                <w:spacing w:val="-2"/>
                <w:szCs w:val="21"/>
              </w:rPr>
              <w:t>、技术装备及管理水平：□符合标准</w:t>
            </w:r>
            <w:r>
              <w:rPr>
                <w:rFonts w:eastAsia="仿宋_GB2312"/>
                <w:color w:val="000000"/>
                <w:spacing w:val="-2"/>
                <w:szCs w:val="21"/>
              </w:rPr>
              <w:t xml:space="preserve">  </w:t>
            </w:r>
            <w:r>
              <w:rPr>
                <w:rFonts w:hint="eastAsia" w:eastAsia="仿宋_GB2312"/>
                <w:color w:val="000000"/>
                <w:spacing w:val="-2"/>
                <w:szCs w:val="21"/>
              </w:rPr>
              <w:t>□不符合标准及原因：</w:t>
            </w:r>
          </w:p>
          <w:p>
            <w:pPr>
              <w:spacing w:line="240" w:lineRule="exact"/>
              <w:rPr>
                <w:rFonts w:eastAsia="仿宋_GB2312"/>
                <w:color w:val="000000"/>
                <w:spacing w:val="-2"/>
                <w:szCs w:val="21"/>
              </w:rPr>
            </w:pPr>
          </w:p>
          <w:p>
            <w:pPr>
              <w:spacing w:line="240" w:lineRule="exact"/>
              <w:rPr>
                <w:rFonts w:eastAsia="仿宋_GB2312"/>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946" w:type="dxa"/>
            <w:gridSpan w:val="5"/>
            <w:tcBorders>
              <w:top w:val="single" w:color="auto" w:sz="4" w:space="0"/>
              <w:left w:val="single" w:color="auto" w:sz="8" w:space="0"/>
              <w:bottom w:val="single" w:color="auto" w:sz="4" w:space="0"/>
              <w:right w:val="single" w:color="auto" w:sz="8" w:space="0"/>
            </w:tcBorders>
            <w:noWrap w:val="0"/>
            <w:vAlign w:val="top"/>
          </w:tcPr>
          <w:p>
            <w:pPr>
              <w:spacing w:line="240" w:lineRule="exact"/>
              <w:rPr>
                <w:rFonts w:eastAsia="仿宋_GB2312"/>
                <w:color w:val="000000"/>
                <w:spacing w:val="-2"/>
                <w:szCs w:val="21"/>
              </w:rPr>
            </w:pPr>
            <w:r>
              <w:rPr>
                <w:rFonts w:hint="eastAsia" w:eastAsia="仿宋_GB2312"/>
                <w:color w:val="000000"/>
                <w:spacing w:val="-2"/>
                <w:szCs w:val="21"/>
              </w:rPr>
              <w:t>二、市场及质量行为：</w:t>
            </w:r>
          </w:p>
          <w:p>
            <w:pPr>
              <w:spacing w:line="240" w:lineRule="exact"/>
              <w:rPr>
                <w:rFonts w:eastAsia="仿宋_GB2312"/>
                <w:color w:val="000000"/>
                <w:spacing w:val="-2"/>
                <w:szCs w:val="21"/>
              </w:rPr>
            </w:pPr>
            <w:r>
              <w:rPr>
                <w:rFonts w:eastAsia="仿宋_GB2312"/>
                <w:color w:val="000000"/>
                <w:spacing w:val="-2"/>
                <w:szCs w:val="21"/>
              </w:rPr>
              <w:t>1</w:t>
            </w:r>
            <w:r>
              <w:rPr>
                <w:rFonts w:hint="eastAsia" w:eastAsia="仿宋_GB2312"/>
                <w:color w:val="000000"/>
                <w:spacing w:val="-2"/>
                <w:szCs w:val="21"/>
              </w:rPr>
              <w:t>、有无以欺骗手段取得资质证书的情况：</w:t>
            </w:r>
          </w:p>
          <w:p>
            <w:pPr>
              <w:spacing w:line="240" w:lineRule="exact"/>
              <w:ind w:firstLine="309" w:firstLineChars="150"/>
              <w:rPr>
                <w:rFonts w:eastAsia="仿宋_GB2312"/>
                <w:color w:val="000000"/>
                <w:spacing w:val="-2"/>
                <w:szCs w:val="21"/>
              </w:rPr>
            </w:pPr>
            <w:r>
              <w:rPr>
                <w:rFonts w:hint="eastAsia" w:eastAsia="仿宋_GB2312"/>
                <w:color w:val="000000"/>
                <w:spacing w:val="-2"/>
                <w:szCs w:val="21"/>
              </w:rPr>
              <w:t>□无</w:t>
            </w:r>
            <w:r>
              <w:rPr>
                <w:rFonts w:eastAsia="仿宋_GB2312"/>
                <w:color w:val="000000"/>
                <w:spacing w:val="-2"/>
                <w:szCs w:val="21"/>
              </w:rPr>
              <w:t xml:space="preserve"> </w:t>
            </w:r>
            <w:r>
              <w:rPr>
                <w:rFonts w:hint="eastAsia" w:eastAsia="仿宋_GB2312"/>
                <w:color w:val="000000"/>
                <w:spacing w:val="-2"/>
                <w:szCs w:val="21"/>
              </w:rPr>
              <w:t>□有及依据：</w:t>
            </w:r>
          </w:p>
          <w:p>
            <w:pPr>
              <w:spacing w:line="240" w:lineRule="exact"/>
              <w:rPr>
                <w:rFonts w:eastAsia="仿宋_GB2312"/>
                <w:color w:val="000000"/>
                <w:spacing w:val="-2"/>
                <w:szCs w:val="21"/>
              </w:rPr>
            </w:pPr>
          </w:p>
          <w:p>
            <w:pPr>
              <w:spacing w:line="240" w:lineRule="exact"/>
              <w:rPr>
                <w:rFonts w:eastAsia="仿宋_GB2312"/>
                <w:color w:val="000000"/>
                <w:spacing w:val="-2"/>
                <w:szCs w:val="21"/>
              </w:rPr>
            </w:pPr>
            <w:r>
              <w:rPr>
                <w:rFonts w:eastAsia="仿宋_GB2312"/>
                <w:color w:val="000000"/>
                <w:spacing w:val="-2"/>
                <w:szCs w:val="21"/>
              </w:rPr>
              <w:t>2</w:t>
            </w:r>
            <w:r>
              <w:rPr>
                <w:rFonts w:hint="eastAsia" w:eastAsia="仿宋_GB2312"/>
                <w:color w:val="000000"/>
                <w:spacing w:val="-2"/>
                <w:szCs w:val="21"/>
              </w:rPr>
              <w:t>、有无采用无证或超越资质和业务范围等不正当手段承揽勘察、设计业务的情况：</w:t>
            </w:r>
          </w:p>
          <w:p>
            <w:pPr>
              <w:spacing w:line="240" w:lineRule="exact"/>
              <w:ind w:firstLine="309" w:firstLineChars="150"/>
              <w:rPr>
                <w:rFonts w:eastAsia="仿宋_GB2312"/>
                <w:color w:val="000000"/>
                <w:spacing w:val="-2"/>
                <w:szCs w:val="21"/>
              </w:rPr>
            </w:pPr>
            <w:r>
              <w:rPr>
                <w:rFonts w:hint="eastAsia" w:eastAsia="仿宋_GB2312"/>
                <w:color w:val="000000"/>
                <w:spacing w:val="-2"/>
                <w:szCs w:val="21"/>
              </w:rPr>
              <w:t>□无</w:t>
            </w:r>
            <w:r>
              <w:rPr>
                <w:rFonts w:eastAsia="仿宋_GB2312"/>
                <w:color w:val="000000"/>
                <w:spacing w:val="-2"/>
                <w:szCs w:val="21"/>
              </w:rPr>
              <w:t xml:space="preserve"> </w:t>
            </w:r>
            <w:r>
              <w:rPr>
                <w:rFonts w:hint="eastAsia" w:eastAsia="仿宋_GB2312"/>
                <w:color w:val="000000"/>
                <w:spacing w:val="-2"/>
                <w:szCs w:val="21"/>
              </w:rPr>
              <w:t>□有及依据：</w:t>
            </w:r>
          </w:p>
          <w:p>
            <w:pPr>
              <w:spacing w:line="240" w:lineRule="exact"/>
              <w:rPr>
                <w:rFonts w:eastAsia="仿宋_GB2312"/>
                <w:color w:val="000000"/>
                <w:spacing w:val="-2"/>
                <w:szCs w:val="21"/>
              </w:rPr>
            </w:pPr>
          </w:p>
          <w:p>
            <w:pPr>
              <w:spacing w:line="240" w:lineRule="exact"/>
              <w:rPr>
                <w:rFonts w:eastAsia="仿宋_GB2312"/>
                <w:color w:val="000000"/>
                <w:spacing w:val="-2"/>
                <w:szCs w:val="21"/>
              </w:rPr>
            </w:pPr>
            <w:r>
              <w:rPr>
                <w:rFonts w:eastAsia="仿宋_GB2312"/>
                <w:color w:val="000000"/>
                <w:spacing w:val="-2"/>
                <w:szCs w:val="21"/>
              </w:rPr>
              <w:t>3</w:t>
            </w:r>
            <w:r>
              <w:rPr>
                <w:rFonts w:hint="eastAsia" w:eastAsia="仿宋_GB2312"/>
                <w:color w:val="000000"/>
                <w:spacing w:val="-2"/>
                <w:szCs w:val="21"/>
              </w:rPr>
              <w:t>、有无将承揽的勘察、设计业务转包或者违法分包的情况：</w:t>
            </w:r>
          </w:p>
          <w:p>
            <w:pPr>
              <w:spacing w:line="240" w:lineRule="exact"/>
              <w:rPr>
                <w:rFonts w:eastAsia="仿宋_GB2312"/>
                <w:color w:val="000000"/>
                <w:spacing w:val="-2"/>
                <w:szCs w:val="21"/>
              </w:rPr>
            </w:pPr>
            <w:r>
              <w:rPr>
                <w:rFonts w:eastAsia="仿宋_GB2312"/>
                <w:color w:val="000000"/>
                <w:spacing w:val="-2"/>
                <w:szCs w:val="21"/>
              </w:rPr>
              <w:t xml:space="preserve">   </w:t>
            </w:r>
            <w:r>
              <w:rPr>
                <w:rFonts w:hint="eastAsia" w:eastAsia="仿宋_GB2312"/>
                <w:color w:val="000000"/>
                <w:spacing w:val="-2"/>
                <w:szCs w:val="21"/>
              </w:rPr>
              <w:t>□无</w:t>
            </w:r>
            <w:r>
              <w:rPr>
                <w:rFonts w:eastAsia="仿宋_GB2312"/>
                <w:color w:val="000000"/>
                <w:spacing w:val="-2"/>
                <w:szCs w:val="21"/>
              </w:rPr>
              <w:t xml:space="preserve"> </w:t>
            </w:r>
            <w:r>
              <w:rPr>
                <w:rFonts w:hint="eastAsia" w:eastAsia="仿宋_GB2312"/>
                <w:color w:val="000000"/>
                <w:spacing w:val="-2"/>
                <w:szCs w:val="21"/>
              </w:rPr>
              <w:t>□有及依据：</w:t>
            </w:r>
          </w:p>
          <w:p>
            <w:pPr>
              <w:spacing w:line="240" w:lineRule="exact"/>
              <w:rPr>
                <w:rFonts w:eastAsia="仿宋_GB2312"/>
                <w:color w:val="000000"/>
                <w:spacing w:val="-2"/>
                <w:szCs w:val="21"/>
              </w:rPr>
            </w:pPr>
          </w:p>
          <w:p>
            <w:pPr>
              <w:spacing w:line="240" w:lineRule="exact"/>
              <w:rPr>
                <w:rFonts w:eastAsia="仿宋_GB2312"/>
                <w:color w:val="000000"/>
                <w:spacing w:val="-2"/>
                <w:szCs w:val="21"/>
              </w:rPr>
            </w:pPr>
            <w:r>
              <w:rPr>
                <w:rFonts w:eastAsia="仿宋_GB2312"/>
                <w:color w:val="000000"/>
                <w:spacing w:val="-2"/>
                <w:szCs w:val="21"/>
              </w:rPr>
              <w:t>4</w:t>
            </w:r>
            <w:r>
              <w:rPr>
                <w:rFonts w:hint="eastAsia" w:eastAsia="仿宋_GB2312"/>
                <w:color w:val="000000"/>
                <w:spacing w:val="-2"/>
                <w:szCs w:val="21"/>
              </w:rPr>
              <w:t>、有无出借、转让、出卖资质证书、图签、图章或以挂靠方式允许他人以本单位名义承接勘察设计业务的情况：</w:t>
            </w:r>
          </w:p>
          <w:p>
            <w:pPr>
              <w:spacing w:line="240" w:lineRule="exact"/>
              <w:ind w:firstLine="309" w:firstLineChars="150"/>
              <w:rPr>
                <w:rFonts w:eastAsia="仿宋_GB2312"/>
                <w:color w:val="000000"/>
                <w:spacing w:val="-2"/>
                <w:szCs w:val="21"/>
              </w:rPr>
            </w:pPr>
            <w:r>
              <w:rPr>
                <w:rFonts w:hint="eastAsia" w:eastAsia="仿宋_GB2312"/>
                <w:color w:val="000000"/>
                <w:spacing w:val="-2"/>
                <w:szCs w:val="21"/>
              </w:rPr>
              <w:t>□无</w:t>
            </w:r>
            <w:r>
              <w:rPr>
                <w:rFonts w:eastAsia="仿宋_GB2312"/>
                <w:color w:val="000000"/>
                <w:spacing w:val="-2"/>
                <w:szCs w:val="21"/>
              </w:rPr>
              <w:t xml:space="preserve"> </w:t>
            </w:r>
            <w:r>
              <w:rPr>
                <w:rFonts w:hint="eastAsia" w:eastAsia="仿宋_GB2312"/>
                <w:color w:val="000000"/>
                <w:spacing w:val="-2"/>
                <w:szCs w:val="21"/>
              </w:rPr>
              <w:t>□有及依据：</w:t>
            </w:r>
          </w:p>
          <w:p>
            <w:pPr>
              <w:spacing w:line="240" w:lineRule="exact"/>
              <w:rPr>
                <w:rFonts w:eastAsia="仿宋_GB2312"/>
                <w:color w:val="000000"/>
                <w:spacing w:val="-2"/>
                <w:szCs w:val="21"/>
              </w:rPr>
            </w:pPr>
          </w:p>
          <w:p>
            <w:pPr>
              <w:spacing w:line="240" w:lineRule="exact"/>
              <w:rPr>
                <w:rFonts w:eastAsia="仿宋_GB2312"/>
                <w:color w:val="000000"/>
                <w:spacing w:val="-2"/>
                <w:szCs w:val="21"/>
              </w:rPr>
            </w:pPr>
            <w:r>
              <w:rPr>
                <w:rFonts w:eastAsia="仿宋_GB2312"/>
                <w:color w:val="000000"/>
                <w:spacing w:val="-2"/>
                <w:szCs w:val="21"/>
              </w:rPr>
              <w:t>5</w:t>
            </w:r>
            <w:r>
              <w:rPr>
                <w:rFonts w:hint="eastAsia" w:eastAsia="仿宋_GB2312"/>
                <w:color w:val="000000"/>
                <w:spacing w:val="-2"/>
                <w:szCs w:val="21"/>
              </w:rPr>
              <w:t>、有无伪造、涂改资质证书、注册证书或注册执业印章的情况：</w:t>
            </w:r>
          </w:p>
          <w:p>
            <w:pPr>
              <w:spacing w:line="240" w:lineRule="exact"/>
              <w:ind w:firstLine="309" w:firstLineChars="150"/>
              <w:rPr>
                <w:rFonts w:eastAsia="仿宋_GB2312"/>
                <w:color w:val="000000"/>
                <w:spacing w:val="-2"/>
                <w:szCs w:val="21"/>
              </w:rPr>
            </w:pPr>
            <w:r>
              <w:rPr>
                <w:rFonts w:hint="eastAsia" w:eastAsia="仿宋_GB2312"/>
                <w:color w:val="000000"/>
                <w:spacing w:val="-2"/>
                <w:szCs w:val="21"/>
              </w:rPr>
              <w:t>□无</w:t>
            </w:r>
            <w:r>
              <w:rPr>
                <w:rFonts w:eastAsia="仿宋_GB2312"/>
                <w:color w:val="000000"/>
                <w:spacing w:val="-2"/>
                <w:szCs w:val="21"/>
              </w:rPr>
              <w:t xml:space="preserve"> </w:t>
            </w:r>
            <w:r>
              <w:rPr>
                <w:rFonts w:hint="eastAsia" w:eastAsia="仿宋_GB2312"/>
                <w:color w:val="000000"/>
                <w:spacing w:val="-2"/>
                <w:szCs w:val="21"/>
              </w:rPr>
              <w:t>□有及依据：</w:t>
            </w:r>
          </w:p>
          <w:p>
            <w:pPr>
              <w:spacing w:line="240" w:lineRule="exact"/>
              <w:rPr>
                <w:rFonts w:eastAsia="仿宋_GB2312"/>
                <w:color w:val="000000"/>
                <w:spacing w:val="-2"/>
                <w:szCs w:val="21"/>
              </w:rPr>
            </w:pPr>
          </w:p>
          <w:p>
            <w:pPr>
              <w:spacing w:line="240" w:lineRule="exact"/>
              <w:rPr>
                <w:rFonts w:eastAsia="仿宋_GB2312"/>
                <w:color w:val="000000"/>
                <w:spacing w:val="-2"/>
                <w:szCs w:val="21"/>
              </w:rPr>
            </w:pPr>
            <w:r>
              <w:rPr>
                <w:rFonts w:eastAsia="仿宋_GB2312"/>
                <w:color w:val="000000"/>
                <w:spacing w:val="-2"/>
                <w:szCs w:val="21"/>
              </w:rPr>
              <w:t>6</w:t>
            </w:r>
            <w:r>
              <w:rPr>
                <w:rFonts w:hint="eastAsia" w:eastAsia="仿宋_GB2312"/>
                <w:color w:val="000000"/>
                <w:spacing w:val="-2"/>
                <w:szCs w:val="21"/>
              </w:rPr>
              <w:t>、有无专业技术人员和注册执业人员私人挂靠、私下组织或参与承接勘察设计业务活动的情况：</w:t>
            </w:r>
          </w:p>
          <w:p>
            <w:pPr>
              <w:spacing w:line="240" w:lineRule="exact"/>
              <w:ind w:firstLine="309" w:firstLineChars="150"/>
              <w:rPr>
                <w:rFonts w:eastAsia="仿宋_GB2312"/>
                <w:color w:val="000000"/>
                <w:spacing w:val="-2"/>
                <w:szCs w:val="21"/>
              </w:rPr>
            </w:pPr>
            <w:r>
              <w:rPr>
                <w:rFonts w:hint="eastAsia" w:eastAsia="仿宋_GB2312"/>
                <w:color w:val="000000"/>
                <w:spacing w:val="-2"/>
                <w:szCs w:val="21"/>
              </w:rPr>
              <w:t>□无</w:t>
            </w:r>
            <w:r>
              <w:rPr>
                <w:rFonts w:eastAsia="仿宋_GB2312"/>
                <w:color w:val="000000"/>
                <w:spacing w:val="-2"/>
                <w:szCs w:val="21"/>
              </w:rPr>
              <w:t xml:space="preserve"> </w:t>
            </w:r>
            <w:r>
              <w:rPr>
                <w:rFonts w:hint="eastAsia" w:eastAsia="仿宋_GB2312"/>
                <w:color w:val="000000"/>
                <w:spacing w:val="-2"/>
                <w:szCs w:val="21"/>
              </w:rPr>
              <w:t>□有及依据：</w:t>
            </w:r>
          </w:p>
          <w:p>
            <w:pPr>
              <w:spacing w:line="240" w:lineRule="exact"/>
              <w:rPr>
                <w:rFonts w:eastAsia="仿宋_GB2312"/>
                <w:color w:val="000000"/>
                <w:spacing w:val="-2"/>
                <w:szCs w:val="21"/>
              </w:rPr>
            </w:pPr>
          </w:p>
          <w:p>
            <w:pPr>
              <w:spacing w:line="240" w:lineRule="exact"/>
              <w:rPr>
                <w:rFonts w:eastAsia="仿宋_GB2312"/>
                <w:color w:val="000000"/>
                <w:spacing w:val="-2"/>
                <w:szCs w:val="21"/>
              </w:rPr>
            </w:pPr>
          </w:p>
          <w:p>
            <w:pPr>
              <w:spacing w:line="240" w:lineRule="exact"/>
              <w:rPr>
                <w:rFonts w:eastAsia="仿宋_GB2312"/>
                <w:color w:val="000000"/>
                <w:spacing w:val="-2"/>
                <w:szCs w:val="21"/>
              </w:rPr>
            </w:pPr>
            <w:r>
              <w:rPr>
                <w:rFonts w:eastAsia="仿宋_GB2312"/>
                <w:color w:val="000000"/>
                <w:spacing w:val="-2"/>
                <w:szCs w:val="21"/>
              </w:rPr>
              <w:t>7</w:t>
            </w:r>
            <w:r>
              <w:rPr>
                <w:rFonts w:hint="eastAsia" w:eastAsia="仿宋_GB2312"/>
                <w:color w:val="000000"/>
                <w:spacing w:val="-2"/>
                <w:szCs w:val="21"/>
              </w:rPr>
              <w:t>、有无专业技术人员和注册执业人员同时受聘于两个及以上单位的情况：</w:t>
            </w:r>
          </w:p>
          <w:p>
            <w:pPr>
              <w:spacing w:line="240" w:lineRule="exact"/>
              <w:ind w:firstLine="309" w:firstLineChars="150"/>
              <w:rPr>
                <w:rFonts w:eastAsia="仿宋_GB2312"/>
                <w:color w:val="000000"/>
                <w:spacing w:val="-2"/>
                <w:szCs w:val="21"/>
              </w:rPr>
            </w:pPr>
            <w:r>
              <w:rPr>
                <w:rFonts w:hint="eastAsia" w:eastAsia="仿宋_GB2312"/>
                <w:color w:val="000000"/>
                <w:spacing w:val="-2"/>
                <w:szCs w:val="21"/>
              </w:rPr>
              <w:t>□无</w:t>
            </w:r>
            <w:r>
              <w:rPr>
                <w:rFonts w:eastAsia="仿宋_GB2312"/>
                <w:color w:val="000000"/>
                <w:spacing w:val="-2"/>
                <w:szCs w:val="21"/>
              </w:rPr>
              <w:t xml:space="preserve"> </w:t>
            </w:r>
            <w:r>
              <w:rPr>
                <w:rFonts w:hint="eastAsia" w:eastAsia="仿宋_GB2312"/>
                <w:color w:val="000000"/>
                <w:spacing w:val="-2"/>
                <w:szCs w:val="21"/>
              </w:rPr>
              <w:t>□有及依据：</w:t>
            </w:r>
          </w:p>
          <w:p>
            <w:pPr>
              <w:spacing w:line="240" w:lineRule="exact"/>
              <w:rPr>
                <w:rFonts w:eastAsia="仿宋_GB2312"/>
                <w:color w:val="000000"/>
                <w:spacing w:val="-2"/>
                <w:szCs w:val="21"/>
              </w:rPr>
            </w:pPr>
          </w:p>
          <w:p>
            <w:pPr>
              <w:spacing w:line="240" w:lineRule="exact"/>
              <w:rPr>
                <w:rFonts w:eastAsia="仿宋_GB2312"/>
                <w:color w:val="000000"/>
                <w:spacing w:val="-2"/>
                <w:szCs w:val="21"/>
              </w:rPr>
            </w:pPr>
            <w:r>
              <w:rPr>
                <w:rFonts w:eastAsia="仿宋_GB2312"/>
                <w:color w:val="000000"/>
                <w:spacing w:val="-2"/>
                <w:szCs w:val="21"/>
              </w:rPr>
              <w:t>8</w:t>
            </w:r>
            <w:r>
              <w:rPr>
                <w:rFonts w:hint="eastAsia" w:eastAsia="仿宋_GB2312"/>
                <w:color w:val="000000"/>
                <w:spacing w:val="-2"/>
                <w:szCs w:val="21"/>
              </w:rPr>
              <w:t>、有无注册执业人员出借、转让、出卖执业资格证书、执业印章，或私自为其他单位设计项目签字、盖章的，或允许他人以本人名义执业的情况：</w:t>
            </w:r>
          </w:p>
          <w:p>
            <w:pPr>
              <w:spacing w:line="240" w:lineRule="exact"/>
              <w:ind w:firstLine="309" w:firstLineChars="150"/>
              <w:rPr>
                <w:rFonts w:eastAsia="仿宋_GB2312"/>
                <w:color w:val="000000"/>
                <w:spacing w:val="-2"/>
                <w:szCs w:val="21"/>
              </w:rPr>
            </w:pPr>
            <w:r>
              <w:rPr>
                <w:rFonts w:hint="eastAsia" w:eastAsia="仿宋_GB2312"/>
                <w:color w:val="000000"/>
                <w:spacing w:val="-2"/>
                <w:szCs w:val="21"/>
              </w:rPr>
              <w:t>□无</w:t>
            </w:r>
            <w:r>
              <w:rPr>
                <w:rFonts w:eastAsia="仿宋_GB2312"/>
                <w:color w:val="000000"/>
                <w:spacing w:val="-2"/>
                <w:szCs w:val="21"/>
              </w:rPr>
              <w:t xml:space="preserve"> </w:t>
            </w:r>
            <w:r>
              <w:rPr>
                <w:rFonts w:hint="eastAsia" w:eastAsia="仿宋_GB2312"/>
                <w:color w:val="000000"/>
                <w:spacing w:val="-2"/>
                <w:szCs w:val="21"/>
              </w:rPr>
              <w:t>□有及依据：</w:t>
            </w:r>
          </w:p>
          <w:p>
            <w:pPr>
              <w:spacing w:line="240" w:lineRule="exact"/>
              <w:rPr>
                <w:rFonts w:eastAsia="仿宋_GB2312"/>
                <w:color w:val="000000"/>
                <w:spacing w:val="-2"/>
                <w:szCs w:val="21"/>
              </w:rPr>
            </w:pPr>
          </w:p>
          <w:p>
            <w:pPr>
              <w:spacing w:line="240" w:lineRule="exact"/>
              <w:rPr>
                <w:rFonts w:eastAsia="仿宋_GB2312"/>
                <w:color w:val="000000"/>
                <w:spacing w:val="-2"/>
                <w:szCs w:val="21"/>
              </w:rPr>
            </w:pPr>
          </w:p>
          <w:p>
            <w:pPr>
              <w:spacing w:line="240" w:lineRule="exact"/>
              <w:rPr>
                <w:rFonts w:eastAsia="仿宋_GB2312"/>
                <w:color w:val="000000"/>
                <w:spacing w:val="-2"/>
                <w:szCs w:val="21"/>
              </w:rPr>
            </w:pPr>
            <w:r>
              <w:rPr>
                <w:rFonts w:eastAsia="仿宋_GB2312"/>
                <w:color w:val="000000"/>
                <w:spacing w:val="-2"/>
                <w:szCs w:val="21"/>
              </w:rPr>
              <w:t>9</w:t>
            </w:r>
            <w:r>
              <w:rPr>
                <w:rFonts w:hint="eastAsia" w:eastAsia="仿宋_GB2312"/>
                <w:color w:val="000000"/>
                <w:spacing w:val="-2"/>
                <w:szCs w:val="21"/>
              </w:rPr>
              <w:t>、有无勘察单位及其注册执业人员弄虚作假、提供虚假勘察成果资料或设计单位及其注册执业人员无勘察报告或未按照审查批准的勘察报告进行设计的情况：</w:t>
            </w:r>
          </w:p>
          <w:p>
            <w:pPr>
              <w:spacing w:line="240" w:lineRule="exact"/>
              <w:ind w:firstLine="412" w:firstLineChars="200"/>
              <w:rPr>
                <w:rFonts w:eastAsia="仿宋_GB2312"/>
                <w:color w:val="000000"/>
                <w:spacing w:val="-2"/>
                <w:szCs w:val="21"/>
              </w:rPr>
            </w:pPr>
            <w:r>
              <w:rPr>
                <w:rFonts w:hint="eastAsia" w:eastAsia="仿宋_GB2312"/>
                <w:color w:val="000000"/>
                <w:spacing w:val="-2"/>
                <w:szCs w:val="21"/>
              </w:rPr>
              <w:t>□无</w:t>
            </w:r>
            <w:r>
              <w:rPr>
                <w:rFonts w:eastAsia="仿宋_GB2312"/>
                <w:color w:val="000000"/>
                <w:spacing w:val="-2"/>
                <w:szCs w:val="21"/>
              </w:rPr>
              <w:t xml:space="preserve"> </w:t>
            </w:r>
            <w:r>
              <w:rPr>
                <w:rFonts w:hint="eastAsia" w:eastAsia="仿宋_GB2312"/>
                <w:color w:val="000000"/>
                <w:spacing w:val="-2"/>
                <w:szCs w:val="21"/>
              </w:rPr>
              <w:t>□有及依据：</w:t>
            </w:r>
          </w:p>
          <w:p>
            <w:pPr>
              <w:spacing w:line="240" w:lineRule="exact"/>
              <w:rPr>
                <w:rFonts w:eastAsia="仿宋_GB2312"/>
                <w:color w:val="000000"/>
                <w:spacing w:val="-2"/>
                <w:szCs w:val="21"/>
              </w:rPr>
            </w:pPr>
          </w:p>
          <w:p>
            <w:pPr>
              <w:spacing w:line="240" w:lineRule="exact"/>
              <w:rPr>
                <w:rFonts w:eastAsia="仿宋_GB2312"/>
                <w:color w:val="000000"/>
                <w:spacing w:val="-2"/>
                <w:szCs w:val="21"/>
              </w:rPr>
            </w:pPr>
            <w:r>
              <w:rPr>
                <w:rFonts w:eastAsia="仿宋_GB2312"/>
                <w:color w:val="000000"/>
                <w:spacing w:val="-2"/>
                <w:szCs w:val="21"/>
              </w:rPr>
              <w:t>10</w:t>
            </w:r>
            <w:r>
              <w:rPr>
                <w:rFonts w:hint="eastAsia" w:eastAsia="仿宋_GB2312"/>
                <w:color w:val="000000"/>
                <w:spacing w:val="-2"/>
                <w:szCs w:val="21"/>
              </w:rPr>
              <w:t>、有无勘察、设计单位及其注册执业人员违反国家工程建设强制性标准的情况：</w:t>
            </w:r>
          </w:p>
          <w:p>
            <w:pPr>
              <w:spacing w:line="240" w:lineRule="exact"/>
              <w:ind w:firstLine="412" w:firstLineChars="200"/>
              <w:rPr>
                <w:rFonts w:eastAsia="仿宋_GB2312"/>
                <w:color w:val="000000"/>
                <w:spacing w:val="-2"/>
                <w:szCs w:val="21"/>
              </w:rPr>
            </w:pPr>
            <w:r>
              <w:rPr>
                <w:rFonts w:hint="eastAsia" w:eastAsia="仿宋_GB2312"/>
                <w:color w:val="000000"/>
                <w:spacing w:val="-2"/>
                <w:szCs w:val="21"/>
              </w:rPr>
              <w:t>□无</w:t>
            </w:r>
            <w:r>
              <w:rPr>
                <w:rFonts w:eastAsia="仿宋_GB2312"/>
                <w:color w:val="000000"/>
                <w:spacing w:val="-2"/>
                <w:szCs w:val="21"/>
              </w:rPr>
              <w:t xml:space="preserve"> </w:t>
            </w:r>
            <w:r>
              <w:rPr>
                <w:rFonts w:hint="eastAsia" w:eastAsia="仿宋_GB2312"/>
                <w:color w:val="000000"/>
                <w:spacing w:val="-2"/>
                <w:szCs w:val="21"/>
              </w:rPr>
              <w:t>□有及依据：</w:t>
            </w:r>
          </w:p>
          <w:p>
            <w:pPr>
              <w:spacing w:line="240" w:lineRule="exact"/>
              <w:rPr>
                <w:rFonts w:eastAsia="仿宋_GB2312"/>
                <w:color w:val="000000"/>
                <w:spacing w:val="-2"/>
                <w:szCs w:val="21"/>
              </w:rPr>
            </w:pPr>
          </w:p>
          <w:p>
            <w:pPr>
              <w:spacing w:line="240" w:lineRule="exact"/>
              <w:rPr>
                <w:rFonts w:eastAsia="仿宋_GB2312"/>
                <w:color w:val="000000"/>
                <w:spacing w:val="-2"/>
                <w:szCs w:val="21"/>
              </w:rPr>
            </w:pPr>
            <w:r>
              <w:rPr>
                <w:rFonts w:eastAsia="仿宋_GB2312"/>
                <w:color w:val="000000"/>
                <w:spacing w:val="-2"/>
                <w:szCs w:val="21"/>
              </w:rPr>
              <w:t>11</w:t>
            </w:r>
            <w:r>
              <w:rPr>
                <w:rFonts w:hint="eastAsia" w:eastAsia="仿宋_GB2312"/>
                <w:color w:val="000000"/>
                <w:spacing w:val="-2"/>
                <w:szCs w:val="21"/>
              </w:rPr>
              <w:t>、有无勘察设计文件没有责任人签字或者签字不全的情况：</w:t>
            </w:r>
          </w:p>
          <w:p>
            <w:pPr>
              <w:spacing w:line="240" w:lineRule="exact"/>
              <w:ind w:firstLine="412" w:firstLineChars="200"/>
              <w:rPr>
                <w:rFonts w:eastAsia="仿宋_GB2312"/>
                <w:color w:val="000000"/>
                <w:spacing w:val="-2"/>
                <w:szCs w:val="21"/>
              </w:rPr>
            </w:pPr>
            <w:r>
              <w:rPr>
                <w:rFonts w:hint="eastAsia" w:eastAsia="仿宋_GB2312"/>
                <w:color w:val="000000"/>
                <w:spacing w:val="-2"/>
                <w:szCs w:val="21"/>
              </w:rPr>
              <w:t>□无</w:t>
            </w:r>
            <w:r>
              <w:rPr>
                <w:rFonts w:eastAsia="仿宋_GB2312"/>
                <w:color w:val="000000"/>
                <w:spacing w:val="-2"/>
                <w:szCs w:val="21"/>
              </w:rPr>
              <w:t xml:space="preserve"> </w:t>
            </w:r>
            <w:r>
              <w:rPr>
                <w:rFonts w:hint="eastAsia" w:eastAsia="仿宋_GB2312"/>
                <w:color w:val="000000"/>
                <w:spacing w:val="-2"/>
                <w:szCs w:val="21"/>
              </w:rPr>
              <w:t>□有及依据：</w:t>
            </w:r>
          </w:p>
          <w:p>
            <w:pPr>
              <w:spacing w:line="240" w:lineRule="exact"/>
              <w:rPr>
                <w:rFonts w:eastAsia="仿宋_GB2312"/>
                <w:color w:val="000000"/>
                <w:spacing w:val="-2"/>
                <w:szCs w:val="21"/>
              </w:rPr>
            </w:pPr>
          </w:p>
          <w:p>
            <w:pPr>
              <w:spacing w:line="240" w:lineRule="exact"/>
              <w:rPr>
                <w:rFonts w:eastAsia="仿宋_GB2312"/>
                <w:color w:val="000000"/>
                <w:spacing w:val="-2"/>
                <w:szCs w:val="21"/>
              </w:rPr>
            </w:pPr>
            <w:r>
              <w:rPr>
                <w:rFonts w:eastAsia="仿宋_GB2312"/>
                <w:color w:val="000000"/>
                <w:spacing w:val="-2"/>
                <w:szCs w:val="21"/>
              </w:rPr>
              <w:t>12</w:t>
            </w:r>
            <w:r>
              <w:rPr>
                <w:rFonts w:hint="eastAsia" w:eastAsia="仿宋_GB2312"/>
                <w:color w:val="000000"/>
                <w:spacing w:val="-2"/>
                <w:szCs w:val="21"/>
              </w:rPr>
              <w:t>、有无注册执业人员未按照规定在勘察设计文件上签字的情况：</w:t>
            </w:r>
          </w:p>
          <w:p>
            <w:pPr>
              <w:spacing w:line="240" w:lineRule="exact"/>
              <w:ind w:firstLine="412" w:firstLineChars="200"/>
              <w:rPr>
                <w:rFonts w:eastAsia="仿宋_GB2312"/>
                <w:color w:val="000000"/>
                <w:spacing w:val="-2"/>
                <w:szCs w:val="21"/>
              </w:rPr>
            </w:pPr>
            <w:r>
              <w:rPr>
                <w:rFonts w:hint="eastAsia" w:eastAsia="仿宋_GB2312"/>
                <w:color w:val="000000"/>
                <w:spacing w:val="-2"/>
                <w:szCs w:val="21"/>
              </w:rPr>
              <w:t>□无</w:t>
            </w:r>
            <w:r>
              <w:rPr>
                <w:rFonts w:eastAsia="仿宋_GB2312"/>
                <w:color w:val="000000"/>
                <w:spacing w:val="-2"/>
                <w:szCs w:val="21"/>
              </w:rPr>
              <w:t xml:space="preserve"> </w:t>
            </w:r>
            <w:r>
              <w:rPr>
                <w:rFonts w:hint="eastAsia" w:eastAsia="仿宋_GB2312"/>
                <w:color w:val="000000"/>
                <w:spacing w:val="-2"/>
                <w:szCs w:val="21"/>
              </w:rPr>
              <w:t>□有及依据：</w:t>
            </w:r>
          </w:p>
          <w:p>
            <w:pPr>
              <w:spacing w:line="240" w:lineRule="exact"/>
              <w:rPr>
                <w:rFonts w:eastAsia="仿宋_GB2312"/>
                <w:color w:val="000000"/>
                <w:spacing w:val="-2"/>
                <w:szCs w:val="21"/>
              </w:rPr>
            </w:pPr>
          </w:p>
          <w:p>
            <w:pPr>
              <w:spacing w:line="240" w:lineRule="exact"/>
              <w:rPr>
                <w:rFonts w:eastAsia="仿宋_GB2312"/>
                <w:color w:val="000000"/>
                <w:spacing w:val="-2"/>
                <w:szCs w:val="21"/>
              </w:rPr>
            </w:pPr>
            <w:r>
              <w:rPr>
                <w:rFonts w:eastAsia="仿宋_GB2312"/>
                <w:color w:val="000000"/>
                <w:spacing w:val="-2"/>
                <w:szCs w:val="21"/>
              </w:rPr>
              <w:t>13</w:t>
            </w:r>
            <w:r>
              <w:rPr>
                <w:rFonts w:hint="eastAsia" w:eastAsia="仿宋_GB2312"/>
                <w:color w:val="000000"/>
                <w:spacing w:val="-2"/>
                <w:szCs w:val="21"/>
              </w:rPr>
              <w:t>、有无其它违反法律、法规、规章的情况：</w:t>
            </w:r>
          </w:p>
          <w:p>
            <w:pPr>
              <w:spacing w:line="240" w:lineRule="exact"/>
              <w:ind w:firstLine="412" w:firstLineChars="200"/>
              <w:rPr>
                <w:rFonts w:eastAsia="仿宋_GB2312"/>
                <w:color w:val="000000"/>
                <w:spacing w:val="-2"/>
                <w:szCs w:val="21"/>
              </w:rPr>
            </w:pPr>
            <w:r>
              <w:rPr>
                <w:rFonts w:hint="eastAsia" w:eastAsia="仿宋_GB2312"/>
                <w:color w:val="000000"/>
                <w:spacing w:val="-2"/>
                <w:szCs w:val="21"/>
              </w:rPr>
              <w:t>□无</w:t>
            </w:r>
            <w:r>
              <w:rPr>
                <w:rFonts w:eastAsia="仿宋_GB2312"/>
                <w:color w:val="000000"/>
                <w:spacing w:val="-2"/>
                <w:szCs w:val="21"/>
              </w:rPr>
              <w:t xml:space="preserve"> </w:t>
            </w:r>
            <w:r>
              <w:rPr>
                <w:rFonts w:hint="eastAsia" w:eastAsia="仿宋_GB2312"/>
                <w:color w:val="000000"/>
                <w:spacing w:val="-2"/>
                <w:szCs w:val="21"/>
              </w:rPr>
              <w:t>□有及依据：</w:t>
            </w:r>
          </w:p>
          <w:p>
            <w:pPr>
              <w:spacing w:line="240" w:lineRule="exact"/>
              <w:rPr>
                <w:rFonts w:eastAsia="仿宋_GB2312"/>
                <w:color w:val="000000"/>
                <w:spacing w:val="-2"/>
                <w:szCs w:val="21"/>
              </w:rPr>
            </w:pPr>
          </w:p>
          <w:p>
            <w:pPr>
              <w:spacing w:line="240" w:lineRule="exact"/>
              <w:rPr>
                <w:rFonts w:eastAsia="仿宋_GB2312"/>
                <w:color w:val="000000"/>
                <w:spacing w:val="-2"/>
                <w:szCs w:val="21"/>
              </w:rPr>
            </w:pPr>
          </w:p>
          <w:p>
            <w:pPr>
              <w:spacing w:line="240" w:lineRule="exact"/>
              <w:rPr>
                <w:rFonts w:eastAsia="仿宋_GB2312"/>
                <w:color w:val="000000"/>
                <w:spacing w:val="-2"/>
                <w:szCs w:val="21"/>
              </w:rPr>
            </w:pPr>
          </w:p>
          <w:p>
            <w:pPr>
              <w:spacing w:line="240" w:lineRule="exact"/>
              <w:rPr>
                <w:rFonts w:eastAsia="仿宋_GB2312"/>
                <w:color w:val="000000"/>
                <w:spacing w:val="-2"/>
                <w:szCs w:val="21"/>
              </w:rPr>
            </w:pPr>
          </w:p>
          <w:p>
            <w:pPr>
              <w:spacing w:line="240" w:lineRule="exact"/>
              <w:rPr>
                <w:rFonts w:eastAsia="仿宋_GB2312"/>
                <w:color w:val="000000"/>
                <w:spacing w:val="-2"/>
                <w:szCs w:val="21"/>
              </w:rPr>
            </w:pPr>
          </w:p>
          <w:p>
            <w:pPr>
              <w:spacing w:line="240" w:lineRule="exact"/>
              <w:rPr>
                <w:rFonts w:eastAsia="仿宋_GB2312"/>
                <w:color w:val="000000"/>
                <w:spacing w:val="-2"/>
                <w:szCs w:val="21"/>
              </w:rPr>
            </w:pPr>
          </w:p>
          <w:p>
            <w:pPr>
              <w:spacing w:line="240" w:lineRule="exact"/>
              <w:rPr>
                <w:rFonts w:eastAsia="仿宋_GB2312"/>
                <w:color w:val="000000"/>
                <w:spacing w:val="-2"/>
                <w:szCs w:val="21"/>
              </w:rPr>
            </w:pPr>
          </w:p>
          <w:p>
            <w:pPr>
              <w:spacing w:line="240" w:lineRule="exact"/>
              <w:rPr>
                <w:rFonts w:eastAsia="仿宋_GB2312"/>
                <w:color w:val="000000"/>
                <w:spacing w:val="-2"/>
                <w:szCs w:val="21"/>
              </w:rPr>
            </w:pPr>
          </w:p>
          <w:p>
            <w:pPr>
              <w:spacing w:line="240" w:lineRule="exact"/>
              <w:rPr>
                <w:rFonts w:eastAsia="仿宋_GB2312"/>
                <w:color w:val="000000"/>
                <w:spacing w:val="-2"/>
                <w:szCs w:val="21"/>
              </w:rPr>
            </w:pPr>
          </w:p>
          <w:p>
            <w:pPr>
              <w:spacing w:line="240" w:lineRule="exact"/>
              <w:rPr>
                <w:rFonts w:eastAsia="仿宋_GB2312"/>
                <w:color w:val="000000"/>
                <w:spacing w:val="-2"/>
                <w:szCs w:val="21"/>
              </w:rPr>
            </w:pPr>
          </w:p>
          <w:p>
            <w:pPr>
              <w:spacing w:line="240" w:lineRule="exact"/>
              <w:rPr>
                <w:rFonts w:eastAsia="仿宋_GB2312"/>
                <w:color w:val="000000"/>
                <w:spacing w:val="-2"/>
                <w:szCs w:val="21"/>
              </w:rPr>
            </w:pPr>
          </w:p>
          <w:p>
            <w:pPr>
              <w:spacing w:line="240" w:lineRule="exact"/>
              <w:rPr>
                <w:rFonts w:eastAsia="仿宋_GB2312"/>
                <w:color w:val="000000"/>
                <w:spacing w:val="-2"/>
                <w:szCs w:val="21"/>
              </w:rPr>
            </w:pPr>
          </w:p>
          <w:p>
            <w:pPr>
              <w:spacing w:line="240" w:lineRule="exact"/>
              <w:rPr>
                <w:rFonts w:eastAsia="仿宋_GB2312"/>
                <w:color w:val="000000"/>
                <w:spacing w:val="-2"/>
                <w:szCs w:val="21"/>
              </w:rPr>
            </w:pPr>
          </w:p>
          <w:p>
            <w:pPr>
              <w:spacing w:line="240" w:lineRule="exact"/>
              <w:rPr>
                <w:rFonts w:eastAsia="仿宋_GB2312"/>
                <w:color w:val="000000"/>
                <w:spacing w:val="-2"/>
                <w:szCs w:val="21"/>
              </w:rPr>
            </w:pPr>
          </w:p>
          <w:p>
            <w:pPr>
              <w:spacing w:line="240" w:lineRule="exact"/>
              <w:rPr>
                <w:rFonts w:eastAsia="仿宋_GB2312"/>
                <w:color w:val="000000"/>
                <w:spacing w:val="-2"/>
                <w:szCs w:val="21"/>
              </w:rPr>
            </w:pPr>
          </w:p>
          <w:p>
            <w:pPr>
              <w:spacing w:line="240" w:lineRule="exact"/>
              <w:rPr>
                <w:rFonts w:eastAsia="仿宋_GB2312"/>
                <w:color w:val="000000"/>
                <w:spacing w:val="-2"/>
                <w:szCs w:val="21"/>
              </w:rPr>
            </w:pPr>
          </w:p>
          <w:p>
            <w:pPr>
              <w:spacing w:line="240" w:lineRule="exact"/>
              <w:rPr>
                <w:rFonts w:eastAsia="仿宋_GB2312"/>
                <w:color w:val="000000"/>
                <w:spacing w:val="-2"/>
                <w:szCs w:val="21"/>
              </w:rPr>
            </w:pPr>
          </w:p>
          <w:p>
            <w:pPr>
              <w:spacing w:line="240" w:lineRule="exact"/>
              <w:rPr>
                <w:rFonts w:eastAsia="仿宋_GB2312"/>
                <w:color w:val="000000"/>
                <w:spacing w:val="-2"/>
                <w:szCs w:val="21"/>
              </w:rPr>
            </w:pPr>
          </w:p>
          <w:p>
            <w:pPr>
              <w:spacing w:line="240" w:lineRule="exact"/>
              <w:rPr>
                <w:rFonts w:eastAsia="仿宋_GB2312"/>
                <w:color w:val="000000"/>
                <w:spacing w:val="-2"/>
                <w:szCs w:val="21"/>
              </w:rPr>
            </w:pPr>
          </w:p>
          <w:p>
            <w:pPr>
              <w:spacing w:line="240" w:lineRule="exact"/>
              <w:rPr>
                <w:rFonts w:eastAsia="仿宋_GB2312"/>
                <w:color w:val="000000"/>
                <w:spacing w:val="-2"/>
                <w:szCs w:val="21"/>
              </w:rPr>
            </w:pPr>
          </w:p>
          <w:p>
            <w:pPr>
              <w:spacing w:line="240" w:lineRule="exact"/>
              <w:rPr>
                <w:rFonts w:eastAsia="仿宋_GB2312"/>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451" w:type="dxa"/>
            <w:gridSpan w:val="2"/>
            <w:tcBorders>
              <w:top w:val="single" w:color="auto" w:sz="4" w:space="0"/>
              <w:left w:val="single" w:color="auto" w:sz="8" w:space="0"/>
              <w:bottom w:val="single" w:color="auto" w:sz="8" w:space="0"/>
              <w:right w:val="single" w:color="auto" w:sz="4" w:space="0"/>
            </w:tcBorders>
            <w:noWrap w:val="0"/>
            <w:vAlign w:val="top"/>
          </w:tcPr>
          <w:p>
            <w:pPr>
              <w:spacing w:line="240" w:lineRule="exact"/>
              <w:rPr>
                <w:rFonts w:eastAsia="仿宋_GB2312"/>
                <w:color w:val="000000"/>
                <w:spacing w:val="-2"/>
                <w:szCs w:val="21"/>
              </w:rPr>
            </w:pPr>
          </w:p>
          <w:p>
            <w:pPr>
              <w:spacing w:line="240" w:lineRule="exact"/>
              <w:rPr>
                <w:rFonts w:eastAsia="仿宋_GB2312"/>
                <w:color w:val="000000"/>
                <w:spacing w:val="-2"/>
                <w:szCs w:val="21"/>
              </w:rPr>
            </w:pPr>
            <w:r>
              <w:rPr>
                <w:rFonts w:hint="eastAsia" w:eastAsia="仿宋_GB2312"/>
                <w:color w:val="000000"/>
                <w:spacing w:val="-2"/>
                <w:szCs w:val="21"/>
              </w:rPr>
              <w:t>核查结论意见：</w:t>
            </w:r>
          </w:p>
          <w:p>
            <w:pPr>
              <w:spacing w:line="240" w:lineRule="exact"/>
              <w:rPr>
                <w:rFonts w:eastAsia="仿宋_GB2312"/>
                <w:color w:val="000000"/>
                <w:spacing w:val="-2"/>
                <w:szCs w:val="21"/>
              </w:rPr>
            </w:pPr>
          </w:p>
          <w:p>
            <w:pPr>
              <w:spacing w:line="240" w:lineRule="exact"/>
              <w:rPr>
                <w:rFonts w:eastAsia="仿宋_GB2312"/>
                <w:color w:val="000000"/>
                <w:spacing w:val="-2"/>
                <w:szCs w:val="21"/>
              </w:rPr>
            </w:pPr>
          </w:p>
          <w:p>
            <w:pPr>
              <w:spacing w:line="240" w:lineRule="exact"/>
              <w:rPr>
                <w:rFonts w:eastAsia="仿宋_GB2312"/>
                <w:color w:val="000000"/>
                <w:spacing w:val="-2"/>
                <w:szCs w:val="21"/>
              </w:rPr>
            </w:pPr>
          </w:p>
          <w:p>
            <w:pPr>
              <w:spacing w:line="240" w:lineRule="exact"/>
              <w:rPr>
                <w:rFonts w:eastAsia="仿宋_GB2312"/>
                <w:color w:val="000000"/>
                <w:spacing w:val="-2"/>
                <w:szCs w:val="21"/>
              </w:rPr>
            </w:pPr>
          </w:p>
          <w:p>
            <w:pPr>
              <w:spacing w:line="240" w:lineRule="exact"/>
              <w:rPr>
                <w:rFonts w:eastAsia="仿宋_GB2312"/>
                <w:color w:val="000000"/>
                <w:spacing w:val="-2"/>
                <w:szCs w:val="21"/>
              </w:rPr>
            </w:pPr>
          </w:p>
          <w:p>
            <w:pPr>
              <w:spacing w:line="240" w:lineRule="exact"/>
              <w:rPr>
                <w:rFonts w:eastAsia="仿宋_GB2312"/>
                <w:color w:val="000000"/>
                <w:spacing w:val="-2"/>
                <w:szCs w:val="21"/>
              </w:rPr>
            </w:pPr>
          </w:p>
          <w:p>
            <w:pPr>
              <w:spacing w:line="240" w:lineRule="exact"/>
              <w:rPr>
                <w:rFonts w:eastAsia="仿宋_GB2312"/>
                <w:color w:val="000000"/>
                <w:spacing w:val="-2"/>
                <w:szCs w:val="21"/>
              </w:rPr>
            </w:pPr>
          </w:p>
          <w:p>
            <w:pPr>
              <w:spacing w:line="240" w:lineRule="exact"/>
              <w:rPr>
                <w:rFonts w:eastAsia="仿宋_GB2312"/>
                <w:color w:val="000000"/>
                <w:spacing w:val="-2"/>
                <w:szCs w:val="21"/>
              </w:rPr>
            </w:pPr>
          </w:p>
          <w:p>
            <w:pPr>
              <w:spacing w:line="240" w:lineRule="exact"/>
              <w:rPr>
                <w:rFonts w:eastAsia="仿宋_GB2312"/>
                <w:color w:val="000000"/>
                <w:spacing w:val="-2"/>
                <w:szCs w:val="21"/>
              </w:rPr>
            </w:pPr>
          </w:p>
          <w:p>
            <w:pPr>
              <w:spacing w:line="240" w:lineRule="exact"/>
              <w:rPr>
                <w:rFonts w:eastAsia="仿宋_GB2312"/>
                <w:color w:val="000000"/>
                <w:spacing w:val="-2"/>
                <w:szCs w:val="21"/>
              </w:rPr>
            </w:pPr>
            <w:r>
              <w:rPr>
                <w:rFonts w:hint="eastAsia" w:eastAsia="仿宋_GB2312"/>
                <w:color w:val="000000"/>
                <w:spacing w:val="-2"/>
                <w:szCs w:val="21"/>
              </w:rPr>
              <w:t>核查组人员：</w:t>
            </w:r>
          </w:p>
          <w:p>
            <w:pPr>
              <w:spacing w:line="240" w:lineRule="exact"/>
              <w:rPr>
                <w:rFonts w:eastAsia="仿宋_GB2312"/>
                <w:color w:val="000000"/>
                <w:spacing w:val="-2"/>
                <w:szCs w:val="21"/>
              </w:rPr>
            </w:pPr>
          </w:p>
          <w:p>
            <w:pPr>
              <w:spacing w:line="240" w:lineRule="exact"/>
              <w:rPr>
                <w:rFonts w:eastAsia="仿宋_GB2312"/>
                <w:color w:val="000000"/>
                <w:spacing w:val="-2"/>
                <w:szCs w:val="21"/>
              </w:rPr>
            </w:pPr>
          </w:p>
          <w:p>
            <w:pPr>
              <w:spacing w:line="240" w:lineRule="exact"/>
              <w:rPr>
                <w:rFonts w:eastAsia="仿宋_GB2312"/>
                <w:color w:val="000000"/>
                <w:spacing w:val="-2"/>
                <w:szCs w:val="21"/>
              </w:rPr>
            </w:pPr>
          </w:p>
        </w:tc>
        <w:tc>
          <w:tcPr>
            <w:tcW w:w="4495" w:type="dxa"/>
            <w:gridSpan w:val="3"/>
            <w:tcBorders>
              <w:top w:val="single" w:color="auto" w:sz="4" w:space="0"/>
              <w:left w:val="single" w:color="auto" w:sz="4" w:space="0"/>
              <w:bottom w:val="single" w:color="auto" w:sz="8" w:space="0"/>
              <w:right w:val="single" w:color="auto" w:sz="8" w:space="0"/>
            </w:tcBorders>
            <w:noWrap w:val="0"/>
            <w:vAlign w:val="top"/>
          </w:tcPr>
          <w:p>
            <w:pPr>
              <w:spacing w:line="240" w:lineRule="exact"/>
              <w:ind w:left="87"/>
              <w:rPr>
                <w:rFonts w:eastAsia="仿宋_GB2312"/>
                <w:color w:val="000000"/>
                <w:spacing w:val="-2"/>
                <w:szCs w:val="21"/>
              </w:rPr>
            </w:pPr>
          </w:p>
          <w:p>
            <w:pPr>
              <w:spacing w:line="240" w:lineRule="exact"/>
              <w:ind w:left="87"/>
              <w:rPr>
                <w:rFonts w:eastAsia="仿宋_GB2312"/>
                <w:color w:val="000000"/>
                <w:spacing w:val="-2"/>
                <w:szCs w:val="21"/>
              </w:rPr>
            </w:pPr>
            <w:r>
              <w:rPr>
                <w:rFonts w:hint="eastAsia" w:eastAsia="仿宋_GB2312"/>
                <w:color w:val="000000"/>
                <w:spacing w:val="-2"/>
                <w:szCs w:val="21"/>
              </w:rPr>
              <w:t>被检单位对核查结果的意见：</w:t>
            </w:r>
          </w:p>
          <w:p>
            <w:pPr>
              <w:spacing w:line="240" w:lineRule="exact"/>
              <w:jc w:val="left"/>
              <w:rPr>
                <w:rFonts w:eastAsia="仿宋_GB2312"/>
                <w:color w:val="000000"/>
                <w:spacing w:val="-2"/>
                <w:szCs w:val="21"/>
              </w:rPr>
            </w:pPr>
          </w:p>
          <w:p>
            <w:pPr>
              <w:spacing w:line="240" w:lineRule="exact"/>
              <w:jc w:val="left"/>
              <w:rPr>
                <w:rFonts w:eastAsia="仿宋_GB2312"/>
                <w:color w:val="000000"/>
                <w:spacing w:val="-2"/>
                <w:szCs w:val="21"/>
              </w:rPr>
            </w:pPr>
          </w:p>
          <w:p>
            <w:pPr>
              <w:spacing w:line="240" w:lineRule="exact"/>
              <w:jc w:val="left"/>
              <w:rPr>
                <w:rFonts w:eastAsia="仿宋_GB2312"/>
                <w:color w:val="000000"/>
                <w:spacing w:val="-2"/>
                <w:szCs w:val="21"/>
              </w:rPr>
            </w:pPr>
          </w:p>
          <w:p>
            <w:pPr>
              <w:spacing w:line="240" w:lineRule="exact"/>
              <w:jc w:val="left"/>
              <w:rPr>
                <w:rFonts w:eastAsia="仿宋_GB2312"/>
                <w:color w:val="000000"/>
                <w:spacing w:val="-2"/>
                <w:szCs w:val="21"/>
              </w:rPr>
            </w:pPr>
          </w:p>
          <w:p>
            <w:pPr>
              <w:spacing w:line="240" w:lineRule="exact"/>
              <w:jc w:val="left"/>
              <w:rPr>
                <w:rFonts w:eastAsia="仿宋_GB2312"/>
                <w:color w:val="000000"/>
                <w:spacing w:val="-2"/>
                <w:szCs w:val="21"/>
              </w:rPr>
            </w:pPr>
          </w:p>
          <w:p>
            <w:pPr>
              <w:spacing w:line="240" w:lineRule="exact"/>
              <w:jc w:val="left"/>
              <w:rPr>
                <w:rFonts w:eastAsia="仿宋_GB2312"/>
                <w:color w:val="000000"/>
                <w:spacing w:val="-2"/>
                <w:szCs w:val="21"/>
              </w:rPr>
            </w:pPr>
          </w:p>
          <w:p>
            <w:pPr>
              <w:spacing w:line="240" w:lineRule="exact"/>
              <w:jc w:val="left"/>
              <w:rPr>
                <w:rFonts w:eastAsia="仿宋_GB2312"/>
                <w:color w:val="000000"/>
                <w:spacing w:val="-2"/>
                <w:szCs w:val="21"/>
              </w:rPr>
            </w:pPr>
          </w:p>
          <w:p>
            <w:pPr>
              <w:spacing w:line="240" w:lineRule="exact"/>
              <w:jc w:val="left"/>
              <w:rPr>
                <w:rFonts w:eastAsia="仿宋_GB2312"/>
                <w:color w:val="000000"/>
                <w:spacing w:val="-2"/>
                <w:szCs w:val="21"/>
              </w:rPr>
            </w:pPr>
          </w:p>
          <w:p>
            <w:pPr>
              <w:spacing w:line="240" w:lineRule="exact"/>
              <w:jc w:val="left"/>
              <w:rPr>
                <w:rFonts w:eastAsia="仿宋_GB2312"/>
                <w:color w:val="000000"/>
                <w:spacing w:val="-2"/>
                <w:szCs w:val="21"/>
              </w:rPr>
            </w:pPr>
          </w:p>
          <w:p>
            <w:pPr>
              <w:spacing w:line="240" w:lineRule="exact"/>
              <w:rPr>
                <w:rFonts w:eastAsia="仿宋_GB2312"/>
                <w:color w:val="000000"/>
                <w:spacing w:val="-2"/>
                <w:szCs w:val="21"/>
              </w:rPr>
            </w:pPr>
            <w:r>
              <w:rPr>
                <w:rFonts w:hint="eastAsia" w:eastAsia="仿宋_GB2312"/>
                <w:color w:val="000000"/>
                <w:spacing w:val="-2"/>
                <w:szCs w:val="21"/>
              </w:rPr>
              <w:t>被检单位负责人（或委托代理人）：</w:t>
            </w:r>
          </w:p>
          <w:p>
            <w:pPr>
              <w:spacing w:line="240" w:lineRule="exact"/>
              <w:rPr>
                <w:rFonts w:eastAsia="仿宋_GB2312"/>
                <w:color w:val="000000"/>
                <w:spacing w:val="-2"/>
                <w:szCs w:val="21"/>
              </w:rPr>
            </w:pPr>
          </w:p>
          <w:p>
            <w:pPr>
              <w:spacing w:line="240" w:lineRule="exact"/>
              <w:rPr>
                <w:rFonts w:eastAsia="仿宋_GB2312"/>
                <w:color w:val="000000"/>
                <w:spacing w:val="-2"/>
                <w:szCs w:val="21"/>
              </w:rPr>
            </w:pPr>
          </w:p>
          <w:p>
            <w:pPr>
              <w:spacing w:line="240" w:lineRule="exact"/>
              <w:rPr>
                <w:rFonts w:eastAsia="仿宋_GB2312"/>
                <w:color w:val="000000"/>
                <w:spacing w:val="-2"/>
                <w:szCs w:val="21"/>
              </w:rPr>
            </w:pPr>
          </w:p>
        </w:tc>
      </w:tr>
    </w:tbl>
    <w:p>
      <w:pPr>
        <w:rPr>
          <w:rFonts w:eastAsia="仿宋_GB2312"/>
          <w:color w:val="000000"/>
          <w:spacing w:val="-2"/>
          <w:szCs w:val="21"/>
        </w:rPr>
      </w:pPr>
    </w:p>
    <w:p>
      <w:pPr>
        <w:tabs>
          <w:tab w:val="left" w:pos="9193"/>
          <w:tab w:val="left" w:pos="9827"/>
        </w:tabs>
        <w:autoSpaceDE w:val="0"/>
        <w:autoSpaceDN w:val="0"/>
        <w:snapToGrid w:val="0"/>
        <w:spacing w:line="460" w:lineRule="exact"/>
        <w:rPr>
          <w:rFonts w:eastAsia="方正小标宋_GBK"/>
          <w:snapToGrid w:val="0"/>
          <w:color w:val="000000"/>
          <w:kern w:val="0"/>
          <w:sz w:val="44"/>
        </w:rPr>
      </w:pPr>
      <w:r>
        <w:rPr>
          <w:rFonts w:hint="eastAsia" w:eastAsia="仿宋_GB2312"/>
          <w:color w:val="000000"/>
          <w:spacing w:val="-2"/>
          <w:szCs w:val="21"/>
        </w:rPr>
        <w:t>注：此表按实际核查情况填写，一式三份（被检单位留一份）。</w:t>
      </w:r>
    </w:p>
    <w:p>
      <w:pPr>
        <w:spacing w:line="360" w:lineRule="atLeast"/>
        <w:jc w:val="left"/>
        <w:rPr>
          <w:rFonts w:eastAsia="宋体 ，Arial" w:cs="宋体"/>
          <w:color w:val="000000"/>
          <w:spacing w:val="-2"/>
          <w:kern w:val="0"/>
          <w:sz w:val="24"/>
        </w:rPr>
      </w:pPr>
    </w:p>
    <w:p>
      <w:pPr>
        <w:pStyle w:val="2"/>
        <w:spacing w:before="240" w:beforeLines="100" w:after="240" w:afterLines="100" w:line="240" w:lineRule="auto"/>
        <w:jc w:val="center"/>
        <w:rPr>
          <w:rFonts w:ascii="Times New Roman" w:eastAsia="方正小标宋_GBK"/>
          <w:b w:val="0"/>
          <w:sz w:val="36"/>
          <w:szCs w:val="36"/>
        </w:rPr>
      </w:pPr>
      <w:bookmarkStart w:id="224" w:name="_Toc18315644"/>
      <w:bookmarkStart w:id="225" w:name="_Toc20726261"/>
      <w:r>
        <w:rPr>
          <w:rFonts w:hint="eastAsia" w:ascii="Times New Roman" w:eastAsia="方正小标宋_GBK"/>
          <w:b w:val="0"/>
          <w:sz w:val="36"/>
          <w:szCs w:val="36"/>
        </w:rPr>
        <w:t>省住房城乡建设厅关于印发《江苏省省级抗震加固    专项资金项目绩效自评价办法》的通知</w:t>
      </w:r>
      <w:bookmarkEnd w:id="224"/>
      <w:bookmarkEnd w:id="225"/>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226" w:name="_Toc20726262"/>
      <w:bookmarkStart w:id="227" w:name="_Toc18315645"/>
      <w:r>
        <w:rPr>
          <w:rFonts w:hint="eastAsia" w:ascii="Times New Roman" w:hAnsi="Times New Roman" w:eastAsia="方正楷体_GBK"/>
          <w:b w:val="0"/>
          <w:sz w:val="24"/>
          <w:szCs w:val="24"/>
        </w:rPr>
        <w:t>苏建抗〔</w:t>
      </w:r>
      <w:r>
        <w:rPr>
          <w:rFonts w:ascii="Times New Roman" w:hAnsi="Times New Roman" w:eastAsia="方正楷体_GBK"/>
          <w:b w:val="0"/>
          <w:sz w:val="24"/>
          <w:szCs w:val="24"/>
        </w:rPr>
        <w:t>2015</w:t>
      </w:r>
      <w:r>
        <w:rPr>
          <w:rFonts w:hint="eastAsia" w:ascii="Times New Roman" w:hAnsi="Times New Roman" w:eastAsia="方正楷体_GBK"/>
          <w:b w:val="0"/>
          <w:sz w:val="24"/>
          <w:szCs w:val="24"/>
        </w:rPr>
        <w:t>〕</w:t>
      </w:r>
      <w:r>
        <w:rPr>
          <w:rFonts w:ascii="Times New Roman" w:hAnsi="Times New Roman" w:eastAsia="方正楷体_GBK"/>
          <w:b w:val="0"/>
          <w:sz w:val="24"/>
          <w:szCs w:val="24"/>
        </w:rPr>
        <w:t>69</w:t>
      </w:r>
      <w:r>
        <w:rPr>
          <w:rFonts w:hint="eastAsia" w:ascii="Times New Roman" w:hAnsi="Times New Roman" w:eastAsia="方正楷体_GBK"/>
          <w:b w:val="0"/>
          <w:sz w:val="24"/>
          <w:szCs w:val="24"/>
        </w:rPr>
        <w:t>号</w:t>
      </w:r>
      <w:bookmarkEnd w:id="226"/>
      <w:bookmarkEnd w:id="227"/>
    </w:p>
    <w:p>
      <w:pPr>
        <w:spacing w:line="460" w:lineRule="exact"/>
        <w:rPr>
          <w:rFonts w:eastAsia="方正仿宋_GBK"/>
          <w:color w:val="000000"/>
          <w:spacing w:val="-2"/>
          <w:sz w:val="24"/>
        </w:rPr>
      </w:pPr>
      <w:r>
        <w:rPr>
          <w:rFonts w:hint="eastAsia" w:eastAsia="方正仿宋_GBK"/>
          <w:color w:val="000000"/>
          <w:spacing w:val="-2"/>
          <w:sz w:val="24"/>
        </w:rPr>
        <w:t>各市、县（市）建设局（委）：</w:t>
      </w:r>
    </w:p>
    <w:p>
      <w:pPr>
        <w:spacing w:line="460" w:lineRule="exact"/>
        <w:ind w:firstLine="472" w:firstLineChars="200"/>
        <w:rPr>
          <w:rFonts w:eastAsia="方正仿宋_GBK"/>
          <w:color w:val="000000"/>
          <w:spacing w:val="-2"/>
          <w:sz w:val="24"/>
        </w:rPr>
      </w:pPr>
      <w:r>
        <w:rPr>
          <w:rFonts w:hint="eastAsia" w:eastAsia="方正仿宋_GBK"/>
          <w:color w:val="000000"/>
          <w:spacing w:val="-2"/>
          <w:kern w:val="0"/>
          <w:sz w:val="24"/>
        </w:rPr>
        <w:t>为加强江苏省省级抗震加固专项资金绩效管理</w:t>
      </w:r>
      <w:r>
        <w:rPr>
          <w:rFonts w:eastAsia="方正仿宋_GBK"/>
          <w:color w:val="000000"/>
          <w:spacing w:val="-2"/>
          <w:kern w:val="0"/>
          <w:sz w:val="24"/>
        </w:rPr>
        <w:t>,</w:t>
      </w:r>
      <w:r>
        <w:rPr>
          <w:rFonts w:hint="eastAsia" w:eastAsia="方正仿宋_GBK"/>
          <w:color w:val="000000"/>
          <w:spacing w:val="-2"/>
          <w:kern w:val="0"/>
          <w:sz w:val="24"/>
        </w:rPr>
        <w:t>提高财政资金使用效率，保障项目实施达到预期效益，根据省财政厅《江苏省财政专项资金绩效管理办法》（苏财规〔</w:t>
      </w:r>
      <w:r>
        <w:rPr>
          <w:rFonts w:eastAsia="方正仿宋_GBK"/>
          <w:color w:val="000000"/>
          <w:spacing w:val="-2"/>
          <w:kern w:val="0"/>
          <w:sz w:val="24"/>
        </w:rPr>
        <w:t>2010</w:t>
      </w:r>
      <w:r>
        <w:rPr>
          <w:rFonts w:hint="eastAsia" w:eastAsia="方正仿宋_GBK"/>
          <w:color w:val="000000"/>
          <w:spacing w:val="-2"/>
          <w:kern w:val="0"/>
          <w:sz w:val="24"/>
        </w:rPr>
        <w:t>〕</w:t>
      </w:r>
      <w:r>
        <w:rPr>
          <w:rFonts w:eastAsia="方正仿宋_GBK"/>
          <w:color w:val="000000"/>
          <w:spacing w:val="-2"/>
          <w:kern w:val="0"/>
          <w:sz w:val="24"/>
        </w:rPr>
        <w:t>36</w:t>
      </w:r>
      <w:r>
        <w:rPr>
          <w:rFonts w:hint="eastAsia" w:eastAsia="方正仿宋_GBK"/>
          <w:color w:val="000000"/>
          <w:spacing w:val="-2"/>
          <w:kern w:val="0"/>
          <w:sz w:val="24"/>
        </w:rPr>
        <w:t>号）、《江苏省住房城乡建设系统专项资金管理办法》（苏建计〔</w:t>
      </w:r>
      <w:r>
        <w:rPr>
          <w:rFonts w:eastAsia="方正仿宋_GBK"/>
          <w:color w:val="000000"/>
          <w:spacing w:val="-2"/>
          <w:kern w:val="0"/>
          <w:sz w:val="24"/>
        </w:rPr>
        <w:t>2014</w:t>
      </w:r>
      <w:r>
        <w:rPr>
          <w:rFonts w:hint="eastAsia" w:eastAsia="方正仿宋_GBK"/>
          <w:color w:val="000000"/>
          <w:spacing w:val="-2"/>
          <w:kern w:val="0"/>
          <w:sz w:val="24"/>
        </w:rPr>
        <w:t>〕</w:t>
      </w:r>
      <w:r>
        <w:rPr>
          <w:rFonts w:eastAsia="方正仿宋_GBK"/>
          <w:color w:val="000000"/>
          <w:spacing w:val="-2"/>
          <w:kern w:val="0"/>
          <w:sz w:val="24"/>
        </w:rPr>
        <w:t>295</w:t>
      </w:r>
      <w:r>
        <w:rPr>
          <w:rFonts w:hint="eastAsia" w:eastAsia="方正仿宋_GBK"/>
          <w:color w:val="000000"/>
          <w:spacing w:val="-2"/>
          <w:kern w:val="0"/>
          <w:sz w:val="24"/>
        </w:rPr>
        <w:t>号）、《省级城镇基础设施建设引导资金管理暂行办法》（苏财规〔</w:t>
      </w:r>
      <w:r>
        <w:rPr>
          <w:rFonts w:eastAsia="方正仿宋_GBK"/>
          <w:color w:val="000000"/>
          <w:spacing w:val="-2"/>
          <w:kern w:val="0"/>
          <w:sz w:val="24"/>
        </w:rPr>
        <w:t>2014</w:t>
      </w:r>
      <w:r>
        <w:rPr>
          <w:rFonts w:hint="eastAsia" w:eastAsia="方正仿宋_GBK"/>
          <w:color w:val="000000"/>
          <w:spacing w:val="-2"/>
          <w:kern w:val="0"/>
          <w:sz w:val="24"/>
        </w:rPr>
        <w:t>〕</w:t>
      </w:r>
      <w:r>
        <w:rPr>
          <w:rFonts w:eastAsia="方正仿宋_GBK"/>
          <w:color w:val="000000"/>
          <w:spacing w:val="-2"/>
          <w:kern w:val="0"/>
          <w:sz w:val="24"/>
        </w:rPr>
        <w:t>26</w:t>
      </w:r>
      <w:r>
        <w:rPr>
          <w:rFonts w:hint="eastAsia" w:eastAsia="方正仿宋_GBK"/>
          <w:color w:val="000000"/>
          <w:spacing w:val="-2"/>
          <w:kern w:val="0"/>
          <w:sz w:val="24"/>
        </w:rPr>
        <w:t>号）等规定，制定了《江苏省省级抗震加固专项资金项目绩效自评价办法》，现印发给你们</w:t>
      </w:r>
      <w:r>
        <w:rPr>
          <w:rFonts w:hint="eastAsia" w:eastAsia="方正仿宋_GBK"/>
          <w:color w:val="000000"/>
          <w:spacing w:val="-2"/>
          <w:sz w:val="24"/>
        </w:rPr>
        <w:t>，请遵照执行。执行中如有问题，请及时联系省住房和城乡建设厅负责抗震管理的处室。</w:t>
      </w:r>
    </w:p>
    <w:p>
      <w:pPr>
        <w:spacing w:line="460" w:lineRule="exact"/>
        <w:ind w:firstLine="472" w:firstLineChars="200"/>
        <w:rPr>
          <w:rFonts w:eastAsia="方正仿宋_GBK"/>
          <w:color w:val="000000"/>
          <w:spacing w:val="-2"/>
          <w:sz w:val="24"/>
        </w:rPr>
      </w:pP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附件：江苏省省级抗震加固专项资金项目绩效自评价办法</w:t>
      </w:r>
    </w:p>
    <w:p>
      <w:pPr>
        <w:spacing w:line="460" w:lineRule="exact"/>
        <w:rPr>
          <w:rFonts w:eastAsia="方正仿宋_GBK"/>
          <w:color w:val="000000"/>
          <w:spacing w:val="-2"/>
          <w:sz w:val="24"/>
        </w:rPr>
      </w:pPr>
    </w:p>
    <w:p>
      <w:pPr>
        <w:spacing w:line="460" w:lineRule="exact"/>
        <w:ind w:right="640"/>
        <w:jc w:val="right"/>
        <w:rPr>
          <w:rFonts w:eastAsia="方正仿宋_GBK"/>
          <w:color w:val="000000"/>
          <w:spacing w:val="-2"/>
          <w:sz w:val="24"/>
        </w:rPr>
      </w:pPr>
      <w:r>
        <w:rPr>
          <w:rFonts w:eastAsia="方正仿宋_GBK"/>
          <w:color w:val="000000"/>
          <w:spacing w:val="-2"/>
          <w:sz w:val="24"/>
        </w:rPr>
        <w:t xml:space="preserve">                            </w:t>
      </w:r>
      <w:r>
        <w:rPr>
          <w:rFonts w:hint="eastAsia" w:eastAsia="方正仿宋_GBK"/>
          <w:color w:val="000000"/>
          <w:spacing w:val="-2"/>
          <w:sz w:val="24"/>
        </w:rPr>
        <w:t>省住房和城乡建设厅</w:t>
      </w:r>
      <w:r>
        <w:rPr>
          <w:rFonts w:eastAsia="方正仿宋_GBK"/>
          <w:color w:val="000000"/>
          <w:spacing w:val="-2"/>
          <w:sz w:val="24"/>
        </w:rPr>
        <w:t xml:space="preserve">     </w:t>
      </w:r>
    </w:p>
    <w:p>
      <w:pPr>
        <w:spacing w:line="460" w:lineRule="exact"/>
        <w:ind w:right="817" w:rightChars="389"/>
        <w:jc w:val="right"/>
        <w:rPr>
          <w:rFonts w:eastAsia="方正仿宋_GBK"/>
          <w:color w:val="000000"/>
          <w:spacing w:val="-2"/>
          <w:sz w:val="24"/>
        </w:rPr>
      </w:pPr>
      <w:r>
        <w:rPr>
          <w:rFonts w:eastAsia="方正仿宋_GBK"/>
          <w:color w:val="000000"/>
          <w:spacing w:val="-2"/>
          <w:sz w:val="24"/>
        </w:rPr>
        <w:t> 2015</w:t>
      </w:r>
      <w:r>
        <w:rPr>
          <w:rFonts w:hint="eastAsia" w:eastAsia="方正仿宋_GBK"/>
          <w:color w:val="000000"/>
          <w:spacing w:val="-2"/>
          <w:sz w:val="24"/>
        </w:rPr>
        <w:t>年</w:t>
      </w:r>
      <w:r>
        <w:rPr>
          <w:rFonts w:eastAsia="方正仿宋_GBK"/>
          <w:color w:val="000000"/>
          <w:spacing w:val="-2"/>
          <w:sz w:val="24"/>
        </w:rPr>
        <w:t>2</w:t>
      </w:r>
      <w:r>
        <w:rPr>
          <w:rFonts w:hint="eastAsia" w:eastAsia="方正仿宋_GBK"/>
          <w:color w:val="000000"/>
          <w:spacing w:val="-2"/>
          <w:sz w:val="24"/>
        </w:rPr>
        <w:t>月</w:t>
      </w:r>
      <w:r>
        <w:rPr>
          <w:rFonts w:eastAsia="方正仿宋_GBK"/>
          <w:color w:val="000000"/>
          <w:spacing w:val="-2"/>
          <w:sz w:val="24"/>
        </w:rPr>
        <w:t>11</w:t>
      </w:r>
      <w:r>
        <w:rPr>
          <w:rFonts w:hint="eastAsia" w:eastAsia="方正仿宋_GBK"/>
          <w:color w:val="000000"/>
          <w:spacing w:val="-2"/>
          <w:sz w:val="24"/>
        </w:rPr>
        <w:t>日</w:t>
      </w:r>
      <w:r>
        <w:rPr>
          <w:rFonts w:eastAsia="方正仿宋_GBK"/>
          <w:color w:val="000000"/>
          <w:spacing w:val="-2"/>
          <w:sz w:val="24"/>
        </w:rPr>
        <w:t xml:space="preserve">       </w:t>
      </w:r>
    </w:p>
    <w:p>
      <w:pPr>
        <w:spacing w:line="460" w:lineRule="exact"/>
        <w:jc w:val="left"/>
        <w:rPr>
          <w:rFonts w:eastAsia="方正仿宋_GBK"/>
          <w:color w:val="000000"/>
          <w:spacing w:val="-2"/>
          <w:sz w:val="24"/>
        </w:rPr>
      </w:pPr>
    </w:p>
    <w:p>
      <w:pPr>
        <w:spacing w:line="460" w:lineRule="exact"/>
        <w:rPr>
          <w:rFonts w:eastAsia="方正仿宋_GBK"/>
          <w:color w:val="000000"/>
          <w:spacing w:val="-2"/>
          <w:kern w:val="0"/>
          <w:sz w:val="24"/>
        </w:rPr>
      </w:pPr>
    </w:p>
    <w:p>
      <w:pPr>
        <w:spacing w:line="460" w:lineRule="exact"/>
        <w:jc w:val="center"/>
        <w:rPr>
          <w:rFonts w:ascii="Times New Roman" w:eastAsia="方正黑体_GBK"/>
          <w:color w:val="000000"/>
          <w:spacing w:val="-2"/>
          <w:sz w:val="36"/>
          <w:szCs w:val="36"/>
        </w:rPr>
      </w:pPr>
      <w:r>
        <w:rPr>
          <w:rFonts w:hint="eastAsia" w:ascii="Times New Roman" w:eastAsia="方正黑体_GBK"/>
          <w:color w:val="000000"/>
          <w:spacing w:val="-2"/>
          <w:sz w:val="36"/>
          <w:szCs w:val="36"/>
        </w:rPr>
        <w:t>江苏省省级抗震加固专项资金</w:t>
      </w:r>
    </w:p>
    <w:p>
      <w:pPr>
        <w:spacing w:line="460" w:lineRule="exact"/>
        <w:jc w:val="center"/>
        <w:rPr>
          <w:rFonts w:hint="eastAsia" w:ascii="Times New Roman" w:eastAsia="方正黑体_GBK"/>
          <w:color w:val="000000"/>
          <w:spacing w:val="-2"/>
          <w:sz w:val="36"/>
          <w:szCs w:val="36"/>
        </w:rPr>
      </w:pPr>
      <w:r>
        <w:rPr>
          <w:rFonts w:hint="eastAsia" w:ascii="Times New Roman" w:eastAsia="方正黑体_GBK"/>
          <w:color w:val="000000"/>
          <w:spacing w:val="-2"/>
          <w:sz w:val="36"/>
          <w:szCs w:val="36"/>
        </w:rPr>
        <w:t>项目绩效自评价办法</w:t>
      </w:r>
    </w:p>
    <w:p>
      <w:pPr>
        <w:spacing w:line="460" w:lineRule="exact"/>
        <w:rPr>
          <w:rFonts w:hint="eastAsia" w:eastAsia="方正仿宋_GBK"/>
          <w:color w:val="000000"/>
          <w:spacing w:val="-2"/>
          <w:sz w:val="24"/>
        </w:rPr>
      </w:pP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第一条</w:t>
      </w:r>
      <w:r>
        <w:rPr>
          <w:rFonts w:eastAsia="方正仿宋_GBK"/>
          <w:color w:val="000000"/>
          <w:spacing w:val="-2"/>
          <w:sz w:val="24"/>
        </w:rPr>
        <w:t xml:space="preserve">  </w:t>
      </w:r>
      <w:r>
        <w:rPr>
          <w:rFonts w:hint="eastAsia" w:eastAsia="方正仿宋_GBK"/>
          <w:color w:val="000000"/>
          <w:spacing w:val="-2"/>
          <w:sz w:val="24"/>
        </w:rPr>
        <w:t>为加强江苏省省级抗震加固专项资金绩效管理</w:t>
      </w:r>
      <w:r>
        <w:rPr>
          <w:rFonts w:eastAsia="方正仿宋_GBK"/>
          <w:color w:val="000000"/>
          <w:spacing w:val="-2"/>
          <w:sz w:val="24"/>
        </w:rPr>
        <w:t>,</w:t>
      </w:r>
      <w:r>
        <w:rPr>
          <w:rFonts w:hint="eastAsia" w:eastAsia="方正仿宋_GBK"/>
          <w:color w:val="000000"/>
          <w:spacing w:val="-2"/>
          <w:kern w:val="0"/>
          <w:sz w:val="24"/>
        </w:rPr>
        <w:t>提高财政资金使用效率，保障项目实施达到预期效益，</w:t>
      </w:r>
      <w:r>
        <w:rPr>
          <w:rFonts w:hint="eastAsia" w:eastAsia="方正仿宋_GBK"/>
          <w:color w:val="000000"/>
          <w:spacing w:val="-2"/>
          <w:sz w:val="24"/>
        </w:rPr>
        <w:t>根据省财政厅《江苏省财政专项资金绩效管理办法》（苏财规〔</w:t>
      </w:r>
      <w:r>
        <w:rPr>
          <w:rFonts w:eastAsia="方正仿宋_GBK"/>
          <w:color w:val="000000"/>
          <w:spacing w:val="-2"/>
          <w:sz w:val="24"/>
        </w:rPr>
        <w:t>2010</w:t>
      </w:r>
      <w:r>
        <w:rPr>
          <w:rFonts w:hint="eastAsia" w:eastAsia="方正仿宋_GBK"/>
          <w:color w:val="000000"/>
          <w:spacing w:val="-2"/>
          <w:sz w:val="24"/>
        </w:rPr>
        <w:t>〕</w:t>
      </w:r>
      <w:r>
        <w:rPr>
          <w:rFonts w:eastAsia="方正仿宋_GBK"/>
          <w:color w:val="000000"/>
          <w:spacing w:val="-2"/>
          <w:sz w:val="24"/>
        </w:rPr>
        <w:t>36</w:t>
      </w:r>
      <w:r>
        <w:rPr>
          <w:rFonts w:hint="eastAsia" w:eastAsia="方正仿宋_GBK"/>
          <w:color w:val="000000"/>
          <w:spacing w:val="-2"/>
          <w:sz w:val="24"/>
        </w:rPr>
        <w:t>号）、《江苏省住房城乡建设系统专项资金管理办法》（苏建计〔</w:t>
      </w:r>
      <w:r>
        <w:rPr>
          <w:rFonts w:eastAsia="方正仿宋_GBK"/>
          <w:color w:val="000000"/>
          <w:spacing w:val="-2"/>
          <w:sz w:val="24"/>
        </w:rPr>
        <w:t>2014</w:t>
      </w:r>
      <w:r>
        <w:rPr>
          <w:rFonts w:hint="eastAsia" w:eastAsia="方正仿宋_GBK"/>
          <w:color w:val="000000"/>
          <w:spacing w:val="-2"/>
          <w:sz w:val="24"/>
        </w:rPr>
        <w:t>〕</w:t>
      </w:r>
      <w:r>
        <w:rPr>
          <w:rFonts w:eastAsia="方正仿宋_GBK"/>
          <w:color w:val="000000"/>
          <w:spacing w:val="-2"/>
          <w:sz w:val="24"/>
        </w:rPr>
        <w:t>295</w:t>
      </w:r>
      <w:r>
        <w:rPr>
          <w:rFonts w:hint="eastAsia" w:eastAsia="方正仿宋_GBK"/>
          <w:color w:val="000000"/>
          <w:spacing w:val="-2"/>
          <w:sz w:val="24"/>
        </w:rPr>
        <w:t>号）、《省级城镇基础设施建设引导资金管理暂行办法》（苏财规〔</w:t>
      </w:r>
      <w:r>
        <w:rPr>
          <w:rFonts w:eastAsia="方正仿宋_GBK"/>
          <w:color w:val="000000"/>
          <w:spacing w:val="-2"/>
          <w:sz w:val="24"/>
        </w:rPr>
        <w:t>2014</w:t>
      </w:r>
      <w:r>
        <w:rPr>
          <w:rFonts w:hint="eastAsia" w:eastAsia="方正仿宋_GBK"/>
          <w:color w:val="000000"/>
          <w:spacing w:val="-2"/>
          <w:sz w:val="24"/>
        </w:rPr>
        <w:t>〕</w:t>
      </w:r>
      <w:r>
        <w:rPr>
          <w:rFonts w:eastAsia="方正仿宋_GBK"/>
          <w:color w:val="000000"/>
          <w:spacing w:val="-2"/>
          <w:sz w:val="24"/>
        </w:rPr>
        <w:t>26</w:t>
      </w:r>
      <w:r>
        <w:rPr>
          <w:rFonts w:hint="eastAsia" w:eastAsia="方正仿宋_GBK"/>
          <w:color w:val="000000"/>
          <w:spacing w:val="-2"/>
          <w:sz w:val="24"/>
        </w:rPr>
        <w:t>号）等规定，制定本办法。</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第二条</w:t>
      </w:r>
      <w:r>
        <w:rPr>
          <w:rFonts w:eastAsia="方正仿宋_GBK"/>
          <w:color w:val="000000"/>
          <w:spacing w:val="-2"/>
          <w:sz w:val="24"/>
        </w:rPr>
        <w:t xml:space="preserve">  </w:t>
      </w:r>
      <w:r>
        <w:rPr>
          <w:rFonts w:hint="eastAsia" w:eastAsia="方正仿宋_GBK"/>
          <w:color w:val="000000"/>
          <w:spacing w:val="-2"/>
          <w:sz w:val="24"/>
        </w:rPr>
        <w:t>年度省级抗震加固专项资金项目均需进行绩效自评价。本年度省级抗震加固专项资金项目应在下一年度专项资金申报日期截止前完成，未完成的地区不予申报下一年度专项资金项目。</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第三条</w:t>
      </w:r>
      <w:r>
        <w:rPr>
          <w:rFonts w:eastAsia="方正仿宋_GBK"/>
          <w:color w:val="000000"/>
          <w:spacing w:val="-2"/>
          <w:sz w:val="24"/>
        </w:rPr>
        <w:t xml:space="preserve">  </w:t>
      </w:r>
      <w:r>
        <w:rPr>
          <w:rFonts w:hint="eastAsia" w:eastAsia="方正仿宋_GBK"/>
          <w:color w:val="000000"/>
          <w:spacing w:val="-2"/>
          <w:sz w:val="24"/>
        </w:rPr>
        <w:t>省住房和城乡建设厅负责全省省级抗震加固专项资金项目绩效自评价监督管理。省住房和城乡建设厅负责抗震管理的处室具体实施省级单位的专项资金项目绩效自评价工作</w:t>
      </w:r>
      <w:r>
        <w:rPr>
          <w:rFonts w:eastAsia="方正仿宋_GBK"/>
          <w:color w:val="000000"/>
          <w:spacing w:val="-2"/>
          <w:sz w:val="24"/>
        </w:rPr>
        <w:t>,</w:t>
      </w:r>
      <w:r>
        <w:rPr>
          <w:rFonts w:hint="eastAsia" w:eastAsia="方正仿宋_GBK"/>
          <w:color w:val="000000"/>
          <w:spacing w:val="-2"/>
          <w:sz w:val="24"/>
        </w:rPr>
        <w:t>省辖市建设局（委）负责抗震管理的处室具体实施本地区省级抗震加固专项资金项目绩效自评价工作。</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第四条</w:t>
      </w:r>
      <w:r>
        <w:rPr>
          <w:rFonts w:eastAsia="方正仿宋_GBK"/>
          <w:color w:val="000000"/>
          <w:spacing w:val="-2"/>
          <w:sz w:val="24"/>
        </w:rPr>
        <w:t xml:space="preserve">  </w:t>
      </w:r>
      <w:r>
        <w:rPr>
          <w:rFonts w:hint="eastAsia" w:eastAsia="方正仿宋_GBK"/>
          <w:color w:val="000000"/>
          <w:spacing w:val="-2"/>
          <w:sz w:val="24"/>
        </w:rPr>
        <w:t>绩效自评价工作依照科学规范、简明实用、公正公开的原则。</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第五条</w:t>
      </w:r>
      <w:r>
        <w:rPr>
          <w:rFonts w:eastAsia="方正仿宋_GBK"/>
          <w:color w:val="000000"/>
          <w:spacing w:val="-2"/>
          <w:sz w:val="24"/>
        </w:rPr>
        <w:t xml:space="preserve">  </w:t>
      </w:r>
      <w:r>
        <w:rPr>
          <w:rFonts w:hint="eastAsia" w:eastAsia="方正仿宋_GBK"/>
          <w:color w:val="000000"/>
          <w:spacing w:val="-2"/>
          <w:sz w:val="24"/>
        </w:rPr>
        <w:t>市、县（市）建设局（委）采取项目跟踪、信息录入反映序时进度的方式，督促项目实施单位于每季度末及时将《专项资金项目实施情况季报表》</w:t>
      </w:r>
      <w:r>
        <w:rPr>
          <w:rFonts w:eastAsia="方正仿宋_GBK"/>
          <w:color w:val="000000"/>
          <w:spacing w:val="-2"/>
          <w:sz w:val="24"/>
        </w:rPr>
        <w:t>(</w:t>
      </w:r>
      <w:r>
        <w:rPr>
          <w:rFonts w:hint="eastAsia" w:eastAsia="方正仿宋_GBK"/>
          <w:color w:val="000000"/>
          <w:spacing w:val="-2"/>
          <w:sz w:val="24"/>
        </w:rPr>
        <w:t>附件</w:t>
      </w:r>
      <w:r>
        <w:rPr>
          <w:rFonts w:eastAsia="方正仿宋_GBK"/>
          <w:color w:val="000000"/>
          <w:spacing w:val="-2"/>
          <w:sz w:val="24"/>
        </w:rPr>
        <w:t>1)</w:t>
      </w:r>
      <w:r>
        <w:rPr>
          <w:rFonts w:hint="eastAsia" w:eastAsia="方正仿宋_GBK"/>
          <w:color w:val="000000"/>
          <w:spacing w:val="-2"/>
          <w:sz w:val="24"/>
        </w:rPr>
        <w:t>信息录入</w:t>
      </w:r>
      <w:r>
        <w:rPr>
          <w:rFonts w:eastAsia="方正仿宋_GBK"/>
          <w:color w:val="000000"/>
          <w:spacing w:val="-2"/>
          <w:sz w:val="24"/>
        </w:rPr>
        <w:t>“</w:t>
      </w:r>
      <w:r>
        <w:rPr>
          <w:rFonts w:hint="eastAsia" w:eastAsia="方正仿宋_GBK"/>
          <w:color w:val="000000"/>
          <w:spacing w:val="-2"/>
          <w:sz w:val="24"/>
        </w:rPr>
        <w:t>江苏省住房城乡建设专项资金监管系统</w:t>
      </w:r>
      <w:r>
        <w:rPr>
          <w:rFonts w:eastAsia="方正仿宋_GBK"/>
          <w:color w:val="000000"/>
          <w:spacing w:val="-2"/>
          <w:sz w:val="24"/>
        </w:rPr>
        <w:t>”——</w:t>
      </w:r>
      <w:r>
        <w:rPr>
          <w:rFonts w:hint="eastAsia" w:eastAsia="方正仿宋_GBK"/>
          <w:color w:val="000000"/>
          <w:spacing w:val="-2"/>
          <w:sz w:val="24"/>
        </w:rPr>
        <w:t>实施管理阶段</w:t>
      </w:r>
      <w:r>
        <w:rPr>
          <w:rFonts w:eastAsia="方正仿宋_GBK"/>
          <w:color w:val="000000"/>
          <w:spacing w:val="-2"/>
          <w:sz w:val="24"/>
        </w:rPr>
        <w:t xml:space="preserve">, </w:t>
      </w:r>
      <w:r>
        <w:rPr>
          <w:rFonts w:hint="eastAsia" w:eastAsia="方正仿宋_GBK"/>
          <w:color w:val="000000"/>
          <w:spacing w:val="-2"/>
          <w:sz w:val="24"/>
        </w:rPr>
        <w:t>动态地了解和掌握项目实施过程和实现程度。</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第六条</w:t>
      </w:r>
      <w:r>
        <w:rPr>
          <w:rFonts w:eastAsia="方正仿宋_GBK"/>
          <w:color w:val="000000"/>
          <w:spacing w:val="-2"/>
          <w:sz w:val="24"/>
        </w:rPr>
        <w:t xml:space="preserve">  </w:t>
      </w:r>
      <w:r>
        <w:rPr>
          <w:rFonts w:hint="eastAsia" w:eastAsia="方正仿宋_GBK"/>
          <w:color w:val="000000"/>
          <w:spacing w:val="-2"/>
          <w:sz w:val="24"/>
        </w:rPr>
        <w:t>绩效自评价的主要内容：</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（一）项目实施结果评价，包括项目按申报内容实施情况等；</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（二）项目实施效果评价，包括项目产生的示范作用等。</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具体评价内容和分值详见附件。</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第七条</w:t>
      </w:r>
      <w:r>
        <w:rPr>
          <w:rFonts w:eastAsia="方正仿宋_GBK"/>
          <w:color w:val="000000"/>
          <w:spacing w:val="-2"/>
          <w:sz w:val="24"/>
        </w:rPr>
        <w:t xml:space="preserve">  </w:t>
      </w:r>
      <w:r>
        <w:rPr>
          <w:rFonts w:hint="eastAsia" w:eastAsia="方正仿宋_GBK"/>
          <w:color w:val="000000"/>
          <w:spacing w:val="-2"/>
          <w:sz w:val="24"/>
        </w:rPr>
        <w:t>开展绩效自评价的工作程序：</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（一）省级抗震加固专项资金项目完成后，项目实施单位组织验收，合格后向所在地省辖市建设局（委）提出项目绩效自评价申请，并提供所需资料；同时，相关信息录入</w:t>
      </w:r>
      <w:r>
        <w:rPr>
          <w:rFonts w:eastAsia="方正仿宋_GBK"/>
          <w:color w:val="000000"/>
          <w:spacing w:val="-2"/>
          <w:sz w:val="24"/>
        </w:rPr>
        <w:t>“</w:t>
      </w:r>
      <w:r>
        <w:rPr>
          <w:rFonts w:hint="eastAsia" w:eastAsia="方正仿宋_GBK"/>
          <w:color w:val="000000"/>
          <w:spacing w:val="-2"/>
          <w:sz w:val="24"/>
        </w:rPr>
        <w:t>江苏省住房城乡建设专项资金监管系统</w:t>
      </w:r>
      <w:r>
        <w:rPr>
          <w:rFonts w:eastAsia="方正仿宋_GBK"/>
          <w:color w:val="000000"/>
          <w:spacing w:val="-2"/>
          <w:sz w:val="24"/>
        </w:rPr>
        <w:t>”——</w:t>
      </w:r>
      <w:r>
        <w:rPr>
          <w:rFonts w:hint="eastAsia" w:eastAsia="方正仿宋_GBK"/>
          <w:color w:val="000000"/>
          <w:spacing w:val="-2"/>
          <w:sz w:val="24"/>
        </w:rPr>
        <w:t>验收管理阶段。</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应急避难场所项目验收和绩效自评价可一并实施。</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二）省辖市建设局（委）组织评价专家到项目现场考核评价、对照打分表综合打分，形成初步评价结果。省级单位实施的专项资金项目由省住房和城乡建设厅负责抗震管理的处室直接组织专家进行考核评价、综合打分。</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（三）省辖市建设局（委）撰写绩效自评价报告并附考核打分表，提交省住房和城乡建设厅负责抗震管理的处室审核。</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绩效自评价报告内容包括：项目基本概况、绩效自评价工作的组织实施、绩效自评价结果、问题及建议等。</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（四）省住房和城乡建设厅负责抗震管理的处室对各地专项资金项目绩效自评价结果进行复核，对绩效自评价工作进行抽查。</w:t>
      </w:r>
    </w:p>
    <w:p>
      <w:pPr>
        <w:spacing w:line="460" w:lineRule="exact"/>
        <w:ind w:firstLine="590" w:firstLineChars="250"/>
        <w:rPr>
          <w:rFonts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五</w:t>
      </w:r>
      <w:r>
        <w:rPr>
          <w:rFonts w:eastAsia="方正仿宋_GBK"/>
          <w:color w:val="000000"/>
          <w:spacing w:val="-2"/>
          <w:sz w:val="24"/>
        </w:rPr>
        <w:t>)</w:t>
      </w:r>
      <w:r>
        <w:rPr>
          <w:rFonts w:hint="eastAsia" w:eastAsia="方正仿宋_GBK"/>
          <w:color w:val="000000"/>
          <w:spacing w:val="-2"/>
          <w:sz w:val="24"/>
        </w:rPr>
        <w:t>省住房和城乡建设厅负责抗震管理的处室在总结全省抗震加固专项资金项目绩效自评价工作的基础上，编制省级抗震加固专项资金年度自评价报告。</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第八条</w:t>
      </w:r>
      <w:r>
        <w:rPr>
          <w:rFonts w:eastAsia="方正仿宋_GBK"/>
          <w:color w:val="000000"/>
          <w:spacing w:val="-2"/>
          <w:sz w:val="24"/>
        </w:rPr>
        <w:t xml:space="preserve">  </w:t>
      </w:r>
      <w:r>
        <w:rPr>
          <w:rFonts w:hint="eastAsia" w:eastAsia="方正仿宋_GBK"/>
          <w:color w:val="000000"/>
          <w:spacing w:val="-2"/>
          <w:sz w:val="24"/>
        </w:rPr>
        <w:t>申请绩效自评价需提供的资料</w:t>
      </w:r>
      <w:r>
        <w:rPr>
          <w:rFonts w:eastAsia="方正仿宋_GBK"/>
          <w:color w:val="000000"/>
          <w:spacing w:val="-2"/>
          <w:sz w:val="24"/>
        </w:rPr>
        <w:t>:</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（一）申报专项资金时的报送材料；</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（二）项目自述材料</w:t>
      </w:r>
      <w:r>
        <w:rPr>
          <w:rFonts w:eastAsia="方正仿宋_GBK"/>
          <w:color w:val="000000"/>
          <w:spacing w:val="-2"/>
          <w:sz w:val="24"/>
        </w:rPr>
        <w:t>(</w:t>
      </w:r>
      <w:r>
        <w:rPr>
          <w:rFonts w:hint="eastAsia" w:eastAsia="方正仿宋_GBK"/>
          <w:color w:val="000000"/>
          <w:spacing w:val="-2"/>
          <w:sz w:val="24"/>
        </w:rPr>
        <w:t>主要是申报内容完成情况、实施效果</w:t>
      </w:r>
      <w:r>
        <w:rPr>
          <w:rFonts w:eastAsia="方正仿宋_GBK"/>
          <w:color w:val="000000"/>
          <w:spacing w:val="-2"/>
          <w:sz w:val="24"/>
        </w:rPr>
        <w:t>)</w:t>
      </w:r>
      <w:r>
        <w:rPr>
          <w:rFonts w:hint="eastAsia" w:eastAsia="方正仿宋_GBK"/>
          <w:color w:val="000000"/>
          <w:spacing w:val="-2"/>
          <w:sz w:val="24"/>
        </w:rPr>
        <w:t>；</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（三）各季度《专项资金项目实施情况季度报表》；</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（四）项目实施经费情况报告（附台账）；</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（五）工程实施过程的照片（电子版）。</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第九条</w:t>
      </w:r>
      <w:r>
        <w:rPr>
          <w:rFonts w:eastAsia="方正仿宋_GBK"/>
          <w:color w:val="000000"/>
          <w:spacing w:val="-2"/>
          <w:sz w:val="24"/>
        </w:rPr>
        <w:t xml:space="preserve">  </w:t>
      </w:r>
      <w:r>
        <w:rPr>
          <w:rFonts w:hint="eastAsia" w:eastAsia="方正仿宋_GBK"/>
          <w:color w:val="000000"/>
          <w:spacing w:val="-2"/>
          <w:sz w:val="24"/>
        </w:rPr>
        <w:t>绩效自评价结果实行量化评分，量化分值为百分制（自评价表详见附件</w:t>
      </w:r>
      <w:r>
        <w:rPr>
          <w:rFonts w:eastAsia="方正仿宋_GBK"/>
          <w:color w:val="000000"/>
          <w:spacing w:val="-2"/>
          <w:sz w:val="24"/>
        </w:rPr>
        <w:t>2</w:t>
      </w:r>
      <w:r>
        <w:rPr>
          <w:rFonts w:hint="eastAsia" w:eastAsia="方正仿宋_GBK"/>
          <w:color w:val="000000"/>
          <w:spacing w:val="-2"/>
          <w:sz w:val="24"/>
        </w:rPr>
        <w:t>）。绩效自评价等级标准分为：优秀、合格、不合格三个等级。评分</w:t>
      </w:r>
      <w:r>
        <w:rPr>
          <w:rFonts w:eastAsia="方正仿宋_GBK"/>
          <w:color w:val="000000"/>
          <w:spacing w:val="-2"/>
          <w:sz w:val="24"/>
        </w:rPr>
        <w:t>90</w:t>
      </w:r>
      <w:r>
        <w:rPr>
          <w:rFonts w:hint="eastAsia" w:eastAsia="方正仿宋_GBK"/>
          <w:color w:val="000000"/>
          <w:spacing w:val="-2"/>
          <w:sz w:val="24"/>
        </w:rPr>
        <w:t>分以上为优秀；</w:t>
      </w:r>
      <w:r>
        <w:rPr>
          <w:rFonts w:eastAsia="方正仿宋_GBK"/>
          <w:color w:val="000000"/>
          <w:spacing w:val="-2"/>
          <w:sz w:val="24"/>
        </w:rPr>
        <w:t>80-90</w:t>
      </w:r>
      <w:r>
        <w:rPr>
          <w:rFonts w:hint="eastAsia" w:eastAsia="方正仿宋_GBK"/>
          <w:color w:val="000000"/>
          <w:spacing w:val="-2"/>
          <w:sz w:val="24"/>
        </w:rPr>
        <w:t>分为合格；低于</w:t>
      </w:r>
      <w:r>
        <w:rPr>
          <w:rFonts w:eastAsia="方正仿宋_GBK"/>
          <w:color w:val="000000"/>
          <w:spacing w:val="-2"/>
          <w:sz w:val="24"/>
        </w:rPr>
        <w:t>80</w:t>
      </w:r>
      <w:r>
        <w:rPr>
          <w:rFonts w:hint="eastAsia" w:eastAsia="方正仿宋_GBK"/>
          <w:color w:val="000000"/>
          <w:spacing w:val="-2"/>
          <w:sz w:val="24"/>
        </w:rPr>
        <w:t>分为不合格。</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第十条</w:t>
      </w:r>
      <w:r>
        <w:rPr>
          <w:rFonts w:eastAsia="方正仿宋_GBK"/>
          <w:color w:val="000000"/>
          <w:spacing w:val="-2"/>
          <w:sz w:val="24"/>
        </w:rPr>
        <w:t xml:space="preserve">  </w:t>
      </w:r>
      <w:r>
        <w:rPr>
          <w:rFonts w:hint="eastAsia" w:eastAsia="方正仿宋_GBK"/>
          <w:color w:val="000000"/>
          <w:spacing w:val="-2"/>
          <w:sz w:val="24"/>
        </w:rPr>
        <w:t>绩效自评价结果运用：</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（一）项目绩效自评价为优秀的地区，优先支持下一年度专项资金项目申报。</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（二）项目绩效自评价结果不合格的，各地住房城乡建设主管部门责令其限期整改；</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（三）未按要求及时报送绩效自评价报告的地区，取消申报下一年度省级专项资金项目资格。</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（四）因项目单位失信导致未按申报内容实施，项目不能达到预期绩效目标的，调整或收回已拨付的省级专项补助资金，并向所在地人民政府通报该失信行为。</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第十一条</w:t>
      </w:r>
      <w:r>
        <w:rPr>
          <w:rFonts w:eastAsia="方正仿宋_GBK"/>
          <w:color w:val="000000"/>
          <w:spacing w:val="-2"/>
          <w:sz w:val="24"/>
        </w:rPr>
        <w:t xml:space="preserve">  </w:t>
      </w:r>
      <w:r>
        <w:rPr>
          <w:rFonts w:hint="eastAsia" w:eastAsia="方正仿宋_GBK"/>
          <w:color w:val="000000"/>
          <w:spacing w:val="-2"/>
          <w:sz w:val="24"/>
        </w:rPr>
        <w:t>省住房城乡建设厅建立绩效自评价档案制度，项目绩效自评价结果作为下一年度专项资金预算安排的重要依据。</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第十二条</w:t>
      </w:r>
      <w:r>
        <w:rPr>
          <w:rFonts w:eastAsia="方正仿宋_GBK"/>
          <w:color w:val="000000"/>
          <w:spacing w:val="-2"/>
          <w:sz w:val="24"/>
        </w:rPr>
        <w:t xml:space="preserve">  </w:t>
      </w:r>
      <w:r>
        <w:rPr>
          <w:rFonts w:hint="eastAsia" w:eastAsia="方正仿宋_GBK"/>
          <w:color w:val="000000"/>
          <w:spacing w:val="-2"/>
          <w:sz w:val="24"/>
        </w:rPr>
        <w:t>绩效自评价结果在一定范围内公开发布或公示，接受社会公众监督。</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第十三条</w:t>
      </w:r>
      <w:r>
        <w:rPr>
          <w:rFonts w:eastAsia="方正仿宋_GBK"/>
          <w:color w:val="000000"/>
          <w:spacing w:val="-2"/>
          <w:sz w:val="24"/>
        </w:rPr>
        <w:t xml:space="preserve">  </w:t>
      </w:r>
      <w:r>
        <w:rPr>
          <w:rFonts w:hint="eastAsia" w:eastAsia="方正仿宋_GBK"/>
          <w:color w:val="000000"/>
          <w:spacing w:val="-2"/>
          <w:sz w:val="24"/>
        </w:rPr>
        <w:t>本办法由省住房城乡建设厅负责解释。</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第十四条</w:t>
      </w:r>
      <w:r>
        <w:rPr>
          <w:rFonts w:eastAsia="方正仿宋_GBK"/>
          <w:color w:val="000000"/>
          <w:spacing w:val="-2"/>
          <w:sz w:val="24"/>
        </w:rPr>
        <w:t xml:space="preserve">  </w:t>
      </w:r>
      <w:r>
        <w:rPr>
          <w:rFonts w:hint="eastAsia" w:eastAsia="方正仿宋_GBK"/>
          <w:color w:val="000000"/>
          <w:spacing w:val="-2"/>
          <w:sz w:val="24"/>
        </w:rPr>
        <w:t>本办法自颁布之日起实施。</w:t>
      </w:r>
    </w:p>
    <w:p>
      <w:pPr>
        <w:spacing w:line="460" w:lineRule="exact"/>
        <w:rPr>
          <w:rFonts w:eastAsia="方正仿宋_GBK"/>
          <w:color w:val="000000"/>
          <w:spacing w:val="-2"/>
          <w:sz w:val="24"/>
        </w:rPr>
      </w:pP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附件：</w:t>
      </w:r>
      <w:r>
        <w:rPr>
          <w:rFonts w:eastAsia="方正仿宋_GBK"/>
          <w:color w:val="000000"/>
          <w:spacing w:val="-2"/>
          <w:sz w:val="24"/>
        </w:rPr>
        <w:t>1. </w:t>
      </w:r>
      <w:r>
        <w:rPr>
          <w:rFonts w:hint="eastAsia" w:eastAsia="方正仿宋_GBK"/>
          <w:color w:val="000000"/>
          <w:spacing w:val="-2"/>
          <w:sz w:val="24"/>
        </w:rPr>
        <w:t>专项资金项目实施情况季度报表</w:t>
      </w:r>
    </w:p>
    <w:p>
      <w:pPr>
        <w:spacing w:line="460" w:lineRule="exact"/>
        <w:ind w:firstLine="944" w:firstLineChars="400"/>
        <w:rPr>
          <w:rFonts w:eastAsia="方正仿宋_GBK"/>
          <w:color w:val="000000"/>
          <w:spacing w:val="-2"/>
          <w:sz w:val="24"/>
        </w:rPr>
      </w:pPr>
      <w:r>
        <w:rPr>
          <w:rFonts w:eastAsia="方正仿宋_GBK"/>
          <w:color w:val="000000"/>
          <w:spacing w:val="-2"/>
          <w:sz w:val="24"/>
        </w:rPr>
        <w:t xml:space="preserve">  2. </w:t>
      </w:r>
      <w:r>
        <w:rPr>
          <w:rFonts w:hint="eastAsia" w:eastAsia="方正仿宋_GBK"/>
          <w:color w:val="000000"/>
          <w:spacing w:val="-2"/>
          <w:sz w:val="24"/>
        </w:rPr>
        <w:t>专项资金项目绩效自评价表</w:t>
      </w:r>
    </w:p>
    <w:p>
      <w:pPr>
        <w:spacing w:line="460" w:lineRule="exact"/>
        <w:rPr>
          <w:rFonts w:ascii="Times New Roman" w:eastAsia="方正黑体_GBK"/>
          <w:color w:val="000000"/>
          <w:spacing w:val="-2"/>
          <w:sz w:val="28"/>
          <w:szCs w:val="28"/>
        </w:rPr>
      </w:pPr>
      <w:r>
        <w:rPr>
          <w:rFonts w:eastAsia="方正仿宋_GBK"/>
          <w:color w:val="000000"/>
          <w:spacing w:val="-2"/>
          <w:sz w:val="24"/>
        </w:rPr>
        <w:br w:type="column"/>
      </w:r>
      <w:r>
        <w:rPr>
          <w:rFonts w:hint="eastAsia" w:ascii="Times New Roman" w:eastAsia="方正黑体_GBK"/>
          <w:color w:val="000000"/>
          <w:spacing w:val="-2"/>
          <w:sz w:val="28"/>
          <w:szCs w:val="28"/>
        </w:rPr>
        <w:t>附件1：</w:t>
      </w:r>
    </w:p>
    <w:p>
      <w:pPr>
        <w:spacing w:line="560" w:lineRule="exact"/>
        <w:jc w:val="center"/>
        <w:rPr>
          <w:rFonts w:hint="eastAsia" w:ascii="Times New Roman" w:eastAsia="方正黑体_GBK"/>
          <w:color w:val="000000"/>
          <w:spacing w:val="-2"/>
          <w:sz w:val="28"/>
          <w:szCs w:val="28"/>
        </w:rPr>
      </w:pPr>
      <w:r>
        <w:rPr>
          <w:rFonts w:hint="eastAsia" w:ascii="Times New Roman" w:eastAsia="方正黑体_GBK"/>
          <w:color w:val="000000"/>
          <w:spacing w:val="-2"/>
          <w:sz w:val="28"/>
          <w:szCs w:val="28"/>
        </w:rPr>
        <w:t>省级抗震加固专项资金项目实施情况第</w:t>
      </w:r>
      <w:r>
        <w:rPr>
          <w:rFonts w:hint="eastAsia" w:ascii="Times New Roman" w:eastAsia="方正黑体_GBK"/>
          <w:color w:val="000000"/>
          <w:spacing w:val="-2"/>
          <w:sz w:val="28"/>
          <w:szCs w:val="28"/>
          <w:u w:val="single"/>
        </w:rPr>
        <w:t xml:space="preserve">    </w:t>
      </w:r>
      <w:r>
        <w:rPr>
          <w:rFonts w:hint="eastAsia" w:ascii="Times New Roman" w:eastAsia="方正黑体_GBK"/>
          <w:color w:val="000000"/>
          <w:spacing w:val="-2"/>
          <w:sz w:val="28"/>
          <w:szCs w:val="28"/>
        </w:rPr>
        <w:t>季度报表</w:t>
      </w:r>
    </w:p>
    <w:p>
      <w:pPr>
        <w:spacing w:after="120" w:afterLines="50" w:line="560" w:lineRule="exact"/>
        <w:rPr>
          <w:rFonts w:hint="eastAsia" w:eastAsia="方正仿宋_GBK"/>
          <w:color w:val="000000"/>
          <w:spacing w:val="-2"/>
          <w:sz w:val="24"/>
          <w:u w:val="single"/>
        </w:rPr>
      </w:pPr>
      <w:r>
        <w:rPr>
          <w:rFonts w:hint="eastAsia" w:eastAsia="方正仿宋_GBK"/>
          <w:color w:val="000000"/>
          <w:spacing w:val="-2"/>
          <w:sz w:val="24"/>
        </w:rPr>
        <w:t>项目类型：</w:t>
      </w:r>
      <w:r>
        <w:rPr>
          <w:rFonts w:hint="eastAsia" w:eastAsia="方正仿宋_GBK"/>
          <w:color w:val="000000"/>
          <w:spacing w:val="-2"/>
          <w:sz w:val="24"/>
          <w:u w:val="single"/>
        </w:rPr>
        <w:t>　　　　　</w:t>
      </w:r>
      <w:r>
        <w:rPr>
          <w:rFonts w:eastAsia="方正仿宋_GBK"/>
          <w:color w:val="000000"/>
          <w:spacing w:val="-2"/>
          <w:sz w:val="24"/>
          <w:u w:val="single"/>
        </w:rPr>
        <w:t xml:space="preserve">    </w:t>
      </w:r>
      <w:r>
        <w:rPr>
          <w:rFonts w:hint="eastAsia" w:eastAsia="方正仿宋_GBK"/>
          <w:color w:val="000000"/>
          <w:spacing w:val="-2"/>
          <w:sz w:val="24"/>
          <w:u w:val="single"/>
        </w:rPr>
        <w:t>　</w:t>
      </w:r>
      <w:r>
        <w:rPr>
          <w:rFonts w:hint="eastAsia" w:eastAsia="方正仿宋_GBK"/>
          <w:color w:val="000000"/>
          <w:spacing w:val="-2"/>
          <w:sz w:val="24"/>
        </w:rPr>
        <w:t>　　　　　　　　　　　　　　　</w:t>
      </w:r>
    </w:p>
    <w:tbl>
      <w:tblPr>
        <w:tblStyle w:val="12"/>
        <w:tblpPr w:leftFromText="180" w:rightFromText="180" w:vertAnchor="text" w:tblpX="48" w:tblpY="1"/>
        <w:tblOverlap w:val="never"/>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028"/>
        <w:gridCol w:w="67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028" w:type="dxa"/>
            <w:tcBorders>
              <w:top w:val="single" w:color="auto" w:sz="8"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 w:val="24"/>
              </w:rPr>
            </w:pPr>
            <w:r>
              <w:rPr>
                <w:rFonts w:hint="eastAsia" w:eastAsia="方正仿宋_GBK"/>
                <w:color w:val="000000"/>
                <w:spacing w:val="-2"/>
                <w:sz w:val="24"/>
              </w:rPr>
              <w:t>项目名称</w:t>
            </w:r>
          </w:p>
        </w:tc>
        <w:tc>
          <w:tcPr>
            <w:tcW w:w="6760" w:type="dxa"/>
            <w:tcBorders>
              <w:top w:val="single" w:color="auto" w:sz="8"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028"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 w:val="24"/>
              </w:rPr>
            </w:pPr>
            <w:r>
              <w:rPr>
                <w:rFonts w:hint="eastAsia" w:eastAsia="方正仿宋_GBK"/>
                <w:color w:val="000000"/>
                <w:spacing w:val="-2"/>
                <w:sz w:val="24"/>
              </w:rPr>
              <w:t>项目实施单位</w:t>
            </w:r>
          </w:p>
        </w:tc>
        <w:tc>
          <w:tcPr>
            <w:tcW w:w="6760"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3" w:hRule="atLeast"/>
        </w:trPr>
        <w:tc>
          <w:tcPr>
            <w:tcW w:w="2028" w:type="dxa"/>
            <w:vMerge w:val="restart"/>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 w:val="24"/>
              </w:rPr>
            </w:pPr>
            <w:r>
              <w:rPr>
                <w:rFonts w:hint="eastAsia" w:eastAsia="方正仿宋_GBK"/>
                <w:color w:val="000000"/>
                <w:spacing w:val="-2"/>
                <w:sz w:val="24"/>
              </w:rPr>
              <w:t>项目实施情况</w:t>
            </w:r>
          </w:p>
          <w:p>
            <w:pPr>
              <w:jc w:val="center"/>
              <w:rPr>
                <w:rFonts w:eastAsia="方正仿宋_GBK"/>
                <w:color w:val="000000"/>
                <w:spacing w:val="-2"/>
                <w:szCs w:val="21"/>
              </w:rPr>
            </w:pPr>
            <w:r>
              <w:rPr>
                <w:rFonts w:hint="eastAsia" w:eastAsia="方正仿宋_GBK"/>
                <w:color w:val="000000"/>
                <w:spacing w:val="-2"/>
                <w:szCs w:val="21"/>
              </w:rPr>
              <w:t>（本栏填写项目工程的进展情况）</w:t>
            </w:r>
          </w:p>
        </w:tc>
        <w:tc>
          <w:tcPr>
            <w:tcW w:w="6760" w:type="dxa"/>
            <w:tcBorders>
              <w:top w:val="single" w:color="auto" w:sz="4" w:space="0"/>
              <w:left w:val="single" w:color="auto" w:sz="4" w:space="0"/>
              <w:bottom w:val="single" w:color="auto" w:sz="4" w:space="0"/>
              <w:right w:val="single" w:color="auto" w:sz="8" w:space="0"/>
            </w:tcBorders>
            <w:noWrap w:val="0"/>
            <w:vAlign w:val="center"/>
          </w:tcPr>
          <w:p>
            <w:pPr>
              <w:rPr>
                <w:rFonts w:eastAsia="方正仿宋_GBK"/>
                <w:color w:val="000000"/>
                <w:spacing w:val="-2"/>
                <w:sz w:val="24"/>
              </w:rPr>
            </w:pPr>
            <w:r>
              <w:rPr>
                <w:rFonts w:hint="eastAsia" w:ascii="Times New Roman" w:hAnsi="Times New Roman"/>
                <w:color w:val="000000"/>
                <w:spacing w:val="-2"/>
                <w:sz w:val="24"/>
              </w:rPr>
              <w:t>□</w:t>
            </w:r>
            <w:r>
              <w:rPr>
                <w:rFonts w:eastAsia="方正仿宋_GBK"/>
                <w:color w:val="000000"/>
                <w:spacing w:val="-2"/>
                <w:sz w:val="24"/>
              </w:rPr>
              <w:t xml:space="preserve">  </w:t>
            </w:r>
            <w:r>
              <w:rPr>
                <w:rFonts w:hint="eastAsia" w:eastAsia="方正仿宋_GBK"/>
                <w:color w:val="000000"/>
                <w:spacing w:val="-2"/>
                <w:sz w:val="24"/>
              </w:rPr>
              <w:t>项目已立项</w:t>
            </w:r>
            <w:r>
              <w:rPr>
                <w:rFonts w:eastAsia="方正仿宋_GBK"/>
                <w:color w:val="000000"/>
                <w:spacing w:val="-2"/>
                <w:sz w:val="24"/>
              </w:rPr>
              <w:t xml:space="preserve">                  </w:t>
            </w:r>
            <w:r>
              <w:rPr>
                <w:rFonts w:hint="eastAsia" w:ascii="Times New Roman" w:hAnsi="Times New Roman"/>
                <w:color w:val="000000"/>
                <w:spacing w:val="-2"/>
                <w:sz w:val="24"/>
              </w:rPr>
              <w:t>□</w:t>
            </w:r>
            <w:r>
              <w:rPr>
                <w:rFonts w:eastAsia="方正仿宋_GBK"/>
                <w:color w:val="000000"/>
                <w:spacing w:val="-2"/>
                <w:sz w:val="24"/>
              </w:rPr>
              <w:t xml:space="preserve">  </w:t>
            </w:r>
            <w:r>
              <w:rPr>
                <w:rFonts w:hint="eastAsia" w:eastAsia="方正仿宋_GBK"/>
                <w:color w:val="000000"/>
                <w:spacing w:val="-2"/>
                <w:sz w:val="24"/>
              </w:rPr>
              <w:t>通过施工图专项审查</w:t>
            </w:r>
          </w:p>
          <w:p>
            <w:pPr>
              <w:rPr>
                <w:rFonts w:eastAsia="方正仿宋_GBK"/>
                <w:color w:val="000000"/>
                <w:spacing w:val="-2"/>
                <w:sz w:val="24"/>
              </w:rPr>
            </w:pPr>
            <w:r>
              <w:rPr>
                <w:rFonts w:hint="eastAsia" w:ascii="Times New Roman" w:hAnsi="Times New Roman"/>
                <w:color w:val="000000"/>
                <w:spacing w:val="-2"/>
                <w:sz w:val="24"/>
              </w:rPr>
              <w:t>□</w:t>
            </w:r>
            <w:r>
              <w:rPr>
                <w:rFonts w:eastAsia="方正仿宋_GBK"/>
                <w:color w:val="000000"/>
                <w:spacing w:val="-2"/>
                <w:sz w:val="24"/>
              </w:rPr>
              <w:t xml:space="preserve">  </w:t>
            </w:r>
            <w:r>
              <w:rPr>
                <w:rFonts w:hint="eastAsia" w:eastAsia="方正仿宋_GBK"/>
                <w:color w:val="000000"/>
                <w:spacing w:val="-2"/>
                <w:sz w:val="24"/>
              </w:rPr>
              <w:t>工程已经开始施工</w:t>
            </w:r>
            <w:r>
              <w:rPr>
                <w:rFonts w:eastAsia="方正仿宋_GBK"/>
                <w:color w:val="000000"/>
                <w:spacing w:val="-2"/>
                <w:sz w:val="24"/>
              </w:rPr>
              <w:t xml:space="preserve">           </w:t>
            </w:r>
            <w:r>
              <w:rPr>
                <w:rFonts w:hint="eastAsia" w:ascii="Times New Roman" w:hAnsi="Times New Roman"/>
                <w:color w:val="000000"/>
                <w:spacing w:val="-2"/>
                <w:sz w:val="24"/>
              </w:rPr>
              <w:t xml:space="preserve"> □</w:t>
            </w:r>
            <w:r>
              <w:rPr>
                <w:rFonts w:eastAsia="方正仿宋_GBK"/>
                <w:color w:val="000000"/>
                <w:spacing w:val="-2"/>
                <w:sz w:val="24"/>
              </w:rPr>
              <w:t xml:space="preserve">  </w:t>
            </w:r>
            <w:r>
              <w:rPr>
                <w:rFonts w:hint="eastAsia" w:eastAsia="方正仿宋_GBK"/>
                <w:color w:val="000000"/>
                <w:spacing w:val="-2"/>
                <w:sz w:val="24"/>
              </w:rPr>
              <w:t>专项工程验收</w:t>
            </w:r>
          </w:p>
          <w:p>
            <w:pPr>
              <w:rPr>
                <w:rFonts w:eastAsia="方正仿宋_GBK"/>
                <w:color w:val="000000"/>
                <w:spacing w:val="-2"/>
                <w:sz w:val="24"/>
              </w:rPr>
            </w:pPr>
            <w:r>
              <w:rPr>
                <w:rFonts w:hint="eastAsia" w:ascii="Times New Roman" w:hAnsi="Times New Roman"/>
                <w:color w:val="000000"/>
                <w:spacing w:val="-2"/>
                <w:sz w:val="24"/>
              </w:rPr>
              <w:t xml:space="preserve">□ </w:t>
            </w:r>
            <w:r>
              <w:rPr>
                <w:rFonts w:eastAsia="方正仿宋_GBK"/>
                <w:color w:val="000000"/>
                <w:spacing w:val="-2"/>
                <w:sz w:val="24"/>
              </w:rPr>
              <w:t xml:space="preserve"> </w:t>
            </w:r>
            <w:r>
              <w:rPr>
                <w:rFonts w:hint="eastAsia" w:eastAsia="方正仿宋_GBK"/>
                <w:color w:val="000000"/>
                <w:spacing w:val="-2"/>
                <w:sz w:val="24"/>
              </w:rPr>
              <w:t>工程竣工验收</w:t>
            </w:r>
            <w:r>
              <w:rPr>
                <w:rFonts w:eastAsia="方正仿宋_GBK"/>
                <w:color w:val="000000"/>
                <w:spacing w:val="-2"/>
                <w:sz w:val="24"/>
              </w:rPr>
              <w:t xml:space="preserve">                </w:t>
            </w:r>
            <w:r>
              <w:rPr>
                <w:rFonts w:hint="eastAsia" w:ascii="Times New Roman" w:hAnsi="Times New Roman"/>
                <w:color w:val="000000"/>
                <w:spacing w:val="-2"/>
                <w:sz w:val="24"/>
              </w:rPr>
              <w:t>□</w:t>
            </w:r>
            <w:r>
              <w:rPr>
                <w:rFonts w:eastAsia="方正仿宋_GBK"/>
                <w:color w:val="000000"/>
                <w:spacing w:val="-2"/>
                <w:sz w:val="24"/>
              </w:rPr>
              <w:t xml:space="preserve">  </w:t>
            </w:r>
            <w:r>
              <w:rPr>
                <w:rFonts w:hint="eastAsia" w:eastAsia="方正仿宋_GBK"/>
                <w:color w:val="000000"/>
                <w:spacing w:val="-2"/>
                <w:sz w:val="24"/>
              </w:rPr>
              <w:t>已申请验收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2028"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6760" w:type="dxa"/>
            <w:tcBorders>
              <w:top w:val="single" w:color="auto" w:sz="4" w:space="0"/>
              <w:left w:val="single" w:color="auto" w:sz="4" w:space="0"/>
              <w:bottom w:val="single" w:color="auto" w:sz="4" w:space="0"/>
              <w:right w:val="single" w:color="auto" w:sz="8" w:space="0"/>
            </w:tcBorders>
            <w:noWrap w:val="0"/>
            <w:vAlign w:val="top"/>
          </w:tcPr>
          <w:p>
            <w:pPr>
              <w:rPr>
                <w:rFonts w:eastAsia="方正仿宋_GBK"/>
                <w:color w:val="000000"/>
                <w:spacing w:val="-2"/>
                <w:sz w:val="24"/>
              </w:rPr>
            </w:pPr>
            <w:r>
              <w:rPr>
                <w:rFonts w:hint="eastAsia" w:eastAsia="方正仿宋_GBK"/>
                <w:color w:val="000000"/>
                <w:spacing w:val="-2"/>
                <w:sz w:val="24"/>
              </w:rPr>
              <w:t>简要说明：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2028"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 w:val="24"/>
              </w:rPr>
            </w:pPr>
            <w:r>
              <w:rPr>
                <w:rFonts w:hint="eastAsia" w:eastAsia="方正仿宋_GBK"/>
                <w:color w:val="000000"/>
                <w:spacing w:val="-2"/>
                <w:sz w:val="24"/>
              </w:rPr>
              <w:t>项目实施进度</w:t>
            </w:r>
          </w:p>
        </w:tc>
        <w:tc>
          <w:tcPr>
            <w:tcW w:w="6760" w:type="dxa"/>
            <w:tcBorders>
              <w:top w:val="single" w:color="auto" w:sz="4" w:space="0"/>
              <w:left w:val="single" w:color="auto" w:sz="4" w:space="0"/>
              <w:bottom w:val="single" w:color="auto" w:sz="4" w:space="0"/>
              <w:right w:val="single" w:color="auto" w:sz="8" w:space="0"/>
            </w:tcBorders>
            <w:noWrap w:val="0"/>
            <w:vAlign w:val="center"/>
          </w:tcPr>
          <w:p>
            <w:pPr>
              <w:rPr>
                <w:rFonts w:eastAsia="方正仿宋_GBK"/>
                <w:color w:val="000000"/>
                <w:spacing w:val="-2"/>
                <w:sz w:val="24"/>
              </w:rPr>
            </w:pPr>
            <w:r>
              <w:rPr>
                <w:rFonts w:hint="eastAsia" w:ascii="Times New Roman" w:hAnsi="Times New Roman"/>
                <w:color w:val="000000"/>
                <w:spacing w:val="-2"/>
                <w:sz w:val="24"/>
              </w:rPr>
              <w:t>□</w:t>
            </w:r>
            <w:r>
              <w:rPr>
                <w:rFonts w:hint="eastAsia" w:eastAsia="方正仿宋_GBK"/>
                <w:color w:val="000000"/>
                <w:spacing w:val="-2"/>
                <w:sz w:val="24"/>
              </w:rPr>
              <w:t>符合实施进度计划　　　</w:t>
            </w:r>
            <w:r>
              <w:rPr>
                <w:rFonts w:hint="eastAsia" w:ascii="Times New Roman" w:hAnsi="Times New Roman"/>
                <w:color w:val="000000"/>
                <w:spacing w:val="-2"/>
                <w:sz w:val="24"/>
              </w:rPr>
              <w:t>□</w:t>
            </w:r>
            <w:r>
              <w:rPr>
                <w:rFonts w:hint="eastAsia" w:eastAsia="方正仿宋_GBK"/>
                <w:color w:val="000000"/>
                <w:spacing w:val="-2"/>
                <w:sz w:val="24"/>
              </w:rPr>
              <w:t>延迟于实施进度计划</w:t>
            </w:r>
          </w:p>
          <w:p>
            <w:pPr>
              <w:rPr>
                <w:rFonts w:eastAsia="方正仿宋_GBK"/>
                <w:color w:val="000000"/>
                <w:spacing w:val="-2"/>
                <w:sz w:val="24"/>
              </w:rPr>
            </w:pPr>
            <w:r>
              <w:rPr>
                <w:rFonts w:hint="eastAsia" w:ascii="Times New Roman" w:hAnsi="Times New Roman"/>
                <w:color w:val="000000"/>
                <w:spacing w:val="-2"/>
                <w:sz w:val="24"/>
              </w:rPr>
              <w:t>□</w:t>
            </w:r>
            <w:r>
              <w:rPr>
                <w:rFonts w:hint="eastAsia" w:eastAsia="方正仿宋_GBK"/>
                <w:color w:val="000000"/>
                <w:spacing w:val="-2"/>
                <w:sz w:val="24"/>
              </w:rPr>
              <w:t>超前于实施进度计划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32" w:hRule="atLeast"/>
        </w:trPr>
        <w:tc>
          <w:tcPr>
            <w:tcW w:w="2028" w:type="dxa"/>
            <w:tcBorders>
              <w:top w:val="single" w:color="auto" w:sz="4" w:space="0"/>
              <w:left w:val="single" w:color="auto" w:sz="8" w:space="0"/>
              <w:bottom w:val="single" w:color="auto" w:sz="4" w:space="0"/>
              <w:right w:val="single" w:color="auto" w:sz="4" w:space="0"/>
            </w:tcBorders>
            <w:noWrap w:val="0"/>
            <w:vAlign w:val="center"/>
          </w:tcPr>
          <w:p>
            <w:pPr>
              <w:spacing w:line="320" w:lineRule="exact"/>
              <w:rPr>
                <w:rFonts w:eastAsia="方正仿宋_GBK"/>
                <w:color w:val="000000"/>
                <w:spacing w:val="-2"/>
                <w:sz w:val="24"/>
              </w:rPr>
            </w:pPr>
            <w:r>
              <w:rPr>
                <w:rFonts w:hint="eastAsia" w:eastAsia="方正仿宋_GBK"/>
                <w:color w:val="000000"/>
                <w:spacing w:val="-2"/>
                <w:sz w:val="24"/>
              </w:rPr>
              <w:t>资金拨付和</w:t>
            </w:r>
          </w:p>
          <w:p>
            <w:pPr>
              <w:spacing w:line="320" w:lineRule="exact"/>
              <w:rPr>
                <w:rFonts w:eastAsia="方正仿宋_GBK"/>
                <w:color w:val="000000"/>
                <w:spacing w:val="-2"/>
                <w:sz w:val="24"/>
              </w:rPr>
            </w:pPr>
            <w:r>
              <w:rPr>
                <w:rFonts w:hint="eastAsia" w:eastAsia="方正仿宋_GBK"/>
                <w:color w:val="000000"/>
                <w:spacing w:val="-2"/>
                <w:sz w:val="24"/>
              </w:rPr>
              <w:t>使用情况</w:t>
            </w:r>
          </w:p>
        </w:tc>
        <w:tc>
          <w:tcPr>
            <w:tcW w:w="6760" w:type="dxa"/>
            <w:tcBorders>
              <w:top w:val="single" w:color="auto" w:sz="4" w:space="0"/>
              <w:left w:val="single" w:color="auto" w:sz="4" w:space="0"/>
              <w:bottom w:val="single" w:color="auto" w:sz="4" w:space="0"/>
              <w:right w:val="single" w:color="auto" w:sz="8" w:space="0"/>
            </w:tcBorders>
            <w:noWrap w:val="0"/>
            <w:vAlign w:val="center"/>
          </w:tcPr>
          <w:p>
            <w:pPr>
              <w:rPr>
                <w:rFonts w:eastAsia="方正仿宋_GBK"/>
                <w:color w:val="000000"/>
                <w:spacing w:val="-2"/>
                <w:sz w:val="24"/>
              </w:rPr>
            </w:pPr>
            <w:r>
              <w:rPr>
                <w:rFonts w:hint="eastAsia" w:eastAsia="方正仿宋_GBK"/>
                <w:color w:val="000000"/>
                <w:spacing w:val="-2"/>
                <w:sz w:val="24"/>
              </w:rPr>
              <w:t>项目预算资金总额</w:t>
            </w:r>
            <w:r>
              <w:rPr>
                <w:rFonts w:hint="eastAsia" w:eastAsia="方正仿宋_GBK"/>
                <w:color w:val="000000"/>
                <w:spacing w:val="-2"/>
                <w:sz w:val="24"/>
                <w:u w:val="single"/>
              </w:rPr>
              <w:t>　　</w:t>
            </w:r>
            <w:r>
              <w:rPr>
                <w:rFonts w:eastAsia="方正仿宋_GBK"/>
                <w:color w:val="000000"/>
                <w:spacing w:val="-2"/>
                <w:sz w:val="24"/>
                <w:u w:val="single"/>
              </w:rPr>
              <w:t xml:space="preserve">    </w:t>
            </w:r>
            <w:r>
              <w:rPr>
                <w:rFonts w:hint="eastAsia" w:eastAsia="方正仿宋_GBK"/>
                <w:color w:val="000000"/>
                <w:spacing w:val="-2"/>
                <w:sz w:val="24"/>
              </w:rPr>
              <w:t>万元；</w:t>
            </w:r>
          </w:p>
          <w:p>
            <w:pPr>
              <w:rPr>
                <w:rFonts w:eastAsia="方正仿宋_GBK"/>
                <w:color w:val="000000"/>
                <w:spacing w:val="-2"/>
                <w:sz w:val="24"/>
              </w:rPr>
            </w:pPr>
            <w:r>
              <w:rPr>
                <w:rFonts w:hint="eastAsia" w:eastAsia="方正仿宋_GBK"/>
                <w:color w:val="000000"/>
                <w:spacing w:val="-2"/>
                <w:sz w:val="24"/>
              </w:rPr>
              <w:t>省级专项资金应拨付</w:t>
            </w:r>
            <w:r>
              <w:rPr>
                <w:rFonts w:hint="eastAsia" w:eastAsia="方正仿宋_GBK"/>
                <w:color w:val="000000"/>
                <w:spacing w:val="-2"/>
                <w:sz w:val="24"/>
                <w:u w:val="single"/>
              </w:rPr>
              <w:t>　　　</w:t>
            </w:r>
            <w:r>
              <w:rPr>
                <w:rFonts w:eastAsia="方正仿宋_GBK"/>
                <w:color w:val="000000"/>
                <w:spacing w:val="-2"/>
                <w:sz w:val="24"/>
                <w:u w:val="single"/>
              </w:rPr>
              <w:t xml:space="preserve">  </w:t>
            </w:r>
            <w:r>
              <w:rPr>
                <w:rFonts w:hint="eastAsia" w:eastAsia="方正仿宋_GBK"/>
                <w:color w:val="000000"/>
                <w:spacing w:val="-2"/>
                <w:sz w:val="24"/>
              </w:rPr>
              <w:t>万元；地方应配套资金</w:t>
            </w:r>
            <w:r>
              <w:rPr>
                <w:rFonts w:hint="eastAsia" w:eastAsia="方正仿宋_GBK"/>
                <w:color w:val="000000"/>
                <w:spacing w:val="-2"/>
                <w:sz w:val="24"/>
                <w:u w:val="single"/>
              </w:rPr>
              <w:t>　　</w:t>
            </w:r>
            <w:r>
              <w:rPr>
                <w:rFonts w:eastAsia="方正仿宋_GBK"/>
                <w:color w:val="000000"/>
                <w:spacing w:val="-2"/>
                <w:sz w:val="24"/>
                <w:u w:val="single"/>
              </w:rPr>
              <w:t xml:space="preserve">    </w:t>
            </w:r>
            <w:r>
              <w:rPr>
                <w:rFonts w:hint="eastAsia" w:eastAsia="方正仿宋_GBK"/>
                <w:color w:val="000000"/>
                <w:spacing w:val="-2"/>
                <w:sz w:val="24"/>
              </w:rPr>
              <w:t>万元；</w:t>
            </w:r>
          </w:p>
          <w:p>
            <w:pPr>
              <w:rPr>
                <w:rFonts w:eastAsia="方正仿宋_GBK"/>
                <w:color w:val="000000"/>
                <w:spacing w:val="-2"/>
                <w:sz w:val="24"/>
              </w:rPr>
            </w:pPr>
            <w:r>
              <w:rPr>
                <w:rFonts w:hint="eastAsia" w:eastAsia="方正仿宋_GBK"/>
                <w:color w:val="000000"/>
                <w:spacing w:val="-2"/>
                <w:sz w:val="24"/>
              </w:rPr>
              <w:t>省级专项资金已拨付</w:t>
            </w:r>
            <w:r>
              <w:rPr>
                <w:rFonts w:eastAsia="方正仿宋_GBK"/>
                <w:color w:val="000000"/>
                <w:spacing w:val="-2"/>
                <w:sz w:val="24"/>
                <w:u w:val="single"/>
              </w:rPr>
              <w:t xml:space="preserve">      </w:t>
            </w:r>
            <w:r>
              <w:rPr>
                <w:rFonts w:hint="eastAsia" w:eastAsia="方正仿宋_GBK"/>
                <w:color w:val="000000"/>
                <w:spacing w:val="-2"/>
                <w:sz w:val="24"/>
              </w:rPr>
              <w:t>万元；地方配套用资金已使用</w:t>
            </w:r>
            <w:r>
              <w:rPr>
                <w:rFonts w:eastAsia="方正仿宋_GBK"/>
                <w:color w:val="000000"/>
                <w:spacing w:val="-2"/>
                <w:sz w:val="24"/>
                <w:u w:val="single"/>
              </w:rPr>
              <w:t xml:space="preserve">       </w:t>
            </w:r>
            <w:r>
              <w:rPr>
                <w:rFonts w:hint="eastAsia" w:eastAsia="方正仿宋_GBK"/>
                <w:color w:val="000000"/>
                <w:spacing w:val="-2"/>
                <w:sz w:val="24"/>
              </w:rPr>
              <w:t>万元。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73" w:hRule="atLeast"/>
        </w:trPr>
        <w:tc>
          <w:tcPr>
            <w:tcW w:w="2028"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 w:val="24"/>
              </w:rPr>
            </w:pPr>
            <w:r>
              <w:rPr>
                <w:rFonts w:hint="eastAsia" w:eastAsia="方正仿宋_GBK"/>
                <w:color w:val="000000"/>
                <w:spacing w:val="-2"/>
                <w:sz w:val="24"/>
              </w:rPr>
              <w:t>项目实施过程需说明的情况</w:t>
            </w:r>
          </w:p>
          <w:p>
            <w:pPr>
              <w:jc w:val="center"/>
              <w:rPr>
                <w:rFonts w:eastAsia="方正仿宋_GBK"/>
                <w:color w:val="000000"/>
                <w:spacing w:val="-2"/>
                <w:sz w:val="24"/>
              </w:rPr>
            </w:pPr>
            <w:r>
              <w:rPr>
                <w:rFonts w:hint="eastAsia" w:eastAsia="方正仿宋_GBK"/>
                <w:color w:val="000000"/>
                <w:spacing w:val="-2"/>
                <w:szCs w:val="21"/>
              </w:rPr>
              <w:t>（未按实施方案和项目延迟的原因）</w:t>
            </w:r>
          </w:p>
        </w:tc>
        <w:tc>
          <w:tcPr>
            <w:tcW w:w="6760" w:type="dxa"/>
            <w:tcBorders>
              <w:top w:val="single" w:color="auto" w:sz="4" w:space="0"/>
              <w:left w:val="single" w:color="auto" w:sz="4" w:space="0"/>
              <w:bottom w:val="single" w:color="auto" w:sz="4" w:space="0"/>
              <w:right w:val="single" w:color="auto" w:sz="8" w:space="0"/>
            </w:tcBorders>
            <w:noWrap w:val="0"/>
            <w:vAlign w:val="center"/>
          </w:tcPr>
          <w:p>
            <w:pPr>
              <w:rPr>
                <w:rFonts w:eastAsia="方正仿宋_GBK"/>
                <w:color w:val="000000"/>
                <w:spacing w:val="-2"/>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0" w:hRule="atLeast"/>
        </w:trPr>
        <w:tc>
          <w:tcPr>
            <w:tcW w:w="2028" w:type="dxa"/>
            <w:tcBorders>
              <w:top w:val="single" w:color="auto" w:sz="4" w:space="0"/>
              <w:left w:val="single" w:color="auto" w:sz="8" w:space="0"/>
              <w:bottom w:val="single" w:color="auto" w:sz="8" w:space="0"/>
              <w:right w:val="single" w:color="auto" w:sz="4" w:space="0"/>
            </w:tcBorders>
            <w:noWrap w:val="0"/>
            <w:vAlign w:val="center"/>
          </w:tcPr>
          <w:p>
            <w:pPr>
              <w:jc w:val="center"/>
              <w:rPr>
                <w:rFonts w:eastAsia="方正仿宋_GBK"/>
                <w:color w:val="000000"/>
                <w:spacing w:val="-2"/>
                <w:sz w:val="24"/>
              </w:rPr>
            </w:pPr>
            <w:r>
              <w:rPr>
                <w:rFonts w:hint="eastAsia" w:eastAsia="方正仿宋_GBK"/>
                <w:color w:val="000000"/>
                <w:spacing w:val="-2"/>
                <w:sz w:val="24"/>
              </w:rPr>
              <w:t>项目实施单位</w:t>
            </w:r>
          </w:p>
          <w:p>
            <w:pPr>
              <w:jc w:val="center"/>
              <w:rPr>
                <w:rFonts w:eastAsia="方正仿宋_GBK"/>
                <w:color w:val="000000"/>
                <w:spacing w:val="-2"/>
                <w:sz w:val="24"/>
              </w:rPr>
            </w:pPr>
            <w:r>
              <w:rPr>
                <w:rFonts w:hint="eastAsia" w:eastAsia="方正仿宋_GBK"/>
                <w:color w:val="000000"/>
                <w:spacing w:val="-2"/>
                <w:sz w:val="24"/>
              </w:rPr>
              <w:t>意见</w:t>
            </w:r>
          </w:p>
        </w:tc>
        <w:tc>
          <w:tcPr>
            <w:tcW w:w="6760" w:type="dxa"/>
            <w:tcBorders>
              <w:top w:val="single" w:color="auto" w:sz="4" w:space="0"/>
              <w:left w:val="single" w:color="auto" w:sz="4" w:space="0"/>
              <w:bottom w:val="single" w:color="auto" w:sz="8" w:space="0"/>
              <w:right w:val="single" w:color="auto" w:sz="8" w:space="0"/>
            </w:tcBorders>
            <w:noWrap w:val="0"/>
            <w:vAlign w:val="center"/>
          </w:tcPr>
          <w:p>
            <w:pPr>
              <w:ind w:firstLine="4602" w:firstLineChars="1950"/>
              <w:rPr>
                <w:rFonts w:eastAsia="方正仿宋_GBK"/>
                <w:color w:val="000000"/>
                <w:spacing w:val="-2"/>
                <w:sz w:val="24"/>
              </w:rPr>
            </w:pPr>
          </w:p>
          <w:p>
            <w:pPr>
              <w:ind w:firstLine="4720" w:firstLineChars="2000"/>
              <w:rPr>
                <w:rFonts w:eastAsia="方正仿宋_GBK"/>
                <w:color w:val="000000"/>
                <w:spacing w:val="-2"/>
                <w:sz w:val="24"/>
              </w:rPr>
            </w:pPr>
            <w:r>
              <w:rPr>
                <w:rFonts w:hint="eastAsia" w:eastAsia="方正仿宋_GBK"/>
                <w:color w:val="000000"/>
                <w:spacing w:val="-2"/>
                <w:sz w:val="24"/>
              </w:rPr>
              <w:t>签字</w:t>
            </w:r>
          </w:p>
          <w:p>
            <w:pPr>
              <w:ind w:firstLine="4484" w:firstLineChars="1900"/>
              <w:rPr>
                <w:rFonts w:eastAsia="方正仿宋_GBK"/>
                <w:color w:val="000000"/>
                <w:spacing w:val="-2"/>
                <w:sz w:val="24"/>
              </w:rPr>
            </w:pPr>
            <w:r>
              <w:rPr>
                <w:rFonts w:hint="eastAsia" w:eastAsia="方正仿宋_GBK"/>
                <w:color w:val="000000"/>
                <w:spacing w:val="-2"/>
                <w:sz w:val="24"/>
              </w:rPr>
              <w:t>（盖章）</w:t>
            </w:r>
          </w:p>
          <w:p>
            <w:pPr>
              <w:rPr>
                <w:rFonts w:eastAsia="方正仿宋_GBK"/>
                <w:color w:val="000000"/>
                <w:spacing w:val="-2"/>
                <w:sz w:val="24"/>
              </w:rPr>
            </w:pPr>
            <w:r>
              <w:rPr>
                <w:rFonts w:hint="eastAsia" w:eastAsia="方正仿宋_GBK"/>
                <w:color w:val="000000"/>
                <w:spacing w:val="-2"/>
                <w:sz w:val="24"/>
              </w:rPr>
              <w:t>　　　　　　　　　　　　　</w:t>
            </w:r>
            <w:r>
              <w:rPr>
                <w:rFonts w:eastAsia="方正仿宋_GBK"/>
                <w:color w:val="000000"/>
                <w:spacing w:val="-2"/>
                <w:sz w:val="24"/>
              </w:rPr>
              <w:t xml:space="preserve">      </w:t>
            </w:r>
            <w:r>
              <w:rPr>
                <w:rFonts w:hint="eastAsia" w:eastAsia="方正仿宋_GBK"/>
                <w:color w:val="000000"/>
                <w:spacing w:val="-2"/>
                <w:sz w:val="24"/>
              </w:rPr>
              <w:t>　　年　月　日</w:t>
            </w:r>
          </w:p>
        </w:tc>
      </w:tr>
    </w:tbl>
    <w:p/>
    <w:p>
      <w:pPr>
        <w:rPr>
          <w:rFonts w:ascii="Times New Roman" w:eastAsia="方正黑体_GBK"/>
          <w:color w:val="000000"/>
          <w:spacing w:val="-2"/>
          <w:sz w:val="28"/>
          <w:szCs w:val="28"/>
        </w:rPr>
      </w:pPr>
      <w:r>
        <w:br w:type="column"/>
      </w:r>
      <w:r>
        <w:rPr>
          <w:rFonts w:hint="eastAsia" w:ascii="Times New Roman" w:eastAsia="方正黑体_GBK"/>
          <w:color w:val="000000"/>
          <w:spacing w:val="-2"/>
          <w:sz w:val="28"/>
          <w:szCs w:val="28"/>
        </w:rPr>
        <w:t>附件2</w:t>
      </w:r>
    </w:p>
    <w:p>
      <w:pPr>
        <w:spacing w:line="560" w:lineRule="exact"/>
        <w:jc w:val="center"/>
        <w:rPr>
          <w:rFonts w:hint="eastAsia" w:ascii="Times New Roman" w:eastAsia="方正黑体_GBK"/>
          <w:color w:val="000000"/>
          <w:spacing w:val="-2"/>
          <w:sz w:val="28"/>
          <w:szCs w:val="28"/>
        </w:rPr>
      </w:pPr>
      <w:r>
        <w:rPr>
          <w:rFonts w:hint="eastAsia" w:ascii="Times New Roman" w:eastAsia="方正黑体_GBK"/>
          <w:color w:val="000000"/>
          <w:spacing w:val="-2"/>
          <w:sz w:val="28"/>
          <w:szCs w:val="28"/>
        </w:rPr>
        <w:t>绩效自评价表一(项目基本信息)</w:t>
      </w:r>
    </w:p>
    <w:tbl>
      <w:tblPr>
        <w:tblStyle w:val="12"/>
        <w:tblW w:w="0" w:type="auto"/>
        <w:tblInd w:w="8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320"/>
        <w:gridCol w:w="1321"/>
        <w:gridCol w:w="1665"/>
        <w:gridCol w:w="36"/>
        <w:gridCol w:w="1443"/>
        <w:gridCol w:w="13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702" w:type="dxa"/>
            <w:tcBorders>
              <w:top w:val="single" w:color="auto" w:sz="8"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项目名称</w:t>
            </w:r>
            <w:r>
              <w:rPr>
                <w:rFonts w:eastAsia="方正仿宋_GBK"/>
                <w:color w:val="000000"/>
                <w:spacing w:val="-2"/>
                <w:szCs w:val="21"/>
              </w:rPr>
              <w:t>*</w:t>
            </w:r>
          </w:p>
        </w:tc>
        <w:tc>
          <w:tcPr>
            <w:tcW w:w="7098" w:type="dxa"/>
            <w:gridSpan w:val="6"/>
            <w:tcBorders>
              <w:top w:val="single" w:color="auto" w:sz="8"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702"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项目位置</w:t>
            </w:r>
            <w:r>
              <w:rPr>
                <w:rFonts w:eastAsia="方正仿宋_GBK"/>
                <w:color w:val="000000"/>
                <w:spacing w:val="-2"/>
                <w:szCs w:val="21"/>
              </w:rPr>
              <w:t>*</w:t>
            </w:r>
          </w:p>
        </w:tc>
        <w:tc>
          <w:tcPr>
            <w:tcW w:w="7098" w:type="dxa"/>
            <w:gridSpan w:val="6"/>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市</w:t>
            </w:r>
            <w:r>
              <w:rPr>
                <w:rFonts w:eastAsia="方正仿宋_GBK"/>
                <w:color w:val="000000"/>
                <w:spacing w:val="-2"/>
                <w:szCs w:val="21"/>
              </w:rPr>
              <w:t xml:space="preserve">        </w:t>
            </w:r>
            <w:r>
              <w:rPr>
                <w:rFonts w:hint="eastAsia" w:eastAsia="方正仿宋_GBK"/>
                <w:color w:val="000000"/>
                <w:spacing w:val="-2"/>
                <w:szCs w:val="21"/>
              </w:rPr>
              <w:t>县（市、区）</w:t>
            </w:r>
            <w:r>
              <w:rPr>
                <w:rFonts w:eastAsia="方正仿宋_GBK"/>
                <w:color w:val="000000"/>
                <w:spacing w:val="-2"/>
                <w:szCs w:val="21"/>
              </w:rPr>
              <w:t xml:space="preserve">           </w:t>
            </w:r>
            <w:r>
              <w:rPr>
                <w:rFonts w:hint="eastAsia" w:eastAsia="方正仿宋_GBK"/>
                <w:color w:val="000000"/>
                <w:spacing w:val="-2"/>
                <w:szCs w:val="21"/>
              </w:rPr>
              <w:t>街道（镇、乡）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702"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项目实施单位</w:t>
            </w:r>
            <w:r>
              <w:rPr>
                <w:rFonts w:eastAsia="方正仿宋_GBK"/>
                <w:color w:val="000000"/>
                <w:spacing w:val="-2"/>
                <w:szCs w:val="21"/>
              </w:rPr>
              <w:t>*</w:t>
            </w:r>
          </w:p>
        </w:tc>
        <w:tc>
          <w:tcPr>
            <w:tcW w:w="7098" w:type="dxa"/>
            <w:gridSpan w:val="6"/>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702"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联系人</w:t>
            </w:r>
            <w:r>
              <w:rPr>
                <w:rFonts w:eastAsia="方正仿宋_GBK"/>
                <w:color w:val="000000"/>
                <w:spacing w:val="-2"/>
                <w:szCs w:val="21"/>
              </w:rPr>
              <w:t>*</w:t>
            </w:r>
          </w:p>
        </w:tc>
        <w:tc>
          <w:tcPr>
            <w:tcW w:w="264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1665"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联系电话</w:t>
            </w:r>
            <w:r>
              <w:rPr>
                <w:rFonts w:eastAsia="方正仿宋_GBK"/>
                <w:color w:val="000000"/>
                <w:spacing w:val="-2"/>
                <w:szCs w:val="21"/>
              </w:rPr>
              <w:t>*</w:t>
            </w:r>
          </w:p>
        </w:tc>
        <w:tc>
          <w:tcPr>
            <w:tcW w:w="2792" w:type="dxa"/>
            <w:gridSpan w:val="3"/>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1702"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项目主管部门</w:t>
            </w:r>
          </w:p>
        </w:tc>
        <w:tc>
          <w:tcPr>
            <w:tcW w:w="7098" w:type="dxa"/>
            <w:gridSpan w:val="6"/>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02"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联系人</w:t>
            </w:r>
          </w:p>
        </w:tc>
        <w:tc>
          <w:tcPr>
            <w:tcW w:w="264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170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联系电话</w:t>
            </w:r>
          </w:p>
        </w:tc>
        <w:tc>
          <w:tcPr>
            <w:tcW w:w="2756" w:type="dxa"/>
            <w:gridSpan w:val="2"/>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1702"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绩效自评价</w:t>
            </w:r>
          </w:p>
          <w:p>
            <w:pPr>
              <w:jc w:val="center"/>
              <w:rPr>
                <w:rFonts w:eastAsia="方正仿宋_GBK"/>
                <w:color w:val="000000"/>
                <w:spacing w:val="-2"/>
                <w:szCs w:val="21"/>
              </w:rPr>
            </w:pPr>
            <w:r>
              <w:rPr>
                <w:rFonts w:hint="eastAsia" w:eastAsia="方正仿宋_GBK"/>
                <w:color w:val="000000"/>
                <w:spacing w:val="-2"/>
                <w:szCs w:val="21"/>
              </w:rPr>
              <w:t>实施部门</w:t>
            </w:r>
          </w:p>
        </w:tc>
        <w:tc>
          <w:tcPr>
            <w:tcW w:w="7098" w:type="dxa"/>
            <w:gridSpan w:val="6"/>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1702"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联系人</w:t>
            </w:r>
          </w:p>
        </w:tc>
        <w:tc>
          <w:tcPr>
            <w:tcW w:w="264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170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联系电话</w:t>
            </w:r>
          </w:p>
        </w:tc>
        <w:tc>
          <w:tcPr>
            <w:tcW w:w="2756" w:type="dxa"/>
            <w:gridSpan w:val="2"/>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2" w:type="dxa"/>
            <w:vMerge w:val="restart"/>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预算安排资金</w:t>
            </w:r>
          </w:p>
          <w:p>
            <w:pPr>
              <w:jc w:val="center"/>
              <w:rPr>
                <w:rFonts w:eastAsia="方正仿宋_GBK"/>
                <w:color w:val="000000"/>
                <w:spacing w:val="-2"/>
                <w:szCs w:val="21"/>
              </w:rPr>
            </w:pPr>
            <w:r>
              <w:rPr>
                <w:rFonts w:eastAsia="方正仿宋_GBK"/>
                <w:color w:val="000000"/>
                <w:spacing w:val="-2"/>
                <w:szCs w:val="21"/>
              </w:rPr>
              <w:t>(</w:t>
            </w:r>
            <w:r>
              <w:rPr>
                <w:rFonts w:hint="eastAsia" w:eastAsia="方正仿宋_GBK"/>
                <w:color w:val="000000"/>
                <w:spacing w:val="-2"/>
                <w:szCs w:val="21"/>
              </w:rPr>
              <w:t>万元</w:t>
            </w:r>
            <w:r>
              <w:rPr>
                <w:rFonts w:eastAsia="方正仿宋_GBK"/>
                <w:color w:val="000000"/>
                <w:spacing w:val="-2"/>
                <w:szCs w:val="21"/>
              </w:rPr>
              <w:t>)*</w:t>
            </w:r>
          </w:p>
        </w:tc>
        <w:tc>
          <w:tcPr>
            <w:tcW w:w="132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省级投入</w:t>
            </w:r>
          </w:p>
        </w:tc>
        <w:tc>
          <w:tcPr>
            <w:tcW w:w="1321"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1701"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实际到位资金</w:t>
            </w:r>
          </w:p>
          <w:p>
            <w:pPr>
              <w:jc w:val="center"/>
              <w:rPr>
                <w:rFonts w:eastAsia="方正仿宋_GBK"/>
                <w:color w:val="000000"/>
                <w:spacing w:val="-2"/>
                <w:szCs w:val="21"/>
              </w:rPr>
            </w:pPr>
            <w:r>
              <w:rPr>
                <w:rFonts w:eastAsia="方正仿宋_GBK"/>
                <w:color w:val="000000"/>
                <w:spacing w:val="-2"/>
                <w:szCs w:val="21"/>
              </w:rPr>
              <w:t>(</w:t>
            </w:r>
            <w:r>
              <w:rPr>
                <w:rFonts w:hint="eastAsia" w:eastAsia="方正仿宋_GBK"/>
                <w:color w:val="000000"/>
                <w:spacing w:val="-2"/>
                <w:szCs w:val="21"/>
              </w:rPr>
              <w:t>万元</w:t>
            </w:r>
            <w:r>
              <w:rPr>
                <w:rFonts w:eastAsia="方正仿宋_GBK"/>
                <w:color w:val="000000"/>
                <w:spacing w:val="-2"/>
                <w:szCs w:val="21"/>
              </w:rPr>
              <w:t>)*</w:t>
            </w:r>
          </w:p>
        </w:tc>
        <w:tc>
          <w:tcPr>
            <w:tcW w:w="144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省级投入</w:t>
            </w:r>
          </w:p>
        </w:tc>
        <w:tc>
          <w:tcPr>
            <w:tcW w:w="1313"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2"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地方投入</w:t>
            </w:r>
          </w:p>
        </w:tc>
        <w:tc>
          <w:tcPr>
            <w:tcW w:w="1321"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1701"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44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地方投入</w:t>
            </w:r>
          </w:p>
        </w:tc>
        <w:tc>
          <w:tcPr>
            <w:tcW w:w="1313"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2"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单位自筹</w:t>
            </w:r>
          </w:p>
        </w:tc>
        <w:tc>
          <w:tcPr>
            <w:tcW w:w="1321"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1701"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44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单位自筹</w:t>
            </w:r>
          </w:p>
        </w:tc>
        <w:tc>
          <w:tcPr>
            <w:tcW w:w="1313"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1702" w:type="dxa"/>
            <w:vMerge w:val="restart"/>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实际支出资金</w:t>
            </w:r>
          </w:p>
          <w:p>
            <w:pPr>
              <w:jc w:val="center"/>
              <w:rPr>
                <w:rFonts w:eastAsia="方正仿宋_GBK"/>
                <w:color w:val="000000"/>
                <w:spacing w:val="-2"/>
                <w:szCs w:val="21"/>
              </w:rPr>
            </w:pPr>
            <w:r>
              <w:rPr>
                <w:rFonts w:hint="eastAsia" w:eastAsia="方正仿宋_GBK"/>
                <w:color w:val="000000"/>
                <w:spacing w:val="-2"/>
                <w:szCs w:val="21"/>
              </w:rPr>
              <w:t>（万元）</w:t>
            </w:r>
            <w:r>
              <w:rPr>
                <w:rFonts w:eastAsia="方正仿宋_GBK"/>
                <w:color w:val="000000"/>
                <w:spacing w:val="-2"/>
                <w:szCs w:val="21"/>
              </w:rPr>
              <w:t>*</w:t>
            </w:r>
          </w:p>
        </w:tc>
        <w:tc>
          <w:tcPr>
            <w:tcW w:w="132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省级投入</w:t>
            </w:r>
          </w:p>
        </w:tc>
        <w:tc>
          <w:tcPr>
            <w:tcW w:w="1321"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1701"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财务管理状况</w:t>
            </w:r>
          </w:p>
        </w:tc>
        <w:tc>
          <w:tcPr>
            <w:tcW w:w="144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信息录入</w:t>
            </w:r>
          </w:p>
          <w:p>
            <w:pPr>
              <w:jc w:val="center"/>
              <w:rPr>
                <w:rFonts w:eastAsia="方正仿宋_GBK"/>
                <w:color w:val="000000"/>
                <w:spacing w:val="-2"/>
                <w:szCs w:val="21"/>
              </w:rPr>
            </w:pPr>
            <w:r>
              <w:rPr>
                <w:rFonts w:hint="eastAsia" w:eastAsia="方正仿宋_GBK"/>
                <w:color w:val="000000"/>
                <w:spacing w:val="-2"/>
                <w:szCs w:val="21"/>
              </w:rPr>
              <w:t>系统情况</w:t>
            </w:r>
          </w:p>
        </w:tc>
        <w:tc>
          <w:tcPr>
            <w:tcW w:w="1313"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1702"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地方投入</w:t>
            </w:r>
          </w:p>
        </w:tc>
        <w:tc>
          <w:tcPr>
            <w:tcW w:w="1321"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1701"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44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项目过程</w:t>
            </w:r>
          </w:p>
          <w:p>
            <w:pPr>
              <w:jc w:val="center"/>
              <w:rPr>
                <w:rFonts w:eastAsia="方正仿宋_GBK"/>
                <w:color w:val="000000"/>
                <w:spacing w:val="-2"/>
                <w:szCs w:val="21"/>
              </w:rPr>
            </w:pPr>
            <w:r>
              <w:rPr>
                <w:rFonts w:hint="eastAsia" w:eastAsia="方正仿宋_GBK"/>
                <w:color w:val="000000"/>
                <w:spacing w:val="-2"/>
                <w:szCs w:val="21"/>
              </w:rPr>
              <w:t>跟踪情况</w:t>
            </w:r>
          </w:p>
        </w:tc>
        <w:tc>
          <w:tcPr>
            <w:tcW w:w="1313"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1702"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单位自筹</w:t>
            </w:r>
          </w:p>
        </w:tc>
        <w:tc>
          <w:tcPr>
            <w:tcW w:w="1321"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1701"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44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财务管理</w:t>
            </w:r>
          </w:p>
          <w:p>
            <w:pPr>
              <w:jc w:val="center"/>
              <w:rPr>
                <w:rFonts w:eastAsia="方正仿宋_GBK"/>
                <w:color w:val="000000"/>
                <w:spacing w:val="-2"/>
                <w:szCs w:val="21"/>
              </w:rPr>
            </w:pPr>
            <w:r>
              <w:rPr>
                <w:rFonts w:hint="eastAsia" w:eastAsia="方正仿宋_GBK"/>
                <w:color w:val="000000"/>
                <w:spacing w:val="-2"/>
                <w:szCs w:val="21"/>
              </w:rPr>
              <w:t>制度落实</w:t>
            </w:r>
          </w:p>
        </w:tc>
        <w:tc>
          <w:tcPr>
            <w:tcW w:w="1313"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702"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项目实施时间</w:t>
            </w:r>
            <w:r>
              <w:rPr>
                <w:rFonts w:eastAsia="方正仿宋_GBK"/>
                <w:color w:val="000000"/>
                <w:spacing w:val="-2"/>
                <w:szCs w:val="21"/>
              </w:rPr>
              <w:t>*</w:t>
            </w:r>
          </w:p>
        </w:tc>
        <w:tc>
          <w:tcPr>
            <w:tcW w:w="264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170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资金管理情况</w:t>
            </w:r>
          </w:p>
        </w:tc>
        <w:tc>
          <w:tcPr>
            <w:tcW w:w="2756" w:type="dxa"/>
            <w:gridSpan w:val="2"/>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r>
              <w:rPr>
                <w:rFonts w:eastAsia="方正仿宋_GBK"/>
                <w:color w:val="000000"/>
                <w:spacing w:val="-2"/>
                <w:szCs w:val="21"/>
              </w:rPr>
              <w:t>(</w:t>
            </w:r>
            <w:r>
              <w:rPr>
                <w:rFonts w:hint="eastAsia" w:eastAsia="方正仿宋_GBK"/>
                <w:color w:val="000000"/>
                <w:spacing w:val="-2"/>
                <w:szCs w:val="21"/>
              </w:rPr>
              <w:t>专款专用率</w:t>
            </w:r>
            <w:r>
              <w:rPr>
                <w:rFonts w:eastAsia="方正仿宋_GBK"/>
                <w:color w:val="000000"/>
                <w:spacing w:val="-2"/>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702" w:type="dxa"/>
            <w:tcBorders>
              <w:top w:val="single" w:color="auto" w:sz="4" w:space="0"/>
              <w:left w:val="single" w:color="auto" w:sz="8" w:space="0"/>
              <w:bottom w:val="single" w:color="auto" w:sz="8"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项目计划完成</w:t>
            </w:r>
          </w:p>
          <w:p>
            <w:pPr>
              <w:jc w:val="center"/>
              <w:rPr>
                <w:rFonts w:eastAsia="方正仿宋_GBK"/>
                <w:color w:val="000000"/>
                <w:spacing w:val="-2"/>
                <w:szCs w:val="21"/>
              </w:rPr>
            </w:pPr>
            <w:r>
              <w:rPr>
                <w:rFonts w:hint="eastAsia" w:eastAsia="方正仿宋_GBK"/>
                <w:color w:val="000000"/>
                <w:spacing w:val="-2"/>
                <w:szCs w:val="21"/>
              </w:rPr>
              <w:t>时间</w:t>
            </w:r>
            <w:r>
              <w:rPr>
                <w:rFonts w:eastAsia="方正仿宋_GBK"/>
                <w:color w:val="000000"/>
                <w:spacing w:val="-2"/>
                <w:szCs w:val="21"/>
              </w:rPr>
              <w:t>*</w:t>
            </w:r>
          </w:p>
        </w:tc>
        <w:tc>
          <w:tcPr>
            <w:tcW w:w="2641" w:type="dxa"/>
            <w:gridSpan w:val="2"/>
            <w:tcBorders>
              <w:top w:val="single" w:color="auto" w:sz="4" w:space="0"/>
              <w:left w:val="single" w:color="auto" w:sz="4" w:space="0"/>
              <w:bottom w:val="single" w:color="auto" w:sz="8" w:space="0"/>
              <w:right w:val="single" w:color="auto" w:sz="4" w:space="0"/>
            </w:tcBorders>
            <w:noWrap w:val="0"/>
            <w:vAlign w:val="center"/>
          </w:tcPr>
          <w:p>
            <w:pPr>
              <w:jc w:val="center"/>
              <w:rPr>
                <w:rFonts w:eastAsia="方正仿宋_GBK"/>
                <w:color w:val="000000"/>
                <w:spacing w:val="-2"/>
                <w:szCs w:val="21"/>
              </w:rPr>
            </w:pPr>
          </w:p>
        </w:tc>
        <w:tc>
          <w:tcPr>
            <w:tcW w:w="1701" w:type="dxa"/>
            <w:gridSpan w:val="2"/>
            <w:tcBorders>
              <w:top w:val="single" w:color="auto" w:sz="4" w:space="0"/>
              <w:left w:val="single" w:color="auto" w:sz="4" w:space="0"/>
              <w:bottom w:val="single" w:color="auto" w:sz="8"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项目实际完成</w:t>
            </w:r>
          </w:p>
          <w:p>
            <w:pPr>
              <w:jc w:val="center"/>
              <w:rPr>
                <w:rFonts w:eastAsia="方正仿宋_GBK"/>
                <w:color w:val="000000"/>
                <w:spacing w:val="-2"/>
                <w:szCs w:val="21"/>
              </w:rPr>
            </w:pPr>
            <w:r>
              <w:rPr>
                <w:rFonts w:hint="eastAsia" w:eastAsia="方正仿宋_GBK"/>
                <w:color w:val="000000"/>
                <w:spacing w:val="-2"/>
                <w:szCs w:val="21"/>
              </w:rPr>
              <w:t>时间</w:t>
            </w:r>
            <w:r>
              <w:rPr>
                <w:rFonts w:eastAsia="方正仿宋_GBK"/>
                <w:color w:val="000000"/>
                <w:spacing w:val="-2"/>
                <w:szCs w:val="21"/>
              </w:rPr>
              <w:t>*</w:t>
            </w:r>
          </w:p>
        </w:tc>
        <w:tc>
          <w:tcPr>
            <w:tcW w:w="2756" w:type="dxa"/>
            <w:gridSpan w:val="2"/>
            <w:tcBorders>
              <w:top w:val="single" w:color="auto" w:sz="4" w:space="0"/>
              <w:left w:val="single" w:color="auto" w:sz="4" w:space="0"/>
              <w:bottom w:val="single" w:color="auto" w:sz="8" w:space="0"/>
              <w:right w:val="single" w:color="auto" w:sz="8" w:space="0"/>
            </w:tcBorders>
            <w:noWrap w:val="0"/>
            <w:vAlign w:val="center"/>
          </w:tcPr>
          <w:p>
            <w:pPr>
              <w:jc w:val="center"/>
              <w:rPr>
                <w:rFonts w:eastAsia="方正仿宋_GBK"/>
                <w:color w:val="000000"/>
                <w:spacing w:val="-2"/>
                <w:szCs w:val="21"/>
              </w:rPr>
            </w:pPr>
          </w:p>
        </w:tc>
      </w:tr>
    </w:tbl>
    <w:p>
      <w:pPr>
        <w:spacing w:before="120" w:beforeLines="50"/>
        <w:jc w:val="left"/>
        <w:rPr>
          <w:rFonts w:hint="eastAsia" w:eastAsia="方正仿宋_GBK"/>
          <w:color w:val="000000"/>
          <w:spacing w:val="-2"/>
          <w:szCs w:val="21"/>
        </w:rPr>
      </w:pPr>
      <w:r>
        <w:rPr>
          <w:rFonts w:eastAsia="方正仿宋_GBK"/>
          <w:color w:val="000000"/>
          <w:spacing w:val="-2"/>
          <w:szCs w:val="21"/>
        </w:rPr>
        <w:t>(</w:t>
      </w:r>
      <w:r>
        <w:rPr>
          <w:rFonts w:hint="eastAsia" w:eastAsia="方正仿宋_GBK"/>
          <w:color w:val="000000"/>
          <w:spacing w:val="-2"/>
          <w:szCs w:val="21"/>
        </w:rPr>
        <w:t>注</w:t>
      </w:r>
      <w:r>
        <w:rPr>
          <w:rFonts w:eastAsia="方正仿宋_GBK"/>
          <w:color w:val="000000"/>
          <w:spacing w:val="-2"/>
          <w:szCs w:val="21"/>
        </w:rPr>
        <w:t>:</w:t>
      </w:r>
      <w:r>
        <w:rPr>
          <w:rFonts w:hint="eastAsia" w:eastAsia="方正仿宋_GBK"/>
          <w:color w:val="000000"/>
          <w:spacing w:val="-2"/>
          <w:szCs w:val="21"/>
        </w:rPr>
        <w:t>带</w:t>
      </w:r>
      <w:r>
        <w:rPr>
          <w:rFonts w:eastAsia="方正仿宋_GBK"/>
          <w:color w:val="000000"/>
          <w:spacing w:val="-2"/>
          <w:szCs w:val="21"/>
        </w:rPr>
        <w:t>*</w:t>
      </w:r>
      <w:r>
        <w:rPr>
          <w:rFonts w:hint="eastAsia" w:eastAsia="方正仿宋_GBK"/>
          <w:color w:val="000000"/>
          <w:spacing w:val="-2"/>
          <w:szCs w:val="21"/>
        </w:rPr>
        <w:t>内容由项目实施单位填写</w:t>
      </w:r>
      <w:r>
        <w:rPr>
          <w:rFonts w:eastAsia="方正仿宋_GBK"/>
          <w:color w:val="000000"/>
          <w:spacing w:val="-2"/>
          <w:szCs w:val="21"/>
        </w:rPr>
        <w:t>)</w:t>
      </w:r>
    </w:p>
    <w:p>
      <w:pPr>
        <w:spacing w:line="560" w:lineRule="exact"/>
        <w:jc w:val="center"/>
        <w:rPr>
          <w:rFonts w:ascii="Times New Roman" w:eastAsia="方正黑体_GBK"/>
          <w:color w:val="000000"/>
          <w:spacing w:val="-2"/>
          <w:sz w:val="28"/>
          <w:szCs w:val="28"/>
        </w:rPr>
      </w:pPr>
      <w:r>
        <w:rPr>
          <w:rFonts w:hint="eastAsia" w:ascii="Times New Roman" w:eastAsia="方正黑体_GBK"/>
          <w:color w:val="000000"/>
          <w:spacing w:val="-2"/>
          <w:sz w:val="28"/>
          <w:szCs w:val="28"/>
        </w:rPr>
        <w:br w:type="column"/>
      </w:r>
      <w:r>
        <w:rPr>
          <w:rFonts w:hint="eastAsia" w:ascii="Times New Roman" w:eastAsia="方正黑体_GBK"/>
          <w:color w:val="000000"/>
          <w:spacing w:val="-2"/>
          <w:sz w:val="28"/>
          <w:szCs w:val="28"/>
        </w:rPr>
        <w:t>绩效自评价表二(应急避难场所项目)</w:t>
      </w:r>
    </w:p>
    <w:tbl>
      <w:tblPr>
        <w:tblStyle w:val="12"/>
        <w:tblW w:w="0" w:type="auto"/>
        <w:tblInd w:w="6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3"/>
        <w:gridCol w:w="1537"/>
        <w:gridCol w:w="1040"/>
        <w:gridCol w:w="1790"/>
        <w:gridCol w:w="1250"/>
        <w:gridCol w:w="1528"/>
        <w:gridCol w:w="8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2220" w:type="dxa"/>
            <w:gridSpan w:val="2"/>
            <w:tcBorders>
              <w:top w:val="single" w:color="auto" w:sz="8" w:space="0"/>
              <w:left w:val="single" w:color="auto" w:sz="8" w:space="0"/>
              <w:bottom w:val="single" w:color="auto" w:sz="4" w:space="0"/>
              <w:right w:val="single" w:color="auto" w:sz="4" w:space="0"/>
            </w:tcBorders>
            <w:noWrap w:val="0"/>
            <w:vAlign w:val="center"/>
          </w:tcPr>
          <w:p>
            <w:pPr>
              <w:jc w:val="center"/>
              <w:rPr>
                <w:rFonts w:ascii="Times New Roman" w:eastAsia="方正黑体_GBK"/>
                <w:color w:val="000000"/>
                <w:spacing w:val="-2"/>
                <w:szCs w:val="21"/>
              </w:rPr>
            </w:pPr>
            <w:r>
              <w:rPr>
                <w:rFonts w:hint="eastAsia" w:ascii="Times New Roman" w:eastAsia="方正黑体_GBK"/>
                <w:color w:val="000000"/>
                <w:spacing w:val="-2"/>
                <w:szCs w:val="21"/>
              </w:rPr>
              <w:t>自评价内容</w:t>
            </w:r>
          </w:p>
        </w:tc>
        <w:tc>
          <w:tcPr>
            <w:tcW w:w="4080" w:type="dxa"/>
            <w:gridSpan w:val="3"/>
            <w:tcBorders>
              <w:top w:val="single" w:color="auto" w:sz="8" w:space="0"/>
              <w:left w:val="single" w:color="auto" w:sz="4" w:space="0"/>
              <w:bottom w:val="single" w:color="auto" w:sz="4" w:space="0"/>
              <w:right w:val="single" w:color="auto" w:sz="4" w:space="0"/>
            </w:tcBorders>
            <w:noWrap w:val="0"/>
            <w:vAlign w:val="center"/>
          </w:tcPr>
          <w:p>
            <w:pPr>
              <w:jc w:val="center"/>
              <w:rPr>
                <w:rFonts w:ascii="Times New Roman" w:eastAsia="方正黑体_GBK"/>
                <w:color w:val="000000"/>
                <w:spacing w:val="-2"/>
                <w:szCs w:val="21"/>
              </w:rPr>
            </w:pPr>
            <w:r>
              <w:rPr>
                <w:rFonts w:hint="eastAsia" w:ascii="Times New Roman" w:eastAsia="方正黑体_GBK"/>
                <w:color w:val="000000"/>
                <w:spacing w:val="-2"/>
                <w:szCs w:val="21"/>
              </w:rPr>
              <w:t>自评价指标</w:t>
            </w:r>
          </w:p>
        </w:tc>
        <w:tc>
          <w:tcPr>
            <w:tcW w:w="1528" w:type="dxa"/>
            <w:tcBorders>
              <w:top w:val="single" w:color="auto" w:sz="8" w:space="0"/>
              <w:left w:val="single" w:color="auto" w:sz="4" w:space="0"/>
              <w:bottom w:val="single" w:color="auto" w:sz="4" w:space="0"/>
              <w:right w:val="single" w:color="auto" w:sz="4" w:space="0"/>
            </w:tcBorders>
            <w:noWrap w:val="0"/>
            <w:vAlign w:val="center"/>
          </w:tcPr>
          <w:p>
            <w:pPr>
              <w:jc w:val="center"/>
              <w:rPr>
                <w:rFonts w:ascii="Times New Roman" w:eastAsia="方正黑体_GBK"/>
                <w:color w:val="000000"/>
                <w:spacing w:val="-2"/>
                <w:szCs w:val="21"/>
              </w:rPr>
            </w:pPr>
            <w:r>
              <w:rPr>
                <w:rFonts w:hint="eastAsia" w:ascii="Times New Roman" w:eastAsia="方正黑体_GBK"/>
                <w:color w:val="000000"/>
                <w:spacing w:val="-2"/>
                <w:szCs w:val="21"/>
              </w:rPr>
              <w:t>分值</w:t>
            </w:r>
          </w:p>
        </w:tc>
        <w:tc>
          <w:tcPr>
            <w:tcW w:w="895" w:type="dxa"/>
            <w:tcBorders>
              <w:top w:val="single" w:color="auto" w:sz="8" w:space="0"/>
              <w:left w:val="single" w:color="auto" w:sz="4" w:space="0"/>
              <w:bottom w:val="single" w:color="auto" w:sz="4" w:space="0"/>
              <w:right w:val="single" w:color="auto" w:sz="8" w:space="0"/>
            </w:tcBorders>
            <w:noWrap w:val="0"/>
            <w:vAlign w:val="center"/>
          </w:tcPr>
          <w:p>
            <w:pPr>
              <w:jc w:val="center"/>
              <w:rPr>
                <w:rFonts w:ascii="Times New Roman" w:eastAsia="方正黑体_GBK"/>
                <w:color w:val="000000"/>
                <w:spacing w:val="-2"/>
                <w:szCs w:val="21"/>
              </w:rPr>
            </w:pPr>
            <w:r>
              <w:rPr>
                <w:rFonts w:hint="eastAsia" w:ascii="Times New Roman" w:eastAsia="方正黑体_GBK"/>
                <w:color w:val="000000"/>
                <w:spacing w:val="-2"/>
                <w:szCs w:val="21"/>
              </w:rPr>
              <w:t>得分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9" w:hRule="atLeast"/>
        </w:trPr>
        <w:tc>
          <w:tcPr>
            <w:tcW w:w="683" w:type="dxa"/>
            <w:vMerge w:val="restart"/>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基本情况</w:t>
            </w:r>
          </w:p>
          <w:p>
            <w:pPr>
              <w:jc w:val="center"/>
              <w:rPr>
                <w:rFonts w:eastAsia="方正仿宋_GBK"/>
                <w:color w:val="000000"/>
                <w:spacing w:val="-2"/>
                <w:szCs w:val="21"/>
              </w:rPr>
            </w:pPr>
          </w:p>
        </w:tc>
        <w:tc>
          <w:tcPr>
            <w:tcW w:w="1537"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场所级别</w:t>
            </w:r>
          </w:p>
        </w:tc>
        <w:tc>
          <w:tcPr>
            <w:tcW w:w="104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ascii="Times New Roman" w:hAnsi="Times New Roman"/>
                <w:color w:val="000000"/>
                <w:spacing w:val="-2"/>
                <w:szCs w:val="21"/>
              </w:rPr>
              <w:t>□</w:t>
            </w:r>
            <w:r>
              <w:rPr>
                <w:rFonts w:hint="eastAsia" w:eastAsia="方正仿宋_GBK"/>
                <w:color w:val="000000"/>
                <w:spacing w:val="-2"/>
                <w:szCs w:val="21"/>
              </w:rPr>
              <w:t>中心</w:t>
            </w:r>
            <w:r>
              <w:rPr>
                <w:rFonts w:eastAsia="方正仿宋_GBK"/>
                <w:color w:val="000000"/>
                <w:spacing w:val="-2"/>
                <w:szCs w:val="21"/>
              </w:rPr>
              <w:t xml:space="preserve">   </w:t>
            </w:r>
          </w:p>
          <w:p>
            <w:pPr>
              <w:jc w:val="center"/>
              <w:rPr>
                <w:rFonts w:eastAsia="方正仿宋_GBK"/>
                <w:color w:val="000000"/>
                <w:spacing w:val="-2"/>
                <w:szCs w:val="21"/>
              </w:rPr>
            </w:pPr>
            <w:r>
              <w:rPr>
                <w:rFonts w:hint="eastAsia" w:ascii="Times New Roman" w:hAnsi="Times New Roman"/>
                <w:color w:val="000000"/>
                <w:spacing w:val="-2"/>
                <w:szCs w:val="21"/>
              </w:rPr>
              <w:t>□</w:t>
            </w:r>
            <w:r>
              <w:rPr>
                <w:rFonts w:hint="eastAsia" w:eastAsia="方正仿宋_GBK"/>
                <w:color w:val="000000"/>
                <w:spacing w:val="-2"/>
                <w:szCs w:val="21"/>
              </w:rPr>
              <w:t>固定</w:t>
            </w:r>
          </w:p>
        </w:tc>
        <w:tc>
          <w:tcPr>
            <w:tcW w:w="179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场所类型</w:t>
            </w:r>
          </w:p>
        </w:tc>
        <w:tc>
          <w:tcPr>
            <w:tcW w:w="125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ascii="Times New Roman" w:hAnsi="Times New Roman"/>
                <w:color w:val="000000"/>
                <w:spacing w:val="-2"/>
                <w:szCs w:val="21"/>
              </w:rPr>
              <w:t>□</w:t>
            </w:r>
            <w:r>
              <w:rPr>
                <w:rFonts w:hint="eastAsia" w:eastAsia="方正仿宋_GBK"/>
                <w:color w:val="000000"/>
                <w:spacing w:val="-2"/>
                <w:szCs w:val="21"/>
              </w:rPr>
              <w:t>场所型</w:t>
            </w:r>
            <w:r>
              <w:rPr>
                <w:rFonts w:eastAsia="方正仿宋_GBK"/>
                <w:color w:val="000000"/>
                <w:spacing w:val="-2"/>
                <w:szCs w:val="21"/>
              </w:rPr>
              <w:t xml:space="preserve"> </w:t>
            </w:r>
          </w:p>
          <w:p>
            <w:pPr>
              <w:jc w:val="center"/>
              <w:rPr>
                <w:rFonts w:eastAsia="方正仿宋_GBK"/>
                <w:color w:val="000000"/>
                <w:spacing w:val="-2"/>
                <w:szCs w:val="21"/>
              </w:rPr>
            </w:pPr>
            <w:r>
              <w:rPr>
                <w:rFonts w:hint="eastAsia" w:ascii="Times New Roman" w:hAnsi="Times New Roman"/>
                <w:color w:val="000000"/>
                <w:spacing w:val="-2"/>
                <w:szCs w:val="21"/>
              </w:rPr>
              <w:t>□</w:t>
            </w:r>
            <w:r>
              <w:rPr>
                <w:rFonts w:hint="eastAsia" w:eastAsia="方正仿宋_GBK"/>
                <w:color w:val="000000"/>
                <w:spacing w:val="-2"/>
                <w:szCs w:val="21"/>
              </w:rPr>
              <w:t>建筑型</w:t>
            </w:r>
          </w:p>
          <w:p>
            <w:pPr>
              <w:jc w:val="center"/>
              <w:rPr>
                <w:rFonts w:eastAsia="方正仿宋_GBK"/>
                <w:color w:val="000000"/>
                <w:spacing w:val="-2"/>
                <w:szCs w:val="21"/>
              </w:rPr>
            </w:pPr>
            <w:r>
              <w:rPr>
                <w:rFonts w:hint="eastAsia" w:ascii="Times New Roman" w:hAnsi="Times New Roman"/>
                <w:color w:val="000000"/>
                <w:spacing w:val="-2"/>
                <w:szCs w:val="21"/>
              </w:rPr>
              <w:t>□</w:t>
            </w:r>
            <w:r>
              <w:rPr>
                <w:rFonts w:hint="eastAsia" w:eastAsia="方正仿宋_GBK"/>
                <w:color w:val="000000"/>
                <w:spacing w:val="-2"/>
                <w:szCs w:val="21"/>
              </w:rPr>
              <w:t>综合型</w:t>
            </w:r>
          </w:p>
        </w:tc>
        <w:tc>
          <w:tcPr>
            <w:tcW w:w="1528"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hint="eastAsia" w:ascii="Times New Roman" w:hAnsi="Times New Roman"/>
                <w:color w:val="000000"/>
                <w:spacing w:val="-2"/>
                <w:szCs w:val="21"/>
              </w:rPr>
              <w:t>□</w:t>
            </w:r>
            <w:r>
              <w:rPr>
                <w:rFonts w:hint="eastAsia" w:eastAsia="方正仿宋_GBK"/>
                <w:color w:val="000000"/>
                <w:spacing w:val="-2"/>
                <w:szCs w:val="21"/>
              </w:rPr>
              <w:t>专门建设</w:t>
            </w:r>
          </w:p>
          <w:p>
            <w:pPr>
              <w:spacing w:line="240" w:lineRule="exact"/>
              <w:jc w:val="center"/>
              <w:rPr>
                <w:rFonts w:eastAsia="方正仿宋_GBK"/>
                <w:color w:val="000000"/>
                <w:spacing w:val="-2"/>
                <w:szCs w:val="21"/>
              </w:rPr>
            </w:pPr>
            <w:r>
              <w:rPr>
                <w:rFonts w:hint="eastAsia" w:eastAsia="方正仿宋_GBK"/>
                <w:color w:val="000000"/>
                <w:spacing w:val="-2"/>
                <w:szCs w:val="21"/>
              </w:rPr>
              <w:t>的避难场所</w:t>
            </w:r>
            <w:r>
              <w:rPr>
                <w:rFonts w:eastAsia="方正仿宋_GBK"/>
                <w:color w:val="000000"/>
                <w:spacing w:val="-2"/>
                <w:szCs w:val="21"/>
              </w:rPr>
              <w:t xml:space="preserve">   </w:t>
            </w:r>
          </w:p>
          <w:p>
            <w:pPr>
              <w:spacing w:line="240" w:lineRule="exact"/>
              <w:jc w:val="center"/>
              <w:rPr>
                <w:rFonts w:eastAsia="方正仿宋_GBK"/>
                <w:color w:val="000000"/>
                <w:spacing w:val="-2"/>
                <w:szCs w:val="21"/>
              </w:rPr>
            </w:pPr>
            <w:r>
              <w:rPr>
                <w:rFonts w:hint="eastAsia" w:ascii="Times New Roman" w:hAnsi="Times New Roman"/>
                <w:color w:val="000000"/>
                <w:spacing w:val="-2"/>
                <w:szCs w:val="21"/>
              </w:rPr>
              <w:t>□</w:t>
            </w:r>
            <w:r>
              <w:rPr>
                <w:rFonts w:hint="eastAsia" w:eastAsia="方正仿宋_GBK"/>
                <w:color w:val="000000"/>
                <w:spacing w:val="-2"/>
                <w:szCs w:val="21"/>
              </w:rPr>
              <w:t>结合其他</w:t>
            </w:r>
          </w:p>
          <w:p>
            <w:pPr>
              <w:spacing w:line="240" w:lineRule="exact"/>
              <w:jc w:val="center"/>
              <w:rPr>
                <w:rFonts w:eastAsia="方正仿宋_GBK"/>
                <w:color w:val="000000"/>
                <w:spacing w:val="-2"/>
                <w:szCs w:val="21"/>
              </w:rPr>
            </w:pPr>
            <w:r>
              <w:rPr>
                <w:rFonts w:hint="eastAsia" w:eastAsia="方正仿宋_GBK"/>
                <w:color w:val="000000"/>
                <w:spacing w:val="-2"/>
                <w:szCs w:val="21"/>
              </w:rPr>
              <w:t>项目同期建设</w:t>
            </w:r>
          </w:p>
        </w:tc>
        <w:tc>
          <w:tcPr>
            <w:tcW w:w="895"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683"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537"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项目占地面积</w:t>
            </w:r>
          </w:p>
          <w:p>
            <w:pPr>
              <w:jc w:val="center"/>
              <w:rPr>
                <w:rFonts w:eastAsia="方正仿宋_GBK"/>
                <w:color w:val="000000"/>
                <w:spacing w:val="-2"/>
                <w:szCs w:val="21"/>
              </w:rPr>
            </w:pPr>
            <w:r>
              <w:rPr>
                <w:rFonts w:hint="eastAsia" w:eastAsia="方正仿宋_GBK"/>
                <w:color w:val="000000"/>
                <w:spacing w:val="-2"/>
                <w:szCs w:val="21"/>
              </w:rPr>
              <w:t>（万平方米）</w:t>
            </w:r>
          </w:p>
        </w:tc>
        <w:tc>
          <w:tcPr>
            <w:tcW w:w="104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179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有效避难面积</w:t>
            </w:r>
          </w:p>
          <w:p>
            <w:pPr>
              <w:jc w:val="center"/>
              <w:rPr>
                <w:rFonts w:eastAsia="方正仿宋_GBK"/>
                <w:color w:val="000000"/>
                <w:spacing w:val="-2"/>
                <w:szCs w:val="21"/>
              </w:rPr>
            </w:pPr>
            <w:r>
              <w:rPr>
                <w:rFonts w:hint="eastAsia" w:eastAsia="方正仿宋_GBK"/>
                <w:color w:val="000000"/>
                <w:spacing w:val="-2"/>
                <w:szCs w:val="21"/>
              </w:rPr>
              <w:t>（万平方米）</w:t>
            </w:r>
          </w:p>
        </w:tc>
        <w:tc>
          <w:tcPr>
            <w:tcW w:w="125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152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w:t>
            </w:r>
          </w:p>
        </w:tc>
        <w:tc>
          <w:tcPr>
            <w:tcW w:w="895"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r>
              <w:rPr>
                <w:rFonts w:eastAsia="方正仿宋_GBK"/>
                <w:color w:val="000000"/>
                <w:spacing w:val="-2"/>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683"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537"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可容纳避难</w:t>
            </w:r>
          </w:p>
          <w:p>
            <w:pPr>
              <w:jc w:val="center"/>
              <w:rPr>
                <w:rFonts w:eastAsia="方正仿宋_GBK"/>
                <w:color w:val="000000"/>
                <w:spacing w:val="-2"/>
                <w:szCs w:val="21"/>
              </w:rPr>
            </w:pPr>
            <w:r>
              <w:rPr>
                <w:rFonts w:hint="eastAsia" w:eastAsia="方正仿宋_GBK"/>
                <w:color w:val="000000"/>
                <w:spacing w:val="-2"/>
                <w:szCs w:val="21"/>
              </w:rPr>
              <w:t>人数（万人）</w:t>
            </w:r>
          </w:p>
        </w:tc>
        <w:tc>
          <w:tcPr>
            <w:tcW w:w="104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179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人均避难</w:t>
            </w:r>
          </w:p>
          <w:p>
            <w:pPr>
              <w:jc w:val="center"/>
              <w:rPr>
                <w:rFonts w:eastAsia="方正仿宋_GBK"/>
                <w:color w:val="000000"/>
                <w:spacing w:val="-2"/>
                <w:szCs w:val="21"/>
              </w:rPr>
            </w:pPr>
            <w:r>
              <w:rPr>
                <w:rFonts w:hint="eastAsia" w:eastAsia="方正仿宋_GBK"/>
                <w:color w:val="000000"/>
                <w:spacing w:val="-2"/>
                <w:szCs w:val="21"/>
              </w:rPr>
              <w:t>面积（</w:t>
            </w:r>
            <w:r>
              <w:rPr>
                <w:rFonts w:eastAsia="方正仿宋_GBK"/>
                <w:color w:val="000000"/>
                <w:spacing w:val="-2"/>
                <w:szCs w:val="21"/>
              </w:rPr>
              <w:t>m</w:t>
            </w:r>
            <w:r>
              <w:rPr>
                <w:rFonts w:eastAsia="方正仿宋_GBK"/>
                <w:color w:val="000000"/>
                <w:spacing w:val="-2"/>
                <w:szCs w:val="21"/>
                <w:vertAlign w:val="superscript"/>
              </w:rPr>
              <w:t>2</w:t>
            </w:r>
            <w:r>
              <w:rPr>
                <w:rFonts w:hint="eastAsia" w:eastAsia="方正仿宋_GBK"/>
                <w:color w:val="000000"/>
                <w:spacing w:val="-2"/>
                <w:szCs w:val="21"/>
              </w:rPr>
              <w:t>）</w:t>
            </w:r>
          </w:p>
        </w:tc>
        <w:tc>
          <w:tcPr>
            <w:tcW w:w="125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152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w:t>
            </w:r>
          </w:p>
        </w:tc>
        <w:tc>
          <w:tcPr>
            <w:tcW w:w="895"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r>
              <w:rPr>
                <w:rFonts w:eastAsia="方正仿宋_GBK"/>
                <w:color w:val="000000"/>
                <w:spacing w:val="-2"/>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683" w:type="dxa"/>
            <w:vMerge w:val="restart"/>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实</w:t>
            </w:r>
          </w:p>
          <w:p>
            <w:pPr>
              <w:jc w:val="center"/>
              <w:rPr>
                <w:rFonts w:eastAsia="方正仿宋_GBK"/>
                <w:color w:val="000000"/>
                <w:spacing w:val="-2"/>
                <w:szCs w:val="21"/>
              </w:rPr>
            </w:pPr>
            <w:r>
              <w:rPr>
                <w:rFonts w:hint="eastAsia" w:eastAsia="方正仿宋_GBK"/>
                <w:color w:val="000000"/>
                <w:spacing w:val="-2"/>
                <w:szCs w:val="21"/>
              </w:rPr>
              <w:t>施</w:t>
            </w:r>
          </w:p>
          <w:p>
            <w:pPr>
              <w:jc w:val="center"/>
              <w:rPr>
                <w:rFonts w:eastAsia="方正仿宋_GBK"/>
                <w:color w:val="000000"/>
                <w:spacing w:val="-2"/>
                <w:szCs w:val="21"/>
              </w:rPr>
            </w:pPr>
            <w:r>
              <w:rPr>
                <w:rFonts w:hint="eastAsia" w:eastAsia="方正仿宋_GBK"/>
                <w:color w:val="000000"/>
                <w:spacing w:val="-2"/>
                <w:szCs w:val="21"/>
              </w:rPr>
              <w:t>结</w:t>
            </w:r>
          </w:p>
          <w:p>
            <w:pPr>
              <w:jc w:val="center"/>
              <w:rPr>
                <w:rFonts w:eastAsia="方正仿宋_GBK"/>
                <w:color w:val="000000"/>
                <w:spacing w:val="-2"/>
                <w:szCs w:val="21"/>
              </w:rPr>
            </w:pPr>
            <w:r>
              <w:rPr>
                <w:rFonts w:hint="eastAsia" w:eastAsia="方正仿宋_GBK"/>
                <w:color w:val="000000"/>
                <w:spacing w:val="-2"/>
                <w:szCs w:val="21"/>
              </w:rPr>
              <w:t>果</w:t>
            </w:r>
          </w:p>
          <w:p>
            <w:pPr>
              <w:jc w:val="center"/>
              <w:rPr>
                <w:rFonts w:eastAsia="方正仿宋_GBK"/>
                <w:color w:val="000000"/>
                <w:spacing w:val="-2"/>
                <w:szCs w:val="21"/>
              </w:rPr>
            </w:pPr>
            <w:r>
              <w:rPr>
                <w:rFonts w:hint="eastAsia" w:eastAsia="方正仿宋_GBK"/>
                <w:color w:val="000000"/>
                <w:spacing w:val="-2"/>
                <w:szCs w:val="21"/>
              </w:rPr>
              <w:t>评</w:t>
            </w:r>
          </w:p>
          <w:p>
            <w:pPr>
              <w:jc w:val="center"/>
              <w:rPr>
                <w:rFonts w:eastAsia="方正仿宋_GBK"/>
                <w:color w:val="000000"/>
                <w:spacing w:val="-2"/>
                <w:szCs w:val="21"/>
              </w:rPr>
            </w:pPr>
            <w:r>
              <w:rPr>
                <w:rFonts w:hint="eastAsia" w:eastAsia="方正仿宋_GBK"/>
                <w:color w:val="000000"/>
                <w:spacing w:val="-2"/>
                <w:szCs w:val="21"/>
              </w:rPr>
              <w:t>价</w:t>
            </w:r>
          </w:p>
          <w:p>
            <w:pPr>
              <w:jc w:val="center"/>
              <w:rPr>
                <w:rFonts w:eastAsia="方正仿宋_GBK"/>
                <w:color w:val="000000"/>
                <w:spacing w:val="-2"/>
                <w:szCs w:val="21"/>
              </w:rPr>
            </w:pPr>
            <w:r>
              <w:rPr>
                <w:rFonts w:hint="eastAsia" w:eastAsia="方正仿宋_GBK"/>
                <w:color w:val="000000"/>
                <w:spacing w:val="-2"/>
                <w:szCs w:val="21"/>
              </w:rPr>
              <w:t>（</w:t>
            </w:r>
            <w:r>
              <w:rPr>
                <w:rFonts w:eastAsia="方正仿宋_GBK"/>
                <w:color w:val="000000"/>
                <w:spacing w:val="-2"/>
                <w:szCs w:val="21"/>
              </w:rPr>
              <w:t>60</w:t>
            </w:r>
            <w:r>
              <w:rPr>
                <w:rFonts w:hint="eastAsia" w:eastAsia="方正仿宋_GBK"/>
                <w:color w:val="000000"/>
                <w:spacing w:val="-2"/>
                <w:szCs w:val="21"/>
              </w:rPr>
              <w:t>分）</w:t>
            </w:r>
          </w:p>
        </w:tc>
        <w:tc>
          <w:tcPr>
            <w:tcW w:w="1537"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设计审查</w:t>
            </w:r>
          </w:p>
        </w:tc>
        <w:tc>
          <w:tcPr>
            <w:tcW w:w="408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避难功能设计图纸是否通过审查</w:t>
            </w:r>
          </w:p>
        </w:tc>
        <w:tc>
          <w:tcPr>
            <w:tcW w:w="152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5</w:t>
            </w:r>
            <w:r>
              <w:rPr>
                <w:rFonts w:hint="eastAsia" w:eastAsia="方正仿宋_GBK"/>
                <w:color w:val="000000"/>
                <w:spacing w:val="-2"/>
                <w:szCs w:val="21"/>
              </w:rPr>
              <w:t>分</w:t>
            </w:r>
          </w:p>
        </w:tc>
        <w:tc>
          <w:tcPr>
            <w:tcW w:w="895"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3"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537"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季报制度</w:t>
            </w:r>
          </w:p>
        </w:tc>
        <w:tc>
          <w:tcPr>
            <w:tcW w:w="408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是否按季度在网上填报项目实施管理情况</w:t>
            </w:r>
          </w:p>
        </w:tc>
        <w:tc>
          <w:tcPr>
            <w:tcW w:w="152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5</w:t>
            </w:r>
            <w:r>
              <w:rPr>
                <w:rFonts w:hint="eastAsia" w:eastAsia="方正仿宋_GBK"/>
                <w:color w:val="000000"/>
                <w:spacing w:val="-2"/>
                <w:szCs w:val="21"/>
              </w:rPr>
              <w:t>分</w:t>
            </w:r>
          </w:p>
        </w:tc>
        <w:tc>
          <w:tcPr>
            <w:tcW w:w="895"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683"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537"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基本设施</w:t>
            </w:r>
          </w:p>
          <w:p>
            <w:pPr>
              <w:jc w:val="center"/>
              <w:rPr>
                <w:rFonts w:eastAsia="方正仿宋_GBK"/>
                <w:color w:val="000000"/>
                <w:spacing w:val="-2"/>
                <w:szCs w:val="21"/>
              </w:rPr>
            </w:pPr>
            <w:r>
              <w:rPr>
                <w:rFonts w:hint="eastAsia" w:eastAsia="方正仿宋_GBK"/>
                <w:color w:val="000000"/>
                <w:spacing w:val="-2"/>
                <w:szCs w:val="21"/>
              </w:rPr>
              <w:t>配置情况</w:t>
            </w:r>
          </w:p>
        </w:tc>
        <w:tc>
          <w:tcPr>
            <w:tcW w:w="4080" w:type="dxa"/>
            <w:gridSpan w:val="3"/>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szCs w:val="21"/>
              </w:rPr>
            </w:pPr>
            <w:r>
              <w:rPr>
                <w:rFonts w:hint="eastAsia" w:ascii="Times New Roman" w:hAnsi="Times New Roman"/>
                <w:color w:val="000000"/>
                <w:spacing w:val="-2"/>
                <w:szCs w:val="21"/>
              </w:rPr>
              <w:t>□</w:t>
            </w:r>
            <w:r>
              <w:rPr>
                <w:rFonts w:hint="eastAsia" w:eastAsia="方正仿宋_GBK"/>
                <w:color w:val="000000"/>
                <w:spacing w:val="-2"/>
                <w:szCs w:val="21"/>
              </w:rPr>
              <w:t>应急管理区</w:t>
            </w:r>
            <w:r>
              <w:rPr>
                <w:rFonts w:eastAsia="方正仿宋_GBK"/>
                <w:color w:val="000000"/>
                <w:spacing w:val="-2"/>
                <w:szCs w:val="21"/>
              </w:rPr>
              <w:t xml:space="preserve"> </w:t>
            </w:r>
            <w:r>
              <w:rPr>
                <w:rFonts w:hint="eastAsia" w:ascii="Times New Roman" w:hAnsi="Times New Roman"/>
                <w:color w:val="000000"/>
                <w:spacing w:val="-2"/>
                <w:szCs w:val="21"/>
              </w:rPr>
              <w:t>□</w:t>
            </w:r>
            <w:r>
              <w:rPr>
                <w:rFonts w:hint="eastAsia" w:eastAsia="方正仿宋_GBK"/>
                <w:color w:val="000000"/>
                <w:spacing w:val="-2"/>
                <w:szCs w:val="21"/>
              </w:rPr>
              <w:t>应急蓬宿区</w:t>
            </w:r>
            <w:r>
              <w:rPr>
                <w:rFonts w:eastAsia="方正仿宋_GBK"/>
                <w:color w:val="000000"/>
                <w:spacing w:val="-2"/>
                <w:szCs w:val="21"/>
              </w:rPr>
              <w:t xml:space="preserve">   </w:t>
            </w:r>
            <w:r>
              <w:rPr>
                <w:rFonts w:hint="eastAsia" w:ascii="Times New Roman" w:hAnsi="Times New Roman"/>
                <w:color w:val="000000"/>
                <w:spacing w:val="-2"/>
                <w:szCs w:val="21"/>
              </w:rPr>
              <w:t>□</w:t>
            </w:r>
            <w:r>
              <w:rPr>
                <w:rFonts w:hint="eastAsia" w:eastAsia="方正仿宋_GBK"/>
                <w:color w:val="000000"/>
                <w:spacing w:val="-2"/>
                <w:szCs w:val="21"/>
              </w:rPr>
              <w:t>应急通道</w:t>
            </w:r>
          </w:p>
          <w:p>
            <w:pPr>
              <w:rPr>
                <w:rFonts w:eastAsia="方正仿宋_GBK"/>
                <w:color w:val="000000"/>
                <w:spacing w:val="-2"/>
                <w:szCs w:val="21"/>
              </w:rPr>
            </w:pPr>
            <w:r>
              <w:rPr>
                <w:rFonts w:hint="eastAsia" w:ascii="Times New Roman" w:hAnsi="Times New Roman"/>
                <w:color w:val="000000"/>
                <w:spacing w:val="-2"/>
                <w:szCs w:val="21"/>
              </w:rPr>
              <w:t>□</w:t>
            </w:r>
            <w:r>
              <w:rPr>
                <w:rFonts w:hint="eastAsia" w:eastAsia="方正仿宋_GBK"/>
                <w:color w:val="000000"/>
                <w:spacing w:val="-2"/>
                <w:szCs w:val="21"/>
              </w:rPr>
              <w:t>物资储备区</w:t>
            </w:r>
            <w:r>
              <w:rPr>
                <w:rFonts w:eastAsia="方正仿宋_GBK"/>
                <w:color w:val="000000"/>
                <w:spacing w:val="-2"/>
                <w:szCs w:val="21"/>
              </w:rPr>
              <w:t xml:space="preserve"> </w:t>
            </w:r>
            <w:r>
              <w:rPr>
                <w:rFonts w:hint="eastAsia" w:ascii="Times New Roman" w:hAnsi="Times New Roman"/>
                <w:color w:val="000000"/>
                <w:spacing w:val="-2"/>
                <w:szCs w:val="21"/>
              </w:rPr>
              <w:t>□</w:t>
            </w:r>
            <w:r>
              <w:rPr>
                <w:rFonts w:hint="eastAsia" w:eastAsia="方正仿宋_GBK"/>
                <w:color w:val="000000"/>
                <w:spacing w:val="-2"/>
                <w:szCs w:val="21"/>
              </w:rPr>
              <w:t>医疗救护区</w:t>
            </w:r>
            <w:r>
              <w:rPr>
                <w:rFonts w:eastAsia="方正仿宋_GBK"/>
                <w:color w:val="000000"/>
                <w:spacing w:val="-2"/>
                <w:szCs w:val="21"/>
              </w:rPr>
              <w:t xml:space="preserve">  </w:t>
            </w:r>
            <w:r>
              <w:rPr>
                <w:rFonts w:hint="eastAsia" w:ascii="Times New Roman" w:hAnsi="Times New Roman"/>
                <w:color w:val="000000"/>
                <w:spacing w:val="-2"/>
                <w:szCs w:val="21"/>
              </w:rPr>
              <w:t>□</w:t>
            </w:r>
            <w:r>
              <w:rPr>
                <w:rFonts w:hint="eastAsia" w:eastAsia="方正仿宋_GBK"/>
                <w:color w:val="000000"/>
                <w:spacing w:val="-2"/>
                <w:szCs w:val="21"/>
              </w:rPr>
              <w:t>应急供水</w:t>
            </w:r>
            <w:r>
              <w:rPr>
                <w:rFonts w:eastAsia="方正仿宋_GBK"/>
                <w:color w:val="000000"/>
                <w:spacing w:val="-2"/>
                <w:szCs w:val="21"/>
              </w:rPr>
              <w:t xml:space="preserve">     </w:t>
            </w:r>
            <w:r>
              <w:rPr>
                <w:rFonts w:hint="eastAsia" w:ascii="Times New Roman" w:hAnsi="Times New Roman"/>
                <w:color w:val="000000"/>
                <w:spacing w:val="-2"/>
                <w:szCs w:val="21"/>
              </w:rPr>
              <w:t>□</w:t>
            </w:r>
            <w:r>
              <w:rPr>
                <w:rFonts w:hint="eastAsia" w:eastAsia="方正仿宋_GBK"/>
                <w:color w:val="000000"/>
                <w:spacing w:val="-2"/>
                <w:szCs w:val="21"/>
              </w:rPr>
              <w:t>应急厕所</w:t>
            </w:r>
            <w:r>
              <w:rPr>
                <w:rFonts w:eastAsia="方正仿宋_GBK"/>
                <w:color w:val="000000"/>
                <w:spacing w:val="-2"/>
                <w:szCs w:val="21"/>
              </w:rPr>
              <w:t xml:space="preserve">    </w:t>
            </w:r>
            <w:r>
              <w:rPr>
                <w:rFonts w:hint="eastAsia" w:ascii="Times New Roman" w:hAnsi="Times New Roman"/>
                <w:color w:val="000000"/>
                <w:spacing w:val="-2"/>
                <w:szCs w:val="21"/>
              </w:rPr>
              <w:t>□</w:t>
            </w:r>
            <w:r>
              <w:rPr>
                <w:rFonts w:hint="eastAsia" w:eastAsia="方正仿宋_GBK"/>
                <w:color w:val="000000"/>
                <w:spacing w:val="-2"/>
                <w:szCs w:val="21"/>
              </w:rPr>
              <w:t>应急消防</w:t>
            </w:r>
            <w:r>
              <w:rPr>
                <w:rFonts w:eastAsia="方正仿宋_GBK"/>
                <w:color w:val="000000"/>
                <w:spacing w:val="-2"/>
                <w:szCs w:val="21"/>
              </w:rPr>
              <w:t xml:space="preserve">    </w:t>
            </w:r>
            <w:r>
              <w:rPr>
                <w:rFonts w:hint="eastAsia" w:ascii="Times New Roman" w:hAnsi="Times New Roman"/>
                <w:color w:val="000000"/>
                <w:spacing w:val="-2"/>
                <w:szCs w:val="21"/>
              </w:rPr>
              <w:t>□</w:t>
            </w:r>
            <w:r>
              <w:rPr>
                <w:rFonts w:hint="eastAsia" w:eastAsia="方正仿宋_GBK"/>
                <w:color w:val="000000"/>
                <w:spacing w:val="-2"/>
                <w:szCs w:val="21"/>
              </w:rPr>
              <w:t>应急供电</w:t>
            </w:r>
            <w:r>
              <w:rPr>
                <w:rFonts w:eastAsia="方正仿宋_GBK"/>
                <w:color w:val="000000"/>
                <w:spacing w:val="-2"/>
                <w:szCs w:val="21"/>
              </w:rPr>
              <w:t xml:space="preserve">    </w:t>
            </w:r>
          </w:p>
          <w:p>
            <w:pPr>
              <w:rPr>
                <w:rFonts w:eastAsia="方正仿宋_GBK"/>
                <w:color w:val="000000"/>
                <w:spacing w:val="-2"/>
                <w:szCs w:val="21"/>
              </w:rPr>
            </w:pPr>
            <w:r>
              <w:rPr>
                <w:rFonts w:hint="eastAsia" w:ascii="Times New Roman" w:hAnsi="Times New Roman"/>
                <w:color w:val="000000"/>
                <w:spacing w:val="-2"/>
                <w:szCs w:val="21"/>
              </w:rPr>
              <w:t>□</w:t>
            </w:r>
            <w:r>
              <w:rPr>
                <w:rFonts w:hint="eastAsia" w:eastAsia="方正仿宋_GBK"/>
                <w:color w:val="000000"/>
                <w:spacing w:val="-2"/>
                <w:szCs w:val="21"/>
              </w:rPr>
              <w:t>功能分布牌</w:t>
            </w:r>
            <w:r>
              <w:rPr>
                <w:rFonts w:eastAsia="方正仿宋_GBK"/>
                <w:color w:val="000000"/>
                <w:spacing w:val="-2"/>
                <w:szCs w:val="21"/>
              </w:rPr>
              <w:t xml:space="preserve">  </w:t>
            </w:r>
            <w:r>
              <w:rPr>
                <w:rFonts w:hint="eastAsia" w:ascii="Times New Roman" w:hAnsi="Times New Roman"/>
                <w:color w:val="000000"/>
                <w:spacing w:val="-2"/>
                <w:szCs w:val="21"/>
              </w:rPr>
              <w:t>□</w:t>
            </w:r>
            <w:r>
              <w:rPr>
                <w:rFonts w:hint="eastAsia" w:eastAsia="方正仿宋_GBK"/>
                <w:color w:val="000000"/>
                <w:spacing w:val="-2"/>
                <w:szCs w:val="21"/>
              </w:rPr>
              <w:t>应急标志</w:t>
            </w:r>
            <w:r>
              <w:rPr>
                <w:rFonts w:eastAsia="方正仿宋_GBK"/>
                <w:color w:val="000000"/>
                <w:spacing w:val="-2"/>
                <w:szCs w:val="21"/>
              </w:rPr>
              <w:t xml:space="preserve">     </w:t>
            </w:r>
          </w:p>
        </w:tc>
        <w:tc>
          <w:tcPr>
            <w:tcW w:w="152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33</w:t>
            </w:r>
            <w:r>
              <w:rPr>
                <w:rFonts w:hint="eastAsia" w:eastAsia="方正仿宋_GBK"/>
                <w:color w:val="000000"/>
                <w:spacing w:val="-2"/>
                <w:szCs w:val="21"/>
              </w:rPr>
              <w:t>分</w:t>
            </w:r>
            <w:r>
              <w:rPr>
                <w:rFonts w:eastAsia="方正仿宋_GBK"/>
                <w:color w:val="000000"/>
                <w:spacing w:val="-2"/>
                <w:szCs w:val="21"/>
              </w:rPr>
              <w:t>(</w:t>
            </w:r>
            <w:r>
              <w:rPr>
                <w:rFonts w:hint="eastAsia" w:eastAsia="方正仿宋_GBK"/>
                <w:color w:val="000000"/>
                <w:spacing w:val="-2"/>
                <w:szCs w:val="21"/>
              </w:rPr>
              <w:t>每个</w:t>
            </w:r>
            <w:r>
              <w:rPr>
                <w:rFonts w:eastAsia="方正仿宋_GBK"/>
                <w:color w:val="000000"/>
                <w:spacing w:val="-2"/>
                <w:szCs w:val="21"/>
              </w:rPr>
              <w:t>3</w:t>
            </w:r>
            <w:r>
              <w:rPr>
                <w:rFonts w:hint="eastAsia" w:eastAsia="方正仿宋_GBK"/>
                <w:color w:val="000000"/>
                <w:spacing w:val="-2"/>
                <w:szCs w:val="21"/>
              </w:rPr>
              <w:t>分</w:t>
            </w:r>
            <w:r>
              <w:rPr>
                <w:rFonts w:eastAsia="方正仿宋_GBK"/>
                <w:color w:val="000000"/>
                <w:spacing w:val="-2"/>
                <w:szCs w:val="21"/>
              </w:rPr>
              <w:t>)</w:t>
            </w:r>
          </w:p>
        </w:tc>
        <w:tc>
          <w:tcPr>
            <w:tcW w:w="895"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683"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537"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一般设施</w:t>
            </w:r>
          </w:p>
          <w:p>
            <w:pPr>
              <w:jc w:val="center"/>
              <w:rPr>
                <w:rFonts w:eastAsia="方正仿宋_GBK"/>
                <w:color w:val="000000"/>
                <w:spacing w:val="-2"/>
                <w:szCs w:val="21"/>
              </w:rPr>
            </w:pPr>
            <w:r>
              <w:rPr>
                <w:rFonts w:hint="eastAsia" w:eastAsia="方正仿宋_GBK"/>
                <w:color w:val="000000"/>
                <w:spacing w:val="-2"/>
                <w:szCs w:val="21"/>
              </w:rPr>
              <w:t>配置情况</w:t>
            </w:r>
          </w:p>
        </w:tc>
        <w:tc>
          <w:tcPr>
            <w:tcW w:w="4080" w:type="dxa"/>
            <w:gridSpan w:val="3"/>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szCs w:val="21"/>
              </w:rPr>
            </w:pPr>
            <w:r>
              <w:rPr>
                <w:rFonts w:hint="eastAsia" w:ascii="Times New Roman" w:hAnsi="Times New Roman"/>
                <w:color w:val="000000"/>
                <w:spacing w:val="-2"/>
                <w:szCs w:val="21"/>
              </w:rPr>
              <w:t>□</w:t>
            </w:r>
            <w:r>
              <w:rPr>
                <w:rFonts w:hint="eastAsia" w:eastAsia="方正仿宋_GBK"/>
                <w:color w:val="000000"/>
                <w:spacing w:val="-2"/>
                <w:szCs w:val="21"/>
              </w:rPr>
              <w:t>应急排污</w:t>
            </w:r>
            <w:r>
              <w:rPr>
                <w:rFonts w:eastAsia="方正仿宋_GBK"/>
                <w:color w:val="000000"/>
                <w:spacing w:val="-2"/>
                <w:szCs w:val="21"/>
              </w:rPr>
              <w:t xml:space="preserve">       </w:t>
            </w:r>
            <w:r>
              <w:rPr>
                <w:rFonts w:hint="eastAsia" w:ascii="Times New Roman" w:hAnsi="Times New Roman"/>
                <w:color w:val="000000"/>
                <w:spacing w:val="-2"/>
                <w:szCs w:val="21"/>
              </w:rPr>
              <w:t xml:space="preserve"> □</w:t>
            </w:r>
            <w:r>
              <w:rPr>
                <w:rFonts w:hint="eastAsia" w:eastAsia="方正仿宋_GBK"/>
                <w:color w:val="000000"/>
                <w:spacing w:val="-2"/>
                <w:szCs w:val="21"/>
              </w:rPr>
              <w:t>应急停车场</w:t>
            </w:r>
            <w:r>
              <w:rPr>
                <w:rFonts w:eastAsia="方正仿宋_GBK"/>
                <w:color w:val="000000"/>
                <w:spacing w:val="-2"/>
                <w:szCs w:val="21"/>
              </w:rPr>
              <w:t xml:space="preserve">  </w:t>
            </w:r>
          </w:p>
          <w:p>
            <w:pPr>
              <w:rPr>
                <w:rFonts w:eastAsia="方正仿宋_GBK"/>
                <w:color w:val="000000"/>
                <w:spacing w:val="-2"/>
                <w:szCs w:val="21"/>
              </w:rPr>
            </w:pPr>
            <w:r>
              <w:rPr>
                <w:rFonts w:hint="eastAsia" w:ascii="Times New Roman" w:hAnsi="Times New Roman"/>
                <w:color w:val="000000"/>
                <w:spacing w:val="-2"/>
                <w:szCs w:val="21"/>
              </w:rPr>
              <w:t>□</w:t>
            </w:r>
            <w:r>
              <w:rPr>
                <w:rFonts w:hint="eastAsia" w:eastAsia="方正仿宋_GBK"/>
                <w:color w:val="000000"/>
                <w:spacing w:val="-2"/>
                <w:szCs w:val="21"/>
              </w:rPr>
              <w:t>应急洗浴</w:t>
            </w:r>
            <w:r>
              <w:rPr>
                <w:rFonts w:eastAsia="方正仿宋_GBK"/>
                <w:color w:val="000000"/>
                <w:spacing w:val="-2"/>
                <w:szCs w:val="21"/>
              </w:rPr>
              <w:t xml:space="preserve">       </w:t>
            </w:r>
            <w:r>
              <w:rPr>
                <w:rFonts w:hint="eastAsia" w:ascii="Times New Roman" w:hAnsi="Times New Roman"/>
                <w:color w:val="000000"/>
                <w:spacing w:val="-2"/>
                <w:szCs w:val="21"/>
              </w:rPr>
              <w:t xml:space="preserve"> □</w:t>
            </w:r>
            <w:r>
              <w:rPr>
                <w:rFonts w:hint="eastAsia" w:eastAsia="方正仿宋_GBK"/>
                <w:color w:val="000000"/>
                <w:spacing w:val="-2"/>
                <w:szCs w:val="21"/>
              </w:rPr>
              <w:t>应急垃圾储运</w:t>
            </w:r>
          </w:p>
        </w:tc>
        <w:tc>
          <w:tcPr>
            <w:tcW w:w="152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8</w:t>
            </w:r>
            <w:r>
              <w:rPr>
                <w:rFonts w:hint="eastAsia" w:eastAsia="方正仿宋_GBK"/>
                <w:color w:val="000000"/>
                <w:spacing w:val="-2"/>
                <w:szCs w:val="21"/>
              </w:rPr>
              <w:t>分（每个</w:t>
            </w:r>
            <w:r>
              <w:rPr>
                <w:rFonts w:eastAsia="方正仿宋_GBK"/>
                <w:color w:val="000000"/>
                <w:spacing w:val="-2"/>
                <w:szCs w:val="21"/>
              </w:rPr>
              <w:t>2</w:t>
            </w:r>
            <w:r>
              <w:rPr>
                <w:rFonts w:hint="eastAsia" w:eastAsia="方正仿宋_GBK"/>
                <w:color w:val="000000"/>
                <w:spacing w:val="-2"/>
                <w:szCs w:val="21"/>
              </w:rPr>
              <w:t>分）</w:t>
            </w:r>
          </w:p>
        </w:tc>
        <w:tc>
          <w:tcPr>
            <w:tcW w:w="895"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683"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537"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综合设施</w:t>
            </w:r>
          </w:p>
          <w:p>
            <w:pPr>
              <w:jc w:val="center"/>
              <w:rPr>
                <w:rFonts w:eastAsia="方正仿宋_GBK"/>
                <w:color w:val="000000"/>
                <w:spacing w:val="-2"/>
                <w:szCs w:val="21"/>
              </w:rPr>
            </w:pPr>
            <w:r>
              <w:rPr>
                <w:rFonts w:hint="eastAsia" w:eastAsia="方正仿宋_GBK"/>
                <w:color w:val="000000"/>
                <w:spacing w:val="-2"/>
                <w:szCs w:val="21"/>
              </w:rPr>
              <w:t>配置情况</w:t>
            </w:r>
          </w:p>
        </w:tc>
        <w:tc>
          <w:tcPr>
            <w:tcW w:w="4080" w:type="dxa"/>
            <w:gridSpan w:val="3"/>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szCs w:val="21"/>
              </w:rPr>
            </w:pPr>
            <w:r>
              <w:rPr>
                <w:rFonts w:hint="eastAsia" w:ascii="Times New Roman" w:hAnsi="Times New Roman"/>
                <w:color w:val="000000"/>
                <w:spacing w:val="-2"/>
                <w:szCs w:val="21"/>
              </w:rPr>
              <w:t>□</w:t>
            </w:r>
            <w:r>
              <w:rPr>
                <w:rFonts w:hint="eastAsia" w:eastAsia="方正仿宋_GBK"/>
                <w:color w:val="000000"/>
                <w:spacing w:val="-2"/>
                <w:szCs w:val="21"/>
              </w:rPr>
              <w:t>应急指挥中心</w:t>
            </w:r>
            <w:r>
              <w:rPr>
                <w:rFonts w:eastAsia="方正仿宋_GBK"/>
                <w:color w:val="000000"/>
                <w:spacing w:val="-2"/>
                <w:szCs w:val="21"/>
              </w:rPr>
              <w:t xml:space="preserve">   </w:t>
            </w:r>
            <w:r>
              <w:rPr>
                <w:rFonts w:hint="eastAsia" w:ascii="Times New Roman" w:hAnsi="Times New Roman"/>
                <w:color w:val="000000"/>
                <w:spacing w:val="-2"/>
                <w:szCs w:val="21"/>
              </w:rPr>
              <w:t xml:space="preserve"> □</w:t>
            </w:r>
            <w:r>
              <w:rPr>
                <w:rFonts w:hint="eastAsia" w:eastAsia="方正仿宋_GBK"/>
                <w:color w:val="000000"/>
                <w:spacing w:val="-2"/>
                <w:szCs w:val="21"/>
              </w:rPr>
              <w:t>应急停机坪</w:t>
            </w:r>
            <w:r>
              <w:rPr>
                <w:rFonts w:eastAsia="方正仿宋_GBK"/>
                <w:color w:val="000000"/>
                <w:spacing w:val="-2"/>
                <w:szCs w:val="21"/>
              </w:rPr>
              <w:t xml:space="preserve">    </w:t>
            </w:r>
          </w:p>
          <w:p>
            <w:pPr>
              <w:rPr>
                <w:rFonts w:eastAsia="方正仿宋_GBK"/>
                <w:color w:val="000000"/>
                <w:spacing w:val="-2"/>
                <w:szCs w:val="21"/>
              </w:rPr>
            </w:pPr>
            <w:r>
              <w:rPr>
                <w:rFonts w:hint="eastAsia" w:ascii="Times New Roman" w:hAnsi="Times New Roman"/>
                <w:color w:val="000000"/>
                <w:spacing w:val="-2"/>
                <w:szCs w:val="21"/>
              </w:rPr>
              <w:t>□</w:t>
            </w:r>
            <w:r>
              <w:rPr>
                <w:rFonts w:hint="eastAsia" w:eastAsia="方正仿宋_GBK"/>
                <w:color w:val="000000"/>
                <w:spacing w:val="-2"/>
                <w:szCs w:val="21"/>
              </w:rPr>
              <w:t>应急物资</w:t>
            </w:r>
          </w:p>
        </w:tc>
        <w:tc>
          <w:tcPr>
            <w:tcW w:w="152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9</w:t>
            </w:r>
            <w:r>
              <w:rPr>
                <w:rFonts w:hint="eastAsia" w:eastAsia="方正仿宋_GBK"/>
                <w:color w:val="000000"/>
                <w:spacing w:val="-2"/>
                <w:szCs w:val="21"/>
              </w:rPr>
              <w:t>分（每个</w:t>
            </w:r>
            <w:r>
              <w:rPr>
                <w:rFonts w:eastAsia="方正仿宋_GBK"/>
                <w:color w:val="000000"/>
                <w:spacing w:val="-2"/>
                <w:szCs w:val="21"/>
              </w:rPr>
              <w:t>3</w:t>
            </w:r>
            <w:r>
              <w:rPr>
                <w:rFonts w:hint="eastAsia" w:eastAsia="方正仿宋_GBK"/>
                <w:color w:val="000000"/>
                <w:spacing w:val="-2"/>
                <w:szCs w:val="21"/>
              </w:rPr>
              <w:t>分）</w:t>
            </w:r>
          </w:p>
        </w:tc>
        <w:tc>
          <w:tcPr>
            <w:tcW w:w="895"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83" w:type="dxa"/>
            <w:vMerge w:val="restart"/>
            <w:tcBorders>
              <w:top w:val="single" w:color="auto" w:sz="4" w:space="0"/>
              <w:left w:val="single" w:color="auto" w:sz="8" w:space="0"/>
              <w:bottom w:val="single" w:color="auto" w:sz="8"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实施效果评价</w:t>
            </w:r>
          </w:p>
          <w:p>
            <w:pPr>
              <w:jc w:val="center"/>
              <w:rPr>
                <w:rFonts w:eastAsia="方正仿宋_GBK"/>
                <w:color w:val="000000"/>
                <w:spacing w:val="-2"/>
                <w:szCs w:val="21"/>
              </w:rPr>
            </w:pPr>
            <w:r>
              <w:rPr>
                <w:rFonts w:hint="eastAsia" w:eastAsia="方正仿宋_GBK"/>
                <w:color w:val="000000"/>
                <w:spacing w:val="-2"/>
                <w:szCs w:val="21"/>
              </w:rPr>
              <w:t>（</w:t>
            </w:r>
            <w:r>
              <w:rPr>
                <w:rFonts w:eastAsia="方正仿宋_GBK"/>
                <w:color w:val="000000"/>
                <w:spacing w:val="-2"/>
                <w:szCs w:val="21"/>
              </w:rPr>
              <w:t>40</w:t>
            </w:r>
            <w:r>
              <w:rPr>
                <w:rFonts w:hint="eastAsia" w:eastAsia="方正仿宋_GBK"/>
                <w:color w:val="000000"/>
                <w:spacing w:val="-2"/>
                <w:szCs w:val="21"/>
              </w:rPr>
              <w:t>分）</w:t>
            </w:r>
          </w:p>
        </w:tc>
        <w:tc>
          <w:tcPr>
            <w:tcW w:w="1537"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基本设施</w:t>
            </w:r>
          </w:p>
          <w:p>
            <w:pPr>
              <w:jc w:val="center"/>
              <w:rPr>
                <w:rFonts w:eastAsia="方正仿宋_GBK"/>
                <w:color w:val="000000"/>
                <w:spacing w:val="-2"/>
                <w:szCs w:val="21"/>
              </w:rPr>
            </w:pPr>
            <w:r>
              <w:rPr>
                <w:rFonts w:hint="eastAsia" w:eastAsia="方正仿宋_GBK"/>
                <w:color w:val="000000"/>
                <w:spacing w:val="-2"/>
                <w:szCs w:val="21"/>
              </w:rPr>
              <w:t>建设数量</w:t>
            </w:r>
          </w:p>
        </w:tc>
        <w:tc>
          <w:tcPr>
            <w:tcW w:w="408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是否符合避难人数需求</w:t>
            </w:r>
          </w:p>
        </w:tc>
        <w:tc>
          <w:tcPr>
            <w:tcW w:w="152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9</w:t>
            </w:r>
            <w:r>
              <w:rPr>
                <w:rFonts w:hint="eastAsia" w:eastAsia="方正仿宋_GBK"/>
                <w:color w:val="000000"/>
                <w:spacing w:val="-2"/>
                <w:szCs w:val="21"/>
              </w:rPr>
              <w:t>分</w:t>
            </w:r>
          </w:p>
        </w:tc>
        <w:tc>
          <w:tcPr>
            <w:tcW w:w="895"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83" w:type="dxa"/>
            <w:vMerge w:val="continue"/>
            <w:tcBorders>
              <w:top w:val="single" w:color="auto" w:sz="4" w:space="0"/>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szCs w:val="21"/>
              </w:rPr>
            </w:pPr>
          </w:p>
        </w:tc>
        <w:tc>
          <w:tcPr>
            <w:tcW w:w="1537"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一般设施</w:t>
            </w:r>
          </w:p>
          <w:p>
            <w:pPr>
              <w:jc w:val="center"/>
              <w:rPr>
                <w:rFonts w:eastAsia="方正仿宋_GBK"/>
                <w:color w:val="000000"/>
                <w:spacing w:val="-2"/>
                <w:szCs w:val="21"/>
              </w:rPr>
            </w:pPr>
            <w:r>
              <w:rPr>
                <w:rFonts w:hint="eastAsia" w:eastAsia="方正仿宋_GBK"/>
                <w:color w:val="000000"/>
                <w:spacing w:val="-2"/>
                <w:szCs w:val="21"/>
              </w:rPr>
              <w:t>建设数量</w:t>
            </w:r>
          </w:p>
        </w:tc>
        <w:tc>
          <w:tcPr>
            <w:tcW w:w="408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是否符合避难人数需求</w:t>
            </w:r>
          </w:p>
        </w:tc>
        <w:tc>
          <w:tcPr>
            <w:tcW w:w="152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9</w:t>
            </w:r>
            <w:r>
              <w:rPr>
                <w:rFonts w:hint="eastAsia" w:eastAsia="方正仿宋_GBK"/>
                <w:color w:val="000000"/>
                <w:spacing w:val="-2"/>
                <w:szCs w:val="21"/>
              </w:rPr>
              <w:t>分</w:t>
            </w:r>
          </w:p>
        </w:tc>
        <w:tc>
          <w:tcPr>
            <w:tcW w:w="895"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83" w:type="dxa"/>
            <w:vMerge w:val="continue"/>
            <w:tcBorders>
              <w:top w:val="single" w:color="auto" w:sz="4" w:space="0"/>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szCs w:val="21"/>
              </w:rPr>
            </w:pPr>
          </w:p>
        </w:tc>
        <w:tc>
          <w:tcPr>
            <w:tcW w:w="1537"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综合设施</w:t>
            </w:r>
          </w:p>
          <w:p>
            <w:pPr>
              <w:jc w:val="center"/>
              <w:rPr>
                <w:rFonts w:eastAsia="方正仿宋_GBK"/>
                <w:color w:val="000000"/>
                <w:spacing w:val="-2"/>
                <w:szCs w:val="21"/>
              </w:rPr>
            </w:pPr>
            <w:r>
              <w:rPr>
                <w:rFonts w:hint="eastAsia" w:eastAsia="方正仿宋_GBK"/>
                <w:color w:val="000000"/>
                <w:spacing w:val="-2"/>
                <w:szCs w:val="21"/>
              </w:rPr>
              <w:t>建设数量</w:t>
            </w:r>
          </w:p>
        </w:tc>
        <w:tc>
          <w:tcPr>
            <w:tcW w:w="408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是否符合避难人数需求</w:t>
            </w:r>
          </w:p>
        </w:tc>
        <w:tc>
          <w:tcPr>
            <w:tcW w:w="152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9</w:t>
            </w:r>
            <w:r>
              <w:rPr>
                <w:rFonts w:hint="eastAsia" w:eastAsia="方正仿宋_GBK"/>
                <w:color w:val="000000"/>
                <w:spacing w:val="-2"/>
                <w:szCs w:val="21"/>
              </w:rPr>
              <w:t>分</w:t>
            </w:r>
          </w:p>
        </w:tc>
        <w:tc>
          <w:tcPr>
            <w:tcW w:w="895"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83" w:type="dxa"/>
            <w:vMerge w:val="continue"/>
            <w:tcBorders>
              <w:top w:val="single" w:color="auto" w:sz="4" w:space="0"/>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szCs w:val="21"/>
              </w:rPr>
            </w:pPr>
          </w:p>
        </w:tc>
        <w:tc>
          <w:tcPr>
            <w:tcW w:w="1537"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工期控制</w:t>
            </w:r>
          </w:p>
        </w:tc>
        <w:tc>
          <w:tcPr>
            <w:tcW w:w="408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是否按期完成</w:t>
            </w:r>
          </w:p>
        </w:tc>
        <w:tc>
          <w:tcPr>
            <w:tcW w:w="152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3</w:t>
            </w:r>
            <w:r>
              <w:rPr>
                <w:rFonts w:hint="eastAsia" w:eastAsia="方正仿宋_GBK"/>
                <w:color w:val="000000"/>
                <w:spacing w:val="-2"/>
                <w:szCs w:val="21"/>
              </w:rPr>
              <w:t>分</w:t>
            </w:r>
          </w:p>
        </w:tc>
        <w:tc>
          <w:tcPr>
            <w:tcW w:w="895"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83" w:type="dxa"/>
            <w:vMerge w:val="continue"/>
            <w:tcBorders>
              <w:top w:val="single" w:color="auto" w:sz="4" w:space="0"/>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szCs w:val="21"/>
              </w:rPr>
            </w:pPr>
          </w:p>
        </w:tc>
        <w:tc>
          <w:tcPr>
            <w:tcW w:w="1537"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质量控制</w:t>
            </w:r>
          </w:p>
        </w:tc>
        <w:tc>
          <w:tcPr>
            <w:tcW w:w="408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是否验收合格</w:t>
            </w:r>
          </w:p>
        </w:tc>
        <w:tc>
          <w:tcPr>
            <w:tcW w:w="152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3</w:t>
            </w:r>
            <w:r>
              <w:rPr>
                <w:rFonts w:hint="eastAsia" w:eastAsia="方正仿宋_GBK"/>
                <w:color w:val="000000"/>
                <w:spacing w:val="-2"/>
                <w:szCs w:val="21"/>
              </w:rPr>
              <w:t>分</w:t>
            </w:r>
          </w:p>
        </w:tc>
        <w:tc>
          <w:tcPr>
            <w:tcW w:w="895"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683" w:type="dxa"/>
            <w:vMerge w:val="continue"/>
            <w:tcBorders>
              <w:top w:val="single" w:color="auto" w:sz="4" w:space="0"/>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szCs w:val="21"/>
              </w:rPr>
            </w:pPr>
            <w:bookmarkStart w:id="228" w:name="_Hlk408501934" w:colFirst="1" w:colLast="6"/>
          </w:p>
        </w:tc>
        <w:tc>
          <w:tcPr>
            <w:tcW w:w="1537"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资金成本控制</w:t>
            </w:r>
          </w:p>
        </w:tc>
        <w:tc>
          <w:tcPr>
            <w:tcW w:w="408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是否与预算成本相符</w:t>
            </w:r>
          </w:p>
        </w:tc>
        <w:tc>
          <w:tcPr>
            <w:tcW w:w="152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3</w:t>
            </w:r>
            <w:r>
              <w:rPr>
                <w:rFonts w:hint="eastAsia" w:eastAsia="方正仿宋_GBK"/>
                <w:color w:val="000000"/>
                <w:spacing w:val="-2"/>
                <w:szCs w:val="21"/>
              </w:rPr>
              <w:t>分</w:t>
            </w:r>
          </w:p>
        </w:tc>
        <w:tc>
          <w:tcPr>
            <w:tcW w:w="895"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bookmarkEnd w:id="228"/>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683" w:type="dxa"/>
            <w:vMerge w:val="continue"/>
            <w:tcBorders>
              <w:top w:val="single" w:color="auto" w:sz="4" w:space="0"/>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szCs w:val="21"/>
              </w:rPr>
            </w:pPr>
          </w:p>
        </w:tc>
        <w:tc>
          <w:tcPr>
            <w:tcW w:w="1537" w:type="dxa"/>
            <w:tcBorders>
              <w:top w:val="single" w:color="auto" w:sz="4" w:space="0"/>
              <w:left w:val="single" w:color="auto" w:sz="4" w:space="0"/>
              <w:bottom w:val="single" w:color="auto" w:sz="8"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省级财政</w:t>
            </w:r>
          </w:p>
          <w:p>
            <w:pPr>
              <w:jc w:val="center"/>
              <w:rPr>
                <w:rFonts w:eastAsia="方正仿宋_GBK"/>
                <w:color w:val="000000"/>
                <w:spacing w:val="-2"/>
                <w:szCs w:val="21"/>
              </w:rPr>
            </w:pPr>
            <w:r>
              <w:rPr>
                <w:rFonts w:hint="eastAsia" w:eastAsia="方正仿宋_GBK"/>
                <w:color w:val="000000"/>
                <w:spacing w:val="-2"/>
                <w:szCs w:val="21"/>
              </w:rPr>
              <w:t>投入乘数</w:t>
            </w:r>
          </w:p>
        </w:tc>
        <w:tc>
          <w:tcPr>
            <w:tcW w:w="4080" w:type="dxa"/>
            <w:gridSpan w:val="3"/>
            <w:tcBorders>
              <w:top w:val="single" w:color="auto" w:sz="4" w:space="0"/>
              <w:left w:val="single" w:color="auto" w:sz="4" w:space="0"/>
              <w:bottom w:val="single" w:color="auto" w:sz="8"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以（预算投入资金</w:t>
            </w:r>
            <w:r>
              <w:rPr>
                <w:rFonts w:eastAsia="方正仿宋_GBK"/>
                <w:color w:val="000000"/>
                <w:spacing w:val="-2"/>
                <w:szCs w:val="21"/>
              </w:rPr>
              <w:t>÷</w:t>
            </w:r>
            <w:r>
              <w:rPr>
                <w:rFonts w:hint="eastAsia" w:eastAsia="方正仿宋_GBK"/>
                <w:color w:val="000000"/>
                <w:spacing w:val="-2"/>
                <w:szCs w:val="21"/>
              </w:rPr>
              <w:t>省级财政资金）</w:t>
            </w:r>
            <w:r>
              <w:rPr>
                <w:rFonts w:eastAsia="方正仿宋_GBK"/>
                <w:color w:val="000000"/>
                <w:spacing w:val="-2"/>
                <w:szCs w:val="21"/>
              </w:rPr>
              <w:t>≥4</w:t>
            </w:r>
            <w:r>
              <w:rPr>
                <w:rFonts w:hint="eastAsia" w:eastAsia="方正仿宋_GBK"/>
                <w:color w:val="000000"/>
                <w:spacing w:val="-2"/>
                <w:szCs w:val="21"/>
              </w:rPr>
              <w:t>为标准值</w:t>
            </w:r>
          </w:p>
        </w:tc>
        <w:tc>
          <w:tcPr>
            <w:tcW w:w="1528" w:type="dxa"/>
            <w:tcBorders>
              <w:top w:val="single" w:color="auto" w:sz="4" w:space="0"/>
              <w:left w:val="single" w:color="auto" w:sz="4" w:space="0"/>
              <w:bottom w:val="single" w:color="auto" w:sz="8"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4</w:t>
            </w:r>
            <w:r>
              <w:rPr>
                <w:rFonts w:hint="eastAsia" w:eastAsia="方正仿宋_GBK"/>
                <w:color w:val="000000"/>
                <w:spacing w:val="-2"/>
                <w:szCs w:val="21"/>
              </w:rPr>
              <w:t>分</w:t>
            </w:r>
          </w:p>
        </w:tc>
        <w:tc>
          <w:tcPr>
            <w:tcW w:w="895" w:type="dxa"/>
            <w:tcBorders>
              <w:top w:val="single" w:color="auto" w:sz="4" w:space="0"/>
              <w:left w:val="single" w:color="auto" w:sz="4" w:space="0"/>
              <w:bottom w:val="single" w:color="auto" w:sz="8" w:space="0"/>
              <w:right w:val="single" w:color="auto" w:sz="8" w:space="0"/>
            </w:tcBorders>
            <w:noWrap w:val="0"/>
            <w:vAlign w:val="center"/>
          </w:tcPr>
          <w:p>
            <w:pPr>
              <w:jc w:val="center"/>
              <w:rPr>
                <w:rFonts w:eastAsia="方正仿宋_GBK"/>
                <w:color w:val="000000"/>
                <w:spacing w:val="-2"/>
                <w:szCs w:val="21"/>
              </w:rPr>
            </w:pPr>
          </w:p>
        </w:tc>
      </w:tr>
    </w:tbl>
    <w:p>
      <w:pPr>
        <w:spacing w:before="120" w:beforeLines="50"/>
        <w:jc w:val="left"/>
        <w:rPr>
          <w:rFonts w:hint="eastAsia" w:eastAsia="方正仿宋_GBK"/>
          <w:color w:val="000000"/>
          <w:spacing w:val="-2"/>
          <w:szCs w:val="21"/>
        </w:rPr>
      </w:pPr>
      <w:r>
        <w:rPr>
          <w:rFonts w:hint="eastAsia" w:eastAsia="方正仿宋_GBK"/>
          <w:color w:val="000000"/>
          <w:spacing w:val="-2"/>
          <w:szCs w:val="21"/>
        </w:rPr>
        <w:t>（注：基本情况由项目实施单位填写；此表适用于中心应急避难场所绩效自评价，固定应急避难场所绩效自评价要对选项和分值进行调整后使用）</w:t>
      </w:r>
    </w:p>
    <w:p>
      <w:pPr>
        <w:spacing w:line="560" w:lineRule="exact"/>
        <w:jc w:val="center"/>
        <w:rPr>
          <w:rFonts w:ascii="Times New Roman" w:eastAsia="方正黑体_GBK"/>
          <w:color w:val="000000"/>
          <w:spacing w:val="-2"/>
          <w:sz w:val="28"/>
          <w:szCs w:val="28"/>
        </w:rPr>
      </w:pPr>
      <w:r>
        <w:rPr>
          <w:rFonts w:hAnsi="Times New Roman" w:eastAsia="黑体"/>
          <w:color w:val="000000"/>
          <w:spacing w:val="-2"/>
          <w:sz w:val="32"/>
          <w:szCs w:val="32"/>
        </w:rPr>
        <w:br w:type="column"/>
      </w:r>
      <w:r>
        <w:rPr>
          <w:rFonts w:hint="eastAsia" w:ascii="Times New Roman" w:eastAsia="方正黑体_GBK"/>
          <w:color w:val="000000"/>
          <w:spacing w:val="-2"/>
          <w:sz w:val="28"/>
          <w:szCs w:val="28"/>
        </w:rPr>
        <w:t>绩效自评价表三（重点抗震加固项目）</w:t>
      </w:r>
    </w:p>
    <w:tbl>
      <w:tblPr>
        <w:tblStyle w:val="12"/>
        <w:tblW w:w="0" w:type="auto"/>
        <w:tblInd w:w="8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600"/>
        <w:gridCol w:w="1182"/>
        <w:gridCol w:w="1689"/>
        <w:gridCol w:w="1589"/>
        <w:gridCol w:w="1118"/>
        <w:gridCol w:w="112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2280" w:type="dxa"/>
            <w:gridSpan w:val="2"/>
            <w:tcBorders>
              <w:top w:val="single" w:color="auto" w:sz="8" w:space="0"/>
              <w:left w:val="single" w:color="auto" w:sz="8" w:space="0"/>
              <w:bottom w:val="single" w:color="auto" w:sz="4" w:space="0"/>
              <w:right w:val="single" w:color="auto" w:sz="4" w:space="0"/>
            </w:tcBorders>
            <w:noWrap w:val="0"/>
            <w:vAlign w:val="center"/>
          </w:tcPr>
          <w:p>
            <w:pPr>
              <w:jc w:val="center"/>
              <w:rPr>
                <w:rFonts w:ascii="Times New Roman" w:eastAsia="方正黑体_GBK"/>
                <w:color w:val="000000"/>
                <w:spacing w:val="-2"/>
                <w:szCs w:val="21"/>
              </w:rPr>
            </w:pPr>
            <w:r>
              <w:rPr>
                <w:rFonts w:hint="eastAsia" w:ascii="Times New Roman" w:eastAsia="方正黑体_GBK"/>
                <w:color w:val="000000"/>
                <w:spacing w:val="-2"/>
                <w:szCs w:val="21"/>
              </w:rPr>
              <w:t>自评价内容</w:t>
            </w:r>
          </w:p>
        </w:tc>
        <w:tc>
          <w:tcPr>
            <w:tcW w:w="4460" w:type="dxa"/>
            <w:gridSpan w:val="3"/>
            <w:tcBorders>
              <w:top w:val="single" w:color="auto" w:sz="8" w:space="0"/>
              <w:left w:val="single" w:color="auto" w:sz="4" w:space="0"/>
              <w:bottom w:val="single" w:color="auto" w:sz="4" w:space="0"/>
              <w:right w:val="single" w:color="auto" w:sz="4" w:space="0"/>
            </w:tcBorders>
            <w:noWrap w:val="0"/>
            <w:vAlign w:val="center"/>
          </w:tcPr>
          <w:p>
            <w:pPr>
              <w:jc w:val="center"/>
              <w:rPr>
                <w:rFonts w:ascii="Times New Roman" w:eastAsia="方正黑体_GBK"/>
                <w:color w:val="000000"/>
                <w:spacing w:val="-2"/>
                <w:szCs w:val="21"/>
              </w:rPr>
            </w:pPr>
            <w:r>
              <w:rPr>
                <w:rFonts w:hint="eastAsia" w:ascii="Times New Roman" w:eastAsia="方正黑体_GBK"/>
                <w:color w:val="000000"/>
                <w:spacing w:val="-2"/>
                <w:szCs w:val="21"/>
              </w:rPr>
              <w:t>自评价指标</w:t>
            </w:r>
          </w:p>
        </w:tc>
        <w:tc>
          <w:tcPr>
            <w:tcW w:w="1118" w:type="dxa"/>
            <w:tcBorders>
              <w:top w:val="single" w:color="auto" w:sz="8" w:space="0"/>
              <w:left w:val="single" w:color="auto" w:sz="4" w:space="0"/>
              <w:bottom w:val="single" w:color="auto" w:sz="4" w:space="0"/>
              <w:right w:val="single" w:color="auto" w:sz="4" w:space="0"/>
            </w:tcBorders>
            <w:noWrap w:val="0"/>
            <w:vAlign w:val="center"/>
          </w:tcPr>
          <w:p>
            <w:pPr>
              <w:jc w:val="center"/>
              <w:rPr>
                <w:rFonts w:ascii="Times New Roman" w:eastAsia="方正黑体_GBK"/>
                <w:color w:val="000000"/>
                <w:spacing w:val="-2"/>
                <w:szCs w:val="21"/>
              </w:rPr>
            </w:pPr>
            <w:r>
              <w:rPr>
                <w:rFonts w:hint="eastAsia" w:ascii="Times New Roman" w:eastAsia="方正黑体_GBK"/>
                <w:color w:val="000000"/>
                <w:spacing w:val="-2"/>
                <w:szCs w:val="21"/>
              </w:rPr>
              <w:t>分值</w:t>
            </w:r>
          </w:p>
        </w:tc>
        <w:tc>
          <w:tcPr>
            <w:tcW w:w="1127" w:type="dxa"/>
            <w:tcBorders>
              <w:top w:val="single" w:color="auto" w:sz="8" w:space="0"/>
              <w:left w:val="single" w:color="auto" w:sz="4" w:space="0"/>
              <w:bottom w:val="single" w:color="auto" w:sz="4" w:space="0"/>
              <w:right w:val="single" w:color="auto" w:sz="8" w:space="0"/>
            </w:tcBorders>
            <w:noWrap w:val="0"/>
            <w:vAlign w:val="center"/>
          </w:tcPr>
          <w:p>
            <w:pPr>
              <w:jc w:val="center"/>
              <w:rPr>
                <w:rFonts w:ascii="Times New Roman" w:eastAsia="方正黑体_GBK"/>
                <w:color w:val="000000"/>
                <w:spacing w:val="-2"/>
                <w:szCs w:val="21"/>
              </w:rPr>
            </w:pPr>
            <w:r>
              <w:rPr>
                <w:rFonts w:hint="eastAsia" w:ascii="Times New Roman" w:eastAsia="方正黑体_GBK"/>
                <w:color w:val="000000"/>
                <w:spacing w:val="-2"/>
                <w:szCs w:val="21"/>
              </w:rPr>
              <w:t>得分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680" w:type="dxa"/>
            <w:vMerge w:val="restart"/>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基本情况</w:t>
            </w:r>
          </w:p>
        </w:tc>
        <w:tc>
          <w:tcPr>
            <w:tcW w:w="160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项目类型</w:t>
            </w:r>
          </w:p>
        </w:tc>
        <w:tc>
          <w:tcPr>
            <w:tcW w:w="118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ascii="Times New Roman" w:hAnsi="Times New Roman"/>
                <w:color w:val="000000"/>
                <w:spacing w:val="-2"/>
                <w:szCs w:val="21"/>
              </w:rPr>
              <w:t>□</w:t>
            </w:r>
            <w:r>
              <w:rPr>
                <w:rFonts w:hint="eastAsia" w:eastAsia="方正仿宋_GBK"/>
                <w:color w:val="000000"/>
                <w:spacing w:val="-2"/>
                <w:szCs w:val="21"/>
              </w:rPr>
              <w:t>建筑</w:t>
            </w:r>
            <w:r>
              <w:rPr>
                <w:rFonts w:eastAsia="方正仿宋_GBK"/>
                <w:color w:val="000000"/>
                <w:spacing w:val="-2"/>
                <w:szCs w:val="21"/>
              </w:rPr>
              <w:t xml:space="preserve"> </w:t>
            </w:r>
          </w:p>
          <w:p>
            <w:pPr>
              <w:jc w:val="center"/>
              <w:rPr>
                <w:rFonts w:eastAsia="方正仿宋_GBK"/>
                <w:color w:val="000000"/>
                <w:spacing w:val="-2"/>
                <w:szCs w:val="21"/>
              </w:rPr>
            </w:pPr>
            <w:r>
              <w:rPr>
                <w:rFonts w:hint="eastAsia" w:ascii="Times New Roman" w:hAnsi="Times New Roman"/>
                <w:color w:val="000000"/>
                <w:spacing w:val="-2"/>
                <w:szCs w:val="21"/>
              </w:rPr>
              <w:t>□</w:t>
            </w:r>
            <w:r>
              <w:rPr>
                <w:rFonts w:hint="eastAsia" w:eastAsia="方正仿宋_GBK"/>
                <w:color w:val="000000"/>
                <w:spacing w:val="-2"/>
                <w:szCs w:val="21"/>
              </w:rPr>
              <w:t>市政</w:t>
            </w:r>
          </w:p>
        </w:tc>
        <w:tc>
          <w:tcPr>
            <w:tcW w:w="1689"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项目建筑年代</w:t>
            </w:r>
          </w:p>
        </w:tc>
        <w:tc>
          <w:tcPr>
            <w:tcW w:w="1589"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w:t>
            </w:r>
          </w:p>
        </w:tc>
        <w:tc>
          <w:tcPr>
            <w:tcW w:w="1127"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r>
              <w:rPr>
                <w:rFonts w:eastAsia="方正仿宋_GBK"/>
                <w:color w:val="000000"/>
                <w:spacing w:val="-2"/>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68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60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结构类型</w:t>
            </w:r>
          </w:p>
        </w:tc>
        <w:tc>
          <w:tcPr>
            <w:tcW w:w="118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1689"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层数</w:t>
            </w:r>
          </w:p>
        </w:tc>
        <w:tc>
          <w:tcPr>
            <w:tcW w:w="1589"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w:t>
            </w:r>
          </w:p>
        </w:tc>
        <w:tc>
          <w:tcPr>
            <w:tcW w:w="1127"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r>
              <w:rPr>
                <w:rFonts w:eastAsia="方正仿宋_GBK"/>
                <w:color w:val="000000"/>
                <w:spacing w:val="-2"/>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68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60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项目建筑面积</w:t>
            </w:r>
          </w:p>
        </w:tc>
        <w:tc>
          <w:tcPr>
            <w:tcW w:w="118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1689"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改造内容</w:t>
            </w:r>
          </w:p>
        </w:tc>
        <w:tc>
          <w:tcPr>
            <w:tcW w:w="1589" w:type="dxa"/>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szCs w:val="21"/>
              </w:rPr>
            </w:pPr>
            <w:r>
              <w:rPr>
                <w:rFonts w:hint="eastAsia" w:ascii="Times New Roman" w:hAnsi="Times New Roman"/>
                <w:color w:val="000000"/>
                <w:spacing w:val="-2"/>
                <w:szCs w:val="21"/>
              </w:rPr>
              <w:t>□</w:t>
            </w:r>
            <w:r>
              <w:rPr>
                <w:rFonts w:hint="eastAsia" w:eastAsia="方正仿宋_GBK"/>
                <w:color w:val="000000"/>
                <w:spacing w:val="-2"/>
                <w:szCs w:val="21"/>
              </w:rPr>
              <w:t>仅加固</w:t>
            </w:r>
            <w:r>
              <w:rPr>
                <w:rFonts w:eastAsia="方正仿宋_GBK"/>
                <w:color w:val="000000"/>
                <w:spacing w:val="-2"/>
                <w:szCs w:val="21"/>
              </w:rPr>
              <w:t xml:space="preserve">    </w:t>
            </w:r>
          </w:p>
          <w:p>
            <w:pPr>
              <w:rPr>
                <w:rFonts w:eastAsia="方正仿宋_GBK"/>
                <w:color w:val="000000"/>
                <w:spacing w:val="-2"/>
                <w:szCs w:val="21"/>
              </w:rPr>
            </w:pPr>
            <w:r>
              <w:rPr>
                <w:rFonts w:hint="eastAsia" w:ascii="Times New Roman" w:hAnsi="Times New Roman"/>
                <w:color w:val="000000"/>
                <w:spacing w:val="-2"/>
                <w:szCs w:val="21"/>
              </w:rPr>
              <w:t>□</w:t>
            </w:r>
            <w:r>
              <w:rPr>
                <w:rFonts w:hint="eastAsia" w:eastAsia="方正仿宋_GBK"/>
                <w:color w:val="000000"/>
                <w:spacing w:val="-2"/>
                <w:szCs w:val="21"/>
              </w:rPr>
              <w:t>加固及节能</w:t>
            </w:r>
          </w:p>
        </w:tc>
        <w:tc>
          <w:tcPr>
            <w:tcW w:w="111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w:t>
            </w:r>
          </w:p>
        </w:tc>
        <w:tc>
          <w:tcPr>
            <w:tcW w:w="1127"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r>
              <w:rPr>
                <w:rFonts w:eastAsia="方正仿宋_GBK"/>
                <w:color w:val="000000"/>
                <w:spacing w:val="-2"/>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680" w:type="dxa"/>
            <w:vMerge w:val="restart"/>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实</w:t>
            </w:r>
          </w:p>
          <w:p>
            <w:pPr>
              <w:jc w:val="center"/>
              <w:rPr>
                <w:rFonts w:eastAsia="方正仿宋_GBK"/>
                <w:color w:val="000000"/>
                <w:spacing w:val="-2"/>
                <w:szCs w:val="21"/>
              </w:rPr>
            </w:pPr>
            <w:r>
              <w:rPr>
                <w:rFonts w:hint="eastAsia" w:eastAsia="方正仿宋_GBK"/>
                <w:color w:val="000000"/>
                <w:spacing w:val="-2"/>
                <w:szCs w:val="21"/>
              </w:rPr>
              <w:t>施</w:t>
            </w:r>
          </w:p>
          <w:p>
            <w:pPr>
              <w:jc w:val="center"/>
              <w:rPr>
                <w:rFonts w:eastAsia="方正仿宋_GBK"/>
                <w:color w:val="000000"/>
                <w:spacing w:val="-2"/>
                <w:szCs w:val="21"/>
              </w:rPr>
            </w:pPr>
            <w:r>
              <w:rPr>
                <w:rFonts w:hint="eastAsia" w:eastAsia="方正仿宋_GBK"/>
                <w:color w:val="000000"/>
                <w:spacing w:val="-2"/>
                <w:szCs w:val="21"/>
              </w:rPr>
              <w:t>结</w:t>
            </w:r>
          </w:p>
          <w:p>
            <w:pPr>
              <w:jc w:val="center"/>
              <w:rPr>
                <w:rFonts w:eastAsia="方正仿宋_GBK"/>
                <w:color w:val="000000"/>
                <w:spacing w:val="-2"/>
                <w:szCs w:val="21"/>
              </w:rPr>
            </w:pPr>
            <w:r>
              <w:rPr>
                <w:rFonts w:hint="eastAsia" w:eastAsia="方正仿宋_GBK"/>
                <w:color w:val="000000"/>
                <w:spacing w:val="-2"/>
                <w:szCs w:val="21"/>
              </w:rPr>
              <w:t>果</w:t>
            </w:r>
          </w:p>
          <w:p>
            <w:pPr>
              <w:jc w:val="center"/>
              <w:rPr>
                <w:rFonts w:eastAsia="方正仿宋_GBK"/>
                <w:color w:val="000000"/>
                <w:spacing w:val="-2"/>
                <w:szCs w:val="21"/>
              </w:rPr>
            </w:pPr>
            <w:r>
              <w:rPr>
                <w:rFonts w:hint="eastAsia" w:eastAsia="方正仿宋_GBK"/>
                <w:color w:val="000000"/>
                <w:spacing w:val="-2"/>
                <w:szCs w:val="21"/>
              </w:rPr>
              <w:t>评</w:t>
            </w:r>
          </w:p>
          <w:p>
            <w:pPr>
              <w:jc w:val="center"/>
              <w:rPr>
                <w:rFonts w:eastAsia="方正仿宋_GBK"/>
                <w:color w:val="000000"/>
                <w:spacing w:val="-2"/>
                <w:szCs w:val="21"/>
              </w:rPr>
            </w:pPr>
            <w:r>
              <w:rPr>
                <w:rFonts w:hint="eastAsia" w:eastAsia="方正仿宋_GBK"/>
                <w:color w:val="000000"/>
                <w:spacing w:val="-2"/>
                <w:szCs w:val="21"/>
              </w:rPr>
              <w:t>价</w:t>
            </w:r>
          </w:p>
          <w:p>
            <w:pPr>
              <w:ind w:left="-105" w:leftChars="-50" w:right="-105" w:rightChars="-50"/>
              <w:jc w:val="center"/>
              <w:rPr>
                <w:rFonts w:eastAsia="方正仿宋_GBK"/>
                <w:color w:val="000000"/>
                <w:spacing w:val="-2"/>
                <w:w w:val="80"/>
                <w:szCs w:val="21"/>
              </w:rPr>
            </w:pPr>
            <w:r>
              <w:rPr>
                <w:rFonts w:hint="eastAsia" w:eastAsia="方正仿宋_GBK"/>
                <w:color w:val="000000"/>
                <w:spacing w:val="-2"/>
                <w:w w:val="80"/>
                <w:szCs w:val="21"/>
              </w:rPr>
              <w:t>（</w:t>
            </w:r>
            <w:r>
              <w:rPr>
                <w:rFonts w:eastAsia="方正仿宋_GBK"/>
                <w:color w:val="000000"/>
                <w:spacing w:val="-2"/>
                <w:w w:val="80"/>
                <w:szCs w:val="21"/>
              </w:rPr>
              <w:t>50</w:t>
            </w:r>
            <w:r>
              <w:rPr>
                <w:rFonts w:hint="eastAsia" w:eastAsia="方正仿宋_GBK"/>
                <w:color w:val="000000"/>
                <w:spacing w:val="-2"/>
                <w:w w:val="80"/>
                <w:szCs w:val="21"/>
              </w:rPr>
              <w:t>分）</w:t>
            </w:r>
          </w:p>
        </w:tc>
        <w:tc>
          <w:tcPr>
            <w:tcW w:w="160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设计审查</w:t>
            </w:r>
          </w:p>
        </w:tc>
        <w:tc>
          <w:tcPr>
            <w:tcW w:w="446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加固设计图纸是否通过审查</w:t>
            </w:r>
          </w:p>
        </w:tc>
        <w:tc>
          <w:tcPr>
            <w:tcW w:w="111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10</w:t>
            </w:r>
            <w:r>
              <w:rPr>
                <w:rFonts w:hint="eastAsia" w:eastAsia="方正仿宋_GBK"/>
                <w:color w:val="000000"/>
                <w:spacing w:val="-2"/>
                <w:szCs w:val="21"/>
              </w:rPr>
              <w:t>分</w:t>
            </w:r>
          </w:p>
        </w:tc>
        <w:tc>
          <w:tcPr>
            <w:tcW w:w="1127"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68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w w:val="80"/>
                <w:szCs w:val="21"/>
              </w:rPr>
            </w:pPr>
          </w:p>
        </w:tc>
        <w:tc>
          <w:tcPr>
            <w:tcW w:w="160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季报制度</w:t>
            </w:r>
          </w:p>
        </w:tc>
        <w:tc>
          <w:tcPr>
            <w:tcW w:w="446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是否按季度在网上填报项目实施管理情况</w:t>
            </w:r>
          </w:p>
        </w:tc>
        <w:tc>
          <w:tcPr>
            <w:tcW w:w="111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10</w:t>
            </w:r>
            <w:r>
              <w:rPr>
                <w:rFonts w:hint="eastAsia" w:eastAsia="方正仿宋_GBK"/>
                <w:color w:val="000000"/>
                <w:spacing w:val="-2"/>
                <w:szCs w:val="21"/>
              </w:rPr>
              <w:t>分</w:t>
            </w:r>
          </w:p>
        </w:tc>
        <w:tc>
          <w:tcPr>
            <w:tcW w:w="1127"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68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w w:val="80"/>
                <w:szCs w:val="21"/>
              </w:rPr>
            </w:pPr>
          </w:p>
        </w:tc>
        <w:tc>
          <w:tcPr>
            <w:tcW w:w="160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质量监督</w:t>
            </w:r>
          </w:p>
        </w:tc>
        <w:tc>
          <w:tcPr>
            <w:tcW w:w="446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是否进行质量监督管理</w:t>
            </w:r>
          </w:p>
        </w:tc>
        <w:tc>
          <w:tcPr>
            <w:tcW w:w="111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10</w:t>
            </w:r>
            <w:r>
              <w:rPr>
                <w:rFonts w:hint="eastAsia" w:eastAsia="方正仿宋_GBK"/>
                <w:color w:val="000000"/>
                <w:spacing w:val="-2"/>
                <w:szCs w:val="21"/>
              </w:rPr>
              <w:t>分</w:t>
            </w:r>
          </w:p>
        </w:tc>
        <w:tc>
          <w:tcPr>
            <w:tcW w:w="1127"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68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w w:val="80"/>
                <w:szCs w:val="21"/>
              </w:rPr>
            </w:pPr>
          </w:p>
        </w:tc>
        <w:tc>
          <w:tcPr>
            <w:tcW w:w="160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采用的加固</w:t>
            </w:r>
          </w:p>
          <w:p>
            <w:pPr>
              <w:jc w:val="center"/>
              <w:rPr>
                <w:rFonts w:eastAsia="方正仿宋_GBK"/>
                <w:color w:val="000000"/>
                <w:spacing w:val="-2"/>
                <w:szCs w:val="21"/>
              </w:rPr>
            </w:pPr>
            <w:r>
              <w:rPr>
                <w:rFonts w:hint="eastAsia" w:eastAsia="方正仿宋_GBK"/>
                <w:color w:val="000000"/>
                <w:spacing w:val="-2"/>
                <w:szCs w:val="21"/>
              </w:rPr>
              <w:t>技术措施</w:t>
            </w:r>
          </w:p>
        </w:tc>
        <w:tc>
          <w:tcPr>
            <w:tcW w:w="446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有一项的算</w:t>
            </w:r>
            <w:r>
              <w:rPr>
                <w:rFonts w:eastAsia="方正仿宋_GBK"/>
                <w:color w:val="000000"/>
                <w:spacing w:val="-2"/>
                <w:szCs w:val="21"/>
              </w:rPr>
              <w:t>5</w:t>
            </w:r>
            <w:r>
              <w:rPr>
                <w:rFonts w:hint="eastAsia" w:eastAsia="方正仿宋_GBK"/>
                <w:color w:val="000000"/>
                <w:spacing w:val="-2"/>
                <w:szCs w:val="21"/>
              </w:rPr>
              <w:t>分</w:t>
            </w:r>
          </w:p>
        </w:tc>
        <w:tc>
          <w:tcPr>
            <w:tcW w:w="111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20</w:t>
            </w:r>
            <w:r>
              <w:rPr>
                <w:rFonts w:hint="eastAsia" w:eastAsia="方正仿宋_GBK"/>
                <w:color w:val="000000"/>
                <w:spacing w:val="-2"/>
                <w:szCs w:val="21"/>
              </w:rPr>
              <w:t>分</w:t>
            </w:r>
          </w:p>
        </w:tc>
        <w:tc>
          <w:tcPr>
            <w:tcW w:w="1127"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680" w:type="dxa"/>
            <w:vMerge w:val="restart"/>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实施效果评价</w:t>
            </w:r>
          </w:p>
          <w:p>
            <w:pPr>
              <w:ind w:left="-105" w:leftChars="-50" w:right="-105" w:rightChars="-50"/>
              <w:jc w:val="center"/>
              <w:rPr>
                <w:rFonts w:eastAsia="方正仿宋_GBK"/>
                <w:color w:val="000000"/>
                <w:spacing w:val="-2"/>
                <w:szCs w:val="21"/>
              </w:rPr>
            </w:pPr>
            <w:r>
              <w:rPr>
                <w:rFonts w:hint="eastAsia" w:eastAsia="方正仿宋_GBK"/>
                <w:color w:val="000000"/>
                <w:spacing w:val="-2"/>
                <w:w w:val="80"/>
                <w:szCs w:val="21"/>
              </w:rPr>
              <w:t>（</w:t>
            </w:r>
            <w:r>
              <w:rPr>
                <w:rFonts w:eastAsia="方正仿宋_GBK"/>
                <w:color w:val="000000"/>
                <w:spacing w:val="-2"/>
                <w:w w:val="80"/>
                <w:szCs w:val="21"/>
              </w:rPr>
              <w:t>50</w:t>
            </w:r>
            <w:r>
              <w:rPr>
                <w:rFonts w:hint="eastAsia" w:eastAsia="方正仿宋_GBK"/>
                <w:color w:val="000000"/>
                <w:spacing w:val="-2"/>
                <w:w w:val="80"/>
                <w:szCs w:val="21"/>
              </w:rPr>
              <w:t>分）</w:t>
            </w:r>
          </w:p>
        </w:tc>
        <w:tc>
          <w:tcPr>
            <w:tcW w:w="160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项目后续</w:t>
            </w:r>
          </w:p>
          <w:p>
            <w:pPr>
              <w:jc w:val="center"/>
              <w:rPr>
                <w:rFonts w:eastAsia="方正仿宋_GBK"/>
                <w:color w:val="000000"/>
                <w:spacing w:val="-2"/>
                <w:szCs w:val="21"/>
              </w:rPr>
            </w:pPr>
            <w:r>
              <w:rPr>
                <w:rFonts w:hint="eastAsia" w:eastAsia="方正仿宋_GBK"/>
                <w:color w:val="000000"/>
                <w:spacing w:val="-2"/>
                <w:szCs w:val="21"/>
              </w:rPr>
              <w:t>使用年限</w:t>
            </w:r>
          </w:p>
        </w:tc>
        <w:tc>
          <w:tcPr>
            <w:tcW w:w="446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是否延长使用年限（以原使用年限为标准值）</w:t>
            </w:r>
          </w:p>
        </w:tc>
        <w:tc>
          <w:tcPr>
            <w:tcW w:w="111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6</w:t>
            </w:r>
            <w:r>
              <w:rPr>
                <w:rFonts w:hint="eastAsia" w:eastAsia="方正仿宋_GBK"/>
                <w:color w:val="000000"/>
                <w:spacing w:val="-2"/>
                <w:szCs w:val="21"/>
              </w:rPr>
              <w:t>分</w:t>
            </w:r>
          </w:p>
        </w:tc>
        <w:tc>
          <w:tcPr>
            <w:tcW w:w="1127"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68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60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质量控制</w:t>
            </w:r>
          </w:p>
        </w:tc>
        <w:tc>
          <w:tcPr>
            <w:tcW w:w="446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是否验收合格</w:t>
            </w:r>
          </w:p>
        </w:tc>
        <w:tc>
          <w:tcPr>
            <w:tcW w:w="111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8</w:t>
            </w:r>
            <w:r>
              <w:rPr>
                <w:rFonts w:hint="eastAsia" w:eastAsia="方正仿宋_GBK"/>
                <w:color w:val="000000"/>
                <w:spacing w:val="-2"/>
                <w:szCs w:val="21"/>
              </w:rPr>
              <w:t>分</w:t>
            </w:r>
          </w:p>
        </w:tc>
        <w:tc>
          <w:tcPr>
            <w:tcW w:w="1127"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68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60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工期控制</w:t>
            </w:r>
          </w:p>
        </w:tc>
        <w:tc>
          <w:tcPr>
            <w:tcW w:w="446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是否按期完成</w:t>
            </w:r>
          </w:p>
        </w:tc>
        <w:tc>
          <w:tcPr>
            <w:tcW w:w="111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8</w:t>
            </w:r>
            <w:r>
              <w:rPr>
                <w:rFonts w:hint="eastAsia" w:eastAsia="方正仿宋_GBK"/>
                <w:color w:val="000000"/>
                <w:spacing w:val="-2"/>
                <w:szCs w:val="21"/>
              </w:rPr>
              <w:t>分</w:t>
            </w:r>
          </w:p>
        </w:tc>
        <w:tc>
          <w:tcPr>
            <w:tcW w:w="1127"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68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60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资金成本控制</w:t>
            </w:r>
          </w:p>
        </w:tc>
        <w:tc>
          <w:tcPr>
            <w:tcW w:w="446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是否与预算成本相符</w:t>
            </w:r>
          </w:p>
        </w:tc>
        <w:tc>
          <w:tcPr>
            <w:tcW w:w="111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8</w:t>
            </w:r>
            <w:r>
              <w:rPr>
                <w:rFonts w:hint="eastAsia" w:eastAsia="方正仿宋_GBK"/>
                <w:color w:val="000000"/>
                <w:spacing w:val="-2"/>
                <w:szCs w:val="21"/>
              </w:rPr>
              <w:t>分</w:t>
            </w:r>
          </w:p>
        </w:tc>
        <w:tc>
          <w:tcPr>
            <w:tcW w:w="1127"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68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60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省级财政</w:t>
            </w:r>
          </w:p>
          <w:p>
            <w:pPr>
              <w:jc w:val="center"/>
              <w:rPr>
                <w:rFonts w:eastAsia="方正仿宋_GBK"/>
                <w:color w:val="000000"/>
                <w:spacing w:val="-2"/>
                <w:szCs w:val="21"/>
              </w:rPr>
            </w:pPr>
            <w:r>
              <w:rPr>
                <w:rFonts w:hint="eastAsia" w:eastAsia="方正仿宋_GBK"/>
                <w:color w:val="000000"/>
                <w:spacing w:val="-2"/>
                <w:szCs w:val="21"/>
              </w:rPr>
              <w:t>投入乘数</w:t>
            </w:r>
          </w:p>
        </w:tc>
        <w:tc>
          <w:tcPr>
            <w:tcW w:w="446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以（预算投入资金</w:t>
            </w:r>
            <w:r>
              <w:rPr>
                <w:rFonts w:eastAsia="方正仿宋_GBK"/>
                <w:color w:val="000000"/>
                <w:spacing w:val="-2"/>
                <w:szCs w:val="21"/>
              </w:rPr>
              <w:t>÷</w:t>
            </w:r>
            <w:r>
              <w:rPr>
                <w:rFonts w:hint="eastAsia" w:eastAsia="方正仿宋_GBK"/>
                <w:color w:val="000000"/>
                <w:spacing w:val="-2"/>
                <w:szCs w:val="21"/>
              </w:rPr>
              <w:t>省级财政资金</w:t>
            </w:r>
            <w:r>
              <w:rPr>
                <w:rFonts w:hint="eastAsia" w:ascii="Times New Roman" w:hAnsi="Times New Roman"/>
                <w:color w:val="000000"/>
                <w:spacing w:val="-2"/>
                <w:szCs w:val="21"/>
              </w:rPr>
              <w:t>）≥</w:t>
            </w:r>
            <w:r>
              <w:rPr>
                <w:rFonts w:eastAsia="方正仿宋_GBK"/>
                <w:color w:val="000000"/>
                <w:spacing w:val="-2"/>
                <w:szCs w:val="21"/>
              </w:rPr>
              <w:t>4</w:t>
            </w:r>
          </w:p>
          <w:p>
            <w:pPr>
              <w:jc w:val="center"/>
              <w:rPr>
                <w:rFonts w:eastAsia="方正仿宋_GBK"/>
                <w:color w:val="000000"/>
                <w:spacing w:val="-2"/>
                <w:szCs w:val="21"/>
              </w:rPr>
            </w:pPr>
            <w:r>
              <w:rPr>
                <w:rFonts w:hint="eastAsia" w:eastAsia="方正仿宋_GBK"/>
                <w:color w:val="000000"/>
                <w:spacing w:val="-2"/>
                <w:szCs w:val="21"/>
              </w:rPr>
              <w:t>为标准值</w:t>
            </w:r>
          </w:p>
        </w:tc>
        <w:tc>
          <w:tcPr>
            <w:tcW w:w="111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10</w:t>
            </w:r>
            <w:r>
              <w:rPr>
                <w:rFonts w:hint="eastAsia" w:eastAsia="方正仿宋_GBK"/>
                <w:color w:val="000000"/>
                <w:spacing w:val="-2"/>
                <w:szCs w:val="21"/>
              </w:rPr>
              <w:t>分</w:t>
            </w:r>
          </w:p>
        </w:tc>
        <w:tc>
          <w:tcPr>
            <w:tcW w:w="1127"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68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60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示范效应</w:t>
            </w:r>
          </w:p>
        </w:tc>
        <w:tc>
          <w:tcPr>
            <w:tcW w:w="446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加固项目在区域内的推广意义</w:t>
            </w:r>
          </w:p>
          <w:p>
            <w:pPr>
              <w:jc w:val="center"/>
              <w:rPr>
                <w:rFonts w:eastAsia="方正仿宋_GBK"/>
                <w:color w:val="000000"/>
                <w:spacing w:val="-2"/>
                <w:szCs w:val="21"/>
              </w:rPr>
            </w:pPr>
            <w:r>
              <w:rPr>
                <w:rFonts w:hint="eastAsia" w:eastAsia="方正仿宋_GBK"/>
                <w:color w:val="000000"/>
                <w:spacing w:val="-2"/>
                <w:szCs w:val="21"/>
              </w:rPr>
              <w:t>（项目实施单位自述）</w:t>
            </w:r>
          </w:p>
        </w:tc>
        <w:tc>
          <w:tcPr>
            <w:tcW w:w="111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10</w:t>
            </w:r>
            <w:r>
              <w:rPr>
                <w:rFonts w:hint="eastAsia" w:eastAsia="方正仿宋_GBK"/>
                <w:color w:val="000000"/>
                <w:spacing w:val="-2"/>
                <w:szCs w:val="21"/>
              </w:rPr>
              <w:t>分</w:t>
            </w:r>
          </w:p>
        </w:tc>
        <w:tc>
          <w:tcPr>
            <w:tcW w:w="1127"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680" w:type="dxa"/>
            <w:tcBorders>
              <w:top w:val="single" w:color="auto" w:sz="4" w:space="0"/>
              <w:left w:val="single" w:color="auto" w:sz="8" w:space="0"/>
              <w:bottom w:val="single" w:color="auto" w:sz="8"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加</w:t>
            </w:r>
          </w:p>
          <w:p>
            <w:pPr>
              <w:jc w:val="center"/>
              <w:rPr>
                <w:rFonts w:eastAsia="方正仿宋_GBK"/>
                <w:color w:val="000000"/>
                <w:spacing w:val="-2"/>
                <w:szCs w:val="21"/>
              </w:rPr>
            </w:pPr>
            <w:r>
              <w:rPr>
                <w:rFonts w:hint="eastAsia" w:eastAsia="方正仿宋_GBK"/>
                <w:color w:val="000000"/>
                <w:spacing w:val="-2"/>
                <w:szCs w:val="21"/>
              </w:rPr>
              <w:t>分</w:t>
            </w:r>
          </w:p>
          <w:p>
            <w:pPr>
              <w:jc w:val="center"/>
              <w:rPr>
                <w:rFonts w:eastAsia="方正仿宋_GBK"/>
                <w:color w:val="000000"/>
                <w:spacing w:val="-2"/>
                <w:szCs w:val="21"/>
              </w:rPr>
            </w:pPr>
            <w:r>
              <w:rPr>
                <w:rFonts w:hint="eastAsia" w:eastAsia="方正仿宋_GBK"/>
                <w:color w:val="000000"/>
                <w:spacing w:val="-2"/>
                <w:szCs w:val="21"/>
              </w:rPr>
              <w:t>项</w:t>
            </w:r>
          </w:p>
        </w:tc>
        <w:tc>
          <w:tcPr>
            <w:tcW w:w="1600" w:type="dxa"/>
            <w:tcBorders>
              <w:top w:val="single" w:color="auto" w:sz="4" w:space="0"/>
              <w:left w:val="single" w:color="auto" w:sz="4" w:space="0"/>
              <w:bottom w:val="single" w:color="auto" w:sz="8"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新技术</w:t>
            </w:r>
          </w:p>
        </w:tc>
        <w:tc>
          <w:tcPr>
            <w:tcW w:w="4460" w:type="dxa"/>
            <w:gridSpan w:val="3"/>
            <w:tcBorders>
              <w:top w:val="single" w:color="auto" w:sz="4" w:space="0"/>
              <w:left w:val="single" w:color="auto" w:sz="4" w:space="0"/>
              <w:bottom w:val="single" w:color="auto" w:sz="8"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采用隔震减震技术予以加分</w:t>
            </w:r>
          </w:p>
        </w:tc>
        <w:tc>
          <w:tcPr>
            <w:tcW w:w="1118" w:type="dxa"/>
            <w:tcBorders>
              <w:top w:val="single" w:color="auto" w:sz="4" w:space="0"/>
              <w:left w:val="single" w:color="auto" w:sz="4" w:space="0"/>
              <w:bottom w:val="single" w:color="auto" w:sz="8"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5</w:t>
            </w:r>
            <w:r>
              <w:rPr>
                <w:rFonts w:hint="eastAsia" w:eastAsia="方正仿宋_GBK"/>
                <w:color w:val="000000"/>
                <w:spacing w:val="-2"/>
                <w:szCs w:val="21"/>
              </w:rPr>
              <w:t>分</w:t>
            </w:r>
          </w:p>
        </w:tc>
        <w:tc>
          <w:tcPr>
            <w:tcW w:w="1127" w:type="dxa"/>
            <w:tcBorders>
              <w:top w:val="single" w:color="auto" w:sz="4" w:space="0"/>
              <w:left w:val="single" w:color="auto" w:sz="4" w:space="0"/>
              <w:bottom w:val="single" w:color="auto" w:sz="8" w:space="0"/>
              <w:right w:val="single" w:color="auto" w:sz="8" w:space="0"/>
            </w:tcBorders>
            <w:noWrap w:val="0"/>
            <w:vAlign w:val="center"/>
          </w:tcPr>
          <w:p>
            <w:pPr>
              <w:jc w:val="center"/>
              <w:rPr>
                <w:rFonts w:eastAsia="方正仿宋_GBK"/>
                <w:color w:val="000000"/>
                <w:spacing w:val="-2"/>
                <w:szCs w:val="21"/>
              </w:rPr>
            </w:pPr>
          </w:p>
        </w:tc>
      </w:tr>
    </w:tbl>
    <w:p>
      <w:pPr>
        <w:spacing w:before="120" w:beforeLines="50"/>
        <w:jc w:val="left"/>
        <w:rPr>
          <w:rFonts w:hint="eastAsia" w:eastAsia="方正仿宋_GBK"/>
          <w:color w:val="000000"/>
          <w:spacing w:val="-2"/>
          <w:szCs w:val="21"/>
        </w:rPr>
      </w:pPr>
      <w:r>
        <w:rPr>
          <w:rFonts w:hint="eastAsia" w:eastAsia="方正仿宋_GBK"/>
          <w:color w:val="000000"/>
          <w:spacing w:val="-2"/>
          <w:szCs w:val="21"/>
        </w:rPr>
        <w:t>（注：基本情况由项目实施单位填写）</w:t>
      </w:r>
    </w:p>
    <w:p>
      <w:pPr>
        <w:spacing w:line="560" w:lineRule="exact"/>
        <w:jc w:val="center"/>
        <w:rPr>
          <w:rFonts w:ascii="Times New Roman" w:eastAsia="方正黑体_GBK"/>
          <w:color w:val="000000"/>
          <w:spacing w:val="-2"/>
          <w:sz w:val="28"/>
          <w:szCs w:val="28"/>
        </w:rPr>
      </w:pPr>
      <w:r>
        <w:rPr>
          <w:rFonts w:hint="eastAsia" w:ascii="Times New Roman" w:eastAsia="方正黑体_GBK"/>
          <w:color w:val="000000"/>
          <w:spacing w:val="-2"/>
          <w:sz w:val="28"/>
          <w:szCs w:val="28"/>
        </w:rPr>
        <w:br w:type="column"/>
      </w:r>
      <w:r>
        <w:rPr>
          <w:rFonts w:hint="eastAsia" w:ascii="Times New Roman" w:eastAsia="方正黑体_GBK"/>
          <w:color w:val="000000"/>
          <w:spacing w:val="-2"/>
          <w:sz w:val="28"/>
          <w:szCs w:val="28"/>
        </w:rPr>
        <w:t>绩效自评价表四（农村抗震防灾推进项目）</w:t>
      </w:r>
    </w:p>
    <w:tbl>
      <w:tblPr>
        <w:tblStyle w:val="12"/>
        <w:tblW w:w="0" w:type="auto"/>
        <w:tblInd w:w="8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770"/>
        <w:gridCol w:w="1259"/>
        <w:gridCol w:w="1540"/>
        <w:gridCol w:w="1399"/>
        <w:gridCol w:w="1124"/>
        <w:gridCol w:w="9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2521" w:type="dxa"/>
            <w:gridSpan w:val="2"/>
            <w:tcBorders>
              <w:top w:val="single" w:color="auto" w:sz="8" w:space="0"/>
              <w:left w:val="single" w:color="auto" w:sz="8" w:space="0"/>
              <w:bottom w:val="single" w:color="auto" w:sz="4" w:space="0"/>
              <w:right w:val="single" w:color="auto" w:sz="4" w:space="0"/>
            </w:tcBorders>
            <w:noWrap w:val="0"/>
            <w:vAlign w:val="center"/>
          </w:tcPr>
          <w:p>
            <w:pPr>
              <w:jc w:val="center"/>
              <w:rPr>
                <w:rFonts w:ascii="Times New Roman" w:eastAsia="方正黑体_GBK"/>
                <w:color w:val="000000"/>
                <w:spacing w:val="-2"/>
                <w:szCs w:val="21"/>
              </w:rPr>
            </w:pPr>
            <w:r>
              <w:rPr>
                <w:rFonts w:hint="eastAsia" w:ascii="Times New Roman" w:eastAsia="方正黑体_GBK"/>
                <w:color w:val="000000"/>
                <w:spacing w:val="-2"/>
                <w:szCs w:val="21"/>
              </w:rPr>
              <w:t>自评价内容</w:t>
            </w:r>
          </w:p>
        </w:tc>
        <w:tc>
          <w:tcPr>
            <w:tcW w:w="4198" w:type="dxa"/>
            <w:gridSpan w:val="3"/>
            <w:tcBorders>
              <w:top w:val="single" w:color="auto" w:sz="8" w:space="0"/>
              <w:left w:val="single" w:color="auto" w:sz="4" w:space="0"/>
              <w:bottom w:val="single" w:color="auto" w:sz="4" w:space="0"/>
              <w:right w:val="single" w:color="auto" w:sz="4" w:space="0"/>
            </w:tcBorders>
            <w:noWrap w:val="0"/>
            <w:vAlign w:val="center"/>
          </w:tcPr>
          <w:p>
            <w:pPr>
              <w:jc w:val="center"/>
              <w:rPr>
                <w:rFonts w:ascii="Times New Roman" w:eastAsia="方正黑体_GBK"/>
                <w:color w:val="000000"/>
                <w:spacing w:val="-2"/>
                <w:szCs w:val="21"/>
              </w:rPr>
            </w:pPr>
            <w:r>
              <w:rPr>
                <w:rFonts w:hint="eastAsia" w:ascii="Times New Roman" w:eastAsia="方正黑体_GBK"/>
                <w:color w:val="000000"/>
                <w:spacing w:val="-2"/>
                <w:szCs w:val="21"/>
              </w:rPr>
              <w:t>自评价指标</w:t>
            </w:r>
          </w:p>
        </w:tc>
        <w:tc>
          <w:tcPr>
            <w:tcW w:w="1124" w:type="dxa"/>
            <w:tcBorders>
              <w:top w:val="single" w:color="auto" w:sz="8" w:space="0"/>
              <w:left w:val="single" w:color="auto" w:sz="4" w:space="0"/>
              <w:bottom w:val="single" w:color="auto" w:sz="4" w:space="0"/>
              <w:right w:val="single" w:color="auto" w:sz="4" w:space="0"/>
            </w:tcBorders>
            <w:noWrap w:val="0"/>
            <w:vAlign w:val="center"/>
          </w:tcPr>
          <w:p>
            <w:pPr>
              <w:jc w:val="center"/>
              <w:rPr>
                <w:rFonts w:ascii="Times New Roman" w:eastAsia="方正黑体_GBK"/>
                <w:color w:val="000000"/>
                <w:spacing w:val="-2"/>
                <w:szCs w:val="21"/>
              </w:rPr>
            </w:pPr>
            <w:r>
              <w:rPr>
                <w:rFonts w:hint="eastAsia" w:ascii="Times New Roman" w:eastAsia="方正黑体_GBK"/>
                <w:color w:val="000000"/>
                <w:spacing w:val="-2"/>
                <w:szCs w:val="21"/>
              </w:rPr>
              <w:t>分值</w:t>
            </w:r>
          </w:p>
        </w:tc>
        <w:tc>
          <w:tcPr>
            <w:tcW w:w="917" w:type="dxa"/>
            <w:tcBorders>
              <w:top w:val="single" w:color="auto" w:sz="8" w:space="0"/>
              <w:left w:val="single" w:color="auto" w:sz="4" w:space="0"/>
              <w:bottom w:val="single" w:color="auto" w:sz="4" w:space="0"/>
              <w:right w:val="single" w:color="auto" w:sz="8" w:space="0"/>
            </w:tcBorders>
            <w:noWrap w:val="0"/>
            <w:vAlign w:val="center"/>
          </w:tcPr>
          <w:p>
            <w:pPr>
              <w:jc w:val="center"/>
              <w:rPr>
                <w:rFonts w:ascii="Times New Roman" w:eastAsia="方正黑体_GBK"/>
                <w:color w:val="000000"/>
                <w:spacing w:val="-2"/>
                <w:szCs w:val="21"/>
              </w:rPr>
            </w:pPr>
            <w:r>
              <w:rPr>
                <w:rFonts w:hint="eastAsia" w:ascii="Times New Roman" w:eastAsia="方正黑体_GBK"/>
                <w:color w:val="000000"/>
                <w:spacing w:val="-2"/>
                <w:szCs w:val="21"/>
              </w:rPr>
              <w:t>得分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51" w:type="dxa"/>
            <w:vMerge w:val="restart"/>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基本情况</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项目区内</w:t>
            </w:r>
          </w:p>
          <w:p>
            <w:pPr>
              <w:jc w:val="center"/>
              <w:rPr>
                <w:rFonts w:eastAsia="方正仿宋_GBK"/>
                <w:color w:val="000000"/>
                <w:spacing w:val="-2"/>
                <w:szCs w:val="21"/>
              </w:rPr>
            </w:pPr>
            <w:r>
              <w:rPr>
                <w:rFonts w:hint="eastAsia" w:eastAsia="方正仿宋_GBK"/>
                <w:color w:val="000000"/>
                <w:spacing w:val="-2"/>
                <w:szCs w:val="21"/>
              </w:rPr>
              <w:t>房屋建筑面积</w:t>
            </w:r>
          </w:p>
        </w:tc>
        <w:tc>
          <w:tcPr>
            <w:tcW w:w="1259"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154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试点项目</w:t>
            </w:r>
          </w:p>
          <w:p>
            <w:pPr>
              <w:jc w:val="center"/>
              <w:rPr>
                <w:rFonts w:eastAsia="方正仿宋_GBK"/>
                <w:color w:val="000000"/>
                <w:spacing w:val="-2"/>
                <w:szCs w:val="21"/>
              </w:rPr>
            </w:pPr>
            <w:r>
              <w:rPr>
                <w:rFonts w:hint="eastAsia" w:eastAsia="方正仿宋_GBK"/>
                <w:color w:val="000000"/>
                <w:spacing w:val="-2"/>
                <w:szCs w:val="21"/>
              </w:rPr>
              <w:t>建筑面积</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1124"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w:t>
            </w:r>
          </w:p>
        </w:tc>
        <w:tc>
          <w:tcPr>
            <w:tcW w:w="917"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r>
              <w:rPr>
                <w:rFonts w:eastAsia="方正仿宋_GBK"/>
                <w:color w:val="000000"/>
                <w:spacing w:val="-2"/>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51"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77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项目区内农房</w:t>
            </w:r>
          </w:p>
          <w:p>
            <w:pPr>
              <w:jc w:val="center"/>
              <w:rPr>
                <w:rFonts w:eastAsia="方正仿宋_GBK"/>
                <w:color w:val="000000"/>
                <w:spacing w:val="-2"/>
                <w:szCs w:val="21"/>
              </w:rPr>
            </w:pPr>
            <w:r>
              <w:rPr>
                <w:rFonts w:hint="eastAsia" w:eastAsia="方正仿宋_GBK"/>
                <w:color w:val="000000"/>
                <w:spacing w:val="-2"/>
                <w:szCs w:val="21"/>
              </w:rPr>
              <w:t>原抗震设防率</w:t>
            </w:r>
          </w:p>
        </w:tc>
        <w:tc>
          <w:tcPr>
            <w:tcW w:w="1259"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154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项目区内农房</w:t>
            </w:r>
          </w:p>
          <w:p>
            <w:pPr>
              <w:jc w:val="center"/>
              <w:rPr>
                <w:rFonts w:eastAsia="方正仿宋_GBK"/>
                <w:color w:val="000000"/>
                <w:spacing w:val="-2"/>
                <w:szCs w:val="21"/>
              </w:rPr>
            </w:pPr>
            <w:r>
              <w:rPr>
                <w:rFonts w:hint="eastAsia" w:eastAsia="方正仿宋_GBK"/>
                <w:color w:val="000000"/>
                <w:spacing w:val="-2"/>
                <w:szCs w:val="21"/>
              </w:rPr>
              <w:t>现抗震设防率</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1124"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w:t>
            </w:r>
          </w:p>
        </w:tc>
        <w:tc>
          <w:tcPr>
            <w:tcW w:w="917"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r>
              <w:rPr>
                <w:rFonts w:eastAsia="方正仿宋_GBK"/>
                <w:color w:val="000000"/>
                <w:spacing w:val="-2"/>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751" w:type="dxa"/>
            <w:vMerge w:val="restart"/>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实</w:t>
            </w:r>
          </w:p>
          <w:p>
            <w:pPr>
              <w:jc w:val="center"/>
              <w:rPr>
                <w:rFonts w:eastAsia="方正仿宋_GBK"/>
                <w:color w:val="000000"/>
                <w:spacing w:val="-2"/>
                <w:szCs w:val="21"/>
              </w:rPr>
            </w:pPr>
            <w:r>
              <w:rPr>
                <w:rFonts w:hint="eastAsia" w:eastAsia="方正仿宋_GBK"/>
                <w:color w:val="000000"/>
                <w:spacing w:val="-2"/>
                <w:szCs w:val="21"/>
              </w:rPr>
              <w:t>施</w:t>
            </w:r>
          </w:p>
          <w:p>
            <w:pPr>
              <w:jc w:val="center"/>
              <w:rPr>
                <w:rFonts w:eastAsia="方正仿宋_GBK"/>
                <w:color w:val="000000"/>
                <w:spacing w:val="-2"/>
                <w:szCs w:val="21"/>
              </w:rPr>
            </w:pPr>
            <w:r>
              <w:rPr>
                <w:rFonts w:hint="eastAsia" w:eastAsia="方正仿宋_GBK"/>
                <w:color w:val="000000"/>
                <w:spacing w:val="-2"/>
                <w:szCs w:val="21"/>
              </w:rPr>
              <w:t>结</w:t>
            </w:r>
          </w:p>
          <w:p>
            <w:pPr>
              <w:jc w:val="center"/>
              <w:rPr>
                <w:rFonts w:eastAsia="方正仿宋_GBK"/>
                <w:color w:val="000000"/>
                <w:spacing w:val="-2"/>
                <w:szCs w:val="21"/>
              </w:rPr>
            </w:pPr>
            <w:r>
              <w:rPr>
                <w:rFonts w:hint="eastAsia" w:eastAsia="方正仿宋_GBK"/>
                <w:color w:val="000000"/>
                <w:spacing w:val="-2"/>
                <w:szCs w:val="21"/>
              </w:rPr>
              <w:t>果</w:t>
            </w:r>
          </w:p>
          <w:p>
            <w:pPr>
              <w:jc w:val="center"/>
              <w:rPr>
                <w:rFonts w:eastAsia="方正仿宋_GBK"/>
                <w:color w:val="000000"/>
                <w:spacing w:val="-2"/>
                <w:szCs w:val="21"/>
              </w:rPr>
            </w:pPr>
            <w:r>
              <w:rPr>
                <w:rFonts w:hint="eastAsia" w:eastAsia="方正仿宋_GBK"/>
                <w:color w:val="000000"/>
                <w:spacing w:val="-2"/>
                <w:szCs w:val="21"/>
              </w:rPr>
              <w:t>评</w:t>
            </w:r>
          </w:p>
          <w:p>
            <w:pPr>
              <w:jc w:val="center"/>
              <w:rPr>
                <w:rFonts w:eastAsia="方正仿宋_GBK"/>
                <w:color w:val="000000"/>
                <w:spacing w:val="-2"/>
                <w:szCs w:val="21"/>
              </w:rPr>
            </w:pPr>
            <w:r>
              <w:rPr>
                <w:rFonts w:hint="eastAsia" w:eastAsia="方正仿宋_GBK"/>
                <w:color w:val="000000"/>
                <w:spacing w:val="-2"/>
                <w:szCs w:val="21"/>
              </w:rPr>
              <w:t>价</w:t>
            </w:r>
          </w:p>
          <w:p>
            <w:pPr>
              <w:jc w:val="center"/>
              <w:rPr>
                <w:rFonts w:eastAsia="方正仿宋_GBK"/>
                <w:color w:val="000000"/>
                <w:spacing w:val="-2"/>
                <w:szCs w:val="21"/>
              </w:rPr>
            </w:pPr>
            <w:r>
              <w:rPr>
                <w:rFonts w:hint="eastAsia" w:eastAsia="方正仿宋_GBK"/>
                <w:color w:val="000000"/>
                <w:spacing w:val="-2"/>
                <w:szCs w:val="21"/>
              </w:rPr>
              <w:t>（</w:t>
            </w:r>
            <w:r>
              <w:rPr>
                <w:rFonts w:eastAsia="方正仿宋_GBK"/>
                <w:color w:val="000000"/>
                <w:spacing w:val="-2"/>
                <w:szCs w:val="21"/>
              </w:rPr>
              <w:t>50</w:t>
            </w:r>
            <w:r>
              <w:rPr>
                <w:rFonts w:hint="eastAsia" w:eastAsia="方正仿宋_GBK"/>
                <w:color w:val="000000"/>
                <w:spacing w:val="-2"/>
                <w:szCs w:val="21"/>
              </w:rPr>
              <w:t>分）</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季报制度</w:t>
            </w:r>
          </w:p>
        </w:tc>
        <w:tc>
          <w:tcPr>
            <w:tcW w:w="4198"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是否按季度在网上填报项目实施管理情况</w:t>
            </w:r>
          </w:p>
        </w:tc>
        <w:tc>
          <w:tcPr>
            <w:tcW w:w="1124"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10</w:t>
            </w:r>
            <w:r>
              <w:rPr>
                <w:rFonts w:hint="eastAsia" w:eastAsia="方正仿宋_GBK"/>
                <w:color w:val="000000"/>
                <w:spacing w:val="-2"/>
                <w:szCs w:val="21"/>
              </w:rPr>
              <w:t>分</w:t>
            </w:r>
          </w:p>
        </w:tc>
        <w:tc>
          <w:tcPr>
            <w:tcW w:w="917"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751"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770"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农村抗震</w:t>
            </w:r>
          </w:p>
          <w:p>
            <w:pPr>
              <w:jc w:val="center"/>
              <w:rPr>
                <w:rFonts w:eastAsia="方正仿宋_GBK"/>
                <w:color w:val="000000"/>
                <w:spacing w:val="-2"/>
                <w:szCs w:val="21"/>
              </w:rPr>
            </w:pPr>
            <w:r>
              <w:rPr>
                <w:rFonts w:hint="eastAsia" w:eastAsia="方正仿宋_GBK"/>
                <w:color w:val="000000"/>
                <w:spacing w:val="-2"/>
                <w:szCs w:val="21"/>
              </w:rPr>
              <w:t>设防管理</w:t>
            </w:r>
          </w:p>
        </w:tc>
        <w:tc>
          <w:tcPr>
            <w:tcW w:w="4198"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由相应设计资质的单位、个人设计</w:t>
            </w:r>
          </w:p>
          <w:p>
            <w:pPr>
              <w:jc w:val="center"/>
              <w:rPr>
                <w:rFonts w:eastAsia="方正仿宋_GBK"/>
                <w:color w:val="000000"/>
                <w:spacing w:val="-2"/>
                <w:szCs w:val="21"/>
              </w:rPr>
            </w:pPr>
            <w:r>
              <w:rPr>
                <w:rFonts w:hint="eastAsia" w:eastAsia="方正仿宋_GBK"/>
                <w:color w:val="000000"/>
                <w:spacing w:val="-2"/>
                <w:szCs w:val="21"/>
              </w:rPr>
              <w:t>或者选用通用图集</w:t>
            </w:r>
          </w:p>
        </w:tc>
        <w:tc>
          <w:tcPr>
            <w:tcW w:w="1124"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10</w:t>
            </w:r>
            <w:r>
              <w:rPr>
                <w:rFonts w:hint="eastAsia" w:eastAsia="方正仿宋_GBK"/>
                <w:color w:val="000000"/>
                <w:spacing w:val="-2"/>
                <w:szCs w:val="21"/>
              </w:rPr>
              <w:t>分</w:t>
            </w:r>
          </w:p>
        </w:tc>
        <w:tc>
          <w:tcPr>
            <w:tcW w:w="917"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751"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77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4198"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对施工企业和个人工匠进行培训</w:t>
            </w:r>
          </w:p>
        </w:tc>
        <w:tc>
          <w:tcPr>
            <w:tcW w:w="1124"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10</w:t>
            </w:r>
            <w:r>
              <w:rPr>
                <w:rFonts w:hint="eastAsia" w:eastAsia="方正仿宋_GBK"/>
                <w:color w:val="000000"/>
                <w:spacing w:val="-2"/>
                <w:szCs w:val="21"/>
              </w:rPr>
              <w:t>分</w:t>
            </w:r>
          </w:p>
        </w:tc>
        <w:tc>
          <w:tcPr>
            <w:tcW w:w="917"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751"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77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4198"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村镇建设部门进行质量监督管理</w:t>
            </w:r>
          </w:p>
        </w:tc>
        <w:tc>
          <w:tcPr>
            <w:tcW w:w="1124"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10</w:t>
            </w:r>
            <w:r>
              <w:rPr>
                <w:rFonts w:hint="eastAsia" w:eastAsia="方正仿宋_GBK"/>
                <w:color w:val="000000"/>
                <w:spacing w:val="-2"/>
                <w:szCs w:val="21"/>
              </w:rPr>
              <w:t>分</w:t>
            </w:r>
          </w:p>
        </w:tc>
        <w:tc>
          <w:tcPr>
            <w:tcW w:w="917"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51"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77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4198"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项目验收合格</w:t>
            </w:r>
          </w:p>
        </w:tc>
        <w:tc>
          <w:tcPr>
            <w:tcW w:w="1124"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10</w:t>
            </w:r>
            <w:r>
              <w:rPr>
                <w:rFonts w:hint="eastAsia" w:eastAsia="方正仿宋_GBK"/>
                <w:color w:val="000000"/>
                <w:spacing w:val="-2"/>
                <w:szCs w:val="21"/>
              </w:rPr>
              <w:t>分</w:t>
            </w:r>
          </w:p>
        </w:tc>
        <w:tc>
          <w:tcPr>
            <w:tcW w:w="917"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751" w:type="dxa"/>
            <w:vMerge w:val="restart"/>
            <w:tcBorders>
              <w:top w:val="single" w:color="auto" w:sz="4" w:space="0"/>
              <w:left w:val="single" w:color="auto" w:sz="8" w:space="0"/>
              <w:bottom w:val="single" w:color="auto" w:sz="8"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实</w:t>
            </w:r>
          </w:p>
          <w:p>
            <w:pPr>
              <w:jc w:val="center"/>
              <w:rPr>
                <w:rFonts w:eastAsia="方正仿宋_GBK"/>
                <w:color w:val="000000"/>
                <w:spacing w:val="-2"/>
                <w:szCs w:val="21"/>
              </w:rPr>
            </w:pPr>
            <w:r>
              <w:rPr>
                <w:rFonts w:hint="eastAsia" w:eastAsia="方正仿宋_GBK"/>
                <w:color w:val="000000"/>
                <w:spacing w:val="-2"/>
                <w:szCs w:val="21"/>
              </w:rPr>
              <w:t>施</w:t>
            </w:r>
          </w:p>
          <w:p>
            <w:pPr>
              <w:jc w:val="center"/>
              <w:rPr>
                <w:rFonts w:eastAsia="方正仿宋_GBK"/>
                <w:color w:val="000000"/>
                <w:spacing w:val="-2"/>
                <w:szCs w:val="21"/>
              </w:rPr>
            </w:pPr>
            <w:r>
              <w:rPr>
                <w:rFonts w:hint="eastAsia" w:eastAsia="方正仿宋_GBK"/>
                <w:color w:val="000000"/>
                <w:spacing w:val="-2"/>
                <w:szCs w:val="21"/>
              </w:rPr>
              <w:t>效</w:t>
            </w:r>
          </w:p>
          <w:p>
            <w:pPr>
              <w:jc w:val="center"/>
              <w:rPr>
                <w:rFonts w:eastAsia="方正仿宋_GBK"/>
                <w:color w:val="000000"/>
                <w:spacing w:val="-2"/>
                <w:szCs w:val="21"/>
              </w:rPr>
            </w:pPr>
            <w:r>
              <w:rPr>
                <w:rFonts w:hint="eastAsia" w:eastAsia="方正仿宋_GBK"/>
                <w:color w:val="000000"/>
                <w:spacing w:val="-2"/>
                <w:szCs w:val="21"/>
              </w:rPr>
              <w:t>果</w:t>
            </w:r>
          </w:p>
          <w:p>
            <w:pPr>
              <w:jc w:val="center"/>
              <w:rPr>
                <w:rFonts w:eastAsia="方正仿宋_GBK"/>
                <w:color w:val="000000"/>
                <w:spacing w:val="-2"/>
                <w:szCs w:val="21"/>
              </w:rPr>
            </w:pPr>
            <w:r>
              <w:rPr>
                <w:rFonts w:hint="eastAsia" w:eastAsia="方正仿宋_GBK"/>
                <w:color w:val="000000"/>
                <w:spacing w:val="-2"/>
                <w:szCs w:val="21"/>
              </w:rPr>
              <w:t>评</w:t>
            </w:r>
          </w:p>
          <w:p>
            <w:pPr>
              <w:jc w:val="center"/>
              <w:rPr>
                <w:rFonts w:eastAsia="方正仿宋_GBK"/>
                <w:color w:val="000000"/>
                <w:spacing w:val="-2"/>
                <w:szCs w:val="21"/>
              </w:rPr>
            </w:pPr>
            <w:r>
              <w:rPr>
                <w:rFonts w:hint="eastAsia" w:eastAsia="方正仿宋_GBK"/>
                <w:color w:val="000000"/>
                <w:spacing w:val="-2"/>
                <w:szCs w:val="21"/>
              </w:rPr>
              <w:t>价</w:t>
            </w:r>
          </w:p>
          <w:p>
            <w:pPr>
              <w:jc w:val="center"/>
              <w:rPr>
                <w:rFonts w:eastAsia="方正仿宋_GBK"/>
                <w:color w:val="000000"/>
                <w:spacing w:val="-2"/>
                <w:szCs w:val="21"/>
              </w:rPr>
            </w:pPr>
            <w:r>
              <w:rPr>
                <w:rFonts w:hint="eastAsia" w:eastAsia="方正仿宋_GBK"/>
                <w:color w:val="000000"/>
                <w:spacing w:val="-2"/>
                <w:szCs w:val="21"/>
              </w:rPr>
              <w:t>（</w:t>
            </w:r>
            <w:r>
              <w:rPr>
                <w:rFonts w:eastAsia="方正仿宋_GBK"/>
                <w:color w:val="000000"/>
                <w:spacing w:val="-2"/>
                <w:szCs w:val="21"/>
              </w:rPr>
              <w:t>50</w:t>
            </w:r>
            <w:r>
              <w:rPr>
                <w:rFonts w:hint="eastAsia" w:eastAsia="方正仿宋_GBK"/>
                <w:color w:val="000000"/>
                <w:spacing w:val="-2"/>
                <w:szCs w:val="21"/>
              </w:rPr>
              <w:t>分）</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项目区内抗震设防覆盖程度</w:t>
            </w:r>
          </w:p>
        </w:tc>
        <w:tc>
          <w:tcPr>
            <w:tcW w:w="4198"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抗震设防率比项目实施前提高幅度</w:t>
            </w:r>
            <w:r>
              <w:rPr>
                <w:rFonts w:eastAsia="方正仿宋_GBK"/>
                <w:color w:val="000000"/>
                <w:spacing w:val="-2"/>
                <w:szCs w:val="21"/>
              </w:rPr>
              <w:t xml:space="preserve">≥10% </w:t>
            </w:r>
          </w:p>
        </w:tc>
        <w:tc>
          <w:tcPr>
            <w:tcW w:w="1124"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10</w:t>
            </w:r>
            <w:r>
              <w:rPr>
                <w:rFonts w:hint="eastAsia" w:eastAsia="方正仿宋_GBK"/>
                <w:color w:val="000000"/>
                <w:spacing w:val="-2"/>
                <w:szCs w:val="21"/>
              </w:rPr>
              <w:t>分</w:t>
            </w:r>
          </w:p>
        </w:tc>
        <w:tc>
          <w:tcPr>
            <w:tcW w:w="917"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751" w:type="dxa"/>
            <w:vMerge w:val="continue"/>
            <w:tcBorders>
              <w:top w:val="single" w:color="auto" w:sz="4" w:space="0"/>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szCs w:val="21"/>
              </w:rPr>
            </w:pPr>
          </w:p>
        </w:tc>
        <w:tc>
          <w:tcPr>
            <w:tcW w:w="177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工期控制</w:t>
            </w:r>
          </w:p>
        </w:tc>
        <w:tc>
          <w:tcPr>
            <w:tcW w:w="4198"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是否按期完成</w:t>
            </w:r>
          </w:p>
        </w:tc>
        <w:tc>
          <w:tcPr>
            <w:tcW w:w="1124"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5</w:t>
            </w:r>
            <w:r>
              <w:rPr>
                <w:rFonts w:hint="eastAsia" w:eastAsia="方正仿宋_GBK"/>
                <w:color w:val="000000"/>
                <w:spacing w:val="-2"/>
                <w:szCs w:val="21"/>
              </w:rPr>
              <w:t>分</w:t>
            </w:r>
          </w:p>
        </w:tc>
        <w:tc>
          <w:tcPr>
            <w:tcW w:w="917"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751" w:type="dxa"/>
            <w:vMerge w:val="continue"/>
            <w:tcBorders>
              <w:top w:val="single" w:color="auto" w:sz="4" w:space="0"/>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szCs w:val="21"/>
              </w:rPr>
            </w:pPr>
          </w:p>
        </w:tc>
        <w:tc>
          <w:tcPr>
            <w:tcW w:w="177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资金成本控制</w:t>
            </w:r>
          </w:p>
        </w:tc>
        <w:tc>
          <w:tcPr>
            <w:tcW w:w="4198"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是否与预算成本相符</w:t>
            </w:r>
          </w:p>
        </w:tc>
        <w:tc>
          <w:tcPr>
            <w:tcW w:w="1124"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5</w:t>
            </w:r>
            <w:r>
              <w:rPr>
                <w:rFonts w:hint="eastAsia" w:eastAsia="方正仿宋_GBK"/>
                <w:color w:val="000000"/>
                <w:spacing w:val="-2"/>
                <w:szCs w:val="21"/>
              </w:rPr>
              <w:t>分</w:t>
            </w:r>
          </w:p>
        </w:tc>
        <w:tc>
          <w:tcPr>
            <w:tcW w:w="917"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751" w:type="dxa"/>
            <w:vMerge w:val="continue"/>
            <w:tcBorders>
              <w:top w:val="single" w:color="auto" w:sz="4" w:space="0"/>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szCs w:val="21"/>
              </w:rPr>
            </w:pPr>
          </w:p>
        </w:tc>
        <w:tc>
          <w:tcPr>
            <w:tcW w:w="177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省级财政</w:t>
            </w:r>
          </w:p>
          <w:p>
            <w:pPr>
              <w:jc w:val="center"/>
              <w:rPr>
                <w:rFonts w:eastAsia="方正仿宋_GBK"/>
                <w:color w:val="000000"/>
                <w:spacing w:val="-2"/>
                <w:szCs w:val="21"/>
              </w:rPr>
            </w:pPr>
            <w:r>
              <w:rPr>
                <w:rFonts w:hint="eastAsia" w:eastAsia="方正仿宋_GBK"/>
                <w:color w:val="000000"/>
                <w:spacing w:val="-2"/>
                <w:szCs w:val="21"/>
              </w:rPr>
              <w:t>投入乘数</w:t>
            </w:r>
          </w:p>
        </w:tc>
        <w:tc>
          <w:tcPr>
            <w:tcW w:w="4198" w:type="dxa"/>
            <w:gridSpan w:val="3"/>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rFonts w:eastAsia="方正仿宋_GBK"/>
                <w:color w:val="000000"/>
                <w:spacing w:val="-2"/>
                <w:szCs w:val="21"/>
              </w:rPr>
            </w:pPr>
            <w:r>
              <w:rPr>
                <w:rFonts w:hint="eastAsia" w:eastAsia="方正仿宋_GBK"/>
                <w:color w:val="000000"/>
                <w:spacing w:val="-2"/>
                <w:szCs w:val="21"/>
              </w:rPr>
              <w:t>以（预算投入资金</w:t>
            </w:r>
            <w:r>
              <w:rPr>
                <w:rFonts w:eastAsia="方正仿宋_GBK"/>
                <w:color w:val="000000"/>
                <w:spacing w:val="-2"/>
                <w:szCs w:val="21"/>
              </w:rPr>
              <w:t>÷</w:t>
            </w:r>
            <w:r>
              <w:rPr>
                <w:rFonts w:hint="eastAsia" w:eastAsia="方正仿宋_GBK"/>
                <w:color w:val="000000"/>
                <w:spacing w:val="-2"/>
                <w:szCs w:val="21"/>
              </w:rPr>
              <w:t>省级财政资金）</w:t>
            </w:r>
            <w:r>
              <w:rPr>
                <w:rFonts w:eastAsia="方正仿宋_GBK"/>
                <w:color w:val="000000"/>
                <w:spacing w:val="-2"/>
                <w:szCs w:val="21"/>
              </w:rPr>
              <w:t>≥4</w:t>
            </w:r>
            <w:r>
              <w:rPr>
                <w:rFonts w:hint="eastAsia" w:eastAsia="方正仿宋_GBK"/>
                <w:color w:val="000000"/>
                <w:spacing w:val="-2"/>
                <w:szCs w:val="21"/>
              </w:rPr>
              <w:t>为标准值</w:t>
            </w:r>
          </w:p>
        </w:tc>
        <w:tc>
          <w:tcPr>
            <w:tcW w:w="1124"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10</w:t>
            </w:r>
            <w:r>
              <w:rPr>
                <w:rFonts w:hint="eastAsia" w:eastAsia="方正仿宋_GBK"/>
                <w:color w:val="000000"/>
                <w:spacing w:val="-2"/>
                <w:szCs w:val="21"/>
              </w:rPr>
              <w:t>分</w:t>
            </w:r>
          </w:p>
        </w:tc>
        <w:tc>
          <w:tcPr>
            <w:tcW w:w="917"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8" w:hRule="atLeast"/>
        </w:trPr>
        <w:tc>
          <w:tcPr>
            <w:tcW w:w="751" w:type="dxa"/>
            <w:vMerge w:val="continue"/>
            <w:tcBorders>
              <w:top w:val="single" w:color="auto" w:sz="4" w:space="0"/>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szCs w:val="21"/>
              </w:rPr>
            </w:pPr>
          </w:p>
        </w:tc>
        <w:tc>
          <w:tcPr>
            <w:tcW w:w="177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示范效应</w:t>
            </w:r>
          </w:p>
        </w:tc>
        <w:tc>
          <w:tcPr>
            <w:tcW w:w="4198"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农房项目在区域内的推广意义</w:t>
            </w:r>
          </w:p>
          <w:p>
            <w:pPr>
              <w:jc w:val="center"/>
              <w:rPr>
                <w:rFonts w:eastAsia="方正仿宋_GBK"/>
                <w:color w:val="000000"/>
                <w:spacing w:val="-2"/>
                <w:szCs w:val="21"/>
              </w:rPr>
            </w:pPr>
            <w:r>
              <w:rPr>
                <w:rFonts w:hint="eastAsia" w:eastAsia="方正仿宋_GBK"/>
                <w:color w:val="000000"/>
                <w:spacing w:val="-2"/>
                <w:szCs w:val="21"/>
              </w:rPr>
              <w:t>（项目实施单位自述）</w:t>
            </w:r>
          </w:p>
        </w:tc>
        <w:tc>
          <w:tcPr>
            <w:tcW w:w="1124"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10</w:t>
            </w:r>
            <w:r>
              <w:rPr>
                <w:rFonts w:hint="eastAsia" w:eastAsia="方正仿宋_GBK"/>
                <w:color w:val="000000"/>
                <w:spacing w:val="-2"/>
                <w:szCs w:val="21"/>
              </w:rPr>
              <w:t>分</w:t>
            </w:r>
          </w:p>
        </w:tc>
        <w:tc>
          <w:tcPr>
            <w:tcW w:w="917"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751" w:type="dxa"/>
            <w:vMerge w:val="continue"/>
            <w:tcBorders>
              <w:top w:val="single" w:color="auto" w:sz="4" w:space="0"/>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szCs w:val="21"/>
              </w:rPr>
            </w:pPr>
          </w:p>
        </w:tc>
        <w:tc>
          <w:tcPr>
            <w:tcW w:w="1770" w:type="dxa"/>
            <w:tcBorders>
              <w:top w:val="single" w:color="auto" w:sz="4" w:space="0"/>
              <w:left w:val="single" w:color="auto" w:sz="4" w:space="0"/>
              <w:bottom w:val="single" w:color="auto" w:sz="8"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公众满意度</w:t>
            </w:r>
          </w:p>
        </w:tc>
        <w:tc>
          <w:tcPr>
            <w:tcW w:w="4198" w:type="dxa"/>
            <w:gridSpan w:val="3"/>
            <w:tcBorders>
              <w:top w:val="single" w:color="auto" w:sz="4" w:space="0"/>
              <w:left w:val="single" w:color="auto" w:sz="4" w:space="0"/>
              <w:bottom w:val="single" w:color="auto" w:sz="8"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从受益人员中抽</w:t>
            </w:r>
            <w:r>
              <w:rPr>
                <w:rFonts w:eastAsia="方正仿宋_GBK"/>
                <w:color w:val="000000"/>
                <w:spacing w:val="-2"/>
                <w:szCs w:val="21"/>
              </w:rPr>
              <w:t>20</w:t>
            </w:r>
            <w:r>
              <w:rPr>
                <w:rFonts w:hint="eastAsia" w:eastAsia="方正仿宋_GBK"/>
                <w:color w:val="000000"/>
                <w:spacing w:val="-2"/>
                <w:szCs w:val="21"/>
              </w:rPr>
              <w:t>人，</w:t>
            </w:r>
          </w:p>
          <w:p>
            <w:pPr>
              <w:jc w:val="center"/>
              <w:rPr>
                <w:rFonts w:eastAsia="方正仿宋_GBK"/>
                <w:color w:val="000000"/>
                <w:spacing w:val="-2"/>
                <w:szCs w:val="21"/>
              </w:rPr>
            </w:pPr>
            <w:r>
              <w:rPr>
                <w:rFonts w:hint="eastAsia" w:eastAsia="方正仿宋_GBK"/>
                <w:color w:val="000000"/>
                <w:spacing w:val="-2"/>
                <w:szCs w:val="21"/>
              </w:rPr>
              <w:t>以（满意人员</w:t>
            </w:r>
            <w:r>
              <w:rPr>
                <w:rFonts w:eastAsia="方正仿宋_GBK"/>
                <w:color w:val="000000"/>
                <w:spacing w:val="-2"/>
                <w:szCs w:val="21"/>
              </w:rPr>
              <w:t>÷</w:t>
            </w:r>
            <w:r>
              <w:rPr>
                <w:rFonts w:hint="eastAsia" w:eastAsia="方正仿宋_GBK"/>
                <w:color w:val="000000"/>
                <w:spacing w:val="-2"/>
                <w:szCs w:val="21"/>
              </w:rPr>
              <w:t>抽样人员）</w:t>
            </w:r>
            <w:r>
              <w:rPr>
                <w:rFonts w:eastAsia="方正仿宋_GBK"/>
                <w:color w:val="000000"/>
                <w:spacing w:val="-2"/>
                <w:szCs w:val="21"/>
              </w:rPr>
              <w:t>≥80%</w:t>
            </w:r>
            <w:r>
              <w:rPr>
                <w:rFonts w:hint="eastAsia" w:eastAsia="方正仿宋_GBK"/>
                <w:color w:val="000000"/>
                <w:spacing w:val="-2"/>
                <w:szCs w:val="21"/>
              </w:rPr>
              <w:t>为标准值</w:t>
            </w:r>
          </w:p>
        </w:tc>
        <w:tc>
          <w:tcPr>
            <w:tcW w:w="1124" w:type="dxa"/>
            <w:tcBorders>
              <w:top w:val="single" w:color="auto" w:sz="4" w:space="0"/>
              <w:left w:val="single" w:color="auto" w:sz="4" w:space="0"/>
              <w:bottom w:val="single" w:color="auto" w:sz="8"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10</w:t>
            </w:r>
            <w:r>
              <w:rPr>
                <w:rFonts w:hint="eastAsia" w:eastAsia="方正仿宋_GBK"/>
                <w:color w:val="000000"/>
                <w:spacing w:val="-2"/>
                <w:szCs w:val="21"/>
              </w:rPr>
              <w:t>分</w:t>
            </w:r>
          </w:p>
        </w:tc>
        <w:tc>
          <w:tcPr>
            <w:tcW w:w="917" w:type="dxa"/>
            <w:tcBorders>
              <w:top w:val="single" w:color="auto" w:sz="4" w:space="0"/>
              <w:left w:val="single" w:color="auto" w:sz="4" w:space="0"/>
              <w:bottom w:val="single" w:color="auto" w:sz="8" w:space="0"/>
              <w:right w:val="single" w:color="auto" w:sz="8" w:space="0"/>
            </w:tcBorders>
            <w:noWrap w:val="0"/>
            <w:vAlign w:val="center"/>
          </w:tcPr>
          <w:p>
            <w:pPr>
              <w:jc w:val="center"/>
              <w:rPr>
                <w:rFonts w:eastAsia="方正仿宋_GBK"/>
                <w:color w:val="000000"/>
                <w:spacing w:val="-2"/>
                <w:szCs w:val="21"/>
              </w:rPr>
            </w:pPr>
          </w:p>
        </w:tc>
      </w:tr>
    </w:tbl>
    <w:p>
      <w:pPr>
        <w:spacing w:line="460" w:lineRule="exact"/>
        <w:rPr>
          <w:rFonts w:hint="eastAsia"/>
          <w:sz w:val="24"/>
        </w:rPr>
      </w:pPr>
      <w:r>
        <w:rPr>
          <w:rFonts w:hint="eastAsia" w:eastAsia="方正仿宋_GBK"/>
          <w:color w:val="000000"/>
          <w:spacing w:val="-2"/>
          <w:szCs w:val="21"/>
        </w:rPr>
        <w:t>（注：基本情况由项目实施单位填写）</w:t>
      </w:r>
    </w:p>
    <w:p>
      <w:pPr>
        <w:widowControl/>
        <w:jc w:val="left"/>
        <w:sectPr>
          <w:pgSz w:w="11905" w:h="16838"/>
          <w:pgMar w:top="1701" w:right="1587" w:bottom="1701" w:left="1587" w:header="850" w:footer="1361" w:gutter="0"/>
          <w:paperSrc w:first="4" w:other="4"/>
          <w:cols w:space="720" w:num="1"/>
        </w:sectPr>
      </w:pPr>
    </w:p>
    <w:p>
      <w:pPr>
        <w:shd w:val="clear" w:color="auto" w:fill="FFFFFF"/>
        <w:spacing w:line="460" w:lineRule="exact"/>
        <w:rPr>
          <w:rFonts w:ascii="Times New Roman" w:eastAsia="方正黑体_GBK"/>
          <w:color w:val="000000"/>
          <w:spacing w:val="-2"/>
          <w:sz w:val="28"/>
          <w:szCs w:val="28"/>
        </w:rPr>
      </w:pPr>
      <w:r>
        <w:rPr>
          <w:rFonts w:hint="eastAsia" w:ascii="Times New Roman" w:eastAsia="方正黑体_GBK"/>
          <w:color w:val="000000"/>
          <w:spacing w:val="-2"/>
          <w:sz w:val="28"/>
          <w:szCs w:val="28"/>
        </w:rPr>
        <w:t>附件：</w:t>
      </w:r>
    </w:p>
    <w:p>
      <w:pPr>
        <w:pStyle w:val="10"/>
        <w:widowControl w:val="0"/>
        <w:spacing w:before="0" w:beforeAutospacing="0" w:after="0" w:afterAutospacing="0"/>
        <w:ind w:firstLine="552" w:firstLineChars="200"/>
        <w:jc w:val="center"/>
        <w:rPr>
          <w:rFonts w:hint="eastAsia" w:ascii="Times New Roman" w:hAnsi="Times New Roman" w:eastAsia="方正黑体_GBK"/>
          <w:color w:val="000000"/>
          <w:spacing w:val="-2"/>
          <w:sz w:val="28"/>
          <w:szCs w:val="28"/>
        </w:rPr>
      </w:pPr>
      <w:r>
        <w:rPr>
          <w:rFonts w:hint="eastAsia" w:ascii="Times New Roman" w:hAnsi="Times New Roman" w:eastAsia="方正黑体_GBK"/>
          <w:color w:val="000000"/>
          <w:spacing w:val="-2"/>
          <w:sz w:val="28"/>
          <w:szCs w:val="28"/>
        </w:rPr>
        <w:t>住房城乡建设主管部门使用“江苏省勘察设计行业管理</w:t>
      </w:r>
    </w:p>
    <w:p>
      <w:pPr>
        <w:pStyle w:val="10"/>
        <w:widowControl w:val="0"/>
        <w:spacing w:before="0" w:beforeAutospacing="0" w:after="0" w:afterAutospacing="0"/>
        <w:ind w:firstLine="552" w:firstLineChars="200"/>
        <w:jc w:val="center"/>
        <w:rPr>
          <w:rFonts w:hint="eastAsia" w:ascii="Times New Roman" w:hAnsi="Times New Roman" w:eastAsia="方正黑体_GBK"/>
          <w:color w:val="000000"/>
          <w:spacing w:val="-2"/>
          <w:sz w:val="28"/>
          <w:szCs w:val="28"/>
        </w:rPr>
      </w:pPr>
      <w:r>
        <w:rPr>
          <w:rFonts w:hint="eastAsia" w:ascii="Times New Roman" w:hAnsi="Times New Roman" w:eastAsia="方正黑体_GBK"/>
          <w:color w:val="000000"/>
          <w:spacing w:val="-2"/>
          <w:sz w:val="28"/>
          <w:szCs w:val="28"/>
        </w:rPr>
        <w:t>信息系统”人员的相关信息汇总表</w:t>
      </w:r>
    </w:p>
    <w:p>
      <w:pPr>
        <w:pStyle w:val="10"/>
        <w:widowControl w:val="0"/>
        <w:spacing w:before="0" w:beforeAutospacing="0" w:after="0" w:afterAutospacing="0"/>
        <w:rPr>
          <w:rFonts w:hint="eastAsia" w:ascii="Times New Roman" w:hAnsi="Times New Roman" w:eastAsia="方正仿宋_GBK"/>
          <w:color w:val="000000"/>
          <w:spacing w:val="-2"/>
          <w:sz w:val="21"/>
          <w:szCs w:val="21"/>
        </w:rPr>
      </w:pPr>
    </w:p>
    <w:p>
      <w:pPr>
        <w:pStyle w:val="10"/>
        <w:widowControl w:val="0"/>
        <w:spacing w:before="0" w:beforeAutospacing="0" w:after="0" w:afterAutospacing="0"/>
        <w:rPr>
          <w:rFonts w:ascii="Times New Roman" w:hAnsi="Times New Roman" w:eastAsia="方正黑体_GBK"/>
          <w:color w:val="000000"/>
          <w:spacing w:val="-2"/>
          <w:sz w:val="28"/>
          <w:szCs w:val="28"/>
        </w:rPr>
      </w:pPr>
      <w:r>
        <w:rPr>
          <w:rFonts w:hint="eastAsia" w:ascii="Times New Roman" w:hAnsi="Times New Roman" w:eastAsia="方正仿宋_GBK"/>
          <w:color w:val="000000"/>
          <w:spacing w:val="-2"/>
          <w:sz w:val="21"/>
          <w:szCs w:val="21"/>
        </w:rPr>
        <w:t>单位名称：（盖单位公章）</w:t>
      </w:r>
      <w:r>
        <w:rPr>
          <w:rFonts w:ascii="Times New Roman" w:hAnsi="Times New Roman" w:eastAsia="方正仿宋_GBK"/>
          <w:color w:val="000000"/>
          <w:spacing w:val="-2"/>
          <w:sz w:val="21"/>
          <w:szCs w:val="21"/>
        </w:rPr>
        <w:t xml:space="preserve">                                                                    </w:t>
      </w:r>
      <w:r>
        <w:rPr>
          <w:rFonts w:hint="eastAsia" w:ascii="Times New Roman" w:hAnsi="Times New Roman" w:eastAsia="方正仿宋_GBK"/>
          <w:color w:val="000000"/>
          <w:spacing w:val="-2"/>
          <w:sz w:val="21"/>
          <w:szCs w:val="21"/>
        </w:rPr>
        <w:t>上报日期：</w:t>
      </w:r>
    </w:p>
    <w:tbl>
      <w:tblPr>
        <w:tblStyle w:val="12"/>
        <w:tblW w:w="0" w:type="auto"/>
        <w:jc w:val="center"/>
        <w:tblLayout w:type="fixed"/>
        <w:tblCellMar>
          <w:top w:w="0" w:type="dxa"/>
          <w:left w:w="108" w:type="dxa"/>
          <w:bottom w:w="0" w:type="dxa"/>
          <w:right w:w="108" w:type="dxa"/>
        </w:tblCellMar>
      </w:tblPr>
      <w:tblGrid>
        <w:gridCol w:w="403"/>
        <w:gridCol w:w="495"/>
        <w:gridCol w:w="702"/>
        <w:gridCol w:w="760"/>
        <w:gridCol w:w="480"/>
        <w:gridCol w:w="450"/>
        <w:gridCol w:w="455"/>
        <w:gridCol w:w="675"/>
        <w:gridCol w:w="435"/>
        <w:gridCol w:w="420"/>
        <w:gridCol w:w="306"/>
        <w:gridCol w:w="789"/>
        <w:gridCol w:w="435"/>
        <w:gridCol w:w="420"/>
        <w:gridCol w:w="375"/>
        <w:gridCol w:w="375"/>
        <w:gridCol w:w="375"/>
        <w:gridCol w:w="390"/>
        <w:gridCol w:w="648"/>
        <w:gridCol w:w="580"/>
        <w:gridCol w:w="574"/>
        <w:gridCol w:w="666"/>
        <w:gridCol w:w="465"/>
        <w:gridCol w:w="660"/>
        <w:gridCol w:w="765"/>
        <w:gridCol w:w="720"/>
      </w:tblGrid>
      <w:tr>
        <w:tblPrEx>
          <w:tblCellMar>
            <w:top w:w="0" w:type="dxa"/>
            <w:left w:w="108" w:type="dxa"/>
            <w:bottom w:w="0" w:type="dxa"/>
            <w:right w:w="108" w:type="dxa"/>
          </w:tblCellMar>
        </w:tblPrEx>
        <w:trPr>
          <w:trHeight w:val="795" w:hRule="atLeast"/>
          <w:jc w:val="center"/>
        </w:trPr>
        <w:tc>
          <w:tcPr>
            <w:tcW w:w="403" w:type="dxa"/>
            <w:vMerge w:val="restart"/>
            <w:tcBorders>
              <w:top w:val="single" w:color="auto" w:sz="8" w:space="0"/>
              <w:left w:val="single" w:color="auto" w:sz="8" w:space="0"/>
              <w:bottom w:val="single" w:color="000000" w:sz="4" w:space="0"/>
              <w:right w:val="single" w:color="000000" w:sz="4" w:space="0"/>
            </w:tcBorders>
            <w:noWrap w:val="0"/>
            <w:vAlign w:val="center"/>
          </w:tcPr>
          <w:p>
            <w:pPr>
              <w:autoSpaceDN w:val="0"/>
              <w:adjustRightInd w:val="0"/>
              <w:spacing w:line="240" w:lineRule="exact"/>
              <w:jc w:val="center"/>
              <w:textAlignment w:val="center"/>
              <w:rPr>
                <w:rFonts w:eastAsia="方正仿宋_GBK"/>
                <w:color w:val="000000"/>
                <w:spacing w:val="-2"/>
                <w:sz w:val="18"/>
                <w:szCs w:val="18"/>
              </w:rPr>
            </w:pPr>
            <w:r>
              <w:rPr>
                <w:rFonts w:hint="eastAsia" w:eastAsia="方正仿宋_GBK"/>
                <w:color w:val="000000"/>
                <w:spacing w:val="-2"/>
                <w:sz w:val="18"/>
                <w:szCs w:val="18"/>
              </w:rPr>
              <w:t>序号</w:t>
            </w:r>
          </w:p>
        </w:tc>
        <w:tc>
          <w:tcPr>
            <w:tcW w:w="495" w:type="dxa"/>
            <w:vMerge w:val="restart"/>
            <w:tcBorders>
              <w:top w:val="single" w:color="auto" w:sz="8" w:space="0"/>
              <w:left w:val="nil"/>
              <w:bottom w:val="single" w:color="000000" w:sz="4" w:space="0"/>
              <w:right w:val="single" w:color="000000" w:sz="4" w:space="0"/>
            </w:tcBorders>
            <w:noWrap w:val="0"/>
            <w:vAlign w:val="center"/>
          </w:tcPr>
          <w:p>
            <w:pPr>
              <w:autoSpaceDN w:val="0"/>
              <w:adjustRightInd w:val="0"/>
              <w:spacing w:line="240" w:lineRule="exact"/>
              <w:jc w:val="center"/>
              <w:textAlignment w:val="center"/>
              <w:rPr>
                <w:rFonts w:eastAsia="方正仿宋_GBK"/>
                <w:color w:val="000000"/>
                <w:spacing w:val="-2"/>
                <w:sz w:val="18"/>
                <w:szCs w:val="18"/>
              </w:rPr>
            </w:pPr>
            <w:r>
              <w:rPr>
                <w:rFonts w:hint="eastAsia" w:eastAsia="方正仿宋_GBK"/>
                <w:color w:val="000000"/>
                <w:spacing w:val="-2"/>
                <w:sz w:val="18"/>
                <w:szCs w:val="18"/>
              </w:rPr>
              <w:t>姓名</w:t>
            </w:r>
          </w:p>
        </w:tc>
        <w:tc>
          <w:tcPr>
            <w:tcW w:w="702" w:type="dxa"/>
            <w:vMerge w:val="restart"/>
            <w:tcBorders>
              <w:top w:val="single" w:color="auto" w:sz="8" w:space="0"/>
              <w:left w:val="nil"/>
              <w:bottom w:val="single" w:color="000000" w:sz="4" w:space="0"/>
              <w:right w:val="single" w:color="000000" w:sz="4" w:space="0"/>
            </w:tcBorders>
            <w:noWrap w:val="0"/>
            <w:vAlign w:val="center"/>
          </w:tcPr>
          <w:p>
            <w:pPr>
              <w:autoSpaceDN w:val="0"/>
              <w:adjustRightInd w:val="0"/>
              <w:spacing w:line="240" w:lineRule="exact"/>
              <w:jc w:val="center"/>
              <w:textAlignment w:val="center"/>
              <w:rPr>
                <w:rFonts w:eastAsia="方正仿宋_GBK"/>
                <w:color w:val="000000"/>
                <w:spacing w:val="-2"/>
                <w:sz w:val="18"/>
                <w:szCs w:val="18"/>
              </w:rPr>
            </w:pPr>
            <w:r>
              <w:rPr>
                <w:rFonts w:hint="eastAsia" w:eastAsia="方正仿宋_GBK"/>
                <w:color w:val="000000"/>
                <w:spacing w:val="-2"/>
                <w:sz w:val="18"/>
                <w:szCs w:val="18"/>
              </w:rPr>
              <w:t>工作</w:t>
            </w:r>
          </w:p>
          <w:p>
            <w:pPr>
              <w:autoSpaceDN w:val="0"/>
              <w:adjustRightInd w:val="0"/>
              <w:spacing w:line="240" w:lineRule="exact"/>
              <w:jc w:val="center"/>
              <w:textAlignment w:val="center"/>
              <w:rPr>
                <w:rFonts w:eastAsia="方正仿宋_GBK"/>
                <w:color w:val="000000"/>
                <w:spacing w:val="-2"/>
                <w:sz w:val="18"/>
                <w:szCs w:val="18"/>
              </w:rPr>
            </w:pPr>
            <w:r>
              <w:rPr>
                <w:rFonts w:hint="eastAsia" w:eastAsia="方正仿宋_GBK"/>
                <w:color w:val="000000"/>
                <w:spacing w:val="-2"/>
                <w:sz w:val="18"/>
                <w:szCs w:val="18"/>
              </w:rPr>
              <w:t>单位</w:t>
            </w:r>
          </w:p>
        </w:tc>
        <w:tc>
          <w:tcPr>
            <w:tcW w:w="760" w:type="dxa"/>
            <w:vMerge w:val="restart"/>
            <w:tcBorders>
              <w:top w:val="single" w:color="auto" w:sz="8" w:space="0"/>
              <w:left w:val="nil"/>
              <w:bottom w:val="single" w:color="000000" w:sz="4" w:space="0"/>
              <w:right w:val="single" w:color="000000" w:sz="4" w:space="0"/>
            </w:tcBorders>
            <w:noWrap w:val="0"/>
            <w:vAlign w:val="center"/>
          </w:tcPr>
          <w:p>
            <w:pPr>
              <w:autoSpaceDN w:val="0"/>
              <w:adjustRightInd w:val="0"/>
              <w:spacing w:line="240" w:lineRule="exact"/>
              <w:jc w:val="center"/>
              <w:textAlignment w:val="center"/>
              <w:rPr>
                <w:rFonts w:eastAsia="方正仿宋_GBK"/>
                <w:color w:val="000000"/>
                <w:spacing w:val="-2"/>
                <w:sz w:val="18"/>
                <w:szCs w:val="18"/>
              </w:rPr>
            </w:pPr>
            <w:r>
              <w:rPr>
                <w:rFonts w:hint="eastAsia" w:eastAsia="方正仿宋_GBK"/>
                <w:color w:val="000000"/>
                <w:spacing w:val="-2"/>
                <w:sz w:val="18"/>
                <w:szCs w:val="18"/>
              </w:rPr>
              <w:t>职务</w:t>
            </w:r>
          </w:p>
          <w:p>
            <w:pPr>
              <w:autoSpaceDN w:val="0"/>
              <w:adjustRightInd w:val="0"/>
              <w:spacing w:line="240" w:lineRule="exact"/>
              <w:jc w:val="center"/>
              <w:textAlignment w:val="center"/>
              <w:rPr>
                <w:rFonts w:eastAsia="方正仿宋_GBK"/>
                <w:color w:val="000000"/>
                <w:spacing w:val="-2"/>
                <w:sz w:val="18"/>
                <w:szCs w:val="18"/>
              </w:rPr>
            </w:pPr>
            <w:r>
              <w:rPr>
                <w:rFonts w:hint="eastAsia" w:eastAsia="方正仿宋_GBK"/>
                <w:color w:val="000000"/>
                <w:spacing w:val="-2"/>
                <w:sz w:val="18"/>
                <w:szCs w:val="18"/>
              </w:rPr>
              <w:t>（职称）</w:t>
            </w:r>
          </w:p>
        </w:tc>
        <w:tc>
          <w:tcPr>
            <w:tcW w:w="480" w:type="dxa"/>
            <w:vMerge w:val="restart"/>
            <w:tcBorders>
              <w:top w:val="single" w:color="auto" w:sz="8" w:space="0"/>
              <w:left w:val="nil"/>
              <w:bottom w:val="single" w:color="000000" w:sz="4" w:space="0"/>
              <w:right w:val="single" w:color="000000" w:sz="4" w:space="0"/>
            </w:tcBorders>
            <w:noWrap w:val="0"/>
            <w:vAlign w:val="center"/>
          </w:tcPr>
          <w:p>
            <w:pPr>
              <w:autoSpaceDN w:val="0"/>
              <w:adjustRightInd w:val="0"/>
              <w:spacing w:line="240" w:lineRule="exact"/>
              <w:jc w:val="center"/>
              <w:textAlignment w:val="center"/>
              <w:rPr>
                <w:rFonts w:eastAsia="方正仿宋_GBK"/>
                <w:color w:val="000000"/>
                <w:spacing w:val="-2"/>
                <w:sz w:val="18"/>
                <w:szCs w:val="18"/>
              </w:rPr>
            </w:pPr>
            <w:r>
              <w:rPr>
                <w:rFonts w:hint="eastAsia" w:eastAsia="方正仿宋_GBK"/>
                <w:color w:val="000000"/>
                <w:spacing w:val="-2"/>
                <w:sz w:val="18"/>
                <w:szCs w:val="18"/>
              </w:rPr>
              <w:t>电话</w:t>
            </w:r>
          </w:p>
        </w:tc>
        <w:tc>
          <w:tcPr>
            <w:tcW w:w="450" w:type="dxa"/>
            <w:vMerge w:val="restart"/>
            <w:tcBorders>
              <w:top w:val="single" w:color="auto" w:sz="8" w:space="0"/>
              <w:left w:val="nil"/>
              <w:bottom w:val="single" w:color="000000" w:sz="4" w:space="0"/>
              <w:right w:val="single" w:color="000000" w:sz="4" w:space="0"/>
            </w:tcBorders>
            <w:noWrap w:val="0"/>
            <w:vAlign w:val="center"/>
          </w:tcPr>
          <w:p>
            <w:pPr>
              <w:autoSpaceDN w:val="0"/>
              <w:adjustRightInd w:val="0"/>
              <w:spacing w:line="240" w:lineRule="exact"/>
              <w:jc w:val="center"/>
              <w:textAlignment w:val="center"/>
              <w:rPr>
                <w:rFonts w:eastAsia="方正仿宋_GBK"/>
                <w:color w:val="000000"/>
                <w:spacing w:val="-2"/>
                <w:sz w:val="18"/>
                <w:szCs w:val="18"/>
              </w:rPr>
            </w:pPr>
            <w:r>
              <w:rPr>
                <w:rFonts w:hint="eastAsia" w:eastAsia="方正仿宋_GBK"/>
                <w:color w:val="000000"/>
                <w:spacing w:val="-2"/>
                <w:sz w:val="18"/>
                <w:szCs w:val="18"/>
              </w:rPr>
              <w:t>手机</w:t>
            </w:r>
          </w:p>
        </w:tc>
        <w:tc>
          <w:tcPr>
            <w:tcW w:w="455" w:type="dxa"/>
            <w:vMerge w:val="restart"/>
            <w:tcBorders>
              <w:top w:val="single" w:color="auto" w:sz="8" w:space="0"/>
              <w:left w:val="nil"/>
              <w:bottom w:val="single" w:color="000000" w:sz="4" w:space="0"/>
              <w:right w:val="single" w:color="000000" w:sz="4" w:space="0"/>
            </w:tcBorders>
            <w:noWrap w:val="0"/>
            <w:vAlign w:val="center"/>
          </w:tcPr>
          <w:p>
            <w:pPr>
              <w:autoSpaceDN w:val="0"/>
              <w:adjustRightInd w:val="0"/>
              <w:spacing w:line="240" w:lineRule="exact"/>
              <w:jc w:val="center"/>
              <w:textAlignment w:val="center"/>
              <w:rPr>
                <w:rFonts w:eastAsia="方正仿宋_GBK"/>
                <w:color w:val="000000"/>
                <w:spacing w:val="-2"/>
                <w:sz w:val="18"/>
                <w:szCs w:val="18"/>
              </w:rPr>
            </w:pPr>
            <w:r>
              <w:rPr>
                <w:rFonts w:hint="eastAsia" w:eastAsia="方正仿宋_GBK"/>
                <w:color w:val="000000"/>
                <w:spacing w:val="-2"/>
                <w:sz w:val="18"/>
                <w:szCs w:val="18"/>
              </w:rPr>
              <w:t>邮箱</w:t>
            </w:r>
          </w:p>
        </w:tc>
        <w:tc>
          <w:tcPr>
            <w:tcW w:w="675" w:type="dxa"/>
            <w:tcBorders>
              <w:top w:val="single" w:color="auto" w:sz="8" w:space="0"/>
              <w:left w:val="nil"/>
              <w:bottom w:val="single" w:color="000000" w:sz="4" w:space="0"/>
              <w:right w:val="single" w:color="000000" w:sz="4" w:space="0"/>
            </w:tcBorders>
            <w:noWrap w:val="0"/>
            <w:vAlign w:val="center"/>
          </w:tcPr>
          <w:p>
            <w:pPr>
              <w:autoSpaceDN w:val="0"/>
              <w:adjustRightInd w:val="0"/>
              <w:spacing w:line="240" w:lineRule="exact"/>
              <w:jc w:val="center"/>
              <w:textAlignment w:val="center"/>
              <w:rPr>
                <w:rFonts w:eastAsia="方正仿宋_GBK"/>
                <w:color w:val="000000"/>
                <w:spacing w:val="-2"/>
                <w:sz w:val="18"/>
                <w:szCs w:val="18"/>
              </w:rPr>
            </w:pPr>
            <w:r>
              <w:rPr>
                <w:rFonts w:hint="eastAsia" w:eastAsia="方正仿宋_GBK"/>
                <w:color w:val="000000"/>
                <w:spacing w:val="-2"/>
                <w:sz w:val="18"/>
                <w:szCs w:val="18"/>
              </w:rPr>
              <w:t>优秀奖评选</w:t>
            </w:r>
          </w:p>
        </w:tc>
        <w:tc>
          <w:tcPr>
            <w:tcW w:w="1950" w:type="dxa"/>
            <w:gridSpan w:val="4"/>
            <w:tcBorders>
              <w:top w:val="single" w:color="auto" w:sz="8" w:space="0"/>
              <w:left w:val="nil"/>
              <w:bottom w:val="single" w:color="000000" w:sz="4" w:space="0"/>
              <w:right w:val="single" w:color="000000" w:sz="4" w:space="0"/>
            </w:tcBorders>
            <w:noWrap w:val="0"/>
            <w:vAlign w:val="center"/>
          </w:tcPr>
          <w:p>
            <w:pPr>
              <w:autoSpaceDN w:val="0"/>
              <w:adjustRightInd w:val="0"/>
              <w:spacing w:line="240" w:lineRule="exact"/>
              <w:jc w:val="center"/>
              <w:textAlignment w:val="center"/>
              <w:rPr>
                <w:rFonts w:eastAsia="方正仿宋_GBK"/>
                <w:color w:val="000000"/>
                <w:spacing w:val="-2"/>
                <w:sz w:val="18"/>
                <w:szCs w:val="18"/>
              </w:rPr>
            </w:pPr>
            <w:r>
              <w:rPr>
                <w:rFonts w:hint="eastAsia" w:eastAsia="方正仿宋_GBK"/>
                <w:color w:val="000000"/>
                <w:spacing w:val="-2"/>
                <w:sz w:val="18"/>
                <w:szCs w:val="18"/>
              </w:rPr>
              <w:t>市场集中检查</w:t>
            </w:r>
          </w:p>
        </w:tc>
        <w:tc>
          <w:tcPr>
            <w:tcW w:w="855" w:type="dxa"/>
            <w:gridSpan w:val="2"/>
            <w:tcBorders>
              <w:top w:val="single" w:color="auto" w:sz="8" w:space="0"/>
              <w:left w:val="nil"/>
              <w:bottom w:val="single" w:color="000000" w:sz="4" w:space="0"/>
              <w:right w:val="single" w:color="000000" w:sz="4" w:space="0"/>
            </w:tcBorders>
            <w:noWrap w:val="0"/>
            <w:vAlign w:val="center"/>
          </w:tcPr>
          <w:p>
            <w:pPr>
              <w:autoSpaceDN w:val="0"/>
              <w:adjustRightInd w:val="0"/>
              <w:spacing w:line="240" w:lineRule="exact"/>
              <w:jc w:val="center"/>
              <w:textAlignment w:val="center"/>
              <w:rPr>
                <w:rFonts w:eastAsia="方正仿宋_GBK"/>
                <w:color w:val="000000"/>
                <w:spacing w:val="-2"/>
                <w:sz w:val="18"/>
                <w:szCs w:val="18"/>
              </w:rPr>
            </w:pPr>
            <w:r>
              <w:rPr>
                <w:rFonts w:hint="eastAsia" w:eastAsia="方正仿宋_GBK"/>
                <w:color w:val="000000"/>
                <w:spacing w:val="-2"/>
                <w:sz w:val="18"/>
                <w:szCs w:val="18"/>
              </w:rPr>
              <w:t>合同备案</w:t>
            </w:r>
          </w:p>
        </w:tc>
        <w:tc>
          <w:tcPr>
            <w:tcW w:w="1515" w:type="dxa"/>
            <w:gridSpan w:val="4"/>
            <w:tcBorders>
              <w:top w:val="single" w:color="auto" w:sz="8" w:space="0"/>
              <w:left w:val="nil"/>
              <w:bottom w:val="single" w:color="000000" w:sz="4" w:space="0"/>
              <w:right w:val="single" w:color="000000" w:sz="4" w:space="0"/>
            </w:tcBorders>
            <w:noWrap w:val="0"/>
            <w:vAlign w:val="center"/>
          </w:tcPr>
          <w:p>
            <w:pPr>
              <w:autoSpaceDN w:val="0"/>
              <w:adjustRightInd w:val="0"/>
              <w:spacing w:line="240" w:lineRule="exact"/>
              <w:jc w:val="center"/>
              <w:textAlignment w:val="center"/>
              <w:rPr>
                <w:rFonts w:eastAsia="方正仿宋_GBK"/>
                <w:color w:val="000000"/>
                <w:spacing w:val="-2"/>
                <w:sz w:val="18"/>
                <w:szCs w:val="18"/>
              </w:rPr>
            </w:pPr>
            <w:r>
              <w:rPr>
                <w:rFonts w:hint="eastAsia" w:eastAsia="方正仿宋_GBK"/>
                <w:color w:val="000000"/>
                <w:spacing w:val="-2"/>
                <w:sz w:val="18"/>
                <w:szCs w:val="18"/>
              </w:rPr>
              <w:t>诚信手册</w:t>
            </w:r>
          </w:p>
        </w:tc>
        <w:tc>
          <w:tcPr>
            <w:tcW w:w="648" w:type="dxa"/>
            <w:tcBorders>
              <w:top w:val="single" w:color="auto" w:sz="8" w:space="0"/>
              <w:left w:val="nil"/>
              <w:bottom w:val="single" w:color="000000" w:sz="4" w:space="0"/>
              <w:right w:val="single" w:color="000000" w:sz="4" w:space="0"/>
            </w:tcBorders>
            <w:noWrap w:val="0"/>
            <w:vAlign w:val="center"/>
          </w:tcPr>
          <w:p>
            <w:pPr>
              <w:autoSpaceDN w:val="0"/>
              <w:adjustRightInd w:val="0"/>
              <w:spacing w:line="240" w:lineRule="exact"/>
              <w:jc w:val="center"/>
              <w:textAlignment w:val="center"/>
              <w:rPr>
                <w:rFonts w:eastAsia="方正仿宋_GBK"/>
                <w:color w:val="000000"/>
                <w:spacing w:val="-2"/>
                <w:sz w:val="18"/>
                <w:szCs w:val="18"/>
              </w:rPr>
            </w:pPr>
            <w:r>
              <w:rPr>
                <w:rFonts w:hint="eastAsia" w:eastAsia="方正仿宋_GBK"/>
                <w:color w:val="000000"/>
                <w:spacing w:val="-2"/>
                <w:sz w:val="18"/>
                <w:szCs w:val="18"/>
              </w:rPr>
              <w:t>企业信息审核</w:t>
            </w:r>
          </w:p>
        </w:tc>
        <w:tc>
          <w:tcPr>
            <w:tcW w:w="1154" w:type="dxa"/>
            <w:gridSpan w:val="2"/>
            <w:tcBorders>
              <w:top w:val="single" w:color="auto" w:sz="8" w:space="0"/>
              <w:left w:val="nil"/>
              <w:bottom w:val="single" w:color="000000" w:sz="4" w:space="0"/>
              <w:right w:val="single" w:color="000000" w:sz="4" w:space="0"/>
            </w:tcBorders>
            <w:noWrap w:val="0"/>
            <w:vAlign w:val="center"/>
          </w:tcPr>
          <w:p>
            <w:pPr>
              <w:autoSpaceDN w:val="0"/>
              <w:adjustRightInd w:val="0"/>
              <w:spacing w:line="240" w:lineRule="exact"/>
              <w:jc w:val="center"/>
              <w:textAlignment w:val="center"/>
              <w:rPr>
                <w:rFonts w:eastAsia="方正仿宋_GBK"/>
                <w:color w:val="000000"/>
                <w:spacing w:val="-2"/>
                <w:sz w:val="18"/>
                <w:szCs w:val="18"/>
              </w:rPr>
            </w:pPr>
            <w:r>
              <w:rPr>
                <w:rFonts w:hint="eastAsia" w:eastAsia="方正仿宋_GBK"/>
                <w:color w:val="000000"/>
                <w:spacing w:val="-2"/>
                <w:sz w:val="18"/>
                <w:szCs w:val="18"/>
              </w:rPr>
              <w:t>省外单位资质核验</w:t>
            </w:r>
          </w:p>
        </w:tc>
        <w:tc>
          <w:tcPr>
            <w:tcW w:w="666" w:type="dxa"/>
            <w:tcBorders>
              <w:top w:val="single" w:color="auto" w:sz="8" w:space="0"/>
              <w:left w:val="nil"/>
              <w:bottom w:val="single" w:color="000000" w:sz="4" w:space="0"/>
              <w:right w:val="single" w:color="000000" w:sz="4" w:space="0"/>
            </w:tcBorders>
            <w:noWrap w:val="0"/>
            <w:vAlign w:val="center"/>
          </w:tcPr>
          <w:p>
            <w:pPr>
              <w:autoSpaceDN w:val="0"/>
              <w:adjustRightInd w:val="0"/>
              <w:spacing w:line="240" w:lineRule="exact"/>
              <w:jc w:val="center"/>
              <w:textAlignment w:val="center"/>
              <w:rPr>
                <w:rFonts w:eastAsia="方正仿宋_GBK"/>
                <w:color w:val="000000"/>
                <w:spacing w:val="-2"/>
                <w:sz w:val="18"/>
                <w:szCs w:val="18"/>
              </w:rPr>
            </w:pPr>
            <w:r>
              <w:rPr>
                <w:rFonts w:hint="eastAsia" w:eastAsia="方正仿宋_GBK"/>
                <w:color w:val="000000"/>
                <w:spacing w:val="-2"/>
                <w:sz w:val="18"/>
                <w:szCs w:val="18"/>
              </w:rPr>
              <w:t>工程勘察现场作业提前告知</w:t>
            </w:r>
          </w:p>
        </w:tc>
        <w:tc>
          <w:tcPr>
            <w:tcW w:w="465" w:type="dxa"/>
            <w:tcBorders>
              <w:top w:val="single" w:color="auto" w:sz="8" w:space="0"/>
              <w:left w:val="nil"/>
              <w:bottom w:val="single" w:color="000000" w:sz="4" w:space="0"/>
              <w:right w:val="single" w:color="000000" w:sz="4" w:space="0"/>
            </w:tcBorders>
            <w:noWrap w:val="0"/>
            <w:vAlign w:val="center"/>
          </w:tcPr>
          <w:p>
            <w:pPr>
              <w:autoSpaceDN w:val="0"/>
              <w:adjustRightInd w:val="0"/>
              <w:spacing w:line="240" w:lineRule="exact"/>
              <w:jc w:val="center"/>
              <w:textAlignment w:val="center"/>
              <w:rPr>
                <w:rFonts w:eastAsia="方正仿宋_GBK"/>
                <w:color w:val="000000"/>
                <w:spacing w:val="-2"/>
                <w:sz w:val="18"/>
                <w:szCs w:val="18"/>
              </w:rPr>
            </w:pPr>
            <w:r>
              <w:rPr>
                <w:rFonts w:hint="eastAsia" w:eastAsia="方正仿宋_GBK"/>
                <w:color w:val="000000"/>
                <w:spacing w:val="-2"/>
                <w:sz w:val="18"/>
                <w:szCs w:val="18"/>
              </w:rPr>
              <w:t>继续教育</w:t>
            </w:r>
          </w:p>
        </w:tc>
        <w:tc>
          <w:tcPr>
            <w:tcW w:w="660" w:type="dxa"/>
            <w:tcBorders>
              <w:top w:val="single" w:color="auto" w:sz="8" w:space="0"/>
              <w:left w:val="nil"/>
              <w:bottom w:val="single" w:color="000000" w:sz="4" w:space="0"/>
              <w:right w:val="single" w:color="000000" w:sz="4" w:space="0"/>
            </w:tcBorders>
            <w:noWrap w:val="0"/>
            <w:vAlign w:val="center"/>
          </w:tcPr>
          <w:p>
            <w:pPr>
              <w:autoSpaceDN w:val="0"/>
              <w:adjustRightInd w:val="0"/>
              <w:spacing w:line="240" w:lineRule="exact"/>
              <w:jc w:val="center"/>
              <w:textAlignment w:val="center"/>
              <w:rPr>
                <w:rFonts w:eastAsia="方正仿宋_GBK"/>
                <w:color w:val="000000"/>
                <w:spacing w:val="-2"/>
                <w:sz w:val="18"/>
                <w:szCs w:val="18"/>
              </w:rPr>
            </w:pPr>
            <w:r>
              <w:rPr>
                <w:rFonts w:hint="eastAsia" w:eastAsia="方正仿宋_GBK"/>
                <w:color w:val="000000"/>
                <w:spacing w:val="-2"/>
                <w:sz w:val="18"/>
                <w:szCs w:val="18"/>
              </w:rPr>
              <w:t>诚信档案</w:t>
            </w:r>
          </w:p>
        </w:tc>
        <w:tc>
          <w:tcPr>
            <w:tcW w:w="765" w:type="dxa"/>
            <w:tcBorders>
              <w:top w:val="single" w:color="auto" w:sz="8" w:space="0"/>
              <w:left w:val="nil"/>
              <w:bottom w:val="single" w:color="000000" w:sz="4" w:space="0"/>
              <w:right w:val="single" w:color="000000" w:sz="4" w:space="0"/>
            </w:tcBorders>
            <w:noWrap w:val="0"/>
            <w:vAlign w:val="center"/>
          </w:tcPr>
          <w:p>
            <w:pPr>
              <w:autoSpaceDN w:val="0"/>
              <w:adjustRightInd w:val="0"/>
              <w:spacing w:line="240" w:lineRule="exact"/>
              <w:jc w:val="center"/>
              <w:textAlignment w:val="center"/>
              <w:rPr>
                <w:rFonts w:eastAsia="方正仿宋_GBK"/>
                <w:color w:val="000000"/>
                <w:spacing w:val="-2"/>
                <w:sz w:val="18"/>
                <w:szCs w:val="18"/>
              </w:rPr>
            </w:pPr>
            <w:r>
              <w:rPr>
                <w:rFonts w:hint="eastAsia" w:eastAsia="方正仿宋_GBK"/>
                <w:color w:val="000000"/>
                <w:spacing w:val="-2"/>
                <w:sz w:val="18"/>
                <w:szCs w:val="18"/>
              </w:rPr>
              <w:t>质量监督</w:t>
            </w:r>
          </w:p>
        </w:tc>
        <w:tc>
          <w:tcPr>
            <w:tcW w:w="720" w:type="dxa"/>
            <w:tcBorders>
              <w:top w:val="single" w:color="auto" w:sz="8" w:space="0"/>
              <w:left w:val="single" w:color="000000" w:sz="4" w:space="0"/>
              <w:bottom w:val="single" w:color="000000" w:sz="4" w:space="0"/>
              <w:right w:val="single" w:color="auto" w:sz="8" w:space="0"/>
            </w:tcBorders>
            <w:noWrap w:val="0"/>
            <w:vAlign w:val="center"/>
          </w:tcPr>
          <w:p>
            <w:pPr>
              <w:autoSpaceDN w:val="0"/>
              <w:adjustRightInd w:val="0"/>
              <w:spacing w:line="240" w:lineRule="exact"/>
              <w:jc w:val="center"/>
              <w:textAlignment w:val="center"/>
              <w:rPr>
                <w:rFonts w:eastAsia="方正仿宋_GBK"/>
                <w:color w:val="000000"/>
                <w:spacing w:val="-2"/>
                <w:sz w:val="18"/>
                <w:szCs w:val="18"/>
              </w:rPr>
            </w:pPr>
            <w:r>
              <w:rPr>
                <w:rFonts w:hint="eastAsia" w:eastAsia="方正仿宋_GBK"/>
                <w:color w:val="000000"/>
                <w:spacing w:val="-2"/>
                <w:sz w:val="18"/>
                <w:szCs w:val="18"/>
              </w:rPr>
              <w:t>备注</w:t>
            </w:r>
          </w:p>
        </w:tc>
      </w:tr>
      <w:tr>
        <w:tblPrEx>
          <w:tblCellMar>
            <w:top w:w="0" w:type="dxa"/>
            <w:left w:w="108" w:type="dxa"/>
            <w:bottom w:w="0" w:type="dxa"/>
            <w:right w:w="108" w:type="dxa"/>
          </w:tblCellMar>
        </w:tblPrEx>
        <w:trPr>
          <w:trHeight w:val="1489" w:hRule="atLeast"/>
          <w:jc w:val="center"/>
        </w:trPr>
        <w:tc>
          <w:tcPr>
            <w:tcW w:w="403" w:type="dxa"/>
            <w:vMerge w:val="continue"/>
            <w:tcBorders>
              <w:top w:val="single" w:color="auto" w:sz="8" w:space="0"/>
              <w:left w:val="single" w:color="auto" w:sz="8" w:space="0"/>
              <w:bottom w:val="single" w:color="000000" w:sz="4" w:space="0"/>
              <w:right w:val="single" w:color="000000" w:sz="4" w:space="0"/>
            </w:tcBorders>
            <w:noWrap w:val="0"/>
            <w:vAlign w:val="center"/>
          </w:tcPr>
          <w:p>
            <w:pPr>
              <w:widowControl/>
              <w:jc w:val="left"/>
              <w:rPr>
                <w:rFonts w:eastAsia="方正仿宋_GBK"/>
                <w:color w:val="000000"/>
                <w:spacing w:val="-2"/>
                <w:sz w:val="18"/>
                <w:szCs w:val="18"/>
              </w:rPr>
            </w:pPr>
          </w:p>
        </w:tc>
        <w:tc>
          <w:tcPr>
            <w:tcW w:w="495" w:type="dxa"/>
            <w:vMerge w:val="continue"/>
            <w:tcBorders>
              <w:top w:val="single" w:color="auto" w:sz="8" w:space="0"/>
              <w:left w:val="nil"/>
              <w:bottom w:val="single" w:color="000000" w:sz="4" w:space="0"/>
              <w:right w:val="single" w:color="000000" w:sz="4" w:space="0"/>
            </w:tcBorders>
            <w:noWrap w:val="0"/>
            <w:vAlign w:val="center"/>
          </w:tcPr>
          <w:p>
            <w:pPr>
              <w:widowControl/>
              <w:jc w:val="left"/>
              <w:rPr>
                <w:rFonts w:eastAsia="方正仿宋_GBK"/>
                <w:color w:val="000000"/>
                <w:spacing w:val="-2"/>
                <w:sz w:val="18"/>
                <w:szCs w:val="18"/>
              </w:rPr>
            </w:pPr>
          </w:p>
        </w:tc>
        <w:tc>
          <w:tcPr>
            <w:tcW w:w="702" w:type="dxa"/>
            <w:vMerge w:val="continue"/>
            <w:tcBorders>
              <w:top w:val="single" w:color="auto" w:sz="8" w:space="0"/>
              <w:left w:val="nil"/>
              <w:bottom w:val="single" w:color="000000" w:sz="4" w:space="0"/>
              <w:right w:val="single" w:color="000000" w:sz="4" w:space="0"/>
            </w:tcBorders>
            <w:noWrap w:val="0"/>
            <w:vAlign w:val="center"/>
          </w:tcPr>
          <w:p>
            <w:pPr>
              <w:widowControl/>
              <w:jc w:val="left"/>
              <w:rPr>
                <w:rFonts w:eastAsia="方正仿宋_GBK"/>
                <w:color w:val="000000"/>
                <w:spacing w:val="-2"/>
                <w:sz w:val="18"/>
                <w:szCs w:val="18"/>
              </w:rPr>
            </w:pPr>
          </w:p>
        </w:tc>
        <w:tc>
          <w:tcPr>
            <w:tcW w:w="760" w:type="dxa"/>
            <w:vMerge w:val="continue"/>
            <w:tcBorders>
              <w:top w:val="single" w:color="auto" w:sz="8" w:space="0"/>
              <w:left w:val="nil"/>
              <w:bottom w:val="single" w:color="000000" w:sz="4" w:space="0"/>
              <w:right w:val="single" w:color="000000" w:sz="4" w:space="0"/>
            </w:tcBorders>
            <w:noWrap w:val="0"/>
            <w:vAlign w:val="center"/>
          </w:tcPr>
          <w:p>
            <w:pPr>
              <w:widowControl/>
              <w:jc w:val="left"/>
              <w:rPr>
                <w:rFonts w:eastAsia="方正仿宋_GBK"/>
                <w:color w:val="000000"/>
                <w:spacing w:val="-2"/>
                <w:sz w:val="18"/>
                <w:szCs w:val="18"/>
              </w:rPr>
            </w:pPr>
          </w:p>
        </w:tc>
        <w:tc>
          <w:tcPr>
            <w:tcW w:w="480" w:type="dxa"/>
            <w:vMerge w:val="continue"/>
            <w:tcBorders>
              <w:top w:val="single" w:color="auto" w:sz="8" w:space="0"/>
              <w:left w:val="nil"/>
              <w:bottom w:val="single" w:color="000000" w:sz="4" w:space="0"/>
              <w:right w:val="single" w:color="000000" w:sz="4" w:space="0"/>
            </w:tcBorders>
            <w:noWrap w:val="0"/>
            <w:vAlign w:val="center"/>
          </w:tcPr>
          <w:p>
            <w:pPr>
              <w:widowControl/>
              <w:jc w:val="left"/>
              <w:rPr>
                <w:rFonts w:eastAsia="方正仿宋_GBK"/>
                <w:color w:val="000000"/>
                <w:spacing w:val="-2"/>
                <w:sz w:val="18"/>
                <w:szCs w:val="18"/>
              </w:rPr>
            </w:pPr>
          </w:p>
        </w:tc>
        <w:tc>
          <w:tcPr>
            <w:tcW w:w="450" w:type="dxa"/>
            <w:vMerge w:val="continue"/>
            <w:tcBorders>
              <w:top w:val="single" w:color="auto" w:sz="8" w:space="0"/>
              <w:left w:val="nil"/>
              <w:bottom w:val="single" w:color="000000" w:sz="4" w:space="0"/>
              <w:right w:val="single" w:color="000000" w:sz="4" w:space="0"/>
            </w:tcBorders>
            <w:noWrap w:val="0"/>
            <w:vAlign w:val="center"/>
          </w:tcPr>
          <w:p>
            <w:pPr>
              <w:widowControl/>
              <w:jc w:val="left"/>
              <w:rPr>
                <w:rFonts w:eastAsia="方正仿宋_GBK"/>
                <w:color w:val="000000"/>
                <w:spacing w:val="-2"/>
                <w:sz w:val="18"/>
                <w:szCs w:val="18"/>
              </w:rPr>
            </w:pPr>
          </w:p>
        </w:tc>
        <w:tc>
          <w:tcPr>
            <w:tcW w:w="455" w:type="dxa"/>
            <w:vMerge w:val="continue"/>
            <w:tcBorders>
              <w:top w:val="single" w:color="auto" w:sz="8" w:space="0"/>
              <w:left w:val="nil"/>
              <w:bottom w:val="single" w:color="000000" w:sz="4" w:space="0"/>
              <w:right w:val="single" w:color="000000" w:sz="4" w:space="0"/>
            </w:tcBorders>
            <w:noWrap w:val="0"/>
            <w:vAlign w:val="center"/>
          </w:tcPr>
          <w:p>
            <w:pPr>
              <w:widowControl/>
              <w:jc w:val="left"/>
              <w:rPr>
                <w:rFonts w:eastAsia="方正仿宋_GBK"/>
                <w:color w:val="000000"/>
                <w:spacing w:val="-2"/>
                <w:sz w:val="18"/>
                <w:szCs w:val="18"/>
              </w:rPr>
            </w:pPr>
          </w:p>
        </w:tc>
        <w:tc>
          <w:tcPr>
            <w:tcW w:w="675" w:type="dxa"/>
            <w:tcBorders>
              <w:top w:val="nil"/>
              <w:left w:val="nil"/>
              <w:bottom w:val="nil"/>
              <w:right w:val="single" w:color="000000" w:sz="4" w:space="0"/>
            </w:tcBorders>
            <w:noWrap w:val="0"/>
            <w:vAlign w:val="top"/>
          </w:tcPr>
          <w:p>
            <w:pPr>
              <w:autoSpaceDN w:val="0"/>
              <w:adjustRightInd w:val="0"/>
              <w:spacing w:line="240" w:lineRule="exact"/>
              <w:jc w:val="center"/>
              <w:textAlignment w:val="top"/>
              <w:rPr>
                <w:rFonts w:eastAsia="方正仿宋_GBK"/>
                <w:color w:val="000000"/>
                <w:spacing w:val="-2"/>
                <w:sz w:val="18"/>
                <w:szCs w:val="18"/>
              </w:rPr>
            </w:pPr>
            <w:r>
              <w:rPr>
                <w:rFonts w:hint="eastAsia" w:eastAsia="方正仿宋_GBK"/>
                <w:color w:val="000000"/>
                <w:spacing w:val="-2"/>
                <w:sz w:val="18"/>
                <w:szCs w:val="18"/>
              </w:rPr>
              <w:t>大市级管理员</w:t>
            </w:r>
          </w:p>
        </w:tc>
        <w:tc>
          <w:tcPr>
            <w:tcW w:w="435" w:type="dxa"/>
            <w:tcBorders>
              <w:top w:val="nil"/>
              <w:left w:val="nil"/>
              <w:bottom w:val="nil"/>
              <w:right w:val="single" w:color="000000" w:sz="4" w:space="0"/>
            </w:tcBorders>
            <w:noWrap w:val="0"/>
            <w:vAlign w:val="top"/>
          </w:tcPr>
          <w:p>
            <w:pPr>
              <w:autoSpaceDN w:val="0"/>
              <w:adjustRightInd w:val="0"/>
              <w:spacing w:line="240" w:lineRule="exact"/>
              <w:textAlignment w:val="top"/>
              <w:rPr>
                <w:rFonts w:eastAsia="方正仿宋_GBK"/>
                <w:color w:val="000000"/>
                <w:spacing w:val="-2"/>
                <w:sz w:val="18"/>
                <w:szCs w:val="18"/>
              </w:rPr>
            </w:pPr>
            <w:r>
              <w:rPr>
                <w:rFonts w:hint="eastAsia" w:eastAsia="方正仿宋_GBK"/>
                <w:color w:val="000000"/>
                <w:spacing w:val="-2"/>
                <w:sz w:val="18"/>
                <w:szCs w:val="18"/>
              </w:rPr>
              <w:t>市受理</w:t>
            </w:r>
          </w:p>
        </w:tc>
        <w:tc>
          <w:tcPr>
            <w:tcW w:w="420" w:type="dxa"/>
            <w:tcBorders>
              <w:top w:val="nil"/>
              <w:left w:val="nil"/>
              <w:bottom w:val="nil"/>
              <w:right w:val="single" w:color="000000" w:sz="4" w:space="0"/>
            </w:tcBorders>
            <w:noWrap w:val="0"/>
            <w:vAlign w:val="top"/>
          </w:tcPr>
          <w:p>
            <w:pPr>
              <w:autoSpaceDN w:val="0"/>
              <w:adjustRightInd w:val="0"/>
              <w:spacing w:line="240" w:lineRule="exact"/>
              <w:textAlignment w:val="top"/>
              <w:rPr>
                <w:rFonts w:eastAsia="方正仿宋_GBK"/>
                <w:color w:val="000000"/>
                <w:spacing w:val="-2"/>
                <w:sz w:val="18"/>
                <w:szCs w:val="18"/>
              </w:rPr>
            </w:pPr>
            <w:r>
              <w:rPr>
                <w:rFonts w:hint="eastAsia" w:eastAsia="方正仿宋_GBK"/>
                <w:color w:val="000000"/>
                <w:spacing w:val="-2"/>
                <w:sz w:val="18"/>
                <w:szCs w:val="18"/>
              </w:rPr>
              <w:t>市初审</w:t>
            </w:r>
          </w:p>
        </w:tc>
        <w:tc>
          <w:tcPr>
            <w:tcW w:w="306" w:type="dxa"/>
            <w:tcBorders>
              <w:top w:val="nil"/>
              <w:left w:val="nil"/>
              <w:bottom w:val="nil"/>
              <w:right w:val="single" w:color="000000" w:sz="4" w:space="0"/>
            </w:tcBorders>
            <w:noWrap w:val="0"/>
            <w:vAlign w:val="top"/>
          </w:tcPr>
          <w:p>
            <w:pPr>
              <w:autoSpaceDN w:val="0"/>
              <w:adjustRightInd w:val="0"/>
              <w:spacing w:line="240" w:lineRule="exact"/>
              <w:textAlignment w:val="top"/>
              <w:rPr>
                <w:rFonts w:eastAsia="方正仿宋_GBK"/>
                <w:color w:val="000000"/>
                <w:spacing w:val="-2"/>
                <w:sz w:val="18"/>
                <w:szCs w:val="18"/>
              </w:rPr>
            </w:pPr>
            <w:r>
              <w:rPr>
                <w:rFonts w:hint="eastAsia" w:eastAsia="方正仿宋_GBK"/>
                <w:color w:val="000000"/>
                <w:spacing w:val="-2"/>
                <w:sz w:val="18"/>
                <w:szCs w:val="18"/>
              </w:rPr>
              <w:t>市处长审核</w:t>
            </w:r>
          </w:p>
        </w:tc>
        <w:tc>
          <w:tcPr>
            <w:tcW w:w="789" w:type="dxa"/>
            <w:tcBorders>
              <w:top w:val="nil"/>
              <w:left w:val="nil"/>
              <w:bottom w:val="nil"/>
              <w:right w:val="single" w:color="000000" w:sz="4" w:space="0"/>
            </w:tcBorders>
            <w:noWrap w:val="0"/>
            <w:vAlign w:val="top"/>
          </w:tcPr>
          <w:p>
            <w:pPr>
              <w:autoSpaceDN w:val="0"/>
              <w:adjustRightInd w:val="0"/>
              <w:spacing w:line="240" w:lineRule="exact"/>
              <w:textAlignment w:val="top"/>
              <w:rPr>
                <w:rFonts w:eastAsia="方正仿宋_GBK"/>
                <w:color w:val="000000"/>
                <w:spacing w:val="-2"/>
                <w:sz w:val="18"/>
                <w:szCs w:val="18"/>
              </w:rPr>
            </w:pPr>
            <w:r>
              <w:rPr>
                <w:rFonts w:hint="eastAsia" w:eastAsia="方正仿宋_GBK"/>
                <w:color w:val="000000"/>
                <w:spacing w:val="-2"/>
                <w:sz w:val="18"/>
                <w:szCs w:val="18"/>
              </w:rPr>
              <w:t>市分管局长审定</w:t>
            </w:r>
          </w:p>
        </w:tc>
        <w:tc>
          <w:tcPr>
            <w:tcW w:w="435" w:type="dxa"/>
            <w:tcBorders>
              <w:top w:val="nil"/>
              <w:left w:val="nil"/>
              <w:bottom w:val="nil"/>
              <w:right w:val="single" w:color="000000" w:sz="4" w:space="0"/>
            </w:tcBorders>
            <w:noWrap w:val="0"/>
            <w:vAlign w:val="top"/>
          </w:tcPr>
          <w:p>
            <w:pPr>
              <w:autoSpaceDN w:val="0"/>
              <w:adjustRightInd w:val="0"/>
              <w:spacing w:line="240" w:lineRule="exact"/>
              <w:textAlignment w:val="top"/>
              <w:rPr>
                <w:rFonts w:eastAsia="方正仿宋_GBK"/>
                <w:color w:val="000000"/>
                <w:spacing w:val="-2"/>
                <w:sz w:val="18"/>
                <w:szCs w:val="18"/>
              </w:rPr>
            </w:pPr>
            <w:r>
              <w:rPr>
                <w:rFonts w:hint="eastAsia" w:eastAsia="方正仿宋_GBK"/>
                <w:color w:val="000000"/>
                <w:spacing w:val="-2"/>
                <w:sz w:val="18"/>
                <w:szCs w:val="18"/>
              </w:rPr>
              <w:t>受理</w:t>
            </w:r>
          </w:p>
        </w:tc>
        <w:tc>
          <w:tcPr>
            <w:tcW w:w="420" w:type="dxa"/>
            <w:tcBorders>
              <w:top w:val="nil"/>
              <w:left w:val="nil"/>
              <w:bottom w:val="nil"/>
              <w:right w:val="single" w:color="000000" w:sz="4" w:space="0"/>
            </w:tcBorders>
            <w:noWrap w:val="0"/>
            <w:vAlign w:val="top"/>
          </w:tcPr>
          <w:p>
            <w:pPr>
              <w:autoSpaceDN w:val="0"/>
              <w:adjustRightInd w:val="0"/>
              <w:spacing w:line="240" w:lineRule="exact"/>
              <w:textAlignment w:val="top"/>
              <w:rPr>
                <w:rFonts w:eastAsia="方正仿宋_GBK"/>
                <w:color w:val="000000"/>
                <w:spacing w:val="-2"/>
                <w:sz w:val="18"/>
                <w:szCs w:val="18"/>
              </w:rPr>
            </w:pPr>
            <w:r>
              <w:rPr>
                <w:rFonts w:hint="eastAsia" w:eastAsia="方正仿宋_GBK"/>
                <w:color w:val="000000"/>
                <w:spacing w:val="-2"/>
                <w:sz w:val="18"/>
                <w:szCs w:val="18"/>
              </w:rPr>
              <w:t>审核</w:t>
            </w:r>
          </w:p>
        </w:tc>
        <w:tc>
          <w:tcPr>
            <w:tcW w:w="375" w:type="dxa"/>
            <w:tcBorders>
              <w:top w:val="nil"/>
              <w:left w:val="nil"/>
              <w:bottom w:val="nil"/>
              <w:right w:val="single" w:color="000000" w:sz="4" w:space="0"/>
            </w:tcBorders>
            <w:noWrap w:val="0"/>
            <w:vAlign w:val="top"/>
          </w:tcPr>
          <w:p>
            <w:pPr>
              <w:autoSpaceDN w:val="0"/>
              <w:adjustRightInd w:val="0"/>
              <w:spacing w:line="240" w:lineRule="exact"/>
              <w:textAlignment w:val="top"/>
              <w:rPr>
                <w:rFonts w:eastAsia="方正仿宋_GBK"/>
                <w:color w:val="000000"/>
                <w:spacing w:val="-2"/>
                <w:sz w:val="18"/>
                <w:szCs w:val="18"/>
              </w:rPr>
            </w:pPr>
            <w:r>
              <w:rPr>
                <w:rFonts w:hint="eastAsia" w:eastAsia="方正仿宋_GBK"/>
                <w:color w:val="000000"/>
                <w:spacing w:val="-2"/>
                <w:sz w:val="18"/>
                <w:szCs w:val="18"/>
              </w:rPr>
              <w:t>受理</w:t>
            </w:r>
          </w:p>
        </w:tc>
        <w:tc>
          <w:tcPr>
            <w:tcW w:w="375" w:type="dxa"/>
            <w:tcBorders>
              <w:top w:val="nil"/>
              <w:left w:val="nil"/>
              <w:bottom w:val="nil"/>
              <w:right w:val="single" w:color="000000" w:sz="4" w:space="0"/>
            </w:tcBorders>
            <w:noWrap w:val="0"/>
            <w:vAlign w:val="top"/>
          </w:tcPr>
          <w:p>
            <w:pPr>
              <w:autoSpaceDN w:val="0"/>
              <w:adjustRightInd w:val="0"/>
              <w:spacing w:line="240" w:lineRule="exact"/>
              <w:textAlignment w:val="top"/>
              <w:rPr>
                <w:rFonts w:eastAsia="方正仿宋_GBK"/>
                <w:color w:val="000000"/>
                <w:spacing w:val="-2"/>
                <w:sz w:val="18"/>
                <w:szCs w:val="18"/>
              </w:rPr>
            </w:pPr>
            <w:r>
              <w:rPr>
                <w:rFonts w:hint="eastAsia" w:eastAsia="方正仿宋_GBK"/>
                <w:color w:val="000000"/>
                <w:spacing w:val="-2"/>
                <w:sz w:val="18"/>
                <w:szCs w:val="18"/>
              </w:rPr>
              <w:t>审核</w:t>
            </w:r>
          </w:p>
        </w:tc>
        <w:tc>
          <w:tcPr>
            <w:tcW w:w="375" w:type="dxa"/>
            <w:tcBorders>
              <w:top w:val="nil"/>
              <w:left w:val="nil"/>
              <w:bottom w:val="nil"/>
              <w:right w:val="single" w:color="000000" w:sz="4" w:space="0"/>
            </w:tcBorders>
            <w:noWrap w:val="0"/>
            <w:vAlign w:val="top"/>
          </w:tcPr>
          <w:p>
            <w:pPr>
              <w:autoSpaceDN w:val="0"/>
              <w:adjustRightInd w:val="0"/>
              <w:spacing w:line="240" w:lineRule="exact"/>
              <w:textAlignment w:val="top"/>
              <w:rPr>
                <w:rFonts w:eastAsia="方正仿宋_GBK"/>
                <w:color w:val="000000"/>
                <w:spacing w:val="-2"/>
                <w:sz w:val="18"/>
                <w:szCs w:val="18"/>
              </w:rPr>
            </w:pPr>
            <w:r>
              <w:rPr>
                <w:rFonts w:hint="eastAsia" w:eastAsia="方正仿宋_GBK"/>
                <w:color w:val="000000"/>
                <w:spacing w:val="-2"/>
                <w:sz w:val="18"/>
                <w:szCs w:val="18"/>
              </w:rPr>
              <w:t>打印</w:t>
            </w:r>
          </w:p>
        </w:tc>
        <w:tc>
          <w:tcPr>
            <w:tcW w:w="390" w:type="dxa"/>
            <w:tcBorders>
              <w:top w:val="single" w:color="000000" w:sz="4" w:space="0"/>
              <w:left w:val="nil"/>
              <w:bottom w:val="nil"/>
              <w:right w:val="single" w:color="000000" w:sz="4" w:space="0"/>
            </w:tcBorders>
            <w:noWrap w:val="0"/>
            <w:vAlign w:val="top"/>
          </w:tcPr>
          <w:p>
            <w:pPr>
              <w:autoSpaceDN w:val="0"/>
              <w:adjustRightInd w:val="0"/>
              <w:spacing w:line="240" w:lineRule="exact"/>
              <w:textAlignment w:val="top"/>
              <w:rPr>
                <w:rFonts w:eastAsia="方正仿宋_GBK"/>
                <w:color w:val="000000"/>
                <w:spacing w:val="-2"/>
                <w:sz w:val="18"/>
                <w:szCs w:val="18"/>
              </w:rPr>
            </w:pPr>
            <w:r>
              <w:rPr>
                <w:rFonts w:hint="eastAsia" w:eastAsia="方正仿宋_GBK"/>
                <w:color w:val="000000"/>
                <w:spacing w:val="-2"/>
                <w:sz w:val="18"/>
                <w:szCs w:val="18"/>
              </w:rPr>
              <w:t>发放</w:t>
            </w:r>
          </w:p>
        </w:tc>
        <w:tc>
          <w:tcPr>
            <w:tcW w:w="648" w:type="dxa"/>
            <w:tcBorders>
              <w:top w:val="single" w:color="000000" w:sz="4" w:space="0"/>
              <w:left w:val="nil"/>
              <w:bottom w:val="nil"/>
              <w:right w:val="single" w:color="000000" w:sz="4" w:space="0"/>
            </w:tcBorders>
            <w:noWrap w:val="0"/>
            <w:vAlign w:val="top"/>
          </w:tcPr>
          <w:p>
            <w:pPr>
              <w:autoSpaceDN w:val="0"/>
              <w:adjustRightInd w:val="0"/>
              <w:spacing w:line="240" w:lineRule="exact"/>
              <w:textAlignment w:val="top"/>
              <w:rPr>
                <w:rFonts w:eastAsia="方正仿宋_GBK"/>
                <w:color w:val="000000"/>
                <w:spacing w:val="-2"/>
                <w:sz w:val="18"/>
                <w:szCs w:val="18"/>
              </w:rPr>
            </w:pPr>
            <w:r>
              <w:rPr>
                <w:rFonts w:hint="eastAsia" w:eastAsia="方正仿宋_GBK"/>
                <w:color w:val="000000"/>
                <w:spacing w:val="-2"/>
                <w:sz w:val="18"/>
                <w:szCs w:val="18"/>
              </w:rPr>
              <w:t>企业信息审核</w:t>
            </w:r>
          </w:p>
        </w:tc>
        <w:tc>
          <w:tcPr>
            <w:tcW w:w="580" w:type="dxa"/>
            <w:tcBorders>
              <w:top w:val="single" w:color="000000" w:sz="4" w:space="0"/>
              <w:left w:val="nil"/>
              <w:bottom w:val="nil"/>
              <w:right w:val="single" w:color="000000" w:sz="4" w:space="0"/>
            </w:tcBorders>
            <w:noWrap w:val="0"/>
            <w:vAlign w:val="top"/>
          </w:tcPr>
          <w:p>
            <w:pPr>
              <w:autoSpaceDN w:val="0"/>
              <w:adjustRightInd w:val="0"/>
              <w:spacing w:line="240" w:lineRule="exact"/>
              <w:textAlignment w:val="top"/>
              <w:rPr>
                <w:rFonts w:eastAsia="方正仿宋_GBK"/>
                <w:color w:val="000000"/>
                <w:spacing w:val="-2"/>
                <w:sz w:val="18"/>
                <w:szCs w:val="18"/>
              </w:rPr>
            </w:pPr>
            <w:r>
              <w:rPr>
                <w:rFonts w:hint="eastAsia" w:eastAsia="方正仿宋_GBK"/>
                <w:color w:val="000000"/>
                <w:spacing w:val="-2"/>
                <w:sz w:val="18"/>
                <w:szCs w:val="18"/>
              </w:rPr>
              <w:t>单项核验受理</w:t>
            </w:r>
          </w:p>
        </w:tc>
        <w:tc>
          <w:tcPr>
            <w:tcW w:w="574" w:type="dxa"/>
            <w:tcBorders>
              <w:top w:val="single" w:color="000000" w:sz="4" w:space="0"/>
              <w:left w:val="nil"/>
              <w:bottom w:val="nil"/>
              <w:right w:val="single" w:color="000000" w:sz="4" w:space="0"/>
            </w:tcBorders>
            <w:noWrap w:val="0"/>
            <w:vAlign w:val="top"/>
          </w:tcPr>
          <w:p>
            <w:pPr>
              <w:autoSpaceDN w:val="0"/>
              <w:adjustRightInd w:val="0"/>
              <w:spacing w:line="240" w:lineRule="exact"/>
              <w:textAlignment w:val="top"/>
              <w:rPr>
                <w:rFonts w:eastAsia="方正仿宋_GBK"/>
                <w:color w:val="000000"/>
                <w:spacing w:val="-2"/>
                <w:sz w:val="18"/>
                <w:szCs w:val="18"/>
              </w:rPr>
            </w:pPr>
            <w:r>
              <w:rPr>
                <w:rFonts w:hint="eastAsia" w:eastAsia="方正仿宋_GBK"/>
                <w:color w:val="000000"/>
                <w:spacing w:val="-2"/>
                <w:sz w:val="18"/>
                <w:szCs w:val="18"/>
              </w:rPr>
              <w:t>年度核验受理</w:t>
            </w:r>
          </w:p>
        </w:tc>
        <w:tc>
          <w:tcPr>
            <w:tcW w:w="666" w:type="dxa"/>
            <w:tcBorders>
              <w:top w:val="single" w:color="000000" w:sz="4" w:space="0"/>
              <w:left w:val="nil"/>
              <w:bottom w:val="nil"/>
              <w:right w:val="single" w:color="000000" w:sz="4" w:space="0"/>
            </w:tcBorders>
            <w:noWrap w:val="0"/>
            <w:vAlign w:val="top"/>
          </w:tcPr>
          <w:p>
            <w:pPr>
              <w:autoSpaceDN w:val="0"/>
              <w:adjustRightInd w:val="0"/>
              <w:spacing w:line="240" w:lineRule="exact"/>
              <w:jc w:val="left"/>
              <w:textAlignment w:val="top"/>
              <w:rPr>
                <w:rFonts w:eastAsia="方正仿宋_GBK"/>
                <w:color w:val="000000"/>
                <w:spacing w:val="-2"/>
                <w:sz w:val="18"/>
                <w:szCs w:val="18"/>
              </w:rPr>
            </w:pPr>
            <w:r>
              <w:rPr>
                <w:rFonts w:hint="eastAsia" w:eastAsia="方正仿宋_GBK"/>
                <w:color w:val="000000"/>
                <w:spacing w:val="-2"/>
                <w:sz w:val="18"/>
                <w:szCs w:val="18"/>
              </w:rPr>
              <w:t>告知管理员</w:t>
            </w:r>
          </w:p>
        </w:tc>
        <w:tc>
          <w:tcPr>
            <w:tcW w:w="465" w:type="dxa"/>
            <w:tcBorders>
              <w:top w:val="single" w:color="000000" w:sz="4" w:space="0"/>
              <w:left w:val="nil"/>
              <w:bottom w:val="nil"/>
              <w:right w:val="single" w:color="000000" w:sz="4" w:space="0"/>
            </w:tcBorders>
            <w:noWrap w:val="0"/>
            <w:vAlign w:val="top"/>
          </w:tcPr>
          <w:p>
            <w:pPr>
              <w:autoSpaceDN w:val="0"/>
              <w:adjustRightInd w:val="0"/>
              <w:spacing w:line="240" w:lineRule="exact"/>
              <w:jc w:val="left"/>
              <w:textAlignment w:val="top"/>
              <w:rPr>
                <w:rFonts w:eastAsia="方正仿宋_GBK"/>
                <w:color w:val="000000"/>
                <w:spacing w:val="-2"/>
                <w:sz w:val="18"/>
                <w:szCs w:val="18"/>
              </w:rPr>
            </w:pPr>
            <w:r>
              <w:rPr>
                <w:rFonts w:hint="eastAsia" w:eastAsia="方正仿宋_GBK"/>
                <w:color w:val="000000"/>
                <w:spacing w:val="-2"/>
                <w:sz w:val="18"/>
                <w:szCs w:val="18"/>
              </w:rPr>
              <w:t>大市管理员</w:t>
            </w:r>
          </w:p>
        </w:tc>
        <w:tc>
          <w:tcPr>
            <w:tcW w:w="660" w:type="dxa"/>
            <w:tcBorders>
              <w:top w:val="single" w:color="000000" w:sz="4" w:space="0"/>
              <w:left w:val="nil"/>
              <w:bottom w:val="nil"/>
              <w:right w:val="single" w:color="000000" w:sz="4" w:space="0"/>
            </w:tcBorders>
            <w:noWrap w:val="0"/>
            <w:vAlign w:val="top"/>
          </w:tcPr>
          <w:p>
            <w:pPr>
              <w:autoSpaceDN w:val="0"/>
              <w:adjustRightInd w:val="0"/>
              <w:spacing w:line="240" w:lineRule="exact"/>
              <w:jc w:val="left"/>
              <w:textAlignment w:val="top"/>
              <w:rPr>
                <w:rFonts w:eastAsia="方正仿宋_GBK"/>
                <w:color w:val="000000"/>
                <w:spacing w:val="-2"/>
                <w:sz w:val="18"/>
                <w:szCs w:val="18"/>
              </w:rPr>
            </w:pPr>
            <w:r>
              <w:rPr>
                <w:rFonts w:hint="eastAsia" w:eastAsia="方正仿宋_GBK"/>
                <w:color w:val="000000"/>
                <w:spacing w:val="-2"/>
                <w:sz w:val="18"/>
                <w:szCs w:val="18"/>
              </w:rPr>
              <w:t>档案管理员</w:t>
            </w:r>
          </w:p>
        </w:tc>
        <w:tc>
          <w:tcPr>
            <w:tcW w:w="765" w:type="dxa"/>
            <w:tcBorders>
              <w:top w:val="single" w:color="000000" w:sz="4" w:space="0"/>
              <w:left w:val="nil"/>
              <w:bottom w:val="nil"/>
              <w:right w:val="single" w:color="000000" w:sz="4" w:space="0"/>
            </w:tcBorders>
            <w:noWrap w:val="0"/>
            <w:vAlign w:val="top"/>
          </w:tcPr>
          <w:p>
            <w:pPr>
              <w:autoSpaceDN w:val="0"/>
              <w:adjustRightInd w:val="0"/>
              <w:spacing w:line="240" w:lineRule="exact"/>
              <w:jc w:val="left"/>
              <w:textAlignment w:val="top"/>
              <w:rPr>
                <w:rFonts w:eastAsia="方正仿宋_GBK"/>
                <w:color w:val="000000"/>
                <w:spacing w:val="-2"/>
                <w:sz w:val="18"/>
                <w:szCs w:val="18"/>
              </w:rPr>
            </w:pPr>
            <w:r>
              <w:rPr>
                <w:rFonts w:hint="eastAsia" w:eastAsia="方正仿宋_GBK"/>
                <w:color w:val="000000"/>
                <w:spacing w:val="-2"/>
                <w:sz w:val="18"/>
                <w:szCs w:val="18"/>
              </w:rPr>
              <w:t>审图结果查看</w:t>
            </w:r>
          </w:p>
        </w:tc>
        <w:tc>
          <w:tcPr>
            <w:tcW w:w="720" w:type="dxa"/>
            <w:tcBorders>
              <w:top w:val="single" w:color="000000" w:sz="4" w:space="0"/>
              <w:left w:val="single" w:color="000000" w:sz="4" w:space="0"/>
              <w:bottom w:val="single" w:color="000000" w:sz="4" w:space="0"/>
              <w:right w:val="single" w:color="auto" w:sz="8" w:space="0"/>
            </w:tcBorders>
            <w:noWrap w:val="0"/>
            <w:vAlign w:val="center"/>
          </w:tcPr>
          <w:p>
            <w:pPr>
              <w:autoSpaceDN w:val="0"/>
              <w:adjustRightInd w:val="0"/>
              <w:spacing w:line="240" w:lineRule="exact"/>
              <w:rPr>
                <w:rFonts w:eastAsia="方正仿宋_GBK"/>
                <w:color w:val="000000"/>
                <w:spacing w:val="-2"/>
                <w:sz w:val="18"/>
                <w:szCs w:val="18"/>
              </w:rPr>
            </w:pPr>
          </w:p>
        </w:tc>
      </w:tr>
      <w:tr>
        <w:tblPrEx>
          <w:tblCellMar>
            <w:top w:w="0" w:type="dxa"/>
            <w:left w:w="108" w:type="dxa"/>
            <w:bottom w:w="0" w:type="dxa"/>
            <w:right w:w="108" w:type="dxa"/>
          </w:tblCellMar>
        </w:tblPrEx>
        <w:trPr>
          <w:trHeight w:val="460" w:hRule="atLeast"/>
          <w:jc w:val="center"/>
        </w:trPr>
        <w:tc>
          <w:tcPr>
            <w:tcW w:w="403" w:type="dxa"/>
            <w:tcBorders>
              <w:top w:val="single" w:color="000000" w:sz="4" w:space="0"/>
              <w:left w:val="single" w:color="auto" w:sz="8" w:space="0"/>
              <w:bottom w:val="single" w:color="000000" w:sz="4" w:space="0"/>
              <w:right w:val="single" w:color="000000" w:sz="4" w:space="0"/>
            </w:tcBorders>
            <w:noWrap w:val="0"/>
            <w:vAlign w:val="bottom"/>
          </w:tcPr>
          <w:p>
            <w:pPr>
              <w:autoSpaceDN w:val="0"/>
              <w:adjustRightInd w:val="0"/>
              <w:spacing w:line="312" w:lineRule="atLeast"/>
              <w:jc w:val="left"/>
              <w:textAlignment w:val="bottom"/>
              <w:rPr>
                <w:rFonts w:eastAsia="方正仿宋_GBK"/>
                <w:color w:val="000000"/>
                <w:spacing w:val="-2"/>
                <w:sz w:val="18"/>
                <w:szCs w:val="18"/>
              </w:rPr>
            </w:pPr>
          </w:p>
        </w:tc>
        <w:tc>
          <w:tcPr>
            <w:tcW w:w="495" w:type="dxa"/>
            <w:tcBorders>
              <w:top w:val="single" w:color="000000" w:sz="4" w:space="0"/>
              <w:left w:val="single" w:color="000000" w:sz="4" w:space="0"/>
              <w:bottom w:val="single" w:color="000000" w:sz="4" w:space="0"/>
              <w:right w:val="single" w:color="000000" w:sz="4" w:space="0"/>
            </w:tcBorders>
            <w:noWrap w:val="0"/>
            <w:vAlign w:val="bottom"/>
          </w:tcPr>
          <w:p>
            <w:pPr>
              <w:autoSpaceDN w:val="0"/>
              <w:adjustRightInd w:val="0"/>
              <w:spacing w:line="312" w:lineRule="atLeast"/>
              <w:jc w:val="left"/>
              <w:textAlignment w:val="bottom"/>
              <w:rPr>
                <w:rFonts w:eastAsia="方正仿宋_GBK"/>
                <w:color w:val="000000"/>
                <w:spacing w:val="-2"/>
                <w:sz w:val="18"/>
                <w:szCs w:val="18"/>
              </w:rPr>
            </w:pPr>
          </w:p>
        </w:tc>
        <w:tc>
          <w:tcPr>
            <w:tcW w:w="702" w:type="dxa"/>
            <w:tcBorders>
              <w:top w:val="single" w:color="000000" w:sz="4" w:space="0"/>
              <w:left w:val="single" w:color="000000" w:sz="4" w:space="0"/>
              <w:bottom w:val="single" w:color="000000" w:sz="4" w:space="0"/>
              <w:right w:val="single" w:color="000000" w:sz="4" w:space="0"/>
            </w:tcBorders>
            <w:noWrap w:val="0"/>
            <w:vAlign w:val="bottom"/>
          </w:tcPr>
          <w:p>
            <w:pPr>
              <w:autoSpaceDN w:val="0"/>
              <w:adjustRightInd w:val="0"/>
              <w:spacing w:line="312" w:lineRule="atLeast"/>
              <w:jc w:val="left"/>
              <w:textAlignment w:val="bottom"/>
              <w:rPr>
                <w:rFonts w:eastAsia="方正仿宋_GBK"/>
                <w:color w:val="000000"/>
                <w:spacing w:val="-2"/>
                <w:sz w:val="18"/>
                <w:szCs w:val="18"/>
              </w:rPr>
            </w:pPr>
          </w:p>
        </w:tc>
        <w:tc>
          <w:tcPr>
            <w:tcW w:w="76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8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5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5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67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3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2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306"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789"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3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r>
              <w:rPr>
                <w:rFonts w:eastAsia="方正仿宋_GBK"/>
                <w:color w:val="000000"/>
                <w:spacing w:val="-2"/>
                <w:sz w:val="18"/>
                <w:szCs w:val="18"/>
              </w:rPr>
              <w:t xml:space="preserve"> </w:t>
            </w:r>
          </w:p>
        </w:tc>
        <w:tc>
          <w:tcPr>
            <w:tcW w:w="42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37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37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37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39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648"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58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574"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666"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jc w:val="left"/>
              <w:textAlignment w:val="top"/>
              <w:rPr>
                <w:rFonts w:eastAsia="方正仿宋_GBK"/>
                <w:color w:val="000000"/>
                <w:spacing w:val="-2"/>
                <w:sz w:val="18"/>
                <w:szCs w:val="18"/>
              </w:rPr>
            </w:pP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jc w:val="left"/>
              <w:textAlignment w:val="top"/>
              <w:rPr>
                <w:rFonts w:eastAsia="方正仿宋_GBK"/>
                <w:color w:val="000000"/>
                <w:spacing w:val="-2"/>
                <w:sz w:val="18"/>
                <w:szCs w:val="18"/>
              </w:rPr>
            </w:pPr>
          </w:p>
        </w:tc>
        <w:tc>
          <w:tcPr>
            <w:tcW w:w="66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jc w:val="left"/>
              <w:textAlignment w:val="top"/>
              <w:rPr>
                <w:rFonts w:eastAsia="方正仿宋_GBK"/>
                <w:color w:val="000000"/>
                <w:spacing w:val="-2"/>
                <w:sz w:val="18"/>
                <w:szCs w:val="18"/>
              </w:rPr>
            </w:pP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jc w:val="left"/>
              <w:textAlignment w:val="top"/>
              <w:rPr>
                <w:rFonts w:eastAsia="方正仿宋_GBK"/>
                <w:color w:val="000000"/>
                <w:spacing w:val="-2"/>
                <w:sz w:val="18"/>
                <w:szCs w:val="18"/>
              </w:rPr>
            </w:pPr>
          </w:p>
        </w:tc>
        <w:tc>
          <w:tcPr>
            <w:tcW w:w="720" w:type="dxa"/>
            <w:tcBorders>
              <w:top w:val="single" w:color="000000" w:sz="4" w:space="0"/>
              <w:left w:val="single" w:color="000000" w:sz="4" w:space="0"/>
              <w:bottom w:val="single" w:color="000000" w:sz="4" w:space="0"/>
              <w:right w:val="single" w:color="auto" w:sz="8" w:space="0"/>
            </w:tcBorders>
            <w:noWrap w:val="0"/>
            <w:vAlign w:val="bottom"/>
          </w:tcPr>
          <w:p>
            <w:pPr>
              <w:autoSpaceDN w:val="0"/>
              <w:adjustRightInd w:val="0"/>
              <w:spacing w:line="312" w:lineRule="atLeast"/>
              <w:jc w:val="left"/>
              <w:textAlignment w:val="bottom"/>
              <w:rPr>
                <w:rFonts w:eastAsia="方正仿宋_GBK"/>
                <w:color w:val="000000"/>
                <w:spacing w:val="-2"/>
                <w:sz w:val="18"/>
                <w:szCs w:val="18"/>
              </w:rPr>
            </w:pPr>
          </w:p>
        </w:tc>
      </w:tr>
      <w:tr>
        <w:tblPrEx>
          <w:tblCellMar>
            <w:top w:w="0" w:type="dxa"/>
            <w:left w:w="108" w:type="dxa"/>
            <w:bottom w:w="0" w:type="dxa"/>
            <w:right w:w="108" w:type="dxa"/>
          </w:tblCellMar>
        </w:tblPrEx>
        <w:trPr>
          <w:trHeight w:val="460" w:hRule="atLeast"/>
          <w:jc w:val="center"/>
        </w:trPr>
        <w:tc>
          <w:tcPr>
            <w:tcW w:w="403" w:type="dxa"/>
            <w:tcBorders>
              <w:top w:val="single" w:color="000000" w:sz="4" w:space="0"/>
              <w:left w:val="single" w:color="auto" w:sz="8" w:space="0"/>
              <w:bottom w:val="single" w:color="000000" w:sz="4" w:space="0"/>
              <w:right w:val="single" w:color="000000" w:sz="4" w:space="0"/>
            </w:tcBorders>
            <w:noWrap w:val="0"/>
            <w:vAlign w:val="bottom"/>
          </w:tcPr>
          <w:p>
            <w:pPr>
              <w:autoSpaceDN w:val="0"/>
              <w:adjustRightInd w:val="0"/>
              <w:spacing w:line="312" w:lineRule="atLeast"/>
              <w:jc w:val="left"/>
              <w:textAlignment w:val="bottom"/>
              <w:rPr>
                <w:rFonts w:eastAsia="方正仿宋_GBK"/>
                <w:color w:val="000000"/>
                <w:spacing w:val="-2"/>
                <w:sz w:val="18"/>
                <w:szCs w:val="18"/>
              </w:rPr>
            </w:pPr>
          </w:p>
        </w:tc>
        <w:tc>
          <w:tcPr>
            <w:tcW w:w="495" w:type="dxa"/>
            <w:tcBorders>
              <w:top w:val="single" w:color="000000" w:sz="4" w:space="0"/>
              <w:left w:val="single" w:color="000000" w:sz="4" w:space="0"/>
              <w:bottom w:val="single" w:color="000000" w:sz="4" w:space="0"/>
              <w:right w:val="single" w:color="000000" w:sz="4" w:space="0"/>
            </w:tcBorders>
            <w:noWrap w:val="0"/>
            <w:vAlign w:val="bottom"/>
          </w:tcPr>
          <w:p>
            <w:pPr>
              <w:autoSpaceDN w:val="0"/>
              <w:adjustRightInd w:val="0"/>
              <w:spacing w:line="312" w:lineRule="atLeast"/>
              <w:jc w:val="left"/>
              <w:textAlignment w:val="bottom"/>
              <w:rPr>
                <w:rFonts w:eastAsia="方正仿宋_GBK"/>
                <w:color w:val="000000"/>
                <w:spacing w:val="-2"/>
                <w:sz w:val="18"/>
                <w:szCs w:val="18"/>
              </w:rPr>
            </w:pPr>
          </w:p>
        </w:tc>
        <w:tc>
          <w:tcPr>
            <w:tcW w:w="702" w:type="dxa"/>
            <w:tcBorders>
              <w:top w:val="single" w:color="000000" w:sz="4" w:space="0"/>
              <w:left w:val="single" w:color="000000" w:sz="4" w:space="0"/>
              <w:bottom w:val="single" w:color="000000" w:sz="4" w:space="0"/>
              <w:right w:val="single" w:color="000000" w:sz="4" w:space="0"/>
            </w:tcBorders>
            <w:noWrap w:val="0"/>
            <w:vAlign w:val="bottom"/>
          </w:tcPr>
          <w:p>
            <w:pPr>
              <w:autoSpaceDN w:val="0"/>
              <w:adjustRightInd w:val="0"/>
              <w:spacing w:line="312" w:lineRule="atLeast"/>
              <w:jc w:val="left"/>
              <w:textAlignment w:val="bottom"/>
              <w:rPr>
                <w:rFonts w:eastAsia="方正仿宋_GBK"/>
                <w:color w:val="000000"/>
                <w:spacing w:val="-2"/>
                <w:sz w:val="18"/>
                <w:szCs w:val="18"/>
              </w:rPr>
            </w:pPr>
          </w:p>
        </w:tc>
        <w:tc>
          <w:tcPr>
            <w:tcW w:w="76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8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5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5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67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3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2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306"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789"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3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2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37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37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37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39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648"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58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574"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666"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jc w:val="left"/>
              <w:textAlignment w:val="top"/>
              <w:rPr>
                <w:rFonts w:eastAsia="方正仿宋_GBK"/>
                <w:color w:val="000000"/>
                <w:spacing w:val="-2"/>
                <w:sz w:val="18"/>
                <w:szCs w:val="18"/>
              </w:rPr>
            </w:pP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jc w:val="left"/>
              <w:textAlignment w:val="top"/>
              <w:rPr>
                <w:rFonts w:eastAsia="方正仿宋_GBK"/>
                <w:color w:val="000000"/>
                <w:spacing w:val="-2"/>
                <w:sz w:val="18"/>
                <w:szCs w:val="18"/>
              </w:rPr>
            </w:pPr>
          </w:p>
        </w:tc>
        <w:tc>
          <w:tcPr>
            <w:tcW w:w="66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jc w:val="left"/>
              <w:textAlignment w:val="top"/>
              <w:rPr>
                <w:rFonts w:eastAsia="方正仿宋_GBK"/>
                <w:color w:val="000000"/>
                <w:spacing w:val="-2"/>
                <w:sz w:val="18"/>
                <w:szCs w:val="18"/>
              </w:rPr>
            </w:pP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jc w:val="left"/>
              <w:textAlignment w:val="top"/>
              <w:rPr>
                <w:rFonts w:eastAsia="方正仿宋_GBK"/>
                <w:color w:val="000000"/>
                <w:spacing w:val="-2"/>
                <w:sz w:val="18"/>
                <w:szCs w:val="18"/>
              </w:rPr>
            </w:pPr>
          </w:p>
        </w:tc>
        <w:tc>
          <w:tcPr>
            <w:tcW w:w="720" w:type="dxa"/>
            <w:tcBorders>
              <w:top w:val="single" w:color="000000" w:sz="4" w:space="0"/>
              <w:left w:val="single" w:color="000000" w:sz="4" w:space="0"/>
              <w:bottom w:val="single" w:color="000000" w:sz="4" w:space="0"/>
              <w:right w:val="single" w:color="auto" w:sz="8" w:space="0"/>
            </w:tcBorders>
            <w:noWrap w:val="0"/>
            <w:vAlign w:val="bottom"/>
          </w:tcPr>
          <w:p>
            <w:pPr>
              <w:autoSpaceDN w:val="0"/>
              <w:adjustRightInd w:val="0"/>
              <w:spacing w:line="312" w:lineRule="atLeast"/>
              <w:jc w:val="left"/>
              <w:textAlignment w:val="bottom"/>
              <w:rPr>
                <w:rFonts w:eastAsia="方正仿宋_GBK"/>
                <w:color w:val="000000"/>
                <w:spacing w:val="-2"/>
                <w:sz w:val="18"/>
                <w:szCs w:val="18"/>
              </w:rPr>
            </w:pPr>
          </w:p>
        </w:tc>
      </w:tr>
      <w:tr>
        <w:tblPrEx>
          <w:tblCellMar>
            <w:top w:w="0" w:type="dxa"/>
            <w:left w:w="108" w:type="dxa"/>
            <w:bottom w:w="0" w:type="dxa"/>
            <w:right w:w="108" w:type="dxa"/>
          </w:tblCellMar>
        </w:tblPrEx>
        <w:trPr>
          <w:trHeight w:val="460" w:hRule="atLeast"/>
          <w:jc w:val="center"/>
        </w:trPr>
        <w:tc>
          <w:tcPr>
            <w:tcW w:w="403" w:type="dxa"/>
            <w:tcBorders>
              <w:top w:val="single" w:color="000000" w:sz="4" w:space="0"/>
              <w:left w:val="single" w:color="auto" w:sz="8" w:space="0"/>
              <w:bottom w:val="single" w:color="000000" w:sz="4" w:space="0"/>
              <w:right w:val="single" w:color="000000" w:sz="4" w:space="0"/>
            </w:tcBorders>
            <w:noWrap w:val="0"/>
            <w:vAlign w:val="bottom"/>
          </w:tcPr>
          <w:p>
            <w:pPr>
              <w:autoSpaceDN w:val="0"/>
              <w:adjustRightInd w:val="0"/>
              <w:spacing w:line="312" w:lineRule="atLeast"/>
              <w:jc w:val="left"/>
              <w:textAlignment w:val="bottom"/>
              <w:rPr>
                <w:rFonts w:eastAsia="方正仿宋_GBK"/>
                <w:color w:val="000000"/>
                <w:spacing w:val="-2"/>
                <w:sz w:val="18"/>
                <w:szCs w:val="18"/>
              </w:rPr>
            </w:pPr>
          </w:p>
        </w:tc>
        <w:tc>
          <w:tcPr>
            <w:tcW w:w="495" w:type="dxa"/>
            <w:tcBorders>
              <w:top w:val="single" w:color="000000" w:sz="4" w:space="0"/>
              <w:left w:val="single" w:color="000000" w:sz="4" w:space="0"/>
              <w:bottom w:val="single" w:color="000000" w:sz="4" w:space="0"/>
              <w:right w:val="single" w:color="000000" w:sz="4" w:space="0"/>
            </w:tcBorders>
            <w:noWrap w:val="0"/>
            <w:vAlign w:val="bottom"/>
          </w:tcPr>
          <w:p>
            <w:pPr>
              <w:autoSpaceDN w:val="0"/>
              <w:adjustRightInd w:val="0"/>
              <w:spacing w:line="312" w:lineRule="atLeast"/>
              <w:jc w:val="left"/>
              <w:textAlignment w:val="bottom"/>
              <w:rPr>
                <w:rFonts w:eastAsia="方正仿宋_GBK"/>
                <w:color w:val="000000"/>
                <w:spacing w:val="-2"/>
                <w:sz w:val="18"/>
                <w:szCs w:val="18"/>
              </w:rPr>
            </w:pPr>
          </w:p>
        </w:tc>
        <w:tc>
          <w:tcPr>
            <w:tcW w:w="702" w:type="dxa"/>
            <w:tcBorders>
              <w:top w:val="single" w:color="000000" w:sz="4" w:space="0"/>
              <w:left w:val="single" w:color="000000" w:sz="4" w:space="0"/>
              <w:bottom w:val="single" w:color="000000" w:sz="4" w:space="0"/>
              <w:right w:val="single" w:color="000000" w:sz="4" w:space="0"/>
            </w:tcBorders>
            <w:noWrap w:val="0"/>
            <w:vAlign w:val="bottom"/>
          </w:tcPr>
          <w:p>
            <w:pPr>
              <w:autoSpaceDN w:val="0"/>
              <w:adjustRightInd w:val="0"/>
              <w:spacing w:line="312" w:lineRule="atLeast"/>
              <w:jc w:val="left"/>
              <w:textAlignment w:val="bottom"/>
              <w:rPr>
                <w:rFonts w:eastAsia="方正仿宋_GBK"/>
                <w:color w:val="000000"/>
                <w:spacing w:val="-2"/>
                <w:sz w:val="18"/>
                <w:szCs w:val="18"/>
              </w:rPr>
            </w:pPr>
          </w:p>
        </w:tc>
        <w:tc>
          <w:tcPr>
            <w:tcW w:w="76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8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5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5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67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3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2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306"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789"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3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2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37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37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37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39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648"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58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574"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666"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jc w:val="left"/>
              <w:textAlignment w:val="top"/>
              <w:rPr>
                <w:rFonts w:eastAsia="方正仿宋_GBK"/>
                <w:color w:val="000000"/>
                <w:spacing w:val="-2"/>
                <w:sz w:val="18"/>
                <w:szCs w:val="18"/>
              </w:rPr>
            </w:pP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jc w:val="left"/>
              <w:textAlignment w:val="top"/>
              <w:rPr>
                <w:rFonts w:eastAsia="方正仿宋_GBK"/>
                <w:color w:val="000000"/>
                <w:spacing w:val="-2"/>
                <w:sz w:val="18"/>
                <w:szCs w:val="18"/>
              </w:rPr>
            </w:pPr>
          </w:p>
        </w:tc>
        <w:tc>
          <w:tcPr>
            <w:tcW w:w="66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jc w:val="left"/>
              <w:textAlignment w:val="top"/>
              <w:rPr>
                <w:rFonts w:eastAsia="方正仿宋_GBK"/>
                <w:color w:val="000000"/>
                <w:spacing w:val="-2"/>
                <w:sz w:val="18"/>
                <w:szCs w:val="18"/>
              </w:rPr>
            </w:pP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jc w:val="left"/>
              <w:textAlignment w:val="top"/>
              <w:rPr>
                <w:rFonts w:eastAsia="方正仿宋_GBK"/>
                <w:color w:val="000000"/>
                <w:spacing w:val="-2"/>
                <w:sz w:val="18"/>
                <w:szCs w:val="18"/>
              </w:rPr>
            </w:pPr>
          </w:p>
        </w:tc>
        <w:tc>
          <w:tcPr>
            <w:tcW w:w="720" w:type="dxa"/>
            <w:tcBorders>
              <w:top w:val="single" w:color="000000" w:sz="4" w:space="0"/>
              <w:left w:val="single" w:color="000000" w:sz="4" w:space="0"/>
              <w:bottom w:val="single" w:color="000000" w:sz="4" w:space="0"/>
              <w:right w:val="single" w:color="auto" w:sz="8" w:space="0"/>
            </w:tcBorders>
            <w:noWrap w:val="0"/>
            <w:vAlign w:val="bottom"/>
          </w:tcPr>
          <w:p>
            <w:pPr>
              <w:autoSpaceDN w:val="0"/>
              <w:adjustRightInd w:val="0"/>
              <w:spacing w:line="312" w:lineRule="atLeast"/>
              <w:jc w:val="left"/>
              <w:textAlignment w:val="bottom"/>
              <w:rPr>
                <w:rFonts w:eastAsia="方正仿宋_GBK"/>
                <w:color w:val="000000"/>
                <w:spacing w:val="-2"/>
                <w:sz w:val="18"/>
                <w:szCs w:val="18"/>
              </w:rPr>
            </w:pPr>
          </w:p>
        </w:tc>
      </w:tr>
      <w:tr>
        <w:tblPrEx>
          <w:tblCellMar>
            <w:top w:w="0" w:type="dxa"/>
            <w:left w:w="108" w:type="dxa"/>
            <w:bottom w:w="0" w:type="dxa"/>
            <w:right w:w="108" w:type="dxa"/>
          </w:tblCellMar>
        </w:tblPrEx>
        <w:trPr>
          <w:trHeight w:val="460" w:hRule="atLeast"/>
          <w:jc w:val="center"/>
        </w:trPr>
        <w:tc>
          <w:tcPr>
            <w:tcW w:w="403" w:type="dxa"/>
            <w:tcBorders>
              <w:top w:val="single" w:color="000000" w:sz="4" w:space="0"/>
              <w:left w:val="single" w:color="auto" w:sz="8" w:space="0"/>
              <w:bottom w:val="single" w:color="000000" w:sz="4" w:space="0"/>
              <w:right w:val="single" w:color="000000" w:sz="4" w:space="0"/>
            </w:tcBorders>
            <w:noWrap w:val="0"/>
            <w:vAlign w:val="bottom"/>
          </w:tcPr>
          <w:p>
            <w:pPr>
              <w:autoSpaceDN w:val="0"/>
              <w:adjustRightInd w:val="0"/>
              <w:spacing w:line="312" w:lineRule="atLeast"/>
              <w:jc w:val="left"/>
              <w:textAlignment w:val="bottom"/>
              <w:rPr>
                <w:rFonts w:eastAsia="方正仿宋_GBK"/>
                <w:color w:val="000000"/>
                <w:spacing w:val="-2"/>
                <w:sz w:val="18"/>
                <w:szCs w:val="18"/>
              </w:rPr>
            </w:pPr>
          </w:p>
        </w:tc>
        <w:tc>
          <w:tcPr>
            <w:tcW w:w="495" w:type="dxa"/>
            <w:tcBorders>
              <w:top w:val="single" w:color="000000" w:sz="4" w:space="0"/>
              <w:left w:val="single" w:color="000000" w:sz="4" w:space="0"/>
              <w:bottom w:val="single" w:color="000000" w:sz="4" w:space="0"/>
              <w:right w:val="single" w:color="000000" w:sz="4" w:space="0"/>
            </w:tcBorders>
            <w:noWrap w:val="0"/>
            <w:vAlign w:val="bottom"/>
          </w:tcPr>
          <w:p>
            <w:pPr>
              <w:autoSpaceDN w:val="0"/>
              <w:adjustRightInd w:val="0"/>
              <w:spacing w:line="312" w:lineRule="atLeast"/>
              <w:jc w:val="left"/>
              <w:textAlignment w:val="bottom"/>
              <w:rPr>
                <w:rFonts w:eastAsia="方正仿宋_GBK"/>
                <w:color w:val="000000"/>
                <w:spacing w:val="-2"/>
                <w:sz w:val="18"/>
                <w:szCs w:val="18"/>
              </w:rPr>
            </w:pPr>
          </w:p>
        </w:tc>
        <w:tc>
          <w:tcPr>
            <w:tcW w:w="702" w:type="dxa"/>
            <w:tcBorders>
              <w:top w:val="single" w:color="000000" w:sz="4" w:space="0"/>
              <w:left w:val="single" w:color="000000" w:sz="4" w:space="0"/>
              <w:bottom w:val="single" w:color="000000" w:sz="4" w:space="0"/>
              <w:right w:val="single" w:color="000000" w:sz="4" w:space="0"/>
            </w:tcBorders>
            <w:noWrap w:val="0"/>
            <w:vAlign w:val="bottom"/>
          </w:tcPr>
          <w:p>
            <w:pPr>
              <w:autoSpaceDN w:val="0"/>
              <w:adjustRightInd w:val="0"/>
              <w:spacing w:line="312" w:lineRule="atLeast"/>
              <w:jc w:val="left"/>
              <w:textAlignment w:val="bottom"/>
              <w:rPr>
                <w:rFonts w:eastAsia="方正仿宋_GBK"/>
                <w:color w:val="000000"/>
                <w:spacing w:val="-2"/>
                <w:sz w:val="18"/>
                <w:szCs w:val="18"/>
              </w:rPr>
            </w:pPr>
          </w:p>
        </w:tc>
        <w:tc>
          <w:tcPr>
            <w:tcW w:w="76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8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5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5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67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3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2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306"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789"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3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2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37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37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37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39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648"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58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574"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666"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jc w:val="left"/>
              <w:textAlignment w:val="top"/>
              <w:rPr>
                <w:rFonts w:eastAsia="方正仿宋_GBK"/>
                <w:color w:val="000000"/>
                <w:spacing w:val="-2"/>
                <w:sz w:val="18"/>
                <w:szCs w:val="18"/>
              </w:rPr>
            </w:pP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jc w:val="left"/>
              <w:textAlignment w:val="top"/>
              <w:rPr>
                <w:rFonts w:eastAsia="方正仿宋_GBK"/>
                <w:color w:val="000000"/>
                <w:spacing w:val="-2"/>
                <w:sz w:val="18"/>
                <w:szCs w:val="18"/>
              </w:rPr>
            </w:pPr>
          </w:p>
        </w:tc>
        <w:tc>
          <w:tcPr>
            <w:tcW w:w="66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jc w:val="left"/>
              <w:textAlignment w:val="top"/>
              <w:rPr>
                <w:rFonts w:eastAsia="方正仿宋_GBK"/>
                <w:color w:val="000000"/>
                <w:spacing w:val="-2"/>
                <w:sz w:val="18"/>
                <w:szCs w:val="18"/>
              </w:rPr>
            </w:pP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jc w:val="left"/>
              <w:textAlignment w:val="top"/>
              <w:rPr>
                <w:rFonts w:eastAsia="方正仿宋_GBK"/>
                <w:color w:val="000000"/>
                <w:spacing w:val="-2"/>
                <w:sz w:val="18"/>
                <w:szCs w:val="18"/>
              </w:rPr>
            </w:pPr>
          </w:p>
        </w:tc>
        <w:tc>
          <w:tcPr>
            <w:tcW w:w="720" w:type="dxa"/>
            <w:tcBorders>
              <w:top w:val="single" w:color="000000" w:sz="4" w:space="0"/>
              <w:left w:val="single" w:color="000000" w:sz="4" w:space="0"/>
              <w:bottom w:val="single" w:color="000000" w:sz="4" w:space="0"/>
              <w:right w:val="single" w:color="auto" w:sz="8" w:space="0"/>
            </w:tcBorders>
            <w:noWrap w:val="0"/>
            <w:vAlign w:val="bottom"/>
          </w:tcPr>
          <w:p>
            <w:pPr>
              <w:autoSpaceDN w:val="0"/>
              <w:adjustRightInd w:val="0"/>
              <w:spacing w:line="312" w:lineRule="atLeast"/>
              <w:jc w:val="left"/>
              <w:textAlignment w:val="bottom"/>
              <w:rPr>
                <w:rFonts w:eastAsia="方正仿宋_GBK"/>
                <w:color w:val="000000"/>
                <w:spacing w:val="-2"/>
                <w:sz w:val="18"/>
                <w:szCs w:val="18"/>
              </w:rPr>
            </w:pPr>
          </w:p>
        </w:tc>
      </w:tr>
      <w:tr>
        <w:tblPrEx>
          <w:tblCellMar>
            <w:top w:w="0" w:type="dxa"/>
            <w:left w:w="108" w:type="dxa"/>
            <w:bottom w:w="0" w:type="dxa"/>
            <w:right w:w="108" w:type="dxa"/>
          </w:tblCellMar>
        </w:tblPrEx>
        <w:trPr>
          <w:trHeight w:val="460" w:hRule="atLeast"/>
          <w:jc w:val="center"/>
        </w:trPr>
        <w:tc>
          <w:tcPr>
            <w:tcW w:w="403" w:type="dxa"/>
            <w:tcBorders>
              <w:top w:val="single" w:color="000000" w:sz="4" w:space="0"/>
              <w:left w:val="single" w:color="auto" w:sz="8" w:space="0"/>
              <w:bottom w:val="single" w:color="000000" w:sz="4" w:space="0"/>
              <w:right w:val="single" w:color="000000" w:sz="4" w:space="0"/>
            </w:tcBorders>
            <w:noWrap w:val="0"/>
            <w:vAlign w:val="bottom"/>
          </w:tcPr>
          <w:p>
            <w:pPr>
              <w:autoSpaceDN w:val="0"/>
              <w:adjustRightInd w:val="0"/>
              <w:spacing w:line="312" w:lineRule="atLeast"/>
              <w:jc w:val="left"/>
              <w:textAlignment w:val="bottom"/>
              <w:rPr>
                <w:rFonts w:eastAsia="方正仿宋_GBK"/>
                <w:color w:val="000000"/>
                <w:spacing w:val="-2"/>
                <w:sz w:val="18"/>
                <w:szCs w:val="18"/>
              </w:rPr>
            </w:pPr>
          </w:p>
        </w:tc>
        <w:tc>
          <w:tcPr>
            <w:tcW w:w="495" w:type="dxa"/>
            <w:tcBorders>
              <w:top w:val="single" w:color="000000" w:sz="4" w:space="0"/>
              <w:left w:val="single" w:color="000000" w:sz="4" w:space="0"/>
              <w:bottom w:val="single" w:color="000000" w:sz="4" w:space="0"/>
              <w:right w:val="single" w:color="000000" w:sz="4" w:space="0"/>
            </w:tcBorders>
            <w:noWrap w:val="0"/>
            <w:vAlign w:val="bottom"/>
          </w:tcPr>
          <w:p>
            <w:pPr>
              <w:autoSpaceDN w:val="0"/>
              <w:adjustRightInd w:val="0"/>
              <w:spacing w:line="312" w:lineRule="atLeast"/>
              <w:jc w:val="left"/>
              <w:textAlignment w:val="bottom"/>
              <w:rPr>
                <w:rFonts w:eastAsia="方正仿宋_GBK"/>
                <w:color w:val="000000"/>
                <w:spacing w:val="-2"/>
                <w:sz w:val="18"/>
                <w:szCs w:val="18"/>
              </w:rPr>
            </w:pPr>
          </w:p>
        </w:tc>
        <w:tc>
          <w:tcPr>
            <w:tcW w:w="702" w:type="dxa"/>
            <w:tcBorders>
              <w:top w:val="single" w:color="000000" w:sz="4" w:space="0"/>
              <w:left w:val="single" w:color="000000" w:sz="4" w:space="0"/>
              <w:bottom w:val="single" w:color="000000" w:sz="4" w:space="0"/>
              <w:right w:val="single" w:color="000000" w:sz="4" w:space="0"/>
            </w:tcBorders>
            <w:noWrap w:val="0"/>
            <w:vAlign w:val="bottom"/>
          </w:tcPr>
          <w:p>
            <w:pPr>
              <w:autoSpaceDN w:val="0"/>
              <w:adjustRightInd w:val="0"/>
              <w:spacing w:line="312" w:lineRule="atLeast"/>
              <w:jc w:val="left"/>
              <w:textAlignment w:val="bottom"/>
              <w:rPr>
                <w:rFonts w:eastAsia="方正仿宋_GBK"/>
                <w:color w:val="000000"/>
                <w:spacing w:val="-2"/>
                <w:sz w:val="18"/>
                <w:szCs w:val="18"/>
              </w:rPr>
            </w:pPr>
          </w:p>
        </w:tc>
        <w:tc>
          <w:tcPr>
            <w:tcW w:w="76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8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5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5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67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3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2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306"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789"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3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2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37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37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37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39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648"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58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574"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666"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jc w:val="left"/>
              <w:textAlignment w:val="top"/>
              <w:rPr>
                <w:rFonts w:eastAsia="方正仿宋_GBK"/>
                <w:color w:val="000000"/>
                <w:spacing w:val="-2"/>
                <w:sz w:val="18"/>
                <w:szCs w:val="18"/>
              </w:rPr>
            </w:pP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jc w:val="left"/>
              <w:textAlignment w:val="top"/>
              <w:rPr>
                <w:rFonts w:eastAsia="方正仿宋_GBK"/>
                <w:color w:val="000000"/>
                <w:spacing w:val="-2"/>
                <w:sz w:val="18"/>
                <w:szCs w:val="18"/>
              </w:rPr>
            </w:pPr>
          </w:p>
        </w:tc>
        <w:tc>
          <w:tcPr>
            <w:tcW w:w="66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jc w:val="left"/>
              <w:textAlignment w:val="top"/>
              <w:rPr>
                <w:rFonts w:eastAsia="方正仿宋_GBK"/>
                <w:color w:val="000000"/>
                <w:spacing w:val="-2"/>
                <w:sz w:val="18"/>
                <w:szCs w:val="18"/>
              </w:rPr>
            </w:pP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jc w:val="left"/>
              <w:textAlignment w:val="top"/>
              <w:rPr>
                <w:rFonts w:eastAsia="方正仿宋_GBK"/>
                <w:color w:val="000000"/>
                <w:spacing w:val="-2"/>
                <w:sz w:val="18"/>
                <w:szCs w:val="18"/>
              </w:rPr>
            </w:pPr>
          </w:p>
        </w:tc>
        <w:tc>
          <w:tcPr>
            <w:tcW w:w="720" w:type="dxa"/>
            <w:tcBorders>
              <w:top w:val="single" w:color="000000" w:sz="4" w:space="0"/>
              <w:left w:val="single" w:color="000000" w:sz="4" w:space="0"/>
              <w:bottom w:val="single" w:color="000000" w:sz="4" w:space="0"/>
              <w:right w:val="single" w:color="auto" w:sz="8" w:space="0"/>
            </w:tcBorders>
            <w:noWrap w:val="0"/>
            <w:vAlign w:val="bottom"/>
          </w:tcPr>
          <w:p>
            <w:pPr>
              <w:autoSpaceDN w:val="0"/>
              <w:adjustRightInd w:val="0"/>
              <w:spacing w:line="312" w:lineRule="atLeast"/>
              <w:jc w:val="left"/>
              <w:textAlignment w:val="bottom"/>
              <w:rPr>
                <w:rFonts w:eastAsia="方正仿宋_GBK"/>
                <w:color w:val="000000"/>
                <w:spacing w:val="-2"/>
                <w:sz w:val="18"/>
                <w:szCs w:val="18"/>
              </w:rPr>
            </w:pPr>
          </w:p>
        </w:tc>
      </w:tr>
      <w:tr>
        <w:tblPrEx>
          <w:tblCellMar>
            <w:top w:w="0" w:type="dxa"/>
            <w:left w:w="108" w:type="dxa"/>
            <w:bottom w:w="0" w:type="dxa"/>
            <w:right w:w="108" w:type="dxa"/>
          </w:tblCellMar>
        </w:tblPrEx>
        <w:trPr>
          <w:trHeight w:val="460" w:hRule="atLeast"/>
          <w:jc w:val="center"/>
        </w:trPr>
        <w:tc>
          <w:tcPr>
            <w:tcW w:w="403" w:type="dxa"/>
            <w:tcBorders>
              <w:top w:val="single" w:color="000000" w:sz="4" w:space="0"/>
              <w:left w:val="single" w:color="auto" w:sz="8" w:space="0"/>
              <w:bottom w:val="single" w:color="000000" w:sz="4" w:space="0"/>
              <w:right w:val="single" w:color="000000" w:sz="4" w:space="0"/>
            </w:tcBorders>
            <w:noWrap w:val="0"/>
            <w:vAlign w:val="bottom"/>
          </w:tcPr>
          <w:p>
            <w:pPr>
              <w:autoSpaceDN w:val="0"/>
              <w:adjustRightInd w:val="0"/>
              <w:spacing w:line="312" w:lineRule="atLeast"/>
              <w:jc w:val="left"/>
              <w:textAlignment w:val="bottom"/>
              <w:rPr>
                <w:rFonts w:eastAsia="方正仿宋_GBK"/>
                <w:color w:val="000000"/>
                <w:spacing w:val="-2"/>
                <w:sz w:val="18"/>
                <w:szCs w:val="18"/>
              </w:rPr>
            </w:pPr>
          </w:p>
        </w:tc>
        <w:tc>
          <w:tcPr>
            <w:tcW w:w="495" w:type="dxa"/>
            <w:tcBorders>
              <w:top w:val="single" w:color="000000" w:sz="4" w:space="0"/>
              <w:left w:val="single" w:color="000000" w:sz="4" w:space="0"/>
              <w:bottom w:val="single" w:color="000000" w:sz="4" w:space="0"/>
              <w:right w:val="single" w:color="000000" w:sz="4" w:space="0"/>
            </w:tcBorders>
            <w:noWrap w:val="0"/>
            <w:vAlign w:val="bottom"/>
          </w:tcPr>
          <w:p>
            <w:pPr>
              <w:autoSpaceDN w:val="0"/>
              <w:adjustRightInd w:val="0"/>
              <w:spacing w:line="312" w:lineRule="atLeast"/>
              <w:jc w:val="left"/>
              <w:textAlignment w:val="bottom"/>
              <w:rPr>
                <w:rFonts w:eastAsia="方正仿宋_GBK"/>
                <w:color w:val="000000"/>
                <w:spacing w:val="-2"/>
                <w:sz w:val="18"/>
                <w:szCs w:val="18"/>
              </w:rPr>
            </w:pPr>
          </w:p>
        </w:tc>
        <w:tc>
          <w:tcPr>
            <w:tcW w:w="702" w:type="dxa"/>
            <w:tcBorders>
              <w:top w:val="single" w:color="000000" w:sz="4" w:space="0"/>
              <w:left w:val="single" w:color="000000" w:sz="4" w:space="0"/>
              <w:bottom w:val="single" w:color="000000" w:sz="4" w:space="0"/>
              <w:right w:val="single" w:color="000000" w:sz="4" w:space="0"/>
            </w:tcBorders>
            <w:noWrap w:val="0"/>
            <w:vAlign w:val="bottom"/>
          </w:tcPr>
          <w:p>
            <w:pPr>
              <w:autoSpaceDN w:val="0"/>
              <w:adjustRightInd w:val="0"/>
              <w:spacing w:line="312" w:lineRule="atLeast"/>
              <w:jc w:val="left"/>
              <w:textAlignment w:val="bottom"/>
              <w:rPr>
                <w:rFonts w:eastAsia="方正仿宋_GBK"/>
                <w:color w:val="000000"/>
                <w:spacing w:val="-2"/>
                <w:sz w:val="18"/>
                <w:szCs w:val="18"/>
              </w:rPr>
            </w:pPr>
          </w:p>
        </w:tc>
        <w:tc>
          <w:tcPr>
            <w:tcW w:w="76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8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5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5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67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3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2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306"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789"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3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2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37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37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37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39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648"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58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574"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666"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jc w:val="left"/>
              <w:textAlignment w:val="top"/>
              <w:rPr>
                <w:rFonts w:eastAsia="方正仿宋_GBK"/>
                <w:color w:val="000000"/>
                <w:spacing w:val="-2"/>
                <w:sz w:val="18"/>
                <w:szCs w:val="18"/>
              </w:rPr>
            </w:pP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jc w:val="left"/>
              <w:textAlignment w:val="top"/>
              <w:rPr>
                <w:rFonts w:eastAsia="方正仿宋_GBK"/>
                <w:color w:val="000000"/>
                <w:spacing w:val="-2"/>
                <w:sz w:val="18"/>
                <w:szCs w:val="18"/>
              </w:rPr>
            </w:pPr>
          </w:p>
        </w:tc>
        <w:tc>
          <w:tcPr>
            <w:tcW w:w="66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jc w:val="left"/>
              <w:textAlignment w:val="top"/>
              <w:rPr>
                <w:rFonts w:eastAsia="方正仿宋_GBK"/>
                <w:color w:val="000000"/>
                <w:spacing w:val="-2"/>
                <w:sz w:val="18"/>
                <w:szCs w:val="18"/>
              </w:rPr>
            </w:pP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jc w:val="left"/>
              <w:textAlignment w:val="top"/>
              <w:rPr>
                <w:rFonts w:eastAsia="方正仿宋_GBK"/>
                <w:color w:val="000000"/>
                <w:spacing w:val="-2"/>
                <w:sz w:val="18"/>
                <w:szCs w:val="18"/>
              </w:rPr>
            </w:pPr>
          </w:p>
        </w:tc>
        <w:tc>
          <w:tcPr>
            <w:tcW w:w="720" w:type="dxa"/>
            <w:tcBorders>
              <w:top w:val="single" w:color="000000" w:sz="4" w:space="0"/>
              <w:left w:val="single" w:color="000000" w:sz="4" w:space="0"/>
              <w:bottom w:val="single" w:color="000000" w:sz="4" w:space="0"/>
              <w:right w:val="single" w:color="auto" w:sz="8" w:space="0"/>
            </w:tcBorders>
            <w:noWrap w:val="0"/>
            <w:vAlign w:val="bottom"/>
          </w:tcPr>
          <w:p>
            <w:pPr>
              <w:autoSpaceDN w:val="0"/>
              <w:adjustRightInd w:val="0"/>
              <w:spacing w:line="312" w:lineRule="atLeast"/>
              <w:jc w:val="left"/>
              <w:textAlignment w:val="bottom"/>
              <w:rPr>
                <w:rFonts w:eastAsia="方正仿宋_GBK"/>
                <w:color w:val="000000"/>
                <w:spacing w:val="-2"/>
                <w:sz w:val="18"/>
                <w:szCs w:val="18"/>
              </w:rPr>
            </w:pPr>
          </w:p>
        </w:tc>
      </w:tr>
      <w:tr>
        <w:tblPrEx>
          <w:tblCellMar>
            <w:top w:w="0" w:type="dxa"/>
            <w:left w:w="108" w:type="dxa"/>
            <w:bottom w:w="0" w:type="dxa"/>
            <w:right w:w="108" w:type="dxa"/>
          </w:tblCellMar>
        </w:tblPrEx>
        <w:trPr>
          <w:trHeight w:val="460" w:hRule="atLeast"/>
          <w:jc w:val="center"/>
        </w:trPr>
        <w:tc>
          <w:tcPr>
            <w:tcW w:w="403" w:type="dxa"/>
            <w:tcBorders>
              <w:top w:val="single" w:color="000000" w:sz="4" w:space="0"/>
              <w:left w:val="single" w:color="auto" w:sz="8" w:space="0"/>
              <w:bottom w:val="single" w:color="000000" w:sz="4" w:space="0"/>
              <w:right w:val="single" w:color="000000" w:sz="4" w:space="0"/>
            </w:tcBorders>
            <w:noWrap w:val="0"/>
            <w:vAlign w:val="bottom"/>
          </w:tcPr>
          <w:p>
            <w:pPr>
              <w:autoSpaceDN w:val="0"/>
              <w:adjustRightInd w:val="0"/>
              <w:spacing w:line="312" w:lineRule="atLeast"/>
              <w:jc w:val="left"/>
              <w:textAlignment w:val="bottom"/>
              <w:rPr>
                <w:rFonts w:eastAsia="方正仿宋_GBK"/>
                <w:color w:val="000000"/>
                <w:spacing w:val="-2"/>
                <w:sz w:val="18"/>
                <w:szCs w:val="18"/>
              </w:rPr>
            </w:pPr>
          </w:p>
        </w:tc>
        <w:tc>
          <w:tcPr>
            <w:tcW w:w="495" w:type="dxa"/>
            <w:tcBorders>
              <w:top w:val="single" w:color="000000" w:sz="4" w:space="0"/>
              <w:left w:val="single" w:color="000000" w:sz="4" w:space="0"/>
              <w:bottom w:val="single" w:color="000000" w:sz="4" w:space="0"/>
              <w:right w:val="single" w:color="000000" w:sz="4" w:space="0"/>
            </w:tcBorders>
            <w:noWrap w:val="0"/>
            <w:vAlign w:val="bottom"/>
          </w:tcPr>
          <w:p>
            <w:pPr>
              <w:autoSpaceDN w:val="0"/>
              <w:adjustRightInd w:val="0"/>
              <w:spacing w:line="312" w:lineRule="atLeast"/>
              <w:jc w:val="left"/>
              <w:textAlignment w:val="bottom"/>
              <w:rPr>
                <w:rFonts w:eastAsia="方正仿宋_GBK"/>
                <w:color w:val="000000"/>
                <w:spacing w:val="-2"/>
                <w:sz w:val="18"/>
                <w:szCs w:val="18"/>
              </w:rPr>
            </w:pPr>
          </w:p>
        </w:tc>
        <w:tc>
          <w:tcPr>
            <w:tcW w:w="702" w:type="dxa"/>
            <w:tcBorders>
              <w:top w:val="single" w:color="000000" w:sz="4" w:space="0"/>
              <w:left w:val="single" w:color="000000" w:sz="4" w:space="0"/>
              <w:bottom w:val="single" w:color="000000" w:sz="4" w:space="0"/>
              <w:right w:val="single" w:color="000000" w:sz="4" w:space="0"/>
            </w:tcBorders>
            <w:noWrap w:val="0"/>
            <w:vAlign w:val="bottom"/>
          </w:tcPr>
          <w:p>
            <w:pPr>
              <w:autoSpaceDN w:val="0"/>
              <w:adjustRightInd w:val="0"/>
              <w:spacing w:line="312" w:lineRule="atLeast"/>
              <w:jc w:val="left"/>
              <w:textAlignment w:val="bottom"/>
              <w:rPr>
                <w:rFonts w:eastAsia="方正仿宋_GBK"/>
                <w:color w:val="000000"/>
                <w:spacing w:val="-2"/>
                <w:sz w:val="18"/>
                <w:szCs w:val="18"/>
              </w:rPr>
            </w:pPr>
          </w:p>
        </w:tc>
        <w:tc>
          <w:tcPr>
            <w:tcW w:w="76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8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5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5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67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3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2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306"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789"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3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2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37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37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37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39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648"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58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574"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666"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jc w:val="left"/>
              <w:textAlignment w:val="top"/>
              <w:rPr>
                <w:rFonts w:eastAsia="方正仿宋_GBK"/>
                <w:color w:val="000000"/>
                <w:spacing w:val="-2"/>
                <w:sz w:val="18"/>
                <w:szCs w:val="18"/>
              </w:rPr>
            </w:pP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jc w:val="left"/>
              <w:textAlignment w:val="top"/>
              <w:rPr>
                <w:rFonts w:eastAsia="方正仿宋_GBK"/>
                <w:color w:val="000000"/>
                <w:spacing w:val="-2"/>
                <w:sz w:val="18"/>
                <w:szCs w:val="18"/>
              </w:rPr>
            </w:pPr>
          </w:p>
        </w:tc>
        <w:tc>
          <w:tcPr>
            <w:tcW w:w="660"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jc w:val="left"/>
              <w:textAlignment w:val="top"/>
              <w:rPr>
                <w:rFonts w:eastAsia="方正仿宋_GBK"/>
                <w:color w:val="000000"/>
                <w:spacing w:val="-2"/>
                <w:sz w:val="18"/>
                <w:szCs w:val="18"/>
              </w:rPr>
            </w:pPr>
          </w:p>
        </w:tc>
        <w:tc>
          <w:tcPr>
            <w:tcW w:w="765" w:type="dxa"/>
            <w:tcBorders>
              <w:top w:val="single" w:color="000000" w:sz="4" w:space="0"/>
              <w:left w:val="single" w:color="000000" w:sz="4" w:space="0"/>
              <w:bottom w:val="single" w:color="000000" w:sz="4" w:space="0"/>
              <w:right w:val="single" w:color="000000" w:sz="4" w:space="0"/>
            </w:tcBorders>
            <w:noWrap w:val="0"/>
            <w:vAlign w:val="top"/>
          </w:tcPr>
          <w:p>
            <w:pPr>
              <w:autoSpaceDN w:val="0"/>
              <w:adjustRightInd w:val="0"/>
              <w:spacing w:line="312" w:lineRule="atLeast"/>
              <w:jc w:val="left"/>
              <w:textAlignment w:val="top"/>
              <w:rPr>
                <w:rFonts w:eastAsia="方正仿宋_GBK"/>
                <w:color w:val="000000"/>
                <w:spacing w:val="-2"/>
                <w:sz w:val="18"/>
                <w:szCs w:val="18"/>
              </w:rPr>
            </w:pPr>
          </w:p>
        </w:tc>
        <w:tc>
          <w:tcPr>
            <w:tcW w:w="720" w:type="dxa"/>
            <w:tcBorders>
              <w:top w:val="single" w:color="000000" w:sz="4" w:space="0"/>
              <w:left w:val="single" w:color="000000" w:sz="4" w:space="0"/>
              <w:bottom w:val="single" w:color="000000" w:sz="4" w:space="0"/>
              <w:right w:val="single" w:color="auto" w:sz="8" w:space="0"/>
            </w:tcBorders>
            <w:noWrap w:val="0"/>
            <w:vAlign w:val="bottom"/>
          </w:tcPr>
          <w:p>
            <w:pPr>
              <w:autoSpaceDN w:val="0"/>
              <w:adjustRightInd w:val="0"/>
              <w:spacing w:line="312" w:lineRule="atLeast"/>
              <w:jc w:val="left"/>
              <w:textAlignment w:val="bottom"/>
              <w:rPr>
                <w:rFonts w:eastAsia="方正仿宋_GBK"/>
                <w:color w:val="000000"/>
                <w:spacing w:val="-2"/>
                <w:sz w:val="18"/>
                <w:szCs w:val="18"/>
              </w:rPr>
            </w:pPr>
          </w:p>
        </w:tc>
      </w:tr>
      <w:tr>
        <w:tblPrEx>
          <w:tblCellMar>
            <w:top w:w="0" w:type="dxa"/>
            <w:left w:w="108" w:type="dxa"/>
            <w:bottom w:w="0" w:type="dxa"/>
            <w:right w:w="108" w:type="dxa"/>
          </w:tblCellMar>
        </w:tblPrEx>
        <w:trPr>
          <w:trHeight w:val="460" w:hRule="atLeast"/>
          <w:jc w:val="center"/>
        </w:trPr>
        <w:tc>
          <w:tcPr>
            <w:tcW w:w="403" w:type="dxa"/>
            <w:tcBorders>
              <w:top w:val="single" w:color="000000" w:sz="4" w:space="0"/>
              <w:left w:val="single" w:color="auto" w:sz="8" w:space="0"/>
              <w:bottom w:val="single" w:color="auto" w:sz="8" w:space="0"/>
              <w:right w:val="single" w:color="000000" w:sz="4" w:space="0"/>
            </w:tcBorders>
            <w:noWrap w:val="0"/>
            <w:vAlign w:val="bottom"/>
          </w:tcPr>
          <w:p>
            <w:pPr>
              <w:autoSpaceDN w:val="0"/>
              <w:adjustRightInd w:val="0"/>
              <w:spacing w:line="312" w:lineRule="atLeast"/>
              <w:jc w:val="left"/>
              <w:textAlignment w:val="bottom"/>
              <w:rPr>
                <w:rFonts w:eastAsia="方正仿宋_GBK"/>
                <w:color w:val="000000"/>
                <w:spacing w:val="-2"/>
                <w:sz w:val="18"/>
                <w:szCs w:val="18"/>
              </w:rPr>
            </w:pPr>
          </w:p>
        </w:tc>
        <w:tc>
          <w:tcPr>
            <w:tcW w:w="495" w:type="dxa"/>
            <w:tcBorders>
              <w:top w:val="single" w:color="000000" w:sz="4" w:space="0"/>
              <w:left w:val="single" w:color="000000" w:sz="4" w:space="0"/>
              <w:bottom w:val="single" w:color="auto" w:sz="8" w:space="0"/>
              <w:right w:val="single" w:color="000000" w:sz="4" w:space="0"/>
            </w:tcBorders>
            <w:noWrap w:val="0"/>
            <w:vAlign w:val="bottom"/>
          </w:tcPr>
          <w:p>
            <w:pPr>
              <w:autoSpaceDN w:val="0"/>
              <w:adjustRightInd w:val="0"/>
              <w:spacing w:line="312" w:lineRule="atLeast"/>
              <w:jc w:val="left"/>
              <w:textAlignment w:val="bottom"/>
              <w:rPr>
                <w:rFonts w:eastAsia="方正仿宋_GBK"/>
                <w:color w:val="000000"/>
                <w:spacing w:val="-2"/>
                <w:sz w:val="18"/>
                <w:szCs w:val="18"/>
              </w:rPr>
            </w:pPr>
          </w:p>
        </w:tc>
        <w:tc>
          <w:tcPr>
            <w:tcW w:w="702" w:type="dxa"/>
            <w:tcBorders>
              <w:top w:val="single" w:color="000000" w:sz="4" w:space="0"/>
              <w:left w:val="single" w:color="000000" w:sz="4" w:space="0"/>
              <w:bottom w:val="single" w:color="auto" w:sz="8" w:space="0"/>
              <w:right w:val="single" w:color="000000" w:sz="4" w:space="0"/>
            </w:tcBorders>
            <w:noWrap w:val="0"/>
            <w:vAlign w:val="bottom"/>
          </w:tcPr>
          <w:p>
            <w:pPr>
              <w:autoSpaceDN w:val="0"/>
              <w:adjustRightInd w:val="0"/>
              <w:spacing w:line="312" w:lineRule="atLeast"/>
              <w:jc w:val="left"/>
              <w:textAlignment w:val="bottom"/>
              <w:rPr>
                <w:rFonts w:eastAsia="方正仿宋_GBK"/>
                <w:color w:val="000000"/>
                <w:spacing w:val="-2"/>
                <w:sz w:val="18"/>
                <w:szCs w:val="18"/>
              </w:rPr>
            </w:pPr>
          </w:p>
        </w:tc>
        <w:tc>
          <w:tcPr>
            <w:tcW w:w="760" w:type="dxa"/>
            <w:tcBorders>
              <w:top w:val="single" w:color="000000" w:sz="4" w:space="0"/>
              <w:left w:val="single" w:color="000000" w:sz="4" w:space="0"/>
              <w:bottom w:val="single" w:color="auto" w:sz="8"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80" w:type="dxa"/>
            <w:tcBorders>
              <w:top w:val="single" w:color="000000" w:sz="4" w:space="0"/>
              <w:left w:val="single" w:color="000000" w:sz="4" w:space="0"/>
              <w:bottom w:val="single" w:color="auto" w:sz="8"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50" w:type="dxa"/>
            <w:tcBorders>
              <w:top w:val="single" w:color="000000" w:sz="4" w:space="0"/>
              <w:left w:val="single" w:color="000000" w:sz="4" w:space="0"/>
              <w:bottom w:val="single" w:color="auto" w:sz="8"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55" w:type="dxa"/>
            <w:tcBorders>
              <w:top w:val="single" w:color="000000" w:sz="4" w:space="0"/>
              <w:left w:val="single" w:color="000000" w:sz="4" w:space="0"/>
              <w:bottom w:val="single" w:color="auto" w:sz="8"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675" w:type="dxa"/>
            <w:tcBorders>
              <w:top w:val="single" w:color="000000" w:sz="4" w:space="0"/>
              <w:left w:val="single" w:color="000000" w:sz="4" w:space="0"/>
              <w:bottom w:val="single" w:color="auto" w:sz="8"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35" w:type="dxa"/>
            <w:tcBorders>
              <w:top w:val="single" w:color="000000" w:sz="4" w:space="0"/>
              <w:left w:val="single" w:color="000000" w:sz="4" w:space="0"/>
              <w:bottom w:val="single" w:color="auto" w:sz="8"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20" w:type="dxa"/>
            <w:tcBorders>
              <w:top w:val="single" w:color="000000" w:sz="4" w:space="0"/>
              <w:left w:val="single" w:color="000000" w:sz="4" w:space="0"/>
              <w:bottom w:val="single" w:color="auto" w:sz="8"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306" w:type="dxa"/>
            <w:tcBorders>
              <w:top w:val="single" w:color="000000" w:sz="4" w:space="0"/>
              <w:left w:val="single" w:color="000000" w:sz="4" w:space="0"/>
              <w:bottom w:val="single" w:color="auto" w:sz="8"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789" w:type="dxa"/>
            <w:tcBorders>
              <w:top w:val="single" w:color="000000" w:sz="4" w:space="0"/>
              <w:left w:val="single" w:color="000000" w:sz="4" w:space="0"/>
              <w:bottom w:val="single" w:color="auto" w:sz="8"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35" w:type="dxa"/>
            <w:tcBorders>
              <w:top w:val="single" w:color="000000" w:sz="4" w:space="0"/>
              <w:left w:val="single" w:color="000000" w:sz="4" w:space="0"/>
              <w:bottom w:val="single" w:color="auto" w:sz="8"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420" w:type="dxa"/>
            <w:tcBorders>
              <w:top w:val="single" w:color="000000" w:sz="4" w:space="0"/>
              <w:left w:val="single" w:color="000000" w:sz="4" w:space="0"/>
              <w:bottom w:val="single" w:color="auto" w:sz="8"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375" w:type="dxa"/>
            <w:tcBorders>
              <w:top w:val="single" w:color="000000" w:sz="4" w:space="0"/>
              <w:left w:val="single" w:color="000000" w:sz="4" w:space="0"/>
              <w:bottom w:val="single" w:color="auto" w:sz="8"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375" w:type="dxa"/>
            <w:tcBorders>
              <w:top w:val="single" w:color="000000" w:sz="4" w:space="0"/>
              <w:left w:val="single" w:color="000000" w:sz="4" w:space="0"/>
              <w:bottom w:val="single" w:color="auto" w:sz="8"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375" w:type="dxa"/>
            <w:tcBorders>
              <w:top w:val="single" w:color="000000" w:sz="4" w:space="0"/>
              <w:left w:val="single" w:color="000000" w:sz="4" w:space="0"/>
              <w:bottom w:val="single" w:color="auto" w:sz="8"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390" w:type="dxa"/>
            <w:tcBorders>
              <w:top w:val="single" w:color="000000" w:sz="4" w:space="0"/>
              <w:left w:val="single" w:color="000000" w:sz="4" w:space="0"/>
              <w:bottom w:val="single" w:color="auto" w:sz="8"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648" w:type="dxa"/>
            <w:tcBorders>
              <w:top w:val="single" w:color="000000" w:sz="4" w:space="0"/>
              <w:left w:val="single" w:color="000000" w:sz="4" w:space="0"/>
              <w:bottom w:val="single" w:color="auto" w:sz="8"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580" w:type="dxa"/>
            <w:tcBorders>
              <w:top w:val="single" w:color="000000" w:sz="4" w:space="0"/>
              <w:left w:val="single" w:color="000000" w:sz="4" w:space="0"/>
              <w:bottom w:val="single" w:color="auto" w:sz="8"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574" w:type="dxa"/>
            <w:tcBorders>
              <w:top w:val="single" w:color="000000" w:sz="4" w:space="0"/>
              <w:left w:val="single" w:color="000000" w:sz="4" w:space="0"/>
              <w:bottom w:val="single" w:color="auto" w:sz="8" w:space="0"/>
              <w:right w:val="single" w:color="000000" w:sz="4" w:space="0"/>
            </w:tcBorders>
            <w:noWrap w:val="0"/>
            <w:vAlign w:val="top"/>
          </w:tcPr>
          <w:p>
            <w:pPr>
              <w:autoSpaceDN w:val="0"/>
              <w:adjustRightInd w:val="0"/>
              <w:spacing w:line="312" w:lineRule="atLeast"/>
              <w:textAlignment w:val="top"/>
              <w:rPr>
                <w:rFonts w:eastAsia="方正仿宋_GBK"/>
                <w:color w:val="000000"/>
                <w:spacing w:val="-2"/>
                <w:sz w:val="18"/>
                <w:szCs w:val="18"/>
              </w:rPr>
            </w:pPr>
          </w:p>
        </w:tc>
        <w:tc>
          <w:tcPr>
            <w:tcW w:w="666" w:type="dxa"/>
            <w:tcBorders>
              <w:top w:val="single" w:color="000000" w:sz="4" w:space="0"/>
              <w:left w:val="single" w:color="000000" w:sz="4" w:space="0"/>
              <w:bottom w:val="single" w:color="auto" w:sz="8" w:space="0"/>
              <w:right w:val="single" w:color="000000" w:sz="4" w:space="0"/>
            </w:tcBorders>
            <w:noWrap w:val="0"/>
            <w:vAlign w:val="top"/>
          </w:tcPr>
          <w:p>
            <w:pPr>
              <w:autoSpaceDN w:val="0"/>
              <w:adjustRightInd w:val="0"/>
              <w:spacing w:line="312" w:lineRule="atLeast"/>
              <w:jc w:val="left"/>
              <w:textAlignment w:val="top"/>
              <w:rPr>
                <w:rFonts w:eastAsia="方正仿宋_GBK"/>
                <w:color w:val="000000"/>
                <w:spacing w:val="-2"/>
                <w:sz w:val="18"/>
                <w:szCs w:val="18"/>
              </w:rPr>
            </w:pPr>
          </w:p>
        </w:tc>
        <w:tc>
          <w:tcPr>
            <w:tcW w:w="465" w:type="dxa"/>
            <w:tcBorders>
              <w:top w:val="single" w:color="000000" w:sz="4" w:space="0"/>
              <w:left w:val="single" w:color="000000" w:sz="4" w:space="0"/>
              <w:bottom w:val="single" w:color="auto" w:sz="8" w:space="0"/>
              <w:right w:val="single" w:color="000000" w:sz="4" w:space="0"/>
            </w:tcBorders>
            <w:noWrap w:val="0"/>
            <w:vAlign w:val="top"/>
          </w:tcPr>
          <w:p>
            <w:pPr>
              <w:autoSpaceDN w:val="0"/>
              <w:adjustRightInd w:val="0"/>
              <w:spacing w:line="312" w:lineRule="atLeast"/>
              <w:jc w:val="left"/>
              <w:textAlignment w:val="top"/>
              <w:rPr>
                <w:rFonts w:eastAsia="方正仿宋_GBK"/>
                <w:color w:val="000000"/>
                <w:spacing w:val="-2"/>
                <w:sz w:val="18"/>
                <w:szCs w:val="18"/>
              </w:rPr>
            </w:pPr>
          </w:p>
        </w:tc>
        <w:tc>
          <w:tcPr>
            <w:tcW w:w="660" w:type="dxa"/>
            <w:tcBorders>
              <w:top w:val="single" w:color="000000" w:sz="4" w:space="0"/>
              <w:left w:val="single" w:color="000000" w:sz="4" w:space="0"/>
              <w:bottom w:val="single" w:color="auto" w:sz="8" w:space="0"/>
              <w:right w:val="single" w:color="000000" w:sz="4" w:space="0"/>
            </w:tcBorders>
            <w:noWrap w:val="0"/>
            <w:vAlign w:val="top"/>
          </w:tcPr>
          <w:p>
            <w:pPr>
              <w:autoSpaceDN w:val="0"/>
              <w:adjustRightInd w:val="0"/>
              <w:spacing w:line="312" w:lineRule="atLeast"/>
              <w:jc w:val="left"/>
              <w:textAlignment w:val="top"/>
              <w:rPr>
                <w:rFonts w:eastAsia="方正仿宋_GBK"/>
                <w:color w:val="000000"/>
                <w:spacing w:val="-2"/>
                <w:sz w:val="18"/>
                <w:szCs w:val="18"/>
              </w:rPr>
            </w:pPr>
          </w:p>
        </w:tc>
        <w:tc>
          <w:tcPr>
            <w:tcW w:w="765" w:type="dxa"/>
            <w:tcBorders>
              <w:top w:val="single" w:color="000000" w:sz="4" w:space="0"/>
              <w:left w:val="single" w:color="000000" w:sz="4" w:space="0"/>
              <w:bottom w:val="single" w:color="auto" w:sz="8" w:space="0"/>
              <w:right w:val="single" w:color="000000" w:sz="4" w:space="0"/>
            </w:tcBorders>
            <w:noWrap w:val="0"/>
            <w:vAlign w:val="top"/>
          </w:tcPr>
          <w:p>
            <w:pPr>
              <w:autoSpaceDN w:val="0"/>
              <w:adjustRightInd w:val="0"/>
              <w:spacing w:line="312" w:lineRule="atLeast"/>
              <w:jc w:val="left"/>
              <w:textAlignment w:val="top"/>
              <w:rPr>
                <w:rFonts w:eastAsia="方正仿宋_GBK"/>
                <w:color w:val="000000"/>
                <w:spacing w:val="-2"/>
                <w:sz w:val="18"/>
                <w:szCs w:val="18"/>
              </w:rPr>
            </w:pPr>
          </w:p>
        </w:tc>
        <w:tc>
          <w:tcPr>
            <w:tcW w:w="720" w:type="dxa"/>
            <w:tcBorders>
              <w:top w:val="single" w:color="000000" w:sz="4" w:space="0"/>
              <w:left w:val="single" w:color="000000" w:sz="4" w:space="0"/>
              <w:bottom w:val="single" w:color="auto" w:sz="8" w:space="0"/>
              <w:right w:val="single" w:color="auto" w:sz="8" w:space="0"/>
            </w:tcBorders>
            <w:noWrap w:val="0"/>
            <w:vAlign w:val="bottom"/>
          </w:tcPr>
          <w:p>
            <w:pPr>
              <w:autoSpaceDN w:val="0"/>
              <w:adjustRightInd w:val="0"/>
              <w:spacing w:line="312" w:lineRule="atLeast"/>
              <w:jc w:val="left"/>
              <w:textAlignment w:val="bottom"/>
              <w:rPr>
                <w:rFonts w:eastAsia="方正仿宋_GBK"/>
                <w:color w:val="000000"/>
                <w:spacing w:val="-2"/>
                <w:sz w:val="18"/>
                <w:szCs w:val="18"/>
              </w:rPr>
            </w:pPr>
          </w:p>
        </w:tc>
      </w:tr>
    </w:tbl>
    <w:p>
      <w:pPr>
        <w:widowControl/>
        <w:jc w:val="left"/>
        <w:rPr>
          <w:rFonts w:ascii="Times New Roman" w:eastAsia="仿宋_GB2312"/>
          <w:color w:val="000000"/>
          <w:spacing w:val="-2"/>
          <w:sz w:val="32"/>
          <w:szCs w:val="32"/>
        </w:rPr>
        <w:sectPr>
          <w:pgSz w:w="16838" w:h="11905" w:orient="landscape"/>
          <w:pgMar w:top="1587" w:right="1701" w:bottom="1587" w:left="1701" w:header="850" w:footer="1361" w:gutter="0"/>
          <w:paperSrc w:first="4" w:other="4"/>
          <w:cols w:space="720" w:num="1"/>
        </w:sectPr>
      </w:pPr>
    </w:p>
    <w:p>
      <w:pPr>
        <w:pStyle w:val="2"/>
        <w:spacing w:before="240" w:beforeLines="100" w:after="240" w:afterLines="100" w:line="240" w:lineRule="auto"/>
        <w:jc w:val="center"/>
        <w:rPr>
          <w:rFonts w:hint="eastAsia" w:ascii="Times New Roman" w:eastAsia="方正小标宋_GBK"/>
          <w:b w:val="0"/>
          <w:sz w:val="36"/>
          <w:szCs w:val="36"/>
        </w:rPr>
      </w:pPr>
      <w:bookmarkStart w:id="229" w:name="_Toc18315648"/>
      <w:bookmarkStart w:id="230" w:name="_Toc20726265"/>
      <w:r>
        <w:rPr>
          <w:rFonts w:hint="eastAsia" w:ascii="Times New Roman" w:eastAsia="方正小标宋_GBK"/>
          <w:b w:val="0"/>
          <w:sz w:val="36"/>
          <w:szCs w:val="36"/>
        </w:rPr>
        <w:t>省住房和城乡建设厅关于对省勘察设计行业协会《关于对人防工程设计管理有关问题的建议》的复函</w:t>
      </w:r>
      <w:bookmarkEnd w:id="229"/>
      <w:bookmarkEnd w:id="230"/>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231" w:name="_Toc20726266"/>
      <w:bookmarkStart w:id="232" w:name="_Toc18315649"/>
      <w:r>
        <w:rPr>
          <w:rFonts w:hint="eastAsia" w:ascii="Times New Roman" w:hAnsi="Times New Roman" w:eastAsia="方正楷体_GBK"/>
          <w:b w:val="0"/>
          <w:sz w:val="24"/>
          <w:szCs w:val="24"/>
        </w:rPr>
        <w:t>苏建函科〔</w:t>
      </w:r>
      <w:r>
        <w:rPr>
          <w:rFonts w:ascii="Times New Roman" w:hAnsi="Times New Roman" w:eastAsia="方正楷体_GBK"/>
          <w:b w:val="0"/>
          <w:sz w:val="24"/>
          <w:szCs w:val="24"/>
        </w:rPr>
        <w:t>2015</w:t>
      </w:r>
      <w:r>
        <w:rPr>
          <w:rFonts w:hint="eastAsia" w:ascii="Times New Roman" w:hAnsi="Times New Roman" w:eastAsia="方正楷体_GBK"/>
          <w:b w:val="0"/>
          <w:sz w:val="24"/>
          <w:szCs w:val="24"/>
        </w:rPr>
        <w:t>〕</w:t>
      </w:r>
      <w:r>
        <w:rPr>
          <w:rFonts w:ascii="Times New Roman" w:hAnsi="Times New Roman" w:eastAsia="方正楷体_GBK"/>
          <w:b w:val="0"/>
          <w:sz w:val="24"/>
          <w:szCs w:val="24"/>
        </w:rPr>
        <w:t>483</w:t>
      </w:r>
      <w:r>
        <w:rPr>
          <w:rFonts w:hint="eastAsia" w:ascii="Times New Roman" w:hAnsi="Times New Roman" w:eastAsia="方正楷体_GBK"/>
          <w:b w:val="0"/>
          <w:sz w:val="24"/>
          <w:szCs w:val="24"/>
        </w:rPr>
        <w:t>号</w:t>
      </w:r>
      <w:bookmarkEnd w:id="231"/>
      <w:bookmarkEnd w:id="232"/>
    </w:p>
    <w:p>
      <w:pPr>
        <w:spacing w:line="460" w:lineRule="exact"/>
        <w:rPr>
          <w:rFonts w:eastAsia="方正仿宋_GBK"/>
          <w:color w:val="000000"/>
          <w:spacing w:val="-2"/>
          <w:sz w:val="24"/>
        </w:rPr>
      </w:pPr>
      <w:r>
        <w:rPr>
          <w:rFonts w:hint="eastAsia" w:eastAsia="方正仿宋_GBK"/>
          <w:color w:val="000000"/>
          <w:spacing w:val="-2"/>
          <w:sz w:val="24"/>
        </w:rPr>
        <w:t>省勘察设计行业协会：</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你会《关于对人防工程设计管理有关问题的建议》收悉，经研究，答复如下：</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一、关于含附建式人防工程的民用建筑项目的承发包问题</w:t>
      </w:r>
    </w:p>
    <w:p>
      <w:pPr>
        <w:spacing w:line="460" w:lineRule="exact"/>
        <w:ind w:left="-6" w:leftChars="-3" w:firstLine="483" w:firstLineChars="205"/>
        <w:rPr>
          <w:rFonts w:hint="eastAsia" w:eastAsia="方正仿宋_GBK"/>
          <w:color w:val="000000"/>
          <w:spacing w:val="-2"/>
          <w:sz w:val="24"/>
        </w:rPr>
      </w:pPr>
      <w:r>
        <w:rPr>
          <w:rFonts w:hint="eastAsia" w:eastAsia="方正仿宋_GBK"/>
          <w:color w:val="000000"/>
          <w:spacing w:val="-2"/>
          <w:sz w:val="24"/>
        </w:rPr>
        <w:t>将含附建式人防工程的民用建筑项目主体部分的地上工程、地下工程进行分割，分别由不同设计单位进行设计，容易产生结构安全隐患、管线错漏碰以及责任主体不明确等问题，也违反了《建设工程质量管理条例》和《建设工程勘察设计管理条例》的相关规定。</w:t>
      </w:r>
    </w:p>
    <w:p>
      <w:pPr>
        <w:spacing w:line="460" w:lineRule="exact"/>
        <w:ind w:left="-6" w:leftChars="-3" w:firstLine="483" w:firstLineChars="205"/>
        <w:rPr>
          <w:rFonts w:eastAsia="方正仿宋_GBK"/>
          <w:color w:val="000000"/>
          <w:spacing w:val="-2"/>
          <w:sz w:val="24"/>
        </w:rPr>
      </w:pPr>
      <w:r>
        <w:rPr>
          <w:rFonts w:hint="eastAsia" w:eastAsia="方正仿宋_GBK"/>
          <w:color w:val="000000"/>
          <w:spacing w:val="-2"/>
          <w:sz w:val="24"/>
        </w:rPr>
        <w:t>根据《建设工程质量管理条例》第七条建设单位不得将建设工程肢解发包以及《建设工程勘察设计管理条例》第十九条建设工程主体部分不得分包的规定，民用建筑主体部分的地下、地上工程应由同一家设计单位进行设计，发包方不得肢解发包，设计单位不得违法分包。</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二、关于人防工程设计资质管理问题</w:t>
      </w:r>
    </w:p>
    <w:p>
      <w:pPr>
        <w:spacing w:line="460" w:lineRule="exact"/>
        <w:ind w:left="-6" w:leftChars="-3" w:firstLine="483" w:firstLineChars="205"/>
        <w:rPr>
          <w:rFonts w:hint="eastAsia" w:eastAsia="方正仿宋_GBK"/>
          <w:color w:val="000000"/>
          <w:spacing w:val="-2"/>
          <w:sz w:val="24"/>
        </w:rPr>
      </w:pPr>
      <w:r>
        <w:rPr>
          <w:rFonts w:hint="eastAsia" w:eastAsia="方正仿宋_GBK"/>
          <w:color w:val="000000"/>
          <w:spacing w:val="-2"/>
          <w:sz w:val="24"/>
        </w:rPr>
        <w:t>根据《中华人民共和国建筑法》、《建设工程勘察设计管理条例》、《建设工程勘察设计资质管理规定》（建设部令第</w:t>
      </w:r>
      <w:r>
        <w:rPr>
          <w:rFonts w:eastAsia="方正仿宋_GBK"/>
          <w:color w:val="000000"/>
          <w:spacing w:val="-2"/>
          <w:sz w:val="24"/>
        </w:rPr>
        <w:t>160</w:t>
      </w:r>
      <w:r>
        <w:rPr>
          <w:rFonts w:hint="eastAsia" w:eastAsia="方正仿宋_GBK"/>
          <w:color w:val="000000"/>
          <w:spacing w:val="-2"/>
          <w:sz w:val="24"/>
        </w:rPr>
        <w:t>号）、《工程设计资质标准》（建市〔</w:t>
      </w:r>
      <w:r>
        <w:rPr>
          <w:rFonts w:eastAsia="方正仿宋_GBK"/>
          <w:color w:val="000000"/>
          <w:spacing w:val="-2"/>
          <w:sz w:val="24"/>
        </w:rPr>
        <w:t>2007</w:t>
      </w:r>
      <w:r>
        <w:rPr>
          <w:rFonts w:hint="eastAsia" w:eastAsia="方正仿宋_GBK"/>
          <w:color w:val="000000"/>
          <w:spacing w:val="-2"/>
          <w:sz w:val="24"/>
        </w:rPr>
        <w:t>〕</w:t>
      </w:r>
      <w:r>
        <w:rPr>
          <w:rFonts w:eastAsia="方正仿宋_GBK"/>
          <w:color w:val="000000"/>
          <w:spacing w:val="-2"/>
          <w:sz w:val="24"/>
        </w:rPr>
        <w:t>86</w:t>
      </w:r>
      <w:r>
        <w:rPr>
          <w:rFonts w:hint="eastAsia" w:eastAsia="方正仿宋_GBK"/>
          <w:color w:val="000000"/>
          <w:spacing w:val="-2"/>
          <w:sz w:val="24"/>
        </w:rPr>
        <w:t>号）的有关规定，承接建筑工程项目及人防工程项目设计，必须持有住房城乡建设主管部门核发的具有相应资质等级及业务范围的工程设计资质证书；取得建筑工程设计专业资质的单位，可承接相应等级的附建式人防工程的设计业务。</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三、关于出图专用章的问题</w:t>
      </w:r>
    </w:p>
    <w:p>
      <w:pPr>
        <w:spacing w:line="460" w:lineRule="exact"/>
        <w:ind w:left="-6" w:leftChars="-3" w:firstLine="483" w:firstLineChars="205"/>
        <w:rPr>
          <w:rFonts w:hint="eastAsia" w:eastAsia="方正仿宋_GBK"/>
          <w:color w:val="000000"/>
          <w:spacing w:val="-2"/>
          <w:sz w:val="24"/>
        </w:rPr>
      </w:pPr>
      <w:r>
        <w:rPr>
          <w:rFonts w:hint="eastAsia" w:eastAsia="方正仿宋_GBK"/>
          <w:color w:val="000000"/>
          <w:spacing w:val="-2"/>
          <w:sz w:val="24"/>
        </w:rPr>
        <w:t>根据《江苏省建设工程勘察设计管理办法》第二十四条规定，设计图纸必须使用本单位专用图签，并加盖由本省省人民政府建设行政主管部门统一刻制的出图专用章后方为有效。其他无法律、法规或规章依据的出图专用章不得在图纸上加盖。</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四、其他问题</w:t>
      </w:r>
    </w:p>
    <w:p>
      <w:pPr>
        <w:spacing w:line="460" w:lineRule="exact"/>
        <w:ind w:left="-6" w:leftChars="-3" w:firstLine="483" w:firstLineChars="205"/>
        <w:rPr>
          <w:rFonts w:hint="eastAsia" w:eastAsia="方正仿宋_GBK"/>
          <w:color w:val="000000"/>
          <w:spacing w:val="-2"/>
          <w:sz w:val="24"/>
        </w:rPr>
      </w:pPr>
      <w:r>
        <w:rPr>
          <w:rFonts w:hint="eastAsia" w:eastAsia="方正仿宋_GBK"/>
          <w:color w:val="000000"/>
          <w:spacing w:val="-2"/>
          <w:sz w:val="24"/>
        </w:rPr>
        <w:t>其他问题我厅已向相关主管部门反映。</w:t>
      </w:r>
    </w:p>
    <w:p>
      <w:pPr>
        <w:spacing w:line="460" w:lineRule="exact"/>
        <w:ind w:left="-6" w:leftChars="-3" w:firstLine="483" w:firstLineChars="205"/>
        <w:rPr>
          <w:rFonts w:eastAsia="方正仿宋_GBK"/>
          <w:color w:val="000000"/>
          <w:spacing w:val="-2"/>
          <w:sz w:val="24"/>
        </w:rPr>
      </w:pPr>
      <w:r>
        <w:rPr>
          <w:rFonts w:hint="eastAsia" w:eastAsia="方正仿宋_GBK"/>
          <w:color w:val="000000"/>
          <w:spacing w:val="-2"/>
          <w:sz w:val="24"/>
        </w:rPr>
        <w:t>下一步，我厅将督促各级住房城乡建设主管部门对建筑工程项目加强动态监管，对违法违规的建设单位及设计单位及时依法处理，并记入不良记录。</w:t>
      </w:r>
    </w:p>
    <w:p>
      <w:pPr>
        <w:spacing w:line="460" w:lineRule="exact"/>
        <w:ind w:left="-6" w:leftChars="-3" w:firstLine="483" w:firstLineChars="205"/>
        <w:rPr>
          <w:rFonts w:eastAsia="方正仿宋_GBK"/>
          <w:color w:val="000000"/>
          <w:spacing w:val="-2"/>
          <w:sz w:val="24"/>
        </w:rPr>
      </w:pPr>
      <w:r>
        <w:rPr>
          <w:rFonts w:hint="eastAsia" w:eastAsia="方正仿宋_GBK"/>
          <w:color w:val="000000"/>
          <w:spacing w:val="-2"/>
          <w:sz w:val="24"/>
        </w:rPr>
        <w:t>特此函复。</w:t>
      </w:r>
    </w:p>
    <w:p>
      <w:pPr>
        <w:spacing w:line="460" w:lineRule="exact"/>
        <w:ind w:left="-6" w:leftChars="-3" w:firstLine="483" w:firstLineChars="205"/>
        <w:rPr>
          <w:rFonts w:eastAsia="方正仿宋_GBK"/>
          <w:color w:val="000000"/>
          <w:spacing w:val="-2"/>
          <w:sz w:val="24"/>
        </w:rPr>
      </w:pPr>
    </w:p>
    <w:p>
      <w:pPr>
        <w:spacing w:line="460" w:lineRule="exact"/>
        <w:jc w:val="right"/>
        <w:rPr>
          <w:rFonts w:eastAsia="方正仿宋_GBK"/>
          <w:color w:val="000000"/>
          <w:spacing w:val="-2"/>
          <w:sz w:val="24"/>
        </w:rPr>
      </w:pPr>
      <w:r>
        <w:rPr>
          <w:rFonts w:hint="eastAsia" w:eastAsia="方正仿宋_GBK"/>
          <w:color w:val="000000"/>
          <w:spacing w:val="-2"/>
          <w:sz w:val="24"/>
        </w:rPr>
        <w:t>江苏省住房和城乡建设厅</w:t>
      </w:r>
      <w:r>
        <w:rPr>
          <w:rFonts w:eastAsia="方正仿宋_GBK"/>
          <w:color w:val="000000"/>
          <w:spacing w:val="-2"/>
          <w:sz w:val="24"/>
        </w:rPr>
        <w:t xml:space="preserve">    </w:t>
      </w:r>
    </w:p>
    <w:p>
      <w:pPr>
        <w:spacing w:line="460" w:lineRule="exact"/>
        <w:ind w:firstLine="6608" w:firstLineChars="2800"/>
        <w:rPr>
          <w:sz w:val="24"/>
        </w:rPr>
      </w:pPr>
      <w:r>
        <w:rPr>
          <w:rFonts w:eastAsia="方正仿宋_GBK"/>
          <w:color w:val="000000"/>
          <w:spacing w:val="-2"/>
          <w:sz w:val="24"/>
        </w:rPr>
        <w:t>2015</w:t>
      </w:r>
      <w:r>
        <w:rPr>
          <w:rFonts w:hint="eastAsia" w:eastAsia="方正仿宋_GBK"/>
          <w:color w:val="000000"/>
          <w:spacing w:val="-2"/>
          <w:sz w:val="24"/>
        </w:rPr>
        <w:t>年</w:t>
      </w:r>
      <w:r>
        <w:rPr>
          <w:rFonts w:eastAsia="方正仿宋_GBK"/>
          <w:color w:val="000000"/>
          <w:spacing w:val="-2"/>
          <w:sz w:val="24"/>
        </w:rPr>
        <w:t>7</w:t>
      </w:r>
      <w:r>
        <w:rPr>
          <w:rFonts w:hint="eastAsia" w:eastAsia="方正仿宋_GBK"/>
          <w:color w:val="000000"/>
          <w:spacing w:val="-2"/>
          <w:sz w:val="24"/>
        </w:rPr>
        <w:t>月</w:t>
      </w:r>
      <w:r>
        <w:rPr>
          <w:rFonts w:eastAsia="方正仿宋_GBK"/>
          <w:color w:val="000000"/>
          <w:spacing w:val="-2"/>
          <w:sz w:val="24"/>
        </w:rPr>
        <w:t>8</w:t>
      </w:r>
      <w:r>
        <w:rPr>
          <w:rFonts w:hint="eastAsia" w:eastAsia="方正仿宋_GBK"/>
          <w:color w:val="000000"/>
          <w:spacing w:val="-2"/>
          <w:sz w:val="24"/>
        </w:rPr>
        <w:t>日</w:t>
      </w:r>
    </w:p>
    <w:p>
      <w:pPr>
        <w:pStyle w:val="2"/>
        <w:spacing w:before="240" w:beforeLines="100" w:after="240" w:afterLines="100" w:line="240" w:lineRule="auto"/>
        <w:jc w:val="center"/>
        <w:rPr>
          <w:rFonts w:ascii="Times New Roman" w:eastAsia="方正小标宋_GBK"/>
          <w:b w:val="0"/>
          <w:sz w:val="36"/>
          <w:szCs w:val="36"/>
        </w:rPr>
      </w:pPr>
      <w:r>
        <w:rPr>
          <w:b w:val="0"/>
          <w:sz w:val="24"/>
        </w:rPr>
        <w:br w:type="column"/>
      </w:r>
      <w:bookmarkStart w:id="233" w:name="_Toc20726267"/>
      <w:bookmarkStart w:id="234" w:name="_Toc18315650"/>
      <w:r>
        <w:rPr>
          <w:rFonts w:hint="eastAsia" w:ascii="Times New Roman" w:eastAsia="方正小标宋_GBK"/>
          <w:b w:val="0"/>
          <w:sz w:val="36"/>
          <w:szCs w:val="36"/>
        </w:rPr>
        <w:t>省住房城乡建设厅关于印发《江苏省优秀工程勘察设计奖评选办法》《江苏省城乡建设系统优秀勘察设计奖   评选办法》的通知</w:t>
      </w:r>
      <w:bookmarkEnd w:id="233"/>
      <w:bookmarkEnd w:id="234"/>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235" w:name="_Toc20726268"/>
      <w:bookmarkStart w:id="236" w:name="_Toc18315651"/>
      <w:r>
        <w:rPr>
          <w:rFonts w:hint="eastAsia" w:ascii="Times New Roman" w:hAnsi="Times New Roman" w:eastAsia="方正楷体_GBK"/>
          <w:b w:val="0"/>
          <w:sz w:val="24"/>
          <w:szCs w:val="24"/>
        </w:rPr>
        <w:t>苏建科〔</w:t>
      </w:r>
      <w:r>
        <w:rPr>
          <w:rFonts w:ascii="Times New Roman" w:hAnsi="Times New Roman" w:eastAsia="方正楷体_GBK"/>
          <w:b w:val="0"/>
          <w:sz w:val="24"/>
          <w:szCs w:val="24"/>
        </w:rPr>
        <w:t>2017</w:t>
      </w:r>
      <w:r>
        <w:rPr>
          <w:rFonts w:hint="eastAsia" w:ascii="Times New Roman" w:hAnsi="Times New Roman" w:eastAsia="方正楷体_GBK"/>
          <w:b w:val="0"/>
          <w:sz w:val="24"/>
          <w:szCs w:val="24"/>
        </w:rPr>
        <w:t>〕</w:t>
      </w:r>
      <w:r>
        <w:rPr>
          <w:rFonts w:ascii="Times New Roman" w:hAnsi="Times New Roman" w:eastAsia="方正楷体_GBK"/>
          <w:b w:val="0"/>
          <w:sz w:val="24"/>
          <w:szCs w:val="24"/>
        </w:rPr>
        <w:t>59</w:t>
      </w:r>
      <w:r>
        <w:rPr>
          <w:rFonts w:hint="eastAsia" w:ascii="Times New Roman" w:hAnsi="Times New Roman" w:eastAsia="方正楷体_GBK"/>
          <w:b w:val="0"/>
          <w:sz w:val="24"/>
          <w:szCs w:val="24"/>
        </w:rPr>
        <w:t>号</w:t>
      </w:r>
      <w:bookmarkEnd w:id="235"/>
      <w:bookmarkEnd w:id="236"/>
    </w:p>
    <w:p>
      <w:pPr>
        <w:spacing w:line="460" w:lineRule="exact"/>
        <w:ind w:right="-512" w:rightChars="-244"/>
        <w:jc w:val="left"/>
        <w:rPr>
          <w:rFonts w:ascii="Times New Roman" w:hAnsi="Times New Roman" w:eastAsia="方正仿宋_GBK" w:cs="方正仿宋_GBK"/>
          <w:color w:val="000000"/>
          <w:sz w:val="24"/>
        </w:rPr>
      </w:pPr>
      <w:r>
        <w:rPr>
          <w:rFonts w:hint="eastAsia" w:ascii="Times New Roman" w:hAnsi="Times New Roman" w:eastAsia="方正仿宋_GBK" w:cs="方正仿宋_GBK"/>
          <w:sz w:val="24"/>
        </w:rPr>
        <w:t>各设区市建设局（建委）</w:t>
      </w:r>
      <w:r>
        <w:rPr>
          <w:rFonts w:hint="eastAsia" w:ascii="Times New Roman" w:hAnsi="Times New Roman" w:eastAsia="方正仿宋_GBK" w:cs="方正仿宋_GBK"/>
          <w:color w:val="000000"/>
          <w:sz w:val="24"/>
        </w:rPr>
        <w:t>：</w:t>
      </w:r>
    </w:p>
    <w:p>
      <w:pPr>
        <w:spacing w:line="460" w:lineRule="exact"/>
        <w:ind w:right="-512" w:rightChars="-244" w:firstLine="645"/>
        <w:rPr>
          <w:rFonts w:hint="eastAsia" w:ascii="Times New Roman" w:hAnsi="Times New Roman" w:eastAsia="方正仿宋_GBK" w:cs="方正仿宋_GBK"/>
          <w:sz w:val="24"/>
        </w:rPr>
      </w:pPr>
      <w:r>
        <w:rPr>
          <w:rFonts w:hint="eastAsia" w:ascii="Times New Roman" w:hAnsi="Times New Roman" w:eastAsia="方正仿宋_GBK" w:cs="方正仿宋_GBK"/>
          <w:sz w:val="24"/>
        </w:rPr>
        <w:t>为了推动我省工程勘察设计行业技术创新，提高工程勘察设计质量，根据住房和城乡建设部《全国优秀工程勘察设计奖评选办法》及《江苏省建设工程勘察设计管理办法》有关规定,我厅对《江苏省优秀工程勘察设计奖评选办法》第十二条，及《江苏省城乡建设系统优秀勘察设计奖评选办法》第七条进行了修订，现印发给你们，请各地各部门遵照执行，做好省优秀工程勘察设计奖及省城乡建设系统优秀工程勘察设计奖评选工作。</w:t>
      </w:r>
    </w:p>
    <w:p>
      <w:pPr>
        <w:spacing w:line="460" w:lineRule="exact"/>
        <w:ind w:right="-512" w:rightChars="-244"/>
        <w:rPr>
          <w:rFonts w:hint="eastAsia" w:ascii="Times New Roman" w:hAnsi="Times New Roman" w:eastAsia="方正仿宋_GBK" w:cs="方正仿宋_GBK"/>
          <w:sz w:val="24"/>
        </w:rPr>
      </w:pPr>
    </w:p>
    <w:p>
      <w:pPr>
        <w:spacing w:line="460" w:lineRule="exact"/>
        <w:ind w:right="-512" w:rightChars="-244" w:firstLine="645"/>
        <w:jc w:val="right"/>
        <w:rPr>
          <w:rFonts w:hint="eastAsia" w:ascii="Times New Roman" w:hAnsi="Times New Roman" w:eastAsia="方正仿宋_GBK" w:cs="方正仿宋_GBK"/>
          <w:sz w:val="24"/>
        </w:rPr>
      </w:pPr>
      <w:r>
        <w:rPr>
          <w:rFonts w:hint="eastAsia" w:ascii="Times New Roman" w:hAnsi="Times New Roman" w:eastAsia="方正仿宋_GBK" w:cs="方正仿宋_GBK"/>
          <w:sz w:val="24"/>
        </w:rPr>
        <w:t xml:space="preserve">江苏省住房和城乡建设厅    </w:t>
      </w:r>
    </w:p>
    <w:p>
      <w:pPr>
        <w:spacing w:line="460" w:lineRule="exact"/>
        <w:ind w:right="-512" w:rightChars="-244" w:firstLine="645"/>
        <w:jc w:val="right"/>
        <w:rPr>
          <w:rFonts w:hint="eastAsia" w:ascii="Times New Roman" w:hAnsi="Times New Roman" w:eastAsia="方正仿宋_GBK" w:cs="方正仿宋_GBK"/>
          <w:sz w:val="24"/>
        </w:rPr>
      </w:pPr>
      <w:r>
        <w:rPr>
          <w:rFonts w:hint="eastAsia" w:ascii="Times New Roman" w:hAnsi="Times New Roman" w:eastAsia="方正仿宋_GBK" w:cs="方正仿宋_GBK"/>
          <w:sz w:val="24"/>
        </w:rPr>
        <w:t xml:space="preserve">2017年2月4日        </w:t>
      </w:r>
    </w:p>
    <w:p>
      <w:pPr>
        <w:rPr>
          <w:rFonts w:hint="eastAsia" w:ascii="Times New Roman" w:hAnsi="Times New Roman" w:eastAsia="方正仿宋_GBK" w:cs="方正仿宋_GBK"/>
          <w:sz w:val="24"/>
        </w:rPr>
      </w:pPr>
    </w:p>
    <w:p>
      <w:pPr>
        <w:spacing w:line="570" w:lineRule="exact"/>
        <w:ind w:right="-512" w:rightChars="-244"/>
        <w:jc w:val="left"/>
        <w:rPr>
          <w:rFonts w:hint="eastAsia" w:ascii="Times New Roman" w:hAnsi="Times New Roman" w:eastAsia="方正仿宋_GBK" w:cs="方正仿宋_GBK"/>
          <w:sz w:val="24"/>
        </w:rPr>
      </w:pPr>
    </w:p>
    <w:p>
      <w:pPr>
        <w:spacing w:line="570" w:lineRule="exact"/>
        <w:ind w:right="-512" w:rightChars="-244"/>
        <w:jc w:val="left"/>
        <w:rPr>
          <w:rFonts w:hint="eastAsia" w:ascii="Times New Roman" w:hAnsi="Times New Roman" w:eastAsia="方正仿宋_GBK" w:cs="方正仿宋_GBK"/>
          <w:sz w:val="24"/>
        </w:rPr>
      </w:pPr>
    </w:p>
    <w:p>
      <w:pPr>
        <w:spacing w:line="570" w:lineRule="exact"/>
        <w:ind w:right="-512" w:rightChars="-244"/>
        <w:jc w:val="left"/>
        <w:rPr>
          <w:rFonts w:hint="eastAsia" w:ascii="Times New Roman" w:hAnsi="Times New Roman" w:eastAsia="方正仿宋_GBK" w:cs="方正仿宋_GBK"/>
          <w:sz w:val="24"/>
        </w:rPr>
      </w:pPr>
    </w:p>
    <w:p>
      <w:pPr>
        <w:spacing w:line="570" w:lineRule="exact"/>
        <w:ind w:right="-512" w:rightChars="-244"/>
        <w:jc w:val="left"/>
        <w:rPr>
          <w:rFonts w:hint="eastAsia" w:ascii="Times New Roman" w:hAnsi="Times New Roman" w:eastAsia="方正仿宋_GBK" w:cs="方正仿宋_GBK"/>
          <w:sz w:val="24"/>
        </w:rPr>
      </w:pPr>
    </w:p>
    <w:p>
      <w:pPr>
        <w:spacing w:line="570" w:lineRule="exact"/>
        <w:ind w:right="-512" w:rightChars="-244"/>
        <w:jc w:val="left"/>
        <w:rPr>
          <w:rFonts w:hint="eastAsia" w:ascii="Times New Roman" w:hAnsi="Times New Roman" w:eastAsia="方正仿宋_GBK" w:cs="方正仿宋_GBK"/>
          <w:sz w:val="24"/>
        </w:rPr>
      </w:pPr>
    </w:p>
    <w:p>
      <w:pPr>
        <w:spacing w:line="570" w:lineRule="exact"/>
        <w:ind w:right="-512" w:rightChars="-244"/>
        <w:jc w:val="left"/>
        <w:rPr>
          <w:rFonts w:hint="eastAsia" w:ascii="Times New Roman" w:hAnsi="Times New Roman" w:eastAsia="方正仿宋_GBK" w:cs="方正仿宋_GBK"/>
          <w:sz w:val="24"/>
        </w:rPr>
      </w:pPr>
    </w:p>
    <w:p>
      <w:pPr>
        <w:spacing w:line="570" w:lineRule="exact"/>
        <w:ind w:right="-512" w:rightChars="-244"/>
        <w:jc w:val="left"/>
        <w:rPr>
          <w:rFonts w:hint="eastAsia" w:ascii="Times New Roman" w:hAnsi="Times New Roman" w:eastAsia="方正仿宋_GBK" w:cs="方正仿宋_GBK"/>
          <w:sz w:val="24"/>
        </w:rPr>
      </w:pPr>
    </w:p>
    <w:p>
      <w:pPr>
        <w:spacing w:line="570" w:lineRule="exact"/>
        <w:ind w:right="-512" w:rightChars="-244"/>
        <w:jc w:val="left"/>
        <w:rPr>
          <w:rFonts w:hint="eastAsia" w:ascii="Times New Roman" w:hAnsi="Times New Roman" w:eastAsia="方正仿宋_GBK" w:cs="方正仿宋_GBK"/>
          <w:sz w:val="24"/>
        </w:rPr>
      </w:pPr>
    </w:p>
    <w:p>
      <w:pPr>
        <w:spacing w:line="480" w:lineRule="exact"/>
        <w:ind w:right="-512" w:rightChars="-244"/>
        <w:jc w:val="left"/>
        <w:rPr>
          <w:rFonts w:hint="eastAsia" w:ascii="Times New Roman" w:hAnsi="Times New Roman" w:eastAsia="方正黑体_GBK" w:cs="方正仿宋_GBK"/>
          <w:sz w:val="28"/>
          <w:szCs w:val="28"/>
        </w:rPr>
      </w:pPr>
      <w:r>
        <w:rPr>
          <w:rFonts w:hint="eastAsia" w:ascii="Times New Roman" w:hAnsi="Times New Roman" w:eastAsia="方正黑体_GBK" w:cs="方正仿宋_GBK"/>
          <w:sz w:val="28"/>
          <w:szCs w:val="28"/>
        </w:rPr>
        <w:br w:type="column"/>
      </w:r>
      <w:r>
        <w:rPr>
          <w:rFonts w:hint="eastAsia" w:ascii="Times New Roman" w:hAnsi="Times New Roman" w:eastAsia="方正黑体_GBK" w:cs="方正仿宋_GBK"/>
          <w:sz w:val="28"/>
          <w:szCs w:val="28"/>
        </w:rPr>
        <w:t>附1</w:t>
      </w:r>
    </w:p>
    <w:p>
      <w:pPr>
        <w:spacing w:line="480" w:lineRule="exact"/>
        <w:ind w:right="-512" w:rightChars="-244"/>
        <w:jc w:val="left"/>
        <w:rPr>
          <w:rFonts w:hint="eastAsia" w:ascii="Times New Roman" w:hAnsi="Times New Roman" w:eastAsia="方正黑体_GBK" w:cs="方正仿宋_GBK"/>
          <w:sz w:val="28"/>
          <w:szCs w:val="28"/>
        </w:rPr>
      </w:pPr>
    </w:p>
    <w:p>
      <w:pPr>
        <w:spacing w:line="480" w:lineRule="exact"/>
        <w:ind w:right="-512" w:rightChars="-244"/>
        <w:jc w:val="center"/>
        <w:rPr>
          <w:rFonts w:hint="eastAsia" w:ascii="Times New Roman" w:hAnsi="Times New Roman" w:eastAsia="方正小标宋_GBK" w:cs="方正仿宋_GBK"/>
          <w:sz w:val="36"/>
          <w:szCs w:val="36"/>
        </w:rPr>
      </w:pPr>
      <w:r>
        <w:rPr>
          <w:rFonts w:hint="eastAsia" w:ascii="Times New Roman" w:hAnsi="Times New Roman" w:eastAsia="方正小标宋_GBK" w:cs="方正仿宋_GBK"/>
          <w:sz w:val="36"/>
          <w:szCs w:val="36"/>
        </w:rPr>
        <w:t>江苏省优秀工程勘察设计奖评选办法</w:t>
      </w:r>
    </w:p>
    <w:p>
      <w:pPr>
        <w:spacing w:line="480" w:lineRule="exact"/>
        <w:ind w:right="-512" w:rightChars="-244"/>
        <w:jc w:val="center"/>
        <w:rPr>
          <w:rFonts w:hint="eastAsia" w:ascii="Times New Roman" w:hAnsi="Times New Roman" w:eastAsia="方正小标宋_GBK" w:cs="方正仿宋_GBK"/>
          <w:sz w:val="36"/>
          <w:szCs w:val="36"/>
        </w:rPr>
      </w:pPr>
    </w:p>
    <w:p>
      <w:pPr>
        <w:pStyle w:val="3"/>
        <w:spacing w:before="0" w:after="0" w:line="480" w:lineRule="exact"/>
        <w:ind w:right="-512" w:rightChars="-244"/>
        <w:jc w:val="center"/>
        <w:rPr>
          <w:rFonts w:hint="eastAsia" w:ascii="Times New Roman" w:hAnsi="Times New Roman" w:eastAsia="方正仿宋_GBK" w:cs="方正仿宋_GBK"/>
          <w:sz w:val="24"/>
          <w:szCs w:val="24"/>
        </w:rPr>
      </w:pPr>
      <w:bookmarkStart w:id="237" w:name="_Toc20726269"/>
      <w:bookmarkStart w:id="238" w:name="_Toc20667743"/>
      <w:bookmarkStart w:id="239" w:name="_Toc18315652"/>
      <w:r>
        <w:rPr>
          <w:rFonts w:hint="eastAsia" w:ascii="Times New Roman" w:hAnsi="Times New Roman" w:eastAsia="方正仿宋_GBK" w:cs="方正仿宋_GBK"/>
          <w:sz w:val="24"/>
          <w:szCs w:val="24"/>
        </w:rPr>
        <w:t>第一章　总　　则</w:t>
      </w:r>
      <w:bookmarkEnd w:id="237"/>
      <w:bookmarkEnd w:id="238"/>
      <w:bookmarkEnd w:id="239"/>
    </w:p>
    <w:p>
      <w:pPr>
        <w:spacing w:line="480" w:lineRule="exact"/>
        <w:ind w:right="-512" w:rightChars="-244" w:firstLine="645"/>
        <w:rPr>
          <w:rFonts w:hint="eastAsia" w:ascii="Times New Roman" w:hAnsi="Times New Roman" w:eastAsia="方正仿宋_GBK" w:cs="方正仿宋_GBK"/>
          <w:sz w:val="24"/>
        </w:rPr>
      </w:pPr>
    </w:p>
    <w:p>
      <w:pPr>
        <w:spacing w:line="480" w:lineRule="exact"/>
        <w:ind w:right="-512" w:rightChars="-244" w:firstLine="645"/>
        <w:rPr>
          <w:rFonts w:hint="eastAsia" w:ascii="Times New Roman" w:hAnsi="Times New Roman" w:eastAsia="方正仿宋_GBK" w:cs="方正仿宋_GBK"/>
          <w:sz w:val="24"/>
        </w:rPr>
      </w:pPr>
      <w:r>
        <w:rPr>
          <w:rFonts w:hint="eastAsia" w:ascii="Times New Roman" w:hAnsi="Times New Roman" w:eastAsia="方正仿宋_GBK" w:cs="方正仿宋_GBK"/>
          <w:sz w:val="24"/>
        </w:rPr>
        <w:t>第一条　为贯彻落实科学发展观，推动工程勘察设计行业技术创新，提高工程勘察设计水平，引导、鼓励工程勘察设计单位和工程勘察设计人员创作出更多质量优、水平高、效益好的工程勘察设计项目，根据建设部《全国优秀工程勘察设计奖评选办法》、《江苏省建设工程勘察设计管理办法》，特制定本办法。</w:t>
      </w:r>
    </w:p>
    <w:p>
      <w:pPr>
        <w:spacing w:line="480" w:lineRule="exact"/>
        <w:ind w:right="-512" w:rightChars="-244" w:firstLine="645"/>
        <w:rPr>
          <w:rFonts w:hint="eastAsia" w:ascii="Times New Roman" w:hAnsi="Times New Roman" w:eastAsia="方正仿宋_GBK" w:cs="方正仿宋_GBK"/>
          <w:sz w:val="24"/>
        </w:rPr>
      </w:pPr>
      <w:r>
        <w:rPr>
          <w:rFonts w:hint="eastAsia" w:ascii="Times New Roman" w:hAnsi="Times New Roman" w:eastAsia="方正仿宋_GBK" w:cs="方正仿宋_GBK"/>
          <w:sz w:val="24"/>
        </w:rPr>
        <w:t>第二条　江苏省优秀工程勘察设计奖是我省工程勘察设计行业的省级最高奖项,包括优秀工程勘察、优秀工程设计、优秀工程建设标准设计、优秀工程勘察设计计算机软件。</w:t>
      </w:r>
    </w:p>
    <w:p>
      <w:pPr>
        <w:spacing w:line="480" w:lineRule="exact"/>
        <w:ind w:right="-512" w:rightChars="-244" w:firstLine="645"/>
        <w:rPr>
          <w:rFonts w:hint="eastAsia" w:ascii="Times New Roman" w:hAnsi="Times New Roman" w:eastAsia="方正仿宋_GBK" w:cs="方正仿宋_GBK"/>
          <w:sz w:val="24"/>
        </w:rPr>
      </w:pPr>
      <w:r>
        <w:rPr>
          <w:rFonts w:hint="eastAsia" w:ascii="Times New Roman" w:hAnsi="Times New Roman" w:eastAsia="方正仿宋_GBK" w:cs="方正仿宋_GBK"/>
          <w:sz w:val="24"/>
        </w:rPr>
        <w:t>第三条　江苏省优秀工程勘察设计奖每两年评选一次，分设一等奖、二等奖和三等奖。</w:t>
      </w:r>
    </w:p>
    <w:p>
      <w:pPr>
        <w:spacing w:line="480" w:lineRule="exact"/>
        <w:ind w:right="-512" w:rightChars="-244" w:firstLine="645"/>
        <w:rPr>
          <w:rFonts w:hint="eastAsia" w:ascii="Times New Roman" w:hAnsi="Times New Roman" w:eastAsia="方正仿宋_GBK" w:cs="方正仿宋_GBK"/>
          <w:sz w:val="24"/>
        </w:rPr>
      </w:pPr>
      <w:r>
        <w:rPr>
          <w:rFonts w:hint="eastAsia" w:ascii="Times New Roman" w:hAnsi="Times New Roman" w:eastAsia="方正仿宋_GBK" w:cs="方正仿宋_GBK"/>
          <w:sz w:val="24"/>
        </w:rPr>
        <w:t>获奖项目中一、二等奖的比例原则上不超过获奖总数的15%、35%，达不到评定等级标准的奖项可空缺。</w:t>
      </w:r>
    </w:p>
    <w:p>
      <w:pPr>
        <w:spacing w:line="480" w:lineRule="exact"/>
        <w:ind w:right="-512" w:rightChars="-244" w:firstLine="645"/>
        <w:rPr>
          <w:rFonts w:hint="eastAsia" w:ascii="Times New Roman" w:hAnsi="Times New Roman" w:eastAsia="方正仿宋_GBK" w:cs="方正仿宋_GBK"/>
          <w:sz w:val="24"/>
        </w:rPr>
      </w:pPr>
      <w:r>
        <w:rPr>
          <w:rFonts w:hint="eastAsia" w:ascii="Times New Roman" w:hAnsi="Times New Roman" w:eastAsia="方正仿宋_GBK" w:cs="方正仿宋_GBK"/>
          <w:sz w:val="24"/>
        </w:rPr>
        <w:t>第四条　江苏省优秀工程勘察设计奖评选工作应当遵循实事求是、科学严谨和公开、公平、公正的原则。</w:t>
      </w:r>
    </w:p>
    <w:p>
      <w:pPr>
        <w:spacing w:line="480" w:lineRule="exact"/>
        <w:ind w:right="-512" w:rightChars="-244" w:firstLine="645"/>
        <w:rPr>
          <w:rFonts w:hint="eastAsia" w:ascii="Times New Roman" w:hAnsi="Times New Roman" w:eastAsia="方正仿宋_GBK" w:cs="方正仿宋_GBK"/>
          <w:sz w:val="24"/>
        </w:rPr>
      </w:pPr>
      <w:r>
        <w:rPr>
          <w:rFonts w:hint="eastAsia" w:ascii="Times New Roman" w:hAnsi="Times New Roman" w:eastAsia="方正仿宋_GBK" w:cs="方正仿宋_GBK"/>
          <w:sz w:val="24"/>
        </w:rPr>
        <w:t>第五条　省建设厅负责江苏省优秀工程勘察设计奖的评选工作。</w:t>
      </w:r>
    </w:p>
    <w:p>
      <w:pPr>
        <w:pStyle w:val="3"/>
        <w:spacing w:before="0" w:after="0" w:line="480" w:lineRule="exact"/>
        <w:ind w:right="-512" w:rightChars="-244"/>
        <w:rPr>
          <w:rFonts w:hint="eastAsia" w:ascii="Times New Roman" w:hAnsi="Times New Roman" w:eastAsia="方正仿宋_GBK" w:cs="方正仿宋_GBK"/>
          <w:sz w:val="24"/>
          <w:szCs w:val="24"/>
        </w:rPr>
      </w:pPr>
    </w:p>
    <w:p>
      <w:pPr>
        <w:pStyle w:val="3"/>
        <w:spacing w:before="0" w:after="0" w:line="480" w:lineRule="exact"/>
        <w:ind w:right="-512" w:rightChars="-244"/>
        <w:jc w:val="center"/>
        <w:rPr>
          <w:rFonts w:hint="eastAsia" w:ascii="Times New Roman" w:hAnsi="Times New Roman" w:eastAsia="方正仿宋_GBK" w:cs="方正仿宋_GBK"/>
          <w:sz w:val="24"/>
          <w:szCs w:val="24"/>
        </w:rPr>
      </w:pPr>
      <w:bookmarkStart w:id="240" w:name="_Toc20667744"/>
      <w:bookmarkStart w:id="241" w:name="_Toc18315653"/>
      <w:bookmarkStart w:id="242" w:name="_Toc20726270"/>
      <w:r>
        <w:rPr>
          <w:rFonts w:hint="eastAsia" w:ascii="Times New Roman" w:hAnsi="Times New Roman" w:eastAsia="方正仿宋_GBK" w:cs="方正仿宋_GBK"/>
          <w:sz w:val="24"/>
          <w:szCs w:val="24"/>
        </w:rPr>
        <w:t>第二章　评选的范围</w:t>
      </w:r>
      <w:bookmarkEnd w:id="240"/>
      <w:bookmarkEnd w:id="241"/>
      <w:bookmarkEnd w:id="242"/>
    </w:p>
    <w:p>
      <w:pPr>
        <w:spacing w:line="480" w:lineRule="exact"/>
        <w:ind w:right="-512" w:rightChars="-244" w:firstLine="645"/>
        <w:rPr>
          <w:rFonts w:hint="eastAsia" w:ascii="Times New Roman" w:hAnsi="Times New Roman" w:eastAsia="方正仿宋_GBK" w:cs="方正仿宋_GBK"/>
          <w:sz w:val="24"/>
        </w:rPr>
      </w:pPr>
      <w:r>
        <w:rPr>
          <w:rFonts w:hint="eastAsia" w:ascii="Times New Roman" w:hAnsi="Times New Roman" w:eastAsia="方正仿宋_GBK" w:cs="方正仿宋_GBK"/>
          <w:sz w:val="24"/>
        </w:rPr>
        <w:t>第六条  申报项目应为我省勘察设计、规划单位承接或为主承接的国内外勘察设计项目,或由省外勘察设计、规划单位承接或为主承接的我省勘察设计项目。</w:t>
      </w:r>
    </w:p>
    <w:p>
      <w:pPr>
        <w:spacing w:line="480" w:lineRule="exact"/>
        <w:ind w:right="-512" w:rightChars="-244" w:firstLine="645"/>
        <w:rPr>
          <w:rFonts w:hint="eastAsia" w:ascii="Times New Roman" w:hAnsi="Times New Roman" w:eastAsia="方正仿宋_GBK" w:cs="方正仿宋_GBK"/>
          <w:sz w:val="24"/>
        </w:rPr>
      </w:pPr>
      <w:r>
        <w:rPr>
          <w:rFonts w:hint="eastAsia" w:ascii="Times New Roman" w:hAnsi="Times New Roman" w:eastAsia="方正仿宋_GBK" w:cs="方正仿宋_GBK"/>
          <w:sz w:val="24"/>
        </w:rPr>
        <w:t>第七条　江苏省优秀工程勘察奖评选范围包括：</w:t>
      </w:r>
    </w:p>
    <w:p>
      <w:pPr>
        <w:spacing w:line="480" w:lineRule="exact"/>
        <w:ind w:right="-512" w:rightChars="-244" w:firstLine="645"/>
        <w:rPr>
          <w:rFonts w:hint="eastAsia" w:ascii="Times New Roman" w:hAnsi="Times New Roman" w:eastAsia="方正仿宋_GBK" w:cs="方正仿宋_GBK"/>
          <w:sz w:val="24"/>
        </w:rPr>
      </w:pPr>
      <w:r>
        <w:rPr>
          <w:rFonts w:hint="eastAsia" w:ascii="Times New Roman" w:hAnsi="Times New Roman" w:eastAsia="方正仿宋_GBK" w:cs="方正仿宋_GBK"/>
          <w:sz w:val="24"/>
        </w:rPr>
        <w:t>一、 结构主体工程完成一年以上（以项目业主或有关部门证明的日期为准）的工程地质勘察项目，或地基基础工程竣工验收后经一年以上时间检验的岩土工程项目；</w:t>
      </w:r>
    </w:p>
    <w:p>
      <w:pPr>
        <w:spacing w:line="480" w:lineRule="exact"/>
        <w:ind w:right="-512" w:rightChars="-244" w:firstLine="645"/>
        <w:rPr>
          <w:rFonts w:hint="eastAsia" w:ascii="Times New Roman" w:hAnsi="Times New Roman" w:eastAsia="方正仿宋_GBK" w:cs="方正仿宋_GBK"/>
          <w:sz w:val="24"/>
        </w:rPr>
      </w:pPr>
      <w:r>
        <w:rPr>
          <w:rFonts w:hint="eastAsia" w:ascii="Times New Roman" w:hAnsi="Times New Roman" w:eastAsia="方正仿宋_GBK" w:cs="方正仿宋_GBK"/>
          <w:sz w:val="24"/>
        </w:rPr>
        <w:t>二、规划、建设方验收后的工程测量项目（含城市规划测量项目）；</w:t>
      </w:r>
    </w:p>
    <w:p>
      <w:pPr>
        <w:spacing w:line="480" w:lineRule="exact"/>
        <w:ind w:right="-512" w:rightChars="-244" w:firstLine="645"/>
        <w:rPr>
          <w:rFonts w:hint="eastAsia" w:ascii="Times New Roman" w:hAnsi="Times New Roman" w:eastAsia="方正仿宋_GBK" w:cs="方正仿宋_GBK"/>
          <w:sz w:val="24"/>
        </w:rPr>
      </w:pPr>
      <w:r>
        <w:rPr>
          <w:rFonts w:hint="eastAsia" w:ascii="Times New Roman" w:hAnsi="Times New Roman" w:eastAsia="方正仿宋_GBK" w:cs="方正仿宋_GBK"/>
          <w:sz w:val="24"/>
        </w:rPr>
        <w:t>三、开采性抽水试验（抽水能力大于设计水量50%），或开采未达到设计水平但有一年以上长期观测资料，或经相关机构认可的水资源评价与钻井工程等水文地质勘察项目；</w:t>
      </w:r>
    </w:p>
    <w:p>
      <w:pPr>
        <w:spacing w:line="480" w:lineRule="exact"/>
        <w:ind w:right="-512" w:rightChars="-244" w:firstLine="645"/>
        <w:rPr>
          <w:rFonts w:hint="eastAsia" w:ascii="Times New Roman" w:hAnsi="Times New Roman" w:eastAsia="方正仿宋_GBK" w:cs="方正仿宋_GBK"/>
          <w:sz w:val="24"/>
        </w:rPr>
      </w:pPr>
      <w:r>
        <w:rPr>
          <w:rFonts w:hint="eastAsia" w:ascii="Times New Roman" w:hAnsi="Times New Roman" w:eastAsia="方正仿宋_GBK" w:cs="方正仿宋_GBK"/>
          <w:sz w:val="24"/>
        </w:rPr>
        <w:t>四、地质条件复杂的大型水利、铁道、公路等工程勘察，可按批准立项文件或批准的初步设计分期、分单项或以单位工程申报，按整个项目申报时，其子项目原则上不再另行申报。</w:t>
      </w:r>
    </w:p>
    <w:p>
      <w:pPr>
        <w:spacing w:line="480" w:lineRule="exact"/>
        <w:ind w:right="-512" w:rightChars="-244" w:firstLine="645"/>
        <w:rPr>
          <w:rFonts w:hint="eastAsia" w:ascii="Times New Roman" w:hAnsi="Times New Roman" w:eastAsia="方正仿宋_GBK" w:cs="方正仿宋_GBK"/>
          <w:sz w:val="24"/>
        </w:rPr>
      </w:pPr>
      <w:r>
        <w:rPr>
          <w:rFonts w:hint="eastAsia" w:ascii="Times New Roman" w:hAnsi="Times New Roman" w:eastAsia="方正仿宋_GBK" w:cs="方正仿宋_GBK"/>
          <w:sz w:val="24"/>
        </w:rPr>
        <w:t>第八条　江苏省优秀工程设计奖评选范围包括：</w:t>
      </w:r>
    </w:p>
    <w:p>
      <w:pPr>
        <w:spacing w:line="480" w:lineRule="exact"/>
        <w:ind w:right="-512" w:rightChars="-244" w:firstLine="645"/>
        <w:rPr>
          <w:rFonts w:hint="eastAsia" w:ascii="Times New Roman" w:hAnsi="Times New Roman" w:eastAsia="方正仿宋_GBK" w:cs="方正仿宋_GBK"/>
          <w:sz w:val="24"/>
        </w:rPr>
      </w:pPr>
      <w:r>
        <w:rPr>
          <w:rFonts w:hint="eastAsia" w:ascii="Times New Roman" w:hAnsi="Times New Roman" w:eastAsia="方正仿宋_GBK" w:cs="方正仿宋_GBK"/>
          <w:sz w:val="24"/>
        </w:rPr>
        <w:t>一、建成并经过交（竣）工验收，经过一年以上（以项目业主或有关部门验收证明的日期为准）生产运营（使用），已形成生产能力或独立功能的整体工程设计项目（包括新建、扩建和改建项目）；</w:t>
      </w:r>
    </w:p>
    <w:p>
      <w:pPr>
        <w:spacing w:line="480" w:lineRule="exact"/>
        <w:ind w:right="-512" w:rightChars="-244" w:firstLine="645"/>
        <w:rPr>
          <w:rFonts w:hint="eastAsia" w:ascii="Times New Roman" w:hAnsi="Times New Roman" w:eastAsia="方正仿宋_GBK" w:cs="方正仿宋_GBK"/>
          <w:sz w:val="24"/>
        </w:rPr>
      </w:pPr>
      <w:r>
        <w:rPr>
          <w:rFonts w:hint="eastAsia" w:ascii="Times New Roman" w:hAnsi="Times New Roman" w:eastAsia="方正仿宋_GBK" w:cs="方正仿宋_GBK"/>
          <w:sz w:val="24"/>
        </w:rPr>
        <w:t>二、大型工程设计项目如矿井、水利工程、铁道、公路等，可按批准立项文件或批准的初步设计分期、分单项或以单位工程申报，按整个项目申报时，其子项目原则上不再另行申报；</w:t>
      </w:r>
    </w:p>
    <w:p>
      <w:pPr>
        <w:spacing w:line="480" w:lineRule="exact"/>
        <w:ind w:right="-512" w:rightChars="-244" w:firstLine="645"/>
        <w:rPr>
          <w:rFonts w:hint="eastAsia" w:ascii="Times New Roman" w:hAnsi="Times New Roman" w:eastAsia="方正仿宋_GBK" w:cs="方正仿宋_GBK"/>
          <w:sz w:val="24"/>
        </w:rPr>
      </w:pPr>
      <w:r>
        <w:rPr>
          <w:rFonts w:hint="eastAsia" w:ascii="Times New Roman" w:hAnsi="Times New Roman" w:eastAsia="方正仿宋_GBK" w:cs="方正仿宋_GBK"/>
          <w:sz w:val="24"/>
        </w:rPr>
        <w:t>三、经规定程序审查批准并付诸实施的城乡规划项目及其他规划项目（如江河流域规划、水利工程专项规划等）；</w:t>
      </w:r>
    </w:p>
    <w:p>
      <w:pPr>
        <w:spacing w:line="480" w:lineRule="exact"/>
        <w:ind w:right="-512" w:rightChars="-244" w:firstLine="645"/>
        <w:rPr>
          <w:rFonts w:hint="eastAsia" w:ascii="Times New Roman" w:hAnsi="Times New Roman" w:eastAsia="方正仿宋_GBK" w:cs="方正仿宋_GBK"/>
          <w:sz w:val="24"/>
        </w:rPr>
      </w:pPr>
      <w:r>
        <w:rPr>
          <w:rFonts w:hint="eastAsia" w:ascii="Times New Roman" w:hAnsi="Times New Roman" w:eastAsia="方正仿宋_GBK" w:cs="方正仿宋_GBK"/>
          <w:sz w:val="24"/>
        </w:rPr>
        <w:t>四、引进国外（境外）技术或者中外合作设计的工程设计项目，凡由中方进行初步设计或施工图设计的项目可以申报。</w:t>
      </w:r>
    </w:p>
    <w:p>
      <w:pPr>
        <w:spacing w:line="480" w:lineRule="exact"/>
        <w:ind w:right="-512" w:rightChars="-244" w:firstLine="645"/>
        <w:rPr>
          <w:rFonts w:hint="eastAsia" w:ascii="Times New Roman" w:hAnsi="Times New Roman" w:eastAsia="方正仿宋_GBK" w:cs="方正仿宋_GBK"/>
          <w:sz w:val="24"/>
        </w:rPr>
      </w:pPr>
      <w:r>
        <w:rPr>
          <w:rFonts w:hint="eastAsia" w:ascii="Times New Roman" w:hAnsi="Times New Roman" w:eastAsia="方正仿宋_GBK" w:cs="方正仿宋_GBK"/>
          <w:sz w:val="24"/>
        </w:rPr>
        <w:t>第九条　江苏省优秀工程建设标准设计奖评选范围：</w:t>
      </w:r>
    </w:p>
    <w:p>
      <w:pPr>
        <w:spacing w:line="480" w:lineRule="exact"/>
        <w:ind w:right="-512" w:rightChars="-244" w:firstLine="645"/>
        <w:rPr>
          <w:rFonts w:hint="eastAsia" w:ascii="Times New Roman" w:hAnsi="Times New Roman" w:eastAsia="方正仿宋_GBK" w:cs="方正仿宋_GBK"/>
          <w:sz w:val="24"/>
        </w:rPr>
      </w:pPr>
      <w:r>
        <w:rPr>
          <w:rFonts w:hint="eastAsia" w:ascii="Times New Roman" w:hAnsi="Times New Roman" w:eastAsia="方正仿宋_GBK" w:cs="方正仿宋_GBK"/>
          <w:sz w:val="24"/>
        </w:rPr>
        <w:t>经国家或省有关行政主管部门、行业协会批准、出版的江苏省工程建设标准设计。</w:t>
      </w:r>
    </w:p>
    <w:p>
      <w:pPr>
        <w:spacing w:line="480" w:lineRule="exact"/>
        <w:ind w:right="-512" w:rightChars="-244" w:firstLine="645"/>
        <w:rPr>
          <w:rFonts w:hint="eastAsia" w:ascii="Times New Roman" w:hAnsi="Times New Roman" w:eastAsia="方正仿宋_GBK" w:cs="方正仿宋_GBK"/>
          <w:sz w:val="24"/>
        </w:rPr>
      </w:pPr>
      <w:r>
        <w:rPr>
          <w:rFonts w:hint="eastAsia" w:ascii="Times New Roman" w:hAnsi="Times New Roman" w:eastAsia="方正仿宋_GBK" w:cs="方正仿宋_GBK"/>
          <w:sz w:val="24"/>
        </w:rPr>
        <w:t>第十条　江苏省优秀工程勘察设计计算机软件奖评选范围包括：</w:t>
      </w:r>
    </w:p>
    <w:p>
      <w:pPr>
        <w:spacing w:line="480" w:lineRule="exact"/>
        <w:ind w:right="-512" w:rightChars="-244" w:firstLine="645"/>
        <w:rPr>
          <w:rFonts w:hint="eastAsia" w:ascii="Times New Roman" w:hAnsi="Times New Roman" w:eastAsia="方正仿宋_GBK" w:cs="方正仿宋_GBK"/>
          <w:sz w:val="24"/>
        </w:rPr>
      </w:pPr>
      <w:r>
        <w:rPr>
          <w:rFonts w:hint="eastAsia" w:ascii="Times New Roman" w:hAnsi="Times New Roman" w:eastAsia="方正仿宋_GBK" w:cs="方正仿宋_GBK"/>
          <w:sz w:val="24"/>
        </w:rPr>
        <w:t>一、具有自主知识产权，适用于工程勘察设计行业的国产软件；</w:t>
      </w:r>
    </w:p>
    <w:p>
      <w:pPr>
        <w:spacing w:line="480" w:lineRule="exact"/>
        <w:ind w:right="-512" w:rightChars="-244" w:firstLine="645"/>
        <w:rPr>
          <w:rFonts w:hint="eastAsia" w:ascii="Times New Roman" w:hAnsi="Times New Roman" w:eastAsia="方正仿宋_GBK" w:cs="方正仿宋_GBK"/>
          <w:sz w:val="24"/>
        </w:rPr>
      </w:pPr>
      <w:r>
        <w:rPr>
          <w:rFonts w:hint="eastAsia" w:ascii="Times New Roman" w:hAnsi="Times New Roman" w:eastAsia="方正仿宋_GBK" w:cs="方正仿宋_GBK"/>
          <w:sz w:val="24"/>
        </w:rPr>
        <w:t>二、引进后经二次开发，适用于工程勘察设计行业的软件或数据库。</w:t>
      </w:r>
    </w:p>
    <w:p>
      <w:pPr>
        <w:pStyle w:val="3"/>
        <w:spacing w:before="0" w:after="0" w:line="480" w:lineRule="exact"/>
        <w:ind w:right="-512" w:rightChars="-244"/>
        <w:rPr>
          <w:rFonts w:hint="eastAsia" w:ascii="Times New Roman" w:hAnsi="Times New Roman" w:eastAsia="方正仿宋_GBK" w:cs="方正仿宋_GBK"/>
          <w:sz w:val="24"/>
          <w:szCs w:val="24"/>
        </w:rPr>
      </w:pPr>
    </w:p>
    <w:p>
      <w:pPr>
        <w:pStyle w:val="3"/>
        <w:spacing w:before="0" w:after="0" w:line="480" w:lineRule="exact"/>
        <w:ind w:right="-512" w:rightChars="-244"/>
        <w:jc w:val="center"/>
        <w:rPr>
          <w:rFonts w:hint="eastAsia" w:ascii="Times New Roman" w:hAnsi="Times New Roman" w:eastAsia="方正仿宋_GBK" w:cs="方正仿宋_GBK"/>
          <w:sz w:val="24"/>
          <w:szCs w:val="24"/>
        </w:rPr>
      </w:pPr>
      <w:bookmarkStart w:id="243" w:name="_Toc18315654"/>
      <w:bookmarkStart w:id="244" w:name="_Toc20726271"/>
      <w:bookmarkStart w:id="245" w:name="_Toc20667745"/>
      <w:r>
        <w:rPr>
          <w:rFonts w:hint="eastAsia" w:ascii="Times New Roman" w:hAnsi="Times New Roman" w:eastAsia="方正仿宋_GBK" w:cs="方正仿宋_GBK"/>
          <w:sz w:val="24"/>
          <w:szCs w:val="24"/>
        </w:rPr>
        <w:t>第三章　评选的条件和标准</w:t>
      </w:r>
      <w:bookmarkEnd w:id="243"/>
      <w:bookmarkEnd w:id="244"/>
      <w:bookmarkEnd w:id="245"/>
    </w:p>
    <w:p>
      <w:pPr>
        <w:spacing w:line="480" w:lineRule="exact"/>
        <w:ind w:right="-512" w:rightChars="-244"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第十一条　申报江苏省优秀工程勘察设计奖评选的项目必须具备下列条件：</w:t>
      </w:r>
    </w:p>
    <w:p>
      <w:pPr>
        <w:spacing w:line="480" w:lineRule="exact"/>
        <w:ind w:right="-512" w:rightChars="-244"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一、符合国家工程建设的方针、政策和法律、法规，规定、标准图、技术标准及严格执行工程建设强制性标准；采用突破国家技术标准的新技术、新材料，须按照规定通过技术审定；</w:t>
      </w:r>
    </w:p>
    <w:p>
      <w:pPr>
        <w:spacing w:line="480" w:lineRule="exact"/>
        <w:ind w:right="-512" w:rightChars="-244"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二、贯彻执行国家的产业政策，具有先进的勘察设计理念，其主导专业或多个专业采用适用、安全、经济、可靠的新技术，经实践检验取得良好的经济、社会和环境效益；</w:t>
      </w:r>
    </w:p>
    <w:p>
      <w:pPr>
        <w:spacing w:line="480" w:lineRule="exact"/>
        <w:ind w:right="-512" w:rightChars="-244"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三、符合基本建设程序，各项手续完备，取得建设规划、环保、节能、安全、消防、卫生、城建档案管理等相关审批、验收文件，申报项目的业主、生产运行单位对工程勘察设计书面评价意见；</w:t>
      </w:r>
    </w:p>
    <w:p>
      <w:pPr>
        <w:spacing w:line="480" w:lineRule="exact"/>
        <w:ind w:right="-512" w:rightChars="-244"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四、申报项目的单位，必须具有相应的工程勘察设计、规划资质证书，且最近3年内没有发生过重大勘察设计质量安全事故；</w:t>
      </w:r>
    </w:p>
    <w:p>
      <w:pPr>
        <w:spacing w:line="480" w:lineRule="exact"/>
        <w:ind w:right="-512" w:rightChars="-244"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五、工程勘察和城乡建设系统设计项目需获得江苏省城乡建设系统优秀工程勘察设计等级奖；</w:t>
      </w:r>
    </w:p>
    <w:p>
      <w:pPr>
        <w:spacing w:line="480" w:lineRule="exact"/>
        <w:ind w:right="-512" w:rightChars="-244"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六、申报优秀工程建设标准设计的项目应在工程设计或施工中使用满一年且使用效果显著；　</w:t>
      </w:r>
    </w:p>
    <w:p>
      <w:pPr>
        <w:spacing w:line="480" w:lineRule="exact"/>
        <w:ind w:right="-512" w:rightChars="-244"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七、申报优秀工程勘察设计计算机软件应通过鉴定和行业测评，经过实际应用,具有显著经济效益或能提高管理效率。</w:t>
      </w:r>
    </w:p>
    <w:p>
      <w:pPr>
        <w:spacing w:line="480" w:lineRule="exact"/>
        <w:ind w:right="-512" w:rightChars="-244"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第十二条　江苏省优秀工程勘察设计奖各奖项水平应达到以下标准：</w:t>
      </w:r>
    </w:p>
    <w:p>
      <w:pPr>
        <w:spacing w:line="480" w:lineRule="exact"/>
        <w:ind w:right="-512" w:rightChars="-244"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一等奖项目：其主要技术成果指标在全省同类项目中属最高水平，并达到同期国内领先水平，有突出技术创新；</w:t>
      </w:r>
    </w:p>
    <w:p>
      <w:pPr>
        <w:spacing w:line="480" w:lineRule="exact"/>
        <w:ind w:right="-512" w:rightChars="-244"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二等奖项目：其主要技术成果指标应达到同期国内先进水平，有较大的技术创新；</w:t>
      </w:r>
    </w:p>
    <w:p>
      <w:pPr>
        <w:spacing w:line="480" w:lineRule="exact"/>
        <w:ind w:right="-512" w:rightChars="-244"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三等奖项目：其主要技术成果指标应达到同期省内先进水平，有一定的技术创新。</w:t>
      </w:r>
    </w:p>
    <w:p>
      <w:pPr>
        <w:spacing w:line="480" w:lineRule="exact"/>
        <w:ind w:right="-512" w:rightChars="-244"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高星级绿色建筑、装配式建筑、地下综合管廊工程、应用BIM技术项目，及对行业技术发展具有引领推动作用的项目，在评选时予以鼓励和优先。</w:t>
      </w:r>
    </w:p>
    <w:p>
      <w:pPr>
        <w:spacing w:line="480" w:lineRule="exact"/>
        <w:ind w:right="-512" w:rightChars="-244" w:firstLine="480" w:firstLineChars="200"/>
        <w:rPr>
          <w:rFonts w:hint="eastAsia" w:ascii="Times New Roman" w:hAnsi="Times New Roman" w:eastAsia="方正仿宋_GBK" w:cs="方正仿宋_GBK"/>
          <w:sz w:val="24"/>
        </w:rPr>
      </w:pPr>
    </w:p>
    <w:p>
      <w:pPr>
        <w:widowControl/>
        <w:numPr>
          <w:ilvl w:val="0"/>
          <w:numId w:val="1"/>
        </w:numPr>
        <w:autoSpaceDN w:val="0"/>
        <w:spacing w:line="480" w:lineRule="exact"/>
        <w:ind w:left="2580" w:right="-512" w:rightChars="-244"/>
        <w:jc w:val="center"/>
        <w:rPr>
          <w:rFonts w:hint="eastAsia" w:ascii="Times New Roman" w:hAnsi="Times New Roman" w:eastAsia="方正仿宋_GBK" w:cs="方正仿宋_GBK"/>
          <w:b/>
          <w:bCs/>
          <w:sz w:val="24"/>
        </w:rPr>
      </w:pPr>
      <w:r>
        <w:rPr>
          <w:rFonts w:hint="eastAsia" w:ascii="Times New Roman" w:hAnsi="Times New Roman" w:eastAsia="方正仿宋_GBK" w:cs="方正仿宋_GBK"/>
          <w:b/>
          <w:bCs/>
          <w:sz w:val="24"/>
        </w:rPr>
        <w:t xml:space="preserve">  申报、评审及评选结果的公布</w:t>
      </w:r>
    </w:p>
    <w:p>
      <w:pPr>
        <w:spacing w:line="480" w:lineRule="exact"/>
        <w:ind w:right="-512" w:rightChars="-244"/>
        <w:jc w:val="center"/>
        <w:rPr>
          <w:rFonts w:hint="eastAsia" w:ascii="Times New Roman" w:hAnsi="Times New Roman" w:eastAsia="方正仿宋_GBK" w:cs="方正仿宋_GBK"/>
          <w:b/>
          <w:bCs/>
          <w:sz w:val="24"/>
        </w:rPr>
      </w:pPr>
    </w:p>
    <w:p>
      <w:pPr>
        <w:spacing w:line="480" w:lineRule="exact"/>
        <w:ind w:left="92" w:leftChars="44" w:right="-512" w:rightChars="-244" w:firstLine="396" w:firstLineChars="165"/>
        <w:rPr>
          <w:rFonts w:hint="eastAsia" w:ascii="Times New Roman" w:hAnsi="Times New Roman" w:eastAsia="方正仿宋_GBK" w:cs="方正仿宋_GBK"/>
          <w:sz w:val="24"/>
        </w:rPr>
      </w:pPr>
      <w:r>
        <w:rPr>
          <w:rFonts w:hint="eastAsia" w:ascii="Times New Roman" w:hAnsi="Times New Roman" w:eastAsia="方正仿宋_GBK" w:cs="方正仿宋_GBK"/>
          <w:sz w:val="24"/>
        </w:rPr>
        <w:t>第十三条　江苏省优秀工程勘察设计奖项目,由申报单位将申报材料报各省辖市建（委）设局、省有关行业管理部门或行业协会，申报材料应包括申报表、本办法规定的评选范围和评选条件所要求的材料和相关证明等。各省辖市建（委）设局、省有关行业管理部门或行业协会对申报材料进行复核，并根据评选条件择优排序后报送省建设厅。</w:t>
      </w:r>
    </w:p>
    <w:p>
      <w:pPr>
        <w:spacing w:line="480" w:lineRule="exact"/>
        <w:ind w:right="-512" w:rightChars="-244" w:firstLine="645"/>
        <w:rPr>
          <w:rFonts w:hint="eastAsia" w:ascii="Times New Roman" w:hAnsi="Times New Roman" w:eastAsia="方正仿宋_GBK" w:cs="方正仿宋_GBK"/>
          <w:sz w:val="24"/>
        </w:rPr>
      </w:pPr>
      <w:r>
        <w:rPr>
          <w:rFonts w:hint="eastAsia" w:ascii="Times New Roman" w:hAnsi="Times New Roman" w:eastAsia="方正仿宋_GBK" w:cs="方正仿宋_GBK"/>
          <w:sz w:val="24"/>
        </w:rPr>
        <w:t>第十四条　同一个项目只能申报一次，不得通过不同渠道重复申报。</w:t>
      </w:r>
    </w:p>
    <w:p>
      <w:pPr>
        <w:spacing w:line="480" w:lineRule="exact"/>
        <w:ind w:right="-512" w:rightChars="-244" w:firstLine="645"/>
        <w:rPr>
          <w:rFonts w:hint="eastAsia" w:ascii="Times New Roman" w:hAnsi="Times New Roman" w:eastAsia="方正仿宋_GBK" w:cs="方正仿宋_GBK"/>
          <w:sz w:val="24"/>
        </w:rPr>
      </w:pPr>
      <w:r>
        <w:rPr>
          <w:rFonts w:hint="eastAsia" w:ascii="Times New Roman" w:hAnsi="Times New Roman" w:eastAsia="方正仿宋_GBK" w:cs="方正仿宋_GBK"/>
          <w:sz w:val="24"/>
        </w:rPr>
        <w:t>第十五条　省建设厅组织江苏省优秀工程勘察设计各专业评审组，负责相应专业项目的初评工作。</w:t>
      </w:r>
    </w:p>
    <w:p>
      <w:pPr>
        <w:spacing w:line="480" w:lineRule="exact"/>
        <w:ind w:right="-512" w:rightChars="-244" w:firstLine="645"/>
        <w:rPr>
          <w:rFonts w:hint="eastAsia" w:ascii="Times New Roman" w:hAnsi="Times New Roman" w:eastAsia="方正仿宋_GBK" w:cs="方正仿宋_GBK"/>
          <w:sz w:val="24"/>
        </w:rPr>
      </w:pPr>
      <w:r>
        <w:rPr>
          <w:rFonts w:hint="eastAsia" w:ascii="Times New Roman" w:hAnsi="Times New Roman" w:eastAsia="方正仿宋_GBK" w:cs="方正仿宋_GBK"/>
          <w:sz w:val="24"/>
        </w:rPr>
        <w:t>第十六条　江苏省优秀工程勘察设计奖各专业评审组评委人数为奇数。评选组评委应为具有高级技术职称及20年以上的工程勘察设计工作经验，身体健康，年龄一般不超过70周岁。院士和工程勘察设计大师优先选任。</w:t>
      </w:r>
    </w:p>
    <w:p>
      <w:pPr>
        <w:spacing w:line="480" w:lineRule="exact"/>
        <w:ind w:right="-512" w:rightChars="-244" w:firstLine="645"/>
        <w:rPr>
          <w:rFonts w:hint="eastAsia" w:ascii="Times New Roman" w:hAnsi="Times New Roman" w:eastAsia="方正仿宋_GBK" w:cs="方正仿宋_GBK"/>
          <w:sz w:val="24"/>
        </w:rPr>
      </w:pPr>
      <w:r>
        <w:rPr>
          <w:rFonts w:hint="eastAsia" w:ascii="Times New Roman" w:hAnsi="Times New Roman" w:eastAsia="方正仿宋_GBK" w:cs="方正仿宋_GBK"/>
          <w:sz w:val="24"/>
        </w:rPr>
        <w:t>第十七条　江苏省优秀工程勘察设计奖评审程序：</w:t>
      </w:r>
    </w:p>
    <w:p>
      <w:pPr>
        <w:spacing w:line="480" w:lineRule="exact"/>
        <w:ind w:right="-512" w:rightChars="-244" w:firstLine="645"/>
        <w:rPr>
          <w:rFonts w:hint="eastAsia" w:ascii="Times New Roman" w:hAnsi="Times New Roman" w:eastAsia="方正仿宋_GBK" w:cs="方正仿宋_GBK"/>
          <w:sz w:val="24"/>
        </w:rPr>
      </w:pPr>
      <w:r>
        <w:rPr>
          <w:rFonts w:hint="eastAsia" w:ascii="Times New Roman" w:hAnsi="Times New Roman" w:eastAsia="方正仿宋_GBK" w:cs="方正仿宋_GBK"/>
          <w:sz w:val="24"/>
        </w:rPr>
        <w:t>一、召开初步评审会议。专业评审组对申报材料进行初步评选，采取无记名投票方式，评出本专业组的优秀工程勘察设计获奖项目初评名单。一等奖项目得票数需达到所有评委的2/3，二、三等奖项目得票数需达到所有评委的1/2。</w:t>
      </w:r>
    </w:p>
    <w:p>
      <w:pPr>
        <w:spacing w:line="480" w:lineRule="exact"/>
        <w:ind w:right="-512" w:rightChars="-244" w:firstLine="645"/>
        <w:rPr>
          <w:rFonts w:hint="eastAsia" w:ascii="Times New Roman" w:hAnsi="Times New Roman" w:eastAsia="方正仿宋_GBK" w:cs="方正仿宋_GBK"/>
          <w:sz w:val="24"/>
        </w:rPr>
      </w:pPr>
      <w:r>
        <w:rPr>
          <w:rFonts w:hint="eastAsia" w:ascii="Times New Roman" w:hAnsi="Times New Roman" w:eastAsia="方正仿宋_GBK" w:cs="方正仿宋_GBK"/>
          <w:sz w:val="24"/>
        </w:rPr>
        <w:t>二、召开综合评审会议。组织各专业评选组主任评委或评审组组长对各专业评选组提交的优秀工程勘察设计项目初评名单进行综合评审，采用记名投票方式，提出优秀工程勘察设计获奖项目提名名单。</w:t>
      </w:r>
    </w:p>
    <w:p>
      <w:pPr>
        <w:spacing w:line="480" w:lineRule="exact"/>
        <w:ind w:right="-512" w:rightChars="-244" w:firstLine="645"/>
        <w:rPr>
          <w:rFonts w:hint="eastAsia" w:ascii="Times New Roman" w:hAnsi="Times New Roman" w:eastAsia="方正仿宋_GBK" w:cs="方正仿宋_GBK"/>
          <w:sz w:val="24"/>
        </w:rPr>
      </w:pPr>
      <w:r>
        <w:rPr>
          <w:rFonts w:hint="eastAsia" w:ascii="Times New Roman" w:hAnsi="Times New Roman" w:eastAsia="方正仿宋_GBK" w:cs="方正仿宋_GBK"/>
          <w:sz w:val="24"/>
        </w:rPr>
        <w:t>三、公示。将江苏省优秀工程勘察设计奖提名名单在江苏省建设厅网站上公示10个工作日，广泛征求意见。</w:t>
      </w:r>
    </w:p>
    <w:p>
      <w:pPr>
        <w:spacing w:line="480" w:lineRule="exact"/>
        <w:ind w:right="-512" w:rightChars="-244" w:firstLine="645"/>
        <w:rPr>
          <w:rFonts w:hint="eastAsia" w:ascii="Times New Roman" w:hAnsi="Times New Roman" w:eastAsia="方正仿宋_GBK" w:cs="方正仿宋_GBK"/>
          <w:sz w:val="24"/>
        </w:rPr>
      </w:pPr>
      <w:r>
        <w:rPr>
          <w:rFonts w:hint="eastAsia" w:ascii="Times New Roman" w:hAnsi="Times New Roman" w:eastAsia="方正仿宋_GBK" w:cs="方正仿宋_GBK"/>
          <w:sz w:val="24"/>
        </w:rPr>
        <w:t>四、审定、公布评选结果。省建设厅根据公示情况和有关规定审定江苏省优秀工程勘察设计获奖名单并公布。</w:t>
      </w:r>
    </w:p>
    <w:p>
      <w:pPr>
        <w:spacing w:line="480" w:lineRule="exact"/>
        <w:ind w:right="-512" w:rightChars="-244"/>
        <w:jc w:val="center"/>
        <w:rPr>
          <w:rFonts w:hint="eastAsia" w:ascii="Times New Roman" w:hAnsi="Times New Roman" w:eastAsia="方正仿宋_GBK" w:cs="方正仿宋_GBK"/>
          <w:b/>
          <w:bCs/>
          <w:sz w:val="24"/>
        </w:rPr>
      </w:pPr>
    </w:p>
    <w:p>
      <w:pPr>
        <w:spacing w:line="480" w:lineRule="exact"/>
        <w:ind w:right="-512" w:rightChars="-244"/>
        <w:jc w:val="center"/>
        <w:rPr>
          <w:rFonts w:hint="eastAsia" w:ascii="Times New Roman" w:hAnsi="Times New Roman" w:eastAsia="方正仿宋_GBK" w:cs="方正仿宋_GBK"/>
          <w:b/>
          <w:bCs/>
          <w:sz w:val="24"/>
        </w:rPr>
      </w:pPr>
      <w:r>
        <w:rPr>
          <w:rFonts w:hint="eastAsia" w:ascii="Times New Roman" w:hAnsi="Times New Roman" w:eastAsia="方正仿宋_GBK" w:cs="方正仿宋_GBK"/>
          <w:b/>
          <w:bCs/>
          <w:sz w:val="24"/>
        </w:rPr>
        <w:t>第五章　奖　　惩</w:t>
      </w:r>
    </w:p>
    <w:p>
      <w:pPr>
        <w:spacing w:line="480" w:lineRule="exact"/>
        <w:ind w:right="-512" w:rightChars="-244"/>
        <w:jc w:val="center"/>
        <w:rPr>
          <w:rFonts w:hint="eastAsia" w:ascii="Times New Roman" w:hAnsi="Times New Roman" w:eastAsia="方正仿宋_GBK" w:cs="方正仿宋_GBK"/>
          <w:sz w:val="24"/>
        </w:rPr>
      </w:pPr>
    </w:p>
    <w:p>
      <w:pPr>
        <w:spacing w:line="480" w:lineRule="exact"/>
        <w:ind w:right="-512" w:rightChars="-244" w:firstLine="645"/>
        <w:rPr>
          <w:rFonts w:hint="eastAsia" w:ascii="Times New Roman" w:hAnsi="Times New Roman" w:eastAsia="方正仿宋_GBK" w:cs="方正仿宋_GBK"/>
          <w:sz w:val="24"/>
        </w:rPr>
      </w:pPr>
      <w:r>
        <w:rPr>
          <w:rFonts w:hint="eastAsia" w:ascii="Times New Roman" w:hAnsi="Times New Roman" w:eastAsia="方正仿宋_GBK" w:cs="方正仿宋_GBK"/>
          <w:sz w:val="24"/>
        </w:rPr>
        <w:t>第十八条　对获江苏省优秀工程勘察设计奖的项目，由省建设厅向获奖单位颁发奖状，向主要勘察设计人员颁发个人荣誉证书。</w:t>
      </w:r>
    </w:p>
    <w:p>
      <w:pPr>
        <w:spacing w:line="480" w:lineRule="exact"/>
        <w:ind w:right="-512" w:rightChars="-244" w:firstLine="645"/>
        <w:rPr>
          <w:rFonts w:hint="eastAsia" w:ascii="Times New Roman" w:hAnsi="Times New Roman" w:eastAsia="方正仿宋_GBK" w:cs="方正仿宋_GBK"/>
          <w:sz w:val="24"/>
        </w:rPr>
      </w:pPr>
      <w:r>
        <w:rPr>
          <w:rFonts w:hint="eastAsia" w:ascii="Times New Roman" w:hAnsi="Times New Roman" w:eastAsia="方正仿宋_GBK" w:cs="方正仿宋_GBK"/>
          <w:sz w:val="24"/>
        </w:rPr>
        <w:t>第十九条　江苏省优秀工程勘察和优秀工程设计单项授奖人数不超过15人，江苏省优秀工程标准设计和江苏省优秀工程勘察设计计算机软件单项授奖人数不超过10人。</w:t>
      </w:r>
    </w:p>
    <w:p>
      <w:pPr>
        <w:spacing w:line="480" w:lineRule="exact"/>
        <w:ind w:right="-512" w:rightChars="-244" w:firstLine="645"/>
        <w:rPr>
          <w:rFonts w:hint="eastAsia" w:ascii="Times New Roman" w:hAnsi="Times New Roman" w:eastAsia="方正仿宋_GBK" w:cs="方正仿宋_GBK"/>
          <w:sz w:val="24"/>
        </w:rPr>
      </w:pPr>
      <w:r>
        <w:rPr>
          <w:rFonts w:hint="eastAsia" w:ascii="Times New Roman" w:hAnsi="Times New Roman" w:eastAsia="方正仿宋_GBK" w:cs="方正仿宋_GBK"/>
          <w:sz w:val="24"/>
        </w:rPr>
        <w:t>第二十条　对获江苏省优秀工程勘察设计奖的主要勘察设计人员，所在单位应将其业绩记入本人技术档案，作为职称评定和晋级的依据并予以表彰和奖励。</w:t>
      </w:r>
    </w:p>
    <w:p>
      <w:pPr>
        <w:spacing w:line="480" w:lineRule="exact"/>
        <w:ind w:right="-512" w:rightChars="-244" w:firstLine="645"/>
        <w:rPr>
          <w:rFonts w:hint="eastAsia" w:ascii="Times New Roman" w:hAnsi="Times New Roman" w:eastAsia="方正仿宋_GBK" w:cs="方正仿宋_GBK"/>
          <w:sz w:val="24"/>
        </w:rPr>
      </w:pPr>
      <w:r>
        <w:rPr>
          <w:rFonts w:hint="eastAsia" w:ascii="Times New Roman" w:hAnsi="Times New Roman" w:eastAsia="方正仿宋_GBK" w:cs="方正仿宋_GBK"/>
          <w:sz w:val="24"/>
        </w:rPr>
        <w:t>第二十一条　申报评选的单位必须实事求是，不得弄虚作假。评选结果公布后如发现与获奖条件不符或重复申报，将视情节轻重和影响程度，分别给予降低奖励等级、撤销奖励、通报批评、暂停该单位两届申报资格的处理。</w:t>
      </w:r>
    </w:p>
    <w:p>
      <w:pPr>
        <w:spacing w:line="480" w:lineRule="exact"/>
        <w:ind w:right="-512" w:rightChars="-244" w:firstLine="645"/>
        <w:rPr>
          <w:rFonts w:hint="eastAsia" w:ascii="Times New Roman" w:hAnsi="Times New Roman" w:eastAsia="方正仿宋_GBK" w:cs="方正仿宋_GBK"/>
          <w:sz w:val="24"/>
        </w:rPr>
      </w:pPr>
      <w:r>
        <w:rPr>
          <w:rFonts w:hint="eastAsia" w:ascii="Times New Roman" w:hAnsi="Times New Roman" w:eastAsia="方正仿宋_GBK" w:cs="方正仿宋_GBK"/>
          <w:sz w:val="24"/>
        </w:rPr>
        <w:t>第二十二条　参加评审的专家要以严肃、认真和高度负责的态度进行评选工作，对违反评选纪律者，取消其评审专家资格。</w:t>
      </w:r>
    </w:p>
    <w:p>
      <w:pPr>
        <w:spacing w:line="480" w:lineRule="exact"/>
        <w:ind w:right="-512" w:rightChars="-244"/>
        <w:jc w:val="center"/>
        <w:rPr>
          <w:rFonts w:hint="eastAsia" w:ascii="Times New Roman" w:hAnsi="Times New Roman" w:eastAsia="方正仿宋_GBK" w:cs="方正仿宋_GBK"/>
          <w:b/>
          <w:bCs/>
          <w:sz w:val="24"/>
        </w:rPr>
      </w:pPr>
    </w:p>
    <w:p>
      <w:pPr>
        <w:spacing w:line="480" w:lineRule="exact"/>
        <w:ind w:right="-512" w:rightChars="-244"/>
        <w:jc w:val="center"/>
        <w:rPr>
          <w:rFonts w:hint="eastAsia" w:ascii="Times New Roman" w:hAnsi="Times New Roman" w:eastAsia="方正仿宋_GBK" w:cs="方正仿宋_GBK"/>
          <w:b/>
          <w:bCs/>
          <w:sz w:val="24"/>
        </w:rPr>
      </w:pPr>
      <w:r>
        <w:rPr>
          <w:rFonts w:hint="eastAsia" w:ascii="Times New Roman" w:hAnsi="Times New Roman" w:eastAsia="方正仿宋_GBK" w:cs="方正仿宋_GBK"/>
          <w:b/>
          <w:bCs/>
          <w:sz w:val="24"/>
        </w:rPr>
        <w:t xml:space="preserve">第六章　附　　则 </w:t>
      </w:r>
    </w:p>
    <w:p>
      <w:pPr>
        <w:spacing w:line="480" w:lineRule="exact"/>
        <w:ind w:right="-512" w:rightChars="-244"/>
        <w:jc w:val="center"/>
        <w:rPr>
          <w:rFonts w:hint="eastAsia" w:ascii="Times New Roman" w:hAnsi="Times New Roman" w:eastAsia="方正仿宋_GBK" w:cs="方正仿宋_GBK"/>
          <w:b/>
          <w:bCs/>
          <w:sz w:val="24"/>
        </w:rPr>
      </w:pPr>
    </w:p>
    <w:p>
      <w:pPr>
        <w:spacing w:line="480" w:lineRule="exact"/>
        <w:ind w:right="-512" w:rightChars="-244" w:firstLine="645"/>
        <w:rPr>
          <w:rFonts w:hint="eastAsia" w:ascii="Times New Roman" w:hAnsi="Times New Roman" w:eastAsia="方正仿宋_GBK" w:cs="方正仿宋_GBK"/>
          <w:sz w:val="24"/>
        </w:rPr>
      </w:pPr>
      <w:r>
        <w:rPr>
          <w:rFonts w:hint="eastAsia" w:ascii="Times New Roman" w:hAnsi="Times New Roman" w:eastAsia="方正仿宋_GBK" w:cs="方正仿宋_GBK"/>
          <w:sz w:val="24"/>
        </w:rPr>
        <w:t>第二十三条　本办法自公布之日起施行。</w:t>
      </w:r>
    </w:p>
    <w:p>
      <w:pPr>
        <w:spacing w:line="480" w:lineRule="exact"/>
        <w:ind w:right="-512" w:rightChars="-244" w:firstLine="645"/>
        <w:rPr>
          <w:rFonts w:hint="eastAsia" w:ascii="Times New Roman" w:hAnsi="Times New Roman" w:eastAsia="方正仿宋_GBK" w:cs="方正仿宋_GBK"/>
          <w:sz w:val="24"/>
        </w:rPr>
      </w:pPr>
      <w:r>
        <w:rPr>
          <w:rFonts w:hint="eastAsia" w:ascii="Times New Roman" w:hAnsi="Times New Roman" w:eastAsia="方正仿宋_GBK" w:cs="方正仿宋_GBK"/>
          <w:sz w:val="24"/>
        </w:rPr>
        <w:t>第二十四条　本办法由省建设厅负责解释。</w:t>
      </w:r>
    </w:p>
    <w:p>
      <w:pPr>
        <w:spacing w:line="480" w:lineRule="exact"/>
        <w:ind w:right="-512" w:rightChars="-244"/>
        <w:jc w:val="left"/>
        <w:rPr>
          <w:rFonts w:hint="eastAsia" w:ascii="Times New Roman" w:hAnsi="Times New Roman" w:eastAsia="方正黑体_GBK" w:cs="方正仿宋_GBK"/>
          <w:sz w:val="28"/>
          <w:szCs w:val="28"/>
        </w:rPr>
      </w:pPr>
      <w:r>
        <w:rPr>
          <w:rFonts w:hint="eastAsia" w:ascii="Times New Roman" w:hAnsi="Times New Roman" w:eastAsia="方正仿宋_GBK" w:cs="方正仿宋_GBK"/>
          <w:sz w:val="24"/>
        </w:rPr>
        <w:br w:type="column"/>
      </w:r>
      <w:r>
        <w:rPr>
          <w:rFonts w:hint="eastAsia" w:ascii="Times New Roman" w:hAnsi="Times New Roman" w:eastAsia="方正黑体_GBK" w:cs="方正仿宋_GBK"/>
          <w:sz w:val="28"/>
          <w:szCs w:val="28"/>
        </w:rPr>
        <w:t>附2</w:t>
      </w:r>
    </w:p>
    <w:p>
      <w:pPr>
        <w:spacing w:line="480" w:lineRule="exact"/>
        <w:ind w:right="-512" w:rightChars="-244"/>
        <w:jc w:val="left"/>
        <w:rPr>
          <w:rFonts w:hint="eastAsia" w:ascii="Times New Roman" w:hAnsi="Times New Roman" w:eastAsia="方正仿宋_GBK" w:cs="方正仿宋_GBK"/>
          <w:sz w:val="24"/>
        </w:rPr>
      </w:pPr>
    </w:p>
    <w:p>
      <w:pPr>
        <w:spacing w:line="480" w:lineRule="exact"/>
        <w:ind w:right="-512" w:rightChars="-244"/>
        <w:jc w:val="center"/>
        <w:rPr>
          <w:rFonts w:hint="eastAsia" w:ascii="Times New Roman" w:hAnsi="Times New Roman" w:eastAsia="方正小标宋_GBK" w:cs="方正仿宋_GBK"/>
          <w:sz w:val="36"/>
          <w:szCs w:val="36"/>
        </w:rPr>
      </w:pPr>
      <w:r>
        <w:rPr>
          <w:rFonts w:hint="eastAsia" w:ascii="Times New Roman" w:hAnsi="Times New Roman" w:eastAsia="方正小标宋_GBK" w:cs="方正仿宋_GBK"/>
          <w:sz w:val="36"/>
          <w:szCs w:val="36"/>
        </w:rPr>
        <w:t>江苏省城乡建设系统优秀勘察设计奖评选办法</w:t>
      </w:r>
    </w:p>
    <w:p>
      <w:pPr>
        <w:spacing w:line="480" w:lineRule="exact"/>
        <w:rPr>
          <w:rFonts w:hint="eastAsia" w:ascii="Times New Roman" w:hAnsi="Times New Roman" w:eastAsia="方正仿宋_GBK" w:cs="方正仿宋_GBK"/>
          <w:sz w:val="24"/>
        </w:rPr>
      </w:pPr>
    </w:p>
    <w:p>
      <w:pPr>
        <w:spacing w:line="480" w:lineRule="exact"/>
        <w:ind w:firstLine="480" w:firstLineChars="200"/>
        <w:jc w:val="center"/>
        <w:rPr>
          <w:rFonts w:hint="eastAsia" w:ascii="Times New Roman" w:hAnsi="Times New Roman" w:eastAsia="方正仿宋_GBK" w:cs="方正仿宋_GBK"/>
          <w:b/>
          <w:sz w:val="24"/>
        </w:rPr>
      </w:pPr>
      <w:r>
        <w:rPr>
          <w:rFonts w:hint="eastAsia" w:ascii="Times New Roman" w:hAnsi="Times New Roman" w:eastAsia="方正仿宋_GBK" w:cs="方正仿宋_GBK"/>
          <w:sz w:val="24"/>
        </w:rPr>
        <w:t>第一章 总则</w:t>
      </w:r>
    </w:p>
    <w:p>
      <w:pPr>
        <w:spacing w:line="480" w:lineRule="exact"/>
        <w:ind w:firstLine="482" w:firstLineChars="200"/>
        <w:rPr>
          <w:rFonts w:hint="eastAsia" w:ascii="Times New Roman" w:hAnsi="Times New Roman" w:eastAsia="方正仿宋_GBK" w:cs="方正仿宋_GBK"/>
          <w:sz w:val="24"/>
        </w:rPr>
      </w:pPr>
      <w:r>
        <w:rPr>
          <w:rFonts w:hint="eastAsia" w:ascii="Times New Roman" w:hAnsi="Times New Roman" w:eastAsia="方正仿宋_GBK" w:cs="方正仿宋_GBK"/>
          <w:b/>
          <w:sz w:val="24"/>
        </w:rPr>
        <w:t>第一条</w:t>
      </w:r>
      <w:r>
        <w:rPr>
          <w:rFonts w:hint="eastAsia" w:ascii="Times New Roman" w:hAnsi="Times New Roman" w:eastAsia="方正仿宋_GBK" w:cs="方正仿宋_GBK"/>
          <w:sz w:val="24"/>
        </w:rPr>
        <w:t>为了促进我省工程勘察设计单位技术进步，发挥技术人员的创新精神，积极采用新技术、新工艺，繁荣设计创作，提高工程勘察设计水平，规范优秀勘察设计评选工作。根据建设部《全国优秀工程勘察设计奖评选办法》、《江苏省建设工程勘察设计管理办法》，特制定本办法。</w:t>
      </w:r>
    </w:p>
    <w:p>
      <w:pPr>
        <w:spacing w:line="480" w:lineRule="exact"/>
        <w:ind w:firstLine="482" w:firstLineChars="200"/>
        <w:rPr>
          <w:rFonts w:hint="eastAsia" w:ascii="Times New Roman" w:hAnsi="Times New Roman" w:eastAsia="方正仿宋_GBK" w:cs="方正仿宋_GBK"/>
          <w:b/>
          <w:sz w:val="24"/>
        </w:rPr>
      </w:pPr>
      <w:r>
        <w:rPr>
          <w:rFonts w:hint="eastAsia" w:ascii="Times New Roman" w:hAnsi="Times New Roman" w:eastAsia="方正仿宋_GBK" w:cs="方正仿宋_GBK"/>
          <w:b/>
          <w:sz w:val="24"/>
        </w:rPr>
        <w:t>第二条</w:t>
      </w:r>
      <w:r>
        <w:rPr>
          <w:rFonts w:hint="eastAsia" w:ascii="Times New Roman" w:hAnsi="Times New Roman" w:eastAsia="方正仿宋_GBK" w:cs="方正仿宋_GBK"/>
          <w:sz w:val="24"/>
        </w:rPr>
        <w:t>江苏省城乡建设系统优秀勘察设计奖包括：建筑工程设计（含地下建筑、人防工程）、市政公用工程设计、园林绿化工程设计、住宅设计、村镇设计；城市设计与专项规划、园林绿化规划设计、村镇建设规划；城市与工程勘察。</w:t>
      </w:r>
      <w:r>
        <w:rPr>
          <w:rFonts w:hint="eastAsia" w:ascii="Times New Roman" w:hAnsi="Times New Roman" w:cs="宋体"/>
          <w:color w:val="000000"/>
          <w:spacing w:val="-6"/>
          <w:kern w:val="0"/>
          <w:sz w:val="18"/>
          <w:szCs w:val="18"/>
        </w:rPr>
        <w:t xml:space="preserve">      </w:t>
      </w:r>
    </w:p>
    <w:p>
      <w:pPr>
        <w:spacing w:line="480" w:lineRule="exact"/>
        <w:ind w:firstLine="482" w:firstLineChars="200"/>
        <w:rPr>
          <w:rFonts w:hint="eastAsia" w:ascii="Times New Roman" w:hAnsi="Times New Roman" w:eastAsia="方正仿宋_GBK" w:cs="方正仿宋_GBK"/>
          <w:sz w:val="24"/>
        </w:rPr>
      </w:pPr>
      <w:r>
        <w:rPr>
          <w:rFonts w:hint="eastAsia" w:ascii="Times New Roman" w:hAnsi="Times New Roman" w:eastAsia="方正仿宋_GBK" w:cs="方正仿宋_GBK"/>
          <w:b/>
          <w:sz w:val="24"/>
        </w:rPr>
        <w:t>第三条</w:t>
      </w:r>
      <w:r>
        <w:rPr>
          <w:rFonts w:hint="eastAsia" w:ascii="Times New Roman" w:hAnsi="Times New Roman" w:eastAsia="方正仿宋_GBK" w:cs="方正仿宋_GBK"/>
          <w:sz w:val="24"/>
        </w:rPr>
        <w:t>江苏省城乡建设系统优秀勘察设计奖每年评选一次，设一、二、三等奖。另为优秀工程设计项目设表扬奖。</w:t>
      </w:r>
    </w:p>
    <w:p>
      <w:pPr>
        <w:spacing w:line="48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优秀勘察设计奖等级奖评选总数原则上不超过申报数的50%，表扬奖不超过申报数的10%；一、二等奖的获奖比例原则上不超过获奖项目总数的15%、35%。达不到评定等级标准的奖项可空缺。</w:t>
      </w:r>
    </w:p>
    <w:p>
      <w:pPr>
        <w:spacing w:line="480" w:lineRule="exact"/>
        <w:ind w:firstLine="482" w:firstLineChars="200"/>
        <w:rPr>
          <w:rFonts w:hint="eastAsia" w:ascii="Times New Roman" w:hAnsi="Times New Roman" w:eastAsia="方正仿宋_GBK" w:cs="方正仿宋_GBK"/>
          <w:sz w:val="24"/>
        </w:rPr>
      </w:pPr>
      <w:r>
        <w:rPr>
          <w:rFonts w:hint="eastAsia" w:ascii="Times New Roman" w:hAnsi="Times New Roman" w:eastAsia="方正仿宋_GBK" w:cs="方正仿宋_GBK"/>
          <w:b/>
          <w:sz w:val="24"/>
        </w:rPr>
        <w:t>第四条</w:t>
      </w:r>
      <w:r>
        <w:rPr>
          <w:rFonts w:hint="eastAsia" w:ascii="Times New Roman" w:hAnsi="Times New Roman" w:eastAsia="方正仿宋_GBK" w:cs="方正仿宋_GBK"/>
          <w:sz w:val="24"/>
        </w:rPr>
        <w:t>省住房和城乡建设厅负责江苏省城乡建设系统优秀勘察设计评选；各省辖市住房和城乡建设局（建委）负责市级本行业城乡建设系统优秀勘察设计评选和推荐申报省城乡建设系统优秀勘察设计评审。</w:t>
      </w:r>
    </w:p>
    <w:p>
      <w:pPr>
        <w:spacing w:line="48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江苏省城乡建设系统优秀勘察设计奖在各省辖市评选出的优秀工程勘察设计项目的基础上进行。</w:t>
      </w:r>
    </w:p>
    <w:p>
      <w:pPr>
        <w:spacing w:line="480" w:lineRule="exact"/>
        <w:ind w:firstLine="480" w:firstLineChars="200"/>
        <w:rPr>
          <w:rFonts w:hint="eastAsia" w:ascii="Times New Roman" w:hAnsi="Times New Roman" w:eastAsia="方正仿宋_GBK" w:cs="方正仿宋_GBK"/>
          <w:sz w:val="24"/>
        </w:rPr>
      </w:pPr>
    </w:p>
    <w:p>
      <w:pPr>
        <w:spacing w:line="480" w:lineRule="exact"/>
        <w:ind w:firstLine="480" w:firstLineChars="200"/>
        <w:jc w:val="center"/>
        <w:rPr>
          <w:rFonts w:hint="eastAsia" w:ascii="Times New Roman" w:hAnsi="Times New Roman" w:eastAsia="方正仿宋_GBK" w:cs="方正仿宋_GBK"/>
          <w:b/>
          <w:sz w:val="24"/>
        </w:rPr>
      </w:pPr>
      <w:r>
        <w:rPr>
          <w:rFonts w:hint="eastAsia" w:ascii="Times New Roman" w:hAnsi="Times New Roman" w:eastAsia="方正仿宋_GBK" w:cs="方正仿宋_GBK"/>
          <w:sz w:val="24"/>
        </w:rPr>
        <w:t>第二章 评选条件和范围</w:t>
      </w:r>
    </w:p>
    <w:p>
      <w:pPr>
        <w:spacing w:line="480" w:lineRule="exact"/>
        <w:ind w:firstLine="482" w:firstLineChars="200"/>
        <w:rPr>
          <w:rFonts w:hint="eastAsia" w:ascii="Times New Roman" w:hAnsi="Times New Roman" w:eastAsia="方正仿宋_GBK" w:cs="方正仿宋_GBK"/>
          <w:b/>
          <w:sz w:val="24"/>
        </w:rPr>
      </w:pPr>
      <w:r>
        <w:rPr>
          <w:rFonts w:hint="eastAsia" w:ascii="Times New Roman" w:hAnsi="Times New Roman" w:eastAsia="方正仿宋_GBK" w:cs="方正仿宋_GBK"/>
          <w:b/>
          <w:sz w:val="24"/>
        </w:rPr>
        <w:t>第五条</w:t>
      </w:r>
      <w:r>
        <w:rPr>
          <w:rFonts w:hint="eastAsia" w:ascii="Times New Roman" w:hAnsi="Times New Roman" w:eastAsia="方正仿宋_GBK" w:cs="方正仿宋_GBK"/>
          <w:sz w:val="24"/>
        </w:rPr>
        <w:t>评选条件和范围</w:t>
      </w:r>
    </w:p>
    <w:p>
      <w:pPr>
        <w:spacing w:line="48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（一）江苏省城乡建设系统优秀勘察设计奖评选条件：</w:t>
      </w:r>
    </w:p>
    <w:p>
      <w:pPr>
        <w:spacing w:line="48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1、申报优秀勘察设计奖的项目，必须具有相应的工程勘察设计资质证书，且最近3年内没有发生过重大勘察设计质量安全事故。</w:t>
      </w:r>
    </w:p>
    <w:p>
      <w:pPr>
        <w:pStyle w:val="24"/>
        <w:spacing w:line="480" w:lineRule="exact"/>
        <w:rPr>
          <w:rFonts w:hint="eastAsia" w:ascii="Times New Roman" w:hAnsi="Times New Roman" w:eastAsia="方正仿宋_GBK" w:cs="方正仿宋_GBK"/>
          <w:color w:val="auto"/>
          <w:sz w:val="24"/>
          <w:szCs w:val="24"/>
        </w:rPr>
      </w:pPr>
      <w:r>
        <w:rPr>
          <w:rFonts w:hint="eastAsia" w:ascii="Times New Roman" w:hAnsi="Times New Roman" w:eastAsia="方正仿宋_GBK" w:cs="方正仿宋_GBK"/>
          <w:color w:val="auto"/>
          <w:sz w:val="24"/>
          <w:szCs w:val="24"/>
        </w:rPr>
        <w:t>2、由我省勘察设计单位或城市规划编制单位近年来承接或为主承接的勘察设计和相关规划项目；</w:t>
      </w:r>
    </w:p>
    <w:p>
      <w:pPr>
        <w:pStyle w:val="24"/>
        <w:spacing w:line="480" w:lineRule="exact"/>
        <w:rPr>
          <w:rFonts w:hint="eastAsia" w:ascii="Times New Roman" w:hAnsi="Times New Roman" w:eastAsia="方正仿宋_GBK" w:cs="方正仿宋_GBK"/>
          <w:color w:val="auto"/>
          <w:sz w:val="24"/>
          <w:szCs w:val="24"/>
        </w:rPr>
      </w:pPr>
      <w:r>
        <w:rPr>
          <w:rFonts w:hint="eastAsia" w:ascii="Times New Roman" w:hAnsi="Times New Roman" w:eastAsia="方正仿宋_GBK" w:cs="方正仿宋_GBK"/>
          <w:color w:val="auto"/>
          <w:sz w:val="24"/>
          <w:szCs w:val="24"/>
        </w:rPr>
        <w:t>由省外勘察设计单位或城市规划编制单位近年来承接的我省境内的勘察设计和城乡规划项目。</w:t>
      </w:r>
    </w:p>
    <w:p>
      <w:pPr>
        <w:spacing w:line="48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3、申报项目应是单位的优秀勘察设计项目，且经过省辖市评选获二等奖以上项目。</w:t>
      </w:r>
    </w:p>
    <w:p>
      <w:pPr>
        <w:spacing w:line="48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4、按规定要求报送有关申报材料和必要的证明材料。已申报过本项奖的项目不得再次申报。</w:t>
      </w:r>
    </w:p>
    <w:p>
      <w:pPr>
        <w:spacing w:line="48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（二）优秀工程勘察评选范围包括：</w:t>
      </w:r>
    </w:p>
    <w:p>
      <w:pPr>
        <w:spacing w:line="48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1、结构主体工程完成两年以上（以项目业主或有关部门证明的日期为准）的岩土工程（工程地质）勘察项目，地下工程竣工后经两年以上时间检验的岩土工程设计、治理项目。</w:t>
      </w:r>
    </w:p>
    <w:p>
      <w:pPr>
        <w:spacing w:line="48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2、规划、建设方验收后的工程测量项目（含城市规划测量项目）。</w:t>
      </w:r>
    </w:p>
    <w:p>
      <w:pPr>
        <w:spacing w:line="48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3、地下水开采达到设计要求，或暂示达到设计水平但有开采性抽水试验（试验抽水能力大于设计水量）或经两年以上长期观测资料验证，并经相关机构认可的水资源评价（论证）、钻井工程、专门水文地质勘察（评价）等水文地质勘察项目。</w:t>
      </w:r>
    </w:p>
    <w:p>
      <w:pPr>
        <w:spacing w:line="48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4、地质条件复杂的大型水利、铁道、公路等工程勘察，可按批准立项文件或批准的初步设计分期、分单项或以单位工程申报，</w:t>
      </w:r>
    </w:p>
    <w:p>
      <w:pPr>
        <w:spacing w:line="48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（三）优秀工程设计评选范围：</w:t>
      </w:r>
    </w:p>
    <w:p>
      <w:pPr>
        <w:spacing w:line="48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工程设计项目须已完成竣工验收，且经过一个冬夏以上使用考验。</w:t>
      </w:r>
    </w:p>
    <w:p>
      <w:pPr>
        <w:spacing w:line="48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经规定程序审查批准并付诸实施的城市设计与专项规划、园林绿化规划、村镇建设规划项目。</w:t>
      </w:r>
    </w:p>
    <w:p>
      <w:pPr>
        <w:spacing w:line="480" w:lineRule="exact"/>
        <w:ind w:firstLine="480" w:firstLineChars="200"/>
        <w:rPr>
          <w:rFonts w:hint="eastAsia" w:ascii="Times New Roman" w:hAnsi="Times New Roman" w:eastAsia="方正仿宋_GBK" w:cs="方正仿宋_GBK"/>
          <w:sz w:val="24"/>
        </w:rPr>
      </w:pPr>
    </w:p>
    <w:p>
      <w:pPr>
        <w:spacing w:line="480" w:lineRule="exact"/>
        <w:ind w:firstLine="480" w:firstLineChars="200"/>
        <w:jc w:val="center"/>
        <w:rPr>
          <w:rFonts w:hint="eastAsia" w:ascii="Times New Roman" w:hAnsi="Times New Roman" w:eastAsia="方正仿宋_GBK" w:cs="方正仿宋_GBK"/>
          <w:b/>
          <w:sz w:val="24"/>
        </w:rPr>
      </w:pPr>
      <w:r>
        <w:rPr>
          <w:rFonts w:hint="eastAsia" w:ascii="Times New Roman" w:hAnsi="Times New Roman" w:eastAsia="方正仿宋_GBK" w:cs="方正仿宋_GBK"/>
          <w:sz w:val="24"/>
        </w:rPr>
        <w:t>第三章 评选标准</w:t>
      </w:r>
    </w:p>
    <w:p>
      <w:pPr>
        <w:spacing w:line="480" w:lineRule="exact"/>
        <w:ind w:firstLine="482" w:firstLineChars="200"/>
        <w:rPr>
          <w:rFonts w:hint="eastAsia" w:ascii="Times New Roman" w:hAnsi="Times New Roman" w:eastAsia="方正仿宋_GBK" w:cs="方正仿宋_GBK"/>
          <w:sz w:val="24"/>
        </w:rPr>
      </w:pPr>
      <w:r>
        <w:rPr>
          <w:rFonts w:hint="eastAsia" w:ascii="Times New Roman" w:hAnsi="Times New Roman" w:eastAsia="方正仿宋_GBK" w:cs="方正仿宋_GBK"/>
          <w:b/>
          <w:sz w:val="24"/>
        </w:rPr>
        <w:t>第六条</w:t>
      </w:r>
      <w:r>
        <w:rPr>
          <w:rFonts w:hint="eastAsia" w:ascii="Times New Roman" w:hAnsi="Times New Roman" w:eastAsia="方正仿宋_GBK" w:cs="方正仿宋_GBK"/>
          <w:sz w:val="24"/>
        </w:rPr>
        <w:t>江苏省城乡建设系统优秀勘察设计必须符合以下标准：</w:t>
      </w:r>
    </w:p>
    <w:p>
      <w:pPr>
        <w:spacing w:line="48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（一）优秀工程勘察</w:t>
      </w:r>
    </w:p>
    <w:p>
      <w:pPr>
        <w:pStyle w:val="21"/>
        <w:spacing w:line="480" w:lineRule="exact"/>
        <w:ind w:firstLine="480" w:firstLineChars="200"/>
        <w:rPr>
          <w:rFonts w:hint="eastAsia" w:ascii="Times New Roman" w:hAnsi="Times New Roman" w:eastAsia="方正仿宋_GBK" w:cs="方正仿宋_GBK"/>
          <w:color w:val="auto"/>
          <w:sz w:val="24"/>
          <w:szCs w:val="24"/>
        </w:rPr>
      </w:pPr>
      <w:r>
        <w:rPr>
          <w:rFonts w:hint="eastAsia" w:ascii="Times New Roman" w:hAnsi="Times New Roman" w:eastAsia="方正仿宋_GBK" w:cs="方正仿宋_GBK"/>
          <w:color w:val="auto"/>
          <w:sz w:val="24"/>
          <w:szCs w:val="24"/>
        </w:rPr>
        <w:t>１、正确贯彻执行国家有关法规、方针、政策及相应的规范、规程、规定。</w:t>
      </w:r>
    </w:p>
    <w:p>
      <w:pPr>
        <w:pStyle w:val="21"/>
        <w:spacing w:line="480" w:lineRule="exact"/>
        <w:ind w:firstLine="480" w:firstLineChars="200"/>
        <w:rPr>
          <w:rFonts w:hint="eastAsia" w:ascii="Times New Roman" w:hAnsi="Times New Roman" w:eastAsia="方正仿宋_GBK" w:cs="方正仿宋_GBK"/>
          <w:color w:val="auto"/>
          <w:sz w:val="24"/>
          <w:szCs w:val="24"/>
        </w:rPr>
      </w:pPr>
      <w:r>
        <w:rPr>
          <w:rFonts w:hint="eastAsia" w:ascii="Times New Roman" w:hAnsi="Times New Roman" w:eastAsia="方正仿宋_GBK" w:cs="方正仿宋_GBK"/>
          <w:color w:val="auto"/>
          <w:sz w:val="24"/>
          <w:szCs w:val="24"/>
        </w:rPr>
        <w:t>２、勘察方法和勘察手段选用适当，积极采用新技术，能以恰当的工作量和勘察精度解决关键技术问题。</w:t>
      </w:r>
    </w:p>
    <w:p>
      <w:pPr>
        <w:pStyle w:val="21"/>
        <w:spacing w:line="480" w:lineRule="exact"/>
        <w:ind w:firstLine="360" w:firstLineChars="150"/>
        <w:rPr>
          <w:rFonts w:hint="eastAsia" w:ascii="Times New Roman" w:hAnsi="Times New Roman" w:eastAsia="方正仿宋_GBK" w:cs="方正仿宋_GBK"/>
          <w:color w:val="auto"/>
          <w:sz w:val="24"/>
          <w:szCs w:val="24"/>
        </w:rPr>
      </w:pPr>
      <w:r>
        <w:rPr>
          <w:rFonts w:hint="eastAsia" w:ascii="Times New Roman" w:hAnsi="Times New Roman" w:eastAsia="方正仿宋_GBK" w:cs="方正仿宋_GBK"/>
          <w:color w:val="auto"/>
          <w:sz w:val="24"/>
          <w:szCs w:val="24"/>
        </w:rPr>
        <w:t>３、勘察全过程均经过严格检查和审核，成果能正确地反映客观实际。</w:t>
      </w:r>
    </w:p>
    <w:p>
      <w:pPr>
        <w:spacing w:line="48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4、具有先进的勘察理念，采用适用、安全、经济、可靠和促进可持续发展的新技术，经实践检验，能较好地满足工程设计等使用要求，有显著的经济效益、社会效益、环境效益。</w:t>
      </w:r>
    </w:p>
    <w:p>
      <w:pPr>
        <w:spacing w:line="48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（二）优秀工程设计</w:t>
      </w:r>
    </w:p>
    <w:p>
      <w:pPr>
        <w:spacing w:line="48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1、正确贯彻执行国家、省有关法规、方针、政策及相应的新规范、规程、规定、标准图、技术标准。</w:t>
      </w:r>
    </w:p>
    <w:p>
      <w:pPr>
        <w:spacing w:line="48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2、设计文件的内容，深度质量符合要求，能保证工程建设的需要；</w:t>
      </w:r>
    </w:p>
    <w:p>
      <w:pPr>
        <w:spacing w:line="48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3、采用的工艺、主要设备、材料和结构，技术先进、选型合理、符合国情、有创新、有特色。</w:t>
      </w:r>
    </w:p>
    <w:p>
      <w:pPr>
        <w:spacing w:line="48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4、经多方案技术经济比较、分析、优化，在节约资源和环境保护等方面有明显效果，经过实践检验，能较好满足建设、生产和使用的要求，有显著的经济效益、社会效益、环境效益。</w:t>
      </w:r>
    </w:p>
    <w:p>
      <w:pPr>
        <w:spacing w:line="48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5、积极开展对新技术、新工艺、新设备、新材料的推广应用；对设计中采用淘汰落后产品的项目不予评选。</w:t>
      </w:r>
    </w:p>
    <w:p>
      <w:pPr>
        <w:spacing w:line="48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（三）优秀城市设计与专项规划、园林绿化规划、村镇建设规划</w:t>
      </w:r>
    </w:p>
    <w:p>
      <w:pPr>
        <w:spacing w:line="48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1、项目技术参数符合国家有关技术标准、规范和规定。</w:t>
      </w:r>
    </w:p>
    <w:p>
      <w:pPr>
        <w:spacing w:line="48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2、项目在理论应用、规划构思、设计手法、工作内容及新技术应用等方面有所创新。</w:t>
      </w:r>
    </w:p>
    <w:p>
      <w:pPr>
        <w:spacing w:line="480" w:lineRule="exact"/>
        <w:ind w:firstLine="480" w:firstLineChars="200"/>
        <w:rPr>
          <w:rFonts w:hint="eastAsia" w:ascii="Times New Roman" w:hAnsi="Times New Roman" w:eastAsia="方正仿宋_GBK" w:cs="方正仿宋_GBK"/>
          <w:b/>
          <w:sz w:val="24"/>
        </w:rPr>
      </w:pPr>
      <w:r>
        <w:rPr>
          <w:rFonts w:hint="eastAsia" w:ascii="Times New Roman" w:hAnsi="Times New Roman" w:eastAsia="方正仿宋_GBK" w:cs="方正仿宋_GBK"/>
          <w:sz w:val="24"/>
        </w:rPr>
        <w:t>3、项目实施具有较好的经济效益、社会效益和环境效益。</w:t>
      </w:r>
    </w:p>
    <w:p>
      <w:pPr>
        <w:spacing w:line="480" w:lineRule="exact"/>
        <w:ind w:firstLine="482" w:firstLineChars="200"/>
        <w:rPr>
          <w:rFonts w:hint="eastAsia" w:ascii="Times New Roman" w:hAnsi="Times New Roman" w:eastAsia="方正仿宋_GBK" w:cs="方正仿宋_GBK"/>
          <w:sz w:val="24"/>
        </w:rPr>
      </w:pPr>
      <w:r>
        <w:rPr>
          <w:rFonts w:hint="eastAsia" w:ascii="Times New Roman" w:hAnsi="Times New Roman" w:eastAsia="方正仿宋_GBK" w:cs="方正仿宋_GBK"/>
          <w:b/>
          <w:sz w:val="24"/>
        </w:rPr>
        <w:t>第七条</w:t>
      </w:r>
      <w:r>
        <w:rPr>
          <w:rFonts w:hint="eastAsia" w:ascii="Times New Roman" w:hAnsi="Times New Roman" w:eastAsia="方正仿宋_GBK" w:cs="方正仿宋_GBK"/>
          <w:sz w:val="24"/>
        </w:rPr>
        <w:t xml:space="preserve"> 江苏省城乡建设系统优秀勘察设计奖各奖项水平应达到如下要求：</w:t>
      </w:r>
    </w:p>
    <w:p>
      <w:pPr>
        <w:pStyle w:val="25"/>
        <w:spacing w:line="480" w:lineRule="exact"/>
        <w:rPr>
          <w:rFonts w:hint="eastAsia" w:ascii="Times New Roman" w:hAnsi="Times New Roman" w:eastAsia="方正仿宋_GBK" w:cs="方正仿宋_GBK"/>
          <w:color w:val="auto"/>
          <w:sz w:val="24"/>
          <w:szCs w:val="24"/>
        </w:rPr>
      </w:pPr>
      <w:r>
        <w:rPr>
          <w:rFonts w:hint="eastAsia" w:ascii="Times New Roman" w:hAnsi="Times New Roman" w:eastAsia="方正仿宋_GBK" w:cs="方正仿宋_GBK"/>
          <w:color w:val="auto"/>
          <w:sz w:val="24"/>
          <w:szCs w:val="24"/>
        </w:rPr>
        <w:t>一等奖项目：技术水平和综合效益等方面在全省同类项目中居最高水平，并有突出的技术创新，主要指标达到或接近国内同期先进水平；</w:t>
      </w:r>
    </w:p>
    <w:p>
      <w:pPr>
        <w:pStyle w:val="25"/>
        <w:spacing w:line="480" w:lineRule="exact"/>
        <w:rPr>
          <w:rFonts w:hint="eastAsia" w:ascii="Times New Roman" w:hAnsi="Times New Roman" w:eastAsia="方正仿宋_GBK" w:cs="方正仿宋_GBK"/>
          <w:color w:val="auto"/>
          <w:sz w:val="24"/>
          <w:szCs w:val="24"/>
        </w:rPr>
      </w:pPr>
      <w:r>
        <w:rPr>
          <w:rFonts w:hint="eastAsia" w:ascii="Times New Roman" w:hAnsi="Times New Roman" w:eastAsia="方正仿宋_GBK" w:cs="方正仿宋_GBK"/>
          <w:color w:val="auto"/>
          <w:sz w:val="24"/>
          <w:szCs w:val="24"/>
        </w:rPr>
        <w:t>二等奖项目：有较大的技术创新，主要指标在全省同类项目中居领先水平；</w:t>
      </w:r>
    </w:p>
    <w:p>
      <w:pPr>
        <w:pStyle w:val="25"/>
        <w:spacing w:line="480" w:lineRule="exact"/>
        <w:rPr>
          <w:rFonts w:hint="eastAsia" w:ascii="Times New Roman" w:hAnsi="Times New Roman" w:eastAsia="方正仿宋_GBK" w:cs="方正仿宋_GBK"/>
          <w:color w:val="auto"/>
          <w:sz w:val="24"/>
          <w:szCs w:val="24"/>
        </w:rPr>
      </w:pPr>
      <w:r>
        <w:rPr>
          <w:rFonts w:hint="eastAsia" w:ascii="Times New Roman" w:hAnsi="Times New Roman" w:eastAsia="方正仿宋_GBK" w:cs="方正仿宋_GBK"/>
          <w:color w:val="auto"/>
          <w:sz w:val="24"/>
          <w:szCs w:val="24"/>
        </w:rPr>
        <w:t>三等奖项目：有一定的技术创新，主要指标在全省同类项目中居先进水平。</w:t>
      </w:r>
    </w:p>
    <w:p>
      <w:pPr>
        <w:pStyle w:val="25"/>
        <w:spacing w:line="480" w:lineRule="exact"/>
        <w:ind w:firstLine="583" w:firstLineChars="243"/>
        <w:rPr>
          <w:rFonts w:hint="eastAsia" w:ascii="Times New Roman" w:hAnsi="Times New Roman" w:eastAsia="方正仿宋_GBK" w:cs="方正仿宋_GBK"/>
          <w:color w:val="auto"/>
          <w:sz w:val="24"/>
          <w:szCs w:val="24"/>
        </w:rPr>
      </w:pPr>
      <w:r>
        <w:rPr>
          <w:rFonts w:hint="eastAsia" w:ascii="Times New Roman" w:hAnsi="Times New Roman" w:eastAsia="方正仿宋_GBK" w:cs="方正仿宋_GBK"/>
          <w:color w:val="auto"/>
          <w:sz w:val="24"/>
          <w:szCs w:val="24"/>
        </w:rPr>
        <w:t>表扬奖项目：在技术水平和综合效益等某方向有一定技术创新，主要指标在全省同类项目中居先进水平。</w:t>
      </w:r>
    </w:p>
    <w:p>
      <w:pPr>
        <w:spacing w:line="480" w:lineRule="exact"/>
        <w:ind w:right="-512" w:rightChars="-244"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高星级绿色建筑、装配式建筑、地下综合管廊工程、应用BIM技术项目，及对行业技术发展具有引领推动作用的项目，在评选时予以鼓励和优先。</w:t>
      </w:r>
    </w:p>
    <w:p>
      <w:pPr>
        <w:spacing w:line="480" w:lineRule="exact"/>
        <w:ind w:right="-512" w:rightChars="-244" w:firstLine="480" w:firstLineChars="200"/>
        <w:rPr>
          <w:rFonts w:hint="eastAsia" w:ascii="Times New Roman" w:hAnsi="Times New Roman" w:eastAsia="方正仿宋_GBK" w:cs="方正仿宋_GBK"/>
          <w:kern w:val="0"/>
          <w:sz w:val="24"/>
        </w:rPr>
      </w:pPr>
    </w:p>
    <w:p>
      <w:pPr>
        <w:spacing w:line="480" w:lineRule="exact"/>
        <w:ind w:firstLine="480" w:firstLineChars="200"/>
        <w:jc w:val="center"/>
        <w:rPr>
          <w:rFonts w:hint="eastAsia" w:ascii="Times New Roman" w:hAnsi="Times New Roman" w:eastAsia="方正仿宋_GBK" w:cs="方正仿宋_GBK"/>
          <w:b/>
          <w:sz w:val="24"/>
        </w:rPr>
      </w:pPr>
      <w:r>
        <w:rPr>
          <w:rFonts w:hint="eastAsia" w:ascii="Times New Roman" w:hAnsi="Times New Roman" w:eastAsia="方正仿宋_GBK" w:cs="方正仿宋_GBK"/>
          <w:sz w:val="24"/>
        </w:rPr>
        <w:t>第四章 申报程序</w:t>
      </w:r>
    </w:p>
    <w:p>
      <w:pPr>
        <w:spacing w:line="480" w:lineRule="exact"/>
        <w:ind w:firstLine="482" w:firstLineChars="200"/>
        <w:rPr>
          <w:rFonts w:hint="eastAsia" w:ascii="Times New Roman" w:hAnsi="Times New Roman" w:eastAsia="方正仿宋_GBK" w:cs="方正仿宋_GBK"/>
          <w:sz w:val="24"/>
        </w:rPr>
      </w:pPr>
      <w:r>
        <w:rPr>
          <w:rFonts w:hint="eastAsia" w:ascii="Times New Roman" w:hAnsi="Times New Roman" w:eastAsia="方正仿宋_GBK" w:cs="方正仿宋_GBK"/>
          <w:b/>
          <w:sz w:val="24"/>
        </w:rPr>
        <w:t>第八条</w:t>
      </w:r>
      <w:r>
        <w:rPr>
          <w:rFonts w:hint="eastAsia" w:ascii="Times New Roman" w:hAnsi="Times New Roman" w:eastAsia="方正仿宋_GBK" w:cs="方正仿宋_GBK"/>
          <w:sz w:val="24"/>
        </w:rPr>
        <w:t>勘察设计单位在本单位评选优秀勘察设计项目的基础上，按各省辖市规定的期限，将推荐的工程勘察设计项目报送参加各市优秀勘察设计评选。</w:t>
      </w:r>
    </w:p>
    <w:p>
      <w:pPr>
        <w:spacing w:line="48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部、省属勘察设计单位可参加单位所在地的省辖市优秀勘察设计评选，也可直接参加全省城乡建设系统优秀勘察设计奖评选，但申报项目不得重复。</w:t>
      </w:r>
    </w:p>
    <w:p>
      <w:pPr>
        <w:spacing w:line="480" w:lineRule="exact"/>
        <w:ind w:firstLine="482" w:firstLineChars="200"/>
        <w:rPr>
          <w:rFonts w:hint="eastAsia" w:ascii="Times New Roman" w:hAnsi="Times New Roman" w:eastAsia="方正仿宋_GBK" w:cs="方正仿宋_GBK"/>
          <w:sz w:val="24"/>
        </w:rPr>
      </w:pPr>
      <w:r>
        <w:rPr>
          <w:rFonts w:hint="eastAsia" w:ascii="Times New Roman" w:hAnsi="Times New Roman" w:eastAsia="方正仿宋_GBK" w:cs="方正仿宋_GBK"/>
          <w:b/>
          <w:sz w:val="24"/>
        </w:rPr>
        <w:t>第九条</w:t>
      </w:r>
      <w:r>
        <w:rPr>
          <w:rFonts w:hint="eastAsia" w:ascii="Times New Roman" w:hAnsi="Times New Roman" w:eastAsia="方正仿宋_GBK" w:cs="方正仿宋_GBK"/>
          <w:sz w:val="24"/>
        </w:rPr>
        <w:t>各省辖市将本地区获二等奖及以上的优秀勘察设计项目汇总填写排序推荐表后，推荐参加省城乡建设系统优秀勘察设计奖评审。</w:t>
      </w:r>
    </w:p>
    <w:p>
      <w:pPr>
        <w:spacing w:line="480" w:lineRule="exact"/>
        <w:ind w:firstLine="480" w:firstLineChars="200"/>
        <w:rPr>
          <w:rFonts w:hint="eastAsia" w:ascii="Times New Roman" w:hAnsi="Times New Roman" w:eastAsia="方正仿宋_GBK" w:cs="方正仿宋_GBK"/>
          <w:sz w:val="24"/>
        </w:rPr>
      </w:pPr>
    </w:p>
    <w:p>
      <w:pPr>
        <w:spacing w:line="480" w:lineRule="exact"/>
        <w:ind w:firstLine="480" w:firstLineChars="200"/>
        <w:jc w:val="center"/>
        <w:rPr>
          <w:rFonts w:hint="eastAsia" w:ascii="Times New Roman" w:hAnsi="Times New Roman" w:eastAsia="方正仿宋_GBK" w:cs="方正仿宋_GBK"/>
          <w:b/>
          <w:sz w:val="24"/>
        </w:rPr>
      </w:pPr>
      <w:r>
        <w:rPr>
          <w:rFonts w:hint="eastAsia" w:ascii="Times New Roman" w:hAnsi="Times New Roman" w:eastAsia="方正仿宋_GBK" w:cs="方正仿宋_GBK"/>
          <w:sz w:val="24"/>
        </w:rPr>
        <w:t>第五章 评选机构组织</w:t>
      </w:r>
    </w:p>
    <w:p>
      <w:pPr>
        <w:spacing w:line="480" w:lineRule="exact"/>
        <w:ind w:firstLine="482" w:firstLineChars="200"/>
        <w:rPr>
          <w:rFonts w:hint="eastAsia" w:ascii="Times New Roman" w:hAnsi="Times New Roman" w:eastAsia="方正仿宋_GBK" w:cs="方正仿宋_GBK"/>
          <w:sz w:val="24"/>
        </w:rPr>
      </w:pPr>
      <w:r>
        <w:rPr>
          <w:rFonts w:hint="eastAsia" w:ascii="Times New Roman" w:hAnsi="Times New Roman" w:eastAsia="方正仿宋_GBK" w:cs="方正仿宋_GBK"/>
          <w:b/>
          <w:sz w:val="24"/>
        </w:rPr>
        <w:t>第十条</w:t>
      </w:r>
      <w:r>
        <w:rPr>
          <w:rFonts w:hint="eastAsia" w:ascii="Times New Roman" w:hAnsi="Times New Roman" w:eastAsia="方正仿宋_GBK" w:cs="方正仿宋_GBK"/>
          <w:sz w:val="24"/>
        </w:rPr>
        <w:t>省城乡建设系统优秀勘察设计评选工作由省住房和城乡建设厅建筑节能与科研设计处负责组织实施。</w:t>
      </w:r>
    </w:p>
    <w:p>
      <w:pPr>
        <w:spacing w:line="480" w:lineRule="exact"/>
        <w:ind w:firstLine="482" w:firstLineChars="200"/>
        <w:rPr>
          <w:rFonts w:hint="eastAsia" w:ascii="Times New Roman" w:hAnsi="Times New Roman" w:eastAsia="方正仿宋_GBK" w:cs="方正仿宋_GBK"/>
          <w:sz w:val="24"/>
        </w:rPr>
      </w:pPr>
      <w:r>
        <w:rPr>
          <w:rFonts w:hint="eastAsia" w:ascii="Times New Roman" w:hAnsi="Times New Roman" w:eastAsia="方正仿宋_GBK" w:cs="方正仿宋_GBK"/>
          <w:b/>
          <w:sz w:val="24"/>
        </w:rPr>
        <w:t>第十一条</w:t>
      </w:r>
      <w:r>
        <w:rPr>
          <w:rFonts w:hint="eastAsia" w:ascii="Times New Roman" w:hAnsi="Times New Roman" w:eastAsia="方正仿宋_GBK" w:cs="方正仿宋_GBK"/>
          <w:sz w:val="24"/>
        </w:rPr>
        <w:t>设立由厅领导、相关处室负责人和各专业委员会主任委员组成的省城乡建设系统优秀勘察设计评选委员会，负责省城乡建设系统优秀勘察设计评选获奖项目的评定工作。</w:t>
      </w:r>
    </w:p>
    <w:p>
      <w:pPr>
        <w:spacing w:line="48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 xml:space="preserve">省城乡建设系统优秀勘察设计评选委员会下设建筑工程设计、城市与工程勘察等六个专业评选委员会，负责对申报项目进行初评。 </w:t>
      </w:r>
    </w:p>
    <w:p>
      <w:pPr>
        <w:spacing w:line="48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各专业评选委员会组成人员由相关处室负责推荐，并设主任委员和副主任委员各一名。</w:t>
      </w:r>
    </w:p>
    <w:p>
      <w:pPr>
        <w:spacing w:line="480" w:lineRule="exact"/>
        <w:ind w:firstLine="480" w:firstLineChars="200"/>
        <w:rPr>
          <w:rFonts w:hint="eastAsia" w:ascii="Times New Roman" w:hAnsi="Times New Roman" w:eastAsia="方正仿宋_GBK" w:cs="方正仿宋_GBK"/>
          <w:sz w:val="24"/>
        </w:rPr>
      </w:pPr>
    </w:p>
    <w:p>
      <w:pPr>
        <w:spacing w:line="480" w:lineRule="exact"/>
        <w:ind w:firstLine="480" w:firstLineChars="200"/>
        <w:jc w:val="center"/>
        <w:rPr>
          <w:rFonts w:hint="eastAsia" w:ascii="Times New Roman" w:hAnsi="Times New Roman" w:eastAsia="方正仿宋_GBK" w:cs="方正仿宋_GBK"/>
          <w:b/>
          <w:sz w:val="24"/>
        </w:rPr>
      </w:pPr>
      <w:r>
        <w:rPr>
          <w:rFonts w:hint="eastAsia" w:ascii="Times New Roman" w:hAnsi="Times New Roman" w:eastAsia="方正仿宋_GBK" w:cs="方正仿宋_GBK"/>
          <w:sz w:val="24"/>
        </w:rPr>
        <w:t>第六章 评选程序和方法</w:t>
      </w:r>
    </w:p>
    <w:p>
      <w:pPr>
        <w:spacing w:line="480" w:lineRule="exact"/>
        <w:ind w:firstLine="482" w:firstLineChars="200"/>
        <w:rPr>
          <w:rFonts w:hint="eastAsia" w:ascii="Times New Roman" w:hAnsi="Times New Roman" w:eastAsia="方正仿宋_GBK" w:cs="方正仿宋_GBK"/>
          <w:sz w:val="24"/>
        </w:rPr>
      </w:pPr>
      <w:r>
        <w:rPr>
          <w:rFonts w:hint="eastAsia" w:ascii="Times New Roman" w:hAnsi="Times New Roman" w:eastAsia="方正仿宋_GBK" w:cs="方正仿宋_GBK"/>
          <w:b/>
          <w:sz w:val="24"/>
        </w:rPr>
        <w:t>第十二条</w:t>
      </w:r>
      <w:r>
        <w:rPr>
          <w:rFonts w:hint="eastAsia" w:ascii="Times New Roman" w:hAnsi="Times New Roman" w:eastAsia="方正仿宋_GBK" w:cs="方正仿宋_GBK"/>
          <w:sz w:val="24"/>
        </w:rPr>
        <w:t>初评。各专业评选委员会对申报材料进行初步评审，采取记名投票方式，提出本专业的优秀勘察设计奖获奖项目建议名单。</w:t>
      </w:r>
    </w:p>
    <w:p>
      <w:pPr>
        <w:spacing w:line="480" w:lineRule="exact"/>
        <w:ind w:firstLine="482" w:firstLineChars="200"/>
        <w:rPr>
          <w:rFonts w:hint="eastAsia" w:ascii="Times New Roman" w:hAnsi="Times New Roman" w:eastAsia="方正仿宋_GBK" w:cs="方正仿宋_GBK"/>
          <w:sz w:val="24"/>
        </w:rPr>
      </w:pPr>
      <w:r>
        <w:rPr>
          <w:rFonts w:hint="eastAsia" w:ascii="Times New Roman" w:hAnsi="Times New Roman" w:eastAsia="方正仿宋_GBK" w:cs="方正仿宋_GBK"/>
          <w:b/>
          <w:sz w:val="24"/>
        </w:rPr>
        <w:t>第十三条</w:t>
      </w:r>
      <w:r>
        <w:rPr>
          <w:rFonts w:hint="eastAsia" w:ascii="Times New Roman" w:hAnsi="Times New Roman" w:eastAsia="方正仿宋_GBK" w:cs="方正仿宋_GBK"/>
          <w:sz w:val="24"/>
        </w:rPr>
        <w:t>综评。省城乡建设系统优秀勘察设计评选委员会对各专业委员会提出的推荐获奖项目名单进行审定，将拟获奖项目名单在网上进行公示，公示期限为15个工作日。省住房和城乡建设厅根据公示情况，按有关规定公布评选结果。</w:t>
      </w:r>
    </w:p>
    <w:p>
      <w:pPr>
        <w:spacing w:line="480" w:lineRule="exact"/>
        <w:ind w:firstLine="482" w:firstLineChars="200"/>
        <w:rPr>
          <w:rFonts w:hint="eastAsia" w:ascii="Times New Roman" w:hAnsi="Times New Roman" w:eastAsia="方正仿宋_GBK" w:cs="方正仿宋_GBK"/>
          <w:sz w:val="24"/>
        </w:rPr>
      </w:pPr>
      <w:r>
        <w:rPr>
          <w:rFonts w:hint="eastAsia" w:ascii="Times New Roman" w:hAnsi="Times New Roman" w:eastAsia="方正仿宋_GBK" w:cs="方正仿宋_GBK"/>
          <w:b/>
          <w:sz w:val="24"/>
        </w:rPr>
        <w:t>第十四条</w:t>
      </w:r>
      <w:r>
        <w:rPr>
          <w:rFonts w:hint="eastAsia" w:ascii="Times New Roman" w:hAnsi="Times New Roman" w:eastAsia="方正仿宋_GBK" w:cs="方正仿宋_GBK"/>
          <w:sz w:val="24"/>
        </w:rPr>
        <w:t>省城乡建设系统优秀勘察设计各专业评选委员会评选采用先分组后集中，专家评议与记名投票相结合的方式进行，先评出三等奖以上项目，再评出二等奖项目，最后评出一等奖项目。另推荐评出表扬奖项目。</w:t>
      </w:r>
    </w:p>
    <w:p>
      <w:pPr>
        <w:spacing w:line="480" w:lineRule="exact"/>
        <w:ind w:firstLine="482" w:firstLineChars="200"/>
        <w:rPr>
          <w:rFonts w:hint="eastAsia" w:ascii="Times New Roman" w:hAnsi="Times New Roman" w:eastAsia="方正仿宋_GBK" w:cs="方正仿宋_GBK"/>
          <w:sz w:val="24"/>
        </w:rPr>
      </w:pPr>
      <w:r>
        <w:rPr>
          <w:rFonts w:hint="eastAsia" w:ascii="Times New Roman" w:hAnsi="Times New Roman" w:eastAsia="方正仿宋_GBK" w:cs="方正仿宋_GBK"/>
          <w:b/>
          <w:sz w:val="24"/>
        </w:rPr>
        <w:t>第十五条</w:t>
      </w:r>
      <w:r>
        <w:rPr>
          <w:rFonts w:hint="eastAsia" w:ascii="Times New Roman" w:hAnsi="Times New Roman" w:eastAsia="方正仿宋_GBK" w:cs="方正仿宋_GBK"/>
          <w:sz w:val="24"/>
        </w:rPr>
        <w:t>各专业评选委员会评选一般按下列程序进行：</w:t>
      </w:r>
    </w:p>
    <w:p>
      <w:pPr>
        <w:spacing w:line="48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一、按项目类型或项目数量进行分组评审。</w:t>
      </w:r>
    </w:p>
    <w:p>
      <w:pPr>
        <w:spacing w:line="48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二、各组介绍小组评审意见后，由专业评选委员会评议。</w:t>
      </w:r>
    </w:p>
    <w:p>
      <w:pPr>
        <w:spacing w:line="48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三、专业评选委员会全体专家进行记名投票，以得票数多少评出奖项。</w:t>
      </w:r>
    </w:p>
    <w:p>
      <w:pPr>
        <w:spacing w:line="48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第一轮先评出三等奖以上（含三等奖）项目，第二轮评出二等奖以上（含二等奖）项目，第三轮评出一等奖项目。另根据比例评出表扬奖若干名。</w:t>
      </w:r>
    </w:p>
    <w:p>
      <w:pPr>
        <w:spacing w:line="48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各专业评选委员人数一般为奇数，表扬奖、二等奖、三等奖项目得票数需超过所有评委数的1/2，一等奖项目得票数需达到所有评委数的2/3。</w:t>
      </w:r>
    </w:p>
    <w:p>
      <w:pPr>
        <w:spacing w:line="480" w:lineRule="exact"/>
        <w:ind w:firstLine="480" w:firstLineChars="200"/>
        <w:rPr>
          <w:rFonts w:hint="eastAsia" w:ascii="Times New Roman" w:hAnsi="Times New Roman" w:eastAsia="方正仿宋_GBK" w:cs="方正仿宋_GBK"/>
          <w:sz w:val="24"/>
        </w:rPr>
      </w:pPr>
    </w:p>
    <w:p>
      <w:pPr>
        <w:spacing w:line="480" w:lineRule="exact"/>
        <w:ind w:firstLine="480" w:firstLineChars="200"/>
        <w:jc w:val="center"/>
        <w:rPr>
          <w:rFonts w:hint="eastAsia" w:ascii="Times New Roman" w:hAnsi="Times New Roman" w:eastAsia="方正仿宋_GBK" w:cs="方正仿宋_GBK"/>
          <w:b/>
          <w:sz w:val="24"/>
        </w:rPr>
      </w:pPr>
      <w:r>
        <w:rPr>
          <w:rFonts w:hint="eastAsia" w:ascii="Times New Roman" w:hAnsi="Times New Roman" w:eastAsia="方正仿宋_GBK" w:cs="方正仿宋_GBK"/>
          <w:sz w:val="24"/>
        </w:rPr>
        <w:t>第七章 评选纪律</w:t>
      </w:r>
    </w:p>
    <w:p>
      <w:pPr>
        <w:spacing w:line="480" w:lineRule="exact"/>
        <w:ind w:firstLine="482" w:firstLineChars="200"/>
        <w:rPr>
          <w:rFonts w:hint="eastAsia" w:ascii="Times New Roman" w:hAnsi="Times New Roman" w:eastAsia="方正仿宋_GBK" w:cs="方正仿宋_GBK"/>
          <w:sz w:val="24"/>
        </w:rPr>
      </w:pPr>
      <w:r>
        <w:rPr>
          <w:rFonts w:hint="eastAsia" w:ascii="Times New Roman" w:hAnsi="Times New Roman" w:eastAsia="方正仿宋_GBK" w:cs="方正仿宋_GBK"/>
          <w:b/>
          <w:sz w:val="24"/>
        </w:rPr>
        <w:t>第十六条</w:t>
      </w:r>
      <w:r>
        <w:rPr>
          <w:rFonts w:hint="eastAsia" w:ascii="Times New Roman" w:hAnsi="Times New Roman" w:eastAsia="方正仿宋_GBK" w:cs="方正仿宋_GBK"/>
          <w:sz w:val="24"/>
        </w:rPr>
        <w:t>在评选中，各评委须本着认真、严谨的工作态度，对参评项目按评选标准要求进行充分讨论筛选。</w:t>
      </w:r>
    </w:p>
    <w:p>
      <w:pPr>
        <w:spacing w:line="480" w:lineRule="exact"/>
        <w:ind w:firstLine="482" w:firstLineChars="200"/>
        <w:rPr>
          <w:rFonts w:hint="eastAsia" w:ascii="Times New Roman" w:hAnsi="Times New Roman" w:eastAsia="方正仿宋_GBK" w:cs="方正仿宋_GBK"/>
          <w:sz w:val="24"/>
        </w:rPr>
      </w:pPr>
      <w:r>
        <w:rPr>
          <w:rFonts w:hint="eastAsia" w:ascii="Times New Roman" w:hAnsi="Times New Roman" w:eastAsia="方正仿宋_GBK" w:cs="方正仿宋_GBK"/>
          <w:b/>
          <w:sz w:val="24"/>
        </w:rPr>
        <w:t>第十七条</w:t>
      </w:r>
      <w:r>
        <w:rPr>
          <w:rFonts w:hint="eastAsia" w:ascii="Times New Roman" w:hAnsi="Times New Roman" w:eastAsia="方正仿宋_GBK" w:cs="方正仿宋_GBK"/>
          <w:sz w:val="24"/>
        </w:rPr>
        <w:t>评委在评选中要秉公行事，评选期间不得向外界透露评选内容，不得收受报评单位或个人的贿赂，一经发现立即取消评委资格。</w:t>
      </w:r>
    </w:p>
    <w:p>
      <w:pPr>
        <w:spacing w:line="480" w:lineRule="exact"/>
        <w:ind w:firstLine="482" w:firstLineChars="200"/>
        <w:rPr>
          <w:rFonts w:hint="eastAsia" w:ascii="Times New Roman" w:hAnsi="Times New Roman" w:eastAsia="方正仿宋_GBK" w:cs="方正仿宋_GBK"/>
          <w:sz w:val="24"/>
        </w:rPr>
      </w:pPr>
      <w:r>
        <w:rPr>
          <w:rFonts w:hint="eastAsia" w:ascii="Times New Roman" w:hAnsi="Times New Roman" w:eastAsia="方正仿宋_GBK" w:cs="方正仿宋_GBK"/>
          <w:b/>
          <w:sz w:val="24"/>
        </w:rPr>
        <w:t>第十八条</w:t>
      </w:r>
      <w:r>
        <w:rPr>
          <w:rFonts w:hint="eastAsia" w:ascii="Times New Roman" w:hAnsi="Times New Roman" w:eastAsia="方正仿宋_GBK" w:cs="方正仿宋_GBK"/>
          <w:sz w:val="24"/>
        </w:rPr>
        <w:t>省城乡建设系统优秀勘察设计各专业委员会评选时采取回避原则，分组时凡项目涉及所在单位或本人的，评委均应回避。</w:t>
      </w:r>
    </w:p>
    <w:p>
      <w:pPr>
        <w:spacing w:line="480" w:lineRule="exact"/>
        <w:jc w:val="center"/>
        <w:rPr>
          <w:rFonts w:hint="eastAsia" w:ascii="Times New Roman" w:hAnsi="Times New Roman" w:eastAsia="方正仿宋_GBK" w:cs="方正仿宋_GBK"/>
          <w:sz w:val="24"/>
        </w:rPr>
      </w:pPr>
    </w:p>
    <w:p>
      <w:pPr>
        <w:spacing w:line="480" w:lineRule="exact"/>
        <w:jc w:val="center"/>
        <w:rPr>
          <w:rFonts w:hint="eastAsia" w:ascii="Times New Roman" w:hAnsi="Times New Roman" w:eastAsia="方正仿宋_GBK" w:cs="方正仿宋_GBK"/>
          <w:sz w:val="24"/>
        </w:rPr>
      </w:pPr>
      <w:r>
        <w:rPr>
          <w:rFonts w:hint="eastAsia" w:ascii="Times New Roman" w:hAnsi="Times New Roman" w:eastAsia="方正仿宋_GBK" w:cs="方正仿宋_GBK"/>
          <w:sz w:val="24"/>
        </w:rPr>
        <w:t>第八章 奖惩</w:t>
      </w:r>
    </w:p>
    <w:p>
      <w:pPr>
        <w:spacing w:line="480" w:lineRule="exact"/>
        <w:ind w:firstLine="472" w:firstLineChars="196"/>
        <w:rPr>
          <w:rFonts w:hint="eastAsia" w:ascii="Times New Roman" w:hAnsi="Times New Roman" w:eastAsia="方正仿宋_GBK" w:cs="方正仿宋_GBK"/>
          <w:sz w:val="24"/>
        </w:rPr>
      </w:pPr>
      <w:r>
        <w:rPr>
          <w:rFonts w:hint="eastAsia" w:ascii="Times New Roman" w:hAnsi="Times New Roman" w:eastAsia="方正仿宋_GBK" w:cs="方正仿宋_GBK"/>
          <w:b/>
          <w:sz w:val="24"/>
        </w:rPr>
        <w:t>第十九条</w:t>
      </w:r>
      <w:r>
        <w:rPr>
          <w:rFonts w:hint="eastAsia" w:ascii="Times New Roman" w:hAnsi="Times New Roman" w:eastAsia="方正仿宋_GBK" w:cs="方正仿宋_GBK"/>
          <w:sz w:val="24"/>
        </w:rPr>
        <w:t>对获省城乡建设系统优秀勘察设计奖的项目，省住房和城乡建设厅向获奖单位及主要勘察设计人员(不超过15人)颁发奖状和个人荣誉证书。</w:t>
      </w:r>
    </w:p>
    <w:p>
      <w:pPr>
        <w:spacing w:line="48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获奖项目的主要设计人员可由所在单位给予表彰、奖励，并将获奖情况记入本人档案，作为考核、晋升的依据。</w:t>
      </w:r>
    </w:p>
    <w:p>
      <w:pPr>
        <w:spacing w:line="480" w:lineRule="exact"/>
        <w:ind w:firstLine="482" w:firstLineChars="200"/>
        <w:rPr>
          <w:rFonts w:hint="eastAsia" w:ascii="Times New Roman" w:hAnsi="Times New Roman" w:eastAsia="方正仿宋_GBK" w:cs="方正仿宋_GBK"/>
          <w:sz w:val="24"/>
        </w:rPr>
      </w:pPr>
      <w:r>
        <w:rPr>
          <w:rFonts w:hint="eastAsia" w:ascii="Times New Roman" w:hAnsi="Times New Roman" w:eastAsia="方正仿宋_GBK" w:cs="方正仿宋_GBK"/>
          <w:b/>
          <w:sz w:val="24"/>
        </w:rPr>
        <w:t>第二十条</w:t>
      </w:r>
      <w:r>
        <w:rPr>
          <w:rFonts w:hint="eastAsia" w:ascii="Times New Roman" w:hAnsi="Times New Roman" w:eastAsia="方正仿宋_GBK" w:cs="方正仿宋_GBK"/>
          <w:sz w:val="24"/>
        </w:rPr>
        <w:t>凡被评为省城乡建设系统优秀勘察设计一等奖及以上奖项，由省住房和城乡建设厅推荐申报全国优秀工程勘察设计奖。</w:t>
      </w:r>
    </w:p>
    <w:p>
      <w:pPr>
        <w:spacing w:line="480" w:lineRule="exact"/>
        <w:ind w:firstLine="482" w:firstLineChars="200"/>
        <w:rPr>
          <w:rFonts w:hint="eastAsia" w:ascii="Times New Roman" w:hAnsi="Times New Roman" w:eastAsia="方正仿宋_GBK" w:cs="方正仿宋_GBK"/>
          <w:sz w:val="24"/>
        </w:rPr>
      </w:pPr>
      <w:r>
        <w:rPr>
          <w:rFonts w:hint="eastAsia" w:ascii="Times New Roman" w:hAnsi="Times New Roman" w:eastAsia="方正仿宋_GBK" w:cs="方正仿宋_GBK"/>
          <w:b/>
          <w:sz w:val="24"/>
        </w:rPr>
        <w:t>第二十一条</w:t>
      </w:r>
      <w:r>
        <w:rPr>
          <w:rFonts w:hint="eastAsia" w:ascii="Times New Roman" w:hAnsi="Times New Roman" w:eastAsia="方正仿宋_GBK" w:cs="方正仿宋_GBK"/>
          <w:sz w:val="24"/>
        </w:rPr>
        <w:t>凡申报项目，必须实事求是，不得弄虚作假。申报单位弄虚作假，或者向评委行贿的，取消评选资格；已获奖的，撤销奖励，追回奖状、证书。</w:t>
      </w:r>
    </w:p>
    <w:p>
      <w:pPr>
        <w:spacing w:line="48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项目获奖后如发生因勘察设计原因导致的质量安全事故或严重问题，将撤消奖励，停止获奖单位两次申报资格。</w:t>
      </w:r>
    </w:p>
    <w:p>
      <w:pPr>
        <w:spacing w:line="480" w:lineRule="exact"/>
        <w:ind w:firstLine="480" w:firstLineChars="200"/>
        <w:jc w:val="center"/>
        <w:rPr>
          <w:rFonts w:hint="eastAsia" w:ascii="Times New Roman" w:hAnsi="Times New Roman" w:eastAsia="方正仿宋_GBK" w:cs="方正仿宋_GBK"/>
          <w:sz w:val="24"/>
        </w:rPr>
      </w:pPr>
    </w:p>
    <w:p>
      <w:pPr>
        <w:spacing w:line="480" w:lineRule="exact"/>
        <w:ind w:firstLine="480" w:firstLineChars="200"/>
        <w:jc w:val="center"/>
        <w:rPr>
          <w:rFonts w:hint="eastAsia" w:ascii="Times New Roman" w:hAnsi="Times New Roman" w:eastAsia="方正仿宋_GBK" w:cs="方正仿宋_GBK"/>
          <w:sz w:val="24"/>
        </w:rPr>
      </w:pPr>
      <w:r>
        <w:rPr>
          <w:rFonts w:hint="eastAsia" w:ascii="Times New Roman" w:hAnsi="Times New Roman" w:eastAsia="方正仿宋_GBK" w:cs="方正仿宋_GBK"/>
          <w:sz w:val="24"/>
        </w:rPr>
        <w:t>第九章 附则</w:t>
      </w:r>
    </w:p>
    <w:p>
      <w:pPr>
        <w:spacing w:line="480" w:lineRule="exact"/>
        <w:rPr>
          <w:rFonts w:hint="eastAsia" w:ascii="Times New Roman" w:hAnsi="Times New Roman" w:eastAsia="方正仿宋_GBK" w:cs="方正仿宋_GBK"/>
          <w:sz w:val="24"/>
        </w:rPr>
      </w:pPr>
      <w:r>
        <w:rPr>
          <w:rFonts w:hint="eastAsia" w:ascii="Times New Roman" w:hAnsi="Times New Roman" w:eastAsia="方正仿宋_GBK" w:cs="方正仿宋_GBK"/>
          <w:b/>
          <w:sz w:val="24"/>
        </w:rPr>
        <w:t xml:space="preserve">     第二十二条</w:t>
      </w:r>
      <w:r>
        <w:rPr>
          <w:rFonts w:hint="eastAsia" w:ascii="Times New Roman" w:hAnsi="Times New Roman" w:eastAsia="方正仿宋_GBK" w:cs="方正仿宋_GBK"/>
          <w:sz w:val="24"/>
        </w:rPr>
        <w:t>本办法自公布之日起施行。原《江苏省城乡建设系统优秀勘察设计评选管理办法》(苏建科〔2008〕136号)同时废止。</w:t>
      </w:r>
    </w:p>
    <w:p>
      <w:pPr>
        <w:spacing w:line="480" w:lineRule="exact"/>
        <w:ind w:firstLine="482" w:firstLineChars="200"/>
        <w:rPr>
          <w:rFonts w:hint="eastAsia"/>
        </w:rPr>
      </w:pPr>
      <w:r>
        <w:rPr>
          <w:rFonts w:hint="eastAsia" w:ascii="Times New Roman" w:hAnsi="Times New Roman" w:eastAsia="方正仿宋_GBK" w:cs="方正仿宋_GBK"/>
          <w:b/>
          <w:sz w:val="24"/>
        </w:rPr>
        <w:t>第二十三条</w:t>
      </w:r>
      <w:r>
        <w:rPr>
          <w:rFonts w:hint="eastAsia" w:ascii="Times New Roman" w:hAnsi="Times New Roman" w:eastAsia="方正仿宋_GBK" w:cs="方正仿宋_GBK"/>
          <w:sz w:val="24"/>
        </w:rPr>
        <w:t>本办法由省住房和城乡建设厅负责解释。</w:t>
      </w:r>
    </w:p>
    <w:p/>
    <w:p>
      <w:pPr>
        <w:pStyle w:val="2"/>
        <w:spacing w:before="240" w:beforeLines="100" w:after="240" w:afterLines="100" w:line="240" w:lineRule="auto"/>
        <w:jc w:val="center"/>
        <w:rPr>
          <w:rFonts w:ascii="Times New Roman" w:eastAsia="方正小标宋_GBK"/>
          <w:b w:val="0"/>
          <w:sz w:val="36"/>
          <w:szCs w:val="36"/>
        </w:rPr>
      </w:pPr>
      <w:r>
        <w:rPr>
          <w:b w:val="0"/>
        </w:rPr>
        <w:br w:type="column"/>
      </w:r>
      <w:bookmarkStart w:id="246" w:name="_Toc20726418"/>
      <w:bookmarkStart w:id="247" w:name="_Toc18315501"/>
      <w:r>
        <w:rPr>
          <w:rFonts w:hint="eastAsia" w:ascii="Times New Roman" w:eastAsia="方正小标宋_GBK"/>
          <w:b w:val="0"/>
          <w:sz w:val="36"/>
          <w:szCs w:val="36"/>
        </w:rPr>
        <w:t>省住房和城乡建设厅关于印发《江苏省建设科技项目  管理实施细则》的通知</w:t>
      </w:r>
      <w:bookmarkEnd w:id="246"/>
      <w:bookmarkEnd w:id="247"/>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248" w:name="_Toc20726419"/>
      <w:bookmarkStart w:id="249" w:name="_Toc18315502"/>
      <w:r>
        <w:rPr>
          <w:rFonts w:hint="eastAsia" w:ascii="Times New Roman" w:hAnsi="Times New Roman" w:eastAsia="方正楷体_GBK"/>
          <w:b w:val="0"/>
          <w:sz w:val="24"/>
          <w:szCs w:val="24"/>
        </w:rPr>
        <w:t>苏建科〔</w:t>
      </w:r>
      <w:r>
        <w:rPr>
          <w:rFonts w:ascii="Times New Roman" w:hAnsi="Times New Roman" w:eastAsia="方正楷体_GBK"/>
          <w:b w:val="0"/>
          <w:sz w:val="24"/>
          <w:szCs w:val="24"/>
        </w:rPr>
        <w:t>2002</w:t>
      </w:r>
      <w:r>
        <w:rPr>
          <w:rFonts w:hint="eastAsia" w:ascii="Times New Roman" w:hAnsi="Times New Roman" w:eastAsia="方正楷体_GBK"/>
          <w:b w:val="0"/>
          <w:sz w:val="24"/>
          <w:szCs w:val="24"/>
        </w:rPr>
        <w:t>〕</w:t>
      </w:r>
      <w:r>
        <w:rPr>
          <w:rFonts w:ascii="Times New Roman" w:hAnsi="Times New Roman" w:eastAsia="方正楷体_GBK"/>
          <w:b w:val="0"/>
          <w:sz w:val="24"/>
          <w:szCs w:val="24"/>
        </w:rPr>
        <w:t>199</w:t>
      </w:r>
      <w:r>
        <w:rPr>
          <w:rFonts w:hint="eastAsia" w:ascii="Times New Roman" w:hAnsi="Times New Roman" w:eastAsia="方正楷体_GBK"/>
          <w:b w:val="0"/>
          <w:sz w:val="24"/>
          <w:szCs w:val="24"/>
        </w:rPr>
        <w:t>号</w:t>
      </w:r>
      <w:bookmarkEnd w:id="248"/>
      <w:bookmarkEnd w:id="249"/>
    </w:p>
    <w:p>
      <w:pPr>
        <w:spacing w:line="460" w:lineRule="exact"/>
        <w:rPr>
          <w:rFonts w:eastAsia="方正仿宋_GBK"/>
          <w:color w:val="000000"/>
          <w:sz w:val="24"/>
        </w:rPr>
      </w:pPr>
      <w:r>
        <w:rPr>
          <w:rFonts w:hint="eastAsia" w:eastAsia="方正仿宋_GBK"/>
          <w:color w:val="000000"/>
          <w:sz w:val="24"/>
        </w:rPr>
        <w:t>各省设区市建设局</w:t>
      </w:r>
      <w:r>
        <w:rPr>
          <w:rFonts w:eastAsia="方正仿宋_GBK"/>
          <w:color w:val="000000"/>
          <w:sz w:val="24"/>
        </w:rPr>
        <w:t>(</w:t>
      </w:r>
      <w:r>
        <w:rPr>
          <w:rFonts w:hint="eastAsia" w:eastAsia="方正仿宋_GBK"/>
          <w:color w:val="000000"/>
          <w:sz w:val="24"/>
        </w:rPr>
        <w:t>委</w:t>
      </w:r>
      <w:r>
        <w:rPr>
          <w:rFonts w:eastAsia="方正仿宋_GBK"/>
          <w:color w:val="000000"/>
          <w:sz w:val="24"/>
        </w:rPr>
        <w:t>)</w:t>
      </w:r>
      <w:r>
        <w:rPr>
          <w:rFonts w:hint="eastAsia" w:eastAsia="方正仿宋_GBK"/>
          <w:color w:val="000000"/>
          <w:sz w:val="24"/>
        </w:rPr>
        <w:t>、规划局、市政公用局、园林局、城管</w:t>
      </w:r>
      <w:r>
        <w:rPr>
          <w:rFonts w:eastAsia="方正仿宋_GBK"/>
          <w:color w:val="000000"/>
          <w:sz w:val="24"/>
        </w:rPr>
        <w:t>(</w:t>
      </w:r>
      <w:r>
        <w:rPr>
          <w:rFonts w:hint="eastAsia" w:eastAsia="方正仿宋_GBK"/>
          <w:color w:val="000000"/>
          <w:sz w:val="24"/>
        </w:rPr>
        <w:t>市容管理</w:t>
      </w:r>
      <w:r>
        <w:rPr>
          <w:rFonts w:eastAsia="方正仿宋_GBK"/>
          <w:color w:val="000000"/>
          <w:sz w:val="24"/>
        </w:rPr>
        <w:t>)</w:t>
      </w:r>
      <w:r>
        <w:rPr>
          <w:rFonts w:hint="eastAsia" w:eastAsia="方正仿宋_GBK"/>
          <w:color w:val="000000"/>
          <w:sz w:val="24"/>
        </w:rPr>
        <w:t>局、房管局</w:t>
      </w:r>
      <w:r>
        <w:rPr>
          <w:rFonts w:eastAsia="方正仿宋_GBK"/>
          <w:color w:val="000000"/>
          <w:sz w:val="24"/>
        </w:rPr>
        <w:t>(</w:t>
      </w:r>
      <w:r>
        <w:rPr>
          <w:rFonts w:hint="eastAsia" w:eastAsia="方正仿宋_GBK"/>
          <w:color w:val="000000"/>
          <w:sz w:val="24"/>
        </w:rPr>
        <w:t>房改办</w:t>
      </w:r>
      <w:r>
        <w:rPr>
          <w:rFonts w:eastAsia="方正仿宋_GBK"/>
          <w:color w:val="000000"/>
          <w:sz w:val="24"/>
        </w:rPr>
        <w:t>)</w:t>
      </w:r>
      <w:r>
        <w:rPr>
          <w:rFonts w:hint="eastAsia" w:eastAsia="方正仿宋_GBK"/>
          <w:color w:val="000000"/>
          <w:sz w:val="24"/>
        </w:rPr>
        <w:t>、建工局：</w:t>
      </w:r>
    </w:p>
    <w:p>
      <w:pPr>
        <w:spacing w:line="460" w:lineRule="exact"/>
        <w:ind w:firstLine="480" w:firstLineChars="200"/>
        <w:rPr>
          <w:rFonts w:eastAsia="方正仿宋_GBK"/>
          <w:color w:val="000000"/>
          <w:sz w:val="24"/>
        </w:rPr>
      </w:pPr>
      <w:r>
        <w:rPr>
          <w:rFonts w:hint="eastAsia" w:eastAsia="方正仿宋_GBK"/>
          <w:color w:val="000000"/>
          <w:sz w:val="24"/>
        </w:rPr>
        <w:t>为规范和加强全省建设系统科技计划项目的管理，适应建设科技的发展需要，在广泛征求意见的基础上，我厅制定了《江苏省建设科技项目管理实施细则》，现印发给你们，请遵照执行。</w:t>
      </w:r>
    </w:p>
    <w:p>
      <w:pPr>
        <w:spacing w:line="460" w:lineRule="exact"/>
        <w:ind w:firstLine="480" w:firstLineChars="200"/>
        <w:rPr>
          <w:rFonts w:eastAsia="方正仿宋_GBK"/>
          <w:color w:val="000000"/>
          <w:sz w:val="24"/>
        </w:rPr>
      </w:pPr>
      <w:r>
        <w:rPr>
          <w:rFonts w:eastAsia="方正仿宋_GBK"/>
          <w:color w:val="000000"/>
          <w:sz w:val="24"/>
        </w:rPr>
        <w:t xml:space="preserve"> </w:t>
      </w:r>
    </w:p>
    <w:p>
      <w:pPr>
        <w:spacing w:line="460" w:lineRule="exact"/>
        <w:ind w:firstLine="480" w:firstLineChars="200"/>
        <w:rPr>
          <w:rFonts w:eastAsia="方正仿宋_GBK"/>
          <w:color w:val="000000"/>
          <w:sz w:val="24"/>
        </w:rPr>
      </w:pPr>
      <w:r>
        <w:rPr>
          <w:rFonts w:hint="eastAsia" w:eastAsia="方正仿宋_GBK"/>
          <w:color w:val="000000"/>
          <w:sz w:val="24"/>
        </w:rPr>
        <w:t>附件：《江苏省建设科技项目管理实施细则》</w:t>
      </w:r>
    </w:p>
    <w:p>
      <w:pPr>
        <w:spacing w:line="460" w:lineRule="exact"/>
        <w:ind w:firstLine="480" w:firstLineChars="200"/>
        <w:rPr>
          <w:rFonts w:eastAsia="方正仿宋_GBK"/>
          <w:color w:val="000000"/>
          <w:sz w:val="24"/>
        </w:rPr>
      </w:pPr>
      <w:r>
        <w:rPr>
          <w:rFonts w:eastAsia="方正仿宋_GBK"/>
          <w:color w:val="000000"/>
          <w:sz w:val="24"/>
        </w:rPr>
        <w:t xml:space="preserve">  </w:t>
      </w:r>
    </w:p>
    <w:p>
      <w:pPr>
        <w:spacing w:line="460" w:lineRule="exact"/>
        <w:ind w:firstLine="6000" w:firstLineChars="2500"/>
        <w:rPr>
          <w:rFonts w:eastAsia="方正仿宋_GBK"/>
          <w:color w:val="000000"/>
          <w:sz w:val="24"/>
        </w:rPr>
      </w:pPr>
      <w:r>
        <w:rPr>
          <w:rFonts w:hint="eastAsia" w:eastAsia="方正仿宋_GBK"/>
          <w:color w:val="000000"/>
          <w:sz w:val="24"/>
        </w:rPr>
        <w:t>江苏省住房和城乡建设厅</w:t>
      </w:r>
    </w:p>
    <w:p>
      <w:pPr>
        <w:spacing w:line="460" w:lineRule="exact"/>
        <w:ind w:firstLine="480" w:firstLineChars="200"/>
        <w:jc w:val="right"/>
        <w:rPr>
          <w:rFonts w:eastAsia="方正仿宋_GBK"/>
          <w:color w:val="000000"/>
          <w:sz w:val="24"/>
        </w:rPr>
      </w:pPr>
      <w:r>
        <w:rPr>
          <w:rFonts w:eastAsia="方正仿宋_GBK"/>
          <w:color w:val="000000"/>
          <w:sz w:val="24"/>
        </w:rPr>
        <w:t xml:space="preserve">                              </w:t>
      </w:r>
      <w:r>
        <w:rPr>
          <w:rFonts w:hint="eastAsia" w:eastAsia="方正仿宋_GBK"/>
          <w:color w:val="000000"/>
          <w:sz w:val="24"/>
        </w:rPr>
        <w:t>二</w:t>
      </w:r>
      <w:r>
        <w:rPr>
          <w:rFonts w:hint="eastAsia" w:ascii="Times New Roman" w:hAnsi="Times New Roman"/>
          <w:color w:val="000000"/>
          <w:sz w:val="24"/>
        </w:rPr>
        <w:t>○○</w:t>
      </w:r>
      <w:r>
        <w:rPr>
          <w:rFonts w:hint="eastAsia" w:eastAsia="方正仿宋_GBK"/>
          <w:color w:val="000000"/>
          <w:sz w:val="24"/>
        </w:rPr>
        <w:t>二年六月二十六日</w:t>
      </w:r>
    </w:p>
    <w:p>
      <w:pPr>
        <w:spacing w:line="460" w:lineRule="exact"/>
        <w:rPr>
          <w:rFonts w:eastAsia="黑体"/>
          <w:color w:val="000000"/>
          <w:sz w:val="28"/>
          <w:szCs w:val="28"/>
        </w:rPr>
      </w:pPr>
      <w:r>
        <w:rPr>
          <w:rFonts w:eastAsia="方正仿宋_GBK"/>
          <w:color w:val="000000"/>
          <w:sz w:val="24"/>
        </w:rPr>
        <w:br w:type="column"/>
      </w:r>
      <w:r>
        <w:rPr>
          <w:rFonts w:hint="eastAsia" w:eastAsia="黑体"/>
          <w:color w:val="000000"/>
          <w:sz w:val="28"/>
          <w:szCs w:val="28"/>
        </w:rPr>
        <w:t>附件</w:t>
      </w:r>
    </w:p>
    <w:p>
      <w:pPr>
        <w:spacing w:line="460" w:lineRule="exact"/>
        <w:ind w:firstLine="480" w:firstLineChars="200"/>
        <w:rPr>
          <w:rFonts w:eastAsia="方正仿宋_GBK"/>
          <w:color w:val="000000"/>
          <w:sz w:val="24"/>
        </w:rPr>
      </w:pPr>
    </w:p>
    <w:p>
      <w:pPr>
        <w:spacing w:line="460" w:lineRule="exact"/>
        <w:jc w:val="center"/>
        <w:rPr>
          <w:rFonts w:eastAsia="方正小标宋简体"/>
          <w:color w:val="000000"/>
          <w:sz w:val="36"/>
          <w:szCs w:val="36"/>
        </w:rPr>
      </w:pPr>
      <w:r>
        <w:rPr>
          <w:rFonts w:hint="eastAsia" w:eastAsia="方正小标宋简体"/>
          <w:color w:val="000000"/>
          <w:sz w:val="36"/>
          <w:szCs w:val="36"/>
        </w:rPr>
        <w:t>江苏省建设科技项目管理实施细则</w:t>
      </w:r>
    </w:p>
    <w:p>
      <w:pPr>
        <w:spacing w:line="460" w:lineRule="exact"/>
        <w:ind w:firstLine="480" w:firstLineChars="200"/>
        <w:jc w:val="center"/>
        <w:rPr>
          <w:rFonts w:eastAsia="方正仿宋_GBK"/>
          <w:color w:val="000000"/>
          <w:sz w:val="24"/>
        </w:rPr>
      </w:pPr>
    </w:p>
    <w:p>
      <w:pPr>
        <w:spacing w:line="460" w:lineRule="exact"/>
        <w:jc w:val="center"/>
        <w:rPr>
          <w:rFonts w:eastAsia="黑体"/>
          <w:color w:val="000000"/>
          <w:sz w:val="24"/>
        </w:rPr>
      </w:pPr>
      <w:r>
        <w:rPr>
          <w:rFonts w:hint="eastAsia" w:eastAsia="黑体"/>
          <w:color w:val="000000"/>
          <w:sz w:val="24"/>
        </w:rPr>
        <w:t>第一章</w:t>
      </w:r>
      <w:r>
        <w:rPr>
          <w:rFonts w:eastAsia="黑体"/>
          <w:color w:val="000000"/>
          <w:sz w:val="24"/>
        </w:rPr>
        <w:t xml:space="preserve">  </w:t>
      </w:r>
      <w:r>
        <w:rPr>
          <w:rFonts w:hint="eastAsia" w:eastAsia="黑体"/>
          <w:color w:val="000000"/>
          <w:sz w:val="24"/>
        </w:rPr>
        <w:t>总</w:t>
      </w:r>
      <w:r>
        <w:rPr>
          <w:rFonts w:eastAsia="黑体"/>
          <w:color w:val="000000"/>
          <w:sz w:val="24"/>
        </w:rPr>
        <w:t xml:space="preserve"> </w:t>
      </w:r>
      <w:r>
        <w:rPr>
          <w:rFonts w:hint="eastAsia" w:eastAsia="黑体"/>
          <w:color w:val="000000"/>
          <w:sz w:val="24"/>
        </w:rPr>
        <w:t>则</w:t>
      </w:r>
    </w:p>
    <w:p>
      <w:pPr>
        <w:spacing w:line="460" w:lineRule="exact"/>
        <w:ind w:firstLine="480" w:firstLineChars="200"/>
        <w:rPr>
          <w:rFonts w:eastAsia="方正仿宋_GBK"/>
          <w:color w:val="000000"/>
          <w:sz w:val="24"/>
        </w:rPr>
      </w:pPr>
    </w:p>
    <w:p>
      <w:pPr>
        <w:spacing w:line="460" w:lineRule="exact"/>
        <w:ind w:firstLine="480" w:firstLineChars="200"/>
        <w:rPr>
          <w:rFonts w:eastAsia="方正仿宋_GBK"/>
          <w:color w:val="000000"/>
          <w:sz w:val="24"/>
        </w:rPr>
      </w:pPr>
      <w:r>
        <w:rPr>
          <w:rFonts w:hint="eastAsia" w:eastAsia="黑体"/>
          <w:color w:val="000000"/>
          <w:sz w:val="24"/>
        </w:rPr>
        <w:t>第一条</w:t>
      </w:r>
      <w:r>
        <w:rPr>
          <w:rFonts w:eastAsia="方正仿宋_GBK"/>
          <w:color w:val="000000"/>
          <w:sz w:val="24"/>
        </w:rPr>
        <w:t xml:space="preserve"> </w:t>
      </w:r>
      <w:r>
        <w:rPr>
          <w:rFonts w:hint="eastAsia" w:eastAsia="方正仿宋_GBK"/>
          <w:color w:val="000000"/>
          <w:sz w:val="24"/>
        </w:rPr>
        <w:t>为加强我省建设科技计划项目管理，促进技术创新，加快科技成果转化，根据《住房和城乡建设部科学技术计划项目管理办法》、《建设部科技成果评估工作管理暂行办法》以及国家和省其他有关规定，结合我省实际，制定本细则。</w:t>
      </w:r>
    </w:p>
    <w:p>
      <w:pPr>
        <w:spacing w:line="460" w:lineRule="exact"/>
        <w:ind w:firstLine="480" w:firstLineChars="200"/>
        <w:rPr>
          <w:rFonts w:eastAsia="方正仿宋_GBK"/>
          <w:color w:val="000000"/>
          <w:sz w:val="24"/>
        </w:rPr>
      </w:pPr>
      <w:r>
        <w:rPr>
          <w:rFonts w:hint="eastAsia" w:eastAsia="黑体"/>
          <w:color w:val="000000"/>
          <w:sz w:val="24"/>
        </w:rPr>
        <w:t>第二条</w:t>
      </w:r>
      <w:r>
        <w:rPr>
          <w:rFonts w:eastAsia="方正仿宋_GBK"/>
          <w:color w:val="000000"/>
          <w:sz w:val="24"/>
        </w:rPr>
        <w:t xml:space="preserve"> </w:t>
      </w:r>
      <w:r>
        <w:rPr>
          <w:rFonts w:hint="eastAsia" w:eastAsia="方正仿宋_GBK"/>
          <w:color w:val="000000"/>
          <w:sz w:val="24"/>
        </w:rPr>
        <w:t>本细则适用于省建设科技计划项目的管理。</w:t>
      </w:r>
    </w:p>
    <w:p>
      <w:pPr>
        <w:spacing w:line="460" w:lineRule="exact"/>
        <w:ind w:firstLine="480" w:firstLineChars="200"/>
        <w:rPr>
          <w:rFonts w:eastAsia="方正仿宋_GBK"/>
          <w:color w:val="000000"/>
          <w:sz w:val="24"/>
        </w:rPr>
      </w:pPr>
      <w:r>
        <w:rPr>
          <w:rFonts w:hint="eastAsia" w:eastAsia="黑体"/>
          <w:color w:val="000000"/>
          <w:sz w:val="24"/>
        </w:rPr>
        <w:t>第三条</w:t>
      </w:r>
      <w:r>
        <w:rPr>
          <w:rFonts w:eastAsia="方正仿宋_GBK"/>
          <w:color w:val="000000"/>
          <w:sz w:val="24"/>
        </w:rPr>
        <w:t xml:space="preserve"> </w:t>
      </w:r>
      <w:r>
        <w:rPr>
          <w:rFonts w:hint="eastAsia" w:eastAsia="方正仿宋_GBK"/>
          <w:color w:val="000000"/>
          <w:sz w:val="24"/>
        </w:rPr>
        <w:t>省建设科技计划项目由省建设行政主管部门归口管理。各设区的市建设局</w:t>
      </w:r>
      <w:r>
        <w:rPr>
          <w:rFonts w:eastAsia="方正仿宋_GBK"/>
          <w:color w:val="000000"/>
          <w:sz w:val="24"/>
        </w:rPr>
        <w:t>(</w:t>
      </w:r>
      <w:r>
        <w:rPr>
          <w:rFonts w:hint="eastAsia" w:eastAsia="方正仿宋_GBK"/>
          <w:color w:val="000000"/>
          <w:sz w:val="24"/>
        </w:rPr>
        <w:t>建委</w:t>
      </w:r>
      <w:r>
        <w:rPr>
          <w:rFonts w:eastAsia="方正仿宋_GBK"/>
          <w:color w:val="000000"/>
          <w:sz w:val="24"/>
        </w:rPr>
        <w:t>)</w:t>
      </w:r>
      <w:r>
        <w:rPr>
          <w:rFonts w:hint="eastAsia" w:eastAsia="方正仿宋_GBK"/>
          <w:color w:val="000000"/>
          <w:sz w:val="24"/>
        </w:rPr>
        <w:t>负责省建设科技计划项目的征集、申报项目初审与推荐、项目实施监督与检查以及项目成果鉴定和项目验收的初审工作，当受省建设行政主管部门委托时主持科技成果鉴定和项目验收。</w:t>
      </w:r>
    </w:p>
    <w:p>
      <w:pPr>
        <w:spacing w:line="460" w:lineRule="exact"/>
        <w:ind w:firstLine="480" w:firstLineChars="200"/>
        <w:rPr>
          <w:rFonts w:eastAsia="方正仿宋_GBK"/>
          <w:color w:val="000000"/>
          <w:sz w:val="24"/>
        </w:rPr>
      </w:pPr>
    </w:p>
    <w:p>
      <w:pPr>
        <w:spacing w:line="460" w:lineRule="exact"/>
        <w:jc w:val="center"/>
        <w:rPr>
          <w:rFonts w:eastAsia="黑体"/>
          <w:color w:val="000000"/>
          <w:sz w:val="24"/>
        </w:rPr>
      </w:pPr>
      <w:r>
        <w:rPr>
          <w:rFonts w:hint="eastAsia" w:eastAsia="黑体"/>
          <w:color w:val="000000"/>
          <w:sz w:val="24"/>
        </w:rPr>
        <w:t>第二章</w:t>
      </w:r>
      <w:r>
        <w:rPr>
          <w:rFonts w:eastAsia="黑体"/>
          <w:color w:val="000000"/>
          <w:sz w:val="24"/>
        </w:rPr>
        <w:t xml:space="preserve">  </w:t>
      </w:r>
      <w:r>
        <w:rPr>
          <w:rFonts w:hint="eastAsia" w:eastAsia="黑体"/>
          <w:color w:val="000000"/>
          <w:sz w:val="24"/>
        </w:rPr>
        <w:t>计划项目选题</w:t>
      </w:r>
    </w:p>
    <w:p>
      <w:pPr>
        <w:spacing w:line="460" w:lineRule="exact"/>
        <w:ind w:firstLine="480" w:firstLineChars="200"/>
        <w:rPr>
          <w:rFonts w:eastAsia="方正仿宋_GBK"/>
          <w:color w:val="000000"/>
          <w:sz w:val="24"/>
        </w:rPr>
      </w:pPr>
    </w:p>
    <w:p>
      <w:pPr>
        <w:spacing w:line="460" w:lineRule="exact"/>
        <w:ind w:firstLine="480" w:firstLineChars="200"/>
        <w:rPr>
          <w:rFonts w:eastAsia="方正仿宋_GBK"/>
          <w:color w:val="000000"/>
          <w:sz w:val="24"/>
        </w:rPr>
      </w:pPr>
      <w:r>
        <w:rPr>
          <w:rFonts w:hint="eastAsia" w:eastAsia="黑体"/>
          <w:color w:val="000000"/>
          <w:sz w:val="24"/>
        </w:rPr>
        <w:t>第四条</w:t>
      </w:r>
      <w:r>
        <w:rPr>
          <w:rFonts w:eastAsia="方正仿宋_GBK"/>
          <w:color w:val="000000"/>
          <w:sz w:val="24"/>
        </w:rPr>
        <w:t xml:space="preserve"> </w:t>
      </w:r>
      <w:r>
        <w:rPr>
          <w:rFonts w:hint="eastAsia" w:eastAsia="方正仿宋_GBK"/>
          <w:color w:val="000000"/>
          <w:sz w:val="24"/>
        </w:rPr>
        <w:t>省建设行政主管部门每年编制省建设科技项目年度计划。计划分指令性和指导性两类。指令性计划项目经费由省财政专项拨款和承担单位自筹经费组成。指导性计划项目经费由承担单位自筹。</w:t>
      </w:r>
    </w:p>
    <w:p>
      <w:pPr>
        <w:spacing w:line="460" w:lineRule="exact"/>
        <w:ind w:firstLine="480" w:firstLineChars="200"/>
        <w:rPr>
          <w:rFonts w:eastAsia="方正仿宋_GBK"/>
          <w:color w:val="000000"/>
          <w:sz w:val="24"/>
        </w:rPr>
      </w:pPr>
      <w:r>
        <w:rPr>
          <w:rFonts w:hint="eastAsia" w:eastAsia="黑体"/>
          <w:color w:val="000000"/>
          <w:sz w:val="24"/>
        </w:rPr>
        <w:t>第五条</w:t>
      </w:r>
      <w:r>
        <w:rPr>
          <w:rFonts w:eastAsia="方正仿宋_GBK"/>
          <w:color w:val="000000"/>
          <w:sz w:val="24"/>
        </w:rPr>
        <w:t xml:space="preserve"> </w:t>
      </w:r>
      <w:r>
        <w:rPr>
          <w:rFonts w:hint="eastAsia" w:eastAsia="方正仿宋_GBK"/>
          <w:color w:val="000000"/>
          <w:sz w:val="24"/>
        </w:rPr>
        <w:t>省建设行政主管部门按年度编制并发布</w:t>
      </w:r>
      <w:r>
        <w:rPr>
          <w:rFonts w:eastAsia="方正仿宋_GBK"/>
          <w:color w:val="000000"/>
          <w:sz w:val="24"/>
        </w:rPr>
        <w:t>“</w:t>
      </w:r>
      <w:r>
        <w:rPr>
          <w:rFonts w:hint="eastAsia" w:eastAsia="方正仿宋_GBK"/>
          <w:color w:val="000000"/>
          <w:sz w:val="24"/>
        </w:rPr>
        <w:t>省建设科技计划项目指南</w:t>
      </w:r>
      <w:r>
        <w:rPr>
          <w:rFonts w:eastAsia="方正仿宋_GBK"/>
          <w:color w:val="000000"/>
          <w:sz w:val="24"/>
        </w:rPr>
        <w:t>”(</w:t>
      </w:r>
      <w:r>
        <w:rPr>
          <w:rFonts w:hint="eastAsia" w:eastAsia="方正仿宋_GBK"/>
          <w:color w:val="000000"/>
          <w:sz w:val="24"/>
        </w:rPr>
        <w:t>以下简称</w:t>
      </w:r>
      <w:r>
        <w:rPr>
          <w:rFonts w:eastAsia="方正仿宋_GBK"/>
          <w:color w:val="000000"/>
          <w:sz w:val="24"/>
        </w:rPr>
        <w:t>“</w:t>
      </w:r>
      <w:r>
        <w:rPr>
          <w:rFonts w:hint="eastAsia" w:eastAsia="方正仿宋_GBK"/>
          <w:color w:val="000000"/>
          <w:sz w:val="24"/>
        </w:rPr>
        <w:t>项目指南</w:t>
      </w:r>
      <w:r>
        <w:rPr>
          <w:rFonts w:eastAsia="方正仿宋_GBK"/>
          <w:color w:val="000000"/>
          <w:sz w:val="24"/>
        </w:rPr>
        <w:t>”)</w:t>
      </w:r>
      <w:r>
        <w:rPr>
          <w:rFonts w:hint="eastAsia" w:eastAsia="方正仿宋_GBK"/>
          <w:color w:val="000000"/>
          <w:sz w:val="24"/>
        </w:rPr>
        <w:t>，指导项目申请。</w:t>
      </w:r>
    </w:p>
    <w:p>
      <w:pPr>
        <w:spacing w:line="460" w:lineRule="exact"/>
        <w:ind w:firstLine="480" w:firstLineChars="200"/>
        <w:rPr>
          <w:rFonts w:eastAsia="方正仿宋_GBK"/>
          <w:color w:val="000000"/>
          <w:sz w:val="24"/>
        </w:rPr>
      </w:pPr>
      <w:r>
        <w:rPr>
          <w:rFonts w:hint="eastAsia" w:eastAsia="黑体"/>
          <w:color w:val="000000"/>
          <w:sz w:val="24"/>
        </w:rPr>
        <w:t>第六条</w:t>
      </w:r>
      <w:r>
        <w:rPr>
          <w:rFonts w:eastAsia="方正仿宋_GBK"/>
          <w:color w:val="000000"/>
          <w:sz w:val="24"/>
        </w:rPr>
        <w:t xml:space="preserve"> </w:t>
      </w:r>
      <w:r>
        <w:rPr>
          <w:rFonts w:hint="eastAsia" w:eastAsia="方正仿宋_GBK"/>
          <w:color w:val="000000"/>
          <w:sz w:val="24"/>
        </w:rPr>
        <w:t>科技计划项目包括科研攻关、技术开发、重点产品开发、重点推广技术、科技示范项目</w:t>
      </w:r>
      <w:r>
        <w:rPr>
          <w:rFonts w:eastAsia="方正仿宋_GBK"/>
          <w:color w:val="000000"/>
          <w:sz w:val="24"/>
        </w:rPr>
        <w:t>(</w:t>
      </w:r>
      <w:r>
        <w:rPr>
          <w:rFonts w:hint="eastAsia" w:eastAsia="方正仿宋_GBK"/>
          <w:color w:val="000000"/>
          <w:sz w:val="24"/>
        </w:rPr>
        <w:t>或者科技试点项目</w:t>
      </w:r>
      <w:r>
        <w:rPr>
          <w:rFonts w:eastAsia="方正仿宋_GBK"/>
          <w:color w:val="000000"/>
          <w:sz w:val="24"/>
        </w:rPr>
        <w:t>)</w:t>
      </w:r>
      <w:r>
        <w:rPr>
          <w:rFonts w:hint="eastAsia" w:eastAsia="方正仿宋_GBK"/>
          <w:color w:val="000000"/>
          <w:sz w:val="24"/>
        </w:rPr>
        <w:t>、产业化基地、软科学研究及有关专项项目，其选题范围：</w:t>
      </w:r>
    </w:p>
    <w:p>
      <w:pPr>
        <w:spacing w:line="460" w:lineRule="exact"/>
        <w:ind w:firstLine="480" w:firstLineChars="200"/>
        <w:rPr>
          <w:rFonts w:eastAsia="方正仿宋_GBK"/>
          <w:color w:val="000000"/>
          <w:sz w:val="24"/>
        </w:rPr>
      </w:pPr>
      <w:r>
        <w:rPr>
          <w:rFonts w:eastAsia="方正仿宋_GBK"/>
          <w:color w:val="000000"/>
          <w:sz w:val="24"/>
        </w:rPr>
        <w:t>(</w:t>
      </w:r>
      <w:r>
        <w:rPr>
          <w:rFonts w:hint="eastAsia" w:eastAsia="方正仿宋_GBK"/>
          <w:color w:val="000000"/>
          <w:sz w:val="24"/>
        </w:rPr>
        <w:t>一</w:t>
      </w:r>
      <w:r>
        <w:rPr>
          <w:rFonts w:eastAsia="方正仿宋_GBK"/>
          <w:color w:val="000000"/>
          <w:sz w:val="24"/>
        </w:rPr>
        <w:t>)</w:t>
      </w:r>
      <w:r>
        <w:rPr>
          <w:rFonts w:hint="eastAsia" w:eastAsia="方正仿宋_GBK"/>
          <w:color w:val="000000"/>
          <w:sz w:val="24"/>
        </w:rPr>
        <w:t>对推动行业技术进步和行业发展有重大作用、有利于促进产业结构调整、改造传统产业、具有创新价值的新技术、新工艺、新设备、新产品研究开发项目</w:t>
      </w:r>
      <w:r>
        <w:rPr>
          <w:rFonts w:eastAsia="方正仿宋_GBK"/>
          <w:color w:val="000000"/>
          <w:sz w:val="24"/>
        </w:rPr>
        <w:t>;</w:t>
      </w:r>
    </w:p>
    <w:p>
      <w:pPr>
        <w:spacing w:line="460" w:lineRule="exact"/>
        <w:ind w:firstLine="480" w:firstLineChars="200"/>
        <w:rPr>
          <w:rFonts w:eastAsia="方正仿宋_GBK"/>
          <w:color w:val="000000"/>
          <w:spacing w:val="-6"/>
          <w:sz w:val="24"/>
        </w:rPr>
      </w:pPr>
      <w:r>
        <w:rPr>
          <w:rFonts w:eastAsia="方正仿宋_GBK"/>
          <w:color w:val="000000"/>
          <w:sz w:val="24"/>
        </w:rPr>
        <w:t>(</w:t>
      </w:r>
      <w:r>
        <w:rPr>
          <w:rFonts w:hint="eastAsia" w:eastAsia="方正仿宋_GBK"/>
          <w:color w:val="000000"/>
          <w:sz w:val="24"/>
        </w:rPr>
        <w:t>二</w:t>
      </w:r>
      <w:r>
        <w:rPr>
          <w:rFonts w:eastAsia="方正仿宋_GBK"/>
          <w:color w:val="000000"/>
          <w:sz w:val="24"/>
        </w:rPr>
        <w:t>)</w:t>
      </w:r>
      <w:r>
        <w:rPr>
          <w:rFonts w:hint="eastAsia" w:eastAsia="方正仿宋_GBK"/>
          <w:color w:val="000000"/>
          <w:spacing w:val="-6"/>
          <w:sz w:val="24"/>
        </w:rPr>
        <w:t>具有较好社会环境效益的综合研究开发项目及新技术、新产品整合研究项目</w:t>
      </w:r>
      <w:r>
        <w:rPr>
          <w:rFonts w:eastAsia="方正仿宋_GBK"/>
          <w:color w:val="000000"/>
          <w:spacing w:val="-6"/>
          <w:sz w:val="24"/>
        </w:rPr>
        <w:t>;</w:t>
      </w:r>
    </w:p>
    <w:p>
      <w:pPr>
        <w:spacing w:line="460" w:lineRule="exact"/>
        <w:ind w:firstLine="480" w:firstLineChars="200"/>
        <w:rPr>
          <w:rFonts w:eastAsia="方正仿宋_GBK"/>
          <w:color w:val="000000"/>
          <w:sz w:val="24"/>
        </w:rPr>
      </w:pPr>
      <w:r>
        <w:rPr>
          <w:rFonts w:eastAsia="方正仿宋_GBK"/>
          <w:color w:val="000000"/>
          <w:sz w:val="24"/>
        </w:rPr>
        <w:t>(</w:t>
      </w:r>
      <w:r>
        <w:rPr>
          <w:rFonts w:hint="eastAsia" w:eastAsia="方正仿宋_GBK"/>
          <w:color w:val="000000"/>
          <w:sz w:val="24"/>
        </w:rPr>
        <w:t>三</w:t>
      </w:r>
      <w:r>
        <w:rPr>
          <w:rFonts w:eastAsia="方正仿宋_GBK"/>
          <w:color w:val="000000"/>
          <w:sz w:val="24"/>
        </w:rPr>
        <w:t>)</w:t>
      </w:r>
      <w:r>
        <w:rPr>
          <w:rFonts w:hint="eastAsia" w:eastAsia="方正仿宋_GBK"/>
          <w:color w:val="000000"/>
          <w:sz w:val="24"/>
        </w:rPr>
        <w:t>能指导行业发展的经济政策、技术政策及法规研究等软科学研究项目</w:t>
      </w:r>
      <w:r>
        <w:rPr>
          <w:rFonts w:eastAsia="方正仿宋_GBK"/>
          <w:color w:val="000000"/>
          <w:sz w:val="24"/>
        </w:rPr>
        <w:t>;</w:t>
      </w:r>
    </w:p>
    <w:p>
      <w:pPr>
        <w:spacing w:line="460" w:lineRule="exact"/>
        <w:ind w:firstLine="480" w:firstLineChars="200"/>
        <w:rPr>
          <w:rFonts w:eastAsia="方正仿宋_GBK"/>
          <w:color w:val="000000"/>
          <w:sz w:val="24"/>
        </w:rPr>
      </w:pPr>
      <w:r>
        <w:rPr>
          <w:rFonts w:eastAsia="方正仿宋_GBK"/>
          <w:color w:val="000000"/>
          <w:sz w:val="24"/>
        </w:rPr>
        <w:t>(</w:t>
      </w:r>
      <w:r>
        <w:rPr>
          <w:rFonts w:hint="eastAsia" w:eastAsia="方正仿宋_GBK"/>
          <w:color w:val="000000"/>
          <w:sz w:val="24"/>
        </w:rPr>
        <w:t>四</w:t>
      </w:r>
      <w:r>
        <w:rPr>
          <w:rFonts w:eastAsia="方正仿宋_GBK"/>
          <w:color w:val="000000"/>
          <w:sz w:val="24"/>
        </w:rPr>
        <w:t>)</w:t>
      </w:r>
      <w:r>
        <w:rPr>
          <w:rFonts w:hint="eastAsia" w:eastAsia="方正仿宋_GBK"/>
          <w:color w:val="000000"/>
          <w:sz w:val="24"/>
        </w:rPr>
        <w:t>具有显著社会、经济效益的科技成果推广转化项目和试点示范项目。</w:t>
      </w:r>
    </w:p>
    <w:p>
      <w:pPr>
        <w:spacing w:line="460" w:lineRule="exact"/>
        <w:ind w:firstLine="480" w:firstLineChars="200"/>
        <w:rPr>
          <w:rFonts w:eastAsia="方正仿宋_GBK"/>
          <w:color w:val="000000"/>
          <w:sz w:val="24"/>
        </w:rPr>
      </w:pPr>
    </w:p>
    <w:p>
      <w:pPr>
        <w:spacing w:line="460" w:lineRule="exact"/>
        <w:jc w:val="center"/>
        <w:rPr>
          <w:rFonts w:eastAsia="黑体"/>
          <w:color w:val="000000"/>
          <w:sz w:val="24"/>
        </w:rPr>
      </w:pPr>
      <w:r>
        <w:rPr>
          <w:rFonts w:hint="eastAsia" w:eastAsia="黑体"/>
          <w:color w:val="000000"/>
          <w:sz w:val="24"/>
        </w:rPr>
        <w:t>第三章</w:t>
      </w:r>
      <w:r>
        <w:rPr>
          <w:rFonts w:eastAsia="黑体"/>
          <w:color w:val="000000"/>
          <w:sz w:val="24"/>
        </w:rPr>
        <w:t xml:space="preserve">  </w:t>
      </w:r>
      <w:r>
        <w:rPr>
          <w:rFonts w:hint="eastAsia" w:eastAsia="黑体"/>
          <w:color w:val="000000"/>
          <w:sz w:val="24"/>
        </w:rPr>
        <w:t>计划项目的申请与审批</w:t>
      </w:r>
    </w:p>
    <w:p>
      <w:pPr>
        <w:spacing w:line="460" w:lineRule="exact"/>
        <w:ind w:firstLine="480" w:firstLineChars="200"/>
        <w:rPr>
          <w:rFonts w:eastAsia="方正仿宋_GBK"/>
          <w:color w:val="000000"/>
          <w:sz w:val="24"/>
        </w:rPr>
      </w:pPr>
    </w:p>
    <w:p>
      <w:pPr>
        <w:spacing w:line="460" w:lineRule="exact"/>
        <w:ind w:firstLine="480" w:firstLineChars="200"/>
        <w:rPr>
          <w:rFonts w:eastAsia="方正仿宋_GBK"/>
          <w:color w:val="000000"/>
          <w:sz w:val="24"/>
        </w:rPr>
      </w:pPr>
      <w:r>
        <w:rPr>
          <w:rFonts w:hint="eastAsia" w:eastAsia="黑体"/>
          <w:color w:val="000000"/>
          <w:sz w:val="24"/>
        </w:rPr>
        <w:t>第七条</w:t>
      </w:r>
      <w:r>
        <w:rPr>
          <w:rFonts w:eastAsia="方正仿宋_GBK"/>
          <w:color w:val="000000"/>
          <w:sz w:val="24"/>
        </w:rPr>
        <w:t xml:space="preserve"> </w:t>
      </w:r>
      <w:r>
        <w:rPr>
          <w:rFonts w:hint="eastAsia" w:eastAsia="方正仿宋_GBK"/>
          <w:color w:val="000000"/>
          <w:sz w:val="24"/>
        </w:rPr>
        <w:t>计划项目申请原则上每年集中受理一次。</w:t>
      </w:r>
    </w:p>
    <w:p>
      <w:pPr>
        <w:spacing w:line="460" w:lineRule="exact"/>
        <w:ind w:firstLine="480" w:firstLineChars="200"/>
        <w:rPr>
          <w:rFonts w:eastAsia="方正仿宋_GBK"/>
          <w:color w:val="000000"/>
          <w:sz w:val="24"/>
        </w:rPr>
      </w:pPr>
      <w:r>
        <w:rPr>
          <w:rFonts w:hint="eastAsia" w:eastAsia="黑体"/>
          <w:color w:val="000000"/>
          <w:sz w:val="24"/>
        </w:rPr>
        <w:t>第八条</w:t>
      </w:r>
      <w:r>
        <w:rPr>
          <w:rFonts w:eastAsia="方正仿宋_GBK"/>
          <w:color w:val="000000"/>
          <w:sz w:val="24"/>
        </w:rPr>
        <w:t xml:space="preserve"> </w:t>
      </w:r>
      <w:r>
        <w:rPr>
          <w:rFonts w:hint="eastAsia" w:eastAsia="方正仿宋_GBK"/>
          <w:color w:val="000000"/>
          <w:sz w:val="24"/>
        </w:rPr>
        <w:t>申请立项基本条件：</w:t>
      </w:r>
    </w:p>
    <w:p>
      <w:pPr>
        <w:spacing w:line="460" w:lineRule="exact"/>
        <w:ind w:firstLine="480" w:firstLineChars="200"/>
        <w:rPr>
          <w:rFonts w:eastAsia="方正仿宋_GBK"/>
          <w:color w:val="000000"/>
          <w:sz w:val="24"/>
        </w:rPr>
      </w:pPr>
      <w:r>
        <w:rPr>
          <w:rFonts w:eastAsia="方正仿宋_GBK"/>
          <w:color w:val="000000"/>
          <w:sz w:val="24"/>
        </w:rPr>
        <w:t>(</w:t>
      </w:r>
      <w:r>
        <w:rPr>
          <w:rFonts w:hint="eastAsia" w:eastAsia="方正仿宋_GBK"/>
          <w:color w:val="000000"/>
          <w:sz w:val="24"/>
        </w:rPr>
        <w:t>一</w:t>
      </w:r>
      <w:r>
        <w:rPr>
          <w:rFonts w:eastAsia="方正仿宋_GBK"/>
          <w:color w:val="000000"/>
          <w:sz w:val="24"/>
        </w:rPr>
        <w:t>)</w:t>
      </w:r>
      <w:r>
        <w:rPr>
          <w:rFonts w:hint="eastAsia" w:eastAsia="方正仿宋_GBK"/>
          <w:color w:val="000000"/>
          <w:sz w:val="24"/>
        </w:rPr>
        <w:t>申请项目的研究内容应当符合</w:t>
      </w:r>
      <w:r>
        <w:rPr>
          <w:rFonts w:eastAsia="方正仿宋_GBK"/>
          <w:color w:val="000000"/>
          <w:sz w:val="24"/>
        </w:rPr>
        <w:t>“</w:t>
      </w:r>
      <w:r>
        <w:rPr>
          <w:rFonts w:hint="eastAsia" w:eastAsia="方正仿宋_GBK"/>
          <w:color w:val="000000"/>
          <w:sz w:val="24"/>
        </w:rPr>
        <w:t>项目指南</w:t>
      </w:r>
      <w:r>
        <w:rPr>
          <w:rFonts w:eastAsia="方正仿宋_GBK"/>
          <w:color w:val="000000"/>
          <w:sz w:val="24"/>
        </w:rPr>
        <w:t>”;</w:t>
      </w:r>
    </w:p>
    <w:p>
      <w:pPr>
        <w:spacing w:line="460" w:lineRule="exact"/>
        <w:ind w:firstLine="480" w:firstLineChars="200"/>
        <w:rPr>
          <w:rFonts w:eastAsia="方正仿宋_GBK"/>
          <w:color w:val="000000"/>
          <w:sz w:val="24"/>
        </w:rPr>
      </w:pPr>
      <w:r>
        <w:rPr>
          <w:rFonts w:eastAsia="方正仿宋_GBK"/>
          <w:color w:val="000000"/>
          <w:sz w:val="24"/>
        </w:rPr>
        <w:t>(</w:t>
      </w:r>
      <w:r>
        <w:rPr>
          <w:rFonts w:hint="eastAsia" w:eastAsia="方正仿宋_GBK"/>
          <w:color w:val="000000"/>
          <w:sz w:val="24"/>
        </w:rPr>
        <w:t>二</w:t>
      </w:r>
      <w:r>
        <w:rPr>
          <w:rFonts w:eastAsia="方正仿宋_GBK"/>
          <w:color w:val="000000"/>
          <w:sz w:val="24"/>
        </w:rPr>
        <w:t>)</w:t>
      </w:r>
      <w:r>
        <w:rPr>
          <w:rFonts w:hint="eastAsia" w:eastAsia="方正仿宋_GBK"/>
          <w:color w:val="000000"/>
          <w:sz w:val="24"/>
        </w:rPr>
        <w:t>项目第一负责人应当是项目的实际主持人，具备相关专业副高级</w:t>
      </w:r>
      <w:r>
        <w:rPr>
          <w:rFonts w:eastAsia="方正仿宋_GBK"/>
          <w:color w:val="000000"/>
          <w:sz w:val="24"/>
        </w:rPr>
        <w:t>(</w:t>
      </w:r>
      <w:r>
        <w:rPr>
          <w:rFonts w:hint="eastAsia" w:eastAsia="方正仿宋_GBK"/>
          <w:color w:val="000000"/>
          <w:sz w:val="24"/>
        </w:rPr>
        <w:t>或者博士学历</w:t>
      </w:r>
      <w:r>
        <w:rPr>
          <w:rFonts w:eastAsia="方正仿宋_GBK"/>
          <w:color w:val="000000"/>
          <w:sz w:val="24"/>
        </w:rPr>
        <w:t>)</w:t>
      </w:r>
      <w:r>
        <w:rPr>
          <w:rFonts w:hint="eastAsia" w:eastAsia="方正仿宋_GBK"/>
          <w:color w:val="000000"/>
          <w:sz w:val="24"/>
        </w:rPr>
        <w:t>以上技术专业职称的在职人员，具备完成项目所需的组织管理及协调能力</w:t>
      </w:r>
      <w:r>
        <w:rPr>
          <w:rFonts w:eastAsia="方正仿宋_GBK"/>
          <w:color w:val="000000"/>
          <w:sz w:val="24"/>
        </w:rPr>
        <w:t>;</w:t>
      </w:r>
      <w:r>
        <w:rPr>
          <w:rFonts w:hint="eastAsia" w:eastAsia="方正仿宋_GBK"/>
          <w:color w:val="000000"/>
          <w:sz w:val="24"/>
        </w:rPr>
        <w:t>中级专业技术职称的，必须有两名具备副高级以上专业技术职称的同行专家推荐</w:t>
      </w:r>
      <w:r>
        <w:rPr>
          <w:rFonts w:eastAsia="方正仿宋_GBK"/>
          <w:color w:val="000000"/>
          <w:sz w:val="24"/>
        </w:rPr>
        <w:t>;</w:t>
      </w:r>
    </w:p>
    <w:p>
      <w:pPr>
        <w:spacing w:line="460" w:lineRule="exact"/>
        <w:ind w:firstLine="480" w:firstLineChars="200"/>
        <w:rPr>
          <w:rFonts w:eastAsia="方正仿宋_GBK"/>
          <w:color w:val="000000"/>
          <w:sz w:val="24"/>
        </w:rPr>
      </w:pPr>
      <w:r>
        <w:rPr>
          <w:rFonts w:eastAsia="方正仿宋_GBK"/>
          <w:color w:val="000000"/>
          <w:sz w:val="24"/>
        </w:rPr>
        <w:t>(</w:t>
      </w:r>
      <w:r>
        <w:rPr>
          <w:rFonts w:hint="eastAsia" w:eastAsia="方正仿宋_GBK"/>
          <w:color w:val="000000"/>
          <w:sz w:val="24"/>
        </w:rPr>
        <w:t>三</w:t>
      </w:r>
      <w:r>
        <w:rPr>
          <w:rFonts w:eastAsia="方正仿宋_GBK"/>
          <w:color w:val="000000"/>
          <w:sz w:val="24"/>
        </w:rPr>
        <w:t>)</w:t>
      </w:r>
      <w:r>
        <w:rPr>
          <w:rFonts w:hint="eastAsia" w:eastAsia="方正仿宋_GBK"/>
          <w:color w:val="000000"/>
          <w:sz w:val="24"/>
        </w:rPr>
        <w:t>申请单位及其合作单位必须是独立法人资格的实体或者学术团体，具备完成研究任务的科研实力</w:t>
      </w:r>
      <w:r>
        <w:rPr>
          <w:rFonts w:eastAsia="方正仿宋_GBK"/>
          <w:color w:val="000000"/>
          <w:sz w:val="24"/>
        </w:rPr>
        <w:t>;</w:t>
      </w:r>
    </w:p>
    <w:p>
      <w:pPr>
        <w:spacing w:line="460" w:lineRule="exact"/>
        <w:ind w:firstLine="480" w:firstLineChars="200"/>
        <w:rPr>
          <w:rFonts w:eastAsia="方正仿宋_GBK"/>
          <w:color w:val="000000"/>
          <w:sz w:val="24"/>
        </w:rPr>
      </w:pPr>
      <w:r>
        <w:rPr>
          <w:rFonts w:eastAsia="方正仿宋_GBK"/>
          <w:color w:val="000000"/>
          <w:sz w:val="24"/>
        </w:rPr>
        <w:t>(</w:t>
      </w:r>
      <w:r>
        <w:rPr>
          <w:rFonts w:hint="eastAsia" w:eastAsia="方正仿宋_GBK"/>
          <w:color w:val="000000"/>
          <w:sz w:val="24"/>
        </w:rPr>
        <w:t>四</w:t>
      </w:r>
      <w:r>
        <w:rPr>
          <w:rFonts w:eastAsia="方正仿宋_GBK"/>
          <w:color w:val="000000"/>
          <w:sz w:val="24"/>
        </w:rPr>
        <w:t>)</w:t>
      </w:r>
      <w:r>
        <w:rPr>
          <w:rFonts w:hint="eastAsia" w:eastAsia="方正仿宋_GBK"/>
          <w:color w:val="000000"/>
          <w:sz w:val="24"/>
        </w:rPr>
        <w:t>第一负责人原则上每年只能申请一个指令性计划项目</w:t>
      </w:r>
      <w:r>
        <w:rPr>
          <w:rFonts w:eastAsia="方正仿宋_GBK"/>
          <w:color w:val="000000"/>
          <w:sz w:val="24"/>
        </w:rPr>
        <w:t>;</w:t>
      </w:r>
    </w:p>
    <w:p>
      <w:pPr>
        <w:spacing w:line="460" w:lineRule="exact"/>
        <w:ind w:firstLine="480" w:firstLineChars="200"/>
        <w:rPr>
          <w:rFonts w:eastAsia="方正仿宋_GBK"/>
          <w:color w:val="000000"/>
          <w:sz w:val="24"/>
        </w:rPr>
      </w:pPr>
      <w:r>
        <w:rPr>
          <w:rFonts w:eastAsia="方正仿宋_GBK"/>
          <w:color w:val="000000"/>
          <w:sz w:val="24"/>
        </w:rPr>
        <w:t>(</w:t>
      </w:r>
      <w:r>
        <w:rPr>
          <w:rFonts w:hint="eastAsia" w:eastAsia="方正仿宋_GBK"/>
          <w:color w:val="000000"/>
          <w:sz w:val="24"/>
        </w:rPr>
        <w:t>五</w:t>
      </w:r>
      <w:r>
        <w:rPr>
          <w:rFonts w:eastAsia="方正仿宋_GBK"/>
          <w:color w:val="000000"/>
          <w:sz w:val="24"/>
        </w:rPr>
        <w:t>)</w:t>
      </w:r>
      <w:r>
        <w:rPr>
          <w:rFonts w:hint="eastAsia" w:eastAsia="方正仿宋_GBK"/>
          <w:color w:val="000000"/>
          <w:sz w:val="24"/>
        </w:rPr>
        <w:t>申请项目不得是国家、省、地区等各部门已经批准立项的项目或者类似项目</w:t>
      </w:r>
      <w:r>
        <w:rPr>
          <w:rFonts w:eastAsia="方正仿宋_GBK"/>
          <w:color w:val="000000"/>
          <w:sz w:val="24"/>
        </w:rPr>
        <w:t>;</w:t>
      </w:r>
    </w:p>
    <w:p>
      <w:pPr>
        <w:spacing w:line="460" w:lineRule="exact"/>
        <w:ind w:firstLine="480" w:firstLineChars="200"/>
        <w:rPr>
          <w:rFonts w:eastAsia="方正仿宋_GBK"/>
          <w:color w:val="000000"/>
          <w:sz w:val="24"/>
        </w:rPr>
      </w:pPr>
      <w:r>
        <w:rPr>
          <w:rFonts w:eastAsia="方正仿宋_GBK"/>
          <w:color w:val="000000"/>
          <w:sz w:val="24"/>
        </w:rPr>
        <w:t>(</w:t>
      </w:r>
      <w:r>
        <w:rPr>
          <w:rFonts w:hint="eastAsia" w:eastAsia="方正仿宋_GBK"/>
          <w:color w:val="000000"/>
          <w:sz w:val="24"/>
        </w:rPr>
        <w:t>六</w:t>
      </w:r>
      <w:r>
        <w:rPr>
          <w:rFonts w:eastAsia="方正仿宋_GBK"/>
          <w:color w:val="000000"/>
          <w:sz w:val="24"/>
        </w:rPr>
        <w:t>)</w:t>
      </w:r>
      <w:r>
        <w:rPr>
          <w:rFonts w:hint="eastAsia" w:eastAsia="方正仿宋_GBK"/>
          <w:color w:val="000000"/>
          <w:sz w:val="24"/>
        </w:rPr>
        <w:t>计划项目研究期限一般为</w:t>
      </w:r>
      <w:r>
        <w:rPr>
          <w:rFonts w:eastAsia="方正仿宋_GBK"/>
          <w:color w:val="000000"/>
          <w:sz w:val="24"/>
        </w:rPr>
        <w:t>1~2</w:t>
      </w:r>
      <w:r>
        <w:rPr>
          <w:rFonts w:hint="eastAsia" w:eastAsia="方正仿宋_GBK"/>
          <w:color w:val="000000"/>
          <w:sz w:val="24"/>
        </w:rPr>
        <w:t>年，原则上不超过</w:t>
      </w:r>
      <w:r>
        <w:rPr>
          <w:rFonts w:eastAsia="方正仿宋_GBK"/>
          <w:color w:val="000000"/>
          <w:sz w:val="24"/>
        </w:rPr>
        <w:t>2</w:t>
      </w:r>
      <w:r>
        <w:rPr>
          <w:rFonts w:hint="eastAsia" w:eastAsia="方正仿宋_GBK"/>
          <w:color w:val="000000"/>
          <w:sz w:val="24"/>
        </w:rPr>
        <w:t>年</w:t>
      </w:r>
      <w:r>
        <w:rPr>
          <w:rFonts w:eastAsia="方正仿宋_GBK"/>
          <w:color w:val="000000"/>
          <w:sz w:val="24"/>
        </w:rPr>
        <w:t>;</w:t>
      </w:r>
    </w:p>
    <w:p>
      <w:pPr>
        <w:spacing w:line="460" w:lineRule="exact"/>
        <w:ind w:firstLine="480" w:firstLineChars="200"/>
        <w:rPr>
          <w:rFonts w:eastAsia="方正仿宋_GBK"/>
          <w:color w:val="000000"/>
          <w:sz w:val="24"/>
        </w:rPr>
      </w:pPr>
      <w:r>
        <w:rPr>
          <w:rFonts w:eastAsia="方正仿宋_GBK"/>
          <w:color w:val="000000"/>
          <w:sz w:val="24"/>
        </w:rPr>
        <w:t>(</w:t>
      </w:r>
      <w:r>
        <w:rPr>
          <w:rFonts w:hint="eastAsia" w:eastAsia="方正仿宋_GBK"/>
          <w:color w:val="000000"/>
          <w:sz w:val="24"/>
        </w:rPr>
        <w:t>七</w:t>
      </w:r>
      <w:r>
        <w:rPr>
          <w:rFonts w:eastAsia="方正仿宋_GBK"/>
          <w:color w:val="000000"/>
          <w:sz w:val="24"/>
        </w:rPr>
        <w:t>)</w:t>
      </w:r>
      <w:r>
        <w:rPr>
          <w:rFonts w:hint="eastAsia" w:eastAsia="方正仿宋_GBK"/>
          <w:color w:val="000000"/>
          <w:sz w:val="24"/>
        </w:rPr>
        <w:t>申请资料必须齐全且在规定的受理期间内报送。</w:t>
      </w:r>
    </w:p>
    <w:p>
      <w:pPr>
        <w:spacing w:line="460" w:lineRule="exact"/>
        <w:ind w:firstLine="480" w:firstLineChars="200"/>
        <w:rPr>
          <w:rFonts w:eastAsia="方正仿宋_GBK"/>
          <w:color w:val="000000"/>
          <w:sz w:val="24"/>
        </w:rPr>
      </w:pPr>
      <w:r>
        <w:rPr>
          <w:rFonts w:hint="eastAsia" w:eastAsia="黑体"/>
          <w:color w:val="000000"/>
          <w:sz w:val="24"/>
        </w:rPr>
        <w:t>第九条</w:t>
      </w:r>
      <w:r>
        <w:rPr>
          <w:rFonts w:eastAsia="方正仿宋_GBK"/>
          <w:color w:val="000000"/>
          <w:sz w:val="24"/>
        </w:rPr>
        <w:t xml:space="preserve"> </w:t>
      </w:r>
      <w:r>
        <w:rPr>
          <w:rFonts w:hint="eastAsia" w:eastAsia="方正仿宋_GBK"/>
          <w:color w:val="000000"/>
          <w:sz w:val="24"/>
        </w:rPr>
        <w:t>申请单位应当根据</w:t>
      </w:r>
      <w:r>
        <w:rPr>
          <w:rFonts w:eastAsia="方正仿宋_GBK"/>
          <w:color w:val="000000"/>
          <w:sz w:val="24"/>
        </w:rPr>
        <w:t>“</w:t>
      </w:r>
      <w:r>
        <w:rPr>
          <w:rFonts w:hint="eastAsia" w:eastAsia="方正仿宋_GBK"/>
          <w:color w:val="000000"/>
          <w:sz w:val="24"/>
        </w:rPr>
        <w:t>项目指南</w:t>
      </w:r>
      <w:r>
        <w:rPr>
          <w:rFonts w:eastAsia="方正仿宋_GBK"/>
          <w:color w:val="000000"/>
          <w:sz w:val="24"/>
        </w:rPr>
        <w:t>”</w:t>
      </w:r>
      <w:r>
        <w:rPr>
          <w:rFonts w:hint="eastAsia" w:eastAsia="方正仿宋_GBK"/>
          <w:color w:val="000000"/>
          <w:sz w:val="24"/>
        </w:rPr>
        <w:t>及申报通知要求，如实填报《科技项目计划设计任务书》</w:t>
      </w:r>
      <w:r>
        <w:rPr>
          <w:rFonts w:eastAsia="方正仿宋_GBK"/>
          <w:color w:val="000000"/>
          <w:sz w:val="24"/>
        </w:rPr>
        <w:t>(</w:t>
      </w:r>
      <w:r>
        <w:rPr>
          <w:rFonts w:hint="eastAsia" w:eastAsia="方正仿宋_GBK"/>
          <w:color w:val="000000"/>
          <w:sz w:val="24"/>
        </w:rPr>
        <w:t>以下简称</w:t>
      </w:r>
      <w:r>
        <w:rPr>
          <w:rFonts w:eastAsia="方正仿宋_GBK"/>
          <w:color w:val="000000"/>
          <w:sz w:val="24"/>
        </w:rPr>
        <w:t>“</w:t>
      </w:r>
      <w:r>
        <w:rPr>
          <w:rFonts w:hint="eastAsia" w:eastAsia="方正仿宋_GBK"/>
          <w:color w:val="000000"/>
          <w:sz w:val="24"/>
        </w:rPr>
        <w:t>计划任务书</w:t>
      </w:r>
      <w:r>
        <w:rPr>
          <w:rFonts w:eastAsia="方正仿宋_GBK"/>
          <w:color w:val="000000"/>
          <w:sz w:val="24"/>
        </w:rPr>
        <w:t>”)</w:t>
      </w:r>
      <w:r>
        <w:rPr>
          <w:rFonts w:hint="eastAsia" w:eastAsia="方正仿宋_GBK"/>
          <w:color w:val="000000"/>
          <w:sz w:val="24"/>
        </w:rPr>
        <w:t>，由第一申请单位所在地设区的市有关主管局审查后送设区的市建设局</w:t>
      </w:r>
      <w:r>
        <w:rPr>
          <w:rFonts w:eastAsia="方正仿宋_GBK"/>
          <w:color w:val="000000"/>
          <w:sz w:val="24"/>
        </w:rPr>
        <w:t>(</w:t>
      </w:r>
      <w:r>
        <w:rPr>
          <w:rFonts w:hint="eastAsia" w:eastAsia="方正仿宋_GBK"/>
          <w:color w:val="000000"/>
          <w:sz w:val="24"/>
        </w:rPr>
        <w:t>建委</w:t>
      </w:r>
      <w:r>
        <w:rPr>
          <w:rFonts w:eastAsia="方正仿宋_GBK"/>
          <w:color w:val="000000"/>
          <w:sz w:val="24"/>
        </w:rPr>
        <w:t>)</w:t>
      </w:r>
      <w:r>
        <w:rPr>
          <w:rFonts w:hint="eastAsia" w:eastAsia="方正仿宋_GBK"/>
          <w:color w:val="000000"/>
          <w:sz w:val="24"/>
        </w:rPr>
        <w:t>汇总初审，集中申报。</w:t>
      </w:r>
    </w:p>
    <w:p>
      <w:pPr>
        <w:spacing w:line="460" w:lineRule="exact"/>
        <w:ind w:firstLine="480" w:firstLineChars="200"/>
        <w:rPr>
          <w:rFonts w:eastAsia="方正仿宋_GBK"/>
          <w:color w:val="000000"/>
          <w:sz w:val="24"/>
        </w:rPr>
      </w:pPr>
      <w:r>
        <w:rPr>
          <w:rFonts w:hint="eastAsia" w:eastAsia="方正仿宋_GBK"/>
          <w:color w:val="000000"/>
          <w:sz w:val="24"/>
        </w:rPr>
        <w:t>部属或者省属单位可以直接向省建设行政主管部门申报。</w:t>
      </w:r>
    </w:p>
    <w:p>
      <w:pPr>
        <w:spacing w:line="460" w:lineRule="exact"/>
        <w:ind w:firstLine="480" w:firstLineChars="200"/>
        <w:rPr>
          <w:rFonts w:eastAsia="方正仿宋_GBK"/>
          <w:color w:val="000000"/>
          <w:spacing w:val="-6"/>
          <w:sz w:val="24"/>
        </w:rPr>
      </w:pPr>
      <w:r>
        <w:rPr>
          <w:rFonts w:hint="eastAsia" w:eastAsia="黑体"/>
          <w:color w:val="000000"/>
          <w:sz w:val="24"/>
        </w:rPr>
        <w:t>第十条</w:t>
      </w:r>
      <w:r>
        <w:rPr>
          <w:rFonts w:eastAsia="方正仿宋_GBK"/>
          <w:color w:val="000000"/>
          <w:sz w:val="24"/>
        </w:rPr>
        <w:t xml:space="preserve"> </w:t>
      </w:r>
      <w:r>
        <w:rPr>
          <w:rFonts w:hint="eastAsia" w:eastAsia="方正仿宋_GBK"/>
          <w:color w:val="000000"/>
          <w:spacing w:val="-6"/>
          <w:sz w:val="24"/>
        </w:rPr>
        <w:t>申请项目受理后，由省建设行政主管部门组织技术和管理专家进行评审，提出计划项目建议方案，会省财政主管部门，审定下达年度项目计划及经费计划。</w:t>
      </w:r>
    </w:p>
    <w:p>
      <w:pPr>
        <w:spacing w:line="460" w:lineRule="exact"/>
        <w:ind w:firstLine="480" w:firstLineChars="200"/>
        <w:rPr>
          <w:rFonts w:eastAsia="方正仿宋_GBK"/>
          <w:color w:val="000000"/>
          <w:sz w:val="24"/>
        </w:rPr>
      </w:pPr>
      <w:r>
        <w:rPr>
          <w:rFonts w:hint="eastAsia" w:eastAsia="黑体"/>
          <w:color w:val="000000"/>
          <w:sz w:val="24"/>
        </w:rPr>
        <w:t>第十一条</w:t>
      </w:r>
      <w:r>
        <w:rPr>
          <w:rFonts w:eastAsia="方正仿宋_GBK"/>
          <w:color w:val="000000"/>
          <w:sz w:val="24"/>
        </w:rPr>
        <w:t xml:space="preserve"> </w:t>
      </w:r>
      <w:r>
        <w:rPr>
          <w:rFonts w:hint="eastAsia" w:eastAsia="方正仿宋_GBK"/>
          <w:color w:val="000000"/>
          <w:sz w:val="24"/>
        </w:rPr>
        <w:t>重大科技研究项目推行项目招投标，投标项目应当提供科技查新报告、项目研究可行性报告。</w:t>
      </w:r>
    </w:p>
    <w:p>
      <w:pPr>
        <w:spacing w:line="460" w:lineRule="exact"/>
        <w:ind w:firstLine="480" w:firstLineChars="200"/>
        <w:rPr>
          <w:rFonts w:eastAsia="方正仿宋_GBK"/>
          <w:color w:val="000000"/>
          <w:sz w:val="24"/>
        </w:rPr>
      </w:pPr>
    </w:p>
    <w:p>
      <w:pPr>
        <w:spacing w:line="460" w:lineRule="exact"/>
        <w:jc w:val="center"/>
        <w:rPr>
          <w:rFonts w:eastAsia="黑体"/>
          <w:color w:val="000000"/>
          <w:sz w:val="24"/>
        </w:rPr>
      </w:pPr>
      <w:r>
        <w:rPr>
          <w:rFonts w:hint="eastAsia" w:eastAsia="黑体"/>
          <w:color w:val="000000"/>
          <w:sz w:val="24"/>
        </w:rPr>
        <w:t>第四章</w:t>
      </w:r>
      <w:r>
        <w:rPr>
          <w:rFonts w:eastAsia="黑体"/>
          <w:color w:val="000000"/>
          <w:sz w:val="24"/>
        </w:rPr>
        <w:t xml:space="preserve">  </w:t>
      </w:r>
      <w:r>
        <w:rPr>
          <w:rFonts w:hint="eastAsia" w:eastAsia="黑体"/>
          <w:color w:val="000000"/>
          <w:sz w:val="24"/>
        </w:rPr>
        <w:t>计划项目的实施与管理</w:t>
      </w:r>
    </w:p>
    <w:p>
      <w:pPr>
        <w:spacing w:line="460" w:lineRule="exact"/>
        <w:ind w:firstLine="480" w:firstLineChars="200"/>
        <w:rPr>
          <w:rFonts w:eastAsia="方正仿宋_GBK"/>
          <w:color w:val="000000"/>
          <w:sz w:val="24"/>
        </w:rPr>
      </w:pPr>
    </w:p>
    <w:p>
      <w:pPr>
        <w:spacing w:line="460" w:lineRule="exact"/>
        <w:ind w:firstLine="480" w:firstLineChars="200"/>
        <w:rPr>
          <w:rFonts w:eastAsia="方正仿宋_GBK"/>
          <w:color w:val="000000"/>
          <w:sz w:val="24"/>
        </w:rPr>
      </w:pPr>
      <w:r>
        <w:rPr>
          <w:rFonts w:hint="eastAsia" w:eastAsia="黑体"/>
          <w:color w:val="000000"/>
          <w:sz w:val="24"/>
        </w:rPr>
        <w:t>第十二条</w:t>
      </w:r>
      <w:r>
        <w:rPr>
          <w:rFonts w:eastAsia="方正仿宋_GBK"/>
          <w:color w:val="000000"/>
          <w:sz w:val="24"/>
        </w:rPr>
        <w:t xml:space="preserve"> </w:t>
      </w:r>
      <w:r>
        <w:rPr>
          <w:rFonts w:hint="eastAsia" w:eastAsia="方正仿宋_GBK"/>
          <w:color w:val="000000"/>
          <w:sz w:val="24"/>
        </w:rPr>
        <w:t>省建设科技项目计划下达后，项目承担单位及项目监督单位应当在规定的时间期限内与省建设行政主管部门签定《科技项目合同》</w:t>
      </w:r>
      <w:r>
        <w:rPr>
          <w:rFonts w:eastAsia="方正仿宋_GBK"/>
          <w:color w:val="000000"/>
          <w:sz w:val="24"/>
        </w:rPr>
        <w:t>(</w:t>
      </w:r>
      <w:r>
        <w:rPr>
          <w:rFonts w:hint="eastAsia" w:eastAsia="方正仿宋_GBK"/>
          <w:color w:val="000000"/>
          <w:sz w:val="24"/>
        </w:rPr>
        <w:t>以下简称</w:t>
      </w:r>
      <w:r>
        <w:rPr>
          <w:rFonts w:eastAsia="方正仿宋_GBK"/>
          <w:color w:val="000000"/>
          <w:sz w:val="24"/>
        </w:rPr>
        <w:t>“</w:t>
      </w:r>
      <w:r>
        <w:rPr>
          <w:rFonts w:hint="eastAsia" w:eastAsia="方正仿宋_GBK"/>
          <w:color w:val="000000"/>
          <w:sz w:val="24"/>
        </w:rPr>
        <w:t>合同</w:t>
      </w:r>
      <w:r>
        <w:rPr>
          <w:rFonts w:eastAsia="方正仿宋_GBK"/>
          <w:color w:val="000000"/>
          <w:sz w:val="24"/>
        </w:rPr>
        <w:t>”)</w:t>
      </w:r>
      <w:r>
        <w:rPr>
          <w:rFonts w:hint="eastAsia" w:eastAsia="方正仿宋_GBK"/>
          <w:color w:val="000000"/>
          <w:sz w:val="24"/>
        </w:rPr>
        <w:t>，明确研究开发任务和考核内容。无正当理由而逾期未签定合同的视为自动放弃。</w:t>
      </w:r>
    </w:p>
    <w:p>
      <w:pPr>
        <w:spacing w:line="460" w:lineRule="exact"/>
        <w:ind w:firstLine="480" w:firstLineChars="200"/>
        <w:rPr>
          <w:rFonts w:eastAsia="方正仿宋_GBK"/>
          <w:color w:val="000000"/>
          <w:sz w:val="24"/>
        </w:rPr>
      </w:pPr>
      <w:r>
        <w:rPr>
          <w:rFonts w:hint="eastAsia" w:eastAsia="黑体"/>
          <w:color w:val="000000"/>
          <w:sz w:val="24"/>
        </w:rPr>
        <w:t>第十三条</w:t>
      </w:r>
      <w:r>
        <w:rPr>
          <w:rFonts w:eastAsia="方正仿宋_GBK"/>
          <w:color w:val="000000"/>
          <w:sz w:val="24"/>
        </w:rPr>
        <w:t xml:space="preserve"> </w:t>
      </w:r>
      <w:r>
        <w:rPr>
          <w:rFonts w:hint="eastAsia" w:eastAsia="方正仿宋_GBK"/>
          <w:color w:val="000000"/>
          <w:sz w:val="24"/>
        </w:rPr>
        <w:t>项目监督单位为项目第一承担单位所在地设区的市建设局</w:t>
      </w:r>
      <w:r>
        <w:rPr>
          <w:rFonts w:eastAsia="方正仿宋_GBK"/>
          <w:color w:val="000000"/>
          <w:sz w:val="24"/>
        </w:rPr>
        <w:t>(</w:t>
      </w:r>
      <w:r>
        <w:rPr>
          <w:rFonts w:hint="eastAsia" w:eastAsia="方正仿宋_GBK"/>
          <w:color w:val="000000"/>
          <w:sz w:val="24"/>
        </w:rPr>
        <w:t>建委</w:t>
      </w:r>
      <w:r>
        <w:rPr>
          <w:rFonts w:eastAsia="方正仿宋_GBK"/>
          <w:color w:val="000000"/>
          <w:sz w:val="24"/>
        </w:rPr>
        <w:t>)</w:t>
      </w:r>
      <w:r>
        <w:rPr>
          <w:rFonts w:hint="eastAsia" w:eastAsia="方正仿宋_GBK"/>
          <w:color w:val="000000"/>
          <w:sz w:val="24"/>
        </w:rPr>
        <w:t>，高等院校的项目为院校科技管理部门。在项目执行过程中其职责是：</w:t>
      </w:r>
    </w:p>
    <w:p>
      <w:pPr>
        <w:spacing w:line="460" w:lineRule="exact"/>
        <w:ind w:firstLine="480" w:firstLineChars="200"/>
        <w:rPr>
          <w:rFonts w:eastAsia="方正仿宋_GBK"/>
          <w:color w:val="000000"/>
          <w:sz w:val="24"/>
        </w:rPr>
      </w:pPr>
      <w:r>
        <w:rPr>
          <w:rFonts w:eastAsia="方正仿宋_GBK"/>
          <w:color w:val="000000"/>
          <w:sz w:val="24"/>
        </w:rPr>
        <w:t>(</w:t>
      </w:r>
      <w:r>
        <w:rPr>
          <w:rFonts w:hint="eastAsia" w:eastAsia="方正仿宋_GBK"/>
          <w:color w:val="000000"/>
          <w:sz w:val="24"/>
        </w:rPr>
        <w:t>一</w:t>
      </w:r>
      <w:r>
        <w:rPr>
          <w:rFonts w:eastAsia="方正仿宋_GBK"/>
          <w:color w:val="000000"/>
          <w:sz w:val="24"/>
        </w:rPr>
        <w:t>)</w:t>
      </w:r>
      <w:r>
        <w:rPr>
          <w:rFonts w:hint="eastAsia" w:eastAsia="方正仿宋_GBK"/>
          <w:color w:val="000000"/>
          <w:sz w:val="24"/>
        </w:rPr>
        <w:t>督促项目开题，审查实施方案并协调组织实施</w:t>
      </w:r>
      <w:r>
        <w:rPr>
          <w:rFonts w:eastAsia="方正仿宋_GBK"/>
          <w:color w:val="000000"/>
          <w:sz w:val="24"/>
        </w:rPr>
        <w:t>;</w:t>
      </w:r>
    </w:p>
    <w:p>
      <w:pPr>
        <w:spacing w:line="460" w:lineRule="exact"/>
        <w:ind w:firstLine="480" w:firstLineChars="200"/>
        <w:rPr>
          <w:rFonts w:eastAsia="方正仿宋_GBK"/>
          <w:color w:val="000000"/>
          <w:sz w:val="24"/>
        </w:rPr>
      </w:pPr>
      <w:r>
        <w:rPr>
          <w:rFonts w:eastAsia="方正仿宋_GBK"/>
          <w:color w:val="000000"/>
          <w:sz w:val="24"/>
        </w:rPr>
        <w:t>(</w:t>
      </w:r>
      <w:r>
        <w:rPr>
          <w:rFonts w:hint="eastAsia" w:eastAsia="方正仿宋_GBK"/>
          <w:color w:val="000000"/>
          <w:sz w:val="24"/>
        </w:rPr>
        <w:t>二</w:t>
      </w:r>
      <w:r>
        <w:rPr>
          <w:rFonts w:eastAsia="方正仿宋_GBK"/>
          <w:color w:val="000000"/>
          <w:sz w:val="24"/>
        </w:rPr>
        <w:t>)</w:t>
      </w:r>
      <w:r>
        <w:rPr>
          <w:rFonts w:hint="eastAsia" w:eastAsia="方正仿宋_GBK"/>
          <w:color w:val="000000"/>
          <w:sz w:val="24"/>
        </w:rPr>
        <w:t>协同省建设行政主管部门检查项目执行情况，协调解决执行中的有关问题</w:t>
      </w:r>
      <w:r>
        <w:rPr>
          <w:rFonts w:eastAsia="方正仿宋_GBK"/>
          <w:color w:val="000000"/>
          <w:sz w:val="24"/>
        </w:rPr>
        <w:t>;</w:t>
      </w:r>
    </w:p>
    <w:p>
      <w:pPr>
        <w:spacing w:line="460" w:lineRule="exact"/>
        <w:ind w:firstLine="480" w:firstLineChars="200"/>
        <w:rPr>
          <w:rFonts w:eastAsia="方正仿宋_GBK"/>
          <w:color w:val="000000"/>
          <w:sz w:val="24"/>
        </w:rPr>
      </w:pPr>
      <w:r>
        <w:rPr>
          <w:rFonts w:eastAsia="方正仿宋_GBK"/>
          <w:color w:val="000000"/>
          <w:sz w:val="24"/>
        </w:rPr>
        <w:t>(</w:t>
      </w:r>
      <w:r>
        <w:rPr>
          <w:rFonts w:hint="eastAsia" w:eastAsia="方正仿宋_GBK"/>
          <w:color w:val="000000"/>
          <w:sz w:val="24"/>
        </w:rPr>
        <w:t>三</w:t>
      </w:r>
      <w:r>
        <w:rPr>
          <w:rFonts w:eastAsia="方正仿宋_GBK"/>
          <w:color w:val="000000"/>
          <w:sz w:val="24"/>
        </w:rPr>
        <w:t>)</w:t>
      </w:r>
      <w:r>
        <w:rPr>
          <w:rFonts w:hint="eastAsia" w:eastAsia="方正仿宋_GBK"/>
          <w:color w:val="000000"/>
          <w:sz w:val="24"/>
        </w:rPr>
        <w:t>协助审查项目年度预算，负责监督资助经费使用</w:t>
      </w:r>
      <w:r>
        <w:rPr>
          <w:rFonts w:eastAsia="方正仿宋_GBK"/>
          <w:color w:val="000000"/>
          <w:sz w:val="24"/>
        </w:rPr>
        <w:t>;</w:t>
      </w:r>
    </w:p>
    <w:p>
      <w:pPr>
        <w:spacing w:line="460" w:lineRule="exact"/>
        <w:ind w:firstLine="480" w:firstLineChars="200"/>
        <w:rPr>
          <w:rFonts w:eastAsia="方正仿宋_GBK"/>
          <w:color w:val="000000"/>
          <w:sz w:val="24"/>
        </w:rPr>
      </w:pPr>
      <w:r>
        <w:rPr>
          <w:rFonts w:eastAsia="方正仿宋_GBK"/>
          <w:color w:val="000000"/>
          <w:sz w:val="24"/>
        </w:rPr>
        <w:t>(</w:t>
      </w:r>
      <w:r>
        <w:rPr>
          <w:rFonts w:hint="eastAsia" w:eastAsia="方正仿宋_GBK"/>
          <w:color w:val="000000"/>
          <w:sz w:val="24"/>
        </w:rPr>
        <w:t>四</w:t>
      </w:r>
      <w:r>
        <w:rPr>
          <w:rFonts w:eastAsia="方正仿宋_GBK"/>
          <w:color w:val="000000"/>
          <w:sz w:val="24"/>
        </w:rPr>
        <w:t>)</w:t>
      </w:r>
      <w:r>
        <w:rPr>
          <w:rFonts w:hint="eastAsia" w:eastAsia="方正仿宋_GBK"/>
          <w:color w:val="000000"/>
          <w:sz w:val="24"/>
        </w:rPr>
        <w:t>初步审查项目成果的技术研究报告、工作总结报告和经费决算报告。</w:t>
      </w:r>
    </w:p>
    <w:p>
      <w:pPr>
        <w:spacing w:line="460" w:lineRule="exact"/>
        <w:ind w:firstLine="480" w:firstLineChars="200"/>
        <w:rPr>
          <w:rFonts w:eastAsia="方正仿宋_GBK"/>
          <w:color w:val="000000"/>
          <w:sz w:val="24"/>
        </w:rPr>
      </w:pPr>
      <w:r>
        <w:rPr>
          <w:rFonts w:hint="eastAsia" w:eastAsia="黑体"/>
          <w:color w:val="000000"/>
          <w:sz w:val="24"/>
        </w:rPr>
        <w:t>第十四条</w:t>
      </w:r>
      <w:r>
        <w:rPr>
          <w:rFonts w:eastAsia="方正仿宋_GBK"/>
          <w:color w:val="000000"/>
          <w:sz w:val="24"/>
        </w:rPr>
        <w:t xml:space="preserve"> </w:t>
      </w:r>
      <w:r>
        <w:rPr>
          <w:rFonts w:hint="eastAsia" w:eastAsia="方正仿宋_GBK"/>
          <w:color w:val="000000"/>
          <w:sz w:val="24"/>
        </w:rPr>
        <w:t>计划项目承担单位的职责：</w:t>
      </w:r>
    </w:p>
    <w:p>
      <w:pPr>
        <w:spacing w:line="460" w:lineRule="exact"/>
        <w:ind w:firstLine="480" w:firstLineChars="200"/>
        <w:rPr>
          <w:rFonts w:eastAsia="方正仿宋_GBK"/>
          <w:color w:val="000000"/>
          <w:sz w:val="24"/>
        </w:rPr>
      </w:pPr>
      <w:r>
        <w:rPr>
          <w:rFonts w:eastAsia="方正仿宋_GBK"/>
          <w:color w:val="000000"/>
          <w:sz w:val="24"/>
        </w:rPr>
        <w:t>(</w:t>
      </w:r>
      <w:r>
        <w:rPr>
          <w:rFonts w:hint="eastAsia" w:eastAsia="方正仿宋_GBK"/>
          <w:color w:val="000000"/>
          <w:sz w:val="24"/>
        </w:rPr>
        <w:t>一</w:t>
      </w:r>
      <w:r>
        <w:rPr>
          <w:rFonts w:eastAsia="方正仿宋_GBK"/>
          <w:color w:val="000000"/>
          <w:sz w:val="24"/>
        </w:rPr>
        <w:t>)</w:t>
      </w:r>
      <w:r>
        <w:rPr>
          <w:rFonts w:hint="eastAsia" w:eastAsia="方正仿宋_GBK"/>
          <w:color w:val="000000"/>
          <w:sz w:val="24"/>
        </w:rPr>
        <w:t>严格执行合同和计划任务书的规定，组织项目实施，建立项目管理档案，按规定的内容和进度完成目标任务</w:t>
      </w:r>
      <w:r>
        <w:rPr>
          <w:rFonts w:eastAsia="方正仿宋_GBK"/>
          <w:color w:val="000000"/>
          <w:sz w:val="24"/>
        </w:rPr>
        <w:t>;</w:t>
      </w:r>
    </w:p>
    <w:p>
      <w:pPr>
        <w:spacing w:line="460" w:lineRule="exact"/>
        <w:ind w:firstLine="480" w:firstLineChars="200"/>
        <w:rPr>
          <w:rFonts w:eastAsia="方正仿宋_GBK"/>
          <w:color w:val="000000"/>
          <w:sz w:val="24"/>
        </w:rPr>
      </w:pPr>
      <w:r>
        <w:rPr>
          <w:rFonts w:eastAsia="方正仿宋_GBK"/>
          <w:color w:val="000000"/>
          <w:sz w:val="24"/>
        </w:rPr>
        <w:t>(</w:t>
      </w:r>
      <w:r>
        <w:rPr>
          <w:rFonts w:hint="eastAsia" w:eastAsia="方正仿宋_GBK"/>
          <w:color w:val="000000"/>
          <w:sz w:val="24"/>
        </w:rPr>
        <w:t>二</w:t>
      </w:r>
      <w:r>
        <w:rPr>
          <w:rFonts w:eastAsia="方正仿宋_GBK"/>
          <w:color w:val="000000"/>
          <w:sz w:val="24"/>
        </w:rPr>
        <w:t>)</w:t>
      </w:r>
      <w:r>
        <w:rPr>
          <w:rFonts w:hint="eastAsia" w:eastAsia="方正仿宋_GBK"/>
          <w:color w:val="000000"/>
          <w:sz w:val="24"/>
        </w:rPr>
        <w:t>资助经费单独立帐核算，专款专用，不得挪作它用</w:t>
      </w:r>
      <w:r>
        <w:rPr>
          <w:rFonts w:eastAsia="方正仿宋_GBK"/>
          <w:color w:val="000000"/>
          <w:sz w:val="24"/>
        </w:rPr>
        <w:t>;</w:t>
      </w:r>
    </w:p>
    <w:p>
      <w:pPr>
        <w:spacing w:line="460" w:lineRule="exact"/>
        <w:ind w:firstLine="480" w:firstLineChars="200"/>
        <w:rPr>
          <w:rFonts w:eastAsia="方正仿宋_GBK"/>
          <w:color w:val="000000"/>
          <w:sz w:val="24"/>
        </w:rPr>
      </w:pPr>
      <w:r>
        <w:rPr>
          <w:rFonts w:eastAsia="方正仿宋_GBK"/>
          <w:color w:val="000000"/>
          <w:sz w:val="24"/>
        </w:rPr>
        <w:t>(</w:t>
      </w:r>
      <w:r>
        <w:rPr>
          <w:rFonts w:hint="eastAsia" w:eastAsia="方正仿宋_GBK"/>
          <w:color w:val="000000"/>
          <w:sz w:val="24"/>
        </w:rPr>
        <w:t>三</w:t>
      </w:r>
      <w:r>
        <w:rPr>
          <w:rFonts w:eastAsia="方正仿宋_GBK"/>
          <w:color w:val="000000"/>
          <w:sz w:val="24"/>
        </w:rPr>
        <w:t>)</w:t>
      </w:r>
      <w:r>
        <w:rPr>
          <w:rFonts w:hint="eastAsia" w:eastAsia="方正仿宋_GBK"/>
          <w:color w:val="000000"/>
          <w:sz w:val="24"/>
        </w:rPr>
        <w:t>定期报告项目执行情况和经费年度决算</w:t>
      </w:r>
      <w:r>
        <w:rPr>
          <w:rFonts w:eastAsia="方正仿宋_GBK"/>
          <w:color w:val="000000"/>
          <w:sz w:val="24"/>
        </w:rPr>
        <w:t>;</w:t>
      </w:r>
    </w:p>
    <w:p>
      <w:pPr>
        <w:spacing w:line="460" w:lineRule="exact"/>
        <w:ind w:firstLine="480" w:firstLineChars="200"/>
        <w:rPr>
          <w:rFonts w:eastAsia="方正仿宋_GBK"/>
          <w:color w:val="000000"/>
          <w:sz w:val="24"/>
        </w:rPr>
      </w:pPr>
      <w:r>
        <w:rPr>
          <w:rFonts w:eastAsia="方正仿宋_GBK"/>
          <w:color w:val="000000"/>
          <w:sz w:val="24"/>
        </w:rPr>
        <w:t>(</w:t>
      </w:r>
      <w:r>
        <w:rPr>
          <w:rFonts w:hint="eastAsia" w:eastAsia="方正仿宋_GBK"/>
          <w:color w:val="000000"/>
          <w:sz w:val="24"/>
        </w:rPr>
        <w:t>四</w:t>
      </w:r>
      <w:r>
        <w:rPr>
          <w:rFonts w:eastAsia="方正仿宋_GBK"/>
          <w:color w:val="000000"/>
          <w:sz w:val="24"/>
        </w:rPr>
        <w:t>)</w:t>
      </w:r>
      <w:r>
        <w:rPr>
          <w:rFonts w:hint="eastAsia" w:eastAsia="方正仿宋_GBK"/>
          <w:color w:val="000000"/>
          <w:sz w:val="24"/>
        </w:rPr>
        <w:t>接受省建设行政主管部门和项目监督单位的检查和监督</w:t>
      </w:r>
      <w:r>
        <w:rPr>
          <w:rFonts w:eastAsia="方正仿宋_GBK"/>
          <w:color w:val="000000"/>
          <w:sz w:val="24"/>
        </w:rPr>
        <w:t>;</w:t>
      </w:r>
    </w:p>
    <w:p>
      <w:pPr>
        <w:spacing w:line="460" w:lineRule="exact"/>
        <w:ind w:firstLine="480" w:firstLineChars="200"/>
        <w:rPr>
          <w:rFonts w:eastAsia="方正仿宋_GBK"/>
          <w:color w:val="000000"/>
          <w:sz w:val="24"/>
        </w:rPr>
      </w:pPr>
      <w:r>
        <w:rPr>
          <w:rFonts w:eastAsia="方正仿宋_GBK"/>
          <w:color w:val="000000"/>
          <w:sz w:val="24"/>
        </w:rPr>
        <w:t>(</w:t>
      </w:r>
      <w:r>
        <w:rPr>
          <w:rFonts w:hint="eastAsia" w:eastAsia="方正仿宋_GBK"/>
          <w:color w:val="000000"/>
          <w:sz w:val="24"/>
        </w:rPr>
        <w:t>五</w:t>
      </w:r>
      <w:r>
        <w:rPr>
          <w:rFonts w:eastAsia="方正仿宋_GBK"/>
          <w:color w:val="000000"/>
          <w:sz w:val="24"/>
        </w:rPr>
        <w:t>)</w:t>
      </w:r>
      <w:r>
        <w:rPr>
          <w:rFonts w:hint="eastAsia" w:eastAsia="方正仿宋_GBK"/>
          <w:color w:val="000000"/>
          <w:sz w:val="24"/>
        </w:rPr>
        <w:t>项目完成后，作出全面的工作总结，提交技术研究报告和经费结算报告，申请项目结题。</w:t>
      </w:r>
    </w:p>
    <w:p>
      <w:pPr>
        <w:spacing w:line="460" w:lineRule="exact"/>
        <w:ind w:firstLine="480" w:firstLineChars="200"/>
        <w:rPr>
          <w:rFonts w:eastAsia="方正仿宋_GBK"/>
          <w:color w:val="000000"/>
          <w:sz w:val="24"/>
        </w:rPr>
      </w:pPr>
      <w:r>
        <w:rPr>
          <w:rFonts w:hint="eastAsia" w:eastAsia="黑体"/>
          <w:color w:val="000000"/>
          <w:sz w:val="24"/>
        </w:rPr>
        <w:t>第十五条</w:t>
      </w:r>
      <w:r>
        <w:rPr>
          <w:rFonts w:eastAsia="方正仿宋_GBK"/>
          <w:color w:val="000000"/>
          <w:sz w:val="24"/>
        </w:rPr>
        <w:t xml:space="preserve"> </w:t>
      </w:r>
      <w:r>
        <w:rPr>
          <w:rFonts w:hint="eastAsia" w:eastAsia="方正仿宋_GBK"/>
          <w:color w:val="000000"/>
          <w:sz w:val="24"/>
        </w:rPr>
        <w:t>计划项目实施过程中，如需对合同中所列的研究目标、内容、进度、经费等进行调整，应当向项目监督单位提出申请。经项目监督单位审查并报省建设行政主管部门同意后，按调整后的计划和目标予以实施。</w:t>
      </w:r>
    </w:p>
    <w:p>
      <w:pPr>
        <w:spacing w:line="460" w:lineRule="exact"/>
        <w:ind w:firstLine="480" w:firstLineChars="200"/>
        <w:rPr>
          <w:rFonts w:eastAsia="方正仿宋_GBK"/>
          <w:color w:val="000000"/>
          <w:sz w:val="24"/>
        </w:rPr>
      </w:pPr>
      <w:r>
        <w:rPr>
          <w:rFonts w:hint="eastAsia" w:eastAsia="黑体"/>
          <w:color w:val="000000"/>
          <w:sz w:val="24"/>
        </w:rPr>
        <w:t>第十六条</w:t>
      </w:r>
      <w:r>
        <w:rPr>
          <w:rFonts w:eastAsia="方正仿宋_GBK"/>
          <w:color w:val="000000"/>
          <w:sz w:val="24"/>
        </w:rPr>
        <w:t xml:space="preserve"> </w:t>
      </w:r>
      <w:r>
        <w:rPr>
          <w:rFonts w:hint="eastAsia" w:eastAsia="方正仿宋_GBK"/>
          <w:color w:val="000000"/>
          <w:sz w:val="24"/>
        </w:rPr>
        <w:t>计划项目实行年度目标管理制度。项目承担单位每年年底应当将项目执行及进展情况，报省建设行政主管部门。计划项目的年度执行情况与下年度承担单位新申请项目及经费挂钩。</w:t>
      </w:r>
    </w:p>
    <w:p>
      <w:pPr>
        <w:spacing w:line="460" w:lineRule="exact"/>
        <w:ind w:firstLine="480" w:firstLineChars="200"/>
        <w:rPr>
          <w:rFonts w:eastAsia="方正仿宋_GBK"/>
          <w:color w:val="000000"/>
          <w:sz w:val="24"/>
        </w:rPr>
      </w:pPr>
      <w:r>
        <w:rPr>
          <w:rFonts w:hint="eastAsia" w:eastAsia="黑体"/>
          <w:color w:val="000000"/>
          <w:sz w:val="24"/>
        </w:rPr>
        <w:t>第十七条</w:t>
      </w:r>
      <w:r>
        <w:rPr>
          <w:rFonts w:eastAsia="方正仿宋_GBK"/>
          <w:color w:val="000000"/>
          <w:sz w:val="24"/>
        </w:rPr>
        <w:t xml:space="preserve"> </w:t>
      </w:r>
      <w:r>
        <w:rPr>
          <w:rFonts w:hint="eastAsia" w:eastAsia="方正仿宋_GBK"/>
          <w:color w:val="000000"/>
          <w:sz w:val="24"/>
        </w:rPr>
        <w:t>省建设行政主管部门根据当年计划项目立项情况，选择重大项目组织开题并开展动态跟踪，组织有关部门、专家对实施进度、经费使用及日常管理进行中期检查。</w:t>
      </w:r>
    </w:p>
    <w:p>
      <w:pPr>
        <w:spacing w:line="460" w:lineRule="exact"/>
        <w:ind w:firstLine="480" w:firstLineChars="200"/>
        <w:rPr>
          <w:rFonts w:eastAsia="方正仿宋_GBK"/>
          <w:color w:val="000000"/>
          <w:sz w:val="24"/>
        </w:rPr>
      </w:pPr>
      <w:r>
        <w:rPr>
          <w:rFonts w:hint="eastAsia" w:eastAsia="黑体"/>
          <w:color w:val="000000"/>
          <w:sz w:val="24"/>
        </w:rPr>
        <w:t>第十八条</w:t>
      </w:r>
      <w:r>
        <w:rPr>
          <w:rFonts w:eastAsia="方正仿宋_GBK"/>
          <w:color w:val="000000"/>
          <w:sz w:val="24"/>
        </w:rPr>
        <w:t xml:space="preserve"> </w:t>
      </w:r>
      <w:r>
        <w:rPr>
          <w:rFonts w:hint="eastAsia" w:eastAsia="方正仿宋_GBK"/>
          <w:color w:val="000000"/>
          <w:sz w:val="24"/>
        </w:rPr>
        <w:t>计划项目在实施过程中，当发现下列情况之一的，省建设行政主管部门可以中止、撤消计划项目：</w:t>
      </w:r>
    </w:p>
    <w:p>
      <w:pPr>
        <w:spacing w:line="460" w:lineRule="exact"/>
        <w:ind w:firstLine="480" w:firstLineChars="200"/>
        <w:rPr>
          <w:rFonts w:eastAsia="方正仿宋_GBK"/>
          <w:color w:val="000000"/>
          <w:sz w:val="24"/>
        </w:rPr>
      </w:pPr>
      <w:r>
        <w:rPr>
          <w:rFonts w:eastAsia="方正仿宋_GBK"/>
          <w:color w:val="000000"/>
          <w:sz w:val="24"/>
        </w:rPr>
        <w:t>(</w:t>
      </w:r>
      <w:r>
        <w:rPr>
          <w:rFonts w:hint="eastAsia" w:eastAsia="方正仿宋_GBK"/>
          <w:color w:val="000000"/>
          <w:sz w:val="24"/>
        </w:rPr>
        <w:t>一</w:t>
      </w:r>
      <w:r>
        <w:rPr>
          <w:rFonts w:eastAsia="方正仿宋_GBK"/>
          <w:color w:val="000000"/>
          <w:sz w:val="24"/>
        </w:rPr>
        <w:t>)</w:t>
      </w:r>
      <w:r>
        <w:rPr>
          <w:rFonts w:hint="eastAsia" w:eastAsia="方正仿宋_GBK"/>
          <w:color w:val="000000"/>
          <w:sz w:val="24"/>
        </w:rPr>
        <w:t>经实践证明，所选技术路线不合理或者研究内容已无实用价值，或者国内已有相同或者更高水平同类科研成果的</w:t>
      </w:r>
      <w:r>
        <w:rPr>
          <w:rFonts w:eastAsia="方正仿宋_GBK"/>
          <w:color w:val="000000"/>
          <w:sz w:val="24"/>
        </w:rPr>
        <w:t>;</w:t>
      </w:r>
    </w:p>
    <w:p>
      <w:pPr>
        <w:spacing w:line="460" w:lineRule="exact"/>
        <w:ind w:firstLine="480" w:firstLineChars="200"/>
        <w:rPr>
          <w:rFonts w:eastAsia="方正仿宋_GBK"/>
          <w:color w:val="000000"/>
          <w:sz w:val="24"/>
        </w:rPr>
      </w:pPr>
      <w:r>
        <w:rPr>
          <w:rFonts w:eastAsia="方正仿宋_GBK"/>
          <w:color w:val="000000"/>
          <w:sz w:val="24"/>
        </w:rPr>
        <w:t>(</w:t>
      </w:r>
      <w:r>
        <w:rPr>
          <w:rFonts w:hint="eastAsia" w:eastAsia="方正仿宋_GBK"/>
          <w:color w:val="000000"/>
          <w:sz w:val="24"/>
        </w:rPr>
        <w:t>二</w:t>
      </w:r>
      <w:r>
        <w:rPr>
          <w:rFonts w:eastAsia="方正仿宋_GBK"/>
          <w:color w:val="000000"/>
          <w:sz w:val="24"/>
        </w:rPr>
        <w:t>)</w:t>
      </w:r>
      <w:r>
        <w:rPr>
          <w:rFonts w:hint="eastAsia" w:eastAsia="方正仿宋_GBK"/>
          <w:color w:val="000000"/>
          <w:sz w:val="24"/>
        </w:rPr>
        <w:t>项目知识产权不清晰，有严重知识产权纠纷或者侵权行为，经调解无效的</w:t>
      </w:r>
      <w:r>
        <w:rPr>
          <w:rFonts w:eastAsia="方正仿宋_GBK"/>
          <w:color w:val="000000"/>
          <w:sz w:val="24"/>
        </w:rPr>
        <w:t>;</w:t>
      </w:r>
    </w:p>
    <w:p>
      <w:pPr>
        <w:spacing w:line="460" w:lineRule="exact"/>
        <w:ind w:firstLine="480" w:firstLineChars="200"/>
        <w:rPr>
          <w:rFonts w:eastAsia="方正仿宋_GBK"/>
          <w:color w:val="000000"/>
          <w:sz w:val="24"/>
        </w:rPr>
      </w:pPr>
      <w:r>
        <w:rPr>
          <w:rFonts w:eastAsia="方正仿宋_GBK"/>
          <w:color w:val="000000"/>
          <w:sz w:val="24"/>
        </w:rPr>
        <w:t>(</w:t>
      </w:r>
      <w:r>
        <w:rPr>
          <w:rFonts w:hint="eastAsia" w:eastAsia="方正仿宋_GBK"/>
          <w:color w:val="000000"/>
          <w:sz w:val="24"/>
        </w:rPr>
        <w:t>三</w:t>
      </w:r>
      <w:r>
        <w:rPr>
          <w:rFonts w:eastAsia="方正仿宋_GBK"/>
          <w:color w:val="000000"/>
          <w:sz w:val="24"/>
        </w:rPr>
        <w:t>)</w:t>
      </w:r>
      <w:r>
        <w:rPr>
          <w:rFonts w:hint="eastAsia" w:eastAsia="方正仿宋_GBK"/>
          <w:color w:val="000000"/>
          <w:sz w:val="24"/>
        </w:rPr>
        <w:t>承担单位解体、组织管理松懈或者技术骨干配备发生重大变化，使项目无法进行的</w:t>
      </w:r>
      <w:r>
        <w:rPr>
          <w:rFonts w:eastAsia="方正仿宋_GBK"/>
          <w:color w:val="000000"/>
          <w:sz w:val="24"/>
        </w:rPr>
        <w:t>;</w:t>
      </w:r>
    </w:p>
    <w:p>
      <w:pPr>
        <w:spacing w:line="460" w:lineRule="exact"/>
        <w:ind w:firstLine="480" w:firstLineChars="200"/>
        <w:rPr>
          <w:rFonts w:eastAsia="方正仿宋_GBK"/>
          <w:color w:val="000000"/>
          <w:sz w:val="24"/>
        </w:rPr>
      </w:pPr>
      <w:r>
        <w:rPr>
          <w:rFonts w:eastAsia="方正仿宋_GBK"/>
          <w:color w:val="000000"/>
          <w:sz w:val="24"/>
        </w:rPr>
        <w:t>(</w:t>
      </w:r>
      <w:r>
        <w:rPr>
          <w:rFonts w:hint="eastAsia" w:eastAsia="方正仿宋_GBK"/>
          <w:color w:val="000000"/>
          <w:sz w:val="24"/>
        </w:rPr>
        <w:t>四</w:t>
      </w:r>
      <w:r>
        <w:rPr>
          <w:rFonts w:eastAsia="方正仿宋_GBK"/>
          <w:color w:val="000000"/>
          <w:sz w:val="24"/>
        </w:rPr>
        <w:t>)</w:t>
      </w:r>
      <w:r>
        <w:rPr>
          <w:rFonts w:hint="eastAsia" w:eastAsia="方正仿宋_GBK"/>
          <w:color w:val="000000"/>
          <w:sz w:val="24"/>
        </w:rPr>
        <w:t>项目经费</w:t>
      </w:r>
      <w:r>
        <w:rPr>
          <w:rFonts w:eastAsia="方正仿宋_GBK"/>
          <w:color w:val="000000"/>
          <w:sz w:val="24"/>
        </w:rPr>
        <w:t>(</w:t>
      </w:r>
      <w:r>
        <w:rPr>
          <w:rFonts w:hint="eastAsia" w:eastAsia="方正仿宋_GBK"/>
          <w:color w:val="000000"/>
          <w:sz w:val="24"/>
        </w:rPr>
        <w:t>拨款、贷款、自筹经费、外汇</w:t>
      </w:r>
      <w:r>
        <w:rPr>
          <w:rFonts w:eastAsia="方正仿宋_GBK"/>
          <w:color w:val="000000"/>
          <w:sz w:val="24"/>
        </w:rPr>
        <w:t>)</w:t>
      </w:r>
      <w:r>
        <w:rPr>
          <w:rFonts w:hint="eastAsia" w:eastAsia="方正仿宋_GBK"/>
          <w:color w:val="000000"/>
          <w:sz w:val="24"/>
        </w:rPr>
        <w:t>、设备材料等条件不能及时落实的，或者项目依托的基本建设、技术改造、技术引进或者协作合作关系发生变化而不落实的。</w:t>
      </w:r>
    </w:p>
    <w:p>
      <w:pPr>
        <w:spacing w:line="460" w:lineRule="exact"/>
        <w:ind w:firstLine="480" w:firstLineChars="200"/>
        <w:rPr>
          <w:rFonts w:eastAsia="方正仿宋_GBK"/>
          <w:color w:val="000000"/>
          <w:sz w:val="24"/>
        </w:rPr>
      </w:pPr>
      <w:r>
        <w:rPr>
          <w:rFonts w:hint="eastAsia" w:eastAsia="方正仿宋_GBK"/>
          <w:color w:val="000000"/>
          <w:sz w:val="24"/>
        </w:rPr>
        <w:t>中止、撤消的项目，其第一承担单位应当对经费使用和已开展的工作、购置的设备仪器、取得的成果等情况进行总结，并以书面形式报省建设行政主管部门。</w:t>
      </w:r>
    </w:p>
    <w:p>
      <w:pPr>
        <w:spacing w:line="460" w:lineRule="exact"/>
        <w:ind w:firstLine="480" w:firstLineChars="200"/>
        <w:rPr>
          <w:rFonts w:eastAsia="方正仿宋_GBK"/>
          <w:color w:val="000000"/>
          <w:sz w:val="24"/>
        </w:rPr>
      </w:pPr>
      <w:r>
        <w:rPr>
          <w:rFonts w:hint="eastAsia" w:eastAsia="黑体"/>
          <w:color w:val="000000"/>
          <w:sz w:val="24"/>
        </w:rPr>
        <w:t>第十九条</w:t>
      </w:r>
      <w:r>
        <w:rPr>
          <w:rFonts w:eastAsia="方正仿宋_GBK"/>
          <w:color w:val="000000"/>
          <w:sz w:val="24"/>
        </w:rPr>
        <w:t xml:space="preserve"> </w:t>
      </w:r>
      <w:r>
        <w:rPr>
          <w:rFonts w:hint="eastAsia" w:eastAsia="方正仿宋_GBK"/>
          <w:color w:val="000000"/>
          <w:sz w:val="24"/>
        </w:rPr>
        <w:t>计划项目下达后无故不完成的项目，或者被中止、撤消的项目，其承担单位应当如实作出经费决算，退还结余的资助经费的，并依法承担相应责任。</w:t>
      </w:r>
    </w:p>
    <w:p>
      <w:pPr>
        <w:spacing w:line="460" w:lineRule="exact"/>
        <w:ind w:firstLine="480" w:firstLineChars="200"/>
        <w:rPr>
          <w:rFonts w:eastAsia="方正仿宋_GBK"/>
          <w:color w:val="000000"/>
          <w:sz w:val="24"/>
        </w:rPr>
      </w:pPr>
      <w:r>
        <w:rPr>
          <w:rFonts w:hint="eastAsia" w:eastAsia="黑体"/>
          <w:color w:val="000000"/>
          <w:sz w:val="24"/>
        </w:rPr>
        <w:t>第二十条</w:t>
      </w:r>
      <w:r>
        <w:rPr>
          <w:rFonts w:eastAsia="方正仿宋_GBK"/>
          <w:color w:val="000000"/>
          <w:sz w:val="24"/>
        </w:rPr>
        <w:t xml:space="preserve"> </w:t>
      </w:r>
      <w:r>
        <w:rPr>
          <w:rFonts w:hint="eastAsia" w:eastAsia="方正仿宋_GBK"/>
          <w:color w:val="000000"/>
          <w:sz w:val="24"/>
        </w:rPr>
        <w:t>对延期一年以上而未按年度报告说明项目进展情况、无故不完成或者被强制中止撤消的项目，取消其第一承担单位五年内承担省建设科技计划项目的资格，并不予推荐其申请建设部和省科技计划项目。</w:t>
      </w:r>
    </w:p>
    <w:p>
      <w:pPr>
        <w:spacing w:line="460" w:lineRule="exact"/>
        <w:ind w:firstLine="480" w:firstLineChars="200"/>
        <w:rPr>
          <w:rFonts w:eastAsia="方正仿宋_GBK"/>
          <w:color w:val="000000"/>
          <w:sz w:val="24"/>
        </w:rPr>
      </w:pPr>
    </w:p>
    <w:p>
      <w:pPr>
        <w:spacing w:line="460" w:lineRule="exact"/>
        <w:jc w:val="center"/>
        <w:rPr>
          <w:rFonts w:eastAsia="黑体"/>
          <w:color w:val="000000"/>
          <w:sz w:val="24"/>
        </w:rPr>
      </w:pPr>
      <w:r>
        <w:rPr>
          <w:rFonts w:hint="eastAsia" w:eastAsia="黑体"/>
          <w:color w:val="000000"/>
          <w:sz w:val="24"/>
        </w:rPr>
        <w:t>第五章</w:t>
      </w:r>
      <w:r>
        <w:rPr>
          <w:rFonts w:eastAsia="黑体"/>
          <w:color w:val="000000"/>
          <w:sz w:val="24"/>
        </w:rPr>
        <w:t xml:space="preserve">  </w:t>
      </w:r>
      <w:r>
        <w:rPr>
          <w:rFonts w:hint="eastAsia" w:eastAsia="黑体"/>
          <w:color w:val="000000"/>
          <w:sz w:val="24"/>
        </w:rPr>
        <w:t>计划项目结题</w:t>
      </w:r>
    </w:p>
    <w:p>
      <w:pPr>
        <w:spacing w:line="460" w:lineRule="exact"/>
        <w:ind w:firstLine="480" w:firstLineChars="200"/>
        <w:rPr>
          <w:rFonts w:eastAsia="方正仿宋_GBK"/>
          <w:color w:val="000000"/>
          <w:sz w:val="24"/>
        </w:rPr>
      </w:pPr>
    </w:p>
    <w:p>
      <w:pPr>
        <w:spacing w:line="460" w:lineRule="exact"/>
        <w:ind w:firstLine="480" w:firstLineChars="200"/>
        <w:rPr>
          <w:rFonts w:eastAsia="方正仿宋_GBK"/>
          <w:color w:val="000000"/>
          <w:sz w:val="24"/>
        </w:rPr>
      </w:pPr>
      <w:r>
        <w:rPr>
          <w:rFonts w:hint="eastAsia" w:eastAsia="黑体"/>
          <w:color w:val="000000"/>
          <w:sz w:val="24"/>
        </w:rPr>
        <w:t>第二十一条</w:t>
      </w:r>
      <w:r>
        <w:rPr>
          <w:rFonts w:eastAsia="方正仿宋_GBK"/>
          <w:color w:val="000000"/>
          <w:sz w:val="24"/>
        </w:rPr>
        <w:t xml:space="preserve"> </w:t>
      </w:r>
      <w:r>
        <w:rPr>
          <w:rFonts w:hint="eastAsia" w:eastAsia="方正仿宋_GBK"/>
          <w:color w:val="000000"/>
          <w:sz w:val="24"/>
        </w:rPr>
        <w:t>计划项目完成合同和计划任务书规定的目标及任务后，项目承担单位应当及时申请项目结题。</w:t>
      </w:r>
    </w:p>
    <w:p>
      <w:pPr>
        <w:spacing w:line="460" w:lineRule="exact"/>
        <w:ind w:firstLine="480" w:firstLineChars="200"/>
        <w:rPr>
          <w:rFonts w:eastAsia="方正仿宋_GBK"/>
          <w:color w:val="000000"/>
          <w:sz w:val="24"/>
        </w:rPr>
      </w:pPr>
      <w:r>
        <w:rPr>
          <w:rFonts w:hint="eastAsia" w:eastAsia="黑体"/>
          <w:color w:val="000000"/>
          <w:sz w:val="24"/>
        </w:rPr>
        <w:t>第二十二条</w:t>
      </w:r>
      <w:r>
        <w:rPr>
          <w:rFonts w:eastAsia="方正仿宋_GBK"/>
          <w:color w:val="000000"/>
          <w:sz w:val="24"/>
        </w:rPr>
        <w:t xml:space="preserve"> </w:t>
      </w:r>
      <w:r>
        <w:rPr>
          <w:rFonts w:hint="eastAsia" w:eastAsia="方正仿宋_GBK"/>
          <w:color w:val="000000"/>
          <w:sz w:val="24"/>
        </w:rPr>
        <w:t>计划项目结题应当提交以下形式研究成果：产品成品或者样品、软件及其应用系统、数据库系统、工程应用实例、论文以及技术标准</w:t>
      </w:r>
      <w:r>
        <w:rPr>
          <w:rFonts w:eastAsia="方正仿宋_GBK"/>
          <w:color w:val="000000"/>
          <w:sz w:val="24"/>
        </w:rPr>
        <w:t>(</w:t>
      </w:r>
      <w:r>
        <w:rPr>
          <w:rFonts w:hint="eastAsia" w:eastAsia="方正仿宋_GBK"/>
          <w:color w:val="000000"/>
          <w:sz w:val="24"/>
        </w:rPr>
        <w:t>或者规程、规范</w:t>
      </w:r>
      <w:r>
        <w:rPr>
          <w:rFonts w:eastAsia="方正仿宋_GBK"/>
          <w:color w:val="000000"/>
          <w:sz w:val="24"/>
        </w:rPr>
        <w:t>)</w:t>
      </w:r>
      <w:r>
        <w:rPr>
          <w:rFonts w:hint="eastAsia" w:eastAsia="方正仿宋_GBK"/>
          <w:color w:val="000000"/>
          <w:sz w:val="24"/>
        </w:rPr>
        <w:t>和标准设计图集等。</w:t>
      </w:r>
    </w:p>
    <w:p>
      <w:pPr>
        <w:spacing w:line="460" w:lineRule="exact"/>
        <w:ind w:firstLine="480" w:firstLineChars="200"/>
        <w:rPr>
          <w:rFonts w:eastAsia="方正仿宋_GBK"/>
          <w:color w:val="000000"/>
          <w:sz w:val="24"/>
        </w:rPr>
      </w:pPr>
      <w:r>
        <w:rPr>
          <w:rFonts w:hint="eastAsia" w:eastAsia="黑体"/>
          <w:color w:val="000000"/>
          <w:sz w:val="24"/>
        </w:rPr>
        <w:t>第二十三条</w:t>
      </w:r>
      <w:r>
        <w:rPr>
          <w:rFonts w:eastAsia="方正仿宋_GBK"/>
          <w:color w:val="000000"/>
          <w:sz w:val="24"/>
        </w:rPr>
        <w:t xml:space="preserve"> </w:t>
      </w:r>
      <w:r>
        <w:rPr>
          <w:rFonts w:hint="eastAsia" w:eastAsia="方正仿宋_GBK"/>
          <w:color w:val="000000"/>
          <w:sz w:val="24"/>
        </w:rPr>
        <w:t>计划项目结题分为总结、鉴定和验收三种方式。软课题研究项目采取总结评审方式结题</w:t>
      </w:r>
      <w:r>
        <w:rPr>
          <w:rFonts w:eastAsia="方正仿宋_GBK"/>
          <w:color w:val="000000"/>
          <w:sz w:val="24"/>
        </w:rPr>
        <w:t>;</w:t>
      </w:r>
      <w:r>
        <w:rPr>
          <w:rFonts w:hint="eastAsia" w:eastAsia="方正仿宋_GBK"/>
          <w:color w:val="000000"/>
          <w:sz w:val="24"/>
        </w:rPr>
        <w:t>科研攻关、技术开发、重点产品开发、有关专项项目采取成果鉴定方式结题</w:t>
      </w:r>
      <w:r>
        <w:rPr>
          <w:rFonts w:eastAsia="方正仿宋_GBK"/>
          <w:color w:val="000000"/>
          <w:sz w:val="24"/>
        </w:rPr>
        <w:t>;</w:t>
      </w:r>
      <w:r>
        <w:rPr>
          <w:rFonts w:hint="eastAsia" w:eastAsia="方正仿宋_GBK"/>
          <w:color w:val="000000"/>
          <w:sz w:val="24"/>
        </w:rPr>
        <w:t>重点推广技术项目、科技示范项目</w:t>
      </w:r>
      <w:r>
        <w:rPr>
          <w:rFonts w:eastAsia="方正仿宋_GBK"/>
          <w:color w:val="000000"/>
          <w:sz w:val="24"/>
        </w:rPr>
        <w:t>(</w:t>
      </w:r>
      <w:r>
        <w:rPr>
          <w:rFonts w:hint="eastAsia" w:eastAsia="方正仿宋_GBK"/>
          <w:color w:val="000000"/>
          <w:sz w:val="24"/>
        </w:rPr>
        <w:t>或者科技试点项目</w:t>
      </w:r>
      <w:r>
        <w:rPr>
          <w:rFonts w:eastAsia="方正仿宋_GBK"/>
          <w:color w:val="000000"/>
          <w:sz w:val="24"/>
        </w:rPr>
        <w:t>)</w:t>
      </w:r>
      <w:r>
        <w:rPr>
          <w:rFonts w:hint="eastAsia" w:eastAsia="方正仿宋_GBK"/>
          <w:color w:val="000000"/>
          <w:sz w:val="24"/>
        </w:rPr>
        <w:t>、产业化基地采取验收方式结题。</w:t>
      </w:r>
    </w:p>
    <w:p>
      <w:pPr>
        <w:spacing w:line="460" w:lineRule="exact"/>
        <w:ind w:firstLine="480" w:firstLineChars="200"/>
        <w:rPr>
          <w:rFonts w:eastAsia="方正仿宋_GBK"/>
          <w:color w:val="000000"/>
          <w:sz w:val="24"/>
        </w:rPr>
      </w:pPr>
      <w:r>
        <w:rPr>
          <w:rFonts w:hint="eastAsia" w:eastAsia="方正仿宋_GBK"/>
          <w:color w:val="000000"/>
          <w:sz w:val="24"/>
        </w:rPr>
        <w:t>应该采取鉴定或者验收方式结题的计划项目，在完成目标任务但尚不完全具备鉴定和验收条件的，经省建设行政主管部门审查批准后采取总结方式结题。</w:t>
      </w:r>
    </w:p>
    <w:p>
      <w:pPr>
        <w:spacing w:line="460" w:lineRule="exact"/>
        <w:ind w:firstLine="480" w:firstLineChars="200"/>
        <w:rPr>
          <w:rFonts w:eastAsia="方正仿宋_GBK"/>
          <w:color w:val="000000"/>
          <w:sz w:val="24"/>
        </w:rPr>
      </w:pPr>
      <w:r>
        <w:rPr>
          <w:rFonts w:hint="eastAsia" w:eastAsia="黑体"/>
          <w:color w:val="000000"/>
          <w:sz w:val="24"/>
        </w:rPr>
        <w:t>第二十四条</w:t>
      </w:r>
      <w:r>
        <w:rPr>
          <w:rFonts w:eastAsia="方正仿宋_GBK"/>
          <w:color w:val="000000"/>
          <w:sz w:val="24"/>
        </w:rPr>
        <w:t xml:space="preserve"> </w:t>
      </w:r>
      <w:r>
        <w:rPr>
          <w:rFonts w:hint="eastAsia" w:eastAsia="方正仿宋_GBK"/>
          <w:color w:val="000000"/>
          <w:sz w:val="24"/>
        </w:rPr>
        <w:t>申请成果鉴定、项目验收应当由项目承担单位编写鉴定和验收资料、资助经费决算，填写申请表格。申请程序同计划项目申请程序。</w:t>
      </w:r>
    </w:p>
    <w:p>
      <w:pPr>
        <w:spacing w:line="460" w:lineRule="exact"/>
        <w:ind w:firstLine="480" w:firstLineChars="200"/>
        <w:rPr>
          <w:rFonts w:eastAsia="方正仿宋_GBK"/>
          <w:color w:val="000000"/>
          <w:sz w:val="24"/>
        </w:rPr>
      </w:pPr>
      <w:r>
        <w:rPr>
          <w:rFonts w:hint="eastAsia" w:eastAsia="方正仿宋_GBK"/>
          <w:color w:val="000000"/>
          <w:sz w:val="24"/>
        </w:rPr>
        <w:t>省建设行政主管部门自申请受理之日起一周内审查申请材料，符合条件的，组织鉴定或者验收委员会对项目进行成果鉴定和项目验收。</w:t>
      </w:r>
    </w:p>
    <w:p>
      <w:pPr>
        <w:spacing w:line="460" w:lineRule="exact"/>
        <w:ind w:firstLine="480" w:firstLineChars="200"/>
        <w:rPr>
          <w:rFonts w:eastAsia="方正仿宋_GBK"/>
          <w:color w:val="000000"/>
          <w:sz w:val="24"/>
        </w:rPr>
      </w:pPr>
      <w:r>
        <w:rPr>
          <w:rFonts w:hint="eastAsia" w:eastAsia="黑体"/>
          <w:color w:val="000000"/>
          <w:sz w:val="24"/>
        </w:rPr>
        <w:t>第二十五条</w:t>
      </w:r>
      <w:r>
        <w:rPr>
          <w:rFonts w:eastAsia="方正仿宋_GBK"/>
          <w:color w:val="000000"/>
          <w:sz w:val="24"/>
        </w:rPr>
        <w:t xml:space="preserve"> </w:t>
      </w:r>
      <w:r>
        <w:rPr>
          <w:rFonts w:hint="eastAsia" w:eastAsia="方正仿宋_GBK"/>
          <w:color w:val="000000"/>
          <w:sz w:val="24"/>
        </w:rPr>
        <w:t>申请成果鉴定、项目验收应当具备以下条件：</w:t>
      </w:r>
    </w:p>
    <w:p>
      <w:pPr>
        <w:spacing w:line="460" w:lineRule="exact"/>
        <w:ind w:firstLine="480" w:firstLineChars="200"/>
        <w:rPr>
          <w:rFonts w:eastAsia="方正仿宋_GBK"/>
          <w:color w:val="000000"/>
          <w:sz w:val="24"/>
        </w:rPr>
      </w:pPr>
      <w:r>
        <w:rPr>
          <w:rFonts w:eastAsia="方正仿宋_GBK"/>
          <w:color w:val="000000"/>
          <w:sz w:val="24"/>
        </w:rPr>
        <w:t>(</w:t>
      </w:r>
      <w:r>
        <w:rPr>
          <w:rFonts w:hint="eastAsia" w:eastAsia="方正仿宋_GBK"/>
          <w:color w:val="000000"/>
          <w:sz w:val="24"/>
        </w:rPr>
        <w:t>一</w:t>
      </w:r>
      <w:r>
        <w:rPr>
          <w:rFonts w:eastAsia="方正仿宋_GBK"/>
          <w:color w:val="000000"/>
          <w:sz w:val="24"/>
        </w:rPr>
        <w:t>)</w:t>
      </w:r>
      <w:r>
        <w:rPr>
          <w:rFonts w:hint="eastAsia" w:eastAsia="方正仿宋_GBK"/>
          <w:color w:val="000000"/>
          <w:sz w:val="24"/>
        </w:rPr>
        <w:t>已完成合同和计划设计任务书规定的任务，并有具体的研究成果形式</w:t>
      </w:r>
      <w:r>
        <w:rPr>
          <w:rFonts w:eastAsia="方正仿宋_GBK"/>
          <w:color w:val="000000"/>
          <w:sz w:val="24"/>
        </w:rPr>
        <w:t>;</w:t>
      </w:r>
    </w:p>
    <w:p>
      <w:pPr>
        <w:spacing w:line="460" w:lineRule="exact"/>
        <w:ind w:firstLine="480" w:firstLineChars="200"/>
        <w:rPr>
          <w:rFonts w:eastAsia="方正仿宋_GBK"/>
          <w:color w:val="000000"/>
          <w:sz w:val="24"/>
        </w:rPr>
      </w:pPr>
      <w:r>
        <w:rPr>
          <w:rFonts w:eastAsia="方正仿宋_GBK"/>
          <w:color w:val="000000"/>
          <w:sz w:val="24"/>
        </w:rPr>
        <w:t>(</w:t>
      </w:r>
      <w:r>
        <w:rPr>
          <w:rFonts w:hint="eastAsia" w:eastAsia="方正仿宋_GBK"/>
          <w:color w:val="000000"/>
          <w:sz w:val="24"/>
        </w:rPr>
        <w:t>二</w:t>
      </w:r>
      <w:r>
        <w:rPr>
          <w:rFonts w:eastAsia="方正仿宋_GBK"/>
          <w:color w:val="000000"/>
          <w:sz w:val="24"/>
        </w:rPr>
        <w:t>)</w:t>
      </w:r>
      <w:r>
        <w:rPr>
          <w:rFonts w:hint="eastAsia" w:eastAsia="方正仿宋_GBK"/>
          <w:color w:val="000000"/>
          <w:sz w:val="24"/>
        </w:rPr>
        <w:t>应用技术成果应当经实践证明达到成熟程度，并基本具备推广应用的条件</w:t>
      </w:r>
      <w:r>
        <w:rPr>
          <w:rFonts w:eastAsia="方正仿宋_GBK"/>
          <w:color w:val="000000"/>
          <w:sz w:val="24"/>
        </w:rPr>
        <w:t>;</w:t>
      </w:r>
    </w:p>
    <w:p>
      <w:pPr>
        <w:spacing w:line="460" w:lineRule="exact"/>
        <w:ind w:firstLine="480" w:firstLineChars="200"/>
        <w:rPr>
          <w:rFonts w:eastAsia="方正仿宋_GBK"/>
          <w:color w:val="000000"/>
          <w:sz w:val="24"/>
        </w:rPr>
      </w:pPr>
      <w:r>
        <w:rPr>
          <w:rFonts w:eastAsia="方正仿宋_GBK"/>
          <w:color w:val="000000"/>
          <w:sz w:val="24"/>
        </w:rPr>
        <w:t>(</w:t>
      </w:r>
      <w:r>
        <w:rPr>
          <w:rFonts w:hint="eastAsia" w:eastAsia="方正仿宋_GBK"/>
          <w:color w:val="000000"/>
          <w:sz w:val="24"/>
        </w:rPr>
        <w:t>三</w:t>
      </w:r>
      <w:r>
        <w:rPr>
          <w:rFonts w:eastAsia="方正仿宋_GBK"/>
          <w:color w:val="000000"/>
          <w:sz w:val="24"/>
        </w:rPr>
        <w:t>)</w:t>
      </w:r>
      <w:r>
        <w:rPr>
          <w:rFonts w:hint="eastAsia" w:eastAsia="方正仿宋_GBK"/>
          <w:color w:val="000000"/>
          <w:sz w:val="24"/>
        </w:rPr>
        <w:t>完成单位或者人员名次排列顺序和知识权属方面无争议。</w:t>
      </w:r>
    </w:p>
    <w:p>
      <w:pPr>
        <w:spacing w:line="460" w:lineRule="exact"/>
        <w:ind w:firstLine="480" w:firstLineChars="200"/>
        <w:rPr>
          <w:rFonts w:eastAsia="方正仿宋_GBK"/>
          <w:color w:val="000000"/>
          <w:sz w:val="24"/>
        </w:rPr>
      </w:pPr>
      <w:r>
        <w:rPr>
          <w:rFonts w:hint="eastAsia" w:eastAsia="黑体"/>
          <w:color w:val="000000"/>
          <w:sz w:val="24"/>
        </w:rPr>
        <w:t>第二十六条</w:t>
      </w:r>
      <w:r>
        <w:rPr>
          <w:rFonts w:eastAsia="方正仿宋_GBK"/>
          <w:color w:val="000000"/>
          <w:sz w:val="24"/>
        </w:rPr>
        <w:t xml:space="preserve"> </w:t>
      </w:r>
      <w:r>
        <w:rPr>
          <w:rFonts w:hint="eastAsia" w:eastAsia="方正仿宋_GBK"/>
          <w:color w:val="000000"/>
          <w:sz w:val="24"/>
        </w:rPr>
        <w:t>科技成果鉴定资料必须真实可靠，并打印装订整齐、符合科技档案管理部门的要求，应当包括：</w:t>
      </w:r>
    </w:p>
    <w:p>
      <w:pPr>
        <w:spacing w:line="460" w:lineRule="exact"/>
        <w:ind w:firstLine="480" w:firstLineChars="200"/>
        <w:rPr>
          <w:rFonts w:eastAsia="方正仿宋_GBK"/>
          <w:color w:val="000000"/>
          <w:sz w:val="24"/>
        </w:rPr>
      </w:pPr>
      <w:r>
        <w:rPr>
          <w:rFonts w:eastAsia="方正仿宋_GBK"/>
          <w:color w:val="000000"/>
          <w:sz w:val="24"/>
        </w:rPr>
        <w:t>(</w:t>
      </w:r>
      <w:r>
        <w:rPr>
          <w:rFonts w:hint="eastAsia" w:eastAsia="方正仿宋_GBK"/>
          <w:color w:val="000000"/>
          <w:sz w:val="24"/>
        </w:rPr>
        <w:t>一</w:t>
      </w:r>
      <w:r>
        <w:rPr>
          <w:rFonts w:eastAsia="方正仿宋_GBK"/>
          <w:color w:val="000000"/>
          <w:sz w:val="24"/>
        </w:rPr>
        <w:t>)</w:t>
      </w:r>
      <w:r>
        <w:rPr>
          <w:rFonts w:hint="eastAsia" w:eastAsia="方正仿宋_GBK"/>
          <w:color w:val="000000"/>
          <w:sz w:val="24"/>
        </w:rPr>
        <w:t>《科技成果鉴定申请表》</w:t>
      </w:r>
      <w:r>
        <w:rPr>
          <w:rFonts w:eastAsia="方正仿宋_GBK"/>
          <w:color w:val="000000"/>
          <w:sz w:val="24"/>
        </w:rPr>
        <w:t>;</w:t>
      </w:r>
    </w:p>
    <w:p>
      <w:pPr>
        <w:spacing w:line="460" w:lineRule="exact"/>
        <w:ind w:firstLine="480" w:firstLineChars="200"/>
        <w:rPr>
          <w:rFonts w:eastAsia="方正仿宋_GBK"/>
          <w:color w:val="000000"/>
          <w:sz w:val="24"/>
        </w:rPr>
      </w:pPr>
      <w:r>
        <w:rPr>
          <w:rFonts w:eastAsia="方正仿宋_GBK"/>
          <w:color w:val="000000"/>
          <w:sz w:val="24"/>
        </w:rPr>
        <w:t>(</w:t>
      </w:r>
      <w:r>
        <w:rPr>
          <w:rFonts w:hint="eastAsia" w:eastAsia="方正仿宋_GBK"/>
          <w:color w:val="000000"/>
          <w:sz w:val="24"/>
        </w:rPr>
        <w:t>二</w:t>
      </w:r>
      <w:r>
        <w:rPr>
          <w:rFonts w:eastAsia="方正仿宋_GBK"/>
          <w:color w:val="000000"/>
          <w:sz w:val="24"/>
        </w:rPr>
        <w:t>)</w:t>
      </w:r>
      <w:r>
        <w:rPr>
          <w:rFonts w:hint="eastAsia" w:eastAsia="方正仿宋_GBK"/>
          <w:color w:val="000000"/>
          <w:sz w:val="24"/>
        </w:rPr>
        <w:t>计划任务书、合同、计划项目批准文件</w:t>
      </w:r>
      <w:r>
        <w:rPr>
          <w:rFonts w:eastAsia="方正仿宋_GBK"/>
          <w:color w:val="000000"/>
          <w:sz w:val="24"/>
        </w:rPr>
        <w:t>;</w:t>
      </w:r>
    </w:p>
    <w:p>
      <w:pPr>
        <w:spacing w:line="460" w:lineRule="exact"/>
        <w:ind w:firstLine="480" w:firstLineChars="200"/>
        <w:rPr>
          <w:rFonts w:eastAsia="方正仿宋_GBK"/>
          <w:color w:val="000000"/>
          <w:sz w:val="24"/>
        </w:rPr>
      </w:pPr>
      <w:r>
        <w:rPr>
          <w:rFonts w:eastAsia="方正仿宋_GBK"/>
          <w:color w:val="000000"/>
          <w:sz w:val="24"/>
        </w:rPr>
        <w:t>(</w:t>
      </w:r>
      <w:r>
        <w:rPr>
          <w:rFonts w:hint="eastAsia" w:eastAsia="方正仿宋_GBK"/>
          <w:color w:val="000000"/>
          <w:sz w:val="24"/>
        </w:rPr>
        <w:t>三</w:t>
      </w:r>
      <w:r>
        <w:rPr>
          <w:rFonts w:eastAsia="方正仿宋_GBK"/>
          <w:color w:val="000000"/>
          <w:sz w:val="24"/>
        </w:rPr>
        <w:t>)</w:t>
      </w:r>
      <w:r>
        <w:rPr>
          <w:rFonts w:hint="eastAsia" w:eastAsia="方正仿宋_GBK"/>
          <w:color w:val="000000"/>
          <w:sz w:val="24"/>
        </w:rPr>
        <w:t>项目研究开发工作总结报告和技术研究报告</w:t>
      </w:r>
      <w:r>
        <w:rPr>
          <w:rFonts w:eastAsia="方正仿宋_GBK"/>
          <w:color w:val="000000"/>
          <w:sz w:val="24"/>
        </w:rPr>
        <w:t>;</w:t>
      </w:r>
    </w:p>
    <w:p>
      <w:pPr>
        <w:spacing w:line="460" w:lineRule="exact"/>
        <w:ind w:firstLine="480" w:firstLineChars="200"/>
        <w:rPr>
          <w:rFonts w:eastAsia="方正仿宋_GBK"/>
          <w:color w:val="000000"/>
          <w:sz w:val="24"/>
        </w:rPr>
      </w:pPr>
      <w:r>
        <w:rPr>
          <w:rFonts w:eastAsia="方正仿宋_GBK"/>
          <w:color w:val="000000"/>
          <w:sz w:val="24"/>
        </w:rPr>
        <w:t>(</w:t>
      </w:r>
      <w:r>
        <w:rPr>
          <w:rFonts w:hint="eastAsia" w:eastAsia="方正仿宋_GBK"/>
          <w:color w:val="000000"/>
          <w:sz w:val="24"/>
        </w:rPr>
        <w:t>四</w:t>
      </w:r>
      <w:r>
        <w:rPr>
          <w:rFonts w:eastAsia="方正仿宋_GBK"/>
          <w:color w:val="000000"/>
          <w:sz w:val="24"/>
        </w:rPr>
        <w:t>)</w:t>
      </w:r>
      <w:r>
        <w:rPr>
          <w:rFonts w:hint="eastAsia" w:eastAsia="方正仿宋_GBK"/>
          <w:color w:val="000000"/>
          <w:sz w:val="24"/>
        </w:rPr>
        <w:t>科技新产品检测报告、软件系统测试报告</w:t>
      </w:r>
      <w:r>
        <w:rPr>
          <w:rFonts w:eastAsia="方正仿宋_GBK"/>
          <w:color w:val="000000"/>
          <w:sz w:val="24"/>
        </w:rPr>
        <w:t>;</w:t>
      </w:r>
    </w:p>
    <w:p>
      <w:pPr>
        <w:spacing w:line="460" w:lineRule="exact"/>
        <w:ind w:firstLine="480" w:firstLineChars="200"/>
        <w:rPr>
          <w:rFonts w:eastAsia="方正仿宋_GBK"/>
          <w:color w:val="000000"/>
          <w:sz w:val="24"/>
        </w:rPr>
      </w:pPr>
      <w:r>
        <w:rPr>
          <w:rFonts w:eastAsia="方正仿宋_GBK"/>
          <w:color w:val="000000"/>
          <w:sz w:val="24"/>
        </w:rPr>
        <w:t>(</w:t>
      </w:r>
      <w:r>
        <w:rPr>
          <w:rFonts w:hint="eastAsia" w:eastAsia="方正仿宋_GBK"/>
          <w:color w:val="000000"/>
          <w:sz w:val="24"/>
        </w:rPr>
        <w:t>五</w:t>
      </w:r>
      <w:r>
        <w:rPr>
          <w:rFonts w:eastAsia="方正仿宋_GBK"/>
          <w:color w:val="000000"/>
          <w:sz w:val="24"/>
        </w:rPr>
        <w:t>)</w:t>
      </w:r>
      <w:r>
        <w:rPr>
          <w:rFonts w:hint="eastAsia" w:eastAsia="方正仿宋_GBK"/>
          <w:color w:val="000000"/>
          <w:sz w:val="24"/>
        </w:rPr>
        <w:t>科技新产品生产质量保证体系、企业标准及标准化分析报告</w:t>
      </w:r>
      <w:r>
        <w:rPr>
          <w:rFonts w:eastAsia="方正仿宋_GBK"/>
          <w:color w:val="000000"/>
          <w:sz w:val="24"/>
        </w:rPr>
        <w:t>;</w:t>
      </w:r>
    </w:p>
    <w:p>
      <w:pPr>
        <w:spacing w:line="460" w:lineRule="exact"/>
        <w:ind w:firstLine="480" w:firstLineChars="200"/>
        <w:rPr>
          <w:rFonts w:eastAsia="方正仿宋_GBK"/>
          <w:color w:val="000000"/>
          <w:sz w:val="24"/>
        </w:rPr>
      </w:pPr>
      <w:r>
        <w:rPr>
          <w:rFonts w:eastAsia="方正仿宋_GBK"/>
          <w:color w:val="000000"/>
          <w:sz w:val="24"/>
        </w:rPr>
        <w:t>(</w:t>
      </w:r>
      <w:r>
        <w:rPr>
          <w:rFonts w:hint="eastAsia" w:eastAsia="方正仿宋_GBK"/>
          <w:color w:val="000000"/>
          <w:sz w:val="24"/>
        </w:rPr>
        <w:t>六</w:t>
      </w:r>
      <w:r>
        <w:rPr>
          <w:rFonts w:eastAsia="方正仿宋_GBK"/>
          <w:color w:val="000000"/>
          <w:sz w:val="24"/>
        </w:rPr>
        <w:t>)</w:t>
      </w:r>
      <w:r>
        <w:rPr>
          <w:rFonts w:hint="eastAsia" w:eastAsia="方正仿宋_GBK"/>
          <w:color w:val="000000"/>
          <w:sz w:val="24"/>
        </w:rPr>
        <w:t>重大科技成果还必须提供科技项目查新报告、专利证书等</w:t>
      </w:r>
      <w:r>
        <w:rPr>
          <w:rFonts w:eastAsia="方正仿宋_GBK"/>
          <w:color w:val="000000"/>
          <w:sz w:val="24"/>
        </w:rPr>
        <w:t>;</w:t>
      </w:r>
    </w:p>
    <w:p>
      <w:pPr>
        <w:spacing w:line="460" w:lineRule="exact"/>
        <w:ind w:firstLine="480" w:firstLineChars="200"/>
        <w:rPr>
          <w:rFonts w:eastAsia="方正仿宋_GBK"/>
          <w:color w:val="000000"/>
          <w:sz w:val="24"/>
        </w:rPr>
      </w:pPr>
      <w:r>
        <w:rPr>
          <w:rFonts w:eastAsia="方正仿宋_GBK"/>
          <w:color w:val="000000"/>
          <w:sz w:val="24"/>
        </w:rPr>
        <w:t>(</w:t>
      </w:r>
      <w:r>
        <w:rPr>
          <w:rFonts w:hint="eastAsia" w:eastAsia="方正仿宋_GBK"/>
          <w:color w:val="000000"/>
          <w:sz w:val="24"/>
        </w:rPr>
        <w:t>七</w:t>
      </w:r>
      <w:r>
        <w:rPr>
          <w:rFonts w:eastAsia="方正仿宋_GBK"/>
          <w:color w:val="000000"/>
          <w:sz w:val="24"/>
        </w:rPr>
        <w:t>)</w:t>
      </w:r>
      <w:r>
        <w:rPr>
          <w:rFonts w:hint="eastAsia" w:eastAsia="方正仿宋_GBK"/>
          <w:color w:val="000000"/>
          <w:sz w:val="24"/>
        </w:rPr>
        <w:t>应用实例和用户使用意见</w:t>
      </w:r>
      <w:r>
        <w:rPr>
          <w:rFonts w:eastAsia="方正仿宋_GBK"/>
          <w:color w:val="000000"/>
          <w:sz w:val="24"/>
        </w:rPr>
        <w:t>;</w:t>
      </w:r>
    </w:p>
    <w:p>
      <w:pPr>
        <w:spacing w:line="460" w:lineRule="exact"/>
        <w:ind w:firstLine="480" w:firstLineChars="200"/>
        <w:rPr>
          <w:rFonts w:eastAsia="方正仿宋_GBK"/>
          <w:color w:val="000000"/>
          <w:sz w:val="24"/>
        </w:rPr>
      </w:pPr>
      <w:r>
        <w:rPr>
          <w:rFonts w:eastAsia="方正仿宋_GBK"/>
          <w:color w:val="000000"/>
          <w:sz w:val="24"/>
        </w:rPr>
        <w:t>(</w:t>
      </w:r>
      <w:r>
        <w:rPr>
          <w:rFonts w:hint="eastAsia" w:eastAsia="方正仿宋_GBK"/>
          <w:color w:val="000000"/>
          <w:sz w:val="24"/>
        </w:rPr>
        <w:t>八</w:t>
      </w:r>
      <w:r>
        <w:rPr>
          <w:rFonts w:eastAsia="方正仿宋_GBK"/>
          <w:color w:val="000000"/>
          <w:sz w:val="24"/>
        </w:rPr>
        <w:t>)</w:t>
      </w:r>
      <w:r>
        <w:rPr>
          <w:rFonts w:hint="eastAsia" w:eastAsia="方正仿宋_GBK"/>
          <w:color w:val="000000"/>
          <w:sz w:val="24"/>
        </w:rPr>
        <w:t>技术经济分析报告、社会效益分析报告及证明材料</w:t>
      </w:r>
      <w:r>
        <w:rPr>
          <w:rFonts w:eastAsia="方正仿宋_GBK"/>
          <w:color w:val="000000"/>
          <w:sz w:val="24"/>
        </w:rPr>
        <w:t>;</w:t>
      </w:r>
    </w:p>
    <w:p>
      <w:pPr>
        <w:spacing w:line="460" w:lineRule="exact"/>
        <w:ind w:firstLine="480" w:firstLineChars="200"/>
        <w:rPr>
          <w:rFonts w:eastAsia="方正仿宋_GBK"/>
          <w:color w:val="000000"/>
          <w:sz w:val="24"/>
        </w:rPr>
      </w:pPr>
      <w:r>
        <w:rPr>
          <w:rFonts w:eastAsia="方正仿宋_GBK"/>
          <w:color w:val="000000"/>
          <w:sz w:val="24"/>
        </w:rPr>
        <w:t>(</w:t>
      </w:r>
      <w:r>
        <w:rPr>
          <w:rFonts w:hint="eastAsia" w:eastAsia="方正仿宋_GBK"/>
          <w:color w:val="000000"/>
          <w:sz w:val="24"/>
        </w:rPr>
        <w:t>九</w:t>
      </w:r>
      <w:r>
        <w:rPr>
          <w:rFonts w:eastAsia="方正仿宋_GBK"/>
          <w:color w:val="000000"/>
          <w:sz w:val="24"/>
        </w:rPr>
        <w:t>)</w:t>
      </w:r>
      <w:r>
        <w:rPr>
          <w:rFonts w:hint="eastAsia" w:eastAsia="方正仿宋_GBK"/>
          <w:color w:val="000000"/>
          <w:sz w:val="24"/>
        </w:rPr>
        <w:t>涉及环保、卫生和劳动安全的科技成果，还必须出具有权机构出具的检验报告或者证明</w:t>
      </w:r>
      <w:r>
        <w:rPr>
          <w:rFonts w:eastAsia="方正仿宋_GBK"/>
          <w:color w:val="000000"/>
          <w:sz w:val="24"/>
        </w:rPr>
        <w:t>;</w:t>
      </w:r>
    </w:p>
    <w:p>
      <w:pPr>
        <w:spacing w:line="460" w:lineRule="exact"/>
        <w:ind w:firstLine="480" w:firstLineChars="200"/>
        <w:rPr>
          <w:rFonts w:eastAsia="方正仿宋_GBK"/>
          <w:color w:val="000000"/>
          <w:sz w:val="24"/>
        </w:rPr>
      </w:pPr>
      <w:r>
        <w:rPr>
          <w:rFonts w:eastAsia="方正仿宋_GBK"/>
          <w:color w:val="000000"/>
          <w:sz w:val="24"/>
        </w:rPr>
        <w:t>(</w:t>
      </w:r>
      <w:r>
        <w:rPr>
          <w:rFonts w:hint="eastAsia" w:eastAsia="方正仿宋_GBK"/>
          <w:color w:val="000000"/>
          <w:sz w:val="24"/>
        </w:rPr>
        <w:t>十</w:t>
      </w:r>
      <w:r>
        <w:rPr>
          <w:rFonts w:eastAsia="方正仿宋_GBK"/>
          <w:color w:val="000000"/>
          <w:sz w:val="24"/>
        </w:rPr>
        <w:t>)</w:t>
      </w:r>
      <w:r>
        <w:rPr>
          <w:rFonts w:hint="eastAsia" w:eastAsia="方正仿宋_GBK"/>
          <w:color w:val="000000"/>
          <w:sz w:val="24"/>
        </w:rPr>
        <w:t>技术成果应用说明书、用户手册、施工安装手册等</w:t>
      </w:r>
      <w:r>
        <w:rPr>
          <w:rFonts w:eastAsia="方正仿宋_GBK"/>
          <w:color w:val="000000"/>
          <w:sz w:val="24"/>
        </w:rPr>
        <w:t>;</w:t>
      </w:r>
    </w:p>
    <w:p>
      <w:pPr>
        <w:spacing w:line="460" w:lineRule="exact"/>
        <w:ind w:firstLine="480" w:firstLineChars="200"/>
        <w:rPr>
          <w:rFonts w:eastAsia="方正仿宋_GBK"/>
          <w:color w:val="000000"/>
          <w:sz w:val="24"/>
        </w:rPr>
      </w:pPr>
      <w:r>
        <w:rPr>
          <w:rFonts w:eastAsia="方正仿宋_GBK"/>
          <w:color w:val="000000"/>
          <w:sz w:val="24"/>
        </w:rPr>
        <w:t>(</w:t>
      </w:r>
      <w:r>
        <w:rPr>
          <w:rFonts w:hint="eastAsia" w:eastAsia="方正仿宋_GBK"/>
          <w:color w:val="000000"/>
          <w:sz w:val="24"/>
        </w:rPr>
        <w:t>十一</w:t>
      </w:r>
      <w:r>
        <w:rPr>
          <w:rFonts w:eastAsia="方正仿宋_GBK"/>
          <w:color w:val="000000"/>
          <w:sz w:val="24"/>
        </w:rPr>
        <w:t>)</w:t>
      </w:r>
      <w:r>
        <w:rPr>
          <w:rFonts w:hint="eastAsia" w:eastAsia="方正仿宋_GBK"/>
          <w:color w:val="000000"/>
          <w:sz w:val="24"/>
        </w:rPr>
        <w:t>指令性计划项目还必须提供项目经费决算等财务报表或者审计报告。</w:t>
      </w:r>
    </w:p>
    <w:p>
      <w:pPr>
        <w:spacing w:line="460" w:lineRule="exact"/>
        <w:ind w:firstLine="480" w:firstLineChars="200"/>
        <w:rPr>
          <w:rFonts w:eastAsia="方正仿宋_GBK"/>
          <w:color w:val="000000"/>
          <w:sz w:val="24"/>
        </w:rPr>
      </w:pPr>
      <w:r>
        <w:rPr>
          <w:rFonts w:hint="eastAsia" w:eastAsia="黑体"/>
          <w:color w:val="000000"/>
          <w:sz w:val="24"/>
        </w:rPr>
        <w:t>第二十七条</w:t>
      </w:r>
      <w:r>
        <w:rPr>
          <w:rFonts w:eastAsia="方正仿宋_GBK"/>
          <w:color w:val="000000"/>
          <w:sz w:val="24"/>
        </w:rPr>
        <w:t xml:space="preserve"> </w:t>
      </w:r>
      <w:r>
        <w:rPr>
          <w:rFonts w:hint="eastAsia" w:eastAsia="方正仿宋_GBK"/>
          <w:color w:val="000000"/>
          <w:sz w:val="24"/>
        </w:rPr>
        <w:t>项目验收以批准的合同以及计划任务书约定的内容和考核目标为基本依据，对项目所产生的科技成果、应用效果以及攻克关键技术的方案和效果、知识产权的形式和管理、项目实施的组织管理经验和教训、科技人才队伍、经费使用合理性等作出客观、实事求是的评价。</w:t>
      </w:r>
    </w:p>
    <w:p>
      <w:pPr>
        <w:spacing w:line="460" w:lineRule="exact"/>
        <w:ind w:firstLine="480" w:firstLineChars="200"/>
        <w:rPr>
          <w:rFonts w:eastAsia="方正仿宋_GBK"/>
          <w:color w:val="000000"/>
          <w:sz w:val="24"/>
        </w:rPr>
      </w:pPr>
      <w:r>
        <w:rPr>
          <w:rFonts w:hint="eastAsia" w:eastAsia="黑体"/>
          <w:color w:val="000000"/>
          <w:sz w:val="24"/>
        </w:rPr>
        <w:t>第二十八条</w:t>
      </w:r>
      <w:r>
        <w:rPr>
          <w:rFonts w:eastAsia="方正仿宋_GBK"/>
          <w:color w:val="000000"/>
          <w:sz w:val="24"/>
        </w:rPr>
        <w:t xml:space="preserve"> </w:t>
      </w:r>
      <w:r>
        <w:rPr>
          <w:rFonts w:hint="eastAsia" w:eastAsia="方正仿宋_GBK"/>
          <w:color w:val="000000"/>
          <w:sz w:val="24"/>
        </w:rPr>
        <w:t>项目验收一般在完成项目成果鉴定或者专家客观评价基础上进行。验收前，可以对项目成果或者其中某项关键技术成果申请鉴定，成果鉴定完成后再行申请组织验收。</w:t>
      </w:r>
    </w:p>
    <w:p>
      <w:pPr>
        <w:spacing w:line="460" w:lineRule="exact"/>
        <w:ind w:firstLine="480" w:firstLineChars="200"/>
        <w:rPr>
          <w:rFonts w:eastAsia="方正仿宋_GBK"/>
          <w:color w:val="000000"/>
          <w:sz w:val="24"/>
        </w:rPr>
      </w:pPr>
      <w:r>
        <w:rPr>
          <w:rFonts w:hint="eastAsia" w:eastAsia="黑体"/>
          <w:color w:val="000000"/>
          <w:sz w:val="24"/>
        </w:rPr>
        <w:t>第二十九条</w:t>
      </w:r>
      <w:r>
        <w:rPr>
          <w:rFonts w:eastAsia="方正仿宋_GBK"/>
          <w:color w:val="000000"/>
          <w:sz w:val="24"/>
        </w:rPr>
        <w:t xml:space="preserve"> </w:t>
      </w:r>
      <w:r>
        <w:rPr>
          <w:rFonts w:hint="eastAsia" w:eastAsia="方正仿宋_GBK"/>
          <w:color w:val="000000"/>
          <w:sz w:val="24"/>
        </w:rPr>
        <w:t>项目验收资料应当参照科技成果鉴定的有关内容，还必须提供：</w:t>
      </w:r>
    </w:p>
    <w:p>
      <w:pPr>
        <w:spacing w:line="460" w:lineRule="exact"/>
        <w:ind w:firstLine="480" w:firstLineChars="200"/>
        <w:rPr>
          <w:rFonts w:eastAsia="方正仿宋_GBK"/>
          <w:color w:val="000000"/>
          <w:sz w:val="24"/>
        </w:rPr>
      </w:pPr>
      <w:r>
        <w:rPr>
          <w:rFonts w:eastAsia="方正仿宋_GBK"/>
          <w:color w:val="000000"/>
          <w:sz w:val="24"/>
        </w:rPr>
        <w:t>(</w:t>
      </w:r>
      <w:r>
        <w:rPr>
          <w:rFonts w:hint="eastAsia" w:eastAsia="方正仿宋_GBK"/>
          <w:color w:val="000000"/>
          <w:sz w:val="24"/>
        </w:rPr>
        <w:t>一</w:t>
      </w:r>
      <w:r>
        <w:rPr>
          <w:rFonts w:eastAsia="方正仿宋_GBK"/>
          <w:color w:val="000000"/>
          <w:sz w:val="24"/>
        </w:rPr>
        <w:t>)</w:t>
      </w:r>
      <w:r>
        <w:rPr>
          <w:rFonts w:hint="eastAsia" w:eastAsia="方正仿宋_GBK"/>
          <w:color w:val="000000"/>
          <w:sz w:val="24"/>
        </w:rPr>
        <w:t>《科学技术项目验收申请书》</w:t>
      </w:r>
      <w:r>
        <w:rPr>
          <w:rFonts w:eastAsia="方正仿宋_GBK"/>
          <w:color w:val="000000"/>
          <w:sz w:val="24"/>
        </w:rPr>
        <w:t>;</w:t>
      </w:r>
    </w:p>
    <w:p>
      <w:pPr>
        <w:spacing w:line="460" w:lineRule="exact"/>
        <w:ind w:firstLine="480" w:firstLineChars="200"/>
        <w:rPr>
          <w:rFonts w:eastAsia="方正仿宋_GBK"/>
          <w:color w:val="000000"/>
          <w:sz w:val="24"/>
        </w:rPr>
      </w:pPr>
      <w:r>
        <w:rPr>
          <w:rFonts w:eastAsia="方正仿宋_GBK"/>
          <w:color w:val="000000"/>
          <w:sz w:val="24"/>
        </w:rPr>
        <w:t>(</w:t>
      </w:r>
      <w:r>
        <w:rPr>
          <w:rFonts w:hint="eastAsia" w:eastAsia="方正仿宋_GBK"/>
          <w:color w:val="000000"/>
          <w:sz w:val="24"/>
        </w:rPr>
        <w:t>二</w:t>
      </w:r>
      <w:r>
        <w:rPr>
          <w:rFonts w:eastAsia="方正仿宋_GBK"/>
          <w:color w:val="000000"/>
          <w:sz w:val="24"/>
        </w:rPr>
        <w:t>)</w:t>
      </w:r>
      <w:r>
        <w:rPr>
          <w:rFonts w:hint="eastAsia" w:eastAsia="方正仿宋_GBK"/>
          <w:color w:val="000000"/>
          <w:sz w:val="24"/>
        </w:rPr>
        <w:t>项目成果或者项目关键技术成果鉴定证书或者专家客观评价报告</w:t>
      </w:r>
      <w:r>
        <w:rPr>
          <w:rFonts w:eastAsia="方正仿宋_GBK"/>
          <w:color w:val="000000"/>
          <w:sz w:val="24"/>
        </w:rPr>
        <w:t>;</w:t>
      </w:r>
    </w:p>
    <w:p>
      <w:pPr>
        <w:spacing w:line="460" w:lineRule="exact"/>
        <w:ind w:firstLine="480" w:firstLineChars="200"/>
        <w:rPr>
          <w:rFonts w:eastAsia="方正仿宋_GBK"/>
          <w:color w:val="000000"/>
          <w:sz w:val="24"/>
        </w:rPr>
      </w:pPr>
      <w:r>
        <w:rPr>
          <w:rFonts w:eastAsia="方正仿宋_GBK"/>
          <w:color w:val="000000"/>
          <w:sz w:val="24"/>
        </w:rPr>
        <w:t>(</w:t>
      </w:r>
      <w:r>
        <w:rPr>
          <w:rFonts w:hint="eastAsia" w:eastAsia="方正仿宋_GBK"/>
          <w:color w:val="000000"/>
          <w:sz w:val="24"/>
        </w:rPr>
        <w:t>三</w:t>
      </w:r>
      <w:r>
        <w:rPr>
          <w:rFonts w:eastAsia="方正仿宋_GBK"/>
          <w:color w:val="000000"/>
          <w:sz w:val="24"/>
        </w:rPr>
        <w:t>)</w:t>
      </w:r>
      <w:r>
        <w:rPr>
          <w:rFonts w:hint="eastAsia" w:eastAsia="方正仿宋_GBK"/>
          <w:color w:val="000000"/>
          <w:sz w:val="24"/>
        </w:rPr>
        <w:t>项目成果初步转化、产业化情况报告及中试基地、示范点情况报告</w:t>
      </w:r>
      <w:r>
        <w:rPr>
          <w:rFonts w:eastAsia="方正仿宋_GBK"/>
          <w:color w:val="000000"/>
          <w:sz w:val="24"/>
        </w:rPr>
        <w:t>;</w:t>
      </w:r>
    </w:p>
    <w:p>
      <w:pPr>
        <w:spacing w:line="460" w:lineRule="exact"/>
        <w:ind w:firstLine="480" w:firstLineChars="200"/>
        <w:rPr>
          <w:rFonts w:eastAsia="方正仿宋_GBK"/>
          <w:color w:val="000000"/>
          <w:sz w:val="24"/>
        </w:rPr>
      </w:pPr>
      <w:r>
        <w:rPr>
          <w:rFonts w:eastAsia="方正仿宋_GBK"/>
          <w:color w:val="000000"/>
          <w:sz w:val="24"/>
        </w:rPr>
        <w:t>(</w:t>
      </w:r>
      <w:r>
        <w:rPr>
          <w:rFonts w:hint="eastAsia" w:eastAsia="方正仿宋_GBK"/>
          <w:color w:val="000000"/>
          <w:sz w:val="24"/>
        </w:rPr>
        <w:t>四</w:t>
      </w:r>
      <w:r>
        <w:rPr>
          <w:rFonts w:eastAsia="方正仿宋_GBK"/>
          <w:color w:val="000000"/>
          <w:sz w:val="24"/>
        </w:rPr>
        <w:t>)</w:t>
      </w:r>
      <w:r>
        <w:rPr>
          <w:rFonts w:hint="eastAsia" w:eastAsia="方正仿宋_GBK"/>
          <w:color w:val="000000"/>
          <w:sz w:val="24"/>
        </w:rPr>
        <w:t>利用资助经费购置的仪器、设备等固定资产清单。</w:t>
      </w:r>
    </w:p>
    <w:p>
      <w:pPr>
        <w:spacing w:line="460" w:lineRule="exact"/>
        <w:ind w:firstLine="480" w:firstLineChars="200"/>
        <w:rPr>
          <w:rFonts w:eastAsia="方正仿宋_GBK"/>
          <w:color w:val="000000"/>
          <w:sz w:val="24"/>
        </w:rPr>
      </w:pPr>
      <w:r>
        <w:rPr>
          <w:rFonts w:hint="eastAsia" w:eastAsia="黑体"/>
          <w:color w:val="000000"/>
          <w:sz w:val="24"/>
        </w:rPr>
        <w:t>第三十条</w:t>
      </w:r>
      <w:r>
        <w:rPr>
          <w:rFonts w:eastAsia="方正仿宋_GBK"/>
          <w:color w:val="000000"/>
          <w:sz w:val="24"/>
        </w:rPr>
        <w:t xml:space="preserve"> </w:t>
      </w:r>
      <w:r>
        <w:rPr>
          <w:rFonts w:hint="eastAsia" w:eastAsia="方正仿宋_GBK"/>
          <w:color w:val="000000"/>
          <w:sz w:val="24"/>
        </w:rPr>
        <w:t>鉴定委员会和验收专家委员会原则上为</w:t>
      </w:r>
      <w:r>
        <w:rPr>
          <w:rFonts w:eastAsia="方正仿宋_GBK"/>
          <w:color w:val="000000"/>
          <w:sz w:val="24"/>
        </w:rPr>
        <w:t>7</w:t>
      </w:r>
      <w:r>
        <w:rPr>
          <w:rFonts w:hint="eastAsia" w:eastAsia="方正仿宋_GBK"/>
          <w:color w:val="000000"/>
          <w:sz w:val="24"/>
        </w:rPr>
        <w:t>人以上</w:t>
      </w:r>
      <w:r>
        <w:rPr>
          <w:rFonts w:eastAsia="方正仿宋_GBK"/>
          <w:color w:val="000000"/>
          <w:sz w:val="24"/>
        </w:rPr>
        <w:t>(</w:t>
      </w:r>
      <w:r>
        <w:rPr>
          <w:rFonts w:hint="eastAsia" w:eastAsia="方正仿宋_GBK"/>
          <w:color w:val="000000"/>
          <w:sz w:val="24"/>
        </w:rPr>
        <w:t>含</w:t>
      </w:r>
      <w:r>
        <w:rPr>
          <w:rFonts w:eastAsia="方正仿宋_GBK"/>
          <w:color w:val="000000"/>
          <w:sz w:val="24"/>
        </w:rPr>
        <w:t>7</w:t>
      </w:r>
      <w:r>
        <w:rPr>
          <w:rFonts w:hint="eastAsia" w:eastAsia="方正仿宋_GBK"/>
          <w:color w:val="000000"/>
          <w:sz w:val="24"/>
        </w:rPr>
        <w:t>人，一般为单数</w:t>
      </w:r>
      <w:r>
        <w:rPr>
          <w:rFonts w:eastAsia="方正仿宋_GBK"/>
          <w:color w:val="000000"/>
          <w:sz w:val="24"/>
        </w:rPr>
        <w:t>)</w:t>
      </w:r>
      <w:r>
        <w:rPr>
          <w:rFonts w:hint="eastAsia" w:eastAsia="方正仿宋_GBK"/>
          <w:color w:val="000000"/>
          <w:sz w:val="24"/>
        </w:rPr>
        <w:t>专家组成。专家应当具备相关专业副高以上技术专业职称。省内具有较高知名度的中青年专家可以占委员会成员的三分之一。参加鉴定、验收的单位和人员应当采取回避制度。</w:t>
      </w:r>
    </w:p>
    <w:p>
      <w:pPr>
        <w:spacing w:line="460" w:lineRule="exact"/>
        <w:ind w:firstLine="480" w:firstLineChars="200"/>
        <w:rPr>
          <w:rFonts w:eastAsia="方正仿宋_GBK"/>
          <w:color w:val="000000"/>
          <w:sz w:val="24"/>
        </w:rPr>
      </w:pPr>
      <w:r>
        <w:rPr>
          <w:rFonts w:hint="eastAsia" w:eastAsia="黑体"/>
          <w:color w:val="000000"/>
          <w:sz w:val="24"/>
        </w:rPr>
        <w:t>第三十一条</w:t>
      </w:r>
      <w:r>
        <w:rPr>
          <w:rFonts w:eastAsia="方正仿宋_GBK"/>
          <w:color w:val="000000"/>
          <w:sz w:val="24"/>
        </w:rPr>
        <w:t xml:space="preserve"> </w:t>
      </w:r>
      <w:r>
        <w:rPr>
          <w:rFonts w:hint="eastAsia" w:eastAsia="方正仿宋_GBK"/>
          <w:color w:val="000000"/>
          <w:sz w:val="24"/>
        </w:rPr>
        <w:t>科技成果鉴定、科技项目验收通过后，由省建设行政主管部门分别颁发《科学技术成果鉴定证书》、《科学技术项目验收合格证书》。科技成果鉴定应当同时办理科技成果登记手续，由省建设行政主管部门定期集中送达省科技行政主管部门。</w:t>
      </w:r>
    </w:p>
    <w:p>
      <w:pPr>
        <w:spacing w:line="460" w:lineRule="exact"/>
        <w:ind w:firstLine="480" w:firstLineChars="200"/>
        <w:rPr>
          <w:rFonts w:eastAsia="方正仿宋_GBK"/>
          <w:color w:val="000000"/>
          <w:sz w:val="24"/>
        </w:rPr>
      </w:pPr>
      <w:r>
        <w:rPr>
          <w:rFonts w:hint="eastAsia" w:eastAsia="黑体"/>
          <w:color w:val="000000"/>
          <w:sz w:val="24"/>
        </w:rPr>
        <w:t>第三十二条</w:t>
      </w:r>
      <w:r>
        <w:rPr>
          <w:rFonts w:eastAsia="方正仿宋_GBK"/>
          <w:color w:val="000000"/>
          <w:sz w:val="24"/>
        </w:rPr>
        <w:t xml:space="preserve"> </w:t>
      </w:r>
      <w:r>
        <w:rPr>
          <w:rFonts w:hint="eastAsia" w:eastAsia="方正仿宋_GBK"/>
          <w:color w:val="000000"/>
          <w:sz w:val="24"/>
        </w:rPr>
        <w:t>各单位自行研究开发的具备较大技术创新和效益、在我省建设领域有较大影响的科研项目成果，可以参照本细则申请省建设主管部门组织的科技成果鉴定。</w:t>
      </w:r>
    </w:p>
    <w:p>
      <w:pPr>
        <w:spacing w:line="460" w:lineRule="exact"/>
        <w:ind w:firstLine="480" w:firstLineChars="200"/>
        <w:rPr>
          <w:rFonts w:eastAsia="方正仿宋_GBK"/>
          <w:color w:val="000000"/>
          <w:sz w:val="24"/>
        </w:rPr>
      </w:pPr>
      <w:r>
        <w:rPr>
          <w:rFonts w:hint="eastAsia" w:eastAsia="方正仿宋_GBK"/>
          <w:color w:val="000000"/>
          <w:sz w:val="24"/>
        </w:rPr>
        <w:t>各单位自行研究的已有国家标准的建设科技新产品研发成果，不再组织鉴定。研发单位要求组织应用技术水平评价的，由研发单位报请省建设行政主管部门组织科技成果评估，评估参照《建设部科技成果评估工作管理暂行办法》执行。</w:t>
      </w:r>
    </w:p>
    <w:p>
      <w:pPr>
        <w:spacing w:line="460" w:lineRule="exact"/>
        <w:ind w:firstLine="480" w:firstLineChars="200"/>
        <w:rPr>
          <w:rFonts w:eastAsia="方正仿宋_GBK"/>
          <w:color w:val="000000"/>
          <w:sz w:val="24"/>
        </w:rPr>
      </w:pPr>
    </w:p>
    <w:p>
      <w:pPr>
        <w:spacing w:line="460" w:lineRule="exact"/>
        <w:jc w:val="center"/>
        <w:rPr>
          <w:rFonts w:eastAsia="黑体"/>
          <w:color w:val="000000"/>
          <w:sz w:val="24"/>
        </w:rPr>
      </w:pPr>
      <w:r>
        <w:rPr>
          <w:rFonts w:hint="eastAsia" w:eastAsia="黑体"/>
          <w:color w:val="000000"/>
          <w:sz w:val="24"/>
        </w:rPr>
        <w:t>第六章</w:t>
      </w:r>
      <w:r>
        <w:rPr>
          <w:rFonts w:eastAsia="黑体"/>
          <w:color w:val="000000"/>
          <w:sz w:val="24"/>
        </w:rPr>
        <w:t xml:space="preserve">  </w:t>
      </w:r>
      <w:r>
        <w:rPr>
          <w:rFonts w:hint="eastAsia" w:eastAsia="黑体"/>
          <w:color w:val="000000"/>
          <w:sz w:val="24"/>
        </w:rPr>
        <w:t>附</w:t>
      </w:r>
      <w:r>
        <w:rPr>
          <w:rFonts w:eastAsia="黑体"/>
          <w:color w:val="000000"/>
          <w:sz w:val="24"/>
        </w:rPr>
        <w:t xml:space="preserve"> </w:t>
      </w:r>
      <w:r>
        <w:rPr>
          <w:rFonts w:hint="eastAsia" w:eastAsia="黑体"/>
          <w:color w:val="000000"/>
          <w:sz w:val="24"/>
        </w:rPr>
        <w:t>则</w:t>
      </w:r>
    </w:p>
    <w:p>
      <w:pPr>
        <w:spacing w:line="460" w:lineRule="exact"/>
        <w:ind w:firstLine="480" w:firstLineChars="200"/>
        <w:rPr>
          <w:rFonts w:eastAsia="方正仿宋_GBK"/>
          <w:color w:val="000000"/>
          <w:sz w:val="24"/>
        </w:rPr>
      </w:pPr>
    </w:p>
    <w:p>
      <w:pPr>
        <w:spacing w:line="460" w:lineRule="exact"/>
        <w:ind w:firstLine="480" w:firstLineChars="200"/>
        <w:rPr>
          <w:rFonts w:eastAsia="方正仿宋_GBK"/>
          <w:color w:val="000000"/>
          <w:sz w:val="24"/>
        </w:rPr>
      </w:pPr>
      <w:r>
        <w:rPr>
          <w:rFonts w:hint="eastAsia" w:eastAsia="黑体"/>
          <w:color w:val="000000"/>
          <w:sz w:val="24"/>
        </w:rPr>
        <w:t>第三十三条</w:t>
      </w:r>
      <w:r>
        <w:rPr>
          <w:rFonts w:eastAsia="方正仿宋_GBK"/>
          <w:color w:val="000000"/>
          <w:sz w:val="24"/>
        </w:rPr>
        <w:t xml:space="preserve"> </w:t>
      </w:r>
      <w:r>
        <w:rPr>
          <w:rFonts w:hint="eastAsia" w:eastAsia="方正仿宋_GBK"/>
          <w:color w:val="000000"/>
          <w:sz w:val="24"/>
        </w:rPr>
        <w:t>本细则自公布之日起执行。原江苏省建设委员会发布的《江苏省建设系统科技项目管理办法</w:t>
      </w:r>
      <w:r>
        <w:rPr>
          <w:rFonts w:eastAsia="方正仿宋_GBK"/>
          <w:color w:val="000000"/>
          <w:sz w:val="24"/>
        </w:rPr>
        <w:t>(</w:t>
      </w:r>
      <w:r>
        <w:rPr>
          <w:rFonts w:hint="eastAsia" w:eastAsia="方正仿宋_GBK"/>
          <w:color w:val="000000"/>
          <w:sz w:val="24"/>
        </w:rPr>
        <w:t>试行</w:t>
      </w:r>
      <w:r>
        <w:rPr>
          <w:rFonts w:eastAsia="方正仿宋_GBK"/>
          <w:color w:val="000000"/>
          <w:sz w:val="24"/>
        </w:rPr>
        <w:t>)</w:t>
      </w:r>
      <w:r>
        <w:rPr>
          <w:rFonts w:hint="eastAsia" w:eastAsia="方正仿宋_GBK"/>
          <w:color w:val="000000"/>
          <w:sz w:val="24"/>
        </w:rPr>
        <w:t>》</w:t>
      </w:r>
      <w:r>
        <w:rPr>
          <w:rFonts w:eastAsia="方正仿宋_GBK"/>
          <w:color w:val="000000"/>
          <w:sz w:val="24"/>
        </w:rPr>
        <w:t>(</w:t>
      </w:r>
      <w:r>
        <w:rPr>
          <w:rFonts w:hint="eastAsia" w:eastAsia="方正仿宋_GBK"/>
          <w:color w:val="000000"/>
          <w:sz w:val="24"/>
        </w:rPr>
        <w:t>苏建科〔</w:t>
      </w:r>
      <w:r>
        <w:rPr>
          <w:rFonts w:eastAsia="方正仿宋_GBK"/>
          <w:color w:val="000000"/>
          <w:sz w:val="24"/>
        </w:rPr>
        <w:t>1992</w:t>
      </w:r>
      <w:r>
        <w:rPr>
          <w:rFonts w:hint="eastAsia" w:eastAsia="方正仿宋_GBK"/>
          <w:color w:val="000000"/>
          <w:sz w:val="24"/>
        </w:rPr>
        <w:t>〕</w:t>
      </w:r>
      <w:r>
        <w:rPr>
          <w:rFonts w:eastAsia="方正仿宋_GBK"/>
          <w:color w:val="000000"/>
          <w:sz w:val="24"/>
        </w:rPr>
        <w:t>124</w:t>
      </w:r>
      <w:r>
        <w:rPr>
          <w:rFonts w:hint="eastAsia" w:eastAsia="方正仿宋_GBK"/>
          <w:color w:val="000000"/>
          <w:sz w:val="24"/>
        </w:rPr>
        <w:t>号</w:t>
      </w:r>
      <w:r>
        <w:rPr>
          <w:rFonts w:eastAsia="方正仿宋_GBK"/>
          <w:color w:val="000000"/>
          <w:sz w:val="24"/>
        </w:rPr>
        <w:t>)</w:t>
      </w:r>
      <w:r>
        <w:rPr>
          <w:rFonts w:hint="eastAsia" w:eastAsia="方正仿宋_GBK"/>
          <w:color w:val="000000"/>
          <w:sz w:val="24"/>
        </w:rPr>
        <w:t>同时废止。</w:t>
      </w:r>
    </w:p>
    <w:p>
      <w:pPr>
        <w:spacing w:line="460" w:lineRule="exact"/>
        <w:ind w:firstLine="480" w:firstLineChars="200"/>
        <w:rPr>
          <w:rFonts w:eastAsia="方正仿宋_GBK"/>
          <w:color w:val="000000"/>
          <w:sz w:val="24"/>
        </w:rPr>
      </w:pPr>
      <w:r>
        <w:rPr>
          <w:rFonts w:hint="eastAsia" w:eastAsia="黑体"/>
          <w:color w:val="000000"/>
          <w:sz w:val="24"/>
        </w:rPr>
        <w:t>第三十四条</w:t>
      </w:r>
      <w:r>
        <w:rPr>
          <w:rFonts w:eastAsia="方正仿宋_GBK"/>
          <w:color w:val="000000"/>
          <w:sz w:val="24"/>
        </w:rPr>
        <w:t xml:space="preserve"> </w:t>
      </w:r>
      <w:r>
        <w:rPr>
          <w:rFonts w:hint="eastAsia" w:eastAsia="方正仿宋_GBK"/>
          <w:color w:val="000000"/>
          <w:sz w:val="24"/>
        </w:rPr>
        <w:t>本细则由江苏省建设厅负责解释。</w:t>
      </w:r>
    </w:p>
    <w:p>
      <w:pPr>
        <w:spacing w:line="460" w:lineRule="exact"/>
        <w:ind w:firstLine="480" w:firstLineChars="200"/>
        <w:rPr>
          <w:rFonts w:eastAsia="方正仿宋_GBK"/>
          <w:color w:val="000000"/>
          <w:sz w:val="24"/>
        </w:rPr>
      </w:pPr>
    </w:p>
    <w:p>
      <w:pPr>
        <w:spacing w:line="460" w:lineRule="exact"/>
        <w:ind w:firstLine="480" w:firstLineChars="200"/>
        <w:rPr>
          <w:rFonts w:eastAsia="方正仿宋_GBK"/>
          <w:color w:val="000000"/>
          <w:sz w:val="24"/>
        </w:rPr>
      </w:pPr>
    </w:p>
    <w:p>
      <w:pPr>
        <w:spacing w:line="460" w:lineRule="exact"/>
        <w:ind w:firstLine="480" w:firstLineChars="200"/>
        <w:rPr>
          <w:rFonts w:eastAsia="方正仿宋_GBK"/>
          <w:color w:val="000000"/>
          <w:sz w:val="24"/>
        </w:rPr>
      </w:pPr>
    </w:p>
    <w:p>
      <w:pPr>
        <w:spacing w:line="460" w:lineRule="exact"/>
        <w:ind w:firstLine="480" w:firstLineChars="200"/>
        <w:rPr>
          <w:rFonts w:eastAsia="方正仿宋_GBK"/>
          <w:color w:val="000000"/>
          <w:sz w:val="24"/>
        </w:rPr>
      </w:pPr>
    </w:p>
    <w:p>
      <w:pPr>
        <w:pStyle w:val="2"/>
        <w:spacing w:before="240" w:beforeLines="100" w:after="240" w:afterLines="100" w:line="240" w:lineRule="auto"/>
        <w:jc w:val="center"/>
        <w:rPr>
          <w:rFonts w:ascii="Times New Roman" w:eastAsia="方正小标宋_GBK"/>
          <w:b w:val="0"/>
          <w:sz w:val="36"/>
          <w:szCs w:val="36"/>
        </w:rPr>
      </w:pPr>
      <w:bookmarkStart w:id="250" w:name="_Toc18315503"/>
      <w:bookmarkStart w:id="251" w:name="_Toc20726420"/>
      <w:r>
        <w:rPr>
          <w:rFonts w:hint="eastAsia" w:ascii="Times New Roman" w:eastAsia="方正小标宋_GBK"/>
          <w:b w:val="0"/>
          <w:sz w:val="36"/>
          <w:szCs w:val="36"/>
        </w:rPr>
        <w:t>关于印发《江苏省建设领域新技术产业化基地和      科技示范工程管理实施细则》的通知</w:t>
      </w:r>
      <w:bookmarkEnd w:id="250"/>
      <w:bookmarkEnd w:id="251"/>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252" w:name="_Toc20726421"/>
      <w:bookmarkStart w:id="253" w:name="_Toc18315504"/>
      <w:r>
        <w:rPr>
          <w:rFonts w:hint="eastAsia" w:ascii="Times New Roman" w:hAnsi="Times New Roman" w:eastAsia="方正楷体_GBK"/>
          <w:b w:val="0"/>
          <w:sz w:val="24"/>
          <w:szCs w:val="24"/>
        </w:rPr>
        <w:t>苏建科〔</w:t>
      </w:r>
      <w:r>
        <w:rPr>
          <w:rFonts w:ascii="Times New Roman" w:hAnsi="Times New Roman" w:eastAsia="方正楷体_GBK"/>
          <w:b w:val="0"/>
          <w:sz w:val="24"/>
          <w:szCs w:val="24"/>
        </w:rPr>
        <w:t>2003</w:t>
      </w:r>
      <w:r>
        <w:rPr>
          <w:rFonts w:hint="eastAsia" w:ascii="Times New Roman" w:hAnsi="Times New Roman" w:eastAsia="方正楷体_GBK"/>
          <w:b w:val="0"/>
          <w:sz w:val="24"/>
          <w:szCs w:val="24"/>
        </w:rPr>
        <w:t>〕</w:t>
      </w:r>
      <w:r>
        <w:rPr>
          <w:rFonts w:ascii="Times New Roman" w:hAnsi="Times New Roman" w:eastAsia="方正楷体_GBK"/>
          <w:b w:val="0"/>
          <w:sz w:val="24"/>
          <w:szCs w:val="24"/>
        </w:rPr>
        <w:t>99</w:t>
      </w:r>
      <w:r>
        <w:rPr>
          <w:rFonts w:hint="eastAsia" w:ascii="Times New Roman" w:hAnsi="Times New Roman" w:eastAsia="方正楷体_GBK"/>
          <w:b w:val="0"/>
          <w:sz w:val="24"/>
          <w:szCs w:val="24"/>
        </w:rPr>
        <w:t>号</w:t>
      </w:r>
      <w:bookmarkEnd w:id="252"/>
      <w:bookmarkEnd w:id="253"/>
    </w:p>
    <w:p>
      <w:pPr>
        <w:spacing w:line="460" w:lineRule="exact"/>
        <w:rPr>
          <w:rFonts w:eastAsia="方正仿宋_GBK"/>
          <w:bCs/>
          <w:color w:val="000000"/>
          <w:spacing w:val="-2"/>
          <w:kern w:val="0"/>
          <w:sz w:val="24"/>
        </w:rPr>
      </w:pPr>
      <w:r>
        <w:rPr>
          <w:rFonts w:hint="eastAsia" w:eastAsia="方正仿宋_GBK"/>
          <w:bCs/>
          <w:color w:val="000000"/>
          <w:spacing w:val="-2"/>
          <w:kern w:val="0"/>
          <w:sz w:val="24"/>
        </w:rPr>
        <w:t>南京市建委，各省辖市建设局：</w:t>
      </w:r>
    </w:p>
    <w:p>
      <w:pPr>
        <w:spacing w:line="460" w:lineRule="exact"/>
        <w:ind w:firstLine="472" w:firstLineChars="200"/>
        <w:rPr>
          <w:rFonts w:eastAsia="方正仿宋_GBK"/>
          <w:bCs/>
          <w:snapToGrid w:val="0"/>
          <w:color w:val="000000"/>
          <w:spacing w:val="-2"/>
          <w:kern w:val="0"/>
          <w:sz w:val="24"/>
        </w:rPr>
      </w:pPr>
      <w:r>
        <w:rPr>
          <w:rFonts w:hint="eastAsia" w:eastAsia="方正仿宋_GBK"/>
          <w:bCs/>
          <w:snapToGrid w:val="0"/>
          <w:color w:val="000000"/>
          <w:spacing w:val="-2"/>
          <w:kern w:val="0"/>
          <w:sz w:val="24"/>
        </w:rPr>
        <w:t>根据《建设领域推广应用新技术管理规定》</w:t>
      </w:r>
      <w:r>
        <w:rPr>
          <w:rFonts w:eastAsia="方正仿宋_GBK"/>
          <w:bCs/>
          <w:snapToGrid w:val="0"/>
          <w:color w:val="000000"/>
          <w:spacing w:val="-2"/>
          <w:kern w:val="0"/>
          <w:sz w:val="24"/>
        </w:rPr>
        <w:t>(</w:t>
      </w:r>
      <w:r>
        <w:rPr>
          <w:rFonts w:hint="eastAsia" w:eastAsia="方正仿宋_GBK"/>
          <w:bCs/>
          <w:snapToGrid w:val="0"/>
          <w:color w:val="000000"/>
          <w:spacing w:val="-2"/>
          <w:kern w:val="0"/>
          <w:sz w:val="24"/>
        </w:rPr>
        <w:t>建设部令第</w:t>
      </w:r>
      <w:r>
        <w:rPr>
          <w:rFonts w:eastAsia="方正仿宋_GBK"/>
          <w:bCs/>
          <w:snapToGrid w:val="0"/>
          <w:color w:val="000000"/>
          <w:spacing w:val="-2"/>
          <w:kern w:val="0"/>
          <w:sz w:val="24"/>
        </w:rPr>
        <w:t>109</w:t>
      </w:r>
      <w:r>
        <w:rPr>
          <w:rFonts w:hint="eastAsia" w:eastAsia="方正仿宋_GBK"/>
          <w:bCs/>
          <w:snapToGrid w:val="0"/>
          <w:color w:val="000000"/>
          <w:spacing w:val="-2"/>
          <w:kern w:val="0"/>
          <w:sz w:val="24"/>
        </w:rPr>
        <w:t>号</w:t>
      </w:r>
      <w:r>
        <w:rPr>
          <w:rFonts w:eastAsia="方正仿宋_GBK"/>
          <w:bCs/>
          <w:snapToGrid w:val="0"/>
          <w:color w:val="000000"/>
          <w:spacing w:val="-2"/>
          <w:kern w:val="0"/>
          <w:sz w:val="24"/>
        </w:rPr>
        <w:t>),</w:t>
      </w:r>
      <w:r>
        <w:rPr>
          <w:rFonts w:hint="eastAsia" w:eastAsia="方正仿宋_GBK"/>
          <w:bCs/>
          <w:snapToGrid w:val="0"/>
          <w:color w:val="000000"/>
          <w:spacing w:val="-2"/>
          <w:kern w:val="0"/>
          <w:sz w:val="24"/>
        </w:rPr>
        <w:t>结合我省实际，我厅制定了《江苏省建设领域新技术产业化基地和科技示范工程管理实施细则》。现印发给你们，请遵照执行。</w:t>
      </w:r>
    </w:p>
    <w:p>
      <w:pPr>
        <w:spacing w:line="460" w:lineRule="exact"/>
        <w:ind w:firstLine="472" w:firstLineChars="200"/>
        <w:rPr>
          <w:rFonts w:eastAsia="方正仿宋_GBK"/>
          <w:bCs/>
          <w:snapToGrid w:val="0"/>
          <w:color w:val="000000"/>
          <w:spacing w:val="-2"/>
          <w:kern w:val="0"/>
          <w:sz w:val="24"/>
        </w:rPr>
      </w:pPr>
    </w:p>
    <w:p>
      <w:pPr>
        <w:spacing w:line="460" w:lineRule="exact"/>
        <w:ind w:firstLine="472" w:firstLineChars="200"/>
        <w:rPr>
          <w:rFonts w:eastAsia="方正仿宋_GBK"/>
          <w:bCs/>
          <w:snapToGrid w:val="0"/>
          <w:color w:val="000000"/>
          <w:spacing w:val="-2"/>
          <w:kern w:val="0"/>
          <w:sz w:val="24"/>
        </w:rPr>
      </w:pPr>
      <w:r>
        <w:rPr>
          <w:rFonts w:hint="eastAsia" w:eastAsia="方正仿宋_GBK"/>
          <w:bCs/>
          <w:snapToGrid w:val="0"/>
          <w:color w:val="000000"/>
          <w:spacing w:val="-2"/>
          <w:kern w:val="0"/>
          <w:sz w:val="24"/>
        </w:rPr>
        <w:t>附件：《江苏省建设领域新技术产业化基地和科技示范工程管理实施细则》</w:t>
      </w:r>
    </w:p>
    <w:p>
      <w:pPr>
        <w:spacing w:line="460" w:lineRule="exact"/>
        <w:ind w:firstLine="472" w:firstLineChars="200"/>
        <w:rPr>
          <w:rFonts w:eastAsia="方正仿宋_GBK"/>
          <w:bCs/>
          <w:snapToGrid w:val="0"/>
          <w:color w:val="000000"/>
          <w:spacing w:val="-2"/>
          <w:kern w:val="0"/>
          <w:sz w:val="24"/>
        </w:rPr>
      </w:pPr>
    </w:p>
    <w:p>
      <w:pPr>
        <w:adjustRightInd w:val="0"/>
        <w:snapToGrid w:val="0"/>
        <w:spacing w:line="460" w:lineRule="exact"/>
        <w:ind w:right="1037" w:rightChars="494"/>
        <w:jc w:val="right"/>
        <w:rPr>
          <w:rFonts w:eastAsia="方正仿宋_GBK"/>
          <w:bCs/>
          <w:color w:val="000000"/>
          <w:spacing w:val="-2"/>
          <w:kern w:val="0"/>
          <w:sz w:val="24"/>
        </w:rPr>
      </w:pPr>
      <w:r>
        <w:rPr>
          <w:rFonts w:hint="eastAsia" w:eastAsia="方正仿宋_GBK"/>
          <w:bCs/>
          <w:color w:val="000000"/>
          <w:spacing w:val="-2"/>
          <w:kern w:val="0"/>
          <w:sz w:val="24"/>
        </w:rPr>
        <w:t>江苏省建设厅</w:t>
      </w:r>
      <w:r>
        <w:rPr>
          <w:rFonts w:eastAsia="方正仿宋_GBK"/>
          <w:bCs/>
          <w:color w:val="000000"/>
          <w:spacing w:val="-2"/>
          <w:kern w:val="0"/>
          <w:sz w:val="24"/>
        </w:rPr>
        <w:t xml:space="preserve">       </w:t>
      </w:r>
    </w:p>
    <w:p>
      <w:pPr>
        <w:spacing w:line="460" w:lineRule="exact"/>
        <w:ind w:right="437" w:rightChars="208" w:firstLine="472" w:firstLineChars="200"/>
        <w:jc w:val="right"/>
        <w:rPr>
          <w:rFonts w:eastAsia="方正仿宋_GBK"/>
          <w:bCs/>
          <w:snapToGrid w:val="0"/>
          <w:color w:val="000000"/>
          <w:spacing w:val="-2"/>
          <w:kern w:val="0"/>
          <w:sz w:val="24"/>
        </w:rPr>
      </w:pPr>
      <w:r>
        <w:rPr>
          <w:rFonts w:hint="eastAsia" w:eastAsia="方正仿宋_GBK"/>
          <w:bCs/>
          <w:snapToGrid w:val="0"/>
          <w:color w:val="000000"/>
          <w:spacing w:val="-2"/>
          <w:kern w:val="0"/>
          <w:sz w:val="24"/>
        </w:rPr>
        <w:t>二○○三年三月二十六日</w:t>
      </w:r>
      <w:r>
        <w:rPr>
          <w:rFonts w:eastAsia="方正仿宋_GBK"/>
          <w:bCs/>
          <w:snapToGrid w:val="0"/>
          <w:color w:val="000000"/>
          <w:spacing w:val="-2"/>
          <w:kern w:val="0"/>
          <w:sz w:val="24"/>
        </w:rPr>
        <w:t xml:space="preserve">    </w:t>
      </w:r>
    </w:p>
    <w:p>
      <w:pPr>
        <w:spacing w:line="460" w:lineRule="exact"/>
        <w:rPr>
          <w:rFonts w:eastAsia="方正仿宋_GBK"/>
          <w:bCs/>
          <w:color w:val="000000"/>
          <w:spacing w:val="-2"/>
          <w:kern w:val="0"/>
          <w:sz w:val="24"/>
        </w:rPr>
      </w:pPr>
    </w:p>
    <w:p>
      <w:pPr>
        <w:spacing w:line="460" w:lineRule="exact"/>
        <w:rPr>
          <w:rFonts w:eastAsia="方正仿宋_GBK"/>
          <w:color w:val="000000"/>
          <w:spacing w:val="-2"/>
          <w:kern w:val="0"/>
          <w:sz w:val="24"/>
        </w:rPr>
      </w:pPr>
    </w:p>
    <w:p>
      <w:pPr>
        <w:spacing w:line="460" w:lineRule="exact"/>
        <w:jc w:val="center"/>
        <w:rPr>
          <w:rFonts w:ascii="Times New Roman" w:eastAsia="方正黑体_GBK"/>
          <w:bCs/>
          <w:color w:val="000000"/>
          <w:spacing w:val="-2"/>
          <w:kern w:val="0"/>
          <w:sz w:val="36"/>
          <w:szCs w:val="36"/>
        </w:rPr>
      </w:pPr>
      <w:r>
        <w:rPr>
          <w:rFonts w:hint="eastAsia" w:ascii="Times New Roman" w:eastAsia="方正黑体_GBK"/>
          <w:bCs/>
          <w:color w:val="000000"/>
          <w:spacing w:val="-2"/>
          <w:kern w:val="0"/>
          <w:sz w:val="36"/>
          <w:szCs w:val="36"/>
        </w:rPr>
        <w:t>江苏省建设领域新技术产业化基地和</w:t>
      </w:r>
    </w:p>
    <w:p>
      <w:pPr>
        <w:spacing w:line="460" w:lineRule="exact"/>
        <w:jc w:val="center"/>
        <w:rPr>
          <w:rFonts w:hint="eastAsia" w:ascii="Times New Roman" w:eastAsia="方正黑体_GBK"/>
          <w:bCs/>
          <w:color w:val="000000"/>
          <w:spacing w:val="-2"/>
          <w:kern w:val="0"/>
          <w:sz w:val="36"/>
          <w:szCs w:val="36"/>
        </w:rPr>
      </w:pPr>
      <w:r>
        <w:rPr>
          <w:rFonts w:hint="eastAsia" w:ascii="Times New Roman" w:eastAsia="方正黑体_GBK"/>
          <w:bCs/>
          <w:color w:val="000000"/>
          <w:spacing w:val="-2"/>
          <w:kern w:val="0"/>
          <w:sz w:val="36"/>
          <w:szCs w:val="36"/>
        </w:rPr>
        <w:t>科技示范工程管理实施细则</w:t>
      </w:r>
    </w:p>
    <w:p>
      <w:pPr>
        <w:spacing w:line="460" w:lineRule="exact"/>
        <w:jc w:val="center"/>
        <w:rPr>
          <w:rFonts w:hint="eastAsia" w:eastAsia="方正仿宋_GBK"/>
          <w:bCs/>
          <w:color w:val="000000"/>
          <w:spacing w:val="-2"/>
          <w:kern w:val="0"/>
          <w:sz w:val="24"/>
        </w:rPr>
      </w:pPr>
    </w:p>
    <w:p>
      <w:pPr>
        <w:spacing w:line="460" w:lineRule="exact"/>
        <w:jc w:val="center"/>
        <w:rPr>
          <w:rFonts w:ascii="Times New Roman" w:eastAsia="方正黑体_GBK"/>
          <w:bCs/>
          <w:color w:val="000000"/>
          <w:spacing w:val="-2"/>
          <w:kern w:val="0"/>
          <w:sz w:val="24"/>
        </w:rPr>
      </w:pPr>
      <w:r>
        <w:rPr>
          <w:rFonts w:hint="eastAsia" w:ascii="Times New Roman" w:eastAsia="方正黑体_GBK"/>
          <w:bCs/>
          <w:color w:val="000000"/>
          <w:spacing w:val="-2"/>
          <w:kern w:val="0"/>
          <w:sz w:val="24"/>
        </w:rPr>
        <w:t>第一章  总 则</w:t>
      </w:r>
    </w:p>
    <w:p>
      <w:pPr>
        <w:spacing w:line="460" w:lineRule="exact"/>
        <w:rPr>
          <w:rFonts w:hint="eastAsia" w:eastAsia="方正仿宋_GBK"/>
          <w:bCs/>
          <w:color w:val="000000"/>
          <w:spacing w:val="-2"/>
          <w:kern w:val="0"/>
          <w:sz w:val="24"/>
        </w:rPr>
      </w:pPr>
    </w:p>
    <w:p>
      <w:pPr>
        <w:spacing w:line="460" w:lineRule="exact"/>
        <w:ind w:firstLine="472" w:firstLineChars="200"/>
        <w:rPr>
          <w:rFonts w:eastAsia="方正仿宋_GBK"/>
          <w:bCs/>
          <w:color w:val="000000"/>
          <w:spacing w:val="-2"/>
          <w:kern w:val="0"/>
          <w:sz w:val="24"/>
        </w:rPr>
      </w:pPr>
      <w:r>
        <w:rPr>
          <w:rFonts w:hint="eastAsia" w:ascii="Times New Roman" w:eastAsia="方正黑体_GBK"/>
          <w:bCs/>
          <w:color w:val="000000"/>
          <w:spacing w:val="-2"/>
          <w:kern w:val="0"/>
          <w:sz w:val="24"/>
        </w:rPr>
        <w:t xml:space="preserve">第一条 </w:t>
      </w:r>
      <w:r>
        <w:rPr>
          <w:rFonts w:eastAsia="方正仿宋_GBK"/>
          <w:bCs/>
          <w:color w:val="000000"/>
          <w:spacing w:val="-2"/>
          <w:kern w:val="0"/>
          <w:sz w:val="24"/>
        </w:rPr>
        <w:t xml:space="preserve"> </w:t>
      </w:r>
      <w:r>
        <w:rPr>
          <w:rFonts w:hint="eastAsia" w:eastAsia="方正仿宋_GBK"/>
          <w:bCs/>
          <w:color w:val="000000"/>
          <w:spacing w:val="-2"/>
          <w:kern w:val="0"/>
          <w:sz w:val="24"/>
        </w:rPr>
        <w:t>为推动全省建设科技推广项目转化，促进行业技术进步，根据建设部第</w:t>
      </w:r>
      <w:r>
        <w:rPr>
          <w:rFonts w:eastAsia="方正仿宋_GBK"/>
          <w:bCs/>
          <w:color w:val="000000"/>
          <w:spacing w:val="-2"/>
          <w:kern w:val="0"/>
          <w:sz w:val="24"/>
        </w:rPr>
        <w:t>109</w:t>
      </w:r>
      <w:r>
        <w:rPr>
          <w:rFonts w:hint="eastAsia" w:eastAsia="方正仿宋_GBK"/>
          <w:bCs/>
          <w:color w:val="000000"/>
          <w:spacing w:val="-2"/>
          <w:kern w:val="0"/>
          <w:sz w:val="24"/>
        </w:rPr>
        <w:t>号令《建设领域推广应用新技术管理规定》，结合本省实际，制定本细则。</w:t>
      </w:r>
    </w:p>
    <w:p>
      <w:pPr>
        <w:spacing w:line="460" w:lineRule="exact"/>
        <w:ind w:firstLine="462" w:firstLineChars="196"/>
        <w:rPr>
          <w:rFonts w:eastAsia="方正仿宋_GBK"/>
          <w:bCs/>
          <w:color w:val="000000"/>
          <w:spacing w:val="-2"/>
          <w:kern w:val="0"/>
          <w:sz w:val="24"/>
        </w:rPr>
      </w:pPr>
      <w:r>
        <w:rPr>
          <w:rFonts w:hint="eastAsia" w:ascii="Times New Roman" w:eastAsia="方正黑体_GBK"/>
          <w:bCs/>
          <w:color w:val="000000"/>
          <w:spacing w:val="-2"/>
          <w:kern w:val="0"/>
          <w:sz w:val="24"/>
        </w:rPr>
        <w:t xml:space="preserve">第二条 </w:t>
      </w:r>
      <w:r>
        <w:rPr>
          <w:rFonts w:eastAsia="方正仿宋_GBK"/>
          <w:bCs/>
          <w:color w:val="000000"/>
          <w:spacing w:val="-2"/>
          <w:kern w:val="0"/>
          <w:sz w:val="24"/>
        </w:rPr>
        <w:t xml:space="preserve"> </w:t>
      </w:r>
      <w:r>
        <w:rPr>
          <w:rFonts w:hint="eastAsia" w:eastAsia="方正仿宋_GBK"/>
          <w:bCs/>
          <w:color w:val="000000"/>
          <w:spacing w:val="-2"/>
          <w:kern w:val="0"/>
          <w:sz w:val="24"/>
        </w:rPr>
        <w:t>凡在本省行政区域内建设领域建立新技术产业化基地（以下简称产业化基地）和科技示范工程（以下简称示范工程）的活动及其监督管理，均应遵守本细则。</w:t>
      </w:r>
    </w:p>
    <w:p>
      <w:pPr>
        <w:spacing w:line="460" w:lineRule="exact"/>
        <w:ind w:firstLine="462" w:firstLineChars="196"/>
        <w:rPr>
          <w:rFonts w:eastAsia="方正仿宋_GBK"/>
          <w:bCs/>
          <w:color w:val="000000"/>
          <w:spacing w:val="-2"/>
          <w:kern w:val="0"/>
          <w:sz w:val="24"/>
        </w:rPr>
      </w:pPr>
      <w:r>
        <w:rPr>
          <w:rFonts w:hint="eastAsia" w:ascii="Times New Roman" w:eastAsia="方正黑体_GBK"/>
          <w:bCs/>
          <w:color w:val="000000"/>
          <w:spacing w:val="-2"/>
          <w:kern w:val="0"/>
          <w:sz w:val="24"/>
        </w:rPr>
        <w:t>第三条</w:t>
      </w:r>
      <w:r>
        <w:rPr>
          <w:rFonts w:eastAsia="方正仿宋_GBK"/>
          <w:bCs/>
          <w:color w:val="000000"/>
          <w:spacing w:val="-2"/>
          <w:kern w:val="0"/>
          <w:sz w:val="24"/>
        </w:rPr>
        <w:t xml:space="preserve">  </w:t>
      </w:r>
      <w:r>
        <w:rPr>
          <w:rFonts w:hint="eastAsia" w:eastAsia="方正仿宋_GBK"/>
          <w:bCs/>
          <w:color w:val="000000"/>
          <w:spacing w:val="-2"/>
          <w:kern w:val="0"/>
          <w:sz w:val="24"/>
        </w:rPr>
        <w:t>本细则所称的产业化基地是指在具有一定规模和研发能力的企业中，以设立开发、生产和推广应用建设领域某项或某类新技术成果（产品）为目的的研发生产基地。</w:t>
      </w:r>
    </w:p>
    <w:p>
      <w:pPr>
        <w:spacing w:line="460" w:lineRule="exact"/>
        <w:ind w:firstLine="462" w:firstLineChars="196"/>
        <w:rPr>
          <w:rFonts w:eastAsia="方正仿宋_GBK"/>
          <w:bCs/>
          <w:color w:val="000000"/>
          <w:spacing w:val="-2"/>
          <w:kern w:val="0"/>
          <w:sz w:val="24"/>
        </w:rPr>
      </w:pPr>
      <w:r>
        <w:rPr>
          <w:rFonts w:hint="eastAsia" w:eastAsia="方正仿宋_GBK"/>
          <w:bCs/>
          <w:color w:val="000000"/>
          <w:spacing w:val="-2"/>
          <w:kern w:val="0"/>
          <w:sz w:val="24"/>
        </w:rPr>
        <w:t>本细则所称新技术产业包括涉及到建设工程应用的化学建材（建筑涂料、塑料管、混凝土外加剂、保温隔热材料、塑料门窗、建筑防水材料、粘结剂）、钢结构（重钢、轻钢、索模）、新型墙体材料（承重、非承重）、建筑用玻璃、建筑节能产品（太阳能、地热、水热）、中水回用、污水处理、垃圾处理、建筑智能化等行业。</w:t>
      </w:r>
    </w:p>
    <w:p>
      <w:pPr>
        <w:spacing w:line="460" w:lineRule="exact"/>
        <w:ind w:firstLine="462" w:firstLineChars="196"/>
        <w:rPr>
          <w:rFonts w:eastAsia="方正仿宋_GBK"/>
          <w:bCs/>
          <w:color w:val="000000"/>
          <w:spacing w:val="-2"/>
          <w:kern w:val="0"/>
          <w:sz w:val="24"/>
        </w:rPr>
      </w:pPr>
      <w:r>
        <w:rPr>
          <w:rFonts w:hint="eastAsia" w:ascii="Times New Roman" w:eastAsia="方正黑体_GBK"/>
          <w:bCs/>
          <w:color w:val="000000"/>
          <w:spacing w:val="-2"/>
          <w:kern w:val="0"/>
          <w:sz w:val="24"/>
        </w:rPr>
        <w:t xml:space="preserve">第四条 </w:t>
      </w:r>
      <w:r>
        <w:rPr>
          <w:rFonts w:eastAsia="方正仿宋_GBK"/>
          <w:bCs/>
          <w:color w:val="000000"/>
          <w:spacing w:val="-2"/>
          <w:kern w:val="0"/>
          <w:sz w:val="24"/>
        </w:rPr>
        <w:t xml:space="preserve"> </w:t>
      </w:r>
      <w:r>
        <w:rPr>
          <w:rFonts w:hint="eastAsia" w:eastAsia="方正仿宋_GBK"/>
          <w:bCs/>
          <w:color w:val="000000"/>
          <w:spacing w:val="-2"/>
          <w:kern w:val="0"/>
          <w:sz w:val="24"/>
        </w:rPr>
        <w:t>本细则所称的示范工程，是指优化集成先进适用成套技术，为不同类型工程推广应用新技术提供范例的工程项目。</w:t>
      </w:r>
      <w:r>
        <w:rPr>
          <w:rFonts w:eastAsia="方正仿宋_GBK"/>
          <w:bCs/>
          <w:color w:val="000000"/>
          <w:spacing w:val="-2"/>
          <w:kern w:val="0"/>
          <w:sz w:val="24"/>
        </w:rPr>
        <w:t xml:space="preserve"> </w:t>
      </w:r>
    </w:p>
    <w:p>
      <w:pPr>
        <w:spacing w:line="460" w:lineRule="exact"/>
        <w:ind w:firstLine="462" w:firstLineChars="196"/>
        <w:rPr>
          <w:rFonts w:eastAsia="方正仿宋_GBK"/>
          <w:bCs/>
          <w:color w:val="000000"/>
          <w:spacing w:val="-2"/>
          <w:kern w:val="0"/>
          <w:sz w:val="24"/>
        </w:rPr>
      </w:pPr>
      <w:r>
        <w:rPr>
          <w:rFonts w:hint="eastAsia" w:eastAsia="方正仿宋_GBK"/>
          <w:bCs/>
          <w:color w:val="000000"/>
          <w:spacing w:val="-2"/>
          <w:kern w:val="0"/>
          <w:sz w:val="24"/>
        </w:rPr>
        <w:t>本细则所称优化集成先进适用成套技术，是指建设部或我省《技术公告》中所确定的推广应用项目或通过省级及以上建设行政主管部门组织技术认证的成套技术。</w:t>
      </w:r>
    </w:p>
    <w:p>
      <w:pPr>
        <w:spacing w:line="460" w:lineRule="exact"/>
        <w:ind w:firstLine="462" w:firstLineChars="196"/>
        <w:rPr>
          <w:rFonts w:eastAsia="方正仿宋_GBK"/>
          <w:bCs/>
          <w:color w:val="000000"/>
          <w:spacing w:val="-2"/>
          <w:kern w:val="0"/>
          <w:sz w:val="24"/>
        </w:rPr>
      </w:pPr>
      <w:r>
        <w:rPr>
          <w:rFonts w:hint="eastAsia" w:ascii="Times New Roman" w:eastAsia="方正黑体_GBK"/>
          <w:bCs/>
          <w:color w:val="000000"/>
          <w:spacing w:val="-2"/>
          <w:kern w:val="0"/>
          <w:sz w:val="24"/>
        </w:rPr>
        <w:t>第五条</w:t>
      </w:r>
      <w:r>
        <w:rPr>
          <w:rFonts w:eastAsia="方正仿宋_GBK"/>
          <w:bCs/>
          <w:color w:val="000000"/>
          <w:spacing w:val="-2"/>
          <w:kern w:val="0"/>
          <w:sz w:val="24"/>
        </w:rPr>
        <w:t xml:space="preserve">  </w:t>
      </w:r>
      <w:r>
        <w:rPr>
          <w:rFonts w:hint="eastAsia" w:eastAsia="方正仿宋_GBK"/>
          <w:bCs/>
          <w:color w:val="000000"/>
          <w:spacing w:val="-2"/>
          <w:kern w:val="0"/>
          <w:sz w:val="24"/>
        </w:rPr>
        <w:t>省、设区的市及县（市）建设行政主管部门按照分级管理的原则，负责对本行政区域内产业化基地及示范工程的申报、批准、验收和发布实施监督管理。</w:t>
      </w:r>
    </w:p>
    <w:p>
      <w:pPr>
        <w:spacing w:line="460" w:lineRule="exact"/>
        <w:ind w:firstLine="462" w:firstLineChars="196"/>
        <w:rPr>
          <w:rFonts w:eastAsia="方正仿宋_GBK"/>
          <w:bCs/>
          <w:color w:val="000000"/>
          <w:spacing w:val="-2"/>
          <w:kern w:val="0"/>
          <w:sz w:val="24"/>
        </w:rPr>
      </w:pPr>
    </w:p>
    <w:p>
      <w:pPr>
        <w:spacing w:line="460" w:lineRule="exact"/>
        <w:jc w:val="center"/>
        <w:rPr>
          <w:rFonts w:ascii="Times New Roman" w:eastAsia="方正黑体_GBK"/>
          <w:bCs/>
          <w:color w:val="000000"/>
          <w:spacing w:val="-2"/>
          <w:kern w:val="0"/>
          <w:sz w:val="24"/>
        </w:rPr>
      </w:pPr>
      <w:r>
        <w:rPr>
          <w:rFonts w:hint="eastAsia" w:ascii="Times New Roman" w:eastAsia="方正黑体_GBK"/>
          <w:bCs/>
          <w:color w:val="000000"/>
          <w:spacing w:val="-2"/>
          <w:kern w:val="0"/>
          <w:sz w:val="24"/>
        </w:rPr>
        <w:t>第二章  申报和批准</w:t>
      </w:r>
    </w:p>
    <w:p>
      <w:pPr>
        <w:tabs>
          <w:tab w:val="left" w:pos="658"/>
        </w:tabs>
        <w:spacing w:line="460" w:lineRule="exact"/>
        <w:ind w:firstLine="462" w:firstLineChars="196"/>
        <w:rPr>
          <w:rFonts w:hint="eastAsia" w:eastAsia="方正仿宋_GBK"/>
          <w:bCs/>
          <w:color w:val="000000"/>
          <w:spacing w:val="-2"/>
          <w:kern w:val="0"/>
          <w:sz w:val="24"/>
        </w:rPr>
      </w:pPr>
    </w:p>
    <w:p>
      <w:pPr>
        <w:tabs>
          <w:tab w:val="left" w:pos="658"/>
        </w:tabs>
        <w:spacing w:line="460" w:lineRule="exact"/>
        <w:ind w:firstLine="462" w:firstLineChars="196"/>
        <w:rPr>
          <w:rFonts w:eastAsia="方正仿宋_GBK"/>
          <w:bCs/>
          <w:color w:val="000000"/>
          <w:spacing w:val="-2"/>
          <w:kern w:val="0"/>
          <w:sz w:val="24"/>
        </w:rPr>
      </w:pPr>
      <w:r>
        <w:rPr>
          <w:rFonts w:hint="eastAsia" w:ascii="Times New Roman" w:eastAsia="方正黑体_GBK"/>
          <w:bCs/>
          <w:color w:val="000000"/>
          <w:spacing w:val="-2"/>
          <w:kern w:val="0"/>
          <w:sz w:val="24"/>
        </w:rPr>
        <w:t xml:space="preserve">第六条 </w:t>
      </w:r>
      <w:r>
        <w:rPr>
          <w:rFonts w:eastAsia="方正仿宋_GBK"/>
          <w:bCs/>
          <w:color w:val="000000"/>
          <w:spacing w:val="-2"/>
          <w:kern w:val="0"/>
          <w:sz w:val="24"/>
        </w:rPr>
        <w:t xml:space="preserve"> </w:t>
      </w:r>
      <w:r>
        <w:rPr>
          <w:rFonts w:hint="eastAsia" w:eastAsia="方正仿宋_GBK"/>
          <w:bCs/>
          <w:color w:val="000000"/>
          <w:spacing w:val="-2"/>
          <w:kern w:val="0"/>
          <w:sz w:val="24"/>
        </w:rPr>
        <w:t>产业化基地或者示范工程每年上半年组织申报一次。</w:t>
      </w:r>
    </w:p>
    <w:p>
      <w:pPr>
        <w:tabs>
          <w:tab w:val="left" w:pos="1316"/>
        </w:tabs>
        <w:spacing w:line="460" w:lineRule="exact"/>
        <w:ind w:firstLine="462" w:firstLineChars="196"/>
        <w:rPr>
          <w:rFonts w:eastAsia="方正仿宋_GBK"/>
          <w:bCs/>
          <w:color w:val="000000"/>
          <w:spacing w:val="-2"/>
          <w:kern w:val="0"/>
          <w:sz w:val="24"/>
        </w:rPr>
      </w:pPr>
      <w:r>
        <w:rPr>
          <w:rFonts w:hint="eastAsia" w:ascii="Times New Roman" w:eastAsia="方正黑体_GBK"/>
          <w:bCs/>
          <w:color w:val="000000"/>
          <w:spacing w:val="-2"/>
          <w:kern w:val="0"/>
          <w:sz w:val="24"/>
        </w:rPr>
        <w:t>第七条</w:t>
      </w:r>
      <w:r>
        <w:rPr>
          <w:rFonts w:eastAsia="方正仿宋_GBK"/>
          <w:bCs/>
          <w:color w:val="000000"/>
          <w:spacing w:val="-2"/>
          <w:kern w:val="0"/>
          <w:sz w:val="24"/>
        </w:rPr>
        <w:t xml:space="preserve">  </w:t>
      </w:r>
      <w:r>
        <w:rPr>
          <w:rFonts w:hint="eastAsia" w:eastAsia="方正仿宋_GBK"/>
          <w:bCs/>
          <w:color w:val="000000"/>
          <w:spacing w:val="-2"/>
          <w:kern w:val="0"/>
          <w:sz w:val="24"/>
        </w:rPr>
        <w:t>申报产业化基地应同时符合以下条件：</w:t>
      </w:r>
    </w:p>
    <w:p>
      <w:pPr>
        <w:tabs>
          <w:tab w:val="left" w:pos="1316"/>
        </w:tabs>
        <w:spacing w:line="460" w:lineRule="exact"/>
        <w:ind w:firstLine="472" w:firstLineChars="200"/>
        <w:rPr>
          <w:rFonts w:eastAsia="方正仿宋_GBK"/>
          <w:bCs/>
          <w:color w:val="000000"/>
          <w:spacing w:val="-2"/>
          <w:kern w:val="0"/>
          <w:sz w:val="24"/>
        </w:rPr>
      </w:pPr>
      <w:r>
        <w:rPr>
          <w:rFonts w:hint="eastAsia" w:eastAsia="方正仿宋_GBK"/>
          <w:bCs/>
          <w:color w:val="000000"/>
          <w:spacing w:val="-2"/>
          <w:kern w:val="0"/>
          <w:sz w:val="24"/>
        </w:rPr>
        <w:t>（一）具有良好的管理体制和运行机制（通过</w:t>
      </w:r>
      <w:r>
        <w:rPr>
          <w:rFonts w:eastAsia="方正仿宋_GBK"/>
          <w:bCs/>
          <w:color w:val="000000"/>
          <w:spacing w:val="-2"/>
          <w:kern w:val="0"/>
          <w:sz w:val="24"/>
        </w:rPr>
        <w:t>ISO9000</w:t>
      </w:r>
      <w:r>
        <w:rPr>
          <w:rFonts w:hint="eastAsia" w:eastAsia="方正仿宋_GBK"/>
          <w:bCs/>
          <w:color w:val="000000"/>
          <w:spacing w:val="-2"/>
          <w:kern w:val="0"/>
          <w:sz w:val="24"/>
        </w:rPr>
        <w:t>和</w:t>
      </w:r>
      <w:r>
        <w:rPr>
          <w:rFonts w:eastAsia="方正仿宋_GBK"/>
          <w:bCs/>
          <w:color w:val="000000"/>
          <w:spacing w:val="-2"/>
          <w:kern w:val="0"/>
          <w:sz w:val="24"/>
        </w:rPr>
        <w:t>14000</w:t>
      </w:r>
      <w:r>
        <w:rPr>
          <w:rFonts w:hint="eastAsia" w:eastAsia="方正仿宋_GBK"/>
          <w:bCs/>
          <w:color w:val="000000"/>
          <w:spacing w:val="-2"/>
          <w:kern w:val="0"/>
          <w:sz w:val="24"/>
        </w:rPr>
        <w:t>标准的认证），组织机构健全，管理科学合理，人员素质较高；</w:t>
      </w:r>
    </w:p>
    <w:p>
      <w:pPr>
        <w:tabs>
          <w:tab w:val="left" w:pos="1316"/>
        </w:tabs>
        <w:spacing w:line="460" w:lineRule="exact"/>
        <w:ind w:firstLine="472" w:firstLineChars="200"/>
        <w:rPr>
          <w:rFonts w:eastAsia="方正仿宋_GBK"/>
          <w:bCs/>
          <w:color w:val="000000"/>
          <w:spacing w:val="-2"/>
          <w:kern w:val="0"/>
          <w:sz w:val="24"/>
        </w:rPr>
      </w:pPr>
      <w:r>
        <w:rPr>
          <w:rFonts w:hint="eastAsia" w:eastAsia="方正仿宋_GBK"/>
          <w:bCs/>
          <w:color w:val="000000"/>
          <w:spacing w:val="-2"/>
          <w:kern w:val="0"/>
          <w:sz w:val="24"/>
        </w:rPr>
        <w:t>（二）具有一定规模和效益，其产品规模在行业中有一定的影响力，在国内或省内名列前茅，在市场中有良好的质量信誉；</w:t>
      </w:r>
    </w:p>
    <w:p>
      <w:pPr>
        <w:tabs>
          <w:tab w:val="left" w:pos="1316"/>
        </w:tabs>
        <w:spacing w:line="460" w:lineRule="exact"/>
        <w:ind w:firstLine="472" w:firstLineChars="200"/>
        <w:rPr>
          <w:rFonts w:eastAsia="方正仿宋_GBK"/>
          <w:bCs/>
          <w:color w:val="000000"/>
          <w:spacing w:val="-2"/>
          <w:kern w:val="0"/>
          <w:sz w:val="24"/>
        </w:rPr>
      </w:pPr>
      <w:r>
        <w:rPr>
          <w:rFonts w:hint="eastAsia" w:eastAsia="方正仿宋_GBK"/>
          <w:bCs/>
          <w:color w:val="000000"/>
          <w:spacing w:val="-2"/>
          <w:kern w:val="0"/>
          <w:sz w:val="24"/>
        </w:rPr>
        <w:t>（三）具有研发能力，设有技术中心，技术创新能力较强，每年有不少于其产值的</w:t>
      </w:r>
      <w:r>
        <w:rPr>
          <w:rFonts w:eastAsia="方正仿宋_GBK"/>
          <w:bCs/>
          <w:color w:val="000000"/>
          <w:spacing w:val="-2"/>
          <w:kern w:val="0"/>
          <w:sz w:val="24"/>
        </w:rPr>
        <w:t>3%</w:t>
      </w:r>
      <w:r>
        <w:rPr>
          <w:rFonts w:hint="eastAsia" w:eastAsia="方正仿宋_GBK"/>
          <w:bCs/>
          <w:color w:val="000000"/>
          <w:spacing w:val="-2"/>
          <w:kern w:val="0"/>
          <w:sz w:val="24"/>
        </w:rPr>
        <w:t>的研发经费，其成果居行业先进水平；</w:t>
      </w:r>
    </w:p>
    <w:p>
      <w:pPr>
        <w:tabs>
          <w:tab w:val="left" w:pos="1316"/>
        </w:tabs>
        <w:spacing w:line="460" w:lineRule="exact"/>
        <w:ind w:firstLine="472" w:firstLineChars="200"/>
        <w:rPr>
          <w:rFonts w:eastAsia="方正仿宋_GBK"/>
          <w:bCs/>
          <w:color w:val="000000"/>
          <w:spacing w:val="-2"/>
          <w:kern w:val="0"/>
          <w:sz w:val="24"/>
        </w:rPr>
      </w:pPr>
      <w:r>
        <w:rPr>
          <w:rFonts w:hint="eastAsia" w:eastAsia="方正仿宋_GBK"/>
          <w:bCs/>
          <w:color w:val="000000"/>
          <w:spacing w:val="-2"/>
          <w:kern w:val="0"/>
          <w:sz w:val="24"/>
        </w:rPr>
        <w:t>（四）具有行业发展的示范作用，在技术创新、产业化和人力资源开发等方面，能为行业发展提供服务；</w:t>
      </w:r>
    </w:p>
    <w:p>
      <w:pPr>
        <w:tabs>
          <w:tab w:val="left" w:pos="1316"/>
        </w:tabs>
        <w:spacing w:line="460" w:lineRule="exact"/>
        <w:ind w:firstLine="472" w:firstLineChars="200"/>
        <w:rPr>
          <w:rFonts w:eastAsia="方正仿宋_GBK"/>
          <w:bCs/>
          <w:color w:val="000000"/>
          <w:spacing w:val="-2"/>
          <w:kern w:val="0"/>
          <w:sz w:val="24"/>
        </w:rPr>
      </w:pPr>
      <w:r>
        <w:rPr>
          <w:rFonts w:hint="eastAsia" w:eastAsia="方正仿宋_GBK"/>
          <w:bCs/>
          <w:color w:val="000000"/>
          <w:spacing w:val="-2"/>
          <w:kern w:val="0"/>
          <w:sz w:val="24"/>
        </w:rPr>
        <w:t>（五）具有切实可行的产业化基地建设规划和工作目标。</w:t>
      </w:r>
    </w:p>
    <w:p>
      <w:pPr>
        <w:tabs>
          <w:tab w:val="left" w:pos="1316"/>
        </w:tabs>
        <w:spacing w:line="460" w:lineRule="exact"/>
        <w:ind w:firstLine="462" w:firstLineChars="196"/>
        <w:rPr>
          <w:rFonts w:eastAsia="方正仿宋_GBK"/>
          <w:bCs/>
          <w:color w:val="000000"/>
          <w:spacing w:val="-2"/>
          <w:kern w:val="0"/>
          <w:sz w:val="24"/>
        </w:rPr>
      </w:pPr>
      <w:r>
        <w:rPr>
          <w:rFonts w:hint="eastAsia" w:ascii="Times New Roman" w:eastAsia="方正黑体_GBK"/>
          <w:bCs/>
          <w:color w:val="000000"/>
          <w:spacing w:val="-2"/>
          <w:kern w:val="0"/>
          <w:sz w:val="24"/>
        </w:rPr>
        <w:t xml:space="preserve">第八条 </w:t>
      </w:r>
      <w:r>
        <w:rPr>
          <w:rFonts w:eastAsia="方正仿宋_GBK"/>
          <w:bCs/>
          <w:color w:val="000000"/>
          <w:spacing w:val="-2"/>
          <w:kern w:val="0"/>
          <w:sz w:val="24"/>
        </w:rPr>
        <w:t xml:space="preserve"> </w:t>
      </w:r>
      <w:r>
        <w:rPr>
          <w:rFonts w:hint="eastAsia" w:eastAsia="方正仿宋_GBK"/>
          <w:bCs/>
          <w:color w:val="000000"/>
          <w:spacing w:val="-2"/>
          <w:kern w:val="0"/>
          <w:sz w:val="24"/>
        </w:rPr>
        <w:t>申报示范工程应同时符合以下条件：</w:t>
      </w:r>
    </w:p>
    <w:p>
      <w:pPr>
        <w:tabs>
          <w:tab w:val="left" w:pos="1316"/>
        </w:tabs>
        <w:spacing w:line="460" w:lineRule="exact"/>
        <w:ind w:firstLine="472" w:firstLineChars="200"/>
        <w:rPr>
          <w:rFonts w:eastAsia="方正仿宋_GBK"/>
          <w:bCs/>
          <w:color w:val="000000"/>
          <w:spacing w:val="-2"/>
          <w:kern w:val="0"/>
          <w:sz w:val="24"/>
        </w:rPr>
      </w:pPr>
      <w:r>
        <w:rPr>
          <w:rFonts w:hint="eastAsia" w:eastAsia="方正仿宋_GBK"/>
          <w:bCs/>
          <w:color w:val="000000"/>
          <w:spacing w:val="-2"/>
          <w:kern w:val="0"/>
          <w:sz w:val="24"/>
        </w:rPr>
        <w:t>（一）应是国家或地方的重点工程、标志性建筑或面广量大具有普遍意义的工程项目。可以是拟建、在建或竣工时间在一年内的工程。拟建工程应在申请示范工程立项前办理有关工程审批手续；</w:t>
      </w:r>
    </w:p>
    <w:p>
      <w:pPr>
        <w:tabs>
          <w:tab w:val="left" w:pos="1316"/>
        </w:tabs>
        <w:spacing w:line="460" w:lineRule="exact"/>
        <w:ind w:firstLine="472" w:firstLineChars="200"/>
        <w:rPr>
          <w:rFonts w:eastAsia="方正仿宋_GBK"/>
          <w:bCs/>
          <w:color w:val="000000"/>
          <w:spacing w:val="-2"/>
          <w:kern w:val="0"/>
          <w:sz w:val="24"/>
        </w:rPr>
      </w:pPr>
      <w:r>
        <w:rPr>
          <w:rFonts w:hint="eastAsia" w:eastAsia="方正仿宋_GBK"/>
          <w:bCs/>
          <w:color w:val="000000"/>
          <w:spacing w:val="-2"/>
          <w:kern w:val="0"/>
          <w:sz w:val="24"/>
        </w:rPr>
        <w:t>（二）以提高工程整体效益为目标，实现技术的集成与优化，形成完整的成套技术；</w:t>
      </w:r>
    </w:p>
    <w:p>
      <w:pPr>
        <w:tabs>
          <w:tab w:val="left" w:pos="1316"/>
        </w:tabs>
        <w:spacing w:line="460" w:lineRule="exact"/>
        <w:ind w:firstLine="472" w:firstLineChars="200"/>
        <w:rPr>
          <w:rFonts w:eastAsia="方正仿宋_GBK"/>
          <w:bCs/>
          <w:color w:val="000000"/>
          <w:spacing w:val="-2"/>
          <w:kern w:val="0"/>
          <w:sz w:val="24"/>
        </w:rPr>
      </w:pPr>
      <w:r>
        <w:rPr>
          <w:rFonts w:hint="eastAsia" w:eastAsia="方正仿宋_GBK"/>
          <w:bCs/>
          <w:color w:val="000000"/>
          <w:spacing w:val="-2"/>
          <w:kern w:val="0"/>
          <w:sz w:val="24"/>
        </w:rPr>
        <w:t>（三）选用技术应为省级及以上建设行政主管部门发布的推广项目，且必须是示范工程需要使用的重大关键技术，其他配套技术可根据需要选用，但必须经过省建设行政主管部门组织的技术论证。</w:t>
      </w:r>
    </w:p>
    <w:p>
      <w:pPr>
        <w:spacing w:line="460" w:lineRule="exact"/>
        <w:ind w:firstLine="660"/>
        <w:rPr>
          <w:rFonts w:eastAsia="方正仿宋_GBK"/>
          <w:bCs/>
          <w:color w:val="000000"/>
          <w:spacing w:val="-2"/>
          <w:kern w:val="0"/>
          <w:sz w:val="24"/>
        </w:rPr>
      </w:pPr>
      <w:r>
        <w:rPr>
          <w:rFonts w:hint="eastAsia" w:eastAsia="方正仿宋_GBK"/>
          <w:bCs/>
          <w:color w:val="000000"/>
          <w:spacing w:val="-2"/>
          <w:kern w:val="0"/>
          <w:sz w:val="24"/>
        </w:rPr>
        <w:t>示范工程申报单位可以由业主、施工安装单位、工程总承包单位、工程勘察设计单位、选用技术的持有单位单独或联合申报。</w:t>
      </w:r>
    </w:p>
    <w:p>
      <w:pPr>
        <w:spacing w:line="460" w:lineRule="exact"/>
        <w:ind w:firstLine="462" w:firstLineChars="196"/>
        <w:rPr>
          <w:rFonts w:eastAsia="方正仿宋_GBK"/>
          <w:bCs/>
          <w:color w:val="000000"/>
          <w:spacing w:val="-2"/>
          <w:kern w:val="0"/>
          <w:sz w:val="24"/>
        </w:rPr>
      </w:pPr>
      <w:r>
        <w:rPr>
          <w:rFonts w:hint="eastAsia" w:ascii="Times New Roman" w:eastAsia="方正黑体_GBK"/>
          <w:bCs/>
          <w:color w:val="000000"/>
          <w:spacing w:val="-2"/>
          <w:kern w:val="0"/>
          <w:sz w:val="24"/>
        </w:rPr>
        <w:t>第九条</w:t>
      </w:r>
      <w:r>
        <w:rPr>
          <w:rFonts w:eastAsia="方正仿宋_GBK"/>
          <w:bCs/>
          <w:color w:val="000000"/>
          <w:spacing w:val="-2"/>
          <w:kern w:val="0"/>
          <w:sz w:val="24"/>
        </w:rPr>
        <w:t xml:space="preserve">  </w:t>
      </w:r>
      <w:r>
        <w:rPr>
          <w:rFonts w:hint="eastAsia" w:eastAsia="方正仿宋_GBK"/>
          <w:bCs/>
          <w:color w:val="000000"/>
          <w:spacing w:val="-2"/>
          <w:kern w:val="0"/>
          <w:sz w:val="24"/>
        </w:rPr>
        <w:t>申报单位需持填写好的《江苏省建设领域新技术产业化基地申请书》（附件一）或《江苏省建设领域科技示范工程申请书》（附件二）以及按要求应当提供的附件材料，向所在地设区的市建设行政主管部门提出申请。</w:t>
      </w:r>
    </w:p>
    <w:p>
      <w:pPr>
        <w:spacing w:line="460" w:lineRule="exact"/>
        <w:ind w:firstLine="462" w:firstLineChars="196"/>
        <w:rPr>
          <w:rFonts w:eastAsia="方正仿宋_GBK"/>
          <w:bCs/>
          <w:color w:val="000000"/>
          <w:spacing w:val="-2"/>
          <w:kern w:val="0"/>
          <w:sz w:val="24"/>
        </w:rPr>
      </w:pPr>
      <w:r>
        <w:rPr>
          <w:rFonts w:hint="eastAsia" w:ascii="Times New Roman" w:eastAsia="方正黑体_GBK"/>
          <w:bCs/>
          <w:color w:val="000000"/>
          <w:spacing w:val="-2"/>
          <w:kern w:val="0"/>
          <w:sz w:val="24"/>
        </w:rPr>
        <w:t xml:space="preserve">第十条 </w:t>
      </w:r>
      <w:r>
        <w:rPr>
          <w:rFonts w:eastAsia="方正仿宋_GBK"/>
          <w:bCs/>
          <w:color w:val="000000"/>
          <w:spacing w:val="-2"/>
          <w:kern w:val="0"/>
          <w:sz w:val="24"/>
        </w:rPr>
        <w:t xml:space="preserve"> </w:t>
      </w:r>
      <w:r>
        <w:rPr>
          <w:rFonts w:hint="eastAsia" w:eastAsia="方正仿宋_GBK"/>
          <w:bCs/>
          <w:color w:val="000000"/>
          <w:spacing w:val="-2"/>
          <w:kern w:val="0"/>
          <w:sz w:val="24"/>
        </w:rPr>
        <w:t>设区的市建设行政主管部门对申报材料和申请单位的条件进行初审，签署初审意见后报送省建设行政主管部门组织评审。对符合条件的项目由省建设行政主管部门批准列为江苏省建设领域产业化基地或示范工程。</w:t>
      </w:r>
    </w:p>
    <w:p>
      <w:pPr>
        <w:tabs>
          <w:tab w:val="left" w:pos="0"/>
        </w:tabs>
        <w:spacing w:line="460" w:lineRule="exact"/>
        <w:ind w:firstLine="462" w:firstLineChars="196"/>
        <w:rPr>
          <w:rFonts w:eastAsia="方正仿宋_GBK"/>
          <w:bCs/>
          <w:color w:val="000000"/>
          <w:spacing w:val="-2"/>
          <w:kern w:val="0"/>
          <w:sz w:val="24"/>
        </w:rPr>
      </w:pPr>
      <w:r>
        <w:rPr>
          <w:rFonts w:hint="eastAsia" w:ascii="Times New Roman" w:eastAsia="方正黑体_GBK"/>
          <w:bCs/>
          <w:color w:val="000000"/>
          <w:spacing w:val="-2"/>
          <w:kern w:val="0"/>
          <w:sz w:val="24"/>
        </w:rPr>
        <w:t>第十一条</w:t>
      </w:r>
      <w:r>
        <w:rPr>
          <w:rFonts w:eastAsia="方正仿宋_GBK"/>
          <w:bCs/>
          <w:color w:val="000000"/>
          <w:spacing w:val="-2"/>
          <w:kern w:val="0"/>
          <w:sz w:val="24"/>
        </w:rPr>
        <w:t xml:space="preserve">  </w:t>
      </w:r>
      <w:r>
        <w:rPr>
          <w:rFonts w:hint="eastAsia" w:eastAsia="方正仿宋_GBK"/>
          <w:bCs/>
          <w:color w:val="000000"/>
          <w:spacing w:val="-2"/>
          <w:kern w:val="0"/>
          <w:sz w:val="24"/>
        </w:rPr>
        <w:t>申报建设部的产业化基地或示范工程，原则上应是经省建设行政主管部门批准的产业化基地或示范工程。其申报材料应经所在地设区的市建设行政主管部门预审并报省建设行政主管部门，由省建设行政主管部门审查后统一向建设部申报。</w:t>
      </w:r>
      <w:r>
        <w:rPr>
          <w:rFonts w:eastAsia="方正仿宋_GBK"/>
          <w:bCs/>
          <w:color w:val="000000"/>
          <w:spacing w:val="-2"/>
          <w:kern w:val="0"/>
          <w:sz w:val="24"/>
        </w:rPr>
        <w:t xml:space="preserve"> </w:t>
      </w:r>
    </w:p>
    <w:p>
      <w:pPr>
        <w:tabs>
          <w:tab w:val="left" w:pos="0"/>
        </w:tabs>
        <w:spacing w:line="460" w:lineRule="exact"/>
        <w:ind w:firstLine="462" w:firstLineChars="196"/>
        <w:rPr>
          <w:rFonts w:eastAsia="方正仿宋_GBK"/>
          <w:bCs/>
          <w:color w:val="000000"/>
          <w:spacing w:val="-2"/>
          <w:kern w:val="0"/>
          <w:sz w:val="24"/>
        </w:rPr>
      </w:pPr>
    </w:p>
    <w:p>
      <w:pPr>
        <w:spacing w:line="460" w:lineRule="exact"/>
        <w:jc w:val="center"/>
        <w:rPr>
          <w:rFonts w:ascii="Times New Roman" w:eastAsia="方正黑体_GBK"/>
          <w:bCs/>
          <w:color w:val="000000"/>
          <w:spacing w:val="-2"/>
          <w:kern w:val="0"/>
          <w:sz w:val="24"/>
        </w:rPr>
      </w:pPr>
      <w:r>
        <w:rPr>
          <w:rFonts w:hint="eastAsia" w:ascii="Times New Roman" w:eastAsia="方正黑体_GBK"/>
          <w:bCs/>
          <w:color w:val="000000"/>
          <w:spacing w:val="-2"/>
          <w:kern w:val="0"/>
          <w:sz w:val="24"/>
        </w:rPr>
        <w:t>第三章  实施和验收</w:t>
      </w:r>
    </w:p>
    <w:p>
      <w:pPr>
        <w:tabs>
          <w:tab w:val="left" w:pos="658"/>
        </w:tabs>
        <w:spacing w:line="460" w:lineRule="exact"/>
        <w:ind w:firstLine="462" w:firstLineChars="196"/>
        <w:rPr>
          <w:rFonts w:hint="eastAsia" w:eastAsia="方正仿宋_GBK"/>
          <w:bCs/>
          <w:color w:val="000000"/>
          <w:spacing w:val="-2"/>
          <w:kern w:val="0"/>
          <w:sz w:val="24"/>
        </w:rPr>
      </w:pPr>
    </w:p>
    <w:p>
      <w:pPr>
        <w:tabs>
          <w:tab w:val="left" w:pos="658"/>
        </w:tabs>
        <w:spacing w:line="460" w:lineRule="exact"/>
        <w:ind w:firstLine="462" w:firstLineChars="196"/>
        <w:rPr>
          <w:rFonts w:eastAsia="方正仿宋_GBK"/>
          <w:bCs/>
          <w:color w:val="000000"/>
          <w:spacing w:val="-2"/>
          <w:kern w:val="0"/>
          <w:sz w:val="24"/>
        </w:rPr>
      </w:pPr>
      <w:r>
        <w:rPr>
          <w:rFonts w:hint="eastAsia" w:ascii="Times New Roman" w:eastAsia="方正黑体_GBK"/>
          <w:bCs/>
          <w:color w:val="000000"/>
          <w:spacing w:val="-2"/>
          <w:kern w:val="0"/>
          <w:sz w:val="24"/>
        </w:rPr>
        <w:t xml:space="preserve">第十二条 </w:t>
      </w:r>
      <w:r>
        <w:rPr>
          <w:rFonts w:eastAsia="方正仿宋_GBK"/>
          <w:bCs/>
          <w:color w:val="000000"/>
          <w:spacing w:val="-2"/>
          <w:kern w:val="0"/>
          <w:sz w:val="24"/>
        </w:rPr>
        <w:t xml:space="preserve"> </w:t>
      </w:r>
      <w:r>
        <w:rPr>
          <w:rFonts w:hint="eastAsia" w:eastAsia="方正仿宋_GBK"/>
          <w:bCs/>
          <w:color w:val="000000"/>
          <w:spacing w:val="-2"/>
          <w:kern w:val="0"/>
          <w:sz w:val="24"/>
        </w:rPr>
        <w:t>设区的市建设行政主管部门要加强对产业化基地和示范工程在实施中的监督管理，省建设行政主管部门将不定期地对产业化基地和示范工程进行检查。</w:t>
      </w:r>
    </w:p>
    <w:p>
      <w:pPr>
        <w:tabs>
          <w:tab w:val="left" w:pos="658"/>
        </w:tabs>
        <w:spacing w:line="460" w:lineRule="exact"/>
        <w:ind w:firstLine="462" w:firstLineChars="196"/>
        <w:rPr>
          <w:rFonts w:eastAsia="方正仿宋_GBK"/>
          <w:bCs/>
          <w:color w:val="000000"/>
          <w:spacing w:val="-2"/>
          <w:kern w:val="0"/>
          <w:sz w:val="24"/>
        </w:rPr>
      </w:pPr>
      <w:r>
        <w:rPr>
          <w:rFonts w:hint="eastAsia" w:ascii="Times New Roman" w:eastAsia="方正黑体_GBK"/>
          <w:bCs/>
          <w:color w:val="000000"/>
          <w:spacing w:val="-2"/>
          <w:kern w:val="0"/>
          <w:sz w:val="24"/>
        </w:rPr>
        <w:t xml:space="preserve">第十三条 </w:t>
      </w:r>
      <w:r>
        <w:rPr>
          <w:rFonts w:eastAsia="方正仿宋_GBK"/>
          <w:bCs/>
          <w:color w:val="000000"/>
          <w:spacing w:val="-2"/>
          <w:kern w:val="0"/>
          <w:sz w:val="24"/>
        </w:rPr>
        <w:t xml:space="preserve"> </w:t>
      </w:r>
      <w:r>
        <w:rPr>
          <w:rFonts w:hint="eastAsia" w:eastAsia="方正仿宋_GBK"/>
          <w:bCs/>
          <w:color w:val="000000"/>
          <w:spacing w:val="-2"/>
          <w:kern w:val="0"/>
          <w:sz w:val="24"/>
        </w:rPr>
        <w:t>产业化基地的实施单位，应根据基地建设规划和工作计划认真组织实施，并负责编制本行业的新技术产业化导则。</w:t>
      </w:r>
    </w:p>
    <w:p>
      <w:pPr>
        <w:tabs>
          <w:tab w:val="left" w:pos="658"/>
        </w:tabs>
        <w:spacing w:line="460" w:lineRule="exact"/>
        <w:ind w:firstLine="462" w:firstLineChars="196"/>
        <w:rPr>
          <w:rFonts w:eastAsia="方正仿宋_GBK"/>
          <w:bCs/>
          <w:color w:val="000000"/>
          <w:spacing w:val="-2"/>
          <w:kern w:val="0"/>
          <w:sz w:val="24"/>
        </w:rPr>
      </w:pPr>
      <w:r>
        <w:rPr>
          <w:rFonts w:hint="eastAsia" w:ascii="Times New Roman" w:eastAsia="方正黑体_GBK"/>
          <w:bCs/>
          <w:color w:val="000000"/>
          <w:spacing w:val="-2"/>
          <w:kern w:val="0"/>
          <w:sz w:val="24"/>
        </w:rPr>
        <w:t>第十四条</w:t>
      </w:r>
      <w:r>
        <w:rPr>
          <w:rFonts w:eastAsia="方正仿宋_GBK"/>
          <w:bCs/>
          <w:color w:val="000000"/>
          <w:spacing w:val="-2"/>
          <w:kern w:val="0"/>
          <w:sz w:val="24"/>
        </w:rPr>
        <w:t xml:space="preserve">  </w:t>
      </w:r>
      <w:r>
        <w:rPr>
          <w:rFonts w:hint="eastAsia" w:eastAsia="方正仿宋_GBK"/>
          <w:bCs/>
          <w:color w:val="000000"/>
          <w:spacing w:val="-2"/>
          <w:kern w:val="0"/>
          <w:sz w:val="24"/>
        </w:rPr>
        <w:t>示范工程的实施单位，应根据计划认真组织实施，并提出相应的规程、工法、标准图等标准化应用技术文件，编制必要的计算机应用软件，对示范工程的成效进行总结并提出工作报告（包括示范工程推广应用新技术指南）。</w:t>
      </w:r>
    </w:p>
    <w:p>
      <w:pPr>
        <w:tabs>
          <w:tab w:val="left" w:pos="658"/>
          <w:tab w:val="left" w:pos="1316"/>
        </w:tabs>
        <w:spacing w:line="460" w:lineRule="exact"/>
        <w:ind w:firstLine="460" w:firstLineChars="195"/>
        <w:rPr>
          <w:rFonts w:eastAsia="方正仿宋_GBK"/>
          <w:bCs/>
          <w:color w:val="000000"/>
          <w:spacing w:val="-2"/>
          <w:kern w:val="0"/>
          <w:sz w:val="24"/>
        </w:rPr>
      </w:pPr>
      <w:r>
        <w:rPr>
          <w:rFonts w:hint="eastAsia" w:ascii="Times New Roman" w:eastAsia="方正黑体_GBK"/>
          <w:bCs/>
          <w:color w:val="000000"/>
          <w:spacing w:val="-2"/>
          <w:kern w:val="0"/>
          <w:sz w:val="24"/>
        </w:rPr>
        <w:t xml:space="preserve">第十五条 </w:t>
      </w:r>
      <w:r>
        <w:rPr>
          <w:rFonts w:eastAsia="方正仿宋_GBK"/>
          <w:bCs/>
          <w:color w:val="000000"/>
          <w:spacing w:val="-2"/>
          <w:kern w:val="0"/>
          <w:sz w:val="24"/>
        </w:rPr>
        <w:t xml:space="preserve"> </w:t>
      </w:r>
      <w:r>
        <w:rPr>
          <w:rFonts w:hint="eastAsia" w:eastAsia="方正仿宋_GBK"/>
          <w:bCs/>
          <w:color w:val="000000"/>
          <w:spacing w:val="-2"/>
          <w:kern w:val="0"/>
          <w:sz w:val="24"/>
        </w:rPr>
        <w:t>产业化基地或示范工程实施完成后，实施单位应及时向所在地设区的市建设行政主管部门提出验收申请。设区的市建设行政主管部门对申报材料进行初审，签署初审意见后报送省建设行政主管部门组织验收。通过验收的由省建设行政主管部门颁发《江苏省建设领域新技术产业化基地》或者《江苏省建设领域科技示范工程》证书。</w:t>
      </w:r>
    </w:p>
    <w:p>
      <w:pPr>
        <w:tabs>
          <w:tab w:val="left" w:pos="658"/>
        </w:tabs>
        <w:spacing w:line="460" w:lineRule="exact"/>
        <w:ind w:firstLine="462" w:firstLineChars="196"/>
        <w:rPr>
          <w:rFonts w:eastAsia="方正仿宋_GBK"/>
          <w:bCs/>
          <w:color w:val="000000"/>
          <w:spacing w:val="-2"/>
          <w:kern w:val="0"/>
          <w:sz w:val="24"/>
        </w:rPr>
      </w:pPr>
      <w:r>
        <w:rPr>
          <w:rFonts w:hint="eastAsia" w:ascii="Times New Roman" w:eastAsia="方正黑体_GBK"/>
          <w:bCs/>
          <w:color w:val="000000"/>
          <w:spacing w:val="-2"/>
          <w:kern w:val="0"/>
          <w:sz w:val="24"/>
        </w:rPr>
        <w:t xml:space="preserve">第十六条 </w:t>
      </w:r>
      <w:r>
        <w:rPr>
          <w:rFonts w:eastAsia="方正仿宋_GBK"/>
          <w:bCs/>
          <w:color w:val="000000"/>
          <w:spacing w:val="-2"/>
          <w:kern w:val="0"/>
          <w:sz w:val="24"/>
        </w:rPr>
        <w:t xml:space="preserve"> </w:t>
      </w:r>
      <w:r>
        <w:rPr>
          <w:rFonts w:hint="eastAsia" w:eastAsia="方正仿宋_GBK"/>
          <w:bCs/>
          <w:color w:val="000000"/>
          <w:spacing w:val="-2"/>
          <w:kern w:val="0"/>
          <w:sz w:val="24"/>
        </w:rPr>
        <w:t>产业化基地或示范工程遇特殊情况停建或者缓建，实施单位应及时报告所在地设区的市建设行政主管部门，由其提出处理意见后报省建设行政主管部门备案。</w:t>
      </w:r>
    </w:p>
    <w:p>
      <w:pPr>
        <w:tabs>
          <w:tab w:val="left" w:pos="658"/>
        </w:tabs>
        <w:spacing w:line="460" w:lineRule="exact"/>
        <w:ind w:firstLine="462" w:firstLineChars="196"/>
        <w:rPr>
          <w:rFonts w:eastAsia="方正仿宋_GBK"/>
          <w:bCs/>
          <w:color w:val="000000"/>
          <w:spacing w:val="-2"/>
          <w:kern w:val="0"/>
          <w:sz w:val="24"/>
        </w:rPr>
      </w:pPr>
      <w:r>
        <w:rPr>
          <w:rFonts w:hint="eastAsia" w:ascii="Times New Roman" w:eastAsia="方正黑体_GBK"/>
          <w:bCs/>
          <w:color w:val="000000"/>
          <w:spacing w:val="-2"/>
          <w:kern w:val="0"/>
          <w:sz w:val="24"/>
        </w:rPr>
        <w:t xml:space="preserve">第十九条 </w:t>
      </w:r>
      <w:r>
        <w:rPr>
          <w:rFonts w:eastAsia="方正仿宋_GBK"/>
          <w:bCs/>
          <w:color w:val="000000"/>
          <w:spacing w:val="-2"/>
          <w:kern w:val="0"/>
          <w:sz w:val="24"/>
        </w:rPr>
        <w:t xml:space="preserve"> </w:t>
      </w:r>
      <w:r>
        <w:rPr>
          <w:rFonts w:hint="eastAsia" w:eastAsia="方正仿宋_GBK"/>
          <w:bCs/>
          <w:color w:val="000000"/>
          <w:spacing w:val="-2"/>
          <w:kern w:val="0"/>
          <w:sz w:val="24"/>
        </w:rPr>
        <w:t>对不按照计划和要求组织实施的产业化基地或示范工程，给予通报批评，直至取消资格。</w:t>
      </w:r>
    </w:p>
    <w:p>
      <w:pPr>
        <w:tabs>
          <w:tab w:val="left" w:pos="658"/>
        </w:tabs>
        <w:spacing w:line="460" w:lineRule="exact"/>
        <w:ind w:firstLine="462" w:firstLineChars="196"/>
        <w:rPr>
          <w:rFonts w:eastAsia="方正仿宋_GBK"/>
          <w:bCs/>
          <w:color w:val="000000"/>
          <w:spacing w:val="-2"/>
          <w:kern w:val="0"/>
          <w:sz w:val="24"/>
        </w:rPr>
      </w:pPr>
      <w:r>
        <w:rPr>
          <w:rFonts w:hint="eastAsia" w:ascii="Times New Roman" w:eastAsia="方正黑体_GBK"/>
          <w:bCs/>
          <w:color w:val="000000"/>
          <w:spacing w:val="-2"/>
          <w:kern w:val="0"/>
          <w:sz w:val="24"/>
        </w:rPr>
        <w:t xml:space="preserve">第二十条 </w:t>
      </w:r>
      <w:r>
        <w:rPr>
          <w:rFonts w:eastAsia="方正仿宋_GBK"/>
          <w:bCs/>
          <w:color w:val="000000"/>
          <w:spacing w:val="-2"/>
          <w:kern w:val="0"/>
          <w:sz w:val="24"/>
        </w:rPr>
        <w:t xml:space="preserve"> </w:t>
      </w:r>
      <w:r>
        <w:rPr>
          <w:rFonts w:hint="eastAsia" w:eastAsia="方正仿宋_GBK"/>
          <w:bCs/>
          <w:color w:val="000000"/>
          <w:spacing w:val="-2"/>
          <w:kern w:val="0"/>
          <w:sz w:val="24"/>
        </w:rPr>
        <w:t>各级建设行政主管部门和各有关单位应将产业化基地或示范工程的实施情况纳入单位、个人工作考核范畴。对在实施过程中的先进单位和优秀个人，省建设行政主管部门将予以表彰。</w:t>
      </w:r>
    </w:p>
    <w:p>
      <w:pPr>
        <w:tabs>
          <w:tab w:val="left" w:pos="658"/>
        </w:tabs>
        <w:spacing w:line="460" w:lineRule="exact"/>
        <w:ind w:firstLine="462" w:firstLineChars="196"/>
        <w:rPr>
          <w:rFonts w:eastAsia="方正仿宋_GBK"/>
          <w:bCs/>
          <w:color w:val="000000"/>
          <w:spacing w:val="-2"/>
          <w:kern w:val="0"/>
          <w:sz w:val="24"/>
        </w:rPr>
      </w:pPr>
    </w:p>
    <w:p>
      <w:pPr>
        <w:spacing w:line="460" w:lineRule="exact"/>
        <w:jc w:val="center"/>
        <w:rPr>
          <w:rFonts w:ascii="Times New Roman" w:eastAsia="方正黑体_GBK"/>
          <w:bCs/>
          <w:color w:val="000000"/>
          <w:spacing w:val="-2"/>
          <w:kern w:val="0"/>
          <w:sz w:val="24"/>
        </w:rPr>
      </w:pPr>
      <w:r>
        <w:rPr>
          <w:rFonts w:hint="eastAsia" w:ascii="Times New Roman" w:eastAsia="方正黑体_GBK"/>
          <w:bCs/>
          <w:color w:val="000000"/>
          <w:spacing w:val="-2"/>
          <w:kern w:val="0"/>
          <w:sz w:val="24"/>
        </w:rPr>
        <w:t>第四章  附 则</w:t>
      </w:r>
    </w:p>
    <w:p>
      <w:pPr>
        <w:tabs>
          <w:tab w:val="left" w:pos="658"/>
        </w:tabs>
        <w:spacing w:line="460" w:lineRule="exact"/>
        <w:ind w:firstLine="462" w:firstLineChars="196"/>
        <w:rPr>
          <w:rFonts w:hint="eastAsia" w:eastAsia="方正仿宋_GBK"/>
          <w:bCs/>
          <w:color w:val="000000"/>
          <w:spacing w:val="-2"/>
          <w:kern w:val="0"/>
          <w:sz w:val="24"/>
        </w:rPr>
      </w:pPr>
    </w:p>
    <w:p>
      <w:pPr>
        <w:tabs>
          <w:tab w:val="left" w:pos="658"/>
        </w:tabs>
        <w:spacing w:line="460" w:lineRule="exact"/>
        <w:ind w:firstLine="462" w:firstLineChars="196"/>
        <w:rPr>
          <w:rFonts w:eastAsia="方正仿宋_GBK"/>
          <w:bCs/>
          <w:color w:val="000000"/>
          <w:spacing w:val="-2"/>
          <w:kern w:val="0"/>
          <w:sz w:val="24"/>
        </w:rPr>
      </w:pPr>
      <w:r>
        <w:rPr>
          <w:rFonts w:hint="eastAsia" w:ascii="Times New Roman" w:eastAsia="方正黑体_GBK"/>
          <w:bCs/>
          <w:color w:val="000000"/>
          <w:spacing w:val="-2"/>
          <w:kern w:val="0"/>
          <w:sz w:val="24"/>
        </w:rPr>
        <w:t xml:space="preserve">第二十一条 </w:t>
      </w:r>
      <w:r>
        <w:rPr>
          <w:rFonts w:eastAsia="方正仿宋_GBK"/>
          <w:bCs/>
          <w:color w:val="000000"/>
          <w:spacing w:val="-2"/>
          <w:kern w:val="0"/>
          <w:sz w:val="24"/>
        </w:rPr>
        <w:t xml:space="preserve"> </w:t>
      </w:r>
      <w:r>
        <w:rPr>
          <w:rFonts w:hint="eastAsia" w:eastAsia="方正仿宋_GBK"/>
          <w:bCs/>
          <w:color w:val="000000"/>
          <w:spacing w:val="-2"/>
          <w:kern w:val="0"/>
          <w:sz w:val="24"/>
        </w:rPr>
        <w:t>本实施细则由江苏省建设厅负责解释。</w:t>
      </w:r>
    </w:p>
    <w:p>
      <w:pPr>
        <w:tabs>
          <w:tab w:val="left" w:pos="658"/>
        </w:tabs>
        <w:spacing w:line="460" w:lineRule="exact"/>
        <w:ind w:firstLine="462" w:firstLineChars="196"/>
        <w:rPr>
          <w:sz w:val="24"/>
        </w:rPr>
      </w:pPr>
      <w:r>
        <w:rPr>
          <w:rFonts w:hint="eastAsia" w:ascii="Times New Roman" w:eastAsia="方正黑体_GBK"/>
          <w:bCs/>
          <w:color w:val="000000"/>
          <w:spacing w:val="-2"/>
          <w:kern w:val="0"/>
          <w:sz w:val="24"/>
        </w:rPr>
        <w:t>第二十二条</w:t>
      </w:r>
      <w:r>
        <w:rPr>
          <w:rFonts w:eastAsia="方正仿宋_GBK"/>
          <w:bCs/>
          <w:color w:val="000000"/>
          <w:spacing w:val="-2"/>
          <w:kern w:val="0"/>
          <w:sz w:val="24"/>
        </w:rPr>
        <w:t xml:space="preserve">  </w:t>
      </w:r>
      <w:r>
        <w:rPr>
          <w:rFonts w:hint="eastAsia" w:eastAsia="方正仿宋_GBK"/>
          <w:bCs/>
          <w:color w:val="000000"/>
          <w:spacing w:val="-2"/>
          <w:kern w:val="0"/>
          <w:sz w:val="24"/>
        </w:rPr>
        <w:t>本实施细则自颁布之日起施行。</w:t>
      </w:r>
    </w:p>
    <w:p>
      <w:pPr>
        <w:spacing w:line="460" w:lineRule="exact"/>
        <w:rPr>
          <w:sz w:val="24"/>
        </w:rPr>
      </w:pPr>
    </w:p>
    <w:p>
      <w:pPr>
        <w:overflowPunct w:val="0"/>
        <w:autoSpaceDE w:val="0"/>
        <w:autoSpaceDN w:val="0"/>
        <w:spacing w:line="460" w:lineRule="exact"/>
        <w:rPr>
          <w:rFonts w:eastAsia="方正仿宋_GBK"/>
          <w:color w:val="000000"/>
          <w:spacing w:val="-2"/>
          <w:sz w:val="24"/>
        </w:rPr>
      </w:pPr>
    </w:p>
    <w:p>
      <w:pPr>
        <w:overflowPunct w:val="0"/>
        <w:autoSpaceDE w:val="0"/>
        <w:autoSpaceDN w:val="0"/>
        <w:spacing w:line="460" w:lineRule="exact"/>
        <w:rPr>
          <w:rFonts w:eastAsia="方正仿宋_GBK"/>
          <w:color w:val="000000"/>
          <w:spacing w:val="-2"/>
          <w:sz w:val="24"/>
        </w:rPr>
      </w:pPr>
    </w:p>
    <w:p>
      <w:pPr>
        <w:overflowPunct w:val="0"/>
        <w:autoSpaceDE w:val="0"/>
        <w:autoSpaceDN w:val="0"/>
        <w:spacing w:line="460" w:lineRule="exact"/>
        <w:rPr>
          <w:rFonts w:eastAsia="方正仿宋_GBK"/>
          <w:color w:val="000000"/>
          <w:spacing w:val="-2"/>
          <w:sz w:val="24"/>
        </w:rPr>
      </w:pPr>
    </w:p>
    <w:p>
      <w:pPr>
        <w:overflowPunct w:val="0"/>
        <w:autoSpaceDE w:val="0"/>
        <w:autoSpaceDN w:val="0"/>
        <w:spacing w:line="460" w:lineRule="exact"/>
        <w:rPr>
          <w:rFonts w:eastAsia="方正仿宋_GBK"/>
          <w:color w:val="000000"/>
          <w:spacing w:val="-2"/>
          <w:sz w:val="24"/>
        </w:rPr>
      </w:pPr>
    </w:p>
    <w:p>
      <w:pPr>
        <w:spacing w:line="500" w:lineRule="exact"/>
        <w:ind w:left="-10" w:leftChars="-8" w:hanging="7" w:hangingChars="3"/>
        <w:rPr>
          <w:rFonts w:ascii="Times New Roman" w:eastAsia="方正小标宋简体"/>
          <w:sz w:val="36"/>
          <w:szCs w:val="36"/>
        </w:rPr>
      </w:pPr>
      <w:r>
        <w:rPr>
          <w:rFonts w:eastAsia="方正仿宋_GBK"/>
          <w:color w:val="000000"/>
          <w:spacing w:val="-2"/>
          <w:sz w:val="24"/>
        </w:rPr>
        <w:br w:type="column"/>
      </w:r>
    </w:p>
    <w:p>
      <w:pPr>
        <w:pStyle w:val="2"/>
        <w:spacing w:before="240" w:beforeLines="100" w:after="240" w:afterLines="100" w:line="240" w:lineRule="auto"/>
        <w:jc w:val="center"/>
        <w:rPr>
          <w:rFonts w:hint="eastAsia" w:ascii="Times New Roman" w:eastAsia="方正小标宋_GBK"/>
          <w:b w:val="0"/>
          <w:sz w:val="36"/>
          <w:szCs w:val="36"/>
        </w:rPr>
      </w:pPr>
      <w:bookmarkStart w:id="254" w:name="_Toc20726422"/>
      <w:bookmarkStart w:id="255" w:name="_Toc18315595"/>
      <w:r>
        <w:rPr>
          <w:rFonts w:hint="eastAsia" w:ascii="Times New Roman" w:eastAsia="方正小标宋_GBK"/>
          <w:b w:val="0"/>
          <w:sz w:val="36"/>
          <w:szCs w:val="36"/>
        </w:rPr>
        <w:t>关于印发《江苏省工程建设标准设计管理办法》的通知</w:t>
      </w:r>
      <w:bookmarkEnd w:id="254"/>
      <w:bookmarkEnd w:id="255"/>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256" w:name="_Toc18315596"/>
      <w:bookmarkStart w:id="257" w:name="_Toc20726423"/>
      <w:r>
        <w:rPr>
          <w:rFonts w:hint="eastAsia" w:ascii="Times New Roman" w:hAnsi="Times New Roman" w:eastAsia="方正楷体_GBK"/>
          <w:b w:val="0"/>
          <w:sz w:val="24"/>
          <w:szCs w:val="24"/>
        </w:rPr>
        <w:t>苏建法〔</w:t>
      </w:r>
      <w:r>
        <w:rPr>
          <w:rFonts w:ascii="Times New Roman" w:hAnsi="Times New Roman" w:eastAsia="方正楷体_GBK"/>
          <w:b w:val="0"/>
          <w:sz w:val="24"/>
          <w:szCs w:val="24"/>
        </w:rPr>
        <w:t>2004</w:t>
      </w:r>
      <w:r>
        <w:rPr>
          <w:rFonts w:hint="eastAsia" w:ascii="Times New Roman" w:hAnsi="Times New Roman" w:eastAsia="方正楷体_GBK"/>
          <w:b w:val="0"/>
          <w:sz w:val="24"/>
          <w:szCs w:val="24"/>
        </w:rPr>
        <w:t>〕</w:t>
      </w:r>
      <w:r>
        <w:rPr>
          <w:rFonts w:ascii="Times New Roman" w:hAnsi="Times New Roman" w:eastAsia="方正楷体_GBK"/>
          <w:b w:val="0"/>
          <w:sz w:val="24"/>
          <w:szCs w:val="24"/>
        </w:rPr>
        <w:t>92</w:t>
      </w:r>
      <w:r>
        <w:rPr>
          <w:rFonts w:hint="eastAsia" w:ascii="Times New Roman" w:hAnsi="Times New Roman" w:eastAsia="方正楷体_GBK"/>
          <w:b w:val="0"/>
          <w:sz w:val="24"/>
          <w:szCs w:val="24"/>
        </w:rPr>
        <w:t>号</w:t>
      </w:r>
      <w:bookmarkEnd w:id="256"/>
      <w:bookmarkEnd w:id="257"/>
    </w:p>
    <w:p>
      <w:pPr>
        <w:spacing w:line="460" w:lineRule="exact"/>
        <w:jc w:val="left"/>
        <w:rPr>
          <w:rFonts w:eastAsia="方正仿宋_GBK"/>
          <w:color w:val="000000"/>
          <w:spacing w:val="-2"/>
          <w:kern w:val="0"/>
          <w:sz w:val="24"/>
        </w:rPr>
      </w:pPr>
      <w:r>
        <w:rPr>
          <w:rFonts w:hint="eastAsia" w:eastAsia="方正仿宋_GBK"/>
          <w:color w:val="000000"/>
          <w:spacing w:val="-2"/>
          <w:kern w:val="0"/>
          <w:sz w:val="24"/>
        </w:rPr>
        <w:t>各省辖市建设局（委），省各有关厅、局（总公司）：</w:t>
      </w:r>
    </w:p>
    <w:p>
      <w:pPr>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根据《江苏省建设工程勘察设计管理办法》和建设部《工程建设标准设计管理规定》，结合本省工程建设标准设计工作实际，我厅制订了《江苏省工程建设标准设计管理办法》，并经</w:t>
      </w:r>
      <w:r>
        <w:rPr>
          <w:rFonts w:eastAsia="方正仿宋_GBK"/>
          <w:color w:val="000000"/>
          <w:spacing w:val="-2"/>
          <w:kern w:val="0"/>
          <w:sz w:val="24"/>
        </w:rPr>
        <w:t>2004</w:t>
      </w:r>
      <w:r>
        <w:rPr>
          <w:rFonts w:hint="eastAsia" w:eastAsia="方正仿宋_GBK"/>
          <w:color w:val="000000"/>
          <w:spacing w:val="-2"/>
          <w:kern w:val="0"/>
          <w:sz w:val="24"/>
        </w:rPr>
        <w:t>年</w:t>
      </w:r>
      <w:r>
        <w:rPr>
          <w:rFonts w:eastAsia="方正仿宋_GBK"/>
          <w:color w:val="000000"/>
          <w:spacing w:val="-2"/>
          <w:kern w:val="0"/>
          <w:sz w:val="24"/>
        </w:rPr>
        <w:t>3</w:t>
      </w:r>
      <w:r>
        <w:rPr>
          <w:rFonts w:hint="eastAsia" w:eastAsia="方正仿宋_GBK"/>
          <w:color w:val="000000"/>
          <w:spacing w:val="-2"/>
          <w:kern w:val="0"/>
          <w:sz w:val="24"/>
        </w:rPr>
        <w:t>月</w:t>
      </w:r>
      <w:r>
        <w:rPr>
          <w:rFonts w:eastAsia="方正仿宋_GBK"/>
          <w:color w:val="000000"/>
          <w:spacing w:val="-2"/>
          <w:kern w:val="0"/>
          <w:sz w:val="24"/>
        </w:rPr>
        <w:t>8</w:t>
      </w:r>
      <w:r>
        <w:rPr>
          <w:rFonts w:hint="eastAsia" w:eastAsia="方正仿宋_GBK"/>
          <w:color w:val="000000"/>
          <w:spacing w:val="-2"/>
          <w:kern w:val="0"/>
          <w:sz w:val="24"/>
        </w:rPr>
        <w:t>日厅第九次常务会议审议通过。现印发给你们，请遵照执行。</w:t>
      </w:r>
    </w:p>
    <w:p>
      <w:pPr>
        <w:spacing w:line="460" w:lineRule="exact"/>
        <w:ind w:firstLine="472" w:firstLineChars="200"/>
        <w:jc w:val="left"/>
        <w:rPr>
          <w:rFonts w:eastAsia="方正仿宋_GBK"/>
          <w:color w:val="000000"/>
          <w:spacing w:val="-2"/>
          <w:kern w:val="0"/>
          <w:sz w:val="24"/>
        </w:rPr>
      </w:pPr>
    </w:p>
    <w:p>
      <w:pPr>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附件：江苏省工程建设标准设计管理办法</w:t>
      </w:r>
    </w:p>
    <w:p>
      <w:pPr>
        <w:spacing w:line="460" w:lineRule="exact"/>
        <w:ind w:firstLine="4602" w:firstLineChars="1950"/>
        <w:jc w:val="right"/>
        <w:rPr>
          <w:rFonts w:eastAsia="方正仿宋_GBK"/>
          <w:color w:val="000000"/>
          <w:spacing w:val="-2"/>
          <w:kern w:val="0"/>
          <w:sz w:val="24"/>
        </w:rPr>
      </w:pPr>
    </w:p>
    <w:p>
      <w:pPr>
        <w:spacing w:line="460" w:lineRule="exact"/>
        <w:ind w:right="1037" w:rightChars="494" w:firstLine="4602" w:firstLineChars="1950"/>
        <w:jc w:val="right"/>
        <w:rPr>
          <w:rFonts w:eastAsia="方正仿宋_GBK"/>
          <w:color w:val="000000"/>
          <w:spacing w:val="-2"/>
          <w:kern w:val="0"/>
          <w:sz w:val="24"/>
        </w:rPr>
      </w:pPr>
      <w:r>
        <w:rPr>
          <w:rFonts w:hint="eastAsia" w:eastAsia="方正仿宋_GBK"/>
          <w:color w:val="000000"/>
          <w:spacing w:val="-2"/>
          <w:kern w:val="0"/>
          <w:sz w:val="24"/>
        </w:rPr>
        <w:t>江苏省建设厅</w:t>
      </w:r>
      <w:r>
        <w:rPr>
          <w:rFonts w:eastAsia="方正仿宋_GBK"/>
          <w:color w:val="000000"/>
          <w:spacing w:val="-2"/>
          <w:kern w:val="0"/>
          <w:sz w:val="24"/>
        </w:rPr>
        <w:t xml:space="preserve">        </w:t>
      </w:r>
    </w:p>
    <w:p>
      <w:pPr>
        <w:spacing w:line="460" w:lineRule="exact"/>
        <w:ind w:right="437" w:rightChars="208"/>
        <w:jc w:val="right"/>
        <w:rPr>
          <w:rFonts w:eastAsia="方正仿宋_GBK"/>
          <w:color w:val="000000"/>
          <w:spacing w:val="-2"/>
          <w:kern w:val="0"/>
          <w:sz w:val="24"/>
        </w:rPr>
      </w:pPr>
      <w:r>
        <w:rPr>
          <w:rFonts w:hint="eastAsia" w:eastAsia="方正仿宋_GBK"/>
          <w:color w:val="000000"/>
          <w:spacing w:val="-2"/>
          <w:kern w:val="0"/>
          <w:sz w:val="24"/>
        </w:rPr>
        <w:t>二</w:t>
      </w:r>
      <w:r>
        <w:rPr>
          <w:rFonts w:hint="eastAsia" w:eastAsia="方正仿宋_GBK"/>
          <w:bCs/>
          <w:snapToGrid w:val="0"/>
          <w:color w:val="000000"/>
          <w:spacing w:val="-2"/>
          <w:kern w:val="0"/>
          <w:sz w:val="24"/>
        </w:rPr>
        <w:t>○○</w:t>
      </w:r>
      <w:r>
        <w:rPr>
          <w:rFonts w:hint="eastAsia" w:eastAsia="方正仿宋_GBK"/>
          <w:color w:val="000000"/>
          <w:spacing w:val="-2"/>
          <w:kern w:val="0"/>
          <w:sz w:val="24"/>
        </w:rPr>
        <w:t>四年三月二十三日</w:t>
      </w:r>
      <w:r>
        <w:rPr>
          <w:rFonts w:eastAsia="方正仿宋_GBK"/>
          <w:color w:val="000000"/>
          <w:spacing w:val="-2"/>
          <w:kern w:val="0"/>
          <w:sz w:val="24"/>
        </w:rPr>
        <w:t xml:space="preserve">    </w:t>
      </w:r>
    </w:p>
    <w:p>
      <w:pPr>
        <w:spacing w:line="460" w:lineRule="exact"/>
        <w:rPr>
          <w:rFonts w:eastAsia="方正仿宋_GBK"/>
          <w:color w:val="000000"/>
          <w:spacing w:val="-2"/>
          <w:kern w:val="0"/>
          <w:sz w:val="24"/>
        </w:rPr>
      </w:pPr>
    </w:p>
    <w:p>
      <w:pPr>
        <w:spacing w:line="460" w:lineRule="exact"/>
        <w:rPr>
          <w:rFonts w:eastAsia="方正仿宋_GBK"/>
          <w:color w:val="000000"/>
          <w:spacing w:val="-2"/>
          <w:kern w:val="0"/>
          <w:sz w:val="24"/>
        </w:rPr>
      </w:pPr>
    </w:p>
    <w:p>
      <w:pPr>
        <w:spacing w:line="460" w:lineRule="exact"/>
        <w:jc w:val="center"/>
        <w:rPr>
          <w:rFonts w:ascii="Times New Roman" w:eastAsia="方正黑体_GBK"/>
          <w:color w:val="000000"/>
          <w:spacing w:val="-2"/>
          <w:kern w:val="0"/>
          <w:sz w:val="36"/>
          <w:szCs w:val="36"/>
        </w:rPr>
      </w:pPr>
      <w:r>
        <w:rPr>
          <w:rFonts w:hint="eastAsia" w:ascii="Times New Roman" w:eastAsia="方正黑体_GBK"/>
          <w:color w:val="000000"/>
          <w:spacing w:val="-2"/>
          <w:kern w:val="0"/>
          <w:sz w:val="36"/>
          <w:szCs w:val="36"/>
        </w:rPr>
        <w:t>江苏省工程建设标准设计管理办法</w:t>
      </w:r>
    </w:p>
    <w:p>
      <w:pPr>
        <w:spacing w:line="460" w:lineRule="exact"/>
        <w:ind w:firstLine="472" w:firstLineChars="200"/>
        <w:jc w:val="left"/>
        <w:rPr>
          <w:rFonts w:hint="eastAsia" w:eastAsia="方正仿宋_GBK"/>
          <w:color w:val="000000"/>
          <w:spacing w:val="-2"/>
          <w:kern w:val="0"/>
          <w:sz w:val="24"/>
        </w:rPr>
      </w:pPr>
    </w:p>
    <w:p>
      <w:pPr>
        <w:spacing w:line="460" w:lineRule="exact"/>
        <w:ind w:firstLine="472" w:firstLineChars="200"/>
        <w:jc w:val="left"/>
        <w:rPr>
          <w:rFonts w:eastAsia="方正仿宋_GBK"/>
          <w:color w:val="000000"/>
          <w:spacing w:val="-2"/>
          <w:kern w:val="0"/>
          <w:sz w:val="24"/>
        </w:rPr>
      </w:pPr>
      <w:r>
        <w:rPr>
          <w:rFonts w:hint="eastAsia" w:ascii="Times New Roman" w:eastAsia="方正黑体_GBK"/>
          <w:color w:val="000000"/>
          <w:spacing w:val="-2"/>
          <w:kern w:val="0"/>
          <w:sz w:val="24"/>
        </w:rPr>
        <w:t>第一条</w:t>
      </w:r>
      <w:r>
        <w:rPr>
          <w:rFonts w:hint="eastAsia" w:eastAsia="方正仿宋_GBK"/>
          <w:color w:val="000000"/>
          <w:spacing w:val="-2"/>
          <w:kern w:val="0"/>
          <w:sz w:val="24"/>
        </w:rPr>
        <w:t>　为提高我省工程设计水平，确保建设工程质量，规范工程建设标准设计工作的管理，根据《江苏省建设工程勘察设计管理办法》和建设部《工程建设标准设计管理规定》，结合我省工程建设标准设计工作实际，制定本办法。</w:t>
      </w:r>
    </w:p>
    <w:p>
      <w:pPr>
        <w:spacing w:line="460" w:lineRule="exact"/>
        <w:ind w:firstLine="472" w:firstLineChars="200"/>
        <w:jc w:val="left"/>
        <w:rPr>
          <w:rFonts w:eastAsia="方正仿宋_GBK"/>
          <w:color w:val="000000"/>
          <w:spacing w:val="-2"/>
          <w:kern w:val="0"/>
          <w:sz w:val="24"/>
        </w:rPr>
      </w:pPr>
      <w:r>
        <w:rPr>
          <w:rFonts w:hint="eastAsia" w:ascii="Times New Roman" w:eastAsia="方正黑体_GBK"/>
          <w:color w:val="000000"/>
          <w:spacing w:val="-2"/>
          <w:kern w:val="0"/>
          <w:sz w:val="24"/>
        </w:rPr>
        <w:t>第二条　</w:t>
      </w:r>
      <w:r>
        <w:rPr>
          <w:rFonts w:hint="eastAsia" w:eastAsia="方正仿宋_GBK"/>
          <w:color w:val="000000"/>
          <w:spacing w:val="-2"/>
          <w:kern w:val="0"/>
          <w:sz w:val="24"/>
        </w:rPr>
        <w:t>本办法所称工程建设标准设计（以下简称标准设计）是指对工程建设构配件与制品、建筑物、构筑物、工程设施和装置等编制的通用设计文件，及为推广使用工程建设新技术、新材料、新产品、新工艺（以下简称</w:t>
      </w:r>
      <w:r>
        <w:rPr>
          <w:rFonts w:eastAsia="方正仿宋_GBK"/>
          <w:color w:val="000000"/>
          <w:spacing w:val="-2"/>
          <w:kern w:val="0"/>
          <w:sz w:val="24"/>
        </w:rPr>
        <w:t>“</w:t>
      </w:r>
      <w:r>
        <w:rPr>
          <w:rFonts w:hint="eastAsia" w:eastAsia="方正仿宋_GBK"/>
          <w:color w:val="000000"/>
          <w:spacing w:val="-2"/>
          <w:kern w:val="0"/>
          <w:sz w:val="24"/>
        </w:rPr>
        <w:t>四新</w:t>
      </w:r>
      <w:r>
        <w:rPr>
          <w:rFonts w:eastAsia="方正仿宋_GBK"/>
          <w:color w:val="000000"/>
          <w:spacing w:val="-2"/>
          <w:kern w:val="0"/>
          <w:sz w:val="24"/>
        </w:rPr>
        <w:t>”</w:t>
      </w:r>
      <w:r>
        <w:rPr>
          <w:rFonts w:hint="eastAsia" w:eastAsia="方正仿宋_GBK"/>
          <w:color w:val="000000"/>
          <w:spacing w:val="-2"/>
          <w:kern w:val="0"/>
          <w:sz w:val="24"/>
        </w:rPr>
        <w:t>成果）而编制的应用设计文件。标准设计分为国家标准设计、行业标准设计和省级地方标准设计（以下简称省标准设计）。</w:t>
      </w:r>
    </w:p>
    <w:p>
      <w:pPr>
        <w:spacing w:line="460" w:lineRule="exact"/>
        <w:ind w:firstLine="472" w:firstLineChars="200"/>
        <w:jc w:val="left"/>
        <w:rPr>
          <w:rFonts w:eastAsia="方正仿宋_GBK"/>
          <w:color w:val="000000"/>
          <w:spacing w:val="-2"/>
          <w:kern w:val="0"/>
          <w:sz w:val="24"/>
        </w:rPr>
      </w:pPr>
      <w:r>
        <w:rPr>
          <w:rFonts w:hint="eastAsia" w:ascii="Times New Roman" w:eastAsia="方正黑体_GBK"/>
          <w:color w:val="000000"/>
          <w:spacing w:val="-2"/>
          <w:kern w:val="0"/>
          <w:sz w:val="24"/>
        </w:rPr>
        <w:t>第三条　</w:t>
      </w:r>
      <w:r>
        <w:rPr>
          <w:rFonts w:hint="eastAsia" w:eastAsia="方正仿宋_GBK"/>
          <w:color w:val="000000"/>
          <w:spacing w:val="-2"/>
          <w:kern w:val="0"/>
          <w:sz w:val="24"/>
        </w:rPr>
        <w:t>在本省行政区域内编制和应用省标准设计，均应遵守本办法。</w:t>
      </w:r>
    </w:p>
    <w:p>
      <w:pPr>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国家标准设计、行业标准设计的应用管理按国家有关规定执行。</w:t>
      </w:r>
    </w:p>
    <w:p>
      <w:pPr>
        <w:spacing w:line="460" w:lineRule="exact"/>
        <w:ind w:firstLine="472" w:firstLineChars="200"/>
        <w:jc w:val="left"/>
        <w:rPr>
          <w:rFonts w:eastAsia="方正仿宋_GBK"/>
          <w:color w:val="000000"/>
          <w:spacing w:val="-2"/>
          <w:kern w:val="0"/>
          <w:sz w:val="24"/>
        </w:rPr>
      </w:pPr>
      <w:r>
        <w:rPr>
          <w:rFonts w:hint="eastAsia" w:ascii="Times New Roman" w:eastAsia="方正黑体_GBK"/>
          <w:color w:val="000000"/>
          <w:spacing w:val="-2"/>
          <w:kern w:val="0"/>
          <w:sz w:val="24"/>
        </w:rPr>
        <w:t>第四条</w:t>
      </w:r>
      <w:r>
        <w:rPr>
          <w:rFonts w:eastAsia="方正仿宋_GBK"/>
          <w:color w:val="000000"/>
          <w:spacing w:val="-2"/>
          <w:kern w:val="0"/>
          <w:sz w:val="24"/>
        </w:rPr>
        <w:t xml:space="preserve">  </w:t>
      </w:r>
      <w:r>
        <w:rPr>
          <w:rFonts w:hint="eastAsia" w:eastAsia="方正仿宋_GBK"/>
          <w:color w:val="000000"/>
          <w:spacing w:val="-2"/>
          <w:kern w:val="0"/>
          <w:sz w:val="24"/>
        </w:rPr>
        <w:t>省建设行政主管部门负责本省标准设计的审批、推广和管理工作。省标准设计的编制、审核、发行、解释等工作委托省工程建设标准设计站具体实施。</w:t>
      </w:r>
    </w:p>
    <w:p>
      <w:pPr>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市、县（市）建设行政主管部门负责本行政区域内标准设计的应用管理工作。</w:t>
      </w:r>
    </w:p>
    <w:p>
      <w:pPr>
        <w:spacing w:line="460" w:lineRule="exact"/>
        <w:ind w:firstLine="472" w:firstLineChars="200"/>
        <w:jc w:val="left"/>
        <w:rPr>
          <w:rFonts w:eastAsia="方正仿宋_GBK"/>
          <w:color w:val="000000"/>
          <w:spacing w:val="-2"/>
          <w:kern w:val="0"/>
          <w:sz w:val="24"/>
        </w:rPr>
      </w:pPr>
      <w:r>
        <w:rPr>
          <w:rFonts w:hint="eastAsia" w:ascii="Times New Roman" w:eastAsia="方正黑体_GBK"/>
          <w:color w:val="000000"/>
          <w:spacing w:val="-2"/>
          <w:kern w:val="0"/>
          <w:sz w:val="24"/>
        </w:rPr>
        <w:t>第五条　</w:t>
      </w:r>
      <w:r>
        <w:rPr>
          <w:rFonts w:hint="eastAsia" w:eastAsia="方正仿宋_GBK"/>
          <w:color w:val="000000"/>
          <w:spacing w:val="-2"/>
          <w:kern w:val="0"/>
          <w:sz w:val="24"/>
        </w:rPr>
        <w:t>省建设行政主管部门根据工程建设需要组织研究制定省标准设计编制、修编规划纲要，并纳入全省建设事业发展规划纲要。</w:t>
      </w:r>
    </w:p>
    <w:p>
      <w:pPr>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省建设行政主管部门结合编制单位的申报分年度制定省标准设计编制、修编计划和专项支出预算。列入计划的省标准设计应填写《江苏省标准设计编制、修编计划表》（见附表一）。</w:t>
      </w:r>
    </w:p>
    <w:p>
      <w:pPr>
        <w:spacing w:line="460" w:lineRule="exact"/>
        <w:ind w:firstLine="472" w:firstLineChars="200"/>
        <w:jc w:val="left"/>
        <w:rPr>
          <w:rFonts w:eastAsia="方正仿宋_GBK"/>
          <w:color w:val="000000"/>
          <w:spacing w:val="-2"/>
          <w:kern w:val="0"/>
          <w:sz w:val="24"/>
        </w:rPr>
      </w:pPr>
      <w:r>
        <w:rPr>
          <w:rFonts w:hint="eastAsia" w:ascii="Times New Roman" w:eastAsia="方正黑体_GBK"/>
          <w:color w:val="000000"/>
          <w:spacing w:val="-2"/>
          <w:kern w:val="0"/>
          <w:sz w:val="24"/>
        </w:rPr>
        <w:t>第六条　</w:t>
      </w:r>
      <w:r>
        <w:rPr>
          <w:rFonts w:hint="eastAsia" w:eastAsia="方正仿宋_GBK"/>
          <w:color w:val="000000"/>
          <w:spacing w:val="-2"/>
          <w:kern w:val="0"/>
          <w:sz w:val="24"/>
        </w:rPr>
        <w:t>省标准设计编制的主要范围为：</w:t>
      </w:r>
    </w:p>
    <w:p>
      <w:pPr>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（一）地方性工程建设构配件和制品的构造图；</w:t>
      </w:r>
    </w:p>
    <w:p>
      <w:pPr>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（二）地方性的建筑物、构筑物、工程设施和装置及其局部的构造图；</w:t>
      </w:r>
    </w:p>
    <w:p>
      <w:pPr>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（三）推广使用的工程建设</w:t>
      </w:r>
      <w:r>
        <w:rPr>
          <w:rFonts w:eastAsia="方正仿宋_GBK"/>
          <w:color w:val="000000"/>
          <w:spacing w:val="-2"/>
          <w:kern w:val="0"/>
          <w:sz w:val="24"/>
        </w:rPr>
        <w:t>“</w:t>
      </w:r>
      <w:r>
        <w:rPr>
          <w:rFonts w:hint="eastAsia" w:eastAsia="方正仿宋_GBK"/>
          <w:color w:val="000000"/>
          <w:spacing w:val="-2"/>
          <w:kern w:val="0"/>
          <w:sz w:val="24"/>
        </w:rPr>
        <w:t>四新</w:t>
      </w:r>
      <w:r>
        <w:rPr>
          <w:rFonts w:eastAsia="方正仿宋_GBK"/>
          <w:color w:val="000000"/>
          <w:spacing w:val="-2"/>
          <w:kern w:val="0"/>
          <w:sz w:val="24"/>
        </w:rPr>
        <w:t>”</w:t>
      </w:r>
      <w:r>
        <w:rPr>
          <w:rFonts w:hint="eastAsia" w:eastAsia="方正仿宋_GBK"/>
          <w:color w:val="000000"/>
          <w:spacing w:val="-2"/>
          <w:kern w:val="0"/>
          <w:sz w:val="24"/>
        </w:rPr>
        <w:t>成果应用设计图；</w:t>
      </w:r>
    </w:p>
    <w:p>
      <w:pPr>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（四）对勘察设计中多发性缺陷和错误进行纠正和统一的设计文件。</w:t>
      </w:r>
    </w:p>
    <w:p>
      <w:pPr>
        <w:spacing w:line="460" w:lineRule="exact"/>
        <w:ind w:firstLine="472" w:firstLineChars="200"/>
        <w:jc w:val="left"/>
        <w:rPr>
          <w:rFonts w:eastAsia="方正仿宋_GBK"/>
          <w:color w:val="000000"/>
          <w:spacing w:val="-2"/>
          <w:kern w:val="0"/>
          <w:sz w:val="24"/>
        </w:rPr>
      </w:pPr>
      <w:r>
        <w:rPr>
          <w:rFonts w:hint="eastAsia" w:ascii="Times New Roman" w:eastAsia="方正黑体_GBK"/>
          <w:color w:val="000000"/>
          <w:spacing w:val="-2"/>
          <w:kern w:val="0"/>
          <w:sz w:val="24"/>
        </w:rPr>
        <w:t>第七条　</w:t>
      </w:r>
      <w:r>
        <w:rPr>
          <w:rFonts w:hint="eastAsia" w:eastAsia="方正仿宋_GBK"/>
          <w:color w:val="000000"/>
          <w:spacing w:val="-2"/>
          <w:kern w:val="0"/>
          <w:sz w:val="24"/>
        </w:rPr>
        <w:t>省标准设计必须达到以下要求：</w:t>
      </w:r>
    </w:p>
    <w:p>
      <w:pPr>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（一）符合国家、行业和地方标准及技术规定；</w:t>
      </w:r>
    </w:p>
    <w:p>
      <w:pPr>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（二）技术经济指标先进；</w:t>
      </w:r>
      <w:r>
        <w:rPr>
          <w:rFonts w:eastAsia="方正仿宋_GBK"/>
          <w:color w:val="000000"/>
          <w:spacing w:val="-2"/>
          <w:kern w:val="0"/>
          <w:sz w:val="24"/>
        </w:rPr>
        <w:t xml:space="preserve"> </w:t>
      </w:r>
    </w:p>
    <w:p>
      <w:pPr>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（三）符合通用性设计要求；</w:t>
      </w:r>
    </w:p>
    <w:p>
      <w:pPr>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（四）与相关标准设计协调一致，不得抵触；</w:t>
      </w:r>
    </w:p>
    <w:p>
      <w:pPr>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（五）符合相关专业设计深度规定和制图规则。</w:t>
      </w:r>
    </w:p>
    <w:p>
      <w:pPr>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省标准设计采用的</w:t>
      </w:r>
      <w:r>
        <w:rPr>
          <w:rFonts w:eastAsia="方正仿宋_GBK"/>
          <w:color w:val="000000"/>
          <w:spacing w:val="-2"/>
          <w:kern w:val="0"/>
          <w:sz w:val="24"/>
        </w:rPr>
        <w:t>“</w:t>
      </w:r>
      <w:r>
        <w:rPr>
          <w:rFonts w:hint="eastAsia" w:eastAsia="方正仿宋_GBK"/>
          <w:color w:val="000000"/>
          <w:spacing w:val="-2"/>
          <w:kern w:val="0"/>
          <w:sz w:val="24"/>
        </w:rPr>
        <w:t>四新</w:t>
      </w:r>
      <w:r>
        <w:rPr>
          <w:rFonts w:eastAsia="方正仿宋_GBK"/>
          <w:color w:val="000000"/>
          <w:spacing w:val="-2"/>
          <w:kern w:val="0"/>
          <w:sz w:val="24"/>
        </w:rPr>
        <w:t>”</w:t>
      </w:r>
      <w:r>
        <w:rPr>
          <w:rFonts w:hint="eastAsia" w:eastAsia="方正仿宋_GBK"/>
          <w:color w:val="000000"/>
          <w:spacing w:val="-2"/>
          <w:kern w:val="0"/>
          <w:sz w:val="24"/>
        </w:rPr>
        <w:t>成果应经过鉴定，并在一定范围内试用证明效果明显；禁止使用落后淘汰技术。</w:t>
      </w:r>
    </w:p>
    <w:p>
      <w:pPr>
        <w:spacing w:line="460" w:lineRule="exact"/>
        <w:ind w:firstLine="472" w:firstLineChars="200"/>
        <w:jc w:val="left"/>
        <w:rPr>
          <w:rFonts w:eastAsia="方正仿宋_GBK"/>
          <w:color w:val="000000"/>
          <w:spacing w:val="-2"/>
          <w:kern w:val="0"/>
          <w:sz w:val="24"/>
        </w:rPr>
      </w:pPr>
      <w:r>
        <w:rPr>
          <w:rFonts w:hint="eastAsia" w:ascii="Times New Roman" w:eastAsia="方正黑体_GBK"/>
          <w:color w:val="000000"/>
          <w:spacing w:val="-2"/>
          <w:kern w:val="0"/>
          <w:sz w:val="24"/>
        </w:rPr>
        <w:t>第八条　</w:t>
      </w:r>
      <w:r>
        <w:rPr>
          <w:rFonts w:hint="eastAsia" w:eastAsia="方正仿宋_GBK"/>
          <w:color w:val="000000"/>
          <w:spacing w:val="-2"/>
          <w:kern w:val="0"/>
          <w:sz w:val="24"/>
        </w:rPr>
        <w:t>省标准设计由省建设行政主管部门按计划委托符合条件的甲、乙级勘察设计单位编制。委托合同应当明确规定双方的权利、义务，以及编制的内容、进度、费用、技术质量等要求。</w:t>
      </w:r>
    </w:p>
    <w:p>
      <w:pPr>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省标准设计编制经费用于编制工作，专款专用，不得挪作它用。</w:t>
      </w:r>
    </w:p>
    <w:p>
      <w:pPr>
        <w:spacing w:line="460" w:lineRule="exact"/>
        <w:ind w:firstLine="472" w:firstLineChars="200"/>
        <w:jc w:val="left"/>
        <w:rPr>
          <w:rFonts w:eastAsia="方正仿宋_GBK"/>
          <w:color w:val="000000"/>
          <w:spacing w:val="-2"/>
          <w:kern w:val="0"/>
          <w:sz w:val="24"/>
        </w:rPr>
      </w:pPr>
      <w:r>
        <w:rPr>
          <w:rFonts w:hint="eastAsia" w:ascii="Times New Roman" w:eastAsia="方正黑体_GBK"/>
          <w:color w:val="000000"/>
          <w:spacing w:val="-2"/>
          <w:kern w:val="0"/>
          <w:sz w:val="24"/>
        </w:rPr>
        <w:t>第九条　</w:t>
      </w:r>
      <w:r>
        <w:rPr>
          <w:rFonts w:hint="eastAsia" w:eastAsia="方正仿宋_GBK"/>
          <w:color w:val="000000"/>
          <w:spacing w:val="-2"/>
          <w:kern w:val="0"/>
          <w:sz w:val="24"/>
        </w:rPr>
        <w:t>省标准设计编制单位应当建立有效的质量保证体系，安排具有丰富经验的设计人员参加编制工作，设计负责人应具有相应的执业资格。</w:t>
      </w:r>
    </w:p>
    <w:p>
      <w:pPr>
        <w:spacing w:line="460" w:lineRule="exact"/>
        <w:ind w:firstLine="472" w:firstLineChars="200"/>
        <w:jc w:val="left"/>
        <w:rPr>
          <w:rFonts w:eastAsia="方正仿宋_GBK"/>
          <w:color w:val="000000"/>
          <w:spacing w:val="-2"/>
          <w:kern w:val="0"/>
          <w:sz w:val="24"/>
        </w:rPr>
      </w:pPr>
      <w:r>
        <w:rPr>
          <w:rFonts w:hint="eastAsia" w:ascii="Times New Roman" w:eastAsia="方正黑体_GBK"/>
          <w:color w:val="000000"/>
          <w:spacing w:val="-2"/>
          <w:kern w:val="0"/>
          <w:sz w:val="24"/>
        </w:rPr>
        <w:t>第十条　</w:t>
      </w:r>
      <w:r>
        <w:rPr>
          <w:rFonts w:hint="eastAsia" w:eastAsia="方正仿宋_GBK"/>
          <w:color w:val="000000"/>
          <w:spacing w:val="-2"/>
          <w:kern w:val="0"/>
          <w:sz w:val="24"/>
        </w:rPr>
        <w:t>勘察设计单位应当结合工程实践积极归纳形成本单位通用设计，对通用性较好、技术经济指标先进、综合效益显著的，可申报省标准设计。各有关部门以及设计、科研、施工、监理和生产单位应当积极为省标准设计编制提供所需技术资料和便利条件。</w:t>
      </w:r>
    </w:p>
    <w:p>
      <w:pPr>
        <w:spacing w:line="460" w:lineRule="exact"/>
        <w:ind w:firstLine="472" w:firstLineChars="200"/>
        <w:jc w:val="left"/>
        <w:rPr>
          <w:rFonts w:eastAsia="方正仿宋_GBK"/>
          <w:color w:val="000000"/>
          <w:spacing w:val="-2"/>
          <w:kern w:val="0"/>
          <w:sz w:val="24"/>
        </w:rPr>
      </w:pPr>
      <w:r>
        <w:rPr>
          <w:rFonts w:hint="eastAsia" w:ascii="Times New Roman" w:eastAsia="方正黑体_GBK"/>
          <w:color w:val="000000"/>
          <w:spacing w:val="-2"/>
          <w:kern w:val="0"/>
          <w:sz w:val="24"/>
        </w:rPr>
        <w:t>第十一条</w:t>
      </w:r>
      <w:r>
        <w:rPr>
          <w:rFonts w:eastAsia="方正仿宋_GBK"/>
          <w:color w:val="000000"/>
          <w:spacing w:val="-2"/>
          <w:kern w:val="0"/>
          <w:sz w:val="24"/>
        </w:rPr>
        <w:t xml:space="preserve">  </w:t>
      </w:r>
      <w:r>
        <w:rPr>
          <w:rFonts w:hint="eastAsia" w:eastAsia="方正仿宋_GBK"/>
          <w:color w:val="000000"/>
          <w:spacing w:val="-2"/>
          <w:kern w:val="0"/>
          <w:sz w:val="24"/>
        </w:rPr>
        <w:t>省标准设计纳入省工程建设优秀设计评选范围。优秀标准设计等同相应级别的优秀工程设计。</w:t>
      </w:r>
    </w:p>
    <w:p>
      <w:pPr>
        <w:spacing w:line="460" w:lineRule="exact"/>
        <w:ind w:firstLine="472" w:firstLineChars="200"/>
        <w:jc w:val="left"/>
        <w:rPr>
          <w:rFonts w:eastAsia="方正仿宋_GBK"/>
          <w:color w:val="000000"/>
          <w:spacing w:val="-2"/>
          <w:kern w:val="0"/>
          <w:sz w:val="24"/>
        </w:rPr>
      </w:pPr>
      <w:r>
        <w:rPr>
          <w:rFonts w:hint="eastAsia" w:ascii="Times New Roman" w:eastAsia="方正黑体_GBK"/>
          <w:color w:val="000000"/>
          <w:spacing w:val="-2"/>
          <w:kern w:val="0"/>
          <w:sz w:val="24"/>
        </w:rPr>
        <w:t>第十二条　</w:t>
      </w:r>
      <w:r>
        <w:rPr>
          <w:rFonts w:hint="eastAsia" w:eastAsia="方正仿宋_GBK"/>
          <w:color w:val="000000"/>
          <w:spacing w:val="-2"/>
          <w:kern w:val="0"/>
          <w:sz w:val="24"/>
        </w:rPr>
        <w:t>勘察设计单位承担编制省标准设计的成果可以作为单位资质年检、升级、换证的主要业绩。</w:t>
      </w:r>
    </w:p>
    <w:p>
      <w:pPr>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省标准设计可以作为参编人员职称评定的业绩，承担编制主要技术工作的注册执业人员视为已完成相应注册有效期内继续教育的选修学时。</w:t>
      </w:r>
    </w:p>
    <w:p>
      <w:pPr>
        <w:spacing w:line="460" w:lineRule="exact"/>
        <w:ind w:firstLine="472" w:firstLineChars="200"/>
        <w:jc w:val="left"/>
        <w:rPr>
          <w:rFonts w:eastAsia="方正仿宋_GBK"/>
          <w:color w:val="000000"/>
          <w:spacing w:val="-2"/>
          <w:kern w:val="0"/>
          <w:sz w:val="24"/>
        </w:rPr>
      </w:pPr>
      <w:r>
        <w:rPr>
          <w:rFonts w:hint="eastAsia" w:ascii="Times New Roman" w:eastAsia="方正黑体_GBK"/>
          <w:color w:val="000000"/>
          <w:spacing w:val="-2"/>
          <w:kern w:val="0"/>
          <w:sz w:val="24"/>
        </w:rPr>
        <w:t>第十三条　</w:t>
      </w:r>
      <w:r>
        <w:rPr>
          <w:rFonts w:hint="eastAsia" w:eastAsia="方正仿宋_GBK"/>
          <w:color w:val="000000"/>
          <w:spacing w:val="-2"/>
          <w:kern w:val="0"/>
          <w:sz w:val="24"/>
        </w:rPr>
        <w:t>省建设行政主管部门组织省工程建设标准设计专家委员会对省标准设计进行论证、审查。</w:t>
      </w:r>
    </w:p>
    <w:p>
      <w:pPr>
        <w:spacing w:line="460" w:lineRule="exact"/>
        <w:ind w:firstLine="472" w:firstLineChars="200"/>
        <w:jc w:val="left"/>
        <w:rPr>
          <w:rFonts w:eastAsia="方正仿宋_GBK"/>
          <w:color w:val="000000"/>
          <w:spacing w:val="-2"/>
          <w:kern w:val="0"/>
          <w:sz w:val="24"/>
        </w:rPr>
      </w:pPr>
      <w:r>
        <w:rPr>
          <w:rFonts w:hint="eastAsia" w:ascii="Times New Roman" w:eastAsia="方正黑体_GBK"/>
          <w:color w:val="000000"/>
          <w:spacing w:val="-2"/>
          <w:kern w:val="0"/>
          <w:sz w:val="24"/>
        </w:rPr>
        <w:t xml:space="preserve">第十四条  </w:t>
      </w:r>
      <w:r>
        <w:rPr>
          <w:rFonts w:hint="eastAsia" w:eastAsia="方正仿宋_GBK"/>
          <w:color w:val="000000"/>
          <w:spacing w:val="-2"/>
          <w:kern w:val="0"/>
          <w:sz w:val="24"/>
        </w:rPr>
        <w:t>省标准设计一般应经过技术条件论证、设计图征求意见、设计图审查三个阶段，重要或复杂的标准设计还应在设计图征求意见前增加初步设计论证的程序。</w:t>
      </w:r>
    </w:p>
    <w:p>
      <w:pPr>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省标准设计技术条件应当包括拟编制的主要内容、编制原则、相关标准、规范条款、相关技术数据资料等。</w:t>
      </w:r>
    </w:p>
    <w:p>
      <w:pPr>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省标准设计报审稿应当包括：全套标准设计图，通过论证的技术条件、相关计算书和编制技术说明。</w:t>
      </w:r>
    </w:p>
    <w:p>
      <w:pPr>
        <w:spacing w:line="460" w:lineRule="exact"/>
        <w:ind w:firstLine="472" w:firstLineChars="200"/>
        <w:jc w:val="left"/>
        <w:rPr>
          <w:rFonts w:eastAsia="方正仿宋_GBK"/>
          <w:color w:val="000000"/>
          <w:spacing w:val="-2"/>
          <w:kern w:val="0"/>
          <w:sz w:val="24"/>
        </w:rPr>
      </w:pPr>
      <w:r>
        <w:rPr>
          <w:rFonts w:hint="eastAsia" w:ascii="Times New Roman" w:eastAsia="方正黑体_GBK"/>
          <w:color w:val="000000"/>
          <w:spacing w:val="-2"/>
          <w:kern w:val="0"/>
          <w:sz w:val="24"/>
        </w:rPr>
        <w:t>第十五条　</w:t>
      </w:r>
      <w:r>
        <w:rPr>
          <w:rFonts w:hint="eastAsia" w:eastAsia="方正仿宋_GBK"/>
          <w:color w:val="000000"/>
          <w:spacing w:val="-2"/>
          <w:kern w:val="0"/>
          <w:sz w:val="24"/>
        </w:rPr>
        <w:t>经过审查修改后的省标准设计（附电子图档）应填写《江苏省标准设计审查报批表》（见附表二），报省建设行政主管部门发布。</w:t>
      </w:r>
    </w:p>
    <w:p>
      <w:pPr>
        <w:spacing w:line="460" w:lineRule="exact"/>
        <w:ind w:firstLine="472" w:firstLineChars="200"/>
        <w:jc w:val="left"/>
        <w:rPr>
          <w:rFonts w:eastAsia="方正仿宋_GBK"/>
          <w:color w:val="000000"/>
          <w:spacing w:val="-2"/>
          <w:kern w:val="0"/>
          <w:sz w:val="24"/>
        </w:rPr>
      </w:pPr>
      <w:r>
        <w:rPr>
          <w:rFonts w:hint="eastAsia" w:ascii="Times New Roman" w:eastAsia="方正黑体_GBK"/>
          <w:color w:val="000000"/>
          <w:spacing w:val="-2"/>
          <w:kern w:val="0"/>
          <w:sz w:val="24"/>
        </w:rPr>
        <w:t>第十六条　</w:t>
      </w:r>
      <w:r>
        <w:rPr>
          <w:rFonts w:hint="eastAsia" w:eastAsia="方正仿宋_GBK"/>
          <w:color w:val="000000"/>
          <w:spacing w:val="-2"/>
          <w:kern w:val="0"/>
          <w:sz w:val="24"/>
        </w:rPr>
        <w:t>省标准设计按其技术成熟程度分为通用图和推荐图。</w:t>
      </w:r>
    </w:p>
    <w:p>
      <w:pPr>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技术相对成熟、相关标准规范完善，或为贯彻现行工程建设标准、规范而编制的工程构配件、制品或构造等通用设计文件为通用图。</w:t>
      </w:r>
    </w:p>
    <w:p>
      <w:pPr>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为推广使用工程建设</w:t>
      </w:r>
      <w:r>
        <w:rPr>
          <w:rFonts w:eastAsia="方正仿宋_GBK"/>
          <w:color w:val="000000"/>
          <w:spacing w:val="-2"/>
          <w:kern w:val="0"/>
          <w:sz w:val="24"/>
        </w:rPr>
        <w:t>“</w:t>
      </w:r>
      <w:r>
        <w:rPr>
          <w:rFonts w:hint="eastAsia" w:eastAsia="方正仿宋_GBK"/>
          <w:color w:val="000000"/>
          <w:spacing w:val="-2"/>
          <w:kern w:val="0"/>
          <w:sz w:val="24"/>
        </w:rPr>
        <w:t>四新</w:t>
      </w:r>
      <w:r>
        <w:rPr>
          <w:rFonts w:eastAsia="方正仿宋_GBK"/>
          <w:color w:val="000000"/>
          <w:spacing w:val="-2"/>
          <w:kern w:val="0"/>
          <w:sz w:val="24"/>
        </w:rPr>
        <w:t>”</w:t>
      </w:r>
      <w:r>
        <w:rPr>
          <w:rFonts w:hint="eastAsia" w:eastAsia="方正仿宋_GBK"/>
          <w:color w:val="000000"/>
          <w:spacing w:val="-2"/>
          <w:kern w:val="0"/>
          <w:sz w:val="24"/>
        </w:rPr>
        <w:t>成果，相关标准规范尚不够健全，所编制的应用设计文件为推荐图。</w:t>
      </w:r>
    </w:p>
    <w:p>
      <w:pPr>
        <w:spacing w:line="460" w:lineRule="exact"/>
        <w:ind w:firstLine="472" w:firstLineChars="200"/>
        <w:jc w:val="left"/>
        <w:rPr>
          <w:rFonts w:eastAsia="方正仿宋_GBK"/>
          <w:color w:val="000000"/>
          <w:spacing w:val="-2"/>
          <w:kern w:val="0"/>
          <w:sz w:val="24"/>
        </w:rPr>
      </w:pPr>
      <w:r>
        <w:rPr>
          <w:rFonts w:hint="eastAsia" w:ascii="Times New Roman" w:eastAsia="方正黑体_GBK"/>
          <w:color w:val="000000"/>
          <w:spacing w:val="-2"/>
          <w:kern w:val="0"/>
          <w:sz w:val="24"/>
        </w:rPr>
        <w:t>第十七条　</w:t>
      </w:r>
      <w:r>
        <w:rPr>
          <w:rFonts w:hint="eastAsia" w:eastAsia="方正仿宋_GBK"/>
          <w:color w:val="000000"/>
          <w:spacing w:val="-2"/>
          <w:kern w:val="0"/>
          <w:sz w:val="24"/>
        </w:rPr>
        <w:t>省标准设计应按专业分类、图集分类统一编号。</w:t>
      </w:r>
    </w:p>
    <w:p>
      <w:pPr>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通用图编号为：苏</w:t>
      </w:r>
      <w:r>
        <w:rPr>
          <w:rFonts w:eastAsia="方正仿宋_GBK"/>
          <w:color w:val="000000"/>
          <w:spacing w:val="-2"/>
          <w:kern w:val="0"/>
          <w:sz w:val="24"/>
        </w:rPr>
        <w:t>  Χ</w:t>
      </w:r>
      <w:r>
        <w:rPr>
          <w:rFonts w:hint="eastAsia" w:eastAsia="方正仿宋_GBK"/>
          <w:color w:val="000000"/>
          <w:spacing w:val="-2"/>
          <w:kern w:val="0"/>
          <w:sz w:val="24"/>
        </w:rPr>
        <w:t>　</w:t>
      </w:r>
      <w:r>
        <w:rPr>
          <w:rFonts w:eastAsia="方正仿宋_GBK"/>
          <w:color w:val="000000"/>
          <w:spacing w:val="-2"/>
          <w:kern w:val="0"/>
          <w:sz w:val="24"/>
        </w:rPr>
        <w:t>ΧΧ</w:t>
      </w:r>
      <w:r>
        <w:rPr>
          <w:rFonts w:hint="eastAsia" w:eastAsia="方正仿宋_GBK"/>
          <w:color w:val="000000"/>
          <w:spacing w:val="-2"/>
          <w:kern w:val="0"/>
          <w:sz w:val="24"/>
        </w:rPr>
        <w:t>　</w:t>
      </w:r>
      <w:r>
        <w:rPr>
          <w:rFonts w:eastAsia="方正仿宋_GBK"/>
          <w:color w:val="000000"/>
          <w:spacing w:val="-2"/>
          <w:kern w:val="0"/>
          <w:sz w:val="24"/>
        </w:rPr>
        <w:t>—</w:t>
      </w:r>
      <w:r>
        <w:rPr>
          <w:rFonts w:hint="eastAsia" w:eastAsia="方正仿宋_GBK"/>
          <w:color w:val="000000"/>
          <w:spacing w:val="-2"/>
          <w:kern w:val="0"/>
          <w:sz w:val="24"/>
        </w:rPr>
        <w:t>　</w:t>
      </w:r>
      <w:r>
        <w:rPr>
          <w:rFonts w:eastAsia="方正仿宋_GBK"/>
          <w:color w:val="000000"/>
          <w:spacing w:val="-2"/>
          <w:kern w:val="0"/>
          <w:sz w:val="24"/>
        </w:rPr>
        <w:t>ΧΧΧΧ</w:t>
      </w:r>
      <w:r>
        <w:rPr>
          <w:rFonts w:hint="eastAsia" w:eastAsia="方正仿宋_GBK"/>
          <w:color w:val="000000"/>
          <w:spacing w:val="-2"/>
          <w:kern w:val="0"/>
          <w:sz w:val="24"/>
        </w:rPr>
        <w:t>　</w:t>
      </w:r>
    </w:p>
    <w:p>
      <w:pPr>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　　　　　　</w:t>
      </w:r>
      <w:r>
        <w:rPr>
          <w:rFonts w:eastAsia="方正仿宋_GBK"/>
          <w:color w:val="000000"/>
          <w:spacing w:val="-2"/>
          <w:kern w:val="0"/>
          <w:sz w:val="24"/>
        </w:rPr>
        <w:t xml:space="preserve">  </w:t>
      </w:r>
      <w:r>
        <w:rPr>
          <w:rFonts w:hint="eastAsia" w:eastAsia="方正仿宋_GBK"/>
          <w:color w:val="000000"/>
          <w:spacing w:val="-2"/>
          <w:kern w:val="0"/>
          <w:sz w:val="24"/>
        </w:rPr>
        <w:t>专业代号　图集序号　　图集发布年号</w:t>
      </w:r>
    </w:p>
    <w:p>
      <w:pPr>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推荐图编号为：苏　</w:t>
      </w:r>
      <w:r>
        <w:rPr>
          <w:rFonts w:eastAsia="方正仿宋_GBK"/>
          <w:color w:val="000000"/>
          <w:spacing w:val="-2"/>
          <w:kern w:val="0"/>
          <w:sz w:val="24"/>
        </w:rPr>
        <w:t xml:space="preserve">Χ  </w:t>
      </w:r>
      <w:r>
        <w:rPr>
          <w:rFonts w:hint="eastAsia" w:eastAsia="方正仿宋_GBK"/>
          <w:color w:val="000000"/>
          <w:spacing w:val="-2"/>
          <w:kern w:val="0"/>
          <w:sz w:val="24"/>
        </w:rPr>
        <w:t>／</w:t>
      </w:r>
      <w:r>
        <w:rPr>
          <w:rFonts w:eastAsia="方正仿宋_GBK"/>
          <w:color w:val="000000"/>
          <w:spacing w:val="-2"/>
          <w:kern w:val="0"/>
          <w:sz w:val="24"/>
        </w:rPr>
        <w:t xml:space="preserve"> TΧΧ</w:t>
      </w:r>
      <w:r>
        <w:rPr>
          <w:rFonts w:hint="eastAsia" w:eastAsia="方正仿宋_GBK"/>
          <w:color w:val="000000"/>
          <w:spacing w:val="-2"/>
          <w:kern w:val="0"/>
          <w:sz w:val="24"/>
        </w:rPr>
        <w:t>　</w:t>
      </w:r>
      <w:r>
        <w:rPr>
          <w:rFonts w:eastAsia="方正仿宋_GBK"/>
          <w:color w:val="000000"/>
          <w:spacing w:val="-2"/>
          <w:kern w:val="0"/>
          <w:sz w:val="24"/>
        </w:rPr>
        <w:t>—</w:t>
      </w:r>
      <w:r>
        <w:rPr>
          <w:rFonts w:hint="eastAsia" w:eastAsia="方正仿宋_GBK"/>
          <w:color w:val="000000"/>
          <w:spacing w:val="-2"/>
          <w:kern w:val="0"/>
          <w:sz w:val="24"/>
        </w:rPr>
        <w:t>　</w:t>
      </w:r>
      <w:r>
        <w:rPr>
          <w:rFonts w:eastAsia="方正仿宋_GBK"/>
          <w:color w:val="000000"/>
          <w:spacing w:val="-2"/>
          <w:kern w:val="0"/>
          <w:sz w:val="24"/>
        </w:rPr>
        <w:t>ΧΧΧΧ</w:t>
      </w:r>
      <w:r>
        <w:rPr>
          <w:rFonts w:hint="eastAsia" w:eastAsia="方正仿宋_GBK"/>
          <w:color w:val="000000"/>
          <w:spacing w:val="-2"/>
          <w:kern w:val="0"/>
          <w:sz w:val="24"/>
        </w:rPr>
        <w:t>　</w:t>
      </w:r>
    </w:p>
    <w:p>
      <w:pPr>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　　　　　　专业代号</w:t>
      </w:r>
      <w:r>
        <w:rPr>
          <w:rFonts w:eastAsia="方正仿宋_GBK"/>
          <w:color w:val="000000"/>
          <w:spacing w:val="-2"/>
          <w:kern w:val="0"/>
          <w:sz w:val="24"/>
        </w:rPr>
        <w:t xml:space="preserve"> </w:t>
      </w:r>
      <w:r>
        <w:rPr>
          <w:rFonts w:hint="eastAsia" w:eastAsia="方正仿宋_GBK"/>
          <w:color w:val="000000"/>
          <w:spacing w:val="-2"/>
          <w:kern w:val="0"/>
          <w:sz w:val="24"/>
        </w:rPr>
        <w:t>推荐图集序号　</w:t>
      </w:r>
      <w:r>
        <w:rPr>
          <w:rFonts w:eastAsia="方正仿宋_GBK"/>
          <w:color w:val="000000"/>
          <w:spacing w:val="-2"/>
          <w:kern w:val="0"/>
          <w:sz w:val="24"/>
        </w:rPr>
        <w:t xml:space="preserve"> </w:t>
      </w:r>
      <w:r>
        <w:rPr>
          <w:rFonts w:hint="eastAsia" w:eastAsia="方正仿宋_GBK"/>
          <w:color w:val="000000"/>
          <w:spacing w:val="-2"/>
          <w:kern w:val="0"/>
          <w:sz w:val="24"/>
        </w:rPr>
        <w:t>图集发布年号</w:t>
      </w:r>
    </w:p>
    <w:p>
      <w:pPr>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属于同一系列或同一类的标准设计编号后附加顺序号（一）、（二）</w:t>
      </w:r>
      <w:r>
        <w:rPr>
          <w:rFonts w:hint="eastAsia" w:ascii="Times New Roman" w:hAnsi="Times New Roman"/>
          <w:color w:val="000000"/>
          <w:spacing w:val="-2"/>
          <w:kern w:val="0"/>
          <w:sz w:val="24"/>
        </w:rPr>
        <w:t>……</w:t>
      </w:r>
      <w:r>
        <w:rPr>
          <w:rFonts w:eastAsia="方正仿宋_GBK"/>
          <w:color w:val="000000"/>
          <w:spacing w:val="-2"/>
          <w:kern w:val="0"/>
          <w:sz w:val="24"/>
        </w:rPr>
        <w:t xml:space="preserve"> </w:t>
      </w:r>
      <w:r>
        <w:rPr>
          <w:rFonts w:hint="eastAsia" w:eastAsia="方正仿宋_GBK"/>
          <w:color w:val="000000"/>
          <w:spacing w:val="-2"/>
          <w:kern w:val="0"/>
          <w:sz w:val="24"/>
        </w:rPr>
        <w:t>以示区别。</w:t>
      </w:r>
    </w:p>
    <w:p>
      <w:pPr>
        <w:spacing w:line="460" w:lineRule="exact"/>
        <w:ind w:firstLine="472" w:firstLineChars="200"/>
        <w:jc w:val="left"/>
        <w:rPr>
          <w:rFonts w:eastAsia="方正仿宋_GBK"/>
          <w:color w:val="000000"/>
          <w:spacing w:val="-2"/>
          <w:kern w:val="0"/>
          <w:sz w:val="24"/>
        </w:rPr>
      </w:pPr>
      <w:r>
        <w:rPr>
          <w:rFonts w:hint="eastAsia" w:ascii="Times New Roman" w:eastAsia="方正黑体_GBK"/>
          <w:color w:val="000000"/>
          <w:spacing w:val="-2"/>
          <w:kern w:val="0"/>
          <w:sz w:val="24"/>
        </w:rPr>
        <w:t>第十八条　</w:t>
      </w:r>
      <w:r>
        <w:rPr>
          <w:rFonts w:hint="eastAsia" w:eastAsia="方正仿宋_GBK"/>
          <w:color w:val="000000"/>
          <w:spacing w:val="-2"/>
          <w:kern w:val="0"/>
          <w:sz w:val="24"/>
        </w:rPr>
        <w:t>经批准发布的省标准设计是具有技术指导性的设计文件。省内各类工程建设项目应结合实际，优先采用。</w:t>
      </w:r>
    </w:p>
    <w:p>
      <w:pPr>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市、县（市）建设行政主管部门和相关机构应当积极推广应用标准设计。</w:t>
      </w:r>
    </w:p>
    <w:p>
      <w:pPr>
        <w:spacing w:line="460" w:lineRule="exact"/>
        <w:ind w:firstLine="472" w:firstLineChars="200"/>
        <w:jc w:val="left"/>
        <w:rPr>
          <w:rFonts w:eastAsia="方正仿宋_GBK"/>
          <w:color w:val="000000"/>
          <w:spacing w:val="-2"/>
          <w:kern w:val="0"/>
          <w:sz w:val="24"/>
        </w:rPr>
      </w:pPr>
      <w:r>
        <w:rPr>
          <w:rFonts w:hint="eastAsia" w:ascii="Times New Roman" w:eastAsia="方正黑体_GBK"/>
          <w:color w:val="000000"/>
          <w:spacing w:val="-2"/>
          <w:kern w:val="0"/>
          <w:sz w:val="24"/>
        </w:rPr>
        <w:t>第十九条　</w:t>
      </w:r>
      <w:r>
        <w:rPr>
          <w:rFonts w:hint="eastAsia" w:eastAsia="方正仿宋_GBK"/>
          <w:color w:val="000000"/>
          <w:spacing w:val="-2"/>
          <w:kern w:val="0"/>
          <w:sz w:val="24"/>
        </w:rPr>
        <w:t>工程设计单位应当正确选用省标准设计，工程设计文件中采用省标准设计应当注明所采用的图集编号、页次、选用图号等。</w:t>
      </w:r>
    </w:p>
    <w:p>
      <w:pPr>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工程建设和制品生产采用标准设计的，应按照标准设计所规定的技术经济指标和质量标准进行实施和生产。达不到要求的，按未达到设计要求情节依照相关法规进行处理。省标准设计中涉及专利技术的，应符合专利保护的相关法规。</w:t>
      </w:r>
    </w:p>
    <w:p>
      <w:pPr>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工程建设中不得选用未经批准发布的标准设计图集。</w:t>
      </w:r>
    </w:p>
    <w:p>
      <w:pPr>
        <w:spacing w:line="460" w:lineRule="exact"/>
        <w:ind w:firstLine="472" w:firstLineChars="200"/>
        <w:jc w:val="left"/>
        <w:rPr>
          <w:rFonts w:eastAsia="方正仿宋_GBK"/>
          <w:color w:val="000000"/>
          <w:spacing w:val="-2"/>
          <w:kern w:val="0"/>
          <w:sz w:val="24"/>
        </w:rPr>
      </w:pPr>
      <w:r>
        <w:rPr>
          <w:rFonts w:hint="eastAsia" w:ascii="Times New Roman" w:eastAsia="方正黑体_GBK"/>
          <w:color w:val="000000"/>
          <w:spacing w:val="-2"/>
          <w:kern w:val="0"/>
          <w:sz w:val="24"/>
        </w:rPr>
        <w:t>第二十条</w:t>
      </w:r>
      <w:r>
        <w:rPr>
          <w:rFonts w:eastAsia="方正仿宋_GBK"/>
          <w:color w:val="000000"/>
          <w:spacing w:val="-2"/>
          <w:kern w:val="0"/>
          <w:sz w:val="24"/>
        </w:rPr>
        <w:t xml:space="preserve">  </w:t>
      </w:r>
      <w:r>
        <w:rPr>
          <w:rFonts w:hint="eastAsia" w:eastAsia="方正仿宋_GBK"/>
          <w:color w:val="000000"/>
          <w:spacing w:val="-2"/>
          <w:kern w:val="0"/>
          <w:sz w:val="24"/>
        </w:rPr>
        <w:t>省标准设计应根据技术发展和工程建设需要定期进行复审，一般通用图五年、推荐图三年复审一次，对于技术落后，已不符合新颁布的国家标准、规范的，要及时修编或废止。省标准设计的废止由省建设行政主管部门公布。</w:t>
      </w:r>
    </w:p>
    <w:p>
      <w:pPr>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已公布废止的省标准设计，自废止之日起工程设计中不得采用。</w:t>
      </w:r>
    </w:p>
    <w:p>
      <w:pPr>
        <w:spacing w:line="460" w:lineRule="exact"/>
        <w:ind w:firstLine="472" w:firstLineChars="200"/>
        <w:jc w:val="left"/>
        <w:rPr>
          <w:rFonts w:eastAsia="方正仿宋_GBK"/>
          <w:color w:val="000000"/>
          <w:spacing w:val="-2"/>
          <w:kern w:val="0"/>
          <w:sz w:val="24"/>
        </w:rPr>
      </w:pPr>
      <w:r>
        <w:rPr>
          <w:rFonts w:hint="eastAsia" w:ascii="Times New Roman" w:eastAsia="方正黑体_GBK"/>
          <w:color w:val="000000"/>
          <w:spacing w:val="-2"/>
          <w:kern w:val="0"/>
          <w:sz w:val="24"/>
        </w:rPr>
        <w:t>第二十一条　</w:t>
      </w:r>
      <w:r>
        <w:rPr>
          <w:rFonts w:hint="eastAsia" w:eastAsia="方正仿宋_GBK"/>
          <w:color w:val="000000"/>
          <w:spacing w:val="-2"/>
          <w:kern w:val="0"/>
          <w:sz w:val="24"/>
        </w:rPr>
        <w:t>省标准设计由省工程建设标准设计站组织印刷。</w:t>
      </w:r>
    </w:p>
    <w:p>
      <w:pPr>
        <w:spacing w:line="460" w:lineRule="exact"/>
        <w:ind w:firstLine="472" w:firstLineChars="200"/>
        <w:jc w:val="left"/>
        <w:rPr>
          <w:rFonts w:eastAsia="方正仿宋_GBK"/>
          <w:color w:val="000000"/>
          <w:spacing w:val="-2"/>
          <w:kern w:val="0"/>
          <w:sz w:val="24"/>
        </w:rPr>
      </w:pPr>
      <w:r>
        <w:rPr>
          <w:rFonts w:hint="eastAsia" w:ascii="Times New Roman" w:eastAsia="方正黑体_GBK"/>
          <w:color w:val="000000"/>
          <w:spacing w:val="-2"/>
          <w:kern w:val="0"/>
          <w:sz w:val="24"/>
        </w:rPr>
        <w:t>第二十二条　</w:t>
      </w:r>
      <w:r>
        <w:rPr>
          <w:rFonts w:hint="eastAsia" w:eastAsia="方正仿宋_GBK"/>
          <w:color w:val="000000"/>
          <w:spacing w:val="-2"/>
          <w:kern w:val="0"/>
          <w:sz w:val="24"/>
        </w:rPr>
        <w:t>省工程建设标准设计站在建立健全图集供应网络，保障供应的基础上，逐步推行标准设计应用会员制。</w:t>
      </w:r>
    </w:p>
    <w:p>
      <w:pPr>
        <w:spacing w:line="460" w:lineRule="exact"/>
        <w:ind w:firstLine="472" w:firstLineChars="200"/>
        <w:jc w:val="left"/>
        <w:rPr>
          <w:rFonts w:eastAsia="方正仿宋_GBK"/>
          <w:color w:val="000000"/>
          <w:spacing w:val="-2"/>
          <w:kern w:val="0"/>
          <w:sz w:val="24"/>
        </w:rPr>
      </w:pPr>
      <w:r>
        <w:rPr>
          <w:rFonts w:hint="eastAsia" w:ascii="Times New Roman" w:eastAsia="方正黑体_GBK"/>
          <w:color w:val="000000"/>
          <w:spacing w:val="-2"/>
          <w:kern w:val="0"/>
          <w:sz w:val="24"/>
        </w:rPr>
        <w:t>第二十四条　</w:t>
      </w:r>
      <w:r>
        <w:rPr>
          <w:rFonts w:hint="eastAsia" w:eastAsia="方正仿宋_GBK"/>
          <w:color w:val="000000"/>
          <w:spacing w:val="-2"/>
          <w:kern w:val="0"/>
          <w:sz w:val="24"/>
        </w:rPr>
        <w:t>本办法自</w:t>
      </w:r>
      <w:r>
        <w:rPr>
          <w:rFonts w:eastAsia="方正仿宋_GBK"/>
          <w:color w:val="000000"/>
          <w:spacing w:val="-2"/>
          <w:kern w:val="0"/>
          <w:sz w:val="24"/>
        </w:rPr>
        <w:t>2004</w:t>
      </w:r>
      <w:r>
        <w:rPr>
          <w:rFonts w:hint="eastAsia" w:eastAsia="方正仿宋_GBK"/>
          <w:color w:val="000000"/>
          <w:spacing w:val="-2"/>
          <w:kern w:val="0"/>
          <w:sz w:val="24"/>
        </w:rPr>
        <w:t>年</w:t>
      </w:r>
      <w:r>
        <w:rPr>
          <w:rFonts w:eastAsia="方正仿宋_GBK"/>
          <w:color w:val="000000"/>
          <w:spacing w:val="-2"/>
          <w:kern w:val="0"/>
          <w:sz w:val="24"/>
        </w:rPr>
        <w:t>4</w:t>
      </w:r>
      <w:r>
        <w:rPr>
          <w:rFonts w:hint="eastAsia" w:eastAsia="方正仿宋_GBK"/>
          <w:color w:val="000000"/>
          <w:spacing w:val="-2"/>
          <w:kern w:val="0"/>
          <w:sz w:val="24"/>
        </w:rPr>
        <w:t>月</w:t>
      </w:r>
      <w:r>
        <w:rPr>
          <w:rFonts w:eastAsia="方正仿宋_GBK"/>
          <w:color w:val="000000"/>
          <w:spacing w:val="-2"/>
          <w:kern w:val="0"/>
          <w:sz w:val="24"/>
        </w:rPr>
        <w:t>1</w:t>
      </w:r>
      <w:r>
        <w:rPr>
          <w:rFonts w:hint="eastAsia" w:eastAsia="方正仿宋_GBK"/>
          <w:color w:val="000000"/>
          <w:spacing w:val="-2"/>
          <w:kern w:val="0"/>
          <w:sz w:val="24"/>
        </w:rPr>
        <w:t>日起施行。</w:t>
      </w:r>
    </w:p>
    <w:p>
      <w:pPr>
        <w:spacing w:line="460" w:lineRule="exact"/>
        <w:ind w:firstLine="472" w:firstLineChars="200"/>
        <w:jc w:val="left"/>
        <w:rPr>
          <w:rFonts w:eastAsia="方正仿宋_GBK"/>
          <w:color w:val="000000"/>
          <w:spacing w:val="-2"/>
          <w:kern w:val="0"/>
          <w:sz w:val="24"/>
        </w:rPr>
      </w:pPr>
    </w:p>
    <w:p>
      <w:pPr>
        <w:spacing w:line="460" w:lineRule="exact"/>
        <w:ind w:firstLine="472" w:firstLineChars="200"/>
        <w:jc w:val="left"/>
        <w:rPr>
          <w:rFonts w:eastAsia="方正仿宋_GBK"/>
          <w:color w:val="000000"/>
          <w:spacing w:val="-2"/>
          <w:kern w:val="0"/>
          <w:sz w:val="24"/>
        </w:rPr>
      </w:pPr>
    </w:p>
    <w:p>
      <w:pPr>
        <w:spacing w:line="460" w:lineRule="exact"/>
        <w:jc w:val="left"/>
        <w:rPr>
          <w:rFonts w:ascii="Times New Roman" w:eastAsia="方正黑体_GBK" w:cs="宋体"/>
          <w:b/>
          <w:color w:val="000000"/>
          <w:spacing w:val="-2"/>
          <w:kern w:val="0"/>
          <w:sz w:val="28"/>
          <w:szCs w:val="28"/>
        </w:rPr>
      </w:pPr>
      <w:r>
        <w:rPr>
          <w:rFonts w:eastAsia="方正仿宋_GBK"/>
          <w:color w:val="000000"/>
          <w:spacing w:val="-2"/>
          <w:sz w:val="24"/>
        </w:rPr>
        <w:br w:type="column"/>
      </w:r>
      <w:r>
        <w:rPr>
          <w:rFonts w:hint="eastAsia" w:ascii="Times New Roman" w:eastAsia="方正黑体_GBK" w:cs="宋体"/>
          <w:color w:val="000000"/>
          <w:spacing w:val="-2"/>
          <w:kern w:val="0"/>
          <w:sz w:val="28"/>
          <w:szCs w:val="28"/>
        </w:rPr>
        <w:t>附表一：</w:t>
      </w:r>
    </w:p>
    <w:p>
      <w:pPr>
        <w:jc w:val="center"/>
        <w:rPr>
          <w:rFonts w:hint="eastAsia" w:ascii="Times New Roman" w:eastAsia="方正黑体_GBK" w:cs="宋体"/>
          <w:color w:val="000000"/>
          <w:spacing w:val="-2"/>
          <w:kern w:val="0"/>
          <w:sz w:val="32"/>
          <w:szCs w:val="32"/>
        </w:rPr>
      </w:pPr>
      <w:r>
        <w:rPr>
          <w:rFonts w:hint="eastAsia" w:ascii="Times New Roman" w:eastAsia="方正黑体_GBK" w:cs="宋体"/>
          <w:color w:val="000000"/>
          <w:spacing w:val="-2"/>
          <w:kern w:val="0"/>
          <w:sz w:val="32"/>
          <w:szCs w:val="32"/>
        </w:rPr>
        <w:t>江苏省标准设计编制、修编计划表</w:t>
      </w: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49"/>
        <w:gridCol w:w="3213"/>
        <w:gridCol w:w="1240"/>
        <w:gridCol w:w="27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9" w:type="dxa"/>
            <w:tcBorders>
              <w:top w:val="single" w:color="auto" w:sz="8"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kern w:val="0"/>
                <w:szCs w:val="21"/>
              </w:rPr>
            </w:pPr>
            <w:r>
              <w:rPr>
                <w:rFonts w:hint="eastAsia" w:eastAsia="方正仿宋_GBK"/>
                <w:color w:val="000000"/>
                <w:spacing w:val="-2"/>
                <w:kern w:val="0"/>
                <w:szCs w:val="21"/>
              </w:rPr>
              <w:t>标准设计名称</w:t>
            </w:r>
          </w:p>
        </w:tc>
        <w:tc>
          <w:tcPr>
            <w:tcW w:w="7189" w:type="dxa"/>
            <w:gridSpan w:val="3"/>
            <w:tcBorders>
              <w:top w:val="single" w:color="auto" w:sz="8" w:space="0"/>
              <w:left w:val="single" w:color="auto" w:sz="4" w:space="0"/>
              <w:bottom w:val="single" w:color="auto" w:sz="4" w:space="0"/>
              <w:right w:val="single" w:color="auto" w:sz="8" w:space="0"/>
            </w:tcBorders>
            <w:noWrap w:val="0"/>
            <w:vAlign w:val="center"/>
          </w:tcPr>
          <w:p>
            <w:pPr>
              <w:jc w:val="left"/>
              <w:rPr>
                <w:rFonts w:eastAsia="方正仿宋_GBK"/>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2" w:hRule="atLeast"/>
          <w:jc w:val="center"/>
        </w:trPr>
        <w:tc>
          <w:tcPr>
            <w:tcW w:w="1849"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kern w:val="0"/>
                <w:szCs w:val="21"/>
              </w:rPr>
            </w:pPr>
            <w:r>
              <w:rPr>
                <w:rFonts w:hint="eastAsia" w:eastAsia="方正仿宋_GBK"/>
                <w:color w:val="000000"/>
                <w:spacing w:val="-2"/>
                <w:kern w:val="0"/>
                <w:szCs w:val="21"/>
              </w:rPr>
              <w:t>编制、修编</w:t>
            </w:r>
          </w:p>
          <w:p>
            <w:pPr>
              <w:jc w:val="center"/>
              <w:rPr>
                <w:rFonts w:eastAsia="方正仿宋_GBK"/>
                <w:color w:val="000000"/>
                <w:spacing w:val="-2"/>
                <w:kern w:val="0"/>
                <w:szCs w:val="21"/>
              </w:rPr>
            </w:pPr>
            <w:r>
              <w:rPr>
                <w:rFonts w:hint="eastAsia" w:eastAsia="方正仿宋_GBK"/>
                <w:color w:val="000000"/>
                <w:spacing w:val="-2"/>
                <w:kern w:val="0"/>
                <w:szCs w:val="21"/>
              </w:rPr>
              <w:t>主要目的</w:t>
            </w:r>
          </w:p>
          <w:p>
            <w:pPr>
              <w:jc w:val="center"/>
              <w:rPr>
                <w:rFonts w:eastAsia="方正仿宋_GBK"/>
                <w:color w:val="000000"/>
                <w:spacing w:val="-2"/>
                <w:kern w:val="0"/>
                <w:szCs w:val="21"/>
              </w:rPr>
            </w:pPr>
            <w:r>
              <w:rPr>
                <w:rFonts w:hint="eastAsia" w:eastAsia="方正仿宋_GBK"/>
                <w:color w:val="000000"/>
                <w:spacing w:val="-2"/>
                <w:kern w:val="0"/>
                <w:szCs w:val="21"/>
              </w:rPr>
              <w:t>和内容</w:t>
            </w:r>
          </w:p>
        </w:tc>
        <w:tc>
          <w:tcPr>
            <w:tcW w:w="7189" w:type="dxa"/>
            <w:gridSpan w:val="3"/>
            <w:tcBorders>
              <w:top w:val="single" w:color="auto" w:sz="4" w:space="0"/>
              <w:left w:val="single" w:color="auto" w:sz="4" w:space="0"/>
              <w:bottom w:val="single" w:color="auto" w:sz="4" w:space="0"/>
              <w:right w:val="single" w:color="auto" w:sz="8" w:space="0"/>
            </w:tcBorders>
            <w:noWrap w:val="0"/>
            <w:vAlign w:val="center"/>
          </w:tcPr>
          <w:p>
            <w:pPr>
              <w:jc w:val="left"/>
              <w:rPr>
                <w:rFonts w:eastAsia="方正仿宋_GBK"/>
                <w:color w:val="000000"/>
                <w:spacing w:val="-2"/>
                <w:kern w:val="0"/>
                <w:szCs w:val="21"/>
              </w:rPr>
            </w:pPr>
          </w:p>
          <w:p>
            <w:pPr>
              <w:jc w:val="left"/>
              <w:rPr>
                <w:rFonts w:eastAsia="方正仿宋_GBK"/>
                <w:color w:val="000000"/>
                <w:spacing w:val="-2"/>
                <w:kern w:val="0"/>
                <w:szCs w:val="21"/>
              </w:rPr>
            </w:pPr>
          </w:p>
          <w:p>
            <w:pPr>
              <w:jc w:val="left"/>
              <w:rPr>
                <w:rFonts w:eastAsia="方正仿宋_GBK"/>
                <w:color w:val="000000"/>
                <w:spacing w:val="-2"/>
                <w:kern w:val="0"/>
                <w:szCs w:val="21"/>
              </w:rPr>
            </w:pPr>
          </w:p>
          <w:p>
            <w:pPr>
              <w:jc w:val="left"/>
              <w:rPr>
                <w:rFonts w:eastAsia="方正仿宋_GBK"/>
                <w:color w:val="000000"/>
                <w:spacing w:val="-2"/>
                <w:kern w:val="0"/>
                <w:szCs w:val="21"/>
              </w:rPr>
            </w:pPr>
          </w:p>
          <w:p>
            <w:pPr>
              <w:jc w:val="left"/>
              <w:rPr>
                <w:rFonts w:eastAsia="方正仿宋_GBK"/>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1849"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kern w:val="0"/>
                <w:szCs w:val="21"/>
              </w:rPr>
            </w:pPr>
            <w:r>
              <w:rPr>
                <w:rFonts w:hint="eastAsia" w:eastAsia="方正仿宋_GBK"/>
                <w:color w:val="000000"/>
                <w:spacing w:val="-2"/>
                <w:kern w:val="0"/>
                <w:szCs w:val="21"/>
              </w:rPr>
              <w:t>现行相关国家标准和标准设计情况</w:t>
            </w:r>
          </w:p>
        </w:tc>
        <w:tc>
          <w:tcPr>
            <w:tcW w:w="7189" w:type="dxa"/>
            <w:gridSpan w:val="3"/>
            <w:tcBorders>
              <w:top w:val="single" w:color="auto" w:sz="4" w:space="0"/>
              <w:left w:val="single" w:color="auto" w:sz="4" w:space="0"/>
              <w:bottom w:val="single" w:color="auto" w:sz="4" w:space="0"/>
              <w:right w:val="single" w:color="auto" w:sz="8" w:space="0"/>
            </w:tcBorders>
            <w:noWrap w:val="0"/>
            <w:vAlign w:val="center"/>
          </w:tcPr>
          <w:p>
            <w:pPr>
              <w:jc w:val="left"/>
              <w:rPr>
                <w:rFonts w:eastAsia="方正仿宋_GBK"/>
                <w:color w:val="000000"/>
                <w:spacing w:val="-2"/>
                <w:kern w:val="0"/>
                <w:szCs w:val="21"/>
              </w:rPr>
            </w:pPr>
          </w:p>
          <w:p>
            <w:pPr>
              <w:jc w:val="left"/>
              <w:rPr>
                <w:rFonts w:eastAsia="方正仿宋_GBK"/>
                <w:color w:val="000000"/>
                <w:spacing w:val="-2"/>
                <w:kern w:val="0"/>
                <w:szCs w:val="21"/>
              </w:rPr>
            </w:pPr>
          </w:p>
          <w:p>
            <w:pPr>
              <w:jc w:val="left"/>
              <w:rPr>
                <w:rFonts w:eastAsia="方正仿宋_GBK"/>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849"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kern w:val="0"/>
                <w:szCs w:val="21"/>
              </w:rPr>
            </w:pPr>
            <w:r>
              <w:rPr>
                <w:rFonts w:hint="eastAsia" w:eastAsia="方正仿宋_GBK"/>
                <w:color w:val="000000"/>
                <w:spacing w:val="-2"/>
                <w:kern w:val="0"/>
                <w:szCs w:val="21"/>
              </w:rPr>
              <w:t>经</w:t>
            </w:r>
            <w:r>
              <w:rPr>
                <w:rFonts w:eastAsia="方正仿宋_GBK"/>
                <w:color w:val="000000"/>
                <w:spacing w:val="-2"/>
                <w:kern w:val="0"/>
                <w:szCs w:val="21"/>
              </w:rPr>
              <w:t xml:space="preserve"> </w:t>
            </w:r>
            <w:r>
              <w:rPr>
                <w:rFonts w:hint="eastAsia" w:eastAsia="方正仿宋_GBK"/>
                <w:color w:val="000000"/>
                <w:spacing w:val="-2"/>
                <w:kern w:val="0"/>
                <w:szCs w:val="21"/>
              </w:rPr>
              <w:t>费</w:t>
            </w:r>
          </w:p>
        </w:tc>
        <w:tc>
          <w:tcPr>
            <w:tcW w:w="7189" w:type="dxa"/>
            <w:gridSpan w:val="3"/>
            <w:tcBorders>
              <w:top w:val="single" w:color="auto" w:sz="4" w:space="0"/>
              <w:left w:val="single" w:color="auto" w:sz="4" w:space="0"/>
              <w:bottom w:val="single" w:color="auto" w:sz="4" w:space="0"/>
              <w:right w:val="single" w:color="auto" w:sz="8" w:space="0"/>
            </w:tcBorders>
            <w:noWrap w:val="0"/>
            <w:vAlign w:val="center"/>
          </w:tcPr>
          <w:p>
            <w:pPr>
              <w:jc w:val="left"/>
              <w:rPr>
                <w:rFonts w:eastAsia="方正仿宋_GBK"/>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849"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kern w:val="0"/>
                <w:szCs w:val="21"/>
              </w:rPr>
            </w:pPr>
            <w:r>
              <w:rPr>
                <w:rFonts w:hint="eastAsia" w:eastAsia="方正仿宋_GBK"/>
                <w:color w:val="000000"/>
                <w:spacing w:val="-2"/>
                <w:kern w:val="0"/>
                <w:szCs w:val="21"/>
              </w:rPr>
              <w:t>编制单位</w:t>
            </w:r>
          </w:p>
        </w:tc>
        <w:tc>
          <w:tcPr>
            <w:tcW w:w="7189" w:type="dxa"/>
            <w:gridSpan w:val="3"/>
            <w:tcBorders>
              <w:top w:val="single" w:color="auto" w:sz="4" w:space="0"/>
              <w:left w:val="single" w:color="auto" w:sz="4" w:space="0"/>
              <w:bottom w:val="single" w:color="auto" w:sz="4" w:space="0"/>
              <w:right w:val="single" w:color="auto" w:sz="8" w:space="0"/>
            </w:tcBorders>
            <w:noWrap w:val="0"/>
            <w:vAlign w:val="center"/>
          </w:tcPr>
          <w:p>
            <w:pPr>
              <w:jc w:val="left"/>
              <w:rPr>
                <w:rFonts w:eastAsia="方正仿宋_GBK"/>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849"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kern w:val="0"/>
                <w:szCs w:val="21"/>
              </w:rPr>
            </w:pPr>
            <w:r>
              <w:rPr>
                <w:rFonts w:hint="eastAsia" w:eastAsia="方正仿宋_GBK"/>
                <w:color w:val="000000"/>
                <w:spacing w:val="-2"/>
                <w:kern w:val="0"/>
                <w:szCs w:val="21"/>
              </w:rPr>
              <w:t>项目负责人</w:t>
            </w:r>
          </w:p>
        </w:tc>
        <w:tc>
          <w:tcPr>
            <w:tcW w:w="7189" w:type="dxa"/>
            <w:gridSpan w:val="3"/>
            <w:tcBorders>
              <w:top w:val="single" w:color="auto" w:sz="4" w:space="0"/>
              <w:left w:val="single" w:color="auto" w:sz="4" w:space="0"/>
              <w:bottom w:val="single" w:color="auto" w:sz="4" w:space="0"/>
              <w:right w:val="single" w:color="auto" w:sz="8" w:space="0"/>
            </w:tcBorders>
            <w:noWrap w:val="0"/>
            <w:vAlign w:val="center"/>
          </w:tcPr>
          <w:p>
            <w:pPr>
              <w:jc w:val="left"/>
              <w:rPr>
                <w:rFonts w:eastAsia="方正仿宋_GBK"/>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849"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kern w:val="0"/>
                <w:szCs w:val="21"/>
              </w:rPr>
            </w:pPr>
            <w:r>
              <w:rPr>
                <w:rFonts w:hint="eastAsia" w:eastAsia="方正仿宋_GBK"/>
                <w:color w:val="000000"/>
                <w:spacing w:val="-2"/>
                <w:kern w:val="0"/>
                <w:szCs w:val="21"/>
              </w:rPr>
              <w:t>编制进度</w:t>
            </w:r>
          </w:p>
        </w:tc>
        <w:tc>
          <w:tcPr>
            <w:tcW w:w="3213" w:type="dxa"/>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kern w:val="0"/>
                <w:szCs w:val="21"/>
              </w:rPr>
            </w:pPr>
          </w:p>
        </w:tc>
        <w:tc>
          <w:tcPr>
            <w:tcW w:w="124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kern w:val="0"/>
                <w:szCs w:val="21"/>
              </w:rPr>
            </w:pPr>
            <w:r>
              <w:rPr>
                <w:rFonts w:hint="eastAsia" w:eastAsia="方正仿宋_GBK"/>
                <w:color w:val="000000"/>
                <w:spacing w:val="-2"/>
                <w:kern w:val="0"/>
                <w:szCs w:val="21"/>
              </w:rPr>
              <w:t>联系方法</w:t>
            </w:r>
          </w:p>
        </w:tc>
        <w:tc>
          <w:tcPr>
            <w:tcW w:w="2736" w:type="dxa"/>
            <w:tcBorders>
              <w:top w:val="single" w:color="auto" w:sz="4" w:space="0"/>
              <w:left w:val="single" w:color="auto" w:sz="4" w:space="0"/>
              <w:bottom w:val="single" w:color="auto" w:sz="4" w:space="0"/>
              <w:right w:val="single" w:color="auto" w:sz="8" w:space="0"/>
            </w:tcBorders>
            <w:noWrap w:val="0"/>
            <w:vAlign w:val="center"/>
          </w:tcPr>
          <w:p>
            <w:pPr>
              <w:jc w:val="left"/>
              <w:rPr>
                <w:rFonts w:eastAsia="方正仿宋_GBK"/>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849" w:type="dxa"/>
            <w:tcBorders>
              <w:top w:val="single" w:color="auto" w:sz="4" w:space="0"/>
              <w:left w:val="single" w:color="auto" w:sz="8" w:space="0"/>
              <w:bottom w:val="single" w:color="auto" w:sz="8" w:space="0"/>
              <w:right w:val="single" w:color="auto" w:sz="4" w:space="0"/>
            </w:tcBorders>
            <w:noWrap w:val="0"/>
            <w:vAlign w:val="center"/>
          </w:tcPr>
          <w:p>
            <w:pPr>
              <w:spacing w:line="70" w:lineRule="atLeast"/>
              <w:jc w:val="center"/>
              <w:rPr>
                <w:rFonts w:eastAsia="方正仿宋_GBK"/>
                <w:color w:val="000000"/>
                <w:spacing w:val="-2"/>
                <w:kern w:val="0"/>
                <w:szCs w:val="21"/>
              </w:rPr>
            </w:pPr>
            <w:r>
              <w:rPr>
                <w:rFonts w:hint="eastAsia" w:eastAsia="方正仿宋_GBK"/>
                <w:color w:val="000000"/>
                <w:spacing w:val="-2"/>
                <w:kern w:val="0"/>
                <w:szCs w:val="21"/>
              </w:rPr>
              <w:t>备注</w:t>
            </w:r>
          </w:p>
        </w:tc>
        <w:tc>
          <w:tcPr>
            <w:tcW w:w="7189" w:type="dxa"/>
            <w:gridSpan w:val="3"/>
            <w:tcBorders>
              <w:top w:val="single" w:color="auto" w:sz="4" w:space="0"/>
              <w:left w:val="single" w:color="auto" w:sz="4" w:space="0"/>
              <w:bottom w:val="single" w:color="auto" w:sz="8" w:space="0"/>
              <w:right w:val="single" w:color="auto" w:sz="8" w:space="0"/>
            </w:tcBorders>
            <w:noWrap w:val="0"/>
            <w:vAlign w:val="center"/>
          </w:tcPr>
          <w:p>
            <w:pPr>
              <w:jc w:val="center"/>
              <w:rPr>
                <w:rFonts w:eastAsia="方正仿宋_GBK"/>
                <w:color w:val="000000"/>
                <w:spacing w:val="-2"/>
                <w:kern w:val="0"/>
                <w:szCs w:val="21"/>
              </w:rPr>
            </w:pPr>
          </w:p>
        </w:tc>
      </w:tr>
    </w:tbl>
    <w:p>
      <w:pPr>
        <w:jc w:val="left"/>
        <w:rPr>
          <w:rFonts w:hint="eastAsia" w:cs="宋体"/>
          <w:color w:val="000000"/>
          <w:spacing w:val="-2"/>
          <w:kern w:val="0"/>
          <w:sz w:val="24"/>
          <w:szCs w:val="21"/>
        </w:rPr>
      </w:pPr>
    </w:p>
    <w:p>
      <w:pPr>
        <w:spacing w:line="460" w:lineRule="exact"/>
        <w:jc w:val="left"/>
        <w:rPr>
          <w:rFonts w:cs="宋体"/>
          <w:b/>
          <w:color w:val="000000"/>
          <w:spacing w:val="-2"/>
          <w:kern w:val="0"/>
          <w:sz w:val="24"/>
          <w:szCs w:val="21"/>
        </w:rPr>
      </w:pPr>
      <w:r>
        <w:rPr>
          <w:rFonts w:hint="eastAsia" w:ascii="Times New Roman" w:eastAsia="方正黑体_GBK" w:cs="宋体"/>
          <w:color w:val="000000"/>
          <w:spacing w:val="-2"/>
          <w:kern w:val="0"/>
          <w:sz w:val="28"/>
          <w:szCs w:val="28"/>
        </w:rPr>
        <w:t>附表二</w:t>
      </w:r>
      <w:r>
        <w:rPr>
          <w:rFonts w:hint="eastAsia" w:cs="宋体"/>
          <w:color w:val="000000"/>
          <w:spacing w:val="-2"/>
          <w:kern w:val="0"/>
          <w:sz w:val="24"/>
          <w:szCs w:val="21"/>
        </w:rPr>
        <w:t>：</w:t>
      </w:r>
    </w:p>
    <w:p>
      <w:pPr>
        <w:jc w:val="center"/>
        <w:rPr>
          <w:rFonts w:cs="宋体"/>
          <w:b/>
          <w:color w:val="000000"/>
          <w:spacing w:val="-2"/>
          <w:kern w:val="0"/>
          <w:sz w:val="24"/>
          <w:szCs w:val="21"/>
        </w:rPr>
      </w:pPr>
      <w:r>
        <w:rPr>
          <w:rFonts w:hint="eastAsia" w:ascii="Times New Roman" w:eastAsia="方正黑体_GBK" w:cs="宋体"/>
          <w:color w:val="000000"/>
          <w:spacing w:val="-2"/>
          <w:kern w:val="0"/>
          <w:sz w:val="32"/>
          <w:szCs w:val="32"/>
        </w:rPr>
        <w:t>江苏省标准设计审查报批表</w:t>
      </w: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62"/>
        <w:gridCol w:w="719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 w:hRule="exact"/>
          <w:jc w:val="center"/>
        </w:trPr>
        <w:tc>
          <w:tcPr>
            <w:tcW w:w="1862" w:type="dxa"/>
            <w:tcBorders>
              <w:top w:val="single" w:color="auto" w:sz="8"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kern w:val="0"/>
                <w:szCs w:val="21"/>
              </w:rPr>
            </w:pPr>
            <w:r>
              <w:rPr>
                <w:rFonts w:hint="eastAsia" w:eastAsia="方正仿宋_GBK"/>
                <w:color w:val="000000"/>
                <w:spacing w:val="-2"/>
                <w:kern w:val="0"/>
                <w:szCs w:val="21"/>
              </w:rPr>
              <w:t>标准设计名称</w:t>
            </w:r>
          </w:p>
        </w:tc>
        <w:tc>
          <w:tcPr>
            <w:tcW w:w="7196" w:type="dxa"/>
            <w:tcBorders>
              <w:top w:val="single" w:color="auto" w:sz="8" w:space="0"/>
              <w:left w:val="single" w:color="auto" w:sz="4" w:space="0"/>
              <w:bottom w:val="single" w:color="auto" w:sz="4" w:space="0"/>
              <w:right w:val="single" w:color="auto" w:sz="8" w:space="0"/>
            </w:tcBorders>
            <w:noWrap w:val="0"/>
            <w:vAlign w:val="center"/>
          </w:tcPr>
          <w:p>
            <w:pPr>
              <w:jc w:val="left"/>
              <w:rPr>
                <w:rFonts w:eastAsia="方正仿宋_GBK"/>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5" w:hRule="exact"/>
          <w:jc w:val="center"/>
        </w:trPr>
        <w:tc>
          <w:tcPr>
            <w:tcW w:w="1862"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kern w:val="0"/>
                <w:szCs w:val="21"/>
              </w:rPr>
            </w:pPr>
            <w:r>
              <w:rPr>
                <w:rFonts w:hint="eastAsia" w:eastAsia="方正仿宋_GBK"/>
                <w:color w:val="000000"/>
                <w:spacing w:val="-2"/>
                <w:kern w:val="0"/>
                <w:szCs w:val="21"/>
              </w:rPr>
              <w:t>主编单位</w:t>
            </w:r>
          </w:p>
        </w:tc>
        <w:tc>
          <w:tcPr>
            <w:tcW w:w="7196" w:type="dxa"/>
            <w:tcBorders>
              <w:top w:val="single" w:color="auto" w:sz="4" w:space="0"/>
              <w:left w:val="single" w:color="auto" w:sz="4" w:space="0"/>
              <w:bottom w:val="single" w:color="auto" w:sz="4" w:space="0"/>
              <w:right w:val="single" w:color="auto" w:sz="8" w:space="0"/>
            </w:tcBorders>
            <w:noWrap w:val="0"/>
            <w:vAlign w:val="center"/>
          </w:tcPr>
          <w:p>
            <w:pPr>
              <w:jc w:val="left"/>
              <w:rPr>
                <w:rFonts w:eastAsia="方正仿宋_GBK"/>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1" w:hRule="exact"/>
          <w:jc w:val="center"/>
        </w:trPr>
        <w:tc>
          <w:tcPr>
            <w:tcW w:w="1862"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kern w:val="0"/>
                <w:szCs w:val="21"/>
              </w:rPr>
            </w:pPr>
            <w:r>
              <w:rPr>
                <w:rFonts w:hint="eastAsia" w:eastAsia="方正仿宋_GBK"/>
                <w:color w:val="000000"/>
                <w:spacing w:val="-2"/>
                <w:kern w:val="0"/>
                <w:szCs w:val="21"/>
              </w:rPr>
              <w:t>协编单位</w:t>
            </w:r>
          </w:p>
        </w:tc>
        <w:tc>
          <w:tcPr>
            <w:tcW w:w="7196" w:type="dxa"/>
            <w:tcBorders>
              <w:top w:val="single" w:color="auto" w:sz="4" w:space="0"/>
              <w:left w:val="single" w:color="auto" w:sz="4" w:space="0"/>
              <w:bottom w:val="single" w:color="auto" w:sz="4" w:space="0"/>
              <w:right w:val="single" w:color="auto" w:sz="8" w:space="0"/>
            </w:tcBorders>
            <w:noWrap w:val="0"/>
            <w:vAlign w:val="center"/>
          </w:tcPr>
          <w:p>
            <w:pPr>
              <w:jc w:val="left"/>
              <w:rPr>
                <w:rFonts w:eastAsia="方正仿宋_GBK"/>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2" w:hRule="exact"/>
          <w:jc w:val="center"/>
        </w:trPr>
        <w:tc>
          <w:tcPr>
            <w:tcW w:w="1862"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kern w:val="0"/>
                <w:szCs w:val="21"/>
              </w:rPr>
            </w:pPr>
            <w:r>
              <w:rPr>
                <w:rFonts w:hint="eastAsia" w:eastAsia="方正仿宋_GBK"/>
                <w:color w:val="000000"/>
                <w:spacing w:val="-2"/>
                <w:kern w:val="0"/>
                <w:szCs w:val="21"/>
              </w:rPr>
              <w:t>技术负责</w:t>
            </w:r>
          </w:p>
        </w:tc>
        <w:tc>
          <w:tcPr>
            <w:tcW w:w="7196" w:type="dxa"/>
            <w:tcBorders>
              <w:top w:val="single" w:color="auto" w:sz="4" w:space="0"/>
              <w:left w:val="single" w:color="auto" w:sz="4" w:space="0"/>
              <w:bottom w:val="single" w:color="auto" w:sz="4" w:space="0"/>
              <w:right w:val="single" w:color="auto" w:sz="8" w:space="0"/>
            </w:tcBorders>
            <w:noWrap w:val="0"/>
            <w:vAlign w:val="center"/>
          </w:tcPr>
          <w:p>
            <w:pPr>
              <w:jc w:val="left"/>
              <w:rPr>
                <w:rFonts w:eastAsia="方正仿宋_GBK"/>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8" w:hRule="exact"/>
          <w:jc w:val="center"/>
        </w:trPr>
        <w:tc>
          <w:tcPr>
            <w:tcW w:w="1862"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kern w:val="0"/>
                <w:szCs w:val="21"/>
              </w:rPr>
            </w:pPr>
            <w:r>
              <w:rPr>
                <w:rFonts w:hint="eastAsia" w:eastAsia="方正仿宋_GBK"/>
                <w:color w:val="000000"/>
                <w:spacing w:val="-2"/>
                <w:kern w:val="0"/>
                <w:szCs w:val="21"/>
              </w:rPr>
              <w:t>编制人员</w:t>
            </w:r>
          </w:p>
        </w:tc>
        <w:tc>
          <w:tcPr>
            <w:tcW w:w="7196" w:type="dxa"/>
            <w:tcBorders>
              <w:top w:val="single" w:color="auto" w:sz="4" w:space="0"/>
              <w:left w:val="single" w:color="auto" w:sz="4" w:space="0"/>
              <w:bottom w:val="single" w:color="auto" w:sz="4" w:space="0"/>
              <w:right w:val="single" w:color="auto" w:sz="8" w:space="0"/>
            </w:tcBorders>
            <w:noWrap w:val="0"/>
            <w:vAlign w:val="center"/>
          </w:tcPr>
          <w:p>
            <w:pPr>
              <w:jc w:val="left"/>
              <w:rPr>
                <w:rFonts w:eastAsia="方正仿宋_GBK"/>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1862"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kern w:val="0"/>
                <w:szCs w:val="21"/>
              </w:rPr>
            </w:pPr>
            <w:r>
              <w:rPr>
                <w:rFonts w:hint="eastAsia" w:eastAsia="方正仿宋_GBK"/>
                <w:color w:val="000000"/>
                <w:spacing w:val="-2"/>
                <w:kern w:val="0"/>
                <w:szCs w:val="21"/>
              </w:rPr>
              <w:t>编制单位意见</w:t>
            </w:r>
          </w:p>
        </w:tc>
        <w:tc>
          <w:tcPr>
            <w:tcW w:w="7196" w:type="dxa"/>
            <w:tcBorders>
              <w:top w:val="single" w:color="auto" w:sz="4" w:space="0"/>
              <w:left w:val="single" w:color="auto" w:sz="4" w:space="0"/>
              <w:bottom w:val="single" w:color="auto" w:sz="4" w:space="0"/>
              <w:right w:val="single" w:color="auto" w:sz="8" w:space="0"/>
            </w:tcBorders>
            <w:noWrap w:val="0"/>
            <w:vAlign w:val="center"/>
          </w:tcPr>
          <w:p>
            <w:pPr>
              <w:jc w:val="left"/>
              <w:rPr>
                <w:rFonts w:eastAsia="方正仿宋_GBK"/>
                <w:color w:val="000000"/>
                <w:spacing w:val="-2"/>
                <w:kern w:val="0"/>
                <w:szCs w:val="21"/>
              </w:rPr>
            </w:pPr>
          </w:p>
          <w:p>
            <w:pPr>
              <w:jc w:val="left"/>
              <w:rPr>
                <w:rFonts w:eastAsia="方正仿宋_GBK"/>
                <w:color w:val="000000"/>
                <w:spacing w:val="-2"/>
                <w:kern w:val="0"/>
                <w:szCs w:val="21"/>
              </w:rPr>
            </w:pPr>
          </w:p>
          <w:p>
            <w:pPr>
              <w:jc w:val="left"/>
              <w:rPr>
                <w:rFonts w:eastAsia="方正仿宋_GBK"/>
                <w:color w:val="000000"/>
                <w:spacing w:val="-2"/>
                <w:kern w:val="0"/>
                <w:szCs w:val="21"/>
              </w:rPr>
            </w:pPr>
          </w:p>
          <w:p>
            <w:pPr>
              <w:jc w:val="left"/>
              <w:rPr>
                <w:rFonts w:eastAsia="方正仿宋_GBK"/>
                <w:color w:val="000000"/>
                <w:spacing w:val="-2"/>
                <w:kern w:val="0"/>
                <w:szCs w:val="21"/>
              </w:rPr>
            </w:pPr>
          </w:p>
          <w:p>
            <w:pPr>
              <w:jc w:val="right"/>
              <w:rPr>
                <w:rFonts w:eastAsia="方正仿宋_GBK"/>
                <w:color w:val="000000"/>
                <w:spacing w:val="-2"/>
                <w:kern w:val="0"/>
                <w:szCs w:val="21"/>
              </w:rPr>
            </w:pPr>
            <w:r>
              <w:rPr>
                <w:rFonts w:hint="eastAsia" w:eastAsia="方正仿宋_GBK"/>
                <w:color w:val="000000"/>
                <w:spacing w:val="-2"/>
                <w:kern w:val="0"/>
                <w:szCs w:val="21"/>
              </w:rPr>
              <w:t>年</w:t>
            </w:r>
            <w:r>
              <w:rPr>
                <w:rFonts w:eastAsia="方正仿宋_GBK"/>
                <w:color w:val="000000"/>
                <w:spacing w:val="-2"/>
                <w:kern w:val="0"/>
                <w:szCs w:val="21"/>
              </w:rPr>
              <w:t xml:space="preserve">  </w:t>
            </w:r>
            <w:r>
              <w:rPr>
                <w:rFonts w:hint="eastAsia" w:eastAsia="方正仿宋_GBK"/>
                <w:color w:val="000000"/>
                <w:spacing w:val="-2"/>
                <w:kern w:val="0"/>
                <w:szCs w:val="21"/>
              </w:rPr>
              <w:t>月</w:t>
            </w:r>
            <w:r>
              <w:rPr>
                <w:rFonts w:eastAsia="方正仿宋_GBK"/>
                <w:color w:val="000000"/>
                <w:spacing w:val="-2"/>
                <w:kern w:val="0"/>
                <w:szCs w:val="21"/>
              </w:rPr>
              <w:t xml:space="preserve">  </w:t>
            </w:r>
            <w:r>
              <w:rPr>
                <w:rFonts w:hint="eastAsia" w:eastAsia="方正仿宋_GBK"/>
                <w:color w:val="000000"/>
                <w:spacing w:val="-2"/>
                <w:kern w:val="0"/>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1862" w:type="dxa"/>
            <w:tcBorders>
              <w:top w:val="single" w:color="auto" w:sz="4" w:space="0"/>
              <w:left w:val="single" w:color="auto" w:sz="8" w:space="0"/>
              <w:bottom w:val="single" w:color="auto" w:sz="8" w:space="0"/>
              <w:right w:val="single" w:color="auto" w:sz="4" w:space="0"/>
            </w:tcBorders>
            <w:noWrap w:val="0"/>
            <w:vAlign w:val="center"/>
          </w:tcPr>
          <w:p>
            <w:pPr>
              <w:jc w:val="center"/>
              <w:rPr>
                <w:rFonts w:eastAsia="方正仿宋_GBK"/>
                <w:color w:val="000000"/>
                <w:spacing w:val="-2"/>
                <w:kern w:val="0"/>
                <w:szCs w:val="21"/>
              </w:rPr>
            </w:pPr>
            <w:r>
              <w:rPr>
                <w:rFonts w:hint="eastAsia" w:eastAsia="方正仿宋_GBK"/>
                <w:color w:val="000000"/>
                <w:spacing w:val="-2"/>
                <w:kern w:val="0"/>
                <w:szCs w:val="21"/>
              </w:rPr>
              <w:t>审查专家组</w:t>
            </w:r>
          </w:p>
          <w:p>
            <w:pPr>
              <w:jc w:val="center"/>
              <w:rPr>
                <w:rFonts w:eastAsia="方正仿宋_GBK"/>
                <w:color w:val="000000"/>
                <w:spacing w:val="-2"/>
                <w:kern w:val="0"/>
                <w:szCs w:val="21"/>
              </w:rPr>
            </w:pPr>
            <w:r>
              <w:rPr>
                <w:rFonts w:hint="eastAsia" w:eastAsia="方正仿宋_GBK"/>
                <w:color w:val="000000"/>
                <w:spacing w:val="-2"/>
                <w:kern w:val="0"/>
                <w:szCs w:val="21"/>
              </w:rPr>
              <w:t>评审意见</w:t>
            </w:r>
          </w:p>
        </w:tc>
        <w:tc>
          <w:tcPr>
            <w:tcW w:w="7196" w:type="dxa"/>
            <w:tcBorders>
              <w:top w:val="single" w:color="auto" w:sz="4" w:space="0"/>
              <w:left w:val="single" w:color="auto" w:sz="4" w:space="0"/>
              <w:bottom w:val="single" w:color="auto" w:sz="8" w:space="0"/>
              <w:right w:val="single" w:color="auto" w:sz="8" w:space="0"/>
            </w:tcBorders>
            <w:noWrap w:val="0"/>
            <w:vAlign w:val="center"/>
          </w:tcPr>
          <w:p>
            <w:pPr>
              <w:jc w:val="left"/>
              <w:rPr>
                <w:rFonts w:eastAsia="方正仿宋_GBK"/>
                <w:color w:val="000000"/>
                <w:spacing w:val="-2"/>
                <w:kern w:val="0"/>
                <w:szCs w:val="21"/>
              </w:rPr>
            </w:pPr>
          </w:p>
          <w:p>
            <w:pPr>
              <w:jc w:val="left"/>
              <w:rPr>
                <w:rFonts w:eastAsia="方正仿宋_GBK"/>
                <w:color w:val="000000"/>
                <w:spacing w:val="-2"/>
                <w:kern w:val="0"/>
                <w:szCs w:val="21"/>
              </w:rPr>
            </w:pPr>
          </w:p>
          <w:p>
            <w:pPr>
              <w:jc w:val="left"/>
              <w:rPr>
                <w:rFonts w:eastAsia="方正仿宋_GBK"/>
                <w:color w:val="000000"/>
                <w:spacing w:val="-2"/>
                <w:kern w:val="0"/>
                <w:szCs w:val="21"/>
              </w:rPr>
            </w:pPr>
          </w:p>
          <w:p>
            <w:pPr>
              <w:ind w:firstLine="3584" w:firstLineChars="1740"/>
              <w:jc w:val="left"/>
              <w:rPr>
                <w:rFonts w:eastAsia="方正仿宋_GBK"/>
                <w:color w:val="000000"/>
                <w:spacing w:val="-2"/>
                <w:kern w:val="0"/>
                <w:szCs w:val="21"/>
              </w:rPr>
            </w:pPr>
            <w:r>
              <w:rPr>
                <w:rFonts w:hint="eastAsia" w:eastAsia="方正仿宋_GBK"/>
                <w:color w:val="000000"/>
                <w:spacing w:val="-2"/>
                <w:kern w:val="0"/>
                <w:szCs w:val="21"/>
              </w:rPr>
              <w:t>组长（签名）：</w:t>
            </w:r>
          </w:p>
          <w:p>
            <w:pPr>
              <w:ind w:firstLine="3090" w:firstLineChars="1500"/>
              <w:jc w:val="right"/>
              <w:rPr>
                <w:rFonts w:eastAsia="方正仿宋_GBK"/>
                <w:color w:val="000000"/>
                <w:spacing w:val="-2"/>
                <w:kern w:val="0"/>
                <w:szCs w:val="21"/>
              </w:rPr>
            </w:pPr>
            <w:r>
              <w:rPr>
                <w:rFonts w:hint="eastAsia" w:eastAsia="方正仿宋_GBK"/>
                <w:color w:val="000000"/>
                <w:spacing w:val="-2"/>
                <w:kern w:val="0"/>
                <w:szCs w:val="21"/>
              </w:rPr>
              <w:t>年</w:t>
            </w:r>
            <w:r>
              <w:rPr>
                <w:rFonts w:eastAsia="方正仿宋_GBK"/>
                <w:color w:val="000000"/>
                <w:spacing w:val="-2"/>
                <w:kern w:val="0"/>
                <w:szCs w:val="21"/>
              </w:rPr>
              <w:t xml:space="preserve">  </w:t>
            </w:r>
            <w:r>
              <w:rPr>
                <w:rFonts w:hint="eastAsia" w:eastAsia="方正仿宋_GBK"/>
                <w:color w:val="000000"/>
                <w:spacing w:val="-2"/>
                <w:kern w:val="0"/>
                <w:szCs w:val="21"/>
              </w:rPr>
              <w:t>月</w:t>
            </w:r>
            <w:r>
              <w:rPr>
                <w:rFonts w:eastAsia="方正仿宋_GBK"/>
                <w:color w:val="000000"/>
                <w:spacing w:val="-2"/>
                <w:kern w:val="0"/>
                <w:szCs w:val="21"/>
              </w:rPr>
              <w:t xml:space="preserve">  </w:t>
            </w:r>
            <w:r>
              <w:rPr>
                <w:rFonts w:hint="eastAsia" w:eastAsia="方正仿宋_GBK"/>
                <w:color w:val="000000"/>
                <w:spacing w:val="-2"/>
                <w:kern w:val="0"/>
                <w:szCs w:val="21"/>
              </w:rPr>
              <w:t>日</w:t>
            </w:r>
          </w:p>
        </w:tc>
      </w:tr>
    </w:tbl>
    <w:p>
      <w:pPr>
        <w:rPr>
          <w:color w:val="000000"/>
          <w:spacing w:val="-2"/>
        </w:rPr>
      </w:pPr>
    </w:p>
    <w:p>
      <w:pPr>
        <w:spacing w:line="460" w:lineRule="exact"/>
        <w:ind w:firstLine="480" w:firstLineChars="200"/>
        <w:rPr>
          <w:rFonts w:eastAsia="方正仿宋_GBK"/>
          <w:color w:val="000000"/>
          <w:sz w:val="24"/>
        </w:rPr>
      </w:pPr>
    </w:p>
    <w:p>
      <w:pPr>
        <w:spacing w:line="460" w:lineRule="exact"/>
        <w:ind w:firstLine="480" w:firstLineChars="200"/>
        <w:rPr>
          <w:rFonts w:eastAsia="方正仿宋_GBK"/>
          <w:color w:val="000000"/>
          <w:sz w:val="24"/>
        </w:rPr>
      </w:pPr>
    </w:p>
    <w:p>
      <w:pPr>
        <w:spacing w:line="460" w:lineRule="exact"/>
        <w:ind w:firstLine="480" w:firstLineChars="200"/>
        <w:rPr>
          <w:rFonts w:eastAsia="方正仿宋_GBK"/>
          <w:color w:val="000000"/>
          <w:sz w:val="24"/>
        </w:rPr>
      </w:pPr>
    </w:p>
    <w:p/>
    <w:p/>
    <w:p/>
    <w:p/>
    <w:p/>
    <w:p/>
    <w:p/>
    <w:p/>
    <w:p/>
    <w:p/>
    <w:p/>
    <w:p/>
    <w:p/>
    <w:p/>
    <w:p/>
    <w:p/>
    <w:p/>
    <w:p>
      <w:pPr>
        <w:pStyle w:val="2"/>
        <w:spacing w:before="240" w:beforeLines="100" w:after="240" w:afterLines="100" w:line="240" w:lineRule="auto"/>
        <w:jc w:val="center"/>
        <w:rPr>
          <w:rFonts w:ascii="Times New Roman" w:eastAsia="方正小标宋_GBK"/>
          <w:b w:val="0"/>
          <w:sz w:val="36"/>
          <w:szCs w:val="36"/>
        </w:rPr>
      </w:pPr>
      <w:bookmarkStart w:id="258" w:name="_Toc18315505"/>
      <w:bookmarkStart w:id="259" w:name="_Toc20726529"/>
      <w:r>
        <w:rPr>
          <w:rFonts w:hint="eastAsia" w:ascii="Times New Roman" w:eastAsia="方正小标宋_GBK"/>
          <w:b w:val="0"/>
          <w:sz w:val="36"/>
          <w:szCs w:val="36"/>
        </w:rPr>
        <w:t>关于印发《江苏省工程建设地方标准管理办法》的通知</w:t>
      </w:r>
      <w:bookmarkEnd w:id="258"/>
      <w:bookmarkEnd w:id="259"/>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260" w:name="_Toc20726530"/>
      <w:bookmarkStart w:id="261" w:name="_Toc18315506"/>
      <w:r>
        <w:rPr>
          <w:rFonts w:hint="eastAsia" w:ascii="Times New Roman" w:hAnsi="Times New Roman" w:eastAsia="方正楷体_GBK"/>
          <w:b w:val="0"/>
          <w:sz w:val="24"/>
          <w:szCs w:val="24"/>
        </w:rPr>
        <w:t>苏建科〔</w:t>
      </w:r>
      <w:r>
        <w:rPr>
          <w:rFonts w:ascii="Times New Roman" w:hAnsi="Times New Roman" w:eastAsia="方正楷体_GBK"/>
          <w:b w:val="0"/>
          <w:sz w:val="24"/>
          <w:szCs w:val="24"/>
        </w:rPr>
        <w:t>2006</w:t>
      </w:r>
      <w:r>
        <w:rPr>
          <w:rFonts w:hint="eastAsia" w:ascii="Times New Roman" w:hAnsi="Times New Roman" w:eastAsia="方正楷体_GBK"/>
          <w:b w:val="0"/>
          <w:sz w:val="24"/>
          <w:szCs w:val="24"/>
        </w:rPr>
        <w:t>〕</w:t>
      </w:r>
      <w:r>
        <w:rPr>
          <w:rFonts w:ascii="Times New Roman" w:hAnsi="Times New Roman" w:eastAsia="方正楷体_GBK"/>
          <w:b w:val="0"/>
          <w:sz w:val="24"/>
          <w:szCs w:val="24"/>
        </w:rPr>
        <w:t>363</w:t>
      </w:r>
      <w:r>
        <w:rPr>
          <w:rFonts w:hint="eastAsia" w:ascii="Times New Roman" w:hAnsi="Times New Roman" w:eastAsia="方正楷体_GBK"/>
          <w:b w:val="0"/>
          <w:sz w:val="24"/>
          <w:szCs w:val="24"/>
        </w:rPr>
        <w:t>号</w:t>
      </w:r>
      <w:bookmarkEnd w:id="260"/>
      <w:bookmarkEnd w:id="261"/>
    </w:p>
    <w:p>
      <w:pPr>
        <w:spacing w:line="460" w:lineRule="exact"/>
        <w:rPr>
          <w:rFonts w:eastAsia="方正仿宋_GBK"/>
          <w:color w:val="000000"/>
          <w:spacing w:val="-2"/>
          <w:kern w:val="0"/>
          <w:sz w:val="24"/>
        </w:rPr>
      </w:pPr>
      <w:r>
        <w:rPr>
          <w:rFonts w:hint="eastAsia" w:eastAsia="方正仿宋_GBK"/>
          <w:color w:val="000000"/>
          <w:spacing w:val="-2"/>
          <w:kern w:val="0"/>
          <w:sz w:val="24"/>
        </w:rPr>
        <w:t>各省辖市建设局（委）：</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为了加强工程建设地方标准的管理，根据我省实际情况，特制定《江苏省工程建设地方标准管理办法》，现印发给你们，请认真执行。在执行过程中，如有意见和建议请反馈到我厅绿色建筑与科技处。</w:t>
      </w:r>
    </w:p>
    <w:p>
      <w:pPr>
        <w:spacing w:line="460" w:lineRule="exact"/>
        <w:ind w:firstLine="472" w:firstLineChars="200"/>
        <w:rPr>
          <w:rFonts w:eastAsia="方正仿宋_GBK"/>
          <w:color w:val="000000"/>
          <w:spacing w:val="-2"/>
          <w:kern w:val="0"/>
          <w:sz w:val="24"/>
        </w:rPr>
      </w:pPr>
    </w:p>
    <w:p>
      <w:pPr>
        <w:spacing w:line="460" w:lineRule="exact"/>
        <w:ind w:firstLine="354" w:firstLineChars="150"/>
        <w:rPr>
          <w:rFonts w:eastAsia="方正仿宋_GBK"/>
          <w:color w:val="000000"/>
          <w:spacing w:val="-2"/>
          <w:kern w:val="0"/>
          <w:sz w:val="24"/>
        </w:rPr>
      </w:pPr>
      <w:r>
        <w:rPr>
          <w:rFonts w:hint="eastAsia" w:eastAsia="方正仿宋_GBK"/>
          <w:color w:val="000000"/>
          <w:spacing w:val="-2"/>
          <w:kern w:val="0"/>
          <w:sz w:val="24"/>
        </w:rPr>
        <w:t>附件：江苏省工程建设地方标准管理办法。</w:t>
      </w:r>
    </w:p>
    <w:p>
      <w:pPr>
        <w:spacing w:line="460" w:lineRule="exact"/>
        <w:ind w:right="1760" w:firstLine="3776" w:firstLineChars="1600"/>
        <w:rPr>
          <w:rFonts w:eastAsia="方正仿宋_GBK"/>
          <w:color w:val="000000"/>
          <w:spacing w:val="-2"/>
          <w:kern w:val="0"/>
          <w:sz w:val="24"/>
        </w:rPr>
      </w:pPr>
    </w:p>
    <w:p>
      <w:pPr>
        <w:spacing w:line="460" w:lineRule="exact"/>
        <w:ind w:right="1178" w:firstLine="3776" w:firstLineChars="1600"/>
        <w:jc w:val="right"/>
        <w:rPr>
          <w:rFonts w:eastAsia="方正仿宋_GBK"/>
          <w:color w:val="000000"/>
          <w:spacing w:val="-2"/>
          <w:kern w:val="0"/>
          <w:sz w:val="24"/>
        </w:rPr>
      </w:pPr>
      <w:r>
        <w:rPr>
          <w:rFonts w:hint="eastAsia" w:eastAsia="方正仿宋_GBK"/>
          <w:color w:val="000000"/>
          <w:spacing w:val="-2"/>
          <w:kern w:val="0"/>
          <w:sz w:val="24"/>
        </w:rPr>
        <w:t>江苏省建设厅</w:t>
      </w:r>
      <w:r>
        <w:rPr>
          <w:rFonts w:eastAsia="方正仿宋_GBK"/>
          <w:color w:val="000000"/>
          <w:spacing w:val="-2"/>
          <w:kern w:val="0"/>
          <w:sz w:val="24"/>
        </w:rPr>
        <w:t xml:space="preserve">          </w:t>
      </w:r>
    </w:p>
    <w:p>
      <w:pPr>
        <w:spacing w:line="460" w:lineRule="exact"/>
        <w:ind w:right="640"/>
        <w:jc w:val="right"/>
        <w:rPr>
          <w:rFonts w:eastAsia="方正仿宋_GBK"/>
          <w:color w:val="000000"/>
          <w:spacing w:val="-2"/>
          <w:kern w:val="0"/>
          <w:sz w:val="24"/>
        </w:rPr>
      </w:pPr>
      <w:r>
        <w:rPr>
          <w:rFonts w:eastAsia="方正仿宋_GBK"/>
          <w:color w:val="000000"/>
          <w:spacing w:val="-2"/>
          <w:kern w:val="0"/>
          <w:sz w:val="24"/>
        </w:rPr>
        <w:t xml:space="preserve">                          </w:t>
      </w:r>
      <w:r>
        <w:rPr>
          <w:rFonts w:hint="eastAsia" w:eastAsia="方正仿宋_GBK"/>
          <w:color w:val="000000"/>
          <w:spacing w:val="-2"/>
          <w:kern w:val="0"/>
          <w:sz w:val="24"/>
        </w:rPr>
        <w:t>二</w:t>
      </w:r>
      <w:r>
        <w:rPr>
          <w:rFonts w:hint="eastAsia" w:eastAsia="方正仿宋_GBK"/>
          <w:bCs/>
          <w:snapToGrid w:val="0"/>
          <w:color w:val="000000"/>
          <w:spacing w:val="-2"/>
          <w:kern w:val="0"/>
          <w:sz w:val="24"/>
        </w:rPr>
        <w:t>○○</w:t>
      </w:r>
      <w:r>
        <w:rPr>
          <w:rFonts w:hint="eastAsia" w:eastAsia="方正仿宋_GBK"/>
          <w:color w:val="000000"/>
          <w:spacing w:val="-2"/>
          <w:kern w:val="0"/>
          <w:sz w:val="24"/>
        </w:rPr>
        <w:t>六年八月二十三日</w:t>
      </w:r>
    </w:p>
    <w:p>
      <w:pPr>
        <w:spacing w:line="460" w:lineRule="exact"/>
        <w:rPr>
          <w:rFonts w:eastAsia="方正仿宋_GBK"/>
          <w:bCs/>
          <w:color w:val="000000"/>
          <w:spacing w:val="-2"/>
          <w:kern w:val="0"/>
          <w:sz w:val="24"/>
        </w:rPr>
      </w:pPr>
    </w:p>
    <w:p>
      <w:pPr>
        <w:spacing w:line="460" w:lineRule="exact"/>
        <w:rPr>
          <w:rFonts w:eastAsia="方正仿宋_GBK"/>
          <w:bCs/>
          <w:color w:val="000000"/>
          <w:spacing w:val="-2"/>
          <w:kern w:val="0"/>
          <w:sz w:val="24"/>
        </w:rPr>
      </w:pPr>
    </w:p>
    <w:p>
      <w:pPr>
        <w:spacing w:line="460" w:lineRule="exact"/>
        <w:jc w:val="center"/>
        <w:rPr>
          <w:rFonts w:ascii="Times New Roman" w:eastAsia="方正黑体_GBK"/>
          <w:color w:val="000000"/>
          <w:spacing w:val="-2"/>
          <w:kern w:val="0"/>
          <w:sz w:val="36"/>
          <w:szCs w:val="36"/>
        </w:rPr>
      </w:pPr>
      <w:r>
        <w:rPr>
          <w:rFonts w:hint="eastAsia" w:ascii="Times New Roman" w:eastAsia="方正黑体_GBK"/>
          <w:bCs/>
          <w:color w:val="000000"/>
          <w:spacing w:val="-2"/>
          <w:kern w:val="0"/>
          <w:sz w:val="36"/>
          <w:szCs w:val="36"/>
        </w:rPr>
        <w:t>江苏省工程建设地方标准管理办法</w:t>
      </w:r>
    </w:p>
    <w:p>
      <w:pPr>
        <w:spacing w:line="460" w:lineRule="exact"/>
        <w:ind w:firstLine="472" w:firstLineChars="200"/>
        <w:rPr>
          <w:rFonts w:hint="eastAsia" w:eastAsia="方正仿宋_GBK"/>
          <w:color w:val="000000"/>
          <w:spacing w:val="-2"/>
          <w:kern w:val="0"/>
          <w:sz w:val="24"/>
        </w:rPr>
      </w:pPr>
    </w:p>
    <w:p>
      <w:pPr>
        <w:spacing w:line="460" w:lineRule="exact"/>
        <w:ind w:firstLine="472" w:firstLineChars="200"/>
        <w:outlineLvl w:val="0"/>
        <w:rPr>
          <w:rFonts w:eastAsia="方正仿宋_GBK"/>
          <w:color w:val="000000"/>
          <w:spacing w:val="-2"/>
          <w:kern w:val="0"/>
          <w:sz w:val="24"/>
        </w:rPr>
      </w:pPr>
      <w:bookmarkStart w:id="262" w:name="_Toc20726531"/>
      <w:bookmarkStart w:id="263" w:name="_Toc20668002"/>
      <w:bookmarkStart w:id="264" w:name="_Toc18315507"/>
      <w:r>
        <w:rPr>
          <w:rFonts w:hint="eastAsia" w:ascii="Times New Roman" w:eastAsia="方正黑体_GBK"/>
          <w:color w:val="000000"/>
          <w:spacing w:val="-2"/>
          <w:sz w:val="24"/>
        </w:rPr>
        <w:t>第一条</w:t>
      </w:r>
      <w:r>
        <w:rPr>
          <w:rFonts w:eastAsia="方正仿宋_GBK"/>
          <w:color w:val="000000"/>
          <w:spacing w:val="-2"/>
          <w:kern w:val="0"/>
          <w:sz w:val="24"/>
        </w:rPr>
        <w:t xml:space="preserve">  </w:t>
      </w:r>
      <w:r>
        <w:rPr>
          <w:rFonts w:hint="eastAsia" w:eastAsia="方正仿宋_GBK"/>
          <w:color w:val="000000"/>
          <w:spacing w:val="-2"/>
          <w:kern w:val="0"/>
          <w:sz w:val="24"/>
        </w:rPr>
        <w:t>为了加强工程建设地方标准的管理，促进技术进步，保证工程质量，根据我省工程建设地方标准化工作实际，特制定本办法。</w:t>
      </w:r>
      <w:bookmarkEnd w:id="262"/>
      <w:bookmarkEnd w:id="263"/>
      <w:bookmarkEnd w:id="264"/>
    </w:p>
    <w:p>
      <w:pPr>
        <w:spacing w:line="460" w:lineRule="exact"/>
        <w:ind w:firstLine="472" w:firstLineChars="200"/>
        <w:outlineLvl w:val="0"/>
        <w:rPr>
          <w:rFonts w:eastAsia="方正仿宋_GBK"/>
          <w:color w:val="000000"/>
          <w:spacing w:val="-2"/>
          <w:kern w:val="0"/>
          <w:sz w:val="24"/>
        </w:rPr>
      </w:pPr>
      <w:bookmarkStart w:id="265" w:name="_Toc20726532"/>
      <w:bookmarkStart w:id="266" w:name="_Toc20668003"/>
      <w:bookmarkStart w:id="267" w:name="_Toc18315508"/>
      <w:r>
        <w:rPr>
          <w:rFonts w:hint="eastAsia" w:ascii="Times New Roman" w:eastAsia="方正黑体_GBK"/>
          <w:color w:val="000000"/>
          <w:spacing w:val="-2"/>
          <w:sz w:val="24"/>
        </w:rPr>
        <w:t>第二条</w:t>
      </w:r>
      <w:r>
        <w:rPr>
          <w:rFonts w:eastAsia="方正仿宋_GBK"/>
          <w:color w:val="000000"/>
          <w:spacing w:val="-2"/>
          <w:kern w:val="0"/>
          <w:sz w:val="24"/>
        </w:rPr>
        <w:t xml:space="preserve">  </w:t>
      </w:r>
      <w:r>
        <w:rPr>
          <w:rFonts w:hint="eastAsia" w:eastAsia="方正仿宋_GBK"/>
          <w:color w:val="000000"/>
          <w:spacing w:val="-2"/>
          <w:kern w:val="0"/>
          <w:sz w:val="24"/>
        </w:rPr>
        <w:t>工程建设地方标准是对工程建设国家标准、行业标准的补充、细化和提高，是工程建设管理的技术依据。</w:t>
      </w:r>
      <w:bookmarkEnd w:id="265"/>
      <w:bookmarkEnd w:id="266"/>
      <w:bookmarkEnd w:id="267"/>
    </w:p>
    <w:p>
      <w:pPr>
        <w:spacing w:line="460" w:lineRule="exact"/>
        <w:ind w:firstLine="472" w:firstLineChars="200"/>
        <w:outlineLvl w:val="0"/>
        <w:rPr>
          <w:rFonts w:eastAsia="方正仿宋_GBK"/>
          <w:color w:val="000000"/>
          <w:spacing w:val="-2"/>
          <w:kern w:val="0"/>
          <w:sz w:val="24"/>
        </w:rPr>
      </w:pPr>
      <w:bookmarkStart w:id="268" w:name="_Toc20726533"/>
      <w:bookmarkStart w:id="269" w:name="_Toc20668004"/>
      <w:bookmarkStart w:id="270" w:name="_Toc18315509"/>
      <w:r>
        <w:rPr>
          <w:rFonts w:hint="eastAsia" w:ascii="Times New Roman" w:eastAsia="方正黑体_GBK"/>
          <w:color w:val="000000"/>
          <w:spacing w:val="-2"/>
          <w:sz w:val="24"/>
        </w:rPr>
        <w:t>第三条</w:t>
      </w:r>
      <w:r>
        <w:rPr>
          <w:rFonts w:eastAsia="方正仿宋_GBK"/>
          <w:color w:val="000000"/>
          <w:spacing w:val="-2"/>
          <w:kern w:val="0"/>
          <w:sz w:val="24"/>
        </w:rPr>
        <w:t xml:space="preserve">  </w:t>
      </w:r>
      <w:r>
        <w:rPr>
          <w:rFonts w:hint="eastAsia" w:eastAsia="方正仿宋_GBK"/>
          <w:color w:val="000000"/>
          <w:spacing w:val="-2"/>
          <w:kern w:val="0"/>
          <w:sz w:val="24"/>
        </w:rPr>
        <w:t>在本省行政区域内制定、发布和实施工程建设地方标准的，均须遵守本办法。</w:t>
      </w:r>
      <w:bookmarkEnd w:id="268"/>
      <w:bookmarkEnd w:id="269"/>
      <w:bookmarkEnd w:id="270"/>
    </w:p>
    <w:p>
      <w:pPr>
        <w:spacing w:line="460" w:lineRule="exact"/>
        <w:ind w:firstLine="472" w:firstLineChars="200"/>
        <w:outlineLvl w:val="0"/>
        <w:rPr>
          <w:rFonts w:eastAsia="方正仿宋_GBK"/>
          <w:color w:val="000000"/>
          <w:spacing w:val="-2"/>
          <w:kern w:val="0"/>
          <w:sz w:val="24"/>
        </w:rPr>
      </w:pPr>
      <w:bookmarkStart w:id="271" w:name="_Toc20726534"/>
      <w:bookmarkStart w:id="272" w:name="_Toc20668005"/>
      <w:bookmarkStart w:id="273" w:name="_Toc18315510"/>
      <w:r>
        <w:rPr>
          <w:rFonts w:hint="eastAsia" w:ascii="Times New Roman" w:eastAsia="方正黑体_GBK"/>
          <w:color w:val="000000"/>
          <w:spacing w:val="-2"/>
          <w:sz w:val="24"/>
        </w:rPr>
        <w:t>第四条</w:t>
      </w:r>
      <w:r>
        <w:rPr>
          <w:rFonts w:eastAsia="方正仿宋_GBK"/>
          <w:color w:val="000000"/>
          <w:spacing w:val="-2"/>
          <w:kern w:val="0"/>
          <w:sz w:val="24"/>
        </w:rPr>
        <w:t xml:space="preserve">  </w:t>
      </w:r>
      <w:r>
        <w:rPr>
          <w:rFonts w:hint="eastAsia" w:eastAsia="方正仿宋_GBK"/>
          <w:color w:val="000000"/>
          <w:spacing w:val="-2"/>
          <w:kern w:val="0"/>
          <w:sz w:val="24"/>
        </w:rPr>
        <w:t>省建设行政主管部门负责本省行政区域内工程建设地方标准的审定和实施管理，会同省标准化主管部门联合发布工程建设地方标准。</w:t>
      </w:r>
      <w:bookmarkEnd w:id="271"/>
      <w:bookmarkEnd w:id="272"/>
      <w:bookmarkEnd w:id="273"/>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市、县（市）建设行政主管部门负责所辖行政区域内工程建设地方标准的实施管理工作。</w:t>
      </w:r>
    </w:p>
    <w:p>
      <w:pPr>
        <w:spacing w:line="460" w:lineRule="exact"/>
        <w:ind w:firstLine="472" w:firstLineChars="200"/>
        <w:outlineLvl w:val="0"/>
        <w:rPr>
          <w:rFonts w:eastAsia="方正仿宋_GBK"/>
          <w:color w:val="000000"/>
          <w:spacing w:val="-2"/>
          <w:kern w:val="0"/>
          <w:sz w:val="24"/>
        </w:rPr>
      </w:pPr>
      <w:bookmarkStart w:id="274" w:name="_Toc18315511"/>
      <w:bookmarkStart w:id="275" w:name="_Toc20668006"/>
      <w:bookmarkStart w:id="276" w:name="_Toc20726535"/>
      <w:r>
        <w:rPr>
          <w:rFonts w:hint="eastAsia" w:ascii="Times New Roman" w:eastAsia="方正黑体_GBK"/>
          <w:color w:val="000000"/>
          <w:spacing w:val="-2"/>
          <w:sz w:val="24"/>
        </w:rPr>
        <w:t>第五条</w:t>
      </w:r>
      <w:r>
        <w:rPr>
          <w:rFonts w:eastAsia="方正仿宋_GBK"/>
          <w:color w:val="000000"/>
          <w:spacing w:val="-2"/>
          <w:kern w:val="0"/>
          <w:sz w:val="24"/>
        </w:rPr>
        <w:t xml:space="preserve">  </w:t>
      </w:r>
      <w:r>
        <w:rPr>
          <w:rFonts w:hint="eastAsia" w:eastAsia="方正仿宋_GBK"/>
          <w:color w:val="000000"/>
          <w:spacing w:val="-2"/>
          <w:kern w:val="0"/>
          <w:sz w:val="24"/>
        </w:rPr>
        <w:t>省建设行政主管部门根据工程建设需要组织研究工程建设地方标准发展规划纲要，并纳入全省建设事业发展规划纲要。</w:t>
      </w:r>
      <w:bookmarkEnd w:id="274"/>
      <w:bookmarkEnd w:id="275"/>
      <w:bookmarkEnd w:id="276"/>
    </w:p>
    <w:p>
      <w:pPr>
        <w:spacing w:line="460" w:lineRule="exact"/>
        <w:ind w:firstLine="472" w:firstLineChars="200"/>
        <w:outlineLvl w:val="0"/>
        <w:rPr>
          <w:rFonts w:eastAsia="方正仿宋_GBK"/>
          <w:color w:val="000000"/>
          <w:spacing w:val="-2"/>
          <w:kern w:val="0"/>
          <w:sz w:val="24"/>
        </w:rPr>
      </w:pPr>
      <w:bookmarkStart w:id="277" w:name="_Toc20726536"/>
      <w:bookmarkStart w:id="278" w:name="_Toc20668007"/>
      <w:bookmarkStart w:id="279" w:name="_Toc18315512"/>
      <w:r>
        <w:rPr>
          <w:rFonts w:hint="eastAsia" w:ascii="Times New Roman" w:eastAsia="方正黑体_GBK"/>
          <w:color w:val="000000"/>
          <w:spacing w:val="-2"/>
          <w:sz w:val="24"/>
        </w:rPr>
        <w:t>第六条</w:t>
      </w:r>
      <w:r>
        <w:rPr>
          <w:rFonts w:eastAsia="方正仿宋_GBK"/>
          <w:color w:val="000000"/>
          <w:spacing w:val="-2"/>
          <w:kern w:val="0"/>
          <w:sz w:val="24"/>
        </w:rPr>
        <w:t xml:space="preserve">  </w:t>
      </w:r>
      <w:r>
        <w:rPr>
          <w:rFonts w:hint="eastAsia" w:eastAsia="方正仿宋_GBK"/>
          <w:color w:val="000000"/>
          <w:spacing w:val="-2"/>
          <w:kern w:val="0"/>
          <w:sz w:val="24"/>
        </w:rPr>
        <w:t>省建设行政主管部门结合编制单位的申报分年度制定工程建设地方标准编制（修订）计划和专项支出预算。列入计划的工程建设地方标准应填写《江苏省工程建设地方标准编制、修订计划表》。</w:t>
      </w:r>
      <w:bookmarkEnd w:id="277"/>
      <w:bookmarkEnd w:id="278"/>
      <w:bookmarkEnd w:id="279"/>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省工程建设地方标准编制经费用于编制（修订）工作，专款专用，不得挪作它用。</w:t>
      </w:r>
    </w:p>
    <w:p>
      <w:pPr>
        <w:spacing w:line="460" w:lineRule="exact"/>
        <w:ind w:firstLine="472" w:firstLineChars="200"/>
        <w:outlineLvl w:val="0"/>
        <w:rPr>
          <w:rFonts w:eastAsia="方正仿宋_GBK"/>
          <w:color w:val="000000"/>
          <w:spacing w:val="-2"/>
          <w:kern w:val="0"/>
          <w:sz w:val="24"/>
        </w:rPr>
      </w:pPr>
      <w:bookmarkStart w:id="280" w:name="_Toc20726537"/>
      <w:bookmarkStart w:id="281" w:name="_Toc20668008"/>
      <w:bookmarkStart w:id="282" w:name="_Toc18315513"/>
      <w:r>
        <w:rPr>
          <w:rFonts w:hint="eastAsia" w:ascii="Times New Roman" w:eastAsia="方正黑体_GBK"/>
          <w:color w:val="000000"/>
          <w:spacing w:val="-2"/>
          <w:sz w:val="24"/>
        </w:rPr>
        <w:t>第七条</w:t>
      </w:r>
      <w:r>
        <w:rPr>
          <w:rFonts w:eastAsia="方正仿宋_GBK"/>
          <w:color w:val="000000"/>
          <w:spacing w:val="-2"/>
          <w:kern w:val="0"/>
          <w:sz w:val="24"/>
        </w:rPr>
        <w:t xml:space="preserve">  </w:t>
      </w:r>
      <w:r>
        <w:rPr>
          <w:rFonts w:hint="eastAsia" w:eastAsia="方正仿宋_GBK"/>
          <w:color w:val="000000"/>
          <w:spacing w:val="-2"/>
          <w:kern w:val="0"/>
          <w:sz w:val="24"/>
        </w:rPr>
        <w:t>对没有国家标准、行业标准或国家标准、行业标准规定不具体，且需要在本省行政区域内作出统一工程建设技术要求的，可以制定工程建设地方标准。包括：</w:t>
      </w:r>
      <w:bookmarkEnd w:id="280"/>
      <w:bookmarkEnd w:id="281"/>
      <w:bookmarkEnd w:id="282"/>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（一）工程建设勘察、设计、施工安装及质量验收等通用技术要求；</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（二）地方工程建设有关安全、卫生和环境保护的技术要求；</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（三）工程建设地方专用试验、检验和评定方法；</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（四）地方性工程建设信息技术、管理技术要求；</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（五）地方性工程建设推广</w:t>
      </w:r>
      <w:r>
        <w:rPr>
          <w:rFonts w:eastAsia="方正仿宋_GBK"/>
          <w:color w:val="000000"/>
          <w:spacing w:val="-2"/>
          <w:kern w:val="0"/>
          <w:sz w:val="24"/>
        </w:rPr>
        <w:t>“</w:t>
      </w:r>
      <w:r>
        <w:rPr>
          <w:rFonts w:hint="eastAsia" w:eastAsia="方正仿宋_GBK"/>
          <w:color w:val="000000"/>
          <w:spacing w:val="-2"/>
          <w:kern w:val="0"/>
          <w:sz w:val="24"/>
        </w:rPr>
        <w:t>四新</w:t>
      </w:r>
      <w:r>
        <w:rPr>
          <w:rFonts w:eastAsia="方正仿宋_GBK"/>
          <w:color w:val="000000"/>
          <w:spacing w:val="-2"/>
          <w:kern w:val="0"/>
          <w:sz w:val="24"/>
        </w:rPr>
        <w:t>”</w:t>
      </w:r>
      <w:r>
        <w:rPr>
          <w:rFonts w:hint="eastAsia" w:eastAsia="方正仿宋_GBK"/>
          <w:color w:val="000000"/>
          <w:spacing w:val="-2"/>
          <w:kern w:val="0"/>
          <w:sz w:val="24"/>
        </w:rPr>
        <w:t>成果的技术要求；</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（六）需要统一的其它工程建设技术要求。</w:t>
      </w:r>
    </w:p>
    <w:p>
      <w:pPr>
        <w:spacing w:line="460" w:lineRule="exact"/>
        <w:ind w:firstLine="472" w:firstLineChars="200"/>
        <w:outlineLvl w:val="0"/>
        <w:rPr>
          <w:rFonts w:eastAsia="方正仿宋_GBK"/>
          <w:color w:val="000000"/>
          <w:spacing w:val="-2"/>
          <w:kern w:val="0"/>
          <w:sz w:val="24"/>
        </w:rPr>
      </w:pPr>
      <w:bookmarkStart w:id="283" w:name="_Toc20726539"/>
      <w:bookmarkStart w:id="284" w:name="_Toc20668010"/>
      <w:bookmarkStart w:id="285" w:name="_Toc18315515"/>
      <w:r>
        <w:rPr>
          <w:rFonts w:hint="eastAsia" w:ascii="Times New Roman" w:eastAsia="方正黑体_GBK"/>
          <w:color w:val="000000"/>
          <w:spacing w:val="-2"/>
          <w:sz w:val="24"/>
        </w:rPr>
        <w:t>第八条</w:t>
      </w:r>
      <w:r>
        <w:rPr>
          <w:rFonts w:eastAsia="方正仿宋_GBK"/>
          <w:color w:val="000000"/>
          <w:spacing w:val="-2"/>
          <w:kern w:val="0"/>
          <w:sz w:val="24"/>
        </w:rPr>
        <w:t xml:space="preserve">  </w:t>
      </w:r>
      <w:r>
        <w:rPr>
          <w:rFonts w:hint="eastAsia" w:eastAsia="方正仿宋_GBK"/>
          <w:color w:val="000000"/>
          <w:spacing w:val="-2"/>
          <w:kern w:val="0"/>
          <w:sz w:val="24"/>
        </w:rPr>
        <w:t>工程建设地方标准编制（修订）单位应组成标准编制（修订）组，安排具有丰富经验的技术人员参加编制（修订）工作。各相关单位应当为标准编制（修订）提供技术资料和基础条件。</w:t>
      </w:r>
      <w:bookmarkEnd w:id="283"/>
      <w:bookmarkEnd w:id="284"/>
      <w:bookmarkEnd w:id="285"/>
    </w:p>
    <w:p>
      <w:pPr>
        <w:spacing w:line="460" w:lineRule="exact"/>
        <w:ind w:firstLine="472" w:firstLineChars="200"/>
        <w:outlineLvl w:val="0"/>
        <w:rPr>
          <w:rFonts w:eastAsia="方正仿宋_GBK"/>
          <w:color w:val="000000"/>
          <w:spacing w:val="-2"/>
          <w:kern w:val="0"/>
          <w:sz w:val="24"/>
        </w:rPr>
      </w:pPr>
      <w:bookmarkStart w:id="286" w:name="_Toc20668011"/>
      <w:bookmarkStart w:id="287" w:name="_Toc18315516"/>
      <w:bookmarkStart w:id="288" w:name="_Toc20726540"/>
      <w:r>
        <w:rPr>
          <w:rFonts w:hint="eastAsia" w:ascii="Times New Roman" w:eastAsia="方正黑体_GBK"/>
          <w:color w:val="000000"/>
          <w:spacing w:val="-2"/>
          <w:sz w:val="24"/>
        </w:rPr>
        <w:t>第九条</w:t>
      </w:r>
      <w:r>
        <w:rPr>
          <w:rFonts w:eastAsia="方正仿宋_GBK"/>
          <w:color w:val="000000"/>
          <w:spacing w:val="-2"/>
          <w:kern w:val="0"/>
          <w:sz w:val="24"/>
        </w:rPr>
        <w:t xml:space="preserve">  </w:t>
      </w:r>
      <w:r>
        <w:rPr>
          <w:rFonts w:hint="eastAsia" w:eastAsia="方正仿宋_GBK"/>
          <w:color w:val="000000"/>
          <w:spacing w:val="-2"/>
          <w:kern w:val="0"/>
          <w:sz w:val="24"/>
        </w:rPr>
        <w:t>编制（修订）工程建设地方标准，应当严格遵守有关法律、法规，贯彻执行国家和省技术经济政策，密切结合地方自然条件，积极采用建设</w:t>
      </w:r>
      <w:r>
        <w:rPr>
          <w:rFonts w:eastAsia="方正仿宋_GBK"/>
          <w:color w:val="000000"/>
          <w:spacing w:val="-2"/>
          <w:kern w:val="0"/>
          <w:sz w:val="24"/>
        </w:rPr>
        <w:t>“</w:t>
      </w:r>
      <w:r>
        <w:rPr>
          <w:rFonts w:hint="eastAsia" w:eastAsia="方正仿宋_GBK"/>
          <w:color w:val="000000"/>
          <w:spacing w:val="-2"/>
          <w:kern w:val="0"/>
          <w:sz w:val="24"/>
        </w:rPr>
        <w:t>四新</w:t>
      </w:r>
      <w:r>
        <w:rPr>
          <w:rFonts w:eastAsia="方正仿宋_GBK"/>
          <w:color w:val="000000"/>
          <w:spacing w:val="-2"/>
          <w:kern w:val="0"/>
          <w:sz w:val="24"/>
        </w:rPr>
        <w:t>”</w:t>
      </w:r>
      <w:r>
        <w:rPr>
          <w:rFonts w:hint="eastAsia" w:eastAsia="方正仿宋_GBK"/>
          <w:color w:val="000000"/>
          <w:spacing w:val="-2"/>
          <w:kern w:val="0"/>
          <w:sz w:val="24"/>
        </w:rPr>
        <w:t>成果，做到安全适用、经济合理、技术先进。</w:t>
      </w:r>
      <w:bookmarkEnd w:id="286"/>
      <w:bookmarkEnd w:id="287"/>
      <w:bookmarkEnd w:id="288"/>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工程建设地方标准不得与国家标准和行业标准相抵触。</w:t>
      </w:r>
    </w:p>
    <w:p>
      <w:pPr>
        <w:spacing w:line="460" w:lineRule="exact"/>
        <w:ind w:firstLine="472" w:firstLineChars="200"/>
        <w:outlineLvl w:val="0"/>
        <w:rPr>
          <w:rFonts w:eastAsia="方正仿宋_GBK"/>
          <w:color w:val="000000"/>
          <w:spacing w:val="-2"/>
          <w:kern w:val="0"/>
          <w:sz w:val="24"/>
        </w:rPr>
      </w:pPr>
      <w:bookmarkStart w:id="289" w:name="_Toc20668012"/>
      <w:bookmarkStart w:id="290" w:name="_Toc20726541"/>
      <w:bookmarkStart w:id="291" w:name="_Toc18315517"/>
      <w:r>
        <w:rPr>
          <w:rFonts w:hint="eastAsia" w:ascii="Times New Roman" w:eastAsia="方正黑体_GBK"/>
          <w:color w:val="000000"/>
          <w:spacing w:val="-2"/>
          <w:sz w:val="24"/>
        </w:rPr>
        <w:t>第十条</w:t>
      </w:r>
      <w:r>
        <w:rPr>
          <w:rFonts w:eastAsia="方正仿宋_GBK"/>
          <w:color w:val="000000"/>
          <w:spacing w:val="-2"/>
          <w:kern w:val="0"/>
          <w:sz w:val="24"/>
        </w:rPr>
        <w:t xml:space="preserve">  </w:t>
      </w:r>
      <w:r>
        <w:rPr>
          <w:rFonts w:hint="eastAsia" w:eastAsia="方正仿宋_GBK"/>
          <w:color w:val="000000"/>
          <w:spacing w:val="-2"/>
          <w:kern w:val="0"/>
          <w:sz w:val="24"/>
        </w:rPr>
        <w:t>编制（修订）工程建设地方标准应当以实践经验和科技发展成果为依据，广泛征求各方面意见，做到协商一致。</w:t>
      </w:r>
      <w:bookmarkEnd w:id="289"/>
      <w:bookmarkEnd w:id="290"/>
      <w:bookmarkEnd w:id="291"/>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工程建设地方标准采用的</w:t>
      </w:r>
      <w:r>
        <w:rPr>
          <w:rFonts w:eastAsia="方正仿宋_GBK"/>
          <w:color w:val="000000"/>
          <w:spacing w:val="-2"/>
          <w:kern w:val="0"/>
          <w:sz w:val="24"/>
        </w:rPr>
        <w:t>“</w:t>
      </w:r>
      <w:r>
        <w:rPr>
          <w:rFonts w:hint="eastAsia" w:eastAsia="方正仿宋_GBK"/>
          <w:color w:val="000000"/>
          <w:spacing w:val="-2"/>
          <w:kern w:val="0"/>
          <w:sz w:val="24"/>
        </w:rPr>
        <w:t>四新</w:t>
      </w:r>
      <w:r>
        <w:rPr>
          <w:rFonts w:eastAsia="方正仿宋_GBK"/>
          <w:color w:val="000000"/>
          <w:spacing w:val="-2"/>
          <w:kern w:val="0"/>
          <w:sz w:val="24"/>
        </w:rPr>
        <w:t>”</w:t>
      </w:r>
      <w:r>
        <w:rPr>
          <w:rFonts w:hint="eastAsia" w:eastAsia="方正仿宋_GBK"/>
          <w:color w:val="000000"/>
          <w:spacing w:val="-2"/>
          <w:kern w:val="0"/>
          <w:sz w:val="24"/>
        </w:rPr>
        <w:t>成果应当经过鉴定和实际应用。工程建设地方标准应用专利技术应当获得专利权人许可。</w:t>
      </w:r>
    </w:p>
    <w:p>
      <w:pPr>
        <w:spacing w:line="460" w:lineRule="exact"/>
        <w:ind w:firstLine="472" w:firstLineChars="200"/>
        <w:outlineLvl w:val="0"/>
        <w:rPr>
          <w:rFonts w:eastAsia="方正仿宋_GBK"/>
          <w:color w:val="000000"/>
          <w:spacing w:val="-2"/>
          <w:kern w:val="0"/>
          <w:sz w:val="24"/>
        </w:rPr>
      </w:pPr>
      <w:bookmarkStart w:id="292" w:name="_Toc20726542"/>
      <w:bookmarkStart w:id="293" w:name="_Toc20668013"/>
      <w:bookmarkStart w:id="294" w:name="_Toc18315518"/>
      <w:r>
        <w:rPr>
          <w:rFonts w:hint="eastAsia" w:ascii="Times New Roman" w:eastAsia="方正黑体_GBK"/>
          <w:color w:val="000000"/>
          <w:spacing w:val="-2"/>
          <w:sz w:val="24"/>
        </w:rPr>
        <w:t>第十一条</w:t>
      </w:r>
      <w:r>
        <w:rPr>
          <w:rFonts w:eastAsia="方正仿宋_GBK"/>
          <w:color w:val="000000"/>
          <w:spacing w:val="-2"/>
          <w:kern w:val="0"/>
          <w:sz w:val="24"/>
        </w:rPr>
        <w:t xml:space="preserve">  </w:t>
      </w:r>
      <w:r>
        <w:rPr>
          <w:rFonts w:hint="eastAsia" w:eastAsia="方正仿宋_GBK"/>
          <w:color w:val="000000"/>
          <w:spacing w:val="-2"/>
          <w:kern w:val="0"/>
          <w:sz w:val="24"/>
        </w:rPr>
        <w:t>工程建设地方标准一般应经过编写大纲、征求意见稿、送审稿、报批稿四个阶段。</w:t>
      </w:r>
      <w:bookmarkEnd w:id="292"/>
      <w:bookmarkEnd w:id="293"/>
      <w:bookmarkEnd w:id="294"/>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编写大纲应包括标准的编写依据、编写原则、编写提纲、编写计划、相关标准目录。编写大纲应组织相关各方讨论后确定。</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征求意见稿应包括标准全文及条文说明、编写说明、重要事项相关技术资料（鉴定证书、计算书、论证意见等）。</w:t>
      </w:r>
    </w:p>
    <w:p>
      <w:pPr>
        <w:spacing w:line="460" w:lineRule="exact"/>
        <w:ind w:firstLine="456" w:firstLineChars="200"/>
        <w:rPr>
          <w:rFonts w:eastAsia="方正仿宋_GBK"/>
          <w:color w:val="000000"/>
          <w:spacing w:val="-6"/>
          <w:kern w:val="0"/>
          <w:sz w:val="24"/>
        </w:rPr>
      </w:pPr>
      <w:r>
        <w:rPr>
          <w:rFonts w:hint="eastAsia" w:eastAsia="方正仿宋_GBK"/>
          <w:color w:val="000000"/>
          <w:spacing w:val="-6"/>
          <w:kern w:val="0"/>
          <w:sz w:val="24"/>
        </w:rPr>
        <w:t>送审稿应包括标准全文及条文说明、重要事项相关技术资料、征求意见汇总说明等。</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报批稿应包括标准全文及条文说明、审查报批表。</w:t>
      </w:r>
    </w:p>
    <w:p>
      <w:pPr>
        <w:spacing w:line="460" w:lineRule="exact"/>
        <w:ind w:firstLine="472" w:firstLineChars="200"/>
        <w:outlineLvl w:val="0"/>
        <w:rPr>
          <w:rFonts w:eastAsia="方正仿宋_GBK"/>
          <w:color w:val="000000"/>
          <w:spacing w:val="-2"/>
          <w:kern w:val="0"/>
          <w:sz w:val="24"/>
        </w:rPr>
      </w:pPr>
      <w:bookmarkStart w:id="295" w:name="_Toc20726543"/>
      <w:bookmarkStart w:id="296" w:name="_Toc20668014"/>
      <w:bookmarkStart w:id="297" w:name="_Toc18315519"/>
      <w:r>
        <w:rPr>
          <w:rFonts w:hint="eastAsia" w:ascii="Times New Roman" w:eastAsia="方正黑体_GBK"/>
          <w:color w:val="000000"/>
          <w:spacing w:val="-2"/>
          <w:sz w:val="24"/>
        </w:rPr>
        <w:t>第十二条</w:t>
      </w:r>
      <w:r>
        <w:rPr>
          <w:rFonts w:eastAsia="方正仿宋_GBK"/>
          <w:color w:val="000000"/>
          <w:spacing w:val="-2"/>
          <w:kern w:val="0"/>
          <w:sz w:val="24"/>
        </w:rPr>
        <w:t xml:space="preserve">  </w:t>
      </w:r>
      <w:r>
        <w:rPr>
          <w:rFonts w:hint="eastAsia" w:eastAsia="方正仿宋_GBK"/>
          <w:color w:val="000000"/>
          <w:spacing w:val="-2"/>
          <w:kern w:val="0"/>
          <w:sz w:val="24"/>
        </w:rPr>
        <w:t>省建设行政主管部门对工程建设地方标准进行批准发布时应明确实施时间。</w:t>
      </w:r>
      <w:bookmarkEnd w:id="295"/>
      <w:bookmarkEnd w:id="296"/>
      <w:bookmarkEnd w:id="297"/>
    </w:p>
    <w:p>
      <w:pPr>
        <w:spacing w:line="460" w:lineRule="exact"/>
        <w:ind w:firstLine="472" w:firstLineChars="200"/>
        <w:outlineLvl w:val="0"/>
        <w:rPr>
          <w:rFonts w:eastAsia="方正仿宋_GBK"/>
          <w:color w:val="000000"/>
          <w:spacing w:val="-2"/>
          <w:kern w:val="0"/>
          <w:sz w:val="24"/>
        </w:rPr>
      </w:pPr>
      <w:bookmarkStart w:id="298" w:name="_Toc20726544"/>
      <w:bookmarkStart w:id="299" w:name="_Toc20668015"/>
      <w:bookmarkStart w:id="300" w:name="_Toc18315520"/>
      <w:r>
        <w:rPr>
          <w:rFonts w:hint="eastAsia" w:ascii="Times New Roman" w:eastAsia="方正黑体_GBK"/>
          <w:color w:val="000000"/>
          <w:spacing w:val="-2"/>
          <w:sz w:val="24"/>
        </w:rPr>
        <w:t>第十三条</w:t>
      </w:r>
      <w:r>
        <w:rPr>
          <w:rFonts w:eastAsia="方正仿宋_GBK"/>
          <w:color w:val="000000"/>
          <w:spacing w:val="-2"/>
          <w:kern w:val="0"/>
          <w:sz w:val="24"/>
        </w:rPr>
        <w:t xml:space="preserve">  </w:t>
      </w:r>
      <w:r>
        <w:rPr>
          <w:rFonts w:hint="eastAsia" w:eastAsia="方正仿宋_GBK"/>
          <w:color w:val="000000"/>
          <w:spacing w:val="-2"/>
          <w:kern w:val="0"/>
          <w:sz w:val="24"/>
        </w:rPr>
        <w:t>工程建设地方标准分强制性标准和推荐性标准。</w:t>
      </w:r>
      <w:bookmarkEnd w:id="298"/>
      <w:bookmarkEnd w:id="299"/>
      <w:bookmarkEnd w:id="300"/>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强制性工程建设地方标准具有强制约束力，是保障人民生命财产安全、人身健康、工程安全、生态环境安全、公众权益和公共利益，以及促进能源资源节约利用、满足社会经济管理等方面的控制性底线要求。</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强制性标准以外的标准为推荐性标准。</w:t>
      </w:r>
    </w:p>
    <w:p>
      <w:pPr>
        <w:spacing w:line="460" w:lineRule="exact"/>
        <w:ind w:firstLine="472" w:firstLineChars="200"/>
        <w:outlineLvl w:val="0"/>
        <w:rPr>
          <w:rFonts w:eastAsia="方正仿宋_GBK"/>
          <w:color w:val="000000"/>
          <w:spacing w:val="-2"/>
          <w:kern w:val="0"/>
          <w:sz w:val="24"/>
        </w:rPr>
      </w:pPr>
      <w:bookmarkStart w:id="301" w:name="_Toc20668016"/>
      <w:bookmarkStart w:id="302" w:name="_Toc18315521"/>
      <w:bookmarkStart w:id="303" w:name="_Toc20726545"/>
      <w:r>
        <w:rPr>
          <w:rFonts w:hint="eastAsia" w:ascii="Times New Roman" w:eastAsia="方正黑体_GBK"/>
          <w:color w:val="000000"/>
          <w:spacing w:val="-2"/>
          <w:sz w:val="24"/>
        </w:rPr>
        <w:t>第十四条</w:t>
      </w:r>
      <w:r>
        <w:rPr>
          <w:rFonts w:eastAsia="方正仿宋_GBK"/>
          <w:color w:val="000000"/>
          <w:spacing w:val="-2"/>
          <w:kern w:val="0"/>
          <w:sz w:val="24"/>
        </w:rPr>
        <w:t xml:space="preserve">  </w:t>
      </w:r>
      <w:r>
        <w:rPr>
          <w:rFonts w:hint="eastAsia" w:eastAsia="方正仿宋_GBK"/>
          <w:color w:val="000000"/>
          <w:spacing w:val="-2"/>
          <w:kern w:val="0"/>
          <w:sz w:val="24"/>
        </w:rPr>
        <w:t>批准发布的工程建设地方标准应按规定及时报国务院建设行政主管部门备案。</w:t>
      </w:r>
      <w:bookmarkEnd w:id="301"/>
      <w:bookmarkEnd w:id="302"/>
      <w:bookmarkEnd w:id="303"/>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对有强制性条文的工程建设地方标准，应按规定将强制性条文报建设部批准后再批准发布，发布后即报国务院建设行政主管部门备案；对没有强制性条文的工程建设地方标准，应当在发布后三十日内报国务院建设行政主管部门备案。</w:t>
      </w:r>
    </w:p>
    <w:p>
      <w:pPr>
        <w:spacing w:line="460" w:lineRule="exact"/>
        <w:ind w:firstLine="472" w:firstLineChars="200"/>
        <w:outlineLvl w:val="0"/>
        <w:rPr>
          <w:rFonts w:eastAsia="方正仿宋_GBK"/>
          <w:color w:val="000000"/>
          <w:spacing w:val="-2"/>
          <w:kern w:val="0"/>
          <w:sz w:val="24"/>
        </w:rPr>
      </w:pPr>
      <w:bookmarkStart w:id="304" w:name="_Toc18315522"/>
      <w:bookmarkStart w:id="305" w:name="_Toc20726546"/>
      <w:bookmarkStart w:id="306" w:name="_Toc20668017"/>
      <w:r>
        <w:rPr>
          <w:rFonts w:hint="eastAsia" w:ascii="Times New Roman" w:eastAsia="方正黑体_GBK"/>
          <w:color w:val="000000"/>
          <w:spacing w:val="-2"/>
          <w:sz w:val="24"/>
        </w:rPr>
        <w:t>第十五条</w:t>
      </w:r>
      <w:r>
        <w:rPr>
          <w:rFonts w:eastAsia="方正仿宋_GBK"/>
          <w:color w:val="000000"/>
          <w:spacing w:val="-2"/>
          <w:kern w:val="0"/>
          <w:sz w:val="24"/>
        </w:rPr>
        <w:t xml:space="preserve">  </w:t>
      </w:r>
      <w:r>
        <w:rPr>
          <w:rFonts w:hint="eastAsia" w:eastAsia="方正仿宋_GBK"/>
          <w:color w:val="000000"/>
          <w:spacing w:val="-2"/>
          <w:kern w:val="0"/>
          <w:sz w:val="24"/>
        </w:rPr>
        <w:t>工程建设地方标准应统一编号：</w:t>
      </w:r>
      <w:bookmarkEnd w:id="304"/>
      <w:bookmarkEnd w:id="305"/>
      <w:bookmarkEnd w:id="306"/>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强制性工程建设地方标准编号为：</w:t>
      </w:r>
    </w:p>
    <w:p>
      <w:pPr>
        <w:spacing w:line="460" w:lineRule="exact"/>
        <w:ind w:firstLine="472" w:firstLineChars="200"/>
        <w:rPr>
          <w:rFonts w:eastAsia="方正仿宋_GBK"/>
          <w:color w:val="000000"/>
          <w:spacing w:val="-2"/>
          <w:kern w:val="0"/>
          <w:sz w:val="24"/>
        </w:rPr>
      </w:pPr>
      <w:r>
        <w:rPr>
          <w:rFonts w:eastAsia="方正仿宋_GBK"/>
          <w:color w:val="000000"/>
          <w:spacing w:val="-2"/>
          <w:kern w:val="0"/>
          <w:sz w:val="24"/>
        </w:rPr>
        <w:t xml:space="preserve"> DB32/   </w:t>
      </w:r>
      <w:r>
        <w:rPr>
          <w:rFonts w:hint="eastAsia" w:eastAsia="方正仿宋_GBK"/>
          <w:color w:val="000000"/>
          <w:spacing w:val="-2"/>
          <w:kern w:val="0"/>
          <w:sz w:val="24"/>
        </w:rPr>
        <w:t>　　</w:t>
      </w:r>
      <w:r>
        <w:rPr>
          <w:rFonts w:eastAsia="方正仿宋_GBK"/>
          <w:color w:val="000000"/>
          <w:spacing w:val="-2"/>
          <w:kern w:val="0"/>
          <w:sz w:val="24"/>
        </w:rPr>
        <w:t xml:space="preserve">      # #    - ####</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地方标准代号　　　标准序号　　　发布年号</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推荐性工程建设地方标准编号为：</w:t>
      </w:r>
    </w:p>
    <w:p>
      <w:pPr>
        <w:spacing w:line="460" w:lineRule="exact"/>
        <w:ind w:firstLine="472" w:firstLineChars="200"/>
        <w:rPr>
          <w:rFonts w:eastAsia="方正仿宋_GBK"/>
          <w:color w:val="000000"/>
          <w:spacing w:val="-2"/>
          <w:kern w:val="0"/>
          <w:sz w:val="24"/>
        </w:rPr>
      </w:pPr>
      <w:r>
        <w:rPr>
          <w:rFonts w:eastAsia="方正仿宋_GBK"/>
          <w:color w:val="000000"/>
          <w:spacing w:val="-2"/>
          <w:kern w:val="0"/>
          <w:sz w:val="24"/>
        </w:rPr>
        <w:t xml:space="preserve">DB32/ T  </w:t>
      </w:r>
      <w:r>
        <w:rPr>
          <w:rFonts w:hint="eastAsia" w:eastAsia="方正仿宋_GBK"/>
          <w:color w:val="000000"/>
          <w:spacing w:val="-2"/>
          <w:kern w:val="0"/>
          <w:sz w:val="24"/>
        </w:rPr>
        <w:t>　　</w:t>
      </w:r>
      <w:r>
        <w:rPr>
          <w:rFonts w:eastAsia="方正仿宋_GBK"/>
          <w:color w:val="000000"/>
          <w:spacing w:val="-2"/>
          <w:kern w:val="0"/>
          <w:sz w:val="24"/>
        </w:rPr>
        <w:t xml:space="preserve">     </w:t>
      </w:r>
      <w:r>
        <w:rPr>
          <w:rFonts w:hint="eastAsia" w:eastAsia="方正仿宋_GBK"/>
          <w:color w:val="000000"/>
          <w:spacing w:val="-2"/>
          <w:kern w:val="0"/>
          <w:sz w:val="24"/>
        </w:rPr>
        <w:t>　</w:t>
      </w:r>
      <w:r>
        <w:rPr>
          <w:rFonts w:eastAsia="方正仿宋_GBK"/>
          <w:color w:val="000000"/>
          <w:spacing w:val="-2"/>
          <w:kern w:val="0"/>
          <w:sz w:val="24"/>
        </w:rPr>
        <w:t>   - ####</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推荐性地方标准代号　　标准序号　发布年号</w:t>
      </w:r>
    </w:p>
    <w:p>
      <w:pPr>
        <w:spacing w:line="460" w:lineRule="exact"/>
        <w:ind w:firstLine="472" w:firstLineChars="200"/>
        <w:outlineLvl w:val="0"/>
        <w:rPr>
          <w:rFonts w:eastAsia="方正仿宋_GBK"/>
          <w:color w:val="000000"/>
          <w:spacing w:val="-2"/>
          <w:kern w:val="0"/>
          <w:sz w:val="24"/>
        </w:rPr>
      </w:pPr>
      <w:bookmarkStart w:id="307" w:name="_Toc18315523"/>
      <w:bookmarkStart w:id="308" w:name="_Toc20726547"/>
      <w:bookmarkStart w:id="309" w:name="_Toc20668018"/>
      <w:r>
        <w:rPr>
          <w:rFonts w:hint="eastAsia" w:ascii="Times New Roman" w:eastAsia="方正黑体_GBK"/>
          <w:color w:val="000000"/>
          <w:spacing w:val="-2"/>
          <w:sz w:val="24"/>
        </w:rPr>
        <w:t>第十六条</w:t>
      </w:r>
      <w:r>
        <w:rPr>
          <w:rFonts w:eastAsia="方正仿宋_GBK"/>
          <w:color w:val="000000"/>
          <w:spacing w:val="-2"/>
          <w:kern w:val="0"/>
          <w:sz w:val="24"/>
        </w:rPr>
        <w:t> </w:t>
      </w:r>
      <w:r>
        <w:rPr>
          <w:rFonts w:hint="eastAsia" w:eastAsia="方正仿宋_GBK"/>
          <w:color w:val="000000"/>
          <w:spacing w:val="-2"/>
          <w:kern w:val="0"/>
          <w:sz w:val="24"/>
        </w:rPr>
        <w:t>工程建设地方标准中涉及强制性条文的，由省建设行政主管部门负责解释；涉及具体技术内容的，由主编单位负责解释</w:t>
      </w:r>
      <w:bookmarkEnd w:id="307"/>
      <w:bookmarkEnd w:id="308"/>
      <w:bookmarkEnd w:id="309"/>
      <w:r>
        <w:rPr>
          <w:rFonts w:hint="eastAsia" w:eastAsia="方正仿宋_GBK"/>
          <w:color w:val="000000"/>
          <w:spacing w:val="-2"/>
          <w:kern w:val="0"/>
          <w:sz w:val="24"/>
        </w:rPr>
        <w:t>。</w:t>
      </w:r>
    </w:p>
    <w:p>
      <w:pPr>
        <w:spacing w:line="460" w:lineRule="exact"/>
        <w:ind w:firstLine="472" w:firstLineChars="200"/>
        <w:outlineLvl w:val="0"/>
        <w:rPr>
          <w:rFonts w:eastAsia="方正仿宋_GBK"/>
          <w:color w:val="000000"/>
          <w:spacing w:val="-2"/>
          <w:kern w:val="0"/>
          <w:sz w:val="24"/>
        </w:rPr>
      </w:pPr>
      <w:bookmarkStart w:id="310" w:name="_Toc20668019"/>
      <w:bookmarkStart w:id="311" w:name="_Toc20726548"/>
      <w:bookmarkStart w:id="312" w:name="_Toc18315524"/>
      <w:r>
        <w:rPr>
          <w:rFonts w:hint="eastAsia" w:ascii="Times New Roman" w:eastAsia="方正黑体_GBK"/>
          <w:color w:val="000000"/>
          <w:spacing w:val="-2"/>
          <w:sz w:val="24"/>
        </w:rPr>
        <w:t>第十七条</w:t>
      </w:r>
      <w:r>
        <w:rPr>
          <w:rFonts w:eastAsia="方正仿宋_GBK"/>
          <w:color w:val="000000"/>
          <w:spacing w:val="-2"/>
          <w:kern w:val="0"/>
          <w:sz w:val="24"/>
        </w:rPr>
        <w:t xml:space="preserve">  </w:t>
      </w:r>
      <w:r>
        <w:rPr>
          <w:rFonts w:hint="eastAsia" w:eastAsia="方正仿宋_GBK"/>
          <w:color w:val="000000"/>
          <w:spacing w:val="-2"/>
          <w:kern w:val="0"/>
          <w:sz w:val="24"/>
        </w:rPr>
        <w:t>工程建设地方标准由省工程建设标准站组织统一出版、发行。</w:t>
      </w:r>
      <w:bookmarkEnd w:id="310"/>
      <w:bookmarkEnd w:id="311"/>
      <w:bookmarkEnd w:id="312"/>
      <w:bookmarkStart w:id="313" w:name="_Toc20668020"/>
      <w:bookmarkStart w:id="314" w:name="_Toc18315525"/>
      <w:bookmarkStart w:id="315" w:name="_Toc20726549"/>
    </w:p>
    <w:p>
      <w:pPr>
        <w:spacing w:line="460" w:lineRule="exact"/>
        <w:ind w:firstLine="472" w:firstLineChars="200"/>
        <w:outlineLvl w:val="0"/>
        <w:rPr>
          <w:rFonts w:eastAsia="方正仿宋_GBK"/>
          <w:color w:val="000000"/>
          <w:spacing w:val="-2"/>
          <w:kern w:val="0"/>
          <w:sz w:val="24"/>
        </w:rPr>
      </w:pPr>
      <w:r>
        <w:rPr>
          <w:rFonts w:hint="eastAsia" w:ascii="Times New Roman" w:eastAsia="方正黑体_GBK"/>
          <w:color w:val="000000"/>
          <w:spacing w:val="-2"/>
          <w:sz w:val="24"/>
        </w:rPr>
        <w:t>第十八条</w:t>
      </w:r>
      <w:r>
        <w:rPr>
          <w:rFonts w:eastAsia="方正仿宋_GBK"/>
          <w:color w:val="000000"/>
          <w:spacing w:val="-2"/>
          <w:kern w:val="0"/>
          <w:sz w:val="24"/>
        </w:rPr>
        <w:t xml:space="preserve">  </w:t>
      </w:r>
      <w:r>
        <w:rPr>
          <w:rFonts w:hint="eastAsia" w:eastAsia="方正仿宋_GBK"/>
          <w:color w:val="000000"/>
          <w:spacing w:val="-2"/>
          <w:kern w:val="0"/>
          <w:sz w:val="24"/>
        </w:rPr>
        <w:t>工程建设地方标准属于科技成果，纳入科技进步奖范围及单位和个人业绩考核、职称评审的主要业绩。</w:t>
      </w:r>
      <w:bookmarkEnd w:id="313"/>
      <w:bookmarkEnd w:id="314"/>
      <w:bookmarkEnd w:id="315"/>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参与编写标准的主要技术人员可视为完成相应年度的继续教育的选修学时。</w:t>
      </w:r>
    </w:p>
    <w:p>
      <w:pPr>
        <w:spacing w:line="460" w:lineRule="exact"/>
        <w:ind w:firstLine="472" w:firstLineChars="200"/>
        <w:outlineLvl w:val="0"/>
        <w:rPr>
          <w:rFonts w:eastAsia="方正仿宋_GBK"/>
          <w:color w:val="000000"/>
          <w:spacing w:val="-2"/>
          <w:kern w:val="0"/>
          <w:sz w:val="24"/>
        </w:rPr>
      </w:pPr>
      <w:bookmarkStart w:id="316" w:name="_Toc20726550"/>
      <w:bookmarkStart w:id="317" w:name="_Toc20668021"/>
      <w:bookmarkStart w:id="318" w:name="_Toc18315526"/>
      <w:r>
        <w:rPr>
          <w:rFonts w:hint="eastAsia" w:ascii="Times New Roman" w:eastAsia="方正黑体_GBK"/>
          <w:color w:val="000000"/>
          <w:spacing w:val="-2"/>
          <w:sz w:val="24"/>
        </w:rPr>
        <w:t>第十九条</w:t>
      </w:r>
      <w:r>
        <w:rPr>
          <w:rFonts w:eastAsia="方正仿宋_GBK"/>
          <w:color w:val="000000"/>
          <w:spacing w:val="-2"/>
          <w:kern w:val="0"/>
          <w:sz w:val="24"/>
        </w:rPr>
        <w:t xml:space="preserve">  </w:t>
      </w:r>
      <w:r>
        <w:rPr>
          <w:rFonts w:hint="eastAsia" w:eastAsia="方正仿宋_GBK"/>
          <w:color w:val="000000"/>
          <w:spacing w:val="-2"/>
          <w:kern w:val="0"/>
          <w:sz w:val="24"/>
        </w:rPr>
        <w:t>各级建设行政主管部门应当积极宣贯实施工程建设地方标准，并对实施情况进行监督检查。</w:t>
      </w:r>
      <w:bookmarkEnd w:id="316"/>
      <w:bookmarkEnd w:id="317"/>
      <w:bookmarkEnd w:id="318"/>
    </w:p>
    <w:p>
      <w:pPr>
        <w:spacing w:line="460" w:lineRule="exact"/>
        <w:ind w:firstLine="472" w:firstLineChars="200"/>
        <w:outlineLvl w:val="0"/>
        <w:rPr>
          <w:rFonts w:eastAsia="方正仿宋_GBK"/>
          <w:color w:val="000000"/>
          <w:spacing w:val="-2"/>
          <w:kern w:val="0"/>
          <w:sz w:val="24"/>
        </w:rPr>
      </w:pPr>
      <w:bookmarkStart w:id="319" w:name="_Toc20668022"/>
      <w:bookmarkStart w:id="320" w:name="_Toc18315527"/>
      <w:bookmarkStart w:id="321" w:name="_Toc20726551"/>
      <w:r>
        <w:rPr>
          <w:rFonts w:hint="eastAsia" w:ascii="Times New Roman" w:eastAsia="方正黑体_GBK"/>
          <w:color w:val="000000"/>
          <w:spacing w:val="-2"/>
          <w:sz w:val="24"/>
        </w:rPr>
        <w:t>第二十条</w:t>
      </w:r>
      <w:r>
        <w:rPr>
          <w:rFonts w:eastAsia="方正仿宋_GBK"/>
          <w:color w:val="000000"/>
          <w:spacing w:val="-2"/>
          <w:kern w:val="0"/>
          <w:sz w:val="24"/>
        </w:rPr>
        <w:t xml:space="preserve">  </w:t>
      </w:r>
      <w:r>
        <w:rPr>
          <w:rFonts w:hint="eastAsia" w:eastAsia="方正仿宋_GBK"/>
          <w:color w:val="000000"/>
          <w:spacing w:val="-2"/>
          <w:kern w:val="0"/>
          <w:sz w:val="24"/>
        </w:rPr>
        <w:t>任何单位和个人在本省行政区域内从事工程建设活动中，如有违反工程建设地方标准的，各级建设行政主管部门应当按照相关法规进行处罚。</w:t>
      </w:r>
      <w:bookmarkEnd w:id="319"/>
      <w:bookmarkEnd w:id="320"/>
      <w:bookmarkEnd w:id="321"/>
    </w:p>
    <w:p>
      <w:pPr>
        <w:spacing w:line="460" w:lineRule="exact"/>
        <w:ind w:firstLine="472" w:firstLineChars="200"/>
        <w:outlineLvl w:val="0"/>
        <w:rPr>
          <w:rFonts w:eastAsia="方正仿宋_GBK"/>
          <w:color w:val="000000"/>
          <w:spacing w:val="-2"/>
          <w:kern w:val="0"/>
          <w:sz w:val="24"/>
        </w:rPr>
      </w:pPr>
      <w:bookmarkStart w:id="322" w:name="_Toc20726552"/>
      <w:bookmarkStart w:id="323" w:name="_Toc18315528"/>
      <w:bookmarkStart w:id="324" w:name="_Toc20668023"/>
      <w:r>
        <w:rPr>
          <w:rFonts w:hint="eastAsia" w:ascii="Times New Roman" w:eastAsia="方正黑体_GBK"/>
          <w:color w:val="000000"/>
          <w:spacing w:val="-2"/>
          <w:sz w:val="24"/>
        </w:rPr>
        <w:t>第二十一条</w:t>
      </w:r>
      <w:r>
        <w:rPr>
          <w:rFonts w:eastAsia="方正仿宋_GBK"/>
          <w:color w:val="000000"/>
          <w:spacing w:val="-2"/>
          <w:kern w:val="0"/>
          <w:sz w:val="24"/>
        </w:rPr>
        <w:t xml:space="preserve">  </w:t>
      </w:r>
      <w:r>
        <w:rPr>
          <w:rFonts w:hint="eastAsia" w:eastAsia="方正仿宋_GBK"/>
          <w:color w:val="000000"/>
          <w:spacing w:val="-2"/>
          <w:kern w:val="0"/>
          <w:sz w:val="24"/>
        </w:rPr>
        <w:t>工程建设地方标准实施中，各相关单位如有修改意见的应当及时向省工程建设标准站或标准主编单位反馈。</w:t>
      </w:r>
      <w:bookmarkEnd w:id="322"/>
      <w:bookmarkEnd w:id="323"/>
      <w:bookmarkEnd w:id="324"/>
    </w:p>
    <w:p>
      <w:pPr>
        <w:spacing w:line="460" w:lineRule="exact"/>
        <w:ind w:firstLine="472" w:firstLineChars="200"/>
        <w:outlineLvl w:val="0"/>
        <w:rPr>
          <w:rFonts w:eastAsia="方正仿宋_GBK"/>
          <w:color w:val="000000"/>
          <w:spacing w:val="-2"/>
          <w:kern w:val="0"/>
          <w:sz w:val="24"/>
        </w:rPr>
      </w:pPr>
      <w:bookmarkStart w:id="325" w:name="_Toc20726553"/>
      <w:bookmarkStart w:id="326" w:name="_Toc20668024"/>
      <w:bookmarkStart w:id="327" w:name="_Toc18315529"/>
      <w:r>
        <w:rPr>
          <w:rFonts w:hint="eastAsia" w:ascii="Times New Roman" w:eastAsia="方正黑体_GBK"/>
          <w:color w:val="000000"/>
          <w:spacing w:val="-2"/>
          <w:sz w:val="24"/>
        </w:rPr>
        <w:t>第二十二条</w:t>
      </w:r>
      <w:r>
        <w:rPr>
          <w:rFonts w:eastAsia="方正仿宋_GBK"/>
          <w:color w:val="000000"/>
          <w:spacing w:val="-2"/>
          <w:kern w:val="0"/>
          <w:sz w:val="24"/>
        </w:rPr>
        <w:t xml:space="preserve">  </w:t>
      </w:r>
      <w:r>
        <w:rPr>
          <w:rFonts w:hint="eastAsia" w:eastAsia="方正仿宋_GBK"/>
          <w:color w:val="000000"/>
          <w:spacing w:val="-2"/>
          <w:kern w:val="0"/>
          <w:sz w:val="24"/>
        </w:rPr>
        <w:t>工程建设地方标准实施后，应当根据实施情况和科学技术发展情况，适时组织复审。复审周期一般为五年。</w:t>
      </w:r>
      <w:bookmarkEnd w:id="325"/>
      <w:bookmarkEnd w:id="326"/>
      <w:bookmarkEnd w:id="327"/>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复审后，省建设行政主管部门应及时发布继续有效、需修订或废止的信息。</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工程建设地方标准实施中如与新发布的国家标准、行业标准相抵触，应当及时修订或废止。</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经复审后的工程建设地方标准在再版时应明确标注标准复审或修订时间。</w:t>
      </w:r>
    </w:p>
    <w:p>
      <w:pPr>
        <w:spacing w:line="460" w:lineRule="exact"/>
        <w:ind w:firstLine="472" w:firstLineChars="200"/>
        <w:outlineLvl w:val="0"/>
        <w:rPr>
          <w:rFonts w:eastAsia="方正仿宋_GBK"/>
          <w:color w:val="000000"/>
          <w:spacing w:val="-2"/>
          <w:kern w:val="0"/>
          <w:sz w:val="24"/>
        </w:rPr>
      </w:pPr>
      <w:bookmarkStart w:id="328" w:name="_Toc18315530"/>
      <w:bookmarkStart w:id="329" w:name="_Toc20726554"/>
      <w:bookmarkStart w:id="330" w:name="_Toc20668025"/>
      <w:r>
        <w:rPr>
          <w:rFonts w:hint="eastAsia" w:ascii="Times New Roman" w:eastAsia="方正黑体_GBK"/>
          <w:color w:val="000000"/>
          <w:spacing w:val="-2"/>
          <w:sz w:val="24"/>
        </w:rPr>
        <w:t>第二十三条</w:t>
      </w:r>
      <w:r>
        <w:rPr>
          <w:rFonts w:eastAsia="方正仿宋_GBK"/>
          <w:color w:val="000000"/>
          <w:spacing w:val="-2"/>
          <w:kern w:val="0"/>
          <w:sz w:val="24"/>
        </w:rPr>
        <w:t xml:space="preserve">  </w:t>
      </w:r>
      <w:r>
        <w:rPr>
          <w:rFonts w:hint="eastAsia" w:eastAsia="方正仿宋_GBK"/>
          <w:color w:val="000000"/>
          <w:spacing w:val="-2"/>
          <w:kern w:val="0"/>
          <w:sz w:val="24"/>
        </w:rPr>
        <w:t>本办法自发布之日起施行，以前有与本办法不相符的文件自行作废。</w:t>
      </w:r>
      <w:bookmarkEnd w:id="328"/>
      <w:bookmarkEnd w:id="329"/>
      <w:bookmarkEnd w:id="330"/>
      <w:bookmarkStart w:id="331" w:name="_Toc18315531"/>
    </w:p>
    <w:p>
      <w:pPr>
        <w:spacing w:line="460" w:lineRule="exact"/>
        <w:ind w:firstLine="472" w:firstLineChars="200"/>
        <w:outlineLvl w:val="0"/>
        <w:rPr>
          <w:rFonts w:eastAsia="方正仿宋_GBK"/>
          <w:color w:val="000000"/>
          <w:spacing w:val="-2"/>
          <w:kern w:val="0"/>
          <w:sz w:val="24"/>
        </w:rPr>
      </w:pPr>
      <w:bookmarkStart w:id="332" w:name="_Toc20668026"/>
      <w:bookmarkStart w:id="333" w:name="_Toc20726555"/>
      <w:r>
        <w:rPr>
          <w:rFonts w:hint="eastAsia" w:ascii="Times New Roman" w:eastAsia="方正黑体_GBK"/>
          <w:color w:val="000000"/>
          <w:spacing w:val="-2"/>
          <w:sz w:val="24"/>
        </w:rPr>
        <w:t>第二十四条</w:t>
      </w:r>
      <w:r>
        <w:rPr>
          <w:rFonts w:eastAsia="方正仿宋_GBK"/>
          <w:color w:val="000000"/>
          <w:spacing w:val="-2"/>
          <w:kern w:val="0"/>
          <w:sz w:val="24"/>
        </w:rPr>
        <w:t xml:space="preserve">  </w:t>
      </w:r>
      <w:r>
        <w:rPr>
          <w:rFonts w:hint="eastAsia" w:eastAsia="方正仿宋_GBK"/>
          <w:color w:val="000000"/>
          <w:spacing w:val="-2"/>
          <w:kern w:val="0"/>
          <w:sz w:val="24"/>
        </w:rPr>
        <w:t>本办法由省建设行政主管部门负责解释。</w:t>
      </w:r>
      <w:bookmarkEnd w:id="331"/>
      <w:bookmarkEnd w:id="332"/>
      <w:bookmarkEnd w:id="333"/>
    </w:p>
    <w:p>
      <w:pPr>
        <w:pStyle w:val="2"/>
        <w:spacing w:before="240" w:beforeLines="100" w:after="240" w:afterLines="100" w:line="240" w:lineRule="auto"/>
        <w:jc w:val="center"/>
        <w:rPr>
          <w:rFonts w:ascii="Times New Roman" w:eastAsia="方正小标宋_GBK"/>
          <w:b w:val="0"/>
          <w:sz w:val="36"/>
          <w:szCs w:val="36"/>
        </w:rPr>
      </w:pPr>
      <w:r>
        <w:rPr>
          <w:rFonts w:eastAsia="方正仿宋_GBK"/>
          <w:b w:val="0"/>
          <w:color w:val="000000"/>
          <w:spacing w:val="-2"/>
          <w:kern w:val="0"/>
          <w:sz w:val="24"/>
        </w:rPr>
        <w:br w:type="column"/>
      </w:r>
      <w:bookmarkStart w:id="334" w:name="_Toc18315542"/>
      <w:bookmarkStart w:id="335" w:name="_Toc20726438"/>
      <w:r>
        <w:rPr>
          <w:rFonts w:hint="eastAsia" w:ascii="Times New Roman" w:eastAsia="方正小标宋_GBK"/>
          <w:b w:val="0"/>
          <w:sz w:val="36"/>
          <w:szCs w:val="36"/>
        </w:rPr>
        <w:t>关于印发《〈江苏省机关办公建筑和大型公共建筑能耗统计管理办法〉和〈江苏省机关办公建筑和大型       公共建筑能源审计管理办法〉》的通知</w:t>
      </w:r>
      <w:bookmarkEnd w:id="334"/>
      <w:bookmarkEnd w:id="335"/>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336" w:name="_Toc20726439"/>
      <w:bookmarkStart w:id="337" w:name="_Toc18315543"/>
      <w:r>
        <w:rPr>
          <w:rFonts w:hint="eastAsia" w:ascii="Times New Roman" w:hAnsi="Times New Roman" w:eastAsia="方正楷体_GBK"/>
          <w:b w:val="0"/>
          <w:sz w:val="24"/>
          <w:szCs w:val="24"/>
        </w:rPr>
        <w:t>苏建科〔</w:t>
      </w:r>
      <w:r>
        <w:rPr>
          <w:rFonts w:ascii="Times New Roman" w:hAnsi="Times New Roman" w:eastAsia="方正楷体_GBK"/>
          <w:b w:val="0"/>
          <w:sz w:val="24"/>
          <w:szCs w:val="24"/>
        </w:rPr>
        <w:t>2009</w:t>
      </w:r>
      <w:r>
        <w:rPr>
          <w:rFonts w:hint="eastAsia" w:ascii="Times New Roman" w:hAnsi="Times New Roman" w:eastAsia="方正楷体_GBK"/>
          <w:b w:val="0"/>
          <w:sz w:val="24"/>
          <w:szCs w:val="24"/>
        </w:rPr>
        <w:t>〕</w:t>
      </w:r>
      <w:r>
        <w:rPr>
          <w:rFonts w:ascii="Times New Roman" w:hAnsi="Times New Roman" w:eastAsia="方正楷体_GBK"/>
          <w:b w:val="0"/>
          <w:sz w:val="24"/>
          <w:szCs w:val="24"/>
        </w:rPr>
        <w:t>97</w:t>
      </w:r>
      <w:r>
        <w:rPr>
          <w:rFonts w:hint="eastAsia" w:ascii="Times New Roman" w:hAnsi="Times New Roman" w:eastAsia="方正楷体_GBK"/>
          <w:b w:val="0"/>
          <w:sz w:val="24"/>
          <w:szCs w:val="24"/>
        </w:rPr>
        <w:t>号</w:t>
      </w:r>
      <w:bookmarkEnd w:id="336"/>
      <w:bookmarkEnd w:id="337"/>
    </w:p>
    <w:p>
      <w:pPr>
        <w:spacing w:line="460" w:lineRule="exact"/>
        <w:rPr>
          <w:rFonts w:eastAsia="方正仿宋_GBK"/>
          <w:color w:val="000000"/>
          <w:spacing w:val="-2"/>
          <w:sz w:val="24"/>
        </w:rPr>
      </w:pPr>
      <w:r>
        <w:rPr>
          <w:rFonts w:hint="eastAsia" w:eastAsia="方正仿宋_GBK"/>
          <w:color w:val="000000"/>
          <w:spacing w:val="-2"/>
          <w:sz w:val="24"/>
        </w:rPr>
        <w:t>各省辖市建设局（委）：</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为建立我省机关办公建筑和大型公共建筑节能监管体系，根据《民用建筑节能条例》、《关于加强国家机关办公建筑和大型公共建筑节能管理工作的实施意见》（住房和城乡建设部、财政部建科〔</w:t>
      </w:r>
      <w:r>
        <w:rPr>
          <w:rFonts w:eastAsia="方正仿宋_GBK"/>
          <w:color w:val="000000"/>
          <w:spacing w:val="-2"/>
          <w:sz w:val="24"/>
        </w:rPr>
        <w:t>2007</w:t>
      </w:r>
      <w:r>
        <w:rPr>
          <w:rFonts w:hint="eastAsia" w:eastAsia="方正仿宋_GBK"/>
          <w:color w:val="000000"/>
          <w:spacing w:val="-2"/>
          <w:sz w:val="24"/>
        </w:rPr>
        <w:t>〕</w:t>
      </w:r>
      <w:r>
        <w:rPr>
          <w:rFonts w:eastAsia="方正仿宋_GBK"/>
          <w:color w:val="000000"/>
          <w:spacing w:val="-2"/>
          <w:sz w:val="24"/>
        </w:rPr>
        <w:t>245</w:t>
      </w:r>
      <w:r>
        <w:rPr>
          <w:rFonts w:hint="eastAsia" w:eastAsia="方正仿宋_GBK"/>
          <w:color w:val="000000"/>
          <w:spacing w:val="-2"/>
          <w:sz w:val="24"/>
        </w:rPr>
        <w:t>号）和《江苏省省级节能减排（建筑节能和建筑产业现代化）专项引导资金管理办法》，我厅研究制定了《江苏省机关办公建筑和大型公共建筑能耗统计管理办法》和《江苏省机关办公建筑和大型公共建筑能源审计管理办法》，现予印发，请遵照执行。</w:t>
      </w:r>
    </w:p>
    <w:p>
      <w:pPr>
        <w:spacing w:line="460" w:lineRule="exact"/>
        <w:ind w:firstLine="472" w:firstLineChars="200"/>
        <w:rPr>
          <w:rFonts w:eastAsia="方正仿宋_GBK"/>
          <w:color w:val="000000"/>
          <w:spacing w:val="-2"/>
          <w:sz w:val="24"/>
        </w:rPr>
      </w:pP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附件：</w:t>
      </w:r>
      <w:r>
        <w:rPr>
          <w:rFonts w:eastAsia="方正仿宋_GBK"/>
          <w:color w:val="000000"/>
          <w:spacing w:val="-2"/>
          <w:sz w:val="24"/>
        </w:rPr>
        <w:t>1. </w:t>
      </w:r>
      <w:r>
        <w:rPr>
          <w:rFonts w:hint="eastAsia" w:eastAsia="方正仿宋_GBK"/>
          <w:color w:val="000000"/>
          <w:spacing w:val="-2"/>
          <w:sz w:val="24"/>
        </w:rPr>
        <w:t>《江苏省机关办公建筑和大型公共建筑能耗统计管理办法》</w:t>
      </w:r>
    </w:p>
    <w:p>
      <w:pPr>
        <w:spacing w:line="460" w:lineRule="exact"/>
        <w:ind w:firstLine="1210" w:firstLineChars="513"/>
        <w:rPr>
          <w:rFonts w:eastAsia="方正仿宋_GBK"/>
          <w:color w:val="000000"/>
          <w:spacing w:val="-2"/>
          <w:sz w:val="24"/>
        </w:rPr>
      </w:pPr>
      <w:r>
        <w:rPr>
          <w:rFonts w:eastAsia="方正仿宋_GBK"/>
          <w:color w:val="000000"/>
          <w:spacing w:val="-2"/>
          <w:sz w:val="24"/>
        </w:rPr>
        <w:t>2. </w:t>
      </w:r>
      <w:r>
        <w:rPr>
          <w:rFonts w:hint="eastAsia" w:eastAsia="方正仿宋_GBK"/>
          <w:color w:val="000000"/>
          <w:spacing w:val="-2"/>
          <w:sz w:val="24"/>
        </w:rPr>
        <w:t>《江苏省机关办公建筑和大型公共建筑能源审计管理办法》</w:t>
      </w:r>
    </w:p>
    <w:p>
      <w:pPr>
        <w:spacing w:line="460" w:lineRule="exact"/>
        <w:rPr>
          <w:rFonts w:eastAsia="方正仿宋_GBK"/>
          <w:color w:val="000000"/>
          <w:spacing w:val="-2"/>
          <w:sz w:val="24"/>
        </w:rPr>
      </w:pPr>
    </w:p>
    <w:p>
      <w:pPr>
        <w:spacing w:line="460" w:lineRule="exact"/>
        <w:ind w:right="17" w:rightChars="8" w:firstLine="6490" w:firstLineChars="2750"/>
        <w:rPr>
          <w:rFonts w:eastAsia="方正仿宋_GBK"/>
          <w:color w:val="000000"/>
          <w:spacing w:val="-2"/>
          <w:sz w:val="24"/>
        </w:rPr>
      </w:pPr>
      <w:r>
        <w:rPr>
          <w:rFonts w:hint="eastAsia" w:eastAsia="方正仿宋_GBK"/>
          <w:color w:val="000000"/>
          <w:spacing w:val="-2"/>
          <w:sz w:val="24"/>
        </w:rPr>
        <w:t>江苏省建设厅</w:t>
      </w:r>
      <w:r>
        <w:rPr>
          <w:rFonts w:eastAsia="方正仿宋_GBK"/>
          <w:color w:val="000000"/>
          <w:spacing w:val="-2"/>
          <w:sz w:val="24"/>
        </w:rPr>
        <w:t xml:space="preserve">  </w:t>
      </w:r>
    </w:p>
    <w:p>
      <w:pPr>
        <w:spacing w:line="460" w:lineRule="exact"/>
        <w:ind w:right="437" w:rightChars="208" w:firstLine="3540" w:firstLineChars="1500"/>
        <w:jc w:val="right"/>
        <w:rPr>
          <w:rFonts w:eastAsia="方正仿宋_GBK"/>
          <w:color w:val="000000"/>
          <w:spacing w:val="-2"/>
          <w:sz w:val="24"/>
        </w:rPr>
      </w:pPr>
      <w:r>
        <w:rPr>
          <w:rFonts w:hint="eastAsia" w:eastAsia="方正仿宋_GBK"/>
          <w:color w:val="000000"/>
          <w:spacing w:val="-2"/>
          <w:sz w:val="24"/>
        </w:rPr>
        <w:t>二</w:t>
      </w:r>
      <w:r>
        <w:rPr>
          <w:rFonts w:hint="eastAsia" w:ascii="Times New Roman" w:hAnsi="Times New Roman"/>
          <w:bCs/>
          <w:snapToGrid w:val="0"/>
          <w:color w:val="000000"/>
          <w:spacing w:val="-2"/>
          <w:kern w:val="0"/>
          <w:sz w:val="24"/>
        </w:rPr>
        <w:t>○○</w:t>
      </w:r>
      <w:r>
        <w:rPr>
          <w:rFonts w:hint="eastAsia" w:eastAsia="方正仿宋_GBK"/>
          <w:color w:val="000000"/>
          <w:spacing w:val="-2"/>
          <w:sz w:val="24"/>
        </w:rPr>
        <w:t>九年三月三十日</w:t>
      </w:r>
      <w:r>
        <w:rPr>
          <w:rFonts w:eastAsia="方正仿宋_GBK"/>
          <w:color w:val="000000"/>
          <w:spacing w:val="-2"/>
          <w:sz w:val="24"/>
        </w:rPr>
        <w:t xml:space="preserve">    </w:t>
      </w:r>
    </w:p>
    <w:p>
      <w:pPr>
        <w:spacing w:line="460" w:lineRule="exact"/>
        <w:rPr>
          <w:rFonts w:eastAsia="方正仿宋_GBK"/>
          <w:color w:val="000000"/>
          <w:spacing w:val="-2"/>
          <w:sz w:val="24"/>
        </w:rPr>
      </w:pPr>
    </w:p>
    <w:p>
      <w:pPr>
        <w:spacing w:line="460" w:lineRule="exact"/>
        <w:outlineLvl w:val="0"/>
        <w:rPr>
          <w:rFonts w:eastAsia="方正黑体_GBK"/>
          <w:color w:val="000000"/>
          <w:spacing w:val="-2"/>
          <w:sz w:val="28"/>
          <w:szCs w:val="28"/>
        </w:rPr>
      </w:pPr>
      <w:r>
        <w:rPr>
          <w:rFonts w:eastAsia="方正仿宋_GBK"/>
          <w:color w:val="000000"/>
          <w:spacing w:val="-2"/>
          <w:sz w:val="24"/>
        </w:rPr>
        <w:br w:type="page"/>
      </w:r>
      <w:bookmarkStart w:id="338" w:name="_Toc20726440"/>
      <w:bookmarkStart w:id="339" w:name="_Toc20667912"/>
      <w:bookmarkStart w:id="340" w:name="_Toc18315544"/>
      <w:r>
        <w:rPr>
          <w:rFonts w:hint="eastAsia" w:eastAsia="方正黑体_GBK"/>
          <w:color w:val="000000"/>
          <w:spacing w:val="-2"/>
          <w:sz w:val="28"/>
          <w:szCs w:val="28"/>
        </w:rPr>
        <w:t>附件</w:t>
      </w:r>
      <w:r>
        <w:rPr>
          <w:rFonts w:eastAsia="方正黑体_GBK"/>
          <w:color w:val="000000"/>
          <w:spacing w:val="-2"/>
          <w:sz w:val="28"/>
          <w:szCs w:val="28"/>
        </w:rPr>
        <w:t>1</w:t>
      </w:r>
      <w:bookmarkEnd w:id="338"/>
      <w:bookmarkEnd w:id="339"/>
      <w:bookmarkEnd w:id="340"/>
    </w:p>
    <w:p>
      <w:pPr>
        <w:spacing w:line="460" w:lineRule="exact"/>
        <w:outlineLvl w:val="0"/>
        <w:rPr>
          <w:rFonts w:eastAsia="方正仿宋_GBK"/>
          <w:color w:val="000000"/>
          <w:spacing w:val="-2"/>
          <w:sz w:val="24"/>
        </w:rPr>
      </w:pPr>
    </w:p>
    <w:p>
      <w:pPr>
        <w:spacing w:line="460" w:lineRule="exact"/>
        <w:jc w:val="center"/>
        <w:outlineLvl w:val="0"/>
        <w:rPr>
          <w:rFonts w:eastAsia="方正小标宋简体"/>
          <w:color w:val="000000"/>
          <w:spacing w:val="-2"/>
          <w:sz w:val="36"/>
          <w:szCs w:val="36"/>
        </w:rPr>
      </w:pPr>
      <w:bookmarkStart w:id="341" w:name="_Toc20667913"/>
      <w:bookmarkStart w:id="342" w:name="_Toc20726441"/>
      <w:bookmarkStart w:id="343" w:name="_Toc18315545"/>
      <w:r>
        <w:rPr>
          <w:rFonts w:hint="eastAsia" w:eastAsia="方正小标宋简体"/>
          <w:color w:val="000000"/>
          <w:spacing w:val="-2"/>
          <w:sz w:val="36"/>
          <w:szCs w:val="36"/>
        </w:rPr>
        <w:t>江苏省机关办公建筑和大型公共建筑</w:t>
      </w:r>
      <w:bookmarkEnd w:id="341"/>
      <w:bookmarkEnd w:id="342"/>
      <w:bookmarkEnd w:id="343"/>
    </w:p>
    <w:p>
      <w:pPr>
        <w:spacing w:line="460" w:lineRule="exact"/>
        <w:jc w:val="center"/>
        <w:outlineLvl w:val="0"/>
        <w:rPr>
          <w:rFonts w:eastAsia="方正小标宋简体"/>
          <w:color w:val="000000"/>
          <w:spacing w:val="-2"/>
          <w:sz w:val="36"/>
          <w:szCs w:val="36"/>
        </w:rPr>
      </w:pPr>
      <w:bookmarkStart w:id="344" w:name="_Toc20726442"/>
      <w:bookmarkStart w:id="345" w:name="_Toc18315546"/>
      <w:bookmarkStart w:id="346" w:name="_Toc20667914"/>
      <w:r>
        <w:rPr>
          <w:rFonts w:hint="eastAsia" w:eastAsia="方正小标宋简体"/>
          <w:color w:val="000000"/>
          <w:spacing w:val="-2"/>
          <w:sz w:val="36"/>
          <w:szCs w:val="36"/>
        </w:rPr>
        <w:t>能耗统计管理办法</w:t>
      </w:r>
      <w:bookmarkEnd w:id="344"/>
      <w:bookmarkEnd w:id="345"/>
      <w:bookmarkEnd w:id="346"/>
    </w:p>
    <w:p>
      <w:pPr>
        <w:spacing w:line="460" w:lineRule="exact"/>
        <w:ind w:firstLine="472" w:firstLineChars="200"/>
        <w:jc w:val="center"/>
        <w:outlineLvl w:val="0"/>
        <w:rPr>
          <w:rFonts w:eastAsia="方正仿宋_GBK"/>
          <w:color w:val="000000"/>
          <w:spacing w:val="-2"/>
          <w:sz w:val="24"/>
        </w:rPr>
      </w:pPr>
    </w:p>
    <w:p>
      <w:pPr>
        <w:spacing w:line="420" w:lineRule="exact"/>
        <w:ind w:firstLine="472" w:firstLineChars="200"/>
        <w:rPr>
          <w:rFonts w:eastAsia="方正仿宋_GBK"/>
          <w:color w:val="000000"/>
          <w:spacing w:val="-2"/>
          <w:sz w:val="24"/>
        </w:rPr>
      </w:pPr>
      <w:r>
        <w:rPr>
          <w:rFonts w:hint="eastAsia" w:eastAsia="方正黑体_GBK"/>
          <w:color w:val="000000"/>
          <w:spacing w:val="-2"/>
          <w:sz w:val="24"/>
        </w:rPr>
        <w:t>第一条</w:t>
      </w:r>
      <w:r>
        <w:rPr>
          <w:rFonts w:eastAsia="方正仿宋_GBK"/>
          <w:color w:val="000000"/>
          <w:spacing w:val="-2"/>
          <w:sz w:val="24"/>
        </w:rPr>
        <w:t xml:space="preserve">  </w:t>
      </w:r>
      <w:r>
        <w:rPr>
          <w:rFonts w:hint="eastAsia" w:eastAsia="方正仿宋_GBK"/>
          <w:bCs/>
          <w:color w:val="000000"/>
          <w:spacing w:val="-2"/>
          <w:kern w:val="0"/>
          <w:sz w:val="24"/>
          <w:lang w:val="zh-CN"/>
        </w:rPr>
        <w:t>为建立我省机关办公建筑和大型公共建筑节能监管体系</w:t>
      </w:r>
      <w:r>
        <w:rPr>
          <w:rFonts w:hint="eastAsia" w:eastAsia="方正仿宋_GBK"/>
          <w:color w:val="000000"/>
          <w:spacing w:val="-2"/>
          <w:sz w:val="24"/>
        </w:rPr>
        <w:t>，开展</w:t>
      </w:r>
      <w:r>
        <w:rPr>
          <w:rFonts w:hint="eastAsia" w:eastAsia="方正仿宋_GBK"/>
          <w:bCs/>
          <w:color w:val="000000"/>
          <w:spacing w:val="-2"/>
          <w:kern w:val="0"/>
          <w:sz w:val="24"/>
          <w:lang w:val="zh-CN"/>
        </w:rPr>
        <w:t>对省本级及示范城市辖区内机关办公建筑和大型公共建筑</w:t>
      </w:r>
      <w:r>
        <w:rPr>
          <w:rFonts w:hint="eastAsia" w:eastAsia="方正仿宋_GBK"/>
          <w:color w:val="000000"/>
          <w:spacing w:val="-2"/>
          <w:sz w:val="24"/>
        </w:rPr>
        <w:t>能耗状况的统计调查</w:t>
      </w:r>
      <w:r>
        <w:rPr>
          <w:rFonts w:hint="eastAsia" w:eastAsia="方正仿宋_GBK"/>
          <w:bCs/>
          <w:color w:val="000000"/>
          <w:spacing w:val="-2"/>
          <w:kern w:val="0"/>
          <w:sz w:val="24"/>
          <w:lang w:val="zh-CN"/>
        </w:rPr>
        <w:t>，根据</w:t>
      </w:r>
      <w:r>
        <w:rPr>
          <w:rFonts w:hint="eastAsia" w:eastAsia="方正仿宋_GBK"/>
          <w:color w:val="000000"/>
          <w:spacing w:val="-2"/>
          <w:sz w:val="24"/>
        </w:rPr>
        <w:t>《中华人民共和国统计法》、《民用建筑节能条例》、</w:t>
      </w:r>
      <w:r>
        <w:rPr>
          <w:rFonts w:hint="eastAsia" w:eastAsia="方正仿宋_GBK"/>
          <w:bCs/>
          <w:color w:val="000000"/>
          <w:spacing w:val="-2"/>
          <w:kern w:val="0"/>
          <w:sz w:val="24"/>
          <w:lang w:val="zh-CN"/>
        </w:rPr>
        <w:t>《江苏省绿色建筑发展条例》、</w:t>
      </w:r>
      <w:r>
        <w:rPr>
          <w:rFonts w:hint="eastAsia" w:eastAsia="方正仿宋_GBK"/>
          <w:color w:val="000000"/>
          <w:spacing w:val="-2"/>
          <w:sz w:val="24"/>
        </w:rPr>
        <w:t>《</w:t>
      </w:r>
      <w:r>
        <w:rPr>
          <w:rFonts w:hint="eastAsia" w:eastAsia="方正仿宋_GBK"/>
          <w:bCs/>
          <w:color w:val="000000"/>
          <w:spacing w:val="-2"/>
          <w:kern w:val="0"/>
          <w:sz w:val="24"/>
          <w:lang w:val="zh-CN"/>
        </w:rPr>
        <w:t>建设部、财政部关于加强国家机关办公建筑和大型公共建筑节能管理工作的实施意见》、</w:t>
      </w:r>
      <w:r>
        <w:rPr>
          <w:rFonts w:hint="eastAsia" w:eastAsia="方正仿宋_GBK"/>
          <w:color w:val="000000"/>
          <w:spacing w:val="-2"/>
          <w:sz w:val="24"/>
        </w:rPr>
        <w:t>《民用建筑能耗数据采集标准》（</w:t>
      </w:r>
      <w:r>
        <w:rPr>
          <w:rFonts w:eastAsia="方正仿宋_GBK"/>
          <w:color w:val="000000"/>
          <w:spacing w:val="-2"/>
          <w:sz w:val="24"/>
        </w:rPr>
        <w:t>JGJ/T154-2007</w:t>
      </w:r>
      <w:r>
        <w:rPr>
          <w:rFonts w:hint="eastAsia" w:eastAsia="方正仿宋_GBK"/>
          <w:color w:val="000000"/>
          <w:spacing w:val="-2"/>
          <w:sz w:val="24"/>
        </w:rPr>
        <w:t>）及相关技术标准规范，制定本办法。</w:t>
      </w:r>
    </w:p>
    <w:p>
      <w:pPr>
        <w:spacing w:line="420" w:lineRule="exact"/>
        <w:ind w:firstLine="472" w:firstLineChars="200"/>
        <w:rPr>
          <w:rFonts w:eastAsia="方正仿宋_GBK"/>
          <w:color w:val="000000"/>
          <w:spacing w:val="-2"/>
          <w:sz w:val="24"/>
        </w:rPr>
      </w:pPr>
      <w:r>
        <w:rPr>
          <w:rFonts w:hint="eastAsia" w:eastAsia="方正黑体_GBK"/>
          <w:color w:val="000000"/>
          <w:spacing w:val="-2"/>
          <w:sz w:val="24"/>
        </w:rPr>
        <w:t>第二条</w:t>
      </w:r>
      <w:r>
        <w:rPr>
          <w:rFonts w:eastAsia="方正仿宋_GBK"/>
          <w:color w:val="000000"/>
          <w:spacing w:val="-2"/>
          <w:sz w:val="24"/>
        </w:rPr>
        <w:t xml:space="preserve"> </w:t>
      </w:r>
      <w:r>
        <w:rPr>
          <w:rFonts w:hint="eastAsia" w:eastAsia="方正仿宋_GBK"/>
          <w:bCs/>
          <w:color w:val="000000"/>
          <w:spacing w:val="-2"/>
          <w:kern w:val="0"/>
          <w:sz w:val="24"/>
          <w:lang w:val="zh-CN"/>
        </w:rPr>
        <w:t>本办法适用于对我省机关办公建筑和大型公共建筑实施能耗统计及其相关管理活动。</w:t>
      </w:r>
    </w:p>
    <w:p>
      <w:pPr>
        <w:spacing w:line="420" w:lineRule="exact"/>
        <w:ind w:firstLine="472" w:firstLineChars="200"/>
        <w:rPr>
          <w:rFonts w:eastAsia="方正仿宋_GBK"/>
          <w:color w:val="000000"/>
          <w:spacing w:val="-2"/>
          <w:sz w:val="24"/>
        </w:rPr>
      </w:pPr>
      <w:r>
        <w:rPr>
          <w:rFonts w:hint="eastAsia" w:eastAsia="方正黑体_GBK"/>
          <w:color w:val="000000"/>
          <w:spacing w:val="-2"/>
          <w:sz w:val="24"/>
        </w:rPr>
        <w:t>第三条</w:t>
      </w:r>
      <w:r>
        <w:rPr>
          <w:rFonts w:eastAsia="方正仿宋_GBK"/>
          <w:color w:val="000000"/>
          <w:spacing w:val="-2"/>
          <w:sz w:val="24"/>
        </w:rPr>
        <w:t xml:space="preserve">  </w:t>
      </w:r>
      <w:r>
        <w:rPr>
          <w:rFonts w:hint="eastAsia" w:eastAsia="方正仿宋_GBK"/>
          <w:color w:val="000000"/>
          <w:spacing w:val="-2"/>
          <w:sz w:val="24"/>
        </w:rPr>
        <w:t>本办法所指的统计对象包括区、县以上机关办公建筑、单体建筑面积</w:t>
      </w:r>
      <w:r>
        <w:rPr>
          <w:rFonts w:eastAsia="方正仿宋_GBK"/>
          <w:color w:val="000000"/>
          <w:spacing w:val="-2"/>
          <w:sz w:val="24"/>
        </w:rPr>
        <w:t>2</w:t>
      </w:r>
      <w:r>
        <w:rPr>
          <w:rFonts w:hint="eastAsia" w:eastAsia="方正仿宋_GBK"/>
          <w:color w:val="000000"/>
          <w:spacing w:val="-2"/>
          <w:sz w:val="24"/>
        </w:rPr>
        <w:t>万平方米以上的大型公共建筑、总建筑面积超过</w:t>
      </w:r>
      <w:r>
        <w:rPr>
          <w:rFonts w:eastAsia="方正仿宋_GBK"/>
          <w:color w:val="000000"/>
          <w:spacing w:val="-2"/>
          <w:sz w:val="24"/>
        </w:rPr>
        <w:t>2</w:t>
      </w:r>
      <w:r>
        <w:rPr>
          <w:rFonts w:hint="eastAsia" w:eastAsia="方正仿宋_GBK"/>
          <w:color w:val="000000"/>
          <w:spacing w:val="-2"/>
          <w:sz w:val="24"/>
        </w:rPr>
        <w:t>万平方米以上的大学校园，以及使用各级政府提供的资金进行节能改造、可再生能源建筑应用、低能耗建筑、绿色建筑示范的公共建筑工程项目。</w:t>
      </w:r>
    </w:p>
    <w:p>
      <w:pPr>
        <w:spacing w:line="420" w:lineRule="exact"/>
        <w:ind w:firstLine="472" w:firstLineChars="200"/>
        <w:rPr>
          <w:rFonts w:eastAsia="方正仿宋_GBK"/>
          <w:color w:val="000000"/>
          <w:spacing w:val="-2"/>
          <w:sz w:val="24"/>
        </w:rPr>
      </w:pPr>
      <w:r>
        <w:rPr>
          <w:rFonts w:hint="eastAsia" w:eastAsia="方正黑体_GBK"/>
          <w:color w:val="000000"/>
          <w:spacing w:val="-2"/>
          <w:sz w:val="24"/>
        </w:rPr>
        <w:t>第四条</w:t>
      </w:r>
      <w:r>
        <w:rPr>
          <w:rFonts w:eastAsia="方正仿宋_GBK"/>
          <w:color w:val="000000"/>
          <w:spacing w:val="-2"/>
          <w:sz w:val="24"/>
        </w:rPr>
        <w:t xml:space="preserve">  </w:t>
      </w:r>
      <w:r>
        <w:rPr>
          <w:rFonts w:hint="eastAsia" w:eastAsia="方正仿宋_GBK"/>
          <w:color w:val="000000"/>
          <w:spacing w:val="-2"/>
          <w:sz w:val="24"/>
        </w:rPr>
        <w:t>建筑能耗统计活动应当坚持客观、完整、准确、及时的原则。</w:t>
      </w:r>
    </w:p>
    <w:p>
      <w:pPr>
        <w:spacing w:line="420" w:lineRule="exact"/>
        <w:ind w:firstLine="472" w:firstLineChars="200"/>
        <w:rPr>
          <w:rFonts w:eastAsia="方正仿宋_GBK"/>
          <w:color w:val="000000"/>
          <w:spacing w:val="-2"/>
          <w:kern w:val="0"/>
          <w:sz w:val="24"/>
          <w:lang w:val="zh-CN"/>
        </w:rPr>
      </w:pPr>
      <w:r>
        <w:rPr>
          <w:rFonts w:hint="eastAsia" w:eastAsia="方正黑体_GBK"/>
          <w:color w:val="000000"/>
          <w:spacing w:val="-2"/>
          <w:sz w:val="24"/>
        </w:rPr>
        <w:t>第五条</w:t>
      </w:r>
      <w:r>
        <w:rPr>
          <w:rFonts w:eastAsia="方正仿宋_GBK"/>
          <w:color w:val="000000"/>
          <w:spacing w:val="-2"/>
          <w:sz w:val="24"/>
        </w:rPr>
        <w:t xml:space="preserve">  </w:t>
      </w:r>
      <w:r>
        <w:rPr>
          <w:rFonts w:hint="eastAsia" w:eastAsia="方正仿宋_GBK"/>
          <w:color w:val="000000"/>
          <w:spacing w:val="-2"/>
          <w:sz w:val="24"/>
        </w:rPr>
        <w:t>县级以上地方人民政府建设行政主管部门负责本行政区域内国家机关办公建筑和大型公共建筑</w:t>
      </w:r>
      <w:r>
        <w:rPr>
          <w:rFonts w:hint="eastAsia" w:eastAsia="方正仿宋_GBK"/>
          <w:color w:val="000000"/>
          <w:spacing w:val="-2"/>
          <w:kern w:val="0"/>
          <w:sz w:val="24"/>
          <w:lang w:val="zh-CN"/>
        </w:rPr>
        <w:t>能耗统计活动的实施与监督管理。</w:t>
      </w:r>
    </w:p>
    <w:p>
      <w:pPr>
        <w:spacing w:line="420" w:lineRule="exact"/>
        <w:ind w:firstLine="472" w:firstLineChars="200"/>
        <w:outlineLvl w:val="1"/>
        <w:rPr>
          <w:rFonts w:eastAsia="方正仿宋_GBK"/>
          <w:color w:val="000000"/>
          <w:spacing w:val="-2"/>
          <w:sz w:val="24"/>
        </w:rPr>
      </w:pPr>
      <w:bookmarkStart w:id="347" w:name="_Toc20726443"/>
      <w:bookmarkStart w:id="348" w:name="_Toc20667915"/>
      <w:bookmarkStart w:id="349" w:name="_Toc18315547"/>
      <w:r>
        <w:rPr>
          <w:rFonts w:hint="eastAsia" w:eastAsia="方正仿宋_GBK"/>
          <w:color w:val="000000"/>
          <w:spacing w:val="-2"/>
          <w:sz w:val="24"/>
        </w:rPr>
        <w:t>县级以上人民政府建设行政主管部门应当</w:t>
      </w:r>
      <w:r>
        <w:rPr>
          <w:rFonts w:hint="eastAsia" w:eastAsia="方正仿宋_GBK"/>
          <w:bCs/>
          <w:color w:val="000000"/>
          <w:spacing w:val="-2"/>
          <w:kern w:val="0"/>
          <w:sz w:val="24"/>
          <w:lang w:val="zh-CN"/>
        </w:rPr>
        <w:t>结合年度机关办公建筑和大型公共建筑节能监管体系建设工作计划，编制本地区的能耗统计计划，</w:t>
      </w:r>
      <w:r>
        <w:rPr>
          <w:rFonts w:hint="eastAsia" w:eastAsia="方正仿宋_GBK"/>
          <w:color w:val="000000"/>
          <w:spacing w:val="-2"/>
          <w:sz w:val="24"/>
        </w:rPr>
        <w:t>并接受同级统计部门的业务指导</w:t>
      </w:r>
      <w:r>
        <w:rPr>
          <w:rFonts w:hint="eastAsia" w:eastAsia="方正仿宋_GBK"/>
          <w:bCs/>
          <w:color w:val="000000"/>
          <w:spacing w:val="-2"/>
          <w:kern w:val="0"/>
          <w:sz w:val="24"/>
          <w:lang w:val="zh-CN"/>
        </w:rPr>
        <w:t>。具体的建筑能耗统计活动</w:t>
      </w:r>
      <w:r>
        <w:rPr>
          <w:rFonts w:hint="eastAsia" w:eastAsia="方正仿宋_GBK"/>
          <w:color w:val="000000"/>
          <w:spacing w:val="-2"/>
          <w:sz w:val="24"/>
        </w:rPr>
        <w:t>可以委托建筑节能专门机构实施。</w:t>
      </w:r>
      <w:bookmarkEnd w:id="347"/>
      <w:bookmarkEnd w:id="348"/>
      <w:bookmarkEnd w:id="349"/>
    </w:p>
    <w:p>
      <w:pPr>
        <w:spacing w:line="420" w:lineRule="exact"/>
        <w:ind w:firstLine="472" w:firstLineChars="200"/>
        <w:rPr>
          <w:rFonts w:eastAsia="方正仿宋_GBK"/>
          <w:color w:val="000000"/>
          <w:spacing w:val="-2"/>
          <w:sz w:val="24"/>
        </w:rPr>
      </w:pPr>
      <w:r>
        <w:rPr>
          <w:rFonts w:hint="eastAsia" w:eastAsia="方正黑体_GBK"/>
          <w:color w:val="000000"/>
          <w:spacing w:val="-2"/>
          <w:sz w:val="24"/>
        </w:rPr>
        <w:t>第六条</w:t>
      </w:r>
      <w:r>
        <w:rPr>
          <w:rFonts w:eastAsia="方正仿宋_GBK"/>
          <w:color w:val="000000"/>
          <w:spacing w:val="-2"/>
          <w:sz w:val="24"/>
        </w:rPr>
        <w:t xml:space="preserve">  </w:t>
      </w:r>
      <w:r>
        <w:rPr>
          <w:rFonts w:hint="eastAsia" w:eastAsia="方正仿宋_GBK"/>
          <w:color w:val="000000"/>
          <w:spacing w:val="-2"/>
          <w:sz w:val="24"/>
        </w:rPr>
        <w:t>建筑能耗统计信息主要包括以下内容：</w:t>
      </w:r>
    </w:p>
    <w:p>
      <w:pPr>
        <w:spacing w:line="420" w:lineRule="exact"/>
        <w:ind w:firstLine="472" w:firstLineChars="200"/>
        <w:rPr>
          <w:rFonts w:eastAsia="方正仿宋_GBK"/>
          <w:color w:val="000000"/>
          <w:spacing w:val="-2"/>
          <w:sz w:val="24"/>
        </w:rPr>
      </w:pPr>
      <w:r>
        <w:rPr>
          <w:rFonts w:hint="eastAsia" w:eastAsia="方正仿宋_GBK"/>
          <w:color w:val="000000"/>
          <w:spacing w:val="-2"/>
          <w:sz w:val="24"/>
        </w:rPr>
        <w:t>（一）建筑名称、建筑面积、建筑高度、建筑层数、建筑功能、建成使用年代等建筑基本信息。</w:t>
      </w:r>
    </w:p>
    <w:p>
      <w:pPr>
        <w:spacing w:line="420" w:lineRule="exact"/>
        <w:ind w:firstLine="472" w:firstLineChars="200"/>
        <w:rPr>
          <w:rFonts w:eastAsia="方正仿宋_GBK"/>
          <w:color w:val="000000"/>
          <w:spacing w:val="-2"/>
          <w:sz w:val="24"/>
        </w:rPr>
      </w:pPr>
      <w:r>
        <w:rPr>
          <w:rFonts w:hint="eastAsia" w:eastAsia="方正仿宋_GBK"/>
          <w:color w:val="000000"/>
          <w:spacing w:val="-2"/>
          <w:sz w:val="24"/>
        </w:rPr>
        <w:t>（二）年（月）度能耗量、年（月）度分类能耗量、集中供热（供冷）量、可再生能源使用量、年（月）度用水量、年度单位能耗等建筑能耗指标；</w:t>
      </w:r>
    </w:p>
    <w:p>
      <w:pPr>
        <w:spacing w:line="420" w:lineRule="exact"/>
        <w:ind w:firstLine="472" w:firstLineChars="200"/>
        <w:rPr>
          <w:rFonts w:eastAsia="方正仿宋_GBK"/>
          <w:color w:val="000000"/>
          <w:spacing w:val="-2"/>
          <w:sz w:val="24"/>
        </w:rPr>
      </w:pPr>
      <w:r>
        <w:rPr>
          <w:rFonts w:hint="eastAsia" w:eastAsia="方正黑体_GBK"/>
          <w:color w:val="000000"/>
          <w:spacing w:val="-2"/>
          <w:sz w:val="24"/>
        </w:rPr>
        <w:t>第七条</w:t>
      </w:r>
      <w:r>
        <w:rPr>
          <w:rFonts w:eastAsia="方正仿宋_GBK"/>
          <w:b/>
          <w:color w:val="000000"/>
          <w:spacing w:val="-2"/>
          <w:sz w:val="24"/>
        </w:rPr>
        <w:t xml:space="preserve">  </w:t>
      </w:r>
      <w:r>
        <w:rPr>
          <w:rFonts w:hint="eastAsia" w:eastAsia="方正仿宋_GBK"/>
          <w:color w:val="000000"/>
          <w:spacing w:val="-2"/>
          <w:sz w:val="24"/>
        </w:rPr>
        <w:t>建筑能耗统计采取全面调查的方式。统计数据通过以下途径获得：</w:t>
      </w:r>
    </w:p>
    <w:p>
      <w:pPr>
        <w:spacing w:line="420" w:lineRule="exact"/>
        <w:ind w:firstLine="472" w:firstLineChars="200"/>
        <w:rPr>
          <w:rFonts w:eastAsia="方正仿宋_GBK"/>
          <w:color w:val="000000"/>
          <w:spacing w:val="-2"/>
          <w:sz w:val="24"/>
        </w:rPr>
      </w:pPr>
      <w:r>
        <w:rPr>
          <w:rFonts w:hint="eastAsia" w:eastAsia="方正仿宋_GBK"/>
          <w:color w:val="000000"/>
          <w:spacing w:val="-2"/>
          <w:sz w:val="24"/>
        </w:rPr>
        <w:t>（一）建设行政主管部门已有的统计数据；</w:t>
      </w:r>
    </w:p>
    <w:p>
      <w:pPr>
        <w:spacing w:line="420" w:lineRule="exact"/>
        <w:ind w:firstLine="472" w:firstLineChars="200"/>
        <w:rPr>
          <w:rFonts w:eastAsia="方正仿宋_GBK"/>
          <w:color w:val="000000"/>
          <w:spacing w:val="-2"/>
          <w:sz w:val="24"/>
        </w:rPr>
      </w:pPr>
      <w:r>
        <w:rPr>
          <w:rFonts w:hint="eastAsia" w:eastAsia="方正仿宋_GBK"/>
          <w:color w:val="000000"/>
          <w:spacing w:val="-2"/>
          <w:sz w:val="24"/>
        </w:rPr>
        <w:t>（二）城市建设档案中已经存档的数据；</w:t>
      </w:r>
    </w:p>
    <w:p>
      <w:pPr>
        <w:spacing w:line="420" w:lineRule="exact"/>
        <w:ind w:firstLine="472" w:firstLineChars="200"/>
        <w:rPr>
          <w:rFonts w:eastAsia="方正仿宋_GBK"/>
          <w:color w:val="000000"/>
          <w:spacing w:val="-2"/>
          <w:sz w:val="24"/>
        </w:rPr>
      </w:pPr>
      <w:r>
        <w:rPr>
          <w:rFonts w:hint="eastAsia" w:eastAsia="方正仿宋_GBK"/>
          <w:color w:val="000000"/>
          <w:spacing w:val="-2"/>
          <w:sz w:val="24"/>
        </w:rPr>
        <w:t>（三）被统计对象填写的数据；</w:t>
      </w:r>
    </w:p>
    <w:p>
      <w:pPr>
        <w:spacing w:line="420" w:lineRule="exact"/>
        <w:ind w:firstLine="472" w:firstLineChars="200"/>
        <w:rPr>
          <w:rFonts w:eastAsia="方正仿宋_GBK"/>
          <w:color w:val="000000"/>
          <w:spacing w:val="-2"/>
          <w:sz w:val="24"/>
        </w:rPr>
      </w:pPr>
      <w:r>
        <w:rPr>
          <w:rFonts w:hint="eastAsia" w:eastAsia="方正仿宋_GBK"/>
          <w:color w:val="000000"/>
          <w:spacing w:val="-2"/>
          <w:sz w:val="24"/>
        </w:rPr>
        <w:t>（四）专人进行现场调查和统计获得的数据；</w:t>
      </w:r>
    </w:p>
    <w:p>
      <w:pPr>
        <w:spacing w:line="420" w:lineRule="exact"/>
        <w:ind w:firstLine="472" w:firstLineChars="200"/>
        <w:rPr>
          <w:rFonts w:eastAsia="方正仿宋_GBK"/>
          <w:color w:val="000000"/>
          <w:spacing w:val="-2"/>
          <w:sz w:val="24"/>
        </w:rPr>
      </w:pPr>
      <w:r>
        <w:rPr>
          <w:rFonts w:hint="eastAsia" w:eastAsia="方正仿宋_GBK"/>
          <w:color w:val="000000"/>
          <w:spacing w:val="-2"/>
          <w:sz w:val="24"/>
        </w:rPr>
        <w:t>（五）建筑能耗数据自动采集系统获得的数据；</w:t>
      </w:r>
    </w:p>
    <w:p>
      <w:pPr>
        <w:spacing w:line="420" w:lineRule="exact"/>
        <w:ind w:firstLine="472" w:firstLineChars="200"/>
        <w:rPr>
          <w:rFonts w:eastAsia="方正仿宋_GBK"/>
          <w:color w:val="000000"/>
          <w:spacing w:val="-2"/>
          <w:sz w:val="24"/>
        </w:rPr>
      </w:pPr>
      <w:r>
        <w:rPr>
          <w:rFonts w:hint="eastAsia" w:eastAsia="方正仿宋_GBK"/>
          <w:color w:val="000000"/>
          <w:spacing w:val="-2"/>
          <w:sz w:val="24"/>
        </w:rPr>
        <w:t>（六）能源供应部门提供的数据。</w:t>
      </w:r>
    </w:p>
    <w:p>
      <w:pPr>
        <w:spacing w:line="420" w:lineRule="exact"/>
        <w:ind w:firstLine="472" w:firstLineChars="200"/>
        <w:rPr>
          <w:rFonts w:eastAsia="方正仿宋_GBK"/>
          <w:color w:val="000000"/>
          <w:spacing w:val="-2"/>
          <w:sz w:val="24"/>
        </w:rPr>
      </w:pPr>
      <w:r>
        <w:rPr>
          <w:rFonts w:hint="eastAsia" w:eastAsia="方正黑体_GBK"/>
          <w:color w:val="000000"/>
          <w:spacing w:val="-2"/>
          <w:sz w:val="24"/>
        </w:rPr>
        <w:t>第八条</w:t>
      </w:r>
      <w:r>
        <w:rPr>
          <w:rFonts w:eastAsia="方正仿宋_GBK"/>
          <w:b/>
          <w:color w:val="000000"/>
          <w:spacing w:val="-2"/>
          <w:sz w:val="24"/>
        </w:rPr>
        <w:t xml:space="preserve">  </w:t>
      </w:r>
      <w:r>
        <w:rPr>
          <w:rFonts w:hint="eastAsia" w:eastAsia="方正仿宋_GBK"/>
          <w:color w:val="000000"/>
          <w:spacing w:val="-2"/>
          <w:sz w:val="24"/>
        </w:rPr>
        <w:t>建筑能耗统计数据采取基层单位采集、逐级汇总报送的方式处理：</w:t>
      </w:r>
    </w:p>
    <w:p>
      <w:pPr>
        <w:spacing w:line="420" w:lineRule="exact"/>
        <w:ind w:firstLine="472" w:firstLineChars="200"/>
        <w:rPr>
          <w:rFonts w:eastAsia="方正仿宋_GBK"/>
          <w:color w:val="000000"/>
          <w:spacing w:val="-2"/>
          <w:sz w:val="24"/>
        </w:rPr>
      </w:pPr>
      <w:r>
        <w:rPr>
          <w:rFonts w:hint="eastAsia" w:eastAsia="方正仿宋_GBK"/>
          <w:color w:val="000000"/>
          <w:spacing w:val="-2"/>
          <w:sz w:val="24"/>
        </w:rPr>
        <w:t>（一）县级以上城市作为统计基层单位，负责对本辖区内符合本办法规定的统计对象的建筑基本信息和建筑能耗数据进行统计，并逐级上报到省建设厅。</w:t>
      </w:r>
    </w:p>
    <w:p>
      <w:pPr>
        <w:spacing w:line="420" w:lineRule="exact"/>
        <w:ind w:firstLine="472" w:firstLineChars="200"/>
        <w:rPr>
          <w:rFonts w:eastAsia="方正仿宋_GBK"/>
          <w:color w:val="000000"/>
          <w:spacing w:val="-2"/>
          <w:sz w:val="24"/>
        </w:rPr>
      </w:pPr>
      <w:r>
        <w:rPr>
          <w:rFonts w:hint="eastAsia" w:eastAsia="方正仿宋_GBK"/>
          <w:color w:val="000000"/>
          <w:spacing w:val="-2"/>
          <w:sz w:val="24"/>
        </w:rPr>
        <w:t>（二）省建设厅对各市的统计数据进行汇总后，上报建设部。</w:t>
      </w:r>
    </w:p>
    <w:p>
      <w:pPr>
        <w:spacing w:line="420" w:lineRule="exact"/>
        <w:ind w:firstLine="472" w:firstLineChars="200"/>
        <w:rPr>
          <w:rFonts w:eastAsia="方正仿宋_GBK"/>
          <w:color w:val="000000"/>
          <w:spacing w:val="-2"/>
          <w:sz w:val="24"/>
        </w:rPr>
      </w:pPr>
      <w:r>
        <w:rPr>
          <w:rFonts w:hint="eastAsia" w:eastAsia="方正仿宋_GBK"/>
          <w:color w:val="000000"/>
          <w:spacing w:val="-2"/>
          <w:sz w:val="24"/>
        </w:rPr>
        <w:t>（三）统计数据采用电子报表的形式，通过建设部建立的民用建筑能耗数据采集报送系统报送。</w:t>
      </w:r>
    </w:p>
    <w:p>
      <w:pPr>
        <w:spacing w:line="420" w:lineRule="exact"/>
        <w:ind w:firstLine="472" w:firstLineChars="200"/>
        <w:rPr>
          <w:rFonts w:eastAsia="方正仿宋_GBK"/>
          <w:bCs/>
          <w:color w:val="000000"/>
          <w:spacing w:val="-2"/>
          <w:kern w:val="0"/>
          <w:sz w:val="24"/>
          <w:lang w:val="zh-CN"/>
        </w:rPr>
      </w:pPr>
      <w:r>
        <w:rPr>
          <w:rFonts w:hint="eastAsia" w:eastAsia="方正黑体_GBK"/>
          <w:color w:val="000000"/>
          <w:spacing w:val="-2"/>
          <w:sz w:val="24"/>
        </w:rPr>
        <w:t>第九条</w:t>
      </w:r>
      <w:r>
        <w:rPr>
          <w:rFonts w:eastAsia="方正仿宋_GBK"/>
          <w:b/>
          <w:color w:val="000000"/>
          <w:spacing w:val="-2"/>
          <w:sz w:val="24"/>
        </w:rPr>
        <w:t xml:space="preserve">  </w:t>
      </w:r>
      <w:r>
        <w:rPr>
          <w:rFonts w:hint="eastAsia" w:eastAsia="方正仿宋_GBK"/>
          <w:bCs/>
          <w:color w:val="000000"/>
          <w:spacing w:val="-2"/>
          <w:kern w:val="0"/>
          <w:sz w:val="24"/>
          <w:lang w:val="zh-CN"/>
        </w:rPr>
        <w:t>各级建设行政主管部门或者其委托的建筑能耗统计机构依法享有统计调查权、报告权、监督权，对建筑能耗统计数据负有保密义务。</w:t>
      </w:r>
    </w:p>
    <w:p>
      <w:pPr>
        <w:spacing w:line="420" w:lineRule="exact"/>
        <w:ind w:firstLine="472" w:firstLineChars="200"/>
        <w:rPr>
          <w:rFonts w:eastAsia="方正仿宋_GBK"/>
          <w:bCs/>
          <w:color w:val="000000"/>
          <w:spacing w:val="-2"/>
          <w:kern w:val="0"/>
          <w:sz w:val="24"/>
          <w:lang w:val="zh-CN"/>
        </w:rPr>
      </w:pPr>
      <w:r>
        <w:rPr>
          <w:rFonts w:hint="eastAsia" w:eastAsia="方正黑体_GBK"/>
          <w:color w:val="000000"/>
          <w:spacing w:val="-2"/>
          <w:sz w:val="24"/>
        </w:rPr>
        <w:t>第十条</w:t>
      </w:r>
      <w:r>
        <w:rPr>
          <w:rFonts w:eastAsia="方正仿宋_GBK"/>
          <w:b/>
          <w:bCs/>
          <w:color w:val="000000"/>
          <w:spacing w:val="-2"/>
          <w:kern w:val="0"/>
          <w:sz w:val="24"/>
          <w:lang w:val="zh-CN"/>
        </w:rPr>
        <w:t xml:space="preserve">  </w:t>
      </w:r>
      <w:r>
        <w:rPr>
          <w:rFonts w:hint="eastAsia" w:eastAsia="方正仿宋_GBK"/>
          <w:bCs/>
          <w:color w:val="000000"/>
          <w:spacing w:val="-2"/>
          <w:kern w:val="0"/>
          <w:sz w:val="24"/>
          <w:lang w:val="zh-CN"/>
        </w:rPr>
        <w:t>统计对象有责任配合建筑能耗统计工作，有义务如实提供或填报建筑能耗统计报表或其他统计资料。</w:t>
      </w:r>
    </w:p>
    <w:p>
      <w:pPr>
        <w:spacing w:line="420" w:lineRule="exact"/>
        <w:ind w:firstLine="472" w:firstLineChars="200"/>
        <w:rPr>
          <w:rFonts w:eastAsia="方正仿宋_GBK"/>
          <w:color w:val="000000"/>
          <w:spacing w:val="-2"/>
          <w:sz w:val="24"/>
        </w:rPr>
      </w:pPr>
      <w:r>
        <w:rPr>
          <w:rFonts w:hint="eastAsia" w:eastAsia="方正黑体_GBK"/>
          <w:color w:val="000000"/>
          <w:spacing w:val="-2"/>
          <w:sz w:val="24"/>
        </w:rPr>
        <w:t>第十一条</w:t>
      </w:r>
      <w:r>
        <w:rPr>
          <w:rFonts w:eastAsia="方正仿宋_GBK"/>
          <w:b/>
          <w:color w:val="000000"/>
          <w:spacing w:val="-2"/>
          <w:sz w:val="24"/>
        </w:rPr>
        <w:t xml:space="preserve">  </w:t>
      </w:r>
      <w:r>
        <w:rPr>
          <w:rFonts w:hint="eastAsia" w:eastAsia="方正仿宋_GBK"/>
          <w:color w:val="000000"/>
          <w:spacing w:val="-2"/>
          <w:sz w:val="24"/>
        </w:rPr>
        <w:t>统计对象有下列行为之一的，建设行政主管部门可以建议相关统计主管部门依法予以处理：</w:t>
      </w:r>
    </w:p>
    <w:p>
      <w:pPr>
        <w:spacing w:line="420" w:lineRule="exact"/>
        <w:ind w:firstLine="472" w:firstLineChars="200"/>
        <w:rPr>
          <w:rFonts w:eastAsia="方正仿宋_GBK"/>
          <w:color w:val="000000"/>
          <w:spacing w:val="-2"/>
          <w:sz w:val="24"/>
        </w:rPr>
      </w:pPr>
      <w:r>
        <w:rPr>
          <w:rFonts w:hint="eastAsia" w:eastAsia="方正仿宋_GBK"/>
          <w:color w:val="000000"/>
          <w:spacing w:val="-2"/>
          <w:sz w:val="24"/>
        </w:rPr>
        <w:t>（一）虚报、瞒报、伪造、篡改、拒报或者屡次迟报建筑能耗统计报表或者其他统计资料的；</w:t>
      </w:r>
    </w:p>
    <w:p>
      <w:pPr>
        <w:spacing w:line="420" w:lineRule="exact"/>
        <w:ind w:left="181" w:leftChars="86" w:firstLine="236" w:firstLineChars="100"/>
        <w:rPr>
          <w:rFonts w:eastAsia="方正仿宋_GBK"/>
          <w:color w:val="000000"/>
          <w:spacing w:val="-2"/>
          <w:sz w:val="24"/>
        </w:rPr>
      </w:pPr>
      <w:r>
        <w:rPr>
          <w:rFonts w:hint="eastAsia" w:eastAsia="方正仿宋_GBK"/>
          <w:color w:val="000000"/>
          <w:spacing w:val="-2"/>
          <w:sz w:val="24"/>
        </w:rPr>
        <w:t>（二）转移、隐匿、毁弃原始记录、原始台帐、建筑能耗统计报表以及与统计有关的其他数据或信息的；</w:t>
      </w:r>
    </w:p>
    <w:p>
      <w:pPr>
        <w:spacing w:line="420" w:lineRule="exact"/>
        <w:ind w:left="181" w:leftChars="86" w:firstLine="236" w:firstLineChars="100"/>
        <w:rPr>
          <w:rFonts w:eastAsia="方正仿宋_GBK"/>
          <w:color w:val="000000"/>
          <w:spacing w:val="-2"/>
          <w:sz w:val="24"/>
        </w:rPr>
      </w:pPr>
      <w:r>
        <w:rPr>
          <w:rFonts w:hint="eastAsia" w:eastAsia="方正仿宋_GBK"/>
          <w:color w:val="000000"/>
          <w:spacing w:val="-2"/>
          <w:sz w:val="24"/>
        </w:rPr>
        <w:t>（三）干扰或阻挠统计工作人员行使统计监督职权的；</w:t>
      </w:r>
    </w:p>
    <w:p>
      <w:pPr>
        <w:spacing w:line="420" w:lineRule="exact"/>
        <w:ind w:left="181" w:leftChars="86" w:firstLine="236" w:firstLineChars="100"/>
        <w:rPr>
          <w:rFonts w:eastAsia="方正仿宋_GBK"/>
          <w:color w:val="000000"/>
          <w:spacing w:val="-2"/>
          <w:sz w:val="24"/>
        </w:rPr>
      </w:pPr>
      <w:r>
        <w:rPr>
          <w:rFonts w:hint="eastAsia" w:eastAsia="方正仿宋_GBK"/>
          <w:color w:val="000000"/>
          <w:spacing w:val="-2"/>
          <w:sz w:val="24"/>
        </w:rPr>
        <w:t>（四）擅自编制统计调查报表的。</w:t>
      </w:r>
    </w:p>
    <w:p>
      <w:pPr>
        <w:spacing w:line="420" w:lineRule="exact"/>
        <w:ind w:firstLine="472" w:firstLineChars="200"/>
        <w:rPr>
          <w:rFonts w:eastAsia="方正仿宋_GBK"/>
          <w:color w:val="000000"/>
          <w:spacing w:val="-2"/>
          <w:sz w:val="24"/>
        </w:rPr>
      </w:pPr>
      <w:r>
        <w:rPr>
          <w:rFonts w:hint="eastAsia" w:eastAsia="方正黑体_GBK"/>
          <w:color w:val="000000"/>
          <w:spacing w:val="-2"/>
          <w:sz w:val="24"/>
        </w:rPr>
        <w:t>第十二条</w:t>
      </w:r>
      <w:r>
        <w:rPr>
          <w:rFonts w:eastAsia="方正仿宋_GBK"/>
          <w:bCs/>
          <w:color w:val="000000"/>
          <w:spacing w:val="-2"/>
          <w:kern w:val="0"/>
          <w:sz w:val="24"/>
          <w:lang w:val="zh-CN"/>
        </w:rPr>
        <w:t xml:space="preserve">  </w:t>
      </w:r>
      <w:r>
        <w:rPr>
          <w:rFonts w:hint="eastAsia" w:eastAsia="方正仿宋_GBK"/>
          <w:bCs/>
          <w:color w:val="000000"/>
          <w:spacing w:val="-2"/>
          <w:kern w:val="0"/>
          <w:sz w:val="24"/>
          <w:lang w:val="zh-CN"/>
        </w:rPr>
        <w:t>受委托承担建筑能耗统计工作的</w:t>
      </w:r>
      <w:r>
        <w:rPr>
          <w:rFonts w:hint="eastAsia" w:eastAsia="方正仿宋_GBK"/>
          <w:color w:val="000000"/>
          <w:spacing w:val="-2"/>
          <w:sz w:val="24"/>
        </w:rPr>
        <w:t>统计实施机构及其统计人员在进行建筑能耗统计工作中有下列行为之一的，建设主管部门应当责令其改正，并依法予以处理：</w:t>
      </w:r>
    </w:p>
    <w:p>
      <w:pPr>
        <w:spacing w:line="420" w:lineRule="exact"/>
        <w:ind w:firstLine="472" w:firstLineChars="200"/>
        <w:rPr>
          <w:rFonts w:eastAsia="方正仿宋_GBK"/>
          <w:color w:val="000000"/>
          <w:spacing w:val="-2"/>
          <w:sz w:val="24"/>
        </w:rPr>
      </w:pPr>
      <w:r>
        <w:rPr>
          <w:rFonts w:hint="eastAsia" w:eastAsia="方正仿宋_GBK"/>
          <w:color w:val="000000"/>
          <w:spacing w:val="-2"/>
          <w:sz w:val="24"/>
        </w:rPr>
        <w:t>（一）篡改、拒报、迟报、误报或者漏报建筑能耗统计报表或其他统计资料的；</w:t>
      </w:r>
    </w:p>
    <w:p>
      <w:pPr>
        <w:spacing w:line="420" w:lineRule="exact"/>
        <w:ind w:firstLine="472" w:firstLineChars="200"/>
        <w:rPr>
          <w:rFonts w:eastAsia="方正仿宋_GBK"/>
          <w:color w:val="000000"/>
          <w:spacing w:val="-2"/>
          <w:sz w:val="24"/>
        </w:rPr>
      </w:pPr>
      <w:r>
        <w:rPr>
          <w:rFonts w:hint="eastAsia" w:eastAsia="方正仿宋_GBK"/>
          <w:color w:val="000000"/>
          <w:spacing w:val="-2"/>
          <w:sz w:val="24"/>
        </w:rPr>
        <w:t>（二）利用统计调查工作之便，擅自使用、公布或者泄漏其所掌握的能耗统计报表、统计资料的；</w:t>
      </w:r>
    </w:p>
    <w:p>
      <w:pPr>
        <w:spacing w:line="420" w:lineRule="exact"/>
        <w:ind w:firstLine="472" w:firstLineChars="200"/>
        <w:rPr>
          <w:rFonts w:eastAsia="方正仿宋_GBK"/>
          <w:color w:val="000000"/>
          <w:spacing w:val="-2"/>
          <w:sz w:val="24"/>
        </w:rPr>
      </w:pPr>
      <w:r>
        <w:rPr>
          <w:rFonts w:hint="eastAsia" w:eastAsia="方正仿宋_GBK"/>
          <w:color w:val="000000"/>
          <w:spacing w:val="-2"/>
          <w:sz w:val="24"/>
        </w:rPr>
        <w:t>（三）泄露统计对象的商业秘密的。</w:t>
      </w:r>
    </w:p>
    <w:p>
      <w:pPr>
        <w:spacing w:line="420" w:lineRule="exact"/>
        <w:ind w:firstLine="472" w:firstLineChars="200"/>
        <w:rPr>
          <w:rFonts w:eastAsia="方正仿宋_GBK"/>
          <w:bCs/>
          <w:color w:val="000000"/>
          <w:spacing w:val="-2"/>
          <w:kern w:val="0"/>
          <w:sz w:val="24"/>
          <w:lang w:val="zh-CN"/>
        </w:rPr>
      </w:pPr>
      <w:r>
        <w:rPr>
          <w:rFonts w:hint="eastAsia" w:eastAsia="方正黑体_GBK"/>
          <w:color w:val="000000"/>
          <w:spacing w:val="-2"/>
          <w:sz w:val="24"/>
        </w:rPr>
        <w:t>第十三条</w:t>
      </w:r>
      <w:r>
        <w:rPr>
          <w:rFonts w:eastAsia="方正仿宋_GBK"/>
          <w:b/>
          <w:color w:val="000000"/>
          <w:spacing w:val="-2"/>
          <w:sz w:val="24"/>
        </w:rPr>
        <w:t xml:space="preserve">  </w:t>
      </w:r>
      <w:r>
        <w:rPr>
          <w:rFonts w:hint="eastAsia" w:eastAsia="方正仿宋_GBK"/>
          <w:color w:val="000000"/>
          <w:spacing w:val="-2"/>
          <w:sz w:val="24"/>
        </w:rPr>
        <w:t>本办法自发布之日起施行。</w:t>
      </w:r>
    </w:p>
    <w:p>
      <w:pPr>
        <w:spacing w:line="460" w:lineRule="exact"/>
        <w:rPr>
          <w:rFonts w:eastAsia="方正黑体_GBK"/>
          <w:color w:val="000000"/>
          <w:spacing w:val="-2"/>
          <w:sz w:val="28"/>
          <w:szCs w:val="28"/>
        </w:rPr>
      </w:pPr>
      <w:r>
        <w:rPr>
          <w:rFonts w:eastAsia="方正仿宋_GBK"/>
          <w:color w:val="000000"/>
          <w:spacing w:val="-2"/>
          <w:sz w:val="24"/>
        </w:rPr>
        <w:br w:type="page"/>
      </w:r>
      <w:r>
        <w:rPr>
          <w:rFonts w:hint="eastAsia" w:eastAsia="方正黑体_GBK"/>
          <w:color w:val="000000"/>
          <w:spacing w:val="-2"/>
          <w:sz w:val="28"/>
          <w:szCs w:val="28"/>
        </w:rPr>
        <w:t>附件</w:t>
      </w:r>
      <w:r>
        <w:rPr>
          <w:rFonts w:eastAsia="方正黑体_GBK"/>
          <w:color w:val="000000"/>
          <w:spacing w:val="-2"/>
          <w:sz w:val="28"/>
          <w:szCs w:val="28"/>
        </w:rPr>
        <w:t>2</w:t>
      </w:r>
    </w:p>
    <w:p>
      <w:pPr>
        <w:spacing w:line="460" w:lineRule="exact"/>
        <w:rPr>
          <w:rFonts w:eastAsia="方正仿宋_GBK"/>
          <w:color w:val="000000"/>
          <w:spacing w:val="-2"/>
          <w:sz w:val="24"/>
        </w:rPr>
      </w:pPr>
    </w:p>
    <w:p>
      <w:pPr>
        <w:autoSpaceDE w:val="0"/>
        <w:autoSpaceDN w:val="0"/>
        <w:adjustRightInd w:val="0"/>
        <w:spacing w:line="460" w:lineRule="exact"/>
        <w:jc w:val="center"/>
        <w:rPr>
          <w:rFonts w:eastAsia="方正小标宋简体"/>
          <w:color w:val="000000"/>
          <w:spacing w:val="-2"/>
          <w:kern w:val="0"/>
          <w:sz w:val="36"/>
          <w:szCs w:val="36"/>
          <w:lang w:val="zh-CN"/>
        </w:rPr>
      </w:pPr>
      <w:r>
        <w:rPr>
          <w:rFonts w:hint="eastAsia" w:eastAsia="方正小标宋简体"/>
          <w:color w:val="000000"/>
          <w:spacing w:val="-2"/>
          <w:kern w:val="0"/>
          <w:sz w:val="36"/>
          <w:szCs w:val="36"/>
          <w:lang w:val="zh-CN"/>
        </w:rPr>
        <w:t>江苏省机关办公建筑和大型公共建筑</w:t>
      </w:r>
    </w:p>
    <w:p>
      <w:pPr>
        <w:autoSpaceDE w:val="0"/>
        <w:autoSpaceDN w:val="0"/>
        <w:adjustRightInd w:val="0"/>
        <w:spacing w:line="460" w:lineRule="exact"/>
        <w:jc w:val="center"/>
        <w:rPr>
          <w:rFonts w:eastAsia="方正小标宋简体"/>
          <w:color w:val="000000"/>
          <w:spacing w:val="-2"/>
          <w:kern w:val="0"/>
          <w:sz w:val="36"/>
          <w:szCs w:val="36"/>
          <w:lang w:val="zh-CN"/>
        </w:rPr>
      </w:pPr>
      <w:r>
        <w:rPr>
          <w:rFonts w:hint="eastAsia" w:eastAsia="方正小标宋简体"/>
          <w:color w:val="000000"/>
          <w:spacing w:val="-2"/>
          <w:kern w:val="0"/>
          <w:sz w:val="36"/>
          <w:szCs w:val="36"/>
          <w:lang w:val="zh-CN"/>
        </w:rPr>
        <w:t>能源审计管理办法</w:t>
      </w:r>
    </w:p>
    <w:p>
      <w:pPr>
        <w:autoSpaceDE w:val="0"/>
        <w:autoSpaceDN w:val="0"/>
        <w:adjustRightInd w:val="0"/>
        <w:spacing w:line="460" w:lineRule="exact"/>
        <w:rPr>
          <w:rFonts w:eastAsia="方正仿宋_GBK"/>
          <w:color w:val="000000"/>
          <w:spacing w:val="-2"/>
          <w:kern w:val="0"/>
          <w:sz w:val="24"/>
        </w:rPr>
      </w:pPr>
    </w:p>
    <w:p>
      <w:pPr>
        <w:autoSpaceDE w:val="0"/>
        <w:autoSpaceDN w:val="0"/>
        <w:spacing w:line="460" w:lineRule="exact"/>
        <w:ind w:firstLine="472" w:firstLineChars="200"/>
        <w:rPr>
          <w:rFonts w:eastAsia="方正仿宋_GBK"/>
          <w:b/>
          <w:bCs/>
          <w:color w:val="000000"/>
          <w:spacing w:val="-2"/>
          <w:kern w:val="0"/>
          <w:sz w:val="24"/>
          <w:lang w:val="zh-CN"/>
        </w:rPr>
      </w:pPr>
      <w:r>
        <w:rPr>
          <w:rFonts w:hint="eastAsia" w:eastAsia="方正黑体_GBK"/>
          <w:color w:val="000000"/>
          <w:spacing w:val="-2"/>
          <w:sz w:val="24"/>
        </w:rPr>
        <w:t>第一条</w:t>
      </w:r>
      <w:r>
        <w:rPr>
          <w:rFonts w:eastAsia="方正仿宋_GBK"/>
          <w:b/>
          <w:bCs/>
          <w:color w:val="000000"/>
          <w:spacing w:val="-2"/>
          <w:kern w:val="0"/>
          <w:sz w:val="24"/>
          <w:lang w:val="zh-CN"/>
        </w:rPr>
        <w:t xml:space="preserve">  </w:t>
      </w:r>
      <w:r>
        <w:rPr>
          <w:rFonts w:hint="eastAsia" w:eastAsia="方正仿宋_GBK"/>
          <w:bCs/>
          <w:color w:val="000000"/>
          <w:spacing w:val="-2"/>
          <w:kern w:val="0"/>
          <w:sz w:val="24"/>
          <w:lang w:val="zh-CN"/>
        </w:rPr>
        <w:t>为建立我省机关办公建筑和大型公共建筑节能监管体系，开展对省本级及示范城市辖区内机关办公建筑和大型公共建筑的能源审计，提高审计质量，规范审计行为，促进能源审计工作的顺利开展，依据</w:t>
      </w:r>
      <w:r>
        <w:rPr>
          <w:rFonts w:hint="eastAsia" w:eastAsia="方正仿宋_GBK"/>
          <w:color w:val="000000"/>
          <w:spacing w:val="-2"/>
          <w:sz w:val="24"/>
        </w:rPr>
        <w:t>《民用建筑节能条例》、</w:t>
      </w:r>
      <w:r>
        <w:rPr>
          <w:rFonts w:hint="eastAsia" w:eastAsia="方正仿宋_GBK"/>
          <w:bCs/>
          <w:color w:val="000000"/>
          <w:spacing w:val="-2"/>
          <w:kern w:val="0"/>
          <w:sz w:val="24"/>
          <w:lang w:val="zh-CN"/>
        </w:rPr>
        <w:t>《江苏省绿色建筑发展条例》、</w:t>
      </w:r>
      <w:r>
        <w:rPr>
          <w:rFonts w:hint="eastAsia" w:eastAsia="方正仿宋_GBK"/>
          <w:color w:val="000000"/>
          <w:spacing w:val="-2"/>
          <w:sz w:val="24"/>
        </w:rPr>
        <w:t>《</w:t>
      </w:r>
      <w:r>
        <w:rPr>
          <w:rFonts w:hint="eastAsia" w:eastAsia="方正仿宋_GBK"/>
          <w:bCs/>
          <w:color w:val="000000"/>
          <w:spacing w:val="-2"/>
          <w:kern w:val="0"/>
          <w:sz w:val="24"/>
          <w:lang w:val="zh-CN"/>
        </w:rPr>
        <w:t>建设部、财政部关于加强国家机关办公建筑和大型公共建筑节能管理工作的实施意见》，制定本办法。</w:t>
      </w:r>
    </w:p>
    <w:p>
      <w:pPr>
        <w:autoSpaceDE w:val="0"/>
        <w:autoSpaceDN w:val="0"/>
        <w:spacing w:line="460" w:lineRule="exact"/>
        <w:ind w:firstLine="472" w:firstLineChars="200"/>
        <w:rPr>
          <w:rFonts w:eastAsia="方正仿宋_GBK"/>
          <w:bCs/>
          <w:color w:val="000000"/>
          <w:spacing w:val="-2"/>
          <w:kern w:val="0"/>
          <w:sz w:val="24"/>
          <w:lang w:val="zh-CN"/>
        </w:rPr>
      </w:pPr>
      <w:r>
        <w:rPr>
          <w:rFonts w:hint="eastAsia" w:eastAsia="方正黑体_GBK"/>
          <w:color w:val="000000"/>
          <w:spacing w:val="-2"/>
          <w:sz w:val="24"/>
        </w:rPr>
        <w:t>第二条</w:t>
      </w:r>
      <w:r>
        <w:rPr>
          <w:rFonts w:eastAsia="方正仿宋_GBK"/>
          <w:b/>
          <w:bCs/>
          <w:color w:val="000000"/>
          <w:spacing w:val="-2"/>
          <w:kern w:val="0"/>
          <w:sz w:val="24"/>
          <w:lang w:val="zh-CN"/>
        </w:rPr>
        <w:t xml:space="preserve">  </w:t>
      </w:r>
      <w:r>
        <w:rPr>
          <w:rFonts w:hint="eastAsia" w:eastAsia="方正仿宋_GBK"/>
          <w:bCs/>
          <w:color w:val="000000"/>
          <w:spacing w:val="-2"/>
          <w:kern w:val="0"/>
          <w:sz w:val="24"/>
          <w:lang w:val="zh-CN"/>
        </w:rPr>
        <w:t>本办法适用于对我省机关办公建筑和大型公共建筑实施能源审计及其相关管理活动。</w:t>
      </w:r>
    </w:p>
    <w:p>
      <w:pPr>
        <w:spacing w:line="460" w:lineRule="exact"/>
        <w:ind w:firstLine="472" w:firstLineChars="200"/>
        <w:rPr>
          <w:rFonts w:eastAsia="方正仿宋_GBK"/>
          <w:color w:val="000000"/>
          <w:spacing w:val="-2"/>
          <w:sz w:val="24"/>
        </w:rPr>
      </w:pPr>
      <w:r>
        <w:rPr>
          <w:rFonts w:hint="eastAsia" w:eastAsia="方正黑体_GBK"/>
          <w:color w:val="000000"/>
          <w:spacing w:val="-2"/>
          <w:sz w:val="24"/>
        </w:rPr>
        <w:t>第三条</w:t>
      </w:r>
      <w:r>
        <w:rPr>
          <w:rFonts w:eastAsia="方正仿宋_GBK"/>
          <w:b/>
          <w:bCs/>
          <w:color w:val="000000"/>
          <w:spacing w:val="-2"/>
          <w:kern w:val="0"/>
          <w:sz w:val="24"/>
          <w:lang w:val="zh-CN"/>
        </w:rPr>
        <w:t xml:space="preserve">  </w:t>
      </w:r>
      <w:r>
        <w:rPr>
          <w:rFonts w:hint="eastAsia" w:eastAsia="方正仿宋_GBK"/>
          <w:color w:val="000000"/>
          <w:spacing w:val="-2"/>
          <w:sz w:val="24"/>
        </w:rPr>
        <w:t>本办法所指能源审计的对象包括区、县以上各级国家机关办公建筑、单体建筑面积</w:t>
      </w:r>
      <w:r>
        <w:rPr>
          <w:rFonts w:eastAsia="方正仿宋_GBK"/>
          <w:color w:val="000000"/>
          <w:spacing w:val="-2"/>
          <w:sz w:val="24"/>
        </w:rPr>
        <w:t>2</w:t>
      </w:r>
      <w:r>
        <w:rPr>
          <w:rFonts w:hint="eastAsia" w:eastAsia="方正仿宋_GBK"/>
          <w:color w:val="000000"/>
          <w:spacing w:val="-2"/>
          <w:sz w:val="24"/>
        </w:rPr>
        <w:t>万平方米以上的大型公共建筑、总建筑面积</w:t>
      </w:r>
      <w:r>
        <w:rPr>
          <w:rFonts w:eastAsia="方正仿宋_GBK"/>
          <w:color w:val="000000"/>
          <w:spacing w:val="-2"/>
          <w:sz w:val="24"/>
        </w:rPr>
        <w:t>2</w:t>
      </w:r>
      <w:r>
        <w:rPr>
          <w:rFonts w:hint="eastAsia" w:eastAsia="方正仿宋_GBK"/>
          <w:color w:val="000000"/>
          <w:spacing w:val="-2"/>
          <w:sz w:val="24"/>
        </w:rPr>
        <w:t>万平方米以上的大学校园，以及各类公共建筑的节能改造、可再生能源建筑应用、低能耗建筑、绿色建筑示范工程项目。</w:t>
      </w:r>
    </w:p>
    <w:p>
      <w:pPr>
        <w:autoSpaceDE w:val="0"/>
        <w:autoSpaceDN w:val="0"/>
        <w:spacing w:line="460" w:lineRule="exact"/>
        <w:ind w:firstLine="472" w:firstLineChars="200"/>
        <w:rPr>
          <w:rFonts w:eastAsia="方正仿宋_GBK"/>
          <w:bCs/>
          <w:color w:val="000000"/>
          <w:spacing w:val="-2"/>
          <w:kern w:val="0"/>
          <w:sz w:val="24"/>
          <w:lang w:val="zh-CN"/>
        </w:rPr>
      </w:pPr>
      <w:r>
        <w:rPr>
          <w:rFonts w:hint="eastAsia" w:eastAsia="方正黑体_GBK"/>
          <w:color w:val="000000"/>
          <w:spacing w:val="-2"/>
          <w:sz w:val="24"/>
        </w:rPr>
        <w:t>第四条</w:t>
      </w:r>
      <w:r>
        <w:rPr>
          <w:rFonts w:eastAsia="方正仿宋_GBK"/>
          <w:b/>
          <w:bCs/>
          <w:color w:val="000000"/>
          <w:spacing w:val="-2"/>
          <w:kern w:val="0"/>
          <w:sz w:val="24"/>
          <w:lang w:val="zh-CN"/>
        </w:rPr>
        <w:t xml:space="preserve">  </w:t>
      </w:r>
      <w:r>
        <w:rPr>
          <w:rFonts w:hint="eastAsia" w:eastAsia="方正仿宋_GBK"/>
          <w:bCs/>
          <w:color w:val="000000"/>
          <w:spacing w:val="-2"/>
          <w:kern w:val="0"/>
          <w:sz w:val="24"/>
          <w:lang w:val="zh-CN"/>
        </w:rPr>
        <w:t>本办法所称能源审计是指县级以上地方人民政府建设行政主管部门为建立建筑节能监管体系，委托建筑节能专门机构，对建筑的能源活动进行的检查、诊断、审核，对建筑能源利用的合理性做出评价，并提出改进措施建议，提高建筑能源利用效率的活动。</w:t>
      </w:r>
    </w:p>
    <w:p>
      <w:pPr>
        <w:spacing w:line="460" w:lineRule="exact"/>
        <w:ind w:firstLine="472" w:firstLineChars="200"/>
        <w:rPr>
          <w:rFonts w:eastAsia="方正仿宋_GBK"/>
          <w:b/>
          <w:bCs/>
          <w:color w:val="000000"/>
          <w:spacing w:val="-2"/>
          <w:kern w:val="0"/>
          <w:sz w:val="24"/>
          <w:lang w:val="zh-CN"/>
        </w:rPr>
      </w:pPr>
      <w:r>
        <w:rPr>
          <w:rFonts w:hint="eastAsia" w:eastAsia="方正黑体_GBK"/>
          <w:color w:val="000000"/>
          <w:spacing w:val="-2"/>
          <w:sz w:val="24"/>
        </w:rPr>
        <w:t>第五条</w:t>
      </w:r>
      <w:r>
        <w:rPr>
          <w:rFonts w:eastAsia="方正仿宋_GBK"/>
          <w:color w:val="000000"/>
          <w:spacing w:val="-2"/>
          <w:sz w:val="24"/>
        </w:rPr>
        <w:t xml:space="preserve">  </w:t>
      </w:r>
      <w:r>
        <w:rPr>
          <w:rFonts w:hint="eastAsia" w:eastAsia="方正仿宋_GBK"/>
          <w:bCs/>
          <w:color w:val="000000"/>
          <w:spacing w:val="-2"/>
          <w:kern w:val="0"/>
          <w:sz w:val="24"/>
          <w:lang w:val="zh-CN"/>
        </w:rPr>
        <w:t>能源审计活动应当</w:t>
      </w:r>
      <w:r>
        <w:rPr>
          <w:rFonts w:hint="eastAsia" w:eastAsia="方正仿宋_GBK"/>
          <w:color w:val="000000"/>
          <w:spacing w:val="-2"/>
          <w:sz w:val="24"/>
        </w:rPr>
        <w:t>遵守有关法律、法规，遵循公开、公平、公正的原则</w:t>
      </w:r>
      <w:r>
        <w:rPr>
          <w:rFonts w:hint="eastAsia" w:eastAsia="方正仿宋_GBK"/>
          <w:bCs/>
          <w:color w:val="000000"/>
          <w:spacing w:val="-2"/>
          <w:kern w:val="0"/>
          <w:sz w:val="24"/>
          <w:lang w:val="zh-CN"/>
        </w:rPr>
        <w:t>。</w:t>
      </w:r>
    </w:p>
    <w:p>
      <w:pPr>
        <w:spacing w:line="460" w:lineRule="exact"/>
        <w:ind w:firstLine="472" w:firstLineChars="200"/>
        <w:rPr>
          <w:rFonts w:eastAsia="方正仿宋_GBK"/>
          <w:color w:val="000000"/>
          <w:spacing w:val="-2"/>
          <w:kern w:val="0"/>
          <w:sz w:val="24"/>
          <w:lang w:val="zh-CN"/>
        </w:rPr>
      </w:pPr>
      <w:r>
        <w:rPr>
          <w:rFonts w:hint="eastAsia" w:eastAsia="方正黑体_GBK"/>
          <w:color w:val="000000"/>
          <w:spacing w:val="-2"/>
          <w:sz w:val="24"/>
        </w:rPr>
        <w:t>第六条</w:t>
      </w:r>
      <w:r>
        <w:rPr>
          <w:rFonts w:eastAsia="方正仿宋_GBK"/>
          <w:color w:val="000000"/>
          <w:spacing w:val="-2"/>
          <w:kern w:val="0"/>
          <w:sz w:val="24"/>
          <w:lang w:val="zh-CN"/>
        </w:rPr>
        <w:t xml:space="preserve">  </w:t>
      </w:r>
      <w:r>
        <w:rPr>
          <w:rFonts w:hint="eastAsia" w:eastAsia="方正仿宋_GBK"/>
          <w:color w:val="000000"/>
          <w:spacing w:val="-2"/>
          <w:sz w:val="24"/>
        </w:rPr>
        <w:t>县级以上地方人民政府建设行政主管部门负责本行政区域内机关办公建筑和大型公共建筑</w:t>
      </w:r>
      <w:r>
        <w:rPr>
          <w:rFonts w:hint="eastAsia" w:eastAsia="方正仿宋_GBK"/>
          <w:color w:val="000000"/>
          <w:spacing w:val="-2"/>
          <w:kern w:val="0"/>
          <w:sz w:val="24"/>
          <w:lang w:val="zh-CN"/>
        </w:rPr>
        <w:t>能源审计活动的实施与监督管理，具体的能源审计活动可以</w:t>
      </w:r>
      <w:r>
        <w:rPr>
          <w:rFonts w:hint="eastAsia" w:eastAsia="方正仿宋_GBK"/>
          <w:color w:val="000000"/>
          <w:spacing w:val="-2"/>
          <w:sz w:val="24"/>
        </w:rPr>
        <w:t>委托建筑节能专门机构实施。</w:t>
      </w:r>
    </w:p>
    <w:p>
      <w:pPr>
        <w:spacing w:line="460" w:lineRule="exact"/>
        <w:ind w:firstLine="472" w:firstLineChars="200"/>
        <w:rPr>
          <w:rFonts w:eastAsia="方正仿宋_GBK"/>
          <w:color w:val="000000"/>
          <w:spacing w:val="-2"/>
          <w:kern w:val="0"/>
          <w:sz w:val="24"/>
          <w:lang w:val="zh-CN"/>
        </w:rPr>
      </w:pPr>
      <w:r>
        <w:rPr>
          <w:rFonts w:hint="eastAsia" w:eastAsia="方正黑体_GBK"/>
          <w:color w:val="000000"/>
          <w:spacing w:val="-2"/>
          <w:sz w:val="24"/>
        </w:rPr>
        <w:t>第七条</w:t>
      </w:r>
      <w:r>
        <w:rPr>
          <w:rFonts w:eastAsia="方正仿宋_GBK"/>
          <w:b/>
          <w:bCs/>
          <w:color w:val="000000"/>
          <w:spacing w:val="-2"/>
          <w:kern w:val="0"/>
          <w:sz w:val="24"/>
          <w:lang w:val="zh-CN"/>
        </w:rPr>
        <w:t xml:space="preserve">  </w:t>
      </w:r>
      <w:r>
        <w:rPr>
          <w:rFonts w:hint="eastAsia" w:eastAsia="方正仿宋_GBK"/>
          <w:color w:val="000000"/>
          <w:spacing w:val="-2"/>
          <w:sz w:val="24"/>
        </w:rPr>
        <w:t>建筑节能专门机构从事能源审计活动应当具备以下条件：</w:t>
      </w:r>
    </w:p>
    <w:p>
      <w:pPr>
        <w:autoSpaceDE w:val="0"/>
        <w:autoSpaceDN w:val="0"/>
        <w:spacing w:line="460" w:lineRule="exact"/>
        <w:ind w:firstLine="472" w:firstLineChars="200"/>
        <w:rPr>
          <w:rFonts w:eastAsia="方正仿宋_GBK"/>
          <w:color w:val="000000"/>
          <w:spacing w:val="-2"/>
          <w:kern w:val="0"/>
          <w:sz w:val="24"/>
          <w:lang w:val="zh-CN"/>
        </w:rPr>
      </w:pPr>
      <w:r>
        <w:rPr>
          <w:rFonts w:hint="eastAsia" w:eastAsia="方正仿宋_GBK"/>
          <w:color w:val="000000"/>
          <w:spacing w:val="-2"/>
          <w:sz w:val="24"/>
        </w:rPr>
        <w:t>（一）具有独立法人资格；</w:t>
      </w:r>
    </w:p>
    <w:p>
      <w:pPr>
        <w:autoSpaceDE w:val="0"/>
        <w:autoSpaceDN w:val="0"/>
        <w:spacing w:line="460" w:lineRule="exact"/>
        <w:ind w:firstLine="472" w:firstLineChars="200"/>
        <w:rPr>
          <w:rFonts w:eastAsia="方正仿宋_GBK"/>
          <w:color w:val="000000"/>
          <w:spacing w:val="-2"/>
          <w:sz w:val="24"/>
        </w:rPr>
      </w:pPr>
      <w:r>
        <w:rPr>
          <w:rFonts w:hint="eastAsia" w:eastAsia="方正仿宋_GBK"/>
          <w:color w:val="000000"/>
          <w:spacing w:val="-2"/>
          <w:sz w:val="24"/>
        </w:rPr>
        <w:t>（二）具有一定规模的业务活动固定场所和开展能源审计业务所需的设施及办公条件；</w:t>
      </w:r>
    </w:p>
    <w:p>
      <w:pPr>
        <w:autoSpaceDE w:val="0"/>
        <w:autoSpaceDN w:val="0"/>
        <w:spacing w:line="460" w:lineRule="exact"/>
        <w:ind w:firstLine="472" w:firstLineChars="200"/>
        <w:rPr>
          <w:rFonts w:eastAsia="方正仿宋_GBK"/>
          <w:color w:val="000000"/>
          <w:spacing w:val="-2"/>
          <w:sz w:val="24"/>
        </w:rPr>
      </w:pPr>
      <w:r>
        <w:rPr>
          <w:rFonts w:hint="eastAsia" w:eastAsia="方正仿宋_GBK"/>
          <w:color w:val="000000"/>
          <w:spacing w:val="-2"/>
          <w:sz w:val="24"/>
        </w:rPr>
        <w:t>（三）有近两年来的建筑节能相关业绩；</w:t>
      </w:r>
    </w:p>
    <w:p>
      <w:pPr>
        <w:autoSpaceDE w:val="0"/>
        <w:autoSpaceDN w:val="0"/>
        <w:spacing w:line="460" w:lineRule="exact"/>
        <w:ind w:firstLine="472" w:firstLineChars="200"/>
        <w:rPr>
          <w:rFonts w:eastAsia="方正仿宋_GBK"/>
          <w:color w:val="000000"/>
          <w:spacing w:val="-2"/>
          <w:sz w:val="24"/>
        </w:rPr>
      </w:pPr>
      <w:r>
        <w:rPr>
          <w:rFonts w:hint="eastAsia" w:eastAsia="方正仿宋_GBK"/>
          <w:color w:val="000000"/>
          <w:spacing w:val="-2"/>
          <w:sz w:val="24"/>
        </w:rPr>
        <w:t>（四）具有一定的科研能力，开展过与建筑节能相关课题的研究或者承担过相关标准的编制工作；</w:t>
      </w:r>
    </w:p>
    <w:p>
      <w:pPr>
        <w:autoSpaceDE w:val="0"/>
        <w:autoSpaceDN w:val="0"/>
        <w:spacing w:line="460" w:lineRule="exact"/>
        <w:ind w:firstLine="472" w:firstLineChars="200"/>
        <w:rPr>
          <w:rFonts w:eastAsia="方正仿宋_GBK"/>
          <w:color w:val="000000"/>
          <w:spacing w:val="-2"/>
          <w:sz w:val="24"/>
        </w:rPr>
      </w:pPr>
      <w:r>
        <w:rPr>
          <w:rFonts w:hint="eastAsia" w:eastAsia="方正仿宋_GBK"/>
          <w:color w:val="000000"/>
          <w:spacing w:val="-2"/>
          <w:sz w:val="24"/>
        </w:rPr>
        <w:t>（五）有健全的组织机构和符合相关要求的质量管理体系。</w:t>
      </w:r>
      <w:r>
        <w:rPr>
          <w:rFonts w:eastAsia="方正仿宋_GBK"/>
          <w:color w:val="000000"/>
          <w:spacing w:val="-2"/>
          <w:sz w:val="24"/>
        </w:rPr>
        <w:t xml:space="preserve"> </w:t>
      </w:r>
    </w:p>
    <w:p>
      <w:pPr>
        <w:spacing w:line="460" w:lineRule="exact"/>
        <w:ind w:firstLine="472" w:firstLineChars="200"/>
        <w:rPr>
          <w:rFonts w:eastAsia="方正仿宋_GBK"/>
          <w:bCs/>
          <w:color w:val="000000"/>
          <w:spacing w:val="-2"/>
          <w:kern w:val="0"/>
          <w:sz w:val="24"/>
          <w:lang w:val="zh-CN"/>
        </w:rPr>
      </w:pPr>
      <w:r>
        <w:rPr>
          <w:rFonts w:hint="eastAsia" w:eastAsia="方正黑体_GBK"/>
          <w:color w:val="000000"/>
          <w:spacing w:val="-2"/>
          <w:sz w:val="24"/>
        </w:rPr>
        <w:t>第八条</w:t>
      </w:r>
      <w:r>
        <w:rPr>
          <w:rFonts w:eastAsia="方正仿宋_GBK"/>
          <w:bCs/>
          <w:color w:val="000000"/>
          <w:spacing w:val="-2"/>
          <w:kern w:val="0"/>
          <w:sz w:val="24"/>
          <w:lang w:val="zh-CN"/>
        </w:rPr>
        <w:t xml:space="preserve">  </w:t>
      </w:r>
      <w:r>
        <w:rPr>
          <w:rFonts w:hint="eastAsia" w:eastAsia="方正仿宋_GBK"/>
          <w:bCs/>
          <w:color w:val="000000"/>
          <w:spacing w:val="-2"/>
          <w:kern w:val="0"/>
          <w:sz w:val="24"/>
          <w:lang w:val="zh-CN"/>
        </w:rPr>
        <w:t>建设行政主管部门应当根据本地区机关办公建筑和大型公共建筑能源消费的统计状况，结合年度机关办公建筑和大型公共建筑节能监管体系建设工作计划，编制本地区的能源审计计划，确定能源审计对象。</w:t>
      </w:r>
    </w:p>
    <w:p>
      <w:pPr>
        <w:spacing w:line="460" w:lineRule="exact"/>
        <w:ind w:firstLine="472" w:firstLineChars="200"/>
        <w:rPr>
          <w:rFonts w:eastAsia="方正仿宋_GBK"/>
          <w:bCs/>
          <w:color w:val="000000"/>
          <w:spacing w:val="-2"/>
          <w:kern w:val="0"/>
          <w:sz w:val="24"/>
          <w:lang w:val="zh-CN"/>
        </w:rPr>
      </w:pPr>
      <w:r>
        <w:rPr>
          <w:rFonts w:hint="eastAsia" w:eastAsia="方正黑体_GBK"/>
          <w:color w:val="000000"/>
          <w:spacing w:val="-2"/>
          <w:sz w:val="24"/>
        </w:rPr>
        <w:t>第九条</w:t>
      </w:r>
      <w:r>
        <w:rPr>
          <w:rFonts w:eastAsia="方正仿宋_GBK"/>
          <w:bCs/>
          <w:color w:val="000000"/>
          <w:spacing w:val="-2"/>
          <w:kern w:val="0"/>
          <w:sz w:val="24"/>
          <w:lang w:val="zh-CN"/>
        </w:rPr>
        <w:t xml:space="preserve">  </w:t>
      </w:r>
      <w:r>
        <w:rPr>
          <w:rFonts w:hint="eastAsia" w:eastAsia="方正仿宋_GBK"/>
          <w:bCs/>
          <w:color w:val="000000"/>
          <w:spacing w:val="-2"/>
          <w:kern w:val="0"/>
          <w:sz w:val="24"/>
          <w:lang w:val="zh-CN"/>
        </w:rPr>
        <w:t>审计对象确定后，建筑节能专门机构依据《国家机关办公建筑和大型公共建筑能源审计技术导则》及其他相关技术标准，在规定的时间内完成能源审计，提出审计报告，并以适当的方式反馈审计对象。</w:t>
      </w:r>
    </w:p>
    <w:p>
      <w:pPr>
        <w:spacing w:line="460" w:lineRule="exact"/>
        <w:ind w:firstLine="472" w:firstLineChars="200"/>
        <w:rPr>
          <w:rFonts w:eastAsia="方正仿宋_GBK"/>
          <w:bCs/>
          <w:color w:val="000000"/>
          <w:spacing w:val="-2"/>
          <w:kern w:val="0"/>
          <w:sz w:val="24"/>
          <w:lang w:val="zh-CN"/>
        </w:rPr>
      </w:pPr>
      <w:r>
        <w:rPr>
          <w:rFonts w:hint="eastAsia" w:eastAsia="方正黑体_GBK"/>
          <w:color w:val="000000"/>
          <w:spacing w:val="-2"/>
          <w:sz w:val="24"/>
        </w:rPr>
        <w:t>第十条</w:t>
      </w:r>
      <w:r>
        <w:rPr>
          <w:rFonts w:eastAsia="方正仿宋_GBK"/>
          <w:b/>
          <w:bCs/>
          <w:color w:val="000000"/>
          <w:spacing w:val="-2"/>
          <w:kern w:val="0"/>
          <w:sz w:val="24"/>
          <w:lang w:val="zh-CN"/>
        </w:rPr>
        <w:t xml:space="preserve">  </w:t>
      </w:r>
      <w:r>
        <w:rPr>
          <w:rFonts w:hint="eastAsia" w:eastAsia="方正仿宋_GBK"/>
          <w:bCs/>
          <w:color w:val="000000"/>
          <w:spacing w:val="-2"/>
          <w:kern w:val="0"/>
          <w:sz w:val="24"/>
          <w:lang w:val="zh-CN"/>
        </w:rPr>
        <w:t>机关办公建筑和大型公共建筑的所有权人、使用人应当积极配合建筑节能专门机构确定审计的目标和内容，约定审计的时间，并提供必要的工作条件和技术辅助。审计完成后，应当认真落实审计报告提出的提高能源利用效率的要求和措施。</w:t>
      </w:r>
    </w:p>
    <w:p>
      <w:pPr>
        <w:spacing w:line="460" w:lineRule="exact"/>
        <w:ind w:firstLine="472" w:firstLineChars="200"/>
        <w:rPr>
          <w:rFonts w:eastAsia="方正仿宋_GBK"/>
          <w:color w:val="000000"/>
          <w:spacing w:val="-2"/>
          <w:sz w:val="24"/>
        </w:rPr>
      </w:pPr>
      <w:r>
        <w:rPr>
          <w:rFonts w:hint="eastAsia" w:eastAsia="方正黑体_GBK"/>
          <w:color w:val="000000"/>
          <w:spacing w:val="-2"/>
          <w:sz w:val="24"/>
        </w:rPr>
        <w:t>第十一条</w:t>
      </w:r>
      <w:r>
        <w:rPr>
          <w:rFonts w:eastAsia="方正仿宋_GBK"/>
          <w:bCs/>
          <w:color w:val="000000"/>
          <w:spacing w:val="-2"/>
          <w:kern w:val="0"/>
          <w:sz w:val="24"/>
          <w:lang w:val="zh-CN"/>
        </w:rPr>
        <w:t xml:space="preserve">  </w:t>
      </w:r>
      <w:r>
        <w:rPr>
          <w:rFonts w:hint="eastAsia" w:eastAsia="方正仿宋_GBK"/>
          <w:color w:val="000000"/>
          <w:spacing w:val="-2"/>
          <w:sz w:val="24"/>
        </w:rPr>
        <w:t>审计对象对能源审计的程序、内容、方法或者结果有异议的，可以向当地建设行政主管部门提出申诉。建设行政主管部门可以根据情形，要求建筑节能专门机构或者审计对象出具必要的证明资料，并对审计活动进行必要的复查。确有错误的，应当予以纠正。</w:t>
      </w:r>
    </w:p>
    <w:p>
      <w:pPr>
        <w:spacing w:line="460" w:lineRule="exact"/>
        <w:ind w:firstLine="472" w:firstLineChars="200"/>
        <w:rPr>
          <w:rFonts w:eastAsia="方正仿宋_GBK"/>
          <w:color w:val="000000"/>
          <w:spacing w:val="-2"/>
          <w:sz w:val="24"/>
        </w:rPr>
      </w:pPr>
      <w:r>
        <w:rPr>
          <w:rFonts w:hint="eastAsia" w:eastAsia="方正黑体_GBK"/>
          <w:color w:val="000000"/>
          <w:spacing w:val="-2"/>
          <w:sz w:val="24"/>
        </w:rPr>
        <w:t>第十二条</w:t>
      </w:r>
      <w:r>
        <w:rPr>
          <w:rFonts w:eastAsia="方正仿宋_GBK"/>
          <w:b/>
          <w:bCs/>
          <w:color w:val="000000"/>
          <w:spacing w:val="-2"/>
          <w:kern w:val="0"/>
          <w:sz w:val="24"/>
          <w:lang w:val="zh-CN"/>
        </w:rPr>
        <w:t xml:space="preserve">  </w:t>
      </w:r>
      <w:r>
        <w:rPr>
          <w:rFonts w:hint="eastAsia" w:eastAsia="方正仿宋_GBK"/>
          <w:color w:val="000000"/>
          <w:spacing w:val="-2"/>
          <w:sz w:val="24"/>
        </w:rPr>
        <w:t>建筑节能专门机构及其工作人员在能源审计活动中有违法违规行为的，建设行政主管部门可以责令改正，并记录在案。情节严重的，可以不再委托其承担能源审计任务。</w:t>
      </w:r>
    </w:p>
    <w:p>
      <w:pPr>
        <w:spacing w:line="460" w:lineRule="exact"/>
        <w:ind w:firstLine="472" w:firstLineChars="200"/>
        <w:rPr>
          <w:rFonts w:eastAsia="方正仿宋_GBK"/>
          <w:color w:val="000000"/>
          <w:spacing w:val="-2"/>
          <w:sz w:val="24"/>
        </w:rPr>
      </w:pPr>
      <w:r>
        <w:rPr>
          <w:rFonts w:hint="eastAsia" w:eastAsia="方正黑体_GBK"/>
          <w:color w:val="000000"/>
          <w:spacing w:val="-2"/>
          <w:sz w:val="24"/>
        </w:rPr>
        <w:t>第十三条</w:t>
      </w:r>
      <w:r>
        <w:rPr>
          <w:rFonts w:eastAsia="方正仿宋_GBK"/>
          <w:color w:val="000000"/>
          <w:spacing w:val="-2"/>
          <w:sz w:val="24"/>
        </w:rPr>
        <w:t xml:space="preserve">  </w:t>
      </w:r>
      <w:r>
        <w:rPr>
          <w:rFonts w:hint="eastAsia" w:eastAsia="方正仿宋_GBK"/>
          <w:color w:val="000000"/>
          <w:spacing w:val="-2"/>
          <w:sz w:val="24"/>
        </w:rPr>
        <w:t>审计对象故意不配合建筑能源审计工作，虚报、瞒报或者拒绝审计的，建设行政主管部门可以责令改正，或者予以通报批评。</w:t>
      </w:r>
    </w:p>
    <w:p>
      <w:pPr>
        <w:spacing w:line="460" w:lineRule="exact"/>
        <w:ind w:firstLine="472" w:firstLineChars="200"/>
        <w:rPr>
          <w:rFonts w:eastAsia="方正仿宋_GBK"/>
          <w:color w:val="000000"/>
          <w:spacing w:val="-2"/>
          <w:sz w:val="24"/>
        </w:rPr>
      </w:pPr>
      <w:r>
        <w:rPr>
          <w:rFonts w:hint="eastAsia" w:eastAsia="方正黑体_GBK"/>
          <w:color w:val="000000"/>
          <w:spacing w:val="-2"/>
          <w:sz w:val="24"/>
        </w:rPr>
        <w:t>第十四条</w:t>
      </w:r>
      <w:r>
        <w:rPr>
          <w:rFonts w:eastAsia="方正仿宋_GBK"/>
          <w:color w:val="000000"/>
          <w:spacing w:val="-2"/>
          <w:sz w:val="24"/>
        </w:rPr>
        <w:t xml:space="preserve">  </w:t>
      </w:r>
      <w:r>
        <w:rPr>
          <w:rFonts w:hint="eastAsia" w:eastAsia="方正仿宋_GBK"/>
          <w:color w:val="000000"/>
          <w:spacing w:val="-2"/>
          <w:sz w:val="24"/>
        </w:rPr>
        <w:t>建设行政主管部门应当建立能源审计投诉受理和处理制度，公开投诉电话号码、通讯地址和电子邮箱，接受社会监督。</w:t>
      </w:r>
    </w:p>
    <w:p>
      <w:pPr>
        <w:spacing w:line="460" w:lineRule="exact"/>
        <w:ind w:firstLine="472" w:firstLineChars="200"/>
        <w:rPr>
          <w:rFonts w:eastAsia="方正仿宋_GBK"/>
          <w:color w:val="000000"/>
          <w:spacing w:val="-2"/>
          <w:sz w:val="24"/>
        </w:rPr>
      </w:pPr>
      <w:r>
        <w:rPr>
          <w:rFonts w:hint="eastAsia" w:eastAsia="方正黑体_GBK"/>
          <w:color w:val="000000"/>
          <w:spacing w:val="-2"/>
          <w:sz w:val="24"/>
        </w:rPr>
        <w:t>第十五条</w:t>
      </w:r>
      <w:r>
        <w:rPr>
          <w:rFonts w:eastAsia="方正仿宋_GBK"/>
          <w:color w:val="000000"/>
          <w:spacing w:val="-2"/>
          <w:sz w:val="24"/>
        </w:rPr>
        <w:t xml:space="preserve">  </w:t>
      </w:r>
      <w:r>
        <w:rPr>
          <w:rFonts w:hint="eastAsia" w:eastAsia="方正仿宋_GBK"/>
          <w:color w:val="000000"/>
          <w:spacing w:val="-2"/>
          <w:sz w:val="24"/>
        </w:rPr>
        <w:t>本办法自发布之日起施行。</w:t>
      </w:r>
    </w:p>
    <w:p>
      <w:pPr>
        <w:jc w:val="left"/>
        <w:rPr>
          <w:rFonts w:eastAsia="方正仿宋_GBK"/>
          <w:color w:val="000000"/>
          <w:spacing w:val="-2"/>
          <w:sz w:val="24"/>
        </w:rPr>
      </w:pPr>
      <w:r>
        <w:rPr>
          <w:rFonts w:eastAsia="方正仿宋_GBK"/>
          <w:color w:val="000000"/>
          <w:spacing w:val="-2"/>
          <w:sz w:val="24"/>
        </w:rPr>
        <w:br w:type="page"/>
      </w:r>
    </w:p>
    <w:p>
      <w:pPr>
        <w:pStyle w:val="2"/>
        <w:spacing w:before="240" w:beforeLines="100" w:after="240" w:afterLines="100" w:line="240" w:lineRule="auto"/>
        <w:jc w:val="center"/>
        <w:rPr>
          <w:rFonts w:ascii="Times New Roman" w:eastAsia="方正小标宋_GBK"/>
          <w:b w:val="0"/>
          <w:sz w:val="36"/>
          <w:szCs w:val="36"/>
        </w:rPr>
      </w:pPr>
      <w:bookmarkStart w:id="350" w:name="_Toc18315548"/>
      <w:bookmarkStart w:id="351" w:name="_Toc20726444"/>
      <w:r>
        <w:rPr>
          <w:rFonts w:hint="eastAsia" w:ascii="Times New Roman" w:eastAsia="方正小标宋_GBK"/>
          <w:b w:val="0"/>
          <w:sz w:val="36"/>
          <w:szCs w:val="36"/>
        </w:rPr>
        <w:t>关于印发《江苏省绿色建筑创新奖评审办法》的通知</w:t>
      </w:r>
      <w:bookmarkEnd w:id="350"/>
      <w:bookmarkEnd w:id="351"/>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352" w:name="_Toc20726445"/>
      <w:bookmarkStart w:id="353" w:name="_Toc18315549"/>
      <w:r>
        <w:rPr>
          <w:rFonts w:hint="eastAsia" w:ascii="Times New Roman" w:hAnsi="Times New Roman" w:eastAsia="方正楷体_GBK"/>
          <w:b w:val="0"/>
          <w:sz w:val="24"/>
          <w:szCs w:val="24"/>
        </w:rPr>
        <w:t>苏建科〔</w:t>
      </w:r>
      <w:r>
        <w:rPr>
          <w:rFonts w:ascii="Times New Roman" w:hAnsi="Times New Roman" w:eastAsia="方正楷体_GBK"/>
          <w:b w:val="0"/>
          <w:sz w:val="24"/>
          <w:szCs w:val="24"/>
        </w:rPr>
        <w:t>2009</w:t>
      </w:r>
      <w:r>
        <w:rPr>
          <w:rFonts w:hint="eastAsia" w:ascii="Times New Roman" w:hAnsi="Times New Roman" w:eastAsia="方正楷体_GBK"/>
          <w:b w:val="0"/>
          <w:sz w:val="24"/>
          <w:szCs w:val="24"/>
        </w:rPr>
        <w:t>〕</w:t>
      </w:r>
      <w:r>
        <w:rPr>
          <w:rFonts w:ascii="Times New Roman" w:hAnsi="Times New Roman" w:eastAsia="方正楷体_GBK"/>
          <w:b w:val="0"/>
          <w:sz w:val="24"/>
          <w:szCs w:val="24"/>
        </w:rPr>
        <w:t>103</w:t>
      </w:r>
      <w:r>
        <w:rPr>
          <w:rFonts w:hint="eastAsia" w:ascii="Times New Roman" w:hAnsi="Times New Roman" w:eastAsia="方正楷体_GBK"/>
          <w:b w:val="0"/>
          <w:sz w:val="24"/>
          <w:szCs w:val="24"/>
        </w:rPr>
        <w:t>号</w:t>
      </w:r>
      <w:bookmarkEnd w:id="352"/>
      <w:bookmarkEnd w:id="353"/>
    </w:p>
    <w:p>
      <w:pPr>
        <w:spacing w:line="460" w:lineRule="exact"/>
        <w:rPr>
          <w:rFonts w:eastAsia="方正仿宋_GBK"/>
          <w:snapToGrid w:val="0"/>
          <w:color w:val="000000"/>
          <w:kern w:val="0"/>
          <w:sz w:val="24"/>
        </w:rPr>
      </w:pPr>
      <w:r>
        <w:rPr>
          <w:rFonts w:hint="eastAsia" w:eastAsia="方正仿宋_GBK"/>
          <w:snapToGrid w:val="0"/>
          <w:color w:val="000000"/>
          <w:kern w:val="0"/>
          <w:sz w:val="24"/>
        </w:rPr>
        <w:t>各省辖市建设局（委）、各有关单位：</w:t>
      </w:r>
    </w:p>
    <w:p>
      <w:pPr>
        <w:spacing w:line="460" w:lineRule="exact"/>
        <w:ind w:firstLine="480" w:firstLineChars="200"/>
        <w:rPr>
          <w:rFonts w:eastAsia="方正仿宋_GBK"/>
          <w:snapToGrid w:val="0"/>
          <w:color w:val="000000"/>
          <w:kern w:val="0"/>
          <w:sz w:val="24"/>
        </w:rPr>
      </w:pPr>
      <w:r>
        <w:rPr>
          <w:rFonts w:hint="eastAsia" w:eastAsia="方正仿宋_GBK"/>
          <w:snapToGrid w:val="0"/>
          <w:color w:val="000000"/>
          <w:kern w:val="0"/>
          <w:sz w:val="24"/>
        </w:rPr>
        <w:t>为贯彻落实科学发展观，促进资源节约型、环境友好型社会建设和建设事业可持续发展，加快推进我省绿色建筑及其技术的健康发展，根据《省政府办公厅关于加强建筑节能工作的通知》（苏政办发﹝</w:t>
      </w:r>
      <w:r>
        <w:rPr>
          <w:rFonts w:eastAsia="方正仿宋_GBK"/>
          <w:snapToGrid w:val="0"/>
          <w:color w:val="000000"/>
          <w:kern w:val="0"/>
          <w:sz w:val="24"/>
        </w:rPr>
        <w:t>2008</w:t>
      </w:r>
      <w:r>
        <w:rPr>
          <w:rFonts w:hint="eastAsia" w:eastAsia="方正仿宋_GBK"/>
          <w:snapToGrid w:val="0"/>
          <w:color w:val="000000"/>
          <w:kern w:val="0"/>
          <w:sz w:val="24"/>
        </w:rPr>
        <w:t>﹞</w:t>
      </w:r>
      <w:r>
        <w:rPr>
          <w:rFonts w:eastAsia="方正仿宋_GBK"/>
          <w:snapToGrid w:val="0"/>
          <w:color w:val="000000"/>
          <w:kern w:val="0"/>
          <w:sz w:val="24"/>
        </w:rPr>
        <w:t>17</w:t>
      </w:r>
      <w:r>
        <w:rPr>
          <w:rFonts w:hint="eastAsia" w:eastAsia="方正仿宋_GBK"/>
          <w:snapToGrid w:val="0"/>
          <w:color w:val="000000"/>
          <w:kern w:val="0"/>
          <w:sz w:val="24"/>
        </w:rPr>
        <w:t>号），省政府决定设立</w:t>
      </w:r>
      <w:r>
        <w:rPr>
          <w:rFonts w:eastAsia="方正仿宋_GBK"/>
          <w:snapToGrid w:val="0"/>
          <w:color w:val="000000"/>
          <w:kern w:val="0"/>
          <w:sz w:val="24"/>
        </w:rPr>
        <w:t>“</w:t>
      </w:r>
      <w:r>
        <w:rPr>
          <w:rFonts w:hint="eastAsia" w:eastAsia="方正仿宋_GBK"/>
          <w:snapToGrid w:val="0"/>
          <w:color w:val="000000"/>
          <w:kern w:val="0"/>
          <w:sz w:val="24"/>
        </w:rPr>
        <w:t>江苏省绿色建筑奖</w:t>
      </w:r>
      <w:r>
        <w:rPr>
          <w:rFonts w:eastAsia="方正仿宋_GBK"/>
          <w:snapToGrid w:val="0"/>
          <w:color w:val="000000"/>
          <w:kern w:val="0"/>
          <w:sz w:val="24"/>
        </w:rPr>
        <w:t>”</w:t>
      </w:r>
      <w:r>
        <w:rPr>
          <w:rFonts w:hint="eastAsia" w:eastAsia="方正仿宋_GBK"/>
          <w:snapToGrid w:val="0"/>
          <w:color w:val="000000"/>
          <w:kern w:val="0"/>
          <w:sz w:val="24"/>
        </w:rPr>
        <w:t>，由我厅每年组织评审及表彰。现将《江苏省绿色建筑创新奖评审办法》印发给你们，请遵照执行。</w:t>
      </w:r>
    </w:p>
    <w:p>
      <w:pPr>
        <w:spacing w:line="460" w:lineRule="exact"/>
        <w:ind w:firstLine="480" w:firstLineChars="200"/>
        <w:rPr>
          <w:rFonts w:eastAsia="方正仿宋_GBK"/>
          <w:snapToGrid w:val="0"/>
          <w:color w:val="000000"/>
          <w:kern w:val="0"/>
          <w:sz w:val="24"/>
        </w:rPr>
      </w:pPr>
    </w:p>
    <w:p>
      <w:pPr>
        <w:spacing w:line="460" w:lineRule="exact"/>
        <w:ind w:firstLine="480" w:firstLineChars="200"/>
        <w:rPr>
          <w:rFonts w:eastAsia="方正仿宋_GBK"/>
          <w:snapToGrid w:val="0"/>
          <w:color w:val="000000"/>
          <w:kern w:val="0"/>
          <w:sz w:val="24"/>
        </w:rPr>
      </w:pPr>
      <w:r>
        <w:rPr>
          <w:rFonts w:hint="eastAsia" w:eastAsia="方正仿宋_GBK"/>
          <w:snapToGrid w:val="0"/>
          <w:color w:val="000000"/>
          <w:kern w:val="0"/>
          <w:sz w:val="24"/>
        </w:rPr>
        <w:t>附件：江苏省绿色建筑创新奖评审办法</w:t>
      </w:r>
    </w:p>
    <w:p>
      <w:pPr>
        <w:spacing w:line="460" w:lineRule="exact"/>
        <w:ind w:firstLine="480" w:firstLineChars="200"/>
        <w:rPr>
          <w:rFonts w:eastAsia="方正仿宋_GBK"/>
          <w:snapToGrid w:val="0"/>
          <w:color w:val="000000"/>
          <w:kern w:val="0"/>
          <w:sz w:val="24"/>
        </w:rPr>
      </w:pPr>
    </w:p>
    <w:p>
      <w:pPr>
        <w:spacing w:line="460" w:lineRule="exact"/>
        <w:ind w:firstLine="480" w:firstLineChars="200"/>
        <w:rPr>
          <w:rFonts w:eastAsia="方正仿宋_GBK"/>
          <w:snapToGrid w:val="0"/>
          <w:color w:val="000000"/>
          <w:kern w:val="0"/>
          <w:sz w:val="24"/>
        </w:rPr>
      </w:pPr>
      <w:r>
        <w:rPr>
          <w:rFonts w:eastAsia="方正仿宋_GBK"/>
          <w:snapToGrid w:val="0"/>
          <w:color w:val="000000"/>
          <w:kern w:val="0"/>
          <w:sz w:val="24"/>
        </w:rPr>
        <w:t xml:space="preserve">                                                  </w:t>
      </w:r>
      <w:r>
        <w:rPr>
          <w:rFonts w:hint="eastAsia" w:eastAsia="方正仿宋_GBK"/>
          <w:snapToGrid w:val="0"/>
          <w:color w:val="000000"/>
          <w:kern w:val="0"/>
          <w:sz w:val="24"/>
        </w:rPr>
        <w:t>江苏省建设厅</w:t>
      </w:r>
    </w:p>
    <w:p>
      <w:pPr>
        <w:spacing w:line="460" w:lineRule="exact"/>
        <w:ind w:right="498" w:rightChars="237" w:firstLine="480" w:firstLineChars="200"/>
        <w:jc w:val="right"/>
        <w:rPr>
          <w:rFonts w:eastAsia="方正仿宋_GBK"/>
          <w:snapToGrid w:val="0"/>
          <w:color w:val="000000"/>
          <w:kern w:val="0"/>
          <w:sz w:val="24"/>
        </w:rPr>
      </w:pPr>
      <w:r>
        <w:rPr>
          <w:rFonts w:eastAsia="方正仿宋_GBK"/>
          <w:snapToGrid w:val="0"/>
          <w:color w:val="000000"/>
          <w:kern w:val="0"/>
          <w:sz w:val="24"/>
        </w:rPr>
        <w:t xml:space="preserve">                              </w:t>
      </w:r>
      <w:r>
        <w:rPr>
          <w:rFonts w:hint="eastAsia" w:eastAsia="方正仿宋_GBK"/>
          <w:snapToGrid w:val="0"/>
          <w:color w:val="000000"/>
          <w:kern w:val="0"/>
          <w:sz w:val="24"/>
        </w:rPr>
        <w:t>二○○九年四月二日</w:t>
      </w:r>
    </w:p>
    <w:p>
      <w:pPr>
        <w:spacing w:line="460" w:lineRule="exact"/>
        <w:ind w:firstLine="480" w:firstLineChars="200"/>
        <w:jc w:val="center"/>
        <w:rPr>
          <w:rFonts w:eastAsia="方正仿宋_GBK"/>
          <w:snapToGrid w:val="0"/>
          <w:color w:val="000000"/>
          <w:kern w:val="0"/>
          <w:sz w:val="24"/>
        </w:rPr>
      </w:pPr>
    </w:p>
    <w:p>
      <w:pPr>
        <w:spacing w:line="460" w:lineRule="exact"/>
        <w:ind w:firstLine="480" w:firstLineChars="200"/>
        <w:rPr>
          <w:rFonts w:eastAsia="方正仿宋_GBK"/>
          <w:snapToGrid w:val="0"/>
          <w:color w:val="000000"/>
          <w:kern w:val="0"/>
          <w:sz w:val="24"/>
        </w:rPr>
      </w:pPr>
    </w:p>
    <w:p>
      <w:pPr>
        <w:spacing w:line="460" w:lineRule="exact"/>
        <w:ind w:firstLine="480" w:firstLineChars="200"/>
        <w:rPr>
          <w:rFonts w:eastAsia="方正仿宋_GBK"/>
          <w:snapToGrid w:val="0"/>
          <w:color w:val="000000"/>
          <w:kern w:val="0"/>
          <w:sz w:val="24"/>
        </w:rPr>
      </w:pPr>
    </w:p>
    <w:p>
      <w:pPr>
        <w:spacing w:line="460" w:lineRule="exact"/>
        <w:ind w:firstLine="480" w:firstLineChars="200"/>
        <w:rPr>
          <w:rFonts w:eastAsia="方正仿宋_GBK"/>
          <w:snapToGrid w:val="0"/>
          <w:color w:val="000000"/>
          <w:kern w:val="0"/>
          <w:sz w:val="24"/>
        </w:rPr>
      </w:pPr>
    </w:p>
    <w:p>
      <w:pPr>
        <w:spacing w:line="460" w:lineRule="exact"/>
        <w:ind w:firstLine="480" w:firstLineChars="200"/>
        <w:rPr>
          <w:rFonts w:eastAsia="方正仿宋_GBK"/>
          <w:snapToGrid w:val="0"/>
          <w:color w:val="000000"/>
          <w:kern w:val="0"/>
          <w:sz w:val="24"/>
        </w:rPr>
      </w:pPr>
    </w:p>
    <w:p>
      <w:pPr>
        <w:spacing w:line="460" w:lineRule="exact"/>
        <w:ind w:firstLine="480" w:firstLineChars="200"/>
        <w:rPr>
          <w:rFonts w:eastAsia="方正仿宋_GBK"/>
          <w:snapToGrid w:val="0"/>
          <w:color w:val="000000"/>
          <w:kern w:val="0"/>
          <w:sz w:val="24"/>
        </w:rPr>
      </w:pPr>
    </w:p>
    <w:p>
      <w:pPr>
        <w:spacing w:line="460" w:lineRule="exact"/>
        <w:ind w:firstLine="480" w:firstLineChars="200"/>
        <w:rPr>
          <w:rFonts w:eastAsia="方正仿宋_GBK"/>
          <w:snapToGrid w:val="0"/>
          <w:color w:val="000000"/>
          <w:kern w:val="0"/>
          <w:sz w:val="24"/>
        </w:rPr>
      </w:pPr>
    </w:p>
    <w:p>
      <w:pPr>
        <w:spacing w:line="460" w:lineRule="exact"/>
        <w:ind w:firstLine="480" w:firstLineChars="200"/>
        <w:rPr>
          <w:rFonts w:eastAsia="方正仿宋_GBK"/>
          <w:snapToGrid w:val="0"/>
          <w:color w:val="000000"/>
          <w:kern w:val="0"/>
          <w:sz w:val="24"/>
        </w:rPr>
      </w:pPr>
    </w:p>
    <w:p>
      <w:pPr>
        <w:spacing w:line="460" w:lineRule="exact"/>
        <w:ind w:firstLine="480" w:firstLineChars="200"/>
        <w:rPr>
          <w:rFonts w:eastAsia="方正仿宋_GBK"/>
          <w:snapToGrid w:val="0"/>
          <w:color w:val="000000"/>
          <w:kern w:val="0"/>
          <w:sz w:val="24"/>
        </w:rPr>
      </w:pPr>
    </w:p>
    <w:p>
      <w:pPr>
        <w:spacing w:line="460" w:lineRule="exact"/>
        <w:rPr>
          <w:rFonts w:ascii="Times New Roman" w:eastAsia="黑体"/>
          <w:snapToGrid w:val="0"/>
          <w:color w:val="000000"/>
          <w:kern w:val="0"/>
          <w:sz w:val="28"/>
          <w:szCs w:val="28"/>
        </w:rPr>
      </w:pPr>
      <w:r>
        <w:rPr>
          <w:rFonts w:eastAsia="方正仿宋_GBK"/>
          <w:snapToGrid w:val="0"/>
          <w:color w:val="000000"/>
          <w:kern w:val="0"/>
          <w:sz w:val="24"/>
        </w:rPr>
        <w:br w:type="column"/>
      </w:r>
      <w:r>
        <w:rPr>
          <w:rFonts w:hint="eastAsia" w:ascii="Times New Roman" w:eastAsia="黑体"/>
          <w:snapToGrid w:val="0"/>
          <w:color w:val="000000"/>
          <w:kern w:val="0"/>
          <w:sz w:val="28"/>
          <w:szCs w:val="28"/>
        </w:rPr>
        <w:t>附件1</w:t>
      </w:r>
    </w:p>
    <w:p>
      <w:pPr>
        <w:spacing w:line="460" w:lineRule="exact"/>
        <w:rPr>
          <w:rFonts w:hint="eastAsia" w:ascii="Times New Roman" w:eastAsia="黑体"/>
          <w:snapToGrid w:val="0"/>
          <w:color w:val="000000"/>
          <w:kern w:val="0"/>
          <w:sz w:val="28"/>
          <w:szCs w:val="28"/>
        </w:rPr>
      </w:pPr>
    </w:p>
    <w:p>
      <w:pPr>
        <w:pStyle w:val="10"/>
        <w:widowControl w:val="0"/>
        <w:spacing w:before="0" w:beforeAutospacing="0" w:after="0" w:afterAutospacing="0" w:line="460" w:lineRule="exact"/>
        <w:ind w:firstLine="723" w:firstLineChars="200"/>
        <w:jc w:val="center"/>
        <w:rPr>
          <w:rStyle w:val="14"/>
          <w:rFonts w:hint="eastAsia" w:ascii="Times New Roman" w:hAnsi="Times New Roman" w:eastAsia="方正小标宋简体"/>
          <w:b w:val="0"/>
          <w:bCs w:val="0"/>
          <w:sz w:val="36"/>
          <w:szCs w:val="36"/>
        </w:rPr>
      </w:pPr>
      <w:r>
        <w:rPr>
          <w:rStyle w:val="14"/>
          <w:rFonts w:hint="eastAsia" w:ascii="Times New Roman" w:hAnsi="Times New Roman" w:eastAsia="方正小标宋简体"/>
          <w:color w:val="000000"/>
          <w:sz w:val="36"/>
          <w:szCs w:val="36"/>
        </w:rPr>
        <w:t>江苏省绿色建筑创新奖评审办法</w:t>
      </w:r>
    </w:p>
    <w:p>
      <w:pPr>
        <w:pStyle w:val="10"/>
        <w:widowControl w:val="0"/>
        <w:spacing w:before="0" w:beforeAutospacing="0" w:after="0" w:afterAutospacing="0" w:line="440" w:lineRule="exact"/>
        <w:ind w:firstLine="482" w:firstLineChars="200"/>
        <w:jc w:val="center"/>
        <w:rPr>
          <w:rFonts w:hint="eastAsia" w:ascii="Times New Roman" w:hAnsi="Times New Roman" w:eastAsia="方正仿宋_GBK"/>
          <w:b/>
        </w:rPr>
      </w:pPr>
    </w:p>
    <w:p>
      <w:pPr>
        <w:pStyle w:val="10"/>
        <w:widowControl w:val="0"/>
        <w:spacing w:before="0" w:beforeAutospacing="0" w:after="0" w:afterAutospacing="0" w:line="440" w:lineRule="exact"/>
        <w:jc w:val="center"/>
        <w:rPr>
          <w:rFonts w:ascii="Times New Roman" w:hAnsi="Times New Roman" w:eastAsia="黑体"/>
          <w:color w:val="000000"/>
        </w:rPr>
      </w:pPr>
      <w:r>
        <w:rPr>
          <w:rFonts w:hint="eastAsia" w:ascii="Times New Roman" w:hAnsi="Times New Roman" w:eastAsia="黑体"/>
          <w:color w:val="000000"/>
        </w:rPr>
        <w:t>第一章　总则</w:t>
      </w:r>
    </w:p>
    <w:p>
      <w:pPr>
        <w:pStyle w:val="10"/>
        <w:widowControl w:val="0"/>
        <w:spacing w:before="0" w:beforeAutospacing="0" w:after="0" w:afterAutospacing="0" w:line="440" w:lineRule="exact"/>
        <w:ind w:firstLine="482" w:firstLineChars="200"/>
        <w:jc w:val="both"/>
        <w:rPr>
          <w:rFonts w:hint="eastAsia" w:ascii="Times New Roman" w:hAnsi="Times New Roman" w:eastAsia="方正仿宋_GBK"/>
          <w:b/>
          <w:color w:val="000000"/>
        </w:rPr>
      </w:pPr>
    </w:p>
    <w:p>
      <w:pPr>
        <w:pStyle w:val="10"/>
        <w:widowControl w:val="0"/>
        <w:spacing w:before="0" w:beforeAutospacing="0" w:after="0" w:afterAutospacing="0" w:line="440" w:lineRule="exact"/>
        <w:ind w:firstLine="480" w:firstLineChars="200"/>
        <w:jc w:val="both"/>
        <w:rPr>
          <w:rFonts w:ascii="Times New Roman" w:hAnsi="Times New Roman" w:eastAsia="方正仿宋_GBK"/>
          <w:color w:val="000000"/>
          <w:spacing w:val="-6"/>
        </w:rPr>
      </w:pPr>
      <w:r>
        <w:rPr>
          <w:rFonts w:hint="eastAsia" w:ascii="Times New Roman" w:hAnsi="Times New Roman" w:eastAsia="黑体"/>
          <w:color w:val="000000"/>
        </w:rPr>
        <w:t>第一条</w:t>
      </w:r>
      <w:r>
        <w:rPr>
          <w:rFonts w:hint="eastAsia" w:ascii="Times New Roman" w:hAnsi="Times New Roman" w:eastAsia="方正仿宋_GBK"/>
          <w:color w:val="000000"/>
        </w:rPr>
        <w:t>　</w:t>
      </w:r>
      <w:r>
        <w:rPr>
          <w:rFonts w:hint="eastAsia" w:ascii="Times New Roman" w:hAnsi="Times New Roman" w:eastAsia="方正仿宋_GBK"/>
          <w:color w:val="000000"/>
          <w:spacing w:val="-6"/>
        </w:rPr>
        <w:t>为贯彻落实科学发展观，促进节约资源、保护环境和建设事业可持续发展，推动我省绿色建筑及其技术的健康发展，规范我省绿色建筑创新奖的评选，根据《全国绿色建筑创新奖管理办法》、《全国绿色建筑创新奖实施细则》和《省政府办公厅关于加强建筑节能工作的通知》、《江苏省绿色建筑评价标准》，制定本办法。</w:t>
      </w:r>
    </w:p>
    <w:p>
      <w:pPr>
        <w:pStyle w:val="10"/>
        <w:widowControl w:val="0"/>
        <w:spacing w:before="0" w:beforeAutospacing="0" w:after="0" w:afterAutospacing="0" w:line="440" w:lineRule="exact"/>
        <w:ind w:firstLine="480" w:firstLineChars="200"/>
        <w:jc w:val="both"/>
        <w:rPr>
          <w:rFonts w:ascii="Times New Roman" w:hAnsi="Times New Roman" w:eastAsia="方正仿宋_GBK"/>
          <w:color w:val="000000"/>
        </w:rPr>
      </w:pPr>
      <w:r>
        <w:rPr>
          <w:rFonts w:hint="eastAsia" w:ascii="Times New Roman" w:hAnsi="Times New Roman" w:eastAsia="黑体"/>
          <w:color w:val="000000"/>
        </w:rPr>
        <w:t>第二条　</w:t>
      </w:r>
      <w:r>
        <w:rPr>
          <w:rFonts w:hint="eastAsia" w:ascii="Times New Roman" w:hAnsi="Times New Roman" w:eastAsia="方正仿宋_GBK"/>
          <w:color w:val="000000"/>
        </w:rPr>
        <w:t>绿色建筑是指在建筑的全寿命周期内，最大限度地节约资源（节能、节地、节水、节材）、保护环境和减少污染，为人们提供健康、适用和高效的使用空间，与自然和谐共生的建筑。</w:t>
      </w:r>
    </w:p>
    <w:p>
      <w:pPr>
        <w:pStyle w:val="10"/>
        <w:widowControl w:val="0"/>
        <w:spacing w:before="0" w:beforeAutospacing="0" w:after="0" w:afterAutospacing="0" w:line="440" w:lineRule="exact"/>
        <w:ind w:firstLine="480" w:firstLineChars="200"/>
        <w:rPr>
          <w:rFonts w:ascii="Times New Roman" w:hAnsi="Times New Roman" w:eastAsia="方正仿宋_GBK"/>
          <w:color w:val="000000"/>
        </w:rPr>
      </w:pPr>
      <w:r>
        <w:rPr>
          <w:rFonts w:hint="eastAsia" w:ascii="Times New Roman" w:hAnsi="Times New Roman" w:eastAsia="黑体"/>
          <w:color w:val="000000"/>
        </w:rPr>
        <w:t>第三条</w:t>
      </w:r>
      <w:r>
        <w:rPr>
          <w:rFonts w:ascii="Times New Roman" w:hAnsi="Times New Roman" w:eastAsia="方正仿宋_GBK"/>
          <w:b/>
          <w:color w:val="000000"/>
        </w:rPr>
        <w:t xml:space="preserve"> </w:t>
      </w:r>
      <w:r>
        <w:rPr>
          <w:rFonts w:ascii="Times New Roman" w:hAnsi="Times New Roman" w:eastAsia="方正仿宋_GBK"/>
          <w:color w:val="000000"/>
        </w:rPr>
        <w:t xml:space="preserve"> </w:t>
      </w:r>
      <w:r>
        <w:rPr>
          <w:rFonts w:hint="eastAsia" w:ascii="Times New Roman" w:hAnsi="Times New Roman" w:eastAsia="方正仿宋_GBK"/>
          <w:color w:val="000000"/>
        </w:rPr>
        <w:t>江苏省绿色建筑创新奖是指对在在绿色建筑工程建设中具有重大创新、符合国家和我省绿色建筑标准、具有突出示范作用的工程项目以及在建设绿色建筑中做出重要贡献的组织和人员设立的奖项。</w:t>
      </w:r>
    </w:p>
    <w:p>
      <w:pPr>
        <w:pStyle w:val="10"/>
        <w:widowControl w:val="0"/>
        <w:spacing w:before="0" w:beforeAutospacing="0" w:after="0" w:afterAutospacing="0" w:line="440" w:lineRule="exact"/>
        <w:ind w:firstLine="480" w:firstLineChars="200"/>
        <w:rPr>
          <w:rFonts w:ascii="Times New Roman" w:hAnsi="Times New Roman" w:eastAsia="方正仿宋_GBK"/>
          <w:color w:val="000000"/>
        </w:rPr>
      </w:pPr>
      <w:r>
        <w:rPr>
          <w:rFonts w:hint="eastAsia" w:ascii="Times New Roman" w:hAnsi="Times New Roman" w:eastAsia="黑体"/>
          <w:color w:val="000000"/>
        </w:rPr>
        <w:t>第四条　</w:t>
      </w:r>
      <w:r>
        <w:rPr>
          <w:rFonts w:hint="eastAsia" w:ascii="Times New Roman" w:hAnsi="Times New Roman" w:eastAsia="方正仿宋_GBK"/>
          <w:color w:val="000000"/>
        </w:rPr>
        <w:t>江苏省绿色建筑创新奖每年评选一次，分设一等奖、二等奖和三等奖。</w:t>
      </w:r>
    </w:p>
    <w:p>
      <w:pPr>
        <w:pStyle w:val="10"/>
        <w:widowControl w:val="0"/>
        <w:spacing w:before="0" w:beforeAutospacing="0" w:after="0" w:afterAutospacing="0" w:line="440" w:lineRule="exact"/>
        <w:ind w:firstLine="480" w:firstLineChars="200"/>
        <w:jc w:val="both"/>
        <w:rPr>
          <w:rFonts w:ascii="Times New Roman" w:hAnsi="Times New Roman" w:eastAsia="方正仿宋_GBK"/>
          <w:color w:val="000000"/>
        </w:rPr>
      </w:pPr>
      <w:r>
        <w:rPr>
          <w:rFonts w:hint="eastAsia" w:ascii="Times New Roman" w:hAnsi="Times New Roman" w:eastAsia="黑体"/>
          <w:color w:val="000000"/>
        </w:rPr>
        <w:t>第五条</w:t>
      </w:r>
      <w:r>
        <w:rPr>
          <w:rFonts w:ascii="Times New Roman" w:hAnsi="Times New Roman" w:eastAsia="方正仿宋_GBK"/>
          <w:color w:val="000000"/>
        </w:rPr>
        <w:t xml:space="preserve">  </w:t>
      </w:r>
      <w:r>
        <w:rPr>
          <w:rFonts w:hint="eastAsia" w:ascii="Times New Roman" w:hAnsi="Times New Roman" w:eastAsia="方正仿宋_GBK"/>
          <w:color w:val="000000"/>
        </w:rPr>
        <w:t>在获得江苏省绿色建筑创新奖的基础上推荐参加国家级绿色建筑创新奖的评选。</w:t>
      </w:r>
    </w:p>
    <w:p>
      <w:pPr>
        <w:pStyle w:val="10"/>
        <w:widowControl w:val="0"/>
        <w:spacing w:before="0" w:beforeAutospacing="0" w:after="0" w:afterAutospacing="0" w:line="440" w:lineRule="exact"/>
        <w:ind w:firstLine="480" w:firstLineChars="200"/>
        <w:jc w:val="both"/>
        <w:rPr>
          <w:rFonts w:ascii="Times New Roman" w:hAnsi="Times New Roman" w:eastAsia="方正仿宋_GBK"/>
          <w:color w:val="000000"/>
        </w:rPr>
      </w:pPr>
      <w:r>
        <w:rPr>
          <w:rFonts w:hint="eastAsia" w:ascii="Times New Roman" w:hAnsi="Times New Roman" w:eastAsia="黑体"/>
          <w:color w:val="000000"/>
        </w:rPr>
        <w:t>第六条　</w:t>
      </w:r>
      <w:r>
        <w:rPr>
          <w:rFonts w:hint="eastAsia" w:ascii="Times New Roman" w:hAnsi="Times New Roman" w:eastAsia="方正仿宋_GBK"/>
          <w:color w:val="000000"/>
        </w:rPr>
        <w:t>江苏省绿色建筑创新奖的申报遵循自愿原则。评选工作遵循实事求是、科学严谨和公开、公平、公正的原则。</w:t>
      </w:r>
    </w:p>
    <w:p>
      <w:pPr>
        <w:pStyle w:val="10"/>
        <w:widowControl w:val="0"/>
        <w:spacing w:before="0" w:beforeAutospacing="0" w:after="0" w:afterAutospacing="0" w:line="440" w:lineRule="exact"/>
        <w:ind w:firstLine="480" w:firstLineChars="200"/>
        <w:jc w:val="both"/>
        <w:rPr>
          <w:rFonts w:ascii="Times New Roman" w:hAnsi="Times New Roman" w:eastAsia="方正仿宋_GBK"/>
          <w:color w:val="000000"/>
        </w:rPr>
      </w:pPr>
      <w:r>
        <w:rPr>
          <w:rFonts w:hint="eastAsia" w:ascii="Times New Roman" w:hAnsi="Times New Roman" w:eastAsia="黑体"/>
          <w:color w:val="000000"/>
        </w:rPr>
        <w:t>第七条　</w:t>
      </w:r>
      <w:r>
        <w:rPr>
          <w:rFonts w:hint="eastAsia" w:ascii="Times New Roman" w:hAnsi="Times New Roman" w:eastAsia="方正仿宋_GBK"/>
          <w:color w:val="000000"/>
        </w:rPr>
        <w:t>江苏省住房和城乡建设厅负责江苏省绿色建筑创新奖的归口管理工作，江苏省住房和城乡建设厅科学技术委员会办公室负责江苏省绿色建筑创新奖的日常工作。各设区市建设行政主管部门负责组织本地区域内省绿色建筑创新奖项目的申报和初审、推荐上报工作。</w:t>
      </w:r>
    </w:p>
    <w:p>
      <w:pPr>
        <w:pStyle w:val="10"/>
        <w:widowControl w:val="0"/>
        <w:spacing w:before="0" w:beforeAutospacing="0" w:after="0" w:afterAutospacing="0" w:line="440" w:lineRule="exact"/>
        <w:ind w:firstLine="482" w:firstLineChars="200"/>
        <w:jc w:val="center"/>
        <w:rPr>
          <w:rFonts w:ascii="Times New Roman" w:hAnsi="Times New Roman" w:eastAsia="方正仿宋_GBK"/>
          <w:b/>
          <w:color w:val="000000"/>
        </w:rPr>
      </w:pPr>
    </w:p>
    <w:p>
      <w:pPr>
        <w:pStyle w:val="10"/>
        <w:widowControl w:val="0"/>
        <w:spacing w:before="0" w:beforeAutospacing="0" w:after="0" w:afterAutospacing="0" w:line="440" w:lineRule="exact"/>
        <w:jc w:val="center"/>
        <w:rPr>
          <w:rFonts w:ascii="Times New Roman" w:hAnsi="Times New Roman" w:eastAsia="黑体"/>
          <w:color w:val="000000"/>
        </w:rPr>
      </w:pPr>
      <w:r>
        <w:rPr>
          <w:rFonts w:hint="eastAsia" w:ascii="Times New Roman" w:hAnsi="Times New Roman" w:eastAsia="黑体"/>
          <w:color w:val="000000"/>
        </w:rPr>
        <w:t>第二章　申报的条件、内容和程序</w:t>
      </w:r>
    </w:p>
    <w:p>
      <w:pPr>
        <w:pStyle w:val="10"/>
        <w:widowControl w:val="0"/>
        <w:spacing w:before="0" w:beforeAutospacing="0" w:after="0" w:afterAutospacing="0" w:line="440" w:lineRule="exact"/>
        <w:ind w:firstLine="480" w:firstLineChars="200"/>
        <w:jc w:val="both"/>
        <w:rPr>
          <w:rFonts w:hint="eastAsia" w:ascii="Times New Roman" w:hAnsi="Times New Roman" w:eastAsia="黑体"/>
          <w:color w:val="000000"/>
        </w:rPr>
      </w:pPr>
    </w:p>
    <w:p>
      <w:pPr>
        <w:pStyle w:val="10"/>
        <w:widowControl w:val="0"/>
        <w:spacing w:before="0" w:beforeAutospacing="0" w:after="0" w:afterAutospacing="0" w:line="440" w:lineRule="exact"/>
        <w:ind w:firstLine="480" w:firstLineChars="200"/>
        <w:jc w:val="both"/>
        <w:rPr>
          <w:rFonts w:hint="eastAsia" w:ascii="Times New Roman" w:hAnsi="Times New Roman" w:eastAsia="方正仿宋_GBK"/>
          <w:color w:val="000000"/>
        </w:rPr>
      </w:pPr>
      <w:r>
        <w:rPr>
          <w:rFonts w:hint="eastAsia" w:ascii="Times New Roman" w:hAnsi="Times New Roman" w:eastAsia="黑体"/>
          <w:color w:val="000000"/>
        </w:rPr>
        <w:t>第八条　</w:t>
      </w:r>
      <w:r>
        <w:rPr>
          <w:rFonts w:hint="eastAsia" w:ascii="Times New Roman" w:hAnsi="Times New Roman" w:eastAsia="方正仿宋_GBK"/>
          <w:color w:val="000000"/>
        </w:rPr>
        <w:t>申报绿色建筑创新奖的基本条件：</w:t>
      </w:r>
    </w:p>
    <w:p>
      <w:pPr>
        <w:pStyle w:val="10"/>
        <w:widowControl w:val="0"/>
        <w:spacing w:before="0" w:beforeAutospacing="0" w:after="0" w:afterAutospacing="0" w:line="440" w:lineRule="exact"/>
        <w:ind w:firstLine="480" w:firstLineChars="200"/>
        <w:jc w:val="both"/>
        <w:rPr>
          <w:rFonts w:ascii="Times New Roman" w:hAnsi="Times New Roman" w:eastAsia="方正仿宋_GBK"/>
          <w:color w:val="000000"/>
        </w:rPr>
      </w:pPr>
      <w:r>
        <w:rPr>
          <w:rFonts w:hint="eastAsia" w:ascii="Times New Roman" w:hAnsi="Times New Roman" w:eastAsia="方正仿宋_GBK"/>
          <w:color w:val="000000"/>
        </w:rPr>
        <w:t>（一）在保护自然资源和生态环境、节能、节材、节水、节地、减少环境污染与智能化系统建设等方面，综合效果显著的公共建筑和住宅建筑工程。</w:t>
      </w:r>
    </w:p>
    <w:p>
      <w:pPr>
        <w:pStyle w:val="10"/>
        <w:widowControl w:val="0"/>
        <w:spacing w:before="0" w:beforeAutospacing="0" w:after="0" w:afterAutospacing="0" w:line="440" w:lineRule="exact"/>
        <w:ind w:firstLine="480" w:firstLineChars="200"/>
        <w:jc w:val="both"/>
        <w:rPr>
          <w:rFonts w:ascii="Times New Roman" w:hAnsi="Times New Roman" w:eastAsia="方正仿宋_GBK"/>
          <w:color w:val="000000"/>
        </w:rPr>
      </w:pPr>
      <w:r>
        <w:rPr>
          <w:rFonts w:hint="eastAsia" w:ascii="Times New Roman" w:hAnsi="Times New Roman" w:eastAsia="方正仿宋_GBK"/>
          <w:color w:val="000000"/>
        </w:rPr>
        <w:t>（二）符合国家和我省绿色建筑标准。</w:t>
      </w:r>
    </w:p>
    <w:p>
      <w:pPr>
        <w:pStyle w:val="10"/>
        <w:widowControl w:val="0"/>
        <w:spacing w:before="0" w:beforeAutospacing="0" w:after="0" w:afterAutospacing="0" w:line="440" w:lineRule="exact"/>
        <w:ind w:firstLine="480" w:firstLineChars="200"/>
        <w:jc w:val="both"/>
        <w:rPr>
          <w:rFonts w:ascii="Times New Roman" w:hAnsi="Times New Roman" w:eastAsia="方正仿宋_GBK"/>
          <w:color w:val="000000"/>
        </w:rPr>
      </w:pPr>
      <w:r>
        <w:rPr>
          <w:rFonts w:hint="eastAsia" w:ascii="Times New Roman" w:hAnsi="Times New Roman" w:eastAsia="方正仿宋_GBK"/>
          <w:color w:val="000000"/>
        </w:rPr>
        <w:t>（三）总体规划、建筑设计、建筑结构、施工质量等具有较高的水平，并具有示范作用。</w:t>
      </w:r>
    </w:p>
    <w:p>
      <w:pPr>
        <w:pStyle w:val="10"/>
        <w:widowControl w:val="0"/>
        <w:spacing w:before="0" w:beforeAutospacing="0" w:after="0" w:afterAutospacing="0" w:line="440" w:lineRule="exact"/>
        <w:ind w:firstLine="480" w:firstLineChars="200"/>
        <w:jc w:val="both"/>
        <w:rPr>
          <w:rFonts w:ascii="Times New Roman" w:hAnsi="Times New Roman" w:eastAsia="方正仿宋_GBK"/>
          <w:color w:val="000000"/>
        </w:rPr>
      </w:pPr>
      <w:r>
        <w:rPr>
          <w:rFonts w:hint="eastAsia" w:ascii="Times New Roman" w:hAnsi="Times New Roman" w:eastAsia="方正仿宋_GBK"/>
          <w:color w:val="000000"/>
        </w:rPr>
        <w:t>（四）规划与建筑设计、环境设计和智能化系统设计等要体现绿色建筑的特色，采用适合于绿色建筑的技术、工艺与产品，运营管理水平较高，实现社会、环境、经济效益的统一。</w:t>
      </w:r>
    </w:p>
    <w:p>
      <w:pPr>
        <w:pStyle w:val="10"/>
        <w:widowControl w:val="0"/>
        <w:spacing w:before="0" w:beforeAutospacing="0" w:after="0" w:afterAutospacing="0" w:line="440" w:lineRule="exact"/>
        <w:ind w:firstLine="480" w:firstLineChars="200"/>
        <w:jc w:val="both"/>
        <w:rPr>
          <w:rFonts w:ascii="Times New Roman" w:hAnsi="Times New Roman" w:eastAsia="方正仿宋_GBK"/>
          <w:color w:val="000000"/>
        </w:rPr>
      </w:pPr>
      <w:r>
        <w:rPr>
          <w:rFonts w:hint="eastAsia" w:ascii="Times New Roman" w:hAnsi="Times New Roman" w:eastAsia="方正仿宋_GBK"/>
          <w:color w:val="000000"/>
        </w:rPr>
        <w:t>（五）工程（含既有建筑改造工程）竣工验收合格后投入使用一年以上。</w:t>
      </w:r>
    </w:p>
    <w:p>
      <w:pPr>
        <w:pStyle w:val="10"/>
        <w:widowControl w:val="0"/>
        <w:spacing w:before="0" w:beforeAutospacing="0" w:after="0" w:afterAutospacing="0" w:line="440" w:lineRule="exact"/>
        <w:ind w:firstLine="480" w:firstLineChars="200"/>
        <w:jc w:val="both"/>
        <w:rPr>
          <w:rFonts w:ascii="Times New Roman" w:hAnsi="Times New Roman" w:eastAsia="方正仿宋_GBK"/>
          <w:color w:val="000000"/>
        </w:rPr>
      </w:pPr>
      <w:r>
        <w:rPr>
          <w:rFonts w:hint="eastAsia" w:ascii="Times New Roman" w:hAnsi="Times New Roman" w:eastAsia="方正仿宋_GBK"/>
          <w:color w:val="000000"/>
        </w:rPr>
        <w:t>（六）申报江苏省绿色建筑创新奖的住宅建筑入住率应达到</w:t>
      </w:r>
      <w:r>
        <w:rPr>
          <w:rFonts w:ascii="Times New Roman" w:hAnsi="Times New Roman" w:eastAsia="方正仿宋_GBK"/>
          <w:color w:val="000000"/>
        </w:rPr>
        <w:t>70</w:t>
      </w:r>
      <w:r>
        <w:rPr>
          <w:rFonts w:hint="eastAsia" w:ascii="Times New Roman" w:hAnsi="Times New Roman" w:eastAsia="方正仿宋_GBK"/>
          <w:color w:val="000000"/>
        </w:rPr>
        <w:t>％以上。</w:t>
      </w:r>
    </w:p>
    <w:p>
      <w:pPr>
        <w:pStyle w:val="10"/>
        <w:widowControl w:val="0"/>
        <w:spacing w:before="0" w:beforeAutospacing="0" w:after="0" w:afterAutospacing="0" w:line="440" w:lineRule="exact"/>
        <w:ind w:firstLine="480" w:firstLineChars="200"/>
        <w:jc w:val="both"/>
        <w:rPr>
          <w:rFonts w:ascii="Times New Roman" w:hAnsi="Times New Roman" w:eastAsia="方正仿宋_GBK"/>
          <w:color w:val="000000"/>
        </w:rPr>
      </w:pPr>
      <w:r>
        <w:rPr>
          <w:rFonts w:hint="eastAsia" w:ascii="Times New Roman" w:hAnsi="Times New Roman" w:eastAsia="黑体"/>
          <w:color w:val="000000"/>
        </w:rPr>
        <w:t>第九条　</w:t>
      </w:r>
      <w:r>
        <w:rPr>
          <w:rFonts w:hint="eastAsia" w:ascii="Times New Roman" w:hAnsi="Times New Roman" w:eastAsia="方正仿宋_GBK"/>
          <w:color w:val="000000"/>
        </w:rPr>
        <w:t>申报资料的内容和要求：</w:t>
      </w:r>
    </w:p>
    <w:p>
      <w:pPr>
        <w:pStyle w:val="10"/>
        <w:widowControl w:val="0"/>
        <w:spacing w:before="0" w:beforeAutospacing="0" w:after="0" w:afterAutospacing="0" w:line="440" w:lineRule="exact"/>
        <w:ind w:firstLine="480" w:firstLineChars="200"/>
        <w:jc w:val="both"/>
        <w:rPr>
          <w:rFonts w:ascii="Times New Roman" w:hAnsi="Times New Roman" w:eastAsia="方正仿宋_GBK"/>
          <w:color w:val="000000"/>
        </w:rPr>
      </w:pPr>
      <w:r>
        <w:rPr>
          <w:rFonts w:hint="eastAsia" w:ascii="Times New Roman" w:hAnsi="Times New Roman" w:eastAsia="方正仿宋_GBK"/>
          <w:color w:val="000000"/>
        </w:rPr>
        <w:t>（一）《江苏省绿色建筑创新奖申报表》一式</w:t>
      </w:r>
      <w:r>
        <w:rPr>
          <w:rFonts w:ascii="Times New Roman" w:hAnsi="Times New Roman" w:eastAsia="方正仿宋_GBK"/>
          <w:color w:val="000000"/>
        </w:rPr>
        <w:t>3</w:t>
      </w:r>
      <w:r>
        <w:rPr>
          <w:rFonts w:hint="eastAsia" w:ascii="Times New Roman" w:hAnsi="Times New Roman" w:eastAsia="方正仿宋_GBK"/>
          <w:color w:val="000000"/>
        </w:rPr>
        <w:t>份；</w:t>
      </w:r>
    </w:p>
    <w:p>
      <w:pPr>
        <w:pStyle w:val="10"/>
        <w:widowControl w:val="0"/>
        <w:spacing w:before="0" w:beforeAutospacing="0" w:after="0" w:afterAutospacing="0" w:line="440" w:lineRule="exact"/>
        <w:ind w:firstLine="480" w:firstLineChars="200"/>
        <w:jc w:val="both"/>
        <w:rPr>
          <w:rFonts w:ascii="Times New Roman" w:hAnsi="Times New Roman" w:eastAsia="方正仿宋_GBK"/>
          <w:color w:val="000000"/>
        </w:rPr>
      </w:pPr>
      <w:r>
        <w:rPr>
          <w:rFonts w:hint="eastAsia" w:ascii="Times New Roman" w:hAnsi="Times New Roman" w:eastAsia="方正仿宋_GBK"/>
          <w:color w:val="000000"/>
        </w:rPr>
        <w:t>（二）工程项目总结报告一式</w:t>
      </w:r>
      <w:r>
        <w:rPr>
          <w:rFonts w:ascii="Times New Roman" w:hAnsi="Times New Roman" w:eastAsia="方正仿宋_GBK"/>
          <w:color w:val="000000"/>
        </w:rPr>
        <w:t>3</w:t>
      </w:r>
      <w:r>
        <w:rPr>
          <w:rFonts w:hint="eastAsia" w:ascii="Times New Roman" w:hAnsi="Times New Roman" w:eastAsia="方正仿宋_GBK"/>
          <w:color w:val="000000"/>
        </w:rPr>
        <w:t>份：</w:t>
      </w:r>
    </w:p>
    <w:p>
      <w:pPr>
        <w:pStyle w:val="10"/>
        <w:widowControl w:val="0"/>
        <w:spacing w:before="0" w:beforeAutospacing="0" w:after="0" w:afterAutospacing="0" w:line="440" w:lineRule="exact"/>
        <w:ind w:firstLine="480" w:firstLineChars="200"/>
        <w:jc w:val="both"/>
        <w:rPr>
          <w:rFonts w:ascii="Times New Roman" w:hAnsi="Times New Roman" w:eastAsia="方正仿宋_GBK"/>
          <w:color w:val="000000"/>
        </w:rPr>
      </w:pPr>
      <w:r>
        <w:rPr>
          <w:rFonts w:ascii="Times New Roman" w:hAnsi="Times New Roman" w:eastAsia="方正仿宋_GBK"/>
          <w:color w:val="000000"/>
        </w:rPr>
        <w:t>1</w:t>
      </w:r>
      <w:r>
        <w:rPr>
          <w:rFonts w:hint="eastAsia" w:ascii="Times New Roman" w:hAnsi="Times New Roman" w:eastAsia="方正仿宋_GBK"/>
          <w:color w:val="000000"/>
        </w:rPr>
        <w:t>、工程概况；</w:t>
      </w:r>
    </w:p>
    <w:p>
      <w:pPr>
        <w:pStyle w:val="10"/>
        <w:widowControl w:val="0"/>
        <w:spacing w:before="0" w:beforeAutospacing="0" w:after="0" w:afterAutospacing="0" w:line="440" w:lineRule="exact"/>
        <w:ind w:firstLine="480" w:firstLineChars="200"/>
        <w:jc w:val="both"/>
        <w:rPr>
          <w:rFonts w:ascii="Times New Roman" w:hAnsi="Times New Roman" w:eastAsia="方正仿宋_GBK"/>
          <w:color w:val="000000"/>
        </w:rPr>
      </w:pPr>
      <w:r>
        <w:rPr>
          <w:rFonts w:ascii="Times New Roman" w:hAnsi="Times New Roman" w:eastAsia="方正仿宋_GBK"/>
          <w:color w:val="000000"/>
        </w:rPr>
        <w:t>2</w:t>
      </w:r>
      <w:r>
        <w:rPr>
          <w:rFonts w:hint="eastAsia" w:ascii="Times New Roman" w:hAnsi="Times New Roman" w:eastAsia="方正仿宋_GBK"/>
          <w:color w:val="000000"/>
        </w:rPr>
        <w:t>、节能工程的主要应用技术；</w:t>
      </w:r>
    </w:p>
    <w:p>
      <w:pPr>
        <w:pStyle w:val="10"/>
        <w:widowControl w:val="0"/>
        <w:spacing w:before="0" w:beforeAutospacing="0" w:after="0" w:afterAutospacing="0" w:line="440" w:lineRule="exact"/>
        <w:ind w:firstLine="480" w:firstLineChars="200"/>
        <w:jc w:val="both"/>
        <w:rPr>
          <w:rFonts w:ascii="Times New Roman" w:hAnsi="Times New Roman" w:eastAsia="方正仿宋_GBK"/>
          <w:color w:val="000000"/>
        </w:rPr>
      </w:pPr>
      <w:r>
        <w:rPr>
          <w:rFonts w:ascii="Times New Roman" w:hAnsi="Times New Roman" w:eastAsia="方正仿宋_GBK"/>
          <w:color w:val="000000"/>
        </w:rPr>
        <w:t>3</w:t>
      </w:r>
      <w:r>
        <w:rPr>
          <w:rFonts w:hint="eastAsia" w:ascii="Times New Roman" w:hAnsi="Times New Roman" w:eastAsia="方正仿宋_GBK"/>
          <w:color w:val="000000"/>
        </w:rPr>
        <w:t>、节能工程实施情况（包括设计、施工与运行管理）；</w:t>
      </w:r>
    </w:p>
    <w:p>
      <w:pPr>
        <w:pStyle w:val="10"/>
        <w:widowControl w:val="0"/>
        <w:spacing w:before="0" w:beforeAutospacing="0" w:after="0" w:afterAutospacing="0" w:line="440" w:lineRule="exact"/>
        <w:ind w:firstLine="480" w:firstLineChars="200"/>
        <w:jc w:val="both"/>
        <w:rPr>
          <w:rFonts w:ascii="Times New Roman" w:hAnsi="Times New Roman" w:eastAsia="方正仿宋_GBK"/>
          <w:color w:val="000000"/>
        </w:rPr>
      </w:pPr>
      <w:r>
        <w:rPr>
          <w:rFonts w:ascii="Times New Roman" w:hAnsi="Times New Roman" w:eastAsia="方正仿宋_GBK"/>
          <w:color w:val="000000"/>
        </w:rPr>
        <w:t>4</w:t>
      </w:r>
      <w:r>
        <w:rPr>
          <w:rFonts w:hint="eastAsia" w:ascii="Times New Roman" w:hAnsi="Times New Roman" w:eastAsia="方正仿宋_GBK"/>
          <w:color w:val="000000"/>
        </w:rPr>
        <w:t>、技术创新点；</w:t>
      </w:r>
    </w:p>
    <w:p>
      <w:pPr>
        <w:pStyle w:val="10"/>
        <w:widowControl w:val="0"/>
        <w:spacing w:before="0" w:beforeAutospacing="0" w:after="0" w:afterAutospacing="0" w:line="440" w:lineRule="exact"/>
        <w:ind w:firstLine="480" w:firstLineChars="200"/>
        <w:jc w:val="both"/>
        <w:rPr>
          <w:rFonts w:ascii="Times New Roman" w:hAnsi="Times New Roman" w:eastAsia="方正仿宋_GBK"/>
          <w:color w:val="000000"/>
        </w:rPr>
      </w:pPr>
      <w:r>
        <w:rPr>
          <w:rFonts w:ascii="Times New Roman" w:hAnsi="Times New Roman" w:eastAsia="方正仿宋_GBK"/>
          <w:color w:val="000000"/>
        </w:rPr>
        <w:t>5</w:t>
      </w:r>
      <w:r>
        <w:rPr>
          <w:rFonts w:hint="eastAsia" w:ascii="Times New Roman" w:hAnsi="Times New Roman" w:eastAsia="方正仿宋_GBK"/>
          <w:color w:val="000000"/>
        </w:rPr>
        <w:t>、技术经济分析；</w:t>
      </w:r>
    </w:p>
    <w:p>
      <w:pPr>
        <w:pStyle w:val="10"/>
        <w:widowControl w:val="0"/>
        <w:spacing w:before="0" w:beforeAutospacing="0" w:after="0" w:afterAutospacing="0" w:line="440" w:lineRule="exact"/>
        <w:ind w:firstLine="480" w:firstLineChars="200"/>
        <w:jc w:val="both"/>
        <w:rPr>
          <w:rFonts w:ascii="Times New Roman" w:hAnsi="Times New Roman" w:eastAsia="方正仿宋_GBK"/>
          <w:color w:val="000000"/>
        </w:rPr>
      </w:pPr>
      <w:r>
        <w:rPr>
          <w:rFonts w:ascii="Times New Roman" w:hAnsi="Times New Roman" w:eastAsia="方正仿宋_GBK"/>
          <w:color w:val="000000"/>
        </w:rPr>
        <w:t>6</w:t>
      </w:r>
      <w:r>
        <w:rPr>
          <w:rFonts w:hint="eastAsia" w:ascii="Times New Roman" w:hAnsi="Times New Roman" w:eastAsia="方正仿宋_GBK"/>
          <w:color w:val="000000"/>
        </w:rPr>
        <w:t>、能耗检测与结果分析；</w:t>
      </w:r>
    </w:p>
    <w:p>
      <w:pPr>
        <w:pStyle w:val="10"/>
        <w:widowControl w:val="0"/>
        <w:spacing w:before="0" w:beforeAutospacing="0" w:after="0" w:afterAutospacing="0" w:line="440" w:lineRule="exact"/>
        <w:ind w:firstLine="480" w:firstLineChars="200"/>
        <w:rPr>
          <w:rFonts w:ascii="Times New Roman" w:hAnsi="Times New Roman" w:eastAsia="方正仿宋_GBK"/>
          <w:color w:val="000000"/>
        </w:rPr>
      </w:pPr>
      <w:r>
        <w:rPr>
          <w:rFonts w:ascii="Times New Roman" w:hAnsi="Times New Roman" w:eastAsia="方正仿宋_GBK"/>
          <w:color w:val="000000"/>
        </w:rPr>
        <w:t>7</w:t>
      </w:r>
      <w:r>
        <w:rPr>
          <w:rFonts w:hint="eastAsia" w:ascii="Times New Roman" w:hAnsi="Times New Roman" w:eastAsia="方正仿宋_GBK"/>
          <w:color w:val="000000"/>
        </w:rPr>
        <w:t>、工程竣工报告。</w:t>
      </w:r>
    </w:p>
    <w:p>
      <w:pPr>
        <w:pStyle w:val="10"/>
        <w:widowControl w:val="0"/>
        <w:spacing w:before="0" w:beforeAutospacing="0" w:after="0" w:afterAutospacing="0" w:line="440" w:lineRule="exact"/>
        <w:ind w:firstLine="480" w:firstLineChars="200"/>
        <w:jc w:val="both"/>
        <w:rPr>
          <w:rFonts w:ascii="Times New Roman" w:hAnsi="Times New Roman" w:eastAsia="方正仿宋_GBK"/>
          <w:color w:val="000000"/>
        </w:rPr>
      </w:pPr>
      <w:r>
        <w:rPr>
          <w:rFonts w:hint="eastAsia" w:ascii="Times New Roman" w:hAnsi="Times New Roman" w:eastAsia="方正仿宋_GBK"/>
          <w:color w:val="000000"/>
        </w:rPr>
        <w:t>（三）有关资料一式</w:t>
      </w:r>
      <w:r>
        <w:rPr>
          <w:rFonts w:ascii="Times New Roman" w:hAnsi="Times New Roman" w:eastAsia="方正仿宋_GBK"/>
          <w:color w:val="000000"/>
        </w:rPr>
        <w:t>3</w:t>
      </w:r>
      <w:r>
        <w:rPr>
          <w:rFonts w:hint="eastAsia" w:ascii="Times New Roman" w:hAnsi="Times New Roman" w:eastAsia="方正仿宋_GBK"/>
          <w:color w:val="000000"/>
        </w:rPr>
        <w:t>份并按以下顺序装订成册。</w:t>
      </w:r>
    </w:p>
    <w:p>
      <w:pPr>
        <w:pStyle w:val="10"/>
        <w:widowControl w:val="0"/>
        <w:spacing w:before="0" w:beforeAutospacing="0" w:after="0" w:afterAutospacing="0" w:line="440" w:lineRule="exact"/>
        <w:ind w:firstLine="480" w:firstLineChars="200"/>
        <w:jc w:val="both"/>
        <w:rPr>
          <w:rFonts w:ascii="Times New Roman" w:hAnsi="Times New Roman" w:eastAsia="方正仿宋_GBK"/>
          <w:color w:val="000000"/>
        </w:rPr>
      </w:pPr>
      <w:r>
        <w:rPr>
          <w:rFonts w:ascii="Times New Roman" w:hAnsi="Times New Roman" w:eastAsia="方正仿宋_GBK"/>
          <w:color w:val="000000"/>
        </w:rPr>
        <w:t>1</w:t>
      </w:r>
      <w:r>
        <w:rPr>
          <w:rFonts w:hint="eastAsia" w:ascii="Times New Roman" w:hAnsi="Times New Roman" w:eastAsia="方正仿宋_GBK"/>
          <w:color w:val="000000"/>
        </w:rPr>
        <w:t>、工程项目计划任务书；</w:t>
      </w:r>
    </w:p>
    <w:p>
      <w:pPr>
        <w:pStyle w:val="10"/>
        <w:widowControl w:val="0"/>
        <w:spacing w:before="0" w:beforeAutospacing="0" w:after="0" w:afterAutospacing="0" w:line="440" w:lineRule="exact"/>
        <w:ind w:firstLine="480" w:firstLineChars="200"/>
        <w:jc w:val="both"/>
        <w:rPr>
          <w:rFonts w:ascii="Times New Roman" w:hAnsi="Times New Roman" w:eastAsia="方正仿宋_GBK"/>
          <w:color w:val="000000"/>
        </w:rPr>
      </w:pPr>
      <w:r>
        <w:rPr>
          <w:rFonts w:ascii="Times New Roman" w:hAnsi="Times New Roman" w:eastAsia="方正仿宋_GBK"/>
          <w:color w:val="000000"/>
        </w:rPr>
        <w:t>2</w:t>
      </w:r>
      <w:r>
        <w:rPr>
          <w:rFonts w:hint="eastAsia" w:ascii="Times New Roman" w:hAnsi="Times New Roman" w:eastAsia="方正仿宋_GBK"/>
          <w:color w:val="000000"/>
        </w:rPr>
        <w:t>、验收合格证书与建筑能效标识、绿色建筑标识相关的验收材料；</w:t>
      </w:r>
    </w:p>
    <w:p>
      <w:pPr>
        <w:pStyle w:val="10"/>
        <w:widowControl w:val="0"/>
        <w:spacing w:before="0" w:beforeAutospacing="0" w:after="0" w:afterAutospacing="0" w:line="440" w:lineRule="exact"/>
        <w:ind w:firstLine="480" w:firstLineChars="200"/>
        <w:jc w:val="both"/>
        <w:rPr>
          <w:rFonts w:ascii="Times New Roman" w:hAnsi="Times New Roman" w:eastAsia="方正仿宋_GBK"/>
          <w:color w:val="000000"/>
        </w:rPr>
      </w:pPr>
      <w:r>
        <w:rPr>
          <w:rFonts w:ascii="Times New Roman" w:hAnsi="Times New Roman" w:eastAsia="方正仿宋_GBK"/>
          <w:color w:val="000000"/>
        </w:rPr>
        <w:t>3</w:t>
      </w:r>
      <w:r>
        <w:rPr>
          <w:rFonts w:hint="eastAsia" w:ascii="Times New Roman" w:hAnsi="Times New Roman" w:eastAsia="方正仿宋_GBK"/>
          <w:color w:val="000000"/>
        </w:rPr>
        <w:t>、申报工程的业主委员会或使用单位出具的用户意见。</w:t>
      </w:r>
    </w:p>
    <w:p>
      <w:pPr>
        <w:pStyle w:val="10"/>
        <w:widowControl w:val="0"/>
        <w:spacing w:before="0" w:beforeAutospacing="0" w:after="0" w:afterAutospacing="0" w:line="440" w:lineRule="exact"/>
        <w:ind w:firstLine="480" w:firstLineChars="200"/>
        <w:jc w:val="both"/>
        <w:rPr>
          <w:rFonts w:ascii="Times New Roman" w:hAnsi="Times New Roman" w:eastAsia="方正仿宋_GBK"/>
          <w:color w:val="000000"/>
        </w:rPr>
      </w:pPr>
      <w:r>
        <w:rPr>
          <w:rFonts w:hint="eastAsia" w:ascii="Times New Roman" w:hAnsi="Times New Roman" w:eastAsia="方正仿宋_GBK"/>
          <w:color w:val="000000"/>
        </w:rPr>
        <w:t>（四）介绍项目总体情况的光盘（时间不超过</w:t>
      </w:r>
      <w:r>
        <w:rPr>
          <w:rFonts w:ascii="Times New Roman" w:hAnsi="Times New Roman" w:eastAsia="方正仿宋_GBK"/>
          <w:color w:val="000000"/>
        </w:rPr>
        <w:t>15</w:t>
      </w:r>
      <w:r>
        <w:rPr>
          <w:rFonts w:hint="eastAsia" w:ascii="Times New Roman" w:hAnsi="Times New Roman" w:eastAsia="方正仿宋_GBK"/>
          <w:color w:val="000000"/>
        </w:rPr>
        <w:t>分钟）和反映工程概况并附文字说明的工程主要部位的彩色照片。</w:t>
      </w:r>
    </w:p>
    <w:p>
      <w:pPr>
        <w:pStyle w:val="10"/>
        <w:widowControl w:val="0"/>
        <w:spacing w:before="0" w:beforeAutospacing="0" w:after="0" w:afterAutospacing="0" w:line="440" w:lineRule="exact"/>
        <w:ind w:firstLine="480" w:firstLineChars="200"/>
        <w:jc w:val="both"/>
        <w:rPr>
          <w:rFonts w:ascii="Times New Roman" w:hAnsi="Times New Roman" w:eastAsia="方正仿宋_GBK"/>
          <w:color w:val="000000"/>
        </w:rPr>
      </w:pPr>
      <w:r>
        <w:rPr>
          <w:rFonts w:hint="eastAsia" w:ascii="Times New Roman" w:hAnsi="Times New Roman" w:eastAsia="黑体"/>
          <w:color w:val="000000"/>
        </w:rPr>
        <w:t>第十条　</w:t>
      </w:r>
      <w:r>
        <w:rPr>
          <w:rFonts w:hint="eastAsia" w:ascii="Times New Roman" w:hAnsi="Times New Roman" w:eastAsia="方正仿宋_GBK"/>
          <w:color w:val="000000"/>
        </w:rPr>
        <w:t>申报绿色建筑创新奖的程序为：</w:t>
      </w:r>
    </w:p>
    <w:p>
      <w:pPr>
        <w:pStyle w:val="10"/>
        <w:widowControl w:val="0"/>
        <w:spacing w:before="0" w:beforeAutospacing="0" w:after="0" w:afterAutospacing="0" w:line="440" w:lineRule="exact"/>
        <w:ind w:firstLine="480" w:firstLineChars="200"/>
        <w:jc w:val="both"/>
        <w:rPr>
          <w:rFonts w:ascii="Times New Roman" w:hAnsi="Times New Roman" w:eastAsia="方正仿宋_GBK"/>
          <w:color w:val="000000"/>
        </w:rPr>
      </w:pPr>
      <w:r>
        <w:rPr>
          <w:rFonts w:hint="eastAsia" w:ascii="Times New Roman" w:hAnsi="Times New Roman" w:eastAsia="方正仿宋_GBK"/>
          <w:color w:val="000000"/>
        </w:rPr>
        <w:t>（一）申报单位向各设区市建设行政主管部门提交申报资料。</w:t>
      </w:r>
    </w:p>
    <w:p>
      <w:pPr>
        <w:pStyle w:val="10"/>
        <w:widowControl w:val="0"/>
        <w:spacing w:before="0" w:beforeAutospacing="0" w:after="0" w:afterAutospacing="0" w:line="440" w:lineRule="exact"/>
        <w:ind w:firstLine="480" w:firstLineChars="200"/>
        <w:jc w:val="both"/>
        <w:rPr>
          <w:rFonts w:ascii="Times New Roman" w:hAnsi="Times New Roman" w:eastAsia="方正仿宋_GBK"/>
          <w:color w:val="000000"/>
        </w:rPr>
      </w:pPr>
      <w:r>
        <w:rPr>
          <w:rFonts w:hint="eastAsia" w:ascii="Times New Roman" w:hAnsi="Times New Roman" w:eastAsia="方正仿宋_GBK"/>
          <w:color w:val="000000"/>
        </w:rPr>
        <w:t>江苏省绿色建筑创新奖由建设单位或开发单位、设计单位、施工总承包单位等主要参建单位联合提出申报；也可经建设单位或开发单位同意后，由设计单位、施工总承包单位联合或其中一家单独提出申报。其它参建单位可随主要参建单位申报。申报一等奖的，申报单位总数不超过</w:t>
      </w:r>
      <w:r>
        <w:rPr>
          <w:rFonts w:ascii="Times New Roman" w:hAnsi="Times New Roman" w:eastAsia="方正仿宋_GBK"/>
          <w:color w:val="000000"/>
        </w:rPr>
        <w:t>8</w:t>
      </w:r>
      <w:r>
        <w:rPr>
          <w:rFonts w:hint="eastAsia" w:ascii="Times New Roman" w:hAnsi="Times New Roman" w:eastAsia="方正仿宋_GBK"/>
          <w:color w:val="000000"/>
        </w:rPr>
        <w:t>家，人员不超过</w:t>
      </w:r>
      <w:r>
        <w:rPr>
          <w:rFonts w:ascii="Times New Roman" w:hAnsi="Times New Roman" w:eastAsia="方正仿宋_GBK"/>
          <w:color w:val="000000"/>
        </w:rPr>
        <w:t>20</w:t>
      </w:r>
      <w:r>
        <w:rPr>
          <w:rFonts w:hint="eastAsia" w:ascii="Times New Roman" w:hAnsi="Times New Roman" w:eastAsia="方正仿宋_GBK"/>
          <w:color w:val="000000"/>
        </w:rPr>
        <w:t>名；申报二等奖的，申报单位总数不超过</w:t>
      </w:r>
      <w:r>
        <w:rPr>
          <w:rFonts w:ascii="Times New Roman" w:hAnsi="Times New Roman" w:eastAsia="方正仿宋_GBK"/>
          <w:color w:val="000000"/>
        </w:rPr>
        <w:t>6</w:t>
      </w:r>
      <w:r>
        <w:rPr>
          <w:rFonts w:hint="eastAsia" w:ascii="Times New Roman" w:hAnsi="Times New Roman" w:eastAsia="方正仿宋_GBK"/>
          <w:color w:val="000000"/>
        </w:rPr>
        <w:t>家，人员不超过</w:t>
      </w:r>
      <w:r>
        <w:rPr>
          <w:rFonts w:ascii="Times New Roman" w:hAnsi="Times New Roman" w:eastAsia="方正仿宋_GBK"/>
          <w:color w:val="000000"/>
        </w:rPr>
        <w:t>15</w:t>
      </w:r>
      <w:r>
        <w:rPr>
          <w:rFonts w:hint="eastAsia" w:ascii="Times New Roman" w:hAnsi="Times New Roman" w:eastAsia="方正仿宋_GBK"/>
          <w:color w:val="000000"/>
        </w:rPr>
        <w:t>名；申报三等奖的，申报单位总数不超过</w:t>
      </w:r>
      <w:r>
        <w:rPr>
          <w:rFonts w:ascii="Times New Roman" w:hAnsi="Times New Roman" w:eastAsia="方正仿宋_GBK"/>
          <w:color w:val="000000"/>
        </w:rPr>
        <w:t>4</w:t>
      </w:r>
      <w:r>
        <w:rPr>
          <w:rFonts w:hint="eastAsia" w:ascii="Times New Roman" w:hAnsi="Times New Roman" w:eastAsia="方正仿宋_GBK"/>
          <w:color w:val="000000"/>
        </w:rPr>
        <w:t>家，人员不超过</w:t>
      </w:r>
      <w:r>
        <w:rPr>
          <w:rFonts w:ascii="Times New Roman" w:hAnsi="Times New Roman" w:eastAsia="方正仿宋_GBK"/>
          <w:color w:val="000000"/>
        </w:rPr>
        <w:t>10</w:t>
      </w:r>
      <w:r>
        <w:rPr>
          <w:rFonts w:hint="eastAsia" w:ascii="Times New Roman" w:hAnsi="Times New Roman" w:eastAsia="方正仿宋_GBK"/>
          <w:color w:val="000000"/>
        </w:rPr>
        <w:t>名。</w:t>
      </w:r>
    </w:p>
    <w:p>
      <w:pPr>
        <w:pStyle w:val="10"/>
        <w:widowControl w:val="0"/>
        <w:spacing w:before="0" w:beforeAutospacing="0" w:after="0" w:afterAutospacing="0" w:line="440" w:lineRule="exact"/>
        <w:ind w:firstLine="480" w:firstLineChars="200"/>
        <w:jc w:val="both"/>
        <w:rPr>
          <w:rFonts w:ascii="Times New Roman" w:hAnsi="Times New Roman" w:eastAsia="方正仿宋_GBK"/>
          <w:color w:val="000000"/>
        </w:rPr>
      </w:pPr>
      <w:r>
        <w:rPr>
          <w:rFonts w:hint="eastAsia" w:ascii="Times New Roman" w:hAnsi="Times New Roman" w:eastAsia="方正仿宋_GBK"/>
          <w:color w:val="000000"/>
        </w:rPr>
        <w:t>（二）各设区市建设行政主管部门进行初审，并负责审定验收合格证书等资质性资料的真实性，对初审合格的项目签署推荐意见后报送江苏省住房和城乡建设厅科学技术委员会办公室；</w:t>
      </w:r>
    </w:p>
    <w:p>
      <w:pPr>
        <w:pStyle w:val="10"/>
        <w:widowControl w:val="0"/>
        <w:spacing w:before="0" w:beforeAutospacing="0" w:after="0" w:afterAutospacing="0" w:line="440" w:lineRule="exact"/>
        <w:ind w:firstLine="480" w:firstLineChars="200"/>
        <w:jc w:val="both"/>
        <w:rPr>
          <w:rFonts w:ascii="Times New Roman" w:hAnsi="Times New Roman" w:eastAsia="方正仿宋_GBK"/>
          <w:color w:val="000000"/>
        </w:rPr>
      </w:pPr>
      <w:r>
        <w:rPr>
          <w:rFonts w:hint="eastAsia" w:ascii="Times New Roman" w:hAnsi="Times New Roman" w:eastAsia="方正仿宋_GBK"/>
          <w:color w:val="000000"/>
        </w:rPr>
        <w:t>（三）江苏省住房和城乡建设厅科学技术委员会办公室负责组织评审专家委员会对申报资料进行评审。</w:t>
      </w:r>
      <w:bookmarkStart w:id="354" w:name="04"/>
      <w:bookmarkEnd w:id="354"/>
    </w:p>
    <w:p>
      <w:pPr>
        <w:pStyle w:val="10"/>
        <w:widowControl w:val="0"/>
        <w:spacing w:before="0" w:beforeAutospacing="0" w:after="0" w:afterAutospacing="0" w:line="440" w:lineRule="exact"/>
        <w:ind w:firstLine="482" w:firstLineChars="200"/>
        <w:jc w:val="center"/>
        <w:rPr>
          <w:rFonts w:ascii="Times New Roman" w:hAnsi="Times New Roman" w:eastAsia="方正仿宋_GBK"/>
          <w:b/>
          <w:bCs/>
          <w:color w:val="000000"/>
        </w:rPr>
      </w:pPr>
    </w:p>
    <w:p>
      <w:pPr>
        <w:pStyle w:val="10"/>
        <w:widowControl w:val="0"/>
        <w:spacing w:before="0" w:beforeAutospacing="0" w:after="0" w:afterAutospacing="0" w:line="440" w:lineRule="exact"/>
        <w:jc w:val="center"/>
        <w:rPr>
          <w:rFonts w:ascii="Times New Roman" w:hAnsi="Times New Roman" w:eastAsia="黑体"/>
          <w:color w:val="000000"/>
        </w:rPr>
      </w:pPr>
      <w:r>
        <w:rPr>
          <w:rFonts w:hint="eastAsia" w:ascii="Times New Roman" w:hAnsi="Times New Roman" w:eastAsia="黑体"/>
          <w:color w:val="000000"/>
        </w:rPr>
        <w:t>第三章　评审</w:t>
      </w:r>
    </w:p>
    <w:p>
      <w:pPr>
        <w:pStyle w:val="10"/>
        <w:widowControl w:val="0"/>
        <w:spacing w:before="0" w:beforeAutospacing="0" w:after="0" w:afterAutospacing="0" w:line="440" w:lineRule="exact"/>
        <w:ind w:firstLine="480" w:firstLineChars="200"/>
        <w:rPr>
          <w:rFonts w:hint="eastAsia" w:ascii="Times New Roman" w:hAnsi="Times New Roman" w:eastAsia="黑体"/>
          <w:color w:val="000000"/>
        </w:rPr>
      </w:pPr>
    </w:p>
    <w:p>
      <w:pPr>
        <w:pStyle w:val="10"/>
        <w:widowControl w:val="0"/>
        <w:spacing w:before="0" w:beforeAutospacing="0" w:after="0" w:afterAutospacing="0" w:line="440" w:lineRule="exact"/>
        <w:ind w:firstLine="480" w:firstLineChars="200"/>
        <w:jc w:val="both"/>
        <w:rPr>
          <w:rFonts w:hint="eastAsia" w:ascii="Times New Roman" w:hAnsi="Times New Roman" w:eastAsia="方正仿宋_GBK"/>
          <w:color w:val="000000"/>
          <w:spacing w:val="-6"/>
        </w:rPr>
      </w:pPr>
      <w:r>
        <w:rPr>
          <w:rFonts w:hint="eastAsia" w:ascii="Times New Roman" w:hAnsi="Times New Roman" w:eastAsia="黑体"/>
          <w:color w:val="000000"/>
        </w:rPr>
        <w:t>第十一条　</w:t>
      </w:r>
      <w:r>
        <w:rPr>
          <w:rFonts w:hint="eastAsia" w:ascii="Times New Roman" w:hAnsi="Times New Roman" w:eastAsia="方正仿宋_GBK"/>
          <w:color w:val="000000"/>
          <w:spacing w:val="-6"/>
        </w:rPr>
        <w:t>评审专家委员会由绿色建筑领域的技术专家和厅有关部门、行业学（协）会的人员组成。评审委员必须为具有高级技术职称、熟悉绿色建筑专业技术或管理的技术专家和管理人员。根据申报项目情况，评审专家委员会可分别组成专项专家组。</w:t>
      </w:r>
    </w:p>
    <w:p>
      <w:pPr>
        <w:pStyle w:val="10"/>
        <w:widowControl w:val="0"/>
        <w:spacing w:before="0" w:beforeAutospacing="0" w:after="0" w:afterAutospacing="0" w:line="440" w:lineRule="exact"/>
        <w:ind w:firstLine="480" w:firstLineChars="200"/>
        <w:jc w:val="both"/>
        <w:rPr>
          <w:rFonts w:ascii="Times New Roman" w:hAnsi="Times New Roman" w:eastAsia="方正仿宋_GBK"/>
          <w:color w:val="000000"/>
        </w:rPr>
      </w:pPr>
      <w:r>
        <w:rPr>
          <w:rFonts w:hint="eastAsia" w:ascii="Times New Roman" w:hAnsi="Times New Roman" w:eastAsia="黑体"/>
          <w:color w:val="000000"/>
        </w:rPr>
        <w:t>第十二条　</w:t>
      </w:r>
      <w:r>
        <w:rPr>
          <w:rFonts w:hint="eastAsia" w:ascii="Times New Roman" w:hAnsi="Times New Roman" w:eastAsia="方正仿宋_GBK"/>
          <w:color w:val="000000"/>
        </w:rPr>
        <w:t>评审专家委员会依据国家和我省绿色建筑标准，审查申报材料，进行质询、讨论和评议，以无记名投票方式按多数原则确定获奖项目。</w:t>
      </w:r>
    </w:p>
    <w:p>
      <w:pPr>
        <w:pStyle w:val="10"/>
        <w:widowControl w:val="0"/>
        <w:spacing w:before="0" w:beforeAutospacing="0" w:after="0" w:afterAutospacing="0" w:line="440" w:lineRule="exact"/>
        <w:ind w:firstLine="480" w:firstLineChars="200"/>
        <w:jc w:val="both"/>
        <w:rPr>
          <w:rFonts w:ascii="Times New Roman" w:hAnsi="Times New Roman" w:eastAsia="方正仿宋_GBK"/>
          <w:color w:val="000000"/>
        </w:rPr>
      </w:pPr>
      <w:r>
        <w:rPr>
          <w:rFonts w:hint="eastAsia" w:ascii="Times New Roman" w:hAnsi="Times New Roman" w:eastAsia="黑体"/>
          <w:color w:val="000000"/>
        </w:rPr>
        <w:t>第十三条　</w:t>
      </w:r>
      <w:r>
        <w:rPr>
          <w:rFonts w:hint="eastAsia" w:ascii="Times New Roman" w:hAnsi="Times New Roman" w:eastAsia="方正仿宋_GBK"/>
          <w:color w:val="000000"/>
        </w:rPr>
        <w:t>根据需要可组织核查小组对需要实地核查的申报项目进行现场核查。核查小组由</w:t>
      </w:r>
      <w:r>
        <w:rPr>
          <w:rFonts w:ascii="Times New Roman" w:hAnsi="Times New Roman" w:eastAsia="方正仿宋_GBK"/>
          <w:color w:val="000000"/>
        </w:rPr>
        <w:t>4-5</w:t>
      </w:r>
      <w:r>
        <w:rPr>
          <w:rFonts w:hint="eastAsia" w:ascii="Times New Roman" w:hAnsi="Times New Roman" w:eastAsia="方正仿宋_GBK"/>
          <w:color w:val="000000"/>
        </w:rPr>
        <w:t>名专业技术人员组成，被核查项目所在设区市建设行政主管部门应派人参与核查工作。核查的内容和要求如下：</w:t>
      </w:r>
    </w:p>
    <w:p>
      <w:pPr>
        <w:pStyle w:val="10"/>
        <w:widowControl w:val="0"/>
        <w:spacing w:before="0" w:beforeAutospacing="0" w:after="0" w:afterAutospacing="0" w:line="440" w:lineRule="exact"/>
        <w:ind w:firstLine="480" w:firstLineChars="200"/>
        <w:jc w:val="both"/>
        <w:rPr>
          <w:rFonts w:ascii="Times New Roman" w:hAnsi="Times New Roman" w:eastAsia="方正仿宋_GBK"/>
          <w:color w:val="000000"/>
        </w:rPr>
      </w:pPr>
      <w:r>
        <w:rPr>
          <w:rFonts w:hint="eastAsia" w:ascii="Times New Roman" w:hAnsi="Times New Roman" w:eastAsia="方正仿宋_GBK"/>
          <w:color w:val="000000"/>
        </w:rPr>
        <w:t>（一）听取申报单位对工程质量、系统功能及运行情况的介绍；</w:t>
      </w:r>
    </w:p>
    <w:p>
      <w:pPr>
        <w:pStyle w:val="10"/>
        <w:widowControl w:val="0"/>
        <w:spacing w:before="0" w:beforeAutospacing="0" w:after="0" w:afterAutospacing="0" w:line="440" w:lineRule="exact"/>
        <w:ind w:firstLine="480" w:firstLineChars="200"/>
        <w:jc w:val="both"/>
        <w:rPr>
          <w:rFonts w:ascii="Times New Roman" w:hAnsi="Times New Roman" w:eastAsia="方正仿宋_GBK"/>
          <w:color w:val="000000"/>
        </w:rPr>
      </w:pPr>
      <w:r>
        <w:rPr>
          <w:rFonts w:hint="eastAsia" w:ascii="Times New Roman" w:hAnsi="Times New Roman" w:eastAsia="方正仿宋_GBK"/>
          <w:color w:val="000000"/>
        </w:rPr>
        <w:t>（二）实地查验工程质量、系统功能及运行情况。凡核查小组要求查看的工程内容和文件资料，申报单位都必须予以满足，不得以任何理由回避或拒绝；</w:t>
      </w:r>
    </w:p>
    <w:p>
      <w:pPr>
        <w:pStyle w:val="10"/>
        <w:widowControl w:val="0"/>
        <w:spacing w:before="0" w:beforeAutospacing="0" w:after="0" w:afterAutospacing="0" w:line="440" w:lineRule="exact"/>
        <w:ind w:firstLine="480" w:firstLineChars="200"/>
        <w:jc w:val="both"/>
        <w:rPr>
          <w:rFonts w:ascii="Times New Roman" w:hAnsi="Times New Roman" w:eastAsia="方正仿宋_GBK"/>
          <w:color w:val="000000"/>
        </w:rPr>
      </w:pPr>
      <w:r>
        <w:rPr>
          <w:rFonts w:hint="eastAsia" w:ascii="Times New Roman" w:hAnsi="Times New Roman" w:eastAsia="方正仿宋_GBK"/>
          <w:color w:val="000000"/>
        </w:rPr>
        <w:t>（三）听取业主及监理单位对工程质量、系统功能及运行情况的评价意见。核查小组向业主及监理单位咨询情况时，申报单位的有关人员应当回避；</w:t>
      </w:r>
    </w:p>
    <w:p>
      <w:pPr>
        <w:pStyle w:val="10"/>
        <w:widowControl w:val="0"/>
        <w:spacing w:before="0" w:beforeAutospacing="0" w:after="0" w:afterAutospacing="0" w:line="440" w:lineRule="exact"/>
        <w:ind w:firstLine="480" w:firstLineChars="200"/>
        <w:rPr>
          <w:rFonts w:ascii="Times New Roman" w:hAnsi="Times New Roman" w:eastAsia="方正仿宋_GBK"/>
          <w:color w:val="000000"/>
        </w:rPr>
      </w:pPr>
      <w:r>
        <w:rPr>
          <w:rFonts w:hint="eastAsia" w:ascii="Times New Roman" w:hAnsi="Times New Roman" w:eastAsia="方正仿宋_GBK"/>
          <w:color w:val="000000"/>
        </w:rPr>
        <w:t>（四）查阅工程的有关文件与技术、质量以及管理资料等；</w:t>
      </w:r>
    </w:p>
    <w:p>
      <w:pPr>
        <w:pStyle w:val="10"/>
        <w:widowControl w:val="0"/>
        <w:spacing w:before="0" w:beforeAutospacing="0" w:after="0" w:afterAutospacing="0" w:line="440" w:lineRule="exact"/>
        <w:ind w:firstLine="480" w:firstLineChars="200"/>
        <w:rPr>
          <w:rFonts w:ascii="Times New Roman" w:hAnsi="Times New Roman" w:eastAsia="方正仿宋_GBK"/>
          <w:color w:val="000000"/>
        </w:rPr>
      </w:pPr>
      <w:r>
        <w:rPr>
          <w:rFonts w:hint="eastAsia" w:ascii="Times New Roman" w:hAnsi="Times New Roman" w:eastAsia="方正仿宋_GBK"/>
          <w:color w:val="000000"/>
        </w:rPr>
        <w:t>（五）核查小组应向评审委员会提交书面核查报告。</w:t>
      </w:r>
      <w:bookmarkStart w:id="355" w:name="05"/>
      <w:bookmarkEnd w:id="355"/>
    </w:p>
    <w:p>
      <w:pPr>
        <w:pStyle w:val="10"/>
        <w:widowControl w:val="0"/>
        <w:spacing w:before="0" w:beforeAutospacing="0" w:after="0" w:afterAutospacing="0" w:line="440" w:lineRule="exact"/>
        <w:ind w:firstLine="482" w:firstLineChars="200"/>
        <w:jc w:val="center"/>
        <w:rPr>
          <w:rFonts w:ascii="Times New Roman" w:hAnsi="Times New Roman" w:eastAsia="方正仿宋_GBK"/>
          <w:b/>
          <w:bCs/>
          <w:color w:val="000000"/>
        </w:rPr>
      </w:pPr>
    </w:p>
    <w:p>
      <w:pPr>
        <w:pStyle w:val="10"/>
        <w:widowControl w:val="0"/>
        <w:spacing w:before="0" w:beforeAutospacing="0" w:after="0" w:afterAutospacing="0" w:line="440" w:lineRule="exact"/>
        <w:jc w:val="center"/>
        <w:rPr>
          <w:rFonts w:ascii="Times New Roman" w:hAnsi="Times New Roman" w:eastAsia="黑体"/>
          <w:color w:val="000000"/>
        </w:rPr>
      </w:pPr>
      <w:r>
        <w:rPr>
          <w:rFonts w:hint="eastAsia" w:ascii="Times New Roman" w:hAnsi="Times New Roman" w:eastAsia="黑体"/>
          <w:color w:val="000000"/>
        </w:rPr>
        <w:t>第四章　公示与公布</w:t>
      </w:r>
    </w:p>
    <w:p>
      <w:pPr>
        <w:pStyle w:val="10"/>
        <w:widowControl w:val="0"/>
        <w:spacing w:before="0" w:beforeAutospacing="0" w:after="0" w:afterAutospacing="0" w:line="440" w:lineRule="exact"/>
        <w:ind w:firstLine="480" w:firstLineChars="200"/>
        <w:rPr>
          <w:rFonts w:hint="eastAsia" w:ascii="Times New Roman" w:hAnsi="Times New Roman" w:eastAsia="黑体"/>
          <w:color w:val="000000"/>
        </w:rPr>
      </w:pPr>
    </w:p>
    <w:p>
      <w:pPr>
        <w:pStyle w:val="10"/>
        <w:widowControl w:val="0"/>
        <w:spacing w:before="0" w:beforeAutospacing="0" w:after="0" w:afterAutospacing="0" w:line="440" w:lineRule="exact"/>
        <w:ind w:firstLine="480" w:firstLineChars="200"/>
        <w:rPr>
          <w:rFonts w:hint="eastAsia" w:ascii="Times New Roman" w:hAnsi="Times New Roman" w:eastAsia="方正仿宋_GBK"/>
          <w:color w:val="000000"/>
        </w:rPr>
      </w:pPr>
      <w:r>
        <w:rPr>
          <w:rFonts w:hint="eastAsia" w:ascii="Times New Roman" w:hAnsi="Times New Roman" w:eastAsia="黑体"/>
          <w:color w:val="000000"/>
        </w:rPr>
        <w:t>第十四条　</w:t>
      </w:r>
      <w:r>
        <w:rPr>
          <w:rFonts w:hint="eastAsia" w:ascii="Times New Roman" w:hAnsi="Times New Roman" w:eastAsia="方正仿宋_GBK"/>
          <w:color w:val="000000"/>
        </w:rPr>
        <w:t>通过评审的项目在江苏省住房和城乡建设厅网（网址：</w:t>
      </w:r>
      <w:r>
        <w:rPr>
          <w:rFonts w:ascii="Times New Roman" w:hAnsi="Times New Roman" w:eastAsia="方正仿宋_GBK"/>
          <w:color w:val="000000"/>
        </w:rPr>
        <w:t>www.jscin.gov.cn</w:t>
      </w:r>
      <w:r>
        <w:rPr>
          <w:rFonts w:hint="eastAsia" w:ascii="Times New Roman" w:hAnsi="Times New Roman" w:eastAsia="方正仿宋_GBK"/>
          <w:color w:val="000000"/>
        </w:rPr>
        <w:t>）上公示。公示期为七个工作日。</w:t>
      </w:r>
    </w:p>
    <w:p>
      <w:pPr>
        <w:pStyle w:val="10"/>
        <w:widowControl w:val="0"/>
        <w:spacing w:before="0" w:beforeAutospacing="0" w:after="0" w:afterAutospacing="0" w:line="440" w:lineRule="exact"/>
        <w:ind w:firstLine="480" w:firstLineChars="200"/>
        <w:rPr>
          <w:rFonts w:ascii="Times New Roman" w:hAnsi="Times New Roman" w:eastAsia="方正仿宋_GBK"/>
          <w:color w:val="000000"/>
        </w:rPr>
      </w:pPr>
      <w:r>
        <w:rPr>
          <w:rFonts w:hint="eastAsia" w:ascii="Times New Roman" w:hAnsi="Times New Roman" w:eastAsia="黑体"/>
          <w:color w:val="000000"/>
        </w:rPr>
        <w:t>第十五条　</w:t>
      </w:r>
      <w:r>
        <w:rPr>
          <w:rFonts w:hint="eastAsia" w:ascii="Times New Roman" w:hAnsi="Times New Roman" w:eastAsia="方正仿宋_GBK"/>
          <w:color w:val="000000"/>
        </w:rPr>
        <w:t>任何单位或个人对公示的项目持有异议，均可在公示期内以署实名的书面形式向江苏省住房和城乡建设厅提出异议，并提供必要的证明材料。</w:t>
      </w:r>
    </w:p>
    <w:p>
      <w:pPr>
        <w:pStyle w:val="10"/>
        <w:widowControl w:val="0"/>
        <w:spacing w:before="0" w:beforeAutospacing="0" w:after="0" w:afterAutospacing="0" w:line="440" w:lineRule="exact"/>
        <w:ind w:firstLine="480" w:firstLineChars="200"/>
        <w:jc w:val="both"/>
        <w:rPr>
          <w:rFonts w:ascii="Times New Roman" w:hAnsi="Times New Roman" w:eastAsia="方正仿宋_GBK"/>
          <w:color w:val="000000"/>
          <w:spacing w:val="-6"/>
        </w:rPr>
      </w:pPr>
      <w:r>
        <w:rPr>
          <w:rFonts w:hint="eastAsia" w:ascii="Times New Roman" w:hAnsi="Times New Roman" w:eastAsia="黑体"/>
          <w:color w:val="000000"/>
        </w:rPr>
        <w:t>第十六条　</w:t>
      </w:r>
      <w:r>
        <w:rPr>
          <w:rFonts w:hint="eastAsia" w:ascii="Times New Roman" w:hAnsi="Times New Roman" w:eastAsia="方正仿宋_GBK"/>
          <w:color w:val="000000"/>
          <w:spacing w:val="-6"/>
        </w:rPr>
        <w:t>异议由江苏省住房和城乡建设厅委托省住建厅科学技术委员会办公室进行调查，提出处理意见。无异议或有异议但已妥善解决的公示项目，报江苏省住房和城乡建设厅审查。通过审查的获奖项目以江苏省住房和城乡建设厅文件形式公布。</w:t>
      </w:r>
      <w:bookmarkStart w:id="356" w:name="06"/>
      <w:bookmarkEnd w:id="356"/>
    </w:p>
    <w:p>
      <w:pPr>
        <w:pStyle w:val="10"/>
        <w:widowControl w:val="0"/>
        <w:spacing w:before="0" w:beforeAutospacing="0" w:after="0" w:afterAutospacing="0" w:line="440" w:lineRule="exact"/>
        <w:ind w:firstLine="482" w:firstLineChars="200"/>
        <w:jc w:val="center"/>
        <w:rPr>
          <w:rFonts w:ascii="Times New Roman" w:hAnsi="Times New Roman" w:eastAsia="方正仿宋_GBK"/>
          <w:b/>
          <w:bCs/>
          <w:color w:val="000000"/>
        </w:rPr>
      </w:pPr>
    </w:p>
    <w:p>
      <w:pPr>
        <w:pStyle w:val="10"/>
        <w:widowControl w:val="0"/>
        <w:spacing w:before="0" w:beforeAutospacing="0" w:after="0" w:afterAutospacing="0" w:line="440" w:lineRule="exact"/>
        <w:jc w:val="center"/>
        <w:rPr>
          <w:rFonts w:ascii="Times New Roman" w:hAnsi="Times New Roman" w:eastAsia="黑体"/>
          <w:color w:val="000000"/>
        </w:rPr>
      </w:pPr>
      <w:r>
        <w:rPr>
          <w:rFonts w:hint="eastAsia" w:ascii="Times New Roman" w:hAnsi="Times New Roman" w:eastAsia="黑体"/>
          <w:color w:val="000000"/>
        </w:rPr>
        <w:t>第五章　纪律</w:t>
      </w:r>
    </w:p>
    <w:p>
      <w:pPr>
        <w:pStyle w:val="10"/>
        <w:widowControl w:val="0"/>
        <w:spacing w:before="0" w:beforeAutospacing="0" w:after="0" w:afterAutospacing="0" w:line="440" w:lineRule="exact"/>
        <w:ind w:firstLine="480" w:firstLineChars="200"/>
        <w:rPr>
          <w:rFonts w:hint="eastAsia" w:ascii="Times New Roman" w:hAnsi="Times New Roman" w:eastAsia="黑体"/>
          <w:color w:val="000000"/>
        </w:rPr>
      </w:pPr>
    </w:p>
    <w:p>
      <w:pPr>
        <w:pStyle w:val="10"/>
        <w:widowControl w:val="0"/>
        <w:spacing w:before="0" w:beforeAutospacing="0" w:after="0" w:afterAutospacing="0" w:line="440" w:lineRule="exact"/>
        <w:ind w:firstLine="480" w:firstLineChars="200"/>
        <w:jc w:val="both"/>
        <w:rPr>
          <w:rFonts w:hint="eastAsia" w:ascii="Times New Roman" w:hAnsi="Times New Roman" w:eastAsia="方正仿宋_GBK"/>
          <w:color w:val="000000"/>
        </w:rPr>
      </w:pPr>
      <w:r>
        <w:rPr>
          <w:rFonts w:hint="eastAsia" w:ascii="Times New Roman" w:hAnsi="Times New Roman" w:eastAsia="黑体"/>
          <w:color w:val="000000"/>
        </w:rPr>
        <w:t>第十七条　</w:t>
      </w:r>
      <w:r>
        <w:rPr>
          <w:rFonts w:hint="eastAsia" w:ascii="Times New Roman" w:hAnsi="Times New Roman" w:eastAsia="方正仿宋_GBK"/>
          <w:color w:val="000000"/>
        </w:rPr>
        <w:t>申报江苏省绿色建筑创新奖的单位不得弄虚作假，不得以向评审人员赠送礼金、礼券等手段获取受奖资格。违者将视情节轻重给予批评教育直至取消申报或获奖资格的处理。</w:t>
      </w:r>
    </w:p>
    <w:p>
      <w:pPr>
        <w:pStyle w:val="10"/>
        <w:widowControl w:val="0"/>
        <w:spacing w:before="0" w:beforeAutospacing="0" w:after="0" w:afterAutospacing="0" w:line="440" w:lineRule="exact"/>
        <w:ind w:firstLine="480" w:firstLineChars="200"/>
        <w:jc w:val="both"/>
        <w:rPr>
          <w:rFonts w:ascii="Times New Roman" w:hAnsi="Times New Roman" w:eastAsia="方正仿宋_GBK"/>
          <w:color w:val="000000"/>
        </w:rPr>
      </w:pPr>
      <w:r>
        <w:rPr>
          <w:rFonts w:hint="eastAsia" w:ascii="Times New Roman" w:hAnsi="Times New Roman" w:eastAsia="黑体"/>
          <w:color w:val="000000"/>
        </w:rPr>
        <w:t>第十八条　</w:t>
      </w:r>
      <w:r>
        <w:rPr>
          <w:rFonts w:hint="eastAsia" w:ascii="Times New Roman" w:hAnsi="Times New Roman" w:eastAsia="方正仿宋_GBK"/>
          <w:color w:val="000000"/>
        </w:rPr>
        <w:t>评审委员和现场核查小组人员必须秉公办事，廉洁自律，不得收受企业和有关人员的礼品、礼金。违者将视情节轻重给予批评教育直至取销评审委员或核查人员资格的处理，并将违纪行为通知本人所在单位。</w:t>
      </w:r>
    </w:p>
    <w:p>
      <w:pPr>
        <w:pStyle w:val="10"/>
        <w:widowControl w:val="0"/>
        <w:spacing w:before="0" w:beforeAutospacing="0" w:after="0" w:afterAutospacing="0" w:line="440" w:lineRule="exact"/>
        <w:ind w:firstLine="480" w:firstLineChars="200"/>
        <w:jc w:val="both"/>
        <w:rPr>
          <w:rFonts w:ascii="Times New Roman" w:hAnsi="Times New Roman" w:eastAsia="方正仿宋_GBK"/>
          <w:color w:val="000000"/>
        </w:rPr>
      </w:pPr>
      <w:r>
        <w:rPr>
          <w:rFonts w:hint="eastAsia" w:ascii="Times New Roman" w:hAnsi="Times New Roman" w:eastAsia="黑体"/>
          <w:color w:val="000000"/>
        </w:rPr>
        <w:t>第十九条　</w:t>
      </w:r>
      <w:r>
        <w:rPr>
          <w:rFonts w:hint="eastAsia" w:ascii="Times New Roman" w:hAnsi="Times New Roman" w:eastAsia="方正仿宋_GBK"/>
          <w:color w:val="000000"/>
        </w:rPr>
        <w:t>对已经获得江苏省绿色建筑创新奖的项目，若发现其工程质量安全或获奖技术与产品存在重大问题或隐患，江苏省住房和城乡建设厅科学技术委员会办公室将组织有关人员进行核实并提出书面报告，对情况属实且已影响获奖项目资格的，报经省住房城乡建设厅批准取消其江苏省绿色建筑创新奖项目资格。</w:t>
      </w:r>
      <w:bookmarkStart w:id="357" w:name="07"/>
      <w:bookmarkEnd w:id="357"/>
    </w:p>
    <w:p>
      <w:pPr>
        <w:pStyle w:val="10"/>
        <w:widowControl w:val="0"/>
        <w:spacing w:before="0" w:beforeAutospacing="0" w:after="0" w:afterAutospacing="0" w:line="440" w:lineRule="exact"/>
        <w:ind w:firstLine="482" w:firstLineChars="200"/>
        <w:jc w:val="center"/>
        <w:rPr>
          <w:rFonts w:ascii="Times New Roman" w:hAnsi="Times New Roman" w:eastAsia="方正仿宋_GBK"/>
          <w:b/>
          <w:bCs/>
          <w:color w:val="000000"/>
        </w:rPr>
      </w:pPr>
    </w:p>
    <w:p>
      <w:pPr>
        <w:pStyle w:val="10"/>
        <w:widowControl w:val="0"/>
        <w:spacing w:before="0" w:beforeAutospacing="0" w:after="0" w:afterAutospacing="0" w:line="440" w:lineRule="exact"/>
        <w:jc w:val="center"/>
        <w:rPr>
          <w:rFonts w:ascii="Times New Roman" w:hAnsi="Times New Roman" w:eastAsia="黑体"/>
          <w:color w:val="000000"/>
        </w:rPr>
      </w:pPr>
      <w:r>
        <w:rPr>
          <w:rFonts w:hint="eastAsia" w:ascii="Times New Roman" w:hAnsi="Times New Roman" w:eastAsia="黑体"/>
          <w:color w:val="000000"/>
        </w:rPr>
        <w:t>第六章　奖励</w:t>
      </w:r>
    </w:p>
    <w:p>
      <w:pPr>
        <w:pStyle w:val="10"/>
        <w:widowControl w:val="0"/>
        <w:spacing w:before="0" w:beforeAutospacing="0" w:after="0" w:afterAutospacing="0" w:line="440" w:lineRule="exact"/>
        <w:ind w:firstLine="480" w:firstLineChars="200"/>
        <w:rPr>
          <w:rFonts w:hint="eastAsia" w:ascii="Times New Roman" w:hAnsi="Times New Roman" w:eastAsia="方正仿宋_GBK"/>
          <w:color w:val="000000"/>
        </w:rPr>
      </w:pPr>
      <w:r>
        <w:rPr>
          <w:rFonts w:hint="eastAsia" w:ascii="Times New Roman" w:hAnsi="Times New Roman" w:eastAsia="黑体"/>
          <w:color w:val="000000"/>
        </w:rPr>
        <w:t>第二十条　</w:t>
      </w:r>
      <w:r>
        <w:rPr>
          <w:rFonts w:hint="eastAsia" w:ascii="Times New Roman" w:hAnsi="Times New Roman" w:eastAsia="方正仿宋_GBK"/>
          <w:color w:val="000000"/>
        </w:rPr>
        <w:t>江苏省住房和城乡建设厅向获得江苏省绿色建筑创新奖的项目及相应的组织和人员颁发证书和证牌。</w:t>
      </w:r>
    </w:p>
    <w:p>
      <w:pPr>
        <w:pStyle w:val="10"/>
        <w:widowControl w:val="0"/>
        <w:spacing w:before="0" w:beforeAutospacing="0" w:after="0" w:afterAutospacing="0" w:line="440" w:lineRule="exact"/>
        <w:ind w:firstLine="480" w:firstLineChars="200"/>
        <w:rPr>
          <w:rFonts w:ascii="Times New Roman" w:hAnsi="Times New Roman" w:eastAsia="方正仿宋_GBK"/>
          <w:color w:val="000000"/>
        </w:rPr>
      </w:pPr>
      <w:r>
        <w:rPr>
          <w:rFonts w:hint="eastAsia" w:ascii="Times New Roman" w:hAnsi="Times New Roman" w:eastAsia="黑体"/>
          <w:color w:val="000000"/>
        </w:rPr>
        <w:t>第二十一条　</w:t>
      </w:r>
      <w:r>
        <w:rPr>
          <w:rFonts w:hint="eastAsia" w:ascii="Times New Roman" w:hAnsi="Times New Roman" w:eastAsia="方正仿宋_GBK"/>
          <w:color w:val="000000"/>
        </w:rPr>
        <w:t>有关部门、地区和获奖单位应根据本部门、本地区和本单位的实际情况，对获奖单位和有关人员给予奖励。</w:t>
      </w:r>
      <w:bookmarkStart w:id="358" w:name="08"/>
      <w:bookmarkEnd w:id="358"/>
    </w:p>
    <w:p>
      <w:pPr>
        <w:pStyle w:val="10"/>
        <w:widowControl w:val="0"/>
        <w:spacing w:before="0" w:beforeAutospacing="0" w:after="0" w:afterAutospacing="0" w:line="440" w:lineRule="exact"/>
        <w:ind w:firstLine="482" w:firstLineChars="200"/>
        <w:jc w:val="center"/>
        <w:rPr>
          <w:rFonts w:ascii="Times New Roman" w:hAnsi="Times New Roman" w:eastAsia="方正仿宋_GBK"/>
          <w:b/>
          <w:bCs/>
          <w:color w:val="000000"/>
        </w:rPr>
      </w:pPr>
    </w:p>
    <w:p>
      <w:pPr>
        <w:pStyle w:val="10"/>
        <w:widowControl w:val="0"/>
        <w:spacing w:before="0" w:beforeAutospacing="0" w:after="0" w:afterAutospacing="0" w:line="440" w:lineRule="exact"/>
        <w:jc w:val="center"/>
        <w:rPr>
          <w:rFonts w:ascii="Times New Roman" w:hAnsi="Times New Roman" w:eastAsia="黑体"/>
          <w:color w:val="000000"/>
        </w:rPr>
      </w:pPr>
      <w:r>
        <w:rPr>
          <w:rFonts w:hint="eastAsia" w:ascii="Times New Roman" w:hAnsi="Times New Roman" w:eastAsia="黑体"/>
          <w:color w:val="000000"/>
        </w:rPr>
        <w:t>第七章　附则</w:t>
      </w:r>
    </w:p>
    <w:p>
      <w:pPr>
        <w:pStyle w:val="10"/>
        <w:widowControl w:val="0"/>
        <w:spacing w:before="0" w:beforeAutospacing="0" w:after="0" w:afterAutospacing="0" w:line="440" w:lineRule="exact"/>
        <w:ind w:firstLine="480" w:firstLineChars="200"/>
        <w:rPr>
          <w:rFonts w:hint="eastAsia" w:ascii="Times New Roman" w:hAnsi="Times New Roman" w:eastAsia="黑体"/>
          <w:color w:val="000000"/>
        </w:rPr>
      </w:pPr>
    </w:p>
    <w:p>
      <w:pPr>
        <w:pStyle w:val="10"/>
        <w:widowControl w:val="0"/>
        <w:spacing w:before="0" w:beforeAutospacing="0" w:after="0" w:afterAutospacing="0" w:line="440" w:lineRule="exact"/>
        <w:ind w:firstLine="480" w:firstLineChars="200"/>
        <w:rPr>
          <w:rFonts w:hint="eastAsia" w:ascii="Times New Roman" w:hAnsi="Times New Roman" w:eastAsia="方正仿宋_GBK"/>
          <w:color w:val="000000"/>
        </w:rPr>
      </w:pPr>
      <w:r>
        <w:rPr>
          <w:rFonts w:hint="eastAsia" w:ascii="Times New Roman" w:hAnsi="Times New Roman" w:eastAsia="黑体"/>
          <w:color w:val="000000"/>
        </w:rPr>
        <w:t>第二十二条　</w:t>
      </w:r>
      <w:r>
        <w:rPr>
          <w:rFonts w:hint="eastAsia" w:ascii="Times New Roman" w:hAnsi="Times New Roman" w:eastAsia="方正仿宋_GBK"/>
          <w:color w:val="000000"/>
        </w:rPr>
        <w:t>本办法自发布之日起施行。</w:t>
      </w:r>
    </w:p>
    <w:p>
      <w:pPr>
        <w:pStyle w:val="10"/>
        <w:widowControl w:val="0"/>
        <w:spacing w:before="0" w:beforeAutospacing="0" w:after="0" w:afterAutospacing="0" w:line="440" w:lineRule="exact"/>
        <w:ind w:firstLine="480" w:firstLineChars="200"/>
        <w:rPr>
          <w:rFonts w:ascii="Times New Roman" w:hAnsi="Times New Roman" w:eastAsia="方正仿宋_GBK"/>
          <w:color w:val="000000"/>
        </w:rPr>
      </w:pPr>
      <w:r>
        <w:rPr>
          <w:rFonts w:hint="eastAsia" w:ascii="Times New Roman" w:hAnsi="Times New Roman" w:eastAsia="黑体"/>
          <w:color w:val="000000"/>
        </w:rPr>
        <w:t>第二十三条　</w:t>
      </w:r>
      <w:r>
        <w:rPr>
          <w:rFonts w:hint="eastAsia" w:ascii="Times New Roman" w:hAnsi="Times New Roman" w:eastAsia="方正仿宋_GBK"/>
          <w:color w:val="000000"/>
        </w:rPr>
        <w:t>本办法由江苏省住房和城乡建设厅负责解释。</w:t>
      </w:r>
    </w:p>
    <w:p>
      <w:pPr>
        <w:widowControl/>
        <w:jc w:val="left"/>
        <w:rPr>
          <w:rFonts w:eastAsia="方正仿宋_GBK"/>
          <w:color w:val="000000"/>
          <w:spacing w:val="-2"/>
          <w:sz w:val="24"/>
        </w:rPr>
        <w:sectPr>
          <w:pgSz w:w="11905" w:h="16838"/>
          <w:pgMar w:top="1701" w:right="1587" w:bottom="1701" w:left="1587" w:header="850" w:footer="1361" w:gutter="0"/>
          <w:paperSrc w:first="4" w:other="4"/>
          <w:cols w:space="720" w:num="1"/>
        </w:sectPr>
      </w:pPr>
    </w:p>
    <w:p>
      <w:pPr>
        <w:pStyle w:val="2"/>
        <w:spacing w:before="240" w:beforeLines="100" w:after="240" w:afterLines="100" w:line="240" w:lineRule="auto"/>
        <w:jc w:val="center"/>
        <w:rPr>
          <w:rFonts w:ascii="Times New Roman" w:eastAsia="方正小标宋_GBK"/>
          <w:b w:val="0"/>
          <w:sz w:val="36"/>
          <w:szCs w:val="36"/>
        </w:rPr>
      </w:pPr>
      <w:bookmarkStart w:id="359" w:name="_Toc18315550"/>
      <w:bookmarkStart w:id="360" w:name="_Toc20726446"/>
      <w:r>
        <w:rPr>
          <w:rFonts w:hint="eastAsia" w:ascii="Times New Roman" w:eastAsia="方正小标宋_GBK"/>
          <w:b w:val="0"/>
          <w:sz w:val="36"/>
          <w:szCs w:val="36"/>
        </w:rPr>
        <w:t>关于贯彻执行住房和城乡建设部《国家机关办公建筑和大型公共建筑能耗监测系统相关技术导则、软件开发指导说明书》等要求的通知</w:t>
      </w:r>
      <w:bookmarkEnd w:id="359"/>
      <w:bookmarkEnd w:id="360"/>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361" w:name="_Toc18315551"/>
      <w:bookmarkStart w:id="362" w:name="_Toc20726447"/>
      <w:r>
        <w:rPr>
          <w:rFonts w:hint="eastAsia" w:ascii="Times New Roman" w:hAnsi="Times New Roman" w:eastAsia="方正楷体_GBK"/>
          <w:b w:val="0"/>
          <w:sz w:val="24"/>
          <w:szCs w:val="24"/>
        </w:rPr>
        <w:t>苏建函科〔</w:t>
      </w:r>
      <w:r>
        <w:rPr>
          <w:rFonts w:ascii="Times New Roman" w:hAnsi="Times New Roman" w:eastAsia="方正楷体_GBK"/>
          <w:b w:val="0"/>
          <w:sz w:val="24"/>
          <w:szCs w:val="24"/>
        </w:rPr>
        <w:t>2009</w:t>
      </w:r>
      <w:r>
        <w:rPr>
          <w:rFonts w:hint="eastAsia" w:ascii="Times New Roman" w:hAnsi="Times New Roman" w:eastAsia="方正楷体_GBK"/>
          <w:b w:val="0"/>
          <w:sz w:val="24"/>
          <w:szCs w:val="24"/>
        </w:rPr>
        <w:t>〕</w:t>
      </w:r>
      <w:r>
        <w:rPr>
          <w:rFonts w:ascii="Times New Roman" w:hAnsi="Times New Roman" w:eastAsia="方正楷体_GBK"/>
          <w:b w:val="0"/>
          <w:sz w:val="24"/>
          <w:szCs w:val="24"/>
        </w:rPr>
        <w:t>183</w:t>
      </w:r>
      <w:r>
        <w:rPr>
          <w:rFonts w:hint="eastAsia" w:ascii="Times New Roman" w:hAnsi="Times New Roman" w:eastAsia="方正楷体_GBK"/>
          <w:b w:val="0"/>
          <w:sz w:val="24"/>
          <w:szCs w:val="24"/>
        </w:rPr>
        <w:t>号</w:t>
      </w:r>
      <w:bookmarkEnd w:id="361"/>
      <w:bookmarkEnd w:id="362"/>
    </w:p>
    <w:p>
      <w:pPr>
        <w:snapToGrid w:val="0"/>
        <w:spacing w:line="460" w:lineRule="exact"/>
        <w:jc w:val="left"/>
        <w:rPr>
          <w:rFonts w:eastAsia="方正仿宋_GBK"/>
          <w:color w:val="000000"/>
          <w:spacing w:val="-2"/>
          <w:kern w:val="0"/>
          <w:sz w:val="24"/>
        </w:rPr>
      </w:pPr>
      <w:r>
        <w:rPr>
          <w:rFonts w:hint="eastAsia" w:eastAsia="方正仿宋_GBK"/>
          <w:color w:val="000000"/>
          <w:spacing w:val="-2"/>
          <w:kern w:val="0"/>
          <w:sz w:val="24"/>
        </w:rPr>
        <w:t>各省辖市建设局（建委），各有关单位：</w:t>
      </w:r>
    </w:p>
    <w:p>
      <w:pPr>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为切实推进国家机关办公建筑和大型公共建筑节能管理工作，规范楼宇分项计量设计安装、数据传输以及各市级数据中心（中转站）系统建设，现将住房和城乡建设部《国家机关办公建筑和大型公共建筑能耗监测系统建设相关技术导则》、《国家机关办公建筑和大型公共建筑能耗监测系统软件开发指导说明书》转发给你们，并提出如下贯彻落实意见：</w:t>
      </w:r>
    </w:p>
    <w:p>
      <w:pPr>
        <w:spacing w:line="460" w:lineRule="exact"/>
        <w:ind w:right="25" w:rightChars="12" w:firstLine="472" w:firstLineChars="200"/>
        <w:rPr>
          <w:rFonts w:ascii="Times New Roman" w:eastAsia="方正黑体_GBK"/>
          <w:color w:val="000000"/>
          <w:spacing w:val="-2"/>
          <w:kern w:val="0"/>
          <w:sz w:val="24"/>
        </w:rPr>
      </w:pPr>
      <w:r>
        <w:rPr>
          <w:rFonts w:hint="eastAsia" w:ascii="Times New Roman" w:eastAsia="方正黑体_GBK"/>
          <w:color w:val="000000"/>
          <w:spacing w:val="-2"/>
          <w:kern w:val="0"/>
          <w:sz w:val="24"/>
        </w:rPr>
        <w:t>一、各类公共建筑示范工程项目应安装分项计量设备并实现能耗数据远程传输</w:t>
      </w:r>
    </w:p>
    <w:p>
      <w:pPr>
        <w:spacing w:line="460" w:lineRule="exact"/>
        <w:ind w:right="25" w:rightChars="12" w:firstLine="472" w:firstLineChars="200"/>
        <w:rPr>
          <w:rFonts w:hint="eastAsia" w:eastAsia="方正仿宋_GBK"/>
          <w:color w:val="000000"/>
          <w:spacing w:val="-2"/>
          <w:kern w:val="0"/>
          <w:sz w:val="24"/>
        </w:rPr>
      </w:pPr>
      <w:r>
        <w:rPr>
          <w:rFonts w:hint="eastAsia" w:eastAsia="方正仿宋_GBK"/>
          <w:color w:val="000000"/>
          <w:spacing w:val="-2"/>
          <w:kern w:val="0"/>
          <w:sz w:val="24"/>
        </w:rPr>
        <w:t>省级和市级建筑节能示范项目，如</w:t>
      </w:r>
      <w:r>
        <w:rPr>
          <w:rFonts w:hint="eastAsia" w:eastAsia="方正仿宋_GBK"/>
          <w:color w:val="000000"/>
          <w:spacing w:val="-2"/>
          <w:sz w:val="24"/>
        </w:rPr>
        <w:t>节能改造项目、</w:t>
      </w:r>
      <w:r>
        <w:fldChar w:fldCharType="begin"/>
      </w:r>
      <w:r>
        <w:instrText xml:space="preserve"> HYPERLINK "http://www.ocn.com.cn/reports/2006067kezaishengnengyuan.htm" \t "_blank" </w:instrText>
      </w:r>
      <w:r>
        <w:fldChar w:fldCharType="separate"/>
      </w:r>
      <w:r>
        <w:rPr>
          <w:rStyle w:val="16"/>
          <w:rFonts w:hint="eastAsia" w:eastAsia="方正仿宋_GBK"/>
          <w:spacing w:val="-2"/>
          <w:sz w:val="24"/>
        </w:rPr>
        <w:t>可再生能源</w:t>
      </w:r>
      <w:r>
        <w:fldChar w:fldCharType="end"/>
      </w:r>
      <w:r>
        <w:rPr>
          <w:rFonts w:hint="eastAsia" w:eastAsia="方正仿宋_GBK"/>
          <w:color w:val="000000"/>
          <w:spacing w:val="-2"/>
          <w:sz w:val="24"/>
        </w:rPr>
        <w:t>建筑应用项目、低能耗建筑示范项目、绿色建筑工程等</w:t>
      </w:r>
      <w:r>
        <w:rPr>
          <w:rFonts w:hint="eastAsia" w:eastAsia="方正仿宋_GBK"/>
          <w:color w:val="000000"/>
          <w:spacing w:val="-2"/>
          <w:kern w:val="0"/>
          <w:sz w:val="24"/>
        </w:rPr>
        <w:t>，凡工程类型是公共建筑的，应纳入机关办公建筑和大型公共建筑节能监管，在项目实施中同步安装能耗分项计量设备，并将建筑能耗数据实时远程传输至省建筑能耗监测数据中心或市级数据分中心。</w:t>
      </w:r>
    </w:p>
    <w:p>
      <w:pPr>
        <w:spacing w:line="460" w:lineRule="exact"/>
        <w:ind w:right="25" w:rightChars="12" w:firstLine="472" w:firstLineChars="200"/>
        <w:rPr>
          <w:rFonts w:ascii="Times New Roman" w:eastAsia="方正黑体_GBK"/>
          <w:color w:val="000000"/>
          <w:spacing w:val="-2"/>
          <w:kern w:val="0"/>
          <w:sz w:val="24"/>
        </w:rPr>
      </w:pPr>
      <w:r>
        <w:rPr>
          <w:rFonts w:hint="eastAsia" w:ascii="Times New Roman" w:eastAsia="方正黑体_GBK"/>
          <w:color w:val="000000"/>
          <w:spacing w:val="-2"/>
          <w:kern w:val="0"/>
          <w:sz w:val="24"/>
        </w:rPr>
        <w:t>二、机关办公建筑和大型公共建筑能耗监测系统建设应严格执行建设部颁发的相关技术要求</w:t>
      </w:r>
    </w:p>
    <w:p>
      <w:pPr>
        <w:spacing w:line="460" w:lineRule="exact"/>
        <w:ind w:right="25" w:rightChars="12" w:firstLine="472" w:firstLineChars="200"/>
        <w:rPr>
          <w:rFonts w:hint="eastAsia" w:eastAsia="方正仿宋_GBK"/>
          <w:color w:val="000000"/>
          <w:spacing w:val="-2"/>
          <w:sz w:val="24"/>
        </w:rPr>
      </w:pPr>
      <w:r>
        <w:rPr>
          <w:rFonts w:hint="eastAsia" w:eastAsia="方正仿宋_GBK"/>
          <w:color w:val="000000"/>
          <w:spacing w:val="-2"/>
          <w:kern w:val="0"/>
          <w:sz w:val="24"/>
        </w:rPr>
        <w:t>执行统一的标准对于确保采集数据的统计分析的一致性具有重要意义。我省建筑能耗监测系统（包括楼宇分项计量设计安装、市级数据中心</w:t>
      </w:r>
      <w:r>
        <w:rPr>
          <w:rFonts w:eastAsia="方正仿宋_GBK"/>
          <w:color w:val="000000"/>
          <w:spacing w:val="-2"/>
          <w:kern w:val="0"/>
          <w:sz w:val="24"/>
        </w:rPr>
        <w:t>/</w:t>
      </w:r>
      <w:r>
        <w:rPr>
          <w:rFonts w:hint="eastAsia" w:eastAsia="方正仿宋_GBK"/>
          <w:color w:val="000000"/>
          <w:spacing w:val="-2"/>
          <w:kern w:val="0"/>
          <w:sz w:val="24"/>
        </w:rPr>
        <w:t>中转站、省级数据中心）建设必须按照住房和城乡建设部印发的国家机关办公建筑和大型公共建筑能耗监测系统建设相关技术导则的要求，统一标准、规范实施。建筑能耗数据的分类、分项采集应满足《国家机关办公建筑和大型公共建筑能耗监测系统建设分项能耗数据采集技术导则》的要求；能耗数据采集器功能、通讯协议及应用层数据包格式等均需满足《国家机关办公建筑和大型公共建筑能耗监测系统分项能耗数据传输技术导则》的要求；楼宇分项计量设备应按照《国家机关办公建筑和大型公共建筑能耗监测系统楼宇分项计量设计安装技术导则》的要求进行设计、安装。各类数据结构文档及数据上传格式文档均应按照《国家机关办公建筑和大型公共建筑能耗监测系统软件开发指导说明书》中附件</w:t>
      </w:r>
      <w:r>
        <w:rPr>
          <w:rFonts w:eastAsia="方正仿宋_GBK"/>
          <w:color w:val="000000"/>
          <w:spacing w:val="-2"/>
          <w:kern w:val="0"/>
          <w:sz w:val="24"/>
        </w:rPr>
        <w:t>1</w:t>
      </w:r>
      <w:r>
        <w:rPr>
          <w:rFonts w:hint="eastAsia" w:eastAsia="方正仿宋_GBK"/>
          <w:color w:val="000000"/>
          <w:spacing w:val="-2"/>
          <w:kern w:val="0"/>
          <w:sz w:val="24"/>
        </w:rPr>
        <w:t>、</w:t>
      </w:r>
      <w:r>
        <w:rPr>
          <w:rFonts w:eastAsia="方正仿宋_GBK"/>
          <w:color w:val="000000"/>
          <w:spacing w:val="-2"/>
          <w:kern w:val="0"/>
          <w:sz w:val="24"/>
        </w:rPr>
        <w:t>2</w:t>
      </w:r>
      <w:r>
        <w:rPr>
          <w:rFonts w:hint="eastAsia" w:eastAsia="方正仿宋_GBK"/>
          <w:color w:val="000000"/>
          <w:spacing w:val="-2"/>
          <w:kern w:val="0"/>
          <w:sz w:val="24"/>
        </w:rPr>
        <w:t>的要求执行。</w:t>
      </w:r>
    </w:p>
    <w:p>
      <w:pPr>
        <w:spacing w:line="460" w:lineRule="exact"/>
        <w:ind w:right="25" w:rightChars="12" w:firstLine="472" w:firstLineChars="200"/>
        <w:rPr>
          <w:rFonts w:ascii="Times New Roman" w:eastAsia="方正黑体_GBK"/>
          <w:color w:val="000000"/>
          <w:spacing w:val="-2"/>
          <w:kern w:val="0"/>
          <w:sz w:val="24"/>
        </w:rPr>
      </w:pPr>
      <w:r>
        <w:rPr>
          <w:rFonts w:hint="eastAsia" w:ascii="Times New Roman" w:eastAsia="方正黑体_GBK"/>
          <w:color w:val="000000"/>
          <w:spacing w:val="-2"/>
          <w:kern w:val="0"/>
          <w:sz w:val="24"/>
        </w:rPr>
        <w:t>三、机关办公建筑和大型公共建筑能耗监测系统数据中心软件统一开发、共享</w:t>
      </w:r>
    </w:p>
    <w:p>
      <w:pPr>
        <w:spacing w:line="460" w:lineRule="exact"/>
        <w:ind w:right="25" w:rightChars="12" w:firstLine="472" w:firstLineChars="200"/>
        <w:rPr>
          <w:rFonts w:hint="eastAsia" w:eastAsia="方正仿宋_GBK"/>
          <w:color w:val="000000"/>
          <w:spacing w:val="-2"/>
          <w:sz w:val="24"/>
        </w:rPr>
      </w:pPr>
      <w:r>
        <w:rPr>
          <w:rFonts w:hint="eastAsia" w:eastAsia="方正仿宋_GBK"/>
          <w:color w:val="000000"/>
          <w:spacing w:val="-2"/>
          <w:kern w:val="0"/>
          <w:sz w:val="24"/>
        </w:rPr>
        <w:t>为避免重复投资，省建设厅组织开发数据中心能耗监测系统软件，作为共享软件供各数据分中心使用。各地的数据分中心（中转站）应统一使用省建设厅提供的系统软件。</w:t>
      </w:r>
    </w:p>
    <w:p>
      <w:pPr>
        <w:spacing w:line="460" w:lineRule="exact"/>
        <w:ind w:firstLine="472" w:firstLineChars="200"/>
        <w:jc w:val="left"/>
        <w:rPr>
          <w:rFonts w:eastAsia="方正仿宋_GBK"/>
          <w:color w:val="000000"/>
          <w:spacing w:val="-2"/>
          <w:sz w:val="24"/>
        </w:rPr>
      </w:pPr>
    </w:p>
    <w:p>
      <w:pPr>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sz w:val="24"/>
        </w:rPr>
        <w:t>附件：</w:t>
      </w:r>
      <w:r>
        <w:rPr>
          <w:rFonts w:eastAsia="方正仿宋_GBK"/>
          <w:color w:val="000000"/>
          <w:spacing w:val="-2"/>
          <w:sz w:val="24"/>
        </w:rPr>
        <w:t>1.</w:t>
      </w:r>
      <w:r>
        <w:rPr>
          <w:rFonts w:hint="cs" w:eastAsia="方正仿宋_GBK"/>
          <w:color w:val="000000"/>
          <w:spacing w:val="-2"/>
          <w:sz w:val="24"/>
          <w:cs/>
        </w:rPr>
        <w:t> </w:t>
      </w:r>
      <w:r>
        <w:rPr>
          <w:rFonts w:hint="eastAsia" w:eastAsia="方正仿宋_GBK"/>
          <w:color w:val="000000"/>
          <w:spacing w:val="-2"/>
          <w:kern w:val="0"/>
          <w:sz w:val="24"/>
        </w:rPr>
        <w:t>住房和城乡建设部《关于印发国家机关办公建筑和大型公共建筑能耗监</w:t>
      </w:r>
    </w:p>
    <w:p>
      <w:pPr>
        <w:spacing w:line="460" w:lineRule="exact"/>
        <w:ind w:firstLine="1411" w:firstLineChars="598"/>
        <w:jc w:val="left"/>
        <w:rPr>
          <w:rFonts w:eastAsia="方正仿宋_GBK"/>
          <w:color w:val="000000"/>
          <w:spacing w:val="-2"/>
          <w:kern w:val="0"/>
          <w:sz w:val="24"/>
        </w:rPr>
      </w:pPr>
      <w:r>
        <w:rPr>
          <w:rFonts w:hint="eastAsia" w:eastAsia="方正仿宋_GBK"/>
          <w:color w:val="000000"/>
          <w:spacing w:val="-2"/>
          <w:kern w:val="0"/>
          <w:sz w:val="24"/>
        </w:rPr>
        <w:t>测系统建设相关技术导则的通知》（建科〔</w:t>
      </w:r>
      <w:r>
        <w:rPr>
          <w:rFonts w:eastAsia="方正仿宋_GBK"/>
          <w:color w:val="000000"/>
          <w:spacing w:val="-2"/>
          <w:kern w:val="0"/>
          <w:sz w:val="24"/>
        </w:rPr>
        <w:t>2008</w:t>
      </w:r>
      <w:r>
        <w:rPr>
          <w:rFonts w:hint="eastAsia" w:eastAsia="方正仿宋_GBK"/>
          <w:color w:val="000000"/>
          <w:spacing w:val="-2"/>
          <w:kern w:val="0"/>
          <w:sz w:val="24"/>
        </w:rPr>
        <w:t>〕</w:t>
      </w:r>
      <w:r>
        <w:rPr>
          <w:rFonts w:eastAsia="方正仿宋_GBK"/>
          <w:color w:val="000000"/>
          <w:spacing w:val="-2"/>
          <w:kern w:val="0"/>
          <w:sz w:val="24"/>
        </w:rPr>
        <w:t>114</w:t>
      </w:r>
      <w:r>
        <w:rPr>
          <w:rFonts w:hint="eastAsia" w:eastAsia="方正仿宋_GBK"/>
          <w:color w:val="000000"/>
          <w:spacing w:val="-2"/>
          <w:kern w:val="0"/>
          <w:sz w:val="24"/>
        </w:rPr>
        <w:t>号）</w:t>
      </w:r>
      <w:r>
        <w:rPr>
          <w:rFonts w:eastAsia="方正仿宋_GBK"/>
          <w:color w:val="000000"/>
          <w:spacing w:val="-2"/>
          <w:kern w:val="0"/>
          <w:sz w:val="24"/>
        </w:rPr>
        <w:t>(</w:t>
      </w:r>
      <w:r>
        <w:rPr>
          <w:rFonts w:hint="eastAsia" w:eastAsia="方正仿宋_GBK"/>
          <w:color w:val="000000"/>
          <w:spacing w:val="-2"/>
          <w:kern w:val="0"/>
          <w:sz w:val="24"/>
        </w:rPr>
        <w:t>略</w:t>
      </w:r>
      <w:r>
        <w:rPr>
          <w:rFonts w:eastAsia="方正仿宋_GBK"/>
          <w:color w:val="000000"/>
          <w:spacing w:val="-2"/>
          <w:kern w:val="0"/>
          <w:sz w:val="24"/>
        </w:rPr>
        <w:t>)</w:t>
      </w:r>
    </w:p>
    <w:p>
      <w:pPr>
        <w:spacing w:line="460" w:lineRule="exact"/>
        <w:ind w:firstLine="1170" w:firstLineChars="496"/>
        <w:jc w:val="left"/>
        <w:rPr>
          <w:rFonts w:eastAsia="方正仿宋_GBK"/>
          <w:color w:val="000000"/>
          <w:spacing w:val="-2"/>
          <w:kern w:val="0"/>
          <w:sz w:val="24"/>
        </w:rPr>
      </w:pPr>
      <w:r>
        <w:rPr>
          <w:rFonts w:eastAsia="方正仿宋_GBK"/>
          <w:color w:val="000000"/>
          <w:spacing w:val="-2"/>
          <w:kern w:val="0"/>
          <w:sz w:val="24"/>
        </w:rPr>
        <w:t>2.</w:t>
      </w:r>
      <w:r>
        <w:rPr>
          <w:rFonts w:hint="cs" w:eastAsia="方正仿宋_GBK"/>
          <w:color w:val="000000"/>
          <w:spacing w:val="-2"/>
          <w:kern w:val="0"/>
          <w:sz w:val="24"/>
          <w:cs/>
        </w:rPr>
        <w:t> </w:t>
      </w:r>
      <w:r>
        <w:rPr>
          <w:rFonts w:hint="eastAsia" w:eastAsia="方正仿宋_GBK"/>
          <w:color w:val="000000"/>
          <w:spacing w:val="-2"/>
          <w:kern w:val="0"/>
          <w:sz w:val="24"/>
        </w:rPr>
        <w:t>《关于印发</w:t>
      </w:r>
      <w:r>
        <w:rPr>
          <w:rFonts w:eastAsia="方正仿宋_GBK"/>
          <w:color w:val="000000"/>
          <w:spacing w:val="-2"/>
          <w:kern w:val="0"/>
          <w:sz w:val="24"/>
        </w:rPr>
        <w:t>&lt;</w:t>
      </w:r>
      <w:r>
        <w:rPr>
          <w:rFonts w:hint="eastAsia" w:eastAsia="方正仿宋_GBK"/>
          <w:color w:val="000000"/>
          <w:spacing w:val="-2"/>
          <w:kern w:val="0"/>
          <w:sz w:val="24"/>
        </w:rPr>
        <w:t>国家机关办公建筑和大型公共建筑能耗监测系统软件开发</w:t>
      </w:r>
    </w:p>
    <w:p>
      <w:pPr>
        <w:spacing w:line="460" w:lineRule="exact"/>
        <w:ind w:firstLine="1430" w:firstLineChars="606"/>
        <w:jc w:val="left"/>
        <w:rPr>
          <w:rFonts w:eastAsia="方正仿宋_GBK"/>
          <w:color w:val="000000"/>
          <w:spacing w:val="-2"/>
          <w:sz w:val="24"/>
        </w:rPr>
      </w:pPr>
      <w:r>
        <w:rPr>
          <w:rFonts w:hint="eastAsia" w:eastAsia="方正仿宋_GBK"/>
          <w:color w:val="000000"/>
          <w:spacing w:val="-2"/>
          <w:kern w:val="0"/>
          <w:sz w:val="24"/>
        </w:rPr>
        <w:t>指导说明书</w:t>
      </w:r>
      <w:r>
        <w:rPr>
          <w:rFonts w:eastAsia="方正仿宋_GBK"/>
          <w:color w:val="000000"/>
          <w:spacing w:val="-2"/>
          <w:kern w:val="0"/>
          <w:sz w:val="24"/>
        </w:rPr>
        <w:t>&gt;</w:t>
      </w:r>
      <w:r>
        <w:rPr>
          <w:rFonts w:hint="eastAsia" w:eastAsia="方正仿宋_GBK"/>
          <w:color w:val="000000"/>
          <w:spacing w:val="-2"/>
          <w:kern w:val="0"/>
          <w:sz w:val="24"/>
        </w:rPr>
        <w:t>的通知》（建办科函〔</w:t>
      </w:r>
      <w:r>
        <w:rPr>
          <w:rFonts w:eastAsia="方正仿宋_GBK"/>
          <w:color w:val="000000"/>
          <w:spacing w:val="-2"/>
          <w:kern w:val="0"/>
          <w:sz w:val="24"/>
        </w:rPr>
        <w:t>2009</w:t>
      </w:r>
      <w:r>
        <w:rPr>
          <w:rFonts w:hint="eastAsia" w:eastAsia="方正仿宋_GBK"/>
          <w:color w:val="000000"/>
          <w:spacing w:val="-2"/>
          <w:kern w:val="0"/>
          <w:sz w:val="24"/>
        </w:rPr>
        <w:t>〕</w:t>
      </w:r>
      <w:r>
        <w:rPr>
          <w:rFonts w:eastAsia="方正仿宋_GBK"/>
          <w:color w:val="000000"/>
          <w:spacing w:val="-2"/>
          <w:kern w:val="0"/>
          <w:sz w:val="24"/>
        </w:rPr>
        <w:t>70</w:t>
      </w:r>
      <w:r>
        <w:rPr>
          <w:rFonts w:hint="eastAsia" w:eastAsia="方正仿宋_GBK"/>
          <w:color w:val="000000"/>
          <w:spacing w:val="-2"/>
          <w:kern w:val="0"/>
          <w:sz w:val="24"/>
        </w:rPr>
        <w:t>号）（略）</w:t>
      </w:r>
    </w:p>
    <w:p>
      <w:pPr>
        <w:spacing w:line="460" w:lineRule="exact"/>
        <w:ind w:firstLine="472" w:firstLineChars="200"/>
        <w:jc w:val="left"/>
        <w:rPr>
          <w:rFonts w:eastAsia="方正仿宋_GBK"/>
          <w:color w:val="000000"/>
          <w:spacing w:val="-2"/>
          <w:sz w:val="24"/>
        </w:rPr>
      </w:pPr>
    </w:p>
    <w:p>
      <w:pPr>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sz w:val="24"/>
        </w:rPr>
        <w:t>以上附件请在</w:t>
      </w:r>
      <w:r>
        <w:rPr>
          <w:rFonts w:eastAsia="方正仿宋_GBK"/>
          <w:color w:val="000000"/>
          <w:spacing w:val="-2"/>
          <w:sz w:val="24"/>
        </w:rPr>
        <w:t>http://</w:t>
      </w:r>
      <w:r>
        <w:fldChar w:fldCharType="begin"/>
      </w:r>
      <w:r>
        <w:instrText xml:space="preserve"> HYPERLINK "http://www.jscin.gov.cn" </w:instrText>
      </w:r>
      <w:r>
        <w:fldChar w:fldCharType="separate"/>
      </w:r>
      <w:r>
        <w:rPr>
          <w:rStyle w:val="16"/>
          <w:rFonts w:eastAsia="方正仿宋_GBK"/>
          <w:spacing w:val="-2"/>
          <w:sz w:val="24"/>
        </w:rPr>
        <w:t>www.jscin.gov.cn</w:t>
      </w:r>
      <w:r>
        <w:fldChar w:fldCharType="end"/>
      </w:r>
      <w:r>
        <w:rPr>
          <w:rFonts w:hint="eastAsia" w:eastAsia="方正仿宋_GBK"/>
          <w:color w:val="000000"/>
          <w:spacing w:val="-2"/>
          <w:sz w:val="24"/>
        </w:rPr>
        <w:t>或</w:t>
      </w:r>
      <w:r>
        <w:rPr>
          <w:rFonts w:eastAsia="方正仿宋_GBK"/>
          <w:color w:val="000000"/>
          <w:spacing w:val="-2"/>
          <w:sz w:val="24"/>
        </w:rPr>
        <w:t>http://www.mohurd.gov.cn</w:t>
      </w:r>
      <w:r>
        <w:rPr>
          <w:rFonts w:hint="eastAsia" w:eastAsia="方正仿宋_GBK"/>
          <w:color w:val="000000"/>
          <w:spacing w:val="-2"/>
          <w:sz w:val="24"/>
        </w:rPr>
        <w:t>处下载。</w:t>
      </w:r>
    </w:p>
    <w:p>
      <w:pPr>
        <w:spacing w:line="460" w:lineRule="exact"/>
        <w:ind w:firstLine="472" w:firstLineChars="200"/>
        <w:jc w:val="right"/>
        <w:rPr>
          <w:rFonts w:eastAsia="方正仿宋_GBK"/>
          <w:color w:val="000000"/>
          <w:spacing w:val="-2"/>
          <w:kern w:val="0"/>
          <w:sz w:val="24"/>
        </w:rPr>
      </w:pPr>
    </w:p>
    <w:p>
      <w:pPr>
        <w:spacing w:line="460" w:lineRule="exact"/>
        <w:ind w:right="-21" w:rightChars="-10" w:firstLine="6962" w:firstLineChars="2950"/>
        <w:rPr>
          <w:rFonts w:eastAsia="方正仿宋_GBK"/>
          <w:color w:val="000000"/>
          <w:spacing w:val="-2"/>
          <w:sz w:val="24"/>
        </w:rPr>
      </w:pPr>
      <w:r>
        <w:rPr>
          <w:rFonts w:hint="eastAsia" w:eastAsia="方正仿宋_GBK"/>
          <w:color w:val="000000"/>
          <w:spacing w:val="-2"/>
          <w:sz w:val="24"/>
        </w:rPr>
        <w:t>江苏省建设厅</w:t>
      </w:r>
      <w:r>
        <w:rPr>
          <w:rFonts w:eastAsia="方正仿宋_GBK"/>
          <w:color w:val="000000"/>
          <w:spacing w:val="-2"/>
          <w:sz w:val="24"/>
        </w:rPr>
        <w:t xml:space="preserve">  </w:t>
      </w:r>
    </w:p>
    <w:p>
      <w:pPr>
        <w:autoSpaceDE w:val="0"/>
        <w:autoSpaceDN w:val="0"/>
        <w:snapToGrid w:val="0"/>
        <w:spacing w:line="400" w:lineRule="exact"/>
        <w:ind w:right="-22" w:firstLine="624"/>
        <w:jc w:val="right"/>
        <w:rPr>
          <w:rFonts w:eastAsia="方正仿宋_GBK"/>
          <w:color w:val="000000"/>
          <w:spacing w:val="-2"/>
          <w:kern w:val="0"/>
          <w:sz w:val="24"/>
        </w:rPr>
      </w:pPr>
      <w:r>
        <w:rPr>
          <w:rFonts w:hint="eastAsia" w:eastAsia="方正仿宋_GBK"/>
          <w:color w:val="000000"/>
          <w:spacing w:val="-2"/>
          <w:kern w:val="0"/>
          <w:sz w:val="24"/>
        </w:rPr>
        <w:t>二</w:t>
      </w:r>
      <w:r>
        <w:rPr>
          <w:rFonts w:hint="eastAsia" w:eastAsia="方正仿宋_GBK"/>
          <w:bCs/>
          <w:snapToGrid w:val="0"/>
          <w:color w:val="000000"/>
          <w:spacing w:val="-2"/>
          <w:kern w:val="0"/>
          <w:sz w:val="24"/>
        </w:rPr>
        <w:t>○○</w:t>
      </w:r>
      <w:r>
        <w:rPr>
          <w:rFonts w:hint="eastAsia" w:eastAsia="方正仿宋_GBK"/>
          <w:color w:val="000000"/>
          <w:spacing w:val="-2"/>
          <w:kern w:val="0"/>
          <w:sz w:val="24"/>
        </w:rPr>
        <w:t>九年三月二十日</w:t>
      </w:r>
      <w:r>
        <w:rPr>
          <w:rFonts w:eastAsia="方正仿宋_GBK"/>
          <w:color w:val="000000"/>
          <w:spacing w:val="-2"/>
          <w:kern w:val="0"/>
          <w:sz w:val="24"/>
        </w:rPr>
        <w:t xml:space="preserve"> </w:t>
      </w:r>
    </w:p>
    <w:p>
      <w:pPr>
        <w:autoSpaceDE w:val="0"/>
        <w:autoSpaceDN w:val="0"/>
        <w:snapToGrid w:val="0"/>
        <w:spacing w:line="400" w:lineRule="exact"/>
        <w:ind w:right="-22" w:firstLine="624"/>
        <w:jc w:val="center"/>
        <w:rPr>
          <w:rFonts w:eastAsia="方正仿宋_GBK"/>
          <w:color w:val="000000"/>
          <w:spacing w:val="-2"/>
          <w:kern w:val="0"/>
          <w:sz w:val="24"/>
        </w:rPr>
      </w:pPr>
    </w:p>
    <w:p>
      <w:pPr>
        <w:overflowPunct w:val="0"/>
        <w:autoSpaceDE w:val="0"/>
        <w:autoSpaceDN w:val="0"/>
        <w:spacing w:line="460" w:lineRule="exact"/>
        <w:rPr>
          <w:rFonts w:eastAsia="方正仿宋_GBK"/>
          <w:color w:val="000000"/>
          <w:spacing w:val="-2"/>
          <w:sz w:val="24"/>
        </w:rPr>
      </w:pPr>
    </w:p>
    <w:p/>
    <w:p/>
    <w:p/>
    <w:p/>
    <w:p>
      <w:pPr>
        <w:spacing w:line="460" w:lineRule="exact"/>
        <w:rPr>
          <w:rFonts w:eastAsia="方正仿宋_GBK"/>
          <w:color w:val="000000"/>
          <w:sz w:val="24"/>
        </w:rPr>
      </w:pPr>
      <w:r>
        <w:br w:type="column"/>
      </w:r>
    </w:p>
    <w:p>
      <w:pPr>
        <w:pStyle w:val="2"/>
        <w:spacing w:before="240" w:beforeLines="100" w:after="240" w:afterLines="100" w:line="240" w:lineRule="auto"/>
        <w:jc w:val="center"/>
        <w:rPr>
          <w:rFonts w:ascii="Times New Roman" w:eastAsia="方正小标宋_GBK"/>
          <w:b w:val="0"/>
          <w:sz w:val="36"/>
          <w:szCs w:val="36"/>
        </w:rPr>
      </w:pPr>
      <w:bookmarkStart w:id="363" w:name="_Toc18315554"/>
      <w:bookmarkStart w:id="364" w:name="_Toc20726448"/>
      <w:r>
        <w:rPr>
          <w:rFonts w:hint="eastAsia" w:ascii="Times New Roman" w:eastAsia="方正小标宋_GBK"/>
          <w:b w:val="0"/>
          <w:sz w:val="36"/>
          <w:szCs w:val="36"/>
        </w:rPr>
        <w:t>关于印发《江苏省省级建筑节能专项引导资金         绩效考核暂行办法》的通知</w:t>
      </w:r>
      <w:bookmarkEnd w:id="363"/>
      <w:bookmarkEnd w:id="364"/>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365" w:name="_Toc20726449"/>
      <w:bookmarkStart w:id="366" w:name="_Toc18315555"/>
      <w:r>
        <w:rPr>
          <w:rFonts w:hint="eastAsia" w:ascii="Times New Roman" w:hAnsi="Times New Roman" w:eastAsia="方正楷体_GBK"/>
          <w:b w:val="0"/>
          <w:sz w:val="24"/>
          <w:szCs w:val="24"/>
        </w:rPr>
        <w:t>苏建科〔</w:t>
      </w:r>
      <w:r>
        <w:rPr>
          <w:rFonts w:ascii="Times New Roman" w:hAnsi="Times New Roman" w:eastAsia="方正楷体_GBK"/>
          <w:b w:val="0"/>
          <w:sz w:val="24"/>
          <w:szCs w:val="24"/>
        </w:rPr>
        <w:t>2009</w:t>
      </w:r>
      <w:r>
        <w:rPr>
          <w:rFonts w:hint="eastAsia" w:ascii="Times New Roman" w:hAnsi="Times New Roman" w:eastAsia="方正楷体_GBK"/>
          <w:b w:val="0"/>
          <w:sz w:val="24"/>
          <w:szCs w:val="24"/>
        </w:rPr>
        <w:t>〕</w:t>
      </w:r>
      <w:r>
        <w:rPr>
          <w:rFonts w:ascii="Times New Roman" w:hAnsi="Times New Roman" w:eastAsia="方正楷体_GBK"/>
          <w:b w:val="0"/>
          <w:sz w:val="24"/>
          <w:szCs w:val="24"/>
        </w:rPr>
        <w:t>307</w:t>
      </w:r>
      <w:r>
        <w:rPr>
          <w:rFonts w:hint="eastAsia" w:ascii="Times New Roman" w:hAnsi="Times New Roman" w:eastAsia="方正楷体_GBK"/>
          <w:b w:val="0"/>
          <w:sz w:val="24"/>
          <w:szCs w:val="24"/>
        </w:rPr>
        <w:t>号</w:t>
      </w:r>
      <w:bookmarkEnd w:id="365"/>
      <w:bookmarkEnd w:id="366"/>
    </w:p>
    <w:p>
      <w:pPr>
        <w:spacing w:line="460" w:lineRule="exact"/>
        <w:rPr>
          <w:rFonts w:eastAsia="方正仿宋_GBK"/>
          <w:color w:val="000000"/>
          <w:spacing w:val="-2"/>
          <w:sz w:val="24"/>
        </w:rPr>
      </w:pPr>
      <w:r>
        <w:rPr>
          <w:rFonts w:hint="eastAsia" w:eastAsia="方正仿宋_GBK"/>
          <w:color w:val="000000"/>
          <w:spacing w:val="-2"/>
          <w:sz w:val="24"/>
        </w:rPr>
        <w:t>各市、县（市）建设局（建委）、财政局：</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为规范江苏省省级建筑节能专项引导资金项目的绩效考核工作，我们制定了《江苏省省级建筑节能专项引导资金绩效考核暂行办法》，现予印发，请遵照执行。</w:t>
      </w:r>
    </w:p>
    <w:p>
      <w:pPr>
        <w:spacing w:line="460" w:lineRule="exact"/>
        <w:ind w:firstLine="472" w:firstLineChars="200"/>
        <w:rPr>
          <w:rFonts w:eastAsia="方正仿宋_GBK"/>
          <w:color w:val="000000"/>
          <w:spacing w:val="-2"/>
          <w:sz w:val="24"/>
        </w:rPr>
      </w:pP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附件：《江苏省省级建筑节能专项引导资金绩效考核暂行办法》</w:t>
      </w:r>
    </w:p>
    <w:p>
      <w:pPr>
        <w:spacing w:line="460" w:lineRule="exact"/>
        <w:ind w:firstLine="472" w:firstLineChars="200"/>
        <w:rPr>
          <w:rFonts w:eastAsia="方正仿宋_GBK"/>
          <w:color w:val="000000"/>
          <w:spacing w:val="-2"/>
          <w:sz w:val="24"/>
        </w:rPr>
      </w:pPr>
    </w:p>
    <w:p>
      <w:pPr>
        <w:spacing w:line="460" w:lineRule="exact"/>
        <w:ind w:right="1096" w:rightChars="522"/>
        <w:jc w:val="right"/>
        <w:rPr>
          <w:rFonts w:eastAsia="方正仿宋_GBK"/>
          <w:color w:val="000000"/>
          <w:spacing w:val="-2"/>
          <w:sz w:val="24"/>
        </w:rPr>
      </w:pPr>
      <w:r>
        <w:rPr>
          <w:rFonts w:hint="eastAsia" w:eastAsia="方正仿宋_GBK"/>
          <w:color w:val="000000"/>
          <w:spacing w:val="-2"/>
          <w:sz w:val="24"/>
        </w:rPr>
        <w:t>江苏省建设厅</w:t>
      </w:r>
      <w:r>
        <w:rPr>
          <w:rFonts w:eastAsia="方正仿宋_GBK"/>
          <w:color w:val="000000"/>
          <w:spacing w:val="-2"/>
          <w:sz w:val="24"/>
        </w:rPr>
        <w:t xml:space="preserve">        </w:t>
      </w:r>
    </w:p>
    <w:p>
      <w:pPr>
        <w:spacing w:line="460" w:lineRule="exact"/>
        <w:ind w:right="1096" w:rightChars="522"/>
        <w:jc w:val="right"/>
        <w:rPr>
          <w:rFonts w:eastAsia="方正仿宋_GBK"/>
          <w:color w:val="000000"/>
          <w:spacing w:val="-2"/>
          <w:sz w:val="24"/>
        </w:rPr>
      </w:pPr>
      <w:r>
        <w:rPr>
          <w:rFonts w:hint="eastAsia" w:eastAsia="方正仿宋_GBK"/>
          <w:color w:val="000000"/>
          <w:spacing w:val="-2"/>
          <w:sz w:val="24"/>
        </w:rPr>
        <w:t>江苏省财政厅</w:t>
      </w:r>
      <w:r>
        <w:rPr>
          <w:rFonts w:eastAsia="方正仿宋_GBK"/>
          <w:color w:val="000000"/>
          <w:spacing w:val="-2"/>
          <w:sz w:val="24"/>
        </w:rPr>
        <w:t xml:space="preserve">        </w:t>
      </w:r>
    </w:p>
    <w:p>
      <w:pPr>
        <w:spacing w:line="460" w:lineRule="exact"/>
        <w:ind w:right="458" w:rightChars="218"/>
        <w:jc w:val="right"/>
        <w:rPr>
          <w:rFonts w:eastAsia="方正仿宋_GBK"/>
          <w:color w:val="000000"/>
          <w:spacing w:val="-2"/>
          <w:sz w:val="24"/>
        </w:rPr>
      </w:pPr>
      <w:r>
        <w:rPr>
          <w:rFonts w:hint="eastAsia" w:eastAsia="方正仿宋_GBK"/>
          <w:color w:val="000000"/>
          <w:spacing w:val="-2"/>
          <w:sz w:val="24"/>
        </w:rPr>
        <w:t>二〇〇九年九月二十六日</w:t>
      </w:r>
      <w:r>
        <w:rPr>
          <w:rFonts w:eastAsia="方正仿宋_GBK"/>
          <w:color w:val="000000"/>
          <w:spacing w:val="-2"/>
          <w:sz w:val="24"/>
        </w:rPr>
        <w:t xml:space="preserve">    </w:t>
      </w:r>
    </w:p>
    <w:p>
      <w:pPr>
        <w:spacing w:line="460" w:lineRule="exact"/>
        <w:jc w:val="center"/>
        <w:rPr>
          <w:rFonts w:eastAsia="方正仿宋_GBK"/>
          <w:color w:val="000000"/>
          <w:spacing w:val="-2"/>
          <w:sz w:val="24"/>
        </w:rPr>
      </w:pPr>
    </w:p>
    <w:p>
      <w:pPr>
        <w:spacing w:line="460" w:lineRule="exact"/>
        <w:jc w:val="center"/>
        <w:rPr>
          <w:rFonts w:eastAsia="方正仿宋_GBK"/>
          <w:color w:val="000000"/>
          <w:spacing w:val="-2"/>
          <w:sz w:val="24"/>
        </w:rPr>
      </w:pPr>
    </w:p>
    <w:p>
      <w:pPr>
        <w:spacing w:line="460" w:lineRule="exact"/>
        <w:jc w:val="center"/>
        <w:rPr>
          <w:rFonts w:ascii="Times New Roman" w:eastAsia="方正黑体_GBK"/>
          <w:color w:val="000000"/>
          <w:spacing w:val="-2"/>
          <w:sz w:val="36"/>
          <w:szCs w:val="36"/>
        </w:rPr>
      </w:pPr>
      <w:r>
        <w:rPr>
          <w:rFonts w:hint="eastAsia" w:ascii="Times New Roman" w:eastAsia="方正黑体_GBK"/>
          <w:color w:val="000000"/>
          <w:spacing w:val="-2"/>
          <w:sz w:val="36"/>
          <w:szCs w:val="36"/>
        </w:rPr>
        <w:t>江苏省省级建筑节能专项引导资金</w:t>
      </w:r>
    </w:p>
    <w:p>
      <w:pPr>
        <w:spacing w:line="460" w:lineRule="exact"/>
        <w:jc w:val="center"/>
        <w:rPr>
          <w:rFonts w:hint="eastAsia" w:ascii="Times New Roman" w:eastAsia="方正黑体_GBK"/>
          <w:color w:val="000000"/>
          <w:spacing w:val="-2"/>
          <w:sz w:val="36"/>
          <w:szCs w:val="36"/>
        </w:rPr>
      </w:pPr>
      <w:r>
        <w:rPr>
          <w:rFonts w:hint="eastAsia" w:ascii="Times New Roman" w:eastAsia="方正黑体_GBK"/>
          <w:color w:val="000000"/>
          <w:spacing w:val="-2"/>
          <w:sz w:val="36"/>
          <w:szCs w:val="36"/>
        </w:rPr>
        <w:t>绩效考核暂行办法</w:t>
      </w:r>
    </w:p>
    <w:p>
      <w:pPr>
        <w:spacing w:line="460" w:lineRule="exact"/>
        <w:ind w:firstLine="472" w:firstLineChars="200"/>
        <w:rPr>
          <w:rFonts w:hint="eastAsia" w:eastAsia="方正仿宋_GBK"/>
          <w:color w:val="000000"/>
          <w:spacing w:val="-2"/>
          <w:sz w:val="24"/>
        </w:rPr>
      </w:pP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第一条</w:t>
      </w:r>
      <w:r>
        <w:rPr>
          <w:rFonts w:eastAsia="方正仿宋_GBK"/>
          <w:b/>
          <w:color w:val="000000"/>
          <w:spacing w:val="-2"/>
          <w:sz w:val="24"/>
        </w:rPr>
        <w:t xml:space="preserve">  </w:t>
      </w:r>
      <w:r>
        <w:rPr>
          <w:rFonts w:hint="eastAsia" w:eastAsia="方正仿宋_GBK"/>
          <w:color w:val="000000"/>
          <w:spacing w:val="-2"/>
          <w:sz w:val="24"/>
        </w:rPr>
        <w:t>为了加强江苏省省级建筑节能专项引导资金的管理，提高财政资金使用效益，根据《江苏省财政厅关于整合后省级专项发展资金使用与管理问题的通知》（苏财预〔</w:t>
      </w:r>
      <w:r>
        <w:rPr>
          <w:rFonts w:eastAsia="方正仿宋_GBK"/>
          <w:color w:val="000000"/>
          <w:spacing w:val="-2"/>
          <w:sz w:val="24"/>
        </w:rPr>
        <w:t>2008</w:t>
      </w:r>
      <w:r>
        <w:rPr>
          <w:rFonts w:hint="eastAsia" w:eastAsia="方正仿宋_GBK"/>
          <w:color w:val="000000"/>
          <w:spacing w:val="-2"/>
          <w:sz w:val="24"/>
        </w:rPr>
        <w:t>〕</w:t>
      </w:r>
      <w:r>
        <w:rPr>
          <w:rFonts w:eastAsia="方正仿宋_GBK"/>
          <w:color w:val="000000"/>
          <w:spacing w:val="-2"/>
          <w:sz w:val="24"/>
        </w:rPr>
        <w:t>38</w:t>
      </w:r>
      <w:r>
        <w:rPr>
          <w:rFonts w:hint="eastAsia" w:eastAsia="方正仿宋_GBK"/>
          <w:color w:val="000000"/>
          <w:spacing w:val="-2"/>
          <w:sz w:val="24"/>
        </w:rPr>
        <w:t>号）、《江苏省省级节能减排（建筑节能）专项引导资金管理暂行办法》（苏财建〔</w:t>
      </w:r>
      <w:r>
        <w:rPr>
          <w:rFonts w:eastAsia="方正仿宋_GBK"/>
          <w:color w:val="000000"/>
          <w:spacing w:val="-2"/>
          <w:sz w:val="24"/>
        </w:rPr>
        <w:t>2008</w:t>
      </w:r>
      <w:r>
        <w:rPr>
          <w:rFonts w:hint="eastAsia" w:eastAsia="方正仿宋_GBK"/>
          <w:color w:val="000000"/>
          <w:spacing w:val="-2"/>
          <w:sz w:val="24"/>
        </w:rPr>
        <w:t>〕</w:t>
      </w:r>
      <w:r>
        <w:rPr>
          <w:rFonts w:eastAsia="方正仿宋_GBK"/>
          <w:color w:val="000000"/>
          <w:spacing w:val="-2"/>
          <w:sz w:val="24"/>
        </w:rPr>
        <w:t>192</w:t>
      </w:r>
      <w:r>
        <w:rPr>
          <w:rFonts w:hint="eastAsia" w:eastAsia="方正仿宋_GBK"/>
          <w:color w:val="000000"/>
          <w:spacing w:val="-2"/>
          <w:sz w:val="24"/>
        </w:rPr>
        <w:t>号）等规定，特制定本办法。</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第二条</w:t>
      </w:r>
      <w:r>
        <w:rPr>
          <w:rFonts w:eastAsia="方正仿宋_GBK"/>
          <w:b/>
          <w:color w:val="000000"/>
          <w:spacing w:val="-2"/>
          <w:sz w:val="24"/>
        </w:rPr>
        <w:t xml:space="preserve">  </w:t>
      </w:r>
      <w:r>
        <w:rPr>
          <w:rFonts w:hint="eastAsia" w:eastAsia="方正仿宋_GBK"/>
          <w:color w:val="000000"/>
          <w:spacing w:val="-2"/>
          <w:sz w:val="24"/>
        </w:rPr>
        <w:t>本办法适用于省财政预算安排的省级建筑节能专项引导资金项目的绩效考核。本办法所称的绩效考核是指对省级建筑节能专项引导资金项目的实施过程进行监督管理、对完成项目进行验收，以及对实施效果进行综合考核、评价。</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第三条</w:t>
      </w:r>
      <w:r>
        <w:rPr>
          <w:rFonts w:eastAsia="方正仿宋_GBK"/>
          <w:color w:val="000000"/>
          <w:spacing w:val="-2"/>
          <w:sz w:val="24"/>
        </w:rPr>
        <w:t xml:space="preserve">  </w:t>
      </w:r>
      <w:r>
        <w:rPr>
          <w:rFonts w:hint="eastAsia" w:eastAsia="方正仿宋_GBK"/>
          <w:color w:val="000000"/>
          <w:spacing w:val="-2"/>
          <w:sz w:val="24"/>
        </w:rPr>
        <w:t>绩效考核依照客观公正、简明实用，考核结果与实际财政补助资金相挂钩的原则。</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第四条</w:t>
      </w:r>
      <w:r>
        <w:rPr>
          <w:rFonts w:eastAsia="方正仿宋_GBK"/>
          <w:color w:val="000000"/>
          <w:spacing w:val="-2"/>
          <w:sz w:val="24"/>
        </w:rPr>
        <w:t xml:space="preserve">  </w:t>
      </w:r>
      <w:r>
        <w:rPr>
          <w:rFonts w:hint="eastAsia" w:eastAsia="方正仿宋_GBK"/>
          <w:color w:val="000000"/>
          <w:spacing w:val="-2"/>
          <w:sz w:val="24"/>
        </w:rPr>
        <w:t>省建设厅、省财政厅成立省级建筑节能专项引导资金绩效考核工作小组，绩效考核工作由绩效考核工作小组具体组织实施。</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第五条</w:t>
      </w:r>
      <w:r>
        <w:rPr>
          <w:rFonts w:eastAsia="方正仿宋_GBK"/>
          <w:color w:val="000000"/>
          <w:spacing w:val="-2"/>
          <w:sz w:val="24"/>
        </w:rPr>
        <w:t xml:space="preserve">  </w:t>
      </w:r>
      <w:r>
        <w:rPr>
          <w:rFonts w:hint="eastAsia" w:eastAsia="方正仿宋_GBK"/>
          <w:color w:val="000000"/>
          <w:spacing w:val="-2"/>
          <w:sz w:val="24"/>
        </w:rPr>
        <w:t>项目实施过程的监督管理：</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年度确定的省级建筑节能专项引导资金项目，应根据专家评审意见修改完善，并报省建设厅或省辖市建设局（建委）组织专家审查后实施。审查工作应根据省建设厅制定的专项审查要点进行，出具专项审查报告并交省建设厅备案。</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省建设厅负责组织审查省级机关办公建筑和大型公共建筑节能监管体系建设项目，以及财政补助资金</w:t>
      </w:r>
      <w:r>
        <w:rPr>
          <w:rFonts w:eastAsia="方正仿宋_GBK"/>
          <w:color w:val="000000"/>
          <w:spacing w:val="-2"/>
          <w:sz w:val="24"/>
        </w:rPr>
        <w:t>100</w:t>
      </w:r>
      <w:r>
        <w:rPr>
          <w:rFonts w:hint="eastAsia" w:eastAsia="方正仿宋_GBK"/>
          <w:color w:val="000000"/>
          <w:spacing w:val="-2"/>
          <w:sz w:val="24"/>
        </w:rPr>
        <w:t>万以上的建筑节能改造、可再生能源建筑应用、低能耗建筑示范项目。</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省辖市建设局（建委）负责组织审查项目所在地机关办公建筑节能监管体系建设项目，以及财政补助资金</w:t>
      </w:r>
      <w:r>
        <w:rPr>
          <w:rFonts w:eastAsia="方正仿宋_GBK"/>
          <w:color w:val="000000"/>
          <w:spacing w:val="-2"/>
          <w:sz w:val="24"/>
        </w:rPr>
        <w:t>100</w:t>
      </w:r>
      <w:r>
        <w:rPr>
          <w:rFonts w:hint="eastAsia" w:eastAsia="方正仿宋_GBK"/>
          <w:color w:val="000000"/>
          <w:spacing w:val="-2"/>
          <w:sz w:val="24"/>
        </w:rPr>
        <w:t>万以内的建筑节能改造、可再生能源建筑应用、低能耗建筑示范项目。</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（二）项目承担单位应定期填写《江苏省省级建筑节能专项引导资金项目实施进展情况季报表》，于每季度末上报至省建设厅和省辖市建设局（建委）。</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三）各市县建设、财政主管部门应加强对本地区省级建筑节能专项引导资金项目的监管管理。建设主管部门应督促承担单位按进度组织工程建设，确保工程质量；财政主管部门应检查承担单位是否按规定使用补助经费。监督管理中发现的问题应及时向省建设厅、财政厅报告。</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四）省级建筑节能专项引导资金绩效考核工作小组开展对专项资金项目管理和实施情况的抽查，定期通报抽查结果。对未按相关管理要求实施的项目，省建设厅、财政厅及时向项目所在地主管部门和项目承担单位提出书面整改意见。</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（五）项目验收前，项目承担单位应委托经省建设厅公布的能效测评机构对项目进行检测或能效测评，结合检测情况对项目实际节能量进行评估。</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第六条</w:t>
      </w:r>
      <w:r>
        <w:rPr>
          <w:rFonts w:eastAsia="方正仿宋_GBK"/>
          <w:color w:val="000000"/>
          <w:spacing w:val="-2"/>
          <w:sz w:val="24"/>
        </w:rPr>
        <w:t xml:space="preserve">  </w:t>
      </w:r>
      <w:r>
        <w:rPr>
          <w:rFonts w:hint="eastAsia" w:eastAsia="方正仿宋_GBK"/>
          <w:color w:val="000000"/>
          <w:spacing w:val="-2"/>
          <w:sz w:val="24"/>
        </w:rPr>
        <w:t>项目验收程序：</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项目完成并已经工程竣工验收备案后，由承担单位提出项目验收申请。申请验收应填写《江苏省省级建筑节能专项引导资金项目验收申请表》，并提供相关验收资料，经项目所在地省辖市建设局（建委）同意后，报省建设厅批准验收。</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第七条</w:t>
      </w:r>
      <w:r>
        <w:rPr>
          <w:rFonts w:eastAsia="方正仿宋_GBK"/>
          <w:color w:val="000000"/>
          <w:spacing w:val="-2"/>
          <w:sz w:val="24"/>
        </w:rPr>
        <w:t xml:space="preserve">  </w:t>
      </w:r>
      <w:r>
        <w:rPr>
          <w:rFonts w:hint="eastAsia" w:eastAsia="方正仿宋_GBK"/>
          <w:color w:val="000000"/>
          <w:spacing w:val="-2"/>
          <w:sz w:val="24"/>
        </w:rPr>
        <w:t>项目验收工作原则上由项目所在地省辖市建设局（建委）组织专家进行，重大项目由省建设厅直接组织，验收专家组从全省统一的专家库中随机选取组成。</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第八条</w:t>
      </w:r>
      <w:r>
        <w:rPr>
          <w:rFonts w:eastAsia="方正仿宋_GBK"/>
          <w:color w:val="000000"/>
          <w:spacing w:val="-2"/>
          <w:sz w:val="24"/>
        </w:rPr>
        <w:t xml:space="preserve">  </w:t>
      </w:r>
      <w:r>
        <w:rPr>
          <w:rFonts w:hint="eastAsia" w:eastAsia="方正仿宋_GBK"/>
          <w:color w:val="000000"/>
          <w:spacing w:val="-2"/>
          <w:sz w:val="24"/>
        </w:rPr>
        <w:t>项目验收资料：</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（一）项目申报书；</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（二）项目完成情况总结报告（包含根据专家评审意见调整的实施内容汇报）；</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（三）检测报告或能效测评报告；</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（四）各季度《江苏省省级建筑节能专项引导资金项目实施进展情况季报表》；</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（五）项目实施经费情况报告（附相关财务报表）；</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（六）工程应用的建筑节能技术实拍照片（电子档）；</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（七）其他相关资料。</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第九条</w:t>
      </w:r>
      <w:r>
        <w:rPr>
          <w:rFonts w:eastAsia="方正仿宋_GBK"/>
          <w:color w:val="000000"/>
          <w:spacing w:val="-2"/>
          <w:sz w:val="24"/>
        </w:rPr>
        <w:t xml:space="preserve">  </w:t>
      </w:r>
      <w:r>
        <w:rPr>
          <w:rFonts w:hint="eastAsia" w:eastAsia="方正仿宋_GBK"/>
          <w:color w:val="000000"/>
          <w:spacing w:val="-2"/>
          <w:sz w:val="24"/>
        </w:rPr>
        <w:t>项目验收要点：</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（一）是否按期完成项目申报书和实施方案中确定的实施内容（</w:t>
      </w:r>
      <w:r>
        <w:rPr>
          <w:rFonts w:eastAsia="方正仿宋_GBK"/>
          <w:color w:val="000000"/>
          <w:spacing w:val="-2"/>
          <w:sz w:val="24"/>
        </w:rPr>
        <w:t>30</w:t>
      </w:r>
      <w:r>
        <w:rPr>
          <w:rFonts w:hint="eastAsia" w:eastAsia="方正仿宋_GBK"/>
          <w:color w:val="000000"/>
          <w:spacing w:val="-2"/>
          <w:sz w:val="24"/>
        </w:rPr>
        <w:t>分）；</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（二）是否按规定每季度上报项目实施进展情况（</w:t>
      </w:r>
      <w:r>
        <w:rPr>
          <w:rFonts w:eastAsia="方正仿宋_GBK"/>
          <w:color w:val="000000"/>
          <w:spacing w:val="-2"/>
          <w:sz w:val="24"/>
        </w:rPr>
        <w:t>20</w:t>
      </w:r>
      <w:r>
        <w:rPr>
          <w:rFonts w:hint="eastAsia" w:eastAsia="方正仿宋_GBK"/>
          <w:color w:val="000000"/>
          <w:spacing w:val="-2"/>
          <w:sz w:val="24"/>
        </w:rPr>
        <w:t>分）；</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（三）项目检测、能效测评情况，项目是否达到预期建筑节能效果（</w:t>
      </w:r>
      <w:r>
        <w:rPr>
          <w:rFonts w:eastAsia="方正仿宋_GBK"/>
          <w:color w:val="000000"/>
          <w:spacing w:val="-2"/>
          <w:sz w:val="24"/>
        </w:rPr>
        <w:t>30</w:t>
      </w:r>
      <w:r>
        <w:rPr>
          <w:rFonts w:hint="eastAsia" w:eastAsia="方正仿宋_GBK"/>
          <w:color w:val="000000"/>
          <w:spacing w:val="-2"/>
          <w:sz w:val="24"/>
        </w:rPr>
        <w:t>分）；</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（四）财政补助经费使用情况，是否符合相关规定要求（</w:t>
      </w:r>
      <w:r>
        <w:rPr>
          <w:rFonts w:eastAsia="方正仿宋_GBK"/>
          <w:color w:val="000000"/>
          <w:spacing w:val="-2"/>
          <w:sz w:val="24"/>
        </w:rPr>
        <w:t>20</w:t>
      </w:r>
      <w:r>
        <w:rPr>
          <w:rFonts w:hint="eastAsia" w:eastAsia="方正仿宋_GBK"/>
          <w:color w:val="000000"/>
          <w:spacing w:val="-2"/>
          <w:sz w:val="24"/>
        </w:rPr>
        <w:t>分）。</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验收实行评分制。验收评分低于</w:t>
      </w:r>
      <w:r>
        <w:rPr>
          <w:rFonts w:eastAsia="方正仿宋_GBK"/>
          <w:color w:val="000000"/>
          <w:spacing w:val="-2"/>
          <w:sz w:val="24"/>
        </w:rPr>
        <w:t>60</w:t>
      </w:r>
      <w:r>
        <w:rPr>
          <w:rFonts w:hint="eastAsia" w:eastAsia="方正仿宋_GBK"/>
          <w:color w:val="000000"/>
          <w:spacing w:val="-2"/>
          <w:sz w:val="24"/>
        </w:rPr>
        <w:t>分为不合格；</w:t>
      </w:r>
      <w:r>
        <w:rPr>
          <w:rFonts w:eastAsia="方正仿宋_GBK"/>
          <w:color w:val="000000"/>
          <w:spacing w:val="-2"/>
          <w:sz w:val="24"/>
        </w:rPr>
        <w:t>60</w:t>
      </w:r>
      <w:r>
        <w:rPr>
          <w:rFonts w:hint="eastAsia" w:eastAsia="方正仿宋_GBK"/>
          <w:color w:val="000000"/>
          <w:spacing w:val="-2"/>
          <w:sz w:val="24"/>
        </w:rPr>
        <w:t>～</w:t>
      </w:r>
      <w:r>
        <w:rPr>
          <w:rFonts w:eastAsia="方正仿宋_GBK"/>
          <w:color w:val="000000"/>
          <w:spacing w:val="-2"/>
          <w:sz w:val="24"/>
        </w:rPr>
        <w:t>75</w:t>
      </w:r>
      <w:r>
        <w:rPr>
          <w:rFonts w:hint="eastAsia" w:eastAsia="方正仿宋_GBK"/>
          <w:color w:val="000000"/>
          <w:spacing w:val="-2"/>
          <w:sz w:val="24"/>
        </w:rPr>
        <w:t>分合格；</w:t>
      </w:r>
      <w:r>
        <w:rPr>
          <w:rFonts w:eastAsia="方正仿宋_GBK"/>
          <w:color w:val="000000"/>
          <w:spacing w:val="-2"/>
          <w:sz w:val="24"/>
        </w:rPr>
        <w:t>76</w:t>
      </w:r>
      <w:r>
        <w:rPr>
          <w:rFonts w:hint="eastAsia" w:eastAsia="方正仿宋_GBK"/>
          <w:color w:val="000000"/>
          <w:spacing w:val="-2"/>
          <w:sz w:val="24"/>
        </w:rPr>
        <w:t>～</w:t>
      </w:r>
      <w:r>
        <w:rPr>
          <w:rFonts w:eastAsia="方正仿宋_GBK"/>
          <w:color w:val="000000"/>
          <w:spacing w:val="-2"/>
          <w:sz w:val="24"/>
        </w:rPr>
        <w:t>90</w:t>
      </w:r>
      <w:r>
        <w:rPr>
          <w:rFonts w:hint="eastAsia" w:eastAsia="方正仿宋_GBK"/>
          <w:color w:val="000000"/>
          <w:spacing w:val="-2"/>
          <w:sz w:val="24"/>
        </w:rPr>
        <w:t>分较好；</w:t>
      </w:r>
      <w:r>
        <w:rPr>
          <w:rFonts w:eastAsia="方正仿宋_GBK"/>
          <w:color w:val="000000"/>
          <w:spacing w:val="-2"/>
          <w:sz w:val="24"/>
        </w:rPr>
        <w:t>90</w:t>
      </w:r>
      <w:r>
        <w:rPr>
          <w:rFonts w:hint="eastAsia" w:eastAsia="方正仿宋_GBK"/>
          <w:color w:val="000000"/>
          <w:spacing w:val="-2"/>
          <w:sz w:val="24"/>
        </w:rPr>
        <w:t>分以上为优秀。根据验收结果，由省建设厅出具《江苏省省级建筑节能专项引导资金项目验收报告》。</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第十条</w:t>
      </w:r>
      <w:r>
        <w:rPr>
          <w:rFonts w:eastAsia="方正仿宋_GBK"/>
          <w:color w:val="000000"/>
          <w:spacing w:val="-2"/>
          <w:sz w:val="24"/>
        </w:rPr>
        <w:t xml:space="preserve">  </w:t>
      </w:r>
      <w:r>
        <w:rPr>
          <w:rFonts w:hint="eastAsia" w:eastAsia="方正仿宋_GBK"/>
          <w:color w:val="000000"/>
          <w:spacing w:val="-2"/>
          <w:sz w:val="24"/>
        </w:rPr>
        <w:t>验收结果处理：</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（一）未按项目申报书和实施方案确定的内容实施的，收回已拨付的补助经费，不予拨付剩余补助经费。</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（二）项目验收不合格的，不予拨付剩余补助经费。</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（三）项目验收合格的，凭借《江苏省省级建筑节能专项引导资金项目验收报告》，由项目承担单位向项目所在地财政部门或省财政部门申请拨付未付的补助资金。</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四）省建设厅、财政厅建立绩效考核档案制度，绩效考核的优劣作为以后安排项目资金的重要依据。对项目验收不合格的承担单位，不得推荐申报任何建筑节能补助项目；对项目验收评价为优秀的承担单位，对今后申报国家和省建筑节能项目给予重点支持。</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第十一条</w:t>
      </w:r>
      <w:r>
        <w:rPr>
          <w:rFonts w:eastAsia="方正仿宋_GBK"/>
          <w:b/>
          <w:color w:val="000000"/>
          <w:spacing w:val="-2"/>
          <w:sz w:val="24"/>
        </w:rPr>
        <w:t xml:space="preserve">  </w:t>
      </w:r>
      <w:r>
        <w:rPr>
          <w:rFonts w:hint="eastAsia" w:eastAsia="方正仿宋_GBK"/>
          <w:color w:val="000000"/>
          <w:spacing w:val="-2"/>
          <w:sz w:val="24"/>
        </w:rPr>
        <w:t>本办法由省建设厅、财政厅负责解释。</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第十二条</w:t>
      </w:r>
      <w:r>
        <w:rPr>
          <w:rFonts w:eastAsia="方正仿宋_GBK"/>
          <w:color w:val="000000"/>
          <w:spacing w:val="-2"/>
          <w:sz w:val="24"/>
        </w:rPr>
        <w:t xml:space="preserve">  </w:t>
      </w:r>
      <w:r>
        <w:rPr>
          <w:rFonts w:hint="eastAsia" w:eastAsia="方正仿宋_GBK"/>
          <w:color w:val="000000"/>
          <w:spacing w:val="-2"/>
          <w:sz w:val="24"/>
        </w:rPr>
        <w:t>本办法自颁布之日起实施。</w:t>
      </w:r>
    </w:p>
    <w:p>
      <w:pPr>
        <w:spacing w:line="460" w:lineRule="exact"/>
        <w:outlineLvl w:val="0"/>
        <w:rPr>
          <w:rFonts w:eastAsia="方正仿宋_GBK"/>
          <w:color w:val="000000"/>
          <w:spacing w:val="-2"/>
          <w:sz w:val="24"/>
        </w:rPr>
      </w:pPr>
    </w:p>
    <w:p>
      <w:pPr>
        <w:spacing w:line="460" w:lineRule="exact"/>
        <w:outlineLvl w:val="0"/>
        <w:rPr>
          <w:rFonts w:eastAsia="方正仿宋_GBK"/>
          <w:color w:val="000000"/>
          <w:spacing w:val="-2"/>
          <w:kern w:val="0"/>
          <w:sz w:val="24"/>
        </w:rPr>
      </w:pPr>
    </w:p>
    <w:p>
      <w:pPr>
        <w:pStyle w:val="2"/>
        <w:spacing w:before="240" w:beforeLines="100" w:after="240" w:afterLines="100" w:line="240" w:lineRule="auto"/>
        <w:jc w:val="center"/>
        <w:rPr>
          <w:rFonts w:ascii="Times New Roman" w:eastAsia="方正小标宋_GBK"/>
          <w:b w:val="0"/>
          <w:sz w:val="36"/>
          <w:szCs w:val="36"/>
        </w:rPr>
      </w:pPr>
      <w:bookmarkStart w:id="367" w:name="_Toc18315556"/>
      <w:bookmarkStart w:id="368" w:name="_Toc20726450"/>
      <w:r>
        <w:rPr>
          <w:rFonts w:hint="eastAsia" w:ascii="Times New Roman" w:eastAsia="方正小标宋_GBK"/>
          <w:b w:val="0"/>
          <w:sz w:val="36"/>
          <w:szCs w:val="36"/>
        </w:rPr>
        <w:t>关于印发《江苏省建筑能效测评标识管理实施细则》   的通知</w:t>
      </w:r>
      <w:bookmarkEnd w:id="367"/>
      <w:bookmarkEnd w:id="368"/>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369" w:name="_Toc20726451"/>
      <w:bookmarkStart w:id="370" w:name="_Toc18315557"/>
      <w:r>
        <w:rPr>
          <w:rFonts w:hint="eastAsia" w:ascii="Times New Roman" w:hAnsi="Times New Roman" w:eastAsia="方正楷体_GBK"/>
          <w:b w:val="0"/>
          <w:sz w:val="24"/>
          <w:szCs w:val="24"/>
        </w:rPr>
        <w:t>苏建科〔</w:t>
      </w:r>
      <w:r>
        <w:rPr>
          <w:rFonts w:ascii="Times New Roman" w:hAnsi="Times New Roman" w:eastAsia="方正楷体_GBK"/>
          <w:b w:val="0"/>
          <w:sz w:val="24"/>
          <w:szCs w:val="24"/>
        </w:rPr>
        <w:t>2011</w:t>
      </w:r>
      <w:r>
        <w:rPr>
          <w:rFonts w:hint="eastAsia" w:ascii="Times New Roman" w:hAnsi="Times New Roman" w:eastAsia="方正楷体_GBK"/>
          <w:b w:val="0"/>
          <w:sz w:val="24"/>
          <w:szCs w:val="24"/>
        </w:rPr>
        <w:t>〕</w:t>
      </w:r>
      <w:r>
        <w:rPr>
          <w:rFonts w:ascii="Times New Roman" w:hAnsi="Times New Roman" w:eastAsia="方正楷体_GBK"/>
          <w:b w:val="0"/>
          <w:sz w:val="24"/>
          <w:szCs w:val="24"/>
        </w:rPr>
        <w:t>816</w:t>
      </w:r>
      <w:r>
        <w:rPr>
          <w:rFonts w:hint="eastAsia" w:ascii="Times New Roman" w:hAnsi="Times New Roman" w:eastAsia="方正楷体_GBK"/>
          <w:b w:val="0"/>
          <w:sz w:val="24"/>
          <w:szCs w:val="24"/>
        </w:rPr>
        <w:t>号</w:t>
      </w:r>
      <w:bookmarkEnd w:id="369"/>
      <w:bookmarkEnd w:id="370"/>
    </w:p>
    <w:p>
      <w:pPr>
        <w:spacing w:line="460" w:lineRule="exact"/>
        <w:rPr>
          <w:rFonts w:eastAsia="方正仿宋_GBK"/>
          <w:color w:val="000000"/>
          <w:kern w:val="0"/>
          <w:sz w:val="24"/>
        </w:rPr>
      </w:pPr>
      <w:r>
        <w:rPr>
          <w:rFonts w:hint="eastAsia" w:eastAsia="方正仿宋_GBK"/>
          <w:color w:val="000000"/>
          <w:kern w:val="0"/>
          <w:sz w:val="24"/>
        </w:rPr>
        <w:t>各省辖市建设局（委），各有关单位：</w:t>
      </w:r>
    </w:p>
    <w:p>
      <w:pPr>
        <w:spacing w:line="460" w:lineRule="exact"/>
        <w:ind w:firstLine="480" w:firstLineChars="200"/>
        <w:rPr>
          <w:rFonts w:eastAsia="方正仿宋_GBK"/>
          <w:color w:val="000000"/>
          <w:kern w:val="0"/>
          <w:sz w:val="24"/>
        </w:rPr>
      </w:pPr>
      <w:r>
        <w:rPr>
          <w:rFonts w:hint="eastAsia" w:eastAsia="方正仿宋_GBK"/>
          <w:color w:val="000000"/>
          <w:kern w:val="0"/>
          <w:sz w:val="24"/>
        </w:rPr>
        <w:t>为大力发展节能建筑和绿色建筑，进一步加大建筑节能闭合监管力度，推行建筑能效测评标识制度，规范建筑能效测评标识行为，依据《民用建筑节能条例》、《江苏省节约能源条例》、《江苏省绿色建筑发展条例》和《江苏省建筑节能管理办法》，以及住房和城乡建设部印发的《民用建筑能效测评标识管理暂行办法》和《民用建筑能效测评机构管理暂行办法》，我厅组织对原《江苏省民用建筑能效测评标识管理实施细则（暂行）》（苏建科［</w:t>
      </w:r>
      <w:r>
        <w:rPr>
          <w:rFonts w:eastAsia="方正仿宋_GBK"/>
          <w:color w:val="000000"/>
          <w:kern w:val="0"/>
          <w:sz w:val="24"/>
        </w:rPr>
        <w:t>2008</w:t>
      </w:r>
      <w:r>
        <w:rPr>
          <w:rFonts w:hint="eastAsia" w:eastAsia="方正仿宋_GBK"/>
          <w:color w:val="000000"/>
          <w:kern w:val="0"/>
          <w:sz w:val="24"/>
        </w:rPr>
        <w:t>］</w:t>
      </w:r>
      <w:r>
        <w:rPr>
          <w:rFonts w:eastAsia="方正仿宋_GBK"/>
          <w:color w:val="000000"/>
          <w:kern w:val="0"/>
          <w:sz w:val="24"/>
        </w:rPr>
        <w:t>354</w:t>
      </w:r>
      <w:r>
        <w:rPr>
          <w:rFonts w:hint="eastAsia" w:eastAsia="方正仿宋_GBK"/>
          <w:color w:val="000000"/>
          <w:kern w:val="0"/>
          <w:sz w:val="24"/>
        </w:rPr>
        <w:t>号）进行修订，编制了《江苏省建筑能效测评标识管理实施细则》，现印发给你们，请遵照执行。</w:t>
      </w:r>
    </w:p>
    <w:p>
      <w:pPr>
        <w:spacing w:line="460" w:lineRule="exact"/>
        <w:ind w:firstLine="480" w:firstLineChars="200"/>
        <w:rPr>
          <w:rFonts w:eastAsia="方正仿宋_GBK"/>
          <w:color w:val="000000"/>
          <w:kern w:val="0"/>
          <w:sz w:val="24"/>
        </w:rPr>
      </w:pPr>
    </w:p>
    <w:p>
      <w:pPr>
        <w:spacing w:line="460" w:lineRule="exact"/>
        <w:ind w:firstLine="480" w:firstLineChars="200"/>
        <w:rPr>
          <w:rFonts w:eastAsia="方正仿宋_GBK"/>
          <w:color w:val="000000"/>
          <w:kern w:val="0"/>
          <w:sz w:val="24"/>
        </w:rPr>
      </w:pPr>
      <w:r>
        <w:rPr>
          <w:rFonts w:hint="eastAsia" w:eastAsia="方正仿宋_GBK"/>
          <w:color w:val="000000"/>
          <w:kern w:val="0"/>
          <w:sz w:val="24"/>
        </w:rPr>
        <w:t>附件：《江苏省建筑能效测评标识管理实施细则》</w:t>
      </w:r>
    </w:p>
    <w:p>
      <w:pPr>
        <w:spacing w:line="460" w:lineRule="exact"/>
        <w:ind w:firstLine="480" w:firstLineChars="200"/>
        <w:rPr>
          <w:rFonts w:eastAsia="方正仿宋_GBK"/>
          <w:color w:val="000000"/>
          <w:kern w:val="0"/>
          <w:sz w:val="24"/>
        </w:rPr>
      </w:pPr>
      <w:r>
        <w:rPr>
          <w:rFonts w:eastAsia="方正仿宋_GBK"/>
          <w:color w:val="000000"/>
          <w:kern w:val="0"/>
          <w:sz w:val="24"/>
        </w:rPr>
        <w:t xml:space="preserve"> </w:t>
      </w:r>
    </w:p>
    <w:p>
      <w:pPr>
        <w:spacing w:line="460" w:lineRule="exact"/>
        <w:ind w:firstLine="480" w:firstLineChars="200"/>
        <w:rPr>
          <w:rFonts w:eastAsia="方正仿宋_GBK"/>
          <w:color w:val="000000"/>
          <w:kern w:val="0"/>
          <w:sz w:val="24"/>
        </w:rPr>
      </w:pPr>
      <w:r>
        <w:rPr>
          <w:rFonts w:eastAsia="方正仿宋_GBK"/>
          <w:color w:val="000000"/>
          <w:kern w:val="0"/>
          <w:sz w:val="24"/>
        </w:rPr>
        <w:t xml:space="preserve">                                          </w:t>
      </w:r>
      <w:r>
        <w:rPr>
          <w:rFonts w:hint="eastAsia" w:eastAsia="方正仿宋_GBK"/>
          <w:color w:val="000000"/>
          <w:kern w:val="0"/>
          <w:sz w:val="24"/>
        </w:rPr>
        <w:t>江苏省住房和城乡建设厅</w:t>
      </w:r>
    </w:p>
    <w:p>
      <w:pPr>
        <w:spacing w:line="460" w:lineRule="exact"/>
        <w:ind w:right="458" w:rightChars="218" w:firstLine="480" w:firstLineChars="200"/>
        <w:jc w:val="right"/>
        <w:rPr>
          <w:rFonts w:eastAsia="方正仿宋_GBK"/>
          <w:color w:val="000000"/>
          <w:kern w:val="0"/>
          <w:sz w:val="24"/>
        </w:rPr>
      </w:pPr>
      <w:r>
        <w:rPr>
          <w:rFonts w:hint="eastAsia" w:eastAsia="方正仿宋_GBK"/>
          <w:color w:val="000000"/>
          <w:kern w:val="0"/>
          <w:sz w:val="24"/>
        </w:rPr>
        <w:t>二〇一一年十二月二十七日</w:t>
      </w:r>
    </w:p>
    <w:p>
      <w:pPr>
        <w:spacing w:line="460" w:lineRule="exact"/>
        <w:ind w:firstLine="480" w:firstLineChars="200"/>
        <w:rPr>
          <w:rFonts w:eastAsia="方正仿宋_GBK"/>
          <w:color w:val="000000"/>
          <w:kern w:val="0"/>
          <w:sz w:val="24"/>
        </w:rPr>
      </w:pPr>
      <w:r>
        <w:rPr>
          <w:rFonts w:eastAsia="方正仿宋_GBK"/>
          <w:color w:val="000000"/>
          <w:kern w:val="0"/>
          <w:sz w:val="24"/>
        </w:rPr>
        <w:t xml:space="preserve"> </w:t>
      </w:r>
    </w:p>
    <w:p>
      <w:pPr>
        <w:spacing w:line="460" w:lineRule="exact"/>
        <w:jc w:val="left"/>
        <w:rPr>
          <w:rFonts w:ascii="Times New Roman" w:eastAsia="黑体"/>
          <w:color w:val="000000"/>
          <w:kern w:val="0"/>
          <w:sz w:val="28"/>
          <w:szCs w:val="28"/>
        </w:rPr>
      </w:pPr>
      <w:r>
        <w:rPr>
          <w:rFonts w:eastAsia="方正仿宋_GBK"/>
          <w:color w:val="000000"/>
          <w:kern w:val="0"/>
          <w:sz w:val="24"/>
        </w:rPr>
        <w:br w:type="column"/>
      </w:r>
      <w:r>
        <w:rPr>
          <w:rFonts w:hint="eastAsia" w:ascii="Times New Roman" w:eastAsia="黑体"/>
          <w:color w:val="000000"/>
          <w:kern w:val="0"/>
          <w:sz w:val="28"/>
          <w:szCs w:val="28"/>
        </w:rPr>
        <w:t>附件</w:t>
      </w:r>
    </w:p>
    <w:p>
      <w:pPr>
        <w:spacing w:line="460" w:lineRule="exact"/>
        <w:jc w:val="left"/>
        <w:rPr>
          <w:rFonts w:hint="eastAsia" w:ascii="Times New Roman" w:eastAsia="黑体"/>
          <w:color w:val="000000"/>
          <w:kern w:val="0"/>
          <w:sz w:val="28"/>
          <w:szCs w:val="28"/>
        </w:rPr>
      </w:pPr>
    </w:p>
    <w:p>
      <w:pPr>
        <w:spacing w:line="460" w:lineRule="exact"/>
        <w:jc w:val="center"/>
        <w:rPr>
          <w:rFonts w:hint="eastAsia" w:ascii="Times New Roman" w:eastAsia="方正小标宋简体"/>
          <w:color w:val="000000"/>
          <w:kern w:val="0"/>
          <w:sz w:val="36"/>
          <w:szCs w:val="36"/>
        </w:rPr>
      </w:pPr>
      <w:r>
        <w:rPr>
          <w:rFonts w:hint="eastAsia" w:ascii="Times New Roman" w:eastAsia="方正小标宋简体"/>
          <w:color w:val="000000"/>
          <w:kern w:val="0"/>
          <w:sz w:val="36"/>
          <w:szCs w:val="36"/>
        </w:rPr>
        <w:t>江苏省建筑能效测评标识管理实施细则</w:t>
      </w:r>
    </w:p>
    <w:p>
      <w:pPr>
        <w:spacing w:line="460" w:lineRule="exact"/>
        <w:ind w:firstLine="482" w:firstLineChars="200"/>
        <w:jc w:val="center"/>
        <w:rPr>
          <w:rFonts w:hint="eastAsia" w:eastAsia="方正仿宋_GBK"/>
          <w:b/>
          <w:bCs/>
          <w:smallCaps/>
          <w:color w:val="000000"/>
          <w:kern w:val="0"/>
          <w:sz w:val="24"/>
        </w:rPr>
      </w:pPr>
    </w:p>
    <w:p>
      <w:pPr>
        <w:spacing w:line="460" w:lineRule="exact"/>
        <w:jc w:val="center"/>
        <w:rPr>
          <w:rFonts w:ascii="Times New Roman" w:eastAsia="黑体"/>
          <w:bCs/>
          <w:smallCaps/>
          <w:color w:val="000000"/>
          <w:kern w:val="0"/>
          <w:sz w:val="24"/>
        </w:rPr>
      </w:pPr>
      <w:r>
        <w:rPr>
          <w:rFonts w:hint="eastAsia" w:ascii="Times New Roman" w:eastAsia="黑体"/>
          <w:bCs/>
          <w:smallCaps/>
          <w:color w:val="000000"/>
          <w:kern w:val="0"/>
          <w:sz w:val="24"/>
        </w:rPr>
        <w:t>第一章　总则</w:t>
      </w:r>
    </w:p>
    <w:p>
      <w:pPr>
        <w:spacing w:line="460" w:lineRule="exact"/>
        <w:ind w:firstLine="482" w:firstLineChars="200"/>
        <w:jc w:val="left"/>
        <w:rPr>
          <w:rFonts w:hint="eastAsia" w:eastAsia="方正仿宋_GBK"/>
          <w:b/>
          <w:bCs/>
          <w:smallCaps/>
          <w:color w:val="000000"/>
          <w:kern w:val="0"/>
          <w:sz w:val="24"/>
        </w:rPr>
      </w:pPr>
      <w:bookmarkStart w:id="371" w:name="_Hlk493071828"/>
    </w:p>
    <w:p>
      <w:pPr>
        <w:spacing w:line="460" w:lineRule="exact"/>
        <w:ind w:firstLine="480" w:firstLineChars="200"/>
        <w:jc w:val="left"/>
        <w:rPr>
          <w:rFonts w:eastAsia="方正仿宋_GBK"/>
          <w:color w:val="000000"/>
          <w:kern w:val="0"/>
          <w:sz w:val="24"/>
        </w:rPr>
      </w:pPr>
      <w:r>
        <w:rPr>
          <w:rFonts w:hint="eastAsia" w:ascii="Times New Roman" w:eastAsia="黑体"/>
          <w:bCs/>
          <w:smallCaps/>
          <w:color w:val="000000"/>
          <w:kern w:val="0"/>
          <w:sz w:val="24"/>
        </w:rPr>
        <w:t>第一条</w:t>
      </w:r>
      <w:bookmarkEnd w:id="371"/>
      <w:bookmarkStart w:id="372" w:name="1"/>
      <w:bookmarkEnd w:id="372"/>
      <w:r>
        <w:rPr>
          <w:rFonts w:hint="eastAsia" w:eastAsia="方正仿宋_GBK"/>
          <w:color w:val="000000"/>
          <w:kern w:val="0"/>
          <w:sz w:val="24"/>
        </w:rPr>
        <w:t>　为大力发展节能建筑和绿色建筑，进一步加大建筑节能闭合监管力度，推行建筑能效测评标识制度，规范建筑能效测评标识行为，依据《民用建筑节能条例》、《江苏省绿色建筑发展条例》、《江苏省节约能源条例》和《江苏省建筑节能管理办法》，以及住房和城乡建设部</w:t>
      </w:r>
      <w:r>
        <w:rPr>
          <w:rFonts w:hint="eastAsia" w:eastAsia="方正仿宋_GBK"/>
          <w:color w:val="000000"/>
          <w:sz w:val="24"/>
        </w:rPr>
        <w:t>印发的《民用建筑能效测评标识管理暂行办法》和《民用建筑能效测评机构管理暂行办法》，</w:t>
      </w:r>
      <w:r>
        <w:rPr>
          <w:rFonts w:hint="eastAsia" w:eastAsia="方正仿宋_GBK"/>
          <w:color w:val="000000"/>
          <w:kern w:val="0"/>
          <w:sz w:val="24"/>
        </w:rPr>
        <w:t>制定本实施细则。</w:t>
      </w:r>
    </w:p>
    <w:p>
      <w:pPr>
        <w:spacing w:line="460" w:lineRule="exact"/>
        <w:ind w:firstLine="480" w:firstLineChars="200"/>
        <w:jc w:val="left"/>
        <w:rPr>
          <w:rFonts w:eastAsia="方正仿宋_GBK"/>
          <w:color w:val="000000"/>
          <w:kern w:val="0"/>
          <w:sz w:val="24"/>
        </w:rPr>
      </w:pPr>
      <w:r>
        <w:rPr>
          <w:rFonts w:hint="eastAsia" w:ascii="Times New Roman" w:eastAsia="黑体"/>
          <w:bCs/>
          <w:smallCaps/>
          <w:color w:val="000000"/>
          <w:kern w:val="0"/>
          <w:sz w:val="24"/>
        </w:rPr>
        <w:t>第二条</w:t>
      </w:r>
      <w:bookmarkStart w:id="373" w:name="2"/>
      <w:bookmarkEnd w:id="373"/>
      <w:r>
        <w:rPr>
          <w:rFonts w:hint="eastAsia" w:ascii="Times New Roman" w:eastAsia="黑体"/>
          <w:color w:val="000000"/>
          <w:kern w:val="0"/>
          <w:sz w:val="24"/>
        </w:rPr>
        <w:t>　</w:t>
      </w:r>
      <w:r>
        <w:rPr>
          <w:rFonts w:hint="eastAsia" w:eastAsia="方正仿宋_GBK"/>
          <w:color w:val="000000"/>
          <w:kern w:val="0"/>
          <w:sz w:val="24"/>
        </w:rPr>
        <w:t>本省行政区域内新建居住建筑和公共建筑（包括工业建设项目中具有民用建筑功能的建筑）能效测评标识，适用本实施细则。</w:t>
      </w:r>
    </w:p>
    <w:p>
      <w:pPr>
        <w:spacing w:line="460" w:lineRule="exact"/>
        <w:ind w:firstLine="480" w:firstLineChars="200"/>
        <w:jc w:val="left"/>
        <w:rPr>
          <w:rFonts w:eastAsia="方正仿宋_GBK"/>
          <w:color w:val="000000"/>
          <w:kern w:val="0"/>
          <w:sz w:val="24"/>
        </w:rPr>
      </w:pPr>
      <w:r>
        <w:rPr>
          <w:rFonts w:hint="eastAsia" w:ascii="Times New Roman" w:eastAsia="黑体"/>
          <w:bCs/>
          <w:smallCaps/>
          <w:color w:val="000000"/>
          <w:kern w:val="0"/>
          <w:sz w:val="24"/>
        </w:rPr>
        <w:t>第三条</w:t>
      </w:r>
      <w:bookmarkStart w:id="374" w:name="3"/>
      <w:bookmarkEnd w:id="374"/>
      <w:r>
        <w:rPr>
          <w:rFonts w:hint="eastAsia" w:ascii="Times New Roman" w:eastAsia="黑体"/>
          <w:color w:val="000000"/>
          <w:kern w:val="0"/>
          <w:sz w:val="24"/>
        </w:rPr>
        <w:t>　</w:t>
      </w:r>
      <w:r>
        <w:rPr>
          <w:rFonts w:hint="eastAsia" w:eastAsia="方正仿宋_GBK"/>
          <w:color w:val="000000"/>
          <w:kern w:val="0"/>
          <w:sz w:val="24"/>
        </w:rPr>
        <w:t>本实施细则所称建筑能效测评，是指能效测评机构（以下简称测评机构）对建筑能源消耗量及其用能系统效率等性能指标进行检测、计算、评估，并给出其所处水平的活动。</w:t>
      </w:r>
    </w:p>
    <w:p>
      <w:pPr>
        <w:spacing w:line="460" w:lineRule="exact"/>
        <w:ind w:firstLine="480" w:firstLineChars="200"/>
        <w:jc w:val="left"/>
        <w:rPr>
          <w:rFonts w:eastAsia="方正仿宋_GBK"/>
          <w:color w:val="000000"/>
          <w:kern w:val="0"/>
          <w:sz w:val="24"/>
        </w:rPr>
      </w:pPr>
      <w:r>
        <w:rPr>
          <w:rFonts w:hint="eastAsia" w:eastAsia="方正仿宋_GBK"/>
          <w:color w:val="000000"/>
          <w:kern w:val="0"/>
          <w:sz w:val="24"/>
        </w:rPr>
        <w:t>本实施细则所称建筑能效标识是指由省住房和城乡建设厅对建筑物能源消耗量及建筑物用能系统效率等性能指标以信息标识的形式进行明示的活动。</w:t>
      </w:r>
    </w:p>
    <w:p>
      <w:pPr>
        <w:spacing w:line="460" w:lineRule="exact"/>
        <w:ind w:firstLine="480" w:firstLineChars="200"/>
        <w:jc w:val="left"/>
        <w:rPr>
          <w:rFonts w:eastAsia="方正仿宋_GBK"/>
          <w:color w:val="000000"/>
          <w:sz w:val="24"/>
        </w:rPr>
      </w:pPr>
      <w:r>
        <w:rPr>
          <w:rFonts w:hint="eastAsia" w:ascii="Times New Roman" w:eastAsia="黑体"/>
          <w:bCs/>
          <w:smallCaps/>
          <w:color w:val="000000"/>
          <w:kern w:val="0"/>
          <w:sz w:val="24"/>
        </w:rPr>
        <w:t>第四条</w:t>
      </w:r>
      <w:r>
        <w:rPr>
          <w:rFonts w:eastAsia="方正仿宋_GBK"/>
          <w:b/>
          <w:bCs/>
          <w:smallCaps/>
          <w:color w:val="000000"/>
          <w:kern w:val="0"/>
          <w:sz w:val="24"/>
        </w:rPr>
        <w:t xml:space="preserve">  </w:t>
      </w:r>
      <w:r>
        <w:rPr>
          <w:rFonts w:hint="eastAsia" w:eastAsia="方正仿宋_GBK"/>
          <w:color w:val="000000"/>
          <w:kern w:val="0"/>
          <w:sz w:val="24"/>
        </w:rPr>
        <w:t>建筑能效测评标识分为理论值和实测值两个阶段。理论值测评标识应在项目竣工验收之前进行，实测值测评标识应在</w:t>
      </w:r>
      <w:r>
        <w:rPr>
          <w:rFonts w:hint="eastAsia" w:eastAsia="方正仿宋_GBK"/>
          <w:color w:val="000000"/>
          <w:sz w:val="24"/>
        </w:rPr>
        <w:t>建筑物正常使用后进行</w:t>
      </w:r>
      <w:r>
        <w:rPr>
          <w:rFonts w:hint="eastAsia" w:eastAsia="方正仿宋_GBK"/>
          <w:color w:val="000000"/>
          <w:kern w:val="0"/>
          <w:sz w:val="24"/>
        </w:rPr>
        <w:t>。</w:t>
      </w:r>
    </w:p>
    <w:p>
      <w:pPr>
        <w:spacing w:line="460" w:lineRule="exact"/>
        <w:ind w:firstLine="480" w:firstLineChars="200"/>
        <w:jc w:val="left"/>
        <w:rPr>
          <w:rFonts w:eastAsia="方正仿宋_GBK"/>
          <w:color w:val="000000"/>
          <w:kern w:val="0"/>
          <w:sz w:val="24"/>
        </w:rPr>
      </w:pPr>
      <w:r>
        <w:rPr>
          <w:rFonts w:hint="eastAsia" w:ascii="Times New Roman" w:eastAsia="黑体"/>
          <w:bCs/>
          <w:smallCaps/>
          <w:color w:val="000000"/>
          <w:kern w:val="0"/>
          <w:sz w:val="24"/>
        </w:rPr>
        <w:t>第五条</w:t>
      </w:r>
      <w:r>
        <w:rPr>
          <w:rFonts w:hint="eastAsia" w:ascii="Times New Roman" w:eastAsia="黑体"/>
          <w:color w:val="000000"/>
          <w:kern w:val="0"/>
          <w:sz w:val="24"/>
        </w:rPr>
        <w:t>　</w:t>
      </w:r>
      <w:r>
        <w:rPr>
          <w:rFonts w:hint="eastAsia" w:eastAsia="方正仿宋_GBK"/>
          <w:color w:val="000000"/>
          <w:kern w:val="0"/>
          <w:sz w:val="24"/>
        </w:rPr>
        <w:t>建筑能效标识等级按照测评结果划分为三个等级，并以星为标志。</w:t>
      </w:r>
    </w:p>
    <w:p>
      <w:pPr>
        <w:spacing w:line="460" w:lineRule="exact"/>
        <w:ind w:firstLine="480" w:firstLineChars="200"/>
        <w:jc w:val="left"/>
        <w:rPr>
          <w:rFonts w:eastAsia="方正仿宋_GBK"/>
          <w:color w:val="000000"/>
          <w:kern w:val="0"/>
          <w:sz w:val="24"/>
        </w:rPr>
      </w:pPr>
      <w:r>
        <w:rPr>
          <w:rFonts w:hint="eastAsia" w:ascii="Times New Roman" w:eastAsia="黑体"/>
          <w:bCs/>
          <w:smallCaps/>
          <w:color w:val="000000"/>
          <w:kern w:val="0"/>
          <w:sz w:val="24"/>
        </w:rPr>
        <w:t>第六条</w:t>
      </w:r>
      <w:bookmarkStart w:id="375" w:name="8"/>
      <w:bookmarkEnd w:id="375"/>
      <w:r>
        <w:rPr>
          <w:rFonts w:hint="eastAsia" w:ascii="Times New Roman" w:eastAsia="黑体"/>
          <w:color w:val="000000"/>
          <w:kern w:val="0"/>
          <w:sz w:val="24"/>
        </w:rPr>
        <w:t>　</w:t>
      </w:r>
      <w:bookmarkStart w:id="376" w:name="_Hlk493072485"/>
      <w:r>
        <w:rPr>
          <w:rFonts w:hint="eastAsia" w:eastAsia="方正仿宋_GBK"/>
          <w:color w:val="000000"/>
          <w:kern w:val="0"/>
          <w:sz w:val="24"/>
        </w:rPr>
        <w:t>江苏省住房和城乡建设厅负责建筑能效测评标识管理工作，能效测评标识受理、审查、发放等专业性工作委托相关技术单位承担。</w:t>
      </w:r>
    </w:p>
    <w:bookmarkEnd w:id="376"/>
    <w:p>
      <w:pPr>
        <w:spacing w:line="460" w:lineRule="exact"/>
        <w:ind w:firstLine="480" w:firstLineChars="200"/>
        <w:rPr>
          <w:rFonts w:eastAsia="方正仿宋_GBK"/>
          <w:color w:val="000000"/>
          <w:kern w:val="0"/>
          <w:sz w:val="24"/>
        </w:rPr>
      </w:pPr>
      <w:bookmarkStart w:id="377" w:name="5"/>
      <w:bookmarkEnd w:id="377"/>
      <w:r>
        <w:rPr>
          <w:rFonts w:hint="eastAsia" w:ascii="Times New Roman" w:eastAsia="黑体"/>
          <w:bCs/>
          <w:smallCaps/>
          <w:color w:val="000000"/>
          <w:kern w:val="0"/>
          <w:sz w:val="24"/>
        </w:rPr>
        <w:t>第七条</w:t>
      </w:r>
      <w:r>
        <w:rPr>
          <w:rFonts w:eastAsia="方正仿宋_GBK"/>
          <w:b/>
          <w:bCs/>
          <w:smallCaps/>
          <w:color w:val="000000"/>
          <w:kern w:val="0"/>
          <w:sz w:val="24"/>
        </w:rPr>
        <w:t xml:space="preserve">  </w:t>
      </w:r>
      <w:r>
        <w:rPr>
          <w:rFonts w:hint="eastAsia" w:eastAsia="方正仿宋_GBK"/>
          <w:color w:val="000000"/>
          <w:kern w:val="0"/>
          <w:sz w:val="24"/>
        </w:rPr>
        <w:t>测评机构受建设单位或建筑所有权人的委托，</w:t>
      </w:r>
      <w:bookmarkStart w:id="378" w:name="9"/>
      <w:bookmarkEnd w:id="378"/>
      <w:r>
        <w:rPr>
          <w:rFonts w:hint="eastAsia" w:eastAsia="方正仿宋_GBK"/>
          <w:color w:val="000000"/>
          <w:kern w:val="0"/>
          <w:sz w:val="24"/>
        </w:rPr>
        <w:t>按照有关技术标准规定实施建筑能效测评，并对能效测评结果的公正性、准确性和真实性负责。</w:t>
      </w:r>
    </w:p>
    <w:p>
      <w:pPr>
        <w:spacing w:line="460" w:lineRule="exact"/>
        <w:ind w:firstLine="482" w:firstLineChars="200"/>
        <w:rPr>
          <w:rFonts w:eastAsia="方正仿宋_GBK"/>
          <w:b/>
          <w:bCs/>
          <w:smallCaps/>
          <w:color w:val="000000"/>
          <w:kern w:val="0"/>
          <w:sz w:val="24"/>
        </w:rPr>
      </w:pPr>
    </w:p>
    <w:p>
      <w:pPr>
        <w:spacing w:line="460" w:lineRule="exact"/>
        <w:jc w:val="center"/>
        <w:rPr>
          <w:rFonts w:ascii="Times New Roman" w:eastAsia="黑体"/>
          <w:bCs/>
          <w:smallCaps/>
          <w:color w:val="000000"/>
          <w:kern w:val="0"/>
          <w:sz w:val="24"/>
        </w:rPr>
      </w:pPr>
      <w:r>
        <w:rPr>
          <w:rFonts w:hint="eastAsia" w:ascii="Times New Roman" w:eastAsia="黑体"/>
          <w:bCs/>
          <w:smallCaps/>
          <w:color w:val="000000"/>
          <w:kern w:val="0"/>
          <w:sz w:val="24"/>
        </w:rPr>
        <w:t>第二章  测评机构</w:t>
      </w:r>
    </w:p>
    <w:p>
      <w:pPr>
        <w:spacing w:line="460" w:lineRule="exact"/>
        <w:ind w:firstLine="480" w:firstLineChars="200"/>
        <w:rPr>
          <w:rFonts w:hint="eastAsia" w:ascii="Times New Roman" w:eastAsia="黑体"/>
          <w:bCs/>
          <w:smallCaps/>
          <w:color w:val="000000"/>
          <w:kern w:val="0"/>
          <w:sz w:val="24"/>
        </w:rPr>
      </w:pPr>
    </w:p>
    <w:p>
      <w:pPr>
        <w:spacing w:line="460" w:lineRule="exact"/>
        <w:ind w:firstLine="480" w:firstLineChars="200"/>
        <w:rPr>
          <w:rFonts w:hint="eastAsia" w:eastAsia="方正仿宋_GBK"/>
          <w:color w:val="000000"/>
          <w:sz w:val="24"/>
        </w:rPr>
      </w:pPr>
      <w:r>
        <w:rPr>
          <w:rFonts w:hint="eastAsia" w:ascii="Times New Roman" w:eastAsia="黑体"/>
          <w:bCs/>
          <w:smallCaps/>
          <w:color w:val="000000"/>
          <w:kern w:val="0"/>
          <w:sz w:val="24"/>
        </w:rPr>
        <w:t>第八条</w:t>
      </w:r>
      <w:r>
        <w:rPr>
          <w:rFonts w:eastAsia="方正仿宋_GBK"/>
          <w:b/>
          <w:bCs/>
          <w:smallCaps/>
          <w:color w:val="000000"/>
          <w:kern w:val="0"/>
          <w:sz w:val="24"/>
        </w:rPr>
        <w:t xml:space="preserve">  </w:t>
      </w:r>
      <w:r>
        <w:rPr>
          <w:rFonts w:hint="eastAsia" w:eastAsia="方正仿宋_GBK"/>
          <w:color w:val="000000"/>
          <w:sz w:val="24"/>
        </w:rPr>
        <w:t>测评机构应当取得计量认证（</w:t>
      </w:r>
      <w:r>
        <w:rPr>
          <w:rFonts w:eastAsia="方正仿宋_GBK"/>
          <w:color w:val="000000"/>
          <w:sz w:val="24"/>
        </w:rPr>
        <w:t>CMA</w:t>
      </w:r>
      <w:r>
        <w:rPr>
          <w:rFonts w:hint="eastAsia" w:eastAsia="方正仿宋_GBK"/>
          <w:color w:val="000000"/>
          <w:sz w:val="24"/>
        </w:rPr>
        <w:t>）和中国合格评定国家认可委员会（</w:t>
      </w:r>
      <w:r>
        <w:rPr>
          <w:rFonts w:eastAsia="方正仿宋_GBK"/>
          <w:color w:val="000000"/>
          <w:sz w:val="24"/>
        </w:rPr>
        <w:t>CNAS</w:t>
      </w:r>
      <w:r>
        <w:rPr>
          <w:rFonts w:hint="eastAsia" w:eastAsia="方正仿宋_GBK"/>
          <w:color w:val="000000"/>
          <w:sz w:val="24"/>
        </w:rPr>
        <w:t>）实验室认可。</w:t>
      </w:r>
    </w:p>
    <w:p>
      <w:pPr>
        <w:spacing w:line="460" w:lineRule="exact"/>
        <w:ind w:firstLine="480" w:firstLineChars="200"/>
        <w:rPr>
          <w:rFonts w:eastAsia="方正仿宋_GBK"/>
          <w:color w:val="000000"/>
          <w:sz w:val="24"/>
        </w:rPr>
      </w:pPr>
      <w:r>
        <w:rPr>
          <w:rFonts w:hint="eastAsia" w:ascii="Times New Roman" w:eastAsia="黑体"/>
          <w:bCs/>
          <w:smallCaps/>
          <w:color w:val="000000"/>
          <w:kern w:val="0"/>
          <w:sz w:val="24"/>
        </w:rPr>
        <w:t>第九条</w:t>
      </w:r>
      <w:r>
        <w:rPr>
          <w:rFonts w:eastAsia="方正仿宋_GBK"/>
          <w:b/>
          <w:bCs/>
          <w:smallCaps/>
          <w:color w:val="000000"/>
          <w:kern w:val="0"/>
          <w:sz w:val="24"/>
        </w:rPr>
        <w:t xml:space="preserve"> </w:t>
      </w:r>
      <w:r>
        <w:rPr>
          <w:rFonts w:hint="eastAsia" w:eastAsia="方正仿宋_GBK"/>
          <w:color w:val="000000"/>
          <w:sz w:val="24"/>
        </w:rPr>
        <w:t>从事测评工作的专业技术人员中，工程师以上人员比例不得低于</w:t>
      </w:r>
      <w:r>
        <w:rPr>
          <w:rFonts w:eastAsia="方正仿宋_GBK"/>
          <w:color w:val="000000"/>
          <w:sz w:val="24"/>
        </w:rPr>
        <w:t>50%</w:t>
      </w:r>
      <w:r>
        <w:rPr>
          <w:rFonts w:hint="eastAsia" w:eastAsia="方正仿宋_GBK"/>
          <w:color w:val="000000"/>
          <w:sz w:val="24"/>
        </w:rPr>
        <w:t>，从事本专业</w:t>
      </w:r>
      <w:r>
        <w:rPr>
          <w:rFonts w:eastAsia="方正仿宋_GBK"/>
          <w:color w:val="000000"/>
          <w:sz w:val="24"/>
        </w:rPr>
        <w:t>3</w:t>
      </w:r>
      <w:r>
        <w:rPr>
          <w:rFonts w:hint="eastAsia" w:eastAsia="方正仿宋_GBK"/>
          <w:color w:val="000000"/>
          <w:sz w:val="24"/>
        </w:rPr>
        <w:t>年以上工作的技术人员不少于</w:t>
      </w:r>
      <w:r>
        <w:rPr>
          <w:rFonts w:eastAsia="方正仿宋_GBK"/>
          <w:color w:val="000000"/>
          <w:sz w:val="24"/>
        </w:rPr>
        <w:t>30%</w:t>
      </w:r>
      <w:r>
        <w:rPr>
          <w:rFonts w:hint="eastAsia" w:eastAsia="方正仿宋_GBK"/>
          <w:color w:val="000000"/>
          <w:sz w:val="24"/>
        </w:rPr>
        <w:t>。</w:t>
      </w:r>
    </w:p>
    <w:p>
      <w:pPr>
        <w:spacing w:line="460" w:lineRule="exact"/>
        <w:ind w:firstLine="482" w:firstLineChars="200"/>
        <w:rPr>
          <w:rFonts w:eastAsia="方正仿宋_GBK"/>
          <w:b/>
          <w:bCs/>
          <w:smallCaps/>
          <w:color w:val="000000"/>
          <w:kern w:val="0"/>
          <w:sz w:val="24"/>
        </w:rPr>
      </w:pPr>
    </w:p>
    <w:p>
      <w:pPr>
        <w:spacing w:line="460" w:lineRule="exact"/>
        <w:jc w:val="center"/>
        <w:rPr>
          <w:rFonts w:ascii="Times New Roman" w:eastAsia="黑体"/>
          <w:bCs/>
          <w:smallCaps/>
          <w:color w:val="000000"/>
          <w:kern w:val="0"/>
          <w:sz w:val="24"/>
        </w:rPr>
      </w:pPr>
      <w:r>
        <w:rPr>
          <w:rFonts w:hint="eastAsia" w:ascii="Times New Roman" w:eastAsia="黑体"/>
          <w:bCs/>
          <w:smallCaps/>
          <w:color w:val="000000"/>
          <w:kern w:val="0"/>
          <w:sz w:val="24"/>
        </w:rPr>
        <w:t>第三章  建筑能效测评</w:t>
      </w:r>
    </w:p>
    <w:p>
      <w:pPr>
        <w:spacing w:line="460" w:lineRule="exact"/>
        <w:ind w:firstLine="480" w:firstLineChars="200"/>
        <w:jc w:val="left"/>
        <w:rPr>
          <w:rFonts w:hint="eastAsia" w:ascii="Times New Roman" w:eastAsia="黑体"/>
          <w:bCs/>
          <w:smallCaps/>
          <w:color w:val="000000"/>
          <w:kern w:val="0"/>
          <w:sz w:val="24"/>
        </w:rPr>
      </w:pPr>
    </w:p>
    <w:p>
      <w:pPr>
        <w:spacing w:line="460" w:lineRule="exact"/>
        <w:ind w:firstLine="480" w:firstLineChars="200"/>
        <w:jc w:val="left"/>
        <w:rPr>
          <w:rFonts w:hint="eastAsia" w:eastAsia="方正仿宋_GBK"/>
          <w:color w:val="000000"/>
          <w:kern w:val="0"/>
          <w:sz w:val="24"/>
        </w:rPr>
      </w:pPr>
      <w:r>
        <w:rPr>
          <w:rFonts w:hint="eastAsia" w:ascii="Times New Roman" w:eastAsia="黑体"/>
          <w:bCs/>
          <w:smallCaps/>
          <w:color w:val="000000"/>
          <w:kern w:val="0"/>
          <w:sz w:val="24"/>
        </w:rPr>
        <w:t>第十条</w:t>
      </w:r>
      <w:r>
        <w:rPr>
          <w:rFonts w:hint="eastAsia" w:ascii="Times New Roman" w:eastAsia="黑体"/>
          <w:color w:val="000000"/>
          <w:kern w:val="0"/>
          <w:sz w:val="24"/>
        </w:rPr>
        <w:t>　</w:t>
      </w:r>
      <w:r>
        <w:rPr>
          <w:rFonts w:hint="eastAsia" w:eastAsia="方正仿宋_GBK"/>
          <w:color w:val="000000"/>
          <w:kern w:val="0"/>
          <w:sz w:val="24"/>
        </w:rPr>
        <w:t>下列建筑应进行能效测评，其他建筑的能效测评可参照执行：</w:t>
      </w:r>
    </w:p>
    <w:p>
      <w:pPr>
        <w:spacing w:line="460" w:lineRule="exact"/>
        <w:ind w:firstLine="480" w:firstLineChars="200"/>
        <w:jc w:val="left"/>
        <w:rPr>
          <w:rFonts w:eastAsia="方正仿宋_GBK"/>
          <w:color w:val="000000"/>
          <w:kern w:val="0"/>
          <w:sz w:val="24"/>
        </w:rPr>
      </w:pPr>
      <w:r>
        <w:rPr>
          <w:rFonts w:hint="eastAsia" w:eastAsia="方正仿宋_GBK"/>
          <w:color w:val="000000"/>
          <w:kern w:val="0"/>
          <w:sz w:val="24"/>
        </w:rPr>
        <w:t>（一）新建（改建、扩建）国家机关办公建筑和大型公共建筑（单体建筑面积为</w:t>
      </w:r>
      <w:r>
        <w:rPr>
          <w:rFonts w:eastAsia="方正仿宋_GBK"/>
          <w:color w:val="000000"/>
          <w:kern w:val="0"/>
          <w:sz w:val="24"/>
        </w:rPr>
        <w:t>2</w:t>
      </w:r>
      <w:r>
        <w:rPr>
          <w:rFonts w:hint="eastAsia" w:eastAsia="方正仿宋_GBK"/>
          <w:color w:val="000000"/>
          <w:kern w:val="0"/>
          <w:sz w:val="24"/>
        </w:rPr>
        <w:t>万平方米及以上）；</w:t>
      </w:r>
    </w:p>
    <w:p>
      <w:pPr>
        <w:spacing w:line="460" w:lineRule="exact"/>
        <w:ind w:firstLine="480" w:firstLineChars="200"/>
        <w:jc w:val="left"/>
        <w:rPr>
          <w:rFonts w:eastAsia="方正仿宋_GBK"/>
          <w:color w:val="000000"/>
          <w:kern w:val="0"/>
          <w:sz w:val="24"/>
        </w:rPr>
      </w:pPr>
      <w:r>
        <w:rPr>
          <w:rFonts w:hint="eastAsia" w:eastAsia="方正仿宋_GBK"/>
          <w:color w:val="000000"/>
          <w:kern w:val="0"/>
          <w:sz w:val="24"/>
        </w:rPr>
        <w:t>（二）新建居住建筑</w:t>
      </w:r>
      <w:r>
        <w:rPr>
          <w:rFonts w:eastAsia="方正仿宋_GBK"/>
          <w:color w:val="000000"/>
          <w:kern w:val="0"/>
          <w:sz w:val="24"/>
        </w:rPr>
        <w:t>;</w:t>
      </w:r>
    </w:p>
    <w:p>
      <w:pPr>
        <w:spacing w:line="460" w:lineRule="exact"/>
        <w:ind w:firstLine="480" w:firstLineChars="200"/>
        <w:jc w:val="left"/>
        <w:rPr>
          <w:rFonts w:eastAsia="方正仿宋_GBK"/>
          <w:color w:val="000000"/>
          <w:kern w:val="0"/>
          <w:sz w:val="24"/>
        </w:rPr>
      </w:pPr>
      <w:r>
        <w:rPr>
          <w:rFonts w:hint="eastAsia" w:eastAsia="方正仿宋_GBK"/>
          <w:color w:val="000000"/>
          <w:kern w:val="0"/>
          <w:sz w:val="24"/>
        </w:rPr>
        <w:t>（三）新建（改建、扩建）可再生能源建筑应用项目；</w:t>
      </w:r>
    </w:p>
    <w:p>
      <w:pPr>
        <w:spacing w:line="460" w:lineRule="exact"/>
        <w:ind w:firstLine="480" w:firstLineChars="200"/>
        <w:jc w:val="left"/>
        <w:rPr>
          <w:rFonts w:eastAsia="方正仿宋_GBK"/>
          <w:color w:val="000000"/>
          <w:kern w:val="0"/>
          <w:sz w:val="24"/>
        </w:rPr>
      </w:pPr>
      <w:r>
        <w:rPr>
          <w:rFonts w:hint="eastAsia" w:eastAsia="方正仿宋_GBK"/>
          <w:color w:val="000000"/>
          <w:kern w:val="0"/>
          <w:sz w:val="24"/>
        </w:rPr>
        <w:t>（四）实施节能综合改造并申请财政支持的国家机关办公建筑和大型公共建筑；</w:t>
      </w:r>
    </w:p>
    <w:p>
      <w:pPr>
        <w:spacing w:line="460" w:lineRule="exact"/>
        <w:ind w:firstLine="480" w:firstLineChars="200"/>
        <w:jc w:val="left"/>
        <w:rPr>
          <w:rFonts w:eastAsia="方正仿宋_GBK"/>
          <w:color w:val="000000"/>
          <w:kern w:val="0"/>
          <w:sz w:val="24"/>
        </w:rPr>
      </w:pPr>
      <w:r>
        <w:rPr>
          <w:rFonts w:hint="eastAsia" w:eastAsia="方正仿宋_GBK"/>
          <w:color w:val="000000"/>
          <w:kern w:val="0"/>
          <w:sz w:val="24"/>
        </w:rPr>
        <w:t>（五）省级建筑节能专项引导资金安排的项目；</w:t>
      </w:r>
    </w:p>
    <w:p>
      <w:pPr>
        <w:spacing w:line="460" w:lineRule="exact"/>
        <w:ind w:firstLine="480" w:firstLineChars="200"/>
        <w:jc w:val="left"/>
        <w:rPr>
          <w:rFonts w:eastAsia="方正仿宋_GBK"/>
          <w:color w:val="000000"/>
          <w:kern w:val="0"/>
          <w:sz w:val="24"/>
        </w:rPr>
      </w:pPr>
      <w:r>
        <w:rPr>
          <w:rFonts w:hint="eastAsia" w:eastAsia="方正仿宋_GBK"/>
          <w:color w:val="000000"/>
          <w:kern w:val="0"/>
          <w:sz w:val="24"/>
        </w:rPr>
        <w:t>（六）可再生能源建筑应用示范市县的相关项目；</w:t>
      </w:r>
    </w:p>
    <w:p>
      <w:pPr>
        <w:spacing w:line="460" w:lineRule="exact"/>
        <w:ind w:firstLine="480" w:firstLineChars="200"/>
        <w:jc w:val="left"/>
        <w:rPr>
          <w:rFonts w:eastAsia="方正仿宋_GBK"/>
          <w:color w:val="000000"/>
          <w:kern w:val="0"/>
          <w:sz w:val="24"/>
        </w:rPr>
      </w:pPr>
      <w:r>
        <w:rPr>
          <w:rFonts w:hint="eastAsia" w:eastAsia="方正仿宋_GBK"/>
          <w:color w:val="000000"/>
          <w:kern w:val="0"/>
          <w:sz w:val="24"/>
        </w:rPr>
        <w:t>（七）申请节能示范工程的建筑；</w:t>
      </w:r>
    </w:p>
    <w:p>
      <w:pPr>
        <w:spacing w:line="460" w:lineRule="exact"/>
        <w:ind w:firstLine="480" w:firstLineChars="200"/>
        <w:jc w:val="left"/>
        <w:rPr>
          <w:rFonts w:eastAsia="方正仿宋_GBK"/>
          <w:color w:val="000000"/>
          <w:kern w:val="0"/>
          <w:sz w:val="24"/>
        </w:rPr>
      </w:pPr>
      <w:r>
        <w:rPr>
          <w:rFonts w:hint="eastAsia" w:eastAsia="方正仿宋_GBK"/>
          <w:color w:val="000000"/>
          <w:kern w:val="0"/>
          <w:sz w:val="24"/>
        </w:rPr>
        <w:t>（八）申请绿色建筑评价标识的建筑。</w:t>
      </w:r>
    </w:p>
    <w:p>
      <w:pPr>
        <w:tabs>
          <w:tab w:val="left" w:pos="709"/>
        </w:tabs>
        <w:spacing w:line="460" w:lineRule="exact"/>
        <w:ind w:firstLine="480" w:firstLineChars="200"/>
        <w:jc w:val="left"/>
        <w:rPr>
          <w:rFonts w:eastAsia="方正仿宋_GBK"/>
          <w:color w:val="000000"/>
          <w:kern w:val="0"/>
          <w:sz w:val="24"/>
        </w:rPr>
      </w:pPr>
      <w:r>
        <w:rPr>
          <w:rFonts w:hint="eastAsia" w:ascii="Times New Roman" w:eastAsia="黑体"/>
          <w:bCs/>
          <w:smallCaps/>
          <w:color w:val="000000"/>
          <w:kern w:val="0"/>
          <w:sz w:val="24"/>
        </w:rPr>
        <w:t>第十一条</w:t>
      </w:r>
      <w:bookmarkStart w:id="379" w:name="12"/>
      <w:bookmarkEnd w:id="379"/>
      <w:r>
        <w:rPr>
          <w:rFonts w:hint="eastAsia" w:ascii="Times New Roman" w:eastAsia="黑体"/>
          <w:color w:val="000000"/>
          <w:kern w:val="0"/>
          <w:sz w:val="24"/>
        </w:rPr>
        <w:t>　</w:t>
      </w:r>
      <w:r>
        <w:rPr>
          <w:rFonts w:hint="eastAsia" w:eastAsia="方正仿宋_GBK"/>
          <w:color w:val="000000"/>
          <w:kern w:val="0"/>
          <w:sz w:val="24"/>
        </w:rPr>
        <w:t>建设单位或建筑所有权人申请建筑能效理论值测评时应提交下列资料，并对其真实性负责：</w:t>
      </w:r>
    </w:p>
    <w:p>
      <w:pPr>
        <w:tabs>
          <w:tab w:val="left" w:pos="709"/>
        </w:tabs>
        <w:spacing w:line="460" w:lineRule="exact"/>
        <w:ind w:firstLine="480" w:firstLineChars="200"/>
        <w:jc w:val="left"/>
        <w:rPr>
          <w:rFonts w:eastAsia="方正仿宋_GBK"/>
          <w:color w:val="000000"/>
          <w:kern w:val="0"/>
          <w:sz w:val="24"/>
        </w:rPr>
      </w:pPr>
      <w:r>
        <w:rPr>
          <w:rFonts w:eastAsia="方正仿宋_GBK"/>
          <w:color w:val="000000"/>
          <w:kern w:val="0"/>
          <w:sz w:val="24"/>
        </w:rPr>
        <w:t xml:space="preserve"> </w:t>
      </w:r>
      <w:r>
        <w:rPr>
          <w:rFonts w:hint="eastAsia" w:eastAsia="方正仿宋_GBK"/>
          <w:color w:val="000000"/>
          <w:kern w:val="0"/>
          <w:sz w:val="24"/>
        </w:rPr>
        <w:t>（一）项目立项、审批等文件；</w:t>
      </w:r>
    </w:p>
    <w:p>
      <w:pPr>
        <w:tabs>
          <w:tab w:val="left" w:pos="709"/>
        </w:tabs>
        <w:spacing w:line="460" w:lineRule="exact"/>
        <w:ind w:firstLine="480" w:firstLineChars="200"/>
        <w:jc w:val="left"/>
        <w:rPr>
          <w:rFonts w:eastAsia="方正仿宋_GBK"/>
          <w:color w:val="000000"/>
          <w:kern w:val="0"/>
          <w:sz w:val="24"/>
        </w:rPr>
      </w:pPr>
      <w:r>
        <w:rPr>
          <w:rFonts w:eastAsia="方正仿宋_GBK"/>
          <w:color w:val="000000"/>
          <w:kern w:val="0"/>
          <w:sz w:val="24"/>
        </w:rPr>
        <w:t xml:space="preserve"> </w:t>
      </w:r>
      <w:r>
        <w:rPr>
          <w:rFonts w:hint="eastAsia" w:eastAsia="方正仿宋_GBK"/>
          <w:color w:val="000000"/>
          <w:kern w:val="0"/>
          <w:sz w:val="24"/>
        </w:rPr>
        <w:t>（二）施工图设计文件审查机构审查合格的工程施工图节能设计文件；</w:t>
      </w:r>
    </w:p>
    <w:p>
      <w:pPr>
        <w:tabs>
          <w:tab w:val="left" w:pos="709"/>
        </w:tabs>
        <w:spacing w:line="460" w:lineRule="exact"/>
        <w:ind w:firstLine="480" w:firstLineChars="200"/>
        <w:jc w:val="left"/>
        <w:rPr>
          <w:rFonts w:eastAsia="方正仿宋_GBK"/>
          <w:color w:val="000000"/>
          <w:kern w:val="0"/>
          <w:sz w:val="24"/>
        </w:rPr>
      </w:pPr>
      <w:r>
        <w:rPr>
          <w:rFonts w:eastAsia="方正仿宋_GBK"/>
          <w:color w:val="000000"/>
          <w:kern w:val="0"/>
          <w:sz w:val="24"/>
        </w:rPr>
        <w:t xml:space="preserve"> </w:t>
      </w:r>
      <w:r>
        <w:rPr>
          <w:rFonts w:hint="eastAsia" w:eastAsia="方正仿宋_GBK"/>
          <w:color w:val="000000"/>
          <w:kern w:val="0"/>
          <w:sz w:val="24"/>
        </w:rPr>
        <w:t>（三）工程施工图纸及相关技术文件；</w:t>
      </w:r>
    </w:p>
    <w:p>
      <w:pPr>
        <w:tabs>
          <w:tab w:val="left" w:pos="709"/>
        </w:tabs>
        <w:spacing w:line="460" w:lineRule="exact"/>
        <w:ind w:firstLine="480" w:firstLineChars="200"/>
        <w:jc w:val="left"/>
        <w:rPr>
          <w:rFonts w:eastAsia="方正仿宋_GBK"/>
          <w:color w:val="000000"/>
          <w:kern w:val="0"/>
          <w:sz w:val="24"/>
        </w:rPr>
      </w:pPr>
      <w:r>
        <w:rPr>
          <w:rFonts w:eastAsia="方正仿宋_GBK"/>
          <w:color w:val="000000"/>
          <w:kern w:val="0"/>
          <w:sz w:val="24"/>
        </w:rPr>
        <w:t xml:space="preserve"> </w:t>
      </w:r>
      <w:r>
        <w:rPr>
          <w:rFonts w:hint="eastAsia" w:eastAsia="方正仿宋_GBK"/>
          <w:color w:val="000000"/>
          <w:kern w:val="0"/>
          <w:sz w:val="24"/>
        </w:rPr>
        <w:t>（四）具有相关资质的检测机构出具的围护结构保温材料性能检测报告及外窗保温性能、气密性检测报告；建筑物外窗</w:t>
      </w:r>
      <w:r>
        <w:rPr>
          <w:rFonts w:eastAsia="方正仿宋_GBK"/>
          <w:color w:val="000000"/>
          <w:kern w:val="0"/>
          <w:sz w:val="24"/>
        </w:rPr>
        <w:t>(</w:t>
      </w:r>
      <w:r>
        <w:rPr>
          <w:rFonts w:hint="eastAsia" w:eastAsia="方正仿宋_GBK"/>
          <w:color w:val="000000"/>
          <w:kern w:val="0"/>
          <w:sz w:val="24"/>
        </w:rPr>
        <w:t>包括透明幕墙</w:t>
      </w:r>
      <w:r>
        <w:rPr>
          <w:rFonts w:eastAsia="方正仿宋_GBK"/>
          <w:color w:val="000000"/>
          <w:kern w:val="0"/>
          <w:sz w:val="24"/>
        </w:rPr>
        <w:t xml:space="preserve">) </w:t>
      </w:r>
      <w:r>
        <w:rPr>
          <w:rFonts w:hint="eastAsia" w:eastAsia="方正仿宋_GBK"/>
          <w:color w:val="000000"/>
          <w:kern w:val="0"/>
          <w:sz w:val="24"/>
        </w:rPr>
        <w:t>传热系数和外窗</w:t>
      </w:r>
      <w:r>
        <w:rPr>
          <w:rFonts w:eastAsia="方正仿宋_GBK"/>
          <w:color w:val="000000"/>
          <w:kern w:val="0"/>
          <w:sz w:val="24"/>
        </w:rPr>
        <w:t>(</w:t>
      </w:r>
      <w:r>
        <w:rPr>
          <w:rFonts w:hint="eastAsia" w:eastAsia="方正仿宋_GBK"/>
          <w:color w:val="000000"/>
          <w:kern w:val="0"/>
          <w:sz w:val="24"/>
        </w:rPr>
        <w:t>包括透明幕墙</w:t>
      </w:r>
      <w:r>
        <w:rPr>
          <w:rFonts w:eastAsia="方正仿宋_GBK"/>
          <w:color w:val="000000"/>
          <w:kern w:val="0"/>
          <w:sz w:val="24"/>
        </w:rPr>
        <w:t xml:space="preserve">) </w:t>
      </w:r>
      <w:r>
        <w:rPr>
          <w:rFonts w:hint="eastAsia" w:eastAsia="方正仿宋_GBK"/>
          <w:color w:val="000000"/>
          <w:kern w:val="0"/>
          <w:sz w:val="24"/>
        </w:rPr>
        <w:t>玻璃遮阳系数进场复验报告</w:t>
      </w:r>
      <w:r>
        <w:rPr>
          <w:rFonts w:eastAsia="方正仿宋_GBK"/>
          <w:color w:val="000000"/>
          <w:kern w:val="0"/>
          <w:sz w:val="24"/>
        </w:rPr>
        <w:t xml:space="preserve">; </w:t>
      </w:r>
      <w:r>
        <w:rPr>
          <w:rFonts w:hint="eastAsia" w:eastAsia="方正仿宋_GBK"/>
          <w:color w:val="000000"/>
          <w:kern w:val="0"/>
          <w:sz w:val="24"/>
        </w:rPr>
        <w:t>建筑门窗节能性能标识证书和标签以及《建筑门窗节能性能标识测评报告》；</w:t>
      </w:r>
    </w:p>
    <w:p>
      <w:pPr>
        <w:tabs>
          <w:tab w:val="left" w:pos="709"/>
        </w:tabs>
        <w:spacing w:line="460" w:lineRule="exact"/>
        <w:ind w:firstLine="480" w:firstLineChars="200"/>
        <w:jc w:val="left"/>
        <w:rPr>
          <w:rFonts w:eastAsia="方正仿宋_GBK"/>
          <w:color w:val="000000"/>
          <w:kern w:val="0"/>
          <w:sz w:val="24"/>
        </w:rPr>
      </w:pPr>
      <w:r>
        <w:rPr>
          <w:rFonts w:eastAsia="方正仿宋_GBK"/>
          <w:color w:val="000000"/>
          <w:kern w:val="0"/>
          <w:sz w:val="24"/>
        </w:rPr>
        <w:t xml:space="preserve"> </w:t>
      </w:r>
      <w:r>
        <w:rPr>
          <w:rFonts w:hint="eastAsia" w:eastAsia="方正仿宋_GBK"/>
          <w:color w:val="000000"/>
          <w:kern w:val="0"/>
          <w:sz w:val="24"/>
        </w:rPr>
        <w:t>（五）冷热源设备及相应水泵等主要产品合格证或性能检测报告；</w:t>
      </w:r>
    </w:p>
    <w:p>
      <w:pPr>
        <w:tabs>
          <w:tab w:val="left" w:pos="709"/>
        </w:tabs>
        <w:spacing w:line="460" w:lineRule="exact"/>
        <w:ind w:firstLine="480" w:firstLineChars="200"/>
        <w:jc w:val="left"/>
        <w:rPr>
          <w:rFonts w:eastAsia="方正仿宋_GBK"/>
          <w:color w:val="000000"/>
          <w:kern w:val="0"/>
          <w:sz w:val="24"/>
        </w:rPr>
      </w:pPr>
      <w:r>
        <w:rPr>
          <w:rFonts w:eastAsia="方正仿宋_GBK"/>
          <w:color w:val="000000"/>
          <w:kern w:val="0"/>
          <w:sz w:val="24"/>
        </w:rPr>
        <w:t xml:space="preserve"> </w:t>
      </w:r>
      <w:r>
        <w:rPr>
          <w:rFonts w:hint="eastAsia" w:eastAsia="方正仿宋_GBK"/>
          <w:color w:val="000000"/>
          <w:kern w:val="0"/>
          <w:sz w:val="24"/>
        </w:rPr>
        <w:t>（六）围护结构热工缺陷报告；</w:t>
      </w:r>
    </w:p>
    <w:p>
      <w:pPr>
        <w:tabs>
          <w:tab w:val="left" w:pos="709"/>
        </w:tabs>
        <w:spacing w:line="460" w:lineRule="exact"/>
        <w:ind w:firstLine="480" w:firstLineChars="200"/>
        <w:jc w:val="left"/>
        <w:rPr>
          <w:rFonts w:eastAsia="方正仿宋_GBK"/>
          <w:color w:val="000000"/>
          <w:kern w:val="0"/>
          <w:sz w:val="24"/>
        </w:rPr>
      </w:pPr>
      <w:r>
        <w:rPr>
          <w:rFonts w:eastAsia="方正仿宋_GBK"/>
          <w:color w:val="000000"/>
          <w:kern w:val="0"/>
          <w:sz w:val="24"/>
        </w:rPr>
        <w:t xml:space="preserve"> </w:t>
      </w:r>
      <w:r>
        <w:rPr>
          <w:rFonts w:hint="eastAsia" w:eastAsia="方正仿宋_GBK"/>
          <w:color w:val="000000"/>
          <w:kern w:val="0"/>
          <w:sz w:val="24"/>
        </w:rPr>
        <w:t>（七）外墙墙体、屋面、热桥部位和采暖空调管道的保温施工做法或施工方案，及与此有关的隐蔽工程施工质量中间验收报告；</w:t>
      </w:r>
    </w:p>
    <w:p>
      <w:pPr>
        <w:spacing w:line="460" w:lineRule="exact"/>
        <w:ind w:firstLine="480" w:firstLineChars="200"/>
        <w:rPr>
          <w:rFonts w:eastAsia="方正仿宋_GBK"/>
          <w:color w:val="000000"/>
          <w:kern w:val="0"/>
          <w:sz w:val="24"/>
        </w:rPr>
      </w:pPr>
      <w:r>
        <w:rPr>
          <w:rFonts w:hint="eastAsia" w:eastAsia="方正仿宋_GBK"/>
          <w:color w:val="000000"/>
          <w:kern w:val="0"/>
          <w:sz w:val="24"/>
        </w:rPr>
        <w:t>（八）建筑节能设备运行调试报告及节能系统检测报告；</w:t>
      </w:r>
    </w:p>
    <w:p>
      <w:pPr>
        <w:spacing w:line="460" w:lineRule="exact"/>
        <w:ind w:firstLine="480" w:firstLineChars="200"/>
        <w:rPr>
          <w:rFonts w:eastAsia="方正仿宋_GBK"/>
          <w:color w:val="000000"/>
          <w:kern w:val="0"/>
          <w:sz w:val="24"/>
        </w:rPr>
      </w:pPr>
      <w:r>
        <w:rPr>
          <w:rFonts w:hint="eastAsia" w:eastAsia="方正仿宋_GBK"/>
          <w:color w:val="000000"/>
          <w:kern w:val="0"/>
          <w:sz w:val="24"/>
        </w:rPr>
        <w:t>（九）使用地源热泵作为冷热源时应提供当地相关部门出具的环评报告；</w:t>
      </w:r>
    </w:p>
    <w:p>
      <w:pPr>
        <w:spacing w:line="460" w:lineRule="exact"/>
        <w:ind w:firstLine="480" w:firstLineChars="200"/>
        <w:jc w:val="left"/>
        <w:rPr>
          <w:rFonts w:eastAsia="方正仿宋_GBK"/>
          <w:color w:val="000000"/>
          <w:kern w:val="0"/>
          <w:sz w:val="24"/>
        </w:rPr>
      </w:pPr>
      <w:r>
        <w:rPr>
          <w:rFonts w:hint="eastAsia" w:eastAsia="方正仿宋_GBK"/>
          <w:color w:val="000000"/>
          <w:kern w:val="0"/>
          <w:sz w:val="24"/>
        </w:rPr>
        <w:t>（十）应用节能新技术的情况报告。</w:t>
      </w:r>
    </w:p>
    <w:p>
      <w:pPr>
        <w:spacing w:line="460" w:lineRule="exact"/>
        <w:ind w:firstLine="480" w:firstLineChars="200"/>
        <w:jc w:val="left"/>
        <w:rPr>
          <w:rFonts w:eastAsia="方正仿宋_GBK"/>
          <w:color w:val="000000"/>
          <w:kern w:val="0"/>
          <w:sz w:val="24"/>
        </w:rPr>
      </w:pPr>
      <w:bookmarkStart w:id="380" w:name="13"/>
      <w:bookmarkEnd w:id="380"/>
      <w:r>
        <w:rPr>
          <w:rFonts w:hint="eastAsia" w:ascii="Times New Roman" w:eastAsia="黑体"/>
          <w:bCs/>
          <w:smallCaps/>
          <w:color w:val="000000"/>
          <w:kern w:val="0"/>
          <w:sz w:val="24"/>
        </w:rPr>
        <w:t>第十二条</w:t>
      </w:r>
      <w:r>
        <w:rPr>
          <w:rFonts w:hint="eastAsia" w:ascii="Times New Roman" w:eastAsia="黑体"/>
          <w:color w:val="000000"/>
          <w:kern w:val="0"/>
          <w:sz w:val="24"/>
        </w:rPr>
        <w:t>　</w:t>
      </w:r>
      <w:r>
        <w:rPr>
          <w:rFonts w:hint="eastAsia" w:eastAsia="方正仿宋_GBK"/>
          <w:color w:val="000000"/>
          <w:kern w:val="0"/>
          <w:sz w:val="24"/>
        </w:rPr>
        <w:t>建设单位或建筑所有权人申请建筑能效实测值测评时应提交下列资料，并对其真实性负责：</w:t>
      </w:r>
    </w:p>
    <w:p>
      <w:pPr>
        <w:spacing w:line="460" w:lineRule="exact"/>
        <w:ind w:firstLine="480" w:firstLineChars="200"/>
        <w:jc w:val="left"/>
        <w:rPr>
          <w:rFonts w:eastAsia="方正仿宋_GBK"/>
          <w:color w:val="000000"/>
          <w:kern w:val="0"/>
          <w:sz w:val="24"/>
        </w:rPr>
      </w:pPr>
      <w:r>
        <w:rPr>
          <w:rFonts w:hint="eastAsia" w:eastAsia="方正仿宋_GBK"/>
          <w:color w:val="000000"/>
          <w:kern w:val="0"/>
          <w:sz w:val="24"/>
        </w:rPr>
        <w:t>（一）</w:t>
      </w:r>
      <w:r>
        <w:rPr>
          <w:rFonts w:hint="eastAsia" w:eastAsia="方正仿宋_GBK"/>
          <w:color w:val="000000"/>
          <w:sz w:val="24"/>
        </w:rPr>
        <w:t>建筑物竣工备案证书；</w:t>
      </w:r>
    </w:p>
    <w:p>
      <w:pPr>
        <w:spacing w:line="460" w:lineRule="exact"/>
        <w:ind w:firstLine="480" w:firstLineChars="200"/>
        <w:jc w:val="left"/>
        <w:rPr>
          <w:rFonts w:eastAsia="方正仿宋_GBK"/>
          <w:color w:val="000000"/>
          <w:kern w:val="0"/>
          <w:sz w:val="24"/>
        </w:rPr>
      </w:pPr>
      <w:r>
        <w:rPr>
          <w:rFonts w:hint="eastAsia" w:eastAsia="方正仿宋_GBK"/>
          <w:color w:val="000000"/>
          <w:kern w:val="0"/>
          <w:sz w:val="24"/>
        </w:rPr>
        <w:t>（二）</w:t>
      </w:r>
      <w:r>
        <w:rPr>
          <w:rFonts w:hint="eastAsia" w:eastAsia="方正仿宋_GBK"/>
          <w:color w:val="000000"/>
          <w:sz w:val="24"/>
        </w:rPr>
        <w:t>工程竣工图纸及建筑物使用情况说明；</w:t>
      </w:r>
    </w:p>
    <w:p>
      <w:pPr>
        <w:spacing w:line="460" w:lineRule="exact"/>
        <w:ind w:firstLine="480" w:firstLineChars="200"/>
        <w:jc w:val="left"/>
        <w:rPr>
          <w:rFonts w:eastAsia="方正仿宋_GBK"/>
          <w:color w:val="000000"/>
          <w:sz w:val="24"/>
        </w:rPr>
      </w:pPr>
      <w:r>
        <w:rPr>
          <w:rFonts w:hint="eastAsia" w:eastAsia="方正仿宋_GBK"/>
          <w:color w:val="000000"/>
          <w:kern w:val="0"/>
          <w:sz w:val="24"/>
        </w:rPr>
        <w:t>（三）</w:t>
      </w:r>
      <w:r>
        <w:rPr>
          <w:rFonts w:hint="eastAsia" w:eastAsia="方正仿宋_GBK"/>
          <w:color w:val="000000"/>
          <w:sz w:val="24"/>
        </w:rPr>
        <w:t>建筑物总能耗计量报告或建筑物投入使用后的能耗记录数据；</w:t>
      </w:r>
    </w:p>
    <w:p>
      <w:pPr>
        <w:spacing w:line="460" w:lineRule="exact"/>
        <w:ind w:firstLine="480" w:firstLineChars="200"/>
        <w:jc w:val="left"/>
        <w:rPr>
          <w:rFonts w:eastAsia="方正仿宋_GBK"/>
          <w:color w:val="000000"/>
          <w:sz w:val="24"/>
        </w:rPr>
      </w:pPr>
      <w:r>
        <w:rPr>
          <w:rFonts w:hint="eastAsia" w:eastAsia="方正仿宋_GBK"/>
          <w:color w:val="000000"/>
          <w:sz w:val="24"/>
        </w:rPr>
        <w:t>（四）</w:t>
      </w:r>
      <w:r>
        <w:rPr>
          <w:rFonts w:hint="eastAsia" w:eastAsia="方正仿宋_GBK"/>
          <w:color w:val="000000"/>
          <w:kern w:val="0"/>
          <w:sz w:val="24"/>
        </w:rPr>
        <w:t>采暖空调能耗计量报告</w:t>
      </w:r>
      <w:r>
        <w:rPr>
          <w:rFonts w:hint="eastAsia" w:eastAsia="方正仿宋_GBK"/>
          <w:color w:val="000000"/>
          <w:sz w:val="24"/>
        </w:rPr>
        <w:t>；</w:t>
      </w:r>
    </w:p>
    <w:p>
      <w:pPr>
        <w:spacing w:line="460" w:lineRule="exact"/>
        <w:ind w:firstLine="480" w:firstLineChars="200"/>
        <w:jc w:val="left"/>
        <w:rPr>
          <w:rFonts w:eastAsia="方正仿宋_GBK"/>
          <w:color w:val="000000"/>
          <w:kern w:val="0"/>
          <w:sz w:val="24"/>
        </w:rPr>
      </w:pPr>
      <w:r>
        <w:rPr>
          <w:rFonts w:hint="eastAsia" w:eastAsia="方正仿宋_GBK"/>
          <w:color w:val="000000"/>
          <w:sz w:val="24"/>
        </w:rPr>
        <w:t>（五）</w:t>
      </w:r>
      <w:r>
        <w:rPr>
          <w:rFonts w:hint="eastAsia" w:eastAsia="方正仿宋_GBK"/>
          <w:color w:val="000000"/>
          <w:kern w:val="0"/>
          <w:sz w:val="24"/>
        </w:rPr>
        <w:t>与建筑节能相关的设备运行记录；</w:t>
      </w:r>
    </w:p>
    <w:p>
      <w:pPr>
        <w:spacing w:line="460" w:lineRule="exact"/>
        <w:ind w:firstLine="480" w:firstLineChars="200"/>
        <w:jc w:val="left"/>
        <w:rPr>
          <w:rFonts w:eastAsia="方正仿宋_GBK"/>
          <w:color w:val="000000"/>
          <w:sz w:val="24"/>
        </w:rPr>
      </w:pPr>
      <w:r>
        <w:rPr>
          <w:rFonts w:hint="eastAsia" w:eastAsia="方正仿宋_GBK"/>
          <w:color w:val="000000"/>
          <w:kern w:val="0"/>
          <w:sz w:val="24"/>
        </w:rPr>
        <w:t>（六）应用节能新技术的运行情况报告。</w:t>
      </w:r>
    </w:p>
    <w:p>
      <w:pPr>
        <w:spacing w:line="460" w:lineRule="exact"/>
        <w:ind w:firstLine="480" w:firstLineChars="200"/>
        <w:jc w:val="left"/>
        <w:rPr>
          <w:rFonts w:eastAsia="方正仿宋_GBK"/>
          <w:color w:val="000000"/>
          <w:kern w:val="0"/>
          <w:sz w:val="24"/>
        </w:rPr>
      </w:pPr>
      <w:r>
        <w:rPr>
          <w:rFonts w:hint="eastAsia" w:ascii="Times New Roman" w:eastAsia="黑体"/>
          <w:bCs/>
          <w:smallCaps/>
          <w:color w:val="000000"/>
          <w:kern w:val="0"/>
          <w:sz w:val="24"/>
        </w:rPr>
        <w:t>第十三条</w:t>
      </w:r>
      <w:r>
        <w:rPr>
          <w:rFonts w:hint="eastAsia" w:ascii="Times New Roman" w:eastAsia="黑体"/>
          <w:color w:val="000000"/>
          <w:kern w:val="0"/>
          <w:sz w:val="24"/>
        </w:rPr>
        <w:t>　</w:t>
      </w:r>
      <w:r>
        <w:rPr>
          <w:rFonts w:hint="eastAsia" w:eastAsia="方正仿宋_GBK"/>
          <w:color w:val="000000"/>
          <w:kern w:val="0"/>
          <w:sz w:val="24"/>
        </w:rPr>
        <w:t>建筑能效测评应通过性能测试、软件评估、文件审查、现场检查等方式，对单体建筑采取定性与定量分析相结合的综合评定。</w:t>
      </w:r>
    </w:p>
    <w:p>
      <w:pPr>
        <w:spacing w:line="460" w:lineRule="exact"/>
        <w:ind w:firstLine="480" w:firstLineChars="200"/>
        <w:jc w:val="left"/>
        <w:rPr>
          <w:rFonts w:eastAsia="方正仿宋_GBK"/>
          <w:color w:val="000000"/>
          <w:kern w:val="0"/>
          <w:sz w:val="24"/>
        </w:rPr>
      </w:pPr>
      <w:r>
        <w:rPr>
          <w:rFonts w:hint="eastAsia" w:ascii="Times New Roman" w:eastAsia="黑体"/>
          <w:bCs/>
          <w:smallCaps/>
          <w:color w:val="000000"/>
          <w:kern w:val="0"/>
          <w:sz w:val="24"/>
        </w:rPr>
        <w:t>第十四条</w:t>
      </w:r>
      <w:r>
        <w:rPr>
          <w:rFonts w:hint="eastAsia" w:ascii="Times New Roman" w:eastAsia="黑体"/>
          <w:color w:val="000000"/>
          <w:kern w:val="0"/>
          <w:sz w:val="24"/>
        </w:rPr>
        <w:t>　</w:t>
      </w:r>
      <w:r>
        <w:rPr>
          <w:rFonts w:hint="eastAsia" w:eastAsia="方正仿宋_GBK"/>
          <w:color w:val="000000"/>
          <w:kern w:val="0"/>
          <w:sz w:val="24"/>
        </w:rPr>
        <w:t>测评机构应统一使用通过省住房和城乡建设厅认定的应用软件。</w:t>
      </w:r>
    </w:p>
    <w:p>
      <w:pPr>
        <w:spacing w:line="460" w:lineRule="exact"/>
        <w:ind w:firstLine="480" w:firstLineChars="200"/>
        <w:jc w:val="left"/>
        <w:rPr>
          <w:rFonts w:eastAsia="方正仿宋_GBK"/>
          <w:color w:val="000000"/>
          <w:kern w:val="0"/>
          <w:sz w:val="24"/>
        </w:rPr>
      </w:pPr>
      <w:r>
        <w:rPr>
          <w:rFonts w:hint="eastAsia" w:ascii="Times New Roman" w:eastAsia="黑体"/>
          <w:bCs/>
          <w:smallCaps/>
          <w:color w:val="000000"/>
          <w:kern w:val="0"/>
          <w:sz w:val="24"/>
        </w:rPr>
        <w:t>第十五条</w:t>
      </w:r>
      <w:r>
        <w:rPr>
          <w:rFonts w:hint="eastAsia" w:ascii="Times New Roman" w:eastAsia="黑体"/>
          <w:color w:val="000000"/>
          <w:kern w:val="0"/>
          <w:sz w:val="24"/>
        </w:rPr>
        <w:t>　</w:t>
      </w:r>
      <w:r>
        <w:rPr>
          <w:rFonts w:hint="eastAsia" w:eastAsia="方正仿宋_GBK"/>
          <w:color w:val="000000"/>
          <w:kern w:val="0"/>
          <w:sz w:val="24"/>
        </w:rPr>
        <w:t>测评机构在完成测评工作后</w:t>
      </w:r>
      <w:r>
        <w:rPr>
          <w:rFonts w:eastAsia="方正仿宋_GBK"/>
          <w:color w:val="000000"/>
          <w:kern w:val="0"/>
          <w:sz w:val="24"/>
        </w:rPr>
        <w:t>10</w:t>
      </w:r>
      <w:r>
        <w:rPr>
          <w:rFonts w:hint="eastAsia" w:eastAsia="方正仿宋_GBK"/>
          <w:color w:val="000000"/>
          <w:kern w:val="0"/>
          <w:sz w:val="24"/>
        </w:rPr>
        <w:t>个工作日内应出具《建筑能效测评报告》，并应在</w:t>
      </w:r>
      <w:r>
        <w:rPr>
          <w:rFonts w:eastAsia="方正仿宋_GBK"/>
          <w:color w:val="000000"/>
          <w:kern w:val="0"/>
          <w:sz w:val="24"/>
        </w:rPr>
        <w:t>15</w:t>
      </w:r>
      <w:r>
        <w:rPr>
          <w:rFonts w:hint="eastAsia" w:eastAsia="方正仿宋_GBK"/>
          <w:color w:val="000000"/>
          <w:kern w:val="0"/>
          <w:sz w:val="24"/>
        </w:rPr>
        <w:t>个工作日内将《建筑能效测评报告》报测评项目所在地建设主管部门备案。</w:t>
      </w:r>
    </w:p>
    <w:p>
      <w:pPr>
        <w:spacing w:line="460" w:lineRule="exact"/>
        <w:ind w:firstLine="480" w:firstLineChars="200"/>
        <w:jc w:val="left"/>
        <w:rPr>
          <w:rFonts w:eastAsia="方正仿宋_GBK"/>
          <w:color w:val="000000"/>
          <w:kern w:val="0"/>
          <w:sz w:val="24"/>
        </w:rPr>
      </w:pPr>
      <w:r>
        <w:rPr>
          <w:rFonts w:hint="eastAsia" w:ascii="Times New Roman" w:eastAsia="黑体"/>
          <w:bCs/>
          <w:smallCaps/>
          <w:color w:val="000000"/>
          <w:kern w:val="0"/>
          <w:sz w:val="24"/>
        </w:rPr>
        <w:t>第十六条</w:t>
      </w:r>
      <w:r>
        <w:rPr>
          <w:rFonts w:eastAsia="方正仿宋_GBK"/>
          <w:b/>
          <w:bCs/>
          <w:smallCaps/>
          <w:color w:val="000000"/>
          <w:kern w:val="0"/>
          <w:sz w:val="24"/>
        </w:rPr>
        <w:t xml:space="preserve">  </w:t>
      </w:r>
      <w:r>
        <w:rPr>
          <w:rFonts w:hint="eastAsia" w:eastAsia="方正仿宋_GBK"/>
          <w:color w:val="000000"/>
          <w:kern w:val="0"/>
          <w:sz w:val="24"/>
        </w:rPr>
        <w:t>《建筑能效测评报告》应包括以下内容：</w:t>
      </w:r>
    </w:p>
    <w:p>
      <w:pPr>
        <w:spacing w:line="460" w:lineRule="exact"/>
        <w:ind w:firstLine="480" w:firstLineChars="200"/>
        <w:jc w:val="left"/>
        <w:rPr>
          <w:rFonts w:eastAsia="方正仿宋_GBK"/>
          <w:color w:val="000000"/>
          <w:kern w:val="0"/>
          <w:sz w:val="24"/>
        </w:rPr>
      </w:pPr>
      <w:r>
        <w:rPr>
          <w:rFonts w:hint="eastAsia" w:eastAsia="方正仿宋_GBK"/>
          <w:color w:val="000000"/>
          <w:kern w:val="0"/>
          <w:sz w:val="24"/>
        </w:rPr>
        <w:t>（一）建筑能效测评汇总表；</w:t>
      </w:r>
    </w:p>
    <w:p>
      <w:pPr>
        <w:spacing w:line="460" w:lineRule="exact"/>
        <w:ind w:firstLine="480" w:firstLineChars="200"/>
        <w:jc w:val="left"/>
        <w:rPr>
          <w:rFonts w:eastAsia="方正仿宋_GBK"/>
          <w:color w:val="000000"/>
          <w:kern w:val="0"/>
          <w:sz w:val="24"/>
        </w:rPr>
      </w:pPr>
      <w:r>
        <w:rPr>
          <w:rFonts w:hint="eastAsia" w:eastAsia="方正仿宋_GBK"/>
          <w:color w:val="000000"/>
          <w:kern w:val="0"/>
          <w:sz w:val="24"/>
        </w:rPr>
        <w:t>（二）建筑物围护结构热工性能表</w:t>
      </w:r>
      <w:r>
        <w:rPr>
          <w:rFonts w:hint="eastAsia" w:eastAsia="方正仿宋_GBK"/>
          <w:color w:val="000000"/>
          <w:sz w:val="24"/>
        </w:rPr>
        <w:t>；</w:t>
      </w:r>
    </w:p>
    <w:p>
      <w:pPr>
        <w:spacing w:line="460" w:lineRule="exact"/>
        <w:ind w:firstLine="480" w:firstLineChars="200"/>
        <w:jc w:val="left"/>
        <w:rPr>
          <w:rFonts w:eastAsia="方正仿宋_GBK"/>
          <w:color w:val="000000"/>
          <w:kern w:val="0"/>
          <w:sz w:val="24"/>
        </w:rPr>
      </w:pPr>
      <w:r>
        <w:rPr>
          <w:rFonts w:hint="eastAsia" w:eastAsia="方正仿宋_GBK"/>
          <w:color w:val="000000"/>
          <w:kern w:val="0"/>
          <w:sz w:val="24"/>
        </w:rPr>
        <w:t>（三）建筑和用能系统概况；</w:t>
      </w:r>
    </w:p>
    <w:p>
      <w:pPr>
        <w:spacing w:line="460" w:lineRule="exact"/>
        <w:ind w:firstLine="480" w:firstLineChars="200"/>
        <w:jc w:val="left"/>
        <w:rPr>
          <w:rFonts w:eastAsia="方正仿宋_GBK"/>
          <w:color w:val="000000"/>
          <w:kern w:val="0"/>
          <w:sz w:val="24"/>
        </w:rPr>
      </w:pPr>
      <w:r>
        <w:rPr>
          <w:rFonts w:hint="eastAsia" w:eastAsia="方正仿宋_GBK"/>
          <w:color w:val="000000"/>
          <w:kern w:val="0"/>
          <w:sz w:val="24"/>
        </w:rPr>
        <w:t>（四）节能计算说明书；</w:t>
      </w:r>
    </w:p>
    <w:p>
      <w:pPr>
        <w:spacing w:line="460" w:lineRule="exact"/>
        <w:ind w:firstLine="480" w:firstLineChars="200"/>
        <w:jc w:val="left"/>
        <w:rPr>
          <w:rFonts w:eastAsia="方正仿宋_GBK"/>
          <w:color w:val="000000"/>
          <w:kern w:val="0"/>
          <w:sz w:val="24"/>
        </w:rPr>
      </w:pPr>
      <w:r>
        <w:rPr>
          <w:rFonts w:hint="eastAsia" w:eastAsia="方正仿宋_GBK"/>
          <w:color w:val="000000"/>
          <w:kern w:val="0"/>
          <w:sz w:val="24"/>
        </w:rPr>
        <w:t>（五）测评过程中依据的文件及相关性能检测评估报告；</w:t>
      </w:r>
    </w:p>
    <w:p>
      <w:pPr>
        <w:spacing w:line="460" w:lineRule="exact"/>
        <w:ind w:firstLine="480" w:firstLineChars="200"/>
        <w:jc w:val="left"/>
        <w:rPr>
          <w:rFonts w:eastAsia="方正仿宋_GBK"/>
          <w:color w:val="000000"/>
          <w:kern w:val="0"/>
          <w:sz w:val="24"/>
        </w:rPr>
      </w:pPr>
      <w:r>
        <w:rPr>
          <w:rFonts w:hint="eastAsia" w:eastAsia="方正仿宋_GBK"/>
          <w:color w:val="000000"/>
          <w:kern w:val="0"/>
          <w:sz w:val="24"/>
        </w:rPr>
        <w:t>（六）建筑能效测评联系人、电话和地址等。</w:t>
      </w:r>
    </w:p>
    <w:p>
      <w:pPr>
        <w:spacing w:line="460" w:lineRule="exact"/>
        <w:ind w:firstLine="480" w:firstLineChars="200"/>
        <w:jc w:val="left"/>
        <w:rPr>
          <w:rFonts w:eastAsia="方正仿宋_GBK"/>
          <w:color w:val="000000"/>
          <w:kern w:val="0"/>
          <w:sz w:val="24"/>
        </w:rPr>
      </w:pPr>
      <w:r>
        <w:rPr>
          <w:rFonts w:hint="eastAsia" w:ascii="Times New Roman" w:eastAsia="黑体"/>
          <w:bCs/>
          <w:smallCaps/>
          <w:color w:val="000000"/>
          <w:kern w:val="0"/>
          <w:sz w:val="24"/>
        </w:rPr>
        <w:t>第十七条</w:t>
      </w:r>
      <w:r>
        <w:rPr>
          <w:rFonts w:eastAsia="方正仿宋_GBK"/>
          <w:b/>
          <w:bCs/>
          <w:smallCaps/>
          <w:color w:val="000000"/>
          <w:kern w:val="0"/>
          <w:sz w:val="24"/>
        </w:rPr>
        <w:t xml:space="preserve">   </w:t>
      </w:r>
      <w:r>
        <w:rPr>
          <w:rFonts w:hint="eastAsia" w:eastAsia="方正仿宋_GBK"/>
          <w:color w:val="000000"/>
          <w:kern w:val="0"/>
          <w:sz w:val="24"/>
        </w:rPr>
        <w:t>经建筑能效测评达不到建筑节能强制性标准要求的，建设单位应整改后重新申请建筑能效测评。</w:t>
      </w:r>
    </w:p>
    <w:p>
      <w:pPr>
        <w:spacing w:line="460" w:lineRule="exact"/>
        <w:ind w:firstLine="480" w:firstLineChars="200"/>
        <w:rPr>
          <w:rFonts w:eastAsia="方正仿宋_GBK"/>
          <w:color w:val="000000"/>
          <w:kern w:val="0"/>
          <w:sz w:val="24"/>
        </w:rPr>
      </w:pPr>
      <w:r>
        <w:rPr>
          <w:rFonts w:hint="eastAsia" w:ascii="Times New Roman" w:eastAsia="黑体"/>
          <w:bCs/>
          <w:smallCaps/>
          <w:color w:val="000000"/>
          <w:kern w:val="0"/>
          <w:sz w:val="24"/>
        </w:rPr>
        <w:t>第十八条</w:t>
      </w:r>
      <w:r>
        <w:rPr>
          <w:rFonts w:eastAsia="方正仿宋_GBK"/>
          <w:b/>
          <w:bCs/>
          <w:smallCaps/>
          <w:color w:val="000000"/>
          <w:kern w:val="0"/>
          <w:sz w:val="24"/>
        </w:rPr>
        <w:t xml:space="preserve">  </w:t>
      </w:r>
      <w:r>
        <w:rPr>
          <w:rFonts w:hint="eastAsia" w:eastAsia="方正仿宋_GBK"/>
          <w:color w:val="000000"/>
          <w:kern w:val="0"/>
          <w:sz w:val="24"/>
        </w:rPr>
        <w:t>建筑能效测评后符合建筑能效标识要求的，测评机构应在《建筑能效测评报告》出具后</w:t>
      </w:r>
      <w:r>
        <w:rPr>
          <w:rFonts w:eastAsia="方正仿宋_GBK"/>
          <w:color w:val="000000"/>
          <w:kern w:val="0"/>
          <w:sz w:val="24"/>
        </w:rPr>
        <w:t>30</w:t>
      </w:r>
      <w:r>
        <w:rPr>
          <w:rFonts w:hint="eastAsia" w:eastAsia="方正仿宋_GBK"/>
          <w:color w:val="000000"/>
          <w:kern w:val="0"/>
          <w:sz w:val="24"/>
        </w:rPr>
        <w:t>个工作日内将《建筑能效测评报告》</w:t>
      </w:r>
      <w:bookmarkStart w:id="381" w:name="_Hlk493073673"/>
      <w:r>
        <w:rPr>
          <w:rFonts w:hint="eastAsia" w:eastAsia="方正仿宋_GBK"/>
          <w:color w:val="000000"/>
          <w:kern w:val="0"/>
          <w:sz w:val="24"/>
        </w:rPr>
        <w:t>报至省住房和城乡建设厅</w:t>
      </w:r>
      <w:bookmarkEnd w:id="381"/>
      <w:r>
        <w:rPr>
          <w:rFonts w:hint="eastAsia" w:eastAsia="方正仿宋_GBK"/>
          <w:color w:val="000000"/>
          <w:kern w:val="0"/>
          <w:sz w:val="24"/>
        </w:rPr>
        <w:t>。</w:t>
      </w:r>
    </w:p>
    <w:p>
      <w:pPr>
        <w:spacing w:line="460" w:lineRule="exact"/>
        <w:ind w:firstLine="482" w:firstLineChars="200"/>
        <w:rPr>
          <w:rFonts w:eastAsia="方正仿宋_GBK"/>
          <w:b/>
          <w:bCs/>
          <w:smallCaps/>
          <w:color w:val="000000"/>
          <w:kern w:val="0"/>
          <w:sz w:val="24"/>
        </w:rPr>
      </w:pPr>
    </w:p>
    <w:p>
      <w:pPr>
        <w:spacing w:line="460" w:lineRule="exact"/>
        <w:ind w:firstLine="482" w:firstLineChars="200"/>
        <w:rPr>
          <w:rFonts w:eastAsia="方正仿宋_GBK"/>
          <w:b/>
          <w:bCs/>
          <w:smallCaps/>
          <w:color w:val="000000"/>
          <w:kern w:val="0"/>
          <w:sz w:val="24"/>
        </w:rPr>
      </w:pPr>
    </w:p>
    <w:p>
      <w:pPr>
        <w:spacing w:line="460" w:lineRule="exact"/>
        <w:jc w:val="center"/>
        <w:rPr>
          <w:rFonts w:ascii="Times New Roman" w:eastAsia="黑体"/>
          <w:bCs/>
          <w:smallCaps/>
          <w:color w:val="000000"/>
          <w:kern w:val="0"/>
          <w:sz w:val="24"/>
        </w:rPr>
      </w:pPr>
    </w:p>
    <w:p>
      <w:pPr>
        <w:spacing w:line="460" w:lineRule="exact"/>
        <w:jc w:val="center"/>
        <w:rPr>
          <w:rFonts w:hint="eastAsia" w:ascii="Times New Roman" w:eastAsia="黑体"/>
          <w:bCs/>
          <w:smallCaps/>
          <w:color w:val="000000"/>
          <w:kern w:val="0"/>
          <w:sz w:val="24"/>
        </w:rPr>
      </w:pPr>
      <w:r>
        <w:rPr>
          <w:rFonts w:hint="eastAsia" w:ascii="Times New Roman" w:eastAsia="黑体"/>
          <w:bCs/>
          <w:smallCaps/>
          <w:color w:val="000000"/>
          <w:kern w:val="0"/>
          <w:sz w:val="24"/>
        </w:rPr>
        <w:t>第四章　建筑能效标识</w:t>
      </w:r>
    </w:p>
    <w:p>
      <w:pPr>
        <w:spacing w:line="460" w:lineRule="exact"/>
        <w:jc w:val="center"/>
        <w:rPr>
          <w:rFonts w:hint="eastAsia" w:ascii="Times New Roman" w:eastAsia="黑体"/>
          <w:bCs/>
          <w:smallCaps/>
          <w:color w:val="000000"/>
          <w:kern w:val="0"/>
          <w:sz w:val="24"/>
        </w:rPr>
      </w:pPr>
    </w:p>
    <w:p>
      <w:pPr>
        <w:spacing w:line="460" w:lineRule="exact"/>
        <w:ind w:firstLine="480" w:firstLineChars="200"/>
        <w:jc w:val="left"/>
        <w:rPr>
          <w:rFonts w:hint="eastAsia" w:eastAsia="方正仿宋_GBK"/>
          <w:color w:val="000000"/>
          <w:kern w:val="0"/>
          <w:sz w:val="24"/>
        </w:rPr>
      </w:pPr>
      <w:r>
        <w:rPr>
          <w:rFonts w:hint="eastAsia" w:ascii="Times New Roman" w:eastAsia="黑体"/>
          <w:bCs/>
          <w:smallCaps/>
          <w:color w:val="000000"/>
          <w:kern w:val="0"/>
          <w:sz w:val="24"/>
        </w:rPr>
        <w:t>第十九条</w:t>
      </w:r>
      <w:r>
        <w:rPr>
          <w:rFonts w:eastAsia="方正仿宋_GBK"/>
          <w:b/>
          <w:bCs/>
          <w:smallCaps/>
          <w:color w:val="000000"/>
          <w:kern w:val="0"/>
          <w:sz w:val="24"/>
        </w:rPr>
        <w:t xml:space="preserve">  </w:t>
      </w:r>
      <w:r>
        <w:rPr>
          <w:rFonts w:hint="eastAsia" w:eastAsia="方正仿宋_GBK"/>
          <w:color w:val="000000"/>
          <w:kern w:val="0"/>
          <w:sz w:val="24"/>
        </w:rPr>
        <w:t>建筑能效测评标识审查完成后，由省住房和城乡建设厅进行审定和公示，公示期为</w:t>
      </w:r>
      <w:r>
        <w:rPr>
          <w:rFonts w:eastAsia="方正仿宋_GBK"/>
          <w:color w:val="000000"/>
          <w:kern w:val="0"/>
          <w:sz w:val="24"/>
        </w:rPr>
        <w:t>15</w:t>
      </w:r>
      <w:r>
        <w:rPr>
          <w:rFonts w:hint="eastAsia" w:eastAsia="方正仿宋_GBK"/>
          <w:color w:val="000000"/>
          <w:kern w:val="0"/>
          <w:sz w:val="24"/>
        </w:rPr>
        <w:t>日。</w:t>
      </w:r>
    </w:p>
    <w:p>
      <w:pPr>
        <w:spacing w:line="460" w:lineRule="exact"/>
        <w:ind w:firstLine="480" w:firstLineChars="200"/>
        <w:jc w:val="left"/>
        <w:rPr>
          <w:rFonts w:eastAsia="方正仿宋_GBK"/>
          <w:color w:val="000000"/>
          <w:kern w:val="0"/>
          <w:sz w:val="24"/>
        </w:rPr>
      </w:pPr>
      <w:r>
        <w:rPr>
          <w:rFonts w:hint="eastAsia" w:ascii="Times New Roman" w:eastAsia="黑体"/>
          <w:bCs/>
          <w:smallCaps/>
          <w:color w:val="000000"/>
          <w:kern w:val="0"/>
          <w:sz w:val="24"/>
        </w:rPr>
        <w:t>第二十条</w:t>
      </w:r>
      <w:r>
        <w:rPr>
          <w:rFonts w:eastAsia="方正仿宋_GBK"/>
          <w:b/>
          <w:bCs/>
          <w:smallCaps/>
          <w:color w:val="000000"/>
          <w:kern w:val="0"/>
          <w:sz w:val="24"/>
        </w:rPr>
        <w:t xml:space="preserve">  </w:t>
      </w:r>
      <w:r>
        <w:rPr>
          <w:rFonts w:hint="eastAsia" w:eastAsia="方正仿宋_GBK"/>
          <w:color w:val="000000"/>
          <w:kern w:val="0"/>
          <w:sz w:val="24"/>
        </w:rPr>
        <w:t>经公示后无异议或有异议但经审查异议不成立的项目，由省住房和城乡建设厅发布公告，并报住房和城乡建设部备案。经审查异议成立的项目，将不予审定并向测评机构说明情况。</w:t>
      </w:r>
    </w:p>
    <w:p>
      <w:pPr>
        <w:spacing w:line="460" w:lineRule="exact"/>
        <w:ind w:firstLine="480" w:firstLineChars="200"/>
        <w:jc w:val="left"/>
        <w:rPr>
          <w:rFonts w:eastAsia="方正仿宋_GBK"/>
          <w:color w:val="000000"/>
          <w:kern w:val="0"/>
          <w:sz w:val="24"/>
        </w:rPr>
      </w:pPr>
      <w:r>
        <w:rPr>
          <w:rFonts w:hint="eastAsia" w:ascii="Times New Roman" w:eastAsia="黑体"/>
          <w:bCs/>
          <w:smallCaps/>
          <w:color w:val="000000"/>
          <w:kern w:val="0"/>
          <w:sz w:val="24"/>
        </w:rPr>
        <w:t>第二十一条　</w:t>
      </w:r>
      <w:r>
        <w:rPr>
          <w:rFonts w:eastAsia="方正仿宋_GBK"/>
          <w:b/>
          <w:bCs/>
          <w:smallCaps/>
          <w:color w:val="000000"/>
          <w:kern w:val="0"/>
          <w:sz w:val="24"/>
        </w:rPr>
        <w:t xml:space="preserve"> </w:t>
      </w:r>
      <w:r>
        <w:rPr>
          <w:rFonts w:hint="eastAsia" w:eastAsia="方正仿宋_GBK"/>
          <w:bCs/>
          <w:smallCaps/>
          <w:color w:val="000000"/>
          <w:kern w:val="0"/>
          <w:sz w:val="24"/>
        </w:rPr>
        <w:t>建筑</w:t>
      </w:r>
      <w:r>
        <w:rPr>
          <w:rFonts w:hint="eastAsia" w:eastAsia="方正仿宋_GBK"/>
          <w:color w:val="000000"/>
          <w:kern w:val="0"/>
          <w:sz w:val="24"/>
        </w:rPr>
        <w:t>能效标识审查未通过的项目，测评机构应按审查意见补充资料，完善相关工作，重新提交测评报告。</w:t>
      </w:r>
    </w:p>
    <w:p>
      <w:pPr>
        <w:spacing w:line="460" w:lineRule="exact"/>
        <w:ind w:firstLine="480" w:firstLineChars="200"/>
        <w:jc w:val="left"/>
        <w:rPr>
          <w:rFonts w:eastAsia="方正仿宋_GBK"/>
          <w:color w:val="000000"/>
          <w:kern w:val="0"/>
          <w:sz w:val="24"/>
        </w:rPr>
      </w:pPr>
      <w:r>
        <w:rPr>
          <w:rFonts w:hint="eastAsia" w:ascii="Times New Roman" w:eastAsia="黑体"/>
          <w:bCs/>
          <w:smallCaps/>
          <w:color w:val="000000"/>
          <w:kern w:val="0"/>
          <w:sz w:val="24"/>
        </w:rPr>
        <w:t>第二十二条</w:t>
      </w:r>
      <w:r>
        <w:rPr>
          <w:rFonts w:eastAsia="方正仿宋_GBK"/>
          <w:b/>
          <w:bCs/>
          <w:smallCaps/>
          <w:color w:val="000000"/>
          <w:kern w:val="0"/>
          <w:sz w:val="24"/>
        </w:rPr>
        <w:t xml:space="preserve">   </w:t>
      </w:r>
      <w:r>
        <w:rPr>
          <w:rFonts w:hint="eastAsia" w:eastAsia="方正仿宋_GBK"/>
          <w:bCs/>
          <w:smallCaps/>
          <w:color w:val="000000"/>
          <w:kern w:val="0"/>
          <w:sz w:val="24"/>
        </w:rPr>
        <w:t>建筑</w:t>
      </w:r>
      <w:r>
        <w:rPr>
          <w:rFonts w:hint="eastAsia" w:eastAsia="方正仿宋_GBK"/>
          <w:color w:val="000000"/>
          <w:kern w:val="0"/>
          <w:sz w:val="24"/>
        </w:rPr>
        <w:t>能效标识证书和标志由省住房和城乡建设厅省按照住房和城乡建设部监制式样统一制作颁发。建筑能效理论值标识有效期为</w:t>
      </w:r>
      <w:r>
        <w:rPr>
          <w:rFonts w:eastAsia="方正仿宋_GBK"/>
          <w:color w:val="000000"/>
          <w:kern w:val="0"/>
          <w:sz w:val="24"/>
        </w:rPr>
        <w:t>1</w:t>
      </w:r>
      <w:r>
        <w:rPr>
          <w:rFonts w:hint="eastAsia" w:eastAsia="方正仿宋_GBK"/>
          <w:color w:val="000000"/>
          <w:kern w:val="0"/>
          <w:sz w:val="24"/>
        </w:rPr>
        <w:t>年，建筑能效实测值标识有效期为</w:t>
      </w:r>
      <w:r>
        <w:rPr>
          <w:rFonts w:eastAsia="方正仿宋_GBK"/>
          <w:color w:val="000000"/>
          <w:kern w:val="0"/>
          <w:sz w:val="24"/>
        </w:rPr>
        <w:t>5</w:t>
      </w:r>
      <w:r>
        <w:rPr>
          <w:rFonts w:hint="eastAsia" w:eastAsia="方正仿宋_GBK"/>
          <w:color w:val="000000"/>
          <w:kern w:val="0"/>
          <w:sz w:val="24"/>
        </w:rPr>
        <w:t>年。</w:t>
      </w:r>
    </w:p>
    <w:p>
      <w:pPr>
        <w:spacing w:line="460" w:lineRule="exact"/>
        <w:ind w:firstLine="480" w:firstLineChars="200"/>
        <w:jc w:val="left"/>
        <w:rPr>
          <w:rFonts w:eastAsia="方正仿宋_GBK"/>
          <w:b/>
          <w:bCs/>
          <w:smallCaps/>
          <w:color w:val="000000"/>
          <w:kern w:val="0"/>
          <w:sz w:val="24"/>
        </w:rPr>
      </w:pPr>
      <w:r>
        <w:rPr>
          <w:rFonts w:hint="eastAsia" w:ascii="Times New Roman" w:eastAsia="黑体"/>
          <w:bCs/>
          <w:smallCaps/>
          <w:color w:val="000000"/>
          <w:kern w:val="0"/>
          <w:sz w:val="24"/>
        </w:rPr>
        <w:t>第二十三条</w:t>
      </w:r>
      <w:r>
        <w:rPr>
          <w:rFonts w:hint="eastAsia" w:ascii="Times New Roman" w:eastAsia="黑体"/>
          <w:color w:val="000000"/>
          <w:kern w:val="0"/>
          <w:sz w:val="24"/>
        </w:rPr>
        <w:t>　</w:t>
      </w:r>
      <w:r>
        <w:rPr>
          <w:rFonts w:hint="eastAsia" w:eastAsia="方正仿宋_GBK"/>
          <w:color w:val="000000"/>
          <w:kern w:val="0"/>
          <w:sz w:val="24"/>
        </w:rPr>
        <w:t>建设单位或建筑所有权人应当将建筑能效标识粘贴在建筑物的显著位置。</w:t>
      </w:r>
    </w:p>
    <w:p>
      <w:pPr>
        <w:spacing w:line="460" w:lineRule="exact"/>
        <w:ind w:firstLine="480" w:firstLineChars="200"/>
        <w:jc w:val="left"/>
        <w:rPr>
          <w:rFonts w:eastAsia="方正仿宋_GBK"/>
          <w:color w:val="000000"/>
          <w:kern w:val="0"/>
          <w:sz w:val="24"/>
        </w:rPr>
      </w:pPr>
      <w:r>
        <w:rPr>
          <w:rFonts w:hint="eastAsia" w:ascii="Times New Roman" w:eastAsia="黑体"/>
          <w:bCs/>
          <w:smallCaps/>
          <w:color w:val="000000"/>
          <w:kern w:val="0"/>
          <w:sz w:val="24"/>
        </w:rPr>
        <w:t>第二十四条</w:t>
      </w:r>
      <w:r>
        <w:rPr>
          <w:rFonts w:hint="eastAsia" w:ascii="Times New Roman" w:eastAsia="黑体"/>
          <w:color w:val="000000"/>
          <w:kern w:val="0"/>
          <w:sz w:val="24"/>
        </w:rPr>
        <w:t>　</w:t>
      </w:r>
      <w:r>
        <w:rPr>
          <w:rFonts w:hint="eastAsia" w:eastAsia="方正仿宋_GBK"/>
          <w:color w:val="000000"/>
          <w:kern w:val="0"/>
          <w:sz w:val="24"/>
        </w:rPr>
        <w:t>省住房和城乡建设厅定期汇总获得建筑能效标识的项目名称，并在指定媒体予以公布。</w:t>
      </w:r>
    </w:p>
    <w:p>
      <w:pPr>
        <w:spacing w:line="460" w:lineRule="exact"/>
        <w:ind w:firstLine="482" w:firstLineChars="200"/>
        <w:jc w:val="center"/>
        <w:rPr>
          <w:rFonts w:eastAsia="方正仿宋_GBK"/>
          <w:b/>
          <w:bCs/>
          <w:smallCaps/>
          <w:color w:val="000000"/>
          <w:kern w:val="0"/>
          <w:sz w:val="24"/>
        </w:rPr>
      </w:pPr>
    </w:p>
    <w:p>
      <w:pPr>
        <w:spacing w:line="460" w:lineRule="exact"/>
        <w:jc w:val="center"/>
        <w:rPr>
          <w:rFonts w:ascii="Times New Roman" w:eastAsia="黑体"/>
          <w:bCs/>
          <w:smallCaps/>
          <w:color w:val="000000"/>
          <w:kern w:val="0"/>
          <w:sz w:val="24"/>
        </w:rPr>
      </w:pPr>
      <w:r>
        <w:rPr>
          <w:rFonts w:hint="eastAsia" w:ascii="Times New Roman" w:eastAsia="黑体"/>
          <w:bCs/>
          <w:smallCaps/>
          <w:color w:val="000000"/>
          <w:kern w:val="0"/>
          <w:sz w:val="24"/>
        </w:rPr>
        <w:t>第五章　监督管理</w:t>
      </w:r>
    </w:p>
    <w:p>
      <w:pPr>
        <w:spacing w:line="460" w:lineRule="exact"/>
        <w:ind w:firstLine="480" w:firstLineChars="200"/>
        <w:jc w:val="left"/>
        <w:rPr>
          <w:rFonts w:hint="eastAsia" w:ascii="Times New Roman" w:eastAsia="黑体"/>
          <w:bCs/>
          <w:smallCaps/>
          <w:color w:val="000000"/>
          <w:kern w:val="0"/>
          <w:sz w:val="24"/>
        </w:rPr>
      </w:pPr>
    </w:p>
    <w:p>
      <w:pPr>
        <w:spacing w:line="460" w:lineRule="exact"/>
        <w:ind w:firstLine="480" w:firstLineChars="200"/>
        <w:jc w:val="left"/>
        <w:rPr>
          <w:rFonts w:hint="eastAsia" w:eastAsia="方正仿宋_GBK"/>
          <w:color w:val="000000"/>
          <w:kern w:val="0"/>
          <w:sz w:val="24"/>
        </w:rPr>
      </w:pPr>
      <w:r>
        <w:rPr>
          <w:rFonts w:hint="eastAsia" w:ascii="Times New Roman" w:eastAsia="黑体"/>
          <w:bCs/>
          <w:smallCaps/>
          <w:color w:val="000000"/>
          <w:kern w:val="0"/>
          <w:sz w:val="24"/>
        </w:rPr>
        <w:t>第二十五条</w:t>
      </w:r>
      <w:r>
        <w:rPr>
          <w:rFonts w:eastAsia="方正仿宋_GBK"/>
          <w:b/>
          <w:bCs/>
          <w:smallCaps/>
          <w:color w:val="000000"/>
          <w:kern w:val="0"/>
          <w:sz w:val="24"/>
        </w:rPr>
        <w:t xml:space="preserve">  </w:t>
      </w:r>
      <w:r>
        <w:rPr>
          <w:rFonts w:hint="eastAsia" w:eastAsia="方正仿宋_GBK"/>
          <w:color w:val="000000"/>
          <w:kern w:val="0"/>
          <w:sz w:val="24"/>
        </w:rPr>
        <w:t>省住房和城乡建设厅对已获得能效标识的项目进行跟踪管理。对发现项目实际情况与测评标识结果不一致、存在弄虚作假的，经查实，将对相关责任单位和个人进行信用记录。</w:t>
      </w:r>
    </w:p>
    <w:p>
      <w:pPr>
        <w:spacing w:line="460" w:lineRule="exact"/>
        <w:ind w:firstLine="480" w:firstLineChars="200"/>
        <w:jc w:val="left"/>
        <w:rPr>
          <w:rFonts w:eastAsia="方正仿宋_GBK"/>
          <w:color w:val="000000"/>
          <w:kern w:val="0"/>
          <w:sz w:val="24"/>
        </w:rPr>
      </w:pPr>
      <w:r>
        <w:rPr>
          <w:rFonts w:hint="eastAsia" w:ascii="Times New Roman" w:eastAsia="黑体"/>
          <w:bCs/>
          <w:smallCaps/>
          <w:color w:val="000000"/>
          <w:kern w:val="0"/>
          <w:sz w:val="24"/>
        </w:rPr>
        <w:t>第二十六条</w:t>
      </w:r>
      <w:bookmarkStart w:id="382" w:name="28"/>
      <w:bookmarkEnd w:id="382"/>
      <w:r>
        <w:rPr>
          <w:rFonts w:hint="eastAsia" w:ascii="Times New Roman" w:eastAsia="黑体"/>
          <w:color w:val="000000"/>
          <w:kern w:val="0"/>
          <w:sz w:val="24"/>
        </w:rPr>
        <w:t>　</w:t>
      </w:r>
      <w:r>
        <w:rPr>
          <w:rFonts w:hint="eastAsia" w:eastAsia="方正仿宋_GBK"/>
          <w:color w:val="000000"/>
          <w:kern w:val="0"/>
          <w:sz w:val="24"/>
        </w:rPr>
        <w:t>建设单位、建筑物产权所有人或使用人不得擅自拆除或变更建筑物的能效标识。经查实，建设主管部门应责令改正。</w:t>
      </w:r>
    </w:p>
    <w:p>
      <w:pPr>
        <w:spacing w:line="460" w:lineRule="exact"/>
        <w:ind w:firstLine="480" w:firstLineChars="200"/>
        <w:jc w:val="left"/>
        <w:rPr>
          <w:rFonts w:eastAsia="方正仿宋_GBK"/>
          <w:color w:val="000000"/>
          <w:kern w:val="0"/>
          <w:sz w:val="24"/>
        </w:rPr>
      </w:pPr>
      <w:r>
        <w:rPr>
          <w:rFonts w:hint="eastAsia" w:ascii="Times New Roman" w:eastAsia="黑体"/>
          <w:bCs/>
          <w:smallCaps/>
          <w:color w:val="000000"/>
          <w:kern w:val="0"/>
          <w:sz w:val="24"/>
        </w:rPr>
        <w:t>第二十七条</w:t>
      </w:r>
      <w:r>
        <w:rPr>
          <w:rFonts w:hint="eastAsia" w:ascii="Times New Roman" w:eastAsia="黑体"/>
          <w:color w:val="000000"/>
          <w:kern w:val="0"/>
          <w:sz w:val="24"/>
        </w:rPr>
        <w:t>　</w:t>
      </w:r>
      <w:r>
        <w:rPr>
          <w:rFonts w:hint="eastAsia" w:eastAsia="方正仿宋_GBK"/>
          <w:color w:val="000000"/>
          <w:kern w:val="0"/>
          <w:sz w:val="24"/>
        </w:rPr>
        <w:t>出现下列情形，可能影响建筑物能效的，应重新进行建筑物能效测评标识：</w:t>
      </w:r>
    </w:p>
    <w:p>
      <w:pPr>
        <w:spacing w:line="460" w:lineRule="exact"/>
        <w:ind w:firstLine="480" w:firstLineChars="200"/>
        <w:jc w:val="left"/>
        <w:rPr>
          <w:rFonts w:eastAsia="方正仿宋_GBK"/>
          <w:color w:val="000000"/>
          <w:kern w:val="0"/>
          <w:sz w:val="24"/>
        </w:rPr>
      </w:pPr>
      <w:r>
        <w:rPr>
          <w:rFonts w:hint="eastAsia" w:eastAsia="方正仿宋_GBK"/>
          <w:color w:val="000000"/>
          <w:kern w:val="0"/>
          <w:sz w:val="24"/>
        </w:rPr>
        <w:t>（一）建筑围护结构节能改造；</w:t>
      </w:r>
    </w:p>
    <w:p>
      <w:pPr>
        <w:spacing w:line="460" w:lineRule="exact"/>
        <w:ind w:firstLine="480" w:firstLineChars="200"/>
        <w:jc w:val="left"/>
        <w:rPr>
          <w:rFonts w:eastAsia="方正仿宋_GBK"/>
          <w:color w:val="000000"/>
          <w:kern w:val="0"/>
          <w:sz w:val="24"/>
        </w:rPr>
      </w:pPr>
      <w:r>
        <w:rPr>
          <w:rFonts w:hint="eastAsia" w:eastAsia="方正仿宋_GBK"/>
          <w:color w:val="000000"/>
          <w:kern w:val="0"/>
          <w:sz w:val="24"/>
        </w:rPr>
        <w:t>（二）主要用能系统或设备更新置换；</w:t>
      </w:r>
    </w:p>
    <w:p>
      <w:pPr>
        <w:spacing w:line="460" w:lineRule="exact"/>
        <w:ind w:firstLine="480" w:firstLineChars="200"/>
        <w:jc w:val="left"/>
        <w:rPr>
          <w:rFonts w:eastAsia="方正仿宋_GBK"/>
          <w:color w:val="000000"/>
          <w:kern w:val="0"/>
          <w:sz w:val="24"/>
        </w:rPr>
      </w:pPr>
      <w:r>
        <w:rPr>
          <w:rFonts w:hint="eastAsia" w:eastAsia="方正仿宋_GBK"/>
          <w:color w:val="000000"/>
          <w:kern w:val="0"/>
          <w:sz w:val="24"/>
        </w:rPr>
        <w:t>（三）建筑能效测评标识有效期结束。</w:t>
      </w:r>
    </w:p>
    <w:p>
      <w:pPr>
        <w:spacing w:line="460" w:lineRule="exact"/>
        <w:ind w:firstLine="480" w:firstLineChars="200"/>
        <w:jc w:val="left"/>
        <w:rPr>
          <w:rFonts w:eastAsia="方正仿宋_GBK"/>
          <w:color w:val="000000"/>
          <w:kern w:val="0"/>
          <w:sz w:val="24"/>
        </w:rPr>
      </w:pPr>
      <w:bookmarkStart w:id="383" w:name="_Hlk493079629"/>
      <w:r>
        <w:rPr>
          <w:rFonts w:hint="eastAsia" w:ascii="Times New Roman" w:eastAsia="黑体"/>
          <w:bCs/>
          <w:smallCaps/>
          <w:color w:val="000000"/>
          <w:kern w:val="0"/>
          <w:sz w:val="24"/>
        </w:rPr>
        <w:t>第二十八条</w:t>
      </w:r>
      <w:bookmarkEnd w:id="383"/>
      <w:r>
        <w:rPr>
          <w:rFonts w:eastAsia="方正仿宋_GBK"/>
          <w:b/>
          <w:bCs/>
          <w:smallCaps/>
          <w:color w:val="000000"/>
          <w:kern w:val="0"/>
          <w:sz w:val="24"/>
        </w:rPr>
        <w:t xml:space="preserve">  </w:t>
      </w:r>
      <w:r>
        <w:rPr>
          <w:rFonts w:hint="eastAsia" w:eastAsia="方正仿宋_GBK"/>
          <w:color w:val="000000"/>
          <w:kern w:val="0"/>
          <w:sz w:val="24"/>
        </w:rPr>
        <w:t>对建筑能效测评结果或能效标识有异议的，建设单位可在收到测评结果</w:t>
      </w:r>
      <w:r>
        <w:rPr>
          <w:rFonts w:eastAsia="方正仿宋_GBK"/>
          <w:color w:val="000000"/>
          <w:kern w:val="0"/>
          <w:sz w:val="24"/>
        </w:rPr>
        <w:t>15</w:t>
      </w:r>
      <w:r>
        <w:rPr>
          <w:rFonts w:hint="eastAsia" w:eastAsia="方正仿宋_GBK"/>
          <w:color w:val="000000"/>
          <w:kern w:val="0"/>
          <w:sz w:val="24"/>
        </w:rPr>
        <w:t>个工作日内或建筑能效标识公示期内，以书面形式向省住房和城乡建设厅申请复核。书面材料要加盖单位公章或个人签名。</w:t>
      </w:r>
    </w:p>
    <w:p>
      <w:pPr>
        <w:spacing w:line="460" w:lineRule="exact"/>
        <w:ind w:firstLine="480" w:firstLineChars="200"/>
        <w:jc w:val="left"/>
        <w:rPr>
          <w:rFonts w:eastAsia="方正仿宋_GBK"/>
          <w:color w:val="000000"/>
          <w:kern w:val="0"/>
          <w:sz w:val="24"/>
        </w:rPr>
      </w:pPr>
    </w:p>
    <w:p>
      <w:pPr>
        <w:spacing w:line="460" w:lineRule="exact"/>
        <w:jc w:val="center"/>
        <w:rPr>
          <w:rFonts w:ascii="Times New Roman" w:eastAsia="黑体"/>
          <w:bCs/>
          <w:smallCaps/>
          <w:color w:val="000000"/>
          <w:kern w:val="0"/>
          <w:sz w:val="24"/>
        </w:rPr>
      </w:pPr>
      <w:r>
        <w:rPr>
          <w:rFonts w:hint="eastAsia" w:ascii="Times New Roman" w:eastAsia="黑体"/>
          <w:bCs/>
          <w:smallCaps/>
          <w:color w:val="000000"/>
          <w:kern w:val="0"/>
          <w:sz w:val="24"/>
        </w:rPr>
        <w:t>第六章　附则</w:t>
      </w:r>
    </w:p>
    <w:p>
      <w:pPr>
        <w:spacing w:line="460" w:lineRule="exact"/>
        <w:ind w:firstLine="482" w:firstLineChars="200"/>
        <w:jc w:val="left"/>
        <w:rPr>
          <w:rFonts w:hint="eastAsia" w:eastAsia="方正仿宋_GBK"/>
          <w:b/>
          <w:bCs/>
          <w:smallCaps/>
          <w:color w:val="000000"/>
          <w:kern w:val="0"/>
          <w:sz w:val="24"/>
        </w:rPr>
      </w:pPr>
      <w:r>
        <w:rPr>
          <w:rFonts w:eastAsia="方正仿宋_GBK"/>
          <w:b/>
          <w:bCs/>
          <w:smallCaps/>
          <w:color w:val="000000"/>
          <w:kern w:val="0"/>
          <w:sz w:val="24"/>
        </w:rPr>
        <w:t xml:space="preserve"> </w:t>
      </w:r>
    </w:p>
    <w:p>
      <w:pPr>
        <w:spacing w:line="460" w:lineRule="exact"/>
        <w:ind w:firstLine="480" w:firstLineChars="200"/>
        <w:jc w:val="left"/>
        <w:rPr>
          <w:rFonts w:eastAsia="方正仿宋_GBK"/>
          <w:color w:val="000000"/>
          <w:spacing w:val="-4"/>
          <w:kern w:val="0"/>
          <w:sz w:val="24"/>
        </w:rPr>
      </w:pPr>
      <w:r>
        <w:rPr>
          <w:rFonts w:hint="eastAsia" w:ascii="Times New Roman" w:eastAsia="黑体"/>
          <w:bCs/>
          <w:smallCaps/>
          <w:color w:val="000000"/>
          <w:kern w:val="0"/>
          <w:sz w:val="24"/>
        </w:rPr>
        <w:t>第三十条</w:t>
      </w:r>
      <w:bookmarkStart w:id="384" w:name="29"/>
      <w:bookmarkEnd w:id="384"/>
      <w:r>
        <w:rPr>
          <w:rFonts w:hint="eastAsia" w:ascii="Times New Roman" w:eastAsia="黑体"/>
          <w:color w:val="000000"/>
          <w:kern w:val="0"/>
          <w:sz w:val="24"/>
        </w:rPr>
        <w:t>　</w:t>
      </w:r>
      <w:r>
        <w:rPr>
          <w:rFonts w:hint="eastAsia" w:eastAsia="方正仿宋_GBK"/>
          <w:color w:val="000000"/>
          <w:spacing w:val="-4"/>
          <w:kern w:val="0"/>
          <w:sz w:val="24"/>
        </w:rPr>
        <w:t>本实施细则由省住房和城乡建设厅负责解释。</w:t>
      </w:r>
    </w:p>
    <w:p>
      <w:pPr>
        <w:spacing w:line="460" w:lineRule="exact"/>
        <w:ind w:firstLine="482" w:firstLineChars="200"/>
        <w:rPr>
          <w:rFonts w:eastAsia="方正仿宋_GBK"/>
          <w:color w:val="000000"/>
          <w:kern w:val="0"/>
          <w:sz w:val="24"/>
        </w:rPr>
      </w:pPr>
      <w:r>
        <w:rPr>
          <w:rFonts w:eastAsia="方正仿宋_GBK"/>
          <w:b/>
          <w:bCs/>
          <w:smallCaps/>
          <w:color w:val="000000"/>
          <w:kern w:val="0"/>
          <w:sz w:val="24"/>
        </w:rPr>
        <w:t xml:space="preserve"> </w:t>
      </w:r>
      <w:bookmarkStart w:id="385" w:name="31"/>
      <w:bookmarkEnd w:id="385"/>
    </w:p>
    <w:p>
      <w:pPr>
        <w:spacing w:line="460" w:lineRule="exact"/>
        <w:ind w:firstLine="480" w:firstLineChars="200"/>
        <w:rPr>
          <w:rFonts w:eastAsia="方正仿宋_GBK"/>
          <w:color w:val="000000"/>
          <w:sz w:val="24"/>
        </w:rPr>
      </w:pPr>
    </w:p>
    <w:p>
      <w:pPr>
        <w:spacing w:line="460" w:lineRule="exact"/>
        <w:ind w:firstLine="480" w:firstLineChars="200"/>
        <w:jc w:val="center"/>
        <w:rPr>
          <w:rFonts w:eastAsia="方正仿宋_GBK"/>
          <w:color w:val="000000"/>
          <w:sz w:val="24"/>
        </w:rPr>
      </w:pPr>
    </w:p>
    <w:p>
      <w:pPr>
        <w:spacing w:line="460" w:lineRule="exact"/>
        <w:ind w:firstLine="480" w:firstLineChars="200"/>
        <w:jc w:val="center"/>
        <w:rPr>
          <w:rFonts w:eastAsia="方正仿宋_GBK"/>
          <w:color w:val="000000"/>
          <w:sz w:val="24"/>
        </w:rPr>
      </w:pPr>
    </w:p>
    <w:p>
      <w:pPr>
        <w:spacing w:line="460" w:lineRule="exact"/>
        <w:ind w:firstLine="480" w:firstLineChars="200"/>
        <w:jc w:val="center"/>
        <w:rPr>
          <w:rFonts w:eastAsia="方正仿宋_GBK"/>
          <w:color w:val="000000"/>
          <w:sz w:val="24"/>
        </w:rPr>
      </w:pPr>
    </w:p>
    <w:p>
      <w:pPr>
        <w:spacing w:line="460" w:lineRule="exact"/>
        <w:rPr>
          <w:rFonts w:eastAsia="方正仿宋_GBK"/>
          <w:color w:val="000000"/>
          <w:sz w:val="24"/>
        </w:rPr>
      </w:pPr>
    </w:p>
    <w:p>
      <w:pPr>
        <w:spacing w:line="460" w:lineRule="exact"/>
        <w:rPr>
          <w:rFonts w:eastAsia="方正仿宋_GBK"/>
          <w:color w:val="000000"/>
          <w:sz w:val="24"/>
        </w:rPr>
      </w:pPr>
    </w:p>
    <w:p>
      <w:pPr>
        <w:spacing w:line="460" w:lineRule="exact"/>
        <w:rPr>
          <w:rFonts w:eastAsia="方正仿宋_GBK"/>
          <w:color w:val="000000"/>
          <w:sz w:val="24"/>
        </w:rPr>
      </w:pPr>
    </w:p>
    <w:p>
      <w:pPr>
        <w:spacing w:line="460" w:lineRule="exact"/>
        <w:rPr>
          <w:rFonts w:eastAsia="方正仿宋_GBK"/>
          <w:color w:val="000000"/>
          <w:sz w:val="24"/>
        </w:rPr>
      </w:pPr>
    </w:p>
    <w:p>
      <w:pPr>
        <w:spacing w:line="460" w:lineRule="exact"/>
        <w:rPr>
          <w:rFonts w:eastAsia="方正仿宋_GBK"/>
          <w:color w:val="000000"/>
          <w:sz w:val="24"/>
        </w:rPr>
      </w:pPr>
    </w:p>
    <w:p>
      <w:pPr>
        <w:spacing w:line="460" w:lineRule="exact"/>
        <w:rPr>
          <w:rFonts w:eastAsia="方正仿宋_GBK"/>
          <w:color w:val="000000"/>
          <w:sz w:val="24"/>
        </w:rPr>
      </w:pPr>
    </w:p>
    <w:p>
      <w:pPr>
        <w:spacing w:line="460" w:lineRule="exact"/>
        <w:rPr>
          <w:rFonts w:eastAsia="方正仿宋_GBK"/>
          <w:color w:val="000000"/>
          <w:sz w:val="24"/>
        </w:rPr>
      </w:pPr>
    </w:p>
    <w:p>
      <w:pPr>
        <w:spacing w:line="460" w:lineRule="exact"/>
        <w:rPr>
          <w:rFonts w:eastAsia="方正仿宋_GBK"/>
          <w:color w:val="000000"/>
          <w:sz w:val="24"/>
        </w:rPr>
      </w:pPr>
    </w:p>
    <w:p>
      <w:pPr>
        <w:spacing w:line="460" w:lineRule="exact"/>
        <w:rPr>
          <w:rFonts w:eastAsia="方正仿宋_GBK"/>
          <w:color w:val="000000"/>
          <w:sz w:val="24"/>
        </w:rPr>
      </w:pPr>
    </w:p>
    <w:p>
      <w:pPr>
        <w:spacing w:line="460" w:lineRule="exact"/>
        <w:rPr>
          <w:rFonts w:eastAsia="方正仿宋_GBK"/>
          <w:color w:val="000000"/>
          <w:sz w:val="24"/>
        </w:rPr>
      </w:pPr>
    </w:p>
    <w:p>
      <w:pPr>
        <w:spacing w:line="460" w:lineRule="exact"/>
        <w:rPr>
          <w:rFonts w:eastAsia="方正仿宋_GBK"/>
          <w:color w:val="000000"/>
          <w:sz w:val="24"/>
        </w:rPr>
      </w:pPr>
    </w:p>
    <w:p>
      <w:pPr>
        <w:spacing w:line="460" w:lineRule="exact"/>
        <w:rPr>
          <w:rFonts w:eastAsia="方正仿宋_GBK"/>
          <w:color w:val="000000"/>
          <w:sz w:val="24"/>
        </w:rPr>
      </w:pPr>
    </w:p>
    <w:p>
      <w:pPr>
        <w:spacing w:line="460" w:lineRule="exact"/>
        <w:rPr>
          <w:rFonts w:eastAsia="方正仿宋_GBK"/>
          <w:color w:val="000000"/>
          <w:sz w:val="24"/>
        </w:rPr>
      </w:pPr>
    </w:p>
    <w:p>
      <w:pPr>
        <w:spacing w:line="460" w:lineRule="exact"/>
        <w:rPr>
          <w:rFonts w:eastAsia="方正仿宋_GBK"/>
          <w:color w:val="000000"/>
          <w:sz w:val="24"/>
        </w:rPr>
      </w:pPr>
    </w:p>
    <w:p>
      <w:pPr>
        <w:spacing w:line="460" w:lineRule="exact"/>
        <w:rPr>
          <w:rFonts w:eastAsia="方正仿宋_GBK"/>
          <w:color w:val="000000"/>
          <w:sz w:val="24"/>
        </w:rPr>
      </w:pPr>
    </w:p>
    <w:p>
      <w:pPr>
        <w:spacing w:line="460" w:lineRule="exact"/>
        <w:rPr>
          <w:rFonts w:eastAsia="方正仿宋_GBK"/>
          <w:color w:val="000000"/>
          <w:sz w:val="24"/>
        </w:rPr>
      </w:pPr>
    </w:p>
    <w:p>
      <w:pPr>
        <w:pStyle w:val="2"/>
        <w:spacing w:before="240" w:beforeLines="100" w:after="240" w:afterLines="100" w:line="240" w:lineRule="auto"/>
        <w:jc w:val="center"/>
        <w:rPr>
          <w:rFonts w:ascii="Times New Roman" w:eastAsia="方正小标宋_GBK"/>
          <w:b w:val="0"/>
          <w:sz w:val="36"/>
          <w:szCs w:val="36"/>
        </w:rPr>
      </w:pPr>
      <w:bookmarkStart w:id="386" w:name="_Toc20726452"/>
      <w:bookmarkStart w:id="387" w:name="_Toc18315558"/>
      <w:r>
        <w:rPr>
          <w:rFonts w:hint="eastAsia" w:ascii="Times New Roman" w:eastAsia="方正小标宋_GBK"/>
          <w:b w:val="0"/>
          <w:sz w:val="36"/>
          <w:szCs w:val="36"/>
        </w:rPr>
        <w:t>关于加强我省建筑幕墙管理的通知</w:t>
      </w:r>
      <w:bookmarkEnd w:id="386"/>
      <w:bookmarkEnd w:id="387"/>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388" w:name="_Toc20726453"/>
      <w:bookmarkStart w:id="389" w:name="_Toc18315559"/>
      <w:r>
        <w:rPr>
          <w:rFonts w:hint="eastAsia" w:ascii="Times New Roman" w:hAnsi="Times New Roman" w:eastAsia="方正楷体_GBK"/>
          <w:b w:val="0"/>
          <w:sz w:val="24"/>
          <w:szCs w:val="24"/>
        </w:rPr>
        <w:t>苏建函科</w:t>
      </w:r>
      <w:r>
        <w:rPr>
          <w:rFonts w:ascii="Times New Roman" w:hAnsi="Times New Roman" w:eastAsia="方正楷体_GBK"/>
          <w:b w:val="0"/>
          <w:sz w:val="24"/>
          <w:szCs w:val="24"/>
        </w:rPr>
        <w:t xml:space="preserve"> </w:t>
      </w:r>
      <w:r>
        <w:rPr>
          <w:rFonts w:hint="eastAsia" w:ascii="Times New Roman" w:hAnsi="Times New Roman" w:eastAsia="方正楷体_GBK"/>
          <w:b w:val="0"/>
          <w:sz w:val="24"/>
          <w:szCs w:val="24"/>
        </w:rPr>
        <w:t>〔</w:t>
      </w:r>
      <w:r>
        <w:rPr>
          <w:rFonts w:ascii="Times New Roman" w:hAnsi="Times New Roman" w:eastAsia="方正楷体_GBK"/>
          <w:b w:val="0"/>
          <w:sz w:val="24"/>
          <w:szCs w:val="24"/>
        </w:rPr>
        <w:t>2012</w:t>
      </w:r>
      <w:r>
        <w:rPr>
          <w:rFonts w:hint="eastAsia" w:ascii="Times New Roman" w:hAnsi="Times New Roman" w:eastAsia="方正楷体_GBK"/>
          <w:b w:val="0"/>
          <w:sz w:val="24"/>
          <w:szCs w:val="24"/>
        </w:rPr>
        <w:t>〕</w:t>
      </w:r>
      <w:r>
        <w:rPr>
          <w:rFonts w:ascii="Times New Roman" w:hAnsi="Times New Roman" w:eastAsia="方正楷体_GBK"/>
          <w:b w:val="0"/>
          <w:sz w:val="24"/>
          <w:szCs w:val="24"/>
        </w:rPr>
        <w:t>386</w:t>
      </w:r>
      <w:r>
        <w:rPr>
          <w:rFonts w:hint="eastAsia" w:ascii="Times New Roman" w:hAnsi="Times New Roman" w:eastAsia="方正楷体_GBK"/>
          <w:b w:val="0"/>
          <w:sz w:val="24"/>
          <w:szCs w:val="24"/>
        </w:rPr>
        <w:t>号</w:t>
      </w:r>
      <w:bookmarkEnd w:id="388"/>
      <w:bookmarkEnd w:id="389"/>
    </w:p>
    <w:p>
      <w:pPr>
        <w:spacing w:line="460" w:lineRule="exact"/>
        <w:rPr>
          <w:rFonts w:eastAsia="方正仿宋_GBK"/>
          <w:color w:val="000000"/>
          <w:spacing w:val="-2"/>
          <w:sz w:val="24"/>
        </w:rPr>
      </w:pPr>
      <w:r>
        <w:rPr>
          <w:rFonts w:hint="eastAsia" w:eastAsia="方正仿宋_GBK"/>
          <w:color w:val="000000"/>
          <w:spacing w:val="-2"/>
          <w:sz w:val="24"/>
        </w:rPr>
        <w:t>各省辖市建设局（委）、规划局、房产局：</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上世纪八十年代以来，我省高层建筑和超高层建筑外饰面开始大量采用建筑玻璃幕墙（包括石材、金属板材等），然而由于部分建筑幕墙设计构造不合理，或存在施工质量问题，导致一些玻璃幕墙存在玻璃易碎、光污染、节能效果不佳等问题，加之部分建筑幕墙在施工和运行维护过程中监管不到位，在部分城市中陆续发生了玻璃幕墙玻璃自爆、脱落的事件，给市民生命财产造成损失，成为城市公共安全的隐患，也因此引起了社会广泛关注。</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为加强全省建筑幕墙安全管理，规范新建建筑的规划、设计、施工、检测和验收，特提出以下要求：</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一、加强建筑设计方案的规划审查。</w:t>
      </w:r>
      <w:r>
        <w:rPr>
          <w:rFonts w:hint="eastAsia" w:eastAsia="方正仿宋_GBK"/>
          <w:color w:val="000000"/>
          <w:spacing w:val="-2"/>
          <w:sz w:val="24"/>
        </w:rPr>
        <w:t>按照建筑节能、安全和光污染防治等要求，加强建筑立面设计的规划审查，合理控制建筑幕墙的面积、比例。</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二、加强建筑幕墙的施工图设计审查</w:t>
      </w:r>
      <w:r>
        <w:rPr>
          <w:rFonts w:hint="eastAsia" w:eastAsia="方正仿宋_GBK"/>
          <w:color w:val="000000"/>
          <w:spacing w:val="-2"/>
          <w:sz w:val="24"/>
        </w:rPr>
        <w:t>。严格对新建幕墙项目的审查，严禁采用全隐框玻璃幕墙设计；明框和半隐框玻璃幕墙外片玻璃应采用夹层玻璃、均质钢化玻璃或超白玻璃；外开启扇应有防玻璃脱落的构造措施。对石材幕墙应限制其应用高度，严禁建筑外墙石材采用湿贴工艺，无立柱干挂石材高度不得高于</w:t>
      </w:r>
      <w:r>
        <w:rPr>
          <w:rFonts w:eastAsia="方正仿宋_GBK"/>
          <w:color w:val="000000"/>
          <w:spacing w:val="-2"/>
          <w:sz w:val="24"/>
        </w:rPr>
        <w:t>30</w:t>
      </w:r>
      <w:r>
        <w:rPr>
          <w:rFonts w:hint="eastAsia" w:eastAsia="方正仿宋_GBK"/>
          <w:color w:val="000000"/>
          <w:spacing w:val="-2"/>
          <w:sz w:val="24"/>
        </w:rPr>
        <w:t>米。各地施工图设计审查机构应依据国家和我省有关建筑幕墙的技术标准、规程和有关规定，对建筑幕墙进行专项设计审查，对玻璃幕墙应重点审查其构成材料（型材、玻璃、石材、金属板材、人造板材、建筑密封材料等），结构设计、节点构造设计，以及抗风压、气密、水密、平面位移、抗震、保温（热工性能）、隔声、防火、防雷等性能。对在城市闹市区或者在人流密集区采用玻璃幕墙的，应进行环境影响评价，并应限制其幕墙面积，同时还应考虑有效遮挡措施或者设计建立绿化隔离带。从严控制建造异型、大板块玻璃幕墙建筑，确实因城市建设需要采用超高超大超限建筑幕墙的，必须通过由当地省辖市建设主管部门组织的技术方案论证。未经过施工图设计审查机构审查通过的建筑幕墙工程不得进行施工。</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三、加强建筑幕墙的施工安装的监管</w:t>
      </w:r>
      <w:r>
        <w:rPr>
          <w:rFonts w:hint="eastAsia" w:eastAsia="方正仿宋_GBK"/>
          <w:color w:val="000000"/>
          <w:spacing w:val="-2"/>
          <w:sz w:val="24"/>
        </w:rPr>
        <w:t>。施工单位应当具有相应等级的资质，不得超越范围承揽业务。新建建筑幕墙工程质量实行施工单位质量终身负责制。幕墙安装前施工单位应当委托有资质的检测机构进行结构胶相容性检测，以及幕墙气密性能、水密性能、抗风压性能、平面内变形性能和热工性能检测。工程监理单位应严格按照《建筑幕墙工程质量验收规程》</w:t>
      </w:r>
      <w:r>
        <w:rPr>
          <w:rFonts w:eastAsia="方正仿宋_GBK"/>
          <w:color w:val="000000"/>
          <w:spacing w:val="-2"/>
          <w:sz w:val="24"/>
        </w:rPr>
        <w:t>DGJ32/J124-2011</w:t>
      </w:r>
      <w:r>
        <w:rPr>
          <w:rFonts w:hint="eastAsia" w:eastAsia="方正仿宋_GBK"/>
          <w:color w:val="000000"/>
          <w:spacing w:val="-2"/>
          <w:sz w:val="24"/>
        </w:rPr>
        <w:t>进行检查验收，验收不合格的幕墙工程严禁投入使用。工程质量监督机构应加强监督抽查，对存在的问题要及时责令整改。</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四、加强建筑幕墙使用的管理</w:t>
      </w:r>
      <w:r>
        <w:rPr>
          <w:rFonts w:hint="eastAsia" w:eastAsia="方正仿宋_GBK"/>
          <w:color w:val="000000"/>
          <w:spacing w:val="-2"/>
          <w:sz w:val="24"/>
        </w:rPr>
        <w:t>。既有建筑幕墙的安全维护实行业主负责制。建筑幕墙工程竣工验收合格后，产权单位应当每五年组织一次安全隐患排查；幕墙使用期满十年后的半年内及以后的每三年，应当委托有资质的检测机构对幕墙工程进行安全性能检查和评估。</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五、加强建筑幕墙新工艺新技术的研发</w:t>
      </w:r>
      <w:r>
        <w:rPr>
          <w:rFonts w:hint="eastAsia" w:eastAsia="方正仿宋_GBK"/>
          <w:color w:val="000000"/>
          <w:spacing w:val="-2"/>
          <w:sz w:val="24"/>
        </w:rPr>
        <w:t>。要研究开发新型建筑幕墙结构体系，提高幕墙玻璃的安全性能、热工性能和结构密封胶等产品的耐久性。对新型建筑幕墙，如无国家标准的，应按规定由省级建设主管部门组织专家论证，并完善相关产品标准和施工技术规程。</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六、建立建筑幕墙专项维修资金</w:t>
      </w:r>
      <w:r>
        <w:rPr>
          <w:rFonts w:hint="eastAsia" w:eastAsia="方正仿宋_GBK"/>
          <w:color w:val="000000"/>
          <w:spacing w:val="-2"/>
          <w:sz w:val="24"/>
        </w:rPr>
        <w:t>。建筑幕墙专项维护资金用于建筑幕墙的检测、维修和更新，应由业主承担。业主应将幕墙专项维护资金列入年度财务计划，并保证资金来源。玻璃幕墙维修、改造应委托有相应资质的专业幕墙公司进行。</w:t>
      </w:r>
    </w:p>
    <w:p>
      <w:pPr>
        <w:spacing w:line="460" w:lineRule="exact"/>
        <w:rPr>
          <w:rFonts w:eastAsia="方正仿宋_GBK"/>
          <w:color w:val="000000"/>
          <w:spacing w:val="-2"/>
          <w:sz w:val="24"/>
        </w:rPr>
      </w:pPr>
    </w:p>
    <w:p>
      <w:pPr>
        <w:wordWrap w:val="0"/>
        <w:spacing w:line="460" w:lineRule="exact"/>
        <w:ind w:left="283" w:right="437" w:rightChars="208" w:hanging="283" w:hangingChars="120"/>
        <w:jc w:val="right"/>
        <w:rPr>
          <w:rFonts w:eastAsia="方正仿宋_GBK"/>
          <w:color w:val="000000"/>
          <w:spacing w:val="-2"/>
          <w:sz w:val="24"/>
        </w:rPr>
      </w:pPr>
      <w:r>
        <w:rPr>
          <w:rFonts w:hint="eastAsia" w:eastAsia="方正仿宋_GBK"/>
          <w:color w:val="000000"/>
          <w:spacing w:val="-2"/>
          <w:sz w:val="24"/>
        </w:rPr>
        <w:t>江苏省住房和城乡建设厅</w:t>
      </w:r>
    </w:p>
    <w:p>
      <w:pPr>
        <w:wordWrap w:val="0"/>
        <w:spacing w:line="460" w:lineRule="exact"/>
        <w:ind w:right="617" w:rightChars="294"/>
        <w:jc w:val="right"/>
        <w:rPr>
          <w:rFonts w:eastAsia="方正仿宋_GBK"/>
          <w:color w:val="000000"/>
          <w:spacing w:val="-2"/>
          <w:sz w:val="24"/>
        </w:rPr>
      </w:pPr>
      <w:r>
        <w:rPr>
          <w:rFonts w:hint="eastAsia" w:eastAsia="方正仿宋_GBK"/>
          <w:color w:val="000000"/>
          <w:spacing w:val="-2"/>
          <w:sz w:val="24"/>
        </w:rPr>
        <w:t>二</w:t>
      </w:r>
      <w:r>
        <w:rPr>
          <w:rFonts w:hint="eastAsia" w:eastAsia="方正仿宋_GBK"/>
          <w:bCs/>
          <w:snapToGrid w:val="0"/>
          <w:color w:val="000000"/>
          <w:spacing w:val="-2"/>
          <w:kern w:val="0"/>
          <w:sz w:val="24"/>
        </w:rPr>
        <w:t>○</w:t>
      </w:r>
      <w:r>
        <w:rPr>
          <w:rFonts w:hint="eastAsia" w:eastAsia="方正仿宋_GBK"/>
          <w:color w:val="000000"/>
          <w:spacing w:val="-2"/>
          <w:sz w:val="24"/>
        </w:rPr>
        <w:t>一二年六月八日</w:t>
      </w:r>
      <w:r>
        <w:rPr>
          <w:rFonts w:eastAsia="方正仿宋_GBK"/>
          <w:color w:val="000000"/>
          <w:spacing w:val="-2"/>
          <w:sz w:val="24"/>
        </w:rPr>
        <w:t xml:space="preserve"> </w:t>
      </w:r>
    </w:p>
    <w:p>
      <w:pPr>
        <w:spacing w:line="460" w:lineRule="exact"/>
        <w:rPr>
          <w:rFonts w:eastAsia="方正仿宋_GBK"/>
          <w:color w:val="000000"/>
          <w:spacing w:val="-2"/>
          <w:sz w:val="24"/>
        </w:rPr>
      </w:pPr>
    </w:p>
    <w:p>
      <w:pPr>
        <w:autoSpaceDE w:val="0"/>
        <w:autoSpaceDN w:val="0"/>
        <w:snapToGrid w:val="0"/>
        <w:spacing w:line="400" w:lineRule="exact"/>
        <w:ind w:right="-22"/>
        <w:rPr>
          <w:rFonts w:eastAsia="方正仿宋_GBK"/>
          <w:color w:val="000000"/>
          <w:spacing w:val="-2"/>
          <w:szCs w:val="21"/>
        </w:rPr>
      </w:pPr>
    </w:p>
    <w:p>
      <w:pPr>
        <w:autoSpaceDE w:val="0"/>
        <w:autoSpaceDN w:val="0"/>
        <w:snapToGrid w:val="0"/>
        <w:spacing w:line="400" w:lineRule="exact"/>
        <w:ind w:right="-22"/>
        <w:rPr>
          <w:rFonts w:eastAsia="方正仿宋_GBK"/>
          <w:color w:val="000000"/>
          <w:spacing w:val="-2"/>
          <w:szCs w:val="21"/>
        </w:rPr>
      </w:pPr>
    </w:p>
    <w:p>
      <w:pPr>
        <w:autoSpaceDE w:val="0"/>
        <w:autoSpaceDN w:val="0"/>
        <w:snapToGrid w:val="0"/>
        <w:spacing w:line="400" w:lineRule="exact"/>
        <w:ind w:right="-22"/>
        <w:rPr>
          <w:rFonts w:eastAsia="方正仿宋_GBK"/>
          <w:color w:val="000000"/>
          <w:spacing w:val="-2"/>
          <w:szCs w:val="21"/>
        </w:rPr>
      </w:pPr>
    </w:p>
    <w:p>
      <w:pPr>
        <w:autoSpaceDE w:val="0"/>
        <w:autoSpaceDN w:val="0"/>
        <w:snapToGrid w:val="0"/>
        <w:spacing w:line="400" w:lineRule="exact"/>
        <w:ind w:right="-22"/>
        <w:rPr>
          <w:rFonts w:eastAsia="方正仿宋_GBK"/>
          <w:color w:val="000000"/>
          <w:spacing w:val="-2"/>
          <w:szCs w:val="21"/>
        </w:rPr>
      </w:pPr>
    </w:p>
    <w:p>
      <w:pPr>
        <w:autoSpaceDE w:val="0"/>
        <w:autoSpaceDN w:val="0"/>
        <w:snapToGrid w:val="0"/>
        <w:spacing w:line="400" w:lineRule="exact"/>
        <w:ind w:right="-22"/>
        <w:rPr>
          <w:rFonts w:eastAsia="方正仿宋_GBK"/>
          <w:color w:val="000000"/>
          <w:spacing w:val="-2"/>
          <w:szCs w:val="21"/>
        </w:rPr>
      </w:pPr>
    </w:p>
    <w:p>
      <w:pPr>
        <w:autoSpaceDE w:val="0"/>
        <w:autoSpaceDN w:val="0"/>
        <w:snapToGrid w:val="0"/>
        <w:spacing w:line="400" w:lineRule="exact"/>
        <w:ind w:right="-22"/>
        <w:rPr>
          <w:rFonts w:eastAsia="方正仿宋_GBK"/>
          <w:color w:val="000000"/>
          <w:spacing w:val="-2"/>
          <w:szCs w:val="21"/>
        </w:rPr>
      </w:pPr>
    </w:p>
    <w:p>
      <w:pPr>
        <w:autoSpaceDE w:val="0"/>
        <w:autoSpaceDN w:val="0"/>
        <w:snapToGrid w:val="0"/>
        <w:spacing w:line="400" w:lineRule="exact"/>
        <w:ind w:right="-22"/>
        <w:rPr>
          <w:rFonts w:eastAsia="方正仿宋_GBK"/>
          <w:color w:val="000000"/>
          <w:spacing w:val="-2"/>
          <w:szCs w:val="21"/>
        </w:rPr>
      </w:pPr>
    </w:p>
    <w:p>
      <w:pPr>
        <w:autoSpaceDE w:val="0"/>
        <w:autoSpaceDN w:val="0"/>
        <w:snapToGrid w:val="0"/>
        <w:spacing w:line="400" w:lineRule="exact"/>
        <w:ind w:right="-22"/>
        <w:rPr>
          <w:rFonts w:eastAsia="方正仿宋_GBK"/>
          <w:color w:val="000000"/>
          <w:spacing w:val="-2"/>
          <w:szCs w:val="21"/>
        </w:rPr>
      </w:pPr>
    </w:p>
    <w:p>
      <w:pPr>
        <w:autoSpaceDE w:val="0"/>
        <w:autoSpaceDN w:val="0"/>
        <w:snapToGrid w:val="0"/>
        <w:spacing w:line="400" w:lineRule="exact"/>
        <w:ind w:right="-22"/>
        <w:rPr>
          <w:rFonts w:eastAsia="方正仿宋_GBK"/>
          <w:color w:val="000000"/>
          <w:spacing w:val="-2"/>
          <w:szCs w:val="21"/>
        </w:rPr>
      </w:pPr>
    </w:p>
    <w:p>
      <w:pPr>
        <w:pStyle w:val="2"/>
        <w:spacing w:before="240" w:beforeLines="100" w:after="240" w:afterLines="100" w:line="240" w:lineRule="auto"/>
        <w:jc w:val="center"/>
        <w:rPr>
          <w:rFonts w:ascii="Times New Roman" w:eastAsia="方正小标宋_GBK"/>
          <w:b w:val="0"/>
          <w:sz w:val="36"/>
          <w:szCs w:val="36"/>
        </w:rPr>
      </w:pPr>
      <w:bookmarkStart w:id="390" w:name="_Toc20726454"/>
      <w:bookmarkStart w:id="391" w:name="_Toc18315560"/>
      <w:r>
        <w:rPr>
          <w:rFonts w:hint="eastAsia" w:ascii="Times New Roman" w:eastAsia="方正小标宋_GBK"/>
          <w:b w:val="0"/>
          <w:sz w:val="36"/>
          <w:szCs w:val="36"/>
        </w:rPr>
        <w:t>关于加快应用高强钢筋的实施意见</w:t>
      </w:r>
      <w:bookmarkEnd w:id="390"/>
      <w:bookmarkEnd w:id="391"/>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392" w:name="_Toc20726455"/>
      <w:bookmarkStart w:id="393" w:name="_Toc18315561"/>
      <w:r>
        <w:rPr>
          <w:rFonts w:hint="eastAsia" w:ascii="Times New Roman" w:hAnsi="Times New Roman" w:eastAsia="方正楷体_GBK"/>
          <w:b w:val="0"/>
          <w:sz w:val="24"/>
          <w:szCs w:val="24"/>
        </w:rPr>
        <w:t>苏建函科〔</w:t>
      </w:r>
      <w:r>
        <w:rPr>
          <w:rFonts w:ascii="Times New Roman" w:hAnsi="Times New Roman" w:eastAsia="方正楷体_GBK"/>
          <w:b w:val="0"/>
          <w:sz w:val="24"/>
          <w:szCs w:val="24"/>
        </w:rPr>
        <w:t>2012</w:t>
      </w:r>
      <w:r>
        <w:rPr>
          <w:rFonts w:hint="eastAsia" w:ascii="Times New Roman" w:hAnsi="Times New Roman" w:eastAsia="方正楷体_GBK"/>
          <w:b w:val="0"/>
          <w:sz w:val="24"/>
          <w:szCs w:val="24"/>
        </w:rPr>
        <w:t>〕</w:t>
      </w:r>
      <w:r>
        <w:rPr>
          <w:rFonts w:ascii="Times New Roman" w:hAnsi="Times New Roman" w:eastAsia="方正楷体_GBK"/>
          <w:b w:val="0"/>
          <w:sz w:val="24"/>
          <w:szCs w:val="24"/>
        </w:rPr>
        <w:t>426</w:t>
      </w:r>
      <w:r>
        <w:rPr>
          <w:rFonts w:hint="eastAsia" w:ascii="Times New Roman" w:hAnsi="Times New Roman" w:eastAsia="方正楷体_GBK"/>
          <w:b w:val="0"/>
          <w:sz w:val="24"/>
          <w:szCs w:val="24"/>
        </w:rPr>
        <w:t>号</w:t>
      </w:r>
      <w:bookmarkEnd w:id="392"/>
      <w:bookmarkEnd w:id="393"/>
    </w:p>
    <w:p>
      <w:pPr>
        <w:spacing w:line="460" w:lineRule="exact"/>
        <w:rPr>
          <w:rFonts w:eastAsia="方正仿宋_GBK"/>
          <w:color w:val="000000"/>
          <w:spacing w:val="-2"/>
          <w:sz w:val="24"/>
        </w:rPr>
      </w:pPr>
      <w:r>
        <w:rPr>
          <w:rFonts w:hint="eastAsia" w:eastAsia="方正仿宋_GBK"/>
          <w:color w:val="000000"/>
          <w:spacing w:val="-2"/>
          <w:sz w:val="24"/>
        </w:rPr>
        <w:t>各省辖市住房和城乡建设局（委）、经济和信息化委员会、质量技术监督局，有关单位：</w:t>
      </w:r>
    </w:p>
    <w:p>
      <w:pPr>
        <w:spacing w:line="460" w:lineRule="exact"/>
        <w:rPr>
          <w:rFonts w:eastAsia="方正仿宋_GBK"/>
          <w:color w:val="000000"/>
          <w:spacing w:val="-2"/>
          <w:sz w:val="24"/>
        </w:rPr>
      </w:pPr>
      <w:r>
        <w:rPr>
          <w:rFonts w:eastAsia="方正仿宋_GBK"/>
          <w:color w:val="000000"/>
          <w:spacing w:val="-2"/>
          <w:sz w:val="24"/>
        </w:rPr>
        <w:t xml:space="preserve">    </w:t>
      </w:r>
      <w:r>
        <w:rPr>
          <w:rFonts w:hint="eastAsia" w:eastAsia="方正仿宋_GBK"/>
          <w:color w:val="000000"/>
          <w:spacing w:val="-2"/>
          <w:sz w:val="24"/>
        </w:rPr>
        <w:t>高强钢筋是指抗拉屈服强度达到</w:t>
      </w:r>
      <w:r>
        <w:rPr>
          <w:rFonts w:eastAsia="方正仿宋_GBK"/>
          <w:color w:val="000000"/>
          <w:spacing w:val="-2"/>
          <w:sz w:val="24"/>
        </w:rPr>
        <w:t>400</w:t>
      </w:r>
      <w:r>
        <w:rPr>
          <w:rFonts w:hint="eastAsia" w:eastAsia="方正仿宋_GBK"/>
          <w:color w:val="000000"/>
          <w:spacing w:val="-2"/>
          <w:sz w:val="24"/>
        </w:rPr>
        <w:t>兆帕级及以上的螺纹钢筋，用高强钢筋替代目前大量使用的</w:t>
      </w:r>
      <w:r>
        <w:rPr>
          <w:rFonts w:eastAsia="方正仿宋_GBK"/>
          <w:color w:val="000000"/>
          <w:spacing w:val="-2"/>
          <w:sz w:val="24"/>
        </w:rPr>
        <w:t>335</w:t>
      </w:r>
      <w:r>
        <w:rPr>
          <w:rFonts w:hint="eastAsia" w:eastAsia="方正仿宋_GBK"/>
          <w:color w:val="000000"/>
          <w:spacing w:val="-2"/>
          <w:sz w:val="24"/>
        </w:rPr>
        <w:t>兆帕级螺纹钢筋，平均可节约钢材</w:t>
      </w:r>
      <w:r>
        <w:rPr>
          <w:rFonts w:eastAsia="方正仿宋_GBK"/>
          <w:color w:val="000000"/>
          <w:spacing w:val="-2"/>
          <w:sz w:val="24"/>
        </w:rPr>
        <w:t>12%</w:t>
      </w:r>
      <w:r>
        <w:rPr>
          <w:rFonts w:hint="eastAsia" w:eastAsia="方正仿宋_GBK"/>
          <w:color w:val="000000"/>
          <w:spacing w:val="-2"/>
          <w:sz w:val="24"/>
        </w:rPr>
        <w:t>以上。在建筑工程中大力推广应用节材节能的高强钢筋，是加快转变经济发展方式的有效途径，是建设资源节约型、环境友好型社会的重要举措。</w:t>
      </w:r>
      <w:r>
        <w:rPr>
          <w:rFonts w:eastAsia="方正仿宋_GBK"/>
          <w:color w:val="000000"/>
          <w:spacing w:val="-2"/>
          <w:sz w:val="24"/>
        </w:rPr>
        <w:t>“</w:t>
      </w:r>
      <w:r>
        <w:rPr>
          <w:rFonts w:hint="eastAsia" w:eastAsia="方正仿宋_GBK"/>
          <w:color w:val="000000"/>
          <w:spacing w:val="-2"/>
          <w:sz w:val="24"/>
        </w:rPr>
        <w:t>十一五</w:t>
      </w:r>
      <w:r>
        <w:rPr>
          <w:rFonts w:eastAsia="方正仿宋_GBK"/>
          <w:color w:val="000000"/>
          <w:spacing w:val="-2"/>
          <w:sz w:val="24"/>
        </w:rPr>
        <w:t>”</w:t>
      </w:r>
      <w:r>
        <w:rPr>
          <w:rFonts w:hint="eastAsia" w:eastAsia="方正仿宋_GBK"/>
          <w:color w:val="000000"/>
          <w:spacing w:val="-2"/>
          <w:sz w:val="24"/>
        </w:rPr>
        <w:t>末，全省</w:t>
      </w:r>
      <w:r>
        <w:rPr>
          <w:rFonts w:eastAsia="方正仿宋_GBK"/>
          <w:color w:val="000000"/>
          <w:spacing w:val="-2"/>
          <w:sz w:val="24"/>
        </w:rPr>
        <w:t>400</w:t>
      </w:r>
      <w:r>
        <w:rPr>
          <w:rFonts w:hint="eastAsia" w:eastAsia="方正仿宋_GBK"/>
          <w:color w:val="000000"/>
          <w:spacing w:val="-2"/>
          <w:sz w:val="24"/>
        </w:rPr>
        <w:t>兆帕级螺纹钢筋的应用率已达到</w:t>
      </w:r>
      <w:r>
        <w:rPr>
          <w:rFonts w:eastAsia="方正仿宋_GBK"/>
          <w:color w:val="000000"/>
          <w:spacing w:val="-2"/>
          <w:sz w:val="24"/>
        </w:rPr>
        <w:t>80%</w:t>
      </w:r>
      <w:r>
        <w:rPr>
          <w:rFonts w:hint="eastAsia" w:eastAsia="方正仿宋_GBK"/>
          <w:color w:val="000000"/>
          <w:spacing w:val="-2"/>
          <w:sz w:val="24"/>
        </w:rPr>
        <w:t>以上，高强钢筋的应用和生产水平居于全国前列。但是，与快速发展的建筑业对高强钢筋的使用要求和国家</w:t>
      </w:r>
      <w:r>
        <w:rPr>
          <w:rFonts w:eastAsia="方正仿宋_GBK"/>
          <w:color w:val="000000"/>
          <w:spacing w:val="-2"/>
          <w:sz w:val="24"/>
        </w:rPr>
        <w:t>“</w:t>
      </w:r>
      <w:r>
        <w:rPr>
          <w:rFonts w:hint="eastAsia" w:eastAsia="方正仿宋_GBK"/>
          <w:color w:val="000000"/>
          <w:spacing w:val="-2"/>
          <w:sz w:val="24"/>
        </w:rPr>
        <w:t>十二五</w:t>
      </w:r>
      <w:r>
        <w:rPr>
          <w:rFonts w:eastAsia="方正仿宋_GBK"/>
          <w:color w:val="000000"/>
          <w:spacing w:val="-2"/>
          <w:sz w:val="24"/>
        </w:rPr>
        <w:t>”</w:t>
      </w:r>
      <w:r>
        <w:rPr>
          <w:rFonts w:hint="eastAsia" w:eastAsia="方正仿宋_GBK"/>
          <w:color w:val="000000"/>
          <w:spacing w:val="-2"/>
          <w:sz w:val="24"/>
        </w:rPr>
        <w:t>节能减排需要相比，</w:t>
      </w:r>
      <w:r>
        <w:rPr>
          <w:rFonts w:eastAsia="方正仿宋_GBK"/>
          <w:color w:val="000000"/>
          <w:spacing w:val="-2"/>
          <w:sz w:val="24"/>
        </w:rPr>
        <w:t>500</w:t>
      </w:r>
      <w:r>
        <w:rPr>
          <w:rFonts w:hint="eastAsia" w:eastAsia="方正仿宋_GBK"/>
          <w:color w:val="000000"/>
          <w:spacing w:val="-2"/>
          <w:sz w:val="24"/>
        </w:rPr>
        <w:t>兆帕级以上高强钢筋的生产和应用技术水平有待提高，高强钢筋的推广应用工作需要进一步加强。为贯彻《住房和城乡建设部</w:t>
      </w:r>
      <w:r>
        <w:rPr>
          <w:rFonts w:eastAsia="方正仿宋_GBK"/>
          <w:color w:val="000000"/>
          <w:spacing w:val="-2"/>
          <w:sz w:val="24"/>
        </w:rPr>
        <w:t xml:space="preserve"> </w:t>
      </w:r>
      <w:r>
        <w:rPr>
          <w:rFonts w:hint="eastAsia" w:eastAsia="方正仿宋_GBK"/>
          <w:color w:val="000000"/>
          <w:spacing w:val="-2"/>
          <w:sz w:val="24"/>
        </w:rPr>
        <w:t>工业和信息化部关于加快应用高强钢筋的指导意见》（建标〔</w:t>
      </w:r>
      <w:r>
        <w:rPr>
          <w:rFonts w:eastAsia="方正仿宋_GBK"/>
          <w:color w:val="000000"/>
          <w:spacing w:val="-2"/>
          <w:sz w:val="24"/>
        </w:rPr>
        <w:t>2012</w:t>
      </w:r>
      <w:r>
        <w:rPr>
          <w:rFonts w:hint="eastAsia" w:eastAsia="方正仿宋_GBK"/>
          <w:color w:val="000000"/>
          <w:spacing w:val="-2"/>
          <w:sz w:val="24"/>
        </w:rPr>
        <w:t>〕</w:t>
      </w:r>
      <w:r>
        <w:rPr>
          <w:rFonts w:eastAsia="方正仿宋_GBK"/>
          <w:color w:val="000000"/>
          <w:spacing w:val="-2"/>
          <w:sz w:val="24"/>
        </w:rPr>
        <w:t>1</w:t>
      </w:r>
      <w:r>
        <w:rPr>
          <w:rFonts w:hint="eastAsia" w:eastAsia="方正仿宋_GBK"/>
          <w:color w:val="000000"/>
          <w:spacing w:val="-2"/>
          <w:sz w:val="24"/>
        </w:rPr>
        <w:t>号），加快高强钢筋的应用，推动钢铁工业和建筑业的结构调整、转型升级，现结合我省实际，提出如下实施意见：</w:t>
      </w:r>
    </w:p>
    <w:p>
      <w:pPr>
        <w:spacing w:line="460" w:lineRule="exact"/>
        <w:rPr>
          <w:rFonts w:ascii="Times New Roman" w:eastAsia="方正黑体_GBK"/>
          <w:color w:val="000000"/>
          <w:spacing w:val="-2"/>
          <w:sz w:val="24"/>
        </w:rPr>
      </w:pPr>
      <w:r>
        <w:rPr>
          <w:rFonts w:hint="eastAsia" w:ascii="Times New Roman" w:eastAsia="方正黑体_GBK"/>
          <w:color w:val="000000"/>
          <w:spacing w:val="-2"/>
          <w:sz w:val="24"/>
        </w:rPr>
        <w:t xml:space="preserve">    一、明确指导思想和工作目标</w:t>
      </w:r>
    </w:p>
    <w:p>
      <w:pPr>
        <w:spacing w:line="460" w:lineRule="exact"/>
        <w:ind w:firstLine="420"/>
        <w:rPr>
          <w:rFonts w:hint="eastAsia" w:eastAsia="方正仿宋_GBK"/>
          <w:color w:val="000000"/>
          <w:spacing w:val="-2"/>
          <w:sz w:val="24"/>
        </w:rPr>
      </w:pPr>
      <w:r>
        <w:rPr>
          <w:rFonts w:eastAsia="方正仿宋_GBK"/>
          <w:color w:val="000000"/>
          <w:spacing w:val="-2"/>
          <w:sz w:val="24"/>
        </w:rPr>
        <w:t xml:space="preserve"> </w:t>
      </w:r>
      <w:r>
        <w:rPr>
          <w:rFonts w:hint="eastAsia" w:eastAsia="方正仿宋_GBK"/>
          <w:color w:val="000000"/>
          <w:spacing w:val="-2"/>
          <w:sz w:val="24"/>
        </w:rPr>
        <w:t>认真贯彻国家有关政策、标准，遵循政策引导、行业服务、技术支撑、典型示范、市场配置和供需平衡等基本原则，完善政策和标准配套，优化建筑钢筋生产、使用品种和结构，创新应用建筑高强钢筋工作机制，实现钢铁行业与建筑业的技术进步和节材、节能，促进建筑钢筋使用的减量化，提高资源使用效率。</w:t>
      </w:r>
      <w:r>
        <w:rPr>
          <w:rFonts w:eastAsia="方正仿宋_GBK"/>
          <w:color w:val="000000"/>
          <w:spacing w:val="-2"/>
          <w:sz w:val="24"/>
        </w:rPr>
        <w:t>2012</w:t>
      </w:r>
      <w:r>
        <w:rPr>
          <w:rFonts w:hint="eastAsia" w:eastAsia="方正仿宋_GBK"/>
          <w:color w:val="000000"/>
          <w:spacing w:val="-2"/>
          <w:sz w:val="24"/>
        </w:rPr>
        <w:t>年起，我省将重点推广应用</w:t>
      </w:r>
      <w:r>
        <w:rPr>
          <w:rFonts w:eastAsia="方正仿宋_GBK"/>
          <w:color w:val="000000"/>
          <w:spacing w:val="-2"/>
          <w:sz w:val="24"/>
        </w:rPr>
        <w:t>500</w:t>
      </w:r>
      <w:r>
        <w:rPr>
          <w:rFonts w:hint="eastAsia" w:eastAsia="方正仿宋_GBK"/>
          <w:color w:val="000000"/>
          <w:spacing w:val="-2"/>
          <w:sz w:val="24"/>
        </w:rPr>
        <w:t>兆帕级及以上高强螺纹钢筋，其中，省会城市和苏南地级市应率先采用</w:t>
      </w:r>
      <w:r>
        <w:rPr>
          <w:rFonts w:eastAsia="方正仿宋_GBK"/>
          <w:color w:val="000000"/>
          <w:spacing w:val="-2"/>
          <w:sz w:val="24"/>
        </w:rPr>
        <w:t>500</w:t>
      </w:r>
      <w:r>
        <w:rPr>
          <w:rFonts w:hint="eastAsia" w:eastAsia="方正仿宋_GBK"/>
          <w:color w:val="000000"/>
          <w:spacing w:val="-2"/>
          <w:sz w:val="24"/>
        </w:rPr>
        <w:t>兆帕级及以上高强螺纹钢筋，苏中、苏北地级市中应积极推广</w:t>
      </w:r>
      <w:r>
        <w:rPr>
          <w:rFonts w:eastAsia="方正仿宋_GBK"/>
          <w:color w:val="000000"/>
          <w:spacing w:val="-2"/>
          <w:sz w:val="24"/>
        </w:rPr>
        <w:t>500</w:t>
      </w:r>
      <w:r>
        <w:rPr>
          <w:rFonts w:hint="eastAsia" w:eastAsia="方正仿宋_GBK"/>
          <w:color w:val="000000"/>
          <w:spacing w:val="-2"/>
          <w:sz w:val="24"/>
        </w:rPr>
        <w:t>兆帕级及以上高强螺纹钢筋，有条件的县级城市也应采用</w:t>
      </w:r>
      <w:r>
        <w:rPr>
          <w:rFonts w:eastAsia="方正仿宋_GBK"/>
          <w:color w:val="000000"/>
          <w:spacing w:val="-2"/>
          <w:sz w:val="24"/>
        </w:rPr>
        <w:t>500</w:t>
      </w:r>
      <w:r>
        <w:rPr>
          <w:rFonts w:hint="eastAsia" w:eastAsia="方正仿宋_GBK"/>
          <w:color w:val="000000"/>
          <w:spacing w:val="-2"/>
          <w:sz w:val="24"/>
        </w:rPr>
        <w:t>兆帕级及以上高强螺纹钢筋。</w:t>
      </w:r>
      <w:r>
        <w:rPr>
          <w:rFonts w:eastAsia="方正仿宋_GBK"/>
          <w:color w:val="000000"/>
          <w:spacing w:val="-2"/>
          <w:sz w:val="24"/>
        </w:rPr>
        <w:t>2012</w:t>
      </w:r>
      <w:r>
        <w:rPr>
          <w:rFonts w:hint="eastAsia" w:eastAsia="方正仿宋_GBK"/>
          <w:color w:val="000000"/>
          <w:spacing w:val="-2"/>
          <w:sz w:val="24"/>
        </w:rPr>
        <w:t>年底，在我省建筑工程中淘汰</w:t>
      </w:r>
      <w:r>
        <w:rPr>
          <w:rFonts w:eastAsia="方正仿宋_GBK"/>
          <w:color w:val="000000"/>
          <w:spacing w:val="-2"/>
          <w:sz w:val="24"/>
        </w:rPr>
        <w:t>335</w:t>
      </w:r>
      <w:r>
        <w:rPr>
          <w:rFonts w:hint="eastAsia" w:eastAsia="方正仿宋_GBK"/>
          <w:color w:val="000000"/>
          <w:spacing w:val="-2"/>
          <w:sz w:val="24"/>
        </w:rPr>
        <w:t>兆帕级螺纹钢筋，全面应用</w:t>
      </w:r>
      <w:r>
        <w:rPr>
          <w:rFonts w:eastAsia="方正仿宋_GBK"/>
          <w:color w:val="000000"/>
          <w:spacing w:val="-2"/>
          <w:sz w:val="24"/>
        </w:rPr>
        <w:t>400</w:t>
      </w:r>
      <w:r>
        <w:rPr>
          <w:rFonts w:hint="eastAsia" w:eastAsia="方正仿宋_GBK"/>
          <w:color w:val="000000"/>
          <w:spacing w:val="-2"/>
          <w:sz w:val="24"/>
        </w:rPr>
        <w:t>兆帕级螺纹钢筋。在各级政府投资建设的公共建筑和保障性住房以及大型高层建筑，应优先采用</w:t>
      </w:r>
      <w:r>
        <w:rPr>
          <w:rFonts w:eastAsia="方正仿宋_GBK"/>
          <w:color w:val="000000"/>
          <w:spacing w:val="-2"/>
          <w:sz w:val="24"/>
        </w:rPr>
        <w:t>500</w:t>
      </w:r>
      <w:r>
        <w:rPr>
          <w:rFonts w:hint="eastAsia" w:eastAsia="方正仿宋_GBK"/>
          <w:color w:val="000000"/>
          <w:spacing w:val="-2"/>
          <w:sz w:val="24"/>
        </w:rPr>
        <w:t>兆帕级及以上高强螺纹钢筋，逐年提高</w:t>
      </w:r>
      <w:r>
        <w:rPr>
          <w:rFonts w:eastAsia="方正仿宋_GBK"/>
          <w:color w:val="000000"/>
          <w:spacing w:val="-2"/>
          <w:sz w:val="24"/>
        </w:rPr>
        <w:t>500</w:t>
      </w:r>
      <w:r>
        <w:rPr>
          <w:rFonts w:hint="eastAsia" w:eastAsia="方正仿宋_GBK"/>
          <w:color w:val="000000"/>
          <w:spacing w:val="-2"/>
          <w:sz w:val="24"/>
        </w:rPr>
        <w:t>兆帕级及以上高强螺纹钢筋的生产和使用比例。对于地震多发地区，重点应用高强屈比、均匀伸长率高的高强抗震钢筋。逐步推广应用</w:t>
      </w:r>
      <w:r>
        <w:rPr>
          <w:rFonts w:eastAsia="方正仿宋_GBK"/>
          <w:color w:val="000000"/>
          <w:spacing w:val="-2"/>
          <w:sz w:val="24"/>
        </w:rPr>
        <w:t>500</w:t>
      </w:r>
      <w:r>
        <w:rPr>
          <w:rFonts w:hint="eastAsia" w:eastAsia="方正仿宋_GBK"/>
          <w:color w:val="000000"/>
          <w:spacing w:val="-2"/>
          <w:sz w:val="24"/>
        </w:rPr>
        <w:t>兆帕级及以上的高强螺纹钢筋，到</w:t>
      </w:r>
      <w:r>
        <w:rPr>
          <w:rFonts w:eastAsia="方正仿宋_GBK"/>
          <w:color w:val="000000"/>
          <w:spacing w:val="-2"/>
          <w:sz w:val="24"/>
        </w:rPr>
        <w:t>2015</w:t>
      </w:r>
      <w:r>
        <w:rPr>
          <w:rFonts w:hint="eastAsia" w:eastAsia="方正仿宋_GBK"/>
          <w:color w:val="000000"/>
          <w:spacing w:val="-2"/>
          <w:sz w:val="24"/>
        </w:rPr>
        <w:t>年底，</w:t>
      </w:r>
      <w:r>
        <w:rPr>
          <w:rFonts w:eastAsia="方正仿宋_GBK"/>
          <w:color w:val="000000"/>
          <w:spacing w:val="-2"/>
          <w:sz w:val="24"/>
        </w:rPr>
        <w:t>500</w:t>
      </w:r>
      <w:r>
        <w:rPr>
          <w:rFonts w:hint="eastAsia" w:eastAsia="方正仿宋_GBK"/>
          <w:color w:val="000000"/>
          <w:spacing w:val="-2"/>
          <w:sz w:val="24"/>
        </w:rPr>
        <w:t>兆帕级及以上高强钢筋的产量占我省螺纹钢筋总产量的</w:t>
      </w:r>
      <w:r>
        <w:rPr>
          <w:rFonts w:eastAsia="方正仿宋_GBK"/>
          <w:color w:val="000000"/>
          <w:spacing w:val="-2"/>
          <w:sz w:val="24"/>
        </w:rPr>
        <w:t>25%</w:t>
      </w:r>
      <w:r>
        <w:rPr>
          <w:rFonts w:hint="eastAsia" w:eastAsia="方正仿宋_GBK"/>
          <w:color w:val="000000"/>
          <w:spacing w:val="-2"/>
          <w:sz w:val="24"/>
        </w:rPr>
        <w:t>，在建筑工程中使用量达到建筑用钢筋总量的</w:t>
      </w:r>
      <w:r>
        <w:rPr>
          <w:rFonts w:eastAsia="方正仿宋_GBK"/>
          <w:color w:val="000000"/>
          <w:spacing w:val="-2"/>
          <w:sz w:val="24"/>
        </w:rPr>
        <w:t>20%</w:t>
      </w:r>
      <w:r>
        <w:rPr>
          <w:rFonts w:hint="eastAsia" w:eastAsia="方正仿宋_GBK"/>
          <w:color w:val="000000"/>
          <w:spacing w:val="-2"/>
          <w:sz w:val="24"/>
        </w:rPr>
        <w:t>以上。</w:t>
      </w:r>
    </w:p>
    <w:p>
      <w:pPr>
        <w:spacing w:line="460" w:lineRule="exact"/>
        <w:rPr>
          <w:rFonts w:eastAsia="方正仿宋_GBK"/>
          <w:color w:val="000000"/>
          <w:spacing w:val="-2"/>
          <w:sz w:val="24"/>
        </w:rPr>
      </w:pPr>
      <w:r>
        <w:rPr>
          <w:rFonts w:eastAsia="方正仿宋_GBK"/>
          <w:color w:val="000000"/>
          <w:spacing w:val="-2"/>
          <w:sz w:val="24"/>
        </w:rPr>
        <w:t xml:space="preserve">  </w:t>
      </w:r>
      <w:r>
        <w:rPr>
          <w:rFonts w:hint="eastAsia" w:ascii="Times New Roman" w:eastAsia="方正黑体_GBK"/>
          <w:color w:val="000000"/>
          <w:spacing w:val="-2"/>
          <w:sz w:val="24"/>
        </w:rPr>
        <w:t xml:space="preserve">  二、建立职责明确的推进工作体系</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成立省高强钢筋推广应用协调领导小组，由省住房和城乡建设厅厅长、省经济和信息化委员会主任任组长，省有关部门分管领导为副组长，负责统一协调和组织推进高强钢筋的推广应用工作。领导小组下辖办公室，办公室成员由省有关部门分管处室处长组成，设在省住房和城乡建设厅。省住房和城乡建设厅作为牵头单位，负责制订全省高强钢筋推广应用的工作方案、配套政策和实施组织工作，具体抓好建筑领域的推广应用；省经济和信息化委员会负责高强钢筋的分类认证、生产供应、技术创新、钢筋产品的淘汰落后、产业政策审查和生产企业示范等工作；省质量技术监督局负责钢筋产品的许可证管理和质量监督管理。要统筹生产和使用环节，建立涵盖高强钢筋产品的研发、生产、加工，到工程的设计、审图、施工、检测、监理、监督、验收和定额等各个环节的协同工作机制，协调解决应用高强钢筋中的问题。</w:t>
      </w:r>
    </w:p>
    <w:p>
      <w:pPr>
        <w:spacing w:line="460" w:lineRule="exact"/>
        <w:rPr>
          <w:rFonts w:ascii="Times New Roman" w:eastAsia="方正黑体_GBK"/>
          <w:color w:val="000000"/>
          <w:spacing w:val="-2"/>
          <w:sz w:val="24"/>
        </w:rPr>
      </w:pPr>
      <w:r>
        <w:rPr>
          <w:rFonts w:hint="eastAsia" w:ascii="Times New Roman" w:eastAsia="方正黑体_GBK"/>
          <w:color w:val="000000"/>
          <w:spacing w:val="-2"/>
          <w:sz w:val="24"/>
        </w:rPr>
        <w:t xml:space="preserve">    三、制订配套的引导政策</w:t>
      </w:r>
    </w:p>
    <w:p>
      <w:pPr>
        <w:spacing w:line="460" w:lineRule="exact"/>
        <w:ind w:firstLine="472" w:firstLineChars="200"/>
        <w:rPr>
          <w:rFonts w:hint="eastAsia" w:eastAsia="方正仿宋_GBK"/>
          <w:color w:val="000000"/>
          <w:spacing w:val="-2"/>
          <w:sz w:val="24"/>
        </w:rPr>
      </w:pPr>
      <w:r>
        <w:rPr>
          <w:rFonts w:hint="eastAsia" w:eastAsia="方正仿宋_GBK"/>
          <w:color w:val="000000"/>
          <w:spacing w:val="-2"/>
          <w:sz w:val="24"/>
        </w:rPr>
        <w:t>省住房和城乡建设厅、省经信委会同有关部门研究制定相关扶持政策，将高强钢筋推广应用纳入节能减排、绿色建筑行动等工作中。在住房城乡建设领域开展的工程评奖、评定和示范项目以及钢铁行业相关产品评优活动中，将采用高强钢筋的情况作为参评或获奖的条件之一，鼓励建设单位、设计单位使用高强钢筋。对企业采用先进适用技术生产高强钢筋的技术改造项目、淘汰落后项目优先给予资金支持。开展产业政策审查，对不能按期淘汰</w:t>
      </w:r>
      <w:r>
        <w:rPr>
          <w:rFonts w:eastAsia="方正仿宋_GBK"/>
          <w:color w:val="000000"/>
          <w:spacing w:val="-2"/>
          <w:sz w:val="24"/>
        </w:rPr>
        <w:t>235</w:t>
      </w:r>
      <w:r>
        <w:rPr>
          <w:rFonts w:hint="eastAsia" w:eastAsia="方正仿宋_GBK"/>
          <w:color w:val="000000"/>
          <w:spacing w:val="-2"/>
          <w:sz w:val="24"/>
        </w:rPr>
        <w:t>兆帕级光圆钢筋、</w:t>
      </w:r>
      <w:r>
        <w:rPr>
          <w:rFonts w:eastAsia="方正仿宋_GBK"/>
          <w:color w:val="000000"/>
          <w:spacing w:val="-2"/>
          <w:sz w:val="24"/>
        </w:rPr>
        <w:t>335</w:t>
      </w:r>
      <w:r>
        <w:rPr>
          <w:rFonts w:hint="eastAsia" w:eastAsia="方正仿宋_GBK"/>
          <w:color w:val="000000"/>
          <w:spacing w:val="-2"/>
          <w:sz w:val="24"/>
        </w:rPr>
        <w:t>兆帕级螺纹钢筋的企业，将按《工业产品生产许可证注销管理规定》的规定程序，依法注销上述产品的生产许可证。设立专项资金，用于高强钢筋的技术研发、调查统计、宣传培训、产品分类认证等。对重点市场、重点工程使用的钢筋产品加强质量监测，定期予以公告。开展高强钢筋产品的分类认证，加强产品质量检测，严格按照规定对微合金化、超细晶粒、余热处理等不同工艺生产的钢筋进行认证和标识，保证产品质量，避免施工使用中的混淆，规范钢材市场。</w:t>
      </w:r>
    </w:p>
    <w:p>
      <w:pPr>
        <w:spacing w:line="460" w:lineRule="exact"/>
        <w:rPr>
          <w:rFonts w:ascii="Times New Roman" w:eastAsia="方正黑体_GBK"/>
          <w:color w:val="000000"/>
          <w:spacing w:val="-2"/>
          <w:sz w:val="24"/>
        </w:rPr>
      </w:pPr>
      <w:r>
        <w:rPr>
          <w:rFonts w:hint="eastAsia" w:ascii="Times New Roman" w:eastAsia="方正黑体_GBK"/>
          <w:color w:val="000000"/>
          <w:spacing w:val="-2"/>
          <w:sz w:val="24"/>
        </w:rPr>
        <w:t xml:space="preserve">    四、落实重点工作措施</w:t>
      </w:r>
    </w:p>
    <w:p>
      <w:pPr>
        <w:spacing w:line="460" w:lineRule="exact"/>
        <w:rPr>
          <w:rFonts w:hint="eastAsia" w:eastAsia="方正楷体_GBK"/>
          <w:color w:val="000000"/>
          <w:spacing w:val="-2"/>
          <w:sz w:val="24"/>
        </w:rPr>
      </w:pPr>
      <w:r>
        <w:rPr>
          <w:rFonts w:eastAsia="方正楷体_GBK"/>
          <w:color w:val="000000"/>
          <w:spacing w:val="-2"/>
          <w:sz w:val="24"/>
        </w:rPr>
        <w:t xml:space="preserve">    </w:t>
      </w:r>
      <w:r>
        <w:rPr>
          <w:rFonts w:hint="eastAsia" w:eastAsia="方正楷体_GBK"/>
          <w:color w:val="000000"/>
          <w:spacing w:val="-2"/>
          <w:sz w:val="24"/>
        </w:rPr>
        <w:t>（一）加强统计，全面掌握基本情况</w:t>
      </w:r>
    </w:p>
    <w:p>
      <w:pPr>
        <w:spacing w:line="460" w:lineRule="exact"/>
        <w:rPr>
          <w:rFonts w:eastAsia="方正仿宋_GBK"/>
          <w:color w:val="000000"/>
          <w:spacing w:val="-8"/>
          <w:sz w:val="24"/>
        </w:rPr>
      </w:pPr>
      <w:r>
        <w:rPr>
          <w:rFonts w:eastAsia="方正仿宋_GBK"/>
          <w:color w:val="000000"/>
          <w:spacing w:val="-2"/>
          <w:sz w:val="24"/>
        </w:rPr>
        <w:t xml:space="preserve">    </w:t>
      </w:r>
      <w:r>
        <w:rPr>
          <w:rFonts w:hint="eastAsia" w:eastAsia="方正仿宋_GBK"/>
          <w:color w:val="000000"/>
          <w:spacing w:val="-8"/>
          <w:sz w:val="24"/>
        </w:rPr>
        <w:t>组织开展高强钢筋生产情况调查，建立生产企业基本情况季度统计调查制度。组织开展应用情况调查，做好高强钢筋需求量分析预测，全面掌握全省钢筋生产和应用动态。</w:t>
      </w:r>
    </w:p>
    <w:p>
      <w:pPr>
        <w:spacing w:line="460" w:lineRule="exact"/>
        <w:ind w:firstLine="472" w:firstLineChars="200"/>
        <w:rPr>
          <w:rFonts w:eastAsia="方正楷体_GBK"/>
          <w:color w:val="000000"/>
          <w:spacing w:val="-2"/>
          <w:sz w:val="24"/>
        </w:rPr>
      </w:pPr>
      <w:r>
        <w:rPr>
          <w:rFonts w:hint="eastAsia" w:eastAsia="方正楷体_GBK"/>
          <w:color w:val="000000"/>
          <w:spacing w:val="-2"/>
          <w:sz w:val="24"/>
        </w:rPr>
        <w:t>（二）保障供应，规范高强钢筋市场</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钢铁生产企业和加工企业要通过技术改造，保证高强钢筋各品种规格产品的供应，扩大符合抗震要求的</w:t>
      </w:r>
      <w:r>
        <w:rPr>
          <w:rFonts w:eastAsia="方正仿宋_GBK"/>
          <w:color w:val="000000"/>
          <w:spacing w:val="-2"/>
          <w:sz w:val="24"/>
        </w:rPr>
        <w:t>400</w:t>
      </w:r>
      <w:r>
        <w:rPr>
          <w:rFonts w:hint="eastAsia" w:eastAsia="方正仿宋_GBK"/>
          <w:color w:val="000000"/>
          <w:spacing w:val="-2"/>
          <w:sz w:val="24"/>
        </w:rPr>
        <w:t>兆帕级螺纹钢筋的生产，保证</w:t>
      </w:r>
      <w:r>
        <w:rPr>
          <w:rFonts w:eastAsia="方正仿宋_GBK"/>
          <w:color w:val="000000"/>
          <w:spacing w:val="-2"/>
          <w:sz w:val="24"/>
        </w:rPr>
        <w:t>400</w:t>
      </w:r>
      <w:r>
        <w:rPr>
          <w:rFonts w:hint="eastAsia" w:eastAsia="方正仿宋_GBK"/>
          <w:color w:val="000000"/>
          <w:spacing w:val="-2"/>
          <w:sz w:val="24"/>
        </w:rPr>
        <w:t>兆帕级螺纹钢筋生产质量稳定性，努力提高</w:t>
      </w:r>
      <w:r>
        <w:rPr>
          <w:rFonts w:eastAsia="方正仿宋_GBK"/>
          <w:color w:val="000000"/>
          <w:spacing w:val="-2"/>
          <w:sz w:val="24"/>
        </w:rPr>
        <w:t>500</w:t>
      </w:r>
      <w:r>
        <w:rPr>
          <w:rFonts w:hint="eastAsia" w:eastAsia="方正仿宋_GBK"/>
          <w:color w:val="000000"/>
          <w:spacing w:val="-2"/>
          <w:sz w:val="24"/>
        </w:rPr>
        <w:t>兆帕级及以上螺纹钢筋产量，以满足工程的需要。</w:t>
      </w:r>
    </w:p>
    <w:p>
      <w:pPr>
        <w:spacing w:line="460" w:lineRule="exact"/>
        <w:ind w:firstLine="472" w:firstLineChars="200"/>
        <w:rPr>
          <w:rFonts w:eastAsia="方正楷体_GBK"/>
          <w:color w:val="000000"/>
          <w:spacing w:val="-2"/>
          <w:sz w:val="24"/>
        </w:rPr>
      </w:pPr>
      <w:r>
        <w:rPr>
          <w:rFonts w:hint="eastAsia" w:eastAsia="方正楷体_GBK"/>
          <w:color w:val="000000"/>
          <w:spacing w:val="-2"/>
          <w:sz w:val="24"/>
        </w:rPr>
        <w:t>（三）编制标准，加强工程质量监管</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贯彻实施《混凝土结构设计规范》（</w:t>
      </w:r>
      <w:r>
        <w:rPr>
          <w:rFonts w:eastAsia="方正仿宋_GBK"/>
          <w:color w:val="000000"/>
          <w:spacing w:val="-2"/>
          <w:sz w:val="24"/>
        </w:rPr>
        <w:t>GB50010-2010</w:t>
      </w:r>
      <w:r>
        <w:rPr>
          <w:rFonts w:hint="eastAsia" w:eastAsia="方正仿宋_GBK"/>
          <w:color w:val="000000"/>
          <w:spacing w:val="-2"/>
          <w:sz w:val="24"/>
        </w:rPr>
        <w:t>）和《热处理带肋高强钢筋在混凝土结构中应用技术导则》，编制相应的地方推荐性技术规程，积极稳妥地在混凝土结构工程推广应用高强钢筋技术。加强对高强钢筋应用的质量管理。建设、施工、监理企业要加强施工现场进场钢筋及钢筋加工环节的质量检查与检测；加强对设计单位和施工图审查机构执行相关标准规范的监督，完善实施工程建设标准的技术措施。工程质量监督机构要做好相应的监管工作。</w:t>
      </w:r>
    </w:p>
    <w:p>
      <w:pPr>
        <w:spacing w:line="460" w:lineRule="exact"/>
        <w:ind w:firstLine="472" w:firstLineChars="200"/>
        <w:rPr>
          <w:rFonts w:ascii="Times New Roman" w:eastAsia="方正楷体_GBK"/>
          <w:color w:val="000000"/>
          <w:spacing w:val="-2"/>
          <w:sz w:val="24"/>
        </w:rPr>
      </w:pPr>
      <w:r>
        <w:rPr>
          <w:rFonts w:hint="eastAsia" w:ascii="Times New Roman" w:eastAsia="方正楷体_GBK"/>
          <w:color w:val="000000"/>
          <w:spacing w:val="-2"/>
          <w:sz w:val="24"/>
        </w:rPr>
        <w:t>（四）加快研发，形成系列配套技术</w:t>
      </w:r>
    </w:p>
    <w:p>
      <w:pPr>
        <w:spacing w:line="460" w:lineRule="exact"/>
        <w:ind w:firstLine="472" w:firstLineChars="200"/>
        <w:rPr>
          <w:rFonts w:hint="eastAsia" w:eastAsia="方正仿宋_GBK"/>
          <w:color w:val="000000"/>
          <w:spacing w:val="-2"/>
          <w:sz w:val="24"/>
        </w:rPr>
      </w:pPr>
      <w:r>
        <w:rPr>
          <w:rFonts w:hint="eastAsia" w:eastAsia="方正仿宋_GBK"/>
          <w:color w:val="000000"/>
          <w:spacing w:val="-2"/>
          <w:sz w:val="24"/>
        </w:rPr>
        <w:t>要研究钢筋连接新工艺和新技术，降低工程施工中钢筋加工成本。加强高强钢筋和高强混凝土结构构件抗震性能的研究，特别是高强钢筋和混凝土共同工作机理研究，形成高强高性能钢筋混凝土结构体系，以满足不同结构的需求。要积极开展</w:t>
      </w:r>
      <w:r>
        <w:rPr>
          <w:rFonts w:eastAsia="方正仿宋_GBK"/>
          <w:color w:val="000000"/>
          <w:spacing w:val="-2"/>
          <w:sz w:val="24"/>
        </w:rPr>
        <w:t>600</w:t>
      </w:r>
      <w:r>
        <w:rPr>
          <w:rFonts w:hint="eastAsia" w:eastAsia="方正仿宋_GBK"/>
          <w:color w:val="000000"/>
          <w:spacing w:val="-2"/>
          <w:sz w:val="24"/>
        </w:rPr>
        <w:t>兆帕级及以上螺纹钢筋产品和相应配套技术的研发。</w:t>
      </w:r>
    </w:p>
    <w:p>
      <w:pPr>
        <w:spacing w:line="460" w:lineRule="exact"/>
        <w:ind w:firstLine="472" w:firstLineChars="200"/>
        <w:rPr>
          <w:rFonts w:ascii="Times New Roman" w:eastAsia="方正楷体_GBK"/>
          <w:color w:val="000000"/>
          <w:spacing w:val="-2"/>
          <w:sz w:val="24"/>
        </w:rPr>
      </w:pPr>
      <w:r>
        <w:rPr>
          <w:rFonts w:hint="eastAsia" w:ascii="Times New Roman" w:eastAsia="方正楷体_GBK"/>
          <w:color w:val="000000"/>
          <w:spacing w:val="-2"/>
          <w:sz w:val="24"/>
        </w:rPr>
        <w:t>（五）加强培训，积极开展示范工程</w:t>
      </w:r>
    </w:p>
    <w:p>
      <w:pPr>
        <w:spacing w:line="460" w:lineRule="exact"/>
        <w:ind w:firstLine="472" w:firstLineChars="200"/>
        <w:rPr>
          <w:rFonts w:hint="eastAsia" w:eastAsia="方正仿宋_GBK"/>
          <w:color w:val="000000"/>
          <w:spacing w:val="-2"/>
          <w:sz w:val="24"/>
        </w:rPr>
      </w:pPr>
      <w:r>
        <w:rPr>
          <w:rFonts w:hint="eastAsia" w:eastAsia="方正仿宋_GBK"/>
          <w:color w:val="000000"/>
          <w:spacing w:val="-2"/>
          <w:sz w:val="24"/>
        </w:rPr>
        <w:t>积极开展相关标准宣贯培训工作，各有关主管部门、协会和企业要完善信息沟通机制，加强高强钢筋推广应用的宣传，在社会上形成用好钢筋、节约用钢筋的氛围，促进节能减排。在全面推进高强钢筋应用的基础上，选择部分城市、项目和钢筋生产企业作为示范，明确示范要求和责任分工，制订示范工作计划，加大监督检查力度，保障示范工作顺利开展。</w:t>
      </w:r>
    </w:p>
    <w:p>
      <w:pPr>
        <w:wordWrap w:val="0"/>
        <w:spacing w:line="460" w:lineRule="exact"/>
        <w:ind w:right="477" w:rightChars="227"/>
        <w:jc w:val="right"/>
        <w:rPr>
          <w:rFonts w:eastAsia="方正仿宋_GBK"/>
          <w:color w:val="000000"/>
          <w:spacing w:val="-2"/>
          <w:sz w:val="24"/>
        </w:rPr>
      </w:pPr>
      <w:r>
        <w:rPr>
          <w:rFonts w:hint="eastAsia" w:eastAsia="方正仿宋_GBK"/>
          <w:color w:val="000000"/>
          <w:spacing w:val="12"/>
          <w:kern w:val="0"/>
          <w:sz w:val="24"/>
        </w:rPr>
        <w:t>江苏省住房和城乡建设</w:t>
      </w:r>
      <w:r>
        <w:rPr>
          <w:rFonts w:hint="eastAsia" w:eastAsia="方正仿宋_GBK"/>
          <w:color w:val="000000"/>
          <w:kern w:val="0"/>
          <w:sz w:val="24"/>
        </w:rPr>
        <w:t>厅</w:t>
      </w:r>
    </w:p>
    <w:p>
      <w:pPr>
        <w:wordWrap w:val="0"/>
        <w:spacing w:line="460" w:lineRule="exact"/>
        <w:ind w:right="477" w:rightChars="227"/>
        <w:jc w:val="right"/>
        <w:rPr>
          <w:rFonts w:eastAsia="方正仿宋_GBK"/>
          <w:color w:val="000000"/>
          <w:spacing w:val="-2"/>
          <w:sz w:val="24"/>
        </w:rPr>
      </w:pPr>
      <w:r>
        <w:rPr>
          <w:rFonts w:hint="eastAsia" w:eastAsia="方正仿宋_GBK"/>
          <w:color w:val="000000"/>
          <w:spacing w:val="-2"/>
          <w:sz w:val="24"/>
        </w:rPr>
        <w:t>江苏省经济和信息化委员会</w:t>
      </w:r>
    </w:p>
    <w:p>
      <w:pPr>
        <w:wordWrap w:val="0"/>
        <w:spacing w:line="460" w:lineRule="exact"/>
        <w:ind w:right="477" w:rightChars="227"/>
        <w:jc w:val="right"/>
        <w:rPr>
          <w:rFonts w:eastAsia="方正仿宋_GBK"/>
          <w:color w:val="000000"/>
          <w:spacing w:val="-2"/>
          <w:sz w:val="24"/>
        </w:rPr>
      </w:pPr>
      <w:r>
        <w:rPr>
          <w:rFonts w:hint="eastAsia" w:eastAsia="方正仿宋_GBK"/>
          <w:color w:val="000000"/>
          <w:spacing w:val="26"/>
          <w:kern w:val="0"/>
          <w:sz w:val="24"/>
        </w:rPr>
        <w:t>江苏省质量技术监督</w:t>
      </w:r>
      <w:r>
        <w:rPr>
          <w:rFonts w:hint="eastAsia" w:eastAsia="方正仿宋_GBK"/>
          <w:color w:val="000000"/>
          <w:spacing w:val="6"/>
          <w:kern w:val="0"/>
          <w:sz w:val="24"/>
        </w:rPr>
        <w:t>局</w:t>
      </w:r>
    </w:p>
    <w:p>
      <w:pPr>
        <w:wordWrap w:val="0"/>
        <w:spacing w:line="460" w:lineRule="exact"/>
        <w:ind w:right="958" w:rightChars="456"/>
        <w:jc w:val="right"/>
        <w:rPr>
          <w:rFonts w:eastAsia="方正仿宋_GBK"/>
          <w:color w:val="000000"/>
          <w:spacing w:val="-2"/>
          <w:kern w:val="0"/>
          <w:sz w:val="24"/>
        </w:rPr>
      </w:pPr>
      <w:r>
        <w:rPr>
          <w:rFonts w:hint="eastAsia" w:eastAsia="方正仿宋_GBK"/>
          <w:color w:val="000000"/>
          <w:spacing w:val="-2"/>
          <w:kern w:val="0"/>
          <w:sz w:val="24"/>
        </w:rPr>
        <w:t>二〇一二年四月五日</w:t>
      </w:r>
    </w:p>
    <w:p>
      <w:pPr>
        <w:autoSpaceDE w:val="0"/>
        <w:autoSpaceDN w:val="0"/>
        <w:snapToGrid w:val="0"/>
        <w:spacing w:line="400" w:lineRule="exact"/>
        <w:ind w:right="-22"/>
        <w:rPr>
          <w:rFonts w:eastAsia="方正仿宋_GBK"/>
          <w:color w:val="000000"/>
          <w:spacing w:val="-2"/>
          <w:szCs w:val="21"/>
        </w:rPr>
      </w:pPr>
    </w:p>
    <w:p/>
    <w:p/>
    <w:p>
      <w:pPr>
        <w:pStyle w:val="2"/>
        <w:spacing w:before="240" w:beforeLines="100" w:after="240" w:afterLines="100" w:line="240" w:lineRule="auto"/>
        <w:jc w:val="center"/>
        <w:rPr>
          <w:rFonts w:ascii="Times New Roman" w:eastAsia="方正小标宋_GBK"/>
          <w:b w:val="0"/>
          <w:sz w:val="36"/>
          <w:szCs w:val="36"/>
        </w:rPr>
      </w:pPr>
      <w:bookmarkStart w:id="394" w:name="_Toc20726458"/>
      <w:bookmarkStart w:id="395" w:name="_Toc18315564"/>
      <w:r>
        <w:rPr>
          <w:rFonts w:hint="eastAsia" w:ascii="Times New Roman" w:eastAsia="方正小标宋_GBK"/>
          <w:b w:val="0"/>
          <w:sz w:val="36"/>
          <w:szCs w:val="36"/>
        </w:rPr>
        <w:t>省住房城乡建设厅、省邮政管理局关于进一步加强    我省住宅信报箱建设管理工作的通知</w:t>
      </w:r>
      <w:bookmarkEnd w:id="394"/>
      <w:bookmarkEnd w:id="395"/>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396" w:name="_Toc20726459"/>
      <w:bookmarkStart w:id="397" w:name="_Toc18315565"/>
      <w:r>
        <w:rPr>
          <w:rFonts w:hint="eastAsia" w:ascii="Times New Roman" w:hAnsi="Times New Roman" w:eastAsia="方正楷体_GBK"/>
          <w:b w:val="0"/>
          <w:sz w:val="24"/>
          <w:szCs w:val="24"/>
        </w:rPr>
        <w:t>苏建科〔</w:t>
      </w:r>
      <w:r>
        <w:rPr>
          <w:rFonts w:ascii="Times New Roman" w:hAnsi="Times New Roman" w:eastAsia="方正楷体_GBK"/>
          <w:b w:val="0"/>
          <w:sz w:val="24"/>
          <w:szCs w:val="24"/>
        </w:rPr>
        <w:t>2013</w:t>
      </w:r>
      <w:r>
        <w:rPr>
          <w:rFonts w:hint="eastAsia" w:ascii="Times New Roman" w:hAnsi="Times New Roman" w:eastAsia="方正楷体_GBK"/>
          <w:b w:val="0"/>
          <w:sz w:val="24"/>
          <w:szCs w:val="24"/>
        </w:rPr>
        <w:t>〕</w:t>
      </w:r>
      <w:r>
        <w:rPr>
          <w:rFonts w:ascii="Times New Roman" w:hAnsi="Times New Roman" w:eastAsia="方正楷体_GBK"/>
          <w:b w:val="0"/>
          <w:sz w:val="24"/>
          <w:szCs w:val="24"/>
        </w:rPr>
        <w:t>370</w:t>
      </w:r>
      <w:r>
        <w:rPr>
          <w:rFonts w:hint="eastAsia" w:ascii="Times New Roman" w:hAnsi="Times New Roman" w:eastAsia="方正楷体_GBK"/>
          <w:b w:val="0"/>
          <w:sz w:val="24"/>
          <w:szCs w:val="24"/>
        </w:rPr>
        <w:t>号</w:t>
      </w:r>
      <w:bookmarkEnd w:id="396"/>
      <w:bookmarkEnd w:id="397"/>
    </w:p>
    <w:p>
      <w:pPr>
        <w:spacing w:line="460" w:lineRule="exact"/>
        <w:rPr>
          <w:rFonts w:eastAsia="方正仿宋_GBK"/>
          <w:color w:val="000000"/>
          <w:spacing w:val="-2"/>
          <w:sz w:val="24"/>
        </w:rPr>
      </w:pPr>
      <w:r>
        <w:rPr>
          <w:rFonts w:hint="eastAsia" w:eastAsia="方正仿宋_GBK"/>
          <w:color w:val="000000"/>
          <w:spacing w:val="-2"/>
          <w:sz w:val="24"/>
        </w:rPr>
        <w:t>各省辖市建设局（委）、规划局、房管局、各省辖市邮政管理局，昆山市、泰兴市、沭阳县建设局、规划局：</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为贯彻落实《江苏省邮政普遍服务保障监督管理办法》（省人民政府第</w:t>
      </w:r>
      <w:r>
        <w:rPr>
          <w:rFonts w:eastAsia="方正仿宋_GBK"/>
          <w:color w:val="000000"/>
          <w:spacing w:val="-2"/>
          <w:sz w:val="24"/>
        </w:rPr>
        <w:t>80</w:t>
      </w:r>
      <w:r>
        <w:rPr>
          <w:rFonts w:hint="eastAsia" w:eastAsia="方正仿宋_GBK"/>
          <w:color w:val="000000"/>
          <w:spacing w:val="-2"/>
          <w:sz w:val="24"/>
        </w:rPr>
        <w:t>号令），进一步加强我省住宅信报箱建设和管理，促进我省住宅信报箱应用技术水平和工程质量的不断提高，现将有关工作要求通知如下：</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住宅信报箱是保障公民基本通信权利、方便人民群众获得基本邮政服务和保障邮政普遍服务的基础设施。各部门要不断提高思想认识，全面加强信报箱建设和管理，着重推动保障性住房和县（市）以下城镇住宅小区的信报箱建设，切实维护城镇居民的基本通信权利，促进我省信报箱建设全面均衡发展。</w:t>
      </w:r>
    </w:p>
    <w:p>
      <w:pPr>
        <w:spacing w:line="460" w:lineRule="exact"/>
        <w:ind w:firstLine="467" w:firstLineChars="198"/>
        <w:rPr>
          <w:rFonts w:eastAsia="方正仿宋_GBK"/>
          <w:color w:val="000000"/>
          <w:spacing w:val="-2"/>
          <w:sz w:val="24"/>
        </w:rPr>
      </w:pPr>
      <w:r>
        <w:rPr>
          <w:rFonts w:hint="eastAsia" w:eastAsia="方正仿宋_GBK"/>
          <w:color w:val="000000"/>
          <w:spacing w:val="-2"/>
          <w:sz w:val="24"/>
        </w:rPr>
        <w:t>二、各地邮政管理部门要加强住宅信报箱建设的监督检查。由各地邮政管理部门或其委托的其他单位参加住宅信报箱验收工作，并由各地邮政管理部门向建设单位出具相关验收合格意见。</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三、我省工程建设标准设计《住宅信报箱》（苏</w:t>
      </w:r>
      <w:r>
        <w:rPr>
          <w:rFonts w:eastAsia="方正仿宋_GBK"/>
          <w:color w:val="000000"/>
          <w:spacing w:val="-2"/>
          <w:sz w:val="24"/>
        </w:rPr>
        <w:t>J/T47-2013</w:t>
      </w:r>
      <w:r>
        <w:rPr>
          <w:rFonts w:hint="eastAsia" w:eastAsia="方正仿宋_GBK"/>
          <w:color w:val="000000"/>
          <w:spacing w:val="-2"/>
          <w:sz w:val="24"/>
        </w:rPr>
        <w:t>）已于</w:t>
      </w:r>
      <w:r>
        <w:rPr>
          <w:rFonts w:eastAsia="方正仿宋_GBK"/>
          <w:color w:val="000000"/>
          <w:spacing w:val="-2"/>
          <w:sz w:val="24"/>
        </w:rPr>
        <w:t>2013</w:t>
      </w:r>
      <w:r>
        <w:rPr>
          <w:rFonts w:hint="eastAsia" w:eastAsia="方正仿宋_GBK"/>
          <w:color w:val="000000"/>
          <w:spacing w:val="-2"/>
          <w:sz w:val="24"/>
        </w:rPr>
        <w:t>年</w:t>
      </w:r>
      <w:r>
        <w:rPr>
          <w:rFonts w:eastAsia="方正仿宋_GBK"/>
          <w:color w:val="000000"/>
          <w:spacing w:val="-2"/>
          <w:sz w:val="24"/>
        </w:rPr>
        <w:t>6</w:t>
      </w:r>
      <w:r>
        <w:rPr>
          <w:rFonts w:hint="eastAsia" w:eastAsia="方正仿宋_GBK"/>
          <w:color w:val="000000"/>
          <w:spacing w:val="-2"/>
          <w:sz w:val="24"/>
        </w:rPr>
        <w:t>月</w:t>
      </w:r>
      <w:r>
        <w:rPr>
          <w:rFonts w:eastAsia="方正仿宋_GBK"/>
          <w:color w:val="000000"/>
          <w:spacing w:val="-2"/>
          <w:sz w:val="24"/>
        </w:rPr>
        <w:t>1</w:t>
      </w:r>
      <w:r>
        <w:rPr>
          <w:rFonts w:hint="eastAsia" w:eastAsia="方正仿宋_GBK"/>
          <w:color w:val="000000"/>
          <w:spacing w:val="-2"/>
          <w:sz w:val="24"/>
        </w:rPr>
        <w:t>日实施。各地建设行政主管部门和邮政管理部门要引导设计单位正确使用该标准设计，充分发挥其作用，切实提高我省信报箱建设整体质量水平。</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四、各地建设行政主管部门和邮政管理部门应建立日常联系沟通机制，相互配合，加强协作，协调解决信报箱建设过程中的问题，共同推进我省住宅信报箱建设。</w:t>
      </w:r>
    </w:p>
    <w:p>
      <w:pPr>
        <w:spacing w:line="460" w:lineRule="exact"/>
        <w:ind w:firstLine="472" w:firstLineChars="200"/>
        <w:rPr>
          <w:rFonts w:eastAsia="方正仿宋_GBK"/>
          <w:color w:val="000000"/>
          <w:spacing w:val="-2"/>
          <w:sz w:val="24"/>
        </w:rPr>
      </w:pPr>
    </w:p>
    <w:p>
      <w:pPr>
        <w:spacing w:line="460" w:lineRule="exact"/>
        <w:ind w:right="437" w:rightChars="208"/>
        <w:jc w:val="right"/>
        <w:rPr>
          <w:rFonts w:eastAsia="方正仿宋_GBK"/>
          <w:color w:val="000000"/>
          <w:spacing w:val="-2"/>
          <w:sz w:val="24"/>
        </w:rPr>
      </w:pPr>
      <w:r>
        <w:rPr>
          <w:rFonts w:hint="eastAsia" w:eastAsia="方正仿宋_GBK"/>
          <w:color w:val="000000"/>
          <w:spacing w:val="-2"/>
          <w:sz w:val="24"/>
        </w:rPr>
        <w:t>江苏省住房和城乡建设厅</w:t>
      </w:r>
      <w:r>
        <w:rPr>
          <w:rFonts w:eastAsia="方正仿宋_GBK"/>
          <w:color w:val="000000"/>
          <w:spacing w:val="-2"/>
          <w:sz w:val="24"/>
        </w:rPr>
        <w:t xml:space="preserve">    </w:t>
      </w:r>
    </w:p>
    <w:p>
      <w:pPr>
        <w:spacing w:line="460" w:lineRule="exact"/>
        <w:ind w:right="437" w:rightChars="208"/>
        <w:jc w:val="right"/>
        <w:rPr>
          <w:rFonts w:eastAsia="方正仿宋_GBK"/>
          <w:color w:val="000000"/>
          <w:spacing w:val="-2"/>
          <w:sz w:val="24"/>
        </w:rPr>
      </w:pPr>
      <w:r>
        <w:rPr>
          <w:rFonts w:hint="eastAsia" w:eastAsia="方正仿宋_GBK"/>
          <w:color w:val="000000"/>
          <w:spacing w:val="51"/>
          <w:kern w:val="0"/>
          <w:sz w:val="24"/>
        </w:rPr>
        <w:t>江苏省邮政管理</w:t>
      </w:r>
      <w:r>
        <w:rPr>
          <w:rFonts w:hint="eastAsia" w:eastAsia="方正仿宋_GBK"/>
          <w:color w:val="000000"/>
          <w:spacing w:val="3"/>
          <w:kern w:val="0"/>
          <w:sz w:val="24"/>
        </w:rPr>
        <w:t>局</w:t>
      </w:r>
      <w:r>
        <w:rPr>
          <w:rFonts w:eastAsia="方正仿宋_GBK"/>
          <w:color w:val="000000"/>
          <w:kern w:val="0"/>
          <w:sz w:val="24"/>
        </w:rPr>
        <w:t xml:space="preserve">    </w:t>
      </w:r>
    </w:p>
    <w:p>
      <w:pPr>
        <w:spacing w:line="460" w:lineRule="exact"/>
        <w:ind w:right="596" w:rightChars="284" w:firstLine="472" w:firstLineChars="200"/>
        <w:rPr>
          <w:rFonts w:eastAsia="方正仿宋_GBK"/>
          <w:color w:val="000000"/>
          <w:spacing w:val="-2"/>
          <w:sz w:val="24"/>
        </w:rPr>
      </w:pPr>
      <w:r>
        <w:rPr>
          <w:rFonts w:eastAsia="方正仿宋_GBK"/>
          <w:color w:val="000000"/>
          <w:spacing w:val="-2"/>
          <w:sz w:val="24"/>
        </w:rPr>
        <w:t xml:space="preserve">                                                2013</w:t>
      </w:r>
      <w:r>
        <w:rPr>
          <w:rFonts w:hint="eastAsia" w:eastAsia="方正仿宋_GBK"/>
          <w:color w:val="000000"/>
          <w:spacing w:val="-2"/>
          <w:sz w:val="24"/>
        </w:rPr>
        <w:t>年</w:t>
      </w:r>
      <w:r>
        <w:rPr>
          <w:rFonts w:eastAsia="方正仿宋_GBK"/>
          <w:color w:val="000000"/>
          <w:spacing w:val="-2"/>
          <w:sz w:val="24"/>
        </w:rPr>
        <w:t>7</w:t>
      </w:r>
      <w:r>
        <w:rPr>
          <w:rFonts w:hint="eastAsia" w:eastAsia="方正仿宋_GBK"/>
          <w:color w:val="000000"/>
          <w:spacing w:val="-2"/>
          <w:sz w:val="24"/>
        </w:rPr>
        <w:t>月</w:t>
      </w:r>
      <w:r>
        <w:rPr>
          <w:rFonts w:eastAsia="方正仿宋_GBK"/>
          <w:color w:val="000000"/>
          <w:spacing w:val="-2"/>
          <w:sz w:val="24"/>
        </w:rPr>
        <w:t>25</w:t>
      </w:r>
      <w:r>
        <w:rPr>
          <w:rFonts w:hint="eastAsia" w:eastAsia="方正仿宋_GBK"/>
          <w:color w:val="000000"/>
          <w:spacing w:val="-2"/>
          <w:sz w:val="24"/>
        </w:rPr>
        <w:t>日</w:t>
      </w:r>
      <w:r>
        <w:rPr>
          <w:rFonts w:eastAsia="方正仿宋_GBK"/>
          <w:color w:val="000000"/>
          <w:spacing w:val="-2"/>
          <w:sz w:val="24"/>
        </w:rPr>
        <w:t xml:space="preserve">     </w:t>
      </w:r>
    </w:p>
    <w:p>
      <w:pPr>
        <w:spacing w:line="460" w:lineRule="exact"/>
        <w:jc w:val="center"/>
        <w:rPr>
          <w:rFonts w:eastAsia="方正仿宋_GBK"/>
          <w:color w:val="000000"/>
          <w:sz w:val="24"/>
        </w:rPr>
      </w:pPr>
    </w:p>
    <w:p>
      <w:pPr>
        <w:spacing w:line="500" w:lineRule="exact"/>
        <w:ind w:left="-10" w:leftChars="-8" w:hanging="7" w:hangingChars="3"/>
        <w:jc w:val="center"/>
        <w:rPr>
          <w:rFonts w:ascii="Times New Roman" w:eastAsia="方正小标宋简体"/>
          <w:sz w:val="36"/>
          <w:szCs w:val="36"/>
        </w:rPr>
      </w:pPr>
      <w:r>
        <w:rPr>
          <w:rFonts w:eastAsia="方正仿宋_GBK"/>
          <w:color w:val="000000"/>
          <w:spacing w:val="-2"/>
          <w:kern w:val="0"/>
          <w:sz w:val="24"/>
        </w:rPr>
        <w:br w:type="column"/>
      </w:r>
    </w:p>
    <w:p>
      <w:pPr>
        <w:pStyle w:val="2"/>
        <w:spacing w:before="240" w:beforeLines="100" w:after="240" w:afterLines="100" w:line="240" w:lineRule="auto"/>
        <w:jc w:val="center"/>
        <w:rPr>
          <w:rFonts w:hint="eastAsia" w:ascii="Times New Roman" w:eastAsia="方正小标宋_GBK"/>
          <w:b w:val="0"/>
          <w:sz w:val="36"/>
          <w:szCs w:val="36"/>
        </w:rPr>
      </w:pPr>
      <w:bookmarkStart w:id="398" w:name="_Toc18315566"/>
      <w:bookmarkStart w:id="399" w:name="_Toc20726460"/>
      <w:r>
        <w:rPr>
          <w:rFonts w:hint="eastAsia" w:ascii="Times New Roman" w:eastAsia="方正小标宋_GBK"/>
          <w:b w:val="0"/>
          <w:sz w:val="36"/>
          <w:szCs w:val="36"/>
        </w:rPr>
        <w:t>江苏省住房和城乡建设厅 财政厅关于印发《省级建筑  节能和绿色建筑示范区验收评估细则》的通知</w:t>
      </w:r>
      <w:bookmarkEnd w:id="398"/>
      <w:bookmarkEnd w:id="399"/>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400" w:name="_Toc20726461"/>
      <w:bookmarkStart w:id="401" w:name="_Toc18315567"/>
      <w:r>
        <w:rPr>
          <w:rFonts w:hint="eastAsia" w:ascii="Times New Roman" w:hAnsi="Times New Roman" w:eastAsia="方正楷体_GBK"/>
          <w:b w:val="0"/>
          <w:sz w:val="24"/>
          <w:szCs w:val="24"/>
        </w:rPr>
        <w:t>苏建科〔</w:t>
      </w:r>
      <w:r>
        <w:rPr>
          <w:rFonts w:ascii="Times New Roman" w:hAnsi="Times New Roman" w:eastAsia="方正楷体_GBK"/>
          <w:b w:val="0"/>
          <w:sz w:val="24"/>
          <w:szCs w:val="24"/>
        </w:rPr>
        <w:t>2013</w:t>
      </w:r>
      <w:r>
        <w:rPr>
          <w:rFonts w:hint="eastAsia" w:ascii="Times New Roman" w:hAnsi="Times New Roman" w:eastAsia="方正楷体_GBK"/>
          <w:b w:val="0"/>
          <w:sz w:val="24"/>
          <w:szCs w:val="24"/>
        </w:rPr>
        <w:t>〕</w:t>
      </w:r>
      <w:r>
        <w:rPr>
          <w:rFonts w:ascii="Times New Roman" w:hAnsi="Times New Roman" w:eastAsia="方正楷体_GBK"/>
          <w:b w:val="0"/>
          <w:sz w:val="24"/>
          <w:szCs w:val="24"/>
        </w:rPr>
        <w:t>552</w:t>
      </w:r>
      <w:r>
        <w:rPr>
          <w:rFonts w:hint="eastAsia" w:ascii="Times New Roman" w:hAnsi="Times New Roman" w:eastAsia="方正楷体_GBK"/>
          <w:b w:val="0"/>
          <w:sz w:val="24"/>
          <w:szCs w:val="24"/>
        </w:rPr>
        <w:t>号</w:t>
      </w:r>
      <w:bookmarkEnd w:id="400"/>
      <w:bookmarkEnd w:id="401"/>
    </w:p>
    <w:p>
      <w:pPr>
        <w:spacing w:line="460" w:lineRule="exact"/>
        <w:rPr>
          <w:rFonts w:eastAsia="方正仿宋_GBK"/>
          <w:color w:val="000000"/>
          <w:spacing w:val="-2"/>
          <w:sz w:val="24"/>
        </w:rPr>
      </w:pPr>
      <w:r>
        <w:rPr>
          <w:rFonts w:hint="eastAsia" w:eastAsia="方正仿宋_GBK"/>
          <w:color w:val="000000"/>
          <w:spacing w:val="-2"/>
          <w:sz w:val="24"/>
        </w:rPr>
        <w:t>各市、县建设局（建委），财政局，有关单位：</w:t>
      </w:r>
    </w:p>
    <w:p>
      <w:pPr>
        <w:spacing w:line="460" w:lineRule="exact"/>
        <w:ind w:firstLine="645"/>
        <w:rPr>
          <w:rFonts w:eastAsia="方正仿宋_GBK"/>
          <w:color w:val="000000"/>
          <w:spacing w:val="-2"/>
          <w:sz w:val="24"/>
        </w:rPr>
      </w:pPr>
      <w:r>
        <w:rPr>
          <w:rFonts w:hint="eastAsia" w:eastAsia="方正仿宋_GBK"/>
          <w:color w:val="000000"/>
          <w:spacing w:val="-2"/>
          <w:sz w:val="24"/>
        </w:rPr>
        <w:t>为指导江苏省省级建筑节能和绿色建筑示范区验收评估工作，我们制定了《江苏省省级节能减排（建筑节能）专项引导资金建筑节能和绿色建筑示范区验收评估细则》，现予印发，望遵照执行。</w:t>
      </w:r>
    </w:p>
    <w:p>
      <w:pPr>
        <w:spacing w:line="460" w:lineRule="exact"/>
        <w:ind w:left="867" w:leftChars="188" w:hanging="472" w:hangingChars="200"/>
        <w:contextualSpacing/>
        <w:rPr>
          <w:rFonts w:eastAsia="方正仿宋_GBK"/>
          <w:color w:val="000000"/>
          <w:spacing w:val="-2"/>
          <w:sz w:val="24"/>
        </w:rPr>
      </w:pPr>
    </w:p>
    <w:p>
      <w:pPr>
        <w:spacing w:line="460" w:lineRule="exact"/>
        <w:ind w:left="1457" w:leftChars="188" w:hanging="1062" w:hangingChars="450"/>
        <w:contextualSpacing/>
        <w:rPr>
          <w:rFonts w:eastAsia="方正仿宋_GBK"/>
          <w:color w:val="000000"/>
          <w:spacing w:val="-2"/>
          <w:sz w:val="24"/>
        </w:rPr>
      </w:pPr>
      <w:r>
        <w:rPr>
          <w:rFonts w:hint="eastAsia" w:eastAsia="方正仿宋_GBK"/>
          <w:color w:val="000000"/>
          <w:spacing w:val="-2"/>
          <w:sz w:val="24"/>
        </w:rPr>
        <w:t>附件：</w:t>
      </w:r>
      <w:r>
        <w:rPr>
          <w:rFonts w:eastAsia="方正仿宋_GBK"/>
          <w:color w:val="000000"/>
          <w:spacing w:val="-2"/>
          <w:sz w:val="24"/>
        </w:rPr>
        <w:t>1.</w:t>
      </w:r>
      <w:r>
        <w:rPr>
          <w:rFonts w:hint="cs" w:eastAsia="方正仿宋_GBK"/>
          <w:color w:val="000000"/>
          <w:spacing w:val="-2"/>
          <w:sz w:val="24"/>
          <w:cs/>
        </w:rPr>
        <w:t> </w:t>
      </w:r>
      <w:r>
        <w:rPr>
          <w:rFonts w:hint="eastAsia" w:eastAsia="方正仿宋_GBK"/>
          <w:color w:val="000000"/>
          <w:spacing w:val="-2"/>
          <w:sz w:val="24"/>
        </w:rPr>
        <w:t>江苏省省级节能减排（建筑节能）专项引导资金建筑节能和绿色建筑示</w:t>
      </w:r>
    </w:p>
    <w:p>
      <w:pPr>
        <w:spacing w:line="460" w:lineRule="exact"/>
        <w:ind w:left="1453" w:leftChars="643" w:hanging="103" w:hangingChars="44"/>
        <w:contextualSpacing/>
        <w:rPr>
          <w:rFonts w:eastAsia="方正仿宋_GBK"/>
          <w:color w:val="000000"/>
          <w:spacing w:val="-2"/>
          <w:sz w:val="24"/>
        </w:rPr>
      </w:pPr>
      <w:r>
        <w:rPr>
          <w:rFonts w:hint="eastAsia" w:eastAsia="方正仿宋_GBK"/>
          <w:color w:val="000000"/>
          <w:spacing w:val="-2"/>
          <w:sz w:val="24"/>
        </w:rPr>
        <w:t>范区验收评估细则；</w:t>
      </w:r>
    </w:p>
    <w:p>
      <w:pPr>
        <w:spacing w:line="460" w:lineRule="exact"/>
        <w:ind w:left="1417" w:leftChars="506" w:hanging="354" w:hangingChars="150"/>
        <w:contextualSpacing/>
        <w:rPr>
          <w:rFonts w:eastAsia="方正仿宋_GBK"/>
          <w:color w:val="000000"/>
          <w:spacing w:val="-2"/>
          <w:sz w:val="24"/>
        </w:rPr>
      </w:pPr>
      <w:r>
        <w:rPr>
          <w:rFonts w:eastAsia="方正仿宋_GBK"/>
          <w:color w:val="000000"/>
          <w:spacing w:val="-2"/>
          <w:sz w:val="24"/>
        </w:rPr>
        <w:t>2.</w:t>
      </w:r>
      <w:r>
        <w:rPr>
          <w:rFonts w:hint="cs" w:eastAsia="方正仿宋_GBK"/>
          <w:color w:val="000000"/>
          <w:spacing w:val="-2"/>
          <w:sz w:val="24"/>
          <w:cs/>
        </w:rPr>
        <w:t> </w:t>
      </w:r>
      <w:r>
        <w:rPr>
          <w:rFonts w:hint="eastAsia" w:eastAsia="方正仿宋_GBK"/>
          <w:color w:val="000000"/>
          <w:spacing w:val="-2"/>
          <w:sz w:val="24"/>
        </w:rPr>
        <w:t>江苏省省级节能减排（建筑节能）专项引导资金建筑节能和绿色建筑示</w:t>
      </w:r>
    </w:p>
    <w:p>
      <w:pPr>
        <w:spacing w:line="460" w:lineRule="exact"/>
        <w:ind w:left="1414" w:leftChars="606" w:hanging="141" w:hangingChars="60"/>
        <w:contextualSpacing/>
        <w:rPr>
          <w:rFonts w:eastAsia="方正仿宋_GBK"/>
          <w:color w:val="000000"/>
          <w:spacing w:val="-2"/>
          <w:sz w:val="24"/>
        </w:rPr>
      </w:pPr>
      <w:r>
        <w:rPr>
          <w:rFonts w:hint="eastAsia" w:eastAsia="方正仿宋_GBK"/>
          <w:color w:val="000000"/>
          <w:spacing w:val="-2"/>
          <w:sz w:val="24"/>
        </w:rPr>
        <w:t>范区验收评估申请表（样表）；</w:t>
      </w:r>
    </w:p>
    <w:p>
      <w:pPr>
        <w:spacing w:line="460" w:lineRule="exact"/>
        <w:ind w:left="1412" w:leftChars="504" w:hanging="354" w:hangingChars="150"/>
        <w:contextualSpacing/>
        <w:rPr>
          <w:rFonts w:eastAsia="方正仿宋_GBK"/>
          <w:color w:val="000000"/>
          <w:spacing w:val="-2"/>
          <w:sz w:val="24"/>
        </w:rPr>
      </w:pPr>
      <w:r>
        <w:rPr>
          <w:rFonts w:eastAsia="方正仿宋_GBK"/>
          <w:color w:val="000000"/>
          <w:spacing w:val="-2"/>
          <w:sz w:val="24"/>
        </w:rPr>
        <w:t>3.</w:t>
      </w:r>
      <w:r>
        <w:rPr>
          <w:rFonts w:hint="cs" w:eastAsia="方正仿宋_GBK"/>
          <w:color w:val="000000"/>
          <w:spacing w:val="-2"/>
          <w:sz w:val="24"/>
          <w:cs/>
        </w:rPr>
        <w:t> </w:t>
      </w:r>
      <w:r>
        <w:rPr>
          <w:rFonts w:hint="eastAsia" w:eastAsia="方正仿宋_GBK"/>
          <w:color w:val="000000"/>
          <w:spacing w:val="-2"/>
          <w:sz w:val="24"/>
        </w:rPr>
        <w:t>江苏省省级节能减排</w:t>
      </w:r>
      <w:r>
        <w:rPr>
          <w:rFonts w:eastAsia="方正仿宋_GBK"/>
          <w:color w:val="000000"/>
          <w:spacing w:val="-2"/>
          <w:sz w:val="24"/>
        </w:rPr>
        <w:t>(</w:t>
      </w:r>
      <w:r>
        <w:rPr>
          <w:rFonts w:hint="eastAsia" w:eastAsia="方正仿宋_GBK"/>
          <w:color w:val="000000"/>
          <w:spacing w:val="-2"/>
          <w:sz w:val="24"/>
        </w:rPr>
        <w:t>建筑节能</w:t>
      </w:r>
      <w:r>
        <w:rPr>
          <w:rFonts w:eastAsia="方正仿宋_GBK"/>
          <w:color w:val="000000"/>
          <w:spacing w:val="-2"/>
          <w:sz w:val="24"/>
        </w:rPr>
        <w:t>)</w:t>
      </w:r>
      <w:r>
        <w:rPr>
          <w:rFonts w:hint="eastAsia" w:eastAsia="方正仿宋_GBK"/>
          <w:color w:val="000000"/>
          <w:spacing w:val="-2"/>
          <w:sz w:val="24"/>
        </w:rPr>
        <w:t>专项引导资金建筑节能和绿色建筑示范</w:t>
      </w:r>
    </w:p>
    <w:p>
      <w:pPr>
        <w:spacing w:line="460" w:lineRule="exact"/>
        <w:ind w:left="1409" w:leftChars="605" w:hanging="139" w:hangingChars="59"/>
        <w:contextualSpacing/>
        <w:rPr>
          <w:rFonts w:eastAsia="方正仿宋_GBK"/>
          <w:color w:val="000000"/>
          <w:spacing w:val="-2"/>
          <w:sz w:val="24"/>
        </w:rPr>
      </w:pPr>
      <w:r>
        <w:rPr>
          <w:rFonts w:hint="eastAsia" w:eastAsia="方正仿宋_GBK"/>
          <w:color w:val="000000"/>
          <w:spacing w:val="-2"/>
          <w:sz w:val="24"/>
        </w:rPr>
        <w:t>区验收评估报告（样表）；</w:t>
      </w:r>
    </w:p>
    <w:p>
      <w:pPr>
        <w:spacing w:line="460" w:lineRule="exact"/>
        <w:ind w:firstLine="1080" w:firstLineChars="458"/>
        <w:rPr>
          <w:rFonts w:eastAsia="方正仿宋_GBK"/>
          <w:color w:val="000000"/>
          <w:spacing w:val="-2"/>
          <w:sz w:val="24"/>
        </w:rPr>
      </w:pPr>
      <w:r>
        <w:rPr>
          <w:rFonts w:eastAsia="方正仿宋_GBK"/>
          <w:color w:val="000000"/>
          <w:spacing w:val="-2"/>
          <w:sz w:val="24"/>
        </w:rPr>
        <w:t>4.</w:t>
      </w:r>
      <w:r>
        <w:rPr>
          <w:rFonts w:hint="cs" w:eastAsia="方正仿宋_GBK"/>
          <w:color w:val="000000"/>
          <w:spacing w:val="-2"/>
          <w:sz w:val="24"/>
          <w:cs/>
        </w:rPr>
        <w:t> </w:t>
      </w:r>
      <w:r>
        <w:rPr>
          <w:rFonts w:hint="eastAsia" w:eastAsia="方正仿宋_GBK"/>
          <w:color w:val="000000"/>
          <w:spacing w:val="-2"/>
          <w:sz w:val="24"/>
        </w:rPr>
        <w:t>示范区建筑节能和绿色建筑示范项目汇总表；</w:t>
      </w:r>
    </w:p>
    <w:p>
      <w:pPr>
        <w:spacing w:line="460" w:lineRule="exact"/>
        <w:ind w:firstLine="1066" w:firstLineChars="452"/>
        <w:rPr>
          <w:rFonts w:eastAsia="方正仿宋_GBK"/>
          <w:color w:val="000000"/>
          <w:spacing w:val="-2"/>
          <w:sz w:val="24"/>
        </w:rPr>
      </w:pPr>
      <w:r>
        <w:rPr>
          <w:rFonts w:eastAsia="方正仿宋_GBK"/>
          <w:color w:val="000000"/>
          <w:spacing w:val="-2"/>
          <w:sz w:val="24"/>
        </w:rPr>
        <w:t>5.</w:t>
      </w:r>
      <w:r>
        <w:rPr>
          <w:rFonts w:hint="cs" w:eastAsia="方正仿宋_GBK"/>
          <w:color w:val="000000"/>
          <w:spacing w:val="-2"/>
          <w:sz w:val="24"/>
          <w:cs/>
        </w:rPr>
        <w:t> </w:t>
      </w:r>
      <w:r>
        <w:rPr>
          <w:rFonts w:hint="eastAsia" w:eastAsia="方正仿宋_GBK"/>
          <w:color w:val="000000"/>
          <w:spacing w:val="-2"/>
          <w:sz w:val="24"/>
        </w:rPr>
        <w:t>示范区实施总结报告编写提纲；</w:t>
      </w:r>
    </w:p>
    <w:p>
      <w:pPr>
        <w:spacing w:line="460" w:lineRule="exact"/>
        <w:ind w:firstLine="1062" w:firstLineChars="450"/>
        <w:rPr>
          <w:rFonts w:eastAsia="方正仿宋_GBK"/>
          <w:color w:val="000000"/>
          <w:spacing w:val="-2"/>
          <w:sz w:val="24"/>
        </w:rPr>
      </w:pPr>
      <w:r>
        <w:rPr>
          <w:rFonts w:eastAsia="方正仿宋_GBK"/>
          <w:color w:val="000000"/>
          <w:spacing w:val="-2"/>
          <w:sz w:val="24"/>
        </w:rPr>
        <w:t>6.</w:t>
      </w:r>
      <w:r>
        <w:rPr>
          <w:rFonts w:hint="cs" w:eastAsia="方正仿宋_GBK"/>
          <w:color w:val="000000"/>
          <w:spacing w:val="-2"/>
          <w:sz w:val="24"/>
          <w:cs/>
        </w:rPr>
        <w:t> </w:t>
      </w:r>
      <w:r>
        <w:rPr>
          <w:rFonts w:hint="eastAsia" w:eastAsia="方正仿宋_GBK"/>
          <w:color w:val="000000"/>
          <w:spacing w:val="-2"/>
          <w:sz w:val="24"/>
        </w:rPr>
        <w:t>示范区财政补助资金及配套资金使用及管理情况总结报告编写提纲。</w:t>
      </w:r>
    </w:p>
    <w:p>
      <w:pPr>
        <w:spacing w:line="460" w:lineRule="exact"/>
        <w:ind w:firstLine="645"/>
        <w:rPr>
          <w:rFonts w:eastAsia="方正仿宋_GBK"/>
          <w:color w:val="000000"/>
          <w:spacing w:val="-2"/>
          <w:sz w:val="24"/>
        </w:rPr>
      </w:pPr>
    </w:p>
    <w:p>
      <w:pPr>
        <w:spacing w:line="460" w:lineRule="exact"/>
        <w:ind w:right="518" w:firstLine="467"/>
        <w:contextualSpacing/>
        <w:jc w:val="right"/>
        <w:rPr>
          <w:rFonts w:eastAsia="方正仿宋_GBK"/>
          <w:color w:val="000000"/>
          <w:spacing w:val="-2"/>
          <w:sz w:val="24"/>
        </w:rPr>
      </w:pPr>
      <w:r>
        <w:rPr>
          <w:rFonts w:hint="eastAsia" w:eastAsia="方正仿宋_GBK"/>
          <w:color w:val="000000"/>
          <w:spacing w:val="-2"/>
          <w:sz w:val="24"/>
        </w:rPr>
        <w:t>江苏省住房和城乡建设厅</w:t>
      </w:r>
      <w:r>
        <w:rPr>
          <w:rFonts w:eastAsia="方正仿宋_GBK"/>
          <w:color w:val="000000"/>
          <w:spacing w:val="-2"/>
          <w:sz w:val="24"/>
        </w:rPr>
        <w:t xml:space="preserve">    </w:t>
      </w:r>
    </w:p>
    <w:p>
      <w:pPr>
        <w:spacing w:line="460" w:lineRule="exact"/>
        <w:ind w:right="518" w:firstLine="467"/>
        <w:contextualSpacing/>
        <w:jc w:val="right"/>
        <w:rPr>
          <w:rFonts w:eastAsia="方正仿宋_GBK"/>
          <w:color w:val="000000"/>
          <w:spacing w:val="-2"/>
          <w:sz w:val="24"/>
        </w:rPr>
      </w:pPr>
      <w:r>
        <w:rPr>
          <w:rFonts w:hint="eastAsia" w:eastAsia="方正仿宋_GBK"/>
          <w:color w:val="000000"/>
          <w:spacing w:val="120"/>
          <w:kern w:val="0"/>
          <w:sz w:val="24"/>
        </w:rPr>
        <w:t>江苏省财政</w:t>
      </w:r>
      <w:r>
        <w:rPr>
          <w:rFonts w:hint="eastAsia" w:eastAsia="方正仿宋_GBK"/>
          <w:color w:val="000000"/>
          <w:kern w:val="0"/>
          <w:sz w:val="24"/>
        </w:rPr>
        <w:t>厅</w:t>
      </w:r>
      <w:r>
        <w:rPr>
          <w:rFonts w:eastAsia="方正仿宋_GBK"/>
          <w:color w:val="000000"/>
          <w:kern w:val="0"/>
          <w:sz w:val="24"/>
        </w:rPr>
        <w:t xml:space="preserve">    </w:t>
      </w:r>
    </w:p>
    <w:p>
      <w:pPr>
        <w:spacing w:line="460" w:lineRule="exact"/>
        <w:ind w:right="878" w:firstLine="645"/>
        <w:contextualSpacing/>
        <w:jc w:val="right"/>
        <w:rPr>
          <w:rFonts w:eastAsia="方正仿宋_GBK"/>
          <w:color w:val="000000"/>
          <w:spacing w:val="-2"/>
          <w:sz w:val="24"/>
        </w:rPr>
      </w:pPr>
      <w:r>
        <w:rPr>
          <w:rFonts w:eastAsia="方正仿宋_GBK"/>
          <w:color w:val="000000"/>
          <w:spacing w:val="-2"/>
          <w:sz w:val="24"/>
        </w:rPr>
        <w:t xml:space="preserve">                              2013</w:t>
      </w:r>
      <w:r>
        <w:rPr>
          <w:rFonts w:hint="eastAsia" w:eastAsia="方正仿宋_GBK"/>
          <w:color w:val="000000"/>
          <w:spacing w:val="-2"/>
          <w:sz w:val="24"/>
        </w:rPr>
        <w:t>年</w:t>
      </w:r>
      <w:r>
        <w:rPr>
          <w:rFonts w:eastAsia="方正仿宋_GBK"/>
          <w:color w:val="000000"/>
          <w:spacing w:val="-2"/>
          <w:sz w:val="24"/>
        </w:rPr>
        <w:t>11</w:t>
      </w:r>
      <w:r>
        <w:rPr>
          <w:rFonts w:hint="eastAsia" w:eastAsia="方正仿宋_GBK"/>
          <w:color w:val="000000"/>
          <w:spacing w:val="-2"/>
          <w:sz w:val="24"/>
        </w:rPr>
        <w:t>月</w:t>
      </w:r>
      <w:r>
        <w:rPr>
          <w:rFonts w:eastAsia="方正仿宋_GBK"/>
          <w:color w:val="000000"/>
          <w:spacing w:val="-2"/>
          <w:sz w:val="24"/>
        </w:rPr>
        <w:t>4</w:t>
      </w:r>
      <w:r>
        <w:rPr>
          <w:rFonts w:hint="eastAsia" w:eastAsia="方正仿宋_GBK"/>
          <w:color w:val="000000"/>
          <w:spacing w:val="-2"/>
          <w:sz w:val="24"/>
        </w:rPr>
        <w:t>日</w:t>
      </w:r>
      <w:r>
        <w:rPr>
          <w:rFonts w:eastAsia="方正仿宋_GBK"/>
          <w:color w:val="000000"/>
          <w:spacing w:val="-2"/>
          <w:sz w:val="24"/>
        </w:rPr>
        <w:t xml:space="preserve">       </w:t>
      </w:r>
    </w:p>
    <w:p>
      <w:pPr>
        <w:spacing w:line="460" w:lineRule="exact"/>
        <w:jc w:val="center"/>
        <w:rPr>
          <w:rFonts w:eastAsia="方正仿宋_GBK"/>
          <w:b/>
          <w:color w:val="000000"/>
          <w:spacing w:val="-2"/>
          <w:sz w:val="24"/>
        </w:rPr>
      </w:pPr>
    </w:p>
    <w:p>
      <w:pPr>
        <w:spacing w:line="460" w:lineRule="exact"/>
        <w:jc w:val="center"/>
        <w:rPr>
          <w:rFonts w:eastAsia="方正仿宋_GBK"/>
          <w:b/>
          <w:color w:val="000000"/>
          <w:spacing w:val="-2"/>
          <w:sz w:val="24"/>
        </w:rPr>
      </w:pPr>
    </w:p>
    <w:p>
      <w:pPr>
        <w:spacing w:line="460" w:lineRule="exact"/>
        <w:rPr>
          <w:rFonts w:ascii="Times New Roman" w:eastAsia="方正黑体_GBK"/>
          <w:color w:val="000000"/>
          <w:spacing w:val="-2"/>
          <w:sz w:val="28"/>
          <w:szCs w:val="28"/>
        </w:rPr>
      </w:pPr>
      <w:r>
        <w:rPr>
          <w:rFonts w:eastAsia="方正仿宋_GBK"/>
          <w:b/>
          <w:color w:val="000000"/>
          <w:spacing w:val="-2"/>
          <w:sz w:val="24"/>
        </w:rPr>
        <w:br w:type="column"/>
      </w:r>
      <w:r>
        <w:rPr>
          <w:rFonts w:hint="eastAsia" w:ascii="Times New Roman" w:eastAsia="方正黑体_GBK"/>
          <w:color w:val="000000"/>
          <w:spacing w:val="-2"/>
          <w:sz w:val="28"/>
          <w:szCs w:val="28"/>
        </w:rPr>
        <w:t>附件1：</w:t>
      </w:r>
    </w:p>
    <w:p>
      <w:pPr>
        <w:spacing w:line="460" w:lineRule="exact"/>
        <w:rPr>
          <w:rFonts w:hint="eastAsia" w:eastAsia="方正仿宋_GBK"/>
          <w:color w:val="000000"/>
          <w:spacing w:val="-2"/>
          <w:sz w:val="24"/>
        </w:rPr>
      </w:pPr>
    </w:p>
    <w:p>
      <w:pPr>
        <w:spacing w:line="460" w:lineRule="exact"/>
        <w:jc w:val="center"/>
        <w:rPr>
          <w:rFonts w:ascii="Times New Roman" w:eastAsia="方正小标宋简体"/>
          <w:color w:val="000000"/>
          <w:spacing w:val="-2"/>
          <w:sz w:val="36"/>
          <w:szCs w:val="36"/>
        </w:rPr>
      </w:pPr>
      <w:r>
        <w:rPr>
          <w:rFonts w:hint="eastAsia" w:ascii="Times New Roman" w:eastAsia="方正小标宋简体"/>
          <w:color w:val="000000"/>
          <w:spacing w:val="-2"/>
          <w:sz w:val="36"/>
          <w:szCs w:val="36"/>
        </w:rPr>
        <w:t>江苏省省级节能减排（建筑节能）专项引导资金</w:t>
      </w:r>
    </w:p>
    <w:p>
      <w:pPr>
        <w:spacing w:line="460" w:lineRule="exact"/>
        <w:jc w:val="center"/>
        <w:rPr>
          <w:rFonts w:hint="eastAsia" w:ascii="Times New Roman" w:eastAsia="方正小标宋简体"/>
          <w:b/>
          <w:color w:val="000000"/>
          <w:spacing w:val="-2"/>
          <w:sz w:val="36"/>
          <w:szCs w:val="36"/>
        </w:rPr>
      </w:pPr>
      <w:r>
        <w:rPr>
          <w:rFonts w:hint="eastAsia" w:ascii="Times New Roman" w:eastAsia="方正小标宋简体"/>
          <w:color w:val="000000"/>
          <w:spacing w:val="-2"/>
          <w:sz w:val="36"/>
          <w:szCs w:val="36"/>
        </w:rPr>
        <w:t>建筑节能和绿色建筑示范区验收评估细则</w:t>
      </w:r>
    </w:p>
    <w:p>
      <w:pPr>
        <w:spacing w:line="460" w:lineRule="exact"/>
        <w:jc w:val="center"/>
        <w:rPr>
          <w:rFonts w:hint="eastAsia" w:eastAsia="方正仿宋_GBK"/>
          <w:color w:val="000000"/>
          <w:spacing w:val="-2"/>
          <w:sz w:val="24"/>
        </w:rPr>
      </w:pPr>
    </w:p>
    <w:p>
      <w:pPr>
        <w:spacing w:line="460" w:lineRule="exact"/>
        <w:ind w:hanging="15"/>
        <w:jc w:val="center"/>
        <w:rPr>
          <w:rFonts w:eastAsia="方正仿宋_GBK"/>
          <w:color w:val="000000"/>
          <w:spacing w:val="-2"/>
          <w:sz w:val="24"/>
        </w:rPr>
      </w:pPr>
      <w:r>
        <w:rPr>
          <w:rFonts w:hint="eastAsia" w:ascii="Times New Roman" w:eastAsia="方正黑体_GBK"/>
          <w:color w:val="000000"/>
          <w:spacing w:val="-2"/>
          <w:sz w:val="24"/>
        </w:rPr>
        <w:t>第一章</w:t>
      </w:r>
      <w:r>
        <w:rPr>
          <w:rFonts w:eastAsia="方正仿宋_GBK"/>
          <w:color w:val="000000"/>
          <w:spacing w:val="-2"/>
          <w:sz w:val="24"/>
        </w:rPr>
        <w:t xml:space="preserve">  </w:t>
      </w:r>
      <w:r>
        <w:rPr>
          <w:rFonts w:hint="eastAsia" w:ascii="Times New Roman" w:eastAsia="方正黑体_GBK"/>
          <w:color w:val="000000"/>
          <w:spacing w:val="-2"/>
          <w:sz w:val="24"/>
        </w:rPr>
        <w:t>总    则</w:t>
      </w:r>
    </w:p>
    <w:p>
      <w:pPr>
        <w:spacing w:line="460" w:lineRule="exact"/>
        <w:rPr>
          <w:rFonts w:eastAsia="方正仿宋_GBK"/>
          <w:color w:val="000000"/>
          <w:spacing w:val="-2"/>
          <w:sz w:val="24"/>
        </w:rPr>
      </w:pP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第一条</w:t>
      </w:r>
      <w:r>
        <w:rPr>
          <w:rFonts w:eastAsia="方正仿宋_GBK"/>
          <w:color w:val="000000"/>
          <w:spacing w:val="-2"/>
          <w:sz w:val="24"/>
        </w:rPr>
        <w:t xml:space="preserve">  </w:t>
      </w:r>
      <w:r>
        <w:rPr>
          <w:rFonts w:hint="eastAsia" w:eastAsia="方正仿宋_GBK"/>
          <w:color w:val="000000"/>
          <w:spacing w:val="-2"/>
          <w:sz w:val="24"/>
        </w:rPr>
        <w:t>为规范指导江苏省省级节能减排（建筑节能）专项引导资金建筑节能和绿色建筑示范区验收评估工作，特制定本细则。</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第二条</w:t>
      </w:r>
      <w:r>
        <w:rPr>
          <w:rFonts w:eastAsia="方正仿宋_GBK"/>
          <w:color w:val="000000"/>
          <w:spacing w:val="-2"/>
          <w:sz w:val="24"/>
        </w:rPr>
        <w:t xml:space="preserve">  </w:t>
      </w:r>
      <w:r>
        <w:rPr>
          <w:rFonts w:hint="eastAsia" w:eastAsia="方正仿宋_GBK"/>
          <w:color w:val="000000"/>
          <w:spacing w:val="-2"/>
          <w:sz w:val="24"/>
        </w:rPr>
        <w:t>本细则适用于江苏省住房和城乡建设厅、江苏省财政厅批准的省级建筑节能和绿色建筑示范区（以下简称示范区）的验收评估。</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第三条</w:t>
      </w:r>
      <w:r>
        <w:rPr>
          <w:rFonts w:eastAsia="方正仿宋_GBK"/>
          <w:color w:val="000000"/>
          <w:spacing w:val="-2"/>
          <w:sz w:val="24"/>
        </w:rPr>
        <w:t xml:space="preserve">  </w:t>
      </w:r>
      <w:r>
        <w:rPr>
          <w:rFonts w:hint="eastAsia" w:eastAsia="方正仿宋_GBK"/>
          <w:color w:val="000000"/>
          <w:spacing w:val="-2"/>
          <w:sz w:val="24"/>
        </w:rPr>
        <w:t>验收评估工作的主要依据：</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（一）《江苏省省级节能减排（建筑节能）专项引导资金管理暂行办法》（苏财规〔</w:t>
      </w:r>
      <w:r>
        <w:rPr>
          <w:rFonts w:eastAsia="方正仿宋_GBK"/>
          <w:color w:val="000000"/>
          <w:spacing w:val="-2"/>
          <w:sz w:val="24"/>
        </w:rPr>
        <w:t>2010</w:t>
      </w:r>
      <w:r>
        <w:rPr>
          <w:rFonts w:hint="eastAsia" w:eastAsia="方正仿宋_GBK"/>
          <w:color w:val="000000"/>
          <w:spacing w:val="-2"/>
          <w:sz w:val="24"/>
        </w:rPr>
        <w:t>〕</w:t>
      </w:r>
      <w:r>
        <w:rPr>
          <w:rFonts w:eastAsia="方正仿宋_GBK"/>
          <w:color w:val="000000"/>
          <w:spacing w:val="-2"/>
          <w:sz w:val="24"/>
        </w:rPr>
        <w:t>19</w:t>
      </w:r>
      <w:r>
        <w:rPr>
          <w:rFonts w:hint="eastAsia" w:eastAsia="方正仿宋_GBK"/>
          <w:color w:val="000000"/>
          <w:spacing w:val="-2"/>
          <w:sz w:val="24"/>
        </w:rPr>
        <w:t>号）；</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（二）《江苏省省级建筑节能专项引导资金绩效考核暂行办法》（苏财建〔</w:t>
      </w:r>
      <w:r>
        <w:rPr>
          <w:rFonts w:eastAsia="方正仿宋_GBK"/>
          <w:color w:val="000000"/>
          <w:spacing w:val="-2"/>
          <w:sz w:val="24"/>
        </w:rPr>
        <w:t>2011</w:t>
      </w:r>
      <w:r>
        <w:rPr>
          <w:rFonts w:hint="eastAsia" w:eastAsia="方正仿宋_GBK"/>
          <w:color w:val="000000"/>
          <w:spacing w:val="-2"/>
          <w:sz w:val="24"/>
        </w:rPr>
        <w:t>〕</w:t>
      </w:r>
      <w:r>
        <w:rPr>
          <w:rFonts w:eastAsia="方正仿宋_GBK"/>
          <w:color w:val="000000"/>
          <w:spacing w:val="-2"/>
          <w:sz w:val="24"/>
        </w:rPr>
        <w:t>89</w:t>
      </w:r>
      <w:r>
        <w:rPr>
          <w:rFonts w:hint="eastAsia" w:eastAsia="方正仿宋_GBK"/>
          <w:color w:val="000000"/>
          <w:spacing w:val="-2"/>
          <w:sz w:val="24"/>
        </w:rPr>
        <w:t>号）；</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（三）关于公布首批省级建筑节能和绿色建筑示范区项目及加强示范区建设管理工作的通知（苏建函科〔</w:t>
      </w:r>
      <w:r>
        <w:rPr>
          <w:rFonts w:eastAsia="方正仿宋_GBK"/>
          <w:color w:val="000000"/>
          <w:spacing w:val="-2"/>
          <w:sz w:val="24"/>
        </w:rPr>
        <w:t>2011</w:t>
      </w:r>
      <w:r>
        <w:rPr>
          <w:rFonts w:hint="eastAsia" w:eastAsia="方正仿宋_GBK"/>
          <w:color w:val="000000"/>
          <w:spacing w:val="-2"/>
          <w:sz w:val="24"/>
        </w:rPr>
        <w:t>〕</w:t>
      </w:r>
      <w:r>
        <w:rPr>
          <w:rFonts w:eastAsia="方正仿宋_GBK"/>
          <w:color w:val="000000"/>
          <w:spacing w:val="-2"/>
          <w:sz w:val="24"/>
        </w:rPr>
        <w:t>91</w:t>
      </w:r>
      <w:r>
        <w:rPr>
          <w:rFonts w:hint="eastAsia" w:eastAsia="方正仿宋_GBK"/>
          <w:color w:val="000000"/>
          <w:spacing w:val="-2"/>
          <w:sz w:val="24"/>
        </w:rPr>
        <w:t>号）。</w:t>
      </w:r>
    </w:p>
    <w:p>
      <w:pPr>
        <w:spacing w:line="460" w:lineRule="exact"/>
        <w:ind w:firstLine="600"/>
        <w:jc w:val="center"/>
        <w:rPr>
          <w:rFonts w:eastAsia="方正仿宋_GBK"/>
          <w:color w:val="000000"/>
          <w:spacing w:val="-2"/>
          <w:sz w:val="24"/>
        </w:rPr>
      </w:pPr>
    </w:p>
    <w:p>
      <w:pPr>
        <w:spacing w:line="460" w:lineRule="exact"/>
        <w:ind w:hanging="15"/>
        <w:jc w:val="center"/>
        <w:rPr>
          <w:rFonts w:ascii="Times New Roman" w:eastAsia="方正黑体_GBK"/>
          <w:color w:val="000000"/>
          <w:spacing w:val="-2"/>
          <w:sz w:val="24"/>
        </w:rPr>
      </w:pPr>
      <w:r>
        <w:rPr>
          <w:rFonts w:hint="eastAsia" w:ascii="Times New Roman" w:eastAsia="方正黑体_GBK"/>
          <w:color w:val="000000"/>
          <w:spacing w:val="-2"/>
          <w:sz w:val="24"/>
        </w:rPr>
        <w:t>第二章  验收条件</w:t>
      </w:r>
    </w:p>
    <w:p>
      <w:pPr>
        <w:spacing w:line="460" w:lineRule="exact"/>
        <w:ind w:firstLine="600"/>
        <w:rPr>
          <w:rFonts w:hint="eastAsia" w:eastAsia="方正仿宋_GBK"/>
          <w:color w:val="000000"/>
          <w:spacing w:val="-2"/>
          <w:sz w:val="24"/>
        </w:rPr>
      </w:pP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第四条</w:t>
      </w:r>
      <w:r>
        <w:rPr>
          <w:rFonts w:eastAsia="方正仿宋_GBK"/>
          <w:color w:val="000000"/>
          <w:spacing w:val="-2"/>
          <w:sz w:val="24"/>
        </w:rPr>
        <w:t xml:space="preserve">  </w:t>
      </w:r>
      <w:r>
        <w:rPr>
          <w:rFonts w:hint="eastAsia" w:eastAsia="方正仿宋_GBK"/>
          <w:color w:val="000000"/>
          <w:spacing w:val="-2"/>
          <w:sz w:val="24"/>
        </w:rPr>
        <w:t>示范区需达到以下条件，方可验收：</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（一）已按通过论证的的实施方案组织实施，完成专项规划、节约型城乡建设示范工作、建筑节能和绿色建筑示范项目等示范任务以及配套能力建设目标；</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（二）示范项目建设手续完备，管理规范，质量符合要求，绿色建筑项目获得绿色建筑评价标识和能效测评标识；</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（三）财政补助资金和配套资金按要求及时到位，资金的使用及管理符合有关规定。</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（四）示范区建设信息已录入江苏省建筑节能和绿色建筑示范区管理信息平台，可借助平台开展工作，相关数据实现稳定上传。</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（五）建立了示范区后评估体系和后期运营管理制度等示范区建设长效机制。</w:t>
      </w:r>
    </w:p>
    <w:p>
      <w:pPr>
        <w:spacing w:line="460" w:lineRule="exact"/>
        <w:jc w:val="center"/>
        <w:rPr>
          <w:rFonts w:eastAsia="方正仿宋_GBK"/>
          <w:color w:val="000000"/>
          <w:spacing w:val="-2"/>
          <w:sz w:val="24"/>
        </w:rPr>
      </w:pPr>
    </w:p>
    <w:p>
      <w:pPr>
        <w:spacing w:line="460" w:lineRule="exact"/>
        <w:ind w:hanging="15"/>
        <w:jc w:val="center"/>
        <w:rPr>
          <w:rFonts w:ascii="Times New Roman" w:eastAsia="方正黑体_GBK"/>
          <w:color w:val="000000"/>
          <w:spacing w:val="-2"/>
          <w:sz w:val="24"/>
        </w:rPr>
      </w:pPr>
      <w:r>
        <w:rPr>
          <w:rFonts w:hint="eastAsia" w:ascii="Times New Roman" w:eastAsia="方正黑体_GBK"/>
          <w:color w:val="000000"/>
          <w:spacing w:val="-2"/>
          <w:sz w:val="24"/>
        </w:rPr>
        <w:t>第三章  验收内容</w:t>
      </w:r>
    </w:p>
    <w:p>
      <w:pPr>
        <w:spacing w:line="460" w:lineRule="exact"/>
        <w:ind w:firstLine="600"/>
        <w:rPr>
          <w:rFonts w:hint="eastAsia" w:eastAsia="方正仿宋_GBK"/>
          <w:color w:val="000000"/>
          <w:spacing w:val="-2"/>
          <w:sz w:val="24"/>
        </w:rPr>
      </w:pP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第五条</w:t>
      </w:r>
      <w:r>
        <w:rPr>
          <w:rFonts w:eastAsia="方正仿宋_GBK"/>
          <w:color w:val="000000"/>
          <w:spacing w:val="-2"/>
          <w:sz w:val="24"/>
        </w:rPr>
        <w:t xml:space="preserve">  </w:t>
      </w:r>
      <w:r>
        <w:rPr>
          <w:rFonts w:hint="eastAsia" w:eastAsia="方正仿宋_GBK"/>
          <w:color w:val="000000"/>
          <w:spacing w:val="-2"/>
          <w:sz w:val="24"/>
        </w:rPr>
        <w:t>示范区验收内容包括：</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（一）示范区总体任务完成情况；</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（二）示范区专项规划编制及批准实施情况；</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（三）示范区节约型城乡建设工作完成情况及考核指标体系达标情况；</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（四）示范区建筑节能和绿色建筑示范项目完成情况，包括可再生能源建筑应用项目、绿色建筑项目、建筑能耗分项计量项目及住宅全装修项目等完成情况；</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（五）示范区配套能力建设情况，包括领导小组和办事机构建立、法规政策、技术标准、科技研发、后期运营管理制度等；</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（六）财政补助资金及配套资金使用及管理情况。</w:t>
      </w:r>
      <w:r>
        <w:rPr>
          <w:rFonts w:eastAsia="方正仿宋_GBK"/>
          <w:color w:val="000000"/>
          <w:spacing w:val="-2"/>
          <w:sz w:val="24"/>
        </w:rPr>
        <w:t xml:space="preserve"> </w:t>
      </w:r>
    </w:p>
    <w:p>
      <w:pPr>
        <w:spacing w:line="460" w:lineRule="exact"/>
        <w:jc w:val="center"/>
        <w:rPr>
          <w:rFonts w:eastAsia="方正仿宋_GBK"/>
          <w:color w:val="000000"/>
          <w:spacing w:val="-2"/>
          <w:sz w:val="24"/>
        </w:rPr>
      </w:pPr>
    </w:p>
    <w:p>
      <w:pPr>
        <w:spacing w:line="460" w:lineRule="exact"/>
        <w:ind w:hanging="15"/>
        <w:jc w:val="center"/>
        <w:rPr>
          <w:rFonts w:ascii="Times New Roman" w:eastAsia="方正黑体_GBK"/>
          <w:color w:val="000000"/>
          <w:spacing w:val="-2"/>
          <w:sz w:val="24"/>
        </w:rPr>
      </w:pPr>
      <w:r>
        <w:rPr>
          <w:rFonts w:hint="eastAsia" w:ascii="Times New Roman" w:eastAsia="方正黑体_GBK"/>
          <w:color w:val="000000"/>
          <w:spacing w:val="-2"/>
          <w:sz w:val="24"/>
        </w:rPr>
        <w:t>第四章  验收程序</w:t>
      </w:r>
    </w:p>
    <w:p>
      <w:pPr>
        <w:spacing w:line="460" w:lineRule="exact"/>
        <w:ind w:firstLine="422" w:firstLineChars="179"/>
        <w:jc w:val="left"/>
        <w:rPr>
          <w:rFonts w:hint="eastAsia" w:eastAsia="方正仿宋_GBK"/>
          <w:color w:val="000000"/>
          <w:spacing w:val="-2"/>
          <w:sz w:val="24"/>
        </w:rPr>
      </w:pPr>
    </w:p>
    <w:p>
      <w:pPr>
        <w:spacing w:line="460" w:lineRule="exact"/>
        <w:ind w:firstLine="472" w:firstLineChars="200"/>
        <w:jc w:val="left"/>
        <w:rPr>
          <w:rFonts w:eastAsia="方正仿宋_GBK"/>
          <w:color w:val="000000"/>
          <w:spacing w:val="-2"/>
          <w:sz w:val="24"/>
        </w:rPr>
      </w:pPr>
      <w:r>
        <w:rPr>
          <w:rFonts w:hint="eastAsia" w:ascii="Times New Roman" w:eastAsia="方正黑体_GBK"/>
          <w:color w:val="000000"/>
          <w:spacing w:val="-2"/>
          <w:sz w:val="24"/>
        </w:rPr>
        <w:t>第六条</w:t>
      </w:r>
      <w:r>
        <w:rPr>
          <w:rFonts w:eastAsia="方正仿宋_GBK"/>
          <w:color w:val="000000"/>
          <w:spacing w:val="-2"/>
          <w:sz w:val="24"/>
        </w:rPr>
        <w:t xml:space="preserve">  </w:t>
      </w:r>
      <w:r>
        <w:rPr>
          <w:rFonts w:hint="eastAsia" w:eastAsia="方正仿宋_GBK"/>
          <w:color w:val="000000"/>
          <w:spacing w:val="-2"/>
          <w:sz w:val="24"/>
        </w:rPr>
        <w:t>示范区完成示范任务后，组织自检，确定达到验收条件后，经省辖市建设主管部门同意，向省住房和城乡建设厅、省财政厅提出验收评估申请。申请时应提交以下验收材料：</w:t>
      </w:r>
    </w:p>
    <w:p>
      <w:pPr>
        <w:spacing w:line="460" w:lineRule="exact"/>
        <w:ind w:firstLine="431" w:firstLineChars="183"/>
        <w:jc w:val="left"/>
        <w:rPr>
          <w:rFonts w:eastAsia="方正仿宋_GBK"/>
          <w:color w:val="000000"/>
          <w:spacing w:val="-2"/>
          <w:sz w:val="24"/>
        </w:rPr>
      </w:pPr>
      <w:r>
        <w:rPr>
          <w:rFonts w:hint="eastAsia" w:eastAsia="方正仿宋_GBK"/>
          <w:color w:val="000000"/>
          <w:spacing w:val="-2"/>
          <w:sz w:val="24"/>
        </w:rPr>
        <w:t>（一）示范区验收评估申请表；</w:t>
      </w:r>
    </w:p>
    <w:p>
      <w:pPr>
        <w:spacing w:line="460" w:lineRule="exact"/>
        <w:ind w:firstLine="431" w:firstLineChars="183"/>
        <w:jc w:val="left"/>
        <w:rPr>
          <w:rFonts w:eastAsia="方正仿宋_GBK"/>
          <w:color w:val="000000"/>
          <w:spacing w:val="-2"/>
          <w:sz w:val="24"/>
        </w:rPr>
      </w:pPr>
      <w:r>
        <w:rPr>
          <w:rFonts w:hint="eastAsia" w:eastAsia="方正仿宋_GBK"/>
          <w:color w:val="000000"/>
          <w:spacing w:val="-2"/>
          <w:sz w:val="24"/>
        </w:rPr>
        <w:t>（二）批准的示范区实施方案；</w:t>
      </w:r>
    </w:p>
    <w:p>
      <w:pPr>
        <w:spacing w:line="460" w:lineRule="exact"/>
        <w:ind w:firstLine="431" w:firstLineChars="183"/>
        <w:jc w:val="left"/>
        <w:rPr>
          <w:rFonts w:eastAsia="方正仿宋_GBK"/>
          <w:color w:val="000000"/>
          <w:spacing w:val="-2"/>
          <w:sz w:val="24"/>
        </w:rPr>
      </w:pPr>
      <w:r>
        <w:rPr>
          <w:rFonts w:hint="eastAsia" w:eastAsia="方正仿宋_GBK"/>
          <w:color w:val="000000"/>
          <w:spacing w:val="-2"/>
          <w:sz w:val="24"/>
        </w:rPr>
        <w:t>（三）示范区实施总结报告；</w:t>
      </w:r>
    </w:p>
    <w:p>
      <w:pPr>
        <w:spacing w:line="460" w:lineRule="exact"/>
        <w:ind w:firstLine="472" w:firstLineChars="200"/>
        <w:jc w:val="left"/>
        <w:rPr>
          <w:rFonts w:eastAsia="方正仿宋_GBK"/>
          <w:color w:val="000000"/>
          <w:spacing w:val="-2"/>
          <w:sz w:val="24"/>
        </w:rPr>
      </w:pPr>
      <w:r>
        <w:rPr>
          <w:rFonts w:hint="eastAsia" w:eastAsia="方正仿宋_GBK"/>
          <w:color w:val="000000"/>
          <w:spacing w:val="-2"/>
          <w:sz w:val="24"/>
        </w:rPr>
        <w:t>（四）示范区财政补助资金及配套资金使用及管理情况报告；</w:t>
      </w:r>
    </w:p>
    <w:p>
      <w:pPr>
        <w:spacing w:line="460" w:lineRule="exact"/>
        <w:ind w:firstLine="472" w:firstLineChars="200"/>
        <w:jc w:val="left"/>
        <w:rPr>
          <w:rFonts w:eastAsia="方正仿宋_GBK"/>
          <w:color w:val="000000"/>
          <w:spacing w:val="-2"/>
          <w:sz w:val="24"/>
        </w:rPr>
      </w:pPr>
      <w:r>
        <w:rPr>
          <w:rFonts w:hint="eastAsia" w:eastAsia="方正仿宋_GBK"/>
          <w:color w:val="000000"/>
          <w:spacing w:val="-2"/>
          <w:sz w:val="24"/>
        </w:rPr>
        <w:t>（五）纳入示范的项目清单，项目验收材料和绿色建筑评价标识材料、能效测评标识材料；</w:t>
      </w:r>
    </w:p>
    <w:p>
      <w:pPr>
        <w:spacing w:line="460" w:lineRule="exact"/>
        <w:ind w:firstLine="472" w:firstLineChars="200"/>
        <w:jc w:val="left"/>
        <w:rPr>
          <w:rFonts w:eastAsia="方正仿宋_GBK"/>
          <w:color w:val="000000"/>
          <w:spacing w:val="-2"/>
          <w:sz w:val="24"/>
        </w:rPr>
      </w:pPr>
      <w:r>
        <w:rPr>
          <w:rFonts w:hint="eastAsia" w:eastAsia="方正仿宋_GBK"/>
          <w:color w:val="000000"/>
          <w:spacing w:val="-2"/>
          <w:sz w:val="24"/>
        </w:rPr>
        <w:t>（六）纳入示范区工作的节约型城乡建设项目材料；</w:t>
      </w:r>
    </w:p>
    <w:p>
      <w:pPr>
        <w:spacing w:line="460" w:lineRule="exact"/>
        <w:ind w:firstLine="472" w:firstLineChars="200"/>
        <w:jc w:val="left"/>
        <w:rPr>
          <w:rFonts w:eastAsia="方正仿宋_GBK"/>
          <w:color w:val="000000"/>
          <w:spacing w:val="-2"/>
          <w:sz w:val="24"/>
        </w:rPr>
      </w:pPr>
      <w:r>
        <w:rPr>
          <w:rFonts w:hint="eastAsia" w:eastAsia="方正仿宋_GBK"/>
          <w:color w:val="000000"/>
          <w:spacing w:val="-2"/>
          <w:sz w:val="24"/>
        </w:rPr>
        <w:t>（七）示范区工作开展及配套能力建设成果文件，包括：进度报表、中期检查表、资源评估报告、专项规划及配套政策文件等；</w:t>
      </w:r>
    </w:p>
    <w:p>
      <w:pPr>
        <w:spacing w:line="460" w:lineRule="exact"/>
        <w:ind w:firstLine="472" w:firstLineChars="200"/>
        <w:jc w:val="left"/>
        <w:rPr>
          <w:rFonts w:eastAsia="方正仿宋_GBK"/>
          <w:color w:val="000000"/>
          <w:spacing w:val="-2"/>
          <w:sz w:val="24"/>
        </w:rPr>
      </w:pPr>
      <w:r>
        <w:rPr>
          <w:rFonts w:hint="eastAsia" w:eastAsia="方正仿宋_GBK"/>
          <w:color w:val="000000"/>
          <w:spacing w:val="-2"/>
          <w:sz w:val="24"/>
        </w:rPr>
        <w:t>（八）项目能效测评报告和典型项目运行监测相关文件；</w:t>
      </w:r>
    </w:p>
    <w:p>
      <w:pPr>
        <w:spacing w:line="460" w:lineRule="exact"/>
        <w:ind w:firstLine="472" w:firstLineChars="200"/>
        <w:jc w:val="left"/>
        <w:rPr>
          <w:rFonts w:eastAsia="方正仿宋_GBK"/>
          <w:color w:val="000000"/>
          <w:spacing w:val="-2"/>
          <w:sz w:val="24"/>
        </w:rPr>
      </w:pPr>
      <w:r>
        <w:rPr>
          <w:rFonts w:hint="eastAsia" w:eastAsia="方正仿宋_GBK"/>
          <w:color w:val="000000"/>
          <w:spacing w:val="-2"/>
          <w:sz w:val="24"/>
        </w:rPr>
        <w:t>（九）示范区运营管理等后评估文件；</w:t>
      </w:r>
    </w:p>
    <w:p>
      <w:pPr>
        <w:spacing w:line="460" w:lineRule="exact"/>
        <w:ind w:firstLine="472" w:firstLineChars="200"/>
        <w:jc w:val="left"/>
        <w:rPr>
          <w:rFonts w:eastAsia="方正仿宋_GBK"/>
          <w:color w:val="000000"/>
          <w:spacing w:val="-2"/>
          <w:sz w:val="24"/>
        </w:rPr>
      </w:pPr>
      <w:r>
        <w:rPr>
          <w:rFonts w:hint="eastAsia" w:eastAsia="方正仿宋_GBK"/>
          <w:color w:val="000000"/>
          <w:spacing w:val="-2"/>
          <w:sz w:val="24"/>
        </w:rPr>
        <w:t>（十）其他相关资料。</w:t>
      </w:r>
    </w:p>
    <w:p>
      <w:pPr>
        <w:spacing w:line="460" w:lineRule="exact"/>
        <w:ind w:firstLine="600"/>
        <w:rPr>
          <w:rFonts w:eastAsia="方正仿宋_GBK"/>
          <w:color w:val="000000"/>
          <w:spacing w:val="-2"/>
          <w:sz w:val="24"/>
        </w:rPr>
      </w:pPr>
      <w:r>
        <w:rPr>
          <w:rFonts w:hint="eastAsia" w:eastAsia="方正仿宋_GBK"/>
          <w:color w:val="000000"/>
          <w:spacing w:val="-2"/>
          <w:sz w:val="24"/>
        </w:rPr>
        <w:t>验收材料分类装订成册；示范项目材料按项目分别装订成册，建成项目提供完整材料（施工图专项审查备案表、实施过程季报表、中期检查表、绿色建筑评价标识证书、能效测评标识证书、能耗数据接收证明、项目验收申请表、项目验收评估报告），在建项目按建设进度提供相应材料。</w:t>
      </w:r>
    </w:p>
    <w:p>
      <w:pPr>
        <w:spacing w:line="460" w:lineRule="exact"/>
        <w:ind w:firstLine="600"/>
        <w:rPr>
          <w:rFonts w:eastAsia="方正仿宋_GBK"/>
          <w:color w:val="000000"/>
          <w:spacing w:val="-2"/>
          <w:sz w:val="24"/>
        </w:rPr>
      </w:pPr>
      <w:r>
        <w:rPr>
          <w:rFonts w:hint="eastAsia" w:ascii="Times New Roman" w:eastAsia="方正黑体_GBK"/>
          <w:color w:val="000000"/>
          <w:spacing w:val="-2"/>
          <w:sz w:val="24"/>
        </w:rPr>
        <w:t>第七条</w:t>
      </w:r>
      <w:r>
        <w:rPr>
          <w:rFonts w:eastAsia="方正仿宋_GBK"/>
          <w:color w:val="000000"/>
          <w:spacing w:val="-2"/>
          <w:sz w:val="24"/>
        </w:rPr>
        <w:t xml:space="preserve">  </w:t>
      </w:r>
      <w:r>
        <w:rPr>
          <w:rFonts w:hint="eastAsia" w:eastAsia="方正仿宋_GBK"/>
          <w:color w:val="000000"/>
          <w:spacing w:val="-2"/>
          <w:sz w:val="24"/>
        </w:rPr>
        <w:t>省住房和城乡建设厅、省财政厅组织对申请验收评估的示范区进行验收审核。通过验收的示范区，由省住房和城乡建设厅、省财政厅下发通过验收的文件和验收评估报告，同时对建成的示范项目授予</w:t>
      </w:r>
      <w:r>
        <w:rPr>
          <w:rFonts w:eastAsia="方正仿宋_GBK"/>
          <w:color w:val="000000"/>
          <w:spacing w:val="-2"/>
          <w:sz w:val="24"/>
        </w:rPr>
        <w:t>“</w:t>
      </w:r>
      <w:r>
        <w:rPr>
          <w:rFonts w:hint="eastAsia" w:eastAsia="方正仿宋_GBK"/>
          <w:color w:val="000000"/>
          <w:spacing w:val="-2"/>
          <w:sz w:val="24"/>
        </w:rPr>
        <w:t>江苏绿色建筑示范</w:t>
      </w:r>
      <w:r>
        <w:rPr>
          <w:rFonts w:eastAsia="方正仿宋_GBK"/>
          <w:color w:val="000000"/>
          <w:spacing w:val="-2"/>
          <w:sz w:val="24"/>
        </w:rPr>
        <w:t>”</w:t>
      </w:r>
      <w:r>
        <w:rPr>
          <w:rFonts w:hint="eastAsia" w:eastAsia="方正仿宋_GBK"/>
          <w:color w:val="000000"/>
          <w:spacing w:val="-2"/>
          <w:sz w:val="24"/>
        </w:rPr>
        <w:t>铜牌。</w:t>
      </w:r>
    </w:p>
    <w:p>
      <w:pPr>
        <w:spacing w:line="460" w:lineRule="exact"/>
        <w:ind w:firstLine="600"/>
        <w:rPr>
          <w:rFonts w:eastAsia="方正仿宋_GBK"/>
          <w:color w:val="000000"/>
          <w:spacing w:val="-2"/>
          <w:sz w:val="24"/>
        </w:rPr>
      </w:pPr>
      <w:r>
        <w:rPr>
          <w:rFonts w:hint="eastAsia" w:eastAsia="方正仿宋_GBK"/>
          <w:color w:val="000000"/>
          <w:spacing w:val="-2"/>
          <w:sz w:val="24"/>
        </w:rPr>
        <w:t>没有通过验收的示范区，由省辖市建设主管部门负责督促整改，符合要求后，重新申请验收。</w:t>
      </w:r>
    </w:p>
    <w:p>
      <w:pPr>
        <w:spacing w:line="460" w:lineRule="exact"/>
        <w:ind w:firstLine="600"/>
        <w:rPr>
          <w:rFonts w:eastAsia="方正仿宋_GBK"/>
          <w:color w:val="000000"/>
          <w:spacing w:val="-2"/>
          <w:sz w:val="24"/>
        </w:rPr>
      </w:pPr>
      <w:r>
        <w:rPr>
          <w:rFonts w:hint="eastAsia" w:ascii="Times New Roman" w:eastAsia="方正黑体_GBK"/>
          <w:color w:val="000000"/>
          <w:spacing w:val="-2"/>
          <w:sz w:val="24"/>
        </w:rPr>
        <w:t>第八条</w:t>
      </w:r>
      <w:r>
        <w:rPr>
          <w:rFonts w:eastAsia="方正仿宋_GBK"/>
          <w:color w:val="000000"/>
          <w:spacing w:val="-2"/>
          <w:sz w:val="24"/>
        </w:rPr>
        <w:t xml:space="preserve">  </w:t>
      </w:r>
      <w:r>
        <w:rPr>
          <w:rFonts w:hint="eastAsia" w:eastAsia="方正仿宋_GBK"/>
          <w:color w:val="000000"/>
          <w:spacing w:val="-2"/>
          <w:sz w:val="24"/>
        </w:rPr>
        <w:t>示范区验收评估程序：</w:t>
      </w:r>
    </w:p>
    <w:p>
      <w:pPr>
        <w:spacing w:line="460" w:lineRule="exact"/>
        <w:ind w:firstLine="600"/>
        <w:rPr>
          <w:rFonts w:eastAsia="方正仿宋_GBK"/>
          <w:color w:val="000000"/>
          <w:spacing w:val="-2"/>
          <w:sz w:val="24"/>
        </w:rPr>
      </w:pPr>
      <w:r>
        <w:rPr>
          <w:rFonts w:hint="eastAsia" w:eastAsia="方正仿宋_GBK"/>
          <w:color w:val="000000"/>
          <w:spacing w:val="-2"/>
          <w:sz w:val="24"/>
        </w:rPr>
        <w:t>（一）示范区建设工作汇报；</w:t>
      </w:r>
    </w:p>
    <w:p>
      <w:pPr>
        <w:spacing w:line="460" w:lineRule="exact"/>
        <w:ind w:firstLine="600"/>
        <w:rPr>
          <w:rFonts w:eastAsia="方正仿宋_GBK"/>
          <w:color w:val="000000"/>
          <w:spacing w:val="-2"/>
          <w:sz w:val="24"/>
        </w:rPr>
      </w:pPr>
      <w:r>
        <w:rPr>
          <w:rFonts w:hint="eastAsia" w:eastAsia="方正仿宋_GBK"/>
          <w:color w:val="000000"/>
          <w:spacing w:val="-2"/>
          <w:sz w:val="24"/>
        </w:rPr>
        <w:t>（二）能效测评和运行监测情况报告；</w:t>
      </w:r>
    </w:p>
    <w:p>
      <w:pPr>
        <w:spacing w:line="460" w:lineRule="exact"/>
        <w:ind w:firstLine="600"/>
        <w:rPr>
          <w:rFonts w:eastAsia="方正仿宋_GBK"/>
          <w:color w:val="000000"/>
          <w:spacing w:val="-2"/>
          <w:sz w:val="24"/>
        </w:rPr>
      </w:pPr>
      <w:r>
        <w:rPr>
          <w:rFonts w:hint="eastAsia" w:eastAsia="方正仿宋_GBK"/>
          <w:color w:val="000000"/>
          <w:spacing w:val="-2"/>
          <w:sz w:val="24"/>
        </w:rPr>
        <w:t>（三）资金使用情况报告；</w:t>
      </w:r>
    </w:p>
    <w:p>
      <w:pPr>
        <w:spacing w:line="460" w:lineRule="exact"/>
        <w:ind w:firstLine="600"/>
        <w:rPr>
          <w:rFonts w:eastAsia="方正仿宋_GBK"/>
          <w:color w:val="000000"/>
          <w:spacing w:val="-2"/>
          <w:sz w:val="24"/>
        </w:rPr>
      </w:pPr>
      <w:r>
        <w:rPr>
          <w:rFonts w:hint="eastAsia" w:eastAsia="方正仿宋_GBK"/>
          <w:color w:val="000000"/>
          <w:spacing w:val="-2"/>
          <w:sz w:val="24"/>
        </w:rPr>
        <w:t>（四）抽查示范项目现场；</w:t>
      </w:r>
    </w:p>
    <w:p>
      <w:pPr>
        <w:spacing w:line="460" w:lineRule="exact"/>
        <w:ind w:firstLine="600"/>
        <w:rPr>
          <w:rFonts w:eastAsia="方正仿宋_GBK"/>
          <w:color w:val="000000"/>
          <w:spacing w:val="-2"/>
          <w:sz w:val="24"/>
        </w:rPr>
      </w:pPr>
      <w:r>
        <w:rPr>
          <w:rFonts w:hint="eastAsia" w:eastAsia="方正仿宋_GBK"/>
          <w:color w:val="000000"/>
          <w:spacing w:val="-2"/>
          <w:sz w:val="24"/>
        </w:rPr>
        <w:t>（五）验收评估资料审查；</w:t>
      </w:r>
    </w:p>
    <w:p>
      <w:pPr>
        <w:spacing w:line="460" w:lineRule="exact"/>
        <w:ind w:firstLine="600"/>
        <w:rPr>
          <w:rFonts w:eastAsia="方正仿宋_GBK"/>
          <w:color w:val="000000"/>
          <w:spacing w:val="-2"/>
          <w:sz w:val="24"/>
        </w:rPr>
      </w:pPr>
      <w:r>
        <w:rPr>
          <w:rFonts w:hint="eastAsia" w:eastAsia="方正仿宋_GBK"/>
          <w:color w:val="000000"/>
          <w:spacing w:val="-2"/>
          <w:sz w:val="24"/>
        </w:rPr>
        <w:t>（六）质询、答辩；</w:t>
      </w:r>
    </w:p>
    <w:p>
      <w:pPr>
        <w:spacing w:line="460" w:lineRule="exact"/>
        <w:ind w:firstLine="600"/>
        <w:rPr>
          <w:rFonts w:eastAsia="方正仿宋_GBK"/>
          <w:color w:val="000000"/>
          <w:spacing w:val="-2"/>
          <w:sz w:val="24"/>
        </w:rPr>
      </w:pPr>
      <w:r>
        <w:rPr>
          <w:rFonts w:hint="eastAsia" w:eastAsia="方正仿宋_GBK"/>
          <w:color w:val="000000"/>
          <w:spacing w:val="-2"/>
          <w:sz w:val="24"/>
        </w:rPr>
        <w:t>（七）形成专家验收意见。</w:t>
      </w:r>
    </w:p>
    <w:p>
      <w:pPr>
        <w:spacing w:line="460" w:lineRule="exact"/>
        <w:ind w:firstLine="600"/>
        <w:rPr>
          <w:rFonts w:eastAsia="方正仿宋_GBK"/>
          <w:color w:val="000000"/>
          <w:spacing w:val="-2"/>
          <w:sz w:val="24"/>
        </w:rPr>
      </w:pPr>
    </w:p>
    <w:p>
      <w:pPr>
        <w:spacing w:line="460" w:lineRule="exact"/>
        <w:ind w:firstLine="600"/>
        <w:rPr>
          <w:rFonts w:eastAsia="方正仿宋_GBK"/>
          <w:color w:val="000000"/>
          <w:spacing w:val="-2"/>
          <w:sz w:val="24"/>
        </w:rPr>
      </w:pPr>
    </w:p>
    <w:p>
      <w:pPr>
        <w:spacing w:line="460" w:lineRule="exact"/>
        <w:jc w:val="left"/>
        <w:rPr>
          <w:rFonts w:ascii="Times New Roman" w:eastAsia="方正黑体_GBK"/>
          <w:color w:val="000000"/>
          <w:spacing w:val="-2"/>
          <w:sz w:val="28"/>
          <w:szCs w:val="28"/>
        </w:rPr>
      </w:pPr>
      <w:r>
        <w:rPr>
          <w:rFonts w:eastAsia="方正仿宋_GBK"/>
          <w:color w:val="000000"/>
          <w:spacing w:val="-2"/>
          <w:sz w:val="24"/>
        </w:rPr>
        <w:br w:type="column"/>
      </w:r>
      <w:r>
        <w:rPr>
          <w:rFonts w:hint="eastAsia" w:ascii="Times New Roman" w:eastAsia="方正黑体_GBK"/>
          <w:color w:val="000000"/>
          <w:spacing w:val="-2"/>
          <w:sz w:val="28"/>
          <w:szCs w:val="28"/>
        </w:rPr>
        <w:t>附件2：</w:t>
      </w:r>
    </w:p>
    <w:p>
      <w:pPr>
        <w:spacing w:line="460" w:lineRule="exact"/>
        <w:jc w:val="left"/>
        <w:rPr>
          <w:rFonts w:hint="eastAsia" w:eastAsia="方正仿宋_GBK"/>
          <w:color w:val="000000"/>
          <w:spacing w:val="-2"/>
          <w:sz w:val="24"/>
        </w:rPr>
      </w:pPr>
    </w:p>
    <w:p>
      <w:pPr>
        <w:spacing w:line="240" w:lineRule="exact"/>
        <w:jc w:val="center"/>
        <w:rPr>
          <w:rFonts w:ascii="Times New Roman" w:eastAsia="黑体"/>
          <w:color w:val="000000"/>
          <w:spacing w:val="-2"/>
          <w:sz w:val="36"/>
          <w:szCs w:val="36"/>
        </w:rPr>
      </w:pPr>
    </w:p>
    <w:p>
      <w:pPr>
        <w:spacing w:before="192" w:beforeLines="80" w:line="600" w:lineRule="exact"/>
        <w:jc w:val="center"/>
        <w:rPr>
          <w:rFonts w:hint="eastAsia" w:ascii="Times New Roman" w:eastAsia="方正小标宋简体"/>
          <w:color w:val="000000"/>
          <w:spacing w:val="-2"/>
          <w:sz w:val="44"/>
          <w:szCs w:val="44"/>
        </w:rPr>
      </w:pPr>
      <w:r>
        <w:rPr>
          <w:rFonts w:hint="eastAsia" w:ascii="Times New Roman" w:eastAsia="方正小标宋简体"/>
          <w:color w:val="000000"/>
          <w:spacing w:val="-2"/>
          <w:sz w:val="44"/>
          <w:szCs w:val="44"/>
        </w:rPr>
        <w:t>江苏省省级节能减排(建筑节能)专项引导资金</w:t>
      </w:r>
    </w:p>
    <w:p>
      <w:pPr>
        <w:spacing w:before="192" w:beforeLines="80" w:line="600" w:lineRule="exact"/>
        <w:jc w:val="center"/>
        <w:rPr>
          <w:rFonts w:hint="eastAsia" w:ascii="Times New Roman" w:eastAsia="方正小标宋简体"/>
          <w:color w:val="000000"/>
          <w:spacing w:val="-2"/>
          <w:sz w:val="44"/>
          <w:szCs w:val="44"/>
        </w:rPr>
      </w:pPr>
      <w:r>
        <w:rPr>
          <w:rFonts w:hint="eastAsia" w:ascii="Times New Roman" w:eastAsia="方正小标宋简体"/>
          <w:color w:val="000000"/>
          <w:spacing w:val="-2"/>
          <w:sz w:val="44"/>
          <w:szCs w:val="44"/>
        </w:rPr>
        <w:t>建筑节能和绿色建筑示范区</w:t>
      </w:r>
    </w:p>
    <w:p>
      <w:pPr>
        <w:spacing w:before="192" w:beforeLines="80" w:line="600" w:lineRule="exact"/>
        <w:jc w:val="center"/>
        <w:rPr>
          <w:rFonts w:hint="eastAsia" w:ascii="Times New Roman" w:eastAsia="方正小标宋简体"/>
          <w:color w:val="000000"/>
          <w:spacing w:val="-2"/>
          <w:sz w:val="44"/>
          <w:szCs w:val="44"/>
        </w:rPr>
      </w:pPr>
      <w:r>
        <w:rPr>
          <w:rFonts w:hint="eastAsia" w:ascii="Times New Roman" w:eastAsia="方正小标宋简体"/>
          <w:color w:val="000000"/>
          <w:spacing w:val="-2"/>
          <w:sz w:val="44"/>
          <w:szCs w:val="44"/>
        </w:rPr>
        <w:t>验 收 评 估 申 请 表</w:t>
      </w:r>
    </w:p>
    <w:p>
      <w:pPr>
        <w:spacing w:line="740" w:lineRule="exact"/>
        <w:ind w:firstLine="515" w:firstLineChars="250"/>
        <w:rPr>
          <w:rFonts w:hint="eastAsia"/>
          <w:color w:val="000000"/>
          <w:spacing w:val="-2"/>
          <w:szCs w:val="32"/>
        </w:rPr>
      </w:pPr>
    </w:p>
    <w:p>
      <w:pPr>
        <w:spacing w:line="740" w:lineRule="exact"/>
        <w:ind w:firstLine="515" w:firstLineChars="250"/>
        <w:rPr>
          <w:color w:val="000000"/>
          <w:spacing w:val="-2"/>
          <w:szCs w:val="32"/>
        </w:rPr>
      </w:pPr>
    </w:p>
    <w:p>
      <w:pPr>
        <w:spacing w:line="740" w:lineRule="exact"/>
        <w:ind w:firstLine="790" w:firstLineChars="250"/>
        <w:rPr>
          <w:rFonts w:eastAsia="方正仿宋_GBK"/>
          <w:color w:val="000000"/>
          <w:spacing w:val="-2"/>
          <w:sz w:val="32"/>
          <w:szCs w:val="32"/>
        </w:rPr>
      </w:pPr>
      <w:r>
        <w:rPr>
          <w:rFonts w:hint="eastAsia" w:eastAsia="方正仿宋_GBK"/>
          <w:color w:val="000000"/>
          <w:spacing w:val="-2"/>
          <w:sz w:val="32"/>
          <w:szCs w:val="32"/>
        </w:rPr>
        <w:t>示范区名称：</w:t>
      </w:r>
      <w:r>
        <w:rPr>
          <w:rFonts w:eastAsia="方正仿宋_GBK"/>
          <w:color w:val="000000"/>
          <w:spacing w:val="-2"/>
          <w:sz w:val="32"/>
          <w:szCs w:val="32"/>
          <w:u w:val="single"/>
        </w:rPr>
        <w:t xml:space="preserve">                               </w:t>
      </w:r>
    </w:p>
    <w:p>
      <w:pPr>
        <w:spacing w:line="740" w:lineRule="exact"/>
        <w:ind w:firstLine="790" w:firstLineChars="250"/>
        <w:rPr>
          <w:rFonts w:eastAsia="方正仿宋_GBK"/>
          <w:color w:val="000000"/>
          <w:spacing w:val="-2"/>
          <w:sz w:val="32"/>
          <w:szCs w:val="32"/>
          <w:u w:val="single"/>
        </w:rPr>
      </w:pPr>
      <w:r>
        <w:rPr>
          <w:rFonts w:hint="eastAsia" w:eastAsia="方正仿宋_GBK"/>
          <w:color w:val="000000"/>
          <w:spacing w:val="-2"/>
          <w:sz w:val="32"/>
          <w:szCs w:val="32"/>
        </w:rPr>
        <w:t>申请单位：（盖章）</w:t>
      </w:r>
      <w:r>
        <w:rPr>
          <w:rFonts w:eastAsia="方正仿宋_GBK"/>
          <w:color w:val="000000"/>
          <w:spacing w:val="-2"/>
          <w:sz w:val="32"/>
          <w:szCs w:val="32"/>
          <w:u w:val="single"/>
        </w:rPr>
        <w:t xml:space="preserve">                         </w:t>
      </w:r>
    </w:p>
    <w:p>
      <w:pPr>
        <w:spacing w:line="740" w:lineRule="exact"/>
        <w:ind w:firstLine="790" w:firstLineChars="250"/>
        <w:rPr>
          <w:rFonts w:eastAsia="方正仿宋_GBK"/>
          <w:color w:val="000000"/>
          <w:spacing w:val="-2"/>
          <w:sz w:val="32"/>
          <w:szCs w:val="32"/>
          <w:u w:val="single"/>
        </w:rPr>
      </w:pPr>
      <w:r>
        <w:rPr>
          <w:rFonts w:hint="eastAsia" w:eastAsia="方正仿宋_GBK"/>
          <w:color w:val="000000"/>
          <w:spacing w:val="-2"/>
          <w:sz w:val="32"/>
          <w:szCs w:val="32"/>
        </w:rPr>
        <w:t>申请日期：</w:t>
      </w:r>
      <w:r>
        <w:rPr>
          <w:rFonts w:eastAsia="方正仿宋_GBK"/>
          <w:color w:val="000000"/>
          <w:spacing w:val="-2"/>
          <w:sz w:val="32"/>
          <w:szCs w:val="32"/>
          <w:u w:val="single"/>
        </w:rPr>
        <w:t xml:space="preserve">                                 </w:t>
      </w:r>
    </w:p>
    <w:p>
      <w:pPr>
        <w:spacing w:line="740" w:lineRule="exact"/>
        <w:ind w:firstLine="790" w:firstLineChars="250"/>
        <w:rPr>
          <w:rFonts w:eastAsia="方正仿宋_GBK"/>
          <w:color w:val="000000"/>
          <w:spacing w:val="-2"/>
          <w:sz w:val="32"/>
          <w:szCs w:val="32"/>
          <w:u w:val="single"/>
        </w:rPr>
      </w:pPr>
      <w:r>
        <w:rPr>
          <w:rFonts w:hint="eastAsia" w:eastAsia="方正仿宋_GBK"/>
          <w:color w:val="000000"/>
          <w:spacing w:val="-2"/>
          <w:sz w:val="32"/>
          <w:szCs w:val="32"/>
        </w:rPr>
        <w:t>项目责任人：</w:t>
      </w:r>
      <w:r>
        <w:rPr>
          <w:rFonts w:eastAsia="方正仿宋_GBK"/>
          <w:color w:val="000000"/>
          <w:spacing w:val="-2"/>
          <w:sz w:val="32"/>
          <w:szCs w:val="32"/>
          <w:u w:val="single"/>
        </w:rPr>
        <w:t xml:space="preserve">         </w:t>
      </w:r>
      <w:r>
        <w:rPr>
          <w:rFonts w:eastAsia="方正仿宋_GBK"/>
          <w:color w:val="000000"/>
          <w:spacing w:val="-2"/>
          <w:sz w:val="32"/>
          <w:szCs w:val="32"/>
        </w:rPr>
        <w:t xml:space="preserve"> </w:t>
      </w:r>
      <w:r>
        <w:rPr>
          <w:rFonts w:hint="eastAsia" w:eastAsia="方正仿宋_GBK"/>
          <w:color w:val="000000"/>
          <w:spacing w:val="-2"/>
          <w:sz w:val="32"/>
          <w:szCs w:val="32"/>
        </w:rPr>
        <w:t>电话：</w:t>
      </w:r>
      <w:r>
        <w:rPr>
          <w:rFonts w:eastAsia="方正仿宋_GBK"/>
          <w:color w:val="000000"/>
          <w:spacing w:val="-2"/>
          <w:sz w:val="32"/>
          <w:szCs w:val="32"/>
          <w:u w:val="single"/>
        </w:rPr>
        <w:t xml:space="preserve">               </w:t>
      </w:r>
    </w:p>
    <w:p>
      <w:pPr>
        <w:spacing w:line="740" w:lineRule="exact"/>
        <w:ind w:firstLine="790" w:firstLineChars="250"/>
        <w:rPr>
          <w:rFonts w:eastAsia="方正仿宋_GBK"/>
          <w:color w:val="000000"/>
          <w:spacing w:val="-2"/>
          <w:sz w:val="32"/>
          <w:szCs w:val="32"/>
          <w:u w:val="single"/>
        </w:rPr>
      </w:pPr>
      <w:r>
        <w:rPr>
          <w:rFonts w:hint="eastAsia" w:eastAsia="方正仿宋_GBK"/>
          <w:color w:val="000000"/>
          <w:spacing w:val="-2"/>
          <w:sz w:val="32"/>
          <w:szCs w:val="32"/>
        </w:rPr>
        <w:t>项目联系人：</w:t>
      </w:r>
      <w:r>
        <w:rPr>
          <w:rFonts w:eastAsia="方正仿宋_GBK"/>
          <w:color w:val="000000"/>
          <w:spacing w:val="-2"/>
          <w:sz w:val="32"/>
          <w:szCs w:val="32"/>
          <w:u w:val="single"/>
        </w:rPr>
        <w:t xml:space="preserve">         </w:t>
      </w:r>
      <w:r>
        <w:rPr>
          <w:rFonts w:eastAsia="方正仿宋_GBK"/>
          <w:color w:val="000000"/>
          <w:spacing w:val="-2"/>
          <w:sz w:val="32"/>
          <w:szCs w:val="32"/>
        </w:rPr>
        <w:t xml:space="preserve"> </w:t>
      </w:r>
      <w:r>
        <w:rPr>
          <w:rFonts w:hint="eastAsia" w:eastAsia="方正仿宋_GBK"/>
          <w:color w:val="000000"/>
          <w:spacing w:val="-2"/>
          <w:sz w:val="32"/>
          <w:szCs w:val="32"/>
        </w:rPr>
        <w:t>电话：</w:t>
      </w:r>
      <w:r>
        <w:rPr>
          <w:rFonts w:eastAsia="方正仿宋_GBK"/>
          <w:color w:val="000000"/>
          <w:spacing w:val="-2"/>
          <w:sz w:val="32"/>
          <w:szCs w:val="32"/>
          <w:u w:val="single"/>
        </w:rPr>
        <w:t xml:space="preserve">               </w:t>
      </w:r>
    </w:p>
    <w:p>
      <w:pPr>
        <w:spacing w:line="500" w:lineRule="exact"/>
        <w:rPr>
          <w:rFonts w:ascii="Times New Roman" w:hAnsi="Times New Roman"/>
          <w:color w:val="000000"/>
          <w:spacing w:val="-2"/>
          <w:szCs w:val="32"/>
          <w:u w:val="single"/>
        </w:rPr>
      </w:pPr>
    </w:p>
    <w:p>
      <w:pPr>
        <w:spacing w:line="500" w:lineRule="exact"/>
        <w:rPr>
          <w:rFonts w:hint="eastAsia"/>
          <w:color w:val="000000"/>
          <w:spacing w:val="-2"/>
        </w:rPr>
      </w:pPr>
    </w:p>
    <w:p>
      <w:pPr>
        <w:spacing w:line="500" w:lineRule="exact"/>
        <w:rPr>
          <w:color w:val="000000"/>
          <w:spacing w:val="-2"/>
        </w:rPr>
      </w:pPr>
    </w:p>
    <w:p>
      <w:pPr>
        <w:spacing w:line="500" w:lineRule="exact"/>
        <w:rPr>
          <w:color w:val="000000"/>
          <w:spacing w:val="-2"/>
        </w:rPr>
      </w:pPr>
    </w:p>
    <w:p>
      <w:pPr>
        <w:spacing w:line="500" w:lineRule="exact"/>
        <w:rPr>
          <w:color w:val="000000"/>
          <w:spacing w:val="-2"/>
        </w:rPr>
      </w:pPr>
    </w:p>
    <w:p>
      <w:pPr>
        <w:spacing w:line="500" w:lineRule="exact"/>
        <w:jc w:val="center"/>
        <w:rPr>
          <w:rFonts w:ascii="Times New Roman" w:eastAsia="方正楷体_GBK"/>
          <w:color w:val="000000"/>
          <w:spacing w:val="-2"/>
          <w:sz w:val="32"/>
          <w:szCs w:val="32"/>
        </w:rPr>
      </w:pPr>
      <w:r>
        <w:rPr>
          <w:rFonts w:hint="eastAsia" w:ascii="Times New Roman" w:eastAsia="方正楷体_GBK"/>
          <w:color w:val="000000"/>
          <w:spacing w:val="-2"/>
          <w:sz w:val="32"/>
          <w:szCs w:val="32"/>
        </w:rPr>
        <w:t>江苏省住房和城乡建设厅</w:t>
      </w:r>
    </w:p>
    <w:p>
      <w:pPr>
        <w:spacing w:line="500" w:lineRule="exact"/>
        <w:jc w:val="center"/>
        <w:rPr>
          <w:rFonts w:hint="eastAsia" w:ascii="Times New Roman" w:eastAsia="方正楷体_GBK"/>
          <w:color w:val="000000"/>
          <w:spacing w:val="-2"/>
          <w:sz w:val="32"/>
          <w:szCs w:val="32"/>
        </w:rPr>
      </w:pPr>
      <w:r>
        <w:rPr>
          <w:rFonts w:hint="eastAsia" w:ascii="Times New Roman" w:eastAsia="方正楷体_GBK"/>
          <w:color w:val="000000"/>
          <w:spacing w:val="160"/>
          <w:kern w:val="0"/>
          <w:sz w:val="32"/>
          <w:szCs w:val="32"/>
        </w:rPr>
        <w:t>江苏省财政</w:t>
      </w:r>
      <w:r>
        <w:rPr>
          <w:rFonts w:hint="eastAsia" w:ascii="Times New Roman" w:eastAsia="方正楷体_GBK"/>
          <w:color w:val="000000"/>
          <w:kern w:val="0"/>
          <w:sz w:val="32"/>
          <w:szCs w:val="32"/>
        </w:rPr>
        <w:t>厅</w:t>
      </w:r>
    </w:p>
    <w:p>
      <w:pPr>
        <w:spacing w:line="500" w:lineRule="exact"/>
        <w:jc w:val="center"/>
        <w:rPr>
          <w:rFonts w:hint="eastAsia" w:ascii="Times New Roman" w:eastAsia="方正楷体_GBK"/>
          <w:color w:val="000000"/>
          <w:spacing w:val="-2"/>
          <w:sz w:val="32"/>
          <w:szCs w:val="32"/>
        </w:rPr>
      </w:pPr>
      <w:r>
        <w:rPr>
          <w:rFonts w:hint="eastAsia" w:ascii="Times New Roman" w:eastAsia="方正楷体_GBK"/>
          <w:color w:val="000000"/>
          <w:spacing w:val="-2"/>
          <w:sz w:val="32"/>
          <w:szCs w:val="32"/>
        </w:rPr>
        <w:t>二〇一三年十月制</w:t>
      </w:r>
    </w:p>
    <w:p>
      <w:pPr>
        <w:widowControl/>
        <w:jc w:val="left"/>
        <w:rPr>
          <w:rFonts w:ascii="Times New Roman" w:eastAsia="方正楷体_GBK"/>
          <w:color w:val="000000"/>
          <w:spacing w:val="-2"/>
          <w:sz w:val="32"/>
          <w:szCs w:val="32"/>
        </w:rPr>
        <w:sectPr>
          <w:pgSz w:w="11905" w:h="16838"/>
          <w:pgMar w:top="1701" w:right="1587" w:bottom="1701" w:left="1587" w:header="850" w:footer="1361" w:gutter="0"/>
          <w:paperSrc w:first="4" w:other="4"/>
          <w:cols w:space="720" w:num="1"/>
        </w:sectPr>
      </w:pPr>
    </w:p>
    <w:p>
      <w:pPr>
        <w:spacing w:line="460" w:lineRule="exact"/>
        <w:jc w:val="center"/>
        <w:rPr>
          <w:rFonts w:hint="eastAsia" w:ascii="Times New Roman" w:hAnsi="Times New Roman"/>
          <w:color w:val="000000"/>
          <w:spacing w:val="-2"/>
          <w:sz w:val="30"/>
          <w:szCs w:val="30"/>
        </w:rPr>
      </w:pPr>
    </w:p>
    <w:p>
      <w:pPr>
        <w:spacing w:line="460" w:lineRule="exact"/>
        <w:rPr>
          <w:rFonts w:hint="eastAsia" w:ascii="Times New Roman" w:eastAsia="方正黑体_GBK"/>
          <w:color w:val="000000"/>
          <w:spacing w:val="-2"/>
        </w:rPr>
      </w:pPr>
    </w:p>
    <w:p>
      <w:pPr>
        <w:spacing w:line="460" w:lineRule="exact"/>
        <w:ind w:firstLine="9"/>
        <w:jc w:val="center"/>
        <w:rPr>
          <w:rFonts w:hint="eastAsia" w:ascii="Times New Roman" w:eastAsia="方正黑体_GBK"/>
          <w:color w:val="000000"/>
          <w:spacing w:val="-2"/>
          <w:sz w:val="28"/>
          <w:szCs w:val="28"/>
        </w:rPr>
      </w:pPr>
      <w:r>
        <w:rPr>
          <w:rFonts w:hint="eastAsia" w:ascii="Times New Roman" w:eastAsia="方正黑体_GBK"/>
          <w:color w:val="000000"/>
          <w:spacing w:val="-2"/>
          <w:sz w:val="28"/>
          <w:szCs w:val="28"/>
        </w:rPr>
        <w:t>填 写 说 明</w:t>
      </w:r>
    </w:p>
    <w:p>
      <w:pPr>
        <w:spacing w:line="460" w:lineRule="exact"/>
        <w:ind w:firstLine="472" w:firstLineChars="200"/>
        <w:rPr>
          <w:rFonts w:hint="eastAsia" w:ascii="Times New Roman" w:hAnsi="Times New Roman" w:eastAsia="仿宋_GB2312"/>
          <w:color w:val="000000"/>
          <w:spacing w:val="-2"/>
          <w:sz w:val="24"/>
        </w:rPr>
      </w:pPr>
    </w:p>
    <w:p>
      <w:pPr>
        <w:spacing w:line="460" w:lineRule="exact"/>
        <w:ind w:firstLine="472" w:firstLineChars="200"/>
        <w:rPr>
          <w:rFonts w:hint="eastAsia" w:eastAsia="方正仿宋_GBK"/>
          <w:color w:val="000000"/>
          <w:spacing w:val="-2"/>
          <w:sz w:val="24"/>
        </w:rPr>
      </w:pPr>
      <w:r>
        <w:rPr>
          <w:rFonts w:eastAsia="方正仿宋_GBK"/>
          <w:color w:val="000000"/>
          <w:spacing w:val="-2"/>
          <w:sz w:val="24"/>
        </w:rPr>
        <w:t>1. </w:t>
      </w:r>
      <w:r>
        <w:rPr>
          <w:rFonts w:hint="eastAsia" w:eastAsia="方正仿宋_GBK"/>
          <w:color w:val="000000"/>
          <w:spacing w:val="-2"/>
          <w:sz w:val="24"/>
        </w:rPr>
        <w:t>此表用于江苏省建筑节能和绿色建筑示范区的验收评估申请。规格为</w:t>
      </w:r>
      <w:r>
        <w:rPr>
          <w:rFonts w:eastAsia="方正仿宋_GBK"/>
          <w:color w:val="000000"/>
          <w:spacing w:val="-2"/>
          <w:sz w:val="24"/>
        </w:rPr>
        <w:t>A4</w:t>
      </w:r>
      <w:r>
        <w:rPr>
          <w:rFonts w:hint="eastAsia" w:eastAsia="方正仿宋_GBK"/>
          <w:color w:val="000000"/>
          <w:spacing w:val="-2"/>
          <w:sz w:val="24"/>
        </w:rPr>
        <w:t>纸、竖装，必须打印或铅印，连同提交文件一起装订成册，一式四份。</w:t>
      </w:r>
    </w:p>
    <w:p>
      <w:pPr>
        <w:spacing w:line="460" w:lineRule="exact"/>
        <w:ind w:firstLine="472" w:firstLineChars="200"/>
        <w:rPr>
          <w:rFonts w:eastAsia="方正仿宋_GBK"/>
          <w:color w:val="000000"/>
          <w:spacing w:val="-2"/>
          <w:sz w:val="24"/>
        </w:rPr>
      </w:pPr>
      <w:r>
        <w:rPr>
          <w:rFonts w:eastAsia="方正仿宋_GBK"/>
          <w:color w:val="000000"/>
          <w:spacing w:val="-2"/>
          <w:sz w:val="24"/>
        </w:rPr>
        <w:t>2. </w:t>
      </w:r>
      <w:r>
        <w:rPr>
          <w:rFonts w:hint="eastAsia" w:eastAsia="方正仿宋_GBK"/>
          <w:color w:val="000000"/>
          <w:spacing w:val="-2"/>
          <w:sz w:val="24"/>
        </w:rPr>
        <w:t>封面用三号仿宋字体填写，表格内容用五号宋体填写。</w:t>
      </w:r>
    </w:p>
    <w:p>
      <w:pPr>
        <w:spacing w:line="460" w:lineRule="exact"/>
        <w:ind w:firstLine="472" w:firstLineChars="200"/>
        <w:rPr>
          <w:rFonts w:eastAsia="方正仿宋_GBK"/>
          <w:color w:val="000000"/>
          <w:spacing w:val="-2"/>
          <w:sz w:val="24"/>
        </w:rPr>
      </w:pPr>
      <w:r>
        <w:rPr>
          <w:rFonts w:eastAsia="方正仿宋_GBK"/>
          <w:color w:val="000000"/>
          <w:spacing w:val="-2"/>
          <w:sz w:val="24"/>
        </w:rPr>
        <w:t>3. </w:t>
      </w:r>
      <w:r>
        <w:rPr>
          <w:rFonts w:hint="eastAsia" w:eastAsia="方正仿宋_GBK"/>
          <w:color w:val="000000"/>
          <w:spacing w:val="-2"/>
          <w:sz w:val="24"/>
        </w:rPr>
        <w:t>封面由申请单位填写并盖章，其中</w:t>
      </w:r>
      <w:r>
        <w:rPr>
          <w:rFonts w:eastAsia="方正仿宋_GBK"/>
          <w:color w:val="000000"/>
          <w:spacing w:val="-2"/>
          <w:sz w:val="24"/>
        </w:rPr>
        <w:t>“</w:t>
      </w:r>
      <w:r>
        <w:rPr>
          <w:rFonts w:hint="eastAsia" w:eastAsia="方正仿宋_GBK"/>
          <w:color w:val="000000"/>
          <w:spacing w:val="-2"/>
          <w:sz w:val="24"/>
        </w:rPr>
        <w:t>示范区名称</w:t>
      </w:r>
      <w:r>
        <w:rPr>
          <w:rFonts w:eastAsia="方正仿宋_GBK"/>
          <w:color w:val="000000"/>
          <w:spacing w:val="-2"/>
          <w:sz w:val="24"/>
        </w:rPr>
        <w:t>”</w:t>
      </w:r>
      <w:r>
        <w:rPr>
          <w:rFonts w:hint="eastAsia" w:eastAsia="方正仿宋_GBK"/>
          <w:color w:val="000000"/>
          <w:spacing w:val="-2"/>
          <w:sz w:val="24"/>
        </w:rPr>
        <w:t>必须填写全称。</w:t>
      </w:r>
    </w:p>
    <w:p>
      <w:pPr>
        <w:spacing w:line="460" w:lineRule="exact"/>
        <w:ind w:firstLine="472" w:firstLineChars="200"/>
        <w:rPr>
          <w:rFonts w:eastAsia="方正仿宋_GBK"/>
          <w:color w:val="000000"/>
          <w:spacing w:val="-2"/>
          <w:sz w:val="24"/>
        </w:rPr>
      </w:pPr>
      <w:r>
        <w:rPr>
          <w:rFonts w:eastAsia="方正仿宋_GBK"/>
          <w:color w:val="000000"/>
          <w:spacing w:val="-2"/>
          <w:sz w:val="24"/>
        </w:rPr>
        <w:t>4. </w:t>
      </w:r>
      <w:r>
        <w:rPr>
          <w:rFonts w:hint="eastAsia" w:eastAsia="方正仿宋_GBK"/>
          <w:color w:val="000000"/>
          <w:spacing w:val="-2"/>
          <w:sz w:val="24"/>
        </w:rPr>
        <w:t>第一至第八项内容由申请单位填写。</w:t>
      </w:r>
    </w:p>
    <w:p>
      <w:pPr>
        <w:spacing w:line="460" w:lineRule="exact"/>
        <w:ind w:firstLine="472" w:firstLineChars="200"/>
        <w:rPr>
          <w:rFonts w:eastAsia="方正仿宋_GBK"/>
          <w:color w:val="000000"/>
          <w:spacing w:val="-2"/>
          <w:sz w:val="24"/>
        </w:rPr>
      </w:pPr>
      <w:r>
        <w:rPr>
          <w:rFonts w:eastAsia="方正仿宋_GBK"/>
          <w:color w:val="000000"/>
          <w:spacing w:val="-2"/>
          <w:sz w:val="24"/>
        </w:rPr>
        <w:t>5. </w:t>
      </w:r>
      <w:r>
        <w:rPr>
          <w:rFonts w:hint="eastAsia" w:eastAsia="方正仿宋_GBK"/>
          <w:color w:val="000000"/>
          <w:spacing w:val="-2"/>
          <w:sz w:val="24"/>
        </w:rPr>
        <w:t>第九和第十项内容由所在地市、县级建设和财政主管部门对申请单位进行初步审查后填写意见并盖章。</w:t>
      </w:r>
    </w:p>
    <w:p>
      <w:pPr>
        <w:spacing w:line="460" w:lineRule="exact"/>
        <w:ind w:firstLine="472" w:firstLineChars="200"/>
        <w:rPr>
          <w:rFonts w:eastAsia="方正仿宋_GBK"/>
          <w:color w:val="000000"/>
          <w:spacing w:val="-2"/>
          <w:sz w:val="24"/>
        </w:rPr>
      </w:pPr>
      <w:r>
        <w:rPr>
          <w:rFonts w:eastAsia="方正仿宋_GBK"/>
          <w:color w:val="000000"/>
          <w:spacing w:val="-2"/>
          <w:sz w:val="24"/>
        </w:rPr>
        <w:t>6. </w:t>
      </w:r>
      <w:r>
        <w:rPr>
          <w:rFonts w:hint="eastAsia" w:eastAsia="方正仿宋_GBK"/>
          <w:color w:val="000000"/>
          <w:spacing w:val="-2"/>
          <w:sz w:val="24"/>
        </w:rPr>
        <w:t>第十一项由验收小组对示范区提交的资料的完整性进行审核后填写意见并盖章。</w:t>
      </w:r>
    </w:p>
    <w:p>
      <w:pPr>
        <w:spacing w:line="20" w:lineRule="exact"/>
        <w:rPr>
          <w:rFonts w:eastAsia="仿宋_GB2312"/>
          <w:color w:val="000000"/>
          <w:spacing w:val="-2"/>
          <w:sz w:val="28"/>
          <w:szCs w:val="28"/>
        </w:rPr>
      </w:pPr>
      <w:r>
        <w:rPr>
          <w:rFonts w:eastAsia="仿宋_GB2312"/>
          <w:color w:val="000000"/>
          <w:spacing w:val="-2"/>
          <w:sz w:val="28"/>
          <w:szCs w:val="28"/>
        </w:rPr>
        <w:br w:type="page"/>
      </w:r>
    </w:p>
    <w:tbl>
      <w:tblPr>
        <w:tblStyle w:val="12"/>
        <w:tblW w:w="0" w:type="auto"/>
        <w:tblInd w:w="88" w:type="dxa"/>
        <w:tblLayout w:type="fixed"/>
        <w:tblCellMar>
          <w:top w:w="0" w:type="dxa"/>
          <w:left w:w="108" w:type="dxa"/>
          <w:bottom w:w="0" w:type="dxa"/>
          <w:right w:w="108" w:type="dxa"/>
        </w:tblCellMar>
      </w:tblPr>
      <w:tblGrid>
        <w:gridCol w:w="1659"/>
        <w:gridCol w:w="1962"/>
        <w:gridCol w:w="246"/>
        <w:gridCol w:w="1200"/>
        <w:gridCol w:w="917"/>
        <w:gridCol w:w="319"/>
        <w:gridCol w:w="1419"/>
        <w:gridCol w:w="1058"/>
      </w:tblGrid>
      <w:tr>
        <w:tblPrEx>
          <w:tblCellMar>
            <w:top w:w="0" w:type="dxa"/>
            <w:left w:w="108" w:type="dxa"/>
            <w:bottom w:w="0" w:type="dxa"/>
            <w:right w:w="108" w:type="dxa"/>
          </w:tblCellMar>
        </w:tblPrEx>
        <w:trPr>
          <w:trHeight w:val="567" w:hRule="atLeast"/>
        </w:trPr>
        <w:tc>
          <w:tcPr>
            <w:tcW w:w="8780" w:type="dxa"/>
            <w:gridSpan w:val="8"/>
            <w:tcBorders>
              <w:top w:val="single" w:color="auto" w:sz="8" w:space="0"/>
              <w:left w:val="single" w:color="auto" w:sz="8" w:space="0"/>
              <w:bottom w:val="single" w:color="auto" w:sz="4" w:space="0"/>
              <w:right w:val="single" w:color="auto" w:sz="8" w:space="0"/>
            </w:tcBorders>
            <w:noWrap w:val="0"/>
            <w:vAlign w:val="center"/>
          </w:tcPr>
          <w:p>
            <w:pPr>
              <w:rPr>
                <w:rFonts w:eastAsia="方正仿宋_GBK"/>
                <w:color w:val="000000"/>
                <w:spacing w:val="-2"/>
                <w:szCs w:val="21"/>
              </w:rPr>
            </w:pPr>
            <w:r>
              <w:rPr>
                <w:rFonts w:hint="eastAsia" w:eastAsia="方正仿宋_GBK"/>
                <w:color w:val="000000"/>
                <w:spacing w:val="-2"/>
                <w:szCs w:val="21"/>
              </w:rPr>
              <w:t>一、申请单位情况</w:t>
            </w:r>
          </w:p>
        </w:tc>
      </w:tr>
      <w:tr>
        <w:tblPrEx>
          <w:tblCellMar>
            <w:top w:w="0" w:type="dxa"/>
            <w:left w:w="108" w:type="dxa"/>
            <w:bottom w:w="0" w:type="dxa"/>
            <w:right w:w="108" w:type="dxa"/>
          </w:tblCellMar>
        </w:tblPrEx>
        <w:trPr>
          <w:trHeight w:val="567" w:hRule="atLeast"/>
        </w:trPr>
        <w:tc>
          <w:tcPr>
            <w:tcW w:w="1659"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示范区名称</w:t>
            </w:r>
          </w:p>
        </w:tc>
        <w:tc>
          <w:tcPr>
            <w:tcW w:w="7121" w:type="dxa"/>
            <w:gridSpan w:val="7"/>
            <w:tcBorders>
              <w:top w:val="single" w:color="auto" w:sz="4" w:space="0"/>
              <w:left w:val="nil"/>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CellMar>
            <w:top w:w="0" w:type="dxa"/>
            <w:left w:w="108" w:type="dxa"/>
            <w:bottom w:w="0" w:type="dxa"/>
            <w:right w:w="108" w:type="dxa"/>
          </w:tblCellMar>
        </w:tblPrEx>
        <w:trPr>
          <w:trHeight w:val="567" w:hRule="atLeast"/>
        </w:trPr>
        <w:tc>
          <w:tcPr>
            <w:tcW w:w="1659" w:type="dxa"/>
            <w:tcBorders>
              <w:top w:val="nil"/>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单位名称</w:t>
            </w:r>
          </w:p>
        </w:tc>
        <w:tc>
          <w:tcPr>
            <w:tcW w:w="2208" w:type="dxa"/>
            <w:gridSpan w:val="2"/>
            <w:tcBorders>
              <w:top w:val="single" w:color="auto" w:sz="4" w:space="0"/>
              <w:left w:val="nil"/>
              <w:bottom w:val="single" w:color="auto" w:sz="4" w:space="0"/>
              <w:right w:val="single" w:color="auto" w:sz="4" w:space="0"/>
            </w:tcBorders>
            <w:noWrap w:val="0"/>
            <w:vAlign w:val="center"/>
          </w:tcPr>
          <w:p>
            <w:pPr>
              <w:jc w:val="center"/>
              <w:rPr>
                <w:rFonts w:eastAsia="方正仿宋_GBK"/>
                <w:color w:val="000000"/>
                <w:spacing w:val="-2"/>
                <w:szCs w:val="21"/>
              </w:rPr>
            </w:pPr>
          </w:p>
        </w:tc>
        <w:tc>
          <w:tcPr>
            <w:tcW w:w="2117" w:type="dxa"/>
            <w:gridSpan w:val="2"/>
            <w:tcBorders>
              <w:top w:val="nil"/>
              <w:left w:val="nil"/>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电话</w:t>
            </w:r>
          </w:p>
        </w:tc>
        <w:tc>
          <w:tcPr>
            <w:tcW w:w="2796" w:type="dxa"/>
            <w:gridSpan w:val="3"/>
            <w:tcBorders>
              <w:top w:val="single" w:color="auto" w:sz="4" w:space="0"/>
              <w:left w:val="nil"/>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CellMar>
            <w:top w:w="0" w:type="dxa"/>
            <w:left w:w="108" w:type="dxa"/>
            <w:bottom w:w="0" w:type="dxa"/>
            <w:right w:w="108" w:type="dxa"/>
          </w:tblCellMar>
        </w:tblPrEx>
        <w:trPr>
          <w:trHeight w:val="567" w:hRule="atLeast"/>
        </w:trPr>
        <w:tc>
          <w:tcPr>
            <w:tcW w:w="1659" w:type="dxa"/>
            <w:tcBorders>
              <w:top w:val="nil"/>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单位地址</w:t>
            </w:r>
          </w:p>
        </w:tc>
        <w:tc>
          <w:tcPr>
            <w:tcW w:w="2208" w:type="dxa"/>
            <w:gridSpan w:val="2"/>
            <w:tcBorders>
              <w:top w:val="single" w:color="auto" w:sz="4" w:space="0"/>
              <w:left w:val="nil"/>
              <w:bottom w:val="single" w:color="auto" w:sz="4" w:space="0"/>
              <w:right w:val="single" w:color="auto" w:sz="4" w:space="0"/>
            </w:tcBorders>
            <w:noWrap w:val="0"/>
            <w:vAlign w:val="center"/>
          </w:tcPr>
          <w:p>
            <w:pPr>
              <w:jc w:val="center"/>
              <w:rPr>
                <w:rFonts w:eastAsia="方正仿宋_GBK"/>
                <w:color w:val="000000"/>
                <w:spacing w:val="-2"/>
                <w:szCs w:val="21"/>
              </w:rPr>
            </w:pPr>
          </w:p>
        </w:tc>
        <w:tc>
          <w:tcPr>
            <w:tcW w:w="2117" w:type="dxa"/>
            <w:gridSpan w:val="2"/>
            <w:tcBorders>
              <w:top w:val="nil"/>
              <w:left w:val="nil"/>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邮编</w:t>
            </w:r>
          </w:p>
        </w:tc>
        <w:tc>
          <w:tcPr>
            <w:tcW w:w="2796" w:type="dxa"/>
            <w:gridSpan w:val="3"/>
            <w:tcBorders>
              <w:top w:val="single" w:color="auto" w:sz="4" w:space="0"/>
              <w:left w:val="nil"/>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CellMar>
            <w:top w:w="0" w:type="dxa"/>
            <w:left w:w="108" w:type="dxa"/>
            <w:bottom w:w="0" w:type="dxa"/>
            <w:right w:w="108" w:type="dxa"/>
          </w:tblCellMar>
        </w:tblPrEx>
        <w:trPr>
          <w:trHeight w:val="567" w:hRule="atLeast"/>
        </w:trPr>
        <w:tc>
          <w:tcPr>
            <w:tcW w:w="1659" w:type="dxa"/>
            <w:tcBorders>
              <w:top w:val="nil"/>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项目责任人</w:t>
            </w:r>
          </w:p>
        </w:tc>
        <w:tc>
          <w:tcPr>
            <w:tcW w:w="2208" w:type="dxa"/>
            <w:gridSpan w:val="2"/>
            <w:tcBorders>
              <w:top w:val="single" w:color="auto" w:sz="4" w:space="0"/>
              <w:left w:val="nil"/>
              <w:bottom w:val="single" w:color="auto" w:sz="4" w:space="0"/>
              <w:right w:val="single" w:color="auto" w:sz="4" w:space="0"/>
            </w:tcBorders>
            <w:noWrap w:val="0"/>
            <w:vAlign w:val="center"/>
          </w:tcPr>
          <w:p>
            <w:pPr>
              <w:jc w:val="center"/>
              <w:rPr>
                <w:rFonts w:eastAsia="方正仿宋_GBK"/>
                <w:color w:val="000000"/>
                <w:spacing w:val="-2"/>
                <w:szCs w:val="21"/>
              </w:rPr>
            </w:pPr>
          </w:p>
        </w:tc>
        <w:tc>
          <w:tcPr>
            <w:tcW w:w="2117" w:type="dxa"/>
            <w:gridSpan w:val="2"/>
            <w:tcBorders>
              <w:top w:val="nil"/>
              <w:left w:val="nil"/>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电话</w:t>
            </w:r>
          </w:p>
        </w:tc>
        <w:tc>
          <w:tcPr>
            <w:tcW w:w="2796" w:type="dxa"/>
            <w:gridSpan w:val="3"/>
            <w:tcBorders>
              <w:top w:val="single" w:color="auto" w:sz="4" w:space="0"/>
              <w:left w:val="nil"/>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CellMar>
            <w:top w:w="0" w:type="dxa"/>
            <w:left w:w="108" w:type="dxa"/>
            <w:bottom w:w="0" w:type="dxa"/>
            <w:right w:w="108" w:type="dxa"/>
          </w:tblCellMar>
        </w:tblPrEx>
        <w:trPr>
          <w:trHeight w:val="567" w:hRule="atLeast"/>
        </w:trPr>
        <w:tc>
          <w:tcPr>
            <w:tcW w:w="1659" w:type="dxa"/>
            <w:tcBorders>
              <w:top w:val="nil"/>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项目联系人</w:t>
            </w:r>
          </w:p>
        </w:tc>
        <w:tc>
          <w:tcPr>
            <w:tcW w:w="2208" w:type="dxa"/>
            <w:gridSpan w:val="2"/>
            <w:tcBorders>
              <w:top w:val="single" w:color="auto" w:sz="4" w:space="0"/>
              <w:left w:val="nil"/>
              <w:bottom w:val="single" w:color="auto" w:sz="4" w:space="0"/>
              <w:right w:val="single" w:color="auto" w:sz="4" w:space="0"/>
            </w:tcBorders>
            <w:noWrap w:val="0"/>
            <w:vAlign w:val="center"/>
          </w:tcPr>
          <w:p>
            <w:pPr>
              <w:jc w:val="center"/>
              <w:rPr>
                <w:rFonts w:eastAsia="方正仿宋_GBK"/>
                <w:color w:val="000000"/>
                <w:spacing w:val="-2"/>
                <w:szCs w:val="21"/>
              </w:rPr>
            </w:pPr>
          </w:p>
        </w:tc>
        <w:tc>
          <w:tcPr>
            <w:tcW w:w="2117" w:type="dxa"/>
            <w:gridSpan w:val="2"/>
            <w:tcBorders>
              <w:top w:val="nil"/>
              <w:left w:val="nil"/>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电话</w:t>
            </w:r>
          </w:p>
        </w:tc>
        <w:tc>
          <w:tcPr>
            <w:tcW w:w="2796" w:type="dxa"/>
            <w:gridSpan w:val="3"/>
            <w:tcBorders>
              <w:top w:val="single" w:color="auto" w:sz="4" w:space="0"/>
              <w:left w:val="nil"/>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CellMar>
            <w:top w:w="0" w:type="dxa"/>
            <w:left w:w="108" w:type="dxa"/>
            <w:bottom w:w="0" w:type="dxa"/>
            <w:right w:w="108" w:type="dxa"/>
          </w:tblCellMar>
        </w:tblPrEx>
        <w:trPr>
          <w:trHeight w:val="567" w:hRule="atLeast"/>
        </w:trPr>
        <w:tc>
          <w:tcPr>
            <w:tcW w:w="8780" w:type="dxa"/>
            <w:gridSpan w:val="8"/>
            <w:tcBorders>
              <w:top w:val="nil"/>
              <w:left w:val="single" w:color="auto" w:sz="8" w:space="0"/>
              <w:bottom w:val="single" w:color="auto" w:sz="4" w:space="0"/>
              <w:right w:val="single" w:color="auto" w:sz="8" w:space="0"/>
            </w:tcBorders>
            <w:noWrap w:val="0"/>
            <w:vAlign w:val="center"/>
          </w:tcPr>
          <w:p>
            <w:pPr>
              <w:rPr>
                <w:rFonts w:eastAsia="方正仿宋_GBK"/>
                <w:color w:val="000000"/>
                <w:spacing w:val="-2"/>
                <w:szCs w:val="21"/>
              </w:rPr>
            </w:pPr>
            <w:r>
              <w:rPr>
                <w:rFonts w:hint="eastAsia" w:eastAsia="方正仿宋_GBK"/>
                <w:color w:val="000000"/>
                <w:spacing w:val="-2"/>
                <w:szCs w:val="21"/>
              </w:rPr>
              <w:t>二、示范区基本情况</w:t>
            </w:r>
          </w:p>
        </w:tc>
      </w:tr>
      <w:tr>
        <w:tblPrEx>
          <w:tblCellMar>
            <w:top w:w="0" w:type="dxa"/>
            <w:left w:w="108" w:type="dxa"/>
            <w:bottom w:w="0" w:type="dxa"/>
            <w:right w:w="108" w:type="dxa"/>
          </w:tblCellMar>
        </w:tblPrEx>
        <w:trPr>
          <w:trHeight w:val="708" w:hRule="exact"/>
        </w:trPr>
        <w:tc>
          <w:tcPr>
            <w:tcW w:w="1659" w:type="dxa"/>
            <w:tcBorders>
              <w:top w:val="nil"/>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规划面积</w:t>
            </w:r>
          </w:p>
        </w:tc>
        <w:tc>
          <w:tcPr>
            <w:tcW w:w="2208" w:type="dxa"/>
            <w:gridSpan w:val="2"/>
            <w:tcBorders>
              <w:top w:val="single" w:color="auto" w:sz="4" w:space="0"/>
              <w:left w:val="nil"/>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平方公里</w:t>
            </w:r>
          </w:p>
        </w:tc>
        <w:tc>
          <w:tcPr>
            <w:tcW w:w="2117" w:type="dxa"/>
            <w:gridSpan w:val="2"/>
            <w:tcBorders>
              <w:top w:val="nil"/>
              <w:left w:val="nil"/>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总投资</w:t>
            </w:r>
          </w:p>
        </w:tc>
        <w:tc>
          <w:tcPr>
            <w:tcW w:w="2796" w:type="dxa"/>
            <w:gridSpan w:val="3"/>
            <w:tcBorders>
              <w:top w:val="single" w:color="auto" w:sz="4" w:space="0"/>
              <w:left w:val="nil"/>
              <w:bottom w:val="single" w:color="auto" w:sz="4" w:space="0"/>
              <w:right w:val="single" w:color="auto" w:sz="8"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万元</w:t>
            </w:r>
          </w:p>
        </w:tc>
      </w:tr>
      <w:tr>
        <w:tblPrEx>
          <w:tblCellMar>
            <w:top w:w="0" w:type="dxa"/>
            <w:left w:w="108" w:type="dxa"/>
            <w:bottom w:w="0" w:type="dxa"/>
            <w:right w:w="108" w:type="dxa"/>
          </w:tblCellMar>
        </w:tblPrEx>
        <w:trPr>
          <w:trHeight w:val="633" w:hRule="exact"/>
        </w:trPr>
        <w:tc>
          <w:tcPr>
            <w:tcW w:w="1659" w:type="dxa"/>
            <w:tcBorders>
              <w:top w:val="nil"/>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补助资金</w:t>
            </w:r>
          </w:p>
        </w:tc>
        <w:tc>
          <w:tcPr>
            <w:tcW w:w="2208" w:type="dxa"/>
            <w:gridSpan w:val="2"/>
            <w:tcBorders>
              <w:top w:val="single" w:color="auto" w:sz="4" w:space="0"/>
              <w:left w:val="nil"/>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万元</w:t>
            </w:r>
          </w:p>
        </w:tc>
        <w:tc>
          <w:tcPr>
            <w:tcW w:w="2117" w:type="dxa"/>
            <w:gridSpan w:val="2"/>
            <w:tcBorders>
              <w:top w:val="nil"/>
              <w:left w:val="nil"/>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配套资金</w:t>
            </w:r>
          </w:p>
        </w:tc>
        <w:tc>
          <w:tcPr>
            <w:tcW w:w="2796" w:type="dxa"/>
            <w:gridSpan w:val="3"/>
            <w:tcBorders>
              <w:top w:val="single" w:color="auto" w:sz="4" w:space="0"/>
              <w:left w:val="nil"/>
              <w:bottom w:val="single" w:color="auto" w:sz="4" w:space="0"/>
              <w:right w:val="single" w:color="auto" w:sz="8"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万元</w:t>
            </w:r>
          </w:p>
        </w:tc>
      </w:tr>
      <w:tr>
        <w:tblPrEx>
          <w:tblCellMar>
            <w:top w:w="0" w:type="dxa"/>
            <w:left w:w="108" w:type="dxa"/>
            <w:bottom w:w="0" w:type="dxa"/>
            <w:right w:w="108" w:type="dxa"/>
          </w:tblCellMar>
        </w:tblPrEx>
        <w:trPr>
          <w:trHeight w:val="851" w:hRule="exact"/>
        </w:trPr>
        <w:tc>
          <w:tcPr>
            <w:tcW w:w="1659" w:type="dxa"/>
            <w:tcBorders>
              <w:top w:val="nil"/>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三年新开工</w:t>
            </w:r>
          </w:p>
          <w:p>
            <w:pPr>
              <w:jc w:val="center"/>
              <w:rPr>
                <w:rFonts w:eastAsia="方正仿宋_GBK"/>
                <w:color w:val="000000"/>
                <w:spacing w:val="-2"/>
                <w:szCs w:val="21"/>
              </w:rPr>
            </w:pPr>
            <w:r>
              <w:rPr>
                <w:rFonts w:hint="eastAsia" w:eastAsia="方正仿宋_GBK"/>
                <w:color w:val="000000"/>
                <w:spacing w:val="-2"/>
                <w:szCs w:val="21"/>
              </w:rPr>
              <w:t>示范项目数量</w:t>
            </w:r>
          </w:p>
        </w:tc>
        <w:tc>
          <w:tcPr>
            <w:tcW w:w="2208" w:type="dxa"/>
            <w:gridSpan w:val="2"/>
            <w:tcBorders>
              <w:top w:val="single" w:color="auto" w:sz="4" w:space="0"/>
              <w:left w:val="nil"/>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个</w:t>
            </w:r>
          </w:p>
        </w:tc>
        <w:tc>
          <w:tcPr>
            <w:tcW w:w="2117" w:type="dxa"/>
            <w:gridSpan w:val="2"/>
            <w:tcBorders>
              <w:top w:val="nil"/>
              <w:left w:val="nil"/>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三年新开工</w:t>
            </w:r>
          </w:p>
          <w:p>
            <w:pPr>
              <w:jc w:val="center"/>
              <w:rPr>
                <w:rFonts w:eastAsia="方正仿宋_GBK"/>
                <w:color w:val="000000"/>
                <w:spacing w:val="-2"/>
                <w:szCs w:val="21"/>
              </w:rPr>
            </w:pPr>
            <w:r>
              <w:rPr>
                <w:rFonts w:hint="eastAsia" w:eastAsia="方正仿宋_GBK"/>
                <w:color w:val="000000"/>
                <w:spacing w:val="-2"/>
                <w:szCs w:val="21"/>
              </w:rPr>
              <w:t>示范项目总建筑面积</w:t>
            </w:r>
          </w:p>
        </w:tc>
        <w:tc>
          <w:tcPr>
            <w:tcW w:w="2796" w:type="dxa"/>
            <w:gridSpan w:val="3"/>
            <w:tcBorders>
              <w:top w:val="single" w:color="auto" w:sz="4" w:space="0"/>
              <w:left w:val="nil"/>
              <w:bottom w:val="single" w:color="auto" w:sz="4" w:space="0"/>
              <w:right w:val="single" w:color="auto" w:sz="8"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万平方米</w:t>
            </w:r>
          </w:p>
        </w:tc>
      </w:tr>
      <w:tr>
        <w:tblPrEx>
          <w:tblCellMar>
            <w:top w:w="0" w:type="dxa"/>
            <w:left w:w="108" w:type="dxa"/>
            <w:bottom w:w="0" w:type="dxa"/>
            <w:right w:w="108" w:type="dxa"/>
          </w:tblCellMar>
        </w:tblPrEx>
        <w:trPr>
          <w:trHeight w:val="851" w:hRule="exact"/>
        </w:trPr>
        <w:tc>
          <w:tcPr>
            <w:tcW w:w="1659" w:type="dxa"/>
            <w:tcBorders>
              <w:top w:val="nil"/>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建成示范</w:t>
            </w:r>
          </w:p>
          <w:p>
            <w:pPr>
              <w:jc w:val="center"/>
              <w:rPr>
                <w:rFonts w:eastAsia="方正仿宋_GBK"/>
                <w:color w:val="000000"/>
                <w:spacing w:val="-2"/>
                <w:szCs w:val="21"/>
              </w:rPr>
            </w:pPr>
            <w:r>
              <w:rPr>
                <w:rFonts w:hint="eastAsia" w:eastAsia="方正仿宋_GBK"/>
                <w:color w:val="000000"/>
                <w:spacing w:val="-2"/>
                <w:szCs w:val="21"/>
              </w:rPr>
              <w:t>项目数量</w:t>
            </w:r>
          </w:p>
        </w:tc>
        <w:tc>
          <w:tcPr>
            <w:tcW w:w="2208" w:type="dxa"/>
            <w:gridSpan w:val="2"/>
            <w:tcBorders>
              <w:top w:val="single" w:color="auto" w:sz="4" w:space="0"/>
              <w:left w:val="nil"/>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个</w:t>
            </w:r>
          </w:p>
        </w:tc>
        <w:tc>
          <w:tcPr>
            <w:tcW w:w="2117" w:type="dxa"/>
            <w:gridSpan w:val="2"/>
            <w:tcBorders>
              <w:top w:val="nil"/>
              <w:left w:val="nil"/>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建成示范项目</w:t>
            </w:r>
          </w:p>
          <w:p>
            <w:pPr>
              <w:jc w:val="center"/>
              <w:rPr>
                <w:rFonts w:eastAsia="方正仿宋_GBK"/>
                <w:color w:val="000000"/>
                <w:spacing w:val="-2"/>
                <w:szCs w:val="21"/>
              </w:rPr>
            </w:pPr>
            <w:r>
              <w:rPr>
                <w:rFonts w:hint="eastAsia" w:eastAsia="方正仿宋_GBK"/>
                <w:color w:val="000000"/>
                <w:spacing w:val="-2"/>
                <w:szCs w:val="21"/>
              </w:rPr>
              <w:t>总建筑面积</w:t>
            </w:r>
          </w:p>
        </w:tc>
        <w:tc>
          <w:tcPr>
            <w:tcW w:w="2796" w:type="dxa"/>
            <w:gridSpan w:val="3"/>
            <w:tcBorders>
              <w:top w:val="single" w:color="auto" w:sz="4" w:space="0"/>
              <w:left w:val="nil"/>
              <w:bottom w:val="single" w:color="auto" w:sz="4" w:space="0"/>
              <w:right w:val="single" w:color="auto" w:sz="8"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万平方米</w:t>
            </w:r>
          </w:p>
        </w:tc>
      </w:tr>
      <w:tr>
        <w:tblPrEx>
          <w:tblCellMar>
            <w:top w:w="0" w:type="dxa"/>
            <w:left w:w="108" w:type="dxa"/>
            <w:bottom w:w="0" w:type="dxa"/>
            <w:right w:w="108" w:type="dxa"/>
          </w:tblCellMar>
        </w:tblPrEx>
        <w:trPr>
          <w:trHeight w:val="851" w:hRule="exact"/>
        </w:trPr>
        <w:tc>
          <w:tcPr>
            <w:tcW w:w="1659" w:type="dxa"/>
            <w:tcBorders>
              <w:top w:val="nil"/>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绿色建筑比例</w:t>
            </w:r>
          </w:p>
        </w:tc>
        <w:tc>
          <w:tcPr>
            <w:tcW w:w="2208" w:type="dxa"/>
            <w:gridSpan w:val="2"/>
            <w:tcBorders>
              <w:top w:val="single" w:color="auto" w:sz="4" w:space="0"/>
              <w:left w:val="nil"/>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w:t>
            </w:r>
          </w:p>
        </w:tc>
        <w:tc>
          <w:tcPr>
            <w:tcW w:w="2117" w:type="dxa"/>
            <w:gridSpan w:val="2"/>
            <w:tcBorders>
              <w:top w:val="nil"/>
              <w:left w:val="nil"/>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绿色建筑二星级</w:t>
            </w:r>
          </w:p>
          <w:p>
            <w:pPr>
              <w:jc w:val="center"/>
              <w:rPr>
                <w:rFonts w:eastAsia="方正仿宋_GBK"/>
                <w:color w:val="000000"/>
                <w:spacing w:val="-2"/>
                <w:szCs w:val="21"/>
              </w:rPr>
            </w:pPr>
            <w:r>
              <w:rPr>
                <w:rFonts w:hint="eastAsia" w:eastAsia="方正仿宋_GBK"/>
                <w:color w:val="000000"/>
                <w:spacing w:val="-2"/>
                <w:szCs w:val="21"/>
              </w:rPr>
              <w:t>及以上比例</w:t>
            </w:r>
          </w:p>
        </w:tc>
        <w:tc>
          <w:tcPr>
            <w:tcW w:w="2796" w:type="dxa"/>
            <w:gridSpan w:val="3"/>
            <w:tcBorders>
              <w:top w:val="single" w:color="auto" w:sz="4" w:space="0"/>
              <w:left w:val="nil"/>
              <w:bottom w:val="single" w:color="auto" w:sz="4" w:space="0"/>
              <w:right w:val="single" w:color="auto" w:sz="8" w:space="0"/>
            </w:tcBorders>
            <w:noWrap w:val="0"/>
            <w:vAlign w:val="center"/>
          </w:tcPr>
          <w:p>
            <w:pPr>
              <w:jc w:val="center"/>
              <w:rPr>
                <w:rFonts w:eastAsia="方正仿宋_GBK"/>
                <w:color w:val="000000"/>
                <w:spacing w:val="-2"/>
                <w:szCs w:val="21"/>
              </w:rPr>
            </w:pPr>
            <w:r>
              <w:rPr>
                <w:rFonts w:eastAsia="方正仿宋_GBK"/>
                <w:color w:val="000000"/>
                <w:spacing w:val="-2"/>
                <w:szCs w:val="21"/>
              </w:rPr>
              <w:t>%</w:t>
            </w:r>
          </w:p>
        </w:tc>
      </w:tr>
      <w:tr>
        <w:tblPrEx>
          <w:tblCellMar>
            <w:top w:w="0" w:type="dxa"/>
            <w:left w:w="108" w:type="dxa"/>
            <w:bottom w:w="0" w:type="dxa"/>
            <w:right w:w="108" w:type="dxa"/>
          </w:tblCellMar>
        </w:tblPrEx>
        <w:trPr>
          <w:trHeight w:val="608" w:hRule="atLeast"/>
        </w:trPr>
        <w:tc>
          <w:tcPr>
            <w:tcW w:w="8780" w:type="dxa"/>
            <w:gridSpan w:val="8"/>
            <w:tcBorders>
              <w:top w:val="single" w:color="auto" w:sz="4" w:space="0"/>
              <w:left w:val="single" w:color="auto" w:sz="8" w:space="0"/>
              <w:bottom w:val="single" w:color="auto" w:sz="4" w:space="0"/>
              <w:right w:val="single" w:color="auto" w:sz="8" w:space="0"/>
            </w:tcBorders>
            <w:noWrap w:val="0"/>
            <w:vAlign w:val="center"/>
          </w:tcPr>
          <w:p>
            <w:pPr>
              <w:rPr>
                <w:rFonts w:eastAsia="方正仿宋_GBK"/>
                <w:color w:val="000000"/>
                <w:spacing w:val="-2"/>
                <w:szCs w:val="21"/>
              </w:rPr>
            </w:pPr>
            <w:r>
              <w:rPr>
                <w:rFonts w:hint="eastAsia" w:eastAsia="方正仿宋_GBK"/>
                <w:color w:val="000000"/>
                <w:spacing w:val="-2"/>
                <w:szCs w:val="21"/>
              </w:rPr>
              <w:t>三、示范区实施情况</w:t>
            </w:r>
          </w:p>
        </w:tc>
      </w:tr>
      <w:tr>
        <w:tblPrEx>
          <w:tblCellMar>
            <w:top w:w="0" w:type="dxa"/>
            <w:left w:w="108" w:type="dxa"/>
            <w:bottom w:w="0" w:type="dxa"/>
            <w:right w:w="108" w:type="dxa"/>
          </w:tblCellMar>
        </w:tblPrEx>
        <w:trPr>
          <w:trHeight w:val="808" w:hRule="atLeast"/>
        </w:trPr>
        <w:tc>
          <w:tcPr>
            <w:tcW w:w="1659" w:type="dxa"/>
            <w:tcBorders>
              <w:top w:val="single" w:color="auto" w:sz="4" w:space="0"/>
              <w:left w:val="single" w:color="auto" w:sz="8" w:space="0"/>
              <w:bottom w:val="single" w:color="auto" w:sz="4" w:space="0"/>
              <w:right w:val="single" w:color="000000"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已开工项目</w:t>
            </w:r>
          </w:p>
          <w:p>
            <w:pPr>
              <w:jc w:val="center"/>
              <w:rPr>
                <w:rFonts w:eastAsia="方正仿宋_GBK"/>
                <w:color w:val="000000"/>
                <w:spacing w:val="-2"/>
                <w:szCs w:val="21"/>
              </w:rPr>
            </w:pPr>
            <w:r>
              <w:rPr>
                <w:rFonts w:hint="eastAsia" w:eastAsia="方正仿宋_GBK"/>
                <w:color w:val="000000"/>
                <w:spacing w:val="-2"/>
                <w:szCs w:val="21"/>
              </w:rPr>
              <w:t>总建筑面积</w:t>
            </w:r>
          </w:p>
        </w:tc>
        <w:tc>
          <w:tcPr>
            <w:tcW w:w="1962" w:type="dxa"/>
            <w:tcBorders>
              <w:top w:val="single" w:color="auto" w:sz="4" w:space="0"/>
              <w:left w:val="single" w:color="auto" w:sz="4" w:space="0"/>
              <w:bottom w:val="single" w:color="auto" w:sz="4" w:space="0"/>
              <w:right w:val="single" w:color="000000"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万平方米</w:t>
            </w:r>
          </w:p>
        </w:tc>
        <w:tc>
          <w:tcPr>
            <w:tcW w:w="1446" w:type="dxa"/>
            <w:gridSpan w:val="2"/>
            <w:tcBorders>
              <w:top w:val="single" w:color="auto" w:sz="4" w:space="0"/>
              <w:left w:val="single" w:color="auto" w:sz="4" w:space="0"/>
              <w:bottom w:val="single" w:color="auto" w:sz="4" w:space="0"/>
              <w:right w:val="single" w:color="000000"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建成项目</w:t>
            </w:r>
          </w:p>
          <w:p>
            <w:pPr>
              <w:jc w:val="center"/>
              <w:rPr>
                <w:rFonts w:eastAsia="方正仿宋_GBK"/>
                <w:color w:val="000000"/>
                <w:spacing w:val="-2"/>
                <w:szCs w:val="21"/>
              </w:rPr>
            </w:pPr>
            <w:r>
              <w:rPr>
                <w:rFonts w:hint="eastAsia" w:eastAsia="方正仿宋_GBK"/>
                <w:color w:val="000000"/>
                <w:spacing w:val="-2"/>
                <w:szCs w:val="21"/>
              </w:rPr>
              <w:t>总建筑面积</w:t>
            </w:r>
          </w:p>
        </w:tc>
        <w:tc>
          <w:tcPr>
            <w:tcW w:w="1236" w:type="dxa"/>
            <w:gridSpan w:val="2"/>
            <w:tcBorders>
              <w:top w:val="single" w:color="auto" w:sz="4" w:space="0"/>
              <w:left w:val="single" w:color="auto" w:sz="4" w:space="0"/>
              <w:bottom w:val="single" w:color="auto" w:sz="4" w:space="0"/>
              <w:right w:val="single" w:color="000000"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万平方米</w:t>
            </w:r>
          </w:p>
        </w:tc>
        <w:tc>
          <w:tcPr>
            <w:tcW w:w="1419" w:type="dxa"/>
            <w:tcBorders>
              <w:top w:val="single" w:color="auto" w:sz="4" w:space="0"/>
              <w:left w:val="single" w:color="auto" w:sz="4" w:space="0"/>
              <w:bottom w:val="single" w:color="auto" w:sz="4" w:space="0"/>
              <w:right w:val="single" w:color="000000"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项目完工率</w:t>
            </w:r>
          </w:p>
        </w:tc>
        <w:tc>
          <w:tcPr>
            <w:tcW w:w="1058"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r>
              <w:rPr>
                <w:rFonts w:eastAsia="方正仿宋_GBK"/>
                <w:color w:val="000000"/>
                <w:spacing w:val="-2"/>
                <w:szCs w:val="21"/>
              </w:rPr>
              <w:t>%</w:t>
            </w:r>
          </w:p>
        </w:tc>
      </w:tr>
      <w:tr>
        <w:tblPrEx>
          <w:tblCellMar>
            <w:top w:w="0" w:type="dxa"/>
            <w:left w:w="108" w:type="dxa"/>
            <w:bottom w:w="0" w:type="dxa"/>
            <w:right w:w="108" w:type="dxa"/>
          </w:tblCellMar>
        </w:tblPrEx>
        <w:trPr>
          <w:trHeight w:val="815" w:hRule="atLeast"/>
        </w:trPr>
        <w:tc>
          <w:tcPr>
            <w:tcW w:w="1659" w:type="dxa"/>
            <w:tcBorders>
              <w:top w:val="single" w:color="auto" w:sz="4" w:space="0"/>
              <w:left w:val="single" w:color="auto" w:sz="8" w:space="0"/>
              <w:bottom w:val="single" w:color="auto" w:sz="4" w:space="0"/>
              <w:right w:val="single" w:color="000000"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项目验收情况</w:t>
            </w:r>
          </w:p>
        </w:tc>
        <w:tc>
          <w:tcPr>
            <w:tcW w:w="7121" w:type="dxa"/>
            <w:gridSpan w:val="7"/>
            <w:tcBorders>
              <w:top w:val="single" w:color="auto" w:sz="4" w:space="0"/>
              <w:left w:val="single" w:color="auto" w:sz="4" w:space="0"/>
              <w:bottom w:val="single" w:color="auto" w:sz="4" w:space="0"/>
              <w:right w:val="single" w:color="auto" w:sz="8" w:space="0"/>
            </w:tcBorders>
            <w:noWrap w:val="0"/>
            <w:vAlign w:val="center"/>
          </w:tcPr>
          <w:p>
            <w:pPr>
              <w:rPr>
                <w:rFonts w:ascii="Times New Roman" w:eastAsia="方正仿宋_GBK"/>
                <w:color w:val="000000"/>
                <w:spacing w:val="-2"/>
                <w:szCs w:val="21"/>
              </w:rPr>
            </w:pPr>
            <w:r>
              <w:rPr>
                <w:rFonts w:hint="eastAsia" w:ascii="Times New Roman" w:eastAsia="方正仿宋_GBK"/>
                <w:color w:val="000000"/>
                <w:spacing w:val="-2"/>
                <w:szCs w:val="21"/>
              </w:rPr>
              <w:t>□所有项目已通过验收　 □部分项目已通过验收  □尚未开始验收</w:t>
            </w:r>
          </w:p>
        </w:tc>
      </w:tr>
      <w:tr>
        <w:tblPrEx>
          <w:tblCellMar>
            <w:top w:w="0" w:type="dxa"/>
            <w:left w:w="108" w:type="dxa"/>
            <w:bottom w:w="0" w:type="dxa"/>
            <w:right w:w="108" w:type="dxa"/>
          </w:tblCellMar>
        </w:tblPrEx>
        <w:trPr>
          <w:trHeight w:val="1331" w:hRule="atLeast"/>
        </w:trPr>
        <w:tc>
          <w:tcPr>
            <w:tcW w:w="1659" w:type="dxa"/>
            <w:tcBorders>
              <w:top w:val="single" w:color="auto" w:sz="4" w:space="0"/>
              <w:left w:val="single" w:color="auto" w:sz="8" w:space="0"/>
              <w:bottom w:val="single" w:color="auto" w:sz="4" w:space="0"/>
              <w:right w:val="single" w:color="000000"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已取得绿色建筑评价标识的项目数量</w:t>
            </w:r>
          </w:p>
        </w:tc>
        <w:tc>
          <w:tcPr>
            <w:tcW w:w="2208" w:type="dxa"/>
            <w:gridSpan w:val="2"/>
            <w:tcBorders>
              <w:top w:val="single" w:color="auto" w:sz="4" w:space="0"/>
              <w:left w:val="single" w:color="auto" w:sz="4" w:space="0"/>
              <w:bottom w:val="single" w:color="auto" w:sz="4" w:space="0"/>
              <w:right w:val="single" w:color="000000"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个</w:t>
            </w:r>
          </w:p>
        </w:tc>
        <w:tc>
          <w:tcPr>
            <w:tcW w:w="2117" w:type="dxa"/>
            <w:gridSpan w:val="2"/>
            <w:tcBorders>
              <w:top w:val="single" w:color="auto" w:sz="4" w:space="0"/>
              <w:left w:val="single" w:color="auto" w:sz="4" w:space="0"/>
              <w:bottom w:val="single" w:color="auto" w:sz="4" w:space="0"/>
              <w:right w:val="single" w:color="000000" w:sz="4" w:space="0"/>
            </w:tcBorders>
            <w:noWrap w:val="0"/>
            <w:vAlign w:val="center"/>
          </w:tcPr>
          <w:p>
            <w:pPr>
              <w:rPr>
                <w:rFonts w:eastAsia="方正仿宋_GBK"/>
                <w:color w:val="000000"/>
                <w:spacing w:val="-2"/>
                <w:szCs w:val="21"/>
              </w:rPr>
            </w:pPr>
            <w:r>
              <w:rPr>
                <w:rFonts w:hint="eastAsia" w:eastAsia="方正仿宋_GBK"/>
                <w:color w:val="000000"/>
                <w:spacing w:val="-2"/>
                <w:szCs w:val="21"/>
              </w:rPr>
              <w:t>已取得绿色建筑评价标识项目总建筑面积</w:t>
            </w:r>
          </w:p>
        </w:tc>
        <w:tc>
          <w:tcPr>
            <w:tcW w:w="2796" w:type="dxa"/>
            <w:gridSpan w:val="3"/>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万平方米</w:t>
            </w:r>
          </w:p>
        </w:tc>
      </w:tr>
      <w:tr>
        <w:tblPrEx>
          <w:tblCellMar>
            <w:top w:w="0" w:type="dxa"/>
            <w:left w:w="108" w:type="dxa"/>
            <w:bottom w:w="0" w:type="dxa"/>
            <w:right w:w="108" w:type="dxa"/>
          </w:tblCellMar>
        </w:tblPrEx>
        <w:trPr>
          <w:trHeight w:val="780" w:hRule="atLeast"/>
        </w:trPr>
        <w:tc>
          <w:tcPr>
            <w:tcW w:w="1659" w:type="dxa"/>
            <w:tcBorders>
              <w:top w:val="single" w:color="auto" w:sz="4" w:space="0"/>
              <w:left w:val="single" w:color="auto" w:sz="8" w:space="0"/>
              <w:bottom w:val="single" w:color="auto" w:sz="4" w:space="0"/>
              <w:right w:val="single" w:color="000000"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实施方案</w:t>
            </w:r>
          </w:p>
          <w:p>
            <w:pPr>
              <w:jc w:val="center"/>
              <w:rPr>
                <w:rFonts w:eastAsia="方正仿宋_GBK"/>
                <w:color w:val="000000"/>
                <w:spacing w:val="-2"/>
                <w:szCs w:val="21"/>
              </w:rPr>
            </w:pPr>
            <w:r>
              <w:rPr>
                <w:rFonts w:hint="eastAsia" w:eastAsia="方正仿宋_GBK"/>
                <w:color w:val="000000"/>
                <w:spacing w:val="-2"/>
                <w:szCs w:val="21"/>
              </w:rPr>
              <w:t>变更情况</w:t>
            </w:r>
          </w:p>
        </w:tc>
        <w:tc>
          <w:tcPr>
            <w:tcW w:w="7121" w:type="dxa"/>
            <w:gridSpan w:val="7"/>
            <w:tcBorders>
              <w:top w:val="single" w:color="auto" w:sz="4" w:space="0"/>
              <w:left w:val="single" w:color="auto" w:sz="4" w:space="0"/>
              <w:bottom w:val="single" w:color="auto" w:sz="4" w:space="0"/>
              <w:right w:val="single" w:color="auto" w:sz="8" w:space="0"/>
            </w:tcBorders>
            <w:noWrap w:val="0"/>
            <w:vAlign w:val="center"/>
          </w:tcPr>
          <w:p>
            <w:pPr>
              <w:rPr>
                <w:rFonts w:eastAsia="方正仿宋_GBK"/>
                <w:color w:val="000000"/>
                <w:spacing w:val="-2"/>
                <w:szCs w:val="21"/>
              </w:rPr>
            </w:pPr>
            <w:r>
              <w:rPr>
                <w:rFonts w:eastAsia="方正仿宋_GBK"/>
                <w:color w:val="000000"/>
                <w:spacing w:val="-2"/>
                <w:szCs w:val="21"/>
              </w:rPr>
              <w:t>□</w:t>
            </w:r>
            <w:r>
              <w:rPr>
                <w:rFonts w:hint="eastAsia" w:eastAsia="方正仿宋_GBK"/>
                <w:color w:val="000000"/>
                <w:spacing w:val="-2"/>
                <w:szCs w:val="21"/>
              </w:rPr>
              <w:t>未变更　</w:t>
            </w:r>
            <w:r>
              <w:rPr>
                <w:rFonts w:eastAsia="方正仿宋_GBK"/>
                <w:color w:val="000000"/>
                <w:spacing w:val="-2"/>
                <w:szCs w:val="21"/>
              </w:rPr>
              <w:t xml:space="preserve"> □</w:t>
            </w:r>
            <w:r>
              <w:rPr>
                <w:rFonts w:hint="eastAsia" w:eastAsia="方正仿宋_GBK"/>
                <w:color w:val="000000"/>
                <w:spacing w:val="-2"/>
                <w:szCs w:val="21"/>
              </w:rPr>
              <w:t>有变更并通过审查备案</w:t>
            </w:r>
            <w:r>
              <w:rPr>
                <w:rFonts w:eastAsia="方正仿宋_GBK"/>
                <w:color w:val="000000"/>
                <w:spacing w:val="-2"/>
                <w:szCs w:val="21"/>
              </w:rPr>
              <w:t xml:space="preserve">   □</w:t>
            </w:r>
            <w:r>
              <w:rPr>
                <w:rFonts w:hint="eastAsia" w:eastAsia="方正仿宋_GBK"/>
                <w:color w:val="000000"/>
                <w:spacing w:val="-2"/>
                <w:szCs w:val="21"/>
              </w:rPr>
              <w:t>有变更未通过审查备案</w:t>
            </w:r>
          </w:p>
        </w:tc>
      </w:tr>
      <w:tr>
        <w:tblPrEx>
          <w:tblCellMar>
            <w:top w:w="0" w:type="dxa"/>
            <w:left w:w="108" w:type="dxa"/>
            <w:bottom w:w="0" w:type="dxa"/>
            <w:right w:w="108" w:type="dxa"/>
          </w:tblCellMar>
        </w:tblPrEx>
        <w:trPr>
          <w:trHeight w:val="780" w:hRule="atLeast"/>
        </w:trPr>
        <w:tc>
          <w:tcPr>
            <w:tcW w:w="1659" w:type="dxa"/>
            <w:tcBorders>
              <w:top w:val="single" w:color="auto" w:sz="4" w:space="0"/>
              <w:left w:val="single" w:color="auto" w:sz="8" w:space="0"/>
              <w:bottom w:val="single" w:color="auto" w:sz="4" w:space="0"/>
              <w:right w:val="single" w:color="000000"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双月报情况</w:t>
            </w:r>
          </w:p>
        </w:tc>
        <w:tc>
          <w:tcPr>
            <w:tcW w:w="7121" w:type="dxa"/>
            <w:gridSpan w:val="7"/>
            <w:tcBorders>
              <w:top w:val="single" w:color="auto" w:sz="4" w:space="0"/>
              <w:left w:val="single" w:color="auto" w:sz="4" w:space="0"/>
              <w:bottom w:val="single" w:color="auto" w:sz="4" w:space="0"/>
              <w:right w:val="single" w:color="auto" w:sz="8" w:space="0"/>
            </w:tcBorders>
            <w:noWrap w:val="0"/>
            <w:vAlign w:val="center"/>
          </w:tcPr>
          <w:p>
            <w:pPr>
              <w:rPr>
                <w:rFonts w:eastAsia="方正仿宋_GBK"/>
                <w:color w:val="000000"/>
                <w:spacing w:val="-2"/>
                <w:szCs w:val="21"/>
              </w:rPr>
            </w:pPr>
            <w:r>
              <w:rPr>
                <w:rFonts w:eastAsia="方正仿宋_GBK"/>
                <w:color w:val="000000"/>
                <w:spacing w:val="-2"/>
                <w:szCs w:val="21"/>
              </w:rPr>
              <w:t>□</w:t>
            </w:r>
            <w:r>
              <w:rPr>
                <w:rFonts w:hint="eastAsia" w:eastAsia="方正仿宋_GBK"/>
                <w:color w:val="000000"/>
                <w:spacing w:val="-2"/>
                <w:szCs w:val="21"/>
              </w:rPr>
              <w:t>每双月报　</w:t>
            </w:r>
            <w:r>
              <w:rPr>
                <w:rFonts w:eastAsia="方正仿宋_GBK"/>
                <w:color w:val="000000"/>
                <w:spacing w:val="-2"/>
                <w:szCs w:val="21"/>
              </w:rPr>
              <w:t xml:space="preserve"> □</w:t>
            </w:r>
            <w:r>
              <w:rPr>
                <w:rFonts w:hint="eastAsia" w:eastAsia="方正仿宋_GBK"/>
                <w:color w:val="000000"/>
                <w:spacing w:val="-2"/>
                <w:szCs w:val="21"/>
              </w:rPr>
              <w:t>部分双月报</w:t>
            </w:r>
            <w:r>
              <w:rPr>
                <w:rFonts w:eastAsia="方正仿宋_GBK"/>
                <w:color w:val="000000"/>
                <w:spacing w:val="-2"/>
                <w:szCs w:val="21"/>
              </w:rPr>
              <w:t xml:space="preserve">   □</w:t>
            </w:r>
            <w:r>
              <w:rPr>
                <w:rFonts w:hint="eastAsia" w:eastAsia="方正仿宋_GBK"/>
                <w:color w:val="000000"/>
                <w:spacing w:val="-2"/>
                <w:szCs w:val="21"/>
              </w:rPr>
              <w:t>未双月报</w:t>
            </w:r>
          </w:p>
        </w:tc>
      </w:tr>
      <w:tr>
        <w:tblPrEx>
          <w:tblCellMar>
            <w:top w:w="0" w:type="dxa"/>
            <w:left w:w="108" w:type="dxa"/>
            <w:bottom w:w="0" w:type="dxa"/>
            <w:right w:w="108" w:type="dxa"/>
          </w:tblCellMar>
        </w:tblPrEx>
        <w:trPr>
          <w:trHeight w:val="4220" w:hRule="atLeast"/>
        </w:trPr>
        <w:tc>
          <w:tcPr>
            <w:tcW w:w="1659" w:type="dxa"/>
            <w:tcBorders>
              <w:top w:val="single" w:color="auto" w:sz="4" w:space="0"/>
              <w:left w:val="single" w:color="auto" w:sz="8" w:space="0"/>
              <w:bottom w:val="single" w:color="auto" w:sz="4" w:space="0"/>
              <w:right w:val="single" w:color="000000"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中期检查情况（中期检查意见，结果是否符合实施方案</w:t>
            </w:r>
          </w:p>
          <w:p>
            <w:pPr>
              <w:jc w:val="center"/>
              <w:rPr>
                <w:rFonts w:eastAsia="方正仿宋_GBK"/>
                <w:color w:val="000000"/>
                <w:spacing w:val="-2"/>
                <w:szCs w:val="21"/>
              </w:rPr>
            </w:pPr>
            <w:r>
              <w:rPr>
                <w:rFonts w:hint="eastAsia" w:eastAsia="方正仿宋_GBK"/>
                <w:color w:val="000000"/>
                <w:spacing w:val="-2"/>
                <w:szCs w:val="21"/>
              </w:rPr>
              <w:t>要求）</w:t>
            </w:r>
          </w:p>
        </w:tc>
        <w:tc>
          <w:tcPr>
            <w:tcW w:w="7121" w:type="dxa"/>
            <w:gridSpan w:val="7"/>
            <w:tcBorders>
              <w:top w:val="single" w:color="auto" w:sz="4" w:space="0"/>
              <w:left w:val="single" w:color="auto" w:sz="4" w:space="0"/>
              <w:bottom w:val="single" w:color="auto" w:sz="4" w:space="0"/>
              <w:right w:val="single" w:color="auto" w:sz="8" w:space="0"/>
            </w:tcBorders>
            <w:noWrap w:val="0"/>
            <w:vAlign w:val="center"/>
          </w:tcPr>
          <w:p>
            <w:pPr>
              <w:rPr>
                <w:rFonts w:eastAsia="方正仿宋_GBK"/>
                <w:color w:val="000000"/>
                <w:spacing w:val="-2"/>
                <w:szCs w:val="21"/>
              </w:rPr>
            </w:pPr>
          </w:p>
        </w:tc>
      </w:tr>
      <w:tr>
        <w:tblPrEx>
          <w:tblCellMar>
            <w:top w:w="0" w:type="dxa"/>
            <w:left w:w="108" w:type="dxa"/>
            <w:bottom w:w="0" w:type="dxa"/>
            <w:right w:w="108" w:type="dxa"/>
          </w:tblCellMar>
        </w:tblPrEx>
        <w:trPr>
          <w:trHeight w:val="4404" w:hRule="atLeast"/>
        </w:trPr>
        <w:tc>
          <w:tcPr>
            <w:tcW w:w="1659" w:type="dxa"/>
            <w:tcBorders>
              <w:top w:val="single" w:color="auto" w:sz="4" w:space="0"/>
              <w:left w:val="single" w:color="auto" w:sz="8" w:space="0"/>
              <w:bottom w:val="single" w:color="auto" w:sz="4" w:space="0"/>
              <w:right w:val="single" w:color="000000"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配套政策</w:t>
            </w:r>
          </w:p>
          <w:p>
            <w:pPr>
              <w:jc w:val="center"/>
              <w:rPr>
                <w:rFonts w:eastAsia="方正仿宋_GBK"/>
                <w:color w:val="000000"/>
                <w:spacing w:val="-2"/>
                <w:szCs w:val="21"/>
              </w:rPr>
            </w:pPr>
            <w:r>
              <w:rPr>
                <w:rFonts w:hint="eastAsia" w:eastAsia="方正仿宋_GBK"/>
                <w:color w:val="000000"/>
                <w:spacing w:val="-2"/>
                <w:szCs w:val="21"/>
              </w:rPr>
              <w:t>保障措施</w:t>
            </w:r>
          </w:p>
        </w:tc>
        <w:tc>
          <w:tcPr>
            <w:tcW w:w="7121" w:type="dxa"/>
            <w:gridSpan w:val="7"/>
            <w:tcBorders>
              <w:top w:val="single" w:color="auto" w:sz="4" w:space="0"/>
              <w:left w:val="single" w:color="auto" w:sz="4" w:space="0"/>
              <w:bottom w:val="single" w:color="auto" w:sz="4" w:space="0"/>
              <w:right w:val="single" w:color="auto" w:sz="8" w:space="0"/>
            </w:tcBorders>
            <w:noWrap w:val="0"/>
            <w:vAlign w:val="center"/>
          </w:tcPr>
          <w:p>
            <w:pPr>
              <w:rPr>
                <w:rFonts w:eastAsia="方正仿宋_GBK"/>
                <w:color w:val="000000"/>
                <w:spacing w:val="-2"/>
                <w:szCs w:val="21"/>
              </w:rPr>
            </w:pPr>
          </w:p>
        </w:tc>
      </w:tr>
      <w:tr>
        <w:tblPrEx>
          <w:tblCellMar>
            <w:top w:w="0" w:type="dxa"/>
            <w:left w:w="108" w:type="dxa"/>
            <w:bottom w:w="0" w:type="dxa"/>
            <w:right w:w="108" w:type="dxa"/>
          </w:tblCellMar>
        </w:tblPrEx>
        <w:trPr>
          <w:trHeight w:val="4536" w:hRule="atLeast"/>
        </w:trPr>
        <w:tc>
          <w:tcPr>
            <w:tcW w:w="1659" w:type="dxa"/>
            <w:tcBorders>
              <w:top w:val="single" w:color="auto" w:sz="4" w:space="0"/>
              <w:left w:val="single" w:color="auto" w:sz="8" w:space="0"/>
              <w:bottom w:val="single" w:color="auto" w:sz="4" w:space="0"/>
              <w:right w:val="single" w:color="000000"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财政补助资</w:t>
            </w:r>
          </w:p>
          <w:p>
            <w:pPr>
              <w:jc w:val="center"/>
              <w:rPr>
                <w:rFonts w:eastAsia="方正仿宋_GBK"/>
                <w:color w:val="000000"/>
                <w:spacing w:val="-2"/>
                <w:szCs w:val="21"/>
              </w:rPr>
            </w:pPr>
            <w:r>
              <w:rPr>
                <w:rFonts w:hint="eastAsia" w:eastAsia="方正仿宋_GBK"/>
                <w:color w:val="000000"/>
                <w:spacing w:val="-2"/>
                <w:szCs w:val="21"/>
              </w:rPr>
              <w:t>金及配套资</w:t>
            </w:r>
          </w:p>
          <w:p>
            <w:pPr>
              <w:jc w:val="center"/>
              <w:rPr>
                <w:rFonts w:eastAsia="方正仿宋_GBK"/>
                <w:color w:val="000000"/>
                <w:spacing w:val="-2"/>
                <w:szCs w:val="21"/>
              </w:rPr>
            </w:pPr>
            <w:r>
              <w:rPr>
                <w:rFonts w:hint="eastAsia" w:eastAsia="方正仿宋_GBK"/>
                <w:color w:val="000000"/>
                <w:spacing w:val="-2"/>
                <w:szCs w:val="21"/>
              </w:rPr>
              <w:t>金使用情况</w:t>
            </w:r>
          </w:p>
        </w:tc>
        <w:tc>
          <w:tcPr>
            <w:tcW w:w="7121" w:type="dxa"/>
            <w:gridSpan w:val="7"/>
            <w:tcBorders>
              <w:top w:val="single" w:color="auto" w:sz="4" w:space="0"/>
              <w:left w:val="single" w:color="auto" w:sz="4" w:space="0"/>
              <w:bottom w:val="single" w:color="auto" w:sz="4" w:space="0"/>
              <w:right w:val="single" w:color="auto" w:sz="8" w:space="0"/>
            </w:tcBorders>
            <w:noWrap w:val="0"/>
            <w:vAlign w:val="center"/>
          </w:tcPr>
          <w:p>
            <w:pPr>
              <w:rPr>
                <w:rFonts w:eastAsia="方正仿宋_GBK"/>
                <w:color w:val="000000"/>
                <w:spacing w:val="-2"/>
                <w:szCs w:val="21"/>
              </w:rPr>
            </w:pPr>
          </w:p>
        </w:tc>
      </w:tr>
      <w:tr>
        <w:tblPrEx>
          <w:tblCellMar>
            <w:top w:w="0" w:type="dxa"/>
            <w:left w:w="108" w:type="dxa"/>
            <w:bottom w:w="0" w:type="dxa"/>
            <w:right w:w="108" w:type="dxa"/>
          </w:tblCellMar>
        </w:tblPrEx>
        <w:trPr>
          <w:trHeight w:val="454" w:hRule="atLeast"/>
        </w:trPr>
        <w:tc>
          <w:tcPr>
            <w:tcW w:w="8780" w:type="dxa"/>
            <w:gridSpan w:val="8"/>
            <w:tcBorders>
              <w:top w:val="single" w:color="auto" w:sz="4" w:space="0"/>
              <w:left w:val="single" w:color="auto" w:sz="8" w:space="0"/>
              <w:bottom w:val="single" w:color="auto" w:sz="4" w:space="0"/>
              <w:right w:val="single" w:color="auto" w:sz="8" w:space="0"/>
            </w:tcBorders>
            <w:noWrap w:val="0"/>
            <w:vAlign w:val="center"/>
          </w:tcPr>
          <w:p>
            <w:pPr>
              <w:rPr>
                <w:rFonts w:eastAsia="方正仿宋_GBK"/>
                <w:color w:val="000000"/>
                <w:spacing w:val="-2"/>
                <w:szCs w:val="21"/>
              </w:rPr>
            </w:pPr>
            <w:r>
              <w:rPr>
                <w:rFonts w:hint="eastAsia" w:eastAsia="方正仿宋_GBK"/>
                <w:color w:val="000000"/>
                <w:spacing w:val="-2"/>
                <w:szCs w:val="21"/>
              </w:rPr>
              <w:t>四、专项规划编制及批准实施情况（编制情况、评审情况及评审结论、批准实施情况）</w:t>
            </w:r>
          </w:p>
        </w:tc>
      </w:tr>
      <w:tr>
        <w:tblPrEx>
          <w:tblCellMar>
            <w:top w:w="0" w:type="dxa"/>
            <w:left w:w="108" w:type="dxa"/>
            <w:bottom w:w="0" w:type="dxa"/>
            <w:right w:w="108" w:type="dxa"/>
          </w:tblCellMar>
        </w:tblPrEx>
        <w:trPr>
          <w:trHeight w:val="5832" w:hRule="atLeast"/>
        </w:trPr>
        <w:tc>
          <w:tcPr>
            <w:tcW w:w="8780" w:type="dxa"/>
            <w:gridSpan w:val="8"/>
            <w:tcBorders>
              <w:top w:val="single" w:color="auto" w:sz="4" w:space="0"/>
              <w:left w:val="single" w:color="auto" w:sz="8" w:space="0"/>
              <w:bottom w:val="single" w:color="auto" w:sz="4" w:space="0"/>
              <w:right w:val="single" w:color="auto" w:sz="8" w:space="0"/>
            </w:tcBorders>
            <w:noWrap w:val="0"/>
            <w:vAlign w:val="center"/>
          </w:tcPr>
          <w:p>
            <w:pPr>
              <w:rPr>
                <w:rFonts w:eastAsia="方正仿宋_GBK"/>
                <w:color w:val="000000"/>
                <w:spacing w:val="-2"/>
                <w:szCs w:val="21"/>
              </w:rPr>
            </w:pPr>
          </w:p>
        </w:tc>
      </w:tr>
      <w:tr>
        <w:tblPrEx>
          <w:tblCellMar>
            <w:top w:w="0" w:type="dxa"/>
            <w:left w:w="108" w:type="dxa"/>
            <w:bottom w:w="0" w:type="dxa"/>
            <w:right w:w="108" w:type="dxa"/>
          </w:tblCellMar>
        </w:tblPrEx>
        <w:trPr>
          <w:trHeight w:val="454" w:hRule="atLeast"/>
        </w:trPr>
        <w:tc>
          <w:tcPr>
            <w:tcW w:w="8780" w:type="dxa"/>
            <w:gridSpan w:val="8"/>
            <w:tcBorders>
              <w:top w:val="single" w:color="auto" w:sz="4" w:space="0"/>
              <w:left w:val="single" w:color="auto" w:sz="8" w:space="0"/>
              <w:bottom w:val="single" w:color="auto" w:sz="4" w:space="0"/>
              <w:right w:val="single" w:color="auto" w:sz="8" w:space="0"/>
            </w:tcBorders>
            <w:noWrap w:val="0"/>
            <w:vAlign w:val="center"/>
          </w:tcPr>
          <w:p>
            <w:pPr>
              <w:rPr>
                <w:rFonts w:eastAsia="方正仿宋_GBK"/>
                <w:color w:val="000000"/>
                <w:spacing w:val="-2"/>
                <w:szCs w:val="21"/>
              </w:rPr>
            </w:pPr>
            <w:r>
              <w:rPr>
                <w:rFonts w:hint="eastAsia" w:eastAsia="方正仿宋_GBK"/>
                <w:color w:val="000000"/>
                <w:spacing w:val="-2"/>
                <w:szCs w:val="21"/>
              </w:rPr>
              <w:t>五、节约型城乡建设重点工作完成情况（按照十项要求逐条编写）</w:t>
            </w:r>
          </w:p>
        </w:tc>
      </w:tr>
      <w:tr>
        <w:tblPrEx>
          <w:tblCellMar>
            <w:top w:w="0" w:type="dxa"/>
            <w:left w:w="108" w:type="dxa"/>
            <w:bottom w:w="0" w:type="dxa"/>
            <w:right w:w="108" w:type="dxa"/>
          </w:tblCellMar>
        </w:tblPrEx>
        <w:trPr>
          <w:trHeight w:val="6468" w:hRule="atLeast"/>
        </w:trPr>
        <w:tc>
          <w:tcPr>
            <w:tcW w:w="8780" w:type="dxa"/>
            <w:gridSpan w:val="8"/>
            <w:tcBorders>
              <w:top w:val="single" w:color="auto" w:sz="4" w:space="0"/>
              <w:left w:val="single" w:color="auto" w:sz="8" w:space="0"/>
              <w:bottom w:val="single" w:color="auto" w:sz="4" w:space="0"/>
              <w:right w:val="single" w:color="auto" w:sz="8" w:space="0"/>
            </w:tcBorders>
            <w:noWrap w:val="0"/>
            <w:vAlign w:val="center"/>
          </w:tcPr>
          <w:p>
            <w:pPr>
              <w:rPr>
                <w:rFonts w:eastAsia="方正仿宋_GBK"/>
                <w:color w:val="000000"/>
                <w:spacing w:val="-2"/>
                <w:szCs w:val="21"/>
              </w:rPr>
            </w:pPr>
          </w:p>
        </w:tc>
      </w:tr>
      <w:tr>
        <w:tblPrEx>
          <w:tblCellMar>
            <w:top w:w="0" w:type="dxa"/>
            <w:left w:w="108" w:type="dxa"/>
            <w:bottom w:w="0" w:type="dxa"/>
            <w:right w:w="108" w:type="dxa"/>
          </w:tblCellMar>
        </w:tblPrEx>
        <w:trPr>
          <w:trHeight w:val="382" w:hRule="atLeast"/>
        </w:trPr>
        <w:tc>
          <w:tcPr>
            <w:tcW w:w="8780" w:type="dxa"/>
            <w:gridSpan w:val="8"/>
            <w:tcBorders>
              <w:top w:val="single" w:color="auto" w:sz="4" w:space="0"/>
              <w:left w:val="single" w:color="auto" w:sz="8" w:space="0"/>
              <w:bottom w:val="single" w:color="auto" w:sz="4" w:space="0"/>
              <w:right w:val="single" w:color="auto" w:sz="8" w:space="0"/>
            </w:tcBorders>
            <w:noWrap w:val="0"/>
            <w:vAlign w:val="center"/>
          </w:tcPr>
          <w:p>
            <w:pPr>
              <w:rPr>
                <w:rFonts w:eastAsia="方正仿宋_GBK"/>
                <w:color w:val="000000"/>
                <w:spacing w:val="-2"/>
                <w:szCs w:val="21"/>
              </w:rPr>
            </w:pPr>
            <w:r>
              <w:rPr>
                <w:rFonts w:hint="eastAsia" w:eastAsia="方正仿宋_GBK"/>
                <w:color w:val="000000"/>
                <w:spacing w:val="-2"/>
                <w:szCs w:val="21"/>
              </w:rPr>
              <w:t>六、绿色建筑示范项目及示范技术完成情况</w:t>
            </w:r>
          </w:p>
        </w:tc>
      </w:tr>
      <w:tr>
        <w:tblPrEx>
          <w:tblCellMar>
            <w:top w:w="0" w:type="dxa"/>
            <w:left w:w="108" w:type="dxa"/>
            <w:bottom w:w="0" w:type="dxa"/>
            <w:right w:w="108" w:type="dxa"/>
          </w:tblCellMar>
        </w:tblPrEx>
        <w:trPr>
          <w:trHeight w:val="6236" w:hRule="atLeast"/>
        </w:trPr>
        <w:tc>
          <w:tcPr>
            <w:tcW w:w="8780" w:type="dxa"/>
            <w:gridSpan w:val="8"/>
            <w:tcBorders>
              <w:top w:val="single" w:color="auto" w:sz="4" w:space="0"/>
              <w:left w:val="single" w:color="auto" w:sz="8" w:space="0"/>
              <w:bottom w:val="single" w:color="auto" w:sz="4" w:space="0"/>
              <w:right w:val="single" w:color="auto" w:sz="8" w:space="0"/>
            </w:tcBorders>
            <w:noWrap w:val="0"/>
            <w:vAlign w:val="center"/>
          </w:tcPr>
          <w:p>
            <w:pPr>
              <w:rPr>
                <w:rFonts w:eastAsia="方正仿宋_GBK"/>
                <w:color w:val="000000"/>
                <w:spacing w:val="-2"/>
                <w:szCs w:val="21"/>
              </w:rPr>
            </w:pPr>
          </w:p>
        </w:tc>
      </w:tr>
      <w:tr>
        <w:tblPrEx>
          <w:tblCellMar>
            <w:top w:w="0" w:type="dxa"/>
            <w:left w:w="108" w:type="dxa"/>
            <w:bottom w:w="0" w:type="dxa"/>
            <w:right w:w="108" w:type="dxa"/>
          </w:tblCellMar>
        </w:tblPrEx>
        <w:trPr>
          <w:trHeight w:val="629" w:hRule="atLeast"/>
        </w:trPr>
        <w:tc>
          <w:tcPr>
            <w:tcW w:w="8780" w:type="dxa"/>
            <w:gridSpan w:val="8"/>
            <w:tcBorders>
              <w:top w:val="single" w:color="auto" w:sz="4" w:space="0"/>
              <w:left w:val="single" w:color="auto" w:sz="8" w:space="0"/>
              <w:bottom w:val="single" w:color="auto" w:sz="4" w:space="0"/>
              <w:right w:val="single" w:color="auto" w:sz="8" w:space="0"/>
            </w:tcBorders>
            <w:noWrap w:val="0"/>
            <w:vAlign w:val="center"/>
          </w:tcPr>
          <w:p>
            <w:pPr>
              <w:rPr>
                <w:rFonts w:eastAsia="方正仿宋_GBK"/>
                <w:color w:val="000000"/>
                <w:spacing w:val="-2"/>
                <w:szCs w:val="21"/>
              </w:rPr>
            </w:pPr>
            <w:r>
              <w:rPr>
                <w:rFonts w:hint="eastAsia" w:eastAsia="方正仿宋_GBK"/>
                <w:color w:val="000000"/>
                <w:spacing w:val="-2"/>
                <w:szCs w:val="21"/>
              </w:rPr>
              <w:t>七、提交文件目录</w:t>
            </w:r>
          </w:p>
        </w:tc>
      </w:tr>
      <w:tr>
        <w:tblPrEx>
          <w:tblCellMar>
            <w:top w:w="0" w:type="dxa"/>
            <w:left w:w="108" w:type="dxa"/>
            <w:bottom w:w="0" w:type="dxa"/>
            <w:right w:w="108" w:type="dxa"/>
          </w:tblCellMar>
        </w:tblPrEx>
        <w:trPr>
          <w:trHeight w:val="5993" w:hRule="atLeast"/>
        </w:trPr>
        <w:tc>
          <w:tcPr>
            <w:tcW w:w="8780" w:type="dxa"/>
            <w:gridSpan w:val="8"/>
            <w:tcBorders>
              <w:top w:val="single" w:color="auto" w:sz="4" w:space="0"/>
              <w:left w:val="single" w:color="auto" w:sz="8" w:space="0"/>
              <w:bottom w:val="single" w:color="auto" w:sz="4" w:space="0"/>
              <w:right w:val="single" w:color="auto" w:sz="8" w:space="0"/>
            </w:tcBorders>
            <w:noWrap w:val="0"/>
            <w:vAlign w:val="top"/>
          </w:tcPr>
          <w:p>
            <w:pPr>
              <w:spacing w:line="420" w:lineRule="exact"/>
              <w:rPr>
                <w:rFonts w:eastAsia="方正仿宋_GBK"/>
                <w:color w:val="000000"/>
                <w:spacing w:val="-2"/>
                <w:szCs w:val="21"/>
              </w:rPr>
            </w:pPr>
            <w:r>
              <w:rPr>
                <w:rFonts w:hint="eastAsia" w:ascii="Times New Roman" w:hAnsi="Times New Roman"/>
                <w:color w:val="000000"/>
                <w:spacing w:val="-2"/>
                <w:szCs w:val="21"/>
              </w:rPr>
              <w:t>□</w:t>
            </w:r>
            <w:r>
              <w:rPr>
                <w:rFonts w:eastAsia="方正仿宋_GBK"/>
                <w:color w:val="000000"/>
                <w:spacing w:val="-2"/>
                <w:szCs w:val="21"/>
              </w:rPr>
              <w:t xml:space="preserve"> 1.</w:t>
            </w:r>
            <w:r>
              <w:rPr>
                <w:rFonts w:hint="eastAsia" w:eastAsia="方正仿宋_GBK"/>
                <w:color w:val="000000"/>
                <w:spacing w:val="-2"/>
                <w:szCs w:val="21"/>
              </w:rPr>
              <w:t>示范区验收评估申请表</w:t>
            </w:r>
          </w:p>
          <w:p>
            <w:pPr>
              <w:spacing w:line="420" w:lineRule="exact"/>
              <w:rPr>
                <w:rFonts w:eastAsia="方正仿宋_GBK"/>
                <w:color w:val="000000"/>
                <w:spacing w:val="-2"/>
                <w:szCs w:val="21"/>
              </w:rPr>
            </w:pPr>
            <w:r>
              <w:rPr>
                <w:rFonts w:hint="eastAsia" w:ascii="Times New Roman" w:hAnsi="Times New Roman"/>
                <w:color w:val="000000"/>
                <w:spacing w:val="-2"/>
                <w:szCs w:val="21"/>
              </w:rPr>
              <w:t>□</w:t>
            </w:r>
            <w:r>
              <w:rPr>
                <w:rFonts w:eastAsia="方正仿宋_GBK"/>
                <w:color w:val="000000"/>
                <w:spacing w:val="-2"/>
                <w:szCs w:val="21"/>
              </w:rPr>
              <w:t xml:space="preserve"> 2.</w:t>
            </w:r>
            <w:r>
              <w:rPr>
                <w:rFonts w:hint="eastAsia" w:eastAsia="方正仿宋_GBK"/>
                <w:color w:val="000000"/>
                <w:spacing w:val="-2"/>
                <w:szCs w:val="21"/>
              </w:rPr>
              <w:t>批准的示范区实施方案</w:t>
            </w:r>
          </w:p>
          <w:p>
            <w:pPr>
              <w:spacing w:line="420" w:lineRule="exact"/>
              <w:rPr>
                <w:rFonts w:eastAsia="方正仿宋_GBK"/>
                <w:color w:val="000000"/>
                <w:spacing w:val="-2"/>
                <w:szCs w:val="21"/>
              </w:rPr>
            </w:pPr>
            <w:r>
              <w:rPr>
                <w:rFonts w:hint="eastAsia" w:ascii="Times New Roman" w:hAnsi="Times New Roman"/>
                <w:color w:val="000000"/>
                <w:spacing w:val="-2"/>
                <w:szCs w:val="21"/>
              </w:rPr>
              <w:t>□</w:t>
            </w:r>
            <w:r>
              <w:rPr>
                <w:rFonts w:eastAsia="方正仿宋_GBK"/>
                <w:color w:val="000000"/>
                <w:spacing w:val="-2"/>
                <w:szCs w:val="21"/>
              </w:rPr>
              <w:t xml:space="preserve"> 3.</w:t>
            </w:r>
            <w:r>
              <w:rPr>
                <w:rFonts w:hint="eastAsia" w:eastAsia="方正仿宋_GBK"/>
                <w:color w:val="000000"/>
                <w:spacing w:val="-2"/>
                <w:szCs w:val="21"/>
              </w:rPr>
              <w:t>示范区实施总结报告</w:t>
            </w:r>
          </w:p>
          <w:p>
            <w:pPr>
              <w:spacing w:line="420" w:lineRule="exact"/>
              <w:rPr>
                <w:rFonts w:eastAsia="方正仿宋_GBK"/>
                <w:color w:val="000000"/>
                <w:spacing w:val="-2"/>
                <w:szCs w:val="21"/>
              </w:rPr>
            </w:pPr>
            <w:r>
              <w:rPr>
                <w:rFonts w:hint="eastAsia" w:ascii="Times New Roman" w:hAnsi="Times New Roman"/>
                <w:color w:val="000000"/>
                <w:spacing w:val="-2"/>
                <w:szCs w:val="21"/>
              </w:rPr>
              <w:t>□</w:t>
            </w:r>
            <w:r>
              <w:rPr>
                <w:rFonts w:eastAsia="方正仿宋_GBK"/>
                <w:color w:val="000000"/>
                <w:spacing w:val="-2"/>
                <w:szCs w:val="21"/>
              </w:rPr>
              <w:t xml:space="preserve"> 4.</w:t>
            </w:r>
            <w:r>
              <w:rPr>
                <w:rFonts w:hint="eastAsia" w:eastAsia="方正仿宋_GBK"/>
                <w:color w:val="000000"/>
                <w:spacing w:val="-2"/>
                <w:szCs w:val="21"/>
              </w:rPr>
              <w:t>示范区财政补助资金及配套资金使用及管理情况报告（含财务审核机构出具的示范区资金使用情况审核报告）</w:t>
            </w:r>
          </w:p>
          <w:p>
            <w:pPr>
              <w:spacing w:line="420" w:lineRule="exact"/>
              <w:rPr>
                <w:rFonts w:eastAsia="方正仿宋_GBK"/>
                <w:color w:val="000000"/>
                <w:spacing w:val="-2"/>
                <w:szCs w:val="21"/>
              </w:rPr>
            </w:pPr>
            <w:r>
              <w:rPr>
                <w:rFonts w:hint="eastAsia" w:ascii="Times New Roman" w:hAnsi="Times New Roman"/>
                <w:color w:val="000000"/>
                <w:spacing w:val="-2"/>
                <w:szCs w:val="21"/>
              </w:rPr>
              <w:t xml:space="preserve">□ </w:t>
            </w:r>
            <w:r>
              <w:rPr>
                <w:rFonts w:eastAsia="方正仿宋_GBK"/>
                <w:color w:val="000000"/>
                <w:spacing w:val="-2"/>
                <w:szCs w:val="21"/>
              </w:rPr>
              <w:t>5.</w:t>
            </w:r>
            <w:r>
              <w:rPr>
                <w:rFonts w:hint="eastAsia" w:eastAsia="方正仿宋_GBK"/>
                <w:color w:val="000000"/>
                <w:spacing w:val="-2"/>
                <w:szCs w:val="21"/>
              </w:rPr>
              <w:t>纳入示范的项目清单，项目资料（包括完成项目验收材料、绿色建筑评价标识材料、能效测评标识材料；进行项目过程资料等）</w:t>
            </w:r>
            <w:r>
              <w:rPr>
                <w:rFonts w:eastAsia="方正仿宋_GBK"/>
                <w:color w:val="000000"/>
                <w:spacing w:val="-2"/>
                <w:szCs w:val="21"/>
              </w:rPr>
              <w:t xml:space="preserve"> </w:t>
            </w:r>
          </w:p>
          <w:p>
            <w:pPr>
              <w:spacing w:line="420" w:lineRule="exact"/>
              <w:rPr>
                <w:rFonts w:eastAsia="方正仿宋_GBK"/>
                <w:color w:val="000000"/>
                <w:spacing w:val="-2"/>
                <w:szCs w:val="21"/>
              </w:rPr>
            </w:pPr>
            <w:r>
              <w:rPr>
                <w:rFonts w:hint="eastAsia" w:ascii="Times New Roman" w:hAnsi="Times New Roman"/>
                <w:color w:val="000000"/>
                <w:spacing w:val="-2"/>
                <w:szCs w:val="21"/>
              </w:rPr>
              <w:t>□</w:t>
            </w:r>
            <w:r>
              <w:rPr>
                <w:rFonts w:eastAsia="方正仿宋_GBK"/>
                <w:color w:val="000000"/>
                <w:spacing w:val="-2"/>
                <w:szCs w:val="21"/>
              </w:rPr>
              <w:t xml:space="preserve"> 6.</w:t>
            </w:r>
            <w:r>
              <w:rPr>
                <w:rFonts w:hint="eastAsia" w:eastAsia="方正仿宋_GBK"/>
                <w:color w:val="000000"/>
                <w:spacing w:val="-2"/>
                <w:szCs w:val="21"/>
              </w:rPr>
              <w:t>纳入示范区工作的节约型城乡建设项目相关资料</w:t>
            </w:r>
          </w:p>
          <w:p>
            <w:pPr>
              <w:spacing w:line="420" w:lineRule="exact"/>
              <w:rPr>
                <w:rFonts w:eastAsia="方正仿宋_GBK"/>
                <w:color w:val="000000"/>
                <w:spacing w:val="-2"/>
                <w:szCs w:val="21"/>
              </w:rPr>
            </w:pPr>
            <w:r>
              <w:rPr>
                <w:rFonts w:hint="eastAsia" w:ascii="Times New Roman" w:hAnsi="Times New Roman"/>
                <w:color w:val="000000"/>
                <w:spacing w:val="-2"/>
                <w:szCs w:val="21"/>
              </w:rPr>
              <w:t>□</w:t>
            </w:r>
            <w:r>
              <w:rPr>
                <w:rFonts w:eastAsia="方正仿宋_GBK"/>
                <w:color w:val="000000"/>
                <w:spacing w:val="-2"/>
                <w:szCs w:val="21"/>
              </w:rPr>
              <w:t xml:space="preserve"> 7.</w:t>
            </w:r>
            <w:r>
              <w:rPr>
                <w:rFonts w:hint="eastAsia" w:eastAsia="方正仿宋_GBK"/>
                <w:color w:val="000000"/>
                <w:spacing w:val="-2"/>
                <w:szCs w:val="21"/>
              </w:rPr>
              <w:t>示范区工作开展及配套能力建设成果文件，包括：进度报表、中期检查表、资源评估报告、专项规划及配套政策文件等</w:t>
            </w:r>
          </w:p>
          <w:p>
            <w:pPr>
              <w:spacing w:line="420" w:lineRule="exact"/>
              <w:rPr>
                <w:rFonts w:eastAsia="方正仿宋_GBK"/>
                <w:color w:val="000000"/>
                <w:spacing w:val="-2"/>
                <w:szCs w:val="21"/>
              </w:rPr>
            </w:pPr>
            <w:r>
              <w:rPr>
                <w:rFonts w:hint="eastAsia" w:ascii="Times New Roman" w:hAnsi="Times New Roman"/>
                <w:color w:val="000000"/>
                <w:spacing w:val="-2"/>
                <w:szCs w:val="21"/>
              </w:rPr>
              <w:t>□</w:t>
            </w:r>
            <w:r>
              <w:rPr>
                <w:rFonts w:eastAsia="方正仿宋_GBK"/>
                <w:color w:val="000000"/>
                <w:spacing w:val="-2"/>
                <w:szCs w:val="21"/>
              </w:rPr>
              <w:t xml:space="preserve"> 8.</w:t>
            </w:r>
            <w:r>
              <w:rPr>
                <w:rFonts w:hint="eastAsia" w:eastAsia="方正仿宋_GBK"/>
                <w:color w:val="000000"/>
                <w:spacing w:val="-2"/>
                <w:szCs w:val="21"/>
              </w:rPr>
              <w:t>项目能效测评报告和典型项目运行监测相关文件</w:t>
            </w:r>
          </w:p>
          <w:p>
            <w:pPr>
              <w:spacing w:line="420" w:lineRule="exact"/>
              <w:rPr>
                <w:rFonts w:eastAsia="方正仿宋_GBK"/>
                <w:color w:val="000000"/>
                <w:spacing w:val="-2"/>
                <w:szCs w:val="21"/>
              </w:rPr>
            </w:pPr>
            <w:r>
              <w:rPr>
                <w:rFonts w:hint="eastAsia" w:ascii="Times New Roman" w:hAnsi="Times New Roman"/>
                <w:color w:val="000000"/>
                <w:spacing w:val="-2"/>
                <w:szCs w:val="21"/>
              </w:rPr>
              <w:t>□</w:t>
            </w:r>
            <w:r>
              <w:rPr>
                <w:rFonts w:eastAsia="方正仿宋_GBK"/>
                <w:color w:val="000000"/>
                <w:spacing w:val="-2"/>
                <w:szCs w:val="21"/>
              </w:rPr>
              <w:t xml:space="preserve"> 9.</w:t>
            </w:r>
            <w:r>
              <w:rPr>
                <w:rFonts w:hint="eastAsia" w:eastAsia="方正仿宋_GBK"/>
                <w:color w:val="000000"/>
                <w:spacing w:val="-2"/>
                <w:szCs w:val="21"/>
              </w:rPr>
              <w:t>示范区运营管理等后评估文件</w:t>
            </w:r>
          </w:p>
          <w:p>
            <w:pPr>
              <w:spacing w:line="420" w:lineRule="exact"/>
              <w:rPr>
                <w:rFonts w:eastAsia="方正仿宋_GBK"/>
                <w:color w:val="000000"/>
                <w:spacing w:val="-2"/>
                <w:szCs w:val="21"/>
              </w:rPr>
            </w:pPr>
            <w:r>
              <w:rPr>
                <w:rFonts w:hint="eastAsia" w:ascii="Times New Roman" w:hAnsi="Times New Roman"/>
                <w:color w:val="000000"/>
                <w:spacing w:val="-2"/>
                <w:szCs w:val="21"/>
              </w:rPr>
              <w:t>□</w:t>
            </w:r>
            <w:r>
              <w:rPr>
                <w:rFonts w:eastAsia="方正仿宋_GBK"/>
                <w:color w:val="000000"/>
                <w:spacing w:val="-2"/>
                <w:szCs w:val="21"/>
              </w:rPr>
              <w:t xml:space="preserve"> 10.</w:t>
            </w:r>
            <w:r>
              <w:rPr>
                <w:rFonts w:hint="eastAsia" w:eastAsia="方正仿宋_GBK"/>
                <w:color w:val="000000"/>
                <w:spacing w:val="-2"/>
                <w:szCs w:val="21"/>
              </w:rPr>
              <w:t>过程照片、视频等其他相关资料</w:t>
            </w:r>
          </w:p>
        </w:tc>
      </w:tr>
      <w:tr>
        <w:tblPrEx>
          <w:tblCellMar>
            <w:top w:w="0" w:type="dxa"/>
            <w:left w:w="108" w:type="dxa"/>
            <w:bottom w:w="0" w:type="dxa"/>
            <w:right w:w="108" w:type="dxa"/>
          </w:tblCellMar>
        </w:tblPrEx>
        <w:trPr>
          <w:trHeight w:val="632" w:hRule="atLeast"/>
        </w:trPr>
        <w:tc>
          <w:tcPr>
            <w:tcW w:w="8780" w:type="dxa"/>
            <w:gridSpan w:val="8"/>
            <w:tcBorders>
              <w:top w:val="single" w:color="auto" w:sz="4" w:space="0"/>
              <w:left w:val="single" w:color="auto" w:sz="8" w:space="0"/>
              <w:bottom w:val="single" w:color="auto" w:sz="4" w:space="0"/>
              <w:right w:val="single" w:color="auto" w:sz="8" w:space="0"/>
            </w:tcBorders>
            <w:noWrap w:val="0"/>
            <w:vAlign w:val="center"/>
          </w:tcPr>
          <w:p>
            <w:pPr>
              <w:rPr>
                <w:rFonts w:eastAsia="方正仿宋_GBK"/>
                <w:color w:val="000000"/>
                <w:spacing w:val="-2"/>
                <w:szCs w:val="21"/>
              </w:rPr>
            </w:pPr>
            <w:r>
              <w:rPr>
                <w:rFonts w:hint="eastAsia" w:eastAsia="方正仿宋_GBK"/>
                <w:color w:val="000000"/>
                <w:spacing w:val="-2"/>
                <w:szCs w:val="21"/>
              </w:rPr>
              <w:t>八、申请单位意见</w:t>
            </w:r>
          </w:p>
        </w:tc>
      </w:tr>
      <w:tr>
        <w:tblPrEx>
          <w:tblCellMar>
            <w:top w:w="0" w:type="dxa"/>
            <w:left w:w="108" w:type="dxa"/>
            <w:bottom w:w="0" w:type="dxa"/>
            <w:right w:w="108" w:type="dxa"/>
          </w:tblCellMar>
        </w:tblPrEx>
        <w:trPr>
          <w:trHeight w:val="5731" w:hRule="atLeast"/>
        </w:trPr>
        <w:tc>
          <w:tcPr>
            <w:tcW w:w="8780" w:type="dxa"/>
            <w:gridSpan w:val="8"/>
            <w:tcBorders>
              <w:top w:val="single" w:color="auto" w:sz="4" w:space="0"/>
              <w:left w:val="single" w:color="auto" w:sz="8" w:space="0"/>
              <w:bottom w:val="single" w:color="auto" w:sz="4" w:space="0"/>
              <w:right w:val="single" w:color="auto" w:sz="8" w:space="0"/>
            </w:tcBorders>
            <w:noWrap w:val="0"/>
            <w:vAlign w:val="center"/>
          </w:tcPr>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jc w:val="right"/>
              <w:rPr>
                <w:rFonts w:eastAsia="方正仿宋_GBK"/>
                <w:color w:val="000000"/>
                <w:spacing w:val="-2"/>
                <w:szCs w:val="21"/>
              </w:rPr>
            </w:pPr>
            <w:r>
              <w:rPr>
                <w:rFonts w:hint="eastAsia" w:eastAsia="方正仿宋_GBK"/>
                <w:color w:val="000000"/>
                <w:spacing w:val="-2"/>
                <w:szCs w:val="21"/>
              </w:rPr>
              <w:t>签字：</w:t>
            </w:r>
            <w:r>
              <w:rPr>
                <w:rFonts w:eastAsia="方正仿宋_GBK"/>
                <w:color w:val="000000"/>
                <w:spacing w:val="-2"/>
                <w:szCs w:val="21"/>
              </w:rPr>
              <w:t xml:space="preserve">      </w:t>
            </w:r>
            <w:r>
              <w:rPr>
                <w:rFonts w:hint="eastAsia" w:eastAsia="方正仿宋_GBK"/>
                <w:color w:val="000000"/>
                <w:spacing w:val="-2"/>
                <w:szCs w:val="21"/>
              </w:rPr>
              <w:t>（盖章）</w:t>
            </w:r>
          </w:p>
          <w:p>
            <w:pPr>
              <w:jc w:val="right"/>
              <w:rPr>
                <w:rFonts w:eastAsia="方正仿宋_GBK"/>
                <w:color w:val="000000"/>
                <w:spacing w:val="-2"/>
                <w:szCs w:val="21"/>
              </w:rPr>
            </w:pPr>
          </w:p>
          <w:p>
            <w:pPr>
              <w:jc w:val="right"/>
              <w:rPr>
                <w:rFonts w:eastAsia="方正仿宋_GBK"/>
                <w:color w:val="000000"/>
                <w:spacing w:val="-2"/>
                <w:szCs w:val="21"/>
              </w:rPr>
            </w:pPr>
            <w:r>
              <w:rPr>
                <w:rFonts w:hint="eastAsia" w:eastAsia="方正仿宋_GBK"/>
                <w:color w:val="000000"/>
                <w:spacing w:val="-2"/>
                <w:szCs w:val="21"/>
              </w:rPr>
              <w:t>年</w:t>
            </w:r>
            <w:r>
              <w:rPr>
                <w:rFonts w:eastAsia="方正仿宋_GBK"/>
                <w:color w:val="000000"/>
                <w:spacing w:val="-2"/>
                <w:szCs w:val="21"/>
              </w:rPr>
              <w:t xml:space="preserve">   </w:t>
            </w:r>
            <w:r>
              <w:rPr>
                <w:rFonts w:hint="eastAsia" w:eastAsia="方正仿宋_GBK"/>
                <w:color w:val="000000"/>
                <w:spacing w:val="-2"/>
                <w:szCs w:val="21"/>
              </w:rPr>
              <w:t>月</w:t>
            </w:r>
            <w:r>
              <w:rPr>
                <w:rFonts w:eastAsia="方正仿宋_GBK"/>
                <w:color w:val="000000"/>
                <w:spacing w:val="-2"/>
                <w:szCs w:val="21"/>
              </w:rPr>
              <w:t xml:space="preserve">   </w:t>
            </w:r>
            <w:r>
              <w:rPr>
                <w:rFonts w:hint="eastAsia" w:eastAsia="方正仿宋_GBK"/>
                <w:color w:val="000000"/>
                <w:spacing w:val="-2"/>
                <w:szCs w:val="21"/>
              </w:rPr>
              <w:t>日</w:t>
            </w:r>
            <w:r>
              <w:rPr>
                <w:rFonts w:eastAsia="方正仿宋_GBK"/>
                <w:color w:val="000000"/>
                <w:spacing w:val="-2"/>
                <w:szCs w:val="21"/>
              </w:rPr>
              <w:t xml:space="preserve">    </w:t>
            </w:r>
          </w:p>
        </w:tc>
      </w:tr>
      <w:tr>
        <w:tblPrEx>
          <w:tblCellMar>
            <w:top w:w="0" w:type="dxa"/>
            <w:left w:w="108" w:type="dxa"/>
            <w:bottom w:w="0" w:type="dxa"/>
            <w:right w:w="108" w:type="dxa"/>
          </w:tblCellMar>
        </w:tblPrEx>
        <w:trPr>
          <w:trHeight w:val="572" w:hRule="atLeast"/>
        </w:trPr>
        <w:tc>
          <w:tcPr>
            <w:tcW w:w="8780" w:type="dxa"/>
            <w:gridSpan w:val="8"/>
            <w:tcBorders>
              <w:top w:val="single" w:color="auto" w:sz="4" w:space="0"/>
              <w:left w:val="single" w:color="auto" w:sz="8" w:space="0"/>
              <w:bottom w:val="single" w:color="auto" w:sz="4" w:space="0"/>
              <w:right w:val="single" w:color="auto" w:sz="8" w:space="0"/>
            </w:tcBorders>
            <w:noWrap w:val="0"/>
            <w:vAlign w:val="center"/>
          </w:tcPr>
          <w:p>
            <w:pPr>
              <w:rPr>
                <w:rFonts w:eastAsia="方正仿宋_GBK"/>
                <w:color w:val="000000"/>
                <w:spacing w:val="-2"/>
                <w:szCs w:val="21"/>
              </w:rPr>
            </w:pPr>
            <w:r>
              <w:rPr>
                <w:rFonts w:hint="eastAsia" w:eastAsia="方正仿宋_GBK"/>
                <w:color w:val="000000"/>
                <w:spacing w:val="-2"/>
                <w:szCs w:val="21"/>
              </w:rPr>
              <w:t>九、项目所在地（市、县）建设主管部门意见</w:t>
            </w:r>
          </w:p>
        </w:tc>
      </w:tr>
      <w:tr>
        <w:tblPrEx>
          <w:tblCellMar>
            <w:top w:w="0" w:type="dxa"/>
            <w:left w:w="108" w:type="dxa"/>
            <w:bottom w:w="0" w:type="dxa"/>
            <w:right w:w="108" w:type="dxa"/>
          </w:tblCellMar>
        </w:tblPrEx>
        <w:trPr>
          <w:trHeight w:val="6193" w:hRule="atLeast"/>
        </w:trPr>
        <w:tc>
          <w:tcPr>
            <w:tcW w:w="8780" w:type="dxa"/>
            <w:gridSpan w:val="8"/>
            <w:tcBorders>
              <w:top w:val="single" w:color="auto" w:sz="4" w:space="0"/>
              <w:left w:val="single" w:color="auto" w:sz="8" w:space="0"/>
              <w:bottom w:val="single" w:color="auto" w:sz="4" w:space="0"/>
              <w:right w:val="single" w:color="auto" w:sz="8" w:space="0"/>
            </w:tcBorders>
            <w:noWrap w:val="0"/>
            <w:vAlign w:val="center"/>
          </w:tcPr>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ind w:right="420"/>
              <w:jc w:val="right"/>
              <w:rPr>
                <w:rFonts w:eastAsia="方正仿宋_GBK"/>
                <w:color w:val="000000"/>
                <w:spacing w:val="-2"/>
                <w:szCs w:val="21"/>
              </w:rPr>
            </w:pPr>
            <w:r>
              <w:rPr>
                <w:rFonts w:hint="eastAsia" w:eastAsia="方正仿宋_GBK"/>
                <w:color w:val="000000"/>
                <w:spacing w:val="-2"/>
                <w:szCs w:val="21"/>
              </w:rPr>
              <w:t>（盖章）</w:t>
            </w:r>
            <w:r>
              <w:rPr>
                <w:rFonts w:eastAsia="方正仿宋_GBK"/>
                <w:color w:val="000000"/>
                <w:spacing w:val="-2"/>
                <w:szCs w:val="21"/>
              </w:rPr>
              <w:t xml:space="preserve"> </w:t>
            </w:r>
          </w:p>
          <w:p>
            <w:pPr>
              <w:jc w:val="right"/>
              <w:rPr>
                <w:rFonts w:eastAsia="方正仿宋_GBK"/>
                <w:color w:val="000000"/>
                <w:spacing w:val="-2"/>
                <w:szCs w:val="21"/>
              </w:rPr>
            </w:pPr>
            <w:r>
              <w:rPr>
                <w:rFonts w:eastAsia="方正仿宋_GBK"/>
                <w:color w:val="000000"/>
                <w:spacing w:val="-2"/>
                <w:szCs w:val="21"/>
              </w:rPr>
              <w:t xml:space="preserve">     </w:t>
            </w:r>
          </w:p>
          <w:p>
            <w:pPr>
              <w:jc w:val="right"/>
              <w:rPr>
                <w:rFonts w:eastAsia="方正仿宋_GBK"/>
                <w:color w:val="000000"/>
                <w:spacing w:val="-2"/>
                <w:szCs w:val="21"/>
              </w:rPr>
            </w:pPr>
            <w:r>
              <w:rPr>
                <w:rFonts w:hint="eastAsia" w:eastAsia="方正仿宋_GBK"/>
                <w:color w:val="000000"/>
                <w:spacing w:val="-2"/>
                <w:szCs w:val="21"/>
              </w:rPr>
              <w:t>年</w:t>
            </w:r>
            <w:r>
              <w:rPr>
                <w:rFonts w:eastAsia="方正仿宋_GBK"/>
                <w:color w:val="000000"/>
                <w:spacing w:val="-2"/>
                <w:szCs w:val="21"/>
              </w:rPr>
              <w:t xml:space="preserve">   </w:t>
            </w:r>
            <w:r>
              <w:rPr>
                <w:rFonts w:hint="eastAsia" w:eastAsia="方正仿宋_GBK"/>
                <w:color w:val="000000"/>
                <w:spacing w:val="-2"/>
                <w:szCs w:val="21"/>
              </w:rPr>
              <w:t>月</w:t>
            </w:r>
            <w:r>
              <w:rPr>
                <w:rFonts w:eastAsia="方正仿宋_GBK"/>
                <w:color w:val="000000"/>
                <w:spacing w:val="-2"/>
                <w:szCs w:val="21"/>
              </w:rPr>
              <w:t xml:space="preserve">   </w:t>
            </w:r>
            <w:r>
              <w:rPr>
                <w:rFonts w:hint="eastAsia" w:eastAsia="方正仿宋_GBK"/>
                <w:color w:val="000000"/>
                <w:spacing w:val="-2"/>
                <w:szCs w:val="21"/>
              </w:rPr>
              <w:t>日</w:t>
            </w:r>
            <w:r>
              <w:rPr>
                <w:rFonts w:eastAsia="方正仿宋_GBK"/>
                <w:color w:val="000000"/>
                <w:spacing w:val="-2"/>
                <w:szCs w:val="21"/>
              </w:rPr>
              <w:t xml:space="preserve">    </w:t>
            </w:r>
          </w:p>
        </w:tc>
      </w:tr>
      <w:tr>
        <w:tblPrEx>
          <w:tblCellMar>
            <w:top w:w="0" w:type="dxa"/>
            <w:left w:w="108" w:type="dxa"/>
            <w:bottom w:w="0" w:type="dxa"/>
            <w:right w:w="108" w:type="dxa"/>
          </w:tblCellMar>
        </w:tblPrEx>
        <w:trPr>
          <w:trHeight w:val="454" w:hRule="atLeast"/>
        </w:trPr>
        <w:tc>
          <w:tcPr>
            <w:tcW w:w="8780" w:type="dxa"/>
            <w:gridSpan w:val="8"/>
            <w:tcBorders>
              <w:top w:val="single" w:color="auto" w:sz="4" w:space="0"/>
              <w:left w:val="single" w:color="auto" w:sz="8" w:space="0"/>
              <w:bottom w:val="single" w:color="auto" w:sz="4" w:space="0"/>
              <w:right w:val="single" w:color="auto" w:sz="8" w:space="0"/>
            </w:tcBorders>
            <w:noWrap w:val="0"/>
            <w:vAlign w:val="center"/>
          </w:tcPr>
          <w:p>
            <w:pPr>
              <w:rPr>
                <w:rFonts w:eastAsia="方正仿宋_GBK"/>
                <w:color w:val="000000"/>
                <w:spacing w:val="-2"/>
                <w:szCs w:val="21"/>
              </w:rPr>
            </w:pPr>
            <w:r>
              <w:rPr>
                <w:rFonts w:hint="eastAsia" w:eastAsia="方正仿宋_GBK"/>
                <w:color w:val="000000"/>
                <w:spacing w:val="-2"/>
                <w:szCs w:val="21"/>
              </w:rPr>
              <w:t>十、项目所在地（市、县）财政主管部门意见</w:t>
            </w:r>
          </w:p>
        </w:tc>
      </w:tr>
      <w:tr>
        <w:tblPrEx>
          <w:tblCellMar>
            <w:top w:w="0" w:type="dxa"/>
            <w:left w:w="108" w:type="dxa"/>
            <w:bottom w:w="0" w:type="dxa"/>
            <w:right w:w="108" w:type="dxa"/>
          </w:tblCellMar>
        </w:tblPrEx>
        <w:trPr>
          <w:trHeight w:val="5713" w:hRule="atLeast"/>
        </w:trPr>
        <w:tc>
          <w:tcPr>
            <w:tcW w:w="8780" w:type="dxa"/>
            <w:gridSpan w:val="8"/>
            <w:tcBorders>
              <w:top w:val="single" w:color="auto" w:sz="4" w:space="0"/>
              <w:left w:val="single" w:color="auto" w:sz="8" w:space="0"/>
              <w:bottom w:val="single" w:color="auto" w:sz="4" w:space="0"/>
              <w:right w:val="single" w:color="auto" w:sz="8" w:space="0"/>
            </w:tcBorders>
            <w:noWrap w:val="0"/>
            <w:vAlign w:val="center"/>
          </w:tcPr>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jc w:val="right"/>
              <w:rPr>
                <w:rFonts w:eastAsia="方正仿宋_GBK"/>
                <w:color w:val="000000"/>
                <w:spacing w:val="-2"/>
                <w:szCs w:val="21"/>
              </w:rPr>
            </w:pPr>
            <w:r>
              <w:rPr>
                <w:rFonts w:hint="eastAsia" w:eastAsia="方正仿宋_GBK"/>
                <w:color w:val="000000"/>
                <w:spacing w:val="-2"/>
                <w:szCs w:val="21"/>
              </w:rPr>
              <w:t>（盖章）</w:t>
            </w:r>
            <w:r>
              <w:rPr>
                <w:rFonts w:eastAsia="方正仿宋_GBK"/>
                <w:color w:val="000000"/>
                <w:spacing w:val="-2"/>
                <w:szCs w:val="21"/>
              </w:rPr>
              <w:t xml:space="preserve">      </w:t>
            </w:r>
          </w:p>
          <w:p>
            <w:pPr>
              <w:jc w:val="right"/>
              <w:rPr>
                <w:rFonts w:eastAsia="方正仿宋_GBK"/>
                <w:color w:val="000000"/>
                <w:spacing w:val="-2"/>
                <w:szCs w:val="21"/>
              </w:rPr>
            </w:pPr>
          </w:p>
          <w:p>
            <w:pPr>
              <w:jc w:val="right"/>
              <w:rPr>
                <w:rFonts w:eastAsia="方正仿宋_GBK"/>
                <w:color w:val="000000"/>
                <w:spacing w:val="-2"/>
                <w:szCs w:val="21"/>
              </w:rPr>
            </w:pPr>
            <w:r>
              <w:rPr>
                <w:rFonts w:hint="eastAsia" w:eastAsia="方正仿宋_GBK"/>
                <w:color w:val="000000"/>
                <w:spacing w:val="-2"/>
                <w:szCs w:val="21"/>
              </w:rPr>
              <w:t>年</w:t>
            </w:r>
            <w:r>
              <w:rPr>
                <w:rFonts w:eastAsia="方正仿宋_GBK"/>
                <w:color w:val="000000"/>
                <w:spacing w:val="-2"/>
                <w:szCs w:val="21"/>
              </w:rPr>
              <w:t xml:space="preserve">   </w:t>
            </w:r>
            <w:r>
              <w:rPr>
                <w:rFonts w:hint="eastAsia" w:eastAsia="方正仿宋_GBK"/>
                <w:color w:val="000000"/>
                <w:spacing w:val="-2"/>
                <w:szCs w:val="21"/>
              </w:rPr>
              <w:t>月</w:t>
            </w:r>
            <w:r>
              <w:rPr>
                <w:rFonts w:eastAsia="方正仿宋_GBK"/>
                <w:color w:val="000000"/>
                <w:spacing w:val="-2"/>
                <w:szCs w:val="21"/>
              </w:rPr>
              <w:t xml:space="preserve">   </w:t>
            </w:r>
            <w:r>
              <w:rPr>
                <w:rFonts w:hint="eastAsia" w:eastAsia="方正仿宋_GBK"/>
                <w:color w:val="000000"/>
                <w:spacing w:val="-2"/>
                <w:szCs w:val="21"/>
              </w:rPr>
              <w:t>日</w:t>
            </w:r>
            <w:r>
              <w:rPr>
                <w:rFonts w:eastAsia="方正仿宋_GBK"/>
                <w:color w:val="000000"/>
                <w:spacing w:val="-2"/>
                <w:szCs w:val="21"/>
              </w:rPr>
              <w:t xml:space="preserve">    </w:t>
            </w:r>
          </w:p>
        </w:tc>
      </w:tr>
      <w:tr>
        <w:tblPrEx>
          <w:tblCellMar>
            <w:top w:w="0" w:type="dxa"/>
            <w:left w:w="108" w:type="dxa"/>
            <w:bottom w:w="0" w:type="dxa"/>
            <w:right w:w="108" w:type="dxa"/>
          </w:tblCellMar>
        </w:tblPrEx>
        <w:trPr>
          <w:trHeight w:val="454" w:hRule="atLeast"/>
        </w:trPr>
        <w:tc>
          <w:tcPr>
            <w:tcW w:w="8780" w:type="dxa"/>
            <w:gridSpan w:val="8"/>
            <w:tcBorders>
              <w:top w:val="single" w:color="auto" w:sz="4" w:space="0"/>
              <w:left w:val="single" w:color="auto" w:sz="8" w:space="0"/>
              <w:bottom w:val="single" w:color="auto" w:sz="4" w:space="0"/>
              <w:right w:val="single" w:color="auto" w:sz="8" w:space="0"/>
            </w:tcBorders>
            <w:noWrap w:val="0"/>
            <w:vAlign w:val="center"/>
          </w:tcPr>
          <w:p>
            <w:pPr>
              <w:rPr>
                <w:rFonts w:eastAsia="方正仿宋_GBK"/>
                <w:color w:val="000000"/>
                <w:spacing w:val="-2"/>
                <w:szCs w:val="21"/>
              </w:rPr>
            </w:pPr>
            <w:r>
              <w:rPr>
                <w:rFonts w:hint="eastAsia" w:eastAsia="方正仿宋_GBK"/>
                <w:color w:val="000000"/>
                <w:spacing w:val="-2"/>
                <w:szCs w:val="21"/>
              </w:rPr>
              <w:t>十一、验收小组意见</w:t>
            </w:r>
          </w:p>
        </w:tc>
      </w:tr>
      <w:tr>
        <w:tblPrEx>
          <w:tblCellMar>
            <w:top w:w="0" w:type="dxa"/>
            <w:left w:w="108" w:type="dxa"/>
            <w:bottom w:w="0" w:type="dxa"/>
            <w:right w:w="108" w:type="dxa"/>
          </w:tblCellMar>
        </w:tblPrEx>
        <w:trPr>
          <w:trHeight w:val="6554" w:hRule="atLeast"/>
        </w:trPr>
        <w:tc>
          <w:tcPr>
            <w:tcW w:w="8780" w:type="dxa"/>
            <w:gridSpan w:val="8"/>
            <w:tcBorders>
              <w:top w:val="single" w:color="auto" w:sz="4" w:space="0"/>
              <w:left w:val="single" w:color="auto" w:sz="8" w:space="0"/>
              <w:bottom w:val="single" w:color="auto" w:sz="8" w:space="0"/>
              <w:right w:val="single" w:color="auto" w:sz="8" w:space="0"/>
            </w:tcBorders>
            <w:noWrap w:val="0"/>
            <w:vAlign w:val="center"/>
          </w:tcPr>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jc w:val="right"/>
              <w:rPr>
                <w:rFonts w:eastAsia="方正仿宋_GBK"/>
                <w:color w:val="000000"/>
                <w:spacing w:val="-2"/>
                <w:szCs w:val="21"/>
              </w:rPr>
            </w:pPr>
            <w:r>
              <w:rPr>
                <w:rFonts w:hint="eastAsia" w:eastAsia="方正仿宋_GBK"/>
                <w:color w:val="000000"/>
                <w:spacing w:val="-2"/>
                <w:szCs w:val="21"/>
              </w:rPr>
              <w:t>签字：</w:t>
            </w:r>
            <w:r>
              <w:rPr>
                <w:rFonts w:eastAsia="方正仿宋_GBK"/>
                <w:color w:val="000000"/>
                <w:spacing w:val="-2"/>
                <w:szCs w:val="21"/>
              </w:rPr>
              <w:t xml:space="preserve">        </w:t>
            </w:r>
            <w:r>
              <w:rPr>
                <w:rFonts w:hint="eastAsia" w:eastAsia="方正仿宋_GBK"/>
                <w:color w:val="000000"/>
                <w:spacing w:val="-2"/>
                <w:szCs w:val="21"/>
              </w:rPr>
              <w:t>（盖章）</w:t>
            </w:r>
          </w:p>
          <w:p>
            <w:pPr>
              <w:jc w:val="right"/>
              <w:rPr>
                <w:rFonts w:eastAsia="方正仿宋_GBK"/>
                <w:color w:val="000000"/>
                <w:spacing w:val="-2"/>
                <w:szCs w:val="21"/>
              </w:rPr>
            </w:pPr>
          </w:p>
          <w:p>
            <w:pPr>
              <w:jc w:val="right"/>
              <w:rPr>
                <w:rFonts w:eastAsia="方正仿宋_GBK"/>
                <w:color w:val="000000"/>
                <w:spacing w:val="-2"/>
                <w:szCs w:val="21"/>
              </w:rPr>
            </w:pPr>
            <w:r>
              <w:rPr>
                <w:rFonts w:hint="eastAsia" w:eastAsia="方正仿宋_GBK"/>
                <w:color w:val="000000"/>
                <w:spacing w:val="-2"/>
                <w:szCs w:val="21"/>
              </w:rPr>
              <w:t>年</w:t>
            </w:r>
            <w:r>
              <w:rPr>
                <w:rFonts w:eastAsia="方正仿宋_GBK"/>
                <w:color w:val="000000"/>
                <w:spacing w:val="-2"/>
                <w:szCs w:val="21"/>
              </w:rPr>
              <w:t xml:space="preserve">   </w:t>
            </w:r>
            <w:r>
              <w:rPr>
                <w:rFonts w:hint="eastAsia" w:eastAsia="方正仿宋_GBK"/>
                <w:color w:val="000000"/>
                <w:spacing w:val="-2"/>
                <w:szCs w:val="21"/>
              </w:rPr>
              <w:t>月</w:t>
            </w:r>
            <w:r>
              <w:rPr>
                <w:rFonts w:eastAsia="方正仿宋_GBK"/>
                <w:color w:val="000000"/>
                <w:spacing w:val="-2"/>
                <w:szCs w:val="21"/>
              </w:rPr>
              <w:t xml:space="preserve">   </w:t>
            </w:r>
            <w:r>
              <w:rPr>
                <w:rFonts w:hint="eastAsia" w:eastAsia="方正仿宋_GBK"/>
                <w:color w:val="000000"/>
                <w:spacing w:val="-2"/>
                <w:szCs w:val="21"/>
              </w:rPr>
              <w:t>日</w:t>
            </w:r>
            <w:r>
              <w:rPr>
                <w:rFonts w:eastAsia="方正仿宋_GBK"/>
                <w:color w:val="000000"/>
                <w:spacing w:val="-2"/>
                <w:szCs w:val="21"/>
              </w:rPr>
              <w:t xml:space="preserve">    </w:t>
            </w:r>
          </w:p>
        </w:tc>
      </w:tr>
    </w:tbl>
    <w:p>
      <w:pPr>
        <w:rPr>
          <w:rFonts w:ascii="Times New Roman" w:eastAsia="方正黑体_GBK"/>
          <w:color w:val="000000"/>
          <w:spacing w:val="-2"/>
          <w:sz w:val="28"/>
          <w:szCs w:val="28"/>
        </w:rPr>
      </w:pPr>
      <w:r>
        <w:rPr>
          <w:rFonts w:eastAsia="黑体"/>
          <w:color w:val="000000"/>
          <w:spacing w:val="-2"/>
          <w:sz w:val="36"/>
          <w:szCs w:val="36"/>
        </w:rPr>
        <w:br w:type="column"/>
      </w:r>
      <w:r>
        <w:rPr>
          <w:rFonts w:hint="eastAsia" w:ascii="Times New Roman" w:eastAsia="方正黑体_GBK"/>
          <w:color w:val="000000"/>
          <w:spacing w:val="-2"/>
          <w:sz w:val="28"/>
          <w:szCs w:val="28"/>
        </w:rPr>
        <w:t>附件3：</w:t>
      </w:r>
    </w:p>
    <w:p>
      <w:pPr>
        <w:jc w:val="center"/>
        <w:rPr>
          <w:rFonts w:hint="eastAsia" w:ascii="Times New Roman" w:eastAsia="黑体"/>
          <w:color w:val="000000"/>
          <w:spacing w:val="-2"/>
          <w:sz w:val="30"/>
          <w:szCs w:val="30"/>
        </w:rPr>
      </w:pPr>
    </w:p>
    <w:p>
      <w:pPr>
        <w:jc w:val="center"/>
        <w:rPr>
          <w:rFonts w:hint="eastAsia" w:ascii="Times New Roman" w:eastAsia="黑体"/>
          <w:color w:val="000000"/>
          <w:spacing w:val="-2"/>
          <w:sz w:val="30"/>
          <w:szCs w:val="30"/>
        </w:rPr>
      </w:pPr>
    </w:p>
    <w:p>
      <w:pPr>
        <w:spacing w:before="192" w:beforeLines="80" w:line="600" w:lineRule="exact"/>
        <w:jc w:val="center"/>
        <w:rPr>
          <w:rFonts w:hint="eastAsia" w:ascii="Times New Roman" w:eastAsia="方正小标宋简体"/>
          <w:color w:val="000000"/>
          <w:spacing w:val="-2"/>
          <w:sz w:val="44"/>
          <w:szCs w:val="44"/>
        </w:rPr>
      </w:pPr>
      <w:r>
        <w:rPr>
          <w:rFonts w:hint="eastAsia" w:ascii="Times New Roman" w:eastAsia="方正小标宋简体"/>
          <w:color w:val="000000"/>
          <w:spacing w:val="-2"/>
          <w:sz w:val="44"/>
          <w:szCs w:val="44"/>
        </w:rPr>
        <w:t>江苏省省级节能减排(建筑节能)专项引导资金</w:t>
      </w:r>
    </w:p>
    <w:p>
      <w:pPr>
        <w:spacing w:before="192" w:beforeLines="80" w:line="600" w:lineRule="exact"/>
        <w:jc w:val="center"/>
        <w:rPr>
          <w:rFonts w:hint="eastAsia" w:ascii="Times New Roman" w:eastAsia="方正小标宋简体"/>
          <w:color w:val="000000"/>
          <w:spacing w:val="-2"/>
          <w:sz w:val="44"/>
          <w:szCs w:val="44"/>
        </w:rPr>
      </w:pPr>
      <w:r>
        <w:rPr>
          <w:rFonts w:hint="eastAsia" w:ascii="Times New Roman" w:eastAsia="方正小标宋简体"/>
          <w:color w:val="000000"/>
          <w:spacing w:val="-2"/>
          <w:sz w:val="44"/>
          <w:szCs w:val="44"/>
        </w:rPr>
        <w:t>建筑节能和绿色建筑示范区</w:t>
      </w:r>
    </w:p>
    <w:p>
      <w:pPr>
        <w:spacing w:before="192" w:beforeLines="80" w:line="600" w:lineRule="exact"/>
        <w:jc w:val="center"/>
        <w:rPr>
          <w:rFonts w:hint="eastAsia" w:ascii="Times New Roman" w:eastAsia="方正小标宋简体"/>
          <w:color w:val="000000"/>
          <w:spacing w:val="-2"/>
          <w:sz w:val="44"/>
          <w:szCs w:val="44"/>
        </w:rPr>
      </w:pPr>
      <w:r>
        <w:rPr>
          <w:rFonts w:hint="eastAsia" w:ascii="Times New Roman" w:eastAsia="方正小标宋简体"/>
          <w:color w:val="000000"/>
          <w:spacing w:val="-2"/>
          <w:sz w:val="44"/>
          <w:szCs w:val="44"/>
        </w:rPr>
        <w:t>验 收 评 估 报 告</w:t>
      </w:r>
    </w:p>
    <w:p>
      <w:pPr>
        <w:spacing w:line="720" w:lineRule="auto"/>
        <w:ind w:firstLine="515" w:firstLineChars="250"/>
        <w:rPr>
          <w:rFonts w:hint="eastAsia"/>
          <w:color w:val="000000"/>
          <w:spacing w:val="-2"/>
          <w:szCs w:val="32"/>
        </w:rPr>
      </w:pPr>
    </w:p>
    <w:p>
      <w:pPr>
        <w:spacing w:line="720" w:lineRule="auto"/>
        <w:ind w:firstLine="515" w:firstLineChars="250"/>
        <w:rPr>
          <w:color w:val="000000"/>
          <w:spacing w:val="-2"/>
          <w:szCs w:val="32"/>
        </w:rPr>
      </w:pPr>
    </w:p>
    <w:p>
      <w:pPr>
        <w:spacing w:line="900" w:lineRule="exact"/>
        <w:ind w:firstLine="790" w:firstLineChars="250"/>
        <w:rPr>
          <w:rFonts w:eastAsia="方正仿宋_GBK"/>
          <w:color w:val="000000"/>
          <w:spacing w:val="-2"/>
          <w:sz w:val="32"/>
          <w:szCs w:val="32"/>
        </w:rPr>
      </w:pPr>
      <w:r>
        <w:rPr>
          <w:rFonts w:hint="eastAsia" w:eastAsia="方正仿宋_GBK"/>
          <w:color w:val="000000"/>
          <w:spacing w:val="-2"/>
          <w:sz w:val="32"/>
          <w:szCs w:val="32"/>
        </w:rPr>
        <w:t>示范区名称：</w:t>
      </w:r>
      <w:r>
        <w:rPr>
          <w:rFonts w:eastAsia="方正仿宋_GBK"/>
          <w:color w:val="000000"/>
          <w:spacing w:val="-2"/>
          <w:sz w:val="32"/>
          <w:szCs w:val="32"/>
          <w:u w:val="single"/>
        </w:rPr>
        <w:t xml:space="preserve">                                 </w:t>
      </w:r>
    </w:p>
    <w:p>
      <w:pPr>
        <w:spacing w:line="900" w:lineRule="exact"/>
        <w:ind w:firstLine="790" w:firstLineChars="250"/>
        <w:rPr>
          <w:rFonts w:eastAsia="方正仿宋_GBK"/>
          <w:color w:val="000000"/>
          <w:spacing w:val="-2"/>
          <w:sz w:val="32"/>
          <w:szCs w:val="32"/>
          <w:u w:val="single"/>
        </w:rPr>
      </w:pPr>
      <w:r>
        <w:rPr>
          <w:rFonts w:hint="eastAsia" w:eastAsia="方正仿宋_GBK"/>
          <w:color w:val="000000"/>
          <w:spacing w:val="-2"/>
          <w:sz w:val="32"/>
          <w:szCs w:val="32"/>
        </w:rPr>
        <w:t>申请单位：（盖章）</w:t>
      </w:r>
      <w:r>
        <w:rPr>
          <w:rFonts w:eastAsia="方正仿宋_GBK"/>
          <w:color w:val="000000"/>
          <w:spacing w:val="-2"/>
          <w:sz w:val="32"/>
          <w:szCs w:val="32"/>
          <w:u w:val="single"/>
        </w:rPr>
        <w:t xml:space="preserve">                           </w:t>
      </w:r>
    </w:p>
    <w:p>
      <w:pPr>
        <w:spacing w:line="900" w:lineRule="exact"/>
        <w:ind w:firstLine="790" w:firstLineChars="250"/>
        <w:rPr>
          <w:rFonts w:eastAsia="方正仿宋_GBK"/>
          <w:color w:val="000000"/>
          <w:spacing w:val="-2"/>
          <w:sz w:val="32"/>
          <w:szCs w:val="32"/>
          <w:u w:val="single"/>
        </w:rPr>
      </w:pPr>
      <w:r>
        <w:rPr>
          <w:rFonts w:hint="eastAsia" w:eastAsia="方正仿宋_GBK"/>
          <w:color w:val="000000"/>
          <w:spacing w:val="-2"/>
          <w:sz w:val="32"/>
          <w:szCs w:val="32"/>
        </w:rPr>
        <w:t>申请验收日期：</w:t>
      </w:r>
      <w:r>
        <w:rPr>
          <w:rFonts w:eastAsia="方正仿宋_GBK"/>
          <w:color w:val="000000"/>
          <w:spacing w:val="-2"/>
          <w:sz w:val="32"/>
          <w:szCs w:val="32"/>
          <w:u w:val="single"/>
        </w:rPr>
        <w:t xml:space="preserve">                               </w:t>
      </w:r>
    </w:p>
    <w:p>
      <w:pPr>
        <w:spacing w:line="900" w:lineRule="exact"/>
        <w:ind w:firstLine="790" w:firstLineChars="250"/>
        <w:rPr>
          <w:rFonts w:eastAsia="方正仿宋_GBK"/>
          <w:color w:val="000000"/>
          <w:spacing w:val="-2"/>
          <w:sz w:val="32"/>
          <w:szCs w:val="32"/>
          <w:u w:val="single"/>
        </w:rPr>
      </w:pPr>
      <w:r>
        <w:rPr>
          <w:rFonts w:hint="eastAsia" w:eastAsia="方正仿宋_GBK"/>
          <w:color w:val="000000"/>
          <w:spacing w:val="-2"/>
          <w:sz w:val="32"/>
          <w:szCs w:val="32"/>
        </w:rPr>
        <w:t>组织验收单位：</w:t>
      </w:r>
      <w:r>
        <w:rPr>
          <w:rFonts w:eastAsia="方正仿宋_GBK"/>
          <w:color w:val="000000"/>
          <w:spacing w:val="-2"/>
          <w:sz w:val="32"/>
          <w:szCs w:val="32"/>
          <w:u w:val="single"/>
        </w:rPr>
        <w:t xml:space="preserve">                               </w:t>
      </w:r>
    </w:p>
    <w:p>
      <w:pPr>
        <w:spacing w:line="900" w:lineRule="exact"/>
        <w:ind w:firstLine="790" w:firstLineChars="250"/>
        <w:rPr>
          <w:rFonts w:eastAsia="方正仿宋_GBK"/>
          <w:color w:val="000000"/>
          <w:spacing w:val="-2"/>
          <w:sz w:val="32"/>
          <w:szCs w:val="32"/>
          <w:u w:val="single"/>
        </w:rPr>
      </w:pPr>
      <w:r>
        <w:rPr>
          <w:rFonts w:hint="eastAsia" w:eastAsia="方正仿宋_GBK"/>
          <w:color w:val="000000"/>
          <w:spacing w:val="-2"/>
          <w:sz w:val="32"/>
          <w:szCs w:val="32"/>
        </w:rPr>
        <w:t>组织验收日期：</w:t>
      </w:r>
      <w:r>
        <w:rPr>
          <w:rFonts w:eastAsia="方正仿宋_GBK"/>
          <w:color w:val="000000"/>
          <w:spacing w:val="-2"/>
          <w:sz w:val="32"/>
          <w:szCs w:val="32"/>
          <w:u w:val="single"/>
        </w:rPr>
        <w:t xml:space="preserve">                               </w:t>
      </w:r>
    </w:p>
    <w:p>
      <w:pPr>
        <w:rPr>
          <w:color w:val="000000"/>
          <w:spacing w:val="-2"/>
        </w:rPr>
      </w:pPr>
    </w:p>
    <w:p>
      <w:pPr>
        <w:rPr>
          <w:color w:val="000000"/>
          <w:spacing w:val="-2"/>
        </w:rPr>
      </w:pPr>
    </w:p>
    <w:p>
      <w:pPr>
        <w:rPr>
          <w:color w:val="000000"/>
          <w:spacing w:val="-2"/>
        </w:rPr>
      </w:pPr>
    </w:p>
    <w:p>
      <w:pPr>
        <w:rPr>
          <w:color w:val="000000"/>
          <w:spacing w:val="-2"/>
        </w:rPr>
      </w:pPr>
    </w:p>
    <w:p>
      <w:pPr>
        <w:rPr>
          <w:color w:val="000000"/>
          <w:spacing w:val="-2"/>
        </w:rPr>
      </w:pPr>
    </w:p>
    <w:p>
      <w:pPr>
        <w:rPr>
          <w:color w:val="000000"/>
          <w:spacing w:val="-2"/>
        </w:rPr>
      </w:pPr>
    </w:p>
    <w:p>
      <w:pPr>
        <w:rPr>
          <w:color w:val="000000"/>
          <w:spacing w:val="-2"/>
        </w:rPr>
      </w:pPr>
    </w:p>
    <w:p>
      <w:pPr>
        <w:spacing w:line="460" w:lineRule="exact"/>
        <w:jc w:val="center"/>
        <w:rPr>
          <w:rFonts w:eastAsia="方正楷体_GBK"/>
          <w:color w:val="000000"/>
          <w:spacing w:val="-2"/>
          <w:sz w:val="32"/>
          <w:szCs w:val="32"/>
        </w:rPr>
      </w:pPr>
      <w:r>
        <w:rPr>
          <w:rFonts w:hint="eastAsia" w:eastAsia="方正楷体_GBK"/>
          <w:color w:val="000000"/>
          <w:spacing w:val="-2"/>
          <w:sz w:val="32"/>
          <w:szCs w:val="32"/>
        </w:rPr>
        <w:t>江苏省住房和城乡建设厅</w:t>
      </w:r>
    </w:p>
    <w:p>
      <w:pPr>
        <w:spacing w:line="460" w:lineRule="exact"/>
        <w:jc w:val="center"/>
        <w:rPr>
          <w:rFonts w:eastAsia="方正楷体_GBK"/>
          <w:color w:val="000000"/>
          <w:spacing w:val="-2"/>
          <w:sz w:val="32"/>
          <w:szCs w:val="32"/>
        </w:rPr>
      </w:pPr>
      <w:r>
        <w:rPr>
          <w:rFonts w:hint="eastAsia" w:eastAsia="方正楷体_GBK"/>
          <w:color w:val="000000"/>
          <w:spacing w:val="-2"/>
          <w:sz w:val="32"/>
          <w:szCs w:val="32"/>
        </w:rPr>
        <w:t>江</w:t>
      </w:r>
      <w:r>
        <w:rPr>
          <w:rFonts w:eastAsia="方正楷体_GBK"/>
          <w:color w:val="000000"/>
          <w:spacing w:val="-2"/>
          <w:sz w:val="32"/>
          <w:szCs w:val="32"/>
        </w:rPr>
        <w:t xml:space="preserve"> </w:t>
      </w:r>
      <w:r>
        <w:rPr>
          <w:rFonts w:hint="eastAsia" w:eastAsia="方正楷体_GBK"/>
          <w:color w:val="000000"/>
          <w:spacing w:val="-2"/>
          <w:sz w:val="32"/>
          <w:szCs w:val="32"/>
        </w:rPr>
        <w:t>苏</w:t>
      </w:r>
      <w:r>
        <w:rPr>
          <w:rFonts w:eastAsia="方正楷体_GBK"/>
          <w:color w:val="000000"/>
          <w:spacing w:val="-2"/>
          <w:sz w:val="32"/>
          <w:szCs w:val="32"/>
        </w:rPr>
        <w:t xml:space="preserve"> </w:t>
      </w:r>
      <w:r>
        <w:rPr>
          <w:rFonts w:hint="eastAsia" w:eastAsia="方正楷体_GBK"/>
          <w:color w:val="000000"/>
          <w:spacing w:val="-2"/>
          <w:sz w:val="32"/>
          <w:szCs w:val="32"/>
        </w:rPr>
        <w:t>省</w:t>
      </w:r>
      <w:r>
        <w:rPr>
          <w:rFonts w:eastAsia="方正楷体_GBK"/>
          <w:color w:val="000000"/>
          <w:spacing w:val="-2"/>
          <w:sz w:val="32"/>
          <w:szCs w:val="32"/>
        </w:rPr>
        <w:t xml:space="preserve"> </w:t>
      </w:r>
      <w:r>
        <w:rPr>
          <w:rFonts w:hint="eastAsia" w:eastAsia="方正楷体_GBK"/>
          <w:color w:val="000000"/>
          <w:spacing w:val="-2"/>
          <w:sz w:val="32"/>
          <w:szCs w:val="32"/>
        </w:rPr>
        <w:t>财</w:t>
      </w:r>
      <w:r>
        <w:rPr>
          <w:rFonts w:eastAsia="方正楷体_GBK"/>
          <w:color w:val="000000"/>
          <w:spacing w:val="-2"/>
          <w:sz w:val="32"/>
          <w:szCs w:val="32"/>
        </w:rPr>
        <w:t xml:space="preserve"> </w:t>
      </w:r>
      <w:r>
        <w:rPr>
          <w:rFonts w:hint="eastAsia" w:eastAsia="方正楷体_GBK"/>
          <w:color w:val="000000"/>
          <w:spacing w:val="-2"/>
          <w:sz w:val="32"/>
          <w:szCs w:val="32"/>
        </w:rPr>
        <w:t>政</w:t>
      </w:r>
      <w:r>
        <w:rPr>
          <w:rFonts w:eastAsia="方正楷体_GBK"/>
          <w:color w:val="000000"/>
          <w:spacing w:val="-2"/>
          <w:sz w:val="32"/>
          <w:szCs w:val="32"/>
        </w:rPr>
        <w:t xml:space="preserve"> </w:t>
      </w:r>
      <w:r>
        <w:rPr>
          <w:rFonts w:hint="eastAsia" w:eastAsia="方正楷体_GBK"/>
          <w:color w:val="000000"/>
          <w:spacing w:val="-2"/>
          <w:sz w:val="32"/>
          <w:szCs w:val="32"/>
        </w:rPr>
        <w:t>厅</w:t>
      </w:r>
    </w:p>
    <w:p>
      <w:pPr>
        <w:spacing w:line="460" w:lineRule="exact"/>
        <w:jc w:val="center"/>
        <w:rPr>
          <w:rFonts w:eastAsia="方正楷体_GBK"/>
          <w:color w:val="000000"/>
          <w:spacing w:val="-2"/>
          <w:sz w:val="32"/>
          <w:szCs w:val="32"/>
        </w:rPr>
      </w:pPr>
      <w:r>
        <w:rPr>
          <w:rFonts w:hint="eastAsia" w:eastAsia="方正楷体_GBK"/>
          <w:color w:val="000000"/>
          <w:spacing w:val="-2"/>
          <w:sz w:val="32"/>
          <w:szCs w:val="32"/>
        </w:rPr>
        <w:t>二〇一三年十月制</w:t>
      </w:r>
    </w:p>
    <w:p>
      <w:pPr>
        <w:rPr>
          <w:color w:val="000000"/>
          <w:spacing w:val="-2"/>
        </w:rPr>
      </w:pPr>
    </w:p>
    <w:p>
      <w:pPr>
        <w:spacing w:line="460" w:lineRule="exact"/>
        <w:jc w:val="center"/>
        <w:rPr>
          <w:rFonts w:eastAsia="方正仿宋_GBK"/>
          <w:color w:val="000000"/>
          <w:spacing w:val="-2"/>
          <w:sz w:val="24"/>
        </w:rPr>
      </w:pPr>
      <w:r>
        <w:rPr>
          <w:rFonts w:hint="eastAsia" w:ascii="Times New Roman" w:eastAsia="黑体"/>
          <w:color w:val="000000"/>
          <w:spacing w:val="-2"/>
          <w:sz w:val="36"/>
          <w:szCs w:val="36"/>
        </w:rPr>
        <w:br w:type="column"/>
      </w:r>
    </w:p>
    <w:p>
      <w:pPr>
        <w:spacing w:line="460" w:lineRule="exact"/>
        <w:jc w:val="center"/>
        <w:rPr>
          <w:rFonts w:ascii="Times New Roman" w:eastAsia="方正黑体_GBK"/>
          <w:color w:val="000000"/>
          <w:spacing w:val="-2"/>
          <w:sz w:val="28"/>
          <w:szCs w:val="28"/>
        </w:rPr>
      </w:pPr>
      <w:r>
        <w:rPr>
          <w:rFonts w:hint="eastAsia" w:ascii="Times New Roman" w:eastAsia="方正黑体_GBK"/>
          <w:color w:val="000000"/>
          <w:spacing w:val="-2"/>
          <w:sz w:val="28"/>
          <w:szCs w:val="28"/>
        </w:rPr>
        <w:t>填 写 说 明</w:t>
      </w:r>
    </w:p>
    <w:p>
      <w:pPr>
        <w:spacing w:line="460" w:lineRule="exact"/>
        <w:rPr>
          <w:rFonts w:hint="eastAsia" w:eastAsia="方正仿宋_GBK"/>
          <w:color w:val="000000"/>
          <w:spacing w:val="-2"/>
          <w:sz w:val="24"/>
        </w:rPr>
      </w:pPr>
    </w:p>
    <w:p>
      <w:pPr>
        <w:spacing w:line="460" w:lineRule="exact"/>
        <w:ind w:firstLine="472" w:firstLineChars="200"/>
        <w:rPr>
          <w:rFonts w:eastAsia="方正仿宋_GBK"/>
          <w:color w:val="000000"/>
          <w:spacing w:val="-2"/>
          <w:sz w:val="24"/>
        </w:rPr>
      </w:pPr>
      <w:r>
        <w:rPr>
          <w:rFonts w:eastAsia="方正仿宋_GBK"/>
          <w:color w:val="000000"/>
          <w:spacing w:val="-2"/>
          <w:sz w:val="24"/>
        </w:rPr>
        <w:t>1. </w:t>
      </w:r>
      <w:r>
        <w:rPr>
          <w:rFonts w:hint="eastAsia" w:eastAsia="方正仿宋_GBK"/>
          <w:color w:val="000000"/>
          <w:spacing w:val="-2"/>
          <w:sz w:val="24"/>
        </w:rPr>
        <w:t>此表用于江苏省建筑节能和绿色建筑示范区的验收评估。规格为</w:t>
      </w:r>
      <w:r>
        <w:rPr>
          <w:rFonts w:eastAsia="方正仿宋_GBK"/>
          <w:color w:val="000000"/>
          <w:spacing w:val="-2"/>
          <w:sz w:val="24"/>
        </w:rPr>
        <w:t>A4</w:t>
      </w:r>
      <w:r>
        <w:rPr>
          <w:rFonts w:hint="eastAsia" w:eastAsia="方正仿宋_GBK"/>
          <w:color w:val="000000"/>
          <w:spacing w:val="-2"/>
          <w:sz w:val="24"/>
        </w:rPr>
        <w:t>纸、竖装，必须打印或铅印并装订成册，一式四份。</w:t>
      </w:r>
    </w:p>
    <w:p>
      <w:pPr>
        <w:spacing w:line="460" w:lineRule="exact"/>
        <w:ind w:firstLine="472" w:firstLineChars="200"/>
        <w:rPr>
          <w:rFonts w:eastAsia="方正仿宋_GBK"/>
          <w:color w:val="000000"/>
          <w:spacing w:val="-2"/>
          <w:sz w:val="24"/>
        </w:rPr>
      </w:pPr>
      <w:r>
        <w:rPr>
          <w:rFonts w:eastAsia="方正仿宋_GBK"/>
          <w:color w:val="000000"/>
          <w:spacing w:val="-2"/>
          <w:sz w:val="24"/>
        </w:rPr>
        <w:t>2. </w:t>
      </w:r>
      <w:r>
        <w:rPr>
          <w:rFonts w:hint="eastAsia" w:eastAsia="方正仿宋_GBK"/>
          <w:color w:val="000000"/>
          <w:spacing w:val="-2"/>
          <w:sz w:val="24"/>
        </w:rPr>
        <w:t>此表封面用三号仿宋字体填写，表格内容用五号宋体填写。</w:t>
      </w:r>
    </w:p>
    <w:p>
      <w:pPr>
        <w:spacing w:line="460" w:lineRule="exact"/>
        <w:ind w:firstLine="472" w:firstLineChars="200"/>
        <w:rPr>
          <w:rFonts w:eastAsia="方正仿宋_GBK"/>
          <w:color w:val="000000"/>
          <w:spacing w:val="-2"/>
          <w:sz w:val="24"/>
        </w:rPr>
      </w:pPr>
      <w:r>
        <w:rPr>
          <w:rFonts w:eastAsia="方正仿宋_GBK"/>
          <w:color w:val="000000"/>
          <w:spacing w:val="-2"/>
          <w:sz w:val="24"/>
        </w:rPr>
        <w:t>3. </w:t>
      </w:r>
      <w:r>
        <w:rPr>
          <w:rFonts w:hint="eastAsia" w:eastAsia="方正仿宋_GBK"/>
          <w:color w:val="000000"/>
          <w:spacing w:val="-2"/>
          <w:sz w:val="24"/>
        </w:rPr>
        <w:t>此表封面由申请单位填写并盖章，其中</w:t>
      </w:r>
      <w:r>
        <w:rPr>
          <w:rFonts w:eastAsia="方正仿宋_GBK"/>
          <w:color w:val="000000"/>
          <w:spacing w:val="-2"/>
          <w:sz w:val="24"/>
        </w:rPr>
        <w:t>“</w:t>
      </w:r>
      <w:r>
        <w:rPr>
          <w:rFonts w:hint="eastAsia" w:eastAsia="方正仿宋_GBK"/>
          <w:color w:val="000000"/>
          <w:spacing w:val="-2"/>
          <w:sz w:val="24"/>
        </w:rPr>
        <w:t>组织验收单位</w:t>
      </w:r>
      <w:r>
        <w:rPr>
          <w:rFonts w:eastAsia="方正仿宋_GBK"/>
          <w:color w:val="000000"/>
          <w:spacing w:val="-2"/>
          <w:sz w:val="24"/>
        </w:rPr>
        <w:t>”</w:t>
      </w:r>
      <w:r>
        <w:rPr>
          <w:rFonts w:hint="eastAsia" w:eastAsia="方正仿宋_GBK"/>
          <w:color w:val="000000"/>
          <w:spacing w:val="-2"/>
          <w:sz w:val="24"/>
        </w:rPr>
        <w:t>应为省级建设、财政主管部门，</w:t>
      </w:r>
      <w:r>
        <w:rPr>
          <w:rFonts w:eastAsia="方正仿宋_GBK"/>
          <w:color w:val="000000"/>
          <w:spacing w:val="-2"/>
          <w:sz w:val="24"/>
        </w:rPr>
        <w:t>“</w:t>
      </w:r>
      <w:r>
        <w:rPr>
          <w:rFonts w:hint="eastAsia" w:eastAsia="方正仿宋_GBK"/>
          <w:color w:val="000000"/>
          <w:spacing w:val="-2"/>
          <w:sz w:val="24"/>
        </w:rPr>
        <w:t>示范区名称</w:t>
      </w:r>
      <w:r>
        <w:rPr>
          <w:rFonts w:eastAsia="方正仿宋_GBK"/>
          <w:color w:val="000000"/>
          <w:spacing w:val="-2"/>
          <w:sz w:val="24"/>
        </w:rPr>
        <w:t>”</w:t>
      </w:r>
      <w:r>
        <w:rPr>
          <w:rFonts w:hint="eastAsia" w:eastAsia="方正仿宋_GBK"/>
          <w:color w:val="000000"/>
          <w:spacing w:val="-2"/>
          <w:sz w:val="24"/>
        </w:rPr>
        <w:t>必须填写全称。</w:t>
      </w:r>
    </w:p>
    <w:p>
      <w:pPr>
        <w:spacing w:line="460" w:lineRule="exact"/>
        <w:ind w:firstLine="472" w:firstLineChars="200"/>
        <w:rPr>
          <w:rFonts w:eastAsia="方正仿宋_GBK"/>
          <w:color w:val="000000"/>
          <w:spacing w:val="-2"/>
          <w:sz w:val="24"/>
        </w:rPr>
      </w:pPr>
      <w:r>
        <w:rPr>
          <w:rFonts w:eastAsia="方正仿宋_GBK"/>
          <w:color w:val="000000"/>
          <w:spacing w:val="-2"/>
          <w:sz w:val="24"/>
        </w:rPr>
        <w:t>4. </w:t>
      </w:r>
      <w:r>
        <w:rPr>
          <w:rFonts w:hint="eastAsia" w:eastAsia="方正仿宋_GBK"/>
          <w:color w:val="000000"/>
          <w:spacing w:val="-2"/>
          <w:sz w:val="24"/>
        </w:rPr>
        <w:t>此表第一至第三项内容由申请单位填写。</w:t>
      </w:r>
    </w:p>
    <w:p>
      <w:pPr>
        <w:spacing w:line="460" w:lineRule="exact"/>
        <w:ind w:firstLine="472" w:firstLineChars="200"/>
        <w:rPr>
          <w:rFonts w:eastAsia="方正仿宋_GBK"/>
          <w:color w:val="000000"/>
          <w:spacing w:val="-2"/>
          <w:sz w:val="24"/>
        </w:rPr>
      </w:pPr>
      <w:r>
        <w:rPr>
          <w:rFonts w:eastAsia="方正仿宋_GBK"/>
          <w:color w:val="000000"/>
          <w:spacing w:val="-2"/>
          <w:sz w:val="24"/>
        </w:rPr>
        <w:t>5. </w:t>
      </w:r>
      <w:r>
        <w:rPr>
          <w:rFonts w:hint="eastAsia" w:eastAsia="方正仿宋_GBK"/>
          <w:color w:val="000000"/>
          <w:spacing w:val="-2"/>
          <w:sz w:val="24"/>
        </w:rPr>
        <w:t>此表第四项之后内容由省级建设、财政主管部门组织专家对示范区进行验收评估之后填写，其中</w:t>
      </w:r>
      <w:r>
        <w:rPr>
          <w:rFonts w:eastAsia="方正仿宋_GBK"/>
          <w:color w:val="000000"/>
          <w:spacing w:val="-2"/>
          <w:sz w:val="24"/>
        </w:rPr>
        <w:t>“</w:t>
      </w:r>
      <w:r>
        <w:rPr>
          <w:rFonts w:hint="eastAsia" w:eastAsia="方正仿宋_GBK"/>
          <w:color w:val="000000"/>
          <w:spacing w:val="-2"/>
          <w:sz w:val="24"/>
        </w:rPr>
        <w:t>验收意见</w:t>
      </w:r>
      <w:r>
        <w:rPr>
          <w:rFonts w:eastAsia="方正仿宋_GBK"/>
          <w:color w:val="000000"/>
          <w:spacing w:val="-2"/>
          <w:sz w:val="24"/>
        </w:rPr>
        <w:t>”</w:t>
      </w:r>
      <w:r>
        <w:rPr>
          <w:rFonts w:hint="eastAsia" w:eastAsia="方正仿宋_GBK"/>
          <w:color w:val="000000"/>
          <w:spacing w:val="-2"/>
          <w:sz w:val="24"/>
        </w:rPr>
        <w:t>由验收委员会填写，验收委员会主任签名，</w:t>
      </w:r>
      <w:r>
        <w:rPr>
          <w:rFonts w:eastAsia="方正仿宋_GBK"/>
          <w:color w:val="000000"/>
          <w:spacing w:val="-2"/>
          <w:sz w:val="24"/>
        </w:rPr>
        <w:t>“</w:t>
      </w:r>
      <w:r>
        <w:rPr>
          <w:rFonts w:hint="eastAsia" w:eastAsia="方正仿宋_GBK"/>
          <w:color w:val="000000"/>
          <w:spacing w:val="-2"/>
          <w:sz w:val="24"/>
        </w:rPr>
        <w:t>主持验收单位意见</w:t>
      </w:r>
      <w:r>
        <w:rPr>
          <w:rFonts w:eastAsia="方正仿宋_GBK"/>
          <w:color w:val="000000"/>
          <w:spacing w:val="-2"/>
          <w:sz w:val="24"/>
        </w:rPr>
        <w:t>”</w:t>
      </w:r>
      <w:r>
        <w:rPr>
          <w:rFonts w:hint="eastAsia" w:eastAsia="方正仿宋_GBK"/>
          <w:color w:val="000000"/>
          <w:spacing w:val="-2"/>
          <w:sz w:val="24"/>
        </w:rPr>
        <w:t>由省级建设主管部门填写并盖章，</w:t>
      </w:r>
      <w:r>
        <w:rPr>
          <w:rFonts w:eastAsia="方正仿宋_GBK"/>
          <w:color w:val="000000"/>
          <w:spacing w:val="-2"/>
          <w:sz w:val="24"/>
        </w:rPr>
        <w:t>“</w:t>
      </w:r>
      <w:r>
        <w:rPr>
          <w:rFonts w:hint="eastAsia" w:eastAsia="方正仿宋_GBK"/>
          <w:color w:val="000000"/>
          <w:spacing w:val="-2"/>
          <w:sz w:val="24"/>
        </w:rPr>
        <w:t>考核小组意见</w:t>
      </w:r>
      <w:r>
        <w:rPr>
          <w:rFonts w:eastAsia="方正仿宋_GBK"/>
          <w:color w:val="000000"/>
          <w:spacing w:val="-2"/>
          <w:sz w:val="24"/>
        </w:rPr>
        <w:t>”</w:t>
      </w:r>
      <w:r>
        <w:rPr>
          <w:rFonts w:hint="eastAsia" w:eastAsia="方正仿宋_GBK"/>
          <w:color w:val="000000"/>
          <w:spacing w:val="-2"/>
          <w:sz w:val="24"/>
        </w:rPr>
        <w:t>由验收评估考核小组填写并盖章。</w:t>
      </w:r>
    </w:p>
    <w:p>
      <w:pPr>
        <w:spacing w:line="20" w:lineRule="exact"/>
        <w:rPr>
          <w:rFonts w:ascii="Times New Roman" w:hAnsi="Times New Roman"/>
          <w:color w:val="000000"/>
          <w:spacing w:val="-2"/>
          <w:szCs w:val="21"/>
        </w:rPr>
      </w:pPr>
      <w:r>
        <w:rPr>
          <w:rFonts w:eastAsia="方正仿宋_GBK"/>
          <w:color w:val="000000"/>
          <w:spacing w:val="-2"/>
          <w:sz w:val="24"/>
        </w:rPr>
        <w:br w:type="page"/>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951"/>
        <w:gridCol w:w="930"/>
        <w:gridCol w:w="307"/>
        <w:gridCol w:w="1424"/>
        <w:gridCol w:w="353"/>
        <w:gridCol w:w="450"/>
        <w:gridCol w:w="784"/>
        <w:gridCol w:w="25"/>
        <w:gridCol w:w="793"/>
        <w:gridCol w:w="802"/>
        <w:gridCol w:w="1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20" w:type="dxa"/>
            <w:gridSpan w:val="12"/>
            <w:tcBorders>
              <w:top w:val="single" w:color="auto" w:sz="4" w:space="0"/>
              <w:left w:val="single" w:color="auto" w:sz="4" w:space="0"/>
              <w:bottom w:val="single" w:color="auto" w:sz="4" w:space="0"/>
              <w:right w:val="single" w:color="auto" w:sz="4" w:space="0"/>
            </w:tcBorders>
            <w:noWrap w:val="0"/>
            <w:vAlign w:val="center"/>
          </w:tcPr>
          <w:p>
            <w:pPr>
              <w:rPr>
                <w:rFonts w:ascii="Times New Roman" w:eastAsia="方正黑体_GBK"/>
                <w:color w:val="000000"/>
                <w:spacing w:val="-2"/>
                <w:szCs w:val="21"/>
              </w:rPr>
            </w:pPr>
            <w:r>
              <w:rPr>
                <w:rFonts w:hint="eastAsia" w:ascii="Times New Roman" w:eastAsia="方正黑体_GBK"/>
                <w:color w:val="000000"/>
                <w:spacing w:val="-2"/>
                <w:szCs w:val="21"/>
              </w:rPr>
              <w:t>一、基本信息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9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示范区名称</w:t>
            </w:r>
          </w:p>
        </w:tc>
        <w:tc>
          <w:tcPr>
            <w:tcW w:w="7121" w:type="dxa"/>
            <w:gridSpan w:val="10"/>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9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规划面积</w:t>
            </w:r>
          </w:p>
        </w:tc>
        <w:tc>
          <w:tcPr>
            <w:tcW w:w="3014" w:type="dxa"/>
            <w:gridSpan w:val="4"/>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szCs w:val="21"/>
              </w:rPr>
            </w:pPr>
            <w:r>
              <w:rPr>
                <w:rFonts w:hint="eastAsia" w:eastAsia="方正仿宋_GBK"/>
                <w:color w:val="000000"/>
                <w:spacing w:val="-2"/>
                <w:szCs w:val="21"/>
              </w:rPr>
              <w:t>平方公里</w:t>
            </w:r>
          </w:p>
        </w:tc>
        <w:tc>
          <w:tcPr>
            <w:tcW w:w="1259"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规划人口</w:t>
            </w:r>
          </w:p>
        </w:tc>
        <w:tc>
          <w:tcPr>
            <w:tcW w:w="2848"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9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四至</w:t>
            </w:r>
          </w:p>
        </w:tc>
        <w:tc>
          <w:tcPr>
            <w:tcW w:w="7121" w:type="dxa"/>
            <w:gridSpan w:val="10"/>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szCs w:val="21"/>
              </w:rPr>
            </w:pPr>
            <w:r>
              <w:rPr>
                <w:rFonts w:hint="eastAsia" w:eastAsia="方正仿宋_GBK"/>
                <w:color w:val="000000"/>
                <w:spacing w:val="-2"/>
                <w:szCs w:val="21"/>
              </w:rPr>
              <w:t>东至</w:t>
            </w:r>
            <w:r>
              <w:rPr>
                <w:rFonts w:eastAsia="方正仿宋_GBK"/>
                <w:color w:val="000000"/>
                <w:spacing w:val="-2"/>
                <w:szCs w:val="21"/>
              </w:rPr>
              <w:t xml:space="preserve">             </w:t>
            </w:r>
            <w:r>
              <w:rPr>
                <w:rFonts w:hint="eastAsia" w:eastAsia="方正仿宋_GBK"/>
                <w:color w:val="000000"/>
                <w:spacing w:val="-2"/>
                <w:szCs w:val="21"/>
              </w:rPr>
              <w:t>南至</w:t>
            </w:r>
            <w:r>
              <w:rPr>
                <w:rFonts w:eastAsia="方正仿宋_GBK"/>
                <w:color w:val="000000"/>
                <w:spacing w:val="-2"/>
                <w:szCs w:val="21"/>
              </w:rPr>
              <w:t xml:space="preserve">             </w:t>
            </w:r>
            <w:r>
              <w:rPr>
                <w:rFonts w:hint="eastAsia" w:eastAsia="方正仿宋_GBK"/>
                <w:color w:val="000000"/>
                <w:spacing w:val="-2"/>
                <w:szCs w:val="21"/>
              </w:rPr>
              <w:t>西至</w:t>
            </w:r>
            <w:r>
              <w:rPr>
                <w:rFonts w:eastAsia="方正仿宋_GBK"/>
                <w:color w:val="000000"/>
                <w:spacing w:val="-2"/>
                <w:szCs w:val="21"/>
              </w:rPr>
              <w:t xml:space="preserve">              </w:t>
            </w:r>
            <w:r>
              <w:rPr>
                <w:rFonts w:hint="eastAsia" w:eastAsia="方正仿宋_GBK"/>
                <w:color w:val="000000"/>
                <w:spacing w:val="-2"/>
                <w:szCs w:val="21"/>
              </w:rPr>
              <w:t>北至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99"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申请单位</w:t>
            </w:r>
          </w:p>
          <w:p>
            <w:pPr>
              <w:jc w:val="center"/>
              <w:rPr>
                <w:rFonts w:eastAsia="方正仿宋_GBK"/>
                <w:color w:val="000000"/>
                <w:spacing w:val="-2"/>
                <w:szCs w:val="21"/>
              </w:rPr>
            </w:pPr>
            <w:r>
              <w:rPr>
                <w:rFonts w:hint="eastAsia" w:eastAsia="方正仿宋_GBK"/>
                <w:color w:val="000000"/>
                <w:spacing w:val="-2"/>
                <w:szCs w:val="21"/>
              </w:rPr>
              <w:t>（实施单位）</w:t>
            </w:r>
          </w:p>
        </w:tc>
        <w:tc>
          <w:tcPr>
            <w:tcW w:w="123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单位名称</w:t>
            </w:r>
          </w:p>
        </w:tc>
        <w:tc>
          <w:tcPr>
            <w:tcW w:w="5884" w:type="dxa"/>
            <w:gridSpan w:val="8"/>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9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23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地址</w:t>
            </w:r>
          </w:p>
        </w:tc>
        <w:tc>
          <w:tcPr>
            <w:tcW w:w="3829" w:type="dxa"/>
            <w:gridSpan w:val="6"/>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szCs w:val="21"/>
              </w:rPr>
            </w:pPr>
          </w:p>
        </w:tc>
        <w:tc>
          <w:tcPr>
            <w:tcW w:w="80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邮编</w:t>
            </w:r>
          </w:p>
        </w:tc>
        <w:tc>
          <w:tcPr>
            <w:tcW w:w="125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9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23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责任人</w:t>
            </w:r>
          </w:p>
        </w:tc>
        <w:tc>
          <w:tcPr>
            <w:tcW w:w="1424" w:type="dxa"/>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szCs w:val="21"/>
              </w:rPr>
            </w:pPr>
          </w:p>
        </w:tc>
        <w:tc>
          <w:tcPr>
            <w:tcW w:w="80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电话</w:t>
            </w:r>
          </w:p>
        </w:tc>
        <w:tc>
          <w:tcPr>
            <w:tcW w:w="1602"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80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传真</w:t>
            </w:r>
          </w:p>
        </w:tc>
        <w:tc>
          <w:tcPr>
            <w:tcW w:w="125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9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23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联系人</w:t>
            </w:r>
          </w:p>
        </w:tc>
        <w:tc>
          <w:tcPr>
            <w:tcW w:w="1424" w:type="dxa"/>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szCs w:val="21"/>
              </w:rPr>
            </w:pPr>
          </w:p>
        </w:tc>
        <w:tc>
          <w:tcPr>
            <w:tcW w:w="80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电话</w:t>
            </w:r>
          </w:p>
        </w:tc>
        <w:tc>
          <w:tcPr>
            <w:tcW w:w="1602"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80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传真</w:t>
            </w:r>
          </w:p>
        </w:tc>
        <w:tc>
          <w:tcPr>
            <w:tcW w:w="125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99"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建设主管部门</w:t>
            </w:r>
          </w:p>
        </w:tc>
        <w:tc>
          <w:tcPr>
            <w:tcW w:w="123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单位名称</w:t>
            </w:r>
          </w:p>
        </w:tc>
        <w:tc>
          <w:tcPr>
            <w:tcW w:w="5884" w:type="dxa"/>
            <w:gridSpan w:val="8"/>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9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23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地址</w:t>
            </w:r>
          </w:p>
        </w:tc>
        <w:tc>
          <w:tcPr>
            <w:tcW w:w="3829" w:type="dxa"/>
            <w:gridSpan w:val="6"/>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szCs w:val="21"/>
              </w:rPr>
            </w:pPr>
          </w:p>
        </w:tc>
        <w:tc>
          <w:tcPr>
            <w:tcW w:w="80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邮编</w:t>
            </w:r>
          </w:p>
        </w:tc>
        <w:tc>
          <w:tcPr>
            <w:tcW w:w="125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9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23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责任人</w:t>
            </w:r>
          </w:p>
        </w:tc>
        <w:tc>
          <w:tcPr>
            <w:tcW w:w="1424" w:type="dxa"/>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szCs w:val="21"/>
              </w:rPr>
            </w:pPr>
          </w:p>
        </w:tc>
        <w:tc>
          <w:tcPr>
            <w:tcW w:w="80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电话</w:t>
            </w:r>
          </w:p>
        </w:tc>
        <w:tc>
          <w:tcPr>
            <w:tcW w:w="1602"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80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传真</w:t>
            </w:r>
          </w:p>
        </w:tc>
        <w:tc>
          <w:tcPr>
            <w:tcW w:w="125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9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23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联系人</w:t>
            </w:r>
          </w:p>
        </w:tc>
        <w:tc>
          <w:tcPr>
            <w:tcW w:w="1424" w:type="dxa"/>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szCs w:val="21"/>
              </w:rPr>
            </w:pPr>
          </w:p>
        </w:tc>
        <w:tc>
          <w:tcPr>
            <w:tcW w:w="80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电话</w:t>
            </w:r>
          </w:p>
        </w:tc>
        <w:tc>
          <w:tcPr>
            <w:tcW w:w="1602"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80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传真</w:t>
            </w:r>
          </w:p>
        </w:tc>
        <w:tc>
          <w:tcPr>
            <w:tcW w:w="125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99"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财政主管部门</w:t>
            </w:r>
          </w:p>
        </w:tc>
        <w:tc>
          <w:tcPr>
            <w:tcW w:w="123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单位名称</w:t>
            </w:r>
          </w:p>
        </w:tc>
        <w:tc>
          <w:tcPr>
            <w:tcW w:w="5884" w:type="dxa"/>
            <w:gridSpan w:val="8"/>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9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23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地址</w:t>
            </w:r>
          </w:p>
        </w:tc>
        <w:tc>
          <w:tcPr>
            <w:tcW w:w="3829" w:type="dxa"/>
            <w:gridSpan w:val="6"/>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szCs w:val="21"/>
              </w:rPr>
            </w:pPr>
          </w:p>
        </w:tc>
        <w:tc>
          <w:tcPr>
            <w:tcW w:w="80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邮编</w:t>
            </w:r>
          </w:p>
        </w:tc>
        <w:tc>
          <w:tcPr>
            <w:tcW w:w="125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9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23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责任人</w:t>
            </w:r>
          </w:p>
        </w:tc>
        <w:tc>
          <w:tcPr>
            <w:tcW w:w="1424" w:type="dxa"/>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szCs w:val="21"/>
              </w:rPr>
            </w:pPr>
          </w:p>
        </w:tc>
        <w:tc>
          <w:tcPr>
            <w:tcW w:w="80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电话</w:t>
            </w:r>
          </w:p>
        </w:tc>
        <w:tc>
          <w:tcPr>
            <w:tcW w:w="1602"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80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传真</w:t>
            </w:r>
          </w:p>
        </w:tc>
        <w:tc>
          <w:tcPr>
            <w:tcW w:w="125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9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23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联系人</w:t>
            </w:r>
          </w:p>
        </w:tc>
        <w:tc>
          <w:tcPr>
            <w:tcW w:w="1424" w:type="dxa"/>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szCs w:val="21"/>
              </w:rPr>
            </w:pPr>
          </w:p>
        </w:tc>
        <w:tc>
          <w:tcPr>
            <w:tcW w:w="80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电话</w:t>
            </w:r>
          </w:p>
        </w:tc>
        <w:tc>
          <w:tcPr>
            <w:tcW w:w="1602"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80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传真</w:t>
            </w:r>
          </w:p>
        </w:tc>
        <w:tc>
          <w:tcPr>
            <w:tcW w:w="125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99"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技术支撑单位</w:t>
            </w:r>
          </w:p>
        </w:tc>
        <w:tc>
          <w:tcPr>
            <w:tcW w:w="123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单位名称</w:t>
            </w:r>
          </w:p>
        </w:tc>
        <w:tc>
          <w:tcPr>
            <w:tcW w:w="5884" w:type="dxa"/>
            <w:gridSpan w:val="8"/>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9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23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地址</w:t>
            </w:r>
          </w:p>
        </w:tc>
        <w:tc>
          <w:tcPr>
            <w:tcW w:w="3829" w:type="dxa"/>
            <w:gridSpan w:val="6"/>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szCs w:val="21"/>
              </w:rPr>
            </w:pPr>
          </w:p>
        </w:tc>
        <w:tc>
          <w:tcPr>
            <w:tcW w:w="80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邮编</w:t>
            </w:r>
          </w:p>
        </w:tc>
        <w:tc>
          <w:tcPr>
            <w:tcW w:w="125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9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23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责任人</w:t>
            </w:r>
          </w:p>
        </w:tc>
        <w:tc>
          <w:tcPr>
            <w:tcW w:w="1424" w:type="dxa"/>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szCs w:val="21"/>
              </w:rPr>
            </w:pPr>
          </w:p>
        </w:tc>
        <w:tc>
          <w:tcPr>
            <w:tcW w:w="80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电话</w:t>
            </w:r>
          </w:p>
        </w:tc>
        <w:tc>
          <w:tcPr>
            <w:tcW w:w="1602"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80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传真</w:t>
            </w:r>
          </w:p>
        </w:tc>
        <w:tc>
          <w:tcPr>
            <w:tcW w:w="125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9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23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联系人</w:t>
            </w:r>
          </w:p>
        </w:tc>
        <w:tc>
          <w:tcPr>
            <w:tcW w:w="1424" w:type="dxa"/>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szCs w:val="21"/>
              </w:rPr>
            </w:pPr>
          </w:p>
        </w:tc>
        <w:tc>
          <w:tcPr>
            <w:tcW w:w="80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电话</w:t>
            </w:r>
          </w:p>
        </w:tc>
        <w:tc>
          <w:tcPr>
            <w:tcW w:w="1602"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80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传真</w:t>
            </w:r>
          </w:p>
        </w:tc>
        <w:tc>
          <w:tcPr>
            <w:tcW w:w="125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20" w:type="dxa"/>
            <w:gridSpan w:val="12"/>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szCs w:val="21"/>
              </w:rPr>
            </w:pPr>
            <w:r>
              <w:rPr>
                <w:rFonts w:hint="eastAsia" w:ascii="Times New Roman" w:eastAsia="方正黑体_GBK"/>
                <w:color w:val="000000"/>
                <w:spacing w:val="-2"/>
                <w:szCs w:val="21"/>
              </w:rPr>
              <w:t>二、示范区验收评估指标表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20" w:type="dxa"/>
            <w:gridSpan w:val="12"/>
            <w:tcBorders>
              <w:top w:val="single" w:color="auto" w:sz="4" w:space="0"/>
              <w:left w:val="single" w:color="auto" w:sz="4" w:space="0"/>
              <w:bottom w:val="single" w:color="auto" w:sz="4" w:space="0"/>
              <w:right w:val="single" w:color="auto" w:sz="4" w:space="0"/>
            </w:tcBorders>
            <w:noWrap w:val="0"/>
            <w:vAlign w:val="center"/>
          </w:tcPr>
          <w:p>
            <w:pPr>
              <w:rPr>
                <w:rFonts w:ascii="Times New Roman" w:eastAsia="方正黑体_GBK"/>
                <w:color w:val="000000"/>
                <w:spacing w:val="-2"/>
                <w:szCs w:val="21"/>
              </w:rPr>
            </w:pPr>
            <w:r>
              <w:rPr>
                <w:rFonts w:eastAsia="方正仿宋_GBK"/>
                <w:color w:val="000000"/>
                <w:spacing w:val="-2"/>
                <w:szCs w:val="21"/>
              </w:rPr>
              <w:t>1.</w:t>
            </w:r>
            <w:r>
              <w:rPr>
                <w:rFonts w:hint="eastAsia" w:eastAsia="方正仿宋_GBK"/>
                <w:color w:val="000000"/>
                <w:spacing w:val="-2"/>
                <w:szCs w:val="21"/>
              </w:rPr>
              <w:t>示范区验收指标表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4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序号</w:t>
            </w:r>
          </w:p>
        </w:tc>
        <w:tc>
          <w:tcPr>
            <w:tcW w:w="188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栏目</w:t>
            </w:r>
          </w:p>
        </w:tc>
        <w:tc>
          <w:tcPr>
            <w:tcW w:w="3318" w:type="dxa"/>
            <w:gridSpan w:val="5"/>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指标值（按实施方案填写）</w:t>
            </w:r>
          </w:p>
        </w:tc>
        <w:tc>
          <w:tcPr>
            <w:tcW w:w="2873"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完成值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64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1</w:t>
            </w:r>
          </w:p>
        </w:tc>
        <w:tc>
          <w:tcPr>
            <w:tcW w:w="188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三年新开工项目</w:t>
            </w:r>
          </w:p>
        </w:tc>
        <w:tc>
          <w:tcPr>
            <w:tcW w:w="3318" w:type="dxa"/>
            <w:gridSpan w:val="5"/>
            <w:tcBorders>
              <w:top w:val="single" w:color="auto" w:sz="4" w:space="0"/>
              <w:left w:val="single" w:color="auto" w:sz="4" w:space="0"/>
              <w:bottom w:val="single" w:color="auto" w:sz="4" w:space="0"/>
              <w:right w:val="single" w:color="auto" w:sz="4" w:space="0"/>
            </w:tcBorders>
            <w:noWrap w:val="0"/>
            <w:vAlign w:val="center"/>
          </w:tcPr>
          <w:p>
            <w:pPr>
              <w:spacing w:line="300" w:lineRule="exact"/>
              <w:ind w:right="-361" w:rightChars="-172"/>
              <w:jc w:val="left"/>
              <w:rPr>
                <w:rFonts w:eastAsia="方正仿宋_GBK"/>
                <w:color w:val="000000"/>
                <w:spacing w:val="-2"/>
                <w:szCs w:val="21"/>
              </w:rPr>
            </w:pPr>
            <w:r>
              <w:rPr>
                <w:rFonts w:eastAsia="方正仿宋_GBK"/>
                <w:color w:val="000000"/>
                <w:spacing w:val="-2"/>
                <w:szCs w:val="21"/>
                <w:u w:val="single"/>
              </w:rPr>
              <w:t xml:space="preserve">     </w:t>
            </w:r>
            <w:r>
              <w:rPr>
                <w:rFonts w:hint="eastAsia" w:eastAsia="方正仿宋_GBK"/>
                <w:color w:val="000000"/>
                <w:spacing w:val="-2"/>
                <w:szCs w:val="21"/>
              </w:rPr>
              <w:t>个，</w:t>
            </w:r>
          </w:p>
          <w:p>
            <w:pPr>
              <w:spacing w:line="300" w:lineRule="exact"/>
              <w:ind w:right="-361" w:rightChars="-172"/>
              <w:jc w:val="left"/>
              <w:rPr>
                <w:rFonts w:eastAsia="方正仿宋_GBK"/>
                <w:color w:val="000000"/>
                <w:spacing w:val="-2"/>
                <w:szCs w:val="21"/>
              </w:rPr>
            </w:pPr>
            <w:r>
              <w:rPr>
                <w:rFonts w:hint="eastAsia" w:eastAsia="方正仿宋_GBK"/>
                <w:color w:val="000000"/>
                <w:spacing w:val="-2"/>
                <w:szCs w:val="21"/>
              </w:rPr>
              <w:t>总建筑面积</w:t>
            </w:r>
            <w:r>
              <w:rPr>
                <w:rFonts w:eastAsia="方正仿宋_GBK"/>
                <w:color w:val="000000"/>
                <w:spacing w:val="-2"/>
                <w:szCs w:val="21"/>
                <w:u w:val="single"/>
              </w:rPr>
              <w:t xml:space="preserve">       </w:t>
            </w:r>
            <w:r>
              <w:rPr>
                <w:rFonts w:hint="eastAsia" w:eastAsia="方正仿宋_GBK"/>
                <w:color w:val="000000"/>
                <w:spacing w:val="-2"/>
                <w:szCs w:val="21"/>
              </w:rPr>
              <w:t>万平方米</w:t>
            </w:r>
          </w:p>
        </w:tc>
        <w:tc>
          <w:tcPr>
            <w:tcW w:w="2873" w:type="dxa"/>
            <w:gridSpan w:val="4"/>
            <w:tcBorders>
              <w:top w:val="single" w:color="auto" w:sz="4" w:space="0"/>
              <w:left w:val="single" w:color="auto" w:sz="4" w:space="0"/>
              <w:bottom w:val="single" w:color="auto" w:sz="4" w:space="0"/>
              <w:right w:val="single" w:color="auto" w:sz="4" w:space="0"/>
            </w:tcBorders>
            <w:noWrap w:val="0"/>
            <w:vAlign w:val="center"/>
          </w:tcPr>
          <w:p>
            <w:pPr>
              <w:spacing w:line="300" w:lineRule="exact"/>
              <w:jc w:val="left"/>
              <w:rPr>
                <w:rFonts w:eastAsia="方正仿宋_GBK"/>
                <w:color w:val="000000"/>
                <w:spacing w:val="-2"/>
                <w:szCs w:val="21"/>
              </w:rPr>
            </w:pPr>
            <w:r>
              <w:rPr>
                <w:rFonts w:eastAsia="方正仿宋_GBK"/>
                <w:color w:val="000000"/>
                <w:spacing w:val="-2"/>
                <w:szCs w:val="21"/>
                <w:u w:val="single"/>
              </w:rPr>
              <w:t xml:space="preserve">     </w:t>
            </w:r>
            <w:r>
              <w:rPr>
                <w:rFonts w:hint="eastAsia" w:eastAsia="方正仿宋_GBK"/>
                <w:color w:val="000000"/>
                <w:spacing w:val="-2"/>
                <w:szCs w:val="21"/>
              </w:rPr>
              <w:t>个，</w:t>
            </w:r>
          </w:p>
          <w:p>
            <w:pPr>
              <w:spacing w:line="300" w:lineRule="exact"/>
              <w:jc w:val="left"/>
              <w:rPr>
                <w:rFonts w:eastAsia="方正仿宋_GBK"/>
                <w:color w:val="000000"/>
                <w:spacing w:val="-2"/>
                <w:szCs w:val="21"/>
              </w:rPr>
            </w:pPr>
            <w:r>
              <w:rPr>
                <w:rFonts w:hint="eastAsia" w:eastAsia="方正仿宋_GBK"/>
                <w:color w:val="000000"/>
                <w:spacing w:val="-2"/>
                <w:szCs w:val="21"/>
              </w:rPr>
              <w:t>总建筑面积</w:t>
            </w:r>
            <w:r>
              <w:rPr>
                <w:rFonts w:eastAsia="方正仿宋_GBK"/>
                <w:color w:val="000000"/>
                <w:spacing w:val="-2"/>
                <w:szCs w:val="21"/>
                <w:u w:val="single"/>
              </w:rPr>
              <w:t xml:space="preserve">       </w:t>
            </w:r>
            <w:r>
              <w:rPr>
                <w:rFonts w:hint="eastAsia" w:eastAsia="方正仿宋_GBK"/>
                <w:color w:val="000000"/>
                <w:spacing w:val="-2"/>
                <w:szCs w:val="21"/>
              </w:rPr>
              <w:t>万平方米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64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2</w:t>
            </w:r>
          </w:p>
        </w:tc>
        <w:tc>
          <w:tcPr>
            <w:tcW w:w="188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三年建成项目</w:t>
            </w:r>
          </w:p>
        </w:tc>
        <w:tc>
          <w:tcPr>
            <w:tcW w:w="3318" w:type="dxa"/>
            <w:gridSpan w:val="5"/>
            <w:tcBorders>
              <w:top w:val="single" w:color="auto" w:sz="4" w:space="0"/>
              <w:left w:val="single" w:color="auto" w:sz="4" w:space="0"/>
              <w:bottom w:val="single" w:color="auto" w:sz="4" w:space="0"/>
              <w:right w:val="single" w:color="auto" w:sz="4" w:space="0"/>
            </w:tcBorders>
            <w:noWrap w:val="0"/>
            <w:vAlign w:val="center"/>
          </w:tcPr>
          <w:p>
            <w:pPr>
              <w:spacing w:line="300" w:lineRule="exact"/>
              <w:jc w:val="left"/>
              <w:rPr>
                <w:rFonts w:eastAsia="方正仿宋_GBK"/>
                <w:color w:val="000000"/>
                <w:spacing w:val="-2"/>
                <w:szCs w:val="21"/>
              </w:rPr>
            </w:pPr>
            <w:r>
              <w:rPr>
                <w:rFonts w:eastAsia="方正仿宋_GBK"/>
                <w:color w:val="000000"/>
                <w:spacing w:val="-2"/>
                <w:szCs w:val="21"/>
                <w:u w:val="single"/>
              </w:rPr>
              <w:t xml:space="preserve">    </w:t>
            </w:r>
            <w:r>
              <w:rPr>
                <w:rFonts w:hint="eastAsia" w:eastAsia="方正仿宋_GBK"/>
                <w:color w:val="000000"/>
                <w:spacing w:val="-2"/>
                <w:szCs w:val="21"/>
              </w:rPr>
              <w:t>个，</w:t>
            </w:r>
          </w:p>
          <w:p>
            <w:pPr>
              <w:spacing w:line="300" w:lineRule="exact"/>
              <w:jc w:val="left"/>
              <w:rPr>
                <w:rFonts w:eastAsia="方正仿宋_GBK"/>
                <w:color w:val="000000"/>
                <w:spacing w:val="-2"/>
                <w:szCs w:val="21"/>
              </w:rPr>
            </w:pPr>
            <w:r>
              <w:rPr>
                <w:rFonts w:hint="eastAsia" w:eastAsia="方正仿宋_GBK"/>
                <w:color w:val="000000"/>
                <w:spacing w:val="-2"/>
                <w:szCs w:val="21"/>
              </w:rPr>
              <w:t>总建筑面积</w:t>
            </w:r>
            <w:r>
              <w:rPr>
                <w:rFonts w:eastAsia="方正仿宋_GBK"/>
                <w:color w:val="000000"/>
                <w:spacing w:val="-2"/>
                <w:szCs w:val="21"/>
                <w:u w:val="single"/>
              </w:rPr>
              <w:t xml:space="preserve">       </w:t>
            </w:r>
            <w:r>
              <w:rPr>
                <w:rFonts w:hint="eastAsia" w:eastAsia="方正仿宋_GBK"/>
                <w:color w:val="000000"/>
                <w:spacing w:val="-2"/>
                <w:szCs w:val="21"/>
              </w:rPr>
              <w:t>万平方米</w:t>
            </w:r>
          </w:p>
        </w:tc>
        <w:tc>
          <w:tcPr>
            <w:tcW w:w="2873" w:type="dxa"/>
            <w:gridSpan w:val="4"/>
            <w:tcBorders>
              <w:top w:val="single" w:color="auto" w:sz="4" w:space="0"/>
              <w:left w:val="single" w:color="auto" w:sz="4" w:space="0"/>
              <w:bottom w:val="single" w:color="auto" w:sz="4" w:space="0"/>
              <w:right w:val="single" w:color="auto" w:sz="4" w:space="0"/>
            </w:tcBorders>
            <w:noWrap w:val="0"/>
            <w:vAlign w:val="center"/>
          </w:tcPr>
          <w:p>
            <w:pPr>
              <w:spacing w:line="300" w:lineRule="exact"/>
              <w:jc w:val="left"/>
              <w:rPr>
                <w:rFonts w:eastAsia="方正仿宋_GBK"/>
                <w:color w:val="000000"/>
                <w:spacing w:val="-2"/>
                <w:szCs w:val="21"/>
              </w:rPr>
            </w:pPr>
            <w:r>
              <w:rPr>
                <w:rFonts w:eastAsia="方正仿宋_GBK"/>
                <w:color w:val="000000"/>
                <w:spacing w:val="-2"/>
                <w:szCs w:val="21"/>
                <w:u w:val="single"/>
              </w:rPr>
              <w:t xml:space="preserve">    </w:t>
            </w:r>
            <w:r>
              <w:rPr>
                <w:rFonts w:hint="eastAsia" w:eastAsia="方正仿宋_GBK"/>
                <w:color w:val="000000"/>
                <w:spacing w:val="-2"/>
                <w:szCs w:val="21"/>
              </w:rPr>
              <w:t>个，</w:t>
            </w:r>
          </w:p>
          <w:p>
            <w:pPr>
              <w:spacing w:line="300" w:lineRule="exact"/>
              <w:jc w:val="left"/>
              <w:rPr>
                <w:rFonts w:eastAsia="方正仿宋_GBK"/>
                <w:color w:val="000000"/>
                <w:spacing w:val="-2"/>
                <w:szCs w:val="21"/>
              </w:rPr>
            </w:pPr>
            <w:r>
              <w:rPr>
                <w:rFonts w:hint="eastAsia" w:eastAsia="方正仿宋_GBK"/>
                <w:color w:val="000000"/>
                <w:spacing w:val="-2"/>
                <w:szCs w:val="21"/>
              </w:rPr>
              <w:t>总建筑面积</w:t>
            </w:r>
            <w:r>
              <w:rPr>
                <w:rFonts w:eastAsia="方正仿宋_GBK"/>
                <w:color w:val="000000"/>
                <w:spacing w:val="-2"/>
                <w:szCs w:val="21"/>
                <w:u w:val="single"/>
              </w:rPr>
              <w:t xml:space="preserve">       </w:t>
            </w:r>
            <w:r>
              <w:rPr>
                <w:rFonts w:hint="eastAsia" w:eastAsia="方正仿宋_GBK"/>
                <w:color w:val="000000"/>
                <w:spacing w:val="-2"/>
                <w:szCs w:val="21"/>
              </w:rPr>
              <w:t>万平方米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64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3</w:t>
            </w:r>
          </w:p>
        </w:tc>
        <w:tc>
          <w:tcPr>
            <w:tcW w:w="188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绿色建筑</w:t>
            </w:r>
          </w:p>
        </w:tc>
        <w:tc>
          <w:tcPr>
            <w:tcW w:w="3318" w:type="dxa"/>
            <w:gridSpan w:val="5"/>
            <w:tcBorders>
              <w:top w:val="single" w:color="auto" w:sz="4" w:space="0"/>
              <w:left w:val="single" w:color="auto" w:sz="4" w:space="0"/>
              <w:bottom w:val="single" w:color="auto" w:sz="4" w:space="0"/>
              <w:right w:val="single" w:color="auto" w:sz="4" w:space="0"/>
            </w:tcBorders>
            <w:noWrap w:val="0"/>
            <w:vAlign w:val="center"/>
          </w:tcPr>
          <w:p>
            <w:pPr>
              <w:spacing w:line="300" w:lineRule="exact"/>
              <w:jc w:val="left"/>
              <w:rPr>
                <w:rFonts w:eastAsia="方正仿宋_GBK"/>
                <w:color w:val="000000"/>
                <w:spacing w:val="-2"/>
                <w:szCs w:val="21"/>
              </w:rPr>
            </w:pPr>
            <w:r>
              <w:rPr>
                <w:rFonts w:eastAsia="方正仿宋_GBK"/>
                <w:color w:val="000000"/>
                <w:spacing w:val="-2"/>
                <w:szCs w:val="21"/>
                <w:u w:val="single"/>
              </w:rPr>
              <w:t xml:space="preserve">   </w:t>
            </w:r>
            <w:r>
              <w:rPr>
                <w:rFonts w:hint="eastAsia" w:eastAsia="方正仿宋_GBK"/>
                <w:color w:val="000000"/>
                <w:spacing w:val="-2"/>
                <w:szCs w:val="21"/>
              </w:rPr>
              <w:t>个，总建筑面积</w:t>
            </w:r>
            <w:r>
              <w:rPr>
                <w:rFonts w:eastAsia="方正仿宋_GBK"/>
                <w:color w:val="000000"/>
                <w:spacing w:val="-2"/>
                <w:szCs w:val="21"/>
                <w:u w:val="single"/>
              </w:rPr>
              <w:t xml:space="preserve">   </w:t>
            </w:r>
            <w:r>
              <w:rPr>
                <w:rFonts w:hint="eastAsia" w:eastAsia="方正仿宋_GBK"/>
                <w:color w:val="000000"/>
                <w:spacing w:val="-2"/>
                <w:szCs w:val="21"/>
              </w:rPr>
              <w:t>万平方米，占比</w:t>
            </w:r>
            <w:r>
              <w:rPr>
                <w:rFonts w:eastAsia="方正仿宋_GBK"/>
                <w:color w:val="000000"/>
                <w:spacing w:val="-2"/>
                <w:szCs w:val="21"/>
                <w:u w:val="single"/>
              </w:rPr>
              <w:t xml:space="preserve">     </w:t>
            </w:r>
            <w:r>
              <w:rPr>
                <w:rFonts w:eastAsia="方正仿宋_GBK"/>
                <w:color w:val="000000"/>
                <w:spacing w:val="-2"/>
                <w:szCs w:val="21"/>
              </w:rPr>
              <w:t>%</w:t>
            </w:r>
          </w:p>
        </w:tc>
        <w:tc>
          <w:tcPr>
            <w:tcW w:w="2873" w:type="dxa"/>
            <w:gridSpan w:val="4"/>
            <w:tcBorders>
              <w:top w:val="single" w:color="auto" w:sz="4" w:space="0"/>
              <w:left w:val="single" w:color="auto" w:sz="4" w:space="0"/>
              <w:bottom w:val="single" w:color="auto" w:sz="4" w:space="0"/>
              <w:right w:val="single" w:color="auto" w:sz="4" w:space="0"/>
            </w:tcBorders>
            <w:noWrap w:val="0"/>
            <w:vAlign w:val="center"/>
          </w:tcPr>
          <w:p>
            <w:pPr>
              <w:spacing w:line="300" w:lineRule="exact"/>
              <w:jc w:val="left"/>
              <w:rPr>
                <w:rFonts w:eastAsia="方正仿宋_GBK"/>
                <w:color w:val="000000"/>
                <w:spacing w:val="-2"/>
                <w:szCs w:val="21"/>
              </w:rPr>
            </w:pPr>
            <w:r>
              <w:rPr>
                <w:rFonts w:eastAsia="方正仿宋_GBK"/>
                <w:color w:val="000000"/>
                <w:spacing w:val="-2"/>
                <w:szCs w:val="21"/>
                <w:u w:val="single"/>
              </w:rPr>
              <w:t xml:space="preserve">   </w:t>
            </w:r>
            <w:r>
              <w:rPr>
                <w:rFonts w:hint="eastAsia" w:eastAsia="方正仿宋_GBK"/>
                <w:color w:val="000000"/>
                <w:spacing w:val="-2"/>
                <w:szCs w:val="21"/>
              </w:rPr>
              <w:t>个，总建筑面积</w:t>
            </w:r>
            <w:r>
              <w:rPr>
                <w:rFonts w:eastAsia="方正仿宋_GBK"/>
                <w:color w:val="000000"/>
                <w:spacing w:val="-2"/>
                <w:szCs w:val="21"/>
                <w:u w:val="single"/>
              </w:rPr>
              <w:t xml:space="preserve">   </w:t>
            </w:r>
            <w:r>
              <w:rPr>
                <w:rFonts w:hint="eastAsia" w:eastAsia="方正仿宋_GBK"/>
                <w:color w:val="000000"/>
                <w:spacing w:val="-2"/>
                <w:szCs w:val="21"/>
              </w:rPr>
              <w:t>万平方米，占比</w:t>
            </w:r>
            <w:r>
              <w:rPr>
                <w:rFonts w:eastAsia="方正仿宋_GBK"/>
                <w:color w:val="000000"/>
                <w:spacing w:val="-2"/>
                <w:szCs w:val="21"/>
                <w:u w:val="single"/>
              </w:rPr>
              <w:t xml:space="preserve">     </w:t>
            </w:r>
            <w:r>
              <w:rPr>
                <w:rFonts w:eastAsia="方正仿宋_GBK"/>
                <w:color w:val="000000"/>
                <w:spacing w:val="-2"/>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64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4</w:t>
            </w:r>
          </w:p>
        </w:tc>
        <w:tc>
          <w:tcPr>
            <w:tcW w:w="188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二星级及以上</w:t>
            </w:r>
          </w:p>
          <w:p>
            <w:pPr>
              <w:jc w:val="center"/>
              <w:rPr>
                <w:rFonts w:eastAsia="方正仿宋_GBK"/>
                <w:color w:val="000000"/>
                <w:spacing w:val="-2"/>
                <w:szCs w:val="21"/>
              </w:rPr>
            </w:pPr>
            <w:r>
              <w:rPr>
                <w:rFonts w:hint="eastAsia" w:eastAsia="方正仿宋_GBK"/>
                <w:color w:val="000000"/>
                <w:spacing w:val="-2"/>
                <w:szCs w:val="21"/>
              </w:rPr>
              <w:t>绿色建筑</w:t>
            </w:r>
          </w:p>
        </w:tc>
        <w:tc>
          <w:tcPr>
            <w:tcW w:w="3318" w:type="dxa"/>
            <w:gridSpan w:val="5"/>
            <w:tcBorders>
              <w:top w:val="single" w:color="auto" w:sz="4" w:space="0"/>
              <w:left w:val="single" w:color="auto" w:sz="4" w:space="0"/>
              <w:bottom w:val="single" w:color="auto" w:sz="4" w:space="0"/>
              <w:right w:val="single" w:color="auto" w:sz="4" w:space="0"/>
            </w:tcBorders>
            <w:noWrap w:val="0"/>
            <w:vAlign w:val="center"/>
          </w:tcPr>
          <w:p>
            <w:pPr>
              <w:spacing w:line="300" w:lineRule="exact"/>
              <w:jc w:val="left"/>
              <w:rPr>
                <w:rFonts w:eastAsia="方正仿宋_GBK"/>
                <w:color w:val="000000"/>
                <w:spacing w:val="-2"/>
                <w:szCs w:val="21"/>
              </w:rPr>
            </w:pPr>
            <w:r>
              <w:rPr>
                <w:rFonts w:eastAsia="方正仿宋_GBK"/>
                <w:color w:val="000000"/>
                <w:spacing w:val="-2"/>
                <w:szCs w:val="21"/>
                <w:u w:val="single"/>
              </w:rPr>
              <w:t xml:space="preserve">   </w:t>
            </w:r>
            <w:r>
              <w:rPr>
                <w:rFonts w:hint="eastAsia" w:eastAsia="方正仿宋_GBK"/>
                <w:color w:val="000000"/>
                <w:spacing w:val="-2"/>
                <w:szCs w:val="21"/>
              </w:rPr>
              <w:t>个，总建筑面积</w:t>
            </w:r>
            <w:r>
              <w:rPr>
                <w:rFonts w:eastAsia="方正仿宋_GBK"/>
                <w:color w:val="000000"/>
                <w:spacing w:val="-2"/>
                <w:szCs w:val="21"/>
                <w:u w:val="single"/>
              </w:rPr>
              <w:t xml:space="preserve">   </w:t>
            </w:r>
            <w:r>
              <w:rPr>
                <w:rFonts w:hint="eastAsia" w:eastAsia="方正仿宋_GBK"/>
                <w:color w:val="000000"/>
                <w:spacing w:val="-2"/>
                <w:szCs w:val="21"/>
              </w:rPr>
              <w:t>万平方米，占比</w:t>
            </w:r>
            <w:r>
              <w:rPr>
                <w:rFonts w:eastAsia="方正仿宋_GBK"/>
                <w:color w:val="000000"/>
                <w:spacing w:val="-2"/>
                <w:szCs w:val="21"/>
                <w:u w:val="single"/>
              </w:rPr>
              <w:t xml:space="preserve">     </w:t>
            </w:r>
            <w:r>
              <w:rPr>
                <w:rFonts w:eastAsia="方正仿宋_GBK"/>
                <w:color w:val="000000"/>
                <w:spacing w:val="-2"/>
                <w:szCs w:val="21"/>
              </w:rPr>
              <w:t>%</w:t>
            </w:r>
          </w:p>
        </w:tc>
        <w:tc>
          <w:tcPr>
            <w:tcW w:w="2873" w:type="dxa"/>
            <w:gridSpan w:val="4"/>
            <w:tcBorders>
              <w:top w:val="single" w:color="auto" w:sz="4" w:space="0"/>
              <w:left w:val="single" w:color="auto" w:sz="4" w:space="0"/>
              <w:bottom w:val="single" w:color="auto" w:sz="4" w:space="0"/>
              <w:right w:val="single" w:color="auto" w:sz="4" w:space="0"/>
            </w:tcBorders>
            <w:noWrap w:val="0"/>
            <w:vAlign w:val="center"/>
          </w:tcPr>
          <w:p>
            <w:pPr>
              <w:spacing w:line="300" w:lineRule="exact"/>
              <w:jc w:val="left"/>
              <w:rPr>
                <w:rFonts w:eastAsia="方正仿宋_GBK"/>
                <w:color w:val="000000"/>
                <w:spacing w:val="-2"/>
                <w:szCs w:val="21"/>
              </w:rPr>
            </w:pPr>
            <w:r>
              <w:rPr>
                <w:rFonts w:eastAsia="方正仿宋_GBK"/>
                <w:color w:val="000000"/>
                <w:spacing w:val="-2"/>
                <w:szCs w:val="21"/>
                <w:u w:val="single"/>
              </w:rPr>
              <w:t xml:space="preserve">   </w:t>
            </w:r>
            <w:r>
              <w:rPr>
                <w:rFonts w:hint="eastAsia" w:eastAsia="方正仿宋_GBK"/>
                <w:color w:val="000000"/>
                <w:spacing w:val="-2"/>
                <w:szCs w:val="21"/>
              </w:rPr>
              <w:t>个，总建筑面积</w:t>
            </w:r>
            <w:r>
              <w:rPr>
                <w:rFonts w:eastAsia="方正仿宋_GBK"/>
                <w:color w:val="000000"/>
                <w:spacing w:val="-2"/>
                <w:szCs w:val="21"/>
                <w:u w:val="single"/>
              </w:rPr>
              <w:t xml:space="preserve">   </w:t>
            </w:r>
            <w:r>
              <w:rPr>
                <w:rFonts w:hint="eastAsia" w:eastAsia="方正仿宋_GBK"/>
                <w:color w:val="000000"/>
                <w:spacing w:val="-2"/>
                <w:szCs w:val="21"/>
              </w:rPr>
              <w:t>万平方米，占比</w:t>
            </w:r>
            <w:r>
              <w:rPr>
                <w:rFonts w:eastAsia="方正仿宋_GBK"/>
                <w:color w:val="000000"/>
                <w:spacing w:val="-2"/>
                <w:szCs w:val="21"/>
                <w:u w:val="single"/>
              </w:rPr>
              <w:t xml:space="preserve">     </w:t>
            </w:r>
            <w:r>
              <w:rPr>
                <w:rFonts w:eastAsia="方正仿宋_GBK"/>
                <w:color w:val="000000"/>
                <w:spacing w:val="-2"/>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4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5</w:t>
            </w:r>
          </w:p>
        </w:tc>
        <w:tc>
          <w:tcPr>
            <w:tcW w:w="188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配套资金</w:t>
            </w:r>
          </w:p>
        </w:tc>
        <w:tc>
          <w:tcPr>
            <w:tcW w:w="3318" w:type="dxa"/>
            <w:gridSpan w:val="5"/>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u w:val="single"/>
              </w:rPr>
            </w:pPr>
            <w:r>
              <w:rPr>
                <w:rFonts w:eastAsia="方正仿宋_GBK"/>
                <w:color w:val="000000"/>
                <w:spacing w:val="-2"/>
                <w:szCs w:val="21"/>
                <w:u w:val="single"/>
              </w:rPr>
              <w:t xml:space="preserve">      </w:t>
            </w:r>
            <w:r>
              <w:rPr>
                <w:rFonts w:hint="eastAsia" w:eastAsia="方正仿宋_GBK"/>
                <w:color w:val="000000"/>
                <w:spacing w:val="-2"/>
                <w:szCs w:val="21"/>
              </w:rPr>
              <w:t>万元</w:t>
            </w:r>
          </w:p>
        </w:tc>
        <w:tc>
          <w:tcPr>
            <w:tcW w:w="2873" w:type="dxa"/>
            <w:gridSpan w:val="4"/>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u w:val="single"/>
              </w:rPr>
            </w:pPr>
            <w:r>
              <w:rPr>
                <w:rFonts w:eastAsia="方正仿宋_GBK"/>
                <w:color w:val="000000"/>
                <w:spacing w:val="-2"/>
                <w:szCs w:val="21"/>
                <w:u w:val="single"/>
              </w:rPr>
              <w:t xml:space="preserve">      </w:t>
            </w:r>
            <w:r>
              <w:rPr>
                <w:rFonts w:hint="eastAsia" w:eastAsia="方正仿宋_GBK"/>
                <w:color w:val="000000"/>
                <w:spacing w:val="-2"/>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4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6</w:t>
            </w:r>
          </w:p>
        </w:tc>
        <w:tc>
          <w:tcPr>
            <w:tcW w:w="188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资源评估报告</w:t>
            </w:r>
          </w:p>
        </w:tc>
        <w:tc>
          <w:tcPr>
            <w:tcW w:w="3318" w:type="dxa"/>
            <w:gridSpan w:val="5"/>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rPr>
            </w:pPr>
            <w:r>
              <w:rPr>
                <w:rFonts w:hint="eastAsia" w:eastAsia="方正仿宋_GBK"/>
                <w:color w:val="000000"/>
                <w:spacing w:val="-2"/>
                <w:szCs w:val="21"/>
              </w:rPr>
              <w:t>（可再生资源评估报告）</w:t>
            </w:r>
          </w:p>
        </w:tc>
        <w:tc>
          <w:tcPr>
            <w:tcW w:w="2873" w:type="dxa"/>
            <w:gridSpan w:val="4"/>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4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7</w:t>
            </w:r>
          </w:p>
        </w:tc>
        <w:tc>
          <w:tcPr>
            <w:tcW w:w="188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专项规划</w:t>
            </w:r>
          </w:p>
        </w:tc>
        <w:tc>
          <w:tcPr>
            <w:tcW w:w="3318" w:type="dxa"/>
            <w:gridSpan w:val="5"/>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rPr>
            </w:pPr>
            <w:r>
              <w:rPr>
                <w:rFonts w:hint="eastAsia" w:eastAsia="方正仿宋_GBK"/>
                <w:color w:val="000000"/>
                <w:spacing w:val="-2"/>
                <w:szCs w:val="21"/>
              </w:rPr>
              <w:t>（能源规划</w:t>
            </w:r>
            <w:r>
              <w:rPr>
                <w:rFonts w:eastAsia="方正仿宋_GBK"/>
                <w:color w:val="000000"/>
                <w:spacing w:val="-2"/>
                <w:szCs w:val="21"/>
              </w:rPr>
              <w:t>. . .</w:t>
            </w:r>
            <w:r>
              <w:rPr>
                <w:rFonts w:hint="eastAsia" w:eastAsia="方正仿宋_GBK"/>
                <w:color w:val="000000"/>
                <w:spacing w:val="-2"/>
                <w:szCs w:val="21"/>
              </w:rPr>
              <w:t>）</w:t>
            </w:r>
          </w:p>
        </w:tc>
        <w:tc>
          <w:tcPr>
            <w:tcW w:w="2873" w:type="dxa"/>
            <w:gridSpan w:val="4"/>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64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8</w:t>
            </w:r>
          </w:p>
        </w:tc>
        <w:tc>
          <w:tcPr>
            <w:tcW w:w="188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可再生能源</w:t>
            </w:r>
          </w:p>
          <w:p>
            <w:pPr>
              <w:jc w:val="center"/>
              <w:rPr>
                <w:rFonts w:eastAsia="方正仿宋_GBK"/>
                <w:color w:val="000000"/>
                <w:spacing w:val="-2"/>
                <w:szCs w:val="21"/>
              </w:rPr>
            </w:pPr>
            <w:r>
              <w:rPr>
                <w:rFonts w:hint="eastAsia" w:eastAsia="方正仿宋_GBK"/>
                <w:color w:val="000000"/>
                <w:spacing w:val="-2"/>
                <w:szCs w:val="21"/>
              </w:rPr>
              <w:t>建筑一体化</w:t>
            </w:r>
          </w:p>
        </w:tc>
        <w:tc>
          <w:tcPr>
            <w:tcW w:w="3318" w:type="dxa"/>
            <w:gridSpan w:val="5"/>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highlight w:val="yellow"/>
              </w:rPr>
            </w:pPr>
          </w:p>
        </w:tc>
        <w:tc>
          <w:tcPr>
            <w:tcW w:w="2873" w:type="dxa"/>
            <w:gridSpan w:val="4"/>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64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9</w:t>
            </w:r>
          </w:p>
        </w:tc>
        <w:tc>
          <w:tcPr>
            <w:tcW w:w="188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绿色建筑</w:t>
            </w:r>
          </w:p>
          <w:p>
            <w:pPr>
              <w:jc w:val="center"/>
              <w:rPr>
                <w:rFonts w:eastAsia="方正仿宋_GBK"/>
                <w:color w:val="000000"/>
                <w:spacing w:val="-2"/>
                <w:szCs w:val="21"/>
              </w:rPr>
            </w:pPr>
            <w:r>
              <w:rPr>
                <w:rFonts w:hint="eastAsia" w:eastAsia="方正仿宋_GBK"/>
                <w:color w:val="000000"/>
                <w:spacing w:val="-2"/>
                <w:szCs w:val="21"/>
              </w:rPr>
              <w:t>健康发展</w:t>
            </w:r>
          </w:p>
        </w:tc>
        <w:tc>
          <w:tcPr>
            <w:tcW w:w="3318" w:type="dxa"/>
            <w:gridSpan w:val="5"/>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highlight w:val="yellow"/>
              </w:rPr>
            </w:pPr>
          </w:p>
        </w:tc>
        <w:tc>
          <w:tcPr>
            <w:tcW w:w="2873" w:type="dxa"/>
            <w:gridSpan w:val="4"/>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20" w:type="dxa"/>
            <w:gridSpan w:val="12"/>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rPr>
            </w:pPr>
            <w:r>
              <w:rPr>
                <w:rFonts w:eastAsia="方正仿宋_GBK"/>
                <w:color w:val="000000"/>
                <w:spacing w:val="-2"/>
                <w:szCs w:val="21"/>
              </w:rPr>
              <w:t>2.</w:t>
            </w:r>
            <w:r>
              <w:rPr>
                <w:rFonts w:hint="eastAsia" w:eastAsia="方正仿宋_GBK"/>
                <w:color w:val="000000"/>
                <w:spacing w:val="-2"/>
                <w:szCs w:val="21"/>
              </w:rPr>
              <w:t>示范区评估指标表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48"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专项规划</w:t>
            </w:r>
          </w:p>
        </w:tc>
        <w:tc>
          <w:tcPr>
            <w:tcW w:w="1881" w:type="dxa"/>
            <w:gridSpan w:val="2"/>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rPr>
            </w:pPr>
            <w:r>
              <w:rPr>
                <w:rFonts w:hint="eastAsia" w:eastAsia="方正仿宋_GBK"/>
                <w:color w:val="000000"/>
                <w:spacing w:val="-2"/>
                <w:szCs w:val="21"/>
              </w:rPr>
              <w:t>能源综合利用规划</w:t>
            </w:r>
          </w:p>
        </w:tc>
        <w:tc>
          <w:tcPr>
            <w:tcW w:w="3318" w:type="dxa"/>
            <w:gridSpan w:val="5"/>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highlight w:val="yellow"/>
              </w:rPr>
            </w:pPr>
          </w:p>
        </w:tc>
        <w:tc>
          <w:tcPr>
            <w:tcW w:w="2873" w:type="dxa"/>
            <w:gridSpan w:val="4"/>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6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881" w:type="dxa"/>
            <w:gridSpan w:val="2"/>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rPr>
            </w:pPr>
            <w:r>
              <w:rPr>
                <w:rFonts w:hint="eastAsia" w:eastAsia="方正仿宋_GBK"/>
                <w:color w:val="000000"/>
                <w:spacing w:val="-2"/>
                <w:szCs w:val="21"/>
              </w:rPr>
              <w:t>水资源综合利用规划</w:t>
            </w:r>
          </w:p>
        </w:tc>
        <w:tc>
          <w:tcPr>
            <w:tcW w:w="3318" w:type="dxa"/>
            <w:gridSpan w:val="5"/>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highlight w:val="yellow"/>
              </w:rPr>
            </w:pPr>
          </w:p>
        </w:tc>
        <w:tc>
          <w:tcPr>
            <w:tcW w:w="2873" w:type="dxa"/>
            <w:gridSpan w:val="4"/>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881" w:type="dxa"/>
            <w:gridSpan w:val="2"/>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rPr>
            </w:pPr>
            <w:r>
              <w:rPr>
                <w:rFonts w:hint="eastAsia" w:eastAsia="方正仿宋_GBK"/>
                <w:color w:val="000000"/>
                <w:spacing w:val="-2"/>
                <w:szCs w:val="21"/>
              </w:rPr>
              <w:t>绿色交通规划</w:t>
            </w:r>
          </w:p>
        </w:tc>
        <w:tc>
          <w:tcPr>
            <w:tcW w:w="3318" w:type="dxa"/>
            <w:gridSpan w:val="5"/>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highlight w:val="yellow"/>
              </w:rPr>
            </w:pPr>
          </w:p>
        </w:tc>
        <w:tc>
          <w:tcPr>
            <w:tcW w:w="2873" w:type="dxa"/>
            <w:gridSpan w:val="4"/>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881" w:type="dxa"/>
            <w:gridSpan w:val="2"/>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rPr>
            </w:pPr>
            <w:r>
              <w:rPr>
                <w:rFonts w:hint="eastAsia" w:eastAsia="方正仿宋_GBK"/>
                <w:color w:val="000000"/>
                <w:spacing w:val="-2"/>
                <w:szCs w:val="21"/>
              </w:rPr>
              <w:t>其他专项规划</w:t>
            </w:r>
          </w:p>
        </w:tc>
        <w:tc>
          <w:tcPr>
            <w:tcW w:w="3318" w:type="dxa"/>
            <w:gridSpan w:val="5"/>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highlight w:val="yellow"/>
              </w:rPr>
            </w:pPr>
          </w:p>
        </w:tc>
        <w:tc>
          <w:tcPr>
            <w:tcW w:w="2873" w:type="dxa"/>
            <w:gridSpan w:val="4"/>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48"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节约型城乡建设</w:t>
            </w:r>
          </w:p>
        </w:tc>
        <w:tc>
          <w:tcPr>
            <w:tcW w:w="1881" w:type="dxa"/>
            <w:gridSpan w:val="2"/>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rPr>
            </w:pPr>
            <w:r>
              <w:rPr>
                <w:rFonts w:hint="eastAsia" w:eastAsia="方正仿宋_GBK"/>
                <w:color w:val="000000"/>
                <w:spacing w:val="-2"/>
                <w:szCs w:val="21"/>
              </w:rPr>
              <w:t>城市空间复合利用</w:t>
            </w:r>
          </w:p>
        </w:tc>
        <w:tc>
          <w:tcPr>
            <w:tcW w:w="3318" w:type="dxa"/>
            <w:gridSpan w:val="5"/>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highlight w:val="yellow"/>
              </w:rPr>
            </w:pPr>
          </w:p>
        </w:tc>
        <w:tc>
          <w:tcPr>
            <w:tcW w:w="2873" w:type="dxa"/>
            <w:gridSpan w:val="4"/>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6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881" w:type="dxa"/>
            <w:gridSpan w:val="2"/>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rPr>
            </w:pPr>
            <w:r>
              <w:rPr>
                <w:rFonts w:hint="eastAsia" w:eastAsia="方正仿宋_GBK"/>
                <w:color w:val="000000"/>
                <w:spacing w:val="-2"/>
                <w:szCs w:val="21"/>
              </w:rPr>
              <w:t>可再生能源建筑一体化</w:t>
            </w:r>
          </w:p>
        </w:tc>
        <w:tc>
          <w:tcPr>
            <w:tcW w:w="3318" w:type="dxa"/>
            <w:gridSpan w:val="5"/>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highlight w:val="yellow"/>
              </w:rPr>
            </w:pPr>
          </w:p>
        </w:tc>
        <w:tc>
          <w:tcPr>
            <w:tcW w:w="2873" w:type="dxa"/>
            <w:gridSpan w:val="4"/>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881" w:type="dxa"/>
            <w:gridSpan w:val="2"/>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rPr>
            </w:pPr>
            <w:r>
              <w:rPr>
                <w:rFonts w:hint="eastAsia" w:eastAsia="方正仿宋_GBK"/>
                <w:color w:val="000000"/>
                <w:spacing w:val="-2"/>
                <w:szCs w:val="21"/>
              </w:rPr>
              <w:t>绿色建筑健康发展</w:t>
            </w:r>
          </w:p>
        </w:tc>
        <w:tc>
          <w:tcPr>
            <w:tcW w:w="3318" w:type="dxa"/>
            <w:gridSpan w:val="5"/>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highlight w:val="yellow"/>
              </w:rPr>
            </w:pPr>
          </w:p>
        </w:tc>
        <w:tc>
          <w:tcPr>
            <w:tcW w:w="2873" w:type="dxa"/>
            <w:gridSpan w:val="4"/>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881" w:type="dxa"/>
            <w:gridSpan w:val="2"/>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rPr>
            </w:pPr>
            <w:r>
              <w:rPr>
                <w:rFonts w:hint="eastAsia" w:eastAsia="方正仿宋_GBK"/>
                <w:color w:val="000000"/>
                <w:spacing w:val="-2"/>
                <w:szCs w:val="21"/>
              </w:rPr>
              <w:t>绿色施工管理</w:t>
            </w:r>
          </w:p>
        </w:tc>
        <w:tc>
          <w:tcPr>
            <w:tcW w:w="3318" w:type="dxa"/>
            <w:gridSpan w:val="5"/>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highlight w:val="yellow"/>
              </w:rPr>
            </w:pPr>
          </w:p>
        </w:tc>
        <w:tc>
          <w:tcPr>
            <w:tcW w:w="2873" w:type="dxa"/>
            <w:gridSpan w:val="4"/>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881" w:type="dxa"/>
            <w:gridSpan w:val="2"/>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rPr>
            </w:pPr>
            <w:r>
              <w:rPr>
                <w:rFonts w:hint="eastAsia" w:eastAsia="方正仿宋_GBK"/>
                <w:color w:val="000000"/>
                <w:spacing w:val="-2"/>
                <w:szCs w:val="21"/>
              </w:rPr>
              <w:t>住宅全装修</w:t>
            </w:r>
          </w:p>
        </w:tc>
        <w:tc>
          <w:tcPr>
            <w:tcW w:w="3318" w:type="dxa"/>
            <w:gridSpan w:val="5"/>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highlight w:val="yellow"/>
              </w:rPr>
            </w:pPr>
          </w:p>
        </w:tc>
        <w:tc>
          <w:tcPr>
            <w:tcW w:w="2873" w:type="dxa"/>
            <w:gridSpan w:val="4"/>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881" w:type="dxa"/>
            <w:gridSpan w:val="2"/>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rPr>
            </w:pPr>
            <w:r>
              <w:rPr>
                <w:rFonts w:hint="eastAsia" w:eastAsia="方正仿宋_GBK"/>
                <w:color w:val="000000"/>
                <w:spacing w:val="-2"/>
                <w:szCs w:val="21"/>
              </w:rPr>
              <w:t>综合管廊建设</w:t>
            </w:r>
          </w:p>
        </w:tc>
        <w:tc>
          <w:tcPr>
            <w:tcW w:w="3318" w:type="dxa"/>
            <w:gridSpan w:val="5"/>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highlight w:val="yellow"/>
              </w:rPr>
            </w:pPr>
          </w:p>
        </w:tc>
        <w:tc>
          <w:tcPr>
            <w:tcW w:w="2873" w:type="dxa"/>
            <w:gridSpan w:val="4"/>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881" w:type="dxa"/>
            <w:gridSpan w:val="2"/>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rPr>
            </w:pPr>
            <w:r>
              <w:rPr>
                <w:rFonts w:hint="eastAsia" w:eastAsia="方正仿宋_GBK"/>
                <w:color w:val="000000"/>
                <w:spacing w:val="-2"/>
                <w:szCs w:val="21"/>
              </w:rPr>
              <w:t>城市绿色照明</w:t>
            </w:r>
          </w:p>
        </w:tc>
        <w:tc>
          <w:tcPr>
            <w:tcW w:w="3318" w:type="dxa"/>
            <w:gridSpan w:val="5"/>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highlight w:val="yellow"/>
              </w:rPr>
            </w:pPr>
          </w:p>
        </w:tc>
        <w:tc>
          <w:tcPr>
            <w:tcW w:w="2873" w:type="dxa"/>
            <w:gridSpan w:val="4"/>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881" w:type="dxa"/>
            <w:gridSpan w:val="2"/>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rPr>
            </w:pPr>
            <w:r>
              <w:rPr>
                <w:rFonts w:hint="eastAsia" w:eastAsia="方正仿宋_GBK"/>
                <w:color w:val="000000"/>
                <w:spacing w:val="-2"/>
                <w:szCs w:val="21"/>
              </w:rPr>
              <w:t>节水型城市建设</w:t>
            </w:r>
          </w:p>
        </w:tc>
        <w:tc>
          <w:tcPr>
            <w:tcW w:w="3318" w:type="dxa"/>
            <w:gridSpan w:val="5"/>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highlight w:val="yellow"/>
              </w:rPr>
            </w:pPr>
          </w:p>
        </w:tc>
        <w:tc>
          <w:tcPr>
            <w:tcW w:w="2873" w:type="dxa"/>
            <w:gridSpan w:val="4"/>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6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881" w:type="dxa"/>
            <w:gridSpan w:val="2"/>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rPr>
            </w:pPr>
            <w:r>
              <w:rPr>
                <w:rFonts w:hint="eastAsia" w:eastAsia="方正仿宋_GBK"/>
                <w:color w:val="000000"/>
                <w:spacing w:val="-2"/>
                <w:szCs w:val="21"/>
              </w:rPr>
              <w:t>城市垃圾资源化利用</w:t>
            </w:r>
          </w:p>
        </w:tc>
        <w:tc>
          <w:tcPr>
            <w:tcW w:w="3318" w:type="dxa"/>
            <w:gridSpan w:val="5"/>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highlight w:val="yellow"/>
              </w:rPr>
            </w:pPr>
          </w:p>
        </w:tc>
        <w:tc>
          <w:tcPr>
            <w:tcW w:w="2873" w:type="dxa"/>
            <w:gridSpan w:val="4"/>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48"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配套能力建设</w:t>
            </w:r>
          </w:p>
        </w:tc>
        <w:tc>
          <w:tcPr>
            <w:tcW w:w="1881" w:type="dxa"/>
            <w:gridSpan w:val="2"/>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rPr>
            </w:pPr>
            <w:r>
              <w:rPr>
                <w:rFonts w:hint="eastAsia" w:eastAsia="方正仿宋_GBK"/>
                <w:color w:val="000000"/>
                <w:spacing w:val="-2"/>
                <w:szCs w:val="21"/>
              </w:rPr>
              <w:t>组织保障</w:t>
            </w:r>
          </w:p>
        </w:tc>
        <w:tc>
          <w:tcPr>
            <w:tcW w:w="3318" w:type="dxa"/>
            <w:gridSpan w:val="5"/>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highlight w:val="yellow"/>
              </w:rPr>
            </w:pPr>
          </w:p>
        </w:tc>
        <w:tc>
          <w:tcPr>
            <w:tcW w:w="2873" w:type="dxa"/>
            <w:gridSpan w:val="4"/>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881" w:type="dxa"/>
            <w:gridSpan w:val="2"/>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rPr>
            </w:pPr>
            <w:r>
              <w:rPr>
                <w:rFonts w:hint="eastAsia" w:eastAsia="方正仿宋_GBK"/>
                <w:color w:val="000000"/>
                <w:spacing w:val="-2"/>
                <w:szCs w:val="21"/>
              </w:rPr>
              <w:t>法规政策</w:t>
            </w:r>
          </w:p>
        </w:tc>
        <w:tc>
          <w:tcPr>
            <w:tcW w:w="3318" w:type="dxa"/>
            <w:gridSpan w:val="5"/>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highlight w:val="yellow"/>
              </w:rPr>
            </w:pPr>
          </w:p>
        </w:tc>
        <w:tc>
          <w:tcPr>
            <w:tcW w:w="2873" w:type="dxa"/>
            <w:gridSpan w:val="4"/>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881" w:type="dxa"/>
            <w:gridSpan w:val="2"/>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rPr>
            </w:pPr>
            <w:r>
              <w:rPr>
                <w:rFonts w:hint="eastAsia" w:eastAsia="方正仿宋_GBK"/>
                <w:color w:val="000000"/>
                <w:spacing w:val="-2"/>
                <w:szCs w:val="21"/>
              </w:rPr>
              <w:t>机制创新</w:t>
            </w:r>
          </w:p>
        </w:tc>
        <w:tc>
          <w:tcPr>
            <w:tcW w:w="3318" w:type="dxa"/>
            <w:gridSpan w:val="5"/>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highlight w:val="yellow"/>
              </w:rPr>
            </w:pPr>
          </w:p>
        </w:tc>
        <w:tc>
          <w:tcPr>
            <w:tcW w:w="2873" w:type="dxa"/>
            <w:gridSpan w:val="4"/>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881" w:type="dxa"/>
            <w:gridSpan w:val="2"/>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rPr>
            </w:pPr>
            <w:r>
              <w:rPr>
                <w:rFonts w:hint="eastAsia" w:eastAsia="方正仿宋_GBK"/>
                <w:color w:val="000000"/>
                <w:spacing w:val="-2"/>
                <w:szCs w:val="21"/>
              </w:rPr>
              <w:t>资金使用</w:t>
            </w:r>
          </w:p>
        </w:tc>
        <w:tc>
          <w:tcPr>
            <w:tcW w:w="3318" w:type="dxa"/>
            <w:gridSpan w:val="5"/>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highlight w:val="yellow"/>
              </w:rPr>
            </w:pPr>
          </w:p>
        </w:tc>
        <w:tc>
          <w:tcPr>
            <w:tcW w:w="2873" w:type="dxa"/>
            <w:gridSpan w:val="4"/>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48" w:type="dxa"/>
            <w:vMerge w:val="restart"/>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rFonts w:eastAsia="方正仿宋_GBK"/>
                <w:color w:val="000000"/>
                <w:spacing w:val="-2"/>
                <w:szCs w:val="21"/>
              </w:rPr>
            </w:pPr>
            <w:r>
              <w:rPr>
                <w:rFonts w:hint="eastAsia" w:eastAsia="方正仿宋_GBK"/>
                <w:color w:val="000000"/>
                <w:spacing w:val="-2"/>
                <w:szCs w:val="21"/>
              </w:rPr>
              <w:t>创新点</w:t>
            </w:r>
          </w:p>
        </w:tc>
        <w:tc>
          <w:tcPr>
            <w:tcW w:w="188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3318" w:type="dxa"/>
            <w:gridSpan w:val="5"/>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highlight w:val="yellow"/>
              </w:rPr>
            </w:pPr>
          </w:p>
        </w:tc>
        <w:tc>
          <w:tcPr>
            <w:tcW w:w="2873" w:type="dxa"/>
            <w:gridSpan w:val="4"/>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88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3318" w:type="dxa"/>
            <w:gridSpan w:val="5"/>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highlight w:val="yellow"/>
              </w:rPr>
            </w:pPr>
          </w:p>
        </w:tc>
        <w:tc>
          <w:tcPr>
            <w:tcW w:w="2873" w:type="dxa"/>
            <w:gridSpan w:val="4"/>
            <w:tcBorders>
              <w:top w:val="single" w:color="auto" w:sz="4" w:space="0"/>
              <w:left w:val="single" w:color="auto" w:sz="4" w:space="0"/>
              <w:bottom w:val="single" w:color="auto" w:sz="4" w:space="0"/>
              <w:right w:val="single" w:color="auto" w:sz="4" w:space="0"/>
            </w:tcBorders>
            <w:noWrap w:val="0"/>
            <w:vAlign w:val="center"/>
          </w:tcPr>
          <w:p>
            <w:pPr>
              <w:jc w:val="left"/>
              <w:rPr>
                <w:rFonts w:eastAsia="方正仿宋_GBK"/>
                <w:color w:val="000000"/>
                <w:spacing w:val="-2"/>
                <w:szCs w:val="21"/>
              </w:rPr>
            </w:pPr>
          </w:p>
        </w:tc>
      </w:tr>
    </w:tbl>
    <w:p>
      <w:pPr>
        <w:ind w:left="-105" w:leftChars="-50" w:right="-105" w:rightChars="-50"/>
        <w:jc w:val="center"/>
        <w:rPr>
          <w:rFonts w:hint="eastAsia" w:eastAsia="方正仿宋_GBK"/>
          <w:color w:val="000000"/>
          <w:spacing w:val="-2"/>
          <w:szCs w:val="21"/>
        </w:rPr>
      </w:pPr>
    </w:p>
    <w:p>
      <w:pPr>
        <w:spacing w:line="300" w:lineRule="exact"/>
        <w:rPr>
          <w:rFonts w:ascii="Times New Roman" w:eastAsia="方正仿宋_GBK"/>
          <w:color w:val="000000"/>
          <w:spacing w:val="-2"/>
        </w:rPr>
      </w:pPr>
      <w:r>
        <w:rPr>
          <w:rFonts w:hint="eastAsia" w:ascii="Times New Roman" w:hAnsi="Times New Roman" w:eastAsia="方正仿宋_GBK"/>
          <w:bCs/>
          <w:color w:val="000000"/>
          <w:spacing w:val="-2"/>
          <w:szCs w:val="21"/>
          <w:shd w:val="clear" w:color="auto" w:fill="FFFFFF"/>
        </w:rPr>
        <w:t>注：创新点可增加栏目</w:t>
      </w:r>
    </w:p>
    <w:p>
      <w:pPr>
        <w:widowControl/>
        <w:jc w:val="left"/>
        <w:rPr>
          <w:rFonts w:ascii="Times New Roman" w:hAnsi="Times New Roman" w:eastAsia="方正仿宋_GBK"/>
          <w:color w:val="000000"/>
          <w:spacing w:val="-2"/>
        </w:rPr>
        <w:sectPr>
          <w:pgSz w:w="11905" w:h="16838"/>
          <w:pgMar w:top="1701" w:right="1587" w:bottom="1701" w:left="1587" w:header="850" w:footer="1361" w:gutter="0"/>
          <w:paperSrc w:first="4" w:other="4"/>
          <w:cols w:space="720" w:num="1"/>
        </w:sectPr>
      </w:pPr>
    </w:p>
    <w:tbl>
      <w:tblPr>
        <w:tblStyle w:val="1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7"/>
        <w:gridCol w:w="8721"/>
        <w:gridCol w:w="4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gridAfter w:val="1"/>
          <w:wBefore w:w="127" w:type="dxa"/>
          <w:wAfter w:w="40" w:type="dxa"/>
          <w:trHeight w:val="567" w:hRule="atLeast"/>
        </w:trPr>
        <w:tc>
          <w:tcPr>
            <w:tcW w:w="8721" w:type="dxa"/>
            <w:tcBorders>
              <w:top w:val="single" w:color="auto" w:sz="8" w:space="0"/>
              <w:left w:val="single" w:color="auto" w:sz="8" w:space="0"/>
              <w:bottom w:val="single" w:color="auto" w:sz="4" w:space="0"/>
              <w:right w:val="single" w:color="auto" w:sz="8" w:space="0"/>
            </w:tcBorders>
            <w:noWrap w:val="0"/>
            <w:vAlign w:val="center"/>
          </w:tcPr>
          <w:p>
            <w:pPr>
              <w:rPr>
                <w:rFonts w:eastAsia="方正仿宋_GBK"/>
                <w:color w:val="000000"/>
                <w:spacing w:val="-2"/>
                <w:szCs w:val="21"/>
              </w:rPr>
            </w:pPr>
            <w:r>
              <w:rPr>
                <w:rFonts w:hint="eastAsia" w:ascii="Times New Roman" w:eastAsia="方正黑体_GBK"/>
                <w:color w:val="000000"/>
                <w:spacing w:val="-2"/>
                <w:szCs w:val="21"/>
              </w:rPr>
              <w:t>三、示范区实施情况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gridAfter w:val="1"/>
          <w:wBefore w:w="127" w:type="dxa"/>
          <w:wAfter w:w="40" w:type="dxa"/>
          <w:trHeight w:val="1985" w:hRule="atLeast"/>
        </w:trPr>
        <w:tc>
          <w:tcPr>
            <w:tcW w:w="8721" w:type="dxa"/>
            <w:tcBorders>
              <w:top w:val="single" w:color="auto" w:sz="4" w:space="0"/>
              <w:left w:val="single" w:color="auto" w:sz="8" w:space="0"/>
              <w:bottom w:val="single" w:color="auto" w:sz="4" w:space="0"/>
              <w:right w:val="single" w:color="auto" w:sz="8" w:space="0"/>
            </w:tcBorders>
            <w:noWrap w:val="0"/>
            <w:vAlign w:val="top"/>
          </w:tcPr>
          <w:p>
            <w:pPr>
              <w:spacing w:before="120" w:beforeLines="50"/>
              <w:rPr>
                <w:rFonts w:eastAsia="方正仿宋_GBK"/>
                <w:color w:val="000000"/>
                <w:spacing w:val="-2"/>
                <w:szCs w:val="21"/>
              </w:rPr>
            </w:pPr>
            <w:r>
              <w:rPr>
                <w:rFonts w:eastAsia="方正仿宋_GBK"/>
                <w:color w:val="000000"/>
                <w:spacing w:val="-2"/>
                <w:szCs w:val="21"/>
              </w:rPr>
              <w:t>1.</w:t>
            </w:r>
            <w:r>
              <w:rPr>
                <w:rFonts w:hint="eastAsia" w:eastAsia="方正仿宋_GBK"/>
                <w:color w:val="000000"/>
                <w:spacing w:val="-2"/>
                <w:szCs w:val="21"/>
              </w:rPr>
              <w:t>组织领导（包括：领导班子的建立及议事协调、具体办事机构建立及运行情况）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gridAfter w:val="1"/>
          <w:wBefore w:w="127" w:type="dxa"/>
          <w:wAfter w:w="40" w:type="dxa"/>
          <w:trHeight w:val="1985" w:hRule="atLeast"/>
        </w:trPr>
        <w:tc>
          <w:tcPr>
            <w:tcW w:w="8721" w:type="dxa"/>
            <w:tcBorders>
              <w:top w:val="single" w:color="auto" w:sz="4" w:space="0"/>
              <w:left w:val="single" w:color="auto" w:sz="8" w:space="0"/>
              <w:bottom w:val="single" w:color="auto" w:sz="4" w:space="0"/>
              <w:right w:val="single" w:color="auto" w:sz="8" w:space="0"/>
            </w:tcBorders>
            <w:noWrap w:val="0"/>
            <w:vAlign w:val="top"/>
          </w:tcPr>
          <w:p>
            <w:pPr>
              <w:spacing w:before="120" w:beforeLines="50"/>
              <w:rPr>
                <w:rFonts w:eastAsia="方正仿宋_GBK"/>
                <w:color w:val="000000"/>
                <w:spacing w:val="-2"/>
                <w:szCs w:val="21"/>
              </w:rPr>
            </w:pPr>
            <w:r>
              <w:rPr>
                <w:rFonts w:eastAsia="方正仿宋_GBK"/>
                <w:color w:val="000000"/>
                <w:spacing w:val="-2"/>
                <w:szCs w:val="21"/>
              </w:rPr>
              <w:t>2.</w:t>
            </w:r>
            <w:r>
              <w:rPr>
                <w:rFonts w:hint="eastAsia" w:eastAsia="方正仿宋_GBK"/>
                <w:color w:val="000000"/>
                <w:spacing w:val="-2"/>
                <w:szCs w:val="21"/>
              </w:rPr>
              <w:t>法规政策（包括：制定财政补助资金管理办法、示范项目管理办法等相关文件情况，出台优惠激励政策情况（写明相关文号及要点））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gridAfter w:val="1"/>
          <w:wBefore w:w="127" w:type="dxa"/>
          <w:wAfter w:w="40" w:type="dxa"/>
          <w:trHeight w:val="1985" w:hRule="atLeast"/>
        </w:trPr>
        <w:tc>
          <w:tcPr>
            <w:tcW w:w="8721" w:type="dxa"/>
            <w:tcBorders>
              <w:top w:val="single" w:color="auto" w:sz="4" w:space="0"/>
              <w:left w:val="single" w:color="auto" w:sz="8" w:space="0"/>
              <w:bottom w:val="single" w:color="auto" w:sz="4" w:space="0"/>
              <w:right w:val="single" w:color="auto" w:sz="8" w:space="0"/>
            </w:tcBorders>
            <w:noWrap w:val="0"/>
            <w:vAlign w:val="top"/>
          </w:tcPr>
          <w:p>
            <w:pPr>
              <w:spacing w:before="120" w:beforeLines="50"/>
              <w:rPr>
                <w:rFonts w:eastAsia="方正仿宋_GBK"/>
                <w:color w:val="000000"/>
                <w:spacing w:val="-2"/>
                <w:szCs w:val="21"/>
              </w:rPr>
            </w:pPr>
            <w:r>
              <w:rPr>
                <w:rFonts w:eastAsia="方正仿宋_GBK"/>
                <w:color w:val="000000"/>
                <w:spacing w:val="-2"/>
                <w:szCs w:val="21"/>
              </w:rPr>
              <w:t>3.</w:t>
            </w:r>
            <w:r>
              <w:rPr>
                <w:rFonts w:hint="eastAsia" w:eastAsia="方正仿宋_GBK"/>
                <w:color w:val="000000"/>
                <w:spacing w:val="-2"/>
                <w:szCs w:val="21"/>
              </w:rPr>
              <w:t>技术保障（包括：技术支撑单位工作情况、社会机构培育情况（写明相关文号及要点））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gridAfter w:val="1"/>
          <w:wBefore w:w="127" w:type="dxa"/>
          <w:wAfter w:w="40" w:type="dxa"/>
          <w:trHeight w:val="1985" w:hRule="atLeast"/>
        </w:trPr>
        <w:tc>
          <w:tcPr>
            <w:tcW w:w="8721" w:type="dxa"/>
            <w:tcBorders>
              <w:top w:val="single" w:color="auto" w:sz="4" w:space="0"/>
              <w:left w:val="single" w:color="auto" w:sz="8" w:space="0"/>
              <w:bottom w:val="single" w:color="auto" w:sz="4" w:space="0"/>
              <w:right w:val="single" w:color="auto" w:sz="8" w:space="0"/>
            </w:tcBorders>
            <w:noWrap w:val="0"/>
            <w:vAlign w:val="top"/>
          </w:tcPr>
          <w:p>
            <w:pPr>
              <w:spacing w:before="120" w:beforeLines="50"/>
              <w:rPr>
                <w:rFonts w:eastAsia="方正仿宋_GBK"/>
                <w:color w:val="000000"/>
                <w:spacing w:val="-2"/>
                <w:szCs w:val="21"/>
              </w:rPr>
            </w:pPr>
            <w:r>
              <w:rPr>
                <w:rFonts w:eastAsia="方正仿宋_GBK"/>
                <w:color w:val="000000"/>
                <w:spacing w:val="-2"/>
                <w:szCs w:val="21"/>
              </w:rPr>
              <w:t>4.</w:t>
            </w:r>
            <w:r>
              <w:rPr>
                <w:rFonts w:hint="eastAsia" w:eastAsia="方正仿宋_GBK"/>
                <w:color w:val="000000"/>
                <w:spacing w:val="-2"/>
                <w:szCs w:val="21"/>
              </w:rPr>
              <w:t>资金使用情况（依据地方财政主管部门对财政补助资金的管理及使用核查情况进行填写）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gridAfter w:val="1"/>
          <w:wBefore w:w="127" w:type="dxa"/>
          <w:wAfter w:w="40" w:type="dxa"/>
          <w:trHeight w:val="1985" w:hRule="atLeast"/>
        </w:trPr>
        <w:tc>
          <w:tcPr>
            <w:tcW w:w="8721" w:type="dxa"/>
            <w:tcBorders>
              <w:top w:val="single" w:color="auto" w:sz="4" w:space="0"/>
              <w:left w:val="single" w:color="auto" w:sz="8" w:space="0"/>
              <w:bottom w:val="single" w:color="auto" w:sz="4" w:space="0"/>
              <w:right w:val="single" w:color="auto" w:sz="8" w:space="0"/>
            </w:tcBorders>
            <w:shd w:val="clear" w:color="auto" w:fill="FFFFFF"/>
            <w:noWrap w:val="0"/>
            <w:vAlign w:val="top"/>
          </w:tcPr>
          <w:p>
            <w:pPr>
              <w:spacing w:before="120" w:beforeLines="50"/>
              <w:rPr>
                <w:rFonts w:eastAsia="方正仿宋_GBK"/>
                <w:color w:val="000000"/>
                <w:spacing w:val="-2"/>
                <w:szCs w:val="21"/>
              </w:rPr>
            </w:pPr>
            <w:r>
              <w:rPr>
                <w:rFonts w:eastAsia="方正仿宋_GBK"/>
                <w:color w:val="000000"/>
                <w:spacing w:val="-2"/>
                <w:szCs w:val="21"/>
              </w:rPr>
              <w:t>5.</w:t>
            </w:r>
            <w:r>
              <w:rPr>
                <w:rFonts w:hint="eastAsia" w:eastAsia="方正仿宋_GBK"/>
                <w:color w:val="000000"/>
                <w:spacing w:val="-2"/>
                <w:szCs w:val="21"/>
              </w:rPr>
              <w:t>探索建立示范区后评估体系及后期运营管理制度等示范区建设长效机制情况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gridAfter w:val="1"/>
          <w:wBefore w:w="127" w:type="dxa"/>
          <w:wAfter w:w="40" w:type="dxa"/>
          <w:trHeight w:val="2605" w:hRule="atLeast"/>
        </w:trPr>
        <w:tc>
          <w:tcPr>
            <w:tcW w:w="8721" w:type="dxa"/>
            <w:tcBorders>
              <w:top w:val="single" w:color="auto" w:sz="4" w:space="0"/>
              <w:left w:val="single" w:color="auto" w:sz="8" w:space="0"/>
              <w:bottom w:val="single" w:color="auto" w:sz="4" w:space="0"/>
              <w:right w:val="single" w:color="auto" w:sz="8" w:space="0"/>
            </w:tcBorders>
            <w:noWrap w:val="0"/>
            <w:vAlign w:val="top"/>
          </w:tcPr>
          <w:p>
            <w:pPr>
              <w:spacing w:before="120" w:beforeLines="50"/>
              <w:rPr>
                <w:rFonts w:eastAsia="方正仿宋_GBK"/>
                <w:color w:val="000000"/>
                <w:spacing w:val="-2"/>
                <w:szCs w:val="21"/>
              </w:rPr>
            </w:pPr>
            <w:r>
              <w:rPr>
                <w:rFonts w:eastAsia="方正仿宋_GBK"/>
                <w:color w:val="000000"/>
                <w:spacing w:val="-2"/>
                <w:szCs w:val="21"/>
              </w:rPr>
              <w:t>6.</w:t>
            </w:r>
            <w:r>
              <w:rPr>
                <w:rFonts w:hint="eastAsia" w:eastAsia="方正仿宋_GBK"/>
                <w:color w:val="000000"/>
                <w:spacing w:val="-2"/>
                <w:szCs w:val="21"/>
              </w:rPr>
              <w:t>取得的经济、社会、环境效益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888" w:type="dxa"/>
            <w:gridSpan w:val="3"/>
            <w:tcBorders>
              <w:top w:val="single" w:color="auto" w:sz="4" w:space="0"/>
              <w:left w:val="single" w:color="auto" w:sz="8" w:space="0"/>
              <w:bottom w:val="single" w:color="auto" w:sz="4" w:space="0"/>
              <w:right w:val="single" w:color="auto" w:sz="8" w:space="0"/>
            </w:tcBorders>
            <w:noWrap w:val="0"/>
            <w:vAlign w:val="center"/>
          </w:tcPr>
          <w:p>
            <w:pPr>
              <w:rPr>
                <w:rFonts w:eastAsia="方正仿宋_GBK"/>
                <w:color w:val="000000"/>
                <w:spacing w:val="-2"/>
                <w:szCs w:val="21"/>
              </w:rPr>
            </w:pPr>
            <w:r>
              <w:rPr>
                <w:rFonts w:hint="eastAsia" w:ascii="Times New Roman" w:eastAsia="方正黑体_GBK"/>
                <w:color w:val="000000"/>
                <w:spacing w:val="-2"/>
                <w:szCs w:val="21"/>
              </w:rPr>
              <w:t>四、主要验收文件目录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13" w:hRule="atLeast"/>
        </w:trPr>
        <w:tc>
          <w:tcPr>
            <w:tcW w:w="8888" w:type="dxa"/>
            <w:gridSpan w:val="3"/>
            <w:tcBorders>
              <w:top w:val="single" w:color="auto" w:sz="4" w:space="0"/>
              <w:left w:val="single" w:color="auto" w:sz="8" w:space="0"/>
              <w:bottom w:val="single" w:color="auto" w:sz="8" w:space="0"/>
              <w:right w:val="single" w:color="auto" w:sz="8" w:space="0"/>
            </w:tcBorders>
            <w:noWrap w:val="0"/>
            <w:vAlign w:val="top"/>
          </w:tcPr>
          <w:p>
            <w:pPr>
              <w:rPr>
                <w:rFonts w:eastAsia="方正仿宋_GBK"/>
                <w:b/>
                <w:color w:val="000000"/>
                <w:spacing w:val="-2"/>
                <w:szCs w:val="21"/>
              </w:rPr>
            </w:pPr>
          </w:p>
          <w:p>
            <w:pPr>
              <w:rPr>
                <w:rFonts w:eastAsia="方正仿宋_GBK"/>
                <w:color w:val="000000"/>
                <w:spacing w:val="-2"/>
                <w:szCs w:val="21"/>
              </w:rPr>
            </w:pPr>
          </w:p>
          <w:p>
            <w:pPr>
              <w:spacing w:line="580" w:lineRule="exact"/>
              <w:rPr>
                <w:rFonts w:eastAsia="方正仿宋_GBK"/>
                <w:color w:val="000000"/>
                <w:spacing w:val="-2"/>
                <w:szCs w:val="21"/>
              </w:rPr>
            </w:pPr>
            <w:r>
              <w:rPr>
                <w:rFonts w:hint="eastAsia" w:ascii="Times New Roman" w:hAnsi="Times New Roman"/>
                <w:color w:val="000000"/>
                <w:spacing w:val="-2"/>
                <w:szCs w:val="21"/>
              </w:rPr>
              <w:t>□</w:t>
            </w:r>
            <w:r>
              <w:rPr>
                <w:rFonts w:eastAsia="方正仿宋_GBK"/>
                <w:color w:val="000000"/>
                <w:spacing w:val="-2"/>
                <w:szCs w:val="21"/>
              </w:rPr>
              <w:t xml:space="preserve"> 1.</w:t>
            </w:r>
            <w:r>
              <w:rPr>
                <w:rFonts w:hint="eastAsia" w:eastAsia="方正仿宋_GBK"/>
                <w:color w:val="000000"/>
                <w:spacing w:val="-2"/>
                <w:szCs w:val="21"/>
              </w:rPr>
              <w:t>示范区验收评估申请表</w:t>
            </w:r>
          </w:p>
          <w:p>
            <w:pPr>
              <w:spacing w:line="580" w:lineRule="exact"/>
              <w:rPr>
                <w:rFonts w:eastAsia="方正仿宋_GBK"/>
                <w:color w:val="000000"/>
                <w:spacing w:val="-2"/>
                <w:szCs w:val="21"/>
              </w:rPr>
            </w:pPr>
            <w:r>
              <w:rPr>
                <w:rFonts w:hint="eastAsia" w:ascii="Times New Roman" w:hAnsi="Times New Roman"/>
                <w:color w:val="000000"/>
                <w:spacing w:val="-2"/>
                <w:szCs w:val="21"/>
              </w:rPr>
              <w:t>□</w:t>
            </w:r>
            <w:r>
              <w:rPr>
                <w:rFonts w:eastAsia="方正仿宋_GBK"/>
                <w:color w:val="000000"/>
                <w:spacing w:val="-2"/>
                <w:szCs w:val="21"/>
              </w:rPr>
              <w:t xml:space="preserve"> 2.</w:t>
            </w:r>
            <w:r>
              <w:rPr>
                <w:rFonts w:hint="eastAsia" w:eastAsia="方正仿宋_GBK"/>
                <w:color w:val="000000"/>
                <w:spacing w:val="-2"/>
                <w:szCs w:val="21"/>
              </w:rPr>
              <w:t>批准的示范区实施方案</w:t>
            </w:r>
          </w:p>
          <w:p>
            <w:pPr>
              <w:spacing w:line="580" w:lineRule="exact"/>
              <w:rPr>
                <w:rFonts w:eastAsia="方正仿宋_GBK"/>
                <w:color w:val="000000"/>
                <w:spacing w:val="-2"/>
                <w:szCs w:val="21"/>
              </w:rPr>
            </w:pPr>
            <w:r>
              <w:rPr>
                <w:rFonts w:hint="eastAsia" w:ascii="Times New Roman" w:hAnsi="Times New Roman"/>
                <w:color w:val="000000"/>
                <w:spacing w:val="-2"/>
                <w:szCs w:val="21"/>
              </w:rPr>
              <w:t xml:space="preserve">□ </w:t>
            </w:r>
            <w:r>
              <w:rPr>
                <w:rFonts w:eastAsia="方正仿宋_GBK"/>
                <w:color w:val="000000"/>
                <w:spacing w:val="-2"/>
                <w:szCs w:val="21"/>
              </w:rPr>
              <w:t>3.</w:t>
            </w:r>
            <w:r>
              <w:rPr>
                <w:rFonts w:hint="eastAsia" w:eastAsia="方正仿宋_GBK"/>
                <w:color w:val="000000"/>
                <w:spacing w:val="-2"/>
                <w:szCs w:val="21"/>
              </w:rPr>
              <w:t>示范区实施总结报告</w:t>
            </w:r>
          </w:p>
          <w:p>
            <w:pPr>
              <w:spacing w:line="580" w:lineRule="exact"/>
              <w:rPr>
                <w:rFonts w:eastAsia="方正仿宋_GBK"/>
                <w:color w:val="000000"/>
                <w:spacing w:val="-2"/>
                <w:szCs w:val="21"/>
              </w:rPr>
            </w:pPr>
            <w:r>
              <w:rPr>
                <w:rFonts w:hint="eastAsia" w:ascii="Times New Roman" w:hAnsi="Times New Roman"/>
                <w:color w:val="000000"/>
                <w:spacing w:val="-2"/>
                <w:szCs w:val="21"/>
              </w:rPr>
              <w:t>□</w:t>
            </w:r>
            <w:r>
              <w:rPr>
                <w:rFonts w:eastAsia="方正仿宋_GBK"/>
                <w:color w:val="000000"/>
                <w:spacing w:val="-2"/>
                <w:szCs w:val="21"/>
              </w:rPr>
              <w:t xml:space="preserve"> 4.</w:t>
            </w:r>
            <w:r>
              <w:rPr>
                <w:rFonts w:hint="eastAsia" w:eastAsia="方正仿宋_GBK"/>
                <w:color w:val="000000"/>
                <w:spacing w:val="-2"/>
                <w:szCs w:val="21"/>
              </w:rPr>
              <w:t>示范区财政补助资金及配套资金使用及管理情况报告（含第三方出具的示范区资金使用情况报告）</w:t>
            </w:r>
          </w:p>
          <w:p>
            <w:pPr>
              <w:spacing w:line="580" w:lineRule="exact"/>
              <w:rPr>
                <w:rFonts w:eastAsia="方正仿宋_GBK"/>
                <w:color w:val="000000"/>
                <w:spacing w:val="-2"/>
                <w:szCs w:val="21"/>
              </w:rPr>
            </w:pPr>
            <w:r>
              <w:rPr>
                <w:rFonts w:hint="eastAsia" w:ascii="Times New Roman" w:hAnsi="Times New Roman"/>
                <w:color w:val="000000"/>
                <w:spacing w:val="-2"/>
                <w:szCs w:val="21"/>
              </w:rPr>
              <w:t>□</w:t>
            </w:r>
            <w:r>
              <w:rPr>
                <w:rFonts w:eastAsia="方正仿宋_GBK"/>
                <w:color w:val="000000"/>
                <w:spacing w:val="-2"/>
                <w:szCs w:val="21"/>
              </w:rPr>
              <w:t xml:space="preserve"> 5.</w:t>
            </w:r>
            <w:r>
              <w:rPr>
                <w:rFonts w:hint="eastAsia" w:eastAsia="方正仿宋_GBK"/>
                <w:color w:val="000000"/>
                <w:spacing w:val="-2"/>
                <w:szCs w:val="21"/>
              </w:rPr>
              <w:t>纳入示范的项目清单，项目验收材料和绿色建筑评价标识材料、能效测评标识材料</w:t>
            </w:r>
            <w:r>
              <w:rPr>
                <w:rFonts w:eastAsia="方正仿宋_GBK"/>
                <w:color w:val="000000"/>
                <w:spacing w:val="-2"/>
                <w:szCs w:val="21"/>
              </w:rPr>
              <w:t xml:space="preserve"> </w:t>
            </w:r>
          </w:p>
          <w:p>
            <w:pPr>
              <w:spacing w:line="580" w:lineRule="exact"/>
              <w:rPr>
                <w:rFonts w:eastAsia="方正仿宋_GBK"/>
                <w:color w:val="000000"/>
                <w:spacing w:val="-2"/>
                <w:szCs w:val="21"/>
              </w:rPr>
            </w:pPr>
            <w:r>
              <w:rPr>
                <w:rFonts w:hint="eastAsia" w:ascii="Times New Roman" w:hAnsi="Times New Roman"/>
                <w:color w:val="000000"/>
                <w:spacing w:val="-2"/>
                <w:szCs w:val="21"/>
              </w:rPr>
              <w:t>□</w:t>
            </w:r>
            <w:r>
              <w:rPr>
                <w:rFonts w:eastAsia="方正仿宋_GBK"/>
                <w:color w:val="000000"/>
                <w:spacing w:val="-2"/>
                <w:szCs w:val="21"/>
              </w:rPr>
              <w:t xml:space="preserve"> 6.</w:t>
            </w:r>
            <w:r>
              <w:rPr>
                <w:rFonts w:hint="eastAsia" w:eastAsia="方正仿宋_GBK"/>
                <w:color w:val="000000"/>
                <w:spacing w:val="-2"/>
                <w:szCs w:val="21"/>
              </w:rPr>
              <w:t>纳入示范区工作的节约型城乡建设项目验收材料</w:t>
            </w:r>
          </w:p>
          <w:p>
            <w:pPr>
              <w:spacing w:line="580" w:lineRule="exact"/>
              <w:rPr>
                <w:rFonts w:eastAsia="方正仿宋_GBK"/>
                <w:color w:val="000000"/>
                <w:spacing w:val="-2"/>
                <w:szCs w:val="21"/>
              </w:rPr>
            </w:pPr>
            <w:r>
              <w:rPr>
                <w:rFonts w:hint="eastAsia" w:ascii="Times New Roman" w:hAnsi="Times New Roman"/>
                <w:color w:val="000000"/>
                <w:spacing w:val="-2"/>
                <w:szCs w:val="21"/>
              </w:rPr>
              <w:t xml:space="preserve">□ </w:t>
            </w:r>
            <w:r>
              <w:rPr>
                <w:rFonts w:eastAsia="方正仿宋_GBK"/>
                <w:color w:val="000000"/>
                <w:spacing w:val="-2"/>
                <w:szCs w:val="21"/>
              </w:rPr>
              <w:t>7.</w:t>
            </w:r>
            <w:r>
              <w:rPr>
                <w:rFonts w:hint="eastAsia" w:eastAsia="方正仿宋_GBK"/>
                <w:color w:val="000000"/>
                <w:spacing w:val="-2"/>
                <w:szCs w:val="21"/>
              </w:rPr>
              <w:t>示范区工作开展及配套能力建设成果文件，包括：进度报表、中期检查表、资源评估报告、专项规划及配套政策文件等</w:t>
            </w:r>
          </w:p>
          <w:p>
            <w:pPr>
              <w:spacing w:line="580" w:lineRule="exact"/>
              <w:rPr>
                <w:rFonts w:eastAsia="方正仿宋_GBK"/>
                <w:color w:val="000000"/>
                <w:spacing w:val="-2"/>
                <w:szCs w:val="21"/>
              </w:rPr>
            </w:pPr>
            <w:r>
              <w:rPr>
                <w:rFonts w:hint="eastAsia" w:ascii="Times New Roman" w:hAnsi="Times New Roman"/>
                <w:color w:val="000000"/>
                <w:spacing w:val="-2"/>
                <w:szCs w:val="21"/>
              </w:rPr>
              <w:t>□</w:t>
            </w:r>
            <w:r>
              <w:rPr>
                <w:rFonts w:eastAsia="方正仿宋_GBK"/>
                <w:color w:val="000000"/>
                <w:spacing w:val="-2"/>
                <w:szCs w:val="21"/>
              </w:rPr>
              <w:t xml:space="preserve"> 8.</w:t>
            </w:r>
            <w:r>
              <w:rPr>
                <w:rFonts w:hint="eastAsia" w:eastAsia="方正仿宋_GBK"/>
                <w:color w:val="000000"/>
                <w:spacing w:val="-2"/>
                <w:szCs w:val="21"/>
              </w:rPr>
              <w:t>项目能效测评报告和典型项目运行监测相关文件</w:t>
            </w:r>
          </w:p>
          <w:p>
            <w:pPr>
              <w:spacing w:line="580" w:lineRule="exact"/>
              <w:rPr>
                <w:rFonts w:eastAsia="方正仿宋_GBK"/>
                <w:color w:val="000000"/>
                <w:spacing w:val="-2"/>
                <w:szCs w:val="21"/>
              </w:rPr>
            </w:pPr>
            <w:r>
              <w:rPr>
                <w:rFonts w:hint="eastAsia" w:ascii="Times New Roman" w:hAnsi="Times New Roman"/>
                <w:color w:val="000000"/>
                <w:spacing w:val="-2"/>
                <w:szCs w:val="21"/>
              </w:rPr>
              <w:t>□</w:t>
            </w:r>
            <w:r>
              <w:rPr>
                <w:rFonts w:eastAsia="方正仿宋_GBK"/>
                <w:color w:val="000000"/>
                <w:spacing w:val="-2"/>
                <w:szCs w:val="21"/>
              </w:rPr>
              <w:t xml:space="preserve"> 9.</w:t>
            </w:r>
            <w:r>
              <w:rPr>
                <w:rFonts w:hint="eastAsia" w:eastAsia="方正仿宋_GBK"/>
                <w:color w:val="000000"/>
                <w:spacing w:val="-2"/>
                <w:szCs w:val="21"/>
              </w:rPr>
              <w:t>示范区运营管理等后评估文件</w:t>
            </w:r>
          </w:p>
          <w:p>
            <w:pPr>
              <w:spacing w:line="580" w:lineRule="exact"/>
              <w:rPr>
                <w:rFonts w:eastAsia="方正仿宋_GBK"/>
                <w:color w:val="000000"/>
                <w:spacing w:val="-2"/>
                <w:szCs w:val="21"/>
              </w:rPr>
            </w:pPr>
            <w:r>
              <w:rPr>
                <w:rFonts w:hint="eastAsia" w:ascii="Times New Roman" w:hAnsi="Times New Roman"/>
                <w:color w:val="000000"/>
                <w:spacing w:val="-2"/>
                <w:szCs w:val="21"/>
              </w:rPr>
              <w:t xml:space="preserve">□ </w:t>
            </w:r>
            <w:r>
              <w:rPr>
                <w:rFonts w:eastAsia="方正仿宋_GBK"/>
                <w:color w:val="000000"/>
                <w:spacing w:val="-2"/>
                <w:szCs w:val="21"/>
              </w:rPr>
              <w:t>10.</w:t>
            </w:r>
            <w:r>
              <w:rPr>
                <w:rFonts w:hint="eastAsia" w:eastAsia="方正仿宋_GBK"/>
                <w:color w:val="000000"/>
                <w:spacing w:val="-2"/>
                <w:szCs w:val="21"/>
              </w:rPr>
              <w:t>其他相关资料</w:t>
            </w:r>
          </w:p>
        </w:tc>
      </w:tr>
    </w:tbl>
    <w:p>
      <w:pPr>
        <w:spacing w:line="200" w:lineRule="exact"/>
        <w:rPr>
          <w:rFonts w:hint="eastAsia"/>
          <w:color w:val="000000"/>
          <w:spacing w:val="-2"/>
        </w:rPr>
      </w:pPr>
    </w:p>
    <w:tbl>
      <w:tblPr>
        <w:tblStyle w:val="12"/>
        <w:tblW w:w="0" w:type="auto"/>
        <w:tblInd w:w="0" w:type="dxa"/>
        <w:tblLayout w:type="fixed"/>
        <w:tblCellMar>
          <w:top w:w="0" w:type="dxa"/>
          <w:left w:w="108" w:type="dxa"/>
          <w:bottom w:w="0" w:type="dxa"/>
          <w:right w:w="108" w:type="dxa"/>
        </w:tblCellMar>
      </w:tblPr>
      <w:tblGrid>
        <w:gridCol w:w="1040"/>
        <w:gridCol w:w="1100"/>
        <w:gridCol w:w="680"/>
        <w:gridCol w:w="4080"/>
        <w:gridCol w:w="680"/>
        <w:gridCol w:w="781"/>
        <w:gridCol w:w="701"/>
      </w:tblGrid>
      <w:tr>
        <w:tblPrEx>
          <w:tblCellMar>
            <w:top w:w="0" w:type="dxa"/>
            <w:left w:w="108" w:type="dxa"/>
            <w:bottom w:w="0" w:type="dxa"/>
            <w:right w:w="108" w:type="dxa"/>
          </w:tblCellMar>
        </w:tblPrEx>
        <w:trPr>
          <w:trHeight w:val="319" w:hRule="atLeast"/>
        </w:trPr>
        <w:tc>
          <w:tcPr>
            <w:tcW w:w="9062" w:type="dxa"/>
            <w:gridSpan w:val="7"/>
            <w:tcBorders>
              <w:top w:val="single" w:color="auto" w:sz="8" w:space="0"/>
              <w:left w:val="single" w:color="auto" w:sz="8" w:space="0"/>
              <w:bottom w:val="single" w:color="auto" w:sz="4" w:space="0"/>
              <w:right w:val="single" w:color="auto" w:sz="8" w:space="0"/>
            </w:tcBorders>
            <w:noWrap w:val="0"/>
            <w:vAlign w:val="center"/>
          </w:tcPr>
          <w:p>
            <w:pPr>
              <w:spacing w:line="240" w:lineRule="exact"/>
              <w:rPr>
                <w:rFonts w:ascii="Times New Roman" w:eastAsia="方正黑体_GBK"/>
                <w:bCs/>
                <w:color w:val="000000"/>
                <w:spacing w:val="-2"/>
                <w:szCs w:val="21"/>
              </w:rPr>
            </w:pPr>
            <w:r>
              <w:rPr>
                <w:rFonts w:hint="eastAsia" w:ascii="Times New Roman" w:eastAsia="方正黑体_GBK"/>
                <w:bCs/>
                <w:color w:val="000000"/>
                <w:spacing w:val="-2"/>
                <w:szCs w:val="21"/>
              </w:rPr>
              <w:t>五、验收评估表</w:t>
            </w:r>
          </w:p>
        </w:tc>
      </w:tr>
      <w:tr>
        <w:tblPrEx>
          <w:tblCellMar>
            <w:top w:w="0" w:type="dxa"/>
            <w:left w:w="108" w:type="dxa"/>
            <w:bottom w:w="0" w:type="dxa"/>
            <w:right w:w="108" w:type="dxa"/>
          </w:tblCellMar>
        </w:tblPrEx>
        <w:trPr>
          <w:trHeight w:val="319" w:hRule="atLeast"/>
        </w:trPr>
        <w:tc>
          <w:tcPr>
            <w:tcW w:w="1040" w:type="dxa"/>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rPr>
                <w:rFonts w:eastAsia="方正仿宋_GBK"/>
                <w:bCs/>
                <w:color w:val="000000"/>
                <w:spacing w:val="-2"/>
                <w:szCs w:val="21"/>
              </w:rPr>
            </w:pPr>
            <w:r>
              <w:rPr>
                <w:rFonts w:hint="eastAsia" w:eastAsia="方正仿宋_GBK"/>
                <w:bCs/>
                <w:color w:val="000000"/>
                <w:spacing w:val="-2"/>
                <w:szCs w:val="21"/>
              </w:rPr>
              <w:t>分类</w:t>
            </w:r>
          </w:p>
        </w:tc>
        <w:tc>
          <w:tcPr>
            <w:tcW w:w="1100"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eastAsia="方正仿宋_GBK"/>
                <w:bCs/>
                <w:color w:val="000000"/>
                <w:spacing w:val="-2"/>
                <w:szCs w:val="21"/>
              </w:rPr>
            </w:pPr>
            <w:r>
              <w:rPr>
                <w:rFonts w:hint="eastAsia" w:eastAsia="方正仿宋_GBK"/>
                <w:bCs/>
                <w:color w:val="000000"/>
                <w:spacing w:val="-2"/>
                <w:szCs w:val="21"/>
              </w:rPr>
              <w:t>评分方法</w:t>
            </w:r>
          </w:p>
        </w:tc>
        <w:tc>
          <w:tcPr>
            <w:tcW w:w="680" w:type="dxa"/>
            <w:tcBorders>
              <w:top w:val="single" w:color="auto" w:sz="4" w:space="0"/>
              <w:left w:val="nil"/>
              <w:bottom w:val="nil"/>
              <w:right w:val="single" w:color="auto" w:sz="4" w:space="0"/>
            </w:tcBorders>
            <w:noWrap w:val="0"/>
            <w:vAlign w:val="center"/>
          </w:tcPr>
          <w:p>
            <w:pPr>
              <w:spacing w:line="240" w:lineRule="exact"/>
              <w:jc w:val="center"/>
              <w:rPr>
                <w:rFonts w:eastAsia="方正仿宋_GBK"/>
                <w:bCs/>
                <w:color w:val="000000"/>
                <w:spacing w:val="-2"/>
                <w:szCs w:val="21"/>
              </w:rPr>
            </w:pPr>
            <w:r>
              <w:rPr>
                <w:rFonts w:hint="eastAsia" w:eastAsia="方正仿宋_GBK"/>
                <w:bCs/>
                <w:color w:val="000000"/>
                <w:spacing w:val="-2"/>
                <w:szCs w:val="21"/>
              </w:rPr>
              <w:t>分值</w:t>
            </w:r>
          </w:p>
        </w:tc>
        <w:tc>
          <w:tcPr>
            <w:tcW w:w="4760" w:type="dxa"/>
            <w:gridSpan w:val="2"/>
            <w:tcBorders>
              <w:top w:val="single" w:color="auto" w:sz="4" w:space="0"/>
              <w:left w:val="nil"/>
              <w:bottom w:val="single" w:color="auto" w:sz="4" w:space="0"/>
              <w:right w:val="single" w:color="000000" w:sz="4" w:space="0"/>
            </w:tcBorders>
            <w:noWrap w:val="0"/>
            <w:vAlign w:val="center"/>
          </w:tcPr>
          <w:p>
            <w:pPr>
              <w:spacing w:line="240" w:lineRule="exact"/>
              <w:jc w:val="center"/>
              <w:rPr>
                <w:rFonts w:eastAsia="方正仿宋_GBK"/>
                <w:bCs/>
                <w:color w:val="000000"/>
                <w:spacing w:val="-2"/>
                <w:szCs w:val="21"/>
              </w:rPr>
            </w:pPr>
            <w:r>
              <w:rPr>
                <w:rFonts w:hint="eastAsia" w:eastAsia="方正仿宋_GBK"/>
                <w:bCs/>
                <w:color w:val="000000"/>
                <w:spacing w:val="-2"/>
                <w:szCs w:val="21"/>
              </w:rPr>
              <w:t>评分标准</w:t>
            </w:r>
          </w:p>
        </w:tc>
        <w:tc>
          <w:tcPr>
            <w:tcW w:w="781"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eastAsia="方正仿宋_GBK"/>
                <w:bCs/>
                <w:color w:val="000000"/>
                <w:spacing w:val="-2"/>
                <w:szCs w:val="21"/>
              </w:rPr>
            </w:pPr>
            <w:r>
              <w:rPr>
                <w:rFonts w:hint="eastAsia" w:eastAsia="方正仿宋_GBK"/>
                <w:bCs/>
                <w:color w:val="000000"/>
                <w:spacing w:val="-2"/>
                <w:szCs w:val="21"/>
              </w:rPr>
              <w:t>得分</w:t>
            </w:r>
          </w:p>
        </w:tc>
        <w:tc>
          <w:tcPr>
            <w:tcW w:w="701"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eastAsia="方正仿宋_GBK"/>
                <w:bCs/>
                <w:color w:val="000000"/>
                <w:spacing w:val="-2"/>
                <w:szCs w:val="21"/>
              </w:rPr>
            </w:pPr>
            <w:r>
              <w:rPr>
                <w:rFonts w:hint="eastAsia" w:eastAsia="方正仿宋_GBK"/>
                <w:bCs/>
                <w:color w:val="000000"/>
                <w:spacing w:val="-2"/>
                <w:szCs w:val="21"/>
              </w:rPr>
              <w:t>备注</w:t>
            </w:r>
          </w:p>
        </w:tc>
      </w:tr>
      <w:tr>
        <w:tblPrEx>
          <w:tblCellMar>
            <w:top w:w="0" w:type="dxa"/>
            <w:left w:w="108" w:type="dxa"/>
            <w:bottom w:w="0" w:type="dxa"/>
            <w:right w:w="108" w:type="dxa"/>
          </w:tblCellMar>
        </w:tblPrEx>
        <w:trPr>
          <w:trHeight w:val="319" w:hRule="atLeast"/>
        </w:trPr>
        <w:tc>
          <w:tcPr>
            <w:tcW w:w="1040" w:type="dxa"/>
            <w:vMerge w:val="restart"/>
            <w:tcBorders>
              <w:top w:val="nil"/>
              <w:left w:val="single" w:color="auto" w:sz="8" w:space="0"/>
              <w:bottom w:val="single" w:color="000000" w:sz="4" w:space="0"/>
              <w:right w:val="single" w:color="auto" w:sz="4" w:space="0"/>
            </w:tcBorders>
            <w:noWrap w:val="0"/>
            <w:vAlign w:val="center"/>
          </w:tcPr>
          <w:p>
            <w:pPr>
              <w:spacing w:line="240" w:lineRule="exact"/>
              <w:jc w:val="center"/>
              <w:rPr>
                <w:rFonts w:eastAsia="方正仿宋_GBK"/>
                <w:color w:val="000000"/>
                <w:spacing w:val="-2"/>
                <w:szCs w:val="21"/>
              </w:rPr>
            </w:pPr>
            <w:r>
              <w:rPr>
                <w:rFonts w:hint="eastAsia" w:eastAsia="方正仿宋_GBK"/>
                <w:color w:val="000000"/>
                <w:spacing w:val="-2"/>
                <w:szCs w:val="21"/>
              </w:rPr>
              <w:t>专项规划编制及批准实施情况</w:t>
            </w:r>
          </w:p>
        </w:tc>
        <w:tc>
          <w:tcPr>
            <w:tcW w:w="1100" w:type="dxa"/>
            <w:vMerge w:val="restart"/>
            <w:tcBorders>
              <w:top w:val="nil"/>
              <w:left w:val="single" w:color="auto" w:sz="4" w:space="0"/>
              <w:bottom w:val="single" w:color="000000" w:sz="4" w:space="0"/>
              <w:right w:val="nil"/>
            </w:tcBorders>
            <w:noWrap w:val="0"/>
            <w:vAlign w:val="center"/>
          </w:tcPr>
          <w:p>
            <w:pPr>
              <w:spacing w:line="240" w:lineRule="exact"/>
              <w:jc w:val="center"/>
              <w:rPr>
                <w:rFonts w:eastAsia="方正仿宋_GBK"/>
                <w:color w:val="000000"/>
                <w:spacing w:val="-2"/>
                <w:szCs w:val="21"/>
              </w:rPr>
            </w:pPr>
            <w:r>
              <w:rPr>
                <w:rFonts w:hint="eastAsia" w:eastAsia="方正仿宋_GBK"/>
                <w:color w:val="000000"/>
                <w:spacing w:val="-2"/>
                <w:szCs w:val="21"/>
              </w:rPr>
              <w:t>查看专项规划及相关证明材料</w:t>
            </w:r>
          </w:p>
        </w:tc>
        <w:tc>
          <w:tcPr>
            <w:tcW w:w="680"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15</w:t>
            </w:r>
          </w:p>
        </w:tc>
        <w:tc>
          <w:tcPr>
            <w:tcW w:w="4080"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制定区域能源供应规划并通过评审</w:t>
            </w:r>
          </w:p>
        </w:tc>
        <w:tc>
          <w:tcPr>
            <w:tcW w:w="680" w:type="dxa"/>
            <w:tcBorders>
              <w:top w:val="nil"/>
              <w:left w:val="nil"/>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6</w:t>
            </w:r>
          </w:p>
        </w:tc>
        <w:tc>
          <w:tcPr>
            <w:tcW w:w="781"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c>
          <w:tcPr>
            <w:tcW w:w="701" w:type="dxa"/>
            <w:tcBorders>
              <w:top w:val="nil"/>
              <w:left w:val="nil"/>
              <w:bottom w:val="single" w:color="auto" w:sz="4" w:space="0"/>
              <w:right w:val="single" w:color="auto" w:sz="8"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r>
      <w:tr>
        <w:tblPrEx>
          <w:tblCellMar>
            <w:top w:w="0" w:type="dxa"/>
            <w:left w:w="108" w:type="dxa"/>
            <w:bottom w:w="0" w:type="dxa"/>
            <w:right w:w="108" w:type="dxa"/>
          </w:tblCellMar>
        </w:tblPrEx>
        <w:trPr>
          <w:trHeight w:val="319" w:hRule="atLeast"/>
        </w:trPr>
        <w:tc>
          <w:tcPr>
            <w:tcW w:w="1040" w:type="dxa"/>
            <w:vMerge w:val="continue"/>
            <w:tcBorders>
              <w:top w:val="nil"/>
              <w:left w:val="single" w:color="auto" w:sz="8" w:space="0"/>
              <w:bottom w:val="single" w:color="000000" w:sz="4" w:space="0"/>
              <w:right w:val="single" w:color="auto" w:sz="4" w:space="0"/>
            </w:tcBorders>
            <w:noWrap w:val="0"/>
            <w:vAlign w:val="center"/>
          </w:tcPr>
          <w:p>
            <w:pPr>
              <w:widowControl/>
              <w:jc w:val="left"/>
              <w:rPr>
                <w:rFonts w:eastAsia="方正仿宋_GBK"/>
                <w:color w:val="000000"/>
                <w:spacing w:val="-2"/>
                <w:szCs w:val="21"/>
              </w:rPr>
            </w:pPr>
          </w:p>
        </w:tc>
        <w:tc>
          <w:tcPr>
            <w:tcW w:w="1100" w:type="dxa"/>
            <w:vMerge w:val="continue"/>
            <w:tcBorders>
              <w:top w:val="nil"/>
              <w:left w:val="single" w:color="auto" w:sz="4" w:space="0"/>
              <w:bottom w:val="single" w:color="000000" w:sz="4" w:space="0"/>
              <w:right w:val="nil"/>
            </w:tcBorders>
            <w:noWrap w:val="0"/>
            <w:vAlign w:val="center"/>
          </w:tcPr>
          <w:p>
            <w:pPr>
              <w:widowControl/>
              <w:jc w:val="left"/>
              <w:rPr>
                <w:rFonts w:eastAsia="方正仿宋_GBK"/>
                <w:color w:val="000000"/>
                <w:spacing w:val="-2"/>
                <w:szCs w:val="21"/>
              </w:rPr>
            </w:pPr>
          </w:p>
        </w:tc>
        <w:tc>
          <w:tcPr>
            <w:tcW w:w="68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4080"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制定区域能源供应规划并批准实施</w:t>
            </w:r>
          </w:p>
        </w:tc>
        <w:tc>
          <w:tcPr>
            <w:tcW w:w="680" w:type="dxa"/>
            <w:tcBorders>
              <w:top w:val="nil"/>
              <w:left w:val="nil"/>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3</w:t>
            </w:r>
          </w:p>
        </w:tc>
        <w:tc>
          <w:tcPr>
            <w:tcW w:w="781"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c>
          <w:tcPr>
            <w:tcW w:w="701" w:type="dxa"/>
            <w:tcBorders>
              <w:top w:val="nil"/>
              <w:left w:val="nil"/>
              <w:bottom w:val="single" w:color="auto" w:sz="4" w:space="0"/>
              <w:right w:val="single" w:color="auto" w:sz="8"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r>
      <w:tr>
        <w:tblPrEx>
          <w:tblCellMar>
            <w:top w:w="0" w:type="dxa"/>
            <w:left w:w="108" w:type="dxa"/>
            <w:bottom w:w="0" w:type="dxa"/>
            <w:right w:w="108" w:type="dxa"/>
          </w:tblCellMar>
        </w:tblPrEx>
        <w:trPr>
          <w:trHeight w:val="371" w:hRule="atLeast"/>
        </w:trPr>
        <w:tc>
          <w:tcPr>
            <w:tcW w:w="1040" w:type="dxa"/>
            <w:vMerge w:val="continue"/>
            <w:tcBorders>
              <w:top w:val="nil"/>
              <w:left w:val="single" w:color="auto" w:sz="8" w:space="0"/>
              <w:bottom w:val="single" w:color="000000" w:sz="4" w:space="0"/>
              <w:right w:val="single" w:color="auto" w:sz="4" w:space="0"/>
            </w:tcBorders>
            <w:noWrap w:val="0"/>
            <w:vAlign w:val="center"/>
          </w:tcPr>
          <w:p>
            <w:pPr>
              <w:widowControl/>
              <w:jc w:val="left"/>
              <w:rPr>
                <w:rFonts w:eastAsia="方正仿宋_GBK"/>
                <w:color w:val="000000"/>
                <w:spacing w:val="-2"/>
                <w:szCs w:val="21"/>
              </w:rPr>
            </w:pPr>
          </w:p>
        </w:tc>
        <w:tc>
          <w:tcPr>
            <w:tcW w:w="1100" w:type="dxa"/>
            <w:vMerge w:val="continue"/>
            <w:tcBorders>
              <w:top w:val="nil"/>
              <w:left w:val="single" w:color="auto" w:sz="4" w:space="0"/>
              <w:bottom w:val="single" w:color="000000" w:sz="4" w:space="0"/>
              <w:right w:val="nil"/>
            </w:tcBorders>
            <w:noWrap w:val="0"/>
            <w:vAlign w:val="center"/>
          </w:tcPr>
          <w:p>
            <w:pPr>
              <w:widowControl/>
              <w:jc w:val="left"/>
              <w:rPr>
                <w:rFonts w:eastAsia="方正仿宋_GBK"/>
                <w:color w:val="000000"/>
                <w:spacing w:val="-2"/>
                <w:szCs w:val="21"/>
              </w:rPr>
            </w:pPr>
          </w:p>
        </w:tc>
        <w:tc>
          <w:tcPr>
            <w:tcW w:w="68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4080"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制定水资源综合利用、绿色交通等绿色生态专项规划</w:t>
            </w:r>
            <w:r>
              <w:rPr>
                <w:rFonts w:eastAsia="方正仿宋_GBK"/>
                <w:color w:val="000000"/>
                <w:spacing w:val="-2"/>
                <w:szCs w:val="21"/>
              </w:rPr>
              <w:t>2</w:t>
            </w:r>
            <w:r>
              <w:rPr>
                <w:rFonts w:hint="eastAsia" w:eastAsia="方正仿宋_GBK"/>
                <w:color w:val="000000"/>
                <w:spacing w:val="-2"/>
                <w:szCs w:val="21"/>
              </w:rPr>
              <w:t>项并通过评审</w:t>
            </w:r>
          </w:p>
        </w:tc>
        <w:tc>
          <w:tcPr>
            <w:tcW w:w="680" w:type="dxa"/>
            <w:tcBorders>
              <w:top w:val="nil"/>
              <w:left w:val="nil"/>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2</w:t>
            </w:r>
          </w:p>
        </w:tc>
        <w:tc>
          <w:tcPr>
            <w:tcW w:w="781"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c>
          <w:tcPr>
            <w:tcW w:w="701" w:type="dxa"/>
            <w:tcBorders>
              <w:top w:val="nil"/>
              <w:left w:val="nil"/>
              <w:bottom w:val="single" w:color="auto" w:sz="4" w:space="0"/>
              <w:right w:val="single" w:color="auto" w:sz="8"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r>
      <w:tr>
        <w:tblPrEx>
          <w:tblCellMar>
            <w:top w:w="0" w:type="dxa"/>
            <w:left w:w="108" w:type="dxa"/>
            <w:bottom w:w="0" w:type="dxa"/>
            <w:right w:w="108" w:type="dxa"/>
          </w:tblCellMar>
        </w:tblPrEx>
        <w:trPr>
          <w:trHeight w:val="600" w:hRule="atLeast"/>
        </w:trPr>
        <w:tc>
          <w:tcPr>
            <w:tcW w:w="1040" w:type="dxa"/>
            <w:vMerge w:val="continue"/>
            <w:tcBorders>
              <w:top w:val="nil"/>
              <w:left w:val="single" w:color="auto" w:sz="8" w:space="0"/>
              <w:bottom w:val="single" w:color="000000" w:sz="4" w:space="0"/>
              <w:right w:val="single" w:color="auto" w:sz="4" w:space="0"/>
            </w:tcBorders>
            <w:noWrap w:val="0"/>
            <w:vAlign w:val="center"/>
          </w:tcPr>
          <w:p>
            <w:pPr>
              <w:widowControl/>
              <w:jc w:val="left"/>
              <w:rPr>
                <w:rFonts w:eastAsia="方正仿宋_GBK"/>
                <w:color w:val="000000"/>
                <w:spacing w:val="-2"/>
                <w:szCs w:val="21"/>
              </w:rPr>
            </w:pPr>
          </w:p>
        </w:tc>
        <w:tc>
          <w:tcPr>
            <w:tcW w:w="1100" w:type="dxa"/>
            <w:vMerge w:val="continue"/>
            <w:tcBorders>
              <w:top w:val="nil"/>
              <w:left w:val="single" w:color="auto" w:sz="4" w:space="0"/>
              <w:bottom w:val="single" w:color="000000" w:sz="4" w:space="0"/>
              <w:right w:val="nil"/>
            </w:tcBorders>
            <w:noWrap w:val="0"/>
            <w:vAlign w:val="center"/>
          </w:tcPr>
          <w:p>
            <w:pPr>
              <w:widowControl/>
              <w:jc w:val="left"/>
              <w:rPr>
                <w:rFonts w:eastAsia="方正仿宋_GBK"/>
                <w:color w:val="000000"/>
                <w:spacing w:val="-2"/>
                <w:szCs w:val="21"/>
              </w:rPr>
            </w:pPr>
          </w:p>
        </w:tc>
        <w:tc>
          <w:tcPr>
            <w:tcW w:w="68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4080"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制定水资源综合利用、绿色交通等绿色生态专项规划</w:t>
            </w:r>
            <w:r>
              <w:rPr>
                <w:rFonts w:eastAsia="方正仿宋_GBK"/>
                <w:color w:val="000000"/>
                <w:spacing w:val="-2"/>
                <w:szCs w:val="21"/>
              </w:rPr>
              <w:t>2</w:t>
            </w:r>
            <w:r>
              <w:rPr>
                <w:rFonts w:hint="eastAsia" w:eastAsia="方正仿宋_GBK"/>
                <w:color w:val="000000"/>
                <w:spacing w:val="-2"/>
                <w:szCs w:val="21"/>
              </w:rPr>
              <w:t>项并批准实施</w:t>
            </w:r>
          </w:p>
        </w:tc>
        <w:tc>
          <w:tcPr>
            <w:tcW w:w="680" w:type="dxa"/>
            <w:tcBorders>
              <w:top w:val="nil"/>
              <w:left w:val="nil"/>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1</w:t>
            </w:r>
          </w:p>
        </w:tc>
        <w:tc>
          <w:tcPr>
            <w:tcW w:w="781"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c>
          <w:tcPr>
            <w:tcW w:w="701" w:type="dxa"/>
            <w:tcBorders>
              <w:top w:val="nil"/>
              <w:left w:val="nil"/>
              <w:bottom w:val="single" w:color="auto" w:sz="4" w:space="0"/>
              <w:right w:val="single" w:color="auto" w:sz="8"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r>
      <w:tr>
        <w:tblPrEx>
          <w:tblCellMar>
            <w:top w:w="0" w:type="dxa"/>
            <w:left w:w="108" w:type="dxa"/>
            <w:bottom w:w="0" w:type="dxa"/>
            <w:right w:w="108" w:type="dxa"/>
          </w:tblCellMar>
        </w:tblPrEx>
        <w:trPr>
          <w:trHeight w:val="319" w:hRule="atLeast"/>
        </w:trPr>
        <w:tc>
          <w:tcPr>
            <w:tcW w:w="1040" w:type="dxa"/>
            <w:vMerge w:val="continue"/>
            <w:tcBorders>
              <w:top w:val="nil"/>
              <w:left w:val="single" w:color="auto" w:sz="8" w:space="0"/>
              <w:bottom w:val="single" w:color="000000" w:sz="4" w:space="0"/>
              <w:right w:val="single" w:color="auto" w:sz="4" w:space="0"/>
            </w:tcBorders>
            <w:noWrap w:val="0"/>
            <w:vAlign w:val="center"/>
          </w:tcPr>
          <w:p>
            <w:pPr>
              <w:widowControl/>
              <w:jc w:val="left"/>
              <w:rPr>
                <w:rFonts w:eastAsia="方正仿宋_GBK"/>
                <w:color w:val="000000"/>
                <w:spacing w:val="-2"/>
                <w:szCs w:val="21"/>
              </w:rPr>
            </w:pPr>
          </w:p>
        </w:tc>
        <w:tc>
          <w:tcPr>
            <w:tcW w:w="1100" w:type="dxa"/>
            <w:vMerge w:val="continue"/>
            <w:tcBorders>
              <w:top w:val="nil"/>
              <w:left w:val="single" w:color="auto" w:sz="4" w:space="0"/>
              <w:bottom w:val="single" w:color="000000" w:sz="4" w:space="0"/>
              <w:right w:val="nil"/>
            </w:tcBorders>
            <w:noWrap w:val="0"/>
            <w:vAlign w:val="center"/>
          </w:tcPr>
          <w:p>
            <w:pPr>
              <w:widowControl/>
              <w:jc w:val="left"/>
              <w:rPr>
                <w:rFonts w:eastAsia="方正仿宋_GBK"/>
                <w:color w:val="000000"/>
                <w:spacing w:val="-2"/>
                <w:szCs w:val="21"/>
              </w:rPr>
            </w:pPr>
          </w:p>
        </w:tc>
        <w:tc>
          <w:tcPr>
            <w:tcW w:w="68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4080"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制定其它绿色生态专项规划并通过评审</w:t>
            </w:r>
          </w:p>
        </w:tc>
        <w:tc>
          <w:tcPr>
            <w:tcW w:w="680" w:type="dxa"/>
            <w:tcBorders>
              <w:top w:val="nil"/>
              <w:left w:val="nil"/>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2</w:t>
            </w:r>
          </w:p>
        </w:tc>
        <w:tc>
          <w:tcPr>
            <w:tcW w:w="781"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c>
          <w:tcPr>
            <w:tcW w:w="701" w:type="dxa"/>
            <w:tcBorders>
              <w:top w:val="nil"/>
              <w:left w:val="nil"/>
              <w:bottom w:val="single" w:color="auto" w:sz="4" w:space="0"/>
              <w:right w:val="single" w:color="auto" w:sz="8"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r>
      <w:tr>
        <w:tblPrEx>
          <w:tblCellMar>
            <w:top w:w="0" w:type="dxa"/>
            <w:left w:w="108" w:type="dxa"/>
            <w:bottom w:w="0" w:type="dxa"/>
            <w:right w:w="108" w:type="dxa"/>
          </w:tblCellMar>
        </w:tblPrEx>
        <w:trPr>
          <w:trHeight w:val="319" w:hRule="atLeast"/>
        </w:trPr>
        <w:tc>
          <w:tcPr>
            <w:tcW w:w="1040" w:type="dxa"/>
            <w:vMerge w:val="continue"/>
            <w:tcBorders>
              <w:top w:val="nil"/>
              <w:left w:val="single" w:color="auto" w:sz="8" w:space="0"/>
              <w:bottom w:val="single" w:color="000000" w:sz="4" w:space="0"/>
              <w:right w:val="single" w:color="auto" w:sz="4" w:space="0"/>
            </w:tcBorders>
            <w:noWrap w:val="0"/>
            <w:vAlign w:val="center"/>
          </w:tcPr>
          <w:p>
            <w:pPr>
              <w:widowControl/>
              <w:jc w:val="left"/>
              <w:rPr>
                <w:rFonts w:eastAsia="方正仿宋_GBK"/>
                <w:color w:val="000000"/>
                <w:spacing w:val="-2"/>
                <w:szCs w:val="21"/>
              </w:rPr>
            </w:pPr>
          </w:p>
        </w:tc>
        <w:tc>
          <w:tcPr>
            <w:tcW w:w="1100" w:type="dxa"/>
            <w:vMerge w:val="continue"/>
            <w:tcBorders>
              <w:top w:val="nil"/>
              <w:left w:val="single" w:color="auto" w:sz="4" w:space="0"/>
              <w:bottom w:val="single" w:color="000000" w:sz="4" w:space="0"/>
              <w:right w:val="nil"/>
            </w:tcBorders>
            <w:noWrap w:val="0"/>
            <w:vAlign w:val="center"/>
          </w:tcPr>
          <w:p>
            <w:pPr>
              <w:widowControl/>
              <w:jc w:val="left"/>
              <w:rPr>
                <w:rFonts w:eastAsia="方正仿宋_GBK"/>
                <w:color w:val="000000"/>
                <w:spacing w:val="-2"/>
                <w:szCs w:val="21"/>
              </w:rPr>
            </w:pPr>
          </w:p>
        </w:tc>
        <w:tc>
          <w:tcPr>
            <w:tcW w:w="68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4080"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制定其它绿色生态专项规划并批准实施</w:t>
            </w:r>
          </w:p>
        </w:tc>
        <w:tc>
          <w:tcPr>
            <w:tcW w:w="680" w:type="dxa"/>
            <w:tcBorders>
              <w:top w:val="nil"/>
              <w:left w:val="nil"/>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1</w:t>
            </w:r>
          </w:p>
        </w:tc>
        <w:tc>
          <w:tcPr>
            <w:tcW w:w="781"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c>
          <w:tcPr>
            <w:tcW w:w="701" w:type="dxa"/>
            <w:tcBorders>
              <w:top w:val="nil"/>
              <w:left w:val="nil"/>
              <w:bottom w:val="single" w:color="auto" w:sz="4" w:space="0"/>
              <w:right w:val="single" w:color="auto" w:sz="8"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r>
      <w:tr>
        <w:tblPrEx>
          <w:tblCellMar>
            <w:top w:w="0" w:type="dxa"/>
            <w:left w:w="108" w:type="dxa"/>
            <w:bottom w:w="0" w:type="dxa"/>
            <w:right w:w="108" w:type="dxa"/>
          </w:tblCellMar>
        </w:tblPrEx>
        <w:trPr>
          <w:trHeight w:val="319" w:hRule="atLeast"/>
        </w:trPr>
        <w:tc>
          <w:tcPr>
            <w:tcW w:w="1040" w:type="dxa"/>
            <w:vMerge w:val="restart"/>
            <w:tcBorders>
              <w:top w:val="nil"/>
              <w:left w:val="single" w:color="auto" w:sz="8" w:space="0"/>
              <w:bottom w:val="single" w:color="000000" w:sz="4" w:space="0"/>
              <w:right w:val="single" w:color="auto" w:sz="4" w:space="0"/>
            </w:tcBorders>
            <w:noWrap w:val="0"/>
            <w:vAlign w:val="center"/>
          </w:tcPr>
          <w:p>
            <w:pPr>
              <w:spacing w:line="240" w:lineRule="exact"/>
              <w:jc w:val="center"/>
              <w:rPr>
                <w:rFonts w:eastAsia="方正仿宋_GBK"/>
                <w:color w:val="000000"/>
                <w:spacing w:val="-2"/>
                <w:szCs w:val="21"/>
              </w:rPr>
            </w:pPr>
            <w:r>
              <w:rPr>
                <w:rFonts w:hint="eastAsia" w:eastAsia="方正仿宋_GBK"/>
                <w:color w:val="000000"/>
                <w:spacing w:val="-2"/>
                <w:szCs w:val="21"/>
              </w:rPr>
              <w:t>建筑节能和绿色建筑示范目标完成情况</w:t>
            </w:r>
          </w:p>
        </w:tc>
        <w:tc>
          <w:tcPr>
            <w:tcW w:w="1100" w:type="dxa"/>
            <w:vMerge w:val="restart"/>
            <w:tcBorders>
              <w:top w:val="nil"/>
              <w:left w:val="single" w:color="auto" w:sz="4" w:space="0"/>
              <w:bottom w:val="single" w:color="000000" w:sz="4" w:space="0"/>
              <w:right w:val="single" w:color="auto" w:sz="4" w:space="0"/>
            </w:tcBorders>
            <w:noWrap w:val="0"/>
            <w:vAlign w:val="center"/>
          </w:tcPr>
          <w:p>
            <w:pPr>
              <w:spacing w:line="240" w:lineRule="exact"/>
              <w:jc w:val="center"/>
              <w:rPr>
                <w:rFonts w:eastAsia="方正仿宋_GBK"/>
                <w:color w:val="000000"/>
                <w:spacing w:val="-2"/>
                <w:szCs w:val="21"/>
              </w:rPr>
            </w:pPr>
            <w:r>
              <w:rPr>
                <w:rFonts w:hint="eastAsia" w:eastAsia="方正仿宋_GBK"/>
                <w:color w:val="000000"/>
                <w:spacing w:val="-2"/>
                <w:szCs w:val="21"/>
              </w:rPr>
              <w:t>查看示范项目验收材料</w:t>
            </w:r>
          </w:p>
        </w:tc>
        <w:tc>
          <w:tcPr>
            <w:tcW w:w="680" w:type="dxa"/>
            <w:vMerge w:val="restart"/>
            <w:tcBorders>
              <w:top w:val="nil"/>
              <w:left w:val="single" w:color="auto" w:sz="4" w:space="0"/>
              <w:bottom w:val="single" w:color="000000"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30</w:t>
            </w:r>
          </w:p>
        </w:tc>
        <w:tc>
          <w:tcPr>
            <w:tcW w:w="4080"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三年新开工项目完成示范目标</w:t>
            </w:r>
          </w:p>
        </w:tc>
        <w:tc>
          <w:tcPr>
            <w:tcW w:w="680" w:type="dxa"/>
            <w:tcBorders>
              <w:top w:val="nil"/>
              <w:left w:val="nil"/>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6</w:t>
            </w:r>
          </w:p>
        </w:tc>
        <w:tc>
          <w:tcPr>
            <w:tcW w:w="781"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c>
          <w:tcPr>
            <w:tcW w:w="701" w:type="dxa"/>
            <w:tcBorders>
              <w:top w:val="nil"/>
              <w:left w:val="nil"/>
              <w:bottom w:val="single" w:color="auto" w:sz="4" w:space="0"/>
              <w:right w:val="single" w:color="auto" w:sz="8"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r>
      <w:tr>
        <w:tblPrEx>
          <w:tblCellMar>
            <w:top w:w="0" w:type="dxa"/>
            <w:left w:w="108" w:type="dxa"/>
            <w:bottom w:w="0" w:type="dxa"/>
            <w:right w:w="108" w:type="dxa"/>
          </w:tblCellMar>
        </w:tblPrEx>
        <w:trPr>
          <w:trHeight w:val="319" w:hRule="atLeast"/>
        </w:trPr>
        <w:tc>
          <w:tcPr>
            <w:tcW w:w="1040" w:type="dxa"/>
            <w:vMerge w:val="continue"/>
            <w:tcBorders>
              <w:top w:val="nil"/>
              <w:left w:val="single" w:color="auto" w:sz="8" w:space="0"/>
              <w:bottom w:val="single" w:color="000000" w:sz="4" w:space="0"/>
              <w:right w:val="single" w:color="auto" w:sz="4" w:space="0"/>
            </w:tcBorders>
            <w:noWrap w:val="0"/>
            <w:vAlign w:val="center"/>
          </w:tcPr>
          <w:p>
            <w:pPr>
              <w:widowControl/>
              <w:jc w:val="left"/>
              <w:rPr>
                <w:rFonts w:eastAsia="方正仿宋_GBK"/>
                <w:color w:val="000000"/>
                <w:spacing w:val="-2"/>
                <w:szCs w:val="21"/>
              </w:rPr>
            </w:pPr>
          </w:p>
        </w:tc>
        <w:tc>
          <w:tcPr>
            <w:tcW w:w="110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szCs w:val="21"/>
              </w:rPr>
            </w:pPr>
          </w:p>
        </w:tc>
        <w:tc>
          <w:tcPr>
            <w:tcW w:w="6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szCs w:val="21"/>
              </w:rPr>
            </w:pPr>
          </w:p>
        </w:tc>
        <w:tc>
          <w:tcPr>
            <w:tcW w:w="4080"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6"/>
                <w:szCs w:val="21"/>
              </w:rPr>
            </w:pPr>
            <w:r>
              <w:rPr>
                <w:rFonts w:hint="eastAsia" w:eastAsia="方正仿宋_GBK"/>
                <w:color w:val="000000"/>
                <w:spacing w:val="-6"/>
                <w:szCs w:val="21"/>
              </w:rPr>
              <w:t>三年新开工项目超额完成示范目标</w:t>
            </w:r>
            <w:r>
              <w:rPr>
                <w:rFonts w:eastAsia="方正仿宋_GBK"/>
                <w:color w:val="000000"/>
                <w:spacing w:val="-6"/>
                <w:szCs w:val="21"/>
              </w:rPr>
              <w:t>5%</w:t>
            </w:r>
            <w:r>
              <w:rPr>
                <w:rFonts w:hint="eastAsia" w:eastAsia="方正仿宋_GBK"/>
                <w:color w:val="000000"/>
                <w:spacing w:val="-6"/>
                <w:szCs w:val="21"/>
              </w:rPr>
              <w:t>及以上</w:t>
            </w:r>
          </w:p>
        </w:tc>
        <w:tc>
          <w:tcPr>
            <w:tcW w:w="680" w:type="dxa"/>
            <w:tcBorders>
              <w:top w:val="nil"/>
              <w:left w:val="nil"/>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1</w:t>
            </w:r>
          </w:p>
        </w:tc>
        <w:tc>
          <w:tcPr>
            <w:tcW w:w="781"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c>
          <w:tcPr>
            <w:tcW w:w="701" w:type="dxa"/>
            <w:tcBorders>
              <w:top w:val="nil"/>
              <w:left w:val="nil"/>
              <w:bottom w:val="single" w:color="auto" w:sz="4" w:space="0"/>
              <w:right w:val="single" w:color="auto" w:sz="8"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r>
      <w:tr>
        <w:tblPrEx>
          <w:tblCellMar>
            <w:top w:w="0" w:type="dxa"/>
            <w:left w:w="108" w:type="dxa"/>
            <w:bottom w:w="0" w:type="dxa"/>
            <w:right w:w="108" w:type="dxa"/>
          </w:tblCellMar>
        </w:tblPrEx>
        <w:trPr>
          <w:trHeight w:val="319" w:hRule="atLeast"/>
        </w:trPr>
        <w:tc>
          <w:tcPr>
            <w:tcW w:w="1040" w:type="dxa"/>
            <w:vMerge w:val="continue"/>
            <w:tcBorders>
              <w:top w:val="nil"/>
              <w:left w:val="single" w:color="auto" w:sz="8" w:space="0"/>
              <w:bottom w:val="single" w:color="000000" w:sz="4" w:space="0"/>
              <w:right w:val="single" w:color="auto" w:sz="4" w:space="0"/>
            </w:tcBorders>
            <w:noWrap w:val="0"/>
            <w:vAlign w:val="center"/>
          </w:tcPr>
          <w:p>
            <w:pPr>
              <w:widowControl/>
              <w:jc w:val="left"/>
              <w:rPr>
                <w:rFonts w:eastAsia="方正仿宋_GBK"/>
                <w:color w:val="000000"/>
                <w:spacing w:val="-2"/>
                <w:szCs w:val="21"/>
              </w:rPr>
            </w:pPr>
          </w:p>
        </w:tc>
        <w:tc>
          <w:tcPr>
            <w:tcW w:w="110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szCs w:val="21"/>
              </w:rPr>
            </w:pPr>
          </w:p>
        </w:tc>
        <w:tc>
          <w:tcPr>
            <w:tcW w:w="6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szCs w:val="21"/>
              </w:rPr>
            </w:pPr>
          </w:p>
        </w:tc>
        <w:tc>
          <w:tcPr>
            <w:tcW w:w="4080"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建成示范项目完成示范目标</w:t>
            </w:r>
          </w:p>
        </w:tc>
        <w:tc>
          <w:tcPr>
            <w:tcW w:w="680" w:type="dxa"/>
            <w:tcBorders>
              <w:top w:val="nil"/>
              <w:left w:val="nil"/>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6</w:t>
            </w:r>
          </w:p>
        </w:tc>
        <w:tc>
          <w:tcPr>
            <w:tcW w:w="781"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c>
          <w:tcPr>
            <w:tcW w:w="701" w:type="dxa"/>
            <w:tcBorders>
              <w:top w:val="nil"/>
              <w:left w:val="nil"/>
              <w:bottom w:val="single" w:color="auto" w:sz="4" w:space="0"/>
              <w:right w:val="single" w:color="auto" w:sz="8"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r>
      <w:tr>
        <w:tblPrEx>
          <w:tblCellMar>
            <w:top w:w="0" w:type="dxa"/>
            <w:left w:w="108" w:type="dxa"/>
            <w:bottom w:w="0" w:type="dxa"/>
            <w:right w:w="108" w:type="dxa"/>
          </w:tblCellMar>
        </w:tblPrEx>
        <w:trPr>
          <w:trHeight w:val="319" w:hRule="atLeast"/>
        </w:trPr>
        <w:tc>
          <w:tcPr>
            <w:tcW w:w="1040" w:type="dxa"/>
            <w:vMerge w:val="continue"/>
            <w:tcBorders>
              <w:top w:val="nil"/>
              <w:left w:val="single" w:color="auto" w:sz="8" w:space="0"/>
              <w:bottom w:val="single" w:color="000000" w:sz="4" w:space="0"/>
              <w:right w:val="single" w:color="auto" w:sz="4" w:space="0"/>
            </w:tcBorders>
            <w:noWrap w:val="0"/>
            <w:vAlign w:val="center"/>
          </w:tcPr>
          <w:p>
            <w:pPr>
              <w:widowControl/>
              <w:jc w:val="left"/>
              <w:rPr>
                <w:rFonts w:eastAsia="方正仿宋_GBK"/>
                <w:color w:val="000000"/>
                <w:spacing w:val="-2"/>
                <w:szCs w:val="21"/>
              </w:rPr>
            </w:pPr>
          </w:p>
        </w:tc>
        <w:tc>
          <w:tcPr>
            <w:tcW w:w="110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szCs w:val="21"/>
              </w:rPr>
            </w:pPr>
          </w:p>
        </w:tc>
        <w:tc>
          <w:tcPr>
            <w:tcW w:w="6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szCs w:val="21"/>
              </w:rPr>
            </w:pPr>
          </w:p>
        </w:tc>
        <w:tc>
          <w:tcPr>
            <w:tcW w:w="4080"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建成示范项目超额完成示范目标</w:t>
            </w:r>
            <w:r>
              <w:rPr>
                <w:rFonts w:eastAsia="方正仿宋_GBK"/>
                <w:color w:val="000000"/>
                <w:spacing w:val="-2"/>
                <w:szCs w:val="21"/>
              </w:rPr>
              <w:t>5%</w:t>
            </w:r>
            <w:r>
              <w:rPr>
                <w:rFonts w:hint="eastAsia" w:eastAsia="方正仿宋_GBK"/>
                <w:color w:val="000000"/>
                <w:spacing w:val="-2"/>
                <w:szCs w:val="21"/>
              </w:rPr>
              <w:t>及以上</w:t>
            </w:r>
          </w:p>
        </w:tc>
        <w:tc>
          <w:tcPr>
            <w:tcW w:w="680" w:type="dxa"/>
            <w:tcBorders>
              <w:top w:val="nil"/>
              <w:left w:val="nil"/>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1</w:t>
            </w:r>
          </w:p>
        </w:tc>
        <w:tc>
          <w:tcPr>
            <w:tcW w:w="781"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c>
          <w:tcPr>
            <w:tcW w:w="701" w:type="dxa"/>
            <w:tcBorders>
              <w:top w:val="nil"/>
              <w:left w:val="nil"/>
              <w:bottom w:val="single" w:color="auto" w:sz="4" w:space="0"/>
              <w:right w:val="single" w:color="auto" w:sz="8"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r>
      <w:tr>
        <w:tblPrEx>
          <w:tblCellMar>
            <w:top w:w="0" w:type="dxa"/>
            <w:left w:w="108" w:type="dxa"/>
            <w:bottom w:w="0" w:type="dxa"/>
            <w:right w:w="108" w:type="dxa"/>
          </w:tblCellMar>
        </w:tblPrEx>
        <w:trPr>
          <w:trHeight w:val="319" w:hRule="atLeast"/>
        </w:trPr>
        <w:tc>
          <w:tcPr>
            <w:tcW w:w="1040" w:type="dxa"/>
            <w:vMerge w:val="continue"/>
            <w:tcBorders>
              <w:top w:val="nil"/>
              <w:left w:val="single" w:color="auto" w:sz="8" w:space="0"/>
              <w:bottom w:val="single" w:color="000000" w:sz="4" w:space="0"/>
              <w:right w:val="single" w:color="auto" w:sz="4" w:space="0"/>
            </w:tcBorders>
            <w:noWrap w:val="0"/>
            <w:vAlign w:val="center"/>
          </w:tcPr>
          <w:p>
            <w:pPr>
              <w:widowControl/>
              <w:jc w:val="left"/>
              <w:rPr>
                <w:rFonts w:eastAsia="方正仿宋_GBK"/>
                <w:color w:val="000000"/>
                <w:spacing w:val="-2"/>
                <w:szCs w:val="21"/>
              </w:rPr>
            </w:pPr>
          </w:p>
        </w:tc>
        <w:tc>
          <w:tcPr>
            <w:tcW w:w="110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szCs w:val="21"/>
              </w:rPr>
            </w:pPr>
          </w:p>
        </w:tc>
        <w:tc>
          <w:tcPr>
            <w:tcW w:w="6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szCs w:val="21"/>
              </w:rPr>
            </w:pPr>
          </w:p>
        </w:tc>
        <w:tc>
          <w:tcPr>
            <w:tcW w:w="4080"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可再生能源建筑应用项目面积比例完成示范目标</w:t>
            </w:r>
          </w:p>
        </w:tc>
        <w:tc>
          <w:tcPr>
            <w:tcW w:w="680" w:type="dxa"/>
            <w:tcBorders>
              <w:top w:val="nil"/>
              <w:left w:val="nil"/>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5</w:t>
            </w:r>
          </w:p>
        </w:tc>
        <w:tc>
          <w:tcPr>
            <w:tcW w:w="781" w:type="dxa"/>
            <w:tcBorders>
              <w:top w:val="nil"/>
              <w:left w:val="nil"/>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hint="eastAsia" w:eastAsia="方正仿宋_GBK"/>
                <w:color w:val="000000"/>
                <w:spacing w:val="-2"/>
                <w:szCs w:val="21"/>
              </w:rPr>
              <w:t>　</w:t>
            </w:r>
          </w:p>
        </w:tc>
        <w:tc>
          <w:tcPr>
            <w:tcW w:w="701" w:type="dxa"/>
            <w:tcBorders>
              <w:top w:val="nil"/>
              <w:left w:val="nil"/>
              <w:bottom w:val="single" w:color="auto" w:sz="4" w:space="0"/>
              <w:right w:val="single" w:color="auto" w:sz="8" w:space="0"/>
            </w:tcBorders>
            <w:noWrap w:val="0"/>
            <w:vAlign w:val="center"/>
          </w:tcPr>
          <w:p>
            <w:pPr>
              <w:spacing w:line="240" w:lineRule="exact"/>
              <w:jc w:val="center"/>
              <w:rPr>
                <w:rFonts w:eastAsia="方正仿宋_GBK"/>
                <w:color w:val="000000"/>
                <w:spacing w:val="-2"/>
                <w:szCs w:val="21"/>
              </w:rPr>
            </w:pPr>
            <w:r>
              <w:rPr>
                <w:rFonts w:hint="eastAsia" w:eastAsia="方正仿宋_GBK"/>
                <w:color w:val="000000"/>
                <w:spacing w:val="-2"/>
                <w:szCs w:val="21"/>
              </w:rPr>
              <w:t>　</w:t>
            </w:r>
          </w:p>
        </w:tc>
      </w:tr>
      <w:tr>
        <w:tblPrEx>
          <w:tblCellMar>
            <w:top w:w="0" w:type="dxa"/>
            <w:left w:w="108" w:type="dxa"/>
            <w:bottom w:w="0" w:type="dxa"/>
            <w:right w:w="108" w:type="dxa"/>
          </w:tblCellMar>
        </w:tblPrEx>
        <w:trPr>
          <w:trHeight w:val="319" w:hRule="atLeast"/>
        </w:trPr>
        <w:tc>
          <w:tcPr>
            <w:tcW w:w="1040" w:type="dxa"/>
            <w:vMerge w:val="continue"/>
            <w:tcBorders>
              <w:top w:val="nil"/>
              <w:left w:val="single" w:color="auto" w:sz="8" w:space="0"/>
              <w:bottom w:val="single" w:color="000000" w:sz="4" w:space="0"/>
              <w:right w:val="single" w:color="auto" w:sz="4" w:space="0"/>
            </w:tcBorders>
            <w:noWrap w:val="0"/>
            <w:vAlign w:val="center"/>
          </w:tcPr>
          <w:p>
            <w:pPr>
              <w:widowControl/>
              <w:jc w:val="left"/>
              <w:rPr>
                <w:rFonts w:eastAsia="方正仿宋_GBK"/>
                <w:color w:val="000000"/>
                <w:spacing w:val="-2"/>
                <w:szCs w:val="21"/>
              </w:rPr>
            </w:pPr>
          </w:p>
        </w:tc>
        <w:tc>
          <w:tcPr>
            <w:tcW w:w="110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szCs w:val="21"/>
              </w:rPr>
            </w:pPr>
          </w:p>
        </w:tc>
        <w:tc>
          <w:tcPr>
            <w:tcW w:w="6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szCs w:val="21"/>
              </w:rPr>
            </w:pPr>
          </w:p>
        </w:tc>
        <w:tc>
          <w:tcPr>
            <w:tcW w:w="4080"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绿色建筑项目面积比例完成示范目标</w:t>
            </w:r>
          </w:p>
        </w:tc>
        <w:tc>
          <w:tcPr>
            <w:tcW w:w="680" w:type="dxa"/>
            <w:tcBorders>
              <w:top w:val="nil"/>
              <w:left w:val="nil"/>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5</w:t>
            </w:r>
          </w:p>
        </w:tc>
        <w:tc>
          <w:tcPr>
            <w:tcW w:w="781" w:type="dxa"/>
            <w:tcBorders>
              <w:top w:val="nil"/>
              <w:left w:val="nil"/>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hint="eastAsia" w:eastAsia="方正仿宋_GBK"/>
                <w:color w:val="000000"/>
                <w:spacing w:val="-2"/>
                <w:szCs w:val="21"/>
              </w:rPr>
              <w:t>　</w:t>
            </w:r>
          </w:p>
        </w:tc>
        <w:tc>
          <w:tcPr>
            <w:tcW w:w="701" w:type="dxa"/>
            <w:tcBorders>
              <w:top w:val="nil"/>
              <w:left w:val="nil"/>
              <w:bottom w:val="single" w:color="auto" w:sz="4" w:space="0"/>
              <w:right w:val="single" w:color="auto" w:sz="8" w:space="0"/>
            </w:tcBorders>
            <w:noWrap w:val="0"/>
            <w:vAlign w:val="center"/>
          </w:tcPr>
          <w:p>
            <w:pPr>
              <w:spacing w:line="240" w:lineRule="exact"/>
              <w:jc w:val="center"/>
              <w:rPr>
                <w:rFonts w:eastAsia="方正仿宋_GBK"/>
                <w:color w:val="000000"/>
                <w:spacing w:val="-2"/>
                <w:szCs w:val="21"/>
              </w:rPr>
            </w:pPr>
            <w:r>
              <w:rPr>
                <w:rFonts w:hint="eastAsia" w:eastAsia="方正仿宋_GBK"/>
                <w:color w:val="000000"/>
                <w:spacing w:val="-2"/>
                <w:szCs w:val="21"/>
              </w:rPr>
              <w:t>　</w:t>
            </w:r>
          </w:p>
        </w:tc>
      </w:tr>
      <w:tr>
        <w:tblPrEx>
          <w:tblCellMar>
            <w:top w:w="0" w:type="dxa"/>
            <w:left w:w="108" w:type="dxa"/>
            <w:bottom w:w="0" w:type="dxa"/>
            <w:right w:w="108" w:type="dxa"/>
          </w:tblCellMar>
        </w:tblPrEx>
        <w:trPr>
          <w:trHeight w:val="319" w:hRule="atLeast"/>
        </w:trPr>
        <w:tc>
          <w:tcPr>
            <w:tcW w:w="1040" w:type="dxa"/>
            <w:vMerge w:val="continue"/>
            <w:tcBorders>
              <w:top w:val="nil"/>
              <w:left w:val="single" w:color="auto" w:sz="8" w:space="0"/>
              <w:bottom w:val="single" w:color="000000" w:sz="4" w:space="0"/>
              <w:right w:val="single" w:color="auto" w:sz="4" w:space="0"/>
            </w:tcBorders>
            <w:noWrap w:val="0"/>
            <w:vAlign w:val="center"/>
          </w:tcPr>
          <w:p>
            <w:pPr>
              <w:widowControl/>
              <w:jc w:val="left"/>
              <w:rPr>
                <w:rFonts w:eastAsia="方正仿宋_GBK"/>
                <w:color w:val="000000"/>
                <w:spacing w:val="-2"/>
                <w:szCs w:val="21"/>
              </w:rPr>
            </w:pPr>
          </w:p>
        </w:tc>
        <w:tc>
          <w:tcPr>
            <w:tcW w:w="110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szCs w:val="21"/>
              </w:rPr>
            </w:pPr>
          </w:p>
        </w:tc>
        <w:tc>
          <w:tcPr>
            <w:tcW w:w="6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szCs w:val="21"/>
              </w:rPr>
            </w:pPr>
          </w:p>
        </w:tc>
        <w:tc>
          <w:tcPr>
            <w:tcW w:w="4080"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二星级及以上绿色建筑面积比例完成示范目标</w:t>
            </w:r>
          </w:p>
        </w:tc>
        <w:tc>
          <w:tcPr>
            <w:tcW w:w="680" w:type="dxa"/>
            <w:tcBorders>
              <w:top w:val="nil"/>
              <w:left w:val="nil"/>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5</w:t>
            </w:r>
          </w:p>
        </w:tc>
        <w:tc>
          <w:tcPr>
            <w:tcW w:w="781" w:type="dxa"/>
            <w:tcBorders>
              <w:top w:val="nil"/>
              <w:left w:val="nil"/>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hint="eastAsia" w:eastAsia="方正仿宋_GBK"/>
                <w:color w:val="000000"/>
                <w:spacing w:val="-2"/>
                <w:szCs w:val="21"/>
              </w:rPr>
              <w:t>　</w:t>
            </w:r>
          </w:p>
        </w:tc>
        <w:tc>
          <w:tcPr>
            <w:tcW w:w="701" w:type="dxa"/>
            <w:tcBorders>
              <w:top w:val="nil"/>
              <w:left w:val="nil"/>
              <w:bottom w:val="single" w:color="auto" w:sz="4" w:space="0"/>
              <w:right w:val="single" w:color="auto" w:sz="8" w:space="0"/>
            </w:tcBorders>
            <w:noWrap w:val="0"/>
            <w:vAlign w:val="center"/>
          </w:tcPr>
          <w:p>
            <w:pPr>
              <w:spacing w:line="240" w:lineRule="exact"/>
              <w:jc w:val="center"/>
              <w:rPr>
                <w:rFonts w:eastAsia="方正仿宋_GBK"/>
                <w:color w:val="000000"/>
                <w:spacing w:val="-2"/>
                <w:szCs w:val="21"/>
              </w:rPr>
            </w:pPr>
            <w:r>
              <w:rPr>
                <w:rFonts w:hint="eastAsia" w:eastAsia="方正仿宋_GBK"/>
                <w:color w:val="000000"/>
                <w:spacing w:val="-2"/>
                <w:szCs w:val="21"/>
              </w:rPr>
              <w:t>　</w:t>
            </w:r>
          </w:p>
        </w:tc>
      </w:tr>
      <w:tr>
        <w:tblPrEx>
          <w:tblCellMar>
            <w:top w:w="0" w:type="dxa"/>
            <w:left w:w="108" w:type="dxa"/>
            <w:bottom w:w="0" w:type="dxa"/>
            <w:right w:w="108" w:type="dxa"/>
          </w:tblCellMar>
        </w:tblPrEx>
        <w:trPr>
          <w:trHeight w:val="319" w:hRule="atLeast"/>
        </w:trPr>
        <w:tc>
          <w:tcPr>
            <w:tcW w:w="1040" w:type="dxa"/>
            <w:vMerge w:val="continue"/>
            <w:tcBorders>
              <w:top w:val="nil"/>
              <w:left w:val="single" w:color="auto" w:sz="8" w:space="0"/>
              <w:bottom w:val="single" w:color="000000" w:sz="4" w:space="0"/>
              <w:right w:val="single" w:color="auto" w:sz="4" w:space="0"/>
            </w:tcBorders>
            <w:noWrap w:val="0"/>
            <w:vAlign w:val="center"/>
          </w:tcPr>
          <w:p>
            <w:pPr>
              <w:widowControl/>
              <w:jc w:val="left"/>
              <w:rPr>
                <w:rFonts w:eastAsia="方正仿宋_GBK"/>
                <w:color w:val="000000"/>
                <w:spacing w:val="-2"/>
                <w:szCs w:val="21"/>
              </w:rPr>
            </w:pPr>
          </w:p>
        </w:tc>
        <w:tc>
          <w:tcPr>
            <w:tcW w:w="110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szCs w:val="21"/>
              </w:rPr>
            </w:pPr>
          </w:p>
        </w:tc>
        <w:tc>
          <w:tcPr>
            <w:tcW w:w="6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szCs w:val="21"/>
              </w:rPr>
            </w:pPr>
          </w:p>
        </w:tc>
        <w:tc>
          <w:tcPr>
            <w:tcW w:w="4080"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有三星绿色建筑评价标识项目</w:t>
            </w:r>
          </w:p>
        </w:tc>
        <w:tc>
          <w:tcPr>
            <w:tcW w:w="680" w:type="dxa"/>
            <w:tcBorders>
              <w:top w:val="nil"/>
              <w:left w:val="nil"/>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1</w:t>
            </w:r>
          </w:p>
        </w:tc>
        <w:tc>
          <w:tcPr>
            <w:tcW w:w="781" w:type="dxa"/>
            <w:tcBorders>
              <w:top w:val="nil"/>
              <w:left w:val="nil"/>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hint="eastAsia" w:eastAsia="方正仿宋_GBK"/>
                <w:color w:val="000000"/>
                <w:spacing w:val="-2"/>
                <w:szCs w:val="21"/>
              </w:rPr>
              <w:t>　</w:t>
            </w:r>
          </w:p>
        </w:tc>
        <w:tc>
          <w:tcPr>
            <w:tcW w:w="701" w:type="dxa"/>
            <w:tcBorders>
              <w:top w:val="nil"/>
              <w:left w:val="nil"/>
              <w:bottom w:val="single" w:color="auto" w:sz="4" w:space="0"/>
              <w:right w:val="single" w:color="auto" w:sz="8" w:space="0"/>
            </w:tcBorders>
            <w:noWrap w:val="0"/>
            <w:vAlign w:val="center"/>
          </w:tcPr>
          <w:p>
            <w:pPr>
              <w:spacing w:line="240" w:lineRule="exact"/>
              <w:jc w:val="center"/>
              <w:rPr>
                <w:rFonts w:eastAsia="方正仿宋_GBK"/>
                <w:color w:val="000000"/>
                <w:spacing w:val="-2"/>
                <w:szCs w:val="21"/>
              </w:rPr>
            </w:pPr>
            <w:r>
              <w:rPr>
                <w:rFonts w:hint="eastAsia" w:eastAsia="方正仿宋_GBK"/>
                <w:color w:val="000000"/>
                <w:spacing w:val="-2"/>
                <w:szCs w:val="21"/>
              </w:rPr>
              <w:t>　</w:t>
            </w:r>
          </w:p>
        </w:tc>
      </w:tr>
      <w:tr>
        <w:tblPrEx>
          <w:tblCellMar>
            <w:top w:w="0" w:type="dxa"/>
            <w:left w:w="108" w:type="dxa"/>
            <w:bottom w:w="0" w:type="dxa"/>
            <w:right w:w="108" w:type="dxa"/>
          </w:tblCellMar>
        </w:tblPrEx>
        <w:trPr>
          <w:trHeight w:val="319" w:hRule="atLeast"/>
        </w:trPr>
        <w:tc>
          <w:tcPr>
            <w:tcW w:w="1040" w:type="dxa"/>
            <w:vMerge w:val="restart"/>
            <w:tcBorders>
              <w:top w:val="nil"/>
              <w:left w:val="single" w:color="auto" w:sz="8" w:space="0"/>
              <w:bottom w:val="nil"/>
              <w:right w:val="single" w:color="auto" w:sz="4" w:space="0"/>
            </w:tcBorders>
            <w:noWrap w:val="0"/>
            <w:vAlign w:val="center"/>
          </w:tcPr>
          <w:p>
            <w:pPr>
              <w:spacing w:line="240" w:lineRule="exact"/>
              <w:jc w:val="center"/>
              <w:rPr>
                <w:rFonts w:eastAsia="方正仿宋_GBK"/>
                <w:color w:val="000000"/>
                <w:spacing w:val="-2"/>
                <w:szCs w:val="21"/>
              </w:rPr>
            </w:pPr>
            <w:r>
              <w:rPr>
                <w:rFonts w:hint="eastAsia" w:eastAsia="方正仿宋_GBK"/>
                <w:color w:val="000000"/>
                <w:spacing w:val="-2"/>
                <w:szCs w:val="21"/>
              </w:rPr>
              <w:t>节约型城乡建设工作完成情况</w:t>
            </w:r>
          </w:p>
        </w:tc>
        <w:tc>
          <w:tcPr>
            <w:tcW w:w="1100" w:type="dxa"/>
            <w:vMerge w:val="restart"/>
            <w:tcBorders>
              <w:top w:val="nil"/>
              <w:left w:val="single" w:color="auto" w:sz="4" w:space="0"/>
              <w:bottom w:val="nil"/>
              <w:right w:val="single" w:color="auto" w:sz="4" w:space="0"/>
            </w:tcBorders>
            <w:noWrap w:val="0"/>
            <w:vAlign w:val="center"/>
          </w:tcPr>
          <w:p>
            <w:pPr>
              <w:spacing w:line="240" w:lineRule="exact"/>
              <w:jc w:val="center"/>
              <w:rPr>
                <w:rFonts w:eastAsia="方正仿宋_GBK"/>
                <w:color w:val="000000"/>
                <w:spacing w:val="-2"/>
                <w:szCs w:val="21"/>
              </w:rPr>
            </w:pPr>
            <w:r>
              <w:rPr>
                <w:rFonts w:hint="eastAsia" w:eastAsia="方正仿宋_GBK"/>
                <w:color w:val="000000"/>
                <w:spacing w:val="-2"/>
                <w:szCs w:val="21"/>
              </w:rPr>
              <w:t>查看节约型城乡建设项目验收材料</w:t>
            </w:r>
          </w:p>
        </w:tc>
        <w:tc>
          <w:tcPr>
            <w:tcW w:w="680" w:type="dxa"/>
            <w:vMerge w:val="restart"/>
            <w:tcBorders>
              <w:top w:val="nil"/>
              <w:left w:val="single" w:color="auto" w:sz="4" w:space="0"/>
              <w:bottom w:val="single" w:color="000000"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20</w:t>
            </w:r>
          </w:p>
        </w:tc>
        <w:tc>
          <w:tcPr>
            <w:tcW w:w="4080"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城市空间复合利用</w:t>
            </w:r>
          </w:p>
        </w:tc>
        <w:tc>
          <w:tcPr>
            <w:tcW w:w="680" w:type="dxa"/>
            <w:tcBorders>
              <w:top w:val="nil"/>
              <w:left w:val="nil"/>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3</w:t>
            </w:r>
          </w:p>
        </w:tc>
        <w:tc>
          <w:tcPr>
            <w:tcW w:w="781"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c>
          <w:tcPr>
            <w:tcW w:w="701" w:type="dxa"/>
            <w:tcBorders>
              <w:top w:val="nil"/>
              <w:left w:val="nil"/>
              <w:bottom w:val="single" w:color="auto" w:sz="4" w:space="0"/>
              <w:right w:val="single" w:color="auto" w:sz="8"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r>
      <w:tr>
        <w:tblPrEx>
          <w:tblCellMar>
            <w:top w:w="0" w:type="dxa"/>
            <w:left w:w="108" w:type="dxa"/>
            <w:bottom w:w="0" w:type="dxa"/>
            <w:right w:w="108" w:type="dxa"/>
          </w:tblCellMar>
        </w:tblPrEx>
        <w:trPr>
          <w:trHeight w:val="319" w:hRule="atLeast"/>
        </w:trPr>
        <w:tc>
          <w:tcPr>
            <w:tcW w:w="1040" w:type="dxa"/>
            <w:vMerge w:val="continue"/>
            <w:tcBorders>
              <w:top w:val="nil"/>
              <w:left w:val="single" w:color="auto" w:sz="8" w:space="0"/>
              <w:bottom w:val="nil"/>
              <w:right w:val="single" w:color="auto" w:sz="4" w:space="0"/>
            </w:tcBorders>
            <w:noWrap w:val="0"/>
            <w:vAlign w:val="center"/>
          </w:tcPr>
          <w:p>
            <w:pPr>
              <w:widowControl/>
              <w:jc w:val="left"/>
              <w:rPr>
                <w:rFonts w:eastAsia="方正仿宋_GBK"/>
                <w:color w:val="000000"/>
                <w:spacing w:val="-2"/>
                <w:szCs w:val="21"/>
              </w:rPr>
            </w:pPr>
          </w:p>
        </w:tc>
        <w:tc>
          <w:tcPr>
            <w:tcW w:w="1100" w:type="dxa"/>
            <w:vMerge w:val="continue"/>
            <w:tcBorders>
              <w:top w:val="nil"/>
              <w:left w:val="single" w:color="auto" w:sz="4" w:space="0"/>
              <w:bottom w:val="nil"/>
              <w:right w:val="single" w:color="auto" w:sz="4" w:space="0"/>
            </w:tcBorders>
            <w:noWrap w:val="0"/>
            <w:vAlign w:val="center"/>
          </w:tcPr>
          <w:p>
            <w:pPr>
              <w:widowControl/>
              <w:jc w:val="left"/>
              <w:rPr>
                <w:rFonts w:eastAsia="方正仿宋_GBK"/>
                <w:color w:val="000000"/>
                <w:spacing w:val="-2"/>
                <w:szCs w:val="21"/>
              </w:rPr>
            </w:pPr>
          </w:p>
        </w:tc>
        <w:tc>
          <w:tcPr>
            <w:tcW w:w="6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szCs w:val="21"/>
              </w:rPr>
            </w:pPr>
          </w:p>
        </w:tc>
        <w:tc>
          <w:tcPr>
            <w:tcW w:w="4080"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绿色施工管理</w:t>
            </w:r>
          </w:p>
        </w:tc>
        <w:tc>
          <w:tcPr>
            <w:tcW w:w="680" w:type="dxa"/>
            <w:tcBorders>
              <w:top w:val="nil"/>
              <w:left w:val="nil"/>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3</w:t>
            </w:r>
          </w:p>
        </w:tc>
        <w:tc>
          <w:tcPr>
            <w:tcW w:w="781"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c>
          <w:tcPr>
            <w:tcW w:w="701" w:type="dxa"/>
            <w:tcBorders>
              <w:top w:val="nil"/>
              <w:left w:val="nil"/>
              <w:bottom w:val="single" w:color="auto" w:sz="4" w:space="0"/>
              <w:right w:val="single" w:color="auto" w:sz="8"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r>
      <w:tr>
        <w:tblPrEx>
          <w:tblCellMar>
            <w:top w:w="0" w:type="dxa"/>
            <w:left w:w="108" w:type="dxa"/>
            <w:bottom w:w="0" w:type="dxa"/>
            <w:right w:w="108" w:type="dxa"/>
          </w:tblCellMar>
        </w:tblPrEx>
        <w:trPr>
          <w:trHeight w:val="319" w:hRule="atLeast"/>
        </w:trPr>
        <w:tc>
          <w:tcPr>
            <w:tcW w:w="1040" w:type="dxa"/>
            <w:vMerge w:val="continue"/>
            <w:tcBorders>
              <w:top w:val="nil"/>
              <w:left w:val="single" w:color="auto" w:sz="8" w:space="0"/>
              <w:bottom w:val="nil"/>
              <w:right w:val="single" w:color="auto" w:sz="4" w:space="0"/>
            </w:tcBorders>
            <w:noWrap w:val="0"/>
            <w:vAlign w:val="center"/>
          </w:tcPr>
          <w:p>
            <w:pPr>
              <w:widowControl/>
              <w:jc w:val="left"/>
              <w:rPr>
                <w:rFonts w:eastAsia="方正仿宋_GBK"/>
                <w:color w:val="000000"/>
                <w:spacing w:val="-2"/>
                <w:szCs w:val="21"/>
              </w:rPr>
            </w:pPr>
          </w:p>
        </w:tc>
        <w:tc>
          <w:tcPr>
            <w:tcW w:w="1100" w:type="dxa"/>
            <w:vMerge w:val="continue"/>
            <w:tcBorders>
              <w:top w:val="nil"/>
              <w:left w:val="single" w:color="auto" w:sz="4" w:space="0"/>
              <w:bottom w:val="nil"/>
              <w:right w:val="single" w:color="auto" w:sz="4" w:space="0"/>
            </w:tcBorders>
            <w:noWrap w:val="0"/>
            <w:vAlign w:val="center"/>
          </w:tcPr>
          <w:p>
            <w:pPr>
              <w:widowControl/>
              <w:jc w:val="left"/>
              <w:rPr>
                <w:rFonts w:eastAsia="方正仿宋_GBK"/>
                <w:color w:val="000000"/>
                <w:spacing w:val="-2"/>
                <w:szCs w:val="21"/>
              </w:rPr>
            </w:pPr>
          </w:p>
        </w:tc>
        <w:tc>
          <w:tcPr>
            <w:tcW w:w="6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szCs w:val="21"/>
              </w:rPr>
            </w:pPr>
          </w:p>
        </w:tc>
        <w:tc>
          <w:tcPr>
            <w:tcW w:w="4080"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住宅全装修</w:t>
            </w:r>
          </w:p>
        </w:tc>
        <w:tc>
          <w:tcPr>
            <w:tcW w:w="680" w:type="dxa"/>
            <w:tcBorders>
              <w:top w:val="nil"/>
              <w:left w:val="nil"/>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2</w:t>
            </w:r>
          </w:p>
        </w:tc>
        <w:tc>
          <w:tcPr>
            <w:tcW w:w="781"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c>
          <w:tcPr>
            <w:tcW w:w="701" w:type="dxa"/>
            <w:tcBorders>
              <w:top w:val="nil"/>
              <w:left w:val="nil"/>
              <w:bottom w:val="single" w:color="auto" w:sz="4" w:space="0"/>
              <w:right w:val="single" w:color="auto" w:sz="8"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r>
      <w:tr>
        <w:tblPrEx>
          <w:tblCellMar>
            <w:top w:w="0" w:type="dxa"/>
            <w:left w:w="108" w:type="dxa"/>
            <w:bottom w:w="0" w:type="dxa"/>
            <w:right w:w="108" w:type="dxa"/>
          </w:tblCellMar>
        </w:tblPrEx>
        <w:trPr>
          <w:trHeight w:val="319" w:hRule="atLeast"/>
        </w:trPr>
        <w:tc>
          <w:tcPr>
            <w:tcW w:w="1040" w:type="dxa"/>
            <w:vMerge w:val="continue"/>
            <w:tcBorders>
              <w:top w:val="nil"/>
              <w:left w:val="single" w:color="auto" w:sz="8" w:space="0"/>
              <w:bottom w:val="nil"/>
              <w:right w:val="single" w:color="auto" w:sz="4" w:space="0"/>
            </w:tcBorders>
            <w:noWrap w:val="0"/>
            <w:vAlign w:val="center"/>
          </w:tcPr>
          <w:p>
            <w:pPr>
              <w:widowControl/>
              <w:jc w:val="left"/>
              <w:rPr>
                <w:rFonts w:eastAsia="方正仿宋_GBK"/>
                <w:color w:val="000000"/>
                <w:spacing w:val="-2"/>
                <w:szCs w:val="21"/>
              </w:rPr>
            </w:pPr>
          </w:p>
        </w:tc>
        <w:tc>
          <w:tcPr>
            <w:tcW w:w="1100" w:type="dxa"/>
            <w:vMerge w:val="continue"/>
            <w:tcBorders>
              <w:top w:val="nil"/>
              <w:left w:val="single" w:color="auto" w:sz="4" w:space="0"/>
              <w:bottom w:val="nil"/>
              <w:right w:val="single" w:color="auto" w:sz="4" w:space="0"/>
            </w:tcBorders>
            <w:noWrap w:val="0"/>
            <w:vAlign w:val="center"/>
          </w:tcPr>
          <w:p>
            <w:pPr>
              <w:widowControl/>
              <w:jc w:val="left"/>
              <w:rPr>
                <w:rFonts w:eastAsia="方正仿宋_GBK"/>
                <w:color w:val="000000"/>
                <w:spacing w:val="-2"/>
                <w:szCs w:val="21"/>
              </w:rPr>
            </w:pPr>
          </w:p>
        </w:tc>
        <w:tc>
          <w:tcPr>
            <w:tcW w:w="6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szCs w:val="21"/>
              </w:rPr>
            </w:pPr>
          </w:p>
        </w:tc>
        <w:tc>
          <w:tcPr>
            <w:tcW w:w="4080"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综合管廊建设</w:t>
            </w:r>
          </w:p>
        </w:tc>
        <w:tc>
          <w:tcPr>
            <w:tcW w:w="680" w:type="dxa"/>
            <w:tcBorders>
              <w:top w:val="nil"/>
              <w:left w:val="nil"/>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3</w:t>
            </w:r>
          </w:p>
        </w:tc>
        <w:tc>
          <w:tcPr>
            <w:tcW w:w="781"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c>
          <w:tcPr>
            <w:tcW w:w="701" w:type="dxa"/>
            <w:tcBorders>
              <w:top w:val="nil"/>
              <w:left w:val="nil"/>
              <w:bottom w:val="single" w:color="auto" w:sz="4" w:space="0"/>
              <w:right w:val="single" w:color="auto" w:sz="8"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r>
      <w:tr>
        <w:tblPrEx>
          <w:tblCellMar>
            <w:top w:w="0" w:type="dxa"/>
            <w:left w:w="108" w:type="dxa"/>
            <w:bottom w:w="0" w:type="dxa"/>
            <w:right w:w="108" w:type="dxa"/>
          </w:tblCellMar>
        </w:tblPrEx>
        <w:trPr>
          <w:trHeight w:val="319" w:hRule="atLeast"/>
        </w:trPr>
        <w:tc>
          <w:tcPr>
            <w:tcW w:w="1040" w:type="dxa"/>
            <w:vMerge w:val="continue"/>
            <w:tcBorders>
              <w:top w:val="nil"/>
              <w:left w:val="single" w:color="auto" w:sz="8" w:space="0"/>
              <w:bottom w:val="nil"/>
              <w:right w:val="single" w:color="auto" w:sz="4" w:space="0"/>
            </w:tcBorders>
            <w:noWrap w:val="0"/>
            <w:vAlign w:val="center"/>
          </w:tcPr>
          <w:p>
            <w:pPr>
              <w:widowControl/>
              <w:jc w:val="left"/>
              <w:rPr>
                <w:rFonts w:eastAsia="方正仿宋_GBK"/>
                <w:color w:val="000000"/>
                <w:spacing w:val="-2"/>
                <w:szCs w:val="21"/>
              </w:rPr>
            </w:pPr>
          </w:p>
        </w:tc>
        <w:tc>
          <w:tcPr>
            <w:tcW w:w="1100" w:type="dxa"/>
            <w:vMerge w:val="continue"/>
            <w:tcBorders>
              <w:top w:val="nil"/>
              <w:left w:val="single" w:color="auto" w:sz="4" w:space="0"/>
              <w:bottom w:val="nil"/>
              <w:right w:val="single" w:color="auto" w:sz="4" w:space="0"/>
            </w:tcBorders>
            <w:noWrap w:val="0"/>
            <w:vAlign w:val="center"/>
          </w:tcPr>
          <w:p>
            <w:pPr>
              <w:widowControl/>
              <w:jc w:val="left"/>
              <w:rPr>
                <w:rFonts w:eastAsia="方正仿宋_GBK"/>
                <w:color w:val="000000"/>
                <w:spacing w:val="-2"/>
                <w:szCs w:val="21"/>
              </w:rPr>
            </w:pPr>
          </w:p>
        </w:tc>
        <w:tc>
          <w:tcPr>
            <w:tcW w:w="6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szCs w:val="21"/>
              </w:rPr>
            </w:pPr>
          </w:p>
        </w:tc>
        <w:tc>
          <w:tcPr>
            <w:tcW w:w="4080"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城市绿色照明</w:t>
            </w:r>
          </w:p>
        </w:tc>
        <w:tc>
          <w:tcPr>
            <w:tcW w:w="680" w:type="dxa"/>
            <w:tcBorders>
              <w:top w:val="nil"/>
              <w:left w:val="nil"/>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3</w:t>
            </w:r>
          </w:p>
        </w:tc>
        <w:tc>
          <w:tcPr>
            <w:tcW w:w="781"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c>
          <w:tcPr>
            <w:tcW w:w="701" w:type="dxa"/>
            <w:tcBorders>
              <w:top w:val="nil"/>
              <w:left w:val="nil"/>
              <w:bottom w:val="single" w:color="auto" w:sz="4" w:space="0"/>
              <w:right w:val="single" w:color="auto" w:sz="8"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r>
      <w:tr>
        <w:tblPrEx>
          <w:tblCellMar>
            <w:top w:w="0" w:type="dxa"/>
            <w:left w:w="108" w:type="dxa"/>
            <w:bottom w:w="0" w:type="dxa"/>
            <w:right w:w="108" w:type="dxa"/>
          </w:tblCellMar>
        </w:tblPrEx>
        <w:trPr>
          <w:trHeight w:val="319" w:hRule="atLeast"/>
        </w:trPr>
        <w:tc>
          <w:tcPr>
            <w:tcW w:w="1040" w:type="dxa"/>
            <w:vMerge w:val="continue"/>
            <w:tcBorders>
              <w:top w:val="nil"/>
              <w:left w:val="single" w:color="auto" w:sz="8" w:space="0"/>
              <w:bottom w:val="nil"/>
              <w:right w:val="single" w:color="auto" w:sz="4" w:space="0"/>
            </w:tcBorders>
            <w:noWrap w:val="0"/>
            <w:vAlign w:val="center"/>
          </w:tcPr>
          <w:p>
            <w:pPr>
              <w:widowControl/>
              <w:jc w:val="left"/>
              <w:rPr>
                <w:rFonts w:eastAsia="方正仿宋_GBK"/>
                <w:color w:val="000000"/>
                <w:spacing w:val="-2"/>
                <w:szCs w:val="21"/>
              </w:rPr>
            </w:pPr>
          </w:p>
        </w:tc>
        <w:tc>
          <w:tcPr>
            <w:tcW w:w="1100" w:type="dxa"/>
            <w:vMerge w:val="continue"/>
            <w:tcBorders>
              <w:top w:val="nil"/>
              <w:left w:val="single" w:color="auto" w:sz="4" w:space="0"/>
              <w:bottom w:val="nil"/>
              <w:right w:val="single" w:color="auto" w:sz="4" w:space="0"/>
            </w:tcBorders>
            <w:noWrap w:val="0"/>
            <w:vAlign w:val="center"/>
          </w:tcPr>
          <w:p>
            <w:pPr>
              <w:widowControl/>
              <w:jc w:val="left"/>
              <w:rPr>
                <w:rFonts w:eastAsia="方正仿宋_GBK"/>
                <w:color w:val="000000"/>
                <w:spacing w:val="-2"/>
                <w:szCs w:val="21"/>
              </w:rPr>
            </w:pPr>
          </w:p>
        </w:tc>
        <w:tc>
          <w:tcPr>
            <w:tcW w:w="6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szCs w:val="21"/>
              </w:rPr>
            </w:pPr>
          </w:p>
        </w:tc>
        <w:tc>
          <w:tcPr>
            <w:tcW w:w="4080"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节水型城市建设</w:t>
            </w:r>
          </w:p>
        </w:tc>
        <w:tc>
          <w:tcPr>
            <w:tcW w:w="680" w:type="dxa"/>
            <w:tcBorders>
              <w:top w:val="nil"/>
              <w:left w:val="nil"/>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3</w:t>
            </w:r>
          </w:p>
        </w:tc>
        <w:tc>
          <w:tcPr>
            <w:tcW w:w="781"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c>
          <w:tcPr>
            <w:tcW w:w="701" w:type="dxa"/>
            <w:tcBorders>
              <w:top w:val="nil"/>
              <w:left w:val="nil"/>
              <w:bottom w:val="single" w:color="auto" w:sz="4" w:space="0"/>
              <w:right w:val="single" w:color="auto" w:sz="8"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r>
      <w:tr>
        <w:tblPrEx>
          <w:tblCellMar>
            <w:top w:w="0" w:type="dxa"/>
            <w:left w:w="108" w:type="dxa"/>
            <w:bottom w:w="0" w:type="dxa"/>
            <w:right w:w="108" w:type="dxa"/>
          </w:tblCellMar>
        </w:tblPrEx>
        <w:trPr>
          <w:trHeight w:val="319" w:hRule="atLeast"/>
        </w:trPr>
        <w:tc>
          <w:tcPr>
            <w:tcW w:w="1040" w:type="dxa"/>
            <w:vMerge w:val="continue"/>
            <w:tcBorders>
              <w:top w:val="nil"/>
              <w:left w:val="single" w:color="auto" w:sz="8" w:space="0"/>
              <w:bottom w:val="nil"/>
              <w:right w:val="single" w:color="auto" w:sz="4" w:space="0"/>
            </w:tcBorders>
            <w:noWrap w:val="0"/>
            <w:vAlign w:val="center"/>
          </w:tcPr>
          <w:p>
            <w:pPr>
              <w:widowControl/>
              <w:jc w:val="left"/>
              <w:rPr>
                <w:rFonts w:eastAsia="方正仿宋_GBK"/>
                <w:color w:val="000000"/>
                <w:spacing w:val="-2"/>
                <w:szCs w:val="21"/>
              </w:rPr>
            </w:pPr>
          </w:p>
        </w:tc>
        <w:tc>
          <w:tcPr>
            <w:tcW w:w="1100" w:type="dxa"/>
            <w:vMerge w:val="continue"/>
            <w:tcBorders>
              <w:top w:val="nil"/>
              <w:left w:val="single" w:color="auto" w:sz="4" w:space="0"/>
              <w:bottom w:val="nil"/>
              <w:right w:val="single" w:color="auto" w:sz="4" w:space="0"/>
            </w:tcBorders>
            <w:noWrap w:val="0"/>
            <w:vAlign w:val="center"/>
          </w:tcPr>
          <w:p>
            <w:pPr>
              <w:widowControl/>
              <w:jc w:val="left"/>
              <w:rPr>
                <w:rFonts w:eastAsia="方正仿宋_GBK"/>
                <w:color w:val="000000"/>
                <w:spacing w:val="-2"/>
                <w:szCs w:val="21"/>
              </w:rPr>
            </w:pPr>
          </w:p>
        </w:tc>
        <w:tc>
          <w:tcPr>
            <w:tcW w:w="6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szCs w:val="21"/>
              </w:rPr>
            </w:pPr>
          </w:p>
        </w:tc>
        <w:tc>
          <w:tcPr>
            <w:tcW w:w="4080"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城市垃圾资源化利用</w:t>
            </w:r>
          </w:p>
        </w:tc>
        <w:tc>
          <w:tcPr>
            <w:tcW w:w="680" w:type="dxa"/>
            <w:tcBorders>
              <w:top w:val="nil"/>
              <w:left w:val="nil"/>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3</w:t>
            </w:r>
          </w:p>
        </w:tc>
        <w:tc>
          <w:tcPr>
            <w:tcW w:w="781"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c>
          <w:tcPr>
            <w:tcW w:w="701" w:type="dxa"/>
            <w:tcBorders>
              <w:top w:val="nil"/>
              <w:left w:val="nil"/>
              <w:bottom w:val="single" w:color="auto" w:sz="4" w:space="0"/>
              <w:right w:val="single" w:color="auto" w:sz="8"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r>
      <w:tr>
        <w:tblPrEx>
          <w:tblCellMar>
            <w:top w:w="0" w:type="dxa"/>
            <w:left w:w="108" w:type="dxa"/>
            <w:bottom w:w="0" w:type="dxa"/>
            <w:right w:w="108" w:type="dxa"/>
          </w:tblCellMar>
        </w:tblPrEx>
        <w:trPr>
          <w:trHeight w:val="319" w:hRule="atLeast"/>
        </w:trPr>
        <w:tc>
          <w:tcPr>
            <w:tcW w:w="1040" w:type="dxa"/>
            <w:vMerge w:val="restart"/>
            <w:tcBorders>
              <w:top w:val="single" w:color="auto" w:sz="4" w:space="0"/>
              <w:left w:val="single" w:color="auto" w:sz="8" w:space="0"/>
              <w:bottom w:val="single" w:color="000000" w:sz="4" w:space="0"/>
              <w:right w:val="single" w:color="auto" w:sz="4" w:space="0"/>
            </w:tcBorders>
            <w:noWrap w:val="0"/>
            <w:vAlign w:val="center"/>
          </w:tcPr>
          <w:p>
            <w:pPr>
              <w:spacing w:line="240" w:lineRule="exact"/>
              <w:jc w:val="center"/>
              <w:rPr>
                <w:rFonts w:eastAsia="方正仿宋_GBK"/>
                <w:color w:val="000000"/>
                <w:spacing w:val="-2"/>
                <w:szCs w:val="21"/>
              </w:rPr>
            </w:pPr>
            <w:r>
              <w:rPr>
                <w:rFonts w:hint="eastAsia" w:eastAsia="方正仿宋_GBK"/>
                <w:color w:val="000000"/>
                <w:spacing w:val="-2"/>
                <w:szCs w:val="21"/>
              </w:rPr>
              <w:t>配套能力建设完成情况</w:t>
            </w:r>
          </w:p>
        </w:tc>
        <w:tc>
          <w:tcPr>
            <w:tcW w:w="1100" w:type="dxa"/>
            <w:vMerge w:val="restart"/>
            <w:tcBorders>
              <w:top w:val="single" w:color="auto" w:sz="4" w:space="0"/>
              <w:left w:val="single" w:color="auto" w:sz="4" w:space="0"/>
              <w:bottom w:val="single" w:color="000000" w:sz="4" w:space="0"/>
              <w:right w:val="single" w:color="auto" w:sz="4" w:space="0"/>
            </w:tcBorders>
            <w:noWrap w:val="0"/>
            <w:vAlign w:val="center"/>
          </w:tcPr>
          <w:p>
            <w:pPr>
              <w:spacing w:line="240" w:lineRule="exact"/>
              <w:jc w:val="center"/>
              <w:rPr>
                <w:rFonts w:eastAsia="方正仿宋_GBK"/>
                <w:color w:val="000000"/>
                <w:spacing w:val="-2"/>
                <w:szCs w:val="21"/>
              </w:rPr>
            </w:pPr>
            <w:r>
              <w:rPr>
                <w:rFonts w:hint="eastAsia" w:eastAsia="方正仿宋_GBK"/>
                <w:color w:val="000000"/>
                <w:spacing w:val="-2"/>
                <w:szCs w:val="21"/>
              </w:rPr>
              <w:t>查看配套能力建设相关材料</w:t>
            </w:r>
          </w:p>
        </w:tc>
        <w:tc>
          <w:tcPr>
            <w:tcW w:w="680" w:type="dxa"/>
            <w:vMerge w:val="restart"/>
            <w:tcBorders>
              <w:top w:val="nil"/>
              <w:left w:val="single" w:color="auto" w:sz="4" w:space="0"/>
              <w:bottom w:val="single" w:color="000000"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15</w:t>
            </w:r>
          </w:p>
        </w:tc>
        <w:tc>
          <w:tcPr>
            <w:tcW w:w="4080"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成立领导班子和工作小组并正式发文</w:t>
            </w:r>
          </w:p>
        </w:tc>
        <w:tc>
          <w:tcPr>
            <w:tcW w:w="680" w:type="dxa"/>
            <w:tcBorders>
              <w:top w:val="nil"/>
              <w:left w:val="nil"/>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5</w:t>
            </w:r>
          </w:p>
        </w:tc>
        <w:tc>
          <w:tcPr>
            <w:tcW w:w="781"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c>
          <w:tcPr>
            <w:tcW w:w="701" w:type="dxa"/>
            <w:tcBorders>
              <w:top w:val="nil"/>
              <w:left w:val="nil"/>
              <w:bottom w:val="single" w:color="auto" w:sz="4" w:space="0"/>
              <w:right w:val="single" w:color="auto" w:sz="8"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r>
      <w:tr>
        <w:tblPrEx>
          <w:tblCellMar>
            <w:top w:w="0" w:type="dxa"/>
            <w:left w:w="108" w:type="dxa"/>
            <w:bottom w:w="0" w:type="dxa"/>
            <w:right w:w="108" w:type="dxa"/>
          </w:tblCellMar>
        </w:tblPrEx>
        <w:trPr>
          <w:trHeight w:val="600" w:hRule="atLeast"/>
        </w:trPr>
        <w:tc>
          <w:tcPr>
            <w:tcW w:w="1040" w:type="dxa"/>
            <w:vMerge w:val="continue"/>
            <w:tcBorders>
              <w:top w:val="single" w:color="auto" w:sz="4" w:space="0"/>
              <w:left w:val="single" w:color="auto" w:sz="8" w:space="0"/>
              <w:bottom w:val="single" w:color="000000" w:sz="4" w:space="0"/>
              <w:right w:val="single" w:color="auto" w:sz="4" w:space="0"/>
            </w:tcBorders>
            <w:noWrap w:val="0"/>
            <w:vAlign w:val="center"/>
          </w:tcPr>
          <w:p>
            <w:pPr>
              <w:widowControl/>
              <w:jc w:val="left"/>
              <w:rPr>
                <w:rFonts w:eastAsia="方正仿宋_GBK"/>
                <w:color w:val="000000"/>
                <w:spacing w:val="-2"/>
                <w:szCs w:val="21"/>
              </w:rPr>
            </w:pPr>
          </w:p>
        </w:tc>
        <w:tc>
          <w:tcPr>
            <w:tcW w:w="1100" w:type="dxa"/>
            <w:vMerge w:val="continue"/>
            <w:tcBorders>
              <w:top w:val="single" w:color="auto" w:sz="4" w:space="0"/>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szCs w:val="21"/>
              </w:rPr>
            </w:pPr>
          </w:p>
        </w:tc>
        <w:tc>
          <w:tcPr>
            <w:tcW w:w="6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szCs w:val="21"/>
              </w:rPr>
            </w:pPr>
          </w:p>
        </w:tc>
        <w:tc>
          <w:tcPr>
            <w:tcW w:w="4080"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领导小组有序开展工作（提供会议纪要等文件</w:t>
            </w:r>
            <w:r>
              <w:rPr>
                <w:rFonts w:eastAsia="方正仿宋_GBK"/>
                <w:color w:val="000000"/>
                <w:spacing w:val="-2"/>
                <w:szCs w:val="21"/>
              </w:rPr>
              <w:t>3</w:t>
            </w:r>
            <w:r>
              <w:rPr>
                <w:rFonts w:hint="eastAsia" w:eastAsia="方正仿宋_GBK"/>
                <w:color w:val="000000"/>
                <w:spacing w:val="-2"/>
                <w:szCs w:val="21"/>
              </w:rPr>
              <w:t>份及以上）</w:t>
            </w:r>
          </w:p>
        </w:tc>
        <w:tc>
          <w:tcPr>
            <w:tcW w:w="680" w:type="dxa"/>
            <w:tcBorders>
              <w:top w:val="nil"/>
              <w:left w:val="nil"/>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4</w:t>
            </w:r>
          </w:p>
        </w:tc>
        <w:tc>
          <w:tcPr>
            <w:tcW w:w="781"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c>
          <w:tcPr>
            <w:tcW w:w="701" w:type="dxa"/>
            <w:tcBorders>
              <w:top w:val="nil"/>
              <w:left w:val="nil"/>
              <w:bottom w:val="single" w:color="auto" w:sz="4" w:space="0"/>
              <w:right w:val="single" w:color="auto" w:sz="8"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r>
      <w:tr>
        <w:tblPrEx>
          <w:tblCellMar>
            <w:top w:w="0" w:type="dxa"/>
            <w:left w:w="108" w:type="dxa"/>
            <w:bottom w:w="0" w:type="dxa"/>
            <w:right w:w="108" w:type="dxa"/>
          </w:tblCellMar>
        </w:tblPrEx>
        <w:trPr>
          <w:trHeight w:val="600" w:hRule="atLeast"/>
        </w:trPr>
        <w:tc>
          <w:tcPr>
            <w:tcW w:w="1040" w:type="dxa"/>
            <w:vMerge w:val="continue"/>
            <w:tcBorders>
              <w:top w:val="single" w:color="auto" w:sz="4" w:space="0"/>
              <w:left w:val="single" w:color="auto" w:sz="8" w:space="0"/>
              <w:bottom w:val="single" w:color="000000" w:sz="4" w:space="0"/>
              <w:right w:val="single" w:color="auto" w:sz="4" w:space="0"/>
            </w:tcBorders>
            <w:noWrap w:val="0"/>
            <w:vAlign w:val="center"/>
          </w:tcPr>
          <w:p>
            <w:pPr>
              <w:widowControl/>
              <w:jc w:val="left"/>
              <w:rPr>
                <w:rFonts w:eastAsia="方正仿宋_GBK"/>
                <w:color w:val="000000"/>
                <w:spacing w:val="-2"/>
                <w:szCs w:val="21"/>
              </w:rPr>
            </w:pPr>
          </w:p>
        </w:tc>
        <w:tc>
          <w:tcPr>
            <w:tcW w:w="1100" w:type="dxa"/>
            <w:vMerge w:val="continue"/>
            <w:tcBorders>
              <w:top w:val="single" w:color="auto" w:sz="4" w:space="0"/>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szCs w:val="21"/>
              </w:rPr>
            </w:pPr>
          </w:p>
        </w:tc>
        <w:tc>
          <w:tcPr>
            <w:tcW w:w="6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szCs w:val="21"/>
              </w:rPr>
            </w:pPr>
          </w:p>
        </w:tc>
        <w:tc>
          <w:tcPr>
            <w:tcW w:w="4080"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制定财政补助资金管理办法和项目管理办法并已备案</w:t>
            </w:r>
          </w:p>
        </w:tc>
        <w:tc>
          <w:tcPr>
            <w:tcW w:w="680" w:type="dxa"/>
            <w:tcBorders>
              <w:top w:val="nil"/>
              <w:left w:val="nil"/>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4</w:t>
            </w:r>
          </w:p>
        </w:tc>
        <w:tc>
          <w:tcPr>
            <w:tcW w:w="781"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c>
          <w:tcPr>
            <w:tcW w:w="701" w:type="dxa"/>
            <w:tcBorders>
              <w:top w:val="nil"/>
              <w:left w:val="nil"/>
              <w:bottom w:val="single" w:color="auto" w:sz="4" w:space="0"/>
              <w:right w:val="single" w:color="auto" w:sz="8"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r>
      <w:tr>
        <w:tblPrEx>
          <w:tblCellMar>
            <w:top w:w="0" w:type="dxa"/>
            <w:left w:w="108" w:type="dxa"/>
            <w:bottom w:w="0" w:type="dxa"/>
            <w:right w:w="108" w:type="dxa"/>
          </w:tblCellMar>
        </w:tblPrEx>
        <w:trPr>
          <w:trHeight w:val="319" w:hRule="atLeast"/>
        </w:trPr>
        <w:tc>
          <w:tcPr>
            <w:tcW w:w="1040" w:type="dxa"/>
            <w:vMerge w:val="continue"/>
            <w:tcBorders>
              <w:top w:val="single" w:color="auto" w:sz="4" w:space="0"/>
              <w:left w:val="single" w:color="auto" w:sz="8" w:space="0"/>
              <w:bottom w:val="single" w:color="000000" w:sz="4" w:space="0"/>
              <w:right w:val="single" w:color="auto" w:sz="4" w:space="0"/>
            </w:tcBorders>
            <w:noWrap w:val="0"/>
            <w:vAlign w:val="center"/>
          </w:tcPr>
          <w:p>
            <w:pPr>
              <w:widowControl/>
              <w:jc w:val="left"/>
              <w:rPr>
                <w:rFonts w:eastAsia="方正仿宋_GBK"/>
                <w:color w:val="000000"/>
                <w:spacing w:val="-2"/>
                <w:szCs w:val="21"/>
              </w:rPr>
            </w:pPr>
          </w:p>
        </w:tc>
        <w:tc>
          <w:tcPr>
            <w:tcW w:w="1100" w:type="dxa"/>
            <w:vMerge w:val="continue"/>
            <w:tcBorders>
              <w:top w:val="single" w:color="auto" w:sz="4" w:space="0"/>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szCs w:val="21"/>
              </w:rPr>
            </w:pPr>
          </w:p>
        </w:tc>
        <w:tc>
          <w:tcPr>
            <w:tcW w:w="6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szCs w:val="21"/>
              </w:rPr>
            </w:pPr>
          </w:p>
        </w:tc>
        <w:tc>
          <w:tcPr>
            <w:tcW w:w="4080"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有技术支撑单位提供技术支持</w:t>
            </w:r>
          </w:p>
        </w:tc>
        <w:tc>
          <w:tcPr>
            <w:tcW w:w="680" w:type="dxa"/>
            <w:tcBorders>
              <w:top w:val="nil"/>
              <w:left w:val="nil"/>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2</w:t>
            </w:r>
          </w:p>
        </w:tc>
        <w:tc>
          <w:tcPr>
            <w:tcW w:w="781"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c>
          <w:tcPr>
            <w:tcW w:w="701" w:type="dxa"/>
            <w:tcBorders>
              <w:top w:val="nil"/>
              <w:left w:val="nil"/>
              <w:bottom w:val="single" w:color="auto" w:sz="4" w:space="0"/>
              <w:right w:val="single" w:color="auto" w:sz="8"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r>
      <w:tr>
        <w:tblPrEx>
          <w:tblCellMar>
            <w:top w:w="0" w:type="dxa"/>
            <w:left w:w="108" w:type="dxa"/>
            <w:bottom w:w="0" w:type="dxa"/>
            <w:right w:w="108" w:type="dxa"/>
          </w:tblCellMar>
        </w:tblPrEx>
        <w:trPr>
          <w:trHeight w:val="319" w:hRule="atLeast"/>
        </w:trPr>
        <w:tc>
          <w:tcPr>
            <w:tcW w:w="1040" w:type="dxa"/>
            <w:vMerge w:val="restart"/>
            <w:tcBorders>
              <w:top w:val="nil"/>
              <w:left w:val="single" w:color="auto" w:sz="8" w:space="0"/>
              <w:bottom w:val="single" w:color="000000" w:sz="4" w:space="0"/>
              <w:right w:val="single" w:color="auto" w:sz="4" w:space="0"/>
            </w:tcBorders>
            <w:noWrap w:val="0"/>
            <w:vAlign w:val="center"/>
          </w:tcPr>
          <w:p>
            <w:pPr>
              <w:spacing w:line="240" w:lineRule="exact"/>
              <w:jc w:val="center"/>
              <w:rPr>
                <w:rFonts w:eastAsia="方正仿宋_GBK"/>
                <w:color w:val="000000"/>
                <w:spacing w:val="-2"/>
                <w:szCs w:val="21"/>
              </w:rPr>
            </w:pPr>
            <w:r>
              <w:rPr>
                <w:rFonts w:hint="eastAsia" w:eastAsia="方正仿宋_GBK"/>
                <w:color w:val="000000"/>
                <w:spacing w:val="-2"/>
                <w:szCs w:val="21"/>
              </w:rPr>
              <w:t>资金使用及管理情况</w:t>
            </w:r>
          </w:p>
        </w:tc>
        <w:tc>
          <w:tcPr>
            <w:tcW w:w="1100" w:type="dxa"/>
            <w:vMerge w:val="restart"/>
            <w:tcBorders>
              <w:top w:val="nil"/>
              <w:left w:val="single" w:color="auto" w:sz="4" w:space="0"/>
              <w:bottom w:val="single" w:color="000000" w:sz="4" w:space="0"/>
              <w:right w:val="single" w:color="auto" w:sz="4" w:space="0"/>
            </w:tcBorders>
            <w:noWrap w:val="0"/>
            <w:vAlign w:val="center"/>
          </w:tcPr>
          <w:p>
            <w:pPr>
              <w:spacing w:line="240" w:lineRule="exact"/>
              <w:jc w:val="center"/>
              <w:rPr>
                <w:rFonts w:eastAsia="方正仿宋_GBK"/>
                <w:color w:val="000000"/>
                <w:spacing w:val="-2"/>
                <w:szCs w:val="21"/>
              </w:rPr>
            </w:pPr>
            <w:r>
              <w:rPr>
                <w:rFonts w:hint="eastAsia" w:eastAsia="方正仿宋_GBK"/>
                <w:color w:val="000000"/>
                <w:spacing w:val="-2"/>
                <w:szCs w:val="21"/>
              </w:rPr>
              <w:t>查看资金使用管理情况报告</w:t>
            </w:r>
          </w:p>
        </w:tc>
        <w:tc>
          <w:tcPr>
            <w:tcW w:w="680" w:type="dxa"/>
            <w:vMerge w:val="restart"/>
            <w:tcBorders>
              <w:top w:val="nil"/>
              <w:left w:val="single" w:color="auto" w:sz="4" w:space="0"/>
              <w:bottom w:val="single" w:color="000000"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20</w:t>
            </w:r>
          </w:p>
        </w:tc>
        <w:tc>
          <w:tcPr>
            <w:tcW w:w="4080"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财政补助资金落实到位并按计划拨付</w:t>
            </w:r>
          </w:p>
        </w:tc>
        <w:tc>
          <w:tcPr>
            <w:tcW w:w="680" w:type="dxa"/>
            <w:tcBorders>
              <w:top w:val="nil"/>
              <w:left w:val="nil"/>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5</w:t>
            </w:r>
          </w:p>
        </w:tc>
        <w:tc>
          <w:tcPr>
            <w:tcW w:w="781"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c>
          <w:tcPr>
            <w:tcW w:w="701" w:type="dxa"/>
            <w:tcBorders>
              <w:top w:val="nil"/>
              <w:left w:val="nil"/>
              <w:bottom w:val="single" w:color="auto" w:sz="4" w:space="0"/>
              <w:right w:val="single" w:color="auto" w:sz="8"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r>
      <w:tr>
        <w:tblPrEx>
          <w:tblCellMar>
            <w:top w:w="0" w:type="dxa"/>
            <w:left w:w="108" w:type="dxa"/>
            <w:bottom w:w="0" w:type="dxa"/>
            <w:right w:w="108" w:type="dxa"/>
          </w:tblCellMar>
        </w:tblPrEx>
        <w:trPr>
          <w:trHeight w:val="319" w:hRule="atLeast"/>
        </w:trPr>
        <w:tc>
          <w:tcPr>
            <w:tcW w:w="1040" w:type="dxa"/>
            <w:vMerge w:val="continue"/>
            <w:tcBorders>
              <w:top w:val="nil"/>
              <w:left w:val="single" w:color="auto" w:sz="8" w:space="0"/>
              <w:bottom w:val="single" w:color="000000" w:sz="4" w:space="0"/>
              <w:right w:val="single" w:color="auto" w:sz="4" w:space="0"/>
            </w:tcBorders>
            <w:noWrap w:val="0"/>
            <w:vAlign w:val="center"/>
          </w:tcPr>
          <w:p>
            <w:pPr>
              <w:widowControl/>
              <w:jc w:val="left"/>
              <w:rPr>
                <w:rFonts w:eastAsia="方正仿宋_GBK"/>
                <w:color w:val="000000"/>
                <w:spacing w:val="-2"/>
                <w:szCs w:val="21"/>
              </w:rPr>
            </w:pPr>
          </w:p>
        </w:tc>
        <w:tc>
          <w:tcPr>
            <w:tcW w:w="110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szCs w:val="21"/>
              </w:rPr>
            </w:pPr>
          </w:p>
        </w:tc>
        <w:tc>
          <w:tcPr>
            <w:tcW w:w="6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szCs w:val="21"/>
              </w:rPr>
            </w:pPr>
          </w:p>
        </w:tc>
        <w:tc>
          <w:tcPr>
            <w:tcW w:w="4080"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配套资金落实到位并按计划拨付</w:t>
            </w:r>
          </w:p>
        </w:tc>
        <w:tc>
          <w:tcPr>
            <w:tcW w:w="680" w:type="dxa"/>
            <w:tcBorders>
              <w:top w:val="nil"/>
              <w:left w:val="nil"/>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5</w:t>
            </w:r>
          </w:p>
        </w:tc>
        <w:tc>
          <w:tcPr>
            <w:tcW w:w="781"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c>
          <w:tcPr>
            <w:tcW w:w="701" w:type="dxa"/>
            <w:tcBorders>
              <w:top w:val="nil"/>
              <w:left w:val="nil"/>
              <w:bottom w:val="single" w:color="auto" w:sz="4" w:space="0"/>
              <w:right w:val="single" w:color="auto" w:sz="8"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r>
      <w:tr>
        <w:tblPrEx>
          <w:tblCellMar>
            <w:top w:w="0" w:type="dxa"/>
            <w:left w:w="108" w:type="dxa"/>
            <w:bottom w:w="0" w:type="dxa"/>
            <w:right w:w="108" w:type="dxa"/>
          </w:tblCellMar>
        </w:tblPrEx>
        <w:trPr>
          <w:trHeight w:val="319" w:hRule="atLeast"/>
        </w:trPr>
        <w:tc>
          <w:tcPr>
            <w:tcW w:w="1040" w:type="dxa"/>
            <w:vMerge w:val="continue"/>
            <w:tcBorders>
              <w:top w:val="nil"/>
              <w:left w:val="single" w:color="auto" w:sz="8" w:space="0"/>
              <w:bottom w:val="single" w:color="000000" w:sz="4" w:space="0"/>
              <w:right w:val="single" w:color="auto" w:sz="4" w:space="0"/>
            </w:tcBorders>
            <w:noWrap w:val="0"/>
            <w:vAlign w:val="center"/>
          </w:tcPr>
          <w:p>
            <w:pPr>
              <w:widowControl/>
              <w:jc w:val="left"/>
              <w:rPr>
                <w:rFonts w:eastAsia="方正仿宋_GBK"/>
                <w:color w:val="000000"/>
                <w:spacing w:val="-2"/>
                <w:szCs w:val="21"/>
              </w:rPr>
            </w:pPr>
          </w:p>
        </w:tc>
        <w:tc>
          <w:tcPr>
            <w:tcW w:w="110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szCs w:val="21"/>
              </w:rPr>
            </w:pPr>
          </w:p>
        </w:tc>
        <w:tc>
          <w:tcPr>
            <w:tcW w:w="6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方正仿宋_GBK"/>
                <w:color w:val="000000"/>
                <w:spacing w:val="-2"/>
                <w:szCs w:val="21"/>
              </w:rPr>
            </w:pPr>
          </w:p>
        </w:tc>
        <w:tc>
          <w:tcPr>
            <w:tcW w:w="4080"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资金使用审核结论意见符合要求</w:t>
            </w:r>
          </w:p>
        </w:tc>
        <w:tc>
          <w:tcPr>
            <w:tcW w:w="680" w:type="dxa"/>
            <w:tcBorders>
              <w:top w:val="nil"/>
              <w:left w:val="nil"/>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10</w:t>
            </w:r>
          </w:p>
        </w:tc>
        <w:tc>
          <w:tcPr>
            <w:tcW w:w="781"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c>
          <w:tcPr>
            <w:tcW w:w="701" w:type="dxa"/>
            <w:tcBorders>
              <w:top w:val="nil"/>
              <w:left w:val="nil"/>
              <w:bottom w:val="single" w:color="auto" w:sz="4" w:space="0"/>
              <w:right w:val="single" w:color="auto" w:sz="8"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r>
      <w:tr>
        <w:tblPrEx>
          <w:tblCellMar>
            <w:top w:w="0" w:type="dxa"/>
            <w:left w:w="108" w:type="dxa"/>
            <w:bottom w:w="0" w:type="dxa"/>
            <w:right w:w="108" w:type="dxa"/>
          </w:tblCellMar>
        </w:tblPrEx>
        <w:trPr>
          <w:trHeight w:val="402" w:hRule="atLeast"/>
        </w:trPr>
        <w:tc>
          <w:tcPr>
            <w:tcW w:w="1040" w:type="dxa"/>
            <w:tcBorders>
              <w:top w:val="nil"/>
              <w:left w:val="single" w:color="auto" w:sz="8"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hint="eastAsia" w:eastAsia="方正仿宋_GBK"/>
                <w:color w:val="000000"/>
                <w:spacing w:val="-2"/>
                <w:szCs w:val="21"/>
              </w:rPr>
              <w:t>创新性</w:t>
            </w:r>
          </w:p>
        </w:tc>
        <w:tc>
          <w:tcPr>
            <w:tcW w:w="1100" w:type="dxa"/>
            <w:tcBorders>
              <w:top w:val="nil"/>
              <w:left w:val="nil"/>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hint="eastAsia" w:eastAsia="方正仿宋_GBK"/>
                <w:color w:val="000000"/>
                <w:spacing w:val="-2"/>
                <w:szCs w:val="21"/>
              </w:rPr>
              <w:t>查看相关材料</w:t>
            </w:r>
          </w:p>
        </w:tc>
        <w:tc>
          <w:tcPr>
            <w:tcW w:w="680" w:type="dxa"/>
            <w:tcBorders>
              <w:top w:val="nil"/>
              <w:left w:val="nil"/>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10</w:t>
            </w:r>
          </w:p>
        </w:tc>
        <w:tc>
          <w:tcPr>
            <w:tcW w:w="4080"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示范区建设有亮点、特点和创新点</w:t>
            </w:r>
          </w:p>
        </w:tc>
        <w:tc>
          <w:tcPr>
            <w:tcW w:w="680" w:type="dxa"/>
            <w:tcBorders>
              <w:top w:val="nil"/>
              <w:left w:val="nil"/>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eastAsia="方正仿宋_GBK"/>
                <w:color w:val="000000"/>
                <w:spacing w:val="-2"/>
                <w:szCs w:val="21"/>
              </w:rPr>
              <w:t>10</w:t>
            </w:r>
          </w:p>
        </w:tc>
        <w:tc>
          <w:tcPr>
            <w:tcW w:w="781" w:type="dxa"/>
            <w:tcBorders>
              <w:top w:val="nil"/>
              <w:left w:val="nil"/>
              <w:bottom w:val="single" w:color="auto" w:sz="4" w:space="0"/>
              <w:right w:val="single" w:color="auto" w:sz="4"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c>
          <w:tcPr>
            <w:tcW w:w="701" w:type="dxa"/>
            <w:tcBorders>
              <w:top w:val="nil"/>
              <w:left w:val="nil"/>
              <w:bottom w:val="single" w:color="auto" w:sz="4" w:space="0"/>
              <w:right w:val="single" w:color="auto" w:sz="8"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　</w:t>
            </w:r>
          </w:p>
        </w:tc>
      </w:tr>
      <w:tr>
        <w:tblPrEx>
          <w:tblCellMar>
            <w:top w:w="0" w:type="dxa"/>
            <w:left w:w="108" w:type="dxa"/>
            <w:bottom w:w="0" w:type="dxa"/>
            <w:right w:w="108" w:type="dxa"/>
          </w:tblCellMar>
        </w:tblPrEx>
        <w:trPr>
          <w:trHeight w:val="402" w:hRule="atLeast"/>
        </w:trPr>
        <w:tc>
          <w:tcPr>
            <w:tcW w:w="2140" w:type="dxa"/>
            <w:gridSpan w:val="2"/>
            <w:tcBorders>
              <w:top w:val="nil"/>
              <w:left w:val="single" w:color="auto" w:sz="8"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hint="eastAsia" w:eastAsia="方正仿宋_GBK"/>
                <w:color w:val="000000"/>
                <w:spacing w:val="-2"/>
                <w:szCs w:val="21"/>
              </w:rPr>
              <w:t>验收材料得分</w:t>
            </w:r>
          </w:p>
        </w:tc>
        <w:tc>
          <w:tcPr>
            <w:tcW w:w="6922" w:type="dxa"/>
            <w:gridSpan w:val="5"/>
            <w:tcBorders>
              <w:top w:val="nil"/>
              <w:left w:val="nil"/>
              <w:bottom w:val="single" w:color="auto" w:sz="4" w:space="0"/>
              <w:right w:val="single" w:color="auto" w:sz="8" w:space="0"/>
            </w:tcBorders>
            <w:noWrap w:val="0"/>
            <w:vAlign w:val="center"/>
          </w:tcPr>
          <w:p>
            <w:pPr>
              <w:spacing w:line="240" w:lineRule="exact"/>
              <w:jc w:val="left"/>
              <w:rPr>
                <w:rFonts w:eastAsia="方正仿宋_GBK"/>
                <w:color w:val="000000"/>
                <w:spacing w:val="-2"/>
                <w:szCs w:val="21"/>
              </w:rPr>
            </w:pPr>
            <w:r>
              <w:rPr>
                <w:rFonts w:hint="eastAsia" w:eastAsia="方正仿宋_GBK"/>
                <w:color w:val="000000"/>
                <w:spacing w:val="-2"/>
                <w:szCs w:val="21"/>
              </w:rPr>
              <w:t>（满分</w:t>
            </w:r>
            <w:r>
              <w:rPr>
                <w:rFonts w:eastAsia="方正仿宋_GBK"/>
                <w:color w:val="000000"/>
                <w:spacing w:val="-2"/>
                <w:szCs w:val="21"/>
              </w:rPr>
              <w:t>110</w:t>
            </w:r>
            <w:r>
              <w:rPr>
                <w:rFonts w:hint="eastAsia" w:eastAsia="方正仿宋_GBK"/>
                <w:color w:val="000000"/>
                <w:spacing w:val="-2"/>
                <w:szCs w:val="21"/>
              </w:rPr>
              <w:t>分）</w:t>
            </w:r>
          </w:p>
        </w:tc>
      </w:tr>
      <w:tr>
        <w:tblPrEx>
          <w:tblCellMar>
            <w:top w:w="0" w:type="dxa"/>
            <w:left w:w="108" w:type="dxa"/>
            <w:bottom w:w="0" w:type="dxa"/>
            <w:right w:w="108" w:type="dxa"/>
          </w:tblCellMar>
        </w:tblPrEx>
        <w:trPr>
          <w:trHeight w:val="402" w:hRule="atLeast"/>
        </w:trPr>
        <w:tc>
          <w:tcPr>
            <w:tcW w:w="2140" w:type="dxa"/>
            <w:gridSpan w:val="2"/>
            <w:tcBorders>
              <w:top w:val="nil"/>
              <w:left w:val="single" w:color="auto" w:sz="8"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hint="eastAsia" w:eastAsia="方正仿宋_GBK"/>
                <w:color w:val="000000"/>
                <w:spacing w:val="-2"/>
                <w:szCs w:val="21"/>
              </w:rPr>
              <w:t>总体评价</w:t>
            </w:r>
          </w:p>
        </w:tc>
        <w:tc>
          <w:tcPr>
            <w:tcW w:w="6922" w:type="dxa"/>
            <w:gridSpan w:val="5"/>
            <w:tcBorders>
              <w:top w:val="nil"/>
              <w:left w:val="nil"/>
              <w:bottom w:val="single" w:color="auto" w:sz="4" w:space="0"/>
              <w:right w:val="single" w:color="auto" w:sz="8" w:space="0"/>
            </w:tcBorders>
            <w:noWrap w:val="0"/>
            <w:vAlign w:val="center"/>
          </w:tcPr>
          <w:p>
            <w:pPr>
              <w:spacing w:line="240" w:lineRule="exact"/>
              <w:jc w:val="left"/>
              <w:rPr>
                <w:rFonts w:eastAsia="方正仿宋_GBK"/>
                <w:color w:val="000000"/>
                <w:spacing w:val="-2"/>
                <w:szCs w:val="21"/>
              </w:rPr>
            </w:pPr>
          </w:p>
        </w:tc>
      </w:tr>
      <w:tr>
        <w:tblPrEx>
          <w:tblCellMar>
            <w:top w:w="0" w:type="dxa"/>
            <w:left w:w="108" w:type="dxa"/>
            <w:bottom w:w="0" w:type="dxa"/>
            <w:right w:w="108" w:type="dxa"/>
          </w:tblCellMar>
        </w:tblPrEx>
        <w:trPr>
          <w:trHeight w:val="402" w:hRule="atLeast"/>
        </w:trPr>
        <w:tc>
          <w:tcPr>
            <w:tcW w:w="2140" w:type="dxa"/>
            <w:gridSpan w:val="2"/>
            <w:tcBorders>
              <w:top w:val="nil"/>
              <w:left w:val="single" w:color="auto" w:sz="8" w:space="0"/>
              <w:bottom w:val="single" w:color="auto" w:sz="4" w:space="0"/>
              <w:right w:val="single" w:color="auto" w:sz="4" w:space="0"/>
            </w:tcBorders>
            <w:noWrap w:val="0"/>
            <w:vAlign w:val="center"/>
          </w:tcPr>
          <w:p>
            <w:pPr>
              <w:spacing w:line="240" w:lineRule="exact"/>
              <w:jc w:val="center"/>
              <w:rPr>
                <w:rFonts w:eastAsia="方正仿宋_GBK"/>
                <w:color w:val="000000"/>
                <w:spacing w:val="-2"/>
                <w:szCs w:val="21"/>
              </w:rPr>
            </w:pPr>
            <w:r>
              <w:rPr>
                <w:rFonts w:hint="eastAsia" w:eastAsia="方正仿宋_GBK"/>
                <w:color w:val="000000"/>
                <w:spacing w:val="-2"/>
                <w:szCs w:val="21"/>
              </w:rPr>
              <w:t>验收意见</w:t>
            </w:r>
          </w:p>
        </w:tc>
        <w:tc>
          <w:tcPr>
            <w:tcW w:w="6922" w:type="dxa"/>
            <w:gridSpan w:val="5"/>
            <w:tcBorders>
              <w:top w:val="nil"/>
              <w:left w:val="nil"/>
              <w:bottom w:val="single" w:color="auto" w:sz="4" w:space="0"/>
              <w:right w:val="single" w:color="auto" w:sz="8" w:space="0"/>
            </w:tcBorders>
            <w:noWrap w:val="0"/>
            <w:vAlign w:val="center"/>
          </w:tcPr>
          <w:p>
            <w:pPr>
              <w:spacing w:line="240" w:lineRule="exact"/>
              <w:jc w:val="center"/>
              <w:rPr>
                <w:rFonts w:eastAsia="方正仿宋_GBK"/>
                <w:color w:val="000000"/>
                <w:spacing w:val="-2"/>
                <w:szCs w:val="21"/>
              </w:rPr>
            </w:pPr>
            <w:r>
              <w:rPr>
                <w:rFonts w:hint="eastAsia" w:eastAsia="方正仿宋_GBK"/>
                <w:color w:val="000000"/>
                <w:spacing w:val="-2"/>
                <w:szCs w:val="21"/>
              </w:rPr>
              <w:t>通过</w:t>
            </w:r>
            <w:r>
              <w:rPr>
                <w:rFonts w:eastAsia="方正仿宋_GBK"/>
                <w:color w:val="000000"/>
                <w:spacing w:val="-2"/>
                <w:szCs w:val="21"/>
              </w:rPr>
              <w:t xml:space="preserve">□                   </w:t>
            </w:r>
            <w:r>
              <w:rPr>
                <w:rFonts w:hint="eastAsia" w:eastAsia="方正仿宋_GBK"/>
                <w:color w:val="000000"/>
                <w:spacing w:val="-2"/>
                <w:szCs w:val="21"/>
              </w:rPr>
              <w:t>不通过</w:t>
            </w:r>
            <w:r>
              <w:rPr>
                <w:rFonts w:eastAsia="方正仿宋_GBK"/>
                <w:color w:val="000000"/>
                <w:spacing w:val="-2"/>
                <w:szCs w:val="21"/>
              </w:rPr>
              <w:t>□</w:t>
            </w:r>
          </w:p>
        </w:tc>
      </w:tr>
      <w:tr>
        <w:tblPrEx>
          <w:tblCellMar>
            <w:top w:w="0" w:type="dxa"/>
            <w:left w:w="108" w:type="dxa"/>
            <w:bottom w:w="0" w:type="dxa"/>
            <w:right w:w="108" w:type="dxa"/>
          </w:tblCellMar>
        </w:tblPrEx>
        <w:trPr>
          <w:trHeight w:val="402" w:hRule="atLeast"/>
        </w:trPr>
        <w:tc>
          <w:tcPr>
            <w:tcW w:w="2140" w:type="dxa"/>
            <w:gridSpan w:val="2"/>
            <w:tcBorders>
              <w:top w:val="nil"/>
              <w:left w:val="single" w:color="auto" w:sz="8" w:space="0"/>
              <w:bottom w:val="single" w:color="auto" w:sz="8" w:space="0"/>
              <w:right w:val="single" w:color="auto" w:sz="4" w:space="0"/>
            </w:tcBorders>
            <w:noWrap w:val="0"/>
            <w:vAlign w:val="center"/>
          </w:tcPr>
          <w:p>
            <w:pPr>
              <w:spacing w:line="240" w:lineRule="exact"/>
              <w:jc w:val="center"/>
              <w:rPr>
                <w:rFonts w:eastAsia="方正仿宋_GBK"/>
                <w:color w:val="000000"/>
                <w:spacing w:val="-2"/>
                <w:szCs w:val="21"/>
              </w:rPr>
            </w:pPr>
            <w:r>
              <w:rPr>
                <w:rFonts w:hint="eastAsia" w:eastAsia="方正仿宋_GBK"/>
                <w:color w:val="000000"/>
                <w:spacing w:val="-2"/>
                <w:szCs w:val="21"/>
              </w:rPr>
              <w:t>专家签名</w:t>
            </w:r>
          </w:p>
        </w:tc>
        <w:tc>
          <w:tcPr>
            <w:tcW w:w="6922" w:type="dxa"/>
            <w:gridSpan w:val="5"/>
            <w:tcBorders>
              <w:top w:val="nil"/>
              <w:left w:val="nil"/>
              <w:bottom w:val="single" w:color="auto" w:sz="8" w:space="0"/>
              <w:right w:val="single" w:color="auto" w:sz="8" w:space="0"/>
            </w:tcBorders>
            <w:noWrap w:val="0"/>
            <w:vAlign w:val="center"/>
          </w:tcPr>
          <w:p>
            <w:pPr>
              <w:spacing w:line="240" w:lineRule="exact"/>
              <w:jc w:val="center"/>
              <w:rPr>
                <w:rFonts w:eastAsia="方正仿宋_GBK"/>
                <w:color w:val="000000"/>
                <w:spacing w:val="-2"/>
                <w:szCs w:val="21"/>
              </w:rPr>
            </w:pPr>
          </w:p>
        </w:tc>
      </w:tr>
    </w:tbl>
    <w:p>
      <w:pPr>
        <w:rPr>
          <w:color w:val="000000"/>
          <w:spacing w:val="-2"/>
        </w:rPr>
      </w:pPr>
      <w:r>
        <w:rPr>
          <w:color w:val="000000"/>
          <w:spacing w:val="-2"/>
        </w:rPr>
        <w:br w:type="column"/>
      </w:r>
    </w:p>
    <w:tbl>
      <w:tblPr>
        <w:tblStyle w:val="12"/>
        <w:tblW w:w="0" w:type="auto"/>
        <w:tblInd w:w="6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4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48" w:type="dxa"/>
            <w:tcBorders>
              <w:top w:val="single" w:color="auto" w:sz="8" w:space="0"/>
              <w:left w:val="single" w:color="auto" w:sz="8" w:space="0"/>
              <w:bottom w:val="single" w:color="auto" w:sz="4" w:space="0"/>
              <w:right w:val="single" w:color="auto" w:sz="8" w:space="0"/>
            </w:tcBorders>
            <w:noWrap w:val="0"/>
            <w:vAlign w:val="center"/>
          </w:tcPr>
          <w:p>
            <w:pPr>
              <w:jc w:val="center"/>
              <w:rPr>
                <w:rFonts w:ascii="Times New Roman" w:hAnsi="Times New Roman" w:eastAsia="方正黑体_GBK"/>
                <w:color w:val="000000"/>
                <w:spacing w:val="-2"/>
                <w:szCs w:val="21"/>
              </w:rPr>
            </w:pPr>
            <w:r>
              <w:rPr>
                <w:rFonts w:hint="eastAsia" w:ascii="Times New Roman" w:hAnsi="Times New Roman" w:eastAsia="方正黑体_GBK"/>
                <w:color w:val="000000"/>
                <w:spacing w:val="-2"/>
                <w:szCs w:val="21"/>
              </w:rPr>
              <w:t>验  收  意  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74" w:hRule="atLeast"/>
        </w:trPr>
        <w:tc>
          <w:tcPr>
            <w:tcW w:w="8848" w:type="dxa"/>
            <w:tcBorders>
              <w:top w:val="single" w:color="auto" w:sz="4" w:space="0"/>
              <w:left w:val="single" w:color="auto" w:sz="8" w:space="0"/>
              <w:bottom w:val="single" w:color="auto" w:sz="8" w:space="0"/>
              <w:right w:val="single" w:color="auto" w:sz="8" w:space="0"/>
            </w:tcBorders>
            <w:noWrap w:val="0"/>
            <w:vAlign w:val="top"/>
          </w:tcPr>
          <w:p>
            <w:pPr>
              <w:rPr>
                <w:rFonts w:ascii="Times New Roman" w:hAnsi="Times New Roman"/>
                <w:b/>
                <w:color w:val="000000"/>
                <w:spacing w:val="-2"/>
                <w:szCs w:val="21"/>
              </w:rPr>
            </w:pPr>
          </w:p>
          <w:p>
            <w:pPr>
              <w:rPr>
                <w:rFonts w:hint="eastAsia" w:ascii="Times New Roman" w:hAnsi="Times New Roman"/>
                <w:b/>
                <w:color w:val="000000"/>
                <w:spacing w:val="-2"/>
                <w:szCs w:val="21"/>
              </w:rPr>
            </w:pPr>
          </w:p>
          <w:p>
            <w:pPr>
              <w:rPr>
                <w:rFonts w:hint="eastAsia" w:ascii="Times New Roman" w:hAnsi="Times New Roman"/>
                <w:b/>
                <w:color w:val="000000"/>
                <w:spacing w:val="-2"/>
                <w:szCs w:val="21"/>
              </w:rPr>
            </w:pPr>
          </w:p>
          <w:p>
            <w:pPr>
              <w:rPr>
                <w:rFonts w:hint="eastAsia" w:ascii="Times New Roman" w:hAnsi="Times New Roman"/>
                <w:b/>
                <w:color w:val="000000"/>
                <w:spacing w:val="-2"/>
                <w:szCs w:val="21"/>
              </w:rPr>
            </w:pPr>
          </w:p>
          <w:p>
            <w:pPr>
              <w:rPr>
                <w:rFonts w:hint="eastAsia" w:ascii="Times New Roman" w:hAnsi="Times New Roman"/>
                <w:b/>
                <w:color w:val="000000"/>
                <w:spacing w:val="-2"/>
                <w:szCs w:val="21"/>
              </w:rPr>
            </w:pPr>
          </w:p>
          <w:p>
            <w:pPr>
              <w:rPr>
                <w:rFonts w:hint="eastAsia" w:ascii="Times New Roman" w:hAnsi="Times New Roman"/>
                <w:b/>
                <w:color w:val="000000"/>
                <w:spacing w:val="-2"/>
                <w:szCs w:val="21"/>
              </w:rPr>
            </w:pPr>
          </w:p>
          <w:p>
            <w:pPr>
              <w:rPr>
                <w:rFonts w:hint="eastAsia" w:ascii="Times New Roman" w:hAnsi="Times New Roman"/>
                <w:b/>
                <w:color w:val="000000"/>
                <w:spacing w:val="-2"/>
                <w:szCs w:val="21"/>
              </w:rPr>
            </w:pPr>
          </w:p>
          <w:p>
            <w:pPr>
              <w:rPr>
                <w:rFonts w:hint="eastAsia" w:ascii="Times New Roman" w:hAnsi="Times New Roman"/>
                <w:b/>
                <w:color w:val="000000"/>
                <w:spacing w:val="-2"/>
                <w:szCs w:val="21"/>
              </w:rPr>
            </w:pPr>
          </w:p>
          <w:p>
            <w:pPr>
              <w:rPr>
                <w:rFonts w:hint="eastAsia" w:ascii="Times New Roman" w:hAnsi="Times New Roman"/>
                <w:b/>
                <w:color w:val="000000"/>
                <w:spacing w:val="-2"/>
                <w:szCs w:val="21"/>
              </w:rPr>
            </w:pPr>
          </w:p>
          <w:p>
            <w:pPr>
              <w:rPr>
                <w:rFonts w:hint="eastAsia" w:ascii="Times New Roman" w:hAnsi="Times New Roman"/>
                <w:b/>
                <w:color w:val="000000"/>
                <w:spacing w:val="-2"/>
                <w:szCs w:val="21"/>
              </w:rPr>
            </w:pPr>
          </w:p>
          <w:p>
            <w:pPr>
              <w:rPr>
                <w:rFonts w:hint="eastAsia" w:ascii="Times New Roman" w:hAnsi="Times New Roman"/>
                <w:b/>
                <w:color w:val="000000"/>
                <w:spacing w:val="-2"/>
                <w:szCs w:val="21"/>
              </w:rPr>
            </w:pPr>
          </w:p>
          <w:p>
            <w:pPr>
              <w:rPr>
                <w:rFonts w:hint="eastAsia" w:ascii="Times New Roman" w:hAnsi="Times New Roman"/>
                <w:b/>
                <w:color w:val="000000"/>
                <w:spacing w:val="-2"/>
                <w:szCs w:val="21"/>
              </w:rPr>
            </w:pPr>
          </w:p>
          <w:p>
            <w:pPr>
              <w:rPr>
                <w:rFonts w:hint="eastAsia" w:ascii="Times New Roman" w:hAnsi="Times New Roman"/>
                <w:b/>
                <w:color w:val="000000"/>
                <w:spacing w:val="-2"/>
                <w:szCs w:val="21"/>
              </w:rPr>
            </w:pPr>
          </w:p>
          <w:p>
            <w:pPr>
              <w:rPr>
                <w:rFonts w:hint="eastAsia" w:ascii="Times New Roman" w:hAnsi="Times New Roman"/>
                <w:b/>
                <w:color w:val="000000"/>
                <w:spacing w:val="-2"/>
                <w:szCs w:val="21"/>
              </w:rPr>
            </w:pPr>
          </w:p>
          <w:p>
            <w:pPr>
              <w:rPr>
                <w:rFonts w:hint="eastAsia" w:ascii="Times New Roman" w:hAnsi="Times New Roman"/>
                <w:b/>
                <w:color w:val="000000"/>
                <w:spacing w:val="-2"/>
                <w:szCs w:val="21"/>
              </w:rPr>
            </w:pPr>
          </w:p>
          <w:p>
            <w:pPr>
              <w:rPr>
                <w:rFonts w:hint="eastAsia" w:ascii="Times New Roman" w:hAnsi="Times New Roman"/>
                <w:b/>
                <w:color w:val="000000"/>
                <w:spacing w:val="-2"/>
                <w:szCs w:val="21"/>
              </w:rPr>
            </w:pPr>
          </w:p>
          <w:p>
            <w:pPr>
              <w:rPr>
                <w:rFonts w:hint="eastAsia" w:ascii="Times New Roman" w:hAnsi="Times New Roman"/>
                <w:b/>
                <w:color w:val="000000"/>
                <w:spacing w:val="-2"/>
                <w:szCs w:val="21"/>
              </w:rPr>
            </w:pPr>
          </w:p>
          <w:p>
            <w:pPr>
              <w:rPr>
                <w:rFonts w:hint="eastAsia" w:ascii="Times New Roman" w:hAnsi="Times New Roman"/>
                <w:b/>
                <w:color w:val="000000"/>
                <w:spacing w:val="-2"/>
                <w:szCs w:val="21"/>
              </w:rPr>
            </w:pPr>
          </w:p>
          <w:p>
            <w:pPr>
              <w:rPr>
                <w:rFonts w:hint="eastAsia" w:ascii="Times New Roman" w:hAnsi="Times New Roman"/>
                <w:b/>
                <w:color w:val="000000"/>
                <w:spacing w:val="-2"/>
                <w:szCs w:val="21"/>
              </w:rPr>
            </w:pPr>
          </w:p>
          <w:p>
            <w:pPr>
              <w:rPr>
                <w:rFonts w:hint="eastAsia" w:ascii="Times New Roman" w:hAnsi="Times New Roman"/>
                <w:b/>
                <w:color w:val="000000"/>
                <w:spacing w:val="-2"/>
                <w:szCs w:val="21"/>
              </w:rPr>
            </w:pPr>
          </w:p>
          <w:p>
            <w:pPr>
              <w:rPr>
                <w:rFonts w:hint="eastAsia" w:ascii="Times New Roman" w:hAnsi="Times New Roman"/>
                <w:b/>
                <w:color w:val="000000"/>
                <w:spacing w:val="-2"/>
                <w:szCs w:val="21"/>
              </w:rPr>
            </w:pPr>
          </w:p>
          <w:p>
            <w:pPr>
              <w:rPr>
                <w:rFonts w:hint="eastAsia" w:ascii="Times New Roman" w:hAnsi="Times New Roman"/>
                <w:b/>
                <w:color w:val="000000"/>
                <w:spacing w:val="-2"/>
                <w:szCs w:val="21"/>
              </w:rPr>
            </w:pPr>
          </w:p>
          <w:p>
            <w:pPr>
              <w:rPr>
                <w:rFonts w:hint="eastAsia" w:ascii="Times New Roman" w:hAnsi="Times New Roman"/>
                <w:b/>
                <w:color w:val="000000"/>
                <w:spacing w:val="-2"/>
                <w:szCs w:val="21"/>
              </w:rPr>
            </w:pPr>
          </w:p>
          <w:p>
            <w:pPr>
              <w:rPr>
                <w:rFonts w:hint="eastAsia" w:ascii="Times New Roman" w:hAnsi="Times New Roman"/>
                <w:b/>
                <w:color w:val="000000"/>
                <w:spacing w:val="-2"/>
                <w:szCs w:val="21"/>
              </w:rPr>
            </w:pPr>
          </w:p>
          <w:p>
            <w:pPr>
              <w:rPr>
                <w:rFonts w:hint="eastAsia" w:ascii="Times New Roman" w:hAnsi="Times New Roman"/>
                <w:b/>
                <w:color w:val="000000"/>
                <w:spacing w:val="-2"/>
                <w:szCs w:val="21"/>
              </w:rPr>
            </w:pPr>
          </w:p>
          <w:p>
            <w:pPr>
              <w:rPr>
                <w:rFonts w:hint="eastAsia" w:ascii="Times New Roman" w:hAnsi="Times New Roman"/>
                <w:b/>
                <w:color w:val="000000"/>
                <w:spacing w:val="-2"/>
                <w:szCs w:val="21"/>
              </w:rPr>
            </w:pPr>
          </w:p>
          <w:p>
            <w:pPr>
              <w:rPr>
                <w:rFonts w:hint="eastAsia" w:ascii="Times New Roman" w:hAnsi="Times New Roman"/>
                <w:b/>
                <w:color w:val="000000"/>
                <w:spacing w:val="-2"/>
                <w:szCs w:val="21"/>
              </w:rPr>
            </w:pPr>
          </w:p>
          <w:p>
            <w:pPr>
              <w:rPr>
                <w:rFonts w:hint="eastAsia" w:ascii="Times New Roman" w:hAnsi="Times New Roman"/>
                <w:b/>
                <w:color w:val="000000"/>
                <w:spacing w:val="-2"/>
                <w:szCs w:val="21"/>
              </w:rPr>
            </w:pPr>
          </w:p>
          <w:p>
            <w:pPr>
              <w:rPr>
                <w:rFonts w:hint="eastAsia" w:ascii="Times New Roman" w:hAnsi="Times New Roman"/>
                <w:b/>
                <w:color w:val="000000"/>
                <w:spacing w:val="-2"/>
                <w:szCs w:val="21"/>
              </w:rPr>
            </w:pPr>
          </w:p>
          <w:p>
            <w:pPr>
              <w:rPr>
                <w:rFonts w:hint="eastAsia" w:ascii="Times New Roman" w:hAnsi="Times New Roman"/>
                <w:b/>
                <w:color w:val="000000"/>
                <w:spacing w:val="-2"/>
                <w:szCs w:val="21"/>
              </w:rPr>
            </w:pPr>
          </w:p>
          <w:p>
            <w:pPr>
              <w:rPr>
                <w:rFonts w:hint="eastAsia" w:ascii="Times New Roman" w:hAnsi="Times New Roman"/>
                <w:b/>
                <w:color w:val="000000"/>
                <w:spacing w:val="-2"/>
                <w:szCs w:val="21"/>
              </w:rPr>
            </w:pPr>
          </w:p>
          <w:p>
            <w:pPr>
              <w:rPr>
                <w:rFonts w:hint="eastAsia" w:ascii="Times New Roman" w:hAnsi="Times New Roman"/>
                <w:b/>
                <w:color w:val="000000"/>
                <w:spacing w:val="-2"/>
                <w:szCs w:val="21"/>
              </w:rPr>
            </w:pPr>
          </w:p>
          <w:p>
            <w:pPr>
              <w:rPr>
                <w:rFonts w:hint="eastAsia" w:ascii="Times New Roman" w:hAnsi="Times New Roman"/>
                <w:b/>
                <w:color w:val="000000"/>
                <w:spacing w:val="-2"/>
                <w:szCs w:val="21"/>
              </w:rPr>
            </w:pPr>
          </w:p>
          <w:p>
            <w:pPr>
              <w:rPr>
                <w:rFonts w:hint="eastAsia" w:ascii="Times New Roman" w:hAnsi="Times New Roman"/>
                <w:b/>
                <w:color w:val="000000"/>
                <w:spacing w:val="-2"/>
                <w:szCs w:val="21"/>
              </w:rPr>
            </w:pPr>
          </w:p>
          <w:p>
            <w:pPr>
              <w:rPr>
                <w:rFonts w:hint="eastAsia" w:ascii="Times New Roman" w:hAnsi="Times New Roman"/>
                <w:b/>
                <w:color w:val="000000"/>
                <w:spacing w:val="-2"/>
                <w:szCs w:val="21"/>
              </w:rPr>
            </w:pPr>
          </w:p>
          <w:p>
            <w:pPr>
              <w:rPr>
                <w:rFonts w:hint="eastAsia" w:ascii="Times New Roman" w:hAnsi="Times New Roman"/>
                <w:b/>
                <w:color w:val="000000"/>
                <w:spacing w:val="-2"/>
                <w:szCs w:val="21"/>
              </w:rPr>
            </w:pPr>
          </w:p>
          <w:p>
            <w:pPr>
              <w:rPr>
                <w:rFonts w:hint="eastAsia" w:ascii="Times New Roman" w:hAnsi="Times New Roman"/>
                <w:b/>
                <w:color w:val="000000"/>
                <w:spacing w:val="-2"/>
                <w:szCs w:val="21"/>
              </w:rPr>
            </w:pPr>
          </w:p>
          <w:p>
            <w:pPr>
              <w:rPr>
                <w:rFonts w:hint="eastAsia" w:ascii="Times New Roman" w:hAnsi="Times New Roman"/>
                <w:b/>
                <w:color w:val="000000"/>
                <w:spacing w:val="-2"/>
                <w:szCs w:val="21"/>
              </w:rPr>
            </w:pPr>
          </w:p>
          <w:p>
            <w:pPr>
              <w:rPr>
                <w:rFonts w:hint="eastAsia" w:ascii="Times New Roman" w:hAnsi="Times New Roman"/>
                <w:b/>
                <w:color w:val="000000"/>
                <w:spacing w:val="-2"/>
                <w:szCs w:val="21"/>
              </w:rPr>
            </w:pPr>
          </w:p>
          <w:p>
            <w:pPr>
              <w:rPr>
                <w:rFonts w:hint="eastAsia" w:ascii="Times New Roman" w:hAnsi="Times New Roman"/>
                <w:b/>
                <w:color w:val="000000"/>
                <w:spacing w:val="-2"/>
                <w:szCs w:val="21"/>
              </w:rPr>
            </w:pPr>
          </w:p>
          <w:p>
            <w:pPr>
              <w:rPr>
                <w:rFonts w:hint="eastAsia" w:ascii="Times New Roman" w:hAnsi="Times New Roman"/>
                <w:b/>
                <w:color w:val="000000"/>
                <w:spacing w:val="-2"/>
                <w:szCs w:val="21"/>
              </w:rPr>
            </w:pPr>
          </w:p>
          <w:p>
            <w:pPr>
              <w:rPr>
                <w:rFonts w:hint="eastAsia" w:ascii="Times New Roman" w:hAnsi="Times New Roman"/>
                <w:b/>
                <w:color w:val="000000"/>
                <w:spacing w:val="-2"/>
                <w:szCs w:val="21"/>
              </w:rPr>
            </w:pPr>
          </w:p>
          <w:p>
            <w:pPr>
              <w:rPr>
                <w:rFonts w:hint="eastAsia" w:ascii="Times New Roman" w:hAnsi="Times New Roman"/>
                <w:color w:val="000000"/>
                <w:spacing w:val="-2"/>
                <w:szCs w:val="21"/>
              </w:rPr>
            </w:pPr>
          </w:p>
          <w:p>
            <w:pPr>
              <w:rPr>
                <w:rFonts w:hint="eastAsia" w:ascii="Times New Roman" w:hAnsi="Times New Roman"/>
                <w:color w:val="000000"/>
                <w:spacing w:val="-2"/>
                <w:szCs w:val="21"/>
              </w:rPr>
            </w:pPr>
            <w:r>
              <w:rPr>
                <w:rFonts w:hint="eastAsia" w:ascii="Times New Roman" w:hAnsi="Times New Roman"/>
                <w:color w:val="000000"/>
                <w:spacing w:val="-2"/>
                <w:szCs w:val="21"/>
              </w:rPr>
              <w:t>主任委员：</w:t>
            </w:r>
            <w:r>
              <w:rPr>
                <w:rFonts w:hint="eastAsia" w:ascii="Times New Roman" w:hAnsi="Times New Roman"/>
                <w:color w:val="000000"/>
                <w:spacing w:val="-2"/>
                <w:szCs w:val="21"/>
                <w:u w:val="single"/>
              </w:rPr>
              <w:t xml:space="preserve">               </w:t>
            </w:r>
            <w:r>
              <w:rPr>
                <w:rFonts w:hint="eastAsia" w:ascii="Times New Roman" w:hAnsi="Times New Roman"/>
                <w:color w:val="000000"/>
                <w:spacing w:val="-2"/>
                <w:szCs w:val="21"/>
              </w:rPr>
              <w:t xml:space="preserve">  副主任委员：</w:t>
            </w:r>
            <w:r>
              <w:rPr>
                <w:rFonts w:hint="eastAsia" w:ascii="Times New Roman" w:hAnsi="Times New Roman"/>
                <w:color w:val="000000"/>
                <w:spacing w:val="-2"/>
                <w:szCs w:val="21"/>
                <w:u w:val="single"/>
              </w:rPr>
              <w:t xml:space="preserve">               </w:t>
            </w:r>
            <w:r>
              <w:rPr>
                <w:rFonts w:hint="eastAsia" w:ascii="Times New Roman" w:hAnsi="Times New Roman"/>
                <w:color w:val="000000"/>
                <w:spacing w:val="-2"/>
                <w:szCs w:val="21"/>
              </w:rPr>
              <w:t xml:space="preserve">  日期：</w:t>
            </w:r>
          </w:p>
          <w:p>
            <w:pPr>
              <w:ind w:left="3591" w:leftChars="1710"/>
              <w:rPr>
                <w:rFonts w:hint="eastAsia" w:ascii="Times New Roman" w:hAnsi="Times New Roman"/>
                <w:color w:val="000000"/>
                <w:spacing w:val="-2"/>
                <w:szCs w:val="21"/>
                <w:u w:val="single"/>
              </w:rPr>
            </w:pPr>
          </w:p>
          <w:p>
            <w:pPr>
              <w:ind w:left="3591" w:leftChars="1710"/>
              <w:rPr>
                <w:rFonts w:ascii="Times New Roman" w:hAnsi="Times New Roman"/>
                <w:b/>
                <w:color w:val="000000"/>
                <w:spacing w:val="-2"/>
                <w:szCs w:val="21"/>
              </w:rPr>
            </w:pPr>
          </w:p>
        </w:tc>
      </w:tr>
    </w:tbl>
    <w:p>
      <w:pPr>
        <w:widowControl/>
        <w:jc w:val="left"/>
        <w:rPr>
          <w:b/>
          <w:bCs/>
          <w:color w:val="000000"/>
          <w:spacing w:val="-2"/>
          <w:sz w:val="30"/>
          <w:szCs w:val="30"/>
        </w:rPr>
        <w:sectPr>
          <w:pgSz w:w="11905" w:h="16838"/>
          <w:pgMar w:top="1701" w:right="1587" w:bottom="1701" w:left="1587" w:header="850" w:footer="1361" w:gutter="0"/>
          <w:paperSrc w:first="4" w:other="4"/>
          <w:cols w:space="720" w:num="1"/>
        </w:sectPr>
      </w:pPr>
    </w:p>
    <w:p>
      <w:pPr>
        <w:pStyle w:val="26"/>
        <w:spacing w:after="120" w:afterLines="50"/>
        <w:jc w:val="center"/>
        <w:rPr>
          <w:rFonts w:ascii="Times New Roman" w:eastAsia="方正黑体_GBK"/>
          <w:bCs/>
          <w:color w:val="000000"/>
          <w:spacing w:val="-2"/>
          <w:sz w:val="28"/>
          <w:szCs w:val="28"/>
        </w:rPr>
      </w:pPr>
      <w:r>
        <w:rPr>
          <w:rFonts w:hint="eastAsia" w:ascii="Times New Roman" w:eastAsia="方正黑体_GBK"/>
          <w:bCs/>
          <w:color w:val="000000"/>
          <w:spacing w:val="-2"/>
          <w:sz w:val="28"/>
          <w:szCs w:val="28"/>
        </w:rPr>
        <w:t>验收委员会名单</w:t>
      </w:r>
    </w:p>
    <w:tbl>
      <w:tblPr>
        <w:tblStyle w:val="12"/>
        <w:tblW w:w="0" w:type="auto"/>
        <w:tblInd w:w="37"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286"/>
        <w:gridCol w:w="1630"/>
        <w:gridCol w:w="3707"/>
        <w:gridCol w:w="1760"/>
        <w:gridCol w:w="1760"/>
        <w:gridCol w:w="1494"/>
        <w:gridCol w:w="136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697" w:type="dxa"/>
            <w:tcBorders>
              <w:top w:val="single" w:color="auto" w:sz="8" w:space="0"/>
              <w:left w:val="single" w:color="auto" w:sz="8" w:space="0"/>
              <w:bottom w:val="single" w:color="auto" w:sz="4" w:space="0"/>
              <w:right w:val="single" w:color="auto" w:sz="4" w:space="0"/>
            </w:tcBorders>
            <w:noWrap w:val="0"/>
            <w:tcMar>
              <w:top w:w="0" w:type="dxa"/>
              <w:left w:w="57" w:type="dxa"/>
              <w:bottom w:w="0" w:type="dxa"/>
              <w:right w:w="57" w:type="dxa"/>
            </w:tcMar>
            <w:vAlign w:val="center"/>
          </w:tcPr>
          <w:p>
            <w:pPr>
              <w:pStyle w:val="26"/>
              <w:jc w:val="center"/>
              <w:rPr>
                <w:rFonts w:ascii="Times New Roman" w:eastAsia="方正黑体_GBK"/>
                <w:color w:val="000000"/>
                <w:spacing w:val="-2"/>
                <w:szCs w:val="21"/>
              </w:rPr>
            </w:pPr>
            <w:r>
              <w:rPr>
                <w:rFonts w:hint="eastAsia" w:ascii="Times New Roman" w:eastAsia="方正黑体_GBK"/>
                <w:color w:val="000000"/>
                <w:spacing w:val="-2"/>
                <w:szCs w:val="21"/>
              </w:rPr>
              <w:t>序号</w:t>
            </w:r>
          </w:p>
        </w:tc>
        <w:tc>
          <w:tcPr>
            <w:tcW w:w="1286" w:type="dxa"/>
            <w:tcBorders>
              <w:top w:val="single" w:color="auto" w:sz="8"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pStyle w:val="26"/>
              <w:spacing w:line="320" w:lineRule="exact"/>
              <w:jc w:val="center"/>
              <w:rPr>
                <w:rFonts w:ascii="Times New Roman" w:eastAsia="方正黑体_GBK"/>
                <w:color w:val="000000"/>
                <w:spacing w:val="-2"/>
                <w:szCs w:val="21"/>
              </w:rPr>
            </w:pPr>
            <w:r>
              <w:rPr>
                <w:rFonts w:hint="eastAsia" w:ascii="Times New Roman" w:eastAsia="方正黑体_GBK"/>
                <w:color w:val="000000"/>
                <w:spacing w:val="-2"/>
                <w:szCs w:val="21"/>
              </w:rPr>
              <w:t>验收委员</w:t>
            </w:r>
          </w:p>
          <w:p>
            <w:pPr>
              <w:pStyle w:val="26"/>
              <w:spacing w:line="320" w:lineRule="exact"/>
              <w:jc w:val="center"/>
              <w:rPr>
                <w:rFonts w:ascii="Times New Roman" w:eastAsia="方正黑体_GBK"/>
                <w:color w:val="000000"/>
                <w:spacing w:val="-2"/>
                <w:szCs w:val="21"/>
              </w:rPr>
            </w:pPr>
            <w:r>
              <w:rPr>
                <w:rFonts w:hint="eastAsia" w:ascii="Times New Roman" w:eastAsia="方正黑体_GBK"/>
                <w:color w:val="000000"/>
                <w:spacing w:val="-2"/>
                <w:szCs w:val="21"/>
              </w:rPr>
              <w:t>会职务</w:t>
            </w:r>
          </w:p>
        </w:tc>
        <w:tc>
          <w:tcPr>
            <w:tcW w:w="1630" w:type="dxa"/>
            <w:tcBorders>
              <w:top w:val="single" w:color="auto" w:sz="8" w:space="0"/>
              <w:left w:val="single" w:color="auto" w:sz="4" w:space="0"/>
              <w:bottom w:val="single" w:color="auto" w:sz="4" w:space="0"/>
              <w:right w:val="single" w:color="auto" w:sz="4" w:space="0"/>
            </w:tcBorders>
            <w:noWrap w:val="0"/>
            <w:vAlign w:val="center"/>
          </w:tcPr>
          <w:p>
            <w:pPr>
              <w:pStyle w:val="26"/>
              <w:jc w:val="center"/>
              <w:rPr>
                <w:rFonts w:ascii="Times New Roman" w:eastAsia="方正黑体_GBK"/>
                <w:color w:val="000000"/>
                <w:spacing w:val="-2"/>
                <w:szCs w:val="21"/>
              </w:rPr>
            </w:pPr>
            <w:r>
              <w:rPr>
                <w:rFonts w:hint="eastAsia" w:ascii="Times New Roman" w:eastAsia="方正黑体_GBK"/>
                <w:color w:val="000000"/>
                <w:spacing w:val="-2"/>
                <w:szCs w:val="21"/>
              </w:rPr>
              <w:t>姓  名</w:t>
            </w:r>
          </w:p>
        </w:tc>
        <w:tc>
          <w:tcPr>
            <w:tcW w:w="3707" w:type="dxa"/>
            <w:tcBorders>
              <w:top w:val="single" w:color="auto" w:sz="8" w:space="0"/>
              <w:left w:val="single" w:color="auto" w:sz="4" w:space="0"/>
              <w:bottom w:val="single" w:color="auto" w:sz="4" w:space="0"/>
              <w:right w:val="single" w:color="auto" w:sz="4" w:space="0"/>
            </w:tcBorders>
            <w:noWrap w:val="0"/>
            <w:vAlign w:val="center"/>
          </w:tcPr>
          <w:p>
            <w:pPr>
              <w:pStyle w:val="26"/>
              <w:jc w:val="center"/>
              <w:rPr>
                <w:rFonts w:ascii="Times New Roman" w:eastAsia="方正黑体_GBK"/>
                <w:color w:val="000000"/>
                <w:spacing w:val="-2"/>
                <w:szCs w:val="21"/>
              </w:rPr>
            </w:pPr>
            <w:r>
              <w:rPr>
                <w:rFonts w:hint="eastAsia" w:ascii="Times New Roman" w:eastAsia="方正黑体_GBK"/>
                <w:color w:val="000000"/>
                <w:spacing w:val="-2"/>
                <w:szCs w:val="21"/>
              </w:rPr>
              <w:t>工   作   单   位</w:t>
            </w:r>
          </w:p>
        </w:tc>
        <w:tc>
          <w:tcPr>
            <w:tcW w:w="1760" w:type="dxa"/>
            <w:tcBorders>
              <w:top w:val="single" w:color="auto" w:sz="8" w:space="0"/>
              <w:left w:val="single" w:color="auto" w:sz="4" w:space="0"/>
              <w:bottom w:val="single" w:color="auto" w:sz="4" w:space="0"/>
              <w:right w:val="single" w:color="auto" w:sz="4" w:space="0"/>
            </w:tcBorders>
            <w:noWrap w:val="0"/>
            <w:vAlign w:val="center"/>
          </w:tcPr>
          <w:p>
            <w:pPr>
              <w:pStyle w:val="26"/>
              <w:jc w:val="center"/>
              <w:rPr>
                <w:rFonts w:ascii="Times New Roman" w:eastAsia="方正黑体_GBK"/>
                <w:color w:val="000000"/>
                <w:spacing w:val="-2"/>
                <w:szCs w:val="21"/>
              </w:rPr>
            </w:pPr>
            <w:r>
              <w:rPr>
                <w:rFonts w:hint="eastAsia" w:ascii="Times New Roman" w:eastAsia="方正黑体_GBK"/>
                <w:color w:val="000000"/>
                <w:spacing w:val="-2"/>
                <w:szCs w:val="21"/>
              </w:rPr>
              <w:t xml:space="preserve">所 学 </w:t>
            </w:r>
          </w:p>
          <w:p>
            <w:pPr>
              <w:pStyle w:val="26"/>
              <w:jc w:val="center"/>
              <w:rPr>
                <w:rFonts w:ascii="Times New Roman" w:eastAsia="方正黑体_GBK"/>
                <w:color w:val="000000"/>
                <w:spacing w:val="-2"/>
                <w:szCs w:val="21"/>
              </w:rPr>
            </w:pPr>
            <w:r>
              <w:rPr>
                <w:rFonts w:hint="eastAsia" w:ascii="Times New Roman" w:eastAsia="方正黑体_GBK"/>
                <w:color w:val="000000"/>
                <w:spacing w:val="-2"/>
                <w:szCs w:val="21"/>
              </w:rPr>
              <w:t>专 业</w:t>
            </w:r>
          </w:p>
        </w:tc>
        <w:tc>
          <w:tcPr>
            <w:tcW w:w="1760" w:type="dxa"/>
            <w:tcBorders>
              <w:top w:val="single" w:color="auto" w:sz="8" w:space="0"/>
              <w:left w:val="single" w:color="auto" w:sz="4" w:space="0"/>
              <w:bottom w:val="single" w:color="auto" w:sz="4" w:space="0"/>
              <w:right w:val="single" w:color="auto" w:sz="4" w:space="0"/>
            </w:tcBorders>
            <w:noWrap w:val="0"/>
            <w:vAlign w:val="center"/>
          </w:tcPr>
          <w:p>
            <w:pPr>
              <w:pStyle w:val="26"/>
              <w:jc w:val="center"/>
              <w:rPr>
                <w:rFonts w:ascii="Times New Roman" w:eastAsia="方正黑体_GBK"/>
                <w:color w:val="000000"/>
                <w:spacing w:val="-2"/>
                <w:szCs w:val="21"/>
              </w:rPr>
            </w:pPr>
            <w:r>
              <w:rPr>
                <w:rFonts w:hint="eastAsia" w:ascii="Times New Roman" w:eastAsia="方正黑体_GBK"/>
                <w:color w:val="000000"/>
                <w:spacing w:val="-2"/>
                <w:szCs w:val="21"/>
              </w:rPr>
              <w:t>现从事专业</w:t>
            </w:r>
          </w:p>
        </w:tc>
        <w:tc>
          <w:tcPr>
            <w:tcW w:w="1494" w:type="dxa"/>
            <w:tcBorders>
              <w:top w:val="single" w:color="auto" w:sz="8"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pStyle w:val="26"/>
              <w:jc w:val="center"/>
              <w:rPr>
                <w:rFonts w:ascii="Times New Roman" w:eastAsia="方正黑体_GBK"/>
                <w:color w:val="000000"/>
                <w:spacing w:val="-2"/>
                <w:szCs w:val="21"/>
              </w:rPr>
            </w:pPr>
            <w:r>
              <w:rPr>
                <w:rFonts w:hint="eastAsia" w:ascii="Times New Roman" w:eastAsia="方正黑体_GBK"/>
                <w:color w:val="000000"/>
                <w:spacing w:val="-2"/>
                <w:szCs w:val="21"/>
              </w:rPr>
              <w:t>职称职务</w:t>
            </w:r>
          </w:p>
        </w:tc>
        <w:tc>
          <w:tcPr>
            <w:tcW w:w="1366" w:type="dxa"/>
            <w:tcBorders>
              <w:top w:val="single" w:color="auto" w:sz="8" w:space="0"/>
              <w:left w:val="single" w:color="auto" w:sz="4" w:space="0"/>
              <w:bottom w:val="single" w:color="auto" w:sz="4" w:space="0"/>
              <w:right w:val="single" w:color="auto" w:sz="8" w:space="0"/>
            </w:tcBorders>
            <w:noWrap w:val="0"/>
            <w:vAlign w:val="center"/>
          </w:tcPr>
          <w:p>
            <w:pPr>
              <w:pStyle w:val="26"/>
              <w:jc w:val="center"/>
              <w:rPr>
                <w:rFonts w:ascii="Times New Roman" w:eastAsia="方正黑体_GBK"/>
                <w:color w:val="000000"/>
                <w:spacing w:val="-2"/>
                <w:szCs w:val="21"/>
              </w:rPr>
            </w:pPr>
            <w:r>
              <w:rPr>
                <w:rFonts w:hint="eastAsia" w:ascii="Times New Roman" w:eastAsia="方正黑体_GBK"/>
                <w:color w:val="000000"/>
                <w:spacing w:val="-2"/>
                <w:szCs w:val="21"/>
              </w:rPr>
              <w:t>签  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697" w:type="dxa"/>
            <w:tcBorders>
              <w:top w:val="single" w:color="auto" w:sz="4" w:space="0"/>
              <w:left w:val="single" w:color="auto" w:sz="8" w:space="0"/>
              <w:bottom w:val="single" w:color="auto" w:sz="4" w:space="0"/>
              <w:right w:val="single" w:color="auto" w:sz="4" w:space="0"/>
            </w:tcBorders>
            <w:noWrap w:val="0"/>
            <w:vAlign w:val="center"/>
          </w:tcPr>
          <w:p>
            <w:pPr>
              <w:pStyle w:val="26"/>
              <w:jc w:val="center"/>
              <w:rPr>
                <w:rFonts w:eastAsia="方正仿宋_GBK"/>
                <w:color w:val="000000"/>
                <w:spacing w:val="-2"/>
                <w:szCs w:val="21"/>
              </w:rPr>
            </w:pPr>
            <w:r>
              <w:rPr>
                <w:rFonts w:eastAsia="方正仿宋_GBK"/>
                <w:color w:val="000000"/>
                <w:spacing w:val="-2"/>
                <w:szCs w:val="21"/>
              </w:rPr>
              <w:t>1</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pStyle w:val="26"/>
              <w:jc w:val="center"/>
              <w:rPr>
                <w:rFonts w:eastAsia="方正仿宋_GBK"/>
                <w:color w:val="000000"/>
                <w:spacing w:val="-2"/>
                <w:szCs w:val="21"/>
              </w:rPr>
            </w:pPr>
          </w:p>
        </w:tc>
        <w:tc>
          <w:tcPr>
            <w:tcW w:w="1630" w:type="dxa"/>
            <w:tcBorders>
              <w:top w:val="single" w:color="auto" w:sz="4" w:space="0"/>
              <w:left w:val="single" w:color="auto" w:sz="4" w:space="0"/>
              <w:bottom w:val="single" w:color="auto" w:sz="4" w:space="0"/>
              <w:right w:val="single" w:color="auto" w:sz="4" w:space="0"/>
            </w:tcBorders>
            <w:noWrap w:val="0"/>
            <w:vAlign w:val="center"/>
          </w:tcPr>
          <w:p>
            <w:pPr>
              <w:pStyle w:val="26"/>
              <w:jc w:val="center"/>
              <w:rPr>
                <w:rFonts w:eastAsia="方正仿宋_GBK"/>
                <w:color w:val="000000"/>
                <w:spacing w:val="-2"/>
                <w:szCs w:val="21"/>
              </w:rPr>
            </w:pPr>
          </w:p>
        </w:tc>
        <w:tc>
          <w:tcPr>
            <w:tcW w:w="3707" w:type="dxa"/>
            <w:tcBorders>
              <w:top w:val="single" w:color="auto" w:sz="4" w:space="0"/>
              <w:left w:val="single" w:color="auto" w:sz="4" w:space="0"/>
              <w:bottom w:val="single" w:color="auto" w:sz="4" w:space="0"/>
              <w:right w:val="single" w:color="auto" w:sz="4" w:space="0"/>
            </w:tcBorders>
            <w:noWrap w:val="0"/>
            <w:vAlign w:val="center"/>
          </w:tcPr>
          <w:p>
            <w:pPr>
              <w:pStyle w:val="26"/>
              <w:jc w:val="center"/>
              <w:rPr>
                <w:rFonts w:eastAsia="方正仿宋_GBK"/>
                <w:color w:val="000000"/>
                <w:spacing w:val="-2"/>
                <w:szCs w:val="21"/>
              </w:rPr>
            </w:pPr>
          </w:p>
        </w:tc>
        <w:tc>
          <w:tcPr>
            <w:tcW w:w="1760" w:type="dxa"/>
            <w:tcBorders>
              <w:top w:val="single" w:color="auto" w:sz="4" w:space="0"/>
              <w:left w:val="single" w:color="auto" w:sz="4" w:space="0"/>
              <w:bottom w:val="single" w:color="auto" w:sz="4" w:space="0"/>
              <w:right w:val="single" w:color="auto" w:sz="4" w:space="0"/>
            </w:tcBorders>
            <w:noWrap w:val="0"/>
            <w:vAlign w:val="center"/>
          </w:tcPr>
          <w:p>
            <w:pPr>
              <w:pStyle w:val="26"/>
              <w:jc w:val="center"/>
              <w:rPr>
                <w:rFonts w:eastAsia="方正仿宋_GBK"/>
                <w:color w:val="000000"/>
                <w:spacing w:val="-2"/>
                <w:szCs w:val="21"/>
              </w:rPr>
            </w:pPr>
          </w:p>
        </w:tc>
        <w:tc>
          <w:tcPr>
            <w:tcW w:w="1760" w:type="dxa"/>
            <w:tcBorders>
              <w:top w:val="single" w:color="auto" w:sz="4" w:space="0"/>
              <w:left w:val="single" w:color="auto" w:sz="4" w:space="0"/>
              <w:bottom w:val="single" w:color="auto" w:sz="4" w:space="0"/>
              <w:right w:val="single" w:color="auto" w:sz="4" w:space="0"/>
            </w:tcBorders>
            <w:noWrap w:val="0"/>
            <w:vAlign w:val="center"/>
          </w:tcPr>
          <w:p>
            <w:pPr>
              <w:pStyle w:val="26"/>
              <w:jc w:val="center"/>
              <w:rPr>
                <w:rFonts w:eastAsia="方正仿宋_GBK"/>
                <w:color w:val="000000"/>
                <w:spacing w:val="-2"/>
                <w:szCs w:val="21"/>
              </w:rPr>
            </w:pPr>
          </w:p>
        </w:tc>
        <w:tc>
          <w:tcPr>
            <w:tcW w:w="1494"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pStyle w:val="26"/>
              <w:jc w:val="center"/>
              <w:rPr>
                <w:rFonts w:eastAsia="方正仿宋_GBK"/>
                <w:color w:val="000000"/>
                <w:spacing w:val="-2"/>
                <w:szCs w:val="21"/>
              </w:rPr>
            </w:pPr>
          </w:p>
        </w:tc>
        <w:tc>
          <w:tcPr>
            <w:tcW w:w="1366" w:type="dxa"/>
            <w:tcBorders>
              <w:top w:val="single" w:color="auto" w:sz="4" w:space="0"/>
              <w:left w:val="single" w:color="auto" w:sz="4" w:space="0"/>
              <w:bottom w:val="single" w:color="auto" w:sz="4" w:space="0"/>
              <w:right w:val="single" w:color="auto" w:sz="8" w:space="0"/>
            </w:tcBorders>
            <w:noWrap w:val="0"/>
            <w:vAlign w:val="top"/>
          </w:tcPr>
          <w:p>
            <w:pPr>
              <w:pStyle w:val="26"/>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697" w:type="dxa"/>
            <w:tcBorders>
              <w:top w:val="single" w:color="auto" w:sz="4" w:space="0"/>
              <w:left w:val="single" w:color="auto" w:sz="8" w:space="0"/>
              <w:bottom w:val="single" w:color="auto" w:sz="4" w:space="0"/>
              <w:right w:val="single" w:color="auto" w:sz="4" w:space="0"/>
            </w:tcBorders>
            <w:noWrap w:val="0"/>
            <w:vAlign w:val="center"/>
          </w:tcPr>
          <w:p>
            <w:pPr>
              <w:pStyle w:val="26"/>
              <w:jc w:val="center"/>
              <w:rPr>
                <w:rFonts w:eastAsia="方正仿宋_GBK"/>
                <w:color w:val="000000"/>
                <w:spacing w:val="-2"/>
                <w:szCs w:val="21"/>
              </w:rPr>
            </w:pPr>
            <w:r>
              <w:rPr>
                <w:rFonts w:eastAsia="方正仿宋_GBK"/>
                <w:color w:val="000000"/>
                <w:spacing w:val="-2"/>
                <w:szCs w:val="21"/>
              </w:rPr>
              <w:t>2</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pStyle w:val="26"/>
              <w:jc w:val="center"/>
              <w:rPr>
                <w:rFonts w:eastAsia="方正仿宋_GBK"/>
                <w:color w:val="000000"/>
                <w:spacing w:val="-2"/>
                <w:szCs w:val="21"/>
              </w:rPr>
            </w:pPr>
          </w:p>
        </w:tc>
        <w:tc>
          <w:tcPr>
            <w:tcW w:w="1630" w:type="dxa"/>
            <w:tcBorders>
              <w:top w:val="single" w:color="auto" w:sz="4" w:space="0"/>
              <w:left w:val="single" w:color="auto" w:sz="4" w:space="0"/>
              <w:bottom w:val="single" w:color="auto" w:sz="4" w:space="0"/>
              <w:right w:val="single" w:color="auto" w:sz="4" w:space="0"/>
            </w:tcBorders>
            <w:noWrap w:val="0"/>
            <w:vAlign w:val="center"/>
          </w:tcPr>
          <w:p>
            <w:pPr>
              <w:pStyle w:val="26"/>
              <w:jc w:val="center"/>
              <w:rPr>
                <w:rFonts w:eastAsia="方正仿宋_GBK"/>
                <w:color w:val="000000"/>
                <w:spacing w:val="-2"/>
                <w:szCs w:val="21"/>
              </w:rPr>
            </w:pPr>
          </w:p>
        </w:tc>
        <w:tc>
          <w:tcPr>
            <w:tcW w:w="3707" w:type="dxa"/>
            <w:tcBorders>
              <w:top w:val="single" w:color="auto" w:sz="4" w:space="0"/>
              <w:left w:val="single" w:color="auto" w:sz="4" w:space="0"/>
              <w:bottom w:val="single" w:color="auto" w:sz="4" w:space="0"/>
              <w:right w:val="single" w:color="auto" w:sz="4" w:space="0"/>
            </w:tcBorders>
            <w:noWrap w:val="0"/>
            <w:vAlign w:val="center"/>
          </w:tcPr>
          <w:p>
            <w:pPr>
              <w:pStyle w:val="26"/>
              <w:jc w:val="center"/>
              <w:rPr>
                <w:rFonts w:eastAsia="方正仿宋_GBK"/>
                <w:color w:val="000000"/>
                <w:spacing w:val="-2"/>
                <w:szCs w:val="21"/>
              </w:rPr>
            </w:pPr>
          </w:p>
        </w:tc>
        <w:tc>
          <w:tcPr>
            <w:tcW w:w="1760" w:type="dxa"/>
            <w:tcBorders>
              <w:top w:val="single" w:color="auto" w:sz="4" w:space="0"/>
              <w:left w:val="single" w:color="auto" w:sz="4" w:space="0"/>
              <w:bottom w:val="single" w:color="auto" w:sz="4" w:space="0"/>
              <w:right w:val="single" w:color="auto" w:sz="4" w:space="0"/>
            </w:tcBorders>
            <w:noWrap w:val="0"/>
            <w:vAlign w:val="center"/>
          </w:tcPr>
          <w:p>
            <w:pPr>
              <w:pStyle w:val="26"/>
              <w:jc w:val="center"/>
              <w:rPr>
                <w:rFonts w:eastAsia="方正仿宋_GBK"/>
                <w:color w:val="000000"/>
                <w:spacing w:val="-2"/>
                <w:szCs w:val="21"/>
              </w:rPr>
            </w:pPr>
          </w:p>
        </w:tc>
        <w:tc>
          <w:tcPr>
            <w:tcW w:w="1760" w:type="dxa"/>
            <w:tcBorders>
              <w:top w:val="single" w:color="auto" w:sz="4" w:space="0"/>
              <w:left w:val="single" w:color="auto" w:sz="4" w:space="0"/>
              <w:bottom w:val="single" w:color="auto" w:sz="4" w:space="0"/>
              <w:right w:val="single" w:color="auto" w:sz="4" w:space="0"/>
            </w:tcBorders>
            <w:noWrap w:val="0"/>
            <w:vAlign w:val="center"/>
          </w:tcPr>
          <w:p>
            <w:pPr>
              <w:pStyle w:val="26"/>
              <w:jc w:val="center"/>
              <w:rPr>
                <w:rFonts w:eastAsia="方正仿宋_GBK"/>
                <w:color w:val="000000"/>
                <w:spacing w:val="-2"/>
                <w:szCs w:val="21"/>
              </w:rPr>
            </w:pPr>
          </w:p>
        </w:tc>
        <w:tc>
          <w:tcPr>
            <w:tcW w:w="1494"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pStyle w:val="26"/>
              <w:jc w:val="center"/>
              <w:rPr>
                <w:rFonts w:eastAsia="方正仿宋_GBK"/>
                <w:color w:val="000000"/>
                <w:spacing w:val="-2"/>
                <w:szCs w:val="21"/>
              </w:rPr>
            </w:pPr>
          </w:p>
        </w:tc>
        <w:tc>
          <w:tcPr>
            <w:tcW w:w="1366" w:type="dxa"/>
            <w:tcBorders>
              <w:top w:val="single" w:color="auto" w:sz="4" w:space="0"/>
              <w:left w:val="single" w:color="auto" w:sz="4" w:space="0"/>
              <w:bottom w:val="single" w:color="auto" w:sz="4" w:space="0"/>
              <w:right w:val="single" w:color="auto" w:sz="8" w:space="0"/>
            </w:tcBorders>
            <w:noWrap w:val="0"/>
            <w:vAlign w:val="top"/>
          </w:tcPr>
          <w:p>
            <w:pPr>
              <w:pStyle w:val="26"/>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697" w:type="dxa"/>
            <w:tcBorders>
              <w:top w:val="single" w:color="auto" w:sz="4" w:space="0"/>
              <w:left w:val="single" w:color="auto" w:sz="8" w:space="0"/>
              <w:bottom w:val="single" w:color="auto" w:sz="4" w:space="0"/>
              <w:right w:val="single" w:color="auto" w:sz="4" w:space="0"/>
            </w:tcBorders>
            <w:noWrap w:val="0"/>
            <w:vAlign w:val="center"/>
          </w:tcPr>
          <w:p>
            <w:pPr>
              <w:pStyle w:val="26"/>
              <w:jc w:val="center"/>
              <w:rPr>
                <w:rFonts w:eastAsia="方正仿宋_GBK"/>
                <w:color w:val="000000"/>
                <w:spacing w:val="-2"/>
                <w:szCs w:val="21"/>
              </w:rPr>
            </w:pPr>
            <w:r>
              <w:rPr>
                <w:rFonts w:eastAsia="方正仿宋_GBK"/>
                <w:color w:val="000000"/>
                <w:spacing w:val="-2"/>
                <w:szCs w:val="21"/>
              </w:rPr>
              <w:t>3</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pStyle w:val="26"/>
              <w:jc w:val="center"/>
              <w:rPr>
                <w:rFonts w:eastAsia="方正仿宋_GBK"/>
                <w:color w:val="000000"/>
                <w:spacing w:val="-2"/>
                <w:szCs w:val="21"/>
              </w:rPr>
            </w:pPr>
          </w:p>
        </w:tc>
        <w:tc>
          <w:tcPr>
            <w:tcW w:w="1630" w:type="dxa"/>
            <w:tcBorders>
              <w:top w:val="single" w:color="auto" w:sz="4" w:space="0"/>
              <w:left w:val="single" w:color="auto" w:sz="4" w:space="0"/>
              <w:bottom w:val="single" w:color="auto" w:sz="4" w:space="0"/>
              <w:right w:val="single" w:color="auto" w:sz="4" w:space="0"/>
            </w:tcBorders>
            <w:noWrap w:val="0"/>
            <w:vAlign w:val="center"/>
          </w:tcPr>
          <w:p>
            <w:pPr>
              <w:pStyle w:val="26"/>
              <w:jc w:val="center"/>
              <w:rPr>
                <w:rFonts w:eastAsia="方正仿宋_GBK"/>
                <w:color w:val="000000"/>
                <w:spacing w:val="-2"/>
                <w:szCs w:val="21"/>
              </w:rPr>
            </w:pPr>
          </w:p>
        </w:tc>
        <w:tc>
          <w:tcPr>
            <w:tcW w:w="3707" w:type="dxa"/>
            <w:tcBorders>
              <w:top w:val="single" w:color="auto" w:sz="4" w:space="0"/>
              <w:left w:val="single" w:color="auto" w:sz="4" w:space="0"/>
              <w:bottom w:val="single" w:color="auto" w:sz="4" w:space="0"/>
              <w:right w:val="single" w:color="auto" w:sz="4" w:space="0"/>
            </w:tcBorders>
            <w:noWrap w:val="0"/>
            <w:vAlign w:val="center"/>
          </w:tcPr>
          <w:p>
            <w:pPr>
              <w:pStyle w:val="26"/>
              <w:jc w:val="center"/>
              <w:rPr>
                <w:rFonts w:eastAsia="方正仿宋_GBK"/>
                <w:color w:val="000000"/>
                <w:spacing w:val="-2"/>
                <w:szCs w:val="21"/>
              </w:rPr>
            </w:pPr>
          </w:p>
        </w:tc>
        <w:tc>
          <w:tcPr>
            <w:tcW w:w="1760" w:type="dxa"/>
            <w:tcBorders>
              <w:top w:val="single" w:color="auto" w:sz="4" w:space="0"/>
              <w:left w:val="single" w:color="auto" w:sz="4" w:space="0"/>
              <w:bottom w:val="single" w:color="auto" w:sz="4" w:space="0"/>
              <w:right w:val="single" w:color="auto" w:sz="4" w:space="0"/>
            </w:tcBorders>
            <w:noWrap w:val="0"/>
            <w:vAlign w:val="center"/>
          </w:tcPr>
          <w:p>
            <w:pPr>
              <w:pStyle w:val="26"/>
              <w:jc w:val="center"/>
              <w:rPr>
                <w:rFonts w:eastAsia="方正仿宋_GBK"/>
                <w:color w:val="000000"/>
                <w:spacing w:val="-2"/>
                <w:szCs w:val="21"/>
              </w:rPr>
            </w:pPr>
          </w:p>
        </w:tc>
        <w:tc>
          <w:tcPr>
            <w:tcW w:w="1760" w:type="dxa"/>
            <w:tcBorders>
              <w:top w:val="single" w:color="auto" w:sz="4" w:space="0"/>
              <w:left w:val="single" w:color="auto" w:sz="4" w:space="0"/>
              <w:bottom w:val="single" w:color="auto" w:sz="4" w:space="0"/>
              <w:right w:val="single" w:color="auto" w:sz="4" w:space="0"/>
            </w:tcBorders>
            <w:noWrap w:val="0"/>
            <w:vAlign w:val="center"/>
          </w:tcPr>
          <w:p>
            <w:pPr>
              <w:pStyle w:val="26"/>
              <w:jc w:val="center"/>
              <w:rPr>
                <w:rFonts w:eastAsia="方正仿宋_GBK"/>
                <w:color w:val="000000"/>
                <w:spacing w:val="-2"/>
                <w:szCs w:val="21"/>
              </w:rPr>
            </w:pPr>
          </w:p>
        </w:tc>
        <w:tc>
          <w:tcPr>
            <w:tcW w:w="1494"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pStyle w:val="26"/>
              <w:jc w:val="center"/>
              <w:rPr>
                <w:rFonts w:eastAsia="方正仿宋_GBK"/>
                <w:color w:val="000000"/>
                <w:spacing w:val="-2"/>
                <w:szCs w:val="21"/>
              </w:rPr>
            </w:pPr>
          </w:p>
        </w:tc>
        <w:tc>
          <w:tcPr>
            <w:tcW w:w="1366" w:type="dxa"/>
            <w:tcBorders>
              <w:top w:val="single" w:color="auto" w:sz="4" w:space="0"/>
              <w:left w:val="single" w:color="auto" w:sz="4" w:space="0"/>
              <w:bottom w:val="single" w:color="auto" w:sz="4" w:space="0"/>
              <w:right w:val="single" w:color="auto" w:sz="8" w:space="0"/>
            </w:tcBorders>
            <w:noWrap w:val="0"/>
            <w:vAlign w:val="top"/>
          </w:tcPr>
          <w:p>
            <w:pPr>
              <w:pStyle w:val="26"/>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697" w:type="dxa"/>
            <w:tcBorders>
              <w:top w:val="single" w:color="auto" w:sz="4" w:space="0"/>
              <w:left w:val="single" w:color="auto" w:sz="8" w:space="0"/>
              <w:bottom w:val="single" w:color="auto" w:sz="4" w:space="0"/>
              <w:right w:val="single" w:color="auto" w:sz="4" w:space="0"/>
            </w:tcBorders>
            <w:noWrap w:val="0"/>
            <w:vAlign w:val="center"/>
          </w:tcPr>
          <w:p>
            <w:pPr>
              <w:pStyle w:val="26"/>
              <w:jc w:val="center"/>
              <w:rPr>
                <w:rFonts w:eastAsia="方正仿宋_GBK"/>
                <w:color w:val="000000"/>
                <w:spacing w:val="-2"/>
                <w:szCs w:val="21"/>
              </w:rPr>
            </w:pPr>
            <w:r>
              <w:rPr>
                <w:rFonts w:eastAsia="方正仿宋_GBK"/>
                <w:color w:val="000000"/>
                <w:spacing w:val="-2"/>
                <w:szCs w:val="21"/>
              </w:rPr>
              <w:t>4</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pStyle w:val="26"/>
              <w:jc w:val="center"/>
              <w:rPr>
                <w:rFonts w:eastAsia="方正仿宋_GBK"/>
                <w:color w:val="000000"/>
                <w:spacing w:val="-2"/>
                <w:szCs w:val="21"/>
              </w:rPr>
            </w:pPr>
          </w:p>
        </w:tc>
        <w:tc>
          <w:tcPr>
            <w:tcW w:w="1630" w:type="dxa"/>
            <w:tcBorders>
              <w:top w:val="single" w:color="auto" w:sz="4" w:space="0"/>
              <w:left w:val="single" w:color="auto" w:sz="4" w:space="0"/>
              <w:bottom w:val="single" w:color="auto" w:sz="4" w:space="0"/>
              <w:right w:val="single" w:color="auto" w:sz="4" w:space="0"/>
            </w:tcBorders>
            <w:noWrap w:val="0"/>
            <w:vAlign w:val="center"/>
          </w:tcPr>
          <w:p>
            <w:pPr>
              <w:pStyle w:val="26"/>
              <w:jc w:val="center"/>
              <w:rPr>
                <w:rFonts w:eastAsia="方正仿宋_GBK"/>
                <w:color w:val="000000"/>
                <w:spacing w:val="-2"/>
                <w:szCs w:val="21"/>
              </w:rPr>
            </w:pPr>
          </w:p>
        </w:tc>
        <w:tc>
          <w:tcPr>
            <w:tcW w:w="3707" w:type="dxa"/>
            <w:tcBorders>
              <w:top w:val="single" w:color="auto" w:sz="4" w:space="0"/>
              <w:left w:val="single" w:color="auto" w:sz="4" w:space="0"/>
              <w:bottom w:val="single" w:color="auto" w:sz="4" w:space="0"/>
              <w:right w:val="single" w:color="auto" w:sz="4" w:space="0"/>
            </w:tcBorders>
            <w:noWrap w:val="0"/>
            <w:vAlign w:val="center"/>
          </w:tcPr>
          <w:p>
            <w:pPr>
              <w:pStyle w:val="26"/>
              <w:jc w:val="center"/>
              <w:rPr>
                <w:rFonts w:eastAsia="方正仿宋_GBK"/>
                <w:color w:val="000000"/>
                <w:spacing w:val="-2"/>
                <w:szCs w:val="21"/>
              </w:rPr>
            </w:pPr>
          </w:p>
        </w:tc>
        <w:tc>
          <w:tcPr>
            <w:tcW w:w="1760" w:type="dxa"/>
            <w:tcBorders>
              <w:top w:val="single" w:color="auto" w:sz="4" w:space="0"/>
              <w:left w:val="single" w:color="auto" w:sz="4" w:space="0"/>
              <w:bottom w:val="single" w:color="auto" w:sz="4" w:space="0"/>
              <w:right w:val="single" w:color="auto" w:sz="4" w:space="0"/>
            </w:tcBorders>
            <w:noWrap w:val="0"/>
            <w:vAlign w:val="center"/>
          </w:tcPr>
          <w:p>
            <w:pPr>
              <w:pStyle w:val="26"/>
              <w:jc w:val="center"/>
              <w:rPr>
                <w:rFonts w:eastAsia="方正仿宋_GBK"/>
                <w:color w:val="000000"/>
                <w:spacing w:val="-2"/>
                <w:szCs w:val="21"/>
              </w:rPr>
            </w:pPr>
          </w:p>
        </w:tc>
        <w:tc>
          <w:tcPr>
            <w:tcW w:w="1760" w:type="dxa"/>
            <w:tcBorders>
              <w:top w:val="single" w:color="auto" w:sz="4" w:space="0"/>
              <w:left w:val="single" w:color="auto" w:sz="4" w:space="0"/>
              <w:bottom w:val="single" w:color="auto" w:sz="4" w:space="0"/>
              <w:right w:val="single" w:color="auto" w:sz="4" w:space="0"/>
            </w:tcBorders>
            <w:noWrap w:val="0"/>
            <w:vAlign w:val="center"/>
          </w:tcPr>
          <w:p>
            <w:pPr>
              <w:pStyle w:val="26"/>
              <w:jc w:val="center"/>
              <w:rPr>
                <w:rFonts w:eastAsia="方正仿宋_GBK"/>
                <w:color w:val="000000"/>
                <w:spacing w:val="-2"/>
                <w:szCs w:val="21"/>
              </w:rPr>
            </w:pPr>
          </w:p>
        </w:tc>
        <w:tc>
          <w:tcPr>
            <w:tcW w:w="1494"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pStyle w:val="26"/>
              <w:jc w:val="center"/>
              <w:rPr>
                <w:rFonts w:eastAsia="方正仿宋_GBK"/>
                <w:color w:val="000000"/>
                <w:spacing w:val="-2"/>
                <w:szCs w:val="21"/>
              </w:rPr>
            </w:pPr>
          </w:p>
        </w:tc>
        <w:tc>
          <w:tcPr>
            <w:tcW w:w="1366" w:type="dxa"/>
            <w:tcBorders>
              <w:top w:val="single" w:color="auto" w:sz="4" w:space="0"/>
              <w:left w:val="single" w:color="auto" w:sz="4" w:space="0"/>
              <w:bottom w:val="single" w:color="auto" w:sz="4" w:space="0"/>
              <w:right w:val="single" w:color="auto" w:sz="8" w:space="0"/>
            </w:tcBorders>
            <w:noWrap w:val="0"/>
            <w:vAlign w:val="top"/>
          </w:tcPr>
          <w:p>
            <w:pPr>
              <w:pStyle w:val="26"/>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697" w:type="dxa"/>
            <w:tcBorders>
              <w:top w:val="single" w:color="auto" w:sz="4" w:space="0"/>
              <w:left w:val="single" w:color="auto" w:sz="8" w:space="0"/>
              <w:bottom w:val="single" w:color="auto" w:sz="4" w:space="0"/>
              <w:right w:val="single" w:color="auto" w:sz="4" w:space="0"/>
            </w:tcBorders>
            <w:noWrap w:val="0"/>
            <w:vAlign w:val="center"/>
          </w:tcPr>
          <w:p>
            <w:pPr>
              <w:pStyle w:val="26"/>
              <w:jc w:val="center"/>
              <w:rPr>
                <w:rFonts w:eastAsia="方正仿宋_GBK"/>
                <w:color w:val="000000"/>
                <w:spacing w:val="-2"/>
                <w:szCs w:val="21"/>
              </w:rPr>
            </w:pPr>
            <w:r>
              <w:rPr>
                <w:rFonts w:eastAsia="方正仿宋_GBK"/>
                <w:color w:val="000000"/>
                <w:spacing w:val="-2"/>
                <w:szCs w:val="21"/>
              </w:rPr>
              <w:t>5</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pStyle w:val="26"/>
              <w:jc w:val="center"/>
              <w:rPr>
                <w:rFonts w:eastAsia="方正仿宋_GBK"/>
                <w:color w:val="000000"/>
                <w:spacing w:val="-2"/>
                <w:szCs w:val="21"/>
              </w:rPr>
            </w:pPr>
          </w:p>
        </w:tc>
        <w:tc>
          <w:tcPr>
            <w:tcW w:w="1630" w:type="dxa"/>
            <w:tcBorders>
              <w:top w:val="single" w:color="auto" w:sz="4" w:space="0"/>
              <w:left w:val="single" w:color="auto" w:sz="4" w:space="0"/>
              <w:bottom w:val="single" w:color="auto" w:sz="4" w:space="0"/>
              <w:right w:val="single" w:color="auto" w:sz="4" w:space="0"/>
            </w:tcBorders>
            <w:noWrap w:val="0"/>
            <w:vAlign w:val="center"/>
          </w:tcPr>
          <w:p>
            <w:pPr>
              <w:pStyle w:val="26"/>
              <w:jc w:val="center"/>
              <w:rPr>
                <w:rFonts w:eastAsia="方正仿宋_GBK"/>
                <w:color w:val="000000"/>
                <w:spacing w:val="-2"/>
                <w:szCs w:val="21"/>
              </w:rPr>
            </w:pPr>
          </w:p>
        </w:tc>
        <w:tc>
          <w:tcPr>
            <w:tcW w:w="3707" w:type="dxa"/>
            <w:tcBorders>
              <w:top w:val="single" w:color="auto" w:sz="4" w:space="0"/>
              <w:left w:val="single" w:color="auto" w:sz="4" w:space="0"/>
              <w:bottom w:val="single" w:color="auto" w:sz="4" w:space="0"/>
              <w:right w:val="single" w:color="auto" w:sz="4" w:space="0"/>
            </w:tcBorders>
            <w:noWrap w:val="0"/>
            <w:vAlign w:val="center"/>
          </w:tcPr>
          <w:p>
            <w:pPr>
              <w:pStyle w:val="26"/>
              <w:jc w:val="center"/>
              <w:rPr>
                <w:rFonts w:eastAsia="方正仿宋_GBK"/>
                <w:color w:val="000000"/>
                <w:spacing w:val="-2"/>
                <w:szCs w:val="21"/>
              </w:rPr>
            </w:pPr>
          </w:p>
        </w:tc>
        <w:tc>
          <w:tcPr>
            <w:tcW w:w="1760" w:type="dxa"/>
            <w:tcBorders>
              <w:top w:val="single" w:color="auto" w:sz="4" w:space="0"/>
              <w:left w:val="single" w:color="auto" w:sz="4" w:space="0"/>
              <w:bottom w:val="single" w:color="auto" w:sz="4" w:space="0"/>
              <w:right w:val="single" w:color="auto" w:sz="4" w:space="0"/>
            </w:tcBorders>
            <w:noWrap w:val="0"/>
            <w:vAlign w:val="center"/>
          </w:tcPr>
          <w:p>
            <w:pPr>
              <w:pStyle w:val="26"/>
              <w:jc w:val="center"/>
              <w:rPr>
                <w:rFonts w:eastAsia="方正仿宋_GBK"/>
                <w:color w:val="000000"/>
                <w:spacing w:val="-2"/>
                <w:szCs w:val="21"/>
              </w:rPr>
            </w:pPr>
          </w:p>
        </w:tc>
        <w:tc>
          <w:tcPr>
            <w:tcW w:w="1760" w:type="dxa"/>
            <w:tcBorders>
              <w:top w:val="single" w:color="auto" w:sz="4" w:space="0"/>
              <w:left w:val="single" w:color="auto" w:sz="4" w:space="0"/>
              <w:bottom w:val="single" w:color="auto" w:sz="4" w:space="0"/>
              <w:right w:val="single" w:color="auto" w:sz="4" w:space="0"/>
            </w:tcBorders>
            <w:noWrap w:val="0"/>
            <w:vAlign w:val="center"/>
          </w:tcPr>
          <w:p>
            <w:pPr>
              <w:pStyle w:val="26"/>
              <w:jc w:val="center"/>
              <w:rPr>
                <w:rFonts w:eastAsia="方正仿宋_GBK"/>
                <w:color w:val="000000"/>
                <w:spacing w:val="-2"/>
                <w:szCs w:val="21"/>
              </w:rPr>
            </w:pPr>
          </w:p>
        </w:tc>
        <w:tc>
          <w:tcPr>
            <w:tcW w:w="1494"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pStyle w:val="26"/>
              <w:jc w:val="center"/>
              <w:rPr>
                <w:rFonts w:eastAsia="方正仿宋_GBK"/>
                <w:color w:val="000000"/>
                <w:spacing w:val="-2"/>
                <w:szCs w:val="21"/>
              </w:rPr>
            </w:pPr>
          </w:p>
        </w:tc>
        <w:tc>
          <w:tcPr>
            <w:tcW w:w="1366" w:type="dxa"/>
            <w:tcBorders>
              <w:top w:val="single" w:color="auto" w:sz="4" w:space="0"/>
              <w:left w:val="single" w:color="auto" w:sz="4" w:space="0"/>
              <w:bottom w:val="single" w:color="auto" w:sz="4" w:space="0"/>
              <w:right w:val="single" w:color="auto" w:sz="8" w:space="0"/>
            </w:tcBorders>
            <w:noWrap w:val="0"/>
            <w:vAlign w:val="top"/>
          </w:tcPr>
          <w:p>
            <w:pPr>
              <w:pStyle w:val="26"/>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697" w:type="dxa"/>
            <w:tcBorders>
              <w:top w:val="single" w:color="auto" w:sz="4" w:space="0"/>
              <w:left w:val="single" w:color="auto" w:sz="8" w:space="0"/>
              <w:bottom w:val="single" w:color="auto" w:sz="4" w:space="0"/>
              <w:right w:val="single" w:color="auto" w:sz="4" w:space="0"/>
            </w:tcBorders>
            <w:noWrap w:val="0"/>
            <w:vAlign w:val="center"/>
          </w:tcPr>
          <w:p>
            <w:pPr>
              <w:pStyle w:val="26"/>
              <w:jc w:val="center"/>
              <w:rPr>
                <w:rFonts w:eastAsia="方正仿宋_GBK"/>
                <w:color w:val="000000"/>
                <w:spacing w:val="-2"/>
                <w:szCs w:val="21"/>
              </w:rPr>
            </w:pPr>
            <w:r>
              <w:rPr>
                <w:rFonts w:eastAsia="方正仿宋_GBK"/>
                <w:color w:val="000000"/>
                <w:spacing w:val="-2"/>
                <w:szCs w:val="21"/>
              </w:rPr>
              <w:t>6</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pStyle w:val="26"/>
              <w:jc w:val="center"/>
              <w:rPr>
                <w:rFonts w:eastAsia="方正仿宋_GBK"/>
                <w:color w:val="000000"/>
                <w:spacing w:val="-2"/>
                <w:szCs w:val="21"/>
              </w:rPr>
            </w:pPr>
          </w:p>
        </w:tc>
        <w:tc>
          <w:tcPr>
            <w:tcW w:w="1630" w:type="dxa"/>
            <w:tcBorders>
              <w:top w:val="single" w:color="auto" w:sz="4" w:space="0"/>
              <w:left w:val="single" w:color="auto" w:sz="4" w:space="0"/>
              <w:bottom w:val="single" w:color="auto" w:sz="4" w:space="0"/>
              <w:right w:val="single" w:color="auto" w:sz="4" w:space="0"/>
            </w:tcBorders>
            <w:noWrap w:val="0"/>
            <w:vAlign w:val="center"/>
          </w:tcPr>
          <w:p>
            <w:pPr>
              <w:pStyle w:val="26"/>
              <w:jc w:val="center"/>
              <w:rPr>
                <w:rFonts w:eastAsia="方正仿宋_GBK"/>
                <w:color w:val="000000"/>
                <w:spacing w:val="-2"/>
                <w:szCs w:val="21"/>
              </w:rPr>
            </w:pPr>
          </w:p>
        </w:tc>
        <w:tc>
          <w:tcPr>
            <w:tcW w:w="3707" w:type="dxa"/>
            <w:tcBorders>
              <w:top w:val="single" w:color="auto" w:sz="4" w:space="0"/>
              <w:left w:val="single" w:color="auto" w:sz="4" w:space="0"/>
              <w:bottom w:val="single" w:color="auto" w:sz="4" w:space="0"/>
              <w:right w:val="single" w:color="auto" w:sz="4" w:space="0"/>
            </w:tcBorders>
            <w:noWrap w:val="0"/>
            <w:vAlign w:val="center"/>
          </w:tcPr>
          <w:p>
            <w:pPr>
              <w:pStyle w:val="26"/>
              <w:jc w:val="center"/>
              <w:rPr>
                <w:rFonts w:eastAsia="方正仿宋_GBK"/>
                <w:color w:val="000000"/>
                <w:spacing w:val="-2"/>
                <w:szCs w:val="21"/>
              </w:rPr>
            </w:pPr>
          </w:p>
        </w:tc>
        <w:tc>
          <w:tcPr>
            <w:tcW w:w="1760" w:type="dxa"/>
            <w:tcBorders>
              <w:top w:val="single" w:color="auto" w:sz="4" w:space="0"/>
              <w:left w:val="single" w:color="auto" w:sz="4" w:space="0"/>
              <w:bottom w:val="single" w:color="auto" w:sz="4" w:space="0"/>
              <w:right w:val="single" w:color="auto" w:sz="4" w:space="0"/>
            </w:tcBorders>
            <w:noWrap w:val="0"/>
            <w:vAlign w:val="center"/>
          </w:tcPr>
          <w:p>
            <w:pPr>
              <w:pStyle w:val="26"/>
              <w:jc w:val="center"/>
              <w:rPr>
                <w:rFonts w:eastAsia="方正仿宋_GBK"/>
                <w:color w:val="000000"/>
                <w:spacing w:val="-2"/>
                <w:szCs w:val="21"/>
              </w:rPr>
            </w:pPr>
          </w:p>
        </w:tc>
        <w:tc>
          <w:tcPr>
            <w:tcW w:w="1760" w:type="dxa"/>
            <w:tcBorders>
              <w:top w:val="single" w:color="auto" w:sz="4" w:space="0"/>
              <w:left w:val="single" w:color="auto" w:sz="4" w:space="0"/>
              <w:bottom w:val="single" w:color="auto" w:sz="4" w:space="0"/>
              <w:right w:val="single" w:color="auto" w:sz="4" w:space="0"/>
            </w:tcBorders>
            <w:noWrap w:val="0"/>
            <w:vAlign w:val="center"/>
          </w:tcPr>
          <w:p>
            <w:pPr>
              <w:pStyle w:val="26"/>
              <w:jc w:val="center"/>
              <w:rPr>
                <w:rFonts w:eastAsia="方正仿宋_GBK"/>
                <w:color w:val="000000"/>
                <w:spacing w:val="-2"/>
                <w:szCs w:val="21"/>
              </w:rPr>
            </w:pPr>
          </w:p>
        </w:tc>
        <w:tc>
          <w:tcPr>
            <w:tcW w:w="1494"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pStyle w:val="26"/>
              <w:jc w:val="center"/>
              <w:rPr>
                <w:rFonts w:eastAsia="方正仿宋_GBK"/>
                <w:color w:val="000000"/>
                <w:spacing w:val="-2"/>
                <w:szCs w:val="21"/>
              </w:rPr>
            </w:pPr>
          </w:p>
        </w:tc>
        <w:tc>
          <w:tcPr>
            <w:tcW w:w="1366" w:type="dxa"/>
            <w:tcBorders>
              <w:top w:val="single" w:color="auto" w:sz="4" w:space="0"/>
              <w:left w:val="single" w:color="auto" w:sz="4" w:space="0"/>
              <w:bottom w:val="single" w:color="auto" w:sz="4" w:space="0"/>
              <w:right w:val="single" w:color="auto" w:sz="8" w:space="0"/>
            </w:tcBorders>
            <w:noWrap w:val="0"/>
            <w:vAlign w:val="top"/>
          </w:tcPr>
          <w:p>
            <w:pPr>
              <w:pStyle w:val="26"/>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697" w:type="dxa"/>
            <w:tcBorders>
              <w:top w:val="single" w:color="auto" w:sz="4" w:space="0"/>
              <w:left w:val="single" w:color="auto" w:sz="8" w:space="0"/>
              <w:bottom w:val="single" w:color="auto" w:sz="4" w:space="0"/>
              <w:right w:val="single" w:color="auto" w:sz="4" w:space="0"/>
            </w:tcBorders>
            <w:noWrap w:val="0"/>
            <w:vAlign w:val="center"/>
          </w:tcPr>
          <w:p>
            <w:pPr>
              <w:pStyle w:val="26"/>
              <w:jc w:val="center"/>
              <w:rPr>
                <w:rFonts w:eastAsia="方正仿宋_GBK"/>
                <w:color w:val="000000"/>
                <w:spacing w:val="-2"/>
                <w:szCs w:val="21"/>
              </w:rPr>
            </w:pPr>
            <w:r>
              <w:rPr>
                <w:rFonts w:eastAsia="方正仿宋_GBK"/>
                <w:color w:val="000000"/>
                <w:spacing w:val="-2"/>
                <w:szCs w:val="21"/>
              </w:rPr>
              <w:t>7</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pStyle w:val="26"/>
              <w:jc w:val="center"/>
              <w:rPr>
                <w:rFonts w:eastAsia="方正仿宋_GBK"/>
                <w:color w:val="000000"/>
                <w:spacing w:val="-2"/>
                <w:szCs w:val="21"/>
              </w:rPr>
            </w:pPr>
          </w:p>
        </w:tc>
        <w:tc>
          <w:tcPr>
            <w:tcW w:w="1630" w:type="dxa"/>
            <w:tcBorders>
              <w:top w:val="single" w:color="auto" w:sz="4" w:space="0"/>
              <w:left w:val="single" w:color="auto" w:sz="4" w:space="0"/>
              <w:bottom w:val="single" w:color="auto" w:sz="4" w:space="0"/>
              <w:right w:val="single" w:color="auto" w:sz="4" w:space="0"/>
            </w:tcBorders>
            <w:noWrap w:val="0"/>
            <w:vAlign w:val="center"/>
          </w:tcPr>
          <w:p>
            <w:pPr>
              <w:pStyle w:val="26"/>
              <w:jc w:val="center"/>
              <w:rPr>
                <w:rFonts w:eastAsia="方正仿宋_GBK"/>
                <w:color w:val="000000"/>
                <w:spacing w:val="-2"/>
                <w:szCs w:val="21"/>
              </w:rPr>
            </w:pPr>
          </w:p>
        </w:tc>
        <w:tc>
          <w:tcPr>
            <w:tcW w:w="3707" w:type="dxa"/>
            <w:tcBorders>
              <w:top w:val="single" w:color="auto" w:sz="4" w:space="0"/>
              <w:left w:val="single" w:color="auto" w:sz="4" w:space="0"/>
              <w:bottom w:val="single" w:color="auto" w:sz="4" w:space="0"/>
              <w:right w:val="single" w:color="auto" w:sz="4" w:space="0"/>
            </w:tcBorders>
            <w:noWrap w:val="0"/>
            <w:vAlign w:val="center"/>
          </w:tcPr>
          <w:p>
            <w:pPr>
              <w:pStyle w:val="26"/>
              <w:jc w:val="center"/>
              <w:rPr>
                <w:rFonts w:eastAsia="方正仿宋_GBK"/>
                <w:color w:val="000000"/>
                <w:spacing w:val="-2"/>
                <w:szCs w:val="21"/>
              </w:rPr>
            </w:pPr>
          </w:p>
        </w:tc>
        <w:tc>
          <w:tcPr>
            <w:tcW w:w="1760" w:type="dxa"/>
            <w:tcBorders>
              <w:top w:val="single" w:color="auto" w:sz="4" w:space="0"/>
              <w:left w:val="single" w:color="auto" w:sz="4" w:space="0"/>
              <w:bottom w:val="single" w:color="auto" w:sz="4" w:space="0"/>
              <w:right w:val="single" w:color="auto" w:sz="4" w:space="0"/>
            </w:tcBorders>
            <w:noWrap w:val="0"/>
            <w:vAlign w:val="center"/>
          </w:tcPr>
          <w:p>
            <w:pPr>
              <w:pStyle w:val="26"/>
              <w:jc w:val="center"/>
              <w:rPr>
                <w:rFonts w:eastAsia="方正仿宋_GBK"/>
                <w:color w:val="000000"/>
                <w:spacing w:val="-2"/>
                <w:szCs w:val="21"/>
              </w:rPr>
            </w:pPr>
          </w:p>
        </w:tc>
        <w:tc>
          <w:tcPr>
            <w:tcW w:w="1760" w:type="dxa"/>
            <w:tcBorders>
              <w:top w:val="single" w:color="auto" w:sz="4" w:space="0"/>
              <w:left w:val="single" w:color="auto" w:sz="4" w:space="0"/>
              <w:bottom w:val="single" w:color="auto" w:sz="4" w:space="0"/>
              <w:right w:val="single" w:color="auto" w:sz="4" w:space="0"/>
            </w:tcBorders>
            <w:noWrap w:val="0"/>
            <w:vAlign w:val="center"/>
          </w:tcPr>
          <w:p>
            <w:pPr>
              <w:pStyle w:val="26"/>
              <w:jc w:val="center"/>
              <w:rPr>
                <w:rFonts w:eastAsia="方正仿宋_GBK"/>
                <w:color w:val="000000"/>
                <w:spacing w:val="-2"/>
                <w:szCs w:val="21"/>
              </w:rPr>
            </w:pPr>
          </w:p>
        </w:tc>
        <w:tc>
          <w:tcPr>
            <w:tcW w:w="1494"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pStyle w:val="26"/>
              <w:jc w:val="center"/>
              <w:rPr>
                <w:rFonts w:eastAsia="方正仿宋_GBK"/>
                <w:color w:val="000000"/>
                <w:spacing w:val="-2"/>
                <w:szCs w:val="21"/>
              </w:rPr>
            </w:pPr>
          </w:p>
        </w:tc>
        <w:tc>
          <w:tcPr>
            <w:tcW w:w="1366" w:type="dxa"/>
            <w:tcBorders>
              <w:top w:val="single" w:color="auto" w:sz="4" w:space="0"/>
              <w:left w:val="single" w:color="auto" w:sz="4" w:space="0"/>
              <w:bottom w:val="single" w:color="auto" w:sz="4" w:space="0"/>
              <w:right w:val="single" w:color="auto" w:sz="8" w:space="0"/>
            </w:tcBorders>
            <w:noWrap w:val="0"/>
            <w:vAlign w:val="top"/>
          </w:tcPr>
          <w:p>
            <w:pPr>
              <w:pStyle w:val="26"/>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697" w:type="dxa"/>
            <w:tcBorders>
              <w:top w:val="single" w:color="auto" w:sz="4" w:space="0"/>
              <w:left w:val="single" w:color="auto" w:sz="8" w:space="0"/>
              <w:bottom w:val="single" w:color="auto" w:sz="4" w:space="0"/>
              <w:right w:val="single" w:color="auto" w:sz="4" w:space="0"/>
            </w:tcBorders>
            <w:noWrap w:val="0"/>
            <w:vAlign w:val="center"/>
          </w:tcPr>
          <w:p>
            <w:pPr>
              <w:pStyle w:val="26"/>
              <w:jc w:val="center"/>
              <w:rPr>
                <w:rFonts w:eastAsia="方正仿宋_GBK"/>
                <w:color w:val="000000"/>
                <w:spacing w:val="-2"/>
                <w:szCs w:val="21"/>
              </w:rPr>
            </w:pPr>
            <w:r>
              <w:rPr>
                <w:rFonts w:eastAsia="方正仿宋_GBK"/>
                <w:color w:val="000000"/>
                <w:spacing w:val="-2"/>
                <w:szCs w:val="21"/>
              </w:rPr>
              <w:t>8</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pStyle w:val="26"/>
              <w:jc w:val="center"/>
              <w:rPr>
                <w:rFonts w:eastAsia="方正仿宋_GBK"/>
                <w:color w:val="000000"/>
                <w:spacing w:val="-2"/>
                <w:szCs w:val="21"/>
              </w:rPr>
            </w:pPr>
          </w:p>
        </w:tc>
        <w:tc>
          <w:tcPr>
            <w:tcW w:w="1630" w:type="dxa"/>
            <w:tcBorders>
              <w:top w:val="single" w:color="auto" w:sz="4" w:space="0"/>
              <w:left w:val="single" w:color="auto" w:sz="4" w:space="0"/>
              <w:bottom w:val="single" w:color="auto" w:sz="4" w:space="0"/>
              <w:right w:val="single" w:color="auto" w:sz="4" w:space="0"/>
            </w:tcBorders>
            <w:noWrap w:val="0"/>
            <w:vAlign w:val="center"/>
          </w:tcPr>
          <w:p>
            <w:pPr>
              <w:pStyle w:val="26"/>
              <w:jc w:val="center"/>
              <w:rPr>
                <w:rFonts w:eastAsia="方正仿宋_GBK"/>
                <w:color w:val="000000"/>
                <w:spacing w:val="-2"/>
                <w:szCs w:val="21"/>
              </w:rPr>
            </w:pPr>
          </w:p>
        </w:tc>
        <w:tc>
          <w:tcPr>
            <w:tcW w:w="3707" w:type="dxa"/>
            <w:tcBorders>
              <w:top w:val="single" w:color="auto" w:sz="4" w:space="0"/>
              <w:left w:val="single" w:color="auto" w:sz="4" w:space="0"/>
              <w:bottom w:val="single" w:color="auto" w:sz="4" w:space="0"/>
              <w:right w:val="single" w:color="auto" w:sz="4" w:space="0"/>
            </w:tcBorders>
            <w:noWrap w:val="0"/>
            <w:vAlign w:val="center"/>
          </w:tcPr>
          <w:p>
            <w:pPr>
              <w:pStyle w:val="26"/>
              <w:jc w:val="center"/>
              <w:rPr>
                <w:rFonts w:eastAsia="方正仿宋_GBK"/>
                <w:color w:val="000000"/>
                <w:spacing w:val="-2"/>
                <w:szCs w:val="21"/>
              </w:rPr>
            </w:pPr>
          </w:p>
        </w:tc>
        <w:tc>
          <w:tcPr>
            <w:tcW w:w="1760" w:type="dxa"/>
            <w:tcBorders>
              <w:top w:val="single" w:color="auto" w:sz="4" w:space="0"/>
              <w:left w:val="single" w:color="auto" w:sz="4" w:space="0"/>
              <w:bottom w:val="single" w:color="auto" w:sz="4" w:space="0"/>
              <w:right w:val="single" w:color="auto" w:sz="4" w:space="0"/>
            </w:tcBorders>
            <w:noWrap w:val="0"/>
            <w:vAlign w:val="center"/>
          </w:tcPr>
          <w:p>
            <w:pPr>
              <w:pStyle w:val="26"/>
              <w:jc w:val="center"/>
              <w:rPr>
                <w:rFonts w:eastAsia="方正仿宋_GBK"/>
                <w:color w:val="000000"/>
                <w:spacing w:val="-2"/>
                <w:szCs w:val="21"/>
              </w:rPr>
            </w:pPr>
          </w:p>
        </w:tc>
        <w:tc>
          <w:tcPr>
            <w:tcW w:w="1760" w:type="dxa"/>
            <w:tcBorders>
              <w:top w:val="single" w:color="auto" w:sz="4" w:space="0"/>
              <w:left w:val="single" w:color="auto" w:sz="4" w:space="0"/>
              <w:bottom w:val="single" w:color="auto" w:sz="4" w:space="0"/>
              <w:right w:val="single" w:color="auto" w:sz="4" w:space="0"/>
            </w:tcBorders>
            <w:noWrap w:val="0"/>
            <w:vAlign w:val="center"/>
          </w:tcPr>
          <w:p>
            <w:pPr>
              <w:pStyle w:val="26"/>
              <w:jc w:val="center"/>
              <w:rPr>
                <w:rFonts w:eastAsia="方正仿宋_GBK"/>
                <w:color w:val="000000"/>
                <w:spacing w:val="-2"/>
                <w:szCs w:val="21"/>
              </w:rPr>
            </w:pPr>
          </w:p>
        </w:tc>
        <w:tc>
          <w:tcPr>
            <w:tcW w:w="1494"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pStyle w:val="26"/>
              <w:jc w:val="center"/>
              <w:rPr>
                <w:rFonts w:eastAsia="方正仿宋_GBK"/>
                <w:color w:val="000000"/>
                <w:spacing w:val="-2"/>
                <w:szCs w:val="21"/>
              </w:rPr>
            </w:pPr>
          </w:p>
        </w:tc>
        <w:tc>
          <w:tcPr>
            <w:tcW w:w="1366" w:type="dxa"/>
            <w:tcBorders>
              <w:top w:val="single" w:color="auto" w:sz="4" w:space="0"/>
              <w:left w:val="single" w:color="auto" w:sz="4" w:space="0"/>
              <w:bottom w:val="single" w:color="auto" w:sz="4" w:space="0"/>
              <w:right w:val="single" w:color="auto" w:sz="8" w:space="0"/>
            </w:tcBorders>
            <w:noWrap w:val="0"/>
            <w:vAlign w:val="top"/>
          </w:tcPr>
          <w:p>
            <w:pPr>
              <w:pStyle w:val="26"/>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697" w:type="dxa"/>
            <w:tcBorders>
              <w:top w:val="single" w:color="auto" w:sz="4" w:space="0"/>
              <w:left w:val="single" w:color="auto" w:sz="8" w:space="0"/>
              <w:bottom w:val="single" w:color="auto" w:sz="8" w:space="0"/>
              <w:right w:val="single" w:color="auto" w:sz="4" w:space="0"/>
            </w:tcBorders>
            <w:noWrap w:val="0"/>
            <w:vAlign w:val="center"/>
          </w:tcPr>
          <w:p>
            <w:pPr>
              <w:pStyle w:val="26"/>
              <w:jc w:val="center"/>
              <w:rPr>
                <w:rFonts w:eastAsia="方正仿宋_GBK"/>
                <w:color w:val="000000"/>
                <w:spacing w:val="-2"/>
                <w:szCs w:val="21"/>
              </w:rPr>
            </w:pPr>
            <w:r>
              <w:rPr>
                <w:rFonts w:eastAsia="方正仿宋_GBK"/>
                <w:color w:val="000000"/>
                <w:spacing w:val="-2"/>
                <w:szCs w:val="21"/>
              </w:rPr>
              <w:t>9</w:t>
            </w:r>
          </w:p>
        </w:tc>
        <w:tc>
          <w:tcPr>
            <w:tcW w:w="1286" w:type="dxa"/>
            <w:tcBorders>
              <w:top w:val="single" w:color="auto" w:sz="4" w:space="0"/>
              <w:left w:val="single" w:color="auto" w:sz="4" w:space="0"/>
              <w:bottom w:val="single" w:color="auto" w:sz="8" w:space="0"/>
              <w:right w:val="single" w:color="auto" w:sz="4" w:space="0"/>
            </w:tcBorders>
            <w:noWrap w:val="0"/>
            <w:vAlign w:val="center"/>
          </w:tcPr>
          <w:p>
            <w:pPr>
              <w:pStyle w:val="26"/>
              <w:jc w:val="center"/>
              <w:rPr>
                <w:rFonts w:eastAsia="方正仿宋_GBK"/>
                <w:color w:val="000000"/>
                <w:spacing w:val="-2"/>
                <w:szCs w:val="21"/>
              </w:rPr>
            </w:pPr>
          </w:p>
        </w:tc>
        <w:tc>
          <w:tcPr>
            <w:tcW w:w="1630" w:type="dxa"/>
            <w:tcBorders>
              <w:top w:val="single" w:color="auto" w:sz="4" w:space="0"/>
              <w:left w:val="single" w:color="auto" w:sz="4" w:space="0"/>
              <w:bottom w:val="single" w:color="auto" w:sz="8" w:space="0"/>
              <w:right w:val="single" w:color="auto" w:sz="4" w:space="0"/>
            </w:tcBorders>
            <w:noWrap w:val="0"/>
            <w:vAlign w:val="center"/>
          </w:tcPr>
          <w:p>
            <w:pPr>
              <w:pStyle w:val="26"/>
              <w:jc w:val="center"/>
              <w:rPr>
                <w:rFonts w:eastAsia="方正仿宋_GBK"/>
                <w:color w:val="000000"/>
                <w:spacing w:val="-2"/>
                <w:szCs w:val="21"/>
              </w:rPr>
            </w:pPr>
          </w:p>
        </w:tc>
        <w:tc>
          <w:tcPr>
            <w:tcW w:w="3707" w:type="dxa"/>
            <w:tcBorders>
              <w:top w:val="single" w:color="auto" w:sz="4" w:space="0"/>
              <w:left w:val="single" w:color="auto" w:sz="4" w:space="0"/>
              <w:bottom w:val="single" w:color="auto" w:sz="8" w:space="0"/>
              <w:right w:val="single" w:color="auto" w:sz="4" w:space="0"/>
            </w:tcBorders>
            <w:noWrap w:val="0"/>
            <w:vAlign w:val="center"/>
          </w:tcPr>
          <w:p>
            <w:pPr>
              <w:pStyle w:val="26"/>
              <w:jc w:val="center"/>
              <w:rPr>
                <w:rFonts w:eastAsia="方正仿宋_GBK"/>
                <w:color w:val="000000"/>
                <w:spacing w:val="-2"/>
                <w:szCs w:val="21"/>
              </w:rPr>
            </w:pPr>
          </w:p>
        </w:tc>
        <w:tc>
          <w:tcPr>
            <w:tcW w:w="1760" w:type="dxa"/>
            <w:tcBorders>
              <w:top w:val="single" w:color="auto" w:sz="4" w:space="0"/>
              <w:left w:val="single" w:color="auto" w:sz="4" w:space="0"/>
              <w:bottom w:val="single" w:color="auto" w:sz="8" w:space="0"/>
              <w:right w:val="single" w:color="auto" w:sz="4" w:space="0"/>
            </w:tcBorders>
            <w:noWrap w:val="0"/>
            <w:vAlign w:val="center"/>
          </w:tcPr>
          <w:p>
            <w:pPr>
              <w:pStyle w:val="26"/>
              <w:jc w:val="center"/>
              <w:rPr>
                <w:rFonts w:eastAsia="方正仿宋_GBK"/>
                <w:color w:val="000000"/>
                <w:spacing w:val="-2"/>
                <w:szCs w:val="21"/>
              </w:rPr>
            </w:pPr>
          </w:p>
        </w:tc>
        <w:tc>
          <w:tcPr>
            <w:tcW w:w="1760" w:type="dxa"/>
            <w:tcBorders>
              <w:top w:val="single" w:color="auto" w:sz="4" w:space="0"/>
              <w:left w:val="single" w:color="auto" w:sz="4" w:space="0"/>
              <w:bottom w:val="single" w:color="auto" w:sz="8" w:space="0"/>
              <w:right w:val="single" w:color="auto" w:sz="4" w:space="0"/>
            </w:tcBorders>
            <w:noWrap w:val="0"/>
            <w:vAlign w:val="center"/>
          </w:tcPr>
          <w:p>
            <w:pPr>
              <w:pStyle w:val="26"/>
              <w:jc w:val="center"/>
              <w:rPr>
                <w:rFonts w:eastAsia="方正仿宋_GBK"/>
                <w:color w:val="000000"/>
                <w:spacing w:val="-2"/>
                <w:szCs w:val="21"/>
              </w:rPr>
            </w:pPr>
          </w:p>
        </w:tc>
        <w:tc>
          <w:tcPr>
            <w:tcW w:w="1494" w:type="dxa"/>
            <w:tcBorders>
              <w:top w:val="single" w:color="auto" w:sz="4" w:space="0"/>
              <w:left w:val="single" w:color="auto" w:sz="4" w:space="0"/>
              <w:bottom w:val="single" w:color="auto" w:sz="8" w:space="0"/>
              <w:right w:val="single" w:color="auto" w:sz="4" w:space="0"/>
            </w:tcBorders>
            <w:noWrap w:val="0"/>
            <w:tcMar>
              <w:top w:w="0" w:type="dxa"/>
              <w:left w:w="28" w:type="dxa"/>
              <w:bottom w:w="0" w:type="dxa"/>
              <w:right w:w="28" w:type="dxa"/>
            </w:tcMar>
            <w:vAlign w:val="center"/>
          </w:tcPr>
          <w:p>
            <w:pPr>
              <w:pStyle w:val="26"/>
              <w:jc w:val="center"/>
              <w:rPr>
                <w:rFonts w:eastAsia="方正仿宋_GBK"/>
                <w:color w:val="000000"/>
                <w:spacing w:val="-2"/>
                <w:szCs w:val="21"/>
              </w:rPr>
            </w:pPr>
          </w:p>
        </w:tc>
        <w:tc>
          <w:tcPr>
            <w:tcW w:w="1366" w:type="dxa"/>
            <w:tcBorders>
              <w:top w:val="single" w:color="auto" w:sz="4" w:space="0"/>
              <w:left w:val="single" w:color="auto" w:sz="4" w:space="0"/>
              <w:bottom w:val="single" w:color="auto" w:sz="8" w:space="0"/>
              <w:right w:val="single" w:color="auto" w:sz="8" w:space="0"/>
            </w:tcBorders>
            <w:noWrap w:val="0"/>
            <w:vAlign w:val="top"/>
          </w:tcPr>
          <w:p>
            <w:pPr>
              <w:pStyle w:val="26"/>
              <w:jc w:val="center"/>
              <w:rPr>
                <w:rFonts w:eastAsia="方正仿宋_GBK"/>
                <w:color w:val="000000"/>
                <w:spacing w:val="-2"/>
                <w:szCs w:val="21"/>
              </w:rPr>
            </w:pPr>
          </w:p>
        </w:tc>
      </w:tr>
    </w:tbl>
    <w:p>
      <w:pPr>
        <w:pStyle w:val="26"/>
        <w:rPr>
          <w:rFonts w:hint="eastAsia"/>
          <w:color w:val="000000"/>
          <w:spacing w:val="-2"/>
        </w:rPr>
      </w:pPr>
    </w:p>
    <w:p>
      <w:pPr>
        <w:widowControl/>
        <w:jc w:val="left"/>
        <w:rPr>
          <w:color w:val="000000"/>
          <w:spacing w:val="-2"/>
          <w:szCs w:val="20"/>
        </w:rPr>
        <w:sectPr>
          <w:pgSz w:w="16838" w:h="11905" w:orient="landscape"/>
          <w:pgMar w:top="1587" w:right="1701" w:bottom="1587" w:left="1701" w:header="850" w:footer="1361" w:gutter="0"/>
          <w:paperSrc w:first="4" w:other="4"/>
          <w:cols w:space="720" w:num="1"/>
        </w:sectPr>
      </w:pPr>
    </w:p>
    <w:p>
      <w:pPr>
        <w:pStyle w:val="26"/>
        <w:rPr>
          <w:color w:val="000000"/>
          <w:spacing w:val="-2"/>
        </w:rPr>
      </w:pPr>
    </w:p>
    <w:tbl>
      <w:tblPr>
        <w:tblStyle w:val="1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4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848" w:type="dxa"/>
            <w:tcBorders>
              <w:top w:val="single" w:color="auto" w:sz="8" w:space="0"/>
              <w:left w:val="single" w:color="auto" w:sz="8" w:space="0"/>
              <w:bottom w:val="single" w:color="auto" w:sz="4" w:space="0"/>
              <w:right w:val="single" w:color="auto" w:sz="8" w:space="0"/>
            </w:tcBorders>
            <w:noWrap w:val="0"/>
            <w:vAlign w:val="center"/>
          </w:tcPr>
          <w:p>
            <w:pPr>
              <w:ind w:left="19" w:hanging="18" w:hangingChars="8"/>
              <w:jc w:val="center"/>
              <w:rPr>
                <w:rFonts w:eastAsia="方正仿宋_GBK"/>
                <w:color w:val="000000"/>
                <w:spacing w:val="-2"/>
                <w:sz w:val="24"/>
              </w:rPr>
            </w:pPr>
            <w:r>
              <w:rPr>
                <w:rFonts w:hint="eastAsia" w:eastAsia="方正仿宋_GBK"/>
                <w:color w:val="000000"/>
                <w:spacing w:val="-2"/>
                <w:sz w:val="24"/>
              </w:rPr>
              <w:t>主持验收单位意见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77" w:hRule="atLeast"/>
        </w:trPr>
        <w:tc>
          <w:tcPr>
            <w:tcW w:w="8848" w:type="dxa"/>
            <w:tcBorders>
              <w:top w:val="single" w:color="auto" w:sz="4" w:space="0"/>
              <w:left w:val="single" w:color="auto" w:sz="8" w:space="0"/>
              <w:bottom w:val="single" w:color="auto" w:sz="4" w:space="0"/>
              <w:right w:val="single" w:color="auto" w:sz="8" w:space="0"/>
            </w:tcBorders>
            <w:noWrap w:val="0"/>
            <w:vAlign w:val="bottom"/>
          </w:tcPr>
          <w:p>
            <w:pPr>
              <w:pStyle w:val="26"/>
              <w:jc w:val="right"/>
              <w:rPr>
                <w:rFonts w:eastAsia="方正仿宋_GBK"/>
                <w:color w:val="000000"/>
                <w:spacing w:val="-2"/>
                <w:szCs w:val="21"/>
              </w:rPr>
            </w:pPr>
            <w:r>
              <w:rPr>
                <w:rFonts w:hint="eastAsia" w:eastAsia="方正仿宋_GBK"/>
                <w:color w:val="000000"/>
                <w:spacing w:val="-2"/>
                <w:szCs w:val="21"/>
              </w:rPr>
              <w:t>签字：</w:t>
            </w:r>
            <w:r>
              <w:rPr>
                <w:rFonts w:eastAsia="方正仿宋_GBK"/>
                <w:color w:val="000000"/>
                <w:spacing w:val="-2"/>
                <w:szCs w:val="21"/>
                <w:u w:val="single"/>
              </w:rPr>
              <w:t xml:space="preserve">              </w:t>
            </w:r>
            <w:r>
              <w:rPr>
                <w:rFonts w:hint="eastAsia" w:eastAsia="方正仿宋_GBK"/>
                <w:color w:val="000000"/>
                <w:spacing w:val="-2"/>
                <w:szCs w:val="21"/>
              </w:rPr>
              <w:t>（盖章）</w:t>
            </w:r>
            <w:r>
              <w:rPr>
                <w:rFonts w:eastAsia="方正仿宋_GBK"/>
                <w:color w:val="000000"/>
                <w:spacing w:val="-2"/>
                <w:szCs w:val="21"/>
              </w:rPr>
              <w:t xml:space="preserve">   </w:t>
            </w:r>
          </w:p>
          <w:p>
            <w:pPr>
              <w:pStyle w:val="26"/>
              <w:jc w:val="right"/>
              <w:rPr>
                <w:rFonts w:eastAsia="方正仿宋_GBK"/>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848" w:type="dxa"/>
            <w:tcBorders>
              <w:top w:val="single" w:color="auto" w:sz="4" w:space="0"/>
              <w:left w:val="single" w:color="auto" w:sz="8" w:space="0"/>
              <w:bottom w:val="single" w:color="auto" w:sz="4" w:space="0"/>
              <w:right w:val="single" w:color="auto" w:sz="8" w:space="0"/>
            </w:tcBorders>
            <w:noWrap w:val="0"/>
            <w:vAlign w:val="center"/>
          </w:tcPr>
          <w:p>
            <w:pPr>
              <w:jc w:val="center"/>
              <w:rPr>
                <w:rFonts w:eastAsia="方正仿宋_GBK"/>
                <w:color w:val="000000"/>
                <w:spacing w:val="-2"/>
                <w:sz w:val="24"/>
              </w:rPr>
            </w:pPr>
            <w:r>
              <w:rPr>
                <w:rFonts w:hint="eastAsia" w:eastAsia="方正仿宋_GBK"/>
                <w:color w:val="000000"/>
                <w:spacing w:val="-2"/>
                <w:sz w:val="24"/>
              </w:rPr>
              <w:t>考核小组意见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53" w:hRule="atLeast"/>
        </w:trPr>
        <w:tc>
          <w:tcPr>
            <w:tcW w:w="8848" w:type="dxa"/>
            <w:tcBorders>
              <w:top w:val="single" w:color="auto" w:sz="4" w:space="0"/>
              <w:left w:val="single" w:color="auto" w:sz="8" w:space="0"/>
              <w:bottom w:val="single" w:color="auto" w:sz="8" w:space="0"/>
              <w:right w:val="single" w:color="auto" w:sz="8" w:space="0"/>
            </w:tcBorders>
            <w:noWrap w:val="0"/>
            <w:vAlign w:val="bottom"/>
          </w:tcPr>
          <w:p>
            <w:pPr>
              <w:pStyle w:val="26"/>
              <w:jc w:val="right"/>
              <w:rPr>
                <w:rFonts w:eastAsia="方正仿宋_GBK"/>
                <w:color w:val="000000"/>
                <w:spacing w:val="-2"/>
                <w:szCs w:val="21"/>
              </w:rPr>
            </w:pPr>
            <w:r>
              <w:rPr>
                <w:rFonts w:hint="eastAsia" w:eastAsia="方正仿宋_GBK"/>
                <w:color w:val="000000"/>
                <w:spacing w:val="-2"/>
                <w:szCs w:val="21"/>
              </w:rPr>
              <w:t>签字：</w:t>
            </w:r>
            <w:r>
              <w:rPr>
                <w:rFonts w:eastAsia="方正仿宋_GBK"/>
                <w:color w:val="000000"/>
                <w:spacing w:val="-2"/>
                <w:szCs w:val="21"/>
                <w:u w:val="single"/>
              </w:rPr>
              <w:t xml:space="preserve">              </w:t>
            </w:r>
            <w:r>
              <w:rPr>
                <w:rFonts w:hint="eastAsia" w:eastAsia="方正仿宋_GBK"/>
                <w:color w:val="000000"/>
                <w:spacing w:val="-2"/>
                <w:szCs w:val="21"/>
              </w:rPr>
              <w:t>（盖章）</w:t>
            </w:r>
            <w:r>
              <w:rPr>
                <w:rFonts w:eastAsia="方正仿宋_GBK"/>
                <w:color w:val="000000"/>
                <w:spacing w:val="-2"/>
                <w:szCs w:val="21"/>
              </w:rPr>
              <w:t xml:space="preserve">   </w:t>
            </w:r>
          </w:p>
          <w:p>
            <w:pPr>
              <w:pStyle w:val="26"/>
              <w:jc w:val="right"/>
              <w:rPr>
                <w:rFonts w:eastAsia="方正仿宋_GBK"/>
                <w:color w:val="000000"/>
                <w:spacing w:val="-2"/>
                <w:szCs w:val="21"/>
              </w:rPr>
            </w:pPr>
            <w:r>
              <w:rPr>
                <w:rFonts w:eastAsia="方正仿宋_GBK"/>
                <w:color w:val="000000"/>
                <w:spacing w:val="-2"/>
                <w:szCs w:val="21"/>
              </w:rPr>
              <w:t xml:space="preserve">      </w:t>
            </w:r>
          </w:p>
          <w:p>
            <w:pPr>
              <w:pStyle w:val="26"/>
              <w:jc w:val="right"/>
              <w:rPr>
                <w:rFonts w:eastAsia="方正仿宋_GBK"/>
                <w:color w:val="000000"/>
                <w:spacing w:val="-2"/>
              </w:rPr>
            </w:pPr>
          </w:p>
        </w:tc>
      </w:tr>
    </w:tbl>
    <w:p>
      <w:pPr>
        <w:pStyle w:val="26"/>
        <w:rPr>
          <w:color w:val="000000"/>
          <w:spacing w:val="-2"/>
        </w:rPr>
      </w:pPr>
      <w:r>
        <w:rPr>
          <w:color w:val="000000"/>
          <w:spacing w:val="-2"/>
        </w:rPr>
        <w:t xml:space="preserve">                                                                                 </w:t>
      </w:r>
    </w:p>
    <w:p>
      <w:pPr>
        <w:widowControl/>
        <w:jc w:val="left"/>
        <w:rPr>
          <w:rFonts w:eastAsia="黑体"/>
          <w:color w:val="000000"/>
          <w:spacing w:val="-2"/>
          <w:sz w:val="36"/>
          <w:szCs w:val="36"/>
        </w:rPr>
        <w:sectPr>
          <w:pgSz w:w="11905" w:h="16838"/>
          <w:pgMar w:top="1701" w:right="1587" w:bottom="1701" w:left="1587" w:header="850" w:footer="1361" w:gutter="0"/>
          <w:paperSrc w:first="4" w:other="4"/>
          <w:cols w:space="720" w:num="1"/>
        </w:sectPr>
      </w:pPr>
    </w:p>
    <w:p>
      <w:pPr>
        <w:rPr>
          <w:rFonts w:ascii="Times New Roman" w:eastAsia="方正黑体_GBK"/>
          <w:color w:val="000000"/>
          <w:spacing w:val="-2"/>
          <w:sz w:val="28"/>
          <w:szCs w:val="28"/>
        </w:rPr>
      </w:pPr>
      <w:bookmarkStart w:id="402" w:name="RANGE!A1:P18"/>
      <w:r>
        <w:rPr>
          <w:rFonts w:hint="eastAsia" w:ascii="Times New Roman" w:eastAsia="方正黑体_GBK"/>
          <w:color w:val="000000"/>
          <w:spacing w:val="-2"/>
          <w:sz w:val="28"/>
          <w:szCs w:val="28"/>
        </w:rPr>
        <w:t>附件4：</w:t>
      </w:r>
      <w:bookmarkEnd w:id="402"/>
    </w:p>
    <w:p>
      <w:pPr>
        <w:spacing w:after="120" w:afterLines="50"/>
        <w:jc w:val="center"/>
        <w:rPr>
          <w:rFonts w:hint="eastAsia" w:ascii="Times New Roman" w:hAnsi="Times New Roman" w:eastAsia="方正黑体_GBK"/>
          <w:color w:val="000000"/>
          <w:spacing w:val="-2"/>
          <w:sz w:val="28"/>
          <w:szCs w:val="28"/>
        </w:rPr>
      </w:pPr>
      <w:r>
        <w:rPr>
          <w:rFonts w:hint="eastAsia" w:ascii="Times New Roman" w:hAnsi="Times New Roman" w:eastAsia="方正黑体_GBK"/>
          <w:color w:val="000000"/>
          <w:spacing w:val="-2"/>
          <w:sz w:val="28"/>
          <w:szCs w:val="28"/>
        </w:rPr>
        <w:t>示范区建筑节能和绿色建筑示范项目汇总表</w:t>
      </w:r>
    </w:p>
    <w:tbl>
      <w:tblPr>
        <w:tblStyle w:val="12"/>
        <w:tblW w:w="0" w:type="auto"/>
        <w:tblInd w:w="12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900"/>
        <w:gridCol w:w="700"/>
        <w:gridCol w:w="660"/>
        <w:gridCol w:w="1080"/>
        <w:gridCol w:w="620"/>
        <w:gridCol w:w="620"/>
        <w:gridCol w:w="760"/>
        <w:gridCol w:w="820"/>
        <w:gridCol w:w="820"/>
        <w:gridCol w:w="820"/>
        <w:gridCol w:w="820"/>
        <w:gridCol w:w="760"/>
        <w:gridCol w:w="760"/>
        <w:gridCol w:w="980"/>
        <w:gridCol w:w="10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40" w:type="dxa"/>
            <w:vMerge w:val="restart"/>
            <w:tcBorders>
              <w:top w:val="single" w:color="auto" w:sz="8" w:space="0"/>
              <w:left w:val="single" w:color="auto" w:sz="8" w:space="0"/>
              <w:bottom w:val="single" w:color="auto" w:sz="4" w:space="0"/>
              <w:right w:val="single" w:color="auto" w:sz="4" w:space="0"/>
            </w:tcBorders>
            <w:noWrap w:val="0"/>
            <w:vAlign w:val="center"/>
          </w:tcPr>
          <w:p>
            <w:pPr>
              <w:jc w:val="center"/>
              <w:rPr>
                <w:rFonts w:ascii="Times New Roman" w:eastAsia="方正黑体_GBK"/>
                <w:bCs/>
                <w:color w:val="000000"/>
                <w:spacing w:val="-2"/>
                <w:sz w:val="20"/>
              </w:rPr>
            </w:pPr>
            <w:r>
              <w:rPr>
                <w:rFonts w:hint="eastAsia" w:ascii="Times New Roman" w:eastAsia="方正黑体_GBK"/>
                <w:bCs/>
                <w:color w:val="000000"/>
                <w:spacing w:val="-2"/>
                <w:sz w:val="20"/>
              </w:rPr>
              <w:t>序号</w:t>
            </w:r>
          </w:p>
        </w:tc>
        <w:tc>
          <w:tcPr>
            <w:tcW w:w="1900" w:type="dxa"/>
            <w:vMerge w:val="restart"/>
            <w:tcBorders>
              <w:top w:val="single" w:color="auto" w:sz="8" w:space="0"/>
              <w:left w:val="single" w:color="auto" w:sz="4" w:space="0"/>
              <w:bottom w:val="single" w:color="auto" w:sz="4" w:space="0"/>
              <w:right w:val="single" w:color="auto" w:sz="4" w:space="0"/>
            </w:tcBorders>
            <w:noWrap w:val="0"/>
            <w:vAlign w:val="center"/>
          </w:tcPr>
          <w:p>
            <w:pPr>
              <w:jc w:val="center"/>
              <w:rPr>
                <w:rFonts w:ascii="Times New Roman" w:eastAsia="方正黑体_GBK"/>
                <w:bCs/>
                <w:color w:val="000000"/>
                <w:spacing w:val="-2"/>
                <w:sz w:val="20"/>
              </w:rPr>
            </w:pPr>
            <w:r>
              <w:rPr>
                <w:rFonts w:hint="eastAsia" w:ascii="Times New Roman" w:eastAsia="方正黑体_GBK"/>
                <w:bCs/>
                <w:color w:val="000000"/>
                <w:spacing w:val="-2"/>
                <w:sz w:val="20"/>
              </w:rPr>
              <w:t>项目名称</w:t>
            </w:r>
          </w:p>
        </w:tc>
        <w:tc>
          <w:tcPr>
            <w:tcW w:w="700" w:type="dxa"/>
            <w:vMerge w:val="restart"/>
            <w:tcBorders>
              <w:top w:val="single" w:color="auto" w:sz="8" w:space="0"/>
              <w:left w:val="single" w:color="auto" w:sz="4" w:space="0"/>
              <w:bottom w:val="single" w:color="auto" w:sz="4" w:space="0"/>
              <w:right w:val="single" w:color="auto" w:sz="4" w:space="0"/>
            </w:tcBorders>
            <w:noWrap w:val="0"/>
            <w:vAlign w:val="center"/>
          </w:tcPr>
          <w:p>
            <w:pPr>
              <w:jc w:val="center"/>
              <w:rPr>
                <w:rFonts w:ascii="Times New Roman" w:eastAsia="方正黑体_GBK"/>
                <w:bCs/>
                <w:color w:val="000000"/>
                <w:spacing w:val="-2"/>
                <w:sz w:val="20"/>
              </w:rPr>
            </w:pPr>
            <w:r>
              <w:rPr>
                <w:rFonts w:hint="eastAsia" w:ascii="Times New Roman" w:eastAsia="方正黑体_GBK"/>
                <w:bCs/>
                <w:color w:val="000000"/>
                <w:spacing w:val="-2"/>
                <w:sz w:val="20"/>
              </w:rPr>
              <w:t>建筑类型</w:t>
            </w:r>
          </w:p>
        </w:tc>
        <w:tc>
          <w:tcPr>
            <w:tcW w:w="660" w:type="dxa"/>
            <w:vMerge w:val="restart"/>
            <w:tcBorders>
              <w:top w:val="single" w:color="auto" w:sz="8" w:space="0"/>
              <w:left w:val="single" w:color="auto" w:sz="4" w:space="0"/>
              <w:bottom w:val="single" w:color="auto" w:sz="4" w:space="0"/>
              <w:right w:val="single" w:color="auto" w:sz="4" w:space="0"/>
            </w:tcBorders>
            <w:noWrap w:val="0"/>
            <w:vAlign w:val="center"/>
          </w:tcPr>
          <w:p>
            <w:pPr>
              <w:jc w:val="center"/>
              <w:rPr>
                <w:rFonts w:ascii="Times New Roman" w:eastAsia="方正黑体_GBK"/>
                <w:bCs/>
                <w:color w:val="000000"/>
                <w:spacing w:val="-2"/>
                <w:sz w:val="20"/>
              </w:rPr>
            </w:pPr>
            <w:r>
              <w:rPr>
                <w:rFonts w:hint="eastAsia" w:ascii="Times New Roman" w:eastAsia="方正黑体_GBK"/>
                <w:bCs/>
                <w:color w:val="000000"/>
                <w:spacing w:val="-2"/>
                <w:sz w:val="20"/>
              </w:rPr>
              <w:t>建设类型</w:t>
            </w:r>
          </w:p>
        </w:tc>
        <w:tc>
          <w:tcPr>
            <w:tcW w:w="1080" w:type="dxa"/>
            <w:vMerge w:val="restart"/>
            <w:tcBorders>
              <w:top w:val="single" w:color="auto" w:sz="8" w:space="0"/>
              <w:left w:val="single" w:color="auto" w:sz="4" w:space="0"/>
              <w:bottom w:val="single" w:color="auto" w:sz="4" w:space="0"/>
              <w:right w:val="single" w:color="auto" w:sz="4" w:space="0"/>
            </w:tcBorders>
            <w:noWrap w:val="0"/>
            <w:vAlign w:val="center"/>
          </w:tcPr>
          <w:p>
            <w:pPr>
              <w:jc w:val="center"/>
              <w:rPr>
                <w:rFonts w:ascii="Times New Roman" w:eastAsia="方正黑体_GBK"/>
                <w:bCs/>
                <w:color w:val="000000"/>
                <w:spacing w:val="-2"/>
                <w:sz w:val="20"/>
              </w:rPr>
            </w:pPr>
            <w:r>
              <w:rPr>
                <w:rFonts w:hint="eastAsia" w:ascii="Times New Roman" w:eastAsia="方正黑体_GBK"/>
                <w:bCs/>
                <w:color w:val="000000"/>
                <w:spacing w:val="-2"/>
                <w:sz w:val="20"/>
              </w:rPr>
              <w:t>建筑面积</w:t>
            </w:r>
          </w:p>
          <w:p>
            <w:pPr>
              <w:jc w:val="center"/>
              <w:rPr>
                <w:rFonts w:ascii="Times New Roman" w:eastAsia="方正黑体_GBK"/>
                <w:bCs/>
                <w:color w:val="000000"/>
                <w:spacing w:val="-2"/>
                <w:sz w:val="20"/>
              </w:rPr>
            </w:pPr>
            <w:r>
              <w:rPr>
                <w:rFonts w:hint="eastAsia" w:ascii="Times New Roman" w:eastAsia="方正黑体_GBK"/>
                <w:bCs/>
                <w:color w:val="000000"/>
                <w:spacing w:val="-2"/>
                <w:sz w:val="20"/>
              </w:rPr>
              <w:t>（万平方米）</w:t>
            </w:r>
          </w:p>
        </w:tc>
        <w:tc>
          <w:tcPr>
            <w:tcW w:w="620" w:type="dxa"/>
            <w:vMerge w:val="restart"/>
            <w:tcBorders>
              <w:top w:val="single" w:color="auto" w:sz="8" w:space="0"/>
              <w:left w:val="single" w:color="auto" w:sz="4" w:space="0"/>
              <w:bottom w:val="single" w:color="auto" w:sz="4" w:space="0"/>
              <w:right w:val="single" w:color="auto" w:sz="4" w:space="0"/>
            </w:tcBorders>
            <w:noWrap w:val="0"/>
            <w:vAlign w:val="center"/>
          </w:tcPr>
          <w:p>
            <w:pPr>
              <w:jc w:val="center"/>
              <w:rPr>
                <w:rFonts w:ascii="Times New Roman" w:eastAsia="方正黑体_GBK"/>
                <w:bCs/>
                <w:color w:val="000000"/>
                <w:spacing w:val="-2"/>
                <w:sz w:val="20"/>
              </w:rPr>
            </w:pPr>
            <w:r>
              <w:rPr>
                <w:rFonts w:hint="eastAsia" w:ascii="Times New Roman" w:eastAsia="方正黑体_GBK"/>
                <w:bCs/>
                <w:color w:val="000000"/>
                <w:spacing w:val="-2"/>
                <w:sz w:val="20"/>
              </w:rPr>
              <w:t>栋数</w:t>
            </w:r>
          </w:p>
        </w:tc>
        <w:tc>
          <w:tcPr>
            <w:tcW w:w="620" w:type="dxa"/>
            <w:vMerge w:val="restart"/>
            <w:tcBorders>
              <w:top w:val="single" w:color="auto" w:sz="8" w:space="0"/>
              <w:left w:val="single" w:color="auto" w:sz="4" w:space="0"/>
              <w:bottom w:val="single" w:color="auto" w:sz="4" w:space="0"/>
              <w:right w:val="single" w:color="auto" w:sz="4" w:space="0"/>
            </w:tcBorders>
            <w:noWrap w:val="0"/>
            <w:vAlign w:val="center"/>
          </w:tcPr>
          <w:p>
            <w:pPr>
              <w:jc w:val="center"/>
              <w:rPr>
                <w:rFonts w:ascii="Times New Roman" w:eastAsia="方正黑体_GBK"/>
                <w:bCs/>
                <w:color w:val="000000"/>
                <w:spacing w:val="-2"/>
                <w:sz w:val="20"/>
              </w:rPr>
            </w:pPr>
            <w:r>
              <w:rPr>
                <w:rFonts w:hint="eastAsia" w:ascii="Times New Roman" w:eastAsia="方正黑体_GBK"/>
                <w:bCs/>
                <w:color w:val="000000"/>
                <w:spacing w:val="-2"/>
                <w:sz w:val="20"/>
              </w:rPr>
              <w:t>实施</w:t>
            </w:r>
          </w:p>
          <w:p>
            <w:pPr>
              <w:jc w:val="center"/>
              <w:rPr>
                <w:rFonts w:ascii="Times New Roman" w:eastAsia="方正黑体_GBK"/>
                <w:bCs/>
                <w:color w:val="000000"/>
                <w:spacing w:val="-2"/>
                <w:sz w:val="20"/>
              </w:rPr>
            </w:pPr>
            <w:r>
              <w:rPr>
                <w:rFonts w:hint="eastAsia" w:ascii="Times New Roman" w:eastAsia="方正黑体_GBK"/>
                <w:bCs/>
                <w:color w:val="000000"/>
                <w:spacing w:val="-2"/>
                <w:sz w:val="20"/>
              </w:rPr>
              <w:t>起止时间</w:t>
            </w:r>
          </w:p>
        </w:tc>
        <w:tc>
          <w:tcPr>
            <w:tcW w:w="760" w:type="dxa"/>
            <w:vMerge w:val="restart"/>
            <w:tcBorders>
              <w:top w:val="single" w:color="auto" w:sz="8" w:space="0"/>
              <w:left w:val="single" w:color="auto" w:sz="4" w:space="0"/>
              <w:bottom w:val="single" w:color="auto" w:sz="4" w:space="0"/>
              <w:right w:val="single" w:color="auto" w:sz="4" w:space="0"/>
            </w:tcBorders>
            <w:noWrap w:val="0"/>
            <w:vAlign w:val="center"/>
          </w:tcPr>
          <w:p>
            <w:pPr>
              <w:jc w:val="center"/>
              <w:rPr>
                <w:rFonts w:ascii="Times New Roman" w:eastAsia="方正黑体_GBK"/>
                <w:bCs/>
                <w:color w:val="000000"/>
                <w:spacing w:val="-2"/>
                <w:sz w:val="20"/>
              </w:rPr>
            </w:pPr>
            <w:r>
              <w:rPr>
                <w:rFonts w:hint="eastAsia" w:ascii="Times New Roman" w:eastAsia="方正黑体_GBK"/>
                <w:bCs/>
                <w:color w:val="000000"/>
                <w:spacing w:val="-2"/>
                <w:sz w:val="20"/>
              </w:rPr>
              <w:t>建设情况</w:t>
            </w:r>
          </w:p>
        </w:tc>
        <w:tc>
          <w:tcPr>
            <w:tcW w:w="6860" w:type="dxa"/>
            <w:gridSpan w:val="8"/>
            <w:tcBorders>
              <w:top w:val="single" w:color="auto" w:sz="8" w:space="0"/>
              <w:left w:val="single" w:color="auto" w:sz="4" w:space="0"/>
              <w:bottom w:val="single" w:color="auto" w:sz="4" w:space="0"/>
              <w:right w:val="single" w:color="auto" w:sz="8" w:space="0"/>
            </w:tcBorders>
            <w:noWrap w:val="0"/>
            <w:vAlign w:val="center"/>
          </w:tcPr>
          <w:p>
            <w:pPr>
              <w:jc w:val="center"/>
              <w:rPr>
                <w:rFonts w:ascii="Times New Roman" w:eastAsia="方正黑体_GBK"/>
                <w:bCs/>
                <w:color w:val="000000"/>
                <w:spacing w:val="-2"/>
                <w:sz w:val="20"/>
              </w:rPr>
            </w:pPr>
            <w:r>
              <w:rPr>
                <w:rFonts w:hint="eastAsia" w:ascii="Times New Roman" w:eastAsia="方正黑体_GBK"/>
                <w:bCs/>
                <w:color w:val="000000"/>
                <w:spacing w:val="-2"/>
                <w:sz w:val="20"/>
              </w:rPr>
              <w:t>示范任务完成情况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540" w:type="dxa"/>
            <w:vMerge w:val="continue"/>
            <w:tcBorders>
              <w:top w:val="single" w:color="auto" w:sz="8" w:space="0"/>
              <w:left w:val="single" w:color="auto" w:sz="8" w:space="0"/>
              <w:bottom w:val="single" w:color="auto" w:sz="4" w:space="0"/>
              <w:right w:val="single" w:color="auto" w:sz="4" w:space="0"/>
            </w:tcBorders>
            <w:noWrap w:val="0"/>
            <w:vAlign w:val="center"/>
          </w:tcPr>
          <w:p>
            <w:pPr>
              <w:widowControl/>
              <w:jc w:val="left"/>
              <w:rPr>
                <w:rFonts w:ascii="Times New Roman" w:eastAsia="方正黑体_GBK"/>
                <w:bCs/>
                <w:color w:val="000000"/>
                <w:spacing w:val="-2"/>
                <w:sz w:val="20"/>
              </w:rPr>
            </w:pPr>
          </w:p>
        </w:tc>
        <w:tc>
          <w:tcPr>
            <w:tcW w:w="1900" w:type="dxa"/>
            <w:vMerge w:val="continue"/>
            <w:tcBorders>
              <w:top w:val="single" w:color="auto" w:sz="8" w:space="0"/>
              <w:left w:val="single" w:color="auto" w:sz="4" w:space="0"/>
              <w:bottom w:val="single" w:color="auto" w:sz="4" w:space="0"/>
              <w:right w:val="single" w:color="auto" w:sz="4" w:space="0"/>
            </w:tcBorders>
            <w:noWrap w:val="0"/>
            <w:vAlign w:val="center"/>
          </w:tcPr>
          <w:p>
            <w:pPr>
              <w:widowControl/>
              <w:jc w:val="left"/>
              <w:rPr>
                <w:rFonts w:ascii="Times New Roman" w:eastAsia="方正黑体_GBK"/>
                <w:bCs/>
                <w:color w:val="000000"/>
                <w:spacing w:val="-2"/>
                <w:sz w:val="20"/>
              </w:rPr>
            </w:pPr>
          </w:p>
        </w:tc>
        <w:tc>
          <w:tcPr>
            <w:tcW w:w="700" w:type="dxa"/>
            <w:vMerge w:val="continue"/>
            <w:tcBorders>
              <w:top w:val="single" w:color="auto" w:sz="8" w:space="0"/>
              <w:left w:val="single" w:color="auto" w:sz="4" w:space="0"/>
              <w:bottom w:val="single" w:color="auto" w:sz="4" w:space="0"/>
              <w:right w:val="single" w:color="auto" w:sz="4" w:space="0"/>
            </w:tcBorders>
            <w:noWrap w:val="0"/>
            <w:vAlign w:val="center"/>
          </w:tcPr>
          <w:p>
            <w:pPr>
              <w:widowControl/>
              <w:jc w:val="left"/>
              <w:rPr>
                <w:rFonts w:ascii="Times New Roman" w:eastAsia="方正黑体_GBK"/>
                <w:bCs/>
                <w:color w:val="000000"/>
                <w:spacing w:val="-2"/>
                <w:sz w:val="20"/>
              </w:rPr>
            </w:pPr>
          </w:p>
        </w:tc>
        <w:tc>
          <w:tcPr>
            <w:tcW w:w="660" w:type="dxa"/>
            <w:vMerge w:val="continue"/>
            <w:tcBorders>
              <w:top w:val="single" w:color="auto" w:sz="8" w:space="0"/>
              <w:left w:val="single" w:color="auto" w:sz="4" w:space="0"/>
              <w:bottom w:val="single" w:color="auto" w:sz="4" w:space="0"/>
              <w:right w:val="single" w:color="auto" w:sz="4" w:space="0"/>
            </w:tcBorders>
            <w:noWrap w:val="0"/>
            <w:vAlign w:val="center"/>
          </w:tcPr>
          <w:p>
            <w:pPr>
              <w:widowControl/>
              <w:jc w:val="left"/>
              <w:rPr>
                <w:rFonts w:ascii="Times New Roman" w:eastAsia="方正黑体_GBK"/>
                <w:bCs/>
                <w:color w:val="000000"/>
                <w:spacing w:val="-2"/>
                <w:sz w:val="20"/>
              </w:rPr>
            </w:pPr>
          </w:p>
        </w:tc>
        <w:tc>
          <w:tcPr>
            <w:tcW w:w="1080" w:type="dxa"/>
            <w:vMerge w:val="continue"/>
            <w:tcBorders>
              <w:top w:val="single" w:color="auto" w:sz="8" w:space="0"/>
              <w:left w:val="single" w:color="auto" w:sz="4" w:space="0"/>
              <w:bottom w:val="single" w:color="auto" w:sz="4" w:space="0"/>
              <w:right w:val="single" w:color="auto" w:sz="4" w:space="0"/>
            </w:tcBorders>
            <w:noWrap w:val="0"/>
            <w:vAlign w:val="center"/>
          </w:tcPr>
          <w:p>
            <w:pPr>
              <w:widowControl/>
              <w:jc w:val="left"/>
              <w:rPr>
                <w:rFonts w:ascii="Times New Roman" w:eastAsia="方正黑体_GBK"/>
                <w:bCs/>
                <w:color w:val="000000"/>
                <w:spacing w:val="-2"/>
                <w:sz w:val="20"/>
              </w:rPr>
            </w:pPr>
          </w:p>
        </w:tc>
        <w:tc>
          <w:tcPr>
            <w:tcW w:w="620" w:type="dxa"/>
            <w:vMerge w:val="continue"/>
            <w:tcBorders>
              <w:top w:val="single" w:color="auto" w:sz="8" w:space="0"/>
              <w:left w:val="single" w:color="auto" w:sz="4" w:space="0"/>
              <w:bottom w:val="single" w:color="auto" w:sz="4" w:space="0"/>
              <w:right w:val="single" w:color="auto" w:sz="4" w:space="0"/>
            </w:tcBorders>
            <w:noWrap w:val="0"/>
            <w:vAlign w:val="center"/>
          </w:tcPr>
          <w:p>
            <w:pPr>
              <w:widowControl/>
              <w:jc w:val="left"/>
              <w:rPr>
                <w:rFonts w:ascii="Times New Roman" w:eastAsia="方正黑体_GBK"/>
                <w:bCs/>
                <w:color w:val="000000"/>
                <w:spacing w:val="-2"/>
                <w:sz w:val="20"/>
              </w:rPr>
            </w:pPr>
          </w:p>
        </w:tc>
        <w:tc>
          <w:tcPr>
            <w:tcW w:w="620" w:type="dxa"/>
            <w:vMerge w:val="continue"/>
            <w:tcBorders>
              <w:top w:val="single" w:color="auto" w:sz="8" w:space="0"/>
              <w:left w:val="single" w:color="auto" w:sz="4" w:space="0"/>
              <w:bottom w:val="single" w:color="auto" w:sz="4" w:space="0"/>
              <w:right w:val="single" w:color="auto" w:sz="4" w:space="0"/>
            </w:tcBorders>
            <w:noWrap w:val="0"/>
            <w:vAlign w:val="center"/>
          </w:tcPr>
          <w:p>
            <w:pPr>
              <w:widowControl/>
              <w:jc w:val="left"/>
              <w:rPr>
                <w:rFonts w:ascii="Times New Roman" w:eastAsia="方正黑体_GBK"/>
                <w:bCs/>
                <w:color w:val="000000"/>
                <w:spacing w:val="-2"/>
                <w:sz w:val="20"/>
              </w:rPr>
            </w:pPr>
          </w:p>
        </w:tc>
        <w:tc>
          <w:tcPr>
            <w:tcW w:w="760" w:type="dxa"/>
            <w:vMerge w:val="continue"/>
            <w:tcBorders>
              <w:top w:val="single" w:color="auto" w:sz="8" w:space="0"/>
              <w:left w:val="single" w:color="auto" w:sz="4" w:space="0"/>
              <w:bottom w:val="single" w:color="auto" w:sz="4" w:space="0"/>
              <w:right w:val="single" w:color="auto" w:sz="4" w:space="0"/>
            </w:tcBorders>
            <w:noWrap w:val="0"/>
            <w:vAlign w:val="center"/>
          </w:tcPr>
          <w:p>
            <w:pPr>
              <w:widowControl/>
              <w:jc w:val="left"/>
              <w:rPr>
                <w:rFonts w:ascii="Times New Roman" w:eastAsia="方正黑体_GBK"/>
                <w:bCs/>
                <w:color w:val="000000"/>
                <w:spacing w:val="-2"/>
                <w:sz w:val="20"/>
              </w:rPr>
            </w:pPr>
          </w:p>
        </w:tc>
        <w:tc>
          <w:tcPr>
            <w:tcW w:w="82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eastAsia="方正黑体_GBK"/>
                <w:bCs/>
                <w:color w:val="000000"/>
                <w:spacing w:val="-2"/>
                <w:sz w:val="20"/>
              </w:rPr>
            </w:pPr>
            <w:r>
              <w:rPr>
                <w:rFonts w:hint="eastAsia" w:ascii="Times New Roman" w:eastAsia="方正黑体_GBK"/>
                <w:bCs/>
                <w:color w:val="000000"/>
                <w:spacing w:val="-2"/>
                <w:sz w:val="20"/>
              </w:rPr>
              <w:t>绿色</w:t>
            </w:r>
          </w:p>
          <w:p>
            <w:pPr>
              <w:jc w:val="center"/>
              <w:rPr>
                <w:rFonts w:ascii="Times New Roman" w:eastAsia="方正黑体_GBK"/>
                <w:bCs/>
                <w:color w:val="000000"/>
                <w:spacing w:val="-2"/>
                <w:sz w:val="20"/>
              </w:rPr>
            </w:pPr>
            <w:r>
              <w:rPr>
                <w:rFonts w:hint="eastAsia" w:ascii="Times New Roman" w:eastAsia="方正黑体_GBK"/>
                <w:bCs/>
                <w:color w:val="000000"/>
                <w:spacing w:val="-2"/>
                <w:sz w:val="20"/>
              </w:rPr>
              <w:t>建筑</w:t>
            </w:r>
          </w:p>
        </w:tc>
        <w:tc>
          <w:tcPr>
            <w:tcW w:w="82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eastAsia="方正黑体_GBK"/>
                <w:bCs/>
                <w:color w:val="000000"/>
                <w:spacing w:val="-2"/>
                <w:sz w:val="20"/>
              </w:rPr>
            </w:pPr>
            <w:r>
              <w:rPr>
                <w:rFonts w:hint="eastAsia" w:ascii="Times New Roman" w:eastAsia="方正黑体_GBK"/>
                <w:bCs/>
                <w:color w:val="000000"/>
                <w:spacing w:val="-2"/>
                <w:sz w:val="20"/>
              </w:rPr>
              <w:t>可再生能源建筑应用</w:t>
            </w:r>
          </w:p>
        </w:tc>
        <w:tc>
          <w:tcPr>
            <w:tcW w:w="82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eastAsia="方正黑体_GBK"/>
                <w:bCs/>
                <w:color w:val="000000"/>
                <w:spacing w:val="-2"/>
                <w:sz w:val="20"/>
              </w:rPr>
            </w:pPr>
            <w:r>
              <w:rPr>
                <w:rFonts w:hint="eastAsia" w:ascii="Times New Roman" w:eastAsia="方正黑体_GBK"/>
                <w:bCs/>
                <w:color w:val="000000"/>
                <w:spacing w:val="-2"/>
                <w:sz w:val="20"/>
              </w:rPr>
              <w:t>全装修住宅</w:t>
            </w:r>
          </w:p>
        </w:tc>
        <w:tc>
          <w:tcPr>
            <w:tcW w:w="82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eastAsia="方正黑体_GBK"/>
                <w:bCs/>
                <w:color w:val="000000"/>
                <w:spacing w:val="-2"/>
                <w:sz w:val="20"/>
              </w:rPr>
            </w:pPr>
            <w:r>
              <w:rPr>
                <w:rFonts w:hint="eastAsia" w:ascii="Times New Roman" w:eastAsia="方正黑体_GBK"/>
                <w:bCs/>
                <w:color w:val="000000"/>
                <w:spacing w:val="-2"/>
                <w:sz w:val="20"/>
              </w:rPr>
              <w:t>既有建筑节能改造</w:t>
            </w:r>
          </w:p>
        </w:tc>
        <w:tc>
          <w:tcPr>
            <w:tcW w:w="76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eastAsia="方正黑体_GBK"/>
                <w:bCs/>
                <w:color w:val="000000"/>
                <w:spacing w:val="-2"/>
                <w:sz w:val="20"/>
              </w:rPr>
            </w:pPr>
            <w:r>
              <w:rPr>
                <w:rFonts w:hint="eastAsia" w:ascii="Times New Roman" w:eastAsia="方正黑体_GBK"/>
                <w:bCs/>
                <w:color w:val="000000"/>
                <w:spacing w:val="-2"/>
                <w:sz w:val="20"/>
              </w:rPr>
              <w:t>能耗分项计量上传</w:t>
            </w:r>
          </w:p>
        </w:tc>
        <w:tc>
          <w:tcPr>
            <w:tcW w:w="76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eastAsia="方正黑体_GBK"/>
                <w:bCs/>
                <w:color w:val="000000"/>
                <w:spacing w:val="-2"/>
                <w:sz w:val="20"/>
              </w:rPr>
            </w:pPr>
            <w:r>
              <w:rPr>
                <w:rFonts w:hint="eastAsia" w:ascii="Times New Roman" w:eastAsia="方正黑体_GBK"/>
                <w:bCs/>
                <w:color w:val="000000"/>
                <w:spacing w:val="-2"/>
                <w:sz w:val="20"/>
              </w:rPr>
              <w:t>能效测评标识</w:t>
            </w:r>
          </w:p>
        </w:tc>
        <w:tc>
          <w:tcPr>
            <w:tcW w:w="98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eastAsia="方正黑体_GBK"/>
                <w:bCs/>
                <w:color w:val="000000"/>
                <w:spacing w:val="-2"/>
                <w:sz w:val="20"/>
              </w:rPr>
            </w:pPr>
            <w:r>
              <w:rPr>
                <w:rFonts w:hint="eastAsia" w:ascii="Times New Roman" w:eastAsia="方正黑体_GBK"/>
                <w:bCs/>
                <w:color w:val="000000"/>
                <w:spacing w:val="-2"/>
                <w:sz w:val="20"/>
              </w:rPr>
              <w:t>示范技术增量投资</w:t>
            </w:r>
          </w:p>
          <w:p>
            <w:pPr>
              <w:jc w:val="center"/>
              <w:rPr>
                <w:rFonts w:ascii="Times New Roman" w:eastAsia="方正黑体_GBK"/>
                <w:bCs/>
                <w:color w:val="000000"/>
                <w:spacing w:val="-2"/>
                <w:sz w:val="20"/>
              </w:rPr>
            </w:pPr>
            <w:r>
              <w:rPr>
                <w:rFonts w:hint="eastAsia" w:ascii="Times New Roman" w:eastAsia="方正黑体_GBK"/>
                <w:bCs/>
                <w:color w:val="000000"/>
                <w:spacing w:val="-2"/>
                <w:sz w:val="20"/>
              </w:rPr>
              <w:t>（万元）</w:t>
            </w:r>
          </w:p>
        </w:tc>
        <w:tc>
          <w:tcPr>
            <w:tcW w:w="1080" w:type="dxa"/>
            <w:tcBorders>
              <w:top w:val="single" w:color="auto" w:sz="4" w:space="0"/>
              <w:left w:val="single" w:color="auto" w:sz="4" w:space="0"/>
              <w:bottom w:val="single" w:color="auto" w:sz="4" w:space="0"/>
              <w:right w:val="single" w:color="auto" w:sz="8" w:space="0"/>
            </w:tcBorders>
            <w:noWrap w:val="0"/>
            <w:vAlign w:val="center"/>
          </w:tcPr>
          <w:p>
            <w:pPr>
              <w:jc w:val="center"/>
              <w:rPr>
                <w:rFonts w:ascii="Times New Roman" w:eastAsia="方正黑体_GBK"/>
                <w:bCs/>
                <w:color w:val="000000"/>
                <w:spacing w:val="-2"/>
                <w:sz w:val="20"/>
              </w:rPr>
            </w:pPr>
            <w:r>
              <w:rPr>
                <w:rFonts w:hint="eastAsia" w:ascii="Times New Roman" w:eastAsia="方正黑体_GBK"/>
                <w:bCs/>
                <w:color w:val="000000"/>
                <w:spacing w:val="-2"/>
                <w:sz w:val="20"/>
              </w:rPr>
              <w:t>年节能量</w:t>
            </w:r>
          </w:p>
          <w:p>
            <w:pPr>
              <w:jc w:val="center"/>
              <w:rPr>
                <w:rFonts w:ascii="Times New Roman" w:eastAsia="方正黑体_GBK"/>
                <w:bCs/>
                <w:color w:val="000000"/>
                <w:spacing w:val="-2"/>
                <w:sz w:val="20"/>
              </w:rPr>
            </w:pPr>
            <w:r>
              <w:rPr>
                <w:rFonts w:hint="eastAsia" w:ascii="Times New Roman" w:eastAsia="方正黑体_GBK"/>
                <w:bCs/>
                <w:color w:val="000000"/>
                <w:spacing w:val="-2"/>
                <w:sz w:val="20"/>
              </w:rPr>
              <w:t>（吨标煤）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0" w:type="dxa"/>
            <w:tcBorders>
              <w:top w:val="single" w:color="auto" w:sz="4" w:space="0"/>
              <w:left w:val="single" w:color="auto" w:sz="8" w:space="0"/>
              <w:bottom w:val="single" w:color="auto" w:sz="4" w:space="0"/>
              <w:right w:val="single" w:color="auto" w:sz="4" w:space="0"/>
            </w:tcBorders>
            <w:noWrap w:val="0"/>
            <w:vAlign w:val="center"/>
          </w:tcPr>
          <w:p>
            <w:pPr>
              <w:jc w:val="center"/>
              <w:rPr>
                <w:rFonts w:ascii="Times New Roman" w:eastAsia="方正黑体_GBK"/>
                <w:color w:val="000000"/>
                <w:spacing w:val="-2"/>
                <w:sz w:val="20"/>
              </w:rPr>
            </w:pPr>
            <w:r>
              <w:rPr>
                <w:rFonts w:hint="eastAsia" w:ascii="Times New Roman" w:eastAsia="方正黑体_GBK"/>
                <w:color w:val="000000"/>
                <w:spacing w:val="-2"/>
                <w:sz w:val="20"/>
              </w:rPr>
              <w:t>　</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eastAsia="方正黑体_GBK"/>
                <w:color w:val="000000"/>
                <w:spacing w:val="-2"/>
                <w:sz w:val="20"/>
              </w:rPr>
            </w:pPr>
            <w:r>
              <w:rPr>
                <w:rFonts w:hint="eastAsia" w:ascii="Times New Roman" w:eastAsia="方正黑体_GBK"/>
                <w:color w:val="000000"/>
                <w:spacing w:val="-2"/>
                <w:sz w:val="20"/>
              </w:rPr>
              <w:t>　</w:t>
            </w:r>
          </w:p>
        </w:tc>
        <w:tc>
          <w:tcPr>
            <w:tcW w:w="70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eastAsia="方正黑体_GBK"/>
                <w:color w:val="000000"/>
                <w:spacing w:val="-2"/>
                <w:sz w:val="20"/>
              </w:rPr>
            </w:pPr>
            <w:r>
              <w:rPr>
                <w:rFonts w:hint="eastAsia" w:ascii="Times New Roman" w:eastAsia="方正黑体_GBK"/>
                <w:color w:val="000000"/>
                <w:spacing w:val="-2"/>
                <w:sz w:val="20"/>
              </w:rPr>
              <w:t>　</w:t>
            </w:r>
          </w:p>
        </w:tc>
        <w:tc>
          <w:tcPr>
            <w:tcW w:w="66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eastAsia="方正黑体_GBK"/>
                <w:color w:val="000000"/>
                <w:spacing w:val="-2"/>
                <w:sz w:val="20"/>
              </w:rPr>
            </w:pPr>
            <w:r>
              <w:rPr>
                <w:rFonts w:hint="eastAsia" w:ascii="Times New Roman" w:eastAsia="方正黑体_GBK"/>
                <w:color w:val="000000"/>
                <w:spacing w:val="-2"/>
                <w:sz w:val="20"/>
              </w:rPr>
              <w:t>　</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eastAsia="方正黑体_GBK"/>
                <w:color w:val="000000"/>
                <w:spacing w:val="-2"/>
                <w:sz w:val="20"/>
              </w:rPr>
            </w:pPr>
            <w:r>
              <w:rPr>
                <w:rFonts w:hint="eastAsia" w:ascii="Times New Roman" w:eastAsia="方正黑体_GBK"/>
                <w:color w:val="000000"/>
                <w:spacing w:val="-2"/>
                <w:sz w:val="20"/>
              </w:rPr>
              <w:t>　</w:t>
            </w:r>
          </w:p>
        </w:tc>
        <w:tc>
          <w:tcPr>
            <w:tcW w:w="62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eastAsia="方正黑体_GBK"/>
                <w:color w:val="000000"/>
                <w:spacing w:val="-2"/>
                <w:sz w:val="20"/>
              </w:rPr>
            </w:pPr>
            <w:r>
              <w:rPr>
                <w:rFonts w:hint="eastAsia" w:ascii="Times New Roman" w:eastAsia="方正黑体_GBK"/>
                <w:color w:val="000000"/>
                <w:spacing w:val="-2"/>
                <w:sz w:val="20"/>
              </w:rPr>
              <w:t>　</w:t>
            </w:r>
          </w:p>
        </w:tc>
        <w:tc>
          <w:tcPr>
            <w:tcW w:w="62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eastAsia="方正黑体_GBK"/>
                <w:color w:val="000000"/>
                <w:spacing w:val="-2"/>
                <w:sz w:val="20"/>
              </w:rPr>
            </w:pPr>
            <w:r>
              <w:rPr>
                <w:rFonts w:hint="eastAsia" w:ascii="Times New Roman" w:eastAsia="方正黑体_GBK"/>
                <w:color w:val="000000"/>
                <w:spacing w:val="-2"/>
                <w:sz w:val="20"/>
              </w:rPr>
              <w:t>　</w:t>
            </w:r>
          </w:p>
        </w:tc>
        <w:tc>
          <w:tcPr>
            <w:tcW w:w="76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eastAsia="方正黑体_GBK"/>
                <w:color w:val="000000"/>
                <w:spacing w:val="-2"/>
                <w:sz w:val="20"/>
              </w:rPr>
            </w:pPr>
            <w:r>
              <w:rPr>
                <w:rFonts w:hint="eastAsia" w:ascii="Times New Roman" w:eastAsia="方正黑体_GBK"/>
                <w:color w:val="000000"/>
                <w:spacing w:val="-2"/>
                <w:sz w:val="20"/>
              </w:rPr>
              <w:t>　</w:t>
            </w:r>
          </w:p>
        </w:tc>
        <w:tc>
          <w:tcPr>
            <w:tcW w:w="82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eastAsia="方正黑体_GBK"/>
                <w:color w:val="000000"/>
                <w:spacing w:val="-2"/>
                <w:sz w:val="20"/>
              </w:rPr>
            </w:pPr>
            <w:r>
              <w:rPr>
                <w:rFonts w:hint="eastAsia" w:ascii="Times New Roman" w:eastAsia="方正黑体_GBK"/>
                <w:color w:val="000000"/>
                <w:spacing w:val="-2"/>
                <w:sz w:val="20"/>
              </w:rPr>
              <w:t>　</w:t>
            </w:r>
          </w:p>
        </w:tc>
        <w:tc>
          <w:tcPr>
            <w:tcW w:w="82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eastAsia="方正黑体_GBK"/>
                <w:color w:val="000000"/>
                <w:spacing w:val="-2"/>
                <w:sz w:val="20"/>
              </w:rPr>
            </w:pPr>
            <w:r>
              <w:rPr>
                <w:rFonts w:hint="eastAsia" w:ascii="Times New Roman" w:eastAsia="方正黑体_GBK"/>
                <w:color w:val="000000"/>
                <w:spacing w:val="-2"/>
                <w:sz w:val="20"/>
              </w:rPr>
              <w:t>　</w:t>
            </w:r>
          </w:p>
        </w:tc>
        <w:tc>
          <w:tcPr>
            <w:tcW w:w="82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eastAsia="方正黑体_GBK"/>
                <w:color w:val="000000"/>
                <w:spacing w:val="-2"/>
                <w:sz w:val="20"/>
              </w:rPr>
            </w:pPr>
            <w:r>
              <w:rPr>
                <w:rFonts w:hint="eastAsia" w:ascii="Times New Roman" w:eastAsia="方正黑体_GBK"/>
                <w:color w:val="000000"/>
                <w:spacing w:val="-2"/>
                <w:sz w:val="20"/>
              </w:rPr>
              <w:t>　</w:t>
            </w:r>
          </w:p>
        </w:tc>
        <w:tc>
          <w:tcPr>
            <w:tcW w:w="82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eastAsia="方正黑体_GBK"/>
                <w:color w:val="000000"/>
                <w:spacing w:val="-2"/>
                <w:sz w:val="20"/>
              </w:rPr>
            </w:pPr>
            <w:r>
              <w:rPr>
                <w:rFonts w:hint="eastAsia" w:ascii="Times New Roman" w:eastAsia="方正黑体_GBK"/>
                <w:color w:val="000000"/>
                <w:spacing w:val="-2"/>
                <w:sz w:val="20"/>
              </w:rPr>
              <w:t>　</w:t>
            </w:r>
          </w:p>
        </w:tc>
        <w:tc>
          <w:tcPr>
            <w:tcW w:w="76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eastAsia="方正黑体_GBK"/>
                <w:color w:val="000000"/>
                <w:spacing w:val="-2"/>
                <w:sz w:val="20"/>
              </w:rPr>
            </w:pPr>
            <w:r>
              <w:rPr>
                <w:rFonts w:hint="eastAsia" w:ascii="Times New Roman" w:eastAsia="方正黑体_GBK"/>
                <w:color w:val="000000"/>
                <w:spacing w:val="-2"/>
                <w:sz w:val="20"/>
              </w:rPr>
              <w:t>　</w:t>
            </w:r>
          </w:p>
        </w:tc>
        <w:tc>
          <w:tcPr>
            <w:tcW w:w="76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eastAsia="方正黑体_GBK"/>
                <w:color w:val="000000"/>
                <w:spacing w:val="-2"/>
                <w:sz w:val="20"/>
              </w:rPr>
            </w:pPr>
            <w:r>
              <w:rPr>
                <w:rFonts w:hint="eastAsia" w:ascii="Times New Roman" w:eastAsia="方正黑体_GBK"/>
                <w:color w:val="000000"/>
                <w:spacing w:val="-2"/>
                <w:sz w:val="20"/>
              </w:rPr>
              <w:t>　</w:t>
            </w:r>
          </w:p>
        </w:tc>
        <w:tc>
          <w:tcPr>
            <w:tcW w:w="98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eastAsia="方正黑体_GBK"/>
                <w:color w:val="000000"/>
                <w:spacing w:val="-2"/>
                <w:sz w:val="20"/>
              </w:rPr>
            </w:pPr>
            <w:r>
              <w:rPr>
                <w:rFonts w:hint="eastAsia" w:ascii="Times New Roman" w:eastAsia="方正黑体_GBK"/>
                <w:color w:val="000000"/>
                <w:spacing w:val="-2"/>
                <w:sz w:val="20"/>
              </w:rPr>
              <w:t>　</w:t>
            </w:r>
          </w:p>
        </w:tc>
        <w:tc>
          <w:tcPr>
            <w:tcW w:w="1080" w:type="dxa"/>
            <w:tcBorders>
              <w:top w:val="single" w:color="auto" w:sz="4" w:space="0"/>
              <w:left w:val="single" w:color="auto" w:sz="4" w:space="0"/>
              <w:bottom w:val="single" w:color="auto" w:sz="4" w:space="0"/>
              <w:right w:val="single" w:color="auto" w:sz="8" w:space="0"/>
            </w:tcBorders>
            <w:noWrap w:val="0"/>
            <w:vAlign w:val="center"/>
          </w:tcPr>
          <w:p>
            <w:pPr>
              <w:jc w:val="center"/>
              <w:rPr>
                <w:rFonts w:ascii="Times New Roman" w:eastAsia="方正黑体_GBK"/>
                <w:color w:val="000000"/>
                <w:spacing w:val="-2"/>
                <w:sz w:val="20"/>
              </w:rPr>
            </w:pPr>
            <w:r>
              <w:rPr>
                <w:rFonts w:hint="eastAsia" w:ascii="Times New Roman" w:eastAsia="方正黑体_GBK"/>
                <w:color w:val="000000"/>
                <w:spacing w:val="-2"/>
                <w:sz w:val="20"/>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0"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c>
          <w:tcPr>
            <w:tcW w:w="70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c>
          <w:tcPr>
            <w:tcW w:w="66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c>
          <w:tcPr>
            <w:tcW w:w="62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c>
          <w:tcPr>
            <w:tcW w:w="62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c>
          <w:tcPr>
            <w:tcW w:w="76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c>
          <w:tcPr>
            <w:tcW w:w="82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c>
          <w:tcPr>
            <w:tcW w:w="82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c>
          <w:tcPr>
            <w:tcW w:w="82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c>
          <w:tcPr>
            <w:tcW w:w="82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c>
          <w:tcPr>
            <w:tcW w:w="76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c>
          <w:tcPr>
            <w:tcW w:w="76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c>
          <w:tcPr>
            <w:tcW w:w="98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c>
          <w:tcPr>
            <w:tcW w:w="1080"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40" w:type="dxa"/>
            <w:gridSpan w:val="2"/>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bCs/>
                <w:color w:val="000000"/>
                <w:spacing w:val="-2"/>
                <w:sz w:val="20"/>
              </w:rPr>
            </w:pPr>
            <w:r>
              <w:rPr>
                <w:rFonts w:hint="eastAsia" w:eastAsia="方正仿宋_GBK"/>
                <w:bCs/>
                <w:color w:val="000000"/>
                <w:spacing w:val="-2"/>
                <w:sz w:val="20"/>
              </w:rPr>
              <w:t>建成项目合计</w:t>
            </w:r>
          </w:p>
        </w:tc>
        <w:tc>
          <w:tcPr>
            <w:tcW w:w="70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b/>
                <w:bCs/>
                <w:color w:val="000000"/>
                <w:spacing w:val="-2"/>
                <w:sz w:val="20"/>
              </w:rPr>
            </w:pPr>
            <w:r>
              <w:rPr>
                <w:rFonts w:hint="eastAsia" w:eastAsia="方正仿宋_GBK"/>
                <w:b/>
                <w:bCs/>
                <w:color w:val="000000"/>
                <w:spacing w:val="-2"/>
                <w:sz w:val="20"/>
              </w:rPr>
              <w:t>　</w:t>
            </w:r>
          </w:p>
        </w:tc>
        <w:tc>
          <w:tcPr>
            <w:tcW w:w="66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b/>
                <w:bCs/>
                <w:color w:val="000000"/>
                <w:spacing w:val="-2"/>
                <w:sz w:val="20"/>
              </w:rPr>
            </w:pPr>
            <w:r>
              <w:rPr>
                <w:rFonts w:hint="eastAsia" w:eastAsia="方正仿宋_GBK"/>
                <w:b/>
                <w:bCs/>
                <w:color w:val="000000"/>
                <w:spacing w:val="-2"/>
                <w:sz w:val="20"/>
              </w:rPr>
              <w:t>　</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b/>
                <w:bCs/>
                <w:color w:val="000000"/>
                <w:spacing w:val="-2"/>
                <w:sz w:val="20"/>
              </w:rPr>
            </w:pPr>
            <w:r>
              <w:rPr>
                <w:rFonts w:hint="eastAsia" w:eastAsia="方正仿宋_GBK"/>
                <w:b/>
                <w:bCs/>
                <w:color w:val="000000"/>
                <w:spacing w:val="-2"/>
                <w:sz w:val="20"/>
              </w:rPr>
              <w:t>　</w:t>
            </w:r>
          </w:p>
        </w:tc>
        <w:tc>
          <w:tcPr>
            <w:tcW w:w="62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b/>
                <w:bCs/>
                <w:color w:val="000000"/>
                <w:spacing w:val="-2"/>
                <w:sz w:val="20"/>
              </w:rPr>
            </w:pPr>
            <w:r>
              <w:rPr>
                <w:rFonts w:hint="eastAsia" w:eastAsia="方正仿宋_GBK"/>
                <w:b/>
                <w:bCs/>
                <w:color w:val="000000"/>
                <w:spacing w:val="-2"/>
                <w:sz w:val="20"/>
              </w:rPr>
              <w:t>　</w:t>
            </w:r>
          </w:p>
        </w:tc>
        <w:tc>
          <w:tcPr>
            <w:tcW w:w="62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b/>
                <w:bCs/>
                <w:color w:val="000000"/>
                <w:spacing w:val="-2"/>
                <w:sz w:val="20"/>
              </w:rPr>
            </w:pPr>
            <w:r>
              <w:rPr>
                <w:rFonts w:hint="eastAsia" w:eastAsia="方正仿宋_GBK"/>
                <w:b/>
                <w:bCs/>
                <w:color w:val="000000"/>
                <w:spacing w:val="-2"/>
                <w:sz w:val="20"/>
              </w:rPr>
              <w:t>　</w:t>
            </w:r>
          </w:p>
        </w:tc>
        <w:tc>
          <w:tcPr>
            <w:tcW w:w="76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b/>
                <w:bCs/>
                <w:color w:val="000000"/>
                <w:spacing w:val="-2"/>
                <w:sz w:val="20"/>
              </w:rPr>
            </w:pPr>
            <w:r>
              <w:rPr>
                <w:rFonts w:hint="eastAsia" w:eastAsia="方正仿宋_GBK"/>
                <w:b/>
                <w:bCs/>
                <w:color w:val="000000"/>
                <w:spacing w:val="-2"/>
                <w:sz w:val="20"/>
              </w:rPr>
              <w:t>　</w:t>
            </w:r>
          </w:p>
        </w:tc>
        <w:tc>
          <w:tcPr>
            <w:tcW w:w="82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b/>
                <w:bCs/>
                <w:color w:val="000000"/>
                <w:spacing w:val="-2"/>
                <w:sz w:val="20"/>
              </w:rPr>
            </w:pPr>
            <w:r>
              <w:rPr>
                <w:rFonts w:hint="eastAsia" w:eastAsia="方正仿宋_GBK"/>
                <w:b/>
                <w:bCs/>
                <w:color w:val="000000"/>
                <w:spacing w:val="-2"/>
                <w:sz w:val="20"/>
              </w:rPr>
              <w:t>　</w:t>
            </w:r>
          </w:p>
        </w:tc>
        <w:tc>
          <w:tcPr>
            <w:tcW w:w="82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b/>
                <w:bCs/>
                <w:color w:val="000000"/>
                <w:spacing w:val="-2"/>
                <w:sz w:val="20"/>
              </w:rPr>
            </w:pPr>
            <w:r>
              <w:rPr>
                <w:rFonts w:hint="eastAsia" w:eastAsia="方正仿宋_GBK"/>
                <w:b/>
                <w:bCs/>
                <w:color w:val="000000"/>
                <w:spacing w:val="-2"/>
                <w:sz w:val="20"/>
              </w:rPr>
              <w:t>　</w:t>
            </w:r>
          </w:p>
        </w:tc>
        <w:tc>
          <w:tcPr>
            <w:tcW w:w="82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b/>
                <w:bCs/>
                <w:color w:val="000000"/>
                <w:spacing w:val="-2"/>
                <w:sz w:val="20"/>
              </w:rPr>
            </w:pPr>
            <w:r>
              <w:rPr>
                <w:rFonts w:hint="eastAsia" w:eastAsia="方正仿宋_GBK"/>
                <w:b/>
                <w:bCs/>
                <w:color w:val="000000"/>
                <w:spacing w:val="-2"/>
                <w:sz w:val="20"/>
              </w:rPr>
              <w:t>　</w:t>
            </w:r>
          </w:p>
        </w:tc>
        <w:tc>
          <w:tcPr>
            <w:tcW w:w="82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b/>
                <w:bCs/>
                <w:color w:val="000000"/>
                <w:spacing w:val="-2"/>
                <w:sz w:val="20"/>
              </w:rPr>
            </w:pPr>
            <w:r>
              <w:rPr>
                <w:rFonts w:hint="eastAsia" w:eastAsia="方正仿宋_GBK"/>
                <w:b/>
                <w:bCs/>
                <w:color w:val="000000"/>
                <w:spacing w:val="-2"/>
                <w:sz w:val="20"/>
              </w:rPr>
              <w:t>　</w:t>
            </w:r>
          </w:p>
        </w:tc>
        <w:tc>
          <w:tcPr>
            <w:tcW w:w="76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b/>
                <w:bCs/>
                <w:color w:val="000000"/>
                <w:spacing w:val="-2"/>
                <w:sz w:val="20"/>
              </w:rPr>
            </w:pPr>
            <w:r>
              <w:rPr>
                <w:rFonts w:hint="eastAsia" w:eastAsia="方正仿宋_GBK"/>
                <w:b/>
                <w:bCs/>
                <w:color w:val="000000"/>
                <w:spacing w:val="-2"/>
                <w:sz w:val="20"/>
              </w:rPr>
              <w:t>　</w:t>
            </w:r>
          </w:p>
        </w:tc>
        <w:tc>
          <w:tcPr>
            <w:tcW w:w="76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b/>
                <w:bCs/>
                <w:color w:val="000000"/>
                <w:spacing w:val="-2"/>
                <w:sz w:val="20"/>
              </w:rPr>
            </w:pPr>
            <w:r>
              <w:rPr>
                <w:rFonts w:hint="eastAsia" w:eastAsia="方正仿宋_GBK"/>
                <w:b/>
                <w:bCs/>
                <w:color w:val="000000"/>
                <w:spacing w:val="-2"/>
                <w:sz w:val="20"/>
              </w:rPr>
              <w:t>　</w:t>
            </w:r>
          </w:p>
        </w:tc>
        <w:tc>
          <w:tcPr>
            <w:tcW w:w="98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b/>
                <w:bCs/>
                <w:color w:val="000000"/>
                <w:spacing w:val="-2"/>
                <w:sz w:val="20"/>
              </w:rPr>
            </w:pPr>
            <w:r>
              <w:rPr>
                <w:rFonts w:hint="eastAsia" w:eastAsia="方正仿宋_GBK"/>
                <w:b/>
                <w:bCs/>
                <w:color w:val="000000"/>
                <w:spacing w:val="-2"/>
                <w:sz w:val="20"/>
              </w:rPr>
              <w:t>　</w:t>
            </w:r>
          </w:p>
        </w:tc>
        <w:tc>
          <w:tcPr>
            <w:tcW w:w="1080"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b/>
                <w:bCs/>
                <w:color w:val="000000"/>
                <w:spacing w:val="-2"/>
                <w:sz w:val="20"/>
              </w:rPr>
            </w:pPr>
            <w:r>
              <w:rPr>
                <w:rFonts w:hint="eastAsia" w:eastAsia="方正仿宋_GBK"/>
                <w:b/>
                <w:bCs/>
                <w:color w:val="000000"/>
                <w:spacing w:val="-2"/>
                <w:sz w:val="20"/>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0"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c>
          <w:tcPr>
            <w:tcW w:w="70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c>
          <w:tcPr>
            <w:tcW w:w="66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c>
          <w:tcPr>
            <w:tcW w:w="62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c>
          <w:tcPr>
            <w:tcW w:w="62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c>
          <w:tcPr>
            <w:tcW w:w="76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c>
          <w:tcPr>
            <w:tcW w:w="82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c>
          <w:tcPr>
            <w:tcW w:w="82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c>
          <w:tcPr>
            <w:tcW w:w="82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c>
          <w:tcPr>
            <w:tcW w:w="82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c>
          <w:tcPr>
            <w:tcW w:w="76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c>
          <w:tcPr>
            <w:tcW w:w="76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c>
          <w:tcPr>
            <w:tcW w:w="98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c>
          <w:tcPr>
            <w:tcW w:w="1080"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0"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c>
          <w:tcPr>
            <w:tcW w:w="70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c>
          <w:tcPr>
            <w:tcW w:w="66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c>
          <w:tcPr>
            <w:tcW w:w="62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c>
          <w:tcPr>
            <w:tcW w:w="62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c>
          <w:tcPr>
            <w:tcW w:w="76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c>
          <w:tcPr>
            <w:tcW w:w="82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c>
          <w:tcPr>
            <w:tcW w:w="82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c>
          <w:tcPr>
            <w:tcW w:w="82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c>
          <w:tcPr>
            <w:tcW w:w="82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c>
          <w:tcPr>
            <w:tcW w:w="76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c>
          <w:tcPr>
            <w:tcW w:w="76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c>
          <w:tcPr>
            <w:tcW w:w="98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c>
          <w:tcPr>
            <w:tcW w:w="1080"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 w:val="20"/>
              </w:rPr>
            </w:pPr>
            <w:r>
              <w:rPr>
                <w:rFonts w:hint="eastAsia" w:eastAsia="方正仿宋_GBK"/>
                <w:color w:val="000000"/>
                <w:spacing w:val="-2"/>
                <w:sz w:val="20"/>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40" w:type="dxa"/>
            <w:gridSpan w:val="2"/>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bCs/>
                <w:color w:val="000000"/>
                <w:spacing w:val="-2"/>
                <w:sz w:val="20"/>
              </w:rPr>
            </w:pPr>
            <w:r>
              <w:rPr>
                <w:rFonts w:hint="eastAsia" w:eastAsia="方正仿宋_GBK"/>
                <w:bCs/>
                <w:color w:val="000000"/>
                <w:spacing w:val="-2"/>
                <w:sz w:val="20"/>
              </w:rPr>
              <w:t>开工项目合计</w:t>
            </w:r>
          </w:p>
        </w:tc>
        <w:tc>
          <w:tcPr>
            <w:tcW w:w="70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b/>
                <w:bCs/>
                <w:color w:val="000000"/>
                <w:spacing w:val="-2"/>
                <w:sz w:val="20"/>
              </w:rPr>
            </w:pPr>
            <w:r>
              <w:rPr>
                <w:rFonts w:hint="eastAsia" w:eastAsia="方正仿宋_GBK"/>
                <w:b/>
                <w:bCs/>
                <w:color w:val="000000"/>
                <w:spacing w:val="-2"/>
                <w:sz w:val="20"/>
              </w:rPr>
              <w:t>　</w:t>
            </w:r>
          </w:p>
        </w:tc>
        <w:tc>
          <w:tcPr>
            <w:tcW w:w="66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b/>
                <w:bCs/>
                <w:color w:val="000000"/>
                <w:spacing w:val="-2"/>
                <w:sz w:val="20"/>
              </w:rPr>
            </w:pPr>
            <w:r>
              <w:rPr>
                <w:rFonts w:hint="eastAsia" w:eastAsia="方正仿宋_GBK"/>
                <w:b/>
                <w:bCs/>
                <w:color w:val="000000"/>
                <w:spacing w:val="-2"/>
                <w:sz w:val="20"/>
              </w:rPr>
              <w:t>　</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b/>
                <w:bCs/>
                <w:color w:val="000000"/>
                <w:spacing w:val="-2"/>
                <w:sz w:val="20"/>
              </w:rPr>
            </w:pPr>
            <w:r>
              <w:rPr>
                <w:rFonts w:hint="eastAsia" w:eastAsia="方正仿宋_GBK"/>
                <w:b/>
                <w:bCs/>
                <w:color w:val="000000"/>
                <w:spacing w:val="-2"/>
                <w:sz w:val="20"/>
              </w:rPr>
              <w:t>　</w:t>
            </w:r>
          </w:p>
        </w:tc>
        <w:tc>
          <w:tcPr>
            <w:tcW w:w="62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b/>
                <w:bCs/>
                <w:color w:val="000000"/>
                <w:spacing w:val="-2"/>
                <w:sz w:val="20"/>
              </w:rPr>
            </w:pPr>
            <w:r>
              <w:rPr>
                <w:rFonts w:hint="eastAsia" w:eastAsia="方正仿宋_GBK"/>
                <w:b/>
                <w:bCs/>
                <w:color w:val="000000"/>
                <w:spacing w:val="-2"/>
                <w:sz w:val="20"/>
              </w:rPr>
              <w:t>　</w:t>
            </w:r>
          </w:p>
        </w:tc>
        <w:tc>
          <w:tcPr>
            <w:tcW w:w="62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b/>
                <w:bCs/>
                <w:color w:val="000000"/>
                <w:spacing w:val="-2"/>
                <w:sz w:val="20"/>
              </w:rPr>
            </w:pPr>
            <w:r>
              <w:rPr>
                <w:rFonts w:hint="eastAsia" w:eastAsia="方正仿宋_GBK"/>
                <w:b/>
                <w:bCs/>
                <w:color w:val="000000"/>
                <w:spacing w:val="-2"/>
                <w:sz w:val="20"/>
              </w:rPr>
              <w:t>　</w:t>
            </w:r>
          </w:p>
        </w:tc>
        <w:tc>
          <w:tcPr>
            <w:tcW w:w="76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b/>
                <w:bCs/>
                <w:color w:val="000000"/>
                <w:spacing w:val="-2"/>
                <w:sz w:val="20"/>
              </w:rPr>
            </w:pPr>
            <w:r>
              <w:rPr>
                <w:rFonts w:hint="eastAsia" w:eastAsia="方正仿宋_GBK"/>
                <w:b/>
                <w:bCs/>
                <w:color w:val="000000"/>
                <w:spacing w:val="-2"/>
                <w:sz w:val="20"/>
              </w:rPr>
              <w:t>　</w:t>
            </w:r>
          </w:p>
        </w:tc>
        <w:tc>
          <w:tcPr>
            <w:tcW w:w="82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b/>
                <w:bCs/>
                <w:color w:val="000000"/>
                <w:spacing w:val="-2"/>
                <w:sz w:val="20"/>
              </w:rPr>
            </w:pPr>
            <w:r>
              <w:rPr>
                <w:rFonts w:hint="eastAsia" w:eastAsia="方正仿宋_GBK"/>
                <w:b/>
                <w:bCs/>
                <w:color w:val="000000"/>
                <w:spacing w:val="-2"/>
                <w:sz w:val="20"/>
              </w:rPr>
              <w:t>　</w:t>
            </w:r>
          </w:p>
        </w:tc>
        <w:tc>
          <w:tcPr>
            <w:tcW w:w="82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b/>
                <w:bCs/>
                <w:color w:val="000000"/>
                <w:spacing w:val="-2"/>
                <w:sz w:val="20"/>
              </w:rPr>
            </w:pPr>
            <w:r>
              <w:rPr>
                <w:rFonts w:hint="eastAsia" w:eastAsia="方正仿宋_GBK"/>
                <w:b/>
                <w:bCs/>
                <w:color w:val="000000"/>
                <w:spacing w:val="-2"/>
                <w:sz w:val="20"/>
              </w:rPr>
              <w:t>　</w:t>
            </w:r>
          </w:p>
        </w:tc>
        <w:tc>
          <w:tcPr>
            <w:tcW w:w="82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b/>
                <w:bCs/>
                <w:color w:val="000000"/>
                <w:spacing w:val="-2"/>
                <w:sz w:val="20"/>
              </w:rPr>
            </w:pPr>
            <w:r>
              <w:rPr>
                <w:rFonts w:hint="eastAsia" w:eastAsia="方正仿宋_GBK"/>
                <w:b/>
                <w:bCs/>
                <w:color w:val="000000"/>
                <w:spacing w:val="-2"/>
                <w:sz w:val="20"/>
              </w:rPr>
              <w:t>　</w:t>
            </w:r>
          </w:p>
        </w:tc>
        <w:tc>
          <w:tcPr>
            <w:tcW w:w="82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b/>
                <w:bCs/>
                <w:color w:val="000000"/>
                <w:spacing w:val="-2"/>
                <w:sz w:val="20"/>
              </w:rPr>
            </w:pPr>
            <w:r>
              <w:rPr>
                <w:rFonts w:hint="eastAsia" w:eastAsia="方正仿宋_GBK"/>
                <w:b/>
                <w:bCs/>
                <w:color w:val="000000"/>
                <w:spacing w:val="-2"/>
                <w:sz w:val="20"/>
              </w:rPr>
              <w:t>　</w:t>
            </w:r>
          </w:p>
        </w:tc>
        <w:tc>
          <w:tcPr>
            <w:tcW w:w="76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b/>
                <w:bCs/>
                <w:color w:val="000000"/>
                <w:spacing w:val="-2"/>
                <w:sz w:val="20"/>
              </w:rPr>
            </w:pPr>
            <w:r>
              <w:rPr>
                <w:rFonts w:hint="eastAsia" w:eastAsia="方正仿宋_GBK"/>
                <w:b/>
                <w:bCs/>
                <w:color w:val="000000"/>
                <w:spacing w:val="-2"/>
                <w:sz w:val="20"/>
              </w:rPr>
              <w:t>　</w:t>
            </w:r>
          </w:p>
        </w:tc>
        <w:tc>
          <w:tcPr>
            <w:tcW w:w="76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b/>
                <w:bCs/>
                <w:color w:val="000000"/>
                <w:spacing w:val="-2"/>
                <w:sz w:val="20"/>
              </w:rPr>
            </w:pPr>
            <w:r>
              <w:rPr>
                <w:rFonts w:hint="eastAsia" w:eastAsia="方正仿宋_GBK"/>
                <w:b/>
                <w:bCs/>
                <w:color w:val="000000"/>
                <w:spacing w:val="-2"/>
                <w:sz w:val="20"/>
              </w:rPr>
              <w:t>　</w:t>
            </w:r>
          </w:p>
        </w:tc>
        <w:tc>
          <w:tcPr>
            <w:tcW w:w="98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b/>
                <w:bCs/>
                <w:color w:val="000000"/>
                <w:spacing w:val="-2"/>
                <w:sz w:val="20"/>
              </w:rPr>
            </w:pPr>
            <w:r>
              <w:rPr>
                <w:rFonts w:hint="eastAsia" w:eastAsia="方正仿宋_GBK"/>
                <w:b/>
                <w:bCs/>
                <w:color w:val="000000"/>
                <w:spacing w:val="-2"/>
                <w:sz w:val="20"/>
              </w:rPr>
              <w:t>　</w:t>
            </w:r>
          </w:p>
        </w:tc>
        <w:tc>
          <w:tcPr>
            <w:tcW w:w="1080"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b/>
                <w:bCs/>
                <w:color w:val="000000"/>
                <w:spacing w:val="-2"/>
                <w:sz w:val="20"/>
              </w:rPr>
            </w:pPr>
            <w:r>
              <w:rPr>
                <w:rFonts w:hint="eastAsia" w:eastAsia="方正仿宋_GBK"/>
                <w:b/>
                <w:bCs/>
                <w:color w:val="000000"/>
                <w:spacing w:val="-2"/>
                <w:sz w:val="20"/>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40" w:type="dxa"/>
            <w:gridSpan w:val="2"/>
            <w:tcBorders>
              <w:top w:val="single" w:color="auto" w:sz="4" w:space="0"/>
              <w:left w:val="single" w:color="auto" w:sz="8" w:space="0"/>
              <w:bottom w:val="single" w:color="auto" w:sz="8" w:space="0"/>
              <w:right w:val="single" w:color="auto" w:sz="4" w:space="0"/>
            </w:tcBorders>
            <w:noWrap w:val="0"/>
            <w:vAlign w:val="center"/>
          </w:tcPr>
          <w:p>
            <w:pPr>
              <w:jc w:val="center"/>
              <w:rPr>
                <w:rFonts w:eastAsia="方正仿宋_GBK"/>
                <w:bCs/>
                <w:color w:val="000000"/>
                <w:spacing w:val="-2"/>
                <w:sz w:val="20"/>
              </w:rPr>
            </w:pPr>
            <w:r>
              <w:rPr>
                <w:rFonts w:hint="eastAsia" w:eastAsia="方正仿宋_GBK"/>
                <w:bCs/>
                <w:color w:val="000000"/>
                <w:spacing w:val="-2"/>
                <w:sz w:val="20"/>
              </w:rPr>
              <w:t>总计</w:t>
            </w:r>
          </w:p>
        </w:tc>
        <w:tc>
          <w:tcPr>
            <w:tcW w:w="700" w:type="dxa"/>
            <w:tcBorders>
              <w:top w:val="single" w:color="auto" w:sz="4" w:space="0"/>
              <w:left w:val="single" w:color="auto" w:sz="4" w:space="0"/>
              <w:bottom w:val="single" w:color="auto" w:sz="8" w:space="0"/>
              <w:right w:val="single" w:color="auto" w:sz="4" w:space="0"/>
            </w:tcBorders>
            <w:noWrap w:val="0"/>
            <w:vAlign w:val="center"/>
          </w:tcPr>
          <w:p>
            <w:pPr>
              <w:jc w:val="center"/>
              <w:rPr>
                <w:rFonts w:eastAsia="方正仿宋_GBK"/>
                <w:b/>
                <w:bCs/>
                <w:color w:val="000000"/>
                <w:spacing w:val="-2"/>
                <w:sz w:val="20"/>
              </w:rPr>
            </w:pPr>
            <w:r>
              <w:rPr>
                <w:rFonts w:hint="eastAsia" w:eastAsia="方正仿宋_GBK"/>
                <w:b/>
                <w:bCs/>
                <w:color w:val="000000"/>
                <w:spacing w:val="-2"/>
                <w:sz w:val="20"/>
              </w:rPr>
              <w:t>　</w:t>
            </w:r>
          </w:p>
        </w:tc>
        <w:tc>
          <w:tcPr>
            <w:tcW w:w="660" w:type="dxa"/>
            <w:tcBorders>
              <w:top w:val="single" w:color="auto" w:sz="4" w:space="0"/>
              <w:left w:val="single" w:color="auto" w:sz="4" w:space="0"/>
              <w:bottom w:val="single" w:color="auto" w:sz="8" w:space="0"/>
              <w:right w:val="single" w:color="auto" w:sz="4" w:space="0"/>
            </w:tcBorders>
            <w:noWrap w:val="0"/>
            <w:vAlign w:val="center"/>
          </w:tcPr>
          <w:p>
            <w:pPr>
              <w:jc w:val="center"/>
              <w:rPr>
                <w:rFonts w:eastAsia="方正仿宋_GBK"/>
                <w:b/>
                <w:bCs/>
                <w:color w:val="000000"/>
                <w:spacing w:val="-2"/>
                <w:sz w:val="20"/>
              </w:rPr>
            </w:pPr>
            <w:r>
              <w:rPr>
                <w:rFonts w:hint="eastAsia" w:eastAsia="方正仿宋_GBK"/>
                <w:b/>
                <w:bCs/>
                <w:color w:val="000000"/>
                <w:spacing w:val="-2"/>
                <w:sz w:val="20"/>
              </w:rPr>
              <w:t>　</w:t>
            </w:r>
          </w:p>
        </w:tc>
        <w:tc>
          <w:tcPr>
            <w:tcW w:w="1080" w:type="dxa"/>
            <w:tcBorders>
              <w:top w:val="single" w:color="auto" w:sz="4" w:space="0"/>
              <w:left w:val="single" w:color="auto" w:sz="4" w:space="0"/>
              <w:bottom w:val="single" w:color="auto" w:sz="8" w:space="0"/>
              <w:right w:val="single" w:color="auto" w:sz="4" w:space="0"/>
            </w:tcBorders>
            <w:noWrap w:val="0"/>
            <w:vAlign w:val="center"/>
          </w:tcPr>
          <w:p>
            <w:pPr>
              <w:jc w:val="center"/>
              <w:rPr>
                <w:rFonts w:eastAsia="方正仿宋_GBK"/>
                <w:b/>
                <w:bCs/>
                <w:color w:val="000000"/>
                <w:spacing w:val="-2"/>
                <w:sz w:val="20"/>
              </w:rPr>
            </w:pPr>
            <w:r>
              <w:rPr>
                <w:rFonts w:hint="eastAsia" w:eastAsia="方正仿宋_GBK"/>
                <w:b/>
                <w:bCs/>
                <w:color w:val="000000"/>
                <w:spacing w:val="-2"/>
                <w:sz w:val="20"/>
              </w:rPr>
              <w:t>　</w:t>
            </w:r>
          </w:p>
        </w:tc>
        <w:tc>
          <w:tcPr>
            <w:tcW w:w="620" w:type="dxa"/>
            <w:tcBorders>
              <w:top w:val="single" w:color="auto" w:sz="4" w:space="0"/>
              <w:left w:val="single" w:color="auto" w:sz="4" w:space="0"/>
              <w:bottom w:val="single" w:color="auto" w:sz="8" w:space="0"/>
              <w:right w:val="single" w:color="auto" w:sz="4" w:space="0"/>
            </w:tcBorders>
            <w:noWrap w:val="0"/>
            <w:vAlign w:val="center"/>
          </w:tcPr>
          <w:p>
            <w:pPr>
              <w:jc w:val="center"/>
              <w:rPr>
                <w:rFonts w:eastAsia="方正仿宋_GBK"/>
                <w:b/>
                <w:bCs/>
                <w:color w:val="000000"/>
                <w:spacing w:val="-2"/>
                <w:sz w:val="20"/>
              </w:rPr>
            </w:pPr>
            <w:r>
              <w:rPr>
                <w:rFonts w:hint="eastAsia" w:eastAsia="方正仿宋_GBK"/>
                <w:b/>
                <w:bCs/>
                <w:color w:val="000000"/>
                <w:spacing w:val="-2"/>
                <w:sz w:val="20"/>
              </w:rPr>
              <w:t>　</w:t>
            </w:r>
          </w:p>
        </w:tc>
        <w:tc>
          <w:tcPr>
            <w:tcW w:w="620" w:type="dxa"/>
            <w:tcBorders>
              <w:top w:val="single" w:color="auto" w:sz="4" w:space="0"/>
              <w:left w:val="single" w:color="auto" w:sz="4" w:space="0"/>
              <w:bottom w:val="single" w:color="auto" w:sz="8" w:space="0"/>
              <w:right w:val="single" w:color="auto" w:sz="4" w:space="0"/>
            </w:tcBorders>
            <w:noWrap w:val="0"/>
            <w:vAlign w:val="center"/>
          </w:tcPr>
          <w:p>
            <w:pPr>
              <w:jc w:val="center"/>
              <w:rPr>
                <w:rFonts w:eastAsia="方正仿宋_GBK"/>
                <w:b/>
                <w:bCs/>
                <w:color w:val="000000"/>
                <w:spacing w:val="-2"/>
                <w:sz w:val="20"/>
              </w:rPr>
            </w:pPr>
            <w:r>
              <w:rPr>
                <w:rFonts w:hint="eastAsia" w:eastAsia="方正仿宋_GBK"/>
                <w:b/>
                <w:bCs/>
                <w:color w:val="000000"/>
                <w:spacing w:val="-2"/>
                <w:sz w:val="20"/>
              </w:rPr>
              <w:t>　</w:t>
            </w:r>
          </w:p>
        </w:tc>
        <w:tc>
          <w:tcPr>
            <w:tcW w:w="760" w:type="dxa"/>
            <w:tcBorders>
              <w:top w:val="single" w:color="auto" w:sz="4" w:space="0"/>
              <w:left w:val="single" w:color="auto" w:sz="4" w:space="0"/>
              <w:bottom w:val="single" w:color="auto" w:sz="8" w:space="0"/>
              <w:right w:val="single" w:color="auto" w:sz="4" w:space="0"/>
            </w:tcBorders>
            <w:noWrap w:val="0"/>
            <w:vAlign w:val="center"/>
          </w:tcPr>
          <w:p>
            <w:pPr>
              <w:jc w:val="center"/>
              <w:rPr>
                <w:rFonts w:eastAsia="方正仿宋_GBK"/>
                <w:b/>
                <w:bCs/>
                <w:color w:val="000000"/>
                <w:spacing w:val="-2"/>
                <w:sz w:val="20"/>
              </w:rPr>
            </w:pPr>
            <w:r>
              <w:rPr>
                <w:rFonts w:hint="eastAsia" w:eastAsia="方正仿宋_GBK"/>
                <w:b/>
                <w:bCs/>
                <w:color w:val="000000"/>
                <w:spacing w:val="-2"/>
                <w:sz w:val="20"/>
              </w:rPr>
              <w:t>　</w:t>
            </w:r>
          </w:p>
        </w:tc>
        <w:tc>
          <w:tcPr>
            <w:tcW w:w="820" w:type="dxa"/>
            <w:tcBorders>
              <w:top w:val="single" w:color="auto" w:sz="4" w:space="0"/>
              <w:left w:val="single" w:color="auto" w:sz="4" w:space="0"/>
              <w:bottom w:val="single" w:color="auto" w:sz="8" w:space="0"/>
              <w:right w:val="single" w:color="auto" w:sz="4" w:space="0"/>
            </w:tcBorders>
            <w:noWrap w:val="0"/>
            <w:vAlign w:val="center"/>
          </w:tcPr>
          <w:p>
            <w:pPr>
              <w:jc w:val="center"/>
              <w:rPr>
                <w:rFonts w:eastAsia="方正仿宋_GBK"/>
                <w:b/>
                <w:bCs/>
                <w:color w:val="000000"/>
                <w:spacing w:val="-2"/>
                <w:sz w:val="20"/>
              </w:rPr>
            </w:pPr>
            <w:r>
              <w:rPr>
                <w:rFonts w:hint="eastAsia" w:eastAsia="方正仿宋_GBK"/>
                <w:b/>
                <w:bCs/>
                <w:color w:val="000000"/>
                <w:spacing w:val="-2"/>
                <w:sz w:val="20"/>
              </w:rPr>
              <w:t>　</w:t>
            </w:r>
          </w:p>
        </w:tc>
        <w:tc>
          <w:tcPr>
            <w:tcW w:w="820" w:type="dxa"/>
            <w:tcBorders>
              <w:top w:val="single" w:color="auto" w:sz="4" w:space="0"/>
              <w:left w:val="single" w:color="auto" w:sz="4" w:space="0"/>
              <w:bottom w:val="single" w:color="auto" w:sz="8" w:space="0"/>
              <w:right w:val="single" w:color="auto" w:sz="4" w:space="0"/>
            </w:tcBorders>
            <w:noWrap w:val="0"/>
            <w:vAlign w:val="center"/>
          </w:tcPr>
          <w:p>
            <w:pPr>
              <w:jc w:val="center"/>
              <w:rPr>
                <w:rFonts w:eastAsia="方正仿宋_GBK"/>
                <w:b/>
                <w:bCs/>
                <w:color w:val="000000"/>
                <w:spacing w:val="-2"/>
                <w:sz w:val="20"/>
              </w:rPr>
            </w:pPr>
            <w:r>
              <w:rPr>
                <w:rFonts w:hint="eastAsia" w:eastAsia="方正仿宋_GBK"/>
                <w:b/>
                <w:bCs/>
                <w:color w:val="000000"/>
                <w:spacing w:val="-2"/>
                <w:sz w:val="20"/>
              </w:rPr>
              <w:t>　</w:t>
            </w:r>
          </w:p>
        </w:tc>
        <w:tc>
          <w:tcPr>
            <w:tcW w:w="820" w:type="dxa"/>
            <w:tcBorders>
              <w:top w:val="single" w:color="auto" w:sz="4" w:space="0"/>
              <w:left w:val="single" w:color="auto" w:sz="4" w:space="0"/>
              <w:bottom w:val="single" w:color="auto" w:sz="8" w:space="0"/>
              <w:right w:val="single" w:color="auto" w:sz="4" w:space="0"/>
            </w:tcBorders>
            <w:noWrap w:val="0"/>
            <w:vAlign w:val="center"/>
          </w:tcPr>
          <w:p>
            <w:pPr>
              <w:jc w:val="center"/>
              <w:rPr>
                <w:rFonts w:eastAsia="方正仿宋_GBK"/>
                <w:b/>
                <w:bCs/>
                <w:color w:val="000000"/>
                <w:spacing w:val="-2"/>
                <w:sz w:val="20"/>
              </w:rPr>
            </w:pPr>
            <w:r>
              <w:rPr>
                <w:rFonts w:hint="eastAsia" w:eastAsia="方正仿宋_GBK"/>
                <w:b/>
                <w:bCs/>
                <w:color w:val="000000"/>
                <w:spacing w:val="-2"/>
                <w:sz w:val="20"/>
              </w:rPr>
              <w:t>　</w:t>
            </w:r>
          </w:p>
        </w:tc>
        <w:tc>
          <w:tcPr>
            <w:tcW w:w="820" w:type="dxa"/>
            <w:tcBorders>
              <w:top w:val="single" w:color="auto" w:sz="4" w:space="0"/>
              <w:left w:val="single" w:color="auto" w:sz="4" w:space="0"/>
              <w:bottom w:val="single" w:color="auto" w:sz="8" w:space="0"/>
              <w:right w:val="single" w:color="auto" w:sz="4" w:space="0"/>
            </w:tcBorders>
            <w:noWrap w:val="0"/>
            <w:vAlign w:val="center"/>
          </w:tcPr>
          <w:p>
            <w:pPr>
              <w:jc w:val="center"/>
              <w:rPr>
                <w:rFonts w:eastAsia="方正仿宋_GBK"/>
                <w:b/>
                <w:bCs/>
                <w:color w:val="000000"/>
                <w:spacing w:val="-2"/>
                <w:sz w:val="20"/>
              </w:rPr>
            </w:pPr>
            <w:r>
              <w:rPr>
                <w:rFonts w:hint="eastAsia" w:eastAsia="方正仿宋_GBK"/>
                <w:b/>
                <w:bCs/>
                <w:color w:val="000000"/>
                <w:spacing w:val="-2"/>
                <w:sz w:val="20"/>
              </w:rPr>
              <w:t>　</w:t>
            </w:r>
          </w:p>
        </w:tc>
        <w:tc>
          <w:tcPr>
            <w:tcW w:w="760" w:type="dxa"/>
            <w:tcBorders>
              <w:top w:val="single" w:color="auto" w:sz="4" w:space="0"/>
              <w:left w:val="single" w:color="auto" w:sz="4" w:space="0"/>
              <w:bottom w:val="single" w:color="auto" w:sz="8" w:space="0"/>
              <w:right w:val="single" w:color="auto" w:sz="4" w:space="0"/>
            </w:tcBorders>
            <w:noWrap w:val="0"/>
            <w:vAlign w:val="center"/>
          </w:tcPr>
          <w:p>
            <w:pPr>
              <w:jc w:val="center"/>
              <w:rPr>
                <w:rFonts w:eastAsia="方正仿宋_GBK"/>
                <w:b/>
                <w:bCs/>
                <w:color w:val="000000"/>
                <w:spacing w:val="-2"/>
                <w:sz w:val="20"/>
              </w:rPr>
            </w:pPr>
            <w:r>
              <w:rPr>
                <w:rFonts w:hint="eastAsia" w:eastAsia="方正仿宋_GBK"/>
                <w:b/>
                <w:bCs/>
                <w:color w:val="000000"/>
                <w:spacing w:val="-2"/>
                <w:sz w:val="20"/>
              </w:rPr>
              <w:t>　</w:t>
            </w:r>
          </w:p>
        </w:tc>
        <w:tc>
          <w:tcPr>
            <w:tcW w:w="760" w:type="dxa"/>
            <w:tcBorders>
              <w:top w:val="single" w:color="auto" w:sz="4" w:space="0"/>
              <w:left w:val="single" w:color="auto" w:sz="4" w:space="0"/>
              <w:bottom w:val="single" w:color="auto" w:sz="8" w:space="0"/>
              <w:right w:val="single" w:color="auto" w:sz="4" w:space="0"/>
            </w:tcBorders>
            <w:noWrap w:val="0"/>
            <w:vAlign w:val="center"/>
          </w:tcPr>
          <w:p>
            <w:pPr>
              <w:jc w:val="center"/>
              <w:rPr>
                <w:rFonts w:eastAsia="方正仿宋_GBK"/>
                <w:b/>
                <w:bCs/>
                <w:color w:val="000000"/>
                <w:spacing w:val="-2"/>
                <w:sz w:val="20"/>
              </w:rPr>
            </w:pPr>
            <w:r>
              <w:rPr>
                <w:rFonts w:hint="eastAsia" w:eastAsia="方正仿宋_GBK"/>
                <w:b/>
                <w:bCs/>
                <w:color w:val="000000"/>
                <w:spacing w:val="-2"/>
                <w:sz w:val="20"/>
              </w:rPr>
              <w:t>　</w:t>
            </w:r>
          </w:p>
        </w:tc>
        <w:tc>
          <w:tcPr>
            <w:tcW w:w="980" w:type="dxa"/>
            <w:tcBorders>
              <w:top w:val="single" w:color="auto" w:sz="4" w:space="0"/>
              <w:left w:val="single" w:color="auto" w:sz="4" w:space="0"/>
              <w:bottom w:val="single" w:color="auto" w:sz="8" w:space="0"/>
              <w:right w:val="single" w:color="auto" w:sz="4" w:space="0"/>
            </w:tcBorders>
            <w:noWrap w:val="0"/>
            <w:vAlign w:val="center"/>
          </w:tcPr>
          <w:p>
            <w:pPr>
              <w:jc w:val="center"/>
              <w:rPr>
                <w:rFonts w:eastAsia="方正仿宋_GBK"/>
                <w:b/>
                <w:bCs/>
                <w:color w:val="000000"/>
                <w:spacing w:val="-2"/>
                <w:sz w:val="20"/>
              </w:rPr>
            </w:pPr>
            <w:r>
              <w:rPr>
                <w:rFonts w:hint="eastAsia" w:eastAsia="方正仿宋_GBK"/>
                <w:b/>
                <w:bCs/>
                <w:color w:val="000000"/>
                <w:spacing w:val="-2"/>
                <w:sz w:val="20"/>
              </w:rPr>
              <w:t>　</w:t>
            </w:r>
          </w:p>
        </w:tc>
        <w:tc>
          <w:tcPr>
            <w:tcW w:w="1080" w:type="dxa"/>
            <w:tcBorders>
              <w:top w:val="single" w:color="auto" w:sz="4" w:space="0"/>
              <w:left w:val="single" w:color="auto" w:sz="4" w:space="0"/>
              <w:bottom w:val="single" w:color="auto" w:sz="8" w:space="0"/>
              <w:right w:val="single" w:color="auto" w:sz="8" w:space="0"/>
            </w:tcBorders>
            <w:noWrap w:val="0"/>
            <w:vAlign w:val="center"/>
          </w:tcPr>
          <w:p>
            <w:pPr>
              <w:jc w:val="center"/>
              <w:rPr>
                <w:rFonts w:eastAsia="方正仿宋_GBK"/>
                <w:b/>
                <w:bCs/>
                <w:color w:val="000000"/>
                <w:spacing w:val="-2"/>
                <w:sz w:val="20"/>
              </w:rPr>
            </w:pPr>
            <w:r>
              <w:rPr>
                <w:rFonts w:hint="eastAsia" w:eastAsia="方正仿宋_GBK"/>
                <w:b/>
                <w:bCs/>
                <w:color w:val="000000"/>
                <w:spacing w:val="-2"/>
                <w:sz w:val="20"/>
              </w:rPr>
              <w:t>　</w:t>
            </w:r>
          </w:p>
        </w:tc>
      </w:tr>
    </w:tbl>
    <w:p>
      <w:pPr>
        <w:spacing w:line="320" w:lineRule="exact"/>
        <w:ind w:firstLine="412" w:firstLineChars="200"/>
        <w:rPr>
          <w:rFonts w:hint="eastAsia" w:hAnsi="Times New Roman"/>
          <w:color w:val="000000"/>
          <w:spacing w:val="-2"/>
          <w:szCs w:val="21"/>
        </w:rPr>
      </w:pPr>
    </w:p>
    <w:p>
      <w:pPr>
        <w:spacing w:line="320" w:lineRule="exact"/>
        <w:rPr>
          <w:rFonts w:eastAsia="方正仿宋_GBK"/>
          <w:color w:val="000000"/>
          <w:spacing w:val="-2"/>
          <w:sz w:val="18"/>
          <w:szCs w:val="18"/>
        </w:rPr>
      </w:pPr>
      <w:r>
        <w:rPr>
          <w:rFonts w:hint="eastAsia" w:eastAsia="方正仿宋_GBK"/>
          <w:color w:val="000000"/>
          <w:spacing w:val="-2"/>
          <w:sz w:val="18"/>
          <w:szCs w:val="18"/>
        </w:rPr>
        <w:t>填写说明：</w:t>
      </w:r>
    </w:p>
    <w:p>
      <w:pPr>
        <w:spacing w:line="320" w:lineRule="exact"/>
        <w:ind w:firstLine="352" w:firstLineChars="200"/>
        <w:rPr>
          <w:rFonts w:eastAsia="方正仿宋_GBK"/>
          <w:color w:val="000000"/>
          <w:spacing w:val="-2"/>
          <w:sz w:val="18"/>
          <w:szCs w:val="18"/>
        </w:rPr>
      </w:pPr>
      <w:r>
        <w:rPr>
          <w:rFonts w:eastAsia="方正仿宋_GBK"/>
          <w:color w:val="000000"/>
          <w:spacing w:val="-2"/>
          <w:sz w:val="18"/>
          <w:szCs w:val="18"/>
        </w:rPr>
        <w:t>1</w:t>
      </w:r>
      <w:r>
        <w:rPr>
          <w:rFonts w:hint="eastAsia" w:eastAsia="方正仿宋_GBK"/>
          <w:color w:val="000000"/>
          <w:spacing w:val="-2"/>
          <w:sz w:val="18"/>
          <w:szCs w:val="18"/>
        </w:rPr>
        <w:t>、建筑类型：填写</w:t>
      </w:r>
      <w:r>
        <w:rPr>
          <w:rFonts w:eastAsia="方正仿宋_GBK"/>
          <w:color w:val="000000"/>
          <w:spacing w:val="-2"/>
          <w:sz w:val="18"/>
          <w:szCs w:val="18"/>
        </w:rPr>
        <w:t>“</w:t>
      </w:r>
      <w:r>
        <w:rPr>
          <w:rFonts w:hint="eastAsia" w:eastAsia="方正仿宋_GBK"/>
          <w:color w:val="000000"/>
          <w:spacing w:val="-2"/>
          <w:sz w:val="18"/>
          <w:szCs w:val="18"/>
        </w:rPr>
        <w:t>公共建筑或居住建筑</w:t>
      </w:r>
      <w:r>
        <w:rPr>
          <w:rFonts w:eastAsia="方正仿宋_GBK"/>
          <w:color w:val="000000"/>
          <w:spacing w:val="-2"/>
          <w:sz w:val="18"/>
          <w:szCs w:val="18"/>
        </w:rPr>
        <w:t>”</w:t>
      </w:r>
      <w:r>
        <w:rPr>
          <w:rFonts w:hint="eastAsia" w:eastAsia="方正仿宋_GBK"/>
          <w:color w:val="000000"/>
          <w:spacing w:val="-2"/>
          <w:sz w:val="18"/>
          <w:szCs w:val="18"/>
        </w:rPr>
        <w:t>；</w:t>
      </w:r>
      <w:r>
        <w:rPr>
          <w:rFonts w:eastAsia="方正仿宋_GBK"/>
          <w:color w:val="000000"/>
          <w:spacing w:val="-2"/>
          <w:sz w:val="18"/>
          <w:szCs w:val="18"/>
        </w:rPr>
        <w:t>2</w:t>
      </w:r>
      <w:r>
        <w:rPr>
          <w:rFonts w:hint="eastAsia" w:eastAsia="方正仿宋_GBK"/>
          <w:color w:val="000000"/>
          <w:spacing w:val="-2"/>
          <w:sz w:val="18"/>
          <w:szCs w:val="18"/>
        </w:rPr>
        <w:t>、建设类型：填写</w:t>
      </w:r>
      <w:r>
        <w:rPr>
          <w:rFonts w:eastAsia="方正仿宋_GBK"/>
          <w:color w:val="000000"/>
          <w:spacing w:val="-2"/>
          <w:sz w:val="18"/>
          <w:szCs w:val="18"/>
        </w:rPr>
        <w:t>“</w:t>
      </w:r>
      <w:r>
        <w:rPr>
          <w:rFonts w:hint="eastAsia" w:eastAsia="方正仿宋_GBK"/>
          <w:color w:val="000000"/>
          <w:spacing w:val="-2"/>
          <w:sz w:val="18"/>
          <w:szCs w:val="18"/>
        </w:rPr>
        <w:t>新建或既改</w:t>
      </w:r>
      <w:r>
        <w:rPr>
          <w:rFonts w:eastAsia="方正仿宋_GBK"/>
          <w:color w:val="000000"/>
          <w:spacing w:val="-2"/>
          <w:sz w:val="18"/>
          <w:szCs w:val="18"/>
        </w:rPr>
        <w:t>”</w:t>
      </w:r>
      <w:r>
        <w:rPr>
          <w:rFonts w:hint="eastAsia" w:eastAsia="方正仿宋_GBK"/>
          <w:color w:val="000000"/>
          <w:spacing w:val="-2"/>
          <w:sz w:val="18"/>
          <w:szCs w:val="18"/>
        </w:rPr>
        <w:t>；</w:t>
      </w:r>
      <w:r>
        <w:rPr>
          <w:rFonts w:eastAsia="方正仿宋_GBK"/>
          <w:color w:val="000000"/>
          <w:spacing w:val="-2"/>
          <w:sz w:val="18"/>
          <w:szCs w:val="18"/>
        </w:rPr>
        <w:t>3</w:t>
      </w:r>
      <w:r>
        <w:rPr>
          <w:rFonts w:hint="eastAsia" w:eastAsia="方正仿宋_GBK"/>
          <w:color w:val="000000"/>
          <w:spacing w:val="-2"/>
          <w:sz w:val="18"/>
          <w:szCs w:val="18"/>
        </w:rPr>
        <w:t>、建筑面积：保留一位小数；</w:t>
      </w:r>
      <w:r>
        <w:rPr>
          <w:rFonts w:eastAsia="方正仿宋_GBK"/>
          <w:color w:val="000000"/>
          <w:spacing w:val="-2"/>
          <w:sz w:val="18"/>
          <w:szCs w:val="18"/>
        </w:rPr>
        <w:t>4</w:t>
      </w:r>
      <w:r>
        <w:rPr>
          <w:rFonts w:hint="eastAsia" w:eastAsia="方正仿宋_GBK"/>
          <w:color w:val="000000"/>
          <w:spacing w:val="-2"/>
          <w:sz w:val="18"/>
          <w:szCs w:val="18"/>
        </w:rPr>
        <w:t>、实施起止时间：如</w:t>
      </w:r>
      <w:r>
        <w:rPr>
          <w:rFonts w:eastAsia="方正仿宋_GBK"/>
          <w:color w:val="000000"/>
          <w:spacing w:val="-2"/>
          <w:sz w:val="18"/>
          <w:szCs w:val="18"/>
        </w:rPr>
        <w:t>2010.05-2013.09</w:t>
      </w:r>
      <w:r>
        <w:rPr>
          <w:rFonts w:hint="eastAsia" w:eastAsia="方正仿宋_GBK"/>
          <w:color w:val="000000"/>
          <w:spacing w:val="-2"/>
          <w:sz w:val="18"/>
          <w:szCs w:val="18"/>
        </w:rPr>
        <w:t>；</w:t>
      </w:r>
      <w:r>
        <w:rPr>
          <w:rFonts w:eastAsia="方正仿宋_GBK"/>
          <w:color w:val="000000"/>
          <w:spacing w:val="-2"/>
          <w:sz w:val="18"/>
          <w:szCs w:val="18"/>
        </w:rPr>
        <w:t>5</w:t>
      </w:r>
      <w:r>
        <w:rPr>
          <w:rFonts w:hint="eastAsia" w:eastAsia="方正仿宋_GBK"/>
          <w:color w:val="000000"/>
          <w:spacing w:val="-2"/>
          <w:sz w:val="18"/>
          <w:szCs w:val="18"/>
        </w:rPr>
        <w:t>、建设情况：填写</w:t>
      </w:r>
      <w:r>
        <w:rPr>
          <w:rFonts w:eastAsia="方正仿宋_GBK"/>
          <w:color w:val="000000"/>
          <w:spacing w:val="-2"/>
          <w:sz w:val="18"/>
          <w:szCs w:val="18"/>
        </w:rPr>
        <w:t>“</w:t>
      </w:r>
      <w:r>
        <w:rPr>
          <w:rFonts w:hint="eastAsia" w:eastAsia="方正仿宋_GBK"/>
          <w:color w:val="000000"/>
          <w:spacing w:val="-2"/>
          <w:sz w:val="18"/>
          <w:szCs w:val="18"/>
        </w:rPr>
        <w:t>未开工、已开工、已竣工</w:t>
      </w:r>
      <w:r>
        <w:rPr>
          <w:rFonts w:eastAsia="方正仿宋_GBK"/>
          <w:color w:val="000000"/>
          <w:spacing w:val="-2"/>
          <w:sz w:val="18"/>
          <w:szCs w:val="18"/>
        </w:rPr>
        <w:t>”</w:t>
      </w:r>
      <w:r>
        <w:rPr>
          <w:rFonts w:hint="eastAsia" w:eastAsia="方正仿宋_GBK"/>
          <w:color w:val="000000"/>
          <w:spacing w:val="-2"/>
          <w:sz w:val="18"/>
          <w:szCs w:val="18"/>
        </w:rPr>
        <w:t>；</w:t>
      </w:r>
      <w:r>
        <w:rPr>
          <w:rFonts w:eastAsia="方正仿宋_GBK"/>
          <w:color w:val="000000"/>
          <w:spacing w:val="-2"/>
          <w:sz w:val="18"/>
          <w:szCs w:val="18"/>
        </w:rPr>
        <w:t>6</w:t>
      </w:r>
      <w:r>
        <w:rPr>
          <w:rFonts w:hint="eastAsia" w:eastAsia="方正仿宋_GBK"/>
          <w:color w:val="000000"/>
          <w:spacing w:val="-2"/>
          <w:sz w:val="18"/>
          <w:szCs w:val="18"/>
        </w:rPr>
        <w:t>、示范任务完成情况：已做要求的填写完成情况，未做要求的填写</w:t>
      </w:r>
      <w:r>
        <w:rPr>
          <w:rFonts w:eastAsia="方正仿宋_GBK"/>
          <w:color w:val="000000"/>
          <w:spacing w:val="-2"/>
          <w:sz w:val="18"/>
          <w:szCs w:val="18"/>
        </w:rPr>
        <w:t>“</w:t>
      </w:r>
      <w:r>
        <w:rPr>
          <w:rFonts w:hint="eastAsia" w:eastAsia="方正仿宋_GBK"/>
          <w:color w:val="000000"/>
          <w:spacing w:val="-2"/>
          <w:sz w:val="18"/>
          <w:szCs w:val="18"/>
        </w:rPr>
        <w:t>未要求</w:t>
      </w:r>
      <w:r>
        <w:rPr>
          <w:rFonts w:eastAsia="方正仿宋_GBK"/>
          <w:color w:val="000000"/>
          <w:spacing w:val="-2"/>
          <w:sz w:val="18"/>
          <w:szCs w:val="18"/>
        </w:rPr>
        <w:t>”</w:t>
      </w:r>
      <w:r>
        <w:rPr>
          <w:rFonts w:hint="eastAsia" w:eastAsia="方正仿宋_GBK"/>
          <w:color w:val="000000"/>
          <w:spacing w:val="-2"/>
          <w:sz w:val="18"/>
          <w:szCs w:val="18"/>
        </w:rPr>
        <w:t>；</w:t>
      </w:r>
      <w:r>
        <w:rPr>
          <w:rFonts w:eastAsia="方正仿宋_GBK"/>
          <w:color w:val="000000"/>
          <w:spacing w:val="-2"/>
          <w:sz w:val="18"/>
          <w:szCs w:val="18"/>
        </w:rPr>
        <w:t>7</w:t>
      </w:r>
      <w:r>
        <w:rPr>
          <w:rFonts w:hint="eastAsia" w:eastAsia="方正仿宋_GBK"/>
          <w:color w:val="000000"/>
          <w:spacing w:val="-2"/>
          <w:sz w:val="18"/>
          <w:szCs w:val="18"/>
        </w:rPr>
        <w:t>、绿色建筑：填写</w:t>
      </w:r>
      <w:r>
        <w:rPr>
          <w:rFonts w:eastAsia="方正仿宋_GBK"/>
          <w:color w:val="000000"/>
          <w:spacing w:val="-2"/>
          <w:sz w:val="18"/>
          <w:szCs w:val="18"/>
        </w:rPr>
        <w:t>“</w:t>
      </w:r>
      <w:r>
        <w:rPr>
          <w:rFonts w:hint="eastAsia" w:eastAsia="方正仿宋_GBK"/>
          <w:color w:val="000000"/>
          <w:spacing w:val="-2"/>
          <w:sz w:val="18"/>
          <w:szCs w:val="18"/>
        </w:rPr>
        <w:t>已取得或未取得</w:t>
      </w:r>
      <w:r>
        <w:rPr>
          <w:rFonts w:eastAsia="方正仿宋_GBK"/>
          <w:color w:val="000000"/>
          <w:spacing w:val="-2"/>
          <w:sz w:val="18"/>
          <w:szCs w:val="18"/>
        </w:rPr>
        <w:t>”</w:t>
      </w:r>
      <w:r>
        <w:rPr>
          <w:rFonts w:hint="eastAsia" w:eastAsia="方正仿宋_GBK"/>
          <w:color w:val="000000"/>
          <w:spacing w:val="-2"/>
          <w:sz w:val="18"/>
          <w:szCs w:val="18"/>
        </w:rPr>
        <w:t>，其中已经取得的需填写</w:t>
      </w:r>
      <w:r>
        <w:rPr>
          <w:rFonts w:eastAsia="方正仿宋_GBK"/>
          <w:color w:val="000000"/>
          <w:spacing w:val="-2"/>
          <w:sz w:val="18"/>
          <w:szCs w:val="18"/>
        </w:rPr>
        <w:t>“</w:t>
      </w:r>
      <w:r>
        <w:rPr>
          <w:rFonts w:hint="eastAsia" w:eastAsia="方正仿宋_GBK"/>
          <w:color w:val="000000"/>
          <w:spacing w:val="-2"/>
          <w:sz w:val="18"/>
          <w:szCs w:val="18"/>
        </w:rPr>
        <w:t>一星设计、一星运营、二星设计、二星运营、三星设计、三星运营</w:t>
      </w:r>
      <w:r>
        <w:rPr>
          <w:rFonts w:eastAsia="方正仿宋_GBK"/>
          <w:color w:val="000000"/>
          <w:spacing w:val="-2"/>
          <w:sz w:val="18"/>
          <w:szCs w:val="18"/>
        </w:rPr>
        <w:t>”</w:t>
      </w:r>
      <w:r>
        <w:rPr>
          <w:rFonts w:hint="eastAsia" w:eastAsia="方正仿宋_GBK"/>
          <w:color w:val="000000"/>
          <w:spacing w:val="-2"/>
          <w:sz w:val="18"/>
          <w:szCs w:val="18"/>
        </w:rPr>
        <w:t>；</w:t>
      </w:r>
      <w:r>
        <w:rPr>
          <w:rFonts w:eastAsia="方正仿宋_GBK"/>
          <w:color w:val="000000"/>
          <w:spacing w:val="-2"/>
          <w:sz w:val="18"/>
          <w:szCs w:val="18"/>
        </w:rPr>
        <w:t>8</w:t>
      </w:r>
      <w:r>
        <w:rPr>
          <w:rFonts w:hint="eastAsia" w:eastAsia="方正仿宋_GBK"/>
          <w:color w:val="000000"/>
          <w:spacing w:val="-2"/>
          <w:sz w:val="18"/>
          <w:szCs w:val="18"/>
        </w:rPr>
        <w:t>、可再生能源建筑应用：填写</w:t>
      </w:r>
      <w:r>
        <w:rPr>
          <w:rFonts w:eastAsia="方正仿宋_GBK"/>
          <w:color w:val="000000"/>
          <w:spacing w:val="-2"/>
          <w:sz w:val="18"/>
          <w:szCs w:val="18"/>
        </w:rPr>
        <w:t>“</w:t>
      </w:r>
      <w:r>
        <w:rPr>
          <w:rFonts w:hint="eastAsia" w:eastAsia="方正仿宋_GBK"/>
          <w:color w:val="000000"/>
          <w:spacing w:val="-2"/>
          <w:sz w:val="18"/>
          <w:szCs w:val="18"/>
        </w:rPr>
        <w:t>已实施或未实施</w:t>
      </w:r>
      <w:r>
        <w:rPr>
          <w:rFonts w:eastAsia="方正仿宋_GBK"/>
          <w:color w:val="000000"/>
          <w:spacing w:val="-2"/>
          <w:sz w:val="18"/>
          <w:szCs w:val="18"/>
        </w:rPr>
        <w:t>”</w:t>
      </w:r>
      <w:r>
        <w:rPr>
          <w:rFonts w:hint="eastAsia" w:eastAsia="方正仿宋_GBK"/>
          <w:color w:val="000000"/>
          <w:spacing w:val="-2"/>
          <w:sz w:val="18"/>
          <w:szCs w:val="18"/>
        </w:rPr>
        <w:t>，其中已经实施的需填写</w:t>
      </w:r>
      <w:r>
        <w:rPr>
          <w:rFonts w:eastAsia="方正仿宋_GBK"/>
          <w:color w:val="000000"/>
          <w:spacing w:val="-2"/>
          <w:sz w:val="18"/>
          <w:szCs w:val="18"/>
        </w:rPr>
        <w:t>“</w:t>
      </w:r>
      <w:r>
        <w:rPr>
          <w:rFonts w:hint="eastAsia" w:eastAsia="方正仿宋_GBK"/>
          <w:color w:val="000000"/>
          <w:spacing w:val="-2"/>
          <w:sz w:val="18"/>
          <w:szCs w:val="18"/>
        </w:rPr>
        <w:t>太阳能光热、太阳能光电、土壤源热泵、地表水源热泵、江水、海水源热泵或污水源热泵</w:t>
      </w:r>
      <w:r>
        <w:rPr>
          <w:rFonts w:eastAsia="方正仿宋_GBK"/>
          <w:color w:val="000000"/>
          <w:spacing w:val="-2"/>
          <w:sz w:val="18"/>
          <w:szCs w:val="18"/>
        </w:rPr>
        <w:t>”</w:t>
      </w:r>
      <w:r>
        <w:rPr>
          <w:rFonts w:hint="eastAsia" w:eastAsia="方正仿宋_GBK"/>
          <w:color w:val="000000"/>
          <w:spacing w:val="-2"/>
          <w:sz w:val="18"/>
          <w:szCs w:val="18"/>
        </w:rPr>
        <w:t>，同时应用多种技术的，用</w:t>
      </w:r>
      <w:r>
        <w:rPr>
          <w:rFonts w:eastAsia="方正仿宋_GBK"/>
          <w:color w:val="000000"/>
          <w:spacing w:val="-2"/>
          <w:sz w:val="18"/>
          <w:szCs w:val="18"/>
        </w:rPr>
        <w:t>“+”</w:t>
      </w:r>
      <w:r>
        <w:rPr>
          <w:rFonts w:hint="eastAsia" w:eastAsia="方正仿宋_GBK"/>
          <w:color w:val="000000"/>
          <w:spacing w:val="-2"/>
          <w:sz w:val="18"/>
          <w:szCs w:val="18"/>
        </w:rPr>
        <w:t>连接；</w:t>
      </w:r>
      <w:r>
        <w:rPr>
          <w:rFonts w:eastAsia="方正仿宋_GBK"/>
          <w:color w:val="000000"/>
          <w:spacing w:val="-2"/>
          <w:sz w:val="18"/>
          <w:szCs w:val="18"/>
        </w:rPr>
        <w:t>9</w:t>
      </w:r>
      <w:r>
        <w:rPr>
          <w:rFonts w:hint="eastAsia" w:eastAsia="方正仿宋_GBK"/>
          <w:color w:val="000000"/>
          <w:spacing w:val="-2"/>
          <w:sz w:val="18"/>
          <w:szCs w:val="18"/>
        </w:rPr>
        <w:t>、全装修住宅：填写</w:t>
      </w:r>
      <w:r>
        <w:rPr>
          <w:rFonts w:eastAsia="方正仿宋_GBK"/>
          <w:color w:val="000000"/>
          <w:spacing w:val="-2"/>
          <w:sz w:val="18"/>
          <w:szCs w:val="18"/>
        </w:rPr>
        <w:t>“</w:t>
      </w:r>
      <w:r>
        <w:rPr>
          <w:rFonts w:hint="eastAsia" w:eastAsia="方正仿宋_GBK"/>
          <w:color w:val="000000"/>
          <w:spacing w:val="-2"/>
          <w:sz w:val="18"/>
          <w:szCs w:val="18"/>
        </w:rPr>
        <w:t>已实施或未实施</w:t>
      </w:r>
      <w:r>
        <w:rPr>
          <w:rFonts w:eastAsia="方正仿宋_GBK"/>
          <w:color w:val="000000"/>
          <w:spacing w:val="-2"/>
          <w:sz w:val="18"/>
          <w:szCs w:val="18"/>
        </w:rPr>
        <w:t>”</w:t>
      </w:r>
      <w:r>
        <w:rPr>
          <w:rFonts w:hint="eastAsia" w:eastAsia="方正仿宋_GBK"/>
          <w:color w:val="000000"/>
          <w:spacing w:val="-2"/>
          <w:sz w:val="18"/>
          <w:szCs w:val="18"/>
        </w:rPr>
        <w:t>，</w:t>
      </w:r>
      <w:r>
        <w:rPr>
          <w:rFonts w:eastAsia="方正仿宋_GBK"/>
          <w:color w:val="000000"/>
          <w:spacing w:val="-2"/>
          <w:sz w:val="18"/>
          <w:szCs w:val="18"/>
        </w:rPr>
        <w:t>“</w:t>
      </w:r>
      <w:r>
        <w:rPr>
          <w:rFonts w:hint="eastAsia" w:eastAsia="方正仿宋_GBK"/>
          <w:color w:val="000000"/>
          <w:spacing w:val="-2"/>
          <w:sz w:val="18"/>
          <w:szCs w:val="18"/>
        </w:rPr>
        <w:t>全装修面积</w:t>
      </w:r>
      <w:r>
        <w:rPr>
          <w:rFonts w:eastAsia="方正仿宋_GBK"/>
          <w:color w:val="000000"/>
          <w:spacing w:val="-2"/>
          <w:sz w:val="18"/>
          <w:szCs w:val="18"/>
        </w:rPr>
        <w:t>”</w:t>
      </w:r>
      <w:r>
        <w:rPr>
          <w:rFonts w:hint="eastAsia" w:eastAsia="方正仿宋_GBK"/>
          <w:color w:val="000000"/>
          <w:spacing w:val="-2"/>
          <w:sz w:val="18"/>
          <w:szCs w:val="18"/>
        </w:rPr>
        <w:t>；</w:t>
      </w:r>
      <w:r>
        <w:rPr>
          <w:rFonts w:eastAsia="方正仿宋_GBK"/>
          <w:color w:val="000000"/>
          <w:spacing w:val="-2"/>
          <w:sz w:val="18"/>
          <w:szCs w:val="18"/>
        </w:rPr>
        <w:t>10</w:t>
      </w:r>
      <w:r>
        <w:rPr>
          <w:rFonts w:hint="eastAsia" w:eastAsia="方正仿宋_GBK"/>
          <w:color w:val="000000"/>
          <w:spacing w:val="-2"/>
          <w:sz w:val="18"/>
          <w:szCs w:val="18"/>
        </w:rPr>
        <w:t>、既有建筑节能改造：填写</w:t>
      </w:r>
      <w:r>
        <w:rPr>
          <w:rFonts w:eastAsia="方正仿宋_GBK"/>
          <w:color w:val="000000"/>
          <w:spacing w:val="-2"/>
          <w:sz w:val="18"/>
          <w:szCs w:val="18"/>
        </w:rPr>
        <w:t>“</w:t>
      </w:r>
      <w:r>
        <w:rPr>
          <w:rFonts w:hint="eastAsia" w:eastAsia="方正仿宋_GBK"/>
          <w:color w:val="000000"/>
          <w:spacing w:val="-2"/>
          <w:sz w:val="18"/>
          <w:szCs w:val="18"/>
        </w:rPr>
        <w:t>已实施或未实施</w:t>
      </w:r>
      <w:r>
        <w:rPr>
          <w:rFonts w:eastAsia="方正仿宋_GBK"/>
          <w:color w:val="000000"/>
          <w:spacing w:val="-2"/>
          <w:sz w:val="18"/>
          <w:szCs w:val="18"/>
        </w:rPr>
        <w:t>”</w:t>
      </w:r>
      <w:r>
        <w:rPr>
          <w:rFonts w:hint="eastAsia" w:eastAsia="方正仿宋_GBK"/>
          <w:color w:val="000000"/>
          <w:spacing w:val="-2"/>
          <w:sz w:val="18"/>
          <w:szCs w:val="18"/>
        </w:rPr>
        <w:t>；</w:t>
      </w:r>
      <w:r>
        <w:rPr>
          <w:rFonts w:eastAsia="方正仿宋_GBK"/>
          <w:color w:val="000000"/>
          <w:spacing w:val="-2"/>
          <w:sz w:val="18"/>
          <w:szCs w:val="18"/>
        </w:rPr>
        <w:t>11</w:t>
      </w:r>
      <w:r>
        <w:rPr>
          <w:rFonts w:hint="eastAsia" w:eastAsia="方正仿宋_GBK"/>
          <w:color w:val="000000"/>
          <w:spacing w:val="-2"/>
          <w:sz w:val="18"/>
          <w:szCs w:val="18"/>
        </w:rPr>
        <w:t>、能耗分项计量上传：填写</w:t>
      </w:r>
      <w:r>
        <w:rPr>
          <w:rFonts w:eastAsia="方正仿宋_GBK"/>
          <w:color w:val="000000"/>
          <w:spacing w:val="-2"/>
          <w:sz w:val="18"/>
          <w:szCs w:val="18"/>
        </w:rPr>
        <w:t>“</w:t>
      </w:r>
      <w:r>
        <w:rPr>
          <w:rFonts w:hint="eastAsia" w:eastAsia="方正仿宋_GBK"/>
          <w:color w:val="000000"/>
          <w:spacing w:val="-2"/>
          <w:sz w:val="18"/>
          <w:szCs w:val="18"/>
        </w:rPr>
        <w:t>已安装、未安装或已上传</w:t>
      </w:r>
      <w:r>
        <w:rPr>
          <w:rFonts w:eastAsia="方正仿宋_GBK"/>
          <w:color w:val="000000"/>
          <w:spacing w:val="-2"/>
          <w:sz w:val="18"/>
          <w:szCs w:val="18"/>
        </w:rPr>
        <w:t>”</w:t>
      </w:r>
      <w:r>
        <w:rPr>
          <w:rFonts w:hint="eastAsia" w:eastAsia="方正仿宋_GBK"/>
          <w:color w:val="000000"/>
          <w:spacing w:val="-2"/>
          <w:sz w:val="18"/>
          <w:szCs w:val="18"/>
        </w:rPr>
        <w:t>；</w:t>
      </w:r>
      <w:r>
        <w:rPr>
          <w:rFonts w:eastAsia="方正仿宋_GBK"/>
          <w:color w:val="000000"/>
          <w:spacing w:val="-2"/>
          <w:sz w:val="18"/>
          <w:szCs w:val="18"/>
        </w:rPr>
        <w:t>12</w:t>
      </w:r>
      <w:r>
        <w:rPr>
          <w:rFonts w:hint="eastAsia" w:eastAsia="方正仿宋_GBK"/>
          <w:color w:val="000000"/>
          <w:spacing w:val="-2"/>
          <w:sz w:val="18"/>
          <w:szCs w:val="18"/>
        </w:rPr>
        <w:t>、能效测评标识：填写</w:t>
      </w:r>
      <w:r>
        <w:rPr>
          <w:rFonts w:eastAsia="方正仿宋_GBK"/>
          <w:color w:val="000000"/>
          <w:spacing w:val="-2"/>
          <w:sz w:val="18"/>
          <w:szCs w:val="18"/>
        </w:rPr>
        <w:t>“</w:t>
      </w:r>
      <w:r>
        <w:rPr>
          <w:rFonts w:hint="eastAsia" w:eastAsia="方正仿宋_GBK"/>
          <w:color w:val="000000"/>
          <w:spacing w:val="-2"/>
          <w:sz w:val="18"/>
          <w:szCs w:val="18"/>
        </w:rPr>
        <w:t>已取得或未取得</w:t>
      </w:r>
      <w:r>
        <w:rPr>
          <w:rFonts w:eastAsia="方正仿宋_GBK"/>
          <w:color w:val="000000"/>
          <w:spacing w:val="-2"/>
          <w:sz w:val="18"/>
          <w:szCs w:val="18"/>
        </w:rPr>
        <w:t>”</w:t>
      </w:r>
      <w:r>
        <w:rPr>
          <w:rFonts w:hint="eastAsia" w:eastAsia="方正仿宋_GBK"/>
          <w:color w:val="000000"/>
          <w:spacing w:val="-2"/>
          <w:sz w:val="18"/>
          <w:szCs w:val="18"/>
        </w:rPr>
        <w:t>，已完成能效测评的填写</w:t>
      </w:r>
      <w:r>
        <w:rPr>
          <w:rFonts w:eastAsia="方正仿宋_GBK"/>
          <w:color w:val="000000"/>
          <w:spacing w:val="-2"/>
          <w:sz w:val="18"/>
          <w:szCs w:val="18"/>
        </w:rPr>
        <w:t>“</w:t>
      </w:r>
      <w:r>
        <w:rPr>
          <w:rFonts w:hint="eastAsia" w:eastAsia="方正仿宋_GBK"/>
          <w:color w:val="000000"/>
          <w:spacing w:val="-2"/>
          <w:sz w:val="18"/>
          <w:szCs w:val="18"/>
        </w:rPr>
        <w:t>已完成测评</w:t>
      </w:r>
      <w:r>
        <w:rPr>
          <w:rFonts w:eastAsia="方正仿宋_GBK"/>
          <w:color w:val="000000"/>
          <w:spacing w:val="-2"/>
          <w:sz w:val="18"/>
          <w:szCs w:val="18"/>
        </w:rPr>
        <w:t>”</w:t>
      </w:r>
      <w:r>
        <w:rPr>
          <w:rFonts w:hint="eastAsia" w:eastAsia="方正仿宋_GBK"/>
          <w:color w:val="000000"/>
          <w:spacing w:val="-2"/>
          <w:sz w:val="18"/>
          <w:szCs w:val="18"/>
        </w:rPr>
        <w:t>；</w:t>
      </w:r>
      <w:r>
        <w:rPr>
          <w:rFonts w:eastAsia="方正仿宋_GBK"/>
          <w:color w:val="000000"/>
          <w:spacing w:val="-2"/>
          <w:sz w:val="18"/>
          <w:szCs w:val="18"/>
        </w:rPr>
        <w:t>13</w:t>
      </w:r>
      <w:r>
        <w:rPr>
          <w:rFonts w:hint="eastAsia" w:eastAsia="方正仿宋_GBK"/>
          <w:color w:val="000000"/>
          <w:spacing w:val="-2"/>
          <w:sz w:val="18"/>
          <w:szCs w:val="18"/>
        </w:rPr>
        <w:t>、示范技术增量投资：保留到整数位；</w:t>
      </w:r>
      <w:r>
        <w:rPr>
          <w:rFonts w:eastAsia="方正仿宋_GBK"/>
          <w:color w:val="000000"/>
          <w:spacing w:val="-2"/>
          <w:sz w:val="18"/>
          <w:szCs w:val="18"/>
        </w:rPr>
        <w:t>14</w:t>
      </w:r>
      <w:r>
        <w:rPr>
          <w:rFonts w:hint="eastAsia" w:eastAsia="方正仿宋_GBK"/>
          <w:color w:val="000000"/>
          <w:spacing w:val="-2"/>
          <w:sz w:val="18"/>
          <w:szCs w:val="18"/>
        </w:rPr>
        <w:t>、年节能量：保留到整数位</w:t>
      </w:r>
    </w:p>
    <w:p>
      <w:pPr>
        <w:widowControl/>
        <w:jc w:val="left"/>
        <w:rPr>
          <w:rFonts w:eastAsia="黑体"/>
          <w:color w:val="000000"/>
          <w:spacing w:val="-2"/>
          <w:sz w:val="36"/>
          <w:szCs w:val="36"/>
        </w:rPr>
        <w:sectPr>
          <w:pgSz w:w="16838" w:h="11905" w:orient="landscape"/>
          <w:pgMar w:top="1587" w:right="1701" w:bottom="1587" w:left="1701" w:header="850" w:footer="1361" w:gutter="0"/>
          <w:paperSrc w:first="4" w:other="4"/>
          <w:cols w:space="720" w:num="1"/>
        </w:sectPr>
      </w:pPr>
    </w:p>
    <w:p>
      <w:pPr>
        <w:spacing w:line="320" w:lineRule="exact"/>
        <w:rPr>
          <w:rFonts w:eastAsia="方正仿宋_GBK"/>
          <w:color w:val="000000"/>
          <w:spacing w:val="-2"/>
          <w:sz w:val="24"/>
        </w:rPr>
      </w:pPr>
      <w:r>
        <w:rPr>
          <w:rFonts w:hint="eastAsia" w:ascii="Times New Roman" w:eastAsia="方正黑体_GBK"/>
          <w:color w:val="000000"/>
          <w:spacing w:val="-2"/>
          <w:sz w:val="28"/>
          <w:szCs w:val="28"/>
        </w:rPr>
        <w:t>附件5：</w:t>
      </w:r>
    </w:p>
    <w:p>
      <w:pPr>
        <w:jc w:val="center"/>
        <w:rPr>
          <w:rFonts w:ascii="Times New Roman" w:hAnsi="Times New Roman" w:eastAsia="方正黑体_GBK"/>
          <w:color w:val="000000"/>
          <w:spacing w:val="-2"/>
          <w:sz w:val="36"/>
          <w:szCs w:val="36"/>
        </w:rPr>
      </w:pPr>
      <w:r>
        <w:rPr>
          <w:rFonts w:hint="eastAsia" w:ascii="Times New Roman" w:hAnsi="Times New Roman" w:eastAsia="方正黑体_GBK"/>
          <w:color w:val="000000"/>
          <w:spacing w:val="-2"/>
          <w:sz w:val="36"/>
          <w:szCs w:val="36"/>
        </w:rPr>
        <w:t>示范区实施总结报告编写提纲</w:t>
      </w:r>
    </w:p>
    <w:p>
      <w:pPr>
        <w:spacing w:line="460" w:lineRule="exact"/>
        <w:ind w:firstLine="472" w:firstLineChars="200"/>
        <w:rPr>
          <w:rFonts w:hint="eastAsia" w:eastAsia="方正仿宋_GBK"/>
          <w:color w:val="000000"/>
          <w:spacing w:val="-2"/>
          <w:sz w:val="24"/>
        </w:rPr>
      </w:pP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一、示范区概况</w:t>
      </w:r>
    </w:p>
    <w:p>
      <w:pPr>
        <w:spacing w:line="460" w:lineRule="exact"/>
        <w:ind w:firstLine="472" w:firstLineChars="200"/>
        <w:rPr>
          <w:rFonts w:hint="eastAsia"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）示范区基本情况；</w:t>
      </w:r>
    </w:p>
    <w:p>
      <w:pPr>
        <w:spacing w:line="460" w:lineRule="exact"/>
        <w:ind w:firstLine="472" w:firstLineChars="200"/>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）对照实施方案，示范区示范目标完成情况和取得的绩效；</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二、示范任务实施情况</w:t>
      </w:r>
    </w:p>
    <w:p>
      <w:pPr>
        <w:spacing w:line="460" w:lineRule="exact"/>
        <w:ind w:firstLine="472" w:firstLineChars="200"/>
        <w:rPr>
          <w:rFonts w:hint="eastAsia"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）专项规划编制及批准实施情况（编制情况、评审情况及评审结论、专项规划对示范区的指导以及规划的批准实施情况等）；</w:t>
      </w:r>
    </w:p>
    <w:p>
      <w:pPr>
        <w:spacing w:line="460" w:lineRule="exact"/>
        <w:ind w:firstLine="472" w:firstLineChars="200"/>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）节约型城乡建设工作实施及指标体系完成情况；</w:t>
      </w:r>
    </w:p>
    <w:p>
      <w:pPr>
        <w:spacing w:line="460" w:lineRule="exact"/>
        <w:ind w:firstLine="472" w:firstLineChars="200"/>
        <w:rPr>
          <w:rFonts w:eastAsia="方正仿宋_GBK"/>
          <w:color w:val="000000"/>
          <w:spacing w:val="-2"/>
          <w:sz w:val="24"/>
        </w:rPr>
      </w:pPr>
      <w:r>
        <w:rPr>
          <w:rFonts w:eastAsia="方正仿宋_GBK"/>
          <w:color w:val="000000"/>
          <w:spacing w:val="-2"/>
          <w:sz w:val="24"/>
        </w:rPr>
        <w:t>3</w:t>
      </w:r>
      <w:r>
        <w:rPr>
          <w:rFonts w:hint="eastAsia" w:eastAsia="方正仿宋_GBK"/>
          <w:color w:val="000000"/>
          <w:spacing w:val="-2"/>
          <w:sz w:val="24"/>
        </w:rPr>
        <w:t>）建筑节能和绿色建筑项目实施及绿色建筑评价标识情况，分类别说明各类示范工作开展情况、建成项目实施效益、在建项目形象进度等；</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三、示范区配套能力建设情况</w:t>
      </w:r>
    </w:p>
    <w:p>
      <w:pPr>
        <w:spacing w:line="460" w:lineRule="exact"/>
        <w:ind w:firstLine="472" w:firstLineChars="200"/>
        <w:rPr>
          <w:rFonts w:hint="eastAsia"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）组织领导（领导班子的建立及议事协调、具体办事机构建立及运行情况等）；</w:t>
      </w:r>
    </w:p>
    <w:p>
      <w:pPr>
        <w:spacing w:line="460" w:lineRule="exact"/>
        <w:ind w:firstLine="472" w:firstLineChars="200"/>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）政策制定（财政补助资金管理办法、项目管理办法等相关文件发布及执行情况，出台优惠激励政策情况等）；</w:t>
      </w:r>
    </w:p>
    <w:p>
      <w:pPr>
        <w:spacing w:line="460" w:lineRule="exact"/>
        <w:ind w:firstLine="472" w:firstLineChars="200"/>
        <w:rPr>
          <w:rFonts w:eastAsia="方正仿宋_GBK"/>
          <w:color w:val="000000"/>
          <w:spacing w:val="-2"/>
          <w:sz w:val="24"/>
        </w:rPr>
      </w:pPr>
      <w:r>
        <w:rPr>
          <w:rFonts w:eastAsia="方正仿宋_GBK"/>
          <w:color w:val="000000"/>
          <w:spacing w:val="-2"/>
          <w:sz w:val="24"/>
        </w:rPr>
        <w:t>3</w:t>
      </w:r>
      <w:r>
        <w:rPr>
          <w:rFonts w:hint="eastAsia" w:eastAsia="方正仿宋_GBK"/>
          <w:color w:val="000000"/>
          <w:spacing w:val="-2"/>
          <w:sz w:val="24"/>
        </w:rPr>
        <w:t>）技术保障（技术支撑单位工作情况、社会机构培育情况、科技研发等）；</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四、财政补助资金及配套资金安排使用情况</w:t>
      </w:r>
    </w:p>
    <w:p>
      <w:pPr>
        <w:spacing w:line="460" w:lineRule="exact"/>
        <w:ind w:firstLine="472" w:firstLineChars="200"/>
        <w:rPr>
          <w:rFonts w:hint="eastAsia" w:ascii="Times New Roman" w:eastAsia="方正黑体_GBK"/>
          <w:color w:val="000000"/>
          <w:spacing w:val="-2"/>
          <w:sz w:val="24"/>
        </w:rPr>
      </w:pPr>
      <w:r>
        <w:rPr>
          <w:rFonts w:hint="eastAsia" w:ascii="Times New Roman" w:eastAsia="方正黑体_GBK"/>
          <w:color w:val="000000"/>
          <w:spacing w:val="-2"/>
          <w:sz w:val="24"/>
        </w:rPr>
        <w:t>五、示范区示范效应及绩效自评估</w:t>
      </w:r>
    </w:p>
    <w:p>
      <w:pPr>
        <w:spacing w:line="460" w:lineRule="exact"/>
        <w:ind w:firstLine="472" w:firstLineChars="200"/>
        <w:rPr>
          <w:rFonts w:hint="eastAsia" w:ascii="Times New Roman" w:eastAsia="方正黑体_GBK"/>
          <w:color w:val="000000"/>
          <w:spacing w:val="-2"/>
          <w:sz w:val="24"/>
        </w:rPr>
      </w:pPr>
      <w:r>
        <w:rPr>
          <w:rFonts w:hint="eastAsia" w:ascii="Times New Roman" w:eastAsia="方正黑体_GBK"/>
          <w:color w:val="000000"/>
          <w:spacing w:val="-2"/>
          <w:sz w:val="24"/>
        </w:rPr>
        <w:t>六、示范区建设亮点、特点和创新点</w:t>
      </w:r>
    </w:p>
    <w:p>
      <w:pPr>
        <w:spacing w:line="460" w:lineRule="exact"/>
        <w:ind w:firstLine="472" w:firstLineChars="200"/>
        <w:rPr>
          <w:rFonts w:hint="eastAsia" w:eastAsia="方正仿宋_GBK"/>
          <w:color w:val="000000"/>
          <w:spacing w:val="-2"/>
          <w:sz w:val="24"/>
        </w:rPr>
      </w:pPr>
      <w:r>
        <w:rPr>
          <w:rFonts w:hint="eastAsia" w:eastAsia="方正仿宋_GBK"/>
          <w:color w:val="000000"/>
          <w:spacing w:val="-2"/>
          <w:sz w:val="24"/>
        </w:rPr>
        <w:t>（充分提炼示范区在体制机制创新、技术创新、地域特色鲜明、管理制度和推广模式先进等方面的亮点、特点和创新点）</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七、示范区长效机制建设情况</w:t>
      </w:r>
    </w:p>
    <w:p>
      <w:pPr>
        <w:spacing w:line="460" w:lineRule="exact"/>
        <w:ind w:firstLine="472" w:firstLineChars="200"/>
        <w:rPr>
          <w:rFonts w:hint="eastAsia" w:eastAsia="方正仿宋_GBK"/>
          <w:color w:val="000000"/>
          <w:spacing w:val="-2"/>
          <w:sz w:val="24"/>
        </w:rPr>
      </w:pPr>
      <w:r>
        <w:rPr>
          <w:rFonts w:hint="eastAsia" w:eastAsia="方正仿宋_GBK"/>
          <w:color w:val="000000"/>
          <w:spacing w:val="-2"/>
          <w:sz w:val="24"/>
        </w:rPr>
        <w:t>（示范区在探索建立后评估体系及后期运营管理制度，推进示范区提档升级开展绿色生态城区创建等示范区建设长效机制情况）</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附表：</w:t>
      </w:r>
      <w:r>
        <w:rPr>
          <w:rFonts w:eastAsia="方正仿宋_GBK"/>
          <w:color w:val="000000"/>
          <w:spacing w:val="-2"/>
          <w:sz w:val="24"/>
        </w:rPr>
        <w:t>xx</w:t>
      </w:r>
      <w:r>
        <w:rPr>
          <w:rFonts w:hint="eastAsia" w:eastAsia="方正仿宋_GBK"/>
          <w:color w:val="000000"/>
          <w:spacing w:val="-2"/>
          <w:sz w:val="24"/>
        </w:rPr>
        <w:t>示范区建筑节能和绿色建筑示范项目汇总表</w:t>
      </w:r>
    </w:p>
    <w:p>
      <w:pPr>
        <w:spacing w:line="460" w:lineRule="exact"/>
        <w:ind w:firstLine="472" w:firstLineChars="200"/>
        <w:rPr>
          <w:rFonts w:ascii="Times New Roman" w:eastAsia="方正黑体_GBK"/>
          <w:color w:val="000000"/>
          <w:spacing w:val="-2"/>
          <w:sz w:val="28"/>
          <w:szCs w:val="28"/>
        </w:rPr>
      </w:pPr>
      <w:r>
        <w:rPr>
          <w:rFonts w:hint="eastAsia" w:eastAsia="方正仿宋_GBK"/>
          <w:color w:val="000000"/>
          <w:spacing w:val="-2"/>
          <w:sz w:val="24"/>
        </w:rPr>
        <w:t>（各项工作均应说明开展情况、计划任务完成情况、实施效益以及经验成果总结）</w:t>
      </w:r>
      <w:r>
        <w:rPr>
          <w:rFonts w:eastAsia="方正仿宋_GBK"/>
          <w:color w:val="000000"/>
          <w:spacing w:val="-2"/>
          <w:sz w:val="24"/>
        </w:rPr>
        <w:br w:type="column"/>
      </w:r>
      <w:r>
        <w:rPr>
          <w:rFonts w:hint="eastAsia" w:ascii="Times New Roman" w:eastAsia="方正黑体_GBK"/>
          <w:color w:val="000000"/>
          <w:spacing w:val="-2"/>
          <w:sz w:val="28"/>
          <w:szCs w:val="28"/>
        </w:rPr>
        <w:t>附件6：</w:t>
      </w:r>
    </w:p>
    <w:p>
      <w:pPr>
        <w:spacing w:line="460" w:lineRule="exact"/>
        <w:jc w:val="center"/>
        <w:rPr>
          <w:rFonts w:hint="eastAsia" w:eastAsia="方正仿宋_GBK"/>
          <w:b/>
          <w:color w:val="000000"/>
          <w:spacing w:val="-2"/>
          <w:sz w:val="24"/>
        </w:rPr>
      </w:pPr>
    </w:p>
    <w:p>
      <w:pPr>
        <w:jc w:val="center"/>
        <w:rPr>
          <w:rFonts w:ascii="Times New Roman" w:hAnsi="Times New Roman" w:eastAsia="方正黑体_GBK"/>
          <w:color w:val="000000"/>
          <w:spacing w:val="-2"/>
          <w:sz w:val="36"/>
          <w:szCs w:val="36"/>
        </w:rPr>
      </w:pPr>
      <w:r>
        <w:rPr>
          <w:rFonts w:hint="eastAsia" w:ascii="Times New Roman" w:hAnsi="Times New Roman" w:eastAsia="方正黑体_GBK"/>
          <w:color w:val="000000"/>
          <w:spacing w:val="-2"/>
          <w:sz w:val="36"/>
          <w:szCs w:val="36"/>
        </w:rPr>
        <w:t>示范区财政补助资金及配套资金使用及管理情况</w:t>
      </w:r>
    </w:p>
    <w:p>
      <w:pPr>
        <w:jc w:val="center"/>
        <w:rPr>
          <w:rFonts w:hint="eastAsia" w:ascii="Times New Roman" w:hAnsi="Times New Roman" w:eastAsia="方正黑体_GBK"/>
          <w:color w:val="000000"/>
          <w:spacing w:val="-2"/>
          <w:sz w:val="36"/>
          <w:szCs w:val="36"/>
        </w:rPr>
      </w:pPr>
      <w:r>
        <w:rPr>
          <w:rFonts w:hint="eastAsia" w:ascii="Times New Roman" w:hAnsi="Times New Roman" w:eastAsia="方正黑体_GBK"/>
          <w:color w:val="000000"/>
          <w:spacing w:val="-2"/>
          <w:sz w:val="36"/>
          <w:szCs w:val="36"/>
        </w:rPr>
        <w:t>总结报告编写提纲</w:t>
      </w:r>
    </w:p>
    <w:p>
      <w:pPr>
        <w:spacing w:line="460" w:lineRule="exact"/>
        <w:ind w:firstLine="472" w:firstLineChars="200"/>
        <w:rPr>
          <w:rFonts w:hint="eastAsia" w:eastAsia="方正仿宋_GBK"/>
          <w:color w:val="000000"/>
          <w:spacing w:val="-2"/>
          <w:sz w:val="24"/>
        </w:rPr>
      </w:pP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一、示范区概况</w:t>
      </w:r>
    </w:p>
    <w:p>
      <w:pPr>
        <w:spacing w:line="460" w:lineRule="exact"/>
        <w:ind w:firstLine="472" w:firstLineChars="200"/>
        <w:rPr>
          <w:rFonts w:hint="eastAsia"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）示范区基本情况</w:t>
      </w:r>
    </w:p>
    <w:p>
      <w:pPr>
        <w:spacing w:line="460" w:lineRule="exact"/>
        <w:ind w:firstLine="472" w:firstLineChars="200"/>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）对照实施方案，示范区示范目标完成情况和资金安排及拨付概况</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二、财政补助资金及配套资金安排落实、管理使用情况</w:t>
      </w:r>
    </w:p>
    <w:p>
      <w:pPr>
        <w:spacing w:line="460" w:lineRule="exact"/>
        <w:ind w:firstLine="472" w:firstLineChars="200"/>
        <w:rPr>
          <w:rFonts w:hint="eastAsia"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）财政补助资金落实、下达拨付情况；</w:t>
      </w:r>
    </w:p>
    <w:p>
      <w:pPr>
        <w:spacing w:line="460" w:lineRule="exact"/>
        <w:ind w:firstLine="472" w:firstLineChars="200"/>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）配套资金落实、下达拨付情况；</w:t>
      </w:r>
    </w:p>
    <w:p>
      <w:pPr>
        <w:spacing w:line="460" w:lineRule="exact"/>
        <w:ind w:firstLine="472" w:firstLineChars="200"/>
        <w:rPr>
          <w:rFonts w:eastAsia="方正仿宋_GBK"/>
          <w:color w:val="000000"/>
          <w:spacing w:val="-2"/>
          <w:sz w:val="24"/>
        </w:rPr>
      </w:pPr>
      <w:r>
        <w:rPr>
          <w:rFonts w:eastAsia="方正仿宋_GBK"/>
          <w:color w:val="000000"/>
          <w:spacing w:val="-2"/>
          <w:sz w:val="24"/>
        </w:rPr>
        <w:t>3</w:t>
      </w:r>
      <w:r>
        <w:rPr>
          <w:rFonts w:hint="eastAsia" w:eastAsia="方正仿宋_GBK"/>
          <w:color w:val="000000"/>
          <w:spacing w:val="-2"/>
          <w:sz w:val="24"/>
        </w:rPr>
        <w:t>）资金监管情况</w:t>
      </w:r>
    </w:p>
    <w:p>
      <w:pPr>
        <w:spacing w:line="460" w:lineRule="exact"/>
        <w:ind w:firstLine="472" w:firstLineChars="200"/>
        <w:rPr>
          <w:rFonts w:eastAsia="方正仿宋_GBK"/>
          <w:color w:val="000000"/>
          <w:spacing w:val="-2"/>
          <w:sz w:val="24"/>
        </w:rPr>
      </w:pPr>
      <w:r>
        <w:rPr>
          <w:rFonts w:eastAsia="方正仿宋_GBK"/>
          <w:color w:val="000000"/>
          <w:spacing w:val="-2"/>
          <w:sz w:val="24"/>
        </w:rPr>
        <w:t>4</w:t>
      </w:r>
      <w:r>
        <w:rPr>
          <w:rFonts w:hint="eastAsia" w:eastAsia="方正仿宋_GBK"/>
          <w:color w:val="000000"/>
          <w:spacing w:val="-2"/>
          <w:sz w:val="24"/>
        </w:rPr>
        <w:t>）绩效评估</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三、资金使用审核结论意见</w:t>
      </w:r>
    </w:p>
    <w:p>
      <w:pPr>
        <w:spacing w:line="460" w:lineRule="exact"/>
        <w:ind w:firstLine="472" w:firstLineChars="200"/>
        <w:rPr>
          <w:rFonts w:hint="eastAsia" w:eastAsia="方正仿宋_GBK"/>
          <w:color w:val="000000"/>
          <w:spacing w:val="-2"/>
          <w:sz w:val="24"/>
        </w:rPr>
      </w:pPr>
      <w:r>
        <w:rPr>
          <w:rFonts w:hint="eastAsia" w:eastAsia="方正仿宋_GBK"/>
          <w:color w:val="000000"/>
          <w:spacing w:val="-2"/>
          <w:sz w:val="24"/>
        </w:rPr>
        <w:t>（财务审核机构出具的示范区资金使用情况审核报告结论意见）</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四、资金下达、拨付文件等其他材料</w:t>
      </w:r>
    </w:p>
    <w:p>
      <w:pPr>
        <w:spacing w:line="460" w:lineRule="exact"/>
        <w:jc w:val="center"/>
        <w:rPr>
          <w:rFonts w:hint="eastAsia" w:ascii="Times New Roman" w:eastAsia="方正小标宋简体"/>
          <w:color w:val="000000"/>
          <w:sz w:val="36"/>
          <w:szCs w:val="36"/>
        </w:rPr>
      </w:pPr>
    </w:p>
    <w:p>
      <w:pPr>
        <w:spacing w:line="460" w:lineRule="exact"/>
        <w:outlineLvl w:val="0"/>
        <w:rPr>
          <w:rFonts w:hint="eastAsia" w:eastAsia="方正仿宋_GBK"/>
          <w:color w:val="000000"/>
          <w:spacing w:val="-2"/>
          <w:kern w:val="0"/>
          <w:sz w:val="24"/>
        </w:rPr>
      </w:pPr>
    </w:p>
    <w:p>
      <w:pPr>
        <w:spacing w:line="460" w:lineRule="exact"/>
        <w:outlineLvl w:val="0"/>
        <w:rPr>
          <w:rFonts w:eastAsia="方正仿宋_GBK"/>
          <w:color w:val="000000"/>
          <w:spacing w:val="-2"/>
          <w:kern w:val="0"/>
          <w:sz w:val="24"/>
        </w:rPr>
      </w:pPr>
    </w:p>
    <w:p>
      <w:pPr>
        <w:spacing w:line="500" w:lineRule="exact"/>
        <w:ind w:left="-10" w:leftChars="-8" w:hanging="7" w:hangingChars="3"/>
        <w:jc w:val="center"/>
        <w:rPr>
          <w:rFonts w:ascii="Times New Roman" w:eastAsia="方正小标宋简体"/>
          <w:sz w:val="36"/>
          <w:szCs w:val="36"/>
        </w:rPr>
      </w:pPr>
      <w:r>
        <w:rPr>
          <w:rFonts w:eastAsia="方正仿宋_GBK"/>
          <w:color w:val="000000"/>
          <w:spacing w:val="-2"/>
          <w:kern w:val="0"/>
          <w:sz w:val="24"/>
        </w:rPr>
        <w:br w:type="column"/>
      </w:r>
    </w:p>
    <w:p>
      <w:pPr>
        <w:pStyle w:val="2"/>
        <w:spacing w:before="240" w:beforeLines="100" w:after="240" w:afterLines="100" w:line="240" w:lineRule="auto"/>
        <w:jc w:val="center"/>
        <w:rPr>
          <w:rFonts w:hint="eastAsia" w:ascii="Times New Roman" w:eastAsia="方正小标宋_GBK"/>
          <w:b w:val="0"/>
          <w:sz w:val="36"/>
          <w:szCs w:val="36"/>
        </w:rPr>
      </w:pPr>
      <w:bookmarkStart w:id="403" w:name="_Toc18315568"/>
      <w:bookmarkStart w:id="404" w:name="_Toc20726462"/>
      <w:r>
        <w:rPr>
          <w:rFonts w:hint="eastAsia" w:ascii="Times New Roman" w:eastAsia="方正小标宋_GBK"/>
          <w:b w:val="0"/>
          <w:sz w:val="36"/>
          <w:szCs w:val="36"/>
        </w:rPr>
        <w:t>省住房和城乡建设厅关于加强工程建设企业技术标准  质量管理的通知</w:t>
      </w:r>
      <w:bookmarkEnd w:id="403"/>
      <w:bookmarkEnd w:id="404"/>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405" w:name="_Toc20726463"/>
      <w:bookmarkStart w:id="406" w:name="_Toc18315569"/>
      <w:r>
        <w:rPr>
          <w:rFonts w:hint="eastAsia" w:ascii="Times New Roman" w:hAnsi="Times New Roman" w:eastAsia="方正楷体_GBK"/>
          <w:b w:val="0"/>
          <w:sz w:val="24"/>
          <w:szCs w:val="24"/>
        </w:rPr>
        <w:t>苏建函科〔</w:t>
      </w:r>
      <w:r>
        <w:rPr>
          <w:rFonts w:ascii="Times New Roman" w:hAnsi="Times New Roman" w:eastAsia="方正楷体_GBK"/>
          <w:b w:val="0"/>
          <w:sz w:val="24"/>
          <w:szCs w:val="24"/>
        </w:rPr>
        <w:t>2013</w:t>
      </w:r>
      <w:r>
        <w:rPr>
          <w:rFonts w:hint="eastAsia" w:ascii="Times New Roman" w:hAnsi="Times New Roman" w:eastAsia="方正楷体_GBK"/>
          <w:b w:val="0"/>
          <w:sz w:val="24"/>
          <w:szCs w:val="24"/>
        </w:rPr>
        <w:t>〕</w:t>
      </w:r>
      <w:r>
        <w:rPr>
          <w:rFonts w:ascii="Times New Roman" w:hAnsi="Times New Roman" w:eastAsia="方正楷体_GBK"/>
          <w:b w:val="0"/>
          <w:sz w:val="24"/>
          <w:szCs w:val="24"/>
        </w:rPr>
        <w:t>711</w:t>
      </w:r>
      <w:r>
        <w:rPr>
          <w:rFonts w:hint="eastAsia" w:ascii="Times New Roman" w:hAnsi="Times New Roman" w:eastAsia="方正楷体_GBK"/>
          <w:b w:val="0"/>
          <w:sz w:val="24"/>
          <w:szCs w:val="24"/>
        </w:rPr>
        <w:t>号</w:t>
      </w:r>
      <w:bookmarkEnd w:id="405"/>
      <w:bookmarkEnd w:id="406"/>
    </w:p>
    <w:p>
      <w:pPr>
        <w:spacing w:line="460" w:lineRule="exact"/>
        <w:rPr>
          <w:rFonts w:eastAsia="方正仿宋_GBK"/>
          <w:color w:val="000000"/>
          <w:spacing w:val="-2"/>
          <w:sz w:val="24"/>
        </w:rPr>
      </w:pPr>
      <w:r>
        <w:rPr>
          <w:rFonts w:hint="eastAsia" w:eastAsia="方正仿宋_GBK"/>
          <w:color w:val="000000"/>
          <w:spacing w:val="-2"/>
          <w:sz w:val="24"/>
        </w:rPr>
        <w:t>各省辖市建设局（委），昆山、泰兴、沭阳县（市）建设局：</w:t>
      </w:r>
    </w:p>
    <w:p>
      <w:pPr>
        <w:spacing w:line="460" w:lineRule="exact"/>
        <w:ind w:firstLine="555"/>
        <w:rPr>
          <w:rFonts w:eastAsia="方正仿宋_GBK"/>
          <w:color w:val="000000"/>
          <w:spacing w:val="-2"/>
          <w:kern w:val="0"/>
          <w:sz w:val="24"/>
        </w:rPr>
      </w:pPr>
      <w:r>
        <w:rPr>
          <w:rFonts w:hint="eastAsia" w:eastAsia="方正仿宋_GBK"/>
          <w:color w:val="000000"/>
          <w:spacing w:val="-2"/>
          <w:kern w:val="0"/>
          <w:sz w:val="24"/>
        </w:rPr>
        <w:t>为提高工程建设企业标准化水平，推进工程建设企业科技创新，充分发挥标准在新技术、新材料、新工艺、新产品等科技成果转化中的约束引导、桥梁纽带和技术支撑作用，进一步确保工程质量和安全，根据国家工程建设企业标准化管理的有关规定，现就加强工程建设企业技术标准（以下简称企业技术标准）质量管理工作通知如下：</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一、企业技术标准是指对工程建设企业中需要协调和统一的技术要求所制定的标准，涉及材料和设备采购的技术要求，勘察、设计或施工过程中的质量、方法或工艺的要求，安全、卫生和环境保护的技术要求以及试验、检验和评定的方法等。</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二、已有国家标准、行业标准或地方标准的，工程建设企业可以按照国家标准、行业标准或地方标准的规定执行，也可以根据本企业的技术特点和工程实际需要制定优于国家标准、行业标准或地方标准的企业标准；对没有国家标准、行业标准或地方标准的，工程建设企业应当制定企业标准。企业可以自行组织编制企业技术标准，亦可委托相关机构编制。鼓励企业加大新技术推广应用力度，不断总结实践经验，适时将企业技术标准上升为地方标准。</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三、企业是企业技术标准制定和实施的主体，对企业技术标准的内容及实施结果承担责任。企业应组织用户、生产单位、科研机构及有关专家对企业技术标准进行审查，并根据审查意见进行修改后定稿。企业法定代表人或者其授权人负责批准、发布企业技术标准。发布后的企业技术标准是企业组织生产和推广应用的技术依据，</w:t>
      </w:r>
      <w:r>
        <w:rPr>
          <w:rFonts w:hint="eastAsia" w:eastAsia="方正仿宋_GBK"/>
          <w:bCs/>
          <w:color w:val="000000"/>
          <w:spacing w:val="-2"/>
          <w:sz w:val="24"/>
        </w:rPr>
        <w:t>可作为签订建设工程承包合同时约定质量指标的考核标准。</w:t>
      </w:r>
    </w:p>
    <w:p>
      <w:pPr>
        <w:spacing w:line="460" w:lineRule="exact"/>
        <w:ind w:firstLine="472" w:firstLineChars="200"/>
        <w:rPr>
          <w:rFonts w:eastAsia="方正仿宋_GBK"/>
          <w:bCs/>
          <w:color w:val="000000"/>
          <w:spacing w:val="-2"/>
          <w:sz w:val="24"/>
        </w:rPr>
      </w:pPr>
      <w:r>
        <w:rPr>
          <w:rFonts w:hint="eastAsia" w:eastAsia="方正仿宋_GBK"/>
          <w:bCs/>
          <w:color w:val="000000"/>
          <w:spacing w:val="-2"/>
          <w:sz w:val="24"/>
        </w:rPr>
        <w:t>四、企业应定期对企业技术标准进行复审，确保其有效性、先进性和适用性，复审周期一般不超过３年。在有相应的国家标准、行业标准或地方标准发布实施后，企业标准应当及时复审，并确定其继续有效、修订或者废止。</w:t>
      </w:r>
    </w:p>
    <w:p>
      <w:pPr>
        <w:spacing w:line="460" w:lineRule="exact"/>
        <w:ind w:firstLine="472" w:firstLineChars="200"/>
        <w:rPr>
          <w:rFonts w:eastAsia="方正仿宋_GBK"/>
          <w:bCs/>
          <w:color w:val="000000"/>
          <w:spacing w:val="-2"/>
          <w:sz w:val="24"/>
        </w:rPr>
      </w:pPr>
      <w:r>
        <w:rPr>
          <w:rFonts w:hint="eastAsia" w:eastAsia="方正仿宋_GBK"/>
          <w:bCs/>
          <w:color w:val="000000"/>
          <w:spacing w:val="-2"/>
          <w:sz w:val="24"/>
        </w:rPr>
        <w:t>五、按照自愿原则，企业可委托江苏省工程建设标准站对企业技术标准进行认证、公告。通过认证、公告的企业技术标准在所应用工程技术文件中可直接引用，可作为其编制勘察设计文件、施工图审查、施工安装、工程监理、工程检测、质量验收和使用维护管理的技术依据。</w:t>
      </w:r>
    </w:p>
    <w:p>
      <w:pPr>
        <w:spacing w:line="460" w:lineRule="exact"/>
        <w:ind w:firstLine="476" w:firstLineChars="202"/>
        <w:rPr>
          <w:rFonts w:eastAsia="方正仿宋_GBK"/>
          <w:bCs/>
          <w:color w:val="000000"/>
          <w:spacing w:val="-2"/>
          <w:sz w:val="24"/>
        </w:rPr>
      </w:pPr>
      <w:r>
        <w:rPr>
          <w:rFonts w:hint="eastAsia" w:eastAsia="方正仿宋_GBK"/>
          <w:bCs/>
          <w:color w:val="000000"/>
          <w:spacing w:val="-2"/>
          <w:sz w:val="24"/>
        </w:rPr>
        <w:t>六、江苏省工程建设标准站按照</w:t>
      </w:r>
      <w:r>
        <w:rPr>
          <w:rFonts w:eastAsia="方正仿宋_GBK"/>
          <w:bCs/>
          <w:color w:val="000000"/>
          <w:spacing w:val="-2"/>
          <w:sz w:val="24"/>
        </w:rPr>
        <w:t>“</w:t>
      </w:r>
      <w:r>
        <w:rPr>
          <w:rFonts w:hint="eastAsia" w:eastAsia="方正仿宋_GBK"/>
          <w:bCs/>
          <w:color w:val="000000"/>
          <w:spacing w:val="-2"/>
          <w:sz w:val="24"/>
        </w:rPr>
        <w:t>科学性、公益性、便捷化</w:t>
      </w:r>
      <w:r>
        <w:rPr>
          <w:rFonts w:eastAsia="方正仿宋_GBK"/>
          <w:bCs/>
          <w:color w:val="000000"/>
          <w:spacing w:val="-2"/>
          <w:sz w:val="24"/>
        </w:rPr>
        <w:t>”</w:t>
      </w:r>
      <w:r>
        <w:rPr>
          <w:rFonts w:hint="eastAsia" w:eastAsia="方正仿宋_GBK"/>
          <w:bCs/>
          <w:color w:val="000000"/>
          <w:spacing w:val="-2"/>
          <w:sz w:val="24"/>
        </w:rPr>
        <w:t>原则，制定企业技术标准认证、公告程序，规范企业技术标准认证、公告工作；参照住房城乡建设部《工程建设标准出版印刷规定》要求，统一企业技术标准版式；正式公告前将有关情况上报省住房城乡建设厅。</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七、企业制定发布的工程建设标准设计参照本通知要求执行。</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八、本通知执行过程中，如有意见和建议请反馈至省住房城乡建设厅建筑节能与科研设计处。</w:t>
      </w:r>
    </w:p>
    <w:p>
      <w:pPr>
        <w:spacing w:line="460" w:lineRule="exact"/>
        <w:ind w:firstLine="476" w:firstLineChars="202"/>
        <w:rPr>
          <w:rFonts w:eastAsia="方正仿宋_GBK"/>
          <w:bCs/>
          <w:color w:val="000000"/>
          <w:spacing w:val="-2"/>
          <w:sz w:val="24"/>
        </w:rPr>
      </w:pPr>
    </w:p>
    <w:p>
      <w:pPr>
        <w:spacing w:line="460" w:lineRule="exact"/>
        <w:ind w:right="480"/>
        <w:jc w:val="right"/>
        <w:rPr>
          <w:rFonts w:eastAsia="方正仿宋_GBK"/>
          <w:color w:val="000000"/>
          <w:spacing w:val="-2"/>
          <w:sz w:val="24"/>
        </w:rPr>
      </w:pPr>
      <w:r>
        <w:rPr>
          <w:rFonts w:hint="eastAsia" w:eastAsia="方正仿宋_GBK"/>
          <w:color w:val="000000"/>
          <w:spacing w:val="-2"/>
          <w:sz w:val="24"/>
        </w:rPr>
        <w:t>江苏省住房和城乡建设厅</w:t>
      </w:r>
    </w:p>
    <w:p>
      <w:pPr>
        <w:spacing w:line="460" w:lineRule="exact"/>
        <w:ind w:right="498" w:rightChars="237"/>
        <w:rPr>
          <w:rFonts w:eastAsia="方正仿宋_GBK"/>
          <w:color w:val="000000"/>
          <w:spacing w:val="-2"/>
          <w:sz w:val="24"/>
        </w:rPr>
      </w:pPr>
      <w:r>
        <w:rPr>
          <w:rFonts w:eastAsia="方正仿宋_GBK"/>
          <w:color w:val="000000"/>
          <w:spacing w:val="-2"/>
          <w:sz w:val="24"/>
        </w:rPr>
        <w:t xml:space="preserve">                                                    2013</w:t>
      </w:r>
      <w:r>
        <w:rPr>
          <w:rFonts w:hint="eastAsia" w:eastAsia="方正仿宋_GBK"/>
          <w:color w:val="000000"/>
          <w:spacing w:val="-2"/>
          <w:sz w:val="24"/>
        </w:rPr>
        <w:t>年</w:t>
      </w:r>
      <w:r>
        <w:rPr>
          <w:rFonts w:eastAsia="方正仿宋_GBK"/>
          <w:color w:val="000000"/>
          <w:spacing w:val="-2"/>
          <w:sz w:val="24"/>
        </w:rPr>
        <w:t>10</w:t>
      </w:r>
      <w:r>
        <w:rPr>
          <w:rFonts w:hint="eastAsia" w:eastAsia="方正仿宋_GBK"/>
          <w:color w:val="000000"/>
          <w:spacing w:val="-2"/>
          <w:sz w:val="24"/>
        </w:rPr>
        <w:t>月</w:t>
      </w:r>
      <w:r>
        <w:rPr>
          <w:rFonts w:eastAsia="方正仿宋_GBK"/>
          <w:color w:val="000000"/>
          <w:spacing w:val="-2"/>
          <w:sz w:val="24"/>
        </w:rPr>
        <w:t>30</w:t>
      </w:r>
      <w:r>
        <w:rPr>
          <w:rFonts w:hint="eastAsia" w:eastAsia="方正仿宋_GBK"/>
          <w:color w:val="000000"/>
          <w:spacing w:val="-2"/>
          <w:sz w:val="24"/>
        </w:rPr>
        <w:t>日</w:t>
      </w:r>
    </w:p>
    <w:p>
      <w:pPr>
        <w:spacing w:line="460" w:lineRule="exact"/>
        <w:rPr>
          <w:rFonts w:eastAsia="方正仿宋_GBK"/>
          <w:color w:val="000000"/>
          <w:spacing w:val="-2"/>
          <w:sz w:val="24"/>
        </w:rPr>
      </w:pPr>
    </w:p>
    <w:p>
      <w:pPr>
        <w:pStyle w:val="2"/>
        <w:spacing w:before="240" w:beforeLines="100" w:after="240" w:afterLines="100" w:line="240" w:lineRule="auto"/>
        <w:jc w:val="center"/>
        <w:rPr>
          <w:rFonts w:ascii="Times New Roman" w:eastAsia="方正小标宋_GBK"/>
          <w:b w:val="0"/>
          <w:sz w:val="36"/>
          <w:szCs w:val="36"/>
        </w:rPr>
      </w:pPr>
      <w:r>
        <w:rPr>
          <w:b w:val="0"/>
        </w:rPr>
        <w:br w:type="column"/>
      </w:r>
      <w:bookmarkStart w:id="407" w:name="_Toc20726466"/>
      <w:r>
        <w:rPr>
          <w:rFonts w:hint="eastAsia" w:ascii="Times New Roman" w:eastAsia="方正小标宋_GBK"/>
          <w:b w:val="0"/>
          <w:sz w:val="36"/>
          <w:szCs w:val="36"/>
        </w:rPr>
        <w:t>省住房城乡建设厅关于实施民用建筑设计方案        绿色设计审查的通知</w:t>
      </w:r>
      <w:bookmarkEnd w:id="407"/>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408" w:name="_Toc18315576"/>
      <w:bookmarkStart w:id="409" w:name="_Toc20726467"/>
      <w:r>
        <w:rPr>
          <w:rFonts w:hint="eastAsia" w:ascii="Times New Roman" w:hAnsi="Times New Roman" w:eastAsia="方正楷体_GBK"/>
          <w:b w:val="0"/>
          <w:sz w:val="24"/>
          <w:szCs w:val="24"/>
        </w:rPr>
        <w:t>苏建科〔</w:t>
      </w:r>
      <w:r>
        <w:rPr>
          <w:rFonts w:ascii="Times New Roman" w:hAnsi="Times New Roman" w:eastAsia="方正楷体_GBK"/>
          <w:b w:val="0"/>
          <w:sz w:val="24"/>
          <w:szCs w:val="24"/>
        </w:rPr>
        <w:t>2015</w:t>
      </w:r>
      <w:r>
        <w:rPr>
          <w:rFonts w:hint="eastAsia" w:ascii="Times New Roman" w:hAnsi="Times New Roman" w:eastAsia="方正楷体_GBK"/>
          <w:b w:val="0"/>
          <w:sz w:val="24"/>
          <w:szCs w:val="24"/>
        </w:rPr>
        <w:t>〕</w:t>
      </w:r>
      <w:r>
        <w:rPr>
          <w:rFonts w:ascii="Times New Roman" w:hAnsi="Times New Roman" w:eastAsia="方正楷体_GBK"/>
          <w:b w:val="0"/>
          <w:sz w:val="24"/>
          <w:szCs w:val="24"/>
        </w:rPr>
        <w:t>439</w:t>
      </w:r>
      <w:r>
        <w:rPr>
          <w:rFonts w:hint="eastAsia" w:ascii="Times New Roman" w:hAnsi="Times New Roman" w:eastAsia="方正楷体_GBK"/>
          <w:b w:val="0"/>
          <w:sz w:val="24"/>
          <w:szCs w:val="24"/>
        </w:rPr>
        <w:t>号</w:t>
      </w:r>
      <w:bookmarkEnd w:id="408"/>
      <w:bookmarkEnd w:id="409"/>
    </w:p>
    <w:p>
      <w:pPr>
        <w:spacing w:line="460" w:lineRule="exact"/>
        <w:rPr>
          <w:rFonts w:eastAsia="方正仿宋_GBK"/>
          <w:color w:val="000000"/>
          <w:spacing w:val="-2"/>
          <w:sz w:val="24"/>
        </w:rPr>
      </w:pPr>
      <w:r>
        <w:rPr>
          <w:rFonts w:hint="eastAsia" w:eastAsia="方正仿宋_GBK"/>
          <w:color w:val="000000"/>
          <w:spacing w:val="-2"/>
          <w:sz w:val="24"/>
        </w:rPr>
        <w:t>各市规划局、建设局（建委）：</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为贯彻落实《江苏省绿色建筑发展条例》，加强对民用建筑设计方案中有关绿色建筑内容的审查，依据《江苏省绿色建筑设计标准》及相关建筑节能标准，我厅编制了《江苏省民用建筑设计方案绿色设计文件编制深度规定（试行）》（附件</w:t>
      </w:r>
      <w:r>
        <w:rPr>
          <w:rFonts w:eastAsia="方正仿宋_GBK"/>
          <w:color w:val="000000"/>
          <w:spacing w:val="-2"/>
          <w:sz w:val="24"/>
        </w:rPr>
        <w:t>1</w:t>
      </w:r>
      <w:r>
        <w:rPr>
          <w:rFonts w:hint="eastAsia" w:eastAsia="方正仿宋_GBK"/>
          <w:color w:val="000000"/>
          <w:spacing w:val="-2"/>
          <w:sz w:val="24"/>
        </w:rPr>
        <w:t>，以下简称</w:t>
      </w:r>
      <w:r>
        <w:rPr>
          <w:rFonts w:eastAsia="方正仿宋_GBK"/>
          <w:color w:val="000000"/>
          <w:spacing w:val="-2"/>
          <w:sz w:val="24"/>
        </w:rPr>
        <w:t>“</w:t>
      </w:r>
      <w:r>
        <w:rPr>
          <w:rFonts w:hint="eastAsia" w:eastAsia="方正仿宋_GBK"/>
          <w:color w:val="000000"/>
          <w:spacing w:val="-2"/>
          <w:sz w:val="24"/>
        </w:rPr>
        <w:t>绿色设计编制深度规定</w:t>
      </w:r>
      <w:r>
        <w:rPr>
          <w:rFonts w:eastAsia="方正仿宋_GBK"/>
          <w:color w:val="000000"/>
          <w:spacing w:val="-2"/>
          <w:sz w:val="24"/>
        </w:rPr>
        <w:t>”</w:t>
      </w:r>
      <w:r>
        <w:rPr>
          <w:rFonts w:hint="eastAsia" w:eastAsia="方正仿宋_GBK"/>
          <w:color w:val="000000"/>
          <w:spacing w:val="-2"/>
          <w:sz w:val="24"/>
        </w:rPr>
        <w:t>）和《江苏省民用建筑设计方案绿色设计文件技术审查要点（试行）》（附件</w:t>
      </w:r>
      <w:r>
        <w:rPr>
          <w:rFonts w:eastAsia="方正仿宋_GBK"/>
          <w:color w:val="000000"/>
          <w:spacing w:val="-2"/>
          <w:sz w:val="24"/>
        </w:rPr>
        <w:t>2</w:t>
      </w:r>
      <w:r>
        <w:rPr>
          <w:rFonts w:hint="eastAsia" w:eastAsia="方正仿宋_GBK"/>
          <w:color w:val="000000"/>
          <w:spacing w:val="-2"/>
          <w:sz w:val="24"/>
        </w:rPr>
        <w:t>，以下简称</w:t>
      </w:r>
      <w:r>
        <w:rPr>
          <w:rFonts w:eastAsia="方正仿宋_GBK"/>
          <w:color w:val="000000"/>
          <w:spacing w:val="-2"/>
          <w:sz w:val="24"/>
        </w:rPr>
        <w:t>“</w:t>
      </w:r>
      <w:r>
        <w:rPr>
          <w:rFonts w:hint="eastAsia" w:eastAsia="方正仿宋_GBK"/>
          <w:color w:val="000000"/>
          <w:spacing w:val="-2"/>
          <w:sz w:val="24"/>
        </w:rPr>
        <w:t>绿色设计审查要点</w:t>
      </w:r>
      <w:r>
        <w:rPr>
          <w:rFonts w:eastAsia="方正仿宋_GBK"/>
          <w:color w:val="000000"/>
          <w:spacing w:val="-2"/>
          <w:sz w:val="24"/>
        </w:rPr>
        <w:t>”</w:t>
      </w:r>
      <w:r>
        <w:rPr>
          <w:rFonts w:hint="eastAsia" w:eastAsia="方正仿宋_GBK"/>
          <w:color w:val="000000"/>
          <w:spacing w:val="-2"/>
          <w:sz w:val="24"/>
        </w:rPr>
        <w:t>），现印发给你们，并将有关事项通知如下：</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一、设计方案报审</w:t>
      </w:r>
    </w:p>
    <w:p>
      <w:pPr>
        <w:spacing w:line="460" w:lineRule="exact"/>
        <w:ind w:firstLine="472" w:firstLineChars="200"/>
        <w:rPr>
          <w:rFonts w:hint="eastAsia" w:eastAsia="方正仿宋_GBK"/>
          <w:color w:val="000000"/>
          <w:spacing w:val="-2"/>
          <w:sz w:val="24"/>
        </w:rPr>
      </w:pPr>
      <w:r>
        <w:rPr>
          <w:rFonts w:hint="eastAsia" w:eastAsia="方正仿宋_GBK"/>
          <w:color w:val="000000"/>
          <w:spacing w:val="-2"/>
          <w:sz w:val="24"/>
        </w:rPr>
        <w:t>自</w:t>
      </w:r>
      <w:r>
        <w:rPr>
          <w:rFonts w:eastAsia="方正仿宋_GBK"/>
          <w:color w:val="000000"/>
          <w:spacing w:val="-2"/>
          <w:sz w:val="24"/>
        </w:rPr>
        <w:t>10</w:t>
      </w:r>
      <w:r>
        <w:rPr>
          <w:rFonts w:hint="eastAsia" w:eastAsia="方正仿宋_GBK"/>
          <w:color w:val="000000"/>
          <w:spacing w:val="-2"/>
          <w:sz w:val="24"/>
        </w:rPr>
        <w:t>月</w:t>
      </w:r>
      <w:r>
        <w:rPr>
          <w:rFonts w:eastAsia="方正仿宋_GBK"/>
          <w:color w:val="000000"/>
          <w:spacing w:val="-2"/>
          <w:sz w:val="24"/>
        </w:rPr>
        <w:t>1</w:t>
      </w:r>
      <w:r>
        <w:rPr>
          <w:rFonts w:hint="eastAsia" w:eastAsia="方正仿宋_GBK"/>
          <w:color w:val="000000"/>
          <w:spacing w:val="-2"/>
          <w:sz w:val="24"/>
        </w:rPr>
        <w:t>日起，我省新建民用建筑设计方案应当符合</w:t>
      </w:r>
      <w:r>
        <w:rPr>
          <w:rFonts w:eastAsia="方正仿宋_GBK"/>
          <w:color w:val="000000"/>
          <w:spacing w:val="-2"/>
          <w:sz w:val="24"/>
        </w:rPr>
        <w:t>“</w:t>
      </w:r>
      <w:r>
        <w:rPr>
          <w:rFonts w:hint="eastAsia" w:eastAsia="方正仿宋_GBK"/>
          <w:color w:val="000000"/>
          <w:spacing w:val="-2"/>
          <w:sz w:val="24"/>
        </w:rPr>
        <w:t>绿色设计编制深度规定</w:t>
      </w:r>
      <w:r>
        <w:rPr>
          <w:rFonts w:eastAsia="方正仿宋_GBK"/>
          <w:color w:val="000000"/>
          <w:spacing w:val="-2"/>
          <w:sz w:val="24"/>
        </w:rPr>
        <w:t>”</w:t>
      </w:r>
      <w:r>
        <w:rPr>
          <w:rFonts w:hint="eastAsia" w:eastAsia="方正仿宋_GBK"/>
          <w:color w:val="000000"/>
          <w:spacing w:val="-2"/>
          <w:sz w:val="24"/>
        </w:rPr>
        <w:t>要求，建设单位申请规划审查时，应当提交《江苏省民用建筑设计方案绿色设计报审表（公共建筑）》（附件</w:t>
      </w:r>
      <w:r>
        <w:rPr>
          <w:rFonts w:eastAsia="方正仿宋_GBK"/>
          <w:color w:val="000000"/>
          <w:spacing w:val="-2"/>
          <w:sz w:val="24"/>
        </w:rPr>
        <w:t>3</w:t>
      </w:r>
      <w:r>
        <w:rPr>
          <w:rFonts w:hint="eastAsia" w:eastAsia="方正仿宋_GBK"/>
          <w:color w:val="000000"/>
          <w:spacing w:val="-2"/>
          <w:sz w:val="24"/>
        </w:rPr>
        <w:t>）、《江苏省民用建筑设计方案绿色设计报审表（居住建筑）》（附件</w:t>
      </w:r>
      <w:r>
        <w:rPr>
          <w:rFonts w:eastAsia="方正仿宋_GBK"/>
          <w:color w:val="000000"/>
          <w:spacing w:val="-2"/>
          <w:sz w:val="24"/>
        </w:rPr>
        <w:t>4</w:t>
      </w:r>
      <w:r>
        <w:rPr>
          <w:rFonts w:hint="eastAsia" w:eastAsia="方正仿宋_GBK"/>
          <w:color w:val="000000"/>
          <w:spacing w:val="-2"/>
          <w:sz w:val="24"/>
        </w:rPr>
        <w:t>）等相关资料。原《江苏省建筑设计方案节能设计专项说明编制要点》、《江苏省建筑设计方案节能设计审查表》同期废止。</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二、绿色设计审查</w:t>
      </w:r>
    </w:p>
    <w:p>
      <w:pPr>
        <w:spacing w:line="460" w:lineRule="exact"/>
        <w:ind w:firstLine="472" w:firstLineChars="200"/>
        <w:rPr>
          <w:rFonts w:hint="eastAsia" w:eastAsia="方正仿宋_GBK"/>
          <w:color w:val="000000"/>
          <w:spacing w:val="-2"/>
          <w:sz w:val="24"/>
        </w:rPr>
      </w:pPr>
      <w:r>
        <w:rPr>
          <w:rFonts w:hint="eastAsia" w:eastAsia="方正仿宋_GBK"/>
          <w:color w:val="000000"/>
          <w:spacing w:val="-2"/>
          <w:sz w:val="24"/>
        </w:rPr>
        <w:t>（一）规划主管部门组织规划审查，应当征求建设主管部门对设计方案中绿色设计内容的意见（不再单独就节能审查征求建设主管部门意见）。建设主管部门应当自收到征求意见材料之日起</w:t>
      </w:r>
      <w:r>
        <w:rPr>
          <w:rFonts w:eastAsia="方正仿宋_GBK"/>
          <w:color w:val="000000"/>
          <w:spacing w:val="-2"/>
          <w:sz w:val="24"/>
        </w:rPr>
        <w:t>10</w:t>
      </w:r>
      <w:r>
        <w:rPr>
          <w:rFonts w:hint="eastAsia" w:eastAsia="方正仿宋_GBK"/>
          <w:color w:val="000000"/>
          <w:spacing w:val="-2"/>
          <w:sz w:val="24"/>
        </w:rPr>
        <w:t>日内提出意见。征求意见时间不计算在规划许可的期限内。</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为提高工作效率，建设单位也可在向规划主管部门申请规划审查前，先申请建设主管部门对设计方案中绿色设计内容进行审查，由建设主管部门出具审查意见。建设主管部门已出具审查意见的项目，规划主管部门组织规划审查时不再征求建设主管部门意见。</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各市规划主管部门、建设主管部门应根据本通知要求，结合当地实际情况，确立绿色设计审查具体工作流程。</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（二）各地规划主管部门、建设主管部门应当严格按照</w:t>
      </w:r>
      <w:r>
        <w:rPr>
          <w:rFonts w:eastAsia="方正仿宋_GBK"/>
          <w:color w:val="000000"/>
          <w:spacing w:val="-2"/>
          <w:sz w:val="24"/>
        </w:rPr>
        <w:t>“</w:t>
      </w:r>
      <w:r>
        <w:rPr>
          <w:rFonts w:hint="eastAsia" w:eastAsia="方正仿宋_GBK"/>
          <w:color w:val="000000"/>
          <w:spacing w:val="-2"/>
          <w:sz w:val="24"/>
        </w:rPr>
        <w:t>绿色设计审查要点</w:t>
      </w:r>
      <w:r>
        <w:rPr>
          <w:rFonts w:eastAsia="方正仿宋_GBK"/>
          <w:color w:val="000000"/>
          <w:spacing w:val="-2"/>
          <w:sz w:val="24"/>
        </w:rPr>
        <w:t>”</w:t>
      </w:r>
      <w:r>
        <w:rPr>
          <w:rFonts w:hint="eastAsia" w:eastAsia="方正仿宋_GBK"/>
          <w:color w:val="000000"/>
          <w:spacing w:val="-2"/>
          <w:sz w:val="24"/>
        </w:rPr>
        <w:t>进行审查。其中</w:t>
      </w:r>
      <w:r>
        <w:rPr>
          <w:rFonts w:eastAsia="方正仿宋_GBK"/>
          <w:color w:val="000000"/>
          <w:spacing w:val="-2"/>
          <w:sz w:val="24"/>
        </w:rPr>
        <w:t>1</w:t>
      </w:r>
      <w:r>
        <w:rPr>
          <w:rFonts w:hint="eastAsia" w:eastAsia="方正仿宋_GBK"/>
          <w:color w:val="000000"/>
          <w:spacing w:val="-2"/>
          <w:sz w:val="24"/>
        </w:rPr>
        <w:t>～</w:t>
      </w:r>
      <w:r>
        <w:rPr>
          <w:rFonts w:eastAsia="方正仿宋_GBK"/>
          <w:color w:val="000000"/>
          <w:spacing w:val="-2"/>
          <w:sz w:val="24"/>
        </w:rPr>
        <w:t>13</w:t>
      </w:r>
      <w:r>
        <w:rPr>
          <w:rFonts w:hint="eastAsia" w:eastAsia="方正仿宋_GBK"/>
          <w:color w:val="000000"/>
          <w:spacing w:val="-2"/>
          <w:sz w:val="24"/>
        </w:rPr>
        <w:t>条由规划主管部门审查，</w:t>
      </w:r>
      <w:r>
        <w:rPr>
          <w:rFonts w:eastAsia="方正仿宋_GBK"/>
          <w:color w:val="000000"/>
          <w:spacing w:val="-2"/>
          <w:sz w:val="24"/>
        </w:rPr>
        <w:t>14</w:t>
      </w:r>
      <w:r>
        <w:rPr>
          <w:rFonts w:hint="eastAsia" w:eastAsia="方正仿宋_GBK"/>
          <w:color w:val="000000"/>
          <w:spacing w:val="-2"/>
          <w:sz w:val="24"/>
        </w:rPr>
        <w:t>～</w:t>
      </w:r>
      <w:r>
        <w:rPr>
          <w:rFonts w:eastAsia="方正仿宋_GBK"/>
          <w:color w:val="000000"/>
          <w:spacing w:val="-2"/>
          <w:sz w:val="24"/>
        </w:rPr>
        <w:t>20</w:t>
      </w:r>
      <w:r>
        <w:rPr>
          <w:rFonts w:hint="eastAsia" w:eastAsia="方正仿宋_GBK"/>
          <w:color w:val="000000"/>
          <w:spacing w:val="-2"/>
          <w:sz w:val="24"/>
        </w:rPr>
        <w:t>条由建设主管部门审查。审查未通过的，不得颁发建设工程规划许可证。</w:t>
      </w:r>
    </w:p>
    <w:p>
      <w:pPr>
        <w:spacing w:line="460" w:lineRule="exact"/>
        <w:ind w:firstLine="472" w:firstLineChars="200"/>
        <w:rPr>
          <w:rFonts w:eastAsia="方正仿宋_GBK"/>
          <w:color w:val="000000"/>
          <w:spacing w:val="-2"/>
          <w:sz w:val="24"/>
        </w:rPr>
      </w:pP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本通知执行过程中如有问题请及时与我厅联系。</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联系人：厅科技处费宗欣</w:t>
      </w:r>
      <w:r>
        <w:rPr>
          <w:rFonts w:eastAsia="方正仿宋_GBK"/>
          <w:color w:val="000000"/>
          <w:spacing w:val="-2"/>
          <w:sz w:val="24"/>
        </w:rPr>
        <w:t xml:space="preserve"> 025-51868871</w:t>
      </w:r>
      <w:r>
        <w:rPr>
          <w:rFonts w:hint="eastAsia" w:eastAsia="方正仿宋_GBK"/>
          <w:color w:val="000000"/>
          <w:spacing w:val="-2"/>
          <w:sz w:val="24"/>
        </w:rPr>
        <w:t>；省建设工程设计施工图审核中心陆湛秋</w:t>
      </w:r>
      <w:r>
        <w:rPr>
          <w:rFonts w:eastAsia="方正仿宋_GBK"/>
          <w:color w:val="000000"/>
          <w:spacing w:val="-2"/>
          <w:sz w:val="24"/>
        </w:rPr>
        <w:t xml:space="preserve"> 025-51868391</w:t>
      </w:r>
      <w:r>
        <w:rPr>
          <w:rFonts w:hint="eastAsia" w:eastAsia="方正仿宋_GBK"/>
          <w:color w:val="000000"/>
          <w:spacing w:val="-2"/>
          <w:sz w:val="24"/>
        </w:rPr>
        <w:t>。</w:t>
      </w:r>
    </w:p>
    <w:p>
      <w:pPr>
        <w:spacing w:line="460" w:lineRule="exact"/>
        <w:ind w:left="1669" w:hanging="1031"/>
        <w:rPr>
          <w:rFonts w:eastAsia="方正仿宋_GBK"/>
          <w:color w:val="000000"/>
          <w:spacing w:val="-2"/>
          <w:sz w:val="24"/>
        </w:rPr>
      </w:pPr>
    </w:p>
    <w:p>
      <w:pPr>
        <w:spacing w:line="460" w:lineRule="exact"/>
        <w:ind w:left="1669" w:hanging="1031"/>
        <w:rPr>
          <w:rFonts w:eastAsia="方正仿宋_GBK"/>
          <w:color w:val="000000"/>
          <w:spacing w:val="-2"/>
          <w:sz w:val="24"/>
        </w:rPr>
      </w:pPr>
      <w:r>
        <w:rPr>
          <w:rFonts w:hint="eastAsia" w:eastAsia="方正仿宋_GBK"/>
          <w:color w:val="000000"/>
          <w:spacing w:val="-2"/>
          <w:sz w:val="24"/>
        </w:rPr>
        <w:t>附件：</w:t>
      </w:r>
      <w:r>
        <w:rPr>
          <w:rFonts w:eastAsia="方正仿宋_GBK"/>
          <w:color w:val="000000"/>
          <w:spacing w:val="-2"/>
          <w:sz w:val="24"/>
        </w:rPr>
        <w:tab/>
      </w:r>
      <w:r>
        <w:rPr>
          <w:rFonts w:eastAsia="方正仿宋_GBK"/>
          <w:color w:val="000000"/>
          <w:spacing w:val="-2"/>
          <w:sz w:val="24"/>
        </w:rPr>
        <w:t>1</w:t>
      </w:r>
      <w:r>
        <w:rPr>
          <w:rFonts w:hint="eastAsia" w:eastAsia="方正仿宋_GBK"/>
          <w:color w:val="000000"/>
          <w:spacing w:val="-2"/>
          <w:sz w:val="24"/>
        </w:rPr>
        <w:t>．《江苏省民用建筑设计方案绿色设计文件编制深度规定（试行）》</w:t>
      </w:r>
    </w:p>
    <w:p>
      <w:pPr>
        <w:spacing w:line="460" w:lineRule="exact"/>
        <w:ind w:left="1669"/>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．《江苏省民用建筑设计方案绿色设计文件技术审查要点（试行）》</w:t>
      </w:r>
    </w:p>
    <w:p>
      <w:pPr>
        <w:spacing w:line="460" w:lineRule="exact"/>
        <w:ind w:left="1669"/>
        <w:rPr>
          <w:rFonts w:eastAsia="方正仿宋_GBK"/>
          <w:color w:val="000000"/>
          <w:spacing w:val="-2"/>
          <w:sz w:val="24"/>
        </w:rPr>
      </w:pPr>
      <w:r>
        <w:rPr>
          <w:rFonts w:eastAsia="方正仿宋_GBK"/>
          <w:color w:val="000000"/>
          <w:spacing w:val="-2"/>
          <w:sz w:val="24"/>
        </w:rPr>
        <w:t>3</w:t>
      </w:r>
      <w:r>
        <w:rPr>
          <w:rFonts w:hint="eastAsia" w:eastAsia="方正仿宋_GBK"/>
          <w:color w:val="000000"/>
          <w:spacing w:val="-2"/>
          <w:sz w:val="24"/>
        </w:rPr>
        <w:t>．《江苏省民用建筑设计方案绿色设计报审表（公共建筑）》</w:t>
      </w:r>
    </w:p>
    <w:p>
      <w:pPr>
        <w:spacing w:line="460" w:lineRule="exact"/>
        <w:ind w:left="1669"/>
        <w:rPr>
          <w:rFonts w:eastAsia="方正仿宋_GBK"/>
          <w:color w:val="000000"/>
          <w:spacing w:val="-2"/>
          <w:sz w:val="24"/>
        </w:rPr>
      </w:pPr>
      <w:r>
        <w:rPr>
          <w:rFonts w:eastAsia="方正仿宋_GBK"/>
          <w:color w:val="000000"/>
          <w:spacing w:val="-2"/>
          <w:sz w:val="24"/>
        </w:rPr>
        <w:t>4</w:t>
      </w:r>
      <w:r>
        <w:rPr>
          <w:rFonts w:hint="eastAsia" w:eastAsia="方正仿宋_GBK"/>
          <w:color w:val="000000"/>
          <w:spacing w:val="-2"/>
          <w:sz w:val="24"/>
        </w:rPr>
        <w:t>．《江苏省民用建筑设计方案绿色设计报审表（居住建筑）》</w:t>
      </w:r>
    </w:p>
    <w:p>
      <w:pPr>
        <w:spacing w:line="460" w:lineRule="exact"/>
        <w:rPr>
          <w:rFonts w:eastAsia="方正仿宋_GBK"/>
          <w:color w:val="000000"/>
          <w:spacing w:val="-2"/>
          <w:sz w:val="24"/>
        </w:rPr>
      </w:pPr>
    </w:p>
    <w:p>
      <w:pPr>
        <w:tabs>
          <w:tab w:val="left" w:pos="5700"/>
        </w:tabs>
        <w:spacing w:line="460" w:lineRule="exact"/>
        <w:ind w:right="640" w:firstLine="3422" w:firstLineChars="1450"/>
        <w:rPr>
          <w:rFonts w:eastAsia="方正仿宋_GBK"/>
          <w:color w:val="000000"/>
          <w:spacing w:val="-2"/>
          <w:sz w:val="24"/>
        </w:rPr>
      </w:pPr>
      <w:r>
        <w:rPr>
          <w:rFonts w:eastAsia="方正仿宋_GBK"/>
          <w:color w:val="000000"/>
          <w:spacing w:val="-2"/>
          <w:sz w:val="24"/>
        </w:rPr>
        <w:tab/>
      </w:r>
    </w:p>
    <w:p>
      <w:pPr>
        <w:spacing w:line="460" w:lineRule="exact"/>
        <w:ind w:right="438" w:firstLine="3422" w:firstLineChars="1450"/>
        <w:jc w:val="right"/>
        <w:rPr>
          <w:rFonts w:eastAsia="方正仿宋_GBK"/>
          <w:color w:val="000000"/>
          <w:spacing w:val="-2"/>
          <w:sz w:val="24"/>
        </w:rPr>
      </w:pPr>
      <w:r>
        <w:rPr>
          <w:rFonts w:hint="eastAsia" w:eastAsia="方正仿宋_GBK"/>
          <w:color w:val="000000"/>
          <w:spacing w:val="-2"/>
          <w:sz w:val="24"/>
        </w:rPr>
        <w:t>江苏省住房城乡建设厅</w:t>
      </w:r>
      <w:r>
        <w:rPr>
          <w:rFonts w:eastAsia="方正仿宋_GBK"/>
          <w:color w:val="000000"/>
          <w:spacing w:val="-2"/>
          <w:sz w:val="24"/>
        </w:rPr>
        <w:t xml:space="preserve">    </w:t>
      </w:r>
    </w:p>
    <w:p>
      <w:pPr>
        <w:spacing w:line="460" w:lineRule="exact"/>
        <w:ind w:right="458" w:rightChars="218" w:firstLine="6136" w:firstLineChars="2600"/>
        <w:rPr>
          <w:rFonts w:eastAsia="方正仿宋_GBK"/>
          <w:color w:val="000000"/>
          <w:spacing w:val="-2"/>
          <w:sz w:val="24"/>
        </w:rPr>
      </w:pPr>
      <w:r>
        <w:rPr>
          <w:rFonts w:eastAsia="方正仿宋_GBK"/>
          <w:color w:val="000000"/>
          <w:spacing w:val="-2"/>
          <w:sz w:val="24"/>
        </w:rPr>
        <w:t> 2015</w:t>
      </w:r>
      <w:r>
        <w:rPr>
          <w:rFonts w:hint="eastAsia" w:eastAsia="方正仿宋_GBK"/>
          <w:color w:val="000000"/>
          <w:spacing w:val="-2"/>
          <w:sz w:val="24"/>
        </w:rPr>
        <w:t>年</w:t>
      </w:r>
      <w:r>
        <w:rPr>
          <w:rFonts w:eastAsia="方正仿宋_GBK"/>
          <w:color w:val="000000"/>
          <w:spacing w:val="-2"/>
          <w:sz w:val="24"/>
        </w:rPr>
        <w:t>9</w:t>
      </w:r>
      <w:r>
        <w:rPr>
          <w:rFonts w:hint="eastAsia" w:eastAsia="方正仿宋_GBK"/>
          <w:color w:val="000000"/>
          <w:spacing w:val="-2"/>
          <w:sz w:val="24"/>
        </w:rPr>
        <w:t>月</w:t>
      </w:r>
      <w:r>
        <w:rPr>
          <w:rFonts w:eastAsia="方正仿宋_GBK"/>
          <w:color w:val="000000"/>
          <w:spacing w:val="-2"/>
          <w:sz w:val="24"/>
        </w:rPr>
        <w:t>11</w:t>
      </w:r>
      <w:r>
        <w:rPr>
          <w:rFonts w:hint="eastAsia" w:eastAsia="方正仿宋_GBK"/>
          <w:color w:val="000000"/>
          <w:spacing w:val="-2"/>
          <w:sz w:val="24"/>
        </w:rPr>
        <w:t>日</w:t>
      </w:r>
      <w:r>
        <w:rPr>
          <w:rFonts w:eastAsia="方正仿宋_GBK"/>
          <w:color w:val="000000"/>
          <w:spacing w:val="-2"/>
          <w:sz w:val="24"/>
        </w:rPr>
        <w:t xml:space="preserve">    </w:t>
      </w:r>
    </w:p>
    <w:p>
      <w:pPr>
        <w:spacing w:line="460" w:lineRule="exact"/>
        <w:rPr>
          <w:rFonts w:ascii="Times New Roman" w:eastAsia="方正黑体_GBK"/>
          <w:color w:val="000000"/>
          <w:spacing w:val="-2"/>
          <w:sz w:val="28"/>
          <w:szCs w:val="28"/>
        </w:rPr>
      </w:pPr>
      <w:r>
        <w:rPr>
          <w:rFonts w:eastAsia="方正仿宋_GBK"/>
          <w:color w:val="000000"/>
          <w:spacing w:val="-2"/>
          <w:sz w:val="24"/>
        </w:rPr>
        <w:br w:type="column"/>
      </w:r>
      <w:r>
        <w:rPr>
          <w:rFonts w:hint="eastAsia" w:ascii="Times New Roman" w:eastAsia="方正黑体_GBK"/>
          <w:color w:val="000000"/>
          <w:spacing w:val="-2"/>
          <w:sz w:val="28"/>
          <w:szCs w:val="28"/>
        </w:rPr>
        <w:t>附件1</w:t>
      </w:r>
    </w:p>
    <w:p>
      <w:pPr>
        <w:spacing w:line="460" w:lineRule="exact"/>
        <w:rPr>
          <w:rFonts w:hint="eastAsia" w:eastAsia="方正仿宋_GBK"/>
          <w:color w:val="000000"/>
          <w:spacing w:val="-2"/>
          <w:sz w:val="24"/>
        </w:rPr>
      </w:pPr>
    </w:p>
    <w:p>
      <w:pPr>
        <w:spacing w:line="460" w:lineRule="exact"/>
        <w:jc w:val="center"/>
        <w:rPr>
          <w:rFonts w:ascii="Times New Roman" w:eastAsia="方正小标宋简体"/>
          <w:color w:val="000000"/>
          <w:spacing w:val="-2"/>
          <w:sz w:val="36"/>
          <w:szCs w:val="36"/>
        </w:rPr>
      </w:pPr>
      <w:r>
        <w:rPr>
          <w:rFonts w:hint="eastAsia" w:ascii="Times New Roman" w:eastAsia="方正小标宋简体"/>
          <w:color w:val="000000"/>
          <w:spacing w:val="-2"/>
          <w:sz w:val="36"/>
          <w:szCs w:val="36"/>
        </w:rPr>
        <w:t>江苏省民用建筑设计方案绿色设计文件编制深度规定</w:t>
      </w:r>
    </w:p>
    <w:p>
      <w:pPr>
        <w:spacing w:line="460" w:lineRule="exact"/>
        <w:jc w:val="center"/>
        <w:rPr>
          <w:rFonts w:hint="eastAsia" w:ascii="Times New Roman" w:eastAsia="方正小标宋简体"/>
          <w:color w:val="000000"/>
          <w:spacing w:val="-2"/>
          <w:sz w:val="36"/>
          <w:szCs w:val="36"/>
        </w:rPr>
      </w:pPr>
      <w:r>
        <w:rPr>
          <w:rFonts w:hint="eastAsia" w:ascii="Times New Roman" w:eastAsia="方正小标宋简体"/>
          <w:color w:val="000000"/>
          <w:spacing w:val="-2"/>
          <w:sz w:val="36"/>
          <w:szCs w:val="36"/>
        </w:rPr>
        <w:t>（试行）</w:t>
      </w:r>
    </w:p>
    <w:p>
      <w:pPr>
        <w:spacing w:line="460" w:lineRule="exact"/>
        <w:ind w:firstLine="474" w:firstLineChars="200"/>
        <w:jc w:val="center"/>
        <w:rPr>
          <w:rFonts w:hint="eastAsia" w:eastAsia="方正仿宋_GBK"/>
          <w:b/>
          <w:color w:val="000000"/>
          <w:spacing w:val="-2"/>
          <w:sz w:val="24"/>
        </w:rPr>
      </w:pPr>
    </w:p>
    <w:p>
      <w:pPr>
        <w:spacing w:line="460" w:lineRule="exact"/>
        <w:jc w:val="center"/>
        <w:rPr>
          <w:rFonts w:ascii="Times New Roman" w:eastAsia="方正黑体_GBK"/>
          <w:color w:val="000000"/>
          <w:spacing w:val="-2"/>
          <w:sz w:val="24"/>
        </w:rPr>
      </w:pPr>
      <w:r>
        <w:rPr>
          <w:rFonts w:hint="eastAsia" w:ascii="Times New Roman" w:eastAsia="方正黑体_GBK"/>
          <w:color w:val="000000"/>
          <w:spacing w:val="-2"/>
          <w:sz w:val="24"/>
        </w:rPr>
        <w:t>1  总  则</w:t>
      </w:r>
    </w:p>
    <w:p>
      <w:pPr>
        <w:spacing w:line="460" w:lineRule="exact"/>
        <w:ind w:firstLine="472" w:firstLineChars="200"/>
        <w:rPr>
          <w:rFonts w:hint="eastAsia" w:eastAsia="方正仿宋_GBK"/>
          <w:color w:val="000000"/>
          <w:spacing w:val="-2"/>
          <w:sz w:val="24"/>
        </w:rPr>
      </w:pP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1.0.1  </w:t>
      </w:r>
      <w:r>
        <w:rPr>
          <w:rFonts w:hint="eastAsia" w:eastAsia="方正仿宋_GBK"/>
          <w:color w:val="000000"/>
          <w:spacing w:val="-2"/>
          <w:sz w:val="24"/>
        </w:rPr>
        <w:t>为规范江苏省民用建筑设计方案绿色设计文件的编制，特制定本规定。</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1.0.2  </w:t>
      </w:r>
      <w:r>
        <w:rPr>
          <w:rFonts w:hint="eastAsia" w:eastAsia="方正仿宋_GBK"/>
          <w:color w:val="000000"/>
          <w:spacing w:val="-2"/>
          <w:sz w:val="24"/>
        </w:rPr>
        <w:t>本规定适用于江苏省范围内新建民用建筑设计方案的绿色设计。</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扩建、改建民用建筑可参照执行。</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1.0.3  </w:t>
      </w:r>
      <w:r>
        <w:rPr>
          <w:rFonts w:hint="eastAsia" w:eastAsia="方正仿宋_GBK"/>
          <w:color w:val="000000"/>
          <w:spacing w:val="-2"/>
          <w:sz w:val="24"/>
        </w:rPr>
        <w:t>民用建筑设计方案绿色设计文件应按本规定进行编制，内容包括：绿色设计专项说明、建筑设计图纸及资料。</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1.0.4  </w:t>
      </w:r>
      <w:r>
        <w:rPr>
          <w:rFonts w:hint="eastAsia" w:eastAsia="方正仿宋_GBK"/>
          <w:color w:val="000000"/>
          <w:spacing w:val="-2"/>
          <w:sz w:val="24"/>
        </w:rPr>
        <w:t>民用建筑设计方案文件编制除应符合本规定外，尚应符合住房和城乡建设部《建筑工程设计文件编制深度规定》</w:t>
      </w:r>
      <w:r>
        <w:rPr>
          <w:rFonts w:eastAsia="方正仿宋_GBK"/>
          <w:color w:val="000000"/>
          <w:spacing w:val="-2"/>
          <w:sz w:val="24"/>
        </w:rPr>
        <w:t>(2008</w:t>
      </w:r>
      <w:r>
        <w:rPr>
          <w:rFonts w:hint="eastAsia" w:eastAsia="方正仿宋_GBK"/>
          <w:color w:val="000000"/>
          <w:spacing w:val="-2"/>
          <w:sz w:val="24"/>
        </w:rPr>
        <w:t>年版</w:t>
      </w:r>
      <w:r>
        <w:rPr>
          <w:rFonts w:eastAsia="方正仿宋_GBK"/>
          <w:color w:val="000000"/>
          <w:spacing w:val="-2"/>
          <w:sz w:val="24"/>
        </w:rPr>
        <w:t>)</w:t>
      </w:r>
      <w:r>
        <w:rPr>
          <w:rFonts w:hint="eastAsia" w:eastAsia="方正仿宋_GBK"/>
          <w:color w:val="000000"/>
          <w:spacing w:val="-2"/>
          <w:sz w:val="24"/>
        </w:rPr>
        <w:t>及省市有关部门的规定。</w:t>
      </w:r>
    </w:p>
    <w:p>
      <w:pPr>
        <w:spacing w:line="460" w:lineRule="exact"/>
        <w:ind w:firstLine="472" w:firstLineChars="200"/>
        <w:rPr>
          <w:rFonts w:eastAsia="方正仿宋_GBK"/>
          <w:color w:val="000000"/>
          <w:spacing w:val="-2"/>
          <w:sz w:val="24"/>
        </w:rPr>
      </w:pPr>
    </w:p>
    <w:p>
      <w:pPr>
        <w:spacing w:line="460" w:lineRule="exact"/>
        <w:jc w:val="center"/>
        <w:rPr>
          <w:rFonts w:ascii="Times New Roman" w:eastAsia="方正黑体_GBK"/>
          <w:color w:val="000000"/>
          <w:spacing w:val="-2"/>
          <w:sz w:val="24"/>
        </w:rPr>
      </w:pPr>
      <w:r>
        <w:rPr>
          <w:rFonts w:hint="eastAsia" w:ascii="Times New Roman" w:eastAsia="方正黑体_GBK"/>
          <w:color w:val="000000"/>
          <w:spacing w:val="-2"/>
          <w:sz w:val="24"/>
        </w:rPr>
        <w:t>2  绿色设计专项说明</w:t>
      </w:r>
    </w:p>
    <w:p>
      <w:pPr>
        <w:spacing w:line="460" w:lineRule="exact"/>
        <w:jc w:val="center"/>
        <w:rPr>
          <w:rFonts w:hint="eastAsia" w:eastAsia="方正仿宋_GBK"/>
          <w:color w:val="000000"/>
          <w:spacing w:val="-2"/>
          <w:sz w:val="24"/>
        </w:rPr>
      </w:pPr>
    </w:p>
    <w:p>
      <w:pPr>
        <w:spacing w:line="460" w:lineRule="exact"/>
        <w:jc w:val="center"/>
        <w:rPr>
          <w:rFonts w:eastAsia="方正仿宋_GBK"/>
          <w:color w:val="000000"/>
          <w:spacing w:val="-2"/>
          <w:sz w:val="24"/>
        </w:rPr>
      </w:pPr>
      <w:r>
        <w:rPr>
          <w:rFonts w:eastAsia="方正仿宋_GBK"/>
          <w:color w:val="000000"/>
          <w:spacing w:val="-2"/>
          <w:sz w:val="24"/>
        </w:rPr>
        <w:t xml:space="preserve">2.1  </w:t>
      </w:r>
      <w:r>
        <w:rPr>
          <w:rFonts w:hint="eastAsia" w:eastAsia="方正仿宋_GBK"/>
          <w:color w:val="000000"/>
          <w:spacing w:val="-2"/>
          <w:sz w:val="24"/>
        </w:rPr>
        <w:t>一般规定</w:t>
      </w:r>
    </w:p>
    <w:p>
      <w:pPr>
        <w:spacing w:line="460" w:lineRule="exact"/>
        <w:ind w:firstLine="472" w:firstLineChars="200"/>
        <w:rPr>
          <w:rFonts w:eastAsia="方正仿宋_GBK"/>
          <w:color w:val="000000"/>
          <w:spacing w:val="-2"/>
          <w:sz w:val="24"/>
        </w:rPr>
      </w:pP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2.1.1  </w:t>
      </w:r>
      <w:r>
        <w:rPr>
          <w:rFonts w:hint="eastAsia" w:eastAsia="方正仿宋_GBK"/>
          <w:color w:val="000000"/>
          <w:spacing w:val="-2"/>
          <w:sz w:val="24"/>
        </w:rPr>
        <w:t>绿色设计专项说明应包括项目名称、项目概况、设计依据、主要技术经济指标及绿色设计相关技术措施等内容。</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2.1.2  </w:t>
      </w:r>
      <w:r>
        <w:rPr>
          <w:rFonts w:hint="eastAsia" w:eastAsia="方正仿宋_GBK"/>
          <w:color w:val="000000"/>
          <w:spacing w:val="-2"/>
          <w:sz w:val="24"/>
        </w:rPr>
        <w:t>项目概况应说明项目所在城市、其城市所在的气候分区、建筑性质（如办公、商业、酒店、住宅等）、建筑规模（总建筑面积、建筑高度、建筑层数等）、结构形式、公共建筑类别（甲类</w:t>
      </w:r>
      <w:r>
        <w:rPr>
          <w:rFonts w:eastAsia="方正仿宋_GBK"/>
          <w:color w:val="000000"/>
          <w:spacing w:val="-2"/>
          <w:sz w:val="24"/>
        </w:rPr>
        <w:t>/</w:t>
      </w:r>
      <w:r>
        <w:rPr>
          <w:rFonts w:hint="eastAsia" w:eastAsia="方正仿宋_GBK"/>
          <w:color w:val="000000"/>
          <w:spacing w:val="-2"/>
          <w:sz w:val="24"/>
        </w:rPr>
        <w:t>乙类）或居住建筑节能类型（被动系列一</w:t>
      </w:r>
      <w:r>
        <w:rPr>
          <w:rFonts w:eastAsia="方正仿宋_GBK"/>
          <w:color w:val="000000"/>
          <w:spacing w:val="-2"/>
          <w:sz w:val="24"/>
        </w:rPr>
        <w:t>/</w:t>
      </w:r>
      <w:r>
        <w:rPr>
          <w:rFonts w:hint="eastAsia" w:eastAsia="方正仿宋_GBK"/>
          <w:color w:val="000000"/>
          <w:spacing w:val="-2"/>
          <w:sz w:val="24"/>
        </w:rPr>
        <w:t>被动系列二</w:t>
      </w:r>
      <w:r>
        <w:rPr>
          <w:rFonts w:eastAsia="方正仿宋_GBK"/>
          <w:color w:val="000000"/>
          <w:spacing w:val="-2"/>
          <w:sz w:val="24"/>
        </w:rPr>
        <w:t>/</w:t>
      </w:r>
      <w:r>
        <w:rPr>
          <w:rFonts w:hint="eastAsia" w:eastAsia="方正仿宋_GBK"/>
          <w:color w:val="000000"/>
          <w:spacing w:val="-2"/>
          <w:sz w:val="24"/>
        </w:rPr>
        <w:t>主动</w:t>
      </w:r>
      <w:r>
        <w:rPr>
          <w:rFonts w:eastAsia="方正仿宋_GBK"/>
          <w:color w:val="000000"/>
          <w:spacing w:val="-2"/>
          <w:sz w:val="24"/>
        </w:rPr>
        <w:fldChar w:fldCharType="begin"/>
      </w:r>
      <w:r>
        <w:rPr>
          <w:rFonts w:eastAsia="方正仿宋_GBK"/>
          <w:color w:val="000000"/>
          <w:spacing w:val="-2"/>
          <w:sz w:val="24"/>
        </w:rPr>
        <w:instrText xml:space="preserve"> = 1 \* ROMAN </w:instrText>
      </w:r>
      <w:r>
        <w:rPr>
          <w:rFonts w:eastAsia="方正仿宋_GBK"/>
          <w:color w:val="000000"/>
          <w:spacing w:val="-2"/>
          <w:sz w:val="24"/>
        </w:rPr>
        <w:fldChar w:fldCharType="separate"/>
      </w:r>
      <w:r>
        <w:rPr>
          <w:rFonts w:eastAsia="方正仿宋_GBK"/>
          <w:color w:val="000000"/>
          <w:spacing w:val="-2"/>
          <w:sz w:val="24"/>
        </w:rPr>
        <w:t>I</w:t>
      </w:r>
      <w:r>
        <w:rPr>
          <w:rFonts w:eastAsia="方正仿宋_GBK"/>
          <w:color w:val="000000"/>
          <w:spacing w:val="-2"/>
          <w:sz w:val="24"/>
        </w:rPr>
        <w:fldChar w:fldCharType="end"/>
      </w:r>
      <w:r>
        <w:rPr>
          <w:rFonts w:hint="eastAsia" w:eastAsia="方正仿宋_GBK"/>
          <w:color w:val="000000"/>
          <w:spacing w:val="-2"/>
          <w:sz w:val="24"/>
        </w:rPr>
        <w:t>类</w:t>
      </w:r>
      <w:r>
        <w:rPr>
          <w:rFonts w:eastAsia="方正仿宋_GBK"/>
          <w:color w:val="000000"/>
          <w:spacing w:val="-2"/>
          <w:sz w:val="24"/>
        </w:rPr>
        <w:t>/</w:t>
      </w:r>
      <w:r>
        <w:rPr>
          <w:rFonts w:hint="eastAsia" w:eastAsia="方正仿宋_GBK"/>
          <w:color w:val="000000"/>
          <w:spacing w:val="-2"/>
          <w:sz w:val="24"/>
        </w:rPr>
        <w:t>主动</w:t>
      </w:r>
      <w:r>
        <w:rPr>
          <w:rFonts w:eastAsia="方正仿宋_GBK"/>
          <w:color w:val="000000"/>
          <w:spacing w:val="-2"/>
          <w:sz w:val="24"/>
        </w:rPr>
        <w:fldChar w:fldCharType="begin"/>
      </w:r>
      <w:r>
        <w:rPr>
          <w:rFonts w:eastAsia="方正仿宋_GBK"/>
          <w:color w:val="000000"/>
          <w:spacing w:val="-2"/>
          <w:sz w:val="24"/>
        </w:rPr>
        <w:instrText xml:space="preserve"> = 2 \* ROMAN </w:instrText>
      </w:r>
      <w:r>
        <w:rPr>
          <w:rFonts w:eastAsia="方正仿宋_GBK"/>
          <w:color w:val="000000"/>
          <w:spacing w:val="-2"/>
          <w:sz w:val="24"/>
        </w:rPr>
        <w:fldChar w:fldCharType="separate"/>
      </w:r>
      <w:r>
        <w:rPr>
          <w:rFonts w:eastAsia="方正仿宋_GBK"/>
          <w:color w:val="000000"/>
          <w:spacing w:val="-2"/>
          <w:sz w:val="24"/>
        </w:rPr>
        <w:t>II</w:t>
      </w:r>
      <w:r>
        <w:rPr>
          <w:rFonts w:eastAsia="方正仿宋_GBK"/>
          <w:color w:val="000000"/>
          <w:spacing w:val="-2"/>
          <w:sz w:val="24"/>
        </w:rPr>
        <w:fldChar w:fldCharType="end"/>
      </w:r>
      <w:r>
        <w:rPr>
          <w:rFonts w:hint="eastAsia" w:eastAsia="方正仿宋_GBK"/>
          <w:color w:val="000000"/>
          <w:spacing w:val="-2"/>
          <w:sz w:val="24"/>
        </w:rPr>
        <w:t>类）、绿色建筑星级目标及节能水平等基本内容。</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2.1.3  </w:t>
      </w:r>
      <w:r>
        <w:rPr>
          <w:rFonts w:hint="eastAsia" w:eastAsia="方正仿宋_GBK"/>
          <w:color w:val="000000"/>
          <w:spacing w:val="-2"/>
          <w:sz w:val="24"/>
        </w:rPr>
        <w:t>设计依据应主要包括：</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1 </w:t>
      </w:r>
      <w:r>
        <w:rPr>
          <w:rFonts w:hint="eastAsia" w:eastAsia="方正仿宋_GBK"/>
          <w:color w:val="000000"/>
          <w:spacing w:val="-2"/>
          <w:sz w:val="24"/>
        </w:rPr>
        <w:t>《江苏省绿色建筑设计标准》</w:t>
      </w:r>
      <w:r>
        <w:rPr>
          <w:rFonts w:eastAsia="方正仿宋_GBK"/>
          <w:color w:val="000000"/>
          <w:spacing w:val="-2"/>
          <w:sz w:val="24"/>
        </w:rPr>
        <w:t>DGJ32/J 173-2014</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2 </w:t>
      </w:r>
      <w:r>
        <w:rPr>
          <w:rFonts w:hint="eastAsia" w:eastAsia="方正仿宋_GBK"/>
          <w:color w:val="000000"/>
          <w:spacing w:val="-2"/>
          <w:sz w:val="24"/>
        </w:rPr>
        <w:t>《绿色建筑评价标准》</w:t>
      </w:r>
      <w:r>
        <w:rPr>
          <w:rFonts w:eastAsia="方正仿宋_GBK"/>
          <w:color w:val="000000"/>
          <w:spacing w:val="-2"/>
          <w:sz w:val="24"/>
        </w:rPr>
        <w:t>GB/T 50378-2014</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3 </w:t>
      </w:r>
      <w:r>
        <w:rPr>
          <w:rFonts w:hint="eastAsia" w:eastAsia="方正仿宋_GBK"/>
          <w:color w:val="000000"/>
          <w:spacing w:val="-2"/>
          <w:sz w:val="24"/>
        </w:rPr>
        <w:t>《民用建筑绿色设计规范》</w:t>
      </w:r>
      <w:r>
        <w:rPr>
          <w:rFonts w:eastAsia="方正仿宋_GBK"/>
          <w:color w:val="000000"/>
          <w:spacing w:val="-2"/>
          <w:sz w:val="24"/>
        </w:rPr>
        <w:t>JGJ/T 229-2010</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4 </w:t>
      </w:r>
      <w:r>
        <w:rPr>
          <w:rFonts w:hint="eastAsia" w:eastAsia="方正仿宋_GBK"/>
          <w:color w:val="000000"/>
          <w:spacing w:val="-2"/>
          <w:sz w:val="24"/>
        </w:rPr>
        <w:t>《民用建筑热工设计规范》</w:t>
      </w:r>
      <w:r>
        <w:rPr>
          <w:rFonts w:eastAsia="方正仿宋_GBK"/>
          <w:color w:val="000000"/>
          <w:spacing w:val="-2"/>
          <w:sz w:val="24"/>
        </w:rPr>
        <w:t>GB 50176-93</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5 </w:t>
      </w:r>
      <w:r>
        <w:rPr>
          <w:rFonts w:hint="eastAsia" w:eastAsia="方正仿宋_GBK"/>
          <w:color w:val="000000"/>
          <w:spacing w:val="-2"/>
          <w:sz w:val="24"/>
        </w:rPr>
        <w:t>《公共建筑节能设计标准》</w:t>
      </w:r>
      <w:r>
        <w:rPr>
          <w:rFonts w:eastAsia="方正仿宋_GBK"/>
          <w:color w:val="000000"/>
          <w:spacing w:val="-2"/>
          <w:sz w:val="24"/>
        </w:rPr>
        <w:t>GB50189-2015</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6 </w:t>
      </w:r>
      <w:r>
        <w:rPr>
          <w:rFonts w:hint="eastAsia" w:eastAsia="方正仿宋_GBK"/>
          <w:color w:val="000000"/>
          <w:spacing w:val="-2"/>
          <w:sz w:val="24"/>
        </w:rPr>
        <w:t>《江苏省居住建筑热环境和节能设计标准》</w:t>
      </w:r>
      <w:r>
        <w:rPr>
          <w:rFonts w:eastAsia="方正仿宋_GBK"/>
          <w:color w:val="000000"/>
          <w:spacing w:val="-2"/>
          <w:sz w:val="24"/>
        </w:rPr>
        <w:t>DGJ32/J 71-2014</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7 </w:t>
      </w:r>
      <w:r>
        <w:rPr>
          <w:rFonts w:hint="eastAsia" w:eastAsia="方正仿宋_GBK"/>
          <w:color w:val="000000"/>
          <w:spacing w:val="-2"/>
          <w:sz w:val="24"/>
        </w:rPr>
        <w:t>《江苏省公共建筑节能设计标准》</w:t>
      </w:r>
      <w:r>
        <w:rPr>
          <w:rFonts w:eastAsia="方正仿宋_GBK"/>
          <w:color w:val="000000"/>
          <w:spacing w:val="-2"/>
          <w:sz w:val="24"/>
        </w:rPr>
        <w:t>DGJ 32/J96-2010</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8 </w:t>
      </w:r>
      <w:r>
        <w:rPr>
          <w:rFonts w:hint="eastAsia" w:eastAsia="方正仿宋_GBK"/>
          <w:color w:val="000000"/>
          <w:spacing w:val="-2"/>
          <w:sz w:val="24"/>
        </w:rPr>
        <w:t>《江苏省城市规划管理技术规定》（</w:t>
      </w:r>
      <w:r>
        <w:rPr>
          <w:rFonts w:eastAsia="方正仿宋_GBK"/>
          <w:color w:val="000000"/>
          <w:spacing w:val="-2"/>
          <w:sz w:val="24"/>
        </w:rPr>
        <w:t>2011</w:t>
      </w:r>
      <w:r>
        <w:rPr>
          <w:rFonts w:hint="eastAsia" w:eastAsia="方正仿宋_GBK"/>
          <w:color w:val="000000"/>
          <w:spacing w:val="-2"/>
          <w:sz w:val="24"/>
        </w:rPr>
        <w:t>年版）</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9  </w:t>
      </w:r>
      <w:r>
        <w:rPr>
          <w:rFonts w:hint="eastAsia" w:eastAsia="方正仿宋_GBK"/>
          <w:color w:val="000000"/>
          <w:spacing w:val="-2"/>
          <w:sz w:val="24"/>
        </w:rPr>
        <w:t>当地城市规划主管部门下达的项目规划条件</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10  </w:t>
      </w:r>
      <w:r>
        <w:rPr>
          <w:rFonts w:hint="eastAsia" w:eastAsia="方正仿宋_GBK"/>
          <w:color w:val="000000"/>
          <w:spacing w:val="-2"/>
          <w:sz w:val="24"/>
        </w:rPr>
        <w:t>国家、省、市现行的法律、法规，其它相关标准和规定</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2.1.4  </w:t>
      </w:r>
      <w:r>
        <w:rPr>
          <w:rFonts w:hint="eastAsia" w:eastAsia="方正仿宋_GBK"/>
          <w:color w:val="000000"/>
          <w:spacing w:val="-2"/>
          <w:sz w:val="24"/>
        </w:rPr>
        <w:t>主要技术经济指标应包括项目建设用地面积、总建筑面积、地上地下建筑面积、停车库建筑面积（含机动车、非机动车）、建筑密度、容积率、绿地率、人均用地指标（居住建筑）、人均公共绿地面积（居住建筑）、停车数量（机动车及非机动车停车数量）等。</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   </w:t>
      </w:r>
    </w:p>
    <w:p>
      <w:pPr>
        <w:spacing w:line="460" w:lineRule="exact"/>
        <w:jc w:val="center"/>
        <w:rPr>
          <w:rFonts w:eastAsia="方正仿宋_GBK"/>
          <w:color w:val="000000"/>
          <w:spacing w:val="-2"/>
          <w:sz w:val="24"/>
        </w:rPr>
      </w:pPr>
      <w:r>
        <w:rPr>
          <w:rFonts w:eastAsia="方正仿宋_GBK"/>
          <w:color w:val="000000"/>
          <w:spacing w:val="-2"/>
          <w:sz w:val="24"/>
        </w:rPr>
        <w:t xml:space="preserve">2.2  </w:t>
      </w:r>
      <w:r>
        <w:rPr>
          <w:rFonts w:hint="eastAsia" w:eastAsia="方正仿宋_GBK"/>
          <w:color w:val="000000"/>
          <w:spacing w:val="-2"/>
          <w:sz w:val="24"/>
        </w:rPr>
        <w:t>绿色设计相关技术措施</w:t>
      </w:r>
    </w:p>
    <w:p>
      <w:pPr>
        <w:spacing w:line="460" w:lineRule="exact"/>
        <w:ind w:firstLine="472" w:firstLineChars="200"/>
        <w:rPr>
          <w:rFonts w:eastAsia="方正仿宋_GBK"/>
          <w:color w:val="000000"/>
          <w:spacing w:val="-2"/>
          <w:sz w:val="24"/>
        </w:rPr>
      </w:pP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2.2.1  </w:t>
      </w:r>
      <w:r>
        <w:rPr>
          <w:rFonts w:hint="eastAsia" w:eastAsia="方正仿宋_GBK"/>
          <w:color w:val="000000"/>
          <w:spacing w:val="-2"/>
          <w:sz w:val="24"/>
        </w:rPr>
        <w:t>规划设计</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1  </w:t>
      </w:r>
      <w:r>
        <w:rPr>
          <w:rFonts w:hint="eastAsia" w:eastAsia="方正仿宋_GBK"/>
          <w:color w:val="000000"/>
          <w:spacing w:val="-2"/>
          <w:sz w:val="24"/>
        </w:rPr>
        <w:t>应说明场地规划是否符合上位规划的要求，有无各类保护区及文物古迹的保护和控制要求。</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2  </w:t>
      </w:r>
      <w:r>
        <w:rPr>
          <w:rFonts w:hint="eastAsia" w:eastAsia="方正仿宋_GBK"/>
          <w:color w:val="000000"/>
          <w:spacing w:val="-2"/>
          <w:sz w:val="24"/>
        </w:rPr>
        <w:t>应说明场地内及周边公共服务设施的配置情况。</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3  </w:t>
      </w:r>
      <w:r>
        <w:rPr>
          <w:rFonts w:hint="eastAsia" w:eastAsia="方正仿宋_GBK"/>
          <w:color w:val="000000"/>
          <w:spacing w:val="-2"/>
          <w:sz w:val="24"/>
        </w:rPr>
        <w:t>应说明场地有无洪涝、滑坡、泥石流等自然灾害的威胁，有无避开工程抗震危险地段，有无危险化学品、易燃易爆危险源，有无电磁辐射等危害。</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4  </w:t>
      </w:r>
      <w:r>
        <w:rPr>
          <w:rFonts w:hint="eastAsia" w:eastAsia="方正仿宋_GBK"/>
          <w:color w:val="000000"/>
          <w:spacing w:val="-2"/>
          <w:sz w:val="24"/>
        </w:rPr>
        <w:t>应说明场地内有无超标排放的污染源。</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5  </w:t>
      </w:r>
      <w:r>
        <w:rPr>
          <w:rFonts w:hint="eastAsia" w:eastAsia="方正仿宋_GBK"/>
          <w:color w:val="000000"/>
          <w:spacing w:val="-2"/>
          <w:sz w:val="24"/>
        </w:rPr>
        <w:t>各类居住建筑及托儿所、幼儿园、中小学校、医院、疗养院等公共建筑应说明其相关用房的日照情况；当项目周边有现状住宅和有日照要求的公共建筑时，应说明项目建设是否对上述建筑产生不利的日照影响。</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6  </w:t>
      </w:r>
      <w:r>
        <w:rPr>
          <w:rFonts w:hint="eastAsia" w:eastAsia="方正仿宋_GBK"/>
          <w:color w:val="000000"/>
          <w:spacing w:val="-2"/>
          <w:sz w:val="24"/>
        </w:rPr>
        <w:t>应根据项目所在场地的环评报告，说明场地声环境质量情况及必要时采取的隔声降噪措施。</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7  </w:t>
      </w:r>
      <w:r>
        <w:rPr>
          <w:rFonts w:hint="eastAsia" w:eastAsia="方正仿宋_GBK"/>
          <w:color w:val="000000"/>
          <w:spacing w:val="-2"/>
          <w:sz w:val="24"/>
        </w:rPr>
        <w:t>应说明场地交通条件和出入口设置情况。</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2.2.2  </w:t>
      </w:r>
      <w:r>
        <w:rPr>
          <w:rFonts w:hint="eastAsia" w:eastAsia="方正仿宋_GBK"/>
          <w:color w:val="000000"/>
          <w:spacing w:val="-2"/>
          <w:sz w:val="24"/>
        </w:rPr>
        <w:t>建筑设计</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1  </w:t>
      </w:r>
      <w:r>
        <w:rPr>
          <w:rFonts w:hint="eastAsia" w:eastAsia="方正仿宋_GBK"/>
          <w:color w:val="000000"/>
          <w:spacing w:val="-2"/>
          <w:sz w:val="24"/>
        </w:rPr>
        <w:t>当项目为住宅小区或组团内的居住建筑时，应根据风环境模拟报告说明场地及建筑的风环境质量情况。</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2  </w:t>
      </w:r>
      <w:r>
        <w:rPr>
          <w:rFonts w:hint="eastAsia" w:eastAsia="方正仿宋_GBK"/>
          <w:color w:val="000000"/>
          <w:spacing w:val="-2"/>
          <w:sz w:val="24"/>
        </w:rPr>
        <w:t>根据项目所在地气候分区、建筑性质、建筑规模、建筑节能类别、节能目标及建筑体形系数等，说明各类建筑屋面、外墙、架空楼板及居住建筑分户墙、分户楼板、楼梯间隔墙、外走廊隔墙等主要围护结构采用的保温形式、保温材料及设计指标，说明建筑外门窗（包括透明幕墙）的选型、遮阳形式及设计指标。</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2.2.3  </w:t>
      </w:r>
      <w:r>
        <w:rPr>
          <w:rFonts w:hint="eastAsia" w:eastAsia="方正仿宋_GBK"/>
          <w:color w:val="000000"/>
          <w:spacing w:val="-2"/>
          <w:sz w:val="24"/>
        </w:rPr>
        <w:t>结构设计</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1  </w:t>
      </w:r>
      <w:r>
        <w:rPr>
          <w:rFonts w:hint="eastAsia" w:eastAsia="方正仿宋_GBK"/>
          <w:color w:val="000000"/>
          <w:spacing w:val="-2"/>
          <w:sz w:val="24"/>
        </w:rPr>
        <w:t>应说明建筑采用的结构形式、结构使用年限、建筑结构安全等级、抗震设防烈度、建筑抗震设防类别等基本内容。</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2  </w:t>
      </w:r>
      <w:r>
        <w:rPr>
          <w:rFonts w:hint="eastAsia" w:eastAsia="方正仿宋_GBK"/>
          <w:color w:val="000000"/>
          <w:spacing w:val="-2"/>
          <w:sz w:val="24"/>
        </w:rPr>
        <w:t>对特别不规则结构，应说明采取的对应措施。</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2.2.4  </w:t>
      </w:r>
      <w:r>
        <w:rPr>
          <w:rFonts w:hint="eastAsia" w:eastAsia="方正仿宋_GBK"/>
          <w:color w:val="000000"/>
          <w:spacing w:val="-2"/>
          <w:sz w:val="24"/>
        </w:rPr>
        <w:t>可再生能源利用</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1  </w:t>
      </w:r>
      <w:r>
        <w:rPr>
          <w:rFonts w:hint="eastAsia" w:eastAsia="方正仿宋_GBK"/>
          <w:color w:val="000000"/>
          <w:spacing w:val="-2"/>
          <w:sz w:val="24"/>
        </w:rPr>
        <w:t>甲类公共建筑及扣除车库面积后建筑面积</w:t>
      </w:r>
      <w:r>
        <w:rPr>
          <w:rFonts w:eastAsia="方正仿宋_GBK"/>
          <w:color w:val="000000"/>
          <w:spacing w:val="-2"/>
          <w:sz w:val="24"/>
        </w:rPr>
        <w:t>≥20000m</w:t>
      </w:r>
      <w:r>
        <w:rPr>
          <w:rFonts w:eastAsia="方正仿宋_GBK"/>
          <w:color w:val="000000"/>
          <w:spacing w:val="-2"/>
          <w:sz w:val="24"/>
          <w:vertAlign w:val="superscript"/>
        </w:rPr>
        <w:t>2</w:t>
      </w:r>
      <w:r>
        <w:rPr>
          <w:rFonts w:hint="eastAsia" w:eastAsia="方正仿宋_GBK"/>
          <w:color w:val="000000"/>
          <w:spacing w:val="-2"/>
          <w:sz w:val="24"/>
        </w:rPr>
        <w:t>的公共建筑应至少利用一种可再生能源。应根据项目所在地能源资源条件及建筑性质说明采用的可再生能源利用技术，并应符合以下要求：</w:t>
      </w:r>
    </w:p>
    <w:p>
      <w:pPr>
        <w:spacing w:line="460" w:lineRule="exact"/>
        <w:ind w:firstLine="472" w:firstLineChars="200"/>
        <w:rPr>
          <w:rFonts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w:t>
      </w:r>
      <w:r>
        <w:rPr>
          <w:rFonts w:eastAsia="方正仿宋_GBK"/>
          <w:color w:val="000000"/>
          <w:spacing w:val="-2"/>
          <w:sz w:val="24"/>
        </w:rPr>
        <w:t xml:space="preserve"> </w:t>
      </w:r>
      <w:r>
        <w:rPr>
          <w:rFonts w:hint="eastAsia" w:eastAsia="方正仿宋_GBK"/>
          <w:color w:val="000000"/>
          <w:spacing w:val="-2"/>
          <w:sz w:val="24"/>
        </w:rPr>
        <w:t>仅采用太阳能光热系统提供生活热水，其日用热水量比例不低于</w:t>
      </w:r>
      <w:r>
        <w:rPr>
          <w:rFonts w:eastAsia="方正仿宋_GBK"/>
          <w:color w:val="000000"/>
          <w:spacing w:val="-2"/>
          <w:sz w:val="24"/>
        </w:rPr>
        <w:t>50%</w:t>
      </w:r>
      <w:r>
        <w:rPr>
          <w:rFonts w:hint="eastAsia" w:eastAsia="方正仿宋_GBK"/>
          <w:color w:val="000000"/>
          <w:spacing w:val="-2"/>
          <w:sz w:val="24"/>
        </w:rPr>
        <w:t>。</w:t>
      </w:r>
    </w:p>
    <w:p>
      <w:pPr>
        <w:spacing w:line="460" w:lineRule="exact"/>
        <w:ind w:firstLine="472" w:firstLineChars="200"/>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w:t>
      </w:r>
      <w:r>
        <w:rPr>
          <w:rFonts w:eastAsia="方正仿宋_GBK"/>
          <w:color w:val="000000"/>
          <w:spacing w:val="-2"/>
          <w:sz w:val="24"/>
        </w:rPr>
        <w:t xml:space="preserve"> </w:t>
      </w:r>
      <w:r>
        <w:rPr>
          <w:rFonts w:hint="eastAsia" w:eastAsia="方正仿宋_GBK"/>
          <w:color w:val="000000"/>
          <w:spacing w:val="-2"/>
          <w:sz w:val="24"/>
        </w:rPr>
        <w:t>仅采用地源热泵系统提供空调冷、热量，其比例不低于设计状态负荷的</w:t>
      </w:r>
      <w:r>
        <w:rPr>
          <w:rFonts w:eastAsia="方正仿宋_GBK"/>
          <w:color w:val="000000"/>
          <w:spacing w:val="-2"/>
          <w:sz w:val="24"/>
        </w:rPr>
        <w:t>20%</w:t>
      </w:r>
      <w:r>
        <w:rPr>
          <w:rFonts w:hint="eastAsia" w:eastAsia="方正仿宋_GBK"/>
          <w:color w:val="000000"/>
          <w:spacing w:val="-2"/>
          <w:sz w:val="24"/>
        </w:rPr>
        <w:t>。</w:t>
      </w:r>
    </w:p>
    <w:p>
      <w:pPr>
        <w:spacing w:line="460" w:lineRule="exact"/>
        <w:ind w:firstLine="472" w:firstLineChars="200"/>
        <w:rPr>
          <w:rFonts w:eastAsia="方正仿宋_GBK"/>
          <w:color w:val="000000"/>
          <w:spacing w:val="-2"/>
          <w:sz w:val="24"/>
        </w:rPr>
      </w:pPr>
      <w:r>
        <w:rPr>
          <w:rFonts w:eastAsia="方正仿宋_GBK"/>
          <w:color w:val="000000"/>
          <w:spacing w:val="-2"/>
          <w:sz w:val="24"/>
        </w:rPr>
        <w:t>3</w:t>
      </w:r>
      <w:r>
        <w:rPr>
          <w:rFonts w:hint="eastAsia" w:eastAsia="方正仿宋_GBK"/>
          <w:color w:val="000000"/>
          <w:spacing w:val="-2"/>
          <w:sz w:val="24"/>
        </w:rPr>
        <w:t>）</w:t>
      </w:r>
      <w:r>
        <w:rPr>
          <w:rFonts w:eastAsia="方正仿宋_GBK"/>
          <w:color w:val="000000"/>
          <w:spacing w:val="-2"/>
          <w:sz w:val="24"/>
        </w:rPr>
        <w:t xml:space="preserve"> </w:t>
      </w:r>
      <w:r>
        <w:rPr>
          <w:rFonts w:hint="eastAsia" w:eastAsia="方正仿宋_GBK"/>
          <w:color w:val="000000"/>
          <w:spacing w:val="-2"/>
          <w:sz w:val="24"/>
        </w:rPr>
        <w:t>仅采用太阳能光伏系统提供电量，其总功率不应低于建筑物变压器总装机容量的</w:t>
      </w:r>
      <w:r>
        <w:rPr>
          <w:rFonts w:eastAsia="方正仿宋_GBK"/>
          <w:color w:val="000000"/>
          <w:spacing w:val="-2"/>
          <w:sz w:val="24"/>
        </w:rPr>
        <w:t>0.2%</w:t>
      </w:r>
      <w:r>
        <w:rPr>
          <w:rFonts w:hint="eastAsia" w:eastAsia="方正仿宋_GBK"/>
          <w:color w:val="000000"/>
          <w:spacing w:val="-2"/>
          <w:sz w:val="24"/>
        </w:rPr>
        <w:t>。</w:t>
      </w:r>
    </w:p>
    <w:p>
      <w:pPr>
        <w:spacing w:line="460" w:lineRule="exact"/>
        <w:ind w:firstLine="472" w:firstLineChars="200"/>
        <w:rPr>
          <w:rFonts w:eastAsia="方正仿宋_GBK"/>
          <w:color w:val="000000"/>
          <w:spacing w:val="-2"/>
          <w:sz w:val="24"/>
        </w:rPr>
      </w:pPr>
      <w:r>
        <w:rPr>
          <w:rFonts w:eastAsia="方正仿宋_GBK"/>
          <w:color w:val="000000"/>
          <w:spacing w:val="-2"/>
          <w:sz w:val="24"/>
        </w:rPr>
        <w:t>4</w:t>
      </w:r>
      <w:r>
        <w:rPr>
          <w:rFonts w:hint="eastAsia" w:eastAsia="方正仿宋_GBK"/>
          <w:color w:val="000000"/>
          <w:spacing w:val="-2"/>
          <w:sz w:val="24"/>
        </w:rPr>
        <w:t>）</w:t>
      </w:r>
      <w:r>
        <w:rPr>
          <w:rFonts w:eastAsia="方正仿宋_GBK"/>
          <w:color w:val="000000"/>
          <w:spacing w:val="-2"/>
          <w:sz w:val="24"/>
        </w:rPr>
        <w:t xml:space="preserve"> </w:t>
      </w:r>
      <w:r>
        <w:rPr>
          <w:rFonts w:hint="eastAsia" w:eastAsia="方正仿宋_GBK"/>
          <w:color w:val="000000"/>
          <w:spacing w:val="-2"/>
          <w:sz w:val="24"/>
        </w:rPr>
        <w:t>利用热电厂蒸汽、余热废热供暖空调，其比例不低于设计负荷的</w:t>
      </w:r>
      <w:r>
        <w:rPr>
          <w:rFonts w:eastAsia="方正仿宋_GBK"/>
          <w:color w:val="000000"/>
          <w:spacing w:val="-2"/>
          <w:sz w:val="24"/>
        </w:rPr>
        <w:t>40%</w:t>
      </w:r>
      <w:r>
        <w:rPr>
          <w:rFonts w:hint="eastAsia" w:eastAsia="方正仿宋_GBK"/>
          <w:color w:val="000000"/>
          <w:spacing w:val="-2"/>
          <w:sz w:val="24"/>
        </w:rPr>
        <w:t>时，分布式能源所供应的热负荷不低于生活热水负荷时，公共建筑供暖空调系统可不再利用可再生能源。</w:t>
      </w:r>
    </w:p>
    <w:p>
      <w:pPr>
        <w:spacing w:line="460" w:lineRule="exact"/>
        <w:ind w:firstLine="472" w:firstLineChars="200"/>
        <w:rPr>
          <w:rFonts w:eastAsia="方正仿宋_GBK"/>
          <w:color w:val="000000"/>
          <w:spacing w:val="-2"/>
          <w:sz w:val="24"/>
        </w:rPr>
      </w:pPr>
      <w:r>
        <w:rPr>
          <w:rFonts w:eastAsia="方正仿宋_GBK"/>
          <w:color w:val="000000"/>
          <w:spacing w:val="-2"/>
          <w:sz w:val="24"/>
        </w:rPr>
        <w:t>5</w:t>
      </w:r>
      <w:r>
        <w:rPr>
          <w:rFonts w:hint="eastAsia" w:eastAsia="方正仿宋_GBK"/>
          <w:color w:val="000000"/>
          <w:spacing w:val="-2"/>
          <w:sz w:val="24"/>
        </w:rPr>
        <w:t>）有热水供应需求的学校、医院、宾馆、体育馆等公共建筑应采用太阳能热水供应系统。由地源热泵系统提供夏季和冬季生活热水时，可不再设置太阳能热水供应系统。</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2  </w:t>
      </w:r>
      <w:r>
        <w:rPr>
          <w:rFonts w:hint="eastAsia" w:eastAsia="方正仿宋_GBK"/>
          <w:color w:val="000000"/>
          <w:spacing w:val="-2"/>
          <w:sz w:val="24"/>
        </w:rPr>
        <w:t>居住建筑应说明太阳能热水系统的设计要求。</w:t>
      </w:r>
    </w:p>
    <w:p>
      <w:pPr>
        <w:spacing w:line="460" w:lineRule="exact"/>
        <w:ind w:firstLine="472" w:firstLineChars="200"/>
        <w:rPr>
          <w:rFonts w:eastAsia="方正仿宋_GBK"/>
          <w:color w:val="000000"/>
          <w:spacing w:val="-2"/>
          <w:sz w:val="24"/>
        </w:rPr>
      </w:pPr>
      <w:r>
        <w:rPr>
          <w:rFonts w:eastAsia="方正仿宋_GBK"/>
          <w:color w:val="000000"/>
          <w:spacing w:val="-2"/>
          <w:sz w:val="24"/>
        </w:rPr>
        <w:t>6</w:t>
      </w:r>
      <w:r>
        <w:rPr>
          <w:rFonts w:hint="eastAsia" w:eastAsia="方正仿宋_GBK"/>
          <w:color w:val="000000"/>
          <w:spacing w:val="-2"/>
          <w:sz w:val="24"/>
        </w:rPr>
        <w:t>层及</w:t>
      </w:r>
      <w:r>
        <w:rPr>
          <w:rFonts w:eastAsia="方正仿宋_GBK"/>
          <w:color w:val="000000"/>
          <w:spacing w:val="-2"/>
          <w:sz w:val="24"/>
        </w:rPr>
        <w:t>6</w:t>
      </w:r>
      <w:r>
        <w:rPr>
          <w:rFonts w:hint="eastAsia" w:eastAsia="方正仿宋_GBK"/>
          <w:color w:val="000000"/>
          <w:spacing w:val="-2"/>
          <w:sz w:val="24"/>
        </w:rPr>
        <w:t>层以下的居住建筑，所有住户应采用太阳能热水供应系统；超过</w:t>
      </w:r>
      <w:r>
        <w:rPr>
          <w:rFonts w:eastAsia="方正仿宋_GBK"/>
          <w:color w:val="000000"/>
          <w:spacing w:val="-2"/>
          <w:sz w:val="24"/>
        </w:rPr>
        <w:t>6</w:t>
      </w:r>
      <w:r>
        <w:rPr>
          <w:rFonts w:hint="eastAsia" w:eastAsia="方正仿宋_GBK"/>
          <w:color w:val="000000"/>
          <w:spacing w:val="-2"/>
          <w:sz w:val="24"/>
        </w:rPr>
        <w:t>层的居住建筑，应至少为最高供水分区内的每户设置太阳能热水供应系统，且总应用层数不少于</w:t>
      </w:r>
      <w:r>
        <w:rPr>
          <w:rFonts w:eastAsia="方正仿宋_GBK"/>
          <w:color w:val="000000"/>
          <w:spacing w:val="-2"/>
          <w:sz w:val="24"/>
        </w:rPr>
        <w:t>6</w:t>
      </w:r>
      <w:r>
        <w:rPr>
          <w:rFonts w:hint="eastAsia" w:eastAsia="方正仿宋_GBK"/>
          <w:color w:val="000000"/>
          <w:spacing w:val="-2"/>
          <w:sz w:val="24"/>
        </w:rPr>
        <w:t>层。由地源热泵系统提供夏季和冬季生活热水时，可不再设置太阳能热水供应系统。</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3  </w:t>
      </w:r>
      <w:r>
        <w:rPr>
          <w:rFonts w:hint="eastAsia" w:eastAsia="方正仿宋_GBK"/>
          <w:color w:val="000000"/>
          <w:spacing w:val="-2"/>
          <w:sz w:val="24"/>
        </w:rPr>
        <w:t>设置太阳能热水系统或太阳能光伏系统的建筑，应说明和表达太阳能集热器、光伏板的设置位置。</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2.2.5  </w:t>
      </w:r>
      <w:r>
        <w:rPr>
          <w:rFonts w:hint="eastAsia" w:eastAsia="方正仿宋_GBK"/>
          <w:color w:val="000000"/>
          <w:spacing w:val="-2"/>
          <w:sz w:val="24"/>
        </w:rPr>
        <w:t>水资源综合利用</w:t>
      </w:r>
    </w:p>
    <w:p>
      <w:pPr>
        <w:spacing w:line="460" w:lineRule="exact"/>
        <w:ind w:firstLine="472" w:firstLineChars="200"/>
        <w:jc w:val="left"/>
        <w:rPr>
          <w:rFonts w:eastAsia="方正仿宋_GBK"/>
          <w:color w:val="000000"/>
          <w:spacing w:val="-2"/>
          <w:sz w:val="24"/>
        </w:rPr>
      </w:pPr>
      <w:r>
        <w:rPr>
          <w:rFonts w:eastAsia="方正仿宋_GBK"/>
          <w:color w:val="000000"/>
          <w:spacing w:val="-2"/>
          <w:sz w:val="24"/>
        </w:rPr>
        <w:t xml:space="preserve">1  </w:t>
      </w:r>
      <w:r>
        <w:rPr>
          <w:rFonts w:hint="eastAsia" w:eastAsia="方正仿宋_GBK"/>
          <w:color w:val="000000"/>
          <w:spacing w:val="-2"/>
          <w:sz w:val="24"/>
        </w:rPr>
        <w:t>规划用地面积</w:t>
      </w:r>
      <w:r>
        <w:rPr>
          <w:rFonts w:eastAsia="方正仿宋_GBK"/>
          <w:color w:val="000000"/>
          <w:spacing w:val="-2"/>
          <w:sz w:val="24"/>
        </w:rPr>
        <w:t>≥20000m</w:t>
      </w:r>
      <w:r>
        <w:rPr>
          <w:rFonts w:eastAsia="方正仿宋_GBK"/>
          <w:color w:val="000000"/>
          <w:spacing w:val="-2"/>
          <w:sz w:val="24"/>
          <w:vertAlign w:val="superscript"/>
        </w:rPr>
        <w:t>2</w:t>
      </w:r>
      <w:r>
        <w:rPr>
          <w:rFonts w:hint="eastAsia" w:eastAsia="方正仿宋_GBK"/>
          <w:color w:val="000000"/>
          <w:spacing w:val="-2"/>
          <w:sz w:val="24"/>
        </w:rPr>
        <w:t>的项目应说明采取雨水回用的措施。</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2  </w:t>
      </w:r>
      <w:r>
        <w:rPr>
          <w:rFonts w:hint="eastAsia" w:eastAsia="方正仿宋_GBK"/>
          <w:color w:val="000000"/>
          <w:spacing w:val="-2"/>
          <w:sz w:val="24"/>
        </w:rPr>
        <w:t>规划用地面积</w:t>
      </w:r>
      <w:r>
        <w:rPr>
          <w:rFonts w:eastAsia="方正仿宋_GBK"/>
          <w:color w:val="000000"/>
          <w:spacing w:val="-2"/>
          <w:sz w:val="24"/>
        </w:rPr>
        <w:t>≥100000m</w:t>
      </w:r>
      <w:r>
        <w:rPr>
          <w:rFonts w:eastAsia="方正仿宋_GBK"/>
          <w:color w:val="000000"/>
          <w:spacing w:val="-2"/>
          <w:sz w:val="24"/>
          <w:vertAlign w:val="superscript"/>
        </w:rPr>
        <w:t>2</w:t>
      </w:r>
      <w:r>
        <w:rPr>
          <w:rFonts w:hint="eastAsia" w:eastAsia="方正仿宋_GBK"/>
          <w:color w:val="000000"/>
          <w:spacing w:val="-2"/>
          <w:sz w:val="24"/>
        </w:rPr>
        <w:t>的新建项目，应说明绿色雨水基础设施建设和雨水利用措施。</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3  </w:t>
      </w:r>
      <w:r>
        <w:rPr>
          <w:rFonts w:hint="eastAsia" w:eastAsia="方正仿宋_GBK"/>
          <w:color w:val="000000"/>
          <w:spacing w:val="-2"/>
          <w:sz w:val="24"/>
        </w:rPr>
        <w:t>应说明景观用水采用非传统水源的情况。</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4  </w:t>
      </w:r>
      <w:r>
        <w:rPr>
          <w:rFonts w:hint="eastAsia" w:eastAsia="方正仿宋_GBK"/>
          <w:color w:val="000000"/>
          <w:spacing w:val="-2"/>
          <w:sz w:val="24"/>
        </w:rPr>
        <w:t>应说明集中空调用冷却水、游泳池等用水采取循环处理的措施。</w:t>
      </w:r>
    </w:p>
    <w:p>
      <w:pPr>
        <w:spacing w:line="460" w:lineRule="exact"/>
        <w:ind w:firstLine="472" w:firstLineChars="200"/>
        <w:rPr>
          <w:rFonts w:eastAsia="方正仿宋_GBK"/>
          <w:color w:val="000000"/>
          <w:spacing w:val="-2"/>
          <w:sz w:val="24"/>
        </w:rPr>
      </w:pPr>
    </w:p>
    <w:p>
      <w:pPr>
        <w:spacing w:line="460" w:lineRule="exact"/>
        <w:jc w:val="center"/>
        <w:rPr>
          <w:rFonts w:ascii="Times New Roman" w:eastAsia="方正黑体_GBK"/>
          <w:color w:val="000000"/>
          <w:spacing w:val="-2"/>
          <w:sz w:val="24"/>
        </w:rPr>
      </w:pPr>
      <w:r>
        <w:rPr>
          <w:rFonts w:hint="eastAsia" w:ascii="Times New Roman" w:eastAsia="方正黑体_GBK"/>
          <w:color w:val="000000"/>
          <w:spacing w:val="-2"/>
          <w:sz w:val="24"/>
        </w:rPr>
        <w:t>3  绿色设计图纸及资料</w:t>
      </w:r>
    </w:p>
    <w:p>
      <w:pPr>
        <w:spacing w:line="460" w:lineRule="exact"/>
        <w:ind w:firstLine="472" w:firstLineChars="200"/>
        <w:rPr>
          <w:rFonts w:hint="eastAsia" w:eastAsia="方正仿宋_GBK"/>
          <w:color w:val="000000"/>
          <w:spacing w:val="-2"/>
          <w:sz w:val="24"/>
        </w:rPr>
      </w:pP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3.0.1  </w:t>
      </w:r>
      <w:r>
        <w:rPr>
          <w:rFonts w:hint="eastAsia" w:eastAsia="方正仿宋_GBK"/>
          <w:color w:val="000000"/>
          <w:spacing w:val="-2"/>
          <w:sz w:val="24"/>
        </w:rPr>
        <w:t>民用建筑设计方案绿色设计图纸及资料主要包括：</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1  </w:t>
      </w:r>
      <w:r>
        <w:rPr>
          <w:rFonts w:hint="eastAsia" w:eastAsia="方正仿宋_GBK"/>
          <w:color w:val="000000"/>
          <w:spacing w:val="-2"/>
          <w:sz w:val="24"/>
        </w:rPr>
        <w:t>场地区位图、建筑总平面图、平面图、立面图、剖面图。</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2  </w:t>
      </w:r>
      <w:r>
        <w:rPr>
          <w:rFonts w:hint="eastAsia" w:eastAsia="方正仿宋_GBK"/>
          <w:color w:val="000000"/>
          <w:spacing w:val="-2"/>
          <w:sz w:val="24"/>
        </w:rPr>
        <w:t>项目所在场地的环境影响评价文件及有权部门的批文，必要时的场地安全性评价报告及有权部门的批文。</w:t>
      </w:r>
    </w:p>
    <w:p>
      <w:pPr>
        <w:spacing w:line="460" w:lineRule="exact"/>
        <w:ind w:firstLine="472" w:firstLineChars="200"/>
        <w:rPr>
          <w:rFonts w:eastAsia="方正仿宋_GBK"/>
          <w:color w:val="000000"/>
          <w:spacing w:val="-8"/>
          <w:sz w:val="24"/>
        </w:rPr>
      </w:pPr>
      <w:r>
        <w:rPr>
          <w:rFonts w:eastAsia="方正仿宋_GBK"/>
          <w:color w:val="000000"/>
          <w:spacing w:val="-2"/>
          <w:sz w:val="24"/>
        </w:rPr>
        <w:t xml:space="preserve">3  </w:t>
      </w:r>
      <w:r>
        <w:rPr>
          <w:rFonts w:hint="eastAsia" w:eastAsia="方正仿宋_GBK"/>
          <w:color w:val="000000"/>
          <w:spacing w:val="-8"/>
          <w:sz w:val="24"/>
        </w:rPr>
        <w:t>对有日照要求的建筑及项目周边存在有日照要求的建筑时，应提供日照分析报告。</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4  </w:t>
      </w:r>
      <w:r>
        <w:rPr>
          <w:rFonts w:hint="eastAsia" w:eastAsia="方正仿宋_GBK"/>
          <w:color w:val="000000"/>
          <w:spacing w:val="-2"/>
          <w:sz w:val="24"/>
        </w:rPr>
        <w:t>住宅小区或组团，应提供风环境模拟计算报告。</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5  </w:t>
      </w:r>
      <w:r>
        <w:rPr>
          <w:rFonts w:hint="eastAsia" w:eastAsia="方正仿宋_GBK"/>
          <w:color w:val="000000"/>
          <w:spacing w:val="-2"/>
          <w:sz w:val="24"/>
        </w:rPr>
        <w:t>其它材料。</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3.0.2  </w:t>
      </w:r>
      <w:r>
        <w:rPr>
          <w:rFonts w:hint="eastAsia" w:eastAsia="方正仿宋_GBK"/>
          <w:color w:val="000000"/>
          <w:spacing w:val="-2"/>
          <w:sz w:val="24"/>
        </w:rPr>
        <w:t>设计图纸及资料尚应满足当地规划行政主管部门对报建方案深度的要求。</w:t>
      </w:r>
    </w:p>
    <w:p>
      <w:pPr>
        <w:spacing w:line="460" w:lineRule="exact"/>
        <w:rPr>
          <w:rFonts w:ascii="Times New Roman" w:eastAsia="方正黑体_GBK"/>
          <w:color w:val="000000"/>
          <w:spacing w:val="-2"/>
          <w:sz w:val="28"/>
          <w:szCs w:val="28"/>
        </w:rPr>
      </w:pPr>
      <w:r>
        <w:rPr>
          <w:rFonts w:eastAsia="方正仿宋_GBK"/>
          <w:color w:val="000000"/>
          <w:spacing w:val="-2"/>
          <w:sz w:val="24"/>
        </w:rPr>
        <w:br w:type="column"/>
      </w:r>
      <w:r>
        <w:rPr>
          <w:rFonts w:hint="eastAsia" w:ascii="Times New Roman" w:eastAsia="方正黑体_GBK"/>
          <w:color w:val="000000"/>
          <w:spacing w:val="-2"/>
          <w:sz w:val="28"/>
          <w:szCs w:val="28"/>
        </w:rPr>
        <w:t>附件2</w:t>
      </w:r>
    </w:p>
    <w:p>
      <w:pPr>
        <w:spacing w:line="460" w:lineRule="exact"/>
        <w:rPr>
          <w:rFonts w:hint="eastAsia" w:eastAsia="方正仿宋_GBK"/>
          <w:color w:val="000000"/>
          <w:spacing w:val="-2"/>
          <w:sz w:val="24"/>
        </w:rPr>
      </w:pPr>
    </w:p>
    <w:p>
      <w:pPr>
        <w:spacing w:line="460" w:lineRule="exact"/>
        <w:jc w:val="center"/>
        <w:rPr>
          <w:rFonts w:ascii="Times New Roman" w:eastAsia="方正小标宋简体"/>
          <w:color w:val="000000"/>
          <w:spacing w:val="-2"/>
          <w:sz w:val="36"/>
          <w:szCs w:val="36"/>
        </w:rPr>
      </w:pPr>
      <w:r>
        <w:rPr>
          <w:rFonts w:hint="eastAsia" w:ascii="Times New Roman" w:eastAsia="方正小标宋简体"/>
          <w:color w:val="000000"/>
          <w:spacing w:val="-2"/>
          <w:sz w:val="36"/>
          <w:szCs w:val="36"/>
        </w:rPr>
        <w:t>江苏省民用建筑设计方案绿色设计文件技术审查要点</w:t>
      </w:r>
    </w:p>
    <w:p>
      <w:pPr>
        <w:spacing w:line="460" w:lineRule="exact"/>
        <w:jc w:val="center"/>
        <w:rPr>
          <w:rFonts w:hint="eastAsia" w:ascii="Times New Roman" w:eastAsia="方正小标宋简体"/>
          <w:color w:val="000000"/>
          <w:spacing w:val="-2"/>
          <w:sz w:val="36"/>
          <w:szCs w:val="36"/>
        </w:rPr>
      </w:pPr>
      <w:r>
        <w:rPr>
          <w:rFonts w:hint="eastAsia" w:ascii="Times New Roman" w:eastAsia="方正小标宋简体"/>
          <w:color w:val="000000"/>
          <w:spacing w:val="-2"/>
          <w:sz w:val="36"/>
          <w:szCs w:val="36"/>
        </w:rPr>
        <w:t>（试行）</w:t>
      </w:r>
    </w:p>
    <w:p>
      <w:pPr>
        <w:spacing w:line="460" w:lineRule="exact"/>
        <w:jc w:val="center"/>
        <w:rPr>
          <w:rFonts w:hint="eastAsia" w:eastAsia="方正仿宋_GBK"/>
          <w:color w:val="000000"/>
          <w:spacing w:val="-2"/>
          <w:sz w:val="24"/>
        </w:rPr>
      </w:pPr>
    </w:p>
    <w:p>
      <w:pPr>
        <w:spacing w:line="460" w:lineRule="exact"/>
        <w:jc w:val="center"/>
        <w:rPr>
          <w:rFonts w:ascii="Times New Roman" w:eastAsia="方正黑体_GBK"/>
          <w:color w:val="000000"/>
          <w:spacing w:val="-2"/>
          <w:sz w:val="24"/>
        </w:rPr>
      </w:pPr>
      <w:r>
        <w:rPr>
          <w:rFonts w:hint="eastAsia" w:ascii="Times New Roman" w:eastAsia="方正黑体_GBK"/>
          <w:color w:val="000000"/>
          <w:spacing w:val="-2"/>
          <w:sz w:val="24"/>
        </w:rPr>
        <w:t>1  总则</w:t>
      </w:r>
    </w:p>
    <w:p>
      <w:pPr>
        <w:spacing w:line="460" w:lineRule="exact"/>
        <w:ind w:firstLine="472" w:firstLineChars="200"/>
        <w:rPr>
          <w:rFonts w:hint="eastAsia" w:eastAsia="方正仿宋_GBK"/>
          <w:color w:val="000000"/>
          <w:spacing w:val="-2"/>
          <w:sz w:val="24"/>
        </w:rPr>
      </w:pP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1.0.1  </w:t>
      </w:r>
      <w:r>
        <w:rPr>
          <w:rFonts w:hint="eastAsia" w:eastAsia="方正仿宋_GBK"/>
          <w:color w:val="000000"/>
          <w:spacing w:val="-2"/>
          <w:sz w:val="24"/>
        </w:rPr>
        <w:t>为规范江苏省民用建筑方案设计中绿色设计的审查工作，明确审查内容，统一审查尺度，根据《江苏省绿色建筑发展条例》的规定，编制本要点。</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1.0.2  </w:t>
      </w:r>
      <w:r>
        <w:rPr>
          <w:rFonts w:hint="eastAsia" w:eastAsia="方正仿宋_GBK"/>
          <w:color w:val="000000"/>
          <w:spacing w:val="-2"/>
          <w:sz w:val="24"/>
        </w:rPr>
        <w:t>本要点适用于江苏省新建民用建筑设计方案中绿色设计的审查。</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1.0.3  </w:t>
      </w:r>
      <w:r>
        <w:rPr>
          <w:rFonts w:hint="eastAsia" w:eastAsia="方正仿宋_GBK"/>
          <w:color w:val="000000"/>
          <w:spacing w:val="-2"/>
          <w:sz w:val="24"/>
        </w:rPr>
        <w:t>本要点依据《江苏省绿色建筑设计标准》</w:t>
      </w:r>
      <w:r>
        <w:rPr>
          <w:rFonts w:eastAsia="方正仿宋_GBK"/>
          <w:color w:val="000000"/>
          <w:spacing w:val="-2"/>
          <w:sz w:val="24"/>
        </w:rPr>
        <w:t>DGJ32/J 173-2014</w:t>
      </w:r>
      <w:r>
        <w:rPr>
          <w:rFonts w:hint="eastAsia" w:eastAsia="方正仿宋_GBK"/>
          <w:color w:val="000000"/>
          <w:spacing w:val="-2"/>
          <w:sz w:val="24"/>
        </w:rPr>
        <w:t>确定审查条文，其中</w:t>
      </w:r>
      <w:r>
        <w:rPr>
          <w:rFonts w:eastAsia="方正仿宋_GBK"/>
          <w:color w:val="000000"/>
          <w:spacing w:val="-2"/>
          <w:sz w:val="24"/>
        </w:rPr>
        <w:t>1</w:t>
      </w:r>
      <w:r>
        <w:rPr>
          <w:rFonts w:hint="eastAsia" w:eastAsia="方正仿宋_GBK"/>
          <w:color w:val="000000"/>
          <w:spacing w:val="-2"/>
          <w:sz w:val="24"/>
        </w:rPr>
        <w:t>～</w:t>
      </w:r>
      <w:r>
        <w:rPr>
          <w:rFonts w:eastAsia="方正仿宋_GBK"/>
          <w:color w:val="000000"/>
          <w:spacing w:val="-2"/>
          <w:sz w:val="24"/>
        </w:rPr>
        <w:t>13</w:t>
      </w:r>
      <w:r>
        <w:rPr>
          <w:rFonts w:hint="eastAsia" w:eastAsia="方正仿宋_GBK"/>
          <w:color w:val="000000"/>
          <w:spacing w:val="-2"/>
          <w:sz w:val="24"/>
        </w:rPr>
        <w:t>条由城乡规划主管部门直接审查，</w:t>
      </w:r>
      <w:r>
        <w:rPr>
          <w:rFonts w:eastAsia="方正仿宋_GBK"/>
          <w:color w:val="000000"/>
          <w:spacing w:val="-2"/>
          <w:sz w:val="24"/>
        </w:rPr>
        <w:t>14</w:t>
      </w:r>
      <w:r>
        <w:rPr>
          <w:rFonts w:hint="eastAsia" w:eastAsia="方正仿宋_GBK"/>
          <w:color w:val="000000"/>
          <w:spacing w:val="-2"/>
          <w:sz w:val="24"/>
        </w:rPr>
        <w:t>～</w:t>
      </w:r>
      <w:r>
        <w:rPr>
          <w:rFonts w:eastAsia="方正仿宋_GBK"/>
          <w:color w:val="000000"/>
          <w:spacing w:val="-2"/>
          <w:sz w:val="24"/>
        </w:rPr>
        <w:t>20</w:t>
      </w:r>
      <w:r>
        <w:rPr>
          <w:rFonts w:hint="eastAsia" w:eastAsia="方正仿宋_GBK"/>
          <w:color w:val="000000"/>
          <w:spacing w:val="-2"/>
          <w:sz w:val="24"/>
        </w:rPr>
        <w:t>条由建设主管部门审查。</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1.0.4  </w:t>
      </w:r>
      <w:r>
        <w:rPr>
          <w:rFonts w:hint="eastAsia" w:eastAsia="方正仿宋_GBK"/>
          <w:color w:val="000000"/>
          <w:spacing w:val="-2"/>
          <w:sz w:val="24"/>
        </w:rPr>
        <w:t>绿色设计审查资料为：</w:t>
      </w:r>
      <w:r>
        <w:rPr>
          <w:rFonts w:hint="eastAsia" w:eastAsia="方正仿宋_GBK"/>
          <w:color w:val="000000"/>
          <w:spacing w:val="-2"/>
          <w:kern w:val="0"/>
          <w:sz w:val="24"/>
        </w:rPr>
        <w:t>绿色设计专项说明、</w:t>
      </w:r>
      <w:r>
        <w:rPr>
          <w:rFonts w:hint="eastAsia" w:eastAsia="方正仿宋_GBK"/>
          <w:color w:val="000000"/>
          <w:spacing w:val="-2"/>
          <w:sz w:val="24"/>
        </w:rPr>
        <w:t>场地区位图、建筑总平面图、平面图、立面图、剖面图、相关评价分析报告及有权部门的批文、必要的计算资料，并符合当地规划部门的其它要求。</w:t>
      </w:r>
    </w:p>
    <w:p>
      <w:pPr>
        <w:spacing w:line="460" w:lineRule="exact"/>
        <w:ind w:firstLine="472" w:firstLineChars="200"/>
        <w:rPr>
          <w:rFonts w:eastAsia="方正仿宋_GBK"/>
          <w:color w:val="000000"/>
          <w:spacing w:val="-2"/>
          <w:sz w:val="24"/>
        </w:rPr>
      </w:pPr>
      <w:r>
        <w:rPr>
          <w:rFonts w:eastAsia="方正仿宋_GBK"/>
          <w:color w:val="000000"/>
          <w:spacing w:val="-2"/>
          <w:sz w:val="24"/>
        </w:rPr>
        <w:t xml:space="preserve">1.0.5  </w:t>
      </w:r>
      <w:r>
        <w:rPr>
          <w:rFonts w:hint="eastAsia" w:eastAsia="方正仿宋_GBK"/>
          <w:color w:val="000000"/>
          <w:spacing w:val="-2"/>
          <w:sz w:val="24"/>
        </w:rPr>
        <w:t>建设单位应当按建筑单体填写江苏省民用建筑设计方案绿色设计报审表（在同一规划用地范围内功能相同、权属相同、建筑规模、技术体系相同的两个及以上单体建筑组成的群体，如住宅建筑群、办公建筑群可以整体填报）。审查通过的项目，由建设主管部门、规划主管部门分别填写绿色设计审查意见。</w:t>
      </w:r>
    </w:p>
    <w:p>
      <w:pPr>
        <w:spacing w:line="460" w:lineRule="exact"/>
        <w:jc w:val="center"/>
        <w:rPr>
          <w:rFonts w:ascii="Times New Roman" w:eastAsia="方正黑体_GBK"/>
          <w:color w:val="000000"/>
          <w:spacing w:val="-2"/>
          <w:sz w:val="24"/>
        </w:rPr>
      </w:pPr>
      <w:r>
        <w:rPr>
          <w:rFonts w:eastAsia="方正仿宋_GBK"/>
          <w:color w:val="000000"/>
          <w:spacing w:val="-2"/>
          <w:sz w:val="24"/>
        </w:rPr>
        <w:br w:type="page"/>
      </w:r>
      <w:r>
        <w:rPr>
          <w:rFonts w:hint="eastAsia" w:ascii="Times New Roman" w:eastAsia="方正黑体_GBK"/>
          <w:color w:val="000000"/>
          <w:spacing w:val="-2"/>
          <w:sz w:val="24"/>
        </w:rPr>
        <w:t>2  审查要点</w:t>
      </w:r>
    </w:p>
    <w:tbl>
      <w:tblPr>
        <w:tblStyle w:val="12"/>
        <w:tblW w:w="0" w:type="auto"/>
        <w:tblInd w:w="12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29"/>
        <w:gridCol w:w="4771"/>
        <w:gridCol w:w="334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trPr>
        <w:tc>
          <w:tcPr>
            <w:tcW w:w="629" w:type="dxa"/>
            <w:tcBorders>
              <w:top w:val="single" w:color="auto" w:sz="8" w:space="0"/>
              <w:left w:val="single" w:color="auto" w:sz="8" w:space="0"/>
              <w:bottom w:val="single" w:color="auto" w:sz="4" w:space="0"/>
              <w:right w:val="single" w:color="auto" w:sz="4" w:space="0"/>
            </w:tcBorders>
            <w:noWrap w:val="0"/>
            <w:vAlign w:val="center"/>
          </w:tcPr>
          <w:p>
            <w:pPr>
              <w:autoSpaceDE w:val="0"/>
              <w:autoSpaceDN w:val="0"/>
              <w:adjustRightInd w:val="0"/>
              <w:spacing w:line="320" w:lineRule="exact"/>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序</w:t>
            </w:r>
          </w:p>
          <w:p>
            <w:pPr>
              <w:autoSpaceDE w:val="0"/>
              <w:autoSpaceDN w:val="0"/>
              <w:adjustRightInd w:val="0"/>
              <w:spacing w:line="320" w:lineRule="exact"/>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号</w:t>
            </w:r>
          </w:p>
        </w:tc>
        <w:tc>
          <w:tcPr>
            <w:tcW w:w="4771" w:type="dxa"/>
            <w:tcBorders>
              <w:top w:val="single" w:color="auto" w:sz="8" w:space="0"/>
              <w:left w:val="single" w:color="auto" w:sz="4" w:space="0"/>
              <w:bottom w:val="single" w:color="auto" w:sz="4" w:space="0"/>
              <w:right w:val="single" w:color="auto" w:sz="4" w:space="0"/>
            </w:tcBorders>
            <w:noWrap w:val="0"/>
            <w:vAlign w:val="center"/>
          </w:tcPr>
          <w:p>
            <w:pPr>
              <w:autoSpaceDE w:val="0"/>
              <w:autoSpaceDN w:val="0"/>
              <w:adjustRightInd w:val="0"/>
              <w:spacing w:line="320" w:lineRule="exact"/>
              <w:jc w:val="center"/>
              <w:rPr>
                <w:rFonts w:ascii="Times New Roman" w:eastAsia="方正黑体_GBK"/>
                <w:color w:val="000000"/>
                <w:spacing w:val="-2"/>
                <w:szCs w:val="21"/>
              </w:rPr>
            </w:pPr>
            <w:r>
              <w:rPr>
                <w:rFonts w:hint="eastAsia" w:ascii="Times New Roman" w:eastAsia="方正黑体_GBK"/>
                <w:color w:val="000000"/>
                <w:spacing w:val="-2"/>
                <w:szCs w:val="21"/>
              </w:rPr>
              <w:t>审查的标准条文（款）</w:t>
            </w:r>
          </w:p>
        </w:tc>
        <w:tc>
          <w:tcPr>
            <w:tcW w:w="3340" w:type="dxa"/>
            <w:tcBorders>
              <w:top w:val="single" w:color="auto" w:sz="8" w:space="0"/>
              <w:left w:val="single" w:color="auto" w:sz="4" w:space="0"/>
              <w:bottom w:val="single" w:color="auto" w:sz="4" w:space="0"/>
              <w:right w:val="single" w:color="auto" w:sz="8" w:space="0"/>
            </w:tcBorders>
            <w:noWrap w:val="0"/>
            <w:vAlign w:val="center"/>
          </w:tcPr>
          <w:p>
            <w:pPr>
              <w:autoSpaceDE w:val="0"/>
              <w:autoSpaceDN w:val="0"/>
              <w:adjustRightInd w:val="0"/>
              <w:spacing w:line="320" w:lineRule="exact"/>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审查内容和要求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29" w:type="dxa"/>
            <w:tcBorders>
              <w:top w:val="single" w:color="auto" w:sz="4" w:space="0"/>
              <w:left w:val="single" w:color="auto" w:sz="8" w:space="0"/>
              <w:bottom w:val="single" w:color="auto" w:sz="4" w:space="0"/>
              <w:right w:val="single" w:color="auto" w:sz="4" w:space="0"/>
            </w:tcBorders>
            <w:noWrap w:val="0"/>
            <w:vAlign w:val="center"/>
          </w:tcPr>
          <w:p>
            <w:pPr>
              <w:spacing w:line="320" w:lineRule="exact"/>
              <w:jc w:val="center"/>
              <w:rPr>
                <w:rFonts w:eastAsia="方正仿宋_GBK"/>
                <w:color w:val="000000"/>
                <w:spacing w:val="-2"/>
                <w:szCs w:val="21"/>
              </w:rPr>
            </w:pPr>
            <w:r>
              <w:rPr>
                <w:rFonts w:eastAsia="方正仿宋_GBK"/>
                <w:color w:val="000000"/>
                <w:spacing w:val="-2"/>
                <w:szCs w:val="21"/>
              </w:rPr>
              <w:t>1</w:t>
            </w:r>
          </w:p>
        </w:tc>
        <w:tc>
          <w:tcPr>
            <w:tcW w:w="477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320" w:lineRule="exact"/>
              <w:rPr>
                <w:rFonts w:eastAsia="方正仿宋_GBK"/>
                <w:color w:val="000000"/>
                <w:spacing w:val="-2"/>
                <w:szCs w:val="21"/>
              </w:rPr>
            </w:pPr>
            <w:r>
              <w:rPr>
                <w:rFonts w:eastAsia="方正仿宋_GBK"/>
                <w:color w:val="000000"/>
                <w:spacing w:val="-2"/>
                <w:szCs w:val="21"/>
              </w:rPr>
              <w:t xml:space="preserve">5.1.1 </w:t>
            </w:r>
            <w:r>
              <w:rPr>
                <w:rFonts w:hint="eastAsia" w:eastAsia="方正仿宋_GBK"/>
                <w:color w:val="000000"/>
                <w:spacing w:val="-2"/>
                <w:szCs w:val="21"/>
              </w:rPr>
              <w:t>场地规划应符合江苏省各地城乡规划的法定要求，且符合各类保护区、文物古迹的保护和控制要求。</w:t>
            </w:r>
          </w:p>
        </w:tc>
        <w:tc>
          <w:tcPr>
            <w:tcW w:w="3340" w:type="dxa"/>
            <w:tcBorders>
              <w:top w:val="single" w:color="auto" w:sz="4" w:space="0"/>
              <w:left w:val="single" w:color="auto" w:sz="4" w:space="0"/>
              <w:bottom w:val="single" w:color="auto" w:sz="4" w:space="0"/>
              <w:right w:val="single" w:color="auto" w:sz="8" w:space="0"/>
            </w:tcBorders>
            <w:noWrap w:val="0"/>
            <w:vAlign w:val="top"/>
          </w:tcPr>
          <w:p>
            <w:pPr>
              <w:autoSpaceDE w:val="0"/>
              <w:autoSpaceDN w:val="0"/>
              <w:adjustRightInd w:val="0"/>
              <w:spacing w:line="320" w:lineRule="exact"/>
              <w:rPr>
                <w:rFonts w:eastAsia="方正仿宋_GBK"/>
                <w:color w:val="000000"/>
                <w:spacing w:val="-2"/>
                <w:kern w:val="0"/>
                <w:szCs w:val="21"/>
              </w:rPr>
            </w:pPr>
            <w:r>
              <w:rPr>
                <w:rFonts w:hint="eastAsia" w:eastAsia="方正仿宋_GBK"/>
                <w:color w:val="000000"/>
                <w:spacing w:val="-2"/>
                <w:kern w:val="0"/>
                <w:szCs w:val="21"/>
              </w:rPr>
              <w:t>审查设计方案是否满足控制性详细规划及规划条件的要求。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29" w:type="dxa"/>
            <w:tcBorders>
              <w:top w:val="single" w:color="auto" w:sz="4" w:space="0"/>
              <w:left w:val="single" w:color="auto" w:sz="8" w:space="0"/>
              <w:bottom w:val="single" w:color="auto" w:sz="4" w:space="0"/>
              <w:right w:val="single" w:color="auto" w:sz="4" w:space="0"/>
            </w:tcBorders>
            <w:noWrap w:val="0"/>
            <w:vAlign w:val="center"/>
          </w:tcPr>
          <w:p>
            <w:pPr>
              <w:spacing w:line="320" w:lineRule="exact"/>
              <w:jc w:val="center"/>
              <w:rPr>
                <w:rFonts w:eastAsia="方正仿宋_GBK"/>
                <w:color w:val="000000"/>
                <w:spacing w:val="-2"/>
                <w:szCs w:val="21"/>
              </w:rPr>
            </w:pPr>
            <w:r>
              <w:rPr>
                <w:rFonts w:eastAsia="方正仿宋_GBK"/>
                <w:color w:val="000000"/>
                <w:spacing w:val="-2"/>
                <w:szCs w:val="21"/>
              </w:rPr>
              <w:t>2</w:t>
            </w:r>
          </w:p>
        </w:tc>
        <w:tc>
          <w:tcPr>
            <w:tcW w:w="477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320" w:lineRule="exact"/>
              <w:rPr>
                <w:rFonts w:eastAsia="方正仿宋_GBK"/>
                <w:color w:val="000000"/>
                <w:spacing w:val="-2"/>
                <w:szCs w:val="21"/>
              </w:rPr>
            </w:pPr>
            <w:r>
              <w:rPr>
                <w:rFonts w:eastAsia="方正仿宋_GBK"/>
                <w:color w:val="000000"/>
                <w:spacing w:val="-2"/>
                <w:szCs w:val="21"/>
              </w:rPr>
              <w:t xml:space="preserve">5.1.3 </w:t>
            </w:r>
            <w:r>
              <w:rPr>
                <w:rFonts w:hint="eastAsia" w:eastAsia="方正仿宋_GBK"/>
                <w:color w:val="000000"/>
                <w:spacing w:val="-2"/>
                <w:szCs w:val="21"/>
              </w:rPr>
              <w:t>场地规划应提高场地空间利用率，节约集约利用土地，并符合下列规定：</w:t>
            </w:r>
          </w:p>
          <w:p>
            <w:pPr>
              <w:autoSpaceDE w:val="0"/>
              <w:autoSpaceDN w:val="0"/>
              <w:adjustRightInd w:val="0"/>
              <w:spacing w:line="320" w:lineRule="exact"/>
              <w:rPr>
                <w:rFonts w:eastAsia="方正仿宋_GBK"/>
                <w:color w:val="000000"/>
                <w:spacing w:val="-2"/>
                <w:szCs w:val="21"/>
              </w:rPr>
            </w:pPr>
            <w:r>
              <w:rPr>
                <w:rFonts w:hint="eastAsia" w:eastAsia="方正仿宋_GBK"/>
                <w:color w:val="000000"/>
                <w:spacing w:val="-2"/>
                <w:szCs w:val="21"/>
              </w:rPr>
              <w:t>公共建筑容积率应满足城乡规划要求且不宜小于</w:t>
            </w:r>
            <w:r>
              <w:rPr>
                <w:rFonts w:eastAsia="方正仿宋_GBK"/>
                <w:color w:val="000000"/>
                <w:spacing w:val="-2"/>
                <w:szCs w:val="21"/>
              </w:rPr>
              <w:t xml:space="preserve"> 1.0</w:t>
            </w:r>
            <w:r>
              <w:rPr>
                <w:rFonts w:hint="eastAsia" w:eastAsia="方正仿宋_GBK"/>
                <w:color w:val="000000"/>
                <w:spacing w:val="-2"/>
                <w:szCs w:val="21"/>
              </w:rPr>
              <w:t>。</w:t>
            </w:r>
          </w:p>
        </w:tc>
        <w:tc>
          <w:tcPr>
            <w:tcW w:w="3340" w:type="dxa"/>
            <w:tcBorders>
              <w:top w:val="single" w:color="auto" w:sz="4" w:space="0"/>
              <w:left w:val="single" w:color="auto" w:sz="4" w:space="0"/>
              <w:bottom w:val="single" w:color="auto" w:sz="4" w:space="0"/>
              <w:right w:val="single" w:color="auto" w:sz="8" w:space="0"/>
            </w:tcBorders>
            <w:noWrap w:val="0"/>
            <w:vAlign w:val="top"/>
          </w:tcPr>
          <w:p>
            <w:pPr>
              <w:autoSpaceDE w:val="0"/>
              <w:autoSpaceDN w:val="0"/>
              <w:adjustRightInd w:val="0"/>
              <w:spacing w:line="320" w:lineRule="exact"/>
              <w:rPr>
                <w:rFonts w:eastAsia="方正仿宋_GBK"/>
                <w:color w:val="000000"/>
                <w:spacing w:val="-2"/>
                <w:kern w:val="0"/>
                <w:szCs w:val="21"/>
              </w:rPr>
            </w:pPr>
            <w:r>
              <w:rPr>
                <w:rFonts w:hint="eastAsia" w:eastAsia="方正仿宋_GBK"/>
                <w:color w:val="000000"/>
                <w:spacing w:val="-2"/>
                <w:kern w:val="0"/>
                <w:szCs w:val="21"/>
              </w:rPr>
              <w:t>公共建筑的容积率不宜小于</w:t>
            </w:r>
            <w:r>
              <w:rPr>
                <w:rFonts w:eastAsia="方正仿宋_GBK"/>
                <w:color w:val="000000"/>
                <w:spacing w:val="-2"/>
                <w:kern w:val="0"/>
                <w:szCs w:val="21"/>
              </w:rPr>
              <w:t>1.0</w:t>
            </w:r>
            <w:r>
              <w:rPr>
                <w:rFonts w:hint="eastAsia" w:eastAsia="方正仿宋_GBK"/>
                <w:color w:val="000000"/>
                <w:spacing w:val="-2"/>
                <w:kern w:val="0"/>
                <w:szCs w:val="21"/>
              </w:rPr>
              <w:t>，不应低于</w:t>
            </w:r>
            <w:r>
              <w:rPr>
                <w:rFonts w:eastAsia="方正仿宋_GBK"/>
                <w:color w:val="000000"/>
                <w:spacing w:val="-2"/>
                <w:kern w:val="0"/>
                <w:szCs w:val="21"/>
              </w:rPr>
              <w:t>0.5</w:t>
            </w:r>
            <w:r>
              <w:rPr>
                <w:rFonts w:hint="eastAsia" w:eastAsia="方正仿宋_GBK"/>
                <w:color w:val="000000"/>
                <w:spacing w:val="-2"/>
                <w:kern w:val="0"/>
                <w:szCs w:val="21"/>
              </w:rPr>
              <w:t>；当</w:t>
            </w:r>
            <w:r>
              <w:rPr>
                <w:rFonts w:eastAsia="方正仿宋_GBK"/>
                <w:color w:val="000000"/>
                <w:spacing w:val="-2"/>
                <w:kern w:val="0"/>
                <w:szCs w:val="21"/>
              </w:rPr>
              <w:t>0.5</w:t>
            </w:r>
            <w:r>
              <w:rPr>
                <w:rFonts w:hint="eastAsia" w:ascii="Times New Roman" w:hAnsi="Times New Roman"/>
                <w:color w:val="000000"/>
                <w:spacing w:val="-2"/>
                <w:kern w:val="0"/>
                <w:szCs w:val="21"/>
              </w:rPr>
              <w:t>≤</w:t>
            </w:r>
            <w:r>
              <w:rPr>
                <w:rFonts w:hint="eastAsia" w:eastAsia="方正仿宋_GBK"/>
                <w:color w:val="000000"/>
                <w:spacing w:val="-2"/>
                <w:kern w:val="0"/>
                <w:szCs w:val="21"/>
              </w:rPr>
              <w:t>容积率＜</w:t>
            </w:r>
            <w:r>
              <w:rPr>
                <w:rFonts w:eastAsia="方正仿宋_GBK"/>
                <w:color w:val="000000"/>
                <w:spacing w:val="-2"/>
                <w:kern w:val="0"/>
                <w:szCs w:val="21"/>
              </w:rPr>
              <w:t>0.8</w:t>
            </w:r>
            <w:r>
              <w:rPr>
                <w:rFonts w:hint="eastAsia" w:eastAsia="方正仿宋_GBK"/>
                <w:color w:val="000000"/>
                <w:spacing w:val="-2"/>
                <w:kern w:val="0"/>
                <w:szCs w:val="21"/>
              </w:rPr>
              <w:t>时，场地的绿地率不应低于</w:t>
            </w:r>
            <w:r>
              <w:rPr>
                <w:rFonts w:eastAsia="方正仿宋_GBK"/>
                <w:color w:val="000000"/>
                <w:spacing w:val="-2"/>
                <w:kern w:val="0"/>
                <w:szCs w:val="21"/>
              </w:rPr>
              <w:t>35%</w:t>
            </w:r>
            <w:r>
              <w:rPr>
                <w:rFonts w:hint="eastAsia" w:eastAsia="方正仿宋_GBK"/>
                <w:color w:val="000000"/>
                <w:spacing w:val="-2"/>
                <w:kern w:val="0"/>
                <w:szCs w:val="21"/>
              </w:rPr>
              <w:t>。</w:t>
            </w:r>
          </w:p>
          <w:p>
            <w:pPr>
              <w:autoSpaceDE w:val="0"/>
              <w:autoSpaceDN w:val="0"/>
              <w:adjustRightInd w:val="0"/>
              <w:spacing w:line="320" w:lineRule="exact"/>
              <w:rPr>
                <w:rFonts w:eastAsia="方正仿宋_GBK"/>
                <w:color w:val="000000"/>
                <w:spacing w:val="-2"/>
                <w:kern w:val="0"/>
                <w:szCs w:val="21"/>
              </w:rPr>
            </w:pPr>
            <w:r>
              <w:rPr>
                <w:rFonts w:hint="eastAsia" w:eastAsia="方正仿宋_GBK"/>
                <w:color w:val="000000"/>
                <w:spacing w:val="-2"/>
                <w:kern w:val="0"/>
                <w:szCs w:val="21"/>
              </w:rPr>
              <w:t>历史街区以及环境风貌保护区等有特殊要求的项目，当不能满足上述要求时，审查项目容积率、绿地率是否满足控制性详细规划及规划条件的要求。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29" w:type="dxa"/>
            <w:tcBorders>
              <w:top w:val="single" w:color="auto" w:sz="4" w:space="0"/>
              <w:left w:val="single" w:color="auto" w:sz="8" w:space="0"/>
              <w:bottom w:val="single" w:color="auto" w:sz="4" w:space="0"/>
              <w:right w:val="single" w:color="auto" w:sz="4" w:space="0"/>
            </w:tcBorders>
            <w:noWrap w:val="0"/>
            <w:vAlign w:val="center"/>
          </w:tcPr>
          <w:p>
            <w:pPr>
              <w:spacing w:line="320" w:lineRule="exact"/>
              <w:jc w:val="center"/>
              <w:rPr>
                <w:rFonts w:eastAsia="方正仿宋_GBK"/>
                <w:color w:val="000000"/>
                <w:spacing w:val="-2"/>
                <w:szCs w:val="21"/>
              </w:rPr>
            </w:pPr>
            <w:r>
              <w:rPr>
                <w:rFonts w:eastAsia="方正仿宋_GBK"/>
                <w:color w:val="000000"/>
                <w:spacing w:val="-2"/>
                <w:szCs w:val="21"/>
              </w:rPr>
              <w:t>3</w:t>
            </w:r>
          </w:p>
        </w:tc>
        <w:tc>
          <w:tcPr>
            <w:tcW w:w="477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320" w:lineRule="exact"/>
              <w:rPr>
                <w:rFonts w:eastAsia="方正仿宋_GBK"/>
                <w:color w:val="000000"/>
                <w:spacing w:val="-2"/>
                <w:szCs w:val="21"/>
              </w:rPr>
            </w:pPr>
            <w:r>
              <w:rPr>
                <w:rFonts w:eastAsia="方正仿宋_GBK"/>
                <w:color w:val="000000"/>
                <w:spacing w:val="-2"/>
                <w:szCs w:val="21"/>
              </w:rPr>
              <w:t xml:space="preserve">5.1.4 </w:t>
            </w:r>
            <w:r>
              <w:rPr>
                <w:rFonts w:hint="eastAsia" w:eastAsia="方正仿宋_GBK"/>
                <w:color w:val="000000"/>
                <w:spacing w:val="-2"/>
                <w:szCs w:val="21"/>
              </w:rPr>
              <w:t>应合理配置公共服务设施。公共建筑资源及配套辅助设施设备应与周边区域共享和互补。</w:t>
            </w:r>
          </w:p>
        </w:tc>
        <w:tc>
          <w:tcPr>
            <w:tcW w:w="3340" w:type="dxa"/>
            <w:tcBorders>
              <w:top w:val="single" w:color="auto" w:sz="4" w:space="0"/>
              <w:left w:val="single" w:color="auto" w:sz="4" w:space="0"/>
              <w:bottom w:val="single" w:color="auto" w:sz="4" w:space="0"/>
              <w:right w:val="single" w:color="auto" w:sz="8" w:space="0"/>
            </w:tcBorders>
            <w:noWrap w:val="0"/>
            <w:vAlign w:val="top"/>
          </w:tcPr>
          <w:p>
            <w:pPr>
              <w:autoSpaceDE w:val="0"/>
              <w:autoSpaceDN w:val="0"/>
              <w:adjustRightInd w:val="0"/>
              <w:spacing w:line="320" w:lineRule="exact"/>
              <w:rPr>
                <w:rFonts w:eastAsia="方正仿宋_GBK"/>
                <w:color w:val="000000"/>
                <w:spacing w:val="-2"/>
                <w:kern w:val="0"/>
                <w:szCs w:val="21"/>
              </w:rPr>
            </w:pPr>
            <w:r>
              <w:rPr>
                <w:rFonts w:hint="eastAsia" w:eastAsia="方正仿宋_GBK"/>
                <w:color w:val="000000"/>
                <w:spacing w:val="-2"/>
                <w:kern w:val="0"/>
                <w:szCs w:val="21"/>
              </w:rPr>
              <w:t>审查设计方案的公共服务设施的配置是否符合控制性详细规划和规划条件的要求。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3" w:hRule="atLeast"/>
        </w:trPr>
        <w:tc>
          <w:tcPr>
            <w:tcW w:w="629" w:type="dxa"/>
            <w:tcBorders>
              <w:top w:val="single" w:color="auto" w:sz="4" w:space="0"/>
              <w:left w:val="single" w:color="auto" w:sz="8" w:space="0"/>
              <w:bottom w:val="single" w:color="auto" w:sz="4" w:space="0"/>
              <w:right w:val="single" w:color="auto" w:sz="4" w:space="0"/>
            </w:tcBorders>
            <w:noWrap w:val="0"/>
            <w:vAlign w:val="center"/>
          </w:tcPr>
          <w:p>
            <w:pPr>
              <w:spacing w:line="320" w:lineRule="exact"/>
              <w:jc w:val="center"/>
              <w:rPr>
                <w:rFonts w:eastAsia="方正仿宋_GBK"/>
                <w:color w:val="000000"/>
                <w:spacing w:val="-2"/>
                <w:szCs w:val="21"/>
              </w:rPr>
            </w:pPr>
            <w:r>
              <w:rPr>
                <w:rFonts w:eastAsia="方正仿宋_GBK"/>
                <w:color w:val="000000"/>
                <w:spacing w:val="-2"/>
                <w:szCs w:val="21"/>
              </w:rPr>
              <w:t>4</w:t>
            </w:r>
          </w:p>
        </w:tc>
        <w:tc>
          <w:tcPr>
            <w:tcW w:w="4771"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eastAsia="方正仿宋_GBK"/>
                <w:color w:val="000000"/>
                <w:spacing w:val="-2"/>
                <w:szCs w:val="21"/>
              </w:rPr>
            </w:pPr>
            <w:r>
              <w:rPr>
                <w:rFonts w:eastAsia="方正仿宋_GBK"/>
                <w:color w:val="000000"/>
                <w:spacing w:val="-2"/>
                <w:szCs w:val="21"/>
              </w:rPr>
              <w:t xml:space="preserve">5.2.3 </w:t>
            </w:r>
            <w:r>
              <w:rPr>
                <w:rFonts w:hint="eastAsia" w:eastAsia="方正仿宋_GBK"/>
                <w:color w:val="000000"/>
                <w:spacing w:val="-2"/>
                <w:szCs w:val="21"/>
              </w:rPr>
              <w:t>建筑场地应安全可靠，并符合下列规定：</w:t>
            </w:r>
          </w:p>
          <w:p>
            <w:pPr>
              <w:spacing w:line="320" w:lineRule="exact"/>
              <w:rPr>
                <w:rFonts w:eastAsia="方正仿宋_GBK"/>
                <w:color w:val="000000"/>
                <w:spacing w:val="-2"/>
                <w:szCs w:val="21"/>
              </w:rPr>
            </w:pPr>
            <w:r>
              <w:rPr>
                <w:rFonts w:eastAsia="方正仿宋_GBK"/>
                <w:color w:val="000000"/>
                <w:spacing w:val="-2"/>
                <w:szCs w:val="21"/>
              </w:rPr>
              <w:t xml:space="preserve">1 </w:t>
            </w:r>
            <w:r>
              <w:rPr>
                <w:rFonts w:hint="eastAsia" w:eastAsia="方正仿宋_GBK"/>
                <w:color w:val="000000"/>
                <w:spacing w:val="-2"/>
                <w:szCs w:val="21"/>
              </w:rPr>
              <w:t>避开可能产生洪水、泥石流、滑坡等自然灾害的地段。</w:t>
            </w:r>
            <w:r>
              <w:rPr>
                <w:rFonts w:eastAsia="方正仿宋_GBK"/>
                <w:color w:val="000000"/>
                <w:spacing w:val="-2"/>
                <w:szCs w:val="21"/>
              </w:rPr>
              <w:t xml:space="preserve"> </w:t>
            </w:r>
          </w:p>
          <w:p>
            <w:pPr>
              <w:spacing w:line="320" w:lineRule="exact"/>
              <w:rPr>
                <w:rFonts w:eastAsia="方正仿宋_GBK"/>
                <w:color w:val="000000"/>
                <w:spacing w:val="-2"/>
                <w:szCs w:val="21"/>
              </w:rPr>
            </w:pPr>
            <w:r>
              <w:rPr>
                <w:rFonts w:eastAsia="方正仿宋_GBK"/>
                <w:color w:val="000000"/>
                <w:spacing w:val="-2"/>
                <w:szCs w:val="21"/>
              </w:rPr>
              <w:t xml:space="preserve">2 </w:t>
            </w:r>
            <w:r>
              <w:rPr>
                <w:rFonts w:hint="eastAsia" w:eastAsia="方正仿宋_GBK"/>
                <w:color w:val="000000"/>
                <w:spacing w:val="-2"/>
                <w:szCs w:val="21"/>
              </w:rPr>
              <w:t>应避开地震时可能产生滑坡、崩坍、地陷、地裂、泥石流及地震断裂带上可能发生地表错位等对工程抗震危险的地段。</w:t>
            </w:r>
          </w:p>
          <w:p>
            <w:pPr>
              <w:spacing w:line="320" w:lineRule="exact"/>
              <w:rPr>
                <w:rFonts w:eastAsia="方正仿宋_GBK"/>
                <w:color w:val="000000"/>
                <w:spacing w:val="-2"/>
                <w:szCs w:val="21"/>
              </w:rPr>
            </w:pPr>
            <w:r>
              <w:rPr>
                <w:rFonts w:eastAsia="方正仿宋_GBK"/>
                <w:color w:val="000000"/>
                <w:spacing w:val="-2"/>
                <w:szCs w:val="21"/>
              </w:rPr>
              <w:t xml:space="preserve">3 </w:t>
            </w:r>
            <w:r>
              <w:rPr>
                <w:rFonts w:hint="eastAsia" w:eastAsia="方正仿宋_GBK"/>
                <w:color w:val="000000"/>
                <w:spacing w:val="-2"/>
                <w:szCs w:val="21"/>
              </w:rPr>
              <w:t>应避开容易产生风切变的地段。</w:t>
            </w:r>
          </w:p>
          <w:p>
            <w:pPr>
              <w:spacing w:line="320" w:lineRule="exact"/>
              <w:rPr>
                <w:rFonts w:eastAsia="方正仿宋_GBK"/>
                <w:color w:val="000000"/>
                <w:spacing w:val="-2"/>
                <w:szCs w:val="21"/>
              </w:rPr>
            </w:pPr>
            <w:r>
              <w:rPr>
                <w:rFonts w:eastAsia="方正仿宋_GBK"/>
                <w:color w:val="000000"/>
                <w:spacing w:val="-2"/>
                <w:szCs w:val="21"/>
              </w:rPr>
              <w:t xml:space="preserve">4 </w:t>
            </w:r>
            <w:r>
              <w:rPr>
                <w:rFonts w:hint="eastAsia" w:eastAsia="方正仿宋_GBK"/>
                <w:color w:val="000000"/>
                <w:spacing w:val="-2"/>
                <w:szCs w:val="21"/>
              </w:rPr>
              <w:t>在建筑场地范围内应无危险化学品等重大污染源，无易燃易爆危险源威胁及有害有毒物质危害。</w:t>
            </w:r>
          </w:p>
          <w:p>
            <w:pPr>
              <w:spacing w:line="320" w:lineRule="exact"/>
              <w:rPr>
                <w:rFonts w:eastAsia="方正仿宋_GBK"/>
                <w:color w:val="000000"/>
                <w:spacing w:val="-2"/>
                <w:szCs w:val="21"/>
              </w:rPr>
            </w:pPr>
            <w:r>
              <w:rPr>
                <w:rFonts w:eastAsia="方正仿宋_GBK"/>
                <w:color w:val="000000"/>
                <w:spacing w:val="-2"/>
                <w:szCs w:val="21"/>
              </w:rPr>
              <w:t xml:space="preserve">5 </w:t>
            </w:r>
            <w:r>
              <w:rPr>
                <w:rFonts w:hint="eastAsia" w:eastAsia="方正仿宋_GBK"/>
                <w:color w:val="000000"/>
                <w:spacing w:val="-2"/>
                <w:szCs w:val="21"/>
              </w:rPr>
              <w:t>当场地选择不能避开上述安全隐患时，应采取措施保证场地对可能产生的自然灾害或次生灾害有充分的抵御能力。</w:t>
            </w:r>
          </w:p>
          <w:p>
            <w:pPr>
              <w:pStyle w:val="27"/>
              <w:spacing w:line="320" w:lineRule="exact"/>
              <w:jc w:val="both"/>
              <w:rPr>
                <w:rFonts w:ascii="Times New Roman" w:eastAsia="方正仿宋_GBK" w:cs="Times New Roman"/>
                <w:spacing w:val="-2"/>
                <w:sz w:val="21"/>
                <w:szCs w:val="21"/>
              </w:rPr>
            </w:pPr>
            <w:r>
              <w:rPr>
                <w:rFonts w:ascii="Times New Roman" w:eastAsia="方正仿宋_GBK" w:cs="Times New Roman"/>
                <w:spacing w:val="-2"/>
                <w:sz w:val="21"/>
                <w:szCs w:val="21"/>
              </w:rPr>
              <w:t xml:space="preserve">6 </w:t>
            </w:r>
            <w:r>
              <w:rPr>
                <w:rFonts w:hint="eastAsia" w:ascii="Times New Roman" w:eastAsia="方正仿宋_GBK" w:cs="Times New Roman"/>
                <w:spacing w:val="-2"/>
                <w:sz w:val="21"/>
                <w:szCs w:val="21"/>
              </w:rPr>
              <w:t>利用裸岩、塌陷地、废窑坑等废弃场地时，应进行场地安全性评价，并应采取相应的防护措施。</w:t>
            </w:r>
          </w:p>
        </w:tc>
        <w:tc>
          <w:tcPr>
            <w:tcW w:w="3340" w:type="dxa"/>
            <w:tcBorders>
              <w:top w:val="single" w:color="auto" w:sz="4" w:space="0"/>
              <w:left w:val="single" w:color="auto" w:sz="4" w:space="0"/>
              <w:bottom w:val="single" w:color="auto" w:sz="4" w:space="0"/>
              <w:right w:val="single" w:color="auto" w:sz="8" w:space="0"/>
            </w:tcBorders>
            <w:noWrap w:val="0"/>
            <w:vAlign w:val="top"/>
          </w:tcPr>
          <w:p>
            <w:pPr>
              <w:autoSpaceDE w:val="0"/>
              <w:autoSpaceDN w:val="0"/>
              <w:adjustRightInd w:val="0"/>
              <w:spacing w:line="320" w:lineRule="exact"/>
              <w:rPr>
                <w:rFonts w:eastAsia="方正仿宋_GBK"/>
                <w:color w:val="000000"/>
                <w:spacing w:val="-2"/>
                <w:kern w:val="0"/>
                <w:szCs w:val="21"/>
              </w:rPr>
            </w:pPr>
            <w:r>
              <w:rPr>
                <w:rFonts w:hint="eastAsia" w:eastAsia="方正仿宋_GBK"/>
                <w:color w:val="000000"/>
                <w:spacing w:val="-2"/>
                <w:kern w:val="0"/>
                <w:szCs w:val="21"/>
              </w:rPr>
              <w:t>审查建筑场地选址是否符合城市总体规划、详细规划和规划条件的要求。</w:t>
            </w:r>
          </w:p>
          <w:p>
            <w:pPr>
              <w:autoSpaceDE w:val="0"/>
              <w:autoSpaceDN w:val="0"/>
              <w:adjustRightInd w:val="0"/>
              <w:spacing w:line="320" w:lineRule="exact"/>
              <w:rPr>
                <w:rFonts w:eastAsia="方正仿宋_GBK"/>
                <w:color w:val="000000"/>
                <w:spacing w:val="-2"/>
                <w:kern w:val="0"/>
                <w:szCs w:val="21"/>
              </w:rPr>
            </w:pPr>
            <w:r>
              <w:rPr>
                <w:rFonts w:hint="eastAsia" w:eastAsia="方正仿宋_GBK"/>
                <w:color w:val="000000"/>
                <w:spacing w:val="-2"/>
                <w:kern w:val="0"/>
                <w:szCs w:val="21"/>
              </w:rPr>
              <w:t>对位于可能发生地质灾害及有害物质污染地段的项目，建设单位应提供项目所在场地</w:t>
            </w:r>
            <w:r>
              <w:rPr>
                <w:rFonts w:hint="eastAsia" w:eastAsia="方正仿宋_GBK"/>
                <w:color w:val="000000"/>
                <w:spacing w:val="-2"/>
                <w:szCs w:val="21"/>
              </w:rPr>
              <w:t>安全性评价、环境影响评价文件及</w:t>
            </w:r>
            <w:r>
              <w:rPr>
                <w:rFonts w:hint="eastAsia" w:eastAsia="方正仿宋_GBK"/>
                <w:color w:val="000000"/>
                <w:spacing w:val="-2"/>
                <w:kern w:val="0"/>
                <w:szCs w:val="21"/>
              </w:rPr>
              <w:t>有权部门的批文。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29" w:type="dxa"/>
            <w:tcBorders>
              <w:top w:val="single" w:color="auto" w:sz="4" w:space="0"/>
              <w:left w:val="single" w:color="auto" w:sz="8" w:space="0"/>
              <w:bottom w:val="single" w:color="auto" w:sz="4" w:space="0"/>
              <w:right w:val="single" w:color="auto" w:sz="4" w:space="0"/>
            </w:tcBorders>
            <w:noWrap w:val="0"/>
            <w:vAlign w:val="center"/>
          </w:tcPr>
          <w:p>
            <w:pPr>
              <w:spacing w:line="320" w:lineRule="exact"/>
              <w:jc w:val="center"/>
              <w:rPr>
                <w:rFonts w:eastAsia="方正仿宋_GBK"/>
                <w:color w:val="000000"/>
                <w:spacing w:val="-2"/>
                <w:szCs w:val="21"/>
              </w:rPr>
            </w:pPr>
            <w:r>
              <w:rPr>
                <w:rFonts w:eastAsia="方正仿宋_GBK"/>
                <w:color w:val="000000"/>
                <w:spacing w:val="-2"/>
                <w:szCs w:val="21"/>
              </w:rPr>
              <w:t>5</w:t>
            </w:r>
          </w:p>
        </w:tc>
        <w:tc>
          <w:tcPr>
            <w:tcW w:w="477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320" w:lineRule="exact"/>
              <w:rPr>
                <w:rFonts w:eastAsia="方正仿宋_GBK"/>
                <w:color w:val="000000"/>
                <w:spacing w:val="-2"/>
                <w:szCs w:val="21"/>
              </w:rPr>
            </w:pPr>
            <w:r>
              <w:rPr>
                <w:rFonts w:eastAsia="方正仿宋_GBK"/>
                <w:color w:val="000000"/>
                <w:spacing w:val="-2"/>
                <w:szCs w:val="21"/>
              </w:rPr>
              <w:t xml:space="preserve">5.2.4 </w:t>
            </w:r>
            <w:r>
              <w:rPr>
                <w:rFonts w:hint="eastAsia" w:eastAsia="方正仿宋_GBK"/>
                <w:color w:val="000000"/>
                <w:spacing w:val="-2"/>
                <w:szCs w:val="21"/>
              </w:rPr>
              <w:t>场地周边电磁辐射和场地土壤氡浓度的测定及防护应符合有关标准的规定。</w:t>
            </w:r>
          </w:p>
        </w:tc>
        <w:tc>
          <w:tcPr>
            <w:tcW w:w="3340" w:type="dxa"/>
            <w:tcBorders>
              <w:top w:val="single" w:color="auto" w:sz="4" w:space="0"/>
              <w:left w:val="single" w:color="auto" w:sz="4" w:space="0"/>
              <w:bottom w:val="single" w:color="auto" w:sz="4" w:space="0"/>
              <w:right w:val="single" w:color="auto" w:sz="8" w:space="0"/>
            </w:tcBorders>
            <w:noWrap w:val="0"/>
            <w:vAlign w:val="top"/>
          </w:tcPr>
          <w:p>
            <w:pPr>
              <w:autoSpaceDE w:val="0"/>
              <w:autoSpaceDN w:val="0"/>
              <w:adjustRightInd w:val="0"/>
              <w:spacing w:line="320" w:lineRule="exact"/>
              <w:rPr>
                <w:rFonts w:eastAsia="方正仿宋_GBK"/>
                <w:color w:val="000000"/>
                <w:spacing w:val="-2"/>
                <w:kern w:val="0"/>
                <w:szCs w:val="21"/>
              </w:rPr>
            </w:pPr>
            <w:r>
              <w:rPr>
                <w:rFonts w:hint="eastAsia" w:eastAsia="方正仿宋_GBK"/>
                <w:color w:val="000000"/>
                <w:spacing w:val="-2"/>
                <w:kern w:val="0"/>
                <w:szCs w:val="21"/>
              </w:rPr>
              <w:t>场地规划应符合当地控制性详细规划和规划条件的要求。</w:t>
            </w:r>
          </w:p>
          <w:p>
            <w:pPr>
              <w:autoSpaceDE w:val="0"/>
              <w:autoSpaceDN w:val="0"/>
              <w:adjustRightInd w:val="0"/>
              <w:spacing w:line="320" w:lineRule="exact"/>
              <w:rPr>
                <w:rFonts w:eastAsia="方正仿宋_GBK"/>
                <w:color w:val="000000"/>
                <w:spacing w:val="-2"/>
                <w:szCs w:val="21"/>
              </w:rPr>
            </w:pPr>
            <w:r>
              <w:rPr>
                <w:rFonts w:hint="eastAsia" w:eastAsia="方正仿宋_GBK"/>
                <w:color w:val="000000"/>
                <w:spacing w:val="-2"/>
                <w:kern w:val="0"/>
                <w:szCs w:val="21"/>
              </w:rPr>
              <w:t>建设单位应提供项目所在场地的环境影响评价文件及有权部门的批文。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29" w:type="dxa"/>
            <w:tcBorders>
              <w:top w:val="single" w:color="auto" w:sz="4" w:space="0"/>
              <w:left w:val="single" w:color="auto" w:sz="8" w:space="0"/>
              <w:bottom w:val="single" w:color="auto" w:sz="4" w:space="0"/>
              <w:right w:val="single" w:color="auto" w:sz="4" w:space="0"/>
            </w:tcBorders>
            <w:noWrap w:val="0"/>
            <w:vAlign w:val="center"/>
          </w:tcPr>
          <w:p>
            <w:pPr>
              <w:spacing w:line="320" w:lineRule="exact"/>
              <w:jc w:val="center"/>
              <w:rPr>
                <w:rFonts w:eastAsia="方正仿宋_GBK"/>
                <w:color w:val="000000"/>
                <w:spacing w:val="-2"/>
                <w:szCs w:val="21"/>
              </w:rPr>
            </w:pPr>
            <w:r>
              <w:rPr>
                <w:rFonts w:eastAsia="方正仿宋_GBK"/>
                <w:color w:val="000000"/>
                <w:spacing w:val="-2"/>
                <w:szCs w:val="21"/>
              </w:rPr>
              <w:t>6</w:t>
            </w:r>
          </w:p>
        </w:tc>
        <w:tc>
          <w:tcPr>
            <w:tcW w:w="477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320" w:lineRule="exact"/>
              <w:rPr>
                <w:rFonts w:eastAsia="方正仿宋_GBK"/>
                <w:color w:val="000000"/>
                <w:spacing w:val="-2"/>
                <w:kern w:val="0"/>
                <w:szCs w:val="21"/>
              </w:rPr>
            </w:pPr>
            <w:r>
              <w:rPr>
                <w:rFonts w:eastAsia="方正仿宋_GBK"/>
                <w:color w:val="000000"/>
                <w:spacing w:val="-2"/>
                <w:szCs w:val="21"/>
              </w:rPr>
              <w:t xml:space="preserve">5.2.5 </w:t>
            </w:r>
            <w:r>
              <w:rPr>
                <w:rFonts w:hint="eastAsia" w:eastAsia="方正仿宋_GBK"/>
                <w:color w:val="000000"/>
                <w:spacing w:val="-2"/>
                <w:szCs w:val="21"/>
              </w:rPr>
              <w:t>场地内不应有排放超标的污染源。</w:t>
            </w:r>
          </w:p>
        </w:tc>
        <w:tc>
          <w:tcPr>
            <w:tcW w:w="3340" w:type="dxa"/>
            <w:tcBorders>
              <w:top w:val="single" w:color="auto" w:sz="4" w:space="0"/>
              <w:left w:val="single" w:color="auto" w:sz="4" w:space="0"/>
              <w:bottom w:val="single" w:color="auto" w:sz="4" w:space="0"/>
              <w:right w:val="single" w:color="auto" w:sz="8" w:space="0"/>
            </w:tcBorders>
            <w:noWrap w:val="0"/>
            <w:vAlign w:val="top"/>
          </w:tcPr>
          <w:p>
            <w:pPr>
              <w:autoSpaceDE w:val="0"/>
              <w:autoSpaceDN w:val="0"/>
              <w:adjustRightInd w:val="0"/>
              <w:spacing w:line="320" w:lineRule="exact"/>
              <w:rPr>
                <w:rFonts w:eastAsia="方正仿宋_GBK"/>
                <w:color w:val="000000"/>
                <w:spacing w:val="-2"/>
                <w:kern w:val="0"/>
                <w:szCs w:val="21"/>
              </w:rPr>
            </w:pPr>
            <w:r>
              <w:rPr>
                <w:rFonts w:hint="eastAsia" w:eastAsia="方正仿宋_GBK"/>
                <w:color w:val="000000"/>
                <w:spacing w:val="-2"/>
                <w:kern w:val="0"/>
                <w:szCs w:val="21"/>
              </w:rPr>
              <w:t>建设单位应提供项目所在场地的环境影响评价文件及有权部门的批文。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49" w:hRule="atLeast"/>
        </w:trPr>
        <w:tc>
          <w:tcPr>
            <w:tcW w:w="629" w:type="dxa"/>
            <w:tcBorders>
              <w:top w:val="single" w:color="auto" w:sz="4" w:space="0"/>
              <w:left w:val="single" w:color="auto" w:sz="8" w:space="0"/>
              <w:bottom w:val="single" w:color="auto" w:sz="4" w:space="0"/>
              <w:right w:val="single" w:color="auto" w:sz="4" w:space="0"/>
            </w:tcBorders>
            <w:noWrap w:val="0"/>
            <w:vAlign w:val="center"/>
          </w:tcPr>
          <w:p>
            <w:pPr>
              <w:spacing w:line="320" w:lineRule="exact"/>
              <w:jc w:val="center"/>
              <w:rPr>
                <w:rFonts w:eastAsia="方正仿宋_GBK"/>
                <w:color w:val="000000"/>
                <w:spacing w:val="-2"/>
                <w:szCs w:val="21"/>
              </w:rPr>
            </w:pPr>
            <w:r>
              <w:rPr>
                <w:rFonts w:eastAsia="方正仿宋_GBK"/>
                <w:color w:val="000000"/>
                <w:spacing w:val="-2"/>
                <w:szCs w:val="21"/>
              </w:rPr>
              <w:t>7</w:t>
            </w:r>
          </w:p>
        </w:tc>
        <w:tc>
          <w:tcPr>
            <w:tcW w:w="477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40" w:lineRule="exact"/>
              <w:rPr>
                <w:rFonts w:eastAsia="方正仿宋_GBK"/>
                <w:color w:val="000000"/>
                <w:spacing w:val="-2"/>
                <w:szCs w:val="21"/>
              </w:rPr>
            </w:pPr>
            <w:r>
              <w:rPr>
                <w:rFonts w:eastAsia="方正仿宋_GBK"/>
                <w:color w:val="000000"/>
                <w:spacing w:val="-2"/>
                <w:szCs w:val="21"/>
              </w:rPr>
              <w:t xml:space="preserve">5.4.2 </w:t>
            </w:r>
            <w:r>
              <w:rPr>
                <w:rFonts w:hint="eastAsia" w:eastAsia="方正仿宋_GBK"/>
                <w:color w:val="000000"/>
                <w:spacing w:val="-2"/>
                <w:szCs w:val="21"/>
              </w:rPr>
              <w:t>每套住宅应至少有一个居住空间能获得冬季日照，其日照标准应符合表</w:t>
            </w:r>
            <w:r>
              <w:rPr>
                <w:rFonts w:eastAsia="方正仿宋_GBK"/>
                <w:color w:val="000000"/>
                <w:spacing w:val="-2"/>
                <w:szCs w:val="21"/>
              </w:rPr>
              <w:t xml:space="preserve"> 5.4.2 </w:t>
            </w:r>
            <w:r>
              <w:rPr>
                <w:rFonts w:hint="eastAsia" w:eastAsia="方正仿宋_GBK"/>
                <w:color w:val="000000"/>
                <w:spacing w:val="-2"/>
                <w:szCs w:val="21"/>
              </w:rPr>
              <w:t>的规定。有日照要求的托儿所、幼儿园的主要生活用房，应满足冬至日不少于</w:t>
            </w:r>
            <w:r>
              <w:rPr>
                <w:rFonts w:eastAsia="方正仿宋_GBK"/>
                <w:color w:val="000000"/>
                <w:spacing w:val="-2"/>
                <w:szCs w:val="21"/>
              </w:rPr>
              <w:t xml:space="preserve"> 3 h</w:t>
            </w:r>
            <w:r>
              <w:rPr>
                <w:rFonts w:hint="eastAsia" w:eastAsia="方正仿宋_GBK"/>
                <w:color w:val="000000"/>
                <w:spacing w:val="-2"/>
                <w:szCs w:val="21"/>
              </w:rPr>
              <w:t>的日照标准，老年人住宅的卧室、起居室，医院、疗养院半数以上的病房和疗养室，中小学教室，应满足冬至日不小于</w:t>
            </w:r>
            <w:r>
              <w:rPr>
                <w:rFonts w:eastAsia="方正仿宋_GBK"/>
                <w:color w:val="000000"/>
                <w:spacing w:val="-2"/>
                <w:szCs w:val="21"/>
              </w:rPr>
              <w:t xml:space="preserve"> 2 h</w:t>
            </w:r>
            <w:r>
              <w:rPr>
                <w:rFonts w:hint="eastAsia" w:eastAsia="方正仿宋_GBK"/>
                <w:color w:val="000000"/>
                <w:spacing w:val="-2"/>
                <w:szCs w:val="21"/>
              </w:rPr>
              <w:t>的日照标准。</w:t>
            </w:r>
          </w:p>
          <w:p>
            <w:pPr>
              <w:autoSpaceDE w:val="0"/>
              <w:autoSpaceDN w:val="0"/>
              <w:adjustRightInd w:val="0"/>
              <w:spacing w:line="240" w:lineRule="exact"/>
              <w:rPr>
                <w:rFonts w:eastAsia="方正仿宋_GBK"/>
                <w:color w:val="000000"/>
                <w:spacing w:val="-2"/>
                <w:szCs w:val="21"/>
              </w:rPr>
            </w:pPr>
            <w:r>
              <w:rPr>
                <w:rFonts w:hint="eastAsia" w:eastAsia="方正仿宋_GBK"/>
                <w:color w:val="000000"/>
                <w:spacing w:val="-2"/>
                <w:szCs w:val="21"/>
              </w:rPr>
              <w:t>表</w:t>
            </w:r>
            <w:r>
              <w:rPr>
                <w:rFonts w:eastAsia="方正仿宋_GBK"/>
                <w:color w:val="000000"/>
                <w:spacing w:val="-2"/>
                <w:szCs w:val="21"/>
              </w:rPr>
              <w:t xml:space="preserve">5.4.2 </w:t>
            </w:r>
            <w:r>
              <w:rPr>
                <w:rFonts w:hint="eastAsia" w:eastAsia="方正仿宋_GBK"/>
                <w:color w:val="000000"/>
                <w:spacing w:val="-2"/>
                <w:szCs w:val="21"/>
              </w:rPr>
              <w:t>住宅建筑日照标准</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0"/>
              <w:gridCol w:w="1417"/>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0" w:type="dxa"/>
                  <w:vMerge w:val="restar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240" w:lineRule="exact"/>
                    <w:rPr>
                      <w:rFonts w:eastAsia="方正仿宋_GBK"/>
                      <w:color w:val="000000"/>
                      <w:spacing w:val="-2"/>
                      <w:sz w:val="18"/>
                      <w:szCs w:val="18"/>
                    </w:rPr>
                  </w:pPr>
                  <w:r>
                    <w:rPr>
                      <w:rFonts w:hint="eastAsia" w:eastAsia="方正仿宋_GBK"/>
                      <w:color w:val="000000"/>
                      <w:spacing w:val="-2"/>
                      <w:sz w:val="18"/>
                      <w:szCs w:val="18"/>
                    </w:rPr>
                    <w:t>建筑气候区划</w:t>
                  </w:r>
                </w:p>
              </w:tc>
              <w:tc>
                <w:tcPr>
                  <w:tcW w:w="3037" w:type="dxa"/>
                  <w:gridSpan w:val="2"/>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240" w:lineRule="exact"/>
                    <w:rPr>
                      <w:rFonts w:eastAsia="方正仿宋_GBK"/>
                      <w:color w:val="000000"/>
                      <w:spacing w:val="-2"/>
                      <w:sz w:val="18"/>
                      <w:szCs w:val="18"/>
                    </w:rPr>
                  </w:pPr>
                  <w:r>
                    <w:rPr>
                      <w:rFonts w:hint="eastAsia" w:eastAsia="方正仿宋_GBK"/>
                      <w:color w:val="000000"/>
                      <w:spacing w:val="-2"/>
                      <w:sz w:val="18"/>
                      <w:szCs w:val="18"/>
                    </w:rPr>
                    <w:t>中国建筑气候区划图江苏省划为</w:t>
                  </w:r>
                  <w:r>
                    <w:rPr>
                      <w:rFonts w:hint="eastAsia" w:ascii="Times New Roman" w:hAnsi="Times New Roman" w:cs="宋体"/>
                      <w:color w:val="000000"/>
                      <w:spacing w:val="-2"/>
                      <w:sz w:val="18"/>
                      <w:szCs w:val="18"/>
                    </w:rPr>
                    <w:t>Ⅱ</w:t>
                  </w:r>
                  <w:r>
                    <w:rPr>
                      <w:rFonts w:hint="eastAsia" w:eastAsia="方正仿宋_GBK"/>
                      <w:color w:val="000000"/>
                      <w:spacing w:val="-2"/>
                      <w:sz w:val="18"/>
                      <w:szCs w:val="18"/>
                    </w:rPr>
                    <w:t>、</w:t>
                  </w:r>
                  <w:r>
                    <w:rPr>
                      <w:rFonts w:hint="eastAsia" w:ascii="Times New Roman" w:hAnsi="Times New Roman" w:cs="宋体"/>
                      <w:color w:val="000000"/>
                      <w:spacing w:val="-2"/>
                      <w:sz w:val="18"/>
                      <w:szCs w:val="18"/>
                    </w:rPr>
                    <w:t>Ⅲ</w:t>
                  </w:r>
                  <w:r>
                    <w:rPr>
                      <w:rFonts w:hint="eastAsia" w:eastAsia="方正仿宋_GBK"/>
                      <w:color w:val="000000"/>
                      <w:spacing w:val="-2"/>
                      <w:sz w:val="18"/>
                      <w:szCs w:val="18"/>
                    </w:rPr>
                    <w:t>类气候区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 w:val="18"/>
                      <w:szCs w:val="18"/>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240" w:lineRule="exact"/>
                    <w:rPr>
                      <w:rFonts w:eastAsia="方正仿宋_GBK"/>
                      <w:color w:val="000000"/>
                      <w:spacing w:val="-2"/>
                      <w:sz w:val="18"/>
                      <w:szCs w:val="18"/>
                    </w:rPr>
                  </w:pPr>
                  <w:r>
                    <w:rPr>
                      <w:rFonts w:hint="eastAsia" w:eastAsia="方正仿宋_GBK"/>
                      <w:color w:val="000000"/>
                      <w:spacing w:val="-2"/>
                      <w:sz w:val="18"/>
                      <w:szCs w:val="18"/>
                    </w:rPr>
                    <w:t>大城市</w:t>
                  </w:r>
                </w:p>
              </w:tc>
              <w:tc>
                <w:tcPr>
                  <w:tcW w:w="162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240" w:lineRule="exact"/>
                    <w:rPr>
                      <w:rFonts w:eastAsia="方正仿宋_GBK"/>
                      <w:color w:val="000000"/>
                      <w:spacing w:val="-2"/>
                      <w:sz w:val="18"/>
                      <w:szCs w:val="18"/>
                    </w:rPr>
                  </w:pPr>
                  <w:r>
                    <w:rPr>
                      <w:rFonts w:hint="eastAsia" w:eastAsia="方正仿宋_GBK"/>
                      <w:color w:val="000000"/>
                      <w:spacing w:val="-2"/>
                      <w:sz w:val="18"/>
                      <w:szCs w:val="18"/>
                    </w:rPr>
                    <w:t>中小城市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240" w:lineRule="exact"/>
                    <w:rPr>
                      <w:rFonts w:eastAsia="方正仿宋_GBK"/>
                      <w:color w:val="000000"/>
                      <w:spacing w:val="-2"/>
                      <w:sz w:val="18"/>
                      <w:szCs w:val="18"/>
                    </w:rPr>
                  </w:pPr>
                  <w:r>
                    <w:rPr>
                      <w:rFonts w:hint="eastAsia" w:eastAsia="方正仿宋_GBK"/>
                      <w:color w:val="000000"/>
                      <w:spacing w:val="-2"/>
                      <w:sz w:val="18"/>
                      <w:szCs w:val="18"/>
                    </w:rPr>
                    <w:t>日照标准日</w:t>
                  </w:r>
                </w:p>
              </w:tc>
              <w:tc>
                <w:tcPr>
                  <w:tcW w:w="3037" w:type="dxa"/>
                  <w:gridSpan w:val="2"/>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240" w:lineRule="exact"/>
                    <w:rPr>
                      <w:rFonts w:eastAsia="方正仿宋_GBK"/>
                      <w:color w:val="000000"/>
                      <w:spacing w:val="-2"/>
                      <w:sz w:val="18"/>
                      <w:szCs w:val="18"/>
                    </w:rPr>
                  </w:pPr>
                  <w:r>
                    <w:rPr>
                      <w:rFonts w:hint="eastAsia" w:eastAsia="方正仿宋_GBK"/>
                      <w:color w:val="000000"/>
                      <w:spacing w:val="-2"/>
                      <w:sz w:val="18"/>
                      <w:szCs w:val="18"/>
                    </w:rPr>
                    <w:t>大寒日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240" w:lineRule="exact"/>
                    <w:rPr>
                      <w:rFonts w:eastAsia="方正仿宋_GBK"/>
                      <w:color w:val="000000"/>
                      <w:spacing w:val="-2"/>
                      <w:sz w:val="18"/>
                      <w:szCs w:val="18"/>
                    </w:rPr>
                  </w:pPr>
                  <w:r>
                    <w:rPr>
                      <w:rFonts w:hint="eastAsia" w:eastAsia="方正仿宋_GBK"/>
                      <w:color w:val="000000"/>
                      <w:spacing w:val="-2"/>
                      <w:sz w:val="18"/>
                      <w:szCs w:val="18"/>
                    </w:rPr>
                    <w:t>日照时数（</w:t>
                  </w:r>
                  <w:r>
                    <w:rPr>
                      <w:rFonts w:eastAsia="方正仿宋_GBK"/>
                      <w:color w:val="000000"/>
                      <w:spacing w:val="-2"/>
                      <w:sz w:val="18"/>
                      <w:szCs w:val="18"/>
                    </w:rPr>
                    <w:t>h</w:t>
                  </w:r>
                  <w:r>
                    <w:rPr>
                      <w:rFonts w:hint="eastAsia" w:eastAsia="方正仿宋_GBK"/>
                      <w:color w:val="000000"/>
                      <w:spacing w:val="-2"/>
                      <w:sz w:val="18"/>
                      <w:szCs w:val="18"/>
                    </w:rPr>
                    <w:t>）</w:t>
                  </w:r>
                </w:p>
              </w:tc>
              <w:tc>
                <w:tcPr>
                  <w:tcW w:w="1417"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240" w:lineRule="exact"/>
                    <w:rPr>
                      <w:rFonts w:eastAsia="方正仿宋_GBK"/>
                      <w:color w:val="000000"/>
                      <w:spacing w:val="-2"/>
                      <w:sz w:val="18"/>
                      <w:szCs w:val="18"/>
                    </w:rPr>
                  </w:pPr>
                  <w:r>
                    <w:rPr>
                      <w:rFonts w:hint="eastAsia" w:ascii="Times New Roman" w:hAnsi="Times New Roman"/>
                      <w:color w:val="000000"/>
                      <w:spacing w:val="-2"/>
                      <w:sz w:val="18"/>
                      <w:szCs w:val="18"/>
                    </w:rPr>
                    <w:t>≥</w:t>
                  </w:r>
                  <w:r>
                    <w:rPr>
                      <w:rFonts w:eastAsia="方正仿宋_GBK"/>
                      <w:color w:val="000000"/>
                      <w:spacing w:val="-2"/>
                      <w:sz w:val="18"/>
                      <w:szCs w:val="18"/>
                    </w:rPr>
                    <w:t>2</w:t>
                  </w:r>
                </w:p>
              </w:tc>
              <w:tc>
                <w:tcPr>
                  <w:tcW w:w="162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240" w:lineRule="exact"/>
                    <w:rPr>
                      <w:rFonts w:eastAsia="方正仿宋_GBK"/>
                      <w:color w:val="000000"/>
                      <w:spacing w:val="-2"/>
                      <w:sz w:val="18"/>
                      <w:szCs w:val="18"/>
                    </w:rPr>
                  </w:pPr>
                  <w:r>
                    <w:rPr>
                      <w:rFonts w:hint="eastAsia" w:ascii="Times New Roman" w:hAnsi="Times New Roman"/>
                      <w:color w:val="000000"/>
                      <w:spacing w:val="-2"/>
                      <w:sz w:val="18"/>
                      <w:szCs w:val="18"/>
                    </w:rPr>
                    <w:t>≥</w:t>
                  </w:r>
                  <w:r>
                    <w:rPr>
                      <w:rFonts w:eastAsia="方正仿宋_GBK"/>
                      <w:color w:val="000000"/>
                      <w:spacing w:val="-2"/>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240" w:lineRule="exact"/>
                    <w:rPr>
                      <w:rFonts w:eastAsia="方正仿宋_GBK"/>
                      <w:color w:val="000000"/>
                      <w:spacing w:val="-2"/>
                      <w:sz w:val="18"/>
                      <w:szCs w:val="18"/>
                    </w:rPr>
                  </w:pPr>
                  <w:r>
                    <w:rPr>
                      <w:rFonts w:hint="eastAsia" w:eastAsia="方正仿宋_GBK"/>
                      <w:color w:val="000000"/>
                      <w:spacing w:val="-2"/>
                      <w:sz w:val="18"/>
                      <w:szCs w:val="18"/>
                    </w:rPr>
                    <w:t>有效日照时间带（</w:t>
                  </w:r>
                  <w:r>
                    <w:rPr>
                      <w:rFonts w:eastAsia="方正仿宋_GBK"/>
                      <w:color w:val="000000"/>
                      <w:spacing w:val="-2"/>
                      <w:sz w:val="18"/>
                      <w:szCs w:val="18"/>
                    </w:rPr>
                    <w:t>h</w:t>
                  </w:r>
                  <w:r>
                    <w:rPr>
                      <w:rFonts w:hint="eastAsia" w:eastAsia="方正仿宋_GBK"/>
                      <w:color w:val="000000"/>
                      <w:spacing w:val="-2"/>
                      <w:sz w:val="18"/>
                      <w:szCs w:val="18"/>
                    </w:rPr>
                    <w:t>）</w:t>
                  </w:r>
                </w:p>
              </w:tc>
              <w:tc>
                <w:tcPr>
                  <w:tcW w:w="3037" w:type="dxa"/>
                  <w:gridSpan w:val="2"/>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240" w:lineRule="exact"/>
                    <w:rPr>
                      <w:rFonts w:eastAsia="方正仿宋_GBK"/>
                      <w:color w:val="000000"/>
                      <w:spacing w:val="-2"/>
                      <w:sz w:val="18"/>
                      <w:szCs w:val="18"/>
                    </w:rPr>
                  </w:pPr>
                  <w:r>
                    <w:rPr>
                      <w:rFonts w:eastAsia="方正仿宋_GBK"/>
                      <w:color w:val="000000"/>
                      <w:spacing w:val="-2"/>
                      <w:sz w:val="18"/>
                      <w:szCs w:val="18"/>
                    </w:rPr>
                    <w:t>8</w:t>
                  </w:r>
                  <w:r>
                    <w:rPr>
                      <w:rFonts w:hint="eastAsia" w:eastAsia="方正仿宋_GBK"/>
                      <w:color w:val="000000"/>
                      <w:spacing w:val="-2"/>
                      <w:sz w:val="18"/>
                      <w:szCs w:val="18"/>
                    </w:rPr>
                    <w:t>～</w:t>
                  </w:r>
                  <w:r>
                    <w:rPr>
                      <w:rFonts w:eastAsia="方正仿宋_GBK"/>
                      <w:color w:val="000000"/>
                      <w:spacing w:val="-2"/>
                      <w:sz w:val="18"/>
                      <w:szCs w:val="18"/>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84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240" w:lineRule="exact"/>
                    <w:rPr>
                      <w:rFonts w:eastAsia="方正仿宋_GBK"/>
                      <w:color w:val="000000"/>
                      <w:spacing w:val="-2"/>
                      <w:sz w:val="18"/>
                      <w:szCs w:val="18"/>
                    </w:rPr>
                  </w:pPr>
                  <w:r>
                    <w:rPr>
                      <w:rFonts w:hint="eastAsia" w:eastAsia="方正仿宋_GBK"/>
                      <w:color w:val="000000"/>
                      <w:spacing w:val="-2"/>
                      <w:sz w:val="18"/>
                      <w:szCs w:val="18"/>
                    </w:rPr>
                    <w:t>日照时间计算起点</w:t>
                  </w:r>
                </w:p>
              </w:tc>
              <w:tc>
                <w:tcPr>
                  <w:tcW w:w="3037" w:type="dxa"/>
                  <w:gridSpan w:val="2"/>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240" w:lineRule="exact"/>
                    <w:rPr>
                      <w:rFonts w:eastAsia="方正仿宋_GBK"/>
                      <w:color w:val="000000"/>
                      <w:spacing w:val="-2"/>
                      <w:sz w:val="18"/>
                      <w:szCs w:val="18"/>
                    </w:rPr>
                  </w:pPr>
                  <w:r>
                    <w:rPr>
                      <w:rFonts w:hint="eastAsia" w:eastAsia="方正仿宋_GBK"/>
                      <w:color w:val="000000"/>
                      <w:spacing w:val="-2"/>
                      <w:sz w:val="18"/>
                      <w:szCs w:val="18"/>
                    </w:rPr>
                    <w:t>底层窗台面（指室内地面</w:t>
                  </w:r>
                  <w:r>
                    <w:rPr>
                      <w:rFonts w:eastAsia="方正仿宋_GBK"/>
                      <w:color w:val="000000"/>
                      <w:spacing w:val="-2"/>
                      <w:sz w:val="18"/>
                      <w:szCs w:val="18"/>
                    </w:rPr>
                    <w:t>0.9m</w:t>
                  </w:r>
                  <w:r>
                    <w:rPr>
                      <w:rFonts w:hint="eastAsia" w:eastAsia="方正仿宋_GBK"/>
                      <w:color w:val="000000"/>
                      <w:spacing w:val="-2"/>
                      <w:sz w:val="18"/>
                      <w:szCs w:val="18"/>
                    </w:rPr>
                    <w:t>高的外墙位置）</w:t>
                  </w:r>
                </w:p>
              </w:tc>
            </w:tr>
          </w:tbl>
          <w:p>
            <w:pPr>
              <w:pStyle w:val="27"/>
              <w:spacing w:line="240" w:lineRule="exact"/>
              <w:rPr>
                <w:rFonts w:ascii="Times New Roman" w:eastAsia="方正仿宋_GBK" w:cs="Times New Roman"/>
                <w:spacing w:val="-2"/>
                <w:sz w:val="21"/>
                <w:szCs w:val="21"/>
              </w:rPr>
            </w:pPr>
          </w:p>
        </w:tc>
        <w:tc>
          <w:tcPr>
            <w:tcW w:w="3340" w:type="dxa"/>
            <w:tcBorders>
              <w:top w:val="single" w:color="auto" w:sz="4" w:space="0"/>
              <w:left w:val="single" w:color="auto" w:sz="4" w:space="0"/>
              <w:bottom w:val="single" w:color="auto" w:sz="4" w:space="0"/>
              <w:right w:val="single" w:color="auto" w:sz="8" w:space="0"/>
            </w:tcBorders>
            <w:noWrap w:val="0"/>
            <w:vAlign w:val="top"/>
          </w:tcPr>
          <w:p>
            <w:pPr>
              <w:autoSpaceDE w:val="0"/>
              <w:autoSpaceDN w:val="0"/>
              <w:adjustRightInd w:val="0"/>
              <w:spacing w:line="320" w:lineRule="exact"/>
              <w:rPr>
                <w:rFonts w:eastAsia="方正仿宋_GBK"/>
                <w:color w:val="000000"/>
                <w:spacing w:val="-2"/>
                <w:kern w:val="0"/>
                <w:szCs w:val="21"/>
              </w:rPr>
            </w:pPr>
            <w:r>
              <w:rPr>
                <w:rFonts w:hint="eastAsia" w:eastAsia="方正仿宋_GBK"/>
                <w:color w:val="000000"/>
                <w:spacing w:val="-2"/>
                <w:kern w:val="0"/>
                <w:szCs w:val="21"/>
              </w:rPr>
              <w:t>审查建筑间距、日照分析报告是否满足本条及《江苏省城市规划管理技术规定》（</w:t>
            </w:r>
            <w:r>
              <w:rPr>
                <w:rFonts w:eastAsia="方正仿宋_GBK"/>
                <w:color w:val="000000"/>
                <w:spacing w:val="-2"/>
                <w:kern w:val="0"/>
                <w:szCs w:val="21"/>
              </w:rPr>
              <w:t>2011</w:t>
            </w:r>
            <w:r>
              <w:rPr>
                <w:rFonts w:hint="eastAsia" w:eastAsia="方正仿宋_GBK"/>
                <w:color w:val="000000"/>
                <w:spacing w:val="-2"/>
                <w:kern w:val="0"/>
                <w:szCs w:val="21"/>
              </w:rPr>
              <w:t>年版）的要求。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4" w:hRule="atLeast"/>
        </w:trPr>
        <w:tc>
          <w:tcPr>
            <w:tcW w:w="629" w:type="dxa"/>
            <w:tcBorders>
              <w:top w:val="single" w:color="auto" w:sz="4" w:space="0"/>
              <w:left w:val="single" w:color="auto" w:sz="8" w:space="0"/>
              <w:bottom w:val="single" w:color="auto" w:sz="4" w:space="0"/>
              <w:right w:val="single" w:color="auto" w:sz="4" w:space="0"/>
            </w:tcBorders>
            <w:noWrap w:val="0"/>
            <w:vAlign w:val="center"/>
          </w:tcPr>
          <w:p>
            <w:pPr>
              <w:spacing w:line="320" w:lineRule="exact"/>
              <w:jc w:val="center"/>
              <w:rPr>
                <w:rFonts w:eastAsia="方正仿宋_GBK"/>
                <w:color w:val="000000"/>
                <w:spacing w:val="-2"/>
                <w:szCs w:val="21"/>
              </w:rPr>
            </w:pPr>
            <w:r>
              <w:rPr>
                <w:rFonts w:eastAsia="方正仿宋_GBK"/>
                <w:color w:val="000000"/>
                <w:spacing w:val="-2"/>
                <w:szCs w:val="21"/>
              </w:rPr>
              <w:t>8</w:t>
            </w:r>
          </w:p>
        </w:tc>
        <w:tc>
          <w:tcPr>
            <w:tcW w:w="477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40" w:lineRule="exact"/>
              <w:rPr>
                <w:rFonts w:eastAsia="方正仿宋_GBK"/>
                <w:color w:val="000000"/>
                <w:spacing w:val="-2"/>
                <w:szCs w:val="21"/>
              </w:rPr>
            </w:pPr>
            <w:r>
              <w:rPr>
                <w:rFonts w:eastAsia="方正仿宋_GBK"/>
                <w:color w:val="000000"/>
                <w:spacing w:val="-2"/>
                <w:szCs w:val="21"/>
              </w:rPr>
              <w:t xml:space="preserve">5.4.3 </w:t>
            </w:r>
            <w:r>
              <w:rPr>
                <w:rFonts w:hint="eastAsia" w:eastAsia="方正仿宋_GBK"/>
                <w:color w:val="000000"/>
                <w:spacing w:val="-2"/>
                <w:szCs w:val="21"/>
              </w:rPr>
              <w:t>场地光环境设计应符合下列规定：</w:t>
            </w:r>
          </w:p>
          <w:p>
            <w:pPr>
              <w:autoSpaceDE w:val="0"/>
              <w:autoSpaceDN w:val="0"/>
              <w:adjustRightInd w:val="0"/>
              <w:spacing w:line="240" w:lineRule="exact"/>
              <w:rPr>
                <w:rFonts w:eastAsia="方正仿宋_GBK"/>
                <w:color w:val="000000"/>
                <w:spacing w:val="-2"/>
                <w:szCs w:val="21"/>
              </w:rPr>
            </w:pPr>
            <w:r>
              <w:rPr>
                <w:rFonts w:eastAsia="方正仿宋_GBK"/>
                <w:color w:val="000000"/>
                <w:spacing w:val="-2"/>
                <w:szCs w:val="21"/>
              </w:rPr>
              <w:t xml:space="preserve">1 </w:t>
            </w:r>
            <w:r>
              <w:rPr>
                <w:rFonts w:hint="eastAsia" w:eastAsia="方正仿宋_GBK"/>
                <w:color w:val="000000"/>
                <w:spacing w:val="-2"/>
                <w:szCs w:val="21"/>
              </w:rPr>
              <w:t>建筑朝向、布局应有利于获得良好的日照，住宅建筑主要朝向宜为南偏西</w:t>
            </w:r>
            <w:r>
              <w:rPr>
                <w:rFonts w:eastAsia="方正仿宋_GBK"/>
                <w:color w:val="000000"/>
                <w:spacing w:val="-2"/>
                <w:szCs w:val="21"/>
              </w:rPr>
              <w:t xml:space="preserve"> 5°</w:t>
            </w:r>
            <w:r>
              <w:rPr>
                <w:rFonts w:hint="eastAsia" w:eastAsia="方正仿宋_GBK"/>
                <w:color w:val="000000"/>
                <w:spacing w:val="-2"/>
                <w:szCs w:val="21"/>
              </w:rPr>
              <w:t>至南偏东</w:t>
            </w:r>
            <w:r>
              <w:rPr>
                <w:rFonts w:eastAsia="方正仿宋_GBK"/>
                <w:color w:val="000000"/>
                <w:spacing w:val="-2"/>
                <w:szCs w:val="21"/>
              </w:rPr>
              <w:t xml:space="preserve"> 30°</w:t>
            </w:r>
            <w:r>
              <w:rPr>
                <w:rFonts w:hint="eastAsia" w:eastAsia="方正仿宋_GBK"/>
                <w:color w:val="000000"/>
                <w:spacing w:val="-2"/>
                <w:szCs w:val="21"/>
              </w:rPr>
              <w:t>之</w:t>
            </w:r>
            <w:r>
              <w:rPr>
                <w:rFonts w:eastAsia="方正仿宋_GBK"/>
                <w:color w:val="000000"/>
                <w:spacing w:val="-2"/>
                <w:szCs w:val="21"/>
              </w:rPr>
              <w:t xml:space="preserve"> </w:t>
            </w:r>
            <w:r>
              <w:rPr>
                <w:rFonts w:hint="eastAsia" w:eastAsia="方正仿宋_GBK"/>
                <w:color w:val="000000"/>
                <w:spacing w:val="-2"/>
                <w:szCs w:val="21"/>
              </w:rPr>
              <w:t>间，并通过日照模拟分析确定最优朝向。</w:t>
            </w:r>
          </w:p>
          <w:p>
            <w:pPr>
              <w:pStyle w:val="27"/>
              <w:spacing w:line="240" w:lineRule="exact"/>
              <w:jc w:val="both"/>
              <w:rPr>
                <w:rFonts w:ascii="Times New Roman" w:eastAsia="方正仿宋_GBK" w:cs="Times New Roman"/>
                <w:strike/>
                <w:spacing w:val="-2"/>
                <w:sz w:val="21"/>
                <w:szCs w:val="21"/>
              </w:rPr>
            </w:pPr>
            <w:r>
              <w:rPr>
                <w:rFonts w:ascii="Times New Roman" w:eastAsia="方正仿宋_GBK" w:cs="Times New Roman"/>
                <w:spacing w:val="-2"/>
                <w:sz w:val="21"/>
                <w:szCs w:val="21"/>
              </w:rPr>
              <w:t xml:space="preserve">2 </w:t>
            </w:r>
            <w:r>
              <w:rPr>
                <w:rFonts w:hint="eastAsia" w:ascii="Times New Roman" w:eastAsia="方正仿宋_GBK" w:cs="Times New Roman"/>
                <w:spacing w:val="-2"/>
                <w:sz w:val="21"/>
                <w:szCs w:val="21"/>
              </w:rPr>
              <w:t>当现状住宅和有日照要求的公共建筑的日照时间低于本规程第</w:t>
            </w:r>
            <w:r>
              <w:rPr>
                <w:rFonts w:ascii="Times New Roman" w:eastAsia="方正仿宋_GBK" w:cs="Times New Roman"/>
                <w:spacing w:val="-2"/>
                <w:sz w:val="21"/>
                <w:szCs w:val="21"/>
              </w:rPr>
              <w:t xml:space="preserve"> 5.4.2 </w:t>
            </w:r>
            <w:r>
              <w:rPr>
                <w:rFonts w:hint="eastAsia" w:ascii="Times New Roman" w:eastAsia="方正仿宋_GBK" w:cs="Times New Roman"/>
                <w:spacing w:val="-2"/>
                <w:sz w:val="21"/>
                <w:szCs w:val="21"/>
              </w:rPr>
              <w:t>条的规定时，周边用地的开发建设不应减少其现有的日照时间。</w:t>
            </w:r>
          </w:p>
        </w:tc>
        <w:tc>
          <w:tcPr>
            <w:tcW w:w="3340" w:type="dxa"/>
            <w:tcBorders>
              <w:top w:val="single" w:color="auto" w:sz="4" w:space="0"/>
              <w:left w:val="single" w:color="auto" w:sz="4" w:space="0"/>
              <w:bottom w:val="single" w:color="auto" w:sz="4" w:space="0"/>
              <w:right w:val="single" w:color="auto" w:sz="8" w:space="0"/>
            </w:tcBorders>
            <w:noWrap w:val="0"/>
            <w:vAlign w:val="top"/>
          </w:tcPr>
          <w:p>
            <w:pPr>
              <w:autoSpaceDE w:val="0"/>
              <w:autoSpaceDN w:val="0"/>
              <w:adjustRightInd w:val="0"/>
              <w:spacing w:line="320" w:lineRule="exact"/>
              <w:rPr>
                <w:rFonts w:eastAsia="方正仿宋_GBK"/>
                <w:color w:val="000000"/>
                <w:spacing w:val="-2"/>
                <w:szCs w:val="21"/>
              </w:rPr>
            </w:pPr>
            <w:r>
              <w:rPr>
                <w:rFonts w:hint="eastAsia" w:eastAsia="方正仿宋_GBK"/>
                <w:color w:val="000000"/>
                <w:spacing w:val="-2"/>
                <w:szCs w:val="21"/>
              </w:rPr>
              <w:t>审查建筑布局的合理性。</w:t>
            </w:r>
          </w:p>
          <w:p>
            <w:pPr>
              <w:autoSpaceDE w:val="0"/>
              <w:autoSpaceDN w:val="0"/>
              <w:adjustRightInd w:val="0"/>
              <w:spacing w:line="320" w:lineRule="exact"/>
              <w:rPr>
                <w:rFonts w:eastAsia="方正仿宋_GBK"/>
                <w:color w:val="000000"/>
                <w:spacing w:val="-2"/>
                <w:kern w:val="0"/>
                <w:szCs w:val="21"/>
              </w:rPr>
            </w:pPr>
            <w:r>
              <w:rPr>
                <w:rFonts w:hint="eastAsia" w:eastAsia="方正仿宋_GBK"/>
                <w:color w:val="000000"/>
                <w:spacing w:val="-2"/>
                <w:szCs w:val="21"/>
              </w:rPr>
              <w:t>建筑间距、日照分析报告应满足本条第</w:t>
            </w:r>
            <w:r>
              <w:rPr>
                <w:rFonts w:eastAsia="方正仿宋_GBK"/>
                <w:color w:val="000000"/>
                <w:spacing w:val="-2"/>
                <w:szCs w:val="21"/>
              </w:rPr>
              <w:t>2</w:t>
            </w:r>
            <w:r>
              <w:rPr>
                <w:rFonts w:hint="eastAsia" w:eastAsia="方正仿宋_GBK"/>
                <w:color w:val="000000"/>
                <w:spacing w:val="-2"/>
                <w:szCs w:val="21"/>
              </w:rPr>
              <w:t>款及《江苏省城市规划管理技术规定》（</w:t>
            </w:r>
            <w:r>
              <w:rPr>
                <w:rFonts w:eastAsia="方正仿宋_GBK"/>
                <w:color w:val="000000"/>
                <w:spacing w:val="-2"/>
                <w:szCs w:val="21"/>
              </w:rPr>
              <w:t>2011</w:t>
            </w:r>
            <w:r>
              <w:rPr>
                <w:rFonts w:hint="eastAsia" w:eastAsia="方正仿宋_GBK"/>
                <w:color w:val="000000"/>
                <w:spacing w:val="-2"/>
                <w:szCs w:val="21"/>
              </w:rPr>
              <w:t>年版）的要求。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29" w:type="dxa"/>
            <w:tcBorders>
              <w:top w:val="single" w:color="auto" w:sz="4" w:space="0"/>
              <w:left w:val="single" w:color="auto" w:sz="8" w:space="0"/>
              <w:bottom w:val="single" w:color="auto" w:sz="4" w:space="0"/>
              <w:right w:val="single" w:color="auto" w:sz="4" w:space="0"/>
            </w:tcBorders>
            <w:noWrap w:val="0"/>
            <w:vAlign w:val="center"/>
          </w:tcPr>
          <w:p>
            <w:pPr>
              <w:spacing w:line="320" w:lineRule="exact"/>
              <w:jc w:val="center"/>
              <w:rPr>
                <w:rFonts w:eastAsia="方正仿宋_GBK"/>
                <w:color w:val="000000"/>
                <w:spacing w:val="-2"/>
                <w:szCs w:val="21"/>
              </w:rPr>
            </w:pPr>
            <w:r>
              <w:rPr>
                <w:rFonts w:eastAsia="方正仿宋_GBK"/>
                <w:color w:val="000000"/>
                <w:spacing w:val="-2"/>
                <w:szCs w:val="21"/>
              </w:rPr>
              <w:t>9</w:t>
            </w:r>
          </w:p>
        </w:tc>
        <w:tc>
          <w:tcPr>
            <w:tcW w:w="477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40" w:lineRule="exact"/>
              <w:rPr>
                <w:rFonts w:eastAsia="方正仿宋_GBK"/>
                <w:color w:val="000000"/>
                <w:spacing w:val="-2"/>
                <w:szCs w:val="21"/>
              </w:rPr>
            </w:pPr>
            <w:r>
              <w:rPr>
                <w:rFonts w:eastAsia="方正仿宋_GBK"/>
                <w:color w:val="000000"/>
                <w:spacing w:val="-2"/>
                <w:szCs w:val="21"/>
              </w:rPr>
              <w:t xml:space="preserve">5.4.5 </w:t>
            </w:r>
            <w:r>
              <w:rPr>
                <w:rFonts w:hint="eastAsia" w:eastAsia="方正仿宋_GBK"/>
                <w:color w:val="000000"/>
                <w:spacing w:val="-2"/>
                <w:szCs w:val="21"/>
              </w:rPr>
              <w:t>场地声环境设计应符合《声环境质量标准》</w:t>
            </w:r>
            <w:r>
              <w:rPr>
                <w:rFonts w:eastAsia="方正仿宋_GBK"/>
                <w:color w:val="000000"/>
                <w:spacing w:val="-2"/>
                <w:szCs w:val="21"/>
              </w:rPr>
              <w:t>GB 3096</w:t>
            </w:r>
            <w:r>
              <w:rPr>
                <w:rFonts w:hint="eastAsia" w:eastAsia="方正仿宋_GBK"/>
                <w:color w:val="000000"/>
                <w:spacing w:val="-2"/>
                <w:szCs w:val="21"/>
              </w:rPr>
              <w:t>的规定，并符合下列规定：</w:t>
            </w:r>
          </w:p>
          <w:p>
            <w:pPr>
              <w:autoSpaceDE w:val="0"/>
              <w:autoSpaceDN w:val="0"/>
              <w:adjustRightInd w:val="0"/>
              <w:spacing w:line="240" w:lineRule="exact"/>
              <w:rPr>
                <w:rFonts w:eastAsia="方正仿宋_GBK"/>
                <w:color w:val="000000"/>
                <w:spacing w:val="-2"/>
                <w:szCs w:val="21"/>
              </w:rPr>
            </w:pPr>
            <w:r>
              <w:rPr>
                <w:rFonts w:eastAsia="方正仿宋_GBK"/>
                <w:color w:val="000000"/>
                <w:spacing w:val="-2"/>
                <w:szCs w:val="21"/>
              </w:rPr>
              <w:t xml:space="preserve">1 </w:t>
            </w:r>
            <w:r>
              <w:rPr>
                <w:rFonts w:hint="eastAsia" w:eastAsia="方正仿宋_GBK"/>
                <w:color w:val="000000"/>
                <w:spacing w:val="-2"/>
                <w:szCs w:val="21"/>
              </w:rPr>
              <w:t>场地内的固定噪声源应采取隔声、降噪措施进行有效控制。</w:t>
            </w:r>
          </w:p>
          <w:p>
            <w:pPr>
              <w:autoSpaceDE w:val="0"/>
              <w:autoSpaceDN w:val="0"/>
              <w:adjustRightInd w:val="0"/>
              <w:spacing w:line="240" w:lineRule="exact"/>
              <w:rPr>
                <w:rFonts w:eastAsia="方正仿宋_GBK"/>
                <w:color w:val="000000"/>
                <w:spacing w:val="-2"/>
                <w:szCs w:val="21"/>
              </w:rPr>
            </w:pPr>
            <w:r>
              <w:rPr>
                <w:rFonts w:eastAsia="方正仿宋_GBK"/>
                <w:color w:val="000000"/>
                <w:spacing w:val="-2"/>
                <w:szCs w:val="21"/>
              </w:rPr>
              <w:t xml:space="preserve">2 </w:t>
            </w:r>
            <w:r>
              <w:rPr>
                <w:rFonts w:hint="eastAsia" w:eastAsia="方正仿宋_GBK"/>
                <w:color w:val="000000"/>
                <w:spacing w:val="-2"/>
                <w:szCs w:val="21"/>
              </w:rPr>
              <w:t>当建筑与高速公路或快速道路相邻时，宜进行噪声专项分析，除采取声屏障或降噪路面等措施外，还应符合相关规范的退让要求。</w:t>
            </w:r>
          </w:p>
          <w:p>
            <w:pPr>
              <w:pStyle w:val="27"/>
              <w:spacing w:line="240" w:lineRule="exact"/>
              <w:jc w:val="both"/>
              <w:rPr>
                <w:rFonts w:ascii="Times New Roman" w:eastAsia="方正仿宋_GBK" w:cs="Times New Roman"/>
                <w:spacing w:val="-2"/>
                <w:sz w:val="21"/>
                <w:szCs w:val="21"/>
              </w:rPr>
            </w:pPr>
            <w:r>
              <w:rPr>
                <w:rFonts w:ascii="Times New Roman" w:eastAsia="方正仿宋_GBK" w:cs="Times New Roman"/>
                <w:spacing w:val="-2"/>
                <w:sz w:val="21"/>
                <w:szCs w:val="21"/>
              </w:rPr>
              <w:t xml:space="preserve">3 </w:t>
            </w:r>
            <w:r>
              <w:rPr>
                <w:rFonts w:hint="eastAsia" w:ascii="Times New Roman" w:eastAsia="方正仿宋_GBK" w:cs="Times New Roman"/>
                <w:spacing w:val="-2"/>
                <w:sz w:val="21"/>
                <w:szCs w:val="21"/>
              </w:rPr>
              <w:t>声环境要求高的建筑，宜布置在主要噪声源主导风向的上风侧。</w:t>
            </w:r>
          </w:p>
          <w:p>
            <w:pPr>
              <w:pStyle w:val="27"/>
              <w:spacing w:line="240" w:lineRule="exact"/>
              <w:jc w:val="both"/>
              <w:rPr>
                <w:rFonts w:ascii="Times New Roman" w:eastAsia="方正仿宋_GBK" w:cs="Times New Roman"/>
                <w:spacing w:val="-2"/>
                <w:sz w:val="21"/>
                <w:szCs w:val="21"/>
              </w:rPr>
            </w:pPr>
          </w:p>
        </w:tc>
        <w:tc>
          <w:tcPr>
            <w:tcW w:w="3340" w:type="dxa"/>
            <w:tcBorders>
              <w:top w:val="single" w:color="auto" w:sz="4" w:space="0"/>
              <w:left w:val="single" w:color="auto" w:sz="4" w:space="0"/>
              <w:bottom w:val="single" w:color="auto" w:sz="4" w:space="0"/>
              <w:right w:val="single" w:color="auto" w:sz="8" w:space="0"/>
            </w:tcBorders>
            <w:noWrap w:val="0"/>
            <w:vAlign w:val="top"/>
          </w:tcPr>
          <w:p>
            <w:pPr>
              <w:autoSpaceDE w:val="0"/>
              <w:autoSpaceDN w:val="0"/>
              <w:adjustRightInd w:val="0"/>
              <w:spacing w:line="320" w:lineRule="exact"/>
              <w:rPr>
                <w:rFonts w:eastAsia="方正仿宋_GBK"/>
                <w:color w:val="000000"/>
                <w:spacing w:val="-2"/>
                <w:szCs w:val="21"/>
              </w:rPr>
            </w:pPr>
            <w:r>
              <w:rPr>
                <w:rFonts w:hint="eastAsia" w:eastAsia="方正仿宋_GBK"/>
                <w:color w:val="000000"/>
                <w:spacing w:val="-2"/>
                <w:szCs w:val="21"/>
              </w:rPr>
              <w:t>审查建筑布局的合理性。</w:t>
            </w:r>
          </w:p>
          <w:p>
            <w:pPr>
              <w:autoSpaceDE w:val="0"/>
              <w:autoSpaceDN w:val="0"/>
              <w:adjustRightInd w:val="0"/>
              <w:spacing w:line="320" w:lineRule="exact"/>
              <w:rPr>
                <w:rFonts w:eastAsia="方正仿宋_GBK"/>
                <w:color w:val="000000"/>
                <w:spacing w:val="-2"/>
                <w:kern w:val="0"/>
                <w:szCs w:val="21"/>
              </w:rPr>
            </w:pPr>
            <w:r>
              <w:rPr>
                <w:rFonts w:hint="eastAsia" w:eastAsia="方正仿宋_GBK"/>
                <w:color w:val="000000"/>
                <w:spacing w:val="-2"/>
                <w:kern w:val="0"/>
                <w:szCs w:val="21"/>
              </w:rPr>
              <w:t>建设单位应提供项目所在场地的环境影响评价文件及有权部门的批文。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29" w:type="dxa"/>
            <w:tcBorders>
              <w:top w:val="single" w:color="auto" w:sz="4" w:space="0"/>
              <w:left w:val="single" w:color="auto" w:sz="8" w:space="0"/>
              <w:bottom w:val="single" w:color="auto" w:sz="4" w:space="0"/>
              <w:right w:val="single" w:color="auto" w:sz="4" w:space="0"/>
            </w:tcBorders>
            <w:noWrap w:val="0"/>
            <w:vAlign w:val="center"/>
          </w:tcPr>
          <w:p>
            <w:pPr>
              <w:spacing w:line="320" w:lineRule="exact"/>
              <w:jc w:val="center"/>
              <w:rPr>
                <w:rFonts w:eastAsia="方正仿宋_GBK"/>
                <w:color w:val="000000"/>
                <w:spacing w:val="-2"/>
                <w:szCs w:val="21"/>
              </w:rPr>
            </w:pPr>
            <w:r>
              <w:rPr>
                <w:rFonts w:eastAsia="方正仿宋_GBK"/>
                <w:color w:val="000000"/>
                <w:spacing w:val="-2"/>
                <w:szCs w:val="21"/>
              </w:rPr>
              <w:t>10</w:t>
            </w:r>
          </w:p>
        </w:tc>
        <w:tc>
          <w:tcPr>
            <w:tcW w:w="477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40" w:lineRule="exact"/>
              <w:rPr>
                <w:rFonts w:eastAsia="方正仿宋_GBK"/>
                <w:color w:val="000000"/>
                <w:spacing w:val="-2"/>
                <w:szCs w:val="21"/>
              </w:rPr>
            </w:pPr>
            <w:r>
              <w:rPr>
                <w:rFonts w:eastAsia="方正仿宋_GBK"/>
                <w:color w:val="000000"/>
                <w:spacing w:val="-2"/>
                <w:szCs w:val="21"/>
              </w:rPr>
              <w:t xml:space="preserve">5.4.7 </w:t>
            </w:r>
            <w:r>
              <w:rPr>
                <w:rFonts w:hint="eastAsia" w:eastAsia="方正仿宋_GBK"/>
                <w:color w:val="000000"/>
                <w:spacing w:val="-2"/>
                <w:szCs w:val="21"/>
              </w:rPr>
              <w:t>场地的交通设计应符合下列规定：</w:t>
            </w:r>
          </w:p>
          <w:p>
            <w:pPr>
              <w:autoSpaceDE w:val="0"/>
              <w:autoSpaceDN w:val="0"/>
              <w:adjustRightInd w:val="0"/>
              <w:spacing w:line="240" w:lineRule="exact"/>
              <w:rPr>
                <w:rFonts w:eastAsia="方正仿宋_GBK"/>
                <w:color w:val="000000"/>
                <w:spacing w:val="-2"/>
                <w:szCs w:val="21"/>
              </w:rPr>
            </w:pPr>
            <w:r>
              <w:rPr>
                <w:rFonts w:eastAsia="方正仿宋_GBK"/>
                <w:color w:val="000000"/>
                <w:spacing w:val="-2"/>
                <w:szCs w:val="21"/>
              </w:rPr>
              <w:t xml:space="preserve">1 </w:t>
            </w:r>
            <w:r>
              <w:rPr>
                <w:rFonts w:hint="eastAsia" w:eastAsia="方正仿宋_GBK"/>
                <w:color w:val="000000"/>
                <w:spacing w:val="-2"/>
                <w:szCs w:val="21"/>
              </w:rPr>
              <w:t>场地出入口应与周边现有交通网络对接</w:t>
            </w:r>
          </w:p>
          <w:p>
            <w:pPr>
              <w:pStyle w:val="27"/>
              <w:spacing w:line="240" w:lineRule="exact"/>
              <w:jc w:val="both"/>
              <w:rPr>
                <w:rFonts w:ascii="Times New Roman" w:eastAsia="方正仿宋_GBK" w:cs="Times New Roman"/>
                <w:spacing w:val="-2"/>
                <w:sz w:val="21"/>
                <w:szCs w:val="21"/>
              </w:rPr>
            </w:pPr>
            <w:r>
              <w:rPr>
                <w:rFonts w:ascii="Times New Roman" w:eastAsia="方正仿宋_GBK" w:cs="Times New Roman"/>
                <w:spacing w:val="-2"/>
                <w:sz w:val="21"/>
                <w:szCs w:val="21"/>
              </w:rPr>
              <w:t xml:space="preserve">3 </w:t>
            </w:r>
            <w:r>
              <w:rPr>
                <w:rFonts w:hint="eastAsia" w:ascii="Times New Roman" w:eastAsia="方正仿宋_GBK" w:cs="Times New Roman"/>
                <w:spacing w:val="-2"/>
                <w:sz w:val="21"/>
                <w:szCs w:val="21"/>
              </w:rPr>
              <w:t>机动车停车应满足节约用地的要求，优先采用地下停车和立体停车的方式，地面停车比例不宜大于</w:t>
            </w:r>
            <w:r>
              <w:rPr>
                <w:rFonts w:ascii="Times New Roman" w:eastAsia="方正仿宋_GBK" w:cs="Times New Roman"/>
                <w:spacing w:val="-2"/>
                <w:sz w:val="21"/>
                <w:szCs w:val="21"/>
              </w:rPr>
              <w:t>20%</w:t>
            </w:r>
            <w:r>
              <w:rPr>
                <w:rFonts w:hint="eastAsia" w:ascii="Times New Roman" w:eastAsia="方正仿宋_GBK" w:cs="Times New Roman"/>
                <w:spacing w:val="-2"/>
                <w:sz w:val="21"/>
                <w:szCs w:val="21"/>
              </w:rPr>
              <w:t>，平面布置宜相对集中，减少车辆通行对行人的影响，并在临近建筑主入口处设置残疾人专用停车位。</w:t>
            </w:r>
          </w:p>
          <w:p>
            <w:pPr>
              <w:pStyle w:val="27"/>
              <w:spacing w:line="240" w:lineRule="exact"/>
              <w:jc w:val="both"/>
              <w:rPr>
                <w:rFonts w:ascii="Times New Roman" w:eastAsia="方正仿宋_GBK" w:cs="Times New Roman"/>
                <w:spacing w:val="-2"/>
                <w:sz w:val="21"/>
                <w:szCs w:val="21"/>
              </w:rPr>
            </w:pPr>
          </w:p>
        </w:tc>
        <w:tc>
          <w:tcPr>
            <w:tcW w:w="3340" w:type="dxa"/>
            <w:tcBorders>
              <w:top w:val="single" w:color="auto" w:sz="4" w:space="0"/>
              <w:left w:val="single" w:color="auto" w:sz="4" w:space="0"/>
              <w:bottom w:val="single" w:color="auto" w:sz="4" w:space="0"/>
              <w:right w:val="single" w:color="auto" w:sz="8" w:space="0"/>
            </w:tcBorders>
            <w:noWrap w:val="0"/>
            <w:vAlign w:val="top"/>
          </w:tcPr>
          <w:p>
            <w:pPr>
              <w:autoSpaceDE w:val="0"/>
              <w:autoSpaceDN w:val="0"/>
              <w:adjustRightInd w:val="0"/>
              <w:spacing w:line="320" w:lineRule="exact"/>
              <w:rPr>
                <w:rFonts w:eastAsia="方正仿宋_GBK"/>
                <w:color w:val="000000"/>
                <w:spacing w:val="-2"/>
                <w:kern w:val="0"/>
                <w:szCs w:val="21"/>
              </w:rPr>
            </w:pPr>
            <w:r>
              <w:rPr>
                <w:rFonts w:hint="eastAsia" w:eastAsia="方正仿宋_GBK"/>
                <w:color w:val="000000"/>
                <w:spacing w:val="-2"/>
                <w:kern w:val="0"/>
                <w:szCs w:val="21"/>
              </w:rPr>
              <w:t>审查场地出入口、道路和停车设施的设置是否满足控制性详细规划及规划条件的要求。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29" w:type="dxa"/>
            <w:tcBorders>
              <w:top w:val="single" w:color="auto" w:sz="4" w:space="0"/>
              <w:left w:val="single" w:color="auto" w:sz="8" w:space="0"/>
              <w:bottom w:val="single" w:color="auto" w:sz="4" w:space="0"/>
              <w:right w:val="single" w:color="auto" w:sz="4" w:space="0"/>
            </w:tcBorders>
            <w:noWrap w:val="0"/>
            <w:vAlign w:val="center"/>
          </w:tcPr>
          <w:p>
            <w:pPr>
              <w:spacing w:line="320" w:lineRule="exact"/>
              <w:jc w:val="center"/>
              <w:rPr>
                <w:rFonts w:eastAsia="方正仿宋_GBK"/>
                <w:color w:val="000000"/>
                <w:spacing w:val="-2"/>
                <w:szCs w:val="21"/>
              </w:rPr>
            </w:pPr>
            <w:r>
              <w:rPr>
                <w:rFonts w:eastAsia="方正仿宋_GBK"/>
                <w:color w:val="000000"/>
                <w:spacing w:val="-2"/>
                <w:szCs w:val="21"/>
              </w:rPr>
              <w:t>11</w:t>
            </w:r>
          </w:p>
        </w:tc>
        <w:tc>
          <w:tcPr>
            <w:tcW w:w="4771" w:type="dxa"/>
            <w:tcBorders>
              <w:top w:val="single" w:color="auto" w:sz="4" w:space="0"/>
              <w:left w:val="single" w:color="auto" w:sz="4" w:space="0"/>
              <w:bottom w:val="single" w:color="auto" w:sz="4" w:space="0"/>
              <w:right w:val="single" w:color="auto" w:sz="4" w:space="0"/>
            </w:tcBorders>
            <w:noWrap w:val="0"/>
            <w:vAlign w:val="top"/>
          </w:tcPr>
          <w:p>
            <w:pPr>
              <w:pStyle w:val="27"/>
              <w:spacing w:line="320" w:lineRule="exact"/>
              <w:jc w:val="both"/>
              <w:rPr>
                <w:rFonts w:ascii="Times New Roman" w:eastAsia="方正仿宋_GBK" w:cs="Times New Roman"/>
                <w:spacing w:val="-2"/>
                <w:sz w:val="21"/>
                <w:szCs w:val="21"/>
              </w:rPr>
            </w:pPr>
            <w:r>
              <w:rPr>
                <w:rFonts w:ascii="Times New Roman" w:eastAsia="方正仿宋_GBK" w:cs="Times New Roman"/>
                <w:spacing w:val="-2"/>
                <w:sz w:val="21"/>
                <w:szCs w:val="21"/>
              </w:rPr>
              <w:t xml:space="preserve">5.4.8 </w:t>
            </w:r>
            <w:r>
              <w:rPr>
                <w:rFonts w:hint="eastAsia" w:ascii="Times New Roman" w:eastAsia="方正仿宋_GBK" w:cs="Times New Roman"/>
                <w:spacing w:val="-2"/>
                <w:sz w:val="21"/>
                <w:szCs w:val="21"/>
              </w:rPr>
              <w:t>新建住区绿地率不应低于</w:t>
            </w:r>
            <w:r>
              <w:rPr>
                <w:rFonts w:ascii="Times New Roman" w:eastAsia="方正仿宋_GBK" w:cs="Times New Roman"/>
                <w:spacing w:val="-2"/>
                <w:sz w:val="21"/>
                <w:szCs w:val="21"/>
              </w:rPr>
              <w:t>30%</w:t>
            </w:r>
            <w:r>
              <w:rPr>
                <w:rFonts w:hint="eastAsia" w:ascii="Times New Roman" w:eastAsia="方正仿宋_GBK" w:cs="Times New Roman"/>
                <w:spacing w:val="-2"/>
                <w:sz w:val="21"/>
                <w:szCs w:val="21"/>
              </w:rPr>
              <w:t>，人均公共绿地面积不应低于</w:t>
            </w:r>
            <w:r>
              <w:rPr>
                <w:rFonts w:ascii="Times New Roman" w:eastAsia="方正仿宋_GBK" w:cs="Times New Roman"/>
                <w:spacing w:val="-2"/>
                <w:sz w:val="21"/>
                <w:szCs w:val="21"/>
              </w:rPr>
              <w:t>1.0m</w:t>
            </w:r>
            <w:r>
              <w:rPr>
                <w:rFonts w:ascii="Times New Roman" w:eastAsia="方正仿宋_GBK" w:cs="Times New Roman"/>
                <w:spacing w:val="-2"/>
                <w:sz w:val="21"/>
                <w:szCs w:val="21"/>
                <w:vertAlign w:val="superscript"/>
              </w:rPr>
              <w:t>2</w:t>
            </w:r>
            <w:r>
              <w:rPr>
                <w:rFonts w:hint="eastAsia" w:ascii="Times New Roman" w:eastAsia="方正仿宋_GBK" w:cs="Times New Roman"/>
                <w:spacing w:val="-2"/>
                <w:sz w:val="21"/>
                <w:szCs w:val="21"/>
              </w:rPr>
              <w:t>；旧区改建项目绿地率不应低于</w:t>
            </w:r>
            <w:r>
              <w:rPr>
                <w:rFonts w:ascii="Times New Roman" w:eastAsia="方正仿宋_GBK" w:cs="Times New Roman"/>
                <w:spacing w:val="-2"/>
                <w:sz w:val="21"/>
                <w:szCs w:val="21"/>
              </w:rPr>
              <w:t>25%</w:t>
            </w:r>
            <w:r>
              <w:rPr>
                <w:rFonts w:hint="eastAsia" w:ascii="Times New Roman" w:eastAsia="方正仿宋_GBK" w:cs="Times New Roman"/>
                <w:spacing w:val="-2"/>
                <w:sz w:val="21"/>
                <w:szCs w:val="21"/>
              </w:rPr>
              <w:t>，人均公共绿地不应低于</w:t>
            </w:r>
            <w:r>
              <w:rPr>
                <w:rFonts w:ascii="Times New Roman" w:eastAsia="方正仿宋_GBK" w:cs="Times New Roman"/>
                <w:spacing w:val="-2"/>
                <w:sz w:val="21"/>
                <w:szCs w:val="21"/>
              </w:rPr>
              <w:t>0.7 m</w:t>
            </w:r>
            <w:r>
              <w:rPr>
                <w:rFonts w:ascii="Times New Roman" w:eastAsia="方正仿宋_GBK" w:cs="Times New Roman"/>
                <w:spacing w:val="-2"/>
                <w:sz w:val="21"/>
                <w:szCs w:val="21"/>
                <w:vertAlign w:val="superscript"/>
              </w:rPr>
              <w:t>2</w:t>
            </w:r>
            <w:r>
              <w:rPr>
                <w:rFonts w:hint="eastAsia" w:ascii="Times New Roman" w:eastAsia="方正仿宋_GBK" w:cs="Times New Roman"/>
                <w:spacing w:val="-2"/>
                <w:sz w:val="21"/>
                <w:szCs w:val="21"/>
              </w:rPr>
              <w:t>。</w:t>
            </w:r>
          </w:p>
        </w:tc>
        <w:tc>
          <w:tcPr>
            <w:tcW w:w="3340" w:type="dxa"/>
            <w:tcBorders>
              <w:top w:val="single" w:color="auto" w:sz="4" w:space="0"/>
              <w:left w:val="single" w:color="auto" w:sz="4" w:space="0"/>
              <w:bottom w:val="single" w:color="auto" w:sz="4" w:space="0"/>
              <w:right w:val="single" w:color="auto" w:sz="8" w:space="0"/>
            </w:tcBorders>
            <w:noWrap w:val="0"/>
            <w:vAlign w:val="top"/>
          </w:tcPr>
          <w:p>
            <w:pPr>
              <w:autoSpaceDE w:val="0"/>
              <w:autoSpaceDN w:val="0"/>
              <w:adjustRightInd w:val="0"/>
              <w:spacing w:line="320" w:lineRule="exact"/>
              <w:rPr>
                <w:rFonts w:eastAsia="方正仿宋_GBK"/>
                <w:color w:val="000000"/>
                <w:spacing w:val="-2"/>
                <w:kern w:val="0"/>
                <w:szCs w:val="21"/>
              </w:rPr>
            </w:pPr>
            <w:r>
              <w:rPr>
                <w:rFonts w:hint="eastAsia" w:eastAsia="方正仿宋_GBK"/>
                <w:color w:val="000000"/>
                <w:spacing w:val="-2"/>
                <w:kern w:val="0"/>
                <w:szCs w:val="21"/>
              </w:rPr>
              <w:t>审查住区绿地率及人均公共绿地指标，并应满足本条规定。</w:t>
            </w:r>
          </w:p>
          <w:p>
            <w:pPr>
              <w:autoSpaceDE w:val="0"/>
              <w:autoSpaceDN w:val="0"/>
              <w:adjustRightInd w:val="0"/>
              <w:spacing w:line="320" w:lineRule="exact"/>
              <w:rPr>
                <w:rFonts w:eastAsia="方正仿宋_GBK"/>
                <w:color w:val="000000"/>
                <w:spacing w:val="-2"/>
                <w:kern w:val="0"/>
                <w:szCs w:val="21"/>
              </w:rPr>
            </w:pPr>
            <w:r>
              <w:rPr>
                <w:rFonts w:hint="eastAsia" w:eastAsia="方正仿宋_GBK"/>
                <w:color w:val="000000"/>
                <w:spacing w:val="-2"/>
                <w:szCs w:val="21"/>
              </w:rPr>
              <w:t>住宅组团及居住区的人均公共绿地指标符合《江苏省城市规划管理技术规定》（</w:t>
            </w:r>
            <w:r>
              <w:rPr>
                <w:rFonts w:eastAsia="方正仿宋_GBK"/>
                <w:color w:val="000000"/>
                <w:spacing w:val="-2"/>
                <w:szCs w:val="21"/>
              </w:rPr>
              <w:t>2011</w:t>
            </w:r>
            <w:r>
              <w:rPr>
                <w:rFonts w:hint="eastAsia" w:eastAsia="方正仿宋_GBK"/>
                <w:color w:val="000000"/>
                <w:spacing w:val="-2"/>
                <w:szCs w:val="21"/>
              </w:rPr>
              <w:t>年版）第</w:t>
            </w:r>
            <w:r>
              <w:rPr>
                <w:rFonts w:eastAsia="方正仿宋_GBK"/>
                <w:color w:val="000000"/>
                <w:spacing w:val="-2"/>
                <w:szCs w:val="21"/>
              </w:rPr>
              <w:t>3.5.6.1</w:t>
            </w:r>
            <w:r>
              <w:rPr>
                <w:rFonts w:hint="eastAsia" w:eastAsia="方正仿宋_GBK"/>
                <w:color w:val="000000"/>
                <w:spacing w:val="-2"/>
                <w:szCs w:val="21"/>
              </w:rPr>
              <w:t>条的规定。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29" w:type="dxa"/>
            <w:tcBorders>
              <w:top w:val="single" w:color="auto" w:sz="4" w:space="0"/>
              <w:left w:val="single" w:color="auto" w:sz="8" w:space="0"/>
              <w:bottom w:val="single" w:color="auto" w:sz="4" w:space="0"/>
              <w:right w:val="single" w:color="auto" w:sz="4" w:space="0"/>
            </w:tcBorders>
            <w:noWrap w:val="0"/>
            <w:vAlign w:val="center"/>
          </w:tcPr>
          <w:p>
            <w:pPr>
              <w:spacing w:line="320" w:lineRule="exact"/>
              <w:jc w:val="center"/>
              <w:rPr>
                <w:rFonts w:eastAsia="方正仿宋_GBK"/>
                <w:color w:val="000000"/>
                <w:spacing w:val="-2"/>
                <w:szCs w:val="21"/>
              </w:rPr>
            </w:pPr>
            <w:r>
              <w:rPr>
                <w:rFonts w:eastAsia="方正仿宋_GBK"/>
                <w:color w:val="000000"/>
                <w:spacing w:val="-2"/>
                <w:szCs w:val="21"/>
              </w:rPr>
              <w:t>12</w:t>
            </w:r>
          </w:p>
        </w:tc>
        <w:tc>
          <w:tcPr>
            <w:tcW w:w="4771" w:type="dxa"/>
            <w:tcBorders>
              <w:top w:val="single" w:color="auto" w:sz="4" w:space="0"/>
              <w:left w:val="single" w:color="auto" w:sz="4" w:space="0"/>
              <w:bottom w:val="single" w:color="auto" w:sz="4" w:space="0"/>
              <w:right w:val="single" w:color="auto" w:sz="4" w:space="0"/>
            </w:tcBorders>
            <w:noWrap w:val="0"/>
            <w:vAlign w:val="top"/>
          </w:tcPr>
          <w:p>
            <w:pPr>
              <w:pStyle w:val="27"/>
              <w:spacing w:line="320" w:lineRule="exact"/>
              <w:jc w:val="both"/>
              <w:rPr>
                <w:rFonts w:ascii="Times New Roman" w:eastAsia="方正仿宋_GBK" w:cs="Times New Roman"/>
                <w:spacing w:val="-2"/>
                <w:sz w:val="21"/>
                <w:szCs w:val="21"/>
              </w:rPr>
            </w:pPr>
            <w:r>
              <w:rPr>
                <w:rFonts w:ascii="Times New Roman" w:eastAsia="方正仿宋_GBK" w:cs="Times New Roman"/>
                <w:spacing w:val="-2"/>
                <w:sz w:val="21"/>
                <w:szCs w:val="21"/>
              </w:rPr>
              <w:t xml:space="preserve">5.4.9 </w:t>
            </w:r>
            <w:r>
              <w:rPr>
                <w:rFonts w:hint="eastAsia" w:ascii="Times New Roman" w:eastAsia="方正仿宋_GBK" w:cs="Times New Roman"/>
                <w:spacing w:val="-2"/>
                <w:sz w:val="21"/>
                <w:szCs w:val="21"/>
              </w:rPr>
              <w:t>幼儿园、托儿所、中小学、医院、疗养院、休养所、老年人居住建筑等建设用地的绿地率不应低于</w:t>
            </w:r>
            <w:r>
              <w:rPr>
                <w:rFonts w:ascii="Times New Roman" w:eastAsia="方正仿宋_GBK" w:cs="Times New Roman"/>
                <w:spacing w:val="-2"/>
                <w:sz w:val="21"/>
                <w:szCs w:val="21"/>
              </w:rPr>
              <w:t>35%</w:t>
            </w:r>
            <w:r>
              <w:rPr>
                <w:rFonts w:hint="eastAsia" w:ascii="Times New Roman" w:eastAsia="方正仿宋_GBK" w:cs="Times New Roman"/>
                <w:spacing w:val="-2"/>
                <w:sz w:val="21"/>
                <w:szCs w:val="21"/>
              </w:rPr>
              <w:t>。</w:t>
            </w:r>
          </w:p>
        </w:tc>
        <w:tc>
          <w:tcPr>
            <w:tcW w:w="3340" w:type="dxa"/>
            <w:tcBorders>
              <w:top w:val="single" w:color="auto" w:sz="4" w:space="0"/>
              <w:left w:val="single" w:color="auto" w:sz="4" w:space="0"/>
              <w:bottom w:val="single" w:color="auto" w:sz="4" w:space="0"/>
              <w:right w:val="single" w:color="auto" w:sz="8" w:space="0"/>
            </w:tcBorders>
            <w:noWrap w:val="0"/>
            <w:vAlign w:val="top"/>
          </w:tcPr>
          <w:p>
            <w:pPr>
              <w:autoSpaceDE w:val="0"/>
              <w:autoSpaceDN w:val="0"/>
              <w:adjustRightInd w:val="0"/>
              <w:spacing w:line="320" w:lineRule="exact"/>
              <w:rPr>
                <w:rFonts w:eastAsia="方正仿宋_GBK"/>
                <w:color w:val="000000"/>
                <w:spacing w:val="-2"/>
                <w:kern w:val="0"/>
                <w:szCs w:val="21"/>
              </w:rPr>
            </w:pPr>
            <w:r>
              <w:rPr>
                <w:rFonts w:hint="eastAsia" w:eastAsia="方正仿宋_GBK"/>
                <w:color w:val="000000"/>
                <w:spacing w:val="-2"/>
                <w:szCs w:val="21"/>
              </w:rPr>
              <w:t>审查本条中所列建筑的绿地率是否满足不低于</w:t>
            </w:r>
            <w:r>
              <w:rPr>
                <w:rFonts w:eastAsia="方正仿宋_GBK"/>
                <w:color w:val="000000"/>
                <w:spacing w:val="-2"/>
                <w:szCs w:val="21"/>
              </w:rPr>
              <w:t>35%</w:t>
            </w:r>
            <w:r>
              <w:rPr>
                <w:rFonts w:hint="eastAsia" w:eastAsia="方正仿宋_GBK"/>
                <w:color w:val="000000"/>
                <w:spacing w:val="-2"/>
                <w:szCs w:val="21"/>
              </w:rPr>
              <w:t>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29" w:type="dxa"/>
            <w:tcBorders>
              <w:top w:val="single" w:color="auto" w:sz="4" w:space="0"/>
              <w:left w:val="single" w:color="auto" w:sz="8" w:space="0"/>
              <w:bottom w:val="single" w:color="auto" w:sz="4" w:space="0"/>
              <w:right w:val="single" w:color="auto" w:sz="4" w:space="0"/>
            </w:tcBorders>
            <w:noWrap w:val="0"/>
            <w:vAlign w:val="center"/>
          </w:tcPr>
          <w:p>
            <w:pPr>
              <w:spacing w:line="320" w:lineRule="exact"/>
              <w:jc w:val="center"/>
              <w:rPr>
                <w:rFonts w:eastAsia="方正仿宋_GBK"/>
                <w:color w:val="000000"/>
                <w:spacing w:val="-2"/>
                <w:szCs w:val="21"/>
              </w:rPr>
            </w:pPr>
            <w:r>
              <w:rPr>
                <w:rFonts w:eastAsia="方正仿宋_GBK"/>
                <w:color w:val="000000"/>
                <w:spacing w:val="-2"/>
                <w:szCs w:val="21"/>
              </w:rPr>
              <w:t>13</w:t>
            </w:r>
          </w:p>
        </w:tc>
        <w:tc>
          <w:tcPr>
            <w:tcW w:w="4771" w:type="dxa"/>
            <w:tcBorders>
              <w:top w:val="single" w:color="auto" w:sz="4" w:space="0"/>
              <w:left w:val="single" w:color="auto" w:sz="4" w:space="0"/>
              <w:bottom w:val="single" w:color="auto" w:sz="4" w:space="0"/>
              <w:right w:val="single" w:color="auto" w:sz="4" w:space="0"/>
            </w:tcBorders>
            <w:noWrap w:val="0"/>
            <w:vAlign w:val="top"/>
          </w:tcPr>
          <w:p>
            <w:pPr>
              <w:pStyle w:val="27"/>
              <w:spacing w:line="320" w:lineRule="exact"/>
              <w:jc w:val="both"/>
              <w:rPr>
                <w:rFonts w:ascii="Times New Roman" w:eastAsia="方正仿宋_GBK" w:cs="Times New Roman"/>
                <w:spacing w:val="-2"/>
                <w:sz w:val="21"/>
                <w:szCs w:val="21"/>
              </w:rPr>
            </w:pPr>
            <w:r>
              <w:rPr>
                <w:rFonts w:ascii="Times New Roman" w:eastAsia="方正仿宋_GBK" w:cs="Times New Roman"/>
                <w:spacing w:val="-2"/>
                <w:sz w:val="21"/>
                <w:szCs w:val="21"/>
              </w:rPr>
              <w:t xml:space="preserve">6.1.1 </w:t>
            </w:r>
            <w:r>
              <w:rPr>
                <w:rFonts w:hint="eastAsia" w:ascii="Times New Roman" w:eastAsia="方正仿宋_GBK" w:cs="Times New Roman"/>
                <w:spacing w:val="-2"/>
                <w:sz w:val="21"/>
                <w:szCs w:val="21"/>
              </w:rPr>
              <w:t>建筑设计应根据周围环境和场地条件，综合考虑建筑物理环境因素，对建筑布局、朝向、形体和间距等进行优化设计，使建筑获得良好的日照、通风、采光和视野。</w:t>
            </w:r>
          </w:p>
          <w:p>
            <w:pPr>
              <w:pStyle w:val="27"/>
              <w:spacing w:line="320" w:lineRule="exact"/>
              <w:jc w:val="both"/>
              <w:rPr>
                <w:rFonts w:ascii="Times New Roman" w:eastAsia="方正仿宋_GBK" w:cs="Times New Roman"/>
                <w:spacing w:val="-2"/>
                <w:sz w:val="21"/>
                <w:szCs w:val="21"/>
              </w:rPr>
            </w:pPr>
          </w:p>
        </w:tc>
        <w:tc>
          <w:tcPr>
            <w:tcW w:w="3340" w:type="dxa"/>
            <w:tcBorders>
              <w:top w:val="single" w:color="auto" w:sz="4" w:space="0"/>
              <w:left w:val="single" w:color="auto" w:sz="4" w:space="0"/>
              <w:bottom w:val="single" w:color="auto" w:sz="4" w:space="0"/>
              <w:right w:val="single" w:color="auto" w:sz="8" w:space="0"/>
            </w:tcBorders>
            <w:noWrap w:val="0"/>
            <w:vAlign w:val="top"/>
          </w:tcPr>
          <w:p>
            <w:pPr>
              <w:autoSpaceDE w:val="0"/>
              <w:autoSpaceDN w:val="0"/>
              <w:adjustRightInd w:val="0"/>
              <w:spacing w:line="320" w:lineRule="exact"/>
              <w:rPr>
                <w:rFonts w:eastAsia="方正仿宋_GBK"/>
                <w:color w:val="000000"/>
                <w:spacing w:val="-2"/>
                <w:kern w:val="0"/>
                <w:szCs w:val="21"/>
              </w:rPr>
            </w:pPr>
            <w:r>
              <w:rPr>
                <w:rFonts w:hint="eastAsia" w:eastAsia="方正仿宋_GBK"/>
                <w:color w:val="000000"/>
                <w:spacing w:val="-2"/>
                <w:szCs w:val="21"/>
              </w:rPr>
              <w:t>审查建筑布局是否合理，是否满足规划条件的要求。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29" w:type="dxa"/>
            <w:tcBorders>
              <w:top w:val="single" w:color="auto" w:sz="4" w:space="0"/>
              <w:left w:val="single" w:color="auto" w:sz="8" w:space="0"/>
              <w:bottom w:val="single" w:color="auto" w:sz="4" w:space="0"/>
              <w:right w:val="single" w:color="auto" w:sz="4" w:space="0"/>
            </w:tcBorders>
            <w:noWrap w:val="0"/>
            <w:vAlign w:val="center"/>
          </w:tcPr>
          <w:p>
            <w:pPr>
              <w:spacing w:line="320" w:lineRule="exact"/>
              <w:jc w:val="center"/>
              <w:rPr>
                <w:rFonts w:eastAsia="方正仿宋_GBK"/>
                <w:color w:val="000000"/>
                <w:spacing w:val="-2"/>
                <w:szCs w:val="21"/>
              </w:rPr>
            </w:pPr>
            <w:r>
              <w:rPr>
                <w:rFonts w:eastAsia="方正仿宋_GBK"/>
                <w:color w:val="000000"/>
                <w:spacing w:val="-2"/>
                <w:szCs w:val="21"/>
              </w:rPr>
              <w:t>14</w:t>
            </w:r>
          </w:p>
        </w:tc>
        <w:tc>
          <w:tcPr>
            <w:tcW w:w="477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320" w:lineRule="exact"/>
              <w:rPr>
                <w:rFonts w:eastAsia="方正仿宋_GBK"/>
                <w:color w:val="000000"/>
                <w:spacing w:val="-2"/>
                <w:szCs w:val="21"/>
              </w:rPr>
            </w:pPr>
            <w:r>
              <w:rPr>
                <w:rFonts w:eastAsia="方正仿宋_GBK"/>
                <w:color w:val="000000"/>
                <w:spacing w:val="-2"/>
                <w:szCs w:val="21"/>
              </w:rPr>
              <w:t xml:space="preserve">5.4.4 </w:t>
            </w:r>
            <w:r>
              <w:rPr>
                <w:rFonts w:hint="eastAsia" w:eastAsia="方正仿宋_GBK"/>
                <w:color w:val="000000"/>
                <w:spacing w:val="-2"/>
                <w:szCs w:val="21"/>
              </w:rPr>
              <w:t>场地风环境设计应符合下列规定：</w:t>
            </w:r>
          </w:p>
          <w:p>
            <w:pPr>
              <w:autoSpaceDE w:val="0"/>
              <w:autoSpaceDN w:val="0"/>
              <w:adjustRightInd w:val="0"/>
              <w:spacing w:line="320" w:lineRule="exact"/>
              <w:rPr>
                <w:rFonts w:eastAsia="方正仿宋_GBK"/>
                <w:color w:val="000000"/>
                <w:spacing w:val="-2"/>
                <w:szCs w:val="21"/>
              </w:rPr>
            </w:pPr>
            <w:r>
              <w:rPr>
                <w:rFonts w:eastAsia="方正仿宋_GBK"/>
                <w:color w:val="000000"/>
                <w:spacing w:val="-2"/>
                <w:szCs w:val="21"/>
              </w:rPr>
              <w:t xml:space="preserve">3 </w:t>
            </w:r>
            <w:r>
              <w:rPr>
                <w:rFonts w:hint="eastAsia" w:eastAsia="方正仿宋_GBK"/>
                <w:color w:val="000000"/>
                <w:spacing w:val="-2"/>
                <w:szCs w:val="21"/>
              </w:rPr>
              <w:t>建筑规划布局应根据典型气象条件下的场地风环境模拟进行优化。冬季典型风速和风向条件下建筑物周围人行区风速应小于</w:t>
            </w:r>
            <w:r>
              <w:rPr>
                <w:rFonts w:eastAsia="方正仿宋_GBK"/>
                <w:color w:val="000000"/>
                <w:spacing w:val="-2"/>
                <w:szCs w:val="21"/>
              </w:rPr>
              <w:t>5m/s</w:t>
            </w:r>
            <w:r>
              <w:rPr>
                <w:rFonts w:hint="eastAsia" w:eastAsia="方正仿宋_GBK"/>
                <w:color w:val="000000"/>
                <w:spacing w:val="-2"/>
                <w:szCs w:val="21"/>
              </w:rPr>
              <w:t>，且室外风速放大系数应小于</w:t>
            </w:r>
            <w:r>
              <w:rPr>
                <w:rFonts w:eastAsia="方正仿宋_GBK"/>
                <w:color w:val="000000"/>
                <w:spacing w:val="-2"/>
                <w:szCs w:val="21"/>
              </w:rPr>
              <w:t>2</w:t>
            </w:r>
            <w:r>
              <w:rPr>
                <w:rFonts w:hint="eastAsia" w:eastAsia="方正仿宋_GBK"/>
                <w:color w:val="000000"/>
                <w:spacing w:val="-2"/>
                <w:szCs w:val="21"/>
              </w:rPr>
              <w:t>，除迎风第一排建筑外，建筑迎风面与背风面表面风压差不应大于</w:t>
            </w:r>
            <w:r>
              <w:rPr>
                <w:rFonts w:eastAsia="方正仿宋_GBK"/>
                <w:color w:val="000000"/>
                <w:spacing w:val="-2"/>
                <w:szCs w:val="21"/>
              </w:rPr>
              <w:t>5Pa</w:t>
            </w:r>
            <w:r>
              <w:rPr>
                <w:rFonts w:hint="eastAsia" w:eastAsia="方正仿宋_GBK"/>
                <w:color w:val="000000"/>
                <w:spacing w:val="-2"/>
                <w:szCs w:val="21"/>
              </w:rPr>
              <w:t>；过渡季、夏季典型风速和风向条件下的建筑</w:t>
            </w:r>
            <w:r>
              <w:rPr>
                <w:rFonts w:eastAsia="方正仿宋_GBK"/>
                <w:color w:val="000000"/>
                <w:spacing w:val="-2"/>
                <w:szCs w:val="21"/>
              </w:rPr>
              <w:t>50%</w:t>
            </w:r>
            <w:r>
              <w:rPr>
                <w:rFonts w:hint="eastAsia" w:eastAsia="方正仿宋_GBK"/>
                <w:color w:val="000000"/>
                <w:spacing w:val="-2"/>
                <w:szCs w:val="21"/>
              </w:rPr>
              <w:t>以上可开启外窗室内外表面的风压差应不大于</w:t>
            </w:r>
            <w:r>
              <w:rPr>
                <w:rFonts w:eastAsia="方正仿宋_GBK"/>
                <w:color w:val="000000"/>
                <w:spacing w:val="-2"/>
                <w:szCs w:val="21"/>
              </w:rPr>
              <w:t>0.5Pa,</w:t>
            </w:r>
            <w:r>
              <w:rPr>
                <w:rFonts w:hint="eastAsia" w:eastAsia="方正仿宋_GBK"/>
                <w:color w:val="000000"/>
                <w:spacing w:val="-2"/>
                <w:szCs w:val="21"/>
              </w:rPr>
              <w:t>场地内人活动区不应出现涡旋或无风区。</w:t>
            </w:r>
          </w:p>
          <w:p>
            <w:pPr>
              <w:pStyle w:val="27"/>
              <w:spacing w:line="320" w:lineRule="exact"/>
              <w:jc w:val="both"/>
              <w:rPr>
                <w:rFonts w:ascii="Times New Roman" w:eastAsia="方正仿宋_GBK" w:cs="Times New Roman"/>
                <w:spacing w:val="-2"/>
                <w:sz w:val="21"/>
                <w:szCs w:val="21"/>
              </w:rPr>
            </w:pPr>
          </w:p>
        </w:tc>
        <w:tc>
          <w:tcPr>
            <w:tcW w:w="3340" w:type="dxa"/>
            <w:tcBorders>
              <w:top w:val="single" w:color="auto" w:sz="4" w:space="0"/>
              <w:left w:val="single" w:color="auto" w:sz="4" w:space="0"/>
              <w:bottom w:val="single" w:color="auto" w:sz="4" w:space="0"/>
              <w:right w:val="single" w:color="auto" w:sz="8" w:space="0"/>
            </w:tcBorders>
            <w:noWrap w:val="0"/>
            <w:vAlign w:val="top"/>
          </w:tcPr>
          <w:p>
            <w:pPr>
              <w:autoSpaceDE w:val="0"/>
              <w:autoSpaceDN w:val="0"/>
              <w:adjustRightInd w:val="0"/>
              <w:spacing w:line="320" w:lineRule="exact"/>
              <w:rPr>
                <w:rFonts w:eastAsia="方正仿宋_GBK"/>
                <w:color w:val="000000"/>
                <w:spacing w:val="-2"/>
                <w:kern w:val="0"/>
                <w:szCs w:val="21"/>
              </w:rPr>
            </w:pPr>
            <w:r>
              <w:rPr>
                <w:rFonts w:hint="eastAsia" w:eastAsia="方正仿宋_GBK"/>
                <w:color w:val="000000"/>
                <w:spacing w:val="-2"/>
                <w:szCs w:val="21"/>
              </w:rPr>
              <w:t>对住宅小区及组团，应提供风环境模拟计算报告，并应满足本款的要求。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29" w:type="dxa"/>
            <w:tcBorders>
              <w:top w:val="single" w:color="auto" w:sz="4" w:space="0"/>
              <w:left w:val="single" w:color="auto" w:sz="8" w:space="0"/>
              <w:bottom w:val="single" w:color="auto" w:sz="4" w:space="0"/>
              <w:right w:val="single" w:color="auto" w:sz="4" w:space="0"/>
            </w:tcBorders>
            <w:noWrap w:val="0"/>
            <w:vAlign w:val="center"/>
          </w:tcPr>
          <w:p>
            <w:pPr>
              <w:spacing w:line="320" w:lineRule="exact"/>
              <w:jc w:val="center"/>
              <w:rPr>
                <w:rFonts w:eastAsia="方正仿宋_GBK"/>
                <w:color w:val="000000"/>
                <w:spacing w:val="-2"/>
                <w:szCs w:val="21"/>
              </w:rPr>
            </w:pPr>
            <w:r>
              <w:rPr>
                <w:rFonts w:eastAsia="方正仿宋_GBK"/>
                <w:color w:val="000000"/>
                <w:spacing w:val="-2"/>
                <w:szCs w:val="21"/>
              </w:rPr>
              <w:t>15</w:t>
            </w:r>
          </w:p>
        </w:tc>
        <w:tc>
          <w:tcPr>
            <w:tcW w:w="477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320" w:lineRule="exact"/>
              <w:rPr>
                <w:rFonts w:eastAsia="方正仿宋_GBK"/>
                <w:color w:val="000000"/>
                <w:spacing w:val="-2"/>
                <w:szCs w:val="21"/>
              </w:rPr>
            </w:pPr>
            <w:r>
              <w:rPr>
                <w:rFonts w:eastAsia="方正仿宋_GBK"/>
                <w:color w:val="000000"/>
                <w:spacing w:val="-2"/>
                <w:kern w:val="0"/>
                <w:szCs w:val="21"/>
              </w:rPr>
              <w:t xml:space="preserve">6.3.1 </w:t>
            </w:r>
            <w:r>
              <w:rPr>
                <w:rFonts w:hint="eastAsia" w:eastAsia="方正仿宋_GBK"/>
                <w:color w:val="000000"/>
                <w:spacing w:val="-2"/>
                <w:kern w:val="0"/>
                <w:szCs w:val="21"/>
              </w:rPr>
              <w:t>建筑设计应符合现行国家和江苏省建筑节能设计标准的相关规定。</w:t>
            </w:r>
          </w:p>
        </w:tc>
        <w:tc>
          <w:tcPr>
            <w:tcW w:w="3340" w:type="dxa"/>
            <w:tcBorders>
              <w:top w:val="single" w:color="auto" w:sz="4" w:space="0"/>
              <w:left w:val="single" w:color="auto" w:sz="4" w:space="0"/>
              <w:bottom w:val="single" w:color="auto" w:sz="4" w:space="0"/>
              <w:right w:val="single" w:color="auto" w:sz="8" w:space="0"/>
            </w:tcBorders>
            <w:noWrap w:val="0"/>
            <w:vAlign w:val="top"/>
          </w:tcPr>
          <w:p>
            <w:pPr>
              <w:autoSpaceDE w:val="0"/>
              <w:autoSpaceDN w:val="0"/>
              <w:adjustRightInd w:val="0"/>
              <w:spacing w:line="320" w:lineRule="exact"/>
              <w:rPr>
                <w:rFonts w:eastAsia="方正仿宋_GBK"/>
                <w:color w:val="000000"/>
                <w:spacing w:val="-2"/>
                <w:szCs w:val="21"/>
              </w:rPr>
            </w:pPr>
            <w:r>
              <w:rPr>
                <w:rFonts w:hint="eastAsia" w:eastAsia="方正仿宋_GBK"/>
                <w:color w:val="000000"/>
                <w:spacing w:val="-2"/>
                <w:szCs w:val="21"/>
              </w:rPr>
              <w:t>方案绿色设计专项说明中应说明建筑所在地气候分区、建筑节能类别、节能水平；说明各类建筑屋面、外墙、架空楼板及居住建筑分户墙、分户楼板、楼梯间隔墙、外走廊隔墙等主要围护结构采用的保温形式、保温材料及设计指标；说明建筑外门窗（包括透明幕墙）的选型、遮阳形式及设计指标。</w:t>
            </w:r>
          </w:p>
          <w:p>
            <w:pPr>
              <w:autoSpaceDE w:val="0"/>
              <w:autoSpaceDN w:val="0"/>
              <w:adjustRightInd w:val="0"/>
              <w:spacing w:line="320" w:lineRule="exact"/>
              <w:rPr>
                <w:rFonts w:eastAsia="方正仿宋_GBK"/>
                <w:color w:val="000000"/>
                <w:spacing w:val="-8"/>
                <w:kern w:val="0"/>
                <w:szCs w:val="21"/>
              </w:rPr>
            </w:pPr>
            <w:r>
              <w:rPr>
                <w:rFonts w:hint="eastAsia" w:eastAsia="方正仿宋_GBK"/>
                <w:color w:val="000000"/>
                <w:spacing w:val="-8"/>
                <w:kern w:val="0"/>
                <w:szCs w:val="21"/>
              </w:rPr>
              <w:t>审查其节能措施是否符合国家和江苏省建筑节能设计标准的相关规定。</w:t>
            </w:r>
          </w:p>
          <w:p>
            <w:pPr>
              <w:autoSpaceDE w:val="0"/>
              <w:autoSpaceDN w:val="0"/>
              <w:adjustRightInd w:val="0"/>
              <w:spacing w:line="320" w:lineRule="exact"/>
              <w:rPr>
                <w:rFonts w:eastAsia="方正仿宋_GBK"/>
                <w:color w:val="000000"/>
                <w:spacing w:val="-8"/>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29" w:type="dxa"/>
            <w:tcBorders>
              <w:top w:val="single" w:color="auto" w:sz="4" w:space="0"/>
              <w:left w:val="single" w:color="auto" w:sz="8" w:space="0"/>
              <w:bottom w:val="single" w:color="auto" w:sz="4" w:space="0"/>
              <w:right w:val="single" w:color="auto" w:sz="4" w:space="0"/>
            </w:tcBorders>
            <w:noWrap w:val="0"/>
            <w:vAlign w:val="center"/>
          </w:tcPr>
          <w:p>
            <w:pPr>
              <w:spacing w:line="320" w:lineRule="exact"/>
              <w:jc w:val="center"/>
              <w:rPr>
                <w:rFonts w:eastAsia="方正仿宋_GBK"/>
                <w:color w:val="000000"/>
                <w:spacing w:val="-2"/>
                <w:szCs w:val="21"/>
              </w:rPr>
            </w:pPr>
            <w:r>
              <w:rPr>
                <w:rFonts w:eastAsia="方正仿宋_GBK"/>
                <w:color w:val="000000"/>
                <w:spacing w:val="-2"/>
                <w:szCs w:val="21"/>
              </w:rPr>
              <w:t>16</w:t>
            </w:r>
          </w:p>
        </w:tc>
        <w:tc>
          <w:tcPr>
            <w:tcW w:w="477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320" w:lineRule="exact"/>
              <w:rPr>
                <w:rFonts w:eastAsia="方正仿宋_GBK"/>
                <w:color w:val="000000"/>
                <w:spacing w:val="-2"/>
                <w:szCs w:val="21"/>
              </w:rPr>
            </w:pPr>
            <w:r>
              <w:rPr>
                <w:rFonts w:eastAsia="方正仿宋_GBK"/>
                <w:color w:val="000000"/>
                <w:spacing w:val="-2"/>
                <w:kern w:val="0"/>
                <w:szCs w:val="21"/>
              </w:rPr>
              <w:t xml:space="preserve">6.9.2 </w:t>
            </w:r>
            <w:r>
              <w:rPr>
                <w:rFonts w:hint="eastAsia" w:eastAsia="方正仿宋_GBK"/>
                <w:color w:val="000000"/>
                <w:spacing w:val="-2"/>
                <w:kern w:val="0"/>
                <w:szCs w:val="21"/>
              </w:rPr>
              <w:t>建筑造型要素应简约，且无大量装饰构性构件。</w:t>
            </w:r>
          </w:p>
        </w:tc>
        <w:tc>
          <w:tcPr>
            <w:tcW w:w="3340" w:type="dxa"/>
            <w:tcBorders>
              <w:top w:val="single" w:color="auto" w:sz="4" w:space="0"/>
              <w:left w:val="single" w:color="auto" w:sz="4" w:space="0"/>
              <w:bottom w:val="single" w:color="auto" w:sz="4" w:space="0"/>
              <w:right w:val="single" w:color="auto" w:sz="8" w:space="0"/>
            </w:tcBorders>
            <w:noWrap w:val="0"/>
            <w:vAlign w:val="top"/>
          </w:tcPr>
          <w:p>
            <w:pPr>
              <w:autoSpaceDE w:val="0"/>
              <w:autoSpaceDN w:val="0"/>
              <w:adjustRightInd w:val="0"/>
              <w:spacing w:line="320" w:lineRule="exact"/>
              <w:rPr>
                <w:rFonts w:eastAsia="方正仿宋_GBK"/>
                <w:color w:val="000000"/>
                <w:spacing w:val="-2"/>
                <w:kern w:val="0"/>
                <w:szCs w:val="21"/>
              </w:rPr>
            </w:pPr>
            <w:r>
              <w:rPr>
                <w:rFonts w:hint="eastAsia" w:eastAsia="方正仿宋_GBK"/>
                <w:color w:val="000000"/>
                <w:spacing w:val="-2"/>
                <w:kern w:val="0"/>
                <w:szCs w:val="21"/>
              </w:rPr>
              <w:t>审查平面及立面图纸，是否存在大量的无功能的装饰性构件。</w:t>
            </w:r>
          </w:p>
          <w:p>
            <w:pPr>
              <w:autoSpaceDE w:val="0"/>
              <w:autoSpaceDN w:val="0"/>
              <w:adjustRightInd w:val="0"/>
              <w:spacing w:line="320" w:lineRule="exact"/>
              <w:rPr>
                <w:rFonts w:eastAsia="方正仿宋_GBK"/>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29" w:type="dxa"/>
            <w:tcBorders>
              <w:top w:val="single" w:color="auto" w:sz="4" w:space="0"/>
              <w:left w:val="single" w:color="auto" w:sz="8" w:space="0"/>
              <w:bottom w:val="single" w:color="auto" w:sz="4" w:space="0"/>
              <w:right w:val="single" w:color="auto" w:sz="4" w:space="0"/>
            </w:tcBorders>
            <w:noWrap w:val="0"/>
            <w:vAlign w:val="center"/>
          </w:tcPr>
          <w:p>
            <w:pPr>
              <w:spacing w:line="320" w:lineRule="exact"/>
              <w:jc w:val="center"/>
              <w:rPr>
                <w:rFonts w:eastAsia="方正仿宋_GBK"/>
                <w:color w:val="000000"/>
                <w:spacing w:val="-2"/>
                <w:szCs w:val="21"/>
              </w:rPr>
            </w:pPr>
            <w:r>
              <w:rPr>
                <w:rFonts w:eastAsia="方正仿宋_GBK"/>
                <w:color w:val="000000"/>
                <w:spacing w:val="-2"/>
                <w:szCs w:val="21"/>
              </w:rPr>
              <w:t>17</w:t>
            </w:r>
          </w:p>
        </w:tc>
        <w:tc>
          <w:tcPr>
            <w:tcW w:w="477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320" w:lineRule="exact"/>
              <w:rPr>
                <w:rFonts w:eastAsia="方正仿宋_GBK"/>
                <w:color w:val="000000"/>
                <w:spacing w:val="-2"/>
                <w:kern w:val="0"/>
                <w:szCs w:val="21"/>
              </w:rPr>
            </w:pPr>
            <w:r>
              <w:rPr>
                <w:rFonts w:eastAsia="方正仿宋_GBK"/>
                <w:color w:val="000000"/>
                <w:spacing w:val="-2"/>
                <w:szCs w:val="21"/>
              </w:rPr>
              <w:t xml:space="preserve">7.2.3 </w:t>
            </w:r>
            <w:r>
              <w:rPr>
                <w:rFonts w:hint="eastAsia" w:eastAsia="方正仿宋_GBK"/>
                <w:color w:val="000000"/>
                <w:spacing w:val="-2"/>
                <w:szCs w:val="21"/>
              </w:rPr>
              <w:t>结构方案应遵循抗震概念设计基本原理，不应采用严重不规则的结构方案；对于特别不规则结构，应采取相应的技术措施并确定抗震性能目标。</w:t>
            </w:r>
          </w:p>
        </w:tc>
        <w:tc>
          <w:tcPr>
            <w:tcW w:w="3340" w:type="dxa"/>
            <w:tcBorders>
              <w:top w:val="single" w:color="auto" w:sz="4" w:space="0"/>
              <w:left w:val="single" w:color="auto" w:sz="4" w:space="0"/>
              <w:bottom w:val="single" w:color="auto" w:sz="4" w:space="0"/>
              <w:right w:val="single" w:color="auto" w:sz="8" w:space="0"/>
            </w:tcBorders>
            <w:noWrap w:val="0"/>
            <w:vAlign w:val="top"/>
          </w:tcPr>
          <w:p>
            <w:pPr>
              <w:tabs>
                <w:tab w:val="left" w:pos="600"/>
              </w:tabs>
              <w:spacing w:line="320" w:lineRule="exact"/>
              <w:rPr>
                <w:rFonts w:eastAsia="方正仿宋_GBK"/>
                <w:color w:val="000000"/>
                <w:spacing w:val="-2"/>
                <w:kern w:val="0"/>
                <w:szCs w:val="21"/>
              </w:rPr>
            </w:pPr>
            <w:r>
              <w:rPr>
                <w:rFonts w:hint="eastAsia" w:eastAsia="方正仿宋_GBK"/>
                <w:color w:val="000000"/>
                <w:spacing w:val="-2"/>
                <w:kern w:val="0"/>
                <w:szCs w:val="21"/>
              </w:rPr>
              <w:t>审查结构方案的规则性。应根据结构方案的不规则程度，说明采取对应的措施。</w:t>
            </w:r>
          </w:p>
          <w:p>
            <w:pPr>
              <w:tabs>
                <w:tab w:val="left" w:pos="600"/>
              </w:tabs>
              <w:spacing w:line="320" w:lineRule="exact"/>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81" w:hRule="atLeast"/>
        </w:trPr>
        <w:tc>
          <w:tcPr>
            <w:tcW w:w="629" w:type="dxa"/>
            <w:tcBorders>
              <w:top w:val="single" w:color="auto" w:sz="4" w:space="0"/>
              <w:left w:val="single" w:color="auto" w:sz="8" w:space="0"/>
              <w:bottom w:val="single" w:color="auto" w:sz="4" w:space="0"/>
              <w:right w:val="single" w:color="auto" w:sz="4" w:space="0"/>
            </w:tcBorders>
            <w:noWrap w:val="0"/>
            <w:vAlign w:val="center"/>
          </w:tcPr>
          <w:p>
            <w:pPr>
              <w:spacing w:line="320" w:lineRule="exact"/>
              <w:jc w:val="center"/>
              <w:rPr>
                <w:rFonts w:eastAsia="方正仿宋_GBK"/>
                <w:color w:val="000000"/>
                <w:spacing w:val="-2"/>
                <w:szCs w:val="21"/>
              </w:rPr>
            </w:pPr>
            <w:r>
              <w:rPr>
                <w:rFonts w:eastAsia="方正仿宋_GBK"/>
                <w:color w:val="000000"/>
                <w:spacing w:val="-2"/>
                <w:szCs w:val="21"/>
              </w:rPr>
              <w:t>18</w:t>
            </w:r>
          </w:p>
        </w:tc>
        <w:tc>
          <w:tcPr>
            <w:tcW w:w="477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320" w:lineRule="exact"/>
              <w:rPr>
                <w:rFonts w:eastAsia="方正仿宋_GBK"/>
                <w:color w:val="000000"/>
                <w:spacing w:val="-2"/>
                <w:kern w:val="0"/>
                <w:szCs w:val="21"/>
              </w:rPr>
            </w:pPr>
            <w:r>
              <w:rPr>
                <w:rFonts w:eastAsia="方正仿宋_GBK"/>
                <w:color w:val="000000"/>
                <w:spacing w:val="-2"/>
                <w:kern w:val="0"/>
                <w:szCs w:val="21"/>
              </w:rPr>
              <w:t xml:space="preserve">8.2.2 </w:t>
            </w:r>
            <w:r>
              <w:rPr>
                <w:rFonts w:hint="eastAsia" w:eastAsia="方正仿宋_GBK"/>
                <w:color w:val="000000"/>
                <w:spacing w:val="-2"/>
                <w:kern w:val="0"/>
                <w:szCs w:val="21"/>
              </w:rPr>
              <w:t>扣除自行车库、汽车库面积后，建筑面积大于等于</w:t>
            </w:r>
            <w:r>
              <w:rPr>
                <w:rFonts w:eastAsia="方正仿宋_GBK"/>
                <w:color w:val="000000"/>
                <w:spacing w:val="-2"/>
                <w:kern w:val="0"/>
                <w:szCs w:val="21"/>
              </w:rPr>
              <w:t>20000m</w:t>
            </w:r>
            <w:r>
              <w:rPr>
                <w:rFonts w:eastAsia="方正仿宋_GBK"/>
                <w:color w:val="000000"/>
                <w:spacing w:val="-2"/>
                <w:kern w:val="0"/>
                <w:szCs w:val="21"/>
                <w:vertAlign w:val="superscript"/>
              </w:rPr>
              <w:t>2</w:t>
            </w:r>
            <w:r>
              <w:rPr>
                <w:rFonts w:hint="eastAsia" w:eastAsia="方正仿宋_GBK"/>
                <w:color w:val="000000"/>
                <w:spacing w:val="-2"/>
                <w:kern w:val="0"/>
                <w:szCs w:val="21"/>
              </w:rPr>
              <w:t>的公共建筑应至少利用一种可再生能源，并符合下列规定：</w:t>
            </w:r>
          </w:p>
          <w:p>
            <w:pPr>
              <w:autoSpaceDE w:val="0"/>
              <w:autoSpaceDN w:val="0"/>
              <w:adjustRightInd w:val="0"/>
              <w:spacing w:line="320" w:lineRule="exact"/>
              <w:rPr>
                <w:rFonts w:eastAsia="方正仿宋_GBK"/>
                <w:color w:val="000000"/>
                <w:spacing w:val="-2"/>
                <w:kern w:val="0"/>
                <w:szCs w:val="21"/>
              </w:rPr>
            </w:pPr>
            <w:r>
              <w:rPr>
                <w:rFonts w:eastAsia="方正仿宋_GBK"/>
                <w:color w:val="000000"/>
                <w:spacing w:val="-2"/>
                <w:kern w:val="0"/>
                <w:szCs w:val="21"/>
              </w:rPr>
              <w:t xml:space="preserve">1 </w:t>
            </w:r>
            <w:r>
              <w:rPr>
                <w:rFonts w:hint="eastAsia" w:eastAsia="方正仿宋_GBK"/>
                <w:color w:val="000000"/>
                <w:spacing w:val="-2"/>
                <w:kern w:val="0"/>
                <w:szCs w:val="21"/>
              </w:rPr>
              <w:t>仅采用太阳能光热系统提供生活热水，其日用热水量比例不低于</w:t>
            </w:r>
            <w:r>
              <w:rPr>
                <w:rFonts w:eastAsia="方正仿宋_GBK"/>
                <w:color w:val="000000"/>
                <w:spacing w:val="-2"/>
                <w:kern w:val="0"/>
                <w:szCs w:val="21"/>
              </w:rPr>
              <w:t>50%</w:t>
            </w:r>
            <w:r>
              <w:rPr>
                <w:rFonts w:hint="eastAsia" w:eastAsia="方正仿宋_GBK"/>
                <w:color w:val="000000"/>
                <w:spacing w:val="-2"/>
                <w:kern w:val="0"/>
                <w:szCs w:val="21"/>
              </w:rPr>
              <w:t>。</w:t>
            </w:r>
          </w:p>
          <w:p>
            <w:pPr>
              <w:autoSpaceDE w:val="0"/>
              <w:autoSpaceDN w:val="0"/>
              <w:adjustRightInd w:val="0"/>
              <w:spacing w:line="320" w:lineRule="exact"/>
              <w:rPr>
                <w:rFonts w:eastAsia="方正仿宋_GBK"/>
                <w:color w:val="000000"/>
                <w:spacing w:val="-2"/>
                <w:kern w:val="0"/>
                <w:szCs w:val="21"/>
              </w:rPr>
            </w:pPr>
            <w:r>
              <w:rPr>
                <w:rFonts w:eastAsia="方正仿宋_GBK"/>
                <w:color w:val="000000"/>
                <w:spacing w:val="-2"/>
                <w:kern w:val="0"/>
                <w:szCs w:val="21"/>
              </w:rPr>
              <w:t xml:space="preserve">2 </w:t>
            </w:r>
            <w:r>
              <w:rPr>
                <w:rFonts w:hint="eastAsia" w:eastAsia="方正仿宋_GBK"/>
                <w:color w:val="000000"/>
                <w:spacing w:val="-2"/>
                <w:kern w:val="0"/>
                <w:szCs w:val="21"/>
              </w:rPr>
              <w:t>仅采用地源热泵系统提供空调冷、热量，其比例不低于设计状态的负荷</w:t>
            </w:r>
            <w:r>
              <w:rPr>
                <w:rFonts w:eastAsia="方正仿宋_GBK"/>
                <w:color w:val="000000"/>
                <w:spacing w:val="-2"/>
                <w:kern w:val="0"/>
                <w:szCs w:val="21"/>
              </w:rPr>
              <w:t>20%</w:t>
            </w:r>
            <w:r>
              <w:rPr>
                <w:rFonts w:hint="eastAsia" w:eastAsia="方正仿宋_GBK"/>
                <w:color w:val="000000"/>
                <w:spacing w:val="-2"/>
                <w:kern w:val="0"/>
                <w:szCs w:val="21"/>
              </w:rPr>
              <w:t>。</w:t>
            </w:r>
          </w:p>
          <w:p>
            <w:pPr>
              <w:autoSpaceDE w:val="0"/>
              <w:autoSpaceDN w:val="0"/>
              <w:adjustRightInd w:val="0"/>
              <w:spacing w:line="320" w:lineRule="exact"/>
              <w:rPr>
                <w:rFonts w:eastAsia="方正仿宋_GBK"/>
                <w:color w:val="000000"/>
                <w:spacing w:val="-2"/>
                <w:szCs w:val="21"/>
              </w:rPr>
            </w:pPr>
            <w:r>
              <w:rPr>
                <w:rFonts w:eastAsia="方正仿宋_GBK"/>
                <w:color w:val="000000"/>
                <w:spacing w:val="-2"/>
                <w:kern w:val="0"/>
                <w:szCs w:val="21"/>
              </w:rPr>
              <w:t xml:space="preserve">3 </w:t>
            </w:r>
            <w:r>
              <w:rPr>
                <w:rFonts w:hint="eastAsia" w:eastAsia="方正仿宋_GBK"/>
                <w:color w:val="000000"/>
                <w:spacing w:val="-2"/>
                <w:kern w:val="0"/>
                <w:szCs w:val="21"/>
              </w:rPr>
              <w:t>仅采用太阳能光伏系统提供电量，其总功率不应低于建筑物变压器总装机容量的</w:t>
            </w:r>
            <w:r>
              <w:rPr>
                <w:rFonts w:eastAsia="方正仿宋_GBK"/>
                <w:color w:val="000000"/>
                <w:spacing w:val="-2"/>
                <w:kern w:val="0"/>
                <w:szCs w:val="21"/>
              </w:rPr>
              <w:t>0.2%</w:t>
            </w:r>
            <w:r>
              <w:rPr>
                <w:rFonts w:hint="eastAsia" w:eastAsia="方正仿宋_GBK"/>
                <w:color w:val="000000"/>
                <w:spacing w:val="-2"/>
                <w:kern w:val="0"/>
                <w:szCs w:val="21"/>
              </w:rPr>
              <w:t>。</w:t>
            </w:r>
          </w:p>
        </w:tc>
        <w:tc>
          <w:tcPr>
            <w:tcW w:w="3340" w:type="dxa"/>
            <w:tcBorders>
              <w:top w:val="single" w:color="auto" w:sz="4" w:space="0"/>
              <w:left w:val="single" w:color="auto" w:sz="4" w:space="0"/>
              <w:bottom w:val="single" w:color="auto" w:sz="4" w:space="0"/>
              <w:right w:val="single" w:color="auto" w:sz="8" w:space="0"/>
            </w:tcBorders>
            <w:noWrap w:val="0"/>
            <w:vAlign w:val="top"/>
          </w:tcPr>
          <w:p>
            <w:pPr>
              <w:pStyle w:val="5"/>
              <w:spacing w:line="320" w:lineRule="exact"/>
              <w:jc w:val="both"/>
              <w:rPr>
                <w:rFonts w:eastAsia="方正仿宋_GBK"/>
                <w:color w:val="000000"/>
                <w:spacing w:val="-2"/>
                <w:kern w:val="0"/>
                <w:sz w:val="20"/>
                <w:szCs w:val="21"/>
                <w:lang w:val="en-US" w:eastAsia="zh-CN"/>
              </w:rPr>
            </w:pPr>
            <w:r>
              <w:rPr>
                <w:rFonts w:hint="eastAsia" w:eastAsia="方正仿宋_GBK"/>
                <w:color w:val="000000"/>
                <w:spacing w:val="-2"/>
                <w:kern w:val="0"/>
                <w:sz w:val="20"/>
                <w:szCs w:val="21"/>
                <w:lang w:val="en-US" w:eastAsia="zh-CN"/>
              </w:rPr>
              <w:t>方案绿色设计专项说明中应明确建筑规模、建筑节能类别，甲类公共建筑及符合本条规定的公共建筑应说明可再生能源利用情况。太阳能集热器、太阳能光伏板应说明和表达设置的位置。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70" w:hRule="atLeast"/>
        </w:trPr>
        <w:tc>
          <w:tcPr>
            <w:tcW w:w="629" w:type="dxa"/>
            <w:tcBorders>
              <w:top w:val="single" w:color="auto" w:sz="4" w:space="0"/>
              <w:left w:val="single" w:color="auto" w:sz="8" w:space="0"/>
              <w:bottom w:val="single" w:color="auto" w:sz="4" w:space="0"/>
              <w:right w:val="single" w:color="auto" w:sz="4" w:space="0"/>
            </w:tcBorders>
            <w:noWrap w:val="0"/>
            <w:vAlign w:val="center"/>
          </w:tcPr>
          <w:p>
            <w:pPr>
              <w:spacing w:line="320" w:lineRule="exact"/>
              <w:jc w:val="center"/>
              <w:rPr>
                <w:rFonts w:eastAsia="方正仿宋_GBK"/>
                <w:color w:val="000000"/>
                <w:spacing w:val="-2"/>
                <w:szCs w:val="21"/>
              </w:rPr>
            </w:pPr>
            <w:r>
              <w:rPr>
                <w:rFonts w:eastAsia="方正仿宋_GBK"/>
                <w:color w:val="000000"/>
                <w:spacing w:val="-2"/>
                <w:szCs w:val="21"/>
              </w:rPr>
              <w:t>19</w:t>
            </w:r>
          </w:p>
        </w:tc>
        <w:tc>
          <w:tcPr>
            <w:tcW w:w="4771" w:type="dxa"/>
            <w:tcBorders>
              <w:top w:val="single" w:color="auto" w:sz="4" w:space="0"/>
              <w:left w:val="single" w:color="auto" w:sz="4" w:space="0"/>
              <w:bottom w:val="single" w:color="auto" w:sz="4" w:space="0"/>
              <w:right w:val="single" w:color="auto" w:sz="4" w:space="0"/>
            </w:tcBorders>
            <w:noWrap w:val="0"/>
            <w:vAlign w:val="top"/>
          </w:tcPr>
          <w:p>
            <w:pPr>
              <w:pStyle w:val="27"/>
              <w:spacing w:line="320" w:lineRule="exact"/>
              <w:jc w:val="both"/>
              <w:rPr>
                <w:rFonts w:ascii="Times New Roman" w:eastAsia="方正仿宋_GBK" w:cs="Times New Roman"/>
                <w:spacing w:val="-2"/>
                <w:sz w:val="21"/>
                <w:szCs w:val="21"/>
              </w:rPr>
            </w:pPr>
            <w:r>
              <w:rPr>
                <w:rFonts w:ascii="Times New Roman" w:eastAsia="方正仿宋_GBK" w:cs="Times New Roman"/>
                <w:spacing w:val="-2"/>
                <w:sz w:val="21"/>
                <w:szCs w:val="21"/>
              </w:rPr>
              <w:t xml:space="preserve">9.1.1 </w:t>
            </w:r>
            <w:r>
              <w:rPr>
                <w:rFonts w:hint="eastAsia" w:ascii="Times New Roman" w:eastAsia="方正仿宋_GBK" w:cs="Times New Roman"/>
                <w:spacing w:val="-2"/>
                <w:sz w:val="21"/>
                <w:szCs w:val="21"/>
              </w:rPr>
              <w:t>应制定项目水资源综合利用方案。在满足国家和地方规定执行的相关设计标准和规范基础上，应符合下列规定：</w:t>
            </w:r>
          </w:p>
          <w:p>
            <w:pPr>
              <w:pStyle w:val="27"/>
              <w:spacing w:line="320" w:lineRule="exact"/>
              <w:jc w:val="both"/>
              <w:rPr>
                <w:rFonts w:ascii="Times New Roman" w:eastAsia="方正仿宋_GBK" w:cs="Times New Roman"/>
                <w:spacing w:val="-2"/>
                <w:sz w:val="21"/>
                <w:szCs w:val="21"/>
              </w:rPr>
            </w:pPr>
            <w:r>
              <w:rPr>
                <w:rFonts w:ascii="Times New Roman" w:eastAsia="方正仿宋_GBK" w:cs="Times New Roman"/>
                <w:spacing w:val="-2"/>
                <w:sz w:val="21"/>
                <w:szCs w:val="21"/>
              </w:rPr>
              <w:t xml:space="preserve">1 </w:t>
            </w:r>
            <w:r>
              <w:rPr>
                <w:rFonts w:hint="eastAsia" w:ascii="Times New Roman" w:eastAsia="方正仿宋_GBK" w:cs="Times New Roman"/>
                <w:spacing w:val="-2"/>
                <w:sz w:val="21"/>
                <w:szCs w:val="21"/>
              </w:rPr>
              <w:t>规划用地面积大于等于</w:t>
            </w:r>
            <w:r>
              <w:rPr>
                <w:rFonts w:ascii="Times New Roman" w:eastAsia="方正仿宋_GBK" w:cs="Times New Roman"/>
                <w:spacing w:val="-2"/>
                <w:sz w:val="21"/>
                <w:szCs w:val="21"/>
              </w:rPr>
              <w:t>20000m</w:t>
            </w:r>
            <w:r>
              <w:rPr>
                <w:rFonts w:ascii="Times New Roman" w:eastAsia="方正仿宋_GBK" w:cs="Times New Roman"/>
                <w:spacing w:val="-2"/>
                <w:sz w:val="21"/>
                <w:szCs w:val="21"/>
                <w:vertAlign w:val="superscript"/>
              </w:rPr>
              <w:t>2</w:t>
            </w:r>
            <w:r>
              <w:rPr>
                <w:rFonts w:hint="eastAsia" w:ascii="Times New Roman" w:eastAsia="方正仿宋_GBK" w:cs="Times New Roman"/>
                <w:spacing w:val="-2"/>
                <w:sz w:val="21"/>
                <w:szCs w:val="21"/>
              </w:rPr>
              <w:t>新建项目应采取雨水回用措施，雨水收集面积不少于项目规划用地面积的三分之一，或项目所有绿化、道路浇洒、水景补充水全部采用非传统水源；规划用地面积大于等于</w:t>
            </w:r>
            <w:r>
              <w:rPr>
                <w:rFonts w:ascii="Times New Roman" w:eastAsia="方正仿宋_GBK" w:cs="Times New Roman"/>
                <w:spacing w:val="-2"/>
                <w:sz w:val="21"/>
                <w:szCs w:val="21"/>
              </w:rPr>
              <w:t>100000</w:t>
            </w:r>
            <w:r>
              <w:rPr>
                <w:rFonts w:hint="eastAsia" w:ascii="Times New Roman" w:eastAsia="方正仿宋_GBK" w:cs="Times New Roman"/>
                <w:spacing w:val="-2"/>
                <w:sz w:val="21"/>
                <w:szCs w:val="21"/>
              </w:rPr>
              <w:t>㎡的新建项目在水资源综合利用方案中应编制绿色雨水基础设施建设和雨水利用专篇。</w:t>
            </w:r>
          </w:p>
          <w:p>
            <w:pPr>
              <w:pStyle w:val="27"/>
              <w:spacing w:line="320" w:lineRule="exact"/>
              <w:jc w:val="both"/>
              <w:rPr>
                <w:rFonts w:ascii="Times New Roman" w:eastAsia="方正仿宋_GBK" w:cs="Times New Roman"/>
                <w:spacing w:val="-2"/>
                <w:sz w:val="21"/>
                <w:szCs w:val="21"/>
              </w:rPr>
            </w:pPr>
            <w:r>
              <w:rPr>
                <w:rFonts w:ascii="Times New Roman" w:eastAsia="方正仿宋_GBK" w:cs="Times New Roman"/>
                <w:spacing w:val="-2"/>
                <w:sz w:val="21"/>
                <w:szCs w:val="21"/>
              </w:rPr>
              <w:t xml:space="preserve">3 </w:t>
            </w:r>
            <w:r>
              <w:rPr>
                <w:rFonts w:hint="eastAsia" w:ascii="Times New Roman" w:eastAsia="方正仿宋_GBK" w:cs="Times New Roman"/>
                <w:spacing w:val="-2"/>
                <w:sz w:val="21"/>
                <w:szCs w:val="21"/>
              </w:rPr>
              <w:t>景观用水不得使用市政自来水和地下水。</w:t>
            </w:r>
          </w:p>
          <w:p>
            <w:pPr>
              <w:autoSpaceDE w:val="0"/>
              <w:autoSpaceDN w:val="0"/>
              <w:adjustRightInd w:val="0"/>
              <w:spacing w:line="320" w:lineRule="exact"/>
              <w:rPr>
                <w:rFonts w:eastAsia="方正仿宋_GBK"/>
                <w:color w:val="000000"/>
                <w:spacing w:val="-2"/>
                <w:kern w:val="0"/>
                <w:szCs w:val="21"/>
              </w:rPr>
            </w:pPr>
            <w:r>
              <w:rPr>
                <w:rFonts w:eastAsia="方正仿宋_GBK"/>
                <w:color w:val="000000"/>
                <w:spacing w:val="-2"/>
                <w:szCs w:val="21"/>
              </w:rPr>
              <w:t xml:space="preserve">4 </w:t>
            </w:r>
            <w:r>
              <w:rPr>
                <w:rFonts w:hint="eastAsia" w:eastAsia="方正仿宋_GBK"/>
                <w:color w:val="000000"/>
                <w:spacing w:val="-2"/>
                <w:szCs w:val="21"/>
              </w:rPr>
              <w:t>作为项目配套的游泳池、游乐池、水上乐园、洗车场、集中空调用冷却水等用水系统应采取循环处理措施，减少耗水量。</w:t>
            </w:r>
          </w:p>
        </w:tc>
        <w:tc>
          <w:tcPr>
            <w:tcW w:w="3340" w:type="dxa"/>
            <w:tcBorders>
              <w:top w:val="single" w:color="auto" w:sz="4" w:space="0"/>
              <w:left w:val="single" w:color="auto" w:sz="4" w:space="0"/>
              <w:bottom w:val="single" w:color="auto" w:sz="4" w:space="0"/>
              <w:right w:val="single" w:color="auto" w:sz="8" w:space="0"/>
            </w:tcBorders>
            <w:noWrap w:val="0"/>
            <w:vAlign w:val="top"/>
          </w:tcPr>
          <w:p>
            <w:pPr>
              <w:pStyle w:val="27"/>
              <w:spacing w:line="320" w:lineRule="exact"/>
              <w:jc w:val="both"/>
              <w:rPr>
                <w:rFonts w:ascii="Times New Roman" w:eastAsia="方正仿宋_GBK" w:cs="Times New Roman"/>
                <w:spacing w:val="-2"/>
                <w:sz w:val="21"/>
                <w:szCs w:val="21"/>
              </w:rPr>
            </w:pPr>
            <w:r>
              <w:rPr>
                <w:rFonts w:hint="eastAsia" w:ascii="Times New Roman" w:eastAsia="方正仿宋_GBK" w:cs="Times New Roman"/>
                <w:spacing w:val="-2"/>
                <w:sz w:val="21"/>
                <w:szCs w:val="21"/>
              </w:rPr>
              <w:t>方案绿色设计专项说明中按本条规定说明雨水利用措施、景观用水采用非传统水源及集中空调用冷却水、游泳池等用水采取循环处理措施的情况。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35" w:hRule="atLeast"/>
        </w:trPr>
        <w:tc>
          <w:tcPr>
            <w:tcW w:w="629" w:type="dxa"/>
            <w:tcBorders>
              <w:top w:val="single" w:color="auto" w:sz="4" w:space="0"/>
              <w:left w:val="single" w:color="auto" w:sz="8" w:space="0"/>
              <w:bottom w:val="single" w:color="auto" w:sz="8" w:space="0"/>
              <w:right w:val="single" w:color="auto" w:sz="4" w:space="0"/>
            </w:tcBorders>
            <w:noWrap w:val="0"/>
            <w:vAlign w:val="center"/>
          </w:tcPr>
          <w:p>
            <w:pPr>
              <w:spacing w:line="320" w:lineRule="exact"/>
              <w:jc w:val="center"/>
              <w:rPr>
                <w:rFonts w:eastAsia="方正仿宋_GBK"/>
                <w:color w:val="000000"/>
                <w:spacing w:val="-2"/>
                <w:szCs w:val="21"/>
              </w:rPr>
            </w:pPr>
            <w:r>
              <w:rPr>
                <w:rFonts w:eastAsia="方正仿宋_GBK"/>
                <w:color w:val="000000"/>
                <w:spacing w:val="-2"/>
                <w:szCs w:val="21"/>
              </w:rPr>
              <w:t>20</w:t>
            </w:r>
          </w:p>
        </w:tc>
        <w:tc>
          <w:tcPr>
            <w:tcW w:w="4771" w:type="dxa"/>
            <w:tcBorders>
              <w:top w:val="single" w:color="auto" w:sz="4" w:space="0"/>
              <w:left w:val="single" w:color="auto" w:sz="4" w:space="0"/>
              <w:bottom w:val="single" w:color="auto" w:sz="8" w:space="0"/>
              <w:right w:val="single" w:color="auto" w:sz="4" w:space="0"/>
            </w:tcBorders>
            <w:noWrap w:val="0"/>
            <w:vAlign w:val="top"/>
          </w:tcPr>
          <w:p>
            <w:pPr>
              <w:autoSpaceDE w:val="0"/>
              <w:autoSpaceDN w:val="0"/>
              <w:adjustRightInd w:val="0"/>
              <w:spacing w:line="320" w:lineRule="exact"/>
              <w:rPr>
                <w:rFonts w:eastAsia="方正仿宋_GBK"/>
                <w:color w:val="000000"/>
                <w:spacing w:val="-2"/>
                <w:kern w:val="0"/>
                <w:szCs w:val="21"/>
              </w:rPr>
            </w:pPr>
            <w:r>
              <w:rPr>
                <w:rFonts w:eastAsia="方正仿宋_GBK"/>
                <w:color w:val="000000"/>
                <w:spacing w:val="-2"/>
                <w:kern w:val="0"/>
                <w:szCs w:val="21"/>
              </w:rPr>
              <w:t xml:space="preserve">9.6.1 </w:t>
            </w:r>
            <w:r>
              <w:rPr>
                <w:rFonts w:hint="eastAsia" w:eastAsia="方正仿宋_GBK"/>
                <w:color w:val="000000"/>
                <w:spacing w:val="-2"/>
                <w:kern w:val="0"/>
                <w:szCs w:val="21"/>
              </w:rPr>
              <w:t>住宅的生活热水应采用太阳能热水供应系统。</w:t>
            </w:r>
            <w:r>
              <w:rPr>
                <w:rFonts w:eastAsia="方正仿宋_GBK"/>
                <w:color w:val="000000"/>
                <w:spacing w:val="-2"/>
                <w:kern w:val="0"/>
                <w:szCs w:val="21"/>
              </w:rPr>
              <w:t>6</w:t>
            </w:r>
            <w:r>
              <w:rPr>
                <w:rFonts w:hint="eastAsia" w:eastAsia="方正仿宋_GBK"/>
                <w:color w:val="000000"/>
                <w:spacing w:val="-2"/>
                <w:kern w:val="0"/>
                <w:szCs w:val="21"/>
              </w:rPr>
              <w:t>层及</w:t>
            </w:r>
            <w:r>
              <w:rPr>
                <w:rFonts w:eastAsia="方正仿宋_GBK"/>
                <w:color w:val="000000"/>
                <w:spacing w:val="-2"/>
                <w:kern w:val="0"/>
                <w:szCs w:val="21"/>
              </w:rPr>
              <w:t>6</w:t>
            </w:r>
            <w:r>
              <w:rPr>
                <w:rFonts w:hint="eastAsia" w:eastAsia="方正仿宋_GBK"/>
                <w:color w:val="000000"/>
                <w:spacing w:val="-2"/>
                <w:kern w:val="0"/>
                <w:szCs w:val="21"/>
              </w:rPr>
              <w:t>层以下的住宅，应采用太阳能热水供应系统；超过</w:t>
            </w:r>
            <w:r>
              <w:rPr>
                <w:rFonts w:eastAsia="方正仿宋_GBK"/>
                <w:color w:val="000000"/>
                <w:spacing w:val="-2"/>
                <w:kern w:val="0"/>
                <w:szCs w:val="21"/>
              </w:rPr>
              <w:t>6</w:t>
            </w:r>
            <w:r>
              <w:rPr>
                <w:rFonts w:hint="eastAsia" w:eastAsia="方正仿宋_GBK"/>
                <w:color w:val="000000"/>
                <w:spacing w:val="-2"/>
                <w:kern w:val="0"/>
                <w:szCs w:val="21"/>
              </w:rPr>
              <w:t>层的住宅，应至少为最高供水分区内的每户设置太阳能热水供应系统，且应用总层数不少于</w:t>
            </w:r>
            <w:r>
              <w:rPr>
                <w:rFonts w:eastAsia="方正仿宋_GBK"/>
                <w:color w:val="000000"/>
                <w:spacing w:val="-2"/>
                <w:kern w:val="0"/>
                <w:szCs w:val="21"/>
              </w:rPr>
              <w:t>6</w:t>
            </w:r>
            <w:r>
              <w:rPr>
                <w:rFonts w:hint="eastAsia" w:eastAsia="方正仿宋_GBK"/>
                <w:color w:val="000000"/>
                <w:spacing w:val="-2"/>
                <w:kern w:val="0"/>
                <w:szCs w:val="21"/>
              </w:rPr>
              <w:t>层。有热水供应需求的学校、医院、宾馆、体育馆等公共建筑应采用太阳能热水供应系统。由地源热泵系统提供夏季和冬季生活热水时，可不再设置太阳能热水供应系统。</w:t>
            </w:r>
          </w:p>
        </w:tc>
        <w:tc>
          <w:tcPr>
            <w:tcW w:w="3340" w:type="dxa"/>
            <w:tcBorders>
              <w:top w:val="single" w:color="auto" w:sz="4" w:space="0"/>
              <w:left w:val="single" w:color="auto" w:sz="4" w:space="0"/>
              <w:bottom w:val="single" w:color="auto" w:sz="8" w:space="0"/>
              <w:right w:val="single" w:color="auto" w:sz="8" w:space="0"/>
            </w:tcBorders>
            <w:noWrap w:val="0"/>
            <w:vAlign w:val="top"/>
          </w:tcPr>
          <w:p>
            <w:pPr>
              <w:autoSpaceDE w:val="0"/>
              <w:autoSpaceDN w:val="0"/>
              <w:adjustRightInd w:val="0"/>
              <w:spacing w:line="320" w:lineRule="exact"/>
              <w:rPr>
                <w:rFonts w:eastAsia="方正仿宋_GBK"/>
                <w:color w:val="000000"/>
                <w:spacing w:val="-2"/>
                <w:szCs w:val="21"/>
              </w:rPr>
            </w:pPr>
            <w:r>
              <w:rPr>
                <w:rFonts w:hint="eastAsia" w:eastAsia="方正仿宋_GBK"/>
                <w:color w:val="000000"/>
                <w:spacing w:val="-2"/>
                <w:kern w:val="0"/>
                <w:szCs w:val="21"/>
              </w:rPr>
              <w:t>方案绿色设计专项说明中应说明居住建筑及有热水需求的公共建筑中，太阳能热水系统应用情况、系统选用方式及太阳能集热器布置位置。</w:t>
            </w:r>
          </w:p>
        </w:tc>
      </w:tr>
    </w:tbl>
    <w:p>
      <w:pPr>
        <w:jc w:val="center"/>
        <w:rPr>
          <w:rFonts w:hint="eastAsia"/>
          <w:color w:val="000000"/>
          <w:spacing w:val="-2"/>
        </w:rPr>
      </w:pPr>
    </w:p>
    <w:p>
      <w:pPr>
        <w:spacing w:line="460" w:lineRule="exact"/>
        <w:rPr>
          <w:rFonts w:ascii="Times New Roman" w:eastAsia="方正黑体_GBK"/>
          <w:color w:val="000000"/>
          <w:spacing w:val="-2"/>
          <w:sz w:val="28"/>
          <w:szCs w:val="28"/>
        </w:rPr>
      </w:pPr>
      <w:r>
        <w:rPr>
          <w:color w:val="000000"/>
          <w:spacing w:val="-2"/>
          <w:sz w:val="28"/>
          <w:szCs w:val="28"/>
        </w:rPr>
        <w:br w:type="column"/>
      </w:r>
      <w:r>
        <w:rPr>
          <w:rFonts w:hint="eastAsia" w:ascii="Times New Roman" w:eastAsia="方正黑体_GBK"/>
          <w:color w:val="000000"/>
          <w:spacing w:val="-2"/>
          <w:sz w:val="28"/>
          <w:szCs w:val="28"/>
        </w:rPr>
        <w:t>附件3</w:t>
      </w:r>
    </w:p>
    <w:p>
      <w:pPr>
        <w:spacing w:before="240" w:beforeLines="100" w:after="240" w:afterLines="100" w:line="440" w:lineRule="exact"/>
        <w:jc w:val="center"/>
        <w:rPr>
          <w:rFonts w:hint="eastAsia" w:ascii="Times New Roman" w:eastAsia="方正黑体_GBK"/>
          <w:color w:val="000000"/>
          <w:spacing w:val="-2"/>
          <w:sz w:val="28"/>
          <w:szCs w:val="28"/>
        </w:rPr>
      </w:pPr>
      <w:r>
        <w:rPr>
          <w:rFonts w:hint="eastAsia" w:ascii="Times New Roman" w:eastAsia="方正黑体_GBK"/>
          <w:color w:val="000000"/>
          <w:spacing w:val="-2"/>
          <w:sz w:val="28"/>
          <w:szCs w:val="28"/>
        </w:rPr>
        <w:t>江苏省民用建筑设计方案绿色设计报审表（公共建筑）</w:t>
      </w:r>
    </w:p>
    <w:tbl>
      <w:tblPr>
        <w:tblStyle w:val="12"/>
        <w:tblW w:w="0" w:type="auto"/>
        <w:tblInd w:w="1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1595"/>
        <w:gridCol w:w="1352"/>
        <w:gridCol w:w="979"/>
        <w:gridCol w:w="1123"/>
        <w:gridCol w:w="79"/>
        <w:gridCol w:w="1327"/>
        <w:gridCol w:w="10"/>
        <w:gridCol w:w="1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744" w:type="dxa"/>
            <w:gridSpan w:val="9"/>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r>
              <w:rPr>
                <w:rFonts w:hint="eastAsia" w:eastAsia="方正仿宋_GBK"/>
                <w:color w:val="000000"/>
                <w:spacing w:val="-2"/>
                <w:szCs w:val="21"/>
              </w:rPr>
              <w:t>一、项目基本情况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14"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r>
              <w:rPr>
                <w:rFonts w:hint="eastAsia" w:eastAsia="方正仿宋_GBK"/>
                <w:color w:val="000000"/>
                <w:spacing w:val="-2"/>
                <w:szCs w:val="21"/>
              </w:rPr>
              <w:t>单位</w:t>
            </w:r>
          </w:p>
          <w:p>
            <w:pPr>
              <w:snapToGrid w:val="0"/>
              <w:jc w:val="center"/>
              <w:rPr>
                <w:rFonts w:eastAsia="方正仿宋_GBK"/>
                <w:color w:val="000000"/>
                <w:spacing w:val="-2"/>
                <w:szCs w:val="21"/>
              </w:rPr>
            </w:pPr>
            <w:r>
              <w:rPr>
                <w:rFonts w:hint="eastAsia" w:eastAsia="方正仿宋_GBK"/>
                <w:color w:val="000000"/>
                <w:spacing w:val="-2"/>
                <w:szCs w:val="21"/>
              </w:rPr>
              <w:t>概况</w:t>
            </w:r>
          </w:p>
        </w:tc>
        <w:tc>
          <w:tcPr>
            <w:tcW w:w="159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r>
              <w:rPr>
                <w:rFonts w:hint="eastAsia" w:eastAsia="方正仿宋_GBK"/>
                <w:color w:val="000000"/>
                <w:spacing w:val="-2"/>
                <w:szCs w:val="21"/>
              </w:rPr>
              <w:t>建设单位</w:t>
            </w:r>
          </w:p>
          <w:p>
            <w:pPr>
              <w:snapToGrid w:val="0"/>
              <w:jc w:val="center"/>
              <w:rPr>
                <w:rFonts w:eastAsia="方正仿宋_GBK"/>
                <w:color w:val="000000"/>
                <w:spacing w:val="-2"/>
                <w:szCs w:val="21"/>
              </w:rPr>
            </w:pPr>
            <w:r>
              <w:rPr>
                <w:rFonts w:hint="eastAsia" w:eastAsia="方正仿宋_GBK"/>
                <w:color w:val="000000"/>
                <w:spacing w:val="-2"/>
                <w:szCs w:val="21"/>
              </w:rPr>
              <w:t>（盖章）</w:t>
            </w:r>
          </w:p>
        </w:tc>
        <w:tc>
          <w:tcPr>
            <w:tcW w:w="3533" w:type="dxa"/>
            <w:gridSpan w:val="4"/>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p>
        </w:tc>
        <w:tc>
          <w:tcPr>
            <w:tcW w:w="1337"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r>
              <w:rPr>
                <w:rFonts w:hint="eastAsia" w:eastAsia="方正仿宋_GBK"/>
                <w:color w:val="000000"/>
                <w:spacing w:val="-2"/>
                <w:szCs w:val="21"/>
              </w:rPr>
              <w:t>单位代码</w:t>
            </w:r>
          </w:p>
        </w:tc>
        <w:tc>
          <w:tcPr>
            <w:tcW w:w="146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1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59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r>
              <w:rPr>
                <w:rFonts w:hint="eastAsia" w:eastAsia="方正仿宋_GBK"/>
                <w:color w:val="000000"/>
                <w:spacing w:val="-2"/>
                <w:szCs w:val="21"/>
              </w:rPr>
              <w:t>法定代表</w:t>
            </w:r>
          </w:p>
        </w:tc>
        <w:tc>
          <w:tcPr>
            <w:tcW w:w="1352"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p>
        </w:tc>
        <w:tc>
          <w:tcPr>
            <w:tcW w:w="97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r>
              <w:rPr>
                <w:rFonts w:hint="eastAsia" w:eastAsia="方正仿宋_GBK"/>
                <w:color w:val="000000"/>
                <w:spacing w:val="-2"/>
                <w:szCs w:val="21"/>
              </w:rPr>
              <w:t>联系人</w:t>
            </w:r>
          </w:p>
        </w:tc>
        <w:tc>
          <w:tcPr>
            <w:tcW w:w="1202"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p>
        </w:tc>
        <w:tc>
          <w:tcPr>
            <w:tcW w:w="1337"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r>
              <w:rPr>
                <w:rFonts w:hint="eastAsia" w:eastAsia="方正仿宋_GBK"/>
                <w:color w:val="000000"/>
                <w:spacing w:val="-2"/>
                <w:szCs w:val="21"/>
              </w:rPr>
              <w:t>联系电话</w:t>
            </w:r>
          </w:p>
        </w:tc>
        <w:tc>
          <w:tcPr>
            <w:tcW w:w="146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1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59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r>
              <w:rPr>
                <w:rFonts w:hint="eastAsia" w:eastAsia="方正仿宋_GBK"/>
                <w:color w:val="000000"/>
                <w:spacing w:val="-2"/>
                <w:szCs w:val="21"/>
              </w:rPr>
              <w:t>设计单位</w:t>
            </w:r>
          </w:p>
        </w:tc>
        <w:tc>
          <w:tcPr>
            <w:tcW w:w="3533" w:type="dxa"/>
            <w:gridSpan w:val="4"/>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p>
        </w:tc>
        <w:tc>
          <w:tcPr>
            <w:tcW w:w="1337"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r>
              <w:rPr>
                <w:rFonts w:hint="eastAsia" w:eastAsia="方正仿宋_GBK"/>
                <w:color w:val="000000"/>
                <w:spacing w:val="-2"/>
                <w:szCs w:val="21"/>
              </w:rPr>
              <w:t>单位代码</w:t>
            </w:r>
          </w:p>
        </w:tc>
        <w:tc>
          <w:tcPr>
            <w:tcW w:w="146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1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59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r>
              <w:rPr>
                <w:rFonts w:hint="eastAsia" w:eastAsia="方正仿宋_GBK"/>
                <w:color w:val="000000"/>
                <w:spacing w:val="-2"/>
                <w:szCs w:val="21"/>
              </w:rPr>
              <w:t>项目负责人</w:t>
            </w:r>
          </w:p>
          <w:p>
            <w:pPr>
              <w:snapToGrid w:val="0"/>
              <w:jc w:val="center"/>
              <w:rPr>
                <w:rFonts w:eastAsia="方正仿宋_GBK"/>
                <w:color w:val="000000"/>
                <w:spacing w:val="-2"/>
                <w:szCs w:val="21"/>
              </w:rPr>
            </w:pPr>
            <w:r>
              <w:rPr>
                <w:rFonts w:hint="eastAsia" w:eastAsia="方正仿宋_GBK"/>
                <w:color w:val="000000"/>
                <w:spacing w:val="-2"/>
                <w:szCs w:val="21"/>
              </w:rPr>
              <w:t>（盖注册章）</w:t>
            </w:r>
          </w:p>
        </w:tc>
        <w:tc>
          <w:tcPr>
            <w:tcW w:w="6335" w:type="dxa"/>
            <w:gridSpan w:val="7"/>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1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59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r>
              <w:rPr>
                <w:rFonts w:hint="eastAsia" w:eastAsia="方正仿宋_GBK"/>
                <w:color w:val="000000"/>
                <w:spacing w:val="-2"/>
                <w:szCs w:val="21"/>
              </w:rPr>
              <w:t>项目名称</w:t>
            </w:r>
          </w:p>
        </w:tc>
        <w:tc>
          <w:tcPr>
            <w:tcW w:w="3533" w:type="dxa"/>
            <w:gridSpan w:val="4"/>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p>
        </w:tc>
        <w:tc>
          <w:tcPr>
            <w:tcW w:w="1327"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r>
              <w:rPr>
                <w:rFonts w:hint="eastAsia" w:eastAsia="方正仿宋_GBK"/>
                <w:color w:val="000000"/>
                <w:spacing w:val="-2"/>
                <w:szCs w:val="21"/>
              </w:rPr>
              <w:t>子项</w:t>
            </w:r>
          </w:p>
        </w:tc>
        <w:tc>
          <w:tcPr>
            <w:tcW w:w="1475"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1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59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r>
              <w:rPr>
                <w:rFonts w:hint="eastAsia" w:eastAsia="方正仿宋_GBK"/>
                <w:color w:val="000000"/>
                <w:spacing w:val="-2"/>
                <w:szCs w:val="21"/>
              </w:rPr>
              <w:t>建设地点</w:t>
            </w:r>
          </w:p>
        </w:tc>
        <w:tc>
          <w:tcPr>
            <w:tcW w:w="3533" w:type="dxa"/>
            <w:gridSpan w:val="4"/>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p>
        </w:tc>
        <w:tc>
          <w:tcPr>
            <w:tcW w:w="1327"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r>
              <w:rPr>
                <w:rFonts w:hint="eastAsia" w:eastAsia="方正仿宋_GBK"/>
                <w:color w:val="000000"/>
                <w:spacing w:val="-2"/>
                <w:szCs w:val="21"/>
              </w:rPr>
              <w:t>气候分区</w:t>
            </w:r>
          </w:p>
        </w:tc>
        <w:tc>
          <w:tcPr>
            <w:tcW w:w="1475"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1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59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r>
              <w:rPr>
                <w:rFonts w:hint="eastAsia" w:eastAsia="方正仿宋_GBK"/>
                <w:color w:val="000000"/>
                <w:spacing w:val="-2"/>
                <w:szCs w:val="21"/>
              </w:rPr>
              <w:t>建筑性质</w:t>
            </w:r>
          </w:p>
        </w:tc>
        <w:tc>
          <w:tcPr>
            <w:tcW w:w="6335" w:type="dxa"/>
            <w:gridSpan w:val="7"/>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r>
              <w:rPr>
                <w:rFonts w:hint="eastAsia" w:eastAsia="方正仿宋_GBK"/>
                <w:color w:val="000000"/>
                <w:spacing w:val="-2"/>
                <w:szCs w:val="21"/>
              </w:rPr>
              <w:t>如（如办公、酒店、商业等）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1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59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r>
              <w:rPr>
                <w:rFonts w:hint="eastAsia" w:eastAsia="方正仿宋_GBK"/>
                <w:color w:val="000000"/>
                <w:spacing w:val="-2"/>
                <w:szCs w:val="21"/>
              </w:rPr>
              <w:t>建筑节能</w:t>
            </w:r>
          </w:p>
          <w:p>
            <w:pPr>
              <w:snapToGrid w:val="0"/>
              <w:jc w:val="center"/>
              <w:rPr>
                <w:rFonts w:eastAsia="方正仿宋_GBK"/>
                <w:color w:val="000000"/>
                <w:spacing w:val="-2"/>
                <w:szCs w:val="21"/>
              </w:rPr>
            </w:pPr>
            <w:r>
              <w:rPr>
                <w:rFonts w:hint="eastAsia" w:eastAsia="方正仿宋_GBK"/>
                <w:color w:val="000000"/>
                <w:spacing w:val="-2"/>
                <w:szCs w:val="21"/>
              </w:rPr>
              <w:t>类别</w:t>
            </w:r>
          </w:p>
        </w:tc>
        <w:tc>
          <w:tcPr>
            <w:tcW w:w="6335" w:type="dxa"/>
            <w:gridSpan w:val="7"/>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r>
              <w:rPr>
                <w:rFonts w:hint="eastAsia" w:ascii="Times New Roman" w:hAnsi="Times New Roman"/>
                <w:color w:val="000000"/>
                <w:spacing w:val="-2"/>
                <w:szCs w:val="21"/>
              </w:rPr>
              <w:t xml:space="preserve"> □</w:t>
            </w:r>
            <w:r>
              <w:rPr>
                <w:rFonts w:hint="eastAsia" w:eastAsia="方正仿宋_GBK"/>
                <w:color w:val="000000"/>
                <w:spacing w:val="-2"/>
                <w:szCs w:val="21"/>
              </w:rPr>
              <w:t>甲类建筑</w:t>
            </w:r>
            <w:r>
              <w:rPr>
                <w:rFonts w:eastAsia="方正仿宋_GBK"/>
                <w:color w:val="000000"/>
                <w:spacing w:val="-2"/>
                <w:szCs w:val="21"/>
              </w:rPr>
              <w:t xml:space="preserve">     </w:t>
            </w:r>
            <w:r>
              <w:rPr>
                <w:rFonts w:hint="eastAsia" w:ascii="Times New Roman" w:hAnsi="Times New Roman"/>
                <w:color w:val="000000"/>
                <w:spacing w:val="-2"/>
                <w:szCs w:val="21"/>
              </w:rPr>
              <w:t>□</w:t>
            </w:r>
            <w:r>
              <w:rPr>
                <w:rFonts w:hint="eastAsia" w:eastAsia="方正仿宋_GBK"/>
                <w:color w:val="000000"/>
                <w:spacing w:val="-2"/>
                <w:szCs w:val="21"/>
              </w:rPr>
              <w:t>乙类建筑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1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59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r>
              <w:rPr>
                <w:rFonts w:hint="eastAsia" w:eastAsia="方正仿宋_GBK"/>
                <w:color w:val="000000"/>
                <w:spacing w:val="-2"/>
                <w:szCs w:val="21"/>
              </w:rPr>
              <w:t>节能水平</w:t>
            </w:r>
          </w:p>
        </w:tc>
        <w:tc>
          <w:tcPr>
            <w:tcW w:w="6335" w:type="dxa"/>
            <w:gridSpan w:val="7"/>
            <w:tcBorders>
              <w:top w:val="single" w:color="auto" w:sz="4" w:space="0"/>
              <w:left w:val="single" w:color="auto" w:sz="4" w:space="0"/>
              <w:bottom w:val="single" w:color="auto" w:sz="4" w:space="0"/>
              <w:right w:val="single" w:color="auto" w:sz="4" w:space="0"/>
            </w:tcBorders>
            <w:noWrap w:val="0"/>
            <w:vAlign w:val="center"/>
          </w:tcPr>
          <w:p>
            <w:pPr>
              <w:snapToGrid w:val="0"/>
              <w:rPr>
                <w:rFonts w:eastAsia="方正仿宋_GBK"/>
                <w:color w:val="000000"/>
                <w:spacing w:val="-2"/>
                <w:szCs w:val="21"/>
              </w:rPr>
            </w:pPr>
            <w:r>
              <w:rPr>
                <w:rFonts w:hint="eastAsia" w:ascii="Times New Roman" w:hAnsi="Times New Roman"/>
                <w:color w:val="000000"/>
                <w:spacing w:val="-2"/>
                <w:szCs w:val="21"/>
              </w:rPr>
              <w:t>□</w:t>
            </w:r>
            <w:r>
              <w:rPr>
                <w:rFonts w:eastAsia="方正仿宋_GBK"/>
                <w:color w:val="000000"/>
                <w:spacing w:val="-2"/>
                <w:szCs w:val="21"/>
              </w:rPr>
              <w:t xml:space="preserve">50%        </w:t>
            </w:r>
            <w:r>
              <w:rPr>
                <w:rFonts w:hint="eastAsia" w:ascii="Times New Roman" w:hAnsi="Times New Roman"/>
                <w:color w:val="000000"/>
                <w:spacing w:val="-2"/>
                <w:szCs w:val="21"/>
              </w:rPr>
              <w:t>□</w:t>
            </w:r>
            <w:r>
              <w:rPr>
                <w:rFonts w:eastAsia="方正仿宋_GBK"/>
                <w:color w:val="000000"/>
                <w:spacing w:val="-2"/>
                <w:szCs w:val="21"/>
              </w:rPr>
              <w:t xml:space="preserve">65%          </w:t>
            </w:r>
            <w:r>
              <w:rPr>
                <w:rFonts w:hint="eastAsia" w:ascii="Times New Roman" w:hAnsi="Times New Roman"/>
                <w:color w:val="000000"/>
                <w:spacing w:val="-2"/>
                <w:szCs w:val="21"/>
              </w:rPr>
              <w:t>□</w:t>
            </w:r>
            <w:r>
              <w:rPr>
                <w:rFonts w:hint="eastAsia" w:eastAsia="方正仿宋_GBK"/>
                <w:color w:val="000000"/>
                <w:spacing w:val="-2"/>
                <w:kern w:val="0"/>
                <w:szCs w:val="21"/>
              </w:rPr>
              <w:t>更高（</w:t>
            </w:r>
            <w:r>
              <w:rPr>
                <w:rFonts w:eastAsia="方正仿宋_GBK"/>
                <w:color w:val="000000"/>
                <w:spacing w:val="-2"/>
                <w:kern w:val="0"/>
                <w:szCs w:val="21"/>
              </w:rPr>
              <w:t xml:space="preserve">  </w:t>
            </w:r>
            <w:r>
              <w:rPr>
                <w:rFonts w:hint="eastAsia" w:eastAsia="方正仿宋_GBK"/>
                <w:color w:val="000000"/>
                <w:spacing w:val="-2"/>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1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595" w:type="dxa"/>
            <w:tcBorders>
              <w:top w:val="single" w:color="auto" w:sz="4" w:space="0"/>
              <w:left w:val="single" w:color="auto" w:sz="4" w:space="0"/>
              <w:bottom w:val="single" w:color="auto" w:sz="4" w:space="0"/>
              <w:right w:val="single" w:color="auto" w:sz="4" w:space="0"/>
            </w:tcBorders>
            <w:noWrap w:val="0"/>
            <w:vAlign w:val="center"/>
          </w:tcPr>
          <w:p>
            <w:pPr>
              <w:snapToGrid w:val="0"/>
              <w:ind w:left="-105" w:leftChars="-50" w:right="-105" w:rightChars="-50"/>
              <w:jc w:val="center"/>
              <w:rPr>
                <w:rFonts w:eastAsia="方正仿宋_GBK"/>
                <w:color w:val="000000"/>
                <w:spacing w:val="-2"/>
                <w:szCs w:val="21"/>
              </w:rPr>
            </w:pPr>
            <w:r>
              <w:rPr>
                <w:rFonts w:hint="eastAsia" w:eastAsia="方正仿宋_GBK"/>
                <w:color w:val="000000"/>
                <w:spacing w:val="-2"/>
                <w:szCs w:val="21"/>
              </w:rPr>
              <w:t>绿色建筑</w:t>
            </w:r>
          </w:p>
          <w:p>
            <w:pPr>
              <w:snapToGrid w:val="0"/>
              <w:ind w:left="-105" w:leftChars="-50" w:right="-105" w:rightChars="-50"/>
              <w:jc w:val="center"/>
              <w:rPr>
                <w:rFonts w:eastAsia="方正仿宋_GBK"/>
                <w:color w:val="000000"/>
                <w:spacing w:val="-2"/>
                <w:szCs w:val="21"/>
              </w:rPr>
            </w:pPr>
            <w:r>
              <w:rPr>
                <w:rFonts w:hint="eastAsia" w:eastAsia="方正仿宋_GBK"/>
                <w:color w:val="000000"/>
                <w:spacing w:val="-2"/>
                <w:szCs w:val="21"/>
              </w:rPr>
              <w:t>星级目标</w:t>
            </w:r>
          </w:p>
        </w:tc>
        <w:tc>
          <w:tcPr>
            <w:tcW w:w="6335" w:type="dxa"/>
            <w:gridSpan w:val="7"/>
            <w:tcBorders>
              <w:top w:val="single" w:color="auto" w:sz="4" w:space="0"/>
              <w:left w:val="single" w:color="auto" w:sz="4" w:space="0"/>
              <w:bottom w:val="single" w:color="auto" w:sz="4" w:space="0"/>
              <w:right w:val="single" w:color="auto" w:sz="4" w:space="0"/>
            </w:tcBorders>
            <w:noWrap w:val="0"/>
            <w:vAlign w:val="center"/>
          </w:tcPr>
          <w:p>
            <w:pPr>
              <w:snapToGrid w:val="0"/>
              <w:rPr>
                <w:rFonts w:eastAsia="方正仿宋_GBK"/>
                <w:color w:val="000000"/>
                <w:spacing w:val="-2"/>
                <w:szCs w:val="21"/>
              </w:rPr>
            </w:pPr>
            <w:r>
              <w:rPr>
                <w:rFonts w:hint="eastAsia" w:ascii="Times New Roman" w:hAnsi="Times New Roman"/>
                <w:color w:val="000000"/>
                <w:spacing w:val="-2"/>
                <w:szCs w:val="21"/>
              </w:rPr>
              <w:t>□</w:t>
            </w:r>
            <w:r>
              <w:rPr>
                <w:rFonts w:hint="eastAsia" w:eastAsia="方正仿宋_GBK"/>
                <w:color w:val="000000"/>
                <w:spacing w:val="-2"/>
                <w:szCs w:val="21"/>
              </w:rPr>
              <w:t>一星级</w:t>
            </w:r>
            <w:r>
              <w:rPr>
                <w:rFonts w:eastAsia="方正仿宋_GBK"/>
                <w:color w:val="000000"/>
                <w:spacing w:val="-2"/>
                <w:szCs w:val="21"/>
              </w:rPr>
              <w:t xml:space="preserve">      </w:t>
            </w:r>
            <w:r>
              <w:rPr>
                <w:rFonts w:hint="eastAsia" w:ascii="Times New Roman" w:hAnsi="Times New Roman"/>
                <w:color w:val="000000"/>
                <w:spacing w:val="-2"/>
                <w:szCs w:val="21"/>
              </w:rPr>
              <w:t>□</w:t>
            </w:r>
            <w:r>
              <w:rPr>
                <w:rFonts w:hint="eastAsia" w:eastAsia="方正仿宋_GBK"/>
                <w:color w:val="000000"/>
                <w:spacing w:val="-2"/>
                <w:szCs w:val="21"/>
              </w:rPr>
              <w:t>二星级</w:t>
            </w:r>
            <w:r>
              <w:rPr>
                <w:rFonts w:eastAsia="方正仿宋_GBK"/>
                <w:color w:val="000000"/>
                <w:spacing w:val="-2"/>
                <w:szCs w:val="21"/>
              </w:rPr>
              <w:t xml:space="preserve">       </w:t>
            </w:r>
            <w:r>
              <w:rPr>
                <w:rFonts w:hint="eastAsia" w:ascii="Times New Roman" w:hAnsi="Times New Roman"/>
                <w:color w:val="000000"/>
                <w:spacing w:val="-2"/>
                <w:szCs w:val="21"/>
              </w:rPr>
              <w:t xml:space="preserve"> □</w:t>
            </w:r>
            <w:r>
              <w:rPr>
                <w:rFonts w:hint="eastAsia" w:eastAsia="方正仿宋_GBK"/>
                <w:color w:val="000000"/>
                <w:spacing w:val="-2"/>
                <w:szCs w:val="21"/>
              </w:rPr>
              <w:t>三星级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1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59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r>
              <w:rPr>
                <w:rFonts w:hint="eastAsia" w:eastAsia="方正仿宋_GBK"/>
                <w:color w:val="000000"/>
                <w:spacing w:val="-2"/>
                <w:szCs w:val="21"/>
              </w:rPr>
              <w:t>可再生能源利用情况</w:t>
            </w:r>
          </w:p>
        </w:tc>
        <w:tc>
          <w:tcPr>
            <w:tcW w:w="6335" w:type="dxa"/>
            <w:gridSpan w:val="7"/>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1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59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r>
              <w:rPr>
                <w:rFonts w:hint="eastAsia" w:eastAsia="方正仿宋_GBK"/>
                <w:color w:val="000000"/>
                <w:spacing w:val="-2"/>
                <w:szCs w:val="21"/>
              </w:rPr>
              <w:t>建筑面积</w:t>
            </w:r>
          </w:p>
        </w:tc>
        <w:tc>
          <w:tcPr>
            <w:tcW w:w="3454" w:type="dxa"/>
            <w:gridSpan w:val="3"/>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p>
        </w:tc>
        <w:tc>
          <w:tcPr>
            <w:tcW w:w="1416" w:type="dxa"/>
            <w:gridSpan w:val="3"/>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r>
              <w:rPr>
                <w:rFonts w:hint="eastAsia" w:eastAsia="方正仿宋_GBK"/>
                <w:color w:val="000000"/>
                <w:spacing w:val="-2"/>
                <w:szCs w:val="21"/>
              </w:rPr>
              <w:t>建筑高度</w:t>
            </w:r>
          </w:p>
        </w:tc>
        <w:tc>
          <w:tcPr>
            <w:tcW w:w="146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1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59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r>
              <w:rPr>
                <w:rFonts w:hint="eastAsia" w:eastAsia="方正仿宋_GBK"/>
                <w:color w:val="000000"/>
                <w:spacing w:val="-2"/>
                <w:szCs w:val="21"/>
              </w:rPr>
              <w:t>建筑层数</w:t>
            </w:r>
          </w:p>
        </w:tc>
        <w:tc>
          <w:tcPr>
            <w:tcW w:w="3454" w:type="dxa"/>
            <w:gridSpan w:val="3"/>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p>
        </w:tc>
        <w:tc>
          <w:tcPr>
            <w:tcW w:w="1416" w:type="dxa"/>
            <w:gridSpan w:val="3"/>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r>
              <w:rPr>
                <w:rFonts w:hint="eastAsia" w:eastAsia="方正仿宋_GBK"/>
                <w:color w:val="000000"/>
                <w:spacing w:val="-2"/>
                <w:szCs w:val="21"/>
              </w:rPr>
              <w:t>结构体系</w:t>
            </w:r>
          </w:p>
        </w:tc>
        <w:tc>
          <w:tcPr>
            <w:tcW w:w="146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2" w:hRule="exact"/>
        </w:trPr>
        <w:tc>
          <w:tcPr>
            <w:tcW w:w="814"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r>
              <w:rPr>
                <w:rFonts w:hint="eastAsia" w:eastAsia="方正仿宋_GBK"/>
                <w:color w:val="000000"/>
                <w:spacing w:val="-2"/>
                <w:szCs w:val="21"/>
              </w:rPr>
              <w:t>附件</w:t>
            </w:r>
          </w:p>
          <w:p>
            <w:pPr>
              <w:snapToGrid w:val="0"/>
              <w:jc w:val="center"/>
              <w:rPr>
                <w:rFonts w:eastAsia="方正仿宋_GBK"/>
                <w:color w:val="000000"/>
                <w:spacing w:val="-2"/>
                <w:szCs w:val="21"/>
              </w:rPr>
            </w:pPr>
            <w:r>
              <w:rPr>
                <w:rFonts w:hint="eastAsia" w:eastAsia="方正仿宋_GBK"/>
                <w:color w:val="000000"/>
                <w:spacing w:val="-2"/>
                <w:szCs w:val="21"/>
              </w:rPr>
              <w:t>资料</w:t>
            </w:r>
          </w:p>
        </w:tc>
        <w:tc>
          <w:tcPr>
            <w:tcW w:w="7930" w:type="dxa"/>
            <w:gridSpan w:val="8"/>
            <w:tcBorders>
              <w:top w:val="single" w:color="auto" w:sz="4" w:space="0"/>
              <w:left w:val="single" w:color="auto" w:sz="4" w:space="0"/>
              <w:bottom w:val="single" w:color="auto" w:sz="4" w:space="0"/>
              <w:right w:val="single" w:color="auto" w:sz="4" w:space="0"/>
            </w:tcBorders>
            <w:noWrap w:val="0"/>
            <w:vAlign w:val="center"/>
          </w:tcPr>
          <w:p>
            <w:pPr>
              <w:pStyle w:val="18"/>
              <w:snapToGrid w:val="0"/>
              <w:ind w:firstLine="0" w:firstLineChars="0"/>
              <w:jc w:val="left"/>
              <w:rPr>
                <w:rFonts w:eastAsia="方正仿宋_GBK"/>
                <w:color w:val="000000"/>
                <w:spacing w:val="-2"/>
                <w:szCs w:val="21"/>
              </w:rPr>
            </w:pPr>
            <w:r>
              <w:rPr>
                <w:rFonts w:eastAsia="方正仿宋_GBK"/>
                <w:color w:val="000000"/>
                <w:spacing w:val="-2"/>
                <w:szCs w:val="21"/>
              </w:rPr>
              <w:t>1</w:t>
            </w:r>
            <w:r>
              <w:rPr>
                <w:rFonts w:hint="eastAsia" w:eastAsia="方正仿宋_GBK"/>
                <w:color w:val="000000"/>
                <w:spacing w:val="-2"/>
                <w:szCs w:val="21"/>
              </w:rPr>
              <w:t>、项目建筑设计方案绿色设计专项说明；</w:t>
            </w:r>
          </w:p>
          <w:p>
            <w:pPr>
              <w:pStyle w:val="18"/>
              <w:snapToGrid w:val="0"/>
              <w:ind w:firstLine="0" w:firstLineChars="0"/>
              <w:jc w:val="left"/>
              <w:rPr>
                <w:rFonts w:eastAsia="方正仿宋_GBK"/>
                <w:color w:val="000000"/>
                <w:spacing w:val="-2"/>
                <w:szCs w:val="21"/>
              </w:rPr>
            </w:pPr>
            <w:r>
              <w:rPr>
                <w:rFonts w:eastAsia="方正仿宋_GBK"/>
                <w:color w:val="000000"/>
                <w:spacing w:val="-2"/>
                <w:szCs w:val="21"/>
              </w:rPr>
              <w:t>2</w:t>
            </w:r>
            <w:r>
              <w:rPr>
                <w:rFonts w:hint="eastAsia" w:eastAsia="方正仿宋_GBK"/>
                <w:color w:val="000000"/>
                <w:spacing w:val="-2"/>
                <w:szCs w:val="21"/>
              </w:rPr>
              <w:t>、项目场地区位图、总平面图、平面图、立面图、剖面图；</w:t>
            </w:r>
          </w:p>
          <w:p>
            <w:pPr>
              <w:pStyle w:val="18"/>
              <w:snapToGrid w:val="0"/>
              <w:ind w:firstLine="0" w:firstLineChars="0"/>
              <w:jc w:val="left"/>
              <w:rPr>
                <w:rFonts w:eastAsia="方正仿宋_GBK"/>
                <w:color w:val="000000"/>
                <w:spacing w:val="-2"/>
                <w:szCs w:val="21"/>
              </w:rPr>
            </w:pPr>
            <w:r>
              <w:rPr>
                <w:rFonts w:eastAsia="方正仿宋_GBK"/>
                <w:color w:val="000000"/>
                <w:spacing w:val="-2"/>
                <w:szCs w:val="21"/>
              </w:rPr>
              <w:t>3</w:t>
            </w:r>
            <w:r>
              <w:rPr>
                <w:rFonts w:hint="eastAsia" w:eastAsia="方正仿宋_GBK"/>
                <w:color w:val="000000"/>
                <w:spacing w:val="-2"/>
                <w:szCs w:val="21"/>
              </w:rPr>
              <w:t>、相关评价分析报告及批文。</w:t>
            </w:r>
          </w:p>
        </w:tc>
      </w:tr>
    </w:tbl>
    <w:p>
      <w:pPr>
        <w:rPr>
          <w:rFonts w:hint="eastAsia"/>
          <w:color w:val="000000"/>
          <w:spacing w:val="-2"/>
        </w:rPr>
      </w:pPr>
    </w:p>
    <w:p>
      <w:pPr>
        <w:rPr>
          <w:color w:val="000000"/>
          <w:spacing w:val="-2"/>
        </w:rPr>
      </w:pPr>
    </w:p>
    <w:p>
      <w:pPr>
        <w:rPr>
          <w:color w:val="000000"/>
          <w:spacing w:val="-2"/>
        </w:rPr>
      </w:pP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7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583"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r>
              <w:rPr>
                <w:rFonts w:hint="eastAsia" w:eastAsia="方正仿宋_GBK"/>
                <w:color w:val="000000"/>
                <w:spacing w:val="-2"/>
                <w:szCs w:val="21"/>
              </w:rPr>
              <w:t>二、绿色设计审查意见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1" w:hRule="atLeast"/>
          <w:jc w:val="center"/>
        </w:trPr>
        <w:tc>
          <w:tcPr>
            <w:tcW w:w="8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eastAsia="方正仿宋_GBK"/>
                <w:color w:val="000000"/>
                <w:spacing w:val="-2"/>
                <w:szCs w:val="21"/>
              </w:rPr>
            </w:pPr>
            <w:r>
              <w:rPr>
                <w:rFonts w:hint="eastAsia" w:eastAsia="方正仿宋_GBK"/>
                <w:color w:val="000000"/>
                <w:spacing w:val="-2"/>
                <w:szCs w:val="21"/>
              </w:rPr>
              <w:t>建设</w:t>
            </w:r>
          </w:p>
          <w:p>
            <w:pPr>
              <w:spacing w:line="360" w:lineRule="auto"/>
              <w:jc w:val="center"/>
              <w:rPr>
                <w:rFonts w:eastAsia="方正仿宋_GBK"/>
                <w:color w:val="000000"/>
                <w:spacing w:val="-2"/>
                <w:szCs w:val="21"/>
              </w:rPr>
            </w:pPr>
            <w:r>
              <w:rPr>
                <w:rFonts w:hint="eastAsia" w:eastAsia="方正仿宋_GBK"/>
                <w:color w:val="000000"/>
                <w:spacing w:val="-2"/>
                <w:szCs w:val="21"/>
              </w:rPr>
              <w:t>主管</w:t>
            </w:r>
          </w:p>
          <w:p>
            <w:pPr>
              <w:spacing w:line="360" w:lineRule="auto"/>
              <w:jc w:val="center"/>
              <w:rPr>
                <w:rFonts w:eastAsia="方正仿宋_GBK"/>
                <w:color w:val="000000"/>
                <w:spacing w:val="-2"/>
                <w:szCs w:val="21"/>
              </w:rPr>
            </w:pPr>
            <w:r>
              <w:rPr>
                <w:rFonts w:hint="eastAsia" w:eastAsia="方正仿宋_GBK"/>
                <w:color w:val="000000"/>
                <w:spacing w:val="-2"/>
                <w:szCs w:val="21"/>
              </w:rPr>
              <w:t>部门</w:t>
            </w:r>
          </w:p>
          <w:p>
            <w:pPr>
              <w:spacing w:line="360" w:lineRule="auto"/>
              <w:jc w:val="center"/>
              <w:rPr>
                <w:rFonts w:eastAsia="方正仿宋_GBK"/>
                <w:color w:val="000000"/>
                <w:spacing w:val="-2"/>
                <w:szCs w:val="21"/>
              </w:rPr>
            </w:pPr>
            <w:r>
              <w:rPr>
                <w:rFonts w:hint="eastAsia" w:eastAsia="方正仿宋_GBK"/>
                <w:color w:val="000000"/>
                <w:spacing w:val="-2"/>
                <w:szCs w:val="21"/>
              </w:rPr>
              <w:t>意见</w:t>
            </w:r>
          </w:p>
        </w:tc>
        <w:tc>
          <w:tcPr>
            <w:tcW w:w="77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eastAsia="方正仿宋_GBK"/>
                <w:color w:val="000000"/>
                <w:spacing w:val="-2"/>
                <w:szCs w:val="21"/>
              </w:rPr>
            </w:pPr>
          </w:p>
          <w:p>
            <w:pPr>
              <w:spacing w:line="360" w:lineRule="auto"/>
              <w:rPr>
                <w:rFonts w:eastAsia="方正仿宋_GBK"/>
                <w:color w:val="000000"/>
                <w:spacing w:val="-2"/>
                <w:szCs w:val="21"/>
              </w:rPr>
            </w:pPr>
          </w:p>
          <w:p>
            <w:pPr>
              <w:spacing w:line="360" w:lineRule="auto"/>
              <w:rPr>
                <w:rFonts w:eastAsia="方正仿宋_GBK"/>
                <w:color w:val="000000"/>
                <w:spacing w:val="-2"/>
                <w:szCs w:val="21"/>
              </w:rPr>
            </w:pPr>
          </w:p>
          <w:p>
            <w:pPr>
              <w:spacing w:line="360" w:lineRule="auto"/>
              <w:rPr>
                <w:rFonts w:eastAsia="方正仿宋_GBK"/>
                <w:color w:val="000000"/>
                <w:spacing w:val="-2"/>
                <w:szCs w:val="21"/>
              </w:rPr>
            </w:pPr>
          </w:p>
          <w:p>
            <w:pPr>
              <w:spacing w:line="360" w:lineRule="auto"/>
              <w:rPr>
                <w:rFonts w:eastAsia="方正仿宋_GBK"/>
                <w:color w:val="000000"/>
                <w:spacing w:val="-2"/>
                <w:szCs w:val="21"/>
              </w:rPr>
            </w:pPr>
          </w:p>
          <w:p>
            <w:pPr>
              <w:spacing w:line="360" w:lineRule="auto"/>
              <w:rPr>
                <w:rFonts w:eastAsia="方正仿宋_GBK"/>
                <w:color w:val="000000"/>
                <w:spacing w:val="-2"/>
                <w:szCs w:val="21"/>
              </w:rPr>
            </w:pPr>
          </w:p>
          <w:p>
            <w:pPr>
              <w:spacing w:line="360" w:lineRule="auto"/>
              <w:rPr>
                <w:rFonts w:eastAsia="方正仿宋_GBK"/>
                <w:color w:val="000000"/>
                <w:spacing w:val="-2"/>
                <w:szCs w:val="21"/>
              </w:rPr>
            </w:pPr>
          </w:p>
          <w:p>
            <w:pPr>
              <w:spacing w:line="360" w:lineRule="auto"/>
              <w:rPr>
                <w:rFonts w:eastAsia="方正仿宋_GBK"/>
                <w:color w:val="000000"/>
                <w:spacing w:val="-2"/>
                <w:szCs w:val="21"/>
              </w:rPr>
            </w:pPr>
          </w:p>
          <w:p>
            <w:pPr>
              <w:spacing w:line="360" w:lineRule="auto"/>
              <w:ind w:firstLine="4120" w:firstLineChars="2000"/>
              <w:rPr>
                <w:rFonts w:eastAsia="方正仿宋_GBK"/>
                <w:color w:val="000000"/>
                <w:spacing w:val="-2"/>
                <w:szCs w:val="21"/>
              </w:rPr>
            </w:pPr>
            <w:r>
              <w:rPr>
                <w:rFonts w:hint="eastAsia" w:eastAsia="方正仿宋_GBK"/>
                <w:color w:val="000000"/>
                <w:spacing w:val="-2"/>
                <w:szCs w:val="21"/>
              </w:rPr>
              <w:t>（盖</w:t>
            </w:r>
            <w:r>
              <w:rPr>
                <w:rFonts w:eastAsia="方正仿宋_GBK"/>
                <w:color w:val="000000"/>
                <w:spacing w:val="-2"/>
                <w:szCs w:val="21"/>
              </w:rPr>
              <w:t xml:space="preserve">    </w:t>
            </w:r>
            <w:r>
              <w:rPr>
                <w:rFonts w:hint="eastAsia" w:eastAsia="方正仿宋_GBK"/>
                <w:color w:val="000000"/>
                <w:spacing w:val="-2"/>
                <w:szCs w:val="21"/>
              </w:rPr>
              <w:t>章）</w:t>
            </w:r>
          </w:p>
          <w:p>
            <w:pPr>
              <w:spacing w:line="360" w:lineRule="auto"/>
              <w:ind w:firstLine="4120" w:firstLineChars="2000"/>
              <w:rPr>
                <w:rFonts w:eastAsia="方正仿宋_GBK"/>
                <w:color w:val="000000"/>
                <w:spacing w:val="-2"/>
                <w:szCs w:val="21"/>
              </w:rPr>
            </w:pPr>
            <w:r>
              <w:rPr>
                <w:rFonts w:hint="eastAsia" w:eastAsia="方正仿宋_GBK"/>
                <w:color w:val="000000"/>
                <w:spacing w:val="-2"/>
                <w:szCs w:val="21"/>
              </w:rPr>
              <w:t>年</w:t>
            </w:r>
            <w:r>
              <w:rPr>
                <w:rFonts w:eastAsia="方正仿宋_GBK"/>
                <w:color w:val="000000"/>
                <w:spacing w:val="-2"/>
                <w:szCs w:val="21"/>
              </w:rPr>
              <w:t xml:space="preserve">    </w:t>
            </w:r>
            <w:r>
              <w:rPr>
                <w:rFonts w:hint="eastAsia" w:eastAsia="方正仿宋_GBK"/>
                <w:color w:val="000000"/>
                <w:spacing w:val="-2"/>
                <w:szCs w:val="21"/>
              </w:rPr>
              <w:t>月</w:t>
            </w:r>
            <w:r>
              <w:rPr>
                <w:rFonts w:eastAsia="方正仿宋_GBK"/>
                <w:color w:val="000000"/>
                <w:spacing w:val="-2"/>
                <w:szCs w:val="21"/>
              </w:rPr>
              <w:t xml:space="preserve">    </w:t>
            </w:r>
            <w:r>
              <w:rPr>
                <w:rFonts w:hint="eastAsia" w:eastAsia="方正仿宋_GBK"/>
                <w:color w:val="000000"/>
                <w:spacing w:val="-2"/>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0" w:hRule="atLeast"/>
          <w:jc w:val="center"/>
        </w:trPr>
        <w:tc>
          <w:tcPr>
            <w:tcW w:w="8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eastAsia="方正仿宋_GBK"/>
                <w:color w:val="000000"/>
                <w:spacing w:val="-2"/>
                <w:szCs w:val="21"/>
              </w:rPr>
            </w:pPr>
            <w:r>
              <w:rPr>
                <w:rFonts w:hint="eastAsia" w:eastAsia="方正仿宋_GBK"/>
                <w:color w:val="000000"/>
                <w:spacing w:val="-2"/>
                <w:szCs w:val="21"/>
              </w:rPr>
              <w:t>规划</w:t>
            </w:r>
          </w:p>
          <w:p>
            <w:pPr>
              <w:spacing w:line="360" w:lineRule="auto"/>
              <w:jc w:val="center"/>
              <w:rPr>
                <w:rFonts w:eastAsia="方正仿宋_GBK"/>
                <w:color w:val="000000"/>
                <w:spacing w:val="-2"/>
                <w:szCs w:val="21"/>
              </w:rPr>
            </w:pPr>
            <w:r>
              <w:rPr>
                <w:rFonts w:hint="eastAsia" w:eastAsia="方正仿宋_GBK"/>
                <w:color w:val="000000"/>
                <w:spacing w:val="-2"/>
                <w:szCs w:val="21"/>
              </w:rPr>
              <w:t>主管</w:t>
            </w:r>
          </w:p>
          <w:p>
            <w:pPr>
              <w:spacing w:line="360" w:lineRule="auto"/>
              <w:jc w:val="center"/>
              <w:rPr>
                <w:rFonts w:eastAsia="方正仿宋_GBK"/>
                <w:color w:val="000000"/>
                <w:spacing w:val="-2"/>
                <w:szCs w:val="21"/>
              </w:rPr>
            </w:pPr>
            <w:r>
              <w:rPr>
                <w:rFonts w:hint="eastAsia" w:eastAsia="方正仿宋_GBK"/>
                <w:color w:val="000000"/>
                <w:spacing w:val="-2"/>
                <w:szCs w:val="21"/>
              </w:rPr>
              <w:t>部门</w:t>
            </w:r>
          </w:p>
          <w:p>
            <w:pPr>
              <w:spacing w:line="360" w:lineRule="auto"/>
              <w:jc w:val="center"/>
              <w:rPr>
                <w:rFonts w:eastAsia="方正仿宋_GBK"/>
                <w:color w:val="000000"/>
                <w:spacing w:val="-2"/>
                <w:szCs w:val="21"/>
              </w:rPr>
            </w:pPr>
            <w:r>
              <w:rPr>
                <w:rFonts w:hint="eastAsia" w:eastAsia="方正仿宋_GBK"/>
                <w:color w:val="000000"/>
                <w:spacing w:val="-2"/>
                <w:szCs w:val="21"/>
              </w:rPr>
              <w:t>意见</w:t>
            </w:r>
          </w:p>
        </w:tc>
        <w:tc>
          <w:tcPr>
            <w:tcW w:w="77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eastAsia="方正仿宋_GBK"/>
                <w:color w:val="000000"/>
                <w:spacing w:val="-2"/>
                <w:szCs w:val="21"/>
              </w:rPr>
            </w:pPr>
          </w:p>
          <w:p>
            <w:pPr>
              <w:spacing w:line="360" w:lineRule="auto"/>
              <w:rPr>
                <w:rFonts w:eastAsia="方正仿宋_GBK"/>
                <w:color w:val="000000"/>
                <w:spacing w:val="-2"/>
                <w:szCs w:val="21"/>
              </w:rPr>
            </w:pPr>
          </w:p>
          <w:p>
            <w:pPr>
              <w:spacing w:line="360" w:lineRule="auto"/>
              <w:rPr>
                <w:rFonts w:eastAsia="方正仿宋_GBK"/>
                <w:color w:val="000000"/>
                <w:spacing w:val="-2"/>
                <w:szCs w:val="21"/>
              </w:rPr>
            </w:pPr>
          </w:p>
          <w:p>
            <w:pPr>
              <w:spacing w:line="360" w:lineRule="auto"/>
              <w:rPr>
                <w:rFonts w:eastAsia="方正仿宋_GBK"/>
                <w:color w:val="000000"/>
                <w:spacing w:val="-2"/>
                <w:szCs w:val="21"/>
              </w:rPr>
            </w:pPr>
          </w:p>
          <w:p>
            <w:pPr>
              <w:spacing w:line="360" w:lineRule="auto"/>
              <w:rPr>
                <w:rFonts w:eastAsia="方正仿宋_GBK"/>
                <w:color w:val="000000"/>
                <w:spacing w:val="-2"/>
                <w:szCs w:val="21"/>
              </w:rPr>
            </w:pPr>
          </w:p>
          <w:p>
            <w:pPr>
              <w:spacing w:line="360" w:lineRule="auto"/>
              <w:rPr>
                <w:rFonts w:eastAsia="方正仿宋_GBK"/>
                <w:color w:val="000000"/>
                <w:spacing w:val="-2"/>
                <w:szCs w:val="21"/>
              </w:rPr>
            </w:pPr>
          </w:p>
          <w:p>
            <w:pPr>
              <w:spacing w:line="360" w:lineRule="auto"/>
              <w:rPr>
                <w:rFonts w:eastAsia="方正仿宋_GBK"/>
                <w:color w:val="000000"/>
                <w:spacing w:val="-2"/>
                <w:szCs w:val="21"/>
              </w:rPr>
            </w:pPr>
          </w:p>
          <w:p>
            <w:pPr>
              <w:spacing w:line="360" w:lineRule="auto"/>
              <w:rPr>
                <w:rFonts w:eastAsia="方正仿宋_GBK"/>
                <w:color w:val="000000"/>
                <w:spacing w:val="-2"/>
                <w:szCs w:val="21"/>
              </w:rPr>
            </w:pPr>
          </w:p>
          <w:p>
            <w:pPr>
              <w:spacing w:line="360" w:lineRule="auto"/>
              <w:ind w:firstLine="4120" w:firstLineChars="2000"/>
              <w:rPr>
                <w:rFonts w:eastAsia="方正仿宋_GBK"/>
                <w:color w:val="000000"/>
                <w:spacing w:val="-2"/>
                <w:szCs w:val="21"/>
              </w:rPr>
            </w:pPr>
            <w:r>
              <w:rPr>
                <w:rFonts w:hint="eastAsia" w:eastAsia="方正仿宋_GBK"/>
                <w:color w:val="000000"/>
                <w:spacing w:val="-2"/>
                <w:szCs w:val="21"/>
              </w:rPr>
              <w:t>（盖</w:t>
            </w:r>
            <w:r>
              <w:rPr>
                <w:rFonts w:eastAsia="方正仿宋_GBK"/>
                <w:color w:val="000000"/>
                <w:spacing w:val="-2"/>
                <w:szCs w:val="21"/>
              </w:rPr>
              <w:t xml:space="preserve">    </w:t>
            </w:r>
            <w:r>
              <w:rPr>
                <w:rFonts w:hint="eastAsia" w:eastAsia="方正仿宋_GBK"/>
                <w:color w:val="000000"/>
                <w:spacing w:val="-2"/>
                <w:szCs w:val="21"/>
              </w:rPr>
              <w:t>章）</w:t>
            </w:r>
          </w:p>
          <w:p>
            <w:pPr>
              <w:spacing w:line="360" w:lineRule="auto"/>
              <w:ind w:firstLine="4120" w:firstLineChars="2000"/>
              <w:rPr>
                <w:rFonts w:eastAsia="方正仿宋_GBK"/>
                <w:color w:val="000000"/>
                <w:spacing w:val="-2"/>
                <w:szCs w:val="21"/>
              </w:rPr>
            </w:pPr>
            <w:r>
              <w:rPr>
                <w:rFonts w:hint="eastAsia" w:eastAsia="方正仿宋_GBK"/>
                <w:color w:val="000000"/>
                <w:spacing w:val="-2"/>
                <w:szCs w:val="21"/>
              </w:rPr>
              <w:t>年</w:t>
            </w:r>
            <w:r>
              <w:rPr>
                <w:rFonts w:eastAsia="方正仿宋_GBK"/>
                <w:color w:val="000000"/>
                <w:spacing w:val="-2"/>
                <w:szCs w:val="21"/>
              </w:rPr>
              <w:t xml:space="preserve">    </w:t>
            </w:r>
            <w:r>
              <w:rPr>
                <w:rFonts w:hint="eastAsia" w:eastAsia="方正仿宋_GBK"/>
                <w:color w:val="000000"/>
                <w:spacing w:val="-2"/>
                <w:szCs w:val="21"/>
              </w:rPr>
              <w:t>月</w:t>
            </w:r>
            <w:r>
              <w:rPr>
                <w:rFonts w:eastAsia="方正仿宋_GBK"/>
                <w:color w:val="000000"/>
                <w:spacing w:val="-2"/>
                <w:szCs w:val="21"/>
              </w:rPr>
              <w:t xml:space="preserve">    </w:t>
            </w:r>
            <w:r>
              <w:rPr>
                <w:rFonts w:hint="eastAsia" w:eastAsia="方正仿宋_GBK"/>
                <w:color w:val="000000"/>
                <w:spacing w:val="-2"/>
                <w:szCs w:val="21"/>
              </w:rPr>
              <w:t>日</w:t>
            </w:r>
          </w:p>
        </w:tc>
      </w:tr>
    </w:tbl>
    <w:p>
      <w:pPr>
        <w:spacing w:line="20" w:lineRule="exact"/>
        <w:jc w:val="center"/>
        <w:rPr>
          <w:color w:val="000000"/>
          <w:spacing w:val="-2"/>
          <w:sz w:val="28"/>
          <w:szCs w:val="28"/>
        </w:rPr>
      </w:pPr>
    </w:p>
    <w:p>
      <w:pPr>
        <w:spacing w:line="460" w:lineRule="exact"/>
        <w:rPr>
          <w:rFonts w:ascii="Times New Roman" w:eastAsia="方正黑体_GBK"/>
          <w:color w:val="000000"/>
          <w:spacing w:val="-2"/>
          <w:sz w:val="28"/>
          <w:szCs w:val="28"/>
        </w:rPr>
      </w:pPr>
      <w:r>
        <w:rPr>
          <w:color w:val="000000"/>
          <w:spacing w:val="-2"/>
          <w:sz w:val="28"/>
          <w:szCs w:val="28"/>
        </w:rPr>
        <w:br w:type="column"/>
      </w:r>
      <w:r>
        <w:rPr>
          <w:rFonts w:hint="eastAsia" w:ascii="Times New Roman" w:eastAsia="方正黑体_GBK"/>
          <w:color w:val="000000"/>
          <w:spacing w:val="-2"/>
          <w:sz w:val="28"/>
          <w:szCs w:val="28"/>
        </w:rPr>
        <w:t>附件4</w:t>
      </w:r>
    </w:p>
    <w:p>
      <w:pPr>
        <w:spacing w:before="240" w:beforeLines="100" w:after="240" w:afterLines="100" w:line="440" w:lineRule="exact"/>
        <w:jc w:val="center"/>
        <w:rPr>
          <w:rFonts w:hint="eastAsia" w:ascii="Times New Roman" w:eastAsia="方正黑体_GBK"/>
          <w:color w:val="000000"/>
          <w:spacing w:val="-2"/>
          <w:sz w:val="28"/>
          <w:szCs w:val="28"/>
        </w:rPr>
      </w:pPr>
      <w:r>
        <w:rPr>
          <w:rFonts w:hint="eastAsia" w:ascii="Times New Roman" w:eastAsia="方正黑体_GBK"/>
          <w:color w:val="000000"/>
          <w:spacing w:val="-2"/>
          <w:sz w:val="28"/>
          <w:szCs w:val="28"/>
        </w:rPr>
        <w:t>江苏省民用建筑设计方案绿色设计报审表（居住建筑）</w:t>
      </w:r>
    </w:p>
    <w:tbl>
      <w:tblPr>
        <w:tblStyle w:val="12"/>
        <w:tblW w:w="0" w:type="auto"/>
        <w:tblInd w:w="8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6"/>
        <w:gridCol w:w="1554"/>
        <w:gridCol w:w="1300"/>
        <w:gridCol w:w="955"/>
        <w:gridCol w:w="663"/>
        <w:gridCol w:w="361"/>
        <w:gridCol w:w="1281"/>
        <w:gridCol w:w="18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857" w:type="dxa"/>
            <w:gridSpan w:val="8"/>
            <w:tcBorders>
              <w:top w:val="single" w:color="auto" w:sz="8" w:space="0"/>
              <w:left w:val="single" w:color="auto" w:sz="8" w:space="0"/>
              <w:bottom w:val="single" w:color="auto" w:sz="4" w:space="0"/>
              <w:right w:val="single" w:color="auto" w:sz="8" w:space="0"/>
            </w:tcBorders>
            <w:noWrap w:val="0"/>
            <w:vAlign w:val="center"/>
          </w:tcPr>
          <w:p>
            <w:pPr>
              <w:snapToGrid w:val="0"/>
              <w:jc w:val="center"/>
              <w:rPr>
                <w:rFonts w:eastAsia="方正仿宋_GBK"/>
                <w:color w:val="000000"/>
                <w:spacing w:val="-2"/>
                <w:szCs w:val="21"/>
              </w:rPr>
            </w:pPr>
            <w:r>
              <w:rPr>
                <w:rFonts w:hint="eastAsia" w:eastAsia="方正仿宋_GBK"/>
                <w:color w:val="000000"/>
                <w:spacing w:val="-2"/>
                <w:szCs w:val="21"/>
              </w:rPr>
              <w:t>一、项目基本情况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926" w:type="dxa"/>
            <w:vMerge w:val="restart"/>
            <w:tcBorders>
              <w:top w:val="single" w:color="auto" w:sz="4" w:space="0"/>
              <w:left w:val="single" w:color="auto" w:sz="8"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r>
              <w:rPr>
                <w:rFonts w:hint="eastAsia" w:eastAsia="方正仿宋_GBK"/>
                <w:color w:val="000000"/>
                <w:spacing w:val="-2"/>
                <w:szCs w:val="21"/>
              </w:rPr>
              <w:t>单位</w:t>
            </w:r>
          </w:p>
          <w:p>
            <w:pPr>
              <w:snapToGrid w:val="0"/>
              <w:jc w:val="center"/>
              <w:rPr>
                <w:rFonts w:eastAsia="方正仿宋_GBK"/>
                <w:color w:val="000000"/>
                <w:spacing w:val="-2"/>
                <w:szCs w:val="21"/>
              </w:rPr>
            </w:pPr>
            <w:r>
              <w:rPr>
                <w:rFonts w:hint="eastAsia" w:eastAsia="方正仿宋_GBK"/>
                <w:color w:val="000000"/>
                <w:spacing w:val="-2"/>
                <w:szCs w:val="21"/>
              </w:rPr>
              <w:t>概况</w:t>
            </w:r>
          </w:p>
        </w:tc>
        <w:tc>
          <w:tcPr>
            <w:tcW w:w="1554"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r>
              <w:rPr>
                <w:rFonts w:hint="eastAsia" w:eastAsia="方正仿宋_GBK"/>
                <w:color w:val="000000"/>
                <w:spacing w:val="-2"/>
                <w:szCs w:val="21"/>
              </w:rPr>
              <w:t>建设单位</w:t>
            </w:r>
          </w:p>
          <w:p>
            <w:pPr>
              <w:snapToGrid w:val="0"/>
              <w:jc w:val="center"/>
              <w:rPr>
                <w:rFonts w:eastAsia="方正仿宋_GBK"/>
                <w:color w:val="000000"/>
                <w:spacing w:val="-2"/>
                <w:szCs w:val="21"/>
              </w:rPr>
            </w:pPr>
            <w:r>
              <w:rPr>
                <w:rFonts w:hint="eastAsia" w:eastAsia="方正仿宋_GBK"/>
                <w:color w:val="000000"/>
                <w:spacing w:val="-2"/>
                <w:szCs w:val="21"/>
              </w:rPr>
              <w:t>（盖章）</w:t>
            </w:r>
          </w:p>
        </w:tc>
        <w:tc>
          <w:tcPr>
            <w:tcW w:w="3279" w:type="dxa"/>
            <w:gridSpan w:val="4"/>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p>
        </w:tc>
        <w:tc>
          <w:tcPr>
            <w:tcW w:w="1281" w:type="dxa"/>
            <w:tcBorders>
              <w:top w:val="single" w:color="auto" w:sz="4" w:space="0"/>
              <w:left w:val="single" w:color="auto" w:sz="4" w:space="0"/>
              <w:bottom w:val="single" w:color="auto" w:sz="4" w:space="0"/>
              <w:right w:val="single" w:color="auto" w:sz="4" w:space="0"/>
            </w:tcBorders>
            <w:noWrap w:val="0"/>
            <w:vAlign w:val="center"/>
          </w:tcPr>
          <w:p>
            <w:pPr>
              <w:snapToGrid w:val="0"/>
              <w:ind w:left="-105" w:leftChars="-50" w:right="-105" w:rightChars="-50"/>
              <w:jc w:val="center"/>
              <w:rPr>
                <w:rFonts w:eastAsia="方正仿宋_GBK"/>
                <w:color w:val="000000"/>
                <w:spacing w:val="-2"/>
                <w:szCs w:val="21"/>
              </w:rPr>
            </w:pPr>
            <w:r>
              <w:rPr>
                <w:rFonts w:hint="eastAsia" w:eastAsia="方正仿宋_GBK"/>
                <w:color w:val="000000"/>
                <w:spacing w:val="-2"/>
                <w:szCs w:val="21"/>
              </w:rPr>
              <w:t>单位代码</w:t>
            </w:r>
          </w:p>
        </w:tc>
        <w:tc>
          <w:tcPr>
            <w:tcW w:w="1817" w:type="dxa"/>
            <w:tcBorders>
              <w:top w:val="single" w:color="auto" w:sz="4" w:space="0"/>
              <w:left w:val="single" w:color="auto" w:sz="4" w:space="0"/>
              <w:bottom w:val="single" w:color="auto" w:sz="4" w:space="0"/>
              <w:right w:val="single" w:color="auto" w:sz="8" w:space="0"/>
            </w:tcBorders>
            <w:noWrap w:val="0"/>
            <w:vAlign w:val="center"/>
          </w:tcPr>
          <w:p>
            <w:pPr>
              <w:snapToGrid w:val="0"/>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926"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554"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r>
              <w:rPr>
                <w:rFonts w:hint="eastAsia" w:eastAsia="方正仿宋_GBK"/>
                <w:color w:val="000000"/>
                <w:spacing w:val="-2"/>
                <w:szCs w:val="21"/>
              </w:rPr>
              <w:t>法定代表</w:t>
            </w:r>
          </w:p>
        </w:tc>
        <w:tc>
          <w:tcPr>
            <w:tcW w:w="1300"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p>
        </w:tc>
        <w:tc>
          <w:tcPr>
            <w:tcW w:w="95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r>
              <w:rPr>
                <w:rFonts w:hint="eastAsia" w:eastAsia="方正仿宋_GBK"/>
                <w:color w:val="000000"/>
                <w:spacing w:val="-2"/>
                <w:szCs w:val="21"/>
              </w:rPr>
              <w:t>联系人</w:t>
            </w:r>
          </w:p>
        </w:tc>
        <w:tc>
          <w:tcPr>
            <w:tcW w:w="1024"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p>
        </w:tc>
        <w:tc>
          <w:tcPr>
            <w:tcW w:w="1281" w:type="dxa"/>
            <w:tcBorders>
              <w:top w:val="single" w:color="auto" w:sz="4" w:space="0"/>
              <w:left w:val="single" w:color="auto" w:sz="4" w:space="0"/>
              <w:bottom w:val="single" w:color="auto" w:sz="4" w:space="0"/>
              <w:right w:val="single" w:color="auto" w:sz="4" w:space="0"/>
            </w:tcBorders>
            <w:noWrap w:val="0"/>
            <w:vAlign w:val="center"/>
          </w:tcPr>
          <w:p>
            <w:pPr>
              <w:snapToGrid w:val="0"/>
              <w:ind w:left="-105" w:leftChars="-50" w:right="-105" w:rightChars="-50"/>
              <w:jc w:val="center"/>
              <w:rPr>
                <w:rFonts w:eastAsia="方正仿宋_GBK"/>
                <w:color w:val="000000"/>
                <w:spacing w:val="-2"/>
                <w:szCs w:val="21"/>
              </w:rPr>
            </w:pPr>
            <w:r>
              <w:rPr>
                <w:rFonts w:hint="eastAsia" w:eastAsia="方正仿宋_GBK"/>
                <w:color w:val="000000"/>
                <w:spacing w:val="-2"/>
                <w:szCs w:val="21"/>
              </w:rPr>
              <w:t>联系电话</w:t>
            </w:r>
          </w:p>
        </w:tc>
        <w:tc>
          <w:tcPr>
            <w:tcW w:w="1817" w:type="dxa"/>
            <w:tcBorders>
              <w:top w:val="single" w:color="auto" w:sz="4" w:space="0"/>
              <w:left w:val="single" w:color="auto" w:sz="4" w:space="0"/>
              <w:bottom w:val="single" w:color="auto" w:sz="4" w:space="0"/>
              <w:right w:val="single" w:color="auto" w:sz="8" w:space="0"/>
            </w:tcBorders>
            <w:noWrap w:val="0"/>
            <w:vAlign w:val="center"/>
          </w:tcPr>
          <w:p>
            <w:pPr>
              <w:snapToGrid w:val="0"/>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926"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554"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r>
              <w:rPr>
                <w:rFonts w:hint="eastAsia" w:eastAsia="方正仿宋_GBK"/>
                <w:color w:val="000000"/>
                <w:spacing w:val="-2"/>
                <w:szCs w:val="21"/>
              </w:rPr>
              <w:t>设计单位</w:t>
            </w:r>
          </w:p>
        </w:tc>
        <w:tc>
          <w:tcPr>
            <w:tcW w:w="3279" w:type="dxa"/>
            <w:gridSpan w:val="4"/>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p>
        </w:tc>
        <w:tc>
          <w:tcPr>
            <w:tcW w:w="1281" w:type="dxa"/>
            <w:tcBorders>
              <w:top w:val="single" w:color="auto" w:sz="4" w:space="0"/>
              <w:left w:val="single" w:color="auto" w:sz="4" w:space="0"/>
              <w:bottom w:val="single" w:color="auto" w:sz="4" w:space="0"/>
              <w:right w:val="single" w:color="auto" w:sz="4" w:space="0"/>
            </w:tcBorders>
            <w:noWrap w:val="0"/>
            <w:vAlign w:val="center"/>
          </w:tcPr>
          <w:p>
            <w:pPr>
              <w:snapToGrid w:val="0"/>
              <w:ind w:left="-105" w:leftChars="-50" w:right="-105" w:rightChars="-50"/>
              <w:jc w:val="center"/>
              <w:rPr>
                <w:rFonts w:eastAsia="方正仿宋_GBK"/>
                <w:color w:val="000000"/>
                <w:spacing w:val="-2"/>
                <w:szCs w:val="21"/>
              </w:rPr>
            </w:pPr>
            <w:r>
              <w:rPr>
                <w:rFonts w:hint="eastAsia" w:eastAsia="方正仿宋_GBK"/>
                <w:color w:val="000000"/>
                <w:spacing w:val="-2"/>
                <w:szCs w:val="21"/>
              </w:rPr>
              <w:t>单位代码</w:t>
            </w:r>
          </w:p>
        </w:tc>
        <w:tc>
          <w:tcPr>
            <w:tcW w:w="1817" w:type="dxa"/>
            <w:tcBorders>
              <w:top w:val="single" w:color="auto" w:sz="4" w:space="0"/>
              <w:left w:val="single" w:color="auto" w:sz="4" w:space="0"/>
              <w:bottom w:val="single" w:color="auto" w:sz="4" w:space="0"/>
              <w:right w:val="single" w:color="auto" w:sz="8" w:space="0"/>
            </w:tcBorders>
            <w:noWrap w:val="0"/>
            <w:vAlign w:val="center"/>
          </w:tcPr>
          <w:p>
            <w:pPr>
              <w:snapToGrid w:val="0"/>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926"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554"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r>
              <w:rPr>
                <w:rFonts w:hint="eastAsia" w:eastAsia="方正仿宋_GBK"/>
                <w:color w:val="000000"/>
                <w:spacing w:val="-2"/>
                <w:szCs w:val="21"/>
              </w:rPr>
              <w:t>项目负责人</w:t>
            </w:r>
          </w:p>
          <w:p>
            <w:pPr>
              <w:snapToGrid w:val="0"/>
              <w:jc w:val="center"/>
              <w:rPr>
                <w:rFonts w:eastAsia="方正仿宋_GBK"/>
                <w:color w:val="000000"/>
                <w:spacing w:val="-2"/>
                <w:szCs w:val="21"/>
              </w:rPr>
            </w:pPr>
            <w:r>
              <w:rPr>
                <w:rFonts w:hint="eastAsia" w:eastAsia="方正仿宋_GBK"/>
                <w:color w:val="000000"/>
                <w:spacing w:val="-2"/>
                <w:szCs w:val="21"/>
              </w:rPr>
              <w:t>（盖注册章）</w:t>
            </w:r>
          </w:p>
        </w:tc>
        <w:tc>
          <w:tcPr>
            <w:tcW w:w="6377" w:type="dxa"/>
            <w:gridSpan w:val="6"/>
            <w:tcBorders>
              <w:top w:val="single" w:color="auto" w:sz="4" w:space="0"/>
              <w:left w:val="single" w:color="auto" w:sz="4" w:space="0"/>
              <w:bottom w:val="single" w:color="auto" w:sz="4" w:space="0"/>
              <w:right w:val="single" w:color="auto" w:sz="8" w:space="0"/>
            </w:tcBorders>
            <w:noWrap w:val="0"/>
            <w:vAlign w:val="center"/>
          </w:tcPr>
          <w:p>
            <w:pPr>
              <w:snapToGrid w:val="0"/>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926"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554"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r>
              <w:rPr>
                <w:rFonts w:hint="eastAsia" w:eastAsia="方正仿宋_GBK"/>
                <w:color w:val="000000"/>
                <w:spacing w:val="-2"/>
                <w:szCs w:val="21"/>
              </w:rPr>
              <w:t>项目名称</w:t>
            </w:r>
          </w:p>
        </w:tc>
        <w:tc>
          <w:tcPr>
            <w:tcW w:w="3279" w:type="dxa"/>
            <w:gridSpan w:val="4"/>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p>
        </w:tc>
        <w:tc>
          <w:tcPr>
            <w:tcW w:w="128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r>
              <w:rPr>
                <w:rFonts w:hint="eastAsia" w:eastAsia="方正仿宋_GBK"/>
                <w:color w:val="000000"/>
                <w:spacing w:val="-2"/>
                <w:szCs w:val="21"/>
              </w:rPr>
              <w:t>子项</w:t>
            </w:r>
          </w:p>
        </w:tc>
        <w:tc>
          <w:tcPr>
            <w:tcW w:w="1817" w:type="dxa"/>
            <w:tcBorders>
              <w:top w:val="single" w:color="auto" w:sz="4" w:space="0"/>
              <w:left w:val="single" w:color="auto" w:sz="4" w:space="0"/>
              <w:bottom w:val="single" w:color="auto" w:sz="4" w:space="0"/>
              <w:right w:val="single" w:color="auto" w:sz="8" w:space="0"/>
            </w:tcBorders>
            <w:noWrap w:val="0"/>
            <w:vAlign w:val="center"/>
          </w:tcPr>
          <w:p>
            <w:pPr>
              <w:snapToGrid w:val="0"/>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926"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554"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r>
              <w:rPr>
                <w:rFonts w:hint="eastAsia" w:eastAsia="方正仿宋_GBK"/>
                <w:color w:val="000000"/>
                <w:spacing w:val="-2"/>
                <w:szCs w:val="21"/>
              </w:rPr>
              <w:t>建设地点</w:t>
            </w:r>
          </w:p>
        </w:tc>
        <w:tc>
          <w:tcPr>
            <w:tcW w:w="3279" w:type="dxa"/>
            <w:gridSpan w:val="4"/>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p>
        </w:tc>
        <w:tc>
          <w:tcPr>
            <w:tcW w:w="128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r>
              <w:rPr>
                <w:rFonts w:hint="eastAsia" w:eastAsia="方正仿宋_GBK"/>
                <w:color w:val="000000"/>
                <w:spacing w:val="-2"/>
                <w:szCs w:val="21"/>
              </w:rPr>
              <w:t>气候分区</w:t>
            </w:r>
          </w:p>
        </w:tc>
        <w:tc>
          <w:tcPr>
            <w:tcW w:w="1817" w:type="dxa"/>
            <w:tcBorders>
              <w:top w:val="single" w:color="auto" w:sz="4" w:space="0"/>
              <w:left w:val="single" w:color="auto" w:sz="4" w:space="0"/>
              <w:bottom w:val="single" w:color="auto" w:sz="4" w:space="0"/>
              <w:right w:val="single" w:color="auto" w:sz="8" w:space="0"/>
            </w:tcBorders>
            <w:noWrap w:val="0"/>
            <w:vAlign w:val="center"/>
          </w:tcPr>
          <w:p>
            <w:pPr>
              <w:snapToGrid w:val="0"/>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926"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554"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r>
              <w:rPr>
                <w:rFonts w:hint="eastAsia" w:eastAsia="方正仿宋_GBK"/>
                <w:color w:val="000000"/>
                <w:spacing w:val="-2"/>
                <w:szCs w:val="21"/>
              </w:rPr>
              <w:t>建筑节能</w:t>
            </w:r>
          </w:p>
          <w:p>
            <w:pPr>
              <w:snapToGrid w:val="0"/>
              <w:jc w:val="center"/>
              <w:rPr>
                <w:rFonts w:eastAsia="方正仿宋_GBK"/>
                <w:color w:val="000000"/>
                <w:spacing w:val="-2"/>
                <w:szCs w:val="21"/>
              </w:rPr>
            </w:pPr>
            <w:r>
              <w:rPr>
                <w:rFonts w:hint="eastAsia" w:eastAsia="方正仿宋_GBK"/>
                <w:color w:val="000000"/>
                <w:spacing w:val="-2"/>
                <w:szCs w:val="21"/>
              </w:rPr>
              <w:t>类别</w:t>
            </w:r>
          </w:p>
        </w:tc>
        <w:tc>
          <w:tcPr>
            <w:tcW w:w="6377" w:type="dxa"/>
            <w:gridSpan w:val="6"/>
            <w:tcBorders>
              <w:top w:val="single" w:color="auto" w:sz="4" w:space="0"/>
              <w:left w:val="single" w:color="auto" w:sz="4" w:space="0"/>
              <w:bottom w:val="single" w:color="auto" w:sz="4" w:space="0"/>
              <w:right w:val="single" w:color="auto" w:sz="8" w:space="0"/>
            </w:tcBorders>
            <w:noWrap w:val="0"/>
            <w:vAlign w:val="center"/>
          </w:tcPr>
          <w:p>
            <w:pPr>
              <w:snapToGrid w:val="0"/>
              <w:jc w:val="center"/>
              <w:rPr>
                <w:rFonts w:eastAsia="方正仿宋_GBK"/>
                <w:color w:val="000000"/>
                <w:spacing w:val="-2"/>
                <w:szCs w:val="21"/>
              </w:rPr>
            </w:pPr>
            <w:r>
              <w:rPr>
                <w:rFonts w:eastAsia="方正仿宋_GBK"/>
                <w:color w:val="000000"/>
                <w:spacing w:val="-2"/>
                <w:szCs w:val="21"/>
              </w:rPr>
              <w:t>□</w:t>
            </w:r>
            <w:r>
              <w:rPr>
                <w:rFonts w:hint="eastAsia" w:eastAsia="方正仿宋_GBK"/>
                <w:color w:val="000000"/>
                <w:spacing w:val="-2"/>
                <w:szCs w:val="21"/>
              </w:rPr>
              <w:t>被动系列一</w:t>
            </w:r>
            <w:r>
              <w:rPr>
                <w:rFonts w:eastAsia="方正仿宋_GBK"/>
                <w:color w:val="000000"/>
                <w:spacing w:val="-2"/>
                <w:szCs w:val="21"/>
              </w:rPr>
              <w:t xml:space="preserve"> □</w:t>
            </w:r>
            <w:r>
              <w:rPr>
                <w:rFonts w:hint="eastAsia" w:eastAsia="方正仿宋_GBK"/>
                <w:color w:val="000000"/>
                <w:spacing w:val="-2"/>
                <w:szCs w:val="21"/>
              </w:rPr>
              <w:t>被动系列二</w:t>
            </w:r>
            <w:r>
              <w:rPr>
                <w:rFonts w:eastAsia="方正仿宋_GBK"/>
                <w:color w:val="000000"/>
                <w:spacing w:val="-2"/>
                <w:szCs w:val="21"/>
              </w:rPr>
              <w:t xml:space="preserve"> □</w:t>
            </w:r>
            <w:r>
              <w:rPr>
                <w:rFonts w:hint="eastAsia" w:eastAsia="方正仿宋_GBK"/>
                <w:color w:val="000000"/>
                <w:spacing w:val="-2"/>
                <w:szCs w:val="21"/>
              </w:rPr>
              <w:t>主动</w:t>
            </w:r>
            <w:r>
              <w:rPr>
                <w:rFonts w:eastAsia="方正仿宋_GBK"/>
                <w:color w:val="000000"/>
                <w:spacing w:val="-2"/>
                <w:szCs w:val="21"/>
              </w:rPr>
              <w:fldChar w:fldCharType="begin"/>
            </w:r>
            <w:r>
              <w:rPr>
                <w:rFonts w:eastAsia="方正仿宋_GBK"/>
                <w:color w:val="000000"/>
                <w:spacing w:val="-2"/>
                <w:szCs w:val="21"/>
              </w:rPr>
              <w:instrText xml:space="preserve"> = 1 \* ROMAN </w:instrText>
            </w:r>
            <w:r>
              <w:rPr>
                <w:rFonts w:eastAsia="方正仿宋_GBK"/>
                <w:color w:val="000000"/>
                <w:spacing w:val="-2"/>
                <w:szCs w:val="21"/>
              </w:rPr>
              <w:fldChar w:fldCharType="separate"/>
            </w:r>
            <w:r>
              <w:rPr>
                <w:rFonts w:eastAsia="方正仿宋_GBK"/>
                <w:color w:val="000000"/>
                <w:spacing w:val="-2"/>
                <w:szCs w:val="21"/>
              </w:rPr>
              <w:t>I</w:t>
            </w:r>
            <w:r>
              <w:rPr>
                <w:rFonts w:eastAsia="方正仿宋_GBK"/>
                <w:color w:val="000000"/>
                <w:spacing w:val="-2"/>
                <w:szCs w:val="21"/>
              </w:rPr>
              <w:fldChar w:fldCharType="end"/>
            </w:r>
            <w:r>
              <w:rPr>
                <w:rFonts w:hint="eastAsia" w:eastAsia="方正仿宋_GBK"/>
                <w:color w:val="000000"/>
                <w:spacing w:val="-2"/>
                <w:szCs w:val="21"/>
              </w:rPr>
              <w:t>类</w:t>
            </w:r>
            <w:r>
              <w:rPr>
                <w:rFonts w:eastAsia="方正仿宋_GBK"/>
                <w:color w:val="000000"/>
                <w:spacing w:val="-2"/>
                <w:szCs w:val="21"/>
              </w:rPr>
              <w:t xml:space="preserve"> □</w:t>
            </w:r>
            <w:r>
              <w:rPr>
                <w:rFonts w:hint="eastAsia" w:eastAsia="方正仿宋_GBK"/>
                <w:color w:val="000000"/>
                <w:spacing w:val="-2"/>
                <w:szCs w:val="21"/>
              </w:rPr>
              <w:t>主动</w:t>
            </w:r>
            <w:r>
              <w:rPr>
                <w:rFonts w:eastAsia="方正仿宋_GBK"/>
                <w:color w:val="000000"/>
                <w:spacing w:val="-2"/>
                <w:szCs w:val="21"/>
              </w:rPr>
              <w:fldChar w:fldCharType="begin"/>
            </w:r>
            <w:r>
              <w:rPr>
                <w:rFonts w:eastAsia="方正仿宋_GBK"/>
                <w:color w:val="000000"/>
                <w:spacing w:val="-2"/>
                <w:szCs w:val="21"/>
              </w:rPr>
              <w:instrText xml:space="preserve"> = 2 \* ROMAN </w:instrText>
            </w:r>
            <w:r>
              <w:rPr>
                <w:rFonts w:eastAsia="方正仿宋_GBK"/>
                <w:color w:val="000000"/>
                <w:spacing w:val="-2"/>
                <w:szCs w:val="21"/>
              </w:rPr>
              <w:fldChar w:fldCharType="separate"/>
            </w:r>
            <w:r>
              <w:rPr>
                <w:rFonts w:eastAsia="方正仿宋_GBK"/>
                <w:color w:val="000000"/>
                <w:spacing w:val="-2"/>
                <w:szCs w:val="21"/>
              </w:rPr>
              <w:t>II</w:t>
            </w:r>
            <w:r>
              <w:rPr>
                <w:rFonts w:eastAsia="方正仿宋_GBK"/>
                <w:color w:val="000000"/>
                <w:spacing w:val="-2"/>
                <w:szCs w:val="21"/>
              </w:rPr>
              <w:fldChar w:fldCharType="end"/>
            </w:r>
            <w:r>
              <w:rPr>
                <w:rFonts w:hint="eastAsia" w:eastAsia="方正仿宋_GBK"/>
                <w:color w:val="000000"/>
                <w:spacing w:val="-2"/>
                <w:szCs w:val="21"/>
              </w:rPr>
              <w:t>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926"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554"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r>
              <w:rPr>
                <w:rFonts w:hint="eastAsia" w:eastAsia="方正仿宋_GBK"/>
                <w:color w:val="000000"/>
                <w:spacing w:val="-2"/>
                <w:szCs w:val="21"/>
              </w:rPr>
              <w:t>节能水平</w:t>
            </w:r>
          </w:p>
        </w:tc>
        <w:tc>
          <w:tcPr>
            <w:tcW w:w="6377" w:type="dxa"/>
            <w:gridSpan w:val="6"/>
            <w:tcBorders>
              <w:top w:val="single" w:color="auto" w:sz="4" w:space="0"/>
              <w:left w:val="single" w:color="auto" w:sz="4" w:space="0"/>
              <w:bottom w:val="single" w:color="auto" w:sz="4" w:space="0"/>
              <w:right w:val="single" w:color="auto" w:sz="8" w:space="0"/>
            </w:tcBorders>
            <w:noWrap w:val="0"/>
            <w:vAlign w:val="center"/>
          </w:tcPr>
          <w:p>
            <w:pPr>
              <w:snapToGrid w:val="0"/>
              <w:jc w:val="center"/>
              <w:rPr>
                <w:rFonts w:eastAsia="方正仿宋_GBK"/>
                <w:color w:val="000000"/>
                <w:spacing w:val="-2"/>
                <w:szCs w:val="21"/>
              </w:rPr>
            </w:pPr>
            <w:r>
              <w:rPr>
                <w:rFonts w:eastAsia="方正仿宋_GBK"/>
                <w:color w:val="000000"/>
                <w:spacing w:val="-2"/>
                <w:szCs w:val="21"/>
              </w:rPr>
              <w:t>□65%        □</w:t>
            </w:r>
            <w:r>
              <w:rPr>
                <w:rFonts w:hint="eastAsia" w:eastAsia="方正仿宋_GBK"/>
                <w:color w:val="000000"/>
                <w:spacing w:val="-2"/>
                <w:szCs w:val="21"/>
              </w:rPr>
              <w:t>更高（</w:t>
            </w:r>
            <w:r>
              <w:rPr>
                <w:rFonts w:eastAsia="方正仿宋_GBK"/>
                <w:color w:val="000000"/>
                <w:spacing w:val="-2"/>
                <w:szCs w:val="21"/>
              </w:rPr>
              <w:t xml:space="preserve">  </w:t>
            </w:r>
            <w:r>
              <w:rPr>
                <w:rFonts w:hint="eastAsia" w:eastAsia="方正仿宋_GBK"/>
                <w:color w:val="000000"/>
                <w:spacing w:val="-2"/>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926"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554"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r>
              <w:rPr>
                <w:rFonts w:hint="eastAsia" w:eastAsia="方正仿宋_GBK"/>
                <w:color w:val="000000"/>
                <w:spacing w:val="-2"/>
                <w:szCs w:val="21"/>
              </w:rPr>
              <w:t>绿色建筑</w:t>
            </w:r>
          </w:p>
          <w:p>
            <w:pPr>
              <w:snapToGrid w:val="0"/>
              <w:jc w:val="center"/>
              <w:rPr>
                <w:rFonts w:eastAsia="方正仿宋_GBK"/>
                <w:color w:val="000000"/>
                <w:spacing w:val="-2"/>
                <w:szCs w:val="21"/>
              </w:rPr>
            </w:pPr>
            <w:r>
              <w:rPr>
                <w:rFonts w:hint="eastAsia" w:eastAsia="方正仿宋_GBK"/>
                <w:color w:val="000000"/>
                <w:spacing w:val="-2"/>
                <w:szCs w:val="21"/>
              </w:rPr>
              <w:t>星级目标</w:t>
            </w:r>
          </w:p>
        </w:tc>
        <w:tc>
          <w:tcPr>
            <w:tcW w:w="6377" w:type="dxa"/>
            <w:gridSpan w:val="6"/>
            <w:tcBorders>
              <w:top w:val="single" w:color="auto" w:sz="4" w:space="0"/>
              <w:left w:val="single" w:color="auto" w:sz="4" w:space="0"/>
              <w:bottom w:val="single" w:color="auto" w:sz="4" w:space="0"/>
              <w:right w:val="single" w:color="auto" w:sz="8" w:space="0"/>
            </w:tcBorders>
            <w:noWrap w:val="0"/>
            <w:vAlign w:val="center"/>
          </w:tcPr>
          <w:p>
            <w:pPr>
              <w:snapToGrid w:val="0"/>
              <w:jc w:val="center"/>
              <w:rPr>
                <w:rFonts w:eastAsia="方正仿宋_GBK"/>
                <w:color w:val="000000"/>
                <w:spacing w:val="-2"/>
                <w:szCs w:val="21"/>
              </w:rPr>
            </w:pPr>
            <w:r>
              <w:rPr>
                <w:rFonts w:eastAsia="方正仿宋_GBK"/>
                <w:color w:val="000000"/>
                <w:spacing w:val="-2"/>
                <w:szCs w:val="21"/>
              </w:rPr>
              <w:t>□</w:t>
            </w:r>
            <w:r>
              <w:rPr>
                <w:rFonts w:hint="eastAsia" w:eastAsia="方正仿宋_GBK"/>
                <w:color w:val="000000"/>
                <w:spacing w:val="-2"/>
                <w:szCs w:val="21"/>
              </w:rPr>
              <w:t>一星级</w:t>
            </w:r>
            <w:r>
              <w:rPr>
                <w:rFonts w:eastAsia="方正仿宋_GBK"/>
                <w:color w:val="000000"/>
                <w:spacing w:val="-2"/>
                <w:szCs w:val="21"/>
              </w:rPr>
              <w:t xml:space="preserve">     □</w:t>
            </w:r>
            <w:r>
              <w:rPr>
                <w:rFonts w:hint="eastAsia" w:eastAsia="方正仿宋_GBK"/>
                <w:color w:val="000000"/>
                <w:spacing w:val="-2"/>
                <w:szCs w:val="21"/>
              </w:rPr>
              <w:t>二星级</w:t>
            </w:r>
            <w:r>
              <w:rPr>
                <w:rFonts w:eastAsia="方正仿宋_GBK"/>
                <w:color w:val="000000"/>
                <w:spacing w:val="-2"/>
                <w:szCs w:val="21"/>
              </w:rPr>
              <w:t xml:space="preserve">     □</w:t>
            </w:r>
            <w:r>
              <w:rPr>
                <w:rFonts w:hint="eastAsia" w:eastAsia="方正仿宋_GBK"/>
                <w:color w:val="000000"/>
                <w:spacing w:val="-2"/>
                <w:szCs w:val="21"/>
              </w:rPr>
              <w:t>三星级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926"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554"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r>
              <w:rPr>
                <w:rFonts w:hint="eastAsia" w:eastAsia="方正仿宋_GBK"/>
                <w:color w:val="000000"/>
                <w:spacing w:val="-2"/>
                <w:szCs w:val="21"/>
              </w:rPr>
              <w:t>可再生能源利用情况</w:t>
            </w:r>
          </w:p>
        </w:tc>
        <w:tc>
          <w:tcPr>
            <w:tcW w:w="6377" w:type="dxa"/>
            <w:gridSpan w:val="6"/>
            <w:tcBorders>
              <w:top w:val="single" w:color="auto" w:sz="4" w:space="0"/>
              <w:left w:val="single" w:color="auto" w:sz="4" w:space="0"/>
              <w:bottom w:val="single" w:color="auto" w:sz="4" w:space="0"/>
              <w:right w:val="single" w:color="auto" w:sz="8" w:space="0"/>
            </w:tcBorders>
            <w:noWrap w:val="0"/>
            <w:vAlign w:val="center"/>
          </w:tcPr>
          <w:p>
            <w:pPr>
              <w:snapToGrid w:val="0"/>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926"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554"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r>
              <w:rPr>
                <w:rFonts w:hint="eastAsia" w:eastAsia="方正仿宋_GBK"/>
                <w:color w:val="000000"/>
                <w:spacing w:val="-2"/>
                <w:szCs w:val="21"/>
              </w:rPr>
              <w:t>建筑面积</w:t>
            </w:r>
          </w:p>
        </w:tc>
        <w:tc>
          <w:tcPr>
            <w:tcW w:w="2918" w:type="dxa"/>
            <w:gridSpan w:val="3"/>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p>
        </w:tc>
        <w:tc>
          <w:tcPr>
            <w:tcW w:w="1642"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r>
              <w:rPr>
                <w:rFonts w:hint="eastAsia" w:eastAsia="方正仿宋_GBK"/>
                <w:color w:val="000000"/>
                <w:spacing w:val="-2"/>
                <w:szCs w:val="21"/>
              </w:rPr>
              <w:t>建筑高度</w:t>
            </w:r>
          </w:p>
        </w:tc>
        <w:tc>
          <w:tcPr>
            <w:tcW w:w="1817" w:type="dxa"/>
            <w:tcBorders>
              <w:top w:val="single" w:color="auto" w:sz="4" w:space="0"/>
              <w:left w:val="single" w:color="auto" w:sz="4" w:space="0"/>
              <w:bottom w:val="single" w:color="auto" w:sz="4" w:space="0"/>
              <w:right w:val="single" w:color="auto" w:sz="8" w:space="0"/>
            </w:tcBorders>
            <w:noWrap w:val="0"/>
            <w:vAlign w:val="center"/>
          </w:tcPr>
          <w:p>
            <w:pPr>
              <w:snapToGrid w:val="0"/>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926"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554"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r>
              <w:rPr>
                <w:rFonts w:hint="eastAsia" w:eastAsia="方正仿宋_GBK"/>
                <w:color w:val="000000"/>
                <w:spacing w:val="-2"/>
                <w:szCs w:val="21"/>
              </w:rPr>
              <w:t>建筑层数</w:t>
            </w:r>
          </w:p>
        </w:tc>
        <w:tc>
          <w:tcPr>
            <w:tcW w:w="2918" w:type="dxa"/>
            <w:gridSpan w:val="3"/>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p>
        </w:tc>
        <w:tc>
          <w:tcPr>
            <w:tcW w:w="1642"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eastAsia="方正仿宋_GBK"/>
                <w:color w:val="000000"/>
                <w:spacing w:val="-2"/>
                <w:szCs w:val="21"/>
              </w:rPr>
            </w:pPr>
            <w:r>
              <w:rPr>
                <w:rFonts w:hint="eastAsia" w:eastAsia="方正仿宋_GBK"/>
                <w:color w:val="000000"/>
                <w:spacing w:val="-2"/>
                <w:szCs w:val="21"/>
              </w:rPr>
              <w:t>结构体系</w:t>
            </w:r>
          </w:p>
        </w:tc>
        <w:tc>
          <w:tcPr>
            <w:tcW w:w="1817" w:type="dxa"/>
            <w:tcBorders>
              <w:top w:val="single" w:color="auto" w:sz="4" w:space="0"/>
              <w:left w:val="single" w:color="auto" w:sz="4" w:space="0"/>
              <w:bottom w:val="single" w:color="auto" w:sz="4" w:space="0"/>
              <w:right w:val="single" w:color="auto" w:sz="8" w:space="0"/>
            </w:tcBorders>
            <w:noWrap w:val="0"/>
            <w:vAlign w:val="center"/>
          </w:tcPr>
          <w:p>
            <w:pPr>
              <w:snapToGrid w:val="0"/>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1" w:hRule="exact"/>
        </w:trPr>
        <w:tc>
          <w:tcPr>
            <w:tcW w:w="926" w:type="dxa"/>
            <w:tcBorders>
              <w:top w:val="single" w:color="auto" w:sz="4" w:space="0"/>
              <w:left w:val="single" w:color="auto" w:sz="8" w:space="0"/>
              <w:bottom w:val="single" w:color="auto" w:sz="8" w:space="0"/>
              <w:right w:val="single" w:color="auto" w:sz="4" w:space="0"/>
            </w:tcBorders>
            <w:noWrap w:val="0"/>
            <w:vAlign w:val="center"/>
          </w:tcPr>
          <w:p>
            <w:pPr>
              <w:snapToGrid w:val="0"/>
              <w:jc w:val="center"/>
              <w:rPr>
                <w:rFonts w:eastAsia="方正仿宋_GBK"/>
                <w:color w:val="000000"/>
                <w:spacing w:val="-2"/>
                <w:szCs w:val="21"/>
              </w:rPr>
            </w:pPr>
            <w:r>
              <w:rPr>
                <w:rFonts w:hint="eastAsia" w:eastAsia="方正仿宋_GBK"/>
                <w:color w:val="000000"/>
                <w:spacing w:val="-2"/>
                <w:szCs w:val="21"/>
              </w:rPr>
              <w:t>附件</w:t>
            </w:r>
          </w:p>
          <w:p>
            <w:pPr>
              <w:snapToGrid w:val="0"/>
              <w:jc w:val="center"/>
              <w:rPr>
                <w:rFonts w:eastAsia="方正仿宋_GBK"/>
                <w:color w:val="000000"/>
                <w:spacing w:val="-2"/>
                <w:szCs w:val="21"/>
              </w:rPr>
            </w:pPr>
            <w:r>
              <w:rPr>
                <w:rFonts w:hint="eastAsia" w:eastAsia="方正仿宋_GBK"/>
                <w:color w:val="000000"/>
                <w:spacing w:val="-2"/>
                <w:szCs w:val="21"/>
              </w:rPr>
              <w:t>资料</w:t>
            </w:r>
          </w:p>
        </w:tc>
        <w:tc>
          <w:tcPr>
            <w:tcW w:w="7931" w:type="dxa"/>
            <w:gridSpan w:val="7"/>
            <w:tcBorders>
              <w:top w:val="single" w:color="auto" w:sz="4" w:space="0"/>
              <w:left w:val="single" w:color="auto" w:sz="4" w:space="0"/>
              <w:bottom w:val="single" w:color="auto" w:sz="8" w:space="0"/>
              <w:right w:val="single" w:color="auto" w:sz="8" w:space="0"/>
            </w:tcBorders>
            <w:noWrap w:val="0"/>
            <w:vAlign w:val="center"/>
          </w:tcPr>
          <w:p>
            <w:pPr>
              <w:pStyle w:val="18"/>
              <w:snapToGrid w:val="0"/>
              <w:ind w:firstLine="0" w:firstLineChars="0"/>
              <w:jc w:val="left"/>
              <w:rPr>
                <w:rFonts w:eastAsia="方正仿宋_GBK"/>
                <w:color w:val="000000"/>
                <w:spacing w:val="-2"/>
                <w:szCs w:val="21"/>
              </w:rPr>
            </w:pPr>
            <w:r>
              <w:rPr>
                <w:rFonts w:eastAsia="方正仿宋_GBK"/>
                <w:color w:val="000000"/>
                <w:spacing w:val="-2"/>
                <w:szCs w:val="21"/>
              </w:rPr>
              <w:t>1</w:t>
            </w:r>
            <w:r>
              <w:rPr>
                <w:rFonts w:hint="eastAsia" w:eastAsia="方正仿宋_GBK"/>
                <w:color w:val="000000"/>
                <w:spacing w:val="-2"/>
                <w:szCs w:val="21"/>
              </w:rPr>
              <w:t>、项目建筑设计方案绿色设计专项说明；</w:t>
            </w:r>
          </w:p>
          <w:p>
            <w:pPr>
              <w:pStyle w:val="18"/>
              <w:snapToGrid w:val="0"/>
              <w:ind w:firstLine="0" w:firstLineChars="0"/>
              <w:jc w:val="left"/>
              <w:rPr>
                <w:rFonts w:eastAsia="方正仿宋_GBK"/>
                <w:color w:val="000000"/>
                <w:spacing w:val="-2"/>
                <w:szCs w:val="21"/>
              </w:rPr>
            </w:pPr>
            <w:r>
              <w:rPr>
                <w:rFonts w:eastAsia="方正仿宋_GBK"/>
                <w:color w:val="000000"/>
                <w:spacing w:val="-2"/>
                <w:szCs w:val="21"/>
              </w:rPr>
              <w:t>2</w:t>
            </w:r>
            <w:r>
              <w:rPr>
                <w:rFonts w:hint="eastAsia" w:eastAsia="方正仿宋_GBK"/>
                <w:color w:val="000000"/>
                <w:spacing w:val="-2"/>
                <w:szCs w:val="21"/>
              </w:rPr>
              <w:t>、项目场地区位图、总平面图、平面图、立面图、剖面图；</w:t>
            </w:r>
          </w:p>
          <w:p>
            <w:pPr>
              <w:pStyle w:val="18"/>
              <w:snapToGrid w:val="0"/>
              <w:ind w:firstLine="0" w:firstLineChars="0"/>
              <w:jc w:val="left"/>
              <w:rPr>
                <w:rFonts w:eastAsia="方正仿宋_GBK"/>
                <w:color w:val="000000"/>
                <w:spacing w:val="-2"/>
                <w:szCs w:val="21"/>
              </w:rPr>
            </w:pPr>
            <w:r>
              <w:rPr>
                <w:rFonts w:eastAsia="方正仿宋_GBK"/>
                <w:color w:val="000000"/>
                <w:spacing w:val="-2"/>
                <w:szCs w:val="21"/>
              </w:rPr>
              <w:t>3</w:t>
            </w:r>
            <w:r>
              <w:rPr>
                <w:rFonts w:hint="eastAsia" w:eastAsia="方正仿宋_GBK"/>
                <w:color w:val="000000"/>
                <w:spacing w:val="-2"/>
                <w:szCs w:val="21"/>
              </w:rPr>
              <w:t>、相关评价分析报告及批文。</w:t>
            </w:r>
          </w:p>
        </w:tc>
      </w:tr>
    </w:tbl>
    <w:p>
      <w:pPr>
        <w:rPr>
          <w:rFonts w:hint="eastAsia"/>
          <w:color w:val="000000"/>
          <w:spacing w:val="-2"/>
        </w:rPr>
      </w:pPr>
    </w:p>
    <w:p>
      <w:pPr>
        <w:rPr>
          <w:color w:val="000000"/>
          <w:spacing w:val="-2"/>
        </w:rPr>
      </w:pPr>
    </w:p>
    <w:p>
      <w:pPr>
        <w:rPr>
          <w:color w:val="000000"/>
          <w:spacing w:val="-2"/>
        </w:rPr>
      </w:pP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2"/>
        <w:gridCol w:w="778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55" w:type="dxa"/>
            <w:gridSpan w:val="2"/>
            <w:tcBorders>
              <w:top w:val="single" w:color="auto" w:sz="8" w:space="0"/>
              <w:left w:val="single" w:color="auto" w:sz="8" w:space="0"/>
              <w:bottom w:val="single" w:color="auto" w:sz="4" w:space="0"/>
              <w:right w:val="single" w:color="auto" w:sz="8" w:space="0"/>
            </w:tcBorders>
            <w:noWrap w:val="0"/>
            <w:vAlign w:val="center"/>
          </w:tcPr>
          <w:p>
            <w:pPr>
              <w:snapToGrid w:val="0"/>
              <w:jc w:val="center"/>
              <w:rPr>
                <w:rFonts w:eastAsia="方正仿宋_GBK"/>
                <w:color w:val="000000"/>
                <w:spacing w:val="-2"/>
                <w:szCs w:val="21"/>
              </w:rPr>
            </w:pPr>
            <w:r>
              <w:rPr>
                <w:rFonts w:hint="eastAsia" w:eastAsia="方正仿宋_GBK"/>
                <w:color w:val="000000"/>
                <w:spacing w:val="-2"/>
                <w:szCs w:val="21"/>
              </w:rPr>
              <w:t>二、绿色设计审查意见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7" w:hRule="atLeast"/>
          <w:jc w:val="center"/>
        </w:trPr>
        <w:tc>
          <w:tcPr>
            <w:tcW w:w="972" w:type="dxa"/>
            <w:tcBorders>
              <w:top w:val="single" w:color="auto" w:sz="4" w:space="0"/>
              <w:left w:val="single" w:color="auto" w:sz="8" w:space="0"/>
              <w:bottom w:val="single" w:color="auto" w:sz="4" w:space="0"/>
              <w:right w:val="single" w:color="auto" w:sz="4" w:space="0"/>
            </w:tcBorders>
            <w:noWrap w:val="0"/>
            <w:vAlign w:val="center"/>
          </w:tcPr>
          <w:p>
            <w:pPr>
              <w:spacing w:line="360" w:lineRule="auto"/>
              <w:jc w:val="center"/>
              <w:rPr>
                <w:rFonts w:eastAsia="方正仿宋_GBK"/>
                <w:color w:val="000000"/>
                <w:spacing w:val="-2"/>
                <w:szCs w:val="21"/>
              </w:rPr>
            </w:pPr>
            <w:r>
              <w:rPr>
                <w:rFonts w:hint="eastAsia" w:eastAsia="方正仿宋_GBK"/>
                <w:color w:val="000000"/>
                <w:spacing w:val="-2"/>
                <w:szCs w:val="21"/>
              </w:rPr>
              <w:t>建设</w:t>
            </w:r>
          </w:p>
          <w:p>
            <w:pPr>
              <w:spacing w:line="360" w:lineRule="auto"/>
              <w:jc w:val="center"/>
              <w:rPr>
                <w:rFonts w:eastAsia="方正仿宋_GBK"/>
                <w:color w:val="000000"/>
                <w:spacing w:val="-2"/>
                <w:szCs w:val="21"/>
              </w:rPr>
            </w:pPr>
            <w:r>
              <w:rPr>
                <w:rFonts w:hint="eastAsia" w:eastAsia="方正仿宋_GBK"/>
                <w:color w:val="000000"/>
                <w:spacing w:val="-2"/>
                <w:szCs w:val="21"/>
              </w:rPr>
              <w:t>主管</w:t>
            </w:r>
          </w:p>
          <w:p>
            <w:pPr>
              <w:spacing w:line="360" w:lineRule="auto"/>
              <w:jc w:val="center"/>
              <w:rPr>
                <w:rFonts w:eastAsia="方正仿宋_GBK"/>
                <w:color w:val="000000"/>
                <w:spacing w:val="-2"/>
                <w:szCs w:val="21"/>
              </w:rPr>
            </w:pPr>
            <w:r>
              <w:rPr>
                <w:rFonts w:hint="eastAsia" w:eastAsia="方正仿宋_GBK"/>
                <w:color w:val="000000"/>
                <w:spacing w:val="-2"/>
                <w:szCs w:val="21"/>
              </w:rPr>
              <w:t>部门</w:t>
            </w:r>
          </w:p>
          <w:p>
            <w:pPr>
              <w:spacing w:line="360" w:lineRule="auto"/>
              <w:jc w:val="center"/>
              <w:rPr>
                <w:rFonts w:eastAsia="方正仿宋_GBK"/>
                <w:color w:val="000000"/>
                <w:spacing w:val="-2"/>
                <w:szCs w:val="21"/>
              </w:rPr>
            </w:pPr>
            <w:r>
              <w:rPr>
                <w:rFonts w:hint="eastAsia" w:eastAsia="方正仿宋_GBK"/>
                <w:color w:val="000000"/>
                <w:spacing w:val="-2"/>
                <w:szCs w:val="21"/>
              </w:rPr>
              <w:t>意见</w:t>
            </w:r>
          </w:p>
        </w:tc>
        <w:tc>
          <w:tcPr>
            <w:tcW w:w="7783" w:type="dxa"/>
            <w:tcBorders>
              <w:top w:val="single" w:color="auto" w:sz="4" w:space="0"/>
              <w:left w:val="single" w:color="auto" w:sz="4" w:space="0"/>
              <w:bottom w:val="single" w:color="auto" w:sz="4" w:space="0"/>
              <w:right w:val="single" w:color="auto" w:sz="8" w:space="0"/>
            </w:tcBorders>
            <w:noWrap w:val="0"/>
            <w:vAlign w:val="center"/>
          </w:tcPr>
          <w:p>
            <w:pPr>
              <w:spacing w:line="360" w:lineRule="auto"/>
              <w:rPr>
                <w:rFonts w:eastAsia="方正仿宋_GBK"/>
                <w:color w:val="000000"/>
                <w:spacing w:val="-2"/>
                <w:szCs w:val="21"/>
              </w:rPr>
            </w:pPr>
          </w:p>
          <w:p>
            <w:pPr>
              <w:spacing w:line="360" w:lineRule="auto"/>
              <w:rPr>
                <w:rFonts w:eastAsia="方正仿宋_GBK"/>
                <w:color w:val="000000"/>
                <w:spacing w:val="-2"/>
                <w:szCs w:val="21"/>
              </w:rPr>
            </w:pPr>
          </w:p>
          <w:p>
            <w:pPr>
              <w:spacing w:line="360" w:lineRule="auto"/>
              <w:rPr>
                <w:rFonts w:eastAsia="方正仿宋_GBK"/>
                <w:color w:val="000000"/>
                <w:spacing w:val="-2"/>
                <w:szCs w:val="21"/>
              </w:rPr>
            </w:pPr>
          </w:p>
          <w:p>
            <w:pPr>
              <w:spacing w:line="360" w:lineRule="auto"/>
              <w:rPr>
                <w:rFonts w:eastAsia="方正仿宋_GBK"/>
                <w:color w:val="000000"/>
                <w:spacing w:val="-2"/>
                <w:szCs w:val="21"/>
              </w:rPr>
            </w:pPr>
          </w:p>
          <w:p>
            <w:pPr>
              <w:spacing w:line="360" w:lineRule="auto"/>
              <w:rPr>
                <w:rFonts w:eastAsia="方正仿宋_GBK"/>
                <w:color w:val="000000"/>
                <w:spacing w:val="-2"/>
                <w:szCs w:val="21"/>
              </w:rPr>
            </w:pPr>
          </w:p>
          <w:p>
            <w:pPr>
              <w:spacing w:line="360" w:lineRule="auto"/>
              <w:rPr>
                <w:rFonts w:eastAsia="方正仿宋_GBK"/>
                <w:color w:val="000000"/>
                <w:spacing w:val="-2"/>
                <w:szCs w:val="21"/>
              </w:rPr>
            </w:pPr>
          </w:p>
          <w:p>
            <w:pPr>
              <w:spacing w:line="360" w:lineRule="auto"/>
              <w:rPr>
                <w:rFonts w:eastAsia="方正仿宋_GBK"/>
                <w:color w:val="000000"/>
                <w:spacing w:val="-2"/>
                <w:szCs w:val="21"/>
              </w:rPr>
            </w:pPr>
          </w:p>
          <w:p>
            <w:pPr>
              <w:spacing w:line="360" w:lineRule="auto"/>
              <w:ind w:firstLine="4120" w:firstLineChars="2000"/>
              <w:rPr>
                <w:rFonts w:eastAsia="方正仿宋_GBK"/>
                <w:color w:val="000000"/>
                <w:spacing w:val="-2"/>
                <w:szCs w:val="21"/>
              </w:rPr>
            </w:pPr>
            <w:r>
              <w:rPr>
                <w:rFonts w:hint="eastAsia" w:eastAsia="方正仿宋_GBK"/>
                <w:color w:val="000000"/>
                <w:spacing w:val="-2"/>
                <w:szCs w:val="21"/>
              </w:rPr>
              <w:t>（盖</w:t>
            </w:r>
            <w:r>
              <w:rPr>
                <w:rFonts w:eastAsia="方正仿宋_GBK"/>
                <w:color w:val="000000"/>
                <w:spacing w:val="-2"/>
                <w:szCs w:val="21"/>
              </w:rPr>
              <w:t xml:space="preserve">    </w:t>
            </w:r>
            <w:r>
              <w:rPr>
                <w:rFonts w:hint="eastAsia" w:eastAsia="方正仿宋_GBK"/>
                <w:color w:val="000000"/>
                <w:spacing w:val="-2"/>
                <w:szCs w:val="21"/>
              </w:rPr>
              <w:t>章）</w:t>
            </w:r>
          </w:p>
          <w:p>
            <w:pPr>
              <w:spacing w:line="360" w:lineRule="auto"/>
              <w:ind w:firstLine="4120" w:firstLineChars="2000"/>
              <w:rPr>
                <w:rFonts w:eastAsia="方正仿宋_GBK"/>
                <w:color w:val="000000"/>
                <w:spacing w:val="-2"/>
                <w:szCs w:val="21"/>
              </w:rPr>
            </w:pPr>
            <w:r>
              <w:rPr>
                <w:rFonts w:hint="eastAsia" w:eastAsia="方正仿宋_GBK"/>
                <w:color w:val="000000"/>
                <w:spacing w:val="-2"/>
                <w:szCs w:val="21"/>
              </w:rPr>
              <w:t>年</w:t>
            </w:r>
            <w:r>
              <w:rPr>
                <w:rFonts w:eastAsia="方正仿宋_GBK"/>
                <w:color w:val="000000"/>
                <w:spacing w:val="-2"/>
                <w:szCs w:val="21"/>
              </w:rPr>
              <w:t xml:space="preserve">    </w:t>
            </w:r>
            <w:r>
              <w:rPr>
                <w:rFonts w:hint="eastAsia" w:eastAsia="方正仿宋_GBK"/>
                <w:color w:val="000000"/>
                <w:spacing w:val="-2"/>
                <w:szCs w:val="21"/>
              </w:rPr>
              <w:t>月</w:t>
            </w:r>
            <w:r>
              <w:rPr>
                <w:rFonts w:eastAsia="方正仿宋_GBK"/>
                <w:color w:val="000000"/>
                <w:spacing w:val="-2"/>
                <w:szCs w:val="21"/>
              </w:rPr>
              <w:t xml:space="preserve">    </w:t>
            </w:r>
            <w:r>
              <w:rPr>
                <w:rFonts w:hint="eastAsia" w:eastAsia="方正仿宋_GBK"/>
                <w:color w:val="000000"/>
                <w:spacing w:val="-2"/>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7" w:hRule="atLeast"/>
          <w:jc w:val="center"/>
        </w:trPr>
        <w:tc>
          <w:tcPr>
            <w:tcW w:w="972" w:type="dxa"/>
            <w:tcBorders>
              <w:top w:val="single" w:color="auto" w:sz="4" w:space="0"/>
              <w:left w:val="single" w:color="auto" w:sz="8" w:space="0"/>
              <w:bottom w:val="single" w:color="auto" w:sz="8" w:space="0"/>
              <w:right w:val="single" w:color="auto" w:sz="4" w:space="0"/>
            </w:tcBorders>
            <w:noWrap w:val="0"/>
            <w:vAlign w:val="center"/>
          </w:tcPr>
          <w:p>
            <w:pPr>
              <w:spacing w:line="360" w:lineRule="auto"/>
              <w:jc w:val="center"/>
              <w:rPr>
                <w:rFonts w:eastAsia="方正仿宋_GBK"/>
                <w:color w:val="000000"/>
                <w:spacing w:val="-2"/>
                <w:szCs w:val="21"/>
              </w:rPr>
            </w:pPr>
            <w:r>
              <w:rPr>
                <w:rFonts w:hint="eastAsia" w:eastAsia="方正仿宋_GBK"/>
                <w:color w:val="000000"/>
                <w:spacing w:val="-2"/>
                <w:szCs w:val="21"/>
              </w:rPr>
              <w:t>规划</w:t>
            </w:r>
          </w:p>
          <w:p>
            <w:pPr>
              <w:spacing w:line="360" w:lineRule="auto"/>
              <w:jc w:val="center"/>
              <w:rPr>
                <w:rFonts w:eastAsia="方正仿宋_GBK"/>
                <w:color w:val="000000"/>
                <w:spacing w:val="-2"/>
                <w:szCs w:val="21"/>
              </w:rPr>
            </w:pPr>
            <w:r>
              <w:rPr>
                <w:rFonts w:hint="eastAsia" w:eastAsia="方正仿宋_GBK"/>
                <w:color w:val="000000"/>
                <w:spacing w:val="-2"/>
                <w:szCs w:val="21"/>
              </w:rPr>
              <w:t>主管</w:t>
            </w:r>
          </w:p>
          <w:p>
            <w:pPr>
              <w:spacing w:line="360" w:lineRule="auto"/>
              <w:jc w:val="center"/>
              <w:rPr>
                <w:rFonts w:eastAsia="方正仿宋_GBK"/>
                <w:color w:val="000000"/>
                <w:spacing w:val="-2"/>
                <w:szCs w:val="21"/>
              </w:rPr>
            </w:pPr>
            <w:r>
              <w:rPr>
                <w:rFonts w:hint="eastAsia" w:eastAsia="方正仿宋_GBK"/>
                <w:color w:val="000000"/>
                <w:spacing w:val="-2"/>
                <w:szCs w:val="21"/>
              </w:rPr>
              <w:t>部门</w:t>
            </w:r>
          </w:p>
          <w:p>
            <w:pPr>
              <w:spacing w:line="360" w:lineRule="auto"/>
              <w:jc w:val="center"/>
              <w:rPr>
                <w:rFonts w:eastAsia="方正仿宋_GBK"/>
                <w:color w:val="000000"/>
                <w:spacing w:val="-2"/>
                <w:szCs w:val="21"/>
              </w:rPr>
            </w:pPr>
            <w:r>
              <w:rPr>
                <w:rFonts w:hint="eastAsia" w:eastAsia="方正仿宋_GBK"/>
                <w:color w:val="000000"/>
                <w:spacing w:val="-2"/>
                <w:szCs w:val="21"/>
              </w:rPr>
              <w:t>意见</w:t>
            </w:r>
          </w:p>
        </w:tc>
        <w:tc>
          <w:tcPr>
            <w:tcW w:w="7783" w:type="dxa"/>
            <w:tcBorders>
              <w:top w:val="single" w:color="auto" w:sz="4" w:space="0"/>
              <w:left w:val="single" w:color="auto" w:sz="4" w:space="0"/>
              <w:bottom w:val="single" w:color="auto" w:sz="8" w:space="0"/>
              <w:right w:val="single" w:color="auto" w:sz="8" w:space="0"/>
            </w:tcBorders>
            <w:noWrap w:val="0"/>
            <w:vAlign w:val="center"/>
          </w:tcPr>
          <w:p>
            <w:pPr>
              <w:spacing w:line="360" w:lineRule="auto"/>
              <w:rPr>
                <w:rFonts w:eastAsia="方正仿宋_GBK"/>
                <w:color w:val="000000"/>
                <w:spacing w:val="-2"/>
                <w:szCs w:val="21"/>
              </w:rPr>
            </w:pPr>
          </w:p>
          <w:p>
            <w:pPr>
              <w:spacing w:line="360" w:lineRule="auto"/>
              <w:rPr>
                <w:rFonts w:eastAsia="方正仿宋_GBK"/>
                <w:color w:val="000000"/>
                <w:spacing w:val="-2"/>
                <w:szCs w:val="21"/>
              </w:rPr>
            </w:pPr>
          </w:p>
          <w:p>
            <w:pPr>
              <w:spacing w:line="360" w:lineRule="auto"/>
              <w:rPr>
                <w:rFonts w:eastAsia="方正仿宋_GBK"/>
                <w:color w:val="000000"/>
                <w:spacing w:val="-2"/>
                <w:szCs w:val="21"/>
              </w:rPr>
            </w:pPr>
          </w:p>
          <w:p>
            <w:pPr>
              <w:spacing w:line="360" w:lineRule="auto"/>
              <w:rPr>
                <w:rFonts w:eastAsia="方正仿宋_GBK"/>
                <w:color w:val="000000"/>
                <w:spacing w:val="-2"/>
                <w:szCs w:val="21"/>
              </w:rPr>
            </w:pPr>
          </w:p>
          <w:p>
            <w:pPr>
              <w:spacing w:line="360" w:lineRule="auto"/>
              <w:rPr>
                <w:rFonts w:eastAsia="方正仿宋_GBK"/>
                <w:color w:val="000000"/>
                <w:spacing w:val="-2"/>
                <w:szCs w:val="21"/>
              </w:rPr>
            </w:pPr>
          </w:p>
          <w:p>
            <w:pPr>
              <w:spacing w:line="360" w:lineRule="auto"/>
              <w:rPr>
                <w:rFonts w:eastAsia="方正仿宋_GBK"/>
                <w:color w:val="000000"/>
                <w:spacing w:val="-2"/>
                <w:szCs w:val="21"/>
              </w:rPr>
            </w:pPr>
          </w:p>
          <w:p>
            <w:pPr>
              <w:spacing w:line="360" w:lineRule="auto"/>
              <w:rPr>
                <w:rFonts w:eastAsia="方正仿宋_GBK"/>
                <w:color w:val="000000"/>
                <w:spacing w:val="-2"/>
                <w:szCs w:val="21"/>
              </w:rPr>
            </w:pPr>
          </w:p>
          <w:p>
            <w:pPr>
              <w:spacing w:line="360" w:lineRule="auto"/>
              <w:ind w:firstLine="4120" w:firstLineChars="2000"/>
              <w:rPr>
                <w:rFonts w:eastAsia="方正仿宋_GBK"/>
                <w:color w:val="000000"/>
                <w:spacing w:val="-2"/>
                <w:szCs w:val="21"/>
              </w:rPr>
            </w:pPr>
            <w:r>
              <w:rPr>
                <w:rFonts w:hint="eastAsia" w:eastAsia="方正仿宋_GBK"/>
                <w:color w:val="000000"/>
                <w:spacing w:val="-2"/>
                <w:szCs w:val="21"/>
              </w:rPr>
              <w:t>（盖</w:t>
            </w:r>
            <w:r>
              <w:rPr>
                <w:rFonts w:eastAsia="方正仿宋_GBK"/>
                <w:color w:val="000000"/>
                <w:spacing w:val="-2"/>
                <w:szCs w:val="21"/>
              </w:rPr>
              <w:t xml:space="preserve">    </w:t>
            </w:r>
            <w:r>
              <w:rPr>
                <w:rFonts w:hint="eastAsia" w:eastAsia="方正仿宋_GBK"/>
                <w:color w:val="000000"/>
                <w:spacing w:val="-2"/>
                <w:szCs w:val="21"/>
              </w:rPr>
              <w:t>章）</w:t>
            </w:r>
          </w:p>
          <w:p>
            <w:pPr>
              <w:spacing w:line="360" w:lineRule="auto"/>
              <w:ind w:firstLine="4120" w:firstLineChars="2000"/>
              <w:rPr>
                <w:rFonts w:eastAsia="方正仿宋_GBK"/>
                <w:color w:val="000000"/>
                <w:spacing w:val="-2"/>
                <w:szCs w:val="21"/>
              </w:rPr>
            </w:pPr>
            <w:r>
              <w:rPr>
                <w:rFonts w:hint="eastAsia" w:eastAsia="方正仿宋_GBK"/>
                <w:color w:val="000000"/>
                <w:spacing w:val="-2"/>
                <w:szCs w:val="21"/>
              </w:rPr>
              <w:t>年</w:t>
            </w:r>
            <w:r>
              <w:rPr>
                <w:rFonts w:eastAsia="方正仿宋_GBK"/>
                <w:color w:val="000000"/>
                <w:spacing w:val="-2"/>
                <w:szCs w:val="21"/>
              </w:rPr>
              <w:t xml:space="preserve">    </w:t>
            </w:r>
            <w:r>
              <w:rPr>
                <w:rFonts w:hint="eastAsia" w:eastAsia="方正仿宋_GBK"/>
                <w:color w:val="000000"/>
                <w:spacing w:val="-2"/>
                <w:szCs w:val="21"/>
              </w:rPr>
              <w:t>月</w:t>
            </w:r>
            <w:r>
              <w:rPr>
                <w:rFonts w:eastAsia="方正仿宋_GBK"/>
                <w:color w:val="000000"/>
                <w:spacing w:val="-2"/>
                <w:szCs w:val="21"/>
              </w:rPr>
              <w:t xml:space="preserve">    </w:t>
            </w:r>
            <w:r>
              <w:rPr>
                <w:rFonts w:hint="eastAsia" w:eastAsia="方正仿宋_GBK"/>
                <w:color w:val="000000"/>
                <w:spacing w:val="-2"/>
                <w:szCs w:val="21"/>
              </w:rPr>
              <w:t>日</w:t>
            </w:r>
          </w:p>
        </w:tc>
      </w:tr>
    </w:tbl>
    <w:p>
      <w:pPr>
        <w:spacing w:line="460" w:lineRule="exact"/>
        <w:jc w:val="center"/>
        <w:rPr>
          <w:rFonts w:ascii="Times New Roman" w:eastAsia="方正小标宋简体"/>
          <w:color w:val="000000"/>
          <w:sz w:val="36"/>
          <w:szCs w:val="36"/>
        </w:rPr>
      </w:pPr>
    </w:p>
    <w:p>
      <w:pPr>
        <w:rPr>
          <w:rFonts w:hint="eastAsia"/>
        </w:rPr>
      </w:pPr>
    </w:p>
    <w:p/>
    <w:p/>
    <w:p/>
    <w:p/>
    <w:p/>
    <w:p/>
    <w:p/>
    <w:p/>
    <w:p/>
    <w:p>
      <w:pPr>
        <w:pStyle w:val="2"/>
        <w:spacing w:before="240" w:beforeLines="100" w:after="240" w:afterLines="100" w:line="240" w:lineRule="auto"/>
        <w:jc w:val="center"/>
        <w:rPr>
          <w:rFonts w:ascii="Times New Roman" w:eastAsia="方正小标宋_GBK"/>
          <w:b w:val="0"/>
          <w:sz w:val="36"/>
          <w:szCs w:val="36"/>
        </w:rPr>
      </w:pPr>
      <w:bookmarkStart w:id="410" w:name="_Toc20726472"/>
      <w:bookmarkStart w:id="411" w:name="_Toc18315583"/>
      <w:r>
        <w:rPr>
          <w:rFonts w:hint="eastAsia" w:ascii="Times New Roman" w:eastAsia="方正小标宋_GBK"/>
          <w:b w:val="0"/>
          <w:sz w:val="36"/>
          <w:szCs w:val="36"/>
        </w:rPr>
        <w:t>省住房城乡建设厅省发展改革委省经信委省环保厅    省质监局关于在新建建筑中加快推广应用预制内外墙板预制楼梯板预制楼板的通知</w:t>
      </w:r>
      <w:bookmarkEnd w:id="410"/>
      <w:bookmarkEnd w:id="411"/>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412" w:name="_Toc20726473"/>
      <w:bookmarkStart w:id="413" w:name="_Toc18315584"/>
      <w:r>
        <w:rPr>
          <w:rFonts w:hint="eastAsia" w:ascii="Times New Roman" w:hAnsi="Times New Roman" w:eastAsia="方正楷体_GBK"/>
          <w:b w:val="0"/>
          <w:sz w:val="24"/>
          <w:szCs w:val="24"/>
        </w:rPr>
        <w:t>苏建科〔</w:t>
      </w:r>
      <w:r>
        <w:rPr>
          <w:rFonts w:ascii="Times New Roman" w:hAnsi="Times New Roman" w:eastAsia="方正楷体_GBK"/>
          <w:b w:val="0"/>
          <w:sz w:val="24"/>
          <w:szCs w:val="24"/>
        </w:rPr>
        <w:t>2017</w:t>
      </w:r>
      <w:r>
        <w:rPr>
          <w:rFonts w:hint="eastAsia" w:ascii="Times New Roman" w:hAnsi="Times New Roman" w:eastAsia="方正楷体_GBK"/>
          <w:b w:val="0"/>
          <w:sz w:val="24"/>
          <w:szCs w:val="24"/>
        </w:rPr>
        <w:t>〕</w:t>
      </w:r>
      <w:r>
        <w:rPr>
          <w:rFonts w:ascii="Times New Roman" w:hAnsi="Times New Roman" w:eastAsia="方正楷体_GBK"/>
          <w:b w:val="0"/>
          <w:sz w:val="24"/>
          <w:szCs w:val="24"/>
        </w:rPr>
        <w:t xml:space="preserve">43 </w:t>
      </w:r>
      <w:r>
        <w:rPr>
          <w:rFonts w:hint="eastAsia" w:ascii="Times New Roman" w:hAnsi="Times New Roman" w:eastAsia="方正楷体_GBK"/>
          <w:b w:val="0"/>
          <w:sz w:val="24"/>
          <w:szCs w:val="24"/>
        </w:rPr>
        <w:t>号</w:t>
      </w:r>
      <w:bookmarkEnd w:id="412"/>
      <w:bookmarkEnd w:id="413"/>
    </w:p>
    <w:p>
      <w:pPr>
        <w:spacing w:line="460" w:lineRule="exact"/>
        <w:rPr>
          <w:rFonts w:hAnsi="Times New Roman" w:eastAsia="方正仿宋_GBK"/>
          <w:sz w:val="24"/>
        </w:rPr>
      </w:pPr>
      <w:r>
        <w:rPr>
          <w:rFonts w:hint="eastAsia" w:hAnsi="Times New Roman" w:eastAsia="方正仿宋_GBK"/>
          <w:sz w:val="24"/>
        </w:rPr>
        <w:t>各设区市建设局（委）、规划局、发改（委）局、经信委、环保局、质监局：</w:t>
      </w:r>
    </w:p>
    <w:p>
      <w:pPr>
        <w:spacing w:line="460" w:lineRule="exact"/>
        <w:ind w:firstLine="480" w:firstLineChars="200"/>
        <w:rPr>
          <w:rFonts w:eastAsia="方正仿宋_GBK"/>
          <w:sz w:val="24"/>
        </w:rPr>
      </w:pPr>
      <w:r>
        <w:rPr>
          <w:rFonts w:hint="eastAsia" w:hAnsi="Times New Roman" w:eastAsia="方正仿宋_GBK"/>
          <w:sz w:val="24"/>
        </w:rPr>
        <w:t>为贯彻落实《省政府关于加快推进建筑产业现代化促进建筑产业转型升级的意见》（苏政发〔</w:t>
      </w:r>
      <w:r>
        <w:rPr>
          <w:rFonts w:eastAsia="方正仿宋_GBK"/>
          <w:sz w:val="24"/>
        </w:rPr>
        <w:t>2014</w:t>
      </w:r>
      <w:r>
        <w:rPr>
          <w:rFonts w:hint="eastAsia" w:hAnsi="Times New Roman" w:eastAsia="方正仿宋_GBK"/>
          <w:sz w:val="24"/>
        </w:rPr>
        <w:t>〕</w:t>
      </w:r>
      <w:r>
        <w:rPr>
          <w:rFonts w:eastAsia="方正仿宋_GBK"/>
          <w:sz w:val="24"/>
        </w:rPr>
        <w:t xml:space="preserve">1 </w:t>
      </w:r>
      <w:r>
        <w:rPr>
          <w:rFonts w:hint="eastAsia" w:hAnsi="Times New Roman" w:eastAsia="方正仿宋_GBK"/>
          <w:sz w:val="24"/>
        </w:rPr>
        <w:t>号）文件精神，加快采用装配式建筑成熟技术，积极稳妥地推动全省建筑产业现代化发展，现将在全省城市（县城）范围内新建建筑中推广应用预制内外墙板、预制楼梯板、预制楼板（含预制叠合楼板，以下统称</w:t>
      </w:r>
      <w:r>
        <w:rPr>
          <w:rFonts w:eastAsia="方正仿宋_GBK"/>
          <w:sz w:val="24"/>
        </w:rPr>
        <w:t>“</w:t>
      </w:r>
      <w:r>
        <w:rPr>
          <w:rFonts w:hint="eastAsia" w:hAnsi="Times New Roman" w:eastAsia="方正仿宋_GBK"/>
          <w:sz w:val="24"/>
        </w:rPr>
        <w:t>三板</w:t>
      </w:r>
      <w:r>
        <w:rPr>
          <w:rFonts w:eastAsia="方正仿宋_GBK"/>
          <w:sz w:val="24"/>
        </w:rPr>
        <w:t>”</w:t>
      </w:r>
      <w:r>
        <w:rPr>
          <w:rFonts w:hint="eastAsia" w:hAnsi="Times New Roman" w:eastAsia="方正仿宋_GBK"/>
          <w:sz w:val="24"/>
        </w:rPr>
        <w:t>）的有关事项通知如下：</w:t>
      </w:r>
    </w:p>
    <w:p>
      <w:pPr>
        <w:spacing w:line="460" w:lineRule="exact"/>
        <w:ind w:firstLine="480" w:firstLineChars="200"/>
        <w:rPr>
          <w:rFonts w:eastAsia="方正仿宋_GBK"/>
          <w:sz w:val="24"/>
        </w:rPr>
      </w:pPr>
      <w:r>
        <w:rPr>
          <w:rFonts w:hint="eastAsia" w:hAnsi="Times New Roman" w:eastAsia="方正仿宋_GBK"/>
          <w:sz w:val="24"/>
        </w:rPr>
        <w:t>一、</w:t>
      </w:r>
      <w:r>
        <w:rPr>
          <w:rFonts w:eastAsia="方正仿宋_GBK"/>
          <w:sz w:val="24"/>
        </w:rPr>
        <w:t>“</w:t>
      </w:r>
      <w:r>
        <w:rPr>
          <w:rFonts w:hint="eastAsia" w:hAnsi="Times New Roman" w:eastAsia="方正仿宋_GBK"/>
          <w:sz w:val="24"/>
        </w:rPr>
        <w:t>三板</w:t>
      </w:r>
      <w:r>
        <w:rPr>
          <w:rFonts w:eastAsia="方正仿宋_GBK"/>
          <w:sz w:val="24"/>
        </w:rPr>
        <w:t>”</w:t>
      </w:r>
      <w:r>
        <w:rPr>
          <w:rFonts w:hint="eastAsia" w:hAnsi="Times New Roman" w:eastAsia="方正仿宋_GBK"/>
          <w:sz w:val="24"/>
        </w:rPr>
        <w:t>应用项目实施范围</w:t>
      </w:r>
    </w:p>
    <w:p>
      <w:pPr>
        <w:spacing w:line="460" w:lineRule="exact"/>
        <w:ind w:firstLine="480" w:firstLineChars="200"/>
        <w:rPr>
          <w:rFonts w:eastAsia="方正仿宋_GBK"/>
          <w:sz w:val="24"/>
        </w:rPr>
      </w:pPr>
      <w:r>
        <w:rPr>
          <w:rFonts w:eastAsia="方正仿宋_GBK"/>
          <w:sz w:val="24"/>
        </w:rPr>
        <w:t xml:space="preserve">1. </w:t>
      </w:r>
      <w:r>
        <w:rPr>
          <w:rFonts w:hint="eastAsia" w:hAnsi="Times New Roman" w:eastAsia="方正仿宋_GBK"/>
          <w:sz w:val="24"/>
        </w:rPr>
        <w:t>单体建筑面积</w:t>
      </w:r>
      <w:r>
        <w:rPr>
          <w:rFonts w:eastAsia="方正仿宋_GBK"/>
          <w:sz w:val="24"/>
        </w:rPr>
        <w:t xml:space="preserve">2 </w:t>
      </w:r>
      <w:r>
        <w:rPr>
          <w:rFonts w:hint="eastAsia" w:hAnsi="Times New Roman" w:eastAsia="方正仿宋_GBK"/>
          <w:sz w:val="24"/>
        </w:rPr>
        <w:t>万平方米以上的新建医院、宾馆、办公建筑，以及</w:t>
      </w:r>
      <w:r>
        <w:rPr>
          <w:rFonts w:eastAsia="方正仿宋_GBK"/>
          <w:sz w:val="24"/>
        </w:rPr>
        <w:t xml:space="preserve">5000 </w:t>
      </w:r>
      <w:r>
        <w:rPr>
          <w:rFonts w:hint="eastAsia" w:hAnsi="Times New Roman" w:eastAsia="方正仿宋_GBK"/>
          <w:sz w:val="24"/>
        </w:rPr>
        <w:t>平方米以上的新建学校建筑；</w:t>
      </w:r>
    </w:p>
    <w:p>
      <w:pPr>
        <w:spacing w:line="460" w:lineRule="exact"/>
        <w:ind w:firstLine="480" w:firstLineChars="200"/>
        <w:rPr>
          <w:rFonts w:eastAsia="方正仿宋_GBK"/>
          <w:sz w:val="24"/>
        </w:rPr>
      </w:pPr>
      <w:r>
        <w:rPr>
          <w:rFonts w:eastAsia="方正仿宋_GBK"/>
          <w:sz w:val="24"/>
        </w:rPr>
        <w:t xml:space="preserve">2. </w:t>
      </w:r>
      <w:r>
        <w:rPr>
          <w:rFonts w:hint="eastAsia" w:hAnsi="Times New Roman" w:eastAsia="方正仿宋_GBK"/>
          <w:sz w:val="24"/>
        </w:rPr>
        <w:t>新建商品住宅、公寓、保障性住房；</w:t>
      </w:r>
    </w:p>
    <w:p>
      <w:pPr>
        <w:spacing w:line="460" w:lineRule="exact"/>
        <w:ind w:firstLine="480" w:firstLineChars="200"/>
        <w:rPr>
          <w:rFonts w:eastAsia="方正仿宋_GBK"/>
          <w:sz w:val="24"/>
        </w:rPr>
      </w:pPr>
      <w:r>
        <w:rPr>
          <w:rFonts w:eastAsia="方正仿宋_GBK"/>
          <w:sz w:val="24"/>
        </w:rPr>
        <w:t xml:space="preserve">3. </w:t>
      </w:r>
      <w:r>
        <w:rPr>
          <w:rFonts w:hint="eastAsia" w:hAnsi="Times New Roman" w:eastAsia="方正仿宋_GBK"/>
          <w:sz w:val="24"/>
        </w:rPr>
        <w:t>单体建筑面积</w:t>
      </w:r>
      <w:r>
        <w:rPr>
          <w:rFonts w:eastAsia="方正仿宋_GBK"/>
          <w:sz w:val="24"/>
        </w:rPr>
        <w:t xml:space="preserve">1 </w:t>
      </w:r>
      <w:r>
        <w:rPr>
          <w:rFonts w:hint="eastAsia" w:hAnsi="Times New Roman" w:eastAsia="方正仿宋_GBK"/>
          <w:sz w:val="24"/>
        </w:rPr>
        <w:t>万平方米以上的标准厂房。</w:t>
      </w:r>
    </w:p>
    <w:p>
      <w:pPr>
        <w:spacing w:line="460" w:lineRule="exact"/>
        <w:ind w:firstLine="480" w:firstLineChars="200"/>
        <w:rPr>
          <w:rFonts w:eastAsia="方正仿宋_GBK"/>
          <w:sz w:val="24"/>
        </w:rPr>
      </w:pPr>
      <w:r>
        <w:rPr>
          <w:rFonts w:hint="eastAsia" w:hAnsi="Times New Roman" w:eastAsia="方正仿宋_GBK"/>
          <w:sz w:val="24"/>
        </w:rPr>
        <w:t>二、</w:t>
      </w:r>
      <w:r>
        <w:rPr>
          <w:rFonts w:eastAsia="方正仿宋_GBK"/>
          <w:sz w:val="24"/>
        </w:rPr>
        <w:t>“</w:t>
      </w:r>
      <w:r>
        <w:rPr>
          <w:rFonts w:hint="eastAsia" w:hAnsi="Times New Roman" w:eastAsia="方正仿宋_GBK"/>
          <w:sz w:val="24"/>
        </w:rPr>
        <w:t>三板</w:t>
      </w:r>
      <w:r>
        <w:rPr>
          <w:rFonts w:eastAsia="方正仿宋_GBK"/>
          <w:sz w:val="24"/>
        </w:rPr>
        <w:t>”</w:t>
      </w:r>
      <w:r>
        <w:rPr>
          <w:rFonts w:hint="eastAsia" w:hAnsi="Times New Roman" w:eastAsia="方正仿宋_GBK"/>
          <w:sz w:val="24"/>
        </w:rPr>
        <w:t>应用项目实施时间</w:t>
      </w:r>
    </w:p>
    <w:p>
      <w:pPr>
        <w:spacing w:line="460" w:lineRule="exact"/>
        <w:ind w:firstLine="480" w:firstLineChars="200"/>
        <w:rPr>
          <w:rFonts w:eastAsia="方正仿宋_GBK"/>
          <w:sz w:val="24"/>
        </w:rPr>
      </w:pPr>
      <w:r>
        <w:rPr>
          <w:rFonts w:hint="eastAsia" w:hAnsi="Times New Roman" w:eastAsia="方正仿宋_GBK"/>
          <w:sz w:val="24"/>
        </w:rPr>
        <w:t>省级建筑产业现代化示范城市（县、区）自</w:t>
      </w:r>
      <w:r>
        <w:rPr>
          <w:rFonts w:eastAsia="方正仿宋_GBK"/>
          <w:sz w:val="24"/>
        </w:rPr>
        <w:t xml:space="preserve">2017 </w:t>
      </w:r>
      <w:r>
        <w:rPr>
          <w:rFonts w:hint="eastAsia" w:hAnsi="Times New Roman" w:eastAsia="方正仿宋_GBK"/>
          <w:sz w:val="24"/>
        </w:rPr>
        <w:t>年</w:t>
      </w:r>
      <w:r>
        <w:rPr>
          <w:rFonts w:eastAsia="方正仿宋_GBK"/>
          <w:sz w:val="24"/>
        </w:rPr>
        <w:t xml:space="preserve">12 </w:t>
      </w:r>
      <w:r>
        <w:rPr>
          <w:rFonts w:hint="eastAsia" w:hAnsi="Times New Roman" w:eastAsia="方正仿宋_GBK"/>
          <w:sz w:val="24"/>
        </w:rPr>
        <w:t>月</w:t>
      </w:r>
      <w:r>
        <w:rPr>
          <w:rFonts w:eastAsia="方正仿宋_GBK"/>
          <w:sz w:val="24"/>
        </w:rPr>
        <w:t xml:space="preserve">1 </w:t>
      </w:r>
      <w:r>
        <w:rPr>
          <w:rFonts w:hint="eastAsia" w:hAnsi="Times New Roman" w:eastAsia="方正仿宋_GBK"/>
          <w:sz w:val="24"/>
        </w:rPr>
        <w:t>日起，其它城市（县城）自</w:t>
      </w:r>
      <w:r>
        <w:rPr>
          <w:rFonts w:eastAsia="方正仿宋_GBK"/>
          <w:sz w:val="24"/>
        </w:rPr>
        <w:t xml:space="preserve">2018 </w:t>
      </w:r>
      <w:r>
        <w:rPr>
          <w:rFonts w:hint="eastAsia" w:hAnsi="Times New Roman" w:eastAsia="方正仿宋_GBK"/>
          <w:sz w:val="24"/>
        </w:rPr>
        <w:t>年</w:t>
      </w:r>
      <w:r>
        <w:rPr>
          <w:rFonts w:eastAsia="方正仿宋_GBK"/>
          <w:sz w:val="24"/>
        </w:rPr>
        <w:t xml:space="preserve">7 </w:t>
      </w:r>
      <w:r>
        <w:rPr>
          <w:rFonts w:hint="eastAsia" w:hAnsi="Times New Roman" w:eastAsia="方正仿宋_GBK"/>
          <w:sz w:val="24"/>
        </w:rPr>
        <w:t>月</w:t>
      </w:r>
      <w:r>
        <w:rPr>
          <w:rFonts w:eastAsia="方正仿宋_GBK"/>
          <w:sz w:val="24"/>
        </w:rPr>
        <w:t xml:space="preserve">1 </w:t>
      </w:r>
      <w:r>
        <w:rPr>
          <w:rFonts w:hint="eastAsia" w:hAnsi="Times New Roman" w:eastAsia="方正仿宋_GBK"/>
          <w:sz w:val="24"/>
        </w:rPr>
        <w:t>日起，在新建项目中推广应用</w:t>
      </w:r>
      <w:r>
        <w:rPr>
          <w:rFonts w:eastAsia="方正仿宋_GBK"/>
          <w:sz w:val="24"/>
        </w:rPr>
        <w:t>“</w:t>
      </w:r>
      <w:r>
        <w:rPr>
          <w:rFonts w:hint="eastAsia" w:hAnsi="Times New Roman" w:eastAsia="方正仿宋_GBK"/>
          <w:sz w:val="24"/>
        </w:rPr>
        <w:t>三板</w:t>
      </w:r>
      <w:r>
        <w:rPr>
          <w:rFonts w:eastAsia="方正仿宋_GBK"/>
          <w:sz w:val="24"/>
        </w:rPr>
        <w:t>”</w:t>
      </w:r>
      <w:r>
        <w:rPr>
          <w:rFonts w:hint="eastAsia" w:hAnsi="Times New Roman" w:eastAsia="方正仿宋_GBK"/>
          <w:sz w:val="24"/>
        </w:rPr>
        <w:t>。新建项目均以施工图接审时间界定。</w:t>
      </w:r>
    </w:p>
    <w:p>
      <w:pPr>
        <w:spacing w:line="460" w:lineRule="exact"/>
        <w:ind w:firstLine="480" w:firstLineChars="200"/>
        <w:rPr>
          <w:rFonts w:eastAsia="方正仿宋_GBK"/>
          <w:sz w:val="24"/>
        </w:rPr>
      </w:pPr>
      <w:r>
        <w:rPr>
          <w:rFonts w:hint="eastAsia" w:hAnsi="Times New Roman" w:eastAsia="方正仿宋_GBK"/>
          <w:sz w:val="24"/>
        </w:rPr>
        <w:t>三、</w:t>
      </w:r>
      <w:r>
        <w:rPr>
          <w:rFonts w:eastAsia="方正仿宋_GBK"/>
          <w:sz w:val="24"/>
        </w:rPr>
        <w:t>“</w:t>
      </w:r>
      <w:r>
        <w:rPr>
          <w:rFonts w:hint="eastAsia" w:hAnsi="Times New Roman" w:eastAsia="方正仿宋_GBK"/>
          <w:sz w:val="24"/>
        </w:rPr>
        <w:t>三板</w:t>
      </w:r>
      <w:r>
        <w:rPr>
          <w:rFonts w:eastAsia="方正仿宋_GBK"/>
          <w:sz w:val="24"/>
        </w:rPr>
        <w:t>”</w:t>
      </w:r>
      <w:r>
        <w:rPr>
          <w:rFonts w:hint="eastAsia" w:hAnsi="Times New Roman" w:eastAsia="方正仿宋_GBK"/>
          <w:sz w:val="24"/>
        </w:rPr>
        <w:t>应用项目工程要求</w:t>
      </w:r>
    </w:p>
    <w:p>
      <w:pPr>
        <w:spacing w:line="460" w:lineRule="exact"/>
        <w:ind w:firstLine="480" w:firstLineChars="200"/>
        <w:rPr>
          <w:rFonts w:eastAsia="方正仿宋_GBK"/>
          <w:sz w:val="24"/>
        </w:rPr>
      </w:pPr>
      <w:r>
        <w:rPr>
          <w:rFonts w:eastAsia="方正仿宋_GBK"/>
          <w:sz w:val="24"/>
        </w:rPr>
        <w:t xml:space="preserve">1. </w:t>
      </w:r>
      <w:r>
        <w:rPr>
          <w:rFonts w:hint="eastAsia" w:hAnsi="Times New Roman" w:eastAsia="方正仿宋_GBK"/>
          <w:sz w:val="24"/>
        </w:rPr>
        <w:t>对于混凝土结构建筑，应采用内隔墙板、预制楼梯板、预制叠合楼板，鼓励采用预制外墙板；</w:t>
      </w:r>
    </w:p>
    <w:p>
      <w:pPr>
        <w:spacing w:line="460" w:lineRule="exact"/>
        <w:ind w:firstLine="480" w:firstLineChars="200"/>
        <w:rPr>
          <w:rFonts w:eastAsia="方正仿宋_GBK"/>
          <w:sz w:val="24"/>
        </w:rPr>
      </w:pPr>
      <w:r>
        <w:rPr>
          <w:rFonts w:eastAsia="方正仿宋_GBK"/>
          <w:sz w:val="24"/>
        </w:rPr>
        <w:t xml:space="preserve">2. </w:t>
      </w:r>
      <w:r>
        <w:rPr>
          <w:rFonts w:hint="eastAsia" w:hAnsi="Times New Roman" w:eastAsia="方正仿宋_GBK"/>
          <w:sz w:val="24"/>
        </w:rPr>
        <w:t>对于钢结构建筑，应采用内隔墙板、预制外墙板；</w:t>
      </w:r>
    </w:p>
    <w:p>
      <w:pPr>
        <w:spacing w:line="460" w:lineRule="exact"/>
        <w:ind w:firstLine="480" w:firstLineChars="200"/>
        <w:rPr>
          <w:rFonts w:eastAsia="方正仿宋_GBK"/>
          <w:sz w:val="24"/>
        </w:rPr>
      </w:pPr>
      <w:r>
        <w:rPr>
          <w:rFonts w:eastAsia="方正仿宋_GBK"/>
          <w:sz w:val="24"/>
        </w:rPr>
        <w:t xml:space="preserve">3. </w:t>
      </w:r>
      <w:r>
        <w:rPr>
          <w:rFonts w:hint="eastAsia" w:hAnsi="Times New Roman" w:eastAsia="方正仿宋_GBK"/>
          <w:sz w:val="24"/>
        </w:rPr>
        <w:t>外墙优先采用预制夹心保温墙板等自保温墙板；</w:t>
      </w:r>
    </w:p>
    <w:p>
      <w:pPr>
        <w:spacing w:line="460" w:lineRule="exact"/>
        <w:ind w:firstLine="480" w:firstLineChars="200"/>
        <w:rPr>
          <w:rFonts w:eastAsia="方正仿宋_GBK"/>
          <w:sz w:val="24"/>
        </w:rPr>
      </w:pPr>
      <w:r>
        <w:rPr>
          <w:rFonts w:eastAsia="方正仿宋_GBK"/>
          <w:sz w:val="24"/>
        </w:rPr>
        <w:t xml:space="preserve">4. </w:t>
      </w:r>
      <w:r>
        <w:rPr>
          <w:rFonts w:hint="eastAsia" w:hAnsi="Times New Roman" w:eastAsia="方正仿宋_GBK"/>
          <w:sz w:val="24"/>
        </w:rPr>
        <w:t>单体建筑中强制应用的</w:t>
      </w:r>
      <w:r>
        <w:rPr>
          <w:rFonts w:eastAsia="方正仿宋_GBK"/>
          <w:sz w:val="24"/>
        </w:rPr>
        <w:t>“</w:t>
      </w:r>
      <w:r>
        <w:rPr>
          <w:rFonts w:hint="eastAsia" w:hAnsi="Times New Roman" w:eastAsia="方正仿宋_GBK"/>
          <w:sz w:val="24"/>
        </w:rPr>
        <w:t>三板</w:t>
      </w:r>
      <w:r>
        <w:rPr>
          <w:rFonts w:eastAsia="方正仿宋_GBK"/>
          <w:sz w:val="24"/>
        </w:rPr>
        <w:t>”</w:t>
      </w:r>
      <w:r>
        <w:rPr>
          <w:rFonts w:hint="eastAsia" w:hAnsi="Times New Roman" w:eastAsia="方正仿宋_GBK"/>
          <w:sz w:val="24"/>
        </w:rPr>
        <w:t>总比例不得低于</w:t>
      </w:r>
      <w:r>
        <w:rPr>
          <w:rFonts w:eastAsia="方正仿宋_GBK"/>
          <w:sz w:val="24"/>
        </w:rPr>
        <w:t>60%</w:t>
      </w:r>
      <w:r>
        <w:rPr>
          <w:rFonts w:hint="eastAsia" w:hAnsi="Times New Roman" w:eastAsia="方正仿宋_GBK"/>
          <w:sz w:val="24"/>
        </w:rPr>
        <w:t>。鼓励住宅工程在满足上述要求的基础上，积极采用预制阳台、预制遮阳板、预制空调板等预制部品（构件），提高单体建筑的预制装配率。</w:t>
      </w:r>
    </w:p>
    <w:p>
      <w:pPr>
        <w:spacing w:line="460" w:lineRule="exact"/>
        <w:ind w:firstLine="480" w:firstLineChars="200"/>
        <w:rPr>
          <w:rFonts w:eastAsia="方正仿宋_GBK"/>
          <w:sz w:val="24"/>
        </w:rPr>
      </w:pPr>
      <w:r>
        <w:rPr>
          <w:rFonts w:hint="eastAsia" w:hAnsi="Times New Roman" w:eastAsia="方正仿宋_GBK"/>
          <w:sz w:val="24"/>
        </w:rPr>
        <w:t>四、</w:t>
      </w:r>
      <w:r>
        <w:rPr>
          <w:rFonts w:eastAsia="方正仿宋_GBK"/>
          <w:sz w:val="24"/>
        </w:rPr>
        <w:t>“</w:t>
      </w:r>
      <w:r>
        <w:rPr>
          <w:rFonts w:hint="eastAsia" w:hAnsi="Times New Roman" w:eastAsia="方正仿宋_GBK"/>
          <w:sz w:val="24"/>
        </w:rPr>
        <w:t>三板</w:t>
      </w:r>
      <w:r>
        <w:rPr>
          <w:rFonts w:eastAsia="方正仿宋_GBK"/>
          <w:sz w:val="24"/>
        </w:rPr>
        <w:t>”</w:t>
      </w:r>
      <w:r>
        <w:rPr>
          <w:rFonts w:hint="eastAsia" w:hAnsi="Times New Roman" w:eastAsia="方正仿宋_GBK"/>
          <w:sz w:val="24"/>
        </w:rPr>
        <w:t>应用项目享受以下扶持政策</w:t>
      </w:r>
    </w:p>
    <w:p>
      <w:pPr>
        <w:spacing w:line="460" w:lineRule="exact"/>
        <w:ind w:firstLine="480" w:firstLineChars="200"/>
        <w:rPr>
          <w:rFonts w:eastAsia="方正仿宋_GBK"/>
          <w:sz w:val="24"/>
        </w:rPr>
      </w:pPr>
      <w:r>
        <w:rPr>
          <w:rFonts w:eastAsia="方正仿宋_GBK"/>
          <w:sz w:val="24"/>
        </w:rPr>
        <w:t xml:space="preserve">1. </w:t>
      </w:r>
      <w:r>
        <w:rPr>
          <w:rFonts w:hint="eastAsia" w:hAnsi="Times New Roman" w:eastAsia="方正仿宋_GBK"/>
          <w:sz w:val="24"/>
        </w:rPr>
        <w:t>新建建筑外墙采用预制夹心保温墙板的，其保温层及外叶墙板的水平截面积，可不计入项目的容积率核算；</w:t>
      </w:r>
    </w:p>
    <w:p>
      <w:pPr>
        <w:spacing w:line="460" w:lineRule="exact"/>
        <w:ind w:firstLine="480" w:firstLineChars="200"/>
        <w:rPr>
          <w:rFonts w:eastAsia="方正仿宋_GBK"/>
          <w:sz w:val="24"/>
        </w:rPr>
      </w:pPr>
      <w:r>
        <w:rPr>
          <w:rFonts w:eastAsia="方正仿宋_GBK"/>
          <w:sz w:val="24"/>
        </w:rPr>
        <w:t xml:space="preserve">2. </w:t>
      </w:r>
      <w:r>
        <w:rPr>
          <w:rFonts w:hint="eastAsia" w:hAnsi="Times New Roman" w:eastAsia="方正仿宋_GBK"/>
          <w:sz w:val="24"/>
        </w:rPr>
        <w:t>新建建筑采用经认定的</w:t>
      </w:r>
      <w:r>
        <w:rPr>
          <w:rFonts w:eastAsia="方正仿宋_GBK"/>
          <w:sz w:val="24"/>
        </w:rPr>
        <w:t>“</w:t>
      </w:r>
      <w:r>
        <w:rPr>
          <w:rFonts w:hint="eastAsia" w:hAnsi="Times New Roman" w:eastAsia="方正仿宋_GBK"/>
          <w:sz w:val="24"/>
        </w:rPr>
        <w:t>三板</w:t>
      </w:r>
      <w:r>
        <w:rPr>
          <w:rFonts w:eastAsia="方正仿宋_GBK"/>
          <w:sz w:val="24"/>
        </w:rPr>
        <w:t>”</w:t>
      </w:r>
      <w:r>
        <w:rPr>
          <w:rFonts w:hint="eastAsia" w:hAnsi="Times New Roman" w:eastAsia="方正仿宋_GBK"/>
          <w:sz w:val="24"/>
        </w:rPr>
        <w:t>的，征收的新型墙体材料专项基金全额返还；</w:t>
      </w:r>
    </w:p>
    <w:p>
      <w:pPr>
        <w:spacing w:line="460" w:lineRule="exact"/>
        <w:ind w:firstLine="480" w:firstLineChars="200"/>
        <w:rPr>
          <w:rFonts w:eastAsia="方正仿宋_GBK"/>
          <w:sz w:val="24"/>
        </w:rPr>
      </w:pPr>
      <w:r>
        <w:rPr>
          <w:rFonts w:eastAsia="方正仿宋_GBK"/>
          <w:sz w:val="24"/>
        </w:rPr>
        <w:t xml:space="preserve">3. </w:t>
      </w:r>
      <w:r>
        <w:rPr>
          <w:rFonts w:hint="eastAsia" w:hAnsi="Times New Roman" w:eastAsia="方正仿宋_GBK"/>
          <w:sz w:val="24"/>
        </w:rPr>
        <w:t>对于</w:t>
      </w:r>
      <w:r>
        <w:rPr>
          <w:rFonts w:eastAsia="方正仿宋_GBK"/>
          <w:sz w:val="24"/>
        </w:rPr>
        <w:t>“</w:t>
      </w:r>
      <w:r>
        <w:rPr>
          <w:rFonts w:hint="eastAsia" w:hAnsi="Times New Roman" w:eastAsia="方正仿宋_GBK"/>
          <w:sz w:val="24"/>
        </w:rPr>
        <w:t>三板</w:t>
      </w:r>
      <w:r>
        <w:rPr>
          <w:rFonts w:eastAsia="方正仿宋_GBK"/>
          <w:sz w:val="24"/>
        </w:rPr>
        <w:t>”</w:t>
      </w:r>
      <w:r>
        <w:rPr>
          <w:rFonts w:hint="eastAsia" w:hAnsi="Times New Roman" w:eastAsia="方正仿宋_GBK"/>
          <w:sz w:val="24"/>
        </w:rPr>
        <w:t>应用项目，根据其单体建筑的预制装配率核定扬尘排污费削减系数。</w:t>
      </w:r>
    </w:p>
    <w:p>
      <w:pPr>
        <w:spacing w:line="460" w:lineRule="exact"/>
        <w:ind w:firstLine="480" w:firstLineChars="200"/>
        <w:rPr>
          <w:rFonts w:eastAsia="方正仿宋_GBK"/>
          <w:sz w:val="24"/>
        </w:rPr>
      </w:pPr>
      <w:r>
        <w:rPr>
          <w:rFonts w:hint="eastAsia" w:hAnsi="Times New Roman" w:eastAsia="方正仿宋_GBK"/>
          <w:sz w:val="24"/>
        </w:rPr>
        <w:t>五、相关工作要求</w:t>
      </w:r>
    </w:p>
    <w:p>
      <w:pPr>
        <w:spacing w:line="460" w:lineRule="exact"/>
        <w:ind w:firstLine="480" w:firstLineChars="200"/>
        <w:rPr>
          <w:rFonts w:eastAsia="方正仿宋_GBK"/>
          <w:sz w:val="24"/>
        </w:rPr>
      </w:pPr>
      <w:r>
        <w:rPr>
          <w:rFonts w:eastAsia="方正仿宋_GBK"/>
          <w:sz w:val="24"/>
        </w:rPr>
        <w:t xml:space="preserve">1. </w:t>
      </w:r>
      <w:r>
        <w:rPr>
          <w:rFonts w:hint="eastAsia" w:hAnsi="Times New Roman" w:eastAsia="方正仿宋_GBK"/>
          <w:sz w:val="24"/>
        </w:rPr>
        <w:t>各地规划建设、发改、经信、环保和质量监督行政主管部门应结合本地实际，从项目立项、规划、设计、生产、施工、验收等环节，建立健全</w:t>
      </w:r>
      <w:r>
        <w:rPr>
          <w:rFonts w:eastAsia="方正仿宋_GBK"/>
          <w:sz w:val="24"/>
        </w:rPr>
        <w:t>“</w:t>
      </w:r>
      <w:r>
        <w:rPr>
          <w:rFonts w:hint="eastAsia" w:hAnsi="Times New Roman" w:eastAsia="方正仿宋_GBK"/>
          <w:sz w:val="24"/>
        </w:rPr>
        <w:t>三板</w:t>
      </w:r>
      <w:r>
        <w:rPr>
          <w:rFonts w:eastAsia="方正仿宋_GBK"/>
          <w:sz w:val="24"/>
        </w:rPr>
        <w:t>”</w:t>
      </w:r>
      <w:r>
        <w:rPr>
          <w:rFonts w:hint="eastAsia" w:hAnsi="Times New Roman" w:eastAsia="方正仿宋_GBK"/>
          <w:sz w:val="24"/>
        </w:rPr>
        <w:t>应用推广制度。设计单位在设计文件中应明确</w:t>
      </w:r>
      <w:r>
        <w:rPr>
          <w:rFonts w:eastAsia="方正仿宋_GBK"/>
          <w:sz w:val="24"/>
        </w:rPr>
        <w:t>“</w:t>
      </w:r>
      <w:r>
        <w:rPr>
          <w:rFonts w:hint="eastAsia" w:hAnsi="Times New Roman" w:eastAsia="方正仿宋_GBK"/>
          <w:sz w:val="24"/>
        </w:rPr>
        <w:t>三板</w:t>
      </w:r>
      <w:r>
        <w:rPr>
          <w:rFonts w:eastAsia="方正仿宋_GBK"/>
          <w:sz w:val="24"/>
        </w:rPr>
        <w:t>”</w:t>
      </w:r>
      <w:r>
        <w:rPr>
          <w:rFonts w:hint="eastAsia" w:hAnsi="Times New Roman" w:eastAsia="方正仿宋_GBK"/>
          <w:sz w:val="24"/>
        </w:rPr>
        <w:t>应用比例，施工图审查机构要严格施工图设计文件审查，工程监理单位要强化监理职责，工程质量和安全监督机构要切实加强</w:t>
      </w:r>
      <w:r>
        <w:rPr>
          <w:rFonts w:eastAsia="方正仿宋_GBK"/>
          <w:sz w:val="24"/>
        </w:rPr>
        <w:t>“</w:t>
      </w:r>
      <w:r>
        <w:rPr>
          <w:rFonts w:hint="eastAsia" w:hAnsi="Times New Roman" w:eastAsia="方正仿宋_GBK"/>
          <w:sz w:val="24"/>
        </w:rPr>
        <w:t>三板</w:t>
      </w:r>
      <w:r>
        <w:rPr>
          <w:rFonts w:eastAsia="方正仿宋_GBK"/>
          <w:sz w:val="24"/>
        </w:rPr>
        <w:t>”</w:t>
      </w:r>
      <w:r>
        <w:rPr>
          <w:rFonts w:hint="eastAsia" w:hAnsi="Times New Roman" w:eastAsia="方正仿宋_GBK"/>
          <w:sz w:val="24"/>
        </w:rPr>
        <w:t>应用项目的质量和安全监督。</w:t>
      </w:r>
    </w:p>
    <w:p>
      <w:pPr>
        <w:spacing w:line="460" w:lineRule="exact"/>
        <w:ind w:firstLine="480" w:firstLineChars="200"/>
        <w:rPr>
          <w:rFonts w:eastAsia="方正仿宋_GBK"/>
          <w:sz w:val="24"/>
        </w:rPr>
      </w:pPr>
      <w:r>
        <w:rPr>
          <w:rFonts w:eastAsia="方正仿宋_GBK"/>
          <w:sz w:val="24"/>
        </w:rPr>
        <w:t xml:space="preserve">2. </w:t>
      </w:r>
      <w:r>
        <w:rPr>
          <w:rFonts w:hint="eastAsia" w:hAnsi="Times New Roman" w:eastAsia="方正仿宋_GBK"/>
          <w:sz w:val="24"/>
        </w:rPr>
        <w:t>各地要采取切实有效措施，制定容积率奖励等相关支持政策的实施细则，扎实开展</w:t>
      </w:r>
      <w:r>
        <w:rPr>
          <w:rFonts w:eastAsia="方正仿宋_GBK"/>
          <w:sz w:val="24"/>
        </w:rPr>
        <w:t>“</w:t>
      </w:r>
      <w:r>
        <w:rPr>
          <w:rFonts w:hint="eastAsia" w:hAnsi="Times New Roman" w:eastAsia="方正仿宋_GBK"/>
          <w:sz w:val="24"/>
        </w:rPr>
        <w:t>三板</w:t>
      </w:r>
      <w:r>
        <w:rPr>
          <w:rFonts w:eastAsia="方正仿宋_GBK"/>
          <w:sz w:val="24"/>
        </w:rPr>
        <w:t>”</w:t>
      </w:r>
      <w:r>
        <w:rPr>
          <w:rFonts w:hint="eastAsia" w:hAnsi="Times New Roman" w:eastAsia="方正仿宋_GBK"/>
          <w:sz w:val="24"/>
        </w:rPr>
        <w:t>推广应用工作，并将其作为推进装配式建筑发展，实现建筑产业现代化的一项重要内容。</w:t>
      </w:r>
    </w:p>
    <w:p>
      <w:pPr>
        <w:spacing w:line="460" w:lineRule="exact"/>
        <w:ind w:firstLine="480" w:firstLineChars="200"/>
        <w:rPr>
          <w:rFonts w:eastAsia="方正仿宋_GBK"/>
          <w:sz w:val="24"/>
        </w:rPr>
      </w:pPr>
      <w:r>
        <w:rPr>
          <w:rFonts w:eastAsia="方正仿宋_GBK"/>
          <w:sz w:val="24"/>
        </w:rPr>
        <w:t xml:space="preserve">3. </w:t>
      </w:r>
      <w:r>
        <w:rPr>
          <w:rFonts w:hint="eastAsia" w:hAnsi="Times New Roman" w:eastAsia="方正仿宋_GBK"/>
          <w:sz w:val="24"/>
        </w:rPr>
        <w:t>各地要强化</w:t>
      </w:r>
      <w:r>
        <w:rPr>
          <w:rFonts w:eastAsia="方正仿宋_GBK"/>
          <w:sz w:val="24"/>
        </w:rPr>
        <w:t>“</w:t>
      </w:r>
      <w:r>
        <w:rPr>
          <w:rFonts w:hint="eastAsia" w:hAnsi="Times New Roman" w:eastAsia="方正仿宋_GBK"/>
          <w:sz w:val="24"/>
        </w:rPr>
        <w:t>三板</w:t>
      </w:r>
      <w:r>
        <w:rPr>
          <w:rFonts w:eastAsia="方正仿宋_GBK"/>
          <w:sz w:val="24"/>
        </w:rPr>
        <w:t>”</w:t>
      </w:r>
      <w:r>
        <w:rPr>
          <w:rFonts w:hint="eastAsia" w:hAnsi="Times New Roman" w:eastAsia="方正仿宋_GBK"/>
          <w:sz w:val="24"/>
        </w:rPr>
        <w:t>推广应用工作督查。省住房城乡建设厅将定期组织有关部门加强对各地</w:t>
      </w:r>
      <w:r>
        <w:rPr>
          <w:rFonts w:eastAsia="方正仿宋_GBK"/>
          <w:sz w:val="24"/>
        </w:rPr>
        <w:t>“</w:t>
      </w:r>
      <w:r>
        <w:rPr>
          <w:rFonts w:hint="eastAsia" w:hAnsi="Times New Roman" w:eastAsia="方正仿宋_GBK"/>
          <w:sz w:val="24"/>
        </w:rPr>
        <w:t>三板</w:t>
      </w:r>
      <w:r>
        <w:rPr>
          <w:rFonts w:eastAsia="方正仿宋_GBK"/>
          <w:sz w:val="24"/>
        </w:rPr>
        <w:t>”</w:t>
      </w:r>
      <w:r>
        <w:rPr>
          <w:rFonts w:hint="eastAsia" w:hAnsi="Times New Roman" w:eastAsia="方正仿宋_GBK"/>
          <w:sz w:val="24"/>
        </w:rPr>
        <w:t>应用情况的督促检查，确保</w:t>
      </w:r>
      <w:r>
        <w:rPr>
          <w:rFonts w:eastAsia="方正仿宋_GBK"/>
          <w:sz w:val="24"/>
        </w:rPr>
        <w:t>“</w:t>
      </w:r>
      <w:r>
        <w:rPr>
          <w:rFonts w:hint="eastAsia" w:hAnsi="Times New Roman" w:eastAsia="方正仿宋_GBK"/>
          <w:sz w:val="24"/>
        </w:rPr>
        <w:t>三板</w:t>
      </w:r>
      <w:r>
        <w:rPr>
          <w:rFonts w:eastAsia="方正仿宋_GBK"/>
          <w:sz w:val="24"/>
        </w:rPr>
        <w:t>”</w:t>
      </w:r>
      <w:r>
        <w:rPr>
          <w:rFonts w:hint="eastAsia" w:hAnsi="Times New Roman" w:eastAsia="方正仿宋_GBK"/>
          <w:sz w:val="24"/>
        </w:rPr>
        <w:t>推广应用工作落到实处。</w:t>
      </w:r>
    </w:p>
    <w:p>
      <w:pPr>
        <w:spacing w:line="460" w:lineRule="exact"/>
        <w:jc w:val="right"/>
        <w:rPr>
          <w:rFonts w:eastAsia="方正仿宋_GBK"/>
          <w:sz w:val="24"/>
        </w:rPr>
      </w:pPr>
    </w:p>
    <w:p>
      <w:pPr>
        <w:spacing w:line="460" w:lineRule="exact"/>
        <w:jc w:val="right"/>
        <w:rPr>
          <w:rFonts w:eastAsia="方正仿宋_GBK"/>
          <w:sz w:val="24"/>
        </w:rPr>
      </w:pPr>
      <w:r>
        <w:rPr>
          <w:rFonts w:hint="eastAsia" w:hAnsi="Times New Roman" w:eastAsia="方正仿宋_GBK"/>
          <w:sz w:val="24"/>
        </w:rPr>
        <w:t>江苏省住房和城乡建设厅办公室</w:t>
      </w:r>
    </w:p>
    <w:p>
      <w:pPr>
        <w:spacing w:line="460" w:lineRule="exact"/>
        <w:rPr>
          <w:rFonts w:hAnsi="Times New Roman" w:eastAsia="方正仿宋_GBK"/>
          <w:sz w:val="24"/>
        </w:rPr>
      </w:pPr>
      <w:r>
        <w:rPr>
          <w:rFonts w:eastAsia="方正仿宋_GBK"/>
          <w:sz w:val="24"/>
        </w:rPr>
        <w:t xml:space="preserve">                                               2017 </w:t>
      </w:r>
      <w:r>
        <w:rPr>
          <w:rFonts w:hint="eastAsia" w:hAnsi="Times New Roman" w:eastAsia="方正仿宋_GBK"/>
          <w:sz w:val="24"/>
        </w:rPr>
        <w:t>年</w:t>
      </w:r>
      <w:r>
        <w:rPr>
          <w:rFonts w:eastAsia="方正仿宋_GBK"/>
          <w:sz w:val="24"/>
        </w:rPr>
        <w:t xml:space="preserve">2 </w:t>
      </w:r>
      <w:r>
        <w:rPr>
          <w:rFonts w:hint="eastAsia" w:hAnsi="Times New Roman" w:eastAsia="方正仿宋_GBK"/>
          <w:sz w:val="24"/>
        </w:rPr>
        <w:t>月</w:t>
      </w:r>
      <w:r>
        <w:rPr>
          <w:rFonts w:eastAsia="方正仿宋_GBK"/>
          <w:sz w:val="24"/>
        </w:rPr>
        <w:t xml:space="preserve">14 </w:t>
      </w:r>
      <w:r>
        <w:rPr>
          <w:rFonts w:hint="eastAsia" w:hAnsi="Times New Roman" w:eastAsia="方正仿宋_GBK"/>
          <w:sz w:val="24"/>
        </w:rPr>
        <w:t>日印发</w:t>
      </w:r>
    </w:p>
    <w:p>
      <w:pPr>
        <w:pStyle w:val="2"/>
        <w:spacing w:before="240" w:beforeLines="100" w:after="240" w:afterLines="100" w:line="240" w:lineRule="auto"/>
        <w:jc w:val="center"/>
        <w:rPr>
          <w:rFonts w:ascii="Times New Roman" w:eastAsia="方正小标宋_GBK"/>
          <w:b w:val="0"/>
          <w:sz w:val="36"/>
          <w:szCs w:val="36"/>
        </w:rPr>
      </w:pPr>
      <w:r>
        <w:rPr>
          <w:rFonts w:hAnsi="Times New Roman" w:eastAsia="方正仿宋_GBK"/>
          <w:b w:val="0"/>
          <w:sz w:val="24"/>
        </w:rPr>
        <w:br w:type="column"/>
      </w:r>
      <w:bookmarkStart w:id="414" w:name="_Toc20726725"/>
      <w:bookmarkStart w:id="415" w:name="_Toc18315861"/>
      <w:r>
        <w:rPr>
          <w:rFonts w:hint="eastAsia" w:ascii="Times New Roman" w:eastAsia="方正小标宋_GBK"/>
          <w:b w:val="0"/>
          <w:sz w:val="36"/>
          <w:szCs w:val="36"/>
        </w:rPr>
        <w:t>关于住房公积金管理若干具体问题的指导意见</w:t>
      </w:r>
      <w:bookmarkEnd w:id="414"/>
      <w:bookmarkEnd w:id="415"/>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416" w:name="_Toc20726726"/>
      <w:bookmarkStart w:id="417" w:name="_Toc18315862"/>
      <w:r>
        <w:rPr>
          <w:rFonts w:hint="eastAsia" w:ascii="Times New Roman" w:hAnsi="Times New Roman" w:eastAsia="方正楷体_GBK"/>
          <w:b w:val="0"/>
          <w:sz w:val="24"/>
          <w:szCs w:val="24"/>
        </w:rPr>
        <w:t>苏建金管〔</w:t>
      </w:r>
      <w:r>
        <w:rPr>
          <w:rFonts w:ascii="Times New Roman" w:hAnsi="Times New Roman" w:eastAsia="方正楷体_GBK"/>
          <w:b w:val="0"/>
          <w:sz w:val="24"/>
          <w:szCs w:val="24"/>
        </w:rPr>
        <w:t>2005</w:t>
      </w:r>
      <w:r>
        <w:rPr>
          <w:rFonts w:hint="eastAsia" w:ascii="Times New Roman" w:hAnsi="Times New Roman" w:eastAsia="方正楷体_GBK"/>
          <w:b w:val="0"/>
          <w:sz w:val="24"/>
          <w:szCs w:val="24"/>
        </w:rPr>
        <w:t>〕</w:t>
      </w:r>
      <w:r>
        <w:rPr>
          <w:rFonts w:ascii="Times New Roman" w:hAnsi="Times New Roman" w:eastAsia="方正楷体_GBK"/>
          <w:b w:val="0"/>
          <w:sz w:val="24"/>
          <w:szCs w:val="24"/>
        </w:rPr>
        <w:t>298</w:t>
      </w:r>
      <w:r>
        <w:rPr>
          <w:rFonts w:hint="eastAsia" w:ascii="Times New Roman" w:hAnsi="Times New Roman" w:eastAsia="方正楷体_GBK"/>
          <w:b w:val="0"/>
          <w:sz w:val="24"/>
          <w:szCs w:val="24"/>
        </w:rPr>
        <w:t>号</w:t>
      </w:r>
      <w:bookmarkEnd w:id="416"/>
      <w:bookmarkEnd w:id="417"/>
    </w:p>
    <w:p>
      <w:pPr>
        <w:spacing w:line="460" w:lineRule="exact"/>
        <w:rPr>
          <w:rFonts w:eastAsia="方正仿宋_GBK"/>
          <w:color w:val="000000"/>
          <w:spacing w:val="-2"/>
          <w:sz w:val="24"/>
        </w:rPr>
      </w:pPr>
      <w:r>
        <w:rPr>
          <w:rFonts w:hint="eastAsia" w:eastAsia="方正仿宋_GBK"/>
          <w:color w:val="000000"/>
          <w:spacing w:val="-2"/>
          <w:sz w:val="24"/>
        </w:rPr>
        <w:t>各市住房公积金管理委员会、住房公积金管理中心、财政局，中国人民银行南京分行营业管理部、江苏省各市中心支行：</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根据建设部、财政部、中国人民银行《关于住房公积金管理若干具体问题的指导意见》</w:t>
      </w:r>
      <w:r>
        <w:rPr>
          <w:rFonts w:eastAsia="方正仿宋_GBK"/>
          <w:color w:val="000000"/>
          <w:spacing w:val="-2"/>
          <w:sz w:val="24"/>
        </w:rPr>
        <w:t>(</w:t>
      </w:r>
      <w:r>
        <w:rPr>
          <w:rFonts w:hint="eastAsia" w:eastAsia="方正仿宋_GBK"/>
          <w:color w:val="000000"/>
          <w:spacing w:val="-2"/>
          <w:sz w:val="24"/>
        </w:rPr>
        <w:t>建金管〔</w:t>
      </w:r>
      <w:r>
        <w:rPr>
          <w:rFonts w:eastAsia="方正仿宋_GBK"/>
          <w:color w:val="000000"/>
          <w:spacing w:val="-2"/>
          <w:sz w:val="24"/>
        </w:rPr>
        <w:t>2005</w:t>
      </w:r>
      <w:r>
        <w:rPr>
          <w:rFonts w:hint="eastAsia" w:eastAsia="方正仿宋_GBK"/>
          <w:color w:val="000000"/>
          <w:spacing w:val="-2"/>
          <w:sz w:val="24"/>
        </w:rPr>
        <w:t>〕</w:t>
      </w:r>
      <w:r>
        <w:rPr>
          <w:rFonts w:eastAsia="方正仿宋_GBK"/>
          <w:color w:val="000000"/>
          <w:spacing w:val="-2"/>
          <w:sz w:val="24"/>
        </w:rPr>
        <w:t>5</w:t>
      </w:r>
      <w:r>
        <w:rPr>
          <w:rFonts w:hint="eastAsia" w:eastAsia="方正仿宋_GBK"/>
          <w:color w:val="000000"/>
          <w:spacing w:val="-2"/>
          <w:sz w:val="24"/>
        </w:rPr>
        <w:t>号</w:t>
      </w:r>
      <w:r>
        <w:rPr>
          <w:rFonts w:eastAsia="方正仿宋_GBK"/>
          <w:color w:val="000000"/>
          <w:spacing w:val="-2"/>
          <w:sz w:val="24"/>
        </w:rPr>
        <w:t>)</w:t>
      </w:r>
      <w:r>
        <w:rPr>
          <w:rFonts w:hint="eastAsia" w:eastAsia="方正仿宋_GBK"/>
          <w:color w:val="000000"/>
          <w:spacing w:val="-2"/>
          <w:sz w:val="24"/>
        </w:rPr>
        <w:t>，结合我省实际情况，提出以下具体办法，请遵照执行。</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一、关于住房公积金归集问题</w:t>
      </w:r>
    </w:p>
    <w:p>
      <w:pPr>
        <w:spacing w:line="460" w:lineRule="exact"/>
        <w:ind w:firstLine="472" w:firstLineChars="200"/>
        <w:rPr>
          <w:rFonts w:hint="eastAsia"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一</w:t>
      </w:r>
      <w:r>
        <w:rPr>
          <w:rFonts w:eastAsia="方正仿宋_GBK"/>
          <w:color w:val="000000"/>
          <w:spacing w:val="-2"/>
          <w:sz w:val="24"/>
        </w:rPr>
        <w:t>)</w:t>
      </w:r>
      <w:r>
        <w:rPr>
          <w:rFonts w:hint="eastAsia" w:eastAsia="方正仿宋_GBK"/>
          <w:color w:val="000000"/>
          <w:spacing w:val="-2"/>
          <w:sz w:val="24"/>
        </w:rPr>
        <w:t>各地要采取多种措施，加强住房公积金归集工作，提高归集率。坚持</w:t>
      </w:r>
      <w:r>
        <w:rPr>
          <w:rFonts w:eastAsia="方正仿宋_GBK"/>
          <w:color w:val="000000"/>
          <w:spacing w:val="-2"/>
          <w:sz w:val="24"/>
        </w:rPr>
        <w:t>“</w:t>
      </w:r>
      <w:r>
        <w:rPr>
          <w:rFonts w:hint="eastAsia" w:eastAsia="方正仿宋_GBK"/>
          <w:color w:val="000000"/>
          <w:spacing w:val="-2"/>
          <w:sz w:val="24"/>
        </w:rPr>
        <w:t>摸清底数、确定重点、健全网络、强化责任、加强宣传、加强执法、积极探索、不断创新</w:t>
      </w:r>
      <w:r>
        <w:rPr>
          <w:rFonts w:eastAsia="方正仿宋_GBK"/>
          <w:color w:val="000000"/>
          <w:spacing w:val="-2"/>
          <w:sz w:val="24"/>
        </w:rPr>
        <w:t>”</w:t>
      </w:r>
      <w:r>
        <w:rPr>
          <w:rFonts w:hint="eastAsia" w:eastAsia="方正仿宋_GBK"/>
          <w:color w:val="000000"/>
          <w:spacing w:val="-2"/>
          <w:sz w:val="24"/>
        </w:rPr>
        <w:t>的工作方针。积极与工商、税务、劳动保障、机构编制和社团管理等部门联系，及时掌握企事业单位和社会团体等组织的设立、登记、分立重组和解散等情况。利用各种有效手段和方法，建立工作责任制，完善奖罚机制，调动各方面的积极性，形成覆盖全省的归集网络。采取多种宣传形式，努力使住房公积金制度真正家喻户晓。要特别重视做好对企业的宣传工作。要切实依法行政，督促有关单位按时足额缴存住房公积金，对拒不建立住房公积金制度和逾期不缴住房公积金的单位，应依照国务院《住房公积金管理条例》的有关规定和国家有关法律法规进行处理、处罚，或者申请人民法院强制执行。同时，也可以通过媒体向社会公布处理和处罚情况，加大社会舆论的监督力度。</w:t>
      </w:r>
    </w:p>
    <w:p>
      <w:pPr>
        <w:spacing w:line="460" w:lineRule="exact"/>
        <w:ind w:firstLine="472" w:firstLineChars="200"/>
        <w:rPr>
          <w:rFonts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二</w:t>
      </w:r>
      <w:r>
        <w:rPr>
          <w:rFonts w:eastAsia="方正仿宋_GBK"/>
          <w:color w:val="000000"/>
          <w:spacing w:val="-2"/>
          <w:sz w:val="24"/>
        </w:rPr>
        <w:t>)</w:t>
      </w:r>
      <w:r>
        <w:rPr>
          <w:rFonts w:hint="eastAsia" w:eastAsia="方正仿宋_GBK"/>
          <w:color w:val="000000"/>
          <w:spacing w:val="-2"/>
          <w:sz w:val="24"/>
        </w:rPr>
        <w:t>单位</w:t>
      </w:r>
      <w:r>
        <w:rPr>
          <w:rFonts w:eastAsia="方正仿宋_GBK"/>
          <w:color w:val="000000"/>
          <w:spacing w:val="-2"/>
          <w:sz w:val="24"/>
        </w:rPr>
        <w:t>(</w:t>
      </w:r>
      <w:r>
        <w:rPr>
          <w:rFonts w:hint="eastAsia" w:eastAsia="方正仿宋_GBK"/>
          <w:color w:val="000000"/>
          <w:spacing w:val="-2"/>
          <w:sz w:val="24"/>
        </w:rPr>
        <w:t>包括行政机关、事业单位、国有企业、城镇集体企业、外商投资企业、城镇私营企业及其他城镇企业、民办非企业单位、社会团体等，以下通称单位</w:t>
      </w:r>
      <w:r>
        <w:rPr>
          <w:rFonts w:eastAsia="方正仿宋_GBK"/>
          <w:color w:val="000000"/>
          <w:spacing w:val="-2"/>
          <w:sz w:val="24"/>
        </w:rPr>
        <w:t xml:space="preserve">) </w:t>
      </w:r>
      <w:r>
        <w:rPr>
          <w:rFonts w:hint="eastAsia" w:eastAsia="方正仿宋_GBK"/>
          <w:color w:val="000000"/>
          <w:spacing w:val="-2"/>
          <w:sz w:val="24"/>
        </w:rPr>
        <w:t>和在职职工</w:t>
      </w:r>
      <w:r>
        <w:rPr>
          <w:rFonts w:eastAsia="方正仿宋_GBK"/>
          <w:color w:val="000000"/>
          <w:spacing w:val="-2"/>
          <w:sz w:val="24"/>
        </w:rPr>
        <w:t>(</w:t>
      </w:r>
      <w:r>
        <w:rPr>
          <w:rFonts w:hint="eastAsia" w:eastAsia="方正仿宋_GBK"/>
          <w:color w:val="000000"/>
          <w:spacing w:val="-2"/>
          <w:sz w:val="24"/>
        </w:rPr>
        <w:t>在国家没有新的规定之前，不含外方、港澳台籍员工</w:t>
      </w:r>
      <w:r>
        <w:rPr>
          <w:rFonts w:eastAsia="方正仿宋_GBK"/>
          <w:color w:val="000000"/>
          <w:spacing w:val="-2"/>
          <w:sz w:val="24"/>
        </w:rPr>
        <w:t>)</w:t>
      </w:r>
      <w:r>
        <w:rPr>
          <w:rFonts w:hint="eastAsia" w:eastAsia="方正仿宋_GBK"/>
          <w:color w:val="000000"/>
          <w:spacing w:val="-2"/>
          <w:sz w:val="24"/>
        </w:rPr>
        <w:t>，应当按《住房公积金管理条例》规定按时、足额缴存住房公积金，不得逾期不缴或少缴。有条件的地方，办理工商登记的城镇个体工商户、自由职业者，参照法定退休年龄男未满</w:t>
      </w:r>
      <w:r>
        <w:rPr>
          <w:rFonts w:eastAsia="方正仿宋_GBK"/>
          <w:color w:val="000000"/>
          <w:spacing w:val="-2"/>
          <w:sz w:val="24"/>
        </w:rPr>
        <w:t>60</w:t>
      </w:r>
      <w:r>
        <w:rPr>
          <w:rFonts w:hint="eastAsia" w:eastAsia="方正仿宋_GBK"/>
          <w:color w:val="000000"/>
          <w:spacing w:val="-2"/>
          <w:sz w:val="24"/>
        </w:rPr>
        <w:t>周岁、女未满</w:t>
      </w:r>
      <w:r>
        <w:rPr>
          <w:rFonts w:eastAsia="方正仿宋_GBK"/>
          <w:color w:val="000000"/>
          <w:spacing w:val="-2"/>
          <w:sz w:val="24"/>
        </w:rPr>
        <w:t>55</w:t>
      </w:r>
      <w:r>
        <w:rPr>
          <w:rFonts w:hint="eastAsia" w:eastAsia="方正仿宋_GBK"/>
          <w:color w:val="000000"/>
          <w:spacing w:val="-2"/>
          <w:sz w:val="24"/>
        </w:rPr>
        <w:t>周岁的，可以申请缴存住房公积金。</w:t>
      </w:r>
    </w:p>
    <w:p>
      <w:pPr>
        <w:spacing w:line="460" w:lineRule="exact"/>
        <w:ind w:firstLine="472" w:firstLineChars="200"/>
        <w:rPr>
          <w:rFonts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三</w:t>
      </w:r>
      <w:r>
        <w:rPr>
          <w:rFonts w:eastAsia="方正仿宋_GBK"/>
          <w:color w:val="000000"/>
          <w:spacing w:val="-2"/>
          <w:sz w:val="24"/>
        </w:rPr>
        <w:t>)</w:t>
      </w:r>
      <w:r>
        <w:rPr>
          <w:rFonts w:hint="eastAsia" w:eastAsia="方正仿宋_GBK"/>
          <w:color w:val="000000"/>
          <w:spacing w:val="-2"/>
          <w:sz w:val="24"/>
        </w:rPr>
        <w:t>在省政府没有新的政策调整之前，我省机关事业单位的职工和单位的住房公积金缴存比例，仍各为</w:t>
      </w:r>
      <w:r>
        <w:rPr>
          <w:rFonts w:eastAsia="方正仿宋_GBK"/>
          <w:color w:val="000000"/>
          <w:spacing w:val="-2"/>
          <w:sz w:val="24"/>
        </w:rPr>
        <w:t>10%</w:t>
      </w:r>
      <w:r>
        <w:rPr>
          <w:rFonts w:hint="eastAsia" w:eastAsia="方正仿宋_GBK"/>
          <w:color w:val="000000"/>
          <w:spacing w:val="-2"/>
          <w:sz w:val="24"/>
        </w:rPr>
        <w:t>，企业等其他单位仍各为</w:t>
      </w:r>
      <w:r>
        <w:rPr>
          <w:rFonts w:eastAsia="方正仿宋_GBK"/>
          <w:color w:val="000000"/>
          <w:spacing w:val="-2"/>
          <w:sz w:val="24"/>
        </w:rPr>
        <w:t>8%</w:t>
      </w:r>
      <w:r>
        <w:rPr>
          <w:rFonts w:hint="eastAsia" w:eastAsia="方正仿宋_GBK"/>
          <w:color w:val="000000"/>
          <w:spacing w:val="-2"/>
          <w:sz w:val="24"/>
        </w:rPr>
        <w:t>一</w:t>
      </w:r>
      <w:r>
        <w:rPr>
          <w:rFonts w:eastAsia="方正仿宋_GBK"/>
          <w:color w:val="000000"/>
          <w:spacing w:val="-2"/>
          <w:sz w:val="24"/>
        </w:rPr>
        <w:t>12%</w:t>
      </w:r>
      <w:r>
        <w:rPr>
          <w:rFonts w:hint="eastAsia" w:eastAsia="方正仿宋_GBK"/>
          <w:color w:val="000000"/>
          <w:spacing w:val="-2"/>
          <w:sz w:val="24"/>
        </w:rPr>
        <w:t>。提高或降低缴存比例必须经过批准，职工个人住房公积金的缴存比例应与单位为职工缴存住房公积金的比例保持一致。单位缴存住房公积金确有困难的</w:t>
      </w:r>
      <w:r>
        <w:rPr>
          <w:rFonts w:eastAsia="方正仿宋_GBK"/>
          <w:color w:val="000000"/>
          <w:spacing w:val="-2"/>
          <w:sz w:val="24"/>
        </w:rPr>
        <w:t>(</w:t>
      </w:r>
      <w:r>
        <w:rPr>
          <w:rFonts w:hint="eastAsia" w:eastAsia="方正仿宋_GBK"/>
          <w:color w:val="000000"/>
          <w:spacing w:val="-2"/>
          <w:sz w:val="24"/>
        </w:rPr>
        <w:t>如：处于停产半停产状态的、发生严重亏损的、经依法批准缓缴养老和失业保险金的、及其他确有困难的情形</w:t>
      </w:r>
      <w:r>
        <w:rPr>
          <w:rFonts w:eastAsia="方正仿宋_GBK"/>
          <w:color w:val="000000"/>
          <w:spacing w:val="-2"/>
          <w:sz w:val="24"/>
        </w:rPr>
        <w:t>)</w:t>
      </w:r>
      <w:r>
        <w:rPr>
          <w:rFonts w:hint="eastAsia" w:eastAsia="方正仿宋_GBK"/>
          <w:color w:val="000000"/>
          <w:spacing w:val="-2"/>
          <w:sz w:val="24"/>
        </w:rPr>
        <w:t>，经本单位职工代表大会或者工会通过</w:t>
      </w:r>
      <w:r>
        <w:rPr>
          <w:rFonts w:eastAsia="方正仿宋_GBK"/>
          <w:color w:val="000000"/>
          <w:spacing w:val="-2"/>
          <w:sz w:val="24"/>
        </w:rPr>
        <w:t>(</w:t>
      </w:r>
      <w:r>
        <w:rPr>
          <w:rFonts w:hint="eastAsia" w:eastAsia="方正仿宋_GBK"/>
          <w:color w:val="000000"/>
          <w:spacing w:val="-2"/>
          <w:sz w:val="24"/>
        </w:rPr>
        <w:t>没有建立职代会和工会组织的单位由所在区县级以上工会组织提出意见</w:t>
      </w:r>
      <w:r>
        <w:rPr>
          <w:rFonts w:eastAsia="方正仿宋_GBK"/>
          <w:color w:val="000000"/>
          <w:spacing w:val="-2"/>
          <w:sz w:val="24"/>
        </w:rPr>
        <w:t>)</w:t>
      </w:r>
      <w:r>
        <w:rPr>
          <w:rFonts w:hint="eastAsia" w:eastAsia="方正仿宋_GBK"/>
          <w:color w:val="000000"/>
          <w:spacing w:val="-2"/>
          <w:sz w:val="24"/>
        </w:rPr>
        <w:t>，并经设区城市住房公积金管理中心审核，报住房公积金管理委员会批准后，可以降低缴存比例或者缓缴，但职工和单位的缴存比例均不得低于</w:t>
      </w:r>
      <w:r>
        <w:rPr>
          <w:rFonts w:eastAsia="方正仿宋_GBK"/>
          <w:color w:val="000000"/>
          <w:spacing w:val="-2"/>
          <w:sz w:val="24"/>
        </w:rPr>
        <w:t>5%</w:t>
      </w:r>
      <w:r>
        <w:rPr>
          <w:rFonts w:hint="eastAsia" w:eastAsia="方正仿宋_GBK"/>
          <w:color w:val="000000"/>
          <w:spacing w:val="-2"/>
          <w:sz w:val="24"/>
        </w:rPr>
        <w:t>；待单位经济效益好转后，再恢复缴存比例或者补缴缓缴部分。单位降低缴存比例或缓缴住房公积金的期限不得超过一年；超过一年，需要继续降低缴存比例或缓缴的，应当重新办理申请手续。</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降低住房公积金缴存比例或缓缴的，单位应填报《住房公积金降低缴存比例</w:t>
      </w:r>
      <w:r>
        <w:rPr>
          <w:rFonts w:eastAsia="方正仿宋_GBK"/>
          <w:color w:val="000000"/>
          <w:spacing w:val="-2"/>
          <w:sz w:val="24"/>
        </w:rPr>
        <w:t>(</w:t>
      </w:r>
      <w:r>
        <w:rPr>
          <w:rFonts w:hint="eastAsia" w:eastAsia="方正仿宋_GBK"/>
          <w:color w:val="000000"/>
          <w:spacing w:val="-2"/>
          <w:sz w:val="24"/>
        </w:rPr>
        <w:t>缓缴</w:t>
      </w:r>
      <w:r>
        <w:rPr>
          <w:rFonts w:eastAsia="方正仿宋_GBK"/>
          <w:color w:val="000000"/>
          <w:spacing w:val="-2"/>
          <w:sz w:val="24"/>
        </w:rPr>
        <w:t>)</w:t>
      </w:r>
      <w:r>
        <w:rPr>
          <w:rFonts w:hint="eastAsia" w:eastAsia="方正仿宋_GBK"/>
          <w:color w:val="000000"/>
          <w:spacing w:val="-2"/>
          <w:sz w:val="24"/>
        </w:rPr>
        <w:t>审批表》</w:t>
      </w:r>
      <w:r>
        <w:rPr>
          <w:rFonts w:eastAsia="方正仿宋_GBK"/>
          <w:color w:val="000000"/>
          <w:spacing w:val="-2"/>
          <w:sz w:val="24"/>
        </w:rPr>
        <w:t>(</w:t>
      </w:r>
      <w:r>
        <w:rPr>
          <w:rFonts w:hint="eastAsia" w:eastAsia="方正仿宋_GBK"/>
          <w:color w:val="000000"/>
          <w:spacing w:val="-2"/>
          <w:sz w:val="24"/>
        </w:rPr>
        <w:t>表式各地自行设计</w:t>
      </w:r>
      <w:r>
        <w:rPr>
          <w:rFonts w:eastAsia="方正仿宋_GBK"/>
          <w:color w:val="000000"/>
          <w:spacing w:val="-2"/>
          <w:sz w:val="24"/>
        </w:rPr>
        <w:t>)</w:t>
      </w:r>
      <w:r>
        <w:rPr>
          <w:rFonts w:hint="eastAsia" w:eastAsia="方正仿宋_GBK"/>
          <w:color w:val="000000"/>
          <w:spacing w:val="-2"/>
          <w:sz w:val="24"/>
        </w:rPr>
        <w:t>，并提供单位申请降低住房公积金缴存比例或缓缴书面报告、职代会或工会决定</w:t>
      </w:r>
      <w:r>
        <w:rPr>
          <w:rFonts w:eastAsia="方正仿宋_GBK"/>
          <w:color w:val="000000"/>
          <w:spacing w:val="-2"/>
          <w:sz w:val="24"/>
        </w:rPr>
        <w:t>(</w:t>
      </w:r>
      <w:r>
        <w:rPr>
          <w:rFonts w:hint="eastAsia" w:eastAsia="方正仿宋_GBK"/>
          <w:color w:val="000000"/>
          <w:spacing w:val="-2"/>
          <w:sz w:val="24"/>
        </w:rPr>
        <w:t>决议</w:t>
      </w:r>
      <w:r>
        <w:rPr>
          <w:rFonts w:eastAsia="方正仿宋_GBK"/>
          <w:color w:val="000000"/>
          <w:spacing w:val="-2"/>
          <w:sz w:val="24"/>
        </w:rPr>
        <w:t>)</w:t>
      </w:r>
      <w:r>
        <w:rPr>
          <w:rFonts w:hint="eastAsia" w:eastAsia="方正仿宋_GBK"/>
          <w:color w:val="000000"/>
          <w:spacing w:val="-2"/>
          <w:sz w:val="24"/>
        </w:rPr>
        <w:t>、上年度财务报表和企业所得税年度纳税申报表等。</w:t>
      </w:r>
    </w:p>
    <w:p>
      <w:pPr>
        <w:spacing w:line="460" w:lineRule="exact"/>
        <w:ind w:firstLine="472" w:firstLineChars="200"/>
        <w:rPr>
          <w:rFonts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四</w:t>
      </w:r>
      <w:r>
        <w:rPr>
          <w:rFonts w:eastAsia="方正仿宋_GBK"/>
          <w:color w:val="000000"/>
          <w:spacing w:val="-2"/>
          <w:sz w:val="24"/>
        </w:rPr>
        <w:t>)</w:t>
      </w:r>
      <w:r>
        <w:rPr>
          <w:rFonts w:hint="eastAsia" w:eastAsia="方正仿宋_GBK"/>
          <w:color w:val="000000"/>
          <w:spacing w:val="-2"/>
          <w:sz w:val="24"/>
        </w:rPr>
        <w:t>任何单位不得自行提高住房公积金缴存比例，凡未按照规定程序和权限批准，单位自行调高缴存比例的，从本文件发布之日起一律停止，并予以纠正，恢复原规定的比例。情况特殊且符合调整条件的，重新按规定的程．序和权限办理核准手续。</w:t>
      </w:r>
    </w:p>
    <w:p>
      <w:pPr>
        <w:spacing w:line="460" w:lineRule="exact"/>
        <w:ind w:firstLine="472" w:firstLineChars="200"/>
        <w:rPr>
          <w:rFonts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五</w:t>
      </w:r>
      <w:r>
        <w:rPr>
          <w:rFonts w:eastAsia="方正仿宋_GBK"/>
          <w:color w:val="000000"/>
          <w:spacing w:val="-2"/>
          <w:sz w:val="24"/>
        </w:rPr>
        <w:t>)</w:t>
      </w:r>
      <w:r>
        <w:rPr>
          <w:rFonts w:hint="eastAsia" w:eastAsia="方正仿宋_GBK"/>
          <w:color w:val="000000"/>
          <w:spacing w:val="-2"/>
          <w:sz w:val="24"/>
        </w:rPr>
        <w:t>各地应按照国务院《住房公积金管理条例》的有关规定，每年及时组织进行本地区住房公积金缴存基数的调整工作。每年基数调整，由各市住房公积金管理中心会同有关部门拟定，报住房公积金管理委员会批准后实施。缴存住房公积金的月工资基数，原则上不应超过职工工作地所在设区城市统计部门公布的上一年度职工月平均工资的</w:t>
      </w:r>
      <w:r>
        <w:rPr>
          <w:rFonts w:eastAsia="方正仿宋_GBK"/>
          <w:color w:val="000000"/>
          <w:spacing w:val="-2"/>
          <w:sz w:val="24"/>
        </w:rPr>
        <w:t>2</w:t>
      </w:r>
      <w:r>
        <w:rPr>
          <w:rFonts w:hint="eastAsia" w:eastAsia="方正仿宋_GBK"/>
          <w:color w:val="000000"/>
          <w:spacing w:val="-2"/>
          <w:sz w:val="24"/>
        </w:rPr>
        <w:t>倍或</w:t>
      </w:r>
      <w:r>
        <w:rPr>
          <w:rFonts w:eastAsia="方正仿宋_GBK"/>
          <w:color w:val="000000"/>
          <w:spacing w:val="-2"/>
          <w:sz w:val="24"/>
        </w:rPr>
        <w:t>3</w:t>
      </w:r>
      <w:r>
        <w:rPr>
          <w:rFonts w:hint="eastAsia" w:eastAsia="方正仿宋_GBK"/>
          <w:color w:val="000000"/>
          <w:spacing w:val="-2"/>
          <w:sz w:val="24"/>
        </w:rPr>
        <w:t>倍，具体月工资基数在上述原则内由各市住房公积金管委会根据本地区实际情况确定。领取工资的职工，住房公积金缴存基数最低不得低于上一年度劳动和社会保障部门规定的职工月最低工资标准。职工按当地最低工资标准领取工资的，职工所在单位应按照规定比例为职工缴存住房公积金。</w:t>
      </w:r>
    </w:p>
    <w:p>
      <w:pPr>
        <w:spacing w:line="460" w:lineRule="exact"/>
        <w:ind w:firstLine="472" w:firstLineChars="200"/>
        <w:rPr>
          <w:rFonts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六</w:t>
      </w:r>
      <w:r>
        <w:rPr>
          <w:rFonts w:eastAsia="方正仿宋_GBK"/>
          <w:color w:val="000000"/>
          <w:spacing w:val="-2"/>
          <w:sz w:val="24"/>
        </w:rPr>
        <w:t>)</w:t>
      </w:r>
      <w:r>
        <w:rPr>
          <w:rFonts w:hint="eastAsia" w:eastAsia="方正仿宋_GBK"/>
          <w:color w:val="000000"/>
          <w:spacing w:val="-2"/>
          <w:sz w:val="24"/>
        </w:rPr>
        <w:t>住房公积金的结算年度、住房公积金缴存比例以及缴存基数的调整年度，均为自每年的</w:t>
      </w:r>
      <w:r>
        <w:rPr>
          <w:rFonts w:eastAsia="方正仿宋_GBK"/>
          <w:color w:val="000000"/>
          <w:spacing w:val="-2"/>
          <w:sz w:val="24"/>
        </w:rPr>
        <w:t>7</w:t>
      </w:r>
      <w:r>
        <w:rPr>
          <w:rFonts w:hint="eastAsia" w:eastAsia="方正仿宋_GBK"/>
          <w:color w:val="000000"/>
          <w:spacing w:val="-2"/>
          <w:sz w:val="24"/>
        </w:rPr>
        <w:t>月</w:t>
      </w:r>
      <w:r>
        <w:rPr>
          <w:rFonts w:eastAsia="方正仿宋_GBK"/>
          <w:color w:val="000000"/>
          <w:spacing w:val="-2"/>
          <w:sz w:val="24"/>
        </w:rPr>
        <w:t>1</w:t>
      </w:r>
      <w:r>
        <w:rPr>
          <w:rFonts w:hint="eastAsia" w:eastAsia="方正仿宋_GBK"/>
          <w:color w:val="000000"/>
          <w:spacing w:val="-2"/>
          <w:sz w:val="24"/>
        </w:rPr>
        <w:t>日至次年的</w:t>
      </w:r>
      <w:r>
        <w:rPr>
          <w:rFonts w:eastAsia="方正仿宋_GBK"/>
          <w:color w:val="000000"/>
          <w:spacing w:val="-2"/>
          <w:sz w:val="24"/>
        </w:rPr>
        <w:t>6</w:t>
      </w:r>
      <w:r>
        <w:rPr>
          <w:rFonts w:hint="eastAsia" w:eastAsia="方正仿宋_GBK"/>
          <w:color w:val="000000"/>
          <w:spacing w:val="-2"/>
          <w:sz w:val="24"/>
        </w:rPr>
        <w:t>月</w:t>
      </w:r>
      <w:r>
        <w:rPr>
          <w:rFonts w:eastAsia="方正仿宋_GBK"/>
          <w:color w:val="000000"/>
          <w:spacing w:val="-2"/>
          <w:sz w:val="24"/>
        </w:rPr>
        <w:t>30</w:t>
      </w:r>
      <w:r>
        <w:rPr>
          <w:rFonts w:hint="eastAsia" w:eastAsia="方正仿宋_GBK"/>
          <w:color w:val="000000"/>
          <w:spacing w:val="-2"/>
          <w:sz w:val="24"/>
        </w:rPr>
        <w:t>日止。每年的</w:t>
      </w:r>
      <w:r>
        <w:rPr>
          <w:rFonts w:eastAsia="方正仿宋_GBK"/>
          <w:color w:val="000000"/>
          <w:spacing w:val="-2"/>
          <w:sz w:val="24"/>
        </w:rPr>
        <w:t>6</w:t>
      </w:r>
      <w:r>
        <w:rPr>
          <w:rFonts w:hint="eastAsia" w:eastAsia="方正仿宋_GBK"/>
          <w:color w:val="000000"/>
          <w:spacing w:val="-2"/>
          <w:sz w:val="24"/>
        </w:rPr>
        <w:t>月</w:t>
      </w:r>
      <w:r>
        <w:rPr>
          <w:rFonts w:eastAsia="方正仿宋_GBK"/>
          <w:color w:val="000000"/>
          <w:spacing w:val="-2"/>
          <w:sz w:val="24"/>
        </w:rPr>
        <w:t>30</w:t>
      </w:r>
      <w:r>
        <w:rPr>
          <w:rFonts w:hint="eastAsia" w:eastAsia="方正仿宋_GBK"/>
          <w:color w:val="000000"/>
          <w:spacing w:val="-2"/>
          <w:sz w:val="24"/>
        </w:rPr>
        <w:t>日为结息日，住房公积金自存入职工住房公积金账户之日起按照国家规定的利率计息。</w:t>
      </w:r>
    </w:p>
    <w:p>
      <w:pPr>
        <w:spacing w:line="460" w:lineRule="exact"/>
        <w:ind w:firstLine="472" w:firstLineChars="200"/>
        <w:rPr>
          <w:rFonts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七</w:t>
      </w:r>
      <w:r>
        <w:rPr>
          <w:rFonts w:eastAsia="方正仿宋_GBK"/>
          <w:color w:val="000000"/>
          <w:spacing w:val="-2"/>
          <w:sz w:val="24"/>
        </w:rPr>
        <w:t>)</w:t>
      </w:r>
      <w:r>
        <w:rPr>
          <w:rFonts w:hint="eastAsia" w:eastAsia="方正仿宋_GBK"/>
          <w:color w:val="000000"/>
          <w:spacing w:val="-2"/>
          <w:sz w:val="24"/>
        </w:rPr>
        <w:t>单位发生合并、分立、撤销、破产、解散或者产权发生变化等情形时，原单位应当为职工补缴以前欠缴的住房公积金。单位依法破产的，其欠缴的职工住房公积金，视同职工工资，列入破产财产的第一清偿顺序。单位解散、撤销的，其欠缴的住房公积金，视同职工工资予以优先偿还。单位合并、分立和产权发生变化时无力补缴住房公积金的，应当明确住房公积金缴存责任主体，才能办理合并、分立和改制等有关事项。</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职工对补缴人数和补缴金额有异议的，单位无正当理由拒绝</w:t>
      </w:r>
      <w:r>
        <w:rPr>
          <w:rFonts w:eastAsia="方正仿宋_GBK"/>
          <w:color w:val="000000"/>
          <w:spacing w:val="-2"/>
          <w:sz w:val="24"/>
        </w:rPr>
        <w:t xml:space="preserve">  </w:t>
      </w:r>
      <w:r>
        <w:rPr>
          <w:rFonts w:hint="eastAsia" w:eastAsia="方正仿宋_GBK"/>
          <w:color w:val="000000"/>
          <w:spacing w:val="-2"/>
          <w:sz w:val="24"/>
        </w:rPr>
        <w:t>提供相关证据或提供证据不足的，住房公积金管理中心可以依照不低于所在市统计部门公布的上年职工平均工资计算。</w:t>
      </w:r>
    </w:p>
    <w:p>
      <w:pPr>
        <w:spacing w:line="460" w:lineRule="exact"/>
        <w:ind w:firstLine="472" w:firstLineChars="200"/>
        <w:rPr>
          <w:rFonts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八</w:t>
      </w:r>
      <w:r>
        <w:rPr>
          <w:rFonts w:eastAsia="方正仿宋_GBK"/>
          <w:color w:val="000000"/>
          <w:spacing w:val="-2"/>
          <w:sz w:val="24"/>
        </w:rPr>
        <w:t>)</w:t>
      </w:r>
      <w:r>
        <w:rPr>
          <w:rFonts w:hint="eastAsia" w:eastAsia="方正仿宋_GBK"/>
          <w:color w:val="000000"/>
          <w:spacing w:val="-2"/>
          <w:sz w:val="24"/>
        </w:rPr>
        <w:t>住房公积金管理中心必须为缴存人设立个人住房公积金明细账，并发放住房公积金对账单或对账卡，作为个人缴存住房公积金的有效凭证。</w:t>
      </w:r>
    </w:p>
    <w:p>
      <w:pPr>
        <w:spacing w:line="460" w:lineRule="exact"/>
        <w:ind w:firstLine="472" w:firstLineChars="200"/>
        <w:rPr>
          <w:rFonts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九</w:t>
      </w:r>
      <w:r>
        <w:rPr>
          <w:rFonts w:eastAsia="方正仿宋_GBK"/>
          <w:color w:val="000000"/>
          <w:spacing w:val="-2"/>
          <w:sz w:val="24"/>
        </w:rPr>
        <w:t>)</w:t>
      </w:r>
      <w:r>
        <w:rPr>
          <w:rFonts w:hint="eastAsia" w:eastAsia="方正仿宋_GBK"/>
          <w:color w:val="000000"/>
          <w:spacing w:val="-2"/>
          <w:sz w:val="24"/>
        </w:rPr>
        <w:t>单位缴存和代扣代缴的住房公积金，单位应在每月发薪日后</w:t>
      </w:r>
      <w:r>
        <w:rPr>
          <w:rFonts w:eastAsia="方正仿宋_GBK"/>
          <w:color w:val="000000"/>
          <w:spacing w:val="-2"/>
          <w:sz w:val="24"/>
        </w:rPr>
        <w:t>5</w:t>
      </w:r>
      <w:r>
        <w:rPr>
          <w:rFonts w:hint="eastAsia" w:eastAsia="方正仿宋_GBK"/>
          <w:color w:val="000000"/>
          <w:spacing w:val="-2"/>
          <w:sz w:val="24"/>
        </w:rPr>
        <w:t>日内汇缴到住房公积金管理中心。单位不得因改制、合并、分立等行为而中止或中断为在职职工缴存住房公积金。</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二、关于住房公积金提取问题</w:t>
      </w:r>
    </w:p>
    <w:p>
      <w:pPr>
        <w:spacing w:line="460" w:lineRule="exact"/>
        <w:ind w:firstLine="472" w:firstLineChars="200"/>
        <w:rPr>
          <w:rFonts w:hint="eastAsia"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一</w:t>
      </w:r>
      <w:r>
        <w:rPr>
          <w:rFonts w:eastAsia="方正仿宋_GBK"/>
          <w:color w:val="000000"/>
          <w:spacing w:val="-2"/>
          <w:sz w:val="24"/>
        </w:rPr>
        <w:t>)</w:t>
      </w:r>
      <w:r>
        <w:rPr>
          <w:rFonts w:hint="eastAsia" w:eastAsia="方正仿宋_GBK"/>
          <w:color w:val="000000"/>
          <w:spacing w:val="-2"/>
          <w:sz w:val="24"/>
        </w:rPr>
        <w:t>职工购买、建造、翻建、大修自住住房，职工本人及其配偶取得合法有效的购房合同或建造、翻修、大修批准文件，可以一次性提取住房公积金账户内的存储余额，但不得超过购买、建造、翻建、大修自住住房的费用数额。申请住房公积金贷款的，不能提取本人及共同购房人住房公积金账户中的资金用于支付购房首期款。</w:t>
      </w:r>
    </w:p>
    <w:p>
      <w:pPr>
        <w:spacing w:line="460" w:lineRule="exact"/>
        <w:ind w:firstLine="472" w:firstLineChars="200"/>
        <w:rPr>
          <w:rFonts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二</w:t>
      </w:r>
      <w:r>
        <w:rPr>
          <w:rFonts w:eastAsia="方正仿宋_GBK"/>
          <w:color w:val="000000"/>
          <w:spacing w:val="-2"/>
          <w:sz w:val="24"/>
        </w:rPr>
        <w:t>)</w:t>
      </w:r>
      <w:r>
        <w:rPr>
          <w:rFonts w:hint="eastAsia" w:eastAsia="方正仿宋_GBK"/>
          <w:color w:val="000000"/>
          <w:spacing w:val="-2"/>
          <w:sz w:val="24"/>
        </w:rPr>
        <w:t>缴存住房公积金的职工购买、建造、翻建、大修自住住房时，提取本人住房公积金账户中存储余额不足的，可以提取对该住房拥有所有权的家庭成员</w:t>
      </w:r>
      <w:r>
        <w:rPr>
          <w:rFonts w:eastAsia="方正仿宋_GBK"/>
          <w:color w:val="000000"/>
          <w:spacing w:val="-2"/>
          <w:sz w:val="24"/>
        </w:rPr>
        <w:t>(</w:t>
      </w:r>
      <w:r>
        <w:rPr>
          <w:rFonts w:hint="eastAsia" w:eastAsia="方正仿宋_GBK"/>
          <w:color w:val="000000"/>
          <w:spacing w:val="-2"/>
          <w:sz w:val="24"/>
        </w:rPr>
        <w:t>包括配偶、父母、子女等直系亲属</w:t>
      </w:r>
      <w:r>
        <w:rPr>
          <w:rFonts w:eastAsia="方正仿宋_GBK"/>
          <w:color w:val="000000"/>
          <w:spacing w:val="-2"/>
          <w:sz w:val="24"/>
        </w:rPr>
        <w:t>)</w:t>
      </w:r>
      <w:r>
        <w:rPr>
          <w:rFonts w:hint="eastAsia" w:eastAsia="方正仿宋_GBK"/>
          <w:color w:val="000000"/>
          <w:spacing w:val="-2"/>
          <w:sz w:val="24"/>
        </w:rPr>
        <w:t>住房公积金账户中的存储余额。</w:t>
      </w:r>
    </w:p>
    <w:p>
      <w:pPr>
        <w:spacing w:line="460" w:lineRule="exact"/>
        <w:ind w:firstLine="472" w:firstLineChars="200"/>
        <w:rPr>
          <w:rFonts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三</w:t>
      </w:r>
      <w:r>
        <w:rPr>
          <w:rFonts w:eastAsia="方正仿宋_GBK"/>
          <w:color w:val="000000"/>
          <w:spacing w:val="-2"/>
          <w:sz w:val="24"/>
        </w:rPr>
        <w:t>)</w:t>
      </w:r>
      <w:r>
        <w:rPr>
          <w:rFonts w:hint="eastAsia" w:eastAsia="方正仿宋_GBK"/>
          <w:color w:val="000000"/>
          <w:spacing w:val="-2"/>
          <w:sz w:val="24"/>
        </w:rPr>
        <w:t>使用住房贷款</w:t>
      </w:r>
      <w:r>
        <w:rPr>
          <w:rFonts w:eastAsia="方正仿宋_GBK"/>
          <w:color w:val="000000"/>
          <w:spacing w:val="-2"/>
          <w:sz w:val="24"/>
        </w:rPr>
        <w:t>(</w:t>
      </w:r>
      <w:r>
        <w:rPr>
          <w:rFonts w:hint="eastAsia" w:eastAsia="方正仿宋_GBK"/>
          <w:color w:val="000000"/>
          <w:spacing w:val="-2"/>
          <w:sz w:val="24"/>
        </w:rPr>
        <w:t>含公积金贷款、组合贷款和商业性住房贷款</w:t>
      </w:r>
      <w:r>
        <w:rPr>
          <w:rFonts w:eastAsia="方正仿宋_GBK"/>
          <w:color w:val="000000"/>
          <w:spacing w:val="-2"/>
          <w:sz w:val="24"/>
        </w:rPr>
        <w:t>)</w:t>
      </w:r>
      <w:r>
        <w:rPr>
          <w:rFonts w:hint="eastAsia" w:eastAsia="方正仿宋_GBK"/>
          <w:color w:val="000000"/>
          <w:spacing w:val="-2"/>
          <w:sz w:val="24"/>
        </w:rPr>
        <w:t>，购买具有所有权住房的借款人，本人及其配偶可以一年至少一次提取住房公积金账户内的存储余额用于偿还贷款本息</w:t>
      </w:r>
      <w:r>
        <w:rPr>
          <w:rFonts w:eastAsia="方正仿宋_GBK"/>
          <w:color w:val="000000"/>
          <w:spacing w:val="-2"/>
          <w:sz w:val="24"/>
        </w:rPr>
        <w:t>(</w:t>
      </w:r>
      <w:r>
        <w:rPr>
          <w:rFonts w:hint="eastAsia" w:eastAsia="方正仿宋_GBK"/>
          <w:color w:val="000000"/>
          <w:spacing w:val="-2"/>
          <w:sz w:val="24"/>
        </w:rPr>
        <w:t>须优先归还住房公积金贷款，如有逾期贷款，应先归还逾期部分</w:t>
      </w:r>
      <w:r>
        <w:rPr>
          <w:rFonts w:eastAsia="方正仿宋_GBK"/>
          <w:color w:val="000000"/>
          <w:spacing w:val="-2"/>
          <w:sz w:val="24"/>
        </w:rPr>
        <w:t>)</w:t>
      </w:r>
      <w:r>
        <w:rPr>
          <w:rFonts w:hint="eastAsia" w:eastAsia="方正仿宋_GBK"/>
          <w:color w:val="000000"/>
          <w:spacing w:val="-2"/>
          <w:sz w:val="24"/>
        </w:rPr>
        <w:t>，但夫妻双方累计提取总额不能超过实际发生的住房贷款支出。采用一次性还贷方式的，提取金额不得超过提取时住房公积金贷款和商业性住房贷款的贷款本金余额及利息之和。采用逐月还贷方式的，提取金额不超过提取时当月应归还的住房公积金贷款和商业性住房贷款的本息之和。提取还贷时，住房公积金账户内应保留一定金额，提取的住房公积金不得转入住房贷款账户以外的其他账户，确保住房公积金不改变用途。</w:t>
      </w:r>
    </w:p>
    <w:p>
      <w:pPr>
        <w:spacing w:line="460" w:lineRule="exact"/>
        <w:ind w:firstLine="472" w:firstLineChars="200"/>
        <w:rPr>
          <w:rFonts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四</w:t>
      </w:r>
      <w:r>
        <w:rPr>
          <w:rFonts w:eastAsia="方正仿宋_GBK"/>
          <w:color w:val="000000"/>
          <w:spacing w:val="-2"/>
          <w:sz w:val="24"/>
        </w:rPr>
        <w:t>)</w:t>
      </w:r>
      <w:r>
        <w:rPr>
          <w:rFonts w:hint="eastAsia" w:eastAsia="方正仿宋_GBK"/>
          <w:color w:val="000000"/>
          <w:spacing w:val="-2"/>
          <w:sz w:val="24"/>
        </w:rPr>
        <w:t>与单位解除劳动关系，连续两年以上</w:t>
      </w:r>
      <w:r>
        <w:rPr>
          <w:rFonts w:eastAsia="方正仿宋_GBK"/>
          <w:color w:val="000000"/>
          <w:spacing w:val="-2"/>
          <w:sz w:val="24"/>
        </w:rPr>
        <w:t>(</w:t>
      </w:r>
      <w:r>
        <w:rPr>
          <w:rFonts w:hint="eastAsia" w:eastAsia="方正仿宋_GBK"/>
          <w:color w:val="000000"/>
          <w:spacing w:val="-2"/>
          <w:sz w:val="24"/>
        </w:rPr>
        <w:t>不含两年</w:t>
      </w:r>
      <w:r>
        <w:rPr>
          <w:rFonts w:eastAsia="方正仿宋_GBK"/>
          <w:color w:val="000000"/>
          <w:spacing w:val="-2"/>
          <w:sz w:val="24"/>
        </w:rPr>
        <w:t>)</w:t>
      </w:r>
      <w:r>
        <w:rPr>
          <w:rFonts w:hint="eastAsia" w:eastAsia="方正仿宋_GBK"/>
          <w:color w:val="000000"/>
          <w:spacing w:val="-2"/>
          <w:sz w:val="24"/>
        </w:rPr>
        <w:t>未重新就业，男性满</w:t>
      </w:r>
      <w:r>
        <w:rPr>
          <w:rFonts w:eastAsia="方正仿宋_GBK"/>
          <w:color w:val="000000"/>
          <w:spacing w:val="-2"/>
          <w:sz w:val="24"/>
        </w:rPr>
        <w:t>50</w:t>
      </w:r>
      <w:r>
        <w:rPr>
          <w:rFonts w:hint="eastAsia" w:eastAsia="方正仿宋_GBK"/>
          <w:color w:val="000000"/>
          <w:spacing w:val="-2"/>
          <w:sz w:val="24"/>
        </w:rPr>
        <w:t>周岁，女性满</w:t>
      </w:r>
      <w:r>
        <w:rPr>
          <w:rFonts w:eastAsia="方正仿宋_GBK"/>
          <w:color w:val="000000"/>
          <w:spacing w:val="-2"/>
          <w:sz w:val="24"/>
        </w:rPr>
        <w:t>40</w:t>
      </w:r>
      <w:r>
        <w:rPr>
          <w:rFonts w:hint="eastAsia" w:eastAsia="方正仿宋_GBK"/>
          <w:color w:val="000000"/>
          <w:spacing w:val="-2"/>
          <w:sz w:val="24"/>
        </w:rPr>
        <w:t>周岁的；持有残疾证</w:t>
      </w:r>
      <w:r>
        <w:rPr>
          <w:rFonts w:eastAsia="方正仿宋_GBK"/>
          <w:color w:val="000000"/>
          <w:spacing w:val="-2"/>
          <w:sz w:val="24"/>
        </w:rPr>
        <w:t>(</w:t>
      </w:r>
      <w:r>
        <w:rPr>
          <w:rFonts w:hint="eastAsia" w:eastAsia="方正仿宋_GBK"/>
          <w:color w:val="000000"/>
          <w:spacing w:val="-2"/>
          <w:sz w:val="24"/>
        </w:rPr>
        <w:t>含部分丧失劳动能力</w:t>
      </w:r>
      <w:r>
        <w:rPr>
          <w:rFonts w:eastAsia="方正仿宋_GBK"/>
          <w:color w:val="000000"/>
          <w:spacing w:val="-2"/>
          <w:sz w:val="24"/>
        </w:rPr>
        <w:t>)</w:t>
      </w:r>
      <w:r>
        <w:rPr>
          <w:rFonts w:hint="eastAsia" w:eastAsia="方正仿宋_GBK"/>
          <w:color w:val="000000"/>
          <w:spacing w:val="-2"/>
          <w:sz w:val="24"/>
        </w:rPr>
        <w:t>并与所在单位解除、终止劳动关系的，均可以提取本人住房公积金账户内的存储余额。</w:t>
      </w:r>
    </w:p>
    <w:p>
      <w:pPr>
        <w:spacing w:line="460" w:lineRule="exact"/>
        <w:ind w:firstLine="472" w:firstLineChars="200"/>
        <w:rPr>
          <w:rFonts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五</w:t>
      </w:r>
      <w:r>
        <w:rPr>
          <w:rFonts w:eastAsia="方正仿宋_GBK"/>
          <w:color w:val="000000"/>
          <w:spacing w:val="-2"/>
          <w:sz w:val="24"/>
        </w:rPr>
        <w:t>)</w:t>
      </w:r>
      <w:r>
        <w:rPr>
          <w:rFonts w:hint="eastAsia" w:eastAsia="方正仿宋_GBK"/>
          <w:color w:val="000000"/>
          <w:spacing w:val="-2"/>
          <w:sz w:val="24"/>
        </w:rPr>
        <w:t>享受城市居民最低生活保障</w:t>
      </w:r>
      <w:r>
        <w:rPr>
          <w:rFonts w:eastAsia="方正仿宋_GBK"/>
          <w:color w:val="000000"/>
          <w:spacing w:val="-2"/>
          <w:sz w:val="24"/>
        </w:rPr>
        <w:t>(</w:t>
      </w:r>
      <w:r>
        <w:rPr>
          <w:rFonts w:hint="eastAsia" w:eastAsia="方正仿宋_GBK"/>
          <w:color w:val="000000"/>
          <w:spacing w:val="-2"/>
          <w:sz w:val="24"/>
        </w:rPr>
        <w:t>应提供合法有效的凭证</w:t>
      </w:r>
      <w:r>
        <w:rPr>
          <w:rFonts w:eastAsia="方正仿宋_GBK"/>
          <w:color w:val="000000"/>
          <w:spacing w:val="-2"/>
          <w:sz w:val="24"/>
        </w:rPr>
        <w:t>)</w:t>
      </w:r>
      <w:r>
        <w:rPr>
          <w:rFonts w:hint="eastAsia" w:eastAsia="方正仿宋_GBK"/>
          <w:color w:val="000000"/>
          <w:spacing w:val="-2"/>
          <w:sz w:val="24"/>
        </w:rPr>
        <w:t>，夫妻一方</w:t>
      </w:r>
      <w:r>
        <w:rPr>
          <w:rFonts w:eastAsia="方正仿宋_GBK"/>
          <w:color w:val="000000"/>
          <w:spacing w:val="-2"/>
          <w:sz w:val="24"/>
        </w:rPr>
        <w:t>(</w:t>
      </w:r>
      <w:r>
        <w:rPr>
          <w:rFonts w:hint="eastAsia" w:eastAsia="方正仿宋_GBK"/>
          <w:color w:val="000000"/>
          <w:spacing w:val="-2"/>
          <w:sz w:val="24"/>
        </w:rPr>
        <w:t>双方</w:t>
      </w:r>
      <w:r>
        <w:rPr>
          <w:rFonts w:eastAsia="方正仿宋_GBK"/>
          <w:color w:val="000000"/>
          <w:spacing w:val="-2"/>
          <w:sz w:val="24"/>
        </w:rPr>
        <w:t>)</w:t>
      </w:r>
      <w:r>
        <w:rPr>
          <w:rFonts w:hint="eastAsia" w:eastAsia="方正仿宋_GBK"/>
          <w:color w:val="000000"/>
          <w:spacing w:val="-2"/>
          <w:sz w:val="24"/>
        </w:rPr>
        <w:t>及其直系亲属患重病治疗或遇到其他突发事件，造成家庭生活严重困难的，可以提取本人住房公积金。具体办法由各市住房公积金管理中心制定。</w:t>
      </w:r>
    </w:p>
    <w:p>
      <w:pPr>
        <w:spacing w:line="460" w:lineRule="exact"/>
        <w:ind w:firstLine="472" w:firstLineChars="200"/>
        <w:rPr>
          <w:rFonts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六</w:t>
      </w:r>
      <w:r>
        <w:rPr>
          <w:rFonts w:eastAsia="方正仿宋_GBK"/>
          <w:color w:val="000000"/>
          <w:spacing w:val="-2"/>
          <w:sz w:val="24"/>
        </w:rPr>
        <w:t>)</w:t>
      </w:r>
      <w:r>
        <w:rPr>
          <w:rFonts w:hint="eastAsia" w:eastAsia="方正仿宋_GBK"/>
          <w:color w:val="000000"/>
          <w:spacing w:val="-2"/>
          <w:sz w:val="24"/>
        </w:rPr>
        <w:t>被判处刑罚，并与单位终止劳动关系的；异地调动，迁入地单位未建立住房公积金制度的；非本地户籍且家在农村，与所在单位终止劳动关系回户籍所在地的，均可以提取个人住房公积金账户全部余额。</w:t>
      </w:r>
    </w:p>
    <w:p>
      <w:pPr>
        <w:spacing w:line="460" w:lineRule="exact"/>
        <w:ind w:firstLine="472" w:firstLineChars="200"/>
        <w:rPr>
          <w:rFonts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七</w:t>
      </w:r>
      <w:r>
        <w:rPr>
          <w:rFonts w:eastAsia="方正仿宋_GBK"/>
          <w:color w:val="000000"/>
          <w:spacing w:val="-2"/>
          <w:sz w:val="24"/>
        </w:rPr>
        <w:t>)</w:t>
      </w:r>
      <w:r>
        <w:rPr>
          <w:rFonts w:hint="eastAsia" w:eastAsia="方正仿宋_GBK"/>
          <w:color w:val="000000"/>
          <w:spacing w:val="-2"/>
          <w:sz w:val="24"/>
        </w:rPr>
        <w:t>偿还个人债务、离婚共同财产分割等涉及提取住房公积金的，可以凭人民法院判决书予以提取。</w:t>
      </w:r>
    </w:p>
    <w:p>
      <w:pPr>
        <w:spacing w:line="460" w:lineRule="exact"/>
        <w:ind w:firstLine="472" w:firstLineChars="200"/>
        <w:rPr>
          <w:rFonts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八</w:t>
      </w:r>
      <w:r>
        <w:rPr>
          <w:rFonts w:eastAsia="方正仿宋_GBK"/>
          <w:color w:val="000000"/>
          <w:spacing w:val="-2"/>
          <w:sz w:val="24"/>
        </w:rPr>
        <w:t>)</w:t>
      </w:r>
      <w:r>
        <w:rPr>
          <w:rFonts w:hint="eastAsia" w:eastAsia="方正仿宋_GBK"/>
          <w:color w:val="000000"/>
          <w:spacing w:val="-2"/>
          <w:sz w:val="24"/>
        </w:rPr>
        <w:t>职工申请提取住房公积金，是否需要经所在单位审核，由各市住房公积金管理中心根据本地区实际情况确定。</w:t>
      </w:r>
    </w:p>
    <w:p>
      <w:pPr>
        <w:spacing w:line="460" w:lineRule="exact"/>
        <w:ind w:firstLine="472" w:firstLineChars="200"/>
        <w:rPr>
          <w:rFonts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九</w:t>
      </w:r>
      <w:r>
        <w:rPr>
          <w:rFonts w:eastAsia="方正仿宋_GBK"/>
          <w:color w:val="000000"/>
          <w:spacing w:val="-2"/>
          <w:sz w:val="24"/>
        </w:rPr>
        <w:t>)</w:t>
      </w:r>
      <w:r>
        <w:rPr>
          <w:rFonts w:hint="eastAsia" w:eastAsia="方正仿宋_GBK"/>
          <w:color w:val="000000"/>
          <w:spacing w:val="-2"/>
          <w:sz w:val="24"/>
        </w:rPr>
        <w:t>职工办理提取手续时，须出示本人身份证原件。代他人领取的，须同时出示代领人身份证原件和授权委托书。</w:t>
      </w:r>
    </w:p>
    <w:p>
      <w:pPr>
        <w:spacing w:line="460" w:lineRule="exact"/>
        <w:ind w:firstLine="472" w:firstLineChars="200"/>
        <w:rPr>
          <w:rFonts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十</w:t>
      </w:r>
      <w:r>
        <w:rPr>
          <w:rFonts w:eastAsia="方正仿宋_GBK"/>
          <w:color w:val="000000"/>
          <w:spacing w:val="-2"/>
          <w:sz w:val="24"/>
        </w:rPr>
        <w:t>)</w:t>
      </w:r>
      <w:r>
        <w:rPr>
          <w:rFonts w:hint="eastAsia" w:eastAsia="方正仿宋_GBK"/>
          <w:color w:val="000000"/>
          <w:spacing w:val="-2"/>
          <w:sz w:val="24"/>
        </w:rPr>
        <w:t>住房公积金管理中心要采取有效措施，杜绝骗提、冒领住房公积金等现象。</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三、关于住房公积金贷款问题</w:t>
      </w:r>
    </w:p>
    <w:p>
      <w:pPr>
        <w:spacing w:line="460" w:lineRule="exact"/>
        <w:ind w:firstLine="472" w:firstLineChars="200"/>
        <w:rPr>
          <w:rFonts w:hint="eastAsia"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一</w:t>
      </w:r>
      <w:r>
        <w:rPr>
          <w:rFonts w:eastAsia="方正仿宋_GBK"/>
          <w:color w:val="000000"/>
          <w:spacing w:val="-2"/>
          <w:sz w:val="24"/>
        </w:rPr>
        <w:t>)</w:t>
      </w:r>
      <w:r>
        <w:rPr>
          <w:rFonts w:hint="eastAsia" w:eastAsia="方正仿宋_GBK"/>
          <w:color w:val="000000"/>
          <w:spacing w:val="-2"/>
          <w:sz w:val="24"/>
        </w:rPr>
        <w:t>单位及个人建立了住房公积金制度，在申请贷款当月之前，个人和所在单位连续、按时、足额正常缴存住房公积金</w:t>
      </w:r>
      <w:r>
        <w:rPr>
          <w:rFonts w:eastAsia="方正仿宋_GBK"/>
          <w:color w:val="000000"/>
          <w:spacing w:val="-2"/>
          <w:sz w:val="24"/>
        </w:rPr>
        <w:t>6</w:t>
      </w:r>
      <w:r>
        <w:rPr>
          <w:rFonts w:hint="eastAsia" w:eastAsia="方正仿宋_GBK"/>
          <w:color w:val="000000"/>
          <w:spacing w:val="-2"/>
          <w:sz w:val="24"/>
        </w:rPr>
        <w:t>个月以上</w:t>
      </w:r>
      <w:r>
        <w:rPr>
          <w:rFonts w:eastAsia="方正仿宋_GBK"/>
          <w:color w:val="000000"/>
          <w:spacing w:val="-2"/>
          <w:sz w:val="24"/>
        </w:rPr>
        <w:t>(</w:t>
      </w:r>
      <w:r>
        <w:rPr>
          <w:rFonts w:hint="eastAsia" w:eastAsia="方正仿宋_GBK"/>
          <w:color w:val="000000"/>
          <w:spacing w:val="-2"/>
          <w:sz w:val="24"/>
        </w:rPr>
        <w:t>含</w:t>
      </w:r>
      <w:r>
        <w:rPr>
          <w:rFonts w:eastAsia="方正仿宋_GBK"/>
          <w:color w:val="000000"/>
          <w:spacing w:val="-2"/>
          <w:sz w:val="24"/>
        </w:rPr>
        <w:t>6</w:t>
      </w:r>
      <w:r>
        <w:rPr>
          <w:rFonts w:hint="eastAsia" w:eastAsia="方正仿宋_GBK"/>
          <w:color w:val="000000"/>
          <w:spacing w:val="-2"/>
          <w:sz w:val="24"/>
        </w:rPr>
        <w:t>个月</w:t>
      </w:r>
      <w:r>
        <w:rPr>
          <w:rFonts w:eastAsia="方正仿宋_GBK"/>
          <w:color w:val="000000"/>
          <w:spacing w:val="-2"/>
          <w:sz w:val="24"/>
        </w:rPr>
        <w:t>)</w:t>
      </w:r>
      <w:r>
        <w:rPr>
          <w:rFonts w:hint="eastAsia" w:eastAsia="方正仿宋_GBK"/>
          <w:color w:val="000000"/>
          <w:spacing w:val="-2"/>
          <w:sz w:val="24"/>
        </w:rPr>
        <w:t>的职工</w:t>
      </w:r>
      <w:r>
        <w:rPr>
          <w:rFonts w:eastAsia="方正仿宋_GBK"/>
          <w:color w:val="000000"/>
          <w:spacing w:val="-2"/>
          <w:sz w:val="24"/>
        </w:rPr>
        <w:t>(</w:t>
      </w:r>
      <w:r>
        <w:rPr>
          <w:rFonts w:hint="eastAsia" w:eastAsia="方正仿宋_GBK"/>
          <w:color w:val="000000"/>
          <w:spacing w:val="-2"/>
          <w:sz w:val="24"/>
        </w:rPr>
        <w:t>以下简称借款人</w:t>
      </w:r>
      <w:r>
        <w:rPr>
          <w:rFonts w:eastAsia="方正仿宋_GBK"/>
          <w:color w:val="000000"/>
          <w:spacing w:val="-2"/>
          <w:sz w:val="24"/>
        </w:rPr>
        <w:t>)</w:t>
      </w:r>
      <w:r>
        <w:rPr>
          <w:rFonts w:hint="eastAsia" w:eastAsia="方正仿宋_GBK"/>
          <w:color w:val="000000"/>
          <w:spacing w:val="-2"/>
          <w:sz w:val="24"/>
        </w:rPr>
        <w:t>，在购买、建造、翻建或大修自住住房时，可以向住房公积金管理机构</w:t>
      </w:r>
      <w:r>
        <w:rPr>
          <w:rFonts w:eastAsia="方正仿宋_GBK"/>
          <w:color w:val="000000"/>
          <w:spacing w:val="-2"/>
          <w:sz w:val="24"/>
        </w:rPr>
        <w:t>(</w:t>
      </w:r>
      <w:r>
        <w:rPr>
          <w:rFonts w:hint="eastAsia" w:eastAsia="方正仿宋_GBK"/>
          <w:color w:val="000000"/>
          <w:spacing w:val="-2"/>
          <w:sz w:val="24"/>
        </w:rPr>
        <w:t>以下简称贷款人</w:t>
      </w:r>
      <w:r>
        <w:rPr>
          <w:rFonts w:eastAsia="方正仿宋_GBK"/>
          <w:color w:val="000000"/>
          <w:spacing w:val="-2"/>
          <w:sz w:val="24"/>
        </w:rPr>
        <w:t>)</w:t>
      </w:r>
      <w:r>
        <w:rPr>
          <w:rFonts w:hint="eastAsia" w:eastAsia="方正仿宋_GBK"/>
          <w:color w:val="000000"/>
          <w:spacing w:val="-2"/>
          <w:sz w:val="24"/>
        </w:rPr>
        <w:t>申请贷款。借款人在申请住房公积金贷款时还应具备以下条件：具有城镇常住户口或有效居留身份；有稳定的收入，信用良好，有偿还贷款本息的能力；具有购买住房的合同或协议；以自有资金支付购房的首期付款</w:t>
      </w:r>
      <w:r>
        <w:rPr>
          <w:rFonts w:eastAsia="方正仿宋_GBK"/>
          <w:color w:val="000000"/>
          <w:spacing w:val="-2"/>
          <w:sz w:val="24"/>
        </w:rPr>
        <w:t>(</w:t>
      </w:r>
      <w:r>
        <w:rPr>
          <w:rFonts w:hint="eastAsia" w:eastAsia="方正仿宋_GBK"/>
          <w:color w:val="000000"/>
          <w:spacing w:val="-2"/>
          <w:sz w:val="24"/>
        </w:rPr>
        <w:t>所购住房全部价款的</w:t>
      </w:r>
      <w:r>
        <w:rPr>
          <w:rFonts w:eastAsia="方正仿宋_GBK"/>
          <w:color w:val="000000"/>
          <w:spacing w:val="-2"/>
          <w:sz w:val="24"/>
        </w:rPr>
        <w:t>20%</w:t>
      </w:r>
      <w:r>
        <w:rPr>
          <w:rFonts w:hint="eastAsia" w:eastAsia="方正仿宋_GBK"/>
          <w:color w:val="000000"/>
          <w:spacing w:val="-2"/>
          <w:sz w:val="24"/>
        </w:rPr>
        <w:t>以上</w:t>
      </w:r>
      <w:r>
        <w:rPr>
          <w:rFonts w:eastAsia="方正仿宋_GBK"/>
          <w:color w:val="000000"/>
          <w:spacing w:val="-2"/>
          <w:sz w:val="24"/>
        </w:rPr>
        <w:t>)</w:t>
      </w:r>
      <w:r>
        <w:rPr>
          <w:rFonts w:hint="eastAsia" w:eastAsia="方正仿宋_GBK"/>
          <w:color w:val="000000"/>
          <w:spacing w:val="-2"/>
          <w:sz w:val="24"/>
        </w:rPr>
        <w:t>；有贷款人认可的资产作为抵押或质押，或有足够代偿能力的担保公司作为保证人；贷款人规定的其他条件。</w:t>
      </w:r>
    </w:p>
    <w:p>
      <w:pPr>
        <w:spacing w:line="460" w:lineRule="exact"/>
        <w:ind w:firstLine="472" w:firstLineChars="200"/>
        <w:rPr>
          <w:rFonts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二</w:t>
      </w:r>
      <w:r>
        <w:rPr>
          <w:rFonts w:eastAsia="方正仿宋_GBK"/>
          <w:color w:val="000000"/>
          <w:spacing w:val="-2"/>
          <w:sz w:val="24"/>
        </w:rPr>
        <w:t>)</w:t>
      </w:r>
      <w:r>
        <w:rPr>
          <w:rFonts w:hint="eastAsia" w:eastAsia="方正仿宋_GBK"/>
          <w:color w:val="000000"/>
          <w:spacing w:val="-2"/>
          <w:sz w:val="24"/>
        </w:rPr>
        <w:t>严禁向非住房公积金缴存人发放住房公积金贷款。贷款人发放个人住房公积金贷款时，借款人必须提供担保。借款人到期不能偿还贷款本息的，贷款人有权依法处理其抵押物或质物，或由保证人承担偿还本息的连带责任。</w:t>
      </w:r>
    </w:p>
    <w:p>
      <w:pPr>
        <w:spacing w:line="460" w:lineRule="exact"/>
        <w:ind w:firstLine="472" w:firstLineChars="200"/>
        <w:rPr>
          <w:rFonts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三</w:t>
      </w:r>
      <w:r>
        <w:rPr>
          <w:rFonts w:eastAsia="方正仿宋_GBK"/>
          <w:color w:val="000000"/>
          <w:spacing w:val="-2"/>
          <w:sz w:val="24"/>
        </w:rPr>
        <w:t>)</w:t>
      </w:r>
      <w:r>
        <w:rPr>
          <w:rFonts w:hint="eastAsia" w:eastAsia="方正仿宋_GBK"/>
          <w:color w:val="000000"/>
          <w:spacing w:val="-2"/>
          <w:sz w:val="24"/>
        </w:rPr>
        <w:t>住房公积金管理中心只能按照国务院《住房公积金管理条例》第五条所规定的用途向职工个人发放住房公积金贷款。其中：职工购买商品房的，在支付了首付款的前提下，只能对购买已取得合法有效的《商品房销售</w:t>
      </w:r>
      <w:r>
        <w:rPr>
          <w:rFonts w:eastAsia="方正仿宋_GBK"/>
          <w:color w:val="000000"/>
          <w:spacing w:val="-2"/>
          <w:sz w:val="24"/>
        </w:rPr>
        <w:t>(</w:t>
      </w:r>
      <w:r>
        <w:rPr>
          <w:rFonts w:hint="eastAsia" w:eastAsia="方正仿宋_GBK"/>
          <w:color w:val="000000"/>
          <w:spacing w:val="-2"/>
          <w:sz w:val="24"/>
        </w:rPr>
        <w:t>预售</w:t>
      </w:r>
      <w:r>
        <w:rPr>
          <w:rFonts w:eastAsia="方正仿宋_GBK"/>
          <w:color w:val="000000"/>
          <w:spacing w:val="-2"/>
          <w:sz w:val="24"/>
        </w:rPr>
        <w:t>)</w:t>
      </w:r>
      <w:r>
        <w:rPr>
          <w:rFonts w:hint="eastAsia" w:eastAsia="方正仿宋_GBK"/>
          <w:color w:val="000000"/>
          <w:spacing w:val="-2"/>
          <w:sz w:val="24"/>
        </w:rPr>
        <w:t>许可证》的商品房发放公积金贷款。严禁向购买办公用房、商业用房及单体车库的职工发放住房公积金贷款。</w:t>
      </w:r>
    </w:p>
    <w:p>
      <w:pPr>
        <w:spacing w:line="460" w:lineRule="exact"/>
        <w:ind w:firstLine="472" w:firstLineChars="200"/>
        <w:rPr>
          <w:rFonts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四</w:t>
      </w:r>
      <w:r>
        <w:rPr>
          <w:rFonts w:eastAsia="方正仿宋_GBK"/>
          <w:color w:val="000000"/>
          <w:spacing w:val="-2"/>
          <w:sz w:val="24"/>
        </w:rPr>
        <w:t>)</w:t>
      </w:r>
      <w:r>
        <w:rPr>
          <w:rFonts w:hint="eastAsia" w:eastAsia="方正仿宋_GBK"/>
          <w:color w:val="000000"/>
          <w:spacing w:val="-2"/>
          <w:sz w:val="24"/>
        </w:rPr>
        <w:t>借款人和共同借款人已经办理了住房公积金贷款的，在其未还清贷款本息之前，任何一方均不能再次申请公积金贷款。</w:t>
      </w:r>
    </w:p>
    <w:p>
      <w:pPr>
        <w:spacing w:line="460" w:lineRule="exact"/>
        <w:ind w:firstLine="472" w:firstLineChars="200"/>
        <w:rPr>
          <w:rFonts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五</w:t>
      </w:r>
      <w:r>
        <w:rPr>
          <w:rFonts w:eastAsia="方正仿宋_GBK"/>
          <w:color w:val="000000"/>
          <w:spacing w:val="-2"/>
          <w:sz w:val="24"/>
        </w:rPr>
        <w:t>)</w:t>
      </w:r>
      <w:r>
        <w:rPr>
          <w:rFonts w:hint="eastAsia" w:eastAsia="方正仿宋_GBK"/>
          <w:color w:val="000000"/>
          <w:spacing w:val="-2"/>
          <w:sz w:val="24"/>
        </w:rPr>
        <w:t>住房公积金贷款额度最多不得超过购房款总额的</w:t>
      </w:r>
      <w:r>
        <w:rPr>
          <w:rFonts w:eastAsia="方正仿宋_GBK"/>
          <w:color w:val="000000"/>
          <w:spacing w:val="-2"/>
          <w:sz w:val="24"/>
        </w:rPr>
        <w:t>70%</w:t>
      </w:r>
      <w:r>
        <w:rPr>
          <w:rFonts w:hint="eastAsia" w:eastAsia="方正仿宋_GBK"/>
          <w:color w:val="000000"/>
          <w:spacing w:val="-2"/>
          <w:sz w:val="24"/>
        </w:rPr>
        <w:t>，贷款期限最长不得超出</w:t>
      </w:r>
      <w:r>
        <w:rPr>
          <w:rFonts w:eastAsia="方正仿宋_GBK"/>
          <w:color w:val="000000"/>
          <w:spacing w:val="-2"/>
          <w:sz w:val="24"/>
        </w:rPr>
        <w:t>30</w:t>
      </w:r>
      <w:r>
        <w:rPr>
          <w:rFonts w:hint="eastAsia" w:eastAsia="方正仿宋_GBK"/>
          <w:color w:val="000000"/>
          <w:spacing w:val="-2"/>
          <w:sz w:val="24"/>
        </w:rPr>
        <w:t>年。二手、翻建、大修、自建住房的贷款。额度、年限均应低于购买商品房的额度与年限。具体额度与年限，由各市住房公积金管理中心制定，经市住房公积金管理委员会批准，并向社会公布。</w:t>
      </w:r>
    </w:p>
    <w:p>
      <w:pPr>
        <w:spacing w:line="460" w:lineRule="exact"/>
        <w:ind w:firstLine="472" w:firstLineChars="200"/>
        <w:rPr>
          <w:rFonts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六</w:t>
      </w:r>
      <w:r>
        <w:rPr>
          <w:rFonts w:eastAsia="方正仿宋_GBK"/>
          <w:color w:val="000000"/>
          <w:spacing w:val="-2"/>
          <w:sz w:val="24"/>
        </w:rPr>
        <w:t>)</w:t>
      </w:r>
      <w:r>
        <w:rPr>
          <w:rFonts w:hint="eastAsia" w:eastAsia="方正仿宋_GBK"/>
          <w:color w:val="000000"/>
          <w:spacing w:val="-2"/>
          <w:sz w:val="24"/>
        </w:rPr>
        <w:t>借款人的借款期限加实际年龄一般不得超出法定退休年龄，月还款额一般不超过借款人或家庭收入的</w:t>
      </w:r>
      <w:r>
        <w:rPr>
          <w:rFonts w:eastAsia="方正仿宋_GBK"/>
          <w:color w:val="000000"/>
          <w:spacing w:val="-2"/>
          <w:sz w:val="24"/>
        </w:rPr>
        <w:t>50%</w:t>
      </w:r>
      <w:r>
        <w:rPr>
          <w:rFonts w:hint="eastAsia" w:eastAsia="方正仿宋_GBK"/>
          <w:color w:val="000000"/>
          <w:spacing w:val="-2"/>
          <w:sz w:val="24"/>
        </w:rPr>
        <w:t>。</w:t>
      </w:r>
    </w:p>
    <w:p>
      <w:pPr>
        <w:spacing w:line="460" w:lineRule="exact"/>
        <w:ind w:firstLine="472" w:firstLineChars="200"/>
        <w:rPr>
          <w:rFonts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七</w:t>
      </w:r>
      <w:r>
        <w:rPr>
          <w:rFonts w:eastAsia="方正仿宋_GBK"/>
          <w:color w:val="000000"/>
          <w:spacing w:val="-2"/>
          <w:sz w:val="24"/>
        </w:rPr>
        <w:t>)</w:t>
      </w:r>
      <w:r>
        <w:rPr>
          <w:rFonts w:hint="eastAsia" w:eastAsia="方正仿宋_GBK"/>
          <w:color w:val="000000"/>
          <w:spacing w:val="-2"/>
          <w:sz w:val="24"/>
        </w:rPr>
        <w:t>贷款利率按照中国人民银行公布的利率标准执行。</w:t>
      </w:r>
    </w:p>
    <w:p>
      <w:pPr>
        <w:spacing w:line="460" w:lineRule="exact"/>
        <w:ind w:firstLine="472" w:firstLineChars="200"/>
        <w:rPr>
          <w:rFonts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八</w:t>
      </w:r>
      <w:r>
        <w:rPr>
          <w:rFonts w:eastAsia="方正仿宋_GBK"/>
          <w:color w:val="000000"/>
          <w:spacing w:val="-2"/>
          <w:sz w:val="24"/>
        </w:rPr>
        <w:t>)</w:t>
      </w:r>
      <w:r>
        <w:rPr>
          <w:rFonts w:hint="eastAsia" w:eastAsia="方正仿宋_GBK"/>
          <w:color w:val="000000"/>
          <w:spacing w:val="-2"/>
          <w:sz w:val="24"/>
        </w:rPr>
        <w:t>各地住房公积金贷款余额原则上不应超过住房公积金缴存余额的</w:t>
      </w:r>
      <w:r>
        <w:rPr>
          <w:rFonts w:eastAsia="方正仿宋_GBK"/>
          <w:color w:val="000000"/>
          <w:spacing w:val="-2"/>
          <w:sz w:val="24"/>
        </w:rPr>
        <w:t>80%</w:t>
      </w:r>
      <w:r>
        <w:rPr>
          <w:rFonts w:hint="eastAsia" w:eastAsia="方正仿宋_GBK"/>
          <w:color w:val="000000"/>
          <w:spacing w:val="-2"/>
          <w:sz w:val="24"/>
        </w:rPr>
        <w:t>。达到或超过</w:t>
      </w:r>
      <w:r>
        <w:rPr>
          <w:rFonts w:eastAsia="方正仿宋_GBK"/>
          <w:color w:val="000000"/>
          <w:spacing w:val="-2"/>
          <w:sz w:val="24"/>
        </w:rPr>
        <w:t>80%</w:t>
      </w:r>
      <w:r>
        <w:rPr>
          <w:rFonts w:hint="eastAsia" w:eastAsia="方正仿宋_GBK"/>
          <w:color w:val="000000"/>
          <w:spacing w:val="-2"/>
          <w:sz w:val="24"/>
        </w:rPr>
        <w:t>的，要及时调整有关贷款政策。</w:t>
      </w:r>
    </w:p>
    <w:p>
      <w:pPr>
        <w:spacing w:line="460" w:lineRule="exact"/>
        <w:ind w:firstLine="472" w:firstLineChars="200"/>
        <w:rPr>
          <w:rFonts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九</w:t>
      </w:r>
      <w:r>
        <w:rPr>
          <w:rFonts w:eastAsia="方正仿宋_GBK"/>
          <w:color w:val="000000"/>
          <w:spacing w:val="-2"/>
          <w:sz w:val="24"/>
        </w:rPr>
        <w:t>)</w:t>
      </w:r>
      <w:r>
        <w:rPr>
          <w:rFonts w:hint="eastAsia" w:eastAsia="方正仿宋_GBK"/>
          <w:color w:val="000000"/>
          <w:spacing w:val="-2"/>
          <w:sz w:val="24"/>
        </w:rPr>
        <w:t>借款人可以提前偿还部分或者全部贷款本息。提前偿还贷款的，不得收取违约金，但按照借款合同已计收的贷款利息不作调整也不退还。</w:t>
      </w:r>
    </w:p>
    <w:p>
      <w:pPr>
        <w:spacing w:line="460" w:lineRule="exact"/>
        <w:ind w:firstLine="472" w:firstLineChars="200"/>
        <w:rPr>
          <w:rFonts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十</w:t>
      </w:r>
      <w:r>
        <w:rPr>
          <w:rFonts w:eastAsia="方正仿宋_GBK"/>
          <w:color w:val="000000"/>
          <w:spacing w:val="-2"/>
          <w:sz w:val="24"/>
        </w:rPr>
        <w:t>)</w:t>
      </w:r>
      <w:r>
        <w:rPr>
          <w:rFonts w:hint="eastAsia" w:eastAsia="方正仿宋_GBK"/>
          <w:color w:val="000000"/>
          <w:spacing w:val="-2"/>
          <w:sz w:val="24"/>
        </w:rPr>
        <w:t>住房公积金管理中心必须建立审贷分离、分级审批的贷款管理制度，建立和健全贷款工作岗位责任制，完善贷款档案管理制度，改进业务信息系统，保证贷款档案的连续和完整。要建立健全贷后跟踪管理制度和体系，加强贷后还款的适时综合分析，建立贷后预警、提示、催还等机制，及时防范和化解贷款风险。</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四、关于住房公积金委托商业银行承办的几个具体问题</w:t>
      </w:r>
    </w:p>
    <w:p>
      <w:pPr>
        <w:spacing w:line="460" w:lineRule="exact"/>
        <w:ind w:firstLine="472" w:firstLineChars="200"/>
        <w:rPr>
          <w:rFonts w:hint="eastAsia"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一</w:t>
      </w:r>
      <w:r>
        <w:rPr>
          <w:rFonts w:eastAsia="方正仿宋_GBK"/>
          <w:color w:val="000000"/>
          <w:spacing w:val="-2"/>
          <w:sz w:val="24"/>
        </w:rPr>
        <w:t>)</w:t>
      </w:r>
      <w:r>
        <w:rPr>
          <w:rFonts w:hint="eastAsia" w:eastAsia="方正仿宋_GBK"/>
          <w:color w:val="000000"/>
          <w:spacing w:val="-2"/>
          <w:sz w:val="24"/>
        </w:rPr>
        <w:t>商业银行承办住房公积金贷款、结算等金融业务和住房公积金账户的设立、缴存、归还等手续，应向住房公积金管理中心提出申请，经住房公积金管理中心审查后，报住房公积金管理委员会批准。</w:t>
      </w:r>
      <w:r>
        <w:rPr>
          <w:rFonts w:eastAsia="方正仿宋_GBK"/>
          <w:color w:val="000000"/>
          <w:spacing w:val="-2"/>
          <w:sz w:val="24"/>
        </w:rPr>
        <w:t>   </w:t>
      </w:r>
    </w:p>
    <w:p>
      <w:pPr>
        <w:spacing w:line="460" w:lineRule="exact"/>
        <w:ind w:firstLine="472" w:firstLineChars="200"/>
        <w:rPr>
          <w:rFonts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二</w:t>
      </w:r>
      <w:r>
        <w:rPr>
          <w:rFonts w:eastAsia="方正仿宋_GBK"/>
          <w:color w:val="000000"/>
          <w:spacing w:val="-2"/>
          <w:sz w:val="24"/>
        </w:rPr>
        <w:t>)</w:t>
      </w:r>
      <w:r>
        <w:rPr>
          <w:rFonts w:hint="eastAsia" w:eastAsia="方正仿宋_GBK"/>
          <w:color w:val="000000"/>
          <w:spacing w:val="-2"/>
          <w:sz w:val="24"/>
        </w:rPr>
        <w:t>住房公积金管理中心应制定对承办银行的考核办法和标准，根据受托银行办理委托业务的情况，定期进行绩效评价，建立能进能出的竞争机制。受托银行在办理委托业务有重大失误及管理混乱的，住房公积金管理中心应及时暂停委托业务，并向受委托银行提出限期整改的要求。在规定的期限内未整改或整改未达到要求的，住房公积金管理中心应上报住房公积金管理委员会批准，取消其办理公积金委托业务的资格。</w:t>
      </w:r>
    </w:p>
    <w:p>
      <w:pPr>
        <w:spacing w:line="460" w:lineRule="exact"/>
        <w:ind w:firstLine="472" w:firstLineChars="200"/>
        <w:rPr>
          <w:rFonts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三</w:t>
      </w:r>
      <w:r>
        <w:rPr>
          <w:rFonts w:eastAsia="方正仿宋_GBK"/>
          <w:color w:val="000000"/>
          <w:spacing w:val="-2"/>
          <w:sz w:val="24"/>
        </w:rPr>
        <w:t>)</w:t>
      </w:r>
      <w:r>
        <w:rPr>
          <w:rFonts w:hint="eastAsia" w:eastAsia="方正仿宋_GBK"/>
          <w:color w:val="000000"/>
          <w:spacing w:val="-2"/>
          <w:sz w:val="24"/>
        </w:rPr>
        <w:t>承办银行的范围界定，归集业务原则上限定在工、农、中、建、交等国有商业银行，贷款业务可以扩大到条件成熟的全国性股份制商业银行和省辖市所在地城市商业银行。贷款业务承办银行数量不宜扩大过快，经济发达的城市一般应控制在十家以内，其他城市一般应控制在四至六家以内。具体承办银行范围由各市住房公积金管委会根据本地区业务发展情况，按照有关规定确定。</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五、关于住房公积金财务核算问题</w:t>
      </w:r>
    </w:p>
    <w:p>
      <w:pPr>
        <w:spacing w:line="460" w:lineRule="exact"/>
        <w:ind w:firstLine="472" w:firstLineChars="200"/>
        <w:rPr>
          <w:rFonts w:hint="eastAsia"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一</w:t>
      </w:r>
      <w:r>
        <w:rPr>
          <w:rFonts w:eastAsia="方正仿宋_GBK"/>
          <w:color w:val="000000"/>
          <w:spacing w:val="-2"/>
          <w:sz w:val="24"/>
        </w:rPr>
        <w:t>)</w:t>
      </w:r>
      <w:r>
        <w:rPr>
          <w:rFonts w:hint="eastAsia" w:eastAsia="方正仿宋_GBK"/>
          <w:color w:val="000000"/>
          <w:spacing w:val="-2"/>
          <w:sz w:val="24"/>
        </w:rPr>
        <w:t>为加强风险控制与防范，保证住房公积金管理中心具备一定的抗风险能力，各地要建立规范的提取住房公积金贷款风险准备金制度，严格按照有关规定按时、足额提取贷款风险准备金。</w:t>
      </w:r>
    </w:p>
    <w:p>
      <w:pPr>
        <w:spacing w:line="460" w:lineRule="exact"/>
        <w:ind w:firstLine="472" w:firstLineChars="200"/>
        <w:rPr>
          <w:rFonts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二</w:t>
      </w:r>
      <w:r>
        <w:rPr>
          <w:rFonts w:eastAsia="方正仿宋_GBK"/>
          <w:color w:val="000000"/>
          <w:spacing w:val="-2"/>
          <w:sz w:val="24"/>
        </w:rPr>
        <w:t>)</w:t>
      </w:r>
      <w:r>
        <w:rPr>
          <w:rFonts w:hint="eastAsia" w:eastAsia="方正仿宋_GBK"/>
          <w:color w:val="000000"/>
          <w:spacing w:val="-2"/>
          <w:sz w:val="24"/>
        </w:rPr>
        <w:t>住房公积金呆账贷款的核销应遵循审慎原则。各市住房公积金管理中心要会同当地财政部门对</w:t>
      </w:r>
      <w:r>
        <w:rPr>
          <w:rFonts w:eastAsia="方正仿宋_GBK"/>
          <w:color w:val="000000"/>
          <w:spacing w:val="-2"/>
          <w:sz w:val="24"/>
        </w:rPr>
        <w:t>2002</w:t>
      </w:r>
      <w:r>
        <w:rPr>
          <w:rFonts w:hint="eastAsia" w:eastAsia="方正仿宋_GBK"/>
          <w:color w:val="000000"/>
          <w:spacing w:val="-2"/>
          <w:sz w:val="24"/>
        </w:rPr>
        <w:t>年机构调整前的逾期个人住房贷款，进行认真的清理核实，为按照财政部的有关规定进行核销工作做好充分的准备。</w:t>
      </w:r>
    </w:p>
    <w:p>
      <w:pPr>
        <w:spacing w:line="460" w:lineRule="exact"/>
        <w:ind w:firstLine="472" w:firstLineChars="200"/>
        <w:rPr>
          <w:rFonts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三</w:t>
      </w:r>
      <w:r>
        <w:rPr>
          <w:rFonts w:eastAsia="方正仿宋_GBK"/>
          <w:color w:val="000000"/>
          <w:spacing w:val="-2"/>
          <w:sz w:val="24"/>
        </w:rPr>
        <w:t>)</w:t>
      </w:r>
      <w:r>
        <w:rPr>
          <w:rFonts w:hint="eastAsia" w:eastAsia="方正仿宋_GBK"/>
          <w:color w:val="000000"/>
          <w:spacing w:val="-2"/>
          <w:sz w:val="24"/>
        </w:rPr>
        <w:t>住房公积金管理中心在受委托银行专户内的住房公积金沉淀资金，按照单位存款相应期限可以存为定期存款、活期存款、通知存款、协定存款及经中国人民银行批准的其他存款。受委托银行应从技术上解决在同一专户内按不同的期限分段计息的问题，确保住房公积金沉淀资金一律在专户内存储。</w:t>
      </w:r>
    </w:p>
    <w:p>
      <w:pPr>
        <w:spacing w:line="460" w:lineRule="exact"/>
        <w:ind w:firstLine="472" w:firstLineChars="200"/>
        <w:rPr>
          <w:rFonts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四</w:t>
      </w:r>
      <w:r>
        <w:rPr>
          <w:rFonts w:eastAsia="方正仿宋_GBK"/>
          <w:color w:val="000000"/>
          <w:spacing w:val="-2"/>
          <w:sz w:val="24"/>
        </w:rPr>
        <w:t>)</w:t>
      </w:r>
      <w:r>
        <w:rPr>
          <w:rFonts w:hint="eastAsia" w:eastAsia="方正仿宋_GBK"/>
          <w:color w:val="000000"/>
          <w:spacing w:val="-2"/>
          <w:sz w:val="24"/>
        </w:rPr>
        <w:t>住房公积金存款、增值收益存款必须分别专户存储，不得进行合并。</w:t>
      </w:r>
      <w:r>
        <w:rPr>
          <w:rFonts w:eastAsia="方正仿宋_GBK"/>
          <w:color w:val="000000"/>
          <w:spacing w:val="-2"/>
          <w:sz w:val="24"/>
        </w:rPr>
        <w:t>  </w:t>
      </w:r>
    </w:p>
    <w:p>
      <w:pPr>
        <w:spacing w:line="460" w:lineRule="exact"/>
        <w:ind w:firstLine="472" w:firstLineChars="200"/>
        <w:rPr>
          <w:rFonts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五</w:t>
      </w:r>
      <w:r>
        <w:rPr>
          <w:rFonts w:eastAsia="方正仿宋_GBK"/>
          <w:color w:val="000000"/>
          <w:spacing w:val="-2"/>
          <w:sz w:val="24"/>
        </w:rPr>
        <w:t>)</w:t>
      </w:r>
      <w:r>
        <w:rPr>
          <w:rFonts w:hint="eastAsia" w:eastAsia="方正仿宋_GBK"/>
          <w:color w:val="000000"/>
          <w:spacing w:val="-2"/>
          <w:sz w:val="24"/>
        </w:rPr>
        <w:t>在</w:t>
      </w:r>
      <w:r>
        <w:rPr>
          <w:rFonts w:eastAsia="方正仿宋_GBK"/>
          <w:color w:val="000000"/>
          <w:spacing w:val="-2"/>
          <w:sz w:val="24"/>
        </w:rPr>
        <w:t>“</w:t>
      </w:r>
      <w:r>
        <w:rPr>
          <w:rFonts w:hint="eastAsia" w:eastAsia="方正仿宋_GBK"/>
          <w:color w:val="000000"/>
          <w:spacing w:val="-2"/>
          <w:sz w:val="24"/>
        </w:rPr>
        <w:t>业务支出</w:t>
      </w:r>
      <w:r>
        <w:rPr>
          <w:rFonts w:eastAsia="方正仿宋_GBK"/>
          <w:color w:val="000000"/>
          <w:spacing w:val="-2"/>
          <w:sz w:val="24"/>
        </w:rPr>
        <w:t>”</w:t>
      </w:r>
      <w:r>
        <w:rPr>
          <w:rFonts w:hint="eastAsia" w:eastAsia="方正仿宋_GBK"/>
          <w:color w:val="000000"/>
          <w:spacing w:val="-2"/>
          <w:sz w:val="24"/>
        </w:rPr>
        <w:t>的二级明细科目中增加</w:t>
      </w:r>
      <w:r>
        <w:rPr>
          <w:rFonts w:eastAsia="方正仿宋_GBK"/>
          <w:color w:val="000000"/>
          <w:spacing w:val="-2"/>
          <w:sz w:val="24"/>
        </w:rPr>
        <w:t>“</w:t>
      </w:r>
      <w:r>
        <w:rPr>
          <w:rFonts w:hint="eastAsia" w:eastAsia="方正仿宋_GBK"/>
          <w:color w:val="000000"/>
          <w:spacing w:val="-2"/>
          <w:sz w:val="24"/>
        </w:rPr>
        <w:t>网络运行费支出</w:t>
      </w:r>
      <w:r>
        <w:rPr>
          <w:rFonts w:eastAsia="方正仿宋_GBK"/>
          <w:color w:val="000000"/>
          <w:spacing w:val="-2"/>
          <w:sz w:val="24"/>
        </w:rPr>
        <w:t>”</w:t>
      </w:r>
      <w:r>
        <w:rPr>
          <w:rFonts w:hint="eastAsia" w:eastAsia="方正仿宋_GBK"/>
          <w:color w:val="000000"/>
          <w:spacing w:val="-2"/>
          <w:sz w:val="24"/>
        </w:rPr>
        <w:t>、</w:t>
      </w:r>
      <w:r>
        <w:rPr>
          <w:rFonts w:eastAsia="方正仿宋_GBK"/>
          <w:color w:val="000000"/>
          <w:spacing w:val="-2"/>
          <w:sz w:val="24"/>
        </w:rPr>
        <w:t>“</w:t>
      </w:r>
      <w:r>
        <w:rPr>
          <w:rFonts w:hint="eastAsia" w:eastAsia="方正仿宋_GBK"/>
          <w:color w:val="000000"/>
          <w:spacing w:val="-2"/>
          <w:sz w:val="24"/>
        </w:rPr>
        <w:t>宣传费支出</w:t>
      </w:r>
      <w:r>
        <w:rPr>
          <w:rFonts w:eastAsia="方正仿宋_GBK"/>
          <w:color w:val="000000"/>
          <w:spacing w:val="-2"/>
          <w:sz w:val="24"/>
        </w:rPr>
        <w:t>”</w:t>
      </w:r>
      <w:r>
        <w:rPr>
          <w:rFonts w:hint="eastAsia" w:eastAsia="方正仿宋_GBK"/>
          <w:color w:val="000000"/>
          <w:spacing w:val="-2"/>
          <w:sz w:val="24"/>
        </w:rPr>
        <w:t>、</w:t>
      </w:r>
      <w:r>
        <w:rPr>
          <w:rFonts w:eastAsia="方正仿宋_GBK"/>
          <w:color w:val="000000"/>
          <w:spacing w:val="-2"/>
          <w:sz w:val="24"/>
        </w:rPr>
        <w:t>“</w:t>
      </w:r>
      <w:r>
        <w:rPr>
          <w:rFonts w:hint="eastAsia" w:eastAsia="方正仿宋_GBK"/>
          <w:color w:val="000000"/>
          <w:spacing w:val="-2"/>
          <w:sz w:val="24"/>
        </w:rPr>
        <w:t>票据印刷费支出</w:t>
      </w:r>
      <w:r>
        <w:rPr>
          <w:rFonts w:eastAsia="方正仿宋_GBK"/>
          <w:color w:val="000000"/>
          <w:spacing w:val="-2"/>
          <w:sz w:val="24"/>
        </w:rPr>
        <w:t>”</w:t>
      </w:r>
      <w:r>
        <w:rPr>
          <w:rFonts w:hint="eastAsia" w:eastAsia="方正仿宋_GBK"/>
          <w:color w:val="000000"/>
          <w:spacing w:val="-2"/>
          <w:sz w:val="24"/>
        </w:rPr>
        <w:t>、</w:t>
      </w:r>
      <w:r>
        <w:rPr>
          <w:rFonts w:eastAsia="方正仿宋_GBK"/>
          <w:color w:val="000000"/>
          <w:spacing w:val="-2"/>
          <w:sz w:val="24"/>
        </w:rPr>
        <w:t>“</w:t>
      </w:r>
      <w:r>
        <w:rPr>
          <w:rFonts w:hint="eastAsia" w:eastAsia="方正仿宋_GBK"/>
          <w:color w:val="000000"/>
          <w:spacing w:val="-2"/>
          <w:sz w:val="24"/>
        </w:rPr>
        <w:t>设备更新维护费支出，和</w:t>
      </w:r>
      <w:r>
        <w:rPr>
          <w:rFonts w:eastAsia="方正仿宋_GBK"/>
          <w:color w:val="000000"/>
          <w:spacing w:val="-2"/>
          <w:sz w:val="24"/>
        </w:rPr>
        <w:t>“</w:t>
      </w:r>
      <w:r>
        <w:rPr>
          <w:rFonts w:hint="eastAsia" w:eastAsia="方正仿宋_GBK"/>
          <w:color w:val="000000"/>
          <w:spacing w:val="-2"/>
          <w:sz w:val="24"/>
        </w:rPr>
        <w:t>诉讼费支出</w:t>
      </w:r>
      <w:r>
        <w:rPr>
          <w:rFonts w:eastAsia="方正仿宋_GBK"/>
          <w:color w:val="000000"/>
          <w:spacing w:val="-2"/>
          <w:sz w:val="24"/>
        </w:rPr>
        <w:t>”</w:t>
      </w:r>
      <w:r>
        <w:rPr>
          <w:rFonts w:hint="eastAsia" w:eastAsia="方正仿宋_GBK"/>
          <w:color w:val="000000"/>
          <w:spacing w:val="-2"/>
          <w:sz w:val="24"/>
        </w:rPr>
        <w:t>等科目，详细准确地反映住房公积金业务支出信息。</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六、关于住房公积金资金安全保障问题</w:t>
      </w:r>
    </w:p>
    <w:p>
      <w:pPr>
        <w:spacing w:line="460" w:lineRule="exact"/>
        <w:ind w:firstLine="472" w:firstLineChars="200"/>
        <w:rPr>
          <w:rFonts w:hint="eastAsia"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一</w:t>
      </w:r>
      <w:r>
        <w:rPr>
          <w:rFonts w:eastAsia="方正仿宋_GBK"/>
          <w:color w:val="000000"/>
          <w:spacing w:val="-2"/>
          <w:sz w:val="24"/>
        </w:rPr>
        <w:t>)</w:t>
      </w:r>
      <w:r>
        <w:rPr>
          <w:rFonts w:hint="eastAsia" w:eastAsia="方正仿宋_GBK"/>
          <w:color w:val="000000"/>
          <w:spacing w:val="-2"/>
          <w:sz w:val="24"/>
        </w:rPr>
        <w:t>各地要严格按照《关于规范住房公积金国债业务有关问题的通知》</w:t>
      </w:r>
      <w:r>
        <w:rPr>
          <w:rFonts w:eastAsia="方正仿宋_GBK"/>
          <w:color w:val="000000"/>
          <w:spacing w:val="-2"/>
          <w:sz w:val="24"/>
        </w:rPr>
        <w:t>(</w:t>
      </w:r>
      <w:r>
        <w:rPr>
          <w:rFonts w:hint="eastAsia" w:eastAsia="方正仿宋_GBK"/>
          <w:color w:val="000000"/>
          <w:spacing w:val="-2"/>
          <w:sz w:val="24"/>
        </w:rPr>
        <w:t>苏建金管〔</w:t>
      </w:r>
      <w:r>
        <w:rPr>
          <w:rFonts w:eastAsia="方正仿宋_GBK"/>
          <w:color w:val="000000"/>
          <w:spacing w:val="-2"/>
          <w:sz w:val="24"/>
        </w:rPr>
        <w:t>2004</w:t>
      </w:r>
      <w:r>
        <w:rPr>
          <w:rFonts w:hint="eastAsia" w:eastAsia="方正仿宋_GBK"/>
          <w:color w:val="000000"/>
          <w:spacing w:val="-2"/>
          <w:sz w:val="24"/>
        </w:rPr>
        <w:t>〕</w:t>
      </w:r>
      <w:r>
        <w:rPr>
          <w:rFonts w:eastAsia="方正仿宋_GBK"/>
          <w:color w:val="000000"/>
          <w:spacing w:val="-2"/>
          <w:sz w:val="24"/>
        </w:rPr>
        <w:t>337</w:t>
      </w:r>
      <w:r>
        <w:rPr>
          <w:rFonts w:hint="eastAsia" w:eastAsia="方正仿宋_GBK"/>
          <w:color w:val="000000"/>
          <w:spacing w:val="-2"/>
          <w:sz w:val="24"/>
        </w:rPr>
        <w:t>号</w:t>
      </w:r>
      <w:r>
        <w:rPr>
          <w:rFonts w:eastAsia="方正仿宋_GBK"/>
          <w:color w:val="000000"/>
          <w:spacing w:val="-2"/>
          <w:sz w:val="24"/>
        </w:rPr>
        <w:t>)</w:t>
      </w:r>
      <w:r>
        <w:rPr>
          <w:rFonts w:hint="eastAsia" w:eastAsia="方正仿宋_GBK"/>
          <w:color w:val="000000"/>
          <w:spacing w:val="-2"/>
          <w:sz w:val="24"/>
        </w:rPr>
        <w:t>，加强对国债业务管理。在没有新的规定之前，任何单位不得在证券交易所债券市场购买国债，不得购买企业债券，禁止任何方式的委托理财。对已经发生风险的国债要想方设法化解风险，争取最大限度地减少损失。</w:t>
      </w:r>
    </w:p>
    <w:p>
      <w:pPr>
        <w:spacing w:line="460" w:lineRule="exact"/>
        <w:ind w:firstLine="472" w:firstLineChars="200"/>
        <w:rPr>
          <w:rFonts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二</w:t>
      </w:r>
      <w:r>
        <w:rPr>
          <w:rFonts w:eastAsia="方正仿宋_GBK"/>
          <w:color w:val="000000"/>
          <w:spacing w:val="-2"/>
          <w:sz w:val="24"/>
        </w:rPr>
        <w:t>)</w:t>
      </w:r>
      <w:r>
        <w:rPr>
          <w:rFonts w:hint="eastAsia" w:eastAsia="方正仿宋_GBK"/>
          <w:color w:val="000000"/>
          <w:spacing w:val="-2"/>
          <w:sz w:val="24"/>
        </w:rPr>
        <w:t>各地要采取积极措施，继续加大对机构调整前发生的挤占挪用款和项目贷款的清理回收力度，加大抵押资产的变现力度。对清收不力，造成资金严重损失的，要追究当事人的责任。对机构调整后新发生挤占挪用的任何单位和个人，要及时查处。决不允许出现新的挤占挪用。</w:t>
      </w:r>
    </w:p>
    <w:p>
      <w:pPr>
        <w:spacing w:line="460" w:lineRule="exact"/>
        <w:ind w:firstLine="472" w:firstLineChars="200"/>
        <w:rPr>
          <w:rFonts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三</w:t>
      </w:r>
      <w:r>
        <w:rPr>
          <w:rFonts w:eastAsia="方正仿宋_GBK"/>
          <w:color w:val="000000"/>
          <w:spacing w:val="-2"/>
          <w:sz w:val="24"/>
        </w:rPr>
        <w:t>)</w:t>
      </w:r>
      <w:r>
        <w:rPr>
          <w:rFonts w:hint="eastAsia" w:eastAsia="方正仿宋_GBK"/>
          <w:color w:val="000000"/>
          <w:spacing w:val="-2"/>
          <w:sz w:val="24"/>
        </w:rPr>
        <w:t>住房公积金管理中心应当加强住房公积金业务信息系统建设，在方便职工、单位办珲住房公积金业务的同时，努力提高管理水平，切实加强适时监督。住房公积金管理中心和受托银行应当对住房公积金信息及时备份，保障住房公积金信息安全和住房公积金业务的正常开展。</w:t>
      </w:r>
    </w:p>
    <w:p>
      <w:pPr>
        <w:spacing w:line="460" w:lineRule="exact"/>
        <w:ind w:firstLine="472" w:firstLineChars="200"/>
        <w:rPr>
          <w:rFonts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四</w:t>
      </w:r>
      <w:r>
        <w:rPr>
          <w:rFonts w:eastAsia="方正仿宋_GBK"/>
          <w:color w:val="000000"/>
          <w:spacing w:val="-2"/>
          <w:sz w:val="24"/>
        </w:rPr>
        <w:t>)</w:t>
      </w:r>
      <w:r>
        <w:rPr>
          <w:rFonts w:hint="eastAsia" w:eastAsia="方正仿宋_GBK"/>
          <w:color w:val="000000"/>
          <w:spacing w:val="-2"/>
          <w:sz w:val="24"/>
        </w:rPr>
        <w:t>住房公积金管理中心必须加强内部控制制度建设。建立财务核算与内部审计交叉复核等制度，进一步加大内部审计力度。</w:t>
      </w:r>
    </w:p>
    <w:p>
      <w:pPr>
        <w:spacing w:line="460" w:lineRule="exact"/>
        <w:ind w:firstLine="472" w:firstLineChars="200"/>
        <w:rPr>
          <w:rFonts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五</w:t>
      </w:r>
      <w:r>
        <w:rPr>
          <w:rFonts w:eastAsia="方正仿宋_GBK"/>
          <w:color w:val="000000"/>
          <w:spacing w:val="-2"/>
          <w:sz w:val="24"/>
        </w:rPr>
        <w:t>)</w:t>
      </w:r>
      <w:r>
        <w:rPr>
          <w:rFonts w:hint="eastAsia" w:eastAsia="方正仿宋_GBK"/>
          <w:color w:val="000000"/>
          <w:spacing w:val="-2"/>
          <w:sz w:val="24"/>
        </w:rPr>
        <w:t>各地要切实加强对分支机构的授权管理，严格授权范围，授权委托书应报省建设厅监管办备案。</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七、关于加强住房公积金监督管理问题</w:t>
      </w:r>
    </w:p>
    <w:p>
      <w:pPr>
        <w:spacing w:line="460" w:lineRule="exact"/>
        <w:ind w:firstLine="472" w:firstLineChars="200"/>
        <w:rPr>
          <w:rFonts w:hint="eastAsia"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一</w:t>
      </w:r>
      <w:r>
        <w:rPr>
          <w:rFonts w:eastAsia="方正仿宋_GBK"/>
          <w:color w:val="000000"/>
          <w:spacing w:val="-2"/>
          <w:sz w:val="24"/>
        </w:rPr>
        <w:t>)</w:t>
      </w:r>
      <w:r>
        <w:rPr>
          <w:rFonts w:hint="eastAsia" w:eastAsia="方正仿宋_GBK"/>
          <w:color w:val="000000"/>
          <w:spacing w:val="-2"/>
          <w:sz w:val="24"/>
        </w:rPr>
        <w:t>各市财政部门要加强对住房公积金管理的监督，进一步帮助解决各市住房公积金管理中心在管理和业务运行中出现的新情况、新问题，支持和保证各市住房公积金管理机构及时解决归集、个贷、宣传、信息系统建设、防范风险等工作中遇到的困难。</w:t>
      </w:r>
    </w:p>
    <w:p>
      <w:pPr>
        <w:spacing w:line="460" w:lineRule="exact"/>
        <w:ind w:firstLine="472" w:firstLineChars="200"/>
        <w:rPr>
          <w:rFonts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二</w:t>
      </w:r>
      <w:r>
        <w:rPr>
          <w:rFonts w:eastAsia="方正仿宋_GBK"/>
          <w:color w:val="000000"/>
          <w:spacing w:val="-2"/>
          <w:sz w:val="24"/>
        </w:rPr>
        <w:t>)</w:t>
      </w:r>
      <w:r>
        <w:rPr>
          <w:rFonts w:hint="eastAsia" w:eastAsia="方正仿宋_GBK"/>
          <w:color w:val="000000"/>
          <w:spacing w:val="-2"/>
          <w:sz w:val="24"/>
        </w:rPr>
        <w:t>根据苏政办发〔</w:t>
      </w:r>
      <w:r>
        <w:rPr>
          <w:rFonts w:eastAsia="方正仿宋_GBK"/>
          <w:color w:val="000000"/>
          <w:spacing w:val="-2"/>
          <w:sz w:val="24"/>
        </w:rPr>
        <w:t>2000</w:t>
      </w:r>
      <w:r>
        <w:rPr>
          <w:rFonts w:hint="eastAsia" w:eastAsia="方正仿宋_GBK"/>
          <w:color w:val="000000"/>
          <w:spacing w:val="-2"/>
          <w:sz w:val="24"/>
        </w:rPr>
        <w:t>〕</w:t>
      </w:r>
      <w:r>
        <w:rPr>
          <w:rFonts w:eastAsia="方正仿宋_GBK"/>
          <w:color w:val="000000"/>
          <w:spacing w:val="-2"/>
          <w:sz w:val="24"/>
        </w:rPr>
        <w:t>54</w:t>
      </w:r>
      <w:r>
        <w:rPr>
          <w:rFonts w:hint="eastAsia" w:eastAsia="方正仿宋_GBK"/>
          <w:color w:val="000000"/>
          <w:spacing w:val="-2"/>
          <w:sz w:val="24"/>
        </w:rPr>
        <w:t>号文件精神，全省所有市、县由财政列支的单位缴存的住房公积金，必须列入当地政府财政预算。</w:t>
      </w:r>
    </w:p>
    <w:p>
      <w:pPr>
        <w:spacing w:line="460" w:lineRule="exact"/>
        <w:ind w:firstLine="472" w:firstLineChars="200"/>
        <w:rPr>
          <w:rFonts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三</w:t>
      </w:r>
      <w:r>
        <w:rPr>
          <w:rFonts w:eastAsia="方正仿宋_GBK"/>
          <w:color w:val="000000"/>
          <w:spacing w:val="-2"/>
          <w:sz w:val="24"/>
        </w:rPr>
        <w:t>)</w:t>
      </w:r>
      <w:r>
        <w:rPr>
          <w:rFonts w:hint="eastAsia" w:eastAsia="方正仿宋_GBK"/>
          <w:color w:val="000000"/>
          <w:spacing w:val="-2"/>
          <w:sz w:val="24"/>
        </w:rPr>
        <w:t>各受托银行要加强对住房公积金存贷款账户的管理。积极配合各地住房公积金管理中心做好防范住房公积金存贷款的风险工作，对超范围使用住房公积金的行为坚决予以制止，并及时向各级银监部门和省建设厅汇报。对违反规定存贷住房公积金、明显超范围使用公积金的行为制止不力，或违规为其提供便利的，将追究承办银行及其当事人的责任，并取消其受托承办住房公积金业务的资格。</w:t>
      </w:r>
    </w:p>
    <w:p>
      <w:pPr>
        <w:spacing w:line="460" w:lineRule="exact"/>
        <w:ind w:firstLine="472" w:firstLineChars="200"/>
        <w:rPr>
          <w:rFonts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四</w:t>
      </w:r>
      <w:r>
        <w:rPr>
          <w:rFonts w:eastAsia="方正仿宋_GBK"/>
          <w:color w:val="000000"/>
          <w:spacing w:val="-2"/>
          <w:sz w:val="24"/>
        </w:rPr>
        <w:t>)</w:t>
      </w:r>
      <w:r>
        <w:rPr>
          <w:rFonts w:hint="eastAsia" w:eastAsia="方正仿宋_GBK"/>
          <w:color w:val="000000"/>
          <w:spacing w:val="-2"/>
          <w:sz w:val="24"/>
        </w:rPr>
        <w:t>省建设厅、省财政厅、中国人民银行南京分行、中国银行业监督管理委员会江苏监管局等省级行政监督部门原则上每年对住房公积金管理中心的贷款质量进行一次现场检查，包括专项检查和常规检查，并对整体工作进行考核。</w:t>
      </w:r>
    </w:p>
    <w:p>
      <w:pPr>
        <w:spacing w:line="460" w:lineRule="exact"/>
        <w:ind w:firstLine="472" w:firstLineChars="200"/>
        <w:rPr>
          <w:rFonts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五</w:t>
      </w:r>
      <w:r>
        <w:rPr>
          <w:rFonts w:eastAsia="方正仿宋_GBK"/>
          <w:color w:val="000000"/>
          <w:spacing w:val="-2"/>
          <w:sz w:val="24"/>
        </w:rPr>
        <w:t>)</w:t>
      </w:r>
      <w:r>
        <w:rPr>
          <w:rFonts w:hint="eastAsia" w:eastAsia="方正仿宋_GBK"/>
          <w:color w:val="000000"/>
          <w:spacing w:val="-2"/>
          <w:sz w:val="24"/>
        </w:rPr>
        <w:t>住房公积金管理中心必须及时为缴存住房公积金的职工发放有效凭证，并在每年住房公积金结算日后</w:t>
      </w:r>
      <w:r>
        <w:rPr>
          <w:rFonts w:eastAsia="方正仿宋_GBK"/>
          <w:color w:val="000000"/>
          <w:spacing w:val="-2"/>
          <w:sz w:val="24"/>
        </w:rPr>
        <w:t>30</w:t>
      </w:r>
      <w:r>
        <w:rPr>
          <w:rFonts w:hint="eastAsia" w:eastAsia="方正仿宋_GBK"/>
          <w:color w:val="000000"/>
          <w:spacing w:val="-2"/>
          <w:sz w:val="24"/>
        </w:rPr>
        <w:t>天内向缴存单位提供对账单。为职工、单位查询本人、本单位的住房公积金缴存、使用情况提供多种方式的查询服务，并向社会公布咨询电话。住房公积金管理中心、受委托银行、缴存单位等相关单位及其工作人员对住房公积金账户信息负有保密责任。</w:t>
      </w:r>
    </w:p>
    <w:p>
      <w:pPr>
        <w:spacing w:line="460" w:lineRule="exact"/>
        <w:ind w:firstLine="472" w:firstLineChars="200"/>
        <w:rPr>
          <w:rFonts w:eastAsia="方正仿宋_GBK"/>
          <w:color w:val="000000"/>
          <w:spacing w:val="-2"/>
          <w:sz w:val="24"/>
        </w:rPr>
      </w:pPr>
      <w:r>
        <w:rPr>
          <w:rFonts w:eastAsia="方正仿宋_GBK"/>
          <w:color w:val="000000"/>
          <w:spacing w:val="-2"/>
          <w:sz w:val="24"/>
        </w:rPr>
        <w:t>(</w:t>
      </w:r>
      <w:r>
        <w:rPr>
          <w:rFonts w:hint="eastAsia" w:eastAsia="方正仿宋_GBK"/>
          <w:color w:val="000000"/>
          <w:spacing w:val="-2"/>
          <w:sz w:val="24"/>
        </w:rPr>
        <w:t>六</w:t>
      </w:r>
      <w:r>
        <w:rPr>
          <w:rFonts w:eastAsia="方正仿宋_GBK"/>
          <w:color w:val="000000"/>
          <w:spacing w:val="-2"/>
          <w:sz w:val="24"/>
        </w:rPr>
        <w:t>)</w:t>
      </w:r>
      <w:r>
        <w:rPr>
          <w:rFonts w:hint="eastAsia" w:eastAsia="方正仿宋_GBK"/>
          <w:color w:val="000000"/>
          <w:spacing w:val="-2"/>
          <w:sz w:val="24"/>
        </w:rPr>
        <w:t>住房公积金管理中心应当在每年</w:t>
      </w:r>
      <w:r>
        <w:rPr>
          <w:rFonts w:eastAsia="方正仿宋_GBK"/>
          <w:color w:val="000000"/>
          <w:spacing w:val="-2"/>
          <w:sz w:val="24"/>
        </w:rPr>
        <w:t>3</w:t>
      </w:r>
      <w:r>
        <w:rPr>
          <w:rFonts w:hint="eastAsia" w:eastAsia="方正仿宋_GBK"/>
          <w:color w:val="000000"/>
          <w:spacing w:val="-2"/>
          <w:sz w:val="24"/>
        </w:rPr>
        <w:t>月底前，向社会公布经市公积金管委会审议的上年度住房公积金年报，包括住房公积金归集和使用的统计信息、运营核算的财务信息和需要说明的情况，接受社会公众监督。</w:t>
      </w:r>
    </w:p>
    <w:p>
      <w:pPr>
        <w:spacing w:line="460" w:lineRule="exact"/>
        <w:rPr>
          <w:rFonts w:eastAsia="方正仿宋_GBK"/>
          <w:color w:val="000000"/>
          <w:spacing w:val="-2"/>
          <w:sz w:val="24"/>
        </w:rPr>
      </w:pPr>
    </w:p>
    <w:p>
      <w:pPr>
        <w:wordWrap w:val="0"/>
        <w:spacing w:line="460" w:lineRule="exact"/>
        <w:jc w:val="right"/>
        <w:rPr>
          <w:rFonts w:eastAsia="方正仿宋_GBK"/>
          <w:color w:val="000000"/>
          <w:spacing w:val="-2"/>
          <w:sz w:val="24"/>
        </w:rPr>
      </w:pPr>
      <w:r>
        <w:rPr>
          <w:rFonts w:hint="eastAsia" w:eastAsia="方正仿宋_GBK"/>
          <w:color w:val="000000"/>
          <w:spacing w:val="96"/>
          <w:kern w:val="0"/>
          <w:sz w:val="24"/>
        </w:rPr>
        <w:t>江苏省建设</w:t>
      </w:r>
      <w:r>
        <w:rPr>
          <w:rFonts w:hint="eastAsia" w:eastAsia="方正仿宋_GBK"/>
          <w:color w:val="000000"/>
          <w:kern w:val="0"/>
          <w:sz w:val="24"/>
        </w:rPr>
        <w:t>厅</w:t>
      </w:r>
      <w:r>
        <w:rPr>
          <w:rFonts w:eastAsia="方正仿宋_GBK"/>
          <w:color w:val="000000"/>
          <w:kern w:val="0"/>
          <w:sz w:val="24"/>
        </w:rPr>
        <w:t xml:space="preserve">    </w:t>
      </w:r>
    </w:p>
    <w:p>
      <w:pPr>
        <w:wordWrap w:val="0"/>
        <w:spacing w:line="460" w:lineRule="exact"/>
        <w:jc w:val="right"/>
        <w:rPr>
          <w:rFonts w:eastAsia="方正仿宋_GBK"/>
          <w:color w:val="000000"/>
          <w:spacing w:val="-2"/>
          <w:sz w:val="24"/>
        </w:rPr>
      </w:pPr>
      <w:r>
        <w:rPr>
          <w:rFonts w:hint="eastAsia" w:eastAsia="方正仿宋_GBK"/>
          <w:color w:val="000000"/>
          <w:spacing w:val="96"/>
          <w:kern w:val="0"/>
          <w:sz w:val="24"/>
        </w:rPr>
        <w:t>江苏省财政</w:t>
      </w:r>
      <w:r>
        <w:rPr>
          <w:rFonts w:hint="eastAsia" w:eastAsia="方正仿宋_GBK"/>
          <w:color w:val="000000"/>
          <w:kern w:val="0"/>
          <w:sz w:val="24"/>
        </w:rPr>
        <w:t>厅</w:t>
      </w:r>
      <w:r>
        <w:rPr>
          <w:rFonts w:eastAsia="方正仿宋_GBK"/>
          <w:color w:val="000000"/>
          <w:kern w:val="0"/>
          <w:sz w:val="24"/>
        </w:rPr>
        <w:t xml:space="preserve">    </w:t>
      </w:r>
    </w:p>
    <w:p>
      <w:pPr>
        <w:wordWrap w:val="0"/>
        <w:spacing w:line="460" w:lineRule="exact"/>
        <w:jc w:val="right"/>
        <w:rPr>
          <w:rFonts w:eastAsia="方正仿宋_GBK"/>
          <w:color w:val="000000"/>
          <w:spacing w:val="-2"/>
          <w:sz w:val="24"/>
        </w:rPr>
      </w:pPr>
      <w:r>
        <w:rPr>
          <w:rFonts w:hint="eastAsia" w:eastAsia="方正仿宋_GBK"/>
          <w:color w:val="000000"/>
          <w:spacing w:val="-2"/>
          <w:sz w:val="24"/>
        </w:rPr>
        <w:t>中国人民银行南京分行</w:t>
      </w:r>
      <w:r>
        <w:rPr>
          <w:rFonts w:eastAsia="方正仿宋_GBK"/>
          <w:color w:val="000000"/>
          <w:spacing w:val="-2"/>
          <w:sz w:val="24"/>
        </w:rPr>
        <w:t xml:space="preserve">    </w:t>
      </w:r>
    </w:p>
    <w:p>
      <w:pPr>
        <w:wordWrap w:val="0"/>
        <w:spacing w:line="460" w:lineRule="exact"/>
        <w:jc w:val="right"/>
        <w:rPr>
          <w:rFonts w:eastAsia="方正仿宋_GBK"/>
          <w:color w:val="000000"/>
          <w:spacing w:val="-2"/>
          <w:sz w:val="24"/>
        </w:rPr>
      </w:pPr>
      <w:r>
        <w:rPr>
          <w:rFonts w:eastAsia="方正仿宋_GBK"/>
          <w:color w:val="000000"/>
          <w:spacing w:val="-2"/>
          <w:sz w:val="24"/>
        </w:rPr>
        <w:t xml:space="preserve">                    </w:t>
      </w:r>
      <w:r>
        <w:rPr>
          <w:rFonts w:hint="eastAsia" w:eastAsia="方正仿宋_GBK"/>
          <w:color w:val="000000"/>
          <w:spacing w:val="-2"/>
          <w:sz w:val="24"/>
        </w:rPr>
        <w:t>二○○五年九月七日</w:t>
      </w:r>
      <w:r>
        <w:rPr>
          <w:rFonts w:eastAsia="方正仿宋_GBK"/>
          <w:color w:val="000000"/>
          <w:spacing w:val="-2"/>
          <w:sz w:val="24"/>
        </w:rPr>
        <w:t xml:space="preserve">     </w:t>
      </w:r>
    </w:p>
    <w:p>
      <w:pPr>
        <w:tabs>
          <w:tab w:val="left" w:pos="676"/>
        </w:tabs>
        <w:jc w:val="left"/>
        <w:rPr>
          <w:color w:val="000000"/>
        </w:rPr>
      </w:pPr>
    </w:p>
    <w:p>
      <w:pPr>
        <w:spacing w:line="460" w:lineRule="exact"/>
        <w:jc w:val="center"/>
        <w:rPr>
          <w:rFonts w:ascii="Times New Roman" w:eastAsia="方正小标宋简体"/>
          <w:color w:val="000000"/>
          <w:sz w:val="36"/>
          <w:szCs w:val="36"/>
        </w:rPr>
      </w:pPr>
      <w:r>
        <w:rPr>
          <w:rFonts w:hint="eastAsia" w:ascii="Times New Roman" w:eastAsia="方正黑体_GBK"/>
          <w:snapToGrid w:val="0"/>
          <w:color w:val="000000"/>
          <w:kern w:val="0"/>
          <w:sz w:val="24"/>
        </w:rPr>
        <w:br w:type="page"/>
      </w:r>
    </w:p>
    <w:p>
      <w:pPr>
        <w:pStyle w:val="2"/>
        <w:spacing w:before="240" w:beforeLines="100" w:after="240" w:afterLines="100" w:line="240" w:lineRule="auto"/>
        <w:jc w:val="center"/>
        <w:rPr>
          <w:rFonts w:hint="eastAsia" w:ascii="Times New Roman" w:eastAsia="方正小标宋_GBK"/>
          <w:b w:val="0"/>
          <w:sz w:val="36"/>
          <w:szCs w:val="36"/>
        </w:rPr>
      </w:pPr>
      <w:bookmarkStart w:id="418" w:name="_Toc18315863"/>
      <w:bookmarkStart w:id="419" w:name="_Toc20726727"/>
      <w:r>
        <w:rPr>
          <w:rFonts w:hint="eastAsia" w:ascii="Times New Roman" w:eastAsia="方正小标宋_GBK"/>
          <w:b w:val="0"/>
          <w:sz w:val="36"/>
          <w:szCs w:val="36"/>
        </w:rPr>
        <w:t>关于调整全省机关事业单位住房公积金缴存比例的通知</w:t>
      </w:r>
      <w:bookmarkEnd w:id="418"/>
      <w:bookmarkEnd w:id="419"/>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420" w:name="_Toc20726728"/>
      <w:bookmarkStart w:id="421" w:name="_Toc18315864"/>
      <w:r>
        <w:rPr>
          <w:rFonts w:hint="eastAsia" w:ascii="Times New Roman" w:hAnsi="Times New Roman" w:eastAsia="方正楷体_GBK"/>
          <w:b w:val="0"/>
          <w:sz w:val="24"/>
          <w:szCs w:val="24"/>
        </w:rPr>
        <w:t>苏建金管〔</w:t>
      </w:r>
      <w:r>
        <w:rPr>
          <w:rFonts w:ascii="Times New Roman" w:hAnsi="Times New Roman" w:eastAsia="方正楷体_GBK"/>
          <w:b w:val="0"/>
          <w:sz w:val="24"/>
          <w:szCs w:val="24"/>
        </w:rPr>
        <w:t>2011</w:t>
      </w:r>
      <w:r>
        <w:rPr>
          <w:rFonts w:hint="eastAsia" w:ascii="Times New Roman" w:hAnsi="Times New Roman" w:eastAsia="方正楷体_GBK"/>
          <w:b w:val="0"/>
          <w:sz w:val="24"/>
          <w:szCs w:val="24"/>
        </w:rPr>
        <w:t>〕</w:t>
      </w:r>
      <w:r>
        <w:rPr>
          <w:rFonts w:ascii="Times New Roman" w:hAnsi="Times New Roman" w:eastAsia="方正楷体_GBK"/>
          <w:b w:val="0"/>
          <w:sz w:val="24"/>
          <w:szCs w:val="24"/>
        </w:rPr>
        <w:t>814</w:t>
      </w:r>
      <w:r>
        <w:rPr>
          <w:rFonts w:hint="eastAsia" w:ascii="Times New Roman" w:hAnsi="Times New Roman" w:eastAsia="方正楷体_GBK"/>
          <w:b w:val="0"/>
          <w:sz w:val="24"/>
          <w:szCs w:val="24"/>
        </w:rPr>
        <w:t>号</w:t>
      </w:r>
      <w:bookmarkEnd w:id="420"/>
      <w:bookmarkEnd w:id="421"/>
    </w:p>
    <w:p>
      <w:pPr>
        <w:spacing w:line="460" w:lineRule="exact"/>
        <w:rPr>
          <w:rFonts w:eastAsia="方正仿宋_GBK"/>
          <w:color w:val="000000"/>
          <w:spacing w:val="-2"/>
          <w:sz w:val="24"/>
        </w:rPr>
      </w:pPr>
      <w:r>
        <w:rPr>
          <w:rFonts w:hint="eastAsia" w:eastAsia="方正仿宋_GBK"/>
          <w:color w:val="000000"/>
          <w:spacing w:val="-2"/>
          <w:sz w:val="24"/>
        </w:rPr>
        <w:t>各市、县人民政府，省各委、办、厅、局，省各直属单位：</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经省政府同意，全省机关事业单位住房公积金单位和职工个人缴存比例分别调整为</w:t>
      </w:r>
      <w:r>
        <w:rPr>
          <w:rFonts w:eastAsia="方正仿宋_GBK"/>
          <w:color w:val="000000"/>
          <w:spacing w:val="-2"/>
          <w:sz w:val="24"/>
        </w:rPr>
        <w:t>12%</w:t>
      </w:r>
      <w:r>
        <w:rPr>
          <w:rFonts w:hint="eastAsia" w:eastAsia="方正仿宋_GBK"/>
          <w:color w:val="000000"/>
          <w:spacing w:val="-2"/>
          <w:sz w:val="24"/>
        </w:rPr>
        <w:t>，自</w:t>
      </w:r>
      <w:r>
        <w:rPr>
          <w:rFonts w:eastAsia="方正仿宋_GBK"/>
          <w:color w:val="000000"/>
          <w:spacing w:val="-2"/>
          <w:sz w:val="24"/>
        </w:rPr>
        <w:t>2011</w:t>
      </w:r>
      <w:r>
        <w:rPr>
          <w:rFonts w:hint="eastAsia" w:eastAsia="方正仿宋_GBK"/>
          <w:color w:val="000000"/>
          <w:spacing w:val="-2"/>
          <w:sz w:val="24"/>
        </w:rPr>
        <w:t>年</w:t>
      </w:r>
      <w:r>
        <w:rPr>
          <w:rFonts w:eastAsia="方正仿宋_GBK"/>
          <w:color w:val="000000"/>
          <w:spacing w:val="-2"/>
          <w:sz w:val="24"/>
        </w:rPr>
        <w:t>7</w:t>
      </w:r>
      <w:r>
        <w:rPr>
          <w:rFonts w:hint="eastAsia" w:eastAsia="方正仿宋_GBK"/>
          <w:color w:val="000000"/>
          <w:spacing w:val="-2"/>
          <w:sz w:val="24"/>
        </w:rPr>
        <w:t>月</w:t>
      </w:r>
      <w:r>
        <w:rPr>
          <w:rFonts w:eastAsia="方正仿宋_GBK"/>
          <w:color w:val="000000"/>
          <w:spacing w:val="-2"/>
          <w:sz w:val="24"/>
        </w:rPr>
        <w:t>1</w:t>
      </w:r>
      <w:r>
        <w:rPr>
          <w:rFonts w:hint="eastAsia" w:eastAsia="方正仿宋_GBK"/>
          <w:color w:val="000000"/>
          <w:spacing w:val="-2"/>
          <w:sz w:val="24"/>
        </w:rPr>
        <w:t>日起执行。</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以上通知，请贯彻执行。</w:t>
      </w:r>
    </w:p>
    <w:p>
      <w:pPr>
        <w:spacing w:line="460" w:lineRule="exact"/>
        <w:ind w:firstLine="472" w:firstLineChars="200"/>
        <w:rPr>
          <w:rFonts w:eastAsia="方正仿宋_GBK"/>
          <w:color w:val="000000"/>
          <w:spacing w:val="-2"/>
          <w:sz w:val="24"/>
        </w:rPr>
      </w:pPr>
    </w:p>
    <w:p>
      <w:pPr>
        <w:wordWrap w:val="0"/>
        <w:spacing w:line="460" w:lineRule="exact"/>
        <w:jc w:val="right"/>
        <w:rPr>
          <w:rFonts w:eastAsia="方正仿宋_GBK"/>
          <w:color w:val="000000"/>
          <w:spacing w:val="-2"/>
          <w:sz w:val="24"/>
        </w:rPr>
      </w:pPr>
      <w:r>
        <w:rPr>
          <w:rFonts w:eastAsia="方正仿宋_GBK"/>
          <w:color w:val="000000"/>
          <w:spacing w:val="-2"/>
          <w:kern w:val="0"/>
          <w:sz w:val="24"/>
        </w:rPr>
        <w:t xml:space="preserve">  </w:t>
      </w:r>
      <w:r>
        <w:rPr>
          <w:rFonts w:eastAsia="方正仿宋_GBK"/>
          <w:color w:val="000000"/>
          <w:spacing w:val="-2"/>
          <w:sz w:val="24"/>
        </w:rPr>
        <w:t xml:space="preserve">                 </w:t>
      </w:r>
      <w:r>
        <w:rPr>
          <w:rFonts w:hint="eastAsia" w:eastAsia="方正仿宋_GBK"/>
          <w:color w:val="000000"/>
          <w:spacing w:val="-2"/>
          <w:sz w:val="24"/>
        </w:rPr>
        <w:t>江苏省住房和城乡建设厅</w:t>
      </w:r>
      <w:r>
        <w:rPr>
          <w:rFonts w:eastAsia="方正仿宋_GBK"/>
          <w:color w:val="000000"/>
          <w:spacing w:val="-2"/>
          <w:sz w:val="24"/>
        </w:rPr>
        <w:t xml:space="preserve">     </w:t>
      </w:r>
    </w:p>
    <w:p>
      <w:pPr>
        <w:wordWrap w:val="0"/>
        <w:spacing w:line="460" w:lineRule="exact"/>
        <w:jc w:val="right"/>
        <w:rPr>
          <w:rFonts w:eastAsia="方正仿宋_GBK"/>
          <w:color w:val="000000"/>
          <w:spacing w:val="-2"/>
          <w:sz w:val="24"/>
        </w:rPr>
      </w:pPr>
      <w:r>
        <w:rPr>
          <w:rFonts w:hint="eastAsia" w:eastAsia="方正仿宋_GBK"/>
          <w:color w:val="000000"/>
          <w:spacing w:val="120"/>
          <w:kern w:val="0"/>
          <w:sz w:val="24"/>
        </w:rPr>
        <w:t>江苏省财政</w:t>
      </w:r>
      <w:r>
        <w:rPr>
          <w:rFonts w:hint="eastAsia" w:eastAsia="方正仿宋_GBK"/>
          <w:color w:val="000000"/>
          <w:kern w:val="0"/>
          <w:sz w:val="24"/>
        </w:rPr>
        <w:t>厅</w:t>
      </w:r>
      <w:r>
        <w:rPr>
          <w:rFonts w:eastAsia="方正仿宋_GBK"/>
          <w:color w:val="000000"/>
          <w:kern w:val="0"/>
          <w:sz w:val="24"/>
        </w:rPr>
        <w:t xml:space="preserve">     </w:t>
      </w:r>
    </w:p>
    <w:p>
      <w:pPr>
        <w:tabs>
          <w:tab w:val="left" w:pos="676"/>
        </w:tabs>
        <w:ind w:firstLine="5451" w:firstLineChars="2310"/>
        <w:jc w:val="left"/>
        <w:rPr>
          <w:rFonts w:eastAsia="方正仿宋_GBK"/>
          <w:color w:val="000000"/>
          <w:spacing w:val="-2"/>
          <w:sz w:val="24"/>
        </w:rPr>
      </w:pPr>
      <w:r>
        <w:rPr>
          <w:rFonts w:hint="eastAsia" w:eastAsia="方正仿宋_GBK"/>
          <w:color w:val="000000"/>
          <w:spacing w:val="-2"/>
          <w:sz w:val="24"/>
        </w:rPr>
        <w:t>二○一一年十二月二十七日</w:t>
      </w:r>
      <w:r>
        <w:rPr>
          <w:rFonts w:eastAsia="方正仿宋_GBK"/>
          <w:color w:val="000000"/>
          <w:spacing w:val="-2"/>
          <w:sz w:val="24"/>
        </w:rPr>
        <w:t xml:space="preserve"> </w:t>
      </w:r>
    </w:p>
    <w:p>
      <w:pPr>
        <w:rPr>
          <w:color w:val="000000"/>
        </w:rPr>
      </w:pPr>
    </w:p>
    <w:p/>
    <w:p/>
    <w:p/>
    <w:p/>
    <w:p/>
    <w:p/>
    <w:p/>
    <w:p/>
    <w:p/>
    <w:p/>
    <w:p/>
    <w:p/>
    <w:p/>
    <w:p/>
    <w:p/>
    <w:p/>
    <w:p/>
    <w:p/>
    <w:p/>
    <w:p/>
    <w:p/>
    <w:p/>
    <w:p/>
    <w:p/>
    <w:p/>
    <w:p>
      <w:pPr>
        <w:pStyle w:val="2"/>
        <w:spacing w:before="240" w:beforeLines="100" w:after="240" w:afterLines="100" w:line="240" w:lineRule="auto"/>
        <w:jc w:val="center"/>
        <w:rPr>
          <w:rFonts w:ascii="Times New Roman" w:eastAsia="方正小标宋_GBK"/>
          <w:b w:val="0"/>
          <w:sz w:val="36"/>
          <w:szCs w:val="36"/>
        </w:rPr>
      </w:pPr>
      <w:r>
        <w:rPr>
          <w:rFonts w:hint="eastAsia" w:ascii="Times New Roman" w:eastAsia="方正小标宋_GBK"/>
          <w:b w:val="0"/>
          <w:sz w:val="36"/>
          <w:szCs w:val="36"/>
        </w:rPr>
        <w:t>关于印发《江苏省城市古树名木养护管理暂行规定》   的通知</w:t>
      </w:r>
    </w:p>
    <w:p>
      <w:pPr>
        <w:pStyle w:val="3"/>
        <w:spacing w:before="240" w:beforeLines="100" w:after="240" w:afterLines="100" w:line="240" w:lineRule="auto"/>
        <w:jc w:val="center"/>
        <w:rPr>
          <w:rFonts w:hint="eastAsia" w:ascii="Times New Roman" w:hAnsi="Times New Roman" w:eastAsia="方正楷体_GBK"/>
          <w:b w:val="0"/>
          <w:sz w:val="24"/>
          <w:szCs w:val="24"/>
        </w:rPr>
      </w:pPr>
      <w:r>
        <w:rPr>
          <w:rFonts w:hint="eastAsia" w:ascii="Times New Roman" w:hAnsi="Times New Roman" w:eastAsia="方正楷体_GBK"/>
          <w:b w:val="0"/>
          <w:sz w:val="24"/>
          <w:szCs w:val="24"/>
        </w:rPr>
        <w:t>苏建园〔</w:t>
      </w:r>
      <w:r>
        <w:rPr>
          <w:rFonts w:ascii="Times New Roman" w:hAnsi="Times New Roman" w:eastAsia="方正楷体_GBK"/>
          <w:b w:val="0"/>
          <w:sz w:val="24"/>
          <w:szCs w:val="24"/>
        </w:rPr>
        <w:t>2000</w:t>
      </w:r>
      <w:r>
        <w:rPr>
          <w:rFonts w:hint="eastAsia" w:ascii="Times New Roman" w:hAnsi="Times New Roman" w:eastAsia="方正楷体_GBK"/>
          <w:b w:val="0"/>
          <w:sz w:val="24"/>
          <w:szCs w:val="24"/>
        </w:rPr>
        <w:t>〕</w:t>
      </w:r>
      <w:r>
        <w:rPr>
          <w:rFonts w:ascii="Times New Roman" w:hAnsi="Times New Roman" w:eastAsia="方正楷体_GBK"/>
          <w:b w:val="0"/>
          <w:sz w:val="24"/>
          <w:szCs w:val="24"/>
        </w:rPr>
        <w:t>320</w:t>
      </w:r>
      <w:r>
        <w:rPr>
          <w:rFonts w:hint="eastAsia" w:ascii="Times New Roman" w:hAnsi="Times New Roman" w:eastAsia="方正楷体_GBK"/>
          <w:b w:val="0"/>
          <w:sz w:val="24"/>
          <w:szCs w:val="24"/>
        </w:rPr>
        <w:t>号</w:t>
      </w:r>
    </w:p>
    <w:p>
      <w:pPr>
        <w:spacing w:line="460" w:lineRule="exact"/>
        <w:rPr>
          <w:rFonts w:eastAsia="方正仿宋_GBK"/>
          <w:color w:val="000000"/>
          <w:spacing w:val="-2"/>
          <w:kern w:val="0"/>
          <w:sz w:val="24"/>
        </w:rPr>
      </w:pPr>
      <w:r>
        <w:rPr>
          <w:rFonts w:hint="eastAsia" w:eastAsia="方正仿宋_GBK"/>
          <w:color w:val="000000"/>
          <w:spacing w:val="-2"/>
          <w:kern w:val="0"/>
          <w:sz w:val="24"/>
        </w:rPr>
        <w:t>各市建委、园林局</w:t>
      </w:r>
      <w:r>
        <w:rPr>
          <w:rFonts w:eastAsia="方正仿宋_GBK"/>
          <w:color w:val="000000"/>
          <w:spacing w:val="-2"/>
          <w:kern w:val="0"/>
          <w:sz w:val="24"/>
        </w:rPr>
        <w:t>(</w:t>
      </w:r>
      <w:r>
        <w:rPr>
          <w:rFonts w:hint="eastAsia" w:eastAsia="方正仿宋_GBK"/>
          <w:color w:val="000000"/>
          <w:spacing w:val="-2"/>
          <w:kern w:val="0"/>
          <w:sz w:val="24"/>
        </w:rPr>
        <w:t>处</w:t>
      </w:r>
      <w:r>
        <w:rPr>
          <w:rFonts w:eastAsia="方正仿宋_GBK"/>
          <w:color w:val="000000"/>
          <w:spacing w:val="-2"/>
          <w:kern w:val="0"/>
          <w:sz w:val="24"/>
        </w:rPr>
        <w:t>)</w:t>
      </w:r>
      <w:r>
        <w:rPr>
          <w:rFonts w:hint="eastAsia" w:eastAsia="方正仿宋_GBK"/>
          <w:color w:val="000000"/>
          <w:spacing w:val="-2"/>
          <w:kern w:val="0"/>
          <w:sz w:val="24"/>
        </w:rPr>
        <w:t>、风景名胜区管理局</w:t>
      </w:r>
      <w:r>
        <w:rPr>
          <w:rFonts w:eastAsia="方正仿宋_GBK"/>
          <w:color w:val="000000"/>
          <w:spacing w:val="-2"/>
          <w:kern w:val="0"/>
          <w:sz w:val="24"/>
        </w:rPr>
        <w:t>(</w:t>
      </w:r>
      <w:r>
        <w:rPr>
          <w:rFonts w:hint="eastAsia" w:eastAsia="方正仿宋_GBK"/>
          <w:color w:val="000000"/>
          <w:spacing w:val="-2"/>
          <w:kern w:val="0"/>
          <w:sz w:val="24"/>
        </w:rPr>
        <w:t>处</w:t>
      </w:r>
      <w:r>
        <w:rPr>
          <w:rFonts w:eastAsia="方正仿宋_GBK"/>
          <w:color w:val="000000"/>
          <w:spacing w:val="-2"/>
          <w:kern w:val="0"/>
          <w:sz w:val="24"/>
        </w:rPr>
        <w:t>)</w:t>
      </w:r>
      <w:r>
        <w:rPr>
          <w:rFonts w:hint="eastAsia" w:eastAsia="方正仿宋_GBK"/>
          <w:color w:val="000000"/>
          <w:spacing w:val="-2"/>
          <w:kern w:val="0"/>
          <w:sz w:val="24"/>
        </w:rPr>
        <w:t>：</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古树名木是大自然留给我们的宝贵财富，是历史的见证和活的文物，也是风景旅游资源的重要组成部分，具有较高的科研、生态、观赏和科普价值。为了加强对我省城市古树名木的养护管理，我厅组织制定了《江苏省城市古树名木养护管理暂行规定》，现印发给你们，请认真贯彻执行。</w:t>
      </w:r>
    </w:p>
    <w:p>
      <w:pPr>
        <w:spacing w:line="460" w:lineRule="exact"/>
        <w:ind w:firstLine="472" w:firstLineChars="200"/>
        <w:rPr>
          <w:rFonts w:eastAsia="方正仿宋_GBK"/>
          <w:color w:val="000000"/>
          <w:spacing w:val="-2"/>
          <w:kern w:val="0"/>
          <w:sz w:val="24"/>
        </w:rPr>
      </w:pP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附件：江苏省城市古树名木养护管理暂行规定</w:t>
      </w:r>
    </w:p>
    <w:p>
      <w:pPr>
        <w:spacing w:line="460" w:lineRule="exact"/>
        <w:ind w:firstLine="472" w:firstLineChars="200"/>
        <w:rPr>
          <w:rFonts w:eastAsia="方正仿宋_GBK"/>
          <w:color w:val="000000"/>
          <w:spacing w:val="-2"/>
          <w:kern w:val="0"/>
          <w:sz w:val="24"/>
        </w:rPr>
      </w:pPr>
      <w:r>
        <w:rPr>
          <w:rFonts w:eastAsia="方正仿宋_GBK"/>
          <w:color w:val="000000"/>
          <w:spacing w:val="-2"/>
          <w:kern w:val="0"/>
          <w:sz w:val="24"/>
        </w:rPr>
        <w:t> </w:t>
      </w:r>
    </w:p>
    <w:p>
      <w:pPr>
        <w:wordWrap w:val="0"/>
        <w:spacing w:line="460" w:lineRule="exact"/>
        <w:ind w:firstLine="472" w:firstLineChars="200"/>
        <w:jc w:val="right"/>
        <w:rPr>
          <w:rFonts w:eastAsia="方正仿宋_GBK"/>
          <w:color w:val="000000"/>
          <w:spacing w:val="-2"/>
          <w:kern w:val="0"/>
          <w:sz w:val="24"/>
        </w:rPr>
      </w:pPr>
      <w:r>
        <w:rPr>
          <w:rFonts w:eastAsia="方正仿宋_GBK"/>
          <w:color w:val="000000"/>
          <w:spacing w:val="-2"/>
          <w:kern w:val="0"/>
          <w:sz w:val="24"/>
        </w:rPr>
        <w:t>                </w:t>
      </w:r>
      <w:r>
        <w:rPr>
          <w:rFonts w:hint="eastAsia" w:eastAsia="方正仿宋_GBK"/>
          <w:color w:val="000000"/>
          <w:spacing w:val="-2"/>
          <w:kern w:val="0"/>
          <w:sz w:val="24"/>
        </w:rPr>
        <w:t>江苏省住房和城乡建设厅</w:t>
      </w:r>
      <w:r>
        <w:rPr>
          <w:rFonts w:eastAsia="方正仿宋_GBK"/>
          <w:color w:val="000000"/>
          <w:spacing w:val="-2"/>
          <w:kern w:val="0"/>
          <w:sz w:val="24"/>
        </w:rPr>
        <w:t xml:space="preserve">    </w:t>
      </w:r>
    </w:p>
    <w:p>
      <w:pPr>
        <w:wordWrap w:val="0"/>
        <w:spacing w:line="460" w:lineRule="exact"/>
        <w:ind w:firstLine="472" w:firstLineChars="200"/>
        <w:jc w:val="right"/>
        <w:rPr>
          <w:rFonts w:eastAsia="方正仿宋_GBK"/>
          <w:color w:val="000000"/>
          <w:spacing w:val="-2"/>
          <w:kern w:val="0"/>
          <w:sz w:val="24"/>
        </w:rPr>
      </w:pPr>
      <w:r>
        <w:rPr>
          <w:rFonts w:hint="eastAsia" w:eastAsia="方正仿宋_GBK"/>
          <w:color w:val="000000"/>
          <w:spacing w:val="-2"/>
          <w:kern w:val="0"/>
          <w:sz w:val="24"/>
        </w:rPr>
        <w:t>二</w:t>
      </w:r>
      <w:r>
        <w:rPr>
          <w:rFonts w:hint="eastAsia" w:eastAsia="方正仿宋_GBK"/>
          <w:color w:val="000000"/>
          <w:spacing w:val="-2"/>
          <w:sz w:val="24"/>
        </w:rPr>
        <w:t>○○○</w:t>
      </w:r>
      <w:r>
        <w:rPr>
          <w:rFonts w:hint="eastAsia" w:eastAsia="方正仿宋_GBK"/>
          <w:color w:val="000000"/>
          <w:spacing w:val="-2"/>
          <w:kern w:val="0"/>
          <w:sz w:val="24"/>
        </w:rPr>
        <w:t>年九月五日</w:t>
      </w:r>
      <w:r>
        <w:rPr>
          <w:rFonts w:eastAsia="方正仿宋_GBK"/>
          <w:color w:val="000000"/>
          <w:spacing w:val="-2"/>
          <w:kern w:val="0"/>
          <w:sz w:val="24"/>
        </w:rPr>
        <w:t xml:space="preserve">      </w:t>
      </w:r>
    </w:p>
    <w:p>
      <w:pPr>
        <w:spacing w:line="460" w:lineRule="exact"/>
        <w:ind w:firstLine="472" w:firstLineChars="200"/>
        <w:rPr>
          <w:rFonts w:eastAsia="方正仿宋_GBK"/>
          <w:color w:val="000000"/>
          <w:spacing w:val="-2"/>
          <w:kern w:val="0"/>
          <w:sz w:val="24"/>
        </w:rPr>
      </w:pPr>
      <w:r>
        <w:rPr>
          <w:rFonts w:eastAsia="方正仿宋_GBK"/>
          <w:color w:val="000000"/>
          <w:spacing w:val="-2"/>
          <w:kern w:val="0"/>
          <w:sz w:val="24"/>
        </w:rPr>
        <w:t>  </w:t>
      </w:r>
    </w:p>
    <w:p>
      <w:pPr>
        <w:spacing w:line="460" w:lineRule="exact"/>
        <w:ind w:firstLine="472" w:firstLineChars="200"/>
        <w:rPr>
          <w:rFonts w:eastAsia="方正仿宋_GBK"/>
          <w:color w:val="000000"/>
          <w:spacing w:val="-2"/>
          <w:kern w:val="0"/>
          <w:sz w:val="24"/>
        </w:rPr>
      </w:pPr>
    </w:p>
    <w:p>
      <w:pPr>
        <w:spacing w:line="460" w:lineRule="exact"/>
        <w:jc w:val="center"/>
        <w:rPr>
          <w:rFonts w:ascii="Times New Roman" w:eastAsia="方正黑体_GBK"/>
          <w:color w:val="000000"/>
          <w:spacing w:val="-2"/>
          <w:kern w:val="0"/>
          <w:sz w:val="36"/>
          <w:szCs w:val="36"/>
        </w:rPr>
      </w:pPr>
      <w:r>
        <w:rPr>
          <w:rFonts w:hint="eastAsia" w:ascii="Times New Roman" w:eastAsia="方正黑体_GBK"/>
          <w:color w:val="000000"/>
          <w:spacing w:val="-2"/>
          <w:kern w:val="0"/>
          <w:sz w:val="36"/>
          <w:szCs w:val="36"/>
        </w:rPr>
        <w:t>江苏省城市古树名木养护管理暂行规定</w:t>
      </w:r>
    </w:p>
    <w:p>
      <w:pPr>
        <w:spacing w:line="460" w:lineRule="exact"/>
        <w:rPr>
          <w:rFonts w:hint="eastAsia" w:eastAsia="方正仿宋_GBK"/>
          <w:color w:val="000000"/>
          <w:spacing w:val="-2"/>
          <w:kern w:val="0"/>
          <w:sz w:val="24"/>
        </w:rPr>
      </w:pPr>
    </w:p>
    <w:p>
      <w:pPr>
        <w:spacing w:line="460" w:lineRule="exact"/>
        <w:jc w:val="center"/>
        <w:rPr>
          <w:rFonts w:ascii="Times New Roman" w:eastAsia="方正黑体_GBK"/>
          <w:color w:val="000000"/>
          <w:spacing w:val="-2"/>
          <w:kern w:val="0"/>
          <w:sz w:val="24"/>
        </w:rPr>
      </w:pPr>
      <w:r>
        <w:rPr>
          <w:rFonts w:hint="eastAsia" w:ascii="Times New Roman" w:eastAsia="方正黑体_GBK"/>
          <w:color w:val="000000"/>
          <w:spacing w:val="-2"/>
          <w:kern w:val="0"/>
          <w:sz w:val="24"/>
        </w:rPr>
        <w:t>第一章</w:t>
      </w:r>
      <w:r>
        <w:rPr>
          <w:rFonts w:eastAsia="方正黑体_GBK"/>
          <w:color w:val="000000"/>
          <w:spacing w:val="-2"/>
          <w:kern w:val="0"/>
          <w:sz w:val="24"/>
        </w:rPr>
        <w:t> </w:t>
      </w:r>
      <w:r>
        <w:rPr>
          <w:rFonts w:hint="eastAsia" w:ascii="Times New Roman" w:eastAsia="方正黑体_GBK"/>
          <w:color w:val="000000"/>
          <w:spacing w:val="-2"/>
          <w:kern w:val="0"/>
          <w:sz w:val="24"/>
        </w:rPr>
        <w:t xml:space="preserve"> 总   则</w:t>
      </w:r>
    </w:p>
    <w:p>
      <w:pPr>
        <w:spacing w:line="460" w:lineRule="exact"/>
        <w:ind w:firstLine="472" w:firstLineChars="200"/>
        <w:rPr>
          <w:rFonts w:hint="eastAsia" w:eastAsia="方正仿宋_GBK"/>
          <w:color w:val="000000"/>
          <w:spacing w:val="-2"/>
          <w:kern w:val="0"/>
          <w:sz w:val="24"/>
        </w:rPr>
      </w:pPr>
    </w:p>
    <w:p>
      <w:pPr>
        <w:spacing w:line="460" w:lineRule="exact"/>
        <w:ind w:firstLine="472" w:firstLineChars="200"/>
        <w:rPr>
          <w:rFonts w:eastAsia="方正仿宋_GBK"/>
          <w:color w:val="000000"/>
          <w:spacing w:val="-2"/>
          <w:kern w:val="0"/>
          <w:sz w:val="24"/>
        </w:rPr>
      </w:pPr>
      <w:r>
        <w:rPr>
          <w:rFonts w:hint="eastAsia" w:ascii="Times New Roman" w:eastAsia="方正黑体_GBK"/>
          <w:color w:val="000000"/>
          <w:spacing w:val="-2"/>
          <w:kern w:val="0"/>
          <w:sz w:val="24"/>
        </w:rPr>
        <w:t>第一条</w:t>
      </w:r>
      <w:r>
        <w:rPr>
          <w:rFonts w:eastAsia="方正黑体_GBK"/>
          <w:color w:val="000000"/>
          <w:spacing w:val="-2"/>
          <w:kern w:val="0"/>
          <w:sz w:val="24"/>
        </w:rPr>
        <w:t> </w:t>
      </w:r>
      <w:r>
        <w:rPr>
          <w:rFonts w:eastAsia="方正仿宋_GBK"/>
          <w:color w:val="000000"/>
          <w:spacing w:val="-2"/>
          <w:kern w:val="0"/>
          <w:sz w:val="24"/>
        </w:rPr>
        <w:t xml:space="preserve"> </w:t>
      </w:r>
      <w:r>
        <w:rPr>
          <w:rFonts w:hint="eastAsia" w:eastAsia="方正仿宋_GBK"/>
          <w:color w:val="000000"/>
          <w:spacing w:val="-2"/>
          <w:kern w:val="0"/>
          <w:sz w:val="24"/>
        </w:rPr>
        <w:t>古树名木是历史的见证，活的文物，也是风景旅游资源的重要组成部分，具有极高的科研、生态、观赏和科普价值。做好古树名木的保护工作是全社会长期的重要的工作。根据《江苏省城市绿化管理条例》、《建设部关于加强古树名木保护和管理的通知》</w:t>
      </w:r>
      <w:r>
        <w:rPr>
          <w:rFonts w:eastAsia="方正仿宋_GBK"/>
          <w:color w:val="000000"/>
          <w:spacing w:val="-2"/>
          <w:kern w:val="0"/>
          <w:sz w:val="24"/>
        </w:rPr>
        <w:t>(</w:t>
      </w:r>
      <w:r>
        <w:rPr>
          <w:rFonts w:hint="eastAsia" w:eastAsia="方正仿宋_GBK"/>
          <w:color w:val="000000"/>
          <w:spacing w:val="-2"/>
          <w:kern w:val="0"/>
          <w:sz w:val="24"/>
        </w:rPr>
        <w:t>建城〈</w:t>
      </w:r>
      <w:r>
        <w:rPr>
          <w:rFonts w:eastAsia="方正仿宋_GBK"/>
          <w:color w:val="000000"/>
          <w:spacing w:val="-2"/>
          <w:kern w:val="0"/>
          <w:sz w:val="24"/>
        </w:rPr>
        <w:t>1991</w:t>
      </w:r>
      <w:r>
        <w:rPr>
          <w:rFonts w:hint="eastAsia" w:eastAsia="方正仿宋_GBK"/>
          <w:color w:val="000000"/>
          <w:spacing w:val="-2"/>
          <w:kern w:val="0"/>
          <w:sz w:val="24"/>
        </w:rPr>
        <w:t>〉</w:t>
      </w:r>
      <w:r>
        <w:rPr>
          <w:rFonts w:eastAsia="方正仿宋_GBK"/>
          <w:color w:val="000000"/>
          <w:spacing w:val="-2"/>
          <w:kern w:val="0"/>
          <w:sz w:val="24"/>
        </w:rPr>
        <w:t>193</w:t>
      </w:r>
      <w:r>
        <w:rPr>
          <w:rFonts w:hint="eastAsia" w:eastAsia="方正仿宋_GBK"/>
          <w:color w:val="000000"/>
          <w:spacing w:val="-2"/>
          <w:kern w:val="0"/>
          <w:sz w:val="24"/>
        </w:rPr>
        <w:t>号</w:t>
      </w:r>
      <w:r>
        <w:rPr>
          <w:rFonts w:eastAsia="方正仿宋_GBK"/>
          <w:color w:val="000000"/>
          <w:spacing w:val="-2"/>
          <w:kern w:val="0"/>
          <w:sz w:val="24"/>
        </w:rPr>
        <w:t>)</w:t>
      </w:r>
      <w:r>
        <w:rPr>
          <w:rFonts w:hint="eastAsia" w:eastAsia="方正仿宋_GBK"/>
          <w:color w:val="000000"/>
          <w:spacing w:val="-2"/>
          <w:kern w:val="0"/>
          <w:sz w:val="24"/>
        </w:rPr>
        <w:t>制定本规定。</w:t>
      </w:r>
    </w:p>
    <w:p>
      <w:pPr>
        <w:spacing w:line="460" w:lineRule="exact"/>
        <w:ind w:firstLine="472" w:firstLineChars="200"/>
        <w:rPr>
          <w:rFonts w:eastAsia="方正仿宋_GBK"/>
          <w:color w:val="000000"/>
          <w:spacing w:val="-2"/>
          <w:kern w:val="0"/>
          <w:sz w:val="24"/>
        </w:rPr>
      </w:pPr>
      <w:r>
        <w:rPr>
          <w:rFonts w:hint="eastAsia" w:ascii="Times New Roman" w:eastAsia="方正黑体_GBK"/>
          <w:color w:val="000000"/>
          <w:spacing w:val="-2"/>
          <w:kern w:val="0"/>
          <w:sz w:val="24"/>
        </w:rPr>
        <w:t>第二条</w:t>
      </w:r>
      <w:r>
        <w:rPr>
          <w:rFonts w:eastAsia="方正仿宋_GBK"/>
          <w:color w:val="000000"/>
          <w:spacing w:val="-2"/>
          <w:kern w:val="0"/>
          <w:sz w:val="24"/>
        </w:rPr>
        <w:t xml:space="preserve">  </w:t>
      </w:r>
      <w:r>
        <w:rPr>
          <w:rFonts w:hint="eastAsia" w:eastAsia="方正仿宋_GBK"/>
          <w:color w:val="000000"/>
          <w:spacing w:val="-2"/>
          <w:kern w:val="0"/>
          <w:sz w:val="24"/>
        </w:rPr>
        <w:t>各地城市建设</w:t>
      </w:r>
      <w:r>
        <w:rPr>
          <w:rFonts w:eastAsia="方正仿宋_GBK"/>
          <w:color w:val="000000"/>
          <w:spacing w:val="-2"/>
          <w:kern w:val="0"/>
          <w:sz w:val="24"/>
        </w:rPr>
        <w:t>(</w:t>
      </w:r>
      <w:r>
        <w:rPr>
          <w:rFonts w:hint="eastAsia" w:eastAsia="方正仿宋_GBK"/>
          <w:color w:val="000000"/>
          <w:spacing w:val="-2"/>
          <w:kern w:val="0"/>
          <w:sz w:val="24"/>
        </w:rPr>
        <w:t>园林</w:t>
      </w:r>
      <w:r>
        <w:rPr>
          <w:rFonts w:eastAsia="方正仿宋_GBK"/>
          <w:color w:val="000000"/>
          <w:spacing w:val="-2"/>
          <w:kern w:val="0"/>
          <w:sz w:val="24"/>
        </w:rPr>
        <w:t>)</w:t>
      </w:r>
      <w:r>
        <w:rPr>
          <w:rFonts w:hint="eastAsia" w:eastAsia="方正仿宋_GBK"/>
          <w:color w:val="000000"/>
          <w:spacing w:val="-2"/>
          <w:kern w:val="0"/>
          <w:sz w:val="24"/>
        </w:rPr>
        <w:t>行政主管部门</w:t>
      </w:r>
      <w:r>
        <w:rPr>
          <w:rFonts w:eastAsia="方正仿宋_GBK"/>
          <w:color w:val="000000"/>
          <w:spacing w:val="-2"/>
          <w:kern w:val="0"/>
          <w:sz w:val="24"/>
        </w:rPr>
        <w:t>(</w:t>
      </w:r>
      <w:r>
        <w:rPr>
          <w:rFonts w:hint="eastAsia" w:eastAsia="方正仿宋_GBK"/>
          <w:color w:val="000000"/>
          <w:spacing w:val="-2"/>
          <w:kern w:val="0"/>
          <w:sz w:val="24"/>
        </w:rPr>
        <w:t>以下简称主管部门</w:t>
      </w:r>
      <w:r>
        <w:rPr>
          <w:rFonts w:eastAsia="方正仿宋_GBK"/>
          <w:color w:val="000000"/>
          <w:spacing w:val="-2"/>
          <w:kern w:val="0"/>
          <w:sz w:val="24"/>
        </w:rPr>
        <w:t>)</w:t>
      </w:r>
      <w:r>
        <w:rPr>
          <w:rFonts w:hint="eastAsia" w:eastAsia="方正仿宋_GBK"/>
          <w:color w:val="000000"/>
          <w:spacing w:val="-2"/>
          <w:kern w:val="0"/>
          <w:sz w:val="24"/>
        </w:rPr>
        <w:t>应定期对城市古树名木进行调查核实，立档挂牌，公布名单。挂牌应标明树名、学名、科属、保护等级、树龄、挂牌时间，对有特殊历史价值和纪念意义的古树名木，还应立说明牌进行介绍。</w:t>
      </w:r>
    </w:p>
    <w:p>
      <w:pPr>
        <w:spacing w:line="460" w:lineRule="exact"/>
        <w:ind w:firstLine="472" w:firstLineChars="200"/>
        <w:rPr>
          <w:rFonts w:eastAsia="方正仿宋_GBK"/>
          <w:color w:val="000000"/>
          <w:spacing w:val="-2"/>
          <w:kern w:val="0"/>
          <w:sz w:val="24"/>
        </w:rPr>
      </w:pPr>
      <w:r>
        <w:rPr>
          <w:rFonts w:hint="eastAsia" w:ascii="Times New Roman" w:eastAsia="方正黑体_GBK"/>
          <w:color w:val="000000"/>
          <w:spacing w:val="-2"/>
          <w:kern w:val="0"/>
          <w:sz w:val="24"/>
        </w:rPr>
        <w:t>第三条</w:t>
      </w:r>
      <w:r>
        <w:rPr>
          <w:rFonts w:eastAsia="方正仿宋_GBK"/>
          <w:color w:val="000000"/>
          <w:spacing w:val="-2"/>
          <w:kern w:val="0"/>
          <w:sz w:val="24"/>
        </w:rPr>
        <w:t xml:space="preserve">  </w:t>
      </w:r>
      <w:r>
        <w:rPr>
          <w:rFonts w:hint="eastAsia" w:eastAsia="方正仿宋_GBK"/>
          <w:color w:val="000000"/>
          <w:spacing w:val="-2"/>
          <w:kern w:val="0"/>
          <w:sz w:val="24"/>
        </w:rPr>
        <w:t>管理部门应加强古树名木的宣传教育、普及科学知识、发动群众保护古树名木，并参照本规定组织和指导古树名木的养护管理。</w:t>
      </w:r>
    </w:p>
    <w:p>
      <w:pPr>
        <w:spacing w:line="460" w:lineRule="exact"/>
        <w:ind w:firstLine="472" w:firstLineChars="200"/>
        <w:rPr>
          <w:rFonts w:eastAsia="方正仿宋_GBK"/>
          <w:color w:val="000000"/>
          <w:spacing w:val="-2"/>
          <w:kern w:val="0"/>
          <w:sz w:val="24"/>
        </w:rPr>
      </w:pPr>
    </w:p>
    <w:p>
      <w:pPr>
        <w:spacing w:line="460" w:lineRule="exact"/>
        <w:jc w:val="center"/>
        <w:rPr>
          <w:rFonts w:ascii="Times New Roman" w:eastAsia="方正黑体_GBK"/>
          <w:color w:val="000000"/>
          <w:spacing w:val="-2"/>
          <w:kern w:val="0"/>
          <w:sz w:val="24"/>
        </w:rPr>
      </w:pPr>
      <w:r>
        <w:rPr>
          <w:rFonts w:hint="eastAsia" w:ascii="Times New Roman" w:eastAsia="方正黑体_GBK"/>
          <w:color w:val="000000"/>
          <w:spacing w:val="-2"/>
          <w:kern w:val="0"/>
          <w:sz w:val="24"/>
        </w:rPr>
        <w:t>第二章</w:t>
      </w:r>
      <w:r>
        <w:rPr>
          <w:rFonts w:ascii="Times New Roman" w:eastAsia="方正黑体_GBK"/>
          <w:color w:val="000000"/>
          <w:spacing w:val="-2"/>
          <w:kern w:val="0"/>
          <w:sz w:val="24"/>
        </w:rPr>
        <w:t> </w:t>
      </w:r>
      <w:r>
        <w:rPr>
          <w:rFonts w:hint="eastAsia" w:ascii="Times New Roman" w:eastAsia="方正黑体_GBK"/>
          <w:color w:val="000000"/>
          <w:spacing w:val="-2"/>
          <w:kern w:val="0"/>
          <w:sz w:val="24"/>
        </w:rPr>
        <w:t xml:space="preserve"> 一般养护</w:t>
      </w:r>
    </w:p>
    <w:p>
      <w:pPr>
        <w:spacing w:line="460" w:lineRule="exact"/>
        <w:jc w:val="center"/>
        <w:rPr>
          <w:rFonts w:hint="eastAsia" w:ascii="Times New Roman" w:eastAsia="方正黑体_GBK"/>
          <w:color w:val="000000"/>
          <w:spacing w:val="-2"/>
          <w:kern w:val="0"/>
          <w:sz w:val="24"/>
        </w:rPr>
      </w:pPr>
    </w:p>
    <w:p>
      <w:pPr>
        <w:spacing w:line="460" w:lineRule="exact"/>
        <w:ind w:firstLine="472" w:firstLineChars="200"/>
        <w:rPr>
          <w:rFonts w:hint="eastAsia" w:eastAsia="方正仿宋_GBK"/>
          <w:color w:val="000000"/>
          <w:spacing w:val="-2"/>
          <w:kern w:val="0"/>
          <w:sz w:val="24"/>
        </w:rPr>
      </w:pPr>
      <w:r>
        <w:rPr>
          <w:rFonts w:hint="eastAsia" w:ascii="Times New Roman" w:eastAsia="方正黑体_GBK"/>
          <w:color w:val="000000"/>
          <w:spacing w:val="-2"/>
          <w:kern w:val="0"/>
          <w:sz w:val="24"/>
        </w:rPr>
        <w:t>第四条</w:t>
      </w:r>
      <w:r>
        <w:rPr>
          <w:rFonts w:eastAsia="方正仿宋_GBK"/>
          <w:color w:val="000000"/>
          <w:spacing w:val="-2"/>
          <w:kern w:val="0"/>
          <w:sz w:val="24"/>
        </w:rPr>
        <w:t xml:space="preserve">  </w:t>
      </w:r>
      <w:r>
        <w:rPr>
          <w:rFonts w:hint="eastAsia" w:eastAsia="方正仿宋_GBK"/>
          <w:color w:val="000000"/>
          <w:spacing w:val="-2"/>
          <w:kern w:val="0"/>
          <w:sz w:val="24"/>
        </w:rPr>
        <w:t>对已确定的古树名木，主管部门应根据实际情况及时建立管护责任制度，明确管护责任单位（人），制定并落实管护措施。古树名木管护责任单位（人）按照属地管护的原则划定。</w:t>
      </w:r>
    </w:p>
    <w:p>
      <w:pPr>
        <w:spacing w:line="460" w:lineRule="exact"/>
        <w:ind w:firstLine="472" w:firstLineChars="200"/>
        <w:rPr>
          <w:rFonts w:eastAsia="方正仿宋_GBK"/>
          <w:color w:val="000000"/>
          <w:spacing w:val="-2"/>
          <w:kern w:val="0"/>
          <w:sz w:val="24"/>
        </w:rPr>
      </w:pPr>
      <w:r>
        <w:rPr>
          <w:rFonts w:hint="eastAsia" w:ascii="Times New Roman" w:eastAsia="方正黑体_GBK"/>
          <w:color w:val="000000"/>
          <w:spacing w:val="-2"/>
          <w:kern w:val="0"/>
          <w:sz w:val="24"/>
        </w:rPr>
        <w:t>第五条</w:t>
      </w:r>
      <w:r>
        <w:rPr>
          <w:rFonts w:eastAsia="方正仿宋_GBK"/>
          <w:color w:val="000000"/>
          <w:spacing w:val="-2"/>
          <w:kern w:val="0"/>
          <w:sz w:val="24"/>
        </w:rPr>
        <w:t xml:space="preserve">  </w:t>
      </w:r>
      <w:r>
        <w:rPr>
          <w:rFonts w:hint="eastAsia" w:eastAsia="方正仿宋_GBK"/>
          <w:color w:val="000000"/>
          <w:spacing w:val="-2"/>
          <w:kern w:val="0"/>
          <w:sz w:val="24"/>
        </w:rPr>
        <w:t>古树名木树干以外</w:t>
      </w:r>
      <w:r>
        <w:rPr>
          <w:rFonts w:eastAsia="方正仿宋_GBK"/>
          <w:color w:val="000000"/>
          <w:spacing w:val="-2"/>
          <w:kern w:val="0"/>
          <w:sz w:val="24"/>
        </w:rPr>
        <w:t>10-15</w:t>
      </w:r>
      <w:r>
        <w:rPr>
          <w:rFonts w:hint="eastAsia" w:eastAsia="方正仿宋_GBK"/>
          <w:color w:val="000000"/>
          <w:spacing w:val="-2"/>
          <w:kern w:val="0"/>
          <w:sz w:val="24"/>
        </w:rPr>
        <w:t>米为古树名木生长保护范围，在生长保护范围内的新、扩、改建建设工程，必须满足古树名木根系生长和日照要求，并在施工期间落实养护措施。</w:t>
      </w:r>
    </w:p>
    <w:p>
      <w:pPr>
        <w:spacing w:line="460" w:lineRule="exact"/>
        <w:ind w:firstLine="472" w:firstLineChars="200"/>
        <w:rPr>
          <w:rFonts w:eastAsia="方正仿宋_GBK"/>
          <w:color w:val="000000"/>
          <w:spacing w:val="-2"/>
          <w:kern w:val="0"/>
          <w:sz w:val="24"/>
        </w:rPr>
      </w:pPr>
      <w:r>
        <w:rPr>
          <w:rFonts w:hint="eastAsia" w:ascii="Times New Roman" w:eastAsia="方正黑体_GBK"/>
          <w:color w:val="000000"/>
          <w:spacing w:val="-2"/>
          <w:kern w:val="0"/>
          <w:sz w:val="24"/>
        </w:rPr>
        <w:t>第六条</w:t>
      </w:r>
      <w:r>
        <w:rPr>
          <w:rFonts w:eastAsia="方正仿宋_GBK"/>
          <w:color w:val="000000"/>
          <w:spacing w:val="-2"/>
          <w:kern w:val="0"/>
          <w:sz w:val="24"/>
        </w:rPr>
        <w:t xml:space="preserve">  </w:t>
      </w:r>
      <w:r>
        <w:rPr>
          <w:rFonts w:hint="eastAsia" w:eastAsia="方正仿宋_GBK"/>
          <w:color w:val="000000"/>
          <w:spacing w:val="-2"/>
          <w:kern w:val="0"/>
          <w:sz w:val="24"/>
        </w:rPr>
        <w:t>严禁在树体上钉钉、缠绕铁丝、绳索，悬挂杂物或作为施工支撑噗和固定物，严禁刻划树皮和攀折树枝，发现伤疤和树洞要及时修补，对腐烂部位应按外科方法进行处理。</w:t>
      </w:r>
    </w:p>
    <w:p>
      <w:pPr>
        <w:spacing w:line="460" w:lineRule="exact"/>
        <w:ind w:firstLine="472" w:firstLineChars="200"/>
        <w:rPr>
          <w:rFonts w:eastAsia="方正仿宋_GBK"/>
          <w:color w:val="000000"/>
          <w:spacing w:val="-2"/>
          <w:kern w:val="0"/>
          <w:sz w:val="24"/>
        </w:rPr>
      </w:pPr>
      <w:r>
        <w:rPr>
          <w:rFonts w:hint="eastAsia" w:ascii="Times New Roman" w:eastAsia="方正黑体_GBK"/>
          <w:color w:val="000000"/>
          <w:spacing w:val="-2"/>
          <w:kern w:val="0"/>
          <w:sz w:val="24"/>
        </w:rPr>
        <w:t>第七条</w:t>
      </w:r>
      <w:r>
        <w:rPr>
          <w:rFonts w:eastAsia="方正仿宋_GBK"/>
          <w:color w:val="000000"/>
          <w:spacing w:val="-2"/>
          <w:kern w:val="0"/>
          <w:sz w:val="24"/>
        </w:rPr>
        <w:t xml:space="preserve">  </w:t>
      </w:r>
      <w:r>
        <w:rPr>
          <w:rFonts w:hint="eastAsia" w:eastAsia="方正仿宋_GBK"/>
          <w:color w:val="000000"/>
          <w:spacing w:val="-2"/>
          <w:kern w:val="0"/>
          <w:sz w:val="24"/>
        </w:rPr>
        <w:t>一级古树及生长在公园绿地或人流密度较大、易受毁坏的二、三级古树名木应设置保护围栏，围栏与树干距离不得少于</w:t>
      </w:r>
      <w:r>
        <w:rPr>
          <w:rFonts w:eastAsia="方正仿宋_GBK"/>
          <w:color w:val="000000"/>
          <w:spacing w:val="-2"/>
          <w:kern w:val="0"/>
          <w:sz w:val="24"/>
        </w:rPr>
        <w:t>2</w:t>
      </w:r>
      <w:r>
        <w:rPr>
          <w:rFonts w:hint="eastAsia" w:eastAsia="方正仿宋_GBK"/>
          <w:color w:val="000000"/>
          <w:spacing w:val="-2"/>
          <w:kern w:val="0"/>
          <w:sz w:val="24"/>
        </w:rPr>
        <w:t>米，特殊立地条件无法达到</w:t>
      </w:r>
      <w:r>
        <w:rPr>
          <w:rFonts w:eastAsia="方正仿宋_GBK"/>
          <w:color w:val="000000"/>
          <w:spacing w:val="-2"/>
          <w:kern w:val="0"/>
          <w:sz w:val="24"/>
        </w:rPr>
        <w:t>2</w:t>
      </w:r>
      <w:r>
        <w:rPr>
          <w:rFonts w:hint="eastAsia" w:eastAsia="方正仿宋_GBK"/>
          <w:color w:val="000000"/>
          <w:spacing w:val="-2"/>
          <w:kern w:val="0"/>
          <w:sz w:val="24"/>
        </w:rPr>
        <w:t>米的，以人摸不到树干为最低要求。围栏内土壤表面可种植三叶草等豆科植物，以保持土壤湿润、透气。</w:t>
      </w:r>
    </w:p>
    <w:p>
      <w:pPr>
        <w:spacing w:line="460" w:lineRule="exact"/>
        <w:ind w:firstLine="472" w:firstLineChars="200"/>
        <w:rPr>
          <w:rFonts w:eastAsia="方正仿宋_GBK"/>
          <w:color w:val="000000"/>
          <w:spacing w:val="-2"/>
          <w:kern w:val="0"/>
          <w:sz w:val="24"/>
        </w:rPr>
      </w:pPr>
      <w:r>
        <w:rPr>
          <w:rFonts w:hint="eastAsia" w:ascii="Times New Roman" w:eastAsia="方正黑体_GBK"/>
          <w:color w:val="000000"/>
          <w:spacing w:val="-2"/>
          <w:kern w:val="0"/>
          <w:sz w:val="24"/>
        </w:rPr>
        <w:t>第八条</w:t>
      </w:r>
      <w:r>
        <w:rPr>
          <w:rFonts w:eastAsia="方正仿宋_GBK"/>
          <w:color w:val="000000"/>
          <w:spacing w:val="-2"/>
          <w:kern w:val="0"/>
          <w:sz w:val="24"/>
        </w:rPr>
        <w:t xml:space="preserve">  </w:t>
      </w:r>
      <w:r>
        <w:rPr>
          <w:rFonts w:hint="eastAsia" w:eastAsia="方正仿宋_GBK"/>
          <w:color w:val="000000"/>
          <w:spacing w:val="-2"/>
          <w:kern w:val="0"/>
          <w:sz w:val="24"/>
        </w:rPr>
        <w:t>每年应对古树名木的生长情况进行调查，并做好记录，发现生长异常需分析原因，及时采取养护措施并采集标本存档。</w:t>
      </w:r>
    </w:p>
    <w:p>
      <w:pPr>
        <w:spacing w:line="460" w:lineRule="exact"/>
        <w:ind w:firstLine="472" w:firstLineChars="200"/>
        <w:rPr>
          <w:rFonts w:eastAsia="方正仿宋_GBK"/>
          <w:color w:val="000000"/>
          <w:spacing w:val="-2"/>
          <w:kern w:val="0"/>
          <w:sz w:val="24"/>
        </w:rPr>
      </w:pPr>
      <w:r>
        <w:rPr>
          <w:rFonts w:hint="eastAsia" w:ascii="Times New Roman" w:eastAsia="方正黑体_GBK"/>
          <w:color w:val="000000"/>
          <w:spacing w:val="-2"/>
          <w:kern w:val="0"/>
          <w:sz w:val="24"/>
        </w:rPr>
        <w:t>第九条</w:t>
      </w:r>
      <w:r>
        <w:rPr>
          <w:rFonts w:eastAsia="方正仿宋_GBK"/>
          <w:color w:val="000000"/>
          <w:spacing w:val="-2"/>
          <w:kern w:val="0"/>
          <w:sz w:val="24"/>
        </w:rPr>
        <w:t xml:space="preserve">  </w:t>
      </w:r>
      <w:r>
        <w:rPr>
          <w:rFonts w:hint="eastAsia" w:eastAsia="方正仿宋_GBK"/>
          <w:color w:val="000000"/>
          <w:spacing w:val="-2"/>
          <w:kern w:val="0"/>
          <w:sz w:val="24"/>
        </w:rPr>
        <w:t>根据不同树种对水分的不同要求进行浇水或排水。高湿干旱季节，根据土壤含水量的测定值，进行浇透水或叶面喷淋。根系分布范围内需有良好的自然排水系统、不得长期积水。无法沟排的需增设盲沟与暗井。生长在坡地的古树名木可在其下方筑水平梯田扩大吸水和生长范围。</w:t>
      </w:r>
    </w:p>
    <w:p>
      <w:pPr>
        <w:spacing w:line="460" w:lineRule="exact"/>
        <w:ind w:firstLine="472" w:firstLineChars="200"/>
        <w:rPr>
          <w:rFonts w:eastAsia="方正仿宋_GBK"/>
          <w:color w:val="000000"/>
          <w:spacing w:val="-2"/>
          <w:kern w:val="0"/>
          <w:sz w:val="24"/>
        </w:rPr>
      </w:pPr>
      <w:r>
        <w:rPr>
          <w:rFonts w:hint="eastAsia" w:ascii="Times New Roman" w:eastAsia="方正黑体_GBK"/>
          <w:color w:val="000000"/>
          <w:spacing w:val="-2"/>
          <w:kern w:val="0"/>
          <w:sz w:val="24"/>
        </w:rPr>
        <w:t>第十条</w:t>
      </w:r>
      <w:r>
        <w:rPr>
          <w:rFonts w:eastAsia="方正仿宋_GBK"/>
          <w:color w:val="000000"/>
          <w:spacing w:val="-2"/>
          <w:kern w:val="0"/>
          <w:sz w:val="24"/>
        </w:rPr>
        <w:t xml:space="preserve">  </w:t>
      </w:r>
      <w:r>
        <w:rPr>
          <w:rFonts w:hint="eastAsia" w:eastAsia="方正仿宋_GBK"/>
          <w:color w:val="000000"/>
          <w:spacing w:val="-2"/>
          <w:kern w:val="0"/>
          <w:sz w:val="24"/>
        </w:rPr>
        <w:t>古树名木长时间在同一地点生长，土壤肥力会下降，在测定土壤元素含量的情况下进行施肥。土壤中如缺微量元素，可针对性增施微量元素，施肥方法可采用穴肥、放射性沟施和叶面喷施。</w:t>
      </w:r>
    </w:p>
    <w:p>
      <w:pPr>
        <w:spacing w:line="460" w:lineRule="exact"/>
        <w:ind w:firstLine="472" w:firstLineChars="200"/>
        <w:rPr>
          <w:rFonts w:eastAsia="方正仿宋_GBK"/>
          <w:color w:val="000000"/>
          <w:spacing w:val="-2"/>
          <w:kern w:val="0"/>
          <w:sz w:val="24"/>
        </w:rPr>
      </w:pPr>
      <w:r>
        <w:rPr>
          <w:rFonts w:hint="eastAsia" w:ascii="Times New Roman" w:eastAsia="方正黑体_GBK"/>
          <w:color w:val="000000"/>
          <w:spacing w:val="-2"/>
          <w:kern w:val="0"/>
          <w:sz w:val="24"/>
        </w:rPr>
        <w:t>第十一条</w:t>
      </w:r>
      <w:r>
        <w:rPr>
          <w:rFonts w:eastAsia="方正仿宋_GBK"/>
          <w:color w:val="000000"/>
          <w:spacing w:val="-2"/>
          <w:kern w:val="0"/>
          <w:sz w:val="24"/>
        </w:rPr>
        <w:t xml:space="preserve">    </w:t>
      </w:r>
      <w:r>
        <w:rPr>
          <w:rFonts w:hint="eastAsia" w:eastAsia="方正仿宋_GBK"/>
          <w:color w:val="000000"/>
          <w:spacing w:val="-2"/>
          <w:kern w:val="0"/>
          <w:sz w:val="24"/>
        </w:rPr>
        <w:t>修剪古树名木的枯死枝、梢，事先应由主管部门技术人员制定修剪方案，报主管部门批准后实施。修剪要避开伤流盛期。小枯枝用手锯锯掉或铁钩钩掉。截大枝应做到锯口平整、不劈裂、不撕皮，过大的粗枝应采取分段截枝法。操作时应注意安全，锯口应涂防腐剂，防止水分蒸发及病虫害侵害。</w:t>
      </w:r>
    </w:p>
    <w:p>
      <w:pPr>
        <w:spacing w:line="460" w:lineRule="exact"/>
        <w:ind w:firstLine="472" w:firstLineChars="200"/>
        <w:rPr>
          <w:rFonts w:eastAsia="方正仿宋_GBK"/>
          <w:color w:val="000000"/>
          <w:spacing w:val="-2"/>
          <w:kern w:val="0"/>
          <w:sz w:val="24"/>
        </w:rPr>
      </w:pPr>
      <w:r>
        <w:rPr>
          <w:rFonts w:hint="eastAsia" w:ascii="Times New Roman" w:eastAsia="方正黑体_GBK"/>
          <w:color w:val="000000"/>
          <w:spacing w:val="-2"/>
          <w:kern w:val="0"/>
          <w:sz w:val="24"/>
        </w:rPr>
        <w:t>第十二条</w:t>
      </w:r>
      <w:r>
        <w:rPr>
          <w:rFonts w:eastAsia="方正仿宋_GBK"/>
          <w:color w:val="000000"/>
          <w:spacing w:val="-2"/>
          <w:kern w:val="0"/>
          <w:sz w:val="24"/>
        </w:rPr>
        <w:t xml:space="preserve">  </w:t>
      </w:r>
      <w:r>
        <w:rPr>
          <w:rFonts w:hint="eastAsia" w:eastAsia="方正仿宋_GBK"/>
          <w:color w:val="000000"/>
          <w:spacing w:val="-2"/>
          <w:kern w:val="0"/>
          <w:sz w:val="24"/>
        </w:rPr>
        <w:t>古树名木树体不稳或粗枝腐朽且严重下垂，</w:t>
      </w:r>
      <w:r>
        <w:rPr>
          <w:rFonts w:eastAsia="方正仿宋_GBK"/>
          <w:color w:val="000000"/>
          <w:spacing w:val="-2"/>
          <w:kern w:val="0"/>
          <w:sz w:val="24"/>
        </w:rPr>
        <w:t xml:space="preserve"> </w:t>
      </w:r>
      <w:r>
        <w:rPr>
          <w:rFonts w:hint="eastAsia" w:eastAsia="方正仿宋_GBK"/>
          <w:color w:val="000000"/>
          <w:spacing w:val="-2"/>
          <w:kern w:val="0"/>
          <w:sz w:val="24"/>
        </w:rPr>
        <w:t>均需进行支撑加固，支撑物要注意美观，支撑可采用刚性支撑或弹性支撑。</w:t>
      </w:r>
    </w:p>
    <w:p>
      <w:pPr>
        <w:spacing w:line="460" w:lineRule="exact"/>
        <w:ind w:firstLine="472" w:firstLineChars="200"/>
        <w:rPr>
          <w:rFonts w:eastAsia="方正仿宋_GBK"/>
          <w:color w:val="000000"/>
          <w:spacing w:val="-2"/>
          <w:kern w:val="0"/>
          <w:sz w:val="24"/>
        </w:rPr>
      </w:pPr>
      <w:r>
        <w:rPr>
          <w:rFonts w:hint="eastAsia" w:ascii="Times New Roman" w:eastAsia="方正黑体_GBK"/>
          <w:color w:val="000000"/>
          <w:spacing w:val="-2"/>
          <w:kern w:val="0"/>
          <w:sz w:val="24"/>
        </w:rPr>
        <w:t>第十三条</w:t>
      </w:r>
      <w:r>
        <w:rPr>
          <w:rFonts w:eastAsia="方正仿宋_GBK"/>
          <w:color w:val="000000"/>
          <w:spacing w:val="-2"/>
          <w:kern w:val="0"/>
          <w:sz w:val="24"/>
        </w:rPr>
        <w:t xml:space="preserve">  </w:t>
      </w:r>
      <w:r>
        <w:rPr>
          <w:rFonts w:hint="eastAsia" w:eastAsia="方正仿宋_GBK"/>
          <w:color w:val="000000"/>
          <w:spacing w:val="-2"/>
          <w:kern w:val="0"/>
          <w:sz w:val="24"/>
        </w:rPr>
        <w:t>定期检查古树名木的病虫害情况，采用综合防治措施，认真推广和采用安全、高效、低毒农药及防治新技术，严禁使用剧毒农药。使用化学农药应按有关安全操作规程进行作业。</w:t>
      </w:r>
    </w:p>
    <w:p>
      <w:pPr>
        <w:spacing w:line="460" w:lineRule="exact"/>
        <w:ind w:firstLine="472" w:firstLineChars="200"/>
        <w:rPr>
          <w:rFonts w:eastAsia="方正仿宋_GBK"/>
          <w:color w:val="000000"/>
          <w:spacing w:val="-2"/>
          <w:kern w:val="0"/>
          <w:sz w:val="24"/>
        </w:rPr>
      </w:pPr>
      <w:r>
        <w:rPr>
          <w:rFonts w:hint="eastAsia" w:ascii="Times New Roman" w:eastAsia="方正黑体_GBK"/>
          <w:color w:val="000000"/>
          <w:spacing w:val="-2"/>
          <w:kern w:val="0"/>
          <w:sz w:val="24"/>
        </w:rPr>
        <w:t>第十四条</w:t>
      </w:r>
      <w:r>
        <w:rPr>
          <w:rFonts w:eastAsia="方正仿宋_GBK"/>
          <w:color w:val="000000"/>
          <w:spacing w:val="-2"/>
          <w:kern w:val="0"/>
          <w:sz w:val="24"/>
        </w:rPr>
        <w:t xml:space="preserve">  </w:t>
      </w:r>
      <w:r>
        <w:rPr>
          <w:rFonts w:hint="eastAsia" w:eastAsia="方正仿宋_GBK"/>
          <w:color w:val="000000"/>
          <w:spacing w:val="-2"/>
          <w:kern w:val="0"/>
          <w:sz w:val="24"/>
        </w:rPr>
        <w:t>树体高大的古树名木，周围</w:t>
      </w:r>
      <w:r>
        <w:rPr>
          <w:rFonts w:eastAsia="方正仿宋_GBK"/>
          <w:color w:val="000000"/>
          <w:spacing w:val="-2"/>
          <w:kern w:val="0"/>
          <w:sz w:val="24"/>
        </w:rPr>
        <w:t>30</w:t>
      </w:r>
      <w:r>
        <w:rPr>
          <w:rFonts w:hint="eastAsia" w:eastAsia="方正仿宋_GBK"/>
          <w:color w:val="000000"/>
          <w:spacing w:val="-2"/>
          <w:kern w:val="0"/>
          <w:sz w:val="24"/>
        </w:rPr>
        <w:t>米内无高大建筑时，应设置避雷装置。</w:t>
      </w:r>
    </w:p>
    <w:p>
      <w:pPr>
        <w:spacing w:line="460" w:lineRule="exact"/>
        <w:ind w:firstLine="472" w:firstLineChars="200"/>
        <w:rPr>
          <w:rFonts w:eastAsia="方正仿宋_GBK"/>
          <w:color w:val="000000"/>
          <w:spacing w:val="-2"/>
          <w:kern w:val="0"/>
          <w:sz w:val="24"/>
        </w:rPr>
      </w:pPr>
      <w:r>
        <w:rPr>
          <w:rFonts w:hint="eastAsia" w:ascii="Times New Roman" w:eastAsia="方正黑体_GBK"/>
          <w:color w:val="000000"/>
          <w:spacing w:val="-2"/>
          <w:kern w:val="0"/>
          <w:sz w:val="24"/>
        </w:rPr>
        <w:t>第十五条</w:t>
      </w:r>
      <w:r>
        <w:rPr>
          <w:rFonts w:eastAsia="方正仿宋_GBK"/>
          <w:color w:val="000000"/>
          <w:spacing w:val="-2"/>
          <w:kern w:val="0"/>
          <w:sz w:val="24"/>
        </w:rPr>
        <w:t xml:space="preserve">  </w:t>
      </w:r>
      <w:r>
        <w:rPr>
          <w:rFonts w:hint="eastAsia" w:eastAsia="方正仿宋_GBK"/>
          <w:color w:val="000000"/>
          <w:spacing w:val="-2"/>
          <w:kern w:val="0"/>
          <w:sz w:val="24"/>
        </w:rPr>
        <w:t>对古树名木要逐年做好养护记录并存档。</w:t>
      </w:r>
    </w:p>
    <w:p>
      <w:pPr>
        <w:spacing w:line="460" w:lineRule="exact"/>
        <w:ind w:firstLine="472" w:firstLineChars="200"/>
        <w:rPr>
          <w:rFonts w:eastAsia="方正仿宋_GBK"/>
          <w:color w:val="000000"/>
          <w:spacing w:val="-2"/>
          <w:kern w:val="0"/>
          <w:sz w:val="24"/>
        </w:rPr>
      </w:pPr>
    </w:p>
    <w:p>
      <w:pPr>
        <w:spacing w:line="460" w:lineRule="exact"/>
        <w:jc w:val="center"/>
        <w:rPr>
          <w:rFonts w:ascii="Times New Roman" w:eastAsia="方正黑体_GBK"/>
          <w:color w:val="000000"/>
          <w:spacing w:val="-2"/>
          <w:kern w:val="0"/>
          <w:sz w:val="24"/>
        </w:rPr>
      </w:pPr>
      <w:r>
        <w:rPr>
          <w:rFonts w:hint="eastAsia" w:ascii="Times New Roman" w:eastAsia="方正黑体_GBK"/>
          <w:color w:val="000000"/>
          <w:spacing w:val="-2"/>
          <w:kern w:val="0"/>
          <w:sz w:val="24"/>
        </w:rPr>
        <w:t>第三章</w:t>
      </w:r>
      <w:r>
        <w:rPr>
          <w:rFonts w:ascii="Times New Roman" w:eastAsia="方正黑体_GBK"/>
          <w:color w:val="000000"/>
          <w:spacing w:val="-2"/>
          <w:kern w:val="0"/>
          <w:sz w:val="24"/>
        </w:rPr>
        <w:t> </w:t>
      </w:r>
      <w:r>
        <w:rPr>
          <w:rFonts w:hint="eastAsia" w:ascii="Times New Roman" w:eastAsia="方正黑体_GBK"/>
          <w:color w:val="000000"/>
          <w:spacing w:val="-2"/>
          <w:kern w:val="0"/>
          <w:sz w:val="24"/>
        </w:rPr>
        <w:t xml:space="preserve"> 特殊养护</w:t>
      </w:r>
    </w:p>
    <w:p>
      <w:pPr>
        <w:spacing w:line="460" w:lineRule="exact"/>
        <w:ind w:firstLine="472" w:firstLineChars="200"/>
        <w:rPr>
          <w:rFonts w:hint="eastAsia" w:eastAsia="方正仿宋_GBK"/>
          <w:color w:val="000000"/>
          <w:spacing w:val="-2"/>
          <w:kern w:val="0"/>
          <w:sz w:val="24"/>
        </w:rPr>
      </w:pPr>
    </w:p>
    <w:p>
      <w:pPr>
        <w:spacing w:line="460" w:lineRule="exact"/>
        <w:ind w:firstLine="472" w:firstLineChars="200"/>
        <w:rPr>
          <w:rFonts w:eastAsia="方正仿宋_GBK"/>
          <w:color w:val="000000"/>
          <w:spacing w:val="-2"/>
          <w:kern w:val="0"/>
          <w:sz w:val="24"/>
        </w:rPr>
      </w:pPr>
      <w:r>
        <w:rPr>
          <w:rFonts w:hint="eastAsia" w:ascii="Times New Roman" w:eastAsia="方正黑体_GBK"/>
          <w:color w:val="000000"/>
          <w:spacing w:val="-2"/>
          <w:kern w:val="0"/>
          <w:sz w:val="24"/>
        </w:rPr>
        <w:t>第十六条</w:t>
      </w:r>
      <w:r>
        <w:rPr>
          <w:rFonts w:eastAsia="方正仿宋_GBK"/>
          <w:color w:val="000000"/>
          <w:spacing w:val="-2"/>
          <w:kern w:val="0"/>
          <w:sz w:val="24"/>
        </w:rPr>
        <w:t xml:space="preserve">  </w:t>
      </w:r>
      <w:r>
        <w:rPr>
          <w:rFonts w:hint="eastAsia" w:eastAsia="方正仿宋_GBK"/>
          <w:color w:val="000000"/>
          <w:spacing w:val="-2"/>
          <w:kern w:val="0"/>
          <w:sz w:val="24"/>
        </w:rPr>
        <w:t>古树名木生长在不利的特殊环境，需作特殊养护。进行特殊处理时需由管理部门提出申请，主管部门批准后实施。施工全过程需由工程技术人员现场指导，并做好摄影和照像资料存档。</w:t>
      </w:r>
    </w:p>
    <w:p>
      <w:pPr>
        <w:spacing w:line="460" w:lineRule="exact"/>
        <w:ind w:firstLine="472" w:firstLineChars="200"/>
        <w:rPr>
          <w:rFonts w:eastAsia="方正仿宋_GBK"/>
          <w:color w:val="000000"/>
          <w:spacing w:val="-2"/>
          <w:kern w:val="0"/>
          <w:sz w:val="24"/>
        </w:rPr>
      </w:pPr>
      <w:r>
        <w:rPr>
          <w:rFonts w:hint="eastAsia" w:ascii="Times New Roman" w:eastAsia="方正黑体_GBK"/>
          <w:color w:val="000000"/>
          <w:spacing w:val="-2"/>
          <w:kern w:val="0"/>
          <w:sz w:val="24"/>
        </w:rPr>
        <w:t>第十七条</w:t>
      </w:r>
      <w:r>
        <w:rPr>
          <w:rFonts w:eastAsia="方正仿宋_GBK"/>
          <w:color w:val="000000"/>
          <w:spacing w:val="-2"/>
          <w:kern w:val="0"/>
          <w:sz w:val="24"/>
        </w:rPr>
        <w:t xml:space="preserve">  </w:t>
      </w:r>
      <w:r>
        <w:rPr>
          <w:rFonts w:hint="eastAsia" w:eastAsia="方正仿宋_GBK"/>
          <w:color w:val="000000"/>
          <w:spacing w:val="-2"/>
          <w:kern w:val="0"/>
          <w:sz w:val="24"/>
        </w:rPr>
        <w:t>土壤密实、透水透气不良、土壤含水量高，影响根系的正常生命活动，可结合施肥对土壤进行换土。含水量过高可开挖盲沟或暗井进行排水。</w:t>
      </w:r>
    </w:p>
    <w:p>
      <w:pPr>
        <w:spacing w:line="460" w:lineRule="exact"/>
        <w:ind w:firstLine="472" w:firstLineChars="200"/>
        <w:rPr>
          <w:rFonts w:eastAsia="方正仿宋_GBK"/>
          <w:color w:val="000000"/>
          <w:spacing w:val="-2"/>
          <w:kern w:val="0"/>
          <w:sz w:val="24"/>
        </w:rPr>
      </w:pPr>
      <w:r>
        <w:rPr>
          <w:rFonts w:hint="eastAsia" w:ascii="Times New Roman" w:eastAsia="方正黑体_GBK"/>
          <w:color w:val="000000"/>
          <w:spacing w:val="-2"/>
          <w:kern w:val="0"/>
          <w:sz w:val="24"/>
        </w:rPr>
        <w:t>第十八条</w:t>
      </w:r>
      <w:r>
        <w:rPr>
          <w:rFonts w:eastAsia="方正仿宋_GBK"/>
          <w:color w:val="000000"/>
          <w:spacing w:val="-2"/>
          <w:kern w:val="0"/>
          <w:sz w:val="24"/>
        </w:rPr>
        <w:t xml:space="preserve">  </w:t>
      </w:r>
      <w:r>
        <w:rPr>
          <w:rFonts w:hint="eastAsia" w:eastAsia="方正仿宋_GBK"/>
          <w:color w:val="000000"/>
          <w:spacing w:val="-2"/>
          <w:kern w:val="0"/>
          <w:sz w:val="24"/>
        </w:rPr>
        <w:t>人流密度过大及道路广场范围内的古树名木，</w:t>
      </w:r>
      <w:r>
        <w:rPr>
          <w:rFonts w:eastAsia="方正仿宋_GBK"/>
          <w:color w:val="000000"/>
          <w:spacing w:val="-2"/>
          <w:kern w:val="0"/>
          <w:sz w:val="24"/>
        </w:rPr>
        <w:t xml:space="preserve">  </w:t>
      </w:r>
      <w:r>
        <w:rPr>
          <w:rFonts w:hint="eastAsia" w:eastAsia="方正仿宋_GBK"/>
          <w:color w:val="000000"/>
          <w:spacing w:val="-2"/>
          <w:kern w:val="0"/>
          <w:sz w:val="24"/>
        </w:rPr>
        <w:t>可在根系分布范围内进行透气铺装</w:t>
      </w:r>
      <w:r>
        <w:rPr>
          <w:rFonts w:eastAsia="方正仿宋_GBK"/>
          <w:color w:val="000000"/>
          <w:spacing w:val="-2"/>
          <w:kern w:val="0"/>
          <w:sz w:val="24"/>
        </w:rPr>
        <w:t xml:space="preserve"> (</w:t>
      </w:r>
      <w:r>
        <w:rPr>
          <w:rFonts w:hint="eastAsia" w:eastAsia="方正仿宋_GBK"/>
          <w:color w:val="000000"/>
          <w:spacing w:val="-2"/>
          <w:kern w:val="0"/>
          <w:sz w:val="24"/>
        </w:rPr>
        <w:t>一般为树冠垂直投影外</w:t>
      </w:r>
      <w:r>
        <w:rPr>
          <w:rFonts w:eastAsia="方正仿宋_GBK"/>
          <w:color w:val="000000"/>
          <w:spacing w:val="-2"/>
          <w:kern w:val="0"/>
          <w:sz w:val="24"/>
        </w:rPr>
        <w:t>2</w:t>
      </w:r>
      <w:r>
        <w:rPr>
          <w:rFonts w:hint="eastAsia" w:eastAsia="方正仿宋_GBK"/>
          <w:color w:val="000000"/>
          <w:spacing w:val="-2"/>
          <w:kern w:val="0"/>
          <w:sz w:val="24"/>
        </w:rPr>
        <w:t>米</w:t>
      </w:r>
      <w:r>
        <w:rPr>
          <w:rFonts w:eastAsia="方正仿宋_GBK"/>
          <w:color w:val="000000"/>
          <w:spacing w:val="-2"/>
          <w:kern w:val="0"/>
          <w:sz w:val="24"/>
        </w:rPr>
        <w:t>)</w:t>
      </w:r>
      <w:r>
        <w:rPr>
          <w:rFonts w:hint="eastAsia" w:eastAsia="方正仿宋_GBK"/>
          <w:color w:val="000000"/>
          <w:spacing w:val="-2"/>
          <w:kern w:val="0"/>
          <w:sz w:val="24"/>
        </w:rPr>
        <w:t>。透气铺装的材料应具有良好的透水、透气性，应根据地面的抗压需要而采用不同的抗压性材料。透气铺装可采用倒梯形铺装、架空铺装等方法。</w:t>
      </w:r>
    </w:p>
    <w:p>
      <w:pPr>
        <w:spacing w:line="460" w:lineRule="exact"/>
        <w:ind w:firstLine="472" w:firstLineChars="200"/>
        <w:rPr>
          <w:rFonts w:eastAsia="方正仿宋_GBK"/>
          <w:color w:val="000000"/>
          <w:spacing w:val="-2"/>
          <w:kern w:val="0"/>
          <w:sz w:val="24"/>
        </w:rPr>
      </w:pPr>
      <w:r>
        <w:rPr>
          <w:rFonts w:hint="eastAsia" w:ascii="Times New Roman" w:eastAsia="方正黑体_GBK"/>
          <w:color w:val="000000"/>
          <w:spacing w:val="-2"/>
          <w:kern w:val="0"/>
          <w:sz w:val="24"/>
        </w:rPr>
        <w:t>第十九条</w:t>
      </w:r>
      <w:r>
        <w:rPr>
          <w:rFonts w:eastAsia="方正仿宋_GBK"/>
          <w:color w:val="000000"/>
          <w:spacing w:val="-2"/>
          <w:kern w:val="0"/>
          <w:sz w:val="24"/>
        </w:rPr>
        <w:t xml:space="preserve">  </w:t>
      </w:r>
      <w:r>
        <w:rPr>
          <w:rFonts w:hint="eastAsia" w:eastAsia="方正仿宋_GBK"/>
          <w:color w:val="000000"/>
          <w:spacing w:val="-2"/>
          <w:kern w:val="0"/>
          <w:sz w:val="24"/>
        </w:rPr>
        <w:t>因地下工程漏水引起地下积水，需找到漏点并堵住；因土质含建筑渣土而持水不足，应结合换土，清除渣土，混入适量壤土。</w:t>
      </w:r>
    </w:p>
    <w:p>
      <w:pPr>
        <w:spacing w:line="460" w:lineRule="exact"/>
        <w:ind w:firstLine="472" w:firstLineChars="200"/>
        <w:rPr>
          <w:rFonts w:eastAsia="方正仿宋_GBK"/>
          <w:color w:val="000000"/>
          <w:spacing w:val="-2"/>
          <w:kern w:val="0"/>
          <w:sz w:val="24"/>
        </w:rPr>
      </w:pPr>
    </w:p>
    <w:p>
      <w:pPr>
        <w:spacing w:line="460" w:lineRule="exact"/>
        <w:jc w:val="center"/>
        <w:rPr>
          <w:rFonts w:ascii="Times New Roman" w:eastAsia="方正黑体_GBK"/>
          <w:color w:val="000000"/>
          <w:spacing w:val="-2"/>
          <w:kern w:val="0"/>
          <w:sz w:val="24"/>
        </w:rPr>
      </w:pPr>
      <w:r>
        <w:rPr>
          <w:rFonts w:hint="eastAsia" w:ascii="Times New Roman" w:eastAsia="方正黑体_GBK"/>
          <w:color w:val="000000"/>
          <w:spacing w:val="-2"/>
          <w:kern w:val="0"/>
          <w:sz w:val="24"/>
        </w:rPr>
        <w:t>第四章</w:t>
      </w:r>
      <w:r>
        <w:rPr>
          <w:rFonts w:ascii="Times New Roman" w:eastAsia="方正黑体_GBK"/>
          <w:color w:val="000000"/>
          <w:spacing w:val="-2"/>
          <w:kern w:val="0"/>
          <w:sz w:val="24"/>
        </w:rPr>
        <w:t> </w:t>
      </w:r>
      <w:r>
        <w:rPr>
          <w:rFonts w:hint="eastAsia" w:ascii="Times New Roman" w:eastAsia="方正黑体_GBK"/>
          <w:color w:val="000000"/>
          <w:spacing w:val="-2"/>
          <w:kern w:val="0"/>
          <w:sz w:val="24"/>
        </w:rPr>
        <w:t xml:space="preserve"> 其    它</w:t>
      </w:r>
    </w:p>
    <w:p>
      <w:pPr>
        <w:spacing w:line="460" w:lineRule="exact"/>
        <w:ind w:firstLine="472" w:firstLineChars="200"/>
        <w:rPr>
          <w:rFonts w:hint="eastAsia" w:eastAsia="方正仿宋_GBK"/>
          <w:color w:val="000000"/>
          <w:spacing w:val="-2"/>
          <w:kern w:val="0"/>
          <w:sz w:val="24"/>
        </w:rPr>
      </w:pPr>
    </w:p>
    <w:p>
      <w:pPr>
        <w:spacing w:line="460" w:lineRule="exact"/>
        <w:ind w:firstLine="472" w:firstLineChars="200"/>
        <w:rPr>
          <w:rFonts w:eastAsia="方正仿宋_GBK"/>
          <w:color w:val="000000"/>
          <w:spacing w:val="-2"/>
          <w:kern w:val="0"/>
          <w:sz w:val="24"/>
        </w:rPr>
      </w:pPr>
      <w:r>
        <w:rPr>
          <w:rFonts w:hint="eastAsia" w:ascii="Times New Roman" w:eastAsia="方正黑体_GBK"/>
          <w:color w:val="000000"/>
          <w:spacing w:val="-2"/>
          <w:kern w:val="0"/>
          <w:sz w:val="24"/>
        </w:rPr>
        <w:t>第二十条</w:t>
      </w:r>
      <w:r>
        <w:rPr>
          <w:rFonts w:eastAsia="方正仿宋_GBK"/>
          <w:color w:val="000000"/>
          <w:spacing w:val="-2"/>
          <w:kern w:val="0"/>
          <w:sz w:val="24"/>
        </w:rPr>
        <w:t xml:space="preserve">  </w:t>
      </w:r>
      <w:r>
        <w:rPr>
          <w:rFonts w:hint="eastAsia" w:eastAsia="方正仿宋_GBK"/>
          <w:color w:val="000000"/>
          <w:spacing w:val="-2"/>
          <w:kern w:val="0"/>
          <w:sz w:val="24"/>
        </w:rPr>
        <w:t>建立古树名木保护档案是做好古树名木保护的基础工作，档案包括：</w:t>
      </w:r>
      <w:r>
        <w:rPr>
          <w:rFonts w:eastAsia="方正仿宋_GBK"/>
          <w:color w:val="000000"/>
          <w:spacing w:val="-2"/>
          <w:kern w:val="0"/>
          <w:sz w:val="24"/>
        </w:rPr>
        <w:t>1</w:t>
      </w:r>
      <w:r>
        <w:rPr>
          <w:rFonts w:hint="eastAsia" w:eastAsia="方正仿宋_GBK"/>
          <w:color w:val="000000"/>
          <w:spacing w:val="-2"/>
          <w:kern w:val="0"/>
          <w:sz w:val="24"/>
        </w:rPr>
        <w:t>、古树名木登记表；</w:t>
      </w:r>
      <w:r>
        <w:rPr>
          <w:rFonts w:eastAsia="方正仿宋_GBK"/>
          <w:color w:val="000000"/>
          <w:spacing w:val="-2"/>
          <w:kern w:val="0"/>
          <w:sz w:val="24"/>
        </w:rPr>
        <w:t>2</w:t>
      </w:r>
      <w:r>
        <w:rPr>
          <w:rFonts w:hint="eastAsia" w:eastAsia="方正仿宋_GBK"/>
          <w:color w:val="000000"/>
          <w:spacing w:val="-2"/>
          <w:kern w:val="0"/>
          <w:sz w:val="24"/>
        </w:rPr>
        <w:t>、古树名木养护录表；</w:t>
      </w:r>
      <w:r>
        <w:rPr>
          <w:rFonts w:eastAsia="方正仿宋_GBK"/>
          <w:color w:val="000000"/>
          <w:spacing w:val="-2"/>
          <w:kern w:val="0"/>
          <w:sz w:val="24"/>
        </w:rPr>
        <w:t>3</w:t>
      </w:r>
      <w:r>
        <w:rPr>
          <w:rFonts w:hint="eastAsia" w:eastAsia="方正仿宋_GBK"/>
          <w:color w:val="000000"/>
          <w:spacing w:val="-2"/>
          <w:kern w:val="0"/>
          <w:sz w:val="24"/>
        </w:rPr>
        <w:t>、其它有关技术资料。</w:t>
      </w:r>
    </w:p>
    <w:p>
      <w:pPr>
        <w:spacing w:line="460" w:lineRule="exact"/>
        <w:ind w:firstLine="472" w:firstLineChars="200"/>
        <w:rPr>
          <w:rFonts w:eastAsia="方正仿宋_GBK"/>
          <w:color w:val="000000"/>
          <w:spacing w:val="-2"/>
          <w:kern w:val="0"/>
          <w:sz w:val="24"/>
        </w:rPr>
      </w:pPr>
      <w:r>
        <w:rPr>
          <w:rFonts w:hint="eastAsia" w:ascii="Times New Roman" w:eastAsia="方正黑体_GBK"/>
          <w:color w:val="000000"/>
          <w:spacing w:val="-2"/>
          <w:kern w:val="0"/>
          <w:sz w:val="24"/>
        </w:rPr>
        <w:t>第二十一条</w:t>
      </w:r>
      <w:r>
        <w:rPr>
          <w:rFonts w:eastAsia="方正仿宋_GBK"/>
          <w:color w:val="000000"/>
          <w:spacing w:val="-2"/>
          <w:kern w:val="0"/>
          <w:sz w:val="24"/>
        </w:rPr>
        <w:t xml:space="preserve">  </w:t>
      </w:r>
      <w:r>
        <w:rPr>
          <w:rFonts w:hint="eastAsia" w:eastAsia="方正仿宋_GBK"/>
          <w:color w:val="000000"/>
          <w:spacing w:val="-2"/>
          <w:kern w:val="0"/>
          <w:sz w:val="24"/>
        </w:rPr>
        <w:t>无论何种原因造成古树名木损伤或死亡的，</w:t>
      </w:r>
      <w:r>
        <w:rPr>
          <w:rFonts w:eastAsia="方正仿宋_GBK"/>
          <w:color w:val="000000"/>
          <w:spacing w:val="-2"/>
          <w:kern w:val="0"/>
          <w:sz w:val="24"/>
        </w:rPr>
        <w:t xml:space="preserve">  </w:t>
      </w:r>
      <w:r>
        <w:rPr>
          <w:rFonts w:hint="eastAsia" w:eastAsia="方正仿宋_GBK"/>
          <w:color w:val="000000"/>
          <w:spacing w:val="-2"/>
          <w:kern w:val="0"/>
          <w:sz w:val="24"/>
        </w:rPr>
        <w:t>均需由主管单位向主管部门出具书面报告，由主管部门组织专家进行实地论证核实后填表存档，并按有关规定予以处理。</w:t>
      </w:r>
    </w:p>
    <w:p>
      <w:pPr>
        <w:spacing w:line="460" w:lineRule="exact"/>
        <w:ind w:firstLine="472" w:firstLineChars="200"/>
        <w:rPr>
          <w:rFonts w:eastAsia="方正仿宋_GBK"/>
          <w:color w:val="000000"/>
          <w:spacing w:val="-2"/>
          <w:kern w:val="0"/>
          <w:sz w:val="24"/>
        </w:rPr>
      </w:pPr>
      <w:r>
        <w:rPr>
          <w:rFonts w:hint="eastAsia" w:ascii="Times New Roman" w:eastAsia="方正黑体_GBK"/>
          <w:color w:val="000000"/>
          <w:spacing w:val="-2"/>
          <w:kern w:val="0"/>
          <w:sz w:val="24"/>
        </w:rPr>
        <w:t>第二十二条</w:t>
      </w:r>
      <w:r>
        <w:rPr>
          <w:rFonts w:eastAsia="方正仿宋_GBK"/>
          <w:color w:val="000000"/>
          <w:spacing w:val="-2"/>
          <w:kern w:val="0"/>
          <w:sz w:val="24"/>
        </w:rPr>
        <w:t xml:space="preserve">  </w:t>
      </w:r>
      <w:r>
        <w:rPr>
          <w:rFonts w:hint="eastAsia" w:eastAsia="方正仿宋_GBK"/>
          <w:color w:val="000000"/>
          <w:spacing w:val="-2"/>
          <w:kern w:val="0"/>
          <w:sz w:val="24"/>
        </w:rPr>
        <w:t>对具有重大历史背景和纪念意义的已枯死的古树名木应在原地立牌说明。</w:t>
      </w:r>
    </w:p>
    <w:p>
      <w:pPr>
        <w:spacing w:line="460" w:lineRule="exact"/>
        <w:ind w:firstLine="472" w:firstLineChars="200"/>
        <w:rPr>
          <w:rFonts w:eastAsia="方正仿宋_GBK"/>
          <w:color w:val="000000"/>
          <w:spacing w:val="-2"/>
          <w:sz w:val="24"/>
        </w:rPr>
      </w:pPr>
    </w:p>
    <w:p>
      <w:pPr>
        <w:spacing w:line="460" w:lineRule="exact"/>
        <w:ind w:firstLine="472" w:firstLineChars="200"/>
        <w:rPr>
          <w:rFonts w:eastAsia="方正仿宋_GBK"/>
          <w:color w:val="000000"/>
          <w:spacing w:val="-2"/>
          <w:sz w:val="24"/>
        </w:rPr>
      </w:pPr>
    </w:p>
    <w:p>
      <w:pPr>
        <w:jc w:val="left"/>
        <w:rPr>
          <w:rFonts w:eastAsia="方正仿宋_GBK"/>
          <w:color w:val="000000"/>
          <w:spacing w:val="-2"/>
          <w:sz w:val="32"/>
          <w:szCs w:val="32"/>
        </w:rPr>
      </w:pPr>
    </w:p>
    <w:p>
      <w:pPr>
        <w:jc w:val="left"/>
        <w:rPr>
          <w:rFonts w:eastAsia="方正仿宋_GBK"/>
          <w:color w:val="000000"/>
          <w:spacing w:val="-2"/>
          <w:sz w:val="32"/>
          <w:szCs w:val="32"/>
        </w:rPr>
      </w:pPr>
    </w:p>
    <w:p>
      <w:pPr>
        <w:jc w:val="left"/>
        <w:rPr>
          <w:rFonts w:eastAsia="方正仿宋_GBK"/>
          <w:color w:val="000000"/>
          <w:spacing w:val="-2"/>
          <w:sz w:val="32"/>
          <w:szCs w:val="32"/>
        </w:rPr>
      </w:pPr>
    </w:p>
    <w:p>
      <w:pPr>
        <w:jc w:val="left"/>
        <w:rPr>
          <w:rFonts w:eastAsia="方正仿宋_GBK"/>
          <w:color w:val="000000"/>
          <w:spacing w:val="-2"/>
          <w:sz w:val="32"/>
          <w:szCs w:val="32"/>
        </w:rPr>
      </w:pPr>
    </w:p>
    <w:p>
      <w:pPr>
        <w:jc w:val="left"/>
        <w:rPr>
          <w:rFonts w:eastAsia="方正仿宋_GBK"/>
          <w:color w:val="000000"/>
          <w:spacing w:val="-2"/>
          <w:sz w:val="32"/>
          <w:szCs w:val="32"/>
        </w:rPr>
      </w:pPr>
    </w:p>
    <w:p>
      <w:pPr>
        <w:jc w:val="left"/>
        <w:rPr>
          <w:rFonts w:eastAsia="方正仿宋_GBK"/>
          <w:color w:val="000000"/>
          <w:spacing w:val="-2"/>
          <w:sz w:val="32"/>
          <w:szCs w:val="32"/>
        </w:rPr>
      </w:pPr>
    </w:p>
    <w:p>
      <w:pPr>
        <w:jc w:val="left"/>
        <w:rPr>
          <w:rFonts w:eastAsia="方正仿宋_GBK"/>
          <w:color w:val="000000"/>
          <w:spacing w:val="-2"/>
          <w:sz w:val="32"/>
          <w:szCs w:val="32"/>
        </w:rPr>
      </w:pPr>
    </w:p>
    <w:p>
      <w:pPr>
        <w:jc w:val="left"/>
        <w:rPr>
          <w:rFonts w:eastAsia="方正仿宋_GBK"/>
          <w:color w:val="000000"/>
          <w:spacing w:val="-2"/>
          <w:sz w:val="32"/>
          <w:szCs w:val="32"/>
        </w:rPr>
      </w:pPr>
    </w:p>
    <w:p>
      <w:pPr>
        <w:jc w:val="left"/>
        <w:rPr>
          <w:rFonts w:eastAsia="方正仿宋_GBK"/>
          <w:color w:val="000000"/>
          <w:spacing w:val="-2"/>
          <w:sz w:val="32"/>
          <w:szCs w:val="32"/>
        </w:rPr>
      </w:pPr>
    </w:p>
    <w:p>
      <w:pPr>
        <w:jc w:val="left"/>
        <w:rPr>
          <w:rFonts w:eastAsia="方正仿宋_GBK"/>
          <w:color w:val="000000"/>
          <w:spacing w:val="-2"/>
          <w:sz w:val="32"/>
          <w:szCs w:val="32"/>
        </w:rPr>
      </w:pPr>
    </w:p>
    <w:p>
      <w:pPr>
        <w:jc w:val="left"/>
        <w:rPr>
          <w:rFonts w:eastAsia="方正仿宋_GBK"/>
          <w:color w:val="000000"/>
          <w:spacing w:val="-2"/>
          <w:sz w:val="32"/>
          <w:szCs w:val="32"/>
        </w:rPr>
      </w:pPr>
    </w:p>
    <w:p>
      <w:pPr>
        <w:jc w:val="left"/>
        <w:rPr>
          <w:rFonts w:eastAsia="方正仿宋_GBK"/>
          <w:color w:val="000000"/>
          <w:spacing w:val="-2"/>
          <w:sz w:val="32"/>
          <w:szCs w:val="32"/>
        </w:rPr>
      </w:pPr>
    </w:p>
    <w:p>
      <w:pPr>
        <w:jc w:val="left"/>
        <w:rPr>
          <w:rFonts w:eastAsia="方正仿宋_GBK"/>
          <w:color w:val="000000"/>
          <w:spacing w:val="-2"/>
          <w:sz w:val="32"/>
          <w:szCs w:val="32"/>
        </w:rPr>
      </w:pPr>
    </w:p>
    <w:p>
      <w:pPr>
        <w:jc w:val="left"/>
        <w:rPr>
          <w:rFonts w:eastAsia="方正仿宋_GBK"/>
          <w:color w:val="000000"/>
          <w:spacing w:val="-2"/>
          <w:sz w:val="32"/>
          <w:szCs w:val="32"/>
        </w:rPr>
      </w:pPr>
    </w:p>
    <w:p>
      <w:pPr>
        <w:jc w:val="left"/>
        <w:rPr>
          <w:rFonts w:eastAsia="方正仿宋_GBK"/>
          <w:color w:val="000000"/>
          <w:spacing w:val="-2"/>
          <w:sz w:val="32"/>
          <w:szCs w:val="32"/>
        </w:rPr>
      </w:pPr>
    </w:p>
    <w:p>
      <w:pPr>
        <w:jc w:val="left"/>
        <w:rPr>
          <w:rFonts w:eastAsia="方正仿宋_GBK"/>
          <w:color w:val="000000"/>
          <w:spacing w:val="-2"/>
          <w:sz w:val="32"/>
          <w:szCs w:val="32"/>
        </w:rPr>
      </w:pPr>
    </w:p>
    <w:p>
      <w:pPr>
        <w:jc w:val="left"/>
        <w:rPr>
          <w:rFonts w:eastAsia="方正仿宋_GBK"/>
          <w:color w:val="000000"/>
          <w:spacing w:val="-2"/>
          <w:sz w:val="32"/>
          <w:szCs w:val="32"/>
        </w:rPr>
      </w:pPr>
    </w:p>
    <w:p>
      <w:pPr>
        <w:jc w:val="left"/>
        <w:rPr>
          <w:rFonts w:eastAsia="方正仿宋_GBK"/>
          <w:color w:val="000000"/>
          <w:spacing w:val="-2"/>
          <w:sz w:val="32"/>
          <w:szCs w:val="32"/>
        </w:rPr>
      </w:pPr>
    </w:p>
    <w:p>
      <w:pPr>
        <w:jc w:val="left"/>
        <w:rPr>
          <w:rFonts w:eastAsia="方正仿宋_GBK"/>
          <w:color w:val="000000"/>
          <w:spacing w:val="-2"/>
          <w:sz w:val="32"/>
          <w:szCs w:val="32"/>
        </w:rPr>
      </w:pPr>
    </w:p>
    <w:p>
      <w:pPr>
        <w:jc w:val="left"/>
        <w:rPr>
          <w:rFonts w:eastAsia="方正仿宋_GBK"/>
          <w:color w:val="000000"/>
          <w:spacing w:val="-2"/>
          <w:sz w:val="32"/>
          <w:szCs w:val="32"/>
        </w:rPr>
      </w:pPr>
    </w:p>
    <w:p>
      <w:pPr>
        <w:jc w:val="left"/>
        <w:rPr>
          <w:rFonts w:eastAsia="方正仿宋_GBK"/>
          <w:color w:val="000000"/>
          <w:spacing w:val="-2"/>
          <w:sz w:val="32"/>
          <w:szCs w:val="32"/>
        </w:rPr>
      </w:pPr>
    </w:p>
    <w:p>
      <w:pPr>
        <w:jc w:val="left"/>
        <w:rPr>
          <w:rFonts w:eastAsia="方正仿宋_GBK"/>
          <w:color w:val="000000"/>
          <w:spacing w:val="-2"/>
          <w:sz w:val="32"/>
          <w:szCs w:val="32"/>
        </w:rPr>
      </w:pPr>
    </w:p>
    <w:p>
      <w:pPr>
        <w:jc w:val="left"/>
        <w:rPr>
          <w:rFonts w:eastAsia="方正仿宋_GBK"/>
          <w:color w:val="000000"/>
          <w:spacing w:val="-2"/>
          <w:sz w:val="32"/>
          <w:szCs w:val="32"/>
        </w:rPr>
      </w:pPr>
    </w:p>
    <w:p>
      <w:pPr>
        <w:jc w:val="left"/>
        <w:rPr>
          <w:rFonts w:eastAsia="方正仿宋_GBK"/>
          <w:color w:val="000000"/>
          <w:spacing w:val="-2"/>
          <w:sz w:val="32"/>
          <w:szCs w:val="32"/>
        </w:rPr>
      </w:pPr>
    </w:p>
    <w:p>
      <w:pPr>
        <w:jc w:val="left"/>
        <w:rPr>
          <w:rFonts w:eastAsia="方正仿宋_GBK"/>
          <w:color w:val="000000"/>
          <w:spacing w:val="-2"/>
          <w:sz w:val="32"/>
          <w:szCs w:val="32"/>
        </w:rPr>
      </w:pPr>
    </w:p>
    <w:p>
      <w:pPr>
        <w:jc w:val="left"/>
        <w:rPr>
          <w:rFonts w:eastAsia="方正仿宋_GBK"/>
          <w:color w:val="000000"/>
          <w:spacing w:val="-2"/>
          <w:sz w:val="32"/>
          <w:szCs w:val="32"/>
        </w:rPr>
      </w:pPr>
    </w:p>
    <w:p>
      <w:pPr>
        <w:jc w:val="left"/>
        <w:rPr>
          <w:rFonts w:eastAsia="方正仿宋_GBK"/>
          <w:color w:val="000000"/>
          <w:spacing w:val="-2"/>
          <w:sz w:val="32"/>
          <w:szCs w:val="32"/>
        </w:rPr>
      </w:pPr>
    </w:p>
    <w:p>
      <w:pPr>
        <w:jc w:val="left"/>
        <w:rPr>
          <w:rFonts w:eastAsia="方正仿宋_GBK"/>
          <w:color w:val="000000"/>
          <w:spacing w:val="-2"/>
          <w:sz w:val="32"/>
          <w:szCs w:val="32"/>
        </w:rPr>
      </w:pPr>
    </w:p>
    <w:p>
      <w:pPr>
        <w:pStyle w:val="2"/>
        <w:spacing w:before="240" w:beforeLines="100" w:after="240" w:afterLines="100" w:line="240" w:lineRule="auto"/>
        <w:jc w:val="center"/>
        <w:rPr>
          <w:rFonts w:ascii="Times New Roman" w:eastAsia="方正小标宋_GBK"/>
          <w:b w:val="0"/>
          <w:sz w:val="36"/>
          <w:szCs w:val="36"/>
        </w:rPr>
      </w:pPr>
      <w:bookmarkStart w:id="422" w:name="_Toc18315781"/>
      <w:bookmarkStart w:id="423" w:name="_Toc20726640"/>
      <w:r>
        <w:rPr>
          <w:rFonts w:hint="eastAsia" w:ascii="Times New Roman" w:eastAsia="方正小标宋_GBK"/>
          <w:b w:val="0"/>
          <w:sz w:val="36"/>
          <w:szCs w:val="36"/>
        </w:rPr>
        <w:t>省住房城乡建设厅关于进一步加强公园工作的意见</w:t>
      </w:r>
      <w:bookmarkEnd w:id="422"/>
      <w:bookmarkEnd w:id="423"/>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424" w:name="_Toc20726641"/>
      <w:bookmarkStart w:id="425" w:name="_Toc18315782"/>
      <w:r>
        <w:rPr>
          <w:rFonts w:hint="eastAsia" w:ascii="Times New Roman" w:hAnsi="Times New Roman" w:eastAsia="方正楷体_GBK"/>
          <w:b w:val="0"/>
          <w:sz w:val="24"/>
          <w:szCs w:val="24"/>
        </w:rPr>
        <w:t>苏建园〔</w:t>
      </w:r>
      <w:r>
        <w:rPr>
          <w:rFonts w:ascii="Times New Roman" w:hAnsi="Times New Roman" w:eastAsia="方正楷体_GBK"/>
          <w:b w:val="0"/>
          <w:sz w:val="24"/>
          <w:szCs w:val="24"/>
        </w:rPr>
        <w:t>2013</w:t>
      </w:r>
      <w:r>
        <w:rPr>
          <w:rFonts w:hint="eastAsia" w:ascii="Times New Roman" w:hAnsi="Times New Roman" w:eastAsia="方正楷体_GBK"/>
          <w:b w:val="0"/>
          <w:sz w:val="24"/>
          <w:szCs w:val="24"/>
        </w:rPr>
        <w:t>〕</w:t>
      </w:r>
      <w:r>
        <w:rPr>
          <w:rFonts w:ascii="Times New Roman" w:hAnsi="Times New Roman" w:eastAsia="方正楷体_GBK"/>
          <w:b w:val="0"/>
          <w:sz w:val="24"/>
          <w:szCs w:val="24"/>
        </w:rPr>
        <w:t>402</w:t>
      </w:r>
      <w:r>
        <w:rPr>
          <w:rFonts w:hint="eastAsia" w:ascii="Times New Roman" w:hAnsi="Times New Roman" w:eastAsia="方正楷体_GBK"/>
          <w:b w:val="0"/>
          <w:sz w:val="24"/>
          <w:szCs w:val="24"/>
        </w:rPr>
        <w:t>号</w:t>
      </w:r>
      <w:bookmarkEnd w:id="424"/>
      <w:bookmarkEnd w:id="425"/>
    </w:p>
    <w:p>
      <w:pPr>
        <w:spacing w:line="440" w:lineRule="exact"/>
        <w:rPr>
          <w:rFonts w:eastAsia="方正仿宋_GBK"/>
          <w:color w:val="000000"/>
          <w:spacing w:val="-2"/>
          <w:sz w:val="24"/>
        </w:rPr>
      </w:pPr>
      <w:r>
        <w:rPr>
          <w:rFonts w:hint="eastAsia" w:eastAsia="方正仿宋_GBK"/>
          <w:color w:val="000000"/>
          <w:spacing w:val="-2"/>
          <w:sz w:val="24"/>
        </w:rPr>
        <w:t>各市园林（建设）局：</w:t>
      </w:r>
    </w:p>
    <w:p>
      <w:pPr>
        <w:spacing w:line="440" w:lineRule="exact"/>
        <w:ind w:firstLine="472" w:firstLineChars="200"/>
        <w:rPr>
          <w:rFonts w:eastAsia="方正仿宋_GBK"/>
          <w:color w:val="000000"/>
          <w:spacing w:val="-2"/>
          <w:sz w:val="24"/>
        </w:rPr>
      </w:pPr>
      <w:r>
        <w:rPr>
          <w:rFonts w:hint="eastAsia" w:eastAsia="方正仿宋_GBK"/>
          <w:color w:val="000000"/>
          <w:spacing w:val="-2"/>
          <w:sz w:val="24"/>
        </w:rPr>
        <w:t>为全面贯彻落实党的十八大精神，推进生态文明建设，进一步加强我省公园规划、建设、管理和保护工作，充分发挥公园在城市建设和生态环境保护中的重要功能，促进我省公园事业健康、有序、可持续发展，现结合我省实际情况，就贯彻落实住房城乡建设部建城〔</w:t>
      </w:r>
      <w:r>
        <w:rPr>
          <w:rFonts w:eastAsia="方正仿宋_GBK"/>
          <w:color w:val="000000"/>
          <w:spacing w:val="-2"/>
          <w:sz w:val="24"/>
        </w:rPr>
        <w:t>2013</w:t>
      </w:r>
      <w:r>
        <w:rPr>
          <w:rFonts w:hint="eastAsia" w:eastAsia="方正仿宋_GBK"/>
          <w:color w:val="000000"/>
          <w:spacing w:val="-2"/>
          <w:sz w:val="24"/>
        </w:rPr>
        <w:t>〕</w:t>
      </w:r>
      <w:r>
        <w:rPr>
          <w:rFonts w:eastAsia="方正仿宋_GBK"/>
          <w:color w:val="000000"/>
          <w:spacing w:val="-2"/>
          <w:sz w:val="24"/>
        </w:rPr>
        <w:t>73</w:t>
      </w:r>
      <w:r>
        <w:rPr>
          <w:rFonts w:hint="eastAsia" w:eastAsia="方正仿宋_GBK"/>
          <w:color w:val="000000"/>
          <w:spacing w:val="-2"/>
          <w:sz w:val="24"/>
        </w:rPr>
        <w:t>号文件精神，提出如下意见。</w:t>
      </w:r>
    </w:p>
    <w:p>
      <w:pPr>
        <w:spacing w:line="440" w:lineRule="exact"/>
        <w:ind w:firstLine="472" w:firstLineChars="200"/>
        <w:rPr>
          <w:rFonts w:eastAsia="方正黑体_GBK"/>
          <w:color w:val="000000"/>
          <w:spacing w:val="-2"/>
          <w:sz w:val="24"/>
        </w:rPr>
      </w:pPr>
      <w:r>
        <w:rPr>
          <w:rFonts w:hint="eastAsia" w:eastAsia="方正黑体_GBK"/>
          <w:color w:val="000000"/>
          <w:spacing w:val="-2"/>
          <w:sz w:val="24"/>
        </w:rPr>
        <w:t>一、重视公园事业发展，体现社会公益属性</w:t>
      </w:r>
    </w:p>
    <w:p>
      <w:pPr>
        <w:spacing w:line="440" w:lineRule="exact"/>
        <w:ind w:firstLine="456" w:firstLineChars="200"/>
        <w:rPr>
          <w:rFonts w:eastAsia="方正仿宋_GBK"/>
          <w:color w:val="000000"/>
          <w:spacing w:val="-6"/>
          <w:sz w:val="24"/>
        </w:rPr>
      </w:pPr>
      <w:r>
        <w:rPr>
          <w:rFonts w:hint="eastAsia" w:eastAsia="方正仿宋_GBK"/>
          <w:color w:val="000000"/>
          <w:spacing w:val="-6"/>
          <w:sz w:val="24"/>
        </w:rPr>
        <w:t>公园是提供公共服务的重要社会事业，是城市绿地系统的核心组成部分，是人民群众共享园林绿化成果的公众场所，具有改善生态、美化环境、休闲游憩、传承文化、保护资源、科普教育、防灾避险等方面功能。各市（县）要从建设生态文明和构建和谐社会的高度，充分认识公园事业发展的重要意义，严格遵循</w:t>
      </w:r>
      <w:r>
        <w:rPr>
          <w:rFonts w:eastAsia="方正仿宋_GBK"/>
          <w:color w:val="000000"/>
          <w:spacing w:val="-6"/>
          <w:sz w:val="24"/>
        </w:rPr>
        <w:t>“</w:t>
      </w:r>
      <w:r>
        <w:rPr>
          <w:rFonts w:hint="eastAsia" w:eastAsia="方正仿宋_GBK"/>
          <w:color w:val="000000"/>
          <w:spacing w:val="-6"/>
          <w:sz w:val="24"/>
        </w:rPr>
        <w:t>保护优先、生态优先、合理利用、持续发展</w:t>
      </w:r>
      <w:r>
        <w:rPr>
          <w:rFonts w:eastAsia="方正仿宋_GBK"/>
          <w:color w:val="000000"/>
          <w:spacing w:val="-6"/>
          <w:sz w:val="24"/>
        </w:rPr>
        <w:t>”</w:t>
      </w:r>
      <w:r>
        <w:rPr>
          <w:rFonts w:hint="eastAsia" w:eastAsia="方正仿宋_GBK"/>
          <w:color w:val="000000"/>
          <w:spacing w:val="-6"/>
          <w:sz w:val="24"/>
        </w:rPr>
        <w:t>的方针，坚持公园的公益性质，发挥公园在改善城市生态环境、维护生态平衡、创造适宜人居环境、引领城市园林绿化发展等方面的积极作用，在规划控制、资源协调、政策保障、监督管理等方面强化政府主导作用，切实抓好公园各项工作。</w:t>
      </w:r>
    </w:p>
    <w:p>
      <w:pPr>
        <w:spacing w:line="440" w:lineRule="exact"/>
        <w:ind w:firstLine="472" w:firstLineChars="200"/>
        <w:rPr>
          <w:rFonts w:eastAsia="方正仿宋_GBK"/>
          <w:color w:val="000000"/>
          <w:spacing w:val="-2"/>
          <w:sz w:val="24"/>
        </w:rPr>
      </w:pPr>
      <w:r>
        <w:rPr>
          <w:rFonts w:hint="eastAsia" w:eastAsia="方正仿宋_GBK"/>
          <w:color w:val="000000"/>
          <w:spacing w:val="-2"/>
          <w:sz w:val="24"/>
        </w:rPr>
        <w:t>各市（县）要把公园事业纳入本地区国民经济和社会发展计划，将社会公益性公园规划建设、维护管理和保护费用列入政府公共财政预算，逐渐增加管理和维护经费，积极推行免费开放，实施特殊人群优惠政策，切实满足人民群众休闲、娱乐、健身等生活需要。</w:t>
      </w:r>
    </w:p>
    <w:p>
      <w:pPr>
        <w:spacing w:line="440" w:lineRule="exact"/>
        <w:ind w:firstLine="472" w:firstLineChars="200"/>
        <w:rPr>
          <w:rFonts w:eastAsia="方正黑体_GBK"/>
          <w:color w:val="000000"/>
          <w:spacing w:val="-2"/>
          <w:sz w:val="24"/>
        </w:rPr>
      </w:pPr>
      <w:r>
        <w:rPr>
          <w:rFonts w:hint="eastAsia" w:eastAsia="方正黑体_GBK"/>
          <w:color w:val="000000"/>
          <w:spacing w:val="-2"/>
          <w:sz w:val="24"/>
        </w:rPr>
        <w:t>二、科学规划公园布局，合理构建公园体系</w:t>
      </w:r>
    </w:p>
    <w:p>
      <w:pPr>
        <w:spacing w:line="440" w:lineRule="exact"/>
        <w:ind w:firstLine="472" w:firstLineChars="200"/>
        <w:rPr>
          <w:rFonts w:eastAsia="方正仿宋_GBK"/>
          <w:color w:val="000000"/>
          <w:spacing w:val="-2"/>
          <w:sz w:val="24"/>
        </w:rPr>
      </w:pPr>
      <w:r>
        <w:rPr>
          <w:rFonts w:hint="eastAsia" w:eastAsia="方正仿宋_GBK"/>
          <w:color w:val="000000"/>
          <w:spacing w:val="-2"/>
          <w:sz w:val="24"/>
        </w:rPr>
        <w:t>各市（县）城市园林绿化行政主管部门要牢固树立以人为本、尊重科学、顺应自然、低碳节约的规划设计理念，在编制或修编城市绿地系统规划时，应当根据城市总体规划、土地利用规划，会同有关部门组织编制公园发展与保护专项规划，合理划定公园规划用地和保护范围，并报同级人民政府批准后实施。已经城市总体规划和城市绿地系统规划确定的公园建设用地，要确保公园用地性质及其完整性。要严格按照《城市绿线管理办法》，对已建成开放的公园，划定保护范围并确定四至坐标，明确界线。在建的和规划确定的公园用地，任何单位和个人不得擅自改变用地性质或者占用公园绿地。具有历史文化风貌和保护价值的公园应当纳入城市历史文化保护规划，列入世界遗产名录的或具备文化与自然遗产价值的，严格依据相关法律法规进行保护管理。</w:t>
      </w:r>
    </w:p>
    <w:p>
      <w:pPr>
        <w:spacing w:line="440" w:lineRule="exact"/>
        <w:ind w:firstLine="472" w:firstLineChars="200"/>
        <w:rPr>
          <w:rFonts w:eastAsia="方正仿宋_GBK"/>
          <w:color w:val="000000"/>
          <w:spacing w:val="-2"/>
          <w:sz w:val="24"/>
        </w:rPr>
      </w:pPr>
      <w:r>
        <w:rPr>
          <w:rFonts w:hint="eastAsia" w:eastAsia="方正仿宋_GBK"/>
          <w:color w:val="000000"/>
          <w:spacing w:val="-2"/>
          <w:sz w:val="24"/>
        </w:rPr>
        <w:t>各市（县）应合理构建</w:t>
      </w:r>
      <w:r>
        <w:rPr>
          <w:rFonts w:eastAsia="方正仿宋_GBK"/>
          <w:color w:val="000000"/>
          <w:spacing w:val="-2"/>
          <w:sz w:val="24"/>
        </w:rPr>
        <w:t>“</w:t>
      </w:r>
      <w:r>
        <w:rPr>
          <w:rFonts w:hint="eastAsia" w:eastAsia="方正仿宋_GBK"/>
          <w:color w:val="000000"/>
          <w:spacing w:val="-2"/>
          <w:sz w:val="24"/>
        </w:rPr>
        <w:t>数量达标、分布均衡、功能完善、品质优良</w:t>
      </w:r>
      <w:r>
        <w:rPr>
          <w:rFonts w:eastAsia="方正仿宋_GBK"/>
          <w:color w:val="000000"/>
          <w:spacing w:val="-2"/>
          <w:sz w:val="24"/>
        </w:rPr>
        <w:t>”</w:t>
      </w:r>
      <w:r>
        <w:rPr>
          <w:rFonts w:hint="eastAsia" w:eastAsia="方正仿宋_GBK"/>
          <w:color w:val="000000"/>
          <w:spacing w:val="-2"/>
          <w:sz w:val="24"/>
        </w:rPr>
        <w:t>的公园体系，积极选择和挖掘历史文化遗址、遗迹及其他具有纪念意义、自然条件良好等区域，结合周边环境规划建设公园，突出公园文化内涵、地域风貌和城市特色。公园规划建设项目立项后，应当公开征集社会意见，组织专家论证，确定公园名称，并向社会公示。</w:t>
      </w:r>
    </w:p>
    <w:p>
      <w:pPr>
        <w:spacing w:line="440" w:lineRule="exact"/>
        <w:ind w:firstLine="472" w:firstLineChars="200"/>
        <w:rPr>
          <w:rFonts w:eastAsia="方正黑体_GBK"/>
          <w:color w:val="000000"/>
          <w:spacing w:val="-2"/>
          <w:sz w:val="24"/>
        </w:rPr>
      </w:pPr>
      <w:r>
        <w:rPr>
          <w:rFonts w:hint="eastAsia" w:eastAsia="方正黑体_GBK"/>
          <w:color w:val="000000"/>
          <w:spacing w:val="-2"/>
          <w:sz w:val="24"/>
        </w:rPr>
        <w:t>三、优化公园设计建设，提升公园功能品质</w:t>
      </w:r>
    </w:p>
    <w:p>
      <w:pPr>
        <w:spacing w:line="440" w:lineRule="exact"/>
        <w:ind w:firstLine="472" w:firstLineChars="200"/>
        <w:rPr>
          <w:rFonts w:eastAsia="方正仿宋_GBK"/>
          <w:color w:val="000000"/>
          <w:spacing w:val="-2"/>
          <w:sz w:val="24"/>
        </w:rPr>
      </w:pPr>
      <w:r>
        <w:rPr>
          <w:rFonts w:hint="eastAsia" w:eastAsia="方正仿宋_GBK"/>
          <w:color w:val="000000"/>
          <w:spacing w:val="-2"/>
          <w:sz w:val="24"/>
        </w:rPr>
        <w:t>各市（县）要采取有力措施，有序建设新公园，合理改造提升原有公园，加快植物园、湿地公园、郊野公园、专类园等不同类型公园的建设，有条件的要积极开展国家重点公园、国家城市湿地公园等申报工作。新建、改建、扩建的公园必须符合国家有关公园建设的规定和审批程序，涉及遗产、文物、国家重点公园、国家城市湿地公园等，应按照规定报省或国家有关主管部门批准。推行项目建设公示、公开制度，自觉接受社会公众和新闻媒体的监督，使公园监管公开化。</w:t>
      </w:r>
    </w:p>
    <w:p>
      <w:pPr>
        <w:spacing w:line="440" w:lineRule="exact"/>
        <w:ind w:firstLine="472" w:firstLineChars="200"/>
        <w:rPr>
          <w:rFonts w:eastAsia="方正仿宋_GBK"/>
          <w:color w:val="000000"/>
          <w:spacing w:val="-2"/>
          <w:sz w:val="24"/>
        </w:rPr>
      </w:pPr>
      <w:r>
        <w:rPr>
          <w:rFonts w:hint="eastAsia" w:eastAsia="方正仿宋_GBK"/>
          <w:color w:val="000000"/>
          <w:spacing w:val="-2"/>
          <w:sz w:val="24"/>
        </w:rPr>
        <w:t>公园各类设施应当按照《公园设计规范》设置，统一规划，控制规模，并与公园功能相适应，与公园景观相协调。严格控制公园内建筑物、构筑物、配套设施设备等建设，不符合规划设计的应依法整改或拆除，对环境有影响的服务娱乐项目应当配套建设污染治理设施。合理设置公园交通系统，保障公园内交通微循环与城市绿道绿廊等慢行交通系统有效衔接。严格控制公园周边的开发建设，有条件地区可在公园周围划定建设控制地带。</w:t>
      </w:r>
    </w:p>
    <w:p>
      <w:pPr>
        <w:spacing w:line="440" w:lineRule="exact"/>
        <w:ind w:firstLine="472" w:firstLineChars="200"/>
        <w:rPr>
          <w:rFonts w:eastAsia="方正仿宋_GBK"/>
          <w:color w:val="000000"/>
          <w:spacing w:val="-2"/>
          <w:sz w:val="24"/>
        </w:rPr>
      </w:pPr>
      <w:r>
        <w:rPr>
          <w:rFonts w:hint="eastAsia" w:eastAsia="方正仿宋_GBK"/>
          <w:color w:val="000000"/>
          <w:spacing w:val="-2"/>
          <w:sz w:val="24"/>
        </w:rPr>
        <w:t>我省现存较多历史悠久或风格独特公园，代表一定时期的园林艺术的最高水准，具有较高的艺术价值和科研价值。各市（县）要注重历史文化名园、古典园林的保护和维护修复，保持原有风貌和布局。深入挖掘不同公园的历史文化内涵，体现地域文化和城市精神，结合多种展示形式，宣传我省园林的悠久历史文化和园林艺术，提升公园的文化品位与内涵。</w:t>
      </w:r>
    </w:p>
    <w:p>
      <w:pPr>
        <w:spacing w:line="440" w:lineRule="exact"/>
        <w:ind w:firstLine="472" w:firstLineChars="200"/>
        <w:rPr>
          <w:rFonts w:eastAsia="方正仿宋_GBK"/>
          <w:color w:val="000000"/>
          <w:spacing w:val="-2"/>
          <w:sz w:val="24"/>
        </w:rPr>
      </w:pPr>
      <w:r>
        <w:rPr>
          <w:rFonts w:hint="eastAsia" w:eastAsia="方正仿宋_GBK"/>
          <w:color w:val="000000"/>
          <w:spacing w:val="-2"/>
          <w:sz w:val="24"/>
        </w:rPr>
        <w:t>公园建设要坚持节约型、生态型、功能完善型发展道路，积极推广应用绿色照明、清洁能源、雨水收集及中水利用、园林垃圾资源化利用等新材料、新工艺、新技术，注重公园建设在城市园林绿化发展方向的示范性和引领作用。发挥公园生态调控功能，通过合理利用公园湿地、绿化、透水铺装等，增强雨洪调控能力，滞留和净化雨水回补地下水。公园建设应以植物景观为主，保证绿地面积不得少于公园陆地总面积的</w:t>
      </w:r>
      <w:r>
        <w:rPr>
          <w:rFonts w:eastAsia="方正仿宋_GBK"/>
          <w:color w:val="000000"/>
          <w:spacing w:val="-2"/>
          <w:sz w:val="24"/>
        </w:rPr>
        <w:t>65%</w:t>
      </w:r>
      <w:r>
        <w:rPr>
          <w:rFonts w:hint="eastAsia" w:eastAsia="方正仿宋_GBK"/>
          <w:color w:val="000000"/>
          <w:spacing w:val="-2"/>
          <w:sz w:val="24"/>
        </w:rPr>
        <w:t>。坚持适地适树，优先使用苗圃培育的乡土适生植物，营造以乔木为骨干的复层植物群落。按照平灾结合、综合利用的原则，根据城市防灾避险规划逐步实施公园应急避险场所建设，配备应急供水、供电、排污、厕所等生活设施，有效体现公园防灾避险功能。</w:t>
      </w:r>
    </w:p>
    <w:p>
      <w:pPr>
        <w:spacing w:line="440" w:lineRule="exact"/>
        <w:ind w:firstLine="472" w:firstLineChars="200"/>
        <w:rPr>
          <w:rFonts w:eastAsia="方正黑体_GBK"/>
          <w:color w:val="000000"/>
          <w:spacing w:val="-2"/>
          <w:sz w:val="24"/>
        </w:rPr>
      </w:pPr>
      <w:r>
        <w:rPr>
          <w:rFonts w:hint="eastAsia" w:eastAsia="方正黑体_GBK"/>
          <w:color w:val="000000"/>
          <w:spacing w:val="-2"/>
          <w:sz w:val="24"/>
        </w:rPr>
        <w:t>四、改善公园服务质量，确保运营安全有序</w:t>
      </w:r>
    </w:p>
    <w:p>
      <w:pPr>
        <w:spacing w:line="440" w:lineRule="exact"/>
        <w:ind w:firstLine="472" w:firstLineChars="200"/>
        <w:rPr>
          <w:rFonts w:eastAsia="方正仿宋_GBK"/>
          <w:color w:val="000000"/>
          <w:spacing w:val="-2"/>
          <w:sz w:val="24"/>
        </w:rPr>
      </w:pPr>
      <w:r>
        <w:rPr>
          <w:rFonts w:hint="eastAsia" w:eastAsia="方正仿宋_GBK"/>
          <w:color w:val="000000"/>
          <w:spacing w:val="-2"/>
          <w:sz w:val="24"/>
        </w:rPr>
        <w:t>公园是社会公共资源，要确保公园公共服务属性，严禁任何与公园公益性质及服务游人宗旨相违背的经营行为。公园内严格控制商业目的的展览、演出、影视拍摄等活动，利用公园建筑、设施而设置的经营项目应以服务游客为宗旨，与公园环境相协调。严禁在公园内设立为少数人服务的会所、高档餐馆和茶楼等。公园内各类游乐经营设施设置应符合公园总体规划设计，不得随意扩大经营范围，不得破坏、污染环境，已建成使用的设施应保持功能完好，保障运营安全。</w:t>
      </w:r>
    </w:p>
    <w:p>
      <w:pPr>
        <w:spacing w:line="440" w:lineRule="exact"/>
        <w:ind w:firstLine="472" w:firstLineChars="200"/>
        <w:rPr>
          <w:rFonts w:eastAsia="方正仿宋_GBK"/>
          <w:color w:val="000000"/>
          <w:spacing w:val="-2"/>
          <w:sz w:val="24"/>
        </w:rPr>
      </w:pPr>
      <w:r>
        <w:rPr>
          <w:rFonts w:hint="eastAsia" w:eastAsia="方正仿宋_GBK"/>
          <w:color w:val="000000"/>
          <w:spacing w:val="-2"/>
          <w:sz w:val="24"/>
        </w:rPr>
        <w:t>各公园应按照《江苏省公园服务规范》要求，开展符合公园特色、充分满足游客需求的服务，不断提高服务质量，加强专业技术人才队伍的培养，提升整体服务质量和服务水平。公园卫生保洁、安全保卫和绿化养护等作业可逐步推行社会化和市场化运作方式。</w:t>
      </w:r>
    </w:p>
    <w:p>
      <w:pPr>
        <w:spacing w:line="440" w:lineRule="exact"/>
        <w:ind w:firstLine="472" w:firstLineChars="200"/>
        <w:rPr>
          <w:rFonts w:eastAsia="方正黑体_GBK"/>
          <w:color w:val="000000"/>
          <w:spacing w:val="-2"/>
          <w:sz w:val="24"/>
        </w:rPr>
      </w:pPr>
      <w:r>
        <w:rPr>
          <w:rFonts w:hint="eastAsia" w:eastAsia="方正黑体_GBK"/>
          <w:color w:val="000000"/>
          <w:spacing w:val="-2"/>
          <w:sz w:val="24"/>
        </w:rPr>
        <w:t>五、加大公园保护力度，整治违法违规行为</w:t>
      </w:r>
    </w:p>
    <w:p>
      <w:pPr>
        <w:spacing w:line="440" w:lineRule="exact"/>
        <w:ind w:firstLine="472" w:firstLineChars="200"/>
        <w:rPr>
          <w:rFonts w:eastAsia="方正仿宋_GBK"/>
          <w:color w:val="000000"/>
          <w:spacing w:val="-2"/>
          <w:sz w:val="24"/>
        </w:rPr>
      </w:pPr>
      <w:r>
        <w:rPr>
          <w:rFonts w:hint="eastAsia" w:eastAsia="方正仿宋_GBK"/>
          <w:color w:val="000000"/>
          <w:spacing w:val="-2"/>
          <w:sz w:val="24"/>
        </w:rPr>
        <w:t>各市（县）要加强对公园的保护工作，任何单位和个人不得擅自占用公园用地，已占用的公园用地，应当限期归还，恢复原状。禁止借改造、搬迁等名义侵占公园，确需搬迁的要经过充分论证，经审核同意并公示，搬迁后不得改变公园绿地的公益性质，不得改变原址用地的公园绿地性质和使用功能。市政工程涉及已建成公园的必须采取合理避让措施，因城市建设或其他特殊原因需要临时穿越或占用公园用地的，不得超过公园地上或地下面积的</w:t>
      </w:r>
      <w:r>
        <w:rPr>
          <w:rFonts w:eastAsia="方正仿宋_GBK"/>
          <w:color w:val="000000"/>
          <w:spacing w:val="-2"/>
          <w:sz w:val="24"/>
        </w:rPr>
        <w:t>30%</w:t>
      </w:r>
      <w:r>
        <w:rPr>
          <w:rFonts w:hint="eastAsia" w:eastAsia="方正仿宋_GBK"/>
          <w:color w:val="000000"/>
          <w:spacing w:val="-2"/>
          <w:sz w:val="24"/>
        </w:rPr>
        <w:t>，并征得城市园林绿化主管部门意见后实施，依照《城市绿化条例》和有关规定办理临时用地手续，造成公园损失的，应当依法予以赔偿。严禁任何单位、组织和个人在已建成的公园内增设、改建与公园主题不符、与公园环境不相协调的建筑和设施。严格保护公园生态环境，不得擅自改变公园自然地貌，保护现有湿地资源和生物物种资源，以及已建成定型的植物景观、古树名木、文物古迹和具有保护价值的其他设施，使公园成为地方植物种质资源和物种多样性保护基地。</w:t>
      </w:r>
    </w:p>
    <w:p>
      <w:pPr>
        <w:spacing w:line="440" w:lineRule="exact"/>
        <w:ind w:firstLine="472" w:firstLineChars="200"/>
        <w:rPr>
          <w:rFonts w:eastAsia="方正仿宋_GBK"/>
          <w:color w:val="000000"/>
          <w:spacing w:val="-2"/>
          <w:sz w:val="24"/>
        </w:rPr>
      </w:pPr>
      <w:r>
        <w:rPr>
          <w:rFonts w:hint="eastAsia" w:eastAsia="方正仿宋_GBK"/>
          <w:color w:val="000000"/>
          <w:spacing w:val="-2"/>
          <w:sz w:val="24"/>
        </w:rPr>
        <w:t>各地要按照住房城乡建设部的部署，认真开展公园内违法建设和违章建筑的清理整治，对公园内不符合规划、未经批准，并且与公共服务、公园管理功能无关的经营性场所，要坚决予以清退。</w:t>
      </w:r>
    </w:p>
    <w:p>
      <w:pPr>
        <w:spacing w:line="440" w:lineRule="exact"/>
        <w:ind w:firstLine="472" w:firstLineChars="200"/>
        <w:rPr>
          <w:rFonts w:eastAsia="方正黑体_GBK"/>
          <w:color w:val="000000"/>
          <w:spacing w:val="-2"/>
          <w:sz w:val="24"/>
        </w:rPr>
      </w:pPr>
      <w:r>
        <w:rPr>
          <w:rFonts w:hint="eastAsia" w:eastAsia="方正黑体_GBK"/>
          <w:color w:val="000000"/>
          <w:spacing w:val="-2"/>
          <w:sz w:val="24"/>
        </w:rPr>
        <w:t>六、规范公园行业管理，建立健全考核机制</w:t>
      </w:r>
    </w:p>
    <w:p>
      <w:pPr>
        <w:spacing w:line="440" w:lineRule="exact"/>
        <w:ind w:firstLine="472" w:firstLineChars="200"/>
        <w:rPr>
          <w:rFonts w:eastAsia="方正仿宋_GBK"/>
          <w:color w:val="000000"/>
          <w:spacing w:val="-2"/>
          <w:sz w:val="24"/>
        </w:rPr>
      </w:pPr>
      <w:r>
        <w:rPr>
          <w:rFonts w:hint="eastAsia" w:eastAsia="方正仿宋_GBK"/>
          <w:color w:val="000000"/>
          <w:spacing w:val="-2"/>
          <w:sz w:val="24"/>
        </w:rPr>
        <w:t>各市（县）园林绿化行政主管部门要加强对公园的行业管理，健全公园管理机构，理顺体制，完善机制，规范公园管理的各项制度，加强公园养管的指导服务和监督检查，建立长效管理机制。严格贯彻执行《江苏省城市绿化管理条例》等有关法律法规和行业标准，有条件的城市要结合实际情况，尽快制定、修订地方法规，完善和实施公园管理办法或保护条例，不断提高公园管理的制度化、规范化、科学化。公园管理部门要建立健全规范化管理体系，加强公园内部的监督考核，建立信息化管理系统，纳入城市数字化管理平台。加强公园安全保障措施，提倡健康有序的游园秩序，针对免费敞开式公园，有条件的地区由公安、城管等执法部门设置公园执法派出队伍或与公园协作委托组成监督巡查队伍。</w:t>
      </w:r>
    </w:p>
    <w:p>
      <w:pPr>
        <w:spacing w:line="440" w:lineRule="exact"/>
        <w:ind w:firstLine="472" w:firstLineChars="200"/>
        <w:rPr>
          <w:rFonts w:eastAsia="方正仿宋_GBK"/>
          <w:color w:val="000000"/>
          <w:spacing w:val="-2"/>
          <w:sz w:val="24"/>
        </w:rPr>
      </w:pPr>
      <w:r>
        <w:rPr>
          <w:rFonts w:hint="eastAsia" w:eastAsia="方正仿宋_GBK"/>
          <w:color w:val="000000"/>
          <w:spacing w:val="-2"/>
          <w:sz w:val="24"/>
        </w:rPr>
        <w:t>各市（县）园林绿化行政主管部门要建立辖区范围内公园的登记注册、普查清理、督察整顿等动态监管机制，定期公布公园的具体名录，并应在翌年</w:t>
      </w:r>
      <w:r>
        <w:rPr>
          <w:rFonts w:eastAsia="方正仿宋_GBK"/>
          <w:color w:val="000000"/>
          <w:spacing w:val="-2"/>
          <w:sz w:val="24"/>
        </w:rPr>
        <w:t>1</w:t>
      </w:r>
      <w:r>
        <w:rPr>
          <w:rFonts w:hint="eastAsia" w:eastAsia="方正仿宋_GBK"/>
          <w:color w:val="000000"/>
          <w:spacing w:val="-2"/>
          <w:sz w:val="24"/>
        </w:rPr>
        <w:t>月前将有关情况报省住房城乡建设厅备案。省住房城乡建设厅将组织核查各市（县）所报信息，开展专项检查考核工作，按照规定将检查结果和建设情况上报住房城乡建设部。</w:t>
      </w:r>
    </w:p>
    <w:p>
      <w:pPr>
        <w:spacing w:line="440" w:lineRule="exact"/>
        <w:ind w:firstLine="472" w:firstLineChars="200"/>
        <w:rPr>
          <w:rFonts w:eastAsia="方正仿宋_GBK"/>
          <w:color w:val="000000"/>
          <w:spacing w:val="-2"/>
          <w:sz w:val="24"/>
        </w:rPr>
      </w:pPr>
      <w:r>
        <w:rPr>
          <w:rFonts w:hint="eastAsia" w:eastAsia="方正仿宋_GBK"/>
          <w:color w:val="000000"/>
          <w:spacing w:val="-2"/>
          <w:sz w:val="24"/>
        </w:rPr>
        <w:t>根据住房城乡建设部统一部署，实施城市园林绿化等级评定工作，各市（县）要按照《城市园林绿化评价标准》，完成与公园有关的指标，尚未完成指标的城市，要积极创造条件落实。省住房城乡建设厅定期核实各地有关指标的完成情况，将公园有关指标纳入</w:t>
      </w:r>
      <w:r>
        <w:rPr>
          <w:rFonts w:eastAsia="方正仿宋_GBK"/>
          <w:color w:val="000000"/>
          <w:spacing w:val="-2"/>
          <w:sz w:val="24"/>
        </w:rPr>
        <w:t>“</w:t>
      </w:r>
      <w:r>
        <w:rPr>
          <w:rFonts w:hint="eastAsia" w:eastAsia="方正仿宋_GBK"/>
          <w:color w:val="000000"/>
          <w:spacing w:val="-2"/>
          <w:sz w:val="24"/>
        </w:rPr>
        <w:t>园林城市</w:t>
      </w:r>
      <w:r>
        <w:rPr>
          <w:rFonts w:eastAsia="方正仿宋_GBK"/>
          <w:color w:val="000000"/>
          <w:spacing w:val="-2"/>
          <w:sz w:val="24"/>
        </w:rPr>
        <w:t>”</w:t>
      </w:r>
      <w:r>
        <w:rPr>
          <w:rFonts w:hint="eastAsia" w:eastAsia="方正仿宋_GBK"/>
          <w:color w:val="000000"/>
          <w:spacing w:val="-2"/>
          <w:sz w:val="24"/>
        </w:rPr>
        <w:t>、</w:t>
      </w:r>
      <w:r>
        <w:rPr>
          <w:rFonts w:eastAsia="方正仿宋_GBK"/>
          <w:color w:val="000000"/>
          <w:spacing w:val="-2"/>
          <w:sz w:val="24"/>
        </w:rPr>
        <w:t>“</w:t>
      </w:r>
      <w:r>
        <w:rPr>
          <w:rFonts w:hint="eastAsia" w:eastAsia="方正仿宋_GBK"/>
          <w:color w:val="000000"/>
          <w:spacing w:val="-2"/>
          <w:sz w:val="24"/>
        </w:rPr>
        <w:t>生态园林城市</w:t>
      </w:r>
      <w:r>
        <w:rPr>
          <w:rFonts w:eastAsia="方正仿宋_GBK"/>
          <w:color w:val="000000"/>
          <w:spacing w:val="-2"/>
          <w:sz w:val="24"/>
        </w:rPr>
        <w:t>”</w:t>
      </w:r>
      <w:r>
        <w:rPr>
          <w:rFonts w:hint="eastAsia" w:eastAsia="方正仿宋_GBK"/>
          <w:color w:val="000000"/>
          <w:spacing w:val="-2"/>
          <w:sz w:val="24"/>
        </w:rPr>
        <w:t>创建的考核和审查的重要内容，对违法违规行为进行通报，责令其限期整改。</w:t>
      </w:r>
    </w:p>
    <w:p>
      <w:pPr>
        <w:spacing w:line="440" w:lineRule="exact"/>
        <w:ind w:firstLine="472" w:firstLineChars="200"/>
        <w:rPr>
          <w:rFonts w:eastAsia="方正仿宋_GBK"/>
          <w:color w:val="000000"/>
          <w:spacing w:val="-2"/>
          <w:sz w:val="24"/>
        </w:rPr>
      </w:pPr>
    </w:p>
    <w:p>
      <w:pPr>
        <w:spacing w:line="440" w:lineRule="exact"/>
        <w:ind w:firstLine="472" w:firstLineChars="200"/>
        <w:rPr>
          <w:rFonts w:eastAsia="方正仿宋_GBK"/>
          <w:color w:val="000000"/>
          <w:spacing w:val="-2"/>
          <w:sz w:val="24"/>
        </w:rPr>
      </w:pPr>
      <w:r>
        <w:rPr>
          <w:rFonts w:hint="eastAsia" w:eastAsia="方正仿宋_GBK"/>
          <w:color w:val="000000"/>
          <w:spacing w:val="-2"/>
          <w:sz w:val="24"/>
        </w:rPr>
        <w:t>附件：住房城乡建设部印发关于进一步加强公园建设管理的意见的通知</w:t>
      </w:r>
    </w:p>
    <w:p>
      <w:pPr>
        <w:spacing w:line="440" w:lineRule="exact"/>
        <w:ind w:firstLine="1170" w:firstLineChars="496"/>
        <w:rPr>
          <w:rFonts w:eastAsia="方正仿宋_GBK"/>
          <w:color w:val="000000"/>
          <w:spacing w:val="-2"/>
          <w:sz w:val="24"/>
        </w:rPr>
      </w:pPr>
      <w:r>
        <w:rPr>
          <w:rFonts w:hint="eastAsia" w:eastAsia="方正仿宋_GBK"/>
          <w:color w:val="000000"/>
          <w:spacing w:val="-2"/>
          <w:sz w:val="24"/>
        </w:rPr>
        <w:t>（建城〔</w:t>
      </w:r>
      <w:r>
        <w:rPr>
          <w:rFonts w:eastAsia="方正仿宋_GBK"/>
          <w:color w:val="000000"/>
          <w:spacing w:val="-2"/>
          <w:sz w:val="24"/>
        </w:rPr>
        <w:t>2013</w:t>
      </w:r>
      <w:r>
        <w:rPr>
          <w:rFonts w:hint="eastAsia" w:eastAsia="方正仿宋_GBK"/>
          <w:color w:val="000000"/>
          <w:spacing w:val="-2"/>
          <w:sz w:val="24"/>
        </w:rPr>
        <w:t>〕</w:t>
      </w:r>
      <w:r>
        <w:rPr>
          <w:rFonts w:eastAsia="方正仿宋_GBK"/>
          <w:color w:val="000000"/>
          <w:spacing w:val="-2"/>
          <w:sz w:val="24"/>
        </w:rPr>
        <w:t>73</w:t>
      </w:r>
      <w:r>
        <w:rPr>
          <w:rFonts w:hint="eastAsia" w:eastAsia="方正仿宋_GBK"/>
          <w:color w:val="000000"/>
          <w:spacing w:val="-2"/>
          <w:sz w:val="24"/>
        </w:rPr>
        <w:t>号）</w:t>
      </w:r>
    </w:p>
    <w:p>
      <w:pPr>
        <w:spacing w:line="440" w:lineRule="exact"/>
        <w:ind w:firstLine="472" w:firstLineChars="200"/>
        <w:rPr>
          <w:rFonts w:eastAsia="方正仿宋_GBK"/>
          <w:color w:val="000000"/>
          <w:spacing w:val="-2"/>
          <w:sz w:val="24"/>
        </w:rPr>
      </w:pPr>
    </w:p>
    <w:p>
      <w:pPr>
        <w:spacing w:line="440" w:lineRule="exact"/>
        <w:ind w:right="472" w:firstLine="472" w:firstLineChars="200"/>
        <w:jc w:val="right"/>
        <w:rPr>
          <w:rFonts w:eastAsia="方正仿宋_GBK"/>
          <w:color w:val="000000"/>
          <w:spacing w:val="-2"/>
          <w:sz w:val="24"/>
        </w:rPr>
      </w:pPr>
      <w:r>
        <w:rPr>
          <w:rFonts w:hint="eastAsia" w:eastAsia="方正仿宋_GBK"/>
          <w:color w:val="000000"/>
          <w:spacing w:val="-2"/>
          <w:sz w:val="24"/>
        </w:rPr>
        <w:t>江苏省住房和城乡建设厅</w:t>
      </w:r>
    </w:p>
    <w:p>
      <w:pPr>
        <w:spacing w:line="440" w:lineRule="exact"/>
        <w:ind w:right="472" w:firstLine="6136" w:firstLineChars="2600"/>
        <w:rPr>
          <w:rFonts w:eastAsia="方正仿宋_GBK"/>
          <w:color w:val="000000"/>
          <w:spacing w:val="-2"/>
          <w:sz w:val="24"/>
        </w:rPr>
      </w:pPr>
      <w:r>
        <w:rPr>
          <w:rFonts w:eastAsia="方正仿宋_GBK"/>
          <w:color w:val="000000"/>
          <w:spacing w:val="-2"/>
          <w:sz w:val="24"/>
        </w:rPr>
        <w:t>2013</w:t>
      </w:r>
      <w:r>
        <w:rPr>
          <w:rFonts w:hint="eastAsia" w:eastAsia="方正仿宋_GBK"/>
          <w:color w:val="000000"/>
          <w:spacing w:val="-2"/>
          <w:sz w:val="24"/>
        </w:rPr>
        <w:t>年</w:t>
      </w:r>
      <w:r>
        <w:rPr>
          <w:rFonts w:eastAsia="方正仿宋_GBK"/>
          <w:color w:val="000000"/>
          <w:spacing w:val="-2"/>
          <w:sz w:val="24"/>
        </w:rPr>
        <w:t>8</w:t>
      </w:r>
      <w:r>
        <w:rPr>
          <w:rFonts w:hint="eastAsia" w:eastAsia="方正仿宋_GBK"/>
          <w:color w:val="000000"/>
          <w:spacing w:val="-2"/>
          <w:sz w:val="24"/>
        </w:rPr>
        <w:t>月</w:t>
      </w:r>
      <w:r>
        <w:rPr>
          <w:rFonts w:eastAsia="方正仿宋_GBK"/>
          <w:color w:val="000000"/>
          <w:spacing w:val="-2"/>
          <w:sz w:val="24"/>
        </w:rPr>
        <w:t>13</w:t>
      </w:r>
      <w:r>
        <w:rPr>
          <w:rFonts w:hint="eastAsia" w:eastAsia="方正仿宋_GBK"/>
          <w:color w:val="000000"/>
          <w:spacing w:val="-2"/>
          <w:sz w:val="24"/>
        </w:rPr>
        <w:t>日</w:t>
      </w:r>
      <w:r>
        <w:rPr>
          <w:rFonts w:eastAsia="方正仿宋_GBK"/>
          <w:color w:val="000000"/>
          <w:spacing w:val="-2"/>
          <w:sz w:val="24"/>
        </w:rPr>
        <w:t xml:space="preserve">       </w:t>
      </w:r>
    </w:p>
    <w:p>
      <w:pPr>
        <w:spacing w:line="460" w:lineRule="exact"/>
        <w:rPr>
          <w:rFonts w:eastAsia="方正仿宋_GBK"/>
          <w:color w:val="000000"/>
          <w:spacing w:val="-2"/>
          <w:sz w:val="24"/>
        </w:rPr>
      </w:pPr>
      <w:r>
        <w:rPr>
          <w:rFonts w:eastAsia="方正仿宋_GBK"/>
          <w:color w:val="000000"/>
          <w:spacing w:val="-2"/>
          <w:sz w:val="24"/>
        </w:rPr>
        <w:br w:type="column"/>
      </w:r>
      <w:r>
        <w:rPr>
          <w:rFonts w:hint="eastAsia" w:eastAsia="方正黑体_GBK"/>
          <w:color w:val="000000"/>
          <w:spacing w:val="-2"/>
          <w:sz w:val="28"/>
          <w:szCs w:val="28"/>
        </w:rPr>
        <w:t>附件：</w:t>
      </w:r>
    </w:p>
    <w:p>
      <w:pPr>
        <w:spacing w:line="460" w:lineRule="exact"/>
        <w:rPr>
          <w:rFonts w:eastAsia="方正仿宋_GBK"/>
          <w:color w:val="000000"/>
          <w:spacing w:val="-2"/>
          <w:w w:val="60"/>
          <w:sz w:val="24"/>
        </w:rPr>
      </w:pPr>
    </w:p>
    <w:p>
      <w:pPr>
        <w:spacing w:line="460" w:lineRule="exact"/>
        <w:jc w:val="center"/>
        <w:rPr>
          <w:rFonts w:eastAsia="方正黑体_GBK"/>
          <w:color w:val="000000"/>
          <w:sz w:val="36"/>
          <w:szCs w:val="36"/>
        </w:rPr>
      </w:pPr>
      <w:r>
        <w:rPr>
          <w:rFonts w:hint="eastAsia" w:eastAsia="方正黑体_GBK"/>
          <w:color w:val="000000"/>
          <w:sz w:val="36"/>
          <w:szCs w:val="36"/>
        </w:rPr>
        <w:t>住房城乡建设部印发关于</w:t>
      </w:r>
    </w:p>
    <w:p>
      <w:pPr>
        <w:spacing w:line="460" w:lineRule="exact"/>
        <w:jc w:val="center"/>
        <w:rPr>
          <w:rFonts w:eastAsia="方正黑体_GBK"/>
          <w:color w:val="000000"/>
          <w:sz w:val="36"/>
          <w:szCs w:val="36"/>
        </w:rPr>
      </w:pPr>
      <w:r>
        <w:rPr>
          <w:rFonts w:hint="eastAsia" w:eastAsia="方正黑体_GBK"/>
          <w:color w:val="000000"/>
          <w:sz w:val="36"/>
          <w:szCs w:val="36"/>
        </w:rPr>
        <w:t>进一步加强公园建设管理的意见的通知</w:t>
      </w:r>
    </w:p>
    <w:p>
      <w:pPr>
        <w:spacing w:line="460" w:lineRule="exact"/>
        <w:rPr>
          <w:rFonts w:eastAsia="方正仿宋_GBK"/>
          <w:color w:val="000000"/>
          <w:spacing w:val="-2"/>
          <w:sz w:val="24"/>
        </w:rPr>
      </w:pPr>
    </w:p>
    <w:p>
      <w:pPr>
        <w:spacing w:line="460" w:lineRule="exact"/>
        <w:jc w:val="center"/>
        <w:rPr>
          <w:rFonts w:eastAsia="方正楷体_GBK"/>
          <w:color w:val="000000"/>
          <w:spacing w:val="-2"/>
          <w:sz w:val="24"/>
        </w:rPr>
      </w:pPr>
      <w:r>
        <w:rPr>
          <w:rFonts w:hint="eastAsia" w:eastAsia="方正楷体_GBK"/>
          <w:color w:val="000000"/>
          <w:spacing w:val="-2"/>
          <w:sz w:val="24"/>
        </w:rPr>
        <w:t>建城〔</w:t>
      </w:r>
      <w:r>
        <w:rPr>
          <w:rFonts w:eastAsia="方正楷体_GBK"/>
          <w:color w:val="000000"/>
          <w:spacing w:val="-2"/>
          <w:sz w:val="24"/>
        </w:rPr>
        <w:t>2013</w:t>
      </w:r>
      <w:r>
        <w:rPr>
          <w:rFonts w:hint="eastAsia" w:eastAsia="方正楷体_GBK"/>
          <w:color w:val="000000"/>
          <w:spacing w:val="-2"/>
          <w:sz w:val="24"/>
        </w:rPr>
        <w:t>〕</w:t>
      </w:r>
      <w:r>
        <w:rPr>
          <w:rFonts w:eastAsia="方正楷体_GBK"/>
          <w:color w:val="000000"/>
          <w:spacing w:val="-2"/>
          <w:sz w:val="24"/>
        </w:rPr>
        <w:t>73</w:t>
      </w:r>
      <w:r>
        <w:rPr>
          <w:rFonts w:hint="eastAsia" w:eastAsia="方正楷体_GBK"/>
          <w:color w:val="000000"/>
          <w:spacing w:val="-2"/>
          <w:sz w:val="24"/>
        </w:rPr>
        <w:t>号</w:t>
      </w:r>
    </w:p>
    <w:p>
      <w:pPr>
        <w:spacing w:line="460" w:lineRule="exact"/>
        <w:jc w:val="center"/>
        <w:rPr>
          <w:rFonts w:eastAsia="方正仿宋_GBK"/>
          <w:color w:val="000000"/>
          <w:spacing w:val="-2"/>
          <w:sz w:val="24"/>
        </w:rPr>
      </w:pPr>
    </w:p>
    <w:p>
      <w:pPr>
        <w:spacing w:line="460" w:lineRule="exact"/>
        <w:rPr>
          <w:rFonts w:eastAsia="方正仿宋_GBK"/>
          <w:color w:val="000000"/>
          <w:spacing w:val="-2"/>
          <w:sz w:val="24"/>
        </w:rPr>
      </w:pPr>
      <w:r>
        <w:rPr>
          <w:rFonts w:hint="eastAsia" w:eastAsia="方正仿宋_GBK"/>
          <w:color w:val="000000"/>
          <w:spacing w:val="-2"/>
          <w:sz w:val="24"/>
        </w:rPr>
        <w:t>各省、自治区住房城乡建设厅，北京市园林绿化局，上海市绿化和市容管理局，天津市市容和园林管理委员会，重庆市园林事业管理局，新疆生产建设兵团建设局：</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为推进生态文明建设，改善城市人居环境，正确把握公园发展方向，切实抓好公园建设管理，我部制定了《关于进一步加强公园管理的意见》，现印发给你们，请认真贯彻执行。</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各省级住房城乡建设（园林绿化）主管部门要对照本意见组织开展专项检查，就公园运营管理中存在的出租公园房屋及设施设备给私人经营，违规建立为少数人服务的餐馆、会所、茶楼等的类型、数量（面积）、发生时间、发生经过等情况进行汇总，提出处理意见，责令限期整改，并在</w:t>
      </w:r>
      <w:r>
        <w:rPr>
          <w:rFonts w:eastAsia="方正仿宋_GBK"/>
          <w:color w:val="000000"/>
          <w:spacing w:val="-2"/>
          <w:sz w:val="24"/>
        </w:rPr>
        <w:t>2013</w:t>
      </w:r>
      <w:r>
        <w:rPr>
          <w:rFonts w:hint="eastAsia" w:eastAsia="方正仿宋_GBK"/>
          <w:color w:val="000000"/>
          <w:spacing w:val="-2"/>
          <w:sz w:val="24"/>
        </w:rPr>
        <w:t>年</w:t>
      </w:r>
      <w:r>
        <w:rPr>
          <w:rFonts w:eastAsia="方正仿宋_GBK"/>
          <w:color w:val="000000"/>
          <w:spacing w:val="-2"/>
          <w:sz w:val="24"/>
        </w:rPr>
        <w:t>9</w:t>
      </w:r>
      <w:r>
        <w:rPr>
          <w:rFonts w:hint="eastAsia" w:eastAsia="方正仿宋_GBK"/>
          <w:color w:val="000000"/>
          <w:spacing w:val="-2"/>
          <w:sz w:val="24"/>
        </w:rPr>
        <w:t>月</w:t>
      </w:r>
      <w:r>
        <w:rPr>
          <w:rFonts w:eastAsia="方正仿宋_GBK"/>
          <w:color w:val="000000"/>
          <w:spacing w:val="-2"/>
          <w:sz w:val="24"/>
        </w:rPr>
        <w:t>1</w:t>
      </w:r>
      <w:r>
        <w:rPr>
          <w:rFonts w:hint="eastAsia" w:eastAsia="方正仿宋_GBK"/>
          <w:color w:val="000000"/>
          <w:spacing w:val="-2"/>
          <w:sz w:val="24"/>
        </w:rPr>
        <w:t>日前将专项检查结果和整改方案报我部。我部将对各地专项检查情况实施跟踪督查，并将侵占公园用地、在公园内搞违规建设和非法经营、移植大树古树、举办动物表演等纳入国家园林城市、国家生态园林城市、中国人居环境奖考核和复查的重要内容。对经核查确实存在问题的公园，责令其限期整改；对不进行整改或在限期内整改不合格的公园，将通报批评，并暂停其所在城市相关申报和评审资格；对已获相关命名的城市，我部将视情况责令其限期整改，直至撤销称号。</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执行中有何问题和建议，请及时反馈我部城市建设司。联系电话：</w:t>
      </w:r>
      <w:r>
        <w:rPr>
          <w:rFonts w:eastAsia="方正仿宋_GBK"/>
          <w:color w:val="000000"/>
          <w:spacing w:val="-2"/>
          <w:sz w:val="24"/>
        </w:rPr>
        <w:t>0l0 - 58934023</w:t>
      </w:r>
      <w:r>
        <w:rPr>
          <w:rFonts w:hint="eastAsia" w:eastAsia="方正仿宋_GBK"/>
          <w:color w:val="000000"/>
          <w:spacing w:val="-2"/>
          <w:sz w:val="24"/>
        </w:rPr>
        <w:t>传真：</w:t>
      </w:r>
      <w:r>
        <w:rPr>
          <w:rFonts w:eastAsia="方正仿宋_GBK"/>
          <w:color w:val="000000"/>
          <w:spacing w:val="-2"/>
          <w:sz w:val="24"/>
        </w:rPr>
        <w:t>010 – 58934690</w:t>
      </w:r>
    </w:p>
    <w:p>
      <w:pPr>
        <w:spacing w:line="460" w:lineRule="exact"/>
        <w:rPr>
          <w:rFonts w:eastAsia="方正仿宋_GBK"/>
          <w:color w:val="000000"/>
          <w:spacing w:val="-2"/>
          <w:sz w:val="24"/>
        </w:rPr>
      </w:pPr>
    </w:p>
    <w:p>
      <w:pPr>
        <w:spacing w:line="460" w:lineRule="exact"/>
        <w:ind w:right="418" w:rightChars="199" w:firstLine="472" w:firstLineChars="200"/>
        <w:jc w:val="right"/>
        <w:rPr>
          <w:rFonts w:eastAsia="方正仿宋_GBK"/>
          <w:color w:val="000000"/>
          <w:spacing w:val="-2"/>
          <w:sz w:val="24"/>
        </w:rPr>
      </w:pPr>
      <w:r>
        <w:rPr>
          <w:rFonts w:hint="eastAsia" w:eastAsia="方正仿宋_GBK"/>
          <w:color w:val="000000"/>
          <w:spacing w:val="-2"/>
          <w:sz w:val="24"/>
        </w:rPr>
        <w:t>住房城乡建设部</w:t>
      </w:r>
    </w:p>
    <w:p>
      <w:pPr>
        <w:spacing w:line="460" w:lineRule="exact"/>
        <w:ind w:right="418" w:rightChars="199" w:firstLine="472" w:firstLineChars="200"/>
        <w:jc w:val="right"/>
        <w:rPr>
          <w:rFonts w:eastAsia="方正仿宋_GBK"/>
          <w:color w:val="000000"/>
          <w:spacing w:val="-2"/>
          <w:sz w:val="24"/>
        </w:rPr>
      </w:pPr>
      <w:r>
        <w:rPr>
          <w:rFonts w:eastAsia="方正仿宋_GBK"/>
          <w:color w:val="000000"/>
          <w:spacing w:val="-2"/>
          <w:sz w:val="24"/>
        </w:rPr>
        <w:t>2013</w:t>
      </w:r>
      <w:r>
        <w:rPr>
          <w:rFonts w:hint="eastAsia" w:eastAsia="方正仿宋_GBK"/>
          <w:color w:val="000000"/>
          <w:spacing w:val="-2"/>
          <w:sz w:val="24"/>
        </w:rPr>
        <w:t>年</w:t>
      </w:r>
      <w:r>
        <w:rPr>
          <w:rFonts w:eastAsia="方正仿宋_GBK"/>
          <w:color w:val="000000"/>
          <w:spacing w:val="-2"/>
          <w:sz w:val="24"/>
        </w:rPr>
        <w:t>5</w:t>
      </w:r>
      <w:r>
        <w:rPr>
          <w:rFonts w:hint="eastAsia" w:eastAsia="方正仿宋_GBK"/>
          <w:color w:val="000000"/>
          <w:spacing w:val="-2"/>
          <w:sz w:val="24"/>
        </w:rPr>
        <w:t>月</w:t>
      </w:r>
      <w:r>
        <w:rPr>
          <w:rFonts w:eastAsia="方正仿宋_GBK"/>
          <w:color w:val="000000"/>
          <w:spacing w:val="-2"/>
          <w:sz w:val="24"/>
        </w:rPr>
        <w:t>3</w:t>
      </w:r>
      <w:r>
        <w:rPr>
          <w:rFonts w:hint="eastAsia" w:eastAsia="方正仿宋_GBK"/>
          <w:color w:val="000000"/>
          <w:spacing w:val="-2"/>
          <w:sz w:val="24"/>
        </w:rPr>
        <w:t>日</w:t>
      </w:r>
    </w:p>
    <w:p>
      <w:pPr>
        <w:spacing w:line="460" w:lineRule="exact"/>
        <w:rPr>
          <w:rFonts w:eastAsia="方正仿宋_GBK"/>
          <w:color w:val="000000"/>
          <w:spacing w:val="-2"/>
          <w:sz w:val="24"/>
        </w:rPr>
      </w:pPr>
      <w:r>
        <w:rPr>
          <w:rFonts w:eastAsia="方正仿宋_GBK"/>
          <w:color w:val="000000"/>
          <w:spacing w:val="-2"/>
          <w:sz w:val="24"/>
        </w:rPr>
        <w:br w:type="column"/>
      </w:r>
    </w:p>
    <w:p>
      <w:pPr>
        <w:spacing w:line="460" w:lineRule="exact"/>
        <w:jc w:val="center"/>
        <w:rPr>
          <w:rFonts w:eastAsia="方正黑体_GBK"/>
          <w:color w:val="000000"/>
          <w:sz w:val="36"/>
          <w:szCs w:val="36"/>
        </w:rPr>
      </w:pPr>
      <w:r>
        <w:rPr>
          <w:rFonts w:hint="eastAsia" w:eastAsia="方正黑体_GBK"/>
          <w:color w:val="000000"/>
          <w:sz w:val="36"/>
          <w:szCs w:val="36"/>
        </w:rPr>
        <w:t>关于进一步加强公园建设管理的意见</w:t>
      </w:r>
    </w:p>
    <w:p>
      <w:pPr>
        <w:spacing w:line="460" w:lineRule="exact"/>
        <w:ind w:firstLine="472" w:firstLineChars="200"/>
        <w:rPr>
          <w:rFonts w:eastAsia="方正仿宋_GBK"/>
          <w:color w:val="000000"/>
          <w:spacing w:val="-2"/>
          <w:sz w:val="24"/>
        </w:rPr>
      </w:pP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为适应城镇化快速发展需要，切实满足人民群众休闲、娱乐、健身等生活需要，切实改善人居生态环境，现就进一步加强公园建设管理提出以下意见：</w:t>
      </w:r>
    </w:p>
    <w:p>
      <w:pPr>
        <w:spacing w:line="460" w:lineRule="exact"/>
        <w:ind w:firstLine="472" w:firstLineChars="200"/>
        <w:rPr>
          <w:rFonts w:eastAsia="方正黑体_GBK"/>
          <w:color w:val="000000"/>
          <w:spacing w:val="-2"/>
          <w:sz w:val="24"/>
        </w:rPr>
      </w:pPr>
      <w:r>
        <w:rPr>
          <w:rFonts w:hint="eastAsia" w:eastAsia="方正黑体_GBK"/>
          <w:color w:val="000000"/>
          <w:spacing w:val="-2"/>
          <w:sz w:val="24"/>
        </w:rPr>
        <w:t>一、正确认识公园建设管理工作的重要性和紧迫性</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公园是与群众日常生活息息相关的公共服务产品，是供民众公平享受的绿色福利，是公众游览、休憩、娱乐、健身、交友、学习以及举办相关文化教育活动的公共场所，是城市绿地系统的核心组成部分，承载着改善生态、美化环境、休闲游憩、健身娱乐、传承文化、保护资源、科普教育、防灾避险等重要功能。</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随着城镇化进程的不断加快，公园事业面临着新的挑战：一是随着人们生活水平的提高，市民群众对公园的数量、内涵、品质、功能、开放时间与服务质量等方面需求不断提高；二是随着社会老龄化速度的加快、市民群众休闲需求的增加以及公园的免费开放，公园游客量急速增长，节假日更是人流剧增，公园的安全、服务、维护等方面压力不断加大；三是城乡统筹发展对公园类型、布局、设计、建设、管理等方面提出了新的要求；四是城市道路拓宽、地铁修建、房地产开发以及</w:t>
      </w:r>
      <w:r>
        <w:rPr>
          <w:rFonts w:eastAsia="方正仿宋_GBK"/>
          <w:color w:val="000000"/>
          <w:spacing w:val="-2"/>
          <w:sz w:val="24"/>
        </w:rPr>
        <w:t>“</w:t>
      </w:r>
      <w:r>
        <w:rPr>
          <w:rFonts w:hint="eastAsia" w:eastAsia="方正仿宋_GBK"/>
          <w:color w:val="000000"/>
          <w:spacing w:val="-2"/>
          <w:sz w:val="24"/>
        </w:rPr>
        <w:t>以园养园</w:t>
      </w:r>
      <w:r>
        <w:rPr>
          <w:rFonts w:eastAsia="方正仿宋_GBK"/>
          <w:color w:val="000000"/>
          <w:spacing w:val="-2"/>
          <w:sz w:val="24"/>
        </w:rPr>
        <w:t>”</w:t>
      </w:r>
      <w:r>
        <w:rPr>
          <w:rFonts w:hint="eastAsia" w:eastAsia="方正仿宋_GBK"/>
          <w:color w:val="000000"/>
          <w:spacing w:val="-2"/>
          <w:sz w:val="24"/>
        </w:rPr>
        <w:t>等变相经营对公园的用地范围、公益属性及健康发展都造成威胁。</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各地要站在建设生态文明、精神文明和安定和谐社会的高度，充分认识加强新时期公园建设管理的重要性和紧迫性，树立生态、低碳、人文、和谐的理念，始终坚持公园的公益性发展方向，切实抓好公园建设管理工作。</w:t>
      </w:r>
    </w:p>
    <w:p>
      <w:pPr>
        <w:spacing w:line="460" w:lineRule="exact"/>
        <w:ind w:firstLine="472" w:firstLineChars="200"/>
        <w:rPr>
          <w:rFonts w:eastAsia="方正黑体_GBK"/>
          <w:color w:val="000000"/>
          <w:spacing w:val="-2"/>
          <w:sz w:val="24"/>
        </w:rPr>
      </w:pPr>
      <w:r>
        <w:rPr>
          <w:rFonts w:hint="eastAsia" w:eastAsia="方正黑体_GBK"/>
          <w:color w:val="000000"/>
          <w:spacing w:val="-2"/>
          <w:sz w:val="24"/>
        </w:rPr>
        <w:t>二、强化公园体系规划的编制实施</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各地要在编制或修编城市绿地系统规划时，本着</w:t>
      </w:r>
      <w:r>
        <w:rPr>
          <w:rFonts w:eastAsia="方正仿宋_GBK"/>
          <w:color w:val="000000"/>
          <w:spacing w:val="-2"/>
          <w:sz w:val="24"/>
        </w:rPr>
        <w:t>“</w:t>
      </w:r>
      <w:r>
        <w:rPr>
          <w:rFonts w:hint="eastAsia" w:eastAsia="方正仿宋_GBK"/>
          <w:color w:val="000000"/>
          <w:spacing w:val="-2"/>
          <w:sz w:val="24"/>
        </w:rPr>
        <w:t>生态、便民、求实、发展</w:t>
      </w:r>
      <w:r>
        <w:rPr>
          <w:rFonts w:eastAsia="方正仿宋_GBK"/>
          <w:color w:val="000000"/>
          <w:spacing w:val="-2"/>
          <w:sz w:val="24"/>
        </w:rPr>
        <w:t>”</w:t>
      </w:r>
      <w:r>
        <w:rPr>
          <w:rFonts w:hint="eastAsia" w:eastAsia="方正仿宋_GBK"/>
          <w:color w:val="000000"/>
          <w:spacing w:val="-2"/>
          <w:sz w:val="24"/>
        </w:rPr>
        <w:t>的原则，编制城市公园建设与保护专项规划，构建数量达标、分布均衡、功能完备、品质优良的公园体系。一是适应城市防灾避险、历史人文和自然保护以及市民群众多样化需求，合理规划建设植物园、湿地公园、雕塑公园、体育公园等不同主题的公园，并确保设区城市至少有一个综合性公园。二是与城市道路、交通、排水、照明、管线等基础设施相协调，统筹城市防灾避险及地下空间合理利用等发展需求。严格控制公园周边的开发建设，合理设置自行车停放场地、预留公交车停靠站点，限制公交车之外的机动车通行，并保障公园内交通微循环与城市绿道绿廊等慢行交通系统有效衔接。三是在保护、改造提升原有公园的基础上，按照市民出行</w:t>
      </w:r>
      <w:r>
        <w:rPr>
          <w:rFonts w:eastAsia="方正仿宋_GBK"/>
          <w:color w:val="000000"/>
          <w:spacing w:val="-2"/>
          <w:sz w:val="24"/>
        </w:rPr>
        <w:t>300-500</w:t>
      </w:r>
      <w:r>
        <w:rPr>
          <w:rFonts w:hint="eastAsia" w:eastAsia="方正仿宋_GBK"/>
          <w:color w:val="000000"/>
          <w:spacing w:val="-2"/>
          <w:sz w:val="24"/>
        </w:rPr>
        <w:t>米见公园绿地的要求，结合城乡环境整治、城中村改造、城乡统筹建设、弃置地生态修复等，加大社区公园、街头游园、郊野公园、绿道绿廊等规划建设力度，确保城区人均公园绿地面积不低于</w:t>
      </w:r>
      <w:r>
        <w:rPr>
          <w:rFonts w:eastAsia="方正仿宋_GBK"/>
          <w:color w:val="000000"/>
          <w:spacing w:val="-2"/>
          <w:sz w:val="24"/>
        </w:rPr>
        <w:t>5</w:t>
      </w:r>
      <w:r>
        <w:rPr>
          <w:rFonts w:hint="eastAsia" w:eastAsia="方正仿宋_GBK"/>
          <w:color w:val="000000"/>
          <w:spacing w:val="-2"/>
          <w:sz w:val="24"/>
        </w:rPr>
        <w:t>平方米、公园绿地服务半径覆盖率不低于</w:t>
      </w:r>
      <w:r>
        <w:rPr>
          <w:rFonts w:eastAsia="方正仿宋_GBK"/>
          <w:color w:val="000000"/>
          <w:spacing w:val="-2"/>
          <w:sz w:val="24"/>
        </w:rPr>
        <w:t>60%</w:t>
      </w:r>
      <w:r>
        <w:rPr>
          <w:rFonts w:hint="eastAsia" w:eastAsia="方正仿宋_GBK"/>
          <w:color w:val="000000"/>
          <w:spacing w:val="-2"/>
          <w:sz w:val="24"/>
        </w:rPr>
        <w:t>。四是将公园保护发展规划纳入城市绿线和蓝线管理，确保公园用地性质及其完整性。</w:t>
      </w:r>
    </w:p>
    <w:p>
      <w:pPr>
        <w:spacing w:line="460" w:lineRule="exact"/>
        <w:ind w:firstLine="472" w:firstLineChars="200"/>
        <w:rPr>
          <w:rFonts w:eastAsia="方正黑体_GBK"/>
          <w:color w:val="000000"/>
          <w:spacing w:val="-2"/>
          <w:sz w:val="24"/>
        </w:rPr>
      </w:pPr>
      <w:r>
        <w:rPr>
          <w:rFonts w:hint="eastAsia" w:eastAsia="方正黑体_GBK"/>
          <w:color w:val="000000"/>
          <w:spacing w:val="-2"/>
          <w:sz w:val="24"/>
        </w:rPr>
        <w:t>三、加强公园设计的科学引导</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各地要牢固树立以人为本、尊重科学、顺应自然、低碳环保的公园设计理念，从设计环节上引导公园建设走节约型、生态型、功能完善型发展道路。一是严把设计方案审查关，防止过度设计。公园设计要严格遵照相关法规标准，严格控制公园内建筑物、构筑物等配套设施设备建设，保证绿地面积不得少于公园陆地总面积的</w:t>
      </w:r>
      <w:r>
        <w:rPr>
          <w:rFonts w:eastAsia="方正仿宋_GBK"/>
          <w:color w:val="000000"/>
          <w:spacing w:val="-2"/>
          <w:sz w:val="24"/>
        </w:rPr>
        <w:t>65%</w:t>
      </w:r>
      <w:r>
        <w:rPr>
          <w:rFonts w:hint="eastAsia" w:eastAsia="方正仿宋_GBK"/>
          <w:color w:val="000000"/>
          <w:spacing w:val="-2"/>
          <w:sz w:val="24"/>
        </w:rPr>
        <w:t>；严格控制游乐设施的设置，防止将公园变成游乐场；严格控制大广场、大草坪、大水面等，杜绝盲目建造雕塑、小品、灯具造景、过度硬化等高价设计和不切实际的</w:t>
      </w:r>
      <w:r>
        <w:rPr>
          <w:rFonts w:eastAsia="方正仿宋_GBK"/>
          <w:color w:val="000000"/>
          <w:spacing w:val="-2"/>
          <w:sz w:val="24"/>
        </w:rPr>
        <w:t>“</w:t>
      </w:r>
      <w:r>
        <w:rPr>
          <w:rFonts w:hint="eastAsia" w:eastAsia="方正仿宋_GBK"/>
          <w:color w:val="000000"/>
          <w:spacing w:val="-2"/>
          <w:sz w:val="24"/>
        </w:rPr>
        <w:t>洋</w:t>
      </w:r>
      <w:r>
        <w:rPr>
          <w:rFonts w:eastAsia="方正仿宋_GBK"/>
          <w:color w:val="000000"/>
          <w:spacing w:val="-2"/>
          <w:sz w:val="24"/>
        </w:rPr>
        <w:t>”</w:t>
      </w:r>
      <w:r>
        <w:rPr>
          <w:rFonts w:hint="eastAsia" w:eastAsia="方正仿宋_GBK"/>
          <w:color w:val="000000"/>
          <w:spacing w:val="-2"/>
          <w:sz w:val="24"/>
        </w:rPr>
        <w:t>设计。二是以人为本，不断完善综合功能。新建公园要切实保障其文化娱乐、科普教育、健身交友、调蓄防涝、防灾避险等综合功能，并在公园改造、扩建时不断完善。三是突出入文内涵和地域风貌。要有机融合历史、文化、艺术、时代特征、民族特色、传统工艺等，突出公园文化艺术内涵和地域特色，避免</w:t>
      </w:r>
      <w:r>
        <w:rPr>
          <w:rFonts w:eastAsia="方正仿宋_GBK"/>
          <w:color w:val="000000"/>
          <w:spacing w:val="-2"/>
          <w:sz w:val="24"/>
        </w:rPr>
        <w:t>“</w:t>
      </w:r>
      <w:r>
        <w:rPr>
          <w:rFonts w:hint="eastAsia" w:eastAsia="方正仿宋_GBK"/>
          <w:color w:val="000000"/>
          <w:spacing w:val="-2"/>
          <w:sz w:val="24"/>
        </w:rPr>
        <w:t>千园一面</w:t>
      </w:r>
      <w:r>
        <w:rPr>
          <w:rFonts w:eastAsia="方正仿宋_GBK"/>
          <w:color w:val="000000"/>
          <w:spacing w:val="-2"/>
          <w:sz w:val="24"/>
        </w:rPr>
        <w:t>”</w:t>
      </w:r>
      <w:r>
        <w:rPr>
          <w:rFonts w:hint="eastAsia" w:eastAsia="方正仿宋_GBK"/>
          <w:color w:val="000000"/>
          <w:spacing w:val="-2"/>
          <w:sz w:val="24"/>
        </w:rPr>
        <w:t>。四是生态优先、保护优先。要着力保护自然山体、水体、地形、地貌以及湿地、生物物种等资源和风貌，严禁建造偏离资源保护、雨洪调蓄等宗旨的人工湿地，严禁盲目挖湖堆山、裁弯取直、筑坝截流、硬质驳岸等。五是以植物造景为主，以乡土植物、适生植物为主，合理配植乔灌草（地被），做到物种多样、季相丰富、景观优美。</w:t>
      </w:r>
    </w:p>
    <w:p>
      <w:pPr>
        <w:spacing w:line="460" w:lineRule="exact"/>
        <w:ind w:firstLine="472" w:firstLineChars="200"/>
        <w:rPr>
          <w:rFonts w:eastAsia="方正黑体_GBK"/>
          <w:color w:val="000000"/>
          <w:spacing w:val="-2"/>
          <w:sz w:val="24"/>
        </w:rPr>
      </w:pPr>
      <w:r>
        <w:rPr>
          <w:rFonts w:hint="eastAsia" w:eastAsia="方正黑体_GBK"/>
          <w:color w:val="000000"/>
          <w:spacing w:val="-2"/>
          <w:sz w:val="24"/>
        </w:rPr>
        <w:t>四、严格公园建设过程的监管</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各地要在保护好现有公园的基础上，有序建设新公园，合理改造提升、扩建老旧公园。一是切实加强对新建、改建、扩建公园项目从招投标到竣工验收全过程的专业化监督管理，确保严格遵照规划设计方案和工艺要求，安全、规范施工建设。二是以栽植本地区苗圃培育的健康、全冠、适龄的苗木为主，坚决制止移植古树名木，严格控制移植树龄超过</w:t>
      </w:r>
      <w:r>
        <w:rPr>
          <w:rFonts w:eastAsia="方正仿宋_GBK"/>
          <w:color w:val="000000"/>
          <w:spacing w:val="-2"/>
          <w:sz w:val="24"/>
        </w:rPr>
        <w:t>50</w:t>
      </w:r>
      <w:r>
        <w:rPr>
          <w:rFonts w:hint="eastAsia" w:eastAsia="方正仿宋_GBK"/>
          <w:color w:val="000000"/>
          <w:spacing w:val="-2"/>
          <w:sz w:val="24"/>
        </w:rPr>
        <w:t>年的大树；严格控制未经试验大量引进外来植物；严禁违背自然规律和生物特性反季节种植施工、过度密植、过度修剪等。三是加强对新建、改建、扩建公园项目的竣工验收和审计，对违反规划设计方案施工、违规采购等要严肃查处，对不符合绿化强制性标准、未完成工程设计内容的公园建设项目，不得出具竣工验收合格报告。四是切实加强对公园建设项目竣工验收后养护管理的指导服务和监督检查。城市园林绿化主管部门要会同水利、交通、房产等各相关主管部门和质量监督机构，定期发布公园建设项目设计、施工、养护、监理单位遵守法律法规、工程质量、诚信等情况，及时公布违法违规企业名单及处罚结果。五是积极推广应用绿色照明、清洁能源、雨水收集及中水利用、园林垃圾资源化利用等新材料、新工艺、新技术，不断提升公园品质和功能。</w:t>
      </w:r>
    </w:p>
    <w:p>
      <w:pPr>
        <w:spacing w:line="460" w:lineRule="exact"/>
        <w:ind w:firstLine="472" w:firstLineChars="200"/>
        <w:rPr>
          <w:rFonts w:eastAsia="方正黑体_GBK"/>
          <w:color w:val="000000"/>
          <w:spacing w:val="-2"/>
          <w:sz w:val="24"/>
        </w:rPr>
      </w:pPr>
      <w:r>
        <w:rPr>
          <w:rFonts w:hint="eastAsia" w:eastAsia="方正黑体_GBK"/>
          <w:color w:val="000000"/>
          <w:spacing w:val="-2"/>
          <w:sz w:val="24"/>
        </w:rPr>
        <w:t>五、深化公园运营维护管理</w:t>
      </w:r>
    </w:p>
    <w:p>
      <w:pPr>
        <w:spacing w:line="460" w:lineRule="exact"/>
        <w:ind w:firstLine="472" w:firstLineChars="200"/>
        <w:rPr>
          <w:rFonts w:eastAsia="方正楷体_GBK"/>
          <w:color w:val="000000"/>
          <w:spacing w:val="-2"/>
          <w:sz w:val="24"/>
        </w:rPr>
      </w:pPr>
      <w:r>
        <w:rPr>
          <w:rFonts w:hint="eastAsia" w:eastAsia="方正楷体_GBK"/>
          <w:color w:val="000000"/>
          <w:spacing w:val="-2"/>
          <w:sz w:val="24"/>
        </w:rPr>
        <w:t>（一）严格运营管理，确保公园公共服务属性。</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公园是公共资源，要确保公园姓</w:t>
      </w:r>
      <w:r>
        <w:rPr>
          <w:rFonts w:eastAsia="方正仿宋_GBK"/>
          <w:color w:val="000000"/>
          <w:spacing w:val="-2"/>
          <w:sz w:val="24"/>
        </w:rPr>
        <w:t>“</w:t>
      </w:r>
      <w:r>
        <w:rPr>
          <w:rFonts w:hint="eastAsia" w:eastAsia="方正仿宋_GBK"/>
          <w:color w:val="000000"/>
          <w:spacing w:val="-2"/>
          <w:sz w:val="24"/>
        </w:rPr>
        <w:t>公</w:t>
      </w:r>
      <w:r>
        <w:rPr>
          <w:rFonts w:eastAsia="方正仿宋_GBK"/>
          <w:color w:val="000000"/>
          <w:spacing w:val="-2"/>
          <w:sz w:val="24"/>
        </w:rPr>
        <w:t>”</w:t>
      </w:r>
      <w:r>
        <w:rPr>
          <w:rFonts w:hint="eastAsia" w:eastAsia="方正仿宋_GBK"/>
          <w:color w:val="000000"/>
          <w:spacing w:val="-2"/>
          <w:sz w:val="24"/>
        </w:rPr>
        <w:t>，严禁任何与公园公益性及服务游人宗旨相违背的经营行为。一是严禁在公园内设立为少数人服务的会所、高档餐馆、茶楼等；严禁利用</w:t>
      </w:r>
      <w:r>
        <w:rPr>
          <w:rFonts w:eastAsia="方正仿宋_GBK"/>
          <w:color w:val="000000"/>
          <w:spacing w:val="-2"/>
          <w:sz w:val="24"/>
        </w:rPr>
        <w:t>“</w:t>
      </w:r>
      <w:r>
        <w:rPr>
          <w:rFonts w:hint="eastAsia" w:eastAsia="方正仿宋_GBK"/>
          <w:color w:val="000000"/>
          <w:spacing w:val="-2"/>
          <w:sz w:val="24"/>
        </w:rPr>
        <w:t>园中园</w:t>
      </w:r>
      <w:r>
        <w:rPr>
          <w:rFonts w:eastAsia="方正仿宋_GBK"/>
          <w:color w:val="000000"/>
          <w:spacing w:val="-2"/>
          <w:sz w:val="24"/>
        </w:rPr>
        <w:t>”</w:t>
      </w:r>
      <w:r>
        <w:rPr>
          <w:rFonts w:hint="eastAsia" w:eastAsia="方正仿宋_GBK"/>
          <w:color w:val="000000"/>
          <w:spacing w:val="-2"/>
          <w:sz w:val="24"/>
        </w:rPr>
        <w:t>等变相经营。二是禁止将政府投资建设的公园资产转由企业经营、将公园作为旅游景点进行经营开发。三是严禁违规增添游乐康体设施设备以及将公园内亭、台、楼、阁等园林建筑以租赁、承包、买断等形式转交营利性组织或个人经营。</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各城市园林绿化主管部门每年至少组织一次全面清理检查，对存在违规行为的公园提出处理意见，责令限期整改，并将检查清理情况及时报送城市人民政府及省级住房城乡建设（园林绿化）主管部门。各省级住房城乡建设（园林绿化）主管部门应及时将有关情况报送住房城乡建设部，并督促整改。</w:t>
      </w:r>
    </w:p>
    <w:p>
      <w:pPr>
        <w:spacing w:line="460" w:lineRule="exact"/>
        <w:ind w:firstLine="472" w:firstLineChars="200"/>
        <w:rPr>
          <w:rFonts w:eastAsia="方正楷体_GBK"/>
          <w:color w:val="000000"/>
          <w:spacing w:val="-2"/>
          <w:sz w:val="24"/>
        </w:rPr>
      </w:pPr>
      <w:r>
        <w:rPr>
          <w:rFonts w:hint="eastAsia" w:eastAsia="方正楷体_GBK"/>
          <w:color w:val="000000"/>
          <w:spacing w:val="-2"/>
          <w:sz w:val="24"/>
        </w:rPr>
        <w:t>（二）强化绿线管制，保障公园绿地性质。</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公园绿地是城市绿地系统最核心的组成部分，任何单位和个人不得侵占。一是禁止以开发、市政建设等名义侵占公园绿地。二是禁止出租公园用地，不得以合作、合资或者其他方式，将公园用地改作他用。三是严禁借改造、搬迁等名义将公园迁移到偏远位置。经过公示、论证并经审核同意搬迁的公园，其原址的公园绿地性质和服务功能不得改变。四是严格控制公园周边可能影响其景观和功能的建设项目及公园地下空间的商业性开发。市政工程建设涉及已建成公园的必须采取合理避让措施；确需临时占用的，必须征得城市园林绿化主管部门同意，并按园林绿化主管部门的意见实施。</w:t>
      </w:r>
    </w:p>
    <w:p>
      <w:pPr>
        <w:spacing w:line="460" w:lineRule="exact"/>
        <w:ind w:firstLine="472" w:firstLineChars="200"/>
        <w:rPr>
          <w:rFonts w:eastAsia="方正楷体_GBK"/>
          <w:color w:val="000000"/>
          <w:spacing w:val="-2"/>
          <w:sz w:val="24"/>
        </w:rPr>
      </w:pPr>
      <w:r>
        <w:rPr>
          <w:rFonts w:hint="eastAsia" w:eastAsia="方正楷体_GBK"/>
          <w:color w:val="000000"/>
          <w:spacing w:val="-2"/>
          <w:sz w:val="24"/>
        </w:rPr>
        <w:t>（三）加强日常管理，确保公园运营安全有序。</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公园要建立健全安全管理制度，明确分工，责任到人。完善突发事件应急处置机制和安全督查机制，保障公园内各项设施设备安全运营。公园内举办大型活动或设置游乐项目必须首先开展安全风险评估，严格审查和公示管理，必要时需组织论证和听证。承担防灾避险功能的公园必须合理设置防灾避险设施，并确保出现灾情时及时开放、功能完好。各地公园要切实加强日常管理，制订公园管理细则，明确公园管理人员、服务人员、游人等的行为准则，以优质服务游人为基本宗旨，倡导文明游园。一要保障公园内所有餐饮、展示、娱乐等服务性设备设施都面向公众开放。二要按功能分区合理设置游览休闲等项目，积极组织开展科普教育、生物多样性保护宣传和文化节、游园会、书画展等文化娱乐活动，严禁低级庸俗的活动进园。三要加强卫生保洁以及公园内山体、水体、树木花草等保护管理，确保公园水质清新、设施干净、环境优美。四要加强游园巡查，制止和清除黑导、野泳、野钓、烧烤等行为，杜绝噪声扰民、商品展销、游商兜售等。五要加强对旅游团队的管理，讲解人员须持证上岗，对历史名园、遗址保护公园、植物园、动物园、湿地公园等，要实行专业化讲解。六要严格限制宠物入园（宠物专类公园除外），严禁动物表演，严格限制机动车辆入园。</w:t>
      </w:r>
    </w:p>
    <w:p>
      <w:pPr>
        <w:spacing w:line="460" w:lineRule="exact"/>
        <w:ind w:firstLine="472" w:firstLineChars="200"/>
        <w:rPr>
          <w:rFonts w:eastAsia="方正楷体_GBK"/>
          <w:color w:val="000000"/>
          <w:spacing w:val="-2"/>
          <w:sz w:val="24"/>
        </w:rPr>
      </w:pPr>
      <w:r>
        <w:rPr>
          <w:rFonts w:hint="eastAsia" w:eastAsia="方正楷体_GBK"/>
          <w:color w:val="000000"/>
          <w:spacing w:val="-2"/>
          <w:sz w:val="24"/>
        </w:rPr>
        <w:t>（四）加大管养投入，保障健康永续发展。</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要本着</w:t>
      </w:r>
      <w:r>
        <w:rPr>
          <w:rFonts w:eastAsia="方正仿宋_GBK"/>
          <w:color w:val="000000"/>
          <w:spacing w:val="-2"/>
          <w:sz w:val="24"/>
        </w:rPr>
        <w:t>“</w:t>
      </w:r>
      <w:r>
        <w:rPr>
          <w:rFonts w:hint="eastAsia" w:eastAsia="方正仿宋_GBK"/>
          <w:color w:val="000000"/>
          <w:spacing w:val="-2"/>
          <w:sz w:val="24"/>
        </w:rPr>
        <w:t>三分建设七分管养</w:t>
      </w:r>
      <w:r>
        <w:rPr>
          <w:rFonts w:eastAsia="方正仿宋_GBK"/>
          <w:color w:val="000000"/>
          <w:spacing w:val="-2"/>
          <w:sz w:val="24"/>
        </w:rPr>
        <w:t>”</w:t>
      </w:r>
      <w:r>
        <w:rPr>
          <w:rFonts w:hint="eastAsia" w:eastAsia="方正仿宋_GBK"/>
          <w:color w:val="000000"/>
          <w:spacing w:val="-2"/>
          <w:sz w:val="24"/>
        </w:rPr>
        <w:t>的原则，在切实加大养护管理投入的同时全面推进公园管养专业化、精细化。一是从实际出发，制定公园养护管理技术规范和定额标准，加强专业人才队伍建设，保障公园管养经费足额到位、保证专业化管养水准。二是充分利用先进的科技手段，建设公园人、财、物以及游园、服务等数字化管理平台，健全信息公开、社会监督和动态监管机制，提高对古树名木、历史文化遗产等资源保护效力和公园综合管理效能。三是加大科研投入，积极开展引种驯化、物种资源保护、水质净化水生态保护等实用性、前瞻性研究。四是积极探索研究公园分级分类管理，根据公园等级类型和功能的不同，在收费标准、资金投入、考核检查等方面实行差异化管理。在标准完善、考核和监管机制健全的基础上，对公园卫生保洁、安全保卫以及防治病虫害等养护作业可实行社会化管理。</w:t>
      </w:r>
    </w:p>
    <w:p>
      <w:pPr>
        <w:spacing w:line="460" w:lineRule="exact"/>
        <w:ind w:firstLine="472" w:firstLineChars="200"/>
        <w:rPr>
          <w:rFonts w:eastAsia="方正黑体_GBK"/>
          <w:color w:val="000000"/>
          <w:spacing w:val="-2"/>
          <w:sz w:val="24"/>
        </w:rPr>
      </w:pPr>
      <w:r>
        <w:rPr>
          <w:rFonts w:hint="eastAsia" w:eastAsia="方正黑体_GBK"/>
          <w:color w:val="000000"/>
          <w:spacing w:val="-2"/>
          <w:sz w:val="24"/>
        </w:rPr>
        <w:t>六、加强组织领导</w:t>
      </w:r>
    </w:p>
    <w:p>
      <w:pPr>
        <w:spacing w:line="460" w:lineRule="exact"/>
        <w:ind w:firstLine="472" w:firstLineChars="200"/>
        <w:rPr>
          <w:rFonts w:eastAsia="方正楷体_GBK"/>
          <w:color w:val="000000"/>
          <w:spacing w:val="-2"/>
          <w:sz w:val="24"/>
        </w:rPr>
      </w:pPr>
      <w:r>
        <w:rPr>
          <w:rFonts w:hint="eastAsia" w:eastAsia="方正楷体_GBK"/>
          <w:color w:val="000000"/>
          <w:spacing w:val="-2"/>
          <w:sz w:val="24"/>
        </w:rPr>
        <w:t>（一）落实管理责任。</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城市人民政府要贯彻落实《国务院关于加强城市绿化建设的通知》要求，把公园建设管理纳入政府重要议事日程。各级政府要在理念引导、规划控制、资源协调、资金投入、政策保障、监督管理等方面强化主导作用。</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各级住房城乡建设（园林绿化）主管部门要组织制订完善公园建设管理的法规政策、制度以及技术标准、操作规程等，指导、监督公园管理机构正常履行职责，并对辖区内公园运营管理等组织考核并跟踪监督。</w:t>
      </w:r>
    </w:p>
    <w:p>
      <w:pPr>
        <w:spacing w:line="460" w:lineRule="exact"/>
        <w:ind w:firstLine="472" w:firstLineChars="200"/>
        <w:rPr>
          <w:rFonts w:eastAsia="方正楷体_GBK"/>
          <w:color w:val="000000"/>
          <w:spacing w:val="-2"/>
          <w:sz w:val="24"/>
        </w:rPr>
      </w:pPr>
      <w:r>
        <w:rPr>
          <w:rFonts w:hint="eastAsia" w:eastAsia="方正楷体_GBK"/>
          <w:color w:val="000000"/>
          <w:spacing w:val="-2"/>
          <w:sz w:val="24"/>
        </w:rPr>
        <w:t>（二）完善公众监督。</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各地要建立健全公园建设管理全过程监管体系，自觉接受社会公众和新闻媒体的监督，营造</w:t>
      </w:r>
      <w:r>
        <w:rPr>
          <w:rFonts w:eastAsia="方正仿宋_GBK"/>
          <w:color w:val="000000"/>
          <w:spacing w:val="-2"/>
          <w:sz w:val="24"/>
        </w:rPr>
        <w:t>“</w:t>
      </w:r>
      <w:r>
        <w:rPr>
          <w:rFonts w:hint="eastAsia" w:eastAsia="方正仿宋_GBK"/>
          <w:color w:val="000000"/>
          <w:spacing w:val="-2"/>
          <w:sz w:val="24"/>
        </w:rPr>
        <w:t>政府重视、社会关注、百姓支持</w:t>
      </w:r>
      <w:r>
        <w:rPr>
          <w:rFonts w:eastAsia="方正仿宋_GBK"/>
          <w:color w:val="000000"/>
          <w:spacing w:val="-2"/>
          <w:sz w:val="24"/>
        </w:rPr>
        <w:t>”</w:t>
      </w:r>
      <w:r>
        <w:rPr>
          <w:rFonts w:hint="eastAsia" w:eastAsia="方正仿宋_GBK"/>
          <w:color w:val="000000"/>
          <w:spacing w:val="-2"/>
          <w:sz w:val="24"/>
        </w:rPr>
        <w:t>的良好氛围。已建成开放的公园，要及时面向社会公示公园四至范围及坐标位置，加强社会监督。各地公园要建立自律自治和举报监督机制，及时受理群众举报，接受公众、媒体监督，引导社会各界参与公园的维护、管理，促进公园规范运营、和谐发展。</w:t>
      </w:r>
    </w:p>
    <w:p>
      <w:pPr>
        <w:spacing w:line="460" w:lineRule="exact"/>
        <w:ind w:firstLine="472" w:firstLineChars="200"/>
        <w:rPr>
          <w:rFonts w:eastAsia="方正楷体_GBK"/>
          <w:color w:val="000000"/>
          <w:spacing w:val="-2"/>
          <w:sz w:val="24"/>
        </w:rPr>
      </w:pPr>
      <w:r>
        <w:rPr>
          <w:rFonts w:hint="eastAsia" w:eastAsia="方正楷体_GBK"/>
          <w:color w:val="000000"/>
          <w:spacing w:val="-2"/>
          <w:sz w:val="24"/>
        </w:rPr>
        <w:t>（三）健全动态监管。</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各地要建立公园登记注册、普查清理、督查整改等动态监管机制，各省级住房城乡建设（园林绿化）主管部门要在每年</w:t>
      </w:r>
      <w:r>
        <w:rPr>
          <w:rFonts w:eastAsia="方正仿宋_GBK"/>
          <w:color w:val="000000"/>
          <w:spacing w:val="-2"/>
          <w:sz w:val="24"/>
        </w:rPr>
        <w:t>12</w:t>
      </w:r>
      <w:r>
        <w:rPr>
          <w:rFonts w:hint="eastAsia" w:eastAsia="方正仿宋_GBK"/>
          <w:color w:val="000000"/>
          <w:spacing w:val="-2"/>
          <w:sz w:val="24"/>
        </w:rPr>
        <w:t>月</w:t>
      </w:r>
      <w:r>
        <w:rPr>
          <w:rFonts w:eastAsia="方正仿宋_GBK"/>
          <w:color w:val="000000"/>
          <w:spacing w:val="-2"/>
          <w:sz w:val="24"/>
        </w:rPr>
        <w:t>31</w:t>
      </w:r>
      <w:r>
        <w:rPr>
          <w:rFonts w:hint="eastAsia" w:eastAsia="方正仿宋_GBK"/>
          <w:color w:val="000000"/>
          <w:spacing w:val="-2"/>
          <w:sz w:val="24"/>
        </w:rPr>
        <w:t>日前将本地区公园建设管理及跟踪督查情况上报住房城乡建设部。住房城乡建设部将根据各地上报信息及群众举报、媒体报道等情况组织重点抽查和专项调查，并及时通报违规情况。</w:t>
      </w:r>
    </w:p>
    <w:p>
      <w:pPr>
        <w:spacing w:line="460" w:lineRule="exact"/>
        <w:ind w:firstLine="472" w:firstLineChars="200"/>
        <w:rPr>
          <w:rFonts w:eastAsia="方正仿宋_GBK"/>
          <w:color w:val="000000"/>
          <w:spacing w:val="-2"/>
          <w:sz w:val="24"/>
        </w:rPr>
      </w:pPr>
    </w:p>
    <w:p>
      <w:pPr>
        <w:spacing w:line="460" w:lineRule="exact"/>
        <w:ind w:firstLine="472" w:firstLineChars="200"/>
        <w:rPr>
          <w:rFonts w:eastAsia="方正仿宋_GBK"/>
          <w:color w:val="000000"/>
          <w:spacing w:val="-2"/>
          <w:sz w:val="24"/>
        </w:rPr>
      </w:pPr>
    </w:p>
    <w:p/>
    <w:p/>
    <w:p/>
    <w:p/>
    <w:p/>
    <w:p/>
    <w:p/>
    <w:p/>
    <w:p/>
    <w:p/>
    <w:p/>
    <w:p/>
    <w:p/>
    <w:p/>
    <w:p/>
    <w:p/>
    <w:p/>
    <w:p/>
    <w:p/>
    <w:p/>
    <w:p>
      <w:pPr>
        <w:pStyle w:val="2"/>
        <w:spacing w:before="240" w:beforeLines="100" w:after="240" w:afterLines="100" w:line="240" w:lineRule="auto"/>
        <w:jc w:val="center"/>
        <w:rPr>
          <w:rFonts w:ascii="Times New Roman" w:eastAsia="方正小标宋_GBK"/>
          <w:b w:val="0"/>
          <w:sz w:val="36"/>
          <w:szCs w:val="36"/>
        </w:rPr>
      </w:pPr>
      <w:bookmarkStart w:id="426" w:name="_Toc20726642"/>
      <w:bookmarkStart w:id="427" w:name="_Toc18315783"/>
      <w:r>
        <w:rPr>
          <w:rFonts w:hint="eastAsia" w:ascii="Times New Roman" w:eastAsia="方正小标宋_GBK"/>
          <w:b w:val="0"/>
          <w:sz w:val="36"/>
          <w:szCs w:val="36"/>
        </w:rPr>
        <w:t>省住房城乡建设厅关于2013年江苏省城市古树名木核查结果的通知</w:t>
      </w:r>
      <w:bookmarkEnd w:id="426"/>
      <w:bookmarkEnd w:id="427"/>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428" w:name="_Toc20726643"/>
      <w:bookmarkStart w:id="429" w:name="_Toc18315784"/>
      <w:r>
        <w:rPr>
          <w:rFonts w:hint="eastAsia" w:ascii="Times New Roman" w:hAnsi="Times New Roman" w:eastAsia="方正楷体_GBK"/>
          <w:b w:val="0"/>
          <w:sz w:val="24"/>
          <w:szCs w:val="24"/>
        </w:rPr>
        <w:t>苏建园〔</w:t>
      </w:r>
      <w:r>
        <w:rPr>
          <w:rFonts w:ascii="Times New Roman" w:hAnsi="Times New Roman" w:eastAsia="方正楷体_GBK"/>
          <w:b w:val="0"/>
          <w:sz w:val="24"/>
          <w:szCs w:val="24"/>
        </w:rPr>
        <w:t>2013</w:t>
      </w:r>
      <w:r>
        <w:rPr>
          <w:rFonts w:hint="eastAsia" w:ascii="Times New Roman" w:hAnsi="Times New Roman" w:eastAsia="方正楷体_GBK"/>
          <w:b w:val="0"/>
          <w:sz w:val="24"/>
          <w:szCs w:val="24"/>
        </w:rPr>
        <w:t>〕</w:t>
      </w:r>
      <w:r>
        <w:rPr>
          <w:rFonts w:ascii="Times New Roman" w:hAnsi="Times New Roman" w:eastAsia="方正楷体_GBK"/>
          <w:b w:val="0"/>
          <w:sz w:val="24"/>
          <w:szCs w:val="24"/>
        </w:rPr>
        <w:t>537</w:t>
      </w:r>
      <w:r>
        <w:rPr>
          <w:rFonts w:hint="eastAsia" w:ascii="Times New Roman" w:hAnsi="Times New Roman" w:eastAsia="方正楷体_GBK"/>
          <w:b w:val="0"/>
          <w:sz w:val="24"/>
          <w:szCs w:val="24"/>
        </w:rPr>
        <w:t>号</w:t>
      </w:r>
      <w:bookmarkEnd w:id="428"/>
      <w:bookmarkEnd w:id="429"/>
    </w:p>
    <w:p>
      <w:pPr>
        <w:spacing w:line="460" w:lineRule="exact"/>
        <w:rPr>
          <w:rFonts w:eastAsia="方正仿宋_GBK"/>
          <w:color w:val="000000"/>
          <w:spacing w:val="-2"/>
          <w:sz w:val="24"/>
        </w:rPr>
      </w:pPr>
      <w:r>
        <w:rPr>
          <w:rFonts w:hint="eastAsia" w:eastAsia="方正仿宋_GBK"/>
          <w:color w:val="000000"/>
          <w:spacing w:val="-2"/>
          <w:sz w:val="24"/>
        </w:rPr>
        <w:t>各市、县园林局（建设局）：</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城市古树名木是城市历史的见证和活的文物，是城市自然和文化的珍贵遗产。为了加强对城市古树名木的保护和管理，今年我厅组织对全省城市古树名木进行了</w:t>
      </w:r>
      <w:r>
        <w:rPr>
          <w:rFonts w:eastAsia="方正仿宋_GBK"/>
          <w:color w:val="000000"/>
          <w:spacing w:val="-2"/>
          <w:sz w:val="24"/>
        </w:rPr>
        <w:t>5</w:t>
      </w:r>
      <w:r>
        <w:rPr>
          <w:rFonts w:hint="eastAsia" w:eastAsia="方正仿宋_GBK"/>
          <w:color w:val="000000"/>
          <w:spacing w:val="-2"/>
          <w:sz w:val="24"/>
        </w:rPr>
        <w:t>年一次的核查工作，在各市、县园林绿化行政主管部门的通力配合下，进一步完善、明晰了全省城市古树名木的现状资料，为加强保护、制定措施、规范管理提供了基础和依据。</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从核查情况看，各地相继建立和完善了城市古树名木的保护管理规章，规范了档案管理和标牌标识，日常养护的监督和指导有所加强，城市古树名木的规范化管理已覆盖所有市、县。截止到</w:t>
      </w:r>
      <w:r>
        <w:rPr>
          <w:rFonts w:eastAsia="方正仿宋_GBK"/>
          <w:color w:val="000000"/>
          <w:spacing w:val="-2"/>
          <w:sz w:val="24"/>
        </w:rPr>
        <w:t>2013</w:t>
      </w:r>
      <w:r>
        <w:rPr>
          <w:rFonts w:hint="eastAsia" w:eastAsia="方正仿宋_GBK"/>
          <w:color w:val="000000"/>
          <w:spacing w:val="-2"/>
          <w:sz w:val="24"/>
        </w:rPr>
        <w:t>年</w:t>
      </w:r>
      <w:r>
        <w:rPr>
          <w:rFonts w:eastAsia="方正仿宋_GBK"/>
          <w:color w:val="000000"/>
          <w:spacing w:val="-2"/>
          <w:sz w:val="24"/>
        </w:rPr>
        <w:t>10</w:t>
      </w:r>
      <w:r>
        <w:rPr>
          <w:rFonts w:hint="eastAsia" w:eastAsia="方正仿宋_GBK"/>
          <w:color w:val="000000"/>
          <w:spacing w:val="-2"/>
          <w:sz w:val="24"/>
        </w:rPr>
        <w:t>月，全省共有城市古树名木</w:t>
      </w:r>
      <w:r>
        <w:rPr>
          <w:rFonts w:eastAsia="方正仿宋_GBK"/>
          <w:color w:val="000000"/>
          <w:spacing w:val="-2"/>
          <w:sz w:val="24"/>
        </w:rPr>
        <w:t>7854</w:t>
      </w:r>
      <w:r>
        <w:rPr>
          <w:rFonts w:hint="eastAsia" w:eastAsia="方正仿宋_GBK"/>
          <w:color w:val="000000"/>
          <w:spacing w:val="-2"/>
          <w:sz w:val="24"/>
        </w:rPr>
        <w:t>株，其中一级古树名木</w:t>
      </w:r>
      <w:r>
        <w:rPr>
          <w:rFonts w:eastAsia="方正仿宋_GBK"/>
          <w:color w:val="000000"/>
          <w:spacing w:val="-2"/>
          <w:sz w:val="24"/>
        </w:rPr>
        <w:t>1304</w:t>
      </w:r>
      <w:r>
        <w:rPr>
          <w:rFonts w:hint="eastAsia" w:eastAsia="方正仿宋_GBK"/>
          <w:color w:val="000000"/>
          <w:spacing w:val="-2"/>
          <w:sz w:val="24"/>
        </w:rPr>
        <w:t>株，二级古树名木</w:t>
      </w:r>
      <w:r>
        <w:rPr>
          <w:rFonts w:eastAsia="方正仿宋_GBK"/>
          <w:color w:val="000000"/>
          <w:spacing w:val="-2"/>
          <w:sz w:val="24"/>
        </w:rPr>
        <w:t>6550</w:t>
      </w:r>
      <w:r>
        <w:rPr>
          <w:rFonts w:hint="eastAsia" w:eastAsia="方正仿宋_GBK"/>
          <w:color w:val="000000"/>
          <w:spacing w:val="-2"/>
          <w:sz w:val="24"/>
        </w:rPr>
        <w:t>株。与</w:t>
      </w:r>
      <w:r>
        <w:rPr>
          <w:rFonts w:eastAsia="方正仿宋_GBK"/>
          <w:color w:val="000000"/>
          <w:spacing w:val="-2"/>
          <w:sz w:val="24"/>
        </w:rPr>
        <w:t>2008</w:t>
      </w:r>
      <w:r>
        <w:rPr>
          <w:rFonts w:hint="eastAsia" w:eastAsia="方正仿宋_GBK"/>
          <w:color w:val="000000"/>
          <w:spacing w:val="-2"/>
          <w:sz w:val="24"/>
        </w:rPr>
        <w:t>年相比，列入城市古树名木保护的树木增加了</w:t>
      </w:r>
      <w:r>
        <w:rPr>
          <w:rFonts w:eastAsia="方正仿宋_GBK"/>
          <w:color w:val="000000"/>
          <w:spacing w:val="-2"/>
          <w:sz w:val="24"/>
        </w:rPr>
        <w:t>263</w:t>
      </w:r>
      <w:r>
        <w:rPr>
          <w:rFonts w:hint="eastAsia" w:eastAsia="方正仿宋_GBK"/>
          <w:color w:val="000000"/>
          <w:spacing w:val="-2"/>
          <w:sz w:val="24"/>
        </w:rPr>
        <w:t>株，其中一级</w:t>
      </w:r>
      <w:r>
        <w:rPr>
          <w:rFonts w:eastAsia="方正仿宋_GBK"/>
          <w:color w:val="000000"/>
          <w:spacing w:val="-2"/>
          <w:sz w:val="24"/>
        </w:rPr>
        <w:t>89</w:t>
      </w:r>
      <w:r>
        <w:rPr>
          <w:rFonts w:hint="eastAsia" w:eastAsia="方正仿宋_GBK"/>
          <w:color w:val="000000"/>
          <w:spacing w:val="-2"/>
          <w:sz w:val="24"/>
        </w:rPr>
        <w:t>株，二级</w:t>
      </w:r>
      <w:r>
        <w:rPr>
          <w:rFonts w:eastAsia="方正仿宋_GBK"/>
          <w:color w:val="000000"/>
          <w:spacing w:val="-2"/>
          <w:sz w:val="24"/>
        </w:rPr>
        <w:t>174</w:t>
      </w:r>
      <w:r>
        <w:rPr>
          <w:rFonts w:hint="eastAsia" w:eastAsia="方正仿宋_GBK"/>
          <w:color w:val="000000"/>
          <w:spacing w:val="-2"/>
          <w:sz w:val="24"/>
        </w:rPr>
        <w:t>株，并第一次将树龄</w:t>
      </w:r>
      <w:r>
        <w:rPr>
          <w:rFonts w:eastAsia="方正仿宋_GBK"/>
          <w:color w:val="000000"/>
          <w:spacing w:val="-2"/>
          <w:sz w:val="24"/>
        </w:rPr>
        <w:t>50—100</w:t>
      </w:r>
      <w:r>
        <w:rPr>
          <w:rFonts w:hint="eastAsia" w:eastAsia="方正仿宋_GBK"/>
          <w:color w:val="000000"/>
          <w:spacing w:val="-2"/>
          <w:sz w:val="24"/>
        </w:rPr>
        <w:t>年的树木作为古树名木的后续资源列入调查和保护，共计</w:t>
      </w:r>
      <w:r>
        <w:rPr>
          <w:rFonts w:eastAsia="方正仿宋_GBK"/>
          <w:color w:val="000000"/>
          <w:spacing w:val="-2"/>
          <w:sz w:val="24"/>
        </w:rPr>
        <w:t>245</w:t>
      </w:r>
      <w:r>
        <w:rPr>
          <w:rFonts w:hint="eastAsia" w:eastAsia="方正仿宋_GBK"/>
          <w:color w:val="000000"/>
          <w:spacing w:val="-2"/>
          <w:sz w:val="24"/>
        </w:rPr>
        <w:t>株。城市园林绿化行政主管部门的行业指导、监督和管理职能进一步增强。</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但是调查也发现城市古树名木保护管理仍然存在不少问题和薄弱环节，归纳起来主要有以下几点：一是档案资料的规范性还有待加强，一些市、县古树名木现状资料不完整、不准确，编号不规范，且多号一栏；二是保护管理较薄弱，古树名木死亡的数量较大。除正常生长衰退及自然灾害等不可抗力因素外，病虫害、移植、养护管理不善等仍是死亡的主要原因；三是日常监管不力，古树名木丢失、转卖等现象仍有发生。为此，提出如下工作要求：</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严格执行《城市绿化条例》、《江苏省城市绿化管理条例》等法规中严禁砍伐、随意移植古树名木的规定，加强行政和行业监管。要杜绝转卖、移植外来古树名木的现象，本地古树名木应坚持就地保护的原则，移植要慎重。在工程建设的规划设计阶段应制定工程范围内古树名木的保护方案和措施，尽量做到路让树、房让树，并为古树名木的生长创造良好的外部环境。因特殊原因本地古树名木确需移植的，必须按照有关规定办理移植审批手续，移植要采取相应的特殊技术和工程措施，确保古树名木成活。</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二、进一步规范完善城市古树名木的档案管理。对古树名木资料不全的要尽快完善资料（包括文档及图片）；对多号一栏的，应将每一株树木的基本情况分栏列出，做到一号一栏。本次汇总名录的编号已经各市、县园林绿化主管部门反复确认，应作为今后各地城市古树名木的档案号、挂牌号进行统一管理。今后新增的古树名木应在对应的区域内续后编号。若因特殊原因确需调整变更编号的，请及时告知我厅风景园林处并备案。</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三、进一步完善城市古树名木的保护管理机制，加强日常养护监管。各地园林绿化行政主管部门要重视城市古树名木的保护管理工作，按照国家和省对城市古树名木保护管理的办法和规定，落实各项管养措施，纳入日常工作强化监管和技术指导。生长条件恶劣的应予以改善，生长状况不良的要采取措施，做到定期察看、及时复壮。有条件的城市要将城市古树名木纳入城市绿线进行定点定位管理，省辖市园林绿化行政主管部门应成立城市古树名木鉴定、复壮技术专家组，为城市古树名木的科学管养提供技术支撑和指导服务。</w:t>
      </w:r>
    </w:p>
    <w:p>
      <w:pPr>
        <w:spacing w:line="460" w:lineRule="exact"/>
        <w:ind w:firstLine="472" w:firstLineChars="200"/>
        <w:rPr>
          <w:rFonts w:eastAsia="方正仿宋_GBK"/>
          <w:color w:val="000000"/>
          <w:spacing w:val="-2"/>
          <w:sz w:val="24"/>
        </w:rPr>
      </w:pP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附件：</w:t>
      </w:r>
      <w:r>
        <w:rPr>
          <w:rFonts w:eastAsia="方正仿宋_GBK"/>
          <w:color w:val="000000"/>
          <w:spacing w:val="-2"/>
          <w:sz w:val="24"/>
        </w:rPr>
        <w:t>1.</w:t>
      </w:r>
      <w:r>
        <w:rPr>
          <w:rFonts w:hint="cs" w:eastAsia="方正仿宋_GBK"/>
          <w:color w:val="000000"/>
          <w:spacing w:val="-2"/>
          <w:sz w:val="24"/>
          <w:cs/>
        </w:rPr>
        <w:t> </w:t>
      </w:r>
      <w:r>
        <w:rPr>
          <w:rFonts w:eastAsia="方正仿宋_GBK"/>
          <w:color w:val="000000"/>
          <w:spacing w:val="-2"/>
          <w:sz w:val="24"/>
        </w:rPr>
        <w:t>2013</w:t>
      </w:r>
      <w:r>
        <w:rPr>
          <w:rFonts w:hint="eastAsia" w:eastAsia="方正仿宋_GBK"/>
          <w:color w:val="000000"/>
          <w:spacing w:val="-2"/>
          <w:sz w:val="24"/>
        </w:rPr>
        <w:t>年江苏省城市古树名木汇总表（略）</w:t>
      </w:r>
    </w:p>
    <w:p>
      <w:pPr>
        <w:spacing w:line="460" w:lineRule="exact"/>
        <w:ind w:firstLine="1180" w:firstLineChars="500"/>
        <w:rPr>
          <w:rFonts w:eastAsia="方正仿宋_GBK"/>
          <w:color w:val="000000"/>
          <w:spacing w:val="-2"/>
          <w:sz w:val="24"/>
        </w:rPr>
      </w:pPr>
      <w:r>
        <w:rPr>
          <w:rFonts w:eastAsia="方正仿宋_GBK"/>
          <w:color w:val="000000"/>
          <w:spacing w:val="-2"/>
          <w:sz w:val="24"/>
        </w:rPr>
        <w:t>2.</w:t>
      </w:r>
      <w:r>
        <w:rPr>
          <w:rFonts w:hint="cs" w:eastAsia="方正仿宋_GBK"/>
          <w:color w:val="000000"/>
          <w:spacing w:val="-2"/>
          <w:sz w:val="24"/>
          <w:cs/>
        </w:rPr>
        <w:t> </w:t>
      </w:r>
      <w:r>
        <w:rPr>
          <w:rFonts w:hint="eastAsia" w:eastAsia="方正仿宋_GBK"/>
          <w:color w:val="000000"/>
          <w:spacing w:val="-2"/>
          <w:sz w:val="24"/>
        </w:rPr>
        <w:t>江苏省城市古树名木数量统计表（</w:t>
      </w:r>
      <w:r>
        <w:rPr>
          <w:rFonts w:eastAsia="方正仿宋_GBK"/>
          <w:color w:val="000000"/>
          <w:spacing w:val="-2"/>
          <w:sz w:val="24"/>
        </w:rPr>
        <w:t>201310</w:t>
      </w:r>
      <w:r>
        <w:rPr>
          <w:rFonts w:hint="eastAsia" w:eastAsia="方正仿宋_GBK"/>
          <w:color w:val="000000"/>
          <w:spacing w:val="-2"/>
          <w:sz w:val="24"/>
        </w:rPr>
        <w:t>）（略）</w:t>
      </w:r>
    </w:p>
    <w:p>
      <w:pPr>
        <w:spacing w:line="460" w:lineRule="exact"/>
        <w:ind w:firstLine="3068" w:firstLineChars="1300"/>
        <w:rPr>
          <w:rFonts w:eastAsia="方正仿宋_GBK"/>
          <w:color w:val="000000"/>
          <w:spacing w:val="-2"/>
          <w:sz w:val="24"/>
        </w:rPr>
      </w:pPr>
    </w:p>
    <w:p>
      <w:pPr>
        <w:wordWrap w:val="0"/>
        <w:spacing w:line="460" w:lineRule="exact"/>
        <w:ind w:firstLine="3068" w:firstLineChars="1300"/>
        <w:jc w:val="right"/>
        <w:rPr>
          <w:rFonts w:eastAsia="方正仿宋_GBK"/>
          <w:color w:val="000000"/>
          <w:spacing w:val="-2"/>
          <w:sz w:val="24"/>
        </w:rPr>
      </w:pPr>
      <w:r>
        <w:rPr>
          <w:rFonts w:hint="eastAsia" w:eastAsia="方正仿宋_GBK"/>
          <w:color w:val="000000"/>
          <w:spacing w:val="-2"/>
          <w:sz w:val="24"/>
        </w:rPr>
        <w:t>江苏省住房城乡建设厅</w:t>
      </w:r>
      <w:r>
        <w:rPr>
          <w:rFonts w:eastAsia="方正仿宋_GBK"/>
          <w:color w:val="000000"/>
          <w:spacing w:val="-2"/>
          <w:sz w:val="24"/>
        </w:rPr>
        <w:t xml:space="preserve">    </w:t>
      </w:r>
    </w:p>
    <w:p>
      <w:pPr>
        <w:wordWrap w:val="0"/>
        <w:spacing w:line="460" w:lineRule="exact"/>
        <w:ind w:firstLine="472" w:firstLineChars="200"/>
        <w:jc w:val="right"/>
        <w:rPr>
          <w:rFonts w:eastAsia="方正仿宋_GBK"/>
          <w:color w:val="000000"/>
          <w:spacing w:val="-2"/>
          <w:sz w:val="24"/>
        </w:rPr>
      </w:pPr>
      <w:r>
        <w:rPr>
          <w:rFonts w:eastAsia="方正仿宋_GBK"/>
          <w:color w:val="000000"/>
          <w:spacing w:val="-2"/>
          <w:sz w:val="24"/>
        </w:rPr>
        <w:t xml:space="preserve">                        2013</w:t>
      </w:r>
      <w:r>
        <w:rPr>
          <w:rFonts w:hint="eastAsia" w:eastAsia="方正仿宋_GBK"/>
          <w:color w:val="000000"/>
          <w:spacing w:val="-2"/>
          <w:sz w:val="24"/>
        </w:rPr>
        <w:t>年</w:t>
      </w:r>
      <w:r>
        <w:rPr>
          <w:rFonts w:eastAsia="方正仿宋_GBK"/>
          <w:color w:val="000000"/>
          <w:spacing w:val="-2"/>
          <w:sz w:val="24"/>
        </w:rPr>
        <w:t>10</w:t>
      </w:r>
      <w:r>
        <w:rPr>
          <w:rFonts w:hint="eastAsia" w:eastAsia="方正仿宋_GBK"/>
          <w:color w:val="000000"/>
          <w:spacing w:val="-2"/>
          <w:sz w:val="24"/>
        </w:rPr>
        <w:t>月</w:t>
      </w:r>
      <w:r>
        <w:rPr>
          <w:rFonts w:eastAsia="方正仿宋_GBK"/>
          <w:color w:val="000000"/>
          <w:spacing w:val="-2"/>
          <w:sz w:val="24"/>
        </w:rPr>
        <w:t xml:space="preserve"> 29 </w:t>
      </w:r>
      <w:r>
        <w:rPr>
          <w:rFonts w:hint="eastAsia" w:eastAsia="方正仿宋_GBK"/>
          <w:color w:val="000000"/>
          <w:spacing w:val="-2"/>
          <w:sz w:val="24"/>
        </w:rPr>
        <w:t>日</w:t>
      </w:r>
      <w:r>
        <w:rPr>
          <w:rFonts w:eastAsia="方正仿宋_GBK"/>
          <w:color w:val="000000"/>
          <w:spacing w:val="-2"/>
          <w:sz w:val="24"/>
        </w:rPr>
        <w:t xml:space="preserve">     </w:t>
      </w:r>
    </w:p>
    <w:p/>
    <w:p/>
    <w:p/>
    <w:p/>
    <w:p/>
    <w:p/>
    <w:p/>
    <w:p/>
    <w:p/>
    <w:p/>
    <w:p/>
    <w:p/>
    <w:p/>
    <w:p/>
    <w:p/>
    <w:p/>
    <w:p/>
    <w:p/>
    <w:p>
      <w:pPr>
        <w:pStyle w:val="2"/>
        <w:spacing w:before="240" w:beforeLines="100" w:after="240" w:afterLines="100" w:line="240" w:lineRule="auto"/>
        <w:jc w:val="center"/>
        <w:rPr>
          <w:rFonts w:ascii="Times New Roman" w:eastAsia="方正小标宋_GBK"/>
          <w:b w:val="0"/>
          <w:sz w:val="36"/>
          <w:szCs w:val="36"/>
        </w:rPr>
      </w:pPr>
      <w:bookmarkStart w:id="430" w:name="_Toc20726484"/>
      <w:bookmarkStart w:id="431" w:name="_Toc18315656"/>
      <w:r>
        <w:rPr>
          <w:rFonts w:hint="eastAsia" w:ascii="Times New Roman" w:eastAsia="方正小标宋_GBK"/>
          <w:b w:val="0"/>
          <w:sz w:val="36"/>
          <w:szCs w:val="36"/>
        </w:rPr>
        <w:t>关于进一步加强我省建设工程监理管理的若干意见</w:t>
      </w:r>
      <w:bookmarkEnd w:id="430"/>
      <w:bookmarkEnd w:id="431"/>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432" w:name="_Toc20726485"/>
      <w:bookmarkStart w:id="433" w:name="_Toc18315657"/>
      <w:r>
        <w:rPr>
          <w:rFonts w:hint="eastAsia" w:ascii="Times New Roman" w:hAnsi="Times New Roman" w:eastAsia="方正楷体_GBK"/>
          <w:b w:val="0"/>
          <w:sz w:val="24"/>
          <w:szCs w:val="24"/>
        </w:rPr>
        <w:t>苏建工〔</w:t>
      </w:r>
      <w:r>
        <w:rPr>
          <w:rFonts w:ascii="Times New Roman" w:hAnsi="Times New Roman" w:eastAsia="方正楷体_GBK"/>
          <w:b w:val="0"/>
          <w:sz w:val="24"/>
          <w:szCs w:val="24"/>
        </w:rPr>
        <w:t>2007</w:t>
      </w:r>
      <w:r>
        <w:rPr>
          <w:rFonts w:hint="eastAsia" w:ascii="Times New Roman" w:hAnsi="Times New Roman" w:eastAsia="方正楷体_GBK"/>
          <w:b w:val="0"/>
          <w:sz w:val="24"/>
          <w:szCs w:val="24"/>
        </w:rPr>
        <w:t>〕</w:t>
      </w:r>
      <w:r>
        <w:rPr>
          <w:rFonts w:ascii="Times New Roman" w:hAnsi="Times New Roman" w:eastAsia="方正楷体_GBK"/>
          <w:b w:val="0"/>
          <w:sz w:val="24"/>
          <w:szCs w:val="24"/>
        </w:rPr>
        <w:t>168</w:t>
      </w:r>
      <w:r>
        <w:rPr>
          <w:rFonts w:hint="eastAsia" w:ascii="Times New Roman" w:hAnsi="Times New Roman" w:eastAsia="方正楷体_GBK"/>
          <w:b w:val="0"/>
          <w:sz w:val="24"/>
          <w:szCs w:val="24"/>
        </w:rPr>
        <w:t>号</w:t>
      </w:r>
      <w:bookmarkEnd w:id="432"/>
      <w:bookmarkEnd w:id="433"/>
    </w:p>
    <w:p>
      <w:pPr>
        <w:spacing w:line="460" w:lineRule="exact"/>
        <w:rPr>
          <w:rFonts w:eastAsia="方正仿宋_GBK"/>
          <w:color w:val="000000"/>
          <w:spacing w:val="-2"/>
          <w:kern w:val="0"/>
          <w:sz w:val="24"/>
        </w:rPr>
      </w:pPr>
      <w:r>
        <w:rPr>
          <w:rFonts w:hint="eastAsia" w:eastAsia="方正仿宋_GBK"/>
          <w:color w:val="000000"/>
          <w:spacing w:val="-2"/>
          <w:kern w:val="0"/>
          <w:sz w:val="24"/>
        </w:rPr>
        <w:t>各省辖市建设局（建委）、苏州工业园区规划建设局：</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为进一步加强建设工程监理管理，提高建设工程质量和管理水平，促进建设监理事业健康发展，根据国家和省有关规定，结合实际，提出以下若干意见。</w:t>
      </w:r>
    </w:p>
    <w:p>
      <w:pPr>
        <w:spacing w:line="460" w:lineRule="exact"/>
        <w:ind w:firstLine="472" w:firstLineChars="200"/>
        <w:rPr>
          <w:rFonts w:ascii="Times New Roman" w:eastAsia="方正黑体_GBK"/>
          <w:color w:val="000000"/>
          <w:spacing w:val="-2"/>
          <w:kern w:val="0"/>
          <w:sz w:val="24"/>
        </w:rPr>
      </w:pPr>
      <w:r>
        <w:rPr>
          <w:rFonts w:hint="eastAsia" w:ascii="Times New Roman" w:eastAsia="方正黑体_GBK"/>
          <w:color w:val="000000"/>
          <w:spacing w:val="-2"/>
          <w:kern w:val="0"/>
          <w:sz w:val="24"/>
        </w:rPr>
        <w:t>一、进一步规范建设单位市场行为</w:t>
      </w:r>
    </w:p>
    <w:p>
      <w:pPr>
        <w:spacing w:line="460" w:lineRule="exact"/>
        <w:ind w:firstLine="472" w:firstLineChars="200"/>
        <w:rPr>
          <w:rFonts w:hint="eastAsia" w:eastAsia="方正仿宋_GBK"/>
          <w:color w:val="000000"/>
          <w:spacing w:val="-2"/>
          <w:kern w:val="0"/>
          <w:sz w:val="24"/>
        </w:rPr>
      </w:pPr>
      <w:r>
        <w:rPr>
          <w:rFonts w:hint="eastAsia" w:eastAsia="方正仿宋_GBK"/>
          <w:color w:val="000000"/>
          <w:spacing w:val="-2"/>
          <w:kern w:val="0"/>
          <w:sz w:val="24"/>
        </w:rPr>
        <w:t>（一）建设单位必须按照规定将应当监理的工程委托给具有相应资质等级的监理企业监理；国家法律法规规定必须招标的建设工程，应当通过招标方式择优选择监理企业。</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二）建设单位不得将建设工程肢解，不得降低对监理企业资质等级和监理人员相应资格要求将工程划分为若干标段进行发包。同期开发建设的住宅小区工程以及其他建设工程，应当由一家监理企业监理的，不宜划分成若干标段分别委托不同的监理企业监理。</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三）建设单位应当按照法律法规规定以及合同约定，切实将赋予监理企业的权力委托给监理企业。施工单位报出的工程计量和工程费用支付申请等，须经总监理工程师签字后，建设单位方可作为执行的依据。工程竣工结算审核后，建设单位要及时将审核结果书面告知监理企业。建设单位按照合同约定，对采用监理企业提出的合理化建议后节省投资的，应当从节省的投资中提取</w:t>
      </w:r>
      <w:r>
        <w:rPr>
          <w:rFonts w:eastAsia="方正仿宋_GBK"/>
          <w:color w:val="000000"/>
          <w:spacing w:val="-2"/>
          <w:kern w:val="0"/>
          <w:sz w:val="24"/>
        </w:rPr>
        <w:t>10%—30%</w:t>
      </w:r>
      <w:r>
        <w:rPr>
          <w:rFonts w:hint="eastAsia" w:eastAsia="方正仿宋_GBK"/>
          <w:color w:val="000000"/>
          <w:spacing w:val="-2"/>
          <w:kern w:val="0"/>
          <w:sz w:val="24"/>
        </w:rPr>
        <w:t>奖励给监理企业。</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四）建设单位必须严格执行监理取费标准，并及时支付监理费用；不得要求监理企业降低监理取费标准，不得以降低监理取费标准作为评标的依据，不得以降低造价的方式压低监理费用，不得拖欠监理费用，不得与监理企业签订阴阳合同。对签订阴阳合同、压低监理取费、恶意拖欠监理费用的建设单位，省建设厅将报送建设单位及法人代表信息至人民银行南京分行，由人民银行南京分行将其登录在全国联网的企业和个人征信系统中，并定期向省内各金融机构通报。征信系统将提示各金融机构对签订阴阳合同、压低监理取费、恶意拖欠监理费用等的建设单位和个人不予信贷支持。</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五）建设单位在建设工程开工前应当将监理的范围、内容、总监理工程师姓名及委托给监理企业的权限等内容书面告知施工企业。应当按照规定和程序及时办理质量监督和安全监督手续，同时附上书面告知施工企业的内容。</w:t>
      </w:r>
    </w:p>
    <w:p>
      <w:pPr>
        <w:spacing w:line="460" w:lineRule="exact"/>
        <w:ind w:firstLine="472" w:firstLineChars="200"/>
        <w:rPr>
          <w:rFonts w:ascii="Times New Roman" w:eastAsia="方正黑体_GBK"/>
          <w:color w:val="000000"/>
          <w:spacing w:val="-2"/>
          <w:kern w:val="0"/>
          <w:sz w:val="24"/>
        </w:rPr>
      </w:pPr>
      <w:r>
        <w:rPr>
          <w:rFonts w:hint="eastAsia" w:ascii="Times New Roman" w:eastAsia="方正黑体_GBK"/>
          <w:color w:val="000000"/>
          <w:spacing w:val="-2"/>
          <w:kern w:val="0"/>
          <w:sz w:val="24"/>
        </w:rPr>
        <w:t>二、进一步规范施工企业市场行为</w:t>
      </w:r>
    </w:p>
    <w:p>
      <w:pPr>
        <w:spacing w:line="460" w:lineRule="exact"/>
        <w:ind w:firstLine="472" w:firstLineChars="200"/>
        <w:rPr>
          <w:rFonts w:hint="eastAsia" w:eastAsia="方正仿宋_GBK"/>
          <w:color w:val="000000"/>
          <w:spacing w:val="-2"/>
          <w:kern w:val="0"/>
          <w:sz w:val="24"/>
        </w:rPr>
      </w:pPr>
      <w:r>
        <w:rPr>
          <w:rFonts w:hint="eastAsia" w:eastAsia="方正仿宋_GBK"/>
          <w:color w:val="000000"/>
          <w:spacing w:val="-2"/>
          <w:kern w:val="0"/>
          <w:sz w:val="24"/>
        </w:rPr>
        <w:t>（六）施工企业项目部人员必须按照投标书中的承诺到岗到位，必须具有相应的从业资格，必须服从项目监理机构的监督管理，积极主动地配合项目监理机构履行监理职责，为监理人员开展工作创造条件。</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七）施工企业应当按照要求及时向项目监理机构提供企业资质、安全生产许可证和从业人员资格、质量与安全管理体系、施工组织设计、专项施工方案等相关文本。所申报的文本审核与签署必须符合相应规定，并按照项目监理机构的审核意见修改补充。</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八）施工企业应当严格按照工程建设程序和要求进行施工，接受项目监理机构监督。总监理工程师未签发开工令的不得开工。工序验收、隐蔽工程验收、分部分项工程验收等必须按照程序经班组自检、专职质检员检验、项目部审核合格后，向项目监理机构作出书面报验申请，并按照项目监理机构验收中提出的整改要求认真整改。未经项目监理机构验收合格不得进入下一道工序。</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（九）施工企业应当按照法律法规规定履行施工工程质量和安全生产责任，并接受项目监理机构监督。严禁以虚假、拖延以及其他非正当手段干扰监理工作。</w:t>
      </w:r>
    </w:p>
    <w:p>
      <w:pPr>
        <w:spacing w:line="460" w:lineRule="exact"/>
        <w:ind w:firstLine="472" w:firstLineChars="200"/>
        <w:rPr>
          <w:rFonts w:ascii="Times New Roman" w:eastAsia="方正黑体_GBK"/>
          <w:color w:val="000000"/>
          <w:spacing w:val="-2"/>
          <w:kern w:val="0"/>
          <w:sz w:val="24"/>
        </w:rPr>
      </w:pPr>
      <w:r>
        <w:rPr>
          <w:rFonts w:hint="eastAsia" w:ascii="Times New Roman" w:eastAsia="方正黑体_GBK"/>
          <w:color w:val="000000"/>
          <w:spacing w:val="-2"/>
          <w:kern w:val="0"/>
          <w:sz w:val="24"/>
        </w:rPr>
        <w:t>三、进一步规范监理企业市场行为</w:t>
      </w:r>
    </w:p>
    <w:p>
      <w:pPr>
        <w:spacing w:line="460" w:lineRule="exact"/>
        <w:ind w:firstLine="472" w:firstLineChars="200"/>
        <w:rPr>
          <w:rFonts w:hint="eastAsia" w:eastAsia="方正仿宋_GBK"/>
          <w:color w:val="000000"/>
          <w:spacing w:val="-2"/>
          <w:kern w:val="0"/>
          <w:sz w:val="24"/>
        </w:rPr>
      </w:pPr>
      <w:r>
        <w:rPr>
          <w:rFonts w:hint="eastAsia" w:eastAsia="方正仿宋_GBK"/>
          <w:color w:val="000000"/>
          <w:spacing w:val="-2"/>
          <w:kern w:val="0"/>
          <w:sz w:val="24"/>
        </w:rPr>
        <w:t>（十）监理企业必须取得资质后方可从事相应资质范围内的工程监理业务，应当按照法律、法规、规章、标准、规范和合同约定等实施监理，并承担相应的责任。</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十一）监理企业资质许可后实行动态管理。资质条件不达标，整改期内限制其承接监理业务；整改期满后仍不达标的，不得承接监理业务。因伪造、出借、出卖资质证书等违反规定的行为，被有关行政主管部门清出市场的监理企业，严禁承接监理业务。</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（十二）监理企业在我省从事监理业务必须实行挂牌上岗制度。</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（十三）本省和驻苏监理企业在省内跨设区市承接监理业务的，按照本意见第十三规定实行单个监理项目核验制度。</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（十四）监理企业不得有下列行为：</w:t>
      </w:r>
      <w:r>
        <w:rPr>
          <w:rFonts w:eastAsia="方正仿宋_GBK"/>
          <w:color w:val="000000"/>
          <w:spacing w:val="-2"/>
          <w:kern w:val="0"/>
          <w:sz w:val="24"/>
        </w:rPr>
        <w:t xml:space="preserve"> </w:t>
      </w:r>
    </w:p>
    <w:p>
      <w:pPr>
        <w:spacing w:line="460" w:lineRule="exact"/>
        <w:ind w:firstLine="472" w:firstLineChars="200"/>
        <w:rPr>
          <w:rFonts w:eastAsia="方正仿宋_GBK"/>
          <w:color w:val="000000"/>
          <w:spacing w:val="-2"/>
          <w:kern w:val="0"/>
          <w:sz w:val="24"/>
        </w:rPr>
      </w:pPr>
      <w:r>
        <w:rPr>
          <w:rFonts w:eastAsia="方正仿宋_GBK"/>
          <w:color w:val="000000"/>
          <w:spacing w:val="-2"/>
          <w:kern w:val="0"/>
          <w:sz w:val="24"/>
        </w:rPr>
        <w:t>1</w:t>
      </w:r>
      <w:r>
        <w:rPr>
          <w:rFonts w:hint="eastAsia" w:eastAsia="方正仿宋_GBK"/>
          <w:color w:val="000000"/>
          <w:spacing w:val="-2"/>
          <w:kern w:val="0"/>
          <w:sz w:val="24"/>
        </w:rPr>
        <w:t>、采取压低取费标准或以回扣等不正当竞争手段承接业务；</w:t>
      </w:r>
      <w:r>
        <w:rPr>
          <w:rFonts w:eastAsia="方正仿宋_GBK"/>
          <w:color w:val="000000"/>
          <w:spacing w:val="-2"/>
          <w:kern w:val="0"/>
          <w:sz w:val="24"/>
        </w:rPr>
        <w:t xml:space="preserve"> </w:t>
      </w:r>
    </w:p>
    <w:p>
      <w:pPr>
        <w:spacing w:line="460" w:lineRule="exact"/>
        <w:ind w:firstLine="472" w:firstLineChars="200"/>
        <w:rPr>
          <w:rFonts w:eastAsia="方正仿宋_GBK"/>
          <w:color w:val="000000"/>
          <w:spacing w:val="-2"/>
          <w:kern w:val="0"/>
          <w:sz w:val="24"/>
        </w:rPr>
      </w:pPr>
      <w:r>
        <w:rPr>
          <w:rFonts w:eastAsia="方正仿宋_GBK"/>
          <w:color w:val="000000"/>
          <w:spacing w:val="-2"/>
          <w:kern w:val="0"/>
          <w:sz w:val="24"/>
        </w:rPr>
        <w:t>2</w:t>
      </w:r>
      <w:r>
        <w:rPr>
          <w:rFonts w:hint="eastAsia" w:eastAsia="方正仿宋_GBK"/>
          <w:color w:val="000000"/>
          <w:spacing w:val="-2"/>
          <w:kern w:val="0"/>
          <w:sz w:val="24"/>
        </w:rPr>
        <w:t>、允许个人或低资质监理企业挂靠，利用企业资质进行经营；</w:t>
      </w:r>
    </w:p>
    <w:p>
      <w:pPr>
        <w:spacing w:line="460" w:lineRule="exact"/>
        <w:ind w:firstLine="472" w:firstLineChars="200"/>
        <w:rPr>
          <w:rFonts w:eastAsia="方正仿宋_GBK"/>
          <w:color w:val="000000"/>
          <w:spacing w:val="-2"/>
          <w:kern w:val="0"/>
          <w:sz w:val="24"/>
        </w:rPr>
      </w:pPr>
      <w:r>
        <w:rPr>
          <w:rFonts w:eastAsia="方正仿宋_GBK"/>
          <w:color w:val="000000"/>
          <w:spacing w:val="-2"/>
          <w:kern w:val="0"/>
          <w:sz w:val="24"/>
        </w:rPr>
        <w:t>3</w:t>
      </w:r>
      <w:r>
        <w:rPr>
          <w:rFonts w:hint="eastAsia" w:eastAsia="方正仿宋_GBK"/>
          <w:color w:val="000000"/>
          <w:spacing w:val="-2"/>
          <w:kern w:val="0"/>
          <w:sz w:val="24"/>
        </w:rPr>
        <w:t>、监理与本单位有同一隶属关系的单位所承建的建设工程；</w:t>
      </w:r>
    </w:p>
    <w:p>
      <w:pPr>
        <w:spacing w:line="460" w:lineRule="exact"/>
        <w:ind w:firstLine="472" w:firstLineChars="200"/>
        <w:rPr>
          <w:rFonts w:eastAsia="方正仿宋_GBK"/>
          <w:color w:val="000000"/>
          <w:spacing w:val="-2"/>
          <w:kern w:val="0"/>
          <w:sz w:val="24"/>
        </w:rPr>
      </w:pPr>
      <w:r>
        <w:rPr>
          <w:rFonts w:eastAsia="方正仿宋_GBK"/>
          <w:color w:val="000000"/>
          <w:spacing w:val="-2"/>
          <w:kern w:val="0"/>
          <w:sz w:val="24"/>
        </w:rPr>
        <w:t>4</w:t>
      </w:r>
      <w:r>
        <w:rPr>
          <w:rFonts w:hint="eastAsia" w:eastAsia="方正仿宋_GBK"/>
          <w:color w:val="000000"/>
          <w:spacing w:val="-2"/>
          <w:kern w:val="0"/>
          <w:sz w:val="24"/>
        </w:rPr>
        <w:t>、将监理的工程转给其他单位监理；</w:t>
      </w:r>
    </w:p>
    <w:p>
      <w:pPr>
        <w:spacing w:line="460" w:lineRule="exact"/>
        <w:ind w:firstLine="472" w:firstLineChars="200"/>
        <w:rPr>
          <w:rFonts w:eastAsia="方正仿宋_GBK"/>
          <w:color w:val="000000"/>
          <w:spacing w:val="-2"/>
          <w:kern w:val="0"/>
          <w:sz w:val="24"/>
        </w:rPr>
      </w:pPr>
      <w:r>
        <w:rPr>
          <w:rFonts w:eastAsia="方正仿宋_GBK"/>
          <w:color w:val="000000"/>
          <w:spacing w:val="-2"/>
          <w:kern w:val="0"/>
          <w:sz w:val="24"/>
        </w:rPr>
        <w:t>5</w:t>
      </w:r>
      <w:r>
        <w:rPr>
          <w:rFonts w:hint="eastAsia" w:eastAsia="方正仿宋_GBK"/>
          <w:color w:val="000000"/>
          <w:spacing w:val="-2"/>
          <w:kern w:val="0"/>
          <w:sz w:val="24"/>
        </w:rPr>
        <w:t>、使用非本企业的监理人员；</w:t>
      </w:r>
    </w:p>
    <w:p>
      <w:pPr>
        <w:spacing w:line="460" w:lineRule="exact"/>
        <w:ind w:firstLine="472" w:firstLineChars="200"/>
        <w:rPr>
          <w:rFonts w:eastAsia="方正仿宋_GBK"/>
          <w:color w:val="000000"/>
          <w:spacing w:val="-2"/>
          <w:kern w:val="0"/>
          <w:sz w:val="24"/>
        </w:rPr>
      </w:pPr>
      <w:r>
        <w:rPr>
          <w:rFonts w:eastAsia="方正仿宋_GBK"/>
          <w:color w:val="000000"/>
          <w:spacing w:val="-2"/>
          <w:kern w:val="0"/>
          <w:sz w:val="24"/>
        </w:rPr>
        <w:t>6</w:t>
      </w:r>
      <w:r>
        <w:rPr>
          <w:rFonts w:hint="eastAsia" w:eastAsia="方正仿宋_GBK"/>
          <w:color w:val="000000"/>
          <w:spacing w:val="-2"/>
          <w:kern w:val="0"/>
          <w:sz w:val="24"/>
        </w:rPr>
        <w:t>、其他违法违规行为。</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（十五）实行</w:t>
      </w:r>
      <w:r>
        <w:rPr>
          <w:rFonts w:eastAsia="方正仿宋_GBK"/>
          <w:color w:val="000000"/>
          <w:spacing w:val="-2"/>
          <w:kern w:val="0"/>
          <w:sz w:val="24"/>
        </w:rPr>
        <w:t>“</w:t>
      </w:r>
      <w:r>
        <w:rPr>
          <w:rFonts w:hint="eastAsia" w:eastAsia="方正仿宋_GBK"/>
          <w:color w:val="000000"/>
          <w:spacing w:val="-2"/>
          <w:kern w:val="0"/>
          <w:sz w:val="24"/>
        </w:rPr>
        <w:t>监理企业自律承诺书</w:t>
      </w:r>
      <w:r>
        <w:rPr>
          <w:rFonts w:eastAsia="方正仿宋_GBK"/>
          <w:color w:val="000000"/>
          <w:spacing w:val="-2"/>
          <w:kern w:val="0"/>
          <w:sz w:val="24"/>
        </w:rPr>
        <w:t>”</w:t>
      </w:r>
      <w:r>
        <w:rPr>
          <w:rFonts w:hint="eastAsia" w:eastAsia="方正仿宋_GBK"/>
          <w:color w:val="000000"/>
          <w:spacing w:val="-2"/>
          <w:kern w:val="0"/>
          <w:sz w:val="24"/>
        </w:rPr>
        <w:t>制度。监理企业要向项目所在地建设行政主管部门提供不转包业务、不接受挂靠、不压低取费标准竞争、不签订阴阳合同、诚信经营、维护监理市场秩序，自愿接受各级建设行政主管部门考核等内容的自律承诺书。</w:t>
      </w:r>
    </w:p>
    <w:p>
      <w:pPr>
        <w:spacing w:line="460" w:lineRule="exact"/>
        <w:ind w:firstLine="472" w:firstLineChars="200"/>
        <w:rPr>
          <w:rFonts w:ascii="Times New Roman" w:eastAsia="方正黑体_GBK"/>
          <w:color w:val="000000"/>
          <w:spacing w:val="-2"/>
          <w:kern w:val="0"/>
          <w:sz w:val="24"/>
        </w:rPr>
      </w:pPr>
      <w:r>
        <w:rPr>
          <w:rFonts w:hint="eastAsia" w:ascii="Times New Roman" w:eastAsia="方正黑体_GBK"/>
          <w:color w:val="000000"/>
          <w:spacing w:val="-2"/>
          <w:kern w:val="0"/>
          <w:sz w:val="24"/>
        </w:rPr>
        <w:t>四、进一步加强监理人员管理</w:t>
      </w:r>
    </w:p>
    <w:p>
      <w:pPr>
        <w:spacing w:line="460" w:lineRule="exact"/>
        <w:ind w:firstLine="472" w:firstLineChars="200"/>
        <w:rPr>
          <w:rFonts w:hint="eastAsia" w:eastAsia="方正仿宋_GBK"/>
          <w:color w:val="000000"/>
          <w:spacing w:val="-2"/>
          <w:kern w:val="0"/>
          <w:sz w:val="24"/>
        </w:rPr>
      </w:pPr>
      <w:r>
        <w:rPr>
          <w:rFonts w:hint="eastAsia" w:eastAsia="方正仿宋_GBK"/>
          <w:color w:val="000000"/>
          <w:spacing w:val="-2"/>
          <w:kern w:val="0"/>
          <w:sz w:val="24"/>
        </w:rPr>
        <w:t>（十六）监理企业应当在投标文件中提出拟任项目监理机构人员组成名单，工程中标、签订监理合同后，不得随意更改项目监理机构组成人员。任职文件人员名单应当与投标、合同约定的一致，实际到岗的监理人员应当和任职文件人员名单一致。监理企业必须按照监理规划严格执行监理人员进退场计划。</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十七）一名总监理工程师原则上只能担任一项委托监理合同的项目总监理工程师工作，当需要同时担任多项委托监理合同的项目总监理工程师工作时，须经建设单位同意，且最多不得超过三项。总监理工程师不能同时在跨设区市的项目上任职。</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（十八）项目监理机构监理人员必须为所在监理企业的人员，且不得超越自身从业资格条件和职责范围承担监理工作。</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（十九）项目总监理工程师非以下原因不得变更。</w:t>
      </w:r>
      <w:r>
        <w:rPr>
          <w:rFonts w:eastAsia="方正仿宋_GBK"/>
          <w:color w:val="000000"/>
          <w:spacing w:val="-2"/>
          <w:kern w:val="0"/>
          <w:sz w:val="24"/>
        </w:rPr>
        <w:t xml:space="preserve"> </w:t>
      </w:r>
    </w:p>
    <w:p>
      <w:pPr>
        <w:spacing w:line="460" w:lineRule="exact"/>
        <w:ind w:firstLine="472" w:firstLineChars="200"/>
        <w:rPr>
          <w:rFonts w:eastAsia="方正仿宋_GBK"/>
          <w:color w:val="000000"/>
          <w:spacing w:val="-2"/>
          <w:kern w:val="0"/>
          <w:sz w:val="24"/>
        </w:rPr>
      </w:pPr>
      <w:r>
        <w:rPr>
          <w:rFonts w:eastAsia="方正仿宋_GBK"/>
          <w:color w:val="000000"/>
          <w:spacing w:val="-2"/>
          <w:kern w:val="0"/>
          <w:sz w:val="24"/>
        </w:rPr>
        <w:t>1</w:t>
      </w:r>
      <w:r>
        <w:rPr>
          <w:rFonts w:hint="eastAsia" w:eastAsia="方正仿宋_GBK"/>
          <w:color w:val="000000"/>
          <w:spacing w:val="-2"/>
          <w:kern w:val="0"/>
          <w:sz w:val="24"/>
        </w:rPr>
        <w:t>、身体原因不能胜任工作的；</w:t>
      </w:r>
    </w:p>
    <w:p>
      <w:pPr>
        <w:spacing w:line="460" w:lineRule="exact"/>
        <w:ind w:firstLine="472" w:firstLineChars="200"/>
        <w:rPr>
          <w:rFonts w:eastAsia="方正仿宋_GBK"/>
          <w:color w:val="000000"/>
          <w:spacing w:val="-2"/>
          <w:kern w:val="0"/>
          <w:sz w:val="24"/>
        </w:rPr>
      </w:pPr>
      <w:r>
        <w:rPr>
          <w:rFonts w:eastAsia="方正仿宋_GBK"/>
          <w:color w:val="000000"/>
          <w:spacing w:val="-2"/>
          <w:kern w:val="0"/>
          <w:sz w:val="24"/>
        </w:rPr>
        <w:t>2</w:t>
      </w:r>
      <w:r>
        <w:rPr>
          <w:rFonts w:hint="eastAsia" w:eastAsia="方正仿宋_GBK"/>
          <w:color w:val="000000"/>
          <w:spacing w:val="-2"/>
          <w:kern w:val="0"/>
          <w:sz w:val="24"/>
        </w:rPr>
        <w:t>、调离原单位的；</w:t>
      </w:r>
    </w:p>
    <w:p>
      <w:pPr>
        <w:spacing w:line="460" w:lineRule="exact"/>
        <w:ind w:firstLine="472" w:firstLineChars="200"/>
        <w:rPr>
          <w:rFonts w:eastAsia="方正仿宋_GBK"/>
          <w:color w:val="000000"/>
          <w:spacing w:val="-2"/>
          <w:kern w:val="0"/>
          <w:sz w:val="24"/>
        </w:rPr>
      </w:pPr>
      <w:r>
        <w:rPr>
          <w:rFonts w:eastAsia="方正仿宋_GBK"/>
          <w:color w:val="000000"/>
          <w:spacing w:val="-2"/>
          <w:kern w:val="0"/>
          <w:sz w:val="24"/>
        </w:rPr>
        <w:t>3</w:t>
      </w:r>
      <w:r>
        <w:rPr>
          <w:rFonts w:hint="eastAsia" w:eastAsia="方正仿宋_GBK"/>
          <w:color w:val="000000"/>
          <w:spacing w:val="-2"/>
          <w:kern w:val="0"/>
          <w:sz w:val="24"/>
        </w:rPr>
        <w:t>、建设单位对总监理工程师工作不满意要求变更的；</w:t>
      </w:r>
    </w:p>
    <w:p>
      <w:pPr>
        <w:spacing w:line="460" w:lineRule="exact"/>
        <w:ind w:firstLine="472" w:firstLineChars="200"/>
        <w:rPr>
          <w:rFonts w:eastAsia="方正仿宋_GBK"/>
          <w:color w:val="000000"/>
          <w:spacing w:val="-2"/>
          <w:kern w:val="0"/>
          <w:sz w:val="24"/>
        </w:rPr>
      </w:pPr>
      <w:r>
        <w:rPr>
          <w:rFonts w:eastAsia="方正仿宋_GBK"/>
          <w:color w:val="000000"/>
          <w:spacing w:val="-2"/>
          <w:kern w:val="0"/>
          <w:sz w:val="24"/>
        </w:rPr>
        <w:t>4</w:t>
      </w:r>
      <w:r>
        <w:rPr>
          <w:rFonts w:hint="eastAsia" w:eastAsia="方正仿宋_GBK"/>
          <w:color w:val="000000"/>
          <w:spacing w:val="-2"/>
          <w:kern w:val="0"/>
          <w:sz w:val="24"/>
        </w:rPr>
        <w:t>、总监理工程师需长期脱产学习的；</w:t>
      </w:r>
    </w:p>
    <w:p>
      <w:pPr>
        <w:spacing w:line="460" w:lineRule="exact"/>
        <w:ind w:firstLine="472" w:firstLineChars="200"/>
        <w:rPr>
          <w:rFonts w:eastAsia="方正仿宋_GBK"/>
          <w:color w:val="000000"/>
          <w:spacing w:val="-2"/>
          <w:kern w:val="0"/>
          <w:sz w:val="24"/>
        </w:rPr>
      </w:pPr>
      <w:r>
        <w:rPr>
          <w:rFonts w:eastAsia="方正仿宋_GBK"/>
          <w:color w:val="000000"/>
          <w:spacing w:val="-2"/>
          <w:kern w:val="0"/>
          <w:sz w:val="24"/>
        </w:rPr>
        <w:t>5</w:t>
      </w:r>
      <w:r>
        <w:rPr>
          <w:rFonts w:hint="eastAsia" w:eastAsia="方正仿宋_GBK"/>
          <w:color w:val="000000"/>
          <w:spacing w:val="-2"/>
          <w:kern w:val="0"/>
          <w:sz w:val="24"/>
        </w:rPr>
        <w:t>、不再具备从业资格的；</w:t>
      </w:r>
    </w:p>
    <w:p>
      <w:pPr>
        <w:spacing w:line="460" w:lineRule="exact"/>
        <w:ind w:firstLine="472" w:firstLineChars="200"/>
        <w:rPr>
          <w:rFonts w:eastAsia="方正仿宋_GBK"/>
          <w:color w:val="000000"/>
          <w:spacing w:val="-2"/>
          <w:kern w:val="0"/>
          <w:sz w:val="24"/>
        </w:rPr>
      </w:pPr>
      <w:r>
        <w:rPr>
          <w:rFonts w:eastAsia="方正仿宋_GBK"/>
          <w:color w:val="000000"/>
          <w:spacing w:val="-2"/>
          <w:kern w:val="0"/>
          <w:sz w:val="24"/>
        </w:rPr>
        <w:t>6</w:t>
      </w:r>
      <w:r>
        <w:rPr>
          <w:rFonts w:hint="eastAsia" w:eastAsia="方正仿宋_GBK"/>
          <w:color w:val="000000"/>
          <w:spacing w:val="-2"/>
          <w:kern w:val="0"/>
          <w:sz w:val="24"/>
        </w:rPr>
        <w:t>、因受行政处罚等原因不能继续履行职责的。</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二十）未取得注册证书和执业印章的人员，不得以注册监理工程师的名义从事工程监理及相关业务活动。监理人员变更单位后应及时办理变更手续，未办妥有关手续前不得在新单位执业。注册有效期满需继续执业的，必须按有关规定办理延续注册手续后方可执业。</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（二十一）监理人员应当按照国家和省有关规定，积极参加监理工程师继续教育学习，按时、保质、足量地完成继续教育规定的内容，不断提高从业水平。</w:t>
      </w:r>
    </w:p>
    <w:p>
      <w:pPr>
        <w:spacing w:line="460" w:lineRule="exact"/>
        <w:ind w:firstLine="472" w:firstLineChars="200"/>
        <w:rPr>
          <w:rFonts w:ascii="Times New Roman" w:eastAsia="方正黑体_GBK"/>
          <w:color w:val="000000"/>
          <w:spacing w:val="-2"/>
          <w:kern w:val="0"/>
          <w:sz w:val="24"/>
        </w:rPr>
      </w:pPr>
      <w:r>
        <w:rPr>
          <w:rFonts w:hint="eastAsia" w:ascii="Times New Roman" w:eastAsia="方正黑体_GBK"/>
          <w:color w:val="000000"/>
          <w:spacing w:val="-2"/>
          <w:kern w:val="0"/>
          <w:sz w:val="24"/>
        </w:rPr>
        <w:t>五、进一步加强项目现场管理</w:t>
      </w:r>
    </w:p>
    <w:p>
      <w:pPr>
        <w:spacing w:line="460" w:lineRule="exact"/>
        <w:ind w:firstLine="472" w:firstLineChars="200"/>
        <w:rPr>
          <w:rFonts w:hint="eastAsia" w:eastAsia="方正仿宋_GBK"/>
          <w:color w:val="000000"/>
          <w:spacing w:val="-2"/>
          <w:kern w:val="0"/>
          <w:sz w:val="24"/>
        </w:rPr>
      </w:pPr>
      <w:r>
        <w:rPr>
          <w:rFonts w:hint="eastAsia" w:eastAsia="方正仿宋_GBK"/>
          <w:color w:val="000000"/>
          <w:spacing w:val="-2"/>
          <w:kern w:val="0"/>
          <w:sz w:val="24"/>
        </w:rPr>
        <w:t>（二十二）项目监理机构实行总监理工程师负责制。总监理工程师督促监理人员履行职责，对工程进度、投资和质量等内容进行全面监督管理，按照工程监理的实施程序，完成监理合同约定的各项任务。</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（二十三）项目监理机构要按照建设部《关于落实建设工程安全生产监理责任的若干意见》（建市〔</w:t>
      </w:r>
      <w:r>
        <w:rPr>
          <w:rFonts w:eastAsia="方正仿宋_GBK"/>
          <w:color w:val="000000"/>
          <w:spacing w:val="-2"/>
          <w:kern w:val="0"/>
          <w:sz w:val="24"/>
        </w:rPr>
        <w:t>2006</w:t>
      </w:r>
      <w:r>
        <w:rPr>
          <w:rFonts w:hint="eastAsia" w:eastAsia="方正仿宋_GBK"/>
          <w:color w:val="000000"/>
          <w:spacing w:val="-2"/>
          <w:kern w:val="0"/>
          <w:sz w:val="24"/>
        </w:rPr>
        <w:t>〕</w:t>
      </w:r>
      <w:r>
        <w:rPr>
          <w:rFonts w:eastAsia="方正仿宋_GBK"/>
          <w:color w:val="000000"/>
          <w:spacing w:val="-2"/>
          <w:kern w:val="0"/>
          <w:sz w:val="24"/>
        </w:rPr>
        <w:t>248</w:t>
      </w:r>
      <w:r>
        <w:rPr>
          <w:rFonts w:hint="eastAsia" w:eastAsia="方正仿宋_GBK"/>
          <w:color w:val="000000"/>
          <w:spacing w:val="-2"/>
          <w:kern w:val="0"/>
          <w:sz w:val="24"/>
        </w:rPr>
        <w:t>号）和省建设厅《关于贯彻落实〈建设工程安全生产管理条例〉中监理安全责任的通知》（苏建工〔</w:t>
      </w:r>
      <w:r>
        <w:rPr>
          <w:rFonts w:eastAsia="方正仿宋_GBK"/>
          <w:color w:val="000000"/>
          <w:spacing w:val="-2"/>
          <w:kern w:val="0"/>
          <w:sz w:val="24"/>
        </w:rPr>
        <w:t>2004</w:t>
      </w:r>
      <w:r>
        <w:rPr>
          <w:rFonts w:hint="eastAsia" w:eastAsia="方正仿宋_GBK"/>
          <w:color w:val="000000"/>
          <w:spacing w:val="-2"/>
          <w:kern w:val="0"/>
          <w:sz w:val="24"/>
        </w:rPr>
        <w:t>〕</w:t>
      </w:r>
      <w:r>
        <w:rPr>
          <w:rFonts w:eastAsia="方正仿宋_GBK"/>
          <w:color w:val="000000"/>
          <w:spacing w:val="-2"/>
          <w:kern w:val="0"/>
          <w:sz w:val="24"/>
        </w:rPr>
        <w:t>458</w:t>
      </w:r>
      <w:r>
        <w:rPr>
          <w:rFonts w:hint="eastAsia" w:eastAsia="方正仿宋_GBK"/>
          <w:color w:val="000000"/>
          <w:spacing w:val="-2"/>
          <w:kern w:val="0"/>
          <w:sz w:val="24"/>
        </w:rPr>
        <w:t>号）文的要求以及合同的约定，全面落实监理安全责任。</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（二十四）项目监理机构在工程现场必须使用现行的《江苏省建设工程施工阶段监理现场用表》。监理人员在施工现场必须佩带建设行政主管部门规定的监理标志，必须持证和挂牌上岗。</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（二十五）项目监理机构的监理人员必须遵守职业道德，切实维护建设单位合法权益，不损害施工企业合法利益。不得利用职权指定建筑材料、设备等供应商，不得有其他不良行为。</w:t>
      </w:r>
      <w:r>
        <w:rPr>
          <w:rFonts w:eastAsia="方正仿宋_GBK"/>
          <w:color w:val="000000"/>
          <w:spacing w:val="-2"/>
          <w:kern w:val="0"/>
          <w:sz w:val="24"/>
        </w:rPr>
        <w:t xml:space="preserve"> </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（二十六）监理企业要加强对项目监理机构的监督管理，定期组织检查和考核，确保项目监理机构切实履行监理职责。</w:t>
      </w:r>
    </w:p>
    <w:p>
      <w:pPr>
        <w:spacing w:line="460" w:lineRule="exact"/>
        <w:ind w:firstLine="472" w:firstLineChars="200"/>
        <w:rPr>
          <w:rFonts w:ascii="Times New Roman" w:eastAsia="方正黑体_GBK"/>
          <w:color w:val="000000"/>
          <w:spacing w:val="-2"/>
          <w:kern w:val="0"/>
          <w:sz w:val="24"/>
        </w:rPr>
      </w:pPr>
      <w:r>
        <w:rPr>
          <w:rFonts w:hint="eastAsia" w:ascii="Times New Roman" w:eastAsia="方正黑体_GBK"/>
          <w:color w:val="000000"/>
          <w:spacing w:val="-2"/>
          <w:kern w:val="0"/>
          <w:sz w:val="24"/>
        </w:rPr>
        <w:t>六、进一步提高信息化工作水平</w:t>
      </w:r>
    </w:p>
    <w:p>
      <w:pPr>
        <w:spacing w:line="460" w:lineRule="exact"/>
        <w:ind w:firstLine="472" w:firstLineChars="200"/>
        <w:rPr>
          <w:rFonts w:hint="eastAsia" w:eastAsia="方正仿宋_GBK"/>
          <w:color w:val="000000"/>
          <w:spacing w:val="-2"/>
          <w:kern w:val="0"/>
          <w:sz w:val="24"/>
        </w:rPr>
      </w:pPr>
      <w:r>
        <w:rPr>
          <w:rFonts w:hint="eastAsia" w:eastAsia="方正仿宋_GBK"/>
          <w:color w:val="000000"/>
          <w:spacing w:val="-2"/>
          <w:kern w:val="0"/>
          <w:sz w:val="24"/>
        </w:rPr>
        <w:t>（二十七）本省监理企业、驻苏企业、非驻苏企业及其监理人员、监理项目都必须及时录入监理信息系统。监理企业的新注册、变更注册、延续注册监理人员的信息在批准之日起</w:t>
      </w:r>
      <w:r>
        <w:rPr>
          <w:rFonts w:eastAsia="方正仿宋_GBK"/>
          <w:color w:val="000000"/>
          <w:spacing w:val="-2"/>
          <w:kern w:val="0"/>
          <w:sz w:val="24"/>
        </w:rPr>
        <w:t>10</w:t>
      </w:r>
      <w:r>
        <w:rPr>
          <w:rFonts w:hint="eastAsia" w:eastAsia="方正仿宋_GBK"/>
          <w:color w:val="000000"/>
          <w:spacing w:val="-2"/>
          <w:kern w:val="0"/>
          <w:sz w:val="24"/>
        </w:rPr>
        <w:t>日内必须录入监理信息系统。监理企业新承接项目信息必须在监理合同到项目所在地建设行政主管部门登记前录入监理信息系统。未及时录入的，建设行政主管部门将项目信息录入监理信息系统，同时系统自动给予监理企业不良行为扣分。</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二十八）未按要求录入监理信息系统的监理企业不得在江苏市场上承接业务，不得参与评优评奖；未按要求录入监理信息系统的监理人员不得在江苏市场上从事监理活动，不得评优评奖；未按要求录入监理信息系统的在监项目，不得评选省示范监理项目（省优秀项目监理机构），工程竣工后不得作为监理企业和个人的业绩。</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二十九）监理信息系统对各级建设行政主管部门录入的监理企业和个人的不良行为实行动态管理，自动计分汇总，并根据扣分情况自动对监理企业和人员进行信用分类，显示信用情况和奖惩措施，接受公众的查询。建立监理人员应知应会题库，供监理人员自学或监理企业内部培训。监理事项实行网上管理。</w:t>
      </w:r>
    </w:p>
    <w:p>
      <w:pPr>
        <w:spacing w:line="460" w:lineRule="exact"/>
        <w:ind w:firstLine="472" w:firstLineChars="200"/>
        <w:rPr>
          <w:rFonts w:ascii="Times New Roman" w:eastAsia="方正黑体_GBK"/>
          <w:color w:val="000000"/>
          <w:spacing w:val="-2"/>
          <w:kern w:val="0"/>
          <w:sz w:val="24"/>
        </w:rPr>
      </w:pPr>
      <w:r>
        <w:rPr>
          <w:rFonts w:hint="eastAsia" w:ascii="Times New Roman" w:eastAsia="方正黑体_GBK"/>
          <w:color w:val="000000"/>
          <w:spacing w:val="-2"/>
          <w:kern w:val="0"/>
          <w:sz w:val="24"/>
        </w:rPr>
        <w:t>七、进一步加大检查工作力度</w:t>
      </w:r>
    </w:p>
    <w:p>
      <w:pPr>
        <w:spacing w:line="460" w:lineRule="exact"/>
        <w:ind w:firstLine="472" w:firstLineChars="200"/>
        <w:rPr>
          <w:rFonts w:hint="eastAsia" w:eastAsia="方正仿宋_GBK"/>
          <w:color w:val="000000"/>
          <w:spacing w:val="-2"/>
          <w:kern w:val="0"/>
          <w:sz w:val="24"/>
        </w:rPr>
      </w:pPr>
      <w:r>
        <w:rPr>
          <w:rFonts w:hint="eastAsia" w:eastAsia="方正仿宋_GBK"/>
          <w:color w:val="000000"/>
          <w:spacing w:val="-2"/>
          <w:kern w:val="0"/>
          <w:sz w:val="24"/>
        </w:rPr>
        <w:t>（三十）实行巡查制度。省建设厅每年开展两次工程质量监督巡查，将把监理企业作为重点对象进行检查。各市、县（市）建设行政主管部门要组织力量，定期对在本地区从事建设监理活动的监理企业进行巡查，巡查监理企业在监项目每年不少于一个，及时印发巡查结果通报，将企业和人员不良行为记入信用档案，录入监理信息系统。</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三十一）实行随机检查制度。市、县（市）级建设行政主管部门要定期组织开展随机检查，每年不得少于两次；省建设厅每年组织不少于一次。各级建设行政主管部门把重点监督管理企业、不主动将在监项目录入监理信息系统的监理企业作为随机检查的重点对象，及时印发检查结果通报或行政处罚书，将企业和人员不良行为记入信用档案，录入监理信息系统。</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（三十二）完善投诉举报处理制度。各级建设行政主管部门要认真处理举报投诉，做到有诉必查，有查必果，定期印发查处结果通报、行政处罚书，将企业和人员不良行为记入信用档案，录入监理信息系统。</w:t>
      </w:r>
    </w:p>
    <w:p>
      <w:pPr>
        <w:spacing w:line="460" w:lineRule="exact"/>
        <w:ind w:firstLine="472" w:firstLineChars="200"/>
        <w:rPr>
          <w:rFonts w:ascii="Times New Roman" w:eastAsia="方正黑体_GBK"/>
          <w:color w:val="000000"/>
          <w:spacing w:val="-2"/>
          <w:kern w:val="0"/>
          <w:sz w:val="24"/>
        </w:rPr>
      </w:pPr>
      <w:r>
        <w:rPr>
          <w:rFonts w:hint="eastAsia" w:ascii="Times New Roman" w:eastAsia="方正黑体_GBK"/>
          <w:color w:val="000000"/>
          <w:spacing w:val="-2"/>
          <w:kern w:val="0"/>
          <w:sz w:val="24"/>
        </w:rPr>
        <w:t>八、进一步加大联动工作力度</w:t>
      </w:r>
    </w:p>
    <w:p>
      <w:pPr>
        <w:spacing w:line="460" w:lineRule="exact"/>
        <w:ind w:firstLine="472" w:firstLineChars="200"/>
        <w:rPr>
          <w:rFonts w:hint="eastAsia" w:eastAsia="方正仿宋_GBK"/>
          <w:color w:val="000000"/>
          <w:spacing w:val="-2"/>
          <w:kern w:val="0"/>
          <w:sz w:val="24"/>
        </w:rPr>
      </w:pPr>
      <w:r>
        <w:rPr>
          <w:rFonts w:eastAsia="方正仿宋_GBK"/>
          <w:color w:val="000000"/>
          <w:spacing w:val="-2"/>
          <w:kern w:val="0"/>
          <w:sz w:val="24"/>
        </w:rPr>
        <w:t xml:space="preserve">   </w:t>
      </w:r>
      <w:r>
        <w:rPr>
          <w:rFonts w:hint="eastAsia" w:eastAsia="方正仿宋_GBK"/>
          <w:color w:val="000000"/>
          <w:spacing w:val="-2"/>
          <w:kern w:val="0"/>
          <w:sz w:val="24"/>
        </w:rPr>
        <w:t>（三十三）建设行政主管部门系统内实行联动。有关部门在建设工程监理招投标过程中，应当积极使用监理信息系统，落实评标加分政策，严格执行监理取费标准。质量监督、安全监督等部门应当及时将涉及监理企业和人员的不良行为报送建设行政主管部门，经审核认定后录入监理信息系统。县级及以上建设行政主管部门作出书面处理意见的，应及时将监理企业和人员的不良行为录入监理信息系统。省建设厅每半年公布一次重点监督管理企业和人员名单。</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（三十四）建设行政主管部门和专业工程行政主管部门实行联动。专业工程行政主管部门在建设工程监理招投标过程中，严格执行监理取费标准，同时进入监理信息系统，落实评标加分政策。</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（三十五）监理企业之间实行联动，互相监督，积极举报扰乱监理市场秩序，特别是有压低取费标准竞争行为的监理企业，并积极配合建设行政主管部门收集证据。</w:t>
      </w:r>
    </w:p>
    <w:p>
      <w:pPr>
        <w:spacing w:line="460" w:lineRule="exact"/>
        <w:ind w:firstLine="472" w:firstLineChars="200"/>
        <w:rPr>
          <w:rFonts w:ascii="Times New Roman" w:eastAsia="方正黑体_GBK"/>
          <w:color w:val="000000"/>
          <w:spacing w:val="-2"/>
          <w:kern w:val="0"/>
          <w:sz w:val="24"/>
        </w:rPr>
      </w:pPr>
      <w:r>
        <w:rPr>
          <w:rFonts w:hint="eastAsia" w:ascii="Times New Roman" w:eastAsia="方正黑体_GBK"/>
          <w:color w:val="000000"/>
          <w:spacing w:val="-2"/>
          <w:kern w:val="0"/>
          <w:sz w:val="24"/>
        </w:rPr>
        <w:t>九、进一步营造监理企业发展的良好环境</w:t>
      </w:r>
    </w:p>
    <w:p>
      <w:pPr>
        <w:spacing w:line="460" w:lineRule="exact"/>
        <w:ind w:firstLine="472" w:firstLineChars="200"/>
        <w:rPr>
          <w:rFonts w:hint="eastAsia" w:eastAsia="方正仿宋_GBK"/>
          <w:color w:val="000000"/>
          <w:spacing w:val="-2"/>
          <w:kern w:val="0"/>
          <w:sz w:val="24"/>
        </w:rPr>
      </w:pPr>
      <w:r>
        <w:rPr>
          <w:rFonts w:hint="eastAsia" w:eastAsia="方正仿宋_GBK"/>
          <w:color w:val="000000"/>
          <w:spacing w:val="-2"/>
          <w:kern w:val="0"/>
          <w:sz w:val="24"/>
        </w:rPr>
        <w:t>（三十六）各级建设行政主管部门要树立服务意识，提供优质服务，不得设置外地企业到本地承接监理业务的歧视性规定。加强不同部门之间的沟通协调，提高工作效率。积极研究新情况，发现新问题，提出新措施，提高政策的可操作性。采用走出去、请进来的办法，为监理企业创造交流学习的机会。</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（三十七）鼓励监理企业围绕主业，开展多元化经营。鼓励监理企业之间采用合并、兼并等方式整合资源，增强企业核心竞争力，促进企业做好、做大、做强。</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（三十八）引导监理企业转变传统的经营理念，由追求企业市场份额向追求企业市场价值份额转变，在追求量的扩张的同时，更注重质的提升，从而逐步解决企业利润率过低的问题，不断增强企业活力。</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（三十九）加强对监理行业协会的指导，充分发挥行业协会桥梁和纽带的作用，鼓励和支持行业协会做好监理企业自律工作。</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本意见自</w:t>
      </w:r>
      <w:r>
        <w:rPr>
          <w:rFonts w:eastAsia="方正仿宋_GBK"/>
          <w:color w:val="000000"/>
          <w:spacing w:val="-2"/>
          <w:kern w:val="0"/>
          <w:sz w:val="24"/>
        </w:rPr>
        <w:t>2007</w:t>
      </w:r>
      <w:r>
        <w:rPr>
          <w:rFonts w:hint="eastAsia" w:eastAsia="方正仿宋_GBK"/>
          <w:color w:val="000000"/>
          <w:spacing w:val="-2"/>
          <w:kern w:val="0"/>
          <w:sz w:val="24"/>
        </w:rPr>
        <w:t>年</w:t>
      </w:r>
      <w:r>
        <w:rPr>
          <w:rFonts w:eastAsia="方正仿宋_GBK"/>
          <w:color w:val="000000"/>
          <w:spacing w:val="-2"/>
          <w:kern w:val="0"/>
          <w:sz w:val="24"/>
        </w:rPr>
        <w:t>10</w:t>
      </w:r>
      <w:r>
        <w:rPr>
          <w:rFonts w:hint="eastAsia" w:eastAsia="方正仿宋_GBK"/>
          <w:color w:val="000000"/>
          <w:spacing w:val="-2"/>
          <w:kern w:val="0"/>
          <w:sz w:val="24"/>
        </w:rPr>
        <w:t>月</w:t>
      </w:r>
      <w:r>
        <w:rPr>
          <w:rFonts w:eastAsia="方正仿宋_GBK"/>
          <w:color w:val="000000"/>
          <w:spacing w:val="-2"/>
          <w:kern w:val="0"/>
          <w:sz w:val="24"/>
        </w:rPr>
        <w:t>1</w:t>
      </w:r>
      <w:r>
        <w:rPr>
          <w:rFonts w:hint="eastAsia" w:eastAsia="方正仿宋_GBK"/>
          <w:color w:val="000000"/>
          <w:spacing w:val="-2"/>
          <w:kern w:val="0"/>
          <w:sz w:val="24"/>
        </w:rPr>
        <w:t>日起执行。</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附件：</w:t>
      </w:r>
      <w:r>
        <w:rPr>
          <w:rFonts w:eastAsia="方正仿宋_GBK"/>
          <w:color w:val="000000"/>
          <w:spacing w:val="-2"/>
          <w:kern w:val="0"/>
          <w:sz w:val="24"/>
        </w:rPr>
        <w:t>1.</w:t>
      </w:r>
      <w:r>
        <w:rPr>
          <w:rFonts w:hint="cs" w:eastAsia="方正仿宋_GBK"/>
          <w:color w:val="000000"/>
          <w:spacing w:val="-2"/>
          <w:kern w:val="0"/>
          <w:sz w:val="24"/>
          <w:cs/>
        </w:rPr>
        <w:t> </w:t>
      </w:r>
      <w:r>
        <w:rPr>
          <w:rFonts w:hint="eastAsia" w:eastAsia="方正仿宋_GBK"/>
          <w:color w:val="000000"/>
          <w:spacing w:val="-2"/>
          <w:kern w:val="0"/>
          <w:sz w:val="24"/>
        </w:rPr>
        <w:t>江苏省建设工程监理企业不良行为考核标准</w:t>
      </w:r>
    </w:p>
    <w:p>
      <w:pPr>
        <w:spacing w:line="460" w:lineRule="exact"/>
        <w:ind w:firstLine="1180" w:firstLineChars="500"/>
        <w:rPr>
          <w:rFonts w:eastAsia="方正仿宋_GBK"/>
          <w:color w:val="000000"/>
          <w:spacing w:val="-2"/>
          <w:kern w:val="0"/>
          <w:sz w:val="24"/>
        </w:rPr>
      </w:pPr>
      <w:r>
        <w:rPr>
          <w:rFonts w:eastAsia="方正仿宋_GBK"/>
          <w:color w:val="000000"/>
          <w:spacing w:val="-2"/>
          <w:kern w:val="0"/>
          <w:sz w:val="24"/>
        </w:rPr>
        <w:t>2.</w:t>
      </w:r>
      <w:r>
        <w:rPr>
          <w:rFonts w:hint="cs" w:eastAsia="方正仿宋_GBK"/>
          <w:color w:val="000000"/>
          <w:spacing w:val="-2"/>
          <w:kern w:val="0"/>
          <w:sz w:val="24"/>
          <w:cs/>
        </w:rPr>
        <w:t> </w:t>
      </w:r>
      <w:r>
        <w:rPr>
          <w:rFonts w:hint="eastAsia" w:eastAsia="方正仿宋_GBK"/>
          <w:color w:val="000000"/>
          <w:spacing w:val="-2"/>
          <w:kern w:val="0"/>
          <w:sz w:val="24"/>
        </w:rPr>
        <w:t>江苏省建设工程监理人员不良行为考核标准</w:t>
      </w:r>
    </w:p>
    <w:p>
      <w:pPr>
        <w:spacing w:line="460" w:lineRule="exact"/>
        <w:ind w:firstLine="472" w:firstLineChars="200"/>
        <w:rPr>
          <w:rFonts w:eastAsia="方正仿宋_GBK"/>
          <w:color w:val="000000"/>
          <w:spacing w:val="-2"/>
          <w:kern w:val="0"/>
          <w:sz w:val="24"/>
        </w:rPr>
      </w:pPr>
      <w:r>
        <w:rPr>
          <w:rFonts w:eastAsia="方正仿宋_GBK"/>
          <w:color w:val="000000"/>
          <w:spacing w:val="-2"/>
          <w:kern w:val="0"/>
          <w:sz w:val="24"/>
        </w:rPr>
        <w:t xml:space="preserve">                                                   </w:t>
      </w:r>
      <w:r>
        <w:rPr>
          <w:rFonts w:hint="eastAsia" w:eastAsia="方正仿宋_GBK"/>
          <w:color w:val="000000"/>
          <w:spacing w:val="-2"/>
          <w:kern w:val="0"/>
          <w:sz w:val="24"/>
        </w:rPr>
        <w:t>江苏省建设厅</w:t>
      </w:r>
      <w:r>
        <w:rPr>
          <w:rFonts w:eastAsia="方正仿宋_GBK"/>
          <w:color w:val="000000"/>
          <w:spacing w:val="-2"/>
          <w:kern w:val="0"/>
          <w:sz w:val="24"/>
        </w:rPr>
        <w:t xml:space="preserve">         </w:t>
      </w:r>
    </w:p>
    <w:p>
      <w:pPr>
        <w:wordWrap w:val="0"/>
        <w:spacing w:line="460" w:lineRule="exact"/>
        <w:ind w:firstLine="472" w:firstLineChars="200"/>
        <w:jc w:val="right"/>
        <w:rPr>
          <w:rFonts w:eastAsia="方正仿宋_GBK"/>
          <w:color w:val="000000"/>
          <w:spacing w:val="-2"/>
          <w:kern w:val="0"/>
          <w:sz w:val="24"/>
        </w:rPr>
      </w:pPr>
      <w:r>
        <w:rPr>
          <w:rFonts w:hint="eastAsia" w:eastAsia="方正仿宋_GBK"/>
          <w:color w:val="000000"/>
          <w:spacing w:val="-2"/>
          <w:kern w:val="0"/>
          <w:sz w:val="24"/>
        </w:rPr>
        <w:t>二</w:t>
      </w:r>
      <w:r>
        <w:rPr>
          <w:rFonts w:hint="eastAsia" w:eastAsia="方正仿宋_GBK"/>
          <w:color w:val="000000"/>
          <w:spacing w:val="-2"/>
          <w:sz w:val="24"/>
        </w:rPr>
        <w:t>○○</w:t>
      </w:r>
      <w:r>
        <w:rPr>
          <w:rFonts w:hint="eastAsia" w:eastAsia="方正仿宋_GBK"/>
          <w:color w:val="000000"/>
          <w:spacing w:val="-2"/>
          <w:kern w:val="0"/>
          <w:sz w:val="24"/>
        </w:rPr>
        <w:t>七年五月二十一日</w:t>
      </w:r>
      <w:r>
        <w:rPr>
          <w:rFonts w:eastAsia="方正仿宋_GBK"/>
          <w:color w:val="000000"/>
          <w:spacing w:val="-2"/>
          <w:kern w:val="0"/>
          <w:sz w:val="24"/>
        </w:rPr>
        <w:t xml:space="preserve">    </w:t>
      </w:r>
    </w:p>
    <w:p>
      <w:pPr>
        <w:spacing w:line="460" w:lineRule="exact"/>
        <w:rPr>
          <w:rFonts w:ascii="Times New Roman" w:eastAsia="方正黑体_GBK"/>
          <w:color w:val="000000"/>
          <w:spacing w:val="-2"/>
          <w:kern w:val="0"/>
          <w:sz w:val="28"/>
          <w:szCs w:val="28"/>
        </w:rPr>
      </w:pPr>
    </w:p>
    <w:p>
      <w:pPr>
        <w:spacing w:line="460" w:lineRule="exact"/>
        <w:rPr>
          <w:rFonts w:hint="eastAsia" w:ascii="Times New Roman" w:eastAsia="方正黑体_GBK"/>
          <w:color w:val="000000"/>
          <w:spacing w:val="-2"/>
          <w:kern w:val="0"/>
          <w:sz w:val="28"/>
          <w:szCs w:val="28"/>
        </w:rPr>
      </w:pPr>
    </w:p>
    <w:p>
      <w:pPr>
        <w:spacing w:line="460" w:lineRule="exact"/>
        <w:rPr>
          <w:rFonts w:hint="eastAsia" w:ascii="Times New Roman" w:eastAsia="方正黑体_GBK"/>
          <w:color w:val="000000"/>
          <w:spacing w:val="-2"/>
          <w:kern w:val="0"/>
          <w:sz w:val="28"/>
          <w:szCs w:val="28"/>
        </w:rPr>
      </w:pPr>
      <w:r>
        <w:rPr>
          <w:rFonts w:hint="eastAsia" w:ascii="Times New Roman" w:eastAsia="方正黑体_GBK"/>
          <w:color w:val="000000"/>
          <w:spacing w:val="-2"/>
          <w:kern w:val="0"/>
          <w:sz w:val="28"/>
          <w:szCs w:val="28"/>
        </w:rPr>
        <w:t>附件1：</w:t>
      </w:r>
    </w:p>
    <w:p>
      <w:pPr>
        <w:spacing w:line="600" w:lineRule="exact"/>
        <w:jc w:val="center"/>
        <w:rPr>
          <w:rFonts w:hint="eastAsia" w:ascii="Times New Roman" w:hAnsi="Times New Roman" w:eastAsia="方正黑体_GBK"/>
          <w:bCs/>
          <w:color w:val="000000"/>
          <w:spacing w:val="-2"/>
          <w:sz w:val="28"/>
          <w:szCs w:val="28"/>
        </w:rPr>
      </w:pPr>
      <w:r>
        <w:rPr>
          <w:rFonts w:hint="eastAsia" w:ascii="Times New Roman" w:hAnsi="Times New Roman" w:eastAsia="方正黑体_GBK"/>
          <w:bCs/>
          <w:color w:val="000000"/>
          <w:spacing w:val="-2"/>
          <w:sz w:val="28"/>
          <w:szCs w:val="28"/>
        </w:rPr>
        <w:t>江苏省建设工程监理企业不良行为考核标准</w:t>
      </w:r>
    </w:p>
    <w:tbl>
      <w:tblPr>
        <w:tblStyle w:val="12"/>
        <w:tblW w:w="0" w:type="auto"/>
        <w:tblInd w:w="12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0"/>
        <w:gridCol w:w="540"/>
        <w:gridCol w:w="6646"/>
        <w:gridCol w:w="8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trPr>
        <w:tc>
          <w:tcPr>
            <w:tcW w:w="720" w:type="dxa"/>
            <w:tcBorders>
              <w:top w:val="single" w:color="auto" w:sz="8" w:space="0"/>
              <w:left w:val="single" w:color="auto" w:sz="8" w:space="0"/>
              <w:bottom w:val="single" w:color="auto" w:sz="4" w:space="0"/>
              <w:right w:val="single" w:color="auto" w:sz="4" w:space="0"/>
            </w:tcBorders>
            <w:noWrap w:val="0"/>
            <w:vAlign w:val="center"/>
          </w:tcPr>
          <w:p>
            <w:pPr>
              <w:spacing w:line="360" w:lineRule="exact"/>
              <w:jc w:val="center"/>
              <w:rPr>
                <w:rFonts w:ascii="Times New Roman" w:eastAsia="方正黑体_GBK"/>
                <w:color w:val="000000"/>
                <w:spacing w:val="-2"/>
                <w:szCs w:val="21"/>
              </w:rPr>
            </w:pPr>
            <w:r>
              <w:rPr>
                <w:rFonts w:hint="eastAsia" w:ascii="Times New Roman" w:eastAsia="方正黑体_GBK"/>
                <w:color w:val="000000"/>
                <w:spacing w:val="-2"/>
                <w:szCs w:val="21"/>
              </w:rPr>
              <w:t>行为类别</w:t>
            </w:r>
          </w:p>
        </w:tc>
        <w:tc>
          <w:tcPr>
            <w:tcW w:w="540" w:type="dxa"/>
            <w:tcBorders>
              <w:top w:val="single" w:color="auto" w:sz="8" w:space="0"/>
              <w:left w:val="single" w:color="auto" w:sz="4" w:space="0"/>
              <w:bottom w:val="single" w:color="auto" w:sz="4" w:space="0"/>
              <w:right w:val="single" w:color="auto" w:sz="4" w:space="0"/>
            </w:tcBorders>
            <w:noWrap w:val="0"/>
            <w:vAlign w:val="center"/>
          </w:tcPr>
          <w:p>
            <w:pPr>
              <w:spacing w:line="360" w:lineRule="exact"/>
              <w:jc w:val="center"/>
              <w:rPr>
                <w:rFonts w:ascii="Times New Roman" w:eastAsia="方正黑体_GBK"/>
                <w:color w:val="000000"/>
                <w:spacing w:val="-2"/>
                <w:szCs w:val="21"/>
              </w:rPr>
            </w:pPr>
            <w:r>
              <w:rPr>
                <w:rFonts w:hint="eastAsia" w:ascii="Times New Roman" w:eastAsia="方正黑体_GBK"/>
                <w:color w:val="000000"/>
                <w:spacing w:val="-2"/>
                <w:szCs w:val="21"/>
              </w:rPr>
              <w:t>序号</w:t>
            </w:r>
          </w:p>
        </w:tc>
        <w:tc>
          <w:tcPr>
            <w:tcW w:w="6646" w:type="dxa"/>
            <w:tcBorders>
              <w:top w:val="single" w:color="auto" w:sz="8" w:space="0"/>
              <w:left w:val="single" w:color="auto" w:sz="4" w:space="0"/>
              <w:bottom w:val="single" w:color="auto" w:sz="4" w:space="0"/>
              <w:right w:val="single" w:color="auto" w:sz="4" w:space="0"/>
            </w:tcBorders>
            <w:noWrap w:val="0"/>
            <w:vAlign w:val="center"/>
          </w:tcPr>
          <w:p>
            <w:pPr>
              <w:spacing w:line="360" w:lineRule="exact"/>
              <w:jc w:val="center"/>
              <w:rPr>
                <w:rFonts w:ascii="Times New Roman" w:eastAsia="方正黑体_GBK"/>
                <w:color w:val="000000"/>
                <w:spacing w:val="-2"/>
                <w:szCs w:val="21"/>
              </w:rPr>
            </w:pPr>
            <w:r>
              <w:rPr>
                <w:rFonts w:hint="eastAsia" w:ascii="Times New Roman" w:eastAsia="方正黑体_GBK"/>
                <w:color w:val="000000"/>
                <w:spacing w:val="-2"/>
                <w:szCs w:val="21"/>
              </w:rPr>
              <w:t>不良行为具体内容</w:t>
            </w:r>
          </w:p>
        </w:tc>
        <w:tc>
          <w:tcPr>
            <w:tcW w:w="870" w:type="dxa"/>
            <w:tcBorders>
              <w:top w:val="single" w:color="auto" w:sz="8" w:space="0"/>
              <w:left w:val="single" w:color="auto" w:sz="4" w:space="0"/>
              <w:bottom w:val="single" w:color="auto" w:sz="4" w:space="0"/>
              <w:right w:val="single" w:color="auto" w:sz="8" w:space="0"/>
            </w:tcBorders>
            <w:noWrap w:val="0"/>
            <w:vAlign w:val="center"/>
          </w:tcPr>
          <w:p>
            <w:pPr>
              <w:spacing w:line="360" w:lineRule="exact"/>
              <w:jc w:val="center"/>
              <w:rPr>
                <w:rFonts w:ascii="Times New Roman" w:eastAsia="方正黑体_GBK"/>
                <w:color w:val="000000"/>
                <w:spacing w:val="-2"/>
                <w:szCs w:val="21"/>
              </w:rPr>
            </w:pPr>
            <w:r>
              <w:rPr>
                <w:rFonts w:hint="eastAsia" w:ascii="Times New Roman" w:eastAsia="方正黑体_GBK"/>
                <w:color w:val="000000"/>
                <w:spacing w:val="-2"/>
                <w:szCs w:val="21"/>
              </w:rPr>
              <w:t>不良行为类型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58" w:hRule="atLeast"/>
        </w:trPr>
        <w:tc>
          <w:tcPr>
            <w:tcW w:w="720" w:type="dxa"/>
            <w:vMerge w:val="restart"/>
            <w:tcBorders>
              <w:top w:val="single" w:color="auto" w:sz="4" w:space="0"/>
              <w:left w:val="single" w:color="auto" w:sz="8"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hint="eastAsia" w:eastAsia="方正仿宋_GBK"/>
                <w:color w:val="000000"/>
                <w:spacing w:val="-2"/>
                <w:szCs w:val="21"/>
              </w:rPr>
              <w:t>资质</w:t>
            </w: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1</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超越本单位资质等级和范围承接监理业务的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7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2</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资质许可后条件不达标的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7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3</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允许其他单位或个人以本单位的名义承接监理业务的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7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4</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涂改、伪造、出借、转让资质证书的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720" w:type="dxa"/>
            <w:vMerge w:val="restart"/>
            <w:tcBorders>
              <w:top w:val="single" w:color="auto" w:sz="4" w:space="0"/>
              <w:left w:val="single" w:color="auto" w:sz="8"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hint="eastAsia" w:eastAsia="方正仿宋_GBK"/>
                <w:color w:val="000000"/>
                <w:spacing w:val="-2"/>
                <w:szCs w:val="21"/>
              </w:rPr>
              <w:t>承接业务</w:t>
            </w: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5</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与建设单位或监理企业之间相互串通投标，或以行贿等不正当手段谋取中标的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7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6</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以他人名义承接监理业务或以其他方式弄虚作假骗取中标的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7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7</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转让工程监理业务的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7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8</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未按规定签订监理合同进行项目监理工作的，或分公司和分支机构签订监理合同的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7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9</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监理合同签订后，</w:t>
            </w:r>
            <w:r>
              <w:rPr>
                <w:rFonts w:eastAsia="方正仿宋_GBK"/>
                <w:color w:val="000000"/>
                <w:spacing w:val="-2"/>
                <w:szCs w:val="21"/>
              </w:rPr>
              <w:t>10</w:t>
            </w:r>
            <w:r>
              <w:rPr>
                <w:rFonts w:hint="eastAsia" w:eastAsia="方正仿宋_GBK"/>
                <w:color w:val="000000"/>
                <w:spacing w:val="-2"/>
                <w:szCs w:val="21"/>
              </w:rPr>
              <w:t>日内合同未到项目所在地建设行政主管部门登记的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B</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7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10</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未按规定办理项目核验手续或人员登记的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B</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720" w:type="dxa"/>
            <w:vMerge w:val="restart"/>
            <w:tcBorders>
              <w:top w:val="single" w:color="auto" w:sz="4" w:space="0"/>
              <w:left w:val="single" w:color="auto" w:sz="8"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hint="eastAsia" w:eastAsia="方正仿宋_GBK"/>
                <w:color w:val="000000"/>
                <w:spacing w:val="-2"/>
                <w:szCs w:val="21"/>
              </w:rPr>
              <w:t>监理取费</w:t>
            </w: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11</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签订阴阳合同的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7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12</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实际监理取费低于规定收费标准，但未低于规定收费标准</w:t>
            </w:r>
            <w:r>
              <w:rPr>
                <w:rFonts w:eastAsia="方正仿宋_GBK"/>
                <w:color w:val="000000"/>
                <w:spacing w:val="-2"/>
                <w:szCs w:val="21"/>
              </w:rPr>
              <w:t>80%</w:t>
            </w:r>
            <w:r>
              <w:rPr>
                <w:rFonts w:hint="eastAsia" w:eastAsia="方正仿宋_GBK"/>
                <w:color w:val="000000"/>
                <w:spacing w:val="-2"/>
                <w:szCs w:val="21"/>
              </w:rPr>
              <w:t>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C</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7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13</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实际监理取费低于规定收费标准</w:t>
            </w:r>
            <w:r>
              <w:rPr>
                <w:rFonts w:eastAsia="方正仿宋_GBK"/>
                <w:color w:val="000000"/>
                <w:spacing w:val="-2"/>
                <w:szCs w:val="21"/>
              </w:rPr>
              <w:t>80%(</w:t>
            </w:r>
            <w:r>
              <w:rPr>
                <w:rFonts w:hint="eastAsia" w:eastAsia="方正仿宋_GBK"/>
                <w:color w:val="000000"/>
                <w:spacing w:val="-2"/>
                <w:szCs w:val="21"/>
              </w:rPr>
              <w:t>含</w:t>
            </w:r>
            <w:r>
              <w:rPr>
                <w:rFonts w:eastAsia="方正仿宋_GBK"/>
                <w:color w:val="000000"/>
                <w:spacing w:val="-2"/>
                <w:szCs w:val="21"/>
              </w:rPr>
              <w:t>80%)</w:t>
            </w:r>
            <w:r>
              <w:rPr>
                <w:rFonts w:hint="eastAsia" w:eastAsia="方正仿宋_GBK"/>
                <w:color w:val="000000"/>
                <w:spacing w:val="-2"/>
                <w:szCs w:val="21"/>
              </w:rPr>
              <w:t>超过</w:t>
            </w:r>
            <w:r>
              <w:rPr>
                <w:rFonts w:eastAsia="方正仿宋_GBK"/>
                <w:color w:val="000000"/>
                <w:spacing w:val="-2"/>
                <w:szCs w:val="21"/>
              </w:rPr>
              <w:t>60%</w:t>
            </w:r>
            <w:r>
              <w:rPr>
                <w:rFonts w:hint="eastAsia" w:eastAsia="方正仿宋_GBK"/>
                <w:color w:val="000000"/>
                <w:spacing w:val="-2"/>
                <w:szCs w:val="21"/>
              </w:rPr>
              <w:t>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B</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7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14</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实际监理取费低于规定收费标准</w:t>
            </w:r>
            <w:r>
              <w:rPr>
                <w:rFonts w:eastAsia="方正仿宋_GBK"/>
                <w:color w:val="000000"/>
                <w:spacing w:val="-2"/>
                <w:szCs w:val="21"/>
              </w:rPr>
              <w:t>60%(</w:t>
            </w:r>
            <w:r>
              <w:rPr>
                <w:rFonts w:hint="eastAsia" w:eastAsia="方正仿宋_GBK"/>
                <w:color w:val="000000"/>
                <w:spacing w:val="-2"/>
                <w:szCs w:val="21"/>
              </w:rPr>
              <w:t>含</w:t>
            </w:r>
            <w:r>
              <w:rPr>
                <w:rFonts w:eastAsia="方正仿宋_GBK"/>
                <w:color w:val="000000"/>
                <w:spacing w:val="-2"/>
                <w:szCs w:val="21"/>
              </w:rPr>
              <w:t>60%)</w:t>
            </w:r>
            <w:r>
              <w:rPr>
                <w:rFonts w:hint="eastAsia" w:eastAsia="方正仿宋_GBK"/>
                <w:color w:val="000000"/>
                <w:spacing w:val="-2"/>
                <w:szCs w:val="21"/>
              </w:rPr>
              <w:t>以下的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720" w:type="dxa"/>
            <w:vMerge w:val="restart"/>
            <w:tcBorders>
              <w:top w:val="single" w:color="auto" w:sz="4" w:space="0"/>
              <w:left w:val="single" w:color="auto" w:sz="8"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hint="eastAsia" w:eastAsia="方正仿宋_GBK"/>
                <w:color w:val="000000"/>
                <w:spacing w:val="-2"/>
                <w:szCs w:val="21"/>
              </w:rPr>
              <w:t>工程质量安全</w:t>
            </w: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15</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与建设单位或施工企业串通，弄虚作假，降低工程质量的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7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16</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未依法履行监理职责，将不合格的建设工程、建筑材料、建筑构配件和设备按照合格签字的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21" w:hRule="atLeast"/>
        </w:trPr>
        <w:tc>
          <w:tcPr>
            <w:tcW w:w="7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17</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与被监理工程的施工企业以及建筑材料、建筑构配件和设备供应单位有隶属关系或其他利害关系承担该项建设工程监理业务的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0" w:hRule="atLeast"/>
        </w:trPr>
        <w:tc>
          <w:tcPr>
            <w:tcW w:w="7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18</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对施工企业违反工程建设强制性标准条文行为，现场项目监理机构不及时按规定向有关单位提出书面制止和纠正要求的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B</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63" w:hRule="atLeast"/>
        </w:trPr>
        <w:tc>
          <w:tcPr>
            <w:tcW w:w="7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19</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发生三级以上工程建设重大质量安全事故、或发生两起以上四级工程建设质量安全事故监理有责任的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7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20</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发生四级工程建设质量安全事故监理有责任的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B</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7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21</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bCs/>
                <w:color w:val="000000"/>
                <w:spacing w:val="-2"/>
                <w:szCs w:val="21"/>
              </w:rPr>
              <w:t>监理企业未建立安全监理责任制、安全生产管理制度、安全生产教育培训制度的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B</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7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22</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未对施工组织设计中的安全技术措施或者专项施工方案进行审查的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B</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7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23</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发现安全事故隐患未及时要求施工企业整改或者暂时停止施工的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C</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7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24</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施工企业拒不整改或者不停止施工，未及时向有关主管部门书面报告的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B</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720" w:type="dxa"/>
            <w:vMerge w:val="restart"/>
            <w:tcBorders>
              <w:top w:val="single" w:color="auto" w:sz="4" w:space="0"/>
              <w:left w:val="single" w:color="auto" w:sz="8"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hint="eastAsia" w:eastAsia="方正仿宋_GBK"/>
                <w:color w:val="000000"/>
                <w:spacing w:val="-2"/>
                <w:szCs w:val="21"/>
              </w:rPr>
              <w:t>现场人员</w:t>
            </w:r>
          </w:p>
          <w:p>
            <w:pPr>
              <w:spacing w:line="360" w:lineRule="exact"/>
              <w:jc w:val="center"/>
              <w:rPr>
                <w:rFonts w:eastAsia="方正仿宋_GBK"/>
                <w:color w:val="000000"/>
                <w:spacing w:val="-2"/>
                <w:szCs w:val="21"/>
              </w:rPr>
            </w:pPr>
            <w:r>
              <w:rPr>
                <w:rFonts w:hint="eastAsia" w:eastAsia="方正仿宋_GBK"/>
                <w:color w:val="000000"/>
                <w:spacing w:val="-2"/>
                <w:szCs w:val="21"/>
              </w:rPr>
              <w:t>管理</w:t>
            </w: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25</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bCs/>
                <w:color w:val="000000"/>
                <w:spacing w:val="-2"/>
                <w:szCs w:val="21"/>
              </w:rPr>
            </w:pPr>
            <w:r>
              <w:rPr>
                <w:rFonts w:hint="eastAsia" w:eastAsia="方正仿宋_GBK"/>
                <w:color w:val="000000"/>
                <w:spacing w:val="-2"/>
                <w:kern w:val="0"/>
                <w:szCs w:val="21"/>
              </w:rPr>
              <w:t>工程中标、监理合同签订后，随意更改项目监理机构组成人员的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B</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7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26</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现场项目监理机构中的总监理工程师未取得从业资格即上岗的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7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27</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现场项目监理机构的总监理工程师已取得相应从业资格但未注册即上岗的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B</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7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28</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kern w:val="0"/>
                <w:szCs w:val="21"/>
              </w:rPr>
              <w:t>监理企业未按照监理规划严格执行监理人员进退场计划的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B</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7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29</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从业人员超越已取得的从业资格从事监理工作的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B</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7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30</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现场项目监理机构人员配备的专业、数量明显不能满足监理工作需要的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C</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7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31</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具备担任项目总监资格的人员，同时担任</w:t>
            </w:r>
            <w:r>
              <w:rPr>
                <w:rFonts w:eastAsia="方正仿宋_GBK"/>
                <w:color w:val="000000"/>
                <w:spacing w:val="-2"/>
                <w:szCs w:val="21"/>
              </w:rPr>
              <w:t>3</w:t>
            </w:r>
            <w:r>
              <w:rPr>
                <w:rFonts w:hint="eastAsia" w:eastAsia="方正仿宋_GBK"/>
                <w:color w:val="000000"/>
                <w:spacing w:val="-2"/>
                <w:szCs w:val="21"/>
              </w:rPr>
              <w:t>个（不含</w:t>
            </w:r>
            <w:r>
              <w:rPr>
                <w:rFonts w:eastAsia="方正仿宋_GBK"/>
                <w:color w:val="000000"/>
                <w:spacing w:val="-2"/>
                <w:szCs w:val="21"/>
              </w:rPr>
              <w:t>3</w:t>
            </w:r>
            <w:r>
              <w:rPr>
                <w:rFonts w:hint="eastAsia" w:eastAsia="方正仿宋_GBK"/>
                <w:color w:val="000000"/>
                <w:spacing w:val="-2"/>
                <w:szCs w:val="21"/>
              </w:rPr>
              <w:t>个）以上项目总监的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C</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7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32</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省内企业和驻苏企业跨设区市承接监理业务有未通过登记或项目核验未通过的监理人员从业的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B</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7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33</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非驻苏企业有未通过登记或项目核验未通过的监理人员从业的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B</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7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34</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总监理工程师同时在跨设区市的项目上任职的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B</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7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35</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bCs/>
                <w:color w:val="000000"/>
                <w:spacing w:val="-2"/>
                <w:szCs w:val="21"/>
              </w:rPr>
            </w:pPr>
            <w:r>
              <w:rPr>
                <w:rFonts w:hint="eastAsia" w:eastAsia="方正仿宋_GBK"/>
                <w:bCs/>
                <w:color w:val="000000"/>
                <w:spacing w:val="-2"/>
                <w:szCs w:val="21"/>
              </w:rPr>
              <w:t>未办理监理人员上岗牌的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C</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7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36</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使用非本单位人员的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B</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720" w:type="dxa"/>
            <w:vMerge w:val="restart"/>
            <w:tcBorders>
              <w:top w:val="single" w:color="auto" w:sz="4" w:space="0"/>
              <w:left w:val="single" w:color="auto" w:sz="8"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hint="eastAsia" w:eastAsia="方正仿宋_GBK"/>
                <w:color w:val="000000"/>
                <w:spacing w:val="-2"/>
                <w:szCs w:val="21"/>
              </w:rPr>
              <w:t>现场工作</w:t>
            </w: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36</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监理企业对项目监理机构</w:t>
            </w:r>
            <w:r>
              <w:rPr>
                <w:rFonts w:eastAsia="方正仿宋_GBK"/>
                <w:color w:val="000000"/>
                <w:spacing w:val="-2"/>
                <w:szCs w:val="21"/>
              </w:rPr>
              <w:t>3</w:t>
            </w:r>
            <w:r>
              <w:rPr>
                <w:rFonts w:hint="eastAsia" w:eastAsia="方正仿宋_GBK"/>
                <w:color w:val="000000"/>
                <w:spacing w:val="-2"/>
                <w:szCs w:val="21"/>
              </w:rPr>
              <w:t>个月未组织检查、考核的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B</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7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37</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未编制《监理规划》即开展现场监理工作的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B</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7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38</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项目监理工作中有《监理规划》，但其编制、审核等不符合国家监理规范要求的，或者按规定应编制而未编制《监理实施细则》的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C</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7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39</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对施工企业上道工序未报经监理验收即进入下道工序施工的行为，现场项目监理机构不及时以书面形式予以制止和纠正的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7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40</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对施工企业在主要建筑材料、建筑构配件和设备未报经监理核验即用于工程或应复试而未复试即用于工程的行为，现场项目监理机构不及时以书面形式予以制止和纠正的；或监理签批报验单程序不符合规定的；或检验批未按标准和规定验收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B</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7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41</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6"/>
                <w:szCs w:val="21"/>
              </w:rPr>
            </w:pPr>
            <w:r>
              <w:rPr>
                <w:rFonts w:hint="eastAsia" w:eastAsia="方正仿宋_GBK"/>
                <w:color w:val="000000"/>
                <w:spacing w:val="-6"/>
                <w:szCs w:val="21"/>
              </w:rPr>
              <w:t>现场项目监理机构对按规定应进行旁站、平行检验或见证取样而未进行的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C</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7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42</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监理企业在本企业所监理的项目上经营施工、建筑材料</w:t>
            </w:r>
            <w:r>
              <w:rPr>
                <w:rFonts w:eastAsia="方正仿宋_GBK"/>
                <w:color w:val="000000"/>
                <w:spacing w:val="-2"/>
                <w:szCs w:val="21"/>
              </w:rPr>
              <w:t>(</w:t>
            </w:r>
            <w:r>
              <w:rPr>
                <w:rFonts w:hint="eastAsia" w:eastAsia="方正仿宋_GBK"/>
                <w:color w:val="000000"/>
                <w:spacing w:val="-2"/>
                <w:szCs w:val="21"/>
              </w:rPr>
              <w:t>构配件</w:t>
            </w:r>
            <w:r>
              <w:rPr>
                <w:rFonts w:eastAsia="方正仿宋_GBK"/>
                <w:color w:val="000000"/>
                <w:spacing w:val="-2"/>
                <w:szCs w:val="21"/>
              </w:rPr>
              <w:t>)</w:t>
            </w:r>
            <w:r>
              <w:rPr>
                <w:rFonts w:hint="eastAsia" w:eastAsia="方正仿宋_GBK"/>
                <w:color w:val="000000"/>
                <w:spacing w:val="-2"/>
                <w:szCs w:val="21"/>
              </w:rPr>
              <w:t>和设备供应业务的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7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43</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现场项目监理机构不按规定使用现行《江苏省建设工程施工阶段监理现场用表》开展现场监理工作的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B</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7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44</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建设单位在未依法办妥施工许可证的情况下强行要求开工，监理不仅不予制止（以书面材料为准）、并且签批开工申请的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B</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38" w:hRule="atLeast"/>
        </w:trPr>
        <w:tc>
          <w:tcPr>
            <w:tcW w:w="7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45</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6"/>
                <w:szCs w:val="21"/>
              </w:rPr>
            </w:pPr>
            <w:r>
              <w:rPr>
                <w:rFonts w:hint="eastAsia" w:eastAsia="方正仿宋_GBK"/>
                <w:color w:val="000000"/>
                <w:spacing w:val="-6"/>
                <w:szCs w:val="21"/>
              </w:rPr>
              <w:t>项目监理机构未督促建设单位召开第一次工地会议的，或者项目监理机构未按确定的工地例会周期召开工地例会，例会无纪要或纪要严重不全的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C</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7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46</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对施工企业按标准、规范、设计文件规定应进行检测、工程安全和功能性试验而未进行的行为，监理不及时以书面形式予以制止和纠正的</w:t>
            </w:r>
            <w:r>
              <w:rPr>
                <w:rFonts w:eastAsia="方正仿宋_GBK"/>
                <w:color w:val="000000"/>
                <w:spacing w:val="-2"/>
                <w:szCs w:val="21"/>
              </w:rPr>
              <w:t xml:space="preserve"> </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C</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60" w:hRule="atLeast"/>
        </w:trPr>
        <w:tc>
          <w:tcPr>
            <w:tcW w:w="7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47</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对施工企业的材料、构配件、设备报验品种不全、批次不足，实物与报验不符的行为，现场项目监理机构不予以制止和纠正的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C</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16" w:hRule="atLeast"/>
        </w:trPr>
        <w:tc>
          <w:tcPr>
            <w:tcW w:w="7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48</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与施工企业串通，为施工企业谋取非法利益，给建设单位造成损失的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16" w:hRule="atLeast"/>
        </w:trPr>
        <w:tc>
          <w:tcPr>
            <w:tcW w:w="720" w:type="dxa"/>
            <w:vMerge w:val="restart"/>
            <w:tcBorders>
              <w:top w:val="single" w:color="auto" w:sz="4" w:space="0"/>
              <w:left w:val="single" w:color="auto" w:sz="8" w:space="0"/>
              <w:bottom w:val="single" w:color="auto" w:sz="8" w:space="0"/>
              <w:right w:val="single" w:color="auto" w:sz="4" w:space="0"/>
            </w:tcBorders>
            <w:noWrap w:val="0"/>
            <w:vAlign w:val="center"/>
          </w:tcPr>
          <w:p>
            <w:pPr>
              <w:spacing w:line="360" w:lineRule="exact"/>
              <w:jc w:val="center"/>
              <w:rPr>
                <w:rFonts w:eastAsia="方正仿宋_GBK"/>
                <w:color w:val="000000"/>
                <w:spacing w:val="-2"/>
                <w:szCs w:val="21"/>
              </w:rPr>
            </w:pPr>
            <w:r>
              <w:rPr>
                <w:rFonts w:hint="eastAsia" w:eastAsia="方正仿宋_GBK"/>
                <w:color w:val="000000"/>
                <w:spacing w:val="-2"/>
                <w:szCs w:val="21"/>
              </w:rPr>
              <w:t>信息管理</w:t>
            </w:r>
          </w:p>
        </w:tc>
        <w:tc>
          <w:tcPr>
            <w:tcW w:w="54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49</w:t>
            </w:r>
          </w:p>
        </w:tc>
        <w:tc>
          <w:tcPr>
            <w:tcW w:w="66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未在规定时间内将新注册人员、变更人员信息、新承接项目信息录入监理信息系统的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B</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16" w:hRule="atLeast"/>
        </w:trPr>
        <w:tc>
          <w:tcPr>
            <w:tcW w:w="720" w:type="dxa"/>
            <w:vMerge w:val="continue"/>
            <w:tcBorders>
              <w:top w:val="single" w:color="auto" w:sz="4" w:space="0"/>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szCs w:val="21"/>
              </w:rPr>
            </w:pPr>
          </w:p>
        </w:tc>
        <w:tc>
          <w:tcPr>
            <w:tcW w:w="540" w:type="dxa"/>
            <w:tcBorders>
              <w:top w:val="single" w:color="auto" w:sz="4" w:space="0"/>
              <w:left w:val="single" w:color="auto" w:sz="4" w:space="0"/>
              <w:bottom w:val="single" w:color="auto" w:sz="8"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50</w:t>
            </w:r>
          </w:p>
        </w:tc>
        <w:tc>
          <w:tcPr>
            <w:tcW w:w="6646" w:type="dxa"/>
            <w:tcBorders>
              <w:top w:val="single" w:color="auto" w:sz="4" w:space="0"/>
              <w:left w:val="single" w:color="auto" w:sz="4" w:space="0"/>
              <w:bottom w:val="single" w:color="auto" w:sz="8"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监理企业未在规定时间内将新承接项目信息录入监理信息系统，而由建设行政主管录入的</w:t>
            </w:r>
          </w:p>
        </w:tc>
        <w:tc>
          <w:tcPr>
            <w:tcW w:w="870" w:type="dxa"/>
            <w:tcBorders>
              <w:top w:val="single" w:color="auto" w:sz="4" w:space="0"/>
              <w:left w:val="single" w:color="auto" w:sz="4" w:space="0"/>
              <w:bottom w:val="single" w:color="auto" w:sz="8"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B</w:t>
            </w:r>
          </w:p>
        </w:tc>
      </w:tr>
    </w:tbl>
    <w:p>
      <w:pPr>
        <w:spacing w:line="600" w:lineRule="exact"/>
        <w:rPr>
          <w:rFonts w:hint="eastAsia" w:ascii="Times New Roman" w:hAnsi="Times New Roman" w:eastAsia="仿宋_GB2312"/>
          <w:bCs/>
          <w:color w:val="000000"/>
          <w:spacing w:val="-2"/>
          <w:sz w:val="28"/>
          <w:szCs w:val="28"/>
        </w:rPr>
      </w:pPr>
    </w:p>
    <w:p>
      <w:pPr>
        <w:spacing w:line="600" w:lineRule="exact"/>
        <w:rPr>
          <w:rFonts w:hint="eastAsia" w:ascii="Times New Roman" w:eastAsia="仿宋_GB2312"/>
          <w:color w:val="000000"/>
          <w:spacing w:val="-2"/>
          <w:sz w:val="28"/>
          <w:szCs w:val="28"/>
        </w:rPr>
      </w:pPr>
    </w:p>
    <w:p>
      <w:pPr>
        <w:spacing w:line="600" w:lineRule="exact"/>
        <w:rPr>
          <w:rFonts w:hint="eastAsia" w:ascii="Times New Roman" w:eastAsia="仿宋_GB2312"/>
          <w:color w:val="000000"/>
          <w:spacing w:val="-2"/>
          <w:sz w:val="28"/>
          <w:szCs w:val="28"/>
        </w:rPr>
      </w:pPr>
    </w:p>
    <w:p>
      <w:pPr>
        <w:spacing w:line="460" w:lineRule="exact"/>
        <w:rPr>
          <w:rFonts w:hint="eastAsia" w:ascii="Times New Roman" w:eastAsia="方正黑体_GBK"/>
          <w:color w:val="000000"/>
          <w:spacing w:val="-2"/>
          <w:kern w:val="0"/>
          <w:sz w:val="28"/>
          <w:szCs w:val="28"/>
        </w:rPr>
      </w:pPr>
      <w:r>
        <w:rPr>
          <w:rFonts w:hint="eastAsia" w:ascii="Times New Roman" w:hAnsi="Times New Roman" w:eastAsia="仿宋_GB2312"/>
          <w:bCs/>
          <w:color w:val="000000"/>
          <w:spacing w:val="-2"/>
          <w:sz w:val="28"/>
          <w:szCs w:val="28"/>
        </w:rPr>
        <w:br w:type="column"/>
      </w:r>
      <w:r>
        <w:rPr>
          <w:rFonts w:hint="eastAsia" w:ascii="Times New Roman" w:eastAsia="方正黑体_GBK"/>
          <w:color w:val="000000"/>
          <w:spacing w:val="-2"/>
          <w:kern w:val="0"/>
          <w:sz w:val="28"/>
          <w:szCs w:val="28"/>
        </w:rPr>
        <w:t>附件2：</w:t>
      </w:r>
    </w:p>
    <w:p>
      <w:pPr>
        <w:spacing w:line="600" w:lineRule="exact"/>
        <w:jc w:val="center"/>
        <w:rPr>
          <w:rFonts w:hint="eastAsia" w:ascii="Times New Roman" w:hAnsi="Times New Roman" w:eastAsia="方正黑体_GBK"/>
          <w:bCs/>
          <w:color w:val="000000"/>
          <w:spacing w:val="-2"/>
          <w:sz w:val="28"/>
          <w:szCs w:val="28"/>
        </w:rPr>
      </w:pPr>
      <w:r>
        <w:rPr>
          <w:rFonts w:hint="eastAsia" w:ascii="Times New Roman" w:hAnsi="Times New Roman" w:eastAsia="方正黑体_GBK"/>
          <w:bCs/>
          <w:color w:val="000000"/>
          <w:spacing w:val="-2"/>
          <w:sz w:val="28"/>
          <w:szCs w:val="28"/>
        </w:rPr>
        <w:t>江苏省建设工程监理人员不良行为考核标准</w:t>
      </w:r>
    </w:p>
    <w:tbl>
      <w:tblPr>
        <w:tblStyle w:val="12"/>
        <w:tblW w:w="0" w:type="auto"/>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7"/>
        <w:gridCol w:w="7479"/>
        <w:gridCol w:w="8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57" w:type="dxa"/>
            <w:tcBorders>
              <w:top w:val="single" w:color="auto" w:sz="8" w:space="0"/>
              <w:left w:val="single" w:color="auto" w:sz="8" w:space="0"/>
              <w:bottom w:val="single" w:color="auto" w:sz="4" w:space="0"/>
              <w:right w:val="single" w:color="auto" w:sz="4" w:space="0"/>
            </w:tcBorders>
            <w:noWrap w:val="0"/>
            <w:vAlign w:val="center"/>
          </w:tcPr>
          <w:p>
            <w:pPr>
              <w:spacing w:line="240" w:lineRule="exact"/>
              <w:jc w:val="center"/>
              <w:rPr>
                <w:rFonts w:ascii="Times New Roman" w:eastAsia="方正黑体_GBK"/>
                <w:color w:val="000000"/>
                <w:spacing w:val="-2"/>
                <w:szCs w:val="21"/>
              </w:rPr>
            </w:pPr>
            <w:r>
              <w:rPr>
                <w:rFonts w:hint="eastAsia" w:ascii="Times New Roman" w:eastAsia="方正黑体_GBK"/>
                <w:color w:val="000000"/>
                <w:spacing w:val="-2"/>
                <w:szCs w:val="21"/>
              </w:rPr>
              <w:t>序号</w:t>
            </w:r>
          </w:p>
        </w:tc>
        <w:tc>
          <w:tcPr>
            <w:tcW w:w="7479" w:type="dxa"/>
            <w:tcBorders>
              <w:top w:val="single" w:color="auto" w:sz="8" w:space="0"/>
              <w:left w:val="single" w:color="auto" w:sz="4" w:space="0"/>
              <w:bottom w:val="single" w:color="auto" w:sz="4" w:space="0"/>
              <w:right w:val="single" w:color="auto" w:sz="4" w:space="0"/>
            </w:tcBorders>
            <w:noWrap w:val="0"/>
            <w:vAlign w:val="center"/>
          </w:tcPr>
          <w:p>
            <w:pPr>
              <w:spacing w:line="240" w:lineRule="exact"/>
              <w:jc w:val="center"/>
              <w:rPr>
                <w:rFonts w:ascii="Times New Roman" w:eastAsia="方正黑体_GBK"/>
                <w:color w:val="000000"/>
                <w:spacing w:val="-2"/>
                <w:szCs w:val="21"/>
              </w:rPr>
            </w:pPr>
            <w:r>
              <w:rPr>
                <w:rFonts w:hint="eastAsia" w:ascii="Times New Roman" w:eastAsia="方正黑体_GBK"/>
                <w:color w:val="000000"/>
                <w:spacing w:val="-2"/>
                <w:szCs w:val="21"/>
              </w:rPr>
              <w:t>不良行为具体内容</w:t>
            </w:r>
          </w:p>
        </w:tc>
        <w:tc>
          <w:tcPr>
            <w:tcW w:w="870" w:type="dxa"/>
            <w:tcBorders>
              <w:top w:val="single" w:color="auto" w:sz="8" w:space="0"/>
              <w:left w:val="single" w:color="auto" w:sz="4" w:space="0"/>
              <w:bottom w:val="single" w:color="auto" w:sz="4" w:space="0"/>
              <w:right w:val="single" w:color="auto" w:sz="8" w:space="0"/>
            </w:tcBorders>
            <w:noWrap w:val="0"/>
            <w:vAlign w:val="center"/>
          </w:tcPr>
          <w:p>
            <w:pPr>
              <w:spacing w:line="240" w:lineRule="exact"/>
              <w:jc w:val="center"/>
              <w:rPr>
                <w:rFonts w:ascii="Times New Roman" w:eastAsia="方正黑体_GBK"/>
                <w:color w:val="000000"/>
                <w:spacing w:val="-2"/>
                <w:szCs w:val="21"/>
              </w:rPr>
            </w:pPr>
            <w:r>
              <w:rPr>
                <w:rFonts w:hint="eastAsia" w:ascii="Times New Roman" w:eastAsia="方正黑体_GBK"/>
                <w:color w:val="000000"/>
                <w:spacing w:val="-2"/>
                <w:szCs w:val="21"/>
              </w:rPr>
              <w:t>不良行为类型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457" w:type="dxa"/>
            <w:tcBorders>
              <w:top w:val="single" w:color="auto" w:sz="4" w:space="0"/>
              <w:left w:val="single" w:color="auto" w:sz="8"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1</w:t>
            </w:r>
          </w:p>
        </w:tc>
        <w:tc>
          <w:tcPr>
            <w:tcW w:w="747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因监理人员责任造成利害关系人严重经济损失的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457" w:type="dxa"/>
            <w:tcBorders>
              <w:top w:val="single" w:color="auto" w:sz="4" w:space="0"/>
              <w:left w:val="single" w:color="auto" w:sz="8"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2</w:t>
            </w:r>
          </w:p>
        </w:tc>
        <w:tc>
          <w:tcPr>
            <w:tcW w:w="747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因监理人员责任造成重大事故的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7" w:hRule="atLeast"/>
        </w:trPr>
        <w:tc>
          <w:tcPr>
            <w:tcW w:w="457" w:type="dxa"/>
            <w:tcBorders>
              <w:top w:val="single" w:color="auto" w:sz="4" w:space="0"/>
              <w:left w:val="single" w:color="auto" w:sz="8"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3</w:t>
            </w:r>
          </w:p>
        </w:tc>
        <w:tc>
          <w:tcPr>
            <w:tcW w:w="747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监理工程师（监理员）在施工、设备制造、材料（构配件）供应单位兼职，或是施工企业、设备制造、材料（构配件）供应单位的合伙经营者的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457" w:type="dxa"/>
            <w:tcBorders>
              <w:top w:val="single" w:color="auto" w:sz="4" w:space="0"/>
              <w:left w:val="single" w:color="auto" w:sz="8"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4</w:t>
            </w:r>
          </w:p>
        </w:tc>
        <w:tc>
          <w:tcPr>
            <w:tcW w:w="747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超越已取得的从业资格从事监理工作的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457" w:type="dxa"/>
            <w:tcBorders>
              <w:top w:val="single" w:color="auto" w:sz="4" w:space="0"/>
              <w:left w:val="single" w:color="auto" w:sz="8"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5</w:t>
            </w:r>
          </w:p>
        </w:tc>
        <w:tc>
          <w:tcPr>
            <w:tcW w:w="747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已经注册的监理工程师，以个人名义私自承接监理业务的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457" w:type="dxa"/>
            <w:tcBorders>
              <w:top w:val="single" w:color="auto" w:sz="4" w:space="0"/>
              <w:left w:val="single" w:color="auto" w:sz="8"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6</w:t>
            </w:r>
          </w:p>
        </w:tc>
        <w:tc>
          <w:tcPr>
            <w:tcW w:w="747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以虚设、挂靠及其他不正当手段取得监理人员证书的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457" w:type="dxa"/>
            <w:tcBorders>
              <w:top w:val="single" w:color="auto" w:sz="4" w:space="0"/>
              <w:left w:val="single" w:color="auto" w:sz="8"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7</w:t>
            </w:r>
          </w:p>
        </w:tc>
        <w:tc>
          <w:tcPr>
            <w:tcW w:w="747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监理工程师（监理员）同时在两个及以上的监理企业从事监理工作的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457" w:type="dxa"/>
            <w:tcBorders>
              <w:top w:val="single" w:color="auto" w:sz="4" w:space="0"/>
              <w:left w:val="single" w:color="auto" w:sz="8"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8</w:t>
            </w:r>
          </w:p>
        </w:tc>
        <w:tc>
          <w:tcPr>
            <w:tcW w:w="747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出卖、出借、转让、涂改</w:t>
            </w:r>
            <w:r>
              <w:rPr>
                <w:rFonts w:eastAsia="方正仿宋_GBK"/>
                <w:color w:val="000000"/>
                <w:spacing w:val="-2"/>
                <w:szCs w:val="21"/>
              </w:rPr>
              <w:t>“</w:t>
            </w:r>
            <w:r>
              <w:rPr>
                <w:rFonts w:hint="eastAsia" w:eastAsia="方正仿宋_GBK"/>
                <w:color w:val="000000"/>
                <w:spacing w:val="-2"/>
                <w:szCs w:val="21"/>
              </w:rPr>
              <w:t>监理工程师（监理员）证书</w:t>
            </w:r>
            <w:r>
              <w:rPr>
                <w:rFonts w:eastAsia="方正仿宋_GBK"/>
                <w:color w:val="000000"/>
                <w:spacing w:val="-2"/>
                <w:szCs w:val="21"/>
              </w:rPr>
              <w:t>”</w:t>
            </w:r>
            <w:r>
              <w:rPr>
                <w:rFonts w:hint="eastAsia" w:eastAsia="方正仿宋_GBK"/>
                <w:color w:val="000000"/>
                <w:spacing w:val="-2"/>
                <w:szCs w:val="21"/>
              </w:rPr>
              <w:t>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457" w:type="dxa"/>
            <w:tcBorders>
              <w:top w:val="single" w:color="auto" w:sz="4" w:space="0"/>
              <w:left w:val="single" w:color="auto" w:sz="8"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9</w:t>
            </w:r>
          </w:p>
        </w:tc>
        <w:tc>
          <w:tcPr>
            <w:tcW w:w="747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总监同时担任</w:t>
            </w:r>
            <w:r>
              <w:rPr>
                <w:rFonts w:eastAsia="方正仿宋_GBK"/>
                <w:color w:val="000000"/>
                <w:spacing w:val="-2"/>
                <w:szCs w:val="21"/>
              </w:rPr>
              <w:t>3</w:t>
            </w:r>
            <w:r>
              <w:rPr>
                <w:rFonts w:hint="eastAsia" w:eastAsia="方正仿宋_GBK"/>
                <w:color w:val="000000"/>
                <w:spacing w:val="-2"/>
                <w:szCs w:val="21"/>
              </w:rPr>
              <w:t>个以上（不含</w:t>
            </w:r>
            <w:r>
              <w:rPr>
                <w:rFonts w:eastAsia="方正仿宋_GBK"/>
                <w:color w:val="000000"/>
                <w:spacing w:val="-2"/>
                <w:szCs w:val="21"/>
              </w:rPr>
              <w:t>3</w:t>
            </w:r>
            <w:r>
              <w:rPr>
                <w:rFonts w:hint="eastAsia" w:eastAsia="方正仿宋_GBK"/>
                <w:color w:val="000000"/>
                <w:spacing w:val="-2"/>
                <w:szCs w:val="21"/>
              </w:rPr>
              <w:t>个）项目总监理工程师的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B</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457" w:type="dxa"/>
            <w:tcBorders>
              <w:top w:val="single" w:color="auto" w:sz="4" w:space="0"/>
              <w:left w:val="single" w:color="auto" w:sz="8"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10</w:t>
            </w:r>
          </w:p>
        </w:tc>
        <w:tc>
          <w:tcPr>
            <w:tcW w:w="747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监理人员未按规定佩带监理标志，未持证挂牌上岗的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C</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457" w:type="dxa"/>
            <w:tcBorders>
              <w:top w:val="single" w:color="auto" w:sz="4" w:space="0"/>
              <w:left w:val="single" w:color="auto" w:sz="8"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11</w:t>
            </w:r>
          </w:p>
        </w:tc>
        <w:tc>
          <w:tcPr>
            <w:tcW w:w="747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监理人员有吃、拿、卡、要行为的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457" w:type="dxa"/>
            <w:tcBorders>
              <w:top w:val="single" w:color="auto" w:sz="4" w:space="0"/>
              <w:left w:val="single" w:color="auto" w:sz="8"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12</w:t>
            </w:r>
          </w:p>
        </w:tc>
        <w:tc>
          <w:tcPr>
            <w:tcW w:w="747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总监一年内变更超过两次的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C</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457" w:type="dxa"/>
            <w:tcBorders>
              <w:top w:val="single" w:color="auto" w:sz="4" w:space="0"/>
              <w:left w:val="single" w:color="auto" w:sz="8"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13</w:t>
            </w:r>
          </w:p>
        </w:tc>
        <w:tc>
          <w:tcPr>
            <w:tcW w:w="747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bCs/>
                <w:color w:val="000000"/>
                <w:spacing w:val="-2"/>
                <w:szCs w:val="21"/>
              </w:rPr>
            </w:pPr>
            <w:r>
              <w:rPr>
                <w:rFonts w:hint="eastAsia" w:eastAsia="方正仿宋_GBK"/>
                <w:color w:val="000000"/>
                <w:spacing w:val="-2"/>
                <w:szCs w:val="21"/>
              </w:rPr>
              <w:t>监理人员变更单位后，在未办妥有关手续前从业的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B</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457" w:type="dxa"/>
            <w:tcBorders>
              <w:top w:val="single" w:color="auto" w:sz="4" w:space="0"/>
              <w:left w:val="single" w:color="auto" w:sz="8"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14</w:t>
            </w:r>
          </w:p>
        </w:tc>
        <w:tc>
          <w:tcPr>
            <w:tcW w:w="747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专项施工方案总监未签字的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B</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457" w:type="dxa"/>
            <w:tcBorders>
              <w:top w:val="single" w:color="auto" w:sz="4" w:space="0"/>
              <w:left w:val="single" w:color="auto" w:sz="8"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15</w:t>
            </w:r>
          </w:p>
        </w:tc>
        <w:tc>
          <w:tcPr>
            <w:tcW w:w="747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发现安全事故隐患总监未及时要求施工企业整改或者暂时停止施工的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C</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510" w:hRule="atLeast"/>
        </w:trPr>
        <w:tc>
          <w:tcPr>
            <w:tcW w:w="457" w:type="dxa"/>
            <w:tcBorders>
              <w:top w:val="single" w:color="auto" w:sz="4" w:space="0"/>
              <w:left w:val="single" w:color="auto" w:sz="8"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16</w:t>
            </w:r>
          </w:p>
        </w:tc>
        <w:tc>
          <w:tcPr>
            <w:tcW w:w="747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color w:val="000000"/>
                <w:spacing w:val="-2"/>
                <w:szCs w:val="21"/>
              </w:rPr>
            </w:pPr>
            <w:r>
              <w:rPr>
                <w:rFonts w:hint="eastAsia" w:eastAsia="方正仿宋_GBK"/>
                <w:color w:val="000000"/>
                <w:spacing w:val="-2"/>
                <w:szCs w:val="21"/>
              </w:rPr>
              <w:t>施工企业拒不整改或者不停止施工，总监未及时向监理企业书面报告的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B</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36" w:hRule="atLeast"/>
        </w:trPr>
        <w:tc>
          <w:tcPr>
            <w:tcW w:w="457" w:type="dxa"/>
            <w:tcBorders>
              <w:top w:val="single" w:color="auto" w:sz="4" w:space="0"/>
              <w:left w:val="single" w:color="auto" w:sz="8"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17</w:t>
            </w:r>
          </w:p>
        </w:tc>
        <w:tc>
          <w:tcPr>
            <w:tcW w:w="747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bCs/>
                <w:color w:val="000000"/>
                <w:spacing w:val="-2"/>
                <w:szCs w:val="21"/>
              </w:rPr>
            </w:pPr>
            <w:r>
              <w:rPr>
                <w:rFonts w:hint="eastAsia" w:eastAsia="方正仿宋_GBK"/>
                <w:bCs/>
                <w:color w:val="000000"/>
                <w:spacing w:val="-2"/>
                <w:szCs w:val="21"/>
              </w:rPr>
              <w:t>施工企业在工程项目上的安全生产规章制度和安全监管机构建立以及专职安全生产管理人员配备情况不符合要求，总监同意工程开工的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57" w:type="dxa"/>
            <w:tcBorders>
              <w:top w:val="single" w:color="auto" w:sz="4" w:space="0"/>
              <w:left w:val="single" w:color="auto" w:sz="8"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18</w:t>
            </w:r>
          </w:p>
        </w:tc>
        <w:tc>
          <w:tcPr>
            <w:tcW w:w="747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bCs/>
                <w:color w:val="000000"/>
                <w:spacing w:val="-2"/>
                <w:szCs w:val="21"/>
              </w:rPr>
            </w:pPr>
            <w:r>
              <w:rPr>
                <w:rFonts w:hint="eastAsia" w:eastAsia="方正仿宋_GBK"/>
                <w:bCs/>
                <w:color w:val="000000"/>
                <w:spacing w:val="-2"/>
                <w:szCs w:val="21"/>
              </w:rPr>
              <w:t>未按规定签署工程质量验收意见，或者降低验收标准、出具虚假验收意见的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57" w:type="dxa"/>
            <w:tcBorders>
              <w:top w:val="single" w:color="auto" w:sz="4" w:space="0"/>
              <w:left w:val="single" w:color="auto" w:sz="8" w:space="0"/>
              <w:bottom w:val="single" w:color="auto" w:sz="4"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19</w:t>
            </w:r>
          </w:p>
        </w:tc>
        <w:tc>
          <w:tcPr>
            <w:tcW w:w="747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eastAsia="方正仿宋_GBK"/>
                <w:bCs/>
                <w:color w:val="000000"/>
                <w:spacing w:val="-2"/>
                <w:szCs w:val="21"/>
              </w:rPr>
            </w:pPr>
            <w:r>
              <w:rPr>
                <w:rFonts w:hint="eastAsia" w:eastAsia="方正仿宋_GBK"/>
                <w:bCs/>
                <w:color w:val="000000"/>
                <w:spacing w:val="-2"/>
                <w:szCs w:val="21"/>
              </w:rPr>
              <w:t>未按规定和标准组织工程质量验收的</w:t>
            </w:r>
          </w:p>
        </w:tc>
        <w:tc>
          <w:tcPr>
            <w:tcW w:w="87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B</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57" w:type="dxa"/>
            <w:tcBorders>
              <w:top w:val="single" w:color="auto" w:sz="4" w:space="0"/>
              <w:left w:val="single" w:color="auto" w:sz="8" w:space="0"/>
              <w:bottom w:val="single" w:color="auto" w:sz="8" w:space="0"/>
              <w:right w:val="single" w:color="auto" w:sz="4"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20</w:t>
            </w:r>
          </w:p>
        </w:tc>
        <w:tc>
          <w:tcPr>
            <w:tcW w:w="7479" w:type="dxa"/>
            <w:tcBorders>
              <w:top w:val="single" w:color="auto" w:sz="4" w:space="0"/>
              <w:left w:val="single" w:color="auto" w:sz="4" w:space="0"/>
              <w:bottom w:val="single" w:color="auto" w:sz="8" w:space="0"/>
              <w:right w:val="single" w:color="auto" w:sz="4" w:space="0"/>
            </w:tcBorders>
            <w:noWrap w:val="0"/>
            <w:vAlign w:val="center"/>
          </w:tcPr>
          <w:p>
            <w:pPr>
              <w:spacing w:line="360" w:lineRule="exact"/>
              <w:rPr>
                <w:rFonts w:eastAsia="方正仿宋_GBK"/>
                <w:bCs/>
                <w:color w:val="000000"/>
                <w:spacing w:val="-2"/>
                <w:szCs w:val="21"/>
              </w:rPr>
            </w:pPr>
            <w:r>
              <w:rPr>
                <w:rFonts w:hint="eastAsia" w:eastAsia="方正仿宋_GBK"/>
                <w:bCs/>
                <w:color w:val="000000"/>
                <w:spacing w:val="-2"/>
                <w:szCs w:val="21"/>
              </w:rPr>
              <w:t>监理人员未按规定参加继续教育学习的</w:t>
            </w:r>
          </w:p>
        </w:tc>
        <w:tc>
          <w:tcPr>
            <w:tcW w:w="870" w:type="dxa"/>
            <w:tcBorders>
              <w:top w:val="single" w:color="auto" w:sz="4" w:space="0"/>
              <w:left w:val="single" w:color="auto" w:sz="4" w:space="0"/>
              <w:bottom w:val="single" w:color="auto" w:sz="8" w:space="0"/>
              <w:right w:val="single" w:color="auto" w:sz="8" w:space="0"/>
            </w:tcBorders>
            <w:noWrap w:val="0"/>
            <w:vAlign w:val="center"/>
          </w:tcPr>
          <w:p>
            <w:pPr>
              <w:spacing w:line="360" w:lineRule="exact"/>
              <w:jc w:val="center"/>
              <w:rPr>
                <w:rFonts w:eastAsia="方正仿宋_GBK"/>
                <w:color w:val="000000"/>
                <w:spacing w:val="-2"/>
                <w:szCs w:val="21"/>
              </w:rPr>
            </w:pPr>
            <w:r>
              <w:rPr>
                <w:rFonts w:eastAsia="方正仿宋_GBK"/>
                <w:color w:val="000000"/>
                <w:spacing w:val="-2"/>
                <w:szCs w:val="21"/>
              </w:rPr>
              <w:t>B</w:t>
            </w:r>
          </w:p>
        </w:tc>
      </w:tr>
    </w:tbl>
    <w:p>
      <w:pPr>
        <w:rPr>
          <w:rFonts w:hint="eastAsia"/>
        </w:rPr>
      </w:pPr>
    </w:p>
    <w:p/>
    <w:p>
      <w:pPr>
        <w:pStyle w:val="2"/>
        <w:spacing w:before="240" w:beforeLines="100" w:after="240" w:afterLines="100" w:line="240" w:lineRule="auto"/>
        <w:jc w:val="center"/>
        <w:rPr>
          <w:rFonts w:ascii="Times New Roman" w:eastAsia="方正小标宋_GBK"/>
          <w:b w:val="0"/>
          <w:sz w:val="36"/>
          <w:szCs w:val="36"/>
        </w:rPr>
      </w:pPr>
      <w:bookmarkStart w:id="434" w:name="_Toc18315797"/>
      <w:bookmarkStart w:id="435" w:name="_Toc20726656"/>
      <w:r>
        <w:rPr>
          <w:rFonts w:hint="eastAsia" w:ascii="Times New Roman" w:eastAsia="方正小标宋_GBK"/>
          <w:b w:val="0"/>
          <w:sz w:val="36"/>
          <w:szCs w:val="36"/>
        </w:rPr>
        <w:t>关于印发《江苏省二级建造师注册实施办法》的通知</w:t>
      </w:r>
      <w:bookmarkEnd w:id="434"/>
      <w:bookmarkEnd w:id="435"/>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436" w:name="_Toc18315798"/>
      <w:bookmarkStart w:id="437" w:name="_Toc20726657"/>
      <w:r>
        <w:rPr>
          <w:rFonts w:hint="eastAsia" w:ascii="Times New Roman" w:hAnsi="Times New Roman" w:eastAsia="方正楷体_GBK"/>
          <w:b w:val="0"/>
          <w:sz w:val="24"/>
          <w:szCs w:val="24"/>
        </w:rPr>
        <w:t>苏建管企〔</w:t>
      </w:r>
      <w:r>
        <w:rPr>
          <w:rFonts w:ascii="Times New Roman" w:hAnsi="Times New Roman" w:eastAsia="方正楷体_GBK"/>
          <w:b w:val="0"/>
          <w:sz w:val="24"/>
          <w:szCs w:val="24"/>
        </w:rPr>
        <w:t>2007</w:t>
      </w:r>
      <w:r>
        <w:rPr>
          <w:rFonts w:hint="eastAsia" w:ascii="Times New Roman" w:hAnsi="Times New Roman" w:eastAsia="方正楷体_GBK"/>
          <w:b w:val="0"/>
          <w:sz w:val="24"/>
          <w:szCs w:val="24"/>
        </w:rPr>
        <w:t>〕</w:t>
      </w:r>
      <w:r>
        <w:rPr>
          <w:rFonts w:ascii="Times New Roman" w:hAnsi="Times New Roman" w:eastAsia="方正楷体_GBK"/>
          <w:b w:val="0"/>
          <w:sz w:val="24"/>
          <w:szCs w:val="24"/>
        </w:rPr>
        <w:t xml:space="preserve">22 </w:t>
      </w:r>
      <w:r>
        <w:rPr>
          <w:rFonts w:hint="eastAsia" w:ascii="Times New Roman" w:hAnsi="Times New Roman" w:eastAsia="方正楷体_GBK"/>
          <w:b w:val="0"/>
          <w:sz w:val="24"/>
          <w:szCs w:val="24"/>
        </w:rPr>
        <w:t>号</w:t>
      </w:r>
      <w:bookmarkEnd w:id="436"/>
      <w:bookmarkEnd w:id="437"/>
    </w:p>
    <w:p>
      <w:pPr>
        <w:spacing w:line="460" w:lineRule="exact"/>
        <w:rPr>
          <w:rFonts w:eastAsia="方正仿宋_GBK"/>
          <w:color w:val="000000"/>
          <w:spacing w:val="-2"/>
          <w:kern w:val="0"/>
          <w:sz w:val="24"/>
        </w:rPr>
      </w:pPr>
      <w:r>
        <w:rPr>
          <w:rFonts w:hint="eastAsia" w:eastAsia="方正仿宋_GBK"/>
          <w:color w:val="000000"/>
          <w:spacing w:val="-2"/>
          <w:kern w:val="0"/>
          <w:sz w:val="24"/>
        </w:rPr>
        <w:t>各设区市建设局（委）、建工局，苏州工业园区规划建设局，省有关厅局，省属企业，中央驻苏企业：</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根据《注册建造师管理规定》（建设部令第</w:t>
      </w:r>
      <w:r>
        <w:rPr>
          <w:rFonts w:eastAsia="方正仿宋_GBK"/>
          <w:color w:val="000000"/>
          <w:spacing w:val="-2"/>
          <w:kern w:val="0"/>
          <w:sz w:val="24"/>
        </w:rPr>
        <w:t>153</w:t>
      </w:r>
      <w:r>
        <w:rPr>
          <w:rFonts w:hint="eastAsia" w:eastAsia="方正仿宋_GBK"/>
          <w:color w:val="000000"/>
          <w:spacing w:val="-2"/>
          <w:kern w:val="0"/>
          <w:sz w:val="24"/>
        </w:rPr>
        <w:t>号），结合我省实际，我局制定了《江苏省二级建造师注册实施办法》，现印发给你们，请遵照执行。执行过程中有何问题，请与我厅市场监管处联系。</w:t>
      </w:r>
    </w:p>
    <w:p>
      <w:pPr>
        <w:spacing w:line="460" w:lineRule="exact"/>
        <w:ind w:firstLine="472" w:firstLineChars="200"/>
        <w:rPr>
          <w:rFonts w:eastAsia="方正仿宋_GBK"/>
          <w:color w:val="000000"/>
          <w:spacing w:val="-2"/>
          <w:kern w:val="0"/>
          <w:sz w:val="24"/>
        </w:rPr>
      </w:pP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附件：江苏省二级建造师注册实施办法</w:t>
      </w:r>
    </w:p>
    <w:p>
      <w:pPr>
        <w:spacing w:line="460" w:lineRule="exact"/>
        <w:rPr>
          <w:rFonts w:eastAsia="方正仿宋_GBK"/>
          <w:color w:val="000000"/>
          <w:spacing w:val="-2"/>
          <w:sz w:val="24"/>
        </w:rPr>
      </w:pPr>
    </w:p>
    <w:p>
      <w:pPr>
        <w:spacing w:line="460" w:lineRule="exact"/>
        <w:ind w:firstLine="1770" w:firstLineChars="750"/>
        <w:rPr>
          <w:rFonts w:eastAsia="方正仿宋_GBK"/>
          <w:color w:val="000000"/>
          <w:spacing w:val="-2"/>
          <w:sz w:val="24"/>
        </w:rPr>
      </w:pPr>
      <w:r>
        <w:rPr>
          <w:rFonts w:eastAsia="方正仿宋_GBK"/>
          <w:color w:val="000000"/>
          <w:spacing w:val="-2"/>
          <w:sz w:val="24"/>
        </w:rPr>
        <w:t xml:space="preserve">                                   </w:t>
      </w:r>
      <w:r>
        <w:rPr>
          <w:rFonts w:hint="eastAsia" w:eastAsia="方正仿宋_GBK"/>
          <w:color w:val="000000"/>
          <w:spacing w:val="-2"/>
          <w:sz w:val="24"/>
        </w:rPr>
        <w:t>江苏省建筑工程管理局</w:t>
      </w:r>
      <w:r>
        <w:rPr>
          <w:rFonts w:eastAsia="方正仿宋_GBK"/>
          <w:color w:val="000000"/>
          <w:spacing w:val="-2"/>
          <w:sz w:val="24"/>
        </w:rPr>
        <w:t xml:space="preserve">  </w:t>
      </w:r>
    </w:p>
    <w:p>
      <w:pPr>
        <w:spacing w:line="460" w:lineRule="exact"/>
        <w:ind w:right="458" w:rightChars="218"/>
        <w:jc w:val="right"/>
        <w:rPr>
          <w:rFonts w:eastAsia="方正仿宋_GBK"/>
          <w:b/>
          <w:color w:val="000000"/>
          <w:spacing w:val="-2"/>
          <w:kern w:val="0"/>
          <w:sz w:val="24"/>
        </w:rPr>
      </w:pPr>
      <w:r>
        <w:rPr>
          <w:rFonts w:hint="eastAsia" w:eastAsia="方正仿宋_GBK"/>
          <w:color w:val="000000"/>
          <w:spacing w:val="-2"/>
          <w:kern w:val="0"/>
          <w:sz w:val="24"/>
        </w:rPr>
        <w:t>二〇〇七年五月二十三日</w:t>
      </w:r>
      <w:r>
        <w:rPr>
          <w:rFonts w:eastAsia="方正仿宋_GBK"/>
          <w:color w:val="000000"/>
          <w:spacing w:val="-2"/>
          <w:kern w:val="0"/>
          <w:sz w:val="24"/>
        </w:rPr>
        <w:t xml:space="preserve">    </w:t>
      </w:r>
    </w:p>
    <w:p>
      <w:pPr>
        <w:spacing w:line="460" w:lineRule="exact"/>
        <w:rPr>
          <w:rFonts w:eastAsia="方正仿宋_GBK"/>
          <w:b/>
          <w:bCs/>
          <w:color w:val="000000"/>
          <w:spacing w:val="-2"/>
          <w:kern w:val="0"/>
          <w:sz w:val="24"/>
        </w:rPr>
      </w:pPr>
    </w:p>
    <w:p>
      <w:pPr>
        <w:spacing w:line="460" w:lineRule="exact"/>
        <w:rPr>
          <w:rFonts w:eastAsia="方正仿宋_GBK"/>
          <w:b/>
          <w:bCs/>
          <w:color w:val="000000"/>
          <w:spacing w:val="-2"/>
          <w:kern w:val="0"/>
          <w:sz w:val="24"/>
        </w:rPr>
      </w:pPr>
    </w:p>
    <w:p>
      <w:pPr>
        <w:spacing w:line="460" w:lineRule="exact"/>
        <w:jc w:val="center"/>
        <w:rPr>
          <w:rFonts w:eastAsia="方正黑体_GBK"/>
          <w:bCs/>
          <w:color w:val="000000"/>
          <w:spacing w:val="-2"/>
          <w:kern w:val="0"/>
          <w:sz w:val="36"/>
          <w:szCs w:val="36"/>
        </w:rPr>
      </w:pPr>
      <w:r>
        <w:rPr>
          <w:rFonts w:hint="eastAsia" w:eastAsia="方正黑体_GBK"/>
          <w:bCs/>
          <w:color w:val="000000"/>
          <w:spacing w:val="-2"/>
          <w:kern w:val="0"/>
          <w:sz w:val="36"/>
          <w:szCs w:val="36"/>
        </w:rPr>
        <w:t>江苏省二级建造师注册实施办法</w:t>
      </w:r>
    </w:p>
    <w:p>
      <w:pPr>
        <w:spacing w:line="460" w:lineRule="exact"/>
        <w:ind w:firstLine="472" w:firstLineChars="200"/>
        <w:rPr>
          <w:rFonts w:eastAsia="方正仿宋_GBK"/>
          <w:color w:val="000000"/>
          <w:spacing w:val="-2"/>
          <w:kern w:val="0"/>
          <w:sz w:val="24"/>
        </w:rPr>
      </w:pPr>
    </w:p>
    <w:p>
      <w:pPr>
        <w:spacing w:line="440" w:lineRule="exact"/>
        <w:ind w:firstLine="472" w:firstLineChars="200"/>
        <w:rPr>
          <w:rFonts w:eastAsia="方正黑体_GBK"/>
          <w:color w:val="000000"/>
          <w:spacing w:val="-2"/>
          <w:kern w:val="0"/>
          <w:sz w:val="24"/>
        </w:rPr>
      </w:pPr>
      <w:r>
        <w:rPr>
          <w:rFonts w:hint="eastAsia" w:eastAsia="方正黑体_GBK"/>
          <w:color w:val="000000"/>
          <w:spacing w:val="-2"/>
          <w:kern w:val="0"/>
          <w:sz w:val="24"/>
        </w:rPr>
        <w:t>一、注册管理体制</w:t>
      </w:r>
    </w:p>
    <w:p>
      <w:pPr>
        <w:spacing w:line="440" w:lineRule="exact"/>
        <w:ind w:firstLine="472" w:firstLineChars="200"/>
        <w:rPr>
          <w:rFonts w:eastAsia="方正仿宋_GBK"/>
          <w:color w:val="000000"/>
          <w:spacing w:val="-2"/>
          <w:kern w:val="0"/>
          <w:sz w:val="24"/>
        </w:rPr>
      </w:pPr>
      <w:r>
        <w:rPr>
          <w:rFonts w:hint="eastAsia" w:eastAsia="方正黑体_GBK"/>
          <w:color w:val="000000"/>
          <w:spacing w:val="-2"/>
          <w:kern w:val="0"/>
          <w:sz w:val="24"/>
        </w:rPr>
        <w:t>第一条</w:t>
      </w:r>
      <w:r>
        <w:rPr>
          <w:rFonts w:eastAsia="方正仿宋_GBK"/>
          <w:b/>
          <w:color w:val="000000"/>
          <w:spacing w:val="-2"/>
          <w:kern w:val="0"/>
          <w:sz w:val="24"/>
        </w:rPr>
        <w:t xml:space="preserve">  </w:t>
      </w:r>
      <w:r>
        <w:rPr>
          <w:rFonts w:hint="eastAsia" w:eastAsia="方正仿宋_GBK"/>
          <w:color w:val="000000"/>
          <w:spacing w:val="-2"/>
          <w:kern w:val="0"/>
          <w:sz w:val="24"/>
        </w:rPr>
        <w:t>为规范二级建造师注册管理工作，依据《行政许可法》、《注册建造师管理规定》（建设部令第</w:t>
      </w:r>
      <w:r>
        <w:rPr>
          <w:rFonts w:eastAsia="方正仿宋_GBK"/>
          <w:color w:val="000000"/>
          <w:spacing w:val="-2"/>
          <w:kern w:val="0"/>
          <w:sz w:val="24"/>
        </w:rPr>
        <w:t>153</w:t>
      </w:r>
      <w:r>
        <w:rPr>
          <w:rFonts w:hint="eastAsia" w:eastAsia="方正仿宋_GBK"/>
          <w:color w:val="000000"/>
          <w:spacing w:val="-2"/>
          <w:kern w:val="0"/>
          <w:sz w:val="24"/>
        </w:rPr>
        <w:t>号）和相关法律法规，参照建设部《一级建造师注册实施办法》（建市</w:t>
      </w:r>
      <w:r>
        <w:rPr>
          <w:rFonts w:hint="eastAsia" w:eastAsia="方正仿宋_GBK"/>
          <w:bCs/>
          <w:color w:val="000000"/>
          <w:spacing w:val="-2"/>
          <w:kern w:val="0"/>
          <w:sz w:val="24"/>
        </w:rPr>
        <w:t>〔</w:t>
      </w:r>
      <w:r>
        <w:rPr>
          <w:rFonts w:eastAsia="方正仿宋_GBK"/>
          <w:bCs/>
          <w:color w:val="000000"/>
          <w:spacing w:val="-2"/>
          <w:kern w:val="0"/>
          <w:sz w:val="24"/>
        </w:rPr>
        <w:t>2007</w:t>
      </w:r>
      <w:r>
        <w:rPr>
          <w:rFonts w:hint="eastAsia" w:eastAsia="方正仿宋_GBK"/>
          <w:bCs/>
          <w:color w:val="000000"/>
          <w:spacing w:val="-2"/>
          <w:kern w:val="0"/>
          <w:sz w:val="24"/>
        </w:rPr>
        <w:t>〕</w:t>
      </w:r>
      <w:r>
        <w:rPr>
          <w:rFonts w:eastAsia="方正仿宋_GBK"/>
          <w:color w:val="000000"/>
          <w:spacing w:val="-2"/>
          <w:kern w:val="0"/>
          <w:sz w:val="24"/>
        </w:rPr>
        <w:t>101</w:t>
      </w:r>
      <w:r>
        <w:rPr>
          <w:rFonts w:hint="eastAsia" w:eastAsia="方正仿宋_GBK"/>
          <w:color w:val="000000"/>
          <w:spacing w:val="-2"/>
          <w:kern w:val="0"/>
          <w:sz w:val="24"/>
        </w:rPr>
        <w:t>号），结合我省实际，制定本实施办法。</w:t>
      </w:r>
    </w:p>
    <w:p>
      <w:pPr>
        <w:spacing w:line="440" w:lineRule="exact"/>
        <w:ind w:firstLine="472" w:firstLineChars="200"/>
        <w:rPr>
          <w:rFonts w:eastAsia="方正仿宋_GBK"/>
          <w:color w:val="000000"/>
          <w:spacing w:val="-2"/>
          <w:kern w:val="0"/>
          <w:sz w:val="24"/>
        </w:rPr>
      </w:pPr>
      <w:r>
        <w:rPr>
          <w:rFonts w:hint="eastAsia" w:eastAsia="方正黑体_GBK"/>
          <w:color w:val="000000"/>
          <w:spacing w:val="-2"/>
          <w:kern w:val="0"/>
          <w:sz w:val="24"/>
        </w:rPr>
        <w:t>第二条</w:t>
      </w:r>
      <w:r>
        <w:rPr>
          <w:rFonts w:eastAsia="方正仿宋_GBK"/>
          <w:b/>
          <w:color w:val="000000"/>
          <w:spacing w:val="-2"/>
          <w:kern w:val="0"/>
          <w:sz w:val="24"/>
        </w:rPr>
        <w:t xml:space="preserve">  </w:t>
      </w:r>
      <w:r>
        <w:rPr>
          <w:rFonts w:hint="eastAsia" w:eastAsia="方正仿宋_GBK"/>
          <w:color w:val="000000"/>
          <w:spacing w:val="-2"/>
          <w:kern w:val="0"/>
          <w:sz w:val="24"/>
        </w:rPr>
        <w:t>本省行政区域内二级建造师注册管理适用本实施办法。</w:t>
      </w:r>
    </w:p>
    <w:p>
      <w:pPr>
        <w:spacing w:line="440" w:lineRule="exact"/>
        <w:ind w:firstLine="472" w:firstLineChars="200"/>
        <w:rPr>
          <w:rFonts w:eastAsia="方正仿宋_GBK"/>
          <w:color w:val="000000"/>
          <w:spacing w:val="-2"/>
          <w:kern w:val="0"/>
          <w:sz w:val="24"/>
        </w:rPr>
      </w:pPr>
      <w:r>
        <w:rPr>
          <w:rFonts w:hint="eastAsia" w:eastAsia="方正黑体_GBK"/>
          <w:color w:val="000000"/>
          <w:spacing w:val="-2"/>
          <w:kern w:val="0"/>
          <w:sz w:val="24"/>
        </w:rPr>
        <w:t>第三条</w:t>
      </w:r>
      <w:r>
        <w:rPr>
          <w:rFonts w:eastAsia="方正仿宋_GBK"/>
          <w:b/>
          <w:color w:val="000000"/>
          <w:spacing w:val="-2"/>
          <w:kern w:val="0"/>
          <w:sz w:val="24"/>
        </w:rPr>
        <w:t xml:space="preserve">  </w:t>
      </w:r>
      <w:r>
        <w:rPr>
          <w:rFonts w:hint="eastAsia" w:eastAsia="方正仿宋_GBK"/>
          <w:b/>
          <w:color w:val="000000"/>
          <w:spacing w:val="-2"/>
          <w:kern w:val="0"/>
          <w:sz w:val="24"/>
        </w:rPr>
        <w:t>江苏省住房和城乡建设厅</w:t>
      </w:r>
      <w:r>
        <w:rPr>
          <w:rFonts w:hint="eastAsia" w:eastAsia="方正仿宋_GBK"/>
          <w:color w:val="000000"/>
          <w:spacing w:val="-2"/>
          <w:kern w:val="0"/>
          <w:sz w:val="24"/>
        </w:rPr>
        <w:t>为二级建造师注册机关，负责二级建造师注册审批工作。</w:t>
      </w:r>
    </w:p>
    <w:p>
      <w:pPr>
        <w:spacing w:line="440" w:lineRule="exact"/>
        <w:ind w:firstLine="472" w:firstLineChars="200"/>
        <w:rPr>
          <w:rFonts w:eastAsia="方正黑体_GBK"/>
          <w:color w:val="000000"/>
          <w:spacing w:val="-2"/>
          <w:kern w:val="0"/>
          <w:sz w:val="24"/>
        </w:rPr>
      </w:pPr>
      <w:r>
        <w:rPr>
          <w:rFonts w:hint="eastAsia" w:eastAsia="方正黑体_GBK"/>
          <w:color w:val="000000"/>
          <w:spacing w:val="-2"/>
          <w:kern w:val="0"/>
          <w:sz w:val="24"/>
        </w:rPr>
        <w:t>二、注册申报程序</w:t>
      </w:r>
    </w:p>
    <w:p>
      <w:pPr>
        <w:spacing w:line="440" w:lineRule="exact"/>
        <w:ind w:firstLine="472" w:firstLineChars="200"/>
        <w:rPr>
          <w:rFonts w:eastAsia="方正仿宋_GBK"/>
          <w:color w:val="000000"/>
          <w:spacing w:val="-2"/>
          <w:kern w:val="0"/>
          <w:sz w:val="24"/>
        </w:rPr>
      </w:pPr>
      <w:r>
        <w:rPr>
          <w:rFonts w:hint="eastAsia" w:eastAsia="方正黑体_GBK"/>
          <w:color w:val="000000"/>
          <w:spacing w:val="-2"/>
          <w:kern w:val="0"/>
          <w:sz w:val="24"/>
        </w:rPr>
        <w:t>第四条</w:t>
      </w:r>
      <w:r>
        <w:rPr>
          <w:rFonts w:eastAsia="方正仿宋_GBK"/>
          <w:b/>
          <w:color w:val="000000"/>
          <w:spacing w:val="-2"/>
          <w:kern w:val="0"/>
          <w:sz w:val="24"/>
        </w:rPr>
        <w:t xml:space="preserve">  </w:t>
      </w:r>
      <w:r>
        <w:rPr>
          <w:rFonts w:hint="eastAsia" w:eastAsia="方正仿宋_GBK"/>
          <w:color w:val="000000"/>
          <w:spacing w:val="-2"/>
          <w:kern w:val="0"/>
          <w:sz w:val="24"/>
        </w:rPr>
        <w:t>申请人申请注册前，应当受聘于一个具有建设工程施工或勘察、设计、监理、招标代理、造价咨询资质的企业，与聘用企业依法签订聘用劳动合同。</w:t>
      </w:r>
    </w:p>
    <w:p>
      <w:pPr>
        <w:spacing w:line="440" w:lineRule="exact"/>
        <w:ind w:firstLine="472" w:firstLineChars="200"/>
        <w:rPr>
          <w:rFonts w:eastAsia="方正仿宋_GBK"/>
          <w:color w:val="000000"/>
          <w:spacing w:val="-2"/>
          <w:kern w:val="0"/>
          <w:sz w:val="24"/>
        </w:rPr>
      </w:pPr>
      <w:r>
        <w:rPr>
          <w:rFonts w:hint="eastAsia" w:eastAsia="方正仿宋_GBK"/>
          <w:color w:val="000000"/>
          <w:spacing w:val="-2"/>
          <w:kern w:val="0"/>
          <w:sz w:val="24"/>
        </w:rPr>
        <w:t>申请人向聘用企业如实提供有关申请材料并对内容真实性负责，通过聘用企业向江苏省住房和城乡建设厅提交注册申请材料。</w:t>
      </w:r>
    </w:p>
    <w:p>
      <w:pPr>
        <w:spacing w:line="440" w:lineRule="exact"/>
        <w:ind w:firstLine="472" w:firstLineChars="200"/>
        <w:rPr>
          <w:rFonts w:eastAsia="方正仿宋_GBK"/>
          <w:color w:val="000000"/>
          <w:spacing w:val="-2"/>
          <w:kern w:val="0"/>
          <w:sz w:val="24"/>
        </w:rPr>
      </w:pPr>
      <w:r>
        <w:rPr>
          <w:rFonts w:hint="eastAsia" w:eastAsia="方正黑体_GBK"/>
          <w:color w:val="000000"/>
          <w:spacing w:val="-2"/>
          <w:kern w:val="0"/>
          <w:sz w:val="24"/>
        </w:rPr>
        <w:t>第五条</w:t>
      </w:r>
      <w:r>
        <w:rPr>
          <w:rFonts w:eastAsia="方正仿宋_GBK"/>
          <w:b/>
          <w:color w:val="000000"/>
          <w:spacing w:val="-2"/>
          <w:kern w:val="0"/>
          <w:sz w:val="24"/>
        </w:rPr>
        <w:t xml:space="preserve">  </w:t>
      </w:r>
      <w:r>
        <w:rPr>
          <w:rFonts w:hint="eastAsia" w:eastAsia="方正仿宋_GBK"/>
          <w:color w:val="000000"/>
          <w:spacing w:val="-2"/>
          <w:kern w:val="0"/>
          <w:sz w:val="24"/>
        </w:rPr>
        <w:t>注册申请实行网上申报方式。申请人所在聘用企业应当在</w:t>
      </w:r>
      <w:r>
        <w:rPr>
          <w:rFonts w:eastAsia="方正仿宋_GBK"/>
          <w:color w:val="000000"/>
          <w:sz w:val="24"/>
        </w:rPr>
        <w:t>“</w:t>
      </w:r>
      <w:r>
        <w:rPr>
          <w:rFonts w:hint="eastAsia" w:eastAsia="方正仿宋_GBK"/>
          <w:color w:val="000000"/>
          <w:sz w:val="24"/>
        </w:rPr>
        <w:t>江苏省建筑业监管信息平台</w:t>
      </w:r>
      <w:r>
        <w:rPr>
          <w:rFonts w:eastAsia="方正仿宋_GBK"/>
          <w:color w:val="000000"/>
          <w:sz w:val="24"/>
        </w:rPr>
        <w:t>2.0”</w:t>
      </w:r>
      <w:r>
        <w:rPr>
          <w:rFonts w:hint="eastAsia" w:eastAsia="方正仿宋_GBK"/>
          <w:color w:val="000000"/>
          <w:sz w:val="24"/>
        </w:rPr>
        <w:t>（网址：</w:t>
      </w:r>
      <w:r>
        <w:rPr>
          <w:rFonts w:eastAsia="方正仿宋_GBK"/>
          <w:color w:val="000000"/>
          <w:sz w:val="24"/>
        </w:rPr>
        <w:t>http://221.226.118.170:8080/</w:t>
      </w:r>
      <w:r>
        <w:rPr>
          <w:rFonts w:hint="eastAsia" w:eastAsia="方正仿宋_GBK"/>
          <w:color w:val="000000"/>
          <w:sz w:val="24"/>
        </w:rPr>
        <w:t>）</w:t>
      </w:r>
      <w:r>
        <w:rPr>
          <w:rFonts w:hint="eastAsia" w:eastAsia="方正仿宋_GBK"/>
          <w:color w:val="000000"/>
          <w:spacing w:val="-2"/>
          <w:kern w:val="0"/>
          <w:sz w:val="24"/>
        </w:rPr>
        <w:t>内进行填报，网上申报成功后自动生成打印所需申请表，并上传至该平台。</w:t>
      </w:r>
    </w:p>
    <w:p>
      <w:pPr>
        <w:spacing w:line="440" w:lineRule="exact"/>
        <w:ind w:firstLine="472" w:firstLineChars="200"/>
        <w:rPr>
          <w:rFonts w:eastAsia="方正仿宋_GBK"/>
          <w:color w:val="000000"/>
          <w:spacing w:val="-2"/>
          <w:kern w:val="0"/>
          <w:sz w:val="24"/>
        </w:rPr>
      </w:pPr>
      <w:r>
        <w:rPr>
          <w:rFonts w:hint="eastAsia" w:eastAsia="方正黑体_GBK"/>
          <w:color w:val="000000"/>
          <w:spacing w:val="-2"/>
          <w:kern w:val="0"/>
          <w:sz w:val="24"/>
        </w:rPr>
        <w:t>第六条</w:t>
      </w:r>
      <w:r>
        <w:rPr>
          <w:rFonts w:eastAsia="方正仿宋_GBK"/>
          <w:color w:val="000000"/>
          <w:spacing w:val="-2"/>
          <w:kern w:val="0"/>
          <w:sz w:val="24"/>
        </w:rPr>
        <w:t xml:space="preserve">  </w:t>
      </w:r>
      <w:r>
        <w:rPr>
          <w:rFonts w:hint="eastAsia" w:eastAsia="方正仿宋_GBK"/>
          <w:color w:val="000000"/>
          <w:spacing w:val="-2"/>
          <w:kern w:val="0"/>
          <w:sz w:val="24"/>
        </w:rPr>
        <w:t>注册申请包括初始注册、延续注册、变更注册、增项注册、注销注册、重新注册和专业注册。</w:t>
      </w:r>
    </w:p>
    <w:p>
      <w:pPr>
        <w:spacing w:line="440" w:lineRule="exact"/>
        <w:ind w:firstLine="472" w:firstLineChars="200"/>
        <w:rPr>
          <w:rFonts w:eastAsia="方正仿宋_GBK"/>
          <w:color w:val="000000"/>
          <w:spacing w:val="-2"/>
          <w:kern w:val="0"/>
          <w:sz w:val="24"/>
        </w:rPr>
      </w:pPr>
      <w:r>
        <w:rPr>
          <w:rFonts w:hint="eastAsia" w:eastAsia="方正黑体_GBK"/>
          <w:color w:val="000000"/>
          <w:spacing w:val="-2"/>
          <w:kern w:val="0"/>
          <w:sz w:val="24"/>
        </w:rPr>
        <w:t>第七条</w:t>
      </w:r>
      <w:r>
        <w:rPr>
          <w:rFonts w:eastAsia="方正仿宋_GBK"/>
          <w:color w:val="000000"/>
          <w:spacing w:val="-2"/>
          <w:kern w:val="0"/>
          <w:sz w:val="24"/>
        </w:rPr>
        <w:t xml:space="preserve">  </w:t>
      </w:r>
      <w:r>
        <w:rPr>
          <w:rFonts w:hint="eastAsia" w:eastAsia="方正仿宋_GBK"/>
          <w:color w:val="000000"/>
          <w:spacing w:val="-2"/>
          <w:kern w:val="0"/>
          <w:sz w:val="24"/>
        </w:rPr>
        <w:t>初始注册</w:t>
      </w:r>
    </w:p>
    <w:p>
      <w:pPr>
        <w:spacing w:line="440" w:lineRule="exact"/>
        <w:ind w:firstLine="472" w:firstLineChars="200"/>
        <w:rPr>
          <w:rFonts w:eastAsia="方正仿宋_GBK"/>
          <w:color w:val="000000"/>
          <w:spacing w:val="-2"/>
          <w:kern w:val="0"/>
          <w:sz w:val="24"/>
        </w:rPr>
      </w:pPr>
      <w:r>
        <w:rPr>
          <w:rFonts w:hint="eastAsia" w:eastAsia="方正仿宋_GBK"/>
          <w:color w:val="000000"/>
          <w:spacing w:val="-2"/>
          <w:kern w:val="0"/>
          <w:sz w:val="24"/>
        </w:rPr>
        <w:t>申请人自资格证书签发之日起</w:t>
      </w:r>
      <w:r>
        <w:rPr>
          <w:rFonts w:eastAsia="方正仿宋_GBK"/>
          <w:color w:val="000000"/>
          <w:spacing w:val="-2"/>
          <w:kern w:val="0"/>
          <w:sz w:val="24"/>
        </w:rPr>
        <w:t>3</w:t>
      </w:r>
      <w:r>
        <w:rPr>
          <w:rFonts w:hint="eastAsia" w:eastAsia="方正仿宋_GBK"/>
          <w:color w:val="000000"/>
          <w:spacing w:val="-2"/>
          <w:kern w:val="0"/>
          <w:sz w:val="24"/>
        </w:rPr>
        <w:t>年内可申请初始注册。逾期未申请者应当提供相应专业继续教育证明，其学习内容应当符合注册建造师继续教育的规定。</w:t>
      </w:r>
    </w:p>
    <w:p>
      <w:pPr>
        <w:spacing w:line="440" w:lineRule="exact"/>
        <w:ind w:firstLine="472" w:firstLineChars="200"/>
        <w:rPr>
          <w:rFonts w:eastAsia="方正仿宋_GBK"/>
          <w:color w:val="000000"/>
          <w:spacing w:val="-2"/>
          <w:kern w:val="0"/>
          <w:sz w:val="24"/>
        </w:rPr>
      </w:pPr>
      <w:r>
        <w:rPr>
          <w:rFonts w:hint="eastAsia" w:eastAsia="方正仿宋_GBK"/>
          <w:color w:val="000000"/>
          <w:spacing w:val="-2"/>
          <w:kern w:val="0"/>
          <w:sz w:val="24"/>
        </w:rPr>
        <w:t>申请初始注册的，申请人应当提交下列材料：</w:t>
      </w:r>
    </w:p>
    <w:p>
      <w:pPr>
        <w:spacing w:line="44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（一）《二级建造师初始注册申请表》（附表</w:t>
      </w:r>
      <w:r>
        <w:rPr>
          <w:rFonts w:eastAsia="方正仿宋_GBK"/>
          <w:color w:val="000000"/>
          <w:spacing w:val="-2"/>
          <w:kern w:val="0"/>
          <w:sz w:val="24"/>
        </w:rPr>
        <w:t>1-1</w:t>
      </w:r>
      <w:r>
        <w:rPr>
          <w:rFonts w:hint="eastAsia" w:eastAsia="方正仿宋_GBK"/>
          <w:color w:val="000000"/>
          <w:spacing w:val="-2"/>
          <w:kern w:val="0"/>
          <w:sz w:val="24"/>
        </w:rPr>
        <w:t>）；</w:t>
      </w:r>
    </w:p>
    <w:p>
      <w:pPr>
        <w:spacing w:line="44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（二）身份证明；</w:t>
      </w:r>
    </w:p>
    <w:p>
      <w:pPr>
        <w:spacing w:line="44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（三）申请人与聘用企业签订的聘用劳动合同复印件或申请人所在企业出具的劳动、人事、工资关系证明。</w:t>
      </w:r>
    </w:p>
    <w:p>
      <w:pPr>
        <w:spacing w:line="440" w:lineRule="exact"/>
        <w:ind w:firstLine="472" w:firstLineChars="200"/>
        <w:rPr>
          <w:rFonts w:eastAsia="方正仿宋_GBK"/>
          <w:color w:val="000000"/>
          <w:spacing w:val="-2"/>
          <w:kern w:val="0"/>
          <w:sz w:val="24"/>
        </w:rPr>
      </w:pPr>
      <w:r>
        <w:rPr>
          <w:rFonts w:hint="eastAsia" w:eastAsia="方正黑体_GBK"/>
          <w:color w:val="000000"/>
          <w:spacing w:val="-2"/>
          <w:kern w:val="0"/>
          <w:sz w:val="24"/>
        </w:rPr>
        <w:t>第八条</w:t>
      </w:r>
      <w:r>
        <w:rPr>
          <w:rFonts w:eastAsia="方正仿宋_GBK"/>
          <w:color w:val="000000"/>
          <w:spacing w:val="-2"/>
          <w:kern w:val="0"/>
          <w:sz w:val="24"/>
        </w:rPr>
        <w:t xml:space="preserve">  </w:t>
      </w:r>
      <w:r>
        <w:rPr>
          <w:rFonts w:hint="eastAsia" w:eastAsia="方正仿宋_GBK"/>
          <w:color w:val="000000"/>
          <w:spacing w:val="-2"/>
          <w:kern w:val="0"/>
          <w:sz w:val="24"/>
        </w:rPr>
        <w:t>延续注册</w:t>
      </w:r>
    </w:p>
    <w:p>
      <w:pPr>
        <w:spacing w:line="440" w:lineRule="exact"/>
        <w:ind w:firstLine="472" w:firstLineChars="200"/>
        <w:rPr>
          <w:rFonts w:eastAsia="方正仿宋_GBK"/>
          <w:color w:val="000000"/>
          <w:spacing w:val="-2"/>
          <w:kern w:val="0"/>
          <w:sz w:val="24"/>
        </w:rPr>
      </w:pPr>
      <w:r>
        <w:rPr>
          <w:rFonts w:hint="eastAsia" w:eastAsia="方正仿宋_GBK"/>
          <w:color w:val="000000"/>
          <w:spacing w:val="-2"/>
          <w:kern w:val="0"/>
          <w:sz w:val="24"/>
        </w:rPr>
        <w:t>注册有效期满需继续执业的，应当在注册有效期届满</w:t>
      </w:r>
      <w:r>
        <w:rPr>
          <w:rFonts w:eastAsia="方正仿宋_GBK"/>
          <w:color w:val="000000"/>
          <w:spacing w:val="-2"/>
          <w:kern w:val="0"/>
          <w:sz w:val="24"/>
        </w:rPr>
        <w:t>30</w:t>
      </w:r>
      <w:r>
        <w:rPr>
          <w:rFonts w:hint="eastAsia" w:eastAsia="方正仿宋_GBK"/>
          <w:color w:val="000000"/>
          <w:spacing w:val="-2"/>
          <w:kern w:val="0"/>
          <w:sz w:val="24"/>
        </w:rPr>
        <w:t>日前申请延续注册。延续注册的有效期为</w:t>
      </w:r>
      <w:r>
        <w:rPr>
          <w:rFonts w:eastAsia="方正仿宋_GBK"/>
          <w:color w:val="000000"/>
          <w:spacing w:val="-2"/>
          <w:kern w:val="0"/>
          <w:sz w:val="24"/>
        </w:rPr>
        <w:t>3</w:t>
      </w:r>
      <w:r>
        <w:rPr>
          <w:rFonts w:hint="eastAsia" w:eastAsia="方正仿宋_GBK"/>
          <w:color w:val="000000"/>
          <w:spacing w:val="-2"/>
          <w:kern w:val="0"/>
          <w:sz w:val="24"/>
        </w:rPr>
        <w:t>年。</w:t>
      </w:r>
    </w:p>
    <w:p>
      <w:pPr>
        <w:spacing w:line="440" w:lineRule="exact"/>
        <w:ind w:firstLine="472" w:firstLineChars="200"/>
        <w:rPr>
          <w:rFonts w:eastAsia="方正仿宋_GBK"/>
          <w:color w:val="000000"/>
          <w:spacing w:val="-2"/>
          <w:kern w:val="0"/>
          <w:sz w:val="24"/>
        </w:rPr>
      </w:pPr>
      <w:r>
        <w:rPr>
          <w:rFonts w:hint="eastAsia" w:eastAsia="方正仿宋_GBK"/>
          <w:color w:val="000000"/>
          <w:spacing w:val="-2"/>
          <w:kern w:val="0"/>
          <w:sz w:val="24"/>
        </w:rPr>
        <w:t>申请延续注册的，申请人应当在系统内提交下列扫描件：</w:t>
      </w:r>
    </w:p>
    <w:p>
      <w:pPr>
        <w:spacing w:line="44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（一）《二级注册建造师延续注册申请表》（附表</w:t>
      </w:r>
      <w:r>
        <w:rPr>
          <w:rFonts w:eastAsia="方正仿宋_GBK"/>
          <w:color w:val="000000"/>
          <w:spacing w:val="-2"/>
          <w:kern w:val="0"/>
          <w:sz w:val="24"/>
        </w:rPr>
        <w:t>2-1</w:t>
      </w:r>
      <w:r>
        <w:rPr>
          <w:rFonts w:hint="eastAsia" w:eastAsia="方正仿宋_GBK"/>
          <w:color w:val="000000"/>
          <w:spacing w:val="-2"/>
          <w:kern w:val="0"/>
          <w:sz w:val="24"/>
        </w:rPr>
        <w:t>）；</w:t>
      </w:r>
    </w:p>
    <w:p>
      <w:pPr>
        <w:spacing w:line="44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（二）申请人与聘用企业签订的聘用劳动合同或申请人聘用企业出具的劳动、人事、工资关系证明。</w:t>
      </w:r>
    </w:p>
    <w:p>
      <w:pPr>
        <w:spacing w:line="440" w:lineRule="exact"/>
        <w:ind w:firstLine="472" w:firstLineChars="200"/>
        <w:rPr>
          <w:rFonts w:eastAsia="方正仿宋_GBK"/>
          <w:color w:val="000000"/>
          <w:spacing w:val="-2"/>
          <w:kern w:val="0"/>
          <w:sz w:val="24"/>
        </w:rPr>
      </w:pPr>
      <w:r>
        <w:rPr>
          <w:rFonts w:hint="eastAsia" w:eastAsia="方正黑体_GBK"/>
          <w:color w:val="000000"/>
          <w:spacing w:val="-2"/>
          <w:kern w:val="0"/>
          <w:sz w:val="24"/>
        </w:rPr>
        <w:t>第九条</w:t>
      </w:r>
      <w:r>
        <w:rPr>
          <w:rFonts w:eastAsia="方正仿宋_GBK"/>
          <w:color w:val="000000"/>
          <w:spacing w:val="-2"/>
          <w:kern w:val="0"/>
          <w:sz w:val="24"/>
        </w:rPr>
        <w:t xml:space="preserve">  </w:t>
      </w:r>
      <w:r>
        <w:rPr>
          <w:rFonts w:hint="eastAsia" w:eastAsia="方正仿宋_GBK"/>
          <w:color w:val="000000"/>
          <w:spacing w:val="-2"/>
          <w:kern w:val="0"/>
          <w:sz w:val="24"/>
        </w:rPr>
        <w:t>变更注册</w:t>
      </w:r>
    </w:p>
    <w:p>
      <w:pPr>
        <w:spacing w:line="440" w:lineRule="exact"/>
        <w:ind w:firstLine="472" w:firstLineChars="200"/>
        <w:rPr>
          <w:rFonts w:eastAsia="方正仿宋_GBK"/>
          <w:color w:val="000000"/>
          <w:spacing w:val="-2"/>
          <w:kern w:val="0"/>
          <w:sz w:val="24"/>
        </w:rPr>
      </w:pPr>
      <w:r>
        <w:rPr>
          <w:rFonts w:hint="eastAsia" w:eastAsia="方正仿宋_GBK"/>
          <w:color w:val="000000"/>
          <w:spacing w:val="-2"/>
          <w:kern w:val="0"/>
          <w:sz w:val="24"/>
        </w:rPr>
        <w:t>在注册有效期内，发生下列情形之一的，应当及时申请变更注册。变更注册后，有效期执行原注册证书的有效期。</w:t>
      </w:r>
    </w:p>
    <w:p>
      <w:pPr>
        <w:spacing w:line="440" w:lineRule="exact"/>
        <w:ind w:firstLine="472" w:firstLineChars="200"/>
        <w:rPr>
          <w:rFonts w:eastAsia="方正仿宋_GBK"/>
          <w:color w:val="000000"/>
          <w:spacing w:val="-2"/>
          <w:kern w:val="0"/>
          <w:sz w:val="24"/>
        </w:rPr>
      </w:pPr>
      <w:r>
        <w:rPr>
          <w:rFonts w:eastAsia="方正仿宋_GBK"/>
          <w:color w:val="000000"/>
          <w:spacing w:val="-2"/>
          <w:kern w:val="0"/>
          <w:sz w:val="24"/>
        </w:rPr>
        <w:t>1</w:t>
      </w:r>
      <w:r>
        <w:rPr>
          <w:rFonts w:hint="eastAsia" w:eastAsia="方正仿宋_GBK"/>
          <w:color w:val="000000"/>
          <w:spacing w:val="-2"/>
          <w:kern w:val="0"/>
          <w:sz w:val="24"/>
        </w:rPr>
        <w:t>、执业企业变更的；</w:t>
      </w:r>
    </w:p>
    <w:p>
      <w:pPr>
        <w:spacing w:line="440" w:lineRule="exact"/>
        <w:ind w:firstLine="472" w:firstLineChars="200"/>
        <w:rPr>
          <w:rFonts w:eastAsia="方正仿宋_GBK"/>
          <w:color w:val="000000"/>
          <w:spacing w:val="-2"/>
          <w:kern w:val="0"/>
          <w:sz w:val="24"/>
        </w:rPr>
      </w:pPr>
      <w:r>
        <w:rPr>
          <w:rFonts w:eastAsia="方正仿宋_GBK"/>
          <w:color w:val="000000"/>
          <w:spacing w:val="-2"/>
          <w:kern w:val="0"/>
          <w:sz w:val="24"/>
        </w:rPr>
        <w:t>2</w:t>
      </w:r>
      <w:r>
        <w:rPr>
          <w:rFonts w:hint="eastAsia" w:eastAsia="方正仿宋_GBK"/>
          <w:color w:val="000000"/>
          <w:spacing w:val="-2"/>
          <w:kern w:val="0"/>
          <w:sz w:val="24"/>
        </w:rPr>
        <w:t>、所在聘用企业名称变更的；</w:t>
      </w:r>
    </w:p>
    <w:p>
      <w:pPr>
        <w:spacing w:line="440" w:lineRule="exact"/>
        <w:ind w:firstLine="472" w:firstLineChars="200"/>
        <w:rPr>
          <w:rFonts w:eastAsia="方正仿宋_GBK"/>
          <w:color w:val="000000"/>
          <w:spacing w:val="-2"/>
          <w:kern w:val="0"/>
          <w:sz w:val="24"/>
        </w:rPr>
      </w:pPr>
      <w:r>
        <w:rPr>
          <w:rFonts w:eastAsia="方正仿宋_GBK"/>
          <w:color w:val="000000"/>
          <w:spacing w:val="-2"/>
          <w:kern w:val="0"/>
          <w:sz w:val="24"/>
        </w:rPr>
        <w:t>3</w:t>
      </w:r>
      <w:r>
        <w:rPr>
          <w:rFonts w:hint="eastAsia" w:eastAsia="方正仿宋_GBK"/>
          <w:color w:val="000000"/>
          <w:spacing w:val="-2"/>
          <w:kern w:val="0"/>
          <w:sz w:val="24"/>
        </w:rPr>
        <w:t>、注册建造师自然情况变更的。</w:t>
      </w:r>
    </w:p>
    <w:p>
      <w:pPr>
        <w:spacing w:line="440" w:lineRule="exact"/>
        <w:ind w:firstLine="472" w:firstLineChars="200"/>
        <w:rPr>
          <w:rFonts w:eastAsia="方正仿宋_GBK"/>
          <w:color w:val="000000"/>
          <w:spacing w:val="-2"/>
          <w:kern w:val="0"/>
          <w:sz w:val="24"/>
        </w:rPr>
      </w:pPr>
      <w:r>
        <w:rPr>
          <w:rFonts w:hint="eastAsia" w:eastAsia="方正仿宋_GBK"/>
          <w:color w:val="000000"/>
          <w:spacing w:val="-2"/>
          <w:kern w:val="0"/>
          <w:sz w:val="24"/>
        </w:rPr>
        <w:t>申请变更注册的，申请人应当在系统内提交下列扫描件：</w:t>
      </w:r>
    </w:p>
    <w:p>
      <w:pPr>
        <w:spacing w:line="44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（一）《二级注册建造师变更注册申请表》（附表</w:t>
      </w:r>
      <w:r>
        <w:rPr>
          <w:rFonts w:eastAsia="方正仿宋_GBK"/>
          <w:color w:val="000000"/>
          <w:spacing w:val="-2"/>
          <w:kern w:val="0"/>
          <w:sz w:val="24"/>
        </w:rPr>
        <w:t>3-1</w:t>
      </w:r>
      <w:r>
        <w:rPr>
          <w:rFonts w:hint="eastAsia" w:eastAsia="方正仿宋_GBK"/>
          <w:color w:val="000000"/>
          <w:spacing w:val="-2"/>
          <w:kern w:val="0"/>
          <w:sz w:val="24"/>
        </w:rPr>
        <w:t>）；</w:t>
      </w:r>
    </w:p>
    <w:p>
      <w:pPr>
        <w:spacing w:line="44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二）执业企业变更的，应当提供申请人与新聘用企业签订的聘用劳动合同，或申请人聘用企业出具的劳动、人事、工资关系证明，以及工作调动证明复印件（与原聘用企业解除聘用合同或聘用合同到期的证明文件、退休人员的退休证明）；</w:t>
      </w:r>
    </w:p>
    <w:p>
      <w:pPr>
        <w:spacing w:line="44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（三）申请人所在聘用企业名称发生变更的，应当提供变更后的《企业资质证书》复印件；</w:t>
      </w:r>
    </w:p>
    <w:p>
      <w:pPr>
        <w:spacing w:line="440" w:lineRule="exact"/>
        <w:ind w:firstLine="472" w:firstLineChars="200"/>
        <w:rPr>
          <w:rFonts w:eastAsia="方正仿宋_GBK"/>
          <w:color w:val="000000"/>
          <w:spacing w:val="-2"/>
          <w:kern w:val="0"/>
          <w:sz w:val="24"/>
        </w:rPr>
      </w:pPr>
      <w:r>
        <w:rPr>
          <w:rFonts w:hint="eastAsia" w:eastAsia="方正仿宋_GBK"/>
          <w:color w:val="000000"/>
          <w:spacing w:val="-2"/>
          <w:kern w:val="0"/>
          <w:sz w:val="24"/>
        </w:rPr>
        <w:t>（四）注册建造师自然情况变更的，应当提供变更后的身份证明原件或其他有效证明材料。</w:t>
      </w:r>
    </w:p>
    <w:p>
      <w:pPr>
        <w:spacing w:line="440" w:lineRule="exact"/>
        <w:ind w:firstLine="472" w:firstLineChars="200"/>
        <w:rPr>
          <w:rFonts w:eastAsia="方正仿宋_GBK"/>
          <w:color w:val="000000"/>
          <w:spacing w:val="-2"/>
          <w:kern w:val="0"/>
          <w:sz w:val="24"/>
        </w:rPr>
      </w:pPr>
      <w:r>
        <w:rPr>
          <w:rFonts w:hint="eastAsia" w:eastAsia="方正黑体_GBK"/>
          <w:color w:val="000000"/>
          <w:spacing w:val="-2"/>
          <w:kern w:val="0"/>
          <w:sz w:val="24"/>
        </w:rPr>
        <w:t>第十条</w:t>
      </w:r>
      <w:r>
        <w:rPr>
          <w:rFonts w:eastAsia="方正仿宋_GBK"/>
          <w:color w:val="000000"/>
          <w:spacing w:val="-2"/>
          <w:kern w:val="0"/>
          <w:sz w:val="24"/>
        </w:rPr>
        <w:t xml:space="preserve">  </w:t>
      </w:r>
      <w:r>
        <w:rPr>
          <w:rFonts w:hint="eastAsia" w:eastAsia="方正仿宋_GBK"/>
          <w:color w:val="000000"/>
          <w:spacing w:val="-2"/>
          <w:kern w:val="0"/>
          <w:sz w:val="24"/>
        </w:rPr>
        <w:t>增项注册</w:t>
      </w:r>
    </w:p>
    <w:p>
      <w:pPr>
        <w:spacing w:line="440" w:lineRule="exact"/>
        <w:ind w:firstLine="472" w:firstLineChars="200"/>
        <w:rPr>
          <w:rFonts w:eastAsia="方正仿宋_GBK"/>
          <w:color w:val="000000"/>
          <w:spacing w:val="-2"/>
          <w:kern w:val="0"/>
          <w:sz w:val="24"/>
        </w:rPr>
      </w:pPr>
      <w:r>
        <w:rPr>
          <w:rFonts w:hint="eastAsia" w:eastAsia="方正仿宋_GBK"/>
          <w:color w:val="000000"/>
          <w:spacing w:val="-2"/>
          <w:kern w:val="0"/>
          <w:sz w:val="24"/>
        </w:rPr>
        <w:t>注册建造师取得相应专业资格证书可申请增项注册。取得增项专业资格超过</w:t>
      </w:r>
      <w:r>
        <w:rPr>
          <w:rFonts w:eastAsia="方正仿宋_GBK"/>
          <w:color w:val="000000"/>
          <w:spacing w:val="-2"/>
          <w:kern w:val="0"/>
          <w:sz w:val="24"/>
        </w:rPr>
        <w:t>3</w:t>
      </w:r>
      <w:r>
        <w:rPr>
          <w:rFonts w:hint="eastAsia" w:eastAsia="方正仿宋_GBK"/>
          <w:color w:val="000000"/>
          <w:spacing w:val="-2"/>
          <w:kern w:val="0"/>
          <w:sz w:val="24"/>
        </w:rPr>
        <w:t>年未注册的，应当提供该专业最近一个注册有效期继续教育学习证明。准予增项注册后，原专业注册有效截止日期保持不变。</w:t>
      </w:r>
    </w:p>
    <w:p>
      <w:pPr>
        <w:spacing w:line="440" w:lineRule="exact"/>
        <w:ind w:firstLine="472" w:firstLineChars="200"/>
        <w:rPr>
          <w:rFonts w:eastAsia="方正仿宋_GBK"/>
          <w:color w:val="000000"/>
          <w:spacing w:val="-2"/>
          <w:kern w:val="0"/>
          <w:sz w:val="24"/>
        </w:rPr>
      </w:pPr>
      <w:r>
        <w:rPr>
          <w:rFonts w:hint="eastAsia" w:eastAsia="方正仿宋_GBK"/>
          <w:color w:val="000000"/>
          <w:spacing w:val="-2"/>
          <w:kern w:val="0"/>
          <w:sz w:val="24"/>
        </w:rPr>
        <w:t>申请增项注册的，申请人应当在系统内提交《二级注册建造师增项注册申请表》（附表</w:t>
      </w:r>
      <w:r>
        <w:rPr>
          <w:rFonts w:eastAsia="方正仿宋_GBK"/>
          <w:color w:val="000000"/>
          <w:spacing w:val="-2"/>
          <w:kern w:val="0"/>
          <w:sz w:val="24"/>
        </w:rPr>
        <w:t>4-1</w:t>
      </w:r>
      <w:r>
        <w:rPr>
          <w:rFonts w:hint="eastAsia" w:eastAsia="方正仿宋_GBK"/>
          <w:color w:val="000000"/>
          <w:spacing w:val="-2"/>
          <w:kern w:val="0"/>
          <w:sz w:val="24"/>
        </w:rPr>
        <w:t>）扫描件。</w:t>
      </w:r>
    </w:p>
    <w:p>
      <w:pPr>
        <w:spacing w:line="440" w:lineRule="exact"/>
        <w:ind w:firstLine="472" w:firstLineChars="200"/>
        <w:rPr>
          <w:rFonts w:eastAsia="方正仿宋_GBK"/>
          <w:color w:val="000000"/>
          <w:spacing w:val="-2"/>
          <w:kern w:val="0"/>
          <w:sz w:val="24"/>
        </w:rPr>
      </w:pPr>
      <w:r>
        <w:rPr>
          <w:rFonts w:hint="eastAsia" w:eastAsia="方正黑体_GBK"/>
          <w:color w:val="000000"/>
          <w:spacing w:val="-2"/>
          <w:kern w:val="0"/>
          <w:sz w:val="24"/>
        </w:rPr>
        <w:t>第十一条</w:t>
      </w:r>
      <w:r>
        <w:rPr>
          <w:rFonts w:eastAsia="方正仿宋_GBK"/>
          <w:color w:val="000000"/>
          <w:spacing w:val="-2"/>
          <w:kern w:val="0"/>
          <w:sz w:val="24"/>
        </w:rPr>
        <w:t xml:space="preserve">  </w:t>
      </w:r>
      <w:r>
        <w:rPr>
          <w:rFonts w:hint="eastAsia" w:eastAsia="方正仿宋_GBK"/>
          <w:color w:val="000000"/>
          <w:spacing w:val="-2"/>
          <w:kern w:val="0"/>
          <w:sz w:val="24"/>
        </w:rPr>
        <w:t>注销注册</w:t>
      </w:r>
    </w:p>
    <w:p>
      <w:pPr>
        <w:spacing w:line="440" w:lineRule="exact"/>
        <w:ind w:firstLine="472" w:firstLineChars="200"/>
        <w:rPr>
          <w:rFonts w:eastAsia="方正仿宋_GBK"/>
          <w:color w:val="000000"/>
          <w:spacing w:val="-2"/>
          <w:kern w:val="0"/>
          <w:sz w:val="24"/>
        </w:rPr>
      </w:pPr>
      <w:r>
        <w:rPr>
          <w:rFonts w:hint="eastAsia" w:eastAsia="方正仿宋_GBK"/>
          <w:color w:val="000000"/>
          <w:spacing w:val="-2"/>
          <w:kern w:val="0"/>
          <w:sz w:val="24"/>
        </w:rPr>
        <w:t>注册建造师有《注册建造师管理规定》第十七条所列情形之一的，由省住房和城乡建设厅办理注销手续。</w:t>
      </w:r>
    </w:p>
    <w:p>
      <w:pPr>
        <w:spacing w:line="440" w:lineRule="exact"/>
        <w:ind w:firstLine="472" w:firstLineChars="200"/>
        <w:rPr>
          <w:rFonts w:eastAsia="方正仿宋_GBK"/>
          <w:color w:val="000000"/>
          <w:spacing w:val="-2"/>
          <w:kern w:val="0"/>
          <w:sz w:val="24"/>
        </w:rPr>
      </w:pPr>
      <w:r>
        <w:rPr>
          <w:rFonts w:hint="eastAsia" w:eastAsia="方正仿宋_GBK"/>
          <w:color w:val="000000"/>
          <w:spacing w:val="-2"/>
          <w:kern w:val="0"/>
          <w:sz w:val="24"/>
        </w:rPr>
        <w:t>申请人或其聘用的企业，应当在系统内提交下列扫描件：</w:t>
      </w:r>
    </w:p>
    <w:p>
      <w:pPr>
        <w:spacing w:line="44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（一）《二级注册建造师注销注册申请表》（附表</w:t>
      </w:r>
      <w:r>
        <w:rPr>
          <w:rFonts w:eastAsia="方正仿宋_GBK"/>
          <w:color w:val="000000"/>
          <w:spacing w:val="-2"/>
          <w:kern w:val="0"/>
          <w:sz w:val="24"/>
        </w:rPr>
        <w:t>5-1</w:t>
      </w:r>
      <w:r>
        <w:rPr>
          <w:rFonts w:hint="eastAsia" w:eastAsia="方正仿宋_GBK"/>
          <w:color w:val="000000"/>
          <w:spacing w:val="-2"/>
          <w:kern w:val="0"/>
          <w:sz w:val="24"/>
        </w:rPr>
        <w:t>）；</w:t>
      </w:r>
    </w:p>
    <w:p>
      <w:pPr>
        <w:spacing w:line="44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（二）符合《注册建造师管理规定》第十七条所列情形之一的证明原件。</w:t>
      </w:r>
    </w:p>
    <w:p>
      <w:pPr>
        <w:spacing w:line="440" w:lineRule="exact"/>
        <w:ind w:firstLine="472" w:firstLineChars="200"/>
        <w:rPr>
          <w:rFonts w:eastAsia="方正仿宋_GBK"/>
          <w:color w:val="000000"/>
          <w:spacing w:val="-2"/>
          <w:kern w:val="0"/>
          <w:sz w:val="24"/>
        </w:rPr>
      </w:pPr>
      <w:r>
        <w:rPr>
          <w:rFonts w:hint="eastAsia" w:eastAsia="方正黑体_GBK"/>
          <w:color w:val="000000"/>
          <w:spacing w:val="-2"/>
          <w:kern w:val="0"/>
          <w:sz w:val="24"/>
        </w:rPr>
        <w:t>第十二条</w:t>
      </w:r>
      <w:r>
        <w:rPr>
          <w:rFonts w:eastAsia="方正仿宋_GBK"/>
          <w:color w:val="000000"/>
          <w:spacing w:val="-2"/>
          <w:kern w:val="0"/>
          <w:sz w:val="24"/>
        </w:rPr>
        <w:t xml:space="preserve">  </w:t>
      </w:r>
      <w:r>
        <w:rPr>
          <w:rFonts w:hint="eastAsia" w:eastAsia="方正仿宋_GBK"/>
          <w:color w:val="000000"/>
          <w:spacing w:val="-2"/>
          <w:kern w:val="0"/>
          <w:sz w:val="24"/>
        </w:rPr>
        <w:t>重新注册</w:t>
      </w:r>
    </w:p>
    <w:p>
      <w:pPr>
        <w:spacing w:line="440" w:lineRule="exact"/>
        <w:ind w:firstLine="472" w:firstLineChars="200"/>
        <w:rPr>
          <w:rFonts w:eastAsia="方正仿宋_GBK"/>
          <w:color w:val="000000"/>
          <w:spacing w:val="-2"/>
          <w:kern w:val="0"/>
          <w:sz w:val="24"/>
        </w:rPr>
      </w:pPr>
      <w:r>
        <w:rPr>
          <w:rFonts w:hint="eastAsia" w:eastAsia="方正仿宋_GBK"/>
          <w:color w:val="000000"/>
          <w:spacing w:val="-2"/>
          <w:kern w:val="0"/>
          <w:sz w:val="24"/>
        </w:rPr>
        <w:t>建造师注销注册或者不予注册的，在重新具备注册条件后，可申请重新注册，重新注册按初始注册要求办理。</w:t>
      </w:r>
    </w:p>
    <w:p>
      <w:pPr>
        <w:spacing w:line="440" w:lineRule="exact"/>
        <w:ind w:firstLine="472" w:firstLineChars="200"/>
        <w:rPr>
          <w:rFonts w:eastAsia="方正仿宋_GBK"/>
          <w:color w:val="000000"/>
          <w:spacing w:val="-2"/>
          <w:kern w:val="0"/>
          <w:sz w:val="24"/>
        </w:rPr>
      </w:pPr>
      <w:r>
        <w:rPr>
          <w:rFonts w:hint="eastAsia" w:eastAsia="方正仿宋_GBK"/>
          <w:color w:val="000000"/>
          <w:spacing w:val="-2"/>
          <w:kern w:val="0"/>
          <w:sz w:val="24"/>
        </w:rPr>
        <w:t>申请重新注册的，申请人在系统内提交下列扫描件：</w:t>
      </w:r>
    </w:p>
    <w:p>
      <w:pPr>
        <w:spacing w:line="44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（一）《二级建造师重新注册申请表》（附表</w:t>
      </w:r>
      <w:r>
        <w:rPr>
          <w:rFonts w:eastAsia="方正仿宋_GBK"/>
          <w:color w:val="000000"/>
          <w:spacing w:val="-2"/>
          <w:kern w:val="0"/>
          <w:sz w:val="24"/>
        </w:rPr>
        <w:t>6-1</w:t>
      </w:r>
      <w:r>
        <w:rPr>
          <w:rFonts w:hint="eastAsia" w:eastAsia="方正仿宋_GBK"/>
          <w:color w:val="000000"/>
          <w:spacing w:val="-2"/>
          <w:kern w:val="0"/>
          <w:sz w:val="24"/>
        </w:rPr>
        <w:t>）；</w:t>
      </w:r>
    </w:p>
    <w:p>
      <w:pPr>
        <w:spacing w:line="44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（二）申请人与聘用企业签订的聘用劳动合同复印件或聘用企业出具的劳动、人事、工资关系证明。</w:t>
      </w:r>
    </w:p>
    <w:p>
      <w:pPr>
        <w:spacing w:line="440" w:lineRule="exact"/>
        <w:ind w:firstLine="472" w:firstLineChars="200"/>
        <w:rPr>
          <w:rFonts w:eastAsia="方正仿宋_GBK"/>
          <w:color w:val="000000"/>
          <w:spacing w:val="-2"/>
          <w:kern w:val="0"/>
          <w:sz w:val="24"/>
        </w:rPr>
      </w:pPr>
      <w:r>
        <w:rPr>
          <w:rFonts w:hint="eastAsia" w:eastAsia="方正黑体_GBK"/>
          <w:color w:val="000000"/>
          <w:spacing w:val="-2"/>
          <w:kern w:val="0"/>
          <w:sz w:val="24"/>
        </w:rPr>
        <w:t>第十三条</w:t>
      </w:r>
      <w:r>
        <w:rPr>
          <w:rFonts w:eastAsia="方正仿宋_GBK"/>
          <w:color w:val="000000"/>
          <w:spacing w:val="-2"/>
          <w:kern w:val="0"/>
          <w:sz w:val="24"/>
        </w:rPr>
        <w:t xml:space="preserve">  </w:t>
      </w:r>
      <w:r>
        <w:rPr>
          <w:rFonts w:hint="eastAsia" w:eastAsia="方正仿宋_GBK"/>
          <w:color w:val="000000"/>
          <w:spacing w:val="-2"/>
          <w:kern w:val="0"/>
          <w:sz w:val="24"/>
        </w:rPr>
        <w:t>取得二级建造师资格证书的人员，可对应下述专业申请注册：建筑工程、公路工程、水利水电工程、市政公用工程、矿业工程、机电工程。</w:t>
      </w:r>
    </w:p>
    <w:p>
      <w:pPr>
        <w:spacing w:line="440" w:lineRule="exact"/>
        <w:ind w:firstLine="472" w:firstLineChars="200"/>
        <w:rPr>
          <w:rFonts w:eastAsia="方正仿宋_GBK"/>
          <w:color w:val="000000"/>
          <w:spacing w:val="-2"/>
          <w:kern w:val="0"/>
          <w:sz w:val="24"/>
        </w:rPr>
      </w:pPr>
      <w:r>
        <w:rPr>
          <w:rFonts w:hint="eastAsia" w:eastAsia="方正仿宋_GBK"/>
          <w:color w:val="000000"/>
          <w:spacing w:val="-2"/>
          <w:kern w:val="0"/>
          <w:sz w:val="24"/>
        </w:rPr>
        <w:t>资格证书所注专业为房屋建筑工程、装饰装修工程的，按建筑工程专业申请注册；资格证书所注专业为矿山工程的按矿业工程专业申请注册；资格证书所注专业为冶炼工程的，可选矿业工程或机电工程之中的一个专业申请注册；资格证书所注专业为电力工程、石油化工工程、机电安装工程的，按机电工程专业申请注册。</w:t>
      </w:r>
    </w:p>
    <w:p>
      <w:pPr>
        <w:spacing w:line="440" w:lineRule="exact"/>
        <w:ind w:firstLine="472" w:firstLineChars="200"/>
        <w:rPr>
          <w:rFonts w:eastAsia="方正黑体_GBK"/>
          <w:color w:val="000000"/>
          <w:spacing w:val="-2"/>
          <w:kern w:val="0"/>
          <w:sz w:val="24"/>
        </w:rPr>
      </w:pPr>
      <w:r>
        <w:rPr>
          <w:rFonts w:hint="eastAsia" w:eastAsia="方正黑体_GBK"/>
          <w:color w:val="000000"/>
          <w:spacing w:val="-2"/>
          <w:kern w:val="0"/>
          <w:sz w:val="24"/>
        </w:rPr>
        <w:t>三、核对与审批</w:t>
      </w:r>
    </w:p>
    <w:p>
      <w:pPr>
        <w:spacing w:line="440" w:lineRule="exact"/>
        <w:ind w:firstLine="472" w:firstLineChars="200"/>
        <w:rPr>
          <w:rFonts w:eastAsia="方正仿宋_GBK"/>
          <w:color w:val="000000"/>
          <w:spacing w:val="-2"/>
          <w:kern w:val="0"/>
          <w:sz w:val="24"/>
        </w:rPr>
      </w:pPr>
      <w:r>
        <w:rPr>
          <w:rFonts w:hint="eastAsia" w:eastAsia="方正黑体_GBK"/>
          <w:color w:val="000000"/>
          <w:spacing w:val="-2"/>
          <w:kern w:val="0"/>
          <w:sz w:val="24"/>
        </w:rPr>
        <w:t>第十四条</w:t>
      </w:r>
      <w:r>
        <w:rPr>
          <w:rFonts w:eastAsia="方正仿宋_GBK"/>
          <w:color w:val="000000"/>
          <w:spacing w:val="-2"/>
          <w:kern w:val="0"/>
          <w:sz w:val="24"/>
        </w:rPr>
        <w:t xml:space="preserve">  </w:t>
      </w:r>
      <w:r>
        <w:rPr>
          <w:rFonts w:hint="eastAsia" w:eastAsia="方正仿宋_GBK"/>
          <w:color w:val="000000"/>
          <w:spacing w:val="-2"/>
          <w:kern w:val="0"/>
          <w:sz w:val="24"/>
        </w:rPr>
        <w:t>省住房和城乡建设厅按照初始注册、延续注册、变更注册、增项注册、重新注册和注销注册有关规定，对注册申请人材料的完整性进行核对。申请材料存在可以当场更正错误的，应当允许申请人当场更正。</w:t>
      </w:r>
    </w:p>
    <w:p>
      <w:pPr>
        <w:spacing w:line="440" w:lineRule="exact"/>
        <w:ind w:firstLine="456" w:firstLineChars="200"/>
        <w:rPr>
          <w:rFonts w:eastAsia="方正仿宋_GBK"/>
          <w:color w:val="000000"/>
          <w:spacing w:val="-6"/>
          <w:kern w:val="0"/>
          <w:sz w:val="24"/>
        </w:rPr>
      </w:pPr>
      <w:r>
        <w:rPr>
          <w:rFonts w:hint="eastAsia" w:eastAsia="方正仿宋_GBK"/>
          <w:color w:val="000000"/>
          <w:spacing w:val="-6"/>
          <w:kern w:val="0"/>
          <w:sz w:val="24"/>
        </w:rPr>
        <w:t>申请人有《注册建造师管理规定》第十五条所列情形之一的，不予受理或不予注册。</w:t>
      </w:r>
    </w:p>
    <w:p>
      <w:pPr>
        <w:spacing w:line="440" w:lineRule="exact"/>
        <w:ind w:firstLine="472" w:firstLineChars="200"/>
        <w:rPr>
          <w:rFonts w:eastAsia="方正仿宋_GBK"/>
          <w:color w:val="000000"/>
          <w:spacing w:val="-2"/>
          <w:kern w:val="0"/>
          <w:sz w:val="24"/>
        </w:rPr>
      </w:pPr>
      <w:r>
        <w:rPr>
          <w:rFonts w:hint="eastAsia" w:eastAsia="方正黑体_GBK"/>
          <w:color w:val="000000"/>
          <w:spacing w:val="-2"/>
          <w:kern w:val="0"/>
          <w:sz w:val="24"/>
        </w:rPr>
        <w:t>第十五条</w:t>
      </w:r>
      <w:r>
        <w:rPr>
          <w:rFonts w:eastAsia="方正仿宋_GBK"/>
          <w:color w:val="000000"/>
          <w:spacing w:val="-2"/>
          <w:kern w:val="0"/>
          <w:sz w:val="24"/>
        </w:rPr>
        <w:t xml:space="preserve">  </w:t>
      </w:r>
      <w:r>
        <w:rPr>
          <w:rFonts w:hint="eastAsia" w:eastAsia="方正仿宋_GBK"/>
          <w:color w:val="000000"/>
          <w:spacing w:val="-2"/>
          <w:kern w:val="0"/>
          <w:sz w:val="24"/>
        </w:rPr>
        <w:t>对申请初始注册、重新注册、增项注册的，省住房和城乡建设厅收到核对意见等材料后，</w:t>
      </w:r>
      <w:r>
        <w:rPr>
          <w:rFonts w:eastAsia="方正仿宋_GBK"/>
          <w:color w:val="000000"/>
          <w:spacing w:val="-2"/>
          <w:kern w:val="0"/>
          <w:sz w:val="24"/>
        </w:rPr>
        <w:t>20</w:t>
      </w:r>
      <w:r>
        <w:rPr>
          <w:rFonts w:hint="eastAsia" w:eastAsia="方正仿宋_GBK"/>
          <w:color w:val="000000"/>
          <w:spacing w:val="-2"/>
          <w:kern w:val="0"/>
          <w:sz w:val="24"/>
        </w:rPr>
        <w:t>个工作日内审批完毕，并将审核结果向社会公示</w:t>
      </w:r>
      <w:r>
        <w:rPr>
          <w:rFonts w:eastAsia="方正仿宋_GBK"/>
          <w:color w:val="000000"/>
          <w:spacing w:val="-2"/>
          <w:kern w:val="0"/>
          <w:sz w:val="24"/>
        </w:rPr>
        <w:t>5</w:t>
      </w:r>
      <w:r>
        <w:rPr>
          <w:rFonts w:hint="eastAsia" w:eastAsia="方正仿宋_GBK"/>
          <w:color w:val="000000"/>
          <w:spacing w:val="-2"/>
          <w:kern w:val="0"/>
          <w:sz w:val="24"/>
        </w:rPr>
        <w:t>日，公示无异议的，准予注册，审批结果向社会公告。</w:t>
      </w:r>
    </w:p>
    <w:p>
      <w:pPr>
        <w:spacing w:line="440" w:lineRule="exact"/>
        <w:ind w:firstLine="472" w:firstLineChars="200"/>
        <w:rPr>
          <w:rFonts w:eastAsia="方正仿宋_GBK"/>
          <w:color w:val="000000"/>
          <w:spacing w:val="-2"/>
          <w:kern w:val="0"/>
          <w:sz w:val="24"/>
        </w:rPr>
      </w:pPr>
      <w:r>
        <w:rPr>
          <w:rFonts w:hint="eastAsia" w:eastAsia="方正黑体_GBK"/>
          <w:color w:val="000000"/>
          <w:spacing w:val="-2"/>
          <w:kern w:val="0"/>
          <w:sz w:val="24"/>
        </w:rPr>
        <w:t>第十六条</w:t>
      </w:r>
      <w:r>
        <w:rPr>
          <w:rFonts w:eastAsia="方正仿宋_GBK"/>
          <w:color w:val="000000"/>
          <w:spacing w:val="-2"/>
          <w:kern w:val="0"/>
          <w:sz w:val="24"/>
        </w:rPr>
        <w:t xml:space="preserve">  </w:t>
      </w:r>
      <w:r>
        <w:rPr>
          <w:rFonts w:hint="eastAsia" w:eastAsia="方正仿宋_GBK"/>
          <w:color w:val="000000"/>
          <w:spacing w:val="-2"/>
          <w:kern w:val="0"/>
          <w:sz w:val="24"/>
        </w:rPr>
        <w:t>申请变更注册、注销注册的，省住房和城乡建设厅在</w:t>
      </w:r>
      <w:r>
        <w:rPr>
          <w:rFonts w:eastAsia="方正仿宋_GBK"/>
          <w:color w:val="000000"/>
          <w:spacing w:val="-2"/>
          <w:kern w:val="0"/>
          <w:sz w:val="24"/>
        </w:rPr>
        <w:t>5</w:t>
      </w:r>
      <w:r>
        <w:rPr>
          <w:rFonts w:hint="eastAsia" w:eastAsia="方正仿宋_GBK"/>
          <w:color w:val="000000"/>
          <w:spacing w:val="-2"/>
          <w:kern w:val="0"/>
          <w:sz w:val="24"/>
        </w:rPr>
        <w:t>个工作日内办结。</w:t>
      </w:r>
    </w:p>
    <w:p>
      <w:pPr>
        <w:spacing w:line="440" w:lineRule="exact"/>
        <w:ind w:firstLine="472" w:firstLineChars="200"/>
        <w:rPr>
          <w:rFonts w:eastAsia="方正仿宋_GBK"/>
          <w:color w:val="000000"/>
          <w:spacing w:val="-2"/>
          <w:kern w:val="0"/>
          <w:sz w:val="24"/>
        </w:rPr>
      </w:pPr>
      <w:r>
        <w:rPr>
          <w:rFonts w:hint="eastAsia" w:eastAsia="方正黑体_GBK"/>
          <w:color w:val="000000"/>
          <w:spacing w:val="-2"/>
          <w:kern w:val="0"/>
          <w:sz w:val="24"/>
        </w:rPr>
        <w:t>第十七条</w:t>
      </w:r>
      <w:r>
        <w:rPr>
          <w:rFonts w:eastAsia="方正仿宋_GBK"/>
          <w:color w:val="000000"/>
          <w:spacing w:val="-2"/>
          <w:kern w:val="0"/>
          <w:sz w:val="24"/>
        </w:rPr>
        <w:t xml:space="preserve">  </w:t>
      </w:r>
      <w:r>
        <w:rPr>
          <w:rFonts w:hint="eastAsia" w:eastAsia="方正仿宋_GBK"/>
          <w:color w:val="000000"/>
          <w:spacing w:val="-2"/>
          <w:kern w:val="0"/>
          <w:sz w:val="24"/>
        </w:rPr>
        <w:t>对申请延续注册的，省住房和城乡建设厅收到核对意见等材料后，</w:t>
      </w:r>
      <w:r>
        <w:rPr>
          <w:rFonts w:eastAsia="方正仿宋_GBK"/>
          <w:color w:val="000000"/>
          <w:spacing w:val="-2"/>
          <w:kern w:val="0"/>
          <w:sz w:val="24"/>
        </w:rPr>
        <w:t>10</w:t>
      </w:r>
      <w:r>
        <w:rPr>
          <w:rFonts w:hint="eastAsia" w:eastAsia="方正仿宋_GBK"/>
          <w:color w:val="000000"/>
          <w:spacing w:val="-2"/>
          <w:kern w:val="0"/>
          <w:sz w:val="24"/>
        </w:rPr>
        <w:t>个工作日内审批完毕，并将审核结果向社会公示</w:t>
      </w:r>
      <w:r>
        <w:rPr>
          <w:rFonts w:eastAsia="方正仿宋_GBK"/>
          <w:color w:val="000000"/>
          <w:spacing w:val="-2"/>
          <w:kern w:val="0"/>
          <w:sz w:val="24"/>
        </w:rPr>
        <w:t>10</w:t>
      </w:r>
      <w:r>
        <w:rPr>
          <w:rFonts w:hint="eastAsia" w:eastAsia="方正仿宋_GBK"/>
          <w:color w:val="000000"/>
          <w:spacing w:val="-2"/>
          <w:kern w:val="0"/>
          <w:sz w:val="24"/>
        </w:rPr>
        <w:t>日，公示无异议的，准予注册，审批结果向社会公告。审批日期为注册证书签发日期，注册证书自签发之日起有效期</w:t>
      </w:r>
      <w:r>
        <w:rPr>
          <w:rFonts w:eastAsia="方正仿宋_GBK"/>
          <w:color w:val="000000"/>
          <w:spacing w:val="-2"/>
          <w:kern w:val="0"/>
          <w:sz w:val="24"/>
        </w:rPr>
        <w:t>3</w:t>
      </w:r>
      <w:r>
        <w:rPr>
          <w:rFonts w:hint="eastAsia" w:eastAsia="方正仿宋_GBK"/>
          <w:color w:val="000000"/>
          <w:spacing w:val="-2"/>
          <w:kern w:val="0"/>
          <w:sz w:val="24"/>
        </w:rPr>
        <w:t>年。</w:t>
      </w:r>
    </w:p>
    <w:p>
      <w:pPr>
        <w:spacing w:line="440" w:lineRule="exact"/>
        <w:ind w:firstLine="472" w:firstLineChars="200"/>
        <w:rPr>
          <w:rFonts w:eastAsia="方正仿宋_GBK"/>
          <w:color w:val="000000"/>
          <w:spacing w:val="-2"/>
          <w:kern w:val="0"/>
          <w:sz w:val="24"/>
        </w:rPr>
      </w:pPr>
      <w:r>
        <w:rPr>
          <w:rFonts w:hint="eastAsia" w:eastAsia="方正黑体_GBK"/>
          <w:color w:val="000000"/>
          <w:spacing w:val="-2"/>
          <w:kern w:val="0"/>
          <w:sz w:val="24"/>
        </w:rPr>
        <w:t>第二十条</w:t>
      </w:r>
      <w:r>
        <w:rPr>
          <w:rFonts w:eastAsia="方正黑体_GBK"/>
          <w:color w:val="000000"/>
          <w:spacing w:val="-2"/>
          <w:kern w:val="0"/>
          <w:sz w:val="24"/>
        </w:rPr>
        <w:t xml:space="preserve">  </w:t>
      </w:r>
      <w:r>
        <w:rPr>
          <w:rFonts w:hint="eastAsia" w:eastAsia="方正黑体_GBK"/>
          <w:color w:val="000000"/>
          <w:spacing w:val="-2"/>
          <w:kern w:val="0"/>
          <w:sz w:val="24"/>
        </w:rPr>
        <w:t>省住房和城乡建设厅</w:t>
      </w:r>
      <w:r>
        <w:rPr>
          <w:rFonts w:hint="eastAsia" w:eastAsia="方正仿宋_GBK"/>
          <w:color w:val="000000"/>
          <w:spacing w:val="-2"/>
          <w:kern w:val="0"/>
          <w:sz w:val="24"/>
        </w:rPr>
        <w:t>自公告发布之日起</w:t>
      </w:r>
      <w:r>
        <w:rPr>
          <w:rFonts w:eastAsia="方正仿宋_GBK"/>
          <w:color w:val="000000"/>
          <w:spacing w:val="-2"/>
          <w:kern w:val="0"/>
          <w:sz w:val="24"/>
        </w:rPr>
        <w:t>30</w:t>
      </w:r>
      <w:r>
        <w:rPr>
          <w:rFonts w:hint="eastAsia" w:eastAsia="方正仿宋_GBK"/>
          <w:color w:val="000000"/>
          <w:spacing w:val="-2"/>
          <w:kern w:val="0"/>
          <w:sz w:val="24"/>
        </w:rPr>
        <w:t>日内，向准予注册的申请人核发《中华人民共和国二级建造师注册证书》。</w:t>
      </w:r>
    </w:p>
    <w:p>
      <w:pPr>
        <w:pStyle w:val="2"/>
        <w:spacing w:before="240" w:beforeLines="100" w:after="240" w:afterLines="100" w:line="240" w:lineRule="auto"/>
        <w:jc w:val="center"/>
        <w:rPr>
          <w:rFonts w:ascii="Times New Roman" w:eastAsia="方正小标宋_GBK"/>
          <w:b w:val="0"/>
          <w:sz w:val="36"/>
          <w:szCs w:val="36"/>
        </w:rPr>
      </w:pPr>
      <w:r>
        <w:rPr>
          <w:rFonts w:eastAsia="方正仿宋_GBK"/>
          <w:color w:val="000000"/>
          <w:spacing w:val="-2"/>
          <w:kern w:val="0"/>
          <w:sz w:val="24"/>
        </w:rPr>
        <w:br w:type="column"/>
      </w:r>
      <w:bookmarkStart w:id="438" w:name="_Toc18315664"/>
      <w:bookmarkStart w:id="439" w:name="_Toc20726494"/>
      <w:r>
        <w:rPr>
          <w:rFonts w:hint="eastAsia" w:ascii="Times New Roman" w:eastAsia="方正小标宋_GBK"/>
          <w:b w:val="0"/>
          <w:sz w:val="36"/>
          <w:szCs w:val="36"/>
        </w:rPr>
        <w:t>省住房城乡建设厅关于印发《江苏省高支模工程监理实施细则（标准化格式文本）》和《江苏省扣件式钢管脚手架搭设、拆除工程监理实施细则（标准化格式文本）》的通知</w:t>
      </w:r>
      <w:bookmarkEnd w:id="438"/>
      <w:bookmarkEnd w:id="439"/>
    </w:p>
    <w:p>
      <w:pPr>
        <w:spacing w:line="460" w:lineRule="exact"/>
        <w:rPr>
          <w:rFonts w:hint="eastAsia" w:eastAsia="方正仿宋_GBK"/>
          <w:color w:val="000000"/>
          <w:spacing w:val="-2"/>
          <w:sz w:val="24"/>
        </w:rPr>
      </w:pPr>
    </w:p>
    <w:p>
      <w:pPr>
        <w:pStyle w:val="3"/>
        <w:spacing w:before="240" w:beforeLines="100" w:after="240" w:afterLines="100" w:line="240" w:lineRule="auto"/>
        <w:jc w:val="center"/>
        <w:rPr>
          <w:rFonts w:ascii="Times New Roman" w:hAnsi="Times New Roman" w:eastAsia="方正楷体_GBK"/>
          <w:b w:val="0"/>
          <w:sz w:val="24"/>
          <w:szCs w:val="24"/>
        </w:rPr>
      </w:pPr>
      <w:bookmarkStart w:id="440" w:name="_Toc20726495"/>
      <w:bookmarkStart w:id="441" w:name="_Toc18315665"/>
      <w:r>
        <w:rPr>
          <w:rFonts w:hint="eastAsia" w:ascii="Times New Roman" w:hAnsi="Times New Roman" w:eastAsia="方正楷体_GBK"/>
          <w:b w:val="0"/>
          <w:sz w:val="24"/>
          <w:szCs w:val="24"/>
        </w:rPr>
        <w:t>苏建建管〔</w:t>
      </w:r>
      <w:r>
        <w:rPr>
          <w:rFonts w:ascii="Times New Roman" w:hAnsi="Times New Roman" w:eastAsia="方正楷体_GBK"/>
          <w:b w:val="0"/>
          <w:sz w:val="24"/>
          <w:szCs w:val="24"/>
        </w:rPr>
        <w:t>2013</w:t>
      </w:r>
      <w:r>
        <w:rPr>
          <w:rFonts w:hint="eastAsia" w:ascii="Times New Roman" w:hAnsi="Times New Roman" w:eastAsia="方正楷体_GBK"/>
          <w:b w:val="0"/>
          <w:sz w:val="24"/>
          <w:szCs w:val="24"/>
        </w:rPr>
        <w:t>〕</w:t>
      </w:r>
      <w:r>
        <w:rPr>
          <w:rFonts w:ascii="Times New Roman" w:hAnsi="Times New Roman" w:eastAsia="方正楷体_GBK"/>
          <w:b w:val="0"/>
          <w:sz w:val="24"/>
          <w:szCs w:val="24"/>
        </w:rPr>
        <w:t>266</w:t>
      </w:r>
      <w:r>
        <w:rPr>
          <w:rFonts w:hint="eastAsia" w:ascii="Times New Roman" w:hAnsi="Times New Roman" w:eastAsia="方正楷体_GBK"/>
          <w:b w:val="0"/>
          <w:sz w:val="24"/>
          <w:szCs w:val="24"/>
        </w:rPr>
        <w:t>号</w:t>
      </w:r>
      <w:bookmarkEnd w:id="440"/>
      <w:bookmarkEnd w:id="441"/>
    </w:p>
    <w:p>
      <w:pPr>
        <w:spacing w:line="460" w:lineRule="exact"/>
        <w:ind w:left="-170" w:leftChars="-120" w:right="-340" w:rightChars="-162" w:hanging="82" w:hangingChars="35"/>
        <w:jc w:val="distribute"/>
        <w:rPr>
          <w:rFonts w:eastAsia="方正仿宋_GBK"/>
          <w:color w:val="000000"/>
          <w:spacing w:val="-2"/>
          <w:sz w:val="24"/>
        </w:rPr>
      </w:pPr>
    </w:p>
    <w:p>
      <w:pPr>
        <w:spacing w:line="460" w:lineRule="exact"/>
        <w:rPr>
          <w:rFonts w:eastAsia="方正仿宋_GBK"/>
          <w:color w:val="000000"/>
          <w:spacing w:val="-2"/>
          <w:sz w:val="24"/>
        </w:rPr>
      </w:pPr>
      <w:r>
        <w:rPr>
          <w:rFonts w:hint="eastAsia" w:eastAsia="方正仿宋_GBK"/>
          <w:color w:val="000000"/>
          <w:spacing w:val="-2"/>
          <w:sz w:val="24"/>
        </w:rPr>
        <w:t>各市建设局（委），苏州工业园区规划建设局、张家港保税区规划建设局，昆山市、泰兴市、沭阳县建设局：</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为了提高监理规范化管理水平，提升监理现场的工作质量，我厅组织编制了《江苏省高支模工程监理实施细则（标准化格式文本）》和《江苏省扣件式钢管脚手架搭设、拆除工程监理实施细则（标准化格式文本）》，现印发你们，供全省统一使用。</w:t>
      </w:r>
    </w:p>
    <w:p>
      <w:pPr>
        <w:spacing w:line="460" w:lineRule="exact"/>
        <w:ind w:firstLine="645"/>
        <w:rPr>
          <w:rFonts w:eastAsia="方正仿宋_GBK"/>
          <w:color w:val="000000"/>
          <w:spacing w:val="-2"/>
          <w:sz w:val="24"/>
        </w:rPr>
      </w:pP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附件：</w:t>
      </w:r>
      <w:r>
        <w:rPr>
          <w:rFonts w:eastAsia="方正仿宋_GBK"/>
          <w:color w:val="000000"/>
          <w:spacing w:val="-2"/>
          <w:sz w:val="24"/>
        </w:rPr>
        <w:t>1.</w:t>
      </w:r>
      <w:r>
        <w:rPr>
          <w:rFonts w:hint="eastAsia" w:eastAsia="方正仿宋_GBK"/>
          <w:color w:val="000000"/>
          <w:spacing w:val="-2"/>
          <w:sz w:val="24"/>
        </w:rPr>
        <w:t>《江苏省高支模工程监理实施细则（标准化格式文本）》</w:t>
      </w:r>
    </w:p>
    <w:p>
      <w:pPr>
        <w:spacing w:line="460" w:lineRule="exact"/>
        <w:ind w:firstLine="1180" w:firstLineChars="500"/>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《江苏省扣件式钢管脚手架搭设、拆除工程监理实施细则（标准化格式</w:t>
      </w:r>
    </w:p>
    <w:p>
      <w:pPr>
        <w:spacing w:line="460" w:lineRule="exact"/>
        <w:ind w:firstLine="1571" w:firstLineChars="666"/>
        <w:rPr>
          <w:rFonts w:eastAsia="方正仿宋_GBK"/>
          <w:color w:val="000000"/>
          <w:spacing w:val="-2"/>
          <w:sz w:val="24"/>
        </w:rPr>
      </w:pPr>
      <w:r>
        <w:rPr>
          <w:rFonts w:hint="eastAsia" w:eastAsia="方正仿宋_GBK"/>
          <w:color w:val="000000"/>
          <w:spacing w:val="-2"/>
          <w:sz w:val="24"/>
        </w:rPr>
        <w:t>文本）》</w:t>
      </w:r>
    </w:p>
    <w:p>
      <w:pPr>
        <w:spacing w:line="460" w:lineRule="exact"/>
        <w:ind w:firstLine="708" w:firstLineChars="300"/>
        <w:rPr>
          <w:rFonts w:eastAsia="方正仿宋_GBK"/>
          <w:color w:val="000000"/>
          <w:spacing w:val="-2"/>
          <w:sz w:val="24"/>
        </w:rPr>
      </w:pPr>
      <w:r>
        <w:rPr>
          <w:rFonts w:eastAsia="方正仿宋_GBK"/>
          <w:color w:val="000000"/>
          <w:spacing w:val="-2"/>
          <w:sz w:val="24"/>
        </w:rPr>
        <w:t xml:space="preserve"> </w:t>
      </w:r>
    </w:p>
    <w:p>
      <w:pPr>
        <w:spacing w:line="460" w:lineRule="exact"/>
        <w:ind w:firstLine="645"/>
        <w:rPr>
          <w:rFonts w:eastAsia="方正仿宋_GBK"/>
          <w:color w:val="000000"/>
          <w:spacing w:val="-2"/>
          <w:sz w:val="24"/>
        </w:rPr>
      </w:pPr>
      <w:r>
        <w:rPr>
          <w:rFonts w:eastAsia="方正仿宋_GBK"/>
          <w:color w:val="000000"/>
          <w:spacing w:val="-2"/>
          <w:sz w:val="24"/>
        </w:rPr>
        <w:t xml:space="preserve">                                            </w:t>
      </w:r>
      <w:r>
        <w:rPr>
          <w:rFonts w:hint="eastAsia" w:eastAsia="方正仿宋_GBK"/>
          <w:color w:val="000000"/>
          <w:spacing w:val="-2"/>
          <w:sz w:val="24"/>
        </w:rPr>
        <w:t>江苏省住房和城乡建设厅</w:t>
      </w:r>
      <w:r>
        <w:rPr>
          <w:rFonts w:eastAsia="方正仿宋_GBK"/>
          <w:color w:val="000000"/>
          <w:spacing w:val="-2"/>
          <w:sz w:val="24"/>
        </w:rPr>
        <w:t xml:space="preserve">    </w:t>
      </w:r>
    </w:p>
    <w:p>
      <w:pPr>
        <w:wordWrap w:val="0"/>
        <w:spacing w:line="460" w:lineRule="exact"/>
        <w:ind w:firstLine="645"/>
        <w:jc w:val="right"/>
        <w:rPr>
          <w:rFonts w:eastAsia="方正仿宋_GBK"/>
          <w:color w:val="000000"/>
          <w:spacing w:val="-2"/>
          <w:sz w:val="24"/>
        </w:rPr>
      </w:pPr>
      <w:r>
        <w:rPr>
          <w:rFonts w:eastAsia="方正仿宋_GBK"/>
          <w:color w:val="000000"/>
          <w:spacing w:val="-2"/>
          <w:sz w:val="24"/>
        </w:rPr>
        <w:t xml:space="preserve">                      2013</w:t>
      </w:r>
      <w:r>
        <w:rPr>
          <w:rFonts w:hint="eastAsia" w:eastAsia="方正仿宋_GBK"/>
          <w:color w:val="000000"/>
          <w:spacing w:val="-2"/>
          <w:sz w:val="24"/>
        </w:rPr>
        <w:t>年</w:t>
      </w:r>
      <w:r>
        <w:rPr>
          <w:rFonts w:eastAsia="方正仿宋_GBK"/>
          <w:color w:val="000000"/>
          <w:spacing w:val="-2"/>
          <w:sz w:val="24"/>
        </w:rPr>
        <w:t>6</w:t>
      </w:r>
      <w:r>
        <w:rPr>
          <w:rFonts w:hint="eastAsia" w:eastAsia="方正仿宋_GBK"/>
          <w:color w:val="000000"/>
          <w:spacing w:val="-2"/>
          <w:sz w:val="24"/>
        </w:rPr>
        <w:t>月</w:t>
      </w:r>
      <w:r>
        <w:rPr>
          <w:rFonts w:eastAsia="方正仿宋_GBK"/>
          <w:color w:val="000000"/>
          <w:spacing w:val="-2"/>
          <w:sz w:val="24"/>
        </w:rPr>
        <w:t>4</w:t>
      </w:r>
      <w:r>
        <w:rPr>
          <w:rFonts w:hint="eastAsia" w:eastAsia="方正仿宋_GBK"/>
          <w:color w:val="000000"/>
          <w:spacing w:val="-2"/>
          <w:sz w:val="24"/>
        </w:rPr>
        <w:t>日</w:t>
      </w:r>
      <w:r>
        <w:rPr>
          <w:rFonts w:eastAsia="方正仿宋_GBK"/>
          <w:color w:val="000000"/>
          <w:spacing w:val="-2"/>
          <w:sz w:val="24"/>
        </w:rPr>
        <w:t xml:space="preserve">       </w:t>
      </w:r>
    </w:p>
    <w:p>
      <w:pPr>
        <w:spacing w:line="460" w:lineRule="exact"/>
        <w:ind w:firstLine="645"/>
        <w:jc w:val="right"/>
        <w:rPr>
          <w:rFonts w:eastAsia="方正仿宋_GBK"/>
          <w:color w:val="000000"/>
          <w:spacing w:val="-2"/>
          <w:sz w:val="24"/>
        </w:rPr>
      </w:pPr>
    </w:p>
    <w:p>
      <w:pPr>
        <w:spacing w:line="460" w:lineRule="exact"/>
        <w:ind w:firstLine="645"/>
        <w:jc w:val="right"/>
        <w:rPr>
          <w:rFonts w:eastAsia="仿宋_GB2312"/>
          <w:color w:val="000000"/>
          <w:spacing w:val="-2"/>
          <w:sz w:val="28"/>
          <w:szCs w:val="28"/>
        </w:rPr>
      </w:pPr>
      <w:r>
        <w:rPr>
          <w:rFonts w:eastAsia="方正仿宋_GBK"/>
          <w:color w:val="000000"/>
          <w:spacing w:val="-2"/>
          <w:sz w:val="24"/>
        </w:rPr>
        <w:t xml:space="preserve">        </w:t>
      </w:r>
    </w:p>
    <w:p>
      <w:pPr>
        <w:widowControl/>
        <w:jc w:val="left"/>
        <w:rPr>
          <w:rFonts w:eastAsia="仿宋_GB2312"/>
          <w:color w:val="000000"/>
          <w:spacing w:val="-2"/>
          <w:sz w:val="28"/>
          <w:szCs w:val="28"/>
        </w:rPr>
        <w:sectPr>
          <w:pgSz w:w="11905" w:h="16838"/>
          <w:pgMar w:top="1701" w:right="1587" w:bottom="1701" w:left="1587" w:header="850" w:footer="1361" w:gutter="0"/>
          <w:paperSrc w:first="4" w:other="4"/>
          <w:cols w:space="720" w:num="1"/>
        </w:sectPr>
      </w:pPr>
    </w:p>
    <w:p>
      <w:pPr>
        <w:spacing w:line="460" w:lineRule="exact"/>
        <w:rPr>
          <w:rFonts w:ascii="Times New Roman" w:eastAsia="黑体"/>
          <w:color w:val="000000"/>
          <w:spacing w:val="-2"/>
          <w:sz w:val="28"/>
          <w:szCs w:val="28"/>
        </w:rPr>
      </w:pPr>
      <w:r>
        <w:rPr>
          <w:rFonts w:hint="eastAsia" w:ascii="Times New Roman" w:eastAsia="黑体"/>
          <w:color w:val="000000"/>
          <w:spacing w:val="-2"/>
          <w:sz w:val="28"/>
          <w:szCs w:val="28"/>
        </w:rPr>
        <w:t>附件1：</w:t>
      </w:r>
    </w:p>
    <w:p>
      <w:pPr>
        <w:jc w:val="right"/>
        <w:rPr>
          <w:rFonts w:hint="eastAsia"/>
          <w:b/>
          <w:color w:val="000000"/>
          <w:spacing w:val="-2"/>
          <w:sz w:val="28"/>
          <w:szCs w:val="28"/>
        </w:rPr>
      </w:pPr>
      <w:r>
        <w:rPr>
          <w:b/>
          <w:color w:val="000000"/>
          <w:spacing w:val="-2"/>
          <w:sz w:val="28"/>
          <w:szCs w:val="28"/>
        </w:rPr>
        <w:t>B13</w:t>
      </w:r>
    </w:p>
    <w:p>
      <w:pPr>
        <w:jc w:val="right"/>
        <w:rPr>
          <w:b/>
          <w:color w:val="000000"/>
          <w:spacing w:val="-2"/>
          <w:sz w:val="28"/>
          <w:szCs w:val="28"/>
        </w:rPr>
      </w:pPr>
    </w:p>
    <w:p>
      <w:pPr>
        <w:spacing w:after="480"/>
        <w:jc w:val="center"/>
        <w:rPr>
          <w:rFonts w:ascii="Times New Roman"/>
          <w:color w:val="000000"/>
          <w:spacing w:val="-2"/>
          <w:sz w:val="36"/>
        </w:rPr>
      </w:pPr>
      <w:r>
        <w:rPr>
          <w:rFonts w:hint="eastAsia" w:ascii="Times New Roman" w:hAnsi="Times New Roman"/>
          <w:color w:val="000000"/>
          <w:spacing w:val="-2"/>
          <w:sz w:val="36"/>
          <w:u w:val="single"/>
        </w:rPr>
        <w:t>　　　　　　　　　　　　　　　　</w:t>
      </w:r>
      <w:r>
        <w:rPr>
          <w:rFonts w:hint="eastAsia" w:ascii="Times New Roman" w:hAnsi="Times New Roman"/>
          <w:color w:val="000000"/>
          <w:spacing w:val="-2"/>
          <w:sz w:val="36"/>
        </w:rPr>
        <w:t>工程</w:t>
      </w:r>
    </w:p>
    <w:p>
      <w:pPr>
        <w:spacing w:after="120"/>
        <w:jc w:val="center"/>
        <w:rPr>
          <w:rFonts w:hint="eastAsia" w:ascii="Times New Roman"/>
          <w:b/>
          <w:color w:val="000000"/>
          <w:spacing w:val="-2"/>
          <w:sz w:val="36"/>
          <w:szCs w:val="36"/>
          <w14:shadow w14:blurRad="50800" w14:dist="38100" w14:dir="2700000" w14:sx="100000" w14:sy="100000" w14:kx="0" w14:ky="0" w14:algn="tl">
            <w14:srgbClr w14:val="000000">
              <w14:alpha w14:val="60000"/>
            </w14:srgbClr>
          </w14:shadow>
        </w:rPr>
      </w:pPr>
      <w:r>
        <w:rPr>
          <w:rFonts w:hint="eastAsia" w:ascii="Times New Roman" w:hAnsi="Times New Roman"/>
          <w:b/>
          <w:color w:val="000000"/>
          <w:spacing w:val="-2"/>
          <w:sz w:val="36"/>
          <w:szCs w:val="36"/>
          <w14:shadow w14:blurRad="50800" w14:dist="38100" w14:dir="2700000" w14:sx="100000" w14:sy="100000" w14:kx="0" w14:ky="0" w14:algn="tl">
            <w14:srgbClr w14:val="000000">
              <w14:alpha w14:val="60000"/>
            </w14:srgbClr>
          </w14:shadow>
        </w:rPr>
        <w:t>监理实施细则</w:t>
      </w:r>
    </w:p>
    <w:p>
      <w:pPr>
        <w:jc w:val="center"/>
        <w:rPr>
          <w:rFonts w:hint="eastAsia" w:ascii="Times New Roman"/>
          <w:b/>
          <w:color w:val="000000"/>
          <w:spacing w:val="-2"/>
          <w:sz w:val="48"/>
        </w:rPr>
      </w:pPr>
      <w:r>
        <w:rPr>
          <w:rFonts w:hint="eastAsia" w:ascii="Times New Roman" w:hAnsi="Times New Roman"/>
          <w:b/>
          <w:color w:val="000000"/>
          <w:spacing w:val="-2"/>
          <w:sz w:val="48"/>
        </w:rPr>
        <w:t>（高支模工程）</w:t>
      </w:r>
    </w:p>
    <w:p>
      <w:pPr>
        <w:jc w:val="center"/>
        <w:rPr>
          <w:rFonts w:hint="eastAsia" w:ascii="Times New Roman"/>
          <w:b/>
          <w:color w:val="000000"/>
          <w:spacing w:val="-2"/>
          <w:sz w:val="44"/>
          <w:szCs w:val="44"/>
        </w:rPr>
      </w:pPr>
      <w:r>
        <w:rPr>
          <w:rFonts w:hint="eastAsia" w:ascii="Times New Roman" w:hAnsi="Times New Roman"/>
          <w:b/>
          <w:color w:val="000000"/>
          <w:spacing w:val="-2"/>
          <w:sz w:val="44"/>
          <w:szCs w:val="44"/>
        </w:rPr>
        <w:t>（标准化格式文本）</w:t>
      </w:r>
    </w:p>
    <w:p>
      <w:pPr>
        <w:spacing w:line="540" w:lineRule="exact"/>
        <w:ind w:firstLine="2671" w:firstLineChars="964"/>
        <w:rPr>
          <w:rFonts w:hint="eastAsia" w:ascii="Times New Roman" w:hAnsi="Times New Roman"/>
          <w:b/>
          <w:color w:val="000000"/>
          <w:spacing w:val="-2"/>
          <w:sz w:val="28"/>
        </w:rPr>
      </w:pPr>
    </w:p>
    <w:p>
      <w:pPr>
        <w:spacing w:line="540" w:lineRule="exact"/>
        <w:ind w:firstLine="2671" w:firstLineChars="964"/>
        <w:rPr>
          <w:rFonts w:hint="eastAsia" w:ascii="Times New Roman"/>
          <w:b/>
          <w:color w:val="000000"/>
          <w:spacing w:val="-2"/>
          <w:sz w:val="28"/>
        </w:rPr>
      </w:pPr>
      <w:r>
        <w:rPr>
          <w:rFonts w:hint="eastAsia" w:ascii="Times New Roman" w:hAnsi="Times New Roman"/>
          <w:b/>
          <w:color w:val="000000"/>
          <w:spacing w:val="-2"/>
          <w:sz w:val="28"/>
        </w:rPr>
        <w:t>内容提要：</w:t>
      </w:r>
    </w:p>
    <w:p>
      <w:pPr>
        <w:spacing w:line="540" w:lineRule="exact"/>
        <w:ind w:firstLine="2704" w:firstLineChars="980"/>
        <w:rPr>
          <w:rFonts w:hint="eastAsia" w:ascii="Times New Roman"/>
          <w:color w:val="000000"/>
          <w:spacing w:val="-2"/>
          <w:sz w:val="28"/>
        </w:rPr>
      </w:pPr>
      <w:r>
        <w:rPr>
          <w:rFonts w:hint="eastAsia" w:ascii="Times New Roman" w:hAnsi="Times New Roman"/>
          <w:color w:val="000000"/>
          <w:spacing w:val="-2"/>
          <w:sz w:val="28"/>
        </w:rPr>
        <w:t>高支模工程概况</w:t>
      </w:r>
    </w:p>
    <w:p>
      <w:pPr>
        <w:spacing w:line="540" w:lineRule="exact"/>
        <w:ind w:firstLine="2691" w:firstLineChars="975"/>
        <w:rPr>
          <w:rFonts w:hint="eastAsia" w:ascii="Times New Roman"/>
          <w:color w:val="000000"/>
          <w:spacing w:val="-2"/>
          <w:sz w:val="28"/>
        </w:rPr>
      </w:pPr>
      <w:r>
        <w:rPr>
          <w:rFonts w:hint="eastAsia" w:ascii="Times New Roman" w:hAnsi="Times New Roman"/>
          <w:color w:val="000000"/>
          <w:spacing w:val="-2"/>
          <w:sz w:val="28"/>
        </w:rPr>
        <w:t>本工程特点、难点</w:t>
      </w:r>
    </w:p>
    <w:p>
      <w:pPr>
        <w:spacing w:line="540" w:lineRule="exact"/>
        <w:ind w:firstLine="2718" w:firstLineChars="985"/>
        <w:rPr>
          <w:rFonts w:hint="eastAsia" w:ascii="Times New Roman"/>
          <w:color w:val="000000"/>
          <w:spacing w:val="-2"/>
          <w:sz w:val="28"/>
        </w:rPr>
      </w:pPr>
      <w:r>
        <w:rPr>
          <w:rFonts w:hint="eastAsia" w:ascii="Times New Roman" w:hAnsi="Times New Roman"/>
          <w:color w:val="000000"/>
          <w:spacing w:val="-2"/>
          <w:sz w:val="28"/>
        </w:rPr>
        <w:t>监理工作依据</w:t>
      </w:r>
    </w:p>
    <w:p>
      <w:pPr>
        <w:spacing w:line="540" w:lineRule="exact"/>
        <w:ind w:firstLine="2704" w:firstLineChars="980"/>
        <w:rPr>
          <w:rFonts w:hint="eastAsia" w:ascii="Times New Roman"/>
          <w:color w:val="000000"/>
          <w:spacing w:val="-2"/>
          <w:sz w:val="28"/>
        </w:rPr>
      </w:pPr>
      <w:r>
        <w:rPr>
          <w:rFonts w:hint="eastAsia" w:ascii="Times New Roman" w:hAnsi="Times New Roman"/>
          <w:color w:val="000000"/>
          <w:spacing w:val="-2"/>
          <w:sz w:val="28"/>
        </w:rPr>
        <w:t>监理组织机构</w:t>
      </w:r>
    </w:p>
    <w:p>
      <w:pPr>
        <w:spacing w:line="540" w:lineRule="exact"/>
        <w:ind w:firstLine="2704" w:firstLineChars="980"/>
        <w:rPr>
          <w:rFonts w:hint="eastAsia" w:ascii="Times New Roman"/>
          <w:color w:val="000000"/>
          <w:spacing w:val="-2"/>
          <w:sz w:val="28"/>
        </w:rPr>
      </w:pPr>
      <w:r>
        <w:rPr>
          <w:rFonts w:hint="eastAsia" w:ascii="Times New Roman" w:hAnsi="Times New Roman"/>
          <w:color w:val="000000"/>
          <w:spacing w:val="-2"/>
          <w:sz w:val="28"/>
        </w:rPr>
        <w:t>监理工作流程</w:t>
      </w:r>
    </w:p>
    <w:p>
      <w:pPr>
        <w:spacing w:line="540" w:lineRule="exact"/>
        <w:ind w:firstLine="2704" w:firstLineChars="980"/>
        <w:rPr>
          <w:rFonts w:hint="eastAsia" w:ascii="Times New Roman"/>
          <w:color w:val="000000"/>
          <w:spacing w:val="-2"/>
          <w:sz w:val="28"/>
        </w:rPr>
      </w:pPr>
      <w:r>
        <w:rPr>
          <w:rFonts w:hint="eastAsia" w:ascii="Times New Roman" w:hAnsi="Times New Roman"/>
          <w:color w:val="000000"/>
          <w:spacing w:val="-2"/>
          <w:sz w:val="28"/>
        </w:rPr>
        <w:t>监理工作控制要点及目标值</w:t>
      </w:r>
    </w:p>
    <w:p>
      <w:pPr>
        <w:spacing w:line="540" w:lineRule="exact"/>
        <w:ind w:firstLine="2718" w:firstLineChars="985"/>
        <w:rPr>
          <w:rFonts w:hint="eastAsia" w:ascii="Times New Roman"/>
          <w:color w:val="000000"/>
          <w:spacing w:val="-2"/>
          <w:sz w:val="28"/>
        </w:rPr>
      </w:pPr>
      <w:r>
        <w:rPr>
          <w:rFonts w:hint="eastAsia" w:ascii="Times New Roman" w:hAnsi="Times New Roman"/>
          <w:color w:val="000000"/>
          <w:spacing w:val="-2"/>
          <w:sz w:val="28"/>
        </w:rPr>
        <w:t>监理工作方法及措施</w:t>
      </w:r>
    </w:p>
    <w:p>
      <w:pPr>
        <w:spacing w:line="540" w:lineRule="exact"/>
        <w:ind w:firstLine="2718" w:firstLineChars="985"/>
        <w:rPr>
          <w:rFonts w:hint="eastAsia" w:ascii="Times New Roman"/>
          <w:color w:val="000000"/>
          <w:spacing w:val="-2"/>
          <w:sz w:val="28"/>
        </w:rPr>
      </w:pPr>
    </w:p>
    <w:p>
      <w:pPr>
        <w:rPr>
          <w:rFonts w:hint="eastAsia" w:ascii="Times New Roman"/>
          <w:b/>
          <w:color w:val="000000"/>
          <w:spacing w:val="-2"/>
          <w:sz w:val="28"/>
          <w:u w:val="single"/>
        </w:rPr>
      </w:pPr>
      <w:r>
        <w:rPr>
          <w:rFonts w:hint="eastAsia" w:ascii="Times New Roman" w:hAnsi="Times New Roman"/>
          <w:b/>
          <w:color w:val="000000"/>
          <w:spacing w:val="-2"/>
          <w:sz w:val="28"/>
        </w:rPr>
        <w:t xml:space="preserve">              工程监理机构（章）：</w:t>
      </w:r>
      <w:r>
        <w:rPr>
          <w:rFonts w:hint="eastAsia" w:ascii="Times New Roman" w:hAnsi="Times New Roman"/>
          <w:b/>
          <w:color w:val="000000"/>
          <w:spacing w:val="-2"/>
          <w:sz w:val="28"/>
          <w:u w:val="single"/>
        </w:rPr>
        <w:t xml:space="preserve">　　　　　　　 </w:t>
      </w:r>
    </w:p>
    <w:p>
      <w:pPr>
        <w:rPr>
          <w:rFonts w:hint="eastAsia" w:ascii="Times New Roman"/>
          <w:b/>
          <w:color w:val="000000"/>
          <w:spacing w:val="-2"/>
          <w:sz w:val="28"/>
          <w:u w:val="single"/>
        </w:rPr>
      </w:pPr>
      <w:r>
        <w:rPr>
          <w:rFonts w:hint="eastAsia" w:ascii="Times New Roman" w:hAnsi="Times New Roman"/>
          <w:b/>
          <w:color w:val="000000"/>
          <w:spacing w:val="-2"/>
          <w:sz w:val="28"/>
        </w:rPr>
        <w:t xml:space="preserve">              专业监理工程师：</w:t>
      </w:r>
      <w:r>
        <w:rPr>
          <w:rFonts w:hint="eastAsia" w:ascii="Times New Roman" w:hAnsi="Times New Roman"/>
          <w:b/>
          <w:color w:val="000000"/>
          <w:spacing w:val="-2"/>
          <w:sz w:val="28"/>
          <w:u w:val="single"/>
        </w:rPr>
        <w:t xml:space="preserve">                  </w:t>
      </w:r>
    </w:p>
    <w:p>
      <w:pPr>
        <w:rPr>
          <w:rFonts w:hint="eastAsia" w:ascii="Times New Roman"/>
          <w:b/>
          <w:color w:val="000000"/>
          <w:spacing w:val="-2"/>
          <w:sz w:val="28"/>
          <w:u w:val="single"/>
        </w:rPr>
      </w:pPr>
      <w:r>
        <w:rPr>
          <w:rFonts w:hint="eastAsia" w:ascii="Times New Roman" w:hAnsi="Times New Roman"/>
          <w:b/>
          <w:color w:val="000000"/>
          <w:spacing w:val="-2"/>
          <w:sz w:val="28"/>
        </w:rPr>
        <w:t xml:space="preserve">              总监理工程师：</w:t>
      </w:r>
      <w:r>
        <w:rPr>
          <w:rFonts w:hint="eastAsia" w:ascii="Times New Roman" w:hAnsi="Times New Roman"/>
          <w:b/>
          <w:color w:val="000000"/>
          <w:spacing w:val="-2"/>
          <w:sz w:val="28"/>
          <w:u w:val="single"/>
        </w:rPr>
        <w:t xml:space="preserve">　　　　　　　　 　 </w:t>
      </w:r>
    </w:p>
    <w:p>
      <w:pPr>
        <w:spacing w:after="480"/>
        <w:ind w:firstLine="1965"/>
        <w:rPr>
          <w:rFonts w:hint="eastAsia" w:ascii="Times New Roman"/>
          <w:b/>
          <w:color w:val="000000"/>
          <w:spacing w:val="-2"/>
          <w:sz w:val="28"/>
          <w:u w:val="single"/>
        </w:rPr>
      </w:pPr>
      <w:r>
        <w:rPr>
          <w:rFonts w:hint="eastAsia" w:ascii="Times New Roman" w:hAnsi="Times New Roman"/>
          <w:b/>
          <w:color w:val="000000"/>
          <w:spacing w:val="-2"/>
          <w:sz w:val="28"/>
        </w:rPr>
        <w:t>日期：</w:t>
      </w:r>
      <w:r>
        <w:rPr>
          <w:rFonts w:hint="eastAsia" w:ascii="Times New Roman" w:hAnsi="Times New Roman"/>
          <w:b/>
          <w:color w:val="000000"/>
          <w:spacing w:val="-2"/>
          <w:sz w:val="28"/>
          <w:u w:val="single"/>
        </w:rPr>
        <w:t xml:space="preserve">　　　　　　　　　　        </w:t>
      </w:r>
    </w:p>
    <w:p>
      <w:pPr>
        <w:jc w:val="center"/>
        <w:rPr>
          <w:rFonts w:hint="eastAsia" w:ascii="Times New Roman" w:eastAsia="隶书"/>
          <w:color w:val="000000"/>
          <w:spacing w:val="-2"/>
          <w:sz w:val="28"/>
        </w:rPr>
      </w:pPr>
    </w:p>
    <w:p>
      <w:pPr>
        <w:jc w:val="center"/>
        <w:rPr>
          <w:rFonts w:hint="eastAsia" w:ascii="Times New Roman" w:eastAsia="隶书"/>
          <w:color w:val="000000"/>
          <w:spacing w:val="-2"/>
          <w:sz w:val="28"/>
        </w:rPr>
      </w:pPr>
    </w:p>
    <w:p>
      <w:pPr>
        <w:jc w:val="center"/>
        <w:rPr>
          <w:rFonts w:hint="eastAsia" w:ascii="Times New Roman" w:eastAsia="隶书"/>
          <w:color w:val="000000"/>
          <w:spacing w:val="-2"/>
          <w:sz w:val="28"/>
        </w:rPr>
      </w:pPr>
    </w:p>
    <w:p>
      <w:pPr>
        <w:jc w:val="center"/>
        <w:rPr>
          <w:rFonts w:hint="eastAsia" w:ascii="Times New Roman" w:eastAsia="隶书"/>
          <w:color w:val="000000"/>
          <w:spacing w:val="-2"/>
          <w:sz w:val="28"/>
        </w:rPr>
      </w:pPr>
      <w:r>
        <w:rPr>
          <w:rFonts w:hint="eastAsia" w:ascii="Times New Roman" w:eastAsia="隶书"/>
          <w:color w:val="000000"/>
          <w:spacing w:val="-2"/>
          <w:sz w:val="28"/>
        </w:rPr>
        <w:t>江苏省住房和城乡建设厅监制</w:t>
      </w:r>
    </w:p>
    <w:p>
      <w:pPr>
        <w:jc w:val="center"/>
        <w:textAlignment w:val="center"/>
        <w:rPr>
          <w:rFonts w:hint="eastAsia" w:ascii="Times New Roman"/>
          <w:b/>
          <w:color w:val="000000"/>
          <w:spacing w:val="-2"/>
          <w:sz w:val="32"/>
        </w:rPr>
      </w:pPr>
    </w:p>
    <w:p>
      <w:pPr>
        <w:jc w:val="center"/>
        <w:textAlignment w:val="center"/>
        <w:rPr>
          <w:rFonts w:hint="eastAsia" w:ascii="Times New Roman" w:hAnsi="Times New Roman" w:eastAsia="方正小标宋简体"/>
          <w:color w:val="000000"/>
          <w:spacing w:val="-2"/>
          <w:sz w:val="32"/>
        </w:rPr>
      </w:pPr>
      <w:r>
        <w:rPr>
          <w:rFonts w:hint="eastAsia" w:ascii="Times New Roman" w:hAnsi="Times New Roman" w:eastAsia="方正小标宋简体"/>
          <w:color w:val="000000"/>
          <w:spacing w:val="-2"/>
          <w:sz w:val="32"/>
        </w:rPr>
        <w:br w:type="column"/>
      </w:r>
    </w:p>
    <w:p>
      <w:pPr>
        <w:jc w:val="center"/>
        <w:textAlignment w:val="center"/>
        <w:rPr>
          <w:rFonts w:hint="eastAsia" w:ascii="Times New Roman" w:hAnsi="Times New Roman" w:eastAsia="方正小标宋简体"/>
          <w:color w:val="000000"/>
          <w:spacing w:val="-2"/>
          <w:sz w:val="36"/>
          <w:szCs w:val="36"/>
        </w:rPr>
      </w:pPr>
      <w:r>
        <w:rPr>
          <w:rFonts w:hint="eastAsia" w:ascii="Times New Roman" w:hAnsi="Times New Roman" w:eastAsia="方正小标宋简体"/>
          <w:color w:val="000000"/>
          <w:spacing w:val="-2"/>
          <w:sz w:val="36"/>
          <w:szCs w:val="36"/>
        </w:rPr>
        <w:t>高支模工程监理实施细则</w:t>
      </w:r>
    </w:p>
    <w:p>
      <w:pPr>
        <w:spacing w:line="420" w:lineRule="exact"/>
        <w:jc w:val="center"/>
        <w:textAlignment w:val="center"/>
        <w:rPr>
          <w:rFonts w:hint="eastAsia" w:ascii="Times New Roman"/>
          <w:b/>
          <w:color w:val="000000"/>
          <w:spacing w:val="-2"/>
          <w:sz w:val="32"/>
        </w:rPr>
      </w:pPr>
    </w:p>
    <w:p>
      <w:pPr>
        <w:spacing w:before="240" w:beforeLines="100" w:after="240" w:afterLines="100" w:line="420" w:lineRule="exact"/>
        <w:rPr>
          <w:rFonts w:hint="eastAsia"/>
          <w:b/>
          <w:color w:val="000000"/>
          <w:spacing w:val="-2"/>
          <w:sz w:val="28"/>
          <w:szCs w:val="28"/>
        </w:rPr>
      </w:pPr>
      <w:r>
        <w:rPr>
          <w:b/>
          <w:color w:val="000000"/>
          <w:spacing w:val="-2"/>
          <w:sz w:val="28"/>
          <w:szCs w:val="28"/>
        </w:rPr>
        <w:t xml:space="preserve">1 </w:t>
      </w:r>
      <w:r>
        <w:rPr>
          <w:rFonts w:hint="eastAsia"/>
          <w:b/>
          <w:color w:val="000000"/>
          <w:spacing w:val="-2"/>
          <w:sz w:val="28"/>
          <w:szCs w:val="28"/>
        </w:rPr>
        <w:t>高支模工程概况</w:t>
      </w:r>
    </w:p>
    <w:p>
      <w:pPr>
        <w:spacing w:line="420" w:lineRule="exact"/>
        <w:rPr>
          <w:rFonts w:ascii="Times New Roman"/>
          <w:b/>
          <w:color w:val="000000"/>
          <w:spacing w:val="-2"/>
          <w:sz w:val="24"/>
        </w:rPr>
      </w:pPr>
      <w:r>
        <w:rPr>
          <w:b/>
          <w:bCs/>
          <w:color w:val="000000"/>
          <w:spacing w:val="-2"/>
          <w:kern w:val="0"/>
          <w:sz w:val="24"/>
        </w:rPr>
        <w:t xml:space="preserve">1.1 </w:t>
      </w:r>
      <w:r>
        <w:rPr>
          <w:rFonts w:hint="eastAsia" w:ascii="Times New Roman" w:hAnsi="Times New Roman"/>
          <w:b/>
          <w:color w:val="000000"/>
          <w:spacing w:val="-2"/>
          <w:sz w:val="24"/>
        </w:rPr>
        <w:t>工程概况：</w:t>
      </w:r>
    </w:p>
    <w:p>
      <w:pPr>
        <w:spacing w:line="420" w:lineRule="exact"/>
        <w:rPr>
          <w:rFonts w:hint="eastAsia" w:ascii="Times New Roman"/>
          <w:color w:val="000000"/>
          <w:spacing w:val="-2"/>
          <w:sz w:val="24"/>
        </w:rPr>
      </w:pPr>
      <w:r>
        <w:rPr>
          <w:rFonts w:hint="eastAsia" w:ascii="Times New Roman" w:hAnsi="Times New Roman"/>
          <w:color w:val="000000"/>
          <w:spacing w:val="-2"/>
          <w:sz w:val="24"/>
        </w:rPr>
        <w:t>（应介绍本工程高大模板支架的相关内容：种类、最高多少，模板最重多少，安装的方法，支架上部主要荷载特征、地基特征等。）</w:t>
      </w:r>
    </w:p>
    <w:p>
      <w:pPr>
        <w:spacing w:line="420" w:lineRule="exact"/>
        <w:rPr>
          <w:rFonts w:hint="eastAsia" w:ascii="Times New Roman"/>
          <w:b/>
          <w:color w:val="000000"/>
          <w:spacing w:val="-2"/>
          <w:sz w:val="24"/>
        </w:rPr>
      </w:pPr>
      <w:r>
        <w:rPr>
          <w:b/>
          <w:bCs/>
          <w:color w:val="000000"/>
          <w:spacing w:val="-2"/>
          <w:kern w:val="0"/>
          <w:sz w:val="24"/>
        </w:rPr>
        <w:t xml:space="preserve">1.2 </w:t>
      </w:r>
      <w:r>
        <w:rPr>
          <w:rFonts w:hint="eastAsia" w:ascii="Times New Roman" w:hAnsi="Times New Roman"/>
          <w:b/>
          <w:color w:val="000000"/>
          <w:spacing w:val="-2"/>
          <w:sz w:val="24"/>
        </w:rPr>
        <w:t>本高支模工程概况：（如有多种支模形式应分别说明）</w:t>
      </w:r>
    </w:p>
    <w:p>
      <w:pPr>
        <w:spacing w:line="360" w:lineRule="auto"/>
        <w:rPr>
          <w:rFonts w:hint="eastAsia" w:ascii="Times New Roman"/>
          <w:color w:val="000000"/>
          <w:spacing w:val="-2"/>
        </w:rPr>
      </w:pPr>
      <w:r>
        <w:rPr>
          <w:rFonts w:hint="eastAsia" w:ascii="Times New Roman" w:hAnsi="Times New Roman"/>
          <w:b/>
          <w:color w:val="000000"/>
          <w:spacing w:val="-2"/>
        </w:rPr>
        <w:t xml:space="preserve">                               </w:t>
      </w:r>
      <w:r>
        <w:rPr>
          <w:rFonts w:hint="eastAsia" w:ascii="Times New Roman" w:hAnsi="Times New Roman" w:eastAsia="黑体"/>
          <w:color w:val="000000"/>
          <w:spacing w:val="-2"/>
          <w:sz w:val="24"/>
        </w:rPr>
        <w:t>本高支模工程概况一览表</w:t>
      </w:r>
      <w:r>
        <w:rPr>
          <w:rFonts w:hint="eastAsia" w:ascii="Times New Roman" w:hAnsi="Times New Roman"/>
          <w:color w:val="000000"/>
          <w:spacing w:val="-2"/>
          <w:sz w:val="24"/>
        </w:rPr>
        <w:t xml:space="preserve">   </w:t>
      </w:r>
      <w:r>
        <w:rPr>
          <w:rFonts w:hint="eastAsia" w:ascii="Times New Roman" w:hAnsi="Times New Roman"/>
          <w:color w:val="000000"/>
          <w:spacing w:val="-2"/>
        </w:rPr>
        <w:t xml:space="preserve">                   表1.1</w:t>
      </w: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157"/>
        <w:gridCol w:w="3447"/>
        <w:gridCol w:w="25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7" w:type="dxa"/>
            <w:tcBorders>
              <w:top w:val="single" w:color="auto" w:sz="8" w:space="0"/>
              <w:left w:val="single" w:color="auto" w:sz="8" w:space="0"/>
              <w:bottom w:val="single" w:color="auto" w:sz="4" w:space="0"/>
              <w:right w:val="single" w:color="auto" w:sz="4" w:space="0"/>
            </w:tcBorders>
            <w:noWrap w:val="0"/>
            <w:vAlign w:val="center"/>
          </w:tcPr>
          <w:p>
            <w:pPr>
              <w:spacing w:line="240" w:lineRule="exact"/>
              <w:jc w:val="center"/>
              <w:rPr>
                <w:rFonts w:ascii="Times New Roman" w:eastAsia="黑体"/>
                <w:color w:val="000000"/>
                <w:spacing w:val="-2"/>
                <w:szCs w:val="21"/>
              </w:rPr>
            </w:pPr>
            <w:r>
              <w:rPr>
                <w:rFonts w:hint="eastAsia" w:ascii="Times New Roman" w:eastAsia="黑体"/>
                <w:color w:val="000000"/>
                <w:spacing w:val="-2"/>
                <w:szCs w:val="21"/>
              </w:rPr>
              <w:t>高支模分项工程</w:t>
            </w:r>
          </w:p>
        </w:tc>
        <w:tc>
          <w:tcPr>
            <w:tcW w:w="3447" w:type="dxa"/>
            <w:tcBorders>
              <w:top w:val="single" w:color="auto" w:sz="8" w:space="0"/>
              <w:left w:val="single" w:color="auto" w:sz="4" w:space="0"/>
              <w:bottom w:val="single" w:color="auto" w:sz="4" w:space="0"/>
              <w:right w:val="single" w:color="auto" w:sz="4" w:space="0"/>
            </w:tcBorders>
            <w:noWrap w:val="0"/>
            <w:vAlign w:val="center"/>
          </w:tcPr>
          <w:p>
            <w:pPr>
              <w:spacing w:line="240" w:lineRule="exact"/>
              <w:jc w:val="center"/>
              <w:rPr>
                <w:rFonts w:ascii="Times New Roman" w:eastAsia="黑体"/>
                <w:color w:val="000000"/>
                <w:spacing w:val="-2"/>
                <w:szCs w:val="21"/>
              </w:rPr>
            </w:pPr>
            <w:r>
              <w:rPr>
                <w:rFonts w:hint="eastAsia" w:ascii="Times New Roman" w:eastAsia="黑体"/>
                <w:color w:val="000000"/>
                <w:spacing w:val="-2"/>
                <w:szCs w:val="21"/>
              </w:rPr>
              <w:t>施组设计要求</w:t>
            </w:r>
          </w:p>
        </w:tc>
        <w:tc>
          <w:tcPr>
            <w:tcW w:w="2599" w:type="dxa"/>
            <w:tcBorders>
              <w:top w:val="single" w:color="auto" w:sz="8" w:space="0"/>
              <w:left w:val="single" w:color="auto" w:sz="4" w:space="0"/>
              <w:bottom w:val="single" w:color="auto" w:sz="4" w:space="0"/>
              <w:right w:val="single" w:color="auto" w:sz="8" w:space="0"/>
            </w:tcBorders>
            <w:noWrap w:val="0"/>
            <w:vAlign w:val="center"/>
          </w:tcPr>
          <w:p>
            <w:pPr>
              <w:spacing w:line="240" w:lineRule="exact"/>
              <w:jc w:val="center"/>
              <w:rPr>
                <w:rFonts w:ascii="Times New Roman" w:eastAsia="黑体"/>
                <w:color w:val="000000"/>
                <w:spacing w:val="-2"/>
                <w:szCs w:val="21"/>
              </w:rPr>
            </w:pPr>
            <w:r>
              <w:rPr>
                <w:rFonts w:hint="eastAsia" w:ascii="Times New Roman" w:eastAsia="黑体"/>
                <w:color w:val="000000"/>
                <w:spacing w:val="-2"/>
                <w:szCs w:val="21"/>
              </w:rPr>
              <w:t>施工单位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7" w:type="dxa"/>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rPr>
                <w:color w:val="000000"/>
                <w:spacing w:val="-2"/>
                <w:szCs w:val="21"/>
              </w:rPr>
            </w:pPr>
            <w:r>
              <w:rPr>
                <w:rFonts w:hint="eastAsia"/>
                <w:color w:val="000000"/>
                <w:spacing w:val="-2"/>
                <w:szCs w:val="21"/>
              </w:rPr>
              <w:t>地基处理</w:t>
            </w:r>
          </w:p>
        </w:tc>
        <w:tc>
          <w:tcPr>
            <w:tcW w:w="3447"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color w:val="000000"/>
                <w:spacing w:val="-2"/>
                <w:szCs w:val="21"/>
              </w:rPr>
            </w:pPr>
          </w:p>
        </w:tc>
        <w:tc>
          <w:tcPr>
            <w:tcW w:w="2599"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center"/>
              <w:rPr>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7" w:type="dxa"/>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rPr>
                <w:color w:val="000000"/>
                <w:spacing w:val="-2"/>
                <w:szCs w:val="21"/>
              </w:rPr>
            </w:pPr>
            <w:r>
              <w:rPr>
                <w:rFonts w:hint="eastAsia"/>
                <w:color w:val="000000"/>
                <w:spacing w:val="-2"/>
                <w:szCs w:val="21"/>
              </w:rPr>
              <w:t>支架材料</w:t>
            </w:r>
          </w:p>
        </w:tc>
        <w:tc>
          <w:tcPr>
            <w:tcW w:w="3447"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color w:val="000000"/>
                <w:spacing w:val="-2"/>
                <w:szCs w:val="21"/>
              </w:rPr>
            </w:pPr>
          </w:p>
        </w:tc>
        <w:tc>
          <w:tcPr>
            <w:tcW w:w="2599"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center"/>
              <w:rPr>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7" w:type="dxa"/>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rPr>
                <w:color w:val="000000"/>
                <w:spacing w:val="-2"/>
                <w:szCs w:val="21"/>
              </w:rPr>
            </w:pPr>
            <w:r>
              <w:rPr>
                <w:rFonts w:hint="eastAsia"/>
                <w:color w:val="000000"/>
                <w:spacing w:val="-2"/>
                <w:szCs w:val="21"/>
              </w:rPr>
              <w:t>支架安装</w:t>
            </w:r>
          </w:p>
        </w:tc>
        <w:tc>
          <w:tcPr>
            <w:tcW w:w="3447"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color w:val="000000"/>
                <w:spacing w:val="-2"/>
                <w:szCs w:val="21"/>
              </w:rPr>
            </w:pPr>
          </w:p>
        </w:tc>
        <w:tc>
          <w:tcPr>
            <w:tcW w:w="2599"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center"/>
              <w:rPr>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7" w:type="dxa"/>
            <w:tcBorders>
              <w:top w:val="single" w:color="auto" w:sz="4" w:space="0"/>
              <w:left w:val="single" w:color="auto" w:sz="8" w:space="0"/>
              <w:bottom w:val="single" w:color="auto" w:sz="8" w:space="0"/>
              <w:right w:val="single" w:color="auto" w:sz="4" w:space="0"/>
            </w:tcBorders>
            <w:noWrap w:val="0"/>
            <w:vAlign w:val="center"/>
          </w:tcPr>
          <w:p>
            <w:pPr>
              <w:spacing w:line="240" w:lineRule="exact"/>
              <w:jc w:val="center"/>
              <w:rPr>
                <w:color w:val="000000"/>
                <w:spacing w:val="-2"/>
                <w:szCs w:val="21"/>
              </w:rPr>
            </w:pPr>
            <w:r>
              <w:rPr>
                <w:rFonts w:hint="eastAsia"/>
                <w:color w:val="000000"/>
                <w:spacing w:val="-2"/>
                <w:szCs w:val="21"/>
              </w:rPr>
              <w:t>支架及模板拆除</w:t>
            </w:r>
          </w:p>
        </w:tc>
        <w:tc>
          <w:tcPr>
            <w:tcW w:w="3447" w:type="dxa"/>
            <w:tcBorders>
              <w:top w:val="single" w:color="auto" w:sz="4" w:space="0"/>
              <w:left w:val="single" w:color="auto" w:sz="4" w:space="0"/>
              <w:bottom w:val="single" w:color="auto" w:sz="8" w:space="0"/>
              <w:right w:val="single" w:color="auto" w:sz="4" w:space="0"/>
            </w:tcBorders>
            <w:noWrap w:val="0"/>
            <w:vAlign w:val="center"/>
          </w:tcPr>
          <w:p>
            <w:pPr>
              <w:spacing w:line="240" w:lineRule="exact"/>
              <w:jc w:val="center"/>
              <w:rPr>
                <w:color w:val="000000"/>
                <w:spacing w:val="-2"/>
                <w:szCs w:val="21"/>
              </w:rPr>
            </w:pPr>
          </w:p>
        </w:tc>
        <w:tc>
          <w:tcPr>
            <w:tcW w:w="2599" w:type="dxa"/>
            <w:tcBorders>
              <w:top w:val="single" w:color="auto" w:sz="4" w:space="0"/>
              <w:left w:val="single" w:color="auto" w:sz="4" w:space="0"/>
              <w:bottom w:val="single" w:color="auto" w:sz="8" w:space="0"/>
              <w:right w:val="single" w:color="auto" w:sz="8" w:space="0"/>
            </w:tcBorders>
            <w:noWrap w:val="0"/>
            <w:vAlign w:val="center"/>
          </w:tcPr>
          <w:p>
            <w:pPr>
              <w:spacing w:line="240" w:lineRule="exact"/>
              <w:jc w:val="center"/>
              <w:rPr>
                <w:color w:val="000000"/>
                <w:spacing w:val="-2"/>
                <w:szCs w:val="21"/>
              </w:rPr>
            </w:pPr>
          </w:p>
        </w:tc>
      </w:tr>
    </w:tbl>
    <w:p>
      <w:pPr>
        <w:spacing w:before="240" w:beforeLines="100" w:after="240" w:afterLines="100" w:line="420" w:lineRule="exact"/>
        <w:rPr>
          <w:rFonts w:hint="eastAsia"/>
          <w:b/>
          <w:color w:val="000000"/>
          <w:spacing w:val="-2"/>
          <w:sz w:val="28"/>
          <w:szCs w:val="28"/>
        </w:rPr>
      </w:pPr>
      <w:r>
        <w:rPr>
          <w:b/>
          <w:color w:val="000000"/>
          <w:spacing w:val="-2"/>
          <w:sz w:val="28"/>
          <w:szCs w:val="28"/>
        </w:rPr>
        <w:t xml:space="preserve">2 </w:t>
      </w:r>
      <w:r>
        <w:rPr>
          <w:rFonts w:hint="eastAsia"/>
          <w:b/>
          <w:color w:val="000000"/>
          <w:spacing w:val="-2"/>
          <w:sz w:val="28"/>
          <w:szCs w:val="28"/>
        </w:rPr>
        <w:t>本工程高支模工程的特点、难点</w:t>
      </w:r>
    </w:p>
    <w:p>
      <w:pPr>
        <w:spacing w:line="420" w:lineRule="exact"/>
        <w:rPr>
          <w:rFonts w:ascii="Times New Roman"/>
          <w:b/>
          <w:color w:val="000000"/>
          <w:spacing w:val="-2"/>
          <w:sz w:val="24"/>
        </w:rPr>
      </w:pPr>
      <w:r>
        <w:rPr>
          <w:b/>
          <w:bCs/>
          <w:color w:val="000000"/>
          <w:spacing w:val="-2"/>
          <w:kern w:val="0"/>
          <w:sz w:val="24"/>
        </w:rPr>
        <w:t xml:space="preserve">2.1 </w:t>
      </w:r>
      <w:r>
        <w:rPr>
          <w:rFonts w:hint="eastAsia" w:ascii="Times New Roman" w:hAnsi="Times New Roman"/>
          <w:b/>
          <w:color w:val="000000"/>
          <w:spacing w:val="-2"/>
          <w:sz w:val="24"/>
        </w:rPr>
        <w:t>本工程高支模分部工程设计、施工特点、难点：</w:t>
      </w:r>
      <w:r>
        <w:rPr>
          <w:rFonts w:hint="eastAsia" w:ascii="Times New Roman" w:hAnsi="Times New Roman"/>
          <w:b/>
          <w:color w:val="000000"/>
          <w:spacing w:val="-2"/>
          <w:sz w:val="24"/>
          <w:u w:val="single"/>
        </w:rPr>
        <w:t xml:space="preserve">                           </w:t>
      </w:r>
      <w:r>
        <w:rPr>
          <w:rFonts w:hint="eastAsia" w:ascii="Times New Roman" w:hAnsi="Times New Roman"/>
          <w:b/>
          <w:color w:val="000000"/>
          <w:spacing w:val="-2"/>
          <w:sz w:val="24"/>
        </w:rPr>
        <w:t>。</w:t>
      </w:r>
    </w:p>
    <w:p>
      <w:pPr>
        <w:spacing w:line="420" w:lineRule="exact"/>
        <w:rPr>
          <w:rFonts w:hint="eastAsia" w:ascii="Times New Roman"/>
          <w:b/>
          <w:color w:val="000000"/>
          <w:spacing w:val="-2"/>
          <w:sz w:val="24"/>
        </w:rPr>
      </w:pPr>
      <w:r>
        <w:rPr>
          <w:b/>
          <w:bCs/>
          <w:color w:val="000000"/>
          <w:spacing w:val="-2"/>
          <w:kern w:val="0"/>
          <w:sz w:val="24"/>
        </w:rPr>
        <w:t xml:space="preserve">2.2 </w:t>
      </w:r>
      <w:r>
        <w:rPr>
          <w:rFonts w:hint="eastAsia" w:ascii="Times New Roman" w:hAnsi="Times New Roman"/>
          <w:b/>
          <w:color w:val="000000"/>
          <w:spacing w:val="-2"/>
          <w:sz w:val="24"/>
        </w:rPr>
        <w:t>本工程高支模分部工程监理质量控制的重点：</w:t>
      </w:r>
      <w:r>
        <w:rPr>
          <w:rFonts w:hint="eastAsia" w:ascii="Times New Roman" w:hAnsi="Times New Roman"/>
          <w:b/>
          <w:color w:val="000000"/>
          <w:spacing w:val="-2"/>
          <w:sz w:val="24"/>
          <w:u w:val="single"/>
        </w:rPr>
        <w:t xml:space="preserve">                             </w:t>
      </w:r>
      <w:r>
        <w:rPr>
          <w:rFonts w:hint="eastAsia" w:ascii="Times New Roman" w:hAnsi="Times New Roman"/>
          <w:b/>
          <w:color w:val="000000"/>
          <w:spacing w:val="-2"/>
          <w:sz w:val="24"/>
        </w:rPr>
        <w:t>。</w:t>
      </w:r>
    </w:p>
    <w:p>
      <w:pPr>
        <w:spacing w:before="240" w:beforeLines="100" w:after="240" w:afterLines="100" w:line="420" w:lineRule="exact"/>
        <w:rPr>
          <w:rFonts w:hint="eastAsia"/>
          <w:b/>
          <w:color w:val="000000"/>
          <w:spacing w:val="-2"/>
          <w:sz w:val="28"/>
          <w:szCs w:val="28"/>
        </w:rPr>
      </w:pPr>
      <w:r>
        <w:rPr>
          <w:b/>
          <w:color w:val="000000"/>
          <w:spacing w:val="-2"/>
          <w:sz w:val="28"/>
          <w:szCs w:val="28"/>
        </w:rPr>
        <w:t xml:space="preserve">3 </w:t>
      </w:r>
      <w:r>
        <w:rPr>
          <w:rFonts w:hint="eastAsia"/>
          <w:b/>
          <w:color w:val="000000"/>
          <w:spacing w:val="-2"/>
          <w:sz w:val="28"/>
          <w:szCs w:val="28"/>
        </w:rPr>
        <w:t>高支模工程监理工作依据</w:t>
      </w:r>
    </w:p>
    <w:p>
      <w:pPr>
        <w:spacing w:line="420" w:lineRule="exact"/>
        <w:rPr>
          <w:rFonts w:ascii="Times New Roman"/>
          <w:b/>
          <w:color w:val="000000"/>
          <w:spacing w:val="-2"/>
          <w:sz w:val="24"/>
        </w:rPr>
      </w:pPr>
      <w:r>
        <w:rPr>
          <w:b/>
          <w:bCs/>
          <w:color w:val="000000"/>
          <w:spacing w:val="-2"/>
          <w:kern w:val="0"/>
          <w:sz w:val="24"/>
        </w:rPr>
        <w:t xml:space="preserve">3.1 </w:t>
      </w:r>
      <w:r>
        <w:rPr>
          <w:rFonts w:hint="eastAsia" w:ascii="Times New Roman" w:hAnsi="Times New Roman"/>
          <w:b/>
          <w:color w:val="000000"/>
          <w:spacing w:val="-2"/>
          <w:sz w:val="24"/>
        </w:rPr>
        <w:t>经审查合格的设计文件。</w:t>
      </w:r>
    </w:p>
    <w:p>
      <w:pPr>
        <w:spacing w:line="420" w:lineRule="exact"/>
        <w:rPr>
          <w:rFonts w:hint="eastAsia" w:ascii="Times New Roman"/>
          <w:b/>
          <w:color w:val="000000"/>
          <w:spacing w:val="-2"/>
          <w:sz w:val="24"/>
        </w:rPr>
      </w:pPr>
      <w:r>
        <w:rPr>
          <w:b/>
          <w:bCs/>
          <w:color w:val="000000"/>
          <w:spacing w:val="-2"/>
          <w:kern w:val="0"/>
          <w:sz w:val="24"/>
        </w:rPr>
        <w:t xml:space="preserve">3.2 </w:t>
      </w:r>
      <w:r>
        <w:rPr>
          <w:rFonts w:hint="eastAsia" w:ascii="Times New Roman" w:hAnsi="Times New Roman"/>
          <w:b/>
          <w:color w:val="000000"/>
          <w:spacing w:val="-2"/>
          <w:sz w:val="24"/>
        </w:rPr>
        <w:t>本工程施工合同、协议等资料。</w:t>
      </w:r>
    </w:p>
    <w:p>
      <w:pPr>
        <w:spacing w:line="420" w:lineRule="exact"/>
        <w:rPr>
          <w:rFonts w:hint="eastAsia" w:ascii="Times New Roman"/>
          <w:b/>
          <w:color w:val="000000"/>
          <w:spacing w:val="-2"/>
          <w:sz w:val="24"/>
        </w:rPr>
      </w:pPr>
      <w:r>
        <w:rPr>
          <w:b/>
          <w:bCs/>
          <w:color w:val="000000"/>
          <w:spacing w:val="-2"/>
          <w:kern w:val="0"/>
          <w:sz w:val="24"/>
        </w:rPr>
        <w:t xml:space="preserve">3.3 </w:t>
      </w:r>
      <w:r>
        <w:rPr>
          <w:rFonts w:hint="eastAsia" w:ascii="Times New Roman" w:hAnsi="Times New Roman"/>
          <w:b/>
          <w:color w:val="000000"/>
          <w:spacing w:val="-2"/>
          <w:sz w:val="24"/>
        </w:rPr>
        <w:t>本工程《监理规划》。</w:t>
      </w:r>
    </w:p>
    <w:p>
      <w:pPr>
        <w:spacing w:line="420" w:lineRule="exact"/>
        <w:rPr>
          <w:rFonts w:hint="eastAsia" w:ascii="Times New Roman"/>
          <w:b/>
          <w:color w:val="000000"/>
          <w:spacing w:val="-2"/>
          <w:sz w:val="24"/>
        </w:rPr>
      </w:pPr>
      <w:r>
        <w:rPr>
          <w:b/>
          <w:bCs/>
          <w:color w:val="000000"/>
          <w:spacing w:val="-2"/>
          <w:kern w:val="0"/>
          <w:sz w:val="24"/>
        </w:rPr>
        <w:t xml:space="preserve">3.4 </w:t>
      </w:r>
      <w:r>
        <w:rPr>
          <w:rFonts w:hint="eastAsia" w:ascii="Times New Roman" w:hAnsi="Times New Roman"/>
          <w:b/>
          <w:color w:val="000000"/>
          <w:spacing w:val="-2"/>
          <w:sz w:val="24"/>
        </w:rPr>
        <w:t>经批准的工程施工组织设计、专项施工方案。</w:t>
      </w:r>
    </w:p>
    <w:p>
      <w:pPr>
        <w:spacing w:line="420" w:lineRule="exact"/>
        <w:rPr>
          <w:rFonts w:hint="eastAsia" w:ascii="Times New Roman"/>
          <w:b/>
          <w:color w:val="000000"/>
          <w:spacing w:val="-2"/>
          <w:sz w:val="24"/>
        </w:rPr>
      </w:pPr>
      <w:r>
        <w:rPr>
          <w:b/>
          <w:bCs/>
          <w:color w:val="000000"/>
          <w:spacing w:val="-2"/>
          <w:kern w:val="0"/>
          <w:sz w:val="24"/>
        </w:rPr>
        <w:t xml:space="preserve">3.5 </w:t>
      </w:r>
      <w:r>
        <w:rPr>
          <w:rFonts w:hint="eastAsia" w:ascii="Times New Roman" w:hAnsi="Times New Roman"/>
          <w:b/>
          <w:color w:val="000000"/>
          <w:spacing w:val="-2"/>
          <w:sz w:val="24"/>
        </w:rPr>
        <w:t>本工程适用的高支模工程相关现行法律法规、技术标准规范及图集。</w:t>
      </w:r>
    </w:p>
    <w:p>
      <w:pPr>
        <w:tabs>
          <w:tab w:val="left" w:pos="426"/>
        </w:tabs>
        <w:spacing w:line="276" w:lineRule="auto"/>
        <w:ind w:left="360" w:right="158"/>
        <w:jc w:val="right"/>
        <w:rPr>
          <w:rFonts w:hint="eastAsia" w:ascii="Times New Roman"/>
          <w:b/>
          <w:color w:val="000000"/>
          <w:spacing w:val="-2"/>
        </w:rPr>
      </w:pPr>
    </w:p>
    <w:p>
      <w:pPr>
        <w:tabs>
          <w:tab w:val="left" w:pos="426"/>
        </w:tabs>
        <w:spacing w:line="276" w:lineRule="auto"/>
        <w:ind w:left="360" w:right="38"/>
        <w:jc w:val="right"/>
        <w:rPr>
          <w:rFonts w:hint="eastAsia" w:ascii="Times New Roman"/>
          <w:color w:val="000000"/>
          <w:spacing w:val="-2"/>
        </w:rPr>
      </w:pPr>
      <w:r>
        <w:rPr>
          <w:rFonts w:hint="eastAsia" w:ascii="Times New Roman" w:hAnsi="Times New Roman" w:eastAsia="黑体"/>
          <w:color w:val="000000"/>
          <w:spacing w:val="-2"/>
          <w:sz w:val="24"/>
        </w:rPr>
        <w:t xml:space="preserve"> 高支模工程相关现行法律法规、技术标准规范及图集一览表</w:t>
      </w:r>
      <w:r>
        <w:rPr>
          <w:rFonts w:hint="eastAsia" w:ascii="Times New Roman" w:hAnsi="Times New Roman"/>
          <w:b/>
          <w:color w:val="000000"/>
          <w:spacing w:val="-2"/>
        </w:rPr>
        <w:t xml:space="preserve"> </w:t>
      </w:r>
      <w:r>
        <w:rPr>
          <w:rFonts w:hint="eastAsia" w:ascii="Times New Roman" w:hAnsi="Times New Roman"/>
          <w:color w:val="000000"/>
          <w:spacing w:val="-2"/>
        </w:rPr>
        <w:t xml:space="preserve">        表</w:t>
      </w:r>
      <w:r>
        <w:rPr>
          <w:color w:val="000000"/>
          <w:spacing w:val="-2"/>
        </w:rPr>
        <w:t>3.1</w:t>
      </w: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3"/>
        <w:gridCol w:w="6146"/>
        <w:gridCol w:w="22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923" w:type="dxa"/>
            <w:tcBorders>
              <w:top w:val="single" w:color="auto" w:sz="8" w:space="0"/>
              <w:left w:val="single" w:color="auto" w:sz="8" w:space="0"/>
              <w:bottom w:val="single" w:color="auto" w:sz="4" w:space="0"/>
              <w:right w:val="single" w:color="auto" w:sz="4" w:space="0"/>
            </w:tcBorders>
            <w:noWrap w:val="0"/>
            <w:vAlign w:val="center"/>
          </w:tcPr>
          <w:p>
            <w:pPr>
              <w:spacing w:line="360" w:lineRule="exact"/>
              <w:jc w:val="center"/>
              <w:rPr>
                <w:rFonts w:ascii="Times New Roman" w:eastAsia="黑体"/>
                <w:color w:val="000000"/>
                <w:spacing w:val="-2"/>
              </w:rPr>
            </w:pPr>
            <w:r>
              <w:rPr>
                <w:rFonts w:hint="eastAsia" w:ascii="Times New Roman" w:eastAsia="黑体"/>
                <w:color w:val="000000"/>
                <w:spacing w:val="-2"/>
              </w:rPr>
              <w:t>序号</w:t>
            </w:r>
          </w:p>
        </w:tc>
        <w:tc>
          <w:tcPr>
            <w:tcW w:w="6146" w:type="dxa"/>
            <w:tcBorders>
              <w:top w:val="single" w:color="auto" w:sz="8" w:space="0"/>
              <w:left w:val="single" w:color="auto" w:sz="4" w:space="0"/>
              <w:bottom w:val="single" w:color="auto" w:sz="4" w:space="0"/>
              <w:right w:val="single" w:color="auto" w:sz="4" w:space="0"/>
            </w:tcBorders>
            <w:noWrap w:val="0"/>
            <w:vAlign w:val="center"/>
          </w:tcPr>
          <w:p>
            <w:pPr>
              <w:spacing w:line="360" w:lineRule="exact"/>
              <w:jc w:val="center"/>
              <w:rPr>
                <w:rFonts w:ascii="Times New Roman" w:eastAsia="黑体"/>
                <w:color w:val="000000"/>
                <w:spacing w:val="-2"/>
              </w:rPr>
            </w:pPr>
            <w:r>
              <w:rPr>
                <w:rFonts w:hint="eastAsia" w:ascii="Times New Roman" w:eastAsia="黑体"/>
                <w:color w:val="000000"/>
                <w:spacing w:val="-2"/>
              </w:rPr>
              <w:t>名        称</w:t>
            </w:r>
          </w:p>
        </w:tc>
        <w:tc>
          <w:tcPr>
            <w:tcW w:w="2290" w:type="dxa"/>
            <w:tcBorders>
              <w:top w:val="single" w:color="auto" w:sz="8" w:space="0"/>
              <w:left w:val="single" w:color="auto" w:sz="4" w:space="0"/>
              <w:bottom w:val="single" w:color="auto" w:sz="4" w:space="0"/>
              <w:right w:val="single" w:color="auto" w:sz="8" w:space="0"/>
            </w:tcBorders>
            <w:noWrap w:val="0"/>
            <w:vAlign w:val="center"/>
          </w:tcPr>
          <w:p>
            <w:pPr>
              <w:spacing w:line="360" w:lineRule="exact"/>
              <w:jc w:val="center"/>
              <w:rPr>
                <w:rFonts w:ascii="Times New Roman" w:eastAsia="黑体"/>
                <w:color w:val="000000"/>
                <w:spacing w:val="-2"/>
              </w:rPr>
            </w:pPr>
            <w:r>
              <w:rPr>
                <w:rFonts w:hint="eastAsia" w:ascii="Times New Roman" w:eastAsia="黑体"/>
                <w:color w:val="000000"/>
                <w:spacing w:val="-2"/>
              </w:rPr>
              <w:t>编号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23" w:type="dxa"/>
            <w:tcBorders>
              <w:top w:val="single" w:color="auto" w:sz="4" w:space="0"/>
              <w:left w:val="single" w:color="auto" w:sz="8" w:space="0"/>
              <w:bottom w:val="single" w:color="auto" w:sz="4" w:space="0"/>
              <w:right w:val="single" w:color="auto" w:sz="4" w:space="0"/>
            </w:tcBorders>
            <w:noWrap w:val="0"/>
            <w:vAlign w:val="center"/>
          </w:tcPr>
          <w:p>
            <w:pPr>
              <w:spacing w:line="360" w:lineRule="exact"/>
              <w:jc w:val="center"/>
              <w:rPr>
                <w:color w:val="000000"/>
                <w:spacing w:val="-2"/>
              </w:rPr>
            </w:pPr>
            <w:r>
              <w:rPr>
                <w:color w:val="000000"/>
                <w:spacing w:val="-2"/>
              </w:rPr>
              <w:t>1</w:t>
            </w:r>
          </w:p>
        </w:tc>
        <w:tc>
          <w:tcPr>
            <w:tcW w:w="61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color w:val="000000"/>
                <w:spacing w:val="-2"/>
              </w:rPr>
            </w:pPr>
          </w:p>
        </w:tc>
        <w:tc>
          <w:tcPr>
            <w:tcW w:w="229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23" w:type="dxa"/>
            <w:tcBorders>
              <w:top w:val="single" w:color="auto" w:sz="4" w:space="0"/>
              <w:left w:val="single" w:color="auto" w:sz="8" w:space="0"/>
              <w:bottom w:val="single" w:color="auto" w:sz="4" w:space="0"/>
              <w:right w:val="single" w:color="auto" w:sz="4" w:space="0"/>
            </w:tcBorders>
            <w:noWrap w:val="0"/>
            <w:vAlign w:val="center"/>
          </w:tcPr>
          <w:p>
            <w:pPr>
              <w:spacing w:line="360" w:lineRule="exact"/>
              <w:jc w:val="center"/>
              <w:rPr>
                <w:color w:val="000000"/>
                <w:spacing w:val="-2"/>
              </w:rPr>
            </w:pPr>
            <w:r>
              <w:rPr>
                <w:color w:val="000000"/>
                <w:spacing w:val="-2"/>
              </w:rPr>
              <w:t>2</w:t>
            </w:r>
          </w:p>
        </w:tc>
        <w:tc>
          <w:tcPr>
            <w:tcW w:w="614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color w:val="000000"/>
                <w:spacing w:val="-2"/>
              </w:rPr>
            </w:pPr>
          </w:p>
        </w:tc>
        <w:tc>
          <w:tcPr>
            <w:tcW w:w="229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23" w:type="dxa"/>
            <w:tcBorders>
              <w:top w:val="single" w:color="auto" w:sz="4" w:space="0"/>
              <w:left w:val="single" w:color="auto" w:sz="8" w:space="0"/>
              <w:bottom w:val="single" w:color="auto" w:sz="4" w:space="0"/>
              <w:right w:val="single" w:color="auto" w:sz="4" w:space="0"/>
            </w:tcBorders>
            <w:noWrap w:val="0"/>
            <w:vAlign w:val="center"/>
          </w:tcPr>
          <w:p>
            <w:pPr>
              <w:spacing w:line="360" w:lineRule="exact"/>
              <w:jc w:val="center"/>
              <w:rPr>
                <w:color w:val="000000"/>
                <w:spacing w:val="-2"/>
              </w:rPr>
            </w:pPr>
            <w:r>
              <w:rPr>
                <w:color w:val="000000"/>
                <w:spacing w:val="-2"/>
              </w:rPr>
              <w:t>3</w:t>
            </w:r>
          </w:p>
        </w:tc>
        <w:tc>
          <w:tcPr>
            <w:tcW w:w="6146" w:type="dxa"/>
            <w:tcBorders>
              <w:top w:val="single" w:color="auto" w:sz="4" w:space="0"/>
              <w:left w:val="single" w:color="auto" w:sz="4" w:space="0"/>
              <w:bottom w:val="single" w:color="auto" w:sz="4" w:space="0"/>
              <w:right w:val="single" w:color="auto" w:sz="4" w:space="0"/>
            </w:tcBorders>
            <w:noWrap w:val="0"/>
            <w:vAlign w:val="center"/>
          </w:tcPr>
          <w:p>
            <w:pPr>
              <w:tabs>
                <w:tab w:val="left" w:pos="7020"/>
              </w:tabs>
              <w:autoSpaceDE w:val="0"/>
              <w:autoSpaceDN w:val="0"/>
              <w:adjustRightInd w:val="0"/>
              <w:spacing w:line="360" w:lineRule="exact"/>
              <w:ind w:left="-63" w:leftChars="-30" w:right="28" w:firstLine="354" w:firstLineChars="150"/>
              <w:jc w:val="left"/>
              <w:rPr>
                <w:rFonts w:ascii="Times New Roman"/>
                <w:color w:val="000000"/>
                <w:spacing w:val="-2"/>
                <w:kern w:val="0"/>
                <w:sz w:val="24"/>
              </w:rPr>
            </w:pPr>
          </w:p>
        </w:tc>
        <w:tc>
          <w:tcPr>
            <w:tcW w:w="229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23" w:type="dxa"/>
            <w:tcBorders>
              <w:top w:val="single" w:color="auto" w:sz="4" w:space="0"/>
              <w:left w:val="single" w:color="auto" w:sz="8" w:space="0"/>
              <w:bottom w:val="single" w:color="auto" w:sz="4" w:space="0"/>
              <w:right w:val="single" w:color="auto" w:sz="4" w:space="0"/>
            </w:tcBorders>
            <w:noWrap w:val="0"/>
            <w:vAlign w:val="center"/>
          </w:tcPr>
          <w:p>
            <w:pPr>
              <w:spacing w:line="360" w:lineRule="exact"/>
              <w:jc w:val="center"/>
              <w:rPr>
                <w:color w:val="000000"/>
                <w:spacing w:val="-2"/>
              </w:rPr>
            </w:pPr>
            <w:r>
              <w:rPr>
                <w:color w:val="000000"/>
                <w:spacing w:val="-2"/>
              </w:rPr>
              <w:t>4</w:t>
            </w:r>
          </w:p>
        </w:tc>
        <w:tc>
          <w:tcPr>
            <w:tcW w:w="6146" w:type="dxa"/>
            <w:tcBorders>
              <w:top w:val="single" w:color="auto" w:sz="4" w:space="0"/>
              <w:left w:val="single" w:color="auto" w:sz="4" w:space="0"/>
              <w:bottom w:val="single" w:color="auto" w:sz="4" w:space="0"/>
              <w:right w:val="single" w:color="auto" w:sz="4" w:space="0"/>
            </w:tcBorders>
            <w:noWrap w:val="0"/>
            <w:vAlign w:val="center"/>
          </w:tcPr>
          <w:p>
            <w:pPr>
              <w:tabs>
                <w:tab w:val="left" w:pos="7020"/>
              </w:tabs>
              <w:autoSpaceDE w:val="0"/>
              <w:autoSpaceDN w:val="0"/>
              <w:adjustRightInd w:val="0"/>
              <w:spacing w:line="360" w:lineRule="exact"/>
              <w:ind w:left="-63" w:leftChars="-30" w:right="28" w:firstLine="354" w:firstLineChars="150"/>
              <w:jc w:val="left"/>
              <w:rPr>
                <w:rFonts w:ascii="Times New Roman"/>
                <w:color w:val="000000"/>
                <w:spacing w:val="-2"/>
                <w:kern w:val="0"/>
                <w:sz w:val="24"/>
              </w:rPr>
            </w:pPr>
          </w:p>
        </w:tc>
        <w:tc>
          <w:tcPr>
            <w:tcW w:w="229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23" w:type="dxa"/>
            <w:tcBorders>
              <w:top w:val="single" w:color="auto" w:sz="4" w:space="0"/>
              <w:left w:val="single" w:color="auto" w:sz="8" w:space="0"/>
              <w:bottom w:val="single" w:color="auto" w:sz="4" w:space="0"/>
              <w:right w:val="single" w:color="auto" w:sz="4" w:space="0"/>
            </w:tcBorders>
            <w:noWrap w:val="0"/>
            <w:vAlign w:val="center"/>
          </w:tcPr>
          <w:p>
            <w:pPr>
              <w:spacing w:line="360" w:lineRule="exact"/>
              <w:jc w:val="center"/>
              <w:rPr>
                <w:color w:val="000000"/>
                <w:spacing w:val="-2"/>
              </w:rPr>
            </w:pPr>
            <w:r>
              <w:rPr>
                <w:color w:val="000000"/>
                <w:spacing w:val="-2"/>
              </w:rPr>
              <w:t>5</w:t>
            </w:r>
          </w:p>
        </w:tc>
        <w:tc>
          <w:tcPr>
            <w:tcW w:w="6146" w:type="dxa"/>
            <w:tcBorders>
              <w:top w:val="single" w:color="auto" w:sz="4" w:space="0"/>
              <w:left w:val="single" w:color="auto" w:sz="4" w:space="0"/>
              <w:bottom w:val="single" w:color="auto" w:sz="4" w:space="0"/>
              <w:right w:val="single" w:color="auto" w:sz="4" w:space="0"/>
            </w:tcBorders>
            <w:noWrap w:val="0"/>
            <w:vAlign w:val="center"/>
          </w:tcPr>
          <w:p>
            <w:pPr>
              <w:tabs>
                <w:tab w:val="left" w:pos="7020"/>
              </w:tabs>
              <w:autoSpaceDE w:val="0"/>
              <w:autoSpaceDN w:val="0"/>
              <w:adjustRightInd w:val="0"/>
              <w:spacing w:line="360" w:lineRule="exact"/>
              <w:ind w:left="-63" w:leftChars="-30" w:right="28" w:firstLine="354" w:firstLineChars="150"/>
              <w:jc w:val="left"/>
              <w:rPr>
                <w:rFonts w:ascii="Times New Roman"/>
                <w:color w:val="000000"/>
                <w:spacing w:val="-2"/>
                <w:kern w:val="0"/>
                <w:sz w:val="24"/>
              </w:rPr>
            </w:pPr>
          </w:p>
        </w:tc>
        <w:tc>
          <w:tcPr>
            <w:tcW w:w="2290" w:type="dxa"/>
            <w:tcBorders>
              <w:top w:val="single" w:color="auto" w:sz="4" w:space="0"/>
              <w:left w:val="single" w:color="auto" w:sz="4" w:space="0"/>
              <w:bottom w:val="single" w:color="auto" w:sz="4" w:space="0"/>
              <w:right w:val="single" w:color="auto" w:sz="8" w:space="0"/>
            </w:tcBorders>
            <w:noWrap w:val="0"/>
            <w:vAlign w:val="center"/>
          </w:tcPr>
          <w:p>
            <w:pPr>
              <w:spacing w:line="360" w:lineRule="exact"/>
              <w:jc w:val="center"/>
              <w:rPr>
                <w:rFonts w:ascii="Times New Roman"/>
                <w:color w:val="000000"/>
                <w:spacing w:val="-2"/>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23" w:type="dxa"/>
            <w:tcBorders>
              <w:top w:val="single" w:color="auto" w:sz="4" w:space="0"/>
              <w:left w:val="single" w:color="auto" w:sz="8" w:space="0"/>
              <w:bottom w:val="single" w:color="auto" w:sz="8" w:space="0"/>
              <w:right w:val="single" w:color="auto" w:sz="4" w:space="0"/>
            </w:tcBorders>
            <w:noWrap w:val="0"/>
            <w:vAlign w:val="center"/>
          </w:tcPr>
          <w:p>
            <w:pPr>
              <w:spacing w:line="360" w:lineRule="exact"/>
              <w:jc w:val="center"/>
              <w:rPr>
                <w:color w:val="000000"/>
                <w:spacing w:val="-2"/>
              </w:rPr>
            </w:pPr>
            <w:r>
              <w:rPr>
                <w:color w:val="000000"/>
                <w:spacing w:val="-2"/>
              </w:rPr>
              <w:t>6</w:t>
            </w:r>
          </w:p>
        </w:tc>
        <w:tc>
          <w:tcPr>
            <w:tcW w:w="6146" w:type="dxa"/>
            <w:tcBorders>
              <w:top w:val="single" w:color="auto" w:sz="4" w:space="0"/>
              <w:left w:val="single" w:color="auto" w:sz="4" w:space="0"/>
              <w:bottom w:val="single" w:color="auto" w:sz="8" w:space="0"/>
              <w:right w:val="single" w:color="auto" w:sz="4" w:space="0"/>
            </w:tcBorders>
            <w:noWrap w:val="0"/>
            <w:vAlign w:val="center"/>
          </w:tcPr>
          <w:p>
            <w:pPr>
              <w:tabs>
                <w:tab w:val="left" w:pos="7020"/>
              </w:tabs>
              <w:autoSpaceDE w:val="0"/>
              <w:autoSpaceDN w:val="0"/>
              <w:adjustRightInd w:val="0"/>
              <w:spacing w:line="360" w:lineRule="exact"/>
              <w:ind w:left="-63" w:leftChars="-30" w:right="28" w:firstLine="354" w:firstLineChars="150"/>
              <w:jc w:val="left"/>
              <w:rPr>
                <w:rFonts w:ascii="Times New Roman"/>
                <w:color w:val="000000"/>
                <w:spacing w:val="-2"/>
                <w:kern w:val="0"/>
                <w:sz w:val="24"/>
              </w:rPr>
            </w:pPr>
          </w:p>
        </w:tc>
        <w:tc>
          <w:tcPr>
            <w:tcW w:w="2290" w:type="dxa"/>
            <w:tcBorders>
              <w:top w:val="single" w:color="auto" w:sz="4" w:space="0"/>
              <w:left w:val="single" w:color="auto" w:sz="4" w:space="0"/>
              <w:bottom w:val="single" w:color="auto" w:sz="8" w:space="0"/>
              <w:right w:val="single" w:color="auto" w:sz="8" w:space="0"/>
            </w:tcBorders>
            <w:noWrap w:val="0"/>
            <w:vAlign w:val="center"/>
          </w:tcPr>
          <w:p>
            <w:pPr>
              <w:spacing w:line="360" w:lineRule="exact"/>
              <w:jc w:val="center"/>
              <w:rPr>
                <w:rFonts w:ascii="Times New Roman"/>
                <w:color w:val="000000"/>
                <w:spacing w:val="-2"/>
                <w:kern w:val="0"/>
                <w:sz w:val="24"/>
              </w:rPr>
            </w:pPr>
          </w:p>
        </w:tc>
      </w:tr>
    </w:tbl>
    <w:p>
      <w:pPr>
        <w:tabs>
          <w:tab w:val="left" w:pos="1276"/>
        </w:tabs>
        <w:spacing w:before="100" w:beforeAutospacing="1" w:after="100" w:afterAutospacing="1"/>
        <w:rPr>
          <w:rFonts w:hint="eastAsia" w:ascii="Times New Roman"/>
          <w:b/>
          <w:color w:val="000000"/>
          <w:spacing w:val="-2"/>
          <w:sz w:val="24"/>
        </w:rPr>
      </w:pPr>
      <w:r>
        <w:rPr>
          <w:b/>
          <w:bCs/>
          <w:color w:val="000000"/>
          <w:spacing w:val="-2"/>
          <w:kern w:val="0"/>
          <w:sz w:val="24"/>
        </w:rPr>
        <w:t>3.6</w:t>
      </w:r>
      <w:r>
        <w:rPr>
          <w:rFonts w:hint="eastAsia" w:ascii="Times New Roman" w:hAnsi="Times New Roman"/>
          <w:b/>
          <w:color w:val="000000"/>
          <w:spacing w:val="-2"/>
          <w:sz w:val="24"/>
        </w:rPr>
        <w:t xml:space="preserve">  其他依据：</w:t>
      </w:r>
    </w:p>
    <w:p>
      <w:pPr>
        <w:spacing w:before="240" w:beforeLines="100" w:after="240" w:afterLines="100" w:line="420" w:lineRule="exact"/>
        <w:rPr>
          <w:rFonts w:hint="eastAsia"/>
          <w:b/>
          <w:color w:val="000000"/>
          <w:spacing w:val="-2"/>
          <w:sz w:val="28"/>
          <w:szCs w:val="28"/>
        </w:rPr>
      </w:pPr>
      <w:r>
        <w:rPr>
          <w:b/>
          <w:color w:val="000000"/>
          <w:spacing w:val="-2"/>
          <w:sz w:val="28"/>
          <w:szCs w:val="28"/>
        </w:rPr>
        <w:t xml:space="preserve">4 </w:t>
      </w:r>
      <w:r>
        <w:rPr>
          <w:rFonts w:hint="eastAsia"/>
          <w:b/>
          <w:color w:val="000000"/>
          <w:spacing w:val="-2"/>
          <w:sz w:val="28"/>
          <w:szCs w:val="28"/>
        </w:rPr>
        <w:t>项目监理部组织机构</w:t>
      </w:r>
    </w:p>
    <w:p>
      <w:pPr>
        <w:spacing w:line="460" w:lineRule="exact"/>
        <w:rPr>
          <w:b/>
          <w:bCs/>
          <w:color w:val="000000"/>
          <w:spacing w:val="-2"/>
          <w:kern w:val="0"/>
          <w:sz w:val="24"/>
        </w:rPr>
      </w:pPr>
      <w:r>
        <w:rPr>
          <w:b/>
          <w:bCs/>
          <w:color w:val="000000"/>
          <w:spacing w:val="-2"/>
          <w:kern w:val="0"/>
          <w:sz w:val="24"/>
        </w:rPr>
        <w:t xml:space="preserve">4.1 </w:t>
      </w:r>
      <w:r>
        <w:rPr>
          <w:rFonts w:hint="eastAsia"/>
          <w:b/>
          <w:bCs/>
          <w:color w:val="000000"/>
          <w:spacing w:val="-2"/>
          <w:kern w:val="0"/>
          <w:sz w:val="24"/>
        </w:rPr>
        <w:t>项目监理部组织机构框图：（示意，框图中可添加人员姓名）</w:t>
      </w:r>
    </w:p>
    <w:p>
      <w:pPr>
        <w:rPr>
          <w:color w:val="000000"/>
          <w:spacing w:val="-2"/>
        </w:rPr>
      </w:pPr>
      <w:r>
        <mc:AlternateContent>
          <mc:Choice Requires="wpg">
            <w:drawing>
              <wp:anchor distT="0" distB="0" distL="114300" distR="114300" simplePos="0" relativeHeight="251662336" behindDoc="0" locked="0" layoutInCell="1" allowOverlap="1">
                <wp:simplePos x="0" y="0"/>
                <wp:positionH relativeFrom="column">
                  <wp:posOffset>351790</wp:posOffset>
                </wp:positionH>
                <wp:positionV relativeFrom="paragraph">
                  <wp:posOffset>59690</wp:posOffset>
                </wp:positionV>
                <wp:extent cx="4857750" cy="1478280"/>
                <wp:effectExtent l="9525" t="9525" r="9525" b="17145"/>
                <wp:wrapNone/>
                <wp:docPr id="27" name="组合 27"/>
                <wp:cNvGraphicFramePr/>
                <a:graphic xmlns:a="http://schemas.openxmlformats.org/drawingml/2006/main">
                  <a:graphicData uri="http://schemas.microsoft.com/office/word/2010/wordprocessingGroup">
                    <wpg:wgp>
                      <wpg:cNvGrpSpPr/>
                      <wpg:grpSpPr>
                        <a:xfrm>
                          <a:off x="0" y="0"/>
                          <a:ext cx="4857750" cy="1478280"/>
                          <a:chOff x="1875" y="11985"/>
                          <a:chExt cx="8250" cy="2511"/>
                        </a:xfrm>
                      </wpg:grpSpPr>
                      <wps:wsp>
                        <wps:cNvPr id="19" name="流程图: 可选过程 19"/>
                        <wps:cNvSpPr/>
                        <wps:spPr>
                          <a:xfrm>
                            <a:off x="4875" y="11985"/>
                            <a:ext cx="2100" cy="735"/>
                          </a:xfrm>
                          <a:prstGeom prst="flowChartAlternateProcess">
                            <a:avLst/>
                          </a:prstGeom>
                          <a:solidFill>
                            <a:srgbClr val="FFFFFF"/>
                          </a:solidFill>
                          <a:ln w="19050" cap="flat" cmpd="sng">
                            <a:solidFill>
                              <a:srgbClr val="000000"/>
                            </a:solidFill>
                            <a:prstDash val="solid"/>
                            <a:miter/>
                            <a:headEnd type="none" w="med" len="med"/>
                            <a:tailEnd type="none" w="med" len="med"/>
                          </a:ln>
                        </wps:spPr>
                        <wps:txbx>
                          <w:txbxContent>
                            <w:p/>
                          </w:txbxContent>
                        </wps:txbx>
                        <wps:bodyPr upright="1"/>
                      </wps:wsp>
                      <wps:wsp>
                        <wps:cNvPr id="20" name="流程图: 可选过程 20"/>
                        <wps:cNvSpPr/>
                        <wps:spPr>
                          <a:xfrm>
                            <a:off x="1875" y="13761"/>
                            <a:ext cx="2295" cy="735"/>
                          </a:xfrm>
                          <a:prstGeom prst="flowChartAlternateProcess">
                            <a:avLst/>
                          </a:prstGeom>
                          <a:solidFill>
                            <a:srgbClr val="FFFFFF"/>
                          </a:solidFill>
                          <a:ln w="19050" cap="flat" cmpd="sng">
                            <a:solidFill>
                              <a:srgbClr val="000000"/>
                            </a:solidFill>
                            <a:prstDash val="solid"/>
                            <a:miter/>
                            <a:headEnd type="none" w="med" len="med"/>
                            <a:tailEnd type="none" w="med" len="med"/>
                          </a:ln>
                        </wps:spPr>
                        <wps:bodyPr upright="1"/>
                      </wps:wsp>
                      <wps:wsp>
                        <wps:cNvPr id="21" name="流程图: 可选过程 21"/>
                        <wps:cNvSpPr/>
                        <wps:spPr>
                          <a:xfrm>
                            <a:off x="4875" y="13761"/>
                            <a:ext cx="2235" cy="735"/>
                          </a:xfrm>
                          <a:prstGeom prst="flowChartAlternateProcess">
                            <a:avLst/>
                          </a:prstGeom>
                          <a:solidFill>
                            <a:srgbClr val="FFFFFF"/>
                          </a:solidFill>
                          <a:ln w="19050" cap="flat" cmpd="sng">
                            <a:solidFill>
                              <a:srgbClr val="000000"/>
                            </a:solidFill>
                            <a:prstDash val="solid"/>
                            <a:miter/>
                            <a:headEnd type="none" w="med" len="med"/>
                            <a:tailEnd type="none" w="med" len="med"/>
                          </a:ln>
                        </wps:spPr>
                        <wps:bodyPr upright="1"/>
                      </wps:wsp>
                      <wps:wsp>
                        <wps:cNvPr id="22" name="流程图: 可选过程 22"/>
                        <wps:cNvSpPr/>
                        <wps:spPr>
                          <a:xfrm>
                            <a:off x="8010" y="13761"/>
                            <a:ext cx="2115" cy="735"/>
                          </a:xfrm>
                          <a:prstGeom prst="flowChartAlternateProcess">
                            <a:avLst/>
                          </a:prstGeom>
                          <a:solidFill>
                            <a:srgbClr val="FFFFFF"/>
                          </a:solidFill>
                          <a:ln w="19050" cap="flat" cmpd="sng">
                            <a:solidFill>
                              <a:srgbClr val="000000"/>
                            </a:solidFill>
                            <a:prstDash val="solid"/>
                            <a:miter/>
                            <a:headEnd type="none" w="med" len="med"/>
                            <a:tailEnd type="none" w="med" len="med"/>
                          </a:ln>
                        </wps:spPr>
                        <wps:bodyPr upright="1"/>
                      </wps:wsp>
                      <wps:wsp>
                        <wps:cNvPr id="23" name="直接箭头连接符 23"/>
                        <wps:cNvCnPr/>
                        <wps:spPr>
                          <a:xfrm>
                            <a:off x="5925" y="12720"/>
                            <a:ext cx="15" cy="1041"/>
                          </a:xfrm>
                          <a:prstGeom prst="straightConnector1">
                            <a:avLst/>
                          </a:prstGeom>
                          <a:ln w="19050" cap="flat" cmpd="sng">
                            <a:solidFill>
                              <a:srgbClr val="000000"/>
                            </a:solidFill>
                            <a:prstDash val="solid"/>
                            <a:headEnd type="none" w="med" len="med"/>
                            <a:tailEnd type="triangle" w="med" len="med"/>
                          </a:ln>
                        </wps:spPr>
                        <wps:bodyPr/>
                      </wps:wsp>
                      <wps:wsp>
                        <wps:cNvPr id="24" name="直接箭头连接符 24"/>
                        <wps:cNvCnPr/>
                        <wps:spPr>
                          <a:xfrm>
                            <a:off x="3015" y="13215"/>
                            <a:ext cx="6045" cy="0"/>
                          </a:xfrm>
                          <a:prstGeom prst="straightConnector1">
                            <a:avLst/>
                          </a:prstGeom>
                          <a:ln w="19050" cap="flat" cmpd="sng">
                            <a:solidFill>
                              <a:srgbClr val="000000"/>
                            </a:solidFill>
                            <a:prstDash val="solid"/>
                            <a:headEnd type="none" w="med" len="med"/>
                            <a:tailEnd type="none" w="med" len="med"/>
                          </a:ln>
                        </wps:spPr>
                        <wps:bodyPr/>
                      </wps:wsp>
                      <wps:wsp>
                        <wps:cNvPr id="25" name="直接箭头连接符 25"/>
                        <wps:cNvCnPr/>
                        <wps:spPr>
                          <a:xfrm>
                            <a:off x="3015" y="13215"/>
                            <a:ext cx="0" cy="546"/>
                          </a:xfrm>
                          <a:prstGeom prst="straightConnector1">
                            <a:avLst/>
                          </a:prstGeom>
                          <a:ln w="19050" cap="flat" cmpd="sng">
                            <a:solidFill>
                              <a:srgbClr val="000000"/>
                            </a:solidFill>
                            <a:prstDash val="solid"/>
                            <a:headEnd type="none" w="med" len="med"/>
                            <a:tailEnd type="triangle" w="med" len="med"/>
                          </a:ln>
                        </wps:spPr>
                        <wps:bodyPr/>
                      </wps:wsp>
                      <wps:wsp>
                        <wps:cNvPr id="26" name="直接箭头连接符 26"/>
                        <wps:cNvCnPr/>
                        <wps:spPr>
                          <a:xfrm>
                            <a:off x="9060" y="13215"/>
                            <a:ext cx="0" cy="546"/>
                          </a:xfrm>
                          <a:prstGeom prst="straightConnector1">
                            <a:avLst/>
                          </a:prstGeom>
                          <a:ln w="19050"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27.7pt;margin-top:4.7pt;height:116.4pt;width:382.5pt;z-index:251662336;mso-width-relative:page;mso-height-relative:page;" coordorigin="1875,11985" coordsize="8250,2511" o:gfxdata="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">
                <o:lock v:ext="edit" aspectratio="f"/>
                <v:shape id="_x0000_s1026" o:spid="_x0000_s1026" o:spt="176" type="#_x0000_t176" style="position:absolute;left:4875;top:11985;height:735;width:2100;" fillcolor="#FFFFFF" filled="t" stroked="t" coordsize="21600,21600" o:gfxdata="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mSPougAAANsA&#10;AAAPAAAAAAAAAAEAIAAAACIAAABkcnMvZG93bnJldi54bWxQSwECFAAUAAAACACHTuJAMy8FnjsA&#10;AAA5AAAAEAAAAAAAAAABACAAAAAJAQAAZHJzL3NoYXBleG1sLnhtbFBLBQYAAAAABgAGAFsBAACz&#10;AwAAAAA=&#10;">
                  <v:fill on="t" focussize="0,0"/>
                  <v:stroke weight="1.5pt" color="#000000" joinstyle="miter"/>
                  <v:imagedata o:title=""/>
                  <o:lock v:ext="edit" aspectratio="f"/>
                  <v:textbox>
                    <w:txbxContent>
                      <w:p/>
                    </w:txbxContent>
                  </v:textbox>
                </v:shape>
                <v:shape id="_x0000_s1026" o:spid="_x0000_s1026" o:spt="176" type="#_x0000_t176" style="position:absolute;left:1875;top:13761;height:735;width:2295;" fillcolor="#FFFFFF" filled="t" stroked="t" coordsize="21600,21600" o:gfxdata="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89AyLgAAADbAAAA&#10;DwAAAAAAAAABACAAAAAiAAAAZHJzL2Rvd25yZXYueG1sUEsBAhQAFAAAAAgAh07iQDMvBZ47AAAA&#10;OQAAABAAAAAAAAAAAQAgAAAABwEAAGRycy9zaGFwZXhtbC54bWxQSwUGAAAAAAYABgBbAQAAsQMA&#10;AAAA&#10;">
                  <v:fill on="t" focussize="0,0"/>
                  <v:stroke weight="1.5pt" color="#000000" joinstyle="miter"/>
                  <v:imagedata o:title=""/>
                  <o:lock v:ext="edit" aspectratio="f"/>
                </v:shape>
                <v:shape id="_x0000_s1026" o:spid="_x0000_s1026" o:spt="176" type="#_x0000_t176" style="position:absolute;left:4875;top:13761;height:735;width:2235;" fillcolor="#FFFFFF" filled="t" stroked="t" coordsize="21600,21600" o:gfxdata="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D5VO8AAAA&#10;2wAAAA8AAAAAAAAAAQAgAAAAIgAAAGRycy9kb3ducmV2LnhtbFBLAQIUABQAAAAIAIdO4kAzLwWe&#10;OwAAADkAAAAQAAAAAAAAAAEAIAAAAAsBAABkcnMvc2hhcGV4bWwueG1sUEsFBgAAAAAGAAYAWwEA&#10;ALUDAAAAAA==&#10;">
                  <v:fill on="t" focussize="0,0"/>
                  <v:stroke weight="1.5pt" color="#000000" joinstyle="miter"/>
                  <v:imagedata o:title=""/>
                  <o:lock v:ext="edit" aspectratio="f"/>
                </v:shape>
                <v:shape id="_x0000_s1026" o:spid="_x0000_s1026" o:spt="176" type="#_x0000_t176" style="position:absolute;left:8010;top:13761;height:735;width:2115;" fillcolor="#FFFFFF" filled="t" stroked="t" coordsize="21600,21600" o:gfxdata="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xReyS8AAAA&#10;2wAAAA8AAAAAAAAAAQAgAAAAIgAAAGRycy9kb3ducmV2LnhtbFBLAQIUABQAAAAIAIdO4kAzLwWe&#10;OwAAADkAAAAQAAAAAAAAAAEAIAAAAAsBAABkcnMvc2hhcGV4bWwueG1sUEsFBgAAAAAGAAYAWwEA&#10;ALUDAAAAAA==&#10;">
                  <v:fill on="t" focussize="0,0"/>
                  <v:stroke weight="1.5pt" color="#000000" joinstyle="miter"/>
                  <v:imagedata o:title=""/>
                  <o:lock v:ext="edit" aspectratio="f"/>
                </v:shape>
                <v:shape id="_x0000_s1026" o:spid="_x0000_s1026" o:spt="32" type="#_x0000_t32" style="position:absolute;left:5925;top:12720;height:1041;width:15;" filled="f" stroked="t" coordsize="21600,21600" o:gfxdata="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JW8W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shape>
                <v:shape id="_x0000_s1026" o:spid="_x0000_s1026" o:spt="32" type="#_x0000_t32" style="position:absolute;left:3015;top:13215;height:0;width:6045;" filled="f" stroked="t" coordsize="21600,21600" o:gfxdata="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RyhZbsAAADb&#10;AAAADwAAAAAAAAABACAAAAAiAAAAZHJzL2Rvd25yZXYueG1sUEsBAhQAFAAAAAgAh07iQDMvBZ47&#10;AAAAOQAAABAAAAAAAAAAAQAgAAAACgEAAGRycy9zaGFwZXhtbC54bWxQSwUGAAAAAAYABgBbAQAA&#10;tAMAAAAA&#10;">
                  <v:fill on="f" focussize="0,0"/>
                  <v:stroke weight="1.5pt" color="#000000" joinstyle="round"/>
                  <v:imagedata o:title=""/>
                  <o:lock v:ext="edit" aspectratio="f"/>
                </v:shape>
                <v:shape id="_x0000_s1026" o:spid="_x0000_s1026" o:spt="32" type="#_x0000_t32" style="position:absolute;left:3015;top:13215;height:546;width:0;" filled="f" stroked="t" coordsize="21600,21600" o:gfxdata="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sZiq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shape>
                <v:shape id="_x0000_s1026" o:spid="_x0000_s1026" o:spt="32" type="#_x0000_t32" style="position:absolute;left:9060;top:13215;height:546;width:0;" filled="f" stroked="t" coordsize="21600,21600" o:gfxdata="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X74Xb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shape>
              </v:group>
            </w:pict>
          </mc:Fallback>
        </mc:AlternateContent>
      </w:r>
    </w:p>
    <w:p>
      <w:pPr>
        <w:rPr>
          <w:color w:val="000000"/>
          <w:spacing w:val="-2"/>
        </w:rPr>
      </w:pPr>
      <w:r>
        <w:rPr>
          <w:color w:val="000000"/>
          <w:spacing w:val="-2"/>
        </w:rPr>
        <w:t xml:space="preserve"> </w:t>
      </w:r>
    </w:p>
    <w:p>
      <w:pPr>
        <w:rPr>
          <w:color w:val="000000"/>
          <w:spacing w:val="-2"/>
        </w:rPr>
      </w:pPr>
    </w:p>
    <w:p>
      <w:pPr>
        <w:rPr>
          <w:color w:val="000000"/>
          <w:spacing w:val="-2"/>
        </w:rPr>
      </w:pPr>
    </w:p>
    <w:p>
      <w:pPr>
        <w:rPr>
          <w:color w:val="000000"/>
          <w:spacing w:val="-2"/>
        </w:rPr>
      </w:pPr>
    </w:p>
    <w:p>
      <w:pPr>
        <w:rPr>
          <w:color w:val="000000"/>
          <w:spacing w:val="-2"/>
        </w:rPr>
      </w:pPr>
    </w:p>
    <w:p>
      <w:pPr>
        <w:rPr>
          <w:color w:val="000000"/>
          <w:spacing w:val="-2"/>
        </w:rPr>
      </w:pPr>
    </w:p>
    <w:p>
      <w:pPr>
        <w:rPr>
          <w:color w:val="000000"/>
          <w:spacing w:val="-2"/>
        </w:rPr>
      </w:pPr>
    </w:p>
    <w:p>
      <w:pPr>
        <w:jc w:val="center"/>
        <w:rPr>
          <w:rFonts w:ascii="Times New Roman" w:eastAsia="黑体"/>
          <w:color w:val="000000"/>
          <w:spacing w:val="-2"/>
        </w:rPr>
      </w:pPr>
      <w:r>
        <w:rPr>
          <w:rFonts w:hint="eastAsia" w:ascii="Times New Roman" w:eastAsia="黑体"/>
          <w:color w:val="000000"/>
          <w:spacing w:val="-2"/>
        </w:rPr>
        <w:t>图4.1 项目监理部组织机构框图</w:t>
      </w:r>
    </w:p>
    <w:p>
      <w:pPr>
        <w:spacing w:before="240" w:beforeLines="100" w:after="240" w:afterLines="100" w:line="420" w:lineRule="exact"/>
        <w:rPr>
          <w:rFonts w:hint="eastAsia"/>
          <w:b/>
          <w:color w:val="000000"/>
          <w:spacing w:val="-2"/>
          <w:sz w:val="28"/>
          <w:szCs w:val="28"/>
        </w:rPr>
      </w:pPr>
      <w:r>
        <w:rPr>
          <w:b/>
          <w:color w:val="000000"/>
          <w:spacing w:val="-2"/>
          <w:sz w:val="28"/>
          <w:szCs w:val="28"/>
        </w:rPr>
        <w:t xml:space="preserve">5 </w:t>
      </w:r>
      <w:r>
        <w:rPr>
          <w:rFonts w:hint="eastAsia"/>
          <w:b/>
          <w:color w:val="000000"/>
          <w:spacing w:val="-2"/>
          <w:sz w:val="28"/>
          <w:szCs w:val="28"/>
        </w:rPr>
        <w:t>高支模工程监理工作流程（用框图表示）</w:t>
      </w:r>
    </w:p>
    <w:p>
      <w:pPr>
        <w:spacing w:line="460" w:lineRule="exact"/>
        <w:rPr>
          <w:b/>
          <w:bCs/>
          <w:color w:val="000000"/>
          <w:spacing w:val="-2"/>
          <w:kern w:val="0"/>
          <w:sz w:val="24"/>
        </w:rPr>
      </w:pPr>
      <w:r>
        <w:rPr>
          <w:b/>
          <w:bCs/>
          <w:color w:val="000000"/>
          <w:spacing w:val="-2"/>
          <w:kern w:val="0"/>
          <w:sz w:val="24"/>
        </w:rPr>
        <w:t xml:space="preserve">5.1 </w:t>
      </w:r>
      <w:r>
        <w:rPr>
          <w:rFonts w:hint="eastAsia"/>
          <w:b/>
          <w:bCs/>
          <w:color w:val="000000"/>
          <w:spacing w:val="-2"/>
          <w:kern w:val="0"/>
          <w:sz w:val="24"/>
        </w:rPr>
        <w:t>高支模工程施工阶段监理程序：（示意）</w:t>
      </w:r>
      <w:r>
        <w:rPr>
          <w:b/>
          <w:bCs/>
          <w:color w:val="000000"/>
          <w:spacing w:val="-2"/>
          <w:kern w:val="0"/>
          <w:sz w:val="24"/>
        </w:rPr>
        <w:t xml:space="preserve"> </w:t>
      </w:r>
    </w:p>
    <w:p>
      <w:pPr>
        <w:tabs>
          <w:tab w:val="left" w:pos="1845"/>
        </w:tabs>
        <w:spacing w:line="276" w:lineRule="auto"/>
        <w:rPr>
          <w:rFonts w:ascii="Times New Roman"/>
          <w:color w:val="000000"/>
          <w:spacing w:val="-2"/>
        </w:rPr>
      </w:pPr>
      <w:r>
        <mc:AlternateContent>
          <mc:Choice Requires="wpg">
            <w:drawing>
              <wp:anchor distT="0" distB="0" distL="114300" distR="114300" simplePos="0" relativeHeight="251663360" behindDoc="0" locked="0" layoutInCell="1" allowOverlap="1">
                <wp:simplePos x="0" y="0"/>
                <wp:positionH relativeFrom="column">
                  <wp:posOffset>1943100</wp:posOffset>
                </wp:positionH>
                <wp:positionV relativeFrom="paragraph">
                  <wp:posOffset>40640</wp:posOffset>
                </wp:positionV>
                <wp:extent cx="1838960" cy="1678305"/>
                <wp:effectExtent l="9525" t="9525" r="18415" b="26670"/>
                <wp:wrapNone/>
                <wp:docPr id="7" name="组合 7"/>
                <wp:cNvGraphicFramePr/>
                <a:graphic xmlns:a="http://schemas.openxmlformats.org/drawingml/2006/main">
                  <a:graphicData uri="http://schemas.microsoft.com/office/word/2010/wordprocessingGroup">
                    <wpg:wgp>
                      <wpg:cNvGrpSpPr/>
                      <wpg:grpSpPr>
                        <a:xfrm>
                          <a:off x="0" y="0"/>
                          <a:ext cx="1838960" cy="1678305"/>
                          <a:chOff x="4260" y="1603"/>
                          <a:chExt cx="3092" cy="2822"/>
                        </a:xfrm>
                      </wpg:grpSpPr>
                      <wpg:grpSp>
                        <wpg:cNvPr id="4" name="组合 4"/>
                        <wpg:cNvGrpSpPr/>
                        <wpg:grpSpPr>
                          <a:xfrm>
                            <a:off x="4260" y="1603"/>
                            <a:ext cx="3092" cy="1749"/>
                            <a:chOff x="4320" y="13386"/>
                            <a:chExt cx="3092" cy="1749"/>
                          </a:xfrm>
                        </wpg:grpSpPr>
                        <wps:wsp>
                          <wps:cNvPr id="1" name="流程图: 可选过程 1"/>
                          <wps:cNvSpPr/>
                          <wps:spPr>
                            <a:xfrm>
                              <a:off x="4320" y="13386"/>
                              <a:ext cx="3092" cy="654"/>
                            </a:xfrm>
                            <a:prstGeom prst="flowChartAlternateProcess">
                              <a:avLst/>
                            </a:prstGeom>
                            <a:solidFill>
                              <a:srgbClr val="FFFFFF"/>
                            </a:solidFill>
                            <a:ln w="19050" cap="flat" cmpd="sng">
                              <a:solidFill>
                                <a:srgbClr val="000000"/>
                              </a:solidFill>
                              <a:prstDash val="solid"/>
                              <a:miter/>
                              <a:headEnd type="none" w="med" len="med"/>
                              <a:tailEnd type="none" w="med" len="med"/>
                            </a:ln>
                          </wps:spPr>
                          <wps:txbx>
                            <w:txbxContent>
                              <w:p>
                                <w:pPr>
                                  <w:jc w:val="center"/>
                                </w:pPr>
                              </w:p>
                            </w:txbxContent>
                          </wps:txbx>
                          <wps:bodyPr upright="1"/>
                        </wps:wsp>
                        <wps:wsp>
                          <wps:cNvPr id="2" name="直接箭头连接符 2"/>
                          <wps:cNvCnPr/>
                          <wps:spPr>
                            <a:xfrm>
                              <a:off x="5865" y="14046"/>
                              <a:ext cx="0" cy="420"/>
                            </a:xfrm>
                            <a:prstGeom prst="straightConnector1">
                              <a:avLst/>
                            </a:prstGeom>
                            <a:ln w="9525" cap="flat" cmpd="sng">
                              <a:solidFill>
                                <a:srgbClr val="000000"/>
                              </a:solidFill>
                              <a:prstDash val="solid"/>
                              <a:headEnd type="none" w="med" len="med"/>
                              <a:tailEnd type="triangle" w="med" len="med"/>
                            </a:ln>
                          </wps:spPr>
                          <wps:bodyPr/>
                        </wps:wsp>
                        <wps:wsp>
                          <wps:cNvPr id="3" name="流程图: 可选过程 3"/>
                          <wps:cNvSpPr/>
                          <wps:spPr>
                            <a:xfrm>
                              <a:off x="4320" y="14481"/>
                              <a:ext cx="3092" cy="654"/>
                            </a:xfrm>
                            <a:prstGeom prst="flowChartAlternateProcess">
                              <a:avLst/>
                            </a:prstGeom>
                            <a:solidFill>
                              <a:srgbClr val="FFFFFF"/>
                            </a:solidFill>
                            <a:ln w="19050" cap="flat" cmpd="sng">
                              <a:solidFill>
                                <a:srgbClr val="000000"/>
                              </a:solidFill>
                              <a:prstDash val="solid"/>
                              <a:miter/>
                              <a:headEnd type="none" w="med" len="med"/>
                              <a:tailEnd type="none" w="med" len="med"/>
                            </a:ln>
                          </wps:spPr>
                          <wps:txbx>
                            <w:txbxContent>
                              <w:p>
                                <w:pPr>
                                  <w:jc w:val="center"/>
                                </w:pPr>
                              </w:p>
                            </w:txbxContent>
                          </wps:txbx>
                          <wps:bodyPr upright="1"/>
                        </wps:wsp>
                      </wpg:grpSp>
                      <wps:wsp>
                        <wps:cNvPr id="5" name="流程图: 可选过程 5"/>
                        <wps:cNvSpPr/>
                        <wps:spPr>
                          <a:xfrm>
                            <a:off x="4260" y="3765"/>
                            <a:ext cx="3092" cy="660"/>
                          </a:xfrm>
                          <a:prstGeom prst="flowChartAlternateProcess">
                            <a:avLst/>
                          </a:prstGeom>
                          <a:solidFill>
                            <a:srgbClr val="FFFFFF"/>
                          </a:solidFill>
                          <a:ln w="19050" cap="flat" cmpd="sng">
                            <a:solidFill>
                              <a:srgbClr val="000000"/>
                            </a:solidFill>
                            <a:prstDash val="solid"/>
                            <a:miter/>
                            <a:headEnd type="none" w="med" len="med"/>
                            <a:tailEnd type="none" w="med" len="med"/>
                          </a:ln>
                        </wps:spPr>
                        <wps:bodyPr upright="1"/>
                      </wps:wsp>
                      <wps:wsp>
                        <wps:cNvPr id="6" name="直接箭头连接符 6"/>
                        <wps:cNvCnPr/>
                        <wps:spPr>
                          <a:xfrm>
                            <a:off x="5805" y="3352"/>
                            <a:ext cx="0" cy="413"/>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153pt;margin-top:3.2pt;height:132.15pt;width:144.8pt;z-index:251663360;mso-width-relative:page;mso-height-relative:page;" coordorigin="4260,1603" coordsize="3092,2822" o:gfxdata="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">
                <o:lock v:ext="edit" aspectratio="f"/>
                <v:group id="_x0000_s1026" o:spid="_x0000_s1026" o:spt="203" style="position:absolute;left:4260;top:1603;height:1749;width:3092;" coordorigin="4320,13386" coordsize="3092,1749"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_x0000_s1026" o:spid="_x0000_s1026" o:spt="176" type="#_x0000_t176" style="position:absolute;left:4320;top:13386;height:654;width:3092;" fillcolor="#FFFFFF" filled="t" stroked="t" coordsize="21600,21600" o:gfxdata="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k2zTugAAANoA&#10;AAAPAAAAAAAAAAEAIAAAACIAAABkcnMvZG93bnJldi54bWxQSwECFAAUAAAACACHTuJAMy8FnjsA&#10;AAA5AAAAEAAAAAAAAAABACAAAAAJAQAAZHJzL3NoYXBleG1sLnhtbFBLBQYAAAAABgAGAFsBAACz&#10;AwAAAAA=&#10;">
                    <v:fill on="t" focussize="0,0"/>
                    <v:stroke weight="1.5pt" color="#000000" joinstyle="miter"/>
                    <v:imagedata o:title=""/>
                    <o:lock v:ext="edit" aspectratio="f"/>
                    <v:textbox>
                      <w:txbxContent>
                        <w:p>
                          <w:pPr>
                            <w:jc w:val="center"/>
                          </w:pPr>
                        </w:p>
                      </w:txbxContent>
                    </v:textbox>
                  </v:shape>
                  <v:shape id="_x0000_s1026" o:spid="_x0000_s1026" o:spt="32" type="#_x0000_t32" style="position:absolute;left:5865;top:14046;height:420;width:0;" filled="f" stroked="t" coordsize="21600,21600" o:gfxdata="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cQ6K8AAAA&#10;2g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176" type="#_x0000_t176" style="position:absolute;left:4320;top:14481;height:654;width:3092;" fillcolor="#FFFFFF" filled="t" stroked="t" coordsize="21600,21600" o:gfxdata="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NVz+8AAAA&#10;2gAAAA8AAAAAAAAAAQAgAAAAIgAAAGRycy9kb3ducmV2LnhtbFBLAQIUABQAAAAIAIdO4kAzLwWe&#10;OwAAADkAAAAQAAAAAAAAAAEAIAAAAAsBAABkcnMvc2hhcGV4bWwueG1sUEsFBgAAAAAGAAYAWwEA&#10;ALUDAAAAAA==&#10;">
                    <v:fill on="t" focussize="0,0"/>
                    <v:stroke weight="1.5pt" color="#000000" joinstyle="miter"/>
                    <v:imagedata o:title=""/>
                    <o:lock v:ext="edit" aspectratio="f"/>
                    <v:textbox>
                      <w:txbxContent>
                        <w:p>
                          <w:pPr>
                            <w:jc w:val="center"/>
                          </w:pPr>
                        </w:p>
                      </w:txbxContent>
                    </v:textbox>
                  </v:shape>
                </v:group>
                <v:shape id="_x0000_s1026" o:spid="_x0000_s1026" o:spt="176" type="#_x0000_t176" style="position:absolute;left:4260;top:3765;height:660;width:3092;" fillcolor="#FFFFFF" filled="t" stroked="t" coordsize="21600,21600" o:gfxdata="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oatC8AAAA&#10;2gAAAA8AAAAAAAAAAQAgAAAAIgAAAGRycy9kb3ducmV2LnhtbFBLAQIUABQAAAAIAIdO4kAzLwWe&#10;OwAAADkAAAAQAAAAAAAAAAEAIAAAAAsBAABkcnMvc2hhcGV4bWwueG1sUEsFBgAAAAAGAAYAWwEA&#10;ALUDAAAAAA==&#10;">
                  <v:fill on="t" focussize="0,0"/>
                  <v:stroke weight="1.5pt" color="#000000" joinstyle="miter"/>
                  <v:imagedata o:title=""/>
                  <o:lock v:ext="edit" aspectratio="f"/>
                </v:shape>
                <v:shape id="_x0000_s1026" o:spid="_x0000_s1026" o:spt="32" type="#_x0000_t32" style="position:absolute;left:5805;top:3352;height:413;width:0;" filled="f" stroked="t" coordsize="21600,21600" o:gfxdata="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nRaG8AAAA&#10;2g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r>
        <w:rPr>
          <w:rFonts w:hint="eastAsia" w:ascii="Times New Roman"/>
          <w:color w:val="000000"/>
          <w:spacing w:val="-2"/>
        </w:rPr>
        <w:tab/>
      </w:r>
    </w:p>
    <w:p>
      <w:pPr>
        <w:tabs>
          <w:tab w:val="left" w:pos="1845"/>
        </w:tabs>
        <w:spacing w:line="276" w:lineRule="auto"/>
        <w:rPr>
          <w:rFonts w:hint="eastAsia" w:ascii="Times New Roman"/>
          <w:color w:val="000000"/>
          <w:spacing w:val="-2"/>
        </w:rPr>
      </w:pPr>
    </w:p>
    <w:p>
      <w:pPr>
        <w:tabs>
          <w:tab w:val="left" w:pos="1845"/>
        </w:tabs>
        <w:spacing w:line="276" w:lineRule="auto"/>
        <w:rPr>
          <w:rFonts w:hint="eastAsia" w:ascii="Times New Roman"/>
          <w:color w:val="000000"/>
          <w:spacing w:val="-2"/>
        </w:rPr>
      </w:pPr>
    </w:p>
    <w:p>
      <w:pPr>
        <w:tabs>
          <w:tab w:val="left" w:pos="1845"/>
        </w:tabs>
        <w:spacing w:line="276" w:lineRule="auto"/>
        <w:rPr>
          <w:rFonts w:hint="eastAsia" w:ascii="Times New Roman"/>
          <w:color w:val="000000"/>
          <w:spacing w:val="-2"/>
        </w:rPr>
      </w:pPr>
    </w:p>
    <w:p>
      <w:pPr>
        <w:tabs>
          <w:tab w:val="left" w:pos="1845"/>
        </w:tabs>
        <w:spacing w:line="276" w:lineRule="auto"/>
        <w:rPr>
          <w:rFonts w:hint="eastAsia" w:ascii="Times New Roman"/>
          <w:color w:val="000000"/>
          <w:spacing w:val="-2"/>
        </w:rPr>
      </w:pPr>
    </w:p>
    <w:p>
      <w:pPr>
        <w:tabs>
          <w:tab w:val="left" w:pos="1845"/>
        </w:tabs>
        <w:spacing w:line="276" w:lineRule="auto"/>
        <w:rPr>
          <w:rFonts w:hint="eastAsia" w:ascii="Times New Roman"/>
          <w:color w:val="000000"/>
          <w:spacing w:val="-2"/>
        </w:rPr>
      </w:pPr>
    </w:p>
    <w:p>
      <w:pPr>
        <w:tabs>
          <w:tab w:val="left" w:pos="1845"/>
        </w:tabs>
        <w:spacing w:line="276" w:lineRule="auto"/>
        <w:rPr>
          <w:rFonts w:hint="eastAsia" w:ascii="Times New Roman"/>
          <w:color w:val="000000"/>
          <w:spacing w:val="-2"/>
        </w:rPr>
      </w:pPr>
    </w:p>
    <w:p>
      <w:pPr>
        <w:tabs>
          <w:tab w:val="left" w:pos="1845"/>
        </w:tabs>
        <w:spacing w:line="276" w:lineRule="auto"/>
        <w:rPr>
          <w:rFonts w:hint="eastAsia" w:ascii="Times New Roman"/>
          <w:color w:val="000000"/>
          <w:spacing w:val="-2"/>
        </w:rPr>
      </w:pPr>
    </w:p>
    <w:p>
      <w:pPr>
        <w:tabs>
          <w:tab w:val="left" w:pos="1845"/>
        </w:tabs>
        <w:spacing w:line="276" w:lineRule="auto"/>
        <w:rPr>
          <w:rFonts w:hint="eastAsia" w:ascii="Times New Roman"/>
          <w:color w:val="000000"/>
          <w:spacing w:val="-2"/>
        </w:rPr>
      </w:pPr>
    </w:p>
    <w:p>
      <w:pPr>
        <w:jc w:val="center"/>
        <w:rPr>
          <w:rFonts w:hint="eastAsia" w:ascii="Times New Roman" w:eastAsia="黑体"/>
          <w:color w:val="000000"/>
          <w:spacing w:val="-2"/>
        </w:rPr>
      </w:pPr>
      <w:r>
        <w:rPr>
          <w:rFonts w:hint="eastAsia" w:ascii="Times New Roman" w:eastAsia="黑体"/>
          <w:color w:val="000000"/>
          <w:spacing w:val="-2"/>
        </w:rPr>
        <w:t>图5.1高支模工程施工阶段监理程序框图</w:t>
      </w:r>
    </w:p>
    <w:p>
      <w:pPr>
        <w:jc w:val="center"/>
        <w:rPr>
          <w:rFonts w:hint="eastAsia" w:ascii="Times New Roman" w:eastAsia="黑体"/>
          <w:color w:val="000000"/>
          <w:spacing w:val="-2"/>
        </w:rPr>
      </w:pPr>
    </w:p>
    <w:p>
      <w:pPr>
        <w:tabs>
          <w:tab w:val="left" w:pos="5780"/>
        </w:tabs>
        <w:autoSpaceDE w:val="0"/>
        <w:autoSpaceDN w:val="0"/>
        <w:adjustRightInd w:val="0"/>
        <w:spacing w:line="460" w:lineRule="exact"/>
        <w:ind w:right="-20"/>
        <w:jc w:val="left"/>
        <w:rPr>
          <w:rFonts w:hint="eastAsia" w:ascii="Times New Roman"/>
          <w:b/>
          <w:color w:val="000000"/>
          <w:spacing w:val="-2"/>
          <w:sz w:val="24"/>
        </w:rPr>
      </w:pPr>
      <w:r>
        <w:rPr>
          <w:b/>
          <w:bCs/>
          <w:color w:val="000000"/>
          <w:spacing w:val="-2"/>
          <w:kern w:val="0"/>
          <w:sz w:val="24"/>
        </w:rPr>
        <w:t xml:space="preserve">5.2 </w:t>
      </w:r>
      <w:r>
        <w:rPr>
          <w:rFonts w:hint="eastAsia" w:ascii="Times New Roman" w:hAnsi="Times New Roman"/>
          <w:b/>
          <w:color w:val="000000"/>
          <w:spacing w:val="-2"/>
          <w:sz w:val="24"/>
        </w:rPr>
        <w:t>高支模施工专项方案审批监理程序：</w:t>
      </w:r>
    </w:p>
    <w:p>
      <w:pPr>
        <w:spacing w:line="460" w:lineRule="exact"/>
        <w:rPr>
          <w:rFonts w:hint="eastAsia" w:ascii="Times New Roman"/>
          <w:b/>
          <w:color w:val="000000"/>
          <w:spacing w:val="-2"/>
          <w:sz w:val="24"/>
        </w:rPr>
      </w:pPr>
      <w:r>
        <w:rPr>
          <w:b/>
          <w:bCs/>
          <w:color w:val="000000"/>
          <w:spacing w:val="-2"/>
          <w:kern w:val="0"/>
          <w:sz w:val="24"/>
        </w:rPr>
        <w:t>5.3</w:t>
      </w:r>
      <w:r>
        <w:rPr>
          <w:rFonts w:hint="eastAsia" w:ascii="Times New Roman" w:hAnsi="Times New Roman"/>
          <w:b/>
          <w:color w:val="000000"/>
          <w:spacing w:val="-2"/>
          <w:sz w:val="24"/>
        </w:rPr>
        <w:t>高支模搭设阶段的监理工作程序：</w:t>
      </w:r>
    </w:p>
    <w:p>
      <w:pPr>
        <w:spacing w:line="460" w:lineRule="exact"/>
        <w:rPr>
          <w:rFonts w:hint="eastAsia" w:ascii="Times New Roman"/>
          <w:b/>
          <w:color w:val="000000"/>
          <w:spacing w:val="-2"/>
          <w:sz w:val="24"/>
        </w:rPr>
      </w:pPr>
      <w:r>
        <w:rPr>
          <w:b/>
          <w:bCs/>
          <w:color w:val="000000"/>
          <w:spacing w:val="-2"/>
          <w:kern w:val="0"/>
          <w:sz w:val="24"/>
        </w:rPr>
        <w:t>5.4</w:t>
      </w:r>
      <w:r>
        <w:rPr>
          <w:rFonts w:hint="eastAsia"/>
          <w:b/>
          <w:color w:val="000000"/>
          <w:spacing w:val="-2"/>
          <w:sz w:val="24"/>
        </w:rPr>
        <w:t>支架预压的监理工作程序：</w:t>
      </w:r>
    </w:p>
    <w:p>
      <w:pPr>
        <w:spacing w:line="460" w:lineRule="exact"/>
        <w:rPr>
          <w:rFonts w:hint="eastAsia" w:ascii="Times New Roman"/>
          <w:b/>
          <w:color w:val="000000"/>
          <w:spacing w:val="-2"/>
          <w:sz w:val="24"/>
        </w:rPr>
      </w:pPr>
      <w:r>
        <w:rPr>
          <w:rFonts w:hint="eastAsia"/>
        </w:rPr>
        <w:drawing>
          <wp:anchor distT="0" distB="0" distL="114300" distR="114300" simplePos="0" relativeHeight="251658240" behindDoc="1" locked="1" layoutInCell="1" allowOverlap="1">
            <wp:simplePos x="0" y="0"/>
            <wp:positionH relativeFrom="column">
              <wp:posOffset>4445000</wp:posOffset>
            </wp:positionH>
            <wp:positionV relativeFrom="paragraph">
              <wp:posOffset>9448800</wp:posOffset>
            </wp:positionV>
            <wp:extent cx="482600" cy="469900"/>
            <wp:effectExtent l="0" t="0" r="12700" b="6350"/>
            <wp:wrapNone/>
            <wp:docPr id="54" name="图片 393"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93" descr="38"/>
                    <pic:cNvPicPr>
                      <a:picLocks noChangeAspect="1"/>
                    </pic:cNvPicPr>
                  </pic:nvPicPr>
                  <pic:blipFill>
                    <a:blip r:embed="rId7"/>
                    <a:stretch>
                      <a:fillRect/>
                    </a:stretch>
                  </pic:blipFill>
                  <pic:spPr>
                    <a:xfrm>
                      <a:off x="0" y="0"/>
                      <a:ext cx="482600" cy="469900"/>
                    </a:xfrm>
                    <a:prstGeom prst="rect">
                      <a:avLst/>
                    </a:prstGeom>
                    <a:noFill/>
                    <a:ln>
                      <a:noFill/>
                    </a:ln>
                  </pic:spPr>
                </pic:pic>
              </a:graphicData>
            </a:graphic>
          </wp:anchor>
        </w:drawing>
      </w:r>
      <w:r>
        <w:rPr>
          <w:b/>
          <w:bCs/>
          <w:color w:val="000000"/>
          <w:spacing w:val="-2"/>
          <w:kern w:val="0"/>
          <w:sz w:val="24"/>
        </w:rPr>
        <w:t>5.5</w:t>
      </w:r>
      <w:r>
        <w:rPr>
          <w:rFonts w:hint="eastAsia"/>
          <w:b/>
          <w:color w:val="000000"/>
          <w:spacing w:val="-2"/>
          <w:sz w:val="24"/>
        </w:rPr>
        <w:t>浇筑混凝土的施工监理工作程序：</w:t>
      </w:r>
    </w:p>
    <w:p>
      <w:pPr>
        <w:spacing w:line="460" w:lineRule="exact"/>
        <w:rPr>
          <w:rFonts w:hint="eastAsia" w:ascii="Times New Roman"/>
          <w:b/>
          <w:color w:val="000000"/>
          <w:spacing w:val="-2"/>
          <w:sz w:val="24"/>
        </w:rPr>
      </w:pPr>
      <w:r>
        <w:rPr>
          <w:b/>
          <w:bCs/>
          <w:color w:val="000000"/>
          <w:spacing w:val="-2"/>
          <w:kern w:val="0"/>
          <w:sz w:val="24"/>
        </w:rPr>
        <w:t>5.6</w:t>
      </w:r>
      <w:r>
        <w:rPr>
          <w:rFonts w:hint="eastAsia" w:ascii="Times New Roman" w:hAnsi="Times New Roman"/>
          <w:b/>
          <w:color w:val="000000"/>
          <w:spacing w:val="-2"/>
          <w:sz w:val="24"/>
        </w:rPr>
        <w:t>地基处理的监理工作程序：</w:t>
      </w:r>
    </w:p>
    <w:p>
      <w:pPr>
        <w:spacing w:line="460" w:lineRule="exact"/>
        <w:rPr>
          <w:rFonts w:hint="eastAsia" w:ascii="Times New Roman"/>
          <w:b/>
          <w:color w:val="000000"/>
          <w:spacing w:val="-2"/>
          <w:sz w:val="24"/>
        </w:rPr>
      </w:pPr>
      <w:r>
        <w:rPr>
          <w:b/>
          <w:bCs/>
          <w:color w:val="000000"/>
          <w:spacing w:val="-2"/>
          <w:kern w:val="0"/>
          <w:sz w:val="24"/>
        </w:rPr>
        <w:t>5.7</w:t>
      </w:r>
      <w:r>
        <w:rPr>
          <w:rFonts w:hint="eastAsia" w:ascii="Times New Roman" w:hAnsi="Times New Roman"/>
          <w:b/>
          <w:color w:val="000000"/>
          <w:spacing w:val="-2"/>
          <w:sz w:val="24"/>
        </w:rPr>
        <w:t>支架拆除的监理工作程序：</w:t>
      </w:r>
    </w:p>
    <w:p>
      <w:pPr>
        <w:spacing w:line="460" w:lineRule="exact"/>
        <w:rPr>
          <w:rFonts w:hint="eastAsia" w:ascii="Times New Roman"/>
          <w:b/>
          <w:color w:val="000000"/>
          <w:spacing w:val="-2"/>
          <w:sz w:val="24"/>
        </w:rPr>
      </w:pPr>
      <w:r>
        <w:rPr>
          <w:b/>
          <w:bCs/>
          <w:color w:val="000000"/>
          <w:spacing w:val="-2"/>
          <w:kern w:val="0"/>
          <w:sz w:val="24"/>
        </w:rPr>
        <w:t>5.8</w:t>
      </w:r>
      <w:r>
        <w:rPr>
          <w:rFonts w:hint="eastAsia" w:ascii="Times New Roman" w:hAnsi="Times New Roman"/>
          <w:b/>
          <w:color w:val="000000"/>
          <w:spacing w:val="-2"/>
          <w:sz w:val="24"/>
        </w:rPr>
        <w:t>其他程序或流程：（根据工程实际情况增减、调整）</w:t>
      </w:r>
    </w:p>
    <w:p>
      <w:pPr>
        <w:spacing w:before="240" w:beforeLines="100" w:after="240" w:afterLines="100" w:line="420" w:lineRule="exact"/>
        <w:rPr>
          <w:rFonts w:hint="eastAsia"/>
          <w:b/>
          <w:color w:val="000000"/>
          <w:spacing w:val="-2"/>
          <w:sz w:val="28"/>
          <w:szCs w:val="28"/>
        </w:rPr>
      </w:pPr>
      <w:r>
        <w:rPr>
          <w:b/>
          <w:color w:val="000000"/>
          <w:spacing w:val="-2"/>
          <w:sz w:val="28"/>
          <w:szCs w:val="28"/>
        </w:rPr>
        <w:t xml:space="preserve">6 </w:t>
      </w:r>
      <w:r>
        <w:rPr>
          <w:rFonts w:hint="eastAsia"/>
          <w:b/>
          <w:color w:val="000000"/>
          <w:spacing w:val="-2"/>
          <w:sz w:val="28"/>
          <w:szCs w:val="28"/>
        </w:rPr>
        <w:t>高支模工程监理工作控制要点及目标值</w:t>
      </w:r>
    </w:p>
    <w:p>
      <w:pPr>
        <w:tabs>
          <w:tab w:val="left" w:pos="5780"/>
        </w:tabs>
        <w:autoSpaceDE w:val="0"/>
        <w:autoSpaceDN w:val="0"/>
        <w:adjustRightInd w:val="0"/>
        <w:spacing w:line="460" w:lineRule="exact"/>
        <w:jc w:val="left"/>
        <w:rPr>
          <w:rFonts w:ascii="Times New Roman"/>
          <w:b/>
          <w:color w:val="000000"/>
          <w:spacing w:val="-2"/>
          <w:sz w:val="24"/>
        </w:rPr>
      </w:pPr>
      <w:r>
        <w:rPr>
          <w:b/>
          <w:bCs/>
          <w:color w:val="000000"/>
          <w:spacing w:val="-2"/>
          <w:kern w:val="0"/>
          <w:sz w:val="24"/>
        </w:rPr>
        <w:t>6.1</w:t>
      </w:r>
      <w:r>
        <w:rPr>
          <w:rFonts w:hint="eastAsia" w:ascii="Times New Roman" w:hAnsi="Times New Roman"/>
          <w:b/>
          <w:color w:val="000000"/>
          <w:spacing w:val="-2"/>
          <w:sz w:val="24"/>
        </w:rPr>
        <w:t xml:space="preserve"> 根据施工组织设计文件、施工合同及相关标准的要求，本高支模工程质量目标确定为：</w:t>
      </w:r>
      <w:r>
        <w:rPr>
          <w:rFonts w:hint="eastAsia" w:ascii="Times New Roman" w:hAnsi="Times New Roman"/>
          <w:b/>
          <w:color w:val="000000"/>
          <w:spacing w:val="-2"/>
          <w:sz w:val="24"/>
          <w:u w:val="single"/>
        </w:rPr>
        <w:t xml:space="preserve">                              </w:t>
      </w:r>
      <w:r>
        <w:rPr>
          <w:rFonts w:hint="eastAsia" w:ascii="Times New Roman" w:hAnsi="Times New Roman"/>
          <w:b/>
          <w:color w:val="000000"/>
          <w:spacing w:val="-2"/>
          <w:sz w:val="24"/>
        </w:rPr>
        <w:t>。</w:t>
      </w:r>
    </w:p>
    <w:p>
      <w:pPr>
        <w:spacing w:line="460" w:lineRule="exact"/>
        <w:rPr>
          <w:rFonts w:hint="eastAsia" w:ascii="Times New Roman" w:hAnsi="Times New Roman"/>
          <w:color w:val="000000"/>
          <w:spacing w:val="-2"/>
          <w:sz w:val="24"/>
        </w:rPr>
      </w:pPr>
      <w:r>
        <w:rPr>
          <w:rFonts w:hint="eastAsia" w:ascii="Times New Roman" w:hAnsi="Times New Roman"/>
          <w:color w:val="000000"/>
          <w:spacing w:val="-2"/>
          <w:sz w:val="24"/>
        </w:rPr>
        <w:t>本高支模工程的检验及主要验收内容如下：</w:t>
      </w:r>
    </w:p>
    <w:p>
      <w:pPr>
        <w:spacing w:line="360" w:lineRule="auto"/>
        <w:ind w:left="2" w:leftChars="1" w:firstLine="2124" w:firstLineChars="900"/>
        <w:rPr>
          <w:rFonts w:hint="eastAsia" w:ascii="Times New Roman"/>
          <w:color w:val="000000"/>
          <w:spacing w:val="-2"/>
          <w:sz w:val="24"/>
        </w:rPr>
      </w:pPr>
      <w:r>
        <w:rPr>
          <w:rFonts w:hint="eastAsia" w:ascii="Times New Roman" w:hAnsi="Times New Roman" w:eastAsia="黑体"/>
          <w:color w:val="000000"/>
          <w:spacing w:val="-2"/>
          <w:sz w:val="24"/>
        </w:rPr>
        <w:t>高支模工程检验及主要验收内容一览表</w:t>
      </w:r>
      <w:r>
        <w:rPr>
          <w:rFonts w:hint="eastAsia" w:ascii="Times New Roman" w:hAnsi="Times New Roman"/>
          <w:b/>
          <w:color w:val="000000"/>
          <w:spacing w:val="-2"/>
        </w:rPr>
        <w:t xml:space="preserve"> </w:t>
      </w:r>
      <w:r>
        <w:rPr>
          <w:rFonts w:hint="eastAsia" w:ascii="Times New Roman" w:hAnsi="Times New Roman"/>
          <w:color w:val="000000"/>
          <w:spacing w:val="-2"/>
        </w:rPr>
        <w:t xml:space="preserve">                 表</w:t>
      </w:r>
      <w:r>
        <w:rPr>
          <w:color w:val="000000"/>
          <w:spacing w:val="-2"/>
        </w:rPr>
        <w:t>6.1</w:t>
      </w: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843"/>
        <w:gridCol w:w="59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9" w:type="dxa"/>
            <w:tcBorders>
              <w:top w:val="single" w:color="auto" w:sz="8" w:space="0"/>
              <w:left w:val="single" w:color="auto" w:sz="8" w:space="0"/>
              <w:bottom w:val="single" w:color="auto" w:sz="4" w:space="0"/>
              <w:right w:val="single" w:color="auto" w:sz="4" w:space="0"/>
            </w:tcBorders>
            <w:noWrap w:val="0"/>
            <w:vAlign w:val="center"/>
          </w:tcPr>
          <w:p>
            <w:pPr>
              <w:spacing w:line="300" w:lineRule="exact"/>
              <w:jc w:val="center"/>
              <w:rPr>
                <w:rFonts w:ascii="Times New Roman" w:hAnsi="Times New Roman" w:eastAsia="黑体"/>
                <w:color w:val="000000"/>
                <w:spacing w:val="-2"/>
                <w:szCs w:val="21"/>
              </w:rPr>
            </w:pPr>
            <w:r>
              <w:rPr>
                <w:rFonts w:hint="eastAsia" w:ascii="Times New Roman" w:hAnsi="Times New Roman" w:eastAsia="黑体"/>
                <w:color w:val="000000"/>
                <w:spacing w:val="-2"/>
                <w:szCs w:val="21"/>
              </w:rPr>
              <w:t>序号</w:t>
            </w:r>
          </w:p>
        </w:tc>
        <w:tc>
          <w:tcPr>
            <w:tcW w:w="1843" w:type="dxa"/>
            <w:tcBorders>
              <w:top w:val="single" w:color="auto" w:sz="8" w:space="0"/>
              <w:left w:val="single" w:color="auto" w:sz="4" w:space="0"/>
              <w:bottom w:val="single" w:color="auto" w:sz="4" w:space="0"/>
              <w:right w:val="single" w:color="auto" w:sz="4" w:space="0"/>
            </w:tcBorders>
            <w:noWrap w:val="0"/>
            <w:vAlign w:val="center"/>
          </w:tcPr>
          <w:p>
            <w:pPr>
              <w:spacing w:line="300" w:lineRule="exact"/>
              <w:jc w:val="center"/>
              <w:rPr>
                <w:rFonts w:ascii="Times New Roman" w:hAnsi="Times New Roman" w:eastAsia="黑体"/>
                <w:color w:val="000000"/>
                <w:spacing w:val="-2"/>
                <w:szCs w:val="21"/>
              </w:rPr>
            </w:pPr>
            <w:r>
              <w:rPr>
                <w:rFonts w:hint="eastAsia" w:ascii="Times New Roman" w:hAnsi="Times New Roman" w:eastAsia="黑体"/>
                <w:color w:val="000000"/>
                <w:spacing w:val="-2"/>
                <w:szCs w:val="21"/>
              </w:rPr>
              <w:t>检验项目</w:t>
            </w:r>
          </w:p>
        </w:tc>
        <w:tc>
          <w:tcPr>
            <w:tcW w:w="5998" w:type="dxa"/>
            <w:tcBorders>
              <w:top w:val="single" w:color="auto" w:sz="8" w:space="0"/>
              <w:left w:val="single" w:color="auto" w:sz="4" w:space="0"/>
              <w:bottom w:val="single" w:color="auto" w:sz="4" w:space="0"/>
              <w:right w:val="single" w:color="auto" w:sz="8" w:space="0"/>
            </w:tcBorders>
            <w:noWrap w:val="0"/>
            <w:vAlign w:val="center"/>
          </w:tcPr>
          <w:p>
            <w:pPr>
              <w:spacing w:line="300" w:lineRule="exact"/>
              <w:jc w:val="center"/>
              <w:rPr>
                <w:rFonts w:ascii="Times New Roman" w:hAnsi="Times New Roman" w:eastAsia="黑体"/>
                <w:color w:val="000000"/>
                <w:spacing w:val="-2"/>
                <w:szCs w:val="21"/>
              </w:rPr>
            </w:pPr>
            <w:r>
              <w:rPr>
                <w:rFonts w:hint="eastAsia" w:ascii="Times New Roman" w:hAnsi="Times New Roman" w:eastAsia="黑体"/>
                <w:color w:val="000000"/>
                <w:spacing w:val="-2"/>
                <w:szCs w:val="21"/>
              </w:rPr>
              <w:t>主要验收内容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9" w:type="dxa"/>
            <w:tcBorders>
              <w:top w:val="single" w:color="auto" w:sz="4" w:space="0"/>
              <w:left w:val="single" w:color="auto" w:sz="8" w:space="0"/>
              <w:bottom w:val="single" w:color="auto" w:sz="4" w:space="0"/>
              <w:right w:val="single" w:color="auto" w:sz="4" w:space="0"/>
            </w:tcBorders>
            <w:noWrap w:val="0"/>
            <w:vAlign w:val="center"/>
          </w:tcPr>
          <w:p>
            <w:pPr>
              <w:spacing w:line="300" w:lineRule="exact"/>
              <w:jc w:val="center"/>
              <w:rPr>
                <w:color w:val="000000"/>
                <w:spacing w:val="-2"/>
                <w:szCs w:val="21"/>
              </w:rPr>
            </w:pPr>
            <w:r>
              <w:rPr>
                <w:color w:val="000000"/>
                <w:spacing w:val="-2"/>
                <w:szCs w:val="21"/>
              </w:rPr>
              <w:t>1</w:t>
            </w:r>
          </w:p>
        </w:tc>
        <w:tc>
          <w:tcPr>
            <w:tcW w:w="1843"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ascii="Times New Roman"/>
                <w:color w:val="000000"/>
                <w:spacing w:val="-2"/>
                <w:szCs w:val="21"/>
              </w:rPr>
            </w:pPr>
            <w:r>
              <w:rPr>
                <w:rFonts w:hint="eastAsia" w:ascii="Times New Roman" w:hAnsi="Times New Roman"/>
                <w:color w:val="000000"/>
                <w:spacing w:val="-2"/>
                <w:szCs w:val="21"/>
              </w:rPr>
              <w:t>地基</w:t>
            </w:r>
          </w:p>
        </w:tc>
        <w:tc>
          <w:tcPr>
            <w:tcW w:w="5998" w:type="dxa"/>
            <w:tcBorders>
              <w:top w:val="single" w:color="auto" w:sz="4" w:space="0"/>
              <w:left w:val="single" w:color="auto" w:sz="4" w:space="0"/>
              <w:bottom w:val="single" w:color="auto" w:sz="4" w:space="0"/>
              <w:right w:val="single" w:color="auto" w:sz="8" w:space="0"/>
            </w:tcBorders>
            <w:noWrap w:val="0"/>
            <w:vAlign w:val="center"/>
          </w:tcPr>
          <w:p>
            <w:pPr>
              <w:spacing w:line="300" w:lineRule="exact"/>
              <w:jc w:val="center"/>
              <w:rPr>
                <w:rFonts w:ascii="Times New Roman"/>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9" w:type="dxa"/>
            <w:tcBorders>
              <w:top w:val="single" w:color="auto" w:sz="4" w:space="0"/>
              <w:left w:val="single" w:color="auto" w:sz="8" w:space="0"/>
              <w:bottom w:val="single" w:color="auto" w:sz="4" w:space="0"/>
              <w:right w:val="single" w:color="auto" w:sz="4" w:space="0"/>
            </w:tcBorders>
            <w:noWrap w:val="0"/>
            <w:vAlign w:val="center"/>
          </w:tcPr>
          <w:p>
            <w:pPr>
              <w:spacing w:line="300" w:lineRule="exact"/>
              <w:jc w:val="center"/>
              <w:rPr>
                <w:color w:val="000000"/>
                <w:spacing w:val="-2"/>
                <w:szCs w:val="21"/>
              </w:rPr>
            </w:pPr>
            <w:r>
              <w:rPr>
                <w:color w:val="000000"/>
                <w:spacing w:val="-2"/>
                <w:szCs w:val="21"/>
              </w:rPr>
              <w:t>2</w:t>
            </w:r>
          </w:p>
        </w:tc>
        <w:tc>
          <w:tcPr>
            <w:tcW w:w="1843"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ascii="Times New Roman"/>
                <w:color w:val="000000"/>
                <w:spacing w:val="-2"/>
                <w:szCs w:val="21"/>
              </w:rPr>
            </w:pPr>
            <w:r>
              <w:rPr>
                <w:rFonts w:hint="eastAsia" w:ascii="Times New Roman" w:hAnsi="Times New Roman"/>
                <w:color w:val="000000"/>
                <w:spacing w:val="-2"/>
                <w:szCs w:val="21"/>
              </w:rPr>
              <w:t>支架工程</w:t>
            </w:r>
          </w:p>
        </w:tc>
        <w:tc>
          <w:tcPr>
            <w:tcW w:w="5998" w:type="dxa"/>
            <w:tcBorders>
              <w:top w:val="single" w:color="auto" w:sz="4" w:space="0"/>
              <w:left w:val="single" w:color="auto" w:sz="4" w:space="0"/>
              <w:bottom w:val="single" w:color="auto" w:sz="4" w:space="0"/>
              <w:right w:val="single" w:color="auto" w:sz="8" w:space="0"/>
            </w:tcBorders>
            <w:noWrap w:val="0"/>
            <w:vAlign w:val="center"/>
          </w:tcPr>
          <w:p>
            <w:pPr>
              <w:spacing w:line="300" w:lineRule="exact"/>
              <w:jc w:val="center"/>
              <w:rPr>
                <w:rFonts w:ascii="Times New Roman"/>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9" w:type="dxa"/>
            <w:tcBorders>
              <w:top w:val="single" w:color="auto" w:sz="4" w:space="0"/>
              <w:left w:val="single" w:color="auto" w:sz="8" w:space="0"/>
              <w:bottom w:val="single" w:color="auto" w:sz="4" w:space="0"/>
              <w:right w:val="single" w:color="auto" w:sz="4" w:space="0"/>
            </w:tcBorders>
            <w:noWrap w:val="0"/>
            <w:vAlign w:val="center"/>
          </w:tcPr>
          <w:p>
            <w:pPr>
              <w:spacing w:line="300" w:lineRule="exact"/>
              <w:jc w:val="center"/>
              <w:rPr>
                <w:color w:val="000000"/>
                <w:spacing w:val="-2"/>
                <w:szCs w:val="21"/>
              </w:rPr>
            </w:pPr>
            <w:r>
              <w:rPr>
                <w:color w:val="000000"/>
                <w:spacing w:val="-2"/>
                <w:szCs w:val="21"/>
              </w:rPr>
              <w:t>3</w:t>
            </w:r>
          </w:p>
        </w:tc>
        <w:tc>
          <w:tcPr>
            <w:tcW w:w="1843"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ascii="Times New Roman"/>
                <w:color w:val="000000"/>
                <w:spacing w:val="-2"/>
                <w:szCs w:val="21"/>
              </w:rPr>
            </w:pPr>
            <w:r>
              <w:rPr>
                <w:rFonts w:hint="eastAsia" w:ascii="Times New Roman" w:hAnsi="Times New Roman"/>
                <w:color w:val="000000"/>
                <w:spacing w:val="-2"/>
                <w:szCs w:val="21"/>
              </w:rPr>
              <w:t>模板工程</w:t>
            </w:r>
          </w:p>
        </w:tc>
        <w:tc>
          <w:tcPr>
            <w:tcW w:w="5998" w:type="dxa"/>
            <w:tcBorders>
              <w:top w:val="single" w:color="auto" w:sz="4" w:space="0"/>
              <w:left w:val="single" w:color="auto" w:sz="4" w:space="0"/>
              <w:bottom w:val="single" w:color="auto" w:sz="4" w:space="0"/>
              <w:right w:val="single" w:color="auto" w:sz="8" w:space="0"/>
            </w:tcBorders>
            <w:noWrap w:val="0"/>
            <w:vAlign w:val="center"/>
          </w:tcPr>
          <w:p>
            <w:pPr>
              <w:spacing w:line="300" w:lineRule="exact"/>
              <w:jc w:val="center"/>
              <w:rPr>
                <w:rFonts w:ascii="Times New Roman"/>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9" w:type="dxa"/>
            <w:tcBorders>
              <w:top w:val="single" w:color="auto" w:sz="4" w:space="0"/>
              <w:left w:val="single" w:color="auto" w:sz="8" w:space="0"/>
              <w:bottom w:val="single" w:color="auto" w:sz="8" w:space="0"/>
              <w:right w:val="single" w:color="auto" w:sz="4" w:space="0"/>
            </w:tcBorders>
            <w:noWrap w:val="0"/>
            <w:vAlign w:val="center"/>
          </w:tcPr>
          <w:p>
            <w:pPr>
              <w:spacing w:line="300" w:lineRule="exact"/>
              <w:jc w:val="center"/>
              <w:rPr>
                <w:color w:val="000000"/>
                <w:spacing w:val="-2"/>
                <w:szCs w:val="21"/>
              </w:rPr>
            </w:pPr>
            <w:r>
              <w:rPr>
                <w:color w:val="000000"/>
                <w:spacing w:val="-2"/>
                <w:szCs w:val="21"/>
              </w:rPr>
              <w:t>4</w:t>
            </w:r>
          </w:p>
        </w:tc>
        <w:tc>
          <w:tcPr>
            <w:tcW w:w="1843" w:type="dxa"/>
            <w:tcBorders>
              <w:top w:val="single" w:color="auto" w:sz="4" w:space="0"/>
              <w:left w:val="single" w:color="auto" w:sz="4" w:space="0"/>
              <w:bottom w:val="single" w:color="auto" w:sz="8" w:space="0"/>
              <w:right w:val="single" w:color="auto" w:sz="4" w:space="0"/>
            </w:tcBorders>
            <w:noWrap w:val="0"/>
            <w:vAlign w:val="center"/>
          </w:tcPr>
          <w:p>
            <w:pPr>
              <w:spacing w:line="300" w:lineRule="exact"/>
              <w:jc w:val="center"/>
              <w:rPr>
                <w:rFonts w:ascii="Times New Roman"/>
                <w:color w:val="000000"/>
                <w:spacing w:val="-2"/>
                <w:szCs w:val="21"/>
              </w:rPr>
            </w:pPr>
            <w:r>
              <w:rPr>
                <w:rFonts w:hint="eastAsia" w:ascii="Times New Roman" w:hAnsi="Times New Roman"/>
                <w:color w:val="000000"/>
                <w:spacing w:val="-2"/>
                <w:szCs w:val="21"/>
              </w:rPr>
              <w:t>预压后验收</w:t>
            </w:r>
          </w:p>
        </w:tc>
        <w:tc>
          <w:tcPr>
            <w:tcW w:w="5998" w:type="dxa"/>
            <w:tcBorders>
              <w:top w:val="single" w:color="auto" w:sz="4" w:space="0"/>
              <w:left w:val="single" w:color="auto" w:sz="4" w:space="0"/>
              <w:bottom w:val="single" w:color="auto" w:sz="8" w:space="0"/>
              <w:right w:val="single" w:color="auto" w:sz="8" w:space="0"/>
            </w:tcBorders>
            <w:noWrap w:val="0"/>
            <w:vAlign w:val="center"/>
          </w:tcPr>
          <w:p>
            <w:pPr>
              <w:spacing w:line="300" w:lineRule="exact"/>
              <w:jc w:val="center"/>
              <w:rPr>
                <w:rFonts w:ascii="Times New Roman"/>
                <w:color w:val="000000"/>
                <w:spacing w:val="-2"/>
                <w:szCs w:val="21"/>
              </w:rPr>
            </w:pPr>
          </w:p>
        </w:tc>
      </w:tr>
    </w:tbl>
    <w:p>
      <w:pPr>
        <w:spacing w:before="100" w:beforeAutospacing="1" w:after="100" w:afterAutospacing="1"/>
        <w:rPr>
          <w:rFonts w:hint="eastAsia" w:ascii="Times New Roman"/>
          <w:b/>
          <w:color w:val="000000"/>
          <w:spacing w:val="-2"/>
          <w:sz w:val="24"/>
        </w:rPr>
      </w:pPr>
      <w:r>
        <w:rPr>
          <w:b/>
          <w:bCs/>
          <w:color w:val="000000"/>
          <w:spacing w:val="-2"/>
          <w:kern w:val="0"/>
          <w:sz w:val="24"/>
        </w:rPr>
        <w:t>6.2</w:t>
      </w:r>
      <w:r>
        <w:rPr>
          <w:rFonts w:hint="eastAsia" w:ascii="Times New Roman" w:hAnsi="Times New Roman"/>
          <w:b/>
          <w:color w:val="000000"/>
          <w:spacing w:val="-2"/>
          <w:sz w:val="24"/>
        </w:rPr>
        <w:t xml:space="preserve"> 本高支模工程监理质量控制点。</w:t>
      </w:r>
    </w:p>
    <w:p>
      <w:pPr>
        <w:tabs>
          <w:tab w:val="left" w:pos="5780"/>
        </w:tabs>
        <w:autoSpaceDE w:val="0"/>
        <w:autoSpaceDN w:val="0"/>
        <w:adjustRightInd w:val="0"/>
        <w:ind w:left="-15" w:leftChars="-7" w:firstLine="2832" w:firstLineChars="1200"/>
        <w:rPr>
          <w:rFonts w:hint="eastAsia" w:ascii="Times New Roman"/>
          <w:b/>
          <w:color w:val="000000"/>
          <w:spacing w:val="-2"/>
          <w:sz w:val="24"/>
        </w:rPr>
      </w:pPr>
      <w:r>
        <w:rPr>
          <w:rFonts w:hint="eastAsia" w:ascii="Times New Roman" w:hAnsi="Times New Roman" w:eastAsia="黑体"/>
          <w:color w:val="000000"/>
          <w:spacing w:val="-2"/>
          <w:sz w:val="24"/>
        </w:rPr>
        <w:t>高支模工程监理质量控制点一览表</w:t>
      </w:r>
      <w:r>
        <w:rPr>
          <w:rFonts w:hint="eastAsia" w:ascii="Times New Roman" w:hAnsi="Times New Roman"/>
          <w:b/>
          <w:color w:val="000000"/>
          <w:spacing w:val="-2"/>
        </w:rPr>
        <w:t xml:space="preserve">     </w:t>
      </w:r>
      <w:r>
        <w:rPr>
          <w:rFonts w:hint="eastAsia" w:ascii="Times New Roman" w:hAnsi="Times New Roman"/>
          <w:color w:val="000000"/>
          <w:spacing w:val="-2"/>
        </w:rPr>
        <w:t xml:space="preserve">             表</w:t>
      </w:r>
      <w:r>
        <w:rPr>
          <w:color w:val="000000"/>
          <w:spacing w:val="-2"/>
        </w:rPr>
        <w:t>6.2</w:t>
      </w: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878"/>
        <w:gridCol w:w="41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59" w:type="dxa"/>
            <w:tcBorders>
              <w:top w:val="single" w:color="auto" w:sz="8" w:space="0"/>
              <w:left w:val="single" w:color="auto" w:sz="8" w:space="0"/>
              <w:bottom w:val="single" w:color="auto" w:sz="4" w:space="0"/>
              <w:right w:val="single" w:color="auto" w:sz="4" w:space="0"/>
            </w:tcBorders>
            <w:noWrap w:val="0"/>
            <w:vAlign w:val="center"/>
          </w:tcPr>
          <w:p>
            <w:pPr>
              <w:spacing w:line="300" w:lineRule="exact"/>
              <w:jc w:val="center"/>
              <w:rPr>
                <w:rFonts w:ascii="Times New Roman" w:hAnsi="Times New Roman" w:eastAsia="黑体"/>
                <w:color w:val="000000"/>
                <w:spacing w:val="-2"/>
                <w:szCs w:val="21"/>
              </w:rPr>
            </w:pPr>
            <w:r>
              <w:rPr>
                <w:rFonts w:hint="eastAsia" w:ascii="Times New Roman" w:hAnsi="Times New Roman" w:eastAsia="黑体"/>
                <w:color w:val="000000"/>
                <w:spacing w:val="-2"/>
                <w:szCs w:val="21"/>
              </w:rPr>
              <w:t>序号</w:t>
            </w:r>
          </w:p>
        </w:tc>
        <w:tc>
          <w:tcPr>
            <w:tcW w:w="3878" w:type="dxa"/>
            <w:tcBorders>
              <w:top w:val="single" w:color="auto" w:sz="8" w:space="0"/>
              <w:left w:val="single" w:color="auto" w:sz="4" w:space="0"/>
              <w:bottom w:val="single" w:color="auto" w:sz="4" w:space="0"/>
              <w:right w:val="single" w:color="auto" w:sz="4" w:space="0"/>
            </w:tcBorders>
            <w:noWrap w:val="0"/>
            <w:vAlign w:val="center"/>
          </w:tcPr>
          <w:p>
            <w:pPr>
              <w:spacing w:line="300" w:lineRule="exact"/>
              <w:jc w:val="center"/>
              <w:rPr>
                <w:rFonts w:ascii="Times New Roman" w:hAnsi="Times New Roman" w:eastAsia="黑体"/>
                <w:color w:val="000000"/>
                <w:spacing w:val="-2"/>
                <w:szCs w:val="21"/>
              </w:rPr>
            </w:pPr>
            <w:r>
              <w:rPr>
                <w:rFonts w:hint="eastAsia" w:ascii="Times New Roman" w:hAnsi="Times New Roman" w:eastAsia="黑体"/>
                <w:color w:val="000000"/>
                <w:spacing w:val="-2"/>
                <w:szCs w:val="21"/>
              </w:rPr>
              <w:t>项    目</w:t>
            </w:r>
          </w:p>
        </w:tc>
        <w:tc>
          <w:tcPr>
            <w:tcW w:w="4109" w:type="dxa"/>
            <w:tcBorders>
              <w:top w:val="single" w:color="auto" w:sz="8" w:space="0"/>
              <w:left w:val="single" w:color="auto" w:sz="4" w:space="0"/>
              <w:bottom w:val="single" w:color="auto" w:sz="4" w:space="0"/>
              <w:right w:val="single" w:color="auto" w:sz="8" w:space="0"/>
            </w:tcBorders>
            <w:noWrap w:val="0"/>
            <w:vAlign w:val="center"/>
          </w:tcPr>
          <w:p>
            <w:pPr>
              <w:spacing w:line="300" w:lineRule="exact"/>
              <w:jc w:val="center"/>
              <w:rPr>
                <w:rFonts w:ascii="Times New Roman" w:hAnsi="Times New Roman" w:eastAsia="黑体"/>
                <w:color w:val="000000"/>
                <w:spacing w:val="-2"/>
                <w:szCs w:val="21"/>
              </w:rPr>
            </w:pPr>
            <w:r>
              <w:rPr>
                <w:rFonts w:hint="eastAsia" w:ascii="Times New Roman" w:hAnsi="Times New Roman" w:eastAsia="黑体"/>
                <w:color w:val="000000"/>
                <w:spacing w:val="-2"/>
                <w:szCs w:val="21"/>
              </w:rPr>
              <w:t>控制点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59" w:type="dxa"/>
            <w:tcBorders>
              <w:top w:val="single" w:color="auto" w:sz="4" w:space="0"/>
              <w:left w:val="single" w:color="auto" w:sz="8" w:space="0"/>
              <w:bottom w:val="single" w:color="auto" w:sz="4" w:space="0"/>
              <w:right w:val="single" w:color="auto" w:sz="4" w:space="0"/>
            </w:tcBorders>
            <w:noWrap w:val="0"/>
            <w:vAlign w:val="center"/>
          </w:tcPr>
          <w:p>
            <w:pPr>
              <w:spacing w:line="300" w:lineRule="exact"/>
              <w:jc w:val="center"/>
              <w:rPr>
                <w:rFonts w:ascii="Times New Roman"/>
                <w:color w:val="000000"/>
                <w:spacing w:val="-2"/>
                <w:szCs w:val="21"/>
              </w:rPr>
            </w:pPr>
            <w:r>
              <w:rPr>
                <w:rFonts w:hint="eastAsia" w:ascii="Times New Roman" w:hAnsi="Times New Roman"/>
                <w:color w:val="000000"/>
                <w:spacing w:val="-2"/>
                <w:szCs w:val="21"/>
              </w:rPr>
              <w:t>1</w:t>
            </w:r>
          </w:p>
        </w:tc>
        <w:tc>
          <w:tcPr>
            <w:tcW w:w="3878"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ascii="Times New Roman"/>
                <w:color w:val="000000"/>
                <w:spacing w:val="-2"/>
                <w:szCs w:val="21"/>
              </w:rPr>
            </w:pPr>
            <w:r>
              <w:rPr>
                <w:rFonts w:hint="eastAsia" w:ascii="Times New Roman" w:hAnsi="Times New Roman"/>
                <w:color w:val="000000"/>
                <w:spacing w:val="-2"/>
                <w:szCs w:val="21"/>
              </w:rPr>
              <w:t>施工单位资质</w:t>
            </w:r>
          </w:p>
        </w:tc>
        <w:tc>
          <w:tcPr>
            <w:tcW w:w="4109" w:type="dxa"/>
            <w:tcBorders>
              <w:top w:val="single" w:color="auto" w:sz="4" w:space="0"/>
              <w:left w:val="single" w:color="auto" w:sz="4" w:space="0"/>
              <w:bottom w:val="single" w:color="auto" w:sz="4" w:space="0"/>
              <w:right w:val="single" w:color="auto" w:sz="8" w:space="0"/>
            </w:tcBorders>
            <w:noWrap w:val="0"/>
            <w:vAlign w:val="center"/>
          </w:tcPr>
          <w:p>
            <w:pPr>
              <w:spacing w:line="300" w:lineRule="exact"/>
              <w:jc w:val="center"/>
              <w:rPr>
                <w:rFonts w:ascii="Times New Roman"/>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59" w:type="dxa"/>
            <w:tcBorders>
              <w:top w:val="single" w:color="auto" w:sz="4" w:space="0"/>
              <w:left w:val="single" w:color="auto" w:sz="8" w:space="0"/>
              <w:bottom w:val="single" w:color="auto" w:sz="4" w:space="0"/>
              <w:right w:val="single" w:color="auto" w:sz="4" w:space="0"/>
            </w:tcBorders>
            <w:noWrap w:val="0"/>
            <w:vAlign w:val="center"/>
          </w:tcPr>
          <w:p>
            <w:pPr>
              <w:spacing w:line="300" w:lineRule="exact"/>
              <w:jc w:val="center"/>
              <w:rPr>
                <w:rFonts w:ascii="Times New Roman"/>
                <w:color w:val="000000"/>
                <w:spacing w:val="-2"/>
                <w:szCs w:val="21"/>
              </w:rPr>
            </w:pPr>
            <w:r>
              <w:rPr>
                <w:rFonts w:hint="eastAsia" w:ascii="Times New Roman" w:hAnsi="Times New Roman"/>
                <w:color w:val="000000"/>
                <w:spacing w:val="-2"/>
                <w:szCs w:val="21"/>
              </w:rPr>
              <w:t>2</w:t>
            </w:r>
          </w:p>
        </w:tc>
        <w:tc>
          <w:tcPr>
            <w:tcW w:w="3878"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ascii="Times New Roman"/>
                <w:color w:val="000000"/>
                <w:spacing w:val="-2"/>
                <w:szCs w:val="21"/>
              </w:rPr>
            </w:pPr>
            <w:r>
              <w:rPr>
                <w:rFonts w:hint="eastAsia" w:ascii="Times New Roman" w:hAnsi="Times New Roman"/>
                <w:color w:val="000000"/>
                <w:spacing w:val="-2"/>
                <w:szCs w:val="21"/>
              </w:rPr>
              <w:t>高支模施工方案</w:t>
            </w:r>
          </w:p>
        </w:tc>
        <w:tc>
          <w:tcPr>
            <w:tcW w:w="4109" w:type="dxa"/>
            <w:tcBorders>
              <w:top w:val="single" w:color="auto" w:sz="4" w:space="0"/>
              <w:left w:val="single" w:color="auto" w:sz="4" w:space="0"/>
              <w:bottom w:val="single" w:color="auto" w:sz="4" w:space="0"/>
              <w:right w:val="single" w:color="auto" w:sz="8" w:space="0"/>
            </w:tcBorders>
            <w:noWrap w:val="0"/>
            <w:vAlign w:val="center"/>
          </w:tcPr>
          <w:p>
            <w:pPr>
              <w:spacing w:line="300" w:lineRule="exact"/>
              <w:jc w:val="center"/>
              <w:rPr>
                <w:rFonts w:ascii="Times New Roman"/>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59" w:type="dxa"/>
            <w:tcBorders>
              <w:top w:val="single" w:color="auto" w:sz="4" w:space="0"/>
              <w:left w:val="single" w:color="auto" w:sz="8" w:space="0"/>
              <w:bottom w:val="single" w:color="auto" w:sz="4" w:space="0"/>
              <w:right w:val="single" w:color="auto" w:sz="4" w:space="0"/>
            </w:tcBorders>
            <w:noWrap w:val="0"/>
            <w:vAlign w:val="center"/>
          </w:tcPr>
          <w:p>
            <w:pPr>
              <w:spacing w:line="300" w:lineRule="exact"/>
              <w:jc w:val="center"/>
              <w:rPr>
                <w:rFonts w:ascii="Times New Roman"/>
                <w:color w:val="000000"/>
                <w:spacing w:val="-2"/>
                <w:szCs w:val="21"/>
              </w:rPr>
            </w:pPr>
            <w:r>
              <w:rPr>
                <w:rFonts w:hint="eastAsia" w:ascii="Times New Roman" w:hAnsi="Times New Roman"/>
                <w:color w:val="000000"/>
                <w:spacing w:val="-2"/>
                <w:szCs w:val="21"/>
              </w:rPr>
              <w:t>3</w:t>
            </w:r>
          </w:p>
        </w:tc>
        <w:tc>
          <w:tcPr>
            <w:tcW w:w="3878"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ascii="Times New Roman"/>
                <w:color w:val="000000"/>
                <w:spacing w:val="-2"/>
                <w:szCs w:val="21"/>
              </w:rPr>
            </w:pPr>
            <w:r>
              <w:rPr>
                <w:rFonts w:hint="eastAsia" w:ascii="Times New Roman" w:hAnsi="Times New Roman"/>
                <w:color w:val="000000"/>
                <w:spacing w:val="-2"/>
                <w:szCs w:val="21"/>
              </w:rPr>
              <w:t>地基处理</w:t>
            </w:r>
          </w:p>
        </w:tc>
        <w:tc>
          <w:tcPr>
            <w:tcW w:w="4109" w:type="dxa"/>
            <w:tcBorders>
              <w:top w:val="single" w:color="auto" w:sz="4" w:space="0"/>
              <w:left w:val="single" w:color="auto" w:sz="4" w:space="0"/>
              <w:bottom w:val="single" w:color="auto" w:sz="4" w:space="0"/>
              <w:right w:val="single" w:color="auto" w:sz="8" w:space="0"/>
            </w:tcBorders>
            <w:noWrap w:val="0"/>
            <w:vAlign w:val="center"/>
          </w:tcPr>
          <w:p>
            <w:pPr>
              <w:spacing w:line="300" w:lineRule="exact"/>
              <w:jc w:val="center"/>
              <w:rPr>
                <w:rFonts w:ascii="Times New Roman"/>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59" w:type="dxa"/>
            <w:tcBorders>
              <w:top w:val="single" w:color="auto" w:sz="4" w:space="0"/>
              <w:left w:val="single" w:color="auto" w:sz="8" w:space="0"/>
              <w:bottom w:val="single" w:color="auto" w:sz="4" w:space="0"/>
              <w:right w:val="single" w:color="auto" w:sz="4" w:space="0"/>
            </w:tcBorders>
            <w:noWrap w:val="0"/>
            <w:vAlign w:val="center"/>
          </w:tcPr>
          <w:p>
            <w:pPr>
              <w:spacing w:line="300" w:lineRule="exact"/>
              <w:jc w:val="center"/>
              <w:rPr>
                <w:rFonts w:ascii="Times New Roman"/>
                <w:color w:val="000000"/>
                <w:spacing w:val="-2"/>
                <w:szCs w:val="21"/>
              </w:rPr>
            </w:pPr>
            <w:r>
              <w:rPr>
                <w:rFonts w:hint="eastAsia" w:ascii="Times New Roman" w:hAnsi="Times New Roman"/>
                <w:color w:val="000000"/>
                <w:spacing w:val="-2"/>
                <w:szCs w:val="21"/>
              </w:rPr>
              <w:t>4</w:t>
            </w:r>
          </w:p>
        </w:tc>
        <w:tc>
          <w:tcPr>
            <w:tcW w:w="3878"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ascii="Times New Roman"/>
                <w:color w:val="000000"/>
                <w:spacing w:val="-2"/>
                <w:szCs w:val="21"/>
              </w:rPr>
            </w:pPr>
            <w:r>
              <w:rPr>
                <w:rFonts w:hint="eastAsia" w:ascii="Times New Roman" w:hAnsi="Times New Roman"/>
                <w:color w:val="000000"/>
                <w:spacing w:val="-2"/>
                <w:szCs w:val="21"/>
              </w:rPr>
              <w:t>支架搭设</w:t>
            </w:r>
          </w:p>
        </w:tc>
        <w:tc>
          <w:tcPr>
            <w:tcW w:w="4109" w:type="dxa"/>
            <w:tcBorders>
              <w:top w:val="single" w:color="auto" w:sz="4" w:space="0"/>
              <w:left w:val="single" w:color="auto" w:sz="4" w:space="0"/>
              <w:bottom w:val="single" w:color="auto" w:sz="4" w:space="0"/>
              <w:right w:val="single" w:color="auto" w:sz="8" w:space="0"/>
            </w:tcBorders>
            <w:noWrap w:val="0"/>
            <w:vAlign w:val="center"/>
          </w:tcPr>
          <w:p>
            <w:pPr>
              <w:spacing w:line="300" w:lineRule="exact"/>
              <w:jc w:val="center"/>
              <w:rPr>
                <w:rFonts w:ascii="Times New Roman"/>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59" w:type="dxa"/>
            <w:tcBorders>
              <w:top w:val="single" w:color="auto" w:sz="4" w:space="0"/>
              <w:left w:val="single" w:color="auto" w:sz="8" w:space="0"/>
              <w:bottom w:val="single" w:color="auto" w:sz="4" w:space="0"/>
              <w:right w:val="single" w:color="auto" w:sz="4" w:space="0"/>
            </w:tcBorders>
            <w:noWrap w:val="0"/>
            <w:vAlign w:val="center"/>
          </w:tcPr>
          <w:p>
            <w:pPr>
              <w:spacing w:line="300" w:lineRule="exact"/>
              <w:jc w:val="center"/>
              <w:rPr>
                <w:rFonts w:ascii="Times New Roman"/>
                <w:color w:val="000000"/>
                <w:spacing w:val="-2"/>
                <w:szCs w:val="21"/>
              </w:rPr>
            </w:pPr>
            <w:r>
              <w:rPr>
                <w:rFonts w:hint="eastAsia" w:ascii="Times New Roman" w:hAnsi="Times New Roman"/>
                <w:color w:val="000000"/>
                <w:spacing w:val="-2"/>
                <w:szCs w:val="21"/>
              </w:rPr>
              <w:t>5</w:t>
            </w:r>
          </w:p>
        </w:tc>
        <w:tc>
          <w:tcPr>
            <w:tcW w:w="3878"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ascii="Times New Roman"/>
                <w:color w:val="000000"/>
                <w:spacing w:val="-2"/>
                <w:szCs w:val="21"/>
              </w:rPr>
            </w:pPr>
            <w:r>
              <w:rPr>
                <w:rFonts w:hint="eastAsia" w:ascii="Times New Roman" w:hAnsi="Times New Roman"/>
                <w:color w:val="000000"/>
                <w:spacing w:val="-2"/>
                <w:szCs w:val="21"/>
              </w:rPr>
              <w:t>模板安装</w:t>
            </w:r>
          </w:p>
        </w:tc>
        <w:tc>
          <w:tcPr>
            <w:tcW w:w="4109" w:type="dxa"/>
            <w:tcBorders>
              <w:top w:val="single" w:color="auto" w:sz="4" w:space="0"/>
              <w:left w:val="single" w:color="auto" w:sz="4" w:space="0"/>
              <w:bottom w:val="single" w:color="auto" w:sz="4" w:space="0"/>
              <w:right w:val="single" w:color="auto" w:sz="8" w:space="0"/>
            </w:tcBorders>
            <w:noWrap w:val="0"/>
            <w:vAlign w:val="center"/>
          </w:tcPr>
          <w:p>
            <w:pPr>
              <w:spacing w:line="300" w:lineRule="exact"/>
              <w:jc w:val="center"/>
              <w:rPr>
                <w:rFonts w:ascii="Times New Roman"/>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59" w:type="dxa"/>
            <w:tcBorders>
              <w:top w:val="single" w:color="auto" w:sz="4" w:space="0"/>
              <w:left w:val="single" w:color="auto" w:sz="8" w:space="0"/>
              <w:bottom w:val="single" w:color="auto" w:sz="4" w:space="0"/>
              <w:right w:val="single" w:color="auto" w:sz="4" w:space="0"/>
            </w:tcBorders>
            <w:noWrap w:val="0"/>
            <w:vAlign w:val="center"/>
          </w:tcPr>
          <w:p>
            <w:pPr>
              <w:spacing w:line="300" w:lineRule="exact"/>
              <w:jc w:val="center"/>
              <w:rPr>
                <w:rFonts w:ascii="Times New Roman"/>
                <w:color w:val="000000"/>
                <w:spacing w:val="-2"/>
                <w:szCs w:val="21"/>
              </w:rPr>
            </w:pPr>
            <w:r>
              <w:rPr>
                <w:rFonts w:hint="eastAsia" w:ascii="Times New Roman" w:hAnsi="Times New Roman"/>
                <w:color w:val="000000"/>
                <w:spacing w:val="-2"/>
                <w:szCs w:val="21"/>
              </w:rPr>
              <w:t>6</w:t>
            </w:r>
          </w:p>
        </w:tc>
        <w:tc>
          <w:tcPr>
            <w:tcW w:w="3878"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ascii="Times New Roman"/>
                <w:color w:val="000000"/>
                <w:spacing w:val="-2"/>
                <w:szCs w:val="21"/>
              </w:rPr>
            </w:pPr>
            <w:r>
              <w:rPr>
                <w:rFonts w:hint="eastAsia" w:ascii="Times New Roman" w:hAnsi="Times New Roman"/>
                <w:color w:val="000000"/>
                <w:spacing w:val="-2"/>
                <w:szCs w:val="21"/>
              </w:rPr>
              <w:t>支架预压</w:t>
            </w:r>
          </w:p>
        </w:tc>
        <w:tc>
          <w:tcPr>
            <w:tcW w:w="4109" w:type="dxa"/>
            <w:tcBorders>
              <w:top w:val="single" w:color="auto" w:sz="4" w:space="0"/>
              <w:left w:val="single" w:color="auto" w:sz="4" w:space="0"/>
              <w:bottom w:val="single" w:color="auto" w:sz="4" w:space="0"/>
              <w:right w:val="single" w:color="auto" w:sz="8" w:space="0"/>
            </w:tcBorders>
            <w:noWrap w:val="0"/>
            <w:vAlign w:val="center"/>
          </w:tcPr>
          <w:p>
            <w:pPr>
              <w:spacing w:line="300" w:lineRule="exact"/>
              <w:jc w:val="center"/>
              <w:rPr>
                <w:rFonts w:ascii="Times New Roman"/>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59" w:type="dxa"/>
            <w:tcBorders>
              <w:top w:val="single" w:color="auto" w:sz="4" w:space="0"/>
              <w:left w:val="single" w:color="auto" w:sz="8" w:space="0"/>
              <w:bottom w:val="single" w:color="auto" w:sz="4" w:space="0"/>
              <w:right w:val="single" w:color="auto" w:sz="4" w:space="0"/>
            </w:tcBorders>
            <w:noWrap w:val="0"/>
            <w:vAlign w:val="center"/>
          </w:tcPr>
          <w:p>
            <w:pPr>
              <w:spacing w:line="300" w:lineRule="exact"/>
              <w:jc w:val="center"/>
              <w:rPr>
                <w:rFonts w:ascii="Times New Roman"/>
                <w:color w:val="000000"/>
                <w:spacing w:val="-2"/>
                <w:szCs w:val="21"/>
              </w:rPr>
            </w:pPr>
            <w:r>
              <w:rPr>
                <w:rFonts w:hint="eastAsia" w:ascii="Times New Roman" w:hAnsi="Times New Roman"/>
                <w:color w:val="000000"/>
                <w:spacing w:val="-2"/>
                <w:szCs w:val="21"/>
              </w:rPr>
              <w:t>7</w:t>
            </w:r>
          </w:p>
        </w:tc>
        <w:tc>
          <w:tcPr>
            <w:tcW w:w="3878"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ascii="Times New Roman"/>
                <w:color w:val="000000"/>
                <w:spacing w:val="-2"/>
                <w:szCs w:val="21"/>
              </w:rPr>
            </w:pPr>
            <w:r>
              <w:rPr>
                <w:rFonts w:hint="eastAsia" w:ascii="Times New Roman" w:hAnsi="Times New Roman"/>
                <w:color w:val="000000"/>
                <w:spacing w:val="-2"/>
                <w:szCs w:val="21"/>
              </w:rPr>
              <w:t>混凝土浇筑过程的监测</w:t>
            </w:r>
          </w:p>
        </w:tc>
        <w:tc>
          <w:tcPr>
            <w:tcW w:w="4109" w:type="dxa"/>
            <w:tcBorders>
              <w:top w:val="single" w:color="auto" w:sz="4" w:space="0"/>
              <w:left w:val="single" w:color="auto" w:sz="4" w:space="0"/>
              <w:bottom w:val="single" w:color="auto" w:sz="4" w:space="0"/>
              <w:right w:val="single" w:color="auto" w:sz="8" w:space="0"/>
            </w:tcBorders>
            <w:noWrap w:val="0"/>
            <w:vAlign w:val="center"/>
          </w:tcPr>
          <w:p>
            <w:pPr>
              <w:spacing w:line="300" w:lineRule="exact"/>
              <w:jc w:val="center"/>
              <w:rPr>
                <w:rFonts w:ascii="Times New Roman"/>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59" w:type="dxa"/>
            <w:tcBorders>
              <w:top w:val="single" w:color="auto" w:sz="4" w:space="0"/>
              <w:left w:val="single" w:color="auto" w:sz="8" w:space="0"/>
              <w:bottom w:val="single" w:color="auto" w:sz="8" w:space="0"/>
              <w:right w:val="single" w:color="auto" w:sz="4" w:space="0"/>
            </w:tcBorders>
            <w:noWrap w:val="0"/>
            <w:vAlign w:val="center"/>
          </w:tcPr>
          <w:p>
            <w:pPr>
              <w:spacing w:line="300" w:lineRule="exact"/>
              <w:jc w:val="center"/>
              <w:rPr>
                <w:rFonts w:ascii="Times New Roman"/>
                <w:color w:val="000000"/>
                <w:spacing w:val="-2"/>
                <w:szCs w:val="21"/>
              </w:rPr>
            </w:pPr>
            <w:r>
              <w:rPr>
                <w:rFonts w:hint="eastAsia" w:ascii="Times New Roman" w:hAnsi="Times New Roman"/>
                <w:color w:val="000000"/>
                <w:spacing w:val="-2"/>
                <w:szCs w:val="21"/>
              </w:rPr>
              <w:t>8</w:t>
            </w:r>
          </w:p>
        </w:tc>
        <w:tc>
          <w:tcPr>
            <w:tcW w:w="3878" w:type="dxa"/>
            <w:tcBorders>
              <w:top w:val="single" w:color="auto" w:sz="4" w:space="0"/>
              <w:left w:val="single" w:color="auto" w:sz="4" w:space="0"/>
              <w:bottom w:val="single" w:color="auto" w:sz="8" w:space="0"/>
              <w:right w:val="single" w:color="auto" w:sz="4" w:space="0"/>
            </w:tcBorders>
            <w:noWrap w:val="0"/>
            <w:vAlign w:val="center"/>
          </w:tcPr>
          <w:p>
            <w:pPr>
              <w:spacing w:line="300" w:lineRule="exact"/>
              <w:jc w:val="center"/>
              <w:rPr>
                <w:rFonts w:ascii="Times New Roman"/>
                <w:color w:val="000000"/>
                <w:spacing w:val="-2"/>
                <w:szCs w:val="21"/>
              </w:rPr>
            </w:pPr>
            <w:r>
              <w:rPr>
                <w:rFonts w:hint="eastAsia" w:ascii="Times New Roman" w:hAnsi="Times New Roman"/>
                <w:color w:val="000000"/>
                <w:spacing w:val="-2"/>
                <w:szCs w:val="21"/>
              </w:rPr>
              <w:t>支架拆除</w:t>
            </w:r>
          </w:p>
        </w:tc>
        <w:tc>
          <w:tcPr>
            <w:tcW w:w="4109" w:type="dxa"/>
            <w:tcBorders>
              <w:top w:val="single" w:color="auto" w:sz="4" w:space="0"/>
              <w:left w:val="single" w:color="auto" w:sz="4" w:space="0"/>
              <w:bottom w:val="single" w:color="auto" w:sz="8" w:space="0"/>
              <w:right w:val="single" w:color="auto" w:sz="8" w:space="0"/>
            </w:tcBorders>
            <w:noWrap w:val="0"/>
            <w:vAlign w:val="center"/>
          </w:tcPr>
          <w:p>
            <w:pPr>
              <w:spacing w:line="300" w:lineRule="exact"/>
              <w:jc w:val="center"/>
              <w:rPr>
                <w:rFonts w:ascii="Times New Roman"/>
                <w:color w:val="000000"/>
                <w:spacing w:val="-2"/>
                <w:szCs w:val="21"/>
              </w:rPr>
            </w:pPr>
          </w:p>
        </w:tc>
      </w:tr>
    </w:tbl>
    <w:p>
      <w:pPr>
        <w:spacing w:line="460" w:lineRule="exact"/>
        <w:rPr>
          <w:rFonts w:hint="eastAsia" w:ascii="Times New Roman"/>
          <w:b/>
          <w:color w:val="000000"/>
          <w:spacing w:val="-2"/>
          <w:sz w:val="24"/>
        </w:rPr>
      </w:pPr>
      <w:r>
        <w:rPr>
          <w:b/>
          <w:color w:val="000000"/>
          <w:spacing w:val="-2"/>
          <w:sz w:val="24"/>
        </w:rPr>
        <w:t xml:space="preserve">6.3 </w:t>
      </w:r>
      <w:r>
        <w:rPr>
          <w:rFonts w:hint="eastAsia" w:ascii="Times New Roman" w:hAnsi="Times New Roman"/>
          <w:b/>
          <w:color w:val="000000"/>
          <w:spacing w:val="-2"/>
          <w:sz w:val="24"/>
        </w:rPr>
        <w:t>材料、设备进场检查验收。</w:t>
      </w:r>
    </w:p>
    <w:p>
      <w:pPr>
        <w:pStyle w:val="4"/>
        <w:spacing w:before="0" w:after="0" w:line="460" w:lineRule="exact"/>
        <w:rPr>
          <w:rFonts w:hint="eastAsia" w:ascii="Times New Roman"/>
          <w:color w:val="000000"/>
          <w:spacing w:val="-2"/>
          <w:sz w:val="24"/>
          <w:szCs w:val="24"/>
        </w:rPr>
      </w:pPr>
      <w:r>
        <w:rPr>
          <w:color w:val="000000"/>
          <w:spacing w:val="-2"/>
          <w:sz w:val="24"/>
          <w:szCs w:val="24"/>
        </w:rPr>
        <w:t xml:space="preserve">6.3.1 </w:t>
      </w:r>
      <w:r>
        <w:rPr>
          <w:rFonts w:hint="eastAsia" w:ascii="Times New Roman" w:hAnsi="Times New Roman"/>
          <w:b w:val="0"/>
          <w:color w:val="000000"/>
          <w:spacing w:val="-2"/>
          <w:sz w:val="24"/>
          <w:szCs w:val="24"/>
        </w:rPr>
        <w:t>专业监理工程师对高支模工程所用进场材料和设备检查内容有：</w:t>
      </w:r>
      <w:r>
        <w:rPr>
          <w:rFonts w:hint="eastAsia" w:ascii="Times New Roman" w:hAnsi="Times New Roman"/>
          <w:color w:val="000000"/>
          <w:spacing w:val="-2"/>
          <w:sz w:val="24"/>
          <w:szCs w:val="24"/>
          <w:u w:val="single"/>
        </w:rPr>
        <w:t xml:space="preserve">           </w:t>
      </w:r>
      <w:r>
        <w:rPr>
          <w:rFonts w:hint="eastAsia" w:ascii="Times New Roman" w:hAnsi="Times New Roman"/>
          <w:color w:val="000000"/>
          <w:spacing w:val="-2"/>
          <w:sz w:val="24"/>
          <w:szCs w:val="24"/>
        </w:rPr>
        <w:t>。</w:t>
      </w:r>
    </w:p>
    <w:p>
      <w:pPr>
        <w:pStyle w:val="4"/>
        <w:spacing w:before="0" w:after="0" w:line="460" w:lineRule="exact"/>
        <w:rPr>
          <w:rFonts w:hint="eastAsia" w:ascii="Times New Roman"/>
          <w:b w:val="0"/>
          <w:color w:val="000000"/>
          <w:spacing w:val="-2"/>
          <w:sz w:val="24"/>
          <w:szCs w:val="24"/>
        </w:rPr>
      </w:pPr>
      <w:r>
        <w:rPr>
          <w:color w:val="000000"/>
          <w:spacing w:val="-2"/>
          <w:sz w:val="24"/>
          <w:szCs w:val="24"/>
        </w:rPr>
        <w:t>6.3.2</w:t>
      </w:r>
      <w:r>
        <w:rPr>
          <w:b w:val="0"/>
          <w:color w:val="000000"/>
          <w:spacing w:val="-2"/>
          <w:sz w:val="24"/>
          <w:szCs w:val="24"/>
        </w:rPr>
        <w:t xml:space="preserve"> </w:t>
      </w:r>
      <w:r>
        <w:rPr>
          <w:rFonts w:hint="eastAsia"/>
          <w:b w:val="0"/>
          <w:color w:val="000000"/>
          <w:spacing w:val="-2"/>
          <w:sz w:val="24"/>
          <w:szCs w:val="24"/>
        </w:rPr>
        <w:t>材料的见证取样：</w:t>
      </w:r>
    </w:p>
    <w:p>
      <w:pPr>
        <w:ind w:left="13" w:leftChars="6" w:firstLine="1888" w:firstLineChars="800"/>
        <w:rPr>
          <w:rFonts w:hint="eastAsia" w:ascii="Times New Roman"/>
          <w:color w:val="000000"/>
          <w:spacing w:val="-2"/>
          <w:sz w:val="24"/>
        </w:rPr>
      </w:pPr>
      <w:r>
        <w:rPr>
          <w:rFonts w:hint="eastAsia" w:ascii="Times New Roman" w:hAnsi="Times New Roman" w:eastAsia="黑体"/>
          <w:color w:val="000000"/>
          <w:spacing w:val="-2"/>
          <w:sz w:val="24"/>
        </w:rPr>
        <w:t>高支模工程监理</w:t>
      </w:r>
      <w:r>
        <w:rPr>
          <w:rFonts w:hint="eastAsia" w:ascii="Times New Roman" w:eastAsia="黑体"/>
          <w:color w:val="000000"/>
          <w:spacing w:val="-2"/>
          <w:sz w:val="24"/>
        </w:rPr>
        <w:t>材料的见证取样</w:t>
      </w:r>
      <w:r>
        <w:rPr>
          <w:rFonts w:hint="eastAsia" w:ascii="Times New Roman" w:hAnsi="Times New Roman" w:eastAsia="黑体"/>
          <w:color w:val="000000"/>
          <w:spacing w:val="-2"/>
          <w:sz w:val="24"/>
        </w:rPr>
        <w:t>一览表</w:t>
      </w:r>
      <w:r>
        <w:rPr>
          <w:rFonts w:hint="eastAsia" w:ascii="Times New Roman" w:hAnsi="Times New Roman"/>
          <w:color w:val="000000"/>
          <w:spacing w:val="-2"/>
        </w:rPr>
        <w:t xml:space="preserve">                    表</w:t>
      </w:r>
      <w:r>
        <w:rPr>
          <w:color w:val="000000"/>
          <w:spacing w:val="-2"/>
        </w:rPr>
        <w:t>6.3</w:t>
      </w:r>
      <w:r>
        <w:rPr>
          <w:rFonts w:hint="eastAsia" w:ascii="Times New Roman" w:hAnsi="Times New Roman"/>
          <w:color w:val="000000"/>
          <w:spacing w:val="-2"/>
          <w:sz w:val="24"/>
        </w:rPr>
        <w:t xml:space="preserve"> </w:t>
      </w: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61"/>
        <w:gridCol w:w="2665"/>
        <w:gridCol w:w="3138"/>
        <w:gridCol w:w="21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tblHeader/>
          <w:jc w:val="center"/>
        </w:trPr>
        <w:tc>
          <w:tcPr>
            <w:tcW w:w="961" w:type="dxa"/>
            <w:tcBorders>
              <w:top w:val="single" w:color="auto" w:sz="8" w:space="0"/>
              <w:left w:val="single" w:color="auto" w:sz="8" w:space="0"/>
              <w:bottom w:val="single" w:color="auto" w:sz="4" w:space="0"/>
              <w:right w:val="single" w:color="auto" w:sz="4" w:space="0"/>
            </w:tcBorders>
            <w:noWrap w:val="0"/>
            <w:vAlign w:val="center"/>
          </w:tcPr>
          <w:p>
            <w:pPr>
              <w:spacing w:line="240" w:lineRule="exact"/>
              <w:jc w:val="center"/>
              <w:rPr>
                <w:rFonts w:ascii="Times New Roman" w:hAnsi="Times New Roman" w:eastAsia="黑体"/>
                <w:color w:val="000000"/>
                <w:spacing w:val="-2"/>
                <w:szCs w:val="21"/>
              </w:rPr>
            </w:pPr>
            <w:r>
              <w:rPr>
                <w:rFonts w:hint="eastAsia" w:ascii="Times New Roman" w:hAnsi="Times New Roman" w:eastAsia="黑体"/>
                <w:color w:val="000000"/>
                <w:spacing w:val="-2"/>
                <w:szCs w:val="21"/>
              </w:rPr>
              <w:t>序号</w:t>
            </w:r>
          </w:p>
        </w:tc>
        <w:tc>
          <w:tcPr>
            <w:tcW w:w="2665" w:type="dxa"/>
            <w:tcBorders>
              <w:top w:val="single" w:color="auto" w:sz="8" w:space="0"/>
              <w:left w:val="single" w:color="auto" w:sz="4" w:space="0"/>
              <w:bottom w:val="single" w:color="auto" w:sz="4" w:space="0"/>
              <w:right w:val="single" w:color="auto" w:sz="4" w:space="0"/>
            </w:tcBorders>
            <w:noWrap w:val="0"/>
            <w:vAlign w:val="center"/>
          </w:tcPr>
          <w:p>
            <w:pPr>
              <w:spacing w:line="240" w:lineRule="exact"/>
              <w:jc w:val="center"/>
              <w:rPr>
                <w:rFonts w:ascii="Times New Roman" w:hAnsi="Times New Roman" w:eastAsia="黑体"/>
                <w:color w:val="000000"/>
                <w:spacing w:val="-2"/>
                <w:szCs w:val="21"/>
              </w:rPr>
            </w:pPr>
            <w:r>
              <w:rPr>
                <w:rFonts w:hint="eastAsia" w:ascii="Times New Roman" w:hAnsi="Times New Roman" w:eastAsia="黑体"/>
                <w:color w:val="000000"/>
                <w:spacing w:val="-2"/>
                <w:szCs w:val="21"/>
              </w:rPr>
              <w:t>材料名称</w:t>
            </w:r>
          </w:p>
        </w:tc>
        <w:tc>
          <w:tcPr>
            <w:tcW w:w="3138" w:type="dxa"/>
            <w:tcBorders>
              <w:top w:val="single" w:color="auto" w:sz="8" w:space="0"/>
              <w:left w:val="single" w:color="auto" w:sz="4" w:space="0"/>
              <w:bottom w:val="single" w:color="auto" w:sz="4" w:space="0"/>
              <w:right w:val="single" w:color="auto" w:sz="4" w:space="0"/>
            </w:tcBorders>
            <w:noWrap w:val="0"/>
            <w:vAlign w:val="center"/>
          </w:tcPr>
          <w:p>
            <w:pPr>
              <w:spacing w:line="240" w:lineRule="exact"/>
              <w:jc w:val="center"/>
              <w:rPr>
                <w:rFonts w:ascii="Times New Roman" w:hAnsi="Times New Roman" w:eastAsia="黑体"/>
                <w:color w:val="000000"/>
                <w:spacing w:val="-2"/>
                <w:szCs w:val="21"/>
              </w:rPr>
            </w:pPr>
            <w:r>
              <w:rPr>
                <w:rFonts w:hint="eastAsia" w:ascii="Times New Roman" w:hAnsi="Times New Roman" w:eastAsia="黑体"/>
                <w:color w:val="000000"/>
                <w:spacing w:val="-2"/>
                <w:szCs w:val="21"/>
              </w:rPr>
              <w:t>要求    抽检数量</w:t>
            </w:r>
          </w:p>
        </w:tc>
        <w:tc>
          <w:tcPr>
            <w:tcW w:w="2182" w:type="dxa"/>
            <w:tcBorders>
              <w:top w:val="single" w:color="auto" w:sz="8" w:space="0"/>
              <w:left w:val="single" w:color="auto" w:sz="4" w:space="0"/>
              <w:bottom w:val="single" w:color="auto" w:sz="4" w:space="0"/>
              <w:right w:val="single" w:color="auto" w:sz="8" w:space="0"/>
            </w:tcBorders>
            <w:noWrap w:val="0"/>
            <w:vAlign w:val="center"/>
          </w:tcPr>
          <w:p>
            <w:pPr>
              <w:spacing w:line="240" w:lineRule="exact"/>
              <w:jc w:val="center"/>
              <w:rPr>
                <w:rFonts w:ascii="Times New Roman" w:hAnsi="Times New Roman" w:eastAsia="黑体"/>
                <w:color w:val="000000"/>
                <w:spacing w:val="-2"/>
                <w:szCs w:val="21"/>
              </w:rPr>
            </w:pPr>
            <w:r>
              <w:rPr>
                <w:rFonts w:hint="eastAsia" w:ascii="Times New Roman" w:hAnsi="Times New Roman" w:eastAsia="黑体"/>
                <w:color w:val="000000"/>
                <w:spacing w:val="-2"/>
                <w:szCs w:val="21"/>
              </w:rPr>
              <w:t>检验方法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961" w:type="dxa"/>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rPr>
                <w:color w:val="000000"/>
                <w:spacing w:val="-2"/>
                <w:szCs w:val="21"/>
              </w:rPr>
            </w:pPr>
            <w:r>
              <w:rPr>
                <w:color w:val="000000"/>
                <w:spacing w:val="-2"/>
                <w:szCs w:val="21"/>
              </w:rPr>
              <w:t>1</w:t>
            </w:r>
          </w:p>
        </w:tc>
        <w:tc>
          <w:tcPr>
            <w:tcW w:w="266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szCs w:val="21"/>
              </w:rPr>
            </w:pPr>
            <w:r>
              <w:rPr>
                <w:rFonts w:hint="eastAsia" w:ascii="Times New Roman" w:hAnsi="Times New Roman"/>
                <w:color w:val="000000"/>
                <w:spacing w:val="-2"/>
                <w:szCs w:val="21"/>
              </w:rPr>
              <w:t>支（构）材料</w:t>
            </w:r>
          </w:p>
        </w:tc>
        <w:tc>
          <w:tcPr>
            <w:tcW w:w="3138"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szCs w:val="21"/>
              </w:rPr>
            </w:pPr>
          </w:p>
        </w:tc>
        <w:tc>
          <w:tcPr>
            <w:tcW w:w="2182" w:type="dxa"/>
            <w:tcBorders>
              <w:top w:val="single" w:color="auto" w:sz="4" w:space="0"/>
              <w:left w:val="single" w:color="auto" w:sz="4" w:space="0"/>
              <w:bottom w:val="single" w:color="auto" w:sz="4" w:space="0"/>
              <w:right w:val="single" w:color="auto" w:sz="8" w:space="0"/>
            </w:tcBorders>
            <w:noWrap w:val="0"/>
            <w:vAlign w:val="center"/>
          </w:tcPr>
          <w:p>
            <w:pPr>
              <w:spacing w:line="240" w:lineRule="exact"/>
              <w:rPr>
                <w:rFonts w:ascii="Times New Roman"/>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961" w:type="dxa"/>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rPr>
                <w:color w:val="000000"/>
                <w:spacing w:val="-2"/>
                <w:szCs w:val="21"/>
              </w:rPr>
            </w:pPr>
            <w:r>
              <w:rPr>
                <w:color w:val="000000"/>
                <w:spacing w:val="-2"/>
                <w:szCs w:val="21"/>
              </w:rPr>
              <w:t>2</w:t>
            </w:r>
          </w:p>
        </w:tc>
        <w:tc>
          <w:tcPr>
            <w:tcW w:w="266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szCs w:val="21"/>
              </w:rPr>
            </w:pPr>
            <w:r>
              <w:rPr>
                <w:rFonts w:hint="eastAsia" w:ascii="Times New Roman" w:hAnsi="Times New Roman"/>
                <w:color w:val="000000"/>
                <w:spacing w:val="-2"/>
                <w:szCs w:val="21"/>
              </w:rPr>
              <w:t>扣  件</w:t>
            </w:r>
          </w:p>
        </w:tc>
        <w:tc>
          <w:tcPr>
            <w:tcW w:w="3138"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szCs w:val="21"/>
              </w:rPr>
            </w:pPr>
          </w:p>
        </w:tc>
        <w:tc>
          <w:tcPr>
            <w:tcW w:w="2182"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center"/>
              <w:rPr>
                <w:rFonts w:ascii="Times New Roman"/>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961" w:type="dxa"/>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rPr>
                <w:color w:val="000000"/>
                <w:spacing w:val="-2"/>
                <w:szCs w:val="21"/>
              </w:rPr>
            </w:pPr>
            <w:r>
              <w:rPr>
                <w:color w:val="000000"/>
                <w:spacing w:val="-2"/>
                <w:szCs w:val="21"/>
              </w:rPr>
              <w:t>3</w:t>
            </w:r>
          </w:p>
        </w:tc>
        <w:tc>
          <w:tcPr>
            <w:tcW w:w="266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szCs w:val="21"/>
              </w:rPr>
            </w:pPr>
            <w:r>
              <w:rPr>
                <w:rFonts w:hint="eastAsia" w:ascii="Times New Roman" w:hAnsi="Times New Roman"/>
                <w:color w:val="000000"/>
                <w:spacing w:val="-2"/>
                <w:szCs w:val="21"/>
              </w:rPr>
              <w:t>模板</w:t>
            </w:r>
          </w:p>
        </w:tc>
        <w:tc>
          <w:tcPr>
            <w:tcW w:w="3138"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szCs w:val="21"/>
              </w:rPr>
            </w:pPr>
          </w:p>
        </w:tc>
        <w:tc>
          <w:tcPr>
            <w:tcW w:w="2182"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center"/>
              <w:rPr>
                <w:rFonts w:ascii="Times New Roman"/>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961" w:type="dxa"/>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rPr>
                <w:color w:val="000000"/>
                <w:spacing w:val="-2"/>
                <w:szCs w:val="21"/>
              </w:rPr>
            </w:pPr>
            <w:r>
              <w:rPr>
                <w:color w:val="000000"/>
                <w:spacing w:val="-2"/>
                <w:szCs w:val="21"/>
              </w:rPr>
              <w:t>4</w:t>
            </w:r>
          </w:p>
        </w:tc>
        <w:tc>
          <w:tcPr>
            <w:tcW w:w="266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szCs w:val="21"/>
              </w:rPr>
            </w:pPr>
            <w:r>
              <w:rPr>
                <w:rFonts w:hint="eastAsia" w:ascii="Times New Roman" w:hAnsi="Times New Roman"/>
                <w:color w:val="000000"/>
                <w:spacing w:val="-2"/>
                <w:szCs w:val="21"/>
              </w:rPr>
              <w:t>…</w:t>
            </w:r>
          </w:p>
        </w:tc>
        <w:tc>
          <w:tcPr>
            <w:tcW w:w="3138"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szCs w:val="21"/>
              </w:rPr>
            </w:pPr>
          </w:p>
        </w:tc>
        <w:tc>
          <w:tcPr>
            <w:tcW w:w="2182"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center"/>
              <w:rPr>
                <w:rFonts w:ascii="Times New Roman"/>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961" w:type="dxa"/>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rPr>
                <w:color w:val="000000"/>
                <w:spacing w:val="-2"/>
                <w:szCs w:val="21"/>
              </w:rPr>
            </w:pPr>
            <w:r>
              <w:rPr>
                <w:color w:val="000000"/>
                <w:spacing w:val="-2"/>
                <w:szCs w:val="21"/>
              </w:rPr>
              <w:t>5</w:t>
            </w:r>
          </w:p>
        </w:tc>
        <w:tc>
          <w:tcPr>
            <w:tcW w:w="266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szCs w:val="21"/>
              </w:rPr>
            </w:pPr>
            <w:r>
              <w:rPr>
                <w:rFonts w:hint="eastAsia" w:ascii="Times New Roman" w:hAnsi="Times New Roman"/>
                <w:color w:val="000000"/>
                <w:spacing w:val="-2"/>
                <w:szCs w:val="21"/>
              </w:rPr>
              <w:t>…</w:t>
            </w:r>
          </w:p>
        </w:tc>
        <w:tc>
          <w:tcPr>
            <w:tcW w:w="3138"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szCs w:val="21"/>
              </w:rPr>
            </w:pPr>
          </w:p>
        </w:tc>
        <w:tc>
          <w:tcPr>
            <w:tcW w:w="2182"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center"/>
              <w:rPr>
                <w:rFonts w:ascii="Times New Roman"/>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961" w:type="dxa"/>
            <w:tcBorders>
              <w:top w:val="single" w:color="auto" w:sz="4" w:space="0"/>
              <w:left w:val="single" w:color="auto" w:sz="8" w:space="0"/>
              <w:bottom w:val="single" w:color="auto" w:sz="8" w:space="0"/>
              <w:right w:val="single" w:color="auto" w:sz="4" w:space="0"/>
            </w:tcBorders>
            <w:noWrap w:val="0"/>
            <w:vAlign w:val="center"/>
          </w:tcPr>
          <w:p>
            <w:pPr>
              <w:spacing w:line="240" w:lineRule="exact"/>
              <w:jc w:val="center"/>
              <w:rPr>
                <w:color w:val="000000"/>
                <w:spacing w:val="-2"/>
                <w:szCs w:val="21"/>
              </w:rPr>
            </w:pPr>
            <w:r>
              <w:rPr>
                <w:color w:val="000000"/>
                <w:spacing w:val="-2"/>
                <w:szCs w:val="21"/>
              </w:rPr>
              <w:t>6</w:t>
            </w:r>
          </w:p>
        </w:tc>
        <w:tc>
          <w:tcPr>
            <w:tcW w:w="2665" w:type="dxa"/>
            <w:tcBorders>
              <w:top w:val="single" w:color="auto" w:sz="4" w:space="0"/>
              <w:left w:val="single" w:color="auto" w:sz="4" w:space="0"/>
              <w:bottom w:val="single" w:color="auto" w:sz="8" w:space="0"/>
              <w:right w:val="single" w:color="auto" w:sz="4" w:space="0"/>
            </w:tcBorders>
            <w:noWrap w:val="0"/>
            <w:vAlign w:val="center"/>
          </w:tcPr>
          <w:p>
            <w:pPr>
              <w:spacing w:line="240" w:lineRule="exact"/>
              <w:jc w:val="center"/>
              <w:rPr>
                <w:rFonts w:ascii="Times New Roman"/>
                <w:color w:val="000000"/>
                <w:spacing w:val="-2"/>
                <w:szCs w:val="21"/>
              </w:rPr>
            </w:pPr>
            <w:r>
              <w:rPr>
                <w:rFonts w:hint="eastAsia" w:ascii="Times New Roman" w:hAnsi="Times New Roman"/>
                <w:color w:val="000000"/>
                <w:spacing w:val="-2"/>
                <w:szCs w:val="21"/>
              </w:rPr>
              <w:t>…</w:t>
            </w:r>
          </w:p>
        </w:tc>
        <w:tc>
          <w:tcPr>
            <w:tcW w:w="3138" w:type="dxa"/>
            <w:tcBorders>
              <w:top w:val="single" w:color="auto" w:sz="4" w:space="0"/>
              <w:left w:val="single" w:color="auto" w:sz="4" w:space="0"/>
              <w:bottom w:val="single" w:color="auto" w:sz="8" w:space="0"/>
              <w:right w:val="single" w:color="auto" w:sz="4" w:space="0"/>
            </w:tcBorders>
            <w:noWrap w:val="0"/>
            <w:vAlign w:val="center"/>
          </w:tcPr>
          <w:p>
            <w:pPr>
              <w:spacing w:line="240" w:lineRule="exact"/>
              <w:jc w:val="center"/>
              <w:rPr>
                <w:rFonts w:ascii="Times New Roman"/>
                <w:color w:val="000000"/>
                <w:spacing w:val="-2"/>
                <w:szCs w:val="21"/>
              </w:rPr>
            </w:pPr>
          </w:p>
        </w:tc>
        <w:tc>
          <w:tcPr>
            <w:tcW w:w="2182" w:type="dxa"/>
            <w:tcBorders>
              <w:top w:val="single" w:color="auto" w:sz="4" w:space="0"/>
              <w:left w:val="single" w:color="auto" w:sz="4" w:space="0"/>
              <w:bottom w:val="single" w:color="auto" w:sz="8" w:space="0"/>
              <w:right w:val="single" w:color="auto" w:sz="8" w:space="0"/>
            </w:tcBorders>
            <w:noWrap w:val="0"/>
            <w:vAlign w:val="center"/>
          </w:tcPr>
          <w:p>
            <w:pPr>
              <w:spacing w:line="240" w:lineRule="exact"/>
              <w:jc w:val="center"/>
              <w:rPr>
                <w:rFonts w:ascii="Times New Roman"/>
                <w:color w:val="000000"/>
                <w:spacing w:val="-2"/>
                <w:szCs w:val="21"/>
              </w:rPr>
            </w:pPr>
          </w:p>
        </w:tc>
      </w:tr>
    </w:tbl>
    <w:p>
      <w:pPr>
        <w:rPr>
          <w:rFonts w:hint="eastAsia" w:ascii="Times New Roman"/>
          <w:b/>
          <w:iCs/>
          <w:color w:val="000000"/>
          <w:spacing w:val="-2"/>
          <w:sz w:val="24"/>
        </w:rPr>
      </w:pPr>
    </w:p>
    <w:p>
      <w:pPr>
        <w:spacing w:line="460" w:lineRule="exact"/>
        <w:rPr>
          <w:rFonts w:hint="eastAsia" w:ascii="Times New Roman"/>
          <w:b/>
          <w:color w:val="000000"/>
          <w:spacing w:val="-2"/>
          <w:sz w:val="24"/>
        </w:rPr>
      </w:pPr>
      <w:r>
        <w:rPr>
          <w:b/>
          <w:color w:val="000000"/>
          <w:spacing w:val="-2"/>
          <w:sz w:val="24"/>
        </w:rPr>
        <w:t>6.4</w:t>
      </w:r>
      <w:r>
        <w:rPr>
          <w:rFonts w:hint="eastAsia" w:ascii="Times New Roman" w:hAnsi="Times New Roman"/>
          <w:b/>
          <w:color w:val="000000"/>
          <w:spacing w:val="-2"/>
          <w:sz w:val="24"/>
        </w:rPr>
        <w:t xml:space="preserve"> 高支模方案设计要求。</w:t>
      </w:r>
    </w:p>
    <w:p>
      <w:pPr>
        <w:tabs>
          <w:tab w:val="left" w:pos="540"/>
          <w:tab w:val="left" w:pos="7020"/>
        </w:tabs>
        <w:autoSpaceDE w:val="0"/>
        <w:autoSpaceDN w:val="0"/>
        <w:adjustRightInd w:val="0"/>
        <w:spacing w:line="460" w:lineRule="exact"/>
        <w:ind w:firstLine="472" w:firstLineChars="200"/>
        <w:jc w:val="left"/>
        <w:rPr>
          <w:rFonts w:hint="eastAsia" w:ascii="Times New Roman" w:cs="宋体"/>
          <w:color w:val="000000"/>
          <w:spacing w:val="-2"/>
          <w:kern w:val="0"/>
          <w:sz w:val="24"/>
        </w:rPr>
      </w:pPr>
      <w:r>
        <w:rPr>
          <w:rFonts w:hint="eastAsia" w:ascii="Times New Roman" w:hAnsi="Times New Roman"/>
          <w:color w:val="000000"/>
          <w:spacing w:val="-2"/>
          <w:kern w:val="0"/>
          <w:sz w:val="24"/>
        </w:rPr>
        <w:t>以下专项施工方案施工单位应编制专项施工方案：①</w:t>
      </w:r>
      <w:r>
        <w:rPr>
          <w:rFonts w:hint="eastAsia" w:ascii="Times New Roman" w:hAnsi="Times New Roman" w:cs="宋体"/>
          <w:color w:val="000000"/>
          <w:spacing w:val="-2"/>
          <w:kern w:val="0"/>
          <w:sz w:val="24"/>
        </w:rPr>
        <w:t>搭设高度5m及以上；</w:t>
      </w:r>
      <w:r>
        <w:rPr>
          <w:rFonts w:hint="eastAsia" w:ascii="Times New Roman" w:hAnsi="Times New Roman"/>
          <w:color w:val="000000"/>
          <w:spacing w:val="-2"/>
          <w:kern w:val="0"/>
          <w:sz w:val="24"/>
        </w:rPr>
        <w:t>②</w:t>
      </w:r>
      <w:r>
        <w:rPr>
          <w:rFonts w:hint="eastAsia" w:ascii="Times New Roman" w:hAnsi="Times New Roman" w:cs="宋体"/>
          <w:color w:val="000000"/>
          <w:spacing w:val="-2"/>
          <w:kern w:val="0"/>
          <w:sz w:val="24"/>
        </w:rPr>
        <w:t>搭设跨度10m及以上；</w:t>
      </w:r>
      <w:r>
        <w:rPr>
          <w:rFonts w:hint="eastAsia" w:ascii="Times New Roman" w:hAnsi="Times New Roman"/>
          <w:color w:val="000000"/>
          <w:spacing w:val="-2"/>
          <w:kern w:val="0"/>
          <w:sz w:val="24"/>
        </w:rPr>
        <w:t>③</w:t>
      </w:r>
      <w:r>
        <w:rPr>
          <w:rFonts w:hint="eastAsia" w:ascii="Times New Roman" w:hAnsi="Times New Roman" w:cs="宋体"/>
          <w:color w:val="000000"/>
          <w:spacing w:val="-2"/>
          <w:kern w:val="0"/>
          <w:sz w:val="24"/>
        </w:rPr>
        <w:t>施工总荷载10kN/m</w:t>
      </w:r>
      <w:r>
        <w:rPr>
          <w:rFonts w:hint="eastAsia" w:ascii="Times New Roman" w:hAnsi="Times New Roman" w:cs="宋体"/>
          <w:color w:val="000000"/>
          <w:spacing w:val="-2"/>
          <w:kern w:val="0"/>
          <w:sz w:val="24"/>
          <w:vertAlign w:val="superscript"/>
        </w:rPr>
        <w:t>2</w:t>
      </w:r>
      <w:r>
        <w:rPr>
          <w:rFonts w:hint="eastAsia" w:ascii="Times New Roman" w:hAnsi="Times New Roman" w:cs="宋体"/>
          <w:color w:val="000000"/>
          <w:spacing w:val="-2"/>
          <w:kern w:val="0"/>
          <w:sz w:val="24"/>
        </w:rPr>
        <w:t>及以上；</w:t>
      </w:r>
      <w:r>
        <w:rPr>
          <w:rFonts w:hint="eastAsia" w:ascii="Times New Roman" w:hAnsi="Times New Roman"/>
          <w:color w:val="000000"/>
          <w:spacing w:val="-2"/>
          <w:kern w:val="0"/>
          <w:sz w:val="24"/>
        </w:rPr>
        <w:t>④</w:t>
      </w:r>
      <w:r>
        <w:rPr>
          <w:rFonts w:hint="eastAsia" w:ascii="Times New Roman" w:hAnsi="Times New Roman" w:cs="宋体"/>
          <w:color w:val="000000"/>
          <w:spacing w:val="-2"/>
          <w:kern w:val="0"/>
          <w:sz w:val="24"/>
        </w:rPr>
        <w:t>集中线荷载15kN/m及以上；⑤高度大于支撑水平投影宽度且相对独立无联系构件的混凝土模板支撑工程。</w:t>
      </w:r>
    </w:p>
    <w:p>
      <w:pPr>
        <w:tabs>
          <w:tab w:val="left" w:pos="540"/>
          <w:tab w:val="left" w:pos="7020"/>
        </w:tabs>
        <w:autoSpaceDE w:val="0"/>
        <w:autoSpaceDN w:val="0"/>
        <w:adjustRightInd w:val="0"/>
        <w:spacing w:line="460" w:lineRule="exact"/>
        <w:ind w:firstLine="472" w:firstLineChars="200"/>
        <w:jc w:val="left"/>
        <w:rPr>
          <w:rFonts w:hint="eastAsia" w:ascii="Times New Roman"/>
          <w:color w:val="000000"/>
          <w:spacing w:val="-2"/>
          <w:kern w:val="0"/>
          <w:sz w:val="24"/>
        </w:rPr>
      </w:pPr>
      <w:r>
        <w:rPr>
          <w:rFonts w:hint="eastAsia" w:ascii="Times New Roman" w:hAnsi="Times New Roman"/>
          <w:color w:val="000000"/>
          <w:spacing w:val="-2"/>
          <w:kern w:val="0"/>
          <w:sz w:val="24"/>
        </w:rPr>
        <w:t>以下专项施工方案施工单位应组织专家组论证审查：①高度超过 8m及以上；②搭设 跨度超过18m及以上；③ 施工总荷载15</w:t>
      </w:r>
      <w:r>
        <w:rPr>
          <w:rFonts w:hint="eastAsia" w:ascii="Times New Roman" w:hAnsi="Times New Roman" w:cs="宋体"/>
          <w:color w:val="000000"/>
          <w:spacing w:val="-2"/>
          <w:kern w:val="0"/>
          <w:sz w:val="24"/>
        </w:rPr>
        <w:t>k</w:t>
      </w:r>
      <w:r>
        <w:rPr>
          <w:rFonts w:hint="eastAsia" w:ascii="Times New Roman" w:hAnsi="Times New Roman"/>
          <w:color w:val="000000"/>
          <w:spacing w:val="-2"/>
          <w:kern w:val="0"/>
          <w:sz w:val="24"/>
        </w:rPr>
        <w:t>N/m</w:t>
      </w:r>
      <w:r>
        <w:rPr>
          <w:rFonts w:hint="eastAsia" w:ascii="Times New Roman" w:hAnsi="Times New Roman"/>
          <w:color w:val="000000"/>
          <w:spacing w:val="-2"/>
          <w:kern w:val="0"/>
          <w:sz w:val="24"/>
          <w:vertAlign w:val="superscript"/>
        </w:rPr>
        <w:t>2</w:t>
      </w:r>
      <w:r>
        <w:rPr>
          <w:rFonts w:hint="eastAsia" w:ascii="Times New Roman" w:hAnsi="Times New Roman"/>
          <w:color w:val="000000"/>
          <w:spacing w:val="-2"/>
          <w:kern w:val="0"/>
          <w:sz w:val="24"/>
        </w:rPr>
        <w:t>及以上；④ 集中线荷载20</w:t>
      </w:r>
      <w:r>
        <w:rPr>
          <w:rFonts w:hint="eastAsia" w:ascii="Times New Roman" w:hAnsi="Times New Roman" w:cs="宋体"/>
          <w:color w:val="000000"/>
          <w:spacing w:val="-2"/>
          <w:kern w:val="0"/>
          <w:sz w:val="24"/>
        </w:rPr>
        <w:t>k</w:t>
      </w:r>
      <w:r>
        <w:rPr>
          <w:rFonts w:hint="eastAsia" w:ascii="Times New Roman" w:hAnsi="Times New Roman"/>
          <w:color w:val="000000"/>
          <w:spacing w:val="-2"/>
          <w:kern w:val="0"/>
          <w:sz w:val="24"/>
        </w:rPr>
        <w:t>N/m及以上。</w:t>
      </w:r>
    </w:p>
    <w:p>
      <w:pPr>
        <w:tabs>
          <w:tab w:val="left" w:pos="540"/>
          <w:tab w:val="left" w:pos="7020"/>
        </w:tabs>
        <w:autoSpaceDE w:val="0"/>
        <w:autoSpaceDN w:val="0"/>
        <w:adjustRightInd w:val="0"/>
        <w:spacing w:line="460" w:lineRule="exact"/>
        <w:ind w:firstLine="472" w:firstLineChars="200"/>
        <w:jc w:val="left"/>
        <w:rPr>
          <w:rFonts w:hint="eastAsia" w:ascii="Times New Roman"/>
          <w:color w:val="000000"/>
          <w:spacing w:val="-2"/>
          <w:kern w:val="0"/>
          <w:sz w:val="24"/>
        </w:rPr>
      </w:pPr>
      <w:r>
        <w:rPr>
          <w:rFonts w:hint="eastAsia" w:ascii="Times New Roman" w:hAnsi="Times New Roman"/>
          <w:color w:val="000000"/>
          <w:spacing w:val="-2"/>
          <w:kern w:val="0"/>
          <w:sz w:val="24"/>
        </w:rPr>
        <w:t>对于设通道、通航的支架应做专门的设计与计算。</w:t>
      </w:r>
    </w:p>
    <w:p>
      <w:pPr>
        <w:spacing w:line="460" w:lineRule="exact"/>
        <w:rPr>
          <w:rFonts w:hint="eastAsia" w:ascii="Times New Roman"/>
          <w:b/>
          <w:color w:val="000000"/>
          <w:spacing w:val="-2"/>
          <w:sz w:val="24"/>
        </w:rPr>
      </w:pPr>
      <w:r>
        <w:rPr>
          <w:b/>
          <w:color w:val="000000"/>
          <w:spacing w:val="-2"/>
          <w:sz w:val="24"/>
        </w:rPr>
        <w:t xml:space="preserve">6.5 </w:t>
      </w:r>
      <w:r>
        <w:rPr>
          <w:rFonts w:hint="eastAsia" w:ascii="Times New Roman" w:hAnsi="Times New Roman"/>
          <w:b/>
          <w:color w:val="000000"/>
          <w:spacing w:val="-2"/>
          <w:sz w:val="24"/>
        </w:rPr>
        <w:t>高支模施工专项方案审查的监理要点。</w:t>
      </w:r>
    </w:p>
    <w:p>
      <w:pPr>
        <w:spacing w:line="460" w:lineRule="exact"/>
        <w:rPr>
          <w:rFonts w:hint="eastAsia" w:ascii="Times New Roman"/>
          <w:color w:val="000000"/>
          <w:spacing w:val="-2"/>
          <w:kern w:val="0"/>
          <w:sz w:val="24"/>
        </w:rPr>
      </w:pPr>
      <w:r>
        <w:rPr>
          <w:rFonts w:hint="eastAsia" w:ascii="Times New Roman" w:hAnsi="Times New Roman"/>
          <w:color w:val="000000"/>
          <w:spacing w:val="-2"/>
          <w:kern w:val="0"/>
          <w:sz w:val="24"/>
        </w:rPr>
        <w:t>（高支模施工专项方案的编制内容、施工单位审核程序必须符合住建部〔2009〕87号文的规定。）</w:t>
      </w:r>
    </w:p>
    <w:p>
      <w:pPr>
        <w:spacing w:line="460" w:lineRule="exact"/>
        <w:rPr>
          <w:rFonts w:hint="eastAsia" w:ascii="Times New Roman"/>
          <w:b/>
          <w:color w:val="000000"/>
          <w:spacing w:val="-2"/>
          <w:sz w:val="24"/>
        </w:rPr>
      </w:pPr>
      <w:r>
        <w:rPr>
          <w:b/>
          <w:color w:val="000000"/>
          <w:spacing w:val="-2"/>
          <w:sz w:val="24"/>
        </w:rPr>
        <w:t xml:space="preserve">6.6 </w:t>
      </w:r>
      <w:r>
        <w:rPr>
          <w:rFonts w:hint="eastAsia" w:ascii="Times New Roman" w:hAnsi="Times New Roman"/>
          <w:b/>
          <w:color w:val="000000"/>
          <w:spacing w:val="-2"/>
          <w:sz w:val="24"/>
        </w:rPr>
        <w:t>高支模搭设过程的监理工作要点。</w:t>
      </w:r>
    </w:p>
    <w:p>
      <w:pPr>
        <w:spacing w:line="460" w:lineRule="exact"/>
        <w:rPr>
          <w:rFonts w:hint="eastAsia" w:ascii="Times New Roman"/>
          <w:color w:val="000000"/>
          <w:spacing w:val="-2"/>
          <w:kern w:val="0"/>
          <w:sz w:val="24"/>
        </w:rPr>
      </w:pPr>
      <w:r>
        <w:rPr>
          <w:rFonts w:hint="eastAsia" w:ascii="Times New Roman" w:hAnsi="Times New Roman"/>
          <w:color w:val="000000"/>
          <w:spacing w:val="-2"/>
          <w:kern w:val="0"/>
          <w:sz w:val="24"/>
        </w:rPr>
        <w:t>(高支模搭设的单位和个人的资质必须符合相关规定。在搭设时施工单位要做好自检，监理应做好巡视检查。)</w:t>
      </w:r>
    </w:p>
    <w:p>
      <w:pPr>
        <w:spacing w:line="460" w:lineRule="exact"/>
        <w:rPr>
          <w:rFonts w:hint="eastAsia" w:ascii="Times New Roman"/>
          <w:b/>
          <w:color w:val="000000"/>
          <w:spacing w:val="-2"/>
          <w:sz w:val="24"/>
        </w:rPr>
      </w:pPr>
      <w:r>
        <w:rPr>
          <w:b/>
          <w:color w:val="000000"/>
          <w:spacing w:val="-2"/>
          <w:sz w:val="24"/>
        </w:rPr>
        <w:t xml:space="preserve">6.7 </w:t>
      </w:r>
      <w:r>
        <w:rPr>
          <w:rFonts w:hint="eastAsia" w:ascii="Times New Roman" w:hAnsi="Times New Roman"/>
          <w:b/>
          <w:color w:val="000000"/>
          <w:spacing w:val="-2"/>
          <w:sz w:val="24"/>
        </w:rPr>
        <w:t>支架预压监理工作要点。</w:t>
      </w:r>
    </w:p>
    <w:p>
      <w:pPr>
        <w:spacing w:line="460" w:lineRule="exact"/>
        <w:rPr>
          <w:rFonts w:hint="eastAsia" w:ascii="Times New Roman"/>
          <w:color w:val="000000"/>
          <w:spacing w:val="-2"/>
          <w:kern w:val="0"/>
          <w:sz w:val="24"/>
        </w:rPr>
      </w:pPr>
      <w:r>
        <w:rPr>
          <w:rFonts w:hint="eastAsia" w:ascii="Times New Roman" w:hAnsi="Times New Roman"/>
          <w:color w:val="000000"/>
          <w:spacing w:val="-2"/>
          <w:kern w:val="0"/>
          <w:sz w:val="24"/>
        </w:rPr>
        <w:t>（支架预压必须按设计的加载和卸载方案实施，并应加强现场的监视和检测。）</w:t>
      </w:r>
    </w:p>
    <w:p>
      <w:pPr>
        <w:spacing w:line="460" w:lineRule="exact"/>
        <w:rPr>
          <w:rFonts w:hint="eastAsia" w:ascii="Times New Roman"/>
          <w:b/>
          <w:color w:val="000000"/>
          <w:spacing w:val="-2"/>
          <w:sz w:val="24"/>
        </w:rPr>
      </w:pPr>
      <w:r>
        <w:rPr>
          <w:b/>
          <w:color w:val="000000"/>
          <w:spacing w:val="-2"/>
          <w:sz w:val="24"/>
        </w:rPr>
        <w:t xml:space="preserve">6.8 </w:t>
      </w:r>
      <w:r>
        <w:rPr>
          <w:rFonts w:hint="eastAsia" w:ascii="Times New Roman" w:hAnsi="Times New Roman"/>
          <w:b/>
          <w:color w:val="000000"/>
          <w:spacing w:val="-2"/>
          <w:sz w:val="24"/>
        </w:rPr>
        <w:t>混凝土浇筑的监理工作要点。</w:t>
      </w:r>
    </w:p>
    <w:p>
      <w:pPr>
        <w:spacing w:line="460" w:lineRule="exact"/>
        <w:rPr>
          <w:rFonts w:hint="eastAsia" w:ascii="Times New Roman"/>
          <w:color w:val="000000"/>
          <w:spacing w:val="-2"/>
          <w:kern w:val="0"/>
          <w:sz w:val="24"/>
        </w:rPr>
      </w:pPr>
      <w:r>
        <w:rPr>
          <w:rFonts w:hint="eastAsia" w:ascii="Times New Roman" w:hAnsi="Times New Roman"/>
          <w:color w:val="000000"/>
          <w:spacing w:val="-2"/>
          <w:kern w:val="0"/>
          <w:sz w:val="24"/>
        </w:rPr>
        <w:t>（混凝土的浇筑必须按预定的浇筑程序和方案进行，并随时观察支架的变形情况，避免意外事故的发生。）</w:t>
      </w:r>
    </w:p>
    <w:p>
      <w:pPr>
        <w:spacing w:line="460" w:lineRule="exact"/>
        <w:rPr>
          <w:rFonts w:hint="eastAsia" w:ascii="Times New Roman"/>
          <w:b/>
          <w:color w:val="000000"/>
          <w:spacing w:val="-2"/>
          <w:sz w:val="24"/>
        </w:rPr>
      </w:pPr>
      <w:r>
        <w:rPr>
          <w:b/>
          <w:color w:val="000000"/>
          <w:spacing w:val="-2"/>
          <w:sz w:val="24"/>
        </w:rPr>
        <w:t xml:space="preserve">6.9 </w:t>
      </w:r>
      <w:r>
        <w:rPr>
          <w:rFonts w:hint="eastAsia" w:ascii="Times New Roman" w:hAnsi="Times New Roman"/>
          <w:b/>
          <w:color w:val="000000"/>
          <w:spacing w:val="-2"/>
          <w:sz w:val="24"/>
        </w:rPr>
        <w:t>支架的拆除阶段监理要点。</w:t>
      </w:r>
    </w:p>
    <w:p>
      <w:pPr>
        <w:spacing w:line="460" w:lineRule="exact"/>
        <w:rPr>
          <w:rFonts w:hint="eastAsia" w:ascii="Times New Roman"/>
          <w:color w:val="000000"/>
          <w:spacing w:val="-2"/>
          <w:kern w:val="0"/>
          <w:sz w:val="24"/>
        </w:rPr>
      </w:pPr>
      <w:r>
        <w:rPr>
          <w:rFonts w:hint="eastAsia" w:ascii="Times New Roman" w:hAnsi="Times New Roman"/>
          <w:color w:val="000000"/>
          <w:spacing w:val="-2"/>
          <w:kern w:val="0"/>
          <w:sz w:val="24"/>
        </w:rPr>
        <w:t>(支架的拆除需等混凝土强度达到设计要求方可拆除，拆除顺序应符合规范要求。)</w:t>
      </w:r>
    </w:p>
    <w:p>
      <w:pPr>
        <w:spacing w:before="240" w:beforeLines="100" w:after="240" w:afterLines="100" w:line="420" w:lineRule="exact"/>
        <w:rPr>
          <w:rFonts w:hint="eastAsia"/>
          <w:b/>
          <w:color w:val="000000"/>
          <w:spacing w:val="-2"/>
          <w:sz w:val="28"/>
          <w:szCs w:val="28"/>
        </w:rPr>
      </w:pPr>
      <w:r>
        <w:rPr>
          <w:b/>
          <w:color w:val="000000"/>
          <w:spacing w:val="-2"/>
          <w:sz w:val="28"/>
          <w:szCs w:val="28"/>
        </w:rPr>
        <w:t xml:space="preserve">7 </w:t>
      </w:r>
      <w:r>
        <w:rPr>
          <w:rFonts w:hint="eastAsia"/>
          <w:b/>
          <w:color w:val="000000"/>
          <w:spacing w:val="-2"/>
          <w:sz w:val="28"/>
          <w:szCs w:val="28"/>
        </w:rPr>
        <w:t>高支模工程监理工作方法及措施</w:t>
      </w:r>
    </w:p>
    <w:p>
      <w:pPr>
        <w:pStyle w:val="4"/>
        <w:spacing w:before="0" w:after="0" w:line="460" w:lineRule="exact"/>
        <w:rPr>
          <w:b w:val="0"/>
          <w:color w:val="000000"/>
          <w:spacing w:val="-2"/>
        </w:rPr>
      </w:pPr>
      <w:r>
        <w:rPr>
          <w:color w:val="000000"/>
          <w:spacing w:val="-2"/>
          <w:sz w:val="24"/>
          <w:szCs w:val="24"/>
        </w:rPr>
        <w:t xml:space="preserve">7.1 </w:t>
      </w:r>
      <w:r>
        <w:rPr>
          <w:rFonts w:hint="eastAsia"/>
          <w:color w:val="000000"/>
          <w:spacing w:val="-2"/>
          <w:sz w:val="24"/>
          <w:szCs w:val="24"/>
        </w:rPr>
        <w:t>审查内容</w:t>
      </w:r>
      <w:r>
        <w:rPr>
          <w:rFonts w:hint="eastAsia"/>
          <w:color w:val="000000"/>
          <w:spacing w:val="-2"/>
        </w:rPr>
        <w:t>：</w:t>
      </w:r>
      <w:r>
        <w:rPr>
          <w:b w:val="0"/>
          <w:color w:val="000000"/>
          <w:spacing w:val="-2"/>
          <w:u w:val="single"/>
        </w:rPr>
        <w:t xml:space="preserve">                                         </w:t>
      </w:r>
      <w:r>
        <w:rPr>
          <w:rFonts w:hint="eastAsia"/>
          <w:b w:val="0"/>
          <w:color w:val="000000"/>
          <w:spacing w:val="-2"/>
        </w:rPr>
        <w:t>。</w:t>
      </w:r>
    </w:p>
    <w:p>
      <w:pPr>
        <w:spacing w:line="460" w:lineRule="exact"/>
        <w:rPr>
          <w:rFonts w:ascii="Times New Roman"/>
          <w:color w:val="000000"/>
          <w:spacing w:val="-2"/>
          <w:sz w:val="24"/>
        </w:rPr>
      </w:pPr>
      <w:r>
        <w:rPr>
          <w:rFonts w:hint="eastAsia" w:ascii="Times New Roman" w:hAnsi="Times New Roman"/>
          <w:bCs/>
          <w:color w:val="000000"/>
          <w:spacing w:val="-2"/>
          <w:kern w:val="0"/>
          <w:sz w:val="24"/>
        </w:rPr>
        <w:t>（</w:t>
      </w:r>
      <w:r>
        <w:rPr>
          <w:rFonts w:hint="eastAsia" w:ascii="Times New Roman" w:hAnsi="Times New Roman"/>
          <w:color w:val="000000"/>
          <w:spacing w:val="-2"/>
          <w:sz w:val="24"/>
        </w:rPr>
        <w:t>如审查承包单位、分包单位的安全生产保证体系、质量保证体系是否建立、健全；审查承包单位报送的高支模专项施工方案，按要求需专家论证的是否组织论证并按论证意见修改完善，并提出审查意见；审查施工单位报送的进场材料、构配件和设备的报告，审查地基处理后的检验报告、支架搭设后的自查报告、支架预压后的沉降观测报告和高支模拆除的申请报告等；重点要认真审查施工单位方案中的技术方案的可行性，内容的完整性。）</w:t>
      </w:r>
    </w:p>
    <w:p>
      <w:pPr>
        <w:pStyle w:val="4"/>
        <w:spacing w:before="0" w:after="0" w:line="460" w:lineRule="exact"/>
        <w:rPr>
          <w:rFonts w:hint="eastAsia" w:ascii="Times New Roman"/>
          <w:color w:val="000000"/>
          <w:spacing w:val="-2"/>
        </w:rPr>
      </w:pPr>
      <w:r>
        <w:rPr>
          <w:color w:val="000000"/>
          <w:spacing w:val="-2"/>
          <w:sz w:val="24"/>
          <w:szCs w:val="24"/>
        </w:rPr>
        <w:t xml:space="preserve">7.2 </w:t>
      </w:r>
      <w:r>
        <w:rPr>
          <w:rFonts w:hint="eastAsia" w:ascii="Times New Roman" w:hAnsi="Times New Roman"/>
          <w:color w:val="000000"/>
          <w:spacing w:val="-2"/>
          <w:sz w:val="24"/>
          <w:szCs w:val="24"/>
        </w:rPr>
        <w:t>复核内容</w:t>
      </w:r>
      <w:r>
        <w:rPr>
          <w:rFonts w:hint="eastAsia" w:ascii="Times New Roman" w:hAnsi="Times New Roman"/>
          <w:color w:val="000000"/>
          <w:spacing w:val="-2"/>
        </w:rPr>
        <w:t>：</w:t>
      </w:r>
      <w:r>
        <w:rPr>
          <w:rFonts w:hint="eastAsia" w:ascii="Times New Roman" w:hAnsi="Times New Roman"/>
          <w:color w:val="000000"/>
          <w:spacing w:val="-2"/>
          <w:u w:val="single"/>
        </w:rPr>
        <w:t xml:space="preserve">                                        </w:t>
      </w:r>
      <w:r>
        <w:rPr>
          <w:rFonts w:hint="eastAsia" w:ascii="Times New Roman" w:hAnsi="Times New Roman"/>
          <w:color w:val="000000"/>
          <w:spacing w:val="-2"/>
        </w:rPr>
        <w:t>。</w:t>
      </w:r>
    </w:p>
    <w:p>
      <w:pPr>
        <w:spacing w:line="460" w:lineRule="exact"/>
        <w:rPr>
          <w:rFonts w:hint="eastAsia" w:ascii="Times New Roman"/>
          <w:color w:val="000000"/>
          <w:spacing w:val="-2"/>
          <w:sz w:val="24"/>
        </w:rPr>
      </w:pPr>
      <w:r>
        <w:rPr>
          <w:rFonts w:hint="eastAsia" w:ascii="Times New Roman" w:hAnsi="Times New Roman"/>
          <w:bCs/>
          <w:color w:val="000000"/>
          <w:spacing w:val="-2"/>
          <w:kern w:val="0"/>
          <w:sz w:val="24"/>
        </w:rPr>
        <w:t>（</w:t>
      </w:r>
      <w:r>
        <w:rPr>
          <w:rFonts w:hint="eastAsia" w:ascii="Times New Roman" w:hAnsi="Times New Roman"/>
          <w:color w:val="000000"/>
          <w:spacing w:val="-2"/>
          <w:sz w:val="24"/>
        </w:rPr>
        <w:t>如承包单位、分包单位资质、安全生产许可证、专职安全员、特种人员作业上岗证；复核专项方案中的荷载计算书；复核地基处理的承载力、标高、平整度、排水等情况；复核支架的位置、间距、支构（件）的链接质量、扫地杆、支撑等的搭设情况是否符合设计要求；复核模板安装的位置、尺寸、标高等是否符合要求；复核支架预压的堆载顺序、重量、和预压时间、变形等情况是否符合设计要求；复核支架拆模前结构混凝土同条件试块强度试验报告是否达到拆模强度要求等</w:t>
      </w:r>
      <w:r>
        <w:rPr>
          <w:rFonts w:hint="eastAsia" w:ascii="Times New Roman" w:hAnsi="Times New Roman"/>
          <w:color w:val="000000"/>
          <w:spacing w:val="-2"/>
          <w:kern w:val="0"/>
          <w:sz w:val="24"/>
        </w:rPr>
        <w:t>。）</w:t>
      </w:r>
    </w:p>
    <w:p>
      <w:pPr>
        <w:spacing w:line="460" w:lineRule="exact"/>
        <w:rPr>
          <w:rFonts w:hint="eastAsia" w:ascii="Times New Roman"/>
          <w:b/>
          <w:color w:val="000000"/>
          <w:spacing w:val="-2"/>
          <w:sz w:val="24"/>
        </w:rPr>
      </w:pPr>
      <w:r>
        <w:rPr>
          <w:b/>
          <w:bCs/>
          <w:color w:val="000000"/>
          <w:spacing w:val="-2"/>
          <w:kern w:val="0"/>
          <w:sz w:val="24"/>
        </w:rPr>
        <w:t xml:space="preserve">7.3 </w:t>
      </w:r>
      <w:r>
        <w:rPr>
          <w:rFonts w:hint="eastAsia" w:ascii="Times New Roman" w:hAnsi="Times New Roman"/>
          <w:b/>
          <w:color w:val="000000"/>
          <w:spacing w:val="-2"/>
          <w:sz w:val="24"/>
        </w:rPr>
        <w:t>质量安全问题的处理方法：</w:t>
      </w:r>
      <w:r>
        <w:rPr>
          <w:rFonts w:hint="eastAsia" w:ascii="Times New Roman" w:hAnsi="Times New Roman"/>
          <w:color w:val="000000"/>
          <w:spacing w:val="-2"/>
          <w:sz w:val="24"/>
          <w:u w:val="single"/>
        </w:rPr>
        <w:t xml:space="preserve">                                         </w:t>
      </w:r>
      <w:r>
        <w:rPr>
          <w:rFonts w:hint="eastAsia" w:ascii="Times New Roman" w:hAnsi="Times New Roman"/>
          <w:b/>
          <w:color w:val="000000"/>
          <w:spacing w:val="-2"/>
          <w:sz w:val="24"/>
        </w:rPr>
        <w:t>。</w:t>
      </w:r>
    </w:p>
    <w:p>
      <w:pPr>
        <w:spacing w:line="460" w:lineRule="exact"/>
        <w:rPr>
          <w:rFonts w:hint="eastAsia" w:ascii="Times New Roman"/>
          <w:color w:val="000000"/>
          <w:spacing w:val="-2"/>
          <w:sz w:val="24"/>
        </w:rPr>
      </w:pPr>
      <w:r>
        <w:rPr>
          <w:rFonts w:hint="eastAsia" w:ascii="Times New Roman" w:hAnsi="Times New Roman"/>
          <w:color w:val="000000"/>
          <w:spacing w:val="-2"/>
          <w:sz w:val="24"/>
        </w:rPr>
        <w:t>（如对未按照经批准的专项施工方案实施，搭设、使用或拆除中出现的质量、安全问题，材料、构配件进场未经监理人员验收或验收不合格，支架搭设完成后未经检查验收而擅自进行预压或混凝土浇筑的监理工程师应及时下达监理工程师通知单、备忘录、停工令等，报告业主，必要时报告政府行政主管部门。监理工程师在日常的巡视检查过程中发现的一些较轻微的质量问题和安全隐患要及时要求施工单位进行现场整改并做好复查。）</w:t>
      </w:r>
    </w:p>
    <w:p>
      <w:pPr>
        <w:spacing w:line="460" w:lineRule="exact"/>
        <w:rPr>
          <w:rFonts w:hint="eastAsia" w:ascii="Times New Roman"/>
          <w:b/>
          <w:color w:val="000000"/>
          <w:spacing w:val="-2"/>
          <w:sz w:val="24"/>
        </w:rPr>
      </w:pPr>
      <w:r>
        <w:rPr>
          <w:b/>
          <w:bCs/>
          <w:color w:val="000000"/>
          <w:spacing w:val="-2"/>
          <w:kern w:val="0"/>
          <w:sz w:val="24"/>
        </w:rPr>
        <w:t xml:space="preserve">7.4 </w:t>
      </w:r>
      <w:r>
        <w:rPr>
          <w:rFonts w:hint="eastAsia" w:ascii="Times New Roman" w:hAnsi="Times New Roman"/>
          <w:b/>
          <w:color w:val="000000"/>
          <w:spacing w:val="-2"/>
          <w:sz w:val="24"/>
        </w:rPr>
        <w:t>旁站。</w:t>
      </w:r>
    </w:p>
    <w:p>
      <w:pPr>
        <w:spacing w:line="460" w:lineRule="exact"/>
        <w:rPr>
          <w:rFonts w:hint="eastAsia" w:ascii="Times New Roman"/>
          <w:color w:val="000000"/>
          <w:spacing w:val="-2"/>
          <w:u w:val="single"/>
        </w:rPr>
      </w:pPr>
      <w:r>
        <w:rPr>
          <w:rFonts w:hint="eastAsia" w:ascii="Times New Roman" w:hAnsi="Times New Roman"/>
          <w:color w:val="000000"/>
          <w:spacing w:val="-2"/>
          <w:sz w:val="24"/>
        </w:rPr>
        <w:t>本工程高支模工程监理旁站内容主要包括</w:t>
      </w:r>
      <w:r>
        <w:rPr>
          <w:rFonts w:hint="eastAsia" w:ascii="Times New Roman" w:hAnsi="Times New Roman"/>
          <w:color w:val="000000"/>
          <w:spacing w:val="-2"/>
        </w:rPr>
        <w:t>：</w:t>
      </w:r>
      <w:r>
        <w:rPr>
          <w:rFonts w:hint="eastAsia" w:ascii="Times New Roman" w:hAnsi="Times New Roman"/>
          <w:color w:val="000000"/>
          <w:spacing w:val="-2"/>
          <w:u w:val="single"/>
        </w:rPr>
        <w:t xml:space="preserve">        混凝土浇筑                 </w:t>
      </w:r>
      <w:r>
        <w:rPr>
          <w:rFonts w:hint="eastAsia" w:ascii="Times New Roman" w:hAnsi="Times New Roman"/>
          <w:color w:val="000000"/>
          <w:spacing w:val="-2"/>
        </w:rPr>
        <w:t>。</w:t>
      </w:r>
    </w:p>
    <w:p>
      <w:pPr>
        <w:spacing w:line="460" w:lineRule="exact"/>
        <w:jc w:val="left"/>
        <w:rPr>
          <w:rFonts w:hint="eastAsia" w:ascii="Times New Roman"/>
          <w:color w:val="000000"/>
          <w:spacing w:val="-2"/>
        </w:rPr>
      </w:pPr>
      <w:r>
        <w:rPr>
          <w:rFonts w:hint="eastAsia" w:ascii="Times New Roman" w:hAnsi="Times New Roman"/>
          <w:color w:val="000000"/>
          <w:spacing w:val="-2"/>
          <w:sz w:val="24"/>
        </w:rPr>
        <w:t>其他：</w:t>
      </w:r>
      <w:r>
        <w:rPr>
          <w:rFonts w:hint="eastAsia" w:ascii="Times New Roman" w:hAnsi="Times New Roman"/>
          <w:color w:val="000000"/>
          <w:spacing w:val="-2"/>
          <w:u w:val="single"/>
        </w:rPr>
        <w:t xml:space="preserve">                                                                        </w:t>
      </w:r>
      <w:r>
        <w:rPr>
          <w:rFonts w:hint="eastAsia" w:ascii="Times New Roman" w:hAnsi="Times New Roman"/>
          <w:color w:val="000000"/>
          <w:spacing w:val="-2"/>
        </w:rPr>
        <w:t>。</w:t>
      </w:r>
    </w:p>
    <w:p>
      <w:pPr>
        <w:spacing w:line="460" w:lineRule="exact"/>
        <w:rPr>
          <w:rFonts w:hint="eastAsia" w:ascii="Times New Roman"/>
          <w:color w:val="000000"/>
          <w:spacing w:val="-2"/>
          <w:sz w:val="24"/>
        </w:rPr>
      </w:pPr>
      <w:r>
        <w:rPr>
          <w:rFonts w:hint="eastAsia" w:ascii="Times New Roman" w:hAnsi="Times New Roman"/>
          <w:color w:val="000000"/>
          <w:spacing w:val="-2"/>
          <w:sz w:val="24"/>
        </w:rPr>
        <w:t>（注：应根据住建部的有关规定确定，监理人员在哪些部位旁站。）</w:t>
      </w:r>
    </w:p>
    <w:p>
      <w:pPr>
        <w:spacing w:line="460" w:lineRule="exact"/>
        <w:rPr>
          <w:rFonts w:hint="eastAsia" w:ascii="Times New Roman"/>
          <w:color w:val="000000"/>
          <w:spacing w:val="-2"/>
          <w:sz w:val="24"/>
        </w:rPr>
      </w:pPr>
      <w:r>
        <w:rPr>
          <w:b/>
          <w:bCs/>
          <w:color w:val="000000"/>
          <w:spacing w:val="-2"/>
          <w:kern w:val="0"/>
          <w:sz w:val="24"/>
        </w:rPr>
        <w:t xml:space="preserve">7.5 </w:t>
      </w:r>
      <w:r>
        <w:rPr>
          <w:rFonts w:hint="eastAsia" w:ascii="Times New Roman" w:hAnsi="Times New Roman"/>
          <w:b/>
          <w:color w:val="000000"/>
          <w:spacing w:val="-2"/>
          <w:sz w:val="24"/>
        </w:rPr>
        <w:t>巡视检查内容：</w:t>
      </w:r>
      <w:r>
        <w:rPr>
          <w:rFonts w:hint="eastAsia" w:ascii="Times New Roman" w:hAnsi="Times New Roman"/>
          <w:color w:val="000000"/>
          <w:spacing w:val="-2"/>
          <w:sz w:val="24"/>
          <w:u w:val="single"/>
        </w:rPr>
        <w:t xml:space="preserve">                                                  </w:t>
      </w:r>
      <w:r>
        <w:rPr>
          <w:rFonts w:hint="eastAsia" w:ascii="Times New Roman" w:hAnsi="Times New Roman"/>
          <w:color w:val="000000"/>
          <w:spacing w:val="-2"/>
          <w:sz w:val="24"/>
        </w:rPr>
        <w:t>。</w:t>
      </w:r>
    </w:p>
    <w:p>
      <w:pPr>
        <w:spacing w:line="460" w:lineRule="exact"/>
        <w:rPr>
          <w:rFonts w:hint="eastAsia"/>
          <w:color w:val="000000"/>
          <w:spacing w:val="-2"/>
          <w:sz w:val="24"/>
        </w:rPr>
      </w:pPr>
      <w:r>
        <w:rPr>
          <w:rFonts w:hint="eastAsia"/>
          <w:color w:val="000000"/>
          <w:spacing w:val="-2"/>
          <w:sz w:val="24"/>
        </w:rPr>
        <w:t>（如：</w:t>
      </w:r>
      <w:r>
        <w:rPr>
          <w:rFonts w:hint="eastAsia" w:ascii="Times New Roman" w:hAnsi="Times New Roman"/>
          <w:color w:val="000000"/>
          <w:spacing w:val="-2"/>
          <w:sz w:val="24"/>
        </w:rPr>
        <w:t>对现场安全警戒情况，施工顺序、方法，搭设质量情况，安全文明施工情况；施工人员安全防护齐备，有无违规违章作业；支架的扫地杆、斜撑、剪刀撑设置、对预压过程中的支架沉降和变形、稳定情况，混凝土浇筑过程中支架的变形、沉降、稳定等进行巡视检查</w:t>
      </w:r>
      <w:r>
        <w:rPr>
          <w:rFonts w:hint="eastAsia"/>
          <w:color w:val="000000"/>
          <w:spacing w:val="-2"/>
          <w:sz w:val="24"/>
        </w:rPr>
        <w:t>，发现其他及时处理。）</w:t>
      </w:r>
    </w:p>
    <w:p>
      <w:pPr>
        <w:spacing w:line="460" w:lineRule="exact"/>
        <w:rPr>
          <w:rFonts w:ascii="Times New Roman"/>
          <w:b/>
          <w:color w:val="000000"/>
          <w:spacing w:val="-2"/>
          <w:sz w:val="24"/>
        </w:rPr>
      </w:pPr>
      <w:r>
        <w:rPr>
          <w:b/>
          <w:bCs/>
          <w:color w:val="000000"/>
          <w:spacing w:val="-2"/>
          <w:kern w:val="0"/>
          <w:sz w:val="24"/>
        </w:rPr>
        <w:t xml:space="preserve">7.6 </w:t>
      </w:r>
      <w:r>
        <w:rPr>
          <w:rFonts w:hint="eastAsia" w:ascii="Times New Roman" w:hAnsi="Times New Roman"/>
          <w:b/>
          <w:color w:val="000000"/>
          <w:spacing w:val="-2"/>
          <w:sz w:val="24"/>
        </w:rPr>
        <w:t>现场协调方式：</w:t>
      </w:r>
      <w:r>
        <w:rPr>
          <w:rFonts w:hint="eastAsia" w:ascii="Times New Roman" w:hAnsi="Times New Roman"/>
          <w:b/>
          <w:color w:val="000000"/>
          <w:spacing w:val="-2"/>
          <w:sz w:val="24"/>
          <w:u w:val="single"/>
        </w:rPr>
        <w:t xml:space="preserve">                                                   </w:t>
      </w:r>
      <w:r>
        <w:rPr>
          <w:rFonts w:hint="eastAsia" w:ascii="Times New Roman" w:hAnsi="Times New Roman"/>
          <w:color w:val="000000"/>
          <w:spacing w:val="-2"/>
        </w:rPr>
        <w:t>。</w:t>
      </w:r>
    </w:p>
    <w:p>
      <w:pPr>
        <w:spacing w:line="460" w:lineRule="exact"/>
        <w:rPr>
          <w:rFonts w:hint="eastAsia"/>
          <w:color w:val="000000"/>
          <w:spacing w:val="-2"/>
          <w:sz w:val="24"/>
        </w:rPr>
      </w:pPr>
      <w:r>
        <w:rPr>
          <w:rFonts w:hint="eastAsia"/>
          <w:color w:val="000000"/>
          <w:spacing w:val="-2"/>
          <w:sz w:val="24"/>
        </w:rPr>
        <w:t>（如：组织现场协调会、工地例会、专题会议等。）</w:t>
      </w:r>
    </w:p>
    <w:p>
      <w:pPr>
        <w:spacing w:line="460" w:lineRule="exact"/>
        <w:rPr>
          <w:rFonts w:ascii="Times New Roman"/>
          <w:b/>
          <w:color w:val="000000"/>
          <w:spacing w:val="-2"/>
          <w:sz w:val="24"/>
        </w:rPr>
      </w:pPr>
      <w:r>
        <w:rPr>
          <w:b/>
          <w:bCs/>
          <w:color w:val="000000"/>
          <w:spacing w:val="-2"/>
          <w:kern w:val="0"/>
          <w:sz w:val="24"/>
        </w:rPr>
        <w:t xml:space="preserve">7.7 </w:t>
      </w:r>
      <w:r>
        <w:rPr>
          <w:rFonts w:hint="eastAsia" w:ascii="Times New Roman" w:hAnsi="Times New Roman"/>
          <w:b/>
          <w:color w:val="000000"/>
          <w:spacing w:val="-2"/>
          <w:sz w:val="24"/>
        </w:rPr>
        <w:t>其他监理方法：</w:t>
      </w:r>
      <w:r>
        <w:rPr>
          <w:rFonts w:hint="eastAsia" w:ascii="Times New Roman" w:hAnsi="Times New Roman"/>
          <w:b/>
          <w:color w:val="000000"/>
          <w:spacing w:val="-2"/>
          <w:sz w:val="24"/>
          <w:u w:val="single"/>
        </w:rPr>
        <w:t xml:space="preserve">                                                   </w:t>
      </w:r>
      <w:r>
        <w:rPr>
          <w:rFonts w:hint="eastAsia" w:ascii="Times New Roman" w:hAnsi="Times New Roman"/>
          <w:color w:val="000000"/>
          <w:spacing w:val="-2"/>
        </w:rPr>
        <w:t>。</w:t>
      </w:r>
      <w:r>
        <w:rPr>
          <w:rFonts w:hint="eastAsia" w:ascii="Times New Roman" w:hAnsi="Times New Roman"/>
          <w:b/>
          <w:color w:val="000000"/>
          <w:spacing w:val="-2"/>
          <w:sz w:val="24"/>
        </w:rPr>
        <w:t xml:space="preserve"> </w:t>
      </w:r>
    </w:p>
    <w:p>
      <w:pPr>
        <w:spacing w:line="460" w:lineRule="exact"/>
        <w:rPr>
          <w:rFonts w:hint="eastAsia" w:ascii="Times New Roman"/>
          <w:b/>
          <w:color w:val="000000"/>
          <w:spacing w:val="-2"/>
          <w:sz w:val="24"/>
        </w:rPr>
      </w:pPr>
      <w:r>
        <w:rPr>
          <w:b/>
          <w:bCs/>
          <w:color w:val="000000"/>
          <w:spacing w:val="-2"/>
          <w:kern w:val="0"/>
          <w:sz w:val="24"/>
        </w:rPr>
        <w:t xml:space="preserve">7.8 </w:t>
      </w:r>
      <w:r>
        <w:rPr>
          <w:rFonts w:hint="eastAsia" w:ascii="Times New Roman" w:hAnsi="Times New Roman"/>
          <w:b/>
          <w:color w:val="000000"/>
          <w:spacing w:val="-2"/>
          <w:sz w:val="24"/>
        </w:rPr>
        <w:t>验收。</w:t>
      </w:r>
    </w:p>
    <w:p>
      <w:pPr>
        <w:spacing w:line="460" w:lineRule="exact"/>
        <w:rPr>
          <w:rFonts w:hint="eastAsia"/>
          <w:b/>
          <w:bCs/>
          <w:color w:val="000000"/>
          <w:spacing w:val="-2"/>
          <w:kern w:val="0"/>
          <w:sz w:val="24"/>
        </w:rPr>
      </w:pPr>
      <w:r>
        <w:rPr>
          <w:b/>
          <w:bCs/>
          <w:color w:val="000000"/>
          <w:spacing w:val="-2"/>
          <w:kern w:val="0"/>
          <w:sz w:val="24"/>
        </w:rPr>
        <w:t xml:space="preserve">7.8.1 </w:t>
      </w:r>
      <w:r>
        <w:rPr>
          <w:rFonts w:hint="eastAsia"/>
          <w:b/>
          <w:bCs/>
          <w:color w:val="000000"/>
          <w:spacing w:val="-2"/>
          <w:kern w:val="0"/>
          <w:sz w:val="24"/>
        </w:rPr>
        <w:t>验收条件。</w:t>
      </w:r>
    </w:p>
    <w:p>
      <w:pPr>
        <w:spacing w:line="460" w:lineRule="exact"/>
        <w:rPr>
          <w:rFonts w:ascii="Times New Roman"/>
          <w:color w:val="000000"/>
          <w:spacing w:val="-2"/>
          <w:sz w:val="24"/>
        </w:rPr>
      </w:pPr>
      <w:r>
        <w:rPr>
          <w:b/>
          <w:bCs/>
          <w:color w:val="000000"/>
          <w:spacing w:val="-2"/>
          <w:kern w:val="0"/>
          <w:sz w:val="24"/>
        </w:rPr>
        <w:t xml:space="preserve">7.8.2 </w:t>
      </w:r>
      <w:r>
        <w:rPr>
          <w:rFonts w:hint="eastAsia"/>
          <w:b/>
          <w:bCs/>
          <w:color w:val="000000"/>
          <w:spacing w:val="-2"/>
          <w:kern w:val="0"/>
          <w:sz w:val="24"/>
        </w:rPr>
        <w:t>验收程序</w:t>
      </w:r>
      <w:r>
        <w:rPr>
          <w:rFonts w:hint="eastAsia" w:ascii="Times New Roman" w:hAnsi="Times New Roman"/>
          <w:color w:val="000000"/>
          <w:spacing w:val="-2"/>
          <w:sz w:val="24"/>
        </w:rPr>
        <w:t>。</w:t>
      </w:r>
    </w:p>
    <w:p>
      <w:pPr>
        <w:spacing w:line="460" w:lineRule="exact"/>
        <w:rPr>
          <w:rFonts w:hint="eastAsia"/>
          <w:color w:val="000000"/>
          <w:spacing w:val="-2"/>
        </w:rPr>
      </w:pPr>
      <w:r>
        <w:rPr>
          <w:b/>
          <w:bCs/>
          <w:color w:val="000000"/>
          <w:spacing w:val="-2"/>
          <w:kern w:val="0"/>
          <w:sz w:val="24"/>
        </w:rPr>
        <w:t xml:space="preserve">7.8.3 </w:t>
      </w:r>
      <w:r>
        <w:rPr>
          <w:rFonts w:hint="eastAsia"/>
          <w:b/>
          <w:bCs/>
          <w:color w:val="000000"/>
          <w:spacing w:val="-2"/>
          <w:kern w:val="0"/>
          <w:sz w:val="24"/>
        </w:rPr>
        <w:t>验收内容：</w:t>
      </w:r>
      <w:r>
        <w:rPr>
          <w:color w:val="000000"/>
          <w:spacing w:val="-2"/>
          <w:u w:val="single"/>
        </w:rPr>
        <w:t xml:space="preserve">                                                              </w:t>
      </w:r>
      <w:r>
        <w:rPr>
          <w:rFonts w:hint="eastAsia"/>
          <w:color w:val="000000"/>
          <w:spacing w:val="-2"/>
        </w:rPr>
        <w:t>。</w:t>
      </w:r>
    </w:p>
    <w:p>
      <w:pPr>
        <w:spacing w:line="460" w:lineRule="exact"/>
        <w:rPr>
          <w:rFonts w:ascii="Times New Roman"/>
          <w:b/>
          <w:color w:val="000000"/>
          <w:spacing w:val="-2"/>
          <w:sz w:val="24"/>
        </w:rPr>
      </w:pPr>
      <w:r>
        <w:rPr>
          <w:b/>
          <w:bCs/>
          <w:color w:val="000000"/>
          <w:spacing w:val="-2"/>
          <w:kern w:val="0"/>
          <w:sz w:val="24"/>
        </w:rPr>
        <w:t xml:space="preserve">7.9 </w:t>
      </w:r>
      <w:r>
        <w:rPr>
          <w:rFonts w:hint="eastAsia" w:ascii="Times New Roman" w:hAnsi="Times New Roman"/>
          <w:b/>
          <w:color w:val="000000"/>
          <w:spacing w:val="-2"/>
          <w:sz w:val="24"/>
        </w:rPr>
        <w:t>高支模工程履行监理法定职责的服务。</w:t>
      </w:r>
    </w:p>
    <w:p>
      <w:pPr>
        <w:spacing w:line="460" w:lineRule="exact"/>
        <w:rPr>
          <w:rFonts w:hint="eastAsia"/>
          <w:color w:val="000000"/>
          <w:spacing w:val="-2"/>
          <w:sz w:val="24"/>
          <w:u w:val="single"/>
        </w:rPr>
      </w:pPr>
      <w:r>
        <w:rPr>
          <w:b/>
          <w:bCs/>
          <w:color w:val="000000"/>
          <w:spacing w:val="-2"/>
          <w:kern w:val="0"/>
          <w:sz w:val="24"/>
        </w:rPr>
        <w:t xml:space="preserve">7.9.1 </w:t>
      </w:r>
      <w:r>
        <w:rPr>
          <w:rFonts w:hint="eastAsia" w:hAnsi="Times New Roman"/>
          <w:color w:val="000000"/>
          <w:spacing w:val="-2"/>
          <w:sz w:val="24"/>
        </w:rPr>
        <w:t>开工前的安全监督管理：</w:t>
      </w:r>
      <w:r>
        <w:rPr>
          <w:color w:val="000000"/>
          <w:spacing w:val="-2"/>
          <w:sz w:val="24"/>
          <w:u w:val="single"/>
        </w:rPr>
        <w:t xml:space="preserve">                                          </w:t>
      </w:r>
      <w:r>
        <w:rPr>
          <w:rFonts w:hint="eastAsia" w:hAnsi="Times New Roman"/>
          <w:color w:val="000000"/>
          <w:spacing w:val="-2"/>
          <w:sz w:val="24"/>
        </w:rPr>
        <w:t>。</w:t>
      </w:r>
    </w:p>
    <w:p>
      <w:pPr>
        <w:spacing w:line="460" w:lineRule="exact"/>
        <w:rPr>
          <w:color w:val="000000"/>
          <w:spacing w:val="-2"/>
          <w:sz w:val="24"/>
        </w:rPr>
      </w:pPr>
      <w:r>
        <w:rPr>
          <w:b/>
          <w:bCs/>
          <w:color w:val="000000"/>
          <w:spacing w:val="-2"/>
          <w:kern w:val="0"/>
          <w:sz w:val="24"/>
        </w:rPr>
        <w:t xml:space="preserve">7.9.2 </w:t>
      </w:r>
      <w:r>
        <w:rPr>
          <w:rFonts w:hint="eastAsia" w:hAnsi="Times New Roman"/>
          <w:color w:val="000000"/>
          <w:spacing w:val="-2"/>
          <w:sz w:val="24"/>
        </w:rPr>
        <w:t>施工过程中的安全监督管理：</w:t>
      </w:r>
      <w:r>
        <w:rPr>
          <w:color w:val="000000"/>
          <w:spacing w:val="-2"/>
          <w:sz w:val="24"/>
          <w:u w:val="single"/>
        </w:rPr>
        <w:t xml:space="preserve">                                      </w:t>
      </w:r>
      <w:r>
        <w:rPr>
          <w:rFonts w:hint="eastAsia" w:hAnsi="Times New Roman"/>
          <w:color w:val="000000"/>
          <w:spacing w:val="-2"/>
          <w:sz w:val="24"/>
        </w:rPr>
        <w:t>。</w:t>
      </w:r>
    </w:p>
    <w:p>
      <w:pPr>
        <w:spacing w:line="460" w:lineRule="exact"/>
        <w:rPr>
          <w:color w:val="000000"/>
          <w:spacing w:val="-2"/>
        </w:rPr>
      </w:pPr>
      <w:r>
        <w:rPr>
          <w:b/>
          <w:bCs/>
          <w:color w:val="000000"/>
          <w:spacing w:val="-2"/>
          <w:kern w:val="0"/>
          <w:sz w:val="24"/>
        </w:rPr>
        <w:t xml:space="preserve">7.9.3 </w:t>
      </w:r>
      <w:r>
        <w:rPr>
          <w:rFonts w:hint="eastAsia" w:hAnsi="Times New Roman"/>
          <w:color w:val="000000"/>
          <w:spacing w:val="-2"/>
          <w:sz w:val="24"/>
        </w:rPr>
        <w:t>安</w:t>
      </w:r>
      <w:r>
        <w:rPr>
          <w:rFonts w:hint="eastAsia" w:ascii="Times New Roman" w:hAnsi="Times New Roman"/>
          <w:color w:val="000000"/>
          <w:spacing w:val="-2"/>
          <w:sz w:val="24"/>
        </w:rPr>
        <w:t>全监测：</w:t>
      </w:r>
      <w:r>
        <w:rPr>
          <w:color w:val="000000"/>
          <w:spacing w:val="-2"/>
          <w:u w:val="single"/>
        </w:rPr>
        <w:t xml:space="preserve">                                                              </w:t>
      </w:r>
      <w:r>
        <w:rPr>
          <w:rFonts w:hint="eastAsia"/>
          <w:color w:val="000000"/>
          <w:spacing w:val="-2"/>
        </w:rPr>
        <w:t>。</w:t>
      </w:r>
      <w:r>
        <w:rPr>
          <w:color w:val="000000"/>
          <w:spacing w:val="-2"/>
        </w:rPr>
        <w:t xml:space="preserve"> </w:t>
      </w:r>
    </w:p>
    <w:p>
      <w:pPr>
        <w:spacing w:before="240" w:beforeLines="100" w:after="240" w:afterLines="100"/>
        <w:rPr>
          <w:b/>
          <w:color w:val="000000"/>
          <w:spacing w:val="-2"/>
          <w:sz w:val="28"/>
          <w:szCs w:val="28"/>
        </w:rPr>
      </w:pPr>
      <w:r>
        <w:rPr>
          <w:b/>
          <w:color w:val="000000"/>
          <w:spacing w:val="-2"/>
          <w:sz w:val="28"/>
          <w:szCs w:val="28"/>
        </w:rPr>
        <w:t xml:space="preserve">8 </w:t>
      </w:r>
      <w:r>
        <w:rPr>
          <w:rFonts w:hint="eastAsia"/>
          <w:b/>
          <w:color w:val="000000"/>
          <w:spacing w:val="-2"/>
          <w:sz w:val="28"/>
          <w:szCs w:val="28"/>
        </w:rPr>
        <w:t>表式：按建设行政主管部门规定用表：</w:t>
      </w:r>
      <w:r>
        <w:rPr>
          <w:color w:val="000000"/>
          <w:spacing w:val="-2"/>
          <w:sz w:val="28"/>
          <w:szCs w:val="28"/>
          <w:u w:val="single"/>
        </w:rPr>
        <w:t xml:space="preserve">                       </w:t>
      </w:r>
      <w:r>
        <w:rPr>
          <w:rFonts w:hint="eastAsia"/>
          <w:color w:val="000000"/>
          <w:spacing w:val="-2"/>
          <w:sz w:val="28"/>
          <w:szCs w:val="28"/>
        </w:rPr>
        <w:t>。</w:t>
      </w:r>
    </w:p>
    <w:p>
      <w:pPr>
        <w:spacing w:line="460" w:lineRule="exact"/>
        <w:jc w:val="left"/>
        <w:rPr>
          <w:color w:val="000000"/>
          <w:spacing w:val="-2"/>
        </w:rPr>
      </w:pPr>
      <w:r>
        <w:rPr>
          <w:rFonts w:hint="eastAsia"/>
          <w:color w:val="000000"/>
          <w:spacing w:val="-2"/>
          <w:sz w:val="24"/>
        </w:rPr>
        <w:t>（</w:t>
      </w:r>
      <w:r>
        <w:rPr>
          <w:rFonts w:hint="eastAsia" w:ascii="Times New Roman" w:hAnsi="Times New Roman"/>
          <w:color w:val="000000"/>
          <w:spacing w:val="-2"/>
          <w:sz w:val="24"/>
        </w:rPr>
        <w:t>如施工安全生产管理体系报审表A3.2，分包单位资质报审表A3.6，施工安全专项方案报审表A3.9等。）</w:t>
      </w:r>
    </w:p>
    <w:p>
      <w:pPr>
        <w:rPr>
          <w:color w:val="000000"/>
          <w:spacing w:val="-2"/>
        </w:rPr>
      </w:pPr>
    </w:p>
    <w:p>
      <w:pPr>
        <w:rPr>
          <w:rFonts w:eastAsia="黑体"/>
          <w:color w:val="000000"/>
          <w:sz w:val="28"/>
          <w:szCs w:val="28"/>
        </w:rPr>
      </w:pPr>
      <w:r>
        <w:rPr>
          <w:color w:val="000000"/>
          <w:spacing w:val="-2"/>
        </w:rPr>
        <w:br w:type="column"/>
      </w:r>
      <w:r>
        <w:rPr>
          <w:rFonts w:hint="eastAsia" w:eastAsia="黑体"/>
          <w:color w:val="000000"/>
          <w:sz w:val="28"/>
          <w:szCs w:val="28"/>
        </w:rPr>
        <w:t>附件</w:t>
      </w:r>
      <w:r>
        <w:rPr>
          <w:rFonts w:eastAsia="黑体"/>
          <w:color w:val="000000"/>
          <w:sz w:val="28"/>
          <w:szCs w:val="28"/>
        </w:rPr>
        <w:t>2</w:t>
      </w:r>
      <w:r>
        <w:rPr>
          <w:rFonts w:hint="eastAsia" w:eastAsia="黑体"/>
          <w:color w:val="000000"/>
          <w:sz w:val="28"/>
          <w:szCs w:val="28"/>
        </w:rPr>
        <w:t>：</w:t>
      </w:r>
    </w:p>
    <w:p>
      <w:pPr>
        <w:rPr>
          <w:rFonts w:eastAsia="黑体"/>
          <w:b/>
          <w:color w:val="000000"/>
          <w:sz w:val="28"/>
          <w:szCs w:val="28"/>
        </w:rPr>
      </w:pPr>
    </w:p>
    <w:p>
      <w:pPr>
        <w:jc w:val="right"/>
        <w:rPr>
          <w:rFonts w:eastAsia="黑体"/>
          <w:b/>
          <w:sz w:val="28"/>
          <w:szCs w:val="28"/>
        </w:rPr>
      </w:pPr>
      <w:r>
        <w:rPr>
          <w:rFonts w:eastAsia="黑体"/>
          <w:b/>
          <w:sz w:val="28"/>
          <w:szCs w:val="28"/>
        </w:rPr>
        <w:t>B13</w:t>
      </w:r>
    </w:p>
    <w:p>
      <w:pPr>
        <w:jc w:val="right"/>
        <w:rPr>
          <w:rFonts w:eastAsia="黑体"/>
          <w:b/>
          <w:sz w:val="28"/>
          <w:szCs w:val="28"/>
        </w:rPr>
      </w:pPr>
    </w:p>
    <w:p>
      <w:pPr>
        <w:spacing w:after="480"/>
        <w:jc w:val="center"/>
        <w:rPr>
          <w:rFonts w:ascii="Times New Roman"/>
          <w:color w:val="000000"/>
          <w:spacing w:val="-2"/>
          <w:sz w:val="36"/>
        </w:rPr>
      </w:pPr>
      <w:r>
        <w:rPr>
          <w:rFonts w:hint="eastAsia" w:ascii="Times New Roman" w:hAnsi="Times New Roman"/>
          <w:color w:val="000000"/>
          <w:spacing w:val="-2"/>
          <w:sz w:val="36"/>
          <w:u w:val="single"/>
        </w:rPr>
        <w:t>　　　　　　　　　　　　　</w:t>
      </w:r>
      <w:r>
        <w:rPr>
          <w:rFonts w:hint="eastAsia" w:ascii="Times New Roman" w:hAnsi="Times New Roman"/>
          <w:color w:val="000000"/>
          <w:spacing w:val="-2"/>
          <w:sz w:val="36"/>
        </w:rPr>
        <w:t>工程</w:t>
      </w:r>
    </w:p>
    <w:p>
      <w:pPr>
        <w:spacing w:after="120"/>
        <w:jc w:val="center"/>
        <w:rPr>
          <w:rFonts w:hint="eastAsia" w:ascii="Times New Roman"/>
          <w:b/>
          <w:color w:val="000000"/>
          <w:spacing w:val="-2"/>
          <w:sz w:val="36"/>
          <w:szCs w:val="36"/>
          <w14:shadow w14:blurRad="50800" w14:dist="38100" w14:dir="2700000" w14:sx="100000" w14:sy="100000" w14:kx="0" w14:ky="0" w14:algn="tl">
            <w14:srgbClr w14:val="000000">
              <w14:alpha w14:val="60000"/>
            </w14:srgbClr>
          </w14:shadow>
        </w:rPr>
      </w:pPr>
      <w:r>
        <w:rPr>
          <w:rFonts w:hint="eastAsia" w:ascii="Times New Roman" w:hAnsi="Times New Roman"/>
          <w:b/>
          <w:color w:val="000000"/>
          <w:spacing w:val="-2"/>
          <w:sz w:val="36"/>
          <w:szCs w:val="36"/>
          <w14:shadow w14:blurRad="50800" w14:dist="38100" w14:dir="2700000" w14:sx="100000" w14:sy="100000" w14:kx="0" w14:ky="0" w14:algn="tl">
            <w14:srgbClr w14:val="000000">
              <w14:alpha w14:val="60000"/>
            </w14:srgbClr>
          </w14:shadow>
        </w:rPr>
        <w:t>监理实施细则</w:t>
      </w:r>
    </w:p>
    <w:p>
      <w:pPr>
        <w:jc w:val="center"/>
        <w:rPr>
          <w:rFonts w:hint="eastAsia" w:ascii="Times New Roman"/>
          <w:b/>
          <w:color w:val="000000"/>
          <w:spacing w:val="-2"/>
          <w:sz w:val="48"/>
        </w:rPr>
      </w:pPr>
      <w:r>
        <w:rPr>
          <w:rFonts w:hint="eastAsia" w:ascii="Times New Roman" w:hAnsi="Times New Roman"/>
          <w:b/>
          <w:color w:val="000000"/>
          <w:spacing w:val="-2"/>
          <w:sz w:val="48"/>
        </w:rPr>
        <w:t>（扣件式钢管脚手架搭设、拆除工程）</w:t>
      </w:r>
    </w:p>
    <w:p>
      <w:pPr>
        <w:jc w:val="center"/>
        <w:rPr>
          <w:rFonts w:hint="eastAsia" w:ascii="Times New Roman"/>
          <w:b/>
          <w:color w:val="000000"/>
          <w:spacing w:val="-2"/>
          <w:sz w:val="48"/>
        </w:rPr>
      </w:pPr>
      <w:r>
        <w:rPr>
          <w:rFonts w:hint="eastAsia" w:ascii="Times New Roman" w:hAnsi="Times New Roman"/>
          <w:b/>
          <w:color w:val="000000"/>
          <w:spacing w:val="-2"/>
          <w:sz w:val="48"/>
        </w:rPr>
        <w:t>（标准化格式文本）</w:t>
      </w:r>
    </w:p>
    <w:p>
      <w:pPr>
        <w:spacing w:line="460" w:lineRule="exact"/>
        <w:jc w:val="center"/>
        <w:rPr>
          <w:rFonts w:hint="eastAsia" w:ascii="Times New Roman" w:hAnsi="Times New Roman"/>
          <w:b/>
          <w:color w:val="000000"/>
          <w:spacing w:val="-2"/>
          <w:sz w:val="28"/>
        </w:rPr>
      </w:pPr>
    </w:p>
    <w:p>
      <w:pPr>
        <w:spacing w:line="460" w:lineRule="exact"/>
        <w:ind w:firstLine="2893" w:firstLineChars="1044"/>
        <w:rPr>
          <w:rFonts w:hint="eastAsia" w:ascii="Times New Roman"/>
          <w:b/>
          <w:color w:val="000000"/>
          <w:spacing w:val="-2"/>
          <w:sz w:val="28"/>
        </w:rPr>
      </w:pPr>
      <w:r>
        <w:rPr>
          <w:rFonts w:hint="eastAsia" w:ascii="Times New Roman" w:hAnsi="Times New Roman"/>
          <w:b/>
          <w:color w:val="000000"/>
          <w:spacing w:val="-2"/>
          <w:sz w:val="28"/>
        </w:rPr>
        <w:t>内容提要：</w:t>
      </w:r>
    </w:p>
    <w:p>
      <w:pPr>
        <w:spacing w:line="460" w:lineRule="exact"/>
        <w:ind w:firstLine="2898" w:firstLineChars="1050"/>
        <w:rPr>
          <w:rFonts w:hint="eastAsia"/>
          <w:color w:val="000000"/>
          <w:spacing w:val="-2"/>
          <w:sz w:val="28"/>
        </w:rPr>
      </w:pPr>
      <w:r>
        <w:rPr>
          <w:rFonts w:hint="eastAsia"/>
          <w:color w:val="000000"/>
          <w:spacing w:val="-2"/>
          <w:sz w:val="28"/>
        </w:rPr>
        <w:t>工程及脚手架搭设、拆除概况</w:t>
      </w:r>
    </w:p>
    <w:p>
      <w:pPr>
        <w:spacing w:line="460" w:lineRule="exact"/>
        <w:ind w:firstLine="2898" w:firstLineChars="1050"/>
        <w:rPr>
          <w:color w:val="000000"/>
          <w:spacing w:val="-2"/>
          <w:sz w:val="28"/>
        </w:rPr>
      </w:pPr>
      <w:r>
        <w:rPr>
          <w:rFonts w:hint="eastAsia"/>
          <w:color w:val="000000"/>
          <w:spacing w:val="-2"/>
          <w:sz w:val="28"/>
        </w:rPr>
        <w:t>脚手架搭设、拆除重点、难点</w:t>
      </w:r>
    </w:p>
    <w:p>
      <w:pPr>
        <w:spacing w:line="460" w:lineRule="exact"/>
        <w:ind w:firstLine="2898" w:firstLineChars="1050"/>
        <w:rPr>
          <w:color w:val="000000"/>
          <w:spacing w:val="-2"/>
          <w:sz w:val="28"/>
        </w:rPr>
      </w:pPr>
      <w:r>
        <w:rPr>
          <w:rFonts w:hint="eastAsia"/>
          <w:color w:val="000000"/>
          <w:spacing w:val="-2"/>
          <w:sz w:val="28"/>
        </w:rPr>
        <w:t>监理工作依据</w:t>
      </w:r>
    </w:p>
    <w:p>
      <w:pPr>
        <w:spacing w:line="460" w:lineRule="exact"/>
        <w:ind w:firstLine="2898" w:firstLineChars="1050"/>
        <w:rPr>
          <w:color w:val="000000"/>
          <w:spacing w:val="-2"/>
          <w:sz w:val="28"/>
        </w:rPr>
      </w:pPr>
      <w:r>
        <w:rPr>
          <w:rFonts w:hint="eastAsia"/>
          <w:color w:val="000000"/>
          <w:spacing w:val="-2"/>
          <w:sz w:val="28"/>
        </w:rPr>
        <w:t>监理组织机构</w:t>
      </w:r>
    </w:p>
    <w:p>
      <w:pPr>
        <w:spacing w:line="460" w:lineRule="exact"/>
        <w:ind w:firstLine="2898" w:firstLineChars="1050"/>
        <w:rPr>
          <w:color w:val="000000"/>
          <w:spacing w:val="-2"/>
          <w:sz w:val="28"/>
        </w:rPr>
      </w:pPr>
      <w:r>
        <w:rPr>
          <w:rFonts w:hint="eastAsia"/>
          <w:color w:val="000000"/>
          <w:spacing w:val="-2"/>
          <w:sz w:val="28"/>
        </w:rPr>
        <w:t>监理工作流程</w:t>
      </w:r>
    </w:p>
    <w:p>
      <w:pPr>
        <w:spacing w:line="460" w:lineRule="exact"/>
        <w:ind w:firstLine="2889" w:firstLineChars="1047"/>
        <w:rPr>
          <w:color w:val="000000"/>
          <w:spacing w:val="-2"/>
          <w:sz w:val="28"/>
        </w:rPr>
      </w:pPr>
      <w:r>
        <w:rPr>
          <w:rFonts w:hint="eastAsia"/>
          <w:color w:val="000000"/>
          <w:spacing w:val="-2"/>
          <w:sz w:val="28"/>
        </w:rPr>
        <w:t>监理工作的目标及要点</w:t>
      </w:r>
    </w:p>
    <w:p>
      <w:pPr>
        <w:spacing w:line="460" w:lineRule="exact"/>
        <w:ind w:firstLine="2889" w:firstLineChars="1047"/>
        <w:rPr>
          <w:color w:val="000000"/>
          <w:spacing w:val="-2"/>
          <w:sz w:val="28"/>
        </w:rPr>
      </w:pPr>
      <w:r>
        <w:rPr>
          <w:rFonts w:hint="eastAsia"/>
          <w:color w:val="000000"/>
          <w:spacing w:val="-2"/>
          <w:sz w:val="28"/>
        </w:rPr>
        <w:t>监理工作的方法及措施</w:t>
      </w:r>
    </w:p>
    <w:p>
      <w:pPr>
        <w:spacing w:line="460" w:lineRule="exact"/>
        <w:ind w:firstLine="2889" w:firstLineChars="1047"/>
        <w:rPr>
          <w:color w:val="000000"/>
          <w:spacing w:val="-2"/>
          <w:sz w:val="28"/>
        </w:rPr>
      </w:pPr>
    </w:p>
    <w:p>
      <w:pPr>
        <w:spacing w:line="460" w:lineRule="exact"/>
        <w:ind w:firstLine="2889" w:firstLineChars="1047"/>
        <w:rPr>
          <w:color w:val="000000"/>
          <w:spacing w:val="-2"/>
          <w:sz w:val="28"/>
        </w:rPr>
      </w:pPr>
    </w:p>
    <w:p>
      <w:pPr>
        <w:rPr>
          <w:rFonts w:ascii="Times New Roman"/>
          <w:b/>
          <w:color w:val="000000"/>
          <w:spacing w:val="-2"/>
          <w:sz w:val="28"/>
          <w:u w:val="single"/>
        </w:rPr>
      </w:pPr>
      <w:r>
        <w:rPr>
          <w:rFonts w:hint="eastAsia" w:ascii="Times New Roman"/>
          <w:b/>
          <w:color w:val="000000"/>
          <w:spacing w:val="-2"/>
          <w:sz w:val="28"/>
        </w:rPr>
        <w:t xml:space="preserve">           项目监理机构（章）：</w:t>
      </w:r>
      <w:r>
        <w:rPr>
          <w:rFonts w:hint="eastAsia" w:ascii="Times New Roman"/>
          <w:b/>
          <w:color w:val="000000"/>
          <w:spacing w:val="-2"/>
          <w:sz w:val="28"/>
          <w:u w:val="single"/>
        </w:rPr>
        <w:t>　　　　　　　　</w:t>
      </w:r>
    </w:p>
    <w:p>
      <w:pPr>
        <w:rPr>
          <w:rFonts w:hint="eastAsia" w:ascii="Times New Roman"/>
          <w:b/>
          <w:color w:val="000000"/>
          <w:spacing w:val="-2"/>
          <w:sz w:val="28"/>
          <w:u w:val="single"/>
        </w:rPr>
      </w:pPr>
      <w:r>
        <w:rPr>
          <w:rFonts w:hint="eastAsia" w:ascii="Times New Roman"/>
          <w:b/>
          <w:color w:val="000000"/>
          <w:spacing w:val="-2"/>
          <w:sz w:val="28"/>
        </w:rPr>
        <w:t xml:space="preserve">           专业监理工程师：</w:t>
      </w:r>
      <w:r>
        <w:rPr>
          <w:rFonts w:hint="eastAsia" w:ascii="Times New Roman"/>
          <w:b/>
          <w:color w:val="000000"/>
          <w:spacing w:val="-2"/>
          <w:sz w:val="28"/>
          <w:u w:val="single"/>
        </w:rPr>
        <w:t xml:space="preserve">                   </w:t>
      </w:r>
    </w:p>
    <w:p>
      <w:pPr>
        <w:rPr>
          <w:rFonts w:hint="eastAsia" w:ascii="Times New Roman" w:eastAsia="微软简标宋"/>
          <w:b/>
          <w:color w:val="000000"/>
          <w:spacing w:val="-2"/>
          <w:sz w:val="28"/>
          <w:u w:val="single"/>
        </w:rPr>
      </w:pPr>
      <w:r>
        <w:rPr>
          <w:rFonts w:hint="eastAsia" w:ascii="Times New Roman"/>
          <w:b/>
          <w:color w:val="000000"/>
          <w:spacing w:val="-2"/>
          <w:sz w:val="28"/>
        </w:rPr>
        <w:t xml:space="preserve">           总监理工程师：</w:t>
      </w:r>
      <w:r>
        <w:rPr>
          <w:rFonts w:hint="eastAsia" w:ascii="Times New Roman"/>
          <w:b/>
          <w:color w:val="000000"/>
          <w:spacing w:val="-2"/>
          <w:sz w:val="28"/>
          <w:u w:val="single"/>
        </w:rPr>
        <w:t>　　　　　 　　 　 　</w:t>
      </w:r>
    </w:p>
    <w:p>
      <w:pPr>
        <w:spacing w:after="480"/>
        <w:ind w:firstLine="1541" w:firstLineChars="556"/>
        <w:rPr>
          <w:rFonts w:hint="eastAsia"/>
          <w:b/>
          <w:color w:val="000000"/>
          <w:spacing w:val="-2"/>
          <w:sz w:val="28"/>
          <w:u w:val="single"/>
        </w:rPr>
      </w:pPr>
      <w:r>
        <w:rPr>
          <w:rFonts w:hint="eastAsia"/>
          <w:b/>
          <w:color w:val="000000"/>
          <w:spacing w:val="-2"/>
          <w:sz w:val="28"/>
        </w:rPr>
        <w:t>日期：</w:t>
      </w:r>
      <w:r>
        <w:rPr>
          <w:rFonts w:hint="eastAsia"/>
          <w:b/>
          <w:color w:val="000000"/>
          <w:spacing w:val="-2"/>
          <w:sz w:val="28"/>
          <w:u w:val="single"/>
        </w:rPr>
        <w:t>　</w:t>
      </w:r>
      <w:r>
        <w:rPr>
          <w:b/>
          <w:color w:val="000000"/>
          <w:spacing w:val="-2"/>
          <w:sz w:val="28"/>
          <w:u w:val="single"/>
        </w:rPr>
        <w:t xml:space="preserve">        </w:t>
      </w:r>
      <w:r>
        <w:rPr>
          <w:rFonts w:hint="eastAsia"/>
          <w:b/>
          <w:color w:val="000000"/>
          <w:spacing w:val="-2"/>
          <w:sz w:val="28"/>
          <w:u w:val="single"/>
        </w:rPr>
        <w:t>　　　　　</w:t>
      </w:r>
      <w:r>
        <w:rPr>
          <w:b/>
          <w:color w:val="000000"/>
          <w:spacing w:val="-2"/>
          <w:sz w:val="28"/>
          <w:u w:val="single"/>
        </w:rPr>
        <w:t xml:space="preserve"> </w:t>
      </w:r>
      <w:r>
        <w:rPr>
          <w:rFonts w:hint="eastAsia"/>
          <w:b/>
          <w:color w:val="000000"/>
          <w:spacing w:val="-2"/>
          <w:sz w:val="28"/>
          <w:u w:val="single"/>
        </w:rPr>
        <w:t>　</w:t>
      </w:r>
      <w:r>
        <w:rPr>
          <w:b/>
          <w:color w:val="000000"/>
          <w:spacing w:val="-2"/>
          <w:sz w:val="28"/>
          <w:u w:val="single"/>
        </w:rPr>
        <w:t xml:space="preserve"> </w:t>
      </w:r>
      <w:r>
        <w:rPr>
          <w:rFonts w:hint="eastAsia"/>
          <w:b/>
          <w:color w:val="000000"/>
          <w:spacing w:val="-2"/>
          <w:sz w:val="28"/>
          <w:u w:val="single"/>
        </w:rPr>
        <w:t>　　</w:t>
      </w:r>
      <w:r>
        <w:rPr>
          <w:b/>
          <w:color w:val="000000"/>
          <w:spacing w:val="-2"/>
          <w:sz w:val="28"/>
          <w:u w:val="single"/>
        </w:rPr>
        <w:t xml:space="preserve"> </w:t>
      </w:r>
    </w:p>
    <w:p>
      <w:pPr>
        <w:jc w:val="center"/>
        <w:rPr>
          <w:rFonts w:ascii="Times New Roman" w:eastAsia="隶书"/>
          <w:color w:val="000000"/>
          <w:spacing w:val="-2"/>
          <w:sz w:val="28"/>
        </w:rPr>
      </w:pPr>
    </w:p>
    <w:p>
      <w:pPr>
        <w:jc w:val="center"/>
        <w:rPr>
          <w:rFonts w:hint="eastAsia" w:ascii="Times New Roman" w:eastAsia="隶书"/>
          <w:color w:val="000000"/>
          <w:spacing w:val="-2"/>
          <w:sz w:val="28"/>
        </w:rPr>
      </w:pPr>
    </w:p>
    <w:p>
      <w:pPr>
        <w:jc w:val="center"/>
        <w:rPr>
          <w:rFonts w:hint="eastAsia" w:ascii="Times New Roman" w:eastAsia="隶书"/>
          <w:color w:val="000000"/>
          <w:spacing w:val="-2"/>
          <w:sz w:val="28"/>
        </w:rPr>
      </w:pPr>
    </w:p>
    <w:p>
      <w:pPr>
        <w:jc w:val="center"/>
        <w:rPr>
          <w:rFonts w:hint="eastAsia" w:ascii="Times New Roman" w:eastAsia="隶书"/>
          <w:color w:val="000000"/>
          <w:spacing w:val="-2"/>
          <w:sz w:val="28"/>
        </w:rPr>
      </w:pPr>
    </w:p>
    <w:p>
      <w:pPr>
        <w:jc w:val="center"/>
        <w:rPr>
          <w:rFonts w:hint="eastAsia" w:ascii="Times New Roman" w:eastAsia="隶书"/>
          <w:color w:val="000000"/>
          <w:spacing w:val="-2"/>
          <w:sz w:val="28"/>
        </w:rPr>
      </w:pPr>
      <w:r>
        <w:rPr>
          <w:rFonts w:hint="eastAsia" w:ascii="Times New Roman" w:eastAsia="隶书"/>
          <w:color w:val="000000"/>
          <w:spacing w:val="-2"/>
          <w:sz w:val="28"/>
        </w:rPr>
        <w:t>江苏省住房与城乡建设厅监制</w:t>
      </w:r>
    </w:p>
    <w:p>
      <w:pPr>
        <w:jc w:val="center"/>
        <w:rPr>
          <w:rFonts w:hint="eastAsia" w:ascii="Times New Roman" w:eastAsia="隶书"/>
          <w:color w:val="000000"/>
          <w:spacing w:val="-2"/>
          <w:sz w:val="28"/>
        </w:rPr>
      </w:pPr>
    </w:p>
    <w:p>
      <w:pPr>
        <w:jc w:val="center"/>
        <w:rPr>
          <w:rFonts w:hint="eastAsia" w:ascii="Times New Roman"/>
          <w:b/>
          <w:color w:val="000000"/>
          <w:spacing w:val="-2"/>
          <w:sz w:val="32"/>
          <w:szCs w:val="32"/>
        </w:rPr>
      </w:pPr>
      <w:r>
        <w:rPr>
          <w:rFonts w:hint="eastAsia" w:ascii="Times New Roman"/>
          <w:b/>
          <w:color w:val="000000"/>
          <w:spacing w:val="-2"/>
          <w:sz w:val="32"/>
          <w:szCs w:val="32"/>
        </w:rPr>
        <w:br w:type="column"/>
      </w:r>
    </w:p>
    <w:p>
      <w:pPr>
        <w:jc w:val="center"/>
        <w:rPr>
          <w:rFonts w:hint="eastAsia" w:ascii="Times New Roman" w:eastAsia="方正小标宋简体"/>
          <w:color w:val="000000"/>
          <w:spacing w:val="-2"/>
          <w:sz w:val="36"/>
          <w:szCs w:val="36"/>
        </w:rPr>
      </w:pPr>
      <w:r>
        <w:rPr>
          <w:rFonts w:hint="eastAsia" w:ascii="Times New Roman" w:hAnsi="Times New Roman" w:eastAsia="方正小标宋简体"/>
          <w:color w:val="000000"/>
          <w:spacing w:val="-2"/>
          <w:sz w:val="36"/>
          <w:szCs w:val="36"/>
        </w:rPr>
        <w:t>扣件式钢管脚手架搭设、拆除工程</w:t>
      </w:r>
    </w:p>
    <w:p>
      <w:pPr>
        <w:jc w:val="center"/>
        <w:rPr>
          <w:rFonts w:hint="eastAsia" w:ascii="Times New Roman" w:hAnsi="Times New Roman" w:eastAsia="方正小标宋简体"/>
          <w:color w:val="000000"/>
          <w:spacing w:val="-2"/>
          <w:sz w:val="36"/>
          <w:szCs w:val="36"/>
        </w:rPr>
      </w:pPr>
      <w:r>
        <w:rPr>
          <w:rFonts w:hint="eastAsia" w:ascii="Times New Roman" w:hAnsi="Times New Roman" w:eastAsia="方正小标宋简体"/>
          <w:color w:val="000000"/>
          <w:spacing w:val="-2"/>
          <w:sz w:val="36"/>
          <w:szCs w:val="36"/>
        </w:rPr>
        <w:t>监理实施细则</w:t>
      </w:r>
    </w:p>
    <w:p>
      <w:pPr>
        <w:spacing w:before="240" w:beforeLines="100" w:after="240" w:afterLines="100"/>
        <w:rPr>
          <w:rFonts w:hint="eastAsia"/>
          <w:b/>
          <w:color w:val="000000"/>
          <w:spacing w:val="-2"/>
          <w:sz w:val="28"/>
          <w:szCs w:val="28"/>
        </w:rPr>
      </w:pPr>
      <w:r>
        <w:rPr>
          <w:b/>
          <w:color w:val="000000"/>
          <w:spacing w:val="-2"/>
          <w:sz w:val="28"/>
          <w:szCs w:val="28"/>
        </w:rPr>
        <w:t xml:space="preserve">1 </w:t>
      </w:r>
      <w:r>
        <w:rPr>
          <w:rFonts w:hint="eastAsia"/>
          <w:b/>
          <w:color w:val="000000"/>
          <w:spacing w:val="-2"/>
          <w:sz w:val="28"/>
          <w:szCs w:val="28"/>
        </w:rPr>
        <w:t>工程概况</w:t>
      </w:r>
    </w:p>
    <w:p>
      <w:pPr>
        <w:spacing w:line="420" w:lineRule="exact"/>
        <w:rPr>
          <w:rFonts w:ascii="Times New Roman"/>
          <w:b/>
          <w:color w:val="000000"/>
          <w:spacing w:val="-2"/>
          <w:sz w:val="24"/>
        </w:rPr>
      </w:pPr>
      <w:r>
        <w:rPr>
          <w:b/>
          <w:color w:val="000000"/>
          <w:spacing w:val="-2"/>
          <w:sz w:val="24"/>
        </w:rPr>
        <w:t>1.1</w:t>
      </w:r>
      <w:r>
        <w:rPr>
          <w:rFonts w:hint="eastAsia" w:ascii="Times New Roman" w:hAnsi="Times New Roman"/>
          <w:b/>
          <w:color w:val="000000"/>
          <w:spacing w:val="-2"/>
          <w:sz w:val="24"/>
        </w:rPr>
        <w:t xml:space="preserve"> 工程概况：（简述建筑面积、高度、层高、结构形式等）</w:t>
      </w:r>
    </w:p>
    <w:p>
      <w:pPr>
        <w:spacing w:line="420" w:lineRule="exact"/>
        <w:rPr>
          <w:rFonts w:hint="eastAsia" w:ascii="Times New Roman"/>
          <w:b/>
          <w:color w:val="000000"/>
          <w:spacing w:val="-2"/>
          <w:sz w:val="24"/>
        </w:rPr>
      </w:pPr>
      <w:r>
        <w:rPr>
          <w:b/>
          <w:color w:val="000000"/>
          <w:spacing w:val="-2"/>
          <w:sz w:val="24"/>
        </w:rPr>
        <w:t>1.2</w:t>
      </w:r>
      <w:r>
        <w:rPr>
          <w:rFonts w:hint="eastAsia" w:ascii="Times New Roman" w:hAnsi="Times New Roman"/>
          <w:b/>
          <w:color w:val="000000"/>
          <w:spacing w:val="-2"/>
          <w:sz w:val="24"/>
        </w:rPr>
        <w:t xml:space="preserve"> 脚手架搭设、拆除概况：</w:t>
      </w:r>
    </w:p>
    <w:p>
      <w:pPr>
        <w:spacing w:line="420" w:lineRule="exact"/>
        <w:rPr>
          <w:rFonts w:hint="eastAsia" w:ascii="Times New Roman"/>
          <w:color w:val="000000"/>
          <w:spacing w:val="-2"/>
          <w:sz w:val="24"/>
        </w:rPr>
      </w:pPr>
      <w:r>
        <w:rPr>
          <w:b/>
          <w:color w:val="000000"/>
          <w:spacing w:val="-2"/>
          <w:sz w:val="24"/>
        </w:rPr>
        <w:t>1.2.1</w:t>
      </w:r>
      <w:r>
        <w:rPr>
          <w:rFonts w:hint="eastAsia" w:ascii="Times New Roman" w:hAnsi="Times New Roman"/>
          <w:color w:val="000000"/>
          <w:spacing w:val="-2"/>
          <w:sz w:val="24"/>
        </w:rPr>
        <w:t xml:space="preserve"> 拟搭设、拆除的脚手架型式：</w:t>
      </w:r>
    </w:p>
    <w:p>
      <w:pPr>
        <w:spacing w:line="420" w:lineRule="exact"/>
        <w:rPr>
          <w:rFonts w:hint="eastAsia" w:ascii="Times New Roman"/>
          <w:color w:val="000000"/>
          <w:spacing w:val="-2"/>
          <w:sz w:val="24"/>
        </w:rPr>
      </w:pPr>
      <w:r>
        <w:rPr>
          <w:rFonts w:hint="eastAsia" w:ascii="Times New Roman" w:hAnsi="Times New Roman"/>
          <w:color w:val="000000"/>
          <w:spacing w:val="-2"/>
          <w:sz w:val="24"/>
        </w:rPr>
        <w:t>□单排钢管脚手架                       □开口型</w:t>
      </w:r>
    </w:p>
    <w:p>
      <w:pPr>
        <w:spacing w:line="420" w:lineRule="exact"/>
        <w:rPr>
          <w:rFonts w:hint="eastAsia" w:ascii="Times New Roman"/>
          <w:color w:val="000000"/>
          <w:spacing w:val="-2"/>
          <w:sz w:val="24"/>
        </w:rPr>
      </w:pPr>
      <w:r>
        <w:rPr>
          <w:rFonts w:hint="eastAsia" w:ascii="Times New Roman" w:hAnsi="Times New Roman"/>
          <w:color w:val="000000"/>
          <w:spacing w:val="-2"/>
          <w:sz w:val="24"/>
        </w:rPr>
        <w:t>□双排钢管脚手架                       □封圈型</w:t>
      </w:r>
    </w:p>
    <w:p>
      <w:pPr>
        <w:spacing w:line="420" w:lineRule="exact"/>
        <w:rPr>
          <w:rFonts w:hint="eastAsia" w:ascii="Times New Roman"/>
          <w:color w:val="000000"/>
          <w:spacing w:val="-2"/>
          <w:sz w:val="24"/>
        </w:rPr>
      </w:pPr>
      <w:r>
        <w:rPr>
          <w:rFonts w:hint="eastAsia" w:ascii="Times New Roman" w:hAnsi="Times New Roman"/>
          <w:color w:val="000000"/>
          <w:spacing w:val="-2"/>
          <w:sz w:val="24"/>
        </w:rPr>
        <w:t>□满堂脚手架                           □敞开式</w:t>
      </w:r>
    </w:p>
    <w:p>
      <w:pPr>
        <w:spacing w:line="420" w:lineRule="exact"/>
        <w:rPr>
          <w:rFonts w:hint="eastAsia" w:ascii="Times New Roman"/>
          <w:color w:val="000000"/>
          <w:spacing w:val="-2"/>
          <w:sz w:val="24"/>
        </w:rPr>
      </w:pPr>
      <w:r>
        <w:rPr>
          <w:rFonts w:hint="eastAsia" w:ascii="Times New Roman" w:hAnsi="Times New Roman"/>
          <w:color w:val="000000"/>
          <w:spacing w:val="-2"/>
          <w:sz w:val="24"/>
        </w:rPr>
        <w:t>□满堂支撑架                           □遮挡式</w:t>
      </w:r>
    </w:p>
    <w:p>
      <w:pPr>
        <w:spacing w:line="420" w:lineRule="exact"/>
        <w:rPr>
          <w:rFonts w:hint="eastAsia" w:ascii="Times New Roman"/>
          <w:color w:val="000000"/>
          <w:spacing w:val="-2"/>
          <w:sz w:val="24"/>
        </w:rPr>
      </w:pPr>
      <w:r>
        <w:rPr>
          <w:rFonts w:hint="eastAsia" w:ascii="Times New Roman" w:hAnsi="Times New Roman"/>
          <w:color w:val="000000"/>
          <w:spacing w:val="-2"/>
          <w:sz w:val="24"/>
        </w:rPr>
        <w:t>□悬挑式脚手架                         □封闭式</w:t>
      </w:r>
    </w:p>
    <w:p>
      <w:pPr>
        <w:spacing w:line="420" w:lineRule="exact"/>
        <w:rPr>
          <w:rFonts w:hint="eastAsia" w:ascii="Times New Roman"/>
          <w:color w:val="000000"/>
          <w:spacing w:val="-2"/>
          <w:sz w:val="24"/>
        </w:rPr>
      </w:pPr>
      <w:r>
        <w:rPr>
          <w:rFonts w:hint="eastAsia" w:ascii="Times New Roman" w:hAnsi="Times New Roman"/>
          <w:color w:val="000000"/>
          <w:spacing w:val="-2"/>
          <w:sz w:val="24"/>
        </w:rPr>
        <w:t>□独立式脚手架（支撑架）               □底部双管立杆</w:t>
      </w:r>
    </w:p>
    <w:p>
      <w:pPr>
        <w:spacing w:line="420" w:lineRule="exact"/>
        <w:rPr>
          <w:rFonts w:hint="eastAsia" w:ascii="Times New Roman"/>
          <w:color w:val="000000"/>
          <w:spacing w:val="-2"/>
          <w:sz w:val="24"/>
        </w:rPr>
      </w:pPr>
      <w:r>
        <w:rPr>
          <w:rFonts w:hint="eastAsia" w:ascii="Times New Roman" w:hAnsi="Times New Roman"/>
          <w:color w:val="000000"/>
          <w:spacing w:val="-2"/>
          <w:sz w:val="24"/>
        </w:rPr>
        <w:t>□整体提升脚手架（可单独编制细则）</w:t>
      </w:r>
    </w:p>
    <w:p>
      <w:pPr>
        <w:spacing w:line="420" w:lineRule="exact"/>
        <w:rPr>
          <w:rFonts w:hint="eastAsia" w:ascii="Times New Roman"/>
          <w:color w:val="000000"/>
          <w:spacing w:val="-2"/>
          <w:sz w:val="24"/>
        </w:rPr>
      </w:pPr>
      <w:r>
        <w:rPr>
          <w:b/>
          <w:color w:val="000000"/>
          <w:spacing w:val="-2"/>
          <w:sz w:val="24"/>
        </w:rPr>
        <w:t>1.2.2</w:t>
      </w:r>
      <w:r>
        <w:rPr>
          <w:rFonts w:hint="eastAsia" w:ascii="Times New Roman" w:hAnsi="Times New Roman"/>
          <w:color w:val="000000"/>
          <w:spacing w:val="-2"/>
          <w:sz w:val="24"/>
        </w:rPr>
        <w:t xml:space="preserve"> 拟搭设、拆除的脚手架用途：</w:t>
      </w:r>
    </w:p>
    <w:p>
      <w:pPr>
        <w:spacing w:line="420" w:lineRule="exact"/>
        <w:rPr>
          <w:rFonts w:hint="eastAsia" w:ascii="Times New Roman"/>
          <w:color w:val="000000"/>
          <w:spacing w:val="-2"/>
          <w:sz w:val="24"/>
        </w:rPr>
      </w:pPr>
      <w:r>
        <w:rPr>
          <w:rFonts w:hint="eastAsia" w:ascii="Times New Roman" w:hAnsi="Times New Roman"/>
          <w:color w:val="000000"/>
          <w:spacing w:val="-2"/>
          <w:sz w:val="24"/>
        </w:rPr>
        <w:t>□结构施工                             □围护架</w:t>
      </w:r>
    </w:p>
    <w:p>
      <w:pPr>
        <w:spacing w:line="420" w:lineRule="exact"/>
        <w:rPr>
          <w:rFonts w:hint="eastAsia" w:ascii="Times New Roman"/>
          <w:color w:val="000000"/>
          <w:spacing w:val="-2"/>
          <w:sz w:val="24"/>
        </w:rPr>
      </w:pPr>
      <w:r>
        <w:rPr>
          <w:rFonts w:hint="eastAsia" w:ascii="Times New Roman" w:hAnsi="Times New Roman"/>
          <w:color w:val="000000"/>
          <w:spacing w:val="-2"/>
          <w:sz w:val="24"/>
        </w:rPr>
        <w:t>□装饰施工                             □模板施工</w:t>
      </w:r>
    </w:p>
    <w:p>
      <w:pPr>
        <w:spacing w:line="420" w:lineRule="exact"/>
        <w:rPr>
          <w:rFonts w:hint="eastAsia" w:ascii="Times New Roman"/>
          <w:color w:val="000000"/>
          <w:spacing w:val="-2"/>
          <w:sz w:val="24"/>
        </w:rPr>
      </w:pPr>
      <w:r>
        <w:rPr>
          <w:b/>
          <w:color w:val="000000"/>
          <w:spacing w:val="-2"/>
          <w:sz w:val="24"/>
        </w:rPr>
        <w:t>1.2.3</w:t>
      </w:r>
      <w:r>
        <w:rPr>
          <w:color w:val="000000"/>
          <w:spacing w:val="-2"/>
          <w:sz w:val="24"/>
        </w:rPr>
        <w:t xml:space="preserve"> </w:t>
      </w:r>
      <w:r>
        <w:rPr>
          <w:rFonts w:hint="eastAsia" w:ascii="Times New Roman" w:hAnsi="Times New Roman"/>
          <w:color w:val="000000"/>
          <w:spacing w:val="-2"/>
          <w:sz w:val="24"/>
        </w:rPr>
        <w:t>拟搭设、拆除脚手架分布区域：（可列表或图示、高大模板单列）</w:t>
      </w:r>
    </w:p>
    <w:p>
      <w:pPr>
        <w:spacing w:line="420" w:lineRule="exact"/>
        <w:rPr>
          <w:rFonts w:hint="eastAsia" w:ascii="Times New Roman"/>
          <w:color w:val="000000"/>
          <w:spacing w:val="-2"/>
          <w:sz w:val="24"/>
        </w:rPr>
      </w:pPr>
      <w:r>
        <w:rPr>
          <w:b/>
          <w:color w:val="000000"/>
          <w:spacing w:val="-2"/>
          <w:sz w:val="24"/>
        </w:rPr>
        <w:t>1.2.4</w:t>
      </w:r>
      <w:r>
        <w:rPr>
          <w:color w:val="000000"/>
          <w:spacing w:val="-2"/>
          <w:sz w:val="24"/>
        </w:rPr>
        <w:t xml:space="preserve"> </w:t>
      </w:r>
      <w:r>
        <w:rPr>
          <w:rFonts w:hint="eastAsia" w:ascii="Times New Roman" w:hAnsi="Times New Roman"/>
          <w:color w:val="000000"/>
          <w:spacing w:val="-2"/>
          <w:sz w:val="24"/>
        </w:rPr>
        <w:t>脚手架承受荷载简述：</w:t>
      </w:r>
    </w:p>
    <w:p>
      <w:pPr>
        <w:spacing w:line="420" w:lineRule="exact"/>
        <w:rPr>
          <w:rFonts w:hint="eastAsia" w:ascii="Times New Roman"/>
          <w:color w:val="000000"/>
          <w:spacing w:val="-2"/>
          <w:sz w:val="24"/>
        </w:rPr>
      </w:pPr>
      <w:r>
        <w:rPr>
          <w:rFonts w:hint="eastAsia" w:ascii="Times New Roman" w:hAnsi="Times New Roman"/>
          <w:color w:val="000000"/>
          <w:spacing w:val="-2"/>
          <w:sz w:val="24"/>
        </w:rPr>
        <w:t>满堂支撑架需注明各区域板厚、最大梁截面、构件尺寸、高度、跨度、永久荷载、可变荷载（可列表）。</w:t>
      </w:r>
    </w:p>
    <w:p>
      <w:pPr>
        <w:spacing w:line="420" w:lineRule="exact"/>
        <w:rPr>
          <w:rFonts w:hint="eastAsia" w:ascii="Times New Roman" w:hAnsi="Times New Roman"/>
          <w:color w:val="000000"/>
          <w:spacing w:val="-2"/>
        </w:rPr>
      </w:pPr>
      <w:r>
        <w:rPr>
          <w:b/>
          <w:color w:val="000000"/>
          <w:spacing w:val="-2"/>
          <w:sz w:val="24"/>
        </w:rPr>
        <w:t>1.2.5</w:t>
      </w:r>
      <w:r>
        <w:rPr>
          <w:color w:val="000000"/>
          <w:spacing w:val="-2"/>
          <w:sz w:val="24"/>
        </w:rPr>
        <w:t xml:space="preserve"> </w:t>
      </w:r>
      <w:r>
        <w:rPr>
          <w:rFonts w:hint="eastAsia" w:ascii="Times New Roman" w:hAnsi="Times New Roman"/>
          <w:color w:val="000000"/>
          <w:spacing w:val="-2"/>
          <w:sz w:val="24"/>
        </w:rPr>
        <w:t>拟搭设、拆除的脚手架构造要求：（高大模板单列）</w:t>
      </w:r>
      <w:r>
        <w:rPr>
          <w:rFonts w:hint="eastAsia" w:ascii="Times New Roman" w:hAnsi="Times New Roman"/>
          <w:color w:val="000000"/>
          <w:spacing w:val="-2"/>
        </w:rPr>
        <w:t xml:space="preserve"> </w:t>
      </w:r>
    </w:p>
    <w:p>
      <w:pPr>
        <w:spacing w:line="360" w:lineRule="auto"/>
        <w:rPr>
          <w:rFonts w:hint="eastAsia" w:ascii="Times New Roman" w:eastAsia="黑体"/>
          <w:color w:val="000000"/>
          <w:spacing w:val="-2"/>
          <w:szCs w:val="21"/>
        </w:rPr>
      </w:pPr>
      <w:r>
        <w:rPr>
          <w:rFonts w:hint="eastAsia" w:ascii="Times New Roman" w:hAnsi="Times New Roman"/>
          <w:color w:val="000000"/>
          <w:spacing w:val="-2"/>
        </w:rPr>
        <w:t xml:space="preserve">                   </w:t>
      </w:r>
      <w:r>
        <w:rPr>
          <w:rFonts w:hint="eastAsia" w:ascii="Times New Roman" w:hAnsi="Times New Roman" w:eastAsia="黑体"/>
          <w:color w:val="000000"/>
          <w:spacing w:val="-2"/>
          <w:sz w:val="24"/>
        </w:rPr>
        <w:t>拟搭设、拆除的脚手架构造要求一览表</w:t>
      </w:r>
      <w:r>
        <w:rPr>
          <w:rFonts w:hint="eastAsia" w:ascii="Times New Roman" w:hAnsi="Times New Roman" w:eastAsia="黑体"/>
          <w:b/>
          <w:color w:val="000000"/>
          <w:spacing w:val="-2"/>
          <w:szCs w:val="21"/>
        </w:rPr>
        <w:t xml:space="preserve">   </w:t>
      </w:r>
      <w:r>
        <w:rPr>
          <w:rFonts w:hint="eastAsia" w:ascii="Times New Roman" w:hAnsi="Times New Roman" w:eastAsia="黑体"/>
          <w:color w:val="000000"/>
          <w:spacing w:val="-2"/>
          <w:szCs w:val="21"/>
        </w:rPr>
        <w:t xml:space="preserve">                   表1.1</w:t>
      </w: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95"/>
        <w:gridCol w:w="2315"/>
        <w:gridCol w:w="2167"/>
        <w:gridCol w:w="2034"/>
        <w:gridCol w:w="16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tcBorders>
              <w:top w:val="single" w:color="auto" w:sz="8" w:space="0"/>
              <w:left w:val="single" w:color="auto" w:sz="8" w:space="0"/>
              <w:bottom w:val="single" w:color="auto" w:sz="4" w:space="0"/>
              <w:right w:val="single" w:color="auto" w:sz="4" w:space="0"/>
            </w:tcBorders>
            <w:noWrap w:val="0"/>
            <w:vAlign w:val="center"/>
          </w:tcPr>
          <w:p>
            <w:pPr>
              <w:jc w:val="center"/>
              <w:rPr>
                <w:rFonts w:eastAsia="黑体"/>
                <w:color w:val="000000"/>
                <w:spacing w:val="-2"/>
                <w:szCs w:val="21"/>
              </w:rPr>
            </w:pPr>
            <w:r>
              <w:rPr>
                <w:rFonts w:hint="eastAsia" w:eastAsia="黑体"/>
                <w:color w:val="000000"/>
                <w:spacing w:val="-2"/>
                <w:szCs w:val="21"/>
              </w:rPr>
              <w:t>序号</w:t>
            </w:r>
          </w:p>
        </w:tc>
        <w:tc>
          <w:tcPr>
            <w:tcW w:w="2315" w:type="dxa"/>
            <w:tcBorders>
              <w:top w:val="single" w:color="auto" w:sz="8" w:space="0"/>
              <w:left w:val="single" w:color="auto" w:sz="4" w:space="0"/>
              <w:bottom w:val="single" w:color="auto" w:sz="4" w:space="0"/>
              <w:right w:val="single" w:color="auto" w:sz="4" w:space="0"/>
            </w:tcBorders>
            <w:noWrap w:val="0"/>
            <w:vAlign w:val="center"/>
          </w:tcPr>
          <w:p>
            <w:pPr>
              <w:jc w:val="center"/>
              <w:rPr>
                <w:rFonts w:ascii="Times New Roman" w:eastAsia="黑体"/>
                <w:color w:val="000000"/>
                <w:spacing w:val="-2"/>
                <w:szCs w:val="21"/>
              </w:rPr>
            </w:pPr>
            <w:r>
              <w:rPr>
                <w:rFonts w:hint="eastAsia" w:ascii="Times New Roman" w:hAnsi="Times New Roman" w:eastAsia="黑体"/>
                <w:color w:val="000000"/>
                <w:spacing w:val="-2"/>
                <w:szCs w:val="21"/>
              </w:rPr>
              <w:t>区域（轴线）</w:t>
            </w:r>
          </w:p>
        </w:tc>
        <w:tc>
          <w:tcPr>
            <w:tcW w:w="2167" w:type="dxa"/>
            <w:tcBorders>
              <w:top w:val="single" w:color="auto" w:sz="8" w:space="0"/>
              <w:left w:val="single" w:color="auto" w:sz="4" w:space="0"/>
              <w:bottom w:val="single" w:color="auto" w:sz="4" w:space="0"/>
              <w:right w:val="single" w:color="auto" w:sz="4" w:space="0"/>
            </w:tcBorders>
            <w:noWrap w:val="0"/>
            <w:vAlign w:val="center"/>
          </w:tcPr>
          <w:p>
            <w:pPr>
              <w:jc w:val="center"/>
              <w:rPr>
                <w:rFonts w:ascii="Times New Roman" w:eastAsia="黑体"/>
                <w:color w:val="000000"/>
                <w:spacing w:val="-2"/>
                <w:szCs w:val="21"/>
              </w:rPr>
            </w:pPr>
            <w:r>
              <w:rPr>
                <w:rFonts w:hint="eastAsia" w:ascii="Times New Roman" w:hAnsi="Times New Roman" w:eastAsia="黑体"/>
                <w:color w:val="000000"/>
                <w:spacing w:val="-2"/>
                <w:szCs w:val="21"/>
              </w:rPr>
              <w:t>脚手架型式</w:t>
            </w:r>
          </w:p>
        </w:tc>
        <w:tc>
          <w:tcPr>
            <w:tcW w:w="2034" w:type="dxa"/>
            <w:tcBorders>
              <w:top w:val="single" w:color="auto" w:sz="8" w:space="0"/>
              <w:left w:val="single" w:color="auto" w:sz="4" w:space="0"/>
              <w:bottom w:val="single" w:color="auto" w:sz="4" w:space="0"/>
              <w:right w:val="single" w:color="auto" w:sz="4" w:space="0"/>
            </w:tcBorders>
            <w:noWrap w:val="0"/>
            <w:vAlign w:val="center"/>
          </w:tcPr>
          <w:p>
            <w:pPr>
              <w:jc w:val="center"/>
              <w:rPr>
                <w:rFonts w:ascii="Times New Roman" w:eastAsia="黑体"/>
                <w:color w:val="000000"/>
                <w:spacing w:val="-2"/>
                <w:szCs w:val="21"/>
              </w:rPr>
            </w:pPr>
            <w:r>
              <w:rPr>
                <w:rFonts w:hint="eastAsia" w:ascii="Times New Roman" w:hAnsi="Times New Roman" w:eastAsia="黑体"/>
                <w:color w:val="000000"/>
                <w:spacing w:val="-2"/>
                <w:szCs w:val="21"/>
              </w:rPr>
              <w:t>构造要求</w:t>
            </w:r>
          </w:p>
        </w:tc>
        <w:tc>
          <w:tcPr>
            <w:tcW w:w="1635" w:type="dxa"/>
            <w:tcBorders>
              <w:top w:val="single" w:color="auto" w:sz="8" w:space="0"/>
              <w:left w:val="single" w:color="auto" w:sz="4" w:space="0"/>
              <w:bottom w:val="single" w:color="auto" w:sz="4" w:space="0"/>
              <w:right w:val="single" w:color="auto" w:sz="8" w:space="0"/>
            </w:tcBorders>
            <w:noWrap w:val="0"/>
            <w:vAlign w:val="center"/>
          </w:tcPr>
          <w:p>
            <w:pPr>
              <w:jc w:val="center"/>
              <w:rPr>
                <w:rFonts w:ascii="Times New Roman" w:eastAsia="黑体"/>
                <w:color w:val="000000"/>
                <w:spacing w:val="-2"/>
                <w:szCs w:val="21"/>
              </w:rPr>
            </w:pPr>
            <w:r>
              <w:rPr>
                <w:rFonts w:hint="eastAsia" w:ascii="Times New Roman" w:hAnsi="Times New Roman" w:eastAsia="黑体"/>
                <w:color w:val="000000"/>
                <w:spacing w:val="-2"/>
                <w:szCs w:val="21"/>
              </w:rPr>
              <w:t>构配件选用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95" w:type="dxa"/>
            <w:tcBorders>
              <w:top w:val="single" w:color="auto" w:sz="4" w:space="0"/>
              <w:left w:val="single" w:color="auto" w:sz="8" w:space="0"/>
              <w:bottom w:val="single" w:color="auto" w:sz="4" w:space="0"/>
              <w:right w:val="single" w:color="auto" w:sz="4" w:space="0"/>
            </w:tcBorders>
            <w:noWrap w:val="0"/>
            <w:vAlign w:val="center"/>
          </w:tcPr>
          <w:p>
            <w:pPr>
              <w:jc w:val="center"/>
              <w:rPr>
                <w:color w:val="000000"/>
                <w:spacing w:val="-2"/>
              </w:rPr>
            </w:pPr>
            <w:r>
              <w:rPr>
                <w:color w:val="000000"/>
                <w:spacing w:val="-2"/>
              </w:rPr>
              <w:t>1</w:t>
            </w:r>
          </w:p>
        </w:tc>
        <w:tc>
          <w:tcPr>
            <w:tcW w:w="231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color w:val="000000"/>
                <w:spacing w:val="-2"/>
              </w:rPr>
            </w:pPr>
          </w:p>
        </w:tc>
        <w:tc>
          <w:tcPr>
            <w:tcW w:w="216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color w:val="000000"/>
                <w:spacing w:val="-2"/>
              </w:rPr>
            </w:pPr>
          </w:p>
        </w:tc>
        <w:tc>
          <w:tcPr>
            <w:tcW w:w="203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color w:val="000000"/>
                <w:spacing w:val="-2"/>
              </w:rPr>
            </w:pPr>
          </w:p>
        </w:tc>
        <w:tc>
          <w:tcPr>
            <w:tcW w:w="1635" w:type="dxa"/>
            <w:tcBorders>
              <w:top w:val="single" w:color="auto" w:sz="4" w:space="0"/>
              <w:left w:val="single" w:color="auto" w:sz="4" w:space="0"/>
              <w:bottom w:val="single" w:color="auto" w:sz="4" w:space="0"/>
              <w:right w:val="single" w:color="auto" w:sz="8" w:space="0"/>
            </w:tcBorders>
            <w:noWrap w:val="0"/>
            <w:vAlign w:val="center"/>
          </w:tcPr>
          <w:p>
            <w:pPr>
              <w:jc w:val="center"/>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95" w:type="dxa"/>
            <w:tcBorders>
              <w:top w:val="single" w:color="auto" w:sz="4" w:space="0"/>
              <w:left w:val="single" w:color="auto" w:sz="8" w:space="0"/>
              <w:bottom w:val="single" w:color="auto" w:sz="4" w:space="0"/>
              <w:right w:val="single" w:color="auto" w:sz="4" w:space="0"/>
            </w:tcBorders>
            <w:noWrap w:val="0"/>
            <w:vAlign w:val="center"/>
          </w:tcPr>
          <w:p>
            <w:pPr>
              <w:jc w:val="center"/>
              <w:rPr>
                <w:color w:val="000000"/>
                <w:spacing w:val="-2"/>
              </w:rPr>
            </w:pPr>
            <w:r>
              <w:rPr>
                <w:color w:val="000000"/>
                <w:spacing w:val="-2"/>
              </w:rPr>
              <w:t>2</w:t>
            </w:r>
          </w:p>
        </w:tc>
        <w:tc>
          <w:tcPr>
            <w:tcW w:w="231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color w:val="000000"/>
                <w:spacing w:val="-2"/>
              </w:rPr>
            </w:pPr>
          </w:p>
        </w:tc>
        <w:tc>
          <w:tcPr>
            <w:tcW w:w="216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color w:val="000000"/>
                <w:spacing w:val="-2"/>
              </w:rPr>
            </w:pPr>
          </w:p>
        </w:tc>
        <w:tc>
          <w:tcPr>
            <w:tcW w:w="203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color w:val="000000"/>
                <w:spacing w:val="-2"/>
              </w:rPr>
            </w:pPr>
          </w:p>
        </w:tc>
        <w:tc>
          <w:tcPr>
            <w:tcW w:w="1635" w:type="dxa"/>
            <w:tcBorders>
              <w:top w:val="single" w:color="auto" w:sz="4" w:space="0"/>
              <w:left w:val="single" w:color="auto" w:sz="4" w:space="0"/>
              <w:bottom w:val="single" w:color="auto" w:sz="4" w:space="0"/>
              <w:right w:val="single" w:color="auto" w:sz="8" w:space="0"/>
            </w:tcBorders>
            <w:noWrap w:val="0"/>
            <w:vAlign w:val="center"/>
          </w:tcPr>
          <w:p>
            <w:pPr>
              <w:jc w:val="center"/>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95" w:type="dxa"/>
            <w:tcBorders>
              <w:top w:val="single" w:color="auto" w:sz="4" w:space="0"/>
              <w:left w:val="single" w:color="auto" w:sz="8" w:space="0"/>
              <w:bottom w:val="single" w:color="auto" w:sz="4" w:space="0"/>
              <w:right w:val="single" w:color="auto" w:sz="4" w:space="0"/>
            </w:tcBorders>
            <w:noWrap w:val="0"/>
            <w:vAlign w:val="center"/>
          </w:tcPr>
          <w:p>
            <w:pPr>
              <w:jc w:val="center"/>
              <w:rPr>
                <w:color w:val="000000"/>
                <w:spacing w:val="-2"/>
              </w:rPr>
            </w:pPr>
            <w:r>
              <w:rPr>
                <w:color w:val="000000"/>
                <w:spacing w:val="-2"/>
              </w:rPr>
              <w:t>3</w:t>
            </w:r>
          </w:p>
        </w:tc>
        <w:tc>
          <w:tcPr>
            <w:tcW w:w="231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color w:val="000000"/>
                <w:spacing w:val="-2"/>
              </w:rPr>
            </w:pPr>
          </w:p>
        </w:tc>
        <w:tc>
          <w:tcPr>
            <w:tcW w:w="216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color w:val="000000"/>
                <w:spacing w:val="-2"/>
              </w:rPr>
            </w:pPr>
          </w:p>
        </w:tc>
        <w:tc>
          <w:tcPr>
            <w:tcW w:w="203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color w:val="000000"/>
                <w:spacing w:val="-2"/>
              </w:rPr>
            </w:pPr>
          </w:p>
        </w:tc>
        <w:tc>
          <w:tcPr>
            <w:tcW w:w="1635" w:type="dxa"/>
            <w:tcBorders>
              <w:top w:val="single" w:color="auto" w:sz="4" w:space="0"/>
              <w:left w:val="single" w:color="auto" w:sz="4" w:space="0"/>
              <w:bottom w:val="single" w:color="auto" w:sz="4" w:space="0"/>
              <w:right w:val="single" w:color="auto" w:sz="8" w:space="0"/>
            </w:tcBorders>
            <w:noWrap w:val="0"/>
            <w:vAlign w:val="center"/>
          </w:tcPr>
          <w:p>
            <w:pPr>
              <w:jc w:val="center"/>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95" w:type="dxa"/>
            <w:tcBorders>
              <w:top w:val="single" w:color="auto" w:sz="4" w:space="0"/>
              <w:left w:val="single" w:color="auto" w:sz="8" w:space="0"/>
              <w:bottom w:val="single" w:color="auto" w:sz="4" w:space="0"/>
              <w:right w:val="single" w:color="auto" w:sz="4" w:space="0"/>
            </w:tcBorders>
            <w:noWrap w:val="0"/>
            <w:vAlign w:val="center"/>
          </w:tcPr>
          <w:p>
            <w:pPr>
              <w:jc w:val="center"/>
              <w:rPr>
                <w:color w:val="000000"/>
                <w:spacing w:val="-2"/>
              </w:rPr>
            </w:pPr>
            <w:r>
              <w:rPr>
                <w:color w:val="000000"/>
                <w:spacing w:val="-2"/>
              </w:rPr>
              <w:t>.</w:t>
            </w:r>
          </w:p>
        </w:tc>
        <w:tc>
          <w:tcPr>
            <w:tcW w:w="231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color w:val="000000"/>
                <w:spacing w:val="-2"/>
              </w:rPr>
            </w:pPr>
          </w:p>
        </w:tc>
        <w:tc>
          <w:tcPr>
            <w:tcW w:w="216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color w:val="000000"/>
                <w:spacing w:val="-2"/>
              </w:rPr>
            </w:pPr>
          </w:p>
        </w:tc>
        <w:tc>
          <w:tcPr>
            <w:tcW w:w="203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color w:val="000000"/>
                <w:spacing w:val="-2"/>
              </w:rPr>
            </w:pPr>
          </w:p>
        </w:tc>
        <w:tc>
          <w:tcPr>
            <w:tcW w:w="1635" w:type="dxa"/>
            <w:tcBorders>
              <w:top w:val="single" w:color="auto" w:sz="4" w:space="0"/>
              <w:left w:val="single" w:color="auto" w:sz="4" w:space="0"/>
              <w:bottom w:val="single" w:color="auto" w:sz="4" w:space="0"/>
              <w:right w:val="single" w:color="auto" w:sz="8" w:space="0"/>
            </w:tcBorders>
            <w:noWrap w:val="0"/>
            <w:vAlign w:val="center"/>
          </w:tcPr>
          <w:p>
            <w:pPr>
              <w:jc w:val="center"/>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95" w:type="dxa"/>
            <w:tcBorders>
              <w:top w:val="single" w:color="auto" w:sz="4" w:space="0"/>
              <w:left w:val="single" w:color="auto" w:sz="8" w:space="0"/>
              <w:bottom w:val="single" w:color="auto" w:sz="4" w:space="0"/>
              <w:right w:val="single" w:color="auto" w:sz="4" w:space="0"/>
            </w:tcBorders>
            <w:noWrap w:val="0"/>
            <w:vAlign w:val="center"/>
          </w:tcPr>
          <w:p>
            <w:pPr>
              <w:jc w:val="center"/>
              <w:rPr>
                <w:color w:val="000000"/>
                <w:spacing w:val="-2"/>
              </w:rPr>
            </w:pPr>
            <w:r>
              <w:rPr>
                <w:color w:val="000000"/>
                <w:spacing w:val="-2"/>
              </w:rPr>
              <w:t>.</w:t>
            </w:r>
          </w:p>
        </w:tc>
        <w:tc>
          <w:tcPr>
            <w:tcW w:w="231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color w:val="000000"/>
                <w:spacing w:val="-2"/>
              </w:rPr>
            </w:pPr>
          </w:p>
        </w:tc>
        <w:tc>
          <w:tcPr>
            <w:tcW w:w="216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color w:val="000000"/>
                <w:spacing w:val="-2"/>
              </w:rPr>
            </w:pPr>
          </w:p>
        </w:tc>
        <w:tc>
          <w:tcPr>
            <w:tcW w:w="203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color w:val="000000"/>
                <w:spacing w:val="-2"/>
              </w:rPr>
            </w:pPr>
          </w:p>
        </w:tc>
        <w:tc>
          <w:tcPr>
            <w:tcW w:w="1635" w:type="dxa"/>
            <w:tcBorders>
              <w:top w:val="single" w:color="auto" w:sz="4" w:space="0"/>
              <w:left w:val="single" w:color="auto" w:sz="4" w:space="0"/>
              <w:bottom w:val="single" w:color="auto" w:sz="4" w:space="0"/>
              <w:right w:val="single" w:color="auto" w:sz="8" w:space="0"/>
            </w:tcBorders>
            <w:noWrap w:val="0"/>
            <w:vAlign w:val="center"/>
          </w:tcPr>
          <w:p>
            <w:pPr>
              <w:jc w:val="center"/>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95" w:type="dxa"/>
            <w:tcBorders>
              <w:top w:val="single" w:color="auto" w:sz="4" w:space="0"/>
              <w:left w:val="single" w:color="auto" w:sz="8" w:space="0"/>
              <w:bottom w:val="single" w:color="auto" w:sz="4" w:space="0"/>
              <w:right w:val="single" w:color="auto" w:sz="4" w:space="0"/>
            </w:tcBorders>
            <w:noWrap w:val="0"/>
            <w:vAlign w:val="center"/>
          </w:tcPr>
          <w:p>
            <w:pPr>
              <w:jc w:val="center"/>
              <w:rPr>
                <w:color w:val="000000"/>
                <w:spacing w:val="-2"/>
              </w:rPr>
            </w:pPr>
            <w:r>
              <w:rPr>
                <w:color w:val="000000"/>
                <w:spacing w:val="-2"/>
              </w:rPr>
              <w:t>.</w:t>
            </w:r>
          </w:p>
        </w:tc>
        <w:tc>
          <w:tcPr>
            <w:tcW w:w="231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color w:val="000000"/>
                <w:spacing w:val="-2"/>
              </w:rPr>
            </w:pPr>
          </w:p>
        </w:tc>
        <w:tc>
          <w:tcPr>
            <w:tcW w:w="216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color w:val="000000"/>
                <w:spacing w:val="-2"/>
              </w:rPr>
            </w:pPr>
          </w:p>
        </w:tc>
        <w:tc>
          <w:tcPr>
            <w:tcW w:w="203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color w:val="000000"/>
                <w:spacing w:val="-2"/>
              </w:rPr>
            </w:pPr>
          </w:p>
        </w:tc>
        <w:tc>
          <w:tcPr>
            <w:tcW w:w="1635" w:type="dxa"/>
            <w:tcBorders>
              <w:top w:val="single" w:color="auto" w:sz="4" w:space="0"/>
              <w:left w:val="single" w:color="auto" w:sz="4" w:space="0"/>
              <w:bottom w:val="single" w:color="auto" w:sz="4" w:space="0"/>
              <w:right w:val="single" w:color="auto" w:sz="8" w:space="0"/>
            </w:tcBorders>
            <w:noWrap w:val="0"/>
            <w:vAlign w:val="center"/>
          </w:tcPr>
          <w:p>
            <w:pPr>
              <w:jc w:val="center"/>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95" w:type="dxa"/>
            <w:tcBorders>
              <w:top w:val="single" w:color="auto" w:sz="4" w:space="0"/>
              <w:left w:val="single" w:color="auto" w:sz="8" w:space="0"/>
              <w:bottom w:val="single" w:color="auto" w:sz="8" w:space="0"/>
              <w:right w:val="single" w:color="auto" w:sz="4" w:space="0"/>
            </w:tcBorders>
            <w:noWrap w:val="0"/>
            <w:vAlign w:val="center"/>
          </w:tcPr>
          <w:p>
            <w:pPr>
              <w:jc w:val="center"/>
              <w:rPr>
                <w:color w:val="000000"/>
                <w:spacing w:val="-2"/>
              </w:rPr>
            </w:pPr>
            <w:r>
              <w:rPr>
                <w:color w:val="000000"/>
                <w:spacing w:val="-2"/>
              </w:rPr>
              <w:t>n</w:t>
            </w:r>
          </w:p>
        </w:tc>
        <w:tc>
          <w:tcPr>
            <w:tcW w:w="2315" w:type="dxa"/>
            <w:tcBorders>
              <w:top w:val="single" w:color="auto" w:sz="4" w:space="0"/>
              <w:left w:val="single" w:color="auto" w:sz="4" w:space="0"/>
              <w:bottom w:val="single" w:color="auto" w:sz="8" w:space="0"/>
              <w:right w:val="single" w:color="auto" w:sz="4" w:space="0"/>
            </w:tcBorders>
            <w:noWrap w:val="0"/>
            <w:vAlign w:val="center"/>
          </w:tcPr>
          <w:p>
            <w:pPr>
              <w:jc w:val="center"/>
              <w:rPr>
                <w:rFonts w:ascii="Times New Roman"/>
                <w:color w:val="000000"/>
                <w:spacing w:val="-2"/>
              </w:rPr>
            </w:pPr>
          </w:p>
        </w:tc>
        <w:tc>
          <w:tcPr>
            <w:tcW w:w="2167" w:type="dxa"/>
            <w:tcBorders>
              <w:top w:val="single" w:color="auto" w:sz="4" w:space="0"/>
              <w:left w:val="single" w:color="auto" w:sz="4" w:space="0"/>
              <w:bottom w:val="single" w:color="auto" w:sz="8" w:space="0"/>
              <w:right w:val="single" w:color="auto" w:sz="4" w:space="0"/>
            </w:tcBorders>
            <w:noWrap w:val="0"/>
            <w:vAlign w:val="center"/>
          </w:tcPr>
          <w:p>
            <w:pPr>
              <w:jc w:val="center"/>
              <w:rPr>
                <w:rFonts w:ascii="Times New Roman"/>
                <w:color w:val="000000"/>
                <w:spacing w:val="-2"/>
              </w:rPr>
            </w:pPr>
          </w:p>
        </w:tc>
        <w:tc>
          <w:tcPr>
            <w:tcW w:w="2034" w:type="dxa"/>
            <w:tcBorders>
              <w:top w:val="single" w:color="auto" w:sz="4" w:space="0"/>
              <w:left w:val="single" w:color="auto" w:sz="4" w:space="0"/>
              <w:bottom w:val="single" w:color="auto" w:sz="8" w:space="0"/>
              <w:right w:val="single" w:color="auto" w:sz="4" w:space="0"/>
            </w:tcBorders>
            <w:noWrap w:val="0"/>
            <w:vAlign w:val="center"/>
          </w:tcPr>
          <w:p>
            <w:pPr>
              <w:jc w:val="center"/>
              <w:rPr>
                <w:rFonts w:ascii="Times New Roman"/>
                <w:color w:val="000000"/>
                <w:spacing w:val="-2"/>
              </w:rPr>
            </w:pPr>
          </w:p>
        </w:tc>
        <w:tc>
          <w:tcPr>
            <w:tcW w:w="1635" w:type="dxa"/>
            <w:tcBorders>
              <w:top w:val="single" w:color="auto" w:sz="4" w:space="0"/>
              <w:left w:val="single" w:color="auto" w:sz="4" w:space="0"/>
              <w:bottom w:val="single" w:color="auto" w:sz="8" w:space="0"/>
              <w:right w:val="single" w:color="auto" w:sz="8" w:space="0"/>
            </w:tcBorders>
            <w:noWrap w:val="0"/>
            <w:vAlign w:val="center"/>
          </w:tcPr>
          <w:p>
            <w:pPr>
              <w:jc w:val="center"/>
              <w:rPr>
                <w:rFonts w:ascii="Times New Roman"/>
                <w:color w:val="000000"/>
                <w:spacing w:val="-2"/>
              </w:rPr>
            </w:pPr>
          </w:p>
        </w:tc>
      </w:tr>
    </w:tbl>
    <w:p>
      <w:pPr>
        <w:spacing w:line="460" w:lineRule="exact"/>
        <w:rPr>
          <w:rFonts w:hint="eastAsia" w:ascii="Times New Roman"/>
          <w:color w:val="000000"/>
          <w:spacing w:val="-2"/>
          <w:sz w:val="24"/>
        </w:rPr>
      </w:pPr>
      <w:r>
        <w:rPr>
          <w:rFonts w:hint="eastAsia" w:ascii="Times New Roman" w:hAnsi="Times New Roman"/>
          <w:color w:val="000000"/>
          <w:spacing w:val="-2"/>
          <w:sz w:val="24"/>
        </w:rPr>
        <w:t>表中构造要求主要有以下内容（包括但不限于）脚手架长度、宽度、高度、步距，主杆纵距、横距，连墙件纵距、横距，门洞构造、剪刀撑、横向斜撑构造等。</w:t>
      </w:r>
    </w:p>
    <w:p>
      <w:pPr>
        <w:spacing w:line="460" w:lineRule="exact"/>
        <w:rPr>
          <w:rFonts w:hint="eastAsia" w:ascii="Times New Roman"/>
          <w:color w:val="000000"/>
          <w:spacing w:val="-2"/>
        </w:rPr>
      </w:pPr>
      <w:r>
        <w:rPr>
          <w:b/>
          <w:color w:val="000000"/>
          <w:spacing w:val="-2"/>
          <w:sz w:val="24"/>
        </w:rPr>
        <w:t>1.3</w:t>
      </w:r>
      <w:r>
        <w:rPr>
          <w:rFonts w:hint="eastAsia" w:ascii="Times New Roman" w:hAnsi="Times New Roman"/>
          <w:b/>
          <w:color w:val="000000"/>
          <w:spacing w:val="-2"/>
          <w:sz w:val="24"/>
        </w:rPr>
        <w:t xml:space="preserve">  脚手架地基与基础构造：</w:t>
      </w:r>
    </w:p>
    <w:p>
      <w:pPr>
        <w:spacing w:before="240" w:beforeLines="100" w:after="240" w:afterLines="100"/>
        <w:rPr>
          <w:rFonts w:hint="eastAsia"/>
          <w:b/>
          <w:color w:val="000000"/>
          <w:spacing w:val="-2"/>
          <w:sz w:val="28"/>
          <w:szCs w:val="28"/>
        </w:rPr>
      </w:pPr>
      <w:r>
        <w:rPr>
          <w:b/>
          <w:color w:val="000000"/>
          <w:spacing w:val="-2"/>
          <w:sz w:val="28"/>
          <w:szCs w:val="28"/>
        </w:rPr>
        <w:t>2</w:t>
      </w:r>
      <w:r>
        <w:rPr>
          <w:rFonts w:hint="eastAsia"/>
          <w:b/>
          <w:color w:val="000000"/>
          <w:spacing w:val="-2"/>
          <w:sz w:val="28"/>
          <w:szCs w:val="28"/>
        </w:rPr>
        <w:t>扣件式钢管脚手架搭设、拆除工程的特点、难点。</w:t>
      </w:r>
    </w:p>
    <w:p>
      <w:pPr>
        <w:spacing w:line="460" w:lineRule="exact"/>
        <w:rPr>
          <w:rFonts w:ascii="Times New Roman"/>
          <w:b/>
          <w:color w:val="000000"/>
          <w:spacing w:val="-2"/>
          <w:sz w:val="24"/>
        </w:rPr>
      </w:pPr>
      <w:r>
        <w:rPr>
          <w:b/>
          <w:color w:val="000000"/>
          <w:spacing w:val="-2"/>
          <w:sz w:val="24"/>
        </w:rPr>
        <w:t>2.1</w:t>
      </w:r>
      <w:r>
        <w:rPr>
          <w:rFonts w:hint="eastAsia" w:ascii="Times New Roman" w:hAnsi="Times New Roman"/>
          <w:b/>
          <w:color w:val="000000"/>
          <w:spacing w:val="-2"/>
          <w:sz w:val="24"/>
        </w:rPr>
        <w:t xml:space="preserve"> 扣件式钢管脚手架搭设、拆除的特点、难点：</w:t>
      </w:r>
      <w:r>
        <w:rPr>
          <w:rFonts w:hint="eastAsia" w:ascii="Times New Roman" w:hAnsi="Times New Roman"/>
          <w:b/>
          <w:color w:val="000000"/>
          <w:spacing w:val="-2"/>
          <w:sz w:val="24"/>
          <w:u w:val="single"/>
        </w:rPr>
        <w:t xml:space="preserve">                           </w:t>
      </w:r>
      <w:r>
        <w:rPr>
          <w:rFonts w:hint="eastAsia" w:ascii="Times New Roman" w:hAnsi="Times New Roman"/>
          <w:b/>
          <w:color w:val="000000"/>
          <w:spacing w:val="-2"/>
          <w:sz w:val="24"/>
        </w:rPr>
        <w:t>。</w:t>
      </w:r>
    </w:p>
    <w:p>
      <w:pPr>
        <w:spacing w:line="460" w:lineRule="exact"/>
        <w:rPr>
          <w:rFonts w:hint="eastAsia" w:ascii="Times New Roman"/>
          <w:b/>
          <w:color w:val="000000"/>
          <w:spacing w:val="-2"/>
          <w:sz w:val="24"/>
        </w:rPr>
      </w:pPr>
      <w:r>
        <w:rPr>
          <w:b/>
          <w:color w:val="000000"/>
          <w:spacing w:val="-2"/>
          <w:sz w:val="24"/>
        </w:rPr>
        <w:t>2.2</w:t>
      </w:r>
      <w:r>
        <w:rPr>
          <w:rFonts w:hint="eastAsia" w:ascii="Times New Roman" w:hAnsi="Times New Roman"/>
          <w:b/>
          <w:color w:val="000000"/>
          <w:spacing w:val="-2"/>
          <w:sz w:val="24"/>
        </w:rPr>
        <w:t xml:space="preserve"> 脚手架搭设、拆除施工安全生产管理监理工作的重点：</w:t>
      </w:r>
      <w:r>
        <w:rPr>
          <w:rFonts w:hint="eastAsia" w:ascii="Times New Roman" w:hAnsi="Times New Roman"/>
          <w:b/>
          <w:color w:val="000000"/>
          <w:spacing w:val="-2"/>
          <w:sz w:val="24"/>
          <w:u w:val="single"/>
        </w:rPr>
        <w:t xml:space="preserve">                  </w:t>
      </w:r>
      <w:r>
        <w:rPr>
          <w:rFonts w:hint="eastAsia" w:ascii="Times New Roman" w:hAnsi="Times New Roman"/>
          <w:b/>
          <w:color w:val="000000"/>
          <w:spacing w:val="-2"/>
          <w:sz w:val="24"/>
        </w:rPr>
        <w:t>。</w:t>
      </w:r>
    </w:p>
    <w:p>
      <w:pPr>
        <w:spacing w:before="240" w:beforeLines="100" w:after="240" w:afterLines="100"/>
        <w:rPr>
          <w:rFonts w:hint="eastAsia"/>
          <w:b/>
          <w:color w:val="000000"/>
          <w:spacing w:val="-2"/>
          <w:sz w:val="28"/>
          <w:szCs w:val="28"/>
        </w:rPr>
      </w:pPr>
      <w:r>
        <w:rPr>
          <w:b/>
          <w:color w:val="000000"/>
          <w:spacing w:val="-2"/>
          <w:sz w:val="28"/>
          <w:szCs w:val="28"/>
        </w:rPr>
        <w:t xml:space="preserve">3 </w:t>
      </w:r>
      <w:r>
        <w:rPr>
          <w:rFonts w:hint="eastAsia"/>
          <w:b/>
          <w:color w:val="000000"/>
          <w:spacing w:val="-2"/>
          <w:sz w:val="28"/>
          <w:szCs w:val="28"/>
        </w:rPr>
        <w:t>监理依据</w:t>
      </w:r>
    </w:p>
    <w:p>
      <w:pPr>
        <w:spacing w:line="460" w:lineRule="exact"/>
        <w:rPr>
          <w:b/>
          <w:color w:val="000000"/>
          <w:spacing w:val="-2"/>
          <w:sz w:val="24"/>
        </w:rPr>
      </w:pPr>
      <w:r>
        <w:rPr>
          <w:b/>
          <w:color w:val="000000"/>
          <w:spacing w:val="-2"/>
          <w:sz w:val="24"/>
        </w:rPr>
        <w:t xml:space="preserve">3.1 </w:t>
      </w:r>
      <w:r>
        <w:rPr>
          <w:rFonts w:hint="eastAsia"/>
          <w:b/>
          <w:color w:val="000000"/>
          <w:spacing w:val="-2"/>
          <w:sz w:val="24"/>
        </w:rPr>
        <w:t>本工程施工合同、协议等资料。</w:t>
      </w:r>
    </w:p>
    <w:p>
      <w:pPr>
        <w:spacing w:line="460" w:lineRule="exact"/>
        <w:rPr>
          <w:b/>
          <w:color w:val="000000"/>
          <w:spacing w:val="-2"/>
          <w:sz w:val="24"/>
        </w:rPr>
      </w:pPr>
      <w:r>
        <w:rPr>
          <w:b/>
          <w:color w:val="000000"/>
          <w:spacing w:val="-2"/>
          <w:sz w:val="24"/>
        </w:rPr>
        <w:t xml:space="preserve">3.2 </w:t>
      </w:r>
      <w:r>
        <w:rPr>
          <w:rFonts w:hint="eastAsia"/>
          <w:b/>
          <w:color w:val="000000"/>
          <w:spacing w:val="-2"/>
          <w:sz w:val="24"/>
        </w:rPr>
        <w:t>本工程《监理规划》。</w:t>
      </w:r>
    </w:p>
    <w:p>
      <w:pPr>
        <w:spacing w:line="460" w:lineRule="exact"/>
        <w:rPr>
          <w:b/>
          <w:color w:val="000000"/>
          <w:spacing w:val="-2"/>
          <w:sz w:val="24"/>
        </w:rPr>
      </w:pPr>
      <w:r>
        <w:rPr>
          <w:b/>
          <w:color w:val="000000"/>
          <w:spacing w:val="-2"/>
          <w:sz w:val="24"/>
        </w:rPr>
        <w:t xml:space="preserve">3.3 </w:t>
      </w:r>
      <w:r>
        <w:rPr>
          <w:rFonts w:hint="eastAsia"/>
          <w:b/>
          <w:color w:val="000000"/>
          <w:spacing w:val="-2"/>
          <w:sz w:val="24"/>
        </w:rPr>
        <w:t>经审批通过的施工组织设计、脚手架搭设、拆除专项施工方案。</w:t>
      </w:r>
    </w:p>
    <w:p>
      <w:pPr>
        <w:spacing w:line="460" w:lineRule="exact"/>
        <w:rPr>
          <w:rFonts w:ascii="Times New Roman"/>
          <w:b/>
          <w:color w:val="000000"/>
          <w:spacing w:val="-2"/>
          <w:sz w:val="24"/>
        </w:rPr>
      </w:pPr>
      <w:r>
        <w:rPr>
          <w:b/>
          <w:color w:val="000000"/>
          <w:spacing w:val="-2"/>
          <w:sz w:val="24"/>
        </w:rPr>
        <w:t>3.4</w:t>
      </w:r>
      <w:r>
        <w:rPr>
          <w:rFonts w:hint="eastAsia" w:ascii="Times New Roman" w:hAnsi="Times New Roman"/>
          <w:b/>
          <w:color w:val="000000"/>
          <w:spacing w:val="-2"/>
          <w:sz w:val="24"/>
        </w:rPr>
        <w:t xml:space="preserve"> 本项目适用的扣件式脚手架搭设、拆除相关现行法律法规、技术标准规范。</w:t>
      </w:r>
    </w:p>
    <w:p>
      <w:pPr>
        <w:spacing w:line="360" w:lineRule="auto"/>
        <w:ind w:firstLine="590" w:firstLineChars="250"/>
        <w:rPr>
          <w:rFonts w:hint="eastAsia" w:ascii="Times New Roman" w:hAnsi="Times New Roman" w:eastAsia="黑体"/>
          <w:color w:val="000000"/>
          <w:spacing w:val="-2"/>
          <w:sz w:val="24"/>
        </w:rPr>
      </w:pPr>
    </w:p>
    <w:p>
      <w:pPr>
        <w:spacing w:line="360" w:lineRule="auto"/>
        <w:ind w:firstLine="590" w:firstLineChars="250"/>
        <w:rPr>
          <w:rFonts w:hint="eastAsia" w:ascii="Times New Roman"/>
          <w:color w:val="000000"/>
          <w:spacing w:val="-2"/>
        </w:rPr>
      </w:pPr>
      <w:r>
        <w:rPr>
          <w:rFonts w:hint="eastAsia" w:ascii="Times New Roman" w:hAnsi="Times New Roman" w:eastAsia="黑体"/>
          <w:color w:val="000000"/>
          <w:spacing w:val="-2"/>
          <w:sz w:val="24"/>
        </w:rPr>
        <w:t>扣件式钢管脚手架搭设、拆除工程相关法律法规、技术标准规范一览表</w:t>
      </w:r>
      <w:r>
        <w:rPr>
          <w:rFonts w:hint="eastAsia" w:ascii="Times New Roman" w:hAnsi="Times New Roman"/>
          <w:b/>
          <w:color w:val="000000"/>
          <w:spacing w:val="-2"/>
        </w:rPr>
        <w:t xml:space="preserve"> </w:t>
      </w:r>
      <w:r>
        <w:rPr>
          <w:rFonts w:hint="eastAsia" w:ascii="Times New Roman" w:hAnsi="Times New Roman"/>
          <w:color w:val="000000"/>
          <w:spacing w:val="-2"/>
        </w:rPr>
        <w:t xml:space="preserve">   表3.1</w:t>
      </w: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2"/>
        <w:gridCol w:w="5985"/>
        <w:gridCol w:w="214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12" w:type="dxa"/>
            <w:tcBorders>
              <w:top w:val="single" w:color="auto" w:sz="8" w:space="0"/>
              <w:left w:val="single" w:color="auto" w:sz="8" w:space="0"/>
              <w:bottom w:val="single" w:color="auto" w:sz="4" w:space="0"/>
              <w:right w:val="single" w:color="auto" w:sz="4" w:space="0"/>
            </w:tcBorders>
            <w:noWrap w:val="0"/>
            <w:vAlign w:val="center"/>
          </w:tcPr>
          <w:p>
            <w:pPr>
              <w:spacing w:line="240" w:lineRule="exact"/>
              <w:jc w:val="center"/>
              <w:rPr>
                <w:rFonts w:ascii="Times New Roman" w:eastAsia="黑体"/>
                <w:color w:val="000000"/>
                <w:spacing w:val="-2"/>
              </w:rPr>
            </w:pPr>
            <w:r>
              <w:rPr>
                <w:rFonts w:hint="eastAsia" w:ascii="Times New Roman" w:hAnsi="Times New Roman" w:eastAsia="黑体"/>
                <w:color w:val="000000"/>
                <w:spacing w:val="-2"/>
              </w:rPr>
              <w:t>序 号</w:t>
            </w:r>
          </w:p>
        </w:tc>
        <w:tc>
          <w:tcPr>
            <w:tcW w:w="5985" w:type="dxa"/>
            <w:tcBorders>
              <w:top w:val="single" w:color="auto" w:sz="8" w:space="0"/>
              <w:left w:val="single" w:color="auto" w:sz="4" w:space="0"/>
              <w:bottom w:val="single" w:color="auto" w:sz="4" w:space="0"/>
              <w:right w:val="single" w:color="auto" w:sz="4" w:space="0"/>
            </w:tcBorders>
            <w:noWrap w:val="0"/>
            <w:vAlign w:val="center"/>
          </w:tcPr>
          <w:p>
            <w:pPr>
              <w:spacing w:line="240" w:lineRule="exact"/>
              <w:jc w:val="center"/>
              <w:rPr>
                <w:rFonts w:ascii="Times New Roman" w:eastAsia="黑体"/>
                <w:color w:val="000000"/>
                <w:spacing w:val="-2"/>
              </w:rPr>
            </w:pPr>
            <w:r>
              <w:rPr>
                <w:rFonts w:hint="eastAsia" w:ascii="Times New Roman" w:hAnsi="Times New Roman" w:eastAsia="黑体"/>
                <w:color w:val="000000"/>
                <w:spacing w:val="-2"/>
              </w:rPr>
              <w:t>名              称</w:t>
            </w:r>
          </w:p>
        </w:tc>
        <w:tc>
          <w:tcPr>
            <w:tcW w:w="2149" w:type="dxa"/>
            <w:tcBorders>
              <w:top w:val="single" w:color="auto" w:sz="8" w:space="0"/>
              <w:left w:val="single" w:color="auto" w:sz="4" w:space="0"/>
              <w:bottom w:val="single" w:color="auto" w:sz="4" w:space="0"/>
              <w:right w:val="single" w:color="auto" w:sz="8" w:space="0"/>
            </w:tcBorders>
            <w:noWrap w:val="0"/>
            <w:vAlign w:val="center"/>
          </w:tcPr>
          <w:p>
            <w:pPr>
              <w:spacing w:line="240" w:lineRule="exact"/>
              <w:jc w:val="center"/>
              <w:rPr>
                <w:rFonts w:ascii="Times New Roman" w:eastAsia="黑体"/>
                <w:color w:val="000000"/>
                <w:spacing w:val="-2"/>
              </w:rPr>
            </w:pPr>
            <w:r>
              <w:rPr>
                <w:rFonts w:hint="eastAsia" w:ascii="Times New Roman" w:hAnsi="Times New Roman" w:eastAsia="黑体"/>
                <w:color w:val="000000"/>
                <w:spacing w:val="-2"/>
              </w:rPr>
              <w:t>编   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12" w:type="dxa"/>
            <w:tcBorders>
              <w:top w:val="single" w:color="auto" w:sz="4" w:space="0"/>
              <w:left w:val="single" w:color="auto" w:sz="8" w:space="0"/>
              <w:bottom w:val="single" w:color="auto" w:sz="4" w:space="0"/>
              <w:right w:val="single" w:color="auto" w:sz="4" w:space="0"/>
            </w:tcBorders>
            <w:noWrap w:val="0"/>
            <w:vAlign w:val="top"/>
          </w:tcPr>
          <w:p>
            <w:pPr>
              <w:rPr>
                <w:rFonts w:ascii="Times New Roman"/>
                <w:color w:val="000000"/>
                <w:spacing w:val="-2"/>
              </w:rPr>
            </w:pPr>
          </w:p>
        </w:tc>
        <w:tc>
          <w:tcPr>
            <w:tcW w:w="5985" w:type="dxa"/>
            <w:tcBorders>
              <w:top w:val="single" w:color="auto" w:sz="4" w:space="0"/>
              <w:left w:val="single" w:color="auto" w:sz="4" w:space="0"/>
              <w:bottom w:val="single" w:color="auto" w:sz="4" w:space="0"/>
              <w:right w:val="single" w:color="auto" w:sz="4" w:space="0"/>
            </w:tcBorders>
            <w:noWrap w:val="0"/>
            <w:vAlign w:val="top"/>
          </w:tcPr>
          <w:p>
            <w:pPr>
              <w:rPr>
                <w:rFonts w:ascii="Times New Roman"/>
                <w:color w:val="000000"/>
                <w:spacing w:val="-2"/>
              </w:rPr>
            </w:pPr>
          </w:p>
        </w:tc>
        <w:tc>
          <w:tcPr>
            <w:tcW w:w="2149" w:type="dxa"/>
            <w:tcBorders>
              <w:top w:val="single" w:color="auto" w:sz="4" w:space="0"/>
              <w:left w:val="single" w:color="auto" w:sz="4" w:space="0"/>
              <w:bottom w:val="single" w:color="auto" w:sz="4" w:space="0"/>
              <w:right w:val="single" w:color="auto" w:sz="8" w:space="0"/>
            </w:tcBorders>
            <w:noWrap w:val="0"/>
            <w:vAlign w:val="top"/>
          </w:tcPr>
          <w:p>
            <w:pPr>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12" w:type="dxa"/>
            <w:tcBorders>
              <w:top w:val="single" w:color="auto" w:sz="4" w:space="0"/>
              <w:left w:val="single" w:color="auto" w:sz="8" w:space="0"/>
              <w:bottom w:val="single" w:color="auto" w:sz="4" w:space="0"/>
              <w:right w:val="single" w:color="auto" w:sz="4" w:space="0"/>
            </w:tcBorders>
            <w:noWrap w:val="0"/>
            <w:vAlign w:val="top"/>
          </w:tcPr>
          <w:p>
            <w:pPr>
              <w:rPr>
                <w:rFonts w:ascii="Times New Roman"/>
                <w:color w:val="000000"/>
                <w:spacing w:val="-2"/>
              </w:rPr>
            </w:pPr>
          </w:p>
        </w:tc>
        <w:tc>
          <w:tcPr>
            <w:tcW w:w="5985" w:type="dxa"/>
            <w:tcBorders>
              <w:top w:val="single" w:color="auto" w:sz="4" w:space="0"/>
              <w:left w:val="single" w:color="auto" w:sz="4" w:space="0"/>
              <w:bottom w:val="single" w:color="auto" w:sz="4" w:space="0"/>
              <w:right w:val="single" w:color="auto" w:sz="4" w:space="0"/>
            </w:tcBorders>
            <w:noWrap w:val="0"/>
            <w:vAlign w:val="top"/>
          </w:tcPr>
          <w:p>
            <w:pPr>
              <w:rPr>
                <w:rFonts w:ascii="Times New Roman"/>
                <w:color w:val="000000"/>
                <w:spacing w:val="-2"/>
              </w:rPr>
            </w:pPr>
          </w:p>
        </w:tc>
        <w:tc>
          <w:tcPr>
            <w:tcW w:w="2149" w:type="dxa"/>
            <w:tcBorders>
              <w:top w:val="single" w:color="auto" w:sz="4" w:space="0"/>
              <w:left w:val="single" w:color="auto" w:sz="4" w:space="0"/>
              <w:bottom w:val="single" w:color="auto" w:sz="4" w:space="0"/>
              <w:right w:val="single" w:color="auto" w:sz="8" w:space="0"/>
            </w:tcBorders>
            <w:noWrap w:val="0"/>
            <w:vAlign w:val="top"/>
          </w:tcPr>
          <w:p>
            <w:pPr>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12" w:type="dxa"/>
            <w:tcBorders>
              <w:top w:val="single" w:color="auto" w:sz="4" w:space="0"/>
              <w:left w:val="single" w:color="auto" w:sz="8" w:space="0"/>
              <w:bottom w:val="single" w:color="auto" w:sz="4" w:space="0"/>
              <w:right w:val="single" w:color="auto" w:sz="4" w:space="0"/>
            </w:tcBorders>
            <w:noWrap w:val="0"/>
            <w:vAlign w:val="top"/>
          </w:tcPr>
          <w:p>
            <w:pPr>
              <w:rPr>
                <w:rFonts w:ascii="Times New Roman"/>
                <w:color w:val="000000"/>
                <w:spacing w:val="-2"/>
              </w:rPr>
            </w:pPr>
          </w:p>
        </w:tc>
        <w:tc>
          <w:tcPr>
            <w:tcW w:w="5985" w:type="dxa"/>
            <w:tcBorders>
              <w:top w:val="single" w:color="auto" w:sz="4" w:space="0"/>
              <w:left w:val="single" w:color="auto" w:sz="4" w:space="0"/>
              <w:bottom w:val="single" w:color="auto" w:sz="4" w:space="0"/>
              <w:right w:val="single" w:color="auto" w:sz="4" w:space="0"/>
            </w:tcBorders>
            <w:noWrap w:val="0"/>
            <w:vAlign w:val="top"/>
          </w:tcPr>
          <w:p>
            <w:pPr>
              <w:rPr>
                <w:rFonts w:ascii="Times New Roman"/>
                <w:color w:val="000000"/>
                <w:spacing w:val="-2"/>
              </w:rPr>
            </w:pPr>
          </w:p>
        </w:tc>
        <w:tc>
          <w:tcPr>
            <w:tcW w:w="2149" w:type="dxa"/>
            <w:tcBorders>
              <w:top w:val="single" w:color="auto" w:sz="4" w:space="0"/>
              <w:left w:val="single" w:color="auto" w:sz="4" w:space="0"/>
              <w:bottom w:val="single" w:color="auto" w:sz="4" w:space="0"/>
              <w:right w:val="single" w:color="auto" w:sz="8" w:space="0"/>
            </w:tcBorders>
            <w:noWrap w:val="0"/>
            <w:vAlign w:val="top"/>
          </w:tcPr>
          <w:p>
            <w:pPr>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12" w:type="dxa"/>
            <w:tcBorders>
              <w:top w:val="single" w:color="auto" w:sz="4" w:space="0"/>
              <w:left w:val="single" w:color="auto" w:sz="8" w:space="0"/>
              <w:bottom w:val="single" w:color="auto" w:sz="4" w:space="0"/>
              <w:right w:val="single" w:color="auto" w:sz="4" w:space="0"/>
            </w:tcBorders>
            <w:noWrap w:val="0"/>
            <w:vAlign w:val="top"/>
          </w:tcPr>
          <w:p>
            <w:pPr>
              <w:rPr>
                <w:rFonts w:ascii="Times New Roman"/>
                <w:color w:val="000000"/>
                <w:spacing w:val="-2"/>
              </w:rPr>
            </w:pPr>
          </w:p>
        </w:tc>
        <w:tc>
          <w:tcPr>
            <w:tcW w:w="5985" w:type="dxa"/>
            <w:tcBorders>
              <w:top w:val="single" w:color="auto" w:sz="4" w:space="0"/>
              <w:left w:val="single" w:color="auto" w:sz="4" w:space="0"/>
              <w:bottom w:val="single" w:color="auto" w:sz="4" w:space="0"/>
              <w:right w:val="single" w:color="auto" w:sz="4" w:space="0"/>
            </w:tcBorders>
            <w:noWrap w:val="0"/>
            <w:vAlign w:val="top"/>
          </w:tcPr>
          <w:p>
            <w:pPr>
              <w:rPr>
                <w:rFonts w:ascii="Times New Roman"/>
                <w:color w:val="000000"/>
                <w:spacing w:val="-2"/>
              </w:rPr>
            </w:pPr>
          </w:p>
        </w:tc>
        <w:tc>
          <w:tcPr>
            <w:tcW w:w="2149" w:type="dxa"/>
            <w:tcBorders>
              <w:top w:val="single" w:color="auto" w:sz="4" w:space="0"/>
              <w:left w:val="single" w:color="auto" w:sz="4" w:space="0"/>
              <w:bottom w:val="single" w:color="auto" w:sz="4" w:space="0"/>
              <w:right w:val="single" w:color="auto" w:sz="8" w:space="0"/>
            </w:tcBorders>
            <w:noWrap w:val="0"/>
            <w:vAlign w:val="top"/>
          </w:tcPr>
          <w:p>
            <w:pPr>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12" w:type="dxa"/>
            <w:tcBorders>
              <w:top w:val="single" w:color="auto" w:sz="4" w:space="0"/>
              <w:left w:val="single" w:color="auto" w:sz="8" w:space="0"/>
              <w:bottom w:val="single" w:color="auto" w:sz="8" w:space="0"/>
              <w:right w:val="single" w:color="auto" w:sz="4" w:space="0"/>
            </w:tcBorders>
            <w:noWrap w:val="0"/>
            <w:vAlign w:val="top"/>
          </w:tcPr>
          <w:p>
            <w:pPr>
              <w:rPr>
                <w:rFonts w:ascii="Times New Roman"/>
                <w:color w:val="000000"/>
                <w:spacing w:val="-2"/>
              </w:rPr>
            </w:pPr>
          </w:p>
        </w:tc>
        <w:tc>
          <w:tcPr>
            <w:tcW w:w="5985" w:type="dxa"/>
            <w:tcBorders>
              <w:top w:val="single" w:color="auto" w:sz="4" w:space="0"/>
              <w:left w:val="single" w:color="auto" w:sz="4" w:space="0"/>
              <w:bottom w:val="single" w:color="auto" w:sz="8" w:space="0"/>
              <w:right w:val="single" w:color="auto" w:sz="4" w:space="0"/>
            </w:tcBorders>
            <w:noWrap w:val="0"/>
            <w:vAlign w:val="top"/>
          </w:tcPr>
          <w:p>
            <w:pPr>
              <w:rPr>
                <w:rFonts w:ascii="Times New Roman"/>
                <w:color w:val="000000"/>
                <w:spacing w:val="-2"/>
              </w:rPr>
            </w:pPr>
          </w:p>
        </w:tc>
        <w:tc>
          <w:tcPr>
            <w:tcW w:w="2149" w:type="dxa"/>
            <w:tcBorders>
              <w:top w:val="single" w:color="auto" w:sz="4" w:space="0"/>
              <w:left w:val="single" w:color="auto" w:sz="4" w:space="0"/>
              <w:bottom w:val="single" w:color="auto" w:sz="8" w:space="0"/>
              <w:right w:val="single" w:color="auto" w:sz="8" w:space="0"/>
            </w:tcBorders>
            <w:noWrap w:val="0"/>
            <w:vAlign w:val="top"/>
          </w:tcPr>
          <w:p>
            <w:pPr>
              <w:rPr>
                <w:rFonts w:ascii="Times New Roman"/>
                <w:color w:val="000000"/>
                <w:spacing w:val="-2"/>
              </w:rPr>
            </w:pPr>
          </w:p>
        </w:tc>
      </w:tr>
    </w:tbl>
    <w:p>
      <w:pPr>
        <w:spacing w:line="460" w:lineRule="exact"/>
        <w:rPr>
          <w:rFonts w:hint="eastAsia" w:ascii="Times New Roman"/>
          <w:color w:val="000000"/>
          <w:spacing w:val="-2"/>
        </w:rPr>
      </w:pPr>
      <w:r>
        <w:rPr>
          <w:b/>
          <w:color w:val="000000"/>
          <w:spacing w:val="-2"/>
          <w:sz w:val="24"/>
        </w:rPr>
        <w:t xml:space="preserve">3.5 </w:t>
      </w:r>
      <w:r>
        <w:rPr>
          <w:rFonts w:hint="eastAsia" w:ascii="Times New Roman" w:hAnsi="Times New Roman"/>
          <w:b/>
          <w:color w:val="000000"/>
          <w:spacing w:val="-2"/>
          <w:sz w:val="24"/>
        </w:rPr>
        <w:t>其它依据:</w:t>
      </w:r>
    </w:p>
    <w:p>
      <w:pPr>
        <w:spacing w:before="240" w:beforeLines="100" w:after="240" w:afterLines="100"/>
        <w:rPr>
          <w:rFonts w:hint="eastAsia"/>
          <w:b/>
          <w:color w:val="000000"/>
          <w:spacing w:val="-2"/>
          <w:sz w:val="28"/>
          <w:szCs w:val="28"/>
        </w:rPr>
      </w:pPr>
      <w:r>
        <w:rPr>
          <w:b/>
          <w:color w:val="000000"/>
          <w:spacing w:val="-2"/>
          <w:sz w:val="28"/>
          <w:szCs w:val="28"/>
        </w:rPr>
        <w:t xml:space="preserve">4  </w:t>
      </w:r>
      <w:r>
        <w:rPr>
          <w:rFonts w:hint="eastAsia"/>
          <w:b/>
          <w:color w:val="000000"/>
          <w:spacing w:val="-2"/>
          <w:sz w:val="28"/>
          <w:szCs w:val="28"/>
        </w:rPr>
        <w:t>监理组织架构</w:t>
      </w:r>
    </w:p>
    <w:p>
      <w:pPr>
        <w:spacing w:line="460" w:lineRule="exact"/>
        <w:rPr>
          <w:rFonts w:ascii="Times New Roman"/>
          <w:b/>
          <w:color w:val="000000"/>
          <w:spacing w:val="-2"/>
          <w:sz w:val="24"/>
        </w:rPr>
      </w:pPr>
      <w:r>
        <w:rPr>
          <w:rFonts w:hint="eastAsia" w:ascii="Times New Roman" w:hAnsi="Times New Roman"/>
          <w:b/>
          <w:color w:val="000000"/>
          <w:spacing w:val="-2"/>
          <w:sz w:val="24"/>
        </w:rPr>
        <w:t>4.1 扣件式钢管脚手架搭设工程监理组织架构框图:（示意，图框中可添加人员姓名）</w:t>
      </w:r>
    </w:p>
    <w:p>
      <w:pPr>
        <w:spacing w:before="100" w:beforeAutospacing="1" w:after="100" w:afterAutospacing="1"/>
        <w:rPr>
          <w:rFonts w:hint="eastAsia" w:ascii="Times New Roman"/>
          <w:b/>
          <w:color w:val="000000"/>
          <w:spacing w:val="-2"/>
          <w:sz w:val="24"/>
        </w:rPr>
      </w:pPr>
      <w:r>
        <w:rPr>
          <w:rFonts w:hint="eastAsia"/>
        </w:rPr>
        <mc:AlternateContent>
          <mc:Choice Requires="wpg">
            <w:drawing>
              <wp:anchor distT="0" distB="0" distL="114300" distR="114300" simplePos="0" relativeHeight="251664384" behindDoc="0" locked="0" layoutInCell="1" allowOverlap="1">
                <wp:simplePos x="0" y="0"/>
                <wp:positionH relativeFrom="column">
                  <wp:posOffset>161290</wp:posOffset>
                </wp:positionH>
                <wp:positionV relativeFrom="paragraph">
                  <wp:posOffset>133985</wp:posOffset>
                </wp:positionV>
                <wp:extent cx="5505450" cy="1000125"/>
                <wp:effectExtent l="4445" t="4445" r="14605" b="5080"/>
                <wp:wrapNone/>
                <wp:docPr id="18" name="组合 18"/>
                <wp:cNvGraphicFramePr/>
                <a:graphic xmlns:a="http://schemas.openxmlformats.org/drawingml/2006/main">
                  <a:graphicData uri="http://schemas.microsoft.com/office/word/2010/wordprocessingGroup">
                    <wpg:wgp>
                      <wpg:cNvGrpSpPr/>
                      <wpg:grpSpPr>
                        <a:xfrm>
                          <a:off x="0" y="0"/>
                          <a:ext cx="5505450" cy="1000125"/>
                          <a:chOff x="1613" y="3987"/>
                          <a:chExt cx="8670" cy="1575"/>
                        </a:xfrm>
                      </wpg:grpSpPr>
                      <wps:wsp>
                        <wps:cNvPr id="8" name="文本框 8"/>
                        <wps:cNvSpPr txBox="1"/>
                        <wps:spPr>
                          <a:xfrm>
                            <a:off x="4433" y="3987"/>
                            <a:ext cx="1691"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txbxContent>
                        </wps:txbx>
                        <wps:bodyPr upright="1"/>
                      </wps:wsp>
                      <wps:wsp>
                        <wps:cNvPr id="9" name="文本框 9"/>
                        <wps:cNvSpPr txBox="1"/>
                        <wps:spPr>
                          <a:xfrm>
                            <a:off x="1613" y="5082"/>
                            <a:ext cx="2235"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txbxContent>
                        </wps:txbx>
                        <wps:bodyPr upright="1"/>
                      </wps:wsp>
                      <wps:wsp>
                        <wps:cNvPr id="10" name="文本框 10"/>
                        <wps:cNvSpPr txBox="1"/>
                        <wps:spPr>
                          <a:xfrm>
                            <a:off x="4118" y="5082"/>
                            <a:ext cx="1796"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txbxContent>
                        </wps:txbx>
                        <wps:bodyPr upright="1"/>
                      </wps:wsp>
                      <wps:wsp>
                        <wps:cNvPr id="11" name="文本框 11"/>
                        <wps:cNvSpPr txBox="1"/>
                        <wps:spPr>
                          <a:xfrm>
                            <a:off x="6203" y="5082"/>
                            <a:ext cx="2310"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txbxContent>
                        </wps:txbx>
                        <wps:bodyPr upright="1"/>
                      </wps:wsp>
                      <wps:wsp>
                        <wps:cNvPr id="12" name="文本框 12"/>
                        <wps:cNvSpPr txBox="1"/>
                        <wps:spPr>
                          <a:xfrm>
                            <a:off x="8858" y="5082"/>
                            <a:ext cx="1425"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txbxContent>
                        </wps:txbx>
                        <wps:bodyPr upright="1"/>
                      </wps:wsp>
                      <wps:wsp>
                        <wps:cNvPr id="13" name="直接箭头连接符 13"/>
                        <wps:cNvCnPr/>
                        <wps:spPr>
                          <a:xfrm>
                            <a:off x="5213" y="4467"/>
                            <a:ext cx="15" cy="615"/>
                          </a:xfrm>
                          <a:prstGeom prst="straightConnector1">
                            <a:avLst/>
                          </a:prstGeom>
                          <a:ln w="9525" cap="flat" cmpd="sng">
                            <a:solidFill>
                              <a:srgbClr val="000000"/>
                            </a:solidFill>
                            <a:prstDash val="solid"/>
                            <a:headEnd type="none" w="med" len="med"/>
                            <a:tailEnd type="triangle" w="med" len="med"/>
                          </a:ln>
                        </wps:spPr>
                        <wps:bodyPr/>
                      </wps:wsp>
                      <wps:wsp>
                        <wps:cNvPr id="14" name="直接箭头连接符 14"/>
                        <wps:cNvCnPr/>
                        <wps:spPr>
                          <a:xfrm>
                            <a:off x="2423" y="4722"/>
                            <a:ext cx="7125" cy="0"/>
                          </a:xfrm>
                          <a:prstGeom prst="straightConnector1">
                            <a:avLst/>
                          </a:prstGeom>
                          <a:ln w="9525" cap="flat" cmpd="sng">
                            <a:solidFill>
                              <a:srgbClr val="000000"/>
                            </a:solidFill>
                            <a:prstDash val="solid"/>
                            <a:headEnd type="none" w="med" len="med"/>
                            <a:tailEnd type="none" w="med" len="med"/>
                          </a:ln>
                        </wps:spPr>
                        <wps:bodyPr/>
                      </wps:wsp>
                      <wps:wsp>
                        <wps:cNvPr id="15" name="直接箭头连接符 15"/>
                        <wps:cNvCnPr/>
                        <wps:spPr>
                          <a:xfrm>
                            <a:off x="2423" y="4722"/>
                            <a:ext cx="15" cy="360"/>
                          </a:xfrm>
                          <a:prstGeom prst="straightConnector1">
                            <a:avLst/>
                          </a:prstGeom>
                          <a:ln w="9525" cap="flat" cmpd="sng">
                            <a:solidFill>
                              <a:srgbClr val="000000"/>
                            </a:solidFill>
                            <a:prstDash val="solid"/>
                            <a:headEnd type="none" w="med" len="med"/>
                            <a:tailEnd type="triangle" w="med" len="med"/>
                          </a:ln>
                        </wps:spPr>
                        <wps:bodyPr/>
                      </wps:wsp>
                      <wps:wsp>
                        <wps:cNvPr id="16" name="直接箭头连接符 16"/>
                        <wps:cNvCnPr/>
                        <wps:spPr>
                          <a:xfrm>
                            <a:off x="9548" y="4722"/>
                            <a:ext cx="0" cy="360"/>
                          </a:xfrm>
                          <a:prstGeom prst="straightConnector1">
                            <a:avLst/>
                          </a:prstGeom>
                          <a:ln w="9525" cap="flat" cmpd="sng">
                            <a:solidFill>
                              <a:srgbClr val="000000"/>
                            </a:solidFill>
                            <a:prstDash val="solid"/>
                            <a:headEnd type="none" w="med" len="med"/>
                            <a:tailEnd type="triangle" w="med" len="med"/>
                          </a:ln>
                        </wps:spPr>
                        <wps:bodyPr/>
                      </wps:wsp>
                      <wps:wsp>
                        <wps:cNvPr id="17" name="直接箭头连接符 17"/>
                        <wps:cNvCnPr/>
                        <wps:spPr>
                          <a:xfrm>
                            <a:off x="7418" y="4722"/>
                            <a:ext cx="15" cy="360"/>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12.7pt;margin-top:10.55pt;height:78.75pt;width:433.5pt;z-index:251664384;mso-width-relative:page;mso-height-relative:page;" coordorigin="1613,3987" coordsize="8670,1575" o:gfxdata="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">
                <o:lock v:ext="edit" aspectratio="f"/>
                <v:shape id="_x0000_s1026" o:spid="_x0000_s1026" o:spt="202" type="#_x0000_t202" style="position:absolute;left:4433;top:3987;height:480;width:1691;" fillcolor="#FFFFFF" filled="t" stroked="t" coordsize="21600,21600" o:gfxdata="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t26e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txbxContent>
                  </v:textbox>
                </v:shape>
                <v:shape id="_x0000_s1026" o:spid="_x0000_s1026" o:spt="202" type="#_x0000_t202" style="position:absolute;left:1613;top:5082;height:480;width:2235;" fillcolor="#FFFFFF" filled="t" stroked="t" coordsize="21600,21600" o:gfxdata="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oX48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txbxContent>
                  </v:textbox>
                </v:shape>
                <v:shape id="_x0000_s1026" o:spid="_x0000_s1026" o:spt="202" type="#_x0000_t202" style="position:absolute;left:4118;top:5082;height:480;width:1796;" fillcolor="#FFFFFF" filled="t" stroked="t" coordsize="21600,21600" o:gfxdata="UEsDBAoAAAAAAIdO4kAAAAAAAAAAAAAAAAAEAAAAZHJzL1BLAwQUAAAACACHTuJAeUTf2b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3r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Tf2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txbxContent>
                  </v:textbox>
                </v:shape>
                <v:shape id="_x0000_s1026" o:spid="_x0000_s1026" o:spt="202" type="#_x0000_t202" style="position:absolute;left:6203;top:5082;height:480;width:2310;" fillcolor="#FFFFFF" filled="t" stroked="t" coordsize="21600,21600" o:gfxdata="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gh6Q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txbxContent>
                  </v:textbox>
                </v:shape>
                <v:shape id="_x0000_s1026" o:spid="_x0000_s1026" o:spt="202" type="#_x0000_t202" style="position:absolute;left:8858;top:5082;height:480;width:1425;" fillcolor="#FFFFFF" filled="t" stroked="t" coordsize="21600,21600" o:gfxdata="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2uQ1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txbxContent>
                  </v:textbox>
                </v:shape>
                <v:shape id="_x0000_s1026" o:spid="_x0000_s1026" o:spt="32" type="#_x0000_t32" style="position:absolute;left:5213;top:4467;height:615;width:15;" filled="f" stroked="t" coordsize="21600,21600" o:gfxdata="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153j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32" type="#_x0000_t32" style="position:absolute;left:2423;top:4722;height:0;width:7125;" filled="f" stroked="t" coordsize="21600,21600" o:gfxdata="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3PQY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2423;top:4722;height:360;width:15;" filled="f" stroked="t" coordsize="21600,21600" o:gfxdata="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tKY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32" type="#_x0000_t32" style="position:absolute;left:9548;top:4722;height:360;width:0;" filled="f" stroked="t" coordsize="21600,21600" o:gfxdata="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8p1BW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7418;top:4722;height:360;width:15;" filled="f" stroked="t" coordsize="21600,21600" o:gfxdata="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lcY6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pPr>
        <w:spacing w:line="360" w:lineRule="auto"/>
        <w:rPr>
          <w:rFonts w:hint="eastAsia" w:ascii="Times New Roman"/>
          <w:color w:val="000000"/>
          <w:spacing w:val="-2"/>
        </w:rPr>
      </w:pPr>
    </w:p>
    <w:p>
      <w:pPr>
        <w:spacing w:line="360" w:lineRule="auto"/>
        <w:rPr>
          <w:rFonts w:hint="eastAsia" w:ascii="Times New Roman"/>
          <w:color w:val="000000"/>
          <w:spacing w:val="-2"/>
        </w:rPr>
      </w:pPr>
    </w:p>
    <w:p>
      <w:pPr>
        <w:spacing w:line="360" w:lineRule="auto"/>
        <w:rPr>
          <w:rFonts w:hint="eastAsia" w:ascii="Times New Roman"/>
          <w:color w:val="000000"/>
          <w:spacing w:val="-2"/>
        </w:rPr>
      </w:pPr>
    </w:p>
    <w:p>
      <w:pPr>
        <w:spacing w:line="360" w:lineRule="auto"/>
        <w:jc w:val="center"/>
        <w:rPr>
          <w:rFonts w:hint="eastAsia" w:eastAsia="黑体"/>
          <w:color w:val="000000"/>
          <w:spacing w:val="-2"/>
        </w:rPr>
      </w:pPr>
      <w:r>
        <w:rPr>
          <w:rFonts w:hint="eastAsia" w:eastAsia="黑体"/>
          <w:color w:val="000000"/>
          <w:spacing w:val="-2"/>
        </w:rPr>
        <w:t>图</w:t>
      </w:r>
      <w:r>
        <w:rPr>
          <w:rFonts w:eastAsia="黑体"/>
          <w:color w:val="000000"/>
          <w:spacing w:val="-2"/>
        </w:rPr>
        <w:t xml:space="preserve">4.1 </w:t>
      </w:r>
      <w:r>
        <w:rPr>
          <w:rFonts w:hint="eastAsia" w:eastAsia="黑体"/>
          <w:color w:val="000000"/>
          <w:spacing w:val="-2"/>
        </w:rPr>
        <w:t>监理组织架构框图</w:t>
      </w:r>
    </w:p>
    <w:p>
      <w:pPr>
        <w:spacing w:before="240" w:beforeLines="100" w:after="240" w:afterLines="100"/>
        <w:rPr>
          <w:b/>
          <w:color w:val="000000"/>
          <w:spacing w:val="-2"/>
          <w:sz w:val="28"/>
          <w:szCs w:val="28"/>
        </w:rPr>
      </w:pPr>
      <w:r>
        <w:rPr>
          <w:b/>
          <w:color w:val="000000"/>
          <w:spacing w:val="-2"/>
          <w:sz w:val="28"/>
          <w:szCs w:val="28"/>
        </w:rPr>
        <w:br w:type="column"/>
      </w:r>
      <w:r>
        <w:rPr>
          <w:b/>
          <w:color w:val="000000"/>
          <w:spacing w:val="-2"/>
          <w:sz w:val="28"/>
          <w:szCs w:val="28"/>
        </w:rPr>
        <w:t xml:space="preserve">5 </w:t>
      </w:r>
      <w:r>
        <w:rPr>
          <w:rFonts w:hint="eastAsia"/>
          <w:b/>
          <w:color w:val="000000"/>
          <w:spacing w:val="-2"/>
          <w:sz w:val="28"/>
          <w:szCs w:val="28"/>
        </w:rPr>
        <w:t>监理工作的主要流程（用框图表示）</w:t>
      </w:r>
    </w:p>
    <w:p>
      <w:pPr>
        <w:spacing w:line="460" w:lineRule="exact"/>
        <w:rPr>
          <w:rFonts w:ascii="Times New Roman"/>
          <w:b/>
          <w:color w:val="000000"/>
          <w:spacing w:val="-2"/>
          <w:sz w:val="24"/>
        </w:rPr>
      </w:pPr>
      <w:r>
        <mc:AlternateContent>
          <mc:Choice Requires="wpg">
            <w:drawing>
              <wp:anchor distT="0" distB="0" distL="114300" distR="114300" simplePos="0" relativeHeight="251665408" behindDoc="0" locked="0" layoutInCell="1" allowOverlap="1">
                <wp:simplePos x="0" y="0"/>
                <wp:positionH relativeFrom="column">
                  <wp:posOffset>1818640</wp:posOffset>
                </wp:positionH>
                <wp:positionV relativeFrom="paragraph">
                  <wp:posOffset>352425</wp:posOffset>
                </wp:positionV>
                <wp:extent cx="1943100" cy="2314575"/>
                <wp:effectExtent l="4445" t="5080" r="14605" b="4445"/>
                <wp:wrapNone/>
                <wp:docPr id="44" name="组合 44"/>
                <wp:cNvGraphicFramePr/>
                <a:graphic xmlns:a="http://schemas.openxmlformats.org/drawingml/2006/main">
                  <a:graphicData uri="http://schemas.microsoft.com/office/word/2010/wordprocessingGroup">
                    <wpg:wgp>
                      <wpg:cNvGrpSpPr/>
                      <wpg:grpSpPr>
                        <a:xfrm>
                          <a:off x="0" y="0"/>
                          <a:ext cx="1943100" cy="2314575"/>
                          <a:chOff x="4118" y="8036"/>
                          <a:chExt cx="3060" cy="3645"/>
                        </a:xfrm>
                      </wpg:grpSpPr>
                      <wps:wsp>
                        <wps:cNvPr id="37" name="文本框 37"/>
                        <wps:cNvSpPr txBox="1"/>
                        <wps:spPr>
                          <a:xfrm>
                            <a:off x="4118" y="8036"/>
                            <a:ext cx="2970"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txbxContent>
                        </wps:txbx>
                        <wps:bodyPr upright="1"/>
                      </wps:wsp>
                      <wps:wsp>
                        <wps:cNvPr id="38" name="文本框 38"/>
                        <wps:cNvSpPr txBox="1"/>
                        <wps:spPr>
                          <a:xfrm>
                            <a:off x="4208" y="9101"/>
                            <a:ext cx="2880"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txbxContent>
                        </wps:txbx>
                        <wps:bodyPr upright="1"/>
                      </wps:wsp>
                      <wps:wsp>
                        <wps:cNvPr id="39" name="文本框 39"/>
                        <wps:cNvSpPr txBox="1"/>
                        <wps:spPr>
                          <a:xfrm>
                            <a:off x="4208" y="10121"/>
                            <a:ext cx="2970"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txbxContent>
                        </wps:txbx>
                        <wps:bodyPr upright="1"/>
                      </wps:wsp>
                      <wps:wsp>
                        <wps:cNvPr id="40" name="文本框 40"/>
                        <wps:cNvSpPr txBox="1"/>
                        <wps:spPr>
                          <a:xfrm>
                            <a:off x="4208" y="11201"/>
                            <a:ext cx="2970"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txbxContent>
                        </wps:txbx>
                        <wps:bodyPr upright="1"/>
                      </wps:wsp>
                      <wps:wsp>
                        <wps:cNvPr id="41" name="直接箭头连接符 41"/>
                        <wps:cNvCnPr/>
                        <wps:spPr>
                          <a:xfrm>
                            <a:off x="5513" y="8516"/>
                            <a:ext cx="15" cy="615"/>
                          </a:xfrm>
                          <a:prstGeom prst="straightConnector1">
                            <a:avLst/>
                          </a:prstGeom>
                          <a:ln w="9525" cap="flat" cmpd="sng">
                            <a:solidFill>
                              <a:srgbClr val="000000"/>
                            </a:solidFill>
                            <a:prstDash val="solid"/>
                            <a:headEnd type="none" w="med" len="med"/>
                            <a:tailEnd type="triangle" w="med" len="med"/>
                          </a:ln>
                        </wps:spPr>
                        <wps:bodyPr/>
                      </wps:wsp>
                      <wps:wsp>
                        <wps:cNvPr id="42" name="直接箭头连接符 42"/>
                        <wps:cNvCnPr/>
                        <wps:spPr>
                          <a:xfrm>
                            <a:off x="5528" y="9581"/>
                            <a:ext cx="15" cy="615"/>
                          </a:xfrm>
                          <a:prstGeom prst="straightConnector1">
                            <a:avLst/>
                          </a:prstGeom>
                          <a:ln w="9525" cap="flat" cmpd="sng">
                            <a:solidFill>
                              <a:srgbClr val="000000"/>
                            </a:solidFill>
                            <a:prstDash val="solid"/>
                            <a:headEnd type="none" w="med" len="med"/>
                            <a:tailEnd type="triangle" w="med" len="med"/>
                          </a:ln>
                        </wps:spPr>
                        <wps:bodyPr/>
                      </wps:wsp>
                      <wps:wsp>
                        <wps:cNvPr id="43" name="直接箭头连接符 43"/>
                        <wps:cNvCnPr/>
                        <wps:spPr>
                          <a:xfrm>
                            <a:off x="5528" y="10635"/>
                            <a:ext cx="15" cy="615"/>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143.2pt;margin-top:27.75pt;height:182.25pt;width:153pt;z-index:251665408;mso-width-relative:page;mso-height-relative:page;" coordorigin="4118,8036" coordsize="3060,3645" o:gfxdata="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">
                <o:lock v:ext="edit" aspectratio="f"/>
                <v:shape id="_x0000_s1026" o:spid="_x0000_s1026" o:spt="202" type="#_x0000_t202" style="position:absolute;left:4118;top:8036;height:480;width:2970;" fillcolor="#FFFFFF" filled="t" stroked="t" coordsize="21600,21600" o:gfxdata="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gbz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txbxContent>
                  </v:textbox>
                </v:shape>
                <v:shape id="_x0000_s1026" o:spid="_x0000_s1026" o:spt="202" type="#_x0000_t202" style="position:absolute;left:4208;top:9101;height:480;width:2880;" fillcolor="#FFFFFF" filled="t" stroked="t" coordsize="21600,21600" o:gfxdata="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ePv7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txbxContent>
                  </v:textbox>
                </v:shape>
                <v:shape id="_x0000_s1026" o:spid="_x0000_s1026" o:spt="202" type="#_x0000_t202" style="position:absolute;left:4208;top:10121;height:480;width:2970;" fillcolor="#FFFFFF" filled="t" stroked="t" coordsize="21600,21600" o:gfxdata="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sqJ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txbxContent>
                  </v:textbox>
                </v:shape>
                <v:shape id="_x0000_s1026" o:spid="_x0000_s1026" o:spt="202" type="#_x0000_t202" style="position:absolute;left:4208;top:11201;height:480;width:2970;" fillcolor="#FFFFFF" filled="t" stroked="t" coordsize="21600,21600" o:gfxdata="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9/DE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txbxContent>
                  </v:textbox>
                </v:shape>
                <v:shape id="_x0000_s1026" o:spid="_x0000_s1026" o:spt="32" type="#_x0000_t32" style="position:absolute;left:5513;top:8516;height:615;width:15;" filled="f" stroked="t" coordsize="21600,21600" o:gfxdata="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3Njf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5528;top:9581;height:615;width:15;" filled="f" stroked="t" coordsize="21600,21600" o:gfxdata="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6H9C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5528;top:10635;height:615;width:15;" filled="f" stroked="t" coordsize="21600,21600" o:gfxdata="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1Yk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r>
        <w:rPr>
          <w:b/>
          <w:color w:val="000000"/>
          <w:spacing w:val="-2"/>
          <w:sz w:val="24"/>
        </w:rPr>
        <w:t>5.1</w:t>
      </w:r>
      <w:r>
        <w:rPr>
          <w:rFonts w:hint="eastAsia" w:ascii="Times New Roman" w:hAnsi="Times New Roman"/>
          <w:b/>
          <w:color w:val="000000"/>
          <w:spacing w:val="-2"/>
          <w:sz w:val="24"/>
        </w:rPr>
        <w:t xml:space="preserve"> 脚手架搭设、拆除工程监理的主要工作程序：（示意）</w:t>
      </w:r>
    </w:p>
    <w:p>
      <w:pPr>
        <w:spacing w:line="360" w:lineRule="auto"/>
        <w:rPr>
          <w:rFonts w:hint="eastAsia" w:ascii="Times New Roman"/>
          <w:color w:val="000000"/>
          <w:spacing w:val="-2"/>
        </w:rPr>
      </w:pPr>
      <w:r>
        <w:rPr>
          <w:rFonts w:hint="eastAsia" w:ascii="Times New Roman" w:hAnsi="Times New Roman"/>
          <w:color w:val="000000"/>
          <w:spacing w:val="-2"/>
        </w:rPr>
        <w:t xml:space="preserve">   </w:t>
      </w:r>
    </w:p>
    <w:p>
      <w:pPr>
        <w:spacing w:line="360" w:lineRule="auto"/>
        <w:rPr>
          <w:rFonts w:hint="eastAsia" w:ascii="Times New Roman"/>
          <w:color w:val="000000"/>
          <w:spacing w:val="-2"/>
        </w:rPr>
      </w:pPr>
    </w:p>
    <w:p>
      <w:pPr>
        <w:spacing w:line="360" w:lineRule="auto"/>
        <w:rPr>
          <w:rFonts w:hint="eastAsia" w:ascii="Times New Roman"/>
          <w:color w:val="000000"/>
          <w:spacing w:val="-2"/>
        </w:rPr>
      </w:pPr>
    </w:p>
    <w:p>
      <w:pPr>
        <w:spacing w:line="360" w:lineRule="auto"/>
        <w:rPr>
          <w:rFonts w:hint="eastAsia" w:ascii="Times New Roman"/>
          <w:color w:val="000000"/>
          <w:spacing w:val="-2"/>
        </w:rPr>
      </w:pPr>
    </w:p>
    <w:p>
      <w:pPr>
        <w:spacing w:line="360" w:lineRule="auto"/>
        <w:rPr>
          <w:rFonts w:hint="eastAsia" w:ascii="Times New Roman"/>
          <w:color w:val="000000"/>
          <w:spacing w:val="-2"/>
        </w:rPr>
      </w:pPr>
    </w:p>
    <w:p>
      <w:pPr>
        <w:spacing w:line="360" w:lineRule="auto"/>
        <w:rPr>
          <w:rFonts w:hint="eastAsia" w:ascii="Times New Roman"/>
          <w:color w:val="000000"/>
          <w:spacing w:val="-2"/>
        </w:rPr>
      </w:pPr>
    </w:p>
    <w:p>
      <w:pPr>
        <w:spacing w:line="360" w:lineRule="auto"/>
        <w:rPr>
          <w:rFonts w:hint="eastAsia" w:ascii="Times New Roman"/>
          <w:color w:val="000000"/>
          <w:spacing w:val="-2"/>
        </w:rPr>
      </w:pPr>
    </w:p>
    <w:p>
      <w:pPr>
        <w:spacing w:line="360" w:lineRule="auto"/>
        <w:rPr>
          <w:rFonts w:hint="eastAsia" w:ascii="Times New Roman"/>
          <w:color w:val="000000"/>
          <w:spacing w:val="-2"/>
        </w:rPr>
      </w:pPr>
    </w:p>
    <w:p>
      <w:pPr>
        <w:spacing w:line="360" w:lineRule="auto"/>
        <w:rPr>
          <w:rFonts w:hint="eastAsia" w:ascii="Times New Roman"/>
          <w:color w:val="000000"/>
          <w:spacing w:val="-2"/>
        </w:rPr>
      </w:pPr>
    </w:p>
    <w:p>
      <w:pPr>
        <w:spacing w:line="360" w:lineRule="auto"/>
        <w:rPr>
          <w:rFonts w:hint="eastAsia" w:ascii="Times New Roman"/>
          <w:color w:val="000000"/>
          <w:spacing w:val="-2"/>
        </w:rPr>
      </w:pPr>
    </w:p>
    <w:p>
      <w:pPr>
        <w:spacing w:line="360" w:lineRule="auto"/>
        <w:jc w:val="center"/>
        <w:rPr>
          <w:rFonts w:hint="eastAsia" w:eastAsia="黑体"/>
          <w:color w:val="000000"/>
          <w:spacing w:val="-2"/>
        </w:rPr>
      </w:pPr>
      <w:r>
        <w:rPr>
          <w:rFonts w:hint="eastAsia" w:eastAsia="黑体"/>
          <w:color w:val="000000"/>
          <w:spacing w:val="-2"/>
        </w:rPr>
        <w:t>图</w:t>
      </w:r>
      <w:r>
        <w:rPr>
          <w:rFonts w:eastAsia="黑体"/>
          <w:color w:val="000000"/>
          <w:spacing w:val="-2"/>
        </w:rPr>
        <w:t xml:space="preserve">5.1   </w:t>
      </w:r>
      <w:r>
        <w:rPr>
          <w:rFonts w:hint="eastAsia" w:eastAsia="黑体"/>
          <w:color w:val="000000"/>
          <w:spacing w:val="-2"/>
        </w:rPr>
        <w:t>脚手架搭设、拆除工程的监理工作程序</w:t>
      </w:r>
    </w:p>
    <w:p>
      <w:pPr>
        <w:spacing w:line="460" w:lineRule="exact"/>
        <w:rPr>
          <w:b/>
          <w:color w:val="000000"/>
          <w:spacing w:val="-2"/>
          <w:sz w:val="24"/>
        </w:rPr>
      </w:pPr>
      <w:r>
        <w:rPr>
          <w:b/>
          <w:color w:val="000000"/>
          <w:spacing w:val="-2"/>
          <w:sz w:val="24"/>
        </w:rPr>
        <w:t xml:space="preserve">5.2 </w:t>
      </w:r>
      <w:r>
        <w:rPr>
          <w:rFonts w:hint="eastAsia"/>
          <w:b/>
          <w:color w:val="000000"/>
          <w:spacing w:val="-2"/>
          <w:sz w:val="24"/>
        </w:rPr>
        <w:t>扣件式钢管脚手架专项施工方案审核程序：</w:t>
      </w:r>
      <w:r>
        <w:rPr>
          <w:b/>
          <w:color w:val="000000"/>
          <w:spacing w:val="-2"/>
          <w:sz w:val="24"/>
        </w:rPr>
        <w:t xml:space="preserve"> </w:t>
      </w:r>
    </w:p>
    <w:p>
      <w:pPr>
        <w:spacing w:line="460" w:lineRule="exact"/>
        <w:rPr>
          <w:b/>
          <w:color w:val="000000"/>
          <w:spacing w:val="-2"/>
          <w:sz w:val="24"/>
        </w:rPr>
      </w:pPr>
      <w:r>
        <w:rPr>
          <w:b/>
          <w:color w:val="000000"/>
          <w:spacing w:val="-2"/>
          <w:sz w:val="24"/>
        </w:rPr>
        <w:t xml:space="preserve">5.3 </w:t>
      </w:r>
      <w:r>
        <w:rPr>
          <w:rFonts w:hint="eastAsia"/>
          <w:b/>
          <w:color w:val="000000"/>
          <w:spacing w:val="-2"/>
          <w:sz w:val="24"/>
        </w:rPr>
        <w:t>分包单位资质审核监理工作程序：</w:t>
      </w:r>
      <w:r>
        <w:rPr>
          <w:b/>
          <w:color w:val="000000"/>
          <w:spacing w:val="-2"/>
          <w:sz w:val="24"/>
        </w:rPr>
        <w:t xml:space="preserve"> </w:t>
      </w:r>
    </w:p>
    <w:p>
      <w:pPr>
        <w:spacing w:line="460" w:lineRule="exact"/>
        <w:rPr>
          <w:b/>
          <w:color w:val="000000"/>
          <w:spacing w:val="-2"/>
          <w:sz w:val="24"/>
        </w:rPr>
      </w:pPr>
      <w:r>
        <w:rPr>
          <w:b/>
          <w:color w:val="000000"/>
          <w:spacing w:val="-2"/>
          <w:sz w:val="24"/>
        </w:rPr>
        <w:t xml:space="preserve">5.4 </w:t>
      </w:r>
      <w:r>
        <w:rPr>
          <w:rFonts w:hint="eastAsia"/>
          <w:b/>
          <w:color w:val="000000"/>
          <w:spacing w:val="-2"/>
          <w:sz w:val="24"/>
        </w:rPr>
        <w:t>扣件式钢管脚手架材料、构配件验收监理程序：</w:t>
      </w:r>
      <w:r>
        <w:rPr>
          <w:b/>
          <w:color w:val="000000"/>
          <w:spacing w:val="-2"/>
          <w:sz w:val="24"/>
        </w:rPr>
        <w:t xml:space="preserve"> </w:t>
      </w:r>
    </w:p>
    <w:p>
      <w:pPr>
        <w:spacing w:line="460" w:lineRule="exact"/>
        <w:rPr>
          <w:b/>
          <w:color w:val="000000"/>
          <w:spacing w:val="-2"/>
          <w:sz w:val="24"/>
        </w:rPr>
      </w:pPr>
      <w:r>
        <w:rPr>
          <w:b/>
          <w:color w:val="000000"/>
          <w:spacing w:val="-2"/>
          <w:sz w:val="24"/>
        </w:rPr>
        <w:t xml:space="preserve">5.5 </w:t>
      </w:r>
      <w:r>
        <w:rPr>
          <w:rFonts w:hint="eastAsia"/>
          <w:b/>
          <w:color w:val="000000"/>
          <w:spacing w:val="-2"/>
          <w:sz w:val="24"/>
        </w:rPr>
        <w:t>扣件式钢管脚手架搭设检查验收程序：</w:t>
      </w:r>
      <w:r>
        <w:rPr>
          <w:b/>
          <w:color w:val="000000"/>
          <w:spacing w:val="-2"/>
          <w:sz w:val="24"/>
        </w:rPr>
        <w:t xml:space="preserve"> </w:t>
      </w:r>
    </w:p>
    <w:p>
      <w:pPr>
        <w:spacing w:line="460" w:lineRule="exact"/>
        <w:rPr>
          <w:rFonts w:ascii="Times New Roman"/>
          <w:color w:val="000000"/>
          <w:spacing w:val="-2"/>
        </w:rPr>
      </w:pPr>
      <w:r>
        <w:rPr>
          <w:b/>
          <w:color w:val="000000"/>
          <w:spacing w:val="-2"/>
          <w:sz w:val="24"/>
        </w:rPr>
        <w:t>5.6</w:t>
      </w:r>
      <w:r>
        <w:rPr>
          <w:rFonts w:hint="eastAsia" w:ascii="Times New Roman" w:hAnsi="Times New Roman"/>
          <w:b/>
          <w:color w:val="000000"/>
          <w:spacing w:val="-2"/>
          <w:sz w:val="24"/>
        </w:rPr>
        <w:t xml:space="preserve"> 其它程序或流程：（根据搭设、拆除实际情况增减、调整）</w:t>
      </w:r>
    </w:p>
    <w:p>
      <w:pPr>
        <w:spacing w:before="120" w:beforeLines="50" w:after="120" w:afterLines="50"/>
        <w:rPr>
          <w:rFonts w:hint="eastAsia"/>
          <w:b/>
          <w:color w:val="000000"/>
          <w:spacing w:val="-2"/>
          <w:sz w:val="28"/>
          <w:szCs w:val="28"/>
        </w:rPr>
      </w:pPr>
      <w:r>
        <w:rPr>
          <w:b/>
          <w:color w:val="000000"/>
          <w:spacing w:val="-2"/>
          <w:sz w:val="24"/>
        </w:rPr>
        <w:t>6</w:t>
      </w:r>
      <w:r>
        <w:rPr>
          <w:b/>
          <w:color w:val="000000"/>
          <w:spacing w:val="-2"/>
          <w:sz w:val="28"/>
          <w:szCs w:val="28"/>
        </w:rPr>
        <w:t xml:space="preserve"> </w:t>
      </w:r>
      <w:r>
        <w:rPr>
          <w:rFonts w:hint="eastAsia"/>
          <w:b/>
          <w:color w:val="000000"/>
          <w:spacing w:val="-2"/>
          <w:sz w:val="28"/>
          <w:szCs w:val="28"/>
        </w:rPr>
        <w:t>安全生产管理监理工作的目标及要点</w:t>
      </w:r>
    </w:p>
    <w:p>
      <w:pPr>
        <w:spacing w:line="460" w:lineRule="exact"/>
        <w:rPr>
          <w:rFonts w:ascii="Times New Roman"/>
          <w:b/>
          <w:color w:val="000000"/>
          <w:spacing w:val="-2"/>
          <w:sz w:val="24"/>
        </w:rPr>
      </w:pPr>
      <w:r>
        <w:rPr>
          <w:b/>
          <w:color w:val="000000"/>
          <w:spacing w:val="-2"/>
          <w:sz w:val="24"/>
        </w:rPr>
        <w:t>6.1</w:t>
      </w:r>
      <w:r>
        <w:rPr>
          <w:rFonts w:hint="eastAsia" w:ascii="Times New Roman" w:hAnsi="Times New Roman"/>
          <w:b/>
          <w:color w:val="000000"/>
          <w:spacing w:val="-2"/>
          <w:sz w:val="24"/>
        </w:rPr>
        <w:t xml:space="preserve"> 扣件式钢管脚手架搭设、拆除工程监理的目标：</w:t>
      </w:r>
    </w:p>
    <w:p>
      <w:pPr>
        <w:spacing w:line="460" w:lineRule="exact"/>
        <w:rPr>
          <w:rFonts w:hint="eastAsia" w:ascii="Times New Roman"/>
          <w:color w:val="000000"/>
          <w:spacing w:val="-2"/>
          <w:sz w:val="24"/>
        </w:rPr>
      </w:pPr>
      <w:r>
        <w:rPr>
          <w:rFonts w:hint="eastAsia" w:ascii="Times New Roman" w:hAnsi="Times New Roman"/>
          <w:color w:val="000000"/>
          <w:spacing w:val="-2"/>
          <w:sz w:val="24"/>
        </w:rPr>
        <w:t>按照施工合同、相关规范标准及专项施工方案要求，本扣件式钢管脚手架搭设、拆除工程监理的目标为：</w:t>
      </w:r>
      <w:r>
        <w:rPr>
          <w:rFonts w:hint="eastAsia" w:ascii="Times New Roman" w:hAnsi="Times New Roman"/>
          <w:color w:val="000000"/>
          <w:spacing w:val="-2"/>
          <w:sz w:val="24"/>
          <w:u w:val="single"/>
        </w:rPr>
        <w:t xml:space="preserve">                                              </w:t>
      </w:r>
      <w:r>
        <w:rPr>
          <w:rFonts w:hint="eastAsia" w:ascii="Times New Roman" w:hAnsi="Times New Roman"/>
          <w:color w:val="000000"/>
          <w:spacing w:val="-2"/>
          <w:sz w:val="24"/>
        </w:rPr>
        <w:t>。</w:t>
      </w:r>
    </w:p>
    <w:p>
      <w:pPr>
        <w:spacing w:line="460" w:lineRule="exact"/>
        <w:rPr>
          <w:rFonts w:hint="eastAsia" w:ascii="Times New Roman" w:hAnsi="Times New Roman"/>
          <w:b/>
          <w:color w:val="000000"/>
          <w:spacing w:val="-2"/>
          <w:sz w:val="24"/>
        </w:rPr>
      </w:pPr>
      <w:r>
        <w:rPr>
          <w:b/>
          <w:color w:val="000000"/>
          <w:spacing w:val="-2"/>
          <w:sz w:val="24"/>
        </w:rPr>
        <w:t>6.2</w:t>
      </w:r>
      <w:r>
        <w:rPr>
          <w:rFonts w:hint="eastAsia" w:ascii="Times New Roman" w:hAnsi="Times New Roman"/>
          <w:b/>
          <w:color w:val="000000"/>
          <w:spacing w:val="-2"/>
          <w:sz w:val="24"/>
        </w:rPr>
        <w:t xml:space="preserve"> 扣件式钢管脚手架搭设、拆除工程监理项目要点见表6.1：  </w:t>
      </w:r>
    </w:p>
    <w:p>
      <w:pPr>
        <w:spacing w:line="360" w:lineRule="auto"/>
        <w:rPr>
          <w:rFonts w:hint="eastAsia" w:ascii="Times New Roman"/>
          <w:color w:val="000000"/>
          <w:spacing w:val="-2"/>
        </w:rPr>
      </w:pPr>
      <w:r>
        <w:rPr>
          <w:rFonts w:hint="eastAsia" w:ascii="Times New Roman" w:hAnsi="Times New Roman"/>
          <w:color w:val="000000"/>
          <w:spacing w:val="-2"/>
        </w:rPr>
        <w:t xml:space="preserve">                           </w:t>
      </w:r>
      <w:r>
        <w:rPr>
          <w:rFonts w:hint="eastAsia" w:ascii="Times New Roman" w:hAnsi="Times New Roman" w:eastAsia="黑体"/>
          <w:color w:val="000000"/>
          <w:spacing w:val="-2"/>
          <w:sz w:val="24"/>
        </w:rPr>
        <w:t>扣件式钢管脚手架搭设、拆除监理要点</w:t>
      </w:r>
      <w:r>
        <w:rPr>
          <w:rFonts w:hint="eastAsia" w:ascii="Times New Roman" w:hAnsi="Times New Roman"/>
          <w:b/>
          <w:color w:val="000000"/>
          <w:spacing w:val="-2"/>
        </w:rPr>
        <w:t xml:space="preserve"> </w:t>
      </w:r>
      <w:r>
        <w:rPr>
          <w:rFonts w:hint="eastAsia" w:ascii="Times New Roman" w:hAnsi="Times New Roman"/>
          <w:color w:val="000000"/>
          <w:spacing w:val="-2"/>
        </w:rPr>
        <w:t xml:space="preserve">               表</w:t>
      </w:r>
      <w:r>
        <w:rPr>
          <w:color w:val="000000"/>
          <w:spacing w:val="-2"/>
        </w:rPr>
        <w:t>6.1</w:t>
      </w: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559"/>
        <w:gridCol w:w="3261"/>
        <w:gridCol w:w="322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17" w:type="dxa"/>
            <w:tcBorders>
              <w:top w:val="single" w:color="auto" w:sz="8" w:space="0"/>
              <w:left w:val="single" w:color="auto" w:sz="8" w:space="0"/>
              <w:bottom w:val="single" w:color="auto" w:sz="4" w:space="0"/>
              <w:right w:val="single" w:color="auto" w:sz="4" w:space="0"/>
            </w:tcBorders>
            <w:noWrap w:val="0"/>
            <w:vAlign w:val="center"/>
          </w:tcPr>
          <w:p>
            <w:pPr>
              <w:spacing w:line="240" w:lineRule="exact"/>
              <w:jc w:val="center"/>
              <w:rPr>
                <w:rFonts w:eastAsia="黑体"/>
                <w:color w:val="000000"/>
                <w:spacing w:val="-2"/>
              </w:rPr>
            </w:pPr>
            <w:r>
              <w:rPr>
                <w:rFonts w:hint="eastAsia" w:eastAsia="黑体"/>
                <w:color w:val="000000"/>
                <w:spacing w:val="-2"/>
              </w:rPr>
              <w:t>序号</w:t>
            </w:r>
          </w:p>
        </w:tc>
        <w:tc>
          <w:tcPr>
            <w:tcW w:w="1559" w:type="dxa"/>
            <w:tcBorders>
              <w:top w:val="single" w:color="auto" w:sz="8" w:space="0"/>
              <w:left w:val="single" w:color="auto" w:sz="4" w:space="0"/>
              <w:bottom w:val="single" w:color="auto" w:sz="4" w:space="0"/>
              <w:right w:val="single" w:color="auto" w:sz="4" w:space="0"/>
            </w:tcBorders>
            <w:noWrap w:val="0"/>
            <w:vAlign w:val="center"/>
          </w:tcPr>
          <w:p>
            <w:pPr>
              <w:spacing w:line="240" w:lineRule="exact"/>
              <w:jc w:val="center"/>
              <w:rPr>
                <w:rFonts w:ascii="Times New Roman" w:eastAsia="黑体"/>
                <w:color w:val="000000"/>
                <w:spacing w:val="-2"/>
              </w:rPr>
            </w:pPr>
            <w:r>
              <w:rPr>
                <w:rFonts w:hint="eastAsia" w:ascii="Times New Roman" w:hAnsi="Times New Roman" w:eastAsia="黑体"/>
                <w:color w:val="000000"/>
                <w:spacing w:val="-2"/>
              </w:rPr>
              <w:t>安全控制项目</w:t>
            </w:r>
          </w:p>
        </w:tc>
        <w:tc>
          <w:tcPr>
            <w:tcW w:w="3261" w:type="dxa"/>
            <w:tcBorders>
              <w:top w:val="single" w:color="auto" w:sz="8" w:space="0"/>
              <w:left w:val="single" w:color="auto" w:sz="4" w:space="0"/>
              <w:bottom w:val="single" w:color="auto" w:sz="4" w:space="0"/>
              <w:right w:val="single" w:color="auto" w:sz="4" w:space="0"/>
            </w:tcBorders>
            <w:noWrap w:val="0"/>
            <w:vAlign w:val="center"/>
          </w:tcPr>
          <w:p>
            <w:pPr>
              <w:spacing w:line="240" w:lineRule="exact"/>
              <w:jc w:val="center"/>
              <w:rPr>
                <w:rFonts w:ascii="Times New Roman" w:eastAsia="黑体"/>
                <w:color w:val="000000"/>
                <w:spacing w:val="-2"/>
              </w:rPr>
            </w:pPr>
            <w:r>
              <w:rPr>
                <w:rFonts w:hint="eastAsia" w:ascii="Times New Roman" w:hAnsi="Times New Roman" w:eastAsia="黑体"/>
                <w:color w:val="000000"/>
                <w:spacing w:val="-2"/>
              </w:rPr>
              <w:t>安全控制点</w:t>
            </w:r>
          </w:p>
        </w:tc>
        <w:tc>
          <w:tcPr>
            <w:tcW w:w="3227" w:type="dxa"/>
            <w:tcBorders>
              <w:top w:val="single" w:color="auto" w:sz="8" w:space="0"/>
              <w:left w:val="single" w:color="auto" w:sz="4" w:space="0"/>
              <w:bottom w:val="single" w:color="auto" w:sz="4" w:space="0"/>
              <w:right w:val="single" w:color="auto" w:sz="8" w:space="0"/>
            </w:tcBorders>
            <w:noWrap w:val="0"/>
            <w:vAlign w:val="center"/>
          </w:tcPr>
          <w:p>
            <w:pPr>
              <w:spacing w:line="240" w:lineRule="exact"/>
              <w:jc w:val="center"/>
              <w:rPr>
                <w:rFonts w:ascii="Times New Roman" w:eastAsia="黑体"/>
                <w:color w:val="000000"/>
                <w:spacing w:val="-2"/>
              </w:rPr>
            </w:pPr>
            <w:r>
              <w:rPr>
                <w:rFonts w:hint="eastAsia" w:ascii="Times New Roman" w:hAnsi="Times New Roman" w:eastAsia="黑体"/>
                <w:color w:val="000000"/>
                <w:spacing w:val="-2"/>
              </w:rPr>
              <w:t>安全控制要求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17" w:type="dxa"/>
            <w:vMerge w:val="restart"/>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rPr>
                <w:color w:val="000000"/>
                <w:spacing w:val="-2"/>
              </w:rPr>
            </w:pPr>
            <w:r>
              <w:rPr>
                <w:color w:val="000000"/>
                <w:spacing w:val="-2"/>
              </w:rPr>
              <w:t>1</w:t>
            </w:r>
          </w:p>
        </w:tc>
        <w:tc>
          <w:tcPr>
            <w:tcW w:w="1559"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rPr>
            </w:pPr>
            <w:r>
              <w:rPr>
                <w:rFonts w:hint="eastAsia" w:ascii="Times New Roman" w:hAnsi="Times New Roman"/>
                <w:color w:val="000000"/>
                <w:spacing w:val="-2"/>
              </w:rPr>
              <w:t>安全管理</w:t>
            </w:r>
          </w:p>
        </w:tc>
        <w:tc>
          <w:tcPr>
            <w:tcW w:w="326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rPr>
            </w:pPr>
          </w:p>
        </w:tc>
        <w:tc>
          <w:tcPr>
            <w:tcW w:w="3227"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center"/>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17"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color w:val="000000"/>
                <w:spacing w:val="-2"/>
              </w:rPr>
            </w:pPr>
          </w:p>
        </w:tc>
        <w:tc>
          <w:tcPr>
            <w:tcW w:w="155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color w:val="000000"/>
                <w:spacing w:val="-2"/>
              </w:rPr>
            </w:pPr>
          </w:p>
        </w:tc>
        <w:tc>
          <w:tcPr>
            <w:tcW w:w="326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rPr>
            </w:pPr>
          </w:p>
        </w:tc>
        <w:tc>
          <w:tcPr>
            <w:tcW w:w="3227"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left"/>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17"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color w:val="000000"/>
                <w:spacing w:val="-2"/>
              </w:rPr>
            </w:pPr>
          </w:p>
        </w:tc>
        <w:tc>
          <w:tcPr>
            <w:tcW w:w="155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color w:val="000000"/>
                <w:spacing w:val="-2"/>
              </w:rPr>
            </w:pPr>
          </w:p>
        </w:tc>
        <w:tc>
          <w:tcPr>
            <w:tcW w:w="326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rPr>
            </w:pPr>
          </w:p>
        </w:tc>
        <w:tc>
          <w:tcPr>
            <w:tcW w:w="3227"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left"/>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17"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color w:val="000000"/>
                <w:spacing w:val="-2"/>
              </w:rPr>
            </w:pPr>
          </w:p>
        </w:tc>
        <w:tc>
          <w:tcPr>
            <w:tcW w:w="155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color w:val="000000"/>
                <w:spacing w:val="-2"/>
              </w:rPr>
            </w:pPr>
          </w:p>
        </w:tc>
        <w:tc>
          <w:tcPr>
            <w:tcW w:w="326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rPr>
            </w:pPr>
          </w:p>
        </w:tc>
        <w:tc>
          <w:tcPr>
            <w:tcW w:w="3227"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left"/>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17" w:type="dxa"/>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rPr>
                <w:color w:val="000000"/>
                <w:spacing w:val="-2"/>
              </w:rPr>
            </w:pPr>
            <w:r>
              <w:rPr>
                <w:color w:val="000000"/>
                <w:spacing w:val="-2"/>
              </w:rPr>
              <w:t>2</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rPr>
            </w:pPr>
            <w:r>
              <w:rPr>
                <w:rFonts w:hint="eastAsia" w:ascii="Times New Roman" w:hAnsi="Times New Roman"/>
                <w:color w:val="000000"/>
                <w:spacing w:val="-2"/>
              </w:rPr>
              <w:t>材料、构配件</w:t>
            </w:r>
          </w:p>
        </w:tc>
        <w:tc>
          <w:tcPr>
            <w:tcW w:w="326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rPr>
            </w:pPr>
          </w:p>
        </w:tc>
        <w:tc>
          <w:tcPr>
            <w:tcW w:w="3227"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left"/>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17" w:type="dxa"/>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rPr>
                <w:color w:val="000000"/>
                <w:spacing w:val="-2"/>
              </w:rPr>
            </w:pPr>
            <w:r>
              <w:rPr>
                <w:color w:val="000000"/>
                <w:spacing w:val="-2"/>
              </w:rPr>
              <w:t>3</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rPr>
            </w:pPr>
            <w:r>
              <w:rPr>
                <w:rFonts w:hint="eastAsia" w:ascii="Times New Roman" w:hAnsi="Times New Roman"/>
                <w:color w:val="000000"/>
                <w:spacing w:val="-2"/>
              </w:rPr>
              <w:t>地基与基础</w:t>
            </w:r>
          </w:p>
        </w:tc>
        <w:tc>
          <w:tcPr>
            <w:tcW w:w="326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rPr>
            </w:pPr>
          </w:p>
        </w:tc>
        <w:tc>
          <w:tcPr>
            <w:tcW w:w="3227"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left"/>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17" w:type="dxa"/>
            <w:vMerge w:val="restart"/>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rPr>
                <w:color w:val="000000"/>
                <w:spacing w:val="-2"/>
              </w:rPr>
            </w:pPr>
            <w:r>
              <w:rPr>
                <w:color w:val="000000"/>
                <w:spacing w:val="-2"/>
              </w:rPr>
              <w:t>4</w:t>
            </w:r>
          </w:p>
        </w:tc>
        <w:tc>
          <w:tcPr>
            <w:tcW w:w="1559"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rPr>
            </w:pPr>
            <w:r>
              <w:rPr>
                <w:rFonts w:hint="eastAsia" w:ascii="Times New Roman" w:hAnsi="Times New Roman"/>
                <w:color w:val="000000"/>
                <w:spacing w:val="-2"/>
              </w:rPr>
              <w:t>搭设构造</w:t>
            </w:r>
          </w:p>
        </w:tc>
        <w:tc>
          <w:tcPr>
            <w:tcW w:w="326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rPr>
            </w:pPr>
          </w:p>
        </w:tc>
        <w:tc>
          <w:tcPr>
            <w:tcW w:w="3227"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left"/>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17"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color w:val="000000"/>
                <w:spacing w:val="-2"/>
              </w:rPr>
            </w:pPr>
          </w:p>
        </w:tc>
        <w:tc>
          <w:tcPr>
            <w:tcW w:w="155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color w:val="000000"/>
                <w:spacing w:val="-2"/>
              </w:rPr>
            </w:pPr>
          </w:p>
        </w:tc>
        <w:tc>
          <w:tcPr>
            <w:tcW w:w="326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rPr>
            </w:pPr>
          </w:p>
        </w:tc>
        <w:tc>
          <w:tcPr>
            <w:tcW w:w="3227"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left"/>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17"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color w:val="000000"/>
                <w:spacing w:val="-2"/>
              </w:rPr>
            </w:pPr>
          </w:p>
        </w:tc>
        <w:tc>
          <w:tcPr>
            <w:tcW w:w="155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color w:val="000000"/>
                <w:spacing w:val="-2"/>
              </w:rPr>
            </w:pPr>
          </w:p>
        </w:tc>
        <w:tc>
          <w:tcPr>
            <w:tcW w:w="326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rPr>
            </w:pPr>
          </w:p>
        </w:tc>
        <w:tc>
          <w:tcPr>
            <w:tcW w:w="3227"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left"/>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17"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color w:val="000000"/>
                <w:spacing w:val="-2"/>
              </w:rPr>
            </w:pPr>
          </w:p>
        </w:tc>
        <w:tc>
          <w:tcPr>
            <w:tcW w:w="155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color w:val="000000"/>
                <w:spacing w:val="-2"/>
              </w:rPr>
            </w:pPr>
          </w:p>
        </w:tc>
        <w:tc>
          <w:tcPr>
            <w:tcW w:w="326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rPr>
            </w:pPr>
          </w:p>
        </w:tc>
        <w:tc>
          <w:tcPr>
            <w:tcW w:w="3227"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left"/>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17"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color w:val="000000"/>
                <w:spacing w:val="-2"/>
              </w:rPr>
            </w:pPr>
          </w:p>
        </w:tc>
        <w:tc>
          <w:tcPr>
            <w:tcW w:w="155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color w:val="000000"/>
                <w:spacing w:val="-2"/>
              </w:rPr>
            </w:pPr>
          </w:p>
        </w:tc>
        <w:tc>
          <w:tcPr>
            <w:tcW w:w="326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rPr>
            </w:pPr>
          </w:p>
        </w:tc>
        <w:tc>
          <w:tcPr>
            <w:tcW w:w="3227"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left"/>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17"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color w:val="000000"/>
                <w:spacing w:val="-2"/>
              </w:rPr>
            </w:pPr>
          </w:p>
        </w:tc>
        <w:tc>
          <w:tcPr>
            <w:tcW w:w="155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color w:val="000000"/>
                <w:spacing w:val="-2"/>
              </w:rPr>
            </w:pPr>
          </w:p>
        </w:tc>
        <w:tc>
          <w:tcPr>
            <w:tcW w:w="326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rPr>
            </w:pPr>
          </w:p>
        </w:tc>
        <w:tc>
          <w:tcPr>
            <w:tcW w:w="3227"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left"/>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17" w:type="dxa"/>
            <w:vMerge w:val="restart"/>
            <w:tcBorders>
              <w:top w:val="single" w:color="auto" w:sz="4" w:space="0"/>
              <w:left w:val="single" w:color="auto" w:sz="8" w:space="0"/>
              <w:bottom w:val="single" w:color="auto" w:sz="4" w:space="0"/>
              <w:right w:val="single" w:color="auto" w:sz="4" w:space="0"/>
            </w:tcBorders>
            <w:noWrap w:val="0"/>
            <w:vAlign w:val="center"/>
          </w:tcPr>
          <w:p>
            <w:pPr>
              <w:spacing w:line="240" w:lineRule="exact"/>
              <w:ind w:firstLine="206" w:firstLineChars="100"/>
              <w:rPr>
                <w:color w:val="000000"/>
                <w:spacing w:val="-2"/>
              </w:rPr>
            </w:pPr>
            <w:r>
              <w:rPr>
                <w:color w:val="000000"/>
                <w:spacing w:val="-2"/>
              </w:rPr>
              <w:t>6</w:t>
            </w:r>
          </w:p>
        </w:tc>
        <w:tc>
          <w:tcPr>
            <w:tcW w:w="1559"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rPr>
            </w:pPr>
            <w:r>
              <w:rPr>
                <w:rFonts w:hint="eastAsia" w:ascii="Times New Roman" w:hAnsi="Times New Roman"/>
                <w:color w:val="000000"/>
                <w:spacing w:val="-2"/>
              </w:rPr>
              <w:t>搭设质量</w:t>
            </w:r>
          </w:p>
          <w:p>
            <w:pPr>
              <w:spacing w:line="240" w:lineRule="exact"/>
              <w:jc w:val="center"/>
              <w:rPr>
                <w:rFonts w:ascii="Times New Roman"/>
                <w:color w:val="000000"/>
                <w:spacing w:val="-2"/>
              </w:rPr>
            </w:pPr>
            <w:r>
              <w:rPr>
                <w:rFonts w:hint="eastAsia" w:ascii="Times New Roman" w:hAnsi="Times New Roman"/>
                <w:color w:val="000000"/>
                <w:spacing w:val="-2"/>
              </w:rPr>
              <w:t>检查与验收</w:t>
            </w:r>
          </w:p>
        </w:tc>
        <w:tc>
          <w:tcPr>
            <w:tcW w:w="326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rPr>
            </w:pPr>
          </w:p>
        </w:tc>
        <w:tc>
          <w:tcPr>
            <w:tcW w:w="3227"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left"/>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17"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color w:val="000000"/>
                <w:spacing w:val="-2"/>
              </w:rPr>
            </w:pPr>
          </w:p>
        </w:tc>
        <w:tc>
          <w:tcPr>
            <w:tcW w:w="155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color w:val="000000"/>
                <w:spacing w:val="-2"/>
              </w:rPr>
            </w:pPr>
          </w:p>
        </w:tc>
        <w:tc>
          <w:tcPr>
            <w:tcW w:w="326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rPr>
            </w:pPr>
          </w:p>
        </w:tc>
        <w:tc>
          <w:tcPr>
            <w:tcW w:w="3227"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left"/>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17"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color w:val="000000"/>
                <w:spacing w:val="-2"/>
              </w:rPr>
            </w:pPr>
          </w:p>
        </w:tc>
        <w:tc>
          <w:tcPr>
            <w:tcW w:w="155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color w:val="000000"/>
                <w:spacing w:val="-2"/>
              </w:rPr>
            </w:pPr>
          </w:p>
        </w:tc>
        <w:tc>
          <w:tcPr>
            <w:tcW w:w="326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rPr>
            </w:pPr>
          </w:p>
        </w:tc>
        <w:tc>
          <w:tcPr>
            <w:tcW w:w="3227"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left"/>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17"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color w:val="000000"/>
                <w:spacing w:val="-2"/>
              </w:rPr>
            </w:pPr>
          </w:p>
        </w:tc>
        <w:tc>
          <w:tcPr>
            <w:tcW w:w="155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color w:val="000000"/>
                <w:spacing w:val="-2"/>
              </w:rPr>
            </w:pPr>
          </w:p>
        </w:tc>
        <w:tc>
          <w:tcPr>
            <w:tcW w:w="326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rPr>
            </w:pPr>
          </w:p>
        </w:tc>
        <w:tc>
          <w:tcPr>
            <w:tcW w:w="3227"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left"/>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17"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color w:val="000000"/>
                <w:spacing w:val="-2"/>
              </w:rPr>
            </w:pPr>
          </w:p>
        </w:tc>
        <w:tc>
          <w:tcPr>
            <w:tcW w:w="155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color w:val="000000"/>
                <w:spacing w:val="-2"/>
              </w:rPr>
            </w:pPr>
          </w:p>
        </w:tc>
        <w:tc>
          <w:tcPr>
            <w:tcW w:w="326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rPr>
            </w:pPr>
          </w:p>
        </w:tc>
        <w:tc>
          <w:tcPr>
            <w:tcW w:w="3227"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left"/>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17"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color w:val="000000"/>
                <w:spacing w:val="-2"/>
              </w:rPr>
            </w:pPr>
          </w:p>
        </w:tc>
        <w:tc>
          <w:tcPr>
            <w:tcW w:w="155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color w:val="000000"/>
                <w:spacing w:val="-2"/>
              </w:rPr>
            </w:pPr>
          </w:p>
        </w:tc>
        <w:tc>
          <w:tcPr>
            <w:tcW w:w="326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rPr>
            </w:pPr>
          </w:p>
        </w:tc>
        <w:tc>
          <w:tcPr>
            <w:tcW w:w="3227"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left"/>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17" w:type="dxa"/>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rPr>
                <w:color w:val="000000"/>
                <w:spacing w:val="-2"/>
              </w:rPr>
            </w:pPr>
            <w:r>
              <w:rPr>
                <w:color w:val="000000"/>
                <w:spacing w:val="-2"/>
              </w:rPr>
              <w:t>7</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rPr>
            </w:pPr>
            <w:r>
              <w:rPr>
                <w:rFonts w:hint="eastAsia" w:ascii="Times New Roman" w:hAnsi="Times New Roman"/>
                <w:color w:val="000000"/>
                <w:spacing w:val="-2"/>
              </w:rPr>
              <w:t>接地与避雷</w:t>
            </w:r>
          </w:p>
        </w:tc>
        <w:tc>
          <w:tcPr>
            <w:tcW w:w="326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rPr>
            </w:pPr>
          </w:p>
        </w:tc>
        <w:tc>
          <w:tcPr>
            <w:tcW w:w="3227"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left"/>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17" w:type="dxa"/>
            <w:vMerge w:val="restart"/>
            <w:tcBorders>
              <w:top w:val="single" w:color="auto" w:sz="4" w:space="0"/>
              <w:left w:val="single" w:color="auto" w:sz="8" w:space="0"/>
              <w:bottom w:val="single" w:color="auto" w:sz="8" w:space="0"/>
              <w:right w:val="single" w:color="auto" w:sz="4" w:space="0"/>
            </w:tcBorders>
            <w:noWrap w:val="0"/>
            <w:vAlign w:val="center"/>
          </w:tcPr>
          <w:p>
            <w:pPr>
              <w:spacing w:line="240" w:lineRule="exact"/>
              <w:jc w:val="center"/>
              <w:rPr>
                <w:color w:val="000000"/>
                <w:spacing w:val="-2"/>
              </w:rPr>
            </w:pPr>
            <w:r>
              <w:rPr>
                <w:color w:val="000000"/>
                <w:spacing w:val="-2"/>
              </w:rPr>
              <w:t>8</w:t>
            </w:r>
          </w:p>
        </w:tc>
        <w:tc>
          <w:tcPr>
            <w:tcW w:w="1559" w:type="dxa"/>
            <w:vMerge w:val="restart"/>
            <w:tcBorders>
              <w:top w:val="single" w:color="auto" w:sz="4" w:space="0"/>
              <w:left w:val="single" w:color="auto" w:sz="4" w:space="0"/>
              <w:bottom w:val="single" w:color="auto" w:sz="8" w:space="0"/>
              <w:right w:val="single" w:color="auto" w:sz="4" w:space="0"/>
            </w:tcBorders>
            <w:noWrap w:val="0"/>
            <w:vAlign w:val="center"/>
          </w:tcPr>
          <w:p>
            <w:pPr>
              <w:spacing w:line="240" w:lineRule="exact"/>
              <w:jc w:val="center"/>
              <w:rPr>
                <w:rFonts w:ascii="Times New Roman"/>
                <w:color w:val="000000"/>
                <w:spacing w:val="-2"/>
              </w:rPr>
            </w:pPr>
            <w:r>
              <w:rPr>
                <w:rFonts w:hint="eastAsia" w:ascii="Times New Roman" w:hAnsi="Times New Roman"/>
                <w:color w:val="000000"/>
                <w:spacing w:val="-2"/>
              </w:rPr>
              <w:t>脚手架拆除</w:t>
            </w:r>
          </w:p>
        </w:tc>
        <w:tc>
          <w:tcPr>
            <w:tcW w:w="326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rPr>
            </w:pPr>
          </w:p>
        </w:tc>
        <w:tc>
          <w:tcPr>
            <w:tcW w:w="3227"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left"/>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17" w:type="dxa"/>
            <w:vMerge w:val="continue"/>
            <w:tcBorders>
              <w:top w:val="single" w:color="auto" w:sz="4" w:space="0"/>
              <w:left w:val="single" w:color="auto" w:sz="8" w:space="0"/>
              <w:bottom w:val="single" w:color="auto" w:sz="8" w:space="0"/>
              <w:right w:val="single" w:color="auto" w:sz="4" w:space="0"/>
            </w:tcBorders>
            <w:noWrap w:val="0"/>
            <w:vAlign w:val="center"/>
          </w:tcPr>
          <w:p>
            <w:pPr>
              <w:widowControl/>
              <w:jc w:val="left"/>
              <w:rPr>
                <w:color w:val="000000"/>
                <w:spacing w:val="-2"/>
              </w:rPr>
            </w:pPr>
          </w:p>
        </w:tc>
        <w:tc>
          <w:tcPr>
            <w:tcW w:w="1559" w:type="dxa"/>
            <w:vMerge w:val="continue"/>
            <w:tcBorders>
              <w:top w:val="single" w:color="auto" w:sz="4" w:space="0"/>
              <w:left w:val="single" w:color="auto" w:sz="4" w:space="0"/>
              <w:bottom w:val="single" w:color="auto" w:sz="8" w:space="0"/>
              <w:right w:val="single" w:color="auto" w:sz="4" w:space="0"/>
            </w:tcBorders>
            <w:noWrap w:val="0"/>
            <w:vAlign w:val="center"/>
          </w:tcPr>
          <w:p>
            <w:pPr>
              <w:widowControl/>
              <w:jc w:val="left"/>
              <w:rPr>
                <w:rFonts w:ascii="Times New Roman"/>
                <w:color w:val="000000"/>
                <w:spacing w:val="-2"/>
              </w:rPr>
            </w:pPr>
          </w:p>
        </w:tc>
        <w:tc>
          <w:tcPr>
            <w:tcW w:w="326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rPr>
            </w:pPr>
          </w:p>
        </w:tc>
        <w:tc>
          <w:tcPr>
            <w:tcW w:w="3227"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left"/>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17" w:type="dxa"/>
            <w:vMerge w:val="continue"/>
            <w:tcBorders>
              <w:top w:val="single" w:color="auto" w:sz="4" w:space="0"/>
              <w:left w:val="single" w:color="auto" w:sz="8" w:space="0"/>
              <w:bottom w:val="single" w:color="auto" w:sz="8" w:space="0"/>
              <w:right w:val="single" w:color="auto" w:sz="4" w:space="0"/>
            </w:tcBorders>
            <w:noWrap w:val="0"/>
            <w:vAlign w:val="center"/>
          </w:tcPr>
          <w:p>
            <w:pPr>
              <w:widowControl/>
              <w:jc w:val="left"/>
              <w:rPr>
                <w:color w:val="000000"/>
                <w:spacing w:val="-2"/>
              </w:rPr>
            </w:pPr>
          </w:p>
        </w:tc>
        <w:tc>
          <w:tcPr>
            <w:tcW w:w="1559" w:type="dxa"/>
            <w:vMerge w:val="continue"/>
            <w:tcBorders>
              <w:top w:val="single" w:color="auto" w:sz="4" w:space="0"/>
              <w:left w:val="single" w:color="auto" w:sz="4" w:space="0"/>
              <w:bottom w:val="single" w:color="auto" w:sz="8" w:space="0"/>
              <w:right w:val="single" w:color="auto" w:sz="4" w:space="0"/>
            </w:tcBorders>
            <w:noWrap w:val="0"/>
            <w:vAlign w:val="center"/>
          </w:tcPr>
          <w:p>
            <w:pPr>
              <w:widowControl/>
              <w:jc w:val="left"/>
              <w:rPr>
                <w:rFonts w:ascii="Times New Roman"/>
                <w:color w:val="000000"/>
                <w:spacing w:val="-2"/>
              </w:rPr>
            </w:pPr>
          </w:p>
        </w:tc>
        <w:tc>
          <w:tcPr>
            <w:tcW w:w="3261" w:type="dxa"/>
            <w:tcBorders>
              <w:top w:val="single" w:color="auto" w:sz="4" w:space="0"/>
              <w:left w:val="single" w:color="auto" w:sz="4" w:space="0"/>
              <w:bottom w:val="single" w:color="auto" w:sz="8" w:space="0"/>
              <w:right w:val="single" w:color="auto" w:sz="4" w:space="0"/>
            </w:tcBorders>
            <w:noWrap w:val="0"/>
            <w:vAlign w:val="center"/>
          </w:tcPr>
          <w:p>
            <w:pPr>
              <w:spacing w:line="240" w:lineRule="exact"/>
              <w:jc w:val="center"/>
              <w:rPr>
                <w:rFonts w:ascii="Times New Roman"/>
                <w:color w:val="000000"/>
                <w:spacing w:val="-2"/>
              </w:rPr>
            </w:pPr>
          </w:p>
        </w:tc>
        <w:tc>
          <w:tcPr>
            <w:tcW w:w="3227" w:type="dxa"/>
            <w:tcBorders>
              <w:top w:val="single" w:color="auto" w:sz="4" w:space="0"/>
              <w:left w:val="single" w:color="auto" w:sz="4" w:space="0"/>
              <w:bottom w:val="single" w:color="auto" w:sz="8" w:space="0"/>
              <w:right w:val="single" w:color="auto" w:sz="8" w:space="0"/>
            </w:tcBorders>
            <w:noWrap w:val="0"/>
            <w:vAlign w:val="center"/>
          </w:tcPr>
          <w:p>
            <w:pPr>
              <w:spacing w:line="240" w:lineRule="exact"/>
              <w:jc w:val="left"/>
              <w:rPr>
                <w:rFonts w:ascii="Times New Roman"/>
                <w:color w:val="000000"/>
                <w:spacing w:val="-2"/>
              </w:rPr>
            </w:pPr>
          </w:p>
        </w:tc>
      </w:tr>
    </w:tbl>
    <w:p>
      <w:pPr>
        <w:spacing w:line="460" w:lineRule="exact"/>
        <w:rPr>
          <w:rFonts w:hint="eastAsia" w:ascii="Times New Roman"/>
          <w:b/>
          <w:color w:val="000000"/>
          <w:spacing w:val="-2"/>
          <w:sz w:val="24"/>
        </w:rPr>
      </w:pPr>
      <w:r>
        <w:rPr>
          <w:b/>
          <w:color w:val="000000"/>
          <w:spacing w:val="-2"/>
          <w:sz w:val="24"/>
        </w:rPr>
        <w:t>6.3</w:t>
      </w:r>
      <w:r>
        <w:rPr>
          <w:rFonts w:hint="eastAsia" w:ascii="Times New Roman" w:hAnsi="Times New Roman"/>
          <w:b/>
          <w:color w:val="000000"/>
          <w:spacing w:val="-2"/>
          <w:sz w:val="24"/>
        </w:rPr>
        <w:t xml:space="preserve"> 扣件式钢管脚手架搭设、拆除工程监理要点：</w:t>
      </w:r>
    </w:p>
    <w:p>
      <w:pPr>
        <w:spacing w:line="460" w:lineRule="exact"/>
        <w:rPr>
          <w:rFonts w:hint="eastAsia" w:ascii="Times New Roman"/>
          <w:color w:val="000000"/>
          <w:spacing w:val="-2"/>
          <w:sz w:val="24"/>
        </w:rPr>
      </w:pPr>
      <w:r>
        <w:rPr>
          <w:b/>
          <w:color w:val="000000"/>
          <w:spacing w:val="-2"/>
          <w:sz w:val="24"/>
        </w:rPr>
        <w:t>6.3.1</w:t>
      </w:r>
      <w:r>
        <w:rPr>
          <w:rFonts w:hint="eastAsia" w:ascii="Times New Roman" w:hAnsi="Times New Roman"/>
          <w:color w:val="000000"/>
          <w:spacing w:val="-2"/>
          <w:sz w:val="24"/>
        </w:rPr>
        <w:t xml:space="preserve"> 扣件式钢管脚手架搭设、拆除工程专项施工方案审查。</w:t>
      </w:r>
    </w:p>
    <w:p>
      <w:pPr>
        <w:spacing w:line="460" w:lineRule="exact"/>
        <w:rPr>
          <w:rFonts w:hint="eastAsia" w:ascii="Times New Roman"/>
          <w:color w:val="000000"/>
          <w:spacing w:val="-2"/>
          <w:sz w:val="24"/>
        </w:rPr>
      </w:pPr>
      <w:r>
        <w:rPr>
          <w:b/>
          <w:color w:val="000000"/>
          <w:spacing w:val="-2"/>
          <w:sz w:val="24"/>
        </w:rPr>
        <w:t>6.3.2</w:t>
      </w:r>
      <w:r>
        <w:rPr>
          <w:rFonts w:hint="eastAsia" w:ascii="Times New Roman" w:hAnsi="Times New Roman"/>
          <w:color w:val="000000"/>
          <w:spacing w:val="-2"/>
          <w:sz w:val="24"/>
        </w:rPr>
        <w:t xml:space="preserve"> 资质审查。</w:t>
      </w:r>
    </w:p>
    <w:p>
      <w:pPr>
        <w:spacing w:line="460" w:lineRule="exact"/>
        <w:rPr>
          <w:rFonts w:hint="eastAsia" w:ascii="Times New Roman"/>
          <w:color w:val="000000"/>
          <w:spacing w:val="-2"/>
          <w:sz w:val="24"/>
        </w:rPr>
      </w:pPr>
      <w:r>
        <w:rPr>
          <w:b/>
          <w:color w:val="000000"/>
          <w:spacing w:val="-2"/>
          <w:sz w:val="24"/>
        </w:rPr>
        <w:t xml:space="preserve">6.3.3 </w:t>
      </w:r>
      <w:r>
        <w:rPr>
          <w:rFonts w:hint="eastAsia" w:ascii="Times New Roman" w:hAnsi="Times New Roman"/>
          <w:color w:val="000000"/>
          <w:spacing w:val="-2"/>
          <w:sz w:val="24"/>
        </w:rPr>
        <w:t>材料、构配件进场验收。</w:t>
      </w:r>
    </w:p>
    <w:p>
      <w:pPr>
        <w:spacing w:line="460" w:lineRule="exact"/>
        <w:rPr>
          <w:rFonts w:hint="eastAsia" w:ascii="Times New Roman"/>
          <w:color w:val="000000"/>
          <w:spacing w:val="-2"/>
          <w:sz w:val="24"/>
        </w:rPr>
      </w:pPr>
      <w:r>
        <w:rPr>
          <w:rFonts w:hint="eastAsia" w:ascii="Times New Roman" w:hAnsi="Times New Roman"/>
          <w:color w:val="000000"/>
          <w:spacing w:val="-2"/>
          <w:sz w:val="24"/>
        </w:rPr>
        <w:t>脚手架材料、构配件进场后，监理工程师应参加检查验收，检查验收内容见表</w:t>
      </w:r>
      <w:r>
        <w:rPr>
          <w:color w:val="000000"/>
          <w:spacing w:val="-2"/>
          <w:sz w:val="24"/>
        </w:rPr>
        <w:t>6.2</w:t>
      </w:r>
      <w:r>
        <w:rPr>
          <w:rFonts w:hint="eastAsia"/>
          <w:color w:val="000000"/>
          <w:spacing w:val="-2"/>
          <w:sz w:val="24"/>
        </w:rPr>
        <w:t>：</w:t>
      </w:r>
    </w:p>
    <w:p>
      <w:pPr>
        <w:spacing w:line="360" w:lineRule="auto"/>
        <w:jc w:val="center"/>
        <w:rPr>
          <w:rFonts w:hint="eastAsia" w:ascii="Times New Roman"/>
          <w:color w:val="000000"/>
          <w:spacing w:val="-2"/>
        </w:rPr>
      </w:pPr>
      <w:r>
        <w:rPr>
          <w:rFonts w:hint="eastAsia" w:ascii="Times New Roman" w:hAnsi="Times New Roman"/>
          <w:color w:val="000000"/>
          <w:spacing w:val="-2"/>
        </w:rPr>
        <w:t xml:space="preserve">                            </w:t>
      </w:r>
      <w:r>
        <w:rPr>
          <w:rFonts w:hint="eastAsia" w:ascii="Times New Roman" w:hAnsi="Times New Roman" w:eastAsia="黑体"/>
          <w:color w:val="000000"/>
          <w:spacing w:val="-2"/>
          <w:sz w:val="24"/>
        </w:rPr>
        <w:t xml:space="preserve">材料、构配件质量检查表 </w:t>
      </w:r>
      <w:r>
        <w:rPr>
          <w:rFonts w:hint="eastAsia" w:ascii="Times New Roman" w:hAnsi="Times New Roman"/>
          <w:b/>
          <w:color w:val="000000"/>
          <w:spacing w:val="-2"/>
        </w:rPr>
        <w:t xml:space="preserve">  </w:t>
      </w:r>
      <w:r>
        <w:rPr>
          <w:rFonts w:hint="eastAsia" w:ascii="Times New Roman" w:hAnsi="Times New Roman"/>
          <w:color w:val="000000"/>
          <w:spacing w:val="-2"/>
        </w:rPr>
        <w:t xml:space="preserve">                         表</w:t>
      </w:r>
      <w:r>
        <w:rPr>
          <w:color w:val="000000"/>
          <w:spacing w:val="-2"/>
        </w:rPr>
        <w:t>6.2</w:t>
      </w: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4962"/>
        <w:gridCol w:w="1559"/>
        <w:gridCol w:w="12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op w:val="single" w:color="auto" w:sz="8" w:space="0"/>
              <w:left w:val="single" w:color="auto" w:sz="8" w:space="0"/>
              <w:bottom w:val="single" w:color="auto" w:sz="4" w:space="0"/>
              <w:right w:val="single" w:color="auto" w:sz="4" w:space="0"/>
            </w:tcBorders>
            <w:noWrap w:val="0"/>
            <w:vAlign w:val="center"/>
          </w:tcPr>
          <w:p>
            <w:pPr>
              <w:spacing w:line="240" w:lineRule="exact"/>
              <w:jc w:val="center"/>
              <w:rPr>
                <w:rFonts w:ascii="Times New Roman" w:eastAsia="黑体"/>
                <w:color w:val="000000"/>
                <w:spacing w:val="-2"/>
              </w:rPr>
            </w:pPr>
            <w:r>
              <w:rPr>
                <w:rFonts w:hint="eastAsia" w:ascii="Times New Roman" w:hAnsi="Times New Roman" w:eastAsia="黑体"/>
                <w:color w:val="000000"/>
                <w:spacing w:val="-2"/>
              </w:rPr>
              <w:t>项目</w:t>
            </w:r>
          </w:p>
        </w:tc>
        <w:tc>
          <w:tcPr>
            <w:tcW w:w="4962" w:type="dxa"/>
            <w:tcBorders>
              <w:top w:val="single" w:color="auto" w:sz="8" w:space="0"/>
              <w:left w:val="single" w:color="auto" w:sz="4" w:space="0"/>
              <w:bottom w:val="single" w:color="auto" w:sz="4" w:space="0"/>
              <w:right w:val="single" w:color="auto" w:sz="4" w:space="0"/>
            </w:tcBorders>
            <w:noWrap w:val="0"/>
            <w:vAlign w:val="center"/>
          </w:tcPr>
          <w:p>
            <w:pPr>
              <w:spacing w:line="240" w:lineRule="exact"/>
              <w:jc w:val="center"/>
              <w:rPr>
                <w:rFonts w:ascii="Times New Roman" w:eastAsia="黑体"/>
                <w:color w:val="000000"/>
                <w:spacing w:val="-2"/>
              </w:rPr>
            </w:pPr>
            <w:r>
              <w:rPr>
                <w:rFonts w:hint="eastAsia" w:ascii="Times New Roman" w:hAnsi="Times New Roman" w:eastAsia="黑体"/>
                <w:color w:val="000000"/>
                <w:spacing w:val="-2"/>
              </w:rPr>
              <w:t>要     求</w:t>
            </w:r>
          </w:p>
        </w:tc>
        <w:tc>
          <w:tcPr>
            <w:tcW w:w="1559" w:type="dxa"/>
            <w:tcBorders>
              <w:top w:val="single" w:color="auto" w:sz="8" w:space="0"/>
              <w:left w:val="single" w:color="auto" w:sz="4" w:space="0"/>
              <w:bottom w:val="single" w:color="auto" w:sz="4" w:space="0"/>
              <w:right w:val="single" w:color="auto" w:sz="4" w:space="0"/>
            </w:tcBorders>
            <w:noWrap w:val="0"/>
            <w:vAlign w:val="center"/>
          </w:tcPr>
          <w:p>
            <w:pPr>
              <w:spacing w:line="240" w:lineRule="exact"/>
              <w:jc w:val="center"/>
              <w:rPr>
                <w:rFonts w:ascii="Times New Roman" w:eastAsia="黑体"/>
                <w:color w:val="000000"/>
                <w:spacing w:val="-2"/>
              </w:rPr>
            </w:pPr>
            <w:r>
              <w:rPr>
                <w:rFonts w:hint="eastAsia" w:ascii="Times New Roman" w:hAnsi="Times New Roman" w:eastAsia="黑体"/>
                <w:color w:val="000000"/>
                <w:spacing w:val="-2"/>
              </w:rPr>
              <w:t>抽检数量</w:t>
            </w:r>
          </w:p>
        </w:tc>
        <w:tc>
          <w:tcPr>
            <w:tcW w:w="1276" w:type="dxa"/>
            <w:tcBorders>
              <w:top w:val="single" w:color="auto" w:sz="8" w:space="0"/>
              <w:left w:val="single" w:color="auto" w:sz="4" w:space="0"/>
              <w:bottom w:val="single" w:color="auto" w:sz="4" w:space="0"/>
              <w:right w:val="single" w:color="auto" w:sz="8" w:space="0"/>
            </w:tcBorders>
            <w:noWrap w:val="0"/>
            <w:vAlign w:val="center"/>
          </w:tcPr>
          <w:p>
            <w:pPr>
              <w:spacing w:line="240" w:lineRule="exact"/>
              <w:jc w:val="center"/>
              <w:rPr>
                <w:rFonts w:ascii="Times New Roman" w:eastAsia="黑体"/>
                <w:color w:val="000000"/>
                <w:spacing w:val="-2"/>
              </w:rPr>
            </w:pPr>
            <w:r>
              <w:rPr>
                <w:rFonts w:hint="eastAsia" w:ascii="Times New Roman" w:hAnsi="Times New Roman" w:eastAsia="黑体"/>
                <w:color w:val="000000"/>
                <w:spacing w:val="-2"/>
              </w:rPr>
              <w:t>检查方法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242" w:type="dxa"/>
            <w:vMerge w:val="restart"/>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rPr>
                <w:rFonts w:ascii="Times New Roman"/>
                <w:color w:val="000000"/>
                <w:spacing w:val="-2"/>
              </w:rPr>
            </w:pPr>
            <w:r>
              <w:rPr>
                <w:rFonts w:hint="eastAsia" w:ascii="Times New Roman" w:hAnsi="Times New Roman"/>
                <w:color w:val="000000"/>
                <w:spacing w:val="-2"/>
              </w:rPr>
              <w:t>钢管</w:t>
            </w:r>
          </w:p>
        </w:tc>
        <w:tc>
          <w:tcPr>
            <w:tcW w:w="496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ascii="Times New Roman"/>
                <w:color w:val="000000"/>
                <w:spacing w:val="-2"/>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rPr>
            </w:pPr>
          </w:p>
        </w:tc>
        <w:tc>
          <w:tcPr>
            <w:tcW w:w="1276"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center"/>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242"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ascii="Times New Roman"/>
                <w:color w:val="000000"/>
                <w:spacing w:val="-2"/>
              </w:rPr>
            </w:pPr>
          </w:p>
        </w:tc>
        <w:tc>
          <w:tcPr>
            <w:tcW w:w="496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ascii="Times New Roman"/>
                <w:color w:val="000000"/>
                <w:spacing w:val="-2"/>
              </w:rPr>
            </w:pPr>
          </w:p>
        </w:tc>
        <w:tc>
          <w:tcPr>
            <w:tcW w:w="1559" w:type="dxa"/>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ascii="Times New Roman"/>
                <w:color w:val="000000"/>
                <w:spacing w:val="-2"/>
              </w:rPr>
            </w:pPr>
          </w:p>
        </w:tc>
        <w:tc>
          <w:tcPr>
            <w:tcW w:w="1276"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center"/>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rPr>
                <w:rFonts w:ascii="Times New Roman"/>
                <w:color w:val="000000"/>
                <w:spacing w:val="-2"/>
              </w:rPr>
            </w:pPr>
            <w:r>
              <w:rPr>
                <w:rFonts w:hint="eastAsia" w:ascii="Times New Roman" w:hAnsi="Times New Roman"/>
                <w:color w:val="000000"/>
                <w:spacing w:val="-2"/>
              </w:rPr>
              <w:t>钢管外径及壁厚</w:t>
            </w:r>
          </w:p>
        </w:tc>
        <w:tc>
          <w:tcPr>
            <w:tcW w:w="496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ascii="Times New Roman"/>
                <w:color w:val="000000"/>
                <w:spacing w:val="-2"/>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rPr>
            </w:pPr>
          </w:p>
        </w:tc>
        <w:tc>
          <w:tcPr>
            <w:tcW w:w="1276"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center"/>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242" w:type="dxa"/>
            <w:vMerge w:val="restart"/>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rPr>
                <w:rFonts w:ascii="Times New Roman"/>
                <w:color w:val="000000"/>
                <w:spacing w:val="-2"/>
              </w:rPr>
            </w:pPr>
            <w:r>
              <w:rPr>
                <w:rFonts w:hint="eastAsia" w:ascii="Times New Roman" w:hAnsi="Times New Roman"/>
                <w:color w:val="000000"/>
                <w:spacing w:val="-2"/>
              </w:rPr>
              <w:t>扣件</w:t>
            </w:r>
          </w:p>
        </w:tc>
        <w:tc>
          <w:tcPr>
            <w:tcW w:w="496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ascii="Times New Roman"/>
                <w:color w:val="000000"/>
                <w:spacing w:val="-2"/>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left"/>
              <w:rPr>
                <w:rFonts w:ascii="Times New Roman"/>
                <w:color w:val="000000"/>
                <w:spacing w:val="-2"/>
                <w:sz w:val="18"/>
                <w:szCs w:val="18"/>
              </w:rPr>
            </w:pPr>
          </w:p>
        </w:tc>
        <w:tc>
          <w:tcPr>
            <w:tcW w:w="1276"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center"/>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242"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ascii="Times New Roman"/>
                <w:color w:val="000000"/>
                <w:spacing w:val="-2"/>
              </w:rPr>
            </w:pPr>
          </w:p>
        </w:tc>
        <w:tc>
          <w:tcPr>
            <w:tcW w:w="496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ascii="Times New Roman"/>
                <w:color w:val="000000"/>
                <w:spacing w:val="-2"/>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rPr>
            </w:pPr>
          </w:p>
        </w:tc>
        <w:tc>
          <w:tcPr>
            <w:tcW w:w="1276"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center"/>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1242" w:type="dxa"/>
            <w:vMerge w:val="restart"/>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rPr>
                <w:rFonts w:ascii="Times New Roman"/>
                <w:color w:val="000000"/>
                <w:spacing w:val="-2"/>
              </w:rPr>
            </w:pPr>
            <w:r>
              <w:rPr>
                <w:rFonts w:hint="eastAsia" w:ascii="Times New Roman" w:hAnsi="Times New Roman"/>
                <w:color w:val="000000"/>
                <w:spacing w:val="-2"/>
              </w:rPr>
              <w:t>可调托撑</w:t>
            </w:r>
          </w:p>
        </w:tc>
        <w:tc>
          <w:tcPr>
            <w:tcW w:w="496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ascii="Times New Roman"/>
                <w:color w:val="000000"/>
                <w:spacing w:val="-2"/>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rPr>
            </w:pPr>
          </w:p>
        </w:tc>
        <w:tc>
          <w:tcPr>
            <w:tcW w:w="1276"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center"/>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1242"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ascii="Times New Roman"/>
                <w:color w:val="000000"/>
                <w:spacing w:val="-2"/>
              </w:rPr>
            </w:pPr>
          </w:p>
        </w:tc>
        <w:tc>
          <w:tcPr>
            <w:tcW w:w="496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ascii="Times New Roman"/>
                <w:color w:val="000000"/>
                <w:spacing w:val="-2"/>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rPr>
            </w:pPr>
          </w:p>
        </w:tc>
        <w:tc>
          <w:tcPr>
            <w:tcW w:w="1276"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center"/>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1242"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ascii="Times New Roman"/>
                <w:color w:val="000000"/>
                <w:spacing w:val="-2"/>
              </w:rPr>
            </w:pPr>
          </w:p>
        </w:tc>
        <w:tc>
          <w:tcPr>
            <w:tcW w:w="496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ascii="Times New Roman"/>
                <w:color w:val="000000"/>
                <w:spacing w:val="-2"/>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rPr>
            </w:pPr>
          </w:p>
        </w:tc>
        <w:tc>
          <w:tcPr>
            <w:tcW w:w="1276"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center"/>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1242" w:type="dxa"/>
            <w:vMerge w:val="restart"/>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rPr>
                <w:rFonts w:ascii="Times New Roman"/>
                <w:color w:val="000000"/>
                <w:spacing w:val="-2"/>
              </w:rPr>
            </w:pPr>
            <w:r>
              <w:rPr>
                <w:rFonts w:hint="eastAsia" w:ascii="Times New Roman" w:hAnsi="Times New Roman"/>
                <w:color w:val="000000"/>
                <w:spacing w:val="-2"/>
              </w:rPr>
              <w:t>脚手板</w:t>
            </w:r>
          </w:p>
        </w:tc>
        <w:tc>
          <w:tcPr>
            <w:tcW w:w="496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ascii="Times New Roman"/>
                <w:color w:val="000000"/>
                <w:spacing w:val="-2"/>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rPr>
            </w:pPr>
          </w:p>
        </w:tc>
        <w:tc>
          <w:tcPr>
            <w:tcW w:w="1276"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center"/>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1242"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ascii="Times New Roman"/>
                <w:color w:val="000000"/>
                <w:spacing w:val="-2"/>
              </w:rPr>
            </w:pPr>
          </w:p>
        </w:tc>
        <w:tc>
          <w:tcPr>
            <w:tcW w:w="496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ascii="Times New Roman"/>
                <w:color w:val="000000"/>
                <w:spacing w:val="-2"/>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rPr>
            </w:pPr>
          </w:p>
        </w:tc>
        <w:tc>
          <w:tcPr>
            <w:tcW w:w="1276"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center"/>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1242"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ascii="Times New Roman"/>
                <w:color w:val="000000"/>
                <w:spacing w:val="-2"/>
              </w:rPr>
            </w:pPr>
          </w:p>
        </w:tc>
        <w:tc>
          <w:tcPr>
            <w:tcW w:w="496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ascii="Times New Roman"/>
                <w:color w:val="000000"/>
                <w:spacing w:val="-2"/>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rPr>
            </w:pPr>
          </w:p>
        </w:tc>
        <w:tc>
          <w:tcPr>
            <w:tcW w:w="1276"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center"/>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1242"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ascii="Times New Roman"/>
                <w:color w:val="000000"/>
                <w:spacing w:val="-2"/>
              </w:rPr>
            </w:pPr>
          </w:p>
        </w:tc>
        <w:tc>
          <w:tcPr>
            <w:tcW w:w="496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ascii="Times New Roman"/>
                <w:color w:val="000000"/>
                <w:spacing w:val="-2"/>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rPr>
            </w:pPr>
          </w:p>
        </w:tc>
        <w:tc>
          <w:tcPr>
            <w:tcW w:w="1276"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center"/>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1242"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ascii="Times New Roman"/>
                <w:color w:val="000000"/>
                <w:spacing w:val="-2"/>
              </w:rPr>
            </w:pPr>
          </w:p>
        </w:tc>
        <w:tc>
          <w:tcPr>
            <w:tcW w:w="496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ascii="Times New Roman"/>
                <w:color w:val="000000"/>
                <w:spacing w:val="-2"/>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rPr>
            </w:pPr>
          </w:p>
        </w:tc>
        <w:tc>
          <w:tcPr>
            <w:tcW w:w="1276"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center"/>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1242"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ascii="Times New Roman"/>
                <w:color w:val="000000"/>
                <w:spacing w:val="-2"/>
              </w:rPr>
            </w:pPr>
          </w:p>
        </w:tc>
        <w:tc>
          <w:tcPr>
            <w:tcW w:w="496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ascii="Times New Roman"/>
                <w:color w:val="000000"/>
                <w:spacing w:val="-2"/>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rPr>
            </w:pPr>
          </w:p>
        </w:tc>
        <w:tc>
          <w:tcPr>
            <w:tcW w:w="1276"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center"/>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1242"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ascii="Times New Roman"/>
                <w:color w:val="000000"/>
                <w:spacing w:val="-2"/>
              </w:rPr>
            </w:pPr>
          </w:p>
        </w:tc>
        <w:tc>
          <w:tcPr>
            <w:tcW w:w="496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ascii="Times New Roman"/>
                <w:color w:val="000000"/>
                <w:spacing w:val="-2"/>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rPr>
            </w:pPr>
          </w:p>
        </w:tc>
        <w:tc>
          <w:tcPr>
            <w:tcW w:w="1276"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center"/>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1242" w:type="dxa"/>
            <w:tcBorders>
              <w:top w:val="single" w:color="auto" w:sz="4" w:space="0"/>
              <w:left w:val="single" w:color="auto" w:sz="8" w:space="0"/>
              <w:bottom w:val="single" w:color="auto" w:sz="8" w:space="0"/>
              <w:right w:val="single" w:color="auto" w:sz="4" w:space="0"/>
            </w:tcBorders>
            <w:noWrap w:val="0"/>
            <w:vAlign w:val="center"/>
          </w:tcPr>
          <w:p>
            <w:pPr>
              <w:spacing w:line="240" w:lineRule="exact"/>
              <w:ind w:firstLine="309" w:firstLineChars="150"/>
              <w:rPr>
                <w:rFonts w:ascii="Times New Roman"/>
                <w:color w:val="000000"/>
                <w:spacing w:val="-2"/>
              </w:rPr>
            </w:pPr>
            <w:r>
              <w:rPr>
                <w:rFonts w:hint="eastAsia" w:ascii="Times New Roman" w:hAnsi="Times New Roman"/>
                <w:color w:val="000000"/>
                <w:spacing w:val="-2"/>
              </w:rPr>
              <w:t>钢筋</w:t>
            </w:r>
          </w:p>
        </w:tc>
        <w:tc>
          <w:tcPr>
            <w:tcW w:w="4962" w:type="dxa"/>
            <w:tcBorders>
              <w:top w:val="single" w:color="auto" w:sz="4" w:space="0"/>
              <w:left w:val="single" w:color="auto" w:sz="4" w:space="0"/>
              <w:bottom w:val="single" w:color="auto" w:sz="8" w:space="0"/>
              <w:right w:val="single" w:color="auto" w:sz="4" w:space="0"/>
            </w:tcBorders>
            <w:noWrap w:val="0"/>
            <w:vAlign w:val="center"/>
          </w:tcPr>
          <w:p>
            <w:pPr>
              <w:spacing w:line="240" w:lineRule="exact"/>
              <w:rPr>
                <w:rFonts w:ascii="Times New Roman"/>
                <w:color w:val="000000"/>
                <w:spacing w:val="-2"/>
              </w:rPr>
            </w:pPr>
          </w:p>
        </w:tc>
        <w:tc>
          <w:tcPr>
            <w:tcW w:w="1559" w:type="dxa"/>
            <w:tcBorders>
              <w:top w:val="single" w:color="auto" w:sz="4" w:space="0"/>
              <w:left w:val="single" w:color="auto" w:sz="4" w:space="0"/>
              <w:bottom w:val="single" w:color="auto" w:sz="8" w:space="0"/>
              <w:right w:val="single" w:color="auto" w:sz="4" w:space="0"/>
            </w:tcBorders>
            <w:noWrap w:val="0"/>
            <w:vAlign w:val="center"/>
          </w:tcPr>
          <w:p>
            <w:pPr>
              <w:spacing w:line="240" w:lineRule="exact"/>
              <w:jc w:val="center"/>
              <w:rPr>
                <w:rFonts w:ascii="Times New Roman"/>
                <w:color w:val="000000"/>
                <w:spacing w:val="-2"/>
              </w:rPr>
            </w:pPr>
          </w:p>
        </w:tc>
        <w:tc>
          <w:tcPr>
            <w:tcW w:w="1276" w:type="dxa"/>
            <w:tcBorders>
              <w:top w:val="single" w:color="auto" w:sz="4" w:space="0"/>
              <w:left w:val="single" w:color="auto" w:sz="4" w:space="0"/>
              <w:bottom w:val="single" w:color="auto" w:sz="8" w:space="0"/>
              <w:right w:val="single" w:color="auto" w:sz="8" w:space="0"/>
            </w:tcBorders>
            <w:noWrap w:val="0"/>
            <w:vAlign w:val="center"/>
          </w:tcPr>
          <w:p>
            <w:pPr>
              <w:spacing w:line="240" w:lineRule="exact"/>
              <w:jc w:val="center"/>
              <w:rPr>
                <w:rFonts w:ascii="Times New Roman"/>
                <w:color w:val="000000"/>
                <w:spacing w:val="-2"/>
              </w:rPr>
            </w:pPr>
          </w:p>
        </w:tc>
      </w:tr>
    </w:tbl>
    <w:p>
      <w:pPr>
        <w:spacing w:line="460" w:lineRule="exact"/>
        <w:ind w:firstLine="472" w:firstLineChars="200"/>
        <w:rPr>
          <w:rFonts w:hint="eastAsia" w:ascii="Times New Roman"/>
          <w:color w:val="000000"/>
          <w:spacing w:val="-2"/>
          <w:sz w:val="24"/>
        </w:rPr>
      </w:pPr>
      <w:r>
        <w:rPr>
          <w:rFonts w:hint="eastAsia" w:ascii="Times New Roman" w:hAnsi="Times New Roman"/>
          <w:color w:val="000000"/>
          <w:spacing w:val="-2"/>
          <w:sz w:val="24"/>
        </w:rPr>
        <w:t>脚手架材料、构配件进场后，监理工程师应随机抽取外观检验不合格的钢管、扣件见证取样送法定专业检测机构进行检测，检测项目见表6.3。</w:t>
      </w:r>
    </w:p>
    <w:p>
      <w:pPr>
        <w:spacing w:line="360" w:lineRule="auto"/>
        <w:ind w:firstLine="2714" w:firstLineChars="1150"/>
        <w:rPr>
          <w:rFonts w:hint="eastAsia" w:ascii="Times New Roman"/>
          <w:color w:val="000000"/>
          <w:spacing w:val="-2"/>
        </w:rPr>
      </w:pPr>
      <w:r>
        <w:rPr>
          <w:rFonts w:hint="eastAsia" w:ascii="Times New Roman" w:hAnsi="Times New Roman" w:eastAsia="黑体"/>
          <w:color w:val="000000"/>
          <w:spacing w:val="-2"/>
          <w:sz w:val="24"/>
        </w:rPr>
        <w:t>钢管、扣件见证取样检测项目</w:t>
      </w:r>
      <w:r>
        <w:rPr>
          <w:rFonts w:hint="eastAsia" w:ascii="Times New Roman" w:hAnsi="Times New Roman"/>
          <w:color w:val="000000"/>
          <w:spacing w:val="-2"/>
        </w:rPr>
        <w:t xml:space="preserve">                         表</w:t>
      </w:r>
      <w:r>
        <w:rPr>
          <w:color w:val="000000"/>
          <w:spacing w:val="-2"/>
        </w:rPr>
        <w:t>6.3</w:t>
      </w: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268"/>
        <w:gridCol w:w="4809"/>
        <w:gridCol w:w="12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tcBorders>
              <w:top w:val="single" w:color="auto" w:sz="8" w:space="0"/>
              <w:left w:val="single" w:color="auto" w:sz="8" w:space="0"/>
              <w:bottom w:val="single" w:color="auto" w:sz="4" w:space="0"/>
              <w:right w:val="single" w:color="auto" w:sz="4" w:space="0"/>
            </w:tcBorders>
            <w:noWrap w:val="0"/>
            <w:vAlign w:val="center"/>
          </w:tcPr>
          <w:p>
            <w:pPr>
              <w:spacing w:line="240" w:lineRule="exact"/>
              <w:jc w:val="center"/>
              <w:rPr>
                <w:rFonts w:ascii="Times New Roman" w:eastAsia="黑体"/>
                <w:color w:val="000000"/>
                <w:spacing w:val="-2"/>
              </w:rPr>
            </w:pPr>
            <w:r>
              <w:rPr>
                <w:rFonts w:hint="eastAsia" w:ascii="Times New Roman" w:hAnsi="Times New Roman" w:eastAsia="黑体"/>
                <w:color w:val="000000"/>
                <w:spacing w:val="-2"/>
              </w:rPr>
              <w:t>序号</w:t>
            </w:r>
          </w:p>
        </w:tc>
        <w:tc>
          <w:tcPr>
            <w:tcW w:w="2268" w:type="dxa"/>
            <w:tcBorders>
              <w:top w:val="single" w:color="auto" w:sz="8" w:space="0"/>
              <w:left w:val="single" w:color="auto" w:sz="4" w:space="0"/>
              <w:bottom w:val="single" w:color="auto" w:sz="4" w:space="0"/>
              <w:right w:val="single" w:color="auto" w:sz="4" w:space="0"/>
            </w:tcBorders>
            <w:noWrap w:val="0"/>
            <w:vAlign w:val="center"/>
          </w:tcPr>
          <w:p>
            <w:pPr>
              <w:spacing w:line="240" w:lineRule="exact"/>
              <w:jc w:val="center"/>
              <w:rPr>
                <w:rFonts w:ascii="Times New Roman" w:eastAsia="黑体"/>
                <w:color w:val="000000"/>
                <w:spacing w:val="-2"/>
              </w:rPr>
            </w:pPr>
            <w:r>
              <w:rPr>
                <w:rFonts w:hint="eastAsia" w:ascii="Times New Roman" w:hAnsi="Times New Roman" w:eastAsia="黑体"/>
                <w:color w:val="000000"/>
                <w:spacing w:val="-2"/>
              </w:rPr>
              <w:t>见证取样材料名称</w:t>
            </w:r>
          </w:p>
        </w:tc>
        <w:tc>
          <w:tcPr>
            <w:tcW w:w="4809" w:type="dxa"/>
            <w:tcBorders>
              <w:top w:val="single" w:color="auto" w:sz="8" w:space="0"/>
              <w:left w:val="single" w:color="auto" w:sz="4" w:space="0"/>
              <w:bottom w:val="single" w:color="auto" w:sz="4" w:space="0"/>
              <w:right w:val="single" w:color="auto" w:sz="4" w:space="0"/>
            </w:tcBorders>
            <w:noWrap w:val="0"/>
            <w:vAlign w:val="center"/>
          </w:tcPr>
          <w:p>
            <w:pPr>
              <w:spacing w:line="240" w:lineRule="exact"/>
              <w:jc w:val="center"/>
              <w:rPr>
                <w:rFonts w:ascii="Times New Roman" w:eastAsia="黑体"/>
                <w:color w:val="000000"/>
                <w:spacing w:val="-2"/>
              </w:rPr>
            </w:pPr>
            <w:r>
              <w:rPr>
                <w:rFonts w:hint="eastAsia" w:ascii="Times New Roman" w:hAnsi="Times New Roman" w:eastAsia="黑体"/>
                <w:color w:val="000000"/>
                <w:spacing w:val="-2"/>
              </w:rPr>
              <w:t>检测项目</w:t>
            </w:r>
          </w:p>
        </w:tc>
        <w:tc>
          <w:tcPr>
            <w:tcW w:w="1275" w:type="dxa"/>
            <w:tcBorders>
              <w:top w:val="single" w:color="auto" w:sz="8" w:space="0"/>
              <w:left w:val="single" w:color="auto" w:sz="4" w:space="0"/>
              <w:bottom w:val="single" w:color="auto" w:sz="4" w:space="0"/>
              <w:right w:val="single" w:color="auto" w:sz="8" w:space="0"/>
            </w:tcBorders>
            <w:noWrap w:val="0"/>
            <w:vAlign w:val="center"/>
          </w:tcPr>
          <w:p>
            <w:pPr>
              <w:spacing w:line="240" w:lineRule="exact"/>
              <w:jc w:val="center"/>
              <w:rPr>
                <w:rFonts w:ascii="Times New Roman" w:eastAsia="黑体"/>
                <w:color w:val="000000"/>
                <w:spacing w:val="-2"/>
              </w:rPr>
            </w:pPr>
            <w:r>
              <w:rPr>
                <w:rFonts w:hint="eastAsia" w:ascii="Times New Roman" w:hAnsi="Times New Roman" w:eastAsia="黑体"/>
                <w:color w:val="000000"/>
                <w:spacing w:val="-2"/>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rPr>
                <w:color w:val="000000"/>
                <w:spacing w:val="-2"/>
              </w:rPr>
            </w:pPr>
            <w:r>
              <w:rPr>
                <w:color w:val="000000"/>
                <w:spacing w:val="-2"/>
              </w:rPr>
              <w:t>1</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rPr>
            </w:pPr>
            <w:r>
              <w:rPr>
                <w:rFonts w:hint="eastAsia" w:ascii="Times New Roman" w:hAnsi="Times New Roman"/>
                <w:color w:val="000000"/>
                <w:spacing w:val="-2"/>
              </w:rPr>
              <w:t>钢管</w:t>
            </w:r>
          </w:p>
        </w:tc>
        <w:tc>
          <w:tcPr>
            <w:tcW w:w="4809" w:type="dxa"/>
            <w:tcBorders>
              <w:top w:val="single" w:color="auto" w:sz="4" w:space="0"/>
              <w:left w:val="single" w:color="auto" w:sz="4" w:space="0"/>
              <w:bottom w:val="single" w:color="auto" w:sz="4" w:space="0"/>
              <w:right w:val="single" w:color="auto" w:sz="4" w:space="0"/>
            </w:tcBorders>
            <w:noWrap w:val="0"/>
            <w:vAlign w:val="center"/>
          </w:tcPr>
          <w:p>
            <w:pPr>
              <w:spacing w:line="240" w:lineRule="exact"/>
              <w:ind w:firstLine="515" w:firstLineChars="250"/>
              <w:jc w:val="center"/>
              <w:rPr>
                <w:rFonts w:ascii="Times New Roman"/>
                <w:color w:val="000000"/>
                <w:spacing w:val="-2"/>
              </w:rPr>
            </w:pPr>
          </w:p>
        </w:tc>
        <w:tc>
          <w:tcPr>
            <w:tcW w:w="1275"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center"/>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rPr>
                <w:color w:val="000000"/>
                <w:spacing w:val="-2"/>
              </w:rPr>
            </w:pPr>
            <w:r>
              <w:rPr>
                <w:color w:val="000000"/>
                <w:spacing w:val="-2"/>
              </w:rPr>
              <w:t>2</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color w:val="000000"/>
                <w:spacing w:val="-2"/>
              </w:rPr>
            </w:pPr>
            <w:r>
              <w:rPr>
                <w:rFonts w:hint="eastAsia" w:ascii="Times New Roman" w:hAnsi="Times New Roman"/>
                <w:color w:val="000000"/>
                <w:spacing w:val="-2"/>
              </w:rPr>
              <w:t>扣件</w:t>
            </w:r>
          </w:p>
        </w:tc>
        <w:tc>
          <w:tcPr>
            <w:tcW w:w="4809" w:type="dxa"/>
            <w:tcBorders>
              <w:top w:val="single" w:color="auto" w:sz="4" w:space="0"/>
              <w:left w:val="single" w:color="auto" w:sz="4" w:space="0"/>
              <w:bottom w:val="single" w:color="auto" w:sz="4" w:space="0"/>
              <w:right w:val="single" w:color="auto" w:sz="4" w:space="0"/>
            </w:tcBorders>
            <w:noWrap w:val="0"/>
            <w:vAlign w:val="center"/>
          </w:tcPr>
          <w:p>
            <w:pPr>
              <w:spacing w:line="240" w:lineRule="exact"/>
              <w:ind w:firstLine="515" w:firstLineChars="250"/>
              <w:jc w:val="center"/>
              <w:rPr>
                <w:rFonts w:ascii="Times New Roman"/>
                <w:color w:val="000000"/>
                <w:spacing w:val="-2"/>
              </w:rPr>
            </w:pPr>
          </w:p>
        </w:tc>
        <w:tc>
          <w:tcPr>
            <w:tcW w:w="1275"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center"/>
              <w:rPr>
                <w:rFonts w:ascii="Times New Roman"/>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tcBorders>
              <w:top w:val="single" w:color="auto" w:sz="4" w:space="0"/>
              <w:left w:val="single" w:color="auto" w:sz="8" w:space="0"/>
              <w:bottom w:val="single" w:color="auto" w:sz="8" w:space="0"/>
              <w:right w:val="single" w:color="auto" w:sz="4" w:space="0"/>
            </w:tcBorders>
            <w:noWrap w:val="0"/>
            <w:vAlign w:val="center"/>
          </w:tcPr>
          <w:p>
            <w:pPr>
              <w:spacing w:line="240" w:lineRule="exact"/>
              <w:jc w:val="center"/>
              <w:rPr>
                <w:color w:val="000000"/>
                <w:spacing w:val="-2"/>
              </w:rPr>
            </w:pPr>
            <w:r>
              <w:rPr>
                <w:color w:val="000000"/>
                <w:spacing w:val="-2"/>
              </w:rPr>
              <w:t>3</w:t>
            </w:r>
          </w:p>
        </w:tc>
        <w:tc>
          <w:tcPr>
            <w:tcW w:w="2268" w:type="dxa"/>
            <w:tcBorders>
              <w:top w:val="single" w:color="auto" w:sz="4" w:space="0"/>
              <w:left w:val="single" w:color="auto" w:sz="4" w:space="0"/>
              <w:bottom w:val="single" w:color="auto" w:sz="8" w:space="0"/>
              <w:right w:val="single" w:color="auto" w:sz="4" w:space="0"/>
            </w:tcBorders>
            <w:noWrap w:val="0"/>
            <w:vAlign w:val="center"/>
          </w:tcPr>
          <w:p>
            <w:pPr>
              <w:spacing w:line="240" w:lineRule="exact"/>
              <w:jc w:val="center"/>
              <w:rPr>
                <w:rFonts w:ascii="Times New Roman"/>
                <w:color w:val="000000"/>
                <w:spacing w:val="-2"/>
              </w:rPr>
            </w:pPr>
            <w:r>
              <w:rPr>
                <w:rFonts w:hint="eastAsia" w:ascii="Times New Roman" w:hAnsi="Times New Roman"/>
                <w:color w:val="000000"/>
                <w:spacing w:val="-2"/>
              </w:rPr>
              <w:t>钢筋</w:t>
            </w:r>
          </w:p>
        </w:tc>
        <w:tc>
          <w:tcPr>
            <w:tcW w:w="4809" w:type="dxa"/>
            <w:tcBorders>
              <w:top w:val="single" w:color="auto" w:sz="4" w:space="0"/>
              <w:left w:val="single" w:color="auto" w:sz="4" w:space="0"/>
              <w:bottom w:val="single" w:color="auto" w:sz="8" w:space="0"/>
              <w:right w:val="single" w:color="auto" w:sz="4" w:space="0"/>
            </w:tcBorders>
            <w:noWrap w:val="0"/>
            <w:vAlign w:val="center"/>
          </w:tcPr>
          <w:p>
            <w:pPr>
              <w:spacing w:line="240" w:lineRule="exact"/>
              <w:ind w:firstLine="515" w:firstLineChars="250"/>
              <w:jc w:val="center"/>
              <w:rPr>
                <w:rFonts w:ascii="Times New Roman"/>
                <w:color w:val="000000"/>
                <w:spacing w:val="-2"/>
              </w:rPr>
            </w:pPr>
          </w:p>
        </w:tc>
        <w:tc>
          <w:tcPr>
            <w:tcW w:w="1275" w:type="dxa"/>
            <w:tcBorders>
              <w:top w:val="single" w:color="auto" w:sz="4" w:space="0"/>
              <w:left w:val="single" w:color="auto" w:sz="4" w:space="0"/>
              <w:bottom w:val="single" w:color="auto" w:sz="8" w:space="0"/>
              <w:right w:val="single" w:color="auto" w:sz="8" w:space="0"/>
            </w:tcBorders>
            <w:noWrap w:val="0"/>
            <w:vAlign w:val="center"/>
          </w:tcPr>
          <w:p>
            <w:pPr>
              <w:spacing w:line="240" w:lineRule="exact"/>
              <w:jc w:val="center"/>
              <w:rPr>
                <w:rFonts w:ascii="Times New Roman"/>
                <w:color w:val="000000"/>
                <w:spacing w:val="-2"/>
              </w:rPr>
            </w:pPr>
          </w:p>
        </w:tc>
      </w:tr>
    </w:tbl>
    <w:p>
      <w:pPr>
        <w:spacing w:line="460" w:lineRule="exact"/>
        <w:rPr>
          <w:rFonts w:hint="eastAsia" w:ascii="Times New Roman"/>
          <w:color w:val="000000"/>
          <w:spacing w:val="-2"/>
        </w:rPr>
      </w:pPr>
    </w:p>
    <w:p>
      <w:pPr>
        <w:spacing w:line="460" w:lineRule="exact"/>
        <w:rPr>
          <w:rFonts w:hint="eastAsia"/>
          <w:color w:val="000000"/>
          <w:spacing w:val="-2"/>
          <w:sz w:val="24"/>
        </w:rPr>
      </w:pPr>
      <w:r>
        <w:rPr>
          <w:b/>
          <w:color w:val="000000"/>
          <w:spacing w:val="-2"/>
          <w:sz w:val="24"/>
        </w:rPr>
        <w:t>6.3.4</w:t>
      </w:r>
      <w:r>
        <w:rPr>
          <w:color w:val="000000"/>
          <w:spacing w:val="-2"/>
          <w:sz w:val="24"/>
        </w:rPr>
        <w:t xml:space="preserve"> </w:t>
      </w:r>
      <w:r>
        <w:rPr>
          <w:rFonts w:hint="eastAsia" w:hAnsi="Times New Roman"/>
          <w:color w:val="000000"/>
          <w:spacing w:val="-2"/>
          <w:sz w:val="24"/>
        </w:rPr>
        <w:t>地基与基础检查。</w:t>
      </w:r>
    </w:p>
    <w:p>
      <w:pPr>
        <w:spacing w:line="460" w:lineRule="exact"/>
        <w:rPr>
          <w:color w:val="000000"/>
          <w:spacing w:val="-2"/>
          <w:sz w:val="24"/>
        </w:rPr>
      </w:pPr>
      <w:r>
        <w:rPr>
          <w:b/>
          <w:color w:val="000000"/>
          <w:spacing w:val="-2"/>
          <w:sz w:val="24"/>
        </w:rPr>
        <w:t>6.3.5</w:t>
      </w:r>
      <w:r>
        <w:rPr>
          <w:color w:val="000000"/>
          <w:spacing w:val="-2"/>
          <w:sz w:val="24"/>
        </w:rPr>
        <w:t xml:space="preserve"> </w:t>
      </w:r>
      <w:r>
        <w:rPr>
          <w:rFonts w:hint="eastAsia" w:hAnsi="Times New Roman"/>
          <w:color w:val="000000"/>
          <w:spacing w:val="-2"/>
          <w:sz w:val="24"/>
        </w:rPr>
        <w:t>脚手架搭设构造。</w:t>
      </w:r>
    </w:p>
    <w:p>
      <w:pPr>
        <w:spacing w:line="460" w:lineRule="exact"/>
        <w:rPr>
          <w:color w:val="000000"/>
          <w:spacing w:val="-2"/>
          <w:sz w:val="24"/>
        </w:rPr>
      </w:pPr>
      <w:r>
        <w:rPr>
          <w:b/>
          <w:color w:val="000000"/>
          <w:spacing w:val="-2"/>
          <w:sz w:val="24"/>
        </w:rPr>
        <w:t>6.3.6</w:t>
      </w:r>
      <w:r>
        <w:rPr>
          <w:color w:val="000000"/>
          <w:spacing w:val="-2"/>
          <w:sz w:val="24"/>
        </w:rPr>
        <w:t xml:space="preserve"> </w:t>
      </w:r>
      <w:r>
        <w:rPr>
          <w:rFonts w:hint="eastAsia" w:hAnsi="Times New Roman"/>
          <w:color w:val="000000"/>
          <w:spacing w:val="-2"/>
          <w:sz w:val="24"/>
        </w:rPr>
        <w:t>脚手架搭设施工。</w:t>
      </w:r>
    </w:p>
    <w:p>
      <w:pPr>
        <w:spacing w:line="460" w:lineRule="exact"/>
        <w:rPr>
          <w:color w:val="000000"/>
          <w:spacing w:val="-2"/>
          <w:kern w:val="0"/>
          <w:sz w:val="24"/>
        </w:rPr>
      </w:pPr>
      <w:r>
        <w:rPr>
          <w:b/>
          <w:color w:val="000000"/>
          <w:spacing w:val="-2"/>
          <w:sz w:val="24"/>
        </w:rPr>
        <w:t xml:space="preserve">6.3.7 </w:t>
      </w:r>
      <w:r>
        <w:rPr>
          <w:rFonts w:hint="eastAsia" w:hAnsi="Times New Roman"/>
          <w:color w:val="000000"/>
          <w:spacing w:val="-2"/>
          <w:kern w:val="0"/>
          <w:sz w:val="24"/>
        </w:rPr>
        <w:t>脚手架拆除施工。</w:t>
      </w:r>
    </w:p>
    <w:p>
      <w:pPr>
        <w:spacing w:line="460" w:lineRule="exact"/>
        <w:rPr>
          <w:rFonts w:ascii="Times New Roman"/>
          <w:color w:val="000000"/>
          <w:spacing w:val="-2"/>
          <w:kern w:val="0"/>
          <w:szCs w:val="21"/>
        </w:rPr>
      </w:pPr>
      <w:r>
        <w:rPr>
          <w:b/>
          <w:color w:val="000000"/>
          <w:spacing w:val="-2"/>
          <w:sz w:val="24"/>
        </w:rPr>
        <w:t xml:space="preserve">6.3.8 </w:t>
      </w:r>
      <w:r>
        <w:rPr>
          <w:rFonts w:hint="eastAsia" w:hAnsi="Times New Roman"/>
          <w:color w:val="000000"/>
          <w:spacing w:val="-2"/>
          <w:kern w:val="0"/>
          <w:sz w:val="24"/>
        </w:rPr>
        <w:t>脚手架检</w:t>
      </w:r>
      <w:r>
        <w:rPr>
          <w:rFonts w:hint="eastAsia" w:ascii="Times New Roman" w:hAnsi="Times New Roman"/>
          <w:color w:val="000000"/>
          <w:spacing w:val="-2"/>
          <w:kern w:val="0"/>
          <w:sz w:val="24"/>
        </w:rPr>
        <w:t>查与验收。</w:t>
      </w:r>
    </w:p>
    <w:p>
      <w:pPr>
        <w:spacing w:before="120" w:beforeLines="50" w:after="120" w:afterLines="50"/>
        <w:rPr>
          <w:rFonts w:hint="eastAsia"/>
          <w:b/>
          <w:color w:val="000000"/>
          <w:spacing w:val="-2"/>
          <w:sz w:val="28"/>
          <w:szCs w:val="28"/>
        </w:rPr>
      </w:pPr>
      <w:r>
        <w:rPr>
          <w:b/>
          <w:color w:val="000000"/>
          <w:spacing w:val="-2"/>
          <w:sz w:val="28"/>
          <w:szCs w:val="28"/>
        </w:rPr>
        <w:t xml:space="preserve">7 </w:t>
      </w:r>
      <w:r>
        <w:rPr>
          <w:rFonts w:hint="eastAsia"/>
          <w:b/>
          <w:color w:val="000000"/>
          <w:spacing w:val="-2"/>
          <w:sz w:val="28"/>
          <w:szCs w:val="28"/>
        </w:rPr>
        <w:t>监理的主要工作方法及措施</w:t>
      </w:r>
    </w:p>
    <w:p>
      <w:pPr>
        <w:spacing w:line="460" w:lineRule="exact"/>
        <w:rPr>
          <w:rFonts w:ascii="Times New Roman"/>
          <w:b/>
          <w:color w:val="000000"/>
          <w:spacing w:val="-2"/>
          <w:sz w:val="24"/>
        </w:rPr>
      </w:pPr>
      <w:r>
        <w:rPr>
          <w:b/>
          <w:color w:val="000000"/>
          <w:spacing w:val="-2"/>
          <w:sz w:val="24"/>
        </w:rPr>
        <w:t xml:space="preserve">7.1 </w:t>
      </w:r>
      <w:r>
        <w:rPr>
          <w:rFonts w:hint="eastAsia" w:ascii="Times New Roman" w:hAnsi="Times New Roman"/>
          <w:b/>
          <w:color w:val="000000"/>
          <w:spacing w:val="-2"/>
          <w:sz w:val="24"/>
        </w:rPr>
        <w:t xml:space="preserve">审查内容： </w:t>
      </w:r>
      <w:r>
        <w:rPr>
          <w:rFonts w:hint="eastAsia" w:ascii="Times New Roman" w:hAnsi="Times New Roman"/>
          <w:b/>
          <w:color w:val="000000"/>
          <w:spacing w:val="-2"/>
          <w:sz w:val="24"/>
          <w:u w:val="single"/>
        </w:rPr>
        <w:t xml:space="preserve">                                                      </w:t>
      </w:r>
      <w:r>
        <w:rPr>
          <w:rFonts w:hint="eastAsia" w:ascii="Times New Roman" w:hAnsi="Times New Roman"/>
          <w:color w:val="000000"/>
          <w:spacing w:val="-2"/>
          <w:sz w:val="24"/>
        </w:rPr>
        <w:t>。</w:t>
      </w:r>
    </w:p>
    <w:p>
      <w:pPr>
        <w:spacing w:line="460" w:lineRule="exact"/>
        <w:rPr>
          <w:rFonts w:hint="eastAsia" w:ascii="Times New Roman"/>
          <w:color w:val="000000"/>
          <w:spacing w:val="-2"/>
          <w:sz w:val="24"/>
        </w:rPr>
      </w:pPr>
      <w:r>
        <w:rPr>
          <w:rFonts w:hint="eastAsia" w:ascii="Times New Roman" w:hAnsi="Times New Roman"/>
          <w:color w:val="000000"/>
          <w:spacing w:val="-2"/>
          <w:sz w:val="24"/>
        </w:rPr>
        <w:t>（如：审查承包单位、分包单位的安全生产保证体系、质量保证体系是否建立、健全；审查承包单位报送的专项施工方案，按要求需专家论证的是否组织论证并按论证意见修改完善，并提出审查意见；审查承包单位报送的拟进场的脚手架材料、构配件报审表（通用报审表）证明文件；审查脚手架搭设完成后检查验收报告；审查脚手架拆除签字审批手续；审查工程安全防护措施费使用计划等。）</w:t>
      </w:r>
    </w:p>
    <w:p>
      <w:pPr>
        <w:spacing w:line="460" w:lineRule="exact"/>
        <w:rPr>
          <w:rFonts w:hint="eastAsia" w:ascii="Times New Roman"/>
          <w:b/>
          <w:color w:val="000000"/>
          <w:spacing w:val="-2"/>
          <w:sz w:val="24"/>
        </w:rPr>
      </w:pPr>
      <w:r>
        <w:rPr>
          <w:b/>
          <w:color w:val="000000"/>
          <w:spacing w:val="-2"/>
          <w:sz w:val="24"/>
        </w:rPr>
        <w:t xml:space="preserve">7.2 </w:t>
      </w:r>
      <w:r>
        <w:rPr>
          <w:rFonts w:hint="eastAsia" w:ascii="Times New Roman" w:hAnsi="Times New Roman"/>
          <w:b/>
          <w:color w:val="000000"/>
          <w:spacing w:val="-2"/>
          <w:sz w:val="24"/>
        </w:rPr>
        <w:t>复核内容：</w:t>
      </w:r>
      <w:r>
        <w:rPr>
          <w:rFonts w:hint="eastAsia" w:ascii="Times New Roman" w:hAnsi="Times New Roman"/>
          <w:b/>
          <w:color w:val="000000"/>
          <w:spacing w:val="-2"/>
          <w:sz w:val="24"/>
          <w:u w:val="single"/>
        </w:rPr>
        <w:t xml:space="preserve">                                                      </w:t>
      </w:r>
      <w:r>
        <w:rPr>
          <w:rFonts w:hint="eastAsia" w:ascii="Times New Roman" w:hAnsi="Times New Roman"/>
          <w:b/>
          <w:color w:val="000000"/>
          <w:spacing w:val="-2"/>
          <w:sz w:val="24"/>
        </w:rPr>
        <w:t>。</w:t>
      </w:r>
    </w:p>
    <w:p>
      <w:pPr>
        <w:spacing w:line="460" w:lineRule="exact"/>
        <w:rPr>
          <w:rFonts w:hint="eastAsia" w:ascii="Times New Roman"/>
          <w:color w:val="000000"/>
          <w:spacing w:val="-2"/>
          <w:sz w:val="24"/>
        </w:rPr>
      </w:pPr>
      <w:r>
        <w:rPr>
          <w:rFonts w:hint="eastAsia" w:ascii="Times New Roman" w:hAnsi="Times New Roman"/>
          <w:color w:val="000000"/>
          <w:spacing w:val="-2"/>
          <w:sz w:val="24"/>
        </w:rPr>
        <w:t>（如：承包单位、分包单位资质、安全生产许可证、特种人员作业上岗证；脚手架基础标高、放线定位、复核每步架主杆位置，间距；脚手架搭设在6～8M高度后中间检查复核；脚手架搭设完成后、使用中、拆除前检查复核；高大模板支撑系统拆除前，复核结构混凝土同条件试块强度试验报告是否达到拆模强度要求；</w:t>
      </w:r>
      <w:r>
        <w:rPr>
          <w:rFonts w:hint="eastAsia" w:ascii="Times New Roman" w:hAnsi="Times New Roman"/>
          <w:color w:val="000000"/>
          <w:spacing w:val="-2"/>
          <w:kern w:val="0"/>
          <w:sz w:val="24"/>
        </w:rPr>
        <w:t>独立支撑系统拆除前，应检查其上支撑结构是否连接并形成稳定的受力体系等。）</w:t>
      </w:r>
    </w:p>
    <w:p>
      <w:pPr>
        <w:spacing w:line="460" w:lineRule="exact"/>
        <w:rPr>
          <w:rFonts w:hint="eastAsia" w:ascii="Times New Roman"/>
          <w:b/>
          <w:color w:val="000000"/>
          <w:spacing w:val="-2"/>
          <w:sz w:val="24"/>
        </w:rPr>
      </w:pPr>
      <w:r>
        <w:rPr>
          <w:b/>
          <w:color w:val="000000"/>
          <w:spacing w:val="-2"/>
          <w:sz w:val="24"/>
        </w:rPr>
        <w:t xml:space="preserve">7.3 </w:t>
      </w:r>
      <w:r>
        <w:rPr>
          <w:rFonts w:hint="eastAsia" w:ascii="Times New Roman" w:hAnsi="Times New Roman"/>
          <w:b/>
          <w:color w:val="000000"/>
          <w:spacing w:val="-2"/>
          <w:sz w:val="24"/>
        </w:rPr>
        <w:t>质量安全问题的处理方法：</w:t>
      </w:r>
      <w:r>
        <w:rPr>
          <w:rFonts w:hint="eastAsia" w:ascii="Times New Roman" w:hAnsi="Times New Roman"/>
          <w:b/>
          <w:color w:val="000000"/>
          <w:spacing w:val="-2"/>
          <w:sz w:val="24"/>
          <w:u w:val="single"/>
        </w:rPr>
        <w:t xml:space="preserve">                                         </w:t>
      </w:r>
      <w:r>
        <w:rPr>
          <w:rFonts w:hint="eastAsia" w:ascii="Times New Roman" w:hAnsi="Times New Roman"/>
          <w:b/>
          <w:color w:val="000000"/>
          <w:spacing w:val="-2"/>
          <w:sz w:val="24"/>
        </w:rPr>
        <w:t>。</w:t>
      </w:r>
    </w:p>
    <w:p>
      <w:pPr>
        <w:spacing w:line="460" w:lineRule="exact"/>
        <w:rPr>
          <w:rFonts w:hint="eastAsia" w:ascii="Times New Roman"/>
          <w:color w:val="000000"/>
          <w:spacing w:val="-2"/>
          <w:sz w:val="24"/>
        </w:rPr>
      </w:pPr>
      <w:r>
        <w:rPr>
          <w:rFonts w:hint="eastAsia" w:ascii="Times New Roman" w:hAnsi="Times New Roman"/>
          <w:color w:val="000000"/>
          <w:spacing w:val="-2"/>
          <w:sz w:val="24"/>
        </w:rPr>
        <w:t>（如：对未按照经批准的专项施工方案实施，搭设、使用或拆除中出现的质量、安全问题，材料、构配件进场未经监理人员验收或验收不合格，脚手架搭设完成后未经检查验收而擅自使用的及时下达监理工程师通知单、备忘录、停工令等，必要时报告政府行政主管部门。）</w:t>
      </w:r>
    </w:p>
    <w:p>
      <w:pPr>
        <w:spacing w:line="460" w:lineRule="exact"/>
        <w:rPr>
          <w:rFonts w:hint="eastAsia" w:ascii="Times New Roman"/>
          <w:b/>
          <w:color w:val="000000"/>
          <w:spacing w:val="-2"/>
          <w:sz w:val="24"/>
        </w:rPr>
      </w:pPr>
      <w:r>
        <w:rPr>
          <w:b/>
          <w:color w:val="000000"/>
          <w:spacing w:val="-2"/>
          <w:sz w:val="24"/>
        </w:rPr>
        <w:t xml:space="preserve">7.4 </w:t>
      </w:r>
      <w:r>
        <w:rPr>
          <w:rFonts w:hint="eastAsia" w:ascii="Times New Roman" w:hAnsi="Times New Roman"/>
          <w:b/>
          <w:color w:val="000000"/>
          <w:spacing w:val="-2"/>
          <w:sz w:val="24"/>
        </w:rPr>
        <w:t>旁站。</w:t>
      </w:r>
    </w:p>
    <w:p>
      <w:pPr>
        <w:spacing w:line="460" w:lineRule="exact"/>
        <w:rPr>
          <w:rFonts w:hint="eastAsia" w:ascii="Times New Roman"/>
          <w:color w:val="000000"/>
          <w:spacing w:val="-2"/>
          <w:sz w:val="24"/>
        </w:rPr>
      </w:pPr>
      <w:r>
        <w:rPr>
          <w:rFonts w:hint="eastAsia" w:ascii="Times New Roman" w:hAnsi="Times New Roman"/>
          <w:color w:val="000000"/>
          <w:spacing w:val="-2"/>
          <w:sz w:val="24"/>
        </w:rPr>
        <w:t>扣件式脚手架搭设与拆除过程中监理需旁站的部位为：</w:t>
      </w:r>
      <w:r>
        <w:rPr>
          <w:rFonts w:hint="eastAsia" w:ascii="Times New Roman" w:hAnsi="Times New Roman"/>
          <w:color w:val="000000"/>
          <w:spacing w:val="-2"/>
          <w:sz w:val="24"/>
          <w:u w:val="single"/>
        </w:rPr>
        <w:t xml:space="preserve">                     </w:t>
      </w:r>
      <w:r>
        <w:rPr>
          <w:rFonts w:hint="eastAsia" w:ascii="Times New Roman" w:hAnsi="Times New Roman"/>
          <w:color w:val="000000"/>
          <w:spacing w:val="-2"/>
          <w:sz w:val="24"/>
        </w:rPr>
        <w:t>。</w:t>
      </w:r>
    </w:p>
    <w:p>
      <w:pPr>
        <w:spacing w:line="460" w:lineRule="exact"/>
        <w:rPr>
          <w:rFonts w:hint="eastAsia" w:ascii="Times New Roman"/>
          <w:b/>
          <w:color w:val="000000"/>
          <w:spacing w:val="-2"/>
          <w:sz w:val="24"/>
        </w:rPr>
      </w:pPr>
      <w:r>
        <w:rPr>
          <w:b/>
          <w:color w:val="000000"/>
          <w:spacing w:val="-2"/>
          <w:sz w:val="24"/>
        </w:rPr>
        <w:t xml:space="preserve">7.5 </w:t>
      </w:r>
      <w:r>
        <w:rPr>
          <w:rFonts w:hint="eastAsia" w:ascii="Times New Roman" w:hAnsi="Times New Roman"/>
          <w:b/>
          <w:color w:val="000000"/>
          <w:spacing w:val="-2"/>
          <w:sz w:val="24"/>
        </w:rPr>
        <w:t>平行检验。</w:t>
      </w:r>
    </w:p>
    <w:p>
      <w:pPr>
        <w:spacing w:line="360" w:lineRule="auto"/>
        <w:ind w:right="-126" w:rightChars="-60"/>
        <w:rPr>
          <w:rFonts w:hint="eastAsia" w:ascii="Times New Roman"/>
          <w:color w:val="000000"/>
          <w:spacing w:val="-2"/>
          <w:szCs w:val="21"/>
        </w:rPr>
      </w:pPr>
      <w:r>
        <w:rPr>
          <w:rFonts w:hint="eastAsia" w:ascii="Times New Roman" w:hAnsi="Times New Roman"/>
          <w:b/>
          <w:color w:val="000000"/>
          <w:spacing w:val="-2"/>
          <w:szCs w:val="21"/>
        </w:rPr>
        <w:t xml:space="preserve">                  </w:t>
      </w:r>
      <w:r>
        <w:rPr>
          <w:rFonts w:hint="eastAsia" w:ascii="Times New Roman" w:hAnsi="Times New Roman" w:eastAsia="黑体"/>
          <w:color w:val="000000"/>
          <w:spacing w:val="-2"/>
          <w:sz w:val="24"/>
        </w:rPr>
        <w:t xml:space="preserve"> 扣件式钢管脚手架搭设施工监理平行检验计划表</w:t>
      </w:r>
      <w:r>
        <w:rPr>
          <w:rFonts w:hint="eastAsia" w:ascii="Times New Roman" w:hAnsi="Times New Roman"/>
          <w:color w:val="000000"/>
          <w:spacing w:val="-2"/>
          <w:szCs w:val="21"/>
        </w:rPr>
        <w:t xml:space="preserve">                表7.1</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2484"/>
        <w:gridCol w:w="2152"/>
        <w:gridCol w:w="1269"/>
        <w:gridCol w:w="127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tcBorders>
              <w:top w:val="single" w:color="auto" w:sz="4" w:space="0"/>
              <w:left w:val="single" w:color="auto" w:sz="4" w:space="0"/>
              <w:bottom w:val="single" w:color="auto" w:sz="4" w:space="0"/>
              <w:right w:val="single" w:color="auto" w:sz="4" w:space="0"/>
            </w:tcBorders>
            <w:noWrap w:val="0"/>
            <w:vAlign w:val="top"/>
          </w:tcPr>
          <w:p>
            <w:pPr>
              <w:spacing w:line="240" w:lineRule="exact"/>
              <w:jc w:val="center"/>
              <w:rPr>
                <w:rFonts w:ascii="Times New Roman" w:eastAsia="黑体"/>
                <w:color w:val="000000"/>
                <w:spacing w:val="-2"/>
                <w:szCs w:val="21"/>
              </w:rPr>
            </w:pPr>
            <w:r>
              <w:rPr>
                <w:rFonts w:hint="eastAsia" w:ascii="Times New Roman" w:hAnsi="Times New Roman" w:eastAsia="黑体"/>
                <w:color w:val="000000"/>
                <w:spacing w:val="-2"/>
                <w:szCs w:val="21"/>
              </w:rPr>
              <w:t>序号</w:t>
            </w:r>
          </w:p>
        </w:tc>
        <w:tc>
          <w:tcPr>
            <w:tcW w:w="2484" w:type="dxa"/>
            <w:tcBorders>
              <w:top w:val="single" w:color="auto" w:sz="4" w:space="0"/>
              <w:left w:val="single" w:color="auto" w:sz="4" w:space="0"/>
              <w:bottom w:val="single" w:color="auto" w:sz="4" w:space="0"/>
              <w:right w:val="single" w:color="auto" w:sz="4" w:space="0"/>
            </w:tcBorders>
            <w:noWrap w:val="0"/>
            <w:vAlign w:val="top"/>
          </w:tcPr>
          <w:p>
            <w:pPr>
              <w:spacing w:line="240" w:lineRule="exact"/>
              <w:jc w:val="center"/>
              <w:rPr>
                <w:rFonts w:ascii="Times New Roman" w:eastAsia="黑体"/>
                <w:color w:val="000000"/>
                <w:spacing w:val="-2"/>
                <w:szCs w:val="21"/>
              </w:rPr>
            </w:pPr>
            <w:r>
              <w:rPr>
                <w:rFonts w:hint="eastAsia" w:ascii="Times New Roman" w:hAnsi="Times New Roman" w:eastAsia="黑体"/>
                <w:color w:val="000000"/>
                <w:spacing w:val="-2"/>
                <w:szCs w:val="21"/>
              </w:rPr>
              <w:t>部位或过程</w:t>
            </w:r>
          </w:p>
        </w:tc>
        <w:tc>
          <w:tcPr>
            <w:tcW w:w="2152" w:type="dxa"/>
            <w:tcBorders>
              <w:top w:val="single" w:color="auto" w:sz="4" w:space="0"/>
              <w:left w:val="single" w:color="auto" w:sz="4" w:space="0"/>
              <w:bottom w:val="single" w:color="auto" w:sz="4" w:space="0"/>
              <w:right w:val="single" w:color="auto" w:sz="4" w:space="0"/>
            </w:tcBorders>
            <w:noWrap w:val="0"/>
            <w:vAlign w:val="top"/>
          </w:tcPr>
          <w:p>
            <w:pPr>
              <w:spacing w:line="240" w:lineRule="exact"/>
              <w:jc w:val="center"/>
              <w:rPr>
                <w:rFonts w:ascii="Times New Roman" w:eastAsia="黑体"/>
                <w:color w:val="000000"/>
                <w:spacing w:val="-2"/>
                <w:szCs w:val="21"/>
              </w:rPr>
            </w:pPr>
            <w:r>
              <w:rPr>
                <w:rFonts w:hint="eastAsia" w:ascii="Times New Roman" w:hAnsi="Times New Roman" w:eastAsia="黑体"/>
                <w:color w:val="000000"/>
                <w:spacing w:val="-2"/>
                <w:szCs w:val="21"/>
              </w:rPr>
              <w:t>检验项目</w:t>
            </w:r>
          </w:p>
        </w:tc>
        <w:tc>
          <w:tcPr>
            <w:tcW w:w="1269" w:type="dxa"/>
            <w:tcBorders>
              <w:top w:val="single" w:color="auto" w:sz="4" w:space="0"/>
              <w:left w:val="single" w:color="auto" w:sz="4" w:space="0"/>
              <w:bottom w:val="single" w:color="auto" w:sz="4" w:space="0"/>
              <w:right w:val="single" w:color="auto" w:sz="4" w:space="0"/>
            </w:tcBorders>
            <w:noWrap w:val="0"/>
            <w:vAlign w:val="top"/>
          </w:tcPr>
          <w:p>
            <w:pPr>
              <w:spacing w:line="240" w:lineRule="exact"/>
              <w:jc w:val="center"/>
              <w:rPr>
                <w:rFonts w:ascii="Times New Roman" w:eastAsia="黑体"/>
                <w:color w:val="000000"/>
                <w:spacing w:val="-2"/>
                <w:szCs w:val="21"/>
              </w:rPr>
            </w:pPr>
            <w:r>
              <w:rPr>
                <w:rFonts w:hint="eastAsia" w:ascii="Times New Roman" w:hAnsi="Times New Roman" w:eastAsia="黑体"/>
                <w:color w:val="000000"/>
                <w:spacing w:val="-2"/>
                <w:szCs w:val="21"/>
              </w:rPr>
              <w:t>检验比例</w:t>
            </w:r>
          </w:p>
        </w:tc>
        <w:tc>
          <w:tcPr>
            <w:tcW w:w="1270" w:type="dxa"/>
            <w:tcBorders>
              <w:top w:val="single" w:color="auto" w:sz="4" w:space="0"/>
              <w:left w:val="single" w:color="auto" w:sz="4" w:space="0"/>
              <w:bottom w:val="single" w:color="auto" w:sz="4" w:space="0"/>
              <w:right w:val="single" w:color="auto" w:sz="4" w:space="0"/>
            </w:tcBorders>
            <w:noWrap w:val="0"/>
            <w:vAlign w:val="top"/>
          </w:tcPr>
          <w:p>
            <w:pPr>
              <w:spacing w:line="240" w:lineRule="exact"/>
              <w:jc w:val="center"/>
              <w:rPr>
                <w:rFonts w:ascii="Times New Roman" w:eastAsia="黑体"/>
                <w:color w:val="000000"/>
                <w:spacing w:val="-2"/>
                <w:szCs w:val="21"/>
              </w:rPr>
            </w:pPr>
            <w:r>
              <w:rPr>
                <w:rFonts w:hint="eastAsia" w:ascii="Times New Roman" w:hAnsi="Times New Roman" w:eastAsia="黑体"/>
                <w:color w:val="000000"/>
                <w:spacing w:val="-2"/>
                <w:szCs w:val="21"/>
              </w:rPr>
              <w:t>检验方法</w:t>
            </w:r>
          </w:p>
        </w:tc>
        <w:tc>
          <w:tcPr>
            <w:tcW w:w="709" w:type="dxa"/>
            <w:tcBorders>
              <w:top w:val="single" w:color="auto" w:sz="4" w:space="0"/>
              <w:left w:val="single" w:color="auto" w:sz="4" w:space="0"/>
              <w:bottom w:val="single" w:color="auto" w:sz="4" w:space="0"/>
              <w:right w:val="single" w:color="auto" w:sz="4" w:space="0"/>
            </w:tcBorders>
            <w:noWrap w:val="0"/>
            <w:vAlign w:val="top"/>
          </w:tcPr>
          <w:p>
            <w:pPr>
              <w:spacing w:line="240" w:lineRule="exact"/>
              <w:jc w:val="center"/>
              <w:rPr>
                <w:rFonts w:ascii="Times New Roman" w:eastAsia="黑体"/>
                <w:color w:val="000000"/>
                <w:spacing w:val="-2"/>
                <w:szCs w:val="21"/>
              </w:rPr>
            </w:pPr>
            <w:r>
              <w:rPr>
                <w:rFonts w:hint="eastAsia" w:ascii="Times New Roman" w:hAnsi="Times New Roman" w:eastAsia="黑体"/>
                <w:color w:val="000000"/>
                <w:spacing w:val="-2"/>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Times New Roman"/>
                <w:color w:val="000000"/>
                <w:spacing w:val="-2"/>
                <w:szCs w:val="21"/>
              </w:rPr>
            </w:pPr>
          </w:p>
        </w:tc>
        <w:tc>
          <w:tcPr>
            <w:tcW w:w="248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Times New Roman"/>
                <w:color w:val="000000"/>
                <w:spacing w:val="-2"/>
                <w:szCs w:val="21"/>
              </w:rPr>
            </w:pPr>
          </w:p>
        </w:tc>
        <w:tc>
          <w:tcPr>
            <w:tcW w:w="215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Times New Roman"/>
                <w:color w:val="000000"/>
                <w:spacing w:val="-2"/>
                <w:szCs w:val="21"/>
              </w:rPr>
            </w:pPr>
          </w:p>
        </w:tc>
        <w:tc>
          <w:tcPr>
            <w:tcW w:w="1269"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Times New Roman"/>
                <w:color w:val="000000"/>
                <w:spacing w:val="-2"/>
                <w:szCs w:val="21"/>
              </w:rPr>
            </w:pPr>
          </w:p>
        </w:tc>
        <w:tc>
          <w:tcPr>
            <w:tcW w:w="127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Times New Roman"/>
                <w:color w:val="000000"/>
                <w:spacing w:val="-2"/>
                <w:szCs w:val="21"/>
              </w:rPr>
            </w:pPr>
          </w:p>
        </w:tc>
        <w:tc>
          <w:tcPr>
            <w:tcW w:w="709"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Times New Roman"/>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Times New Roman"/>
                <w:color w:val="000000"/>
                <w:spacing w:val="-2"/>
                <w:szCs w:val="21"/>
              </w:rPr>
            </w:pPr>
          </w:p>
        </w:tc>
        <w:tc>
          <w:tcPr>
            <w:tcW w:w="248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Times New Roman"/>
                <w:color w:val="000000"/>
                <w:spacing w:val="-2"/>
                <w:szCs w:val="21"/>
              </w:rPr>
            </w:pPr>
          </w:p>
        </w:tc>
        <w:tc>
          <w:tcPr>
            <w:tcW w:w="215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Times New Roman"/>
                <w:color w:val="000000"/>
                <w:spacing w:val="-2"/>
                <w:szCs w:val="21"/>
              </w:rPr>
            </w:pPr>
          </w:p>
        </w:tc>
        <w:tc>
          <w:tcPr>
            <w:tcW w:w="1269"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Times New Roman"/>
                <w:color w:val="000000"/>
                <w:spacing w:val="-2"/>
                <w:szCs w:val="21"/>
              </w:rPr>
            </w:pPr>
          </w:p>
        </w:tc>
        <w:tc>
          <w:tcPr>
            <w:tcW w:w="127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Times New Roman"/>
                <w:color w:val="000000"/>
                <w:spacing w:val="-2"/>
                <w:szCs w:val="21"/>
              </w:rPr>
            </w:pPr>
          </w:p>
        </w:tc>
        <w:tc>
          <w:tcPr>
            <w:tcW w:w="709"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Times New Roman"/>
                <w:color w:val="000000"/>
                <w:spacing w:val="-2"/>
                <w:szCs w:val="21"/>
              </w:rPr>
            </w:pPr>
          </w:p>
        </w:tc>
      </w:tr>
    </w:tbl>
    <w:p>
      <w:pPr>
        <w:spacing w:line="460" w:lineRule="exact"/>
        <w:rPr>
          <w:rFonts w:hint="eastAsia" w:ascii="Times New Roman"/>
          <w:b/>
          <w:color w:val="000000"/>
          <w:spacing w:val="-2"/>
          <w:sz w:val="24"/>
        </w:rPr>
      </w:pPr>
      <w:r>
        <w:rPr>
          <w:b/>
          <w:color w:val="000000"/>
          <w:spacing w:val="-2"/>
          <w:sz w:val="24"/>
        </w:rPr>
        <w:t>7.6</w:t>
      </w:r>
      <w:r>
        <w:rPr>
          <w:rFonts w:hint="eastAsia" w:ascii="Times New Roman" w:hAnsi="Times New Roman"/>
          <w:b/>
          <w:color w:val="000000"/>
          <w:spacing w:val="-2"/>
          <w:sz w:val="24"/>
        </w:rPr>
        <w:t xml:space="preserve"> 巡视检查内容：</w:t>
      </w:r>
      <w:r>
        <w:rPr>
          <w:rFonts w:hint="eastAsia" w:ascii="Times New Roman" w:hAnsi="Times New Roman"/>
          <w:color w:val="000000"/>
          <w:spacing w:val="-2"/>
          <w:sz w:val="24"/>
          <w:u w:val="single"/>
        </w:rPr>
        <w:t xml:space="preserve">                                             </w:t>
      </w:r>
      <w:r>
        <w:rPr>
          <w:rFonts w:hint="eastAsia" w:ascii="Times New Roman" w:hAnsi="Times New Roman"/>
          <w:b/>
          <w:color w:val="000000"/>
          <w:spacing w:val="-2"/>
          <w:sz w:val="24"/>
        </w:rPr>
        <w:t>。</w:t>
      </w:r>
    </w:p>
    <w:p>
      <w:pPr>
        <w:spacing w:line="460" w:lineRule="exact"/>
        <w:rPr>
          <w:rFonts w:hint="eastAsia" w:ascii="Times New Roman"/>
          <w:color w:val="000000"/>
          <w:spacing w:val="-2"/>
          <w:sz w:val="24"/>
        </w:rPr>
      </w:pPr>
      <w:r>
        <w:rPr>
          <w:rFonts w:hint="eastAsia" w:ascii="Times New Roman" w:hAnsi="Times New Roman"/>
          <w:color w:val="000000"/>
          <w:spacing w:val="-2"/>
          <w:sz w:val="24"/>
        </w:rPr>
        <w:t>（如：对现场安全警戒情况，施工顺序、方法，搭设质量情况，安全文明施工情况；施工人员安全防护齐备，有无违规违章作业；脚手架扫地杆、连墙件、剪刀撑设置、杆件连接位置方式等进行巡视检查。）</w:t>
      </w:r>
    </w:p>
    <w:p>
      <w:pPr>
        <w:spacing w:line="460" w:lineRule="exact"/>
        <w:rPr>
          <w:rFonts w:hint="eastAsia" w:ascii="Times New Roman"/>
          <w:b/>
          <w:color w:val="000000"/>
          <w:spacing w:val="-2"/>
          <w:sz w:val="24"/>
        </w:rPr>
      </w:pPr>
      <w:r>
        <w:rPr>
          <w:b/>
          <w:color w:val="000000"/>
          <w:spacing w:val="-2"/>
          <w:sz w:val="24"/>
        </w:rPr>
        <w:t xml:space="preserve">7.7 </w:t>
      </w:r>
      <w:r>
        <w:rPr>
          <w:rFonts w:hint="eastAsia" w:ascii="Times New Roman" w:hAnsi="Times New Roman"/>
          <w:b/>
          <w:color w:val="000000"/>
          <w:spacing w:val="-2"/>
          <w:sz w:val="24"/>
        </w:rPr>
        <w:t>现场协调方式：</w:t>
      </w:r>
      <w:r>
        <w:rPr>
          <w:rFonts w:hint="eastAsia" w:ascii="Times New Roman" w:hAnsi="Times New Roman"/>
          <w:color w:val="000000"/>
          <w:spacing w:val="-2"/>
          <w:sz w:val="24"/>
          <w:u w:val="single"/>
        </w:rPr>
        <w:t xml:space="preserve">                                                  </w:t>
      </w:r>
      <w:r>
        <w:rPr>
          <w:rFonts w:hint="eastAsia" w:ascii="Times New Roman" w:hAnsi="Times New Roman"/>
          <w:b/>
          <w:color w:val="000000"/>
          <w:spacing w:val="-2"/>
          <w:sz w:val="24"/>
        </w:rPr>
        <w:t>。</w:t>
      </w:r>
    </w:p>
    <w:p>
      <w:pPr>
        <w:spacing w:line="460" w:lineRule="exact"/>
        <w:rPr>
          <w:rFonts w:hint="eastAsia" w:ascii="Times New Roman"/>
          <w:color w:val="000000"/>
          <w:spacing w:val="-2"/>
          <w:sz w:val="24"/>
        </w:rPr>
      </w:pPr>
      <w:r>
        <w:rPr>
          <w:rFonts w:hint="eastAsia" w:ascii="Times New Roman" w:hAnsi="Times New Roman"/>
          <w:color w:val="000000"/>
          <w:spacing w:val="-2"/>
          <w:sz w:val="24"/>
        </w:rPr>
        <w:t>（脚手架在搭设时、使用中、拆除前可能牵涉到不同施工单位作业及使用，为此监理机构须及时予以协调。通常采用会议协调，其方式有：现场协调、工地例会、监理专题会议等。）</w:t>
      </w:r>
    </w:p>
    <w:p>
      <w:pPr>
        <w:spacing w:line="460" w:lineRule="exact"/>
        <w:rPr>
          <w:rFonts w:hint="eastAsia" w:ascii="Times New Roman"/>
          <w:b/>
          <w:color w:val="000000"/>
          <w:spacing w:val="-2"/>
          <w:sz w:val="24"/>
        </w:rPr>
      </w:pPr>
      <w:r>
        <w:rPr>
          <w:b/>
          <w:color w:val="000000"/>
          <w:spacing w:val="-2"/>
          <w:sz w:val="24"/>
        </w:rPr>
        <w:t>7.8</w:t>
      </w:r>
      <w:r>
        <w:rPr>
          <w:rFonts w:hint="eastAsia" w:ascii="Times New Roman" w:hAnsi="Times New Roman"/>
          <w:b/>
          <w:color w:val="000000"/>
          <w:spacing w:val="-2"/>
          <w:sz w:val="24"/>
        </w:rPr>
        <w:t xml:space="preserve"> 验收。</w:t>
      </w:r>
    </w:p>
    <w:p>
      <w:pPr>
        <w:spacing w:line="460" w:lineRule="exact"/>
        <w:rPr>
          <w:rFonts w:hint="eastAsia" w:ascii="Times New Roman"/>
          <w:color w:val="000000"/>
          <w:spacing w:val="-2"/>
          <w:sz w:val="24"/>
        </w:rPr>
      </w:pPr>
      <w:r>
        <w:rPr>
          <w:b/>
          <w:color w:val="000000"/>
          <w:spacing w:val="-2"/>
          <w:sz w:val="24"/>
        </w:rPr>
        <w:t>7.8.1</w:t>
      </w:r>
      <w:r>
        <w:rPr>
          <w:rFonts w:hint="eastAsia" w:ascii="Times New Roman" w:hAnsi="Times New Roman"/>
          <w:color w:val="000000"/>
          <w:spacing w:val="-2"/>
          <w:sz w:val="24"/>
        </w:rPr>
        <w:t xml:space="preserve"> 验收条件。</w:t>
      </w:r>
    </w:p>
    <w:p>
      <w:pPr>
        <w:spacing w:line="460" w:lineRule="exact"/>
        <w:rPr>
          <w:rFonts w:hint="eastAsia" w:ascii="Times New Roman"/>
          <w:color w:val="000000"/>
          <w:spacing w:val="-2"/>
          <w:sz w:val="24"/>
        </w:rPr>
      </w:pPr>
      <w:r>
        <w:rPr>
          <w:b/>
          <w:color w:val="000000"/>
          <w:spacing w:val="-2"/>
          <w:sz w:val="24"/>
        </w:rPr>
        <w:t>7.8.2</w:t>
      </w:r>
      <w:r>
        <w:rPr>
          <w:rFonts w:hint="eastAsia" w:ascii="Times New Roman" w:hAnsi="Times New Roman"/>
          <w:color w:val="000000"/>
          <w:spacing w:val="-2"/>
          <w:sz w:val="24"/>
        </w:rPr>
        <w:t xml:space="preserve"> 验收内容。</w:t>
      </w:r>
    </w:p>
    <w:p>
      <w:pPr>
        <w:spacing w:line="460" w:lineRule="exact"/>
        <w:rPr>
          <w:rFonts w:hint="eastAsia" w:ascii="Times New Roman"/>
          <w:color w:val="000000"/>
          <w:spacing w:val="-2"/>
          <w:sz w:val="24"/>
        </w:rPr>
      </w:pPr>
      <w:r>
        <w:rPr>
          <w:b/>
          <w:color w:val="000000"/>
          <w:spacing w:val="-2"/>
          <w:sz w:val="24"/>
        </w:rPr>
        <w:t>7.8.3</w:t>
      </w:r>
      <w:r>
        <w:rPr>
          <w:rFonts w:hint="eastAsia" w:ascii="Times New Roman" w:hAnsi="Times New Roman"/>
          <w:color w:val="000000"/>
          <w:spacing w:val="-2"/>
          <w:sz w:val="24"/>
        </w:rPr>
        <w:t xml:space="preserve"> 验收程序。</w:t>
      </w:r>
    </w:p>
    <w:p>
      <w:pPr>
        <w:spacing w:line="460" w:lineRule="exact"/>
        <w:rPr>
          <w:rFonts w:hint="eastAsia" w:ascii="Times New Roman"/>
          <w:b/>
          <w:color w:val="000000"/>
          <w:spacing w:val="-2"/>
          <w:sz w:val="24"/>
        </w:rPr>
      </w:pPr>
      <w:r>
        <w:rPr>
          <w:b/>
          <w:color w:val="000000"/>
          <w:spacing w:val="-2"/>
          <w:sz w:val="24"/>
        </w:rPr>
        <w:t xml:space="preserve">7.9 </w:t>
      </w:r>
      <w:r>
        <w:rPr>
          <w:rFonts w:hint="eastAsia" w:ascii="Times New Roman" w:hAnsi="Times New Roman"/>
          <w:b/>
          <w:color w:val="000000"/>
          <w:spacing w:val="-2"/>
          <w:sz w:val="24"/>
        </w:rPr>
        <w:t>高支模工程安全生产管理监理工作的服务。</w:t>
      </w:r>
    </w:p>
    <w:p>
      <w:pPr>
        <w:spacing w:line="460" w:lineRule="exact"/>
        <w:rPr>
          <w:rFonts w:hint="eastAsia" w:ascii="Times New Roman"/>
          <w:color w:val="000000"/>
          <w:spacing w:val="-2"/>
          <w:sz w:val="24"/>
        </w:rPr>
      </w:pPr>
      <w:r>
        <w:rPr>
          <w:b/>
          <w:color w:val="000000"/>
          <w:spacing w:val="-2"/>
          <w:sz w:val="24"/>
        </w:rPr>
        <w:t>7.9.1</w:t>
      </w:r>
      <w:r>
        <w:rPr>
          <w:rFonts w:hint="eastAsia" w:ascii="Times New Roman" w:hAnsi="Times New Roman"/>
          <w:color w:val="000000"/>
          <w:spacing w:val="-2"/>
          <w:sz w:val="24"/>
        </w:rPr>
        <w:t>开工前的安全监督管理。</w:t>
      </w:r>
    </w:p>
    <w:p>
      <w:pPr>
        <w:spacing w:line="460" w:lineRule="exact"/>
        <w:rPr>
          <w:rFonts w:hint="eastAsia" w:ascii="Times New Roman"/>
          <w:color w:val="000000"/>
          <w:spacing w:val="-2"/>
          <w:sz w:val="24"/>
        </w:rPr>
      </w:pPr>
      <w:r>
        <w:rPr>
          <w:b/>
          <w:color w:val="000000"/>
          <w:spacing w:val="-2"/>
          <w:sz w:val="24"/>
        </w:rPr>
        <w:t>7.9.2</w:t>
      </w:r>
      <w:r>
        <w:rPr>
          <w:rFonts w:hint="eastAsia" w:ascii="Times New Roman" w:hAnsi="Times New Roman"/>
          <w:color w:val="000000"/>
          <w:spacing w:val="-2"/>
          <w:sz w:val="24"/>
        </w:rPr>
        <w:t>施工过程中的安全监督管理。</w:t>
      </w:r>
    </w:p>
    <w:p>
      <w:pPr>
        <w:spacing w:line="460" w:lineRule="exact"/>
        <w:rPr>
          <w:rFonts w:hint="eastAsia" w:ascii="Times New Roman"/>
          <w:color w:val="000000"/>
          <w:spacing w:val="-2"/>
          <w:sz w:val="24"/>
        </w:rPr>
      </w:pPr>
      <w:r>
        <w:rPr>
          <w:b/>
          <w:color w:val="000000"/>
          <w:spacing w:val="-2"/>
          <w:sz w:val="24"/>
        </w:rPr>
        <w:t>7.9.3</w:t>
      </w:r>
      <w:r>
        <w:rPr>
          <w:rFonts w:hint="eastAsia" w:ascii="Times New Roman" w:hAnsi="Times New Roman"/>
          <w:color w:val="000000"/>
          <w:spacing w:val="-2"/>
          <w:sz w:val="24"/>
        </w:rPr>
        <w:t>安全监测。</w:t>
      </w:r>
    </w:p>
    <w:p>
      <w:pPr>
        <w:spacing w:before="120" w:beforeLines="50" w:after="120" w:afterLines="50"/>
        <w:rPr>
          <w:rFonts w:hint="eastAsia"/>
          <w:b/>
          <w:color w:val="000000"/>
          <w:spacing w:val="-2"/>
          <w:sz w:val="28"/>
          <w:szCs w:val="28"/>
        </w:rPr>
      </w:pPr>
      <w:r>
        <w:rPr>
          <w:b/>
          <w:color w:val="000000"/>
          <w:spacing w:val="-2"/>
          <w:sz w:val="24"/>
        </w:rPr>
        <w:t xml:space="preserve">8 </w:t>
      </w:r>
      <w:r>
        <w:rPr>
          <w:rFonts w:hint="eastAsia"/>
          <w:b/>
          <w:color w:val="000000"/>
          <w:spacing w:val="-2"/>
          <w:sz w:val="28"/>
          <w:szCs w:val="28"/>
        </w:rPr>
        <w:t>表式</w:t>
      </w:r>
    </w:p>
    <w:p>
      <w:pPr>
        <w:spacing w:line="360" w:lineRule="auto"/>
        <w:rPr>
          <w:color w:val="000000"/>
          <w:spacing w:val="-2"/>
        </w:rPr>
      </w:pPr>
      <w:r>
        <w:rPr>
          <w:rFonts w:hint="eastAsia" w:ascii="Times New Roman" w:hAnsi="Times New Roman"/>
          <w:color w:val="000000"/>
          <w:spacing w:val="-2"/>
          <w:kern w:val="0"/>
          <w:sz w:val="24"/>
        </w:rPr>
        <w:t>扣件式脚手架中间检查及交付使用前验收见相关表式(表格由监理机构自行设置)。</w:t>
      </w:r>
    </w:p>
    <w:p>
      <w:pPr>
        <w:spacing w:line="540" w:lineRule="exact"/>
        <w:ind w:left="-7" w:leftChars="-8" w:hanging="10" w:hangingChars="3"/>
        <w:jc w:val="center"/>
        <w:rPr>
          <w:rFonts w:ascii="Times New Roman" w:eastAsia="方正小标宋简体"/>
          <w:color w:val="000000"/>
          <w:spacing w:val="-2"/>
          <w:sz w:val="36"/>
          <w:szCs w:val="36"/>
        </w:rPr>
      </w:pPr>
    </w:p>
    <w:p>
      <w:pPr>
        <w:rPr>
          <w:rFonts w:hint="eastAsia"/>
        </w:rPr>
      </w:pPr>
    </w:p>
    <w:p>
      <w:pPr>
        <w:pStyle w:val="2"/>
        <w:spacing w:before="240" w:beforeLines="100" w:after="240" w:afterLines="100" w:line="240" w:lineRule="auto"/>
        <w:jc w:val="center"/>
        <w:rPr>
          <w:rFonts w:ascii="Times New Roman" w:eastAsia="方正小标宋_GBK"/>
          <w:b w:val="0"/>
          <w:sz w:val="36"/>
          <w:szCs w:val="36"/>
        </w:rPr>
      </w:pPr>
      <w:bookmarkStart w:id="442" w:name="_Toc20726496"/>
      <w:bookmarkStart w:id="443" w:name="_Toc18315666"/>
      <w:r>
        <w:rPr>
          <w:rFonts w:hint="eastAsia" w:ascii="Times New Roman" w:eastAsia="方正小标宋_GBK"/>
          <w:b w:val="0"/>
          <w:sz w:val="36"/>
          <w:szCs w:val="36"/>
        </w:rPr>
        <w:t>省住房城乡建设厅关于印发《江苏省深基坑支护工程监理实施细则（标准化格式文本）》的通知</w:t>
      </w:r>
      <w:bookmarkEnd w:id="442"/>
      <w:bookmarkEnd w:id="443"/>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444" w:name="_Toc20726497"/>
      <w:bookmarkStart w:id="445" w:name="_Toc18315667"/>
      <w:r>
        <w:rPr>
          <w:rFonts w:hint="eastAsia" w:ascii="Times New Roman" w:hAnsi="Times New Roman" w:eastAsia="方正楷体_GBK"/>
          <w:b w:val="0"/>
          <w:sz w:val="24"/>
          <w:szCs w:val="24"/>
        </w:rPr>
        <w:t>苏建建管〔</w:t>
      </w:r>
      <w:r>
        <w:rPr>
          <w:rFonts w:ascii="Times New Roman" w:hAnsi="Times New Roman" w:eastAsia="方正楷体_GBK"/>
          <w:b w:val="0"/>
          <w:sz w:val="24"/>
          <w:szCs w:val="24"/>
        </w:rPr>
        <w:t>2013</w:t>
      </w:r>
      <w:r>
        <w:rPr>
          <w:rFonts w:hint="eastAsia" w:ascii="Times New Roman" w:hAnsi="Times New Roman" w:eastAsia="方正楷体_GBK"/>
          <w:b w:val="0"/>
          <w:sz w:val="24"/>
          <w:szCs w:val="24"/>
        </w:rPr>
        <w:t>〕</w:t>
      </w:r>
      <w:r>
        <w:rPr>
          <w:rFonts w:ascii="Times New Roman" w:hAnsi="Times New Roman" w:eastAsia="方正楷体_GBK"/>
          <w:b w:val="0"/>
          <w:sz w:val="24"/>
          <w:szCs w:val="24"/>
        </w:rPr>
        <w:t>314</w:t>
      </w:r>
      <w:r>
        <w:rPr>
          <w:rFonts w:hint="eastAsia" w:ascii="Times New Roman" w:hAnsi="Times New Roman" w:eastAsia="方正楷体_GBK"/>
          <w:b w:val="0"/>
          <w:sz w:val="24"/>
          <w:szCs w:val="24"/>
        </w:rPr>
        <w:t>号</w:t>
      </w:r>
      <w:bookmarkEnd w:id="444"/>
      <w:bookmarkEnd w:id="445"/>
    </w:p>
    <w:p>
      <w:pPr>
        <w:spacing w:line="460" w:lineRule="exact"/>
        <w:rPr>
          <w:rFonts w:eastAsia="方正仿宋_GBK"/>
          <w:color w:val="000000"/>
          <w:spacing w:val="-2"/>
          <w:sz w:val="24"/>
        </w:rPr>
      </w:pPr>
      <w:r>
        <w:rPr>
          <w:rFonts w:hint="eastAsia" w:eastAsia="方正仿宋_GBK"/>
          <w:color w:val="000000"/>
          <w:spacing w:val="-2"/>
          <w:sz w:val="24"/>
        </w:rPr>
        <w:t>各市建设局（委），苏州工业园区规划建设局、张家港保税区规划建设局，昆山市、泰兴市、沭阳县建设局：</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为提高监理规范化管理水平，提升监理现场的工作质量，我厅组织编制了《江苏省深基坑支护工程监理实施细则（标准化格式文本）》，现印发你们，供全省统一使用。</w:t>
      </w:r>
    </w:p>
    <w:p>
      <w:pPr>
        <w:spacing w:line="460" w:lineRule="exact"/>
        <w:ind w:firstLine="645"/>
        <w:rPr>
          <w:rFonts w:eastAsia="方正仿宋_GBK"/>
          <w:color w:val="000000"/>
          <w:spacing w:val="-2"/>
          <w:sz w:val="24"/>
        </w:rPr>
      </w:pPr>
    </w:p>
    <w:p>
      <w:pPr>
        <w:spacing w:line="460" w:lineRule="exact"/>
        <w:ind w:firstLine="645"/>
        <w:rPr>
          <w:rFonts w:eastAsia="方正仿宋_GBK"/>
          <w:color w:val="000000"/>
          <w:spacing w:val="-2"/>
          <w:sz w:val="24"/>
        </w:rPr>
      </w:pPr>
      <w:r>
        <w:rPr>
          <w:rFonts w:hint="eastAsia" w:eastAsia="方正仿宋_GBK"/>
          <w:color w:val="000000"/>
          <w:spacing w:val="-2"/>
          <w:sz w:val="24"/>
        </w:rPr>
        <w:t>附件：《江苏省深基坑支护工程监理实施细则（标准化格式文本）》</w:t>
      </w:r>
      <w:r>
        <w:rPr>
          <w:rFonts w:eastAsia="方正仿宋_GBK"/>
          <w:color w:val="000000"/>
          <w:spacing w:val="-2"/>
          <w:sz w:val="24"/>
        </w:rPr>
        <w:t xml:space="preserve">  </w:t>
      </w:r>
    </w:p>
    <w:p>
      <w:pPr>
        <w:spacing w:line="460" w:lineRule="exact"/>
        <w:ind w:firstLine="645"/>
        <w:rPr>
          <w:rFonts w:eastAsia="方正仿宋_GBK"/>
          <w:color w:val="000000"/>
          <w:spacing w:val="-2"/>
          <w:sz w:val="24"/>
        </w:rPr>
      </w:pPr>
      <w:r>
        <w:rPr>
          <w:rFonts w:eastAsia="方正仿宋_GBK"/>
          <w:color w:val="000000"/>
          <w:spacing w:val="-2"/>
          <w:sz w:val="24"/>
        </w:rPr>
        <w:t xml:space="preserve">                       </w:t>
      </w:r>
    </w:p>
    <w:p>
      <w:pPr>
        <w:spacing w:line="460" w:lineRule="exact"/>
        <w:ind w:firstLine="3304" w:firstLineChars="1400"/>
        <w:rPr>
          <w:rFonts w:eastAsia="方正仿宋_GBK"/>
          <w:color w:val="000000"/>
          <w:spacing w:val="-2"/>
          <w:sz w:val="24"/>
        </w:rPr>
      </w:pPr>
      <w:r>
        <w:rPr>
          <w:rFonts w:eastAsia="方正仿宋_GBK"/>
          <w:color w:val="000000"/>
          <w:spacing w:val="-2"/>
          <w:sz w:val="24"/>
        </w:rPr>
        <w:t xml:space="preserve">                     </w:t>
      </w:r>
      <w:r>
        <w:rPr>
          <w:rFonts w:hint="eastAsia" w:eastAsia="方正仿宋_GBK"/>
          <w:color w:val="000000"/>
          <w:spacing w:val="-2"/>
          <w:sz w:val="24"/>
        </w:rPr>
        <w:t>江苏省住房和城乡建设厅</w:t>
      </w:r>
      <w:r>
        <w:rPr>
          <w:rFonts w:eastAsia="方正仿宋_GBK"/>
          <w:color w:val="000000"/>
          <w:spacing w:val="-2"/>
          <w:sz w:val="24"/>
        </w:rPr>
        <w:t xml:space="preserve">    </w:t>
      </w:r>
    </w:p>
    <w:p>
      <w:pPr>
        <w:spacing w:line="460" w:lineRule="exact"/>
        <w:ind w:firstLine="6254" w:firstLineChars="2650"/>
        <w:rPr>
          <w:rFonts w:ascii="Times New Roman" w:eastAsia="仿宋_GB2312"/>
          <w:color w:val="000000"/>
          <w:spacing w:val="-2"/>
          <w:sz w:val="32"/>
          <w:szCs w:val="32"/>
        </w:rPr>
      </w:pPr>
      <w:r>
        <w:rPr>
          <w:rFonts w:eastAsia="方正仿宋_GBK"/>
          <w:color w:val="000000"/>
          <w:spacing w:val="-2"/>
          <w:sz w:val="24"/>
        </w:rPr>
        <w:t>2013</w:t>
      </w:r>
      <w:r>
        <w:rPr>
          <w:rFonts w:hint="eastAsia" w:eastAsia="方正仿宋_GBK"/>
          <w:color w:val="000000"/>
          <w:spacing w:val="-2"/>
          <w:sz w:val="24"/>
        </w:rPr>
        <w:t>年</w:t>
      </w:r>
      <w:r>
        <w:rPr>
          <w:rFonts w:eastAsia="方正仿宋_GBK"/>
          <w:color w:val="000000"/>
          <w:spacing w:val="-2"/>
          <w:sz w:val="24"/>
        </w:rPr>
        <w:t>6</w:t>
      </w:r>
      <w:r>
        <w:rPr>
          <w:rFonts w:hint="eastAsia" w:eastAsia="方正仿宋_GBK"/>
          <w:color w:val="000000"/>
          <w:spacing w:val="-2"/>
          <w:sz w:val="24"/>
        </w:rPr>
        <w:t>月</w:t>
      </w:r>
      <w:r>
        <w:rPr>
          <w:rFonts w:eastAsia="方正仿宋_GBK"/>
          <w:color w:val="000000"/>
          <w:spacing w:val="-2"/>
          <w:sz w:val="24"/>
        </w:rPr>
        <w:t>25</w:t>
      </w:r>
      <w:r>
        <w:rPr>
          <w:rFonts w:hint="eastAsia" w:eastAsia="方正仿宋_GBK"/>
          <w:color w:val="000000"/>
          <w:spacing w:val="-2"/>
          <w:sz w:val="24"/>
        </w:rPr>
        <w:t>日</w:t>
      </w:r>
      <w:r>
        <w:rPr>
          <w:rFonts w:eastAsia="方正仿宋_GBK"/>
          <w:color w:val="000000"/>
          <w:spacing w:val="-2"/>
          <w:sz w:val="24"/>
        </w:rPr>
        <w:t xml:space="preserve">       </w:t>
      </w:r>
    </w:p>
    <w:p>
      <w:pPr>
        <w:jc w:val="center"/>
        <w:rPr>
          <w:rFonts w:hint="eastAsia" w:ascii="Times New Roman" w:eastAsia="仿宋_GB2312"/>
          <w:color w:val="000000"/>
          <w:spacing w:val="-2"/>
          <w:sz w:val="32"/>
          <w:szCs w:val="32"/>
        </w:rPr>
      </w:pPr>
    </w:p>
    <w:p>
      <w:pPr>
        <w:rPr>
          <w:rFonts w:hint="eastAsia" w:eastAsia="黑体"/>
          <w:sz w:val="28"/>
          <w:szCs w:val="28"/>
        </w:rPr>
      </w:pPr>
      <w:r>
        <w:rPr>
          <w:rFonts w:hint="eastAsia" w:ascii="Times New Roman" w:eastAsia="仿宋_GB2312"/>
          <w:color w:val="000000"/>
          <w:spacing w:val="-2"/>
          <w:sz w:val="32"/>
          <w:szCs w:val="32"/>
        </w:rPr>
        <w:br w:type="column"/>
      </w:r>
      <w:r>
        <w:rPr>
          <w:rFonts w:hint="eastAsia" w:eastAsia="黑体"/>
          <w:sz w:val="28"/>
          <w:szCs w:val="28"/>
        </w:rPr>
        <w:t>附件：</w:t>
      </w:r>
    </w:p>
    <w:p>
      <w:pPr>
        <w:ind w:right="138"/>
        <w:jc w:val="right"/>
        <w:rPr>
          <w:color w:val="000000"/>
          <w:spacing w:val="-2"/>
          <w:sz w:val="28"/>
          <w:szCs w:val="28"/>
        </w:rPr>
      </w:pPr>
    </w:p>
    <w:p>
      <w:pPr>
        <w:jc w:val="right"/>
        <w:rPr>
          <w:b/>
          <w:color w:val="000000"/>
          <w:spacing w:val="-2"/>
          <w:sz w:val="28"/>
          <w:szCs w:val="28"/>
        </w:rPr>
      </w:pPr>
      <w:r>
        <w:rPr>
          <w:b/>
          <w:color w:val="000000"/>
          <w:spacing w:val="-2"/>
          <w:sz w:val="28"/>
          <w:szCs w:val="28"/>
        </w:rPr>
        <w:t>B13</w:t>
      </w:r>
    </w:p>
    <w:p>
      <w:pPr>
        <w:jc w:val="right"/>
        <w:rPr>
          <w:color w:val="000000"/>
          <w:spacing w:val="-2"/>
          <w:sz w:val="28"/>
          <w:szCs w:val="28"/>
        </w:rPr>
      </w:pPr>
    </w:p>
    <w:p>
      <w:pPr>
        <w:spacing w:after="480"/>
        <w:jc w:val="center"/>
        <w:rPr>
          <w:rFonts w:ascii="Times New Roman"/>
          <w:snapToGrid w:val="0"/>
          <w:color w:val="000000"/>
          <w:spacing w:val="-2"/>
          <w:kern w:val="0"/>
          <w:sz w:val="36"/>
        </w:rPr>
      </w:pPr>
      <w:r>
        <w:rPr>
          <w:rFonts w:hint="eastAsia" w:ascii="Times New Roman" w:hAnsi="Times New Roman"/>
          <w:snapToGrid w:val="0"/>
          <w:color w:val="000000"/>
          <w:spacing w:val="-2"/>
          <w:kern w:val="0"/>
          <w:sz w:val="36"/>
          <w:u w:val="single"/>
        </w:rPr>
        <w:t>　　　　　　　　　　　　　　　　　</w:t>
      </w:r>
      <w:r>
        <w:rPr>
          <w:rFonts w:hint="eastAsia" w:ascii="Times New Roman" w:hAnsi="Times New Roman"/>
          <w:snapToGrid w:val="0"/>
          <w:color w:val="000000"/>
          <w:spacing w:val="-2"/>
          <w:kern w:val="0"/>
          <w:sz w:val="36"/>
        </w:rPr>
        <w:t>工程</w:t>
      </w:r>
    </w:p>
    <w:p>
      <w:pPr>
        <w:spacing w:after="120"/>
        <w:jc w:val="center"/>
        <w:rPr>
          <w:rFonts w:hint="eastAsia" w:ascii="Times New Roman" w:hAnsi="Times New Roman"/>
          <w:b/>
          <w:snapToGrid w:val="0"/>
          <w:color w:val="000000"/>
          <w:spacing w:val="-2"/>
          <w:kern w:val="0"/>
          <w:sz w:val="36"/>
          <w:szCs w:val="36"/>
          <w14:shadow w14:blurRad="50800" w14:dist="38100" w14:dir="2700000" w14:sx="100000" w14:sy="100000" w14:kx="0" w14:ky="0" w14:algn="tl">
            <w14:srgbClr w14:val="000000">
              <w14:alpha w14:val="60000"/>
            </w14:srgbClr>
          </w14:shadow>
        </w:rPr>
      </w:pPr>
    </w:p>
    <w:p>
      <w:pPr>
        <w:spacing w:after="120"/>
        <w:jc w:val="center"/>
        <w:rPr>
          <w:rFonts w:hint="eastAsia" w:ascii="Times New Roman"/>
          <w:b/>
          <w:snapToGrid w:val="0"/>
          <w:color w:val="000000"/>
          <w:spacing w:val="-2"/>
          <w:kern w:val="0"/>
          <w:sz w:val="36"/>
          <w:szCs w:val="36"/>
          <w14:shadow w14:blurRad="50800" w14:dist="38100" w14:dir="2700000" w14:sx="100000" w14:sy="100000" w14:kx="0" w14:ky="0" w14:algn="tl">
            <w14:srgbClr w14:val="000000">
              <w14:alpha w14:val="60000"/>
            </w14:srgbClr>
          </w14:shadow>
        </w:rPr>
      </w:pPr>
      <w:r>
        <w:rPr>
          <w:rFonts w:hint="eastAsia" w:ascii="Times New Roman" w:hAnsi="Times New Roman"/>
          <w:b/>
          <w:snapToGrid w:val="0"/>
          <w:color w:val="000000"/>
          <w:spacing w:val="-2"/>
          <w:kern w:val="0"/>
          <w:sz w:val="36"/>
          <w:szCs w:val="36"/>
          <w14:shadow w14:blurRad="50800" w14:dist="38100" w14:dir="2700000" w14:sx="100000" w14:sy="100000" w14:kx="0" w14:ky="0" w14:algn="tl">
            <w14:srgbClr w14:val="000000">
              <w14:alpha w14:val="60000"/>
            </w14:srgbClr>
          </w14:shadow>
        </w:rPr>
        <w:t>监理实施细则</w:t>
      </w:r>
    </w:p>
    <w:p>
      <w:pPr>
        <w:jc w:val="center"/>
        <w:rPr>
          <w:rFonts w:hint="eastAsia" w:ascii="Times New Roman"/>
          <w:b/>
          <w:snapToGrid w:val="0"/>
          <w:color w:val="000000"/>
          <w:spacing w:val="-2"/>
          <w:kern w:val="0"/>
          <w:sz w:val="48"/>
        </w:rPr>
      </w:pPr>
      <w:r>
        <w:rPr>
          <w:rFonts w:hint="eastAsia" w:ascii="Times New Roman" w:hAnsi="Times New Roman"/>
          <w:b/>
          <w:snapToGrid w:val="0"/>
          <w:color w:val="000000"/>
          <w:spacing w:val="-2"/>
          <w:kern w:val="0"/>
          <w:sz w:val="48"/>
        </w:rPr>
        <w:t>（深基坑支护工程）</w:t>
      </w:r>
    </w:p>
    <w:p>
      <w:pPr>
        <w:jc w:val="center"/>
        <w:rPr>
          <w:rFonts w:hint="eastAsia" w:ascii="Times New Roman"/>
          <w:b/>
          <w:snapToGrid w:val="0"/>
          <w:color w:val="000000"/>
          <w:spacing w:val="-2"/>
          <w:kern w:val="0"/>
          <w:sz w:val="44"/>
          <w:szCs w:val="44"/>
        </w:rPr>
      </w:pPr>
      <w:r>
        <w:rPr>
          <w:rFonts w:hint="eastAsia" w:ascii="Times New Roman" w:hAnsi="Times New Roman"/>
          <w:b/>
          <w:snapToGrid w:val="0"/>
          <w:color w:val="000000"/>
          <w:spacing w:val="-2"/>
          <w:kern w:val="0"/>
          <w:sz w:val="44"/>
          <w:szCs w:val="44"/>
        </w:rPr>
        <w:t>（标准化格式文本）</w:t>
      </w:r>
    </w:p>
    <w:p>
      <w:pPr>
        <w:jc w:val="center"/>
        <w:rPr>
          <w:rFonts w:hint="eastAsia" w:ascii="Times New Roman" w:hAnsi="Times New Roman"/>
          <w:b/>
          <w:snapToGrid w:val="0"/>
          <w:color w:val="000000"/>
          <w:spacing w:val="-2"/>
          <w:kern w:val="0"/>
          <w:sz w:val="28"/>
        </w:rPr>
      </w:pPr>
    </w:p>
    <w:p>
      <w:pPr>
        <w:ind w:firstLine="2713" w:firstLineChars="979"/>
        <w:rPr>
          <w:rFonts w:hint="eastAsia" w:ascii="Times New Roman"/>
          <w:b/>
          <w:snapToGrid w:val="0"/>
          <w:color w:val="000000"/>
          <w:spacing w:val="-2"/>
          <w:kern w:val="0"/>
          <w:sz w:val="28"/>
        </w:rPr>
      </w:pPr>
      <w:r>
        <w:rPr>
          <w:rFonts w:hint="eastAsia" w:ascii="Times New Roman" w:hAnsi="Times New Roman"/>
          <w:b/>
          <w:snapToGrid w:val="0"/>
          <w:color w:val="000000"/>
          <w:spacing w:val="-2"/>
          <w:kern w:val="0"/>
          <w:sz w:val="28"/>
        </w:rPr>
        <w:t>内容提要：</w:t>
      </w:r>
    </w:p>
    <w:p>
      <w:pPr>
        <w:ind w:firstLine="2704" w:firstLineChars="980"/>
        <w:rPr>
          <w:rFonts w:hint="eastAsia" w:ascii="Times New Roman"/>
          <w:snapToGrid w:val="0"/>
          <w:color w:val="000000"/>
          <w:spacing w:val="-2"/>
          <w:kern w:val="0"/>
          <w:sz w:val="28"/>
        </w:rPr>
      </w:pPr>
      <w:r>
        <w:rPr>
          <w:rFonts w:hint="eastAsia" w:ascii="Times New Roman" w:hAnsi="Times New Roman"/>
          <w:snapToGrid w:val="0"/>
          <w:color w:val="000000"/>
          <w:spacing w:val="-2"/>
          <w:kern w:val="0"/>
          <w:sz w:val="28"/>
        </w:rPr>
        <w:t>深基坑支护工程概况</w:t>
      </w:r>
    </w:p>
    <w:p>
      <w:pPr>
        <w:ind w:firstLine="2691" w:firstLineChars="975"/>
        <w:rPr>
          <w:rFonts w:hint="eastAsia" w:ascii="Times New Roman"/>
          <w:snapToGrid w:val="0"/>
          <w:color w:val="000000"/>
          <w:spacing w:val="-2"/>
          <w:kern w:val="0"/>
          <w:sz w:val="28"/>
        </w:rPr>
      </w:pPr>
      <w:r>
        <w:rPr>
          <w:rFonts w:hint="eastAsia" w:ascii="Times New Roman" w:hAnsi="Times New Roman"/>
          <w:snapToGrid w:val="0"/>
          <w:color w:val="000000"/>
          <w:spacing w:val="-2"/>
          <w:kern w:val="0"/>
          <w:sz w:val="28"/>
        </w:rPr>
        <w:t>本工程特点、难点</w:t>
      </w:r>
    </w:p>
    <w:p>
      <w:pPr>
        <w:ind w:firstLine="2718" w:firstLineChars="985"/>
        <w:rPr>
          <w:rFonts w:hint="eastAsia" w:ascii="Times New Roman"/>
          <w:snapToGrid w:val="0"/>
          <w:color w:val="000000"/>
          <w:spacing w:val="-2"/>
          <w:kern w:val="0"/>
          <w:sz w:val="28"/>
        </w:rPr>
      </w:pPr>
      <w:r>
        <w:rPr>
          <w:rFonts w:hint="eastAsia" w:ascii="Times New Roman" w:hAnsi="Times New Roman"/>
          <w:snapToGrid w:val="0"/>
          <w:color w:val="000000"/>
          <w:spacing w:val="-2"/>
          <w:kern w:val="0"/>
          <w:sz w:val="28"/>
        </w:rPr>
        <w:t>监理工作依据</w:t>
      </w:r>
    </w:p>
    <w:p>
      <w:pPr>
        <w:ind w:firstLine="2704" w:firstLineChars="980"/>
        <w:rPr>
          <w:rFonts w:hint="eastAsia" w:ascii="Times New Roman"/>
          <w:snapToGrid w:val="0"/>
          <w:color w:val="000000"/>
          <w:spacing w:val="-2"/>
          <w:kern w:val="0"/>
          <w:sz w:val="28"/>
        </w:rPr>
      </w:pPr>
      <w:r>
        <w:rPr>
          <w:rFonts w:hint="eastAsia" w:ascii="Times New Roman" w:hAnsi="Times New Roman"/>
          <w:snapToGrid w:val="0"/>
          <w:color w:val="000000"/>
          <w:spacing w:val="-2"/>
          <w:kern w:val="0"/>
          <w:sz w:val="28"/>
        </w:rPr>
        <w:t>监理组织机构</w:t>
      </w:r>
    </w:p>
    <w:p>
      <w:pPr>
        <w:ind w:firstLine="2704" w:firstLineChars="980"/>
        <w:rPr>
          <w:rFonts w:hint="eastAsia" w:ascii="Times New Roman"/>
          <w:snapToGrid w:val="0"/>
          <w:color w:val="000000"/>
          <w:spacing w:val="-2"/>
          <w:kern w:val="0"/>
          <w:sz w:val="28"/>
        </w:rPr>
      </w:pPr>
      <w:r>
        <w:rPr>
          <w:rFonts w:hint="eastAsia" w:ascii="Times New Roman" w:hAnsi="Times New Roman"/>
          <w:snapToGrid w:val="0"/>
          <w:color w:val="000000"/>
          <w:spacing w:val="-2"/>
          <w:kern w:val="0"/>
          <w:sz w:val="28"/>
        </w:rPr>
        <w:t>监理工作流程</w:t>
      </w:r>
    </w:p>
    <w:p>
      <w:pPr>
        <w:ind w:firstLine="2704" w:firstLineChars="980"/>
        <w:rPr>
          <w:rFonts w:hint="eastAsia" w:ascii="Times New Roman"/>
          <w:snapToGrid w:val="0"/>
          <w:color w:val="000000"/>
          <w:spacing w:val="-2"/>
          <w:kern w:val="0"/>
          <w:sz w:val="28"/>
        </w:rPr>
      </w:pPr>
      <w:r>
        <w:rPr>
          <w:rFonts w:hint="eastAsia" w:ascii="Times New Roman" w:hAnsi="Times New Roman"/>
          <w:snapToGrid w:val="0"/>
          <w:color w:val="000000"/>
          <w:spacing w:val="-2"/>
          <w:kern w:val="0"/>
          <w:sz w:val="28"/>
        </w:rPr>
        <w:t>监理工作控制要点及目标值</w:t>
      </w:r>
    </w:p>
    <w:p>
      <w:pPr>
        <w:ind w:firstLine="2718" w:firstLineChars="985"/>
        <w:rPr>
          <w:rFonts w:hint="eastAsia" w:ascii="Times New Roman"/>
          <w:snapToGrid w:val="0"/>
          <w:color w:val="000000"/>
          <w:spacing w:val="-2"/>
          <w:kern w:val="0"/>
          <w:sz w:val="28"/>
        </w:rPr>
      </w:pPr>
      <w:r>
        <w:rPr>
          <w:rFonts w:hint="eastAsia" w:ascii="Times New Roman" w:hAnsi="Times New Roman"/>
          <w:snapToGrid w:val="0"/>
          <w:color w:val="000000"/>
          <w:spacing w:val="-2"/>
          <w:kern w:val="0"/>
          <w:sz w:val="28"/>
        </w:rPr>
        <w:t>监理工作方法及措施</w:t>
      </w:r>
    </w:p>
    <w:p>
      <w:pPr>
        <w:rPr>
          <w:rFonts w:hint="eastAsia" w:ascii="Times New Roman" w:hAnsi="Times New Roman"/>
          <w:b/>
          <w:snapToGrid w:val="0"/>
          <w:color w:val="000000"/>
          <w:spacing w:val="-2"/>
          <w:kern w:val="0"/>
          <w:sz w:val="28"/>
        </w:rPr>
      </w:pPr>
      <w:r>
        <w:rPr>
          <w:rFonts w:hint="eastAsia" w:ascii="Times New Roman" w:hAnsi="Times New Roman"/>
          <w:b/>
          <w:snapToGrid w:val="0"/>
          <w:color w:val="000000"/>
          <w:spacing w:val="-2"/>
          <w:kern w:val="0"/>
          <w:sz w:val="28"/>
        </w:rPr>
        <w:t xml:space="preserve">             </w:t>
      </w:r>
    </w:p>
    <w:p>
      <w:pPr>
        <w:rPr>
          <w:rFonts w:hint="eastAsia" w:ascii="Times New Roman" w:hAnsi="Times New Roman"/>
          <w:b/>
          <w:snapToGrid w:val="0"/>
          <w:color w:val="000000"/>
          <w:spacing w:val="-2"/>
          <w:kern w:val="0"/>
          <w:sz w:val="28"/>
        </w:rPr>
      </w:pPr>
    </w:p>
    <w:p>
      <w:pPr>
        <w:rPr>
          <w:rFonts w:hint="eastAsia" w:ascii="Times New Roman" w:hAnsi="Times New Roman"/>
          <w:b/>
          <w:snapToGrid w:val="0"/>
          <w:color w:val="000000"/>
          <w:spacing w:val="-2"/>
          <w:kern w:val="0"/>
          <w:sz w:val="28"/>
        </w:rPr>
      </w:pPr>
    </w:p>
    <w:p>
      <w:pPr>
        <w:rPr>
          <w:rFonts w:hint="eastAsia" w:ascii="Times New Roman" w:hAnsi="Times New Roman"/>
          <w:b/>
          <w:snapToGrid w:val="0"/>
          <w:color w:val="000000"/>
          <w:spacing w:val="-2"/>
          <w:kern w:val="0"/>
          <w:sz w:val="28"/>
        </w:rPr>
      </w:pPr>
    </w:p>
    <w:p>
      <w:pPr>
        <w:ind w:firstLine="1912" w:firstLineChars="690"/>
        <w:rPr>
          <w:rFonts w:hint="eastAsia" w:ascii="Times New Roman"/>
          <w:b/>
          <w:snapToGrid w:val="0"/>
          <w:color w:val="000000"/>
          <w:spacing w:val="-2"/>
          <w:kern w:val="0"/>
          <w:sz w:val="28"/>
          <w:u w:val="single"/>
        </w:rPr>
      </w:pPr>
      <w:r>
        <w:rPr>
          <w:rFonts w:hint="eastAsia" w:ascii="Times New Roman" w:hAnsi="Times New Roman"/>
          <w:b/>
          <w:snapToGrid w:val="0"/>
          <w:color w:val="000000"/>
          <w:spacing w:val="-2"/>
          <w:kern w:val="0"/>
          <w:sz w:val="28"/>
        </w:rPr>
        <w:t>工程监理机构（章）：</w:t>
      </w:r>
      <w:r>
        <w:rPr>
          <w:rFonts w:hint="eastAsia" w:ascii="Times New Roman" w:hAnsi="Times New Roman"/>
          <w:b/>
          <w:snapToGrid w:val="0"/>
          <w:color w:val="000000"/>
          <w:spacing w:val="-2"/>
          <w:kern w:val="0"/>
          <w:sz w:val="28"/>
          <w:u w:val="single"/>
        </w:rPr>
        <w:t>　　　　　　　</w:t>
      </w:r>
    </w:p>
    <w:p>
      <w:pPr>
        <w:rPr>
          <w:rFonts w:hint="eastAsia" w:ascii="Times New Roman"/>
          <w:b/>
          <w:snapToGrid w:val="0"/>
          <w:color w:val="000000"/>
          <w:spacing w:val="-2"/>
          <w:kern w:val="0"/>
          <w:sz w:val="28"/>
          <w:u w:val="single"/>
        </w:rPr>
      </w:pPr>
      <w:r>
        <w:rPr>
          <w:rFonts w:hint="eastAsia" w:ascii="Times New Roman" w:hAnsi="Times New Roman"/>
          <w:b/>
          <w:snapToGrid w:val="0"/>
          <w:color w:val="000000"/>
          <w:spacing w:val="-2"/>
          <w:kern w:val="0"/>
          <w:sz w:val="28"/>
        </w:rPr>
        <w:t xml:space="preserve">              专业监理工程师：</w:t>
      </w:r>
      <w:r>
        <w:rPr>
          <w:rFonts w:hint="eastAsia" w:ascii="Times New Roman" w:hAnsi="Times New Roman"/>
          <w:b/>
          <w:snapToGrid w:val="0"/>
          <w:color w:val="000000"/>
          <w:spacing w:val="-2"/>
          <w:kern w:val="0"/>
          <w:sz w:val="28"/>
          <w:u w:val="single"/>
        </w:rPr>
        <w:t xml:space="preserve">                  </w:t>
      </w:r>
    </w:p>
    <w:p>
      <w:pPr>
        <w:rPr>
          <w:rFonts w:hint="eastAsia" w:ascii="Times New Roman"/>
          <w:b/>
          <w:snapToGrid w:val="0"/>
          <w:color w:val="000000"/>
          <w:spacing w:val="-2"/>
          <w:kern w:val="0"/>
          <w:sz w:val="28"/>
          <w:u w:val="single"/>
        </w:rPr>
      </w:pPr>
      <w:r>
        <w:rPr>
          <w:rFonts w:hint="eastAsia" w:ascii="Times New Roman" w:hAnsi="Times New Roman"/>
          <w:b/>
          <w:snapToGrid w:val="0"/>
          <w:color w:val="000000"/>
          <w:spacing w:val="-2"/>
          <w:kern w:val="0"/>
          <w:sz w:val="28"/>
        </w:rPr>
        <w:t xml:space="preserve">              总监理工程师：</w:t>
      </w:r>
      <w:r>
        <w:rPr>
          <w:rFonts w:hint="eastAsia" w:ascii="Times New Roman" w:hAnsi="Times New Roman"/>
          <w:b/>
          <w:snapToGrid w:val="0"/>
          <w:color w:val="000000"/>
          <w:spacing w:val="-2"/>
          <w:kern w:val="0"/>
          <w:sz w:val="28"/>
          <w:u w:val="single"/>
        </w:rPr>
        <w:t xml:space="preserve">　　　　　　　　 　 </w:t>
      </w:r>
    </w:p>
    <w:p>
      <w:pPr>
        <w:spacing w:after="480"/>
        <w:ind w:firstLine="1965"/>
        <w:rPr>
          <w:rFonts w:hint="eastAsia" w:ascii="Times New Roman"/>
          <w:b/>
          <w:snapToGrid w:val="0"/>
          <w:color w:val="000000"/>
          <w:spacing w:val="-2"/>
          <w:kern w:val="0"/>
          <w:sz w:val="28"/>
          <w:u w:val="single"/>
        </w:rPr>
      </w:pPr>
      <w:r>
        <w:rPr>
          <w:rFonts w:hint="eastAsia" w:ascii="Times New Roman" w:hAnsi="Times New Roman"/>
          <w:b/>
          <w:snapToGrid w:val="0"/>
          <w:color w:val="000000"/>
          <w:spacing w:val="-2"/>
          <w:kern w:val="0"/>
          <w:sz w:val="28"/>
        </w:rPr>
        <w:t>日期：</w:t>
      </w:r>
      <w:r>
        <w:rPr>
          <w:rFonts w:hint="eastAsia" w:ascii="Times New Roman" w:hAnsi="Times New Roman"/>
          <w:b/>
          <w:snapToGrid w:val="0"/>
          <w:color w:val="000000"/>
          <w:spacing w:val="-2"/>
          <w:kern w:val="0"/>
          <w:sz w:val="28"/>
          <w:u w:val="single"/>
        </w:rPr>
        <w:t xml:space="preserve">　　　　　　　　　　        </w:t>
      </w:r>
    </w:p>
    <w:p>
      <w:pPr>
        <w:jc w:val="center"/>
        <w:rPr>
          <w:rFonts w:hint="eastAsia" w:ascii="Times New Roman" w:eastAsia="隶书"/>
          <w:snapToGrid w:val="0"/>
          <w:color w:val="000000"/>
          <w:spacing w:val="-2"/>
          <w:kern w:val="0"/>
          <w:sz w:val="28"/>
        </w:rPr>
      </w:pPr>
    </w:p>
    <w:p>
      <w:pPr>
        <w:jc w:val="center"/>
        <w:rPr>
          <w:rFonts w:hint="eastAsia" w:ascii="Times New Roman" w:eastAsia="隶书"/>
          <w:snapToGrid w:val="0"/>
          <w:color w:val="000000"/>
          <w:spacing w:val="-2"/>
          <w:kern w:val="0"/>
          <w:sz w:val="28"/>
        </w:rPr>
      </w:pPr>
    </w:p>
    <w:p>
      <w:pPr>
        <w:jc w:val="center"/>
        <w:rPr>
          <w:rFonts w:hint="eastAsia" w:ascii="Times New Roman" w:eastAsia="隶书"/>
          <w:snapToGrid w:val="0"/>
          <w:color w:val="000000"/>
          <w:spacing w:val="-2"/>
          <w:kern w:val="0"/>
          <w:sz w:val="28"/>
        </w:rPr>
      </w:pPr>
    </w:p>
    <w:p>
      <w:pPr>
        <w:jc w:val="center"/>
        <w:rPr>
          <w:rFonts w:hint="eastAsia" w:ascii="Times New Roman" w:eastAsia="隶书"/>
          <w:snapToGrid w:val="0"/>
          <w:color w:val="000000"/>
          <w:spacing w:val="-2"/>
          <w:kern w:val="0"/>
          <w:sz w:val="28"/>
        </w:rPr>
      </w:pPr>
      <w:r>
        <w:rPr>
          <w:rFonts w:hint="eastAsia" w:ascii="Times New Roman" w:eastAsia="隶书"/>
          <w:snapToGrid w:val="0"/>
          <w:color w:val="000000"/>
          <w:spacing w:val="-2"/>
          <w:kern w:val="0"/>
          <w:sz w:val="28"/>
        </w:rPr>
        <w:t>江苏省住房和城乡建设厅监制</w:t>
      </w:r>
    </w:p>
    <w:p>
      <w:pPr>
        <w:jc w:val="center"/>
        <w:textAlignment w:val="center"/>
        <w:rPr>
          <w:rFonts w:hint="eastAsia" w:ascii="Times New Roman" w:hAnsi="Times New Roman" w:eastAsia="方正小标宋简体"/>
          <w:color w:val="000000"/>
          <w:spacing w:val="-2"/>
          <w:sz w:val="32"/>
        </w:rPr>
      </w:pPr>
      <w:r>
        <w:rPr>
          <w:rFonts w:hint="eastAsia" w:ascii="Times New Roman" w:hAnsi="Times New Roman" w:eastAsia="方正小标宋简体"/>
          <w:color w:val="000000"/>
          <w:spacing w:val="-2"/>
          <w:sz w:val="32"/>
        </w:rPr>
        <w:br w:type="column"/>
      </w:r>
      <w:r>
        <w:rPr>
          <w:rFonts w:hint="eastAsia" w:ascii="Times New Roman" w:hAnsi="Times New Roman" w:eastAsia="方正小标宋简体"/>
          <w:color w:val="000000"/>
          <w:spacing w:val="-2"/>
          <w:sz w:val="32"/>
        </w:rPr>
        <w:t>深基坑支护工程监理实施细则</w:t>
      </w:r>
    </w:p>
    <w:p>
      <w:pPr>
        <w:spacing w:before="240" w:beforeLines="100" w:after="240" w:afterLines="100" w:line="420" w:lineRule="exact"/>
        <w:rPr>
          <w:rFonts w:hint="eastAsia"/>
          <w:b/>
          <w:color w:val="000000"/>
          <w:spacing w:val="-2"/>
          <w:sz w:val="28"/>
          <w:szCs w:val="28"/>
        </w:rPr>
      </w:pPr>
      <w:r>
        <w:rPr>
          <w:b/>
          <w:color w:val="000000"/>
          <w:spacing w:val="-2"/>
          <w:sz w:val="28"/>
          <w:szCs w:val="28"/>
        </w:rPr>
        <w:t xml:space="preserve">1 </w:t>
      </w:r>
      <w:r>
        <w:rPr>
          <w:rFonts w:hint="eastAsia"/>
          <w:b/>
          <w:color w:val="000000"/>
          <w:spacing w:val="-2"/>
          <w:sz w:val="28"/>
          <w:szCs w:val="28"/>
        </w:rPr>
        <w:t>深基坑支护工程概况</w:t>
      </w:r>
    </w:p>
    <w:p>
      <w:pPr>
        <w:tabs>
          <w:tab w:val="left" w:pos="3780"/>
          <w:tab w:val="left" w:pos="4680"/>
        </w:tabs>
        <w:adjustRightInd w:val="0"/>
        <w:snapToGrid w:val="0"/>
        <w:spacing w:line="460" w:lineRule="exact"/>
        <w:ind w:left="1736" w:hanging="1741" w:hangingChars="735"/>
        <w:jc w:val="left"/>
        <w:rPr>
          <w:snapToGrid w:val="0"/>
          <w:color w:val="000000"/>
          <w:spacing w:val="-2"/>
          <w:kern w:val="0"/>
          <w:sz w:val="24"/>
        </w:rPr>
      </w:pPr>
      <w:r>
        <w:rPr>
          <w:b/>
          <w:snapToGrid w:val="0"/>
          <w:color w:val="000000"/>
          <w:spacing w:val="-2"/>
          <w:kern w:val="0"/>
          <w:sz w:val="24"/>
        </w:rPr>
        <w:t xml:space="preserve">1.1 </w:t>
      </w:r>
      <w:r>
        <w:rPr>
          <w:rFonts w:hint="eastAsia" w:hAnsi="Times New Roman"/>
          <w:b/>
          <w:snapToGrid w:val="0"/>
          <w:color w:val="000000"/>
          <w:spacing w:val="-2"/>
          <w:kern w:val="0"/>
          <w:sz w:val="24"/>
        </w:rPr>
        <w:t>深基坑支护工程的重要性。</w:t>
      </w:r>
    </w:p>
    <w:p>
      <w:pPr>
        <w:spacing w:line="460" w:lineRule="exact"/>
        <w:rPr>
          <w:rFonts w:ascii="Times New Roman"/>
          <w:b/>
          <w:snapToGrid w:val="0"/>
          <w:color w:val="000000"/>
          <w:spacing w:val="-2"/>
          <w:kern w:val="0"/>
          <w:sz w:val="24"/>
        </w:rPr>
      </w:pPr>
      <w:r>
        <w:rPr>
          <w:b/>
          <w:snapToGrid w:val="0"/>
          <w:color w:val="000000"/>
          <w:spacing w:val="-2"/>
          <w:kern w:val="0"/>
          <w:sz w:val="24"/>
        </w:rPr>
        <w:t xml:space="preserve">1.2 </w:t>
      </w:r>
      <w:r>
        <w:rPr>
          <w:rFonts w:hint="eastAsia" w:ascii="Times New Roman" w:hAnsi="Times New Roman"/>
          <w:b/>
          <w:snapToGrid w:val="0"/>
          <w:color w:val="000000"/>
          <w:spacing w:val="-2"/>
          <w:kern w:val="0"/>
          <w:sz w:val="24"/>
        </w:rPr>
        <w:t>本工程及深基坑支护工程概况及参数（可根据实际调整）：</w:t>
      </w:r>
    </w:p>
    <w:tbl>
      <w:tblPr>
        <w:tblStyle w:val="1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90"/>
        <w:gridCol w:w="1700"/>
        <w:gridCol w:w="1700"/>
        <w:gridCol w:w="1700"/>
        <w:gridCol w:w="8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72" w:hRule="atLeast"/>
        </w:trPr>
        <w:tc>
          <w:tcPr>
            <w:tcW w:w="828" w:type="dxa"/>
            <w:tcBorders>
              <w:top w:val="single" w:color="auto" w:sz="8" w:space="0"/>
              <w:left w:val="single" w:color="auto" w:sz="8" w:space="0"/>
              <w:bottom w:val="single" w:color="auto" w:sz="4" w:space="0"/>
              <w:right w:val="single" w:color="auto" w:sz="4" w:space="0"/>
            </w:tcBorders>
            <w:noWrap w:val="0"/>
            <w:textDirection w:val="tbRlV"/>
            <w:vAlign w:val="center"/>
          </w:tcPr>
          <w:p>
            <w:pPr>
              <w:spacing w:line="280" w:lineRule="exact"/>
              <w:ind w:left="113" w:right="113"/>
              <w:jc w:val="center"/>
              <w:rPr>
                <w:rFonts w:eastAsia="黑体"/>
                <w:snapToGrid w:val="0"/>
                <w:color w:val="000000"/>
                <w:spacing w:val="-2"/>
                <w:kern w:val="0"/>
                <w:szCs w:val="21"/>
              </w:rPr>
            </w:pPr>
            <w:r>
              <w:rPr>
                <w:rFonts w:hint="eastAsia" w:eastAsia="黑体"/>
                <w:snapToGrid w:val="0"/>
                <w:color w:val="000000"/>
                <w:spacing w:val="-2"/>
                <w:kern w:val="0"/>
                <w:szCs w:val="21"/>
              </w:rPr>
              <w:t>序</w:t>
            </w:r>
            <w:r>
              <w:rPr>
                <w:rFonts w:eastAsia="黑体"/>
                <w:snapToGrid w:val="0"/>
                <w:color w:val="000000"/>
                <w:spacing w:val="-2"/>
                <w:kern w:val="0"/>
                <w:szCs w:val="21"/>
              </w:rPr>
              <w:t xml:space="preserve"> </w:t>
            </w:r>
            <w:r>
              <w:rPr>
                <w:rFonts w:hint="eastAsia" w:eastAsia="黑体"/>
                <w:snapToGrid w:val="0"/>
                <w:color w:val="000000"/>
                <w:spacing w:val="-2"/>
                <w:kern w:val="0"/>
                <w:szCs w:val="21"/>
              </w:rPr>
              <w:t>号</w:t>
            </w:r>
          </w:p>
        </w:tc>
        <w:tc>
          <w:tcPr>
            <w:tcW w:w="2190" w:type="dxa"/>
            <w:tcBorders>
              <w:top w:val="single" w:color="auto" w:sz="8" w:space="0"/>
              <w:left w:val="single" w:color="auto" w:sz="4" w:space="0"/>
              <w:bottom w:val="single" w:color="auto" w:sz="4" w:space="0"/>
              <w:right w:val="single" w:color="auto" w:sz="4" w:space="0"/>
            </w:tcBorders>
            <w:noWrap w:val="0"/>
            <w:vAlign w:val="center"/>
          </w:tcPr>
          <w:p>
            <w:pPr>
              <w:spacing w:line="280" w:lineRule="exact"/>
              <w:jc w:val="center"/>
              <w:rPr>
                <w:rFonts w:ascii="Times New Roman" w:hAnsi="Times New Roman" w:eastAsia="黑体"/>
                <w:snapToGrid w:val="0"/>
                <w:color w:val="000000"/>
                <w:spacing w:val="-2"/>
                <w:kern w:val="0"/>
                <w:szCs w:val="21"/>
              </w:rPr>
            </w:pPr>
            <w:r>
              <w:rPr>
                <w:rFonts w:hint="eastAsia" w:ascii="Times New Roman" w:hAnsi="Times New Roman" w:eastAsia="黑体"/>
                <w:snapToGrid w:val="0"/>
                <w:color w:val="000000"/>
                <w:spacing w:val="-2"/>
                <w:kern w:val="0"/>
                <w:szCs w:val="21"/>
              </w:rPr>
              <w:t>各分项工程内容</w:t>
            </w:r>
          </w:p>
        </w:tc>
        <w:tc>
          <w:tcPr>
            <w:tcW w:w="1700" w:type="dxa"/>
            <w:tcBorders>
              <w:top w:val="single" w:color="auto" w:sz="8" w:space="0"/>
              <w:left w:val="single" w:color="auto" w:sz="4" w:space="0"/>
              <w:bottom w:val="single" w:color="auto" w:sz="4" w:space="0"/>
              <w:right w:val="single" w:color="auto" w:sz="4" w:space="0"/>
            </w:tcBorders>
            <w:noWrap w:val="0"/>
            <w:vAlign w:val="center"/>
          </w:tcPr>
          <w:p>
            <w:pPr>
              <w:spacing w:line="280" w:lineRule="exact"/>
              <w:jc w:val="center"/>
              <w:rPr>
                <w:rFonts w:ascii="Times New Roman" w:hAnsi="Times New Roman" w:eastAsia="黑体"/>
                <w:snapToGrid w:val="0"/>
                <w:color w:val="000000"/>
                <w:spacing w:val="-2"/>
                <w:kern w:val="0"/>
                <w:szCs w:val="21"/>
              </w:rPr>
            </w:pPr>
            <w:r>
              <w:rPr>
                <w:rFonts w:hint="eastAsia" w:ascii="Times New Roman" w:hAnsi="Times New Roman" w:eastAsia="黑体"/>
                <w:snapToGrid w:val="0"/>
                <w:color w:val="000000"/>
                <w:spacing w:val="-2"/>
                <w:kern w:val="0"/>
                <w:szCs w:val="21"/>
              </w:rPr>
              <w:t>设计及参数</w:t>
            </w:r>
          </w:p>
        </w:tc>
        <w:tc>
          <w:tcPr>
            <w:tcW w:w="1700" w:type="dxa"/>
            <w:tcBorders>
              <w:top w:val="single" w:color="auto" w:sz="8" w:space="0"/>
              <w:left w:val="single" w:color="auto" w:sz="4" w:space="0"/>
              <w:bottom w:val="single" w:color="auto" w:sz="4" w:space="0"/>
              <w:right w:val="single" w:color="auto" w:sz="4" w:space="0"/>
            </w:tcBorders>
            <w:noWrap w:val="0"/>
            <w:vAlign w:val="center"/>
          </w:tcPr>
          <w:p>
            <w:pPr>
              <w:spacing w:line="280" w:lineRule="exact"/>
              <w:jc w:val="center"/>
              <w:rPr>
                <w:rFonts w:ascii="Times New Roman" w:hAnsi="Times New Roman" w:eastAsia="黑体"/>
                <w:snapToGrid w:val="0"/>
                <w:color w:val="000000"/>
                <w:spacing w:val="-2"/>
                <w:kern w:val="0"/>
                <w:szCs w:val="21"/>
              </w:rPr>
            </w:pPr>
            <w:r>
              <w:rPr>
                <w:rFonts w:hint="eastAsia" w:ascii="Times New Roman" w:hAnsi="Times New Roman" w:eastAsia="黑体"/>
                <w:snapToGrid w:val="0"/>
                <w:color w:val="000000"/>
                <w:spacing w:val="-2"/>
                <w:kern w:val="0"/>
                <w:szCs w:val="21"/>
              </w:rPr>
              <w:t>设计单位</w:t>
            </w:r>
          </w:p>
        </w:tc>
        <w:tc>
          <w:tcPr>
            <w:tcW w:w="1700" w:type="dxa"/>
            <w:tcBorders>
              <w:top w:val="single" w:color="auto" w:sz="8" w:space="0"/>
              <w:left w:val="single" w:color="auto" w:sz="4" w:space="0"/>
              <w:bottom w:val="single" w:color="auto" w:sz="4" w:space="0"/>
              <w:right w:val="single" w:color="auto" w:sz="4" w:space="0"/>
            </w:tcBorders>
            <w:noWrap w:val="0"/>
            <w:vAlign w:val="center"/>
          </w:tcPr>
          <w:p>
            <w:pPr>
              <w:spacing w:line="280" w:lineRule="exact"/>
              <w:jc w:val="center"/>
              <w:rPr>
                <w:rFonts w:ascii="Times New Roman" w:hAnsi="Times New Roman" w:eastAsia="黑体"/>
                <w:snapToGrid w:val="0"/>
                <w:color w:val="000000"/>
                <w:spacing w:val="-2"/>
                <w:kern w:val="0"/>
                <w:szCs w:val="21"/>
              </w:rPr>
            </w:pPr>
            <w:r>
              <w:rPr>
                <w:rFonts w:hint="eastAsia" w:ascii="Times New Roman" w:hAnsi="Times New Roman" w:eastAsia="黑体"/>
                <w:snapToGrid w:val="0"/>
                <w:color w:val="000000"/>
                <w:spacing w:val="-2"/>
                <w:kern w:val="0"/>
                <w:szCs w:val="21"/>
              </w:rPr>
              <w:t>施工单位</w:t>
            </w:r>
          </w:p>
        </w:tc>
        <w:tc>
          <w:tcPr>
            <w:tcW w:w="828" w:type="dxa"/>
            <w:tcBorders>
              <w:top w:val="single" w:color="auto" w:sz="8" w:space="0"/>
              <w:left w:val="single" w:color="auto" w:sz="4" w:space="0"/>
              <w:bottom w:val="single" w:color="auto" w:sz="4" w:space="0"/>
              <w:right w:val="single" w:color="auto" w:sz="8" w:space="0"/>
            </w:tcBorders>
            <w:noWrap w:val="0"/>
            <w:textDirection w:val="tbRlV"/>
            <w:vAlign w:val="center"/>
          </w:tcPr>
          <w:p>
            <w:pPr>
              <w:spacing w:line="280" w:lineRule="exact"/>
              <w:ind w:left="113" w:right="113"/>
              <w:jc w:val="center"/>
              <w:rPr>
                <w:rFonts w:ascii="Times New Roman" w:hAnsi="Times New Roman" w:eastAsia="黑体"/>
                <w:snapToGrid w:val="0"/>
                <w:color w:val="000000"/>
                <w:spacing w:val="-2"/>
                <w:kern w:val="0"/>
                <w:szCs w:val="21"/>
              </w:rPr>
            </w:pPr>
            <w:r>
              <w:rPr>
                <w:rFonts w:hint="eastAsia" w:ascii="Times New Roman" w:hAnsi="Times New Roman" w:eastAsia="黑体"/>
                <w:snapToGrid w:val="0"/>
                <w:color w:val="000000"/>
                <w:spacing w:val="-2"/>
                <w:kern w:val="0"/>
                <w:szCs w:val="21"/>
              </w:rPr>
              <w:t>备 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8" w:space="0"/>
              <w:bottom w:val="single" w:color="auto" w:sz="4" w:space="0"/>
              <w:right w:val="single" w:color="auto" w:sz="4" w:space="0"/>
            </w:tcBorders>
            <w:noWrap w:val="0"/>
            <w:vAlign w:val="center"/>
          </w:tcPr>
          <w:p>
            <w:pPr>
              <w:spacing w:line="280" w:lineRule="exact"/>
              <w:jc w:val="center"/>
              <w:rPr>
                <w:snapToGrid w:val="0"/>
                <w:color w:val="000000"/>
                <w:spacing w:val="-2"/>
                <w:kern w:val="0"/>
                <w:szCs w:val="21"/>
              </w:rPr>
            </w:pPr>
            <w:r>
              <w:rPr>
                <w:snapToGrid w:val="0"/>
                <w:color w:val="000000"/>
                <w:spacing w:val="-2"/>
                <w:kern w:val="0"/>
                <w:szCs w:val="21"/>
              </w:rPr>
              <w:t>1</w:t>
            </w:r>
          </w:p>
        </w:tc>
        <w:tc>
          <w:tcPr>
            <w:tcW w:w="219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rPr>
                <w:rFonts w:ascii="Times New Roman"/>
                <w:snapToGrid w:val="0"/>
                <w:color w:val="000000"/>
                <w:spacing w:val="-2"/>
                <w:kern w:val="0"/>
                <w:szCs w:val="21"/>
              </w:rPr>
            </w:pPr>
            <w:r>
              <w:rPr>
                <w:rFonts w:hint="eastAsia" w:ascii="Times New Roman" w:hAnsi="Times New Roman"/>
                <w:snapToGrid w:val="0"/>
                <w:color w:val="000000"/>
                <w:spacing w:val="-2"/>
                <w:kern w:val="0"/>
                <w:szCs w:val="21"/>
              </w:rPr>
              <w:t>支护桩、钢筋砼及钢支撑系统</w:t>
            </w:r>
          </w:p>
        </w:tc>
        <w:tc>
          <w:tcPr>
            <w:tcW w:w="17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Times New Roman"/>
                <w:snapToGrid w:val="0"/>
                <w:color w:val="000000"/>
                <w:spacing w:val="-2"/>
                <w:kern w:val="0"/>
                <w:szCs w:val="21"/>
              </w:rPr>
            </w:pPr>
          </w:p>
        </w:tc>
        <w:tc>
          <w:tcPr>
            <w:tcW w:w="17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Times New Roman"/>
                <w:snapToGrid w:val="0"/>
                <w:color w:val="000000"/>
                <w:spacing w:val="-2"/>
                <w:kern w:val="0"/>
                <w:szCs w:val="21"/>
              </w:rPr>
            </w:pPr>
          </w:p>
        </w:tc>
        <w:tc>
          <w:tcPr>
            <w:tcW w:w="17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Times New Roman"/>
                <w:snapToGrid w:val="0"/>
                <w:color w:val="000000"/>
                <w:spacing w:val="-2"/>
                <w:kern w:val="0"/>
                <w:szCs w:val="21"/>
              </w:rPr>
            </w:pPr>
          </w:p>
        </w:tc>
        <w:tc>
          <w:tcPr>
            <w:tcW w:w="828" w:type="dxa"/>
            <w:tcBorders>
              <w:top w:val="single" w:color="auto" w:sz="4" w:space="0"/>
              <w:left w:val="single" w:color="auto" w:sz="4" w:space="0"/>
              <w:bottom w:val="single" w:color="auto" w:sz="4" w:space="0"/>
              <w:right w:val="single" w:color="auto" w:sz="8" w:space="0"/>
            </w:tcBorders>
            <w:noWrap w:val="0"/>
            <w:vAlign w:val="center"/>
          </w:tcPr>
          <w:p>
            <w:pPr>
              <w:spacing w:line="280" w:lineRule="exact"/>
              <w:jc w:val="center"/>
              <w:rPr>
                <w:rFonts w:ascii="Times New Roman"/>
                <w:snapToGrid w:val="0"/>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8" w:space="0"/>
              <w:bottom w:val="single" w:color="auto" w:sz="4" w:space="0"/>
              <w:right w:val="single" w:color="auto" w:sz="4" w:space="0"/>
            </w:tcBorders>
            <w:noWrap w:val="0"/>
            <w:vAlign w:val="center"/>
          </w:tcPr>
          <w:p>
            <w:pPr>
              <w:spacing w:line="280" w:lineRule="exact"/>
              <w:jc w:val="center"/>
              <w:rPr>
                <w:snapToGrid w:val="0"/>
                <w:color w:val="000000"/>
                <w:spacing w:val="-2"/>
                <w:kern w:val="0"/>
                <w:szCs w:val="21"/>
              </w:rPr>
            </w:pPr>
            <w:r>
              <w:rPr>
                <w:snapToGrid w:val="0"/>
                <w:color w:val="000000"/>
                <w:spacing w:val="-2"/>
                <w:kern w:val="0"/>
                <w:szCs w:val="21"/>
              </w:rPr>
              <w:t>2</w:t>
            </w:r>
          </w:p>
        </w:tc>
        <w:tc>
          <w:tcPr>
            <w:tcW w:w="219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rPr>
                <w:rFonts w:ascii="Times New Roman"/>
                <w:snapToGrid w:val="0"/>
                <w:color w:val="000000"/>
                <w:spacing w:val="-2"/>
                <w:kern w:val="0"/>
                <w:szCs w:val="21"/>
              </w:rPr>
            </w:pPr>
            <w:r>
              <w:rPr>
                <w:rFonts w:hint="eastAsia" w:ascii="Times New Roman" w:hAnsi="Times New Roman"/>
                <w:snapToGrid w:val="0"/>
                <w:color w:val="000000"/>
                <w:spacing w:val="-2"/>
                <w:kern w:val="0"/>
                <w:szCs w:val="21"/>
              </w:rPr>
              <w:t>地下连续墙</w:t>
            </w:r>
          </w:p>
        </w:tc>
        <w:tc>
          <w:tcPr>
            <w:tcW w:w="17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Times New Roman"/>
                <w:snapToGrid w:val="0"/>
                <w:color w:val="000000"/>
                <w:spacing w:val="-2"/>
                <w:kern w:val="0"/>
                <w:szCs w:val="21"/>
              </w:rPr>
            </w:pPr>
          </w:p>
        </w:tc>
        <w:tc>
          <w:tcPr>
            <w:tcW w:w="17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Times New Roman"/>
                <w:snapToGrid w:val="0"/>
                <w:color w:val="000000"/>
                <w:spacing w:val="-2"/>
                <w:kern w:val="0"/>
                <w:szCs w:val="21"/>
              </w:rPr>
            </w:pPr>
          </w:p>
        </w:tc>
        <w:tc>
          <w:tcPr>
            <w:tcW w:w="17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Times New Roman"/>
                <w:snapToGrid w:val="0"/>
                <w:color w:val="000000"/>
                <w:spacing w:val="-2"/>
                <w:kern w:val="0"/>
                <w:szCs w:val="21"/>
              </w:rPr>
            </w:pPr>
          </w:p>
        </w:tc>
        <w:tc>
          <w:tcPr>
            <w:tcW w:w="828" w:type="dxa"/>
            <w:tcBorders>
              <w:top w:val="single" w:color="auto" w:sz="4" w:space="0"/>
              <w:left w:val="single" w:color="auto" w:sz="4" w:space="0"/>
              <w:bottom w:val="single" w:color="auto" w:sz="4" w:space="0"/>
              <w:right w:val="single" w:color="auto" w:sz="8" w:space="0"/>
            </w:tcBorders>
            <w:noWrap w:val="0"/>
            <w:vAlign w:val="center"/>
          </w:tcPr>
          <w:p>
            <w:pPr>
              <w:spacing w:line="280" w:lineRule="exact"/>
              <w:jc w:val="center"/>
              <w:rPr>
                <w:rFonts w:ascii="Times New Roman"/>
                <w:snapToGrid w:val="0"/>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8" w:space="0"/>
              <w:bottom w:val="single" w:color="auto" w:sz="4" w:space="0"/>
              <w:right w:val="single" w:color="auto" w:sz="4" w:space="0"/>
            </w:tcBorders>
            <w:noWrap w:val="0"/>
            <w:vAlign w:val="center"/>
          </w:tcPr>
          <w:p>
            <w:pPr>
              <w:spacing w:line="280" w:lineRule="exact"/>
              <w:jc w:val="center"/>
              <w:rPr>
                <w:snapToGrid w:val="0"/>
                <w:color w:val="000000"/>
                <w:spacing w:val="-2"/>
                <w:kern w:val="0"/>
                <w:szCs w:val="21"/>
              </w:rPr>
            </w:pPr>
            <w:r>
              <w:rPr>
                <w:snapToGrid w:val="0"/>
                <w:color w:val="000000"/>
                <w:spacing w:val="-2"/>
                <w:kern w:val="0"/>
                <w:szCs w:val="21"/>
              </w:rPr>
              <w:t>3</w:t>
            </w:r>
          </w:p>
        </w:tc>
        <w:tc>
          <w:tcPr>
            <w:tcW w:w="219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rPr>
                <w:rFonts w:ascii="Times New Roman"/>
                <w:snapToGrid w:val="0"/>
                <w:color w:val="000000"/>
                <w:spacing w:val="-2"/>
                <w:kern w:val="0"/>
                <w:szCs w:val="21"/>
              </w:rPr>
            </w:pPr>
            <w:r>
              <w:rPr>
                <w:rFonts w:hint="eastAsia" w:ascii="Times New Roman" w:hAnsi="Times New Roman"/>
                <w:snapToGrid w:val="0"/>
                <w:color w:val="000000"/>
                <w:spacing w:val="-2"/>
                <w:kern w:val="0"/>
                <w:szCs w:val="21"/>
              </w:rPr>
              <w:t>锚杆或土钉墙</w:t>
            </w:r>
          </w:p>
        </w:tc>
        <w:tc>
          <w:tcPr>
            <w:tcW w:w="17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Times New Roman"/>
                <w:snapToGrid w:val="0"/>
                <w:color w:val="000000"/>
                <w:spacing w:val="-2"/>
                <w:kern w:val="0"/>
                <w:szCs w:val="21"/>
              </w:rPr>
            </w:pPr>
          </w:p>
        </w:tc>
        <w:tc>
          <w:tcPr>
            <w:tcW w:w="17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Times New Roman"/>
                <w:snapToGrid w:val="0"/>
                <w:color w:val="000000"/>
                <w:spacing w:val="-2"/>
                <w:kern w:val="0"/>
                <w:szCs w:val="21"/>
              </w:rPr>
            </w:pPr>
          </w:p>
        </w:tc>
        <w:tc>
          <w:tcPr>
            <w:tcW w:w="17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Times New Roman"/>
                <w:snapToGrid w:val="0"/>
                <w:color w:val="000000"/>
                <w:spacing w:val="-2"/>
                <w:kern w:val="0"/>
                <w:szCs w:val="21"/>
              </w:rPr>
            </w:pPr>
          </w:p>
        </w:tc>
        <w:tc>
          <w:tcPr>
            <w:tcW w:w="828" w:type="dxa"/>
            <w:tcBorders>
              <w:top w:val="single" w:color="auto" w:sz="4" w:space="0"/>
              <w:left w:val="single" w:color="auto" w:sz="4" w:space="0"/>
              <w:bottom w:val="single" w:color="auto" w:sz="4" w:space="0"/>
              <w:right w:val="single" w:color="auto" w:sz="8" w:space="0"/>
            </w:tcBorders>
            <w:noWrap w:val="0"/>
            <w:vAlign w:val="center"/>
          </w:tcPr>
          <w:p>
            <w:pPr>
              <w:spacing w:line="280" w:lineRule="exact"/>
              <w:jc w:val="center"/>
              <w:rPr>
                <w:rFonts w:ascii="Times New Roman"/>
                <w:snapToGrid w:val="0"/>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8" w:space="0"/>
              <w:bottom w:val="single" w:color="auto" w:sz="4" w:space="0"/>
              <w:right w:val="single" w:color="auto" w:sz="4" w:space="0"/>
            </w:tcBorders>
            <w:noWrap w:val="0"/>
            <w:vAlign w:val="center"/>
          </w:tcPr>
          <w:p>
            <w:pPr>
              <w:spacing w:line="280" w:lineRule="exact"/>
              <w:jc w:val="center"/>
              <w:rPr>
                <w:snapToGrid w:val="0"/>
                <w:color w:val="000000"/>
                <w:spacing w:val="-2"/>
                <w:kern w:val="0"/>
                <w:szCs w:val="21"/>
              </w:rPr>
            </w:pPr>
            <w:r>
              <w:rPr>
                <w:snapToGrid w:val="0"/>
                <w:color w:val="000000"/>
                <w:spacing w:val="-2"/>
                <w:kern w:val="0"/>
                <w:szCs w:val="21"/>
              </w:rPr>
              <w:t>4</w:t>
            </w:r>
          </w:p>
        </w:tc>
        <w:tc>
          <w:tcPr>
            <w:tcW w:w="219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rPr>
                <w:rFonts w:ascii="Times New Roman"/>
                <w:snapToGrid w:val="0"/>
                <w:color w:val="000000"/>
                <w:spacing w:val="-2"/>
                <w:kern w:val="0"/>
                <w:szCs w:val="21"/>
              </w:rPr>
            </w:pPr>
            <w:r>
              <w:rPr>
                <w:rFonts w:hint="eastAsia" w:ascii="Times New Roman" w:hAnsi="Times New Roman"/>
                <w:snapToGrid w:val="0"/>
                <w:color w:val="000000"/>
                <w:spacing w:val="-2"/>
                <w:kern w:val="0"/>
                <w:szCs w:val="21"/>
              </w:rPr>
              <w:t>水泥土搅拌桩</w:t>
            </w:r>
          </w:p>
        </w:tc>
        <w:tc>
          <w:tcPr>
            <w:tcW w:w="17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Times New Roman"/>
                <w:snapToGrid w:val="0"/>
                <w:color w:val="000000"/>
                <w:spacing w:val="-2"/>
                <w:kern w:val="0"/>
                <w:szCs w:val="21"/>
              </w:rPr>
            </w:pPr>
          </w:p>
        </w:tc>
        <w:tc>
          <w:tcPr>
            <w:tcW w:w="17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Times New Roman"/>
                <w:snapToGrid w:val="0"/>
                <w:color w:val="000000"/>
                <w:spacing w:val="-2"/>
                <w:kern w:val="0"/>
                <w:szCs w:val="21"/>
              </w:rPr>
            </w:pPr>
          </w:p>
        </w:tc>
        <w:tc>
          <w:tcPr>
            <w:tcW w:w="17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Times New Roman"/>
                <w:snapToGrid w:val="0"/>
                <w:color w:val="000000"/>
                <w:spacing w:val="-2"/>
                <w:kern w:val="0"/>
                <w:szCs w:val="21"/>
              </w:rPr>
            </w:pPr>
          </w:p>
        </w:tc>
        <w:tc>
          <w:tcPr>
            <w:tcW w:w="828" w:type="dxa"/>
            <w:tcBorders>
              <w:top w:val="single" w:color="auto" w:sz="4" w:space="0"/>
              <w:left w:val="single" w:color="auto" w:sz="4" w:space="0"/>
              <w:bottom w:val="single" w:color="auto" w:sz="4" w:space="0"/>
              <w:right w:val="single" w:color="auto" w:sz="8" w:space="0"/>
            </w:tcBorders>
            <w:noWrap w:val="0"/>
            <w:vAlign w:val="center"/>
          </w:tcPr>
          <w:p>
            <w:pPr>
              <w:spacing w:line="280" w:lineRule="exact"/>
              <w:jc w:val="center"/>
              <w:rPr>
                <w:rFonts w:ascii="Times New Roman"/>
                <w:snapToGrid w:val="0"/>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8" w:space="0"/>
              <w:bottom w:val="single" w:color="auto" w:sz="4" w:space="0"/>
              <w:right w:val="single" w:color="auto" w:sz="4" w:space="0"/>
            </w:tcBorders>
            <w:noWrap w:val="0"/>
            <w:vAlign w:val="center"/>
          </w:tcPr>
          <w:p>
            <w:pPr>
              <w:spacing w:line="280" w:lineRule="exact"/>
              <w:jc w:val="center"/>
              <w:rPr>
                <w:snapToGrid w:val="0"/>
                <w:color w:val="000000"/>
                <w:spacing w:val="-2"/>
                <w:kern w:val="0"/>
                <w:szCs w:val="21"/>
              </w:rPr>
            </w:pPr>
            <w:r>
              <w:rPr>
                <w:snapToGrid w:val="0"/>
                <w:color w:val="000000"/>
                <w:spacing w:val="-2"/>
                <w:kern w:val="0"/>
                <w:szCs w:val="21"/>
              </w:rPr>
              <w:t>5</w:t>
            </w:r>
          </w:p>
        </w:tc>
        <w:tc>
          <w:tcPr>
            <w:tcW w:w="219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rPr>
                <w:rFonts w:ascii="Times New Roman"/>
                <w:snapToGrid w:val="0"/>
                <w:color w:val="000000"/>
                <w:spacing w:val="-2"/>
                <w:kern w:val="0"/>
                <w:szCs w:val="21"/>
              </w:rPr>
            </w:pPr>
            <w:r>
              <w:rPr>
                <w:rFonts w:hint="eastAsia" w:ascii="Times New Roman" w:hAnsi="Times New Roman"/>
                <w:snapToGrid w:val="0"/>
                <w:color w:val="000000"/>
                <w:spacing w:val="-2"/>
                <w:kern w:val="0"/>
                <w:szCs w:val="21"/>
              </w:rPr>
              <w:t>土方开挖</w:t>
            </w:r>
          </w:p>
        </w:tc>
        <w:tc>
          <w:tcPr>
            <w:tcW w:w="17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Times New Roman"/>
                <w:snapToGrid w:val="0"/>
                <w:color w:val="000000"/>
                <w:spacing w:val="-2"/>
                <w:kern w:val="0"/>
                <w:szCs w:val="21"/>
              </w:rPr>
            </w:pPr>
          </w:p>
        </w:tc>
        <w:tc>
          <w:tcPr>
            <w:tcW w:w="17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Times New Roman"/>
                <w:snapToGrid w:val="0"/>
                <w:color w:val="000000"/>
                <w:spacing w:val="-2"/>
                <w:kern w:val="0"/>
                <w:szCs w:val="21"/>
              </w:rPr>
            </w:pPr>
          </w:p>
        </w:tc>
        <w:tc>
          <w:tcPr>
            <w:tcW w:w="17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Times New Roman"/>
                <w:snapToGrid w:val="0"/>
                <w:color w:val="000000"/>
                <w:spacing w:val="-2"/>
                <w:kern w:val="0"/>
                <w:szCs w:val="21"/>
              </w:rPr>
            </w:pPr>
          </w:p>
        </w:tc>
        <w:tc>
          <w:tcPr>
            <w:tcW w:w="828" w:type="dxa"/>
            <w:tcBorders>
              <w:top w:val="single" w:color="auto" w:sz="4" w:space="0"/>
              <w:left w:val="single" w:color="auto" w:sz="4" w:space="0"/>
              <w:bottom w:val="single" w:color="auto" w:sz="4" w:space="0"/>
              <w:right w:val="single" w:color="auto" w:sz="8" w:space="0"/>
            </w:tcBorders>
            <w:noWrap w:val="0"/>
            <w:vAlign w:val="center"/>
          </w:tcPr>
          <w:p>
            <w:pPr>
              <w:spacing w:line="280" w:lineRule="exact"/>
              <w:jc w:val="center"/>
              <w:rPr>
                <w:rFonts w:ascii="Times New Roman"/>
                <w:snapToGrid w:val="0"/>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8" w:space="0"/>
              <w:bottom w:val="single" w:color="auto" w:sz="4" w:space="0"/>
              <w:right w:val="single" w:color="auto" w:sz="4" w:space="0"/>
            </w:tcBorders>
            <w:noWrap w:val="0"/>
            <w:vAlign w:val="center"/>
          </w:tcPr>
          <w:p>
            <w:pPr>
              <w:spacing w:line="280" w:lineRule="exact"/>
              <w:jc w:val="center"/>
              <w:rPr>
                <w:snapToGrid w:val="0"/>
                <w:color w:val="000000"/>
                <w:spacing w:val="-2"/>
                <w:kern w:val="0"/>
                <w:szCs w:val="21"/>
              </w:rPr>
            </w:pPr>
            <w:r>
              <w:rPr>
                <w:snapToGrid w:val="0"/>
                <w:color w:val="000000"/>
                <w:spacing w:val="-2"/>
                <w:kern w:val="0"/>
                <w:szCs w:val="21"/>
              </w:rPr>
              <w:t>6</w:t>
            </w:r>
          </w:p>
        </w:tc>
        <w:tc>
          <w:tcPr>
            <w:tcW w:w="219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rPr>
                <w:rFonts w:ascii="Times New Roman"/>
                <w:snapToGrid w:val="0"/>
                <w:color w:val="000000"/>
                <w:spacing w:val="-2"/>
                <w:kern w:val="0"/>
                <w:szCs w:val="21"/>
              </w:rPr>
            </w:pPr>
            <w:r>
              <w:rPr>
                <w:rFonts w:hint="eastAsia" w:ascii="Times New Roman" w:hAnsi="Times New Roman"/>
                <w:snapToGrid w:val="0"/>
                <w:color w:val="000000"/>
                <w:spacing w:val="-2"/>
                <w:kern w:val="0"/>
                <w:szCs w:val="21"/>
              </w:rPr>
              <w:t>降水</w:t>
            </w:r>
          </w:p>
        </w:tc>
        <w:tc>
          <w:tcPr>
            <w:tcW w:w="17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Times New Roman"/>
                <w:snapToGrid w:val="0"/>
                <w:color w:val="000000"/>
                <w:spacing w:val="-2"/>
                <w:kern w:val="0"/>
                <w:szCs w:val="21"/>
              </w:rPr>
            </w:pPr>
          </w:p>
        </w:tc>
        <w:tc>
          <w:tcPr>
            <w:tcW w:w="17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Times New Roman"/>
                <w:snapToGrid w:val="0"/>
                <w:color w:val="000000"/>
                <w:spacing w:val="-2"/>
                <w:kern w:val="0"/>
                <w:szCs w:val="21"/>
              </w:rPr>
            </w:pPr>
          </w:p>
        </w:tc>
        <w:tc>
          <w:tcPr>
            <w:tcW w:w="17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Times New Roman"/>
                <w:snapToGrid w:val="0"/>
                <w:color w:val="000000"/>
                <w:spacing w:val="-2"/>
                <w:kern w:val="0"/>
                <w:szCs w:val="21"/>
              </w:rPr>
            </w:pPr>
          </w:p>
        </w:tc>
        <w:tc>
          <w:tcPr>
            <w:tcW w:w="828" w:type="dxa"/>
            <w:tcBorders>
              <w:top w:val="single" w:color="auto" w:sz="4" w:space="0"/>
              <w:left w:val="single" w:color="auto" w:sz="4" w:space="0"/>
              <w:bottom w:val="single" w:color="auto" w:sz="4" w:space="0"/>
              <w:right w:val="single" w:color="auto" w:sz="8" w:space="0"/>
            </w:tcBorders>
            <w:noWrap w:val="0"/>
            <w:vAlign w:val="center"/>
          </w:tcPr>
          <w:p>
            <w:pPr>
              <w:spacing w:line="280" w:lineRule="exact"/>
              <w:jc w:val="center"/>
              <w:rPr>
                <w:rFonts w:ascii="Times New Roman"/>
                <w:snapToGrid w:val="0"/>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8" w:space="0"/>
              <w:bottom w:val="single" w:color="auto" w:sz="4" w:space="0"/>
              <w:right w:val="single" w:color="auto" w:sz="4" w:space="0"/>
            </w:tcBorders>
            <w:noWrap w:val="0"/>
            <w:vAlign w:val="center"/>
          </w:tcPr>
          <w:p>
            <w:pPr>
              <w:spacing w:line="280" w:lineRule="exact"/>
              <w:jc w:val="center"/>
              <w:rPr>
                <w:snapToGrid w:val="0"/>
                <w:color w:val="000000"/>
                <w:spacing w:val="-2"/>
                <w:kern w:val="0"/>
                <w:szCs w:val="21"/>
              </w:rPr>
            </w:pPr>
            <w:r>
              <w:rPr>
                <w:snapToGrid w:val="0"/>
                <w:color w:val="000000"/>
                <w:spacing w:val="-2"/>
                <w:kern w:val="0"/>
                <w:szCs w:val="21"/>
              </w:rPr>
              <w:t>7</w:t>
            </w:r>
          </w:p>
        </w:tc>
        <w:tc>
          <w:tcPr>
            <w:tcW w:w="219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rPr>
                <w:rFonts w:ascii="Times New Roman"/>
                <w:snapToGrid w:val="0"/>
                <w:color w:val="000000"/>
                <w:spacing w:val="-2"/>
                <w:kern w:val="0"/>
                <w:szCs w:val="21"/>
              </w:rPr>
            </w:pPr>
            <w:r>
              <w:rPr>
                <w:rFonts w:hint="eastAsia" w:ascii="Times New Roman" w:hAnsi="Times New Roman"/>
                <w:snapToGrid w:val="0"/>
                <w:color w:val="000000"/>
                <w:spacing w:val="-2"/>
                <w:kern w:val="0"/>
                <w:szCs w:val="21"/>
              </w:rPr>
              <w:t>其它分项工程</w:t>
            </w:r>
          </w:p>
        </w:tc>
        <w:tc>
          <w:tcPr>
            <w:tcW w:w="17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Times New Roman"/>
                <w:snapToGrid w:val="0"/>
                <w:color w:val="000000"/>
                <w:spacing w:val="-2"/>
                <w:kern w:val="0"/>
                <w:szCs w:val="21"/>
              </w:rPr>
            </w:pPr>
          </w:p>
        </w:tc>
        <w:tc>
          <w:tcPr>
            <w:tcW w:w="17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Times New Roman"/>
                <w:snapToGrid w:val="0"/>
                <w:color w:val="000000"/>
                <w:spacing w:val="-2"/>
                <w:kern w:val="0"/>
                <w:szCs w:val="21"/>
              </w:rPr>
            </w:pPr>
          </w:p>
        </w:tc>
        <w:tc>
          <w:tcPr>
            <w:tcW w:w="17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Times New Roman"/>
                <w:snapToGrid w:val="0"/>
                <w:color w:val="000000"/>
                <w:spacing w:val="-2"/>
                <w:kern w:val="0"/>
                <w:szCs w:val="21"/>
              </w:rPr>
            </w:pPr>
          </w:p>
        </w:tc>
        <w:tc>
          <w:tcPr>
            <w:tcW w:w="828" w:type="dxa"/>
            <w:tcBorders>
              <w:top w:val="single" w:color="auto" w:sz="4" w:space="0"/>
              <w:left w:val="single" w:color="auto" w:sz="4" w:space="0"/>
              <w:bottom w:val="single" w:color="auto" w:sz="4" w:space="0"/>
              <w:right w:val="single" w:color="auto" w:sz="8" w:space="0"/>
            </w:tcBorders>
            <w:noWrap w:val="0"/>
            <w:vAlign w:val="center"/>
          </w:tcPr>
          <w:p>
            <w:pPr>
              <w:spacing w:line="280" w:lineRule="exact"/>
              <w:jc w:val="center"/>
              <w:rPr>
                <w:rFonts w:ascii="Times New Roman"/>
                <w:snapToGrid w:val="0"/>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8" w:space="0"/>
              <w:bottom w:val="single" w:color="auto" w:sz="4" w:space="0"/>
              <w:right w:val="single" w:color="auto" w:sz="4" w:space="0"/>
            </w:tcBorders>
            <w:noWrap w:val="0"/>
            <w:vAlign w:val="center"/>
          </w:tcPr>
          <w:p>
            <w:pPr>
              <w:spacing w:line="280" w:lineRule="exact"/>
              <w:jc w:val="center"/>
              <w:rPr>
                <w:snapToGrid w:val="0"/>
                <w:color w:val="000000"/>
                <w:spacing w:val="-2"/>
                <w:kern w:val="0"/>
                <w:szCs w:val="21"/>
              </w:rPr>
            </w:pPr>
            <w:r>
              <w:rPr>
                <w:snapToGrid w:val="0"/>
                <w:color w:val="000000"/>
                <w:spacing w:val="-2"/>
                <w:kern w:val="0"/>
                <w:szCs w:val="21"/>
              </w:rPr>
              <w:t>8</w:t>
            </w:r>
          </w:p>
        </w:tc>
        <w:tc>
          <w:tcPr>
            <w:tcW w:w="219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rPr>
                <w:rFonts w:ascii="Times New Roman"/>
                <w:snapToGrid w:val="0"/>
                <w:color w:val="000000"/>
                <w:spacing w:val="-2"/>
                <w:kern w:val="0"/>
                <w:szCs w:val="21"/>
              </w:rPr>
            </w:pPr>
            <w:r>
              <w:rPr>
                <w:rFonts w:hint="eastAsia" w:ascii="Times New Roman" w:hAnsi="Times New Roman"/>
                <w:snapToGrid w:val="0"/>
                <w:color w:val="000000"/>
                <w:spacing w:val="-2"/>
                <w:kern w:val="0"/>
                <w:szCs w:val="21"/>
              </w:rPr>
              <w:t>换撑及拆撑</w:t>
            </w:r>
          </w:p>
        </w:tc>
        <w:tc>
          <w:tcPr>
            <w:tcW w:w="5100" w:type="dxa"/>
            <w:gridSpan w:val="3"/>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Times New Roman"/>
                <w:snapToGrid w:val="0"/>
                <w:color w:val="000000"/>
                <w:spacing w:val="-2"/>
                <w:kern w:val="0"/>
                <w:szCs w:val="21"/>
              </w:rPr>
            </w:pPr>
            <w:r>
              <w:rPr>
                <w:rFonts w:hint="eastAsia" w:ascii="Times New Roman" w:hAnsi="Times New Roman"/>
                <w:snapToGrid w:val="0"/>
                <w:color w:val="000000"/>
                <w:spacing w:val="-2"/>
                <w:kern w:val="0"/>
                <w:szCs w:val="21"/>
              </w:rPr>
              <w:t>（实施单位）</w:t>
            </w:r>
          </w:p>
        </w:tc>
        <w:tc>
          <w:tcPr>
            <w:tcW w:w="828" w:type="dxa"/>
            <w:tcBorders>
              <w:top w:val="single" w:color="auto" w:sz="4" w:space="0"/>
              <w:left w:val="single" w:color="auto" w:sz="4" w:space="0"/>
              <w:bottom w:val="single" w:color="auto" w:sz="4" w:space="0"/>
              <w:right w:val="single" w:color="auto" w:sz="8" w:space="0"/>
            </w:tcBorders>
            <w:noWrap w:val="0"/>
            <w:vAlign w:val="center"/>
          </w:tcPr>
          <w:p>
            <w:pPr>
              <w:spacing w:line="280" w:lineRule="exact"/>
              <w:jc w:val="center"/>
              <w:rPr>
                <w:rFonts w:ascii="Times New Roman"/>
                <w:snapToGrid w:val="0"/>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8" w:space="0"/>
              <w:bottom w:val="single" w:color="auto" w:sz="4" w:space="0"/>
              <w:right w:val="single" w:color="auto" w:sz="4" w:space="0"/>
            </w:tcBorders>
            <w:noWrap w:val="0"/>
            <w:vAlign w:val="center"/>
          </w:tcPr>
          <w:p>
            <w:pPr>
              <w:spacing w:line="280" w:lineRule="exact"/>
              <w:jc w:val="center"/>
              <w:rPr>
                <w:snapToGrid w:val="0"/>
                <w:color w:val="000000"/>
                <w:spacing w:val="-2"/>
                <w:kern w:val="0"/>
                <w:szCs w:val="21"/>
              </w:rPr>
            </w:pPr>
            <w:r>
              <w:rPr>
                <w:snapToGrid w:val="0"/>
                <w:color w:val="000000"/>
                <w:spacing w:val="-2"/>
                <w:kern w:val="0"/>
                <w:szCs w:val="21"/>
              </w:rPr>
              <w:t>9</w:t>
            </w:r>
          </w:p>
        </w:tc>
        <w:tc>
          <w:tcPr>
            <w:tcW w:w="219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rPr>
                <w:rFonts w:ascii="Times New Roman"/>
                <w:snapToGrid w:val="0"/>
                <w:color w:val="000000"/>
                <w:spacing w:val="-2"/>
                <w:kern w:val="0"/>
                <w:szCs w:val="21"/>
              </w:rPr>
            </w:pPr>
            <w:r>
              <w:rPr>
                <w:rFonts w:hint="eastAsia" w:ascii="Times New Roman" w:hAnsi="Times New Roman"/>
                <w:snapToGrid w:val="0"/>
                <w:color w:val="000000"/>
                <w:spacing w:val="-2"/>
                <w:kern w:val="0"/>
                <w:szCs w:val="21"/>
              </w:rPr>
              <w:t>基坑监测</w:t>
            </w:r>
          </w:p>
        </w:tc>
        <w:tc>
          <w:tcPr>
            <w:tcW w:w="5100" w:type="dxa"/>
            <w:gridSpan w:val="3"/>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color w:val="000000"/>
                <w:spacing w:val="-2"/>
                <w:szCs w:val="21"/>
              </w:rPr>
            </w:pPr>
            <w:r>
              <w:rPr>
                <w:rFonts w:hint="eastAsia" w:ascii="Times New Roman" w:hAnsi="Times New Roman"/>
                <w:snapToGrid w:val="0"/>
                <w:color w:val="000000"/>
                <w:spacing w:val="-2"/>
                <w:kern w:val="0"/>
                <w:szCs w:val="21"/>
              </w:rPr>
              <w:t>（实施单位）</w:t>
            </w:r>
          </w:p>
        </w:tc>
        <w:tc>
          <w:tcPr>
            <w:tcW w:w="828" w:type="dxa"/>
            <w:tcBorders>
              <w:top w:val="single" w:color="auto" w:sz="4" w:space="0"/>
              <w:left w:val="single" w:color="auto" w:sz="4" w:space="0"/>
              <w:bottom w:val="single" w:color="auto" w:sz="4" w:space="0"/>
              <w:right w:val="single" w:color="auto" w:sz="8" w:space="0"/>
            </w:tcBorders>
            <w:noWrap w:val="0"/>
            <w:vAlign w:val="center"/>
          </w:tcPr>
          <w:p>
            <w:pPr>
              <w:spacing w:line="280" w:lineRule="exact"/>
              <w:jc w:val="center"/>
              <w:rPr>
                <w:rFonts w:ascii="Times New Roman"/>
                <w:snapToGrid w:val="0"/>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8" w:space="0"/>
              <w:bottom w:val="single" w:color="auto" w:sz="8" w:space="0"/>
              <w:right w:val="single" w:color="auto" w:sz="4" w:space="0"/>
            </w:tcBorders>
            <w:noWrap w:val="0"/>
            <w:vAlign w:val="center"/>
          </w:tcPr>
          <w:p>
            <w:pPr>
              <w:spacing w:line="280" w:lineRule="exact"/>
              <w:jc w:val="center"/>
              <w:rPr>
                <w:snapToGrid w:val="0"/>
                <w:color w:val="000000"/>
                <w:spacing w:val="-2"/>
                <w:kern w:val="0"/>
                <w:szCs w:val="21"/>
              </w:rPr>
            </w:pPr>
            <w:r>
              <w:rPr>
                <w:snapToGrid w:val="0"/>
                <w:color w:val="000000"/>
                <w:spacing w:val="-2"/>
                <w:kern w:val="0"/>
                <w:szCs w:val="21"/>
              </w:rPr>
              <w:t>10</w:t>
            </w:r>
          </w:p>
        </w:tc>
        <w:tc>
          <w:tcPr>
            <w:tcW w:w="2190" w:type="dxa"/>
            <w:tcBorders>
              <w:top w:val="single" w:color="auto" w:sz="4" w:space="0"/>
              <w:left w:val="single" w:color="auto" w:sz="4" w:space="0"/>
              <w:bottom w:val="single" w:color="auto" w:sz="8" w:space="0"/>
              <w:right w:val="single" w:color="auto" w:sz="4" w:space="0"/>
            </w:tcBorders>
            <w:noWrap w:val="0"/>
            <w:vAlign w:val="center"/>
          </w:tcPr>
          <w:p>
            <w:pPr>
              <w:spacing w:line="280" w:lineRule="exact"/>
              <w:rPr>
                <w:rFonts w:ascii="Times New Roman"/>
                <w:snapToGrid w:val="0"/>
                <w:color w:val="000000"/>
                <w:spacing w:val="-2"/>
                <w:kern w:val="0"/>
                <w:szCs w:val="21"/>
              </w:rPr>
            </w:pPr>
            <w:r>
              <w:rPr>
                <w:rFonts w:hint="eastAsia" w:ascii="Times New Roman" w:hAnsi="Times New Roman"/>
                <w:snapToGrid w:val="0"/>
                <w:color w:val="000000"/>
                <w:spacing w:val="-2"/>
                <w:kern w:val="0"/>
                <w:szCs w:val="21"/>
              </w:rPr>
              <w:t>支护桩基检测</w:t>
            </w:r>
          </w:p>
        </w:tc>
        <w:tc>
          <w:tcPr>
            <w:tcW w:w="5100" w:type="dxa"/>
            <w:gridSpan w:val="3"/>
            <w:tcBorders>
              <w:top w:val="single" w:color="auto" w:sz="4" w:space="0"/>
              <w:left w:val="single" w:color="auto" w:sz="4" w:space="0"/>
              <w:bottom w:val="single" w:color="auto" w:sz="8" w:space="0"/>
              <w:right w:val="single" w:color="auto" w:sz="4" w:space="0"/>
            </w:tcBorders>
            <w:noWrap w:val="0"/>
            <w:vAlign w:val="center"/>
          </w:tcPr>
          <w:p>
            <w:pPr>
              <w:spacing w:line="280" w:lineRule="exact"/>
              <w:jc w:val="center"/>
              <w:rPr>
                <w:color w:val="000000"/>
                <w:spacing w:val="-2"/>
                <w:szCs w:val="21"/>
              </w:rPr>
            </w:pPr>
            <w:r>
              <w:rPr>
                <w:rFonts w:hint="eastAsia" w:ascii="Times New Roman" w:hAnsi="Times New Roman"/>
                <w:snapToGrid w:val="0"/>
                <w:color w:val="000000"/>
                <w:spacing w:val="-2"/>
                <w:kern w:val="0"/>
                <w:szCs w:val="21"/>
              </w:rPr>
              <w:t>（实施单位）</w:t>
            </w:r>
          </w:p>
        </w:tc>
        <w:tc>
          <w:tcPr>
            <w:tcW w:w="828" w:type="dxa"/>
            <w:tcBorders>
              <w:top w:val="single" w:color="auto" w:sz="4" w:space="0"/>
              <w:left w:val="single" w:color="auto" w:sz="4" w:space="0"/>
              <w:bottom w:val="single" w:color="auto" w:sz="8" w:space="0"/>
              <w:right w:val="single" w:color="auto" w:sz="8" w:space="0"/>
            </w:tcBorders>
            <w:noWrap w:val="0"/>
            <w:vAlign w:val="center"/>
          </w:tcPr>
          <w:p>
            <w:pPr>
              <w:spacing w:line="280" w:lineRule="exact"/>
              <w:jc w:val="center"/>
              <w:rPr>
                <w:rFonts w:ascii="Times New Roman"/>
                <w:snapToGrid w:val="0"/>
                <w:color w:val="000000"/>
                <w:spacing w:val="-2"/>
                <w:kern w:val="0"/>
                <w:szCs w:val="21"/>
              </w:rPr>
            </w:pPr>
          </w:p>
        </w:tc>
      </w:tr>
    </w:tbl>
    <w:p>
      <w:pPr>
        <w:spacing w:line="360" w:lineRule="auto"/>
        <w:rPr>
          <w:rFonts w:hint="eastAsia"/>
          <w:snapToGrid w:val="0"/>
          <w:color w:val="000000"/>
          <w:spacing w:val="-2"/>
          <w:kern w:val="0"/>
          <w:szCs w:val="21"/>
        </w:rPr>
      </w:pPr>
      <w:r>
        <w:rPr>
          <w:rFonts w:hint="eastAsia" w:ascii="Times New Roman" w:hAnsi="Times New Roman"/>
          <w:snapToGrid w:val="0"/>
          <w:color w:val="000000"/>
          <w:spacing w:val="-2"/>
          <w:kern w:val="0"/>
          <w:szCs w:val="21"/>
        </w:rPr>
        <w:t>（注：表格应根据工程实际情况进行调整。）</w:t>
      </w:r>
    </w:p>
    <w:p>
      <w:pPr>
        <w:spacing w:before="240" w:beforeLines="100" w:after="240" w:afterLines="100" w:line="420" w:lineRule="exact"/>
        <w:rPr>
          <w:b/>
          <w:color w:val="000000"/>
          <w:spacing w:val="-2"/>
          <w:sz w:val="28"/>
          <w:szCs w:val="28"/>
        </w:rPr>
      </w:pPr>
      <w:r>
        <w:rPr>
          <w:b/>
          <w:color w:val="000000"/>
          <w:spacing w:val="-2"/>
          <w:sz w:val="28"/>
          <w:szCs w:val="28"/>
        </w:rPr>
        <w:t xml:space="preserve">2 </w:t>
      </w:r>
      <w:r>
        <w:rPr>
          <w:rFonts w:hint="eastAsia"/>
          <w:b/>
          <w:color w:val="000000"/>
          <w:spacing w:val="-2"/>
          <w:sz w:val="28"/>
          <w:szCs w:val="28"/>
        </w:rPr>
        <w:t>本工程深基坑支护工程的特点、难点</w:t>
      </w:r>
    </w:p>
    <w:p>
      <w:pPr>
        <w:pStyle w:val="4"/>
        <w:adjustRightInd w:val="0"/>
        <w:snapToGrid w:val="0"/>
        <w:spacing w:before="0" w:after="0" w:line="460" w:lineRule="exact"/>
        <w:rPr>
          <w:snapToGrid w:val="0"/>
          <w:color w:val="000000"/>
          <w:spacing w:val="-2"/>
          <w:sz w:val="24"/>
          <w:szCs w:val="24"/>
          <w:u w:val="single"/>
        </w:rPr>
      </w:pPr>
      <w:r>
        <w:rPr>
          <w:snapToGrid w:val="0"/>
          <w:color w:val="000000"/>
          <w:spacing w:val="-2"/>
          <w:sz w:val="24"/>
          <w:szCs w:val="24"/>
        </w:rPr>
        <w:t>2.1</w:t>
      </w:r>
      <w:r>
        <w:rPr>
          <w:rFonts w:hint="eastAsia"/>
          <w:snapToGrid w:val="0"/>
          <w:color w:val="000000"/>
          <w:spacing w:val="-2"/>
          <w:sz w:val="24"/>
          <w:szCs w:val="24"/>
        </w:rPr>
        <w:t>本工程深基坑支护工程设计、施工特点、难点：</w:t>
      </w:r>
      <w:r>
        <w:rPr>
          <w:b w:val="0"/>
          <w:snapToGrid w:val="0"/>
          <w:color w:val="000000"/>
          <w:spacing w:val="-2"/>
          <w:sz w:val="24"/>
          <w:szCs w:val="24"/>
          <w:u w:val="single"/>
        </w:rPr>
        <w:t xml:space="preserve">                             </w:t>
      </w:r>
      <w:r>
        <w:rPr>
          <w:rFonts w:hint="eastAsia"/>
          <w:snapToGrid w:val="0"/>
          <w:color w:val="000000"/>
          <w:spacing w:val="-2"/>
          <w:sz w:val="24"/>
          <w:szCs w:val="24"/>
        </w:rPr>
        <w:t>。</w:t>
      </w:r>
    </w:p>
    <w:p>
      <w:pPr>
        <w:pStyle w:val="4"/>
        <w:adjustRightInd w:val="0"/>
        <w:snapToGrid w:val="0"/>
        <w:spacing w:before="0" w:after="0" w:line="460" w:lineRule="exact"/>
        <w:rPr>
          <w:snapToGrid w:val="0"/>
          <w:color w:val="000000"/>
          <w:spacing w:val="-2"/>
          <w:sz w:val="24"/>
          <w:szCs w:val="24"/>
        </w:rPr>
      </w:pPr>
      <w:r>
        <w:rPr>
          <w:snapToGrid w:val="0"/>
          <w:color w:val="000000"/>
          <w:spacing w:val="-2"/>
          <w:sz w:val="24"/>
          <w:szCs w:val="24"/>
        </w:rPr>
        <w:t>2.2</w:t>
      </w:r>
      <w:r>
        <w:rPr>
          <w:rFonts w:hint="eastAsia"/>
          <w:snapToGrid w:val="0"/>
          <w:color w:val="000000"/>
          <w:spacing w:val="-2"/>
          <w:sz w:val="24"/>
          <w:szCs w:val="24"/>
        </w:rPr>
        <w:t>本工程深基坑支护工程监理质量控制的重点：</w:t>
      </w:r>
      <w:r>
        <w:rPr>
          <w:b w:val="0"/>
          <w:snapToGrid w:val="0"/>
          <w:color w:val="000000"/>
          <w:spacing w:val="-2"/>
          <w:sz w:val="24"/>
          <w:szCs w:val="24"/>
          <w:u w:val="single"/>
        </w:rPr>
        <w:t xml:space="preserve">                              </w:t>
      </w:r>
      <w:r>
        <w:rPr>
          <w:rFonts w:hint="eastAsia"/>
          <w:snapToGrid w:val="0"/>
          <w:color w:val="000000"/>
          <w:spacing w:val="-2"/>
          <w:sz w:val="24"/>
          <w:szCs w:val="24"/>
        </w:rPr>
        <w:t>。</w:t>
      </w:r>
    </w:p>
    <w:p>
      <w:pPr>
        <w:spacing w:before="240" w:beforeLines="100" w:after="240" w:afterLines="100" w:line="420" w:lineRule="exact"/>
        <w:rPr>
          <w:b/>
          <w:color w:val="000000"/>
          <w:spacing w:val="-2"/>
          <w:sz w:val="28"/>
          <w:szCs w:val="28"/>
        </w:rPr>
      </w:pPr>
      <w:r>
        <w:rPr>
          <w:b/>
          <w:color w:val="000000"/>
          <w:spacing w:val="-2"/>
          <w:sz w:val="28"/>
          <w:szCs w:val="28"/>
        </w:rPr>
        <w:t xml:space="preserve">3 </w:t>
      </w:r>
      <w:r>
        <w:rPr>
          <w:rFonts w:hint="eastAsia"/>
          <w:b/>
          <w:color w:val="000000"/>
          <w:spacing w:val="-2"/>
          <w:sz w:val="28"/>
          <w:szCs w:val="28"/>
        </w:rPr>
        <w:t>深基坑支护工程监理工作依据</w:t>
      </w:r>
    </w:p>
    <w:p>
      <w:pPr>
        <w:tabs>
          <w:tab w:val="left" w:pos="426"/>
        </w:tabs>
        <w:spacing w:line="460" w:lineRule="exact"/>
        <w:rPr>
          <w:rFonts w:hAnsi="Times New Roman"/>
          <w:b/>
          <w:snapToGrid w:val="0"/>
          <w:color w:val="000000"/>
          <w:spacing w:val="-2"/>
          <w:kern w:val="0"/>
          <w:sz w:val="24"/>
        </w:rPr>
      </w:pPr>
      <w:r>
        <w:rPr>
          <w:b/>
          <w:snapToGrid w:val="0"/>
          <w:color w:val="000000"/>
          <w:spacing w:val="-2"/>
          <w:kern w:val="0"/>
          <w:sz w:val="24"/>
        </w:rPr>
        <w:t xml:space="preserve">3.1 </w:t>
      </w:r>
      <w:r>
        <w:rPr>
          <w:rFonts w:hint="eastAsia" w:hAnsi="Times New Roman"/>
          <w:b/>
          <w:snapToGrid w:val="0"/>
          <w:color w:val="000000"/>
          <w:spacing w:val="-2"/>
          <w:kern w:val="0"/>
          <w:sz w:val="24"/>
        </w:rPr>
        <w:t>经审查合格的设计文件。</w:t>
      </w:r>
    </w:p>
    <w:p>
      <w:pPr>
        <w:spacing w:line="460" w:lineRule="exact"/>
        <w:jc w:val="left"/>
        <w:rPr>
          <w:rFonts w:hAnsi="Times New Roman"/>
          <w:b/>
          <w:snapToGrid w:val="0"/>
          <w:color w:val="000000"/>
          <w:spacing w:val="-2"/>
          <w:kern w:val="0"/>
          <w:sz w:val="24"/>
        </w:rPr>
      </w:pPr>
      <w:r>
        <w:rPr>
          <w:b/>
          <w:snapToGrid w:val="0"/>
          <w:color w:val="000000"/>
          <w:spacing w:val="-2"/>
          <w:kern w:val="0"/>
          <w:sz w:val="24"/>
        </w:rPr>
        <w:t xml:space="preserve">3.2 </w:t>
      </w:r>
      <w:r>
        <w:rPr>
          <w:rFonts w:hint="eastAsia" w:hAnsi="Times New Roman"/>
          <w:b/>
          <w:snapToGrid w:val="0"/>
          <w:color w:val="000000"/>
          <w:spacing w:val="-2"/>
          <w:kern w:val="0"/>
          <w:sz w:val="24"/>
        </w:rPr>
        <w:t>本工程施工合同、协议等资料。</w:t>
      </w:r>
    </w:p>
    <w:p>
      <w:pPr>
        <w:spacing w:line="460" w:lineRule="exact"/>
        <w:jc w:val="left"/>
        <w:rPr>
          <w:rFonts w:hAnsi="Times New Roman"/>
          <w:b/>
          <w:snapToGrid w:val="0"/>
          <w:color w:val="000000"/>
          <w:spacing w:val="-2"/>
          <w:kern w:val="0"/>
          <w:sz w:val="24"/>
        </w:rPr>
      </w:pPr>
      <w:r>
        <w:rPr>
          <w:rFonts w:hAnsi="Times New Roman"/>
          <w:b/>
          <w:snapToGrid w:val="0"/>
          <w:color w:val="000000"/>
          <w:spacing w:val="-2"/>
          <w:kern w:val="0"/>
          <w:sz w:val="24"/>
        </w:rPr>
        <w:t>3.3</w:t>
      </w:r>
      <w:r>
        <w:rPr>
          <w:b/>
          <w:snapToGrid w:val="0"/>
          <w:color w:val="000000"/>
          <w:spacing w:val="-2"/>
          <w:kern w:val="0"/>
          <w:sz w:val="24"/>
        </w:rPr>
        <w:t xml:space="preserve"> </w:t>
      </w:r>
      <w:r>
        <w:rPr>
          <w:rFonts w:hint="eastAsia" w:hAnsi="Times New Roman"/>
          <w:b/>
          <w:snapToGrid w:val="0"/>
          <w:color w:val="000000"/>
          <w:spacing w:val="-2"/>
          <w:kern w:val="0"/>
          <w:sz w:val="24"/>
        </w:rPr>
        <w:t>本工程《监理规划》。</w:t>
      </w:r>
    </w:p>
    <w:p>
      <w:pPr>
        <w:spacing w:line="460" w:lineRule="exact"/>
        <w:jc w:val="left"/>
        <w:rPr>
          <w:rFonts w:hAnsi="Times New Roman"/>
          <w:b/>
          <w:snapToGrid w:val="0"/>
          <w:color w:val="000000"/>
          <w:spacing w:val="-2"/>
          <w:kern w:val="0"/>
          <w:sz w:val="24"/>
        </w:rPr>
      </w:pPr>
      <w:r>
        <w:rPr>
          <w:rFonts w:hAnsi="Times New Roman"/>
          <w:b/>
          <w:snapToGrid w:val="0"/>
          <w:color w:val="000000"/>
          <w:spacing w:val="-2"/>
          <w:kern w:val="0"/>
          <w:sz w:val="24"/>
        </w:rPr>
        <w:t xml:space="preserve">3.4 </w:t>
      </w:r>
      <w:r>
        <w:rPr>
          <w:rFonts w:hint="eastAsia" w:hAnsi="Times New Roman"/>
          <w:b/>
          <w:snapToGrid w:val="0"/>
          <w:color w:val="000000"/>
          <w:spacing w:val="-2"/>
          <w:kern w:val="0"/>
          <w:sz w:val="24"/>
        </w:rPr>
        <w:t>经批准的工程施工组织设计、专项施工方案。</w:t>
      </w:r>
    </w:p>
    <w:p>
      <w:pPr>
        <w:spacing w:line="460" w:lineRule="exact"/>
        <w:rPr>
          <w:rFonts w:ascii="Times New Roman" w:hAnsi="Times New Roman"/>
          <w:b/>
          <w:snapToGrid w:val="0"/>
          <w:color w:val="000000"/>
          <w:spacing w:val="-2"/>
          <w:kern w:val="0"/>
          <w:sz w:val="24"/>
        </w:rPr>
      </w:pPr>
      <w:r>
        <w:rPr>
          <w:rFonts w:hAnsi="Times New Roman"/>
          <w:b/>
          <w:snapToGrid w:val="0"/>
          <w:color w:val="000000"/>
          <w:spacing w:val="-2"/>
          <w:kern w:val="0"/>
          <w:sz w:val="24"/>
        </w:rPr>
        <w:t>3.5</w:t>
      </w:r>
      <w:r>
        <w:rPr>
          <w:b/>
          <w:snapToGrid w:val="0"/>
          <w:color w:val="000000"/>
          <w:spacing w:val="-2"/>
          <w:kern w:val="0"/>
          <w:sz w:val="24"/>
        </w:rPr>
        <w:t xml:space="preserve"> </w:t>
      </w:r>
      <w:r>
        <w:rPr>
          <w:rFonts w:hint="eastAsia" w:hAnsi="Times New Roman"/>
          <w:b/>
          <w:snapToGrid w:val="0"/>
          <w:color w:val="000000"/>
          <w:spacing w:val="-2"/>
          <w:kern w:val="0"/>
          <w:sz w:val="24"/>
        </w:rPr>
        <w:t>本工程适用的深基坑</w:t>
      </w:r>
      <w:r>
        <w:rPr>
          <w:rFonts w:hint="eastAsia" w:ascii="Times New Roman" w:hAnsi="Times New Roman"/>
          <w:b/>
          <w:snapToGrid w:val="0"/>
          <w:color w:val="000000"/>
          <w:spacing w:val="-2"/>
          <w:kern w:val="0"/>
          <w:sz w:val="24"/>
        </w:rPr>
        <w:t>支护工程相关现行法律法规、技术标准规范及图集。</w:t>
      </w:r>
    </w:p>
    <w:p>
      <w:pPr>
        <w:tabs>
          <w:tab w:val="left" w:pos="426"/>
        </w:tabs>
        <w:spacing w:line="276" w:lineRule="auto"/>
        <w:ind w:left="360" w:right="38"/>
        <w:jc w:val="right"/>
        <w:rPr>
          <w:rFonts w:hint="eastAsia" w:ascii="Times New Roman"/>
          <w:snapToGrid w:val="0"/>
          <w:color w:val="000000"/>
          <w:spacing w:val="-2"/>
          <w:kern w:val="0"/>
        </w:rPr>
      </w:pPr>
      <w:r>
        <w:rPr>
          <w:rFonts w:hint="eastAsia" w:ascii="Times New Roman" w:hAnsi="Times New Roman" w:eastAsia="黑体"/>
          <w:snapToGrid w:val="0"/>
          <w:color w:val="000000"/>
          <w:spacing w:val="-2"/>
          <w:kern w:val="0"/>
          <w:sz w:val="24"/>
        </w:rPr>
        <w:t xml:space="preserve">  深基坑支护工程相关现行法律法规、技术标准规范及图集一览表</w:t>
      </w:r>
      <w:r>
        <w:rPr>
          <w:rFonts w:hint="eastAsia" w:ascii="Times New Roman" w:hAnsi="Times New Roman" w:eastAsia="黑体"/>
          <w:snapToGrid w:val="0"/>
          <w:color w:val="000000"/>
          <w:spacing w:val="-2"/>
          <w:kern w:val="0"/>
        </w:rPr>
        <w:t xml:space="preserve">   </w:t>
      </w:r>
      <w:r>
        <w:rPr>
          <w:rFonts w:hint="eastAsia" w:ascii="Times New Roman" w:hAnsi="Times New Roman"/>
          <w:snapToGrid w:val="0"/>
          <w:color w:val="000000"/>
          <w:spacing w:val="-2"/>
          <w:kern w:val="0"/>
        </w:rPr>
        <w:t xml:space="preserve">    表</w:t>
      </w:r>
      <w:r>
        <w:rPr>
          <w:snapToGrid w:val="0"/>
          <w:color w:val="000000"/>
          <w:spacing w:val="-2"/>
          <w:kern w:val="0"/>
        </w:rPr>
        <w:t>3.1</w:t>
      </w: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3"/>
        <w:gridCol w:w="5958"/>
        <w:gridCol w:w="19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923" w:type="dxa"/>
            <w:tcBorders>
              <w:top w:val="single" w:color="auto" w:sz="8" w:space="0"/>
              <w:left w:val="single" w:color="auto" w:sz="8" w:space="0"/>
              <w:bottom w:val="single" w:color="auto" w:sz="4" w:space="0"/>
              <w:right w:val="single" w:color="auto" w:sz="4" w:space="0"/>
            </w:tcBorders>
            <w:noWrap w:val="0"/>
            <w:vAlign w:val="center"/>
          </w:tcPr>
          <w:p>
            <w:pPr>
              <w:jc w:val="center"/>
              <w:rPr>
                <w:rFonts w:ascii="Times New Roman" w:eastAsia="黑体"/>
                <w:snapToGrid w:val="0"/>
                <w:color w:val="000000"/>
                <w:spacing w:val="-2"/>
                <w:kern w:val="0"/>
              </w:rPr>
            </w:pPr>
            <w:r>
              <w:rPr>
                <w:rFonts w:hint="eastAsia" w:ascii="Times New Roman" w:eastAsia="黑体"/>
                <w:snapToGrid w:val="0"/>
                <w:color w:val="000000"/>
                <w:spacing w:val="-2"/>
                <w:kern w:val="0"/>
              </w:rPr>
              <w:t>序号</w:t>
            </w:r>
          </w:p>
        </w:tc>
        <w:tc>
          <w:tcPr>
            <w:tcW w:w="5958" w:type="dxa"/>
            <w:tcBorders>
              <w:top w:val="single" w:color="auto" w:sz="8" w:space="0"/>
              <w:left w:val="single" w:color="auto" w:sz="4" w:space="0"/>
              <w:bottom w:val="single" w:color="auto" w:sz="4" w:space="0"/>
              <w:right w:val="single" w:color="auto" w:sz="4" w:space="0"/>
            </w:tcBorders>
            <w:noWrap w:val="0"/>
            <w:vAlign w:val="center"/>
          </w:tcPr>
          <w:p>
            <w:pPr>
              <w:jc w:val="center"/>
              <w:rPr>
                <w:rFonts w:ascii="Times New Roman" w:eastAsia="黑体"/>
                <w:snapToGrid w:val="0"/>
                <w:color w:val="000000"/>
                <w:spacing w:val="-2"/>
                <w:kern w:val="0"/>
              </w:rPr>
            </w:pPr>
            <w:r>
              <w:rPr>
                <w:rFonts w:hint="eastAsia" w:ascii="Times New Roman" w:eastAsia="黑体"/>
                <w:snapToGrid w:val="0"/>
                <w:color w:val="000000"/>
                <w:spacing w:val="-2"/>
                <w:kern w:val="0"/>
              </w:rPr>
              <w:t>名        称</w:t>
            </w:r>
          </w:p>
        </w:tc>
        <w:tc>
          <w:tcPr>
            <w:tcW w:w="1909" w:type="dxa"/>
            <w:tcBorders>
              <w:top w:val="single" w:color="auto" w:sz="8" w:space="0"/>
              <w:left w:val="single" w:color="auto" w:sz="4" w:space="0"/>
              <w:bottom w:val="single" w:color="auto" w:sz="4" w:space="0"/>
              <w:right w:val="single" w:color="auto" w:sz="8" w:space="0"/>
            </w:tcBorders>
            <w:noWrap w:val="0"/>
            <w:vAlign w:val="center"/>
          </w:tcPr>
          <w:p>
            <w:pPr>
              <w:jc w:val="center"/>
              <w:rPr>
                <w:rFonts w:ascii="Times New Roman" w:eastAsia="黑体"/>
                <w:snapToGrid w:val="0"/>
                <w:color w:val="000000"/>
                <w:spacing w:val="-2"/>
                <w:kern w:val="0"/>
              </w:rPr>
            </w:pPr>
            <w:r>
              <w:rPr>
                <w:rFonts w:hint="eastAsia" w:ascii="Times New Roman" w:eastAsia="黑体"/>
                <w:snapToGrid w:val="0"/>
                <w:color w:val="000000"/>
                <w:spacing w:val="-2"/>
                <w:kern w:val="0"/>
              </w:rPr>
              <w:t>编号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3" w:type="dxa"/>
            <w:tcBorders>
              <w:top w:val="single" w:color="auto" w:sz="4" w:space="0"/>
              <w:left w:val="single" w:color="auto" w:sz="8" w:space="0"/>
              <w:bottom w:val="single" w:color="auto" w:sz="4" w:space="0"/>
              <w:right w:val="single" w:color="auto" w:sz="4" w:space="0"/>
            </w:tcBorders>
            <w:noWrap w:val="0"/>
            <w:vAlign w:val="center"/>
          </w:tcPr>
          <w:p>
            <w:pPr>
              <w:jc w:val="center"/>
              <w:rPr>
                <w:snapToGrid w:val="0"/>
                <w:color w:val="000000"/>
                <w:spacing w:val="-2"/>
                <w:kern w:val="0"/>
              </w:rPr>
            </w:pPr>
          </w:p>
        </w:tc>
        <w:tc>
          <w:tcPr>
            <w:tcW w:w="5958" w:type="dxa"/>
            <w:tcBorders>
              <w:top w:val="single" w:color="auto" w:sz="4" w:space="0"/>
              <w:left w:val="single" w:color="auto" w:sz="4" w:space="0"/>
              <w:bottom w:val="single" w:color="auto" w:sz="4" w:space="0"/>
              <w:right w:val="single" w:color="auto" w:sz="4" w:space="0"/>
            </w:tcBorders>
            <w:noWrap w:val="0"/>
            <w:vAlign w:val="center"/>
          </w:tcPr>
          <w:p>
            <w:pPr>
              <w:jc w:val="center"/>
              <w:rPr>
                <w:snapToGrid w:val="0"/>
                <w:color w:val="000000"/>
                <w:spacing w:val="-2"/>
                <w:kern w:val="0"/>
              </w:rPr>
            </w:pPr>
          </w:p>
        </w:tc>
        <w:tc>
          <w:tcPr>
            <w:tcW w:w="1909" w:type="dxa"/>
            <w:tcBorders>
              <w:top w:val="single" w:color="auto" w:sz="4" w:space="0"/>
              <w:left w:val="single" w:color="auto" w:sz="4" w:space="0"/>
              <w:bottom w:val="single" w:color="auto" w:sz="4" w:space="0"/>
              <w:right w:val="single" w:color="auto" w:sz="8" w:space="0"/>
            </w:tcBorders>
            <w:noWrap w:val="0"/>
            <w:vAlign w:val="center"/>
          </w:tcPr>
          <w:p>
            <w:pPr>
              <w:jc w:val="center"/>
              <w:rPr>
                <w:snapToGrid w:val="0"/>
                <w:color w:val="000000"/>
                <w:spacing w:val="-2"/>
                <w:kern w:val="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3" w:type="dxa"/>
            <w:tcBorders>
              <w:top w:val="single" w:color="auto" w:sz="4" w:space="0"/>
              <w:left w:val="single" w:color="auto" w:sz="8" w:space="0"/>
              <w:bottom w:val="single" w:color="auto" w:sz="8" w:space="0"/>
              <w:right w:val="single" w:color="auto" w:sz="4" w:space="0"/>
            </w:tcBorders>
            <w:noWrap w:val="0"/>
            <w:vAlign w:val="center"/>
          </w:tcPr>
          <w:p>
            <w:pPr>
              <w:jc w:val="center"/>
              <w:rPr>
                <w:snapToGrid w:val="0"/>
                <w:color w:val="000000"/>
                <w:spacing w:val="-2"/>
                <w:kern w:val="0"/>
              </w:rPr>
            </w:pPr>
          </w:p>
        </w:tc>
        <w:tc>
          <w:tcPr>
            <w:tcW w:w="5958" w:type="dxa"/>
            <w:tcBorders>
              <w:top w:val="single" w:color="auto" w:sz="4" w:space="0"/>
              <w:left w:val="single" w:color="auto" w:sz="4" w:space="0"/>
              <w:bottom w:val="single" w:color="auto" w:sz="8" w:space="0"/>
              <w:right w:val="single" w:color="auto" w:sz="4" w:space="0"/>
            </w:tcBorders>
            <w:noWrap w:val="0"/>
            <w:vAlign w:val="center"/>
          </w:tcPr>
          <w:p>
            <w:pPr>
              <w:jc w:val="center"/>
              <w:rPr>
                <w:snapToGrid w:val="0"/>
                <w:color w:val="000000"/>
                <w:spacing w:val="-2"/>
                <w:kern w:val="0"/>
              </w:rPr>
            </w:pPr>
          </w:p>
        </w:tc>
        <w:tc>
          <w:tcPr>
            <w:tcW w:w="1909" w:type="dxa"/>
            <w:tcBorders>
              <w:top w:val="single" w:color="auto" w:sz="4" w:space="0"/>
              <w:left w:val="single" w:color="auto" w:sz="4" w:space="0"/>
              <w:bottom w:val="single" w:color="auto" w:sz="8" w:space="0"/>
              <w:right w:val="single" w:color="auto" w:sz="8" w:space="0"/>
            </w:tcBorders>
            <w:noWrap w:val="0"/>
            <w:vAlign w:val="center"/>
          </w:tcPr>
          <w:p>
            <w:pPr>
              <w:jc w:val="center"/>
              <w:rPr>
                <w:snapToGrid w:val="0"/>
                <w:color w:val="000000"/>
                <w:spacing w:val="-2"/>
                <w:kern w:val="0"/>
              </w:rPr>
            </w:pPr>
          </w:p>
        </w:tc>
      </w:tr>
    </w:tbl>
    <w:p>
      <w:pPr>
        <w:spacing w:line="460" w:lineRule="exact"/>
        <w:jc w:val="left"/>
        <w:rPr>
          <w:rFonts w:hint="eastAsia" w:hAnsi="Times New Roman"/>
          <w:b/>
          <w:snapToGrid w:val="0"/>
          <w:color w:val="000000"/>
          <w:spacing w:val="-2"/>
          <w:kern w:val="0"/>
          <w:sz w:val="24"/>
        </w:rPr>
      </w:pPr>
      <w:r>
        <w:rPr>
          <w:rFonts w:hAnsi="Times New Roman"/>
          <w:b/>
          <w:snapToGrid w:val="0"/>
          <w:color w:val="000000"/>
          <w:spacing w:val="-2"/>
          <w:kern w:val="0"/>
          <w:sz w:val="24"/>
        </w:rPr>
        <w:t xml:space="preserve">3.6  </w:t>
      </w:r>
      <w:r>
        <w:rPr>
          <w:rFonts w:hint="eastAsia" w:hAnsi="Times New Roman"/>
          <w:b/>
          <w:snapToGrid w:val="0"/>
          <w:color w:val="000000"/>
          <w:spacing w:val="-2"/>
          <w:kern w:val="0"/>
          <w:sz w:val="24"/>
        </w:rPr>
        <w:t>其他依据：</w:t>
      </w:r>
    </w:p>
    <w:p>
      <w:pPr>
        <w:spacing w:before="240" w:beforeLines="100" w:after="240" w:afterLines="100" w:line="420" w:lineRule="exact"/>
        <w:rPr>
          <w:b/>
          <w:color w:val="000000"/>
          <w:spacing w:val="-2"/>
          <w:sz w:val="28"/>
          <w:szCs w:val="28"/>
        </w:rPr>
      </w:pPr>
      <w:r>
        <w:rPr>
          <w:b/>
          <w:color w:val="000000"/>
          <w:spacing w:val="-2"/>
          <w:sz w:val="28"/>
          <w:szCs w:val="28"/>
        </w:rPr>
        <w:t xml:space="preserve">4 </w:t>
      </w:r>
      <w:r>
        <w:rPr>
          <w:rFonts w:hint="eastAsia"/>
          <w:b/>
          <w:color w:val="000000"/>
          <w:spacing w:val="-2"/>
          <w:sz w:val="28"/>
          <w:szCs w:val="28"/>
        </w:rPr>
        <w:t>项目监理部组织机构</w:t>
      </w:r>
    </w:p>
    <w:p>
      <w:pPr>
        <w:pStyle w:val="4"/>
        <w:spacing w:before="0" w:after="0" w:line="460" w:lineRule="exact"/>
        <w:rPr>
          <w:snapToGrid w:val="0"/>
          <w:color w:val="000000"/>
          <w:spacing w:val="-2"/>
        </w:rPr>
      </w:pPr>
      <w:r>
        <w:rPr>
          <w:snapToGrid w:val="0"/>
          <w:color w:val="000000"/>
          <w:spacing w:val="-2"/>
        </w:rPr>
        <w:t xml:space="preserve">4.1 </w:t>
      </w:r>
      <w:r>
        <w:rPr>
          <w:rFonts w:hint="eastAsia"/>
          <w:snapToGrid w:val="0"/>
          <w:color w:val="000000"/>
          <w:spacing w:val="-2"/>
        </w:rPr>
        <w:t>项目监理部组织机构框图：（示意，框图中可添加人员姓名）</w:t>
      </w:r>
    </w:p>
    <w:p>
      <w:pPr>
        <w:rPr>
          <w:snapToGrid w:val="0"/>
          <w:color w:val="000000"/>
          <w:spacing w:val="-2"/>
          <w:kern w:val="0"/>
        </w:rPr>
      </w:pPr>
      <w:r>
        <mc:AlternateContent>
          <mc:Choice Requires="wpg">
            <w:drawing>
              <wp:anchor distT="0" distB="0" distL="114300" distR="114300" simplePos="0" relativeHeight="251666432" behindDoc="0" locked="0" layoutInCell="1" allowOverlap="1">
                <wp:simplePos x="0" y="0"/>
                <wp:positionH relativeFrom="column">
                  <wp:posOffset>342900</wp:posOffset>
                </wp:positionH>
                <wp:positionV relativeFrom="paragraph">
                  <wp:posOffset>116840</wp:posOffset>
                </wp:positionV>
                <wp:extent cx="5238750" cy="1594485"/>
                <wp:effectExtent l="9525" t="9525" r="9525" b="15240"/>
                <wp:wrapNone/>
                <wp:docPr id="36" name="组合 36"/>
                <wp:cNvGraphicFramePr/>
                <a:graphic xmlns:a="http://schemas.openxmlformats.org/drawingml/2006/main">
                  <a:graphicData uri="http://schemas.microsoft.com/office/word/2010/wordprocessingGroup">
                    <wpg:wgp>
                      <wpg:cNvGrpSpPr/>
                      <wpg:grpSpPr>
                        <a:xfrm>
                          <a:off x="0" y="0"/>
                          <a:ext cx="5238750" cy="1594485"/>
                          <a:chOff x="1875" y="11985"/>
                          <a:chExt cx="8250" cy="2511"/>
                        </a:xfrm>
                      </wpg:grpSpPr>
                      <wps:wsp>
                        <wps:cNvPr id="28" name="流程图: 可选过程 28"/>
                        <wps:cNvSpPr/>
                        <wps:spPr>
                          <a:xfrm>
                            <a:off x="4875" y="11985"/>
                            <a:ext cx="2100" cy="735"/>
                          </a:xfrm>
                          <a:prstGeom prst="flowChartAlternateProcess">
                            <a:avLst/>
                          </a:prstGeom>
                          <a:solidFill>
                            <a:srgbClr val="FFFFFF"/>
                          </a:solidFill>
                          <a:ln w="19050" cap="flat" cmpd="sng">
                            <a:solidFill>
                              <a:srgbClr val="000000"/>
                            </a:solidFill>
                            <a:prstDash val="solid"/>
                            <a:miter/>
                            <a:headEnd type="none" w="med" len="med"/>
                            <a:tailEnd type="none" w="med" len="med"/>
                          </a:ln>
                        </wps:spPr>
                        <wps:txbx>
                          <w:txbxContent>
                            <w:p/>
                          </w:txbxContent>
                        </wps:txbx>
                        <wps:bodyPr upright="1"/>
                      </wps:wsp>
                      <wps:wsp>
                        <wps:cNvPr id="29" name="流程图: 可选过程 29"/>
                        <wps:cNvSpPr/>
                        <wps:spPr>
                          <a:xfrm>
                            <a:off x="1875" y="13761"/>
                            <a:ext cx="2295" cy="735"/>
                          </a:xfrm>
                          <a:prstGeom prst="flowChartAlternateProcess">
                            <a:avLst/>
                          </a:prstGeom>
                          <a:solidFill>
                            <a:srgbClr val="FFFFFF"/>
                          </a:solidFill>
                          <a:ln w="19050" cap="flat" cmpd="sng">
                            <a:solidFill>
                              <a:srgbClr val="000000"/>
                            </a:solidFill>
                            <a:prstDash val="solid"/>
                            <a:miter/>
                            <a:headEnd type="none" w="med" len="med"/>
                            <a:tailEnd type="none" w="med" len="med"/>
                          </a:ln>
                        </wps:spPr>
                        <wps:bodyPr upright="1"/>
                      </wps:wsp>
                      <wps:wsp>
                        <wps:cNvPr id="30" name="流程图: 可选过程 30"/>
                        <wps:cNvSpPr/>
                        <wps:spPr>
                          <a:xfrm>
                            <a:off x="4875" y="13761"/>
                            <a:ext cx="2235" cy="735"/>
                          </a:xfrm>
                          <a:prstGeom prst="flowChartAlternateProcess">
                            <a:avLst/>
                          </a:prstGeom>
                          <a:solidFill>
                            <a:srgbClr val="FFFFFF"/>
                          </a:solidFill>
                          <a:ln w="19050" cap="flat" cmpd="sng">
                            <a:solidFill>
                              <a:srgbClr val="000000"/>
                            </a:solidFill>
                            <a:prstDash val="solid"/>
                            <a:miter/>
                            <a:headEnd type="none" w="med" len="med"/>
                            <a:tailEnd type="none" w="med" len="med"/>
                          </a:ln>
                        </wps:spPr>
                        <wps:bodyPr upright="1"/>
                      </wps:wsp>
                      <wps:wsp>
                        <wps:cNvPr id="31" name="流程图: 可选过程 31"/>
                        <wps:cNvSpPr/>
                        <wps:spPr>
                          <a:xfrm>
                            <a:off x="8010" y="13761"/>
                            <a:ext cx="2115" cy="735"/>
                          </a:xfrm>
                          <a:prstGeom prst="flowChartAlternateProcess">
                            <a:avLst/>
                          </a:prstGeom>
                          <a:solidFill>
                            <a:srgbClr val="FFFFFF"/>
                          </a:solidFill>
                          <a:ln w="19050" cap="flat" cmpd="sng">
                            <a:solidFill>
                              <a:srgbClr val="000000"/>
                            </a:solidFill>
                            <a:prstDash val="solid"/>
                            <a:miter/>
                            <a:headEnd type="none" w="med" len="med"/>
                            <a:tailEnd type="none" w="med" len="med"/>
                          </a:ln>
                        </wps:spPr>
                        <wps:bodyPr upright="1"/>
                      </wps:wsp>
                      <wps:wsp>
                        <wps:cNvPr id="32" name="直接箭头连接符 32"/>
                        <wps:cNvCnPr/>
                        <wps:spPr>
                          <a:xfrm>
                            <a:off x="5925" y="12720"/>
                            <a:ext cx="15" cy="1041"/>
                          </a:xfrm>
                          <a:prstGeom prst="straightConnector1">
                            <a:avLst/>
                          </a:prstGeom>
                          <a:ln w="19050" cap="flat" cmpd="sng">
                            <a:solidFill>
                              <a:srgbClr val="000000"/>
                            </a:solidFill>
                            <a:prstDash val="solid"/>
                            <a:headEnd type="none" w="med" len="med"/>
                            <a:tailEnd type="triangle" w="med" len="med"/>
                          </a:ln>
                        </wps:spPr>
                        <wps:bodyPr/>
                      </wps:wsp>
                      <wps:wsp>
                        <wps:cNvPr id="33" name="直接箭头连接符 33"/>
                        <wps:cNvCnPr/>
                        <wps:spPr>
                          <a:xfrm>
                            <a:off x="3015" y="13215"/>
                            <a:ext cx="6045" cy="0"/>
                          </a:xfrm>
                          <a:prstGeom prst="straightConnector1">
                            <a:avLst/>
                          </a:prstGeom>
                          <a:ln w="19050" cap="flat" cmpd="sng">
                            <a:solidFill>
                              <a:srgbClr val="000000"/>
                            </a:solidFill>
                            <a:prstDash val="solid"/>
                            <a:headEnd type="none" w="med" len="med"/>
                            <a:tailEnd type="none" w="med" len="med"/>
                          </a:ln>
                        </wps:spPr>
                        <wps:bodyPr/>
                      </wps:wsp>
                      <wps:wsp>
                        <wps:cNvPr id="34" name="直接箭头连接符 34"/>
                        <wps:cNvCnPr/>
                        <wps:spPr>
                          <a:xfrm>
                            <a:off x="3015" y="13215"/>
                            <a:ext cx="0" cy="546"/>
                          </a:xfrm>
                          <a:prstGeom prst="straightConnector1">
                            <a:avLst/>
                          </a:prstGeom>
                          <a:ln w="19050" cap="flat" cmpd="sng">
                            <a:solidFill>
                              <a:srgbClr val="000000"/>
                            </a:solidFill>
                            <a:prstDash val="solid"/>
                            <a:headEnd type="none" w="med" len="med"/>
                            <a:tailEnd type="triangle" w="med" len="med"/>
                          </a:ln>
                        </wps:spPr>
                        <wps:bodyPr/>
                      </wps:wsp>
                      <wps:wsp>
                        <wps:cNvPr id="35" name="直接箭头连接符 35"/>
                        <wps:cNvCnPr/>
                        <wps:spPr>
                          <a:xfrm>
                            <a:off x="9060" y="13215"/>
                            <a:ext cx="0" cy="546"/>
                          </a:xfrm>
                          <a:prstGeom prst="straightConnector1">
                            <a:avLst/>
                          </a:prstGeom>
                          <a:ln w="19050"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27pt;margin-top:9.2pt;height:125.55pt;width:412.5pt;z-index:251666432;mso-width-relative:page;mso-height-relative:page;" coordorigin="1875,11985" coordsize="8250,2511" o:gfxdata="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">
                <o:lock v:ext="edit" aspectratio="f"/>
                <v:shape id="_x0000_s1026" o:spid="_x0000_s1026" o:spt="176" type="#_x0000_t176" style="position:absolute;left:4875;top:11985;height:735;width:2100;" fillcolor="#FFFFFF" filled="t" stroked="t" coordsize="21600,21600" o:gfxdata="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blMzrgAAADbAAAA&#10;DwAAAAAAAAABACAAAAAiAAAAZHJzL2Rvd25yZXYueG1sUEsBAhQAFAAAAAgAh07iQDMvBZ47AAAA&#10;OQAAABAAAAAAAAAAAQAgAAAABwEAAGRycy9zaGFwZXhtbC54bWxQSwUGAAAAAAYABgBbAQAAsQMA&#10;AAAA&#10;">
                  <v:fill on="t" focussize="0,0"/>
                  <v:stroke weight="1.5pt" color="#000000" joinstyle="miter"/>
                  <v:imagedata o:title=""/>
                  <o:lock v:ext="edit" aspectratio="f"/>
                  <v:textbox>
                    <w:txbxContent>
                      <w:p/>
                    </w:txbxContent>
                  </v:textbox>
                </v:shape>
                <v:shape id="_x0000_s1026" o:spid="_x0000_s1026" o:spt="176" type="#_x0000_t176" style="position:absolute;left:1875;top:13761;height:735;width:2295;" fillcolor="#FFFFFF" filled="t" stroked="t" coordsize="21600,21600" o:gfxdata="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9elVvQAA&#10;ANsAAAAPAAAAAAAAAAEAIAAAACIAAABkcnMvZG93bnJldi54bWxQSwECFAAUAAAACACHTuJAMy8F&#10;njsAAAA5AAAAEAAAAAAAAAABACAAAAAMAQAAZHJzL3NoYXBleG1sLnhtbFBLBQYAAAAABgAGAFsB&#10;AAC2AwAAAAA=&#10;">
                  <v:fill on="t" focussize="0,0"/>
                  <v:stroke weight="1.5pt" color="#000000" joinstyle="miter"/>
                  <v:imagedata o:title=""/>
                  <o:lock v:ext="edit" aspectratio="f"/>
                </v:shape>
                <v:shape id="_x0000_s1026" o:spid="_x0000_s1026" o:spt="176" type="#_x0000_t176" style="position:absolute;left:4875;top:13761;height:735;width:2235;" fillcolor="#FFFFFF" filled="t" stroked="t" coordsize="21600,21600" o:gfxdata="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hbWFbsAAADb&#10;AAAADwAAAAAAAAABACAAAAAiAAAAZHJzL2Rvd25yZXYueG1sUEsBAhQAFAAAAAgAh07iQDMvBZ47&#10;AAAAOQAAABAAAAAAAAAAAQAgAAAACgEAAGRycy9zaGFwZXhtbC54bWxQSwUGAAAAAAYABgBbAQAA&#10;tAMAAAAA&#10;">
                  <v:fill on="t" focussize="0,0"/>
                  <v:stroke weight="1.5pt" color="#000000" joinstyle="miter"/>
                  <v:imagedata o:title=""/>
                  <o:lock v:ext="edit" aspectratio="f"/>
                </v:shape>
                <v:shape id="_x0000_s1026" o:spid="_x0000_s1026" o:spt="176" type="#_x0000_t176" style="position:absolute;left:8010;top:13761;height:735;width:2115;" fillcolor="#FFFFFF" filled="t" stroked="t" coordsize="21600,21600" o:gfxdata="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Vpzjr4A&#10;AADbAAAADwAAAAAAAAABACAAAAAiAAAAZHJzL2Rvd25yZXYueG1sUEsBAhQAFAAAAAgAh07iQDMv&#10;BZ47AAAAOQAAABAAAAAAAAAAAQAgAAAADQEAAGRycy9zaGFwZXhtbC54bWxQSwUGAAAAAAYABgBb&#10;AQAAtwMAAAAA&#10;">
                  <v:fill on="t" focussize="0,0"/>
                  <v:stroke weight="1.5pt" color="#000000" joinstyle="miter"/>
                  <v:imagedata o:title=""/>
                  <o:lock v:ext="edit" aspectratio="f"/>
                </v:shape>
                <v:shape id="_x0000_s1026" o:spid="_x0000_s1026" o:spt="32" type="#_x0000_t32" style="position:absolute;left:5925;top:12720;height:1041;width:15;" filled="f" stroked="t" coordsize="21600,21600" o:gfxdata="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caIO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shape>
                <v:shape id="_x0000_s1026" o:spid="_x0000_s1026" o:spt="32" type="#_x0000_t32" style="position:absolute;left:3015;top:13215;height:0;width:6045;" filled="f" stroked="t" coordsize="21600,21600" o:gfxdata="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sr8y8AAAA&#10;2w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shape>
                <v:shape id="_x0000_s1026" o:spid="_x0000_s1026" o:spt="32" type="#_x0000_t32" style="position:absolute;left:3015;top:13215;height:546;width:0;" filled="f" stroked="t" coordsize="21600,21600" o:gfxdata="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5VWy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shape>
                <v:shape id="_x0000_s1026" o:spid="_x0000_s1026" o:spt="32" type="#_x0000_t32" style="position:absolute;left:9060;top:13215;height:546;width:0;" filled="f" stroked="t" coordsize="21600,21600" o:gfxdata="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18Pe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shape>
              </v:group>
            </w:pict>
          </mc:Fallback>
        </mc:AlternateContent>
      </w:r>
    </w:p>
    <w:p>
      <w:pPr>
        <w:rPr>
          <w:snapToGrid w:val="0"/>
          <w:color w:val="000000"/>
          <w:spacing w:val="-2"/>
          <w:kern w:val="0"/>
        </w:rPr>
      </w:pPr>
      <w:r>
        <w:rPr>
          <w:snapToGrid w:val="0"/>
          <w:color w:val="000000"/>
          <w:spacing w:val="-2"/>
          <w:kern w:val="0"/>
        </w:rPr>
        <w:t xml:space="preserve"> </w:t>
      </w:r>
    </w:p>
    <w:p>
      <w:pPr>
        <w:rPr>
          <w:snapToGrid w:val="0"/>
          <w:color w:val="000000"/>
          <w:spacing w:val="-2"/>
          <w:kern w:val="0"/>
        </w:rPr>
      </w:pPr>
    </w:p>
    <w:p>
      <w:pPr>
        <w:rPr>
          <w:snapToGrid w:val="0"/>
          <w:color w:val="000000"/>
          <w:spacing w:val="-2"/>
          <w:kern w:val="0"/>
        </w:rPr>
      </w:pPr>
    </w:p>
    <w:p>
      <w:pPr>
        <w:rPr>
          <w:snapToGrid w:val="0"/>
          <w:color w:val="000000"/>
          <w:spacing w:val="-2"/>
          <w:kern w:val="0"/>
        </w:rPr>
      </w:pPr>
    </w:p>
    <w:p>
      <w:pPr>
        <w:rPr>
          <w:snapToGrid w:val="0"/>
          <w:color w:val="000000"/>
          <w:spacing w:val="-2"/>
          <w:kern w:val="0"/>
        </w:rPr>
      </w:pPr>
    </w:p>
    <w:p>
      <w:pPr>
        <w:rPr>
          <w:snapToGrid w:val="0"/>
          <w:color w:val="000000"/>
          <w:spacing w:val="-2"/>
          <w:kern w:val="0"/>
        </w:rPr>
      </w:pPr>
    </w:p>
    <w:p>
      <w:pPr>
        <w:rPr>
          <w:snapToGrid w:val="0"/>
          <w:color w:val="000000"/>
          <w:spacing w:val="-2"/>
          <w:kern w:val="0"/>
        </w:rPr>
      </w:pPr>
    </w:p>
    <w:p>
      <w:pPr>
        <w:rPr>
          <w:snapToGrid w:val="0"/>
          <w:color w:val="000000"/>
          <w:spacing w:val="-2"/>
          <w:kern w:val="0"/>
        </w:rPr>
      </w:pPr>
    </w:p>
    <w:p>
      <w:pPr>
        <w:rPr>
          <w:snapToGrid w:val="0"/>
          <w:color w:val="000000"/>
          <w:spacing w:val="-2"/>
          <w:kern w:val="0"/>
        </w:rPr>
      </w:pPr>
    </w:p>
    <w:p>
      <w:pPr>
        <w:rPr>
          <w:snapToGrid w:val="0"/>
          <w:color w:val="000000"/>
          <w:spacing w:val="-2"/>
          <w:kern w:val="0"/>
        </w:rPr>
      </w:pPr>
    </w:p>
    <w:p>
      <w:pPr>
        <w:rPr>
          <w:snapToGrid w:val="0"/>
          <w:color w:val="000000"/>
          <w:spacing w:val="-2"/>
          <w:kern w:val="0"/>
        </w:rPr>
      </w:pPr>
    </w:p>
    <w:p>
      <w:pPr>
        <w:jc w:val="center"/>
        <w:rPr>
          <w:snapToGrid w:val="0"/>
          <w:color w:val="000000"/>
          <w:spacing w:val="-2"/>
          <w:kern w:val="0"/>
        </w:rPr>
      </w:pPr>
      <w:r>
        <w:rPr>
          <w:rFonts w:hint="eastAsia"/>
          <w:snapToGrid w:val="0"/>
          <w:color w:val="000000"/>
          <w:spacing w:val="-2"/>
          <w:kern w:val="0"/>
        </w:rPr>
        <w:t>图</w:t>
      </w:r>
      <w:r>
        <w:rPr>
          <w:snapToGrid w:val="0"/>
          <w:color w:val="000000"/>
          <w:spacing w:val="-2"/>
          <w:kern w:val="0"/>
        </w:rPr>
        <w:t xml:space="preserve">4.1 </w:t>
      </w:r>
      <w:r>
        <w:rPr>
          <w:rFonts w:hint="eastAsia"/>
          <w:snapToGrid w:val="0"/>
          <w:color w:val="000000"/>
          <w:spacing w:val="-2"/>
          <w:kern w:val="0"/>
        </w:rPr>
        <w:t>项目监理部组织机构框图</w:t>
      </w:r>
    </w:p>
    <w:p>
      <w:pPr>
        <w:spacing w:before="240" w:beforeLines="100" w:after="240" w:afterLines="100" w:line="420" w:lineRule="exact"/>
        <w:rPr>
          <w:b/>
          <w:color w:val="000000"/>
          <w:spacing w:val="-2"/>
          <w:sz w:val="28"/>
          <w:szCs w:val="28"/>
        </w:rPr>
      </w:pPr>
      <w:r>
        <w:rPr>
          <w:b/>
          <w:color w:val="000000"/>
          <w:spacing w:val="-2"/>
          <w:sz w:val="28"/>
          <w:szCs w:val="28"/>
        </w:rPr>
        <w:t xml:space="preserve">5 </w:t>
      </w:r>
      <w:r>
        <w:rPr>
          <w:rFonts w:hint="eastAsia"/>
          <w:b/>
          <w:color w:val="000000"/>
          <w:spacing w:val="-2"/>
          <w:sz w:val="28"/>
          <w:szCs w:val="28"/>
        </w:rPr>
        <w:t>深基坑支护工程监理工作流程（用框图表示）</w:t>
      </w:r>
    </w:p>
    <w:p>
      <w:pPr>
        <w:pStyle w:val="4"/>
        <w:spacing w:before="0" w:after="0" w:line="460" w:lineRule="exact"/>
        <w:rPr>
          <w:snapToGrid w:val="0"/>
          <w:color w:val="000000"/>
          <w:spacing w:val="-2"/>
        </w:rPr>
      </w:pPr>
      <w:r>
        <w:rPr>
          <w:snapToGrid w:val="0"/>
          <w:color w:val="000000"/>
          <w:spacing w:val="-2"/>
        </w:rPr>
        <w:t xml:space="preserve">5.1 </w:t>
      </w:r>
      <w:r>
        <w:rPr>
          <w:rFonts w:hint="eastAsia"/>
          <w:snapToGrid w:val="0"/>
          <w:color w:val="000000"/>
          <w:spacing w:val="-2"/>
        </w:rPr>
        <w:t>深基坑支护工程施工阶段监理程序：（示意）</w:t>
      </w:r>
      <w:r>
        <w:rPr>
          <w:snapToGrid w:val="0"/>
          <w:color w:val="000000"/>
          <w:spacing w:val="-2"/>
        </w:rPr>
        <w:t xml:space="preserve"> </w:t>
      </w:r>
    </w:p>
    <w:p>
      <w:pPr>
        <w:tabs>
          <w:tab w:val="left" w:pos="1845"/>
        </w:tabs>
        <w:spacing w:line="276" w:lineRule="auto"/>
        <w:rPr>
          <w:rFonts w:ascii="Times New Roman"/>
          <w:snapToGrid w:val="0"/>
          <w:color w:val="000000"/>
          <w:spacing w:val="-2"/>
          <w:kern w:val="0"/>
        </w:rPr>
      </w:pPr>
      <w:r>
        <mc:AlternateContent>
          <mc:Choice Requires="wpg">
            <w:drawing>
              <wp:anchor distT="0" distB="0" distL="114300" distR="114300" simplePos="0" relativeHeight="251667456" behindDoc="0" locked="0" layoutInCell="1" allowOverlap="1">
                <wp:simplePos x="0" y="0"/>
                <wp:positionH relativeFrom="column">
                  <wp:posOffset>1943100</wp:posOffset>
                </wp:positionH>
                <wp:positionV relativeFrom="paragraph">
                  <wp:posOffset>40640</wp:posOffset>
                </wp:positionV>
                <wp:extent cx="1963420" cy="1791970"/>
                <wp:effectExtent l="9525" t="9525" r="27305" b="27305"/>
                <wp:wrapNone/>
                <wp:docPr id="51" name="组合 51"/>
                <wp:cNvGraphicFramePr/>
                <a:graphic xmlns:a="http://schemas.openxmlformats.org/drawingml/2006/main">
                  <a:graphicData uri="http://schemas.microsoft.com/office/word/2010/wordprocessingGroup">
                    <wpg:wgp>
                      <wpg:cNvGrpSpPr/>
                      <wpg:grpSpPr>
                        <a:xfrm>
                          <a:off x="0" y="0"/>
                          <a:ext cx="1963420" cy="1791970"/>
                          <a:chOff x="4260" y="1603"/>
                          <a:chExt cx="3092" cy="2822"/>
                        </a:xfrm>
                      </wpg:grpSpPr>
                      <wpg:grpSp>
                        <wpg:cNvPr id="48" name="组合 48"/>
                        <wpg:cNvGrpSpPr/>
                        <wpg:grpSpPr>
                          <a:xfrm>
                            <a:off x="4260" y="1603"/>
                            <a:ext cx="3092" cy="1749"/>
                            <a:chOff x="4320" y="13386"/>
                            <a:chExt cx="3092" cy="1749"/>
                          </a:xfrm>
                        </wpg:grpSpPr>
                        <wps:wsp>
                          <wps:cNvPr id="45" name="流程图: 可选过程 45"/>
                          <wps:cNvSpPr/>
                          <wps:spPr>
                            <a:xfrm>
                              <a:off x="4320" y="13386"/>
                              <a:ext cx="3092" cy="654"/>
                            </a:xfrm>
                            <a:prstGeom prst="flowChartAlternateProcess">
                              <a:avLst/>
                            </a:prstGeom>
                            <a:solidFill>
                              <a:srgbClr val="FFFFFF"/>
                            </a:solidFill>
                            <a:ln w="19050" cap="flat" cmpd="sng">
                              <a:solidFill>
                                <a:srgbClr val="000000"/>
                              </a:solidFill>
                              <a:prstDash val="solid"/>
                              <a:miter/>
                              <a:headEnd type="none" w="med" len="med"/>
                              <a:tailEnd type="none" w="med" len="med"/>
                            </a:ln>
                          </wps:spPr>
                          <wps:txbx>
                            <w:txbxContent>
                              <w:p>
                                <w:pPr>
                                  <w:jc w:val="center"/>
                                </w:pPr>
                              </w:p>
                            </w:txbxContent>
                          </wps:txbx>
                          <wps:bodyPr upright="1"/>
                        </wps:wsp>
                        <wps:wsp>
                          <wps:cNvPr id="46" name="直接箭头连接符 46"/>
                          <wps:cNvCnPr/>
                          <wps:spPr>
                            <a:xfrm>
                              <a:off x="5865" y="14046"/>
                              <a:ext cx="0" cy="420"/>
                            </a:xfrm>
                            <a:prstGeom prst="straightConnector1">
                              <a:avLst/>
                            </a:prstGeom>
                            <a:ln w="9525" cap="flat" cmpd="sng">
                              <a:solidFill>
                                <a:srgbClr val="000000"/>
                              </a:solidFill>
                              <a:prstDash val="solid"/>
                              <a:headEnd type="none" w="med" len="med"/>
                              <a:tailEnd type="triangle" w="med" len="med"/>
                            </a:ln>
                          </wps:spPr>
                          <wps:bodyPr/>
                        </wps:wsp>
                        <wps:wsp>
                          <wps:cNvPr id="47" name="流程图: 可选过程 47"/>
                          <wps:cNvSpPr/>
                          <wps:spPr>
                            <a:xfrm>
                              <a:off x="4320" y="14481"/>
                              <a:ext cx="3092" cy="654"/>
                            </a:xfrm>
                            <a:prstGeom prst="flowChartAlternateProcess">
                              <a:avLst/>
                            </a:prstGeom>
                            <a:solidFill>
                              <a:srgbClr val="FFFFFF"/>
                            </a:solidFill>
                            <a:ln w="19050" cap="flat" cmpd="sng">
                              <a:solidFill>
                                <a:srgbClr val="000000"/>
                              </a:solidFill>
                              <a:prstDash val="solid"/>
                              <a:miter/>
                              <a:headEnd type="none" w="med" len="med"/>
                              <a:tailEnd type="none" w="med" len="med"/>
                            </a:ln>
                          </wps:spPr>
                          <wps:txbx>
                            <w:txbxContent>
                              <w:p>
                                <w:pPr>
                                  <w:jc w:val="center"/>
                                </w:pPr>
                              </w:p>
                            </w:txbxContent>
                          </wps:txbx>
                          <wps:bodyPr upright="1"/>
                        </wps:wsp>
                      </wpg:grpSp>
                      <wps:wsp>
                        <wps:cNvPr id="49" name="流程图: 可选过程 49"/>
                        <wps:cNvSpPr/>
                        <wps:spPr>
                          <a:xfrm>
                            <a:off x="4260" y="3765"/>
                            <a:ext cx="3092" cy="660"/>
                          </a:xfrm>
                          <a:prstGeom prst="flowChartAlternateProcess">
                            <a:avLst/>
                          </a:prstGeom>
                          <a:solidFill>
                            <a:srgbClr val="FFFFFF"/>
                          </a:solidFill>
                          <a:ln w="19050" cap="flat" cmpd="sng">
                            <a:solidFill>
                              <a:srgbClr val="000000"/>
                            </a:solidFill>
                            <a:prstDash val="solid"/>
                            <a:miter/>
                            <a:headEnd type="none" w="med" len="med"/>
                            <a:tailEnd type="none" w="med" len="med"/>
                          </a:ln>
                        </wps:spPr>
                        <wps:bodyPr upright="1"/>
                      </wps:wsp>
                      <wps:wsp>
                        <wps:cNvPr id="50" name="直接箭头连接符 50"/>
                        <wps:cNvCnPr/>
                        <wps:spPr>
                          <a:xfrm>
                            <a:off x="5805" y="3352"/>
                            <a:ext cx="0" cy="413"/>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153pt;margin-top:3.2pt;height:141.1pt;width:154.6pt;z-index:251667456;mso-width-relative:page;mso-height-relative:page;" coordorigin="4260,1603" coordsize="3092,2822" o:gfxdata="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">
                <o:lock v:ext="edit" aspectratio="f"/>
                <v:group id="_x0000_s1026" o:spid="_x0000_s1026" o:spt="203" style="position:absolute;left:4260;top:1603;height:1749;width:3092;" coordorigin="4320,13386" coordsize="3092,1749" o:gfxdata="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Lsg67AAAA2wAAAA8AAAAAAAAAAQAgAAAAIgAAAGRycy9kb3ducmV2LnhtbFBL&#10;AQIUABQAAAAIAIdO4kAzLwWeOwAAADkAAAAVAAAAAAAAAAEAIAAAAAoBAABkcnMvZ3JvdXBzaGFw&#10;ZXhtbC54bWxQSwUGAAAAAAYABgBgAQAAxwMAAAAA&#10;">
                  <o:lock v:ext="edit" aspectratio="f"/>
                  <v:shape id="_x0000_s1026" o:spid="_x0000_s1026" o:spt="176" type="#_x0000_t176" style="position:absolute;left:4320;top:13386;height:654;width:3092;" fillcolor="#FFFFFF" filled="t" stroked="t" coordsize="21600,21600" o:gfxdata="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5nBvC8AAAA&#10;2wAAAA8AAAAAAAAAAQAgAAAAIgAAAGRycy9kb3ducmV2LnhtbFBLAQIUABQAAAAIAIdO4kAzLwWe&#10;OwAAADkAAAAQAAAAAAAAAAEAIAAAAAsBAABkcnMvc2hhcGV4bWwueG1sUEsFBgAAAAAGAAYAWwEA&#10;ALUDAAAAAA==&#10;">
                    <v:fill on="t" focussize="0,0"/>
                    <v:stroke weight="1.5pt" color="#000000" joinstyle="miter"/>
                    <v:imagedata o:title=""/>
                    <o:lock v:ext="edit" aspectratio="f"/>
                    <v:textbox>
                      <w:txbxContent>
                        <w:p>
                          <w:pPr>
                            <w:jc w:val="center"/>
                          </w:pPr>
                        </w:p>
                      </w:txbxContent>
                    </v:textbox>
                  </v:shape>
                  <v:shape id="_x0000_s1026" o:spid="_x0000_s1026" o:spt="32" type="#_x0000_t32" style="position:absolute;left:5865;top:14046;height:420;width:0;" filled="f" stroked="t" coordsize="21600,21600" o:gfxdata="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a+w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176" type="#_x0000_t176" style="position:absolute;left:4320;top:14481;height:654;width:3092;" fillcolor="#FFFFFF" filled="t" stroked="t" coordsize="21600,21600" o:gfxdata="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5PRy8AAAA&#10;2wAAAA8AAAAAAAAAAQAgAAAAIgAAAGRycy9kb3ducmV2LnhtbFBLAQIUABQAAAAIAIdO4kAzLwWe&#10;OwAAADkAAAAQAAAAAAAAAAEAIAAAAAsBAABkcnMvc2hhcGV4bWwueG1sUEsFBgAAAAAGAAYAWwEA&#10;ALUDAAAAAA==&#10;">
                    <v:fill on="t" focussize="0,0"/>
                    <v:stroke weight="1.5pt" color="#000000" joinstyle="miter"/>
                    <v:imagedata o:title=""/>
                    <o:lock v:ext="edit" aspectratio="f"/>
                    <v:textbox>
                      <w:txbxContent>
                        <w:p>
                          <w:pPr>
                            <w:jc w:val="center"/>
                          </w:pPr>
                        </w:p>
                      </w:txbxContent>
                    </v:textbox>
                  </v:shape>
                </v:group>
                <v:shape id="_x0000_s1026" o:spid="_x0000_s1026" o:spt="176" type="#_x0000_t176" style="position:absolute;left:4260;top:3765;height:660;width:3092;" fillcolor="#FFFFFF" filled="t" stroked="t" coordsize="21600,21600" o:gfxdata="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8qDPW8AAAA&#10;2wAAAA8AAAAAAAAAAQAgAAAAIgAAAGRycy9kb3ducmV2LnhtbFBLAQIUABQAAAAIAIdO4kAzLwWe&#10;OwAAADkAAAAQAAAAAAAAAAEAIAAAAAsBAABkcnMvc2hhcGV4bWwueG1sUEsFBgAAAAAGAAYAWwEA&#10;ALUDAAAAAA==&#10;">
                  <v:fill on="t" focussize="0,0"/>
                  <v:stroke weight="1.5pt" color="#000000" joinstyle="miter"/>
                  <v:imagedata o:title=""/>
                  <o:lock v:ext="edit" aspectratio="f"/>
                </v:shape>
                <v:shape id="_x0000_s1026" o:spid="_x0000_s1026" o:spt="32" type="#_x0000_t32" style="position:absolute;left:5805;top:3352;height:413;width:0;" filled="f" stroked="t" coordsize="21600,21600" o:gfxdata="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eZQO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group>
            </w:pict>
          </mc:Fallback>
        </mc:AlternateContent>
      </w:r>
      <w:r>
        <w:rPr>
          <w:rFonts w:hint="eastAsia" w:ascii="Times New Roman"/>
          <w:snapToGrid w:val="0"/>
          <w:color w:val="000000"/>
          <w:spacing w:val="-2"/>
          <w:kern w:val="0"/>
        </w:rPr>
        <w:tab/>
      </w:r>
    </w:p>
    <w:p>
      <w:pPr>
        <w:tabs>
          <w:tab w:val="left" w:pos="1845"/>
        </w:tabs>
        <w:spacing w:line="276" w:lineRule="auto"/>
        <w:rPr>
          <w:rFonts w:hint="eastAsia" w:ascii="Times New Roman"/>
          <w:snapToGrid w:val="0"/>
          <w:color w:val="000000"/>
          <w:spacing w:val="-2"/>
          <w:kern w:val="0"/>
        </w:rPr>
      </w:pPr>
    </w:p>
    <w:p>
      <w:pPr>
        <w:tabs>
          <w:tab w:val="left" w:pos="1845"/>
        </w:tabs>
        <w:spacing w:line="276" w:lineRule="auto"/>
        <w:rPr>
          <w:rFonts w:hint="eastAsia" w:ascii="Times New Roman"/>
          <w:snapToGrid w:val="0"/>
          <w:color w:val="000000"/>
          <w:spacing w:val="-2"/>
          <w:kern w:val="0"/>
        </w:rPr>
      </w:pPr>
    </w:p>
    <w:p>
      <w:pPr>
        <w:tabs>
          <w:tab w:val="left" w:pos="1845"/>
        </w:tabs>
        <w:spacing w:line="276" w:lineRule="auto"/>
        <w:rPr>
          <w:rFonts w:hint="eastAsia" w:ascii="Times New Roman"/>
          <w:snapToGrid w:val="0"/>
          <w:color w:val="000000"/>
          <w:spacing w:val="-2"/>
          <w:kern w:val="0"/>
        </w:rPr>
      </w:pPr>
    </w:p>
    <w:p>
      <w:pPr>
        <w:tabs>
          <w:tab w:val="left" w:pos="1845"/>
        </w:tabs>
        <w:spacing w:line="276" w:lineRule="auto"/>
        <w:rPr>
          <w:rFonts w:hint="eastAsia" w:ascii="Times New Roman"/>
          <w:snapToGrid w:val="0"/>
          <w:color w:val="000000"/>
          <w:spacing w:val="-2"/>
          <w:kern w:val="0"/>
        </w:rPr>
      </w:pPr>
    </w:p>
    <w:p>
      <w:pPr>
        <w:tabs>
          <w:tab w:val="left" w:pos="1845"/>
        </w:tabs>
        <w:spacing w:line="276" w:lineRule="auto"/>
        <w:rPr>
          <w:rFonts w:hint="eastAsia" w:ascii="Times New Roman"/>
          <w:snapToGrid w:val="0"/>
          <w:color w:val="000000"/>
          <w:spacing w:val="-2"/>
          <w:kern w:val="0"/>
        </w:rPr>
      </w:pPr>
    </w:p>
    <w:p>
      <w:pPr>
        <w:tabs>
          <w:tab w:val="left" w:pos="1845"/>
        </w:tabs>
        <w:spacing w:line="276" w:lineRule="auto"/>
        <w:rPr>
          <w:rFonts w:hint="eastAsia" w:ascii="Times New Roman"/>
          <w:snapToGrid w:val="0"/>
          <w:color w:val="000000"/>
          <w:spacing w:val="-2"/>
          <w:kern w:val="0"/>
        </w:rPr>
      </w:pPr>
    </w:p>
    <w:p>
      <w:pPr>
        <w:tabs>
          <w:tab w:val="left" w:pos="1845"/>
        </w:tabs>
        <w:spacing w:line="276" w:lineRule="auto"/>
        <w:rPr>
          <w:rFonts w:hint="eastAsia" w:ascii="Times New Roman"/>
          <w:snapToGrid w:val="0"/>
          <w:color w:val="000000"/>
          <w:spacing w:val="-2"/>
          <w:kern w:val="0"/>
        </w:rPr>
      </w:pPr>
    </w:p>
    <w:p>
      <w:pPr>
        <w:tabs>
          <w:tab w:val="left" w:pos="1845"/>
        </w:tabs>
        <w:spacing w:line="276" w:lineRule="auto"/>
        <w:rPr>
          <w:rFonts w:hint="eastAsia" w:ascii="Times New Roman"/>
          <w:snapToGrid w:val="0"/>
          <w:color w:val="000000"/>
          <w:spacing w:val="-2"/>
          <w:kern w:val="0"/>
        </w:rPr>
      </w:pPr>
    </w:p>
    <w:p>
      <w:pPr>
        <w:tabs>
          <w:tab w:val="left" w:pos="1845"/>
        </w:tabs>
        <w:spacing w:line="276" w:lineRule="auto"/>
        <w:jc w:val="center"/>
        <w:rPr>
          <w:rFonts w:hint="eastAsia" w:ascii="Times New Roman"/>
          <w:snapToGrid w:val="0"/>
          <w:color w:val="000000"/>
          <w:spacing w:val="-2"/>
          <w:kern w:val="0"/>
        </w:rPr>
      </w:pPr>
    </w:p>
    <w:p>
      <w:pPr>
        <w:tabs>
          <w:tab w:val="left" w:pos="1845"/>
        </w:tabs>
        <w:spacing w:line="276" w:lineRule="auto"/>
        <w:jc w:val="center"/>
        <w:rPr>
          <w:rFonts w:hint="eastAsia" w:eastAsia="黑体"/>
          <w:snapToGrid w:val="0"/>
          <w:color w:val="000000"/>
          <w:spacing w:val="-2"/>
          <w:kern w:val="0"/>
        </w:rPr>
      </w:pPr>
      <w:r>
        <w:rPr>
          <w:rFonts w:hint="eastAsia" w:eastAsia="黑体"/>
          <w:snapToGrid w:val="0"/>
          <w:color w:val="000000"/>
          <w:spacing w:val="-2"/>
          <w:kern w:val="0"/>
        </w:rPr>
        <w:t>图</w:t>
      </w:r>
      <w:r>
        <w:rPr>
          <w:rFonts w:eastAsia="黑体"/>
          <w:snapToGrid w:val="0"/>
          <w:color w:val="000000"/>
          <w:spacing w:val="-2"/>
          <w:kern w:val="0"/>
        </w:rPr>
        <w:t xml:space="preserve">5.1 </w:t>
      </w:r>
      <w:r>
        <w:rPr>
          <w:rFonts w:hint="eastAsia" w:eastAsia="黑体"/>
          <w:snapToGrid w:val="0"/>
          <w:color w:val="000000"/>
          <w:spacing w:val="-2"/>
          <w:kern w:val="0"/>
        </w:rPr>
        <w:t>深基坑支护工程施工阶段监理程序框图</w:t>
      </w:r>
    </w:p>
    <w:p>
      <w:pPr>
        <w:tabs>
          <w:tab w:val="left" w:pos="1845"/>
        </w:tabs>
        <w:spacing w:line="276" w:lineRule="auto"/>
        <w:jc w:val="center"/>
        <w:rPr>
          <w:rFonts w:eastAsia="黑体"/>
          <w:snapToGrid w:val="0"/>
          <w:color w:val="000000"/>
          <w:spacing w:val="-2"/>
          <w:kern w:val="0"/>
        </w:rPr>
      </w:pPr>
    </w:p>
    <w:p>
      <w:pPr>
        <w:spacing w:line="460" w:lineRule="exact"/>
        <w:rPr>
          <w:b/>
          <w:snapToGrid w:val="0"/>
          <w:color w:val="000000"/>
          <w:spacing w:val="-2"/>
          <w:kern w:val="0"/>
          <w:sz w:val="24"/>
        </w:rPr>
      </w:pPr>
      <w:r>
        <w:rPr>
          <w:b/>
          <w:snapToGrid w:val="0"/>
          <w:color w:val="000000"/>
          <w:spacing w:val="-2"/>
          <w:kern w:val="0"/>
          <w:sz w:val="24"/>
        </w:rPr>
        <w:t xml:space="preserve">5.2 </w:t>
      </w:r>
      <w:r>
        <w:rPr>
          <w:rFonts w:hint="eastAsia" w:hAnsi="Times New Roman"/>
          <w:b/>
          <w:snapToGrid w:val="0"/>
          <w:color w:val="000000"/>
          <w:spacing w:val="-2"/>
          <w:kern w:val="0"/>
          <w:sz w:val="24"/>
        </w:rPr>
        <w:t>深基坑支护工程施工方案审核程序（同上）。</w:t>
      </w:r>
    </w:p>
    <w:p>
      <w:pPr>
        <w:spacing w:line="460" w:lineRule="exact"/>
        <w:rPr>
          <w:b/>
          <w:snapToGrid w:val="0"/>
          <w:color w:val="000000"/>
          <w:spacing w:val="-2"/>
          <w:kern w:val="0"/>
          <w:sz w:val="24"/>
        </w:rPr>
      </w:pPr>
      <w:r>
        <w:rPr>
          <w:b/>
          <w:snapToGrid w:val="0"/>
          <w:color w:val="000000"/>
          <w:spacing w:val="-2"/>
          <w:kern w:val="0"/>
          <w:sz w:val="24"/>
        </w:rPr>
        <w:t xml:space="preserve">5.3 </w:t>
      </w:r>
      <w:r>
        <w:rPr>
          <w:rFonts w:hint="eastAsia" w:hAnsi="Times New Roman"/>
          <w:b/>
          <w:snapToGrid w:val="0"/>
          <w:color w:val="000000"/>
          <w:spacing w:val="-2"/>
          <w:kern w:val="0"/>
          <w:sz w:val="24"/>
        </w:rPr>
        <w:t>分包单位资格审核监理工作程序（同上）。</w:t>
      </w:r>
    </w:p>
    <w:p>
      <w:pPr>
        <w:spacing w:line="460" w:lineRule="exact"/>
        <w:rPr>
          <w:b/>
          <w:snapToGrid w:val="0"/>
          <w:color w:val="000000"/>
          <w:spacing w:val="-2"/>
          <w:kern w:val="0"/>
          <w:sz w:val="24"/>
        </w:rPr>
      </w:pPr>
      <w:r>
        <w:rPr>
          <w:b/>
          <w:snapToGrid w:val="0"/>
          <w:color w:val="000000"/>
          <w:spacing w:val="-2"/>
          <w:kern w:val="0"/>
          <w:sz w:val="24"/>
        </w:rPr>
        <w:t xml:space="preserve">5.4 </w:t>
      </w:r>
      <w:r>
        <w:rPr>
          <w:rFonts w:hint="eastAsia" w:hAnsi="Times New Roman"/>
          <w:b/>
          <w:snapToGrid w:val="0"/>
          <w:color w:val="000000"/>
          <w:spacing w:val="-2"/>
          <w:kern w:val="0"/>
          <w:sz w:val="24"/>
        </w:rPr>
        <w:t>深基坑支护工程施工质量控制流程（同上）。</w:t>
      </w:r>
    </w:p>
    <w:p>
      <w:pPr>
        <w:spacing w:line="460" w:lineRule="exact"/>
        <w:rPr>
          <w:b/>
          <w:snapToGrid w:val="0"/>
          <w:color w:val="000000"/>
          <w:spacing w:val="-2"/>
          <w:kern w:val="0"/>
          <w:sz w:val="24"/>
        </w:rPr>
      </w:pPr>
      <w:r>
        <w:drawing>
          <wp:anchor distT="0" distB="0" distL="114300" distR="114300" simplePos="0" relativeHeight="251659264" behindDoc="1" locked="1" layoutInCell="1" allowOverlap="1">
            <wp:simplePos x="0" y="0"/>
            <wp:positionH relativeFrom="column">
              <wp:posOffset>4445000</wp:posOffset>
            </wp:positionH>
            <wp:positionV relativeFrom="paragraph">
              <wp:posOffset>9448800</wp:posOffset>
            </wp:positionV>
            <wp:extent cx="482600" cy="469900"/>
            <wp:effectExtent l="0" t="0" r="12700" b="6350"/>
            <wp:wrapNone/>
            <wp:docPr id="55" name="图片 2"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descr="38"/>
                    <pic:cNvPicPr>
                      <a:picLocks noChangeAspect="1"/>
                    </pic:cNvPicPr>
                  </pic:nvPicPr>
                  <pic:blipFill>
                    <a:blip r:embed="rId7"/>
                    <a:stretch>
                      <a:fillRect/>
                    </a:stretch>
                  </pic:blipFill>
                  <pic:spPr>
                    <a:xfrm>
                      <a:off x="0" y="0"/>
                      <a:ext cx="482600" cy="469900"/>
                    </a:xfrm>
                    <a:prstGeom prst="rect">
                      <a:avLst/>
                    </a:prstGeom>
                    <a:noFill/>
                    <a:ln>
                      <a:noFill/>
                    </a:ln>
                  </pic:spPr>
                </pic:pic>
              </a:graphicData>
            </a:graphic>
          </wp:anchor>
        </w:drawing>
      </w:r>
      <w:r>
        <w:rPr>
          <w:b/>
          <w:snapToGrid w:val="0"/>
          <w:color w:val="000000"/>
          <w:spacing w:val="-2"/>
          <w:kern w:val="0"/>
          <w:sz w:val="24"/>
        </w:rPr>
        <w:t xml:space="preserve">5.5 </w:t>
      </w:r>
      <w:r>
        <w:rPr>
          <w:rFonts w:hint="eastAsia" w:hAnsi="Times New Roman"/>
          <w:b/>
          <w:snapToGrid w:val="0"/>
          <w:color w:val="000000"/>
          <w:spacing w:val="-2"/>
          <w:kern w:val="0"/>
          <w:sz w:val="24"/>
        </w:rPr>
        <w:t>深基坑支护工程验收流程（同上）。</w:t>
      </w:r>
    </w:p>
    <w:p>
      <w:pPr>
        <w:spacing w:line="460" w:lineRule="exact"/>
        <w:rPr>
          <w:rFonts w:ascii="Times New Roman"/>
          <w:b/>
          <w:snapToGrid w:val="0"/>
          <w:color w:val="000000"/>
          <w:spacing w:val="-2"/>
          <w:kern w:val="0"/>
          <w:sz w:val="24"/>
        </w:rPr>
      </w:pPr>
      <w:r>
        <w:rPr>
          <w:b/>
          <w:snapToGrid w:val="0"/>
          <w:color w:val="000000"/>
          <w:spacing w:val="-2"/>
          <w:kern w:val="0"/>
          <w:sz w:val="24"/>
        </w:rPr>
        <w:t xml:space="preserve">5.6 </w:t>
      </w:r>
      <w:r>
        <w:rPr>
          <w:rFonts w:hint="eastAsia" w:ascii="Times New Roman" w:hAnsi="Times New Roman"/>
          <w:b/>
          <w:snapToGrid w:val="0"/>
          <w:color w:val="000000"/>
          <w:spacing w:val="-2"/>
          <w:kern w:val="0"/>
          <w:sz w:val="24"/>
        </w:rPr>
        <w:t>其它程序或流程（根据工程实际情况增减、调整）。</w:t>
      </w:r>
    </w:p>
    <w:p>
      <w:pPr>
        <w:spacing w:before="240" w:beforeLines="100" w:after="240" w:afterLines="100" w:line="420" w:lineRule="exact"/>
        <w:rPr>
          <w:rFonts w:hint="eastAsia"/>
          <w:b/>
          <w:color w:val="000000"/>
          <w:spacing w:val="-2"/>
          <w:sz w:val="28"/>
          <w:szCs w:val="28"/>
        </w:rPr>
      </w:pPr>
      <w:r>
        <w:rPr>
          <w:b/>
          <w:color w:val="000000"/>
          <w:spacing w:val="-2"/>
          <w:sz w:val="28"/>
          <w:szCs w:val="28"/>
        </w:rPr>
        <w:t xml:space="preserve">6 </w:t>
      </w:r>
      <w:r>
        <w:rPr>
          <w:rFonts w:hint="eastAsia"/>
          <w:b/>
          <w:color w:val="000000"/>
          <w:spacing w:val="-2"/>
          <w:sz w:val="28"/>
          <w:szCs w:val="28"/>
        </w:rPr>
        <w:t>深基坑支护工程监理工作控制要点及目标值</w:t>
      </w:r>
    </w:p>
    <w:p>
      <w:pPr>
        <w:pStyle w:val="3"/>
        <w:spacing w:before="0" w:after="0" w:line="460" w:lineRule="exact"/>
        <w:rPr>
          <w:rFonts w:ascii="Times New Roman" w:hAnsi="Times New Roman"/>
          <w:iCs/>
          <w:snapToGrid w:val="0"/>
          <w:color w:val="000000"/>
          <w:spacing w:val="-2"/>
          <w:sz w:val="24"/>
          <w:szCs w:val="24"/>
        </w:rPr>
      </w:pPr>
      <w:bookmarkStart w:id="446" w:name="_Toc20726498"/>
      <w:bookmarkStart w:id="447" w:name="_Toc20667969"/>
      <w:bookmarkStart w:id="448" w:name="_Toc18315668"/>
      <w:r>
        <w:rPr>
          <w:rFonts w:ascii="Times New Roman" w:hAnsi="Times New Roman"/>
          <w:iCs/>
          <w:snapToGrid w:val="0"/>
          <w:color w:val="000000"/>
          <w:spacing w:val="-2"/>
          <w:sz w:val="24"/>
          <w:szCs w:val="24"/>
        </w:rPr>
        <w:t xml:space="preserve">6.1 </w:t>
      </w:r>
      <w:r>
        <w:rPr>
          <w:rFonts w:hint="eastAsia" w:ascii="Times New Roman" w:hAnsi="Times New Roman"/>
          <w:iCs/>
          <w:snapToGrid w:val="0"/>
          <w:color w:val="000000"/>
          <w:spacing w:val="-2"/>
          <w:sz w:val="24"/>
          <w:szCs w:val="24"/>
        </w:rPr>
        <w:t>本工程深基坑支护工程质量目标。</w:t>
      </w:r>
      <w:bookmarkEnd w:id="446"/>
      <w:bookmarkEnd w:id="447"/>
      <w:bookmarkEnd w:id="448"/>
    </w:p>
    <w:p>
      <w:pPr>
        <w:snapToGrid w:val="0"/>
        <w:spacing w:line="460" w:lineRule="exact"/>
        <w:ind w:firstLine="472" w:firstLineChars="200"/>
        <w:rPr>
          <w:rFonts w:ascii="Times New Roman"/>
          <w:snapToGrid w:val="0"/>
          <w:color w:val="000000"/>
          <w:spacing w:val="-2"/>
          <w:kern w:val="0"/>
          <w:sz w:val="24"/>
        </w:rPr>
      </w:pPr>
      <w:r>
        <w:rPr>
          <w:rFonts w:hint="eastAsia" w:ascii="Times New Roman"/>
          <w:snapToGrid w:val="0"/>
          <w:color w:val="000000"/>
          <w:spacing w:val="-2"/>
          <w:kern w:val="0"/>
          <w:sz w:val="24"/>
        </w:rPr>
        <w:t>根据设计文件、施工合同及相关标准的要求，本工程深基坑等级为</w:t>
      </w:r>
      <w:r>
        <w:rPr>
          <w:rFonts w:hint="eastAsia" w:ascii="Times New Roman"/>
          <w:snapToGrid w:val="0"/>
          <w:color w:val="000000"/>
          <w:spacing w:val="-2"/>
          <w:kern w:val="0"/>
          <w:sz w:val="24"/>
          <w:u w:val="single"/>
        </w:rPr>
        <w:t xml:space="preserve">           </w:t>
      </w:r>
      <w:r>
        <w:rPr>
          <w:rFonts w:hint="eastAsia" w:ascii="Times New Roman"/>
          <w:snapToGrid w:val="0"/>
          <w:color w:val="000000"/>
          <w:spacing w:val="-2"/>
          <w:kern w:val="0"/>
          <w:sz w:val="24"/>
        </w:rPr>
        <w:t>，子分部质量目标确定为</w:t>
      </w:r>
      <w:r>
        <w:rPr>
          <w:rFonts w:hint="eastAsia" w:ascii="Times New Roman"/>
          <w:snapToGrid w:val="0"/>
          <w:color w:val="000000"/>
          <w:spacing w:val="-2"/>
          <w:kern w:val="0"/>
          <w:sz w:val="24"/>
          <w:u w:val="single"/>
        </w:rPr>
        <w:t xml:space="preserve">           </w:t>
      </w:r>
      <w:r>
        <w:rPr>
          <w:rFonts w:hint="eastAsia" w:ascii="Times New Roman"/>
          <w:snapToGrid w:val="0"/>
          <w:color w:val="000000"/>
          <w:spacing w:val="-2"/>
          <w:kern w:val="0"/>
          <w:sz w:val="24"/>
        </w:rPr>
        <w:t>、工期目标为</w:t>
      </w:r>
      <w:r>
        <w:rPr>
          <w:rFonts w:hint="eastAsia" w:ascii="Times New Roman"/>
          <w:snapToGrid w:val="0"/>
          <w:color w:val="000000"/>
          <w:spacing w:val="-2"/>
          <w:kern w:val="0"/>
          <w:sz w:val="24"/>
          <w:u w:val="single"/>
        </w:rPr>
        <w:t xml:space="preserve">           </w:t>
      </w:r>
      <w:r>
        <w:rPr>
          <w:rFonts w:hint="eastAsia" w:ascii="Times New Roman"/>
          <w:snapToGrid w:val="0"/>
          <w:color w:val="000000"/>
          <w:spacing w:val="-2"/>
          <w:kern w:val="0"/>
          <w:sz w:val="24"/>
        </w:rPr>
        <w:t>。</w:t>
      </w:r>
    </w:p>
    <w:p>
      <w:pPr>
        <w:pStyle w:val="3"/>
        <w:spacing w:before="0" w:after="0" w:line="460" w:lineRule="exact"/>
        <w:rPr>
          <w:rFonts w:hint="eastAsia" w:ascii="Times New Roman" w:hAnsi="Times New Roman"/>
          <w:iCs/>
          <w:snapToGrid w:val="0"/>
          <w:color w:val="000000"/>
          <w:spacing w:val="-2"/>
          <w:sz w:val="24"/>
          <w:szCs w:val="24"/>
        </w:rPr>
      </w:pPr>
      <w:bookmarkStart w:id="449" w:name="_Toc20726499"/>
      <w:bookmarkStart w:id="450" w:name="_Toc20667970"/>
      <w:bookmarkStart w:id="451" w:name="_Toc18315669"/>
      <w:r>
        <w:rPr>
          <w:rFonts w:ascii="Times New Roman" w:hAnsi="Times New Roman"/>
          <w:iCs/>
          <w:snapToGrid w:val="0"/>
          <w:color w:val="000000"/>
          <w:spacing w:val="-2"/>
          <w:sz w:val="24"/>
          <w:szCs w:val="24"/>
        </w:rPr>
        <w:t xml:space="preserve">6.2 </w:t>
      </w:r>
      <w:r>
        <w:rPr>
          <w:rFonts w:hint="eastAsia" w:ascii="Times New Roman" w:hAnsi="Times New Roman"/>
          <w:iCs/>
          <w:snapToGrid w:val="0"/>
          <w:color w:val="000000"/>
          <w:spacing w:val="-2"/>
          <w:sz w:val="24"/>
          <w:szCs w:val="24"/>
        </w:rPr>
        <w:t>本工程深基坑支护工程监理质量控制点。</w:t>
      </w:r>
      <w:bookmarkEnd w:id="449"/>
      <w:bookmarkEnd w:id="450"/>
      <w:bookmarkEnd w:id="451"/>
    </w:p>
    <w:p>
      <w:pPr>
        <w:snapToGrid w:val="0"/>
        <w:spacing w:line="460" w:lineRule="exact"/>
        <w:ind w:firstLine="472" w:firstLineChars="200"/>
        <w:rPr>
          <w:snapToGrid w:val="0"/>
          <w:color w:val="000000"/>
          <w:spacing w:val="-2"/>
          <w:sz w:val="24"/>
        </w:rPr>
      </w:pPr>
      <w:r>
        <w:rPr>
          <w:rFonts w:hint="eastAsia" w:hAnsi="Times New Roman"/>
          <w:color w:val="000000"/>
          <w:spacing w:val="-2"/>
          <w:sz w:val="24"/>
        </w:rPr>
        <w:t>依据建质〔</w:t>
      </w:r>
      <w:r>
        <w:rPr>
          <w:color w:val="000000"/>
          <w:spacing w:val="-2"/>
          <w:sz w:val="24"/>
        </w:rPr>
        <w:t>2009</w:t>
      </w:r>
      <w:r>
        <w:rPr>
          <w:rFonts w:hint="eastAsia" w:hAnsi="Times New Roman"/>
          <w:color w:val="000000"/>
          <w:spacing w:val="-2"/>
          <w:sz w:val="24"/>
        </w:rPr>
        <w:t>〕</w:t>
      </w:r>
      <w:r>
        <w:rPr>
          <w:color w:val="000000"/>
          <w:spacing w:val="-2"/>
          <w:sz w:val="24"/>
        </w:rPr>
        <w:t>87</w:t>
      </w:r>
      <w:r>
        <w:rPr>
          <w:rFonts w:hint="eastAsia" w:hAnsi="Times New Roman"/>
          <w:color w:val="000000"/>
          <w:spacing w:val="-2"/>
          <w:sz w:val="24"/>
        </w:rPr>
        <w:t>号文及省市建设行政主管部门的相关规定</w:t>
      </w:r>
      <w:r>
        <w:rPr>
          <w:rFonts w:hint="eastAsia" w:hAnsi="Times New Roman"/>
          <w:snapToGrid w:val="0"/>
          <w:color w:val="000000"/>
          <w:spacing w:val="-2"/>
          <w:sz w:val="24"/>
        </w:rPr>
        <w:t>，本项目深基坑支护将对以下</w:t>
      </w:r>
      <w:r>
        <w:rPr>
          <w:rFonts w:hint="eastAsia" w:hAnsi="Times New Roman"/>
          <w:color w:val="000000"/>
          <w:spacing w:val="-2"/>
          <w:sz w:val="24"/>
        </w:rPr>
        <w:t>安全专项施工方案</w:t>
      </w:r>
      <w:r>
        <w:rPr>
          <w:rFonts w:hint="eastAsia" w:hAnsi="Times New Roman"/>
          <w:snapToGrid w:val="0"/>
          <w:color w:val="000000"/>
          <w:spacing w:val="-2"/>
          <w:sz w:val="24"/>
        </w:rPr>
        <w:t>进行专家论证：</w:t>
      </w:r>
    </w:p>
    <w:p>
      <w:pPr>
        <w:snapToGrid w:val="0"/>
        <w:spacing w:line="460" w:lineRule="exact"/>
        <w:ind w:firstLine="472" w:firstLineChars="200"/>
        <w:rPr>
          <w:snapToGrid w:val="0"/>
          <w:color w:val="000000"/>
          <w:spacing w:val="-2"/>
          <w:kern w:val="0"/>
          <w:sz w:val="24"/>
        </w:rPr>
      </w:pPr>
      <w:r>
        <w:rPr>
          <w:snapToGrid w:val="0"/>
          <w:color w:val="000000"/>
          <w:spacing w:val="-2"/>
          <w:kern w:val="0"/>
          <w:sz w:val="24"/>
        </w:rPr>
        <w:t>1.</w:t>
      </w:r>
      <w:r>
        <w:rPr>
          <w:snapToGrid w:val="0"/>
          <w:color w:val="000000"/>
          <w:spacing w:val="-2"/>
          <w:kern w:val="0"/>
          <w:sz w:val="24"/>
          <w:u w:val="single"/>
        </w:rPr>
        <w:t xml:space="preserve">                                                                   </w:t>
      </w:r>
      <w:r>
        <w:rPr>
          <w:rFonts w:hint="eastAsia"/>
          <w:snapToGrid w:val="0"/>
          <w:color w:val="000000"/>
          <w:spacing w:val="-2"/>
          <w:kern w:val="0"/>
          <w:sz w:val="24"/>
        </w:rPr>
        <w:t>。</w:t>
      </w:r>
    </w:p>
    <w:p>
      <w:pPr>
        <w:snapToGrid w:val="0"/>
        <w:spacing w:line="460" w:lineRule="exact"/>
        <w:ind w:firstLine="472" w:firstLineChars="200"/>
        <w:rPr>
          <w:snapToGrid w:val="0"/>
          <w:color w:val="000000"/>
          <w:spacing w:val="-2"/>
          <w:kern w:val="0"/>
          <w:sz w:val="24"/>
        </w:rPr>
      </w:pPr>
      <w:r>
        <w:rPr>
          <w:snapToGrid w:val="0"/>
          <w:color w:val="000000"/>
          <w:spacing w:val="-2"/>
          <w:kern w:val="0"/>
          <w:sz w:val="24"/>
        </w:rPr>
        <w:t>2.</w:t>
      </w:r>
      <w:r>
        <w:rPr>
          <w:snapToGrid w:val="0"/>
          <w:color w:val="000000"/>
          <w:spacing w:val="-2"/>
          <w:kern w:val="0"/>
          <w:sz w:val="24"/>
          <w:u w:val="single"/>
        </w:rPr>
        <w:t xml:space="preserve">                                                                   </w:t>
      </w:r>
      <w:r>
        <w:rPr>
          <w:rFonts w:hint="eastAsia"/>
          <w:snapToGrid w:val="0"/>
          <w:color w:val="000000"/>
          <w:spacing w:val="-2"/>
          <w:kern w:val="0"/>
          <w:sz w:val="24"/>
        </w:rPr>
        <w:t>。</w:t>
      </w:r>
    </w:p>
    <w:p>
      <w:pPr>
        <w:snapToGrid w:val="0"/>
        <w:spacing w:line="460" w:lineRule="exact"/>
        <w:ind w:firstLine="472" w:firstLineChars="200"/>
        <w:rPr>
          <w:snapToGrid w:val="0"/>
          <w:color w:val="000000"/>
          <w:spacing w:val="-2"/>
          <w:kern w:val="0"/>
          <w:sz w:val="24"/>
        </w:rPr>
      </w:pPr>
      <w:r>
        <w:rPr>
          <w:snapToGrid w:val="0"/>
          <w:color w:val="000000"/>
          <w:spacing w:val="-2"/>
          <w:kern w:val="0"/>
          <w:sz w:val="24"/>
        </w:rPr>
        <w:t>3.</w:t>
      </w:r>
      <w:r>
        <w:rPr>
          <w:snapToGrid w:val="0"/>
          <w:color w:val="000000"/>
          <w:spacing w:val="-2"/>
          <w:kern w:val="0"/>
          <w:sz w:val="24"/>
          <w:u w:val="single"/>
        </w:rPr>
        <w:t xml:space="preserve">                                                                   </w:t>
      </w:r>
      <w:r>
        <w:rPr>
          <w:rFonts w:hint="eastAsia"/>
          <w:snapToGrid w:val="0"/>
          <w:color w:val="000000"/>
          <w:spacing w:val="-2"/>
          <w:kern w:val="0"/>
          <w:sz w:val="24"/>
        </w:rPr>
        <w:t>。</w:t>
      </w:r>
    </w:p>
    <w:p>
      <w:pPr>
        <w:snapToGrid w:val="0"/>
        <w:spacing w:line="460" w:lineRule="exact"/>
        <w:ind w:firstLine="472" w:firstLineChars="200"/>
        <w:rPr>
          <w:rFonts w:ascii="Times New Roman"/>
          <w:snapToGrid w:val="0"/>
          <w:color w:val="000000"/>
          <w:spacing w:val="-2"/>
          <w:kern w:val="0"/>
          <w:sz w:val="24"/>
        </w:rPr>
      </w:pPr>
      <w:r>
        <w:rPr>
          <w:snapToGrid w:val="0"/>
          <w:color w:val="000000"/>
          <w:spacing w:val="-2"/>
          <w:kern w:val="0"/>
          <w:sz w:val="24"/>
        </w:rPr>
        <w:t>4.</w:t>
      </w:r>
      <w:r>
        <w:rPr>
          <w:snapToGrid w:val="0"/>
          <w:color w:val="000000"/>
          <w:spacing w:val="-2"/>
          <w:kern w:val="0"/>
          <w:sz w:val="24"/>
          <w:u w:val="single"/>
        </w:rPr>
        <w:t xml:space="preserve"> </w:t>
      </w:r>
      <w:r>
        <w:rPr>
          <w:rFonts w:hint="eastAsia" w:ascii="Times New Roman"/>
          <w:snapToGrid w:val="0"/>
          <w:color w:val="000000"/>
          <w:spacing w:val="-2"/>
          <w:kern w:val="0"/>
          <w:sz w:val="24"/>
          <w:u w:val="single"/>
        </w:rPr>
        <w:t xml:space="preserve">                                                                  </w:t>
      </w:r>
      <w:r>
        <w:rPr>
          <w:rFonts w:hint="eastAsia" w:ascii="Times New Roman"/>
          <w:snapToGrid w:val="0"/>
          <w:color w:val="000000"/>
          <w:spacing w:val="-2"/>
          <w:kern w:val="0"/>
          <w:sz w:val="24"/>
        </w:rPr>
        <w:t>。</w:t>
      </w:r>
    </w:p>
    <w:p>
      <w:pPr>
        <w:snapToGrid w:val="0"/>
        <w:spacing w:line="460" w:lineRule="exact"/>
        <w:ind w:firstLine="472" w:firstLineChars="200"/>
        <w:rPr>
          <w:rFonts w:hint="eastAsia" w:ascii="Times New Roman"/>
          <w:snapToGrid w:val="0"/>
          <w:color w:val="000000"/>
          <w:spacing w:val="-2"/>
          <w:kern w:val="0"/>
          <w:sz w:val="24"/>
        </w:rPr>
      </w:pPr>
      <w:r>
        <w:rPr>
          <w:rFonts w:hint="eastAsia" w:ascii="Times New Roman"/>
          <w:snapToGrid w:val="0"/>
          <w:color w:val="000000"/>
          <w:spacing w:val="-2"/>
          <w:kern w:val="0"/>
          <w:sz w:val="24"/>
        </w:rPr>
        <w:t>根据国家规范及相关标准的规定，结合本工程深基坑支护分项工程的实施内容及特点，本工程深基坑支护工程监理质量控制关键点的确定。</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3908"/>
        <w:gridCol w:w="3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blHeader/>
        </w:trPr>
        <w:tc>
          <w:tcPr>
            <w:tcW w:w="988" w:type="dxa"/>
            <w:tcBorders>
              <w:top w:val="single" w:color="auto" w:sz="4" w:space="0"/>
              <w:left w:val="single" w:color="auto" w:sz="4" w:space="0"/>
              <w:bottom w:val="single" w:color="auto" w:sz="4" w:space="0"/>
              <w:right w:val="single" w:color="auto" w:sz="4" w:space="0"/>
            </w:tcBorders>
            <w:noWrap w:val="0"/>
            <w:vAlign w:val="center"/>
          </w:tcPr>
          <w:p>
            <w:pPr>
              <w:snapToGrid w:val="0"/>
              <w:spacing w:line="260" w:lineRule="exact"/>
              <w:jc w:val="center"/>
              <w:rPr>
                <w:rFonts w:eastAsia="黑体"/>
                <w:snapToGrid w:val="0"/>
                <w:color w:val="000000"/>
                <w:spacing w:val="-2"/>
                <w:kern w:val="0"/>
                <w:szCs w:val="21"/>
              </w:rPr>
            </w:pPr>
            <w:r>
              <w:rPr>
                <w:rFonts w:hint="eastAsia" w:eastAsia="黑体"/>
                <w:snapToGrid w:val="0"/>
                <w:color w:val="000000"/>
                <w:spacing w:val="-2"/>
                <w:kern w:val="0"/>
                <w:szCs w:val="21"/>
              </w:rPr>
              <w:t>序号</w:t>
            </w:r>
          </w:p>
        </w:tc>
        <w:tc>
          <w:tcPr>
            <w:tcW w:w="3908" w:type="dxa"/>
            <w:tcBorders>
              <w:top w:val="single" w:color="auto" w:sz="4" w:space="0"/>
              <w:left w:val="single" w:color="auto" w:sz="4" w:space="0"/>
              <w:bottom w:val="single" w:color="auto" w:sz="4" w:space="0"/>
              <w:right w:val="single" w:color="auto" w:sz="4" w:space="0"/>
            </w:tcBorders>
            <w:noWrap w:val="0"/>
            <w:vAlign w:val="center"/>
          </w:tcPr>
          <w:p>
            <w:pPr>
              <w:snapToGrid w:val="0"/>
              <w:spacing w:line="260" w:lineRule="exact"/>
              <w:jc w:val="center"/>
              <w:rPr>
                <w:rFonts w:ascii="Times New Roman" w:eastAsia="黑体"/>
                <w:snapToGrid w:val="0"/>
                <w:color w:val="000000"/>
                <w:spacing w:val="-2"/>
                <w:kern w:val="0"/>
                <w:szCs w:val="21"/>
              </w:rPr>
            </w:pPr>
            <w:r>
              <w:rPr>
                <w:rFonts w:hint="eastAsia" w:ascii="Times New Roman" w:eastAsia="黑体"/>
                <w:snapToGrid w:val="0"/>
                <w:color w:val="000000"/>
                <w:spacing w:val="-2"/>
                <w:kern w:val="0"/>
                <w:szCs w:val="21"/>
              </w:rPr>
              <w:t>分项工程名称</w:t>
            </w:r>
          </w:p>
        </w:tc>
        <w:tc>
          <w:tcPr>
            <w:tcW w:w="3908" w:type="dxa"/>
            <w:tcBorders>
              <w:top w:val="single" w:color="auto" w:sz="4" w:space="0"/>
              <w:left w:val="single" w:color="auto" w:sz="4" w:space="0"/>
              <w:bottom w:val="single" w:color="auto" w:sz="4" w:space="0"/>
              <w:right w:val="single" w:color="auto" w:sz="4" w:space="0"/>
            </w:tcBorders>
            <w:noWrap w:val="0"/>
            <w:vAlign w:val="center"/>
          </w:tcPr>
          <w:p>
            <w:pPr>
              <w:snapToGrid w:val="0"/>
              <w:spacing w:line="260" w:lineRule="exact"/>
              <w:jc w:val="center"/>
              <w:rPr>
                <w:rFonts w:ascii="Times New Roman" w:eastAsia="黑体"/>
                <w:snapToGrid w:val="0"/>
                <w:color w:val="000000"/>
                <w:spacing w:val="-2"/>
                <w:kern w:val="0"/>
                <w:szCs w:val="21"/>
              </w:rPr>
            </w:pPr>
            <w:r>
              <w:rPr>
                <w:rFonts w:hint="eastAsia" w:ascii="Times New Roman" w:eastAsia="黑体"/>
                <w:snapToGrid w:val="0"/>
                <w:color w:val="000000"/>
                <w:spacing w:val="-2"/>
                <w:kern w:val="0"/>
                <w:szCs w:val="21"/>
              </w:rPr>
              <w:t>质量控制关键点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988" w:type="dxa"/>
            <w:tcBorders>
              <w:top w:val="single" w:color="auto" w:sz="4" w:space="0"/>
              <w:left w:val="single" w:color="auto" w:sz="4" w:space="0"/>
              <w:bottom w:val="single" w:color="auto" w:sz="4" w:space="0"/>
              <w:right w:val="single" w:color="auto" w:sz="4" w:space="0"/>
            </w:tcBorders>
            <w:noWrap w:val="0"/>
            <w:vAlign w:val="center"/>
          </w:tcPr>
          <w:p>
            <w:pPr>
              <w:snapToGrid w:val="0"/>
              <w:spacing w:line="260" w:lineRule="exact"/>
              <w:jc w:val="center"/>
              <w:rPr>
                <w:snapToGrid w:val="0"/>
                <w:color w:val="000000"/>
                <w:spacing w:val="-2"/>
                <w:kern w:val="0"/>
                <w:szCs w:val="21"/>
              </w:rPr>
            </w:pPr>
            <w:r>
              <w:rPr>
                <w:snapToGrid w:val="0"/>
                <w:color w:val="000000"/>
                <w:spacing w:val="-2"/>
                <w:kern w:val="0"/>
                <w:szCs w:val="21"/>
              </w:rPr>
              <w:t>1</w:t>
            </w:r>
          </w:p>
        </w:tc>
        <w:tc>
          <w:tcPr>
            <w:tcW w:w="3908" w:type="dxa"/>
            <w:tcBorders>
              <w:top w:val="single" w:color="auto" w:sz="4" w:space="0"/>
              <w:left w:val="single" w:color="auto" w:sz="4" w:space="0"/>
              <w:bottom w:val="single" w:color="auto" w:sz="4" w:space="0"/>
              <w:right w:val="single" w:color="auto" w:sz="4" w:space="0"/>
            </w:tcBorders>
            <w:noWrap w:val="0"/>
            <w:vAlign w:val="center"/>
          </w:tcPr>
          <w:p>
            <w:pPr>
              <w:snapToGrid w:val="0"/>
              <w:spacing w:line="260" w:lineRule="exact"/>
              <w:jc w:val="center"/>
              <w:rPr>
                <w:rFonts w:ascii="Times New Roman"/>
                <w:snapToGrid w:val="0"/>
                <w:color w:val="000000"/>
                <w:spacing w:val="-2"/>
                <w:kern w:val="0"/>
                <w:szCs w:val="21"/>
              </w:rPr>
            </w:pPr>
          </w:p>
        </w:tc>
        <w:tc>
          <w:tcPr>
            <w:tcW w:w="3908" w:type="dxa"/>
            <w:tcBorders>
              <w:top w:val="single" w:color="auto" w:sz="4" w:space="0"/>
              <w:left w:val="single" w:color="auto" w:sz="4" w:space="0"/>
              <w:bottom w:val="single" w:color="auto" w:sz="4" w:space="0"/>
              <w:right w:val="single" w:color="auto" w:sz="4" w:space="0"/>
            </w:tcBorders>
            <w:noWrap w:val="0"/>
            <w:vAlign w:val="center"/>
          </w:tcPr>
          <w:p>
            <w:pPr>
              <w:snapToGrid w:val="0"/>
              <w:spacing w:line="260" w:lineRule="exact"/>
              <w:jc w:val="center"/>
              <w:rPr>
                <w:rFonts w:ascii="Times New Roman"/>
                <w:snapToGrid w:val="0"/>
                <w:color w:val="000000"/>
                <w:spacing w:val="-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988" w:type="dxa"/>
            <w:tcBorders>
              <w:top w:val="single" w:color="auto" w:sz="4" w:space="0"/>
              <w:left w:val="single" w:color="auto" w:sz="4" w:space="0"/>
              <w:bottom w:val="single" w:color="auto" w:sz="4" w:space="0"/>
              <w:right w:val="single" w:color="auto" w:sz="4" w:space="0"/>
            </w:tcBorders>
            <w:noWrap w:val="0"/>
            <w:vAlign w:val="center"/>
          </w:tcPr>
          <w:p>
            <w:pPr>
              <w:snapToGrid w:val="0"/>
              <w:spacing w:line="260" w:lineRule="exact"/>
              <w:jc w:val="center"/>
              <w:rPr>
                <w:snapToGrid w:val="0"/>
                <w:color w:val="000000"/>
                <w:spacing w:val="-2"/>
                <w:kern w:val="0"/>
                <w:szCs w:val="21"/>
              </w:rPr>
            </w:pPr>
            <w:r>
              <w:rPr>
                <w:snapToGrid w:val="0"/>
                <w:color w:val="000000"/>
                <w:spacing w:val="-2"/>
                <w:kern w:val="0"/>
                <w:szCs w:val="21"/>
              </w:rPr>
              <w:t>2</w:t>
            </w:r>
          </w:p>
        </w:tc>
        <w:tc>
          <w:tcPr>
            <w:tcW w:w="3908" w:type="dxa"/>
            <w:tcBorders>
              <w:top w:val="single" w:color="auto" w:sz="4" w:space="0"/>
              <w:left w:val="single" w:color="auto" w:sz="4" w:space="0"/>
              <w:bottom w:val="single" w:color="auto" w:sz="4" w:space="0"/>
              <w:right w:val="single" w:color="auto" w:sz="4" w:space="0"/>
            </w:tcBorders>
            <w:noWrap w:val="0"/>
            <w:vAlign w:val="center"/>
          </w:tcPr>
          <w:p>
            <w:pPr>
              <w:snapToGrid w:val="0"/>
              <w:spacing w:line="260" w:lineRule="exact"/>
              <w:jc w:val="center"/>
              <w:rPr>
                <w:rFonts w:ascii="Times New Roman"/>
                <w:snapToGrid w:val="0"/>
                <w:color w:val="000000"/>
                <w:spacing w:val="-2"/>
                <w:kern w:val="0"/>
                <w:szCs w:val="21"/>
              </w:rPr>
            </w:pPr>
          </w:p>
        </w:tc>
        <w:tc>
          <w:tcPr>
            <w:tcW w:w="3908" w:type="dxa"/>
            <w:tcBorders>
              <w:top w:val="single" w:color="auto" w:sz="4" w:space="0"/>
              <w:left w:val="single" w:color="auto" w:sz="4" w:space="0"/>
              <w:bottom w:val="single" w:color="auto" w:sz="4" w:space="0"/>
              <w:right w:val="single" w:color="auto" w:sz="4" w:space="0"/>
            </w:tcBorders>
            <w:noWrap w:val="0"/>
            <w:vAlign w:val="center"/>
          </w:tcPr>
          <w:p>
            <w:pPr>
              <w:snapToGrid w:val="0"/>
              <w:spacing w:line="260" w:lineRule="exact"/>
              <w:jc w:val="center"/>
              <w:rPr>
                <w:rFonts w:ascii="Times New Roman"/>
                <w:snapToGrid w:val="0"/>
                <w:color w:val="000000"/>
                <w:spacing w:val="-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988" w:type="dxa"/>
            <w:tcBorders>
              <w:top w:val="single" w:color="auto" w:sz="4" w:space="0"/>
              <w:left w:val="single" w:color="auto" w:sz="4" w:space="0"/>
              <w:bottom w:val="single" w:color="auto" w:sz="4" w:space="0"/>
              <w:right w:val="single" w:color="auto" w:sz="4" w:space="0"/>
            </w:tcBorders>
            <w:noWrap w:val="0"/>
            <w:vAlign w:val="center"/>
          </w:tcPr>
          <w:p>
            <w:pPr>
              <w:snapToGrid w:val="0"/>
              <w:spacing w:line="260" w:lineRule="exact"/>
              <w:jc w:val="center"/>
              <w:rPr>
                <w:snapToGrid w:val="0"/>
                <w:color w:val="000000"/>
                <w:spacing w:val="-2"/>
                <w:kern w:val="0"/>
                <w:szCs w:val="21"/>
              </w:rPr>
            </w:pPr>
            <w:r>
              <w:rPr>
                <w:snapToGrid w:val="0"/>
                <w:color w:val="000000"/>
                <w:spacing w:val="-2"/>
                <w:kern w:val="0"/>
                <w:szCs w:val="21"/>
              </w:rPr>
              <w:t>3</w:t>
            </w:r>
          </w:p>
        </w:tc>
        <w:tc>
          <w:tcPr>
            <w:tcW w:w="3908" w:type="dxa"/>
            <w:tcBorders>
              <w:top w:val="single" w:color="auto" w:sz="4" w:space="0"/>
              <w:left w:val="single" w:color="auto" w:sz="4" w:space="0"/>
              <w:bottom w:val="single" w:color="auto" w:sz="4" w:space="0"/>
              <w:right w:val="single" w:color="auto" w:sz="4" w:space="0"/>
            </w:tcBorders>
            <w:noWrap w:val="0"/>
            <w:vAlign w:val="center"/>
          </w:tcPr>
          <w:p>
            <w:pPr>
              <w:snapToGrid w:val="0"/>
              <w:spacing w:line="260" w:lineRule="exact"/>
              <w:jc w:val="center"/>
              <w:rPr>
                <w:rFonts w:ascii="Times New Roman"/>
                <w:snapToGrid w:val="0"/>
                <w:color w:val="000000"/>
                <w:spacing w:val="-2"/>
                <w:kern w:val="0"/>
                <w:szCs w:val="21"/>
              </w:rPr>
            </w:pPr>
          </w:p>
        </w:tc>
        <w:tc>
          <w:tcPr>
            <w:tcW w:w="3908" w:type="dxa"/>
            <w:tcBorders>
              <w:top w:val="single" w:color="auto" w:sz="4" w:space="0"/>
              <w:left w:val="single" w:color="auto" w:sz="4" w:space="0"/>
              <w:bottom w:val="single" w:color="auto" w:sz="4" w:space="0"/>
              <w:right w:val="single" w:color="auto" w:sz="4" w:space="0"/>
            </w:tcBorders>
            <w:noWrap w:val="0"/>
            <w:vAlign w:val="center"/>
          </w:tcPr>
          <w:p>
            <w:pPr>
              <w:snapToGrid w:val="0"/>
              <w:spacing w:line="260" w:lineRule="exact"/>
              <w:jc w:val="center"/>
              <w:rPr>
                <w:rFonts w:ascii="Times New Roman"/>
                <w:snapToGrid w:val="0"/>
                <w:color w:val="000000"/>
                <w:spacing w:val="-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988" w:type="dxa"/>
            <w:tcBorders>
              <w:top w:val="single" w:color="auto" w:sz="4" w:space="0"/>
              <w:left w:val="single" w:color="auto" w:sz="4" w:space="0"/>
              <w:bottom w:val="single" w:color="auto" w:sz="4" w:space="0"/>
              <w:right w:val="single" w:color="auto" w:sz="4" w:space="0"/>
            </w:tcBorders>
            <w:noWrap w:val="0"/>
            <w:vAlign w:val="center"/>
          </w:tcPr>
          <w:p>
            <w:pPr>
              <w:snapToGrid w:val="0"/>
              <w:spacing w:line="260" w:lineRule="exact"/>
              <w:jc w:val="center"/>
              <w:rPr>
                <w:snapToGrid w:val="0"/>
                <w:color w:val="000000"/>
                <w:spacing w:val="-2"/>
                <w:kern w:val="0"/>
                <w:szCs w:val="21"/>
              </w:rPr>
            </w:pPr>
            <w:r>
              <w:rPr>
                <w:snapToGrid w:val="0"/>
                <w:color w:val="000000"/>
                <w:spacing w:val="-2"/>
                <w:kern w:val="0"/>
                <w:szCs w:val="21"/>
              </w:rPr>
              <w:t>4</w:t>
            </w:r>
          </w:p>
        </w:tc>
        <w:tc>
          <w:tcPr>
            <w:tcW w:w="3908" w:type="dxa"/>
            <w:tcBorders>
              <w:top w:val="single" w:color="auto" w:sz="4" w:space="0"/>
              <w:left w:val="single" w:color="auto" w:sz="4" w:space="0"/>
              <w:bottom w:val="single" w:color="auto" w:sz="4" w:space="0"/>
              <w:right w:val="single" w:color="auto" w:sz="4" w:space="0"/>
            </w:tcBorders>
            <w:noWrap w:val="0"/>
            <w:vAlign w:val="center"/>
          </w:tcPr>
          <w:p>
            <w:pPr>
              <w:snapToGrid w:val="0"/>
              <w:spacing w:line="260" w:lineRule="exact"/>
              <w:jc w:val="center"/>
              <w:rPr>
                <w:rFonts w:ascii="Times New Roman"/>
                <w:snapToGrid w:val="0"/>
                <w:color w:val="000000"/>
                <w:spacing w:val="-2"/>
                <w:kern w:val="0"/>
                <w:szCs w:val="21"/>
              </w:rPr>
            </w:pPr>
          </w:p>
        </w:tc>
        <w:tc>
          <w:tcPr>
            <w:tcW w:w="3908" w:type="dxa"/>
            <w:tcBorders>
              <w:top w:val="single" w:color="auto" w:sz="4" w:space="0"/>
              <w:left w:val="single" w:color="auto" w:sz="4" w:space="0"/>
              <w:bottom w:val="single" w:color="auto" w:sz="4" w:space="0"/>
              <w:right w:val="single" w:color="auto" w:sz="4" w:space="0"/>
            </w:tcBorders>
            <w:noWrap w:val="0"/>
            <w:vAlign w:val="center"/>
          </w:tcPr>
          <w:p>
            <w:pPr>
              <w:snapToGrid w:val="0"/>
              <w:spacing w:line="260" w:lineRule="exact"/>
              <w:jc w:val="center"/>
              <w:rPr>
                <w:rFonts w:ascii="Times New Roman"/>
                <w:snapToGrid w:val="0"/>
                <w:color w:val="000000"/>
                <w:spacing w:val="-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988" w:type="dxa"/>
            <w:tcBorders>
              <w:top w:val="single" w:color="auto" w:sz="4" w:space="0"/>
              <w:left w:val="single" w:color="auto" w:sz="4" w:space="0"/>
              <w:bottom w:val="single" w:color="auto" w:sz="4" w:space="0"/>
              <w:right w:val="single" w:color="auto" w:sz="4" w:space="0"/>
            </w:tcBorders>
            <w:noWrap w:val="0"/>
            <w:vAlign w:val="center"/>
          </w:tcPr>
          <w:p>
            <w:pPr>
              <w:snapToGrid w:val="0"/>
              <w:spacing w:line="260" w:lineRule="exact"/>
              <w:jc w:val="center"/>
              <w:rPr>
                <w:snapToGrid w:val="0"/>
                <w:color w:val="000000"/>
                <w:spacing w:val="-2"/>
                <w:kern w:val="0"/>
                <w:szCs w:val="21"/>
              </w:rPr>
            </w:pPr>
            <w:r>
              <w:rPr>
                <w:snapToGrid w:val="0"/>
                <w:color w:val="000000"/>
                <w:spacing w:val="-2"/>
                <w:kern w:val="0"/>
                <w:szCs w:val="21"/>
              </w:rPr>
              <w:t>5</w:t>
            </w:r>
          </w:p>
        </w:tc>
        <w:tc>
          <w:tcPr>
            <w:tcW w:w="3908" w:type="dxa"/>
            <w:tcBorders>
              <w:top w:val="single" w:color="auto" w:sz="4" w:space="0"/>
              <w:left w:val="single" w:color="auto" w:sz="4" w:space="0"/>
              <w:bottom w:val="single" w:color="auto" w:sz="4" w:space="0"/>
              <w:right w:val="single" w:color="auto" w:sz="4" w:space="0"/>
            </w:tcBorders>
            <w:noWrap w:val="0"/>
            <w:vAlign w:val="center"/>
          </w:tcPr>
          <w:p>
            <w:pPr>
              <w:snapToGrid w:val="0"/>
              <w:spacing w:line="260" w:lineRule="exact"/>
              <w:jc w:val="center"/>
              <w:rPr>
                <w:rFonts w:ascii="Times New Roman"/>
                <w:snapToGrid w:val="0"/>
                <w:color w:val="000000"/>
                <w:spacing w:val="-2"/>
                <w:kern w:val="0"/>
                <w:szCs w:val="21"/>
              </w:rPr>
            </w:pPr>
          </w:p>
        </w:tc>
        <w:tc>
          <w:tcPr>
            <w:tcW w:w="3908" w:type="dxa"/>
            <w:tcBorders>
              <w:top w:val="single" w:color="auto" w:sz="4" w:space="0"/>
              <w:left w:val="single" w:color="auto" w:sz="4" w:space="0"/>
              <w:bottom w:val="single" w:color="auto" w:sz="4" w:space="0"/>
              <w:right w:val="single" w:color="auto" w:sz="4" w:space="0"/>
            </w:tcBorders>
            <w:noWrap w:val="0"/>
            <w:vAlign w:val="center"/>
          </w:tcPr>
          <w:p>
            <w:pPr>
              <w:snapToGrid w:val="0"/>
              <w:spacing w:line="260" w:lineRule="exact"/>
              <w:jc w:val="center"/>
              <w:rPr>
                <w:rFonts w:ascii="Times New Roman"/>
                <w:snapToGrid w:val="0"/>
                <w:color w:val="000000"/>
                <w:spacing w:val="-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988" w:type="dxa"/>
            <w:tcBorders>
              <w:top w:val="single" w:color="auto" w:sz="4" w:space="0"/>
              <w:left w:val="single" w:color="auto" w:sz="4" w:space="0"/>
              <w:bottom w:val="single" w:color="auto" w:sz="4" w:space="0"/>
              <w:right w:val="single" w:color="auto" w:sz="4" w:space="0"/>
            </w:tcBorders>
            <w:noWrap w:val="0"/>
            <w:vAlign w:val="center"/>
          </w:tcPr>
          <w:p>
            <w:pPr>
              <w:snapToGrid w:val="0"/>
              <w:spacing w:line="260" w:lineRule="exact"/>
              <w:jc w:val="center"/>
              <w:rPr>
                <w:snapToGrid w:val="0"/>
                <w:color w:val="000000"/>
                <w:spacing w:val="-2"/>
                <w:kern w:val="0"/>
                <w:szCs w:val="21"/>
              </w:rPr>
            </w:pPr>
            <w:r>
              <w:rPr>
                <w:snapToGrid w:val="0"/>
                <w:color w:val="000000"/>
                <w:spacing w:val="-2"/>
                <w:kern w:val="0"/>
                <w:szCs w:val="21"/>
              </w:rPr>
              <w:t>6</w:t>
            </w:r>
          </w:p>
        </w:tc>
        <w:tc>
          <w:tcPr>
            <w:tcW w:w="3908" w:type="dxa"/>
            <w:tcBorders>
              <w:top w:val="single" w:color="auto" w:sz="4" w:space="0"/>
              <w:left w:val="single" w:color="auto" w:sz="4" w:space="0"/>
              <w:bottom w:val="single" w:color="auto" w:sz="4" w:space="0"/>
              <w:right w:val="single" w:color="auto" w:sz="4" w:space="0"/>
            </w:tcBorders>
            <w:noWrap w:val="0"/>
            <w:vAlign w:val="center"/>
          </w:tcPr>
          <w:p>
            <w:pPr>
              <w:snapToGrid w:val="0"/>
              <w:spacing w:line="260" w:lineRule="exact"/>
              <w:jc w:val="center"/>
              <w:rPr>
                <w:rFonts w:ascii="Times New Roman"/>
                <w:snapToGrid w:val="0"/>
                <w:color w:val="000000"/>
                <w:spacing w:val="-2"/>
                <w:kern w:val="0"/>
                <w:szCs w:val="21"/>
              </w:rPr>
            </w:pPr>
          </w:p>
        </w:tc>
        <w:tc>
          <w:tcPr>
            <w:tcW w:w="3908" w:type="dxa"/>
            <w:tcBorders>
              <w:top w:val="single" w:color="auto" w:sz="4" w:space="0"/>
              <w:left w:val="single" w:color="auto" w:sz="4" w:space="0"/>
              <w:bottom w:val="single" w:color="auto" w:sz="4" w:space="0"/>
              <w:right w:val="single" w:color="auto" w:sz="4" w:space="0"/>
            </w:tcBorders>
            <w:noWrap w:val="0"/>
            <w:vAlign w:val="center"/>
          </w:tcPr>
          <w:p>
            <w:pPr>
              <w:snapToGrid w:val="0"/>
              <w:spacing w:line="260" w:lineRule="exact"/>
              <w:jc w:val="center"/>
              <w:rPr>
                <w:rFonts w:ascii="Times New Roman"/>
                <w:snapToGrid w:val="0"/>
                <w:color w:val="000000"/>
                <w:spacing w:val="-2"/>
                <w:kern w:val="0"/>
                <w:szCs w:val="21"/>
              </w:rPr>
            </w:pPr>
          </w:p>
        </w:tc>
      </w:tr>
    </w:tbl>
    <w:p>
      <w:pPr>
        <w:pStyle w:val="3"/>
        <w:spacing w:before="0" w:after="0" w:line="460" w:lineRule="exact"/>
        <w:rPr>
          <w:rFonts w:hint="eastAsia" w:ascii="Times New Roman" w:hAnsi="Times New Roman"/>
          <w:iCs/>
          <w:snapToGrid w:val="0"/>
          <w:color w:val="000000"/>
          <w:spacing w:val="-2"/>
          <w:sz w:val="24"/>
          <w:szCs w:val="24"/>
        </w:rPr>
      </w:pPr>
      <w:bookmarkStart w:id="452" w:name="_Toc20726500"/>
      <w:bookmarkStart w:id="453" w:name="_Toc18315670"/>
      <w:bookmarkStart w:id="454" w:name="_Toc20667971"/>
      <w:r>
        <w:rPr>
          <w:rFonts w:ascii="Times New Roman" w:hAnsi="Times New Roman"/>
          <w:iCs/>
          <w:snapToGrid w:val="0"/>
          <w:color w:val="000000"/>
          <w:spacing w:val="-2"/>
          <w:sz w:val="24"/>
          <w:szCs w:val="24"/>
        </w:rPr>
        <w:t xml:space="preserve">6.3 </w:t>
      </w:r>
      <w:r>
        <w:rPr>
          <w:rFonts w:hint="eastAsia" w:ascii="Times New Roman" w:hAnsi="Times New Roman"/>
          <w:iCs/>
          <w:snapToGrid w:val="0"/>
          <w:color w:val="000000"/>
          <w:spacing w:val="-2"/>
          <w:sz w:val="24"/>
          <w:szCs w:val="24"/>
        </w:rPr>
        <w:t>深基坑支护工程各分项工程监理控制要点及目标值。</w:t>
      </w:r>
      <w:bookmarkEnd w:id="452"/>
      <w:bookmarkEnd w:id="453"/>
      <w:bookmarkEnd w:id="454"/>
    </w:p>
    <w:p>
      <w:pPr>
        <w:spacing w:line="460" w:lineRule="exact"/>
        <w:ind w:firstLine="417" w:firstLineChars="177"/>
        <w:rPr>
          <w:rFonts w:ascii="Times New Roman"/>
          <w:snapToGrid w:val="0"/>
          <w:color w:val="000000"/>
          <w:spacing w:val="-2"/>
          <w:kern w:val="0"/>
          <w:sz w:val="24"/>
        </w:rPr>
      </w:pPr>
      <w:r>
        <w:rPr>
          <w:rFonts w:hint="eastAsia" w:ascii="Times New Roman"/>
          <w:snapToGrid w:val="0"/>
          <w:color w:val="000000"/>
          <w:spacing w:val="-2"/>
          <w:kern w:val="0"/>
          <w:sz w:val="24"/>
        </w:rPr>
        <w:t>根据国家规范及相关标准的规定，结合本工程深基坑支护分项工程的实施内容及特点，本工程深基坑支护工程监理质量控制要点及目标值。</w:t>
      </w:r>
    </w:p>
    <w:p>
      <w:pPr>
        <w:pStyle w:val="3"/>
        <w:spacing w:before="0" w:after="0" w:line="460" w:lineRule="exact"/>
        <w:rPr>
          <w:rFonts w:hint="eastAsia" w:ascii="Times New Roman" w:hAnsi="Times New Roman"/>
          <w:iCs/>
          <w:snapToGrid w:val="0"/>
          <w:color w:val="000000"/>
          <w:spacing w:val="-2"/>
          <w:sz w:val="24"/>
          <w:szCs w:val="24"/>
        </w:rPr>
      </w:pPr>
      <w:bookmarkStart w:id="455" w:name="_Toc18315671"/>
      <w:bookmarkStart w:id="456" w:name="_Toc20726501"/>
      <w:bookmarkStart w:id="457" w:name="_Toc20667972"/>
      <w:r>
        <w:rPr>
          <w:rFonts w:ascii="Times New Roman" w:hAnsi="Times New Roman"/>
          <w:iCs/>
          <w:snapToGrid w:val="0"/>
          <w:color w:val="000000"/>
          <w:spacing w:val="-2"/>
          <w:sz w:val="24"/>
          <w:szCs w:val="24"/>
        </w:rPr>
        <w:t xml:space="preserve">6.4 </w:t>
      </w:r>
      <w:r>
        <w:rPr>
          <w:rFonts w:hint="eastAsia" w:ascii="Times New Roman" w:hAnsi="Times New Roman"/>
          <w:iCs/>
          <w:snapToGrid w:val="0"/>
          <w:color w:val="000000"/>
          <w:spacing w:val="-2"/>
          <w:sz w:val="24"/>
          <w:szCs w:val="24"/>
        </w:rPr>
        <w:t>深基坑支护工程监测的监理控制要点。</w:t>
      </w:r>
      <w:bookmarkEnd w:id="455"/>
      <w:bookmarkEnd w:id="456"/>
      <w:bookmarkEnd w:id="457"/>
    </w:p>
    <w:p>
      <w:pPr>
        <w:spacing w:before="240" w:beforeLines="100" w:after="240" w:afterLines="100" w:line="420" w:lineRule="exact"/>
        <w:rPr>
          <w:b/>
          <w:color w:val="000000"/>
          <w:spacing w:val="-2"/>
          <w:sz w:val="28"/>
          <w:szCs w:val="28"/>
        </w:rPr>
      </w:pPr>
      <w:r>
        <w:rPr>
          <w:b/>
          <w:color w:val="000000"/>
          <w:spacing w:val="-2"/>
          <w:sz w:val="28"/>
          <w:szCs w:val="28"/>
        </w:rPr>
        <w:t xml:space="preserve">7 </w:t>
      </w:r>
      <w:r>
        <w:rPr>
          <w:rFonts w:hint="eastAsia"/>
          <w:b/>
          <w:color w:val="000000"/>
          <w:spacing w:val="-2"/>
          <w:sz w:val="28"/>
          <w:szCs w:val="28"/>
        </w:rPr>
        <w:t>深基坑支护工程监理工作方法及措施</w:t>
      </w:r>
    </w:p>
    <w:p>
      <w:pPr>
        <w:pStyle w:val="4"/>
        <w:spacing w:before="0" w:after="0" w:line="460" w:lineRule="exact"/>
        <w:rPr>
          <w:snapToGrid w:val="0"/>
          <w:color w:val="000000"/>
          <w:spacing w:val="-2"/>
          <w:sz w:val="24"/>
          <w:szCs w:val="24"/>
        </w:rPr>
      </w:pPr>
      <w:r>
        <w:rPr>
          <w:snapToGrid w:val="0"/>
          <w:color w:val="000000"/>
          <w:spacing w:val="-2"/>
          <w:sz w:val="24"/>
          <w:szCs w:val="24"/>
        </w:rPr>
        <w:t xml:space="preserve">7.1 </w:t>
      </w:r>
      <w:r>
        <w:rPr>
          <w:rFonts w:hint="eastAsia"/>
          <w:snapToGrid w:val="0"/>
          <w:color w:val="000000"/>
          <w:spacing w:val="-2"/>
          <w:sz w:val="24"/>
          <w:szCs w:val="24"/>
        </w:rPr>
        <w:t>审查内容：</w:t>
      </w:r>
      <w:r>
        <w:rPr>
          <w:b w:val="0"/>
          <w:snapToGrid w:val="0"/>
          <w:color w:val="000000"/>
          <w:spacing w:val="-2"/>
          <w:sz w:val="24"/>
          <w:szCs w:val="24"/>
          <w:u w:val="single"/>
        </w:rPr>
        <w:t xml:space="preserve">                                                           </w:t>
      </w:r>
      <w:r>
        <w:rPr>
          <w:rFonts w:hint="eastAsia"/>
          <w:b w:val="0"/>
          <w:snapToGrid w:val="0"/>
          <w:color w:val="000000"/>
          <w:spacing w:val="-2"/>
          <w:sz w:val="24"/>
          <w:szCs w:val="24"/>
        </w:rPr>
        <w:t>。</w:t>
      </w:r>
    </w:p>
    <w:p>
      <w:pPr>
        <w:spacing w:line="460" w:lineRule="exact"/>
        <w:rPr>
          <w:snapToGrid w:val="0"/>
          <w:color w:val="000000"/>
          <w:spacing w:val="-2"/>
          <w:kern w:val="0"/>
          <w:sz w:val="24"/>
        </w:rPr>
      </w:pPr>
      <w:r>
        <w:rPr>
          <w:rFonts w:hint="eastAsia"/>
          <w:snapToGrid w:val="0"/>
          <w:color w:val="000000"/>
          <w:spacing w:val="-2"/>
          <w:kern w:val="0"/>
          <w:sz w:val="24"/>
        </w:rPr>
        <w:t>（如：</w:t>
      </w:r>
      <w:r>
        <w:rPr>
          <w:rFonts w:hint="eastAsia" w:ascii="Times New Roman" w:hAnsi="Times New Roman"/>
          <w:snapToGrid w:val="0"/>
          <w:color w:val="000000"/>
          <w:spacing w:val="-2"/>
          <w:kern w:val="0"/>
          <w:sz w:val="24"/>
        </w:rPr>
        <w:t>审查设计图审手续是否完备；是否进行了专家论证；签字手续是否齐全；如有较大变更是否重新组织专家论证，签字批准手续是否齐全；审查承包单位的质量保证体系、安保体系是否建立健全；审查承包单位报送的拟进场的建筑材料/构配件/设备报审表及其质量证明资料。）</w:t>
      </w:r>
    </w:p>
    <w:p>
      <w:pPr>
        <w:pStyle w:val="4"/>
        <w:spacing w:before="0" w:after="0" w:line="460" w:lineRule="exact"/>
        <w:rPr>
          <w:rFonts w:ascii="Times New Roman"/>
          <w:b w:val="0"/>
          <w:snapToGrid w:val="0"/>
          <w:color w:val="000000"/>
          <w:spacing w:val="-2"/>
          <w:sz w:val="24"/>
          <w:szCs w:val="24"/>
        </w:rPr>
      </w:pPr>
      <w:r>
        <w:rPr>
          <w:snapToGrid w:val="0"/>
          <w:color w:val="000000"/>
          <w:spacing w:val="-2"/>
          <w:sz w:val="24"/>
          <w:szCs w:val="24"/>
        </w:rPr>
        <w:t xml:space="preserve">7.2 </w:t>
      </w:r>
      <w:r>
        <w:rPr>
          <w:rFonts w:hint="eastAsia"/>
          <w:snapToGrid w:val="0"/>
          <w:color w:val="000000"/>
          <w:spacing w:val="-2"/>
          <w:sz w:val="24"/>
          <w:szCs w:val="24"/>
        </w:rPr>
        <w:t>复核内</w:t>
      </w:r>
      <w:r>
        <w:rPr>
          <w:rFonts w:hint="eastAsia" w:ascii="Times New Roman" w:hAnsi="Times New Roman"/>
          <w:snapToGrid w:val="0"/>
          <w:color w:val="000000"/>
          <w:spacing w:val="-2"/>
          <w:sz w:val="24"/>
          <w:szCs w:val="24"/>
        </w:rPr>
        <w:t>容：</w:t>
      </w:r>
      <w:r>
        <w:rPr>
          <w:rFonts w:hint="eastAsia" w:ascii="Times New Roman" w:hAnsi="Times New Roman"/>
          <w:b w:val="0"/>
          <w:snapToGrid w:val="0"/>
          <w:color w:val="000000"/>
          <w:spacing w:val="-2"/>
          <w:sz w:val="24"/>
          <w:szCs w:val="24"/>
          <w:u w:val="single"/>
        </w:rPr>
        <w:t xml:space="preserve">                                                           </w:t>
      </w:r>
      <w:r>
        <w:rPr>
          <w:rFonts w:hint="eastAsia" w:ascii="Times New Roman" w:hAnsi="Times New Roman"/>
          <w:b w:val="0"/>
          <w:snapToGrid w:val="0"/>
          <w:color w:val="000000"/>
          <w:spacing w:val="-2"/>
          <w:sz w:val="24"/>
          <w:szCs w:val="24"/>
        </w:rPr>
        <w:t>。</w:t>
      </w:r>
    </w:p>
    <w:p>
      <w:pPr>
        <w:spacing w:line="460" w:lineRule="exact"/>
        <w:rPr>
          <w:rFonts w:hint="eastAsia"/>
          <w:snapToGrid w:val="0"/>
          <w:color w:val="000000"/>
          <w:spacing w:val="-2"/>
          <w:kern w:val="0"/>
          <w:sz w:val="24"/>
        </w:rPr>
      </w:pPr>
      <w:r>
        <w:rPr>
          <w:rFonts w:hint="eastAsia"/>
          <w:snapToGrid w:val="0"/>
          <w:color w:val="000000"/>
          <w:spacing w:val="-2"/>
          <w:kern w:val="0"/>
          <w:sz w:val="24"/>
        </w:rPr>
        <w:t>（如：施工单位生产资质、安全生产许可证，特种作业人员上岗证等。</w:t>
      </w:r>
      <w:r>
        <w:rPr>
          <w:rFonts w:hint="eastAsia" w:ascii="Times New Roman" w:hAnsi="Times New Roman"/>
          <w:snapToGrid w:val="0"/>
          <w:color w:val="000000"/>
          <w:spacing w:val="-2"/>
          <w:kern w:val="0"/>
          <w:sz w:val="24"/>
        </w:rPr>
        <w:t>）</w:t>
      </w:r>
    </w:p>
    <w:p>
      <w:pPr>
        <w:pStyle w:val="4"/>
        <w:spacing w:before="0" w:after="0" w:line="460" w:lineRule="exact"/>
        <w:rPr>
          <w:snapToGrid w:val="0"/>
          <w:color w:val="000000"/>
          <w:spacing w:val="-2"/>
          <w:sz w:val="24"/>
          <w:szCs w:val="24"/>
        </w:rPr>
      </w:pPr>
      <w:r>
        <w:rPr>
          <w:snapToGrid w:val="0"/>
          <w:color w:val="000000"/>
          <w:spacing w:val="-2"/>
          <w:sz w:val="24"/>
          <w:szCs w:val="24"/>
        </w:rPr>
        <w:t xml:space="preserve">7.3 </w:t>
      </w:r>
      <w:r>
        <w:rPr>
          <w:rFonts w:hint="eastAsia" w:ascii="Times New Roman" w:hAnsi="Times New Roman"/>
          <w:snapToGrid w:val="0"/>
          <w:color w:val="000000"/>
          <w:spacing w:val="-2"/>
          <w:sz w:val="24"/>
          <w:szCs w:val="24"/>
        </w:rPr>
        <w:t>质量安全问题的处理方法：</w:t>
      </w:r>
      <w:r>
        <w:rPr>
          <w:b w:val="0"/>
          <w:snapToGrid w:val="0"/>
          <w:color w:val="000000"/>
          <w:spacing w:val="-2"/>
          <w:sz w:val="24"/>
          <w:szCs w:val="24"/>
          <w:u w:val="single"/>
        </w:rPr>
        <w:t xml:space="preserve">                                             </w:t>
      </w:r>
      <w:r>
        <w:rPr>
          <w:rFonts w:hint="eastAsia"/>
          <w:b w:val="0"/>
          <w:snapToGrid w:val="0"/>
          <w:color w:val="000000"/>
          <w:spacing w:val="-2"/>
          <w:sz w:val="24"/>
          <w:szCs w:val="24"/>
        </w:rPr>
        <w:t>。</w:t>
      </w:r>
    </w:p>
    <w:p>
      <w:pPr>
        <w:spacing w:line="460" w:lineRule="exact"/>
        <w:rPr>
          <w:rFonts w:ascii="Times New Roman"/>
          <w:snapToGrid w:val="0"/>
          <w:color w:val="000000"/>
          <w:spacing w:val="-2"/>
          <w:kern w:val="0"/>
          <w:sz w:val="24"/>
        </w:rPr>
      </w:pPr>
      <w:r>
        <w:rPr>
          <w:rFonts w:hint="eastAsia" w:ascii="Times New Roman" w:hAnsi="Times New Roman"/>
          <w:snapToGrid w:val="0"/>
          <w:color w:val="000000"/>
          <w:spacing w:val="-2"/>
          <w:kern w:val="0"/>
          <w:sz w:val="24"/>
        </w:rPr>
        <w:t>（如：对深基坑支护工程施工过程中质量问题及安全问题，监理处理方法。如监理工程师通知单、停工令、备忘录、项目监理机构向有关主管部门质量安全报告单等。）</w:t>
      </w:r>
    </w:p>
    <w:p>
      <w:pPr>
        <w:pStyle w:val="4"/>
        <w:spacing w:before="0" w:after="0" w:line="460" w:lineRule="exact"/>
        <w:rPr>
          <w:rFonts w:hint="eastAsia" w:ascii="Times New Roman"/>
          <w:snapToGrid w:val="0"/>
          <w:color w:val="000000"/>
          <w:spacing w:val="-2"/>
          <w:sz w:val="24"/>
          <w:szCs w:val="24"/>
        </w:rPr>
      </w:pPr>
      <w:r>
        <w:rPr>
          <w:snapToGrid w:val="0"/>
          <w:color w:val="000000"/>
          <w:spacing w:val="-2"/>
          <w:sz w:val="24"/>
          <w:szCs w:val="24"/>
        </w:rPr>
        <w:t>7.4</w:t>
      </w:r>
      <w:r>
        <w:rPr>
          <w:rFonts w:hint="eastAsia" w:ascii="Times New Roman" w:hAnsi="Times New Roman"/>
          <w:snapToGrid w:val="0"/>
          <w:color w:val="000000"/>
          <w:spacing w:val="-2"/>
          <w:sz w:val="24"/>
          <w:szCs w:val="24"/>
        </w:rPr>
        <w:t xml:space="preserve"> 旁站</w:t>
      </w:r>
    </w:p>
    <w:p>
      <w:pPr>
        <w:kinsoku w:val="0"/>
        <w:adjustRightInd w:val="0"/>
        <w:snapToGrid w:val="0"/>
        <w:spacing w:line="460" w:lineRule="exact"/>
        <w:ind w:firstLine="354" w:firstLineChars="150"/>
        <w:jc w:val="left"/>
        <w:rPr>
          <w:rFonts w:hint="eastAsia" w:ascii="Times New Roman"/>
          <w:snapToGrid w:val="0"/>
          <w:color w:val="000000"/>
          <w:spacing w:val="-2"/>
          <w:kern w:val="0"/>
          <w:u w:val="single"/>
        </w:rPr>
      </w:pPr>
      <w:r>
        <w:rPr>
          <w:rFonts w:hint="eastAsia" w:ascii="Times New Roman" w:hAnsi="Times New Roman"/>
          <w:snapToGrid w:val="0"/>
          <w:color w:val="000000"/>
          <w:spacing w:val="-2"/>
          <w:kern w:val="0"/>
          <w:sz w:val="24"/>
        </w:rPr>
        <w:t>本工程深基坑支护工程监理旁站部位主要包括：</w:t>
      </w:r>
      <w:r>
        <w:rPr>
          <w:rFonts w:hint="eastAsia" w:ascii="Times New Roman" w:hAnsi="Times New Roman"/>
          <w:snapToGrid w:val="0"/>
          <w:color w:val="000000"/>
          <w:spacing w:val="-2"/>
          <w:kern w:val="0"/>
          <w:u w:val="single"/>
        </w:rPr>
        <w:t xml:space="preserve">                                </w:t>
      </w:r>
      <w:r>
        <w:rPr>
          <w:rFonts w:hint="eastAsia" w:ascii="Times New Roman" w:hAnsi="Times New Roman"/>
          <w:snapToGrid w:val="0"/>
          <w:color w:val="000000"/>
          <w:spacing w:val="-2"/>
          <w:kern w:val="0"/>
        </w:rPr>
        <w:t>。</w:t>
      </w:r>
    </w:p>
    <w:p>
      <w:pPr>
        <w:spacing w:line="460" w:lineRule="exact"/>
        <w:ind w:firstLine="360"/>
        <w:rPr>
          <w:rFonts w:hint="eastAsia" w:ascii="Times New Roman"/>
          <w:snapToGrid w:val="0"/>
          <w:color w:val="000000"/>
          <w:spacing w:val="-2"/>
          <w:kern w:val="0"/>
        </w:rPr>
      </w:pPr>
      <w:r>
        <w:rPr>
          <w:rFonts w:hint="eastAsia" w:ascii="Times New Roman" w:hAnsi="Times New Roman"/>
          <w:snapToGrid w:val="0"/>
          <w:color w:val="000000"/>
          <w:spacing w:val="-2"/>
          <w:kern w:val="0"/>
          <w:sz w:val="24"/>
        </w:rPr>
        <w:t>其他：</w:t>
      </w:r>
      <w:r>
        <w:rPr>
          <w:rFonts w:hint="eastAsia" w:ascii="Times New Roman" w:hAnsi="Times New Roman"/>
          <w:snapToGrid w:val="0"/>
          <w:color w:val="000000"/>
          <w:spacing w:val="-2"/>
          <w:kern w:val="0"/>
          <w:u w:val="single"/>
        </w:rPr>
        <w:t xml:space="preserve">                                                                          </w:t>
      </w:r>
      <w:r>
        <w:rPr>
          <w:rFonts w:hint="eastAsia" w:ascii="Times New Roman" w:hAnsi="Times New Roman"/>
          <w:snapToGrid w:val="0"/>
          <w:color w:val="000000"/>
          <w:spacing w:val="-2"/>
          <w:kern w:val="0"/>
        </w:rPr>
        <w:t>。</w:t>
      </w:r>
    </w:p>
    <w:p>
      <w:pPr>
        <w:spacing w:line="460" w:lineRule="exact"/>
        <w:rPr>
          <w:rFonts w:hint="eastAsia" w:ascii="Times New Roman"/>
          <w:snapToGrid w:val="0"/>
          <w:color w:val="000000"/>
          <w:spacing w:val="-2"/>
          <w:kern w:val="0"/>
          <w:sz w:val="24"/>
        </w:rPr>
      </w:pPr>
      <w:r>
        <w:rPr>
          <w:rFonts w:hint="eastAsia"/>
          <w:snapToGrid w:val="0"/>
          <w:color w:val="000000"/>
          <w:spacing w:val="-2"/>
          <w:kern w:val="0"/>
          <w:sz w:val="24"/>
        </w:rPr>
        <w:t>（注：监理人员在哪些部位旁站。）</w:t>
      </w:r>
    </w:p>
    <w:p>
      <w:pPr>
        <w:pStyle w:val="4"/>
        <w:spacing w:before="0" w:after="0" w:line="460" w:lineRule="exact"/>
        <w:rPr>
          <w:rFonts w:hint="eastAsia"/>
          <w:snapToGrid w:val="0"/>
          <w:color w:val="000000"/>
          <w:spacing w:val="-2"/>
          <w:sz w:val="24"/>
          <w:szCs w:val="24"/>
        </w:rPr>
      </w:pPr>
      <w:r>
        <w:rPr>
          <w:snapToGrid w:val="0"/>
          <w:color w:val="000000"/>
          <w:spacing w:val="-2"/>
          <w:sz w:val="24"/>
          <w:szCs w:val="24"/>
        </w:rPr>
        <w:t xml:space="preserve">7.5 </w:t>
      </w:r>
      <w:r>
        <w:rPr>
          <w:rFonts w:hint="eastAsia" w:ascii="Times New Roman" w:hAnsi="Times New Roman"/>
          <w:snapToGrid w:val="0"/>
          <w:color w:val="000000"/>
          <w:spacing w:val="-2"/>
          <w:sz w:val="24"/>
          <w:szCs w:val="24"/>
        </w:rPr>
        <w:t>平行检验</w:t>
      </w:r>
      <w:r>
        <w:rPr>
          <w:rFonts w:hint="eastAsia" w:ascii="Times New Roman" w:hAnsi="Times New Roman"/>
          <w:snapToGrid w:val="0"/>
          <w:color w:val="000000"/>
          <w:spacing w:val="-2"/>
          <w:sz w:val="24"/>
          <w:szCs w:val="24"/>
          <w:u w:val="single"/>
        </w:rPr>
        <w:t xml:space="preserve">                                                           </w:t>
      </w:r>
      <w:r>
        <w:rPr>
          <w:rFonts w:hint="eastAsia" w:ascii="Times New Roman" w:hAnsi="Times New Roman"/>
          <w:b w:val="0"/>
          <w:snapToGrid w:val="0"/>
          <w:color w:val="000000"/>
          <w:spacing w:val="-2"/>
          <w:sz w:val="24"/>
          <w:szCs w:val="24"/>
          <w:u w:val="single"/>
        </w:rPr>
        <w:t xml:space="preserve"> </w:t>
      </w:r>
      <w:r>
        <w:rPr>
          <w:rFonts w:hint="eastAsia" w:ascii="Times New Roman" w:hAnsi="Times New Roman"/>
          <w:b w:val="0"/>
          <w:snapToGrid w:val="0"/>
          <w:color w:val="000000"/>
          <w:spacing w:val="-2"/>
          <w:sz w:val="24"/>
          <w:szCs w:val="24"/>
        </w:rPr>
        <w:t>。</w:t>
      </w:r>
    </w:p>
    <w:p>
      <w:pPr>
        <w:spacing w:line="460" w:lineRule="exact"/>
        <w:rPr>
          <w:rFonts w:ascii="Times New Roman"/>
          <w:snapToGrid w:val="0"/>
          <w:color w:val="000000"/>
          <w:spacing w:val="-2"/>
          <w:kern w:val="0"/>
          <w:sz w:val="24"/>
        </w:rPr>
      </w:pPr>
      <w:r>
        <w:rPr>
          <w:rFonts w:hint="eastAsia" w:ascii="Times New Roman" w:hAnsi="Times New Roman"/>
          <w:snapToGrid w:val="0"/>
          <w:color w:val="000000"/>
          <w:spacing w:val="-2"/>
          <w:sz w:val="24"/>
        </w:rPr>
        <w:t>（如材料的平行检验和工序的平行检验等，材料如钢筋、砼的平行检验等。）</w:t>
      </w:r>
    </w:p>
    <w:p>
      <w:pPr>
        <w:pStyle w:val="4"/>
        <w:spacing w:before="0" w:after="0" w:line="460" w:lineRule="exact"/>
        <w:rPr>
          <w:rFonts w:hint="eastAsia"/>
          <w:b w:val="0"/>
          <w:snapToGrid w:val="0"/>
          <w:color w:val="000000"/>
          <w:spacing w:val="-2"/>
          <w:sz w:val="24"/>
          <w:szCs w:val="24"/>
        </w:rPr>
      </w:pPr>
      <w:r>
        <w:rPr>
          <w:snapToGrid w:val="0"/>
          <w:color w:val="000000"/>
          <w:spacing w:val="-2"/>
          <w:sz w:val="24"/>
          <w:szCs w:val="24"/>
        </w:rPr>
        <w:t xml:space="preserve">7.6 </w:t>
      </w:r>
      <w:r>
        <w:rPr>
          <w:rFonts w:hint="eastAsia" w:ascii="Times New Roman" w:hAnsi="Times New Roman"/>
          <w:snapToGrid w:val="0"/>
          <w:color w:val="000000"/>
          <w:spacing w:val="-2"/>
          <w:sz w:val="24"/>
          <w:szCs w:val="24"/>
        </w:rPr>
        <w:t>巡视检查内容</w:t>
      </w:r>
      <w:r>
        <w:rPr>
          <w:rFonts w:hint="eastAsia"/>
          <w:snapToGrid w:val="0"/>
          <w:color w:val="000000"/>
          <w:spacing w:val="-2"/>
          <w:sz w:val="24"/>
          <w:szCs w:val="24"/>
        </w:rPr>
        <w:t>：</w:t>
      </w:r>
      <w:r>
        <w:rPr>
          <w:b w:val="0"/>
          <w:snapToGrid w:val="0"/>
          <w:color w:val="000000"/>
          <w:spacing w:val="-2"/>
          <w:sz w:val="24"/>
          <w:szCs w:val="24"/>
          <w:u w:val="single"/>
        </w:rPr>
        <w:t xml:space="preserve">                                                      </w:t>
      </w:r>
      <w:r>
        <w:rPr>
          <w:rFonts w:hint="eastAsia"/>
          <w:b w:val="0"/>
          <w:snapToGrid w:val="0"/>
          <w:color w:val="000000"/>
          <w:spacing w:val="-2"/>
          <w:sz w:val="24"/>
          <w:szCs w:val="24"/>
        </w:rPr>
        <w:t>。</w:t>
      </w:r>
    </w:p>
    <w:p>
      <w:pPr>
        <w:spacing w:line="420" w:lineRule="exact"/>
        <w:rPr>
          <w:rFonts w:ascii="Times New Roman"/>
          <w:snapToGrid w:val="0"/>
          <w:color w:val="000000"/>
          <w:spacing w:val="-2"/>
          <w:kern w:val="0"/>
          <w:sz w:val="24"/>
        </w:rPr>
      </w:pPr>
      <w:r>
        <w:rPr>
          <w:rFonts w:hint="eastAsia" w:ascii="Times New Roman" w:hAnsi="Times New Roman"/>
          <w:snapToGrid w:val="0"/>
          <w:color w:val="000000"/>
          <w:spacing w:val="-2"/>
          <w:sz w:val="24"/>
        </w:rPr>
        <w:t>（如工程测量基准点、控制点及监测点等的保护使用情况，进场工程材料的质量检测、报验情况，施工现场的工程材料/构配件的制作加工使用情况，正在施工作业面操作情况，施工现场机械设备、安全设施使用和保养情况，各作业面安全操作、文明施工情况，已完成的检验批、分部分项工程质量等。）</w:t>
      </w:r>
    </w:p>
    <w:p>
      <w:pPr>
        <w:pStyle w:val="4"/>
        <w:spacing w:before="0" w:after="0" w:line="460" w:lineRule="exact"/>
        <w:rPr>
          <w:rFonts w:hint="eastAsia" w:ascii="Times New Roman"/>
          <w:snapToGrid w:val="0"/>
          <w:color w:val="000000"/>
          <w:spacing w:val="-2"/>
          <w:sz w:val="24"/>
          <w:szCs w:val="24"/>
        </w:rPr>
      </w:pPr>
      <w:r>
        <w:rPr>
          <w:snapToGrid w:val="0"/>
          <w:color w:val="000000"/>
          <w:spacing w:val="-2"/>
          <w:sz w:val="24"/>
          <w:szCs w:val="24"/>
        </w:rPr>
        <w:t xml:space="preserve">7.7 </w:t>
      </w:r>
      <w:r>
        <w:rPr>
          <w:rFonts w:hint="eastAsia" w:ascii="Times New Roman" w:hAnsi="Times New Roman"/>
          <w:snapToGrid w:val="0"/>
          <w:color w:val="000000"/>
          <w:spacing w:val="-2"/>
          <w:sz w:val="24"/>
          <w:szCs w:val="24"/>
        </w:rPr>
        <w:t>现场协调方式：</w:t>
      </w:r>
      <w:r>
        <w:rPr>
          <w:rFonts w:hint="eastAsia" w:ascii="Times New Roman" w:hAnsi="Times New Roman"/>
          <w:snapToGrid w:val="0"/>
          <w:color w:val="000000"/>
          <w:spacing w:val="-2"/>
          <w:sz w:val="24"/>
          <w:szCs w:val="24"/>
          <w:u w:val="single"/>
        </w:rPr>
        <w:t xml:space="preserve">                                                       </w:t>
      </w:r>
      <w:r>
        <w:rPr>
          <w:rFonts w:hint="eastAsia" w:ascii="Times New Roman" w:hAnsi="Times New Roman"/>
          <w:snapToGrid w:val="0"/>
          <w:color w:val="000000"/>
          <w:spacing w:val="-2"/>
          <w:sz w:val="24"/>
          <w:szCs w:val="24"/>
        </w:rPr>
        <w:t>。</w:t>
      </w:r>
    </w:p>
    <w:p>
      <w:pPr>
        <w:spacing w:line="460" w:lineRule="exact"/>
        <w:rPr>
          <w:rFonts w:hint="eastAsia"/>
          <w:snapToGrid w:val="0"/>
          <w:color w:val="000000"/>
          <w:spacing w:val="-2"/>
          <w:kern w:val="0"/>
          <w:sz w:val="24"/>
        </w:rPr>
      </w:pPr>
      <w:r>
        <w:rPr>
          <w:rFonts w:hint="eastAsia"/>
          <w:snapToGrid w:val="0"/>
          <w:color w:val="000000"/>
          <w:spacing w:val="-2"/>
          <w:kern w:val="0"/>
          <w:sz w:val="24"/>
        </w:rPr>
        <w:t>（如组织现场协调会、工地例会、专题会议等。）</w:t>
      </w:r>
    </w:p>
    <w:p>
      <w:pPr>
        <w:pStyle w:val="4"/>
        <w:spacing w:before="0" w:after="0" w:line="460" w:lineRule="exact"/>
        <w:rPr>
          <w:rFonts w:ascii="Times New Roman"/>
          <w:snapToGrid w:val="0"/>
          <w:color w:val="000000"/>
          <w:spacing w:val="-2"/>
          <w:sz w:val="24"/>
          <w:szCs w:val="24"/>
        </w:rPr>
      </w:pPr>
      <w:r>
        <w:rPr>
          <w:snapToGrid w:val="0"/>
          <w:color w:val="000000"/>
          <w:spacing w:val="-2"/>
          <w:sz w:val="24"/>
          <w:szCs w:val="24"/>
        </w:rPr>
        <w:t xml:space="preserve">7.8 </w:t>
      </w:r>
      <w:r>
        <w:rPr>
          <w:rFonts w:hint="eastAsia" w:ascii="Times New Roman" w:hAnsi="Times New Roman"/>
          <w:snapToGrid w:val="0"/>
          <w:color w:val="000000"/>
          <w:spacing w:val="-2"/>
          <w:sz w:val="24"/>
          <w:szCs w:val="24"/>
        </w:rPr>
        <w:t>其他监理方法：</w:t>
      </w:r>
      <w:r>
        <w:rPr>
          <w:rFonts w:hint="eastAsia" w:ascii="Times New Roman" w:hAnsi="Times New Roman"/>
          <w:snapToGrid w:val="0"/>
          <w:color w:val="000000"/>
          <w:spacing w:val="-2"/>
          <w:sz w:val="24"/>
          <w:szCs w:val="24"/>
          <w:u w:val="single"/>
        </w:rPr>
        <w:t xml:space="preserve">                                                       </w:t>
      </w:r>
      <w:r>
        <w:rPr>
          <w:rFonts w:hint="eastAsia" w:ascii="Times New Roman" w:hAnsi="Times New Roman"/>
          <w:snapToGrid w:val="0"/>
          <w:color w:val="000000"/>
          <w:spacing w:val="-2"/>
          <w:sz w:val="24"/>
          <w:szCs w:val="24"/>
        </w:rPr>
        <w:t>。</w:t>
      </w:r>
    </w:p>
    <w:p>
      <w:pPr>
        <w:spacing w:line="460" w:lineRule="exact"/>
        <w:rPr>
          <w:rFonts w:hint="eastAsia"/>
          <w:snapToGrid w:val="0"/>
          <w:color w:val="000000"/>
          <w:spacing w:val="-2"/>
          <w:kern w:val="0"/>
          <w:sz w:val="24"/>
        </w:rPr>
      </w:pPr>
      <w:r>
        <w:rPr>
          <w:rFonts w:hint="eastAsia"/>
          <w:snapToGrid w:val="0"/>
          <w:color w:val="000000"/>
          <w:spacing w:val="-2"/>
          <w:kern w:val="0"/>
          <w:sz w:val="24"/>
        </w:rPr>
        <w:t>（如工程款支付控制、验收等。）</w:t>
      </w:r>
    </w:p>
    <w:p>
      <w:pPr>
        <w:pStyle w:val="4"/>
        <w:spacing w:before="0" w:after="0" w:line="460" w:lineRule="exact"/>
        <w:rPr>
          <w:rFonts w:ascii="Times New Roman"/>
          <w:snapToGrid w:val="0"/>
          <w:color w:val="000000"/>
          <w:spacing w:val="-2"/>
          <w:sz w:val="24"/>
          <w:szCs w:val="24"/>
        </w:rPr>
      </w:pPr>
      <w:r>
        <w:rPr>
          <w:snapToGrid w:val="0"/>
          <w:color w:val="000000"/>
          <w:spacing w:val="-2"/>
          <w:sz w:val="24"/>
          <w:szCs w:val="24"/>
        </w:rPr>
        <w:t xml:space="preserve">7.9 </w:t>
      </w:r>
      <w:r>
        <w:rPr>
          <w:rFonts w:hint="eastAsia" w:ascii="Times New Roman" w:hAnsi="Times New Roman"/>
          <w:snapToGrid w:val="0"/>
          <w:color w:val="000000"/>
          <w:spacing w:val="-2"/>
          <w:sz w:val="24"/>
          <w:szCs w:val="24"/>
        </w:rPr>
        <w:t>深基坑支护子分部工程质量检测。</w:t>
      </w:r>
    </w:p>
    <w:p>
      <w:pPr>
        <w:spacing w:line="420" w:lineRule="exact"/>
        <w:rPr>
          <w:rFonts w:hint="eastAsia" w:ascii="Times New Roman"/>
          <w:snapToGrid w:val="0"/>
          <w:color w:val="000000"/>
          <w:spacing w:val="-2"/>
          <w:kern w:val="0"/>
          <w:sz w:val="24"/>
        </w:rPr>
      </w:pPr>
      <w:r>
        <w:rPr>
          <w:rFonts w:hint="eastAsia" w:ascii="Times New Roman" w:hAnsi="Times New Roman"/>
          <w:snapToGrid w:val="0"/>
          <w:color w:val="000000"/>
          <w:spacing w:val="-2"/>
          <w:sz w:val="24"/>
        </w:rPr>
        <w:t>（如所有建筑材料、产品、半成品的常规材料检测；支护桩结构的强度、桩身完整性检测；水泥土桩的取芯、强度检测；土层锚杆拉拔力检测；支撑结构的砼强度检测；钢结构的焊缝质量检测；其它必要的检测项目。）</w:t>
      </w:r>
    </w:p>
    <w:p>
      <w:pPr>
        <w:pStyle w:val="4"/>
        <w:spacing w:before="0" w:after="0" w:line="460" w:lineRule="exact"/>
        <w:rPr>
          <w:rFonts w:hint="eastAsia" w:ascii="Times New Roman"/>
          <w:snapToGrid w:val="0"/>
          <w:color w:val="000000"/>
          <w:spacing w:val="-2"/>
          <w:sz w:val="24"/>
          <w:szCs w:val="24"/>
        </w:rPr>
      </w:pPr>
      <w:r>
        <w:rPr>
          <w:snapToGrid w:val="0"/>
          <w:color w:val="000000"/>
          <w:spacing w:val="-2"/>
          <w:sz w:val="24"/>
          <w:szCs w:val="24"/>
        </w:rPr>
        <w:t xml:space="preserve">7.10 </w:t>
      </w:r>
      <w:r>
        <w:rPr>
          <w:rFonts w:hint="eastAsia" w:ascii="Times New Roman" w:hAnsi="Times New Roman"/>
          <w:snapToGrid w:val="0"/>
          <w:color w:val="000000"/>
          <w:spacing w:val="-2"/>
          <w:sz w:val="24"/>
          <w:szCs w:val="24"/>
        </w:rPr>
        <w:t>表式。</w:t>
      </w:r>
    </w:p>
    <w:p>
      <w:pPr>
        <w:spacing w:line="460" w:lineRule="exact"/>
        <w:rPr>
          <w:rFonts w:hint="eastAsia" w:ascii="Times New Roman"/>
          <w:snapToGrid w:val="0"/>
          <w:color w:val="000000"/>
          <w:spacing w:val="-2"/>
          <w:kern w:val="0"/>
          <w:sz w:val="24"/>
        </w:rPr>
      </w:pPr>
      <w:r>
        <w:rPr>
          <w:rFonts w:hint="eastAsia"/>
          <w:bCs/>
          <w:snapToGrid w:val="0"/>
          <w:color w:val="000000"/>
          <w:spacing w:val="-2"/>
          <w:kern w:val="0"/>
          <w:sz w:val="24"/>
        </w:rPr>
        <w:t>深基坑支护工程监理表式、表格可由监理机构根据相关规定自行设置。</w:t>
      </w:r>
    </w:p>
    <w:p>
      <w:pPr>
        <w:spacing w:line="460" w:lineRule="exact"/>
        <w:jc w:val="center"/>
        <w:rPr>
          <w:rFonts w:hint="eastAsia" w:ascii="Times New Roman" w:eastAsia="方正小标宋简体"/>
          <w:color w:val="000000"/>
          <w:sz w:val="36"/>
          <w:szCs w:val="36"/>
        </w:rPr>
      </w:pPr>
    </w:p>
    <w:p>
      <w:pPr>
        <w:spacing w:line="460" w:lineRule="exact"/>
        <w:jc w:val="center"/>
        <w:rPr>
          <w:rFonts w:hint="eastAsia" w:ascii="Times New Roman" w:eastAsia="方正小标宋简体"/>
          <w:color w:val="000000"/>
          <w:sz w:val="36"/>
          <w:szCs w:val="36"/>
        </w:rPr>
      </w:pPr>
    </w:p>
    <w:p>
      <w:pPr>
        <w:spacing w:line="500" w:lineRule="exact"/>
        <w:ind w:left="-7" w:leftChars="-8" w:hanging="10" w:hangingChars="3"/>
        <w:jc w:val="center"/>
        <w:rPr>
          <w:rFonts w:hint="eastAsia" w:ascii="Times New Roman" w:eastAsia="方正小标宋简体"/>
          <w:bCs/>
          <w:sz w:val="36"/>
          <w:szCs w:val="36"/>
        </w:rPr>
      </w:pPr>
      <w:r>
        <w:rPr>
          <w:rFonts w:hint="eastAsia" w:ascii="Times New Roman" w:eastAsia="方正小标宋简体"/>
          <w:bCs/>
          <w:sz w:val="36"/>
          <w:szCs w:val="36"/>
        </w:rPr>
        <w:br w:type="column"/>
      </w:r>
    </w:p>
    <w:p>
      <w:pPr>
        <w:pStyle w:val="2"/>
        <w:spacing w:before="240" w:beforeLines="100" w:after="240" w:afterLines="100" w:line="240" w:lineRule="auto"/>
        <w:jc w:val="center"/>
        <w:rPr>
          <w:rFonts w:hint="eastAsia" w:ascii="Times New Roman" w:eastAsia="方正小标宋_GBK"/>
          <w:b w:val="0"/>
          <w:sz w:val="36"/>
          <w:szCs w:val="36"/>
        </w:rPr>
      </w:pPr>
      <w:bookmarkStart w:id="458" w:name="_Toc20726502"/>
      <w:bookmarkStart w:id="459" w:name="_Toc18315672"/>
      <w:r>
        <w:rPr>
          <w:rFonts w:hint="eastAsia" w:ascii="Times New Roman" w:eastAsia="方正小标宋_GBK"/>
          <w:b w:val="0"/>
          <w:sz w:val="36"/>
          <w:szCs w:val="36"/>
        </w:rPr>
        <w:t>省住房城乡建设厅关于简化建筑业企业跨区域       施工开具相关证明手续的通知</w:t>
      </w:r>
      <w:bookmarkEnd w:id="458"/>
      <w:bookmarkEnd w:id="459"/>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460" w:name="_Toc20726503"/>
      <w:bookmarkStart w:id="461" w:name="_Toc18315673"/>
      <w:r>
        <w:rPr>
          <w:rFonts w:hint="eastAsia" w:ascii="Times New Roman" w:hAnsi="Times New Roman" w:eastAsia="方正楷体_GBK"/>
          <w:b w:val="0"/>
          <w:sz w:val="24"/>
          <w:szCs w:val="24"/>
        </w:rPr>
        <w:t>苏建建管〔</w:t>
      </w:r>
      <w:r>
        <w:rPr>
          <w:rFonts w:ascii="Times New Roman" w:hAnsi="Times New Roman" w:eastAsia="方正楷体_GBK"/>
          <w:b w:val="0"/>
          <w:sz w:val="24"/>
          <w:szCs w:val="24"/>
        </w:rPr>
        <w:t>2013</w:t>
      </w:r>
      <w:r>
        <w:rPr>
          <w:rFonts w:hint="eastAsia" w:ascii="Times New Roman" w:hAnsi="Times New Roman" w:eastAsia="方正楷体_GBK"/>
          <w:b w:val="0"/>
          <w:sz w:val="24"/>
          <w:szCs w:val="24"/>
        </w:rPr>
        <w:t>〕</w:t>
      </w:r>
      <w:r>
        <w:rPr>
          <w:rFonts w:ascii="Times New Roman" w:hAnsi="Times New Roman" w:eastAsia="方正楷体_GBK"/>
          <w:b w:val="0"/>
          <w:sz w:val="24"/>
          <w:szCs w:val="24"/>
        </w:rPr>
        <w:t>508</w:t>
      </w:r>
      <w:r>
        <w:rPr>
          <w:rFonts w:hint="eastAsia" w:ascii="Times New Roman" w:hAnsi="Times New Roman" w:eastAsia="方正楷体_GBK"/>
          <w:b w:val="0"/>
          <w:sz w:val="24"/>
          <w:szCs w:val="24"/>
        </w:rPr>
        <w:t>号</w:t>
      </w:r>
      <w:bookmarkEnd w:id="460"/>
      <w:bookmarkEnd w:id="461"/>
    </w:p>
    <w:p>
      <w:pPr>
        <w:pStyle w:val="10"/>
        <w:widowControl w:val="0"/>
        <w:spacing w:before="0" w:beforeAutospacing="0" w:after="0" w:afterAutospacing="0" w:line="420" w:lineRule="exact"/>
        <w:jc w:val="both"/>
        <w:rPr>
          <w:rFonts w:ascii="Times New Roman" w:hAnsi="Times New Roman" w:eastAsia="方正仿宋_GBK"/>
          <w:color w:val="000000"/>
          <w:spacing w:val="-2"/>
        </w:rPr>
      </w:pPr>
      <w:r>
        <w:rPr>
          <w:rFonts w:hint="eastAsia" w:ascii="Times New Roman" w:hAnsi="Times New Roman" w:eastAsia="方正仿宋_GBK"/>
          <w:color w:val="000000"/>
          <w:spacing w:val="-2"/>
        </w:rPr>
        <w:t>各省辖市建设局（委）、泰州市建工局，苏州工业园区规划建设局、张家港保税区规划建设局，昆山市、泰兴市、沭阳县建设局，省有关单位：</w:t>
      </w:r>
    </w:p>
    <w:p>
      <w:pPr>
        <w:pStyle w:val="10"/>
        <w:widowControl w:val="0"/>
        <w:spacing w:before="0" w:beforeAutospacing="0" w:after="0" w:afterAutospacing="0" w:line="420" w:lineRule="exact"/>
        <w:ind w:firstLine="472" w:firstLineChars="200"/>
        <w:jc w:val="both"/>
        <w:rPr>
          <w:rFonts w:ascii="Times New Roman" w:hAnsi="Times New Roman" w:eastAsia="方正仿宋_GBK"/>
          <w:color w:val="000000"/>
          <w:spacing w:val="-2"/>
        </w:rPr>
      </w:pPr>
      <w:r>
        <w:rPr>
          <w:rFonts w:hint="eastAsia" w:ascii="Times New Roman" w:hAnsi="Times New Roman" w:eastAsia="方正仿宋_GBK"/>
          <w:color w:val="000000"/>
          <w:spacing w:val="-2"/>
        </w:rPr>
        <w:t>为进一步转变政府职能和改进作风，提高办事效率，服务建筑业企业开拓市场，经研究决定，现就简化建筑业企业跨区域施工开具相关证明手续通知如下：</w:t>
      </w:r>
    </w:p>
    <w:p>
      <w:pPr>
        <w:pStyle w:val="10"/>
        <w:widowControl w:val="0"/>
        <w:spacing w:before="0" w:beforeAutospacing="0" w:after="0" w:afterAutospacing="0" w:line="420" w:lineRule="exact"/>
        <w:ind w:firstLine="472" w:firstLineChars="200"/>
        <w:jc w:val="both"/>
        <w:rPr>
          <w:rFonts w:ascii="Times New Roman" w:hAnsi="Times New Roman" w:eastAsia="方正黑体_GBK"/>
          <w:color w:val="000000"/>
          <w:spacing w:val="-2"/>
        </w:rPr>
      </w:pPr>
      <w:r>
        <w:rPr>
          <w:rFonts w:hint="eastAsia" w:ascii="Times New Roman" w:hAnsi="Times New Roman" w:eastAsia="方正黑体_GBK"/>
          <w:color w:val="000000"/>
          <w:spacing w:val="-2"/>
        </w:rPr>
        <w:t>一、省外工程所在地无省住房城乡建设厅驻外办事处的办理手续</w:t>
      </w:r>
    </w:p>
    <w:p>
      <w:pPr>
        <w:pStyle w:val="10"/>
        <w:widowControl w:val="0"/>
        <w:spacing w:before="0" w:beforeAutospacing="0" w:after="0" w:afterAutospacing="0" w:line="420" w:lineRule="exact"/>
        <w:ind w:firstLine="472" w:firstLineChars="200"/>
        <w:jc w:val="both"/>
        <w:rPr>
          <w:rFonts w:ascii="Times New Roman" w:hAnsi="Times New Roman" w:eastAsia="方正仿宋_GBK"/>
          <w:color w:val="000000"/>
          <w:spacing w:val="-2"/>
        </w:rPr>
      </w:pPr>
      <w:r>
        <w:rPr>
          <w:rFonts w:hint="eastAsia" w:ascii="Times New Roman" w:hAnsi="Times New Roman" w:eastAsia="方正仿宋_GBK"/>
          <w:color w:val="000000"/>
          <w:spacing w:val="-2"/>
        </w:rPr>
        <w:t>前往河北省、山西省、内蒙古自治区、吉林省、浙江省、安徽省、福建省、江西省、河南省、湖南省、广西壮族自治区、海南省、四川省、贵州省、云南省、西藏自治区、甘肃省、青海省、宁夏回族自治区等</w:t>
      </w:r>
      <w:r>
        <w:rPr>
          <w:rFonts w:ascii="Times New Roman" w:hAnsi="Times New Roman" w:eastAsia="方正仿宋_GBK"/>
          <w:color w:val="000000"/>
          <w:spacing w:val="-2"/>
        </w:rPr>
        <w:t>19</w:t>
      </w:r>
      <w:r>
        <w:rPr>
          <w:rFonts w:hint="eastAsia" w:ascii="Times New Roman" w:hAnsi="Times New Roman" w:eastAsia="方正仿宋_GBK"/>
          <w:color w:val="000000"/>
          <w:spacing w:val="-2"/>
        </w:rPr>
        <w:t>个省（自治区）开展工程建设经营活动的企业，自</w:t>
      </w:r>
      <w:r>
        <w:rPr>
          <w:rFonts w:ascii="Times New Roman" w:hAnsi="Times New Roman" w:eastAsia="方正仿宋_GBK"/>
          <w:color w:val="000000"/>
          <w:spacing w:val="-2"/>
        </w:rPr>
        <w:t>2013</w:t>
      </w:r>
      <w:r>
        <w:rPr>
          <w:rFonts w:hint="eastAsia" w:ascii="Times New Roman" w:hAnsi="Times New Roman" w:eastAsia="方正仿宋_GBK"/>
          <w:color w:val="000000"/>
          <w:spacing w:val="-2"/>
        </w:rPr>
        <w:t>年</w:t>
      </w:r>
      <w:r>
        <w:rPr>
          <w:rFonts w:ascii="Times New Roman" w:hAnsi="Times New Roman" w:eastAsia="方正仿宋_GBK"/>
          <w:color w:val="000000"/>
          <w:spacing w:val="-2"/>
        </w:rPr>
        <w:t>10</w:t>
      </w:r>
      <w:r>
        <w:rPr>
          <w:rFonts w:hint="eastAsia" w:ascii="Times New Roman" w:hAnsi="Times New Roman" w:eastAsia="方正仿宋_GBK"/>
          <w:color w:val="000000"/>
          <w:spacing w:val="-2"/>
        </w:rPr>
        <w:t>月</w:t>
      </w:r>
      <w:r>
        <w:rPr>
          <w:rFonts w:ascii="Times New Roman" w:hAnsi="Times New Roman" w:eastAsia="方正仿宋_GBK"/>
          <w:color w:val="000000"/>
          <w:spacing w:val="-2"/>
        </w:rPr>
        <w:t>14</w:t>
      </w:r>
      <w:r>
        <w:rPr>
          <w:rFonts w:hint="eastAsia" w:ascii="Times New Roman" w:hAnsi="Times New Roman" w:eastAsia="方正仿宋_GBK"/>
          <w:color w:val="000000"/>
          <w:spacing w:val="-2"/>
        </w:rPr>
        <w:t>日起，可凭企业用户名、密码或加密锁登录江苏省建筑业监管信息平台，进入出省施工证明审批</w:t>
      </w:r>
      <w:r>
        <w:rPr>
          <w:rFonts w:ascii="Times New Roman" w:hAnsi="Times New Roman" w:eastAsia="方正仿宋_GBK"/>
          <w:color w:val="000000"/>
          <w:spacing w:val="-2"/>
        </w:rPr>
        <w:t>2.0</w:t>
      </w:r>
      <w:r>
        <w:rPr>
          <w:rFonts w:hint="eastAsia" w:ascii="Times New Roman" w:hAnsi="Times New Roman" w:eastAsia="方正仿宋_GBK"/>
          <w:color w:val="000000"/>
          <w:spacing w:val="-2"/>
        </w:rPr>
        <w:t>版，进行网上申请。经系统自动审核通过后，使用激光彩色打印机打印系统自动生成加载了</w:t>
      </w:r>
      <w:r>
        <w:rPr>
          <w:rFonts w:ascii="Times New Roman" w:hAnsi="Times New Roman" w:eastAsia="方正仿宋_GBK"/>
          <w:color w:val="000000"/>
          <w:spacing w:val="-2"/>
        </w:rPr>
        <w:t>“</w:t>
      </w:r>
      <w:r>
        <w:rPr>
          <w:rFonts w:hint="eastAsia" w:ascii="Times New Roman" w:hAnsi="Times New Roman" w:eastAsia="方正仿宋_GBK"/>
          <w:color w:val="000000"/>
          <w:spacing w:val="-2"/>
        </w:rPr>
        <w:t>江苏省住房和城乡建设厅施工队伍介绍专用章</w:t>
      </w:r>
      <w:r>
        <w:rPr>
          <w:rFonts w:ascii="Times New Roman" w:hAnsi="Times New Roman" w:eastAsia="方正仿宋_GBK"/>
          <w:color w:val="000000"/>
          <w:spacing w:val="-2"/>
        </w:rPr>
        <w:t>”</w:t>
      </w:r>
      <w:r>
        <w:rPr>
          <w:rFonts w:hint="eastAsia" w:ascii="Times New Roman" w:hAnsi="Times New Roman" w:eastAsia="方正仿宋_GBK"/>
          <w:color w:val="000000"/>
          <w:spacing w:val="-2"/>
        </w:rPr>
        <w:t>的相关证明。系统</w:t>
      </w:r>
      <w:r>
        <w:rPr>
          <w:rFonts w:ascii="Times New Roman" w:hAnsi="Times New Roman" w:eastAsia="方正仿宋_GBK"/>
          <w:color w:val="000000"/>
          <w:spacing w:val="-2"/>
        </w:rPr>
        <w:t>24</w:t>
      </w:r>
      <w:r>
        <w:rPr>
          <w:rFonts w:hint="eastAsia" w:ascii="Times New Roman" w:hAnsi="Times New Roman" w:eastAsia="方正仿宋_GBK"/>
          <w:color w:val="000000"/>
          <w:spacing w:val="-2"/>
        </w:rPr>
        <w:t>小时网上接受申请并开具证明，办理结果同步在江苏建筑业网上公开。</w:t>
      </w:r>
    </w:p>
    <w:p>
      <w:pPr>
        <w:pStyle w:val="10"/>
        <w:widowControl w:val="0"/>
        <w:spacing w:before="0" w:beforeAutospacing="0" w:after="0" w:afterAutospacing="0" w:line="420" w:lineRule="exact"/>
        <w:ind w:firstLine="472" w:firstLineChars="200"/>
        <w:jc w:val="both"/>
        <w:rPr>
          <w:rFonts w:ascii="Times New Roman" w:hAnsi="Times New Roman" w:eastAsia="方正黑体_GBK"/>
          <w:color w:val="000000"/>
          <w:spacing w:val="-2"/>
        </w:rPr>
      </w:pPr>
      <w:r>
        <w:rPr>
          <w:rFonts w:hint="eastAsia" w:ascii="Times New Roman" w:hAnsi="Times New Roman" w:eastAsia="方正黑体_GBK"/>
          <w:color w:val="000000"/>
          <w:spacing w:val="-2"/>
        </w:rPr>
        <w:t>二、省外工程所在地有省住房城乡建设厅驻外办事处的办理手续</w:t>
      </w:r>
    </w:p>
    <w:p>
      <w:pPr>
        <w:pStyle w:val="10"/>
        <w:widowControl w:val="0"/>
        <w:spacing w:before="0" w:beforeAutospacing="0" w:after="0" w:afterAutospacing="0" w:line="420" w:lineRule="exact"/>
        <w:ind w:firstLine="472" w:firstLineChars="200"/>
        <w:jc w:val="both"/>
        <w:rPr>
          <w:rFonts w:ascii="Times New Roman" w:hAnsi="Times New Roman" w:eastAsia="方正仿宋_GBK"/>
          <w:color w:val="000000"/>
          <w:spacing w:val="-2"/>
        </w:rPr>
      </w:pPr>
      <w:r>
        <w:rPr>
          <w:rFonts w:hint="eastAsia" w:ascii="Times New Roman" w:hAnsi="Times New Roman" w:eastAsia="方正仿宋_GBK"/>
          <w:color w:val="000000"/>
          <w:spacing w:val="-2"/>
        </w:rPr>
        <w:t>前往北京市、天津市、辽宁省、黑龙江省、上海市、山东省、湖北省、广东省、重庆市、陕西省、新疆维吾尔自治区等</w:t>
      </w:r>
      <w:r>
        <w:rPr>
          <w:rFonts w:ascii="Times New Roman" w:hAnsi="Times New Roman" w:eastAsia="方正仿宋_GBK"/>
          <w:color w:val="000000"/>
          <w:spacing w:val="-2"/>
        </w:rPr>
        <w:t>11</w:t>
      </w:r>
      <w:r>
        <w:rPr>
          <w:rFonts w:hint="eastAsia" w:ascii="Times New Roman" w:hAnsi="Times New Roman" w:eastAsia="方正仿宋_GBK"/>
          <w:color w:val="000000"/>
          <w:spacing w:val="-2"/>
        </w:rPr>
        <w:t>个省（直辖市、自治区）开展工程建设经营活动的企业，自</w:t>
      </w:r>
      <w:r>
        <w:rPr>
          <w:rFonts w:ascii="Times New Roman" w:hAnsi="Times New Roman" w:eastAsia="方正仿宋_GBK"/>
          <w:color w:val="000000"/>
          <w:spacing w:val="-2"/>
        </w:rPr>
        <w:t>2013</w:t>
      </w:r>
      <w:r>
        <w:rPr>
          <w:rFonts w:hint="eastAsia" w:ascii="Times New Roman" w:hAnsi="Times New Roman" w:eastAsia="方正仿宋_GBK"/>
          <w:color w:val="000000"/>
          <w:spacing w:val="-2"/>
        </w:rPr>
        <w:t>年</w:t>
      </w:r>
      <w:r>
        <w:rPr>
          <w:rFonts w:ascii="Times New Roman" w:hAnsi="Times New Roman" w:eastAsia="方正仿宋_GBK"/>
          <w:color w:val="000000"/>
          <w:spacing w:val="-2"/>
        </w:rPr>
        <w:t>10</w:t>
      </w:r>
      <w:r>
        <w:rPr>
          <w:rFonts w:hint="eastAsia" w:ascii="Times New Roman" w:hAnsi="Times New Roman" w:eastAsia="方正仿宋_GBK"/>
          <w:color w:val="000000"/>
          <w:spacing w:val="-2"/>
        </w:rPr>
        <w:t>月</w:t>
      </w:r>
      <w:r>
        <w:rPr>
          <w:rFonts w:ascii="Times New Roman" w:hAnsi="Times New Roman" w:eastAsia="方正仿宋_GBK"/>
          <w:color w:val="000000"/>
          <w:spacing w:val="-2"/>
        </w:rPr>
        <w:t>14</w:t>
      </w:r>
      <w:r>
        <w:rPr>
          <w:rFonts w:hint="eastAsia" w:ascii="Times New Roman" w:hAnsi="Times New Roman" w:eastAsia="方正仿宋_GBK"/>
          <w:color w:val="000000"/>
          <w:spacing w:val="-2"/>
        </w:rPr>
        <w:t>日起，可凭企业用户名、密码或加密锁登录江苏省建筑业监管信息平台，进入出省施工证明审批</w:t>
      </w:r>
      <w:r>
        <w:rPr>
          <w:rFonts w:ascii="Times New Roman" w:hAnsi="Times New Roman" w:eastAsia="方正仿宋_GBK"/>
          <w:color w:val="000000"/>
          <w:spacing w:val="-2"/>
        </w:rPr>
        <w:t>2.0</w:t>
      </w:r>
      <w:r>
        <w:rPr>
          <w:rFonts w:hint="eastAsia" w:ascii="Times New Roman" w:hAnsi="Times New Roman" w:eastAsia="方正仿宋_GBK"/>
          <w:color w:val="000000"/>
          <w:spacing w:val="-2"/>
        </w:rPr>
        <w:t>版，进行网上申请。经系统自动审核通过后，企业凭打印出的回执单至省住房城乡建设厅驻外办事处打印出省施工相关证明，办理结果同步在江苏建筑业网上公开。</w:t>
      </w:r>
    </w:p>
    <w:p>
      <w:pPr>
        <w:pStyle w:val="10"/>
        <w:widowControl w:val="0"/>
        <w:spacing w:before="0" w:beforeAutospacing="0" w:after="0" w:afterAutospacing="0" w:line="420" w:lineRule="exact"/>
        <w:ind w:firstLine="472" w:firstLineChars="200"/>
        <w:jc w:val="both"/>
        <w:rPr>
          <w:rFonts w:ascii="Times New Roman" w:hAnsi="Times New Roman" w:eastAsia="方正黑体_GBK"/>
          <w:color w:val="000000"/>
          <w:spacing w:val="-2"/>
        </w:rPr>
      </w:pPr>
      <w:r>
        <w:rPr>
          <w:rFonts w:hint="eastAsia" w:ascii="Times New Roman" w:hAnsi="Times New Roman" w:eastAsia="方正黑体_GBK"/>
          <w:color w:val="000000"/>
          <w:spacing w:val="-2"/>
        </w:rPr>
        <w:t>三、取消省内企业在省内跨区域施工开具相关证明事项</w:t>
      </w:r>
    </w:p>
    <w:p>
      <w:pPr>
        <w:pStyle w:val="10"/>
        <w:widowControl w:val="0"/>
        <w:spacing w:before="0" w:beforeAutospacing="0" w:after="0" w:afterAutospacing="0" w:line="420" w:lineRule="exact"/>
        <w:ind w:firstLine="472" w:firstLineChars="200"/>
        <w:jc w:val="both"/>
        <w:rPr>
          <w:rFonts w:ascii="Times New Roman" w:hAnsi="Times New Roman" w:eastAsia="方正仿宋_GBK"/>
          <w:color w:val="000000"/>
          <w:spacing w:val="-2"/>
        </w:rPr>
      </w:pPr>
      <w:r>
        <w:rPr>
          <w:rFonts w:hint="eastAsia" w:ascii="Times New Roman" w:hAnsi="Times New Roman" w:eastAsia="方正仿宋_GBK"/>
          <w:color w:val="000000"/>
          <w:spacing w:val="-2"/>
        </w:rPr>
        <w:t>本省建筑业企业在本省行政区域内跨企业注册所在地市、县（区）施工，工程所在地建设行政主管部门在市场准入、招标投标等环节一律不得要求企业注册所在地建设行政主管部门出具相关证明，不得设立不合理条件排斥或限制承揽业务。对于违反规定的，省住房城乡建设厅将责令其限期改正直至予以通报批评。</w:t>
      </w:r>
    </w:p>
    <w:p>
      <w:pPr>
        <w:pStyle w:val="10"/>
        <w:widowControl w:val="0"/>
        <w:spacing w:before="0" w:beforeAutospacing="0" w:after="0" w:afterAutospacing="0" w:line="420" w:lineRule="exact"/>
        <w:ind w:firstLine="472" w:firstLineChars="200"/>
        <w:jc w:val="both"/>
        <w:rPr>
          <w:rFonts w:ascii="Times New Roman" w:hAnsi="Times New Roman" w:eastAsia="方正黑体_GBK"/>
          <w:color w:val="000000"/>
          <w:spacing w:val="-2"/>
        </w:rPr>
      </w:pPr>
      <w:r>
        <w:rPr>
          <w:rFonts w:hint="eastAsia" w:ascii="Times New Roman" w:hAnsi="Times New Roman" w:eastAsia="方正黑体_GBK"/>
          <w:color w:val="000000"/>
          <w:spacing w:val="-2"/>
        </w:rPr>
        <w:t>四、后续监管</w:t>
      </w:r>
    </w:p>
    <w:p>
      <w:pPr>
        <w:pStyle w:val="10"/>
        <w:widowControl w:val="0"/>
        <w:spacing w:before="0" w:beforeAutospacing="0" w:after="0" w:afterAutospacing="0" w:line="420" w:lineRule="exact"/>
        <w:ind w:firstLine="472" w:firstLineChars="200"/>
        <w:jc w:val="both"/>
        <w:rPr>
          <w:rFonts w:ascii="Times New Roman" w:hAnsi="Times New Roman" w:eastAsia="方正仿宋_GBK"/>
          <w:color w:val="000000"/>
          <w:spacing w:val="-2"/>
        </w:rPr>
      </w:pPr>
      <w:r>
        <w:rPr>
          <w:rFonts w:hint="eastAsia" w:ascii="Times New Roman" w:hAnsi="Times New Roman" w:eastAsia="方正仿宋_GBK"/>
          <w:color w:val="000000"/>
          <w:spacing w:val="-2"/>
        </w:rPr>
        <w:t>（一）各级建设行政主管部门在出省施工证明审批</w:t>
      </w:r>
      <w:r>
        <w:rPr>
          <w:rFonts w:ascii="Times New Roman" w:hAnsi="Times New Roman" w:eastAsia="方正仿宋_GBK"/>
          <w:color w:val="000000"/>
          <w:spacing w:val="-2"/>
        </w:rPr>
        <w:t>2.0</w:t>
      </w:r>
      <w:r>
        <w:rPr>
          <w:rFonts w:hint="eastAsia" w:ascii="Times New Roman" w:hAnsi="Times New Roman" w:eastAsia="方正仿宋_GBK"/>
          <w:color w:val="000000"/>
          <w:spacing w:val="-2"/>
        </w:rPr>
        <w:t>版投入使用后，可通过系统对辖区内开展工程建设经营活动中产生违法、违规等不良行为的企业在系统内进行数据维护和监管。</w:t>
      </w:r>
    </w:p>
    <w:p>
      <w:pPr>
        <w:pStyle w:val="10"/>
        <w:widowControl w:val="0"/>
        <w:spacing w:before="0" w:beforeAutospacing="0" w:after="0" w:afterAutospacing="0" w:line="420" w:lineRule="exact"/>
        <w:ind w:firstLine="472" w:firstLineChars="200"/>
        <w:jc w:val="both"/>
        <w:rPr>
          <w:rFonts w:ascii="Times New Roman" w:hAnsi="Times New Roman" w:eastAsia="方正仿宋_GBK"/>
          <w:color w:val="000000"/>
          <w:spacing w:val="-2"/>
        </w:rPr>
      </w:pPr>
      <w:r>
        <w:rPr>
          <w:rFonts w:hint="eastAsia" w:ascii="Times New Roman" w:hAnsi="Times New Roman" w:eastAsia="方正仿宋_GBK"/>
          <w:color w:val="000000"/>
          <w:spacing w:val="-2"/>
        </w:rPr>
        <w:t>（二）各级建设行政主管部门在本省外地企业市场准入、招标投标等环节可按照《江苏省行政管理中实行信用报告信用承诺和信用审查的办法》（苏政办发〔</w:t>
      </w:r>
      <w:r>
        <w:rPr>
          <w:rFonts w:ascii="Times New Roman" w:hAnsi="Times New Roman" w:eastAsia="方正仿宋_GBK"/>
          <w:color w:val="000000"/>
          <w:spacing w:val="-2"/>
        </w:rPr>
        <w:t>2013</w:t>
      </w:r>
      <w:r>
        <w:rPr>
          <w:rFonts w:hint="eastAsia" w:ascii="Times New Roman" w:hAnsi="Times New Roman" w:eastAsia="方正仿宋_GBK"/>
          <w:color w:val="000000"/>
          <w:spacing w:val="-2"/>
        </w:rPr>
        <w:t>〕</w:t>
      </w:r>
      <w:r>
        <w:rPr>
          <w:rFonts w:ascii="Times New Roman" w:hAnsi="Times New Roman" w:eastAsia="方正仿宋_GBK"/>
          <w:color w:val="000000"/>
          <w:spacing w:val="-2"/>
        </w:rPr>
        <w:t>101</w:t>
      </w:r>
      <w:r>
        <w:rPr>
          <w:rFonts w:hint="eastAsia" w:ascii="Times New Roman" w:hAnsi="Times New Roman" w:eastAsia="方正仿宋_GBK"/>
          <w:color w:val="000000"/>
          <w:spacing w:val="-2"/>
        </w:rPr>
        <w:t>号）（见附件</w:t>
      </w:r>
      <w:r>
        <w:rPr>
          <w:rFonts w:ascii="Times New Roman" w:hAnsi="Times New Roman" w:eastAsia="方正仿宋_GBK"/>
          <w:color w:val="000000"/>
          <w:spacing w:val="-2"/>
        </w:rPr>
        <w:t>2</w:t>
      </w:r>
      <w:r>
        <w:rPr>
          <w:rFonts w:hint="eastAsia" w:ascii="Times New Roman" w:hAnsi="Times New Roman" w:eastAsia="方正仿宋_GBK"/>
          <w:color w:val="000000"/>
          <w:spacing w:val="-2"/>
        </w:rPr>
        <w:t>）第十三条、第十五条的规定，采用企业信用承诺的方式替代原有审查形式。</w:t>
      </w:r>
    </w:p>
    <w:p>
      <w:pPr>
        <w:pStyle w:val="10"/>
        <w:widowControl w:val="0"/>
        <w:spacing w:before="0" w:beforeAutospacing="0" w:after="0" w:afterAutospacing="0" w:line="420" w:lineRule="exact"/>
        <w:ind w:firstLine="472" w:firstLineChars="200"/>
        <w:jc w:val="both"/>
        <w:rPr>
          <w:rFonts w:ascii="Times New Roman" w:hAnsi="Times New Roman" w:eastAsia="方正仿宋_GBK"/>
          <w:color w:val="000000"/>
          <w:spacing w:val="-2"/>
        </w:rPr>
      </w:pPr>
      <w:r>
        <w:rPr>
          <w:rFonts w:hint="eastAsia" w:ascii="Times New Roman" w:hAnsi="Times New Roman" w:eastAsia="方正仿宋_GBK"/>
          <w:color w:val="000000"/>
          <w:spacing w:val="-2"/>
        </w:rPr>
        <w:t>（三）出省施工证明审批</w:t>
      </w:r>
      <w:r>
        <w:rPr>
          <w:rFonts w:ascii="Times New Roman" w:hAnsi="Times New Roman" w:eastAsia="方正仿宋_GBK"/>
          <w:color w:val="000000"/>
          <w:spacing w:val="-2"/>
        </w:rPr>
        <w:t>2.0</w:t>
      </w:r>
      <w:r>
        <w:rPr>
          <w:rFonts w:hint="eastAsia" w:ascii="Times New Roman" w:hAnsi="Times New Roman" w:eastAsia="方正仿宋_GBK"/>
          <w:color w:val="000000"/>
          <w:spacing w:val="-2"/>
        </w:rPr>
        <w:t>版系统自动不接受未参加当年度资质网上核查、建造师人数不满足标准要求、无安全生产许可证或不在有效状态企业的申请；各级建设行政主管部门可根据权限对企业和建造师安全生产情况、企业诚信行为和农民工工资支付情况进行数据维护。对于存在不良信息的企业，系统自动不予审核通过。</w:t>
      </w:r>
    </w:p>
    <w:p>
      <w:pPr>
        <w:pStyle w:val="10"/>
        <w:widowControl w:val="0"/>
        <w:spacing w:before="0" w:beforeAutospacing="0" w:after="0" w:afterAutospacing="0" w:line="420" w:lineRule="exact"/>
        <w:ind w:firstLine="472" w:firstLineChars="200"/>
        <w:jc w:val="both"/>
        <w:rPr>
          <w:rFonts w:ascii="Times New Roman" w:hAnsi="Times New Roman" w:eastAsia="方正黑体_GBK"/>
          <w:color w:val="000000"/>
          <w:spacing w:val="-2"/>
        </w:rPr>
      </w:pPr>
      <w:r>
        <w:rPr>
          <w:rFonts w:hint="eastAsia" w:ascii="Times New Roman" w:hAnsi="Times New Roman" w:eastAsia="方正黑体_GBK"/>
          <w:color w:val="000000"/>
          <w:spacing w:val="-2"/>
        </w:rPr>
        <w:t>五、其它事项</w:t>
      </w:r>
    </w:p>
    <w:p>
      <w:pPr>
        <w:pStyle w:val="10"/>
        <w:widowControl w:val="0"/>
        <w:spacing w:before="0" w:beforeAutospacing="0" w:after="0" w:afterAutospacing="0" w:line="420" w:lineRule="exact"/>
        <w:ind w:firstLine="472" w:firstLineChars="200"/>
        <w:jc w:val="both"/>
        <w:rPr>
          <w:rFonts w:ascii="Times New Roman" w:hAnsi="Times New Roman" w:eastAsia="方正仿宋_GBK"/>
          <w:color w:val="000000"/>
          <w:spacing w:val="-2"/>
        </w:rPr>
      </w:pPr>
      <w:r>
        <w:rPr>
          <w:rFonts w:hint="eastAsia" w:ascii="Times New Roman" w:hAnsi="Times New Roman" w:eastAsia="方正仿宋_GBK"/>
          <w:color w:val="000000"/>
          <w:spacing w:val="-2"/>
        </w:rPr>
        <w:t>（一）本通知中的</w:t>
      </w:r>
      <w:r>
        <w:rPr>
          <w:rFonts w:ascii="Times New Roman" w:hAnsi="Times New Roman" w:eastAsia="方正仿宋_GBK"/>
          <w:color w:val="000000"/>
          <w:spacing w:val="-2"/>
        </w:rPr>
        <w:t>“</w:t>
      </w:r>
      <w:r>
        <w:rPr>
          <w:rFonts w:hint="eastAsia" w:ascii="Times New Roman" w:hAnsi="Times New Roman" w:eastAsia="方正仿宋_GBK"/>
          <w:color w:val="000000"/>
          <w:spacing w:val="-2"/>
        </w:rPr>
        <w:t>相关证明</w:t>
      </w:r>
      <w:r>
        <w:rPr>
          <w:rFonts w:ascii="Times New Roman" w:hAnsi="Times New Roman" w:eastAsia="方正仿宋_GBK"/>
          <w:color w:val="000000"/>
          <w:spacing w:val="-2"/>
        </w:rPr>
        <w:t>”</w:t>
      </w:r>
      <w:r>
        <w:rPr>
          <w:rFonts w:hint="eastAsia" w:ascii="Times New Roman" w:hAnsi="Times New Roman" w:eastAsia="方正仿宋_GBK"/>
          <w:color w:val="000000"/>
          <w:spacing w:val="-2"/>
        </w:rPr>
        <w:t>是指外出施工介绍信、诚信证明、质量安全证明、无拖欠农民工工资行为证明、建造师无在建工程证明、建造师无安全事故证明等。</w:t>
      </w:r>
    </w:p>
    <w:p>
      <w:pPr>
        <w:pStyle w:val="10"/>
        <w:widowControl w:val="0"/>
        <w:spacing w:before="0" w:beforeAutospacing="0" w:after="0" w:afterAutospacing="0" w:line="420" w:lineRule="exact"/>
        <w:ind w:firstLine="472" w:firstLineChars="200"/>
        <w:jc w:val="both"/>
        <w:rPr>
          <w:rFonts w:ascii="Times New Roman" w:hAnsi="Times New Roman" w:eastAsia="方正仿宋_GBK"/>
          <w:color w:val="000000"/>
          <w:spacing w:val="-2"/>
        </w:rPr>
      </w:pPr>
      <w:r>
        <w:rPr>
          <w:rFonts w:hint="eastAsia" w:ascii="Times New Roman" w:hAnsi="Times New Roman" w:eastAsia="方正仿宋_GBK"/>
          <w:color w:val="000000"/>
          <w:spacing w:val="-2"/>
        </w:rPr>
        <w:t>（二）本通知中的</w:t>
      </w:r>
      <w:r>
        <w:rPr>
          <w:rFonts w:ascii="Times New Roman" w:hAnsi="Times New Roman" w:eastAsia="方正仿宋_GBK"/>
          <w:color w:val="000000"/>
          <w:spacing w:val="-2"/>
        </w:rPr>
        <w:t>“</w:t>
      </w:r>
      <w:r>
        <w:rPr>
          <w:rFonts w:hint="eastAsia" w:ascii="Times New Roman" w:hAnsi="Times New Roman" w:eastAsia="方正仿宋_GBK"/>
          <w:color w:val="000000"/>
          <w:spacing w:val="-2"/>
        </w:rPr>
        <w:t>建筑业企业</w:t>
      </w:r>
      <w:r>
        <w:rPr>
          <w:rFonts w:ascii="Times New Roman" w:hAnsi="Times New Roman" w:eastAsia="方正仿宋_GBK"/>
          <w:color w:val="000000"/>
          <w:spacing w:val="-2"/>
        </w:rPr>
        <w:t>”</w:t>
      </w:r>
      <w:r>
        <w:rPr>
          <w:rFonts w:hint="eastAsia" w:ascii="Times New Roman" w:hAnsi="Times New Roman" w:eastAsia="方正仿宋_GBK"/>
          <w:color w:val="000000"/>
          <w:spacing w:val="-2"/>
        </w:rPr>
        <w:t>含从事施工任务的设计施工一体化资质企业。</w:t>
      </w:r>
    </w:p>
    <w:p>
      <w:pPr>
        <w:pStyle w:val="10"/>
        <w:widowControl w:val="0"/>
        <w:spacing w:before="0" w:beforeAutospacing="0" w:after="0" w:afterAutospacing="0" w:line="420" w:lineRule="exact"/>
        <w:ind w:firstLine="472" w:firstLineChars="200"/>
        <w:jc w:val="both"/>
        <w:rPr>
          <w:rFonts w:ascii="Times New Roman" w:hAnsi="Times New Roman" w:eastAsia="方正仿宋_GBK"/>
          <w:color w:val="000000"/>
          <w:spacing w:val="-2"/>
        </w:rPr>
      </w:pPr>
      <w:r>
        <w:rPr>
          <w:rFonts w:hint="eastAsia" w:ascii="Times New Roman" w:hAnsi="Times New Roman" w:eastAsia="方正仿宋_GBK"/>
          <w:color w:val="000000"/>
          <w:spacing w:val="-2"/>
        </w:rPr>
        <w:t>（三）原外出施工证明</w:t>
      </w:r>
      <w:r>
        <w:rPr>
          <w:rFonts w:ascii="Times New Roman" w:hAnsi="Times New Roman" w:eastAsia="方正仿宋_GBK"/>
          <w:color w:val="000000"/>
          <w:spacing w:val="-2"/>
        </w:rPr>
        <w:t>1.0</w:t>
      </w:r>
      <w:r>
        <w:rPr>
          <w:rFonts w:hint="eastAsia" w:ascii="Times New Roman" w:hAnsi="Times New Roman" w:eastAsia="方正仿宋_GBK"/>
          <w:color w:val="000000"/>
          <w:spacing w:val="-2"/>
        </w:rPr>
        <w:t>版继续使用至</w:t>
      </w:r>
      <w:r>
        <w:rPr>
          <w:rFonts w:ascii="Times New Roman" w:hAnsi="Times New Roman" w:eastAsia="方正仿宋_GBK"/>
          <w:color w:val="000000"/>
          <w:spacing w:val="-2"/>
        </w:rPr>
        <w:t>2013</w:t>
      </w:r>
      <w:r>
        <w:rPr>
          <w:rFonts w:hint="eastAsia" w:ascii="Times New Roman" w:hAnsi="Times New Roman" w:eastAsia="方正仿宋_GBK"/>
          <w:color w:val="000000"/>
          <w:spacing w:val="-2"/>
        </w:rPr>
        <w:t>年</w:t>
      </w:r>
      <w:r>
        <w:rPr>
          <w:rFonts w:ascii="Times New Roman" w:hAnsi="Times New Roman" w:eastAsia="方正仿宋_GBK"/>
          <w:color w:val="000000"/>
          <w:spacing w:val="-2"/>
        </w:rPr>
        <w:t>10</w:t>
      </w:r>
      <w:r>
        <w:rPr>
          <w:rFonts w:hint="eastAsia" w:ascii="Times New Roman" w:hAnsi="Times New Roman" w:eastAsia="方正仿宋_GBK"/>
          <w:color w:val="000000"/>
          <w:spacing w:val="-2"/>
        </w:rPr>
        <w:t>月</w:t>
      </w:r>
      <w:r>
        <w:rPr>
          <w:rFonts w:ascii="Times New Roman" w:hAnsi="Times New Roman" w:eastAsia="方正仿宋_GBK"/>
          <w:color w:val="000000"/>
          <w:spacing w:val="-2"/>
        </w:rPr>
        <w:t>31</w:t>
      </w:r>
      <w:r>
        <w:rPr>
          <w:rFonts w:hint="eastAsia" w:ascii="Times New Roman" w:hAnsi="Times New Roman" w:eastAsia="方正仿宋_GBK"/>
          <w:color w:val="000000"/>
          <w:spacing w:val="-2"/>
        </w:rPr>
        <w:t>日。</w:t>
      </w:r>
    </w:p>
    <w:p>
      <w:pPr>
        <w:pStyle w:val="10"/>
        <w:widowControl w:val="0"/>
        <w:spacing w:before="0" w:beforeAutospacing="0" w:after="0" w:afterAutospacing="0" w:line="420" w:lineRule="exact"/>
        <w:ind w:firstLine="472" w:firstLineChars="200"/>
        <w:jc w:val="both"/>
        <w:rPr>
          <w:rFonts w:ascii="Times New Roman" w:hAnsi="Times New Roman" w:eastAsia="方正仿宋_GBK"/>
          <w:color w:val="000000"/>
          <w:spacing w:val="-2"/>
        </w:rPr>
      </w:pPr>
      <w:r>
        <w:rPr>
          <w:rFonts w:hint="eastAsia" w:ascii="Times New Roman" w:hAnsi="Times New Roman" w:eastAsia="方正仿宋_GBK"/>
          <w:color w:val="000000"/>
          <w:spacing w:val="-2"/>
        </w:rPr>
        <w:t>（四）各市、县（市、区）系统维护人员名单请填写</w:t>
      </w:r>
      <w:r>
        <w:rPr>
          <w:rFonts w:ascii="Times New Roman" w:hAnsi="Times New Roman" w:eastAsia="方正仿宋_GBK"/>
          <w:color w:val="000000"/>
          <w:spacing w:val="-2"/>
        </w:rPr>
        <w:t>“</w:t>
      </w:r>
      <w:r>
        <w:rPr>
          <w:rFonts w:hint="eastAsia" w:ascii="Times New Roman" w:hAnsi="Times New Roman" w:eastAsia="方正仿宋_GBK"/>
          <w:color w:val="000000"/>
          <w:spacing w:val="-2"/>
        </w:rPr>
        <w:t>出省施工证明审批</w:t>
      </w:r>
      <w:r>
        <w:rPr>
          <w:rFonts w:ascii="Times New Roman" w:hAnsi="Times New Roman" w:eastAsia="方正仿宋_GBK"/>
          <w:color w:val="000000"/>
          <w:spacing w:val="-2"/>
        </w:rPr>
        <w:t>2.0</w:t>
      </w:r>
      <w:r>
        <w:rPr>
          <w:rFonts w:hint="eastAsia" w:ascii="Times New Roman" w:hAnsi="Times New Roman" w:eastAsia="方正仿宋_GBK"/>
          <w:color w:val="000000"/>
          <w:spacing w:val="-2"/>
        </w:rPr>
        <w:t>版系统维护人员登记表</w:t>
      </w:r>
      <w:r>
        <w:rPr>
          <w:rFonts w:ascii="Times New Roman" w:hAnsi="Times New Roman" w:eastAsia="方正仿宋_GBK"/>
          <w:color w:val="000000"/>
          <w:spacing w:val="-2"/>
        </w:rPr>
        <w:t>”</w:t>
      </w:r>
      <w:r>
        <w:rPr>
          <w:rFonts w:hint="eastAsia" w:ascii="Times New Roman" w:hAnsi="Times New Roman" w:eastAsia="方正仿宋_GBK"/>
          <w:color w:val="000000"/>
          <w:spacing w:val="-2"/>
        </w:rPr>
        <w:t>（见附件</w:t>
      </w:r>
      <w:r>
        <w:rPr>
          <w:rFonts w:ascii="Times New Roman" w:hAnsi="Times New Roman" w:eastAsia="方正仿宋_GBK"/>
          <w:color w:val="000000"/>
          <w:spacing w:val="-2"/>
        </w:rPr>
        <w:t>2</w:t>
      </w:r>
      <w:r>
        <w:rPr>
          <w:rFonts w:hint="eastAsia" w:ascii="Times New Roman" w:hAnsi="Times New Roman" w:eastAsia="方正仿宋_GBK"/>
          <w:color w:val="000000"/>
          <w:spacing w:val="-2"/>
        </w:rPr>
        <w:t>），以各直辖市（园区、保税区、省管县）为单位于</w:t>
      </w:r>
      <w:r>
        <w:rPr>
          <w:rFonts w:ascii="Times New Roman" w:hAnsi="Times New Roman" w:eastAsia="方正仿宋_GBK"/>
          <w:color w:val="000000"/>
          <w:spacing w:val="-2"/>
        </w:rPr>
        <w:t>10</w:t>
      </w:r>
      <w:r>
        <w:rPr>
          <w:rFonts w:hint="eastAsia" w:ascii="Times New Roman" w:hAnsi="Times New Roman" w:eastAsia="方正仿宋_GBK"/>
          <w:color w:val="000000"/>
          <w:spacing w:val="-2"/>
        </w:rPr>
        <w:t>月</w:t>
      </w:r>
      <w:r>
        <w:rPr>
          <w:rFonts w:ascii="Times New Roman" w:hAnsi="Times New Roman" w:eastAsia="方正仿宋_GBK"/>
          <w:color w:val="000000"/>
          <w:spacing w:val="-2"/>
        </w:rPr>
        <w:t>18</w:t>
      </w:r>
      <w:r>
        <w:rPr>
          <w:rFonts w:hint="eastAsia" w:ascii="Times New Roman" w:hAnsi="Times New Roman" w:eastAsia="方正仿宋_GBK"/>
          <w:color w:val="000000"/>
          <w:spacing w:val="-2"/>
        </w:rPr>
        <w:t>日前报省住房城乡建设厅建管处。传真：</w:t>
      </w:r>
      <w:r>
        <w:rPr>
          <w:rFonts w:ascii="Times New Roman" w:hAnsi="Times New Roman" w:eastAsia="方正仿宋_GBK"/>
          <w:color w:val="000000"/>
          <w:spacing w:val="-2"/>
        </w:rPr>
        <w:t>025-51868740</w:t>
      </w:r>
      <w:r>
        <w:rPr>
          <w:rFonts w:hint="eastAsia" w:ascii="Times New Roman" w:hAnsi="Times New Roman" w:eastAsia="方正仿宋_GBK"/>
          <w:color w:val="000000"/>
          <w:spacing w:val="-2"/>
        </w:rPr>
        <w:t>。</w:t>
      </w:r>
    </w:p>
    <w:p>
      <w:pPr>
        <w:pStyle w:val="10"/>
        <w:widowControl w:val="0"/>
        <w:spacing w:before="0" w:beforeAutospacing="0" w:after="0" w:afterAutospacing="0" w:line="420" w:lineRule="exact"/>
        <w:ind w:firstLine="472" w:firstLineChars="200"/>
        <w:jc w:val="both"/>
        <w:rPr>
          <w:rFonts w:ascii="Times New Roman" w:hAnsi="Times New Roman" w:eastAsia="方正黑体_GBK"/>
          <w:color w:val="000000"/>
          <w:spacing w:val="-2"/>
        </w:rPr>
      </w:pPr>
      <w:r>
        <w:rPr>
          <w:rFonts w:hint="eastAsia" w:ascii="Times New Roman" w:hAnsi="Times New Roman" w:eastAsia="方正黑体_GBK"/>
          <w:color w:val="000000"/>
          <w:spacing w:val="-2"/>
        </w:rPr>
        <w:t>六、要求</w:t>
      </w:r>
    </w:p>
    <w:p>
      <w:pPr>
        <w:pStyle w:val="10"/>
        <w:widowControl w:val="0"/>
        <w:spacing w:before="0" w:beforeAutospacing="0" w:after="0" w:afterAutospacing="0" w:line="420" w:lineRule="exact"/>
        <w:ind w:firstLine="472" w:firstLineChars="200"/>
        <w:jc w:val="both"/>
        <w:rPr>
          <w:rFonts w:ascii="Times New Roman" w:hAnsi="Times New Roman" w:eastAsia="方正仿宋_GBK"/>
          <w:color w:val="000000"/>
          <w:spacing w:val="-2"/>
        </w:rPr>
      </w:pPr>
      <w:r>
        <w:rPr>
          <w:rFonts w:hint="eastAsia" w:ascii="Times New Roman" w:hAnsi="Times New Roman" w:eastAsia="方正仿宋_GBK"/>
          <w:color w:val="000000"/>
          <w:spacing w:val="-2"/>
        </w:rPr>
        <w:t>各级建设行政主管部门要及时转变观念，加大简政放权力度，减少和下放生产经营活动的审批事项，提高行政效能和行政服务质量，服务好广大企业和群众。认真做好工作的落实和衔接工作，明确监管责任，强化事中、事后监管，避免出现监管真空。</w:t>
      </w:r>
    </w:p>
    <w:p>
      <w:pPr>
        <w:pStyle w:val="10"/>
        <w:widowControl w:val="0"/>
        <w:spacing w:before="0" w:beforeAutospacing="0" w:after="0" w:afterAutospacing="0" w:line="460" w:lineRule="exact"/>
        <w:ind w:firstLine="472" w:firstLineChars="200"/>
        <w:jc w:val="both"/>
        <w:rPr>
          <w:rFonts w:ascii="Times New Roman" w:hAnsi="Times New Roman" w:eastAsia="方正仿宋_GBK"/>
          <w:color w:val="000000"/>
          <w:spacing w:val="-2"/>
        </w:rPr>
      </w:pPr>
    </w:p>
    <w:p>
      <w:pPr>
        <w:pStyle w:val="10"/>
        <w:widowControl w:val="0"/>
        <w:spacing w:before="0" w:beforeAutospacing="0" w:after="0" w:afterAutospacing="0" w:line="460" w:lineRule="exact"/>
        <w:ind w:firstLine="472" w:firstLineChars="200"/>
        <w:jc w:val="both"/>
        <w:rPr>
          <w:rFonts w:ascii="Times New Roman" w:hAnsi="Times New Roman" w:eastAsia="方正仿宋_GBK"/>
          <w:color w:val="000000"/>
          <w:spacing w:val="-2"/>
        </w:rPr>
      </w:pPr>
      <w:r>
        <w:rPr>
          <w:rFonts w:hint="eastAsia" w:ascii="Times New Roman" w:hAnsi="Times New Roman" w:eastAsia="方正仿宋_GBK"/>
          <w:color w:val="000000"/>
          <w:spacing w:val="-2"/>
        </w:rPr>
        <w:t>附件：</w:t>
      </w:r>
      <w:r>
        <w:rPr>
          <w:rFonts w:ascii="Times New Roman" w:hAnsi="Times New Roman" w:eastAsia="方正仿宋_GBK"/>
          <w:color w:val="000000"/>
          <w:spacing w:val="-2"/>
        </w:rPr>
        <w:t>1. </w:t>
      </w:r>
      <w:r>
        <w:rPr>
          <w:rFonts w:hint="eastAsia" w:ascii="Times New Roman" w:hAnsi="Times New Roman" w:eastAsia="方正仿宋_GBK"/>
          <w:color w:val="000000"/>
          <w:spacing w:val="-2"/>
        </w:rPr>
        <w:t>江苏省行政管理中实行信用报告信用承诺和信用审查的办法</w:t>
      </w:r>
    </w:p>
    <w:p>
      <w:pPr>
        <w:pStyle w:val="10"/>
        <w:widowControl w:val="0"/>
        <w:spacing w:before="0" w:beforeAutospacing="0" w:after="0" w:afterAutospacing="0" w:line="460" w:lineRule="exact"/>
        <w:ind w:firstLine="1191" w:firstLineChars="505"/>
        <w:jc w:val="both"/>
        <w:rPr>
          <w:rFonts w:ascii="Times New Roman" w:hAnsi="Times New Roman" w:eastAsia="方正仿宋_GBK"/>
          <w:color w:val="000000"/>
          <w:spacing w:val="-2"/>
        </w:rPr>
      </w:pPr>
      <w:r>
        <w:rPr>
          <w:rFonts w:ascii="Times New Roman" w:hAnsi="Times New Roman" w:eastAsia="方正仿宋_GBK"/>
          <w:color w:val="000000"/>
          <w:spacing w:val="-2"/>
        </w:rPr>
        <w:t>2. </w:t>
      </w:r>
      <w:r>
        <w:rPr>
          <w:rFonts w:hint="eastAsia" w:ascii="Times New Roman" w:hAnsi="Times New Roman" w:eastAsia="方正仿宋_GBK"/>
          <w:color w:val="000000"/>
          <w:spacing w:val="-2"/>
        </w:rPr>
        <w:t>外出施工证明</w:t>
      </w:r>
      <w:r>
        <w:rPr>
          <w:rFonts w:ascii="Times New Roman" w:hAnsi="Times New Roman" w:eastAsia="方正仿宋_GBK"/>
          <w:color w:val="000000"/>
          <w:spacing w:val="-2"/>
        </w:rPr>
        <w:t>2.0</w:t>
      </w:r>
      <w:r>
        <w:rPr>
          <w:rFonts w:hint="eastAsia" w:ascii="Times New Roman" w:hAnsi="Times New Roman" w:eastAsia="方正仿宋_GBK"/>
          <w:color w:val="000000"/>
          <w:spacing w:val="-2"/>
        </w:rPr>
        <w:t>版系统维护人员登记表</w:t>
      </w:r>
    </w:p>
    <w:p>
      <w:pPr>
        <w:pStyle w:val="10"/>
        <w:widowControl w:val="0"/>
        <w:spacing w:before="0" w:beforeAutospacing="0" w:after="0" w:afterAutospacing="0" w:line="460" w:lineRule="exact"/>
        <w:ind w:firstLine="1191" w:firstLineChars="505"/>
        <w:jc w:val="both"/>
        <w:rPr>
          <w:rFonts w:ascii="Times New Roman" w:hAnsi="Times New Roman" w:eastAsia="方正仿宋_GBK"/>
          <w:color w:val="000000"/>
          <w:spacing w:val="-2"/>
        </w:rPr>
      </w:pPr>
    </w:p>
    <w:p>
      <w:pPr>
        <w:pStyle w:val="10"/>
        <w:widowControl w:val="0"/>
        <w:spacing w:before="0" w:beforeAutospacing="0" w:after="0" w:afterAutospacing="0" w:line="460" w:lineRule="exact"/>
        <w:ind w:right="418" w:rightChars="199" w:firstLine="472" w:firstLineChars="200"/>
        <w:jc w:val="right"/>
        <w:rPr>
          <w:rFonts w:ascii="Times New Roman" w:hAnsi="Times New Roman" w:eastAsia="方正仿宋_GBK"/>
          <w:color w:val="000000"/>
          <w:spacing w:val="-2"/>
        </w:rPr>
      </w:pPr>
      <w:r>
        <w:rPr>
          <w:rFonts w:hint="eastAsia" w:ascii="Times New Roman" w:hAnsi="Times New Roman" w:eastAsia="方正仿宋_GBK"/>
          <w:color w:val="000000"/>
          <w:spacing w:val="-2"/>
        </w:rPr>
        <w:t>江苏省住房和城乡建设厅</w:t>
      </w:r>
      <w:r>
        <w:rPr>
          <w:rFonts w:ascii="Times New Roman" w:hAnsi="Times New Roman" w:eastAsia="方正仿宋_GBK"/>
          <w:color w:val="000000"/>
          <w:spacing w:val="-2"/>
        </w:rPr>
        <w:t xml:space="preserve">    </w:t>
      </w:r>
    </w:p>
    <w:p>
      <w:pPr>
        <w:pStyle w:val="10"/>
        <w:widowControl w:val="0"/>
        <w:spacing w:before="0" w:beforeAutospacing="0" w:after="0" w:afterAutospacing="0" w:line="460" w:lineRule="exact"/>
        <w:ind w:right="778" w:firstLine="4366" w:firstLineChars="1850"/>
        <w:jc w:val="right"/>
        <w:rPr>
          <w:rFonts w:ascii="Times New Roman" w:hAnsi="Times New Roman" w:eastAsia="方正仿宋_GBK"/>
          <w:color w:val="000000"/>
          <w:spacing w:val="-2"/>
        </w:rPr>
      </w:pPr>
      <w:r>
        <w:rPr>
          <w:rFonts w:ascii="Times New Roman" w:hAnsi="Times New Roman" w:eastAsia="方正仿宋_GBK"/>
          <w:color w:val="000000"/>
          <w:spacing w:val="-2"/>
        </w:rPr>
        <w:t>2013</w:t>
      </w:r>
      <w:r>
        <w:rPr>
          <w:rFonts w:hint="eastAsia" w:ascii="Times New Roman" w:hAnsi="Times New Roman" w:eastAsia="方正仿宋_GBK"/>
          <w:color w:val="000000"/>
          <w:spacing w:val="-2"/>
        </w:rPr>
        <w:t>年</w:t>
      </w:r>
      <w:r>
        <w:rPr>
          <w:rFonts w:ascii="Times New Roman" w:hAnsi="Times New Roman" w:eastAsia="方正仿宋_GBK"/>
          <w:color w:val="000000"/>
          <w:spacing w:val="-2"/>
        </w:rPr>
        <w:t>10</w:t>
      </w:r>
      <w:r>
        <w:rPr>
          <w:rFonts w:hint="eastAsia" w:ascii="Times New Roman" w:hAnsi="Times New Roman" w:eastAsia="方正仿宋_GBK"/>
          <w:color w:val="000000"/>
          <w:spacing w:val="-2"/>
        </w:rPr>
        <w:t>月</w:t>
      </w:r>
      <w:r>
        <w:rPr>
          <w:rFonts w:ascii="Times New Roman" w:hAnsi="Times New Roman" w:eastAsia="方正仿宋_GBK"/>
          <w:color w:val="000000"/>
          <w:spacing w:val="-2"/>
        </w:rPr>
        <w:t>13</w:t>
      </w:r>
      <w:r>
        <w:rPr>
          <w:rFonts w:hint="eastAsia" w:ascii="Times New Roman" w:hAnsi="Times New Roman" w:eastAsia="方正仿宋_GBK"/>
          <w:color w:val="000000"/>
          <w:spacing w:val="-2"/>
        </w:rPr>
        <w:t>日</w:t>
      </w:r>
      <w:r>
        <w:rPr>
          <w:rFonts w:ascii="Times New Roman" w:hAnsi="Times New Roman" w:eastAsia="方正仿宋_GBK"/>
          <w:color w:val="000000"/>
          <w:spacing w:val="-2"/>
        </w:rPr>
        <w:t xml:space="preserve">    </w:t>
      </w:r>
    </w:p>
    <w:p>
      <w:pPr>
        <w:spacing w:line="460" w:lineRule="exact"/>
        <w:rPr>
          <w:rFonts w:ascii="Times New Roman" w:eastAsia="方正黑体_GBK"/>
          <w:sz w:val="28"/>
          <w:szCs w:val="28"/>
        </w:rPr>
      </w:pPr>
      <w:r>
        <w:br w:type="column"/>
      </w:r>
      <w:r>
        <w:rPr>
          <w:rFonts w:hint="eastAsia" w:ascii="Times New Roman" w:eastAsia="方正黑体_GBK"/>
          <w:sz w:val="28"/>
          <w:szCs w:val="28"/>
        </w:rPr>
        <w:t>附件1</w:t>
      </w:r>
    </w:p>
    <w:p>
      <w:pPr>
        <w:spacing w:line="460" w:lineRule="exact"/>
        <w:rPr>
          <w:rFonts w:hint="eastAsia" w:ascii="Times New Roman" w:eastAsia="方正黑体_GBK"/>
          <w:sz w:val="28"/>
          <w:szCs w:val="28"/>
        </w:rPr>
      </w:pPr>
    </w:p>
    <w:p>
      <w:pPr>
        <w:spacing w:line="460" w:lineRule="exact"/>
        <w:jc w:val="center"/>
        <w:rPr>
          <w:rFonts w:hint="eastAsia" w:ascii="Times New Roman" w:eastAsia="方正小标宋简体"/>
          <w:color w:val="000000"/>
          <w:sz w:val="36"/>
          <w:szCs w:val="36"/>
        </w:rPr>
      </w:pPr>
      <w:r>
        <w:rPr>
          <w:rFonts w:hint="eastAsia" w:ascii="Times New Roman" w:eastAsia="方正小标宋简体"/>
          <w:color w:val="000000"/>
          <w:sz w:val="36"/>
          <w:szCs w:val="36"/>
        </w:rPr>
        <w:t>省政府办公厅关于印发</w:t>
      </w:r>
    </w:p>
    <w:p>
      <w:pPr>
        <w:spacing w:line="460" w:lineRule="exact"/>
        <w:jc w:val="center"/>
        <w:rPr>
          <w:rFonts w:hint="eastAsia" w:ascii="Times New Roman" w:eastAsia="方正小标宋简体"/>
          <w:color w:val="000000"/>
          <w:sz w:val="36"/>
          <w:szCs w:val="36"/>
        </w:rPr>
      </w:pPr>
      <w:r>
        <w:rPr>
          <w:rFonts w:hint="eastAsia" w:ascii="Times New Roman" w:eastAsia="方正小标宋简体"/>
          <w:color w:val="000000"/>
          <w:sz w:val="36"/>
          <w:szCs w:val="36"/>
        </w:rPr>
        <w:t>江苏省行政管理中实行信用报告</w:t>
      </w:r>
    </w:p>
    <w:p>
      <w:pPr>
        <w:spacing w:line="460" w:lineRule="exact"/>
        <w:jc w:val="center"/>
        <w:rPr>
          <w:rFonts w:hint="eastAsia" w:eastAsia="方正仿宋_GBK"/>
          <w:color w:val="000000"/>
          <w:sz w:val="24"/>
        </w:rPr>
      </w:pPr>
      <w:r>
        <w:rPr>
          <w:rFonts w:hint="eastAsia" w:ascii="Times New Roman" w:eastAsia="方正小标宋简体"/>
          <w:color w:val="000000"/>
          <w:sz w:val="36"/>
          <w:szCs w:val="36"/>
        </w:rPr>
        <w:t>信用承诺和信用审查办法的通知</w:t>
      </w:r>
    </w:p>
    <w:p>
      <w:pPr>
        <w:spacing w:line="460" w:lineRule="exact"/>
        <w:jc w:val="center"/>
        <w:rPr>
          <w:rFonts w:eastAsia="方正仿宋_GBK"/>
          <w:color w:val="000000"/>
          <w:sz w:val="24"/>
        </w:rPr>
      </w:pPr>
    </w:p>
    <w:p>
      <w:pPr>
        <w:spacing w:line="460" w:lineRule="exact"/>
        <w:jc w:val="center"/>
        <w:rPr>
          <w:rFonts w:eastAsia="方正仿宋_GBK"/>
          <w:color w:val="000000"/>
          <w:sz w:val="24"/>
        </w:rPr>
      </w:pPr>
      <w:r>
        <w:rPr>
          <w:rFonts w:hint="eastAsia" w:eastAsia="方正仿宋_GBK"/>
          <w:color w:val="000000"/>
          <w:sz w:val="24"/>
        </w:rPr>
        <w:t>苏政办发〔</w:t>
      </w:r>
      <w:r>
        <w:rPr>
          <w:rFonts w:eastAsia="方正仿宋_GBK"/>
          <w:color w:val="000000"/>
          <w:sz w:val="24"/>
        </w:rPr>
        <w:t>2013</w:t>
      </w:r>
      <w:r>
        <w:rPr>
          <w:rFonts w:hint="eastAsia" w:eastAsia="方正仿宋_GBK"/>
          <w:color w:val="000000"/>
          <w:sz w:val="24"/>
        </w:rPr>
        <w:t>〕</w:t>
      </w:r>
      <w:r>
        <w:rPr>
          <w:rFonts w:eastAsia="方正仿宋_GBK"/>
          <w:color w:val="000000"/>
          <w:sz w:val="24"/>
        </w:rPr>
        <w:t>101</w:t>
      </w:r>
      <w:r>
        <w:rPr>
          <w:rFonts w:hint="eastAsia" w:eastAsia="方正仿宋_GBK"/>
          <w:color w:val="000000"/>
          <w:sz w:val="24"/>
        </w:rPr>
        <w:t>号</w:t>
      </w:r>
    </w:p>
    <w:p>
      <w:pPr>
        <w:spacing w:line="460" w:lineRule="exact"/>
        <w:rPr>
          <w:rFonts w:eastAsia="方正仿宋_GBK"/>
          <w:color w:val="000000"/>
          <w:sz w:val="24"/>
        </w:rPr>
      </w:pPr>
    </w:p>
    <w:p>
      <w:pPr>
        <w:spacing w:line="460" w:lineRule="exact"/>
        <w:rPr>
          <w:rFonts w:eastAsia="方正仿宋_GBK"/>
          <w:color w:val="000000"/>
          <w:sz w:val="24"/>
        </w:rPr>
      </w:pPr>
      <w:r>
        <w:rPr>
          <w:rFonts w:hint="eastAsia" w:eastAsia="方正仿宋_GBK"/>
          <w:color w:val="000000"/>
          <w:sz w:val="24"/>
        </w:rPr>
        <w:t>各市、县（市、区）人民政府，省各委办厅局，省各直属单位：</w:t>
      </w:r>
    </w:p>
    <w:p>
      <w:pPr>
        <w:spacing w:line="460" w:lineRule="exact"/>
        <w:ind w:left="105" w:leftChars="50" w:right="105" w:rightChars="50" w:firstLine="480" w:firstLineChars="200"/>
        <w:rPr>
          <w:rFonts w:eastAsia="方正仿宋_GBK"/>
          <w:color w:val="000000"/>
          <w:sz w:val="24"/>
        </w:rPr>
      </w:pPr>
      <w:r>
        <w:rPr>
          <w:rFonts w:hint="eastAsia" w:eastAsia="方正仿宋_GBK"/>
          <w:color w:val="000000"/>
          <w:sz w:val="24"/>
        </w:rPr>
        <w:t>《江苏省行政管理中实行信用报告信用承诺和信用审查的办法》已经省人民政府同意，现印发给你们，请认真组织实施。</w:t>
      </w:r>
    </w:p>
    <w:p>
      <w:pPr>
        <w:spacing w:line="460" w:lineRule="exact"/>
        <w:ind w:left="105" w:leftChars="50" w:right="105" w:rightChars="50" w:firstLine="480" w:firstLineChars="200"/>
        <w:rPr>
          <w:rFonts w:eastAsia="方正仿宋_GBK"/>
          <w:color w:val="000000"/>
          <w:sz w:val="24"/>
        </w:rPr>
      </w:pPr>
    </w:p>
    <w:p>
      <w:pPr>
        <w:spacing w:line="460" w:lineRule="exact"/>
        <w:ind w:left="105" w:leftChars="50" w:right="578" w:rightChars="275" w:firstLine="480" w:firstLineChars="200"/>
        <w:jc w:val="right"/>
        <w:rPr>
          <w:rFonts w:eastAsia="方正仿宋_GBK"/>
          <w:color w:val="000000"/>
          <w:sz w:val="24"/>
        </w:rPr>
      </w:pPr>
      <w:r>
        <w:rPr>
          <w:rFonts w:hint="eastAsia" w:eastAsia="方正仿宋_GBK"/>
          <w:color w:val="000000"/>
          <w:sz w:val="24"/>
        </w:rPr>
        <w:t>江苏省人民政府办公厅</w:t>
      </w:r>
    </w:p>
    <w:p>
      <w:pPr>
        <w:spacing w:line="460" w:lineRule="exact"/>
        <w:ind w:left="105" w:leftChars="50" w:right="838" w:rightChars="399" w:firstLine="480" w:firstLineChars="200"/>
        <w:jc w:val="right"/>
        <w:rPr>
          <w:rFonts w:eastAsia="方正仿宋_GBK"/>
          <w:color w:val="000000"/>
          <w:sz w:val="24"/>
        </w:rPr>
      </w:pPr>
      <w:r>
        <w:rPr>
          <w:rFonts w:eastAsia="方正仿宋_GBK"/>
          <w:color w:val="000000"/>
          <w:sz w:val="24"/>
        </w:rPr>
        <w:t>2013</w:t>
      </w:r>
      <w:r>
        <w:rPr>
          <w:rFonts w:hint="eastAsia" w:eastAsia="方正仿宋_GBK"/>
          <w:color w:val="000000"/>
          <w:sz w:val="24"/>
        </w:rPr>
        <w:t>年</w:t>
      </w:r>
      <w:r>
        <w:rPr>
          <w:rFonts w:eastAsia="方正仿宋_GBK"/>
          <w:color w:val="000000"/>
          <w:sz w:val="24"/>
        </w:rPr>
        <w:t>5</w:t>
      </w:r>
      <w:r>
        <w:rPr>
          <w:rFonts w:hint="eastAsia" w:eastAsia="方正仿宋_GBK"/>
          <w:color w:val="000000"/>
          <w:sz w:val="24"/>
        </w:rPr>
        <w:t>月</w:t>
      </w:r>
      <w:r>
        <w:rPr>
          <w:rFonts w:eastAsia="方正仿宋_GBK"/>
          <w:color w:val="000000"/>
          <w:sz w:val="24"/>
        </w:rPr>
        <w:t>28</w:t>
      </w:r>
      <w:r>
        <w:rPr>
          <w:rFonts w:hint="eastAsia" w:eastAsia="方正仿宋_GBK"/>
          <w:color w:val="000000"/>
          <w:sz w:val="24"/>
        </w:rPr>
        <w:t>日</w:t>
      </w:r>
    </w:p>
    <w:p>
      <w:pPr>
        <w:spacing w:line="460" w:lineRule="exact"/>
        <w:ind w:right="105" w:rightChars="50"/>
        <w:rPr>
          <w:rFonts w:eastAsia="方正仿宋_GBK"/>
          <w:color w:val="000000"/>
          <w:sz w:val="24"/>
        </w:rPr>
      </w:pPr>
    </w:p>
    <w:p>
      <w:pPr>
        <w:spacing w:line="460" w:lineRule="exact"/>
        <w:ind w:right="105" w:rightChars="50"/>
        <w:jc w:val="center"/>
        <w:rPr>
          <w:rFonts w:ascii="Times New Roman" w:eastAsia="黑体"/>
          <w:color w:val="000000"/>
          <w:sz w:val="36"/>
          <w:szCs w:val="36"/>
        </w:rPr>
      </w:pPr>
    </w:p>
    <w:p>
      <w:pPr>
        <w:spacing w:line="460" w:lineRule="exact"/>
        <w:ind w:right="105" w:rightChars="50"/>
        <w:jc w:val="center"/>
        <w:rPr>
          <w:rFonts w:hint="eastAsia" w:ascii="Times New Roman" w:eastAsia="黑体"/>
          <w:color w:val="000000"/>
          <w:sz w:val="36"/>
          <w:szCs w:val="36"/>
        </w:rPr>
      </w:pPr>
      <w:r>
        <w:rPr>
          <w:rFonts w:hint="eastAsia" w:ascii="Times New Roman" w:eastAsia="黑体"/>
          <w:color w:val="000000"/>
          <w:sz w:val="36"/>
          <w:szCs w:val="36"/>
        </w:rPr>
        <w:t>江苏省行政管理中实行信用报告</w:t>
      </w:r>
    </w:p>
    <w:p>
      <w:pPr>
        <w:spacing w:line="460" w:lineRule="exact"/>
        <w:ind w:right="105" w:rightChars="50"/>
        <w:jc w:val="center"/>
        <w:rPr>
          <w:rFonts w:hint="eastAsia" w:ascii="Times New Roman" w:eastAsia="黑体"/>
          <w:color w:val="000000"/>
          <w:sz w:val="36"/>
          <w:szCs w:val="36"/>
        </w:rPr>
      </w:pPr>
      <w:r>
        <w:rPr>
          <w:rFonts w:hint="eastAsia" w:ascii="Times New Roman" w:eastAsia="黑体"/>
          <w:color w:val="000000"/>
          <w:sz w:val="36"/>
          <w:szCs w:val="36"/>
        </w:rPr>
        <w:t>信用承诺和信用审查的办法</w:t>
      </w:r>
    </w:p>
    <w:p>
      <w:pPr>
        <w:spacing w:line="460" w:lineRule="exact"/>
        <w:ind w:firstLine="480" w:firstLineChars="200"/>
        <w:rPr>
          <w:rFonts w:hint="eastAsia" w:eastAsia="方正仿宋_GBK"/>
          <w:color w:val="000000"/>
          <w:sz w:val="24"/>
        </w:rPr>
      </w:pPr>
    </w:p>
    <w:p>
      <w:pPr>
        <w:spacing w:line="460" w:lineRule="exact"/>
        <w:jc w:val="center"/>
        <w:rPr>
          <w:rFonts w:ascii="Times New Roman" w:eastAsia="方正黑体_GBK"/>
          <w:color w:val="000000"/>
          <w:sz w:val="24"/>
        </w:rPr>
      </w:pPr>
      <w:r>
        <w:rPr>
          <w:rFonts w:hint="eastAsia" w:ascii="Times New Roman" w:eastAsia="方正黑体_GBK"/>
          <w:color w:val="000000"/>
          <w:sz w:val="24"/>
        </w:rPr>
        <w:t>第一章  总则</w:t>
      </w:r>
    </w:p>
    <w:p>
      <w:pPr>
        <w:spacing w:line="460" w:lineRule="exact"/>
        <w:ind w:firstLine="480" w:firstLineChars="200"/>
        <w:rPr>
          <w:rFonts w:hint="eastAsia" w:eastAsia="方正仿宋_GBK"/>
          <w:color w:val="000000"/>
          <w:sz w:val="24"/>
        </w:rPr>
      </w:pPr>
    </w:p>
    <w:p>
      <w:pPr>
        <w:spacing w:line="460" w:lineRule="exact"/>
        <w:ind w:firstLine="480" w:firstLineChars="200"/>
        <w:rPr>
          <w:rFonts w:eastAsia="方正仿宋_GBK"/>
          <w:color w:val="000000"/>
          <w:sz w:val="24"/>
        </w:rPr>
      </w:pPr>
      <w:r>
        <w:rPr>
          <w:rFonts w:hint="eastAsia" w:ascii="Times New Roman" w:eastAsia="方正黑体_GBK"/>
          <w:color w:val="000000"/>
          <w:sz w:val="24"/>
        </w:rPr>
        <w:t xml:space="preserve">第一条 </w:t>
      </w:r>
      <w:r>
        <w:rPr>
          <w:rFonts w:eastAsia="方正仿宋_GBK"/>
          <w:color w:val="000000"/>
          <w:sz w:val="24"/>
        </w:rPr>
        <w:t xml:space="preserve"> </w:t>
      </w:r>
      <w:r>
        <w:rPr>
          <w:rFonts w:hint="eastAsia" w:eastAsia="方正仿宋_GBK"/>
          <w:color w:val="000000"/>
          <w:sz w:val="24"/>
        </w:rPr>
        <w:t>为推进全省社会信用体系建设，维护公平竞争的市场经济秩序，充分发挥政府的诚信导向作用，积极探索行政管理新路径，根据《国务院办公厅关于社会信用体系建设的若干意见》和省委、省政府《关于加快诚信江苏建设的意见》要求，制定本办法。</w:t>
      </w:r>
    </w:p>
    <w:p>
      <w:pPr>
        <w:spacing w:line="460" w:lineRule="exact"/>
        <w:ind w:firstLine="480" w:firstLineChars="200"/>
        <w:rPr>
          <w:rFonts w:eastAsia="方正仿宋_GBK"/>
          <w:color w:val="000000"/>
          <w:sz w:val="24"/>
        </w:rPr>
      </w:pPr>
      <w:r>
        <w:rPr>
          <w:rFonts w:hint="eastAsia" w:ascii="Times New Roman" w:eastAsia="方正黑体_GBK"/>
          <w:color w:val="000000"/>
          <w:sz w:val="24"/>
        </w:rPr>
        <w:t>第二条</w:t>
      </w:r>
      <w:r>
        <w:rPr>
          <w:rFonts w:eastAsia="方正仿宋_GBK"/>
          <w:color w:val="000000"/>
          <w:sz w:val="24"/>
        </w:rPr>
        <w:t xml:space="preserve">  </w:t>
      </w:r>
      <w:r>
        <w:rPr>
          <w:rFonts w:hint="eastAsia" w:eastAsia="方正仿宋_GBK"/>
          <w:color w:val="000000"/>
          <w:sz w:val="24"/>
        </w:rPr>
        <w:t>江苏省行政机关及具有行政管理职能的公用事业单位在行政管理中对行政相对人实施信用管理制度。</w:t>
      </w:r>
    </w:p>
    <w:p>
      <w:pPr>
        <w:spacing w:line="460" w:lineRule="exact"/>
        <w:ind w:firstLine="480" w:firstLineChars="200"/>
        <w:rPr>
          <w:rFonts w:eastAsia="方正仿宋_GBK"/>
          <w:color w:val="000000"/>
          <w:sz w:val="24"/>
        </w:rPr>
      </w:pPr>
      <w:r>
        <w:rPr>
          <w:rFonts w:hint="eastAsia" w:ascii="Times New Roman" w:eastAsia="方正黑体_GBK"/>
          <w:color w:val="000000"/>
          <w:sz w:val="24"/>
        </w:rPr>
        <w:t>第三条</w:t>
      </w:r>
      <w:r>
        <w:rPr>
          <w:rFonts w:eastAsia="方正仿宋_GBK"/>
          <w:color w:val="000000"/>
          <w:sz w:val="24"/>
        </w:rPr>
        <w:t xml:space="preserve">  </w:t>
      </w:r>
      <w:r>
        <w:rPr>
          <w:rFonts w:hint="eastAsia" w:eastAsia="方正仿宋_GBK"/>
          <w:color w:val="000000"/>
          <w:sz w:val="24"/>
        </w:rPr>
        <w:t>本办法所指的信用管理制度，包括信用报告制度、信用承诺制度和信用审查制度。</w:t>
      </w:r>
    </w:p>
    <w:p>
      <w:pPr>
        <w:spacing w:line="460" w:lineRule="exact"/>
        <w:ind w:firstLine="480" w:firstLineChars="200"/>
        <w:rPr>
          <w:rFonts w:eastAsia="方正仿宋_GBK"/>
          <w:color w:val="000000"/>
          <w:sz w:val="24"/>
        </w:rPr>
      </w:pPr>
      <w:r>
        <w:rPr>
          <w:rFonts w:hint="eastAsia" w:ascii="Times New Roman" w:eastAsia="方正黑体_GBK"/>
          <w:color w:val="000000"/>
          <w:sz w:val="24"/>
        </w:rPr>
        <w:t>第四条</w:t>
      </w:r>
      <w:r>
        <w:rPr>
          <w:rFonts w:eastAsia="方正仿宋_GBK"/>
          <w:color w:val="000000"/>
          <w:sz w:val="24"/>
        </w:rPr>
        <w:t xml:space="preserve">  </w:t>
      </w:r>
      <w:r>
        <w:rPr>
          <w:rFonts w:hint="eastAsia" w:eastAsia="方正仿宋_GBK"/>
          <w:color w:val="000000"/>
          <w:sz w:val="24"/>
        </w:rPr>
        <w:t>本办法适用于江苏省行政区域范围内的各级行政机关及具有行政管理职能的公用事业单位在分配专项资金、组织政府采购、开展招投标等公共资源分配过程中的各项管理活动。</w:t>
      </w:r>
    </w:p>
    <w:p>
      <w:pPr>
        <w:spacing w:line="460" w:lineRule="exact"/>
        <w:ind w:firstLine="480" w:firstLineChars="200"/>
        <w:rPr>
          <w:rFonts w:eastAsia="方正仿宋_GBK"/>
          <w:color w:val="000000"/>
          <w:sz w:val="24"/>
        </w:rPr>
      </w:pPr>
      <w:r>
        <w:rPr>
          <w:rFonts w:hint="eastAsia" w:ascii="Times New Roman" w:eastAsia="方正黑体_GBK"/>
          <w:color w:val="000000"/>
          <w:sz w:val="24"/>
        </w:rPr>
        <w:t>第五条</w:t>
      </w:r>
      <w:r>
        <w:rPr>
          <w:rFonts w:eastAsia="方正仿宋_GBK"/>
          <w:color w:val="000000"/>
          <w:sz w:val="24"/>
        </w:rPr>
        <w:t xml:space="preserve">  </w:t>
      </w:r>
      <w:r>
        <w:rPr>
          <w:rFonts w:hint="eastAsia" w:eastAsia="方正仿宋_GBK"/>
          <w:color w:val="000000"/>
          <w:sz w:val="24"/>
        </w:rPr>
        <w:t>本办法所称的行政相对人是指向江苏省各级行政机关及具有行政管理职能的公用事业单位申请各类财政资金、政策性贷款、国家或地方政府对外借款或者担保所筹集资金，参与政府采购、招投标、行政许可、评优评级、评定职称、国有企业产权交易，以及其他公共资源分配活动的企事业单位、社会团体和自然人。</w:t>
      </w:r>
    </w:p>
    <w:p>
      <w:pPr>
        <w:spacing w:line="460" w:lineRule="exact"/>
        <w:ind w:firstLine="480" w:firstLineChars="200"/>
        <w:rPr>
          <w:rFonts w:eastAsia="方正仿宋_GBK"/>
          <w:color w:val="000000"/>
          <w:sz w:val="24"/>
        </w:rPr>
      </w:pPr>
      <w:r>
        <w:rPr>
          <w:rFonts w:hint="eastAsia" w:ascii="Times New Roman" w:eastAsia="方正黑体_GBK"/>
          <w:color w:val="000000"/>
          <w:sz w:val="24"/>
        </w:rPr>
        <w:t>第六条</w:t>
      </w:r>
      <w:r>
        <w:rPr>
          <w:rFonts w:eastAsia="方正仿宋_GBK"/>
          <w:color w:val="000000"/>
          <w:sz w:val="24"/>
        </w:rPr>
        <w:t xml:space="preserve">  </w:t>
      </w:r>
      <w:r>
        <w:rPr>
          <w:rFonts w:hint="eastAsia" w:eastAsia="方正仿宋_GBK"/>
          <w:color w:val="000000"/>
          <w:sz w:val="24"/>
        </w:rPr>
        <w:t>本办法执行主体，是指江苏省行政区域内各级行政机关及具有行政管理职能的公用事业单位。</w:t>
      </w:r>
    </w:p>
    <w:p>
      <w:pPr>
        <w:spacing w:line="460" w:lineRule="exact"/>
        <w:ind w:firstLine="480" w:firstLineChars="200"/>
        <w:rPr>
          <w:rFonts w:eastAsia="方正仿宋_GBK"/>
          <w:color w:val="000000"/>
          <w:sz w:val="24"/>
        </w:rPr>
      </w:pPr>
    </w:p>
    <w:p>
      <w:pPr>
        <w:spacing w:line="460" w:lineRule="exact"/>
        <w:jc w:val="center"/>
        <w:rPr>
          <w:rFonts w:ascii="Times New Roman" w:eastAsia="方正黑体_GBK"/>
          <w:color w:val="000000"/>
          <w:sz w:val="24"/>
        </w:rPr>
      </w:pPr>
      <w:r>
        <w:rPr>
          <w:rFonts w:hint="eastAsia" w:ascii="Times New Roman" w:eastAsia="方正黑体_GBK"/>
          <w:color w:val="000000"/>
          <w:sz w:val="24"/>
        </w:rPr>
        <w:t>第二章  信用报告</w:t>
      </w:r>
    </w:p>
    <w:p>
      <w:pPr>
        <w:spacing w:line="460" w:lineRule="exact"/>
        <w:ind w:firstLine="480" w:firstLineChars="200"/>
        <w:rPr>
          <w:rFonts w:hint="eastAsia" w:eastAsia="方正仿宋_GBK"/>
          <w:color w:val="000000"/>
          <w:sz w:val="24"/>
        </w:rPr>
      </w:pPr>
    </w:p>
    <w:p>
      <w:pPr>
        <w:spacing w:line="460" w:lineRule="exact"/>
        <w:ind w:firstLine="480" w:firstLineChars="200"/>
        <w:rPr>
          <w:rFonts w:eastAsia="方正仿宋_GBK"/>
          <w:color w:val="000000"/>
          <w:sz w:val="24"/>
        </w:rPr>
      </w:pPr>
      <w:r>
        <w:rPr>
          <w:rFonts w:hint="eastAsia" w:ascii="Times New Roman" w:eastAsia="方正黑体_GBK"/>
          <w:color w:val="000000"/>
          <w:sz w:val="24"/>
        </w:rPr>
        <w:t>第七条</w:t>
      </w:r>
      <w:r>
        <w:rPr>
          <w:rFonts w:eastAsia="方正仿宋_GBK"/>
          <w:color w:val="000000"/>
          <w:sz w:val="24"/>
        </w:rPr>
        <w:t xml:space="preserve">  </w:t>
      </w:r>
      <w:r>
        <w:rPr>
          <w:rFonts w:hint="eastAsia" w:eastAsia="方正仿宋_GBK"/>
          <w:color w:val="000000"/>
          <w:sz w:val="24"/>
        </w:rPr>
        <w:t>信用报告，是指行政相对人根据行政机关及具有行政管理职能的公用事业单位的要求，委托第三方信用评级机构对其出具信用评级报告。</w:t>
      </w:r>
    </w:p>
    <w:p>
      <w:pPr>
        <w:spacing w:line="460" w:lineRule="exact"/>
        <w:ind w:firstLine="480" w:firstLineChars="200"/>
        <w:rPr>
          <w:rFonts w:eastAsia="方正仿宋_GBK"/>
          <w:color w:val="000000"/>
          <w:sz w:val="24"/>
        </w:rPr>
      </w:pPr>
      <w:r>
        <w:rPr>
          <w:rFonts w:hint="eastAsia" w:ascii="Times New Roman" w:eastAsia="方正黑体_GBK"/>
          <w:color w:val="000000"/>
          <w:sz w:val="24"/>
        </w:rPr>
        <w:t>第八条</w:t>
      </w:r>
      <w:r>
        <w:rPr>
          <w:rFonts w:eastAsia="方正仿宋_GBK"/>
          <w:color w:val="000000"/>
          <w:sz w:val="24"/>
        </w:rPr>
        <w:t xml:space="preserve">  </w:t>
      </w:r>
      <w:r>
        <w:rPr>
          <w:rFonts w:hint="eastAsia" w:eastAsia="方正仿宋_GBK"/>
          <w:color w:val="000000"/>
          <w:sz w:val="24"/>
        </w:rPr>
        <w:t>信用评级报告的主要内容，一般包括行政相对入的基本情况信息、经营业务信息、主要财务数据与指标、银行信用记录、合同履约信息、公共信用监管信息、司法信用信息、行政机关及具有行政管理职能的公用事业单位需要的其他相关信息，以及含有信用等级和风险提示的综合评价。</w:t>
      </w:r>
    </w:p>
    <w:p>
      <w:pPr>
        <w:spacing w:line="460" w:lineRule="exact"/>
        <w:ind w:firstLine="480" w:firstLineChars="200"/>
        <w:rPr>
          <w:rFonts w:eastAsia="方正仿宋_GBK"/>
          <w:color w:val="000000"/>
          <w:sz w:val="24"/>
        </w:rPr>
      </w:pPr>
      <w:r>
        <w:rPr>
          <w:rFonts w:hint="eastAsia" w:ascii="Times New Roman" w:eastAsia="方正黑体_GBK"/>
          <w:color w:val="000000"/>
          <w:sz w:val="24"/>
        </w:rPr>
        <w:t>第九条</w:t>
      </w:r>
      <w:r>
        <w:rPr>
          <w:rFonts w:eastAsia="方正仿宋_GBK"/>
          <w:color w:val="000000"/>
          <w:sz w:val="24"/>
        </w:rPr>
        <w:t xml:space="preserve">  </w:t>
      </w:r>
      <w:r>
        <w:rPr>
          <w:rFonts w:hint="eastAsia" w:eastAsia="方正仿宋_GBK"/>
          <w:color w:val="000000"/>
          <w:sz w:val="24"/>
        </w:rPr>
        <w:t>信用报告的使用领域。</w:t>
      </w:r>
    </w:p>
    <w:p>
      <w:pPr>
        <w:spacing w:line="460" w:lineRule="exact"/>
        <w:ind w:firstLine="480" w:firstLineChars="200"/>
        <w:rPr>
          <w:rFonts w:eastAsia="方正仿宋_GBK"/>
          <w:color w:val="000000"/>
          <w:sz w:val="24"/>
        </w:rPr>
      </w:pPr>
      <w:r>
        <w:rPr>
          <w:rFonts w:hint="eastAsia" w:eastAsia="方正仿宋_GBK"/>
          <w:color w:val="000000"/>
          <w:sz w:val="24"/>
        </w:rPr>
        <w:t>（一）申请政府公共资源分配、财政性资金、政策性贷款、国家或地方政府对外借款或者担保所筹集资金等融资项目；</w:t>
      </w:r>
    </w:p>
    <w:p>
      <w:pPr>
        <w:spacing w:line="460" w:lineRule="exact"/>
        <w:ind w:firstLine="480" w:firstLineChars="200"/>
        <w:rPr>
          <w:rFonts w:eastAsia="方正仿宋_GBK"/>
          <w:color w:val="000000"/>
          <w:sz w:val="24"/>
        </w:rPr>
      </w:pPr>
      <w:r>
        <w:rPr>
          <w:rFonts w:hint="eastAsia" w:eastAsia="方正仿宋_GBK"/>
          <w:color w:val="000000"/>
          <w:sz w:val="24"/>
        </w:rPr>
        <w:t>（二）参与政府采购的公开招标以及国有资金建设项目和货物招投标、土地招投标；</w:t>
      </w:r>
    </w:p>
    <w:p>
      <w:pPr>
        <w:spacing w:line="460" w:lineRule="exact"/>
        <w:ind w:firstLine="480" w:firstLineChars="200"/>
        <w:rPr>
          <w:rFonts w:eastAsia="方正仿宋_GBK"/>
          <w:color w:val="000000"/>
          <w:sz w:val="24"/>
        </w:rPr>
      </w:pPr>
      <w:r>
        <w:rPr>
          <w:rFonts w:hint="eastAsia" w:eastAsia="方正仿宋_GBK"/>
          <w:color w:val="000000"/>
          <w:sz w:val="24"/>
        </w:rPr>
        <w:t>（三）行政机关评优评级、评定职称和国有企业产权交易等领域；</w:t>
      </w:r>
    </w:p>
    <w:p>
      <w:pPr>
        <w:spacing w:line="460" w:lineRule="exact"/>
        <w:ind w:firstLine="480" w:firstLineChars="200"/>
        <w:rPr>
          <w:rFonts w:eastAsia="方正仿宋_GBK"/>
          <w:color w:val="000000"/>
          <w:sz w:val="24"/>
        </w:rPr>
      </w:pPr>
      <w:r>
        <w:rPr>
          <w:rFonts w:hint="eastAsia" w:eastAsia="方正仿宋_GBK"/>
          <w:color w:val="000000"/>
          <w:sz w:val="24"/>
        </w:rPr>
        <w:t>（四）其他需要出具信用报告的行政管理领域。</w:t>
      </w:r>
    </w:p>
    <w:p>
      <w:pPr>
        <w:spacing w:line="460" w:lineRule="exact"/>
        <w:ind w:firstLine="480" w:firstLineChars="200"/>
        <w:rPr>
          <w:rFonts w:eastAsia="方正仿宋_GBK"/>
          <w:color w:val="000000"/>
          <w:sz w:val="24"/>
        </w:rPr>
      </w:pPr>
      <w:r>
        <w:rPr>
          <w:rFonts w:hint="eastAsia" w:ascii="Times New Roman" w:eastAsia="方正黑体_GBK"/>
          <w:color w:val="000000"/>
          <w:sz w:val="24"/>
        </w:rPr>
        <w:t>第十条</w:t>
      </w:r>
      <w:r>
        <w:rPr>
          <w:rFonts w:eastAsia="方正仿宋_GBK"/>
          <w:color w:val="000000"/>
          <w:sz w:val="24"/>
        </w:rPr>
        <w:t xml:space="preserve">  </w:t>
      </w:r>
      <w:r>
        <w:rPr>
          <w:rFonts w:hint="eastAsia" w:eastAsia="方正仿宋_GBK"/>
          <w:color w:val="000000"/>
          <w:sz w:val="24"/>
        </w:rPr>
        <w:t>信用评级报告有效期原则上为</w:t>
      </w:r>
      <w:r>
        <w:rPr>
          <w:rFonts w:eastAsia="方正仿宋_GBK"/>
          <w:color w:val="000000"/>
          <w:sz w:val="24"/>
        </w:rPr>
        <w:t>1</w:t>
      </w:r>
      <w:r>
        <w:rPr>
          <w:rFonts w:hint="eastAsia" w:eastAsia="方正仿宋_GBK"/>
          <w:color w:val="000000"/>
          <w:sz w:val="24"/>
        </w:rPr>
        <w:t>年，有效期内可重复使用。</w:t>
      </w:r>
    </w:p>
    <w:p>
      <w:pPr>
        <w:spacing w:line="460" w:lineRule="exact"/>
        <w:ind w:firstLine="480" w:firstLineChars="200"/>
        <w:rPr>
          <w:rFonts w:eastAsia="方正仿宋_GBK"/>
          <w:color w:val="000000"/>
          <w:sz w:val="24"/>
        </w:rPr>
      </w:pPr>
      <w:r>
        <w:rPr>
          <w:rFonts w:hint="eastAsia" w:ascii="Times New Roman" w:eastAsia="方正黑体_GBK"/>
          <w:color w:val="000000"/>
          <w:sz w:val="24"/>
        </w:rPr>
        <w:t>第十一条</w:t>
      </w:r>
      <w:r>
        <w:rPr>
          <w:rFonts w:eastAsia="方正仿宋_GBK"/>
          <w:color w:val="000000"/>
          <w:sz w:val="24"/>
        </w:rPr>
        <w:t xml:space="preserve">  </w:t>
      </w:r>
      <w:r>
        <w:rPr>
          <w:rFonts w:hint="eastAsia" w:eastAsia="方正仿宋_GBK"/>
          <w:color w:val="000000"/>
          <w:sz w:val="24"/>
        </w:rPr>
        <w:t>信用评级报告出具单位。</w:t>
      </w:r>
    </w:p>
    <w:p>
      <w:pPr>
        <w:spacing w:line="460" w:lineRule="exact"/>
        <w:ind w:firstLine="480" w:firstLineChars="200"/>
        <w:rPr>
          <w:rFonts w:eastAsia="方正仿宋_GBK"/>
          <w:color w:val="000000"/>
          <w:sz w:val="24"/>
        </w:rPr>
      </w:pPr>
      <w:r>
        <w:rPr>
          <w:rFonts w:hint="eastAsia" w:eastAsia="方正仿宋_GBK"/>
          <w:color w:val="000000"/>
          <w:sz w:val="24"/>
        </w:rPr>
        <w:t>信用评级报告由设区的市以上具有信用管理职能的机构备案或认可的信用服务机构出具。</w:t>
      </w:r>
    </w:p>
    <w:p>
      <w:pPr>
        <w:spacing w:line="460" w:lineRule="exact"/>
        <w:ind w:firstLine="480" w:firstLineChars="200"/>
        <w:rPr>
          <w:rFonts w:eastAsia="方正仿宋_GBK"/>
          <w:color w:val="000000"/>
          <w:sz w:val="24"/>
        </w:rPr>
      </w:pPr>
      <w:r>
        <w:rPr>
          <w:rFonts w:hint="eastAsia" w:eastAsia="方正仿宋_GBK"/>
          <w:color w:val="000000"/>
          <w:sz w:val="24"/>
        </w:rPr>
        <w:t>信用服务机构要坚持公平、公正、独立的原则，出具信用评级报告。</w:t>
      </w:r>
    </w:p>
    <w:p>
      <w:pPr>
        <w:spacing w:line="460" w:lineRule="exact"/>
        <w:ind w:firstLine="480" w:firstLineChars="200"/>
        <w:rPr>
          <w:rFonts w:eastAsia="方正仿宋_GBK"/>
          <w:color w:val="000000"/>
          <w:sz w:val="24"/>
        </w:rPr>
      </w:pPr>
      <w:r>
        <w:rPr>
          <w:rFonts w:hint="eastAsia" w:ascii="Times New Roman" w:eastAsia="方正黑体_GBK"/>
          <w:color w:val="000000"/>
          <w:sz w:val="24"/>
        </w:rPr>
        <w:t>第十二条</w:t>
      </w:r>
      <w:r>
        <w:rPr>
          <w:rFonts w:eastAsia="方正仿宋_GBK"/>
          <w:color w:val="000000"/>
          <w:sz w:val="24"/>
        </w:rPr>
        <w:t xml:space="preserve">  </w:t>
      </w:r>
      <w:r>
        <w:rPr>
          <w:rFonts w:hint="eastAsia" w:eastAsia="方正仿宋_GBK"/>
          <w:color w:val="000000"/>
          <w:sz w:val="24"/>
        </w:rPr>
        <w:t>信用评级标准。</w:t>
      </w:r>
    </w:p>
    <w:p>
      <w:pPr>
        <w:spacing w:line="460" w:lineRule="exact"/>
        <w:ind w:firstLine="480" w:firstLineChars="200"/>
        <w:rPr>
          <w:rFonts w:eastAsia="方正仿宋_GBK"/>
          <w:color w:val="000000"/>
          <w:sz w:val="24"/>
        </w:rPr>
      </w:pPr>
      <w:r>
        <w:rPr>
          <w:rFonts w:hint="eastAsia" w:eastAsia="方正仿宋_GBK"/>
          <w:color w:val="000000"/>
          <w:sz w:val="24"/>
        </w:rPr>
        <w:t>省、市信用管理机构会同相关行政机关及具有行政管理职能的公用事业单位制定信用评级标准及信用评级报告格式文本。</w:t>
      </w:r>
    </w:p>
    <w:p>
      <w:pPr>
        <w:spacing w:line="460" w:lineRule="exact"/>
        <w:ind w:firstLine="480" w:firstLineChars="200"/>
        <w:rPr>
          <w:rFonts w:eastAsia="方正仿宋_GBK"/>
          <w:color w:val="000000"/>
          <w:sz w:val="24"/>
        </w:rPr>
      </w:pPr>
    </w:p>
    <w:p>
      <w:pPr>
        <w:spacing w:line="460" w:lineRule="exact"/>
        <w:jc w:val="center"/>
        <w:rPr>
          <w:rFonts w:ascii="Times New Roman" w:eastAsia="方正黑体_GBK"/>
          <w:color w:val="000000"/>
          <w:sz w:val="24"/>
        </w:rPr>
      </w:pPr>
      <w:r>
        <w:rPr>
          <w:rFonts w:hint="eastAsia" w:ascii="Times New Roman" w:eastAsia="方正黑体_GBK"/>
          <w:color w:val="000000"/>
          <w:sz w:val="24"/>
        </w:rPr>
        <w:t>第三章  信用承诺</w:t>
      </w:r>
    </w:p>
    <w:p>
      <w:pPr>
        <w:spacing w:line="460" w:lineRule="exact"/>
        <w:ind w:firstLine="480" w:firstLineChars="200"/>
        <w:rPr>
          <w:rFonts w:hint="eastAsia" w:eastAsia="方正仿宋_GBK"/>
          <w:color w:val="000000"/>
          <w:sz w:val="24"/>
        </w:rPr>
      </w:pPr>
    </w:p>
    <w:p>
      <w:pPr>
        <w:spacing w:line="460" w:lineRule="exact"/>
        <w:ind w:firstLine="480" w:firstLineChars="200"/>
        <w:rPr>
          <w:rFonts w:eastAsia="方正仿宋_GBK"/>
          <w:color w:val="000000"/>
          <w:sz w:val="24"/>
        </w:rPr>
      </w:pPr>
      <w:r>
        <w:rPr>
          <w:rFonts w:hint="eastAsia" w:ascii="Times New Roman" w:eastAsia="方正黑体_GBK"/>
          <w:color w:val="000000"/>
          <w:sz w:val="24"/>
        </w:rPr>
        <w:t>第十三条</w:t>
      </w:r>
      <w:r>
        <w:rPr>
          <w:rFonts w:eastAsia="方正仿宋_GBK"/>
          <w:color w:val="000000"/>
          <w:sz w:val="24"/>
        </w:rPr>
        <w:t xml:space="preserve">  </w:t>
      </w:r>
      <w:r>
        <w:rPr>
          <w:rFonts w:hint="eastAsia" w:eastAsia="方正仿宋_GBK"/>
          <w:color w:val="000000"/>
          <w:sz w:val="24"/>
        </w:rPr>
        <w:t>信用承诺，是指行政相对人根据行政机关及具有行政管理职能的公用事业单位的要求和诚实信用原则，对自身的信用状况、申请材料的真实性以及违约责任作出书面承诺。</w:t>
      </w:r>
    </w:p>
    <w:p>
      <w:pPr>
        <w:spacing w:line="460" w:lineRule="exact"/>
        <w:ind w:firstLine="480" w:firstLineChars="200"/>
        <w:rPr>
          <w:rFonts w:eastAsia="方正仿宋_GBK"/>
          <w:color w:val="000000"/>
          <w:sz w:val="24"/>
        </w:rPr>
      </w:pPr>
      <w:r>
        <w:rPr>
          <w:rFonts w:hint="eastAsia" w:ascii="Times New Roman" w:eastAsia="方正黑体_GBK"/>
          <w:color w:val="000000"/>
          <w:sz w:val="24"/>
        </w:rPr>
        <w:t>第十四条</w:t>
      </w:r>
      <w:r>
        <w:rPr>
          <w:rFonts w:eastAsia="方正仿宋_GBK"/>
          <w:color w:val="000000"/>
          <w:sz w:val="24"/>
        </w:rPr>
        <w:t xml:space="preserve">  </w:t>
      </w:r>
      <w:r>
        <w:rPr>
          <w:rFonts w:hint="eastAsia" w:eastAsia="方正仿宋_GBK"/>
          <w:color w:val="000000"/>
          <w:sz w:val="24"/>
        </w:rPr>
        <w:t>行政机关及具有行政管理职能的公用事业单位对审批项目可采用信用承诺的方式，简化审批程序；条件成熟的可以承诺代替审批。</w:t>
      </w:r>
    </w:p>
    <w:p>
      <w:pPr>
        <w:spacing w:line="460" w:lineRule="exact"/>
        <w:ind w:firstLine="480" w:firstLineChars="200"/>
        <w:rPr>
          <w:rFonts w:eastAsia="方正仿宋_GBK"/>
          <w:color w:val="000000"/>
          <w:sz w:val="24"/>
        </w:rPr>
      </w:pPr>
      <w:r>
        <w:rPr>
          <w:rFonts w:hint="eastAsia" w:ascii="Times New Roman" w:eastAsia="方正黑体_GBK"/>
          <w:color w:val="000000"/>
          <w:sz w:val="24"/>
        </w:rPr>
        <w:t>第十五条</w:t>
      </w:r>
      <w:r>
        <w:rPr>
          <w:rFonts w:eastAsia="方正仿宋_GBK"/>
          <w:color w:val="000000"/>
          <w:sz w:val="24"/>
        </w:rPr>
        <w:t xml:space="preserve">  </w:t>
      </w:r>
      <w:r>
        <w:rPr>
          <w:rFonts w:hint="eastAsia" w:eastAsia="方正仿宋_GBK"/>
          <w:color w:val="000000"/>
          <w:sz w:val="24"/>
        </w:rPr>
        <w:t>信用承诺责任。</w:t>
      </w:r>
    </w:p>
    <w:p>
      <w:pPr>
        <w:spacing w:line="460" w:lineRule="exact"/>
        <w:ind w:firstLine="480" w:firstLineChars="200"/>
        <w:rPr>
          <w:rFonts w:eastAsia="方正仿宋_GBK"/>
          <w:color w:val="000000"/>
          <w:sz w:val="24"/>
        </w:rPr>
      </w:pPr>
      <w:r>
        <w:rPr>
          <w:rFonts w:hint="eastAsia" w:eastAsia="方正仿宋_GBK"/>
          <w:color w:val="000000"/>
          <w:sz w:val="24"/>
        </w:rPr>
        <w:t>作出信用承诺的行政相对人应当严格遵守国家的法律、法规和规章，全面履行应尽的贲任和义务，并接受行业行政主管部门的监督管理；违背承诺约定的，应承担违约责任，并依法承担相应的法律责任。</w:t>
      </w:r>
    </w:p>
    <w:p>
      <w:pPr>
        <w:spacing w:line="460" w:lineRule="exact"/>
        <w:ind w:firstLine="480" w:firstLineChars="200"/>
        <w:rPr>
          <w:rFonts w:eastAsia="方正仿宋_GBK"/>
          <w:color w:val="000000"/>
          <w:sz w:val="24"/>
        </w:rPr>
      </w:pPr>
      <w:r>
        <w:rPr>
          <w:rFonts w:hint="eastAsia" w:ascii="Times New Roman" w:eastAsia="方正黑体_GBK"/>
          <w:color w:val="000000"/>
          <w:sz w:val="24"/>
        </w:rPr>
        <w:t>第十六条</w:t>
      </w:r>
      <w:r>
        <w:rPr>
          <w:rFonts w:eastAsia="方正仿宋_GBK"/>
          <w:color w:val="000000"/>
          <w:sz w:val="24"/>
        </w:rPr>
        <w:t xml:space="preserve">  </w:t>
      </w:r>
      <w:r>
        <w:rPr>
          <w:rFonts w:hint="eastAsia" w:eastAsia="方正仿宋_GBK"/>
          <w:color w:val="000000"/>
          <w:sz w:val="24"/>
        </w:rPr>
        <w:t>信用承诺违约信息记录。</w:t>
      </w:r>
    </w:p>
    <w:p>
      <w:pPr>
        <w:spacing w:line="460" w:lineRule="exact"/>
        <w:ind w:firstLine="480" w:firstLineChars="200"/>
        <w:rPr>
          <w:rFonts w:eastAsia="方正仿宋_GBK"/>
          <w:color w:val="000000"/>
          <w:sz w:val="24"/>
        </w:rPr>
      </w:pPr>
      <w:r>
        <w:rPr>
          <w:rFonts w:hint="eastAsia" w:eastAsia="方正仿宋_GBK"/>
          <w:color w:val="000000"/>
          <w:sz w:val="24"/>
        </w:rPr>
        <w:t>行政机关及具有行政管理职能的公用事业单位应将违约信息录入省、市、县（市、区）公共信用信息系统，并予公开。</w:t>
      </w:r>
      <w:r>
        <w:rPr>
          <w:rFonts w:eastAsia="方正仿宋_GBK"/>
          <w:color w:val="000000"/>
          <w:sz w:val="24"/>
        </w:rPr>
        <w:t xml:space="preserve">  </w:t>
      </w:r>
    </w:p>
    <w:p>
      <w:pPr>
        <w:spacing w:line="460" w:lineRule="exact"/>
        <w:ind w:firstLine="480" w:firstLineChars="200"/>
        <w:rPr>
          <w:rFonts w:eastAsia="方正仿宋_GBK"/>
          <w:color w:val="000000"/>
          <w:sz w:val="24"/>
        </w:rPr>
      </w:pPr>
      <w:r>
        <w:rPr>
          <w:rFonts w:eastAsia="方正仿宋_GBK"/>
          <w:color w:val="000000"/>
          <w:sz w:val="24"/>
        </w:rPr>
        <w:t xml:space="preserve">  </w:t>
      </w:r>
    </w:p>
    <w:p>
      <w:pPr>
        <w:spacing w:line="460" w:lineRule="exact"/>
        <w:jc w:val="center"/>
        <w:rPr>
          <w:rFonts w:ascii="Times New Roman" w:eastAsia="方正黑体_GBK"/>
          <w:color w:val="000000"/>
          <w:sz w:val="24"/>
        </w:rPr>
      </w:pPr>
      <w:r>
        <w:rPr>
          <w:rFonts w:hint="eastAsia" w:ascii="Times New Roman" w:eastAsia="方正黑体_GBK"/>
          <w:color w:val="000000"/>
          <w:sz w:val="24"/>
        </w:rPr>
        <w:t>第四章  信用审查</w:t>
      </w:r>
    </w:p>
    <w:p>
      <w:pPr>
        <w:spacing w:line="460" w:lineRule="exact"/>
        <w:ind w:firstLine="480" w:firstLineChars="200"/>
        <w:rPr>
          <w:rFonts w:hint="eastAsia" w:eastAsia="方正仿宋_GBK"/>
          <w:color w:val="000000"/>
          <w:sz w:val="24"/>
        </w:rPr>
      </w:pPr>
    </w:p>
    <w:p>
      <w:pPr>
        <w:spacing w:line="460" w:lineRule="exact"/>
        <w:ind w:firstLine="480" w:firstLineChars="200"/>
        <w:rPr>
          <w:rFonts w:eastAsia="方正仿宋_GBK"/>
          <w:color w:val="000000"/>
          <w:sz w:val="24"/>
        </w:rPr>
      </w:pPr>
      <w:r>
        <w:rPr>
          <w:rFonts w:hint="eastAsia" w:ascii="Times New Roman" w:eastAsia="方正黑体_GBK"/>
          <w:color w:val="000000"/>
          <w:sz w:val="24"/>
        </w:rPr>
        <w:t>第十七条</w:t>
      </w:r>
      <w:r>
        <w:rPr>
          <w:rFonts w:eastAsia="方正仿宋_GBK"/>
          <w:color w:val="000000"/>
          <w:sz w:val="24"/>
        </w:rPr>
        <w:t xml:space="preserve">  </w:t>
      </w:r>
      <w:r>
        <w:rPr>
          <w:rFonts w:hint="eastAsia" w:eastAsia="方正仿宋_GBK"/>
          <w:color w:val="000000"/>
          <w:sz w:val="24"/>
        </w:rPr>
        <w:t>信用审查，是指行政相对人或行政机关及具有行政管理职能的公用事业单位经省、市、县（市、区）公共信用信息系统查询行政相对人信用信患，并取得信用审查报告。</w:t>
      </w:r>
    </w:p>
    <w:p>
      <w:pPr>
        <w:spacing w:line="460" w:lineRule="exact"/>
        <w:ind w:firstLine="480" w:firstLineChars="200"/>
        <w:rPr>
          <w:rFonts w:eastAsia="方正仿宋_GBK"/>
          <w:color w:val="000000"/>
          <w:sz w:val="24"/>
        </w:rPr>
      </w:pPr>
      <w:r>
        <w:rPr>
          <w:rFonts w:hint="eastAsia" w:eastAsia="方正仿宋_GBK"/>
          <w:color w:val="000000"/>
          <w:sz w:val="24"/>
        </w:rPr>
        <w:t>信用审查报告由省、市、县（市、区）公共信用信息中心出具。</w:t>
      </w:r>
    </w:p>
    <w:p>
      <w:pPr>
        <w:spacing w:line="460" w:lineRule="exact"/>
        <w:ind w:firstLine="480" w:firstLineChars="200"/>
        <w:rPr>
          <w:rFonts w:eastAsia="方正仿宋_GBK"/>
          <w:color w:val="000000"/>
          <w:sz w:val="24"/>
        </w:rPr>
      </w:pPr>
      <w:r>
        <w:rPr>
          <w:rFonts w:hint="eastAsia" w:ascii="Times New Roman" w:eastAsia="方正黑体_GBK"/>
          <w:color w:val="000000"/>
          <w:sz w:val="24"/>
        </w:rPr>
        <w:t>第十八条</w:t>
      </w:r>
      <w:r>
        <w:rPr>
          <w:rFonts w:eastAsia="方正仿宋_GBK"/>
          <w:color w:val="000000"/>
          <w:sz w:val="24"/>
        </w:rPr>
        <w:t xml:space="preserve">  </w:t>
      </w:r>
      <w:r>
        <w:rPr>
          <w:rFonts w:hint="eastAsia" w:eastAsia="方正仿宋_GBK"/>
          <w:color w:val="000000"/>
          <w:sz w:val="24"/>
        </w:rPr>
        <w:t>省、市、县（市、区）公共信用信息中心接到审查申请后，在</w:t>
      </w:r>
      <w:r>
        <w:rPr>
          <w:rFonts w:eastAsia="方正仿宋_GBK"/>
          <w:color w:val="000000"/>
          <w:sz w:val="24"/>
        </w:rPr>
        <w:t>5</w:t>
      </w:r>
      <w:r>
        <w:rPr>
          <w:rFonts w:hint="eastAsia" w:eastAsia="方正仿宋_GBK"/>
          <w:color w:val="000000"/>
          <w:sz w:val="24"/>
        </w:rPr>
        <w:t>个工作日内将审查结果反馈申请审查的行政相对人或行政机关及具有行政管理职能的公用事业单位。</w:t>
      </w:r>
    </w:p>
    <w:p>
      <w:pPr>
        <w:spacing w:line="460" w:lineRule="exact"/>
        <w:ind w:firstLine="480" w:firstLineChars="200"/>
        <w:rPr>
          <w:rFonts w:eastAsia="方正仿宋_GBK"/>
          <w:color w:val="000000"/>
          <w:sz w:val="24"/>
        </w:rPr>
      </w:pPr>
      <w:r>
        <w:rPr>
          <w:rFonts w:hint="eastAsia" w:ascii="Times New Roman" w:eastAsia="方正黑体_GBK"/>
          <w:color w:val="000000"/>
          <w:sz w:val="24"/>
        </w:rPr>
        <w:t>第十九条</w:t>
      </w:r>
      <w:r>
        <w:rPr>
          <w:rFonts w:eastAsia="方正仿宋_GBK"/>
          <w:color w:val="000000"/>
          <w:sz w:val="24"/>
        </w:rPr>
        <w:t xml:space="preserve">  </w:t>
      </w:r>
      <w:r>
        <w:rPr>
          <w:rFonts w:hint="eastAsia" w:eastAsia="方正仿宋_GBK"/>
          <w:color w:val="000000"/>
          <w:sz w:val="24"/>
        </w:rPr>
        <w:t>信用审查报告的应用。</w:t>
      </w:r>
    </w:p>
    <w:p>
      <w:pPr>
        <w:spacing w:line="460" w:lineRule="exact"/>
        <w:ind w:firstLine="480" w:firstLineChars="200"/>
        <w:rPr>
          <w:rFonts w:eastAsia="方正仿宋_GBK"/>
          <w:color w:val="000000"/>
          <w:sz w:val="24"/>
        </w:rPr>
      </w:pPr>
      <w:r>
        <w:rPr>
          <w:rFonts w:hint="eastAsia" w:eastAsia="方正仿宋_GBK"/>
          <w:color w:val="000000"/>
          <w:sz w:val="24"/>
        </w:rPr>
        <w:t>信用审查报告主要用于行政相对人申请各类财政资金、政策性贷款、国家或地方政府对外借款，参与评优评级、评定职称以及其他公共资源分配活动。</w:t>
      </w:r>
    </w:p>
    <w:p>
      <w:pPr>
        <w:spacing w:line="460" w:lineRule="exact"/>
        <w:ind w:firstLine="480" w:firstLineChars="200"/>
        <w:rPr>
          <w:rFonts w:eastAsia="方正仿宋_GBK"/>
          <w:color w:val="000000"/>
          <w:sz w:val="24"/>
        </w:rPr>
      </w:pPr>
    </w:p>
    <w:p>
      <w:pPr>
        <w:spacing w:line="460" w:lineRule="exact"/>
        <w:jc w:val="center"/>
        <w:rPr>
          <w:rFonts w:ascii="Times New Roman" w:eastAsia="方正黑体_GBK"/>
          <w:color w:val="000000"/>
          <w:sz w:val="24"/>
        </w:rPr>
      </w:pPr>
      <w:r>
        <w:rPr>
          <w:rFonts w:hint="eastAsia" w:ascii="Times New Roman" w:eastAsia="方正黑体_GBK"/>
          <w:color w:val="000000"/>
          <w:sz w:val="24"/>
        </w:rPr>
        <w:t>第五章  保障措施</w:t>
      </w:r>
    </w:p>
    <w:p>
      <w:pPr>
        <w:spacing w:line="460" w:lineRule="exact"/>
        <w:ind w:firstLine="480" w:firstLineChars="200"/>
        <w:rPr>
          <w:rFonts w:hint="eastAsia" w:eastAsia="方正仿宋_GBK"/>
          <w:color w:val="000000"/>
          <w:sz w:val="24"/>
        </w:rPr>
      </w:pPr>
    </w:p>
    <w:p>
      <w:pPr>
        <w:spacing w:line="460" w:lineRule="exact"/>
        <w:ind w:firstLine="480" w:firstLineChars="200"/>
        <w:rPr>
          <w:rFonts w:eastAsia="方正仿宋_GBK"/>
          <w:color w:val="000000"/>
          <w:sz w:val="24"/>
        </w:rPr>
      </w:pPr>
      <w:r>
        <w:rPr>
          <w:rFonts w:hint="eastAsia" w:ascii="Times New Roman" w:eastAsia="方正黑体_GBK"/>
          <w:color w:val="000000"/>
          <w:sz w:val="24"/>
        </w:rPr>
        <w:t>第二十条</w:t>
      </w:r>
      <w:r>
        <w:rPr>
          <w:rFonts w:eastAsia="方正仿宋_GBK"/>
          <w:color w:val="000000"/>
          <w:sz w:val="24"/>
        </w:rPr>
        <w:t xml:space="preserve">  </w:t>
      </w:r>
      <w:r>
        <w:rPr>
          <w:rFonts w:hint="eastAsia" w:eastAsia="方正仿宋_GBK"/>
          <w:color w:val="000000"/>
          <w:sz w:val="24"/>
        </w:rPr>
        <w:t>各级信用管理机构负责对行政相对人信用信息审查工作的推进、指导和监管。</w:t>
      </w:r>
    </w:p>
    <w:p>
      <w:pPr>
        <w:spacing w:line="460" w:lineRule="exact"/>
        <w:ind w:firstLine="480" w:firstLineChars="200"/>
        <w:rPr>
          <w:rFonts w:eastAsia="方正仿宋_GBK"/>
          <w:color w:val="000000"/>
          <w:sz w:val="24"/>
        </w:rPr>
      </w:pPr>
      <w:r>
        <w:rPr>
          <w:rFonts w:hint="eastAsia" w:ascii="Times New Roman" w:eastAsia="方正黑体_GBK"/>
          <w:color w:val="000000"/>
          <w:sz w:val="24"/>
        </w:rPr>
        <w:t>第二十一条</w:t>
      </w:r>
      <w:r>
        <w:rPr>
          <w:rFonts w:eastAsia="方正仿宋_GBK"/>
          <w:color w:val="000000"/>
          <w:sz w:val="24"/>
        </w:rPr>
        <w:t xml:space="preserve">  </w:t>
      </w:r>
      <w:r>
        <w:rPr>
          <w:rFonts w:hint="eastAsia" w:eastAsia="方正仿宋_GBK"/>
          <w:color w:val="000000"/>
          <w:sz w:val="24"/>
        </w:rPr>
        <w:t>各级行政机关及具有行政管理职能的公用事业单位按照各自行政管理职能，制定本单位具体实施办法。</w:t>
      </w:r>
    </w:p>
    <w:p>
      <w:pPr>
        <w:spacing w:line="460" w:lineRule="exact"/>
        <w:ind w:firstLine="480" w:firstLineChars="200"/>
        <w:rPr>
          <w:rFonts w:eastAsia="方正仿宋_GBK"/>
          <w:color w:val="000000"/>
          <w:sz w:val="24"/>
        </w:rPr>
      </w:pPr>
      <w:r>
        <w:rPr>
          <w:rFonts w:hint="eastAsia" w:ascii="Times New Roman" w:eastAsia="方正黑体_GBK"/>
          <w:color w:val="000000"/>
          <w:sz w:val="24"/>
        </w:rPr>
        <w:t>第二十二条</w:t>
      </w:r>
      <w:r>
        <w:rPr>
          <w:rFonts w:eastAsia="方正仿宋_GBK"/>
          <w:color w:val="000000"/>
          <w:sz w:val="24"/>
        </w:rPr>
        <w:t xml:space="preserve">  </w:t>
      </w:r>
      <w:r>
        <w:rPr>
          <w:rFonts w:hint="eastAsia" w:eastAsia="方正仿宋_GBK"/>
          <w:color w:val="000000"/>
          <w:sz w:val="24"/>
        </w:rPr>
        <w:t>信用管理机构要加强对信用服务机构的监督管理，建立从业人员信用档案。信用服务机构要加强自身信用建设，严格管理其从业人员。</w:t>
      </w:r>
    </w:p>
    <w:p>
      <w:pPr>
        <w:spacing w:line="460" w:lineRule="exact"/>
        <w:ind w:firstLine="480" w:firstLineChars="200"/>
        <w:rPr>
          <w:rFonts w:eastAsia="方正仿宋_GBK"/>
          <w:color w:val="000000"/>
          <w:sz w:val="24"/>
        </w:rPr>
      </w:pPr>
      <w:r>
        <w:rPr>
          <w:rFonts w:hint="eastAsia" w:ascii="Times New Roman" w:eastAsia="方正黑体_GBK"/>
          <w:color w:val="000000"/>
          <w:sz w:val="24"/>
        </w:rPr>
        <w:t>第二十三条</w:t>
      </w:r>
      <w:r>
        <w:rPr>
          <w:rFonts w:eastAsia="方正仿宋_GBK"/>
          <w:color w:val="000000"/>
          <w:sz w:val="24"/>
        </w:rPr>
        <w:t xml:space="preserve">  </w:t>
      </w:r>
      <w:r>
        <w:rPr>
          <w:rFonts w:hint="eastAsia" w:eastAsia="方正仿宋_GBK"/>
          <w:color w:val="000000"/>
          <w:sz w:val="24"/>
        </w:rPr>
        <w:t>信用管理机构要加强对同级公共信用信息中心的指导、管理和考核工作。省、市、县（市、区）公共信用信息中心应制定信用审查的具体实施办法并在同级信用管理机构备案。</w:t>
      </w:r>
    </w:p>
    <w:p>
      <w:pPr>
        <w:spacing w:line="460" w:lineRule="exact"/>
        <w:ind w:firstLine="480" w:firstLineChars="200"/>
        <w:rPr>
          <w:rFonts w:eastAsia="方正仿宋_GBK"/>
          <w:color w:val="000000"/>
          <w:sz w:val="24"/>
        </w:rPr>
      </w:pPr>
    </w:p>
    <w:p>
      <w:pPr>
        <w:spacing w:line="460" w:lineRule="exact"/>
        <w:jc w:val="center"/>
        <w:rPr>
          <w:rFonts w:ascii="Times New Roman" w:eastAsia="方正黑体_GBK"/>
          <w:color w:val="000000"/>
          <w:sz w:val="24"/>
        </w:rPr>
      </w:pPr>
      <w:r>
        <w:rPr>
          <w:rFonts w:hint="eastAsia" w:ascii="Times New Roman" w:eastAsia="方正黑体_GBK"/>
          <w:color w:val="000000"/>
          <w:sz w:val="24"/>
        </w:rPr>
        <w:t>第六章  附则</w:t>
      </w:r>
    </w:p>
    <w:p>
      <w:pPr>
        <w:spacing w:line="460" w:lineRule="exact"/>
        <w:ind w:firstLine="480" w:firstLineChars="200"/>
        <w:rPr>
          <w:rFonts w:hint="eastAsia" w:eastAsia="方正仿宋_GBK"/>
          <w:color w:val="000000"/>
          <w:sz w:val="24"/>
        </w:rPr>
      </w:pPr>
    </w:p>
    <w:p>
      <w:pPr>
        <w:spacing w:line="460" w:lineRule="exact"/>
        <w:ind w:firstLine="480" w:firstLineChars="200"/>
        <w:rPr>
          <w:rFonts w:eastAsia="方正仿宋_GBK"/>
          <w:color w:val="000000"/>
          <w:sz w:val="24"/>
        </w:rPr>
      </w:pPr>
      <w:r>
        <w:rPr>
          <w:rFonts w:hint="eastAsia" w:ascii="Times New Roman" w:eastAsia="方正黑体_GBK"/>
          <w:color w:val="000000"/>
          <w:sz w:val="24"/>
        </w:rPr>
        <w:t>第二十四条</w:t>
      </w:r>
      <w:r>
        <w:rPr>
          <w:rFonts w:eastAsia="方正仿宋_GBK"/>
          <w:color w:val="000000"/>
          <w:sz w:val="24"/>
        </w:rPr>
        <w:t xml:space="preserve">  </w:t>
      </w:r>
      <w:r>
        <w:rPr>
          <w:rFonts w:hint="eastAsia" w:eastAsia="方正仿宋_GBK"/>
          <w:color w:val="000000"/>
          <w:sz w:val="24"/>
        </w:rPr>
        <w:t>本办法由省社会信用体系建设领导小组办公室负责解释。</w:t>
      </w:r>
    </w:p>
    <w:p>
      <w:pPr>
        <w:spacing w:line="460" w:lineRule="exact"/>
        <w:ind w:firstLine="480" w:firstLineChars="200"/>
        <w:rPr>
          <w:rFonts w:eastAsia="方正仿宋_GBK"/>
          <w:color w:val="000000"/>
          <w:sz w:val="24"/>
        </w:rPr>
      </w:pPr>
      <w:r>
        <w:rPr>
          <w:rFonts w:hint="eastAsia" w:ascii="Times New Roman" w:eastAsia="方正黑体_GBK"/>
          <w:color w:val="000000"/>
          <w:sz w:val="24"/>
        </w:rPr>
        <w:t>第二十五条</w:t>
      </w:r>
      <w:r>
        <w:rPr>
          <w:rFonts w:eastAsia="方正仿宋_GBK"/>
          <w:color w:val="000000"/>
          <w:sz w:val="24"/>
        </w:rPr>
        <w:t xml:space="preserve">  </w:t>
      </w:r>
      <w:r>
        <w:rPr>
          <w:rFonts w:hint="eastAsia" w:eastAsia="方正仿宋_GBK"/>
          <w:color w:val="000000"/>
          <w:sz w:val="24"/>
        </w:rPr>
        <w:t>本办法自发布之日起实施。</w:t>
      </w:r>
    </w:p>
    <w:p>
      <w:pPr>
        <w:spacing w:line="460" w:lineRule="exact"/>
        <w:rPr>
          <w:rFonts w:ascii="Times New Roman" w:eastAsia="方正黑体_GBK"/>
          <w:color w:val="000000"/>
          <w:sz w:val="28"/>
          <w:szCs w:val="28"/>
        </w:rPr>
      </w:pPr>
      <w:r>
        <w:rPr>
          <w:rFonts w:eastAsia="方正仿宋_GBK"/>
          <w:color w:val="000000"/>
          <w:sz w:val="24"/>
        </w:rPr>
        <w:br w:type="column"/>
      </w:r>
      <w:r>
        <w:rPr>
          <w:rFonts w:hint="eastAsia" w:ascii="Times New Roman" w:eastAsia="方正黑体_GBK"/>
          <w:color w:val="000000"/>
          <w:sz w:val="28"/>
          <w:szCs w:val="28"/>
        </w:rPr>
        <w:t>附件2：</w:t>
      </w:r>
    </w:p>
    <w:p>
      <w:pPr>
        <w:spacing w:line="460" w:lineRule="exact"/>
        <w:jc w:val="center"/>
        <w:rPr>
          <w:rFonts w:hint="eastAsia" w:ascii="Times New Roman" w:eastAsia="方正黑体_GBK"/>
          <w:color w:val="000000"/>
          <w:szCs w:val="21"/>
        </w:rPr>
      </w:pPr>
      <w:r>
        <w:rPr>
          <w:rFonts w:hint="eastAsia" w:ascii="Times New Roman" w:eastAsia="方正黑体_GBK"/>
          <w:color w:val="000000"/>
          <w:szCs w:val="21"/>
        </w:rPr>
        <w:t>“出省施工证明审批2</w:t>
      </w:r>
      <w:r>
        <w:rPr>
          <w:rFonts w:eastAsia="方正黑体_GBK"/>
          <w:color w:val="000000"/>
          <w:szCs w:val="21"/>
        </w:rPr>
        <w:t> </w:t>
      </w:r>
      <w:r>
        <w:rPr>
          <w:rFonts w:hint="eastAsia" w:ascii="Times New Roman" w:eastAsia="方正黑体_GBK"/>
          <w:color w:val="000000"/>
          <w:szCs w:val="21"/>
        </w:rPr>
        <w:t>.0版”系统维护人员情况表</w:t>
      </w:r>
    </w:p>
    <w:p>
      <w:pPr>
        <w:spacing w:line="460" w:lineRule="exact"/>
        <w:jc w:val="center"/>
        <w:rPr>
          <w:rFonts w:hint="eastAsia" w:eastAsia="方正仿宋_GBK"/>
          <w:color w:val="000000"/>
          <w:sz w:val="24"/>
        </w:rPr>
      </w:pP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433"/>
        <w:gridCol w:w="59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56" w:hRule="atLeast"/>
          <w:jc w:val="center"/>
        </w:trPr>
        <w:tc>
          <w:tcPr>
            <w:tcW w:w="2433" w:type="dxa"/>
            <w:tcBorders>
              <w:top w:val="single" w:color="auto" w:sz="8" w:space="0"/>
              <w:left w:val="single" w:color="auto" w:sz="8" w:space="0"/>
              <w:bottom w:val="single" w:color="auto" w:sz="4" w:space="0"/>
              <w:right w:val="single" w:color="auto" w:sz="4" w:space="0"/>
            </w:tcBorders>
            <w:noWrap w:val="0"/>
            <w:vAlign w:val="center"/>
          </w:tcPr>
          <w:p>
            <w:pPr>
              <w:autoSpaceDE w:val="0"/>
              <w:autoSpaceDN w:val="0"/>
              <w:spacing w:line="300" w:lineRule="exact"/>
              <w:jc w:val="center"/>
              <w:rPr>
                <w:rFonts w:eastAsia="方正仿宋_GBK"/>
                <w:color w:val="000000"/>
                <w:kern w:val="0"/>
                <w:szCs w:val="21"/>
              </w:rPr>
            </w:pPr>
            <w:r>
              <w:rPr>
                <w:rFonts w:hint="eastAsia" w:eastAsia="方正仿宋_GBK"/>
                <w:color w:val="000000"/>
                <w:kern w:val="0"/>
                <w:szCs w:val="21"/>
              </w:rPr>
              <w:t>单位名称</w:t>
            </w:r>
          </w:p>
          <w:p>
            <w:pPr>
              <w:autoSpaceDE w:val="0"/>
              <w:autoSpaceDN w:val="0"/>
              <w:spacing w:line="300" w:lineRule="exact"/>
              <w:jc w:val="center"/>
              <w:rPr>
                <w:rFonts w:eastAsia="方正仿宋_GBK"/>
                <w:color w:val="000000"/>
                <w:kern w:val="0"/>
                <w:szCs w:val="21"/>
              </w:rPr>
            </w:pPr>
            <w:r>
              <w:rPr>
                <w:rFonts w:hint="eastAsia" w:eastAsia="方正仿宋_GBK"/>
                <w:color w:val="000000"/>
                <w:kern w:val="0"/>
                <w:szCs w:val="21"/>
              </w:rPr>
              <w:t>（盖章）</w:t>
            </w:r>
          </w:p>
        </w:tc>
        <w:tc>
          <w:tcPr>
            <w:tcW w:w="5960" w:type="dxa"/>
            <w:tcBorders>
              <w:top w:val="single" w:color="auto" w:sz="8" w:space="0"/>
              <w:left w:val="single" w:color="auto" w:sz="4" w:space="0"/>
              <w:bottom w:val="single" w:color="auto" w:sz="4" w:space="0"/>
              <w:right w:val="single" w:color="auto" w:sz="8" w:space="0"/>
            </w:tcBorders>
            <w:noWrap w:val="0"/>
            <w:vAlign w:val="top"/>
          </w:tcPr>
          <w:p>
            <w:pPr>
              <w:autoSpaceDE w:val="0"/>
              <w:autoSpaceDN w:val="0"/>
              <w:spacing w:line="300" w:lineRule="exact"/>
              <w:rPr>
                <w:rFonts w:eastAsia="方正仿宋_GBK"/>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761" w:hRule="atLeast"/>
          <w:jc w:val="center"/>
        </w:trPr>
        <w:tc>
          <w:tcPr>
            <w:tcW w:w="2433" w:type="dxa"/>
            <w:tcBorders>
              <w:top w:val="single" w:color="auto" w:sz="4" w:space="0"/>
              <w:left w:val="single" w:color="auto" w:sz="8" w:space="0"/>
              <w:bottom w:val="single" w:color="auto" w:sz="4" w:space="0"/>
              <w:right w:val="single" w:color="auto" w:sz="4" w:space="0"/>
            </w:tcBorders>
            <w:noWrap w:val="0"/>
            <w:vAlign w:val="center"/>
          </w:tcPr>
          <w:p>
            <w:pPr>
              <w:autoSpaceDE w:val="0"/>
              <w:autoSpaceDN w:val="0"/>
              <w:spacing w:line="300" w:lineRule="exact"/>
              <w:jc w:val="center"/>
              <w:rPr>
                <w:rFonts w:eastAsia="方正仿宋_GBK"/>
                <w:color w:val="000000"/>
                <w:kern w:val="0"/>
                <w:szCs w:val="21"/>
              </w:rPr>
            </w:pPr>
            <w:r>
              <w:rPr>
                <w:rFonts w:hint="eastAsia" w:eastAsia="方正仿宋_GBK"/>
                <w:color w:val="000000"/>
                <w:kern w:val="0"/>
                <w:szCs w:val="21"/>
              </w:rPr>
              <w:t>具体承担</w:t>
            </w:r>
          </w:p>
          <w:p>
            <w:pPr>
              <w:autoSpaceDE w:val="0"/>
              <w:autoSpaceDN w:val="0"/>
              <w:spacing w:line="300" w:lineRule="exact"/>
              <w:jc w:val="center"/>
              <w:rPr>
                <w:rFonts w:eastAsia="方正仿宋_GBK"/>
                <w:color w:val="000000"/>
                <w:kern w:val="0"/>
                <w:szCs w:val="21"/>
              </w:rPr>
            </w:pPr>
            <w:r>
              <w:rPr>
                <w:rFonts w:hint="eastAsia" w:eastAsia="方正仿宋_GBK"/>
                <w:color w:val="000000"/>
                <w:kern w:val="0"/>
                <w:szCs w:val="21"/>
              </w:rPr>
              <w:t>此项业务的</w:t>
            </w:r>
          </w:p>
          <w:p>
            <w:pPr>
              <w:autoSpaceDE w:val="0"/>
              <w:autoSpaceDN w:val="0"/>
              <w:spacing w:line="300" w:lineRule="exact"/>
              <w:jc w:val="center"/>
              <w:rPr>
                <w:rFonts w:eastAsia="方正仿宋_GBK"/>
                <w:color w:val="000000"/>
                <w:kern w:val="0"/>
                <w:szCs w:val="21"/>
              </w:rPr>
            </w:pPr>
            <w:r>
              <w:rPr>
                <w:rFonts w:hint="eastAsia" w:eastAsia="方正仿宋_GBK"/>
                <w:color w:val="000000"/>
                <w:kern w:val="0"/>
                <w:szCs w:val="21"/>
              </w:rPr>
              <w:t>维护人员姓名</w:t>
            </w:r>
          </w:p>
        </w:tc>
        <w:tc>
          <w:tcPr>
            <w:tcW w:w="5960" w:type="dxa"/>
            <w:tcBorders>
              <w:top w:val="single" w:color="auto" w:sz="4" w:space="0"/>
              <w:left w:val="single" w:color="auto" w:sz="4" w:space="0"/>
              <w:bottom w:val="single" w:color="auto" w:sz="4" w:space="0"/>
              <w:right w:val="single" w:color="auto" w:sz="8" w:space="0"/>
            </w:tcBorders>
            <w:noWrap w:val="0"/>
            <w:vAlign w:val="top"/>
          </w:tcPr>
          <w:p>
            <w:pPr>
              <w:autoSpaceDE w:val="0"/>
              <w:autoSpaceDN w:val="0"/>
              <w:spacing w:line="300" w:lineRule="exact"/>
              <w:rPr>
                <w:rFonts w:eastAsia="方正仿宋_GBK"/>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76" w:hRule="atLeast"/>
          <w:jc w:val="center"/>
        </w:trPr>
        <w:tc>
          <w:tcPr>
            <w:tcW w:w="2433" w:type="dxa"/>
            <w:tcBorders>
              <w:top w:val="single" w:color="auto" w:sz="4" w:space="0"/>
              <w:left w:val="single" w:color="auto" w:sz="8" w:space="0"/>
              <w:bottom w:val="single" w:color="auto" w:sz="4" w:space="0"/>
              <w:right w:val="single" w:color="auto" w:sz="4" w:space="0"/>
            </w:tcBorders>
            <w:noWrap w:val="0"/>
            <w:vAlign w:val="center"/>
          </w:tcPr>
          <w:p>
            <w:pPr>
              <w:autoSpaceDE w:val="0"/>
              <w:autoSpaceDN w:val="0"/>
              <w:spacing w:line="300" w:lineRule="exact"/>
              <w:jc w:val="center"/>
              <w:rPr>
                <w:rFonts w:eastAsia="方正仿宋_GBK"/>
                <w:color w:val="000000"/>
                <w:kern w:val="0"/>
                <w:szCs w:val="21"/>
              </w:rPr>
            </w:pPr>
            <w:r>
              <w:rPr>
                <w:rFonts w:hint="eastAsia" w:eastAsia="方正仿宋_GBK"/>
                <w:color w:val="000000"/>
                <w:kern w:val="0"/>
                <w:szCs w:val="21"/>
              </w:rPr>
              <w:t>联系电话</w:t>
            </w:r>
          </w:p>
        </w:tc>
        <w:tc>
          <w:tcPr>
            <w:tcW w:w="5960" w:type="dxa"/>
            <w:tcBorders>
              <w:top w:val="single" w:color="auto" w:sz="4" w:space="0"/>
              <w:left w:val="single" w:color="auto" w:sz="4" w:space="0"/>
              <w:bottom w:val="single" w:color="auto" w:sz="4" w:space="0"/>
              <w:right w:val="single" w:color="auto" w:sz="8" w:space="0"/>
            </w:tcBorders>
            <w:noWrap w:val="0"/>
            <w:vAlign w:val="center"/>
          </w:tcPr>
          <w:p>
            <w:pPr>
              <w:autoSpaceDE w:val="0"/>
              <w:autoSpaceDN w:val="0"/>
              <w:spacing w:line="300" w:lineRule="exact"/>
              <w:ind w:firstLine="105" w:firstLineChars="50"/>
              <w:rPr>
                <w:rFonts w:eastAsia="方正仿宋_GBK"/>
                <w:color w:val="000000"/>
                <w:kern w:val="0"/>
                <w:szCs w:val="21"/>
              </w:rPr>
            </w:pPr>
            <w:r>
              <w:rPr>
                <w:rFonts w:hint="eastAsia" w:eastAsia="方正仿宋_GBK"/>
                <w:color w:val="000000"/>
                <w:kern w:val="0"/>
                <w:szCs w:val="21"/>
              </w:rPr>
              <w:t>办公室：</w:t>
            </w:r>
          </w:p>
          <w:p>
            <w:pPr>
              <w:autoSpaceDE w:val="0"/>
              <w:autoSpaceDN w:val="0"/>
              <w:spacing w:line="300" w:lineRule="exact"/>
              <w:ind w:firstLine="105" w:firstLineChars="50"/>
              <w:rPr>
                <w:rFonts w:eastAsia="方正仿宋_GBK"/>
                <w:color w:val="000000"/>
                <w:kern w:val="0"/>
                <w:szCs w:val="21"/>
              </w:rPr>
            </w:pPr>
            <w:r>
              <w:rPr>
                <w:rFonts w:hint="eastAsia" w:eastAsia="方正仿宋_GBK"/>
                <w:color w:val="000000"/>
                <w:kern w:val="0"/>
                <w:szCs w:val="21"/>
              </w:rPr>
              <w:t>手</w:t>
            </w:r>
            <w:r>
              <w:rPr>
                <w:rFonts w:eastAsia="方正仿宋_GBK"/>
                <w:color w:val="000000"/>
                <w:kern w:val="0"/>
                <w:szCs w:val="21"/>
              </w:rPr>
              <w:t xml:space="preserve">  </w:t>
            </w:r>
            <w:r>
              <w:rPr>
                <w:rFonts w:hint="eastAsia" w:eastAsia="方正仿宋_GBK"/>
                <w:color w:val="000000"/>
                <w:kern w:val="0"/>
                <w:szCs w:val="21"/>
              </w:rPr>
              <w:t>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923" w:hRule="atLeast"/>
          <w:jc w:val="center"/>
        </w:trPr>
        <w:tc>
          <w:tcPr>
            <w:tcW w:w="2433" w:type="dxa"/>
            <w:tcBorders>
              <w:top w:val="single" w:color="auto" w:sz="4" w:space="0"/>
              <w:left w:val="single" w:color="auto" w:sz="8" w:space="0"/>
              <w:bottom w:val="single" w:color="auto" w:sz="8" w:space="0"/>
              <w:right w:val="single" w:color="auto" w:sz="4" w:space="0"/>
            </w:tcBorders>
            <w:noWrap w:val="0"/>
            <w:vAlign w:val="center"/>
          </w:tcPr>
          <w:p>
            <w:pPr>
              <w:autoSpaceDE w:val="0"/>
              <w:autoSpaceDN w:val="0"/>
              <w:spacing w:line="300" w:lineRule="exact"/>
              <w:jc w:val="center"/>
              <w:rPr>
                <w:rFonts w:eastAsia="方正仿宋_GBK"/>
                <w:color w:val="000000"/>
                <w:kern w:val="0"/>
                <w:szCs w:val="21"/>
              </w:rPr>
            </w:pPr>
            <w:r>
              <w:rPr>
                <w:rFonts w:hint="eastAsia" w:eastAsia="方正仿宋_GBK"/>
                <w:color w:val="000000"/>
                <w:kern w:val="0"/>
                <w:szCs w:val="21"/>
              </w:rPr>
              <w:t>维护人员持有</w:t>
            </w:r>
          </w:p>
          <w:p>
            <w:pPr>
              <w:autoSpaceDE w:val="0"/>
              <w:autoSpaceDN w:val="0"/>
              <w:spacing w:line="300" w:lineRule="exact"/>
              <w:jc w:val="center"/>
              <w:rPr>
                <w:rFonts w:eastAsia="方正仿宋_GBK"/>
                <w:color w:val="000000"/>
                <w:kern w:val="0"/>
                <w:szCs w:val="21"/>
              </w:rPr>
            </w:pPr>
            <w:r>
              <w:rPr>
                <w:rFonts w:eastAsia="方正仿宋_GBK"/>
                <w:color w:val="000000"/>
                <w:kern w:val="0"/>
                <w:szCs w:val="21"/>
              </w:rPr>
              <w:t>“</w:t>
            </w:r>
            <w:r>
              <w:rPr>
                <w:rFonts w:hint="eastAsia" w:eastAsia="方正仿宋_GBK"/>
                <w:color w:val="000000"/>
                <w:kern w:val="0"/>
                <w:szCs w:val="21"/>
              </w:rPr>
              <w:t>江苏省</w:t>
            </w:r>
          </w:p>
          <w:p>
            <w:pPr>
              <w:autoSpaceDE w:val="0"/>
              <w:autoSpaceDN w:val="0"/>
              <w:spacing w:line="300" w:lineRule="exact"/>
              <w:jc w:val="center"/>
              <w:rPr>
                <w:rFonts w:eastAsia="方正仿宋_GBK"/>
                <w:color w:val="000000"/>
                <w:kern w:val="0"/>
                <w:szCs w:val="21"/>
              </w:rPr>
            </w:pPr>
            <w:r>
              <w:rPr>
                <w:rFonts w:hint="eastAsia" w:eastAsia="方正仿宋_GBK"/>
                <w:color w:val="000000"/>
                <w:kern w:val="0"/>
                <w:szCs w:val="21"/>
              </w:rPr>
              <w:t>建筑业监管</w:t>
            </w:r>
          </w:p>
          <w:p>
            <w:pPr>
              <w:autoSpaceDE w:val="0"/>
              <w:autoSpaceDN w:val="0"/>
              <w:spacing w:line="300" w:lineRule="exact"/>
              <w:jc w:val="center"/>
              <w:rPr>
                <w:rFonts w:eastAsia="方正仿宋_GBK"/>
                <w:color w:val="000000"/>
                <w:kern w:val="0"/>
                <w:szCs w:val="21"/>
              </w:rPr>
            </w:pPr>
            <w:r>
              <w:rPr>
                <w:rFonts w:hint="eastAsia" w:eastAsia="方正仿宋_GBK"/>
                <w:color w:val="000000"/>
                <w:kern w:val="0"/>
                <w:szCs w:val="21"/>
              </w:rPr>
              <w:t>信息平台</w:t>
            </w:r>
            <w:r>
              <w:rPr>
                <w:rFonts w:eastAsia="方正仿宋_GBK"/>
                <w:color w:val="000000"/>
                <w:kern w:val="0"/>
                <w:szCs w:val="21"/>
              </w:rPr>
              <w:t>”</w:t>
            </w:r>
          </w:p>
          <w:p>
            <w:pPr>
              <w:autoSpaceDE w:val="0"/>
              <w:autoSpaceDN w:val="0"/>
              <w:spacing w:line="300" w:lineRule="exact"/>
              <w:jc w:val="center"/>
              <w:rPr>
                <w:rFonts w:eastAsia="方正仿宋_GBK"/>
                <w:color w:val="000000"/>
                <w:kern w:val="0"/>
                <w:szCs w:val="21"/>
              </w:rPr>
            </w:pPr>
            <w:r>
              <w:rPr>
                <w:rFonts w:hint="eastAsia" w:eastAsia="方正仿宋_GBK"/>
                <w:color w:val="000000"/>
                <w:kern w:val="0"/>
                <w:szCs w:val="21"/>
              </w:rPr>
              <w:t>加密锁情况</w:t>
            </w:r>
          </w:p>
        </w:tc>
        <w:tc>
          <w:tcPr>
            <w:tcW w:w="5960" w:type="dxa"/>
            <w:tcBorders>
              <w:top w:val="single" w:color="auto" w:sz="4" w:space="0"/>
              <w:left w:val="single" w:color="auto" w:sz="4" w:space="0"/>
              <w:bottom w:val="single" w:color="auto" w:sz="8" w:space="0"/>
              <w:right w:val="single" w:color="auto" w:sz="8" w:space="0"/>
            </w:tcBorders>
            <w:noWrap w:val="0"/>
            <w:vAlign w:val="center"/>
          </w:tcPr>
          <w:p>
            <w:pPr>
              <w:autoSpaceDE w:val="0"/>
              <w:autoSpaceDN w:val="0"/>
              <w:spacing w:line="300" w:lineRule="exact"/>
              <w:ind w:firstLine="105" w:firstLineChars="50"/>
              <w:rPr>
                <w:rFonts w:eastAsia="方正仿宋_GBK"/>
                <w:color w:val="000000"/>
                <w:kern w:val="0"/>
                <w:szCs w:val="21"/>
              </w:rPr>
            </w:pPr>
            <w:r>
              <w:rPr>
                <w:rFonts w:hint="eastAsia" w:ascii="Times New Roman" w:hAnsi="Times New Roman"/>
                <w:color w:val="000000"/>
                <w:kern w:val="0"/>
                <w:szCs w:val="21"/>
              </w:rPr>
              <w:t>口</w:t>
            </w:r>
            <w:r>
              <w:rPr>
                <w:rFonts w:hint="eastAsia" w:eastAsia="方正仿宋_GBK"/>
                <w:color w:val="000000"/>
                <w:kern w:val="0"/>
                <w:szCs w:val="21"/>
              </w:rPr>
              <w:t>无</w:t>
            </w:r>
          </w:p>
          <w:p>
            <w:pPr>
              <w:autoSpaceDE w:val="0"/>
              <w:autoSpaceDN w:val="0"/>
              <w:spacing w:line="300" w:lineRule="exact"/>
              <w:ind w:firstLine="105" w:firstLineChars="50"/>
              <w:rPr>
                <w:rFonts w:eastAsia="方正仿宋_GBK"/>
                <w:color w:val="000000"/>
                <w:kern w:val="0"/>
                <w:szCs w:val="21"/>
              </w:rPr>
            </w:pPr>
            <w:r>
              <w:rPr>
                <w:rFonts w:hint="eastAsia" w:ascii="Times New Roman" w:hAnsi="Times New Roman"/>
                <w:color w:val="000000"/>
                <w:kern w:val="0"/>
                <w:szCs w:val="21"/>
              </w:rPr>
              <w:t>口</w:t>
            </w:r>
            <w:r>
              <w:rPr>
                <w:rFonts w:hint="eastAsia" w:eastAsia="方正仿宋_GBK"/>
                <w:color w:val="000000"/>
                <w:kern w:val="0"/>
                <w:szCs w:val="21"/>
              </w:rPr>
              <w:t>有</w:t>
            </w:r>
          </w:p>
          <w:p>
            <w:pPr>
              <w:autoSpaceDE w:val="0"/>
              <w:autoSpaceDN w:val="0"/>
              <w:spacing w:line="300" w:lineRule="exact"/>
              <w:ind w:firstLine="315" w:firstLineChars="150"/>
              <w:rPr>
                <w:rFonts w:eastAsia="方正仿宋_GBK"/>
                <w:color w:val="000000"/>
                <w:kern w:val="0"/>
                <w:szCs w:val="21"/>
              </w:rPr>
            </w:pPr>
            <w:r>
              <w:rPr>
                <w:rFonts w:hint="eastAsia" w:eastAsia="方正仿宋_GBK"/>
                <w:color w:val="000000"/>
                <w:kern w:val="0"/>
                <w:szCs w:val="21"/>
              </w:rPr>
              <w:t>如加密锁登录平台时的姓名和现使用者不一致，原使用者姓名：</w:t>
            </w:r>
          </w:p>
          <w:p>
            <w:pPr>
              <w:autoSpaceDE w:val="0"/>
              <w:autoSpaceDN w:val="0"/>
              <w:spacing w:line="300" w:lineRule="exact"/>
              <w:rPr>
                <w:rFonts w:eastAsia="方正仿宋_GBK"/>
                <w:color w:val="000000"/>
                <w:kern w:val="0"/>
                <w:szCs w:val="21"/>
              </w:rPr>
            </w:pPr>
          </w:p>
        </w:tc>
      </w:tr>
    </w:tbl>
    <w:p>
      <w:pPr>
        <w:autoSpaceDE w:val="0"/>
        <w:autoSpaceDN w:val="0"/>
        <w:adjustRightInd w:val="0"/>
        <w:spacing w:line="460" w:lineRule="exact"/>
        <w:jc w:val="left"/>
        <w:rPr>
          <w:rFonts w:eastAsia="方正仿宋_GBK"/>
          <w:color w:val="000000"/>
          <w:kern w:val="0"/>
          <w:sz w:val="24"/>
        </w:rPr>
      </w:pPr>
    </w:p>
    <w:p>
      <w:pPr>
        <w:spacing w:line="460" w:lineRule="exact"/>
        <w:jc w:val="center"/>
        <w:rPr>
          <w:rFonts w:ascii="Times New Roman" w:eastAsia="方正小标宋简体"/>
          <w:color w:val="000000"/>
          <w:sz w:val="36"/>
          <w:szCs w:val="36"/>
        </w:rPr>
      </w:pPr>
    </w:p>
    <w:p>
      <w:pPr>
        <w:spacing w:line="460" w:lineRule="exact"/>
        <w:jc w:val="center"/>
        <w:rPr>
          <w:rFonts w:hint="eastAsia" w:ascii="Times New Roman" w:eastAsia="方正小标宋简体"/>
          <w:color w:val="000000"/>
          <w:sz w:val="36"/>
          <w:szCs w:val="36"/>
        </w:rPr>
      </w:pPr>
    </w:p>
    <w:p>
      <w:pPr>
        <w:spacing w:line="460" w:lineRule="exact"/>
        <w:jc w:val="center"/>
        <w:rPr>
          <w:rFonts w:hint="eastAsia" w:ascii="Times New Roman" w:eastAsia="方正小标宋简体"/>
          <w:color w:val="000000"/>
          <w:sz w:val="36"/>
          <w:szCs w:val="36"/>
        </w:rPr>
      </w:pPr>
    </w:p>
    <w:p>
      <w:pPr>
        <w:rPr>
          <w:rFonts w:hint="eastAsia"/>
        </w:rPr>
      </w:pPr>
    </w:p>
    <w:p/>
    <w:p/>
    <w:p/>
    <w:p/>
    <w:p/>
    <w:p/>
    <w:p/>
    <w:p/>
    <w:p/>
    <w:p/>
    <w:p>
      <w:pPr>
        <w:pStyle w:val="2"/>
        <w:spacing w:before="240" w:beforeLines="100" w:after="240" w:afterLines="100" w:line="240" w:lineRule="auto"/>
        <w:jc w:val="center"/>
        <w:rPr>
          <w:rFonts w:ascii="Times New Roman" w:eastAsia="方正小标宋_GBK"/>
          <w:b w:val="0"/>
          <w:sz w:val="36"/>
          <w:szCs w:val="36"/>
        </w:rPr>
      </w:pPr>
      <w:bookmarkStart w:id="462" w:name="_Toc18315678"/>
      <w:bookmarkStart w:id="463" w:name="_Toc20726508"/>
      <w:r>
        <w:rPr>
          <w:rFonts w:hint="eastAsia" w:ascii="Times New Roman" w:eastAsia="方正小标宋_GBK"/>
          <w:b w:val="0"/>
          <w:sz w:val="36"/>
          <w:szCs w:val="36"/>
        </w:rPr>
        <w:t>关于印发《江苏省建筑业企业信用综合评价办法(试行)》的通知</w:t>
      </w:r>
      <w:bookmarkEnd w:id="462"/>
      <w:bookmarkEnd w:id="463"/>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464" w:name="_Toc20726509"/>
      <w:bookmarkStart w:id="465" w:name="_Toc18315679"/>
      <w:r>
        <w:rPr>
          <w:rFonts w:hint="eastAsia" w:ascii="Times New Roman" w:hAnsi="Times New Roman" w:eastAsia="方正楷体_GBK"/>
          <w:b w:val="0"/>
          <w:sz w:val="24"/>
          <w:szCs w:val="24"/>
        </w:rPr>
        <w:t>苏建建管〔</w:t>
      </w:r>
      <w:r>
        <w:rPr>
          <w:rFonts w:ascii="Times New Roman" w:hAnsi="Times New Roman" w:eastAsia="方正楷体_GBK"/>
          <w:b w:val="0"/>
          <w:sz w:val="24"/>
          <w:szCs w:val="24"/>
        </w:rPr>
        <w:t>2013</w:t>
      </w:r>
      <w:r>
        <w:rPr>
          <w:rFonts w:hint="eastAsia" w:ascii="Times New Roman" w:hAnsi="Times New Roman" w:eastAsia="方正楷体_GBK"/>
          <w:b w:val="0"/>
          <w:sz w:val="24"/>
          <w:szCs w:val="24"/>
        </w:rPr>
        <w:t>〕</w:t>
      </w:r>
      <w:r>
        <w:rPr>
          <w:rFonts w:ascii="Times New Roman" w:hAnsi="Times New Roman" w:eastAsia="方正楷体_GBK"/>
          <w:b w:val="0"/>
          <w:sz w:val="24"/>
          <w:szCs w:val="24"/>
        </w:rPr>
        <w:t>662</w:t>
      </w:r>
      <w:r>
        <w:rPr>
          <w:rFonts w:hint="eastAsia" w:ascii="Times New Roman" w:hAnsi="Times New Roman" w:eastAsia="方正楷体_GBK"/>
          <w:b w:val="0"/>
          <w:sz w:val="24"/>
          <w:szCs w:val="24"/>
        </w:rPr>
        <w:t>号</w:t>
      </w:r>
      <w:bookmarkEnd w:id="464"/>
      <w:bookmarkEnd w:id="465"/>
    </w:p>
    <w:p>
      <w:pPr>
        <w:snapToGrid w:val="0"/>
        <w:spacing w:line="460" w:lineRule="exact"/>
        <w:rPr>
          <w:rFonts w:eastAsia="方正仿宋_GBK"/>
          <w:color w:val="000000"/>
          <w:spacing w:val="-2"/>
          <w:kern w:val="0"/>
          <w:sz w:val="24"/>
        </w:rPr>
      </w:pPr>
      <w:r>
        <w:rPr>
          <w:rFonts w:hint="eastAsia" w:eastAsia="方正仿宋_GBK"/>
          <w:color w:val="000000"/>
          <w:spacing w:val="-2"/>
          <w:kern w:val="0"/>
          <w:sz w:val="24"/>
        </w:rPr>
        <w:t>各市建设局（委）、泰州市建工局，信用办：</w:t>
      </w:r>
    </w:p>
    <w:p>
      <w:pPr>
        <w:pStyle w:val="10"/>
        <w:widowControl w:val="0"/>
        <w:spacing w:before="0" w:beforeAutospacing="0" w:after="0" w:afterAutospacing="0" w:line="460" w:lineRule="exact"/>
        <w:ind w:left="42" w:leftChars="20" w:right="41" w:firstLine="472" w:firstLineChars="200"/>
        <w:jc w:val="both"/>
        <w:rPr>
          <w:rFonts w:ascii="Times New Roman" w:hAnsi="Times New Roman" w:eastAsia="方正仿宋_GBK"/>
          <w:color w:val="000000"/>
          <w:spacing w:val="-2"/>
        </w:rPr>
      </w:pPr>
      <w:r>
        <w:rPr>
          <w:rFonts w:hint="eastAsia" w:ascii="Times New Roman" w:hAnsi="Times New Roman" w:eastAsia="方正仿宋_GBK"/>
          <w:bCs/>
          <w:color w:val="000000"/>
          <w:spacing w:val="-2"/>
        </w:rPr>
        <w:t>根据省工程建设专项治理和社会信用体系建设工作的总体部署，</w:t>
      </w:r>
      <w:r>
        <w:rPr>
          <w:rFonts w:ascii="Times New Roman" w:hAnsi="Times New Roman" w:eastAsia="方正仿宋_GBK"/>
          <w:bCs/>
          <w:color w:val="000000"/>
          <w:spacing w:val="-2"/>
        </w:rPr>
        <w:t>2012</w:t>
      </w:r>
      <w:r>
        <w:rPr>
          <w:rFonts w:hint="eastAsia" w:ascii="Times New Roman" w:hAnsi="Times New Roman" w:eastAsia="方正仿宋_GBK"/>
          <w:bCs/>
          <w:color w:val="000000"/>
          <w:spacing w:val="-2"/>
        </w:rPr>
        <w:t>年初，省建设厅</w:t>
      </w:r>
      <w:r>
        <w:rPr>
          <w:rFonts w:hint="eastAsia" w:ascii="Times New Roman" w:hAnsi="Times New Roman" w:eastAsia="方正仿宋_GBK"/>
          <w:color w:val="000000"/>
          <w:spacing w:val="-2"/>
        </w:rPr>
        <w:t>、省</w:t>
      </w:r>
      <w:r>
        <w:rPr>
          <w:rFonts w:hint="eastAsia" w:ascii="Times New Roman" w:hAnsi="Times New Roman" w:eastAsia="方正仿宋_GBK"/>
          <w:bCs/>
          <w:color w:val="000000"/>
          <w:spacing w:val="-2"/>
        </w:rPr>
        <w:t>监察厅</w:t>
      </w:r>
      <w:r>
        <w:rPr>
          <w:rFonts w:hint="eastAsia" w:ascii="Times New Roman" w:hAnsi="Times New Roman" w:eastAsia="方正仿宋_GBK"/>
          <w:color w:val="000000"/>
          <w:spacing w:val="-2"/>
        </w:rPr>
        <w:t>和省信用办联合在常州市启动了我省建筑市场信用管理平台暨常州市建设工程</w:t>
      </w:r>
      <w:r>
        <w:rPr>
          <w:rFonts w:ascii="Times New Roman" w:hAnsi="Times New Roman" w:eastAsia="方正仿宋_GBK"/>
          <w:color w:val="000000"/>
          <w:spacing w:val="-2"/>
        </w:rPr>
        <w:t>“</w:t>
      </w:r>
      <w:r>
        <w:rPr>
          <w:rFonts w:hint="eastAsia" w:ascii="Times New Roman" w:hAnsi="Times New Roman" w:eastAsia="方正仿宋_GBK"/>
          <w:color w:val="000000"/>
          <w:spacing w:val="-2"/>
        </w:rPr>
        <w:t>三合一</w:t>
      </w:r>
      <w:r>
        <w:rPr>
          <w:rFonts w:ascii="Times New Roman" w:hAnsi="Times New Roman" w:eastAsia="方正仿宋_GBK"/>
          <w:color w:val="000000"/>
          <w:spacing w:val="-2"/>
        </w:rPr>
        <w:t>”</w:t>
      </w:r>
      <w:r>
        <w:rPr>
          <w:rFonts w:hint="eastAsia" w:ascii="Times New Roman" w:hAnsi="Times New Roman" w:eastAsia="方正仿宋_GBK"/>
          <w:color w:val="000000"/>
          <w:spacing w:val="-2"/>
        </w:rPr>
        <w:t>评标系统，将我省建</w:t>
      </w:r>
      <w:r>
        <w:rPr>
          <w:rFonts w:hint="eastAsia" w:ascii="Times New Roman" w:hAnsi="Times New Roman" w:eastAsia="方正仿宋_GBK"/>
          <w:bCs/>
          <w:color w:val="000000"/>
          <w:spacing w:val="-2"/>
        </w:rPr>
        <w:t>筑市场信用体系建设由试点转向全面推进阶段。经过近两年的努力，全省建筑市场信用体系及省市一体化信用平台建设工作已取得明显成效，</w:t>
      </w:r>
      <w:r>
        <w:rPr>
          <w:rFonts w:ascii="Times New Roman" w:hAnsi="Times New Roman" w:eastAsia="方正仿宋_GBK"/>
          <w:bCs/>
          <w:color w:val="000000"/>
          <w:spacing w:val="-2"/>
        </w:rPr>
        <w:t>13</w:t>
      </w:r>
      <w:r>
        <w:rPr>
          <w:rFonts w:hint="eastAsia" w:ascii="Times New Roman" w:hAnsi="Times New Roman" w:eastAsia="方正仿宋_GBK"/>
          <w:bCs/>
          <w:color w:val="000000"/>
          <w:spacing w:val="-2"/>
        </w:rPr>
        <w:t>个省辖市的企业库、人员库和项目库均已建成，实</w:t>
      </w:r>
      <w:r>
        <w:rPr>
          <w:rFonts w:hint="eastAsia" w:ascii="Times New Roman" w:hAnsi="Times New Roman" w:eastAsia="方正仿宋_GBK"/>
          <w:color w:val="000000"/>
          <w:spacing w:val="-2"/>
        </w:rPr>
        <w:t>现了企业、人员和项目信息的关联互通，南京、常州、盐城、镇江等市已将信用评价结果应用到评标过程中，初步实现了建筑市场和施工现场的</w:t>
      </w:r>
      <w:r>
        <w:rPr>
          <w:rFonts w:ascii="Times New Roman" w:hAnsi="Times New Roman" w:eastAsia="方正仿宋_GBK"/>
          <w:color w:val="000000"/>
          <w:spacing w:val="-2"/>
        </w:rPr>
        <w:t>“</w:t>
      </w:r>
      <w:r>
        <w:rPr>
          <w:rFonts w:hint="eastAsia" w:ascii="Times New Roman" w:hAnsi="Times New Roman" w:eastAsia="方正仿宋_GBK"/>
          <w:color w:val="000000"/>
          <w:spacing w:val="-2"/>
        </w:rPr>
        <w:t>两场</w:t>
      </w:r>
      <w:r>
        <w:rPr>
          <w:rFonts w:ascii="Times New Roman" w:hAnsi="Times New Roman" w:eastAsia="方正仿宋_GBK"/>
          <w:color w:val="000000"/>
          <w:spacing w:val="-2"/>
        </w:rPr>
        <w:t>”</w:t>
      </w:r>
      <w:r>
        <w:rPr>
          <w:rFonts w:hint="eastAsia" w:ascii="Times New Roman" w:hAnsi="Times New Roman" w:eastAsia="方正仿宋_GBK"/>
          <w:color w:val="000000"/>
          <w:spacing w:val="-2"/>
        </w:rPr>
        <w:t>联动。</w:t>
      </w:r>
    </w:p>
    <w:p>
      <w:pPr>
        <w:snapToGrid w:val="0"/>
        <w:spacing w:line="460" w:lineRule="exact"/>
        <w:rPr>
          <w:rFonts w:eastAsia="方正仿宋_GBK"/>
          <w:bCs/>
          <w:color w:val="000000"/>
          <w:spacing w:val="-2"/>
          <w:sz w:val="24"/>
        </w:rPr>
      </w:pPr>
      <w:r>
        <w:rPr>
          <w:rFonts w:eastAsia="方正仿宋_GBK"/>
          <w:color w:val="000000"/>
          <w:spacing w:val="-2"/>
          <w:sz w:val="24"/>
        </w:rPr>
        <w:t xml:space="preserve">    </w:t>
      </w:r>
      <w:r>
        <w:rPr>
          <w:rFonts w:hint="eastAsia" w:eastAsia="方正仿宋_GBK"/>
          <w:color w:val="000000"/>
          <w:spacing w:val="-2"/>
          <w:sz w:val="24"/>
        </w:rPr>
        <w:t>为进一步巩固工程建设领域专项治理工作的成果，加大我省建设领域信用体系建设力度，</w:t>
      </w:r>
      <w:r>
        <w:rPr>
          <w:rFonts w:eastAsia="方正仿宋_GBK"/>
          <w:bCs/>
          <w:color w:val="000000"/>
          <w:spacing w:val="-2"/>
          <w:sz w:val="24"/>
        </w:rPr>
        <w:t xml:space="preserve"> </w:t>
      </w:r>
      <w:r>
        <w:rPr>
          <w:rFonts w:hint="eastAsia" w:eastAsia="方正仿宋_GBK"/>
          <w:bCs/>
          <w:color w:val="000000"/>
          <w:spacing w:val="-2"/>
          <w:sz w:val="24"/>
        </w:rPr>
        <w:t>切实规范建筑市场秩序，省住房城乡建设厅、省信用办制定了《江苏省建筑业企业信用综合评价办法</w:t>
      </w:r>
      <w:r>
        <w:rPr>
          <w:rFonts w:eastAsia="方正仿宋_GBK"/>
          <w:bCs/>
          <w:color w:val="000000"/>
          <w:spacing w:val="-2"/>
          <w:sz w:val="24"/>
        </w:rPr>
        <w:t>(</w:t>
      </w:r>
      <w:r>
        <w:rPr>
          <w:rFonts w:hint="eastAsia" w:eastAsia="方正仿宋_GBK"/>
          <w:bCs/>
          <w:color w:val="000000"/>
          <w:spacing w:val="-2"/>
          <w:sz w:val="24"/>
        </w:rPr>
        <w:t>试行</w:t>
      </w:r>
      <w:r>
        <w:rPr>
          <w:rFonts w:eastAsia="方正仿宋_GBK"/>
          <w:bCs/>
          <w:color w:val="000000"/>
          <w:spacing w:val="-2"/>
          <w:sz w:val="24"/>
        </w:rPr>
        <w:t>)</w:t>
      </w:r>
      <w:r>
        <w:rPr>
          <w:rFonts w:hint="eastAsia" w:eastAsia="方正仿宋_GBK"/>
          <w:bCs/>
          <w:color w:val="000000"/>
          <w:spacing w:val="-2"/>
          <w:sz w:val="24"/>
        </w:rPr>
        <w:t>》</w:t>
      </w:r>
      <w:r>
        <w:rPr>
          <w:rFonts w:hint="eastAsia" w:eastAsia="方正仿宋_GBK"/>
          <w:bCs/>
          <w:color w:val="000000"/>
          <w:spacing w:val="-2"/>
          <w:kern w:val="0"/>
          <w:sz w:val="24"/>
        </w:rPr>
        <w:t>，现印发给你们，并就相</w:t>
      </w:r>
      <w:r>
        <w:rPr>
          <w:rFonts w:hint="eastAsia" w:eastAsia="方正仿宋_GBK"/>
          <w:bCs/>
          <w:color w:val="000000"/>
          <w:spacing w:val="-2"/>
          <w:sz w:val="24"/>
        </w:rPr>
        <w:t>关事项明确如下：</w:t>
      </w:r>
    </w:p>
    <w:p>
      <w:pPr>
        <w:spacing w:line="460" w:lineRule="exact"/>
        <w:ind w:firstLine="472" w:firstLineChars="200"/>
        <w:rPr>
          <w:rFonts w:eastAsia="方正仿宋_GBK"/>
          <w:bCs/>
          <w:color w:val="000000"/>
          <w:spacing w:val="-2"/>
          <w:sz w:val="24"/>
        </w:rPr>
      </w:pPr>
      <w:r>
        <w:rPr>
          <w:rFonts w:hint="eastAsia" w:eastAsia="方正仿宋_GBK"/>
          <w:bCs/>
          <w:color w:val="000000"/>
          <w:spacing w:val="-2"/>
          <w:sz w:val="24"/>
        </w:rPr>
        <w:t>一、自</w:t>
      </w:r>
      <w:r>
        <w:rPr>
          <w:rFonts w:eastAsia="方正仿宋_GBK"/>
          <w:bCs/>
          <w:color w:val="000000"/>
          <w:spacing w:val="-2"/>
          <w:sz w:val="24"/>
        </w:rPr>
        <w:t>2014</w:t>
      </w:r>
      <w:r>
        <w:rPr>
          <w:rFonts w:hint="eastAsia" w:eastAsia="方正仿宋_GBK"/>
          <w:bCs/>
          <w:color w:val="000000"/>
          <w:spacing w:val="-2"/>
          <w:sz w:val="24"/>
        </w:rPr>
        <w:t>年</w:t>
      </w:r>
      <w:r>
        <w:rPr>
          <w:rFonts w:eastAsia="方正仿宋_GBK"/>
          <w:bCs/>
          <w:color w:val="000000"/>
          <w:spacing w:val="-2"/>
          <w:sz w:val="24"/>
        </w:rPr>
        <w:t>4</w:t>
      </w:r>
      <w:r>
        <w:rPr>
          <w:rFonts w:hint="eastAsia" w:eastAsia="方正仿宋_GBK"/>
          <w:bCs/>
          <w:color w:val="000000"/>
          <w:spacing w:val="-2"/>
          <w:sz w:val="24"/>
        </w:rPr>
        <w:t>月</w:t>
      </w:r>
      <w:r>
        <w:rPr>
          <w:rFonts w:eastAsia="方正仿宋_GBK"/>
          <w:bCs/>
          <w:color w:val="000000"/>
          <w:spacing w:val="-2"/>
          <w:sz w:val="24"/>
        </w:rPr>
        <w:t>1</w:t>
      </w:r>
      <w:r>
        <w:rPr>
          <w:rFonts w:hint="eastAsia" w:eastAsia="方正仿宋_GBK"/>
          <w:bCs/>
          <w:color w:val="000000"/>
          <w:spacing w:val="-2"/>
          <w:sz w:val="24"/>
        </w:rPr>
        <w:t>日起，使用国有资金投资、国有资金投资占控股或主导地位的建设工程项目实行招标发包的，建设单位应当将建筑业企业信用评价结果纳入招投标环节；其他类型建设工程项目招标可参照执行。</w:t>
      </w:r>
    </w:p>
    <w:p>
      <w:pPr>
        <w:spacing w:line="460" w:lineRule="exact"/>
        <w:ind w:firstLine="472" w:firstLineChars="200"/>
        <w:rPr>
          <w:rFonts w:eastAsia="方正仿宋_GBK"/>
          <w:bCs/>
          <w:color w:val="000000"/>
          <w:spacing w:val="-2"/>
          <w:sz w:val="24"/>
        </w:rPr>
      </w:pPr>
      <w:r>
        <w:rPr>
          <w:rFonts w:hint="eastAsia" w:eastAsia="方正仿宋_GBK"/>
          <w:bCs/>
          <w:color w:val="000000"/>
          <w:spacing w:val="-2"/>
          <w:sz w:val="24"/>
        </w:rPr>
        <w:t>二、建筑业企业信用综合得分由省、市两部分构成，其中省级信用平均分占</w:t>
      </w:r>
      <w:r>
        <w:rPr>
          <w:rFonts w:eastAsia="方正仿宋_GBK"/>
          <w:bCs/>
          <w:color w:val="000000"/>
          <w:spacing w:val="-2"/>
          <w:sz w:val="24"/>
        </w:rPr>
        <w:t>40%</w:t>
      </w:r>
      <w:r>
        <w:rPr>
          <w:rFonts w:hint="eastAsia" w:eastAsia="方正仿宋_GBK"/>
          <w:bCs/>
          <w:color w:val="000000"/>
          <w:spacing w:val="-2"/>
          <w:sz w:val="24"/>
        </w:rPr>
        <w:t>，市级信用分占</w:t>
      </w:r>
      <w:r>
        <w:rPr>
          <w:rFonts w:eastAsia="方正仿宋_GBK"/>
          <w:bCs/>
          <w:color w:val="000000"/>
          <w:spacing w:val="-2"/>
          <w:sz w:val="24"/>
        </w:rPr>
        <w:t>60%</w:t>
      </w:r>
      <w:r>
        <w:rPr>
          <w:rFonts w:hint="eastAsia" w:eastAsia="方正仿宋_GBK"/>
          <w:bCs/>
          <w:color w:val="000000"/>
          <w:spacing w:val="-2"/>
          <w:sz w:val="24"/>
        </w:rPr>
        <w:t>。</w:t>
      </w:r>
    </w:p>
    <w:p>
      <w:pPr>
        <w:spacing w:line="460" w:lineRule="exact"/>
        <w:ind w:firstLine="472" w:firstLineChars="200"/>
        <w:rPr>
          <w:rFonts w:eastAsia="方正仿宋_GBK"/>
          <w:color w:val="000000"/>
          <w:spacing w:val="-2"/>
          <w:sz w:val="24"/>
        </w:rPr>
      </w:pPr>
      <w:r>
        <w:rPr>
          <w:rFonts w:hint="eastAsia" w:eastAsia="方正仿宋_GBK"/>
          <w:bCs/>
          <w:color w:val="000000"/>
          <w:spacing w:val="-2"/>
          <w:sz w:val="24"/>
        </w:rPr>
        <w:t>三、采用商务标、技术标、信用标综合评标法的</w:t>
      </w:r>
      <w:r>
        <w:rPr>
          <w:rFonts w:hint="eastAsia" w:eastAsia="方正仿宋_GBK"/>
          <w:color w:val="000000"/>
          <w:spacing w:val="-2"/>
          <w:sz w:val="24"/>
        </w:rPr>
        <w:t>，信用分所占比例不得低于</w:t>
      </w:r>
      <w:r>
        <w:rPr>
          <w:rFonts w:eastAsia="方正仿宋_GBK"/>
          <w:color w:val="000000"/>
          <w:spacing w:val="-2"/>
          <w:sz w:val="24"/>
        </w:rPr>
        <w:t>5%</w:t>
      </w:r>
      <w:r>
        <w:rPr>
          <w:rFonts w:hint="eastAsia" w:eastAsia="方正仿宋_GBK"/>
          <w:color w:val="000000"/>
          <w:spacing w:val="-2"/>
          <w:sz w:val="24"/>
        </w:rPr>
        <w:t>，各市可根据实际情况适当上浮；</w:t>
      </w:r>
      <w:r>
        <w:rPr>
          <w:rFonts w:hint="eastAsia" w:eastAsia="方正仿宋_GBK"/>
          <w:color w:val="000000"/>
          <w:spacing w:val="-2"/>
          <w:kern w:val="0"/>
          <w:sz w:val="24"/>
        </w:rPr>
        <w:t>采用经评审的最低投标价法、合理低价法、合理价随机确定中标人法的，必须将建筑业企业信用综合得分作为资格审查的必要条件。</w:t>
      </w:r>
    </w:p>
    <w:p>
      <w:pPr>
        <w:snapToGrid w:val="0"/>
        <w:spacing w:line="460" w:lineRule="exact"/>
        <w:ind w:firstLine="472" w:firstLineChars="200"/>
        <w:rPr>
          <w:rFonts w:eastAsia="方正仿宋_GBK"/>
          <w:color w:val="000000"/>
          <w:spacing w:val="-2"/>
          <w:sz w:val="24"/>
        </w:rPr>
      </w:pPr>
      <w:r>
        <w:rPr>
          <w:rFonts w:hint="eastAsia" w:eastAsia="方正仿宋_GBK"/>
          <w:color w:val="000000"/>
          <w:spacing w:val="-2"/>
          <w:kern w:val="0"/>
          <w:sz w:val="24"/>
        </w:rPr>
        <w:t>四、建筑业企业信用</w:t>
      </w:r>
      <w:r>
        <w:rPr>
          <w:rFonts w:hint="eastAsia" w:eastAsia="方正仿宋_GBK"/>
          <w:color w:val="000000"/>
          <w:spacing w:val="-2"/>
          <w:sz w:val="24"/>
        </w:rPr>
        <w:t>评价结果纳入招投标环节</w:t>
      </w:r>
      <w:r>
        <w:rPr>
          <w:rFonts w:hint="eastAsia" w:eastAsia="方正仿宋_GBK"/>
          <w:color w:val="000000"/>
          <w:spacing w:val="-2"/>
          <w:kern w:val="0"/>
          <w:sz w:val="24"/>
        </w:rPr>
        <w:t>后，企业获得的建设工程类单项奖励在评标时不再单独计</w:t>
      </w:r>
      <w:r>
        <w:rPr>
          <w:rFonts w:eastAsia="方正仿宋_GBK"/>
          <w:color w:val="000000"/>
          <w:spacing w:val="-2"/>
          <w:kern w:val="0"/>
          <w:sz w:val="24"/>
        </w:rPr>
        <w:t>(</w:t>
      </w:r>
      <w:r>
        <w:rPr>
          <w:rFonts w:hint="eastAsia" w:eastAsia="方正仿宋_GBK"/>
          <w:color w:val="000000"/>
          <w:spacing w:val="-2"/>
          <w:kern w:val="0"/>
          <w:sz w:val="24"/>
        </w:rPr>
        <w:t>加</w:t>
      </w:r>
      <w:r>
        <w:rPr>
          <w:rFonts w:eastAsia="方正仿宋_GBK"/>
          <w:color w:val="000000"/>
          <w:spacing w:val="-2"/>
          <w:kern w:val="0"/>
          <w:sz w:val="24"/>
        </w:rPr>
        <w:t>)</w:t>
      </w:r>
      <w:r>
        <w:rPr>
          <w:rFonts w:hint="eastAsia" w:eastAsia="方正仿宋_GBK"/>
          <w:color w:val="000000"/>
          <w:spacing w:val="-2"/>
          <w:kern w:val="0"/>
          <w:sz w:val="24"/>
        </w:rPr>
        <w:t>分</w:t>
      </w:r>
      <w:r>
        <w:rPr>
          <w:rFonts w:hint="eastAsia" w:eastAsia="方正仿宋_GBK"/>
          <w:color w:val="000000"/>
          <w:spacing w:val="-2"/>
          <w:sz w:val="24"/>
        </w:rPr>
        <w:t>；不再使用第三方出具的企业信用评级报告。</w:t>
      </w:r>
    </w:p>
    <w:p>
      <w:pPr>
        <w:snapToGrid w:val="0"/>
        <w:spacing w:line="460" w:lineRule="exact"/>
        <w:ind w:firstLine="462" w:firstLineChars="196"/>
        <w:rPr>
          <w:rFonts w:eastAsia="方正仿宋_GBK"/>
          <w:color w:val="000000"/>
          <w:spacing w:val="-2"/>
          <w:kern w:val="0"/>
          <w:sz w:val="24"/>
        </w:rPr>
      </w:pPr>
      <w:r>
        <w:rPr>
          <w:rFonts w:hint="eastAsia" w:eastAsia="方正仿宋_GBK"/>
          <w:color w:val="000000"/>
          <w:spacing w:val="-2"/>
          <w:kern w:val="0"/>
          <w:sz w:val="24"/>
        </w:rPr>
        <w:t>各市建设局（委）、建工局和信用办要密切配合，协同贯彻落实《江苏省建筑业企业信用综合评价办法</w:t>
      </w:r>
      <w:r>
        <w:rPr>
          <w:rFonts w:eastAsia="方正仿宋_GBK"/>
          <w:color w:val="000000"/>
          <w:spacing w:val="-2"/>
          <w:kern w:val="0"/>
          <w:sz w:val="24"/>
        </w:rPr>
        <w:t>(</w:t>
      </w:r>
      <w:r>
        <w:rPr>
          <w:rFonts w:hint="eastAsia" w:eastAsia="方正仿宋_GBK"/>
          <w:color w:val="000000"/>
          <w:spacing w:val="-2"/>
          <w:kern w:val="0"/>
          <w:sz w:val="24"/>
        </w:rPr>
        <w:t>试行</w:t>
      </w:r>
      <w:r>
        <w:rPr>
          <w:rFonts w:eastAsia="方正仿宋_GBK"/>
          <w:color w:val="000000"/>
          <w:spacing w:val="-2"/>
          <w:kern w:val="0"/>
          <w:sz w:val="24"/>
        </w:rPr>
        <w:t>)</w:t>
      </w:r>
      <w:r>
        <w:rPr>
          <w:rFonts w:hint="eastAsia" w:eastAsia="方正仿宋_GBK"/>
          <w:color w:val="000000"/>
          <w:spacing w:val="-2"/>
          <w:kern w:val="0"/>
          <w:sz w:val="24"/>
        </w:rPr>
        <w:t>》。各市信用管理部门要做好对各相关部门的工作指导，共同做好建筑业企业信用综合评价结果的推广应用工作。</w:t>
      </w:r>
    </w:p>
    <w:p>
      <w:pPr>
        <w:snapToGrid w:val="0"/>
        <w:spacing w:line="460" w:lineRule="exact"/>
        <w:ind w:firstLine="462" w:firstLineChars="196"/>
        <w:rPr>
          <w:rFonts w:eastAsia="方正仿宋_GBK"/>
          <w:color w:val="000000"/>
          <w:spacing w:val="-2"/>
          <w:kern w:val="0"/>
          <w:sz w:val="24"/>
        </w:rPr>
      </w:pPr>
      <w:r>
        <w:rPr>
          <w:rFonts w:hint="eastAsia" w:eastAsia="方正仿宋_GBK"/>
          <w:color w:val="000000"/>
          <w:spacing w:val="-2"/>
          <w:kern w:val="0"/>
          <w:sz w:val="24"/>
        </w:rPr>
        <w:t>附件：《江苏省建筑业企业信用综合评价办法</w:t>
      </w:r>
      <w:r>
        <w:rPr>
          <w:rFonts w:eastAsia="方正仿宋_GBK"/>
          <w:color w:val="000000"/>
          <w:spacing w:val="-2"/>
          <w:kern w:val="0"/>
          <w:sz w:val="24"/>
        </w:rPr>
        <w:t>(</w:t>
      </w:r>
      <w:r>
        <w:rPr>
          <w:rFonts w:hint="eastAsia" w:eastAsia="方正仿宋_GBK"/>
          <w:color w:val="000000"/>
          <w:spacing w:val="-2"/>
          <w:kern w:val="0"/>
          <w:sz w:val="24"/>
        </w:rPr>
        <w:t>试行</w:t>
      </w:r>
      <w:r>
        <w:rPr>
          <w:rFonts w:eastAsia="方正仿宋_GBK"/>
          <w:color w:val="000000"/>
          <w:spacing w:val="-2"/>
          <w:kern w:val="0"/>
          <w:sz w:val="24"/>
        </w:rPr>
        <w:t>)</w:t>
      </w:r>
      <w:r>
        <w:rPr>
          <w:rFonts w:hint="eastAsia" w:eastAsia="方正仿宋_GBK"/>
          <w:color w:val="000000"/>
          <w:spacing w:val="-2"/>
          <w:kern w:val="0"/>
          <w:sz w:val="24"/>
        </w:rPr>
        <w:t>》</w:t>
      </w:r>
    </w:p>
    <w:p>
      <w:pPr>
        <w:snapToGrid w:val="0"/>
        <w:spacing w:line="460" w:lineRule="exact"/>
        <w:rPr>
          <w:rFonts w:eastAsia="方正仿宋_GBK"/>
          <w:color w:val="000000"/>
          <w:spacing w:val="-2"/>
          <w:kern w:val="0"/>
          <w:sz w:val="24"/>
        </w:rPr>
      </w:pPr>
    </w:p>
    <w:p>
      <w:pPr>
        <w:snapToGrid w:val="0"/>
        <w:spacing w:line="460" w:lineRule="exact"/>
        <w:ind w:right="57" w:rightChars="27" w:firstLine="4471" w:firstLineChars="1863"/>
        <w:jc w:val="distribute"/>
        <w:rPr>
          <w:rFonts w:eastAsia="方正仿宋_GBK"/>
          <w:color w:val="000000"/>
          <w:kern w:val="0"/>
          <w:sz w:val="24"/>
        </w:rPr>
      </w:pPr>
      <w:r>
        <w:rPr>
          <w:rFonts w:hint="eastAsia" w:eastAsia="方正仿宋_GBK"/>
          <w:color w:val="000000"/>
          <w:kern w:val="0"/>
          <w:sz w:val="24"/>
        </w:rPr>
        <w:t>江苏省住房和城乡建设厅</w:t>
      </w:r>
    </w:p>
    <w:p>
      <w:pPr>
        <w:snapToGrid w:val="0"/>
        <w:spacing w:line="460" w:lineRule="exact"/>
        <w:jc w:val="right"/>
        <w:rPr>
          <w:rFonts w:eastAsia="方正仿宋_GBK"/>
          <w:color w:val="000000"/>
          <w:spacing w:val="-2"/>
          <w:kern w:val="0"/>
          <w:sz w:val="24"/>
        </w:rPr>
      </w:pPr>
      <w:r>
        <w:rPr>
          <w:rFonts w:hint="eastAsia" w:eastAsia="方正仿宋_GBK"/>
          <w:color w:val="000000"/>
          <w:spacing w:val="-2"/>
          <w:kern w:val="0"/>
          <w:sz w:val="24"/>
        </w:rPr>
        <w:t>江苏省社会信用体系建设领导小组办公室</w:t>
      </w:r>
    </w:p>
    <w:p>
      <w:pPr>
        <w:snapToGrid w:val="0"/>
        <w:spacing w:line="460" w:lineRule="exact"/>
        <w:rPr>
          <w:rFonts w:eastAsia="方正仿宋_GBK"/>
          <w:color w:val="000000"/>
          <w:spacing w:val="-2"/>
          <w:kern w:val="0"/>
          <w:sz w:val="24"/>
        </w:rPr>
      </w:pPr>
      <w:r>
        <w:rPr>
          <w:rFonts w:eastAsia="方正仿宋_GBK"/>
          <w:color w:val="000000"/>
          <w:spacing w:val="-2"/>
          <w:kern w:val="0"/>
          <w:sz w:val="24"/>
        </w:rPr>
        <w:t xml:space="preserve">                                                  2013</w:t>
      </w:r>
      <w:r>
        <w:rPr>
          <w:rFonts w:hint="eastAsia" w:eastAsia="方正仿宋_GBK"/>
          <w:color w:val="000000"/>
          <w:spacing w:val="-2"/>
          <w:kern w:val="0"/>
          <w:sz w:val="24"/>
        </w:rPr>
        <w:t>年</w:t>
      </w:r>
      <w:r>
        <w:rPr>
          <w:rFonts w:eastAsia="方正仿宋_GBK"/>
          <w:color w:val="000000"/>
          <w:spacing w:val="-2"/>
          <w:kern w:val="0"/>
          <w:sz w:val="24"/>
        </w:rPr>
        <w:t>12</w:t>
      </w:r>
      <w:r>
        <w:rPr>
          <w:rFonts w:hint="eastAsia" w:eastAsia="方正仿宋_GBK"/>
          <w:color w:val="000000"/>
          <w:spacing w:val="-2"/>
          <w:kern w:val="0"/>
          <w:sz w:val="24"/>
        </w:rPr>
        <w:t>月</w:t>
      </w:r>
      <w:r>
        <w:rPr>
          <w:rFonts w:eastAsia="方正仿宋_GBK"/>
          <w:color w:val="000000"/>
          <w:spacing w:val="-2"/>
          <w:kern w:val="0"/>
          <w:sz w:val="24"/>
        </w:rPr>
        <w:t>22</w:t>
      </w:r>
      <w:r>
        <w:rPr>
          <w:rFonts w:hint="eastAsia" w:eastAsia="方正仿宋_GBK"/>
          <w:color w:val="000000"/>
          <w:spacing w:val="-2"/>
          <w:kern w:val="0"/>
          <w:sz w:val="24"/>
        </w:rPr>
        <w:t>日</w:t>
      </w:r>
      <w:r>
        <w:rPr>
          <w:rFonts w:eastAsia="方正仿宋_GBK"/>
          <w:color w:val="000000"/>
          <w:spacing w:val="-2"/>
          <w:kern w:val="0"/>
          <w:sz w:val="24"/>
        </w:rPr>
        <w:t xml:space="preserve">          </w:t>
      </w:r>
    </w:p>
    <w:p>
      <w:pPr>
        <w:snapToGrid w:val="0"/>
        <w:spacing w:line="460" w:lineRule="exact"/>
        <w:rPr>
          <w:rFonts w:eastAsia="方正仿宋_GBK"/>
          <w:color w:val="000000"/>
          <w:spacing w:val="-2"/>
          <w:kern w:val="0"/>
          <w:sz w:val="24"/>
        </w:rPr>
      </w:pPr>
    </w:p>
    <w:p>
      <w:pPr>
        <w:snapToGrid w:val="0"/>
        <w:spacing w:line="460" w:lineRule="exact"/>
        <w:rPr>
          <w:rFonts w:eastAsia="方正仿宋_GBK"/>
          <w:b/>
          <w:bCs/>
          <w:color w:val="000000"/>
          <w:spacing w:val="-2"/>
          <w:kern w:val="0"/>
          <w:sz w:val="24"/>
        </w:rPr>
      </w:pPr>
      <w:r>
        <w:rPr>
          <w:rFonts w:eastAsia="方正仿宋_GBK"/>
          <w:b/>
          <w:bCs/>
          <w:color w:val="000000"/>
          <w:spacing w:val="-2"/>
          <w:kern w:val="0"/>
          <w:sz w:val="24"/>
        </w:rPr>
        <w:t xml:space="preserve"> </w:t>
      </w:r>
    </w:p>
    <w:p>
      <w:pPr>
        <w:snapToGrid w:val="0"/>
        <w:spacing w:line="460" w:lineRule="exact"/>
        <w:jc w:val="center"/>
        <w:rPr>
          <w:rFonts w:ascii="Times New Roman" w:eastAsia="方正黑体_GBK"/>
          <w:color w:val="000000"/>
          <w:spacing w:val="-2"/>
          <w:kern w:val="0"/>
          <w:sz w:val="36"/>
          <w:szCs w:val="36"/>
        </w:rPr>
      </w:pPr>
      <w:r>
        <w:rPr>
          <w:rFonts w:hint="eastAsia" w:ascii="Times New Roman" w:eastAsia="方正黑体_GBK"/>
          <w:bCs/>
          <w:color w:val="000000"/>
          <w:spacing w:val="-2"/>
          <w:kern w:val="0"/>
          <w:sz w:val="36"/>
          <w:szCs w:val="36"/>
        </w:rPr>
        <w:t>江苏省建筑业企业信用综合评价办法(试行)</w:t>
      </w:r>
    </w:p>
    <w:p>
      <w:pPr>
        <w:snapToGrid w:val="0"/>
        <w:spacing w:line="460" w:lineRule="exact"/>
        <w:rPr>
          <w:rFonts w:hint="eastAsia" w:eastAsia="方正仿宋_GBK"/>
          <w:color w:val="000000"/>
          <w:spacing w:val="-2"/>
          <w:kern w:val="0"/>
          <w:sz w:val="24"/>
        </w:rPr>
      </w:pPr>
      <w:r>
        <w:rPr>
          <w:rFonts w:eastAsia="方正仿宋_GBK"/>
          <w:color w:val="000000"/>
          <w:spacing w:val="-2"/>
          <w:kern w:val="0"/>
          <w:sz w:val="24"/>
        </w:rPr>
        <w:t xml:space="preserve">                 </w:t>
      </w:r>
    </w:p>
    <w:p>
      <w:pPr>
        <w:snapToGrid w:val="0"/>
        <w:spacing w:line="460" w:lineRule="exact"/>
        <w:jc w:val="center"/>
        <w:rPr>
          <w:rFonts w:ascii="Times New Roman" w:eastAsia="方正黑体_GBK"/>
          <w:color w:val="000000"/>
          <w:spacing w:val="-2"/>
          <w:kern w:val="0"/>
          <w:sz w:val="24"/>
        </w:rPr>
      </w:pPr>
      <w:r>
        <w:rPr>
          <w:rFonts w:hint="eastAsia" w:ascii="Times New Roman" w:eastAsia="方正黑体_GBK"/>
          <w:color w:val="000000"/>
          <w:spacing w:val="-2"/>
          <w:kern w:val="0"/>
          <w:sz w:val="24"/>
        </w:rPr>
        <w:t>第一章  总</w:t>
      </w:r>
      <w:r>
        <w:rPr>
          <w:rFonts w:eastAsia="方正黑体_GBK"/>
          <w:color w:val="000000"/>
          <w:spacing w:val="-2"/>
          <w:kern w:val="0"/>
          <w:sz w:val="24"/>
        </w:rPr>
        <w:t> </w:t>
      </w:r>
      <w:r>
        <w:rPr>
          <w:rFonts w:hint="eastAsia" w:ascii="Times New Roman" w:eastAsia="方正黑体_GBK"/>
          <w:color w:val="000000"/>
          <w:spacing w:val="-2"/>
          <w:kern w:val="0"/>
          <w:sz w:val="24"/>
        </w:rPr>
        <w:t xml:space="preserve"> 则</w:t>
      </w:r>
    </w:p>
    <w:p>
      <w:pPr>
        <w:snapToGrid w:val="0"/>
        <w:spacing w:line="460" w:lineRule="exact"/>
        <w:ind w:firstLine="474" w:firstLineChars="200"/>
        <w:rPr>
          <w:rFonts w:hint="eastAsia" w:eastAsia="方正仿宋_GBK"/>
          <w:b/>
          <w:bCs/>
          <w:color w:val="000000"/>
          <w:spacing w:val="-2"/>
          <w:kern w:val="0"/>
          <w:sz w:val="24"/>
        </w:rPr>
      </w:pPr>
    </w:p>
    <w:p>
      <w:pPr>
        <w:snapToGrid w:val="0"/>
        <w:spacing w:line="460" w:lineRule="exact"/>
        <w:ind w:firstLine="472" w:firstLineChars="200"/>
        <w:rPr>
          <w:rFonts w:eastAsia="方正仿宋_GBK"/>
          <w:color w:val="000000"/>
          <w:spacing w:val="-2"/>
          <w:kern w:val="0"/>
          <w:sz w:val="24"/>
        </w:rPr>
      </w:pPr>
      <w:r>
        <w:rPr>
          <w:rFonts w:hint="eastAsia" w:ascii="Times New Roman" w:eastAsia="方正黑体_GBK"/>
          <w:bCs/>
          <w:color w:val="000000"/>
          <w:spacing w:val="-2"/>
          <w:kern w:val="0"/>
          <w:sz w:val="24"/>
        </w:rPr>
        <w:t>第一条</w:t>
      </w:r>
      <w:r>
        <w:rPr>
          <w:rFonts w:eastAsia="方正仿宋_GBK"/>
          <w:b/>
          <w:bCs/>
          <w:color w:val="000000"/>
          <w:spacing w:val="-2"/>
          <w:kern w:val="0"/>
          <w:sz w:val="24"/>
        </w:rPr>
        <w:t xml:space="preserve">  </w:t>
      </w:r>
      <w:r>
        <w:rPr>
          <w:rFonts w:hint="eastAsia" w:eastAsia="方正仿宋_GBK"/>
          <w:color w:val="000000"/>
          <w:spacing w:val="-2"/>
          <w:kern w:val="0"/>
          <w:sz w:val="24"/>
        </w:rPr>
        <w:t>为规范建筑业企业信用考核工作，根据《省政府关于加快推进社会信用体系建设的意见》、</w:t>
      </w:r>
      <w:r>
        <w:rPr>
          <w:rFonts w:hint="eastAsia" w:eastAsia="方正仿宋_GBK"/>
          <w:color w:val="000000"/>
          <w:spacing w:val="-2"/>
          <w:sz w:val="24"/>
          <w:shd w:val="clear" w:color="auto" w:fill="FFFFFF"/>
        </w:rPr>
        <w:t>《江苏省社会法人失信惩戒办法（试行）》的</w:t>
      </w:r>
      <w:r>
        <w:rPr>
          <w:rFonts w:hint="eastAsia" w:eastAsia="方正仿宋_GBK"/>
          <w:color w:val="000000"/>
          <w:spacing w:val="-2"/>
          <w:kern w:val="0"/>
          <w:sz w:val="24"/>
        </w:rPr>
        <w:t>要求，结合建筑业企业特点以及试点情况，制定本办法。</w:t>
      </w:r>
    </w:p>
    <w:p>
      <w:pPr>
        <w:snapToGrid w:val="0"/>
        <w:spacing w:line="460" w:lineRule="exact"/>
        <w:ind w:firstLine="472" w:firstLineChars="200"/>
        <w:rPr>
          <w:rFonts w:eastAsia="方正仿宋_GBK"/>
          <w:color w:val="000000"/>
          <w:spacing w:val="-2"/>
          <w:kern w:val="0"/>
          <w:sz w:val="24"/>
        </w:rPr>
      </w:pPr>
      <w:r>
        <w:rPr>
          <w:rFonts w:hint="eastAsia" w:ascii="Times New Roman" w:eastAsia="方正黑体_GBK"/>
          <w:bCs/>
          <w:color w:val="000000"/>
          <w:spacing w:val="-2"/>
          <w:kern w:val="0"/>
          <w:sz w:val="24"/>
        </w:rPr>
        <w:t>第二条</w:t>
      </w:r>
      <w:r>
        <w:rPr>
          <w:rFonts w:eastAsia="方正仿宋_GBK"/>
          <w:color w:val="000000"/>
          <w:spacing w:val="-2"/>
          <w:kern w:val="0"/>
          <w:sz w:val="24"/>
        </w:rPr>
        <w:t xml:space="preserve">  </w:t>
      </w:r>
      <w:r>
        <w:rPr>
          <w:rFonts w:hint="eastAsia" w:eastAsia="方正仿宋_GBK"/>
          <w:color w:val="000000"/>
          <w:spacing w:val="-2"/>
          <w:kern w:val="0"/>
          <w:sz w:val="24"/>
        </w:rPr>
        <w:t>本办法所称建筑业企业信用综合评价，是对建筑业企业信用情况实行量化计分，即在考核时段内，依据国家法律、法规、规范标准对企业建筑市场行为（承接工程量、社会和行业奖惩、投标活动、合同履约、工程造价管理、工程档案管理等）、施工现场行为（包括质量行为、安全行为、实体质量、安全生产标准化、农民工管理等）进行量化考核后，建筑业企业获得的信用分。</w:t>
      </w:r>
    </w:p>
    <w:p>
      <w:pPr>
        <w:snapToGrid w:val="0"/>
        <w:spacing w:line="460" w:lineRule="exact"/>
        <w:ind w:firstLine="472" w:firstLineChars="200"/>
        <w:rPr>
          <w:rFonts w:eastAsia="方正仿宋_GBK"/>
          <w:color w:val="000000"/>
          <w:spacing w:val="-2"/>
          <w:kern w:val="0"/>
          <w:sz w:val="24"/>
        </w:rPr>
      </w:pPr>
      <w:r>
        <w:rPr>
          <w:rFonts w:hint="eastAsia" w:ascii="Times New Roman" w:eastAsia="方正黑体_GBK"/>
          <w:bCs/>
          <w:color w:val="000000"/>
          <w:spacing w:val="-2"/>
          <w:kern w:val="0"/>
          <w:sz w:val="24"/>
        </w:rPr>
        <w:t>第三条</w:t>
      </w:r>
      <w:r>
        <w:rPr>
          <w:rFonts w:eastAsia="方正仿宋_GBK"/>
          <w:b/>
          <w:bCs/>
          <w:color w:val="000000"/>
          <w:spacing w:val="-2"/>
          <w:kern w:val="0"/>
          <w:sz w:val="24"/>
        </w:rPr>
        <w:t xml:space="preserve">  </w:t>
      </w:r>
      <w:r>
        <w:rPr>
          <w:rFonts w:hint="eastAsia" w:eastAsia="方正仿宋_GBK"/>
          <w:color w:val="000000"/>
          <w:spacing w:val="-2"/>
          <w:kern w:val="0"/>
          <w:sz w:val="24"/>
        </w:rPr>
        <w:t>在本省行政区域内从事建筑工程、线路管道及设备安装工程、装饰装修工程等建筑活动的具有施工总承包资质、专业承包资质的省内外建筑业企业的信用综合评价，均</w:t>
      </w:r>
      <w:r>
        <w:rPr>
          <w:rStyle w:val="15"/>
          <w:rFonts w:hint="eastAsia" w:eastAsia="方正仿宋_GBK"/>
          <w:spacing w:val="-2"/>
          <w:sz w:val="24"/>
        </w:rPr>
        <w:t>适用本</w:t>
      </w:r>
      <w:r>
        <w:rPr>
          <w:rFonts w:hint="eastAsia" w:eastAsia="方正仿宋_GBK"/>
          <w:color w:val="000000"/>
          <w:spacing w:val="-2"/>
          <w:kern w:val="0"/>
          <w:sz w:val="24"/>
        </w:rPr>
        <w:t>办法。</w:t>
      </w:r>
    </w:p>
    <w:p>
      <w:pPr>
        <w:snapToGrid w:val="0"/>
        <w:spacing w:line="460" w:lineRule="exact"/>
        <w:ind w:firstLine="472" w:firstLineChars="200"/>
        <w:rPr>
          <w:rFonts w:eastAsia="方正仿宋_GBK"/>
          <w:color w:val="000000"/>
          <w:spacing w:val="-2"/>
          <w:kern w:val="0"/>
          <w:sz w:val="24"/>
        </w:rPr>
      </w:pPr>
      <w:r>
        <w:rPr>
          <w:rFonts w:hint="eastAsia" w:ascii="Times New Roman" w:eastAsia="方正黑体_GBK"/>
          <w:bCs/>
          <w:color w:val="000000"/>
          <w:spacing w:val="-2"/>
          <w:kern w:val="0"/>
          <w:sz w:val="24"/>
        </w:rPr>
        <w:t>第四条</w:t>
      </w:r>
      <w:r>
        <w:rPr>
          <w:rFonts w:eastAsia="方正仿宋_GBK"/>
          <w:b/>
          <w:bCs/>
          <w:color w:val="000000"/>
          <w:spacing w:val="-2"/>
          <w:kern w:val="0"/>
          <w:sz w:val="24"/>
        </w:rPr>
        <w:t xml:space="preserve">  </w:t>
      </w:r>
      <w:r>
        <w:rPr>
          <w:rStyle w:val="15"/>
          <w:rFonts w:hint="eastAsia" w:eastAsia="方正仿宋_GBK"/>
          <w:spacing w:val="-2"/>
          <w:sz w:val="24"/>
        </w:rPr>
        <w:t>建筑业企业信用综合评价</w:t>
      </w:r>
      <w:r>
        <w:rPr>
          <w:rFonts w:hint="eastAsia" w:eastAsia="方正仿宋_GBK"/>
          <w:color w:val="000000"/>
          <w:spacing w:val="-2"/>
          <w:kern w:val="0"/>
          <w:sz w:val="24"/>
        </w:rPr>
        <w:t>遵循依法、公开、公平、公正、诚实守信的原则，以市场信用建设为主导，以政府监督管理为主要手段，以工程项目为载体，实行</w:t>
      </w:r>
      <w:r>
        <w:rPr>
          <w:rFonts w:eastAsia="方正仿宋_GBK"/>
          <w:color w:val="000000"/>
          <w:spacing w:val="-2"/>
          <w:kern w:val="0"/>
          <w:sz w:val="24"/>
        </w:rPr>
        <w:t>“</w:t>
      </w:r>
      <w:r>
        <w:rPr>
          <w:rFonts w:hint="eastAsia" w:eastAsia="方正仿宋_GBK"/>
          <w:color w:val="000000"/>
          <w:spacing w:val="-2"/>
          <w:kern w:val="0"/>
          <w:sz w:val="24"/>
        </w:rPr>
        <w:t>政府推动、权威发布、信息共享、统一标准、合理奖惩、社会监督</w:t>
      </w:r>
      <w:r>
        <w:rPr>
          <w:rFonts w:eastAsia="方正仿宋_GBK"/>
          <w:color w:val="000000"/>
          <w:spacing w:val="-2"/>
          <w:kern w:val="0"/>
          <w:sz w:val="24"/>
        </w:rPr>
        <w:t>”</w:t>
      </w:r>
      <w:r>
        <w:rPr>
          <w:rFonts w:hint="eastAsia" w:eastAsia="方正仿宋_GBK"/>
          <w:color w:val="000000"/>
          <w:spacing w:val="-2"/>
          <w:kern w:val="0"/>
          <w:sz w:val="24"/>
        </w:rPr>
        <w:t>的运作方式。</w:t>
      </w:r>
    </w:p>
    <w:p>
      <w:pPr>
        <w:snapToGrid w:val="0"/>
        <w:spacing w:line="460" w:lineRule="exact"/>
        <w:ind w:firstLine="472" w:firstLineChars="200"/>
        <w:rPr>
          <w:rFonts w:eastAsia="方正仿宋_GBK"/>
          <w:color w:val="000000"/>
          <w:spacing w:val="-2"/>
          <w:sz w:val="24"/>
        </w:rPr>
      </w:pPr>
      <w:r>
        <w:rPr>
          <w:rFonts w:hint="eastAsia" w:ascii="Times New Roman" w:eastAsia="方正黑体_GBK"/>
          <w:bCs/>
          <w:color w:val="000000"/>
          <w:spacing w:val="-2"/>
          <w:kern w:val="0"/>
          <w:sz w:val="24"/>
        </w:rPr>
        <w:t>第五条</w:t>
      </w:r>
      <w:r>
        <w:rPr>
          <w:rFonts w:eastAsia="方正仿宋_GBK"/>
          <w:b/>
          <w:bCs/>
          <w:color w:val="000000"/>
          <w:spacing w:val="-2"/>
          <w:sz w:val="24"/>
        </w:rPr>
        <w:t xml:space="preserve">  </w:t>
      </w:r>
      <w:r>
        <w:rPr>
          <w:rFonts w:hint="eastAsia" w:eastAsia="方正仿宋_GBK"/>
          <w:color w:val="000000"/>
          <w:spacing w:val="-2"/>
          <w:sz w:val="24"/>
        </w:rPr>
        <w:t>省住房和城乡建设厅负责全省建筑业企业信用管理指导工作。</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sz w:val="24"/>
        </w:rPr>
        <w:t>省辖市建设主管部门负责本行政区域内建筑业企业信用评价日常工作。内部各相关业务部门为</w:t>
      </w:r>
      <w:r>
        <w:rPr>
          <w:rFonts w:hint="eastAsia" w:eastAsia="方正仿宋_GBK"/>
          <w:color w:val="000000"/>
          <w:spacing w:val="-2"/>
          <w:kern w:val="0"/>
          <w:sz w:val="24"/>
        </w:rPr>
        <w:t>信用信息采集单位。</w:t>
      </w:r>
    </w:p>
    <w:p>
      <w:pPr>
        <w:spacing w:line="460" w:lineRule="exact"/>
        <w:ind w:firstLine="472" w:firstLineChars="200"/>
        <w:rPr>
          <w:rFonts w:eastAsia="方正仿宋_GBK"/>
          <w:color w:val="000000"/>
          <w:spacing w:val="-2"/>
          <w:sz w:val="24"/>
        </w:rPr>
      </w:pPr>
    </w:p>
    <w:p>
      <w:pPr>
        <w:snapToGrid w:val="0"/>
        <w:spacing w:line="460" w:lineRule="exact"/>
        <w:jc w:val="center"/>
        <w:rPr>
          <w:rFonts w:ascii="Times New Roman" w:eastAsia="方正黑体_GBK"/>
          <w:color w:val="000000"/>
          <w:spacing w:val="-2"/>
          <w:kern w:val="0"/>
          <w:sz w:val="24"/>
        </w:rPr>
      </w:pPr>
      <w:r>
        <w:rPr>
          <w:rFonts w:hint="eastAsia" w:ascii="Times New Roman" w:eastAsia="方正黑体_GBK"/>
          <w:color w:val="000000"/>
          <w:spacing w:val="-2"/>
          <w:kern w:val="0"/>
          <w:sz w:val="24"/>
        </w:rPr>
        <w:t>第二章</w:t>
      </w:r>
      <w:r>
        <w:rPr>
          <w:rFonts w:ascii="Times New Roman" w:eastAsia="方正黑体_GBK"/>
          <w:color w:val="000000"/>
          <w:spacing w:val="-2"/>
          <w:kern w:val="0"/>
          <w:sz w:val="24"/>
        </w:rPr>
        <w:t> </w:t>
      </w:r>
      <w:r>
        <w:rPr>
          <w:rFonts w:hint="eastAsia" w:ascii="Times New Roman" w:eastAsia="方正黑体_GBK"/>
          <w:color w:val="000000"/>
          <w:spacing w:val="-2"/>
          <w:kern w:val="0"/>
          <w:sz w:val="24"/>
        </w:rPr>
        <w:t xml:space="preserve"> 评价内容和计分方法</w:t>
      </w:r>
    </w:p>
    <w:p>
      <w:pPr>
        <w:snapToGrid w:val="0"/>
        <w:spacing w:line="460" w:lineRule="exact"/>
        <w:jc w:val="center"/>
        <w:rPr>
          <w:rFonts w:hint="eastAsia" w:eastAsia="方正仿宋_GBK"/>
          <w:bCs/>
          <w:color w:val="000000"/>
          <w:spacing w:val="-2"/>
          <w:kern w:val="0"/>
          <w:sz w:val="24"/>
        </w:rPr>
      </w:pPr>
    </w:p>
    <w:p>
      <w:pPr>
        <w:snapToGrid w:val="0"/>
        <w:spacing w:line="460" w:lineRule="exact"/>
        <w:ind w:firstLine="472" w:firstLineChars="200"/>
        <w:rPr>
          <w:rFonts w:eastAsia="方正仿宋_GBK"/>
          <w:color w:val="000000"/>
          <w:spacing w:val="-2"/>
          <w:kern w:val="0"/>
          <w:sz w:val="24"/>
        </w:rPr>
      </w:pPr>
      <w:r>
        <w:rPr>
          <w:rFonts w:hint="eastAsia" w:ascii="Times New Roman" w:eastAsia="方正黑体_GBK"/>
          <w:bCs/>
          <w:color w:val="000000"/>
          <w:spacing w:val="-2"/>
          <w:kern w:val="0"/>
          <w:sz w:val="24"/>
        </w:rPr>
        <w:t>第六条</w:t>
      </w:r>
      <w:r>
        <w:rPr>
          <w:rFonts w:eastAsia="方正仿宋_GBK"/>
          <w:color w:val="000000"/>
          <w:spacing w:val="-2"/>
          <w:kern w:val="0"/>
          <w:sz w:val="24"/>
        </w:rPr>
        <w:t xml:space="preserve">  </w:t>
      </w:r>
      <w:r>
        <w:rPr>
          <w:rFonts w:hint="eastAsia" w:eastAsia="方正仿宋_GBK"/>
          <w:color w:val="000000"/>
          <w:spacing w:val="-2"/>
          <w:kern w:val="0"/>
          <w:sz w:val="24"/>
        </w:rPr>
        <w:t>建筑业企业信用评价采用百分制，综合评价分由基本信用、日常考核、综合考核三部分组成。</w:t>
      </w:r>
    </w:p>
    <w:p>
      <w:pPr>
        <w:snapToGrid w:val="0"/>
        <w:spacing w:line="460" w:lineRule="exact"/>
        <w:ind w:firstLine="472" w:firstLineChars="200"/>
        <w:rPr>
          <w:rFonts w:eastAsia="方正仿宋_GBK"/>
          <w:color w:val="000000"/>
          <w:spacing w:val="-2"/>
          <w:kern w:val="0"/>
          <w:sz w:val="24"/>
        </w:rPr>
      </w:pPr>
      <w:r>
        <w:rPr>
          <w:rFonts w:hint="eastAsia" w:ascii="Times New Roman" w:eastAsia="方正黑体_GBK"/>
          <w:bCs/>
          <w:color w:val="000000"/>
          <w:spacing w:val="-2"/>
          <w:kern w:val="0"/>
          <w:sz w:val="24"/>
        </w:rPr>
        <w:t>第七条</w:t>
      </w:r>
      <w:r>
        <w:rPr>
          <w:rFonts w:eastAsia="方正仿宋_GBK"/>
          <w:color w:val="000000"/>
          <w:spacing w:val="-2"/>
          <w:kern w:val="0"/>
          <w:sz w:val="24"/>
        </w:rPr>
        <w:t xml:space="preserve">  </w:t>
      </w:r>
      <w:r>
        <w:rPr>
          <w:rFonts w:hint="eastAsia" w:eastAsia="方正仿宋_GBK"/>
          <w:color w:val="000000"/>
          <w:spacing w:val="-2"/>
          <w:kern w:val="0"/>
          <w:sz w:val="24"/>
        </w:rPr>
        <w:t>基本信用分是指在考核时段内，根据企业在建设活动中的基本信息、奖励情况进行的量化考核得分，满分为</w:t>
      </w:r>
      <w:r>
        <w:rPr>
          <w:rFonts w:eastAsia="方正仿宋_GBK"/>
          <w:color w:val="000000"/>
          <w:spacing w:val="-2"/>
          <w:kern w:val="0"/>
          <w:sz w:val="24"/>
        </w:rPr>
        <w:t>50</w:t>
      </w:r>
      <w:r>
        <w:rPr>
          <w:rFonts w:hint="eastAsia" w:eastAsia="方正仿宋_GBK"/>
          <w:color w:val="000000"/>
          <w:spacing w:val="-2"/>
          <w:kern w:val="0"/>
          <w:sz w:val="24"/>
        </w:rPr>
        <w:t>分。</w:t>
      </w:r>
    </w:p>
    <w:p>
      <w:pPr>
        <w:snapToGrid w:val="0"/>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建筑业企业基本信用考核内容和计分办法全省统一，具体见附件一。</w:t>
      </w:r>
    </w:p>
    <w:p>
      <w:pPr>
        <w:snapToGrid w:val="0"/>
        <w:spacing w:line="460" w:lineRule="exact"/>
        <w:ind w:firstLine="472" w:firstLineChars="200"/>
        <w:rPr>
          <w:rFonts w:eastAsia="方正仿宋_GBK"/>
          <w:color w:val="000000"/>
          <w:spacing w:val="-2"/>
          <w:kern w:val="0"/>
          <w:sz w:val="24"/>
        </w:rPr>
      </w:pPr>
      <w:r>
        <w:rPr>
          <w:rFonts w:hint="eastAsia" w:ascii="Times New Roman" w:eastAsia="方正黑体_GBK"/>
          <w:bCs/>
          <w:color w:val="000000"/>
          <w:spacing w:val="-2"/>
          <w:kern w:val="0"/>
          <w:sz w:val="24"/>
        </w:rPr>
        <w:t>第八条</w:t>
      </w:r>
      <w:r>
        <w:rPr>
          <w:rFonts w:eastAsia="方正仿宋_GBK"/>
          <w:b/>
          <w:bCs/>
          <w:color w:val="000000"/>
          <w:spacing w:val="-2"/>
          <w:kern w:val="0"/>
          <w:sz w:val="24"/>
        </w:rPr>
        <w:t xml:space="preserve">  </w:t>
      </w:r>
      <w:r>
        <w:rPr>
          <w:rFonts w:hint="eastAsia" w:eastAsia="方正仿宋_GBK"/>
          <w:color w:val="000000"/>
          <w:spacing w:val="-2"/>
          <w:kern w:val="0"/>
          <w:sz w:val="24"/>
        </w:rPr>
        <w:t>日常考核分是指对建筑业企业在建设活动中的不良行为进行的量化扣分，日常考核扣分不封底。</w:t>
      </w:r>
    </w:p>
    <w:p>
      <w:pPr>
        <w:adjustRightInd w:val="0"/>
        <w:snapToGrid w:val="0"/>
        <w:spacing w:line="460" w:lineRule="exact"/>
        <w:ind w:firstLine="472" w:firstLineChars="200"/>
        <w:rPr>
          <w:rFonts w:eastAsia="方正仿宋_GBK"/>
          <w:color w:val="000000"/>
          <w:spacing w:val="-2"/>
          <w:sz w:val="24"/>
        </w:rPr>
      </w:pPr>
      <w:r>
        <w:rPr>
          <w:rFonts w:hint="eastAsia" w:eastAsia="方正仿宋_GBK"/>
          <w:color w:val="000000"/>
          <w:spacing w:val="-2"/>
          <w:kern w:val="0"/>
          <w:sz w:val="24"/>
        </w:rPr>
        <w:t>建筑业企业日常考核内容和计分方法见附件二，共八大类内容，其中第一大类</w:t>
      </w:r>
      <w:r>
        <w:rPr>
          <w:rFonts w:hint="eastAsia" w:eastAsia="方正仿宋_GBK"/>
          <w:color w:val="000000"/>
          <w:spacing w:val="-2"/>
          <w:sz w:val="24"/>
        </w:rPr>
        <w:t>通报批评及行政处罚扣分、发生质量安全事故扣分、被监察和司法部门认定不良行为扣分全省统一，其他不良行为扣分参照附件内容执行，各市可根据实际情况作适当调整</w:t>
      </w:r>
      <w:r>
        <w:rPr>
          <w:rFonts w:hint="eastAsia" w:eastAsia="方正仿宋_GBK"/>
          <w:color w:val="000000"/>
          <w:spacing w:val="-2"/>
          <w:kern w:val="0"/>
          <w:sz w:val="24"/>
        </w:rPr>
        <w:t>。</w:t>
      </w:r>
    </w:p>
    <w:p>
      <w:pPr>
        <w:snapToGrid w:val="0"/>
        <w:spacing w:line="460" w:lineRule="exact"/>
        <w:ind w:firstLine="472" w:firstLineChars="200"/>
        <w:rPr>
          <w:rFonts w:eastAsia="方正仿宋_GBK"/>
          <w:color w:val="000000"/>
          <w:spacing w:val="-2"/>
          <w:kern w:val="0"/>
          <w:sz w:val="24"/>
        </w:rPr>
      </w:pPr>
      <w:r>
        <w:rPr>
          <w:rFonts w:hint="eastAsia" w:ascii="Times New Roman" w:eastAsia="方正黑体_GBK"/>
          <w:bCs/>
          <w:color w:val="000000"/>
          <w:spacing w:val="-2"/>
          <w:kern w:val="0"/>
          <w:sz w:val="24"/>
        </w:rPr>
        <w:t>第九条</w:t>
      </w:r>
      <w:r>
        <w:rPr>
          <w:rFonts w:eastAsia="方正仿宋_GBK"/>
          <w:b/>
          <w:bCs/>
          <w:color w:val="000000"/>
          <w:spacing w:val="-2"/>
          <w:kern w:val="0"/>
          <w:sz w:val="24"/>
        </w:rPr>
        <w:t xml:space="preserve">  </w:t>
      </w:r>
      <w:r>
        <w:rPr>
          <w:rFonts w:hint="eastAsia" w:eastAsia="方正仿宋_GBK"/>
          <w:color w:val="000000"/>
          <w:spacing w:val="-2"/>
          <w:kern w:val="0"/>
          <w:sz w:val="24"/>
        </w:rPr>
        <w:t>综合考核是指在建筑市场综合检查中，对建筑业企业市场行为和现场行为及工程项目实体质量、安全生产、文明施工状况等综合考核得分，满分为</w:t>
      </w:r>
      <w:r>
        <w:rPr>
          <w:rFonts w:eastAsia="方正仿宋_GBK"/>
          <w:color w:val="000000"/>
          <w:spacing w:val="-2"/>
          <w:kern w:val="0"/>
          <w:sz w:val="24"/>
        </w:rPr>
        <w:t>50</w:t>
      </w:r>
      <w:r>
        <w:rPr>
          <w:rFonts w:hint="eastAsia" w:eastAsia="方正仿宋_GBK"/>
          <w:color w:val="000000"/>
          <w:spacing w:val="-2"/>
          <w:kern w:val="0"/>
          <w:sz w:val="24"/>
        </w:rPr>
        <w:t>分。</w:t>
      </w:r>
    </w:p>
    <w:p>
      <w:pPr>
        <w:snapToGrid w:val="0"/>
        <w:spacing w:line="460" w:lineRule="exact"/>
        <w:ind w:firstLine="472" w:firstLineChars="200"/>
        <w:rPr>
          <w:rFonts w:eastAsia="方正仿宋_GBK"/>
          <w:color w:val="000000"/>
          <w:spacing w:val="-2"/>
          <w:sz w:val="24"/>
        </w:rPr>
      </w:pPr>
      <w:r>
        <w:rPr>
          <w:rFonts w:hint="eastAsia" w:eastAsia="方正仿宋_GBK"/>
          <w:color w:val="000000"/>
          <w:spacing w:val="-2"/>
          <w:kern w:val="0"/>
          <w:sz w:val="24"/>
        </w:rPr>
        <w:t>建筑业企业建筑市场综合考核内容和计分方法参见附件三，</w:t>
      </w:r>
      <w:r>
        <w:rPr>
          <w:rFonts w:hint="eastAsia" w:eastAsia="方正仿宋_GBK"/>
          <w:color w:val="000000"/>
          <w:spacing w:val="-2"/>
          <w:sz w:val="24"/>
        </w:rPr>
        <w:t>各市可根据实际情况作适当调整</w:t>
      </w:r>
      <w:r>
        <w:rPr>
          <w:rFonts w:hint="eastAsia" w:eastAsia="方正仿宋_GBK"/>
          <w:color w:val="000000"/>
          <w:spacing w:val="-2"/>
          <w:kern w:val="0"/>
          <w:sz w:val="24"/>
        </w:rPr>
        <w:t>。</w:t>
      </w:r>
    </w:p>
    <w:p>
      <w:pPr>
        <w:snapToGrid w:val="0"/>
        <w:spacing w:line="460" w:lineRule="exact"/>
        <w:ind w:firstLine="472" w:firstLineChars="200"/>
        <w:rPr>
          <w:rFonts w:eastAsia="方正仿宋_GBK"/>
          <w:color w:val="000000"/>
          <w:spacing w:val="-2"/>
          <w:kern w:val="0"/>
          <w:sz w:val="24"/>
        </w:rPr>
      </w:pPr>
      <w:r>
        <w:rPr>
          <w:rFonts w:hint="eastAsia" w:ascii="Times New Roman" w:eastAsia="方正黑体_GBK"/>
          <w:bCs/>
          <w:color w:val="000000"/>
          <w:spacing w:val="-2"/>
          <w:kern w:val="0"/>
          <w:sz w:val="24"/>
        </w:rPr>
        <w:t>第十条</w:t>
      </w:r>
      <w:r>
        <w:rPr>
          <w:rFonts w:eastAsia="方正仿宋_GBK"/>
          <w:b/>
          <w:bCs/>
          <w:color w:val="000000"/>
          <w:spacing w:val="-2"/>
          <w:kern w:val="0"/>
          <w:sz w:val="24"/>
        </w:rPr>
        <w:t xml:space="preserve">  </w:t>
      </w:r>
      <w:r>
        <w:rPr>
          <w:rFonts w:hint="eastAsia" w:eastAsia="方正仿宋_GBK"/>
          <w:color w:val="000000"/>
          <w:spacing w:val="-2"/>
          <w:kern w:val="0"/>
          <w:sz w:val="24"/>
        </w:rPr>
        <w:t>以总承包资质为主项的建筑业企业，其增项的专业承包资质信用考核得分为本企业信用考核分乘</w:t>
      </w:r>
      <w:r>
        <w:rPr>
          <w:rFonts w:eastAsia="方正仿宋_GBK"/>
          <w:color w:val="000000"/>
          <w:spacing w:val="-2"/>
          <w:kern w:val="0"/>
          <w:sz w:val="24"/>
        </w:rPr>
        <w:t>0.90</w:t>
      </w:r>
      <w:r>
        <w:rPr>
          <w:rFonts w:hint="eastAsia" w:eastAsia="方正仿宋_GBK"/>
          <w:color w:val="000000"/>
          <w:spacing w:val="-2"/>
          <w:kern w:val="0"/>
          <w:sz w:val="24"/>
        </w:rPr>
        <w:t>计分，建筑业企业总承包资质主项与增项专业承包资质为同类别的除外。</w:t>
      </w:r>
    </w:p>
    <w:p>
      <w:pPr>
        <w:snapToGrid w:val="0"/>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专业承包资质为主项的建筑业企业，其增项专业承包资质信用考核得分为本企业信用考核分乘</w:t>
      </w:r>
      <w:r>
        <w:rPr>
          <w:rFonts w:eastAsia="方正仿宋_GBK"/>
          <w:color w:val="000000"/>
          <w:spacing w:val="-2"/>
          <w:kern w:val="0"/>
          <w:sz w:val="24"/>
        </w:rPr>
        <w:t>0.95</w:t>
      </w:r>
      <w:r>
        <w:rPr>
          <w:rFonts w:hint="eastAsia" w:eastAsia="方正仿宋_GBK"/>
          <w:color w:val="000000"/>
          <w:spacing w:val="-2"/>
          <w:kern w:val="0"/>
          <w:sz w:val="24"/>
        </w:rPr>
        <w:t>计分。</w:t>
      </w:r>
    </w:p>
    <w:p>
      <w:pPr>
        <w:snapToGrid w:val="0"/>
        <w:spacing w:line="460" w:lineRule="exact"/>
        <w:ind w:firstLine="472" w:firstLineChars="200"/>
        <w:rPr>
          <w:rFonts w:eastAsia="方正仿宋_GBK"/>
          <w:color w:val="000000"/>
          <w:spacing w:val="-2"/>
          <w:kern w:val="0"/>
          <w:sz w:val="24"/>
        </w:rPr>
      </w:pPr>
      <w:r>
        <w:rPr>
          <w:rFonts w:hint="eastAsia" w:ascii="Times New Roman" w:eastAsia="方正黑体_GBK"/>
          <w:bCs/>
          <w:color w:val="000000"/>
          <w:spacing w:val="-2"/>
          <w:kern w:val="0"/>
          <w:sz w:val="24"/>
        </w:rPr>
        <w:t>第十一条</w:t>
      </w:r>
      <w:r>
        <w:rPr>
          <w:rFonts w:eastAsia="方正仿宋_GBK"/>
          <w:b/>
          <w:bCs/>
          <w:color w:val="000000"/>
          <w:spacing w:val="-2"/>
          <w:kern w:val="0"/>
          <w:sz w:val="24"/>
        </w:rPr>
        <w:t xml:space="preserve">  </w:t>
      </w:r>
      <w:r>
        <w:rPr>
          <w:rFonts w:hint="eastAsia" w:eastAsia="方正仿宋_GBK"/>
          <w:bCs/>
          <w:color w:val="000000"/>
          <w:spacing w:val="-2"/>
          <w:kern w:val="0"/>
          <w:sz w:val="24"/>
        </w:rPr>
        <w:t>首次</w:t>
      </w:r>
      <w:r>
        <w:rPr>
          <w:rStyle w:val="15"/>
          <w:rFonts w:hint="eastAsia" w:eastAsia="方正仿宋_GBK"/>
          <w:spacing w:val="-2"/>
          <w:sz w:val="24"/>
        </w:rPr>
        <w:t>进入</w:t>
      </w:r>
      <w:r>
        <w:rPr>
          <w:rFonts w:hint="eastAsia" w:eastAsia="方正仿宋_GBK"/>
          <w:color w:val="000000"/>
          <w:spacing w:val="-2"/>
          <w:kern w:val="0"/>
          <w:sz w:val="24"/>
        </w:rPr>
        <w:t>省辖市行政区域的外地企业初始信用考核得分：有省级平均信用分的，以省级平均信用分作为初始信用考核得分；无省级平均信用分的，</w:t>
      </w:r>
      <w:r>
        <w:rPr>
          <w:rStyle w:val="15"/>
          <w:rFonts w:hint="eastAsia" w:eastAsia="方正仿宋_GBK"/>
          <w:spacing w:val="-2"/>
          <w:sz w:val="24"/>
        </w:rPr>
        <w:t>以</w:t>
      </w:r>
      <w:r>
        <w:rPr>
          <w:rFonts w:hint="eastAsia" w:eastAsia="方正仿宋_GBK"/>
          <w:color w:val="000000"/>
          <w:spacing w:val="-2"/>
          <w:kern w:val="0"/>
          <w:sz w:val="24"/>
        </w:rPr>
        <w:t>省辖市行政区域内同序列、同类别、同等级外地建筑业企业上一考核时段公布的信用考核得分的平均分作为初始信用考核得分。</w:t>
      </w:r>
    </w:p>
    <w:p>
      <w:pPr>
        <w:snapToGrid w:val="0"/>
        <w:spacing w:line="460" w:lineRule="exact"/>
        <w:ind w:firstLine="472" w:firstLineChars="200"/>
        <w:rPr>
          <w:rFonts w:eastAsia="方正仿宋_GBK"/>
          <w:b/>
          <w:color w:val="000000"/>
          <w:spacing w:val="-2"/>
          <w:kern w:val="0"/>
          <w:sz w:val="24"/>
        </w:rPr>
      </w:pPr>
      <w:r>
        <w:rPr>
          <w:rFonts w:hint="eastAsia" w:eastAsia="方正仿宋_GBK"/>
          <w:color w:val="000000"/>
          <w:spacing w:val="-2"/>
          <w:kern w:val="0"/>
          <w:sz w:val="24"/>
        </w:rPr>
        <w:t>上述建筑业企业若有多项资质，以初始进入该区域承接工程的资质给予信用初始得分。</w:t>
      </w:r>
    </w:p>
    <w:p>
      <w:pPr>
        <w:snapToGrid w:val="0"/>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该区域新办企业初始信用考核得分为本地同序列、同类别、同等级建筑业企业上一考核时段公布信用考核得分的平均分。</w:t>
      </w:r>
    </w:p>
    <w:p>
      <w:pPr>
        <w:snapToGrid w:val="0"/>
        <w:spacing w:line="460" w:lineRule="exact"/>
        <w:ind w:firstLine="472" w:firstLineChars="200"/>
        <w:rPr>
          <w:rFonts w:eastAsia="方正仿宋_GBK"/>
          <w:color w:val="000000"/>
          <w:spacing w:val="-2"/>
          <w:kern w:val="0"/>
          <w:sz w:val="24"/>
        </w:rPr>
      </w:pPr>
    </w:p>
    <w:p>
      <w:pPr>
        <w:snapToGrid w:val="0"/>
        <w:spacing w:line="460" w:lineRule="exact"/>
        <w:jc w:val="center"/>
        <w:rPr>
          <w:rFonts w:ascii="Times New Roman" w:eastAsia="方正黑体_GBK"/>
          <w:color w:val="000000"/>
          <w:spacing w:val="-2"/>
          <w:kern w:val="0"/>
          <w:sz w:val="24"/>
        </w:rPr>
      </w:pPr>
      <w:r>
        <w:rPr>
          <w:rFonts w:hint="eastAsia" w:ascii="Times New Roman" w:eastAsia="方正黑体_GBK"/>
          <w:color w:val="000000"/>
          <w:spacing w:val="-2"/>
          <w:kern w:val="0"/>
          <w:sz w:val="24"/>
        </w:rPr>
        <w:t>第三章　考核信息录入和结果公布</w:t>
      </w:r>
    </w:p>
    <w:p>
      <w:pPr>
        <w:snapToGrid w:val="0"/>
        <w:spacing w:line="460" w:lineRule="exact"/>
        <w:ind w:firstLine="472" w:firstLineChars="200"/>
        <w:rPr>
          <w:rFonts w:hint="eastAsia" w:eastAsia="方正仿宋_GBK"/>
          <w:bCs/>
          <w:color w:val="000000"/>
          <w:spacing w:val="-2"/>
          <w:kern w:val="0"/>
          <w:sz w:val="24"/>
        </w:rPr>
      </w:pPr>
    </w:p>
    <w:p>
      <w:pPr>
        <w:snapToGrid w:val="0"/>
        <w:spacing w:line="460" w:lineRule="exact"/>
        <w:ind w:firstLine="472" w:firstLineChars="200"/>
        <w:rPr>
          <w:rFonts w:eastAsia="方正仿宋_GBK"/>
          <w:color w:val="000000"/>
          <w:spacing w:val="-2"/>
          <w:kern w:val="0"/>
          <w:sz w:val="24"/>
        </w:rPr>
      </w:pPr>
      <w:r>
        <w:rPr>
          <w:rFonts w:hint="eastAsia" w:ascii="Times New Roman" w:eastAsia="方正黑体_GBK"/>
          <w:bCs/>
          <w:color w:val="000000"/>
          <w:spacing w:val="-2"/>
          <w:kern w:val="0"/>
          <w:sz w:val="24"/>
        </w:rPr>
        <w:t>第十二条</w:t>
      </w:r>
      <w:r>
        <w:rPr>
          <w:rFonts w:eastAsia="方正仿宋_GBK"/>
          <w:color w:val="000000"/>
          <w:spacing w:val="-2"/>
          <w:kern w:val="0"/>
          <w:sz w:val="24"/>
        </w:rPr>
        <w:t xml:space="preserve">  </w:t>
      </w:r>
      <w:r>
        <w:rPr>
          <w:rFonts w:hint="eastAsia" w:eastAsia="方正仿宋_GBK"/>
          <w:color w:val="000000"/>
          <w:spacing w:val="-2"/>
          <w:kern w:val="0"/>
          <w:sz w:val="24"/>
        </w:rPr>
        <w:t>建筑业企业基本信用考核涉及的基本信息、奖励情况由企业负责自行录入，并及时更新，同时向建设主管部门提供有关证明材料进行复核。</w:t>
      </w:r>
    </w:p>
    <w:p>
      <w:pPr>
        <w:snapToGrid w:val="0"/>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建筑业企业的各类受惩信息，由工程所在地建设主管部门负责录入。</w:t>
      </w:r>
    </w:p>
    <w:p>
      <w:pPr>
        <w:snapToGrid w:val="0"/>
        <w:spacing w:line="460" w:lineRule="exact"/>
        <w:ind w:firstLine="472" w:firstLineChars="200"/>
        <w:rPr>
          <w:rFonts w:eastAsia="方正仿宋_GBK"/>
          <w:color w:val="000000"/>
          <w:spacing w:val="-2"/>
          <w:kern w:val="0"/>
          <w:sz w:val="24"/>
        </w:rPr>
      </w:pPr>
      <w:r>
        <w:rPr>
          <w:rFonts w:hint="eastAsia" w:ascii="Times New Roman" w:eastAsia="方正黑体_GBK"/>
          <w:bCs/>
          <w:color w:val="000000"/>
          <w:spacing w:val="-2"/>
          <w:kern w:val="0"/>
          <w:sz w:val="24"/>
        </w:rPr>
        <w:t>第十三条</w:t>
      </w:r>
      <w:r>
        <w:rPr>
          <w:rFonts w:eastAsia="方正仿宋_GBK"/>
          <w:color w:val="000000"/>
          <w:spacing w:val="-2"/>
          <w:kern w:val="0"/>
          <w:sz w:val="24"/>
        </w:rPr>
        <w:t xml:space="preserve">  </w:t>
      </w:r>
      <w:r>
        <w:rPr>
          <w:rFonts w:hint="eastAsia" w:eastAsia="方正仿宋_GBK"/>
          <w:color w:val="000000"/>
          <w:spacing w:val="-2"/>
          <w:kern w:val="0"/>
          <w:sz w:val="24"/>
        </w:rPr>
        <w:t>各市负责信用信息采集的单位应根据各自的管理职责，建立健全日常监督管理和各项检查、巡查制度，完善信用考核内容和计分方法，及时准确地采集记录各项日常考核信息。</w:t>
      </w:r>
    </w:p>
    <w:p>
      <w:pPr>
        <w:snapToGrid w:val="0"/>
        <w:spacing w:line="460" w:lineRule="exact"/>
        <w:ind w:firstLine="472" w:firstLineChars="200"/>
        <w:rPr>
          <w:rFonts w:eastAsia="方正仿宋_GBK"/>
          <w:color w:val="000000"/>
          <w:spacing w:val="-2"/>
          <w:kern w:val="0"/>
          <w:sz w:val="24"/>
        </w:rPr>
      </w:pPr>
      <w:r>
        <w:rPr>
          <w:rFonts w:hint="eastAsia" w:ascii="Times New Roman" w:eastAsia="方正黑体_GBK"/>
          <w:bCs/>
          <w:color w:val="000000"/>
          <w:spacing w:val="-2"/>
          <w:kern w:val="0"/>
          <w:sz w:val="24"/>
        </w:rPr>
        <w:t>第十四条</w:t>
      </w:r>
      <w:r>
        <w:rPr>
          <w:rFonts w:eastAsia="方正仿宋_GBK"/>
          <w:color w:val="000000"/>
          <w:spacing w:val="-2"/>
          <w:kern w:val="0"/>
          <w:sz w:val="24"/>
        </w:rPr>
        <w:t xml:space="preserve">  </w:t>
      </w:r>
      <w:r>
        <w:rPr>
          <w:rFonts w:hint="eastAsia" w:eastAsia="方正仿宋_GBK"/>
          <w:color w:val="000000"/>
          <w:spacing w:val="-2"/>
          <w:kern w:val="0"/>
          <w:sz w:val="24"/>
        </w:rPr>
        <w:t>建筑业企业信用考核结果在综合考核结束后公布，每年公布不少于</w:t>
      </w:r>
      <w:r>
        <w:rPr>
          <w:rFonts w:eastAsia="方正仿宋_GBK"/>
          <w:color w:val="000000"/>
          <w:spacing w:val="-2"/>
          <w:kern w:val="0"/>
          <w:sz w:val="24"/>
        </w:rPr>
        <w:t>2</w:t>
      </w:r>
      <w:r>
        <w:rPr>
          <w:rFonts w:hint="eastAsia" w:eastAsia="方正仿宋_GBK"/>
          <w:color w:val="000000"/>
          <w:spacing w:val="-2"/>
          <w:kern w:val="0"/>
          <w:sz w:val="24"/>
        </w:rPr>
        <w:t>次。</w:t>
      </w:r>
    </w:p>
    <w:p>
      <w:pPr>
        <w:snapToGrid w:val="0"/>
        <w:spacing w:line="460" w:lineRule="exact"/>
        <w:ind w:firstLine="472" w:firstLineChars="200"/>
        <w:rPr>
          <w:rFonts w:eastAsia="方正仿宋_GBK"/>
          <w:color w:val="000000"/>
          <w:spacing w:val="-2"/>
          <w:kern w:val="0"/>
          <w:sz w:val="24"/>
        </w:rPr>
      </w:pPr>
      <w:r>
        <w:rPr>
          <w:rFonts w:hint="eastAsia" w:ascii="Times New Roman" w:eastAsia="方正黑体_GBK"/>
          <w:bCs/>
          <w:color w:val="000000"/>
          <w:spacing w:val="-2"/>
          <w:kern w:val="0"/>
          <w:sz w:val="24"/>
        </w:rPr>
        <w:t>第十五条</w:t>
      </w:r>
      <w:r>
        <w:rPr>
          <w:rFonts w:eastAsia="方正仿宋_GBK"/>
          <w:color w:val="000000"/>
          <w:spacing w:val="-2"/>
          <w:kern w:val="0"/>
          <w:sz w:val="24"/>
        </w:rPr>
        <w:t xml:space="preserve">  </w:t>
      </w:r>
      <w:r>
        <w:rPr>
          <w:rFonts w:hint="eastAsia" w:eastAsia="方正仿宋_GBK"/>
          <w:color w:val="000000"/>
          <w:spacing w:val="-2"/>
          <w:kern w:val="0"/>
          <w:sz w:val="24"/>
        </w:rPr>
        <w:t>各市建设主管部门依据企业基本信用信息、</w:t>
      </w:r>
      <w:r>
        <w:rPr>
          <w:rStyle w:val="15"/>
          <w:rFonts w:hint="eastAsia" w:eastAsia="方正仿宋_GBK"/>
          <w:spacing w:val="-2"/>
          <w:sz w:val="24"/>
        </w:rPr>
        <w:t>日常信用信息和</w:t>
      </w:r>
      <w:r>
        <w:rPr>
          <w:rFonts w:hint="eastAsia" w:eastAsia="方正仿宋_GBK"/>
          <w:color w:val="000000"/>
          <w:spacing w:val="-2"/>
          <w:kern w:val="0"/>
          <w:sz w:val="24"/>
        </w:rPr>
        <w:t>综合考</w:t>
      </w:r>
      <w:r>
        <w:rPr>
          <w:rStyle w:val="15"/>
          <w:rFonts w:hint="eastAsia" w:eastAsia="方正仿宋_GBK"/>
          <w:spacing w:val="-2"/>
          <w:sz w:val="24"/>
        </w:rPr>
        <w:t>核信息计算出</w:t>
      </w:r>
      <w:r>
        <w:rPr>
          <w:rFonts w:hint="eastAsia" w:eastAsia="方正仿宋_GBK"/>
          <w:color w:val="000000"/>
          <w:spacing w:val="-2"/>
          <w:kern w:val="0"/>
          <w:sz w:val="24"/>
        </w:rPr>
        <w:t>本考核时段的建筑业企业信用综合评价分，并在各市建设主管部门网站及政府信用网站向社会公布。</w:t>
      </w:r>
    </w:p>
    <w:p>
      <w:pPr>
        <w:snapToGrid w:val="0"/>
        <w:spacing w:line="460" w:lineRule="exact"/>
        <w:ind w:firstLine="472" w:firstLineChars="200"/>
        <w:rPr>
          <w:rFonts w:eastAsia="方正仿宋_GBK"/>
          <w:color w:val="000000"/>
          <w:spacing w:val="-2"/>
          <w:kern w:val="0"/>
          <w:sz w:val="24"/>
        </w:rPr>
      </w:pPr>
      <w:r>
        <w:rPr>
          <w:rFonts w:hint="eastAsia" w:ascii="Times New Roman" w:eastAsia="方正黑体_GBK"/>
          <w:bCs/>
          <w:color w:val="000000"/>
          <w:spacing w:val="-2"/>
          <w:kern w:val="0"/>
          <w:sz w:val="24"/>
        </w:rPr>
        <w:t>第十六条</w:t>
      </w:r>
      <w:r>
        <w:rPr>
          <w:rFonts w:eastAsia="方正仿宋_GBK"/>
          <w:b/>
          <w:bCs/>
          <w:color w:val="000000"/>
          <w:spacing w:val="-2"/>
          <w:kern w:val="0"/>
          <w:sz w:val="24"/>
        </w:rPr>
        <w:t xml:space="preserve">  </w:t>
      </w:r>
      <w:r>
        <w:rPr>
          <w:rFonts w:hint="eastAsia" w:eastAsia="方正仿宋_GBK"/>
          <w:color w:val="000000"/>
          <w:spacing w:val="-2"/>
          <w:kern w:val="0"/>
          <w:sz w:val="24"/>
        </w:rPr>
        <w:t>建筑业企业信用综合评价分自公布之日起至下次公布之日前有效，并记入建筑业企业信用档案。</w:t>
      </w:r>
    </w:p>
    <w:p>
      <w:pPr>
        <w:snapToGrid w:val="0"/>
        <w:spacing w:line="460" w:lineRule="exact"/>
        <w:ind w:firstLine="472" w:firstLineChars="200"/>
        <w:rPr>
          <w:rFonts w:eastAsia="方正仿宋_GBK"/>
          <w:color w:val="000000"/>
          <w:spacing w:val="-2"/>
          <w:kern w:val="0"/>
          <w:sz w:val="24"/>
        </w:rPr>
      </w:pPr>
    </w:p>
    <w:p>
      <w:pPr>
        <w:snapToGrid w:val="0"/>
        <w:spacing w:line="460" w:lineRule="exact"/>
        <w:jc w:val="center"/>
        <w:rPr>
          <w:rFonts w:ascii="Times New Roman" w:eastAsia="方正黑体_GBK"/>
          <w:color w:val="000000"/>
          <w:spacing w:val="-2"/>
          <w:kern w:val="0"/>
          <w:sz w:val="24"/>
        </w:rPr>
      </w:pPr>
      <w:r>
        <w:rPr>
          <w:rFonts w:hint="eastAsia" w:ascii="Times New Roman" w:eastAsia="方正黑体_GBK"/>
          <w:color w:val="000000"/>
          <w:spacing w:val="-2"/>
          <w:kern w:val="0"/>
          <w:sz w:val="24"/>
        </w:rPr>
        <w:t>第四章　信用成果运用</w:t>
      </w:r>
    </w:p>
    <w:p>
      <w:pPr>
        <w:snapToGrid w:val="0"/>
        <w:spacing w:line="460" w:lineRule="exact"/>
        <w:jc w:val="center"/>
        <w:rPr>
          <w:rFonts w:hint="eastAsia" w:eastAsia="方正仿宋_GBK"/>
          <w:b/>
          <w:color w:val="000000"/>
          <w:spacing w:val="-2"/>
          <w:kern w:val="0"/>
          <w:sz w:val="24"/>
        </w:rPr>
      </w:pPr>
    </w:p>
    <w:p>
      <w:pPr>
        <w:spacing w:line="460" w:lineRule="exact"/>
        <w:ind w:firstLine="472" w:firstLineChars="200"/>
        <w:rPr>
          <w:rFonts w:eastAsia="方正仿宋_GBK"/>
          <w:color w:val="000000"/>
          <w:spacing w:val="-2"/>
          <w:sz w:val="24"/>
        </w:rPr>
      </w:pPr>
      <w:r>
        <w:rPr>
          <w:rFonts w:hint="eastAsia" w:ascii="Times New Roman" w:eastAsia="方正黑体_GBK"/>
          <w:bCs/>
          <w:color w:val="000000"/>
          <w:spacing w:val="-2"/>
          <w:kern w:val="0"/>
          <w:sz w:val="24"/>
        </w:rPr>
        <w:t>第十七条</w:t>
      </w:r>
      <w:r>
        <w:rPr>
          <w:rFonts w:eastAsia="方正仿宋_GBK"/>
          <w:b/>
          <w:color w:val="000000"/>
          <w:spacing w:val="-2"/>
          <w:sz w:val="24"/>
        </w:rPr>
        <w:t xml:space="preserve">  </w:t>
      </w:r>
      <w:r>
        <w:rPr>
          <w:rFonts w:hint="eastAsia" w:eastAsia="方正仿宋_GBK"/>
          <w:color w:val="000000"/>
          <w:spacing w:val="-2"/>
          <w:sz w:val="24"/>
        </w:rPr>
        <w:t>使用国有资金投资、国</w:t>
      </w:r>
      <w:r>
        <w:rPr>
          <w:rStyle w:val="15"/>
          <w:rFonts w:hint="eastAsia" w:eastAsia="方正仿宋_GBK"/>
          <w:spacing w:val="-2"/>
          <w:sz w:val="24"/>
        </w:rPr>
        <w:t>有资金投资占控股或主导地位的建设工程项目实行招标发包的，</w:t>
      </w:r>
      <w:r>
        <w:rPr>
          <w:rFonts w:hint="eastAsia" w:eastAsia="方正仿宋_GBK"/>
          <w:color w:val="000000"/>
          <w:spacing w:val="-2"/>
          <w:sz w:val="24"/>
        </w:rPr>
        <w:t>应当将建筑业企业信用评价结果纳入招投标环节；其他类型建设工程项目招标可以参照执行。</w:t>
      </w:r>
    </w:p>
    <w:p>
      <w:pPr>
        <w:spacing w:line="460" w:lineRule="exact"/>
        <w:ind w:firstLine="472" w:firstLineChars="200"/>
        <w:rPr>
          <w:rFonts w:eastAsia="方正仿宋_GBK"/>
          <w:color w:val="000000"/>
          <w:spacing w:val="-2"/>
          <w:sz w:val="24"/>
        </w:rPr>
      </w:pPr>
      <w:r>
        <w:rPr>
          <w:rFonts w:hint="eastAsia" w:ascii="Times New Roman" w:eastAsia="方正黑体_GBK"/>
          <w:bCs/>
          <w:color w:val="000000"/>
          <w:spacing w:val="-2"/>
          <w:kern w:val="0"/>
          <w:sz w:val="24"/>
        </w:rPr>
        <w:t>第十八条</w:t>
      </w:r>
      <w:r>
        <w:rPr>
          <w:rFonts w:eastAsia="方正仿宋_GBK"/>
          <w:b/>
          <w:color w:val="000000"/>
          <w:spacing w:val="-2"/>
          <w:sz w:val="24"/>
        </w:rPr>
        <w:t xml:space="preserve">  </w:t>
      </w:r>
      <w:r>
        <w:rPr>
          <w:rFonts w:hint="eastAsia" w:eastAsia="方正仿宋_GBK"/>
          <w:color w:val="000000"/>
          <w:spacing w:val="-2"/>
          <w:sz w:val="24"/>
        </w:rPr>
        <w:t>采用商务标、技术标、信用标综合评标法的，信用分按照建筑业企业信用综合得分不低于</w:t>
      </w:r>
      <w:r>
        <w:rPr>
          <w:rFonts w:eastAsia="方正仿宋_GBK"/>
          <w:color w:val="000000"/>
          <w:spacing w:val="-2"/>
          <w:sz w:val="24"/>
        </w:rPr>
        <w:t>5%</w:t>
      </w:r>
      <w:r>
        <w:rPr>
          <w:rFonts w:hint="eastAsia" w:eastAsia="方正仿宋_GBK"/>
          <w:color w:val="000000"/>
          <w:spacing w:val="-2"/>
          <w:sz w:val="24"/>
        </w:rPr>
        <w:t>记入，其中省级平均信用分的权重占</w:t>
      </w:r>
      <w:r>
        <w:rPr>
          <w:rFonts w:eastAsia="方正仿宋_GBK"/>
          <w:color w:val="000000"/>
          <w:spacing w:val="-2"/>
          <w:sz w:val="24"/>
        </w:rPr>
        <w:t xml:space="preserve">40% </w:t>
      </w:r>
      <w:r>
        <w:rPr>
          <w:rFonts w:hint="eastAsia" w:eastAsia="方正仿宋_GBK"/>
          <w:color w:val="000000"/>
          <w:spacing w:val="-2"/>
          <w:sz w:val="24"/>
        </w:rPr>
        <w:t>，市级信用分的权重占</w:t>
      </w:r>
      <w:r>
        <w:rPr>
          <w:rFonts w:eastAsia="方正仿宋_GBK"/>
          <w:color w:val="000000"/>
          <w:spacing w:val="-2"/>
          <w:sz w:val="24"/>
        </w:rPr>
        <w:t>60%</w:t>
      </w:r>
      <w:r>
        <w:rPr>
          <w:rFonts w:hint="eastAsia" w:eastAsia="方正仿宋_GBK"/>
          <w:color w:val="000000"/>
          <w:spacing w:val="-2"/>
          <w:sz w:val="24"/>
        </w:rPr>
        <w:t>；采用经评审的最低投标价法、合理低价法、合理价随机确定中标人法的，必须将建筑业企业信用综合得分作为资格审查的必要条件。</w:t>
      </w:r>
    </w:p>
    <w:p>
      <w:pPr>
        <w:snapToGrid w:val="0"/>
        <w:spacing w:line="460" w:lineRule="exact"/>
        <w:ind w:firstLine="472" w:firstLineChars="200"/>
        <w:rPr>
          <w:rFonts w:eastAsia="方正仿宋_GBK"/>
          <w:color w:val="000000"/>
          <w:spacing w:val="-2"/>
          <w:sz w:val="24"/>
        </w:rPr>
      </w:pPr>
      <w:r>
        <w:rPr>
          <w:rFonts w:hint="eastAsia" w:ascii="Times New Roman" w:eastAsia="方正黑体_GBK"/>
          <w:bCs/>
          <w:color w:val="000000"/>
          <w:spacing w:val="-2"/>
          <w:kern w:val="0"/>
          <w:sz w:val="24"/>
        </w:rPr>
        <w:t>第十九条</w:t>
      </w:r>
      <w:r>
        <w:rPr>
          <w:rFonts w:eastAsia="方正仿宋_GBK"/>
          <w:b/>
          <w:bCs/>
          <w:color w:val="000000"/>
          <w:spacing w:val="-2"/>
          <w:kern w:val="0"/>
          <w:sz w:val="24"/>
        </w:rPr>
        <w:t xml:space="preserve">  </w:t>
      </w:r>
      <w:r>
        <w:rPr>
          <w:rFonts w:hint="eastAsia" w:eastAsia="方正仿宋_GBK"/>
          <w:color w:val="000000"/>
          <w:spacing w:val="-2"/>
          <w:sz w:val="24"/>
        </w:rPr>
        <w:t>建筑业企业信用记录作为建设主管部门对其资质审批、动态核查的考核内容及差别化管理的依据；建筑市场信用数据库中的建设工程项目信息，作为建筑业企业资质申报、审批和动态核查时工程业绩依据。</w:t>
      </w:r>
    </w:p>
    <w:p>
      <w:pPr>
        <w:snapToGrid w:val="0"/>
        <w:spacing w:line="460" w:lineRule="exact"/>
        <w:ind w:firstLine="645"/>
        <w:rPr>
          <w:rFonts w:eastAsia="方正仿宋_GBK"/>
          <w:color w:val="000000"/>
          <w:spacing w:val="-2"/>
          <w:sz w:val="24"/>
        </w:rPr>
      </w:pPr>
    </w:p>
    <w:p>
      <w:pPr>
        <w:snapToGrid w:val="0"/>
        <w:spacing w:line="460" w:lineRule="exact"/>
        <w:jc w:val="center"/>
        <w:rPr>
          <w:rFonts w:ascii="Times New Roman" w:eastAsia="方正黑体_GBK"/>
          <w:color w:val="000000"/>
          <w:spacing w:val="-2"/>
          <w:kern w:val="0"/>
          <w:sz w:val="24"/>
        </w:rPr>
      </w:pPr>
      <w:r>
        <w:rPr>
          <w:rFonts w:hint="eastAsia" w:ascii="Times New Roman" w:eastAsia="方正黑体_GBK"/>
          <w:color w:val="000000"/>
          <w:spacing w:val="-2"/>
          <w:kern w:val="0"/>
          <w:sz w:val="24"/>
        </w:rPr>
        <w:t>第五章  监督管理</w:t>
      </w:r>
    </w:p>
    <w:p>
      <w:pPr>
        <w:snapToGrid w:val="0"/>
        <w:spacing w:line="460" w:lineRule="exact"/>
        <w:ind w:firstLine="472" w:firstLineChars="200"/>
        <w:rPr>
          <w:rFonts w:hint="eastAsia" w:eastAsia="方正仿宋_GBK"/>
          <w:bCs/>
          <w:color w:val="000000"/>
          <w:spacing w:val="-2"/>
          <w:kern w:val="0"/>
          <w:sz w:val="24"/>
        </w:rPr>
      </w:pPr>
    </w:p>
    <w:p>
      <w:pPr>
        <w:snapToGrid w:val="0"/>
        <w:spacing w:line="460" w:lineRule="exact"/>
        <w:ind w:firstLine="472" w:firstLineChars="200"/>
        <w:rPr>
          <w:rFonts w:eastAsia="方正仿宋_GBK"/>
          <w:color w:val="000000"/>
          <w:spacing w:val="-2"/>
          <w:kern w:val="0"/>
          <w:sz w:val="24"/>
        </w:rPr>
      </w:pPr>
      <w:r>
        <w:rPr>
          <w:rFonts w:hint="eastAsia" w:ascii="Times New Roman" w:eastAsia="方正黑体_GBK"/>
          <w:bCs/>
          <w:color w:val="000000"/>
          <w:spacing w:val="-2"/>
          <w:kern w:val="0"/>
          <w:sz w:val="24"/>
        </w:rPr>
        <w:t>第二十条</w:t>
      </w:r>
      <w:r>
        <w:rPr>
          <w:rFonts w:eastAsia="方正仿宋_GBK"/>
          <w:b/>
          <w:bCs/>
          <w:color w:val="000000"/>
          <w:spacing w:val="-2"/>
          <w:kern w:val="0"/>
          <w:sz w:val="24"/>
        </w:rPr>
        <w:t xml:space="preserve">  </w:t>
      </w:r>
      <w:r>
        <w:rPr>
          <w:rFonts w:hint="eastAsia" w:eastAsia="方正仿宋_GBK"/>
          <w:color w:val="000000"/>
          <w:spacing w:val="-2"/>
          <w:kern w:val="0"/>
          <w:sz w:val="24"/>
        </w:rPr>
        <w:t>建筑业企业信用信息的录入应保证信息的真实性、完整性。</w:t>
      </w:r>
    </w:p>
    <w:p>
      <w:pPr>
        <w:snapToGrid w:val="0"/>
        <w:spacing w:line="460" w:lineRule="exact"/>
        <w:ind w:firstLine="472" w:firstLineChars="200"/>
        <w:rPr>
          <w:rFonts w:eastAsia="方正仿宋_GBK"/>
          <w:color w:val="000000"/>
          <w:spacing w:val="-2"/>
          <w:kern w:val="0"/>
          <w:sz w:val="24"/>
        </w:rPr>
      </w:pPr>
      <w:r>
        <w:rPr>
          <w:rFonts w:hint="eastAsia" w:ascii="Times New Roman" w:eastAsia="方正黑体_GBK"/>
          <w:bCs/>
          <w:color w:val="000000"/>
          <w:spacing w:val="-2"/>
          <w:kern w:val="0"/>
          <w:sz w:val="24"/>
        </w:rPr>
        <w:t>第二十一条</w:t>
      </w:r>
      <w:r>
        <w:rPr>
          <w:rFonts w:eastAsia="方正仿宋_GBK"/>
          <w:b/>
          <w:bCs/>
          <w:color w:val="000000"/>
          <w:spacing w:val="-2"/>
          <w:kern w:val="0"/>
          <w:sz w:val="24"/>
        </w:rPr>
        <w:t xml:space="preserve">  </w:t>
      </w:r>
      <w:r>
        <w:rPr>
          <w:rFonts w:hint="eastAsia" w:eastAsia="方正仿宋_GBK"/>
          <w:color w:val="000000"/>
          <w:spacing w:val="-2"/>
          <w:kern w:val="0"/>
          <w:sz w:val="24"/>
        </w:rPr>
        <w:t>各级建设主管部门应加强建筑业企业日常考核信息采集工作，信息采集全面、行为定性准确、及时监督检查，引导建筑业企业依法诚信经营。</w:t>
      </w:r>
    </w:p>
    <w:p>
      <w:pPr>
        <w:snapToGrid w:val="0"/>
        <w:spacing w:line="460" w:lineRule="exact"/>
        <w:ind w:firstLine="472" w:firstLineChars="200"/>
        <w:rPr>
          <w:rFonts w:eastAsia="方正仿宋_GBK"/>
          <w:color w:val="000000"/>
          <w:spacing w:val="-2"/>
          <w:kern w:val="0"/>
          <w:sz w:val="24"/>
        </w:rPr>
      </w:pPr>
      <w:r>
        <w:rPr>
          <w:rFonts w:hint="eastAsia" w:ascii="Times New Roman" w:eastAsia="方正黑体_GBK"/>
          <w:bCs/>
          <w:color w:val="000000"/>
          <w:spacing w:val="-2"/>
          <w:kern w:val="0"/>
          <w:sz w:val="24"/>
        </w:rPr>
        <w:t>第二十二条</w:t>
      </w:r>
      <w:r>
        <w:rPr>
          <w:rFonts w:eastAsia="方正仿宋_GBK"/>
          <w:b/>
          <w:bCs/>
          <w:color w:val="000000"/>
          <w:spacing w:val="-2"/>
          <w:kern w:val="0"/>
          <w:sz w:val="24"/>
        </w:rPr>
        <w:t xml:space="preserve">  </w:t>
      </w:r>
      <w:r>
        <w:rPr>
          <w:rFonts w:hint="eastAsia" w:eastAsia="方正仿宋_GBK"/>
          <w:color w:val="000000"/>
          <w:spacing w:val="-2"/>
          <w:kern w:val="0"/>
          <w:sz w:val="24"/>
        </w:rPr>
        <w:t>各市建设主管部门应建立对信用考核信息采集单位的考评制度，并将考评结果予以通报。</w:t>
      </w:r>
    </w:p>
    <w:p>
      <w:pPr>
        <w:snapToGrid w:val="0"/>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对在信用信息采集、审核、上报、评价、公布等工作中，成绩突出的相关人员和单位，给予奖励。</w:t>
      </w:r>
    </w:p>
    <w:p>
      <w:pPr>
        <w:snapToGrid w:val="0"/>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对玩忽职守、弄虚作假、隐瞒不报或徇私舞弊的责任单位和责任人，依法给予行政处分或追究相关责任。</w:t>
      </w:r>
    </w:p>
    <w:p>
      <w:pPr>
        <w:snapToGrid w:val="0"/>
        <w:spacing w:line="460" w:lineRule="exact"/>
        <w:ind w:firstLine="474" w:firstLineChars="200"/>
        <w:jc w:val="center"/>
        <w:rPr>
          <w:rFonts w:eastAsia="方正仿宋_GBK"/>
          <w:b/>
          <w:color w:val="000000"/>
          <w:spacing w:val="-2"/>
          <w:kern w:val="0"/>
          <w:sz w:val="24"/>
        </w:rPr>
      </w:pPr>
    </w:p>
    <w:p>
      <w:pPr>
        <w:snapToGrid w:val="0"/>
        <w:spacing w:line="460" w:lineRule="exact"/>
        <w:jc w:val="center"/>
        <w:rPr>
          <w:rFonts w:ascii="Times New Roman" w:eastAsia="方正黑体_GBK"/>
          <w:color w:val="000000"/>
          <w:spacing w:val="-2"/>
          <w:kern w:val="0"/>
          <w:sz w:val="24"/>
        </w:rPr>
      </w:pPr>
      <w:r>
        <w:rPr>
          <w:rFonts w:hint="eastAsia" w:ascii="Times New Roman" w:eastAsia="方正黑体_GBK"/>
          <w:color w:val="000000"/>
          <w:spacing w:val="-2"/>
          <w:kern w:val="0"/>
          <w:sz w:val="24"/>
        </w:rPr>
        <w:t>第六章  附   则</w:t>
      </w:r>
    </w:p>
    <w:p>
      <w:pPr>
        <w:snapToGrid w:val="0"/>
        <w:spacing w:line="460" w:lineRule="exact"/>
        <w:ind w:firstLine="472" w:firstLineChars="200"/>
        <w:rPr>
          <w:rFonts w:hint="eastAsia" w:eastAsia="方正仿宋_GBK"/>
          <w:bCs/>
          <w:color w:val="000000"/>
          <w:spacing w:val="-2"/>
          <w:kern w:val="0"/>
          <w:sz w:val="24"/>
        </w:rPr>
      </w:pPr>
    </w:p>
    <w:p>
      <w:pPr>
        <w:snapToGrid w:val="0"/>
        <w:spacing w:line="460" w:lineRule="exact"/>
        <w:ind w:firstLine="472" w:firstLineChars="200"/>
        <w:rPr>
          <w:rFonts w:eastAsia="方正仿宋_GBK"/>
          <w:color w:val="000000"/>
          <w:spacing w:val="-2"/>
          <w:kern w:val="0"/>
          <w:sz w:val="24"/>
        </w:rPr>
      </w:pPr>
      <w:r>
        <w:rPr>
          <w:rFonts w:hint="eastAsia" w:ascii="Times New Roman" w:eastAsia="方正黑体_GBK"/>
          <w:bCs/>
          <w:color w:val="000000"/>
          <w:spacing w:val="-2"/>
          <w:kern w:val="0"/>
          <w:sz w:val="24"/>
        </w:rPr>
        <w:t>第二十三条</w:t>
      </w:r>
      <w:r>
        <w:rPr>
          <w:rFonts w:eastAsia="方正仿宋_GBK"/>
          <w:b/>
          <w:color w:val="000000"/>
          <w:spacing w:val="-2"/>
          <w:kern w:val="0"/>
          <w:sz w:val="24"/>
        </w:rPr>
        <w:t xml:space="preserve">  </w:t>
      </w:r>
      <w:r>
        <w:rPr>
          <w:rFonts w:hint="eastAsia" w:eastAsia="方正仿宋_GBK"/>
          <w:color w:val="000000"/>
          <w:spacing w:val="-2"/>
          <w:kern w:val="0"/>
          <w:sz w:val="24"/>
        </w:rPr>
        <w:t>本办法由省住房和城乡建设厅负责解释。</w:t>
      </w:r>
    </w:p>
    <w:p>
      <w:pPr>
        <w:spacing w:line="460" w:lineRule="exact"/>
        <w:rPr>
          <w:rFonts w:eastAsia="方正仿宋_GBK"/>
          <w:color w:val="000000"/>
          <w:spacing w:val="-2"/>
          <w:kern w:val="0"/>
          <w:sz w:val="24"/>
        </w:rPr>
      </w:pPr>
      <w:r>
        <w:rPr>
          <w:rFonts w:eastAsia="方正仿宋_GBK"/>
          <w:color w:val="000000"/>
          <w:spacing w:val="-2"/>
          <w:kern w:val="0"/>
          <w:sz w:val="24"/>
        </w:rPr>
        <w:t> </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附件：</w:t>
      </w:r>
      <w:r>
        <w:rPr>
          <w:rFonts w:eastAsia="方正仿宋_GBK"/>
          <w:color w:val="000000"/>
          <w:spacing w:val="-2"/>
          <w:kern w:val="0"/>
          <w:sz w:val="24"/>
        </w:rPr>
        <w:t>1. </w:t>
      </w:r>
      <w:r>
        <w:rPr>
          <w:rFonts w:hint="eastAsia" w:eastAsia="方正仿宋_GBK"/>
          <w:color w:val="000000"/>
          <w:spacing w:val="-2"/>
          <w:kern w:val="0"/>
          <w:sz w:val="24"/>
        </w:rPr>
        <w:t>江苏省建筑业企业基本信用考核内容和计分方法</w:t>
      </w:r>
    </w:p>
    <w:p>
      <w:pPr>
        <w:spacing w:line="460" w:lineRule="exact"/>
        <w:ind w:firstLine="1180" w:firstLineChars="500"/>
        <w:jc w:val="left"/>
        <w:rPr>
          <w:rFonts w:eastAsia="方正仿宋_GBK"/>
          <w:color w:val="000000"/>
          <w:spacing w:val="-2"/>
          <w:kern w:val="0"/>
          <w:sz w:val="24"/>
        </w:rPr>
      </w:pPr>
      <w:r>
        <w:rPr>
          <w:rFonts w:eastAsia="方正仿宋_GBK"/>
          <w:color w:val="000000"/>
          <w:spacing w:val="-2"/>
          <w:kern w:val="0"/>
          <w:sz w:val="24"/>
        </w:rPr>
        <w:t>2. </w:t>
      </w:r>
      <w:r>
        <w:rPr>
          <w:rFonts w:hint="eastAsia" w:eastAsia="方正仿宋_GBK"/>
          <w:color w:val="000000"/>
          <w:spacing w:val="-2"/>
          <w:kern w:val="0"/>
          <w:sz w:val="24"/>
        </w:rPr>
        <w:t>江苏省建筑业企业日常考核内容和计分方法</w:t>
      </w:r>
    </w:p>
    <w:p>
      <w:pPr>
        <w:spacing w:line="460" w:lineRule="exact"/>
        <w:ind w:firstLine="1180" w:firstLineChars="500"/>
        <w:jc w:val="left"/>
        <w:rPr>
          <w:rFonts w:eastAsia="方正仿宋_GBK"/>
          <w:color w:val="000000"/>
          <w:spacing w:val="-2"/>
          <w:kern w:val="0"/>
          <w:sz w:val="24"/>
        </w:rPr>
      </w:pPr>
      <w:r>
        <w:rPr>
          <w:rFonts w:eastAsia="方正仿宋_GBK"/>
          <w:color w:val="000000"/>
          <w:spacing w:val="-2"/>
          <w:kern w:val="0"/>
          <w:sz w:val="24"/>
        </w:rPr>
        <w:t>3. </w:t>
      </w:r>
      <w:r>
        <w:rPr>
          <w:rFonts w:hint="eastAsia" w:eastAsia="方正仿宋_GBK"/>
          <w:color w:val="000000"/>
          <w:spacing w:val="-2"/>
          <w:kern w:val="0"/>
          <w:sz w:val="24"/>
        </w:rPr>
        <w:t>江苏省建筑业企业建筑市场综合考核内容和计分方法</w:t>
      </w:r>
    </w:p>
    <w:p>
      <w:pPr>
        <w:widowControl/>
        <w:spacing w:beforeAutospacing="1" w:afterAutospacing="1"/>
        <w:jc w:val="left"/>
        <w:rPr>
          <w:rFonts w:eastAsia="方正仿宋_GBK"/>
          <w:color w:val="000000"/>
          <w:spacing w:val="-2"/>
          <w:kern w:val="0"/>
          <w:sz w:val="24"/>
        </w:rPr>
        <w:sectPr>
          <w:pgSz w:w="11906" w:h="16838"/>
          <w:pgMar w:top="1701" w:right="1588" w:bottom="1701" w:left="1588" w:header="851" w:footer="1361" w:gutter="0"/>
          <w:cols w:space="720" w:num="1"/>
        </w:sectPr>
      </w:pPr>
    </w:p>
    <w:p>
      <w:pPr>
        <w:pStyle w:val="7"/>
        <w:adjustRightInd w:val="0"/>
        <w:snapToGrid w:val="0"/>
        <w:spacing w:after="0" w:line="460" w:lineRule="exact"/>
        <w:ind w:left="0" w:leftChars="0"/>
        <w:rPr>
          <w:rFonts w:ascii="Times New Roman" w:eastAsia="方正黑体_GBK"/>
          <w:color w:val="000000"/>
          <w:spacing w:val="-2"/>
          <w:sz w:val="28"/>
          <w:szCs w:val="28"/>
        </w:rPr>
      </w:pPr>
      <w:r>
        <w:rPr>
          <w:rFonts w:hint="eastAsia" w:ascii="Times New Roman" w:eastAsia="方正黑体_GBK"/>
          <w:color w:val="000000"/>
          <w:spacing w:val="-2"/>
          <w:sz w:val="28"/>
          <w:szCs w:val="28"/>
        </w:rPr>
        <w:t>附件1</w:t>
      </w:r>
    </w:p>
    <w:p>
      <w:pPr>
        <w:pStyle w:val="7"/>
        <w:adjustRightInd w:val="0"/>
        <w:snapToGrid w:val="0"/>
        <w:spacing w:after="0" w:line="460" w:lineRule="exact"/>
        <w:ind w:left="0" w:leftChars="0" w:firstLine="472" w:firstLineChars="200"/>
        <w:rPr>
          <w:rFonts w:hint="eastAsia" w:eastAsia="方正仿宋_GBK"/>
          <w:bCs/>
          <w:color w:val="000000"/>
          <w:spacing w:val="-2"/>
          <w:sz w:val="24"/>
        </w:rPr>
      </w:pPr>
    </w:p>
    <w:p>
      <w:pPr>
        <w:pStyle w:val="7"/>
        <w:adjustRightInd w:val="0"/>
        <w:snapToGrid w:val="0"/>
        <w:spacing w:after="0" w:line="460" w:lineRule="exact"/>
        <w:ind w:left="0" w:leftChars="0"/>
        <w:jc w:val="center"/>
        <w:rPr>
          <w:rFonts w:ascii="Times New Roman" w:eastAsia="方正黑体_GBK"/>
          <w:bCs/>
          <w:color w:val="000000"/>
          <w:spacing w:val="-2"/>
          <w:sz w:val="36"/>
          <w:szCs w:val="36"/>
        </w:rPr>
      </w:pPr>
      <w:r>
        <w:rPr>
          <w:rFonts w:hint="eastAsia" w:ascii="Times New Roman" w:eastAsia="方正黑体_GBK"/>
          <w:bCs/>
          <w:color w:val="000000"/>
          <w:spacing w:val="-2"/>
          <w:sz w:val="36"/>
          <w:szCs w:val="36"/>
        </w:rPr>
        <w:t>江苏省建筑业企业基本信用考核内容和计分方法</w:t>
      </w:r>
    </w:p>
    <w:p>
      <w:pPr>
        <w:pStyle w:val="7"/>
        <w:adjustRightInd w:val="0"/>
        <w:snapToGrid w:val="0"/>
        <w:spacing w:after="0" w:line="460" w:lineRule="exact"/>
        <w:ind w:left="0" w:leftChars="0" w:firstLine="472" w:firstLineChars="200"/>
        <w:rPr>
          <w:rFonts w:hint="eastAsia" w:eastAsia="方正仿宋_GBK"/>
          <w:bCs/>
          <w:color w:val="000000"/>
          <w:spacing w:val="-2"/>
          <w:sz w:val="24"/>
        </w:rPr>
      </w:pPr>
    </w:p>
    <w:p>
      <w:pPr>
        <w:pStyle w:val="7"/>
        <w:adjustRightInd w:val="0"/>
        <w:snapToGrid w:val="0"/>
        <w:spacing w:after="0" w:line="460" w:lineRule="exact"/>
        <w:ind w:left="0" w:leftChars="0" w:firstLine="472" w:firstLineChars="200"/>
        <w:rPr>
          <w:rFonts w:eastAsia="方正仿宋_GBK"/>
          <w:bCs/>
          <w:color w:val="000000"/>
          <w:spacing w:val="-2"/>
          <w:sz w:val="24"/>
        </w:rPr>
      </w:pPr>
      <w:r>
        <w:rPr>
          <w:rFonts w:hint="eastAsia" w:eastAsia="方正仿宋_GBK"/>
          <w:bCs/>
          <w:color w:val="000000"/>
          <w:spacing w:val="-2"/>
          <w:sz w:val="24"/>
        </w:rPr>
        <w:t>一、凡具有有效《资质证书》、《安全生产许可证》的建筑业企业即获得企业基本分为</w:t>
      </w:r>
      <w:r>
        <w:rPr>
          <w:rFonts w:eastAsia="方正仿宋_GBK"/>
          <w:bCs/>
          <w:color w:val="000000"/>
          <w:spacing w:val="-2"/>
          <w:sz w:val="24"/>
        </w:rPr>
        <w:t>30</w:t>
      </w:r>
      <w:r>
        <w:rPr>
          <w:rFonts w:hint="eastAsia" w:eastAsia="方正仿宋_GBK"/>
          <w:bCs/>
          <w:color w:val="000000"/>
          <w:spacing w:val="-2"/>
          <w:sz w:val="24"/>
        </w:rPr>
        <w:t>分。</w:t>
      </w:r>
    </w:p>
    <w:p>
      <w:pPr>
        <w:pStyle w:val="7"/>
        <w:adjustRightInd w:val="0"/>
        <w:snapToGrid w:val="0"/>
        <w:spacing w:after="0" w:line="460" w:lineRule="exact"/>
        <w:ind w:left="0" w:leftChars="0" w:firstLine="472" w:firstLineChars="200"/>
        <w:rPr>
          <w:rFonts w:eastAsia="方正仿宋_GBK"/>
          <w:bCs/>
          <w:color w:val="000000"/>
          <w:spacing w:val="-2"/>
          <w:sz w:val="24"/>
        </w:rPr>
      </w:pPr>
      <w:r>
        <w:rPr>
          <w:rFonts w:hint="eastAsia" w:eastAsia="方正仿宋_GBK"/>
          <w:bCs/>
          <w:color w:val="000000"/>
          <w:spacing w:val="-2"/>
          <w:sz w:val="24"/>
        </w:rPr>
        <w:t>二、具备以下条件，根据具体情况给予得分。</w:t>
      </w:r>
    </w:p>
    <w:p>
      <w:pPr>
        <w:pStyle w:val="7"/>
        <w:adjustRightInd w:val="0"/>
        <w:snapToGrid w:val="0"/>
        <w:spacing w:after="0" w:line="460" w:lineRule="exact"/>
        <w:ind w:left="0" w:leftChars="0" w:firstLine="472" w:firstLineChars="200"/>
        <w:rPr>
          <w:rFonts w:eastAsia="方正仿宋_GBK"/>
          <w:bCs/>
          <w:color w:val="000000"/>
          <w:spacing w:val="-2"/>
          <w:sz w:val="24"/>
          <w:shd w:val="pct10" w:color="auto" w:fill="FFFFFF"/>
        </w:rPr>
      </w:pPr>
      <w:r>
        <w:rPr>
          <w:rFonts w:hint="eastAsia" w:eastAsia="方正仿宋_GBK"/>
          <w:bCs/>
          <w:color w:val="000000"/>
          <w:spacing w:val="-2"/>
          <w:sz w:val="24"/>
        </w:rPr>
        <w:t>（一）承接工程得分。按照建筑业企业在省辖市行政区域内承接的工程项目数得分，项目备案个数最多得</w:t>
      </w:r>
      <w:r>
        <w:rPr>
          <w:rFonts w:eastAsia="方正仿宋_GBK"/>
          <w:bCs/>
          <w:color w:val="000000"/>
          <w:spacing w:val="-2"/>
          <w:sz w:val="24"/>
        </w:rPr>
        <w:t>8</w:t>
      </w:r>
      <w:r>
        <w:rPr>
          <w:rFonts w:hint="eastAsia" w:eastAsia="方正仿宋_GBK"/>
          <w:bCs/>
          <w:color w:val="000000"/>
          <w:spacing w:val="-2"/>
          <w:sz w:val="24"/>
        </w:rPr>
        <w:t>分，没有项目为零分，其余按线性插值计算。有效期</w:t>
      </w:r>
      <w:r>
        <w:rPr>
          <w:rFonts w:eastAsia="方正仿宋_GBK"/>
          <w:bCs/>
          <w:color w:val="000000"/>
          <w:spacing w:val="-2"/>
          <w:sz w:val="24"/>
        </w:rPr>
        <w:t>24</w:t>
      </w:r>
      <w:r>
        <w:rPr>
          <w:rFonts w:hint="eastAsia" w:eastAsia="方正仿宋_GBK"/>
          <w:bCs/>
          <w:color w:val="000000"/>
          <w:spacing w:val="-2"/>
          <w:sz w:val="24"/>
        </w:rPr>
        <w:t>个月。</w:t>
      </w:r>
    </w:p>
    <w:p>
      <w:pPr>
        <w:pStyle w:val="7"/>
        <w:adjustRightInd w:val="0"/>
        <w:snapToGrid w:val="0"/>
        <w:spacing w:after="0" w:line="460" w:lineRule="exact"/>
        <w:ind w:left="0" w:leftChars="0" w:firstLine="472" w:firstLineChars="200"/>
        <w:rPr>
          <w:rFonts w:eastAsia="方正仿宋_GBK"/>
          <w:bCs/>
          <w:color w:val="000000"/>
          <w:spacing w:val="-2"/>
          <w:sz w:val="24"/>
        </w:rPr>
      </w:pPr>
      <w:r>
        <w:rPr>
          <w:rFonts w:hint="eastAsia" w:eastAsia="方正仿宋_GBK"/>
          <w:bCs/>
          <w:color w:val="000000"/>
          <w:spacing w:val="-2"/>
          <w:sz w:val="24"/>
        </w:rPr>
        <w:t>（二）工程质量表彰及其他各类通报表扬和奖励得分。</w:t>
      </w:r>
    </w:p>
    <w:p>
      <w:pPr>
        <w:pStyle w:val="7"/>
        <w:adjustRightInd w:val="0"/>
        <w:snapToGrid w:val="0"/>
        <w:spacing w:after="0" w:line="460" w:lineRule="exact"/>
        <w:ind w:left="0" w:leftChars="0" w:firstLine="472" w:firstLineChars="200"/>
        <w:rPr>
          <w:rFonts w:eastAsia="方正仿宋_GBK"/>
          <w:bCs/>
          <w:color w:val="000000"/>
          <w:spacing w:val="-2"/>
          <w:sz w:val="24"/>
        </w:rPr>
      </w:pPr>
      <w:r>
        <w:rPr>
          <w:rFonts w:eastAsia="方正仿宋_GBK"/>
          <w:bCs/>
          <w:color w:val="000000"/>
          <w:spacing w:val="-2"/>
          <w:sz w:val="24"/>
        </w:rPr>
        <w:t>1</w:t>
      </w:r>
      <w:r>
        <w:rPr>
          <w:rFonts w:hint="eastAsia" w:eastAsia="方正仿宋_GBK"/>
          <w:bCs/>
          <w:color w:val="000000"/>
          <w:spacing w:val="-2"/>
          <w:sz w:val="24"/>
        </w:rPr>
        <w:t>．获得国家级表彰的（含国优工程、科技奖、鲁班奖），每一次得</w:t>
      </w:r>
      <w:r>
        <w:rPr>
          <w:rFonts w:eastAsia="方正仿宋_GBK"/>
          <w:bCs/>
          <w:color w:val="000000"/>
          <w:spacing w:val="-2"/>
          <w:sz w:val="24"/>
        </w:rPr>
        <w:t>3</w:t>
      </w:r>
      <w:r>
        <w:rPr>
          <w:rFonts w:hint="eastAsia" w:eastAsia="方正仿宋_GBK"/>
          <w:bCs/>
          <w:color w:val="000000"/>
          <w:spacing w:val="-2"/>
          <w:sz w:val="24"/>
        </w:rPr>
        <w:t>分，满分为</w:t>
      </w:r>
      <w:r>
        <w:rPr>
          <w:rFonts w:eastAsia="方正仿宋_GBK"/>
          <w:bCs/>
          <w:color w:val="000000"/>
          <w:spacing w:val="-2"/>
          <w:sz w:val="24"/>
        </w:rPr>
        <w:t>3</w:t>
      </w:r>
      <w:r>
        <w:rPr>
          <w:rFonts w:hint="eastAsia" w:eastAsia="方正仿宋_GBK"/>
          <w:bCs/>
          <w:color w:val="000000"/>
          <w:spacing w:val="-2"/>
          <w:sz w:val="24"/>
        </w:rPr>
        <w:t>分。有效期</w:t>
      </w:r>
      <w:r>
        <w:rPr>
          <w:rFonts w:eastAsia="方正仿宋_GBK"/>
          <w:bCs/>
          <w:color w:val="000000"/>
          <w:spacing w:val="-2"/>
          <w:sz w:val="24"/>
        </w:rPr>
        <w:t>36</w:t>
      </w:r>
      <w:r>
        <w:rPr>
          <w:rFonts w:hint="eastAsia" w:eastAsia="方正仿宋_GBK"/>
          <w:bCs/>
          <w:color w:val="000000"/>
          <w:spacing w:val="-2"/>
          <w:sz w:val="24"/>
        </w:rPr>
        <w:t>个月。</w:t>
      </w:r>
    </w:p>
    <w:p>
      <w:pPr>
        <w:pStyle w:val="7"/>
        <w:adjustRightInd w:val="0"/>
        <w:snapToGrid w:val="0"/>
        <w:spacing w:after="0" w:line="460" w:lineRule="exact"/>
        <w:ind w:left="0" w:leftChars="0" w:firstLine="472" w:firstLineChars="200"/>
        <w:rPr>
          <w:rFonts w:eastAsia="方正仿宋_GBK"/>
          <w:bCs/>
          <w:color w:val="000000"/>
          <w:spacing w:val="-2"/>
          <w:sz w:val="24"/>
        </w:rPr>
      </w:pPr>
      <w:r>
        <w:rPr>
          <w:rFonts w:eastAsia="方正仿宋_GBK"/>
          <w:bCs/>
          <w:color w:val="000000"/>
          <w:spacing w:val="-2"/>
          <w:sz w:val="24"/>
        </w:rPr>
        <w:t>2</w:t>
      </w:r>
      <w:r>
        <w:rPr>
          <w:rFonts w:hint="eastAsia" w:eastAsia="方正仿宋_GBK"/>
          <w:bCs/>
          <w:color w:val="000000"/>
          <w:spacing w:val="-2"/>
          <w:sz w:val="24"/>
        </w:rPr>
        <w:t>．获得住房和城乡建设部表彰的（含专业类奖项）以及在我省获得江苏省人民政府表彰（含</w:t>
      </w:r>
      <w:r>
        <w:rPr>
          <w:rFonts w:eastAsia="方正仿宋_GBK"/>
          <w:bCs/>
          <w:color w:val="000000"/>
          <w:spacing w:val="-2"/>
          <w:sz w:val="24"/>
        </w:rPr>
        <w:t>“</w:t>
      </w:r>
      <w:r>
        <w:rPr>
          <w:rFonts w:hint="eastAsia" w:eastAsia="方正仿宋_GBK"/>
          <w:bCs/>
          <w:color w:val="000000"/>
          <w:spacing w:val="-2"/>
          <w:sz w:val="24"/>
        </w:rPr>
        <w:t>扬子杯</w:t>
      </w:r>
      <w:r>
        <w:rPr>
          <w:rFonts w:eastAsia="方正仿宋_GBK"/>
          <w:bCs/>
          <w:color w:val="000000"/>
          <w:spacing w:val="-2"/>
          <w:sz w:val="24"/>
        </w:rPr>
        <w:t>”</w:t>
      </w:r>
      <w:r>
        <w:rPr>
          <w:rFonts w:hint="eastAsia" w:eastAsia="方正仿宋_GBK"/>
          <w:bCs/>
          <w:color w:val="000000"/>
          <w:spacing w:val="-2"/>
          <w:sz w:val="24"/>
        </w:rPr>
        <w:t>优质工程奖）的，每一次得</w:t>
      </w:r>
      <w:r>
        <w:rPr>
          <w:rFonts w:eastAsia="方正仿宋_GBK"/>
          <w:bCs/>
          <w:color w:val="000000"/>
          <w:spacing w:val="-2"/>
          <w:sz w:val="24"/>
        </w:rPr>
        <w:t>2</w:t>
      </w:r>
      <w:r>
        <w:rPr>
          <w:rFonts w:hint="eastAsia" w:eastAsia="方正仿宋_GBK"/>
          <w:bCs/>
          <w:color w:val="000000"/>
          <w:spacing w:val="-2"/>
          <w:sz w:val="24"/>
        </w:rPr>
        <w:t>分，满分为</w:t>
      </w:r>
      <w:r>
        <w:rPr>
          <w:rFonts w:eastAsia="方正仿宋_GBK"/>
          <w:bCs/>
          <w:color w:val="000000"/>
          <w:spacing w:val="-2"/>
          <w:sz w:val="24"/>
        </w:rPr>
        <w:t>4</w:t>
      </w:r>
      <w:r>
        <w:rPr>
          <w:rFonts w:hint="eastAsia" w:eastAsia="方正仿宋_GBK"/>
          <w:bCs/>
          <w:color w:val="000000"/>
          <w:spacing w:val="-2"/>
          <w:sz w:val="24"/>
        </w:rPr>
        <w:t>分。有效期</w:t>
      </w:r>
      <w:r>
        <w:rPr>
          <w:rFonts w:eastAsia="方正仿宋_GBK"/>
          <w:bCs/>
          <w:color w:val="000000"/>
          <w:spacing w:val="-2"/>
          <w:sz w:val="24"/>
        </w:rPr>
        <w:t>24</w:t>
      </w:r>
      <w:r>
        <w:rPr>
          <w:rFonts w:hint="eastAsia" w:eastAsia="方正仿宋_GBK"/>
          <w:bCs/>
          <w:color w:val="000000"/>
          <w:spacing w:val="-2"/>
          <w:sz w:val="24"/>
        </w:rPr>
        <w:t>个月。</w:t>
      </w:r>
    </w:p>
    <w:p>
      <w:pPr>
        <w:pStyle w:val="7"/>
        <w:adjustRightInd w:val="0"/>
        <w:snapToGrid w:val="0"/>
        <w:spacing w:after="0" w:line="460" w:lineRule="exact"/>
        <w:ind w:left="0" w:leftChars="0" w:firstLine="472" w:firstLineChars="200"/>
        <w:rPr>
          <w:rFonts w:eastAsia="方正仿宋_GBK"/>
          <w:bCs/>
          <w:color w:val="000000"/>
          <w:spacing w:val="-2"/>
          <w:sz w:val="24"/>
        </w:rPr>
      </w:pPr>
      <w:r>
        <w:rPr>
          <w:rFonts w:eastAsia="方正仿宋_GBK"/>
          <w:bCs/>
          <w:color w:val="000000"/>
          <w:spacing w:val="-2"/>
          <w:sz w:val="24"/>
        </w:rPr>
        <w:t>3</w:t>
      </w:r>
      <w:r>
        <w:rPr>
          <w:rFonts w:hint="eastAsia" w:eastAsia="方正仿宋_GBK"/>
          <w:bCs/>
          <w:color w:val="000000"/>
          <w:spacing w:val="-2"/>
          <w:sz w:val="24"/>
        </w:rPr>
        <w:t>．获得江苏省住房和城乡建设厅表彰的（含专业类奖项）以及获得省辖市人民政府表彰的，每一次得</w:t>
      </w:r>
      <w:r>
        <w:rPr>
          <w:rFonts w:eastAsia="方正仿宋_GBK"/>
          <w:bCs/>
          <w:color w:val="000000"/>
          <w:spacing w:val="-2"/>
          <w:sz w:val="24"/>
        </w:rPr>
        <w:t>1.5</w:t>
      </w:r>
      <w:r>
        <w:rPr>
          <w:rFonts w:hint="eastAsia" w:eastAsia="方正仿宋_GBK"/>
          <w:bCs/>
          <w:color w:val="000000"/>
          <w:spacing w:val="-2"/>
          <w:sz w:val="24"/>
        </w:rPr>
        <w:t>分，满分为</w:t>
      </w:r>
      <w:r>
        <w:rPr>
          <w:rFonts w:eastAsia="方正仿宋_GBK"/>
          <w:bCs/>
          <w:color w:val="000000"/>
          <w:spacing w:val="-2"/>
          <w:sz w:val="24"/>
        </w:rPr>
        <w:t>3</w:t>
      </w:r>
      <w:r>
        <w:rPr>
          <w:rFonts w:hint="eastAsia" w:eastAsia="方正仿宋_GBK"/>
          <w:bCs/>
          <w:color w:val="000000"/>
          <w:spacing w:val="-2"/>
          <w:sz w:val="24"/>
        </w:rPr>
        <w:t>分。有效期</w:t>
      </w:r>
      <w:r>
        <w:rPr>
          <w:rFonts w:eastAsia="方正仿宋_GBK"/>
          <w:bCs/>
          <w:color w:val="000000"/>
          <w:spacing w:val="-2"/>
          <w:sz w:val="24"/>
        </w:rPr>
        <w:t>12</w:t>
      </w:r>
      <w:r>
        <w:rPr>
          <w:rFonts w:hint="eastAsia" w:eastAsia="方正仿宋_GBK"/>
          <w:bCs/>
          <w:color w:val="000000"/>
          <w:spacing w:val="-2"/>
          <w:sz w:val="24"/>
        </w:rPr>
        <w:t>个月。</w:t>
      </w:r>
    </w:p>
    <w:p>
      <w:pPr>
        <w:pStyle w:val="7"/>
        <w:adjustRightInd w:val="0"/>
        <w:snapToGrid w:val="0"/>
        <w:spacing w:after="0" w:line="460" w:lineRule="exact"/>
        <w:ind w:left="0" w:leftChars="0" w:firstLine="472" w:firstLineChars="200"/>
        <w:rPr>
          <w:rFonts w:eastAsia="方正仿宋_GBK"/>
          <w:bCs/>
          <w:color w:val="000000"/>
          <w:spacing w:val="-2"/>
          <w:sz w:val="24"/>
        </w:rPr>
      </w:pPr>
      <w:r>
        <w:rPr>
          <w:rFonts w:eastAsia="方正仿宋_GBK"/>
          <w:bCs/>
          <w:color w:val="000000"/>
          <w:spacing w:val="-2"/>
          <w:sz w:val="24"/>
        </w:rPr>
        <w:t>4</w:t>
      </w:r>
      <w:r>
        <w:rPr>
          <w:rFonts w:hint="eastAsia" w:eastAsia="方正仿宋_GBK"/>
          <w:bCs/>
          <w:color w:val="000000"/>
          <w:spacing w:val="-2"/>
          <w:sz w:val="24"/>
        </w:rPr>
        <w:t>．获得企业信用综合评价所在地省辖市建设主管部门（含专业类奖项）以及市（县）人民政府表彰的，每一次得</w:t>
      </w:r>
      <w:r>
        <w:rPr>
          <w:rFonts w:eastAsia="方正仿宋_GBK"/>
          <w:bCs/>
          <w:color w:val="000000"/>
          <w:spacing w:val="-2"/>
          <w:sz w:val="24"/>
        </w:rPr>
        <w:t>1</w:t>
      </w:r>
      <w:r>
        <w:rPr>
          <w:rFonts w:hint="eastAsia" w:eastAsia="方正仿宋_GBK"/>
          <w:bCs/>
          <w:color w:val="000000"/>
          <w:spacing w:val="-2"/>
          <w:sz w:val="24"/>
        </w:rPr>
        <w:t>分，满分为</w:t>
      </w:r>
      <w:r>
        <w:rPr>
          <w:rFonts w:eastAsia="方正仿宋_GBK"/>
          <w:bCs/>
          <w:color w:val="000000"/>
          <w:spacing w:val="-2"/>
          <w:sz w:val="24"/>
        </w:rPr>
        <w:t>2</w:t>
      </w:r>
      <w:r>
        <w:rPr>
          <w:rFonts w:hint="eastAsia" w:eastAsia="方正仿宋_GBK"/>
          <w:bCs/>
          <w:color w:val="000000"/>
          <w:spacing w:val="-2"/>
          <w:sz w:val="24"/>
        </w:rPr>
        <w:t>分。有效期</w:t>
      </w:r>
      <w:r>
        <w:rPr>
          <w:rFonts w:eastAsia="方正仿宋_GBK"/>
          <w:bCs/>
          <w:color w:val="000000"/>
          <w:spacing w:val="-2"/>
          <w:sz w:val="24"/>
        </w:rPr>
        <w:t>12</w:t>
      </w:r>
      <w:r>
        <w:rPr>
          <w:rFonts w:hint="eastAsia" w:eastAsia="方正仿宋_GBK"/>
          <w:bCs/>
          <w:color w:val="000000"/>
          <w:spacing w:val="-2"/>
          <w:sz w:val="24"/>
        </w:rPr>
        <w:t>个月。</w:t>
      </w:r>
    </w:p>
    <w:p>
      <w:pPr>
        <w:pStyle w:val="7"/>
        <w:adjustRightInd w:val="0"/>
        <w:snapToGrid w:val="0"/>
        <w:spacing w:after="0" w:line="460" w:lineRule="exact"/>
        <w:ind w:left="0" w:leftChars="0" w:firstLine="472" w:firstLineChars="200"/>
        <w:rPr>
          <w:rFonts w:eastAsia="方正仿宋_GBK"/>
          <w:bCs/>
          <w:color w:val="000000"/>
          <w:spacing w:val="-2"/>
          <w:sz w:val="24"/>
        </w:rPr>
      </w:pPr>
      <w:r>
        <w:rPr>
          <w:rFonts w:eastAsia="方正仿宋_GBK"/>
          <w:bCs/>
          <w:color w:val="000000"/>
          <w:spacing w:val="-2"/>
          <w:sz w:val="24"/>
        </w:rPr>
        <w:t>5</w:t>
      </w:r>
      <w:r>
        <w:rPr>
          <w:rFonts w:hint="eastAsia" w:eastAsia="方正仿宋_GBK"/>
          <w:bCs/>
          <w:color w:val="000000"/>
          <w:spacing w:val="-2"/>
          <w:sz w:val="24"/>
        </w:rPr>
        <w:t>．手续完备的专业承包企业为获奖工程的参建单位，其业绩参照总承包企业考核分计入。</w:t>
      </w:r>
    </w:p>
    <w:p>
      <w:pPr>
        <w:pStyle w:val="7"/>
        <w:adjustRightInd w:val="0"/>
        <w:snapToGrid w:val="0"/>
        <w:spacing w:after="0" w:line="460" w:lineRule="exact"/>
        <w:ind w:left="0" w:leftChars="0" w:firstLine="472" w:firstLineChars="200"/>
        <w:rPr>
          <w:rFonts w:eastAsia="方正仿宋_GBK"/>
          <w:bCs/>
          <w:color w:val="000000"/>
          <w:spacing w:val="-2"/>
          <w:sz w:val="24"/>
        </w:rPr>
      </w:pPr>
      <w:r>
        <w:rPr>
          <w:rFonts w:hint="eastAsia" w:eastAsia="方正仿宋_GBK"/>
          <w:bCs/>
          <w:color w:val="000000"/>
          <w:spacing w:val="-2"/>
          <w:sz w:val="24"/>
        </w:rPr>
        <w:t>同一企业、同一工程项目、同一性质的不同级别荣誉，按最高级别得分，不作累计得分。</w:t>
      </w:r>
    </w:p>
    <w:p>
      <w:pPr>
        <w:pStyle w:val="7"/>
        <w:adjustRightInd w:val="0"/>
        <w:snapToGrid w:val="0"/>
        <w:spacing w:after="0" w:line="460" w:lineRule="exact"/>
        <w:ind w:left="0" w:leftChars="0" w:firstLine="472" w:firstLineChars="200"/>
        <w:rPr>
          <w:rFonts w:eastAsia="方正仿宋_GBK"/>
          <w:bCs/>
          <w:color w:val="000000"/>
          <w:spacing w:val="-2"/>
          <w:sz w:val="24"/>
        </w:rPr>
      </w:pPr>
      <w:r>
        <w:rPr>
          <w:rFonts w:hint="eastAsia" w:eastAsia="方正仿宋_GBK"/>
          <w:bCs/>
          <w:color w:val="000000"/>
          <w:spacing w:val="-2"/>
          <w:sz w:val="24"/>
        </w:rPr>
        <w:t>三、上述</w:t>
      </w:r>
      <w:r>
        <w:rPr>
          <w:rFonts w:eastAsia="方正仿宋_GBK"/>
          <w:bCs/>
          <w:color w:val="000000"/>
          <w:spacing w:val="-2"/>
          <w:sz w:val="24"/>
        </w:rPr>
        <w:t>“</w:t>
      </w:r>
      <w:r>
        <w:rPr>
          <w:rFonts w:hint="eastAsia" w:eastAsia="方正仿宋_GBK"/>
          <w:bCs/>
          <w:color w:val="000000"/>
          <w:spacing w:val="-2"/>
          <w:sz w:val="24"/>
        </w:rPr>
        <w:t>有效期</w:t>
      </w:r>
      <w:r>
        <w:rPr>
          <w:rFonts w:eastAsia="方正仿宋_GBK"/>
          <w:bCs/>
          <w:color w:val="000000"/>
          <w:spacing w:val="-2"/>
          <w:sz w:val="24"/>
        </w:rPr>
        <w:t>”</w:t>
      </w:r>
      <w:r>
        <w:rPr>
          <w:rFonts w:hint="eastAsia" w:eastAsia="方正仿宋_GBK"/>
          <w:bCs/>
          <w:color w:val="000000"/>
          <w:spacing w:val="-2"/>
          <w:sz w:val="24"/>
        </w:rPr>
        <w:t>指信用综合考核时点往前的追</w:t>
      </w:r>
      <w:r>
        <w:rPr>
          <w:rFonts w:hint="eastAsia" w:eastAsia="方正仿宋_GBK"/>
          <w:color w:val="000000"/>
          <w:spacing w:val="-2"/>
          <w:sz w:val="24"/>
        </w:rPr>
        <w:t>溯时间</w:t>
      </w:r>
      <w:r>
        <w:rPr>
          <w:rFonts w:hint="eastAsia" w:eastAsia="方正仿宋_GBK"/>
          <w:bCs/>
          <w:color w:val="000000"/>
          <w:spacing w:val="-2"/>
          <w:sz w:val="24"/>
        </w:rPr>
        <w:t>。</w:t>
      </w:r>
    </w:p>
    <w:p>
      <w:pPr>
        <w:pStyle w:val="7"/>
        <w:adjustRightInd w:val="0"/>
        <w:snapToGrid w:val="0"/>
        <w:spacing w:after="0" w:line="460" w:lineRule="exact"/>
        <w:ind w:left="0" w:leftChars="0" w:firstLine="472" w:firstLineChars="200"/>
        <w:rPr>
          <w:rFonts w:eastAsia="方正仿宋_GBK"/>
          <w:bCs/>
          <w:color w:val="000000"/>
          <w:spacing w:val="-2"/>
          <w:sz w:val="24"/>
        </w:rPr>
      </w:pPr>
    </w:p>
    <w:p>
      <w:pPr>
        <w:pStyle w:val="7"/>
        <w:adjustRightInd w:val="0"/>
        <w:snapToGrid w:val="0"/>
        <w:spacing w:line="460" w:lineRule="exact"/>
        <w:rPr>
          <w:rFonts w:eastAsia="方正仿宋_GBK"/>
          <w:bCs/>
          <w:color w:val="000000"/>
          <w:spacing w:val="-2"/>
          <w:sz w:val="24"/>
        </w:rPr>
      </w:pPr>
    </w:p>
    <w:p>
      <w:pPr>
        <w:snapToGrid w:val="0"/>
        <w:spacing w:line="460" w:lineRule="exact"/>
        <w:rPr>
          <w:rFonts w:ascii="Times New Roman" w:eastAsia="方正黑体_GBK"/>
          <w:color w:val="000000"/>
          <w:spacing w:val="-2"/>
          <w:sz w:val="28"/>
          <w:szCs w:val="28"/>
        </w:rPr>
      </w:pPr>
      <w:r>
        <w:rPr>
          <w:rFonts w:eastAsia="方正仿宋_GBK"/>
          <w:color w:val="000000"/>
          <w:spacing w:val="-2"/>
          <w:kern w:val="0"/>
          <w:sz w:val="24"/>
        </w:rPr>
        <w:br w:type="column"/>
      </w:r>
      <w:r>
        <w:rPr>
          <w:rFonts w:hint="eastAsia" w:ascii="Times New Roman" w:eastAsia="方正黑体_GBK"/>
          <w:color w:val="000000"/>
          <w:spacing w:val="-2"/>
          <w:sz w:val="28"/>
          <w:szCs w:val="28"/>
        </w:rPr>
        <w:t>附件2</w:t>
      </w:r>
    </w:p>
    <w:p>
      <w:pPr>
        <w:snapToGrid w:val="0"/>
        <w:spacing w:line="460" w:lineRule="exact"/>
        <w:rPr>
          <w:rFonts w:hint="eastAsia" w:eastAsia="方正仿宋_GBK"/>
          <w:color w:val="000000"/>
          <w:spacing w:val="-2"/>
          <w:sz w:val="24"/>
        </w:rPr>
      </w:pPr>
    </w:p>
    <w:p>
      <w:pPr>
        <w:pStyle w:val="7"/>
        <w:adjustRightInd w:val="0"/>
        <w:snapToGrid w:val="0"/>
        <w:spacing w:after="0" w:line="460" w:lineRule="exact"/>
        <w:ind w:left="0" w:leftChars="0"/>
        <w:jc w:val="center"/>
        <w:rPr>
          <w:rFonts w:ascii="Times New Roman" w:eastAsia="方正黑体_GBK"/>
          <w:bCs/>
          <w:color w:val="000000"/>
          <w:spacing w:val="-2"/>
          <w:sz w:val="36"/>
          <w:szCs w:val="36"/>
        </w:rPr>
      </w:pPr>
      <w:r>
        <w:rPr>
          <w:rFonts w:hint="eastAsia" w:ascii="Times New Roman" w:eastAsia="方正黑体_GBK"/>
          <w:bCs/>
          <w:color w:val="000000"/>
          <w:spacing w:val="-2"/>
          <w:sz w:val="36"/>
          <w:szCs w:val="36"/>
        </w:rPr>
        <w:t>江苏省建筑业企业日常考核内容和计分方法</w:t>
      </w:r>
    </w:p>
    <w:p>
      <w:pPr>
        <w:adjustRightInd w:val="0"/>
        <w:snapToGrid w:val="0"/>
        <w:spacing w:line="460" w:lineRule="exact"/>
        <w:ind w:firstLine="474" w:firstLineChars="200"/>
        <w:rPr>
          <w:rFonts w:hint="eastAsia" w:eastAsia="方正仿宋_GBK"/>
          <w:b/>
          <w:color w:val="000000"/>
          <w:spacing w:val="-2"/>
          <w:kern w:val="0"/>
          <w:sz w:val="24"/>
        </w:rPr>
      </w:pPr>
    </w:p>
    <w:p>
      <w:pPr>
        <w:adjustRightInd w:val="0"/>
        <w:snapToGrid w:val="0"/>
        <w:spacing w:line="460" w:lineRule="exact"/>
        <w:ind w:firstLine="472" w:firstLineChars="200"/>
        <w:rPr>
          <w:rFonts w:ascii="Times New Roman" w:eastAsia="方正黑体_GBK"/>
          <w:color w:val="000000"/>
          <w:spacing w:val="-2"/>
          <w:kern w:val="0"/>
          <w:sz w:val="24"/>
        </w:rPr>
      </w:pPr>
      <w:r>
        <w:rPr>
          <w:rFonts w:hint="eastAsia" w:ascii="Times New Roman" w:eastAsia="方正黑体_GBK"/>
          <w:color w:val="000000"/>
          <w:spacing w:val="-2"/>
          <w:kern w:val="0"/>
          <w:sz w:val="24"/>
        </w:rPr>
        <w:t>一、具有以下行为，根据具体情况给予扣分</w:t>
      </w:r>
    </w:p>
    <w:p>
      <w:pPr>
        <w:adjustRightInd w:val="0"/>
        <w:snapToGrid w:val="0"/>
        <w:spacing w:line="460" w:lineRule="exact"/>
        <w:ind w:firstLine="472" w:firstLineChars="200"/>
        <w:rPr>
          <w:rFonts w:hint="eastAsia" w:eastAsia="方正仿宋_GBK"/>
          <w:color w:val="000000"/>
          <w:spacing w:val="-2"/>
          <w:sz w:val="24"/>
        </w:rPr>
      </w:pPr>
      <w:r>
        <w:rPr>
          <w:rFonts w:hint="eastAsia" w:eastAsia="方正仿宋_GBK"/>
          <w:color w:val="000000"/>
          <w:spacing w:val="-2"/>
          <w:sz w:val="24"/>
        </w:rPr>
        <w:t>（一）通报批评及行政处罚扣分</w:t>
      </w:r>
      <w:r>
        <w:rPr>
          <w:rFonts w:eastAsia="方正仿宋_GBK"/>
          <w:color w:val="000000"/>
          <w:spacing w:val="-2"/>
          <w:sz w:val="24"/>
        </w:rPr>
        <w:t xml:space="preserve"> </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．在建筑活动中受到住房和城乡建设部或江苏省人民政府通报批评的，每一次扣</w:t>
      </w:r>
      <w:r>
        <w:rPr>
          <w:rFonts w:eastAsia="方正仿宋_GBK"/>
          <w:color w:val="000000"/>
          <w:spacing w:val="-2"/>
          <w:sz w:val="24"/>
        </w:rPr>
        <w:t>3</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．在建筑活动中受到江苏省住房和城乡建设厅或省辖市人民政府通报批评的，每一次扣</w:t>
      </w:r>
      <w:r>
        <w:rPr>
          <w:rFonts w:eastAsia="方正仿宋_GBK"/>
          <w:color w:val="000000"/>
          <w:spacing w:val="-2"/>
          <w:sz w:val="24"/>
        </w:rPr>
        <w:t>2</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3</w:t>
      </w:r>
      <w:r>
        <w:rPr>
          <w:rFonts w:hint="eastAsia" w:eastAsia="方正仿宋_GBK"/>
          <w:color w:val="000000"/>
          <w:spacing w:val="-2"/>
          <w:sz w:val="24"/>
        </w:rPr>
        <w:t>．在建筑活动中受到省辖市建设主管部门、市（县）人民政府或市（县）建设主管部门通报批评的，每一次扣</w:t>
      </w:r>
      <w:r>
        <w:rPr>
          <w:rFonts w:eastAsia="方正仿宋_GBK"/>
          <w:color w:val="000000"/>
          <w:spacing w:val="-2"/>
          <w:sz w:val="24"/>
        </w:rPr>
        <w:t>1</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4</w:t>
      </w:r>
      <w:r>
        <w:rPr>
          <w:rFonts w:hint="eastAsia" w:eastAsia="方正仿宋_GBK"/>
          <w:color w:val="000000"/>
          <w:spacing w:val="-2"/>
          <w:sz w:val="24"/>
        </w:rPr>
        <w:t>．在建筑活动中，因存在违规行为或施工现场存在严重工程质量和安全生产隐患被建设主管部门或其委托的监督管理部门诫勉谈话的，每一次扣</w:t>
      </w:r>
      <w:r>
        <w:rPr>
          <w:rFonts w:eastAsia="方正仿宋_GBK"/>
          <w:color w:val="000000"/>
          <w:spacing w:val="-2"/>
          <w:sz w:val="24"/>
        </w:rPr>
        <w:t>0.5</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5</w:t>
      </w:r>
      <w:r>
        <w:rPr>
          <w:rFonts w:hint="eastAsia" w:eastAsia="方正仿宋_GBK"/>
          <w:color w:val="000000"/>
          <w:spacing w:val="-2"/>
          <w:sz w:val="24"/>
        </w:rPr>
        <w:t>．在建筑活动中受到行政处罚的，每次扣</w:t>
      </w:r>
      <w:r>
        <w:rPr>
          <w:rFonts w:eastAsia="方正仿宋_GBK"/>
          <w:color w:val="000000"/>
          <w:spacing w:val="-2"/>
          <w:sz w:val="24"/>
        </w:rPr>
        <w:t>3</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hint="eastAsia" w:eastAsia="方正仿宋_GBK"/>
          <w:color w:val="000000"/>
          <w:spacing w:val="-2"/>
          <w:sz w:val="24"/>
        </w:rPr>
        <w:t>（二）发生质量安全事故扣分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．建筑业企业所承建项目发生重大及以上质量安全事故，每一起扣</w:t>
      </w:r>
      <w:r>
        <w:rPr>
          <w:rFonts w:eastAsia="方正仿宋_GBK"/>
          <w:color w:val="000000"/>
          <w:spacing w:val="-2"/>
          <w:sz w:val="24"/>
        </w:rPr>
        <w:t>10</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．建筑业企业所承建项目发生较大质量安全事故，每一起扣</w:t>
      </w:r>
      <w:r>
        <w:rPr>
          <w:rFonts w:eastAsia="方正仿宋_GBK"/>
          <w:color w:val="000000"/>
          <w:spacing w:val="-2"/>
          <w:sz w:val="24"/>
        </w:rPr>
        <w:t>6</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3</w:t>
      </w:r>
      <w:r>
        <w:rPr>
          <w:rFonts w:hint="eastAsia" w:eastAsia="方正仿宋_GBK"/>
          <w:color w:val="000000"/>
          <w:spacing w:val="-2"/>
          <w:sz w:val="24"/>
        </w:rPr>
        <w:t>．建筑业企业所承建项目发生一般质量安全事故，每一起扣</w:t>
      </w:r>
      <w:r>
        <w:rPr>
          <w:rFonts w:eastAsia="方正仿宋_GBK"/>
          <w:color w:val="000000"/>
          <w:spacing w:val="-2"/>
          <w:sz w:val="24"/>
        </w:rPr>
        <w:t>3</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4</w:t>
      </w:r>
      <w:r>
        <w:rPr>
          <w:rFonts w:hint="eastAsia" w:eastAsia="方正仿宋_GBK"/>
          <w:color w:val="000000"/>
          <w:spacing w:val="-2"/>
          <w:sz w:val="24"/>
        </w:rPr>
        <w:t>．建筑业企业所承建项目发生质量安全事故隐瞒不报或者谎报、拖延报告的，每一起扣</w:t>
      </w:r>
      <w:r>
        <w:rPr>
          <w:rFonts w:eastAsia="方正仿宋_GBK"/>
          <w:color w:val="000000"/>
          <w:spacing w:val="-2"/>
          <w:sz w:val="24"/>
        </w:rPr>
        <w:t>5</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hint="eastAsia" w:eastAsia="方正仿宋_GBK"/>
          <w:color w:val="000000"/>
          <w:spacing w:val="-2"/>
          <w:sz w:val="24"/>
        </w:rPr>
        <w:t>（三）被监察、司法部门认定不良行为扣分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．建筑业企业在建筑活动中，被纪检监察机关和司法部门认定有不良记录的，每一起扣</w:t>
      </w:r>
      <w:r>
        <w:rPr>
          <w:rFonts w:eastAsia="方正仿宋_GBK"/>
          <w:color w:val="000000"/>
          <w:spacing w:val="-2"/>
          <w:sz w:val="24"/>
        </w:rPr>
        <w:t>3</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．建筑业企业在建筑活动中，被司法部门认定有行贿、索贿行为的，每一起扣</w:t>
      </w:r>
      <w:r>
        <w:rPr>
          <w:rFonts w:eastAsia="方正仿宋_GBK"/>
          <w:color w:val="000000"/>
          <w:spacing w:val="-2"/>
          <w:sz w:val="24"/>
        </w:rPr>
        <w:t>5</w:t>
      </w:r>
      <w:r>
        <w:rPr>
          <w:rFonts w:hint="eastAsia" w:eastAsia="方正仿宋_GBK"/>
          <w:color w:val="000000"/>
          <w:spacing w:val="-2"/>
          <w:sz w:val="24"/>
        </w:rPr>
        <w:t>分。</w:t>
      </w:r>
    </w:p>
    <w:p>
      <w:pPr>
        <w:adjustRightInd w:val="0"/>
        <w:snapToGrid w:val="0"/>
        <w:spacing w:line="460" w:lineRule="exact"/>
        <w:ind w:firstLine="472" w:firstLineChars="200"/>
        <w:rPr>
          <w:rFonts w:ascii="Times New Roman" w:eastAsia="方正黑体_GBK"/>
          <w:color w:val="000000"/>
          <w:spacing w:val="-2"/>
          <w:kern w:val="0"/>
          <w:sz w:val="24"/>
        </w:rPr>
      </w:pPr>
      <w:r>
        <w:rPr>
          <w:rFonts w:hint="eastAsia" w:ascii="Times New Roman" w:eastAsia="方正黑体_GBK"/>
          <w:color w:val="000000"/>
          <w:spacing w:val="-2"/>
          <w:kern w:val="0"/>
          <w:sz w:val="24"/>
        </w:rPr>
        <w:t>二、市场行为考核中发现以下情况的，根据具体情况予以扣分</w:t>
      </w:r>
    </w:p>
    <w:p>
      <w:pPr>
        <w:adjustRightInd w:val="0"/>
        <w:snapToGrid w:val="0"/>
        <w:spacing w:line="460" w:lineRule="exact"/>
        <w:ind w:firstLine="472" w:firstLineChars="200"/>
        <w:rPr>
          <w:rFonts w:hint="eastAsia"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．建筑业企业涂改、伪造、出借《营业执照》、《建筑企业资质证书》、《安全生产许可证》、</w:t>
      </w:r>
      <w:r>
        <w:rPr>
          <w:rFonts w:eastAsia="方正仿宋_GBK"/>
          <w:color w:val="000000"/>
          <w:spacing w:val="-2"/>
          <w:sz w:val="24"/>
        </w:rPr>
        <w:t>“</w:t>
      </w:r>
      <w:r>
        <w:rPr>
          <w:rFonts w:hint="eastAsia" w:eastAsia="方正仿宋_GBK"/>
          <w:color w:val="000000"/>
          <w:spacing w:val="-2"/>
          <w:sz w:val="24"/>
        </w:rPr>
        <w:t>印章</w:t>
      </w:r>
      <w:r>
        <w:rPr>
          <w:rFonts w:eastAsia="方正仿宋_GBK"/>
          <w:color w:val="000000"/>
          <w:spacing w:val="-2"/>
          <w:sz w:val="24"/>
        </w:rPr>
        <w:t>”</w:t>
      </w:r>
      <w:r>
        <w:rPr>
          <w:rFonts w:hint="eastAsia" w:eastAsia="方正仿宋_GBK"/>
          <w:color w:val="000000"/>
          <w:spacing w:val="-2"/>
          <w:sz w:val="24"/>
        </w:rPr>
        <w:t>以及个人资格证书等相关证件，提供虚假业绩证明、授权证明材料的，每一起扣</w:t>
      </w:r>
      <w:r>
        <w:rPr>
          <w:rFonts w:eastAsia="方正仿宋_GBK"/>
          <w:color w:val="000000"/>
          <w:spacing w:val="-2"/>
          <w:sz w:val="24"/>
        </w:rPr>
        <w:t>3</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．超越本单位资质等级和范围，允许其他单位或个人以本单位名义参加投标活动或承揽工程的，每一起扣</w:t>
      </w:r>
      <w:r>
        <w:rPr>
          <w:rFonts w:eastAsia="方正仿宋_GBK"/>
          <w:color w:val="000000"/>
          <w:spacing w:val="-2"/>
          <w:sz w:val="24"/>
        </w:rPr>
        <w:t>3</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3</w:t>
      </w:r>
      <w:r>
        <w:rPr>
          <w:rFonts w:hint="eastAsia" w:eastAsia="方正仿宋_GBK"/>
          <w:color w:val="000000"/>
          <w:spacing w:val="-2"/>
          <w:sz w:val="24"/>
        </w:rPr>
        <w:t>．建筑业企业未按规定签订合同或与非法人主体签订施工合同即进行施工的，每一项扣</w:t>
      </w:r>
      <w:r>
        <w:rPr>
          <w:rFonts w:eastAsia="方正仿宋_GBK"/>
          <w:color w:val="000000"/>
          <w:spacing w:val="-2"/>
          <w:sz w:val="24"/>
        </w:rPr>
        <w:t>3</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4</w:t>
      </w:r>
      <w:r>
        <w:rPr>
          <w:rFonts w:hint="eastAsia" w:eastAsia="方正仿宋_GBK"/>
          <w:color w:val="000000"/>
          <w:spacing w:val="-2"/>
          <w:sz w:val="24"/>
        </w:rPr>
        <w:t>．施工合同（包括劳务分包）未办理备案（见证）手续的，每一项扣</w:t>
      </w:r>
      <w:r>
        <w:rPr>
          <w:rFonts w:eastAsia="方正仿宋_GBK"/>
          <w:color w:val="000000"/>
          <w:spacing w:val="-2"/>
          <w:sz w:val="24"/>
        </w:rPr>
        <w:t>1</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5</w:t>
      </w:r>
      <w:r>
        <w:rPr>
          <w:rFonts w:hint="eastAsia" w:eastAsia="方正仿宋_GBK"/>
          <w:color w:val="000000"/>
          <w:spacing w:val="-2"/>
          <w:sz w:val="24"/>
        </w:rPr>
        <w:t>．总承包单位将所承包的工程转包或者违法分包的，每一项扣</w:t>
      </w:r>
      <w:r>
        <w:rPr>
          <w:rFonts w:eastAsia="方正仿宋_GBK"/>
          <w:color w:val="000000"/>
          <w:spacing w:val="-2"/>
          <w:sz w:val="24"/>
        </w:rPr>
        <w:t>3</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6</w:t>
      </w:r>
      <w:r>
        <w:rPr>
          <w:rFonts w:hint="eastAsia" w:eastAsia="方正仿宋_GBK"/>
          <w:color w:val="000000"/>
          <w:spacing w:val="-2"/>
          <w:sz w:val="24"/>
        </w:rPr>
        <w:t>．注册建造师（项目经理）专业资格和等级与承接工程不相适应的，每一项扣</w:t>
      </w:r>
      <w:r>
        <w:rPr>
          <w:rFonts w:eastAsia="方正仿宋_GBK"/>
          <w:color w:val="000000"/>
          <w:spacing w:val="-2"/>
          <w:sz w:val="24"/>
        </w:rPr>
        <w:t>2</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7</w:t>
      </w:r>
      <w:r>
        <w:rPr>
          <w:rFonts w:hint="eastAsia" w:eastAsia="方正仿宋_GBK"/>
          <w:color w:val="000000"/>
          <w:spacing w:val="-2"/>
          <w:sz w:val="24"/>
        </w:rPr>
        <w:t>．总承包单位未对工程的分包企业的资质进行审核并报监理审核或手续不全的，每一项扣</w:t>
      </w:r>
      <w:r>
        <w:rPr>
          <w:rFonts w:eastAsia="方正仿宋_GBK"/>
          <w:color w:val="000000"/>
          <w:spacing w:val="-2"/>
          <w:sz w:val="24"/>
        </w:rPr>
        <w:t>1</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8</w:t>
      </w:r>
      <w:r>
        <w:rPr>
          <w:rFonts w:hint="eastAsia" w:eastAsia="方正仿宋_GBK"/>
          <w:color w:val="000000"/>
          <w:spacing w:val="-2"/>
          <w:sz w:val="24"/>
        </w:rPr>
        <w:t>．建筑业企业未按规定及时办理《江苏省建筑业企业信用管理手册》的扣</w:t>
      </w:r>
      <w:r>
        <w:rPr>
          <w:rFonts w:eastAsia="方正仿宋_GBK"/>
          <w:color w:val="000000"/>
          <w:spacing w:val="-2"/>
          <w:sz w:val="24"/>
        </w:rPr>
        <w:t>1</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9</w:t>
      </w:r>
      <w:r>
        <w:rPr>
          <w:rFonts w:hint="eastAsia" w:eastAsia="方正仿宋_GBK"/>
          <w:color w:val="000000"/>
          <w:spacing w:val="-2"/>
          <w:sz w:val="24"/>
        </w:rPr>
        <w:t>．建筑业企业未按要求在规定期限内办理信用信息变更（资质等级及其内容变更，通信方式、人员变更）的，每一项次扣</w:t>
      </w:r>
      <w:r>
        <w:rPr>
          <w:rFonts w:eastAsia="方正仿宋_GBK"/>
          <w:color w:val="000000"/>
          <w:spacing w:val="-2"/>
          <w:sz w:val="24"/>
        </w:rPr>
        <w:t>0.5</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10</w:t>
      </w:r>
      <w:r>
        <w:rPr>
          <w:rFonts w:hint="eastAsia" w:eastAsia="方正仿宋_GBK"/>
          <w:color w:val="000000"/>
          <w:spacing w:val="-2"/>
          <w:sz w:val="24"/>
        </w:rPr>
        <w:t>．建筑业企业未按规定及时上报建筑业统计月报、季报、年报等统计报表的，每一起扣</w:t>
      </w:r>
      <w:r>
        <w:rPr>
          <w:rFonts w:eastAsia="方正仿宋_GBK"/>
          <w:color w:val="000000"/>
          <w:spacing w:val="-2"/>
          <w:sz w:val="24"/>
        </w:rPr>
        <w:t>0.5</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11</w:t>
      </w:r>
      <w:r>
        <w:rPr>
          <w:rFonts w:hint="eastAsia" w:eastAsia="方正仿宋_GBK"/>
          <w:color w:val="000000"/>
          <w:spacing w:val="-2"/>
          <w:sz w:val="24"/>
        </w:rPr>
        <w:t>．建筑业企业未按规定办理或持有有效的《建筑工程承发包计价手册》的，扣</w:t>
      </w:r>
      <w:r>
        <w:rPr>
          <w:rFonts w:eastAsia="方正仿宋_GBK"/>
          <w:color w:val="000000"/>
          <w:spacing w:val="-2"/>
          <w:sz w:val="24"/>
        </w:rPr>
        <w:t>1</w:t>
      </w:r>
      <w:r>
        <w:rPr>
          <w:rFonts w:hint="eastAsia" w:eastAsia="方正仿宋_GBK"/>
          <w:color w:val="000000"/>
          <w:spacing w:val="-2"/>
          <w:sz w:val="24"/>
        </w:rPr>
        <w:t>分，未按规定使用该手册的，每一起扣</w:t>
      </w:r>
      <w:r>
        <w:rPr>
          <w:rFonts w:eastAsia="方正仿宋_GBK"/>
          <w:color w:val="000000"/>
          <w:spacing w:val="-2"/>
          <w:sz w:val="24"/>
        </w:rPr>
        <w:t>0.5</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12</w:t>
      </w:r>
      <w:r>
        <w:rPr>
          <w:rFonts w:hint="eastAsia" w:eastAsia="方正仿宋_GBK"/>
          <w:color w:val="000000"/>
          <w:spacing w:val="-2"/>
          <w:sz w:val="24"/>
        </w:rPr>
        <w:t>．建筑业企业未办理相关手续擅自施工的，扣</w:t>
      </w:r>
      <w:r>
        <w:rPr>
          <w:rFonts w:eastAsia="方正仿宋_GBK"/>
          <w:color w:val="000000"/>
          <w:spacing w:val="-2"/>
          <w:sz w:val="24"/>
        </w:rPr>
        <w:t>5</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b/>
          <w:color w:val="000000"/>
          <w:spacing w:val="-2"/>
          <w:sz w:val="24"/>
        </w:rPr>
      </w:pPr>
      <w:r>
        <w:rPr>
          <w:rFonts w:eastAsia="方正仿宋_GBK"/>
          <w:color w:val="000000"/>
          <w:spacing w:val="-2"/>
          <w:sz w:val="24"/>
        </w:rPr>
        <w:t>13</w:t>
      </w:r>
      <w:r>
        <w:rPr>
          <w:rFonts w:hint="eastAsia" w:eastAsia="方正仿宋_GBK"/>
          <w:color w:val="000000"/>
          <w:spacing w:val="-2"/>
          <w:sz w:val="24"/>
        </w:rPr>
        <w:t>．建筑业企业未按规定缴纳农民工工资保证金的，每一起扣</w:t>
      </w:r>
      <w:r>
        <w:rPr>
          <w:rFonts w:eastAsia="方正仿宋_GBK"/>
          <w:color w:val="000000"/>
          <w:spacing w:val="-2"/>
          <w:sz w:val="24"/>
        </w:rPr>
        <w:t>2</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14</w:t>
      </w:r>
      <w:r>
        <w:rPr>
          <w:rFonts w:hint="eastAsia" w:eastAsia="方正仿宋_GBK"/>
          <w:color w:val="000000"/>
          <w:spacing w:val="-2"/>
          <w:sz w:val="24"/>
        </w:rPr>
        <w:t>．企业施工现场项目部未建立以项目经理为组长、现场负责人、劳务负责人、班组长为成员的农民工工资投诉处理机制的，每一项工程扣</w:t>
      </w:r>
      <w:r>
        <w:rPr>
          <w:rFonts w:eastAsia="方正仿宋_GBK"/>
          <w:color w:val="000000"/>
          <w:spacing w:val="-2"/>
          <w:sz w:val="24"/>
        </w:rPr>
        <w:t>0.5</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15</w:t>
      </w:r>
      <w:r>
        <w:rPr>
          <w:rFonts w:hint="eastAsia" w:eastAsia="方正仿宋_GBK"/>
          <w:color w:val="000000"/>
          <w:spacing w:val="-2"/>
          <w:sz w:val="24"/>
        </w:rPr>
        <w:t>．施工现场未按规定要求实行农民工考勤制度和工资发放清单制度，每一项工程扣</w:t>
      </w:r>
      <w:r>
        <w:rPr>
          <w:rFonts w:eastAsia="方正仿宋_GBK"/>
          <w:color w:val="000000"/>
          <w:spacing w:val="-2"/>
          <w:sz w:val="24"/>
        </w:rPr>
        <w:t>0.5</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hint="eastAsia" w:eastAsia="方正仿宋_GBK"/>
          <w:color w:val="000000"/>
          <w:spacing w:val="-2"/>
          <w:sz w:val="24"/>
        </w:rPr>
        <w:t>施工现场虽按规定要求实行农民工考勤制度和工资发放清单制度，但农民工花名册、考勤表、工资支付表、计酬手册等记录不全，填写不规范，每一工程和每一项次扣</w:t>
      </w:r>
      <w:r>
        <w:rPr>
          <w:rFonts w:eastAsia="方正仿宋_GBK"/>
          <w:color w:val="000000"/>
          <w:spacing w:val="-2"/>
          <w:sz w:val="24"/>
        </w:rPr>
        <w:t>0.2</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16</w:t>
      </w:r>
      <w:r>
        <w:rPr>
          <w:rFonts w:hint="eastAsia" w:eastAsia="方正仿宋_GBK"/>
          <w:color w:val="000000"/>
          <w:spacing w:val="-2"/>
          <w:sz w:val="24"/>
        </w:rPr>
        <w:t>．施工现场未按规定要求在工地现场设置农民工业余学校的，每一项工程扣</w:t>
      </w:r>
      <w:r>
        <w:rPr>
          <w:rFonts w:eastAsia="方正仿宋_GBK"/>
          <w:color w:val="000000"/>
          <w:spacing w:val="-2"/>
          <w:sz w:val="24"/>
        </w:rPr>
        <w:t>0.5</w:t>
      </w:r>
      <w:r>
        <w:rPr>
          <w:rFonts w:hint="eastAsia" w:eastAsia="方正仿宋_GBK"/>
          <w:color w:val="000000"/>
          <w:spacing w:val="-2"/>
          <w:sz w:val="24"/>
        </w:rPr>
        <w:t>分（平行发包和专业分包的企业除外）。</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17</w:t>
      </w:r>
      <w:r>
        <w:rPr>
          <w:rFonts w:hint="eastAsia" w:eastAsia="方正仿宋_GBK"/>
          <w:color w:val="000000"/>
          <w:spacing w:val="-2"/>
          <w:sz w:val="24"/>
        </w:rPr>
        <w:t>．因企业自身原因发生</w:t>
      </w:r>
      <w:r>
        <w:rPr>
          <w:rFonts w:eastAsia="方正仿宋_GBK"/>
          <w:color w:val="000000"/>
          <w:spacing w:val="-2"/>
          <w:sz w:val="24"/>
        </w:rPr>
        <w:t>10</w:t>
      </w:r>
      <w:r>
        <w:rPr>
          <w:rFonts w:hint="eastAsia" w:eastAsia="方正仿宋_GBK"/>
          <w:color w:val="000000"/>
          <w:spacing w:val="-2"/>
          <w:sz w:val="24"/>
        </w:rPr>
        <w:t>人以上农民工到工程所在地建设行政主管部门投诉的，每一起扣</w:t>
      </w:r>
      <w:r>
        <w:rPr>
          <w:rFonts w:eastAsia="方正仿宋_GBK"/>
          <w:color w:val="000000"/>
          <w:spacing w:val="-2"/>
          <w:sz w:val="24"/>
        </w:rPr>
        <w:t>1</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hint="eastAsia" w:eastAsia="方正仿宋_GBK"/>
          <w:color w:val="000000"/>
          <w:spacing w:val="-2"/>
          <w:sz w:val="24"/>
        </w:rPr>
        <w:t>因企业自身原因发生</w:t>
      </w:r>
      <w:r>
        <w:rPr>
          <w:rFonts w:eastAsia="方正仿宋_GBK"/>
          <w:color w:val="000000"/>
          <w:spacing w:val="-2"/>
          <w:sz w:val="24"/>
        </w:rPr>
        <w:t>10</w:t>
      </w:r>
      <w:r>
        <w:rPr>
          <w:rFonts w:hint="eastAsia" w:eastAsia="方正仿宋_GBK"/>
          <w:color w:val="000000"/>
          <w:spacing w:val="-2"/>
          <w:sz w:val="24"/>
        </w:rPr>
        <w:t>人以上农民工到省级以上建设行政主管部门或各级人民政府投诉的，每一起扣</w:t>
      </w:r>
      <w:r>
        <w:rPr>
          <w:rFonts w:eastAsia="方正仿宋_GBK"/>
          <w:color w:val="000000"/>
          <w:spacing w:val="-2"/>
          <w:sz w:val="24"/>
        </w:rPr>
        <w:t>3</w:t>
      </w:r>
      <w:r>
        <w:rPr>
          <w:rFonts w:hint="eastAsia" w:eastAsia="方正仿宋_GBK"/>
          <w:color w:val="000000"/>
          <w:spacing w:val="-2"/>
          <w:sz w:val="24"/>
        </w:rPr>
        <w:t>分。</w:t>
      </w:r>
    </w:p>
    <w:p>
      <w:pPr>
        <w:adjustRightInd w:val="0"/>
        <w:snapToGrid w:val="0"/>
        <w:spacing w:line="460" w:lineRule="exact"/>
        <w:ind w:firstLine="472" w:firstLineChars="200"/>
        <w:rPr>
          <w:rFonts w:ascii="Times New Roman" w:eastAsia="方正黑体_GBK"/>
          <w:color w:val="000000"/>
          <w:spacing w:val="-2"/>
          <w:kern w:val="0"/>
          <w:sz w:val="24"/>
        </w:rPr>
      </w:pPr>
      <w:r>
        <w:rPr>
          <w:rFonts w:hint="eastAsia" w:ascii="Times New Roman" w:eastAsia="方正黑体_GBK"/>
          <w:color w:val="000000"/>
          <w:spacing w:val="-2"/>
          <w:kern w:val="0"/>
          <w:sz w:val="24"/>
        </w:rPr>
        <w:t>三、工程招投标活动考核中发现以下情况的，根据具体情况予以扣分</w:t>
      </w:r>
    </w:p>
    <w:p>
      <w:pPr>
        <w:adjustRightInd w:val="0"/>
        <w:snapToGrid w:val="0"/>
        <w:spacing w:line="460" w:lineRule="exact"/>
        <w:ind w:firstLine="472" w:firstLineChars="200"/>
        <w:rPr>
          <w:rFonts w:hint="eastAsia"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．在投标活动中，经查实存在投标人相互串通投标或者与招标人串通投标的、投标人以向招标人或招标代理机构或评标委员会成员行贿的手段谋取中标的，每一项分别扣</w:t>
      </w:r>
      <w:r>
        <w:rPr>
          <w:rFonts w:eastAsia="方正仿宋_GBK"/>
          <w:color w:val="000000"/>
          <w:spacing w:val="-2"/>
          <w:sz w:val="24"/>
        </w:rPr>
        <w:t>5</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在投标活动中，发现存在不同投标人的投标文件（含电子文档）内容存在非正常一致、不同投标人的投标文件（含电子文档）错漏之处一致、不同投标人的投标报价或者报价组成异常一致或者呈规律性变化、不同投标人的投标文件（含电子文档）由同一单位或者同一个人编制、不同投标人的投标文件载明的项目管理班子成员出现同一人、不同投标人的投标文件（含电子文档）相互混装、不同投标人委托同一人投标、不同投标人聘请同一人为其投标提供技术或者经济咨询服务、不同投标人使用同一人或者企业资金交纳投标保证金等，每一项分别扣</w:t>
      </w:r>
      <w:r>
        <w:rPr>
          <w:rFonts w:eastAsia="方正仿宋_GBK"/>
          <w:color w:val="000000"/>
          <w:spacing w:val="-2"/>
          <w:sz w:val="24"/>
        </w:rPr>
        <w:t>3</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3</w:t>
      </w:r>
      <w:r>
        <w:rPr>
          <w:rFonts w:hint="eastAsia" w:eastAsia="方正仿宋_GBK"/>
          <w:color w:val="000000"/>
          <w:spacing w:val="-2"/>
          <w:sz w:val="24"/>
        </w:rPr>
        <w:t>．在投标活动中，发现存在未按照招标文件的要求提交履约保证金、资格预审合格的投标人无正当理由不购买招标文件或不递交投标文件的、放弃中标项目、中标后不与招标人签订合同、签订合同时更改合同实质性内容要求、项目中标后，未按规定及时进行合同备案的、未按照规定提交中标差额保证金等，每一项分别扣</w:t>
      </w:r>
      <w:r>
        <w:rPr>
          <w:rFonts w:eastAsia="方正仿宋_GBK"/>
          <w:color w:val="000000"/>
          <w:spacing w:val="-2"/>
          <w:sz w:val="24"/>
        </w:rPr>
        <w:t>1</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4</w:t>
      </w:r>
      <w:r>
        <w:rPr>
          <w:rFonts w:hint="eastAsia" w:eastAsia="方正仿宋_GBK"/>
          <w:color w:val="000000"/>
          <w:spacing w:val="-2"/>
          <w:sz w:val="24"/>
        </w:rPr>
        <w:t>．在投标活动中，发现开标时主要人员迟到、招标公告或招标文件中要求的投标单位法定代表人或注册建造师未到场、有关人员未携带第二代身份证等有效身份证明、投标文件中的投标函未加盖投标人的公章及法定代表人印章、投标人名称或组织结构与资格预审时不一致、注册建造师与资格预审时不一致、投标文件载明的招标项目完成期限超过招标文件规定的期限、投标报价超过招标文件规定的最高限价、投标文件未附联合体各方共同投标协议以及法定代表人的委托代理人没有合法、有效的授权委托书（原件）及委托代理人印章等，按</w:t>
      </w:r>
      <w:r>
        <w:rPr>
          <w:rFonts w:eastAsia="方正仿宋_GBK"/>
          <w:color w:val="000000"/>
          <w:spacing w:val="-2"/>
          <w:sz w:val="24"/>
        </w:rPr>
        <w:t>6</w:t>
      </w:r>
      <w:r>
        <w:rPr>
          <w:rFonts w:hint="eastAsia" w:eastAsia="方正仿宋_GBK"/>
          <w:color w:val="000000"/>
          <w:spacing w:val="-2"/>
          <w:sz w:val="24"/>
        </w:rPr>
        <w:t>个月计，上述行为累计满三次扣１分。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5</w:t>
      </w:r>
      <w:r>
        <w:rPr>
          <w:rFonts w:hint="eastAsia" w:eastAsia="方正仿宋_GBK"/>
          <w:color w:val="000000"/>
          <w:spacing w:val="-2"/>
          <w:sz w:val="24"/>
        </w:rPr>
        <w:t>．建筑业企业在工程造价计价活动中弄虚作假，抬价压价的，每一项（次）扣</w:t>
      </w:r>
      <w:r>
        <w:rPr>
          <w:rFonts w:eastAsia="方正仿宋_GBK"/>
          <w:color w:val="000000"/>
          <w:spacing w:val="-2"/>
          <w:sz w:val="24"/>
        </w:rPr>
        <w:t>1</w:t>
      </w:r>
      <w:r>
        <w:rPr>
          <w:rFonts w:hint="eastAsia" w:eastAsia="方正仿宋_GBK"/>
          <w:color w:val="000000"/>
          <w:spacing w:val="-2"/>
          <w:sz w:val="24"/>
        </w:rPr>
        <w:t>分。</w:t>
      </w:r>
    </w:p>
    <w:p>
      <w:pPr>
        <w:adjustRightInd w:val="0"/>
        <w:snapToGrid w:val="0"/>
        <w:spacing w:line="460" w:lineRule="exact"/>
        <w:ind w:firstLine="472" w:firstLineChars="200"/>
        <w:rPr>
          <w:rFonts w:ascii="Times New Roman" w:eastAsia="方正黑体_GBK"/>
          <w:color w:val="000000"/>
          <w:spacing w:val="-2"/>
          <w:kern w:val="0"/>
          <w:sz w:val="24"/>
        </w:rPr>
      </w:pPr>
      <w:r>
        <w:rPr>
          <w:rFonts w:hint="eastAsia" w:ascii="Times New Roman" w:eastAsia="方正黑体_GBK"/>
          <w:color w:val="000000"/>
          <w:spacing w:val="-2"/>
          <w:kern w:val="0"/>
          <w:sz w:val="24"/>
        </w:rPr>
        <w:t>四、主要责任人员到岗履责考核中发现以下情况的，根据具体情况予以扣分</w:t>
      </w:r>
    </w:p>
    <w:p>
      <w:pPr>
        <w:adjustRightInd w:val="0"/>
        <w:snapToGrid w:val="0"/>
        <w:spacing w:line="460" w:lineRule="exact"/>
        <w:ind w:firstLine="472" w:firstLineChars="200"/>
        <w:rPr>
          <w:rFonts w:hint="eastAsia"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．建筑业企业未按建设部规定，企业负责人（法定代表人、总经理、主管质量安全和生产工作的副总经理、总工程师和副总工程师）定期带班检查，按月统计每月检查时间不少于其工作日的</w:t>
      </w:r>
      <w:r>
        <w:rPr>
          <w:rFonts w:eastAsia="方正仿宋_GBK"/>
          <w:color w:val="000000"/>
          <w:spacing w:val="-2"/>
          <w:sz w:val="24"/>
        </w:rPr>
        <w:t>25%</w:t>
      </w:r>
      <w:r>
        <w:rPr>
          <w:rFonts w:hint="eastAsia" w:eastAsia="方正仿宋_GBK"/>
          <w:color w:val="000000"/>
          <w:spacing w:val="-2"/>
          <w:sz w:val="24"/>
        </w:rPr>
        <w:t>的，每月扣</w:t>
      </w:r>
      <w:r>
        <w:rPr>
          <w:rFonts w:eastAsia="方正仿宋_GBK"/>
          <w:color w:val="000000"/>
          <w:spacing w:val="-2"/>
          <w:sz w:val="24"/>
        </w:rPr>
        <w:t>0.5</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．建筑业企业未按建设部规定，工程项目进行超过一定规模的危险性较大的分部分项工程施工时，建筑施工企业负责人未到施工现场进行带班检查的，每次扣</w:t>
      </w:r>
      <w:r>
        <w:rPr>
          <w:rFonts w:eastAsia="方正仿宋_GBK"/>
          <w:color w:val="000000"/>
          <w:spacing w:val="-2"/>
          <w:sz w:val="24"/>
        </w:rPr>
        <w:t>1</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hint="eastAsia" w:eastAsia="方正仿宋_GBK"/>
          <w:color w:val="000000"/>
          <w:spacing w:val="-2"/>
          <w:sz w:val="24"/>
        </w:rPr>
        <w:t>对于有分公司（非独立法人）的企业集团，集团负责人因故不能到现场的，可书面委托工程所在地的分公司负责人对施工现场进行带班检查。</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3</w:t>
      </w:r>
      <w:r>
        <w:rPr>
          <w:rFonts w:hint="eastAsia" w:eastAsia="方正仿宋_GBK"/>
          <w:color w:val="000000"/>
          <w:spacing w:val="-2"/>
          <w:sz w:val="24"/>
        </w:rPr>
        <w:t>．建筑业企业未按建设部规定，中标的和专业承包合同中明确的注册建造师（项目经理）在岗时间按月统计达不到</w:t>
      </w:r>
      <w:r>
        <w:rPr>
          <w:rFonts w:eastAsia="方正仿宋_GBK"/>
          <w:color w:val="000000"/>
          <w:spacing w:val="-2"/>
          <w:sz w:val="24"/>
        </w:rPr>
        <w:t>80%</w:t>
      </w:r>
      <w:r>
        <w:rPr>
          <w:rFonts w:hint="eastAsia" w:eastAsia="方正仿宋_GBK"/>
          <w:color w:val="000000"/>
          <w:spacing w:val="-2"/>
          <w:sz w:val="24"/>
        </w:rPr>
        <w:t>的，每一次月扣</w:t>
      </w:r>
      <w:r>
        <w:rPr>
          <w:rFonts w:eastAsia="方正仿宋_GBK"/>
          <w:color w:val="000000"/>
          <w:spacing w:val="-2"/>
          <w:sz w:val="24"/>
        </w:rPr>
        <w:t>2</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4</w:t>
      </w:r>
      <w:r>
        <w:rPr>
          <w:rFonts w:hint="eastAsia" w:eastAsia="方正仿宋_GBK"/>
          <w:color w:val="000000"/>
          <w:spacing w:val="-2"/>
          <w:sz w:val="24"/>
        </w:rPr>
        <w:t>．施工现场项目部主要管理制度不明确（未上墙），每一项目缺一项（员）扣</w:t>
      </w:r>
      <w:r>
        <w:rPr>
          <w:rFonts w:eastAsia="方正仿宋_GBK"/>
          <w:color w:val="000000"/>
          <w:spacing w:val="-2"/>
          <w:sz w:val="24"/>
        </w:rPr>
        <w:t>0.5</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5</w:t>
      </w:r>
      <w:r>
        <w:rPr>
          <w:rFonts w:hint="eastAsia" w:eastAsia="方正仿宋_GBK"/>
          <w:color w:val="000000"/>
          <w:spacing w:val="-2"/>
          <w:sz w:val="24"/>
        </w:rPr>
        <w:t>．建筑业企业未按规定建立施工现场项目部组织机构管理班子的，每一项工程扣</w:t>
      </w:r>
      <w:r>
        <w:rPr>
          <w:rFonts w:eastAsia="方正仿宋_GBK"/>
          <w:color w:val="000000"/>
          <w:spacing w:val="-2"/>
          <w:sz w:val="24"/>
        </w:rPr>
        <w:t>0.5</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hint="eastAsia" w:eastAsia="方正仿宋_GBK"/>
          <w:color w:val="000000"/>
          <w:spacing w:val="-2"/>
          <w:sz w:val="24"/>
        </w:rPr>
        <w:t>现场项目部虽有组织机构管理班子，但未能涵盖质量、安全、文明、环保、农民工管理等方面内容的，每一项工程每一项次扣</w:t>
      </w:r>
      <w:r>
        <w:rPr>
          <w:rFonts w:eastAsia="方正仿宋_GBK"/>
          <w:color w:val="000000"/>
          <w:spacing w:val="-2"/>
          <w:sz w:val="24"/>
        </w:rPr>
        <w:t>0.5</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6</w:t>
      </w:r>
      <w:r>
        <w:rPr>
          <w:rFonts w:hint="eastAsia" w:eastAsia="方正仿宋_GBK"/>
          <w:color w:val="000000"/>
          <w:spacing w:val="-2"/>
          <w:sz w:val="24"/>
        </w:rPr>
        <w:t>．现场项目部未按规定配备施工员、技术员、质量员、安全员等管理人员，每一项目缺一项（员）扣</w:t>
      </w:r>
      <w:r>
        <w:rPr>
          <w:rFonts w:eastAsia="方正仿宋_GBK"/>
          <w:color w:val="000000"/>
          <w:spacing w:val="-2"/>
          <w:sz w:val="24"/>
        </w:rPr>
        <w:t>0.5</w:t>
      </w:r>
      <w:r>
        <w:rPr>
          <w:rFonts w:hint="eastAsia" w:eastAsia="方正仿宋_GBK"/>
          <w:color w:val="000000"/>
          <w:spacing w:val="-2"/>
          <w:sz w:val="24"/>
        </w:rPr>
        <w:t>分。现场项目部虽按规定配备施工员、技术员、质量员、安全员等管理人员，但未按规定上岗，每一项目缺一项（员）扣</w:t>
      </w:r>
      <w:r>
        <w:rPr>
          <w:rFonts w:eastAsia="方正仿宋_GBK"/>
          <w:color w:val="000000"/>
          <w:spacing w:val="-2"/>
          <w:sz w:val="24"/>
        </w:rPr>
        <w:t>0.5</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7</w:t>
      </w:r>
      <w:r>
        <w:rPr>
          <w:rFonts w:hint="eastAsia" w:eastAsia="方正仿宋_GBK"/>
          <w:color w:val="000000"/>
          <w:spacing w:val="-2"/>
          <w:sz w:val="24"/>
        </w:rPr>
        <w:t>．施工现场的特种作业人员未按照规定实行持有效证件持证上岗的，每一项目缺一项（员）扣</w:t>
      </w:r>
      <w:r>
        <w:rPr>
          <w:rFonts w:eastAsia="方正仿宋_GBK"/>
          <w:color w:val="000000"/>
          <w:spacing w:val="-2"/>
          <w:sz w:val="24"/>
        </w:rPr>
        <w:t>0.5</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8</w:t>
      </w:r>
      <w:r>
        <w:rPr>
          <w:rFonts w:hint="eastAsia" w:eastAsia="方正仿宋_GBK"/>
          <w:color w:val="000000"/>
          <w:spacing w:val="-2"/>
          <w:sz w:val="24"/>
        </w:rPr>
        <w:t>．建筑业企业未按有关要求及时上报人工工资单价的，扣</w:t>
      </w:r>
      <w:r>
        <w:rPr>
          <w:rFonts w:eastAsia="方正仿宋_GBK"/>
          <w:color w:val="000000"/>
          <w:spacing w:val="-2"/>
          <w:sz w:val="24"/>
        </w:rPr>
        <w:t>1</w:t>
      </w:r>
      <w:r>
        <w:rPr>
          <w:rFonts w:hint="eastAsia" w:eastAsia="方正仿宋_GBK"/>
          <w:color w:val="000000"/>
          <w:spacing w:val="-2"/>
          <w:sz w:val="24"/>
        </w:rPr>
        <w:t>分，无本单位注册且资格证书有效的造价专业人员或造价从业人员未按规定参加继续教育的，缺一员扣</w:t>
      </w:r>
      <w:r>
        <w:rPr>
          <w:rFonts w:eastAsia="方正仿宋_GBK"/>
          <w:color w:val="000000"/>
          <w:spacing w:val="-2"/>
          <w:sz w:val="24"/>
        </w:rPr>
        <w:t>0.5</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9</w:t>
      </w:r>
      <w:r>
        <w:rPr>
          <w:rFonts w:hint="eastAsia" w:eastAsia="方正仿宋_GBK"/>
          <w:color w:val="000000"/>
          <w:spacing w:val="-2"/>
          <w:sz w:val="24"/>
        </w:rPr>
        <w:t>．工程造价成果文件上使用非本企业（项目）执业人员的执业印章的，每一项（次）扣</w:t>
      </w:r>
      <w:r>
        <w:rPr>
          <w:rFonts w:eastAsia="方正仿宋_GBK"/>
          <w:color w:val="000000"/>
          <w:spacing w:val="-2"/>
          <w:sz w:val="24"/>
        </w:rPr>
        <w:t>0.5</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10</w:t>
      </w:r>
      <w:r>
        <w:rPr>
          <w:rFonts w:hint="eastAsia" w:eastAsia="方正仿宋_GBK"/>
          <w:color w:val="000000"/>
          <w:spacing w:val="-2"/>
          <w:sz w:val="24"/>
        </w:rPr>
        <w:t>．建筑业企业出借、借用外企业造价从业人员证章的，每一项（次）扣</w:t>
      </w:r>
      <w:r>
        <w:rPr>
          <w:rFonts w:eastAsia="方正仿宋_GBK"/>
          <w:color w:val="000000"/>
          <w:spacing w:val="-2"/>
          <w:sz w:val="24"/>
        </w:rPr>
        <w:t>1</w:t>
      </w:r>
      <w:r>
        <w:rPr>
          <w:rFonts w:hint="eastAsia" w:eastAsia="方正仿宋_GBK"/>
          <w:color w:val="000000"/>
          <w:spacing w:val="-2"/>
          <w:sz w:val="24"/>
        </w:rPr>
        <w:t>分。</w:t>
      </w:r>
    </w:p>
    <w:p>
      <w:pPr>
        <w:adjustRightInd w:val="0"/>
        <w:snapToGrid w:val="0"/>
        <w:spacing w:line="460" w:lineRule="exact"/>
        <w:ind w:firstLine="472" w:firstLineChars="200"/>
        <w:rPr>
          <w:rFonts w:ascii="Times New Roman" w:eastAsia="方正黑体_GBK"/>
          <w:color w:val="000000"/>
          <w:spacing w:val="-2"/>
          <w:kern w:val="0"/>
          <w:sz w:val="24"/>
        </w:rPr>
      </w:pPr>
      <w:r>
        <w:rPr>
          <w:rFonts w:hint="eastAsia" w:ascii="Times New Roman" w:eastAsia="方正黑体_GBK"/>
          <w:color w:val="000000"/>
          <w:spacing w:val="-2"/>
          <w:kern w:val="0"/>
          <w:sz w:val="24"/>
        </w:rPr>
        <w:t>五、工程质量监督管理考核中发现以下情况的，根据具体情况予以扣分</w:t>
      </w:r>
    </w:p>
    <w:p>
      <w:pPr>
        <w:adjustRightInd w:val="0"/>
        <w:snapToGrid w:val="0"/>
        <w:spacing w:line="460" w:lineRule="exact"/>
        <w:ind w:firstLine="472" w:firstLineChars="200"/>
        <w:rPr>
          <w:rFonts w:hint="eastAsia" w:eastAsia="方正仿宋_GBK"/>
          <w:color w:val="000000"/>
          <w:spacing w:val="-2"/>
          <w:kern w:val="0"/>
          <w:sz w:val="24"/>
        </w:rPr>
      </w:pPr>
      <w:r>
        <w:rPr>
          <w:rFonts w:eastAsia="方正仿宋_GBK"/>
          <w:color w:val="000000"/>
          <w:spacing w:val="-2"/>
          <w:kern w:val="0"/>
          <w:sz w:val="24"/>
        </w:rPr>
        <w:t>1</w:t>
      </w:r>
      <w:r>
        <w:rPr>
          <w:rFonts w:hint="eastAsia" w:eastAsia="方正仿宋_GBK"/>
          <w:color w:val="000000"/>
          <w:spacing w:val="-2"/>
          <w:kern w:val="0"/>
          <w:sz w:val="24"/>
        </w:rPr>
        <w:t>．建筑业企业</w:t>
      </w:r>
      <w:r>
        <w:rPr>
          <w:rFonts w:hint="eastAsia" w:eastAsia="方正仿宋_GBK"/>
          <w:color w:val="000000"/>
          <w:spacing w:val="-2"/>
          <w:sz w:val="24"/>
        </w:rPr>
        <w:t>未建立质保体系或质保体系不健全，未能有效落实质量责任，发现存在施工组织方案审批手续不完备（未经企业内部和监理单位审核）即进行施工、工序检验或隐蔽验收手续不完备即进入下道工序施工，每一项次扣</w:t>
      </w:r>
      <w:r>
        <w:rPr>
          <w:rFonts w:eastAsia="方正仿宋_GBK"/>
          <w:color w:val="000000"/>
          <w:spacing w:val="-2"/>
          <w:sz w:val="24"/>
        </w:rPr>
        <w:t>0.5</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．施工现场发现存在未按经施工图审查机构审查合格的施工图或施工技术标准施工的，每一项次扣</w:t>
      </w:r>
      <w:r>
        <w:rPr>
          <w:rFonts w:eastAsia="方正仿宋_GBK"/>
          <w:color w:val="000000"/>
          <w:spacing w:val="-2"/>
          <w:sz w:val="24"/>
        </w:rPr>
        <w:t>2</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3</w:t>
      </w:r>
      <w:r>
        <w:rPr>
          <w:rFonts w:hint="eastAsia" w:eastAsia="方正仿宋_GBK"/>
          <w:color w:val="000000"/>
          <w:spacing w:val="-2"/>
          <w:sz w:val="24"/>
        </w:rPr>
        <w:t>．施工现场发现存在未对钢筋、保温材料、防水材料、防火材料以及其他按规定必须经现场见证取样检测合格方能使用的建筑材料、建筑构配件、设备进行检验，每一项次扣</w:t>
      </w:r>
      <w:r>
        <w:rPr>
          <w:rFonts w:eastAsia="方正仿宋_GBK"/>
          <w:color w:val="000000"/>
          <w:spacing w:val="-2"/>
          <w:sz w:val="24"/>
        </w:rPr>
        <w:t>1</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kern w:val="0"/>
          <w:sz w:val="24"/>
        </w:rPr>
      </w:pPr>
      <w:r>
        <w:rPr>
          <w:rFonts w:hint="eastAsia" w:eastAsia="方正仿宋_GBK"/>
          <w:color w:val="000000"/>
          <w:spacing w:val="-2"/>
          <w:sz w:val="24"/>
        </w:rPr>
        <w:t>对发现检验不合格，仍然擅自使用的，每一项次扣</w:t>
      </w:r>
      <w:r>
        <w:rPr>
          <w:rFonts w:eastAsia="方正仿宋_GBK"/>
          <w:color w:val="000000"/>
          <w:spacing w:val="-2"/>
          <w:sz w:val="24"/>
        </w:rPr>
        <w:t>2</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4</w:t>
      </w:r>
      <w:r>
        <w:rPr>
          <w:rFonts w:hint="eastAsia" w:eastAsia="方正仿宋_GBK"/>
          <w:color w:val="000000"/>
          <w:spacing w:val="-2"/>
          <w:sz w:val="24"/>
        </w:rPr>
        <w:t>．施工现场发现存在未按规定对涉及结构安全的试块、试件以及有关材料进行见证现场取样，送交工程质量检测机构进行检测的，每一项次扣</w:t>
      </w:r>
      <w:r>
        <w:rPr>
          <w:rFonts w:eastAsia="方正仿宋_GBK"/>
          <w:color w:val="000000"/>
          <w:spacing w:val="-2"/>
          <w:sz w:val="24"/>
        </w:rPr>
        <w:t>1</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kern w:val="0"/>
          <w:sz w:val="24"/>
        </w:rPr>
      </w:pPr>
      <w:r>
        <w:rPr>
          <w:rFonts w:eastAsia="方正仿宋_GBK"/>
          <w:color w:val="000000"/>
          <w:spacing w:val="-2"/>
          <w:sz w:val="24"/>
        </w:rPr>
        <w:t>5</w:t>
      </w:r>
      <w:r>
        <w:rPr>
          <w:rFonts w:hint="eastAsia" w:eastAsia="方正仿宋_GBK"/>
          <w:color w:val="000000"/>
          <w:spacing w:val="-2"/>
          <w:sz w:val="24"/>
        </w:rPr>
        <w:t>．施工现场发现存在未按建筑节能设计进行施工的，每一项次扣</w:t>
      </w:r>
      <w:r>
        <w:rPr>
          <w:rFonts w:eastAsia="方正仿宋_GBK"/>
          <w:color w:val="000000"/>
          <w:spacing w:val="-2"/>
          <w:sz w:val="24"/>
        </w:rPr>
        <w:t>1</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kern w:val="0"/>
          <w:sz w:val="24"/>
        </w:rPr>
      </w:pPr>
      <w:r>
        <w:rPr>
          <w:rFonts w:eastAsia="方正仿宋_GBK"/>
          <w:color w:val="000000"/>
          <w:spacing w:val="-2"/>
          <w:kern w:val="0"/>
          <w:sz w:val="24"/>
        </w:rPr>
        <w:t>6</w:t>
      </w:r>
      <w:r>
        <w:rPr>
          <w:rFonts w:hint="eastAsia" w:eastAsia="方正仿宋_GBK"/>
          <w:color w:val="000000"/>
          <w:spacing w:val="-2"/>
          <w:kern w:val="0"/>
          <w:sz w:val="24"/>
        </w:rPr>
        <w:t>．</w:t>
      </w:r>
      <w:r>
        <w:rPr>
          <w:rFonts w:hint="eastAsia" w:eastAsia="方正仿宋_GBK"/>
          <w:color w:val="000000"/>
          <w:spacing w:val="-2"/>
          <w:sz w:val="24"/>
        </w:rPr>
        <w:t>施工过程中有违反工程建设标准强制性条文的，每一项次扣</w:t>
      </w:r>
      <w:r>
        <w:rPr>
          <w:rFonts w:eastAsia="方正仿宋_GBK"/>
          <w:color w:val="000000"/>
          <w:spacing w:val="-2"/>
          <w:sz w:val="24"/>
        </w:rPr>
        <w:t>1</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kern w:val="0"/>
          <w:sz w:val="24"/>
        </w:rPr>
        <w:t>7</w:t>
      </w:r>
      <w:r>
        <w:rPr>
          <w:rFonts w:hint="eastAsia" w:eastAsia="方正仿宋_GBK"/>
          <w:color w:val="000000"/>
          <w:spacing w:val="-2"/>
          <w:kern w:val="0"/>
          <w:sz w:val="24"/>
        </w:rPr>
        <w:t>．</w:t>
      </w:r>
      <w:r>
        <w:rPr>
          <w:rFonts w:hint="eastAsia" w:eastAsia="方正仿宋_GBK"/>
          <w:color w:val="000000"/>
          <w:spacing w:val="-2"/>
          <w:sz w:val="24"/>
        </w:rPr>
        <w:t>施工过程中，对监理单位或质量监督机构发出的整改意见未能在规定时间内完成的，每一次扣</w:t>
      </w:r>
      <w:r>
        <w:rPr>
          <w:rFonts w:eastAsia="方正仿宋_GBK"/>
          <w:color w:val="000000"/>
          <w:spacing w:val="-2"/>
          <w:sz w:val="24"/>
        </w:rPr>
        <w:t>0.5</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8</w:t>
      </w:r>
      <w:r>
        <w:rPr>
          <w:rFonts w:hint="eastAsia" w:eastAsia="方正仿宋_GBK"/>
          <w:color w:val="000000"/>
          <w:spacing w:val="-2"/>
          <w:sz w:val="24"/>
        </w:rPr>
        <w:t>．施工过程中</w:t>
      </w:r>
      <w:r>
        <w:rPr>
          <w:rFonts w:hint="eastAsia" w:eastAsia="方正仿宋_GBK"/>
          <w:b/>
          <w:color w:val="000000"/>
          <w:spacing w:val="-2"/>
          <w:sz w:val="24"/>
        </w:rPr>
        <w:t>，</w:t>
      </w:r>
      <w:r>
        <w:rPr>
          <w:rFonts w:hint="eastAsia" w:eastAsia="方正仿宋_GBK"/>
          <w:color w:val="000000"/>
          <w:spacing w:val="-2"/>
          <w:sz w:val="24"/>
        </w:rPr>
        <w:t>因工程质量存在严重施工过程隐患被责令局部停工的，每一次扣</w:t>
      </w:r>
      <w:r>
        <w:rPr>
          <w:rFonts w:eastAsia="方正仿宋_GBK"/>
          <w:color w:val="000000"/>
          <w:spacing w:val="-2"/>
          <w:sz w:val="24"/>
        </w:rPr>
        <w:t>3</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b/>
          <w:color w:val="000000"/>
          <w:spacing w:val="-2"/>
          <w:kern w:val="0"/>
          <w:sz w:val="24"/>
        </w:rPr>
      </w:pPr>
      <w:r>
        <w:rPr>
          <w:rFonts w:eastAsia="方正仿宋_GBK"/>
          <w:color w:val="000000"/>
          <w:spacing w:val="-2"/>
          <w:sz w:val="24"/>
        </w:rPr>
        <w:t>9</w:t>
      </w:r>
      <w:r>
        <w:rPr>
          <w:rFonts w:hint="eastAsia" w:eastAsia="方正仿宋_GBK"/>
          <w:color w:val="000000"/>
          <w:spacing w:val="-2"/>
          <w:sz w:val="24"/>
        </w:rPr>
        <w:t>．工程竣工验收后，不履行保修义务，或者拖延履行保修义务，或工程所在地的质量监督机构收到该工程质量投诉的，每一次扣</w:t>
      </w:r>
      <w:r>
        <w:rPr>
          <w:rFonts w:eastAsia="方正仿宋_GBK"/>
          <w:color w:val="000000"/>
          <w:spacing w:val="-2"/>
          <w:sz w:val="24"/>
        </w:rPr>
        <w:t>2</w:t>
      </w:r>
      <w:r>
        <w:rPr>
          <w:rFonts w:hint="eastAsia" w:eastAsia="方正仿宋_GBK"/>
          <w:color w:val="000000"/>
          <w:spacing w:val="-2"/>
          <w:sz w:val="24"/>
        </w:rPr>
        <w:t>分。</w:t>
      </w:r>
    </w:p>
    <w:p>
      <w:pPr>
        <w:adjustRightInd w:val="0"/>
        <w:snapToGrid w:val="0"/>
        <w:spacing w:line="460" w:lineRule="exact"/>
        <w:ind w:firstLine="472" w:firstLineChars="200"/>
        <w:rPr>
          <w:rFonts w:ascii="Times New Roman" w:eastAsia="方正黑体_GBK"/>
          <w:color w:val="000000"/>
          <w:spacing w:val="-2"/>
          <w:kern w:val="0"/>
          <w:sz w:val="24"/>
        </w:rPr>
      </w:pPr>
      <w:r>
        <w:rPr>
          <w:rFonts w:hint="eastAsia" w:ascii="Times New Roman" w:eastAsia="方正黑体_GBK"/>
          <w:color w:val="000000"/>
          <w:spacing w:val="-2"/>
          <w:kern w:val="0"/>
          <w:sz w:val="24"/>
        </w:rPr>
        <w:t>六、施工安全监督管理考核中发现以下情况的，根据具体情况予以扣分</w:t>
      </w:r>
    </w:p>
    <w:p>
      <w:pPr>
        <w:adjustRightInd w:val="0"/>
        <w:snapToGrid w:val="0"/>
        <w:spacing w:line="460" w:lineRule="exact"/>
        <w:ind w:firstLine="472" w:firstLineChars="200"/>
        <w:rPr>
          <w:rFonts w:hint="eastAsia" w:eastAsia="方正仿宋_GBK"/>
          <w:color w:val="000000"/>
          <w:spacing w:val="-2"/>
          <w:sz w:val="24"/>
        </w:rPr>
      </w:pPr>
      <w:r>
        <w:rPr>
          <w:rFonts w:eastAsia="方正仿宋_GBK"/>
          <w:color w:val="000000"/>
          <w:spacing w:val="-2"/>
          <w:kern w:val="0"/>
          <w:sz w:val="24"/>
        </w:rPr>
        <w:t>1</w:t>
      </w:r>
      <w:r>
        <w:rPr>
          <w:rFonts w:hint="eastAsia" w:eastAsia="方正仿宋_GBK"/>
          <w:color w:val="000000"/>
          <w:spacing w:val="-2"/>
          <w:kern w:val="0"/>
          <w:sz w:val="24"/>
        </w:rPr>
        <w:t>．</w:t>
      </w:r>
      <w:r>
        <w:rPr>
          <w:rFonts w:hint="eastAsia" w:eastAsia="方正仿宋_GBK"/>
          <w:color w:val="000000"/>
          <w:spacing w:val="-2"/>
          <w:sz w:val="24"/>
        </w:rPr>
        <w:t>建筑业企业降低安全生产条件，未能有效执行安全生产制度和履行各级安全生产职责的，未能按规定逐级签订安全生产责任书和安全生产目标考核的，未按规定设置安全管理机构、配备专职安全管理人员的，未按规定对所承接的工程项目进行安全生产检查、交底和验收的，每一项（次）扣</w:t>
      </w:r>
      <w:r>
        <w:rPr>
          <w:rFonts w:eastAsia="方正仿宋_GBK"/>
          <w:color w:val="000000"/>
          <w:spacing w:val="-2"/>
          <w:sz w:val="24"/>
        </w:rPr>
        <w:t>0.5</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．在施工过程中，因发现存在同一类安全隐患</w:t>
      </w:r>
      <w:r>
        <w:rPr>
          <w:rFonts w:eastAsia="方正仿宋_GBK"/>
          <w:color w:val="000000"/>
          <w:spacing w:val="-2"/>
          <w:sz w:val="24"/>
        </w:rPr>
        <w:t>2</w:t>
      </w:r>
      <w:r>
        <w:rPr>
          <w:rFonts w:hint="eastAsia" w:eastAsia="方正仿宋_GBK"/>
          <w:color w:val="000000"/>
          <w:spacing w:val="-2"/>
          <w:sz w:val="24"/>
        </w:rPr>
        <w:t>次及以上要求整改的，每一项、每一次扣</w:t>
      </w:r>
      <w:r>
        <w:rPr>
          <w:rFonts w:eastAsia="方正仿宋_GBK"/>
          <w:color w:val="000000"/>
          <w:spacing w:val="-2"/>
          <w:sz w:val="24"/>
        </w:rPr>
        <w:t>1</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3</w:t>
      </w:r>
      <w:r>
        <w:rPr>
          <w:rFonts w:hint="eastAsia" w:eastAsia="方正仿宋_GBK"/>
          <w:color w:val="000000"/>
          <w:spacing w:val="-2"/>
          <w:sz w:val="24"/>
        </w:rPr>
        <w:t>．施工现场发现建筑起重机械未按规定办理产权登记即投入使用的或已办理拆卸注销告知仍使用的，每一台次扣</w:t>
      </w:r>
      <w:r>
        <w:rPr>
          <w:rFonts w:eastAsia="方正仿宋_GBK"/>
          <w:color w:val="000000"/>
          <w:spacing w:val="-2"/>
          <w:sz w:val="24"/>
        </w:rPr>
        <w:t>3</w:t>
      </w:r>
      <w:r>
        <w:rPr>
          <w:rFonts w:hint="eastAsia" w:eastAsia="方正仿宋_GBK"/>
          <w:color w:val="000000"/>
          <w:spacing w:val="-2"/>
          <w:sz w:val="24"/>
        </w:rPr>
        <w:t>分。发现重大安全隐患被暂停使用的，每次扣</w:t>
      </w:r>
      <w:r>
        <w:rPr>
          <w:rFonts w:eastAsia="方正仿宋_GBK"/>
          <w:color w:val="000000"/>
          <w:spacing w:val="-2"/>
          <w:sz w:val="24"/>
        </w:rPr>
        <w:t>3</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4</w:t>
      </w:r>
      <w:r>
        <w:rPr>
          <w:rFonts w:hint="eastAsia" w:eastAsia="方正仿宋_GBK"/>
          <w:color w:val="000000"/>
          <w:spacing w:val="-2"/>
          <w:sz w:val="24"/>
        </w:rPr>
        <w:t>．施工过程中，对监理单位发出停工整改意见拒绝执行的，每次扣</w:t>
      </w:r>
      <w:r>
        <w:rPr>
          <w:rFonts w:eastAsia="方正仿宋_GBK"/>
          <w:color w:val="000000"/>
          <w:spacing w:val="-2"/>
          <w:sz w:val="24"/>
        </w:rPr>
        <w:t>1</w:t>
      </w:r>
      <w:r>
        <w:rPr>
          <w:rFonts w:hint="eastAsia" w:eastAsia="方正仿宋_GBK"/>
          <w:color w:val="000000"/>
          <w:spacing w:val="-2"/>
          <w:sz w:val="24"/>
        </w:rPr>
        <w:t>分。安全监督机构发出的整改意见未能在规定时间内完成的，每一次扣</w:t>
      </w:r>
      <w:r>
        <w:rPr>
          <w:rFonts w:eastAsia="方正仿宋_GBK"/>
          <w:color w:val="000000"/>
          <w:spacing w:val="-2"/>
          <w:sz w:val="24"/>
        </w:rPr>
        <w:t>1</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5</w:t>
      </w:r>
      <w:r>
        <w:rPr>
          <w:rFonts w:hint="eastAsia" w:eastAsia="方正仿宋_GBK"/>
          <w:color w:val="000000"/>
          <w:spacing w:val="-2"/>
          <w:sz w:val="24"/>
        </w:rPr>
        <w:t>．建筑业企业和施工现场项目部未按建设部《危险性较大的分部分项工程</w:t>
      </w:r>
      <w:r>
        <w:fldChar w:fldCharType="begin"/>
      </w:r>
      <w:r>
        <w:instrText xml:space="preserve"> HYPERLINK "http://zhidao.baidu.com/search?word=%E5%AE%89%E5%85%A8%E7%AE%A1%E7%90%86&amp;fr=qb_search_exp&amp;ie=utf8" \t "_blank" </w:instrText>
      </w:r>
      <w:r>
        <w:fldChar w:fldCharType="separate"/>
      </w:r>
      <w:r>
        <w:rPr>
          <w:rStyle w:val="16"/>
          <w:rFonts w:hint="eastAsia" w:eastAsia="方正仿宋_GBK"/>
          <w:spacing w:val="-2"/>
          <w:sz w:val="24"/>
        </w:rPr>
        <w:t>安全管理</w:t>
      </w:r>
      <w:r>
        <w:fldChar w:fldCharType="end"/>
      </w:r>
      <w:r>
        <w:rPr>
          <w:rFonts w:hint="eastAsia" w:eastAsia="方正仿宋_GBK"/>
          <w:color w:val="000000"/>
          <w:spacing w:val="-2"/>
          <w:sz w:val="24"/>
        </w:rPr>
        <w:t>办法的通知》（建质〔</w:t>
      </w:r>
      <w:r>
        <w:rPr>
          <w:rFonts w:eastAsia="方正仿宋_GBK"/>
          <w:color w:val="000000"/>
          <w:spacing w:val="-2"/>
          <w:sz w:val="24"/>
        </w:rPr>
        <w:t>2009</w:t>
      </w:r>
      <w:r>
        <w:rPr>
          <w:rFonts w:hint="eastAsia" w:eastAsia="方正仿宋_GBK"/>
          <w:color w:val="000000"/>
          <w:spacing w:val="-2"/>
          <w:sz w:val="24"/>
        </w:rPr>
        <w:t>〕</w:t>
      </w:r>
      <w:r>
        <w:rPr>
          <w:rFonts w:eastAsia="方正仿宋_GBK"/>
          <w:color w:val="000000"/>
          <w:spacing w:val="-2"/>
          <w:sz w:val="24"/>
        </w:rPr>
        <w:t>87</w:t>
      </w:r>
      <w:r>
        <w:rPr>
          <w:rFonts w:hint="eastAsia" w:eastAsia="方正仿宋_GBK"/>
          <w:color w:val="000000"/>
          <w:spacing w:val="-2"/>
          <w:sz w:val="24"/>
        </w:rPr>
        <w:t>号）的要求对危险性较大的分部项工程实施有效安全管理的，存在重大安全隐患，被责令局部停工整改的，每一项每一次扣</w:t>
      </w:r>
      <w:r>
        <w:rPr>
          <w:rFonts w:eastAsia="方正仿宋_GBK"/>
          <w:color w:val="000000"/>
          <w:spacing w:val="-2"/>
          <w:sz w:val="24"/>
        </w:rPr>
        <w:t>3</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6</w:t>
      </w:r>
      <w:r>
        <w:rPr>
          <w:rFonts w:hint="eastAsia" w:eastAsia="方正仿宋_GBK"/>
          <w:color w:val="000000"/>
          <w:spacing w:val="-2"/>
          <w:sz w:val="24"/>
        </w:rPr>
        <w:t>．建筑业企业和施工现场项目部未有效落实应急救援预案并定期组织演练的，每一次扣</w:t>
      </w:r>
      <w:r>
        <w:rPr>
          <w:rFonts w:eastAsia="方正仿宋_GBK"/>
          <w:color w:val="000000"/>
          <w:spacing w:val="-2"/>
          <w:sz w:val="24"/>
        </w:rPr>
        <w:t>0.5</w:t>
      </w:r>
      <w:r>
        <w:rPr>
          <w:rFonts w:hint="eastAsia" w:eastAsia="方正仿宋_GBK"/>
          <w:color w:val="000000"/>
          <w:spacing w:val="-2"/>
          <w:sz w:val="24"/>
        </w:rPr>
        <w:t>分。</w:t>
      </w:r>
    </w:p>
    <w:p>
      <w:pPr>
        <w:pStyle w:val="7"/>
        <w:adjustRightInd w:val="0"/>
        <w:snapToGrid w:val="0"/>
        <w:spacing w:after="0" w:line="460" w:lineRule="exact"/>
        <w:ind w:left="0" w:leftChars="0" w:firstLine="200"/>
        <w:rPr>
          <w:rFonts w:eastAsia="方正仿宋_GBK"/>
          <w:color w:val="000000"/>
          <w:spacing w:val="-2"/>
          <w:sz w:val="24"/>
        </w:rPr>
      </w:pPr>
      <w:r>
        <w:rPr>
          <w:rFonts w:eastAsia="方正仿宋_GBK"/>
          <w:color w:val="000000"/>
          <w:spacing w:val="-2"/>
          <w:sz w:val="24"/>
        </w:rPr>
        <w:t>7</w:t>
      </w:r>
      <w:r>
        <w:rPr>
          <w:rFonts w:hint="eastAsia" w:eastAsia="方正仿宋_GBK"/>
          <w:color w:val="000000"/>
          <w:spacing w:val="-2"/>
          <w:sz w:val="24"/>
        </w:rPr>
        <w:t>．建筑业企业和施工现场项目部未按规定要求开展各类安全生产活动和人员安全教育培训的，按活动时间要求统计，每一次扣</w:t>
      </w:r>
      <w:r>
        <w:rPr>
          <w:rFonts w:eastAsia="方正仿宋_GBK"/>
          <w:color w:val="000000"/>
          <w:spacing w:val="-2"/>
          <w:sz w:val="24"/>
        </w:rPr>
        <w:t>1</w:t>
      </w:r>
      <w:r>
        <w:rPr>
          <w:rFonts w:hint="eastAsia" w:eastAsia="方正仿宋_GBK"/>
          <w:color w:val="000000"/>
          <w:spacing w:val="-2"/>
          <w:sz w:val="24"/>
        </w:rPr>
        <w:t>分。</w:t>
      </w:r>
    </w:p>
    <w:p>
      <w:pPr>
        <w:adjustRightInd w:val="0"/>
        <w:snapToGrid w:val="0"/>
        <w:spacing w:line="460" w:lineRule="exact"/>
        <w:ind w:firstLine="472" w:firstLineChars="200"/>
        <w:rPr>
          <w:rFonts w:ascii="Times New Roman" w:eastAsia="方正黑体_GBK"/>
          <w:color w:val="000000"/>
          <w:spacing w:val="-2"/>
          <w:kern w:val="0"/>
          <w:sz w:val="24"/>
        </w:rPr>
      </w:pPr>
      <w:r>
        <w:rPr>
          <w:rFonts w:hint="eastAsia" w:ascii="Times New Roman" w:eastAsia="方正黑体_GBK"/>
          <w:color w:val="000000"/>
          <w:spacing w:val="-2"/>
          <w:kern w:val="0"/>
          <w:sz w:val="24"/>
        </w:rPr>
        <w:t>七、文明施工考核中发现以下情况的，根据具体情况予以扣分</w:t>
      </w:r>
    </w:p>
    <w:p>
      <w:pPr>
        <w:adjustRightInd w:val="0"/>
        <w:snapToGrid w:val="0"/>
        <w:spacing w:line="460" w:lineRule="exact"/>
        <w:ind w:firstLine="472" w:firstLineChars="200"/>
        <w:rPr>
          <w:rFonts w:hint="eastAsia"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．施工过程中，考核为不合格文明工地的，每一项目扣</w:t>
      </w:r>
      <w:r>
        <w:rPr>
          <w:rFonts w:eastAsia="方正仿宋_GBK"/>
          <w:color w:val="000000"/>
          <w:spacing w:val="-2"/>
          <w:sz w:val="24"/>
        </w:rPr>
        <w:t>3</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．施工过程中，被媒体曝光的，每一项目每一次扣</w:t>
      </w:r>
      <w:r>
        <w:rPr>
          <w:rFonts w:eastAsia="方正仿宋_GBK"/>
          <w:color w:val="000000"/>
          <w:spacing w:val="-2"/>
          <w:sz w:val="24"/>
        </w:rPr>
        <w:t>2</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3</w:t>
      </w:r>
      <w:r>
        <w:rPr>
          <w:rFonts w:hint="eastAsia" w:eastAsia="方正仿宋_GBK"/>
          <w:color w:val="000000"/>
          <w:spacing w:val="-2"/>
          <w:sz w:val="24"/>
        </w:rPr>
        <w:t>．施工过程中，发现在尚未竣工的建筑物内设置员工宿舍的，每一项目每一处扣</w:t>
      </w:r>
      <w:r>
        <w:rPr>
          <w:rFonts w:eastAsia="方正仿宋_GBK"/>
          <w:color w:val="000000"/>
          <w:spacing w:val="-2"/>
          <w:sz w:val="24"/>
        </w:rPr>
        <w:t>1</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4</w:t>
      </w:r>
      <w:r>
        <w:rPr>
          <w:rFonts w:hint="eastAsia" w:eastAsia="方正仿宋_GBK"/>
          <w:color w:val="000000"/>
          <w:spacing w:val="-2"/>
          <w:sz w:val="24"/>
        </w:rPr>
        <w:t>．施工现场职工宿舍区发现使用不符合安全要求设备设施的，每一项目每一处扣</w:t>
      </w:r>
      <w:r>
        <w:rPr>
          <w:rFonts w:eastAsia="方正仿宋_GBK"/>
          <w:color w:val="000000"/>
          <w:spacing w:val="-2"/>
          <w:sz w:val="24"/>
        </w:rPr>
        <w:t>3</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5</w:t>
      </w:r>
      <w:r>
        <w:rPr>
          <w:rFonts w:hint="eastAsia" w:eastAsia="方正仿宋_GBK"/>
          <w:color w:val="000000"/>
          <w:spacing w:val="-2"/>
          <w:sz w:val="24"/>
        </w:rPr>
        <w:t>．建筑起重设备作业区内有与高压线小于安全距离的、城市主次要干道、学校社区等危及公共安全且未及时采取有效防护措施的，每一项目每一处扣</w:t>
      </w:r>
      <w:r>
        <w:rPr>
          <w:rFonts w:eastAsia="方正仿宋_GBK"/>
          <w:color w:val="000000"/>
          <w:spacing w:val="-2"/>
          <w:sz w:val="24"/>
        </w:rPr>
        <w:t>1</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6</w:t>
      </w:r>
      <w:r>
        <w:rPr>
          <w:rFonts w:hint="eastAsia" w:eastAsia="方正仿宋_GBK"/>
          <w:color w:val="000000"/>
          <w:spacing w:val="-2"/>
          <w:sz w:val="24"/>
        </w:rPr>
        <w:t>．施工现场出入口和主要道路未硬化，未有控扬尘措施，场容场貌较差，每一项每一次扣</w:t>
      </w:r>
      <w:r>
        <w:rPr>
          <w:rFonts w:eastAsia="方正仿宋_GBK"/>
          <w:color w:val="000000"/>
          <w:spacing w:val="-2"/>
          <w:sz w:val="24"/>
        </w:rPr>
        <w:t>1</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sz w:val="24"/>
        </w:rPr>
      </w:pPr>
      <w:r>
        <w:rPr>
          <w:rFonts w:eastAsia="方正仿宋_GBK"/>
          <w:color w:val="000000"/>
          <w:spacing w:val="-2"/>
          <w:sz w:val="24"/>
        </w:rPr>
        <w:t>7</w:t>
      </w:r>
      <w:r>
        <w:rPr>
          <w:rFonts w:hint="eastAsia" w:eastAsia="方正仿宋_GBK"/>
          <w:color w:val="000000"/>
          <w:spacing w:val="-2"/>
          <w:sz w:val="24"/>
        </w:rPr>
        <w:t>．施工现场因违规或野蛮施工，发生有责投诉，情况属实的，每一项每一次扣</w:t>
      </w:r>
      <w:r>
        <w:rPr>
          <w:rFonts w:eastAsia="方正仿宋_GBK"/>
          <w:color w:val="000000"/>
          <w:spacing w:val="-2"/>
          <w:sz w:val="24"/>
        </w:rPr>
        <w:t>0.5</w:t>
      </w:r>
      <w:r>
        <w:rPr>
          <w:rFonts w:hint="eastAsia" w:eastAsia="方正仿宋_GBK"/>
          <w:color w:val="000000"/>
          <w:spacing w:val="-2"/>
          <w:sz w:val="24"/>
        </w:rPr>
        <w:t>分。</w:t>
      </w:r>
    </w:p>
    <w:p>
      <w:pPr>
        <w:adjustRightInd w:val="0"/>
        <w:snapToGrid w:val="0"/>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八、扣分有效期限以各市的信用综合考核时段为准。</w:t>
      </w:r>
    </w:p>
    <w:p>
      <w:pPr>
        <w:pStyle w:val="7"/>
        <w:adjustRightInd w:val="0"/>
        <w:snapToGrid w:val="0"/>
        <w:spacing w:line="460" w:lineRule="exact"/>
        <w:rPr>
          <w:rFonts w:eastAsia="方正仿宋_GBK"/>
          <w:color w:val="000000"/>
          <w:spacing w:val="-2"/>
          <w:sz w:val="24"/>
        </w:rPr>
      </w:pPr>
    </w:p>
    <w:p>
      <w:pPr>
        <w:pStyle w:val="7"/>
        <w:adjustRightInd w:val="0"/>
        <w:snapToGrid w:val="0"/>
        <w:spacing w:line="460" w:lineRule="exact"/>
        <w:rPr>
          <w:rFonts w:eastAsia="方正仿宋_GBK"/>
          <w:color w:val="000000"/>
          <w:spacing w:val="-2"/>
          <w:sz w:val="24"/>
        </w:rPr>
      </w:pPr>
    </w:p>
    <w:p>
      <w:pPr>
        <w:pStyle w:val="7"/>
        <w:adjustRightInd w:val="0"/>
        <w:snapToGrid w:val="0"/>
        <w:spacing w:line="460" w:lineRule="exact"/>
        <w:rPr>
          <w:rFonts w:eastAsia="方正仿宋_GBK"/>
          <w:color w:val="000000"/>
          <w:spacing w:val="-2"/>
          <w:sz w:val="24"/>
        </w:rPr>
      </w:pPr>
    </w:p>
    <w:p>
      <w:pPr>
        <w:pStyle w:val="7"/>
        <w:adjustRightInd w:val="0"/>
        <w:snapToGrid w:val="0"/>
        <w:spacing w:line="460" w:lineRule="exact"/>
        <w:rPr>
          <w:rFonts w:eastAsia="方正仿宋_GBK"/>
          <w:color w:val="000000"/>
          <w:spacing w:val="-2"/>
          <w:sz w:val="24"/>
        </w:rPr>
      </w:pPr>
    </w:p>
    <w:p>
      <w:pPr>
        <w:adjustRightInd w:val="0"/>
        <w:snapToGrid w:val="0"/>
        <w:spacing w:line="460" w:lineRule="exact"/>
        <w:rPr>
          <w:rFonts w:ascii="Times New Roman" w:eastAsia="方正黑体_GBK"/>
          <w:color w:val="000000"/>
          <w:spacing w:val="-2"/>
          <w:sz w:val="28"/>
          <w:szCs w:val="28"/>
        </w:rPr>
      </w:pPr>
      <w:r>
        <w:rPr>
          <w:rFonts w:eastAsia="方正仿宋_GBK"/>
          <w:color w:val="000000"/>
          <w:spacing w:val="-2"/>
          <w:sz w:val="24"/>
        </w:rPr>
        <w:br w:type="column"/>
      </w:r>
      <w:r>
        <w:rPr>
          <w:rFonts w:hint="eastAsia" w:ascii="Times New Roman" w:eastAsia="方正黑体_GBK"/>
          <w:color w:val="000000"/>
          <w:spacing w:val="-2"/>
          <w:sz w:val="28"/>
          <w:szCs w:val="28"/>
        </w:rPr>
        <w:t>附件3</w:t>
      </w:r>
    </w:p>
    <w:p>
      <w:pPr>
        <w:adjustRightInd w:val="0"/>
        <w:snapToGrid w:val="0"/>
        <w:spacing w:line="460" w:lineRule="exact"/>
        <w:rPr>
          <w:rFonts w:hint="eastAsia" w:eastAsia="方正仿宋_GBK"/>
          <w:color w:val="000000"/>
          <w:spacing w:val="-2"/>
          <w:sz w:val="24"/>
        </w:rPr>
      </w:pPr>
    </w:p>
    <w:p>
      <w:pPr>
        <w:pStyle w:val="7"/>
        <w:adjustRightInd w:val="0"/>
        <w:snapToGrid w:val="0"/>
        <w:spacing w:line="570" w:lineRule="exact"/>
        <w:jc w:val="center"/>
        <w:rPr>
          <w:rFonts w:ascii="Times New Roman" w:hAnsi="Times New Roman" w:eastAsia="方正黑体_GBK"/>
          <w:color w:val="000000"/>
          <w:spacing w:val="-2"/>
          <w:sz w:val="36"/>
          <w:szCs w:val="36"/>
        </w:rPr>
      </w:pPr>
      <w:r>
        <w:rPr>
          <w:rFonts w:hint="eastAsia" w:ascii="Times New Roman" w:hAnsi="Times New Roman" w:eastAsia="方正黑体_GBK"/>
          <w:color w:val="000000"/>
          <w:spacing w:val="-2"/>
          <w:sz w:val="36"/>
          <w:szCs w:val="36"/>
        </w:rPr>
        <w:t>江苏省建筑业企业建筑市场综合考核内容和计分方法</w:t>
      </w:r>
    </w:p>
    <w:p>
      <w:pPr>
        <w:pStyle w:val="7"/>
        <w:adjustRightInd w:val="0"/>
        <w:snapToGrid w:val="0"/>
        <w:spacing w:line="240" w:lineRule="exact"/>
        <w:rPr>
          <w:rFonts w:hint="eastAsia"/>
          <w:color w:val="000000"/>
          <w:spacing w:val="-2"/>
        </w:rPr>
      </w:pPr>
    </w:p>
    <w:p>
      <w:pPr>
        <w:pStyle w:val="7"/>
        <w:adjustRightInd w:val="0"/>
        <w:snapToGrid w:val="0"/>
        <w:spacing w:line="460" w:lineRule="exact"/>
        <w:ind w:firstLine="561"/>
        <w:rPr>
          <w:rFonts w:eastAsia="方正仿宋_GBK"/>
          <w:color w:val="000000"/>
          <w:spacing w:val="-2"/>
          <w:sz w:val="24"/>
        </w:rPr>
      </w:pPr>
      <w:r>
        <w:rPr>
          <w:rFonts w:hint="eastAsia" w:eastAsia="方正仿宋_GBK"/>
          <w:color w:val="000000"/>
          <w:spacing w:val="-2"/>
          <w:sz w:val="24"/>
        </w:rPr>
        <w:t>一、建筑业企业综合考核是指在建筑市场综合检查中对工程建设各方主体的建筑市场行为、项目管理、质量行为、安全行为、实体质量、安全生产状况等进行的量化考核。</w:t>
      </w:r>
    </w:p>
    <w:p>
      <w:pPr>
        <w:pStyle w:val="7"/>
        <w:adjustRightInd w:val="0"/>
        <w:snapToGrid w:val="0"/>
        <w:spacing w:line="460" w:lineRule="exact"/>
        <w:ind w:firstLine="561"/>
        <w:rPr>
          <w:rFonts w:eastAsia="方正仿宋_GBK"/>
          <w:color w:val="000000"/>
          <w:spacing w:val="-2"/>
          <w:sz w:val="24"/>
        </w:rPr>
      </w:pPr>
      <w:r>
        <w:rPr>
          <w:rFonts w:hint="eastAsia" w:eastAsia="方正仿宋_GBK"/>
          <w:color w:val="000000"/>
          <w:spacing w:val="-2"/>
          <w:sz w:val="24"/>
        </w:rPr>
        <w:t>二、检查内容和评分标准见用表之一～六</w:t>
      </w:r>
    </w:p>
    <w:p>
      <w:pPr>
        <w:pStyle w:val="7"/>
        <w:adjustRightInd w:val="0"/>
        <w:snapToGrid w:val="0"/>
        <w:spacing w:line="570" w:lineRule="exact"/>
        <w:jc w:val="center"/>
        <w:rPr>
          <w:rFonts w:ascii="Times New Roman" w:hAnsi="Times New Roman" w:eastAsia="方正黑体_GBK"/>
          <w:color w:val="000000"/>
          <w:spacing w:val="-2"/>
          <w:sz w:val="28"/>
          <w:szCs w:val="28"/>
        </w:rPr>
      </w:pPr>
      <w:r>
        <w:rPr>
          <w:rFonts w:hint="eastAsia" w:ascii="Times New Roman" w:hAnsi="Times New Roman" w:eastAsia="方正黑体_GBK"/>
          <w:bCs/>
          <w:color w:val="000000"/>
          <w:spacing w:val="-2"/>
          <w:sz w:val="28"/>
          <w:szCs w:val="28"/>
        </w:rPr>
        <w:t>建筑市场综合考核用表之一</w:t>
      </w:r>
      <w:r>
        <w:rPr>
          <w:rFonts w:hint="eastAsia" w:ascii="Times New Roman" w:hAnsi="Times New Roman" w:eastAsia="方正黑体_GBK"/>
          <w:color w:val="000000"/>
          <w:spacing w:val="-2"/>
          <w:sz w:val="28"/>
          <w:szCs w:val="28"/>
        </w:rPr>
        <w:t>(工程概况)</w:t>
      </w:r>
    </w:p>
    <w:p>
      <w:pPr>
        <w:adjustRightInd w:val="0"/>
        <w:snapToGrid w:val="0"/>
        <w:spacing w:line="570" w:lineRule="exact"/>
        <w:jc w:val="left"/>
        <w:rPr>
          <w:rFonts w:hint="eastAsia" w:ascii="Times New Roman" w:hAnsi="Times New Roman" w:eastAsia="仿宋_GB2312"/>
          <w:color w:val="000000"/>
          <w:spacing w:val="-2"/>
          <w:kern w:val="0"/>
          <w:sz w:val="24"/>
        </w:rPr>
      </w:pPr>
      <w:r>
        <w:rPr>
          <w:rFonts w:hint="eastAsia" w:ascii="Times New Roman" w:hAnsi="Times New Roman" w:eastAsia="仿宋_GB2312"/>
          <w:bCs/>
          <w:color w:val="000000"/>
          <w:spacing w:val="-2"/>
          <w:kern w:val="0"/>
          <w:sz w:val="24"/>
        </w:rPr>
        <w:t xml:space="preserve"> 项目编号：                           检查日期：   </w:t>
      </w:r>
    </w:p>
    <w:tbl>
      <w:tblPr>
        <w:tblStyle w:val="12"/>
        <w:tblW w:w="0" w:type="auto"/>
        <w:jc w:val="center"/>
        <w:tblLayout w:type="fixed"/>
        <w:tblCellMar>
          <w:top w:w="0" w:type="dxa"/>
          <w:left w:w="108" w:type="dxa"/>
          <w:bottom w:w="0" w:type="dxa"/>
          <w:right w:w="108" w:type="dxa"/>
        </w:tblCellMar>
      </w:tblPr>
      <w:tblGrid>
        <w:gridCol w:w="742"/>
        <w:gridCol w:w="1365"/>
        <w:gridCol w:w="816"/>
        <w:gridCol w:w="741"/>
        <w:gridCol w:w="1856"/>
        <w:gridCol w:w="567"/>
        <w:gridCol w:w="999"/>
        <w:gridCol w:w="1357"/>
      </w:tblGrid>
      <w:tr>
        <w:tblPrEx>
          <w:tblCellMar>
            <w:top w:w="0" w:type="dxa"/>
            <w:left w:w="108" w:type="dxa"/>
            <w:bottom w:w="0" w:type="dxa"/>
            <w:right w:w="108" w:type="dxa"/>
          </w:tblCellMar>
        </w:tblPrEx>
        <w:trPr>
          <w:trHeight w:val="460" w:hRule="atLeast"/>
          <w:jc w:val="center"/>
        </w:trPr>
        <w:tc>
          <w:tcPr>
            <w:tcW w:w="2107" w:type="dxa"/>
            <w:gridSpan w:val="2"/>
            <w:tcBorders>
              <w:top w:val="single" w:color="auto" w:sz="8" w:space="0"/>
              <w:left w:val="single" w:color="auto" w:sz="8" w:space="0"/>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r>
              <w:rPr>
                <w:rFonts w:hint="eastAsia" w:eastAsia="仿宋_GB2312"/>
                <w:color w:val="000000"/>
                <w:spacing w:val="-2"/>
                <w:kern w:val="0"/>
                <w:szCs w:val="21"/>
              </w:rPr>
              <w:t>工程名称</w:t>
            </w:r>
          </w:p>
        </w:tc>
        <w:tc>
          <w:tcPr>
            <w:tcW w:w="1557" w:type="dxa"/>
            <w:gridSpan w:val="2"/>
            <w:tcBorders>
              <w:top w:val="single" w:color="auto" w:sz="8" w:space="0"/>
              <w:left w:val="nil"/>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p>
        </w:tc>
        <w:tc>
          <w:tcPr>
            <w:tcW w:w="2423" w:type="dxa"/>
            <w:gridSpan w:val="2"/>
            <w:tcBorders>
              <w:top w:val="single" w:color="auto" w:sz="8" w:space="0"/>
              <w:left w:val="nil"/>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r>
              <w:rPr>
                <w:rFonts w:hint="eastAsia" w:eastAsia="仿宋_GB2312"/>
                <w:color w:val="000000"/>
                <w:spacing w:val="-2"/>
                <w:kern w:val="0"/>
                <w:szCs w:val="21"/>
              </w:rPr>
              <w:t>工程地点</w:t>
            </w:r>
          </w:p>
        </w:tc>
        <w:tc>
          <w:tcPr>
            <w:tcW w:w="2356" w:type="dxa"/>
            <w:gridSpan w:val="2"/>
            <w:tcBorders>
              <w:top w:val="single" w:color="auto" w:sz="8" w:space="0"/>
              <w:left w:val="nil"/>
              <w:bottom w:val="single" w:color="auto" w:sz="4" w:space="0"/>
              <w:right w:val="single" w:color="auto" w:sz="8" w:space="0"/>
            </w:tcBorders>
            <w:noWrap w:val="0"/>
            <w:vAlign w:val="center"/>
          </w:tcPr>
          <w:p>
            <w:pPr>
              <w:adjustRightInd w:val="0"/>
              <w:snapToGrid w:val="0"/>
              <w:spacing w:line="240" w:lineRule="exact"/>
              <w:jc w:val="center"/>
              <w:rPr>
                <w:rFonts w:eastAsia="仿宋_GB2312"/>
                <w:color w:val="000000"/>
                <w:spacing w:val="-2"/>
                <w:kern w:val="0"/>
                <w:szCs w:val="21"/>
              </w:rPr>
            </w:pPr>
          </w:p>
        </w:tc>
      </w:tr>
      <w:tr>
        <w:tblPrEx>
          <w:tblCellMar>
            <w:top w:w="0" w:type="dxa"/>
            <w:left w:w="108" w:type="dxa"/>
            <w:bottom w:w="0" w:type="dxa"/>
            <w:right w:w="108" w:type="dxa"/>
          </w:tblCellMar>
        </w:tblPrEx>
        <w:trPr>
          <w:trHeight w:val="448" w:hRule="atLeast"/>
          <w:jc w:val="center"/>
        </w:trPr>
        <w:tc>
          <w:tcPr>
            <w:tcW w:w="2107" w:type="dxa"/>
            <w:gridSpan w:val="2"/>
            <w:tcBorders>
              <w:top w:val="single" w:color="auto" w:sz="4" w:space="0"/>
              <w:left w:val="single" w:color="auto" w:sz="8" w:space="0"/>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r>
              <w:rPr>
                <w:rFonts w:hint="eastAsia" w:eastAsia="仿宋_GB2312"/>
                <w:color w:val="000000"/>
                <w:spacing w:val="-2"/>
                <w:kern w:val="0"/>
                <w:szCs w:val="21"/>
              </w:rPr>
              <w:t>开工日期</w:t>
            </w:r>
          </w:p>
        </w:tc>
        <w:tc>
          <w:tcPr>
            <w:tcW w:w="1557"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p>
        </w:tc>
        <w:tc>
          <w:tcPr>
            <w:tcW w:w="2423"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r>
              <w:rPr>
                <w:rFonts w:hint="eastAsia" w:eastAsia="仿宋_GB2312"/>
                <w:color w:val="000000"/>
                <w:spacing w:val="-2"/>
                <w:kern w:val="0"/>
                <w:szCs w:val="21"/>
              </w:rPr>
              <w:t>竣工日期</w:t>
            </w:r>
          </w:p>
        </w:tc>
        <w:tc>
          <w:tcPr>
            <w:tcW w:w="2356" w:type="dxa"/>
            <w:gridSpan w:val="2"/>
            <w:tcBorders>
              <w:top w:val="single" w:color="auto" w:sz="4" w:space="0"/>
              <w:left w:val="nil"/>
              <w:bottom w:val="single" w:color="auto" w:sz="4" w:space="0"/>
              <w:right w:val="single" w:color="auto" w:sz="8" w:space="0"/>
            </w:tcBorders>
            <w:noWrap w:val="0"/>
            <w:vAlign w:val="center"/>
          </w:tcPr>
          <w:p>
            <w:pPr>
              <w:adjustRightInd w:val="0"/>
              <w:snapToGrid w:val="0"/>
              <w:spacing w:line="240" w:lineRule="exact"/>
              <w:jc w:val="center"/>
              <w:rPr>
                <w:rFonts w:eastAsia="仿宋_GB2312"/>
                <w:color w:val="000000"/>
                <w:spacing w:val="-2"/>
                <w:kern w:val="0"/>
                <w:szCs w:val="21"/>
              </w:rPr>
            </w:pPr>
          </w:p>
        </w:tc>
      </w:tr>
      <w:tr>
        <w:tblPrEx>
          <w:tblCellMar>
            <w:top w:w="0" w:type="dxa"/>
            <w:left w:w="108" w:type="dxa"/>
            <w:bottom w:w="0" w:type="dxa"/>
            <w:right w:w="108" w:type="dxa"/>
          </w:tblCellMar>
        </w:tblPrEx>
        <w:trPr>
          <w:trHeight w:val="315" w:hRule="atLeast"/>
          <w:jc w:val="center"/>
        </w:trPr>
        <w:tc>
          <w:tcPr>
            <w:tcW w:w="2107" w:type="dxa"/>
            <w:gridSpan w:val="2"/>
            <w:tcBorders>
              <w:top w:val="single" w:color="auto" w:sz="4" w:space="0"/>
              <w:left w:val="single" w:color="auto" w:sz="8" w:space="0"/>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r>
              <w:rPr>
                <w:rFonts w:hint="eastAsia" w:eastAsia="仿宋_GB2312"/>
                <w:color w:val="000000"/>
                <w:spacing w:val="-2"/>
                <w:kern w:val="0"/>
                <w:szCs w:val="21"/>
              </w:rPr>
              <w:t>建筑总面积（平方米）</w:t>
            </w:r>
          </w:p>
        </w:tc>
        <w:tc>
          <w:tcPr>
            <w:tcW w:w="1557"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p>
        </w:tc>
        <w:tc>
          <w:tcPr>
            <w:tcW w:w="2423"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r>
              <w:rPr>
                <w:rFonts w:hint="eastAsia" w:eastAsia="仿宋_GB2312"/>
                <w:color w:val="000000"/>
                <w:spacing w:val="-2"/>
                <w:kern w:val="0"/>
                <w:szCs w:val="21"/>
              </w:rPr>
              <w:t>形象进度</w:t>
            </w:r>
          </w:p>
        </w:tc>
        <w:tc>
          <w:tcPr>
            <w:tcW w:w="2356" w:type="dxa"/>
            <w:gridSpan w:val="2"/>
            <w:tcBorders>
              <w:top w:val="single" w:color="auto" w:sz="4" w:space="0"/>
              <w:left w:val="nil"/>
              <w:bottom w:val="single" w:color="auto" w:sz="4" w:space="0"/>
              <w:right w:val="single" w:color="auto" w:sz="8" w:space="0"/>
            </w:tcBorders>
            <w:noWrap w:val="0"/>
            <w:vAlign w:val="center"/>
          </w:tcPr>
          <w:p>
            <w:pPr>
              <w:adjustRightInd w:val="0"/>
              <w:snapToGrid w:val="0"/>
              <w:spacing w:line="240" w:lineRule="exact"/>
              <w:jc w:val="center"/>
              <w:rPr>
                <w:rFonts w:eastAsia="仿宋_GB2312"/>
                <w:color w:val="000000"/>
                <w:spacing w:val="-2"/>
                <w:kern w:val="0"/>
                <w:szCs w:val="21"/>
              </w:rPr>
            </w:pPr>
          </w:p>
        </w:tc>
      </w:tr>
      <w:tr>
        <w:tblPrEx>
          <w:tblCellMar>
            <w:top w:w="0" w:type="dxa"/>
            <w:left w:w="108" w:type="dxa"/>
            <w:bottom w:w="0" w:type="dxa"/>
            <w:right w:w="108" w:type="dxa"/>
          </w:tblCellMar>
        </w:tblPrEx>
        <w:trPr>
          <w:trHeight w:val="394" w:hRule="atLeast"/>
          <w:jc w:val="center"/>
        </w:trPr>
        <w:tc>
          <w:tcPr>
            <w:tcW w:w="2107" w:type="dxa"/>
            <w:gridSpan w:val="2"/>
            <w:tcBorders>
              <w:top w:val="single" w:color="auto" w:sz="4" w:space="0"/>
              <w:left w:val="single" w:color="auto" w:sz="8" w:space="0"/>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r>
              <w:rPr>
                <w:rFonts w:hint="eastAsia" w:eastAsia="仿宋_GB2312"/>
                <w:color w:val="000000"/>
                <w:spacing w:val="-2"/>
                <w:kern w:val="0"/>
                <w:szCs w:val="21"/>
              </w:rPr>
              <w:t>结构类型</w:t>
            </w:r>
          </w:p>
        </w:tc>
        <w:tc>
          <w:tcPr>
            <w:tcW w:w="1557"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p>
        </w:tc>
        <w:tc>
          <w:tcPr>
            <w:tcW w:w="2423"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r>
              <w:rPr>
                <w:rFonts w:hint="eastAsia" w:eastAsia="仿宋_GB2312"/>
                <w:color w:val="000000"/>
                <w:spacing w:val="-2"/>
                <w:kern w:val="0"/>
                <w:szCs w:val="21"/>
              </w:rPr>
              <w:t>建筑层数（层）</w:t>
            </w:r>
          </w:p>
        </w:tc>
        <w:tc>
          <w:tcPr>
            <w:tcW w:w="2356" w:type="dxa"/>
            <w:gridSpan w:val="2"/>
            <w:tcBorders>
              <w:top w:val="single" w:color="auto" w:sz="4" w:space="0"/>
              <w:left w:val="nil"/>
              <w:bottom w:val="single" w:color="auto" w:sz="4" w:space="0"/>
              <w:right w:val="single" w:color="auto" w:sz="8" w:space="0"/>
            </w:tcBorders>
            <w:noWrap w:val="0"/>
            <w:vAlign w:val="center"/>
          </w:tcPr>
          <w:p>
            <w:pPr>
              <w:adjustRightInd w:val="0"/>
              <w:snapToGrid w:val="0"/>
              <w:spacing w:line="240" w:lineRule="exact"/>
              <w:jc w:val="center"/>
              <w:rPr>
                <w:rFonts w:eastAsia="仿宋_GB2312"/>
                <w:color w:val="000000"/>
                <w:spacing w:val="-2"/>
                <w:kern w:val="0"/>
                <w:szCs w:val="21"/>
              </w:rPr>
            </w:pPr>
          </w:p>
        </w:tc>
      </w:tr>
      <w:tr>
        <w:tblPrEx>
          <w:tblCellMar>
            <w:top w:w="0" w:type="dxa"/>
            <w:left w:w="108" w:type="dxa"/>
            <w:bottom w:w="0" w:type="dxa"/>
            <w:right w:w="108" w:type="dxa"/>
          </w:tblCellMar>
        </w:tblPrEx>
        <w:trPr>
          <w:trHeight w:val="315" w:hRule="atLeast"/>
          <w:jc w:val="center"/>
        </w:trPr>
        <w:tc>
          <w:tcPr>
            <w:tcW w:w="2107" w:type="dxa"/>
            <w:gridSpan w:val="2"/>
            <w:tcBorders>
              <w:top w:val="single" w:color="auto" w:sz="4" w:space="0"/>
              <w:left w:val="single" w:color="auto" w:sz="8" w:space="0"/>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r>
              <w:rPr>
                <w:rFonts w:hint="eastAsia" w:eastAsia="仿宋_GB2312"/>
                <w:color w:val="000000"/>
                <w:spacing w:val="-2"/>
                <w:kern w:val="0"/>
                <w:szCs w:val="21"/>
              </w:rPr>
              <w:t>工程造价金额（万元）</w:t>
            </w:r>
          </w:p>
        </w:tc>
        <w:tc>
          <w:tcPr>
            <w:tcW w:w="1557"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p>
        </w:tc>
        <w:tc>
          <w:tcPr>
            <w:tcW w:w="2423"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r>
              <w:rPr>
                <w:rFonts w:hint="eastAsia" w:eastAsia="仿宋_GB2312"/>
                <w:color w:val="000000"/>
                <w:spacing w:val="-2"/>
                <w:kern w:val="0"/>
                <w:szCs w:val="21"/>
              </w:rPr>
              <w:t>投资来源</w:t>
            </w:r>
          </w:p>
        </w:tc>
        <w:tc>
          <w:tcPr>
            <w:tcW w:w="2356" w:type="dxa"/>
            <w:gridSpan w:val="2"/>
            <w:tcBorders>
              <w:top w:val="single" w:color="auto" w:sz="4" w:space="0"/>
              <w:left w:val="nil"/>
              <w:bottom w:val="single" w:color="auto" w:sz="4" w:space="0"/>
              <w:right w:val="single" w:color="auto" w:sz="8" w:space="0"/>
            </w:tcBorders>
            <w:noWrap w:val="0"/>
            <w:vAlign w:val="center"/>
          </w:tcPr>
          <w:p>
            <w:pPr>
              <w:adjustRightInd w:val="0"/>
              <w:snapToGrid w:val="0"/>
              <w:spacing w:line="240" w:lineRule="exact"/>
              <w:jc w:val="center"/>
              <w:rPr>
                <w:rFonts w:eastAsia="仿宋_GB2312"/>
                <w:color w:val="000000"/>
                <w:spacing w:val="-2"/>
                <w:kern w:val="0"/>
                <w:szCs w:val="21"/>
              </w:rPr>
            </w:pPr>
          </w:p>
        </w:tc>
      </w:tr>
      <w:tr>
        <w:tblPrEx>
          <w:tblCellMar>
            <w:top w:w="0" w:type="dxa"/>
            <w:left w:w="108" w:type="dxa"/>
            <w:bottom w:w="0" w:type="dxa"/>
            <w:right w:w="108" w:type="dxa"/>
          </w:tblCellMar>
        </w:tblPrEx>
        <w:trPr>
          <w:trHeight w:val="315" w:hRule="atLeast"/>
          <w:jc w:val="center"/>
        </w:trPr>
        <w:tc>
          <w:tcPr>
            <w:tcW w:w="8443" w:type="dxa"/>
            <w:gridSpan w:val="8"/>
            <w:tcBorders>
              <w:top w:val="single" w:color="auto" w:sz="4" w:space="0"/>
              <w:left w:val="single" w:color="auto" w:sz="8" w:space="0"/>
              <w:bottom w:val="single" w:color="auto" w:sz="4" w:space="0"/>
              <w:right w:val="single" w:color="auto" w:sz="8" w:space="0"/>
            </w:tcBorders>
            <w:noWrap w:val="0"/>
            <w:vAlign w:val="center"/>
          </w:tcPr>
          <w:p>
            <w:pPr>
              <w:adjustRightInd w:val="0"/>
              <w:snapToGrid w:val="0"/>
              <w:spacing w:line="240" w:lineRule="exact"/>
              <w:jc w:val="center"/>
              <w:rPr>
                <w:rFonts w:eastAsia="仿宋_GB2312"/>
                <w:color w:val="000000"/>
                <w:spacing w:val="-2"/>
                <w:kern w:val="0"/>
                <w:szCs w:val="21"/>
              </w:rPr>
            </w:pPr>
            <w:r>
              <w:rPr>
                <w:rFonts w:hint="eastAsia" w:eastAsia="仿宋_GB2312"/>
                <w:color w:val="000000"/>
                <w:spacing w:val="-2"/>
                <w:kern w:val="0"/>
                <w:szCs w:val="21"/>
              </w:rPr>
              <w:t>各方主体和有关机构</w:t>
            </w:r>
          </w:p>
        </w:tc>
      </w:tr>
      <w:tr>
        <w:tblPrEx>
          <w:tblCellMar>
            <w:top w:w="0" w:type="dxa"/>
            <w:left w:w="108" w:type="dxa"/>
            <w:bottom w:w="0" w:type="dxa"/>
            <w:right w:w="108" w:type="dxa"/>
          </w:tblCellMar>
        </w:tblPrEx>
        <w:trPr>
          <w:trHeight w:val="340" w:hRule="exact"/>
          <w:jc w:val="center"/>
        </w:trPr>
        <w:tc>
          <w:tcPr>
            <w:tcW w:w="742" w:type="dxa"/>
            <w:vMerge w:val="restart"/>
            <w:tcBorders>
              <w:top w:val="single" w:color="auto" w:sz="4" w:space="0"/>
              <w:left w:val="single" w:color="auto" w:sz="8" w:space="0"/>
              <w:bottom w:val="single" w:color="auto" w:sz="4" w:space="0"/>
              <w:right w:val="single" w:color="auto" w:sz="4" w:space="0"/>
            </w:tcBorders>
            <w:noWrap w:val="0"/>
            <w:textDirection w:val="tbRlV"/>
            <w:vAlign w:val="center"/>
          </w:tcPr>
          <w:p>
            <w:pPr>
              <w:adjustRightInd w:val="0"/>
              <w:snapToGrid w:val="0"/>
              <w:spacing w:line="240" w:lineRule="exact"/>
              <w:jc w:val="center"/>
              <w:rPr>
                <w:rFonts w:eastAsia="仿宋_GB2312"/>
                <w:color w:val="000000"/>
                <w:spacing w:val="-2"/>
                <w:kern w:val="0"/>
                <w:szCs w:val="21"/>
              </w:rPr>
            </w:pPr>
            <w:r>
              <w:rPr>
                <w:rFonts w:hint="eastAsia" w:eastAsia="仿宋_GB2312"/>
                <w:color w:val="000000"/>
                <w:spacing w:val="-2"/>
                <w:kern w:val="0"/>
                <w:szCs w:val="21"/>
              </w:rPr>
              <w:t>各方主体和有关机构</w:t>
            </w:r>
          </w:p>
        </w:tc>
        <w:tc>
          <w:tcPr>
            <w:tcW w:w="2181"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r>
              <w:rPr>
                <w:rFonts w:hint="eastAsia" w:eastAsia="仿宋_GB2312"/>
                <w:color w:val="000000"/>
                <w:spacing w:val="-2"/>
                <w:kern w:val="0"/>
                <w:szCs w:val="21"/>
              </w:rPr>
              <w:t>项</w:t>
            </w:r>
            <w:r>
              <w:rPr>
                <w:rFonts w:eastAsia="仿宋_GB2312"/>
                <w:color w:val="000000"/>
                <w:spacing w:val="-2"/>
                <w:kern w:val="0"/>
                <w:szCs w:val="21"/>
              </w:rPr>
              <w:t xml:space="preserve">    </w:t>
            </w:r>
            <w:r>
              <w:rPr>
                <w:rFonts w:hint="eastAsia" w:eastAsia="仿宋_GB2312"/>
                <w:color w:val="000000"/>
                <w:spacing w:val="-2"/>
                <w:kern w:val="0"/>
                <w:szCs w:val="21"/>
              </w:rPr>
              <w:t>目</w:t>
            </w:r>
          </w:p>
        </w:tc>
        <w:tc>
          <w:tcPr>
            <w:tcW w:w="2597"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r>
              <w:rPr>
                <w:rFonts w:hint="eastAsia" w:eastAsia="仿宋_GB2312"/>
                <w:color w:val="000000"/>
                <w:spacing w:val="-2"/>
                <w:kern w:val="0"/>
                <w:szCs w:val="21"/>
              </w:rPr>
              <w:t>单位名称</w:t>
            </w:r>
          </w:p>
        </w:tc>
        <w:tc>
          <w:tcPr>
            <w:tcW w:w="1566"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r>
              <w:rPr>
                <w:rFonts w:hint="eastAsia" w:eastAsia="仿宋_GB2312"/>
                <w:color w:val="000000"/>
                <w:spacing w:val="-2"/>
                <w:kern w:val="0"/>
                <w:szCs w:val="21"/>
              </w:rPr>
              <w:t>合同内容</w:t>
            </w:r>
          </w:p>
        </w:tc>
        <w:tc>
          <w:tcPr>
            <w:tcW w:w="1357" w:type="dxa"/>
            <w:tcBorders>
              <w:top w:val="nil"/>
              <w:left w:val="nil"/>
              <w:bottom w:val="single" w:color="auto" w:sz="4" w:space="0"/>
              <w:right w:val="single" w:color="auto" w:sz="8" w:space="0"/>
            </w:tcBorders>
            <w:noWrap w:val="0"/>
            <w:vAlign w:val="center"/>
          </w:tcPr>
          <w:p>
            <w:pPr>
              <w:adjustRightInd w:val="0"/>
              <w:snapToGrid w:val="0"/>
              <w:spacing w:line="240" w:lineRule="exact"/>
              <w:jc w:val="center"/>
              <w:rPr>
                <w:rFonts w:eastAsia="仿宋_GB2312"/>
                <w:color w:val="000000"/>
                <w:spacing w:val="-2"/>
                <w:kern w:val="0"/>
                <w:szCs w:val="21"/>
              </w:rPr>
            </w:pPr>
            <w:r>
              <w:rPr>
                <w:rFonts w:hint="eastAsia" w:eastAsia="仿宋_GB2312"/>
                <w:color w:val="000000"/>
                <w:spacing w:val="-2"/>
                <w:kern w:val="0"/>
                <w:szCs w:val="21"/>
              </w:rPr>
              <w:t>项目负责人</w:t>
            </w:r>
          </w:p>
        </w:tc>
      </w:tr>
      <w:tr>
        <w:tblPrEx>
          <w:tblCellMar>
            <w:top w:w="0" w:type="dxa"/>
            <w:left w:w="108" w:type="dxa"/>
            <w:bottom w:w="0" w:type="dxa"/>
            <w:right w:w="108" w:type="dxa"/>
          </w:tblCellMar>
        </w:tblPrEx>
        <w:trPr>
          <w:trHeight w:val="340" w:hRule="exact"/>
          <w:jc w:val="center"/>
        </w:trPr>
        <w:tc>
          <w:tcPr>
            <w:tcW w:w="742"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2181"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r>
              <w:rPr>
                <w:rFonts w:hint="eastAsia" w:eastAsia="仿宋_GB2312"/>
                <w:color w:val="000000"/>
                <w:spacing w:val="-2"/>
                <w:kern w:val="0"/>
                <w:szCs w:val="21"/>
              </w:rPr>
              <w:t>建设单位</w:t>
            </w:r>
          </w:p>
        </w:tc>
        <w:tc>
          <w:tcPr>
            <w:tcW w:w="2597"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p>
        </w:tc>
        <w:tc>
          <w:tcPr>
            <w:tcW w:w="1566"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p>
        </w:tc>
        <w:tc>
          <w:tcPr>
            <w:tcW w:w="1357" w:type="dxa"/>
            <w:tcBorders>
              <w:top w:val="nil"/>
              <w:left w:val="nil"/>
              <w:bottom w:val="single" w:color="auto" w:sz="4" w:space="0"/>
              <w:right w:val="single" w:color="auto" w:sz="8" w:space="0"/>
            </w:tcBorders>
            <w:noWrap w:val="0"/>
            <w:vAlign w:val="center"/>
          </w:tcPr>
          <w:p>
            <w:pPr>
              <w:adjustRightInd w:val="0"/>
              <w:snapToGrid w:val="0"/>
              <w:spacing w:line="240" w:lineRule="exact"/>
              <w:jc w:val="center"/>
              <w:rPr>
                <w:rFonts w:eastAsia="仿宋_GB2312"/>
                <w:color w:val="000000"/>
                <w:spacing w:val="-2"/>
                <w:kern w:val="0"/>
                <w:szCs w:val="21"/>
              </w:rPr>
            </w:pPr>
          </w:p>
        </w:tc>
      </w:tr>
      <w:tr>
        <w:tblPrEx>
          <w:tblCellMar>
            <w:top w:w="0" w:type="dxa"/>
            <w:left w:w="108" w:type="dxa"/>
            <w:bottom w:w="0" w:type="dxa"/>
            <w:right w:w="108" w:type="dxa"/>
          </w:tblCellMar>
        </w:tblPrEx>
        <w:trPr>
          <w:trHeight w:val="340" w:hRule="exact"/>
          <w:jc w:val="center"/>
        </w:trPr>
        <w:tc>
          <w:tcPr>
            <w:tcW w:w="742"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2181"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r>
              <w:rPr>
                <w:rFonts w:hint="eastAsia" w:eastAsia="仿宋_GB2312"/>
                <w:color w:val="000000"/>
                <w:spacing w:val="-2"/>
                <w:kern w:val="0"/>
                <w:szCs w:val="21"/>
              </w:rPr>
              <w:t>勘察单位</w:t>
            </w:r>
          </w:p>
        </w:tc>
        <w:tc>
          <w:tcPr>
            <w:tcW w:w="2597"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p>
        </w:tc>
        <w:tc>
          <w:tcPr>
            <w:tcW w:w="1566"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p>
        </w:tc>
        <w:tc>
          <w:tcPr>
            <w:tcW w:w="1357" w:type="dxa"/>
            <w:tcBorders>
              <w:top w:val="nil"/>
              <w:left w:val="nil"/>
              <w:bottom w:val="single" w:color="auto" w:sz="4" w:space="0"/>
              <w:right w:val="single" w:color="auto" w:sz="8" w:space="0"/>
            </w:tcBorders>
            <w:noWrap w:val="0"/>
            <w:vAlign w:val="center"/>
          </w:tcPr>
          <w:p>
            <w:pPr>
              <w:adjustRightInd w:val="0"/>
              <w:snapToGrid w:val="0"/>
              <w:spacing w:line="240" w:lineRule="exact"/>
              <w:jc w:val="center"/>
              <w:rPr>
                <w:rFonts w:eastAsia="仿宋_GB2312"/>
                <w:color w:val="000000"/>
                <w:spacing w:val="-2"/>
                <w:kern w:val="0"/>
                <w:szCs w:val="21"/>
              </w:rPr>
            </w:pPr>
          </w:p>
        </w:tc>
      </w:tr>
      <w:tr>
        <w:tblPrEx>
          <w:tblCellMar>
            <w:top w:w="0" w:type="dxa"/>
            <w:left w:w="108" w:type="dxa"/>
            <w:bottom w:w="0" w:type="dxa"/>
            <w:right w:w="108" w:type="dxa"/>
          </w:tblCellMar>
        </w:tblPrEx>
        <w:trPr>
          <w:trHeight w:val="340" w:hRule="exact"/>
          <w:jc w:val="center"/>
        </w:trPr>
        <w:tc>
          <w:tcPr>
            <w:tcW w:w="742"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2181"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r>
              <w:rPr>
                <w:rFonts w:hint="eastAsia" w:eastAsia="仿宋_GB2312"/>
                <w:color w:val="000000"/>
                <w:spacing w:val="-2"/>
                <w:kern w:val="0"/>
                <w:szCs w:val="21"/>
              </w:rPr>
              <w:t>设计单位</w:t>
            </w:r>
          </w:p>
        </w:tc>
        <w:tc>
          <w:tcPr>
            <w:tcW w:w="2597"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p>
        </w:tc>
        <w:tc>
          <w:tcPr>
            <w:tcW w:w="1566"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p>
        </w:tc>
        <w:tc>
          <w:tcPr>
            <w:tcW w:w="1357" w:type="dxa"/>
            <w:tcBorders>
              <w:top w:val="nil"/>
              <w:left w:val="nil"/>
              <w:bottom w:val="single" w:color="auto" w:sz="4" w:space="0"/>
              <w:right w:val="single" w:color="auto" w:sz="8" w:space="0"/>
            </w:tcBorders>
            <w:noWrap w:val="0"/>
            <w:vAlign w:val="center"/>
          </w:tcPr>
          <w:p>
            <w:pPr>
              <w:adjustRightInd w:val="0"/>
              <w:snapToGrid w:val="0"/>
              <w:spacing w:line="240" w:lineRule="exact"/>
              <w:jc w:val="center"/>
              <w:rPr>
                <w:rFonts w:eastAsia="仿宋_GB2312"/>
                <w:color w:val="000000"/>
                <w:spacing w:val="-2"/>
                <w:kern w:val="0"/>
                <w:szCs w:val="21"/>
              </w:rPr>
            </w:pPr>
          </w:p>
        </w:tc>
      </w:tr>
      <w:tr>
        <w:tblPrEx>
          <w:tblCellMar>
            <w:top w:w="0" w:type="dxa"/>
            <w:left w:w="108" w:type="dxa"/>
            <w:bottom w:w="0" w:type="dxa"/>
            <w:right w:w="108" w:type="dxa"/>
          </w:tblCellMar>
        </w:tblPrEx>
        <w:trPr>
          <w:trHeight w:val="340" w:hRule="exact"/>
          <w:jc w:val="center"/>
        </w:trPr>
        <w:tc>
          <w:tcPr>
            <w:tcW w:w="742"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2181"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r>
              <w:rPr>
                <w:rFonts w:hint="eastAsia" w:eastAsia="仿宋_GB2312"/>
                <w:color w:val="000000"/>
                <w:spacing w:val="-2"/>
                <w:kern w:val="0"/>
                <w:szCs w:val="21"/>
              </w:rPr>
              <w:t>总包单位</w:t>
            </w:r>
          </w:p>
        </w:tc>
        <w:tc>
          <w:tcPr>
            <w:tcW w:w="2597"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p>
        </w:tc>
        <w:tc>
          <w:tcPr>
            <w:tcW w:w="1566"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p>
        </w:tc>
        <w:tc>
          <w:tcPr>
            <w:tcW w:w="1357" w:type="dxa"/>
            <w:tcBorders>
              <w:top w:val="nil"/>
              <w:left w:val="nil"/>
              <w:bottom w:val="single" w:color="auto" w:sz="4" w:space="0"/>
              <w:right w:val="single" w:color="auto" w:sz="8" w:space="0"/>
            </w:tcBorders>
            <w:noWrap w:val="0"/>
            <w:vAlign w:val="center"/>
          </w:tcPr>
          <w:p>
            <w:pPr>
              <w:adjustRightInd w:val="0"/>
              <w:snapToGrid w:val="0"/>
              <w:spacing w:line="240" w:lineRule="exact"/>
              <w:jc w:val="center"/>
              <w:rPr>
                <w:rFonts w:eastAsia="仿宋_GB2312"/>
                <w:color w:val="000000"/>
                <w:spacing w:val="-2"/>
                <w:kern w:val="0"/>
                <w:szCs w:val="21"/>
              </w:rPr>
            </w:pPr>
          </w:p>
        </w:tc>
      </w:tr>
      <w:tr>
        <w:tblPrEx>
          <w:tblCellMar>
            <w:top w:w="0" w:type="dxa"/>
            <w:left w:w="108" w:type="dxa"/>
            <w:bottom w:w="0" w:type="dxa"/>
            <w:right w:w="108" w:type="dxa"/>
          </w:tblCellMar>
        </w:tblPrEx>
        <w:trPr>
          <w:trHeight w:val="340" w:hRule="exact"/>
          <w:jc w:val="center"/>
        </w:trPr>
        <w:tc>
          <w:tcPr>
            <w:tcW w:w="742"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2181"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r>
              <w:rPr>
                <w:rFonts w:hint="eastAsia" w:eastAsia="仿宋_GB2312"/>
                <w:color w:val="000000"/>
                <w:spacing w:val="-2"/>
                <w:kern w:val="0"/>
                <w:szCs w:val="21"/>
              </w:rPr>
              <w:t>施工分包单位</w:t>
            </w:r>
          </w:p>
        </w:tc>
        <w:tc>
          <w:tcPr>
            <w:tcW w:w="2597"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p>
        </w:tc>
        <w:tc>
          <w:tcPr>
            <w:tcW w:w="1566"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p>
        </w:tc>
        <w:tc>
          <w:tcPr>
            <w:tcW w:w="1357" w:type="dxa"/>
            <w:tcBorders>
              <w:top w:val="nil"/>
              <w:left w:val="nil"/>
              <w:bottom w:val="single" w:color="auto" w:sz="4" w:space="0"/>
              <w:right w:val="single" w:color="auto" w:sz="8" w:space="0"/>
            </w:tcBorders>
            <w:noWrap w:val="0"/>
            <w:vAlign w:val="center"/>
          </w:tcPr>
          <w:p>
            <w:pPr>
              <w:adjustRightInd w:val="0"/>
              <w:snapToGrid w:val="0"/>
              <w:spacing w:line="240" w:lineRule="exact"/>
              <w:jc w:val="center"/>
              <w:rPr>
                <w:rFonts w:eastAsia="仿宋_GB2312"/>
                <w:color w:val="000000"/>
                <w:spacing w:val="-2"/>
                <w:kern w:val="0"/>
                <w:szCs w:val="21"/>
              </w:rPr>
            </w:pPr>
          </w:p>
        </w:tc>
      </w:tr>
      <w:tr>
        <w:tblPrEx>
          <w:tblCellMar>
            <w:top w:w="0" w:type="dxa"/>
            <w:left w:w="108" w:type="dxa"/>
            <w:bottom w:w="0" w:type="dxa"/>
            <w:right w:w="108" w:type="dxa"/>
          </w:tblCellMar>
        </w:tblPrEx>
        <w:trPr>
          <w:trHeight w:val="340" w:hRule="exact"/>
          <w:jc w:val="center"/>
        </w:trPr>
        <w:tc>
          <w:tcPr>
            <w:tcW w:w="742"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2181"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2597"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p>
        </w:tc>
        <w:tc>
          <w:tcPr>
            <w:tcW w:w="1566"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p>
        </w:tc>
        <w:tc>
          <w:tcPr>
            <w:tcW w:w="1357" w:type="dxa"/>
            <w:tcBorders>
              <w:top w:val="single" w:color="auto" w:sz="4" w:space="0"/>
              <w:left w:val="nil"/>
              <w:bottom w:val="single" w:color="auto" w:sz="4" w:space="0"/>
              <w:right w:val="single" w:color="auto" w:sz="8" w:space="0"/>
            </w:tcBorders>
            <w:noWrap w:val="0"/>
            <w:vAlign w:val="center"/>
          </w:tcPr>
          <w:p>
            <w:pPr>
              <w:adjustRightInd w:val="0"/>
              <w:snapToGrid w:val="0"/>
              <w:spacing w:line="240" w:lineRule="exact"/>
              <w:jc w:val="center"/>
              <w:rPr>
                <w:rFonts w:eastAsia="仿宋_GB2312"/>
                <w:color w:val="000000"/>
                <w:spacing w:val="-2"/>
                <w:kern w:val="0"/>
                <w:szCs w:val="21"/>
              </w:rPr>
            </w:pPr>
          </w:p>
        </w:tc>
      </w:tr>
      <w:tr>
        <w:tblPrEx>
          <w:tblCellMar>
            <w:top w:w="0" w:type="dxa"/>
            <w:left w:w="108" w:type="dxa"/>
            <w:bottom w:w="0" w:type="dxa"/>
            <w:right w:w="108" w:type="dxa"/>
          </w:tblCellMar>
        </w:tblPrEx>
        <w:trPr>
          <w:trHeight w:val="340" w:hRule="exact"/>
          <w:jc w:val="center"/>
        </w:trPr>
        <w:tc>
          <w:tcPr>
            <w:tcW w:w="742"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2181"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2597"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p>
        </w:tc>
        <w:tc>
          <w:tcPr>
            <w:tcW w:w="1566"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p>
        </w:tc>
        <w:tc>
          <w:tcPr>
            <w:tcW w:w="1357" w:type="dxa"/>
            <w:tcBorders>
              <w:top w:val="single" w:color="auto" w:sz="4" w:space="0"/>
              <w:left w:val="nil"/>
              <w:bottom w:val="single" w:color="auto" w:sz="4" w:space="0"/>
              <w:right w:val="single" w:color="auto" w:sz="8" w:space="0"/>
            </w:tcBorders>
            <w:noWrap w:val="0"/>
            <w:vAlign w:val="center"/>
          </w:tcPr>
          <w:p>
            <w:pPr>
              <w:adjustRightInd w:val="0"/>
              <w:snapToGrid w:val="0"/>
              <w:spacing w:line="240" w:lineRule="exact"/>
              <w:jc w:val="center"/>
              <w:rPr>
                <w:rFonts w:eastAsia="仿宋_GB2312"/>
                <w:color w:val="000000"/>
                <w:spacing w:val="-2"/>
                <w:kern w:val="0"/>
                <w:szCs w:val="21"/>
              </w:rPr>
            </w:pPr>
          </w:p>
        </w:tc>
      </w:tr>
      <w:tr>
        <w:tblPrEx>
          <w:tblCellMar>
            <w:top w:w="0" w:type="dxa"/>
            <w:left w:w="108" w:type="dxa"/>
            <w:bottom w:w="0" w:type="dxa"/>
            <w:right w:w="108" w:type="dxa"/>
          </w:tblCellMar>
        </w:tblPrEx>
        <w:trPr>
          <w:trHeight w:val="340" w:hRule="exact"/>
          <w:jc w:val="center"/>
        </w:trPr>
        <w:tc>
          <w:tcPr>
            <w:tcW w:w="742"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2181"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r>
              <w:rPr>
                <w:rFonts w:hint="eastAsia" w:eastAsia="仿宋_GB2312"/>
                <w:color w:val="000000"/>
                <w:spacing w:val="-2"/>
                <w:kern w:val="0"/>
                <w:szCs w:val="21"/>
              </w:rPr>
              <w:t>监理单位</w:t>
            </w:r>
          </w:p>
        </w:tc>
        <w:tc>
          <w:tcPr>
            <w:tcW w:w="2597"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p>
        </w:tc>
        <w:tc>
          <w:tcPr>
            <w:tcW w:w="1566"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p>
        </w:tc>
        <w:tc>
          <w:tcPr>
            <w:tcW w:w="1357" w:type="dxa"/>
            <w:tcBorders>
              <w:top w:val="nil"/>
              <w:left w:val="nil"/>
              <w:bottom w:val="single" w:color="auto" w:sz="4" w:space="0"/>
              <w:right w:val="single" w:color="auto" w:sz="8" w:space="0"/>
            </w:tcBorders>
            <w:noWrap w:val="0"/>
            <w:vAlign w:val="center"/>
          </w:tcPr>
          <w:p>
            <w:pPr>
              <w:adjustRightInd w:val="0"/>
              <w:snapToGrid w:val="0"/>
              <w:spacing w:line="240" w:lineRule="exact"/>
              <w:jc w:val="center"/>
              <w:rPr>
                <w:rFonts w:eastAsia="仿宋_GB2312"/>
                <w:color w:val="000000"/>
                <w:spacing w:val="-2"/>
                <w:kern w:val="0"/>
                <w:szCs w:val="21"/>
              </w:rPr>
            </w:pPr>
          </w:p>
        </w:tc>
      </w:tr>
      <w:tr>
        <w:tblPrEx>
          <w:tblCellMar>
            <w:top w:w="0" w:type="dxa"/>
            <w:left w:w="108" w:type="dxa"/>
            <w:bottom w:w="0" w:type="dxa"/>
            <w:right w:w="108" w:type="dxa"/>
          </w:tblCellMar>
        </w:tblPrEx>
        <w:trPr>
          <w:trHeight w:val="340" w:hRule="exact"/>
          <w:jc w:val="center"/>
        </w:trPr>
        <w:tc>
          <w:tcPr>
            <w:tcW w:w="742"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2181" w:type="dxa"/>
            <w:gridSpan w:val="2"/>
            <w:vMerge w:val="restart"/>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r>
              <w:rPr>
                <w:rFonts w:hint="eastAsia" w:eastAsia="仿宋_GB2312"/>
                <w:color w:val="000000"/>
                <w:spacing w:val="-2"/>
                <w:kern w:val="0"/>
                <w:szCs w:val="21"/>
              </w:rPr>
              <w:t>检测机构</w:t>
            </w:r>
          </w:p>
        </w:tc>
        <w:tc>
          <w:tcPr>
            <w:tcW w:w="2597"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p>
        </w:tc>
        <w:tc>
          <w:tcPr>
            <w:tcW w:w="1566"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p>
        </w:tc>
        <w:tc>
          <w:tcPr>
            <w:tcW w:w="1357" w:type="dxa"/>
            <w:tcBorders>
              <w:top w:val="nil"/>
              <w:left w:val="nil"/>
              <w:bottom w:val="single" w:color="auto" w:sz="4" w:space="0"/>
              <w:right w:val="single" w:color="auto" w:sz="8" w:space="0"/>
            </w:tcBorders>
            <w:noWrap w:val="0"/>
            <w:vAlign w:val="center"/>
          </w:tcPr>
          <w:p>
            <w:pPr>
              <w:adjustRightInd w:val="0"/>
              <w:snapToGrid w:val="0"/>
              <w:spacing w:line="240" w:lineRule="exact"/>
              <w:jc w:val="center"/>
              <w:rPr>
                <w:rFonts w:eastAsia="仿宋_GB2312"/>
                <w:color w:val="000000"/>
                <w:spacing w:val="-2"/>
                <w:kern w:val="0"/>
                <w:szCs w:val="21"/>
              </w:rPr>
            </w:pPr>
          </w:p>
        </w:tc>
      </w:tr>
      <w:tr>
        <w:tblPrEx>
          <w:tblCellMar>
            <w:top w:w="0" w:type="dxa"/>
            <w:left w:w="108" w:type="dxa"/>
            <w:bottom w:w="0" w:type="dxa"/>
            <w:right w:w="108" w:type="dxa"/>
          </w:tblCellMar>
        </w:tblPrEx>
        <w:trPr>
          <w:trHeight w:val="340" w:hRule="exact"/>
          <w:jc w:val="center"/>
        </w:trPr>
        <w:tc>
          <w:tcPr>
            <w:tcW w:w="742"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2181" w:type="dxa"/>
            <w:gridSpan w:val="2"/>
            <w:vMerge w:val="continue"/>
            <w:tcBorders>
              <w:top w:val="single" w:color="auto" w:sz="4" w:space="0"/>
              <w:left w:val="nil"/>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2597"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p>
        </w:tc>
        <w:tc>
          <w:tcPr>
            <w:tcW w:w="1566"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p>
        </w:tc>
        <w:tc>
          <w:tcPr>
            <w:tcW w:w="1357" w:type="dxa"/>
            <w:tcBorders>
              <w:top w:val="nil"/>
              <w:left w:val="nil"/>
              <w:bottom w:val="single" w:color="auto" w:sz="4" w:space="0"/>
              <w:right w:val="single" w:color="auto" w:sz="8" w:space="0"/>
            </w:tcBorders>
            <w:noWrap w:val="0"/>
            <w:vAlign w:val="center"/>
          </w:tcPr>
          <w:p>
            <w:pPr>
              <w:adjustRightInd w:val="0"/>
              <w:snapToGrid w:val="0"/>
              <w:spacing w:line="240" w:lineRule="exact"/>
              <w:jc w:val="center"/>
              <w:rPr>
                <w:rFonts w:eastAsia="仿宋_GB2312"/>
                <w:color w:val="000000"/>
                <w:spacing w:val="-2"/>
                <w:kern w:val="0"/>
                <w:szCs w:val="21"/>
              </w:rPr>
            </w:pPr>
          </w:p>
        </w:tc>
      </w:tr>
      <w:tr>
        <w:tblPrEx>
          <w:tblCellMar>
            <w:top w:w="0" w:type="dxa"/>
            <w:left w:w="108" w:type="dxa"/>
            <w:bottom w:w="0" w:type="dxa"/>
            <w:right w:w="108" w:type="dxa"/>
          </w:tblCellMar>
        </w:tblPrEx>
        <w:trPr>
          <w:trHeight w:val="340" w:hRule="exact"/>
          <w:jc w:val="center"/>
        </w:trPr>
        <w:tc>
          <w:tcPr>
            <w:tcW w:w="742"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2181"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r>
              <w:rPr>
                <w:rFonts w:hint="eastAsia" w:eastAsia="仿宋_GB2312"/>
                <w:color w:val="000000"/>
                <w:spacing w:val="-2"/>
                <w:kern w:val="0"/>
                <w:szCs w:val="21"/>
              </w:rPr>
              <w:t>商品砼生产单位</w:t>
            </w:r>
          </w:p>
        </w:tc>
        <w:tc>
          <w:tcPr>
            <w:tcW w:w="2597"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p>
        </w:tc>
        <w:tc>
          <w:tcPr>
            <w:tcW w:w="1566"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p>
        </w:tc>
        <w:tc>
          <w:tcPr>
            <w:tcW w:w="1357" w:type="dxa"/>
            <w:tcBorders>
              <w:top w:val="nil"/>
              <w:left w:val="nil"/>
              <w:bottom w:val="single" w:color="auto" w:sz="4" w:space="0"/>
              <w:right w:val="single" w:color="auto" w:sz="8" w:space="0"/>
            </w:tcBorders>
            <w:noWrap w:val="0"/>
            <w:vAlign w:val="center"/>
          </w:tcPr>
          <w:p>
            <w:pPr>
              <w:adjustRightInd w:val="0"/>
              <w:snapToGrid w:val="0"/>
              <w:spacing w:line="240" w:lineRule="exact"/>
              <w:jc w:val="center"/>
              <w:rPr>
                <w:rFonts w:eastAsia="仿宋_GB2312"/>
                <w:color w:val="000000"/>
                <w:spacing w:val="-2"/>
                <w:kern w:val="0"/>
                <w:szCs w:val="21"/>
              </w:rPr>
            </w:pPr>
          </w:p>
        </w:tc>
      </w:tr>
      <w:tr>
        <w:tblPrEx>
          <w:tblCellMar>
            <w:top w:w="0" w:type="dxa"/>
            <w:left w:w="108" w:type="dxa"/>
            <w:bottom w:w="0" w:type="dxa"/>
            <w:right w:w="108" w:type="dxa"/>
          </w:tblCellMar>
        </w:tblPrEx>
        <w:trPr>
          <w:trHeight w:val="340" w:hRule="exact"/>
          <w:jc w:val="center"/>
        </w:trPr>
        <w:tc>
          <w:tcPr>
            <w:tcW w:w="742"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2181"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r>
              <w:rPr>
                <w:rFonts w:hint="eastAsia" w:eastAsia="仿宋_GB2312"/>
                <w:color w:val="000000"/>
                <w:spacing w:val="-2"/>
                <w:kern w:val="0"/>
                <w:szCs w:val="21"/>
              </w:rPr>
              <w:t>预拌砂浆生产单位</w:t>
            </w:r>
          </w:p>
        </w:tc>
        <w:tc>
          <w:tcPr>
            <w:tcW w:w="2597"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p>
        </w:tc>
        <w:tc>
          <w:tcPr>
            <w:tcW w:w="1566"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p>
        </w:tc>
        <w:tc>
          <w:tcPr>
            <w:tcW w:w="1357" w:type="dxa"/>
            <w:tcBorders>
              <w:top w:val="nil"/>
              <w:left w:val="nil"/>
              <w:bottom w:val="single" w:color="auto" w:sz="4" w:space="0"/>
              <w:right w:val="single" w:color="auto" w:sz="8" w:space="0"/>
            </w:tcBorders>
            <w:noWrap w:val="0"/>
            <w:vAlign w:val="center"/>
          </w:tcPr>
          <w:p>
            <w:pPr>
              <w:adjustRightInd w:val="0"/>
              <w:snapToGrid w:val="0"/>
              <w:spacing w:line="240" w:lineRule="exact"/>
              <w:jc w:val="center"/>
              <w:rPr>
                <w:rFonts w:eastAsia="仿宋_GB2312"/>
                <w:color w:val="000000"/>
                <w:spacing w:val="-2"/>
                <w:kern w:val="0"/>
                <w:szCs w:val="21"/>
              </w:rPr>
            </w:pPr>
          </w:p>
        </w:tc>
      </w:tr>
      <w:tr>
        <w:tblPrEx>
          <w:tblCellMar>
            <w:top w:w="0" w:type="dxa"/>
            <w:left w:w="108" w:type="dxa"/>
            <w:bottom w:w="0" w:type="dxa"/>
            <w:right w:w="108" w:type="dxa"/>
          </w:tblCellMar>
        </w:tblPrEx>
        <w:trPr>
          <w:trHeight w:val="340" w:hRule="exact"/>
          <w:jc w:val="center"/>
        </w:trPr>
        <w:tc>
          <w:tcPr>
            <w:tcW w:w="742"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2181"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r>
              <w:rPr>
                <w:rFonts w:hint="eastAsia" w:eastAsia="仿宋_GB2312"/>
                <w:color w:val="000000"/>
                <w:spacing w:val="-2"/>
                <w:kern w:val="0"/>
                <w:szCs w:val="21"/>
              </w:rPr>
              <w:t>施工图审查机构</w:t>
            </w:r>
          </w:p>
        </w:tc>
        <w:tc>
          <w:tcPr>
            <w:tcW w:w="2597"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p>
        </w:tc>
        <w:tc>
          <w:tcPr>
            <w:tcW w:w="1566"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p>
        </w:tc>
        <w:tc>
          <w:tcPr>
            <w:tcW w:w="1357" w:type="dxa"/>
            <w:tcBorders>
              <w:top w:val="nil"/>
              <w:left w:val="nil"/>
              <w:bottom w:val="single" w:color="auto" w:sz="4" w:space="0"/>
              <w:right w:val="single" w:color="auto" w:sz="8" w:space="0"/>
            </w:tcBorders>
            <w:noWrap w:val="0"/>
            <w:vAlign w:val="center"/>
          </w:tcPr>
          <w:p>
            <w:pPr>
              <w:adjustRightInd w:val="0"/>
              <w:snapToGrid w:val="0"/>
              <w:spacing w:line="240" w:lineRule="exact"/>
              <w:jc w:val="center"/>
              <w:rPr>
                <w:rFonts w:eastAsia="仿宋_GB2312"/>
                <w:color w:val="000000"/>
                <w:spacing w:val="-2"/>
                <w:kern w:val="0"/>
                <w:szCs w:val="21"/>
              </w:rPr>
            </w:pPr>
          </w:p>
        </w:tc>
      </w:tr>
      <w:tr>
        <w:tblPrEx>
          <w:tblCellMar>
            <w:top w:w="0" w:type="dxa"/>
            <w:left w:w="108" w:type="dxa"/>
            <w:bottom w:w="0" w:type="dxa"/>
            <w:right w:w="108" w:type="dxa"/>
          </w:tblCellMar>
        </w:tblPrEx>
        <w:trPr>
          <w:trHeight w:val="340" w:hRule="exact"/>
          <w:jc w:val="center"/>
        </w:trPr>
        <w:tc>
          <w:tcPr>
            <w:tcW w:w="2923" w:type="dxa"/>
            <w:gridSpan w:val="3"/>
            <w:tcBorders>
              <w:top w:val="single" w:color="auto" w:sz="4" w:space="0"/>
              <w:left w:val="single" w:color="auto" w:sz="8" w:space="0"/>
              <w:bottom w:val="single" w:color="auto" w:sz="4" w:space="0"/>
              <w:right w:val="single" w:color="auto" w:sz="4" w:space="0"/>
            </w:tcBorders>
            <w:noWrap w:val="0"/>
            <w:vAlign w:val="center"/>
          </w:tcPr>
          <w:p>
            <w:pPr>
              <w:adjustRightInd w:val="0"/>
              <w:snapToGrid w:val="0"/>
              <w:spacing w:line="240" w:lineRule="exact"/>
              <w:jc w:val="center"/>
              <w:rPr>
                <w:rFonts w:eastAsia="仿宋_GB2312"/>
                <w:color w:val="000000"/>
                <w:spacing w:val="-2"/>
                <w:kern w:val="0"/>
                <w:szCs w:val="21"/>
              </w:rPr>
            </w:pPr>
            <w:r>
              <w:rPr>
                <w:rFonts w:hint="eastAsia" w:eastAsia="仿宋_GB2312"/>
                <w:color w:val="000000"/>
                <w:spacing w:val="-2"/>
                <w:kern w:val="0"/>
                <w:szCs w:val="21"/>
              </w:rPr>
              <w:t>备</w:t>
            </w:r>
            <w:r>
              <w:rPr>
                <w:rFonts w:eastAsia="仿宋_GB2312"/>
                <w:color w:val="000000"/>
                <w:spacing w:val="-2"/>
                <w:kern w:val="0"/>
                <w:szCs w:val="21"/>
              </w:rPr>
              <w:t xml:space="preserve">   </w:t>
            </w:r>
            <w:r>
              <w:rPr>
                <w:rFonts w:hint="eastAsia" w:eastAsia="仿宋_GB2312"/>
                <w:color w:val="000000"/>
                <w:spacing w:val="-2"/>
                <w:kern w:val="0"/>
                <w:szCs w:val="21"/>
              </w:rPr>
              <w:t>注</w:t>
            </w:r>
          </w:p>
        </w:tc>
        <w:tc>
          <w:tcPr>
            <w:tcW w:w="5520" w:type="dxa"/>
            <w:gridSpan w:val="5"/>
            <w:tcBorders>
              <w:top w:val="single" w:color="auto" w:sz="4" w:space="0"/>
              <w:left w:val="nil"/>
              <w:bottom w:val="single" w:color="auto" w:sz="4" w:space="0"/>
              <w:right w:val="single" w:color="auto" w:sz="8" w:space="0"/>
            </w:tcBorders>
            <w:noWrap w:val="0"/>
            <w:vAlign w:val="center"/>
          </w:tcPr>
          <w:p>
            <w:pPr>
              <w:adjustRightInd w:val="0"/>
              <w:snapToGrid w:val="0"/>
              <w:spacing w:line="240" w:lineRule="exact"/>
              <w:jc w:val="center"/>
              <w:rPr>
                <w:rFonts w:eastAsia="仿宋_GB2312"/>
                <w:color w:val="000000"/>
                <w:spacing w:val="-2"/>
                <w:kern w:val="0"/>
                <w:szCs w:val="21"/>
              </w:rPr>
            </w:pPr>
          </w:p>
        </w:tc>
      </w:tr>
      <w:tr>
        <w:tblPrEx>
          <w:tblCellMar>
            <w:top w:w="0" w:type="dxa"/>
            <w:left w:w="108" w:type="dxa"/>
            <w:bottom w:w="0" w:type="dxa"/>
            <w:right w:w="108" w:type="dxa"/>
          </w:tblCellMar>
        </w:tblPrEx>
        <w:trPr>
          <w:trHeight w:val="340" w:hRule="exact"/>
          <w:jc w:val="center"/>
        </w:trPr>
        <w:tc>
          <w:tcPr>
            <w:tcW w:w="2923" w:type="dxa"/>
            <w:gridSpan w:val="3"/>
            <w:tcBorders>
              <w:top w:val="single" w:color="auto" w:sz="4" w:space="0"/>
              <w:left w:val="single" w:color="auto" w:sz="8" w:space="0"/>
              <w:bottom w:val="single" w:color="auto" w:sz="8" w:space="0"/>
              <w:right w:val="single" w:color="auto" w:sz="4" w:space="0"/>
            </w:tcBorders>
            <w:noWrap w:val="0"/>
            <w:vAlign w:val="center"/>
          </w:tcPr>
          <w:p>
            <w:pPr>
              <w:adjustRightInd w:val="0"/>
              <w:snapToGrid w:val="0"/>
              <w:spacing w:line="240" w:lineRule="exact"/>
              <w:rPr>
                <w:rFonts w:eastAsia="仿宋_GB2312"/>
                <w:color w:val="000000"/>
                <w:spacing w:val="-2"/>
                <w:kern w:val="0"/>
                <w:szCs w:val="21"/>
              </w:rPr>
            </w:pPr>
            <w:r>
              <w:rPr>
                <w:rFonts w:hint="eastAsia" w:eastAsia="仿宋_GB2312"/>
                <w:color w:val="000000"/>
                <w:spacing w:val="-2"/>
                <w:kern w:val="0"/>
                <w:szCs w:val="21"/>
              </w:rPr>
              <w:t>填表单位签字：</w:t>
            </w:r>
          </w:p>
        </w:tc>
        <w:tc>
          <w:tcPr>
            <w:tcW w:w="5520" w:type="dxa"/>
            <w:gridSpan w:val="5"/>
            <w:tcBorders>
              <w:top w:val="single" w:color="auto" w:sz="4" w:space="0"/>
              <w:left w:val="nil"/>
              <w:bottom w:val="single" w:color="auto" w:sz="8" w:space="0"/>
              <w:right w:val="single" w:color="auto" w:sz="8" w:space="0"/>
            </w:tcBorders>
            <w:noWrap w:val="0"/>
            <w:vAlign w:val="center"/>
          </w:tcPr>
          <w:p>
            <w:pPr>
              <w:adjustRightInd w:val="0"/>
              <w:snapToGrid w:val="0"/>
              <w:spacing w:line="240" w:lineRule="exact"/>
              <w:jc w:val="center"/>
              <w:rPr>
                <w:rFonts w:eastAsia="仿宋_GB2312"/>
                <w:color w:val="000000"/>
                <w:spacing w:val="-2"/>
                <w:kern w:val="0"/>
                <w:szCs w:val="21"/>
              </w:rPr>
            </w:pPr>
            <w:r>
              <w:rPr>
                <w:rFonts w:hint="eastAsia" w:eastAsia="仿宋_GB2312"/>
                <w:color w:val="000000"/>
                <w:spacing w:val="-2"/>
                <w:kern w:val="0"/>
                <w:szCs w:val="21"/>
              </w:rPr>
              <w:t>被检查单位签字：</w:t>
            </w:r>
          </w:p>
        </w:tc>
      </w:tr>
    </w:tbl>
    <w:p>
      <w:pPr>
        <w:pStyle w:val="7"/>
        <w:adjustRightInd w:val="0"/>
        <w:snapToGrid w:val="0"/>
        <w:spacing w:line="570" w:lineRule="exact"/>
        <w:jc w:val="center"/>
        <w:rPr>
          <w:rFonts w:hint="eastAsia" w:ascii="Times New Roman" w:hAnsi="Times New Roman" w:eastAsia="方正黑体_GBK"/>
          <w:bCs/>
          <w:color w:val="000000"/>
          <w:spacing w:val="-2"/>
          <w:sz w:val="28"/>
          <w:szCs w:val="28"/>
        </w:rPr>
      </w:pPr>
      <w:r>
        <w:rPr>
          <w:rFonts w:hint="eastAsia" w:ascii="Times New Roman" w:hAnsi="Times New Roman" w:eastAsia="方正黑体_GBK"/>
          <w:bCs/>
          <w:color w:val="000000"/>
          <w:spacing w:val="-2"/>
          <w:sz w:val="28"/>
          <w:szCs w:val="28"/>
        </w:rPr>
        <w:t>建筑市场综合考核用表之二 （建设程序情况）</w:t>
      </w:r>
    </w:p>
    <w:p>
      <w:pPr>
        <w:adjustRightInd w:val="0"/>
        <w:snapToGrid w:val="0"/>
        <w:spacing w:line="570" w:lineRule="exact"/>
        <w:rPr>
          <w:rFonts w:hint="eastAsia" w:ascii="Times New Roman" w:hAnsi="Times New Roman" w:eastAsia="仿宋_GB2312"/>
          <w:bCs/>
          <w:color w:val="000000"/>
          <w:spacing w:val="-2"/>
          <w:kern w:val="0"/>
          <w:sz w:val="24"/>
        </w:rPr>
      </w:pPr>
      <w:r>
        <w:rPr>
          <w:rFonts w:hint="eastAsia" w:ascii="Times New Roman" w:hAnsi="Times New Roman" w:eastAsia="仿宋_GB2312"/>
          <w:bCs/>
          <w:color w:val="000000"/>
          <w:spacing w:val="-2"/>
          <w:kern w:val="0"/>
          <w:sz w:val="24"/>
        </w:rPr>
        <w:t xml:space="preserve">项目编号：                                            检查日期：  </w:t>
      </w: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1"/>
        <w:gridCol w:w="1508"/>
        <w:gridCol w:w="1994"/>
        <w:gridCol w:w="1116"/>
        <w:gridCol w:w="1929"/>
        <w:gridCol w:w="694"/>
        <w:gridCol w:w="599"/>
        <w:gridCol w:w="9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282" w:type="dxa"/>
            <w:gridSpan w:val="8"/>
            <w:tcBorders>
              <w:top w:val="single" w:color="auto" w:sz="8" w:space="0"/>
              <w:left w:val="single" w:color="auto" w:sz="8" w:space="0"/>
              <w:bottom w:val="single" w:color="auto" w:sz="4" w:space="0"/>
              <w:right w:val="single" w:color="auto" w:sz="8" w:space="0"/>
            </w:tcBorders>
            <w:shd w:val="clear" w:color="auto" w:fill="FFFFFF"/>
            <w:noWrap w:val="0"/>
            <w:vAlign w:val="center"/>
          </w:tcPr>
          <w:p>
            <w:pPr>
              <w:adjustRightInd w:val="0"/>
              <w:snapToGrid w:val="0"/>
              <w:spacing w:line="300" w:lineRule="exact"/>
              <w:rPr>
                <w:rFonts w:eastAsia="仿宋_GB2312"/>
                <w:b/>
                <w:bCs/>
                <w:color w:val="000000"/>
                <w:spacing w:val="-2"/>
                <w:kern w:val="0"/>
                <w:szCs w:val="21"/>
              </w:rPr>
            </w:pPr>
            <w:r>
              <w:rPr>
                <w:rFonts w:hint="eastAsia" w:eastAsia="仿宋_GB2312"/>
                <w:b/>
                <w:bCs/>
                <w:color w:val="000000"/>
                <w:spacing w:val="-2"/>
                <w:kern w:val="0"/>
                <w:szCs w:val="21"/>
              </w:rPr>
              <w:t>建设单位（</w:t>
            </w:r>
            <w:r>
              <w:rPr>
                <w:rFonts w:eastAsia="仿宋_GB2312"/>
                <w:b/>
                <w:bCs/>
                <w:color w:val="000000"/>
                <w:spacing w:val="-2"/>
                <w:kern w:val="0"/>
                <w:szCs w:val="21"/>
              </w:rPr>
              <w:t>100</w:t>
            </w:r>
            <w:r>
              <w:rPr>
                <w:rFonts w:hint="eastAsia" w:eastAsia="仿宋_GB2312"/>
                <w:b/>
                <w:bCs/>
                <w:color w:val="000000"/>
                <w:spacing w:val="-2"/>
                <w:kern w:val="0"/>
                <w:szCs w:val="21"/>
              </w:rPr>
              <w:t>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481" w:type="dxa"/>
            <w:tcBorders>
              <w:top w:val="single" w:color="auto" w:sz="4" w:space="0"/>
              <w:left w:val="single" w:color="auto" w:sz="8" w:space="0"/>
              <w:bottom w:val="single" w:color="auto" w:sz="4" w:space="0"/>
              <w:right w:val="single" w:color="auto" w:sz="4" w:space="0"/>
            </w:tcBorders>
            <w:noWrap w:val="0"/>
            <w:vAlign w:val="center"/>
          </w:tcPr>
          <w:p>
            <w:pPr>
              <w:adjustRightInd w:val="0"/>
              <w:snapToGrid w:val="0"/>
              <w:spacing w:line="300" w:lineRule="exact"/>
              <w:ind w:left="-105" w:leftChars="-50" w:right="-105" w:rightChars="-50"/>
              <w:jc w:val="center"/>
              <w:rPr>
                <w:rFonts w:ascii="Times New Roman" w:eastAsia="方正黑体_GBK"/>
                <w:bCs/>
                <w:color w:val="000000"/>
                <w:spacing w:val="-2"/>
                <w:kern w:val="0"/>
                <w:szCs w:val="21"/>
              </w:rPr>
            </w:pPr>
            <w:r>
              <w:rPr>
                <w:rFonts w:hint="eastAsia" w:ascii="Times New Roman" w:eastAsia="方正黑体_GBK"/>
                <w:bCs/>
                <w:color w:val="000000"/>
                <w:spacing w:val="-2"/>
                <w:kern w:val="0"/>
                <w:szCs w:val="21"/>
              </w:rPr>
              <w:t>序号</w:t>
            </w:r>
          </w:p>
        </w:tc>
        <w:tc>
          <w:tcPr>
            <w:tcW w:w="150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ind w:left="-105" w:leftChars="-50" w:right="-105" w:rightChars="-50"/>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检查项目</w:t>
            </w:r>
          </w:p>
        </w:tc>
        <w:tc>
          <w:tcPr>
            <w:tcW w:w="199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ind w:left="-105" w:leftChars="-50" w:right="-105" w:rightChars="-50"/>
              <w:jc w:val="center"/>
              <w:rPr>
                <w:rFonts w:ascii="Times New Roman" w:eastAsia="方正黑体_GBK"/>
                <w:bCs/>
                <w:color w:val="000000"/>
                <w:spacing w:val="-2"/>
                <w:kern w:val="0"/>
                <w:szCs w:val="21"/>
              </w:rPr>
            </w:pPr>
            <w:r>
              <w:rPr>
                <w:rFonts w:hint="eastAsia" w:ascii="Times New Roman" w:eastAsia="方正黑体_GBK"/>
                <w:bCs/>
                <w:color w:val="000000"/>
                <w:spacing w:val="-2"/>
                <w:kern w:val="0"/>
                <w:szCs w:val="21"/>
              </w:rPr>
              <w:t>检 查 内 容</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ind w:left="-105" w:leftChars="-50" w:right="-105" w:rightChars="-50"/>
              <w:jc w:val="center"/>
              <w:rPr>
                <w:rFonts w:ascii="Times New Roman" w:eastAsia="方正黑体_GBK"/>
                <w:bCs/>
                <w:color w:val="000000"/>
                <w:spacing w:val="-2"/>
                <w:kern w:val="0"/>
                <w:szCs w:val="21"/>
              </w:rPr>
            </w:pPr>
            <w:r>
              <w:rPr>
                <w:rFonts w:hint="eastAsia" w:ascii="Times New Roman" w:eastAsia="方正黑体_GBK"/>
                <w:bCs/>
                <w:color w:val="000000"/>
                <w:spacing w:val="-2"/>
                <w:kern w:val="0"/>
                <w:szCs w:val="21"/>
              </w:rPr>
              <w:t>评分</w:t>
            </w:r>
          </w:p>
          <w:p>
            <w:pPr>
              <w:adjustRightInd w:val="0"/>
              <w:snapToGrid w:val="0"/>
              <w:spacing w:line="300" w:lineRule="exact"/>
              <w:ind w:left="-105" w:leftChars="-50" w:right="-105" w:rightChars="-50"/>
              <w:jc w:val="center"/>
              <w:rPr>
                <w:rFonts w:ascii="Times New Roman" w:eastAsia="方正黑体_GBK"/>
                <w:bCs/>
                <w:color w:val="000000"/>
                <w:spacing w:val="-2"/>
                <w:kern w:val="0"/>
                <w:szCs w:val="21"/>
              </w:rPr>
            </w:pPr>
            <w:r>
              <w:rPr>
                <w:rFonts w:hint="eastAsia" w:ascii="Times New Roman" w:eastAsia="方正黑体_GBK"/>
                <w:bCs/>
                <w:color w:val="000000"/>
                <w:spacing w:val="-2"/>
                <w:kern w:val="0"/>
                <w:szCs w:val="21"/>
              </w:rPr>
              <w:t>标准</w:t>
            </w:r>
          </w:p>
        </w:tc>
        <w:tc>
          <w:tcPr>
            <w:tcW w:w="192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ind w:left="-105" w:leftChars="-50" w:right="-105" w:rightChars="-50"/>
              <w:jc w:val="center"/>
              <w:rPr>
                <w:rFonts w:ascii="Times New Roman" w:eastAsia="方正黑体_GBK"/>
                <w:bCs/>
                <w:color w:val="000000"/>
                <w:spacing w:val="-2"/>
                <w:kern w:val="0"/>
                <w:szCs w:val="21"/>
              </w:rPr>
            </w:pPr>
            <w:r>
              <w:rPr>
                <w:rFonts w:hint="eastAsia" w:ascii="Times New Roman" w:eastAsia="方正黑体_GBK"/>
                <w:bCs/>
                <w:color w:val="000000"/>
                <w:spacing w:val="-2"/>
                <w:kern w:val="0"/>
                <w:szCs w:val="21"/>
              </w:rPr>
              <w:t>结果描述</w:t>
            </w:r>
          </w:p>
        </w:tc>
        <w:tc>
          <w:tcPr>
            <w:tcW w:w="69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ind w:left="-105" w:leftChars="-50" w:right="-105" w:rightChars="-50"/>
              <w:jc w:val="center"/>
              <w:rPr>
                <w:rFonts w:ascii="Times New Roman" w:eastAsia="方正黑体_GBK"/>
                <w:bCs/>
                <w:color w:val="000000"/>
                <w:spacing w:val="-2"/>
                <w:kern w:val="0"/>
                <w:szCs w:val="21"/>
              </w:rPr>
            </w:pPr>
            <w:r>
              <w:rPr>
                <w:rFonts w:hint="eastAsia" w:ascii="Times New Roman" w:eastAsia="方正黑体_GBK"/>
                <w:bCs/>
                <w:color w:val="000000"/>
                <w:spacing w:val="-2"/>
                <w:kern w:val="0"/>
                <w:szCs w:val="21"/>
              </w:rPr>
              <w:t>扣分</w:t>
            </w:r>
          </w:p>
        </w:tc>
        <w:tc>
          <w:tcPr>
            <w:tcW w:w="59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ind w:left="-105" w:leftChars="-50" w:right="-105" w:rightChars="-50"/>
              <w:jc w:val="center"/>
              <w:rPr>
                <w:rFonts w:ascii="Times New Roman" w:eastAsia="方正黑体_GBK"/>
                <w:bCs/>
                <w:color w:val="000000"/>
                <w:spacing w:val="-2"/>
                <w:kern w:val="0"/>
                <w:szCs w:val="21"/>
              </w:rPr>
            </w:pPr>
            <w:r>
              <w:rPr>
                <w:rFonts w:hint="eastAsia" w:ascii="Times New Roman" w:eastAsia="方正黑体_GBK"/>
                <w:bCs/>
                <w:color w:val="000000"/>
                <w:spacing w:val="-2"/>
                <w:kern w:val="0"/>
                <w:szCs w:val="21"/>
              </w:rPr>
              <w:t>得分</w:t>
            </w:r>
          </w:p>
        </w:tc>
        <w:tc>
          <w:tcPr>
            <w:tcW w:w="961"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300" w:lineRule="exact"/>
              <w:ind w:left="-105" w:leftChars="-50" w:right="-105" w:rightChars="-50"/>
              <w:jc w:val="center"/>
              <w:rPr>
                <w:rFonts w:ascii="Times New Roman" w:eastAsia="方正黑体_GBK"/>
                <w:bCs/>
                <w:color w:val="000000"/>
                <w:spacing w:val="-2"/>
                <w:kern w:val="0"/>
                <w:szCs w:val="21"/>
              </w:rPr>
            </w:pPr>
            <w:r>
              <w:rPr>
                <w:rFonts w:hint="eastAsia" w:ascii="Times New Roman" w:eastAsia="方正黑体_GBK"/>
                <w:bCs/>
                <w:color w:val="000000"/>
                <w:spacing w:val="-2"/>
                <w:kern w:val="0"/>
                <w:szCs w:val="21"/>
              </w:rPr>
              <w:t>扣分原因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481" w:type="dxa"/>
            <w:tcBorders>
              <w:top w:val="single" w:color="auto" w:sz="4" w:space="0"/>
              <w:left w:val="single" w:color="auto" w:sz="8"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r>
              <w:rPr>
                <w:rFonts w:eastAsia="仿宋_GB2312"/>
                <w:color w:val="000000"/>
                <w:spacing w:val="-2"/>
                <w:kern w:val="0"/>
                <w:szCs w:val="21"/>
              </w:rPr>
              <w:t>1</w:t>
            </w:r>
          </w:p>
        </w:tc>
        <w:tc>
          <w:tcPr>
            <w:tcW w:w="150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r>
              <w:rPr>
                <w:rFonts w:hint="eastAsia" w:eastAsia="仿宋_GB2312"/>
                <w:color w:val="000000"/>
                <w:spacing w:val="-2"/>
                <w:kern w:val="0"/>
                <w:szCs w:val="21"/>
              </w:rPr>
              <w:t>施工许可证</w:t>
            </w:r>
          </w:p>
          <w:p>
            <w:pPr>
              <w:adjustRightInd w:val="0"/>
              <w:snapToGrid w:val="0"/>
              <w:spacing w:line="300" w:lineRule="exact"/>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20</w:t>
            </w:r>
            <w:r>
              <w:rPr>
                <w:rFonts w:hint="eastAsia" w:eastAsia="仿宋_GB2312"/>
                <w:color w:val="000000"/>
                <w:spacing w:val="-2"/>
                <w:kern w:val="0"/>
                <w:szCs w:val="21"/>
              </w:rPr>
              <w:t>分）</w:t>
            </w:r>
          </w:p>
        </w:tc>
        <w:tc>
          <w:tcPr>
            <w:tcW w:w="199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r>
              <w:rPr>
                <w:rFonts w:hint="eastAsia" w:eastAsia="仿宋_GB2312"/>
                <w:color w:val="000000"/>
                <w:spacing w:val="-2"/>
                <w:kern w:val="0"/>
                <w:szCs w:val="21"/>
              </w:rPr>
              <w:t>是否有施工许可证</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r>
              <w:rPr>
                <w:rFonts w:hint="eastAsia" w:eastAsia="仿宋_GB2312"/>
                <w:color w:val="000000"/>
                <w:spacing w:val="-2"/>
                <w:kern w:val="0"/>
                <w:szCs w:val="21"/>
              </w:rPr>
              <w:t>无证施工扣</w:t>
            </w:r>
            <w:r>
              <w:rPr>
                <w:rFonts w:eastAsia="仿宋_GB2312"/>
                <w:color w:val="000000"/>
                <w:spacing w:val="-2"/>
                <w:kern w:val="0"/>
                <w:szCs w:val="21"/>
              </w:rPr>
              <w:t>20</w:t>
            </w:r>
            <w:r>
              <w:rPr>
                <w:rFonts w:hint="eastAsia" w:eastAsia="仿宋_GB2312"/>
                <w:color w:val="000000"/>
                <w:spacing w:val="-2"/>
                <w:kern w:val="0"/>
                <w:szCs w:val="21"/>
              </w:rPr>
              <w:t>分</w:t>
            </w:r>
          </w:p>
        </w:tc>
        <w:tc>
          <w:tcPr>
            <w:tcW w:w="192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r>
              <w:rPr>
                <w:rFonts w:hint="eastAsia" w:eastAsia="仿宋_GB2312"/>
                <w:color w:val="000000"/>
                <w:spacing w:val="-2"/>
                <w:kern w:val="0"/>
                <w:szCs w:val="21"/>
              </w:rPr>
              <w:t>无施工许可证。</w:t>
            </w:r>
          </w:p>
        </w:tc>
        <w:tc>
          <w:tcPr>
            <w:tcW w:w="69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p>
        </w:tc>
        <w:tc>
          <w:tcPr>
            <w:tcW w:w="59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p>
        </w:tc>
        <w:tc>
          <w:tcPr>
            <w:tcW w:w="961"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300" w:lineRule="exact"/>
              <w:jc w:val="center"/>
              <w:rPr>
                <w:rFonts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481" w:type="dxa"/>
            <w:tcBorders>
              <w:top w:val="single" w:color="auto" w:sz="4" w:space="0"/>
              <w:left w:val="single" w:color="auto" w:sz="8"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r>
              <w:rPr>
                <w:rFonts w:eastAsia="仿宋_GB2312"/>
                <w:color w:val="000000"/>
                <w:spacing w:val="-2"/>
                <w:kern w:val="0"/>
                <w:szCs w:val="21"/>
              </w:rPr>
              <w:t>2</w:t>
            </w:r>
          </w:p>
        </w:tc>
        <w:tc>
          <w:tcPr>
            <w:tcW w:w="150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r>
              <w:rPr>
                <w:rFonts w:hint="eastAsia" w:eastAsia="仿宋_GB2312"/>
                <w:color w:val="000000"/>
                <w:spacing w:val="-2"/>
                <w:kern w:val="0"/>
                <w:szCs w:val="21"/>
              </w:rPr>
              <w:t>招标情况</w:t>
            </w:r>
          </w:p>
          <w:p>
            <w:pPr>
              <w:adjustRightInd w:val="0"/>
              <w:snapToGrid w:val="0"/>
              <w:spacing w:line="300" w:lineRule="exact"/>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10</w:t>
            </w:r>
            <w:r>
              <w:rPr>
                <w:rFonts w:hint="eastAsia" w:eastAsia="仿宋_GB2312"/>
                <w:color w:val="000000"/>
                <w:spacing w:val="-2"/>
                <w:kern w:val="0"/>
                <w:szCs w:val="21"/>
              </w:rPr>
              <w:t>分）</w:t>
            </w:r>
          </w:p>
        </w:tc>
        <w:tc>
          <w:tcPr>
            <w:tcW w:w="199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r>
              <w:rPr>
                <w:rFonts w:hint="eastAsia" w:eastAsia="仿宋_GB2312"/>
                <w:color w:val="000000"/>
                <w:spacing w:val="-2"/>
                <w:kern w:val="0"/>
                <w:szCs w:val="21"/>
              </w:rPr>
              <w:t>招标内容是否与实际施工情况一致</w:t>
            </w:r>
          </w:p>
        </w:tc>
        <w:tc>
          <w:tcPr>
            <w:tcW w:w="1116"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r>
              <w:rPr>
                <w:rFonts w:hint="eastAsia" w:eastAsia="仿宋_GB2312"/>
                <w:color w:val="000000"/>
                <w:spacing w:val="-2"/>
                <w:kern w:val="0"/>
                <w:szCs w:val="21"/>
              </w:rPr>
              <w:t>其中任何一项不符合要求扣</w:t>
            </w:r>
            <w:r>
              <w:rPr>
                <w:rFonts w:eastAsia="仿宋_GB2312"/>
                <w:color w:val="000000"/>
                <w:spacing w:val="-2"/>
                <w:kern w:val="0"/>
                <w:szCs w:val="21"/>
              </w:rPr>
              <w:t>10</w:t>
            </w:r>
            <w:r>
              <w:rPr>
                <w:rFonts w:hint="eastAsia" w:eastAsia="仿宋_GB2312"/>
                <w:color w:val="000000"/>
                <w:spacing w:val="-2"/>
                <w:kern w:val="0"/>
                <w:szCs w:val="21"/>
              </w:rPr>
              <w:t>分</w:t>
            </w:r>
          </w:p>
        </w:tc>
        <w:tc>
          <w:tcPr>
            <w:tcW w:w="192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r>
              <w:rPr>
                <w:rFonts w:hint="eastAsia" w:eastAsia="仿宋_GB2312"/>
                <w:color w:val="000000"/>
                <w:spacing w:val="-2"/>
                <w:kern w:val="0"/>
                <w:szCs w:val="21"/>
              </w:rPr>
              <w:t>招标内容与实际施工情况不一致</w:t>
            </w:r>
          </w:p>
        </w:tc>
        <w:tc>
          <w:tcPr>
            <w:tcW w:w="69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p>
        </w:tc>
        <w:tc>
          <w:tcPr>
            <w:tcW w:w="59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p>
        </w:tc>
        <w:tc>
          <w:tcPr>
            <w:tcW w:w="961"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300" w:lineRule="exact"/>
              <w:jc w:val="center"/>
              <w:rPr>
                <w:rFonts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481" w:type="dxa"/>
            <w:tcBorders>
              <w:top w:val="single" w:color="auto" w:sz="4" w:space="0"/>
              <w:left w:val="single" w:color="auto" w:sz="8"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r>
              <w:rPr>
                <w:rFonts w:eastAsia="仿宋_GB2312"/>
                <w:color w:val="000000"/>
                <w:spacing w:val="-2"/>
                <w:kern w:val="0"/>
                <w:szCs w:val="21"/>
              </w:rPr>
              <w:t>3</w:t>
            </w:r>
          </w:p>
        </w:tc>
        <w:tc>
          <w:tcPr>
            <w:tcW w:w="150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r>
              <w:rPr>
                <w:rFonts w:hint="eastAsia" w:eastAsia="仿宋_GB2312"/>
                <w:color w:val="000000"/>
                <w:spacing w:val="-2"/>
                <w:kern w:val="0"/>
                <w:szCs w:val="21"/>
              </w:rPr>
              <w:t>施工合同备案</w:t>
            </w:r>
          </w:p>
          <w:p>
            <w:pPr>
              <w:adjustRightInd w:val="0"/>
              <w:snapToGrid w:val="0"/>
              <w:spacing w:line="300" w:lineRule="exact"/>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10</w:t>
            </w:r>
            <w:r>
              <w:rPr>
                <w:rFonts w:hint="eastAsia" w:eastAsia="仿宋_GB2312"/>
                <w:color w:val="000000"/>
                <w:spacing w:val="-2"/>
                <w:kern w:val="0"/>
                <w:szCs w:val="21"/>
              </w:rPr>
              <w:t>分）</w:t>
            </w:r>
          </w:p>
        </w:tc>
        <w:tc>
          <w:tcPr>
            <w:tcW w:w="199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r>
              <w:rPr>
                <w:rFonts w:hint="eastAsia" w:eastAsia="仿宋_GB2312"/>
                <w:color w:val="000000"/>
                <w:spacing w:val="-2"/>
                <w:kern w:val="0"/>
                <w:szCs w:val="21"/>
              </w:rPr>
              <w:t>是否备案</w:t>
            </w:r>
          </w:p>
        </w:tc>
        <w:tc>
          <w:tcPr>
            <w:tcW w:w="111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92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r>
              <w:rPr>
                <w:rFonts w:hint="eastAsia" w:eastAsia="仿宋_GB2312"/>
                <w:color w:val="000000"/>
                <w:spacing w:val="-2"/>
                <w:kern w:val="0"/>
                <w:szCs w:val="21"/>
              </w:rPr>
              <w:t>施工合同未经招投标</w:t>
            </w:r>
          </w:p>
          <w:p>
            <w:pPr>
              <w:adjustRightInd w:val="0"/>
              <w:snapToGrid w:val="0"/>
              <w:spacing w:line="300" w:lineRule="exact"/>
              <w:jc w:val="center"/>
              <w:rPr>
                <w:rFonts w:eastAsia="仿宋_GB2312"/>
                <w:color w:val="000000"/>
                <w:spacing w:val="-2"/>
                <w:kern w:val="0"/>
                <w:szCs w:val="21"/>
              </w:rPr>
            </w:pPr>
            <w:r>
              <w:rPr>
                <w:rFonts w:hint="eastAsia" w:eastAsia="仿宋_GB2312"/>
                <w:color w:val="000000"/>
                <w:spacing w:val="-2"/>
                <w:kern w:val="0"/>
                <w:szCs w:val="21"/>
              </w:rPr>
              <w:t>监管部门备案。</w:t>
            </w:r>
          </w:p>
        </w:tc>
        <w:tc>
          <w:tcPr>
            <w:tcW w:w="69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p>
        </w:tc>
        <w:tc>
          <w:tcPr>
            <w:tcW w:w="59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p>
        </w:tc>
        <w:tc>
          <w:tcPr>
            <w:tcW w:w="961"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300" w:lineRule="exact"/>
              <w:jc w:val="center"/>
              <w:rPr>
                <w:rFonts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481" w:type="dxa"/>
            <w:tcBorders>
              <w:top w:val="single" w:color="auto" w:sz="4" w:space="0"/>
              <w:left w:val="single" w:color="auto" w:sz="8"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r>
              <w:rPr>
                <w:rFonts w:eastAsia="仿宋_GB2312"/>
                <w:color w:val="000000"/>
                <w:spacing w:val="-2"/>
                <w:kern w:val="0"/>
                <w:szCs w:val="21"/>
              </w:rPr>
              <w:t>4</w:t>
            </w:r>
          </w:p>
        </w:tc>
        <w:tc>
          <w:tcPr>
            <w:tcW w:w="150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r>
              <w:rPr>
                <w:rFonts w:hint="eastAsia" w:eastAsia="仿宋_GB2312"/>
                <w:color w:val="000000"/>
                <w:spacing w:val="-2"/>
                <w:kern w:val="0"/>
                <w:szCs w:val="21"/>
              </w:rPr>
              <w:t>监理合同备案</w:t>
            </w:r>
          </w:p>
          <w:p>
            <w:pPr>
              <w:adjustRightInd w:val="0"/>
              <w:snapToGrid w:val="0"/>
              <w:spacing w:line="300" w:lineRule="exact"/>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10</w:t>
            </w:r>
            <w:r>
              <w:rPr>
                <w:rFonts w:hint="eastAsia" w:eastAsia="仿宋_GB2312"/>
                <w:color w:val="000000"/>
                <w:spacing w:val="-2"/>
                <w:kern w:val="0"/>
                <w:szCs w:val="21"/>
              </w:rPr>
              <w:t>分）</w:t>
            </w:r>
          </w:p>
        </w:tc>
        <w:tc>
          <w:tcPr>
            <w:tcW w:w="199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r>
              <w:rPr>
                <w:rFonts w:hint="eastAsia" w:eastAsia="仿宋_GB2312"/>
                <w:color w:val="000000"/>
                <w:spacing w:val="-2"/>
                <w:kern w:val="0"/>
                <w:szCs w:val="21"/>
              </w:rPr>
              <w:t>是否备案</w:t>
            </w:r>
          </w:p>
        </w:tc>
        <w:tc>
          <w:tcPr>
            <w:tcW w:w="111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92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r>
              <w:rPr>
                <w:rFonts w:hint="eastAsia" w:eastAsia="仿宋_GB2312"/>
                <w:color w:val="000000"/>
                <w:spacing w:val="-2"/>
                <w:kern w:val="0"/>
                <w:szCs w:val="21"/>
              </w:rPr>
              <w:t>监理合同未经招投标</w:t>
            </w:r>
          </w:p>
          <w:p>
            <w:pPr>
              <w:adjustRightInd w:val="0"/>
              <w:snapToGrid w:val="0"/>
              <w:spacing w:line="300" w:lineRule="exact"/>
              <w:jc w:val="center"/>
              <w:rPr>
                <w:rFonts w:eastAsia="仿宋_GB2312"/>
                <w:color w:val="000000"/>
                <w:spacing w:val="-2"/>
                <w:kern w:val="0"/>
                <w:szCs w:val="21"/>
              </w:rPr>
            </w:pPr>
            <w:r>
              <w:rPr>
                <w:rFonts w:hint="eastAsia" w:eastAsia="仿宋_GB2312"/>
                <w:color w:val="000000"/>
                <w:spacing w:val="-2"/>
                <w:kern w:val="0"/>
                <w:szCs w:val="21"/>
              </w:rPr>
              <w:t>监管部门备案。</w:t>
            </w:r>
          </w:p>
        </w:tc>
        <w:tc>
          <w:tcPr>
            <w:tcW w:w="69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p>
        </w:tc>
        <w:tc>
          <w:tcPr>
            <w:tcW w:w="59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p>
        </w:tc>
        <w:tc>
          <w:tcPr>
            <w:tcW w:w="961"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300" w:lineRule="exact"/>
              <w:jc w:val="center"/>
              <w:rPr>
                <w:rFonts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481" w:type="dxa"/>
            <w:tcBorders>
              <w:top w:val="single" w:color="auto" w:sz="4" w:space="0"/>
              <w:left w:val="single" w:color="auto" w:sz="8"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r>
              <w:rPr>
                <w:rFonts w:eastAsia="仿宋_GB2312"/>
                <w:color w:val="000000"/>
                <w:spacing w:val="-2"/>
                <w:kern w:val="0"/>
                <w:szCs w:val="21"/>
              </w:rPr>
              <w:t>5</w:t>
            </w:r>
          </w:p>
        </w:tc>
        <w:tc>
          <w:tcPr>
            <w:tcW w:w="150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r>
              <w:rPr>
                <w:rFonts w:hint="eastAsia" w:eastAsia="仿宋_GB2312"/>
                <w:color w:val="000000"/>
                <w:spacing w:val="-2"/>
                <w:kern w:val="0"/>
                <w:szCs w:val="21"/>
              </w:rPr>
              <w:t>档案报建</w:t>
            </w:r>
          </w:p>
          <w:p>
            <w:pPr>
              <w:adjustRightInd w:val="0"/>
              <w:snapToGrid w:val="0"/>
              <w:spacing w:line="300" w:lineRule="exact"/>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10</w:t>
            </w:r>
            <w:r>
              <w:rPr>
                <w:rFonts w:hint="eastAsia" w:eastAsia="仿宋_GB2312"/>
                <w:color w:val="000000"/>
                <w:spacing w:val="-2"/>
                <w:kern w:val="0"/>
                <w:szCs w:val="21"/>
              </w:rPr>
              <w:t>分）</w:t>
            </w:r>
          </w:p>
        </w:tc>
        <w:tc>
          <w:tcPr>
            <w:tcW w:w="199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r>
              <w:rPr>
                <w:rFonts w:hint="eastAsia" w:eastAsia="仿宋_GB2312"/>
                <w:color w:val="000000"/>
                <w:spacing w:val="-2"/>
                <w:kern w:val="0"/>
                <w:szCs w:val="21"/>
              </w:rPr>
              <w:t>项目开工前是否与城建档案馆签订报送责任书</w:t>
            </w:r>
          </w:p>
        </w:tc>
        <w:tc>
          <w:tcPr>
            <w:tcW w:w="111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92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r>
              <w:rPr>
                <w:rFonts w:hint="eastAsia" w:eastAsia="仿宋_GB2312"/>
                <w:color w:val="000000"/>
                <w:spacing w:val="-2"/>
                <w:kern w:val="0"/>
                <w:szCs w:val="21"/>
              </w:rPr>
              <w:t>未与城建档案馆签订报送责任书。</w:t>
            </w:r>
          </w:p>
        </w:tc>
        <w:tc>
          <w:tcPr>
            <w:tcW w:w="69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p>
        </w:tc>
        <w:tc>
          <w:tcPr>
            <w:tcW w:w="59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p>
        </w:tc>
        <w:tc>
          <w:tcPr>
            <w:tcW w:w="961"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300" w:lineRule="exact"/>
              <w:jc w:val="center"/>
              <w:rPr>
                <w:rFonts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481" w:type="dxa"/>
            <w:tcBorders>
              <w:top w:val="single" w:color="auto" w:sz="4" w:space="0"/>
              <w:left w:val="single" w:color="auto" w:sz="8"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r>
              <w:rPr>
                <w:rFonts w:eastAsia="仿宋_GB2312"/>
                <w:color w:val="000000"/>
                <w:spacing w:val="-2"/>
                <w:kern w:val="0"/>
                <w:szCs w:val="21"/>
              </w:rPr>
              <w:t>6</w:t>
            </w:r>
          </w:p>
        </w:tc>
        <w:tc>
          <w:tcPr>
            <w:tcW w:w="150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r>
              <w:rPr>
                <w:rFonts w:hint="eastAsia" w:eastAsia="仿宋_GB2312"/>
                <w:color w:val="000000"/>
                <w:spacing w:val="-2"/>
                <w:kern w:val="0"/>
                <w:szCs w:val="21"/>
              </w:rPr>
              <w:t>档案积累（</w:t>
            </w:r>
            <w:r>
              <w:rPr>
                <w:rFonts w:eastAsia="仿宋_GB2312"/>
                <w:color w:val="000000"/>
                <w:spacing w:val="-2"/>
                <w:kern w:val="0"/>
                <w:szCs w:val="21"/>
              </w:rPr>
              <w:t>10</w:t>
            </w:r>
            <w:r>
              <w:rPr>
                <w:rFonts w:hint="eastAsia" w:eastAsia="仿宋_GB2312"/>
                <w:color w:val="000000"/>
                <w:spacing w:val="-2"/>
                <w:kern w:val="0"/>
                <w:szCs w:val="21"/>
              </w:rPr>
              <w:t>）</w:t>
            </w:r>
          </w:p>
        </w:tc>
        <w:tc>
          <w:tcPr>
            <w:tcW w:w="199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r>
              <w:rPr>
                <w:rFonts w:hint="eastAsia" w:eastAsia="仿宋_GB2312"/>
                <w:color w:val="000000"/>
                <w:spacing w:val="-2"/>
                <w:kern w:val="0"/>
                <w:szCs w:val="21"/>
              </w:rPr>
              <w:t>纸质、电子和声像档案按要求积累</w:t>
            </w:r>
          </w:p>
        </w:tc>
        <w:tc>
          <w:tcPr>
            <w:tcW w:w="111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92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r>
              <w:rPr>
                <w:rFonts w:hint="eastAsia" w:eastAsia="仿宋_GB2312"/>
                <w:color w:val="000000"/>
                <w:spacing w:val="-2"/>
                <w:kern w:val="0"/>
                <w:szCs w:val="21"/>
              </w:rPr>
              <w:t>未按要求积累</w:t>
            </w:r>
          </w:p>
          <w:p>
            <w:pPr>
              <w:adjustRightInd w:val="0"/>
              <w:snapToGrid w:val="0"/>
              <w:spacing w:line="300" w:lineRule="exact"/>
              <w:jc w:val="center"/>
              <w:rPr>
                <w:rFonts w:eastAsia="仿宋_GB2312"/>
                <w:color w:val="000000"/>
                <w:spacing w:val="-2"/>
                <w:kern w:val="0"/>
                <w:szCs w:val="21"/>
              </w:rPr>
            </w:pPr>
            <w:r>
              <w:rPr>
                <w:rFonts w:hint="eastAsia" w:eastAsia="仿宋_GB2312"/>
                <w:color w:val="000000"/>
                <w:spacing w:val="-2"/>
                <w:kern w:val="0"/>
                <w:szCs w:val="21"/>
              </w:rPr>
              <w:t>声像档案</w:t>
            </w:r>
          </w:p>
        </w:tc>
        <w:tc>
          <w:tcPr>
            <w:tcW w:w="69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p>
        </w:tc>
        <w:tc>
          <w:tcPr>
            <w:tcW w:w="59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p>
        </w:tc>
        <w:tc>
          <w:tcPr>
            <w:tcW w:w="961"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300" w:lineRule="exact"/>
              <w:jc w:val="center"/>
              <w:rPr>
                <w:rFonts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6" w:hRule="atLeast"/>
          <w:jc w:val="center"/>
        </w:trPr>
        <w:tc>
          <w:tcPr>
            <w:tcW w:w="481" w:type="dxa"/>
            <w:tcBorders>
              <w:top w:val="single" w:color="auto" w:sz="4" w:space="0"/>
              <w:left w:val="single" w:color="auto" w:sz="8"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r>
              <w:rPr>
                <w:rFonts w:eastAsia="仿宋_GB2312"/>
                <w:color w:val="000000"/>
                <w:spacing w:val="-2"/>
                <w:kern w:val="0"/>
                <w:szCs w:val="21"/>
              </w:rPr>
              <w:t>7</w:t>
            </w:r>
          </w:p>
        </w:tc>
        <w:tc>
          <w:tcPr>
            <w:tcW w:w="150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r>
              <w:rPr>
                <w:rFonts w:hint="eastAsia" w:eastAsia="仿宋_GB2312"/>
                <w:color w:val="000000"/>
                <w:spacing w:val="-2"/>
                <w:kern w:val="0"/>
                <w:szCs w:val="21"/>
              </w:rPr>
              <w:t>资金支付情况</w:t>
            </w:r>
          </w:p>
          <w:p>
            <w:pPr>
              <w:adjustRightInd w:val="0"/>
              <w:snapToGrid w:val="0"/>
              <w:spacing w:line="300" w:lineRule="exact"/>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20</w:t>
            </w:r>
            <w:r>
              <w:rPr>
                <w:rFonts w:hint="eastAsia" w:eastAsia="仿宋_GB2312"/>
                <w:color w:val="000000"/>
                <w:spacing w:val="-2"/>
                <w:kern w:val="0"/>
                <w:szCs w:val="21"/>
              </w:rPr>
              <w:t>分）</w:t>
            </w:r>
          </w:p>
        </w:tc>
        <w:tc>
          <w:tcPr>
            <w:tcW w:w="199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r>
              <w:rPr>
                <w:rFonts w:hint="eastAsia" w:eastAsia="仿宋_GB2312"/>
                <w:color w:val="000000"/>
                <w:spacing w:val="-2"/>
                <w:kern w:val="0"/>
                <w:szCs w:val="21"/>
              </w:rPr>
              <w:t>是否按见证施工合同约定，支付工程款（查支付凭证）。</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r>
              <w:rPr>
                <w:rFonts w:hint="eastAsia" w:eastAsia="仿宋_GB2312"/>
                <w:color w:val="000000"/>
                <w:spacing w:val="-2"/>
                <w:kern w:val="0"/>
                <w:szCs w:val="21"/>
              </w:rPr>
              <w:t>不符合依据情节扣</w:t>
            </w:r>
            <w:r>
              <w:rPr>
                <w:rFonts w:eastAsia="仿宋_GB2312"/>
                <w:color w:val="000000"/>
                <w:spacing w:val="-2"/>
                <w:kern w:val="0"/>
                <w:szCs w:val="21"/>
              </w:rPr>
              <w:t>10-20</w:t>
            </w:r>
            <w:r>
              <w:rPr>
                <w:rFonts w:hint="eastAsia" w:eastAsia="仿宋_GB2312"/>
                <w:color w:val="000000"/>
                <w:spacing w:val="-2"/>
                <w:kern w:val="0"/>
                <w:szCs w:val="21"/>
              </w:rPr>
              <w:t>分</w:t>
            </w:r>
          </w:p>
        </w:tc>
        <w:tc>
          <w:tcPr>
            <w:tcW w:w="192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r>
              <w:rPr>
                <w:rFonts w:hint="eastAsia" w:eastAsia="仿宋_GB2312"/>
                <w:color w:val="000000"/>
                <w:spacing w:val="-2"/>
                <w:kern w:val="0"/>
                <w:szCs w:val="21"/>
              </w:rPr>
              <w:t>未按经过备案的施工合同约定支付工程款。</w:t>
            </w:r>
          </w:p>
        </w:tc>
        <w:tc>
          <w:tcPr>
            <w:tcW w:w="69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p>
        </w:tc>
        <w:tc>
          <w:tcPr>
            <w:tcW w:w="59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p>
        </w:tc>
        <w:tc>
          <w:tcPr>
            <w:tcW w:w="961"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300" w:lineRule="exact"/>
              <w:jc w:val="center"/>
              <w:rPr>
                <w:rFonts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481" w:type="dxa"/>
            <w:tcBorders>
              <w:top w:val="single" w:color="auto" w:sz="4" w:space="0"/>
              <w:left w:val="single" w:color="auto" w:sz="8"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r>
              <w:rPr>
                <w:rFonts w:eastAsia="仿宋_GB2312"/>
                <w:color w:val="000000"/>
                <w:spacing w:val="-2"/>
                <w:kern w:val="0"/>
                <w:szCs w:val="21"/>
              </w:rPr>
              <w:t>8</w:t>
            </w:r>
          </w:p>
        </w:tc>
        <w:tc>
          <w:tcPr>
            <w:tcW w:w="150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r>
              <w:rPr>
                <w:rFonts w:hint="eastAsia" w:eastAsia="仿宋_GB2312"/>
                <w:color w:val="000000"/>
                <w:spacing w:val="-2"/>
                <w:kern w:val="0"/>
                <w:szCs w:val="21"/>
              </w:rPr>
              <w:t>其他（</w:t>
            </w:r>
            <w:r>
              <w:rPr>
                <w:rFonts w:eastAsia="仿宋_GB2312"/>
                <w:color w:val="000000"/>
                <w:spacing w:val="-2"/>
                <w:kern w:val="0"/>
                <w:szCs w:val="21"/>
              </w:rPr>
              <w:t>10</w:t>
            </w:r>
            <w:r>
              <w:rPr>
                <w:rFonts w:hint="eastAsia" w:eastAsia="仿宋_GB2312"/>
                <w:color w:val="000000"/>
                <w:spacing w:val="-2"/>
                <w:kern w:val="0"/>
                <w:szCs w:val="21"/>
              </w:rPr>
              <w:t>）</w:t>
            </w:r>
          </w:p>
        </w:tc>
        <w:tc>
          <w:tcPr>
            <w:tcW w:w="199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r>
              <w:rPr>
                <w:rFonts w:hint="eastAsia" w:eastAsia="仿宋_GB2312"/>
                <w:color w:val="000000"/>
                <w:spacing w:val="-2"/>
                <w:kern w:val="0"/>
                <w:szCs w:val="21"/>
              </w:rPr>
              <w:t>违法发包</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r>
              <w:rPr>
                <w:rFonts w:hint="eastAsia" w:eastAsia="仿宋_GB2312"/>
                <w:color w:val="000000"/>
                <w:spacing w:val="-2"/>
                <w:kern w:val="0"/>
                <w:szCs w:val="21"/>
              </w:rPr>
              <w:t>存在</w:t>
            </w:r>
          </w:p>
          <w:p>
            <w:pPr>
              <w:adjustRightInd w:val="0"/>
              <w:snapToGrid w:val="0"/>
              <w:spacing w:line="300" w:lineRule="exact"/>
              <w:jc w:val="center"/>
              <w:rPr>
                <w:rFonts w:eastAsia="仿宋_GB2312"/>
                <w:color w:val="000000"/>
                <w:spacing w:val="-2"/>
                <w:kern w:val="0"/>
                <w:szCs w:val="21"/>
              </w:rPr>
            </w:pPr>
            <w:r>
              <w:rPr>
                <w:rFonts w:hint="eastAsia" w:eastAsia="仿宋_GB2312"/>
                <w:color w:val="000000"/>
                <w:spacing w:val="-2"/>
                <w:kern w:val="0"/>
                <w:szCs w:val="21"/>
              </w:rPr>
              <w:t>扣</w:t>
            </w:r>
            <w:r>
              <w:rPr>
                <w:rFonts w:eastAsia="仿宋_GB2312"/>
                <w:color w:val="000000"/>
                <w:spacing w:val="-2"/>
                <w:kern w:val="0"/>
                <w:szCs w:val="21"/>
              </w:rPr>
              <w:t>10</w:t>
            </w:r>
            <w:r>
              <w:rPr>
                <w:rFonts w:hint="eastAsia" w:eastAsia="仿宋_GB2312"/>
                <w:color w:val="000000"/>
                <w:spacing w:val="-2"/>
                <w:kern w:val="0"/>
                <w:szCs w:val="21"/>
              </w:rPr>
              <w:t>分</w:t>
            </w:r>
          </w:p>
        </w:tc>
        <w:tc>
          <w:tcPr>
            <w:tcW w:w="192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p>
        </w:tc>
        <w:tc>
          <w:tcPr>
            <w:tcW w:w="69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p>
        </w:tc>
        <w:tc>
          <w:tcPr>
            <w:tcW w:w="59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p>
        </w:tc>
        <w:tc>
          <w:tcPr>
            <w:tcW w:w="961"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300" w:lineRule="exact"/>
              <w:jc w:val="center"/>
              <w:rPr>
                <w:rFonts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1989" w:type="dxa"/>
            <w:gridSpan w:val="2"/>
            <w:tcBorders>
              <w:top w:val="single" w:color="auto" w:sz="4" w:space="0"/>
              <w:left w:val="single" w:color="auto" w:sz="8" w:space="0"/>
              <w:bottom w:val="single" w:color="auto" w:sz="4" w:space="0"/>
              <w:right w:val="single" w:color="auto" w:sz="4" w:space="0"/>
            </w:tcBorders>
            <w:noWrap w:val="0"/>
            <w:vAlign w:val="center"/>
          </w:tcPr>
          <w:p>
            <w:pPr>
              <w:adjustRightInd w:val="0"/>
              <w:snapToGrid w:val="0"/>
              <w:spacing w:line="300" w:lineRule="exact"/>
              <w:rPr>
                <w:rFonts w:eastAsia="仿宋_GB2312"/>
                <w:color w:val="000000"/>
                <w:spacing w:val="-2"/>
                <w:kern w:val="0"/>
                <w:szCs w:val="21"/>
              </w:rPr>
            </w:pPr>
            <w:r>
              <w:rPr>
                <w:rFonts w:hint="eastAsia" w:eastAsia="仿宋_GB2312"/>
                <w:color w:val="000000"/>
                <w:spacing w:val="-2"/>
                <w:kern w:val="0"/>
                <w:szCs w:val="21"/>
              </w:rPr>
              <w:t>检查人签字</w:t>
            </w:r>
            <w:r>
              <w:rPr>
                <w:rFonts w:eastAsia="仿宋_GB2312"/>
                <w:color w:val="000000"/>
                <w:spacing w:val="-2"/>
                <w:kern w:val="0"/>
                <w:szCs w:val="21"/>
              </w:rPr>
              <w:t>:</w:t>
            </w:r>
          </w:p>
        </w:tc>
        <w:tc>
          <w:tcPr>
            <w:tcW w:w="3110"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rPr>
                <w:rFonts w:eastAsia="仿宋_GB2312"/>
                <w:color w:val="000000"/>
                <w:spacing w:val="-2"/>
                <w:kern w:val="0"/>
                <w:szCs w:val="21"/>
              </w:rPr>
            </w:pPr>
            <w:r>
              <w:rPr>
                <w:rFonts w:hint="eastAsia" w:eastAsia="仿宋_GB2312"/>
                <w:color w:val="000000"/>
                <w:spacing w:val="-2"/>
                <w:kern w:val="0"/>
                <w:szCs w:val="21"/>
              </w:rPr>
              <w:t>被检查单位签字</w:t>
            </w:r>
            <w:r>
              <w:rPr>
                <w:rFonts w:eastAsia="仿宋_GB2312"/>
                <w:color w:val="000000"/>
                <w:spacing w:val="-2"/>
                <w:kern w:val="0"/>
                <w:szCs w:val="21"/>
              </w:rPr>
              <w:t>:</w:t>
            </w:r>
          </w:p>
        </w:tc>
        <w:tc>
          <w:tcPr>
            <w:tcW w:w="192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r>
              <w:rPr>
                <w:rFonts w:eastAsia="仿宋_GB2312"/>
                <w:color w:val="000000"/>
                <w:spacing w:val="-2"/>
                <w:kern w:val="0"/>
                <w:szCs w:val="21"/>
              </w:rPr>
              <w:t xml:space="preserve"> </w:t>
            </w:r>
            <w:r>
              <w:rPr>
                <w:rFonts w:hint="eastAsia" w:eastAsia="仿宋_GB2312"/>
                <w:color w:val="000000"/>
                <w:spacing w:val="-2"/>
                <w:kern w:val="0"/>
                <w:szCs w:val="21"/>
              </w:rPr>
              <w:t>得失分情况</w:t>
            </w:r>
          </w:p>
        </w:tc>
        <w:tc>
          <w:tcPr>
            <w:tcW w:w="69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p>
        </w:tc>
        <w:tc>
          <w:tcPr>
            <w:tcW w:w="59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00" w:lineRule="exact"/>
              <w:jc w:val="center"/>
              <w:rPr>
                <w:rFonts w:eastAsia="仿宋_GB2312"/>
                <w:color w:val="000000"/>
                <w:spacing w:val="-2"/>
                <w:kern w:val="0"/>
                <w:szCs w:val="21"/>
              </w:rPr>
            </w:pPr>
          </w:p>
        </w:tc>
        <w:tc>
          <w:tcPr>
            <w:tcW w:w="961"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300" w:lineRule="exact"/>
              <w:jc w:val="center"/>
              <w:rPr>
                <w:rFonts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9282" w:type="dxa"/>
            <w:gridSpan w:val="8"/>
            <w:tcBorders>
              <w:top w:val="single" w:color="auto" w:sz="4" w:space="0"/>
              <w:left w:val="single" w:color="auto" w:sz="8" w:space="0"/>
              <w:bottom w:val="single" w:color="auto" w:sz="8" w:space="0"/>
              <w:right w:val="single" w:color="auto" w:sz="8" w:space="0"/>
            </w:tcBorders>
            <w:noWrap w:val="0"/>
            <w:vAlign w:val="center"/>
          </w:tcPr>
          <w:p>
            <w:pPr>
              <w:adjustRightInd w:val="0"/>
              <w:snapToGrid w:val="0"/>
              <w:spacing w:line="300" w:lineRule="exact"/>
              <w:rPr>
                <w:rFonts w:eastAsia="仿宋_GB2312"/>
                <w:color w:val="000000"/>
                <w:spacing w:val="-2"/>
                <w:kern w:val="0"/>
                <w:szCs w:val="21"/>
              </w:rPr>
            </w:pPr>
            <w:r>
              <w:rPr>
                <w:rFonts w:hint="eastAsia" w:eastAsia="仿宋_GB2312"/>
                <w:color w:val="000000"/>
                <w:spacing w:val="-2"/>
                <w:kern w:val="0"/>
                <w:szCs w:val="21"/>
              </w:rPr>
              <w:t>检查需准备资料：施工许可证、中标通知书或直接发包备案书、施工总包及分包合同、监理合同、档案报建等手续。</w:t>
            </w:r>
          </w:p>
        </w:tc>
      </w:tr>
    </w:tbl>
    <w:p>
      <w:pPr>
        <w:pStyle w:val="7"/>
        <w:adjustRightInd w:val="0"/>
        <w:snapToGrid w:val="0"/>
        <w:spacing w:line="570" w:lineRule="exact"/>
        <w:jc w:val="center"/>
        <w:rPr>
          <w:rFonts w:hint="eastAsia" w:ascii="Times New Roman" w:hAnsi="Times New Roman" w:eastAsia="方正黑体_GBK"/>
          <w:bCs/>
          <w:color w:val="000000"/>
          <w:spacing w:val="-2"/>
          <w:sz w:val="28"/>
          <w:szCs w:val="28"/>
        </w:rPr>
      </w:pPr>
      <w:r>
        <w:rPr>
          <w:rFonts w:hint="eastAsia" w:ascii="Times New Roman" w:hAnsi="Times New Roman" w:eastAsia="仿宋"/>
          <w:b/>
          <w:bCs/>
          <w:color w:val="000000"/>
          <w:spacing w:val="-2"/>
        </w:rPr>
        <w:br w:type="column"/>
      </w:r>
      <w:r>
        <w:rPr>
          <w:rFonts w:hint="eastAsia" w:ascii="Times New Roman" w:hAnsi="Times New Roman" w:eastAsia="方正黑体_GBK"/>
          <w:bCs/>
          <w:color w:val="000000"/>
          <w:spacing w:val="-2"/>
          <w:sz w:val="28"/>
          <w:szCs w:val="28"/>
        </w:rPr>
        <w:t>建筑市场综合考核用表之三（项目综合情况）</w:t>
      </w:r>
    </w:p>
    <w:p>
      <w:pPr>
        <w:adjustRightInd w:val="0"/>
        <w:snapToGrid w:val="0"/>
        <w:spacing w:line="570" w:lineRule="exact"/>
        <w:rPr>
          <w:rFonts w:hint="eastAsia" w:ascii="Times New Roman" w:hAnsi="Times New Roman" w:eastAsia="仿宋_GB2312"/>
          <w:color w:val="000000"/>
          <w:spacing w:val="-2"/>
          <w:kern w:val="0"/>
          <w:sz w:val="24"/>
        </w:rPr>
      </w:pPr>
      <w:r>
        <w:rPr>
          <w:rFonts w:hint="eastAsia" w:ascii="Times New Roman" w:hAnsi="Times New Roman" w:eastAsia="仿宋_GB2312"/>
          <w:bCs/>
          <w:color w:val="000000"/>
          <w:spacing w:val="-2"/>
          <w:kern w:val="0"/>
          <w:sz w:val="24"/>
        </w:rPr>
        <w:t xml:space="preserve">项目编号：                                        检查日期：           </w:t>
      </w:r>
    </w:p>
    <w:tbl>
      <w:tblPr>
        <w:tblStyle w:val="12"/>
        <w:tblW w:w="0" w:type="auto"/>
        <w:jc w:val="center"/>
        <w:tblLayout w:type="fixed"/>
        <w:tblCellMar>
          <w:top w:w="0" w:type="dxa"/>
          <w:left w:w="108" w:type="dxa"/>
          <w:bottom w:w="0" w:type="dxa"/>
          <w:right w:w="108" w:type="dxa"/>
        </w:tblCellMar>
      </w:tblPr>
      <w:tblGrid>
        <w:gridCol w:w="319"/>
        <w:gridCol w:w="902"/>
        <w:gridCol w:w="1433"/>
        <w:gridCol w:w="2956"/>
        <w:gridCol w:w="2372"/>
        <w:gridCol w:w="532"/>
        <w:gridCol w:w="480"/>
        <w:gridCol w:w="520"/>
      </w:tblGrid>
      <w:tr>
        <w:tblPrEx>
          <w:tblCellMar>
            <w:top w:w="0" w:type="dxa"/>
            <w:left w:w="108" w:type="dxa"/>
            <w:bottom w:w="0" w:type="dxa"/>
            <w:right w:w="108" w:type="dxa"/>
          </w:tblCellMar>
        </w:tblPrEx>
        <w:trPr>
          <w:trHeight w:val="462" w:hRule="atLeast"/>
          <w:jc w:val="center"/>
        </w:trPr>
        <w:tc>
          <w:tcPr>
            <w:tcW w:w="9514" w:type="dxa"/>
            <w:gridSpan w:val="8"/>
            <w:tcBorders>
              <w:top w:val="single" w:color="auto" w:sz="8" w:space="0"/>
              <w:left w:val="single" w:color="auto" w:sz="8" w:space="0"/>
              <w:bottom w:val="single" w:color="auto" w:sz="4" w:space="0"/>
              <w:right w:val="single" w:color="auto" w:sz="8" w:space="0"/>
            </w:tcBorders>
            <w:noWrap w:val="0"/>
            <w:vAlign w:val="center"/>
          </w:tcPr>
          <w:p>
            <w:pPr>
              <w:adjustRightInd w:val="0"/>
              <w:snapToGrid w:val="0"/>
              <w:spacing w:line="240" w:lineRule="exact"/>
              <w:ind w:left="-63" w:leftChars="-30" w:right="-63" w:rightChars="-30"/>
              <w:rPr>
                <w:rFonts w:eastAsia="仿宋_GB2312"/>
                <w:b/>
                <w:bCs/>
                <w:color w:val="000000"/>
                <w:spacing w:val="-2"/>
                <w:kern w:val="0"/>
                <w:sz w:val="18"/>
                <w:szCs w:val="18"/>
              </w:rPr>
            </w:pPr>
            <w:r>
              <w:rPr>
                <w:rFonts w:hint="eastAsia" w:eastAsia="仿宋_GB2312"/>
                <w:b/>
                <w:bCs/>
                <w:color w:val="000000"/>
                <w:spacing w:val="-2"/>
                <w:kern w:val="0"/>
                <w:sz w:val="18"/>
                <w:szCs w:val="18"/>
              </w:rPr>
              <w:t>施工单位（</w:t>
            </w:r>
            <w:r>
              <w:rPr>
                <w:rFonts w:eastAsia="仿宋_GB2312"/>
                <w:b/>
                <w:bCs/>
                <w:color w:val="000000"/>
                <w:spacing w:val="-2"/>
                <w:kern w:val="0"/>
                <w:sz w:val="18"/>
                <w:szCs w:val="18"/>
              </w:rPr>
              <w:t>100</w:t>
            </w:r>
            <w:r>
              <w:rPr>
                <w:rFonts w:hint="eastAsia" w:eastAsia="仿宋_GB2312"/>
                <w:b/>
                <w:bCs/>
                <w:color w:val="000000"/>
                <w:spacing w:val="-2"/>
                <w:kern w:val="0"/>
                <w:sz w:val="18"/>
                <w:szCs w:val="18"/>
              </w:rPr>
              <w:t>分）</w:t>
            </w:r>
          </w:p>
        </w:tc>
      </w:tr>
      <w:tr>
        <w:tblPrEx>
          <w:tblCellMar>
            <w:top w:w="0" w:type="dxa"/>
            <w:left w:w="108" w:type="dxa"/>
            <w:bottom w:w="0" w:type="dxa"/>
            <w:right w:w="108" w:type="dxa"/>
          </w:tblCellMar>
        </w:tblPrEx>
        <w:trPr>
          <w:trHeight w:val="285" w:hRule="atLeast"/>
          <w:jc w:val="center"/>
        </w:trPr>
        <w:tc>
          <w:tcPr>
            <w:tcW w:w="319" w:type="dxa"/>
            <w:tcBorders>
              <w:top w:val="nil"/>
              <w:left w:val="single" w:color="auto" w:sz="8" w:space="0"/>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ascii="Times New Roman" w:eastAsia="方正黑体_GBK"/>
                <w:color w:val="000000"/>
                <w:spacing w:val="-2"/>
                <w:kern w:val="0"/>
                <w:sz w:val="18"/>
                <w:szCs w:val="18"/>
              </w:rPr>
            </w:pPr>
            <w:r>
              <w:rPr>
                <w:rFonts w:hint="eastAsia" w:ascii="Times New Roman" w:eastAsia="方正黑体_GBK"/>
                <w:color w:val="000000"/>
                <w:spacing w:val="-2"/>
                <w:kern w:val="0"/>
                <w:sz w:val="18"/>
                <w:szCs w:val="18"/>
              </w:rPr>
              <w:t>序号</w:t>
            </w:r>
          </w:p>
        </w:tc>
        <w:tc>
          <w:tcPr>
            <w:tcW w:w="2335"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ascii="Times New Roman" w:eastAsia="方正黑体_GBK"/>
                <w:color w:val="000000"/>
                <w:spacing w:val="-2"/>
                <w:kern w:val="0"/>
                <w:sz w:val="18"/>
                <w:szCs w:val="18"/>
              </w:rPr>
            </w:pPr>
            <w:r>
              <w:rPr>
                <w:rFonts w:hint="eastAsia" w:ascii="Times New Roman" w:eastAsia="方正黑体_GBK"/>
                <w:color w:val="000000"/>
                <w:spacing w:val="-2"/>
                <w:kern w:val="0"/>
                <w:sz w:val="18"/>
                <w:szCs w:val="18"/>
              </w:rPr>
              <w:t>检查项目</w:t>
            </w:r>
          </w:p>
        </w:tc>
        <w:tc>
          <w:tcPr>
            <w:tcW w:w="2956" w:type="dxa"/>
            <w:tcBorders>
              <w:top w:val="nil"/>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ascii="Times New Roman" w:eastAsia="方正黑体_GBK"/>
                <w:color w:val="000000"/>
                <w:spacing w:val="-2"/>
                <w:kern w:val="0"/>
                <w:sz w:val="18"/>
                <w:szCs w:val="18"/>
              </w:rPr>
            </w:pPr>
            <w:r>
              <w:rPr>
                <w:rFonts w:hint="eastAsia" w:ascii="Times New Roman" w:eastAsia="方正黑体_GBK"/>
                <w:color w:val="000000"/>
                <w:spacing w:val="-2"/>
                <w:kern w:val="0"/>
                <w:sz w:val="18"/>
                <w:szCs w:val="18"/>
              </w:rPr>
              <w:t>检 查 内 容</w:t>
            </w:r>
          </w:p>
        </w:tc>
        <w:tc>
          <w:tcPr>
            <w:tcW w:w="2372" w:type="dxa"/>
            <w:tcBorders>
              <w:top w:val="nil"/>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ascii="Times New Roman" w:eastAsia="方正黑体_GBK"/>
                <w:color w:val="000000"/>
                <w:spacing w:val="-2"/>
                <w:kern w:val="0"/>
                <w:sz w:val="18"/>
                <w:szCs w:val="18"/>
              </w:rPr>
            </w:pPr>
            <w:r>
              <w:rPr>
                <w:rFonts w:hint="eastAsia" w:ascii="Times New Roman" w:eastAsia="方正黑体_GBK"/>
                <w:color w:val="000000"/>
                <w:spacing w:val="-2"/>
                <w:kern w:val="0"/>
                <w:sz w:val="18"/>
                <w:szCs w:val="18"/>
              </w:rPr>
              <w:t>评分标准</w:t>
            </w:r>
          </w:p>
        </w:tc>
        <w:tc>
          <w:tcPr>
            <w:tcW w:w="532" w:type="dxa"/>
            <w:tcBorders>
              <w:top w:val="nil"/>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ascii="Times New Roman" w:eastAsia="方正黑体_GBK"/>
                <w:color w:val="000000"/>
                <w:spacing w:val="-2"/>
                <w:kern w:val="0"/>
                <w:sz w:val="18"/>
                <w:szCs w:val="18"/>
              </w:rPr>
            </w:pPr>
            <w:r>
              <w:rPr>
                <w:rFonts w:hint="eastAsia" w:ascii="Times New Roman" w:eastAsia="方正黑体_GBK"/>
                <w:color w:val="000000"/>
                <w:spacing w:val="-2"/>
                <w:kern w:val="0"/>
                <w:sz w:val="18"/>
                <w:szCs w:val="18"/>
              </w:rPr>
              <w:t>扣分</w:t>
            </w:r>
          </w:p>
          <w:p>
            <w:pPr>
              <w:adjustRightInd w:val="0"/>
              <w:snapToGrid w:val="0"/>
              <w:spacing w:line="240" w:lineRule="exact"/>
              <w:ind w:left="-63" w:leftChars="-30" w:right="-63" w:rightChars="-30"/>
              <w:jc w:val="center"/>
              <w:rPr>
                <w:rFonts w:ascii="Times New Roman" w:eastAsia="方正黑体_GBK"/>
                <w:color w:val="000000"/>
                <w:spacing w:val="-2"/>
                <w:kern w:val="0"/>
                <w:sz w:val="18"/>
                <w:szCs w:val="18"/>
              </w:rPr>
            </w:pPr>
            <w:r>
              <w:rPr>
                <w:rFonts w:hint="eastAsia" w:ascii="Times New Roman" w:eastAsia="方正黑体_GBK"/>
                <w:color w:val="000000"/>
                <w:spacing w:val="-2"/>
                <w:kern w:val="0"/>
                <w:sz w:val="18"/>
                <w:szCs w:val="18"/>
              </w:rPr>
              <w:t>情况</w:t>
            </w:r>
          </w:p>
        </w:tc>
        <w:tc>
          <w:tcPr>
            <w:tcW w:w="480" w:type="dxa"/>
            <w:tcBorders>
              <w:top w:val="nil"/>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ascii="Times New Roman" w:eastAsia="方正黑体_GBK"/>
                <w:color w:val="000000"/>
                <w:spacing w:val="-2"/>
                <w:kern w:val="0"/>
                <w:sz w:val="18"/>
                <w:szCs w:val="18"/>
              </w:rPr>
            </w:pPr>
            <w:r>
              <w:rPr>
                <w:rFonts w:hint="eastAsia" w:ascii="Times New Roman" w:eastAsia="方正黑体_GBK"/>
                <w:color w:val="000000"/>
                <w:spacing w:val="-2"/>
                <w:kern w:val="0"/>
                <w:sz w:val="18"/>
                <w:szCs w:val="18"/>
              </w:rPr>
              <w:t>得分</w:t>
            </w:r>
          </w:p>
          <w:p>
            <w:pPr>
              <w:adjustRightInd w:val="0"/>
              <w:snapToGrid w:val="0"/>
              <w:spacing w:line="240" w:lineRule="exact"/>
              <w:ind w:left="-63" w:leftChars="-30" w:right="-63" w:rightChars="-30"/>
              <w:jc w:val="center"/>
              <w:rPr>
                <w:rFonts w:ascii="Times New Roman" w:eastAsia="方正黑体_GBK"/>
                <w:color w:val="000000"/>
                <w:spacing w:val="-2"/>
                <w:kern w:val="0"/>
                <w:sz w:val="18"/>
                <w:szCs w:val="18"/>
              </w:rPr>
            </w:pPr>
            <w:r>
              <w:rPr>
                <w:rFonts w:hint="eastAsia" w:ascii="Times New Roman" w:eastAsia="方正黑体_GBK"/>
                <w:color w:val="000000"/>
                <w:spacing w:val="-2"/>
                <w:kern w:val="0"/>
                <w:sz w:val="18"/>
                <w:szCs w:val="18"/>
              </w:rPr>
              <w:t>情况</w:t>
            </w:r>
          </w:p>
        </w:tc>
        <w:tc>
          <w:tcPr>
            <w:tcW w:w="520" w:type="dxa"/>
            <w:tcBorders>
              <w:top w:val="nil"/>
              <w:left w:val="nil"/>
              <w:bottom w:val="single" w:color="auto" w:sz="4" w:space="0"/>
              <w:right w:val="single" w:color="auto" w:sz="8" w:space="0"/>
            </w:tcBorders>
            <w:noWrap w:val="0"/>
            <w:vAlign w:val="center"/>
          </w:tcPr>
          <w:p>
            <w:pPr>
              <w:adjustRightInd w:val="0"/>
              <w:snapToGrid w:val="0"/>
              <w:spacing w:line="240" w:lineRule="exact"/>
              <w:ind w:left="-63" w:leftChars="-30" w:right="-63" w:rightChars="-30"/>
              <w:jc w:val="center"/>
              <w:rPr>
                <w:rFonts w:ascii="Times New Roman" w:eastAsia="方正黑体_GBK"/>
                <w:color w:val="000000"/>
                <w:spacing w:val="-2"/>
                <w:kern w:val="0"/>
                <w:sz w:val="18"/>
                <w:szCs w:val="18"/>
              </w:rPr>
            </w:pPr>
            <w:r>
              <w:rPr>
                <w:rFonts w:hint="eastAsia" w:ascii="Times New Roman" w:eastAsia="方正黑体_GBK"/>
                <w:color w:val="000000"/>
                <w:spacing w:val="-2"/>
                <w:kern w:val="0"/>
                <w:sz w:val="18"/>
                <w:szCs w:val="18"/>
              </w:rPr>
              <w:t>扣分</w:t>
            </w:r>
          </w:p>
          <w:p>
            <w:pPr>
              <w:adjustRightInd w:val="0"/>
              <w:snapToGrid w:val="0"/>
              <w:spacing w:line="240" w:lineRule="exact"/>
              <w:ind w:left="-63" w:leftChars="-30" w:right="-63" w:rightChars="-30"/>
              <w:jc w:val="center"/>
              <w:rPr>
                <w:rFonts w:ascii="Times New Roman" w:eastAsia="方正黑体_GBK"/>
                <w:color w:val="000000"/>
                <w:spacing w:val="-2"/>
                <w:kern w:val="0"/>
                <w:sz w:val="18"/>
                <w:szCs w:val="18"/>
              </w:rPr>
            </w:pPr>
            <w:r>
              <w:rPr>
                <w:rFonts w:hint="eastAsia" w:ascii="Times New Roman" w:eastAsia="方正黑体_GBK"/>
                <w:color w:val="000000"/>
                <w:spacing w:val="-2"/>
                <w:kern w:val="0"/>
                <w:sz w:val="18"/>
                <w:szCs w:val="18"/>
              </w:rPr>
              <w:t>原因</w:t>
            </w:r>
          </w:p>
        </w:tc>
      </w:tr>
      <w:tr>
        <w:tblPrEx>
          <w:tblCellMar>
            <w:top w:w="0" w:type="dxa"/>
            <w:left w:w="108" w:type="dxa"/>
            <w:bottom w:w="0" w:type="dxa"/>
            <w:right w:w="108" w:type="dxa"/>
          </w:tblCellMar>
        </w:tblPrEx>
        <w:trPr>
          <w:trHeight w:val="760" w:hRule="atLeast"/>
          <w:jc w:val="center"/>
        </w:trPr>
        <w:tc>
          <w:tcPr>
            <w:tcW w:w="319" w:type="dxa"/>
            <w:tcBorders>
              <w:top w:val="nil"/>
              <w:left w:val="single" w:color="auto" w:sz="8" w:space="0"/>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eastAsia="仿宋_GB2312"/>
                <w:color w:val="000000"/>
                <w:spacing w:val="-2"/>
                <w:kern w:val="0"/>
                <w:sz w:val="18"/>
                <w:szCs w:val="18"/>
              </w:rPr>
              <w:t>1</w:t>
            </w:r>
          </w:p>
        </w:tc>
        <w:tc>
          <w:tcPr>
            <w:tcW w:w="902" w:type="dxa"/>
            <w:tcBorders>
              <w:top w:val="nil"/>
              <w:left w:val="single" w:color="auto" w:sz="4" w:space="0"/>
              <w:bottom w:val="single" w:color="000000"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企业管理（</w:t>
            </w:r>
            <w:r>
              <w:rPr>
                <w:rFonts w:eastAsia="仿宋_GB2312"/>
                <w:color w:val="000000"/>
                <w:spacing w:val="-2"/>
                <w:kern w:val="0"/>
                <w:sz w:val="18"/>
                <w:szCs w:val="18"/>
              </w:rPr>
              <w:t>8</w:t>
            </w:r>
            <w:r>
              <w:rPr>
                <w:rFonts w:hint="eastAsia" w:eastAsia="仿宋_GB2312"/>
                <w:color w:val="000000"/>
                <w:spacing w:val="-2"/>
                <w:kern w:val="0"/>
                <w:sz w:val="18"/>
                <w:szCs w:val="18"/>
              </w:rPr>
              <w:t>分）</w:t>
            </w:r>
          </w:p>
        </w:tc>
        <w:tc>
          <w:tcPr>
            <w:tcW w:w="1433" w:type="dxa"/>
            <w:tcBorders>
              <w:top w:val="nil"/>
              <w:left w:val="nil"/>
              <w:bottom w:val="nil"/>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《信用管理手册》使用（</w:t>
            </w:r>
            <w:r>
              <w:rPr>
                <w:rFonts w:eastAsia="仿宋_GB2312"/>
                <w:color w:val="000000"/>
                <w:spacing w:val="-2"/>
                <w:kern w:val="0"/>
                <w:sz w:val="18"/>
                <w:szCs w:val="18"/>
              </w:rPr>
              <w:t>8</w:t>
            </w:r>
            <w:r>
              <w:rPr>
                <w:rFonts w:hint="eastAsia" w:eastAsia="仿宋_GB2312"/>
                <w:color w:val="000000"/>
                <w:spacing w:val="-2"/>
                <w:kern w:val="0"/>
                <w:sz w:val="18"/>
                <w:szCs w:val="18"/>
              </w:rPr>
              <w:t>分）</w:t>
            </w:r>
          </w:p>
        </w:tc>
        <w:tc>
          <w:tcPr>
            <w:tcW w:w="2956" w:type="dxa"/>
            <w:tcBorders>
              <w:top w:val="nil"/>
              <w:left w:val="nil"/>
              <w:bottom w:val="nil"/>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总、分包企业是否按规定办理</w:t>
            </w:r>
            <w:r>
              <w:rPr>
                <w:rFonts w:eastAsia="仿宋_GB2312"/>
                <w:color w:val="000000"/>
                <w:spacing w:val="-2"/>
                <w:kern w:val="0"/>
                <w:sz w:val="18"/>
                <w:szCs w:val="18"/>
              </w:rPr>
              <w:t xml:space="preserve"> </w:t>
            </w:r>
            <w:r>
              <w:rPr>
                <w:rFonts w:hint="eastAsia" w:eastAsia="仿宋_GB2312"/>
                <w:color w:val="000000"/>
                <w:spacing w:val="-2"/>
                <w:kern w:val="0"/>
                <w:sz w:val="18"/>
                <w:szCs w:val="18"/>
              </w:rPr>
              <w:t>《信用管理手册》</w:t>
            </w:r>
          </w:p>
        </w:tc>
        <w:tc>
          <w:tcPr>
            <w:tcW w:w="2372" w:type="dxa"/>
            <w:tcBorders>
              <w:top w:val="nil"/>
              <w:left w:val="nil"/>
              <w:bottom w:val="nil"/>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一项不符合扣</w:t>
            </w:r>
            <w:r>
              <w:rPr>
                <w:rFonts w:eastAsia="仿宋_GB2312"/>
                <w:color w:val="000000"/>
                <w:spacing w:val="-2"/>
                <w:kern w:val="0"/>
                <w:sz w:val="18"/>
                <w:szCs w:val="18"/>
              </w:rPr>
              <w:t>3</w:t>
            </w:r>
            <w:r>
              <w:rPr>
                <w:rFonts w:hint="eastAsia" w:eastAsia="仿宋_GB2312"/>
                <w:color w:val="000000"/>
                <w:spacing w:val="-2"/>
                <w:kern w:val="0"/>
                <w:sz w:val="18"/>
                <w:szCs w:val="18"/>
              </w:rPr>
              <w:t>分，最多扣</w:t>
            </w:r>
            <w:r>
              <w:rPr>
                <w:rFonts w:eastAsia="仿宋_GB2312"/>
                <w:color w:val="000000"/>
                <w:spacing w:val="-2"/>
                <w:kern w:val="0"/>
                <w:sz w:val="18"/>
                <w:szCs w:val="18"/>
              </w:rPr>
              <w:t>8</w:t>
            </w:r>
            <w:r>
              <w:rPr>
                <w:rFonts w:hint="eastAsia" w:eastAsia="仿宋_GB2312"/>
                <w:color w:val="000000"/>
                <w:spacing w:val="-2"/>
                <w:kern w:val="0"/>
                <w:sz w:val="18"/>
                <w:szCs w:val="18"/>
              </w:rPr>
              <w:t>分</w:t>
            </w:r>
          </w:p>
        </w:tc>
        <w:tc>
          <w:tcPr>
            <w:tcW w:w="532" w:type="dxa"/>
            <w:tcBorders>
              <w:top w:val="nil"/>
              <w:left w:val="nil"/>
              <w:bottom w:val="nil"/>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c>
          <w:tcPr>
            <w:tcW w:w="480" w:type="dxa"/>
            <w:tcBorders>
              <w:top w:val="nil"/>
              <w:left w:val="nil"/>
              <w:bottom w:val="nil"/>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c>
          <w:tcPr>
            <w:tcW w:w="520" w:type="dxa"/>
            <w:tcBorders>
              <w:top w:val="single" w:color="auto" w:sz="4" w:space="0"/>
              <w:left w:val="nil"/>
              <w:bottom w:val="single" w:color="auto" w:sz="4" w:space="0"/>
              <w:right w:val="single" w:color="auto" w:sz="8"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r>
      <w:tr>
        <w:tblPrEx>
          <w:tblCellMar>
            <w:top w:w="0" w:type="dxa"/>
            <w:left w:w="108" w:type="dxa"/>
            <w:bottom w:w="0" w:type="dxa"/>
            <w:right w:w="108" w:type="dxa"/>
          </w:tblCellMar>
        </w:tblPrEx>
        <w:trPr>
          <w:trHeight w:val="802" w:hRule="atLeast"/>
          <w:jc w:val="center"/>
        </w:trPr>
        <w:tc>
          <w:tcPr>
            <w:tcW w:w="319" w:type="dxa"/>
            <w:tcBorders>
              <w:top w:val="single" w:color="auto" w:sz="4" w:space="0"/>
              <w:left w:val="single" w:color="auto" w:sz="8" w:space="0"/>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eastAsia="仿宋_GB2312"/>
                <w:color w:val="000000"/>
                <w:spacing w:val="-2"/>
                <w:kern w:val="0"/>
                <w:sz w:val="18"/>
                <w:szCs w:val="18"/>
              </w:rPr>
              <w:t>2</w:t>
            </w:r>
          </w:p>
        </w:tc>
        <w:tc>
          <w:tcPr>
            <w:tcW w:w="90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项目</w:t>
            </w:r>
          </w:p>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经理</w:t>
            </w:r>
          </w:p>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w:t>
            </w:r>
            <w:r>
              <w:rPr>
                <w:rFonts w:eastAsia="仿宋_GB2312"/>
                <w:color w:val="000000"/>
                <w:spacing w:val="-2"/>
                <w:kern w:val="0"/>
                <w:sz w:val="18"/>
                <w:szCs w:val="18"/>
              </w:rPr>
              <w:t>15</w:t>
            </w:r>
            <w:r>
              <w:rPr>
                <w:rFonts w:hint="eastAsia" w:eastAsia="仿宋_GB2312"/>
                <w:color w:val="000000"/>
                <w:spacing w:val="-2"/>
                <w:kern w:val="0"/>
                <w:sz w:val="18"/>
                <w:szCs w:val="18"/>
              </w:rPr>
              <w:t>分</w:t>
            </w:r>
            <w:r>
              <w:rPr>
                <w:rFonts w:eastAsia="仿宋_GB2312"/>
                <w:color w:val="000000"/>
                <w:spacing w:val="-2"/>
                <w:kern w:val="0"/>
                <w:sz w:val="18"/>
                <w:szCs w:val="18"/>
              </w:rPr>
              <w:t>)</w:t>
            </w:r>
          </w:p>
        </w:tc>
        <w:tc>
          <w:tcPr>
            <w:tcW w:w="4389" w:type="dxa"/>
            <w:gridSpan w:val="2"/>
            <w:tcBorders>
              <w:top w:val="single" w:color="auto" w:sz="4" w:space="0"/>
              <w:left w:val="nil"/>
              <w:bottom w:val="nil"/>
              <w:right w:val="single" w:color="000000"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项目经理是否在岗（</w:t>
            </w:r>
            <w:r>
              <w:rPr>
                <w:rFonts w:eastAsia="仿宋_GB2312"/>
                <w:color w:val="000000"/>
                <w:spacing w:val="-2"/>
                <w:kern w:val="0"/>
                <w:sz w:val="18"/>
                <w:szCs w:val="18"/>
              </w:rPr>
              <w:t>15</w:t>
            </w:r>
            <w:r>
              <w:rPr>
                <w:rFonts w:hint="eastAsia" w:eastAsia="仿宋_GB2312"/>
                <w:color w:val="000000"/>
                <w:spacing w:val="-2"/>
                <w:kern w:val="0"/>
                <w:sz w:val="18"/>
                <w:szCs w:val="18"/>
              </w:rPr>
              <w:t>分）</w:t>
            </w:r>
          </w:p>
        </w:tc>
        <w:tc>
          <w:tcPr>
            <w:tcW w:w="2372" w:type="dxa"/>
            <w:tcBorders>
              <w:top w:val="single" w:color="auto" w:sz="4" w:space="0"/>
              <w:left w:val="nil"/>
              <w:bottom w:val="nil"/>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不在岗扣</w:t>
            </w:r>
            <w:r>
              <w:rPr>
                <w:rFonts w:eastAsia="仿宋_GB2312"/>
                <w:color w:val="000000"/>
                <w:spacing w:val="-2"/>
                <w:kern w:val="0"/>
                <w:sz w:val="18"/>
                <w:szCs w:val="18"/>
              </w:rPr>
              <w:t>15</w:t>
            </w:r>
            <w:r>
              <w:rPr>
                <w:rFonts w:hint="eastAsia" w:eastAsia="仿宋_GB2312"/>
                <w:color w:val="000000"/>
                <w:spacing w:val="-2"/>
                <w:kern w:val="0"/>
                <w:sz w:val="18"/>
                <w:szCs w:val="18"/>
              </w:rPr>
              <w:t>分、</w:t>
            </w:r>
          </w:p>
        </w:tc>
        <w:tc>
          <w:tcPr>
            <w:tcW w:w="532" w:type="dxa"/>
            <w:tcBorders>
              <w:top w:val="single" w:color="auto" w:sz="4" w:space="0"/>
              <w:left w:val="nil"/>
              <w:bottom w:val="nil"/>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c>
          <w:tcPr>
            <w:tcW w:w="480" w:type="dxa"/>
            <w:tcBorders>
              <w:top w:val="single" w:color="auto" w:sz="4" w:space="0"/>
              <w:left w:val="nil"/>
              <w:bottom w:val="nil"/>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c>
          <w:tcPr>
            <w:tcW w:w="520" w:type="dxa"/>
            <w:tcBorders>
              <w:top w:val="single" w:color="auto" w:sz="4" w:space="0"/>
              <w:left w:val="nil"/>
              <w:bottom w:val="nil"/>
              <w:right w:val="single" w:color="auto" w:sz="8"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r>
      <w:tr>
        <w:tblPrEx>
          <w:tblCellMar>
            <w:top w:w="0" w:type="dxa"/>
            <w:left w:w="108" w:type="dxa"/>
            <w:bottom w:w="0" w:type="dxa"/>
            <w:right w:w="108" w:type="dxa"/>
          </w:tblCellMar>
        </w:tblPrEx>
        <w:trPr>
          <w:trHeight w:val="323" w:hRule="atLeast"/>
          <w:jc w:val="center"/>
        </w:trPr>
        <w:tc>
          <w:tcPr>
            <w:tcW w:w="319" w:type="dxa"/>
            <w:vMerge w:val="restart"/>
            <w:tcBorders>
              <w:top w:val="single" w:color="auto" w:sz="4" w:space="0"/>
              <w:left w:val="single" w:color="auto" w:sz="8" w:space="0"/>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eastAsia="仿宋_GB2312"/>
                <w:color w:val="000000"/>
                <w:spacing w:val="-2"/>
                <w:kern w:val="0"/>
                <w:sz w:val="18"/>
                <w:szCs w:val="18"/>
              </w:rPr>
              <w:t>3</w:t>
            </w:r>
          </w:p>
        </w:tc>
        <w:tc>
          <w:tcPr>
            <w:tcW w:w="902"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项目部</w:t>
            </w:r>
          </w:p>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管理</w:t>
            </w:r>
          </w:p>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w:t>
            </w:r>
            <w:r>
              <w:rPr>
                <w:rFonts w:eastAsia="仿宋_GB2312"/>
                <w:color w:val="000000"/>
                <w:spacing w:val="-2"/>
                <w:kern w:val="0"/>
                <w:sz w:val="18"/>
                <w:szCs w:val="18"/>
              </w:rPr>
              <w:t>25</w:t>
            </w:r>
            <w:r>
              <w:rPr>
                <w:rFonts w:hint="eastAsia" w:eastAsia="仿宋_GB2312"/>
                <w:color w:val="000000"/>
                <w:spacing w:val="-2"/>
                <w:kern w:val="0"/>
                <w:sz w:val="18"/>
                <w:szCs w:val="18"/>
              </w:rPr>
              <w:t>分）</w:t>
            </w:r>
          </w:p>
        </w:tc>
        <w:tc>
          <w:tcPr>
            <w:tcW w:w="1433"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管理制度建设</w:t>
            </w:r>
          </w:p>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w:t>
            </w:r>
            <w:r>
              <w:rPr>
                <w:rFonts w:eastAsia="仿宋_GB2312"/>
                <w:color w:val="000000"/>
                <w:spacing w:val="-2"/>
                <w:kern w:val="0"/>
                <w:sz w:val="18"/>
                <w:szCs w:val="18"/>
              </w:rPr>
              <w:t>15</w:t>
            </w:r>
            <w:r>
              <w:rPr>
                <w:rFonts w:hint="eastAsia" w:eastAsia="仿宋_GB2312"/>
                <w:color w:val="000000"/>
                <w:spacing w:val="-2"/>
                <w:kern w:val="0"/>
                <w:sz w:val="18"/>
                <w:szCs w:val="18"/>
              </w:rPr>
              <w:t>分）</w:t>
            </w:r>
          </w:p>
        </w:tc>
        <w:tc>
          <w:tcPr>
            <w:tcW w:w="2956"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项目部组织机构建立情况；项目部各项管理制度建立情况；主要管理制度上墙情况，工程档案管理人员是否参加档案管理培训，档案存放是否安全。</w:t>
            </w:r>
          </w:p>
        </w:tc>
        <w:tc>
          <w:tcPr>
            <w:tcW w:w="2372" w:type="dxa"/>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未使用台账扣</w:t>
            </w:r>
            <w:r>
              <w:rPr>
                <w:rFonts w:eastAsia="仿宋_GB2312"/>
                <w:color w:val="000000"/>
                <w:spacing w:val="-2"/>
                <w:kern w:val="0"/>
                <w:sz w:val="18"/>
                <w:szCs w:val="18"/>
              </w:rPr>
              <w:t>5</w:t>
            </w:r>
            <w:r>
              <w:rPr>
                <w:rFonts w:hint="eastAsia" w:eastAsia="仿宋_GB2312"/>
                <w:color w:val="000000"/>
                <w:spacing w:val="-2"/>
                <w:kern w:val="0"/>
                <w:sz w:val="18"/>
                <w:szCs w:val="18"/>
              </w:rPr>
              <w:t>分，</w:t>
            </w:r>
          </w:p>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使用不规范扣</w:t>
            </w:r>
            <w:r>
              <w:rPr>
                <w:rFonts w:eastAsia="仿宋_GB2312"/>
                <w:color w:val="000000"/>
                <w:spacing w:val="-2"/>
                <w:kern w:val="0"/>
                <w:sz w:val="18"/>
                <w:szCs w:val="18"/>
              </w:rPr>
              <w:t>2</w:t>
            </w:r>
            <w:r>
              <w:rPr>
                <w:rFonts w:hint="eastAsia" w:eastAsia="仿宋_GB2312"/>
                <w:color w:val="000000"/>
                <w:spacing w:val="-2"/>
                <w:kern w:val="0"/>
                <w:sz w:val="18"/>
                <w:szCs w:val="18"/>
              </w:rPr>
              <w:t>分</w:t>
            </w:r>
          </w:p>
        </w:tc>
        <w:tc>
          <w:tcPr>
            <w:tcW w:w="532" w:type="dxa"/>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c>
          <w:tcPr>
            <w:tcW w:w="480" w:type="dxa"/>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c>
          <w:tcPr>
            <w:tcW w:w="520" w:type="dxa"/>
            <w:tcBorders>
              <w:top w:val="single" w:color="auto" w:sz="4" w:space="0"/>
              <w:left w:val="nil"/>
              <w:bottom w:val="single" w:color="auto" w:sz="4" w:space="0"/>
              <w:right w:val="single" w:color="auto" w:sz="8"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r>
      <w:tr>
        <w:tblPrEx>
          <w:tblCellMar>
            <w:top w:w="0" w:type="dxa"/>
            <w:left w:w="108" w:type="dxa"/>
            <w:bottom w:w="0" w:type="dxa"/>
            <w:right w:w="108" w:type="dxa"/>
          </w:tblCellMar>
        </w:tblPrEx>
        <w:trPr>
          <w:trHeight w:val="429" w:hRule="atLeast"/>
          <w:jc w:val="center"/>
        </w:trPr>
        <w:tc>
          <w:tcPr>
            <w:tcW w:w="319"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 w:val="18"/>
                <w:szCs w:val="18"/>
              </w:rPr>
            </w:pPr>
          </w:p>
        </w:tc>
        <w:tc>
          <w:tcPr>
            <w:tcW w:w="90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 w:val="18"/>
                <w:szCs w:val="18"/>
              </w:rPr>
            </w:pPr>
          </w:p>
        </w:tc>
        <w:tc>
          <w:tcPr>
            <w:tcW w:w="143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 w:val="18"/>
                <w:szCs w:val="18"/>
              </w:rPr>
            </w:pPr>
          </w:p>
        </w:tc>
        <w:tc>
          <w:tcPr>
            <w:tcW w:w="295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 w:val="18"/>
                <w:szCs w:val="18"/>
              </w:rPr>
            </w:pPr>
          </w:p>
        </w:tc>
        <w:tc>
          <w:tcPr>
            <w:tcW w:w="2372" w:type="dxa"/>
            <w:tcBorders>
              <w:top w:val="nil"/>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组织机构未建立扣</w:t>
            </w:r>
            <w:r>
              <w:rPr>
                <w:rFonts w:eastAsia="仿宋_GB2312"/>
                <w:color w:val="000000"/>
                <w:spacing w:val="-2"/>
                <w:kern w:val="0"/>
                <w:sz w:val="18"/>
                <w:szCs w:val="18"/>
              </w:rPr>
              <w:t>2</w:t>
            </w:r>
            <w:r>
              <w:rPr>
                <w:rFonts w:hint="eastAsia" w:eastAsia="仿宋_GB2312"/>
                <w:color w:val="000000"/>
                <w:spacing w:val="-2"/>
                <w:kern w:val="0"/>
                <w:sz w:val="18"/>
                <w:szCs w:val="18"/>
              </w:rPr>
              <w:t>分，</w:t>
            </w:r>
          </w:p>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不健全扣</w:t>
            </w:r>
            <w:r>
              <w:rPr>
                <w:rFonts w:eastAsia="仿宋_GB2312"/>
                <w:color w:val="000000"/>
                <w:spacing w:val="-2"/>
                <w:kern w:val="0"/>
                <w:sz w:val="18"/>
                <w:szCs w:val="18"/>
              </w:rPr>
              <w:t>1</w:t>
            </w:r>
            <w:r>
              <w:rPr>
                <w:rFonts w:hint="eastAsia" w:eastAsia="仿宋_GB2312"/>
                <w:color w:val="000000"/>
                <w:spacing w:val="-2"/>
                <w:kern w:val="0"/>
                <w:sz w:val="18"/>
                <w:szCs w:val="18"/>
              </w:rPr>
              <w:t>分</w:t>
            </w:r>
          </w:p>
        </w:tc>
        <w:tc>
          <w:tcPr>
            <w:tcW w:w="532" w:type="dxa"/>
            <w:tcBorders>
              <w:top w:val="nil"/>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c>
          <w:tcPr>
            <w:tcW w:w="480" w:type="dxa"/>
            <w:tcBorders>
              <w:top w:val="nil"/>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c>
          <w:tcPr>
            <w:tcW w:w="520" w:type="dxa"/>
            <w:tcBorders>
              <w:top w:val="nil"/>
              <w:left w:val="nil"/>
              <w:bottom w:val="single" w:color="auto" w:sz="4" w:space="0"/>
              <w:right w:val="single" w:color="auto" w:sz="8"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r>
      <w:tr>
        <w:tblPrEx>
          <w:tblCellMar>
            <w:top w:w="0" w:type="dxa"/>
            <w:left w:w="108" w:type="dxa"/>
            <w:bottom w:w="0" w:type="dxa"/>
            <w:right w:w="108" w:type="dxa"/>
          </w:tblCellMar>
        </w:tblPrEx>
        <w:trPr>
          <w:trHeight w:val="523" w:hRule="atLeast"/>
          <w:jc w:val="center"/>
        </w:trPr>
        <w:tc>
          <w:tcPr>
            <w:tcW w:w="319"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 w:val="18"/>
                <w:szCs w:val="18"/>
              </w:rPr>
            </w:pPr>
          </w:p>
        </w:tc>
        <w:tc>
          <w:tcPr>
            <w:tcW w:w="90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 w:val="18"/>
                <w:szCs w:val="18"/>
              </w:rPr>
            </w:pPr>
          </w:p>
        </w:tc>
        <w:tc>
          <w:tcPr>
            <w:tcW w:w="143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 w:val="18"/>
                <w:szCs w:val="18"/>
              </w:rPr>
            </w:pPr>
          </w:p>
        </w:tc>
        <w:tc>
          <w:tcPr>
            <w:tcW w:w="295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 w:val="18"/>
                <w:szCs w:val="18"/>
              </w:rPr>
            </w:pPr>
          </w:p>
        </w:tc>
        <w:tc>
          <w:tcPr>
            <w:tcW w:w="2372" w:type="dxa"/>
            <w:tcBorders>
              <w:top w:val="nil"/>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管理制度未建立扣</w:t>
            </w:r>
            <w:r>
              <w:rPr>
                <w:rFonts w:eastAsia="仿宋_GB2312"/>
                <w:color w:val="000000"/>
                <w:spacing w:val="-2"/>
                <w:kern w:val="0"/>
                <w:sz w:val="18"/>
                <w:szCs w:val="18"/>
              </w:rPr>
              <w:t>3</w:t>
            </w:r>
            <w:r>
              <w:rPr>
                <w:rFonts w:hint="eastAsia" w:eastAsia="仿宋_GB2312"/>
                <w:color w:val="000000"/>
                <w:spacing w:val="-2"/>
                <w:kern w:val="0"/>
                <w:sz w:val="18"/>
                <w:szCs w:val="18"/>
              </w:rPr>
              <w:t>分，不健全扣</w:t>
            </w:r>
            <w:r>
              <w:rPr>
                <w:rFonts w:eastAsia="仿宋_GB2312"/>
                <w:color w:val="000000"/>
                <w:spacing w:val="-2"/>
                <w:kern w:val="0"/>
                <w:sz w:val="18"/>
                <w:szCs w:val="18"/>
              </w:rPr>
              <w:t>2</w:t>
            </w:r>
            <w:r>
              <w:rPr>
                <w:rFonts w:hint="eastAsia" w:eastAsia="仿宋_GB2312"/>
                <w:color w:val="000000"/>
                <w:spacing w:val="-2"/>
                <w:kern w:val="0"/>
                <w:sz w:val="18"/>
                <w:szCs w:val="18"/>
              </w:rPr>
              <w:t>分。</w:t>
            </w:r>
          </w:p>
        </w:tc>
        <w:tc>
          <w:tcPr>
            <w:tcW w:w="532" w:type="dxa"/>
            <w:tcBorders>
              <w:top w:val="nil"/>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c>
          <w:tcPr>
            <w:tcW w:w="480" w:type="dxa"/>
            <w:tcBorders>
              <w:top w:val="nil"/>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c>
          <w:tcPr>
            <w:tcW w:w="520" w:type="dxa"/>
            <w:tcBorders>
              <w:top w:val="nil"/>
              <w:left w:val="nil"/>
              <w:bottom w:val="single" w:color="auto" w:sz="4" w:space="0"/>
              <w:right w:val="single" w:color="auto" w:sz="8"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r>
      <w:tr>
        <w:tblPrEx>
          <w:tblCellMar>
            <w:top w:w="0" w:type="dxa"/>
            <w:left w:w="108" w:type="dxa"/>
            <w:bottom w:w="0" w:type="dxa"/>
            <w:right w:w="108" w:type="dxa"/>
          </w:tblCellMar>
        </w:tblPrEx>
        <w:trPr>
          <w:trHeight w:val="338" w:hRule="atLeast"/>
          <w:jc w:val="center"/>
        </w:trPr>
        <w:tc>
          <w:tcPr>
            <w:tcW w:w="319"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 w:val="18"/>
                <w:szCs w:val="18"/>
              </w:rPr>
            </w:pPr>
          </w:p>
        </w:tc>
        <w:tc>
          <w:tcPr>
            <w:tcW w:w="90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 w:val="18"/>
                <w:szCs w:val="18"/>
              </w:rPr>
            </w:pPr>
          </w:p>
        </w:tc>
        <w:tc>
          <w:tcPr>
            <w:tcW w:w="143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 w:val="18"/>
                <w:szCs w:val="18"/>
              </w:rPr>
            </w:pPr>
          </w:p>
        </w:tc>
        <w:tc>
          <w:tcPr>
            <w:tcW w:w="295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 w:val="18"/>
                <w:szCs w:val="18"/>
              </w:rPr>
            </w:pPr>
          </w:p>
        </w:tc>
        <w:tc>
          <w:tcPr>
            <w:tcW w:w="2372" w:type="dxa"/>
            <w:tcBorders>
              <w:top w:val="nil"/>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主要管理制度未上墙扣</w:t>
            </w:r>
            <w:r>
              <w:rPr>
                <w:rFonts w:eastAsia="仿宋_GB2312"/>
                <w:color w:val="000000"/>
                <w:spacing w:val="-2"/>
                <w:kern w:val="0"/>
                <w:sz w:val="18"/>
                <w:szCs w:val="18"/>
              </w:rPr>
              <w:t>3</w:t>
            </w:r>
            <w:r>
              <w:rPr>
                <w:rFonts w:hint="eastAsia" w:eastAsia="仿宋_GB2312"/>
                <w:color w:val="000000"/>
                <w:spacing w:val="-2"/>
                <w:kern w:val="0"/>
                <w:sz w:val="18"/>
                <w:szCs w:val="18"/>
              </w:rPr>
              <w:t>分</w:t>
            </w:r>
          </w:p>
        </w:tc>
        <w:tc>
          <w:tcPr>
            <w:tcW w:w="532" w:type="dxa"/>
            <w:tcBorders>
              <w:top w:val="nil"/>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c>
          <w:tcPr>
            <w:tcW w:w="480" w:type="dxa"/>
            <w:tcBorders>
              <w:top w:val="nil"/>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c>
          <w:tcPr>
            <w:tcW w:w="520" w:type="dxa"/>
            <w:tcBorders>
              <w:top w:val="nil"/>
              <w:left w:val="nil"/>
              <w:bottom w:val="single" w:color="auto" w:sz="4" w:space="0"/>
              <w:right w:val="single" w:color="auto" w:sz="8"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r>
      <w:tr>
        <w:tblPrEx>
          <w:tblCellMar>
            <w:top w:w="0" w:type="dxa"/>
            <w:left w:w="108" w:type="dxa"/>
            <w:bottom w:w="0" w:type="dxa"/>
            <w:right w:w="108" w:type="dxa"/>
          </w:tblCellMar>
        </w:tblPrEx>
        <w:trPr>
          <w:trHeight w:val="267" w:hRule="atLeast"/>
          <w:jc w:val="center"/>
        </w:trPr>
        <w:tc>
          <w:tcPr>
            <w:tcW w:w="319"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 w:val="18"/>
                <w:szCs w:val="18"/>
              </w:rPr>
            </w:pPr>
          </w:p>
        </w:tc>
        <w:tc>
          <w:tcPr>
            <w:tcW w:w="90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 w:val="18"/>
                <w:szCs w:val="18"/>
              </w:rPr>
            </w:pPr>
          </w:p>
        </w:tc>
        <w:tc>
          <w:tcPr>
            <w:tcW w:w="143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 w:val="18"/>
                <w:szCs w:val="18"/>
              </w:rPr>
            </w:pPr>
          </w:p>
        </w:tc>
        <w:tc>
          <w:tcPr>
            <w:tcW w:w="295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 w:val="18"/>
                <w:szCs w:val="18"/>
              </w:rPr>
            </w:pPr>
          </w:p>
        </w:tc>
        <w:tc>
          <w:tcPr>
            <w:tcW w:w="2372" w:type="dxa"/>
            <w:tcBorders>
              <w:top w:val="nil"/>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档案人员未培训扣</w:t>
            </w:r>
            <w:r>
              <w:rPr>
                <w:rFonts w:eastAsia="仿宋_GB2312"/>
                <w:color w:val="000000"/>
                <w:spacing w:val="-2"/>
                <w:kern w:val="0"/>
                <w:sz w:val="18"/>
                <w:szCs w:val="18"/>
              </w:rPr>
              <w:t>1</w:t>
            </w:r>
            <w:r>
              <w:rPr>
                <w:rFonts w:hint="eastAsia" w:eastAsia="仿宋_GB2312"/>
                <w:color w:val="000000"/>
                <w:spacing w:val="-2"/>
                <w:kern w:val="0"/>
                <w:sz w:val="18"/>
                <w:szCs w:val="18"/>
              </w:rPr>
              <w:t>分</w:t>
            </w:r>
          </w:p>
        </w:tc>
        <w:tc>
          <w:tcPr>
            <w:tcW w:w="532" w:type="dxa"/>
            <w:tcBorders>
              <w:top w:val="nil"/>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c>
          <w:tcPr>
            <w:tcW w:w="480" w:type="dxa"/>
            <w:tcBorders>
              <w:top w:val="nil"/>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c>
          <w:tcPr>
            <w:tcW w:w="520" w:type="dxa"/>
            <w:tcBorders>
              <w:top w:val="nil"/>
              <w:left w:val="nil"/>
              <w:bottom w:val="single" w:color="auto" w:sz="4" w:space="0"/>
              <w:right w:val="single" w:color="auto" w:sz="8"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r>
      <w:tr>
        <w:tblPrEx>
          <w:tblCellMar>
            <w:top w:w="0" w:type="dxa"/>
            <w:left w:w="108" w:type="dxa"/>
            <w:bottom w:w="0" w:type="dxa"/>
            <w:right w:w="108" w:type="dxa"/>
          </w:tblCellMar>
        </w:tblPrEx>
        <w:trPr>
          <w:trHeight w:val="338" w:hRule="atLeast"/>
          <w:jc w:val="center"/>
        </w:trPr>
        <w:tc>
          <w:tcPr>
            <w:tcW w:w="319"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 w:val="18"/>
                <w:szCs w:val="18"/>
              </w:rPr>
            </w:pPr>
          </w:p>
        </w:tc>
        <w:tc>
          <w:tcPr>
            <w:tcW w:w="90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 w:val="18"/>
                <w:szCs w:val="18"/>
              </w:rPr>
            </w:pPr>
          </w:p>
        </w:tc>
        <w:tc>
          <w:tcPr>
            <w:tcW w:w="143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 w:val="18"/>
                <w:szCs w:val="18"/>
              </w:rPr>
            </w:pPr>
          </w:p>
        </w:tc>
        <w:tc>
          <w:tcPr>
            <w:tcW w:w="295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 w:val="18"/>
                <w:szCs w:val="18"/>
              </w:rPr>
            </w:pPr>
          </w:p>
        </w:tc>
        <w:tc>
          <w:tcPr>
            <w:tcW w:w="2372" w:type="dxa"/>
            <w:tcBorders>
              <w:top w:val="nil"/>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档案无存放地扣</w:t>
            </w:r>
            <w:r>
              <w:rPr>
                <w:rFonts w:eastAsia="仿宋_GB2312"/>
                <w:color w:val="000000"/>
                <w:spacing w:val="-2"/>
                <w:kern w:val="0"/>
                <w:sz w:val="18"/>
                <w:szCs w:val="18"/>
              </w:rPr>
              <w:t>1</w:t>
            </w:r>
            <w:r>
              <w:rPr>
                <w:rFonts w:hint="eastAsia" w:eastAsia="仿宋_GB2312"/>
                <w:color w:val="000000"/>
                <w:spacing w:val="-2"/>
                <w:kern w:val="0"/>
                <w:sz w:val="18"/>
                <w:szCs w:val="18"/>
              </w:rPr>
              <w:t>分</w:t>
            </w:r>
          </w:p>
        </w:tc>
        <w:tc>
          <w:tcPr>
            <w:tcW w:w="532" w:type="dxa"/>
            <w:tcBorders>
              <w:top w:val="nil"/>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c>
          <w:tcPr>
            <w:tcW w:w="480" w:type="dxa"/>
            <w:tcBorders>
              <w:top w:val="nil"/>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c>
          <w:tcPr>
            <w:tcW w:w="520" w:type="dxa"/>
            <w:tcBorders>
              <w:top w:val="nil"/>
              <w:left w:val="nil"/>
              <w:bottom w:val="single" w:color="auto" w:sz="4" w:space="0"/>
              <w:right w:val="single" w:color="auto" w:sz="8"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r>
      <w:tr>
        <w:tblPrEx>
          <w:tblCellMar>
            <w:top w:w="0" w:type="dxa"/>
            <w:left w:w="108" w:type="dxa"/>
            <w:bottom w:w="0" w:type="dxa"/>
            <w:right w:w="108" w:type="dxa"/>
          </w:tblCellMar>
        </w:tblPrEx>
        <w:trPr>
          <w:trHeight w:val="322" w:hRule="atLeast"/>
          <w:jc w:val="center"/>
        </w:trPr>
        <w:tc>
          <w:tcPr>
            <w:tcW w:w="319"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 w:val="18"/>
                <w:szCs w:val="18"/>
              </w:rPr>
            </w:pPr>
          </w:p>
        </w:tc>
        <w:tc>
          <w:tcPr>
            <w:tcW w:w="90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 w:val="18"/>
                <w:szCs w:val="18"/>
              </w:rPr>
            </w:pPr>
          </w:p>
        </w:tc>
        <w:tc>
          <w:tcPr>
            <w:tcW w:w="1433" w:type="dxa"/>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eastAsia="仿宋_GB2312"/>
                <w:color w:val="000000"/>
                <w:spacing w:val="-2"/>
                <w:kern w:val="0"/>
                <w:sz w:val="18"/>
                <w:szCs w:val="18"/>
              </w:rPr>
              <w:t>“</w:t>
            </w:r>
            <w:r>
              <w:rPr>
                <w:rFonts w:hint="eastAsia" w:eastAsia="仿宋_GB2312"/>
                <w:color w:val="000000"/>
                <w:spacing w:val="-2"/>
                <w:kern w:val="0"/>
                <w:sz w:val="18"/>
                <w:szCs w:val="18"/>
              </w:rPr>
              <w:t>九牌一图</w:t>
            </w:r>
            <w:r>
              <w:rPr>
                <w:rFonts w:eastAsia="仿宋_GB2312"/>
                <w:color w:val="000000"/>
                <w:spacing w:val="-2"/>
                <w:kern w:val="0"/>
                <w:sz w:val="18"/>
                <w:szCs w:val="18"/>
              </w:rPr>
              <w:t>”(10</w:t>
            </w:r>
            <w:r>
              <w:rPr>
                <w:rFonts w:hint="eastAsia" w:eastAsia="仿宋_GB2312"/>
                <w:color w:val="000000"/>
                <w:spacing w:val="-2"/>
                <w:kern w:val="0"/>
                <w:sz w:val="18"/>
                <w:szCs w:val="18"/>
              </w:rPr>
              <w:t>分</w:t>
            </w:r>
            <w:r>
              <w:rPr>
                <w:rFonts w:eastAsia="仿宋_GB2312"/>
                <w:color w:val="000000"/>
                <w:spacing w:val="-2"/>
                <w:kern w:val="0"/>
                <w:sz w:val="18"/>
                <w:szCs w:val="18"/>
              </w:rPr>
              <w:t>)</w:t>
            </w:r>
          </w:p>
        </w:tc>
        <w:tc>
          <w:tcPr>
            <w:tcW w:w="2956" w:type="dxa"/>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是否在醒目位置悬挂公示</w:t>
            </w:r>
          </w:p>
        </w:tc>
        <w:tc>
          <w:tcPr>
            <w:tcW w:w="2372" w:type="dxa"/>
            <w:tcBorders>
              <w:top w:val="nil"/>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漏一项扣</w:t>
            </w:r>
            <w:r>
              <w:rPr>
                <w:rFonts w:eastAsia="仿宋_GB2312"/>
                <w:color w:val="000000"/>
                <w:spacing w:val="-2"/>
                <w:kern w:val="0"/>
                <w:sz w:val="18"/>
                <w:szCs w:val="18"/>
              </w:rPr>
              <w:t>2</w:t>
            </w:r>
            <w:r>
              <w:rPr>
                <w:rFonts w:hint="eastAsia" w:eastAsia="仿宋_GB2312"/>
                <w:color w:val="000000"/>
                <w:spacing w:val="-2"/>
                <w:kern w:val="0"/>
                <w:sz w:val="18"/>
                <w:szCs w:val="18"/>
              </w:rPr>
              <w:t>分，最多扣</w:t>
            </w:r>
            <w:r>
              <w:rPr>
                <w:rFonts w:eastAsia="仿宋_GB2312"/>
                <w:color w:val="000000"/>
                <w:spacing w:val="-2"/>
                <w:kern w:val="0"/>
                <w:sz w:val="18"/>
                <w:szCs w:val="18"/>
              </w:rPr>
              <w:t>10</w:t>
            </w:r>
            <w:r>
              <w:rPr>
                <w:rFonts w:hint="eastAsia" w:eastAsia="仿宋_GB2312"/>
                <w:color w:val="000000"/>
                <w:spacing w:val="-2"/>
                <w:kern w:val="0"/>
                <w:sz w:val="18"/>
                <w:szCs w:val="18"/>
              </w:rPr>
              <w:t>分</w:t>
            </w:r>
          </w:p>
        </w:tc>
        <w:tc>
          <w:tcPr>
            <w:tcW w:w="532" w:type="dxa"/>
            <w:tcBorders>
              <w:top w:val="nil"/>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c>
          <w:tcPr>
            <w:tcW w:w="480" w:type="dxa"/>
            <w:tcBorders>
              <w:top w:val="nil"/>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c>
          <w:tcPr>
            <w:tcW w:w="520" w:type="dxa"/>
            <w:tcBorders>
              <w:top w:val="nil"/>
              <w:left w:val="nil"/>
              <w:bottom w:val="single" w:color="auto" w:sz="4" w:space="0"/>
              <w:right w:val="single" w:color="auto" w:sz="8"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r>
      <w:tr>
        <w:tblPrEx>
          <w:tblCellMar>
            <w:top w:w="0" w:type="dxa"/>
            <w:left w:w="108" w:type="dxa"/>
            <w:bottom w:w="0" w:type="dxa"/>
            <w:right w:w="108" w:type="dxa"/>
          </w:tblCellMar>
        </w:tblPrEx>
        <w:trPr>
          <w:trHeight w:val="353" w:hRule="atLeast"/>
          <w:jc w:val="center"/>
        </w:trPr>
        <w:tc>
          <w:tcPr>
            <w:tcW w:w="319" w:type="dxa"/>
            <w:vMerge w:val="restart"/>
            <w:tcBorders>
              <w:top w:val="single" w:color="auto" w:sz="4" w:space="0"/>
              <w:left w:val="single" w:color="auto" w:sz="8" w:space="0"/>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eastAsia="仿宋_GB2312"/>
                <w:color w:val="000000"/>
                <w:spacing w:val="-2"/>
                <w:kern w:val="0"/>
                <w:sz w:val="18"/>
                <w:szCs w:val="18"/>
              </w:rPr>
              <w:t>4</w:t>
            </w:r>
          </w:p>
        </w:tc>
        <w:tc>
          <w:tcPr>
            <w:tcW w:w="902"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总分包</w:t>
            </w:r>
          </w:p>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管理</w:t>
            </w:r>
          </w:p>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w:t>
            </w:r>
            <w:r>
              <w:rPr>
                <w:rFonts w:eastAsia="仿宋_GB2312"/>
                <w:color w:val="000000"/>
                <w:spacing w:val="-2"/>
                <w:kern w:val="0"/>
                <w:sz w:val="18"/>
                <w:szCs w:val="18"/>
              </w:rPr>
              <w:t>30</w:t>
            </w:r>
            <w:r>
              <w:rPr>
                <w:rFonts w:hint="eastAsia" w:eastAsia="仿宋_GB2312"/>
                <w:color w:val="000000"/>
                <w:spacing w:val="-2"/>
                <w:kern w:val="0"/>
                <w:sz w:val="18"/>
                <w:szCs w:val="18"/>
              </w:rPr>
              <w:t>分）</w:t>
            </w:r>
          </w:p>
        </w:tc>
        <w:tc>
          <w:tcPr>
            <w:tcW w:w="1433" w:type="dxa"/>
            <w:vMerge w:val="restart"/>
            <w:tcBorders>
              <w:top w:val="nil"/>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发包管理（</w:t>
            </w:r>
            <w:r>
              <w:rPr>
                <w:rFonts w:eastAsia="仿宋_GB2312"/>
                <w:color w:val="000000"/>
                <w:spacing w:val="-2"/>
                <w:kern w:val="0"/>
                <w:sz w:val="18"/>
                <w:szCs w:val="18"/>
              </w:rPr>
              <w:t>10</w:t>
            </w:r>
            <w:r>
              <w:rPr>
                <w:rFonts w:hint="eastAsia" w:eastAsia="仿宋_GB2312"/>
                <w:color w:val="000000"/>
                <w:spacing w:val="-2"/>
                <w:kern w:val="0"/>
                <w:sz w:val="18"/>
                <w:szCs w:val="18"/>
              </w:rPr>
              <w:t>分）</w:t>
            </w:r>
          </w:p>
        </w:tc>
        <w:tc>
          <w:tcPr>
            <w:tcW w:w="2956" w:type="dxa"/>
            <w:vMerge w:val="restart"/>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总包单位是否具备</w:t>
            </w:r>
          </w:p>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发包资格。</w:t>
            </w:r>
          </w:p>
        </w:tc>
        <w:tc>
          <w:tcPr>
            <w:tcW w:w="2372" w:type="dxa"/>
            <w:vMerge w:val="restart"/>
            <w:tcBorders>
              <w:top w:val="nil"/>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不具备发包资格发包的扣</w:t>
            </w:r>
            <w:r>
              <w:rPr>
                <w:rFonts w:eastAsia="仿宋_GB2312"/>
                <w:color w:val="000000"/>
                <w:spacing w:val="-2"/>
                <w:kern w:val="0"/>
                <w:sz w:val="18"/>
                <w:szCs w:val="18"/>
              </w:rPr>
              <w:t>10</w:t>
            </w:r>
            <w:r>
              <w:rPr>
                <w:rFonts w:hint="eastAsia" w:eastAsia="仿宋_GB2312"/>
                <w:color w:val="000000"/>
                <w:spacing w:val="-2"/>
                <w:kern w:val="0"/>
                <w:sz w:val="18"/>
                <w:szCs w:val="18"/>
              </w:rPr>
              <w:t>分</w:t>
            </w:r>
          </w:p>
        </w:tc>
        <w:tc>
          <w:tcPr>
            <w:tcW w:w="532" w:type="dxa"/>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c>
          <w:tcPr>
            <w:tcW w:w="480" w:type="dxa"/>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c>
          <w:tcPr>
            <w:tcW w:w="520" w:type="dxa"/>
            <w:tcBorders>
              <w:top w:val="single" w:color="auto" w:sz="4" w:space="0"/>
              <w:left w:val="nil"/>
              <w:bottom w:val="single" w:color="auto" w:sz="4" w:space="0"/>
              <w:right w:val="single" w:color="auto" w:sz="8"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r>
      <w:tr>
        <w:tblPrEx>
          <w:tblCellMar>
            <w:top w:w="0" w:type="dxa"/>
            <w:left w:w="108" w:type="dxa"/>
            <w:bottom w:w="0" w:type="dxa"/>
            <w:right w:w="108" w:type="dxa"/>
          </w:tblCellMar>
        </w:tblPrEx>
        <w:trPr>
          <w:trHeight w:val="476" w:hRule="atLeast"/>
          <w:jc w:val="center"/>
        </w:trPr>
        <w:tc>
          <w:tcPr>
            <w:tcW w:w="319"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 w:val="18"/>
                <w:szCs w:val="18"/>
              </w:rPr>
            </w:pPr>
          </w:p>
        </w:tc>
        <w:tc>
          <w:tcPr>
            <w:tcW w:w="90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 w:val="18"/>
                <w:szCs w:val="18"/>
              </w:rPr>
            </w:pPr>
          </w:p>
        </w:tc>
        <w:tc>
          <w:tcPr>
            <w:tcW w:w="1433" w:type="dxa"/>
            <w:vMerge w:val="continue"/>
            <w:tcBorders>
              <w:top w:val="nil"/>
              <w:left w:val="nil"/>
              <w:bottom w:val="single" w:color="auto" w:sz="4" w:space="0"/>
              <w:right w:val="single" w:color="auto" w:sz="4" w:space="0"/>
            </w:tcBorders>
            <w:noWrap w:val="0"/>
            <w:vAlign w:val="center"/>
          </w:tcPr>
          <w:p>
            <w:pPr>
              <w:widowControl/>
              <w:jc w:val="left"/>
              <w:rPr>
                <w:rFonts w:eastAsia="仿宋_GB2312"/>
                <w:color w:val="000000"/>
                <w:spacing w:val="-2"/>
                <w:kern w:val="0"/>
                <w:sz w:val="18"/>
                <w:szCs w:val="18"/>
              </w:rPr>
            </w:pPr>
          </w:p>
        </w:tc>
        <w:tc>
          <w:tcPr>
            <w:tcW w:w="2956"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仿宋_GB2312"/>
                <w:color w:val="000000"/>
                <w:spacing w:val="-2"/>
                <w:kern w:val="0"/>
                <w:sz w:val="18"/>
                <w:szCs w:val="18"/>
              </w:rPr>
            </w:pPr>
          </w:p>
        </w:tc>
        <w:tc>
          <w:tcPr>
            <w:tcW w:w="2372" w:type="dxa"/>
            <w:vMerge w:val="continue"/>
            <w:tcBorders>
              <w:top w:val="nil"/>
              <w:left w:val="nil"/>
              <w:bottom w:val="single" w:color="auto" w:sz="4" w:space="0"/>
              <w:right w:val="single" w:color="auto" w:sz="4" w:space="0"/>
            </w:tcBorders>
            <w:noWrap w:val="0"/>
            <w:vAlign w:val="center"/>
          </w:tcPr>
          <w:p>
            <w:pPr>
              <w:widowControl/>
              <w:jc w:val="left"/>
              <w:rPr>
                <w:rFonts w:eastAsia="仿宋_GB2312"/>
                <w:color w:val="000000"/>
                <w:spacing w:val="-2"/>
                <w:kern w:val="0"/>
                <w:sz w:val="18"/>
                <w:szCs w:val="18"/>
              </w:rPr>
            </w:pPr>
          </w:p>
        </w:tc>
        <w:tc>
          <w:tcPr>
            <w:tcW w:w="532" w:type="dxa"/>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c>
          <w:tcPr>
            <w:tcW w:w="480" w:type="dxa"/>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c>
          <w:tcPr>
            <w:tcW w:w="520" w:type="dxa"/>
            <w:tcBorders>
              <w:top w:val="single" w:color="auto" w:sz="4" w:space="0"/>
              <w:left w:val="nil"/>
              <w:bottom w:val="single" w:color="auto" w:sz="4" w:space="0"/>
              <w:right w:val="single" w:color="auto" w:sz="8"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r>
      <w:tr>
        <w:tblPrEx>
          <w:tblCellMar>
            <w:top w:w="0" w:type="dxa"/>
            <w:left w:w="108" w:type="dxa"/>
            <w:bottom w:w="0" w:type="dxa"/>
            <w:right w:w="108" w:type="dxa"/>
          </w:tblCellMar>
        </w:tblPrEx>
        <w:trPr>
          <w:trHeight w:val="465" w:hRule="atLeast"/>
          <w:jc w:val="center"/>
        </w:trPr>
        <w:tc>
          <w:tcPr>
            <w:tcW w:w="319"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 w:val="18"/>
                <w:szCs w:val="18"/>
              </w:rPr>
            </w:pPr>
          </w:p>
        </w:tc>
        <w:tc>
          <w:tcPr>
            <w:tcW w:w="90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 w:val="18"/>
                <w:szCs w:val="18"/>
              </w:rPr>
            </w:pPr>
          </w:p>
        </w:tc>
        <w:tc>
          <w:tcPr>
            <w:tcW w:w="1433" w:type="dxa"/>
            <w:vMerge w:val="restart"/>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资质管理（</w:t>
            </w:r>
            <w:r>
              <w:rPr>
                <w:rFonts w:eastAsia="仿宋_GB2312"/>
                <w:color w:val="000000"/>
                <w:spacing w:val="-2"/>
                <w:kern w:val="0"/>
                <w:sz w:val="18"/>
                <w:szCs w:val="18"/>
              </w:rPr>
              <w:t>10</w:t>
            </w:r>
            <w:r>
              <w:rPr>
                <w:rFonts w:hint="eastAsia" w:eastAsia="仿宋_GB2312"/>
                <w:color w:val="000000"/>
                <w:spacing w:val="-2"/>
                <w:kern w:val="0"/>
                <w:sz w:val="18"/>
                <w:szCs w:val="18"/>
              </w:rPr>
              <w:t>分）</w:t>
            </w:r>
          </w:p>
        </w:tc>
        <w:tc>
          <w:tcPr>
            <w:tcW w:w="2956" w:type="dxa"/>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分包单位是否具备</w:t>
            </w:r>
          </w:p>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相应资质（</w:t>
            </w:r>
            <w:r>
              <w:rPr>
                <w:rFonts w:eastAsia="仿宋_GB2312"/>
                <w:color w:val="000000"/>
                <w:spacing w:val="-2"/>
                <w:kern w:val="0"/>
                <w:sz w:val="18"/>
                <w:szCs w:val="18"/>
              </w:rPr>
              <w:t>7</w:t>
            </w:r>
            <w:r>
              <w:rPr>
                <w:rFonts w:hint="eastAsia" w:eastAsia="仿宋_GB2312"/>
                <w:color w:val="000000"/>
                <w:spacing w:val="-2"/>
                <w:kern w:val="0"/>
                <w:sz w:val="18"/>
                <w:szCs w:val="18"/>
              </w:rPr>
              <w:t>分）</w:t>
            </w:r>
          </w:p>
        </w:tc>
        <w:tc>
          <w:tcPr>
            <w:tcW w:w="2372" w:type="dxa"/>
            <w:tcBorders>
              <w:top w:val="nil"/>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无资质扣</w:t>
            </w:r>
            <w:r>
              <w:rPr>
                <w:rFonts w:eastAsia="仿宋_GB2312"/>
                <w:color w:val="000000"/>
                <w:spacing w:val="-2"/>
                <w:kern w:val="0"/>
                <w:sz w:val="18"/>
                <w:szCs w:val="18"/>
              </w:rPr>
              <w:t>7</w:t>
            </w:r>
            <w:r>
              <w:rPr>
                <w:rFonts w:hint="eastAsia" w:eastAsia="仿宋_GB2312"/>
                <w:color w:val="000000"/>
                <w:spacing w:val="-2"/>
                <w:kern w:val="0"/>
                <w:sz w:val="18"/>
                <w:szCs w:val="18"/>
              </w:rPr>
              <w:t>分</w:t>
            </w:r>
          </w:p>
        </w:tc>
        <w:tc>
          <w:tcPr>
            <w:tcW w:w="532" w:type="dxa"/>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c>
          <w:tcPr>
            <w:tcW w:w="480" w:type="dxa"/>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c>
          <w:tcPr>
            <w:tcW w:w="520" w:type="dxa"/>
            <w:tcBorders>
              <w:top w:val="single" w:color="auto" w:sz="4" w:space="0"/>
              <w:left w:val="nil"/>
              <w:bottom w:val="single" w:color="auto" w:sz="4" w:space="0"/>
              <w:right w:val="single" w:color="auto" w:sz="8"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r>
      <w:tr>
        <w:tblPrEx>
          <w:tblCellMar>
            <w:top w:w="0" w:type="dxa"/>
            <w:left w:w="108" w:type="dxa"/>
            <w:bottom w:w="0" w:type="dxa"/>
            <w:right w:w="108" w:type="dxa"/>
          </w:tblCellMar>
        </w:tblPrEx>
        <w:trPr>
          <w:trHeight w:val="465" w:hRule="atLeast"/>
          <w:jc w:val="center"/>
        </w:trPr>
        <w:tc>
          <w:tcPr>
            <w:tcW w:w="319"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 w:val="18"/>
                <w:szCs w:val="18"/>
              </w:rPr>
            </w:pPr>
          </w:p>
        </w:tc>
        <w:tc>
          <w:tcPr>
            <w:tcW w:w="90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 w:val="18"/>
                <w:szCs w:val="18"/>
              </w:rPr>
            </w:pPr>
          </w:p>
        </w:tc>
        <w:tc>
          <w:tcPr>
            <w:tcW w:w="143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仿宋_GB2312"/>
                <w:color w:val="000000"/>
                <w:spacing w:val="-2"/>
                <w:kern w:val="0"/>
                <w:sz w:val="18"/>
                <w:szCs w:val="18"/>
              </w:rPr>
            </w:pPr>
          </w:p>
        </w:tc>
        <w:tc>
          <w:tcPr>
            <w:tcW w:w="295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总包单位是否对其分包单位资质进行核查，并报建设、监理备案。（</w:t>
            </w:r>
            <w:r>
              <w:rPr>
                <w:rFonts w:eastAsia="仿宋_GB2312"/>
                <w:color w:val="000000"/>
                <w:spacing w:val="-2"/>
                <w:kern w:val="0"/>
                <w:sz w:val="18"/>
                <w:szCs w:val="18"/>
              </w:rPr>
              <w:t>3</w:t>
            </w:r>
            <w:r>
              <w:rPr>
                <w:rFonts w:hint="eastAsia" w:eastAsia="仿宋_GB2312"/>
                <w:color w:val="000000"/>
                <w:spacing w:val="-2"/>
                <w:kern w:val="0"/>
                <w:sz w:val="18"/>
                <w:szCs w:val="18"/>
              </w:rPr>
              <w:t>分）</w:t>
            </w:r>
          </w:p>
        </w:tc>
        <w:tc>
          <w:tcPr>
            <w:tcW w:w="237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未报审批扣</w:t>
            </w:r>
            <w:r>
              <w:rPr>
                <w:rFonts w:eastAsia="仿宋_GB2312"/>
                <w:color w:val="000000"/>
                <w:spacing w:val="-2"/>
                <w:kern w:val="0"/>
                <w:sz w:val="18"/>
                <w:szCs w:val="18"/>
              </w:rPr>
              <w:t>3</w:t>
            </w:r>
            <w:r>
              <w:rPr>
                <w:rFonts w:hint="eastAsia" w:eastAsia="仿宋_GB2312"/>
                <w:color w:val="000000"/>
                <w:spacing w:val="-2"/>
                <w:kern w:val="0"/>
                <w:sz w:val="18"/>
                <w:szCs w:val="18"/>
              </w:rPr>
              <w:t>分</w:t>
            </w:r>
          </w:p>
        </w:tc>
        <w:tc>
          <w:tcPr>
            <w:tcW w:w="53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c>
          <w:tcPr>
            <w:tcW w:w="48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c>
          <w:tcPr>
            <w:tcW w:w="520"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r>
      <w:tr>
        <w:tblPrEx>
          <w:tblCellMar>
            <w:top w:w="0" w:type="dxa"/>
            <w:left w:w="108" w:type="dxa"/>
            <w:bottom w:w="0" w:type="dxa"/>
            <w:right w:w="108" w:type="dxa"/>
          </w:tblCellMar>
        </w:tblPrEx>
        <w:trPr>
          <w:trHeight w:val="438" w:hRule="atLeast"/>
          <w:jc w:val="center"/>
        </w:trPr>
        <w:tc>
          <w:tcPr>
            <w:tcW w:w="319"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 w:val="18"/>
                <w:szCs w:val="18"/>
              </w:rPr>
            </w:pPr>
          </w:p>
        </w:tc>
        <w:tc>
          <w:tcPr>
            <w:tcW w:w="90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 w:val="18"/>
                <w:szCs w:val="18"/>
              </w:rPr>
            </w:pPr>
          </w:p>
        </w:tc>
        <w:tc>
          <w:tcPr>
            <w:tcW w:w="1433" w:type="dxa"/>
            <w:tcBorders>
              <w:top w:val="nil"/>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合同管理（</w:t>
            </w:r>
            <w:r>
              <w:rPr>
                <w:rFonts w:eastAsia="仿宋_GB2312"/>
                <w:color w:val="000000"/>
                <w:spacing w:val="-2"/>
                <w:kern w:val="0"/>
                <w:sz w:val="18"/>
                <w:szCs w:val="18"/>
              </w:rPr>
              <w:t>10</w:t>
            </w:r>
            <w:r>
              <w:rPr>
                <w:rFonts w:hint="eastAsia" w:eastAsia="仿宋_GB2312"/>
                <w:color w:val="000000"/>
                <w:spacing w:val="-2"/>
                <w:kern w:val="0"/>
                <w:sz w:val="18"/>
                <w:szCs w:val="18"/>
              </w:rPr>
              <w:t>分）</w:t>
            </w:r>
          </w:p>
        </w:tc>
        <w:tc>
          <w:tcPr>
            <w:tcW w:w="2956" w:type="dxa"/>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分包合同是否按规定进行备案</w:t>
            </w:r>
          </w:p>
        </w:tc>
        <w:tc>
          <w:tcPr>
            <w:tcW w:w="2372" w:type="dxa"/>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一项未备案扣</w:t>
            </w:r>
            <w:r>
              <w:rPr>
                <w:rFonts w:eastAsia="仿宋_GB2312"/>
                <w:color w:val="000000"/>
                <w:spacing w:val="-2"/>
                <w:kern w:val="0"/>
                <w:sz w:val="18"/>
                <w:szCs w:val="18"/>
              </w:rPr>
              <w:t>5</w:t>
            </w:r>
            <w:r>
              <w:rPr>
                <w:rFonts w:hint="eastAsia" w:eastAsia="仿宋_GB2312"/>
                <w:color w:val="000000"/>
                <w:spacing w:val="-2"/>
                <w:kern w:val="0"/>
                <w:sz w:val="18"/>
                <w:szCs w:val="18"/>
              </w:rPr>
              <w:t>分，最多扣</w:t>
            </w:r>
            <w:r>
              <w:rPr>
                <w:rFonts w:eastAsia="仿宋_GB2312"/>
                <w:color w:val="000000"/>
                <w:spacing w:val="-2"/>
                <w:kern w:val="0"/>
                <w:sz w:val="18"/>
                <w:szCs w:val="18"/>
              </w:rPr>
              <w:t>10</w:t>
            </w:r>
            <w:r>
              <w:rPr>
                <w:rFonts w:hint="eastAsia" w:eastAsia="仿宋_GB2312"/>
                <w:color w:val="000000"/>
                <w:spacing w:val="-2"/>
                <w:kern w:val="0"/>
                <w:sz w:val="18"/>
                <w:szCs w:val="18"/>
              </w:rPr>
              <w:t>分</w:t>
            </w:r>
          </w:p>
        </w:tc>
        <w:tc>
          <w:tcPr>
            <w:tcW w:w="532" w:type="dxa"/>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c>
          <w:tcPr>
            <w:tcW w:w="480" w:type="dxa"/>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c>
          <w:tcPr>
            <w:tcW w:w="520" w:type="dxa"/>
            <w:tcBorders>
              <w:top w:val="single" w:color="auto" w:sz="4" w:space="0"/>
              <w:left w:val="nil"/>
              <w:bottom w:val="single" w:color="auto" w:sz="4" w:space="0"/>
              <w:right w:val="single" w:color="auto" w:sz="8"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r>
      <w:tr>
        <w:tblPrEx>
          <w:tblCellMar>
            <w:top w:w="0" w:type="dxa"/>
            <w:left w:w="108" w:type="dxa"/>
            <w:bottom w:w="0" w:type="dxa"/>
            <w:right w:w="108" w:type="dxa"/>
          </w:tblCellMar>
        </w:tblPrEx>
        <w:trPr>
          <w:trHeight w:val="320" w:hRule="atLeast"/>
          <w:jc w:val="center"/>
        </w:trPr>
        <w:tc>
          <w:tcPr>
            <w:tcW w:w="319" w:type="dxa"/>
            <w:vMerge w:val="restart"/>
            <w:tcBorders>
              <w:top w:val="nil"/>
              <w:left w:val="single" w:color="auto" w:sz="8" w:space="0"/>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eastAsia="仿宋_GB2312"/>
                <w:color w:val="000000"/>
                <w:spacing w:val="-2"/>
                <w:kern w:val="0"/>
                <w:sz w:val="18"/>
                <w:szCs w:val="18"/>
              </w:rPr>
              <w:t>5</w:t>
            </w:r>
          </w:p>
        </w:tc>
        <w:tc>
          <w:tcPr>
            <w:tcW w:w="902" w:type="dxa"/>
            <w:vMerge w:val="restart"/>
            <w:tcBorders>
              <w:top w:val="nil"/>
              <w:left w:val="single" w:color="auto" w:sz="4" w:space="0"/>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农民工</w:t>
            </w:r>
          </w:p>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管理</w:t>
            </w:r>
          </w:p>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w:t>
            </w:r>
            <w:r>
              <w:rPr>
                <w:rFonts w:eastAsia="仿宋_GB2312"/>
                <w:color w:val="000000"/>
                <w:spacing w:val="-2"/>
                <w:kern w:val="0"/>
                <w:sz w:val="18"/>
                <w:szCs w:val="18"/>
              </w:rPr>
              <w:t>22</w:t>
            </w:r>
            <w:r>
              <w:rPr>
                <w:rFonts w:hint="eastAsia" w:eastAsia="仿宋_GB2312"/>
                <w:color w:val="000000"/>
                <w:spacing w:val="-2"/>
                <w:kern w:val="0"/>
                <w:sz w:val="18"/>
                <w:szCs w:val="18"/>
              </w:rPr>
              <w:t>分）</w:t>
            </w:r>
          </w:p>
        </w:tc>
        <w:tc>
          <w:tcPr>
            <w:tcW w:w="1433" w:type="dxa"/>
            <w:tcBorders>
              <w:top w:val="nil"/>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农民工投诉处理机制建设（</w:t>
            </w:r>
            <w:r>
              <w:rPr>
                <w:rFonts w:eastAsia="仿宋_GB2312"/>
                <w:color w:val="000000"/>
                <w:spacing w:val="-2"/>
                <w:kern w:val="0"/>
                <w:sz w:val="18"/>
                <w:szCs w:val="18"/>
              </w:rPr>
              <w:t>3</w:t>
            </w:r>
            <w:r>
              <w:rPr>
                <w:rFonts w:hint="eastAsia" w:eastAsia="仿宋_GB2312"/>
                <w:color w:val="000000"/>
                <w:spacing w:val="-2"/>
                <w:kern w:val="0"/>
                <w:sz w:val="18"/>
                <w:szCs w:val="18"/>
              </w:rPr>
              <w:t>分）</w:t>
            </w:r>
          </w:p>
        </w:tc>
        <w:tc>
          <w:tcPr>
            <w:tcW w:w="2956" w:type="dxa"/>
            <w:tcBorders>
              <w:top w:val="nil"/>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项目部建立农民工工资投诉处理机制情况</w:t>
            </w:r>
          </w:p>
        </w:tc>
        <w:tc>
          <w:tcPr>
            <w:tcW w:w="2372" w:type="dxa"/>
            <w:tcBorders>
              <w:top w:val="nil"/>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机制未建立扣</w:t>
            </w:r>
            <w:r>
              <w:rPr>
                <w:rFonts w:eastAsia="仿宋_GB2312"/>
                <w:color w:val="000000"/>
                <w:spacing w:val="-2"/>
                <w:kern w:val="0"/>
                <w:sz w:val="18"/>
                <w:szCs w:val="18"/>
              </w:rPr>
              <w:t>3</w:t>
            </w:r>
            <w:r>
              <w:rPr>
                <w:rFonts w:hint="eastAsia" w:eastAsia="仿宋_GB2312"/>
                <w:color w:val="000000"/>
                <w:spacing w:val="-2"/>
                <w:kern w:val="0"/>
                <w:sz w:val="18"/>
                <w:szCs w:val="18"/>
              </w:rPr>
              <w:t>分，不健全扣</w:t>
            </w:r>
            <w:r>
              <w:rPr>
                <w:rFonts w:eastAsia="仿宋_GB2312"/>
                <w:color w:val="000000"/>
                <w:spacing w:val="-2"/>
                <w:kern w:val="0"/>
                <w:sz w:val="18"/>
                <w:szCs w:val="18"/>
              </w:rPr>
              <w:t>2</w:t>
            </w:r>
            <w:r>
              <w:rPr>
                <w:rFonts w:hint="eastAsia" w:eastAsia="仿宋_GB2312"/>
                <w:color w:val="000000"/>
                <w:spacing w:val="-2"/>
                <w:kern w:val="0"/>
                <w:sz w:val="18"/>
                <w:szCs w:val="18"/>
              </w:rPr>
              <w:t>分。</w:t>
            </w:r>
          </w:p>
        </w:tc>
        <w:tc>
          <w:tcPr>
            <w:tcW w:w="532" w:type="dxa"/>
            <w:tcBorders>
              <w:top w:val="nil"/>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c>
          <w:tcPr>
            <w:tcW w:w="480" w:type="dxa"/>
            <w:tcBorders>
              <w:top w:val="nil"/>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c>
          <w:tcPr>
            <w:tcW w:w="520" w:type="dxa"/>
            <w:tcBorders>
              <w:top w:val="nil"/>
              <w:left w:val="nil"/>
              <w:bottom w:val="single" w:color="auto" w:sz="4" w:space="0"/>
              <w:right w:val="single" w:color="auto" w:sz="8"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r>
      <w:tr>
        <w:tblPrEx>
          <w:tblCellMar>
            <w:top w:w="0" w:type="dxa"/>
            <w:left w:w="108" w:type="dxa"/>
            <w:bottom w:w="0" w:type="dxa"/>
            <w:right w:w="108" w:type="dxa"/>
          </w:tblCellMar>
        </w:tblPrEx>
        <w:trPr>
          <w:trHeight w:val="585" w:hRule="atLeast"/>
          <w:jc w:val="center"/>
        </w:trPr>
        <w:tc>
          <w:tcPr>
            <w:tcW w:w="319" w:type="dxa"/>
            <w:vMerge w:val="continue"/>
            <w:tcBorders>
              <w:top w:val="nil"/>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 w:val="18"/>
                <w:szCs w:val="18"/>
              </w:rPr>
            </w:pPr>
          </w:p>
        </w:tc>
        <w:tc>
          <w:tcPr>
            <w:tcW w:w="90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 w:val="18"/>
                <w:szCs w:val="18"/>
              </w:rPr>
            </w:pPr>
          </w:p>
        </w:tc>
        <w:tc>
          <w:tcPr>
            <w:tcW w:w="1433" w:type="dxa"/>
            <w:vMerge w:val="restart"/>
            <w:tcBorders>
              <w:top w:val="nil"/>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农民工工资管理</w:t>
            </w:r>
          </w:p>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w:t>
            </w:r>
            <w:r>
              <w:rPr>
                <w:rFonts w:eastAsia="仿宋_GB2312"/>
                <w:color w:val="000000"/>
                <w:spacing w:val="-2"/>
                <w:kern w:val="0"/>
                <w:sz w:val="18"/>
                <w:szCs w:val="18"/>
              </w:rPr>
              <w:t>10</w:t>
            </w:r>
            <w:r>
              <w:rPr>
                <w:rFonts w:hint="eastAsia" w:eastAsia="仿宋_GB2312"/>
                <w:color w:val="000000"/>
                <w:spacing w:val="-2"/>
                <w:kern w:val="0"/>
                <w:sz w:val="18"/>
                <w:szCs w:val="18"/>
              </w:rPr>
              <w:t>分）</w:t>
            </w:r>
          </w:p>
        </w:tc>
        <w:tc>
          <w:tcPr>
            <w:tcW w:w="2956" w:type="dxa"/>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是否使用《计酬手册》（</w:t>
            </w:r>
            <w:r>
              <w:rPr>
                <w:rFonts w:eastAsia="仿宋_GB2312"/>
                <w:color w:val="000000"/>
                <w:spacing w:val="-2"/>
                <w:kern w:val="0"/>
                <w:sz w:val="18"/>
                <w:szCs w:val="18"/>
              </w:rPr>
              <w:t>4</w:t>
            </w:r>
            <w:r>
              <w:rPr>
                <w:rFonts w:hint="eastAsia" w:eastAsia="仿宋_GB2312"/>
                <w:color w:val="000000"/>
                <w:spacing w:val="-2"/>
                <w:kern w:val="0"/>
                <w:sz w:val="18"/>
                <w:szCs w:val="18"/>
              </w:rPr>
              <w:t>分）</w:t>
            </w:r>
          </w:p>
        </w:tc>
        <w:tc>
          <w:tcPr>
            <w:tcW w:w="2372" w:type="dxa"/>
            <w:tcBorders>
              <w:top w:val="nil"/>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未使用扣</w:t>
            </w:r>
            <w:r>
              <w:rPr>
                <w:rFonts w:eastAsia="仿宋_GB2312"/>
                <w:color w:val="000000"/>
                <w:spacing w:val="-2"/>
                <w:kern w:val="0"/>
                <w:sz w:val="18"/>
                <w:szCs w:val="18"/>
              </w:rPr>
              <w:t>4</w:t>
            </w:r>
            <w:r>
              <w:rPr>
                <w:rFonts w:hint="eastAsia" w:eastAsia="仿宋_GB2312"/>
                <w:color w:val="000000"/>
                <w:spacing w:val="-2"/>
                <w:kern w:val="0"/>
                <w:sz w:val="18"/>
                <w:szCs w:val="18"/>
              </w:rPr>
              <w:t>分，不规范扣</w:t>
            </w:r>
            <w:r>
              <w:rPr>
                <w:rFonts w:eastAsia="仿宋_GB2312"/>
                <w:color w:val="000000"/>
                <w:spacing w:val="-2"/>
                <w:kern w:val="0"/>
                <w:sz w:val="18"/>
                <w:szCs w:val="18"/>
              </w:rPr>
              <w:t>2</w:t>
            </w:r>
            <w:r>
              <w:rPr>
                <w:rFonts w:hint="eastAsia" w:eastAsia="仿宋_GB2312"/>
                <w:color w:val="000000"/>
                <w:spacing w:val="-2"/>
                <w:kern w:val="0"/>
                <w:sz w:val="18"/>
                <w:szCs w:val="18"/>
              </w:rPr>
              <w:t>分</w:t>
            </w:r>
          </w:p>
        </w:tc>
        <w:tc>
          <w:tcPr>
            <w:tcW w:w="532" w:type="dxa"/>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c>
          <w:tcPr>
            <w:tcW w:w="480" w:type="dxa"/>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c>
          <w:tcPr>
            <w:tcW w:w="520" w:type="dxa"/>
            <w:tcBorders>
              <w:top w:val="single" w:color="auto" w:sz="4" w:space="0"/>
              <w:left w:val="nil"/>
              <w:bottom w:val="single" w:color="auto" w:sz="4" w:space="0"/>
              <w:right w:val="single" w:color="auto" w:sz="8"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r>
      <w:tr>
        <w:tblPrEx>
          <w:tblCellMar>
            <w:top w:w="0" w:type="dxa"/>
            <w:left w:w="108" w:type="dxa"/>
            <w:bottom w:w="0" w:type="dxa"/>
            <w:right w:w="108" w:type="dxa"/>
          </w:tblCellMar>
        </w:tblPrEx>
        <w:trPr>
          <w:trHeight w:val="585" w:hRule="atLeast"/>
          <w:jc w:val="center"/>
        </w:trPr>
        <w:tc>
          <w:tcPr>
            <w:tcW w:w="319" w:type="dxa"/>
            <w:vMerge w:val="continue"/>
            <w:tcBorders>
              <w:top w:val="nil"/>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 w:val="18"/>
                <w:szCs w:val="18"/>
              </w:rPr>
            </w:pPr>
          </w:p>
        </w:tc>
        <w:tc>
          <w:tcPr>
            <w:tcW w:w="90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 w:val="18"/>
                <w:szCs w:val="18"/>
              </w:rPr>
            </w:pPr>
          </w:p>
        </w:tc>
        <w:tc>
          <w:tcPr>
            <w:tcW w:w="1433" w:type="dxa"/>
            <w:vMerge w:val="continue"/>
            <w:tcBorders>
              <w:top w:val="nil"/>
              <w:left w:val="nil"/>
              <w:bottom w:val="single" w:color="auto" w:sz="4" w:space="0"/>
              <w:right w:val="single" w:color="auto" w:sz="4" w:space="0"/>
            </w:tcBorders>
            <w:noWrap w:val="0"/>
            <w:vAlign w:val="center"/>
          </w:tcPr>
          <w:p>
            <w:pPr>
              <w:widowControl/>
              <w:jc w:val="left"/>
              <w:rPr>
                <w:rFonts w:eastAsia="仿宋_GB2312"/>
                <w:color w:val="000000"/>
                <w:spacing w:val="-2"/>
                <w:kern w:val="0"/>
                <w:sz w:val="18"/>
                <w:szCs w:val="18"/>
              </w:rPr>
            </w:pPr>
          </w:p>
        </w:tc>
        <w:tc>
          <w:tcPr>
            <w:tcW w:w="2956" w:type="dxa"/>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是否按规定将农民工考勤表、工资支付表、农民工花名册等进行存档（</w:t>
            </w:r>
            <w:r>
              <w:rPr>
                <w:rFonts w:eastAsia="仿宋_GB2312"/>
                <w:color w:val="000000"/>
                <w:spacing w:val="-2"/>
                <w:kern w:val="0"/>
                <w:sz w:val="18"/>
                <w:szCs w:val="18"/>
              </w:rPr>
              <w:t>6</w:t>
            </w:r>
            <w:r>
              <w:rPr>
                <w:rFonts w:hint="eastAsia" w:eastAsia="仿宋_GB2312"/>
                <w:color w:val="000000"/>
                <w:spacing w:val="-2"/>
                <w:kern w:val="0"/>
                <w:sz w:val="18"/>
                <w:szCs w:val="18"/>
              </w:rPr>
              <w:t>分）</w:t>
            </w:r>
          </w:p>
        </w:tc>
        <w:tc>
          <w:tcPr>
            <w:tcW w:w="2372" w:type="dxa"/>
            <w:tcBorders>
              <w:top w:val="nil"/>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未存档或存档虚假扣</w:t>
            </w:r>
            <w:r>
              <w:rPr>
                <w:rFonts w:eastAsia="仿宋_GB2312"/>
                <w:color w:val="000000"/>
                <w:spacing w:val="-2"/>
                <w:kern w:val="0"/>
                <w:sz w:val="18"/>
                <w:szCs w:val="18"/>
              </w:rPr>
              <w:t>6</w:t>
            </w:r>
            <w:r>
              <w:rPr>
                <w:rFonts w:hint="eastAsia" w:eastAsia="仿宋_GB2312"/>
                <w:color w:val="000000"/>
                <w:spacing w:val="-2"/>
                <w:kern w:val="0"/>
                <w:sz w:val="18"/>
                <w:szCs w:val="18"/>
              </w:rPr>
              <w:t>分，存档不全扣</w:t>
            </w:r>
            <w:r>
              <w:rPr>
                <w:rFonts w:eastAsia="仿宋_GB2312"/>
                <w:color w:val="000000"/>
                <w:spacing w:val="-2"/>
                <w:kern w:val="0"/>
                <w:sz w:val="18"/>
                <w:szCs w:val="18"/>
              </w:rPr>
              <w:t>4</w:t>
            </w:r>
            <w:r>
              <w:rPr>
                <w:rFonts w:hint="eastAsia" w:eastAsia="仿宋_GB2312"/>
                <w:color w:val="000000"/>
                <w:spacing w:val="-2"/>
                <w:kern w:val="0"/>
                <w:sz w:val="18"/>
                <w:szCs w:val="18"/>
              </w:rPr>
              <w:t>分。</w:t>
            </w:r>
          </w:p>
        </w:tc>
        <w:tc>
          <w:tcPr>
            <w:tcW w:w="532" w:type="dxa"/>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c>
          <w:tcPr>
            <w:tcW w:w="480" w:type="dxa"/>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c>
          <w:tcPr>
            <w:tcW w:w="520" w:type="dxa"/>
            <w:tcBorders>
              <w:top w:val="single" w:color="auto" w:sz="4" w:space="0"/>
              <w:left w:val="nil"/>
              <w:bottom w:val="single" w:color="auto" w:sz="4" w:space="0"/>
              <w:right w:val="single" w:color="auto" w:sz="8"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r>
      <w:tr>
        <w:tblPrEx>
          <w:tblCellMar>
            <w:top w:w="0" w:type="dxa"/>
            <w:left w:w="108" w:type="dxa"/>
            <w:bottom w:w="0" w:type="dxa"/>
            <w:right w:w="108" w:type="dxa"/>
          </w:tblCellMar>
        </w:tblPrEx>
        <w:trPr>
          <w:trHeight w:val="392" w:hRule="atLeast"/>
          <w:jc w:val="center"/>
        </w:trPr>
        <w:tc>
          <w:tcPr>
            <w:tcW w:w="319" w:type="dxa"/>
            <w:vMerge w:val="continue"/>
            <w:tcBorders>
              <w:top w:val="nil"/>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 w:val="18"/>
                <w:szCs w:val="18"/>
              </w:rPr>
            </w:pPr>
          </w:p>
        </w:tc>
        <w:tc>
          <w:tcPr>
            <w:tcW w:w="90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 w:val="18"/>
                <w:szCs w:val="18"/>
              </w:rPr>
            </w:pPr>
          </w:p>
        </w:tc>
        <w:tc>
          <w:tcPr>
            <w:tcW w:w="1433" w:type="dxa"/>
            <w:vMerge w:val="restart"/>
            <w:tcBorders>
              <w:top w:val="nil"/>
              <w:left w:val="single" w:color="auto" w:sz="4" w:space="0"/>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农民工业余学校设置情况（</w:t>
            </w:r>
            <w:r>
              <w:rPr>
                <w:rFonts w:eastAsia="仿宋_GB2312"/>
                <w:color w:val="000000"/>
                <w:spacing w:val="-2"/>
                <w:kern w:val="0"/>
                <w:sz w:val="18"/>
                <w:szCs w:val="18"/>
              </w:rPr>
              <w:t>3</w:t>
            </w:r>
            <w:r>
              <w:rPr>
                <w:rFonts w:hint="eastAsia" w:eastAsia="仿宋_GB2312"/>
                <w:color w:val="000000"/>
                <w:spacing w:val="-2"/>
                <w:kern w:val="0"/>
                <w:sz w:val="18"/>
                <w:szCs w:val="18"/>
              </w:rPr>
              <w:t>分）</w:t>
            </w:r>
          </w:p>
        </w:tc>
        <w:tc>
          <w:tcPr>
            <w:tcW w:w="2956" w:type="dxa"/>
            <w:tcBorders>
              <w:top w:val="nil"/>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按有关要求设置农民工业余学校（</w:t>
            </w:r>
            <w:r>
              <w:rPr>
                <w:rFonts w:eastAsia="仿宋_GB2312"/>
                <w:color w:val="000000"/>
                <w:spacing w:val="-2"/>
                <w:kern w:val="0"/>
                <w:sz w:val="18"/>
                <w:szCs w:val="18"/>
              </w:rPr>
              <w:t>8000</w:t>
            </w:r>
            <w:r>
              <w:rPr>
                <w:rFonts w:hint="eastAsia" w:eastAsia="仿宋_GB2312"/>
                <w:color w:val="000000"/>
                <w:spacing w:val="-2"/>
                <w:kern w:val="0"/>
                <w:sz w:val="18"/>
                <w:szCs w:val="18"/>
              </w:rPr>
              <w:t>平方米或</w:t>
            </w:r>
            <w:r>
              <w:rPr>
                <w:rFonts w:eastAsia="仿宋_GB2312"/>
                <w:color w:val="000000"/>
                <w:spacing w:val="-2"/>
                <w:kern w:val="0"/>
                <w:sz w:val="18"/>
                <w:szCs w:val="18"/>
              </w:rPr>
              <w:t>500</w:t>
            </w:r>
            <w:r>
              <w:rPr>
                <w:rFonts w:hint="eastAsia" w:eastAsia="仿宋_GB2312"/>
                <w:color w:val="000000"/>
                <w:spacing w:val="-2"/>
                <w:kern w:val="0"/>
                <w:sz w:val="18"/>
                <w:szCs w:val="18"/>
              </w:rPr>
              <w:t>万元造价必须设置）</w:t>
            </w:r>
          </w:p>
        </w:tc>
        <w:tc>
          <w:tcPr>
            <w:tcW w:w="2372" w:type="dxa"/>
            <w:tcBorders>
              <w:top w:val="nil"/>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未设置扣</w:t>
            </w:r>
            <w:r>
              <w:rPr>
                <w:rFonts w:eastAsia="仿宋_GB2312"/>
                <w:color w:val="000000"/>
                <w:spacing w:val="-2"/>
                <w:kern w:val="0"/>
                <w:sz w:val="18"/>
                <w:szCs w:val="18"/>
              </w:rPr>
              <w:t>3</w:t>
            </w:r>
            <w:r>
              <w:rPr>
                <w:rFonts w:hint="eastAsia" w:eastAsia="仿宋_GB2312"/>
                <w:color w:val="000000"/>
                <w:spacing w:val="-2"/>
                <w:kern w:val="0"/>
                <w:sz w:val="18"/>
                <w:szCs w:val="18"/>
              </w:rPr>
              <w:t>分，已设置不达标扣</w:t>
            </w:r>
            <w:r>
              <w:rPr>
                <w:rFonts w:eastAsia="仿宋_GB2312"/>
                <w:color w:val="000000"/>
                <w:spacing w:val="-2"/>
                <w:kern w:val="0"/>
                <w:sz w:val="18"/>
                <w:szCs w:val="18"/>
              </w:rPr>
              <w:t>2</w:t>
            </w:r>
            <w:r>
              <w:rPr>
                <w:rFonts w:hint="eastAsia" w:eastAsia="仿宋_GB2312"/>
                <w:color w:val="000000"/>
                <w:spacing w:val="-2"/>
                <w:kern w:val="0"/>
                <w:sz w:val="18"/>
                <w:szCs w:val="18"/>
              </w:rPr>
              <w:t>分</w:t>
            </w:r>
          </w:p>
        </w:tc>
        <w:tc>
          <w:tcPr>
            <w:tcW w:w="532" w:type="dxa"/>
            <w:tcBorders>
              <w:top w:val="nil"/>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c>
          <w:tcPr>
            <w:tcW w:w="480" w:type="dxa"/>
            <w:tcBorders>
              <w:top w:val="nil"/>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c>
          <w:tcPr>
            <w:tcW w:w="520" w:type="dxa"/>
            <w:tcBorders>
              <w:top w:val="nil"/>
              <w:left w:val="nil"/>
              <w:bottom w:val="single" w:color="auto" w:sz="4" w:space="0"/>
              <w:right w:val="single" w:color="auto" w:sz="8"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r>
      <w:tr>
        <w:tblPrEx>
          <w:tblCellMar>
            <w:top w:w="0" w:type="dxa"/>
            <w:left w:w="108" w:type="dxa"/>
            <w:bottom w:w="0" w:type="dxa"/>
            <w:right w:w="108" w:type="dxa"/>
          </w:tblCellMar>
        </w:tblPrEx>
        <w:trPr>
          <w:trHeight w:val="160" w:hRule="atLeast"/>
          <w:jc w:val="center"/>
        </w:trPr>
        <w:tc>
          <w:tcPr>
            <w:tcW w:w="319" w:type="dxa"/>
            <w:vMerge w:val="continue"/>
            <w:tcBorders>
              <w:top w:val="nil"/>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 w:val="18"/>
                <w:szCs w:val="18"/>
              </w:rPr>
            </w:pPr>
          </w:p>
        </w:tc>
        <w:tc>
          <w:tcPr>
            <w:tcW w:w="90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 w:val="18"/>
                <w:szCs w:val="18"/>
              </w:rPr>
            </w:pPr>
          </w:p>
        </w:tc>
        <w:tc>
          <w:tcPr>
            <w:tcW w:w="143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 w:val="18"/>
                <w:szCs w:val="18"/>
              </w:rPr>
            </w:pPr>
          </w:p>
        </w:tc>
        <w:tc>
          <w:tcPr>
            <w:tcW w:w="2956" w:type="dxa"/>
            <w:tcBorders>
              <w:top w:val="nil"/>
              <w:left w:val="nil"/>
              <w:bottom w:val="nil"/>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农民工业余学校台账</w:t>
            </w:r>
          </w:p>
        </w:tc>
        <w:tc>
          <w:tcPr>
            <w:tcW w:w="2372" w:type="dxa"/>
            <w:tcBorders>
              <w:top w:val="nil"/>
              <w:left w:val="nil"/>
              <w:bottom w:val="nil"/>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未建立扣</w:t>
            </w:r>
            <w:r>
              <w:rPr>
                <w:rFonts w:eastAsia="仿宋_GB2312"/>
                <w:color w:val="000000"/>
                <w:spacing w:val="-2"/>
                <w:kern w:val="0"/>
                <w:sz w:val="18"/>
                <w:szCs w:val="18"/>
              </w:rPr>
              <w:t>2</w:t>
            </w:r>
            <w:r>
              <w:rPr>
                <w:rFonts w:hint="eastAsia" w:eastAsia="仿宋_GB2312"/>
                <w:color w:val="000000"/>
                <w:spacing w:val="-2"/>
                <w:kern w:val="0"/>
                <w:sz w:val="18"/>
                <w:szCs w:val="18"/>
              </w:rPr>
              <w:t>分，不健全扣</w:t>
            </w:r>
            <w:r>
              <w:rPr>
                <w:rFonts w:eastAsia="仿宋_GB2312"/>
                <w:color w:val="000000"/>
                <w:spacing w:val="-2"/>
                <w:kern w:val="0"/>
                <w:sz w:val="18"/>
                <w:szCs w:val="18"/>
              </w:rPr>
              <w:t>1</w:t>
            </w:r>
            <w:r>
              <w:rPr>
                <w:rFonts w:hint="eastAsia" w:eastAsia="仿宋_GB2312"/>
                <w:color w:val="000000"/>
                <w:spacing w:val="-2"/>
                <w:kern w:val="0"/>
                <w:sz w:val="18"/>
                <w:szCs w:val="18"/>
              </w:rPr>
              <w:t>分</w:t>
            </w:r>
          </w:p>
        </w:tc>
        <w:tc>
          <w:tcPr>
            <w:tcW w:w="532" w:type="dxa"/>
            <w:tcBorders>
              <w:top w:val="nil"/>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c>
          <w:tcPr>
            <w:tcW w:w="480" w:type="dxa"/>
            <w:tcBorders>
              <w:top w:val="nil"/>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c>
          <w:tcPr>
            <w:tcW w:w="520" w:type="dxa"/>
            <w:tcBorders>
              <w:top w:val="nil"/>
              <w:left w:val="nil"/>
              <w:bottom w:val="single" w:color="auto" w:sz="4" w:space="0"/>
              <w:right w:val="single" w:color="auto" w:sz="8"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r>
      <w:tr>
        <w:tblPrEx>
          <w:tblCellMar>
            <w:top w:w="0" w:type="dxa"/>
            <w:left w:w="108" w:type="dxa"/>
            <w:bottom w:w="0" w:type="dxa"/>
            <w:right w:w="108" w:type="dxa"/>
          </w:tblCellMar>
        </w:tblPrEx>
        <w:trPr>
          <w:trHeight w:val="248" w:hRule="atLeast"/>
          <w:jc w:val="center"/>
        </w:trPr>
        <w:tc>
          <w:tcPr>
            <w:tcW w:w="319" w:type="dxa"/>
            <w:vMerge w:val="continue"/>
            <w:tcBorders>
              <w:top w:val="nil"/>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 w:val="18"/>
                <w:szCs w:val="18"/>
              </w:rPr>
            </w:pPr>
          </w:p>
        </w:tc>
        <w:tc>
          <w:tcPr>
            <w:tcW w:w="90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 w:val="18"/>
                <w:szCs w:val="18"/>
              </w:rPr>
            </w:pPr>
          </w:p>
        </w:tc>
        <w:tc>
          <w:tcPr>
            <w:tcW w:w="1433" w:type="dxa"/>
            <w:tcBorders>
              <w:top w:val="nil"/>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工资投诉（</w:t>
            </w:r>
            <w:r>
              <w:rPr>
                <w:rFonts w:eastAsia="仿宋_GB2312"/>
                <w:color w:val="000000"/>
                <w:spacing w:val="-2"/>
                <w:kern w:val="0"/>
                <w:sz w:val="18"/>
                <w:szCs w:val="18"/>
              </w:rPr>
              <w:t>6</w:t>
            </w:r>
            <w:r>
              <w:rPr>
                <w:rFonts w:hint="eastAsia" w:eastAsia="仿宋_GB2312"/>
                <w:color w:val="000000"/>
                <w:spacing w:val="-2"/>
                <w:kern w:val="0"/>
                <w:sz w:val="18"/>
                <w:szCs w:val="18"/>
              </w:rPr>
              <w:t>分）</w:t>
            </w:r>
          </w:p>
        </w:tc>
        <w:tc>
          <w:tcPr>
            <w:tcW w:w="2956" w:type="dxa"/>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检查时段，因拖欠农民工工资产生集访</w:t>
            </w:r>
          </w:p>
        </w:tc>
        <w:tc>
          <w:tcPr>
            <w:tcW w:w="2372" w:type="dxa"/>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产生</w:t>
            </w:r>
            <w:r>
              <w:rPr>
                <w:rFonts w:eastAsia="仿宋_GB2312"/>
                <w:color w:val="000000"/>
                <w:spacing w:val="-2"/>
                <w:kern w:val="0"/>
                <w:sz w:val="18"/>
                <w:szCs w:val="18"/>
              </w:rPr>
              <w:t>10</w:t>
            </w:r>
            <w:r>
              <w:rPr>
                <w:rFonts w:hint="eastAsia" w:eastAsia="仿宋_GB2312"/>
                <w:color w:val="000000"/>
                <w:spacing w:val="-2"/>
                <w:kern w:val="0"/>
                <w:sz w:val="18"/>
                <w:szCs w:val="18"/>
              </w:rPr>
              <w:t>人及以上集访扣</w:t>
            </w:r>
            <w:r>
              <w:rPr>
                <w:rFonts w:eastAsia="仿宋_GB2312"/>
                <w:color w:val="000000"/>
                <w:spacing w:val="-2"/>
                <w:kern w:val="0"/>
                <w:sz w:val="18"/>
                <w:szCs w:val="18"/>
              </w:rPr>
              <w:t>6</w:t>
            </w:r>
            <w:r>
              <w:rPr>
                <w:rFonts w:hint="eastAsia" w:eastAsia="仿宋_GB2312"/>
                <w:color w:val="000000"/>
                <w:spacing w:val="-2"/>
                <w:kern w:val="0"/>
                <w:sz w:val="18"/>
                <w:szCs w:val="18"/>
              </w:rPr>
              <w:t>分，</w:t>
            </w:r>
            <w:r>
              <w:rPr>
                <w:rFonts w:eastAsia="仿宋_GB2312"/>
                <w:color w:val="000000"/>
                <w:spacing w:val="-2"/>
                <w:kern w:val="0"/>
                <w:sz w:val="18"/>
                <w:szCs w:val="18"/>
              </w:rPr>
              <w:t>5-10</w:t>
            </w:r>
            <w:r>
              <w:rPr>
                <w:rFonts w:hint="eastAsia" w:eastAsia="仿宋_GB2312"/>
                <w:color w:val="000000"/>
                <w:spacing w:val="-2"/>
                <w:kern w:val="0"/>
                <w:sz w:val="18"/>
                <w:szCs w:val="18"/>
              </w:rPr>
              <w:t>人集访扣</w:t>
            </w:r>
            <w:r>
              <w:rPr>
                <w:rFonts w:eastAsia="仿宋_GB2312"/>
                <w:color w:val="000000"/>
                <w:spacing w:val="-2"/>
                <w:kern w:val="0"/>
                <w:sz w:val="18"/>
                <w:szCs w:val="18"/>
              </w:rPr>
              <w:t>4</w:t>
            </w:r>
            <w:r>
              <w:rPr>
                <w:rFonts w:hint="eastAsia" w:eastAsia="仿宋_GB2312"/>
                <w:color w:val="000000"/>
                <w:spacing w:val="-2"/>
                <w:kern w:val="0"/>
                <w:sz w:val="18"/>
                <w:szCs w:val="18"/>
              </w:rPr>
              <w:t>分</w:t>
            </w:r>
          </w:p>
        </w:tc>
        <w:tc>
          <w:tcPr>
            <w:tcW w:w="532" w:type="dxa"/>
            <w:tcBorders>
              <w:top w:val="nil"/>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c>
          <w:tcPr>
            <w:tcW w:w="480" w:type="dxa"/>
            <w:tcBorders>
              <w:top w:val="nil"/>
              <w:left w:val="nil"/>
              <w:bottom w:val="single" w:color="auto" w:sz="4"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c>
          <w:tcPr>
            <w:tcW w:w="520" w:type="dxa"/>
            <w:tcBorders>
              <w:top w:val="nil"/>
              <w:left w:val="nil"/>
              <w:bottom w:val="single" w:color="auto" w:sz="4" w:space="0"/>
              <w:right w:val="single" w:color="auto" w:sz="8"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r>
      <w:tr>
        <w:tblPrEx>
          <w:tblCellMar>
            <w:top w:w="0" w:type="dxa"/>
            <w:left w:w="108" w:type="dxa"/>
            <w:bottom w:w="0" w:type="dxa"/>
            <w:right w:w="108" w:type="dxa"/>
          </w:tblCellMar>
        </w:tblPrEx>
        <w:trPr>
          <w:trHeight w:val="253" w:hRule="atLeast"/>
          <w:jc w:val="center"/>
        </w:trPr>
        <w:tc>
          <w:tcPr>
            <w:tcW w:w="2654" w:type="dxa"/>
            <w:gridSpan w:val="3"/>
            <w:tcBorders>
              <w:top w:val="single" w:color="auto" w:sz="4" w:space="0"/>
              <w:left w:val="single" w:color="auto" w:sz="8" w:space="0"/>
              <w:bottom w:val="single" w:color="auto" w:sz="8"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检查人签字：</w:t>
            </w:r>
          </w:p>
        </w:tc>
        <w:tc>
          <w:tcPr>
            <w:tcW w:w="2956" w:type="dxa"/>
            <w:tcBorders>
              <w:top w:val="single" w:color="auto" w:sz="4" w:space="0"/>
              <w:left w:val="nil"/>
              <w:bottom w:val="single" w:color="auto" w:sz="8"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被检查单位签字：</w:t>
            </w:r>
          </w:p>
        </w:tc>
        <w:tc>
          <w:tcPr>
            <w:tcW w:w="2372" w:type="dxa"/>
            <w:tcBorders>
              <w:top w:val="single" w:color="auto" w:sz="4" w:space="0"/>
              <w:left w:val="nil"/>
              <w:bottom w:val="single" w:color="auto" w:sz="8"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r>
              <w:rPr>
                <w:rFonts w:hint="eastAsia" w:eastAsia="仿宋_GB2312"/>
                <w:color w:val="000000"/>
                <w:spacing w:val="-2"/>
                <w:kern w:val="0"/>
                <w:sz w:val="18"/>
                <w:szCs w:val="18"/>
              </w:rPr>
              <w:t>得分扣分情况</w:t>
            </w:r>
          </w:p>
        </w:tc>
        <w:tc>
          <w:tcPr>
            <w:tcW w:w="532" w:type="dxa"/>
            <w:tcBorders>
              <w:top w:val="single" w:color="auto" w:sz="4" w:space="0"/>
              <w:left w:val="nil"/>
              <w:bottom w:val="single" w:color="auto" w:sz="8"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c>
          <w:tcPr>
            <w:tcW w:w="480" w:type="dxa"/>
            <w:tcBorders>
              <w:top w:val="single" w:color="auto" w:sz="4" w:space="0"/>
              <w:left w:val="nil"/>
              <w:bottom w:val="single" w:color="auto" w:sz="8" w:space="0"/>
              <w:right w:val="single" w:color="auto" w:sz="4"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c>
          <w:tcPr>
            <w:tcW w:w="520" w:type="dxa"/>
            <w:tcBorders>
              <w:top w:val="single" w:color="auto" w:sz="4" w:space="0"/>
              <w:left w:val="nil"/>
              <w:bottom w:val="single" w:color="auto" w:sz="8" w:space="0"/>
              <w:right w:val="single" w:color="auto" w:sz="8" w:space="0"/>
            </w:tcBorders>
            <w:noWrap w:val="0"/>
            <w:vAlign w:val="center"/>
          </w:tcPr>
          <w:p>
            <w:pPr>
              <w:adjustRightInd w:val="0"/>
              <w:snapToGrid w:val="0"/>
              <w:spacing w:line="240" w:lineRule="exact"/>
              <w:ind w:left="-63" w:leftChars="-30" w:right="-63" w:rightChars="-30"/>
              <w:jc w:val="center"/>
              <w:rPr>
                <w:rFonts w:eastAsia="仿宋_GB2312"/>
                <w:color w:val="000000"/>
                <w:spacing w:val="-2"/>
                <w:kern w:val="0"/>
                <w:sz w:val="18"/>
                <w:szCs w:val="18"/>
              </w:rPr>
            </w:pPr>
          </w:p>
        </w:tc>
      </w:tr>
    </w:tbl>
    <w:p>
      <w:pPr>
        <w:rPr>
          <w:rFonts w:hint="eastAsia"/>
        </w:rPr>
      </w:pPr>
      <w:r>
        <w:rPr>
          <w:rFonts w:hint="eastAsia" w:eastAsia="仿宋_GB2312"/>
          <w:color w:val="000000"/>
          <w:spacing w:val="-2"/>
          <w:kern w:val="0"/>
          <w:sz w:val="18"/>
          <w:szCs w:val="18"/>
        </w:rPr>
        <w:t>注：九牌一图包括：工程概况，项目组织，安全生产，文明施工，消防保卫，农民工权益告知，农民工投诉，建筑节能，安全应急预案，施工平面布置图</w:t>
      </w:r>
    </w:p>
    <w:p>
      <w:pPr>
        <w:pStyle w:val="7"/>
        <w:adjustRightInd w:val="0"/>
        <w:snapToGrid w:val="0"/>
        <w:spacing w:line="570" w:lineRule="exact"/>
        <w:jc w:val="center"/>
        <w:rPr>
          <w:rFonts w:ascii="Times New Roman" w:hAnsi="Times New Roman" w:eastAsia="方正黑体_GBK"/>
          <w:bCs/>
          <w:color w:val="000000"/>
          <w:spacing w:val="-2"/>
          <w:sz w:val="28"/>
          <w:szCs w:val="28"/>
        </w:rPr>
      </w:pPr>
      <w:r>
        <w:rPr>
          <w:rFonts w:hint="eastAsia" w:ascii="Times New Roman" w:hAnsi="Times New Roman" w:eastAsia="黑体"/>
          <w:bCs/>
          <w:color w:val="000000"/>
          <w:spacing w:val="-2"/>
        </w:rPr>
        <w:br w:type="column"/>
      </w:r>
      <w:r>
        <w:rPr>
          <w:rFonts w:hint="eastAsia" w:ascii="Times New Roman" w:hAnsi="Times New Roman" w:eastAsia="方正黑体_GBK"/>
          <w:bCs/>
          <w:color w:val="000000"/>
          <w:spacing w:val="-2"/>
          <w:sz w:val="28"/>
          <w:szCs w:val="28"/>
        </w:rPr>
        <w:t>建筑市场综合考核用表之三（分包工程）</w:t>
      </w:r>
    </w:p>
    <w:p>
      <w:pPr>
        <w:adjustRightInd w:val="0"/>
        <w:snapToGrid w:val="0"/>
        <w:jc w:val="left"/>
        <w:rPr>
          <w:rFonts w:hint="eastAsia" w:ascii="Times New Roman" w:hAnsi="Times New Roman" w:eastAsia="仿宋"/>
          <w:bCs/>
          <w:color w:val="000000"/>
          <w:spacing w:val="-2"/>
          <w:kern w:val="0"/>
          <w:sz w:val="24"/>
        </w:rPr>
      </w:pPr>
    </w:p>
    <w:p>
      <w:pPr>
        <w:adjustRightInd w:val="0"/>
        <w:snapToGrid w:val="0"/>
        <w:jc w:val="left"/>
        <w:rPr>
          <w:rFonts w:hint="eastAsia" w:ascii="Times New Roman" w:hAnsi="Times New Roman" w:eastAsia="仿宋_GB2312"/>
          <w:bCs/>
          <w:color w:val="000000"/>
          <w:spacing w:val="-2"/>
          <w:kern w:val="0"/>
          <w:sz w:val="24"/>
        </w:rPr>
      </w:pPr>
      <w:r>
        <w:rPr>
          <w:rFonts w:hint="eastAsia" w:ascii="Times New Roman" w:hAnsi="Times New Roman" w:eastAsia="仿宋_GB2312"/>
          <w:bCs/>
          <w:color w:val="000000"/>
          <w:spacing w:val="-2"/>
          <w:kern w:val="0"/>
          <w:sz w:val="24"/>
        </w:rPr>
        <w:t xml:space="preserve">项目编号：　                              检查日期：　                            </w:t>
      </w:r>
    </w:p>
    <w:tbl>
      <w:tblPr>
        <w:tblStyle w:val="12"/>
        <w:tblW w:w="0" w:type="auto"/>
        <w:jc w:val="center"/>
        <w:tblLayout w:type="fixed"/>
        <w:tblCellMar>
          <w:top w:w="0" w:type="dxa"/>
          <w:left w:w="108" w:type="dxa"/>
          <w:bottom w:w="0" w:type="dxa"/>
          <w:right w:w="108" w:type="dxa"/>
        </w:tblCellMar>
      </w:tblPr>
      <w:tblGrid>
        <w:gridCol w:w="684"/>
        <w:gridCol w:w="1249"/>
        <w:gridCol w:w="1274"/>
        <w:gridCol w:w="1134"/>
        <w:gridCol w:w="195"/>
        <w:gridCol w:w="2421"/>
        <w:gridCol w:w="569"/>
        <w:gridCol w:w="424"/>
        <w:gridCol w:w="143"/>
        <w:gridCol w:w="1418"/>
      </w:tblGrid>
      <w:tr>
        <w:tblPrEx>
          <w:tblCellMar>
            <w:top w:w="0" w:type="dxa"/>
            <w:left w:w="108" w:type="dxa"/>
            <w:bottom w:w="0" w:type="dxa"/>
            <w:right w:w="108" w:type="dxa"/>
          </w:tblCellMar>
        </w:tblPrEx>
        <w:trPr>
          <w:trHeight w:val="871" w:hRule="atLeast"/>
          <w:jc w:val="center"/>
        </w:trPr>
        <w:tc>
          <w:tcPr>
            <w:tcW w:w="9511" w:type="dxa"/>
            <w:gridSpan w:val="10"/>
            <w:tcBorders>
              <w:top w:val="single" w:color="auto" w:sz="4" w:space="0"/>
              <w:left w:val="single" w:color="auto" w:sz="4" w:space="0"/>
              <w:bottom w:val="single" w:color="auto" w:sz="4" w:space="0"/>
              <w:right w:val="single" w:color="000000" w:sz="4" w:space="0"/>
            </w:tcBorders>
            <w:noWrap w:val="0"/>
            <w:vAlign w:val="center"/>
          </w:tcPr>
          <w:p>
            <w:pPr>
              <w:adjustRightInd w:val="0"/>
              <w:snapToGrid w:val="0"/>
              <w:ind w:left="2114" w:hanging="2120" w:hangingChars="1025"/>
              <w:rPr>
                <w:rFonts w:eastAsia="仿宋_GB2312"/>
                <w:b/>
                <w:bCs/>
                <w:color w:val="000000"/>
                <w:spacing w:val="-2"/>
                <w:kern w:val="0"/>
                <w:szCs w:val="21"/>
              </w:rPr>
            </w:pPr>
            <w:r>
              <w:rPr>
                <w:rFonts w:hint="eastAsia" w:eastAsia="仿宋_GB2312"/>
                <w:b/>
                <w:bCs/>
                <w:color w:val="000000"/>
                <w:spacing w:val="-2"/>
                <w:kern w:val="0"/>
                <w:szCs w:val="21"/>
              </w:rPr>
              <w:t>施工单位（</w:t>
            </w:r>
            <w:r>
              <w:rPr>
                <w:rFonts w:eastAsia="仿宋_GB2312"/>
                <w:b/>
                <w:bCs/>
                <w:color w:val="000000"/>
                <w:spacing w:val="-2"/>
                <w:kern w:val="0"/>
                <w:szCs w:val="21"/>
              </w:rPr>
              <w:t>100</w:t>
            </w:r>
            <w:r>
              <w:rPr>
                <w:rFonts w:hint="eastAsia" w:eastAsia="仿宋_GB2312"/>
                <w:b/>
                <w:bCs/>
                <w:color w:val="000000"/>
                <w:spacing w:val="-2"/>
                <w:kern w:val="0"/>
                <w:szCs w:val="21"/>
              </w:rPr>
              <w:t>分）</w:t>
            </w:r>
            <w:r>
              <w:rPr>
                <w:rFonts w:eastAsia="仿宋_GB2312"/>
                <w:b/>
                <w:bCs/>
                <w:color w:val="000000"/>
                <w:spacing w:val="-2"/>
                <w:kern w:val="0"/>
                <w:szCs w:val="21"/>
              </w:rPr>
              <w:t xml:space="preserve">  □</w:t>
            </w:r>
            <w:r>
              <w:rPr>
                <w:rFonts w:hint="eastAsia" w:eastAsia="仿宋_GB2312"/>
                <w:b/>
                <w:bCs/>
                <w:color w:val="000000"/>
                <w:spacing w:val="-2"/>
                <w:kern w:val="0"/>
                <w:szCs w:val="21"/>
              </w:rPr>
              <w:t>防水</w:t>
            </w:r>
            <w:r>
              <w:rPr>
                <w:rFonts w:eastAsia="仿宋_GB2312"/>
                <w:b/>
                <w:bCs/>
                <w:color w:val="000000"/>
                <w:spacing w:val="-2"/>
                <w:kern w:val="0"/>
                <w:szCs w:val="21"/>
              </w:rPr>
              <w:t xml:space="preserve">    □</w:t>
            </w:r>
            <w:r>
              <w:rPr>
                <w:rFonts w:hint="eastAsia" w:eastAsia="仿宋_GB2312"/>
                <w:b/>
                <w:bCs/>
                <w:color w:val="000000"/>
                <w:spacing w:val="-2"/>
                <w:kern w:val="0"/>
                <w:szCs w:val="21"/>
              </w:rPr>
              <w:t>装饰装修</w:t>
            </w:r>
            <w:r>
              <w:rPr>
                <w:rFonts w:eastAsia="仿宋_GB2312"/>
                <w:b/>
                <w:bCs/>
                <w:color w:val="000000"/>
                <w:spacing w:val="-2"/>
                <w:kern w:val="0"/>
                <w:szCs w:val="21"/>
              </w:rPr>
              <w:t xml:space="preserve">   □</w:t>
            </w:r>
            <w:r>
              <w:rPr>
                <w:rFonts w:hint="eastAsia" w:eastAsia="仿宋_GB2312"/>
                <w:b/>
                <w:bCs/>
                <w:color w:val="000000"/>
                <w:spacing w:val="-2"/>
                <w:kern w:val="0"/>
                <w:szCs w:val="21"/>
              </w:rPr>
              <w:t>幕墙</w:t>
            </w:r>
            <w:r>
              <w:rPr>
                <w:rFonts w:eastAsia="仿宋_GB2312"/>
                <w:b/>
                <w:bCs/>
                <w:color w:val="000000"/>
                <w:spacing w:val="-2"/>
                <w:kern w:val="0"/>
                <w:szCs w:val="21"/>
              </w:rPr>
              <w:t xml:space="preserve">   □</w:t>
            </w:r>
            <w:r>
              <w:rPr>
                <w:rFonts w:hint="eastAsia" w:eastAsia="仿宋_GB2312"/>
                <w:b/>
                <w:bCs/>
                <w:color w:val="000000"/>
                <w:spacing w:val="-2"/>
                <w:kern w:val="0"/>
                <w:szCs w:val="21"/>
              </w:rPr>
              <w:t>安装</w:t>
            </w:r>
            <w:r>
              <w:rPr>
                <w:rFonts w:eastAsia="仿宋_GB2312"/>
                <w:b/>
                <w:bCs/>
                <w:color w:val="000000"/>
                <w:spacing w:val="-2"/>
                <w:kern w:val="0"/>
                <w:szCs w:val="21"/>
              </w:rPr>
              <w:t xml:space="preserve">  □</w:t>
            </w:r>
            <w:r>
              <w:rPr>
                <w:rFonts w:hint="eastAsia" w:eastAsia="仿宋_GB2312"/>
                <w:b/>
                <w:bCs/>
                <w:color w:val="000000"/>
                <w:spacing w:val="-2"/>
                <w:kern w:val="0"/>
                <w:szCs w:val="21"/>
              </w:rPr>
              <w:t>钢结构</w:t>
            </w:r>
            <w:r>
              <w:rPr>
                <w:rFonts w:eastAsia="仿宋_GB2312"/>
                <w:b/>
                <w:bCs/>
                <w:color w:val="000000"/>
                <w:spacing w:val="-2"/>
                <w:kern w:val="0"/>
                <w:szCs w:val="21"/>
              </w:rPr>
              <w:t xml:space="preserve">  □</w:t>
            </w:r>
            <w:r>
              <w:rPr>
                <w:rFonts w:hint="eastAsia" w:eastAsia="仿宋_GB2312"/>
                <w:b/>
                <w:bCs/>
                <w:color w:val="000000"/>
                <w:spacing w:val="-2"/>
                <w:kern w:val="0"/>
                <w:szCs w:val="21"/>
              </w:rPr>
              <w:t>桩基</w:t>
            </w:r>
            <w:r>
              <w:rPr>
                <w:rFonts w:eastAsia="仿宋_GB2312"/>
                <w:b/>
                <w:bCs/>
                <w:color w:val="000000"/>
                <w:spacing w:val="-2"/>
                <w:kern w:val="0"/>
                <w:szCs w:val="21"/>
              </w:rPr>
              <w:t xml:space="preserve">  □</w:t>
            </w:r>
            <w:r>
              <w:rPr>
                <w:rFonts w:hint="eastAsia" w:eastAsia="仿宋_GB2312"/>
                <w:b/>
                <w:bCs/>
                <w:color w:val="000000"/>
                <w:spacing w:val="-2"/>
                <w:kern w:val="0"/>
                <w:szCs w:val="21"/>
              </w:rPr>
              <w:t>弱电</w:t>
            </w:r>
            <w:r>
              <w:rPr>
                <w:rFonts w:eastAsia="仿宋_GB2312"/>
                <w:b/>
                <w:bCs/>
                <w:color w:val="000000"/>
                <w:spacing w:val="-2"/>
                <w:kern w:val="0"/>
                <w:szCs w:val="21"/>
              </w:rPr>
              <w:t xml:space="preserve">  </w:t>
            </w:r>
          </w:p>
          <w:p>
            <w:pPr>
              <w:adjustRightInd w:val="0"/>
              <w:snapToGrid w:val="0"/>
              <w:ind w:firstLine="2023" w:firstLineChars="978"/>
              <w:rPr>
                <w:rFonts w:eastAsia="仿宋_GB2312"/>
                <w:b/>
                <w:bCs/>
                <w:color w:val="000000"/>
                <w:spacing w:val="-2"/>
                <w:kern w:val="0"/>
                <w:szCs w:val="21"/>
              </w:rPr>
            </w:pPr>
            <w:r>
              <w:rPr>
                <w:rFonts w:eastAsia="仿宋_GB2312"/>
                <w:b/>
                <w:bCs/>
                <w:color w:val="000000"/>
                <w:spacing w:val="-2"/>
                <w:kern w:val="0"/>
                <w:szCs w:val="21"/>
              </w:rPr>
              <w:t>□</w:t>
            </w:r>
            <w:r>
              <w:rPr>
                <w:rFonts w:hint="eastAsia" w:eastAsia="仿宋_GB2312"/>
                <w:b/>
                <w:bCs/>
                <w:color w:val="000000"/>
                <w:spacing w:val="-2"/>
                <w:kern w:val="0"/>
                <w:szCs w:val="21"/>
              </w:rPr>
              <w:t>保温</w:t>
            </w:r>
            <w:r>
              <w:rPr>
                <w:rFonts w:eastAsia="仿宋_GB2312"/>
                <w:b/>
                <w:bCs/>
                <w:color w:val="000000"/>
                <w:spacing w:val="-2"/>
                <w:kern w:val="0"/>
                <w:szCs w:val="21"/>
              </w:rPr>
              <w:t xml:space="preserve">    □</w:t>
            </w:r>
            <w:r>
              <w:rPr>
                <w:rFonts w:hint="eastAsia" w:eastAsia="仿宋_GB2312"/>
                <w:b/>
                <w:bCs/>
                <w:color w:val="000000"/>
                <w:spacing w:val="-2"/>
                <w:kern w:val="0"/>
                <w:szCs w:val="21"/>
              </w:rPr>
              <w:t>其他</w:t>
            </w:r>
            <w:r>
              <w:rPr>
                <w:rFonts w:eastAsia="仿宋_GB2312"/>
                <w:b/>
                <w:bCs/>
                <w:color w:val="000000"/>
                <w:spacing w:val="-2"/>
                <w:kern w:val="0"/>
                <w:szCs w:val="21"/>
              </w:rPr>
              <w:t xml:space="preserve">       □</w:t>
            </w:r>
            <w:r>
              <w:rPr>
                <w:rFonts w:hint="eastAsia" w:eastAsia="仿宋_GB2312"/>
                <w:b/>
                <w:bCs/>
                <w:color w:val="000000"/>
                <w:spacing w:val="-2"/>
                <w:kern w:val="0"/>
                <w:szCs w:val="21"/>
              </w:rPr>
              <w:t>劳务</w:t>
            </w:r>
          </w:p>
        </w:tc>
      </w:tr>
      <w:tr>
        <w:tblPrEx>
          <w:tblCellMar>
            <w:top w:w="0" w:type="dxa"/>
            <w:left w:w="108" w:type="dxa"/>
            <w:bottom w:w="0" w:type="dxa"/>
            <w:right w:w="108" w:type="dxa"/>
          </w:tblCellMar>
        </w:tblPrEx>
        <w:trPr>
          <w:trHeight w:val="620" w:hRule="atLeast"/>
          <w:jc w:val="center"/>
        </w:trPr>
        <w:tc>
          <w:tcPr>
            <w:tcW w:w="684" w:type="dxa"/>
            <w:tcBorders>
              <w:top w:val="nil"/>
              <w:left w:val="single" w:color="auto" w:sz="4" w:space="0"/>
              <w:bottom w:val="single" w:color="auto" w:sz="4" w:space="0"/>
              <w:right w:val="single" w:color="auto" w:sz="4" w:space="0"/>
            </w:tcBorders>
            <w:noWrap w:val="0"/>
            <w:vAlign w:val="center"/>
          </w:tcPr>
          <w:p>
            <w:pPr>
              <w:adjustRightInd w:val="0"/>
              <w:snapToGrid w:val="0"/>
              <w:jc w:val="center"/>
              <w:rPr>
                <w:rFonts w:eastAsia="仿宋_GB2312"/>
                <w:b/>
                <w:bCs/>
                <w:color w:val="000000"/>
                <w:spacing w:val="-2"/>
                <w:kern w:val="0"/>
                <w:szCs w:val="21"/>
              </w:rPr>
            </w:pPr>
            <w:r>
              <w:rPr>
                <w:rFonts w:hint="eastAsia" w:eastAsia="仿宋_GB2312"/>
                <w:b/>
                <w:bCs/>
                <w:color w:val="000000"/>
                <w:spacing w:val="-2"/>
                <w:kern w:val="0"/>
                <w:szCs w:val="21"/>
              </w:rPr>
              <w:t>分包单位</w:t>
            </w:r>
          </w:p>
        </w:tc>
        <w:tc>
          <w:tcPr>
            <w:tcW w:w="2523" w:type="dxa"/>
            <w:gridSpan w:val="2"/>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b/>
                <w:bCs/>
                <w:color w:val="000000"/>
                <w:spacing w:val="-2"/>
                <w:kern w:val="0"/>
                <w:szCs w:val="21"/>
              </w:rPr>
            </w:pPr>
          </w:p>
        </w:tc>
        <w:tc>
          <w:tcPr>
            <w:tcW w:w="1134" w:type="dxa"/>
            <w:tcBorders>
              <w:top w:val="nil"/>
              <w:left w:val="nil"/>
              <w:bottom w:val="single" w:color="auto" w:sz="4" w:space="0"/>
              <w:right w:val="single" w:color="auto" w:sz="4" w:space="0"/>
            </w:tcBorders>
            <w:noWrap w:val="0"/>
            <w:vAlign w:val="center"/>
          </w:tcPr>
          <w:p>
            <w:pPr>
              <w:adjustRightInd w:val="0"/>
              <w:snapToGrid w:val="0"/>
              <w:jc w:val="center"/>
              <w:rPr>
                <w:rFonts w:eastAsia="仿宋_GB2312"/>
                <w:b/>
                <w:bCs/>
                <w:color w:val="000000"/>
                <w:spacing w:val="-2"/>
                <w:kern w:val="0"/>
                <w:szCs w:val="21"/>
              </w:rPr>
            </w:pPr>
            <w:r>
              <w:rPr>
                <w:rFonts w:hint="eastAsia" w:eastAsia="仿宋_GB2312"/>
                <w:b/>
                <w:bCs/>
                <w:color w:val="000000"/>
                <w:spacing w:val="-2"/>
                <w:kern w:val="0"/>
                <w:szCs w:val="21"/>
              </w:rPr>
              <w:t>分包</w:t>
            </w:r>
          </w:p>
          <w:p>
            <w:pPr>
              <w:adjustRightInd w:val="0"/>
              <w:snapToGrid w:val="0"/>
              <w:jc w:val="center"/>
              <w:rPr>
                <w:rFonts w:eastAsia="仿宋_GB2312"/>
                <w:b/>
                <w:bCs/>
                <w:color w:val="000000"/>
                <w:spacing w:val="-2"/>
                <w:kern w:val="0"/>
                <w:szCs w:val="21"/>
              </w:rPr>
            </w:pPr>
            <w:r>
              <w:rPr>
                <w:rFonts w:hint="eastAsia" w:eastAsia="仿宋_GB2312"/>
                <w:b/>
                <w:bCs/>
                <w:color w:val="000000"/>
                <w:spacing w:val="-2"/>
                <w:kern w:val="0"/>
                <w:szCs w:val="21"/>
              </w:rPr>
              <w:t>内容</w:t>
            </w:r>
          </w:p>
        </w:tc>
        <w:tc>
          <w:tcPr>
            <w:tcW w:w="2616" w:type="dxa"/>
            <w:gridSpan w:val="2"/>
            <w:tcBorders>
              <w:top w:val="nil"/>
              <w:left w:val="nil"/>
              <w:bottom w:val="single" w:color="auto" w:sz="4" w:space="0"/>
              <w:right w:val="single" w:color="000000" w:sz="4" w:space="0"/>
            </w:tcBorders>
            <w:noWrap w:val="0"/>
            <w:vAlign w:val="center"/>
          </w:tcPr>
          <w:p>
            <w:pPr>
              <w:adjustRightInd w:val="0"/>
              <w:snapToGrid w:val="0"/>
              <w:jc w:val="center"/>
              <w:rPr>
                <w:rFonts w:eastAsia="仿宋_GB2312"/>
                <w:b/>
                <w:bCs/>
                <w:color w:val="000000"/>
                <w:spacing w:val="-2"/>
                <w:kern w:val="0"/>
                <w:szCs w:val="21"/>
              </w:rPr>
            </w:pPr>
          </w:p>
        </w:tc>
        <w:tc>
          <w:tcPr>
            <w:tcW w:w="993" w:type="dxa"/>
            <w:gridSpan w:val="2"/>
            <w:tcBorders>
              <w:top w:val="nil"/>
              <w:left w:val="nil"/>
              <w:bottom w:val="single" w:color="auto" w:sz="4" w:space="0"/>
              <w:right w:val="single" w:color="000000" w:sz="4" w:space="0"/>
            </w:tcBorders>
            <w:noWrap w:val="0"/>
            <w:vAlign w:val="center"/>
          </w:tcPr>
          <w:p>
            <w:pPr>
              <w:adjustRightInd w:val="0"/>
              <w:snapToGrid w:val="0"/>
              <w:jc w:val="center"/>
              <w:rPr>
                <w:rFonts w:eastAsia="仿宋_GB2312"/>
                <w:b/>
                <w:bCs/>
                <w:color w:val="000000"/>
                <w:spacing w:val="-2"/>
                <w:kern w:val="0"/>
                <w:szCs w:val="21"/>
              </w:rPr>
            </w:pPr>
            <w:r>
              <w:rPr>
                <w:rFonts w:hint="eastAsia" w:eastAsia="仿宋_GB2312"/>
                <w:b/>
                <w:bCs/>
                <w:color w:val="000000"/>
                <w:spacing w:val="-2"/>
                <w:kern w:val="0"/>
                <w:szCs w:val="21"/>
              </w:rPr>
              <w:t>项</w:t>
            </w:r>
            <w:r>
              <w:rPr>
                <w:rFonts w:eastAsia="仿宋_GB2312"/>
                <w:b/>
                <w:bCs/>
                <w:color w:val="000000"/>
                <w:spacing w:val="-2"/>
                <w:kern w:val="0"/>
                <w:szCs w:val="21"/>
              </w:rPr>
              <w:t xml:space="preserve"> </w:t>
            </w:r>
            <w:r>
              <w:rPr>
                <w:rFonts w:hint="eastAsia" w:eastAsia="仿宋_GB2312"/>
                <w:b/>
                <w:bCs/>
                <w:color w:val="000000"/>
                <w:spacing w:val="-2"/>
                <w:kern w:val="0"/>
                <w:szCs w:val="21"/>
              </w:rPr>
              <w:t>目</w:t>
            </w:r>
          </w:p>
          <w:p>
            <w:pPr>
              <w:adjustRightInd w:val="0"/>
              <w:snapToGrid w:val="0"/>
              <w:jc w:val="center"/>
              <w:rPr>
                <w:rFonts w:eastAsia="仿宋_GB2312"/>
                <w:b/>
                <w:bCs/>
                <w:color w:val="000000"/>
                <w:spacing w:val="-2"/>
                <w:kern w:val="0"/>
                <w:szCs w:val="21"/>
              </w:rPr>
            </w:pPr>
            <w:r>
              <w:rPr>
                <w:rFonts w:hint="eastAsia" w:eastAsia="仿宋_GB2312"/>
                <w:b/>
                <w:bCs/>
                <w:color w:val="000000"/>
                <w:spacing w:val="-2"/>
                <w:kern w:val="0"/>
                <w:szCs w:val="21"/>
              </w:rPr>
              <w:t>经</w:t>
            </w:r>
            <w:r>
              <w:rPr>
                <w:rFonts w:eastAsia="仿宋_GB2312"/>
                <w:b/>
                <w:bCs/>
                <w:color w:val="000000"/>
                <w:spacing w:val="-2"/>
                <w:kern w:val="0"/>
                <w:szCs w:val="21"/>
              </w:rPr>
              <w:t xml:space="preserve"> </w:t>
            </w:r>
            <w:r>
              <w:rPr>
                <w:rFonts w:hint="eastAsia" w:eastAsia="仿宋_GB2312"/>
                <w:b/>
                <w:bCs/>
                <w:color w:val="000000"/>
                <w:spacing w:val="-2"/>
                <w:kern w:val="0"/>
                <w:szCs w:val="21"/>
              </w:rPr>
              <w:t>理</w:t>
            </w:r>
          </w:p>
        </w:tc>
        <w:tc>
          <w:tcPr>
            <w:tcW w:w="1561" w:type="dxa"/>
            <w:gridSpan w:val="2"/>
            <w:tcBorders>
              <w:top w:val="nil"/>
              <w:left w:val="nil"/>
              <w:bottom w:val="single" w:color="auto" w:sz="4" w:space="0"/>
              <w:right w:val="single" w:color="000000" w:sz="4" w:space="0"/>
            </w:tcBorders>
            <w:noWrap w:val="0"/>
            <w:vAlign w:val="center"/>
          </w:tcPr>
          <w:p>
            <w:pPr>
              <w:adjustRightInd w:val="0"/>
              <w:snapToGrid w:val="0"/>
              <w:jc w:val="center"/>
              <w:rPr>
                <w:rFonts w:eastAsia="仿宋_GB2312"/>
                <w:b/>
                <w:bCs/>
                <w:color w:val="000000"/>
                <w:spacing w:val="-2"/>
                <w:kern w:val="0"/>
                <w:szCs w:val="21"/>
              </w:rPr>
            </w:pPr>
          </w:p>
        </w:tc>
      </w:tr>
      <w:tr>
        <w:tblPrEx>
          <w:tblCellMar>
            <w:top w:w="0" w:type="dxa"/>
            <w:left w:w="108" w:type="dxa"/>
            <w:bottom w:w="0" w:type="dxa"/>
            <w:right w:w="108" w:type="dxa"/>
          </w:tblCellMar>
        </w:tblPrEx>
        <w:trPr>
          <w:trHeight w:val="540" w:hRule="atLeast"/>
          <w:jc w:val="center"/>
        </w:trPr>
        <w:tc>
          <w:tcPr>
            <w:tcW w:w="684" w:type="dxa"/>
            <w:tcBorders>
              <w:top w:val="nil"/>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序号</w:t>
            </w:r>
          </w:p>
        </w:tc>
        <w:tc>
          <w:tcPr>
            <w:tcW w:w="1249"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检查项目</w:t>
            </w:r>
          </w:p>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及分值</w:t>
            </w:r>
          </w:p>
        </w:tc>
        <w:tc>
          <w:tcPr>
            <w:tcW w:w="2603" w:type="dxa"/>
            <w:gridSpan w:val="3"/>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检查内容</w:t>
            </w:r>
          </w:p>
        </w:tc>
        <w:tc>
          <w:tcPr>
            <w:tcW w:w="2421"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扣分标准</w:t>
            </w:r>
          </w:p>
        </w:tc>
        <w:tc>
          <w:tcPr>
            <w:tcW w:w="569" w:type="dxa"/>
            <w:tcBorders>
              <w:top w:val="nil"/>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扣分</w:t>
            </w:r>
          </w:p>
        </w:tc>
        <w:tc>
          <w:tcPr>
            <w:tcW w:w="567" w:type="dxa"/>
            <w:gridSpan w:val="2"/>
            <w:tcBorders>
              <w:top w:val="nil"/>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得分</w:t>
            </w:r>
          </w:p>
        </w:tc>
        <w:tc>
          <w:tcPr>
            <w:tcW w:w="1418" w:type="dxa"/>
            <w:tcBorders>
              <w:top w:val="nil"/>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扣分原因</w:t>
            </w:r>
          </w:p>
        </w:tc>
      </w:tr>
      <w:tr>
        <w:tblPrEx>
          <w:tblCellMar>
            <w:top w:w="0" w:type="dxa"/>
            <w:left w:w="108" w:type="dxa"/>
            <w:bottom w:w="0" w:type="dxa"/>
            <w:right w:w="108" w:type="dxa"/>
          </w:tblCellMar>
        </w:tblPrEx>
        <w:trPr>
          <w:trHeight w:val="769" w:hRule="atLeast"/>
          <w:jc w:val="center"/>
        </w:trPr>
        <w:tc>
          <w:tcPr>
            <w:tcW w:w="684" w:type="dxa"/>
            <w:tcBorders>
              <w:top w:val="nil"/>
              <w:left w:val="single" w:color="auto" w:sz="4" w:space="0"/>
              <w:bottom w:val="single" w:color="000000"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eastAsia="仿宋_GB2312"/>
                <w:color w:val="000000"/>
                <w:spacing w:val="-2"/>
                <w:kern w:val="0"/>
                <w:szCs w:val="21"/>
              </w:rPr>
              <w:t>1</w:t>
            </w:r>
          </w:p>
        </w:tc>
        <w:tc>
          <w:tcPr>
            <w:tcW w:w="1249" w:type="dxa"/>
            <w:tcBorders>
              <w:top w:val="single" w:color="auto" w:sz="4" w:space="0"/>
              <w:left w:val="single" w:color="auto" w:sz="4" w:space="0"/>
              <w:bottom w:val="single" w:color="000000" w:sz="4" w:space="0"/>
              <w:right w:val="single" w:color="000000"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企业管理</w:t>
            </w:r>
          </w:p>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15</w:t>
            </w:r>
            <w:r>
              <w:rPr>
                <w:rFonts w:hint="eastAsia" w:eastAsia="仿宋_GB2312"/>
                <w:color w:val="000000"/>
                <w:spacing w:val="-2"/>
                <w:kern w:val="0"/>
                <w:szCs w:val="21"/>
              </w:rPr>
              <w:t>分）</w:t>
            </w:r>
          </w:p>
        </w:tc>
        <w:tc>
          <w:tcPr>
            <w:tcW w:w="2603" w:type="dxa"/>
            <w:gridSpan w:val="3"/>
            <w:tcBorders>
              <w:top w:val="single" w:color="auto" w:sz="4" w:space="0"/>
              <w:left w:val="nil"/>
              <w:bottom w:val="nil"/>
              <w:right w:val="single" w:color="000000"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分包方是否具备相应资质，是否具备信用手册</w:t>
            </w:r>
          </w:p>
        </w:tc>
        <w:tc>
          <w:tcPr>
            <w:tcW w:w="2421" w:type="dxa"/>
            <w:tcBorders>
              <w:top w:val="single" w:color="auto" w:sz="4" w:space="0"/>
              <w:left w:val="single" w:color="auto" w:sz="4" w:space="0"/>
              <w:bottom w:val="single" w:color="000000" w:sz="4" w:space="0"/>
              <w:right w:val="single" w:color="000000"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承包方无资质扣</w:t>
            </w:r>
            <w:r>
              <w:rPr>
                <w:rFonts w:eastAsia="仿宋_GB2312"/>
                <w:color w:val="000000"/>
                <w:spacing w:val="-2"/>
                <w:kern w:val="0"/>
                <w:szCs w:val="21"/>
              </w:rPr>
              <w:t>15</w:t>
            </w:r>
            <w:r>
              <w:rPr>
                <w:rFonts w:hint="eastAsia" w:eastAsia="仿宋_GB2312"/>
                <w:color w:val="000000"/>
                <w:spacing w:val="-2"/>
                <w:kern w:val="0"/>
                <w:szCs w:val="21"/>
              </w:rPr>
              <w:t>分，无信用手册后</w:t>
            </w:r>
            <w:r>
              <w:rPr>
                <w:rFonts w:eastAsia="仿宋_GB2312"/>
                <w:color w:val="000000"/>
                <w:spacing w:val="-2"/>
                <w:kern w:val="0"/>
                <w:szCs w:val="21"/>
              </w:rPr>
              <w:t>10</w:t>
            </w:r>
            <w:r>
              <w:rPr>
                <w:rFonts w:hint="eastAsia" w:eastAsia="仿宋_GB2312"/>
                <w:color w:val="000000"/>
                <w:spacing w:val="-2"/>
                <w:kern w:val="0"/>
                <w:szCs w:val="21"/>
              </w:rPr>
              <w:t>分。</w:t>
            </w:r>
          </w:p>
        </w:tc>
        <w:tc>
          <w:tcPr>
            <w:tcW w:w="569" w:type="dxa"/>
            <w:tcBorders>
              <w:top w:val="nil"/>
              <w:left w:val="single" w:color="auto" w:sz="4" w:space="0"/>
              <w:bottom w:val="single" w:color="auto" w:sz="4" w:space="0"/>
              <w:right w:val="single" w:color="auto" w:sz="4" w:space="0"/>
            </w:tcBorders>
            <w:noWrap w:val="0"/>
            <w:vAlign w:val="center"/>
          </w:tcPr>
          <w:p>
            <w:pPr>
              <w:adjustRightInd w:val="0"/>
              <w:snapToGrid w:val="0"/>
              <w:rPr>
                <w:rFonts w:eastAsia="仿宋_GB2312"/>
                <w:i/>
                <w:color w:val="000000"/>
                <w:spacing w:val="-2"/>
                <w:kern w:val="0"/>
                <w:szCs w:val="21"/>
              </w:rPr>
            </w:pPr>
            <w:r>
              <w:rPr>
                <w:rFonts w:hint="eastAsia" w:eastAsia="仿宋_GB2312"/>
                <w:i/>
                <w:color w:val="000000"/>
                <w:spacing w:val="-2"/>
                <w:kern w:val="0"/>
                <w:szCs w:val="21"/>
              </w:rPr>
              <w:t>　</w:t>
            </w:r>
          </w:p>
        </w:tc>
        <w:tc>
          <w:tcPr>
            <w:tcW w:w="567" w:type="dxa"/>
            <w:gridSpan w:val="2"/>
            <w:tcBorders>
              <w:top w:val="nil"/>
              <w:left w:val="single" w:color="auto" w:sz="4" w:space="0"/>
              <w:bottom w:val="single" w:color="auto" w:sz="4" w:space="0"/>
              <w:right w:val="single" w:color="auto" w:sz="4" w:space="0"/>
            </w:tcBorders>
            <w:noWrap w:val="0"/>
            <w:vAlign w:val="center"/>
          </w:tcPr>
          <w:p>
            <w:pPr>
              <w:adjustRightInd w:val="0"/>
              <w:snapToGrid w:val="0"/>
              <w:rPr>
                <w:rFonts w:eastAsia="仿宋_GB2312"/>
                <w:i/>
                <w:color w:val="000000"/>
                <w:spacing w:val="-2"/>
                <w:kern w:val="0"/>
                <w:szCs w:val="21"/>
              </w:rPr>
            </w:pPr>
            <w:r>
              <w:rPr>
                <w:rFonts w:hint="eastAsia" w:eastAsia="仿宋_GB2312"/>
                <w:i/>
                <w:color w:val="000000"/>
                <w:spacing w:val="-2"/>
                <w:kern w:val="0"/>
                <w:szCs w:val="21"/>
              </w:rPr>
              <w:t>　</w:t>
            </w:r>
          </w:p>
        </w:tc>
        <w:tc>
          <w:tcPr>
            <w:tcW w:w="1418" w:type="dxa"/>
            <w:tcBorders>
              <w:top w:val="nil"/>
              <w:left w:val="single" w:color="auto" w:sz="4" w:space="0"/>
              <w:bottom w:val="single" w:color="000000" w:sz="4"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　</w:t>
            </w:r>
          </w:p>
        </w:tc>
      </w:tr>
      <w:tr>
        <w:tblPrEx>
          <w:tblCellMar>
            <w:top w:w="0" w:type="dxa"/>
            <w:left w:w="108" w:type="dxa"/>
            <w:bottom w:w="0" w:type="dxa"/>
            <w:right w:w="108" w:type="dxa"/>
          </w:tblCellMar>
        </w:tblPrEx>
        <w:trPr>
          <w:trHeight w:val="548" w:hRule="atLeast"/>
          <w:jc w:val="center"/>
        </w:trPr>
        <w:tc>
          <w:tcPr>
            <w:tcW w:w="684" w:type="dxa"/>
            <w:vMerge w:val="restart"/>
            <w:tcBorders>
              <w:top w:val="nil"/>
              <w:left w:val="single" w:color="auto" w:sz="4" w:space="0"/>
              <w:bottom w:val="single" w:color="000000"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eastAsia="仿宋_GB2312"/>
                <w:color w:val="000000"/>
                <w:spacing w:val="-2"/>
                <w:kern w:val="0"/>
                <w:szCs w:val="21"/>
              </w:rPr>
              <w:t>2</w:t>
            </w:r>
          </w:p>
        </w:tc>
        <w:tc>
          <w:tcPr>
            <w:tcW w:w="1249" w:type="dxa"/>
            <w:vMerge w:val="restart"/>
            <w:tcBorders>
              <w:top w:val="single" w:color="auto" w:sz="4" w:space="0"/>
              <w:left w:val="single" w:color="auto" w:sz="4" w:space="0"/>
              <w:bottom w:val="single" w:color="000000" w:sz="4" w:space="0"/>
              <w:right w:val="single" w:color="000000"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合同管理</w:t>
            </w:r>
          </w:p>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15</w:t>
            </w:r>
            <w:r>
              <w:rPr>
                <w:rFonts w:hint="eastAsia" w:eastAsia="仿宋_GB2312"/>
                <w:color w:val="000000"/>
                <w:spacing w:val="-2"/>
                <w:kern w:val="0"/>
                <w:szCs w:val="21"/>
              </w:rPr>
              <w:t>分）</w:t>
            </w:r>
          </w:p>
        </w:tc>
        <w:tc>
          <w:tcPr>
            <w:tcW w:w="2603" w:type="dxa"/>
            <w:gridSpan w:val="3"/>
            <w:vMerge w:val="restart"/>
            <w:tcBorders>
              <w:top w:val="single" w:color="auto" w:sz="4" w:space="0"/>
              <w:left w:val="nil"/>
              <w:bottom w:val="nil"/>
              <w:right w:val="single" w:color="000000"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施工合同是否按规定签订备案（</w:t>
            </w:r>
            <w:r>
              <w:rPr>
                <w:rFonts w:eastAsia="仿宋_GB2312"/>
                <w:color w:val="000000"/>
                <w:spacing w:val="-2"/>
                <w:kern w:val="0"/>
                <w:szCs w:val="21"/>
              </w:rPr>
              <w:t>15</w:t>
            </w:r>
            <w:r>
              <w:rPr>
                <w:rFonts w:hint="eastAsia" w:eastAsia="仿宋_GB2312"/>
                <w:color w:val="000000"/>
                <w:spacing w:val="-2"/>
                <w:kern w:val="0"/>
                <w:szCs w:val="21"/>
              </w:rPr>
              <w:t>分）</w:t>
            </w:r>
          </w:p>
        </w:tc>
        <w:tc>
          <w:tcPr>
            <w:tcW w:w="2421" w:type="dxa"/>
            <w:tcBorders>
              <w:top w:val="single" w:color="auto" w:sz="4" w:space="0"/>
              <w:left w:val="single" w:color="auto" w:sz="4" w:space="0"/>
              <w:bottom w:val="single" w:color="000000" w:sz="4"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未按规定签订扣</w:t>
            </w:r>
            <w:r>
              <w:rPr>
                <w:rFonts w:eastAsia="仿宋_GB2312"/>
                <w:color w:val="000000"/>
                <w:spacing w:val="-2"/>
                <w:kern w:val="0"/>
                <w:szCs w:val="21"/>
              </w:rPr>
              <w:t>15</w:t>
            </w:r>
            <w:r>
              <w:rPr>
                <w:rFonts w:hint="eastAsia" w:eastAsia="仿宋_GB2312"/>
                <w:color w:val="000000"/>
                <w:spacing w:val="-2"/>
                <w:kern w:val="0"/>
                <w:szCs w:val="21"/>
              </w:rPr>
              <w:t>分</w:t>
            </w:r>
          </w:p>
        </w:tc>
        <w:tc>
          <w:tcPr>
            <w:tcW w:w="56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rPr>
                <w:rFonts w:eastAsia="仿宋_GB2312"/>
                <w:i/>
                <w:color w:val="000000"/>
                <w:spacing w:val="-2"/>
                <w:kern w:val="0"/>
                <w:szCs w:val="21"/>
              </w:rPr>
            </w:pPr>
          </w:p>
        </w:tc>
        <w:tc>
          <w:tcPr>
            <w:tcW w:w="567"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rPr>
                <w:rFonts w:eastAsia="仿宋_GB2312"/>
                <w:i/>
                <w:color w:val="000000"/>
                <w:spacing w:val="-2"/>
                <w:kern w:val="0"/>
                <w:szCs w:val="21"/>
              </w:rPr>
            </w:pPr>
          </w:p>
        </w:tc>
        <w:tc>
          <w:tcPr>
            <w:tcW w:w="1418" w:type="dxa"/>
            <w:vMerge w:val="restart"/>
            <w:tcBorders>
              <w:top w:val="nil"/>
              <w:left w:val="single" w:color="auto" w:sz="4" w:space="0"/>
              <w:bottom w:val="single" w:color="000000" w:sz="4" w:space="0"/>
              <w:right w:val="single" w:color="auto" w:sz="4" w:space="0"/>
            </w:tcBorders>
            <w:noWrap w:val="0"/>
            <w:vAlign w:val="center"/>
          </w:tcPr>
          <w:p>
            <w:pPr>
              <w:adjustRightInd w:val="0"/>
              <w:snapToGrid w:val="0"/>
              <w:rPr>
                <w:rFonts w:eastAsia="仿宋_GB2312"/>
                <w:color w:val="000000"/>
                <w:spacing w:val="-2"/>
                <w:kern w:val="0"/>
                <w:szCs w:val="21"/>
              </w:rPr>
            </w:pPr>
          </w:p>
        </w:tc>
      </w:tr>
      <w:tr>
        <w:tblPrEx>
          <w:tblCellMar>
            <w:top w:w="0" w:type="dxa"/>
            <w:left w:w="108" w:type="dxa"/>
            <w:bottom w:w="0" w:type="dxa"/>
            <w:right w:w="108" w:type="dxa"/>
          </w:tblCellMar>
        </w:tblPrEx>
        <w:trPr>
          <w:trHeight w:val="547" w:hRule="atLeast"/>
          <w:jc w:val="center"/>
        </w:trPr>
        <w:tc>
          <w:tcPr>
            <w:tcW w:w="684"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仿宋_GB2312"/>
                <w:color w:val="000000"/>
                <w:spacing w:val="-2"/>
                <w:kern w:val="0"/>
                <w:szCs w:val="21"/>
              </w:rPr>
            </w:pPr>
          </w:p>
        </w:tc>
        <w:tc>
          <w:tcPr>
            <w:tcW w:w="1249" w:type="dxa"/>
            <w:vMerge w:val="continue"/>
            <w:tcBorders>
              <w:top w:val="single" w:color="auto" w:sz="4" w:space="0"/>
              <w:left w:val="single" w:color="auto" w:sz="4" w:space="0"/>
              <w:bottom w:val="single" w:color="000000" w:sz="4" w:space="0"/>
              <w:right w:val="single" w:color="000000" w:sz="4" w:space="0"/>
            </w:tcBorders>
            <w:noWrap w:val="0"/>
            <w:vAlign w:val="center"/>
          </w:tcPr>
          <w:p>
            <w:pPr>
              <w:widowControl/>
              <w:jc w:val="left"/>
              <w:rPr>
                <w:rFonts w:eastAsia="仿宋_GB2312"/>
                <w:color w:val="000000"/>
                <w:spacing w:val="-2"/>
                <w:kern w:val="0"/>
                <w:szCs w:val="21"/>
              </w:rPr>
            </w:pPr>
          </w:p>
        </w:tc>
        <w:tc>
          <w:tcPr>
            <w:tcW w:w="2603" w:type="dxa"/>
            <w:gridSpan w:val="3"/>
            <w:vMerge w:val="continue"/>
            <w:tcBorders>
              <w:top w:val="single" w:color="auto" w:sz="4" w:space="0"/>
              <w:left w:val="nil"/>
              <w:bottom w:val="nil"/>
              <w:right w:val="single" w:color="000000" w:sz="4" w:space="0"/>
            </w:tcBorders>
            <w:noWrap w:val="0"/>
            <w:vAlign w:val="center"/>
          </w:tcPr>
          <w:p>
            <w:pPr>
              <w:widowControl/>
              <w:jc w:val="left"/>
              <w:rPr>
                <w:rFonts w:eastAsia="仿宋_GB2312"/>
                <w:color w:val="000000"/>
                <w:spacing w:val="-2"/>
                <w:kern w:val="0"/>
                <w:szCs w:val="21"/>
              </w:rPr>
            </w:pPr>
          </w:p>
        </w:tc>
        <w:tc>
          <w:tcPr>
            <w:tcW w:w="2421" w:type="dxa"/>
            <w:tcBorders>
              <w:top w:val="single" w:color="auto" w:sz="4" w:space="0"/>
              <w:left w:val="single" w:color="auto" w:sz="4" w:space="0"/>
              <w:bottom w:val="single" w:color="000000" w:sz="4"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未备案扣</w:t>
            </w:r>
            <w:r>
              <w:rPr>
                <w:rFonts w:eastAsia="仿宋_GB2312"/>
                <w:color w:val="000000"/>
                <w:spacing w:val="-2"/>
                <w:kern w:val="0"/>
                <w:szCs w:val="21"/>
              </w:rPr>
              <w:t>10</w:t>
            </w:r>
            <w:r>
              <w:rPr>
                <w:rFonts w:hint="eastAsia" w:eastAsia="仿宋_GB2312"/>
                <w:color w:val="000000"/>
                <w:spacing w:val="-2"/>
                <w:kern w:val="0"/>
                <w:szCs w:val="21"/>
              </w:rPr>
              <w:t>分</w:t>
            </w:r>
          </w:p>
        </w:tc>
        <w:tc>
          <w:tcPr>
            <w:tcW w:w="56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rPr>
                <w:rFonts w:eastAsia="仿宋_GB2312"/>
                <w:i/>
                <w:color w:val="000000"/>
                <w:spacing w:val="-2"/>
                <w:kern w:val="0"/>
                <w:szCs w:val="21"/>
              </w:rPr>
            </w:pPr>
          </w:p>
        </w:tc>
        <w:tc>
          <w:tcPr>
            <w:tcW w:w="567"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rPr>
                <w:rFonts w:eastAsia="仿宋_GB2312"/>
                <w:i/>
                <w:color w:val="000000"/>
                <w:spacing w:val="-2"/>
                <w:kern w:val="0"/>
                <w:szCs w:val="21"/>
              </w:rPr>
            </w:pPr>
          </w:p>
        </w:tc>
        <w:tc>
          <w:tcPr>
            <w:tcW w:w="1418"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仿宋_GB2312"/>
                <w:color w:val="000000"/>
                <w:spacing w:val="-2"/>
                <w:kern w:val="0"/>
                <w:szCs w:val="21"/>
              </w:rPr>
            </w:pPr>
          </w:p>
        </w:tc>
      </w:tr>
      <w:tr>
        <w:tblPrEx>
          <w:tblCellMar>
            <w:top w:w="0" w:type="dxa"/>
            <w:left w:w="108" w:type="dxa"/>
            <w:bottom w:w="0" w:type="dxa"/>
            <w:right w:w="108" w:type="dxa"/>
          </w:tblCellMar>
        </w:tblPrEx>
        <w:trPr>
          <w:trHeight w:val="705" w:hRule="atLeast"/>
          <w:jc w:val="center"/>
        </w:trPr>
        <w:tc>
          <w:tcPr>
            <w:tcW w:w="684" w:type="dxa"/>
            <w:tcBorders>
              <w:top w:val="nil"/>
              <w:left w:val="single" w:color="auto" w:sz="4" w:space="0"/>
              <w:bottom w:val="single" w:color="000000"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eastAsia="仿宋_GB2312"/>
                <w:color w:val="000000"/>
                <w:spacing w:val="-2"/>
                <w:kern w:val="0"/>
                <w:szCs w:val="21"/>
              </w:rPr>
              <w:t>3</w:t>
            </w:r>
          </w:p>
        </w:tc>
        <w:tc>
          <w:tcPr>
            <w:tcW w:w="1249" w:type="dxa"/>
            <w:tcBorders>
              <w:top w:val="single" w:color="auto" w:sz="4" w:space="0"/>
              <w:left w:val="single" w:color="auto" w:sz="4" w:space="0"/>
              <w:bottom w:val="single" w:color="000000" w:sz="4" w:space="0"/>
              <w:right w:val="single" w:color="000000"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管理体系</w:t>
            </w:r>
          </w:p>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15</w:t>
            </w:r>
            <w:r>
              <w:rPr>
                <w:rFonts w:hint="eastAsia" w:eastAsia="仿宋_GB2312"/>
                <w:color w:val="000000"/>
                <w:spacing w:val="-2"/>
                <w:kern w:val="0"/>
                <w:szCs w:val="21"/>
              </w:rPr>
              <w:t>分）</w:t>
            </w:r>
          </w:p>
        </w:tc>
        <w:tc>
          <w:tcPr>
            <w:tcW w:w="2603" w:type="dxa"/>
            <w:gridSpan w:val="3"/>
            <w:tcBorders>
              <w:top w:val="single" w:color="auto" w:sz="4" w:space="0"/>
              <w:left w:val="nil"/>
              <w:bottom w:val="nil"/>
              <w:right w:val="single" w:color="000000"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是否建立管理体系</w:t>
            </w:r>
          </w:p>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并报总包备案</w:t>
            </w:r>
          </w:p>
        </w:tc>
        <w:tc>
          <w:tcPr>
            <w:tcW w:w="2421" w:type="dxa"/>
            <w:tcBorders>
              <w:top w:val="single" w:color="auto" w:sz="4" w:space="0"/>
              <w:left w:val="single" w:color="auto" w:sz="4" w:space="0"/>
              <w:bottom w:val="single" w:color="000000" w:sz="4" w:space="0"/>
              <w:right w:val="single" w:color="000000"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未建立扣</w:t>
            </w:r>
            <w:r>
              <w:rPr>
                <w:rFonts w:eastAsia="仿宋_GB2312"/>
                <w:color w:val="000000"/>
                <w:spacing w:val="-2"/>
                <w:kern w:val="0"/>
                <w:szCs w:val="21"/>
              </w:rPr>
              <w:t>15</w:t>
            </w:r>
            <w:r>
              <w:rPr>
                <w:rFonts w:hint="eastAsia" w:eastAsia="仿宋_GB2312"/>
                <w:color w:val="000000"/>
                <w:spacing w:val="-2"/>
                <w:kern w:val="0"/>
                <w:szCs w:val="21"/>
              </w:rPr>
              <w:t>分，不健全</w:t>
            </w:r>
            <w:r>
              <w:rPr>
                <w:rFonts w:eastAsia="仿宋_GB2312"/>
                <w:color w:val="000000"/>
                <w:spacing w:val="-2"/>
                <w:kern w:val="0"/>
                <w:szCs w:val="21"/>
              </w:rPr>
              <w:t>8</w:t>
            </w:r>
            <w:r>
              <w:rPr>
                <w:rFonts w:hint="eastAsia" w:eastAsia="仿宋_GB2312"/>
                <w:color w:val="000000"/>
                <w:spacing w:val="-2"/>
                <w:kern w:val="0"/>
                <w:szCs w:val="21"/>
              </w:rPr>
              <w:t>分</w:t>
            </w:r>
          </w:p>
        </w:tc>
        <w:tc>
          <w:tcPr>
            <w:tcW w:w="569" w:type="dxa"/>
            <w:tcBorders>
              <w:top w:val="single" w:color="auto" w:sz="4" w:space="0"/>
              <w:left w:val="single" w:color="auto" w:sz="4" w:space="0"/>
              <w:bottom w:val="single" w:color="000000" w:sz="4" w:space="0"/>
              <w:right w:val="single" w:color="auto" w:sz="4" w:space="0"/>
            </w:tcBorders>
            <w:noWrap w:val="0"/>
            <w:vAlign w:val="center"/>
          </w:tcPr>
          <w:p>
            <w:pPr>
              <w:adjustRightInd w:val="0"/>
              <w:snapToGrid w:val="0"/>
              <w:rPr>
                <w:rFonts w:eastAsia="仿宋_GB2312"/>
                <w:i/>
                <w:color w:val="000000"/>
                <w:spacing w:val="-2"/>
                <w:kern w:val="0"/>
                <w:szCs w:val="21"/>
              </w:rPr>
            </w:pPr>
          </w:p>
        </w:tc>
        <w:tc>
          <w:tcPr>
            <w:tcW w:w="567" w:type="dxa"/>
            <w:gridSpan w:val="2"/>
            <w:tcBorders>
              <w:top w:val="single" w:color="auto" w:sz="4" w:space="0"/>
              <w:left w:val="single" w:color="auto" w:sz="4" w:space="0"/>
              <w:bottom w:val="single" w:color="000000" w:sz="4" w:space="0"/>
              <w:right w:val="single" w:color="auto" w:sz="4" w:space="0"/>
            </w:tcBorders>
            <w:noWrap w:val="0"/>
            <w:vAlign w:val="center"/>
          </w:tcPr>
          <w:p>
            <w:pPr>
              <w:adjustRightInd w:val="0"/>
              <w:snapToGrid w:val="0"/>
              <w:rPr>
                <w:rFonts w:eastAsia="仿宋_GB2312"/>
                <w:i/>
                <w:color w:val="000000"/>
                <w:spacing w:val="-2"/>
                <w:kern w:val="0"/>
                <w:szCs w:val="21"/>
              </w:rPr>
            </w:pPr>
          </w:p>
        </w:tc>
        <w:tc>
          <w:tcPr>
            <w:tcW w:w="1418" w:type="dxa"/>
            <w:tcBorders>
              <w:top w:val="nil"/>
              <w:left w:val="single" w:color="auto" w:sz="4" w:space="0"/>
              <w:bottom w:val="single" w:color="000000" w:sz="4" w:space="0"/>
              <w:right w:val="single" w:color="auto" w:sz="4" w:space="0"/>
            </w:tcBorders>
            <w:noWrap w:val="0"/>
            <w:vAlign w:val="center"/>
          </w:tcPr>
          <w:p>
            <w:pPr>
              <w:adjustRightInd w:val="0"/>
              <w:snapToGrid w:val="0"/>
              <w:rPr>
                <w:rFonts w:eastAsia="仿宋_GB2312"/>
                <w:color w:val="000000"/>
                <w:spacing w:val="-2"/>
                <w:kern w:val="0"/>
                <w:szCs w:val="21"/>
              </w:rPr>
            </w:pPr>
          </w:p>
        </w:tc>
      </w:tr>
      <w:tr>
        <w:tblPrEx>
          <w:tblCellMar>
            <w:top w:w="0" w:type="dxa"/>
            <w:left w:w="108" w:type="dxa"/>
            <w:bottom w:w="0" w:type="dxa"/>
            <w:right w:w="108" w:type="dxa"/>
          </w:tblCellMar>
        </w:tblPrEx>
        <w:trPr>
          <w:trHeight w:val="829" w:hRule="atLeast"/>
          <w:jc w:val="center"/>
        </w:trPr>
        <w:tc>
          <w:tcPr>
            <w:tcW w:w="684" w:type="dxa"/>
            <w:tcBorders>
              <w:top w:val="nil"/>
              <w:left w:val="single" w:color="auto" w:sz="4" w:space="0"/>
              <w:bottom w:val="single" w:color="000000"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eastAsia="仿宋_GB2312"/>
                <w:color w:val="000000"/>
                <w:spacing w:val="-2"/>
                <w:kern w:val="0"/>
                <w:szCs w:val="21"/>
              </w:rPr>
              <w:t>4</w:t>
            </w:r>
          </w:p>
        </w:tc>
        <w:tc>
          <w:tcPr>
            <w:tcW w:w="1249" w:type="dxa"/>
            <w:tcBorders>
              <w:top w:val="single" w:color="auto" w:sz="4" w:space="0"/>
              <w:left w:val="single" w:color="auto" w:sz="4" w:space="0"/>
              <w:bottom w:val="single" w:color="000000" w:sz="4" w:space="0"/>
              <w:right w:val="single" w:color="000000"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农民工投诉</w:t>
            </w:r>
          </w:p>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处理机制</w:t>
            </w:r>
          </w:p>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15</w:t>
            </w:r>
            <w:r>
              <w:rPr>
                <w:rFonts w:hint="eastAsia" w:eastAsia="仿宋_GB2312"/>
                <w:color w:val="000000"/>
                <w:spacing w:val="-2"/>
                <w:kern w:val="0"/>
                <w:szCs w:val="21"/>
              </w:rPr>
              <w:t>分）</w:t>
            </w:r>
          </w:p>
        </w:tc>
        <w:tc>
          <w:tcPr>
            <w:tcW w:w="2603" w:type="dxa"/>
            <w:gridSpan w:val="3"/>
            <w:tcBorders>
              <w:top w:val="single" w:color="auto" w:sz="4" w:space="0"/>
              <w:left w:val="nil"/>
              <w:bottom w:val="nil"/>
              <w:right w:val="single" w:color="000000"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是否建立投诉处理机制</w:t>
            </w:r>
          </w:p>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并报总包备案</w:t>
            </w:r>
          </w:p>
        </w:tc>
        <w:tc>
          <w:tcPr>
            <w:tcW w:w="2421" w:type="dxa"/>
            <w:tcBorders>
              <w:top w:val="single" w:color="auto" w:sz="4" w:space="0"/>
              <w:left w:val="single" w:color="auto" w:sz="4" w:space="0"/>
              <w:bottom w:val="single" w:color="000000" w:sz="4" w:space="0"/>
              <w:right w:val="single" w:color="000000"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未建立扣</w:t>
            </w:r>
            <w:r>
              <w:rPr>
                <w:rFonts w:eastAsia="仿宋_GB2312"/>
                <w:color w:val="000000"/>
                <w:spacing w:val="-2"/>
                <w:kern w:val="0"/>
                <w:szCs w:val="21"/>
              </w:rPr>
              <w:t>11</w:t>
            </w:r>
            <w:r>
              <w:rPr>
                <w:rFonts w:hint="eastAsia" w:eastAsia="仿宋_GB2312"/>
                <w:color w:val="000000"/>
                <w:spacing w:val="-2"/>
                <w:kern w:val="0"/>
                <w:szCs w:val="21"/>
              </w:rPr>
              <w:t>分，不健全</w:t>
            </w:r>
            <w:r>
              <w:rPr>
                <w:rFonts w:eastAsia="仿宋_GB2312"/>
                <w:color w:val="000000"/>
                <w:spacing w:val="-2"/>
                <w:kern w:val="0"/>
                <w:szCs w:val="21"/>
              </w:rPr>
              <w:t>5</w:t>
            </w:r>
            <w:r>
              <w:rPr>
                <w:rFonts w:hint="eastAsia" w:eastAsia="仿宋_GB2312"/>
                <w:color w:val="000000"/>
                <w:spacing w:val="-2"/>
                <w:kern w:val="0"/>
                <w:szCs w:val="21"/>
              </w:rPr>
              <w:t>分</w:t>
            </w:r>
          </w:p>
        </w:tc>
        <w:tc>
          <w:tcPr>
            <w:tcW w:w="569" w:type="dxa"/>
            <w:tcBorders>
              <w:top w:val="nil"/>
              <w:left w:val="single" w:color="auto" w:sz="4" w:space="0"/>
              <w:bottom w:val="single" w:color="000000" w:sz="4" w:space="0"/>
              <w:right w:val="single" w:color="auto" w:sz="4" w:space="0"/>
            </w:tcBorders>
            <w:noWrap w:val="0"/>
            <w:vAlign w:val="center"/>
          </w:tcPr>
          <w:p>
            <w:pPr>
              <w:adjustRightInd w:val="0"/>
              <w:snapToGrid w:val="0"/>
              <w:rPr>
                <w:rFonts w:eastAsia="仿宋_GB2312"/>
                <w:i/>
                <w:color w:val="000000"/>
                <w:spacing w:val="-2"/>
                <w:kern w:val="0"/>
                <w:szCs w:val="21"/>
              </w:rPr>
            </w:pPr>
          </w:p>
        </w:tc>
        <w:tc>
          <w:tcPr>
            <w:tcW w:w="567" w:type="dxa"/>
            <w:gridSpan w:val="2"/>
            <w:tcBorders>
              <w:top w:val="nil"/>
              <w:left w:val="single" w:color="auto" w:sz="4" w:space="0"/>
              <w:bottom w:val="single" w:color="000000" w:sz="4" w:space="0"/>
              <w:right w:val="single" w:color="auto" w:sz="4" w:space="0"/>
            </w:tcBorders>
            <w:noWrap w:val="0"/>
            <w:vAlign w:val="center"/>
          </w:tcPr>
          <w:p>
            <w:pPr>
              <w:adjustRightInd w:val="0"/>
              <w:snapToGrid w:val="0"/>
              <w:rPr>
                <w:rFonts w:eastAsia="仿宋_GB2312"/>
                <w:i/>
                <w:color w:val="000000"/>
                <w:spacing w:val="-2"/>
                <w:kern w:val="0"/>
                <w:szCs w:val="21"/>
              </w:rPr>
            </w:pPr>
          </w:p>
        </w:tc>
        <w:tc>
          <w:tcPr>
            <w:tcW w:w="1418" w:type="dxa"/>
            <w:tcBorders>
              <w:top w:val="nil"/>
              <w:left w:val="single" w:color="auto" w:sz="4" w:space="0"/>
              <w:bottom w:val="single" w:color="000000" w:sz="4" w:space="0"/>
              <w:right w:val="single" w:color="auto" w:sz="4" w:space="0"/>
            </w:tcBorders>
            <w:noWrap w:val="0"/>
            <w:vAlign w:val="center"/>
          </w:tcPr>
          <w:p>
            <w:pPr>
              <w:adjustRightInd w:val="0"/>
              <w:snapToGrid w:val="0"/>
              <w:rPr>
                <w:rFonts w:eastAsia="仿宋_GB2312"/>
                <w:color w:val="000000"/>
                <w:spacing w:val="-2"/>
                <w:kern w:val="0"/>
                <w:szCs w:val="21"/>
              </w:rPr>
            </w:pPr>
          </w:p>
        </w:tc>
      </w:tr>
      <w:tr>
        <w:tblPrEx>
          <w:tblCellMar>
            <w:top w:w="0" w:type="dxa"/>
            <w:left w:w="108" w:type="dxa"/>
            <w:bottom w:w="0" w:type="dxa"/>
            <w:right w:w="108" w:type="dxa"/>
          </w:tblCellMar>
        </w:tblPrEx>
        <w:trPr>
          <w:trHeight w:val="841" w:hRule="atLeast"/>
          <w:jc w:val="center"/>
        </w:trPr>
        <w:tc>
          <w:tcPr>
            <w:tcW w:w="684" w:type="dxa"/>
            <w:tcBorders>
              <w:top w:val="nil"/>
              <w:left w:val="single" w:color="auto" w:sz="4" w:space="0"/>
              <w:bottom w:val="single" w:color="000000"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eastAsia="仿宋_GB2312"/>
                <w:color w:val="000000"/>
                <w:spacing w:val="-2"/>
                <w:kern w:val="0"/>
                <w:szCs w:val="21"/>
              </w:rPr>
              <w:t>5</w:t>
            </w:r>
          </w:p>
        </w:tc>
        <w:tc>
          <w:tcPr>
            <w:tcW w:w="1249" w:type="dxa"/>
            <w:tcBorders>
              <w:top w:val="single" w:color="auto" w:sz="4" w:space="0"/>
              <w:left w:val="single" w:color="auto" w:sz="4" w:space="0"/>
              <w:bottom w:val="single" w:color="000000" w:sz="4" w:space="0"/>
              <w:right w:val="single" w:color="000000"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农民工投诉</w:t>
            </w:r>
          </w:p>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20</w:t>
            </w:r>
            <w:r>
              <w:rPr>
                <w:rFonts w:hint="eastAsia" w:eastAsia="仿宋_GB2312"/>
                <w:color w:val="000000"/>
                <w:spacing w:val="-2"/>
                <w:kern w:val="0"/>
                <w:szCs w:val="21"/>
              </w:rPr>
              <w:t>分）</w:t>
            </w:r>
          </w:p>
        </w:tc>
        <w:tc>
          <w:tcPr>
            <w:tcW w:w="2603" w:type="dxa"/>
            <w:gridSpan w:val="3"/>
            <w:tcBorders>
              <w:top w:val="single" w:color="auto" w:sz="4" w:space="0"/>
              <w:left w:val="nil"/>
              <w:bottom w:val="nil"/>
              <w:right w:val="single" w:color="000000"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检查期间因分包项目引起的农民工工资集访（</w:t>
            </w:r>
            <w:r>
              <w:rPr>
                <w:rFonts w:eastAsia="仿宋_GB2312"/>
                <w:color w:val="000000"/>
                <w:spacing w:val="-2"/>
                <w:kern w:val="0"/>
                <w:szCs w:val="21"/>
              </w:rPr>
              <w:t>20</w:t>
            </w:r>
            <w:r>
              <w:rPr>
                <w:rFonts w:hint="eastAsia" w:eastAsia="仿宋_GB2312"/>
                <w:color w:val="000000"/>
                <w:spacing w:val="-2"/>
                <w:kern w:val="0"/>
                <w:szCs w:val="21"/>
              </w:rPr>
              <w:t>分）</w:t>
            </w:r>
          </w:p>
        </w:tc>
        <w:tc>
          <w:tcPr>
            <w:tcW w:w="2421" w:type="dxa"/>
            <w:tcBorders>
              <w:top w:val="single" w:color="auto" w:sz="4" w:space="0"/>
              <w:left w:val="single" w:color="auto" w:sz="4" w:space="0"/>
              <w:bottom w:val="single" w:color="000000" w:sz="4" w:space="0"/>
              <w:right w:val="single" w:color="000000"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产生</w:t>
            </w:r>
            <w:r>
              <w:rPr>
                <w:rFonts w:eastAsia="仿宋_GB2312"/>
                <w:color w:val="000000"/>
                <w:spacing w:val="-2"/>
                <w:kern w:val="0"/>
                <w:szCs w:val="21"/>
              </w:rPr>
              <w:t>10</w:t>
            </w:r>
            <w:r>
              <w:rPr>
                <w:rFonts w:hint="eastAsia" w:eastAsia="仿宋_GB2312"/>
                <w:color w:val="000000"/>
                <w:spacing w:val="-2"/>
                <w:kern w:val="0"/>
                <w:szCs w:val="21"/>
              </w:rPr>
              <w:t>人及以上集访扣</w:t>
            </w:r>
            <w:r>
              <w:rPr>
                <w:rFonts w:eastAsia="仿宋_GB2312"/>
                <w:color w:val="000000"/>
                <w:spacing w:val="-2"/>
                <w:kern w:val="0"/>
                <w:szCs w:val="21"/>
              </w:rPr>
              <w:t>20</w:t>
            </w:r>
            <w:r>
              <w:rPr>
                <w:rFonts w:hint="eastAsia" w:eastAsia="仿宋_GB2312"/>
                <w:color w:val="000000"/>
                <w:spacing w:val="-2"/>
                <w:kern w:val="0"/>
                <w:szCs w:val="21"/>
              </w:rPr>
              <w:t>分，</w:t>
            </w:r>
            <w:r>
              <w:rPr>
                <w:rFonts w:eastAsia="仿宋_GB2312"/>
                <w:color w:val="000000"/>
                <w:spacing w:val="-2"/>
                <w:kern w:val="0"/>
                <w:szCs w:val="21"/>
              </w:rPr>
              <w:t>5-10</w:t>
            </w:r>
            <w:r>
              <w:rPr>
                <w:rFonts w:hint="eastAsia" w:eastAsia="仿宋_GB2312"/>
                <w:color w:val="000000"/>
                <w:spacing w:val="-2"/>
                <w:kern w:val="0"/>
                <w:szCs w:val="21"/>
              </w:rPr>
              <w:t>人集访扣</w:t>
            </w:r>
            <w:r>
              <w:rPr>
                <w:rFonts w:eastAsia="仿宋_GB2312"/>
                <w:color w:val="000000"/>
                <w:spacing w:val="-2"/>
                <w:kern w:val="0"/>
                <w:szCs w:val="21"/>
              </w:rPr>
              <w:t>10</w:t>
            </w:r>
            <w:r>
              <w:rPr>
                <w:rFonts w:hint="eastAsia" w:eastAsia="仿宋_GB2312"/>
                <w:color w:val="000000"/>
                <w:spacing w:val="-2"/>
                <w:kern w:val="0"/>
                <w:szCs w:val="21"/>
              </w:rPr>
              <w:t>分</w:t>
            </w:r>
          </w:p>
        </w:tc>
        <w:tc>
          <w:tcPr>
            <w:tcW w:w="569" w:type="dxa"/>
            <w:tcBorders>
              <w:top w:val="nil"/>
              <w:left w:val="single" w:color="auto" w:sz="4" w:space="0"/>
              <w:bottom w:val="single" w:color="000000" w:sz="4" w:space="0"/>
              <w:right w:val="single" w:color="auto" w:sz="4" w:space="0"/>
            </w:tcBorders>
            <w:noWrap w:val="0"/>
            <w:vAlign w:val="center"/>
          </w:tcPr>
          <w:p>
            <w:pPr>
              <w:adjustRightInd w:val="0"/>
              <w:snapToGrid w:val="0"/>
              <w:rPr>
                <w:rFonts w:eastAsia="仿宋_GB2312"/>
                <w:i/>
                <w:color w:val="000000"/>
                <w:spacing w:val="-2"/>
                <w:kern w:val="0"/>
                <w:szCs w:val="21"/>
              </w:rPr>
            </w:pPr>
          </w:p>
        </w:tc>
        <w:tc>
          <w:tcPr>
            <w:tcW w:w="567" w:type="dxa"/>
            <w:gridSpan w:val="2"/>
            <w:tcBorders>
              <w:top w:val="nil"/>
              <w:left w:val="single" w:color="auto" w:sz="4" w:space="0"/>
              <w:bottom w:val="single" w:color="000000" w:sz="4" w:space="0"/>
              <w:right w:val="single" w:color="auto" w:sz="4" w:space="0"/>
            </w:tcBorders>
            <w:noWrap w:val="0"/>
            <w:vAlign w:val="center"/>
          </w:tcPr>
          <w:p>
            <w:pPr>
              <w:adjustRightInd w:val="0"/>
              <w:snapToGrid w:val="0"/>
              <w:rPr>
                <w:rFonts w:eastAsia="仿宋_GB2312"/>
                <w:i/>
                <w:color w:val="000000"/>
                <w:spacing w:val="-2"/>
                <w:kern w:val="0"/>
                <w:szCs w:val="21"/>
              </w:rPr>
            </w:pPr>
          </w:p>
        </w:tc>
        <w:tc>
          <w:tcPr>
            <w:tcW w:w="1418" w:type="dxa"/>
            <w:tcBorders>
              <w:top w:val="nil"/>
              <w:left w:val="single" w:color="auto" w:sz="4" w:space="0"/>
              <w:bottom w:val="single" w:color="000000" w:sz="4" w:space="0"/>
              <w:right w:val="single" w:color="auto" w:sz="4" w:space="0"/>
            </w:tcBorders>
            <w:noWrap w:val="0"/>
            <w:vAlign w:val="center"/>
          </w:tcPr>
          <w:p>
            <w:pPr>
              <w:adjustRightInd w:val="0"/>
              <w:snapToGrid w:val="0"/>
              <w:rPr>
                <w:rFonts w:eastAsia="仿宋_GB2312"/>
                <w:color w:val="000000"/>
                <w:spacing w:val="-2"/>
                <w:kern w:val="0"/>
                <w:szCs w:val="21"/>
              </w:rPr>
            </w:pPr>
          </w:p>
        </w:tc>
      </w:tr>
      <w:tr>
        <w:tblPrEx>
          <w:tblCellMar>
            <w:top w:w="0" w:type="dxa"/>
            <w:left w:w="108" w:type="dxa"/>
            <w:bottom w:w="0" w:type="dxa"/>
            <w:right w:w="108" w:type="dxa"/>
          </w:tblCellMar>
        </w:tblPrEx>
        <w:trPr>
          <w:trHeight w:val="1052" w:hRule="atLeast"/>
          <w:jc w:val="center"/>
        </w:trPr>
        <w:tc>
          <w:tcPr>
            <w:tcW w:w="684" w:type="dxa"/>
            <w:vMerge w:val="restart"/>
            <w:tcBorders>
              <w:top w:val="nil"/>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eastAsia="仿宋_GB2312"/>
                <w:color w:val="000000"/>
                <w:spacing w:val="-2"/>
                <w:kern w:val="0"/>
                <w:szCs w:val="21"/>
              </w:rPr>
              <w:t>6</w:t>
            </w:r>
          </w:p>
        </w:tc>
        <w:tc>
          <w:tcPr>
            <w:tcW w:w="1249" w:type="dxa"/>
            <w:vMerge w:val="restart"/>
            <w:tcBorders>
              <w:top w:val="single" w:color="auto" w:sz="4" w:space="0"/>
              <w:left w:val="single" w:color="auto" w:sz="4" w:space="0"/>
              <w:bottom w:val="single" w:color="auto" w:sz="4" w:space="0"/>
              <w:right w:val="single" w:color="000000"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项目负责人</w:t>
            </w:r>
          </w:p>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20</w:t>
            </w:r>
            <w:r>
              <w:rPr>
                <w:rFonts w:hint="eastAsia" w:eastAsia="仿宋_GB2312"/>
                <w:color w:val="000000"/>
                <w:spacing w:val="-2"/>
                <w:kern w:val="0"/>
                <w:szCs w:val="21"/>
              </w:rPr>
              <w:t>分）</w:t>
            </w:r>
          </w:p>
        </w:tc>
        <w:tc>
          <w:tcPr>
            <w:tcW w:w="2603" w:type="dxa"/>
            <w:gridSpan w:val="3"/>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分包项目负责人专业、等级是否与承接内容相适应（</w:t>
            </w:r>
            <w:r>
              <w:rPr>
                <w:rFonts w:eastAsia="仿宋_GB2312"/>
                <w:color w:val="000000"/>
                <w:spacing w:val="-2"/>
                <w:kern w:val="0"/>
                <w:szCs w:val="21"/>
              </w:rPr>
              <w:t>10</w:t>
            </w:r>
            <w:r>
              <w:rPr>
                <w:rFonts w:hint="eastAsia" w:eastAsia="仿宋_GB2312"/>
                <w:color w:val="000000"/>
                <w:spacing w:val="-2"/>
                <w:kern w:val="0"/>
                <w:szCs w:val="21"/>
              </w:rPr>
              <w:t>分）</w:t>
            </w:r>
          </w:p>
        </w:tc>
        <w:tc>
          <w:tcPr>
            <w:tcW w:w="2421" w:type="dxa"/>
            <w:tcBorders>
              <w:top w:val="single" w:color="auto" w:sz="4" w:space="0"/>
              <w:left w:val="single" w:color="auto" w:sz="4" w:space="0"/>
              <w:bottom w:val="single" w:color="000000" w:sz="4" w:space="0"/>
              <w:right w:val="single" w:color="000000"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专业、等级不适应。扣</w:t>
            </w:r>
            <w:r>
              <w:rPr>
                <w:rFonts w:eastAsia="仿宋_GB2312"/>
                <w:color w:val="000000"/>
                <w:spacing w:val="-2"/>
                <w:kern w:val="0"/>
                <w:szCs w:val="21"/>
              </w:rPr>
              <w:t>10</w:t>
            </w:r>
            <w:r>
              <w:rPr>
                <w:rFonts w:hint="eastAsia" w:eastAsia="仿宋_GB2312"/>
                <w:color w:val="000000"/>
                <w:spacing w:val="-2"/>
                <w:kern w:val="0"/>
                <w:szCs w:val="21"/>
              </w:rPr>
              <w:t>分，</w:t>
            </w:r>
            <w:r>
              <w:rPr>
                <w:rFonts w:eastAsia="仿宋_GB2312"/>
                <w:color w:val="000000"/>
                <w:spacing w:val="-2"/>
                <w:kern w:val="0"/>
                <w:szCs w:val="21"/>
              </w:rPr>
              <w:t xml:space="preserve"> </w:t>
            </w:r>
          </w:p>
        </w:tc>
        <w:tc>
          <w:tcPr>
            <w:tcW w:w="569" w:type="dxa"/>
            <w:tcBorders>
              <w:top w:val="nil"/>
              <w:left w:val="nil"/>
              <w:bottom w:val="single" w:color="auto" w:sz="4" w:space="0"/>
              <w:right w:val="single" w:color="auto" w:sz="4" w:space="0"/>
            </w:tcBorders>
            <w:noWrap w:val="0"/>
            <w:vAlign w:val="top"/>
          </w:tcPr>
          <w:p>
            <w:pPr>
              <w:adjustRightInd w:val="0"/>
              <w:snapToGrid w:val="0"/>
              <w:rPr>
                <w:rFonts w:eastAsia="仿宋_GB2312"/>
                <w:i/>
                <w:color w:val="000000"/>
                <w:spacing w:val="-2"/>
                <w:kern w:val="0"/>
                <w:szCs w:val="21"/>
              </w:rPr>
            </w:pPr>
            <w:r>
              <w:rPr>
                <w:rFonts w:hint="eastAsia" w:eastAsia="仿宋_GB2312"/>
                <w:i/>
                <w:color w:val="000000"/>
                <w:spacing w:val="-2"/>
                <w:kern w:val="0"/>
                <w:szCs w:val="21"/>
              </w:rPr>
              <w:t>　</w:t>
            </w:r>
          </w:p>
        </w:tc>
        <w:tc>
          <w:tcPr>
            <w:tcW w:w="567" w:type="dxa"/>
            <w:gridSpan w:val="2"/>
            <w:tcBorders>
              <w:top w:val="nil"/>
              <w:left w:val="nil"/>
              <w:bottom w:val="single" w:color="auto" w:sz="4" w:space="0"/>
              <w:right w:val="single" w:color="auto" w:sz="4" w:space="0"/>
            </w:tcBorders>
            <w:noWrap w:val="0"/>
            <w:vAlign w:val="top"/>
          </w:tcPr>
          <w:p>
            <w:pPr>
              <w:adjustRightInd w:val="0"/>
              <w:snapToGrid w:val="0"/>
              <w:rPr>
                <w:rFonts w:eastAsia="仿宋_GB2312"/>
                <w:i/>
                <w:color w:val="000000"/>
                <w:spacing w:val="-2"/>
                <w:kern w:val="0"/>
                <w:szCs w:val="21"/>
              </w:rPr>
            </w:pPr>
            <w:r>
              <w:rPr>
                <w:rFonts w:hint="eastAsia" w:eastAsia="仿宋_GB2312"/>
                <w:i/>
                <w:color w:val="000000"/>
                <w:spacing w:val="-2"/>
                <w:kern w:val="0"/>
                <w:szCs w:val="21"/>
              </w:rPr>
              <w:t>　</w:t>
            </w:r>
          </w:p>
        </w:tc>
        <w:tc>
          <w:tcPr>
            <w:tcW w:w="1418" w:type="dxa"/>
            <w:tcBorders>
              <w:top w:val="nil"/>
              <w:left w:val="nil"/>
              <w:bottom w:val="single" w:color="auto" w:sz="4"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　</w:t>
            </w:r>
          </w:p>
        </w:tc>
      </w:tr>
      <w:tr>
        <w:tblPrEx>
          <w:tblCellMar>
            <w:top w:w="0" w:type="dxa"/>
            <w:left w:w="108" w:type="dxa"/>
            <w:bottom w:w="0" w:type="dxa"/>
            <w:right w:w="108" w:type="dxa"/>
          </w:tblCellMar>
        </w:tblPrEx>
        <w:trPr>
          <w:trHeight w:val="705" w:hRule="atLeast"/>
          <w:jc w:val="center"/>
        </w:trPr>
        <w:tc>
          <w:tcPr>
            <w:tcW w:w="684"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249" w:type="dxa"/>
            <w:vMerge w:val="continue"/>
            <w:tcBorders>
              <w:top w:val="single" w:color="auto" w:sz="4" w:space="0"/>
              <w:left w:val="single" w:color="auto" w:sz="4" w:space="0"/>
              <w:bottom w:val="single" w:color="auto" w:sz="4" w:space="0"/>
              <w:right w:val="single" w:color="000000" w:sz="4" w:space="0"/>
            </w:tcBorders>
            <w:noWrap w:val="0"/>
            <w:vAlign w:val="center"/>
          </w:tcPr>
          <w:p>
            <w:pPr>
              <w:widowControl/>
              <w:jc w:val="left"/>
              <w:rPr>
                <w:rFonts w:eastAsia="仿宋_GB2312"/>
                <w:color w:val="000000"/>
                <w:spacing w:val="-2"/>
                <w:kern w:val="0"/>
                <w:szCs w:val="21"/>
              </w:rPr>
            </w:pPr>
          </w:p>
        </w:tc>
        <w:tc>
          <w:tcPr>
            <w:tcW w:w="2603" w:type="dxa"/>
            <w:gridSpan w:val="3"/>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是否在岗</w:t>
            </w:r>
          </w:p>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10</w:t>
            </w:r>
            <w:r>
              <w:rPr>
                <w:rFonts w:hint="eastAsia" w:eastAsia="仿宋_GB2312"/>
                <w:color w:val="000000"/>
                <w:spacing w:val="-2"/>
                <w:kern w:val="0"/>
                <w:szCs w:val="21"/>
              </w:rPr>
              <w:t>分）</w:t>
            </w:r>
          </w:p>
        </w:tc>
        <w:tc>
          <w:tcPr>
            <w:tcW w:w="2421" w:type="dxa"/>
            <w:tcBorders>
              <w:top w:val="single" w:color="auto" w:sz="4" w:space="0"/>
              <w:left w:val="single" w:color="auto" w:sz="4" w:space="0"/>
              <w:bottom w:val="single" w:color="000000" w:sz="4" w:space="0"/>
              <w:right w:val="single" w:color="000000"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不在岗扣</w:t>
            </w:r>
            <w:r>
              <w:rPr>
                <w:rFonts w:eastAsia="仿宋_GB2312"/>
                <w:color w:val="000000"/>
                <w:spacing w:val="-2"/>
                <w:kern w:val="0"/>
                <w:szCs w:val="21"/>
              </w:rPr>
              <w:t>10</w:t>
            </w:r>
            <w:r>
              <w:rPr>
                <w:rFonts w:hint="eastAsia" w:eastAsia="仿宋_GB2312"/>
                <w:color w:val="000000"/>
                <w:spacing w:val="-2"/>
                <w:kern w:val="0"/>
                <w:szCs w:val="21"/>
              </w:rPr>
              <w:t>分，考勤记录不全扣</w:t>
            </w:r>
            <w:r>
              <w:rPr>
                <w:rFonts w:eastAsia="仿宋_GB2312"/>
                <w:color w:val="000000"/>
                <w:spacing w:val="-2"/>
                <w:kern w:val="0"/>
                <w:szCs w:val="21"/>
              </w:rPr>
              <w:t>5</w:t>
            </w:r>
            <w:r>
              <w:rPr>
                <w:rFonts w:hint="eastAsia" w:eastAsia="仿宋_GB2312"/>
                <w:color w:val="000000"/>
                <w:spacing w:val="-2"/>
                <w:kern w:val="0"/>
                <w:szCs w:val="21"/>
              </w:rPr>
              <w:t>分</w:t>
            </w:r>
          </w:p>
        </w:tc>
        <w:tc>
          <w:tcPr>
            <w:tcW w:w="569" w:type="dxa"/>
            <w:tcBorders>
              <w:top w:val="nil"/>
              <w:left w:val="nil"/>
              <w:bottom w:val="single" w:color="auto" w:sz="4" w:space="0"/>
              <w:right w:val="single" w:color="auto" w:sz="4" w:space="0"/>
            </w:tcBorders>
            <w:noWrap w:val="0"/>
            <w:vAlign w:val="top"/>
          </w:tcPr>
          <w:p>
            <w:pPr>
              <w:adjustRightInd w:val="0"/>
              <w:snapToGrid w:val="0"/>
              <w:rPr>
                <w:rFonts w:eastAsia="仿宋_GB2312"/>
                <w:i/>
                <w:color w:val="000000"/>
                <w:spacing w:val="-2"/>
                <w:kern w:val="0"/>
                <w:szCs w:val="21"/>
              </w:rPr>
            </w:pPr>
            <w:r>
              <w:rPr>
                <w:rFonts w:hint="eastAsia" w:eastAsia="仿宋_GB2312"/>
                <w:i/>
                <w:color w:val="000000"/>
                <w:spacing w:val="-2"/>
                <w:kern w:val="0"/>
                <w:szCs w:val="21"/>
              </w:rPr>
              <w:t>　</w:t>
            </w:r>
          </w:p>
        </w:tc>
        <w:tc>
          <w:tcPr>
            <w:tcW w:w="567" w:type="dxa"/>
            <w:gridSpan w:val="2"/>
            <w:tcBorders>
              <w:top w:val="nil"/>
              <w:left w:val="nil"/>
              <w:bottom w:val="single" w:color="auto" w:sz="4" w:space="0"/>
              <w:right w:val="single" w:color="auto" w:sz="4" w:space="0"/>
            </w:tcBorders>
            <w:noWrap w:val="0"/>
            <w:vAlign w:val="top"/>
          </w:tcPr>
          <w:p>
            <w:pPr>
              <w:adjustRightInd w:val="0"/>
              <w:snapToGrid w:val="0"/>
              <w:rPr>
                <w:rFonts w:eastAsia="仿宋_GB2312"/>
                <w:i/>
                <w:color w:val="000000"/>
                <w:spacing w:val="-2"/>
                <w:kern w:val="0"/>
                <w:szCs w:val="21"/>
              </w:rPr>
            </w:pPr>
            <w:r>
              <w:rPr>
                <w:rFonts w:hint="eastAsia" w:eastAsia="仿宋_GB2312"/>
                <w:i/>
                <w:color w:val="000000"/>
                <w:spacing w:val="-2"/>
                <w:kern w:val="0"/>
                <w:szCs w:val="21"/>
              </w:rPr>
              <w:t>　</w:t>
            </w:r>
          </w:p>
        </w:tc>
        <w:tc>
          <w:tcPr>
            <w:tcW w:w="1418" w:type="dxa"/>
            <w:tcBorders>
              <w:top w:val="nil"/>
              <w:left w:val="nil"/>
              <w:bottom w:val="single" w:color="auto" w:sz="4"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　</w:t>
            </w:r>
          </w:p>
        </w:tc>
      </w:tr>
      <w:tr>
        <w:tblPrEx>
          <w:tblCellMar>
            <w:top w:w="0" w:type="dxa"/>
            <w:left w:w="108" w:type="dxa"/>
            <w:bottom w:w="0" w:type="dxa"/>
            <w:right w:w="108" w:type="dxa"/>
          </w:tblCellMar>
        </w:tblPrEx>
        <w:trPr>
          <w:trHeight w:val="1452" w:hRule="atLeast"/>
          <w:jc w:val="center"/>
        </w:trPr>
        <w:tc>
          <w:tcPr>
            <w:tcW w:w="68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eastAsia="仿宋_GB2312"/>
                <w:color w:val="000000"/>
                <w:spacing w:val="-2"/>
                <w:kern w:val="0"/>
                <w:szCs w:val="21"/>
              </w:rPr>
              <w:t>7</w:t>
            </w:r>
          </w:p>
        </w:tc>
        <w:tc>
          <w:tcPr>
            <w:tcW w:w="1249" w:type="dxa"/>
            <w:tcBorders>
              <w:top w:val="single" w:color="auto" w:sz="4" w:space="0"/>
              <w:left w:val="single" w:color="auto" w:sz="4" w:space="0"/>
              <w:bottom w:val="single" w:color="auto" w:sz="4" w:space="0"/>
              <w:right w:val="single" w:color="000000"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农民工管理（</w:t>
            </w:r>
            <w:r>
              <w:rPr>
                <w:rFonts w:eastAsia="仿宋_GB2312"/>
                <w:color w:val="000000"/>
                <w:spacing w:val="-2"/>
                <w:kern w:val="0"/>
                <w:szCs w:val="21"/>
              </w:rPr>
              <w:t>20</w:t>
            </w:r>
            <w:r>
              <w:rPr>
                <w:rFonts w:hint="eastAsia" w:eastAsia="仿宋_GB2312"/>
                <w:color w:val="000000"/>
                <w:spacing w:val="-2"/>
                <w:kern w:val="0"/>
                <w:szCs w:val="21"/>
              </w:rPr>
              <w:t>分）</w:t>
            </w:r>
          </w:p>
        </w:tc>
        <w:tc>
          <w:tcPr>
            <w:tcW w:w="2603" w:type="dxa"/>
            <w:gridSpan w:val="3"/>
            <w:tcBorders>
              <w:top w:val="single" w:color="auto" w:sz="4" w:space="0"/>
              <w:left w:val="nil"/>
              <w:bottom w:val="nil"/>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是否按规定将农民工考勤表、工资支付表、农民工花名册等进行存档（</w:t>
            </w:r>
            <w:r>
              <w:rPr>
                <w:rFonts w:eastAsia="仿宋_GB2312"/>
                <w:color w:val="000000"/>
                <w:spacing w:val="-2"/>
                <w:kern w:val="0"/>
                <w:szCs w:val="21"/>
              </w:rPr>
              <w:t>20</w:t>
            </w:r>
            <w:r>
              <w:rPr>
                <w:rFonts w:hint="eastAsia" w:eastAsia="仿宋_GB2312"/>
                <w:color w:val="000000"/>
                <w:spacing w:val="-2"/>
                <w:kern w:val="0"/>
                <w:szCs w:val="21"/>
              </w:rPr>
              <w:t>分）</w:t>
            </w:r>
          </w:p>
        </w:tc>
        <w:tc>
          <w:tcPr>
            <w:tcW w:w="2421" w:type="dxa"/>
            <w:tcBorders>
              <w:top w:val="single" w:color="auto" w:sz="4" w:space="0"/>
              <w:left w:val="nil"/>
              <w:bottom w:val="nil"/>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未存档或存档虚假扣</w:t>
            </w:r>
            <w:r>
              <w:rPr>
                <w:rFonts w:eastAsia="仿宋_GB2312"/>
                <w:color w:val="000000"/>
                <w:spacing w:val="-2"/>
                <w:kern w:val="0"/>
                <w:szCs w:val="21"/>
              </w:rPr>
              <w:t>20</w:t>
            </w:r>
            <w:r>
              <w:rPr>
                <w:rFonts w:hint="eastAsia" w:eastAsia="仿宋_GB2312"/>
                <w:color w:val="000000"/>
                <w:spacing w:val="-2"/>
                <w:kern w:val="0"/>
                <w:szCs w:val="21"/>
              </w:rPr>
              <w:t>分，存档不全扣</w:t>
            </w:r>
            <w:r>
              <w:rPr>
                <w:rFonts w:eastAsia="仿宋_GB2312"/>
                <w:color w:val="000000"/>
                <w:spacing w:val="-2"/>
                <w:kern w:val="0"/>
                <w:szCs w:val="21"/>
              </w:rPr>
              <w:t>10</w:t>
            </w:r>
            <w:r>
              <w:rPr>
                <w:rFonts w:hint="eastAsia" w:eastAsia="仿宋_GB2312"/>
                <w:color w:val="000000"/>
                <w:spacing w:val="-2"/>
                <w:kern w:val="0"/>
                <w:szCs w:val="21"/>
              </w:rPr>
              <w:t>分。</w:t>
            </w:r>
          </w:p>
        </w:tc>
        <w:tc>
          <w:tcPr>
            <w:tcW w:w="569" w:type="dxa"/>
            <w:tcBorders>
              <w:top w:val="single" w:color="auto" w:sz="4" w:space="0"/>
              <w:left w:val="nil"/>
              <w:bottom w:val="single" w:color="auto" w:sz="4" w:space="0"/>
              <w:right w:val="single" w:color="auto" w:sz="4" w:space="0"/>
            </w:tcBorders>
            <w:noWrap w:val="0"/>
            <w:vAlign w:val="center"/>
          </w:tcPr>
          <w:p>
            <w:pPr>
              <w:adjustRightInd w:val="0"/>
              <w:snapToGrid w:val="0"/>
              <w:rPr>
                <w:rFonts w:eastAsia="仿宋_GB2312"/>
                <w:i/>
                <w:color w:val="000000"/>
                <w:spacing w:val="-2"/>
                <w:kern w:val="0"/>
                <w:szCs w:val="21"/>
              </w:rPr>
            </w:pPr>
            <w:r>
              <w:rPr>
                <w:rFonts w:hint="eastAsia" w:eastAsia="仿宋_GB2312"/>
                <w:i/>
                <w:color w:val="000000"/>
                <w:spacing w:val="-2"/>
                <w:kern w:val="0"/>
                <w:szCs w:val="21"/>
              </w:rPr>
              <w:t>　</w:t>
            </w:r>
          </w:p>
        </w:tc>
        <w:tc>
          <w:tcPr>
            <w:tcW w:w="567" w:type="dxa"/>
            <w:gridSpan w:val="2"/>
            <w:tcBorders>
              <w:top w:val="single" w:color="auto" w:sz="4" w:space="0"/>
              <w:left w:val="nil"/>
              <w:bottom w:val="single" w:color="auto" w:sz="4" w:space="0"/>
              <w:right w:val="single" w:color="auto" w:sz="4" w:space="0"/>
            </w:tcBorders>
            <w:noWrap w:val="0"/>
            <w:vAlign w:val="center"/>
          </w:tcPr>
          <w:p>
            <w:pPr>
              <w:adjustRightInd w:val="0"/>
              <w:snapToGrid w:val="0"/>
              <w:rPr>
                <w:rFonts w:eastAsia="仿宋_GB2312"/>
                <w:i/>
                <w:color w:val="000000"/>
                <w:spacing w:val="-2"/>
                <w:kern w:val="0"/>
                <w:szCs w:val="21"/>
              </w:rPr>
            </w:pPr>
          </w:p>
        </w:tc>
        <w:tc>
          <w:tcPr>
            <w:tcW w:w="1418" w:type="dxa"/>
            <w:tcBorders>
              <w:top w:val="single" w:color="auto" w:sz="4" w:space="0"/>
              <w:left w:val="nil"/>
              <w:bottom w:val="single" w:color="auto" w:sz="4"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　</w:t>
            </w:r>
          </w:p>
        </w:tc>
      </w:tr>
      <w:tr>
        <w:tblPrEx>
          <w:tblCellMar>
            <w:top w:w="0" w:type="dxa"/>
            <w:left w:w="108" w:type="dxa"/>
            <w:bottom w:w="0" w:type="dxa"/>
            <w:right w:w="108" w:type="dxa"/>
          </w:tblCellMar>
        </w:tblPrEx>
        <w:trPr>
          <w:trHeight w:val="751" w:hRule="atLeast"/>
          <w:jc w:val="center"/>
        </w:trPr>
        <w:tc>
          <w:tcPr>
            <w:tcW w:w="1933" w:type="dxa"/>
            <w:gridSpan w:val="2"/>
            <w:tcBorders>
              <w:top w:val="nil"/>
              <w:left w:val="single" w:color="auto" w:sz="4" w:space="0"/>
              <w:bottom w:val="single" w:color="auto" w:sz="4" w:space="0"/>
              <w:right w:val="single" w:color="000000"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检查人签字：　</w:t>
            </w:r>
          </w:p>
        </w:tc>
        <w:tc>
          <w:tcPr>
            <w:tcW w:w="2603" w:type="dxa"/>
            <w:gridSpan w:val="3"/>
            <w:tcBorders>
              <w:top w:val="single" w:color="auto" w:sz="4" w:space="0"/>
              <w:left w:val="nil"/>
              <w:bottom w:val="single" w:color="auto" w:sz="4" w:space="0"/>
              <w:right w:val="single" w:color="000000"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被检查单位签字：　</w:t>
            </w:r>
          </w:p>
        </w:tc>
        <w:tc>
          <w:tcPr>
            <w:tcW w:w="2421" w:type="dxa"/>
            <w:tcBorders>
              <w:top w:val="single" w:color="auto" w:sz="4" w:space="0"/>
              <w:left w:val="nil"/>
              <w:bottom w:val="single" w:color="auto" w:sz="4" w:space="0"/>
              <w:right w:val="nil"/>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得分扣分情况</w:t>
            </w:r>
          </w:p>
        </w:tc>
        <w:tc>
          <w:tcPr>
            <w:tcW w:w="56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rPr>
                <w:rFonts w:eastAsia="仿宋_GB2312"/>
                <w:color w:val="000000"/>
                <w:spacing w:val="-2"/>
                <w:kern w:val="0"/>
                <w:szCs w:val="21"/>
              </w:rPr>
            </w:pPr>
          </w:p>
        </w:tc>
        <w:tc>
          <w:tcPr>
            <w:tcW w:w="567" w:type="dxa"/>
            <w:gridSpan w:val="2"/>
            <w:tcBorders>
              <w:top w:val="single" w:color="auto" w:sz="4" w:space="0"/>
              <w:left w:val="nil"/>
              <w:bottom w:val="single" w:color="auto" w:sz="4" w:space="0"/>
              <w:right w:val="single" w:color="auto" w:sz="4" w:space="0"/>
            </w:tcBorders>
            <w:noWrap w:val="0"/>
            <w:vAlign w:val="center"/>
          </w:tcPr>
          <w:p>
            <w:pPr>
              <w:adjustRightInd w:val="0"/>
              <w:snapToGrid w:val="0"/>
              <w:rPr>
                <w:rFonts w:eastAsia="仿宋_GB2312"/>
                <w:color w:val="000000"/>
                <w:spacing w:val="-2"/>
                <w:kern w:val="0"/>
                <w:szCs w:val="21"/>
              </w:rPr>
            </w:pPr>
          </w:p>
        </w:tc>
        <w:tc>
          <w:tcPr>
            <w:tcW w:w="1418" w:type="dxa"/>
            <w:tcBorders>
              <w:top w:val="single" w:color="auto" w:sz="4" w:space="0"/>
              <w:left w:val="nil"/>
              <w:bottom w:val="single" w:color="auto" w:sz="4" w:space="0"/>
              <w:right w:val="single" w:color="auto" w:sz="4" w:space="0"/>
            </w:tcBorders>
            <w:noWrap w:val="0"/>
            <w:vAlign w:val="center"/>
          </w:tcPr>
          <w:p>
            <w:pPr>
              <w:adjustRightInd w:val="0"/>
              <w:snapToGrid w:val="0"/>
              <w:rPr>
                <w:rFonts w:eastAsia="仿宋_GB2312"/>
                <w:color w:val="000000"/>
                <w:spacing w:val="-2"/>
                <w:kern w:val="0"/>
                <w:szCs w:val="21"/>
              </w:rPr>
            </w:pPr>
          </w:p>
        </w:tc>
      </w:tr>
    </w:tbl>
    <w:p>
      <w:pPr>
        <w:adjustRightInd w:val="0"/>
        <w:snapToGrid w:val="0"/>
        <w:spacing w:line="570" w:lineRule="exact"/>
        <w:rPr>
          <w:rFonts w:hint="eastAsia"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注：专业分包企业第7项不考核，劳务企业第6项不考核</w:t>
      </w:r>
    </w:p>
    <w:p>
      <w:pPr>
        <w:widowControl/>
        <w:spacing w:beforeAutospacing="1" w:afterAutospacing="1"/>
        <w:jc w:val="left"/>
        <w:rPr>
          <w:rFonts w:ascii="Times New Roman" w:hAnsi="Times New Roman" w:eastAsia="仿宋_GB2312"/>
          <w:color w:val="000000"/>
          <w:spacing w:val="-2"/>
          <w:kern w:val="0"/>
          <w:szCs w:val="21"/>
        </w:rPr>
        <w:sectPr>
          <w:pgSz w:w="11906" w:h="16838"/>
          <w:pgMar w:top="1701" w:right="1588" w:bottom="1701" w:left="1588" w:header="851" w:footer="1361" w:gutter="0"/>
          <w:cols w:space="720" w:num="1"/>
        </w:sectPr>
      </w:pPr>
    </w:p>
    <w:p>
      <w:pPr>
        <w:pStyle w:val="7"/>
        <w:adjustRightInd w:val="0"/>
        <w:snapToGrid w:val="0"/>
        <w:spacing w:line="570" w:lineRule="exact"/>
        <w:jc w:val="center"/>
        <w:rPr>
          <w:rFonts w:hint="eastAsia" w:ascii="Times New Roman" w:hAnsi="Times New Roman" w:eastAsia="方正黑体_GBK"/>
          <w:bCs/>
          <w:color w:val="000000"/>
          <w:spacing w:val="-2"/>
          <w:sz w:val="28"/>
          <w:szCs w:val="28"/>
        </w:rPr>
      </w:pPr>
      <w:r>
        <w:rPr>
          <w:rFonts w:hint="eastAsia" w:ascii="Times New Roman" w:hAnsi="Times New Roman" w:eastAsia="方正黑体_GBK"/>
          <w:bCs/>
          <w:color w:val="000000"/>
          <w:spacing w:val="-2"/>
          <w:sz w:val="28"/>
          <w:szCs w:val="28"/>
        </w:rPr>
        <w:t>建筑市场综合考核用表之四（工程质量一）</w:t>
      </w:r>
    </w:p>
    <w:p>
      <w:pPr>
        <w:adjustRightInd w:val="0"/>
        <w:snapToGrid w:val="0"/>
        <w:spacing w:line="570" w:lineRule="exact"/>
        <w:ind w:firstLine="236" w:firstLineChars="100"/>
        <w:rPr>
          <w:rFonts w:hint="eastAsia" w:eastAsia="仿宋_GB2312"/>
          <w:bCs/>
          <w:color w:val="000000"/>
          <w:spacing w:val="-2"/>
          <w:kern w:val="0"/>
          <w:sz w:val="24"/>
        </w:rPr>
      </w:pPr>
      <w:r>
        <w:rPr>
          <w:rFonts w:hint="eastAsia" w:eastAsia="仿宋_GB2312"/>
          <w:bCs/>
          <w:color w:val="000000"/>
          <w:spacing w:val="-2"/>
          <w:kern w:val="0"/>
          <w:sz w:val="24"/>
        </w:rPr>
        <w:t>项目编号：</w:t>
      </w:r>
      <w:r>
        <w:rPr>
          <w:rFonts w:eastAsia="仿宋_GB2312"/>
          <w:bCs/>
          <w:color w:val="000000"/>
          <w:spacing w:val="-2"/>
          <w:kern w:val="0"/>
          <w:sz w:val="24"/>
        </w:rPr>
        <w:t xml:space="preserve">                                     </w:t>
      </w:r>
      <w:r>
        <w:rPr>
          <w:rFonts w:hint="eastAsia" w:eastAsia="仿宋_GB2312"/>
          <w:bCs/>
          <w:color w:val="000000"/>
          <w:spacing w:val="-2"/>
          <w:kern w:val="0"/>
          <w:sz w:val="24"/>
        </w:rPr>
        <w:t>检查日期：</w:t>
      </w:r>
      <w:r>
        <w:rPr>
          <w:rFonts w:eastAsia="仿宋_GB2312"/>
          <w:bCs/>
          <w:color w:val="000000"/>
          <w:spacing w:val="-2"/>
          <w:kern w:val="0"/>
          <w:sz w:val="24"/>
        </w:rPr>
        <w:t xml:space="preserve">                                                             </w:t>
      </w:r>
    </w:p>
    <w:tbl>
      <w:tblPr>
        <w:tblStyle w:val="12"/>
        <w:tblW w:w="0" w:type="auto"/>
        <w:jc w:val="center"/>
        <w:tblLayout w:type="fixed"/>
        <w:tblCellMar>
          <w:top w:w="0" w:type="dxa"/>
          <w:left w:w="108" w:type="dxa"/>
          <w:bottom w:w="0" w:type="dxa"/>
          <w:right w:w="108" w:type="dxa"/>
        </w:tblCellMar>
      </w:tblPr>
      <w:tblGrid>
        <w:gridCol w:w="463"/>
        <w:gridCol w:w="1096"/>
        <w:gridCol w:w="1086"/>
        <w:gridCol w:w="698"/>
        <w:gridCol w:w="3060"/>
        <w:gridCol w:w="720"/>
        <w:gridCol w:w="720"/>
        <w:gridCol w:w="1227"/>
      </w:tblGrid>
      <w:tr>
        <w:tblPrEx>
          <w:tblCellMar>
            <w:top w:w="0" w:type="dxa"/>
            <w:left w:w="108" w:type="dxa"/>
            <w:bottom w:w="0" w:type="dxa"/>
            <w:right w:w="108" w:type="dxa"/>
          </w:tblCellMar>
        </w:tblPrEx>
        <w:trPr>
          <w:trHeight w:val="539" w:hRule="atLeast"/>
          <w:jc w:val="center"/>
        </w:trPr>
        <w:tc>
          <w:tcPr>
            <w:tcW w:w="9070" w:type="dxa"/>
            <w:gridSpan w:val="8"/>
            <w:tcBorders>
              <w:top w:val="single" w:color="auto" w:sz="4" w:space="0"/>
              <w:left w:val="single" w:color="auto" w:sz="4" w:space="0"/>
              <w:bottom w:val="single" w:color="auto" w:sz="4" w:space="0"/>
              <w:right w:val="single" w:color="000000" w:sz="4" w:space="0"/>
            </w:tcBorders>
            <w:noWrap w:val="0"/>
            <w:vAlign w:val="center"/>
          </w:tcPr>
          <w:p>
            <w:pPr>
              <w:adjustRightInd w:val="0"/>
              <w:snapToGrid w:val="0"/>
              <w:rPr>
                <w:rFonts w:eastAsia="仿宋_GB2312"/>
                <w:b/>
                <w:bCs/>
                <w:color w:val="000000"/>
                <w:spacing w:val="-2"/>
                <w:kern w:val="0"/>
                <w:szCs w:val="21"/>
              </w:rPr>
            </w:pPr>
            <w:r>
              <w:rPr>
                <w:rFonts w:hint="eastAsia" w:eastAsia="仿宋_GB2312"/>
                <w:b/>
                <w:bCs/>
                <w:color w:val="000000"/>
                <w:spacing w:val="-2"/>
                <w:kern w:val="0"/>
                <w:szCs w:val="21"/>
              </w:rPr>
              <w:t>建设单位</w:t>
            </w:r>
            <w:r>
              <w:rPr>
                <w:rFonts w:eastAsia="仿宋_GB2312"/>
                <w:b/>
                <w:bCs/>
                <w:color w:val="000000"/>
                <w:spacing w:val="-2"/>
                <w:kern w:val="0"/>
                <w:szCs w:val="21"/>
              </w:rPr>
              <w:t xml:space="preserve"> </w:t>
            </w:r>
            <w:r>
              <w:rPr>
                <w:rFonts w:hint="eastAsia" w:eastAsia="仿宋_GB2312"/>
                <w:b/>
                <w:bCs/>
                <w:color w:val="000000"/>
                <w:spacing w:val="-2"/>
                <w:kern w:val="0"/>
                <w:szCs w:val="21"/>
              </w:rPr>
              <w:t>（</w:t>
            </w:r>
            <w:r>
              <w:rPr>
                <w:rFonts w:eastAsia="仿宋_GB2312"/>
                <w:b/>
                <w:bCs/>
                <w:color w:val="000000"/>
                <w:spacing w:val="-2"/>
                <w:kern w:val="0"/>
                <w:szCs w:val="21"/>
              </w:rPr>
              <w:t>100</w:t>
            </w:r>
            <w:r>
              <w:rPr>
                <w:rFonts w:hint="eastAsia" w:eastAsia="仿宋_GB2312"/>
                <w:b/>
                <w:bCs/>
                <w:color w:val="000000"/>
                <w:spacing w:val="-2"/>
                <w:kern w:val="0"/>
                <w:szCs w:val="21"/>
              </w:rPr>
              <w:t>分）</w:t>
            </w:r>
          </w:p>
        </w:tc>
      </w:tr>
      <w:tr>
        <w:tblPrEx>
          <w:tblCellMar>
            <w:top w:w="0" w:type="dxa"/>
            <w:left w:w="108" w:type="dxa"/>
            <w:bottom w:w="0" w:type="dxa"/>
            <w:right w:w="108" w:type="dxa"/>
          </w:tblCellMar>
        </w:tblPrEx>
        <w:trPr>
          <w:trHeight w:val="600" w:hRule="atLeast"/>
          <w:jc w:val="center"/>
        </w:trPr>
        <w:tc>
          <w:tcPr>
            <w:tcW w:w="46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序号</w:t>
            </w:r>
          </w:p>
        </w:tc>
        <w:tc>
          <w:tcPr>
            <w:tcW w:w="1096"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检查项目</w:t>
            </w:r>
          </w:p>
        </w:tc>
        <w:tc>
          <w:tcPr>
            <w:tcW w:w="1784"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检查内容</w:t>
            </w:r>
          </w:p>
        </w:tc>
        <w:tc>
          <w:tcPr>
            <w:tcW w:w="3060"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扣分标准</w:t>
            </w:r>
          </w:p>
        </w:tc>
        <w:tc>
          <w:tcPr>
            <w:tcW w:w="720"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扣分</w:t>
            </w:r>
          </w:p>
        </w:tc>
        <w:tc>
          <w:tcPr>
            <w:tcW w:w="720"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得分</w:t>
            </w:r>
          </w:p>
        </w:tc>
        <w:tc>
          <w:tcPr>
            <w:tcW w:w="1227"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扣分原因</w:t>
            </w:r>
          </w:p>
        </w:tc>
      </w:tr>
      <w:tr>
        <w:tblPrEx>
          <w:tblCellMar>
            <w:top w:w="0" w:type="dxa"/>
            <w:left w:w="108" w:type="dxa"/>
            <w:bottom w:w="0" w:type="dxa"/>
            <w:right w:w="108" w:type="dxa"/>
          </w:tblCellMar>
        </w:tblPrEx>
        <w:trPr>
          <w:trHeight w:val="885" w:hRule="atLeast"/>
          <w:jc w:val="center"/>
        </w:trPr>
        <w:tc>
          <w:tcPr>
            <w:tcW w:w="463"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eastAsia="仿宋_GB2312"/>
                <w:color w:val="000000"/>
                <w:spacing w:val="-2"/>
                <w:kern w:val="0"/>
                <w:szCs w:val="21"/>
              </w:rPr>
              <w:t>1</w:t>
            </w:r>
          </w:p>
        </w:tc>
        <w:tc>
          <w:tcPr>
            <w:tcW w:w="1096" w:type="dxa"/>
            <w:vMerge w:val="restart"/>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设计变更</w:t>
            </w:r>
          </w:p>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20</w:t>
            </w:r>
            <w:r>
              <w:rPr>
                <w:rFonts w:hint="eastAsia" w:eastAsia="仿宋_GB2312"/>
                <w:color w:val="000000"/>
                <w:spacing w:val="-2"/>
                <w:kern w:val="0"/>
                <w:szCs w:val="21"/>
              </w:rPr>
              <w:t>分）</w:t>
            </w:r>
          </w:p>
        </w:tc>
        <w:tc>
          <w:tcPr>
            <w:tcW w:w="1784"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建设单位执行重大变更审批程序情况</w:t>
            </w:r>
          </w:p>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20</w:t>
            </w:r>
            <w:r>
              <w:rPr>
                <w:rFonts w:hint="eastAsia" w:eastAsia="仿宋_GB2312"/>
                <w:color w:val="000000"/>
                <w:spacing w:val="-2"/>
                <w:kern w:val="0"/>
                <w:szCs w:val="21"/>
              </w:rPr>
              <w:t>分）</w:t>
            </w:r>
          </w:p>
        </w:tc>
        <w:tc>
          <w:tcPr>
            <w:tcW w:w="3060" w:type="dxa"/>
            <w:tcBorders>
              <w:top w:val="single" w:color="auto" w:sz="4" w:space="0"/>
              <w:left w:val="nil"/>
              <w:bottom w:val="single" w:color="auto" w:sz="4"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有重大设计变更未经施工图审查通过的，扣</w:t>
            </w:r>
            <w:r>
              <w:rPr>
                <w:rFonts w:eastAsia="仿宋_GB2312"/>
                <w:color w:val="000000"/>
                <w:spacing w:val="-2"/>
                <w:kern w:val="0"/>
                <w:szCs w:val="21"/>
              </w:rPr>
              <w:t>20</w:t>
            </w:r>
            <w:r>
              <w:rPr>
                <w:rFonts w:hint="eastAsia" w:eastAsia="仿宋_GB2312"/>
                <w:color w:val="000000"/>
                <w:spacing w:val="-2"/>
                <w:kern w:val="0"/>
                <w:szCs w:val="21"/>
              </w:rPr>
              <w:t>分</w:t>
            </w:r>
          </w:p>
        </w:tc>
        <w:tc>
          <w:tcPr>
            <w:tcW w:w="720"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20" w:type="dxa"/>
            <w:vMerge w:val="restart"/>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1227" w:type="dxa"/>
            <w:vMerge w:val="restart"/>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r>
      <w:tr>
        <w:tblPrEx>
          <w:tblCellMar>
            <w:top w:w="0" w:type="dxa"/>
            <w:left w:w="108" w:type="dxa"/>
            <w:bottom w:w="0" w:type="dxa"/>
            <w:right w:w="108" w:type="dxa"/>
          </w:tblCellMar>
        </w:tblPrEx>
        <w:trPr>
          <w:trHeight w:val="751" w:hRule="atLeast"/>
          <w:jc w:val="center"/>
        </w:trPr>
        <w:tc>
          <w:tcPr>
            <w:tcW w:w="46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096"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784"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3060" w:type="dxa"/>
            <w:tcBorders>
              <w:top w:val="single" w:color="auto" w:sz="4" w:space="0"/>
              <w:left w:val="nil"/>
              <w:bottom w:val="single" w:color="auto" w:sz="4"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设计变更手续不规范一处扣</w:t>
            </w:r>
            <w:r>
              <w:rPr>
                <w:rFonts w:eastAsia="仿宋_GB2312"/>
                <w:color w:val="000000"/>
                <w:spacing w:val="-2"/>
                <w:kern w:val="0"/>
                <w:szCs w:val="21"/>
              </w:rPr>
              <w:t>5</w:t>
            </w:r>
            <w:r>
              <w:rPr>
                <w:rFonts w:hint="eastAsia" w:eastAsia="仿宋_GB2312"/>
                <w:color w:val="000000"/>
                <w:spacing w:val="-2"/>
                <w:kern w:val="0"/>
                <w:szCs w:val="21"/>
              </w:rPr>
              <w:t>分</w:t>
            </w:r>
          </w:p>
        </w:tc>
        <w:tc>
          <w:tcPr>
            <w:tcW w:w="720"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20"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227"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r>
      <w:tr>
        <w:tblPrEx>
          <w:tblCellMar>
            <w:top w:w="0" w:type="dxa"/>
            <w:left w:w="108" w:type="dxa"/>
            <w:bottom w:w="0" w:type="dxa"/>
            <w:right w:w="108" w:type="dxa"/>
          </w:tblCellMar>
        </w:tblPrEx>
        <w:trPr>
          <w:trHeight w:val="799" w:hRule="atLeast"/>
          <w:jc w:val="center"/>
        </w:trPr>
        <w:tc>
          <w:tcPr>
            <w:tcW w:w="463"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eastAsia="仿宋_GB2312"/>
                <w:color w:val="000000"/>
                <w:spacing w:val="-2"/>
                <w:kern w:val="0"/>
                <w:szCs w:val="21"/>
              </w:rPr>
              <w:t>2</w:t>
            </w:r>
          </w:p>
        </w:tc>
        <w:tc>
          <w:tcPr>
            <w:tcW w:w="1096" w:type="dxa"/>
            <w:vMerge w:val="restart"/>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住宅工程质量通病控制标准</w:t>
            </w:r>
          </w:p>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20</w:t>
            </w:r>
            <w:r>
              <w:rPr>
                <w:rFonts w:hint="eastAsia" w:eastAsia="仿宋_GB2312"/>
                <w:color w:val="000000"/>
                <w:spacing w:val="-2"/>
                <w:kern w:val="0"/>
                <w:szCs w:val="21"/>
              </w:rPr>
              <w:t>分）</w:t>
            </w:r>
          </w:p>
        </w:tc>
        <w:tc>
          <w:tcPr>
            <w:tcW w:w="1784"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建设单位执行住宅工程质量通病控制标准的任务书、方案和施工措施情况</w:t>
            </w:r>
          </w:p>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20</w:t>
            </w:r>
            <w:r>
              <w:rPr>
                <w:rFonts w:hint="eastAsia" w:eastAsia="仿宋_GB2312"/>
                <w:color w:val="000000"/>
                <w:spacing w:val="-2"/>
                <w:kern w:val="0"/>
                <w:szCs w:val="21"/>
              </w:rPr>
              <w:t>分）</w:t>
            </w:r>
          </w:p>
        </w:tc>
        <w:tc>
          <w:tcPr>
            <w:tcW w:w="3060" w:type="dxa"/>
            <w:tcBorders>
              <w:top w:val="single" w:color="auto" w:sz="4" w:space="0"/>
              <w:left w:val="nil"/>
              <w:bottom w:val="single" w:color="auto" w:sz="4"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建设单位未下达任务书至设计、施工、监理单位的各扣</w:t>
            </w:r>
            <w:r>
              <w:rPr>
                <w:rFonts w:eastAsia="仿宋_GB2312"/>
                <w:color w:val="000000"/>
                <w:spacing w:val="-2"/>
                <w:kern w:val="0"/>
                <w:szCs w:val="21"/>
              </w:rPr>
              <w:t>10</w:t>
            </w:r>
            <w:r>
              <w:rPr>
                <w:rFonts w:hint="eastAsia" w:eastAsia="仿宋_GB2312"/>
                <w:color w:val="000000"/>
                <w:spacing w:val="-2"/>
                <w:kern w:val="0"/>
                <w:szCs w:val="21"/>
              </w:rPr>
              <w:t>分</w:t>
            </w:r>
          </w:p>
        </w:tc>
        <w:tc>
          <w:tcPr>
            <w:tcW w:w="720"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20" w:type="dxa"/>
            <w:vMerge w:val="restart"/>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1227" w:type="dxa"/>
            <w:vMerge w:val="restart"/>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r>
      <w:tr>
        <w:tblPrEx>
          <w:tblCellMar>
            <w:top w:w="0" w:type="dxa"/>
            <w:left w:w="108" w:type="dxa"/>
            <w:bottom w:w="0" w:type="dxa"/>
            <w:right w:w="108" w:type="dxa"/>
          </w:tblCellMar>
        </w:tblPrEx>
        <w:trPr>
          <w:trHeight w:val="906" w:hRule="atLeast"/>
          <w:jc w:val="center"/>
        </w:trPr>
        <w:tc>
          <w:tcPr>
            <w:tcW w:w="46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096"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784"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3060" w:type="dxa"/>
            <w:tcBorders>
              <w:top w:val="single" w:color="auto" w:sz="4" w:space="0"/>
              <w:left w:val="nil"/>
              <w:bottom w:val="single" w:color="auto" w:sz="4"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方案及施工措施每缺一项扣</w:t>
            </w:r>
            <w:r>
              <w:rPr>
                <w:rFonts w:eastAsia="仿宋_GB2312"/>
                <w:color w:val="000000"/>
                <w:spacing w:val="-2"/>
                <w:kern w:val="0"/>
                <w:szCs w:val="21"/>
              </w:rPr>
              <w:t>5</w:t>
            </w:r>
            <w:r>
              <w:rPr>
                <w:rFonts w:hint="eastAsia" w:eastAsia="仿宋_GB2312"/>
                <w:color w:val="000000"/>
                <w:spacing w:val="-2"/>
                <w:kern w:val="0"/>
                <w:szCs w:val="21"/>
              </w:rPr>
              <w:t>分</w:t>
            </w:r>
          </w:p>
        </w:tc>
        <w:tc>
          <w:tcPr>
            <w:tcW w:w="720"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20"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227"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r>
      <w:tr>
        <w:tblPrEx>
          <w:tblCellMar>
            <w:top w:w="0" w:type="dxa"/>
            <w:left w:w="108" w:type="dxa"/>
            <w:bottom w:w="0" w:type="dxa"/>
            <w:right w:w="108" w:type="dxa"/>
          </w:tblCellMar>
        </w:tblPrEx>
        <w:trPr>
          <w:trHeight w:val="1617" w:hRule="atLeast"/>
          <w:jc w:val="center"/>
        </w:trPr>
        <w:tc>
          <w:tcPr>
            <w:tcW w:w="463"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eastAsia="仿宋_GB2312"/>
                <w:color w:val="000000"/>
                <w:spacing w:val="-2"/>
                <w:kern w:val="0"/>
                <w:szCs w:val="21"/>
              </w:rPr>
              <w:t>3</w:t>
            </w:r>
          </w:p>
        </w:tc>
        <w:tc>
          <w:tcPr>
            <w:tcW w:w="1096"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原材料</w:t>
            </w:r>
          </w:p>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30</w:t>
            </w:r>
            <w:r>
              <w:rPr>
                <w:rFonts w:hint="eastAsia" w:eastAsia="仿宋_GB2312"/>
                <w:color w:val="000000"/>
                <w:spacing w:val="-2"/>
                <w:kern w:val="0"/>
                <w:szCs w:val="21"/>
              </w:rPr>
              <w:t>分）</w:t>
            </w:r>
          </w:p>
        </w:tc>
        <w:tc>
          <w:tcPr>
            <w:tcW w:w="1784"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建设单位按规定使用合格的建筑材料、建筑构配件和设备的情况</w:t>
            </w:r>
          </w:p>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15</w:t>
            </w:r>
            <w:r>
              <w:rPr>
                <w:rFonts w:hint="eastAsia" w:eastAsia="仿宋_GB2312"/>
                <w:color w:val="000000"/>
                <w:spacing w:val="-2"/>
                <w:kern w:val="0"/>
                <w:szCs w:val="21"/>
              </w:rPr>
              <w:t>分）</w:t>
            </w:r>
          </w:p>
        </w:tc>
        <w:tc>
          <w:tcPr>
            <w:tcW w:w="3060" w:type="dxa"/>
            <w:tcBorders>
              <w:top w:val="single" w:color="auto" w:sz="4" w:space="0"/>
              <w:left w:val="nil"/>
              <w:bottom w:val="single" w:color="auto" w:sz="4"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违反规定，明示或暗示有关单位采购使用不符合设计、标准的建筑材料、构配件或设备的，每发现一处扣</w:t>
            </w:r>
            <w:r>
              <w:rPr>
                <w:rFonts w:eastAsia="仿宋_GB2312"/>
                <w:color w:val="000000"/>
                <w:spacing w:val="-2"/>
                <w:kern w:val="0"/>
                <w:szCs w:val="21"/>
              </w:rPr>
              <w:t>5</w:t>
            </w:r>
            <w:r>
              <w:rPr>
                <w:rFonts w:hint="eastAsia" w:eastAsia="仿宋_GB2312"/>
                <w:color w:val="000000"/>
                <w:spacing w:val="-2"/>
                <w:kern w:val="0"/>
                <w:szCs w:val="21"/>
              </w:rPr>
              <w:t>分</w:t>
            </w:r>
          </w:p>
        </w:tc>
        <w:tc>
          <w:tcPr>
            <w:tcW w:w="720"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20" w:type="dxa"/>
            <w:vMerge w:val="restart"/>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1227" w:type="dxa"/>
            <w:vMerge w:val="restart"/>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r>
      <w:tr>
        <w:tblPrEx>
          <w:tblCellMar>
            <w:top w:w="0" w:type="dxa"/>
            <w:left w:w="108" w:type="dxa"/>
            <w:bottom w:w="0" w:type="dxa"/>
            <w:right w:w="108" w:type="dxa"/>
          </w:tblCellMar>
        </w:tblPrEx>
        <w:trPr>
          <w:trHeight w:val="761" w:hRule="atLeast"/>
          <w:jc w:val="center"/>
        </w:trPr>
        <w:tc>
          <w:tcPr>
            <w:tcW w:w="46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09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784"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建设单位按设计文件要求采用预拌砼、预拌砂浆的情况</w:t>
            </w:r>
          </w:p>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15</w:t>
            </w:r>
            <w:r>
              <w:rPr>
                <w:rFonts w:hint="eastAsia" w:eastAsia="仿宋_GB2312"/>
                <w:color w:val="000000"/>
                <w:spacing w:val="-2"/>
                <w:kern w:val="0"/>
                <w:szCs w:val="21"/>
              </w:rPr>
              <w:t>分）</w:t>
            </w:r>
          </w:p>
        </w:tc>
        <w:tc>
          <w:tcPr>
            <w:tcW w:w="3060" w:type="dxa"/>
            <w:tcBorders>
              <w:top w:val="single" w:color="auto" w:sz="4" w:space="0"/>
              <w:left w:val="nil"/>
              <w:bottom w:val="single" w:color="auto" w:sz="4"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预拌砼、砂浆合同未备案扣</w:t>
            </w:r>
            <w:r>
              <w:rPr>
                <w:rFonts w:eastAsia="仿宋_GB2312"/>
                <w:color w:val="000000"/>
                <w:spacing w:val="-2"/>
                <w:kern w:val="0"/>
                <w:szCs w:val="21"/>
              </w:rPr>
              <w:t>5</w:t>
            </w:r>
            <w:r>
              <w:rPr>
                <w:rFonts w:hint="eastAsia" w:eastAsia="仿宋_GB2312"/>
                <w:color w:val="000000"/>
                <w:spacing w:val="-2"/>
                <w:kern w:val="0"/>
                <w:szCs w:val="21"/>
              </w:rPr>
              <w:t>分</w:t>
            </w:r>
          </w:p>
        </w:tc>
        <w:tc>
          <w:tcPr>
            <w:tcW w:w="720"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20"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227"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r>
      <w:tr>
        <w:tblPrEx>
          <w:tblCellMar>
            <w:top w:w="0" w:type="dxa"/>
            <w:left w:w="108" w:type="dxa"/>
            <w:bottom w:w="0" w:type="dxa"/>
            <w:right w:w="108" w:type="dxa"/>
          </w:tblCellMar>
        </w:tblPrEx>
        <w:trPr>
          <w:trHeight w:val="647" w:hRule="atLeast"/>
          <w:jc w:val="center"/>
        </w:trPr>
        <w:tc>
          <w:tcPr>
            <w:tcW w:w="46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09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784"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3060" w:type="dxa"/>
            <w:tcBorders>
              <w:top w:val="single" w:color="auto" w:sz="4" w:space="0"/>
              <w:left w:val="nil"/>
              <w:bottom w:val="single" w:color="auto" w:sz="4"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未按要求使用预拌砂浆扣</w:t>
            </w:r>
            <w:r>
              <w:rPr>
                <w:rFonts w:eastAsia="仿宋_GB2312"/>
                <w:color w:val="000000"/>
                <w:spacing w:val="-2"/>
                <w:kern w:val="0"/>
                <w:szCs w:val="21"/>
              </w:rPr>
              <w:t>10</w:t>
            </w:r>
            <w:r>
              <w:rPr>
                <w:rFonts w:hint="eastAsia" w:eastAsia="仿宋_GB2312"/>
                <w:color w:val="000000"/>
                <w:spacing w:val="-2"/>
                <w:kern w:val="0"/>
                <w:szCs w:val="21"/>
              </w:rPr>
              <w:t>分</w:t>
            </w:r>
          </w:p>
        </w:tc>
        <w:tc>
          <w:tcPr>
            <w:tcW w:w="720"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20"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227"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r>
      <w:tr>
        <w:tblPrEx>
          <w:tblCellMar>
            <w:top w:w="0" w:type="dxa"/>
            <w:left w:w="108" w:type="dxa"/>
            <w:bottom w:w="0" w:type="dxa"/>
            <w:right w:w="108" w:type="dxa"/>
          </w:tblCellMar>
        </w:tblPrEx>
        <w:trPr>
          <w:trHeight w:val="630" w:hRule="atLeast"/>
          <w:jc w:val="center"/>
        </w:trPr>
        <w:tc>
          <w:tcPr>
            <w:tcW w:w="463" w:type="dxa"/>
            <w:vMerge w:val="restart"/>
            <w:tcBorders>
              <w:top w:val="single" w:color="auto" w:sz="4" w:space="0"/>
              <w:left w:val="single" w:color="auto" w:sz="4" w:space="0"/>
              <w:bottom w:val="nil"/>
              <w:right w:val="single" w:color="auto" w:sz="4" w:space="0"/>
            </w:tcBorders>
            <w:noWrap w:val="0"/>
            <w:vAlign w:val="center"/>
          </w:tcPr>
          <w:p>
            <w:pPr>
              <w:adjustRightInd w:val="0"/>
              <w:snapToGrid w:val="0"/>
              <w:jc w:val="center"/>
              <w:rPr>
                <w:rFonts w:eastAsia="仿宋_GB2312"/>
                <w:color w:val="000000"/>
                <w:spacing w:val="-2"/>
                <w:kern w:val="0"/>
                <w:szCs w:val="21"/>
              </w:rPr>
            </w:pPr>
            <w:r>
              <w:rPr>
                <w:rFonts w:eastAsia="仿宋_GB2312"/>
                <w:color w:val="000000"/>
                <w:spacing w:val="-2"/>
                <w:kern w:val="0"/>
                <w:szCs w:val="21"/>
              </w:rPr>
              <w:t>4</w:t>
            </w:r>
          </w:p>
        </w:tc>
        <w:tc>
          <w:tcPr>
            <w:tcW w:w="1096" w:type="dxa"/>
            <w:vMerge w:val="restart"/>
            <w:tcBorders>
              <w:top w:val="single" w:color="auto" w:sz="4" w:space="0"/>
              <w:left w:val="single" w:color="auto" w:sz="4" w:space="0"/>
              <w:bottom w:val="nil"/>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建筑节能</w:t>
            </w:r>
          </w:p>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30</w:t>
            </w:r>
            <w:r>
              <w:rPr>
                <w:rFonts w:hint="eastAsia" w:eastAsia="仿宋_GB2312"/>
                <w:color w:val="000000"/>
                <w:spacing w:val="-2"/>
                <w:kern w:val="0"/>
                <w:szCs w:val="21"/>
              </w:rPr>
              <w:t>分）</w:t>
            </w:r>
          </w:p>
        </w:tc>
        <w:tc>
          <w:tcPr>
            <w:tcW w:w="1784"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建设单位贯彻执行《江苏省建筑节能管理办法》的情况</w:t>
            </w:r>
          </w:p>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30</w:t>
            </w:r>
            <w:r>
              <w:rPr>
                <w:rFonts w:hint="eastAsia" w:eastAsia="仿宋_GB2312"/>
                <w:color w:val="000000"/>
                <w:spacing w:val="-2"/>
                <w:kern w:val="0"/>
                <w:szCs w:val="21"/>
              </w:rPr>
              <w:t>分）</w:t>
            </w:r>
          </w:p>
        </w:tc>
        <w:tc>
          <w:tcPr>
            <w:tcW w:w="3060" w:type="dxa"/>
            <w:tcBorders>
              <w:top w:val="single" w:color="auto" w:sz="4" w:space="0"/>
              <w:left w:val="nil"/>
              <w:bottom w:val="single" w:color="auto" w:sz="4"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是否按设计文件要求使用节能材料，未使用，每发现一处扣</w:t>
            </w:r>
            <w:r>
              <w:rPr>
                <w:rFonts w:eastAsia="仿宋_GB2312"/>
                <w:color w:val="000000"/>
                <w:spacing w:val="-2"/>
                <w:kern w:val="0"/>
                <w:szCs w:val="21"/>
              </w:rPr>
              <w:t>5</w:t>
            </w:r>
            <w:r>
              <w:rPr>
                <w:rFonts w:hint="eastAsia" w:eastAsia="仿宋_GB2312"/>
                <w:color w:val="000000"/>
                <w:spacing w:val="-2"/>
                <w:kern w:val="0"/>
                <w:szCs w:val="21"/>
              </w:rPr>
              <w:t>分</w:t>
            </w:r>
          </w:p>
        </w:tc>
        <w:tc>
          <w:tcPr>
            <w:tcW w:w="720"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20" w:type="dxa"/>
            <w:vMerge w:val="restart"/>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1227" w:type="dxa"/>
            <w:vMerge w:val="restart"/>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r>
      <w:tr>
        <w:tblPrEx>
          <w:tblCellMar>
            <w:top w:w="0" w:type="dxa"/>
            <w:left w:w="108" w:type="dxa"/>
            <w:bottom w:w="0" w:type="dxa"/>
            <w:right w:w="108" w:type="dxa"/>
          </w:tblCellMar>
        </w:tblPrEx>
        <w:trPr>
          <w:trHeight w:val="630" w:hRule="atLeast"/>
          <w:jc w:val="center"/>
        </w:trPr>
        <w:tc>
          <w:tcPr>
            <w:tcW w:w="463" w:type="dxa"/>
            <w:vMerge w:val="continue"/>
            <w:tcBorders>
              <w:top w:val="single" w:color="auto" w:sz="4" w:space="0"/>
              <w:left w:val="single" w:color="auto" w:sz="4" w:space="0"/>
              <w:bottom w:val="nil"/>
              <w:right w:val="single" w:color="auto" w:sz="4" w:space="0"/>
            </w:tcBorders>
            <w:noWrap w:val="0"/>
            <w:vAlign w:val="center"/>
          </w:tcPr>
          <w:p>
            <w:pPr>
              <w:widowControl/>
              <w:jc w:val="left"/>
              <w:rPr>
                <w:rFonts w:eastAsia="仿宋_GB2312"/>
                <w:color w:val="000000"/>
                <w:spacing w:val="-2"/>
                <w:kern w:val="0"/>
                <w:szCs w:val="21"/>
              </w:rPr>
            </w:pPr>
          </w:p>
        </w:tc>
        <w:tc>
          <w:tcPr>
            <w:tcW w:w="1096" w:type="dxa"/>
            <w:vMerge w:val="continue"/>
            <w:tcBorders>
              <w:top w:val="single" w:color="auto" w:sz="4" w:space="0"/>
              <w:left w:val="single" w:color="auto" w:sz="4" w:space="0"/>
              <w:bottom w:val="nil"/>
              <w:right w:val="single" w:color="auto" w:sz="4" w:space="0"/>
            </w:tcBorders>
            <w:noWrap w:val="0"/>
            <w:vAlign w:val="center"/>
          </w:tcPr>
          <w:p>
            <w:pPr>
              <w:widowControl/>
              <w:jc w:val="left"/>
              <w:rPr>
                <w:rFonts w:eastAsia="仿宋_GB2312"/>
                <w:color w:val="000000"/>
                <w:spacing w:val="-2"/>
                <w:kern w:val="0"/>
                <w:szCs w:val="21"/>
              </w:rPr>
            </w:pPr>
          </w:p>
        </w:tc>
        <w:tc>
          <w:tcPr>
            <w:tcW w:w="1784"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3060" w:type="dxa"/>
            <w:tcBorders>
              <w:top w:val="single" w:color="auto" w:sz="4" w:space="0"/>
              <w:left w:val="nil"/>
              <w:bottom w:val="single" w:color="auto" w:sz="4"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门窗是否符合设计节能要求，不符合一处扣</w:t>
            </w:r>
            <w:r>
              <w:rPr>
                <w:rFonts w:eastAsia="仿宋_GB2312"/>
                <w:color w:val="000000"/>
                <w:spacing w:val="-2"/>
                <w:kern w:val="0"/>
                <w:szCs w:val="21"/>
              </w:rPr>
              <w:t>5</w:t>
            </w:r>
            <w:r>
              <w:rPr>
                <w:rFonts w:hint="eastAsia" w:eastAsia="仿宋_GB2312"/>
                <w:color w:val="000000"/>
                <w:spacing w:val="-2"/>
                <w:kern w:val="0"/>
                <w:szCs w:val="21"/>
              </w:rPr>
              <w:t>分</w:t>
            </w:r>
          </w:p>
        </w:tc>
        <w:tc>
          <w:tcPr>
            <w:tcW w:w="720"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20"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227"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r>
      <w:tr>
        <w:tblPrEx>
          <w:tblCellMar>
            <w:top w:w="0" w:type="dxa"/>
            <w:left w:w="108" w:type="dxa"/>
            <w:bottom w:w="0" w:type="dxa"/>
            <w:right w:w="108" w:type="dxa"/>
          </w:tblCellMar>
        </w:tblPrEx>
        <w:trPr>
          <w:trHeight w:val="630" w:hRule="atLeast"/>
          <w:jc w:val="center"/>
        </w:trPr>
        <w:tc>
          <w:tcPr>
            <w:tcW w:w="463" w:type="dxa"/>
            <w:vMerge w:val="continue"/>
            <w:tcBorders>
              <w:top w:val="single" w:color="auto" w:sz="4" w:space="0"/>
              <w:left w:val="single" w:color="auto" w:sz="4" w:space="0"/>
              <w:bottom w:val="nil"/>
              <w:right w:val="single" w:color="auto" w:sz="4" w:space="0"/>
            </w:tcBorders>
            <w:noWrap w:val="0"/>
            <w:vAlign w:val="center"/>
          </w:tcPr>
          <w:p>
            <w:pPr>
              <w:widowControl/>
              <w:jc w:val="left"/>
              <w:rPr>
                <w:rFonts w:eastAsia="仿宋_GB2312"/>
                <w:color w:val="000000"/>
                <w:spacing w:val="-2"/>
                <w:kern w:val="0"/>
                <w:szCs w:val="21"/>
              </w:rPr>
            </w:pPr>
          </w:p>
        </w:tc>
        <w:tc>
          <w:tcPr>
            <w:tcW w:w="1096" w:type="dxa"/>
            <w:vMerge w:val="continue"/>
            <w:tcBorders>
              <w:top w:val="single" w:color="auto" w:sz="4" w:space="0"/>
              <w:left w:val="single" w:color="auto" w:sz="4" w:space="0"/>
              <w:bottom w:val="nil"/>
              <w:right w:val="single" w:color="auto" w:sz="4" w:space="0"/>
            </w:tcBorders>
            <w:noWrap w:val="0"/>
            <w:vAlign w:val="center"/>
          </w:tcPr>
          <w:p>
            <w:pPr>
              <w:widowControl/>
              <w:jc w:val="left"/>
              <w:rPr>
                <w:rFonts w:eastAsia="仿宋_GB2312"/>
                <w:color w:val="000000"/>
                <w:spacing w:val="-2"/>
                <w:kern w:val="0"/>
                <w:szCs w:val="21"/>
              </w:rPr>
            </w:pPr>
          </w:p>
        </w:tc>
        <w:tc>
          <w:tcPr>
            <w:tcW w:w="1784"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3060" w:type="dxa"/>
            <w:tcBorders>
              <w:top w:val="single" w:color="auto" w:sz="4" w:space="0"/>
              <w:left w:val="nil"/>
              <w:bottom w:val="single" w:color="auto" w:sz="4"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外遮阳是否按设计文件要求设置，不符合一处扣</w:t>
            </w:r>
            <w:r>
              <w:rPr>
                <w:rFonts w:eastAsia="仿宋_GB2312"/>
                <w:color w:val="000000"/>
                <w:spacing w:val="-2"/>
                <w:kern w:val="0"/>
                <w:szCs w:val="21"/>
              </w:rPr>
              <w:t>5</w:t>
            </w:r>
            <w:r>
              <w:rPr>
                <w:rFonts w:hint="eastAsia" w:eastAsia="仿宋_GB2312"/>
                <w:color w:val="000000"/>
                <w:spacing w:val="-2"/>
                <w:kern w:val="0"/>
                <w:szCs w:val="21"/>
              </w:rPr>
              <w:t>分</w:t>
            </w:r>
          </w:p>
        </w:tc>
        <w:tc>
          <w:tcPr>
            <w:tcW w:w="720"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20"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227"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r>
      <w:tr>
        <w:tblPrEx>
          <w:tblCellMar>
            <w:top w:w="0" w:type="dxa"/>
            <w:left w:w="108" w:type="dxa"/>
            <w:bottom w:w="0" w:type="dxa"/>
            <w:right w:w="108" w:type="dxa"/>
          </w:tblCellMar>
        </w:tblPrEx>
        <w:trPr>
          <w:trHeight w:val="630" w:hRule="atLeast"/>
          <w:jc w:val="center"/>
        </w:trPr>
        <w:tc>
          <w:tcPr>
            <w:tcW w:w="463" w:type="dxa"/>
            <w:vMerge w:val="continue"/>
            <w:tcBorders>
              <w:top w:val="single" w:color="auto" w:sz="4" w:space="0"/>
              <w:left w:val="single" w:color="auto" w:sz="4" w:space="0"/>
              <w:bottom w:val="nil"/>
              <w:right w:val="single" w:color="auto" w:sz="4" w:space="0"/>
            </w:tcBorders>
            <w:noWrap w:val="0"/>
            <w:vAlign w:val="center"/>
          </w:tcPr>
          <w:p>
            <w:pPr>
              <w:widowControl/>
              <w:jc w:val="left"/>
              <w:rPr>
                <w:rFonts w:eastAsia="仿宋_GB2312"/>
                <w:color w:val="000000"/>
                <w:spacing w:val="-2"/>
                <w:kern w:val="0"/>
                <w:szCs w:val="21"/>
              </w:rPr>
            </w:pPr>
          </w:p>
        </w:tc>
        <w:tc>
          <w:tcPr>
            <w:tcW w:w="1096" w:type="dxa"/>
            <w:vMerge w:val="continue"/>
            <w:tcBorders>
              <w:top w:val="single" w:color="auto" w:sz="4" w:space="0"/>
              <w:left w:val="single" w:color="auto" w:sz="4" w:space="0"/>
              <w:bottom w:val="nil"/>
              <w:right w:val="single" w:color="auto" w:sz="4" w:space="0"/>
            </w:tcBorders>
            <w:noWrap w:val="0"/>
            <w:vAlign w:val="center"/>
          </w:tcPr>
          <w:p>
            <w:pPr>
              <w:widowControl/>
              <w:jc w:val="left"/>
              <w:rPr>
                <w:rFonts w:eastAsia="仿宋_GB2312"/>
                <w:color w:val="000000"/>
                <w:spacing w:val="-2"/>
                <w:kern w:val="0"/>
                <w:szCs w:val="21"/>
              </w:rPr>
            </w:pPr>
          </w:p>
        </w:tc>
        <w:tc>
          <w:tcPr>
            <w:tcW w:w="1784"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3060" w:type="dxa"/>
            <w:tcBorders>
              <w:top w:val="single" w:color="auto" w:sz="4" w:space="0"/>
              <w:left w:val="nil"/>
              <w:bottom w:val="single" w:color="auto" w:sz="4" w:space="0"/>
              <w:right w:val="single" w:color="auto" w:sz="4" w:space="0"/>
            </w:tcBorders>
            <w:noWrap w:val="0"/>
            <w:vAlign w:val="center"/>
          </w:tcPr>
          <w:p>
            <w:pPr>
              <w:adjustRightInd w:val="0"/>
              <w:snapToGrid w:val="0"/>
              <w:rPr>
                <w:rFonts w:eastAsia="仿宋_GB2312"/>
                <w:color w:val="000000"/>
                <w:spacing w:val="-2"/>
                <w:kern w:val="0"/>
                <w:szCs w:val="21"/>
              </w:rPr>
            </w:pPr>
            <w:r>
              <w:rPr>
                <w:rFonts w:eastAsia="仿宋_GB2312"/>
                <w:color w:val="000000"/>
                <w:spacing w:val="-2"/>
                <w:kern w:val="0"/>
                <w:szCs w:val="21"/>
              </w:rPr>
              <w:t>12</w:t>
            </w:r>
            <w:r>
              <w:rPr>
                <w:rFonts w:hint="eastAsia" w:eastAsia="仿宋_GB2312"/>
                <w:color w:val="000000"/>
                <w:spacing w:val="-2"/>
                <w:kern w:val="0"/>
                <w:szCs w:val="21"/>
              </w:rPr>
              <w:t>层以下住宅是否按设计文件要求使用太阳能热水器，不符合扣</w:t>
            </w:r>
            <w:r>
              <w:rPr>
                <w:rFonts w:eastAsia="仿宋_GB2312"/>
                <w:color w:val="000000"/>
                <w:spacing w:val="-2"/>
                <w:kern w:val="0"/>
                <w:szCs w:val="21"/>
              </w:rPr>
              <w:t>5</w:t>
            </w:r>
            <w:r>
              <w:rPr>
                <w:rFonts w:hint="eastAsia" w:eastAsia="仿宋_GB2312"/>
                <w:color w:val="000000"/>
                <w:spacing w:val="-2"/>
                <w:kern w:val="0"/>
                <w:szCs w:val="21"/>
              </w:rPr>
              <w:t>分</w:t>
            </w:r>
          </w:p>
        </w:tc>
        <w:tc>
          <w:tcPr>
            <w:tcW w:w="720"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20"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227"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r>
      <w:tr>
        <w:tblPrEx>
          <w:tblCellMar>
            <w:top w:w="0" w:type="dxa"/>
            <w:left w:w="108" w:type="dxa"/>
            <w:bottom w:w="0" w:type="dxa"/>
            <w:right w:w="108" w:type="dxa"/>
          </w:tblCellMar>
        </w:tblPrEx>
        <w:trPr>
          <w:trHeight w:val="739" w:hRule="atLeast"/>
          <w:jc w:val="center"/>
        </w:trPr>
        <w:tc>
          <w:tcPr>
            <w:tcW w:w="2645" w:type="dxa"/>
            <w:gridSpan w:val="3"/>
            <w:tcBorders>
              <w:top w:val="single" w:color="auto" w:sz="4" w:space="0"/>
              <w:left w:val="single" w:color="auto" w:sz="4" w:space="0"/>
              <w:bottom w:val="single" w:color="auto" w:sz="4"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检查人签字：</w:t>
            </w:r>
            <w:r>
              <w:rPr>
                <w:rFonts w:eastAsia="仿宋_GB2312"/>
                <w:color w:val="000000"/>
                <w:spacing w:val="-2"/>
                <w:kern w:val="0"/>
                <w:szCs w:val="21"/>
              </w:rPr>
              <w:t xml:space="preserve">                     </w:t>
            </w:r>
          </w:p>
        </w:tc>
        <w:tc>
          <w:tcPr>
            <w:tcW w:w="3758" w:type="dxa"/>
            <w:gridSpan w:val="2"/>
            <w:tcBorders>
              <w:top w:val="single" w:color="auto" w:sz="4" w:space="0"/>
              <w:left w:val="nil"/>
              <w:bottom w:val="single" w:color="auto" w:sz="4"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被检查单位签字：</w:t>
            </w:r>
          </w:p>
        </w:tc>
        <w:tc>
          <w:tcPr>
            <w:tcW w:w="720"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20"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1227"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r>
    </w:tbl>
    <w:p>
      <w:pPr>
        <w:widowControl/>
        <w:spacing w:beforeAutospacing="1" w:afterAutospacing="1"/>
        <w:jc w:val="left"/>
        <w:rPr>
          <w:rFonts w:ascii="Times New Roman" w:hAnsi="Times New Roman" w:eastAsia="仿宋"/>
          <w:b/>
          <w:bCs/>
          <w:color w:val="000000"/>
          <w:spacing w:val="-2"/>
          <w:kern w:val="0"/>
          <w:sz w:val="32"/>
          <w:szCs w:val="32"/>
        </w:rPr>
        <w:sectPr>
          <w:pgSz w:w="11906" w:h="16838"/>
          <w:pgMar w:top="1701" w:right="1588" w:bottom="1701" w:left="1588" w:header="851" w:footer="1361" w:gutter="0"/>
          <w:cols w:space="720" w:num="1"/>
        </w:sectPr>
      </w:pPr>
    </w:p>
    <w:p>
      <w:pPr>
        <w:pStyle w:val="7"/>
        <w:adjustRightInd w:val="0"/>
        <w:snapToGrid w:val="0"/>
        <w:spacing w:line="570" w:lineRule="exact"/>
        <w:jc w:val="center"/>
        <w:rPr>
          <w:rFonts w:ascii="Times New Roman" w:hAnsi="Times New Roman" w:eastAsia="方正黑体_GBK"/>
          <w:bCs/>
          <w:color w:val="000000"/>
          <w:spacing w:val="-2"/>
          <w:sz w:val="28"/>
          <w:szCs w:val="28"/>
        </w:rPr>
      </w:pPr>
      <w:r>
        <w:rPr>
          <w:rFonts w:hint="eastAsia" w:ascii="Times New Roman" w:hAnsi="Times New Roman" w:eastAsia="方正黑体_GBK"/>
          <w:bCs/>
          <w:color w:val="000000"/>
          <w:spacing w:val="-2"/>
          <w:sz w:val="28"/>
          <w:szCs w:val="28"/>
        </w:rPr>
        <w:t>建筑市场综合考核用表之四（工程质量二）</w:t>
      </w:r>
    </w:p>
    <w:p>
      <w:pPr>
        <w:adjustRightInd w:val="0"/>
        <w:snapToGrid w:val="0"/>
        <w:spacing w:line="570" w:lineRule="exact"/>
        <w:rPr>
          <w:rFonts w:hint="eastAsia" w:ascii="Times New Roman" w:hAnsi="Times New Roman" w:eastAsia="仿宋_GB2312"/>
          <w:b/>
          <w:bCs/>
          <w:color w:val="000000"/>
          <w:spacing w:val="-2"/>
          <w:kern w:val="0"/>
          <w:sz w:val="24"/>
        </w:rPr>
      </w:pPr>
      <w:r>
        <w:rPr>
          <w:rFonts w:hint="eastAsia" w:ascii="Times New Roman" w:hAnsi="Times New Roman" w:eastAsia="仿宋_GB2312"/>
          <w:bCs/>
          <w:color w:val="000000"/>
          <w:spacing w:val="-2"/>
          <w:kern w:val="0"/>
          <w:sz w:val="24"/>
        </w:rPr>
        <w:t>项目编号                                           检查日期：</w:t>
      </w:r>
    </w:p>
    <w:tbl>
      <w:tblPr>
        <w:tblStyle w:val="12"/>
        <w:tblW w:w="0" w:type="auto"/>
        <w:jc w:val="center"/>
        <w:tblLayout w:type="fixed"/>
        <w:tblCellMar>
          <w:top w:w="0" w:type="dxa"/>
          <w:left w:w="108" w:type="dxa"/>
          <w:bottom w:w="0" w:type="dxa"/>
          <w:right w:w="108" w:type="dxa"/>
        </w:tblCellMar>
      </w:tblPr>
      <w:tblGrid>
        <w:gridCol w:w="386"/>
        <w:gridCol w:w="1104"/>
        <w:gridCol w:w="995"/>
        <w:gridCol w:w="2485"/>
        <w:gridCol w:w="94"/>
        <w:gridCol w:w="1622"/>
        <w:gridCol w:w="720"/>
        <w:gridCol w:w="720"/>
        <w:gridCol w:w="1149"/>
      </w:tblGrid>
      <w:tr>
        <w:tblPrEx>
          <w:tblCellMar>
            <w:top w:w="0" w:type="dxa"/>
            <w:left w:w="108" w:type="dxa"/>
            <w:bottom w:w="0" w:type="dxa"/>
            <w:right w:w="108" w:type="dxa"/>
          </w:tblCellMar>
        </w:tblPrEx>
        <w:trPr>
          <w:trHeight w:val="528" w:hRule="atLeast"/>
          <w:jc w:val="center"/>
        </w:trPr>
        <w:tc>
          <w:tcPr>
            <w:tcW w:w="9275" w:type="dxa"/>
            <w:gridSpan w:val="9"/>
            <w:tcBorders>
              <w:top w:val="single" w:color="auto" w:sz="8" w:space="0"/>
              <w:left w:val="single" w:color="auto" w:sz="8" w:space="0"/>
              <w:bottom w:val="single" w:color="auto" w:sz="4" w:space="0"/>
              <w:right w:val="single" w:color="auto" w:sz="8" w:space="0"/>
            </w:tcBorders>
            <w:noWrap w:val="0"/>
            <w:vAlign w:val="center"/>
          </w:tcPr>
          <w:p>
            <w:pPr>
              <w:adjustRightInd w:val="0"/>
              <w:snapToGrid w:val="0"/>
              <w:rPr>
                <w:rFonts w:eastAsia="仿宋_GB2312"/>
                <w:b/>
                <w:bCs/>
                <w:color w:val="000000"/>
                <w:spacing w:val="-2"/>
                <w:kern w:val="0"/>
                <w:szCs w:val="21"/>
              </w:rPr>
            </w:pPr>
            <w:r>
              <w:rPr>
                <w:rFonts w:hint="eastAsia" w:eastAsia="仿宋_GB2312"/>
                <w:b/>
                <w:bCs/>
                <w:color w:val="000000"/>
                <w:spacing w:val="-2"/>
                <w:kern w:val="0"/>
                <w:szCs w:val="21"/>
              </w:rPr>
              <w:t>施工单位（</w:t>
            </w:r>
            <w:r>
              <w:rPr>
                <w:rFonts w:eastAsia="仿宋_GB2312"/>
                <w:b/>
                <w:bCs/>
                <w:color w:val="000000"/>
                <w:spacing w:val="-2"/>
                <w:kern w:val="0"/>
                <w:szCs w:val="21"/>
              </w:rPr>
              <w:t>100</w:t>
            </w:r>
            <w:r>
              <w:rPr>
                <w:rFonts w:hint="eastAsia" w:eastAsia="仿宋_GB2312"/>
                <w:b/>
                <w:bCs/>
                <w:color w:val="000000"/>
                <w:spacing w:val="-2"/>
                <w:kern w:val="0"/>
                <w:szCs w:val="21"/>
              </w:rPr>
              <w:t>分）</w:t>
            </w:r>
            <w:r>
              <w:rPr>
                <w:rFonts w:eastAsia="仿宋_GB2312"/>
                <w:b/>
                <w:bCs/>
                <w:color w:val="000000"/>
                <w:spacing w:val="-2"/>
                <w:kern w:val="0"/>
                <w:szCs w:val="21"/>
              </w:rPr>
              <w:t xml:space="preserve">                                     </w:t>
            </w:r>
          </w:p>
        </w:tc>
      </w:tr>
      <w:tr>
        <w:tblPrEx>
          <w:tblCellMar>
            <w:top w:w="0" w:type="dxa"/>
            <w:left w:w="108" w:type="dxa"/>
            <w:bottom w:w="0" w:type="dxa"/>
            <w:right w:w="108" w:type="dxa"/>
          </w:tblCellMar>
        </w:tblPrEx>
        <w:trPr>
          <w:trHeight w:val="435" w:hRule="atLeast"/>
          <w:jc w:val="center"/>
        </w:trPr>
        <w:tc>
          <w:tcPr>
            <w:tcW w:w="386" w:type="dxa"/>
            <w:tcBorders>
              <w:top w:val="nil"/>
              <w:left w:val="single" w:color="auto" w:sz="8" w:space="0"/>
              <w:bottom w:val="single" w:color="auto" w:sz="4" w:space="0"/>
              <w:right w:val="single" w:color="auto" w:sz="4" w:space="0"/>
            </w:tcBorders>
            <w:noWrap w:val="0"/>
            <w:vAlign w:val="center"/>
          </w:tcPr>
          <w:p>
            <w:pPr>
              <w:adjustRightInd w:val="0"/>
              <w:snapToGrid w:val="0"/>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序号</w:t>
            </w:r>
          </w:p>
        </w:tc>
        <w:tc>
          <w:tcPr>
            <w:tcW w:w="1104"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检查项目</w:t>
            </w:r>
          </w:p>
        </w:tc>
        <w:tc>
          <w:tcPr>
            <w:tcW w:w="3480" w:type="dxa"/>
            <w:gridSpan w:val="2"/>
            <w:tcBorders>
              <w:top w:val="single" w:color="auto" w:sz="4" w:space="0"/>
              <w:left w:val="nil"/>
              <w:bottom w:val="single" w:color="auto" w:sz="4" w:space="0"/>
              <w:right w:val="single" w:color="auto" w:sz="4" w:space="0"/>
            </w:tcBorders>
            <w:noWrap w:val="0"/>
            <w:vAlign w:val="center"/>
          </w:tcPr>
          <w:p>
            <w:pPr>
              <w:adjustRightInd w:val="0"/>
              <w:snapToGrid w:val="0"/>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检查内容</w:t>
            </w:r>
          </w:p>
        </w:tc>
        <w:tc>
          <w:tcPr>
            <w:tcW w:w="1716" w:type="dxa"/>
            <w:gridSpan w:val="2"/>
            <w:tcBorders>
              <w:top w:val="single" w:color="auto" w:sz="4" w:space="0"/>
              <w:left w:val="nil"/>
              <w:bottom w:val="single" w:color="auto" w:sz="4" w:space="0"/>
              <w:right w:val="single" w:color="auto" w:sz="4" w:space="0"/>
            </w:tcBorders>
            <w:noWrap w:val="0"/>
            <w:vAlign w:val="center"/>
          </w:tcPr>
          <w:p>
            <w:pPr>
              <w:adjustRightInd w:val="0"/>
              <w:snapToGrid w:val="0"/>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扣分标准</w:t>
            </w:r>
          </w:p>
        </w:tc>
        <w:tc>
          <w:tcPr>
            <w:tcW w:w="720"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扣分</w:t>
            </w:r>
          </w:p>
        </w:tc>
        <w:tc>
          <w:tcPr>
            <w:tcW w:w="720"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得分</w:t>
            </w:r>
          </w:p>
        </w:tc>
        <w:tc>
          <w:tcPr>
            <w:tcW w:w="1149" w:type="dxa"/>
            <w:tcBorders>
              <w:top w:val="single" w:color="auto" w:sz="4" w:space="0"/>
              <w:left w:val="nil"/>
              <w:bottom w:val="single" w:color="auto" w:sz="4" w:space="0"/>
              <w:right w:val="single" w:color="auto" w:sz="8" w:space="0"/>
            </w:tcBorders>
            <w:noWrap w:val="0"/>
            <w:vAlign w:val="center"/>
          </w:tcPr>
          <w:p>
            <w:pPr>
              <w:adjustRightInd w:val="0"/>
              <w:snapToGrid w:val="0"/>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扣分原因</w:t>
            </w:r>
          </w:p>
        </w:tc>
      </w:tr>
      <w:tr>
        <w:tblPrEx>
          <w:tblCellMar>
            <w:top w:w="0" w:type="dxa"/>
            <w:left w:w="108" w:type="dxa"/>
            <w:bottom w:w="0" w:type="dxa"/>
            <w:right w:w="108" w:type="dxa"/>
          </w:tblCellMar>
        </w:tblPrEx>
        <w:trPr>
          <w:trHeight w:val="530" w:hRule="atLeast"/>
          <w:jc w:val="center"/>
        </w:trPr>
        <w:tc>
          <w:tcPr>
            <w:tcW w:w="386" w:type="dxa"/>
            <w:vMerge w:val="restart"/>
            <w:tcBorders>
              <w:top w:val="nil"/>
              <w:left w:val="single" w:color="auto" w:sz="8" w:space="0"/>
              <w:bottom w:val="nil"/>
              <w:right w:val="single" w:color="auto" w:sz="4" w:space="0"/>
            </w:tcBorders>
            <w:noWrap w:val="0"/>
            <w:vAlign w:val="center"/>
          </w:tcPr>
          <w:p>
            <w:pPr>
              <w:adjustRightInd w:val="0"/>
              <w:snapToGrid w:val="0"/>
              <w:jc w:val="center"/>
              <w:rPr>
                <w:rFonts w:eastAsia="仿宋_GB2312"/>
                <w:color w:val="000000"/>
                <w:spacing w:val="-2"/>
                <w:kern w:val="0"/>
                <w:szCs w:val="21"/>
              </w:rPr>
            </w:pPr>
            <w:r>
              <w:rPr>
                <w:rFonts w:eastAsia="仿宋_GB2312"/>
                <w:color w:val="000000"/>
                <w:spacing w:val="-2"/>
                <w:kern w:val="0"/>
                <w:szCs w:val="21"/>
              </w:rPr>
              <w:t>1</w:t>
            </w:r>
          </w:p>
          <w:p>
            <w:pPr>
              <w:adjustRightInd w:val="0"/>
              <w:snapToGrid w:val="0"/>
              <w:jc w:val="center"/>
              <w:rPr>
                <w:rFonts w:eastAsia="仿宋_GB2312"/>
                <w:color w:val="000000"/>
                <w:spacing w:val="-2"/>
                <w:kern w:val="0"/>
                <w:szCs w:val="21"/>
              </w:rPr>
            </w:pPr>
          </w:p>
        </w:tc>
        <w:tc>
          <w:tcPr>
            <w:tcW w:w="1104" w:type="dxa"/>
            <w:vMerge w:val="restart"/>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质量行为</w:t>
            </w:r>
          </w:p>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20</w:t>
            </w:r>
            <w:r>
              <w:rPr>
                <w:rFonts w:hint="eastAsia" w:eastAsia="仿宋_GB2312"/>
                <w:color w:val="000000"/>
                <w:spacing w:val="-2"/>
                <w:kern w:val="0"/>
                <w:szCs w:val="21"/>
              </w:rPr>
              <w:t>分）</w:t>
            </w:r>
          </w:p>
          <w:p>
            <w:pPr>
              <w:adjustRightInd w:val="0"/>
              <w:snapToGrid w:val="0"/>
              <w:jc w:val="center"/>
              <w:rPr>
                <w:rFonts w:eastAsia="仿宋_GB2312"/>
                <w:color w:val="000000"/>
                <w:spacing w:val="-2"/>
                <w:kern w:val="0"/>
                <w:szCs w:val="21"/>
              </w:rPr>
            </w:pPr>
          </w:p>
        </w:tc>
        <w:tc>
          <w:tcPr>
            <w:tcW w:w="3480" w:type="dxa"/>
            <w:gridSpan w:val="2"/>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质量责任制履行情况，质量员配备及到岗情况（</w:t>
            </w:r>
            <w:r>
              <w:rPr>
                <w:rFonts w:eastAsia="仿宋_GB2312"/>
                <w:color w:val="000000"/>
                <w:spacing w:val="-2"/>
                <w:kern w:val="0"/>
                <w:szCs w:val="21"/>
              </w:rPr>
              <w:t>5</w:t>
            </w:r>
            <w:r>
              <w:rPr>
                <w:rFonts w:hint="eastAsia" w:eastAsia="仿宋_GB2312"/>
                <w:color w:val="000000"/>
                <w:spacing w:val="-2"/>
                <w:kern w:val="0"/>
                <w:szCs w:val="21"/>
              </w:rPr>
              <w:t>分）</w:t>
            </w:r>
          </w:p>
        </w:tc>
        <w:tc>
          <w:tcPr>
            <w:tcW w:w="1716" w:type="dxa"/>
            <w:gridSpan w:val="2"/>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缺一项（人）</w:t>
            </w:r>
          </w:p>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扣</w:t>
            </w:r>
            <w:r>
              <w:rPr>
                <w:rFonts w:eastAsia="仿宋_GB2312"/>
                <w:color w:val="000000"/>
                <w:spacing w:val="-2"/>
                <w:kern w:val="0"/>
                <w:szCs w:val="21"/>
              </w:rPr>
              <w:t>2</w:t>
            </w:r>
            <w:r>
              <w:rPr>
                <w:rFonts w:hint="eastAsia" w:eastAsia="仿宋_GB2312"/>
                <w:color w:val="000000"/>
                <w:spacing w:val="-2"/>
                <w:kern w:val="0"/>
                <w:szCs w:val="21"/>
              </w:rPr>
              <w:t>分</w:t>
            </w:r>
          </w:p>
        </w:tc>
        <w:tc>
          <w:tcPr>
            <w:tcW w:w="72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20"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1149" w:type="dxa"/>
            <w:vMerge w:val="restart"/>
            <w:tcBorders>
              <w:top w:val="single" w:color="auto" w:sz="4" w:space="0"/>
              <w:left w:val="single" w:color="auto" w:sz="4" w:space="0"/>
              <w:bottom w:val="single" w:color="auto" w:sz="4" w:space="0"/>
              <w:right w:val="single" w:color="auto" w:sz="8" w:space="0"/>
            </w:tcBorders>
            <w:noWrap w:val="0"/>
            <w:vAlign w:val="center"/>
          </w:tcPr>
          <w:p>
            <w:pPr>
              <w:adjustRightInd w:val="0"/>
              <w:snapToGrid w:val="0"/>
              <w:jc w:val="center"/>
              <w:rPr>
                <w:rFonts w:eastAsia="仿宋_GB2312"/>
                <w:color w:val="000000"/>
                <w:spacing w:val="-2"/>
                <w:kern w:val="0"/>
                <w:szCs w:val="21"/>
              </w:rPr>
            </w:pPr>
          </w:p>
        </w:tc>
      </w:tr>
      <w:tr>
        <w:tblPrEx>
          <w:tblCellMar>
            <w:top w:w="0" w:type="dxa"/>
            <w:left w:w="108" w:type="dxa"/>
            <w:bottom w:w="0" w:type="dxa"/>
            <w:right w:w="108" w:type="dxa"/>
          </w:tblCellMar>
        </w:tblPrEx>
        <w:trPr>
          <w:trHeight w:val="530" w:hRule="atLeast"/>
          <w:jc w:val="center"/>
        </w:trPr>
        <w:tc>
          <w:tcPr>
            <w:tcW w:w="386" w:type="dxa"/>
            <w:vMerge w:val="continue"/>
            <w:tcBorders>
              <w:top w:val="nil"/>
              <w:left w:val="single" w:color="auto" w:sz="8" w:space="0"/>
              <w:bottom w:val="nil"/>
              <w:right w:val="single" w:color="auto" w:sz="4" w:space="0"/>
            </w:tcBorders>
            <w:noWrap w:val="0"/>
            <w:vAlign w:val="center"/>
          </w:tcPr>
          <w:p>
            <w:pPr>
              <w:widowControl/>
              <w:jc w:val="left"/>
              <w:rPr>
                <w:rFonts w:eastAsia="仿宋_GB2312"/>
                <w:color w:val="000000"/>
                <w:spacing w:val="-2"/>
                <w:kern w:val="0"/>
                <w:szCs w:val="21"/>
              </w:rPr>
            </w:pPr>
          </w:p>
        </w:tc>
        <w:tc>
          <w:tcPr>
            <w:tcW w:w="1104"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3480" w:type="dxa"/>
            <w:gridSpan w:val="2"/>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总分包管理资料及措施（</w:t>
            </w:r>
            <w:r>
              <w:rPr>
                <w:rFonts w:eastAsia="仿宋_GB2312"/>
                <w:color w:val="000000"/>
                <w:spacing w:val="-2"/>
                <w:kern w:val="0"/>
                <w:szCs w:val="21"/>
              </w:rPr>
              <w:t>5</w:t>
            </w:r>
            <w:r>
              <w:rPr>
                <w:rFonts w:hint="eastAsia" w:eastAsia="仿宋_GB2312"/>
                <w:color w:val="000000"/>
                <w:spacing w:val="-2"/>
                <w:kern w:val="0"/>
                <w:szCs w:val="21"/>
              </w:rPr>
              <w:t>分）</w:t>
            </w:r>
          </w:p>
        </w:tc>
        <w:tc>
          <w:tcPr>
            <w:tcW w:w="1716" w:type="dxa"/>
            <w:gridSpan w:val="2"/>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缺一项扣</w:t>
            </w:r>
            <w:r>
              <w:rPr>
                <w:rFonts w:eastAsia="仿宋_GB2312"/>
                <w:color w:val="000000"/>
                <w:spacing w:val="-2"/>
                <w:kern w:val="0"/>
                <w:szCs w:val="21"/>
              </w:rPr>
              <w:t>2</w:t>
            </w:r>
            <w:r>
              <w:rPr>
                <w:rFonts w:hint="eastAsia" w:eastAsia="仿宋_GB2312"/>
                <w:color w:val="000000"/>
                <w:spacing w:val="-2"/>
                <w:kern w:val="0"/>
                <w:szCs w:val="21"/>
              </w:rPr>
              <w:t>分</w:t>
            </w:r>
          </w:p>
        </w:tc>
        <w:tc>
          <w:tcPr>
            <w:tcW w:w="72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149" w:type="dxa"/>
            <w:vMerge w:val="continue"/>
            <w:tcBorders>
              <w:top w:val="single" w:color="auto" w:sz="4" w:space="0"/>
              <w:left w:val="single" w:color="auto" w:sz="4" w:space="0"/>
              <w:bottom w:val="single" w:color="auto" w:sz="4" w:space="0"/>
              <w:right w:val="single" w:color="auto" w:sz="8" w:space="0"/>
            </w:tcBorders>
            <w:noWrap w:val="0"/>
            <w:vAlign w:val="center"/>
          </w:tcPr>
          <w:p>
            <w:pPr>
              <w:widowControl/>
              <w:jc w:val="left"/>
              <w:rPr>
                <w:rFonts w:eastAsia="仿宋_GB2312"/>
                <w:color w:val="000000"/>
                <w:spacing w:val="-2"/>
                <w:kern w:val="0"/>
                <w:szCs w:val="21"/>
              </w:rPr>
            </w:pPr>
          </w:p>
        </w:tc>
      </w:tr>
      <w:tr>
        <w:tblPrEx>
          <w:tblCellMar>
            <w:top w:w="0" w:type="dxa"/>
            <w:left w:w="108" w:type="dxa"/>
            <w:bottom w:w="0" w:type="dxa"/>
            <w:right w:w="108" w:type="dxa"/>
          </w:tblCellMar>
        </w:tblPrEx>
        <w:trPr>
          <w:trHeight w:val="449" w:hRule="atLeast"/>
          <w:jc w:val="center"/>
        </w:trPr>
        <w:tc>
          <w:tcPr>
            <w:tcW w:w="386" w:type="dxa"/>
            <w:vMerge w:val="continue"/>
            <w:tcBorders>
              <w:top w:val="nil"/>
              <w:left w:val="single" w:color="auto" w:sz="8" w:space="0"/>
              <w:bottom w:val="nil"/>
              <w:right w:val="single" w:color="auto" w:sz="4" w:space="0"/>
            </w:tcBorders>
            <w:noWrap w:val="0"/>
            <w:vAlign w:val="center"/>
          </w:tcPr>
          <w:p>
            <w:pPr>
              <w:widowControl/>
              <w:jc w:val="left"/>
              <w:rPr>
                <w:rFonts w:eastAsia="仿宋_GB2312"/>
                <w:color w:val="000000"/>
                <w:spacing w:val="-2"/>
                <w:kern w:val="0"/>
                <w:szCs w:val="21"/>
              </w:rPr>
            </w:pPr>
          </w:p>
        </w:tc>
        <w:tc>
          <w:tcPr>
            <w:tcW w:w="1104"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3480" w:type="dxa"/>
            <w:gridSpan w:val="2"/>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配备设计文件、规范、图集情况；设计审图、设计变更文件手续是否符合相关规定（</w:t>
            </w:r>
            <w:r>
              <w:rPr>
                <w:rFonts w:eastAsia="仿宋_GB2312"/>
                <w:color w:val="000000"/>
                <w:spacing w:val="-2"/>
                <w:kern w:val="0"/>
                <w:szCs w:val="21"/>
              </w:rPr>
              <w:t>5</w:t>
            </w:r>
            <w:r>
              <w:rPr>
                <w:rFonts w:hint="eastAsia" w:eastAsia="仿宋_GB2312"/>
                <w:color w:val="000000"/>
                <w:spacing w:val="-2"/>
                <w:kern w:val="0"/>
                <w:szCs w:val="21"/>
              </w:rPr>
              <w:t>分）</w:t>
            </w:r>
          </w:p>
        </w:tc>
        <w:tc>
          <w:tcPr>
            <w:tcW w:w="1716" w:type="dxa"/>
            <w:gridSpan w:val="2"/>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缺一项扣</w:t>
            </w:r>
            <w:r>
              <w:rPr>
                <w:rFonts w:eastAsia="仿宋_GB2312"/>
                <w:color w:val="000000"/>
                <w:spacing w:val="-2"/>
                <w:kern w:val="0"/>
                <w:szCs w:val="21"/>
              </w:rPr>
              <w:t>2</w:t>
            </w:r>
            <w:r>
              <w:rPr>
                <w:rFonts w:hint="eastAsia" w:eastAsia="仿宋_GB2312"/>
                <w:color w:val="000000"/>
                <w:spacing w:val="-2"/>
                <w:kern w:val="0"/>
                <w:szCs w:val="21"/>
              </w:rPr>
              <w:t>分</w:t>
            </w:r>
          </w:p>
        </w:tc>
        <w:tc>
          <w:tcPr>
            <w:tcW w:w="720"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149" w:type="dxa"/>
            <w:vMerge w:val="continue"/>
            <w:tcBorders>
              <w:top w:val="single" w:color="auto" w:sz="4" w:space="0"/>
              <w:left w:val="single" w:color="auto" w:sz="4" w:space="0"/>
              <w:bottom w:val="single" w:color="auto" w:sz="4" w:space="0"/>
              <w:right w:val="single" w:color="auto" w:sz="8" w:space="0"/>
            </w:tcBorders>
            <w:noWrap w:val="0"/>
            <w:vAlign w:val="center"/>
          </w:tcPr>
          <w:p>
            <w:pPr>
              <w:widowControl/>
              <w:jc w:val="left"/>
              <w:rPr>
                <w:rFonts w:eastAsia="仿宋_GB2312"/>
                <w:color w:val="000000"/>
                <w:spacing w:val="-2"/>
                <w:kern w:val="0"/>
                <w:szCs w:val="21"/>
              </w:rPr>
            </w:pPr>
          </w:p>
        </w:tc>
      </w:tr>
      <w:tr>
        <w:tblPrEx>
          <w:tblCellMar>
            <w:top w:w="0" w:type="dxa"/>
            <w:left w:w="108" w:type="dxa"/>
            <w:bottom w:w="0" w:type="dxa"/>
            <w:right w:w="108" w:type="dxa"/>
          </w:tblCellMar>
        </w:tblPrEx>
        <w:trPr>
          <w:trHeight w:val="551" w:hRule="atLeast"/>
          <w:jc w:val="center"/>
        </w:trPr>
        <w:tc>
          <w:tcPr>
            <w:tcW w:w="386" w:type="dxa"/>
            <w:vMerge w:val="continue"/>
            <w:tcBorders>
              <w:top w:val="nil"/>
              <w:left w:val="single" w:color="auto" w:sz="8" w:space="0"/>
              <w:bottom w:val="nil"/>
              <w:right w:val="single" w:color="auto" w:sz="4" w:space="0"/>
            </w:tcBorders>
            <w:noWrap w:val="0"/>
            <w:vAlign w:val="center"/>
          </w:tcPr>
          <w:p>
            <w:pPr>
              <w:widowControl/>
              <w:jc w:val="left"/>
              <w:rPr>
                <w:rFonts w:eastAsia="仿宋_GB2312"/>
                <w:color w:val="000000"/>
                <w:spacing w:val="-2"/>
                <w:kern w:val="0"/>
                <w:szCs w:val="21"/>
              </w:rPr>
            </w:pPr>
          </w:p>
        </w:tc>
        <w:tc>
          <w:tcPr>
            <w:tcW w:w="1104"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3480" w:type="dxa"/>
            <w:gridSpan w:val="2"/>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图纸会审、方案制定审批情况（</w:t>
            </w:r>
            <w:r>
              <w:rPr>
                <w:rFonts w:eastAsia="仿宋_GB2312"/>
                <w:color w:val="000000"/>
                <w:spacing w:val="-2"/>
                <w:kern w:val="0"/>
                <w:szCs w:val="21"/>
              </w:rPr>
              <w:t>5</w:t>
            </w:r>
            <w:r>
              <w:rPr>
                <w:rFonts w:hint="eastAsia" w:eastAsia="仿宋_GB2312"/>
                <w:color w:val="000000"/>
                <w:spacing w:val="-2"/>
                <w:kern w:val="0"/>
                <w:szCs w:val="21"/>
              </w:rPr>
              <w:t>分）</w:t>
            </w:r>
          </w:p>
        </w:tc>
        <w:tc>
          <w:tcPr>
            <w:tcW w:w="1716" w:type="dxa"/>
            <w:gridSpan w:val="2"/>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缺一项扣</w:t>
            </w:r>
            <w:r>
              <w:rPr>
                <w:rFonts w:eastAsia="仿宋_GB2312"/>
                <w:color w:val="000000"/>
                <w:spacing w:val="-2"/>
                <w:kern w:val="0"/>
                <w:szCs w:val="21"/>
              </w:rPr>
              <w:t>2</w:t>
            </w:r>
            <w:r>
              <w:rPr>
                <w:rFonts w:hint="eastAsia" w:eastAsia="仿宋_GB2312"/>
                <w:color w:val="000000"/>
                <w:spacing w:val="-2"/>
                <w:kern w:val="0"/>
                <w:szCs w:val="21"/>
              </w:rPr>
              <w:t>分</w:t>
            </w:r>
          </w:p>
        </w:tc>
        <w:tc>
          <w:tcPr>
            <w:tcW w:w="720"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149" w:type="dxa"/>
            <w:vMerge w:val="continue"/>
            <w:tcBorders>
              <w:top w:val="single" w:color="auto" w:sz="4" w:space="0"/>
              <w:left w:val="single" w:color="auto" w:sz="4" w:space="0"/>
              <w:bottom w:val="single" w:color="auto" w:sz="4" w:space="0"/>
              <w:right w:val="single" w:color="auto" w:sz="8" w:space="0"/>
            </w:tcBorders>
            <w:noWrap w:val="0"/>
            <w:vAlign w:val="center"/>
          </w:tcPr>
          <w:p>
            <w:pPr>
              <w:widowControl/>
              <w:jc w:val="left"/>
              <w:rPr>
                <w:rFonts w:eastAsia="仿宋_GB2312"/>
                <w:color w:val="000000"/>
                <w:spacing w:val="-2"/>
                <w:kern w:val="0"/>
                <w:szCs w:val="21"/>
              </w:rPr>
            </w:pPr>
          </w:p>
        </w:tc>
      </w:tr>
      <w:tr>
        <w:tblPrEx>
          <w:tblCellMar>
            <w:top w:w="0" w:type="dxa"/>
            <w:left w:w="108" w:type="dxa"/>
            <w:bottom w:w="0" w:type="dxa"/>
            <w:right w:w="108" w:type="dxa"/>
          </w:tblCellMar>
        </w:tblPrEx>
        <w:trPr>
          <w:trHeight w:val="500" w:hRule="atLeast"/>
          <w:jc w:val="center"/>
        </w:trPr>
        <w:tc>
          <w:tcPr>
            <w:tcW w:w="386" w:type="dxa"/>
            <w:vMerge w:val="restart"/>
            <w:tcBorders>
              <w:top w:val="nil"/>
              <w:left w:val="single" w:color="auto" w:sz="8"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eastAsia="仿宋_GB2312"/>
                <w:color w:val="000000"/>
                <w:spacing w:val="-2"/>
                <w:kern w:val="0"/>
                <w:szCs w:val="21"/>
              </w:rPr>
              <w:t>2</w:t>
            </w:r>
          </w:p>
        </w:tc>
        <w:tc>
          <w:tcPr>
            <w:tcW w:w="1104"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质保资料</w:t>
            </w:r>
            <w:r>
              <w:rPr>
                <w:rFonts w:eastAsia="仿宋_GB2312"/>
                <w:color w:val="000000"/>
                <w:spacing w:val="-2"/>
                <w:kern w:val="0"/>
                <w:szCs w:val="21"/>
              </w:rPr>
              <w:t>(25</w:t>
            </w:r>
            <w:r>
              <w:rPr>
                <w:rFonts w:hint="eastAsia" w:eastAsia="仿宋_GB2312"/>
                <w:color w:val="000000"/>
                <w:spacing w:val="-2"/>
                <w:kern w:val="0"/>
                <w:szCs w:val="21"/>
              </w:rPr>
              <w:t>分</w:t>
            </w:r>
            <w:r>
              <w:rPr>
                <w:rFonts w:eastAsia="仿宋_GB2312"/>
                <w:color w:val="000000"/>
                <w:spacing w:val="-2"/>
                <w:kern w:val="0"/>
                <w:szCs w:val="21"/>
              </w:rPr>
              <w:t>)</w:t>
            </w:r>
          </w:p>
        </w:tc>
        <w:tc>
          <w:tcPr>
            <w:tcW w:w="3480" w:type="dxa"/>
            <w:gridSpan w:val="2"/>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原材料进场验收资料完善、规范</w:t>
            </w:r>
          </w:p>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5</w:t>
            </w:r>
            <w:r>
              <w:rPr>
                <w:rFonts w:hint="eastAsia" w:eastAsia="仿宋_GB2312"/>
                <w:color w:val="000000"/>
                <w:spacing w:val="-2"/>
                <w:kern w:val="0"/>
                <w:szCs w:val="21"/>
              </w:rPr>
              <w:t>分）</w:t>
            </w:r>
          </w:p>
        </w:tc>
        <w:tc>
          <w:tcPr>
            <w:tcW w:w="1716" w:type="dxa"/>
            <w:gridSpan w:val="2"/>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szCs w:val="21"/>
              </w:rPr>
            </w:pPr>
            <w:r>
              <w:rPr>
                <w:rFonts w:hint="eastAsia" w:eastAsia="仿宋_GB2312"/>
                <w:color w:val="000000"/>
                <w:spacing w:val="-2"/>
                <w:kern w:val="0"/>
                <w:szCs w:val="21"/>
              </w:rPr>
              <w:t>缺一项扣</w:t>
            </w:r>
            <w:r>
              <w:rPr>
                <w:rFonts w:eastAsia="仿宋_GB2312"/>
                <w:color w:val="000000"/>
                <w:spacing w:val="-2"/>
                <w:kern w:val="0"/>
                <w:szCs w:val="21"/>
              </w:rPr>
              <w:t>2</w:t>
            </w:r>
            <w:r>
              <w:rPr>
                <w:rFonts w:hint="eastAsia" w:eastAsia="仿宋_GB2312"/>
                <w:color w:val="000000"/>
                <w:spacing w:val="-2"/>
                <w:kern w:val="0"/>
                <w:szCs w:val="21"/>
              </w:rPr>
              <w:t>分</w:t>
            </w:r>
          </w:p>
        </w:tc>
        <w:tc>
          <w:tcPr>
            <w:tcW w:w="72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20"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1149" w:type="dxa"/>
            <w:vMerge w:val="restart"/>
            <w:tcBorders>
              <w:top w:val="single" w:color="auto" w:sz="4" w:space="0"/>
              <w:left w:val="nil"/>
              <w:bottom w:val="single" w:color="auto" w:sz="4" w:space="0"/>
              <w:right w:val="single" w:color="auto" w:sz="8" w:space="0"/>
            </w:tcBorders>
            <w:noWrap w:val="0"/>
            <w:vAlign w:val="center"/>
          </w:tcPr>
          <w:p>
            <w:pPr>
              <w:adjustRightInd w:val="0"/>
              <w:snapToGrid w:val="0"/>
              <w:jc w:val="center"/>
              <w:rPr>
                <w:rFonts w:eastAsia="仿宋_GB2312"/>
                <w:color w:val="000000"/>
                <w:spacing w:val="-2"/>
                <w:kern w:val="0"/>
                <w:szCs w:val="21"/>
              </w:rPr>
            </w:pPr>
          </w:p>
        </w:tc>
      </w:tr>
      <w:tr>
        <w:tblPrEx>
          <w:tblCellMar>
            <w:top w:w="0" w:type="dxa"/>
            <w:left w:w="108" w:type="dxa"/>
            <w:bottom w:w="0" w:type="dxa"/>
            <w:right w:w="108" w:type="dxa"/>
          </w:tblCellMar>
        </w:tblPrEx>
        <w:trPr>
          <w:trHeight w:val="651" w:hRule="atLeast"/>
          <w:jc w:val="center"/>
        </w:trPr>
        <w:tc>
          <w:tcPr>
            <w:tcW w:w="386" w:type="dxa"/>
            <w:vMerge w:val="continue"/>
            <w:tcBorders>
              <w:top w:val="nil"/>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10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3480" w:type="dxa"/>
            <w:gridSpan w:val="2"/>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工序资料同步、真实、规范、齐全</w:t>
            </w:r>
          </w:p>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10</w:t>
            </w:r>
            <w:r>
              <w:rPr>
                <w:rFonts w:hint="eastAsia" w:eastAsia="仿宋_GB2312"/>
                <w:color w:val="000000"/>
                <w:spacing w:val="-2"/>
                <w:kern w:val="0"/>
                <w:szCs w:val="21"/>
              </w:rPr>
              <w:t>分）</w:t>
            </w:r>
          </w:p>
        </w:tc>
        <w:tc>
          <w:tcPr>
            <w:tcW w:w="1716" w:type="dxa"/>
            <w:gridSpan w:val="2"/>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szCs w:val="21"/>
              </w:rPr>
            </w:pPr>
            <w:r>
              <w:rPr>
                <w:rFonts w:hint="eastAsia" w:eastAsia="仿宋_GB2312"/>
                <w:color w:val="000000"/>
                <w:spacing w:val="-2"/>
                <w:kern w:val="0"/>
                <w:szCs w:val="21"/>
              </w:rPr>
              <w:t>缺一项扣</w:t>
            </w:r>
            <w:r>
              <w:rPr>
                <w:rFonts w:eastAsia="仿宋_GB2312"/>
                <w:color w:val="000000"/>
                <w:spacing w:val="-2"/>
                <w:kern w:val="0"/>
                <w:szCs w:val="21"/>
              </w:rPr>
              <w:t>2</w:t>
            </w:r>
            <w:r>
              <w:rPr>
                <w:rFonts w:hint="eastAsia" w:eastAsia="仿宋_GB2312"/>
                <w:color w:val="000000"/>
                <w:spacing w:val="-2"/>
                <w:kern w:val="0"/>
                <w:szCs w:val="21"/>
              </w:rPr>
              <w:t>分</w:t>
            </w:r>
          </w:p>
        </w:tc>
        <w:tc>
          <w:tcPr>
            <w:tcW w:w="72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149" w:type="dxa"/>
            <w:vMerge w:val="continue"/>
            <w:tcBorders>
              <w:top w:val="single" w:color="auto" w:sz="4" w:space="0"/>
              <w:left w:val="nil"/>
              <w:bottom w:val="single" w:color="auto" w:sz="4" w:space="0"/>
              <w:right w:val="single" w:color="auto" w:sz="8" w:space="0"/>
            </w:tcBorders>
            <w:noWrap w:val="0"/>
            <w:vAlign w:val="center"/>
          </w:tcPr>
          <w:p>
            <w:pPr>
              <w:widowControl/>
              <w:jc w:val="left"/>
              <w:rPr>
                <w:rFonts w:eastAsia="仿宋_GB2312"/>
                <w:color w:val="000000"/>
                <w:spacing w:val="-2"/>
                <w:kern w:val="0"/>
                <w:szCs w:val="21"/>
              </w:rPr>
            </w:pPr>
          </w:p>
        </w:tc>
      </w:tr>
      <w:tr>
        <w:tblPrEx>
          <w:tblCellMar>
            <w:top w:w="0" w:type="dxa"/>
            <w:left w:w="108" w:type="dxa"/>
            <w:bottom w:w="0" w:type="dxa"/>
            <w:right w:w="108" w:type="dxa"/>
          </w:tblCellMar>
        </w:tblPrEx>
        <w:trPr>
          <w:trHeight w:val="755" w:hRule="atLeast"/>
          <w:jc w:val="center"/>
        </w:trPr>
        <w:tc>
          <w:tcPr>
            <w:tcW w:w="386" w:type="dxa"/>
            <w:vMerge w:val="continue"/>
            <w:tcBorders>
              <w:top w:val="nil"/>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10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3480" w:type="dxa"/>
            <w:gridSpan w:val="2"/>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见证取样送检制度落实；涉及结构安全的试块、试件、材料取样数量及检测规范</w:t>
            </w:r>
          </w:p>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10</w:t>
            </w:r>
            <w:r>
              <w:rPr>
                <w:rFonts w:hint="eastAsia" w:eastAsia="仿宋_GB2312"/>
                <w:color w:val="000000"/>
                <w:spacing w:val="-2"/>
                <w:kern w:val="0"/>
                <w:szCs w:val="21"/>
              </w:rPr>
              <w:t>分）</w:t>
            </w:r>
          </w:p>
        </w:tc>
        <w:tc>
          <w:tcPr>
            <w:tcW w:w="1716" w:type="dxa"/>
            <w:gridSpan w:val="2"/>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szCs w:val="21"/>
              </w:rPr>
            </w:pPr>
            <w:r>
              <w:rPr>
                <w:rFonts w:hint="eastAsia" w:eastAsia="仿宋_GB2312"/>
                <w:color w:val="000000"/>
                <w:spacing w:val="-2"/>
                <w:kern w:val="0"/>
                <w:szCs w:val="21"/>
              </w:rPr>
              <w:t>缺一项扣</w:t>
            </w:r>
            <w:r>
              <w:rPr>
                <w:rFonts w:eastAsia="仿宋_GB2312"/>
                <w:color w:val="000000"/>
                <w:spacing w:val="-2"/>
                <w:kern w:val="0"/>
                <w:szCs w:val="21"/>
              </w:rPr>
              <w:t>2</w:t>
            </w:r>
            <w:r>
              <w:rPr>
                <w:rFonts w:hint="eastAsia" w:eastAsia="仿宋_GB2312"/>
                <w:color w:val="000000"/>
                <w:spacing w:val="-2"/>
                <w:kern w:val="0"/>
                <w:szCs w:val="21"/>
              </w:rPr>
              <w:t>分</w:t>
            </w:r>
          </w:p>
        </w:tc>
        <w:tc>
          <w:tcPr>
            <w:tcW w:w="72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149" w:type="dxa"/>
            <w:vMerge w:val="continue"/>
            <w:tcBorders>
              <w:top w:val="single" w:color="auto" w:sz="4" w:space="0"/>
              <w:left w:val="nil"/>
              <w:bottom w:val="single" w:color="auto" w:sz="4" w:space="0"/>
              <w:right w:val="single" w:color="auto" w:sz="8" w:space="0"/>
            </w:tcBorders>
            <w:noWrap w:val="0"/>
            <w:vAlign w:val="center"/>
          </w:tcPr>
          <w:p>
            <w:pPr>
              <w:widowControl/>
              <w:jc w:val="left"/>
              <w:rPr>
                <w:rFonts w:eastAsia="仿宋_GB2312"/>
                <w:color w:val="000000"/>
                <w:spacing w:val="-2"/>
                <w:kern w:val="0"/>
                <w:szCs w:val="21"/>
              </w:rPr>
            </w:pPr>
          </w:p>
        </w:tc>
      </w:tr>
      <w:tr>
        <w:tblPrEx>
          <w:tblCellMar>
            <w:top w:w="0" w:type="dxa"/>
            <w:left w:w="108" w:type="dxa"/>
            <w:bottom w:w="0" w:type="dxa"/>
            <w:right w:w="108" w:type="dxa"/>
          </w:tblCellMar>
        </w:tblPrEx>
        <w:trPr>
          <w:trHeight w:val="761" w:hRule="atLeast"/>
          <w:jc w:val="center"/>
        </w:trPr>
        <w:tc>
          <w:tcPr>
            <w:tcW w:w="386" w:type="dxa"/>
            <w:vMerge w:val="restart"/>
            <w:tcBorders>
              <w:top w:val="single" w:color="auto" w:sz="4" w:space="0"/>
              <w:left w:val="single" w:color="auto" w:sz="8"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eastAsia="仿宋_GB2312"/>
                <w:color w:val="000000"/>
                <w:spacing w:val="-2"/>
                <w:kern w:val="0"/>
                <w:szCs w:val="21"/>
              </w:rPr>
              <w:t>3</w:t>
            </w:r>
          </w:p>
        </w:tc>
        <w:tc>
          <w:tcPr>
            <w:tcW w:w="1104"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实物质量（</w:t>
            </w:r>
            <w:r>
              <w:rPr>
                <w:rFonts w:eastAsia="仿宋_GB2312"/>
                <w:color w:val="000000"/>
                <w:spacing w:val="-2"/>
                <w:kern w:val="0"/>
                <w:szCs w:val="21"/>
              </w:rPr>
              <w:t>45</w:t>
            </w:r>
            <w:r>
              <w:rPr>
                <w:rFonts w:hint="eastAsia" w:eastAsia="仿宋_GB2312"/>
                <w:color w:val="000000"/>
                <w:spacing w:val="-2"/>
                <w:kern w:val="0"/>
                <w:szCs w:val="21"/>
              </w:rPr>
              <w:t>分）</w:t>
            </w:r>
          </w:p>
        </w:tc>
        <w:tc>
          <w:tcPr>
            <w:tcW w:w="3480" w:type="dxa"/>
            <w:gridSpan w:val="2"/>
            <w:vMerge w:val="restart"/>
            <w:tcBorders>
              <w:top w:val="single" w:color="auto" w:sz="4" w:space="0"/>
              <w:left w:val="nil"/>
              <w:bottom w:val="single" w:color="auto" w:sz="4" w:space="0"/>
              <w:right w:val="single" w:color="auto" w:sz="4" w:space="0"/>
            </w:tcBorders>
            <w:noWrap w:val="0"/>
            <w:vAlign w:val="center"/>
          </w:tcPr>
          <w:p>
            <w:pPr>
              <w:adjustRightInd w:val="0"/>
              <w:snapToGrid w:val="0"/>
              <w:ind w:firstLine="103" w:firstLineChars="50"/>
              <w:jc w:val="center"/>
              <w:rPr>
                <w:rFonts w:eastAsia="仿宋_GB2312"/>
                <w:color w:val="000000"/>
                <w:spacing w:val="-2"/>
                <w:kern w:val="0"/>
                <w:szCs w:val="21"/>
              </w:rPr>
            </w:pPr>
            <w:r>
              <w:rPr>
                <w:rFonts w:hint="eastAsia" w:eastAsia="仿宋_GB2312"/>
                <w:color w:val="000000"/>
                <w:spacing w:val="-2"/>
                <w:kern w:val="0"/>
                <w:szCs w:val="21"/>
              </w:rPr>
              <w:t>抽查工程实体质量</w:t>
            </w:r>
          </w:p>
          <w:p>
            <w:pPr>
              <w:adjustRightInd w:val="0"/>
              <w:snapToGrid w:val="0"/>
              <w:ind w:firstLine="103" w:firstLineChars="50"/>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45</w:t>
            </w:r>
            <w:r>
              <w:rPr>
                <w:rFonts w:hint="eastAsia" w:eastAsia="仿宋_GB2312"/>
                <w:color w:val="000000"/>
                <w:spacing w:val="-2"/>
                <w:kern w:val="0"/>
                <w:szCs w:val="21"/>
              </w:rPr>
              <w:t>分）</w:t>
            </w:r>
          </w:p>
        </w:tc>
        <w:tc>
          <w:tcPr>
            <w:tcW w:w="1716" w:type="dxa"/>
            <w:gridSpan w:val="2"/>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违反强制性条文的一处扣</w:t>
            </w:r>
            <w:r>
              <w:rPr>
                <w:rFonts w:eastAsia="仿宋_GB2312"/>
                <w:color w:val="000000"/>
                <w:spacing w:val="-2"/>
                <w:kern w:val="0"/>
                <w:szCs w:val="21"/>
              </w:rPr>
              <w:t>5</w:t>
            </w:r>
            <w:r>
              <w:rPr>
                <w:rFonts w:hint="eastAsia" w:eastAsia="仿宋_GB2312"/>
                <w:color w:val="000000"/>
                <w:spacing w:val="-2"/>
                <w:kern w:val="0"/>
                <w:szCs w:val="21"/>
              </w:rPr>
              <w:t>分</w:t>
            </w:r>
          </w:p>
        </w:tc>
        <w:tc>
          <w:tcPr>
            <w:tcW w:w="720"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20" w:type="dxa"/>
            <w:vMerge w:val="restart"/>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1149" w:type="dxa"/>
            <w:tcBorders>
              <w:top w:val="single" w:color="auto" w:sz="4" w:space="0"/>
              <w:left w:val="nil"/>
              <w:bottom w:val="single" w:color="auto" w:sz="4" w:space="0"/>
              <w:right w:val="single" w:color="auto" w:sz="8" w:space="0"/>
            </w:tcBorders>
            <w:noWrap w:val="0"/>
            <w:vAlign w:val="center"/>
          </w:tcPr>
          <w:p>
            <w:pPr>
              <w:adjustRightInd w:val="0"/>
              <w:snapToGrid w:val="0"/>
              <w:jc w:val="center"/>
              <w:rPr>
                <w:rFonts w:eastAsia="仿宋_GB2312"/>
                <w:color w:val="000000"/>
                <w:spacing w:val="-2"/>
                <w:kern w:val="0"/>
                <w:szCs w:val="21"/>
              </w:rPr>
            </w:pPr>
          </w:p>
        </w:tc>
      </w:tr>
      <w:tr>
        <w:tblPrEx>
          <w:tblCellMar>
            <w:top w:w="0" w:type="dxa"/>
            <w:left w:w="108" w:type="dxa"/>
            <w:bottom w:w="0" w:type="dxa"/>
            <w:right w:w="108" w:type="dxa"/>
          </w:tblCellMar>
        </w:tblPrEx>
        <w:trPr>
          <w:trHeight w:val="817" w:hRule="atLeast"/>
          <w:jc w:val="center"/>
        </w:trPr>
        <w:tc>
          <w:tcPr>
            <w:tcW w:w="386"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10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3480" w:type="dxa"/>
            <w:gridSpan w:val="2"/>
            <w:vMerge w:val="continue"/>
            <w:tcBorders>
              <w:top w:val="single" w:color="auto" w:sz="4" w:space="0"/>
              <w:left w:val="nil"/>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716" w:type="dxa"/>
            <w:gridSpan w:val="2"/>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违反强制性标准的一处扣</w:t>
            </w:r>
            <w:r>
              <w:rPr>
                <w:rFonts w:eastAsia="仿宋_GB2312"/>
                <w:color w:val="000000"/>
                <w:spacing w:val="-2"/>
                <w:kern w:val="0"/>
                <w:szCs w:val="21"/>
              </w:rPr>
              <w:t>2</w:t>
            </w:r>
            <w:r>
              <w:rPr>
                <w:rFonts w:hint="eastAsia" w:eastAsia="仿宋_GB2312"/>
                <w:color w:val="000000"/>
                <w:spacing w:val="-2"/>
                <w:kern w:val="0"/>
                <w:szCs w:val="21"/>
              </w:rPr>
              <w:t>分</w:t>
            </w:r>
          </w:p>
        </w:tc>
        <w:tc>
          <w:tcPr>
            <w:tcW w:w="720"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20"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149" w:type="dxa"/>
            <w:vMerge w:val="restart"/>
            <w:tcBorders>
              <w:top w:val="single" w:color="auto" w:sz="4" w:space="0"/>
              <w:left w:val="nil"/>
              <w:bottom w:val="single" w:color="auto" w:sz="4" w:space="0"/>
              <w:right w:val="single" w:color="auto" w:sz="8" w:space="0"/>
            </w:tcBorders>
            <w:noWrap w:val="0"/>
            <w:vAlign w:val="center"/>
          </w:tcPr>
          <w:p>
            <w:pPr>
              <w:adjustRightInd w:val="0"/>
              <w:snapToGrid w:val="0"/>
              <w:jc w:val="center"/>
              <w:rPr>
                <w:rFonts w:eastAsia="仿宋_GB2312"/>
                <w:color w:val="000000"/>
                <w:spacing w:val="-2"/>
                <w:kern w:val="0"/>
                <w:szCs w:val="21"/>
              </w:rPr>
            </w:pPr>
          </w:p>
        </w:tc>
      </w:tr>
      <w:tr>
        <w:tblPrEx>
          <w:tblCellMar>
            <w:top w:w="0" w:type="dxa"/>
            <w:left w:w="108" w:type="dxa"/>
            <w:bottom w:w="0" w:type="dxa"/>
            <w:right w:w="108" w:type="dxa"/>
          </w:tblCellMar>
        </w:tblPrEx>
        <w:trPr>
          <w:trHeight w:val="877" w:hRule="atLeast"/>
          <w:jc w:val="center"/>
        </w:trPr>
        <w:tc>
          <w:tcPr>
            <w:tcW w:w="386"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10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3480" w:type="dxa"/>
            <w:gridSpan w:val="2"/>
            <w:vMerge w:val="continue"/>
            <w:tcBorders>
              <w:top w:val="single" w:color="auto" w:sz="4" w:space="0"/>
              <w:left w:val="nil"/>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716" w:type="dxa"/>
            <w:gridSpan w:val="2"/>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观感质量较差的扣</w:t>
            </w:r>
            <w:r>
              <w:rPr>
                <w:rFonts w:eastAsia="仿宋_GB2312"/>
                <w:color w:val="000000"/>
                <w:spacing w:val="-2"/>
                <w:kern w:val="0"/>
                <w:szCs w:val="21"/>
              </w:rPr>
              <w:t>1—25</w:t>
            </w:r>
            <w:r>
              <w:rPr>
                <w:rFonts w:hint="eastAsia" w:eastAsia="仿宋_GB2312"/>
                <w:color w:val="000000"/>
                <w:spacing w:val="-2"/>
                <w:kern w:val="0"/>
                <w:szCs w:val="21"/>
              </w:rPr>
              <w:t>分</w:t>
            </w:r>
          </w:p>
        </w:tc>
        <w:tc>
          <w:tcPr>
            <w:tcW w:w="720"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20"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149" w:type="dxa"/>
            <w:vMerge w:val="continue"/>
            <w:tcBorders>
              <w:top w:val="single" w:color="auto" w:sz="4" w:space="0"/>
              <w:left w:val="nil"/>
              <w:bottom w:val="single" w:color="auto" w:sz="4" w:space="0"/>
              <w:right w:val="single" w:color="auto" w:sz="8" w:space="0"/>
            </w:tcBorders>
            <w:noWrap w:val="0"/>
            <w:vAlign w:val="center"/>
          </w:tcPr>
          <w:p>
            <w:pPr>
              <w:widowControl/>
              <w:jc w:val="left"/>
              <w:rPr>
                <w:rFonts w:eastAsia="仿宋_GB2312"/>
                <w:color w:val="000000"/>
                <w:spacing w:val="-2"/>
                <w:kern w:val="0"/>
                <w:szCs w:val="21"/>
              </w:rPr>
            </w:pPr>
          </w:p>
        </w:tc>
      </w:tr>
      <w:tr>
        <w:tblPrEx>
          <w:tblCellMar>
            <w:top w:w="0" w:type="dxa"/>
            <w:left w:w="108" w:type="dxa"/>
            <w:bottom w:w="0" w:type="dxa"/>
            <w:right w:w="108" w:type="dxa"/>
          </w:tblCellMar>
        </w:tblPrEx>
        <w:trPr>
          <w:trHeight w:val="763" w:hRule="atLeast"/>
          <w:jc w:val="center"/>
        </w:trPr>
        <w:tc>
          <w:tcPr>
            <w:tcW w:w="386"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10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3480" w:type="dxa"/>
            <w:gridSpan w:val="2"/>
            <w:vMerge w:val="continue"/>
            <w:tcBorders>
              <w:top w:val="single" w:color="auto" w:sz="4" w:space="0"/>
              <w:left w:val="nil"/>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716" w:type="dxa"/>
            <w:gridSpan w:val="2"/>
            <w:tcBorders>
              <w:top w:val="single" w:color="auto" w:sz="4" w:space="0"/>
              <w:left w:val="nil"/>
              <w:bottom w:val="single" w:color="auto" w:sz="4" w:space="0"/>
              <w:right w:val="single" w:color="auto" w:sz="4" w:space="0"/>
            </w:tcBorders>
            <w:noWrap w:val="0"/>
            <w:vAlign w:val="center"/>
          </w:tcPr>
          <w:p>
            <w:pPr>
              <w:adjustRightInd w:val="0"/>
              <w:snapToGrid w:val="0"/>
              <w:ind w:firstLine="103" w:firstLineChars="50"/>
              <w:jc w:val="center"/>
              <w:rPr>
                <w:rFonts w:eastAsia="仿宋_GB2312"/>
                <w:color w:val="000000"/>
                <w:spacing w:val="-2"/>
                <w:kern w:val="0"/>
                <w:szCs w:val="21"/>
              </w:rPr>
            </w:pPr>
            <w:r>
              <w:rPr>
                <w:rFonts w:hint="eastAsia" w:eastAsia="仿宋_GB2312"/>
                <w:color w:val="000000"/>
                <w:spacing w:val="-2"/>
                <w:kern w:val="0"/>
                <w:szCs w:val="21"/>
              </w:rPr>
              <w:t>其它质量问题</w:t>
            </w:r>
          </w:p>
          <w:p>
            <w:pPr>
              <w:adjustRightInd w:val="0"/>
              <w:snapToGrid w:val="0"/>
              <w:ind w:firstLine="103" w:firstLineChars="50"/>
              <w:jc w:val="center"/>
              <w:rPr>
                <w:rFonts w:eastAsia="仿宋_GB2312"/>
                <w:color w:val="000000"/>
                <w:spacing w:val="-2"/>
                <w:kern w:val="0"/>
                <w:szCs w:val="21"/>
              </w:rPr>
            </w:pPr>
            <w:r>
              <w:rPr>
                <w:rFonts w:hint="eastAsia" w:eastAsia="仿宋_GB2312"/>
                <w:color w:val="000000"/>
                <w:spacing w:val="-2"/>
                <w:kern w:val="0"/>
                <w:szCs w:val="21"/>
              </w:rPr>
              <w:t>扣</w:t>
            </w:r>
            <w:r>
              <w:rPr>
                <w:rFonts w:eastAsia="仿宋_GB2312"/>
                <w:color w:val="000000"/>
                <w:spacing w:val="-2"/>
                <w:kern w:val="0"/>
                <w:szCs w:val="21"/>
              </w:rPr>
              <w:t>1—5</w:t>
            </w:r>
            <w:r>
              <w:rPr>
                <w:rFonts w:hint="eastAsia" w:eastAsia="仿宋_GB2312"/>
                <w:color w:val="000000"/>
                <w:spacing w:val="-2"/>
                <w:kern w:val="0"/>
                <w:szCs w:val="21"/>
              </w:rPr>
              <w:t>分</w:t>
            </w:r>
          </w:p>
        </w:tc>
        <w:tc>
          <w:tcPr>
            <w:tcW w:w="720"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20"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149" w:type="dxa"/>
            <w:vMerge w:val="continue"/>
            <w:tcBorders>
              <w:top w:val="single" w:color="auto" w:sz="4" w:space="0"/>
              <w:left w:val="nil"/>
              <w:bottom w:val="single" w:color="auto" w:sz="4" w:space="0"/>
              <w:right w:val="single" w:color="auto" w:sz="8" w:space="0"/>
            </w:tcBorders>
            <w:noWrap w:val="0"/>
            <w:vAlign w:val="center"/>
          </w:tcPr>
          <w:p>
            <w:pPr>
              <w:widowControl/>
              <w:jc w:val="left"/>
              <w:rPr>
                <w:rFonts w:eastAsia="仿宋_GB2312"/>
                <w:color w:val="000000"/>
                <w:spacing w:val="-2"/>
                <w:kern w:val="0"/>
                <w:szCs w:val="21"/>
              </w:rPr>
            </w:pPr>
          </w:p>
        </w:tc>
      </w:tr>
      <w:tr>
        <w:tblPrEx>
          <w:tblCellMar>
            <w:top w:w="0" w:type="dxa"/>
            <w:left w:w="108" w:type="dxa"/>
            <w:bottom w:w="0" w:type="dxa"/>
            <w:right w:w="108" w:type="dxa"/>
          </w:tblCellMar>
        </w:tblPrEx>
        <w:trPr>
          <w:trHeight w:val="435" w:hRule="atLeast"/>
          <w:jc w:val="center"/>
        </w:trPr>
        <w:tc>
          <w:tcPr>
            <w:tcW w:w="386" w:type="dxa"/>
            <w:vMerge w:val="restart"/>
            <w:tcBorders>
              <w:top w:val="nil"/>
              <w:left w:val="single" w:color="auto" w:sz="8"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eastAsia="仿宋_GB2312"/>
                <w:color w:val="000000"/>
                <w:spacing w:val="-2"/>
                <w:kern w:val="0"/>
                <w:szCs w:val="21"/>
              </w:rPr>
              <w:t>4</w:t>
            </w:r>
          </w:p>
        </w:tc>
        <w:tc>
          <w:tcPr>
            <w:tcW w:w="1104" w:type="dxa"/>
            <w:vMerge w:val="restart"/>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创优治劣情况</w:t>
            </w:r>
          </w:p>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10</w:t>
            </w:r>
            <w:r>
              <w:rPr>
                <w:rFonts w:hint="eastAsia" w:eastAsia="仿宋_GB2312"/>
                <w:color w:val="000000"/>
                <w:spacing w:val="-2"/>
                <w:kern w:val="0"/>
                <w:szCs w:val="21"/>
              </w:rPr>
              <w:t>分）</w:t>
            </w:r>
          </w:p>
        </w:tc>
        <w:tc>
          <w:tcPr>
            <w:tcW w:w="3480" w:type="dxa"/>
            <w:gridSpan w:val="2"/>
            <w:vMerge w:val="restart"/>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根据创优申报落实专项施工方案及现场实施情况</w:t>
            </w:r>
          </w:p>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10</w:t>
            </w:r>
            <w:r>
              <w:rPr>
                <w:rFonts w:hint="eastAsia" w:eastAsia="仿宋_GB2312"/>
                <w:color w:val="000000"/>
                <w:spacing w:val="-2"/>
                <w:kern w:val="0"/>
                <w:szCs w:val="21"/>
              </w:rPr>
              <w:t>分）</w:t>
            </w:r>
          </w:p>
        </w:tc>
        <w:tc>
          <w:tcPr>
            <w:tcW w:w="1716" w:type="dxa"/>
            <w:gridSpan w:val="2"/>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未制定创优方案扣</w:t>
            </w:r>
            <w:r>
              <w:rPr>
                <w:rFonts w:eastAsia="仿宋_GB2312"/>
                <w:color w:val="000000"/>
                <w:spacing w:val="-2"/>
                <w:kern w:val="0"/>
                <w:szCs w:val="21"/>
              </w:rPr>
              <w:t>5</w:t>
            </w:r>
            <w:r>
              <w:rPr>
                <w:rFonts w:hint="eastAsia" w:eastAsia="仿宋_GB2312"/>
                <w:color w:val="000000"/>
                <w:spacing w:val="-2"/>
                <w:kern w:val="0"/>
                <w:szCs w:val="21"/>
              </w:rPr>
              <w:t>分</w:t>
            </w:r>
          </w:p>
        </w:tc>
        <w:tc>
          <w:tcPr>
            <w:tcW w:w="720"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20" w:type="dxa"/>
            <w:vMerge w:val="restart"/>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1149" w:type="dxa"/>
            <w:vMerge w:val="restart"/>
            <w:tcBorders>
              <w:top w:val="single" w:color="auto" w:sz="4" w:space="0"/>
              <w:left w:val="nil"/>
              <w:bottom w:val="single" w:color="auto" w:sz="4" w:space="0"/>
              <w:right w:val="single" w:color="auto" w:sz="8" w:space="0"/>
            </w:tcBorders>
            <w:noWrap w:val="0"/>
            <w:vAlign w:val="center"/>
          </w:tcPr>
          <w:p>
            <w:pPr>
              <w:adjustRightInd w:val="0"/>
              <w:snapToGrid w:val="0"/>
              <w:jc w:val="center"/>
              <w:rPr>
                <w:rFonts w:eastAsia="仿宋_GB2312"/>
                <w:color w:val="000000"/>
                <w:spacing w:val="-2"/>
                <w:kern w:val="0"/>
                <w:szCs w:val="21"/>
              </w:rPr>
            </w:pPr>
          </w:p>
        </w:tc>
      </w:tr>
      <w:tr>
        <w:tblPrEx>
          <w:tblCellMar>
            <w:top w:w="0" w:type="dxa"/>
            <w:left w:w="108" w:type="dxa"/>
            <w:bottom w:w="0" w:type="dxa"/>
            <w:right w:w="108" w:type="dxa"/>
          </w:tblCellMar>
        </w:tblPrEx>
        <w:trPr>
          <w:trHeight w:val="480" w:hRule="atLeast"/>
          <w:jc w:val="center"/>
        </w:trPr>
        <w:tc>
          <w:tcPr>
            <w:tcW w:w="386" w:type="dxa"/>
            <w:vMerge w:val="continue"/>
            <w:tcBorders>
              <w:top w:val="nil"/>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104"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3480" w:type="dxa"/>
            <w:gridSpan w:val="2"/>
            <w:vMerge w:val="continue"/>
            <w:tcBorders>
              <w:top w:val="single" w:color="auto" w:sz="4" w:space="0"/>
              <w:left w:val="nil"/>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716" w:type="dxa"/>
            <w:gridSpan w:val="2"/>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未按创优专项方案落实施工扣</w:t>
            </w:r>
          </w:p>
          <w:p>
            <w:pPr>
              <w:adjustRightInd w:val="0"/>
              <w:snapToGrid w:val="0"/>
              <w:jc w:val="center"/>
              <w:rPr>
                <w:rFonts w:eastAsia="仿宋_GB2312"/>
                <w:color w:val="000000"/>
                <w:spacing w:val="-2"/>
                <w:kern w:val="0"/>
                <w:szCs w:val="21"/>
              </w:rPr>
            </w:pPr>
            <w:r>
              <w:rPr>
                <w:rFonts w:eastAsia="仿宋_GB2312"/>
                <w:color w:val="000000"/>
                <w:spacing w:val="-2"/>
                <w:kern w:val="0"/>
                <w:szCs w:val="21"/>
              </w:rPr>
              <w:t>5</w:t>
            </w:r>
            <w:r>
              <w:rPr>
                <w:rFonts w:hint="eastAsia" w:eastAsia="仿宋_GB2312"/>
                <w:color w:val="000000"/>
                <w:spacing w:val="-2"/>
                <w:kern w:val="0"/>
                <w:szCs w:val="21"/>
              </w:rPr>
              <w:t>分</w:t>
            </w:r>
          </w:p>
        </w:tc>
        <w:tc>
          <w:tcPr>
            <w:tcW w:w="720"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20"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149" w:type="dxa"/>
            <w:vMerge w:val="continue"/>
            <w:tcBorders>
              <w:top w:val="single" w:color="auto" w:sz="4" w:space="0"/>
              <w:left w:val="nil"/>
              <w:bottom w:val="single" w:color="auto" w:sz="4" w:space="0"/>
              <w:right w:val="single" w:color="auto" w:sz="8" w:space="0"/>
            </w:tcBorders>
            <w:noWrap w:val="0"/>
            <w:vAlign w:val="center"/>
          </w:tcPr>
          <w:p>
            <w:pPr>
              <w:widowControl/>
              <w:jc w:val="left"/>
              <w:rPr>
                <w:rFonts w:eastAsia="仿宋_GB2312"/>
                <w:color w:val="000000"/>
                <w:spacing w:val="-2"/>
                <w:kern w:val="0"/>
                <w:szCs w:val="21"/>
              </w:rPr>
            </w:pPr>
          </w:p>
        </w:tc>
      </w:tr>
      <w:tr>
        <w:tblPrEx>
          <w:tblCellMar>
            <w:top w:w="0" w:type="dxa"/>
            <w:left w:w="108" w:type="dxa"/>
            <w:bottom w:w="0" w:type="dxa"/>
            <w:right w:w="108" w:type="dxa"/>
          </w:tblCellMar>
        </w:tblPrEx>
        <w:trPr>
          <w:trHeight w:val="660" w:hRule="atLeast"/>
          <w:jc w:val="center"/>
        </w:trPr>
        <w:tc>
          <w:tcPr>
            <w:tcW w:w="2485" w:type="dxa"/>
            <w:gridSpan w:val="3"/>
            <w:tcBorders>
              <w:top w:val="single" w:color="auto" w:sz="4" w:space="0"/>
              <w:left w:val="single" w:color="auto" w:sz="8" w:space="0"/>
              <w:bottom w:val="single" w:color="auto" w:sz="8"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检查人签字：</w:t>
            </w:r>
            <w:r>
              <w:rPr>
                <w:rFonts w:eastAsia="仿宋_GB2312"/>
                <w:color w:val="000000"/>
                <w:spacing w:val="-2"/>
                <w:kern w:val="0"/>
                <w:szCs w:val="21"/>
              </w:rPr>
              <w:t xml:space="preserve"> </w:t>
            </w:r>
          </w:p>
        </w:tc>
        <w:tc>
          <w:tcPr>
            <w:tcW w:w="2579" w:type="dxa"/>
            <w:gridSpan w:val="2"/>
            <w:tcBorders>
              <w:top w:val="single" w:color="auto" w:sz="4" w:space="0"/>
              <w:left w:val="single" w:color="auto" w:sz="4" w:space="0"/>
              <w:bottom w:val="single" w:color="auto" w:sz="8"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被检查单位签字：</w:t>
            </w:r>
          </w:p>
        </w:tc>
        <w:tc>
          <w:tcPr>
            <w:tcW w:w="1622" w:type="dxa"/>
            <w:tcBorders>
              <w:top w:val="single" w:color="auto" w:sz="4" w:space="0"/>
              <w:left w:val="single" w:color="auto" w:sz="4" w:space="0"/>
              <w:bottom w:val="single" w:color="auto" w:sz="8"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得分扣分情况</w:t>
            </w:r>
          </w:p>
        </w:tc>
        <w:tc>
          <w:tcPr>
            <w:tcW w:w="720" w:type="dxa"/>
            <w:tcBorders>
              <w:top w:val="single" w:color="auto" w:sz="4" w:space="0"/>
              <w:left w:val="nil"/>
              <w:bottom w:val="single" w:color="auto" w:sz="8"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20" w:type="dxa"/>
            <w:tcBorders>
              <w:top w:val="single" w:color="auto" w:sz="4" w:space="0"/>
              <w:left w:val="nil"/>
              <w:bottom w:val="single" w:color="auto" w:sz="8"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1149" w:type="dxa"/>
            <w:tcBorders>
              <w:top w:val="single" w:color="auto" w:sz="4" w:space="0"/>
              <w:left w:val="nil"/>
              <w:bottom w:val="single" w:color="auto" w:sz="8" w:space="0"/>
              <w:right w:val="single" w:color="auto" w:sz="8" w:space="0"/>
            </w:tcBorders>
            <w:noWrap w:val="0"/>
            <w:vAlign w:val="center"/>
          </w:tcPr>
          <w:p>
            <w:pPr>
              <w:adjustRightInd w:val="0"/>
              <w:snapToGrid w:val="0"/>
              <w:jc w:val="center"/>
              <w:rPr>
                <w:rFonts w:eastAsia="仿宋_GB2312"/>
                <w:color w:val="000000"/>
                <w:spacing w:val="-2"/>
                <w:kern w:val="0"/>
                <w:szCs w:val="21"/>
              </w:rPr>
            </w:pPr>
          </w:p>
        </w:tc>
      </w:tr>
    </w:tbl>
    <w:p>
      <w:pPr>
        <w:widowControl/>
        <w:spacing w:beforeAutospacing="1" w:afterAutospacing="1"/>
        <w:jc w:val="left"/>
        <w:rPr>
          <w:rFonts w:ascii="Times New Roman" w:hAnsi="Times New Roman" w:eastAsia="仿宋"/>
          <w:b/>
          <w:bCs/>
          <w:color w:val="000000"/>
          <w:spacing w:val="-2"/>
          <w:kern w:val="0"/>
          <w:sz w:val="32"/>
          <w:szCs w:val="32"/>
        </w:rPr>
        <w:sectPr>
          <w:pgSz w:w="11906" w:h="16838"/>
          <w:pgMar w:top="1701" w:right="1588" w:bottom="1701" w:left="1588" w:header="851" w:footer="1361" w:gutter="0"/>
          <w:cols w:space="720" w:num="1"/>
        </w:sectPr>
      </w:pPr>
    </w:p>
    <w:p>
      <w:pPr>
        <w:pStyle w:val="7"/>
        <w:adjustRightInd w:val="0"/>
        <w:snapToGrid w:val="0"/>
        <w:spacing w:line="570" w:lineRule="exact"/>
        <w:jc w:val="center"/>
        <w:rPr>
          <w:rFonts w:hint="eastAsia" w:ascii="Times New Roman" w:hAnsi="Times New Roman" w:eastAsia="方正黑体_GBK"/>
          <w:bCs/>
          <w:color w:val="000000"/>
          <w:spacing w:val="-2"/>
          <w:sz w:val="28"/>
          <w:szCs w:val="28"/>
        </w:rPr>
      </w:pPr>
      <w:r>
        <w:rPr>
          <w:rFonts w:hint="eastAsia" w:ascii="Times New Roman" w:hAnsi="Times New Roman" w:eastAsia="方正黑体_GBK"/>
          <w:bCs/>
          <w:color w:val="000000"/>
          <w:spacing w:val="-2"/>
          <w:sz w:val="28"/>
          <w:szCs w:val="28"/>
        </w:rPr>
        <w:t>建筑市场综合考核用表之四（工程质量三）</w:t>
      </w:r>
    </w:p>
    <w:p>
      <w:pPr>
        <w:adjustRightInd w:val="0"/>
        <w:snapToGrid w:val="0"/>
        <w:spacing w:line="570" w:lineRule="exact"/>
        <w:ind w:firstLine="236" w:firstLineChars="100"/>
        <w:rPr>
          <w:rFonts w:hint="eastAsia" w:ascii="Times New Roman" w:hAnsi="Times New Roman" w:eastAsia="仿宋_GB2312"/>
          <w:b/>
          <w:bCs/>
          <w:color w:val="000000"/>
          <w:spacing w:val="-2"/>
          <w:kern w:val="0"/>
          <w:sz w:val="24"/>
        </w:rPr>
      </w:pPr>
      <w:r>
        <w:rPr>
          <w:rFonts w:hint="eastAsia" w:ascii="Times New Roman" w:hAnsi="Times New Roman" w:eastAsia="仿宋_GB2312"/>
          <w:bCs/>
          <w:color w:val="000000"/>
          <w:spacing w:val="-2"/>
          <w:kern w:val="0"/>
          <w:sz w:val="24"/>
        </w:rPr>
        <w:t>项目编号                                        检查日期：</w:t>
      </w: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51"/>
        <w:gridCol w:w="1273"/>
        <w:gridCol w:w="890"/>
        <w:gridCol w:w="335"/>
        <w:gridCol w:w="375"/>
        <w:gridCol w:w="8"/>
        <w:gridCol w:w="367"/>
        <w:gridCol w:w="375"/>
        <w:gridCol w:w="375"/>
        <w:gridCol w:w="375"/>
        <w:gridCol w:w="136"/>
        <w:gridCol w:w="239"/>
        <w:gridCol w:w="375"/>
        <w:gridCol w:w="375"/>
        <w:gridCol w:w="375"/>
        <w:gridCol w:w="376"/>
        <w:gridCol w:w="774"/>
        <w:gridCol w:w="732"/>
        <w:gridCol w:w="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525" w:hRule="atLeast"/>
          <w:jc w:val="center"/>
        </w:trPr>
        <w:tc>
          <w:tcPr>
            <w:tcW w:w="9106" w:type="dxa"/>
            <w:gridSpan w:val="18"/>
            <w:tcBorders>
              <w:top w:val="single" w:color="auto" w:sz="8" w:space="0"/>
              <w:left w:val="single" w:color="auto" w:sz="8" w:space="0"/>
              <w:bottom w:val="single" w:color="auto" w:sz="4" w:space="0"/>
              <w:right w:val="single" w:color="auto" w:sz="8" w:space="0"/>
            </w:tcBorders>
            <w:noWrap w:val="0"/>
            <w:vAlign w:val="center"/>
          </w:tcPr>
          <w:p>
            <w:pPr>
              <w:adjustRightInd w:val="0"/>
              <w:snapToGrid w:val="0"/>
              <w:rPr>
                <w:rFonts w:eastAsia="仿宋_GB2312"/>
                <w:color w:val="000000"/>
                <w:spacing w:val="-2"/>
                <w:kern w:val="0"/>
                <w:szCs w:val="21"/>
              </w:rPr>
            </w:pPr>
            <w:r>
              <w:rPr>
                <w:rFonts w:hint="eastAsia" w:eastAsia="仿宋_GB2312"/>
                <w:b/>
                <w:bCs/>
                <w:color w:val="000000"/>
                <w:spacing w:val="-2"/>
                <w:kern w:val="0"/>
                <w:szCs w:val="21"/>
              </w:rPr>
              <w:t>工程实体抽测质量（</w:t>
            </w:r>
            <w:r>
              <w:rPr>
                <w:rFonts w:eastAsia="仿宋_GB2312"/>
                <w:b/>
                <w:bCs/>
                <w:color w:val="000000"/>
                <w:spacing w:val="-2"/>
                <w:kern w:val="0"/>
                <w:szCs w:val="21"/>
              </w:rPr>
              <w:t>100</w:t>
            </w:r>
            <w:r>
              <w:rPr>
                <w:rFonts w:hint="eastAsia" w:eastAsia="仿宋_GB2312"/>
                <w:b/>
                <w:bCs/>
                <w:color w:val="000000"/>
                <w:spacing w:val="-2"/>
                <w:kern w:val="0"/>
                <w:szCs w:val="21"/>
              </w:rPr>
              <w:t>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525" w:hRule="atLeast"/>
          <w:jc w:val="center"/>
        </w:trPr>
        <w:tc>
          <w:tcPr>
            <w:tcW w:w="1351" w:type="dxa"/>
            <w:tcBorders>
              <w:top w:val="single" w:color="auto" w:sz="4" w:space="0"/>
              <w:left w:val="single" w:color="auto" w:sz="8"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单位名称</w:t>
            </w:r>
          </w:p>
        </w:tc>
        <w:tc>
          <w:tcPr>
            <w:tcW w:w="2163"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2346" w:type="dxa"/>
            <w:gridSpan w:val="8"/>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抽测地点</w:t>
            </w:r>
          </w:p>
        </w:tc>
        <w:tc>
          <w:tcPr>
            <w:tcW w:w="3246" w:type="dxa"/>
            <w:gridSpan w:val="7"/>
            <w:tcBorders>
              <w:top w:val="single" w:color="auto" w:sz="4" w:space="0"/>
              <w:left w:val="single" w:color="auto" w:sz="4" w:space="0"/>
              <w:bottom w:val="single" w:color="auto" w:sz="4" w:space="0"/>
              <w:right w:val="single" w:color="auto" w:sz="8" w:space="0"/>
            </w:tcBorders>
            <w:noWrap w:val="0"/>
            <w:vAlign w:val="center"/>
          </w:tcPr>
          <w:p>
            <w:pPr>
              <w:adjustRightInd w:val="0"/>
              <w:snapToGrid w:val="0"/>
              <w:jc w:val="center"/>
              <w:rPr>
                <w:rFonts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525" w:hRule="atLeast"/>
          <w:jc w:val="center"/>
        </w:trPr>
        <w:tc>
          <w:tcPr>
            <w:tcW w:w="1351" w:type="dxa"/>
            <w:tcBorders>
              <w:top w:val="single" w:color="auto" w:sz="4" w:space="0"/>
              <w:left w:val="single" w:color="auto" w:sz="8"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工程名称</w:t>
            </w:r>
          </w:p>
        </w:tc>
        <w:tc>
          <w:tcPr>
            <w:tcW w:w="2163"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2346" w:type="dxa"/>
            <w:gridSpan w:val="8"/>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抽测日期</w:t>
            </w:r>
          </w:p>
        </w:tc>
        <w:tc>
          <w:tcPr>
            <w:tcW w:w="3246" w:type="dxa"/>
            <w:gridSpan w:val="7"/>
            <w:tcBorders>
              <w:top w:val="single" w:color="auto" w:sz="4" w:space="0"/>
              <w:left w:val="single" w:color="auto" w:sz="4" w:space="0"/>
              <w:bottom w:val="single" w:color="auto" w:sz="4" w:space="0"/>
              <w:right w:val="single" w:color="auto" w:sz="8" w:space="0"/>
            </w:tcBorders>
            <w:noWrap w:val="0"/>
            <w:vAlign w:val="center"/>
          </w:tcPr>
          <w:p>
            <w:pPr>
              <w:adjustRightInd w:val="0"/>
              <w:snapToGrid w:val="0"/>
              <w:jc w:val="center"/>
              <w:rPr>
                <w:rFonts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525" w:hRule="atLeast"/>
          <w:jc w:val="center"/>
        </w:trPr>
        <w:tc>
          <w:tcPr>
            <w:tcW w:w="1351" w:type="dxa"/>
            <w:tcBorders>
              <w:top w:val="single" w:color="auto" w:sz="4" w:space="0"/>
              <w:left w:val="single" w:color="auto" w:sz="8"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抽测项目及</w:t>
            </w:r>
          </w:p>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分值</w:t>
            </w:r>
          </w:p>
        </w:tc>
        <w:tc>
          <w:tcPr>
            <w:tcW w:w="127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部位</w:t>
            </w:r>
          </w:p>
        </w:tc>
        <w:tc>
          <w:tcPr>
            <w:tcW w:w="89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设计值</w:t>
            </w:r>
          </w:p>
        </w:tc>
        <w:tc>
          <w:tcPr>
            <w:tcW w:w="4086" w:type="dxa"/>
            <w:gridSpan w:val="13"/>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抽测数据</w:t>
            </w:r>
          </w:p>
        </w:tc>
        <w:tc>
          <w:tcPr>
            <w:tcW w:w="77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得分</w:t>
            </w:r>
          </w:p>
        </w:tc>
        <w:tc>
          <w:tcPr>
            <w:tcW w:w="732"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扣分</w:t>
            </w:r>
          </w:p>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原因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624" w:hRule="exact"/>
          <w:jc w:val="center"/>
        </w:trPr>
        <w:tc>
          <w:tcPr>
            <w:tcW w:w="1351" w:type="dxa"/>
            <w:vMerge w:val="restart"/>
            <w:tcBorders>
              <w:top w:val="single" w:color="auto" w:sz="4" w:space="0"/>
              <w:left w:val="single" w:color="auto" w:sz="8"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混凝土强度（</w:t>
            </w:r>
            <w:r>
              <w:rPr>
                <w:rFonts w:eastAsia="仿宋_GB2312"/>
                <w:color w:val="000000"/>
                <w:spacing w:val="-2"/>
                <w:kern w:val="0"/>
                <w:szCs w:val="21"/>
              </w:rPr>
              <w:t>30</w:t>
            </w:r>
            <w:r>
              <w:rPr>
                <w:rFonts w:hint="eastAsia" w:eastAsia="仿宋_GB2312"/>
                <w:color w:val="000000"/>
                <w:spacing w:val="-2"/>
                <w:kern w:val="0"/>
                <w:szCs w:val="21"/>
              </w:rPr>
              <w:t>分）</w:t>
            </w:r>
          </w:p>
        </w:tc>
        <w:tc>
          <w:tcPr>
            <w:tcW w:w="127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89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ascii="Times New Roman" w:hAnsi="Times New Roman" w:cs="宋体"/>
                <w:color w:val="000000"/>
                <w:spacing w:val="-2"/>
                <w:kern w:val="0"/>
                <w:szCs w:val="21"/>
              </w:rPr>
              <w:t>Ⅰ</w:t>
            </w: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74"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32" w:type="dxa"/>
            <w:vMerge w:val="restart"/>
            <w:tcBorders>
              <w:top w:val="single" w:color="auto" w:sz="4" w:space="0"/>
              <w:left w:val="single" w:color="auto" w:sz="4" w:space="0"/>
              <w:bottom w:val="single" w:color="auto" w:sz="4" w:space="0"/>
              <w:right w:val="single" w:color="auto" w:sz="8" w:space="0"/>
            </w:tcBorders>
            <w:noWrap w:val="0"/>
            <w:vAlign w:val="center"/>
          </w:tcPr>
          <w:p>
            <w:pPr>
              <w:adjustRightInd w:val="0"/>
              <w:snapToGrid w:val="0"/>
              <w:jc w:val="center"/>
              <w:rPr>
                <w:rFonts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624" w:hRule="exact"/>
          <w:jc w:val="center"/>
        </w:trPr>
        <w:tc>
          <w:tcPr>
            <w:tcW w:w="1351"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89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ascii="Times New Roman" w:hAnsi="Times New Roman" w:cs="宋体"/>
                <w:color w:val="000000"/>
                <w:spacing w:val="-2"/>
                <w:kern w:val="0"/>
                <w:szCs w:val="21"/>
              </w:rPr>
              <w:t>Ⅱ</w:t>
            </w: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7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732" w:type="dxa"/>
            <w:vMerge w:val="continue"/>
            <w:tcBorders>
              <w:top w:val="single" w:color="auto" w:sz="4" w:space="0"/>
              <w:left w:val="single" w:color="auto" w:sz="4" w:space="0"/>
              <w:bottom w:val="single" w:color="auto" w:sz="4" w:space="0"/>
              <w:right w:val="single" w:color="auto" w:sz="8" w:space="0"/>
            </w:tcBorders>
            <w:noWrap w:val="0"/>
            <w:vAlign w:val="center"/>
          </w:tcPr>
          <w:p>
            <w:pPr>
              <w:widowControl/>
              <w:jc w:val="left"/>
              <w:rPr>
                <w:rFonts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351" w:type="dxa"/>
            <w:vMerge w:val="restart"/>
            <w:tcBorders>
              <w:top w:val="single" w:color="auto" w:sz="4" w:space="0"/>
              <w:left w:val="single" w:color="auto" w:sz="8"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轴线尺寸</w:t>
            </w:r>
          </w:p>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10</w:t>
            </w:r>
            <w:r>
              <w:rPr>
                <w:rFonts w:hint="eastAsia" w:eastAsia="仿宋_GB2312"/>
                <w:color w:val="000000"/>
                <w:spacing w:val="-2"/>
                <w:kern w:val="0"/>
                <w:szCs w:val="21"/>
              </w:rPr>
              <w:t>分）</w:t>
            </w:r>
          </w:p>
        </w:tc>
        <w:tc>
          <w:tcPr>
            <w:tcW w:w="127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89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ascii="Times New Roman" w:hAnsi="Times New Roman" w:cs="宋体"/>
                <w:color w:val="000000"/>
                <w:spacing w:val="-2"/>
                <w:kern w:val="0"/>
                <w:szCs w:val="21"/>
              </w:rPr>
              <w:t>Ⅰ</w:t>
            </w: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74"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41" w:type="dxa"/>
            <w:gridSpan w:val="2"/>
            <w:vMerge w:val="restart"/>
            <w:tcBorders>
              <w:top w:val="single" w:color="auto" w:sz="4" w:space="0"/>
              <w:left w:val="single" w:color="auto" w:sz="4" w:space="0"/>
              <w:bottom w:val="single" w:color="auto" w:sz="4" w:space="0"/>
              <w:right w:val="single" w:color="auto" w:sz="8" w:space="0"/>
            </w:tcBorders>
            <w:noWrap w:val="0"/>
            <w:vAlign w:val="center"/>
          </w:tcPr>
          <w:p>
            <w:pPr>
              <w:adjustRightInd w:val="0"/>
              <w:snapToGrid w:val="0"/>
              <w:jc w:val="center"/>
              <w:rPr>
                <w:rFonts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351"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89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ascii="Times New Roman" w:hAnsi="Times New Roman" w:cs="宋体"/>
                <w:color w:val="000000"/>
                <w:spacing w:val="-2"/>
                <w:kern w:val="0"/>
                <w:szCs w:val="21"/>
              </w:rPr>
              <w:t>Ⅱ</w:t>
            </w: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7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741" w:type="dxa"/>
            <w:gridSpan w:val="2"/>
            <w:vMerge w:val="continue"/>
            <w:tcBorders>
              <w:top w:val="single" w:color="auto" w:sz="4" w:space="0"/>
              <w:left w:val="single" w:color="auto" w:sz="4" w:space="0"/>
              <w:bottom w:val="single" w:color="auto" w:sz="4" w:space="0"/>
              <w:right w:val="single" w:color="auto" w:sz="8" w:space="0"/>
            </w:tcBorders>
            <w:noWrap w:val="0"/>
            <w:vAlign w:val="center"/>
          </w:tcPr>
          <w:p>
            <w:pPr>
              <w:widowControl/>
              <w:jc w:val="left"/>
              <w:rPr>
                <w:rFonts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351" w:type="dxa"/>
            <w:vMerge w:val="restart"/>
            <w:tcBorders>
              <w:top w:val="single" w:color="auto" w:sz="4" w:space="0"/>
              <w:left w:val="single" w:color="auto" w:sz="8"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楼层标高</w:t>
            </w:r>
          </w:p>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10</w:t>
            </w:r>
            <w:r>
              <w:rPr>
                <w:rFonts w:hint="eastAsia" w:eastAsia="仿宋_GB2312"/>
                <w:color w:val="000000"/>
                <w:spacing w:val="-2"/>
                <w:kern w:val="0"/>
                <w:szCs w:val="21"/>
              </w:rPr>
              <w:t>分）</w:t>
            </w:r>
          </w:p>
        </w:tc>
        <w:tc>
          <w:tcPr>
            <w:tcW w:w="127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89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ascii="Times New Roman" w:hAnsi="Times New Roman" w:cs="宋体"/>
                <w:color w:val="000000"/>
                <w:spacing w:val="-2"/>
                <w:kern w:val="0"/>
                <w:szCs w:val="21"/>
              </w:rPr>
              <w:t>Ⅰ</w:t>
            </w: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74"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41" w:type="dxa"/>
            <w:gridSpan w:val="2"/>
            <w:vMerge w:val="restart"/>
            <w:tcBorders>
              <w:top w:val="single" w:color="auto" w:sz="4" w:space="0"/>
              <w:left w:val="single" w:color="auto" w:sz="4" w:space="0"/>
              <w:bottom w:val="single" w:color="auto" w:sz="4" w:space="0"/>
              <w:right w:val="single" w:color="auto" w:sz="8" w:space="0"/>
            </w:tcBorders>
            <w:noWrap w:val="0"/>
            <w:vAlign w:val="center"/>
          </w:tcPr>
          <w:p>
            <w:pPr>
              <w:adjustRightInd w:val="0"/>
              <w:snapToGrid w:val="0"/>
              <w:jc w:val="center"/>
              <w:rPr>
                <w:rFonts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351"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89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ascii="Times New Roman" w:hAnsi="Times New Roman" w:cs="宋体"/>
                <w:color w:val="000000"/>
                <w:spacing w:val="-2"/>
                <w:kern w:val="0"/>
                <w:szCs w:val="21"/>
              </w:rPr>
              <w:t>Ⅱ</w:t>
            </w: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7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741" w:type="dxa"/>
            <w:gridSpan w:val="2"/>
            <w:vMerge w:val="continue"/>
            <w:tcBorders>
              <w:top w:val="single" w:color="auto" w:sz="4" w:space="0"/>
              <w:left w:val="single" w:color="auto" w:sz="4" w:space="0"/>
              <w:bottom w:val="single" w:color="auto" w:sz="4" w:space="0"/>
              <w:right w:val="single" w:color="auto" w:sz="8" w:space="0"/>
            </w:tcBorders>
            <w:noWrap w:val="0"/>
            <w:vAlign w:val="center"/>
          </w:tcPr>
          <w:p>
            <w:pPr>
              <w:widowControl/>
              <w:jc w:val="left"/>
              <w:rPr>
                <w:rFonts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351" w:type="dxa"/>
            <w:vMerge w:val="restart"/>
            <w:tcBorders>
              <w:top w:val="single" w:color="auto" w:sz="4" w:space="0"/>
              <w:left w:val="single" w:color="auto" w:sz="8"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现浇板厚度（</w:t>
            </w:r>
            <w:r>
              <w:rPr>
                <w:rFonts w:eastAsia="仿宋_GB2312"/>
                <w:color w:val="000000"/>
                <w:spacing w:val="-2"/>
                <w:kern w:val="0"/>
                <w:szCs w:val="21"/>
              </w:rPr>
              <w:t>10</w:t>
            </w:r>
            <w:r>
              <w:rPr>
                <w:rFonts w:hint="eastAsia" w:eastAsia="仿宋_GB2312"/>
                <w:color w:val="000000"/>
                <w:spacing w:val="-2"/>
                <w:kern w:val="0"/>
                <w:szCs w:val="21"/>
              </w:rPr>
              <w:t>分）</w:t>
            </w:r>
          </w:p>
        </w:tc>
        <w:tc>
          <w:tcPr>
            <w:tcW w:w="127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89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ascii="Times New Roman" w:hAnsi="Times New Roman" w:cs="宋体"/>
                <w:color w:val="000000"/>
                <w:spacing w:val="-2"/>
                <w:kern w:val="0"/>
                <w:szCs w:val="21"/>
              </w:rPr>
              <w:t>Ⅰ</w:t>
            </w: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74"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41" w:type="dxa"/>
            <w:gridSpan w:val="2"/>
            <w:vMerge w:val="restart"/>
            <w:tcBorders>
              <w:top w:val="single" w:color="auto" w:sz="4" w:space="0"/>
              <w:left w:val="single" w:color="auto" w:sz="4" w:space="0"/>
              <w:bottom w:val="single" w:color="auto" w:sz="4" w:space="0"/>
              <w:right w:val="single" w:color="auto" w:sz="8" w:space="0"/>
            </w:tcBorders>
            <w:noWrap w:val="0"/>
            <w:vAlign w:val="center"/>
          </w:tcPr>
          <w:p>
            <w:pPr>
              <w:adjustRightInd w:val="0"/>
              <w:snapToGrid w:val="0"/>
              <w:jc w:val="center"/>
              <w:rPr>
                <w:rFonts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351"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89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ascii="Times New Roman" w:hAnsi="Times New Roman" w:cs="宋体"/>
                <w:color w:val="000000"/>
                <w:spacing w:val="-2"/>
                <w:kern w:val="0"/>
                <w:szCs w:val="21"/>
              </w:rPr>
              <w:t>Ⅱ</w:t>
            </w: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7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741" w:type="dxa"/>
            <w:gridSpan w:val="2"/>
            <w:vMerge w:val="continue"/>
            <w:tcBorders>
              <w:top w:val="single" w:color="auto" w:sz="4" w:space="0"/>
              <w:left w:val="single" w:color="auto" w:sz="4" w:space="0"/>
              <w:bottom w:val="single" w:color="auto" w:sz="4" w:space="0"/>
              <w:right w:val="single" w:color="auto" w:sz="8" w:space="0"/>
            </w:tcBorders>
            <w:noWrap w:val="0"/>
            <w:vAlign w:val="center"/>
          </w:tcPr>
          <w:p>
            <w:pPr>
              <w:widowControl/>
              <w:jc w:val="left"/>
              <w:rPr>
                <w:rFonts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351" w:type="dxa"/>
            <w:vMerge w:val="restart"/>
            <w:tcBorders>
              <w:top w:val="single" w:color="auto" w:sz="4" w:space="0"/>
              <w:left w:val="single" w:color="auto" w:sz="8"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重要构件几何尺寸</w:t>
            </w:r>
          </w:p>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10</w:t>
            </w:r>
            <w:r>
              <w:rPr>
                <w:rFonts w:hint="eastAsia" w:eastAsia="仿宋_GB2312"/>
                <w:color w:val="000000"/>
                <w:spacing w:val="-2"/>
                <w:kern w:val="0"/>
                <w:szCs w:val="21"/>
              </w:rPr>
              <w:t>分）</w:t>
            </w:r>
          </w:p>
        </w:tc>
        <w:tc>
          <w:tcPr>
            <w:tcW w:w="127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89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ascii="Times New Roman" w:hAnsi="Times New Roman" w:cs="宋体"/>
                <w:color w:val="000000"/>
                <w:spacing w:val="-2"/>
                <w:kern w:val="0"/>
                <w:szCs w:val="21"/>
              </w:rPr>
              <w:t>Ⅰ</w:t>
            </w: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74"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41" w:type="dxa"/>
            <w:gridSpan w:val="2"/>
            <w:vMerge w:val="restart"/>
            <w:tcBorders>
              <w:top w:val="single" w:color="auto" w:sz="4" w:space="0"/>
              <w:left w:val="single" w:color="auto" w:sz="4" w:space="0"/>
              <w:bottom w:val="single" w:color="auto" w:sz="4" w:space="0"/>
              <w:right w:val="single" w:color="auto" w:sz="8" w:space="0"/>
            </w:tcBorders>
            <w:noWrap w:val="0"/>
            <w:vAlign w:val="center"/>
          </w:tcPr>
          <w:p>
            <w:pPr>
              <w:adjustRightInd w:val="0"/>
              <w:snapToGrid w:val="0"/>
              <w:jc w:val="center"/>
              <w:rPr>
                <w:rFonts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351"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89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ascii="Times New Roman" w:hAnsi="Times New Roman" w:cs="宋体"/>
                <w:color w:val="000000"/>
                <w:spacing w:val="-2"/>
                <w:kern w:val="0"/>
                <w:szCs w:val="21"/>
              </w:rPr>
              <w:t>Ⅱ</w:t>
            </w: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37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7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741" w:type="dxa"/>
            <w:gridSpan w:val="2"/>
            <w:vMerge w:val="continue"/>
            <w:tcBorders>
              <w:top w:val="single" w:color="auto" w:sz="4" w:space="0"/>
              <w:left w:val="single" w:color="auto" w:sz="4" w:space="0"/>
              <w:bottom w:val="single" w:color="auto" w:sz="4" w:space="0"/>
              <w:right w:val="single" w:color="auto" w:sz="8" w:space="0"/>
            </w:tcBorders>
            <w:noWrap w:val="0"/>
            <w:vAlign w:val="center"/>
          </w:tcPr>
          <w:p>
            <w:pPr>
              <w:widowControl/>
              <w:jc w:val="left"/>
              <w:rPr>
                <w:rFonts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720" w:hRule="atLeast"/>
          <w:jc w:val="center"/>
        </w:trPr>
        <w:tc>
          <w:tcPr>
            <w:tcW w:w="1351" w:type="dxa"/>
            <w:tcBorders>
              <w:top w:val="single" w:color="auto" w:sz="4" w:space="0"/>
              <w:left w:val="single" w:color="auto" w:sz="8"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原材料抽检情况（</w:t>
            </w:r>
            <w:r>
              <w:rPr>
                <w:rFonts w:eastAsia="仿宋_GB2312"/>
                <w:color w:val="000000"/>
                <w:spacing w:val="-2"/>
                <w:kern w:val="0"/>
                <w:szCs w:val="21"/>
              </w:rPr>
              <w:t>30</w:t>
            </w:r>
            <w:r>
              <w:rPr>
                <w:rFonts w:hint="eastAsia" w:eastAsia="仿宋_GB2312"/>
                <w:color w:val="000000"/>
                <w:spacing w:val="-2"/>
                <w:kern w:val="0"/>
                <w:szCs w:val="21"/>
              </w:rPr>
              <w:t>分）</w:t>
            </w:r>
          </w:p>
        </w:tc>
        <w:tc>
          <w:tcPr>
            <w:tcW w:w="127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89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4086" w:type="dxa"/>
            <w:gridSpan w:val="13"/>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7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32"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jc w:val="center"/>
              <w:rPr>
                <w:rFonts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615" w:hRule="atLeast"/>
          <w:jc w:val="center"/>
        </w:trPr>
        <w:tc>
          <w:tcPr>
            <w:tcW w:w="1351" w:type="dxa"/>
            <w:tcBorders>
              <w:top w:val="single" w:color="auto" w:sz="4" w:space="0"/>
              <w:left w:val="single" w:color="auto" w:sz="8"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总分</w:t>
            </w:r>
          </w:p>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100</w:t>
            </w:r>
            <w:r>
              <w:rPr>
                <w:rFonts w:hint="eastAsia" w:eastAsia="仿宋_GB2312"/>
                <w:color w:val="000000"/>
                <w:spacing w:val="-2"/>
                <w:kern w:val="0"/>
                <w:szCs w:val="21"/>
              </w:rPr>
              <w:t>分）</w:t>
            </w:r>
          </w:p>
        </w:tc>
        <w:tc>
          <w:tcPr>
            <w:tcW w:w="2163"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得分扣分情况</w:t>
            </w:r>
          </w:p>
        </w:tc>
        <w:tc>
          <w:tcPr>
            <w:tcW w:w="5592" w:type="dxa"/>
            <w:gridSpan w:val="15"/>
            <w:tcBorders>
              <w:top w:val="single" w:color="auto" w:sz="4" w:space="0"/>
              <w:left w:val="single" w:color="auto" w:sz="4" w:space="0"/>
              <w:bottom w:val="single" w:color="auto" w:sz="4" w:space="0"/>
              <w:right w:val="single" w:color="auto" w:sz="8" w:space="0"/>
            </w:tcBorders>
            <w:noWrap w:val="0"/>
            <w:vAlign w:val="center"/>
          </w:tcPr>
          <w:p>
            <w:pPr>
              <w:adjustRightInd w:val="0"/>
              <w:snapToGrid w:val="0"/>
              <w:jc w:val="center"/>
              <w:rPr>
                <w:rFonts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615" w:hRule="atLeast"/>
          <w:jc w:val="center"/>
        </w:trPr>
        <w:tc>
          <w:tcPr>
            <w:tcW w:w="1351" w:type="dxa"/>
            <w:tcBorders>
              <w:top w:val="single" w:color="auto" w:sz="4" w:space="0"/>
              <w:left w:val="single" w:color="auto" w:sz="8" w:space="0"/>
              <w:bottom w:val="single" w:color="auto" w:sz="4"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对工程实体质量抽测、检查意见</w:t>
            </w:r>
          </w:p>
        </w:tc>
        <w:tc>
          <w:tcPr>
            <w:tcW w:w="7755" w:type="dxa"/>
            <w:gridSpan w:val="17"/>
            <w:tcBorders>
              <w:top w:val="single" w:color="auto" w:sz="4" w:space="0"/>
              <w:left w:val="single" w:color="auto" w:sz="4" w:space="0"/>
              <w:bottom w:val="single" w:color="auto" w:sz="4" w:space="0"/>
              <w:right w:val="single" w:color="auto" w:sz="8"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795" w:hRule="atLeast"/>
          <w:jc w:val="center"/>
        </w:trPr>
        <w:tc>
          <w:tcPr>
            <w:tcW w:w="4232" w:type="dxa"/>
            <w:gridSpan w:val="6"/>
            <w:tcBorders>
              <w:top w:val="single" w:color="auto" w:sz="4" w:space="0"/>
              <w:left w:val="single" w:color="auto" w:sz="8" w:space="0"/>
              <w:bottom w:val="single" w:color="auto" w:sz="8"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检查人签字：</w:t>
            </w:r>
          </w:p>
        </w:tc>
        <w:tc>
          <w:tcPr>
            <w:tcW w:w="4874" w:type="dxa"/>
            <w:gridSpan w:val="12"/>
            <w:tcBorders>
              <w:top w:val="single" w:color="auto" w:sz="4" w:space="0"/>
              <w:left w:val="single" w:color="auto" w:sz="4" w:space="0"/>
              <w:bottom w:val="single" w:color="auto" w:sz="8" w:space="0"/>
              <w:right w:val="single" w:color="auto" w:sz="8"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被检查单位签字：</w:t>
            </w:r>
          </w:p>
        </w:tc>
      </w:tr>
    </w:tbl>
    <w:p>
      <w:pPr>
        <w:widowControl/>
        <w:spacing w:beforeAutospacing="1" w:afterAutospacing="1"/>
        <w:jc w:val="left"/>
        <w:rPr>
          <w:rFonts w:ascii="Times New Roman" w:hAnsi="Times New Roman" w:eastAsia="仿宋"/>
          <w:b/>
          <w:bCs/>
          <w:color w:val="000000"/>
          <w:spacing w:val="-2"/>
          <w:kern w:val="0"/>
          <w:sz w:val="32"/>
          <w:szCs w:val="32"/>
        </w:rPr>
        <w:sectPr>
          <w:pgSz w:w="11906" w:h="16838"/>
          <w:pgMar w:top="1701" w:right="1588" w:bottom="1701" w:left="1588" w:header="851" w:footer="1361" w:gutter="0"/>
          <w:cols w:space="720" w:num="1"/>
        </w:sectPr>
      </w:pPr>
    </w:p>
    <w:p>
      <w:pPr>
        <w:pStyle w:val="7"/>
        <w:adjustRightInd w:val="0"/>
        <w:snapToGrid w:val="0"/>
        <w:spacing w:line="570" w:lineRule="exact"/>
        <w:jc w:val="center"/>
        <w:rPr>
          <w:rFonts w:hint="eastAsia" w:ascii="Times New Roman" w:hAnsi="Times New Roman" w:eastAsia="方正黑体_GBK"/>
          <w:bCs/>
          <w:color w:val="000000"/>
          <w:spacing w:val="-2"/>
          <w:sz w:val="28"/>
          <w:szCs w:val="28"/>
        </w:rPr>
      </w:pPr>
      <w:r>
        <w:rPr>
          <w:rFonts w:hint="eastAsia" w:ascii="Times New Roman" w:hAnsi="Times New Roman" w:eastAsia="方正黑体_GBK"/>
          <w:bCs/>
          <w:color w:val="000000"/>
          <w:spacing w:val="-2"/>
          <w:sz w:val="28"/>
          <w:szCs w:val="28"/>
        </w:rPr>
        <w:t>建筑市场综合考核用表之四（工程质量四 分包工程）</w:t>
      </w:r>
    </w:p>
    <w:p>
      <w:pPr>
        <w:adjustRightInd w:val="0"/>
        <w:snapToGrid w:val="0"/>
        <w:spacing w:line="570" w:lineRule="exact"/>
        <w:ind w:firstLine="472" w:firstLineChars="200"/>
        <w:rPr>
          <w:rFonts w:hint="eastAsia" w:ascii="Times New Roman" w:hAnsi="Times New Roman" w:eastAsia="仿宋_GB2312"/>
          <w:b/>
          <w:bCs/>
          <w:color w:val="000000"/>
          <w:spacing w:val="-2"/>
          <w:kern w:val="0"/>
          <w:sz w:val="24"/>
        </w:rPr>
      </w:pPr>
      <w:r>
        <w:rPr>
          <w:rFonts w:hint="eastAsia" w:ascii="Times New Roman" w:hAnsi="Times New Roman" w:eastAsia="仿宋_GB2312"/>
          <w:bCs/>
          <w:color w:val="000000"/>
          <w:spacing w:val="-2"/>
          <w:kern w:val="0"/>
          <w:sz w:val="24"/>
        </w:rPr>
        <w:t>项目编号                                   检查日期：</w:t>
      </w:r>
    </w:p>
    <w:tbl>
      <w:tblPr>
        <w:tblStyle w:val="12"/>
        <w:tblW w:w="0" w:type="auto"/>
        <w:jc w:val="center"/>
        <w:tblLayout w:type="fixed"/>
        <w:tblCellMar>
          <w:top w:w="0" w:type="dxa"/>
          <w:left w:w="108" w:type="dxa"/>
          <w:bottom w:w="0" w:type="dxa"/>
          <w:right w:w="108" w:type="dxa"/>
        </w:tblCellMar>
      </w:tblPr>
      <w:tblGrid>
        <w:gridCol w:w="516"/>
        <w:gridCol w:w="1208"/>
        <w:gridCol w:w="621"/>
        <w:gridCol w:w="2439"/>
        <w:gridCol w:w="401"/>
        <w:gridCol w:w="1327"/>
        <w:gridCol w:w="720"/>
        <w:gridCol w:w="720"/>
        <w:gridCol w:w="1154"/>
      </w:tblGrid>
      <w:tr>
        <w:tblPrEx>
          <w:tblCellMar>
            <w:top w:w="0" w:type="dxa"/>
            <w:left w:w="108" w:type="dxa"/>
            <w:bottom w:w="0" w:type="dxa"/>
            <w:right w:w="108" w:type="dxa"/>
          </w:tblCellMar>
        </w:tblPrEx>
        <w:trPr>
          <w:trHeight w:val="475" w:hRule="atLeast"/>
          <w:jc w:val="center"/>
        </w:trPr>
        <w:tc>
          <w:tcPr>
            <w:tcW w:w="9106" w:type="dxa"/>
            <w:gridSpan w:val="9"/>
            <w:tcBorders>
              <w:top w:val="single" w:color="auto" w:sz="8" w:space="0"/>
              <w:left w:val="single" w:color="auto" w:sz="8" w:space="0"/>
              <w:bottom w:val="single" w:color="auto" w:sz="4" w:space="0"/>
              <w:right w:val="single" w:color="auto" w:sz="8" w:space="0"/>
            </w:tcBorders>
            <w:noWrap w:val="0"/>
            <w:vAlign w:val="center"/>
          </w:tcPr>
          <w:p>
            <w:pPr>
              <w:adjustRightInd w:val="0"/>
              <w:snapToGrid w:val="0"/>
              <w:rPr>
                <w:rFonts w:eastAsia="仿宋_GB2312"/>
                <w:b/>
                <w:bCs/>
                <w:color w:val="000000"/>
                <w:spacing w:val="-2"/>
                <w:kern w:val="0"/>
                <w:szCs w:val="21"/>
              </w:rPr>
            </w:pPr>
            <w:r>
              <w:rPr>
                <w:rFonts w:hint="eastAsia" w:eastAsia="仿宋_GB2312"/>
                <w:b/>
                <w:bCs/>
                <w:color w:val="000000"/>
                <w:spacing w:val="-2"/>
                <w:kern w:val="0"/>
                <w:szCs w:val="21"/>
              </w:rPr>
              <w:t>施工单位（</w:t>
            </w:r>
            <w:r>
              <w:rPr>
                <w:rFonts w:eastAsia="仿宋_GB2312"/>
                <w:b/>
                <w:bCs/>
                <w:color w:val="000000"/>
                <w:spacing w:val="-2"/>
                <w:kern w:val="0"/>
                <w:szCs w:val="21"/>
              </w:rPr>
              <w:t>100</w:t>
            </w:r>
            <w:r>
              <w:rPr>
                <w:rFonts w:hint="eastAsia" w:eastAsia="仿宋_GB2312"/>
                <w:b/>
                <w:bCs/>
                <w:color w:val="000000"/>
                <w:spacing w:val="-2"/>
                <w:kern w:val="0"/>
                <w:szCs w:val="21"/>
              </w:rPr>
              <w:t>分）</w:t>
            </w:r>
            <w:r>
              <w:rPr>
                <w:rFonts w:eastAsia="仿宋_GB2312"/>
                <w:b/>
                <w:bCs/>
                <w:color w:val="000000"/>
                <w:spacing w:val="-2"/>
                <w:kern w:val="0"/>
                <w:szCs w:val="21"/>
              </w:rPr>
              <w:t xml:space="preserve">   □</w:t>
            </w:r>
            <w:r>
              <w:rPr>
                <w:rFonts w:hint="eastAsia" w:eastAsia="仿宋_GB2312"/>
                <w:b/>
                <w:bCs/>
                <w:color w:val="000000"/>
                <w:spacing w:val="-2"/>
                <w:kern w:val="0"/>
                <w:szCs w:val="21"/>
              </w:rPr>
              <w:t>防水</w:t>
            </w:r>
            <w:r>
              <w:rPr>
                <w:rFonts w:eastAsia="仿宋_GB2312"/>
                <w:b/>
                <w:bCs/>
                <w:color w:val="000000"/>
                <w:spacing w:val="-2"/>
                <w:kern w:val="0"/>
                <w:szCs w:val="21"/>
              </w:rPr>
              <w:t xml:space="preserve">    □</w:t>
            </w:r>
            <w:r>
              <w:rPr>
                <w:rFonts w:hint="eastAsia" w:eastAsia="仿宋_GB2312"/>
                <w:b/>
                <w:bCs/>
                <w:color w:val="000000"/>
                <w:spacing w:val="-2"/>
                <w:kern w:val="0"/>
                <w:szCs w:val="21"/>
              </w:rPr>
              <w:t>装饰装修</w:t>
            </w:r>
            <w:r>
              <w:rPr>
                <w:rFonts w:eastAsia="仿宋_GB2312"/>
                <w:b/>
                <w:bCs/>
                <w:color w:val="000000"/>
                <w:spacing w:val="-2"/>
                <w:kern w:val="0"/>
                <w:szCs w:val="21"/>
              </w:rPr>
              <w:t xml:space="preserve">   □</w:t>
            </w:r>
            <w:r>
              <w:rPr>
                <w:rFonts w:hint="eastAsia" w:eastAsia="仿宋_GB2312"/>
                <w:b/>
                <w:bCs/>
                <w:color w:val="000000"/>
                <w:spacing w:val="-2"/>
                <w:kern w:val="0"/>
                <w:szCs w:val="21"/>
              </w:rPr>
              <w:t>幕墙</w:t>
            </w:r>
            <w:r>
              <w:rPr>
                <w:rFonts w:eastAsia="仿宋_GB2312"/>
                <w:b/>
                <w:bCs/>
                <w:color w:val="000000"/>
                <w:spacing w:val="-2"/>
                <w:kern w:val="0"/>
                <w:szCs w:val="21"/>
              </w:rPr>
              <w:t xml:space="preserve">   □</w:t>
            </w:r>
            <w:r>
              <w:rPr>
                <w:rFonts w:hint="eastAsia" w:eastAsia="仿宋_GB2312"/>
                <w:b/>
                <w:bCs/>
                <w:color w:val="000000"/>
                <w:spacing w:val="-2"/>
                <w:kern w:val="0"/>
                <w:szCs w:val="21"/>
              </w:rPr>
              <w:t>安装</w:t>
            </w:r>
            <w:r>
              <w:rPr>
                <w:rFonts w:eastAsia="仿宋_GB2312"/>
                <w:b/>
                <w:bCs/>
                <w:color w:val="000000"/>
                <w:spacing w:val="-2"/>
                <w:kern w:val="0"/>
                <w:szCs w:val="21"/>
              </w:rPr>
              <w:t xml:space="preserve">  □</w:t>
            </w:r>
            <w:r>
              <w:rPr>
                <w:rFonts w:hint="eastAsia" w:eastAsia="仿宋_GB2312"/>
                <w:b/>
                <w:bCs/>
                <w:color w:val="000000"/>
                <w:spacing w:val="-2"/>
                <w:kern w:val="0"/>
                <w:szCs w:val="21"/>
              </w:rPr>
              <w:t>钢结构</w:t>
            </w:r>
            <w:r>
              <w:rPr>
                <w:rFonts w:eastAsia="仿宋_GB2312"/>
                <w:b/>
                <w:bCs/>
                <w:color w:val="000000"/>
                <w:spacing w:val="-2"/>
                <w:kern w:val="0"/>
                <w:szCs w:val="21"/>
              </w:rPr>
              <w:t xml:space="preserve">                                  </w:t>
            </w:r>
          </w:p>
        </w:tc>
      </w:tr>
      <w:tr>
        <w:tblPrEx>
          <w:tblCellMar>
            <w:top w:w="0" w:type="dxa"/>
            <w:left w:w="108" w:type="dxa"/>
            <w:bottom w:w="0" w:type="dxa"/>
            <w:right w:w="108" w:type="dxa"/>
          </w:tblCellMar>
        </w:tblPrEx>
        <w:trPr>
          <w:trHeight w:val="435" w:hRule="atLeast"/>
          <w:jc w:val="center"/>
        </w:trPr>
        <w:tc>
          <w:tcPr>
            <w:tcW w:w="516" w:type="dxa"/>
            <w:tcBorders>
              <w:top w:val="nil"/>
              <w:left w:val="single" w:color="auto" w:sz="8" w:space="0"/>
              <w:bottom w:val="single" w:color="auto" w:sz="4" w:space="0"/>
              <w:right w:val="single" w:color="auto" w:sz="4" w:space="0"/>
            </w:tcBorders>
            <w:noWrap w:val="0"/>
            <w:vAlign w:val="center"/>
          </w:tcPr>
          <w:p>
            <w:pPr>
              <w:adjustRightInd w:val="0"/>
              <w:snapToGrid w:val="0"/>
              <w:ind w:left="-105" w:leftChars="-50" w:right="-105" w:rightChars="-50"/>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序号</w:t>
            </w:r>
          </w:p>
        </w:tc>
        <w:tc>
          <w:tcPr>
            <w:tcW w:w="1208" w:type="dxa"/>
            <w:tcBorders>
              <w:top w:val="single" w:color="auto" w:sz="4" w:space="0"/>
              <w:left w:val="nil"/>
              <w:bottom w:val="single" w:color="auto" w:sz="4" w:space="0"/>
              <w:right w:val="single" w:color="auto" w:sz="4" w:space="0"/>
            </w:tcBorders>
            <w:noWrap w:val="0"/>
            <w:vAlign w:val="center"/>
          </w:tcPr>
          <w:p>
            <w:pPr>
              <w:adjustRightInd w:val="0"/>
              <w:snapToGrid w:val="0"/>
              <w:ind w:left="-105" w:leftChars="-50" w:right="-105" w:rightChars="-50"/>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检查项目</w:t>
            </w:r>
          </w:p>
        </w:tc>
        <w:tc>
          <w:tcPr>
            <w:tcW w:w="3060" w:type="dxa"/>
            <w:gridSpan w:val="2"/>
            <w:tcBorders>
              <w:top w:val="single" w:color="auto" w:sz="4" w:space="0"/>
              <w:left w:val="nil"/>
              <w:bottom w:val="single" w:color="auto" w:sz="4" w:space="0"/>
              <w:right w:val="single" w:color="auto" w:sz="4" w:space="0"/>
            </w:tcBorders>
            <w:noWrap w:val="0"/>
            <w:vAlign w:val="center"/>
          </w:tcPr>
          <w:p>
            <w:pPr>
              <w:adjustRightInd w:val="0"/>
              <w:snapToGrid w:val="0"/>
              <w:ind w:left="-105" w:leftChars="-50" w:right="-105" w:rightChars="-50"/>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检查内容</w:t>
            </w:r>
          </w:p>
        </w:tc>
        <w:tc>
          <w:tcPr>
            <w:tcW w:w="1728" w:type="dxa"/>
            <w:gridSpan w:val="2"/>
            <w:tcBorders>
              <w:top w:val="nil"/>
              <w:left w:val="nil"/>
              <w:bottom w:val="single" w:color="auto" w:sz="4" w:space="0"/>
              <w:right w:val="single" w:color="auto" w:sz="4" w:space="0"/>
            </w:tcBorders>
            <w:noWrap w:val="0"/>
            <w:vAlign w:val="center"/>
          </w:tcPr>
          <w:p>
            <w:pPr>
              <w:adjustRightInd w:val="0"/>
              <w:snapToGrid w:val="0"/>
              <w:ind w:left="-105" w:leftChars="-50" w:right="-105" w:rightChars="-50"/>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扣分标准</w:t>
            </w:r>
          </w:p>
        </w:tc>
        <w:tc>
          <w:tcPr>
            <w:tcW w:w="720" w:type="dxa"/>
            <w:tcBorders>
              <w:top w:val="nil"/>
              <w:left w:val="nil"/>
              <w:bottom w:val="single" w:color="auto" w:sz="4" w:space="0"/>
              <w:right w:val="single" w:color="auto" w:sz="4" w:space="0"/>
            </w:tcBorders>
            <w:noWrap w:val="0"/>
            <w:vAlign w:val="center"/>
          </w:tcPr>
          <w:p>
            <w:pPr>
              <w:adjustRightInd w:val="0"/>
              <w:snapToGrid w:val="0"/>
              <w:ind w:left="-105" w:leftChars="-50" w:right="-105" w:rightChars="-50"/>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扣分</w:t>
            </w:r>
          </w:p>
        </w:tc>
        <w:tc>
          <w:tcPr>
            <w:tcW w:w="720" w:type="dxa"/>
            <w:tcBorders>
              <w:top w:val="nil"/>
              <w:left w:val="nil"/>
              <w:bottom w:val="single" w:color="auto" w:sz="4" w:space="0"/>
              <w:right w:val="single" w:color="auto" w:sz="4" w:space="0"/>
            </w:tcBorders>
            <w:noWrap w:val="0"/>
            <w:vAlign w:val="center"/>
          </w:tcPr>
          <w:p>
            <w:pPr>
              <w:adjustRightInd w:val="0"/>
              <w:snapToGrid w:val="0"/>
              <w:ind w:left="-105" w:leftChars="-50" w:right="-105" w:rightChars="-50"/>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得分</w:t>
            </w:r>
          </w:p>
        </w:tc>
        <w:tc>
          <w:tcPr>
            <w:tcW w:w="1154" w:type="dxa"/>
            <w:tcBorders>
              <w:top w:val="nil"/>
              <w:left w:val="nil"/>
              <w:bottom w:val="single" w:color="auto" w:sz="4" w:space="0"/>
              <w:right w:val="single" w:color="auto" w:sz="8" w:space="0"/>
            </w:tcBorders>
            <w:noWrap w:val="0"/>
            <w:vAlign w:val="center"/>
          </w:tcPr>
          <w:p>
            <w:pPr>
              <w:adjustRightInd w:val="0"/>
              <w:snapToGrid w:val="0"/>
              <w:ind w:left="-105" w:leftChars="-50" w:right="-105" w:rightChars="-50"/>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扣分原因</w:t>
            </w:r>
          </w:p>
        </w:tc>
      </w:tr>
      <w:tr>
        <w:tblPrEx>
          <w:tblCellMar>
            <w:top w:w="0" w:type="dxa"/>
            <w:left w:w="108" w:type="dxa"/>
            <w:bottom w:w="0" w:type="dxa"/>
            <w:right w:w="108" w:type="dxa"/>
          </w:tblCellMar>
        </w:tblPrEx>
        <w:trPr>
          <w:trHeight w:val="770" w:hRule="atLeast"/>
          <w:jc w:val="center"/>
        </w:trPr>
        <w:tc>
          <w:tcPr>
            <w:tcW w:w="516" w:type="dxa"/>
            <w:vMerge w:val="restart"/>
            <w:tcBorders>
              <w:top w:val="nil"/>
              <w:left w:val="single" w:color="auto" w:sz="8"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eastAsia="仿宋_GB2312"/>
                <w:color w:val="000000"/>
                <w:spacing w:val="-2"/>
                <w:kern w:val="0"/>
                <w:szCs w:val="21"/>
              </w:rPr>
              <w:t>1</w:t>
            </w:r>
          </w:p>
        </w:tc>
        <w:tc>
          <w:tcPr>
            <w:tcW w:w="1208" w:type="dxa"/>
            <w:vMerge w:val="restart"/>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质量行为</w:t>
            </w:r>
          </w:p>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20</w:t>
            </w:r>
            <w:r>
              <w:rPr>
                <w:rFonts w:hint="eastAsia" w:eastAsia="仿宋_GB2312"/>
                <w:color w:val="000000"/>
                <w:spacing w:val="-2"/>
                <w:kern w:val="0"/>
                <w:szCs w:val="21"/>
              </w:rPr>
              <w:t>分）</w:t>
            </w:r>
          </w:p>
        </w:tc>
        <w:tc>
          <w:tcPr>
            <w:tcW w:w="3060" w:type="dxa"/>
            <w:gridSpan w:val="2"/>
            <w:tcBorders>
              <w:top w:val="single" w:color="auto" w:sz="4" w:space="0"/>
              <w:left w:val="nil"/>
              <w:bottom w:val="nil"/>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质量责任制履行的情况，质检员配备及到岗情况</w:t>
            </w:r>
          </w:p>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5</w:t>
            </w:r>
            <w:r>
              <w:rPr>
                <w:rFonts w:hint="eastAsia" w:eastAsia="仿宋_GB2312"/>
                <w:color w:val="000000"/>
                <w:spacing w:val="-2"/>
                <w:kern w:val="0"/>
                <w:szCs w:val="21"/>
              </w:rPr>
              <w:t>分）</w:t>
            </w:r>
          </w:p>
        </w:tc>
        <w:tc>
          <w:tcPr>
            <w:tcW w:w="1728" w:type="dxa"/>
            <w:gridSpan w:val="2"/>
            <w:tcBorders>
              <w:top w:val="nil"/>
              <w:left w:val="nil"/>
              <w:bottom w:val="nil"/>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缺一项（人）</w:t>
            </w:r>
          </w:p>
          <w:p>
            <w:pPr>
              <w:adjustRightInd w:val="0"/>
              <w:snapToGrid w:val="0"/>
              <w:rPr>
                <w:rFonts w:eastAsia="仿宋_GB2312"/>
                <w:color w:val="000000"/>
                <w:spacing w:val="-2"/>
                <w:kern w:val="0"/>
                <w:szCs w:val="21"/>
              </w:rPr>
            </w:pPr>
            <w:r>
              <w:rPr>
                <w:rFonts w:hint="eastAsia" w:eastAsia="仿宋_GB2312"/>
                <w:color w:val="000000"/>
                <w:spacing w:val="-2"/>
                <w:kern w:val="0"/>
                <w:szCs w:val="21"/>
              </w:rPr>
              <w:t>扣</w:t>
            </w:r>
            <w:r>
              <w:rPr>
                <w:rFonts w:eastAsia="仿宋_GB2312"/>
                <w:color w:val="000000"/>
                <w:spacing w:val="-2"/>
                <w:kern w:val="0"/>
                <w:szCs w:val="21"/>
              </w:rPr>
              <w:t>2</w:t>
            </w:r>
            <w:r>
              <w:rPr>
                <w:rFonts w:hint="eastAsia" w:eastAsia="仿宋_GB2312"/>
                <w:color w:val="000000"/>
                <w:spacing w:val="-2"/>
                <w:kern w:val="0"/>
                <w:szCs w:val="21"/>
              </w:rPr>
              <w:t>分</w:t>
            </w:r>
          </w:p>
        </w:tc>
        <w:tc>
          <w:tcPr>
            <w:tcW w:w="720" w:type="dxa"/>
            <w:tcBorders>
              <w:top w:val="nil"/>
              <w:left w:val="nil"/>
              <w:bottom w:val="nil"/>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20" w:type="dxa"/>
            <w:vMerge w:val="restart"/>
            <w:tcBorders>
              <w:top w:val="nil"/>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1154" w:type="dxa"/>
            <w:vMerge w:val="restart"/>
            <w:tcBorders>
              <w:top w:val="nil"/>
              <w:left w:val="nil"/>
              <w:bottom w:val="single" w:color="auto" w:sz="4" w:space="0"/>
              <w:right w:val="single" w:color="auto" w:sz="8" w:space="0"/>
            </w:tcBorders>
            <w:noWrap w:val="0"/>
            <w:vAlign w:val="center"/>
          </w:tcPr>
          <w:p>
            <w:pPr>
              <w:adjustRightInd w:val="0"/>
              <w:snapToGrid w:val="0"/>
              <w:jc w:val="center"/>
              <w:rPr>
                <w:rFonts w:eastAsia="仿宋_GB2312"/>
                <w:color w:val="000000"/>
                <w:spacing w:val="-2"/>
                <w:kern w:val="0"/>
                <w:szCs w:val="21"/>
              </w:rPr>
            </w:pPr>
          </w:p>
        </w:tc>
      </w:tr>
      <w:tr>
        <w:tblPrEx>
          <w:tblCellMar>
            <w:top w:w="0" w:type="dxa"/>
            <w:left w:w="108" w:type="dxa"/>
            <w:bottom w:w="0" w:type="dxa"/>
            <w:right w:w="108" w:type="dxa"/>
          </w:tblCellMar>
        </w:tblPrEx>
        <w:trPr>
          <w:trHeight w:val="766" w:hRule="atLeast"/>
          <w:jc w:val="center"/>
        </w:trPr>
        <w:tc>
          <w:tcPr>
            <w:tcW w:w="516" w:type="dxa"/>
            <w:vMerge w:val="continue"/>
            <w:tcBorders>
              <w:top w:val="nil"/>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208"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3060" w:type="dxa"/>
            <w:gridSpan w:val="2"/>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与总包单位有配合管理制度及落实（</w:t>
            </w:r>
            <w:r>
              <w:rPr>
                <w:rFonts w:eastAsia="仿宋_GB2312"/>
                <w:color w:val="000000"/>
                <w:spacing w:val="-2"/>
                <w:kern w:val="0"/>
                <w:szCs w:val="21"/>
              </w:rPr>
              <w:t>5</w:t>
            </w:r>
            <w:r>
              <w:rPr>
                <w:rFonts w:hint="eastAsia" w:eastAsia="仿宋_GB2312"/>
                <w:color w:val="000000"/>
                <w:spacing w:val="-2"/>
                <w:kern w:val="0"/>
                <w:szCs w:val="21"/>
              </w:rPr>
              <w:t>分）</w:t>
            </w:r>
          </w:p>
        </w:tc>
        <w:tc>
          <w:tcPr>
            <w:tcW w:w="1728" w:type="dxa"/>
            <w:gridSpan w:val="2"/>
            <w:tcBorders>
              <w:top w:val="single" w:color="auto" w:sz="4" w:space="0"/>
              <w:left w:val="nil"/>
              <w:bottom w:val="single" w:color="auto" w:sz="4"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缺一项扣</w:t>
            </w:r>
            <w:r>
              <w:rPr>
                <w:rFonts w:eastAsia="仿宋_GB2312"/>
                <w:color w:val="000000"/>
                <w:spacing w:val="-2"/>
                <w:kern w:val="0"/>
                <w:szCs w:val="21"/>
              </w:rPr>
              <w:t>2</w:t>
            </w:r>
            <w:r>
              <w:rPr>
                <w:rFonts w:hint="eastAsia" w:eastAsia="仿宋_GB2312"/>
                <w:color w:val="000000"/>
                <w:spacing w:val="-2"/>
                <w:kern w:val="0"/>
                <w:szCs w:val="21"/>
              </w:rPr>
              <w:t>分</w:t>
            </w:r>
          </w:p>
        </w:tc>
        <w:tc>
          <w:tcPr>
            <w:tcW w:w="720"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20" w:type="dxa"/>
            <w:vMerge w:val="continue"/>
            <w:tcBorders>
              <w:top w:val="nil"/>
              <w:left w:val="nil"/>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154" w:type="dxa"/>
            <w:vMerge w:val="continue"/>
            <w:tcBorders>
              <w:top w:val="nil"/>
              <w:left w:val="nil"/>
              <w:bottom w:val="single" w:color="auto" w:sz="4" w:space="0"/>
              <w:right w:val="single" w:color="auto" w:sz="8" w:space="0"/>
            </w:tcBorders>
            <w:noWrap w:val="0"/>
            <w:vAlign w:val="center"/>
          </w:tcPr>
          <w:p>
            <w:pPr>
              <w:widowControl/>
              <w:jc w:val="left"/>
              <w:rPr>
                <w:rFonts w:eastAsia="仿宋_GB2312"/>
                <w:color w:val="000000"/>
                <w:spacing w:val="-2"/>
                <w:kern w:val="0"/>
                <w:szCs w:val="21"/>
              </w:rPr>
            </w:pPr>
          </w:p>
        </w:tc>
      </w:tr>
      <w:tr>
        <w:tblPrEx>
          <w:tblCellMar>
            <w:top w:w="0" w:type="dxa"/>
            <w:left w:w="108" w:type="dxa"/>
            <w:bottom w:w="0" w:type="dxa"/>
            <w:right w:w="108" w:type="dxa"/>
          </w:tblCellMar>
        </w:tblPrEx>
        <w:trPr>
          <w:trHeight w:val="624" w:hRule="atLeast"/>
          <w:jc w:val="center"/>
        </w:trPr>
        <w:tc>
          <w:tcPr>
            <w:tcW w:w="516" w:type="dxa"/>
            <w:vMerge w:val="continue"/>
            <w:tcBorders>
              <w:top w:val="nil"/>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208"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3060" w:type="dxa"/>
            <w:gridSpan w:val="2"/>
            <w:tcBorders>
              <w:top w:val="single" w:color="auto" w:sz="4" w:space="0"/>
              <w:left w:val="nil"/>
              <w:bottom w:val="nil"/>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设计审图、设计变更文件手续</w:t>
            </w:r>
          </w:p>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是否符合相关规定</w:t>
            </w:r>
          </w:p>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5</w:t>
            </w:r>
            <w:r>
              <w:rPr>
                <w:rFonts w:hint="eastAsia" w:eastAsia="仿宋_GB2312"/>
                <w:color w:val="000000"/>
                <w:spacing w:val="-2"/>
                <w:kern w:val="0"/>
                <w:szCs w:val="21"/>
              </w:rPr>
              <w:t>分）</w:t>
            </w:r>
          </w:p>
        </w:tc>
        <w:tc>
          <w:tcPr>
            <w:tcW w:w="1728" w:type="dxa"/>
            <w:gridSpan w:val="2"/>
            <w:tcBorders>
              <w:top w:val="nil"/>
              <w:left w:val="nil"/>
              <w:bottom w:val="nil"/>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缺一项扣</w:t>
            </w:r>
            <w:r>
              <w:rPr>
                <w:rFonts w:eastAsia="仿宋_GB2312"/>
                <w:color w:val="000000"/>
                <w:spacing w:val="-2"/>
                <w:kern w:val="0"/>
                <w:szCs w:val="21"/>
              </w:rPr>
              <w:t>2</w:t>
            </w:r>
            <w:r>
              <w:rPr>
                <w:rFonts w:hint="eastAsia" w:eastAsia="仿宋_GB2312"/>
                <w:color w:val="000000"/>
                <w:spacing w:val="-2"/>
                <w:kern w:val="0"/>
                <w:szCs w:val="21"/>
              </w:rPr>
              <w:t>分</w:t>
            </w:r>
          </w:p>
        </w:tc>
        <w:tc>
          <w:tcPr>
            <w:tcW w:w="720" w:type="dxa"/>
            <w:tcBorders>
              <w:top w:val="single" w:color="auto" w:sz="4" w:space="0"/>
              <w:left w:val="nil"/>
              <w:bottom w:val="nil"/>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20" w:type="dxa"/>
            <w:vMerge w:val="continue"/>
            <w:tcBorders>
              <w:top w:val="nil"/>
              <w:left w:val="nil"/>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154" w:type="dxa"/>
            <w:vMerge w:val="continue"/>
            <w:tcBorders>
              <w:top w:val="nil"/>
              <w:left w:val="nil"/>
              <w:bottom w:val="single" w:color="auto" w:sz="4" w:space="0"/>
              <w:right w:val="single" w:color="auto" w:sz="8" w:space="0"/>
            </w:tcBorders>
            <w:noWrap w:val="0"/>
            <w:vAlign w:val="center"/>
          </w:tcPr>
          <w:p>
            <w:pPr>
              <w:widowControl/>
              <w:jc w:val="left"/>
              <w:rPr>
                <w:rFonts w:eastAsia="仿宋_GB2312"/>
                <w:color w:val="000000"/>
                <w:spacing w:val="-2"/>
                <w:kern w:val="0"/>
                <w:szCs w:val="21"/>
              </w:rPr>
            </w:pPr>
          </w:p>
        </w:tc>
      </w:tr>
      <w:tr>
        <w:tblPrEx>
          <w:tblCellMar>
            <w:top w:w="0" w:type="dxa"/>
            <w:left w:w="108" w:type="dxa"/>
            <w:bottom w:w="0" w:type="dxa"/>
            <w:right w:w="108" w:type="dxa"/>
          </w:tblCellMar>
        </w:tblPrEx>
        <w:trPr>
          <w:trHeight w:val="591" w:hRule="atLeast"/>
          <w:jc w:val="center"/>
        </w:trPr>
        <w:tc>
          <w:tcPr>
            <w:tcW w:w="516" w:type="dxa"/>
            <w:vMerge w:val="continue"/>
            <w:tcBorders>
              <w:top w:val="nil"/>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208"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3060" w:type="dxa"/>
            <w:gridSpan w:val="2"/>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检查图纸会审、方案制定审批</w:t>
            </w:r>
          </w:p>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5</w:t>
            </w:r>
            <w:r>
              <w:rPr>
                <w:rFonts w:hint="eastAsia" w:eastAsia="仿宋_GB2312"/>
                <w:color w:val="000000"/>
                <w:spacing w:val="-2"/>
                <w:kern w:val="0"/>
                <w:szCs w:val="21"/>
              </w:rPr>
              <w:t>分）</w:t>
            </w:r>
          </w:p>
        </w:tc>
        <w:tc>
          <w:tcPr>
            <w:tcW w:w="1728" w:type="dxa"/>
            <w:gridSpan w:val="2"/>
            <w:tcBorders>
              <w:top w:val="single" w:color="auto" w:sz="4" w:space="0"/>
              <w:left w:val="nil"/>
              <w:bottom w:val="single" w:color="auto" w:sz="4"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缺一项扣</w:t>
            </w:r>
            <w:r>
              <w:rPr>
                <w:rFonts w:eastAsia="仿宋_GB2312"/>
                <w:color w:val="000000"/>
                <w:spacing w:val="-2"/>
                <w:kern w:val="0"/>
                <w:szCs w:val="21"/>
              </w:rPr>
              <w:t>2</w:t>
            </w:r>
            <w:r>
              <w:rPr>
                <w:rFonts w:hint="eastAsia" w:eastAsia="仿宋_GB2312"/>
                <w:color w:val="000000"/>
                <w:spacing w:val="-2"/>
                <w:kern w:val="0"/>
                <w:szCs w:val="21"/>
              </w:rPr>
              <w:t>分</w:t>
            </w:r>
          </w:p>
        </w:tc>
        <w:tc>
          <w:tcPr>
            <w:tcW w:w="720"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20" w:type="dxa"/>
            <w:vMerge w:val="continue"/>
            <w:tcBorders>
              <w:top w:val="nil"/>
              <w:left w:val="nil"/>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154" w:type="dxa"/>
            <w:vMerge w:val="continue"/>
            <w:tcBorders>
              <w:top w:val="nil"/>
              <w:left w:val="nil"/>
              <w:bottom w:val="single" w:color="auto" w:sz="4" w:space="0"/>
              <w:right w:val="single" w:color="auto" w:sz="8" w:space="0"/>
            </w:tcBorders>
            <w:noWrap w:val="0"/>
            <w:vAlign w:val="center"/>
          </w:tcPr>
          <w:p>
            <w:pPr>
              <w:widowControl/>
              <w:jc w:val="left"/>
              <w:rPr>
                <w:rFonts w:eastAsia="仿宋_GB2312"/>
                <w:color w:val="000000"/>
                <w:spacing w:val="-2"/>
                <w:kern w:val="0"/>
                <w:szCs w:val="21"/>
              </w:rPr>
            </w:pPr>
          </w:p>
        </w:tc>
      </w:tr>
      <w:tr>
        <w:tblPrEx>
          <w:tblCellMar>
            <w:top w:w="0" w:type="dxa"/>
            <w:left w:w="108" w:type="dxa"/>
            <w:bottom w:w="0" w:type="dxa"/>
            <w:right w:w="108" w:type="dxa"/>
          </w:tblCellMar>
        </w:tblPrEx>
        <w:trPr>
          <w:trHeight w:val="769" w:hRule="atLeast"/>
          <w:jc w:val="center"/>
        </w:trPr>
        <w:tc>
          <w:tcPr>
            <w:tcW w:w="516" w:type="dxa"/>
            <w:vMerge w:val="restart"/>
            <w:tcBorders>
              <w:top w:val="nil"/>
              <w:left w:val="single" w:color="auto" w:sz="8"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eastAsia="仿宋_GB2312"/>
                <w:color w:val="000000"/>
                <w:spacing w:val="-2"/>
                <w:kern w:val="0"/>
                <w:szCs w:val="21"/>
              </w:rPr>
              <w:t>2</w:t>
            </w:r>
          </w:p>
        </w:tc>
        <w:tc>
          <w:tcPr>
            <w:tcW w:w="1208"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质保资料</w:t>
            </w:r>
          </w:p>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25</w:t>
            </w:r>
            <w:r>
              <w:rPr>
                <w:rFonts w:hint="eastAsia" w:eastAsia="仿宋_GB2312"/>
                <w:color w:val="000000"/>
                <w:spacing w:val="-2"/>
                <w:kern w:val="0"/>
                <w:szCs w:val="21"/>
              </w:rPr>
              <w:t>分）</w:t>
            </w:r>
          </w:p>
        </w:tc>
        <w:tc>
          <w:tcPr>
            <w:tcW w:w="3060" w:type="dxa"/>
            <w:gridSpan w:val="2"/>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原材料进场验收资料完善、规范</w:t>
            </w:r>
          </w:p>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5</w:t>
            </w:r>
            <w:r>
              <w:rPr>
                <w:rFonts w:hint="eastAsia" w:eastAsia="仿宋_GB2312"/>
                <w:color w:val="000000"/>
                <w:spacing w:val="-2"/>
                <w:kern w:val="0"/>
                <w:szCs w:val="21"/>
              </w:rPr>
              <w:t>分）</w:t>
            </w:r>
          </w:p>
        </w:tc>
        <w:tc>
          <w:tcPr>
            <w:tcW w:w="1728" w:type="dxa"/>
            <w:gridSpan w:val="2"/>
            <w:tcBorders>
              <w:top w:val="nil"/>
              <w:left w:val="nil"/>
              <w:bottom w:val="single" w:color="auto" w:sz="4"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缺一项扣</w:t>
            </w:r>
            <w:r>
              <w:rPr>
                <w:rFonts w:eastAsia="仿宋_GB2312"/>
                <w:color w:val="000000"/>
                <w:spacing w:val="-2"/>
                <w:kern w:val="0"/>
                <w:szCs w:val="21"/>
              </w:rPr>
              <w:t>2</w:t>
            </w:r>
            <w:r>
              <w:rPr>
                <w:rFonts w:hint="eastAsia" w:eastAsia="仿宋_GB2312"/>
                <w:color w:val="000000"/>
                <w:spacing w:val="-2"/>
                <w:kern w:val="0"/>
                <w:szCs w:val="21"/>
              </w:rPr>
              <w:t>分</w:t>
            </w:r>
          </w:p>
        </w:tc>
        <w:tc>
          <w:tcPr>
            <w:tcW w:w="720" w:type="dxa"/>
            <w:tcBorders>
              <w:top w:val="nil"/>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20" w:type="dxa"/>
            <w:vMerge w:val="restart"/>
            <w:tcBorders>
              <w:top w:val="nil"/>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1154" w:type="dxa"/>
            <w:vMerge w:val="restart"/>
            <w:tcBorders>
              <w:top w:val="nil"/>
              <w:left w:val="nil"/>
              <w:bottom w:val="single" w:color="auto" w:sz="4" w:space="0"/>
              <w:right w:val="single" w:color="auto" w:sz="8" w:space="0"/>
            </w:tcBorders>
            <w:noWrap w:val="0"/>
            <w:vAlign w:val="center"/>
          </w:tcPr>
          <w:p>
            <w:pPr>
              <w:adjustRightInd w:val="0"/>
              <w:snapToGrid w:val="0"/>
              <w:jc w:val="center"/>
              <w:rPr>
                <w:rFonts w:eastAsia="仿宋_GB2312"/>
                <w:color w:val="000000"/>
                <w:spacing w:val="-2"/>
                <w:kern w:val="0"/>
                <w:szCs w:val="21"/>
              </w:rPr>
            </w:pPr>
          </w:p>
        </w:tc>
      </w:tr>
      <w:tr>
        <w:tblPrEx>
          <w:tblCellMar>
            <w:top w:w="0" w:type="dxa"/>
            <w:left w:w="108" w:type="dxa"/>
            <w:bottom w:w="0" w:type="dxa"/>
            <w:right w:w="108" w:type="dxa"/>
          </w:tblCellMar>
        </w:tblPrEx>
        <w:trPr>
          <w:trHeight w:val="777" w:hRule="atLeast"/>
          <w:jc w:val="center"/>
        </w:trPr>
        <w:tc>
          <w:tcPr>
            <w:tcW w:w="516" w:type="dxa"/>
            <w:vMerge w:val="continue"/>
            <w:tcBorders>
              <w:top w:val="nil"/>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20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3060" w:type="dxa"/>
            <w:gridSpan w:val="2"/>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工序资料同步、真实、规范、齐全（</w:t>
            </w:r>
            <w:r>
              <w:rPr>
                <w:rFonts w:eastAsia="仿宋_GB2312"/>
                <w:color w:val="000000"/>
                <w:spacing w:val="-2"/>
                <w:kern w:val="0"/>
                <w:szCs w:val="21"/>
              </w:rPr>
              <w:t>10</w:t>
            </w:r>
            <w:r>
              <w:rPr>
                <w:rFonts w:hint="eastAsia" w:eastAsia="仿宋_GB2312"/>
                <w:color w:val="000000"/>
                <w:spacing w:val="-2"/>
                <w:kern w:val="0"/>
                <w:szCs w:val="21"/>
              </w:rPr>
              <w:t>分）</w:t>
            </w:r>
          </w:p>
        </w:tc>
        <w:tc>
          <w:tcPr>
            <w:tcW w:w="1728" w:type="dxa"/>
            <w:gridSpan w:val="2"/>
            <w:tcBorders>
              <w:top w:val="single" w:color="auto" w:sz="4" w:space="0"/>
              <w:left w:val="nil"/>
              <w:bottom w:val="single" w:color="auto" w:sz="4"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缺一项扣</w:t>
            </w:r>
            <w:r>
              <w:rPr>
                <w:rFonts w:eastAsia="仿宋_GB2312"/>
                <w:color w:val="000000"/>
                <w:spacing w:val="-2"/>
                <w:kern w:val="0"/>
                <w:szCs w:val="21"/>
              </w:rPr>
              <w:t>2</w:t>
            </w:r>
            <w:r>
              <w:rPr>
                <w:rFonts w:hint="eastAsia" w:eastAsia="仿宋_GB2312"/>
                <w:color w:val="000000"/>
                <w:spacing w:val="-2"/>
                <w:kern w:val="0"/>
                <w:szCs w:val="21"/>
              </w:rPr>
              <w:t>分</w:t>
            </w:r>
          </w:p>
        </w:tc>
        <w:tc>
          <w:tcPr>
            <w:tcW w:w="72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2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154" w:type="dxa"/>
            <w:vMerge w:val="continue"/>
            <w:tcBorders>
              <w:top w:val="nil"/>
              <w:left w:val="nil"/>
              <w:bottom w:val="single" w:color="auto" w:sz="4" w:space="0"/>
              <w:right w:val="single" w:color="auto" w:sz="8" w:space="0"/>
            </w:tcBorders>
            <w:noWrap w:val="0"/>
            <w:vAlign w:val="center"/>
          </w:tcPr>
          <w:p>
            <w:pPr>
              <w:widowControl/>
              <w:jc w:val="left"/>
              <w:rPr>
                <w:rFonts w:eastAsia="仿宋_GB2312"/>
                <w:color w:val="000000"/>
                <w:spacing w:val="-2"/>
                <w:kern w:val="0"/>
                <w:szCs w:val="21"/>
              </w:rPr>
            </w:pPr>
          </w:p>
        </w:tc>
      </w:tr>
      <w:tr>
        <w:tblPrEx>
          <w:tblCellMar>
            <w:top w:w="0" w:type="dxa"/>
            <w:left w:w="108" w:type="dxa"/>
            <w:bottom w:w="0" w:type="dxa"/>
            <w:right w:w="108" w:type="dxa"/>
          </w:tblCellMar>
        </w:tblPrEx>
        <w:trPr>
          <w:trHeight w:val="770" w:hRule="atLeast"/>
          <w:jc w:val="center"/>
        </w:trPr>
        <w:tc>
          <w:tcPr>
            <w:tcW w:w="516" w:type="dxa"/>
            <w:vMerge w:val="continue"/>
            <w:tcBorders>
              <w:top w:val="nil"/>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20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3060" w:type="dxa"/>
            <w:gridSpan w:val="2"/>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见证取样送检制度落实；材料取样数量及检测规范（</w:t>
            </w:r>
            <w:r>
              <w:rPr>
                <w:rFonts w:eastAsia="仿宋_GB2312"/>
                <w:color w:val="000000"/>
                <w:spacing w:val="-2"/>
                <w:kern w:val="0"/>
                <w:szCs w:val="21"/>
              </w:rPr>
              <w:t>10</w:t>
            </w:r>
            <w:r>
              <w:rPr>
                <w:rFonts w:hint="eastAsia" w:eastAsia="仿宋_GB2312"/>
                <w:color w:val="000000"/>
                <w:spacing w:val="-2"/>
                <w:kern w:val="0"/>
                <w:szCs w:val="21"/>
              </w:rPr>
              <w:t>分）</w:t>
            </w:r>
          </w:p>
        </w:tc>
        <w:tc>
          <w:tcPr>
            <w:tcW w:w="1728" w:type="dxa"/>
            <w:gridSpan w:val="2"/>
            <w:tcBorders>
              <w:top w:val="single" w:color="auto" w:sz="4" w:space="0"/>
              <w:left w:val="nil"/>
              <w:bottom w:val="single" w:color="auto" w:sz="4"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缺一项扣</w:t>
            </w:r>
            <w:r>
              <w:rPr>
                <w:rFonts w:eastAsia="仿宋_GB2312"/>
                <w:color w:val="000000"/>
                <w:spacing w:val="-2"/>
                <w:kern w:val="0"/>
                <w:szCs w:val="21"/>
              </w:rPr>
              <w:t>2</w:t>
            </w:r>
            <w:r>
              <w:rPr>
                <w:rFonts w:hint="eastAsia" w:eastAsia="仿宋_GB2312"/>
                <w:color w:val="000000"/>
                <w:spacing w:val="-2"/>
                <w:kern w:val="0"/>
                <w:szCs w:val="21"/>
              </w:rPr>
              <w:t>分</w:t>
            </w:r>
          </w:p>
        </w:tc>
        <w:tc>
          <w:tcPr>
            <w:tcW w:w="72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2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154" w:type="dxa"/>
            <w:vMerge w:val="continue"/>
            <w:tcBorders>
              <w:top w:val="nil"/>
              <w:left w:val="nil"/>
              <w:bottom w:val="single" w:color="auto" w:sz="4" w:space="0"/>
              <w:right w:val="single" w:color="auto" w:sz="8" w:space="0"/>
            </w:tcBorders>
            <w:noWrap w:val="0"/>
            <w:vAlign w:val="center"/>
          </w:tcPr>
          <w:p>
            <w:pPr>
              <w:widowControl/>
              <w:jc w:val="left"/>
              <w:rPr>
                <w:rFonts w:eastAsia="仿宋_GB2312"/>
                <w:color w:val="000000"/>
                <w:spacing w:val="-2"/>
                <w:kern w:val="0"/>
                <w:szCs w:val="21"/>
              </w:rPr>
            </w:pPr>
          </w:p>
        </w:tc>
      </w:tr>
      <w:tr>
        <w:tblPrEx>
          <w:tblCellMar>
            <w:top w:w="0" w:type="dxa"/>
            <w:left w:w="108" w:type="dxa"/>
            <w:bottom w:w="0" w:type="dxa"/>
            <w:right w:w="108" w:type="dxa"/>
          </w:tblCellMar>
        </w:tblPrEx>
        <w:trPr>
          <w:trHeight w:val="705" w:hRule="atLeast"/>
          <w:jc w:val="center"/>
        </w:trPr>
        <w:tc>
          <w:tcPr>
            <w:tcW w:w="516" w:type="dxa"/>
            <w:vMerge w:val="restart"/>
            <w:tcBorders>
              <w:top w:val="single" w:color="auto" w:sz="4" w:space="0"/>
              <w:left w:val="single" w:color="auto" w:sz="8"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eastAsia="仿宋_GB2312"/>
                <w:color w:val="000000"/>
                <w:spacing w:val="-2"/>
                <w:kern w:val="0"/>
                <w:szCs w:val="21"/>
              </w:rPr>
              <w:t>3</w:t>
            </w:r>
          </w:p>
        </w:tc>
        <w:tc>
          <w:tcPr>
            <w:tcW w:w="1208"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实物质量</w:t>
            </w:r>
          </w:p>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45</w:t>
            </w:r>
            <w:r>
              <w:rPr>
                <w:rFonts w:hint="eastAsia" w:eastAsia="仿宋_GB2312"/>
                <w:color w:val="000000"/>
                <w:spacing w:val="-2"/>
                <w:kern w:val="0"/>
                <w:szCs w:val="21"/>
              </w:rPr>
              <w:t>分）</w:t>
            </w:r>
          </w:p>
        </w:tc>
        <w:tc>
          <w:tcPr>
            <w:tcW w:w="3060" w:type="dxa"/>
            <w:gridSpan w:val="2"/>
            <w:vMerge w:val="restart"/>
            <w:tcBorders>
              <w:top w:val="single" w:color="auto" w:sz="4" w:space="0"/>
              <w:left w:val="nil"/>
              <w:bottom w:val="single" w:color="auto" w:sz="4" w:space="0"/>
              <w:right w:val="single" w:color="auto" w:sz="4" w:space="0"/>
            </w:tcBorders>
            <w:noWrap w:val="0"/>
            <w:vAlign w:val="center"/>
          </w:tcPr>
          <w:p>
            <w:pPr>
              <w:adjustRightInd w:val="0"/>
              <w:snapToGrid w:val="0"/>
              <w:ind w:firstLine="103" w:firstLineChars="50"/>
              <w:jc w:val="center"/>
              <w:rPr>
                <w:rFonts w:eastAsia="仿宋_GB2312"/>
                <w:color w:val="000000"/>
                <w:spacing w:val="-2"/>
                <w:kern w:val="0"/>
                <w:szCs w:val="21"/>
              </w:rPr>
            </w:pPr>
            <w:r>
              <w:rPr>
                <w:rFonts w:eastAsia="仿宋_GB2312"/>
                <w:color w:val="000000"/>
                <w:spacing w:val="-2"/>
                <w:kern w:val="0"/>
                <w:szCs w:val="21"/>
              </w:rPr>
              <w:t xml:space="preserve"> </w:t>
            </w:r>
          </w:p>
          <w:p>
            <w:pPr>
              <w:adjustRightInd w:val="0"/>
              <w:snapToGrid w:val="0"/>
              <w:ind w:firstLine="103" w:firstLineChars="50"/>
              <w:jc w:val="center"/>
              <w:rPr>
                <w:rFonts w:eastAsia="仿宋_GB2312"/>
                <w:color w:val="000000"/>
                <w:spacing w:val="-2"/>
                <w:kern w:val="0"/>
                <w:szCs w:val="21"/>
              </w:rPr>
            </w:pPr>
            <w:r>
              <w:rPr>
                <w:rFonts w:hint="eastAsia" w:eastAsia="仿宋_GB2312"/>
                <w:color w:val="000000"/>
                <w:spacing w:val="-2"/>
                <w:kern w:val="0"/>
                <w:szCs w:val="21"/>
              </w:rPr>
              <w:t>抽查工程实体质量</w:t>
            </w:r>
          </w:p>
          <w:p>
            <w:pPr>
              <w:adjustRightInd w:val="0"/>
              <w:snapToGrid w:val="0"/>
              <w:ind w:firstLine="103" w:firstLineChars="50"/>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45</w:t>
            </w:r>
            <w:r>
              <w:rPr>
                <w:rFonts w:hint="eastAsia" w:eastAsia="仿宋_GB2312"/>
                <w:color w:val="000000"/>
                <w:spacing w:val="-2"/>
                <w:kern w:val="0"/>
                <w:szCs w:val="21"/>
              </w:rPr>
              <w:t>分）</w:t>
            </w:r>
          </w:p>
        </w:tc>
        <w:tc>
          <w:tcPr>
            <w:tcW w:w="1728" w:type="dxa"/>
            <w:gridSpan w:val="2"/>
            <w:tcBorders>
              <w:top w:val="single" w:color="auto" w:sz="4" w:space="0"/>
              <w:left w:val="nil"/>
              <w:bottom w:val="single" w:color="auto" w:sz="4"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违反强制性条文的一处扣</w:t>
            </w:r>
            <w:r>
              <w:rPr>
                <w:rFonts w:eastAsia="仿宋_GB2312"/>
                <w:color w:val="000000"/>
                <w:spacing w:val="-2"/>
                <w:kern w:val="0"/>
                <w:szCs w:val="21"/>
              </w:rPr>
              <w:t>5</w:t>
            </w:r>
            <w:r>
              <w:rPr>
                <w:rFonts w:hint="eastAsia" w:eastAsia="仿宋_GB2312"/>
                <w:color w:val="000000"/>
                <w:spacing w:val="-2"/>
                <w:kern w:val="0"/>
                <w:szCs w:val="21"/>
              </w:rPr>
              <w:t>分</w:t>
            </w:r>
          </w:p>
        </w:tc>
        <w:tc>
          <w:tcPr>
            <w:tcW w:w="720"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20" w:type="dxa"/>
            <w:vMerge w:val="restart"/>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1154" w:type="dxa"/>
            <w:vMerge w:val="restart"/>
            <w:tcBorders>
              <w:top w:val="single" w:color="auto" w:sz="4" w:space="0"/>
              <w:left w:val="nil"/>
              <w:bottom w:val="single" w:color="auto" w:sz="4" w:space="0"/>
              <w:right w:val="single" w:color="auto" w:sz="8" w:space="0"/>
            </w:tcBorders>
            <w:noWrap w:val="0"/>
            <w:vAlign w:val="center"/>
          </w:tcPr>
          <w:p>
            <w:pPr>
              <w:adjustRightInd w:val="0"/>
              <w:snapToGrid w:val="0"/>
              <w:jc w:val="center"/>
              <w:rPr>
                <w:rFonts w:eastAsia="仿宋_GB2312"/>
                <w:color w:val="000000"/>
                <w:spacing w:val="-2"/>
                <w:kern w:val="0"/>
                <w:szCs w:val="21"/>
              </w:rPr>
            </w:pPr>
          </w:p>
        </w:tc>
      </w:tr>
      <w:tr>
        <w:tblPrEx>
          <w:tblCellMar>
            <w:top w:w="0" w:type="dxa"/>
            <w:left w:w="108" w:type="dxa"/>
            <w:bottom w:w="0" w:type="dxa"/>
            <w:right w:w="108" w:type="dxa"/>
          </w:tblCellMar>
        </w:tblPrEx>
        <w:trPr>
          <w:trHeight w:val="794" w:hRule="atLeast"/>
          <w:jc w:val="center"/>
        </w:trPr>
        <w:tc>
          <w:tcPr>
            <w:tcW w:w="516"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20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3060" w:type="dxa"/>
            <w:gridSpan w:val="2"/>
            <w:vMerge w:val="continue"/>
            <w:tcBorders>
              <w:top w:val="single" w:color="auto" w:sz="4" w:space="0"/>
              <w:left w:val="nil"/>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728" w:type="dxa"/>
            <w:gridSpan w:val="2"/>
            <w:tcBorders>
              <w:top w:val="single" w:color="auto" w:sz="4" w:space="0"/>
              <w:left w:val="nil"/>
              <w:bottom w:val="single" w:color="auto" w:sz="4"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违反强制性标准的一处扣</w:t>
            </w:r>
            <w:r>
              <w:rPr>
                <w:rFonts w:eastAsia="仿宋_GB2312"/>
                <w:color w:val="000000"/>
                <w:spacing w:val="-2"/>
                <w:kern w:val="0"/>
                <w:szCs w:val="21"/>
              </w:rPr>
              <w:t>2</w:t>
            </w:r>
            <w:r>
              <w:rPr>
                <w:rFonts w:hint="eastAsia" w:eastAsia="仿宋_GB2312"/>
                <w:color w:val="000000"/>
                <w:spacing w:val="-2"/>
                <w:kern w:val="0"/>
                <w:szCs w:val="21"/>
              </w:rPr>
              <w:t>分</w:t>
            </w:r>
          </w:p>
        </w:tc>
        <w:tc>
          <w:tcPr>
            <w:tcW w:w="720"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20"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154" w:type="dxa"/>
            <w:vMerge w:val="continue"/>
            <w:tcBorders>
              <w:top w:val="single" w:color="auto" w:sz="4" w:space="0"/>
              <w:left w:val="nil"/>
              <w:bottom w:val="single" w:color="auto" w:sz="4" w:space="0"/>
              <w:right w:val="single" w:color="auto" w:sz="8" w:space="0"/>
            </w:tcBorders>
            <w:noWrap w:val="0"/>
            <w:vAlign w:val="center"/>
          </w:tcPr>
          <w:p>
            <w:pPr>
              <w:widowControl/>
              <w:jc w:val="left"/>
              <w:rPr>
                <w:rFonts w:eastAsia="仿宋_GB2312"/>
                <w:color w:val="000000"/>
                <w:spacing w:val="-2"/>
                <w:kern w:val="0"/>
                <w:szCs w:val="21"/>
              </w:rPr>
            </w:pPr>
          </w:p>
        </w:tc>
      </w:tr>
      <w:tr>
        <w:tblPrEx>
          <w:tblCellMar>
            <w:top w:w="0" w:type="dxa"/>
            <w:left w:w="108" w:type="dxa"/>
            <w:bottom w:w="0" w:type="dxa"/>
            <w:right w:w="108" w:type="dxa"/>
          </w:tblCellMar>
        </w:tblPrEx>
        <w:trPr>
          <w:trHeight w:val="705" w:hRule="atLeast"/>
          <w:jc w:val="center"/>
        </w:trPr>
        <w:tc>
          <w:tcPr>
            <w:tcW w:w="516"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20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3060" w:type="dxa"/>
            <w:gridSpan w:val="2"/>
            <w:vMerge w:val="continue"/>
            <w:tcBorders>
              <w:top w:val="single" w:color="auto" w:sz="4" w:space="0"/>
              <w:left w:val="nil"/>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728" w:type="dxa"/>
            <w:gridSpan w:val="2"/>
            <w:tcBorders>
              <w:top w:val="single" w:color="auto" w:sz="4" w:space="0"/>
              <w:left w:val="nil"/>
              <w:bottom w:val="single" w:color="auto" w:sz="4"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观感质量较差的扣</w:t>
            </w:r>
            <w:r>
              <w:rPr>
                <w:rFonts w:eastAsia="仿宋_GB2312"/>
                <w:color w:val="000000"/>
                <w:spacing w:val="-2"/>
                <w:kern w:val="0"/>
                <w:szCs w:val="21"/>
              </w:rPr>
              <w:t>1—25</w:t>
            </w:r>
            <w:r>
              <w:rPr>
                <w:rFonts w:hint="eastAsia" w:eastAsia="仿宋_GB2312"/>
                <w:color w:val="000000"/>
                <w:spacing w:val="-2"/>
                <w:kern w:val="0"/>
                <w:szCs w:val="21"/>
              </w:rPr>
              <w:t>分</w:t>
            </w:r>
          </w:p>
        </w:tc>
        <w:tc>
          <w:tcPr>
            <w:tcW w:w="720"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20"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154" w:type="dxa"/>
            <w:vMerge w:val="continue"/>
            <w:tcBorders>
              <w:top w:val="single" w:color="auto" w:sz="4" w:space="0"/>
              <w:left w:val="nil"/>
              <w:bottom w:val="single" w:color="auto" w:sz="4" w:space="0"/>
              <w:right w:val="single" w:color="auto" w:sz="8" w:space="0"/>
            </w:tcBorders>
            <w:noWrap w:val="0"/>
            <w:vAlign w:val="center"/>
          </w:tcPr>
          <w:p>
            <w:pPr>
              <w:widowControl/>
              <w:jc w:val="left"/>
              <w:rPr>
                <w:rFonts w:eastAsia="仿宋_GB2312"/>
                <w:color w:val="000000"/>
                <w:spacing w:val="-2"/>
                <w:kern w:val="0"/>
                <w:szCs w:val="21"/>
              </w:rPr>
            </w:pPr>
          </w:p>
        </w:tc>
      </w:tr>
      <w:tr>
        <w:tblPrEx>
          <w:tblCellMar>
            <w:top w:w="0" w:type="dxa"/>
            <w:left w:w="108" w:type="dxa"/>
            <w:bottom w:w="0" w:type="dxa"/>
            <w:right w:w="108" w:type="dxa"/>
          </w:tblCellMar>
        </w:tblPrEx>
        <w:trPr>
          <w:trHeight w:val="705" w:hRule="atLeast"/>
          <w:jc w:val="center"/>
        </w:trPr>
        <w:tc>
          <w:tcPr>
            <w:tcW w:w="516"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20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3060" w:type="dxa"/>
            <w:gridSpan w:val="2"/>
            <w:vMerge w:val="continue"/>
            <w:tcBorders>
              <w:top w:val="single" w:color="auto" w:sz="4" w:space="0"/>
              <w:left w:val="nil"/>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728" w:type="dxa"/>
            <w:gridSpan w:val="2"/>
            <w:tcBorders>
              <w:top w:val="single" w:color="auto" w:sz="4" w:space="0"/>
              <w:left w:val="nil"/>
              <w:bottom w:val="single" w:color="auto" w:sz="4"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其它质量问题扣</w:t>
            </w:r>
            <w:r>
              <w:rPr>
                <w:rFonts w:eastAsia="仿宋_GB2312"/>
                <w:color w:val="000000"/>
                <w:spacing w:val="-2"/>
                <w:kern w:val="0"/>
                <w:szCs w:val="21"/>
              </w:rPr>
              <w:t>1—5</w:t>
            </w:r>
            <w:r>
              <w:rPr>
                <w:rFonts w:hint="eastAsia" w:eastAsia="仿宋_GB2312"/>
                <w:color w:val="000000"/>
                <w:spacing w:val="-2"/>
                <w:kern w:val="0"/>
                <w:szCs w:val="21"/>
              </w:rPr>
              <w:t>分</w:t>
            </w:r>
          </w:p>
        </w:tc>
        <w:tc>
          <w:tcPr>
            <w:tcW w:w="720"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20"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154" w:type="dxa"/>
            <w:vMerge w:val="continue"/>
            <w:tcBorders>
              <w:top w:val="single" w:color="auto" w:sz="4" w:space="0"/>
              <w:left w:val="nil"/>
              <w:bottom w:val="single" w:color="auto" w:sz="4" w:space="0"/>
              <w:right w:val="single" w:color="auto" w:sz="8" w:space="0"/>
            </w:tcBorders>
            <w:noWrap w:val="0"/>
            <w:vAlign w:val="center"/>
          </w:tcPr>
          <w:p>
            <w:pPr>
              <w:widowControl/>
              <w:jc w:val="left"/>
              <w:rPr>
                <w:rFonts w:eastAsia="仿宋_GB2312"/>
                <w:color w:val="000000"/>
                <w:spacing w:val="-2"/>
                <w:kern w:val="0"/>
                <w:szCs w:val="21"/>
              </w:rPr>
            </w:pPr>
          </w:p>
        </w:tc>
      </w:tr>
      <w:tr>
        <w:tblPrEx>
          <w:tblCellMar>
            <w:top w:w="0" w:type="dxa"/>
            <w:left w:w="108" w:type="dxa"/>
            <w:bottom w:w="0" w:type="dxa"/>
            <w:right w:w="108" w:type="dxa"/>
          </w:tblCellMar>
        </w:tblPrEx>
        <w:trPr>
          <w:trHeight w:val="540" w:hRule="atLeast"/>
          <w:jc w:val="center"/>
        </w:trPr>
        <w:tc>
          <w:tcPr>
            <w:tcW w:w="516" w:type="dxa"/>
            <w:vMerge w:val="restart"/>
            <w:tcBorders>
              <w:top w:val="single" w:color="auto" w:sz="4" w:space="0"/>
              <w:left w:val="single" w:color="auto" w:sz="8"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eastAsia="仿宋_GB2312"/>
                <w:color w:val="000000"/>
                <w:spacing w:val="-2"/>
                <w:kern w:val="0"/>
                <w:szCs w:val="21"/>
              </w:rPr>
              <w:t>4</w:t>
            </w:r>
          </w:p>
        </w:tc>
        <w:tc>
          <w:tcPr>
            <w:tcW w:w="1208" w:type="dxa"/>
            <w:vMerge w:val="restart"/>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创优治劣情况</w:t>
            </w:r>
          </w:p>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10</w:t>
            </w:r>
            <w:r>
              <w:rPr>
                <w:rFonts w:hint="eastAsia" w:eastAsia="仿宋_GB2312"/>
                <w:color w:val="000000"/>
                <w:spacing w:val="-2"/>
                <w:kern w:val="0"/>
                <w:szCs w:val="21"/>
              </w:rPr>
              <w:t>分）</w:t>
            </w:r>
          </w:p>
        </w:tc>
        <w:tc>
          <w:tcPr>
            <w:tcW w:w="3060" w:type="dxa"/>
            <w:gridSpan w:val="2"/>
            <w:vMerge w:val="restart"/>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根据创优申报落实专项施工方案及现场实施情况</w:t>
            </w:r>
          </w:p>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10</w:t>
            </w:r>
            <w:r>
              <w:rPr>
                <w:rFonts w:hint="eastAsia" w:eastAsia="仿宋_GB2312"/>
                <w:color w:val="000000"/>
                <w:spacing w:val="-2"/>
                <w:kern w:val="0"/>
                <w:szCs w:val="21"/>
              </w:rPr>
              <w:t>分）</w:t>
            </w:r>
          </w:p>
        </w:tc>
        <w:tc>
          <w:tcPr>
            <w:tcW w:w="1728" w:type="dxa"/>
            <w:gridSpan w:val="2"/>
            <w:tcBorders>
              <w:top w:val="nil"/>
              <w:left w:val="nil"/>
              <w:bottom w:val="single" w:color="auto" w:sz="4"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未制定创优方案扣</w:t>
            </w:r>
            <w:r>
              <w:rPr>
                <w:rFonts w:eastAsia="仿宋_GB2312"/>
                <w:color w:val="000000"/>
                <w:spacing w:val="-2"/>
                <w:kern w:val="0"/>
                <w:szCs w:val="21"/>
              </w:rPr>
              <w:t>5</w:t>
            </w:r>
            <w:r>
              <w:rPr>
                <w:rFonts w:hint="eastAsia" w:eastAsia="仿宋_GB2312"/>
                <w:color w:val="000000"/>
                <w:spacing w:val="-2"/>
                <w:kern w:val="0"/>
                <w:szCs w:val="21"/>
              </w:rPr>
              <w:t>分</w:t>
            </w:r>
          </w:p>
        </w:tc>
        <w:tc>
          <w:tcPr>
            <w:tcW w:w="720"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20" w:type="dxa"/>
            <w:vMerge w:val="restart"/>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1154" w:type="dxa"/>
            <w:vMerge w:val="restart"/>
            <w:tcBorders>
              <w:top w:val="single" w:color="auto" w:sz="4" w:space="0"/>
              <w:left w:val="nil"/>
              <w:bottom w:val="single" w:color="auto" w:sz="4" w:space="0"/>
              <w:right w:val="single" w:color="auto" w:sz="8" w:space="0"/>
            </w:tcBorders>
            <w:noWrap w:val="0"/>
            <w:vAlign w:val="center"/>
          </w:tcPr>
          <w:p>
            <w:pPr>
              <w:adjustRightInd w:val="0"/>
              <w:snapToGrid w:val="0"/>
              <w:jc w:val="center"/>
              <w:rPr>
                <w:rFonts w:eastAsia="仿宋_GB2312"/>
                <w:color w:val="000000"/>
                <w:spacing w:val="-2"/>
                <w:kern w:val="0"/>
                <w:szCs w:val="21"/>
              </w:rPr>
            </w:pPr>
          </w:p>
        </w:tc>
      </w:tr>
      <w:tr>
        <w:tblPrEx>
          <w:tblCellMar>
            <w:top w:w="0" w:type="dxa"/>
            <w:left w:w="108" w:type="dxa"/>
            <w:bottom w:w="0" w:type="dxa"/>
            <w:right w:w="108" w:type="dxa"/>
          </w:tblCellMar>
        </w:tblPrEx>
        <w:trPr>
          <w:trHeight w:val="540" w:hRule="atLeast"/>
          <w:jc w:val="center"/>
        </w:trPr>
        <w:tc>
          <w:tcPr>
            <w:tcW w:w="516"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208"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3060" w:type="dxa"/>
            <w:gridSpan w:val="2"/>
            <w:vMerge w:val="continue"/>
            <w:tcBorders>
              <w:top w:val="single" w:color="auto" w:sz="4" w:space="0"/>
              <w:left w:val="nil"/>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728" w:type="dxa"/>
            <w:gridSpan w:val="2"/>
            <w:tcBorders>
              <w:top w:val="single" w:color="auto" w:sz="4" w:space="0"/>
              <w:left w:val="nil"/>
              <w:bottom w:val="single" w:color="auto" w:sz="4"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未按创优专项方案落实施工扣</w:t>
            </w:r>
            <w:r>
              <w:rPr>
                <w:rFonts w:eastAsia="仿宋_GB2312"/>
                <w:color w:val="000000"/>
                <w:spacing w:val="-2"/>
                <w:kern w:val="0"/>
                <w:szCs w:val="21"/>
              </w:rPr>
              <w:t>5</w:t>
            </w:r>
            <w:r>
              <w:rPr>
                <w:rFonts w:hint="eastAsia" w:eastAsia="仿宋_GB2312"/>
                <w:color w:val="000000"/>
                <w:spacing w:val="-2"/>
                <w:kern w:val="0"/>
                <w:szCs w:val="21"/>
              </w:rPr>
              <w:t>分</w:t>
            </w:r>
          </w:p>
        </w:tc>
        <w:tc>
          <w:tcPr>
            <w:tcW w:w="720"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20"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1154" w:type="dxa"/>
            <w:vMerge w:val="continue"/>
            <w:tcBorders>
              <w:top w:val="single" w:color="auto" w:sz="4" w:space="0"/>
              <w:left w:val="nil"/>
              <w:bottom w:val="single" w:color="auto" w:sz="4" w:space="0"/>
              <w:right w:val="single" w:color="auto" w:sz="8" w:space="0"/>
            </w:tcBorders>
            <w:noWrap w:val="0"/>
            <w:vAlign w:val="center"/>
          </w:tcPr>
          <w:p>
            <w:pPr>
              <w:widowControl/>
              <w:jc w:val="left"/>
              <w:rPr>
                <w:rFonts w:eastAsia="仿宋_GB2312"/>
                <w:color w:val="000000"/>
                <w:spacing w:val="-2"/>
                <w:kern w:val="0"/>
                <w:szCs w:val="21"/>
              </w:rPr>
            </w:pPr>
          </w:p>
        </w:tc>
      </w:tr>
      <w:tr>
        <w:tblPrEx>
          <w:tblCellMar>
            <w:top w:w="0" w:type="dxa"/>
            <w:left w:w="108" w:type="dxa"/>
            <w:bottom w:w="0" w:type="dxa"/>
            <w:right w:w="108" w:type="dxa"/>
          </w:tblCellMar>
        </w:tblPrEx>
        <w:trPr>
          <w:trHeight w:val="660" w:hRule="atLeast"/>
          <w:jc w:val="center"/>
        </w:trPr>
        <w:tc>
          <w:tcPr>
            <w:tcW w:w="2345" w:type="dxa"/>
            <w:gridSpan w:val="3"/>
            <w:tcBorders>
              <w:top w:val="single" w:color="auto" w:sz="4" w:space="0"/>
              <w:left w:val="single" w:color="auto" w:sz="8" w:space="0"/>
              <w:bottom w:val="single" w:color="auto" w:sz="8"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检查人签字：</w:t>
            </w:r>
          </w:p>
        </w:tc>
        <w:tc>
          <w:tcPr>
            <w:tcW w:w="2840" w:type="dxa"/>
            <w:gridSpan w:val="2"/>
            <w:tcBorders>
              <w:top w:val="single" w:color="auto" w:sz="4" w:space="0"/>
              <w:left w:val="single" w:color="auto" w:sz="4" w:space="0"/>
              <w:bottom w:val="single" w:color="auto" w:sz="8"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被检查单位签字：</w:t>
            </w:r>
          </w:p>
        </w:tc>
        <w:tc>
          <w:tcPr>
            <w:tcW w:w="1327" w:type="dxa"/>
            <w:tcBorders>
              <w:top w:val="single" w:color="auto" w:sz="4" w:space="0"/>
              <w:left w:val="single" w:color="auto" w:sz="4" w:space="0"/>
              <w:bottom w:val="single" w:color="auto" w:sz="8"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得分扣分情况</w:t>
            </w:r>
          </w:p>
        </w:tc>
        <w:tc>
          <w:tcPr>
            <w:tcW w:w="720" w:type="dxa"/>
            <w:tcBorders>
              <w:top w:val="nil"/>
              <w:left w:val="nil"/>
              <w:bottom w:val="single" w:color="auto" w:sz="8"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720" w:type="dxa"/>
            <w:tcBorders>
              <w:top w:val="nil"/>
              <w:left w:val="nil"/>
              <w:bottom w:val="single" w:color="auto" w:sz="8" w:space="0"/>
              <w:right w:val="single" w:color="auto" w:sz="4" w:space="0"/>
            </w:tcBorders>
            <w:noWrap w:val="0"/>
            <w:vAlign w:val="center"/>
          </w:tcPr>
          <w:p>
            <w:pPr>
              <w:adjustRightInd w:val="0"/>
              <w:snapToGrid w:val="0"/>
              <w:jc w:val="center"/>
              <w:rPr>
                <w:rFonts w:eastAsia="仿宋_GB2312"/>
                <w:color w:val="000000"/>
                <w:spacing w:val="-2"/>
                <w:kern w:val="0"/>
                <w:szCs w:val="21"/>
              </w:rPr>
            </w:pPr>
          </w:p>
        </w:tc>
        <w:tc>
          <w:tcPr>
            <w:tcW w:w="1154" w:type="dxa"/>
            <w:tcBorders>
              <w:top w:val="nil"/>
              <w:left w:val="nil"/>
              <w:bottom w:val="single" w:color="auto" w:sz="8" w:space="0"/>
              <w:right w:val="single" w:color="auto" w:sz="8" w:space="0"/>
            </w:tcBorders>
            <w:noWrap w:val="0"/>
            <w:vAlign w:val="center"/>
          </w:tcPr>
          <w:p>
            <w:pPr>
              <w:adjustRightInd w:val="0"/>
              <w:snapToGrid w:val="0"/>
              <w:jc w:val="center"/>
              <w:rPr>
                <w:rFonts w:eastAsia="仿宋_GB2312"/>
                <w:color w:val="000000"/>
                <w:spacing w:val="-2"/>
                <w:kern w:val="0"/>
                <w:szCs w:val="21"/>
              </w:rPr>
            </w:pPr>
          </w:p>
        </w:tc>
      </w:tr>
    </w:tbl>
    <w:p>
      <w:pPr>
        <w:pStyle w:val="7"/>
        <w:adjustRightInd w:val="0"/>
        <w:snapToGrid w:val="0"/>
        <w:spacing w:line="570" w:lineRule="exact"/>
        <w:jc w:val="center"/>
        <w:rPr>
          <w:rFonts w:hint="eastAsia" w:ascii="Times New Roman" w:hAnsi="Times New Roman" w:eastAsia="方正黑体_GBK"/>
          <w:bCs/>
          <w:color w:val="000000"/>
          <w:spacing w:val="-2"/>
          <w:sz w:val="28"/>
          <w:szCs w:val="28"/>
        </w:rPr>
      </w:pPr>
    </w:p>
    <w:p>
      <w:pPr>
        <w:pStyle w:val="7"/>
        <w:adjustRightInd w:val="0"/>
        <w:snapToGrid w:val="0"/>
        <w:spacing w:line="570" w:lineRule="exact"/>
        <w:jc w:val="center"/>
        <w:rPr>
          <w:rFonts w:hint="eastAsia" w:ascii="Times New Roman" w:hAnsi="Times New Roman" w:eastAsia="方正黑体_GBK"/>
          <w:bCs/>
          <w:color w:val="000000"/>
          <w:spacing w:val="-2"/>
          <w:sz w:val="28"/>
          <w:szCs w:val="28"/>
        </w:rPr>
      </w:pPr>
      <w:r>
        <w:rPr>
          <w:rFonts w:hint="eastAsia" w:ascii="Times New Roman" w:hAnsi="Times New Roman" w:eastAsia="方正黑体_GBK"/>
          <w:bCs/>
          <w:color w:val="000000"/>
          <w:spacing w:val="-2"/>
          <w:sz w:val="28"/>
          <w:szCs w:val="28"/>
        </w:rPr>
        <w:br w:type="column"/>
      </w:r>
      <w:r>
        <w:rPr>
          <w:rFonts w:hint="eastAsia" w:ascii="Times New Roman" w:hAnsi="Times New Roman" w:eastAsia="方正黑体_GBK"/>
          <w:bCs/>
          <w:color w:val="000000"/>
          <w:spacing w:val="-2"/>
          <w:sz w:val="28"/>
          <w:szCs w:val="28"/>
        </w:rPr>
        <w:t>建筑市场综合考核用表之五（安全生产文明施工一）</w:t>
      </w:r>
    </w:p>
    <w:p>
      <w:pPr>
        <w:adjustRightInd w:val="0"/>
        <w:snapToGrid w:val="0"/>
        <w:spacing w:line="570" w:lineRule="exact"/>
        <w:ind w:firstLine="118" w:firstLineChars="50"/>
        <w:jc w:val="left"/>
        <w:rPr>
          <w:rFonts w:hint="eastAsia" w:ascii="Times New Roman" w:hAnsi="Times New Roman" w:eastAsia="仿宋_GB2312"/>
          <w:bCs/>
          <w:color w:val="000000"/>
          <w:spacing w:val="-2"/>
          <w:kern w:val="0"/>
          <w:sz w:val="24"/>
        </w:rPr>
      </w:pPr>
      <w:r>
        <w:rPr>
          <w:rFonts w:hint="eastAsia" w:ascii="Times New Roman" w:hAnsi="Times New Roman" w:eastAsia="仿宋_GB2312"/>
          <w:bCs/>
          <w:color w:val="000000"/>
          <w:spacing w:val="-2"/>
          <w:kern w:val="0"/>
          <w:sz w:val="24"/>
        </w:rPr>
        <w:t>项目编号：                                   检查日期：</w:t>
      </w: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944"/>
        <w:gridCol w:w="2643"/>
        <w:gridCol w:w="1398"/>
        <w:gridCol w:w="688"/>
        <w:gridCol w:w="764"/>
        <w:gridCol w:w="10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85" w:type="dxa"/>
            <w:gridSpan w:val="7"/>
            <w:tcBorders>
              <w:top w:val="single" w:color="auto" w:sz="8" w:space="0"/>
              <w:left w:val="single" w:color="auto" w:sz="8" w:space="0"/>
              <w:bottom w:val="single" w:color="auto" w:sz="4" w:space="0"/>
              <w:right w:val="single" w:color="auto" w:sz="8" w:space="0"/>
            </w:tcBorders>
            <w:noWrap w:val="0"/>
            <w:vAlign w:val="center"/>
          </w:tcPr>
          <w:p>
            <w:pPr>
              <w:adjustRightInd w:val="0"/>
              <w:snapToGrid w:val="0"/>
              <w:rPr>
                <w:rFonts w:eastAsia="仿宋_GB2312"/>
                <w:b/>
                <w:bCs/>
                <w:color w:val="000000"/>
                <w:spacing w:val="-2"/>
                <w:kern w:val="0"/>
                <w:szCs w:val="21"/>
              </w:rPr>
            </w:pPr>
            <w:r>
              <w:rPr>
                <w:rFonts w:hint="eastAsia" w:eastAsia="仿宋_GB2312"/>
                <w:b/>
                <w:bCs/>
                <w:color w:val="000000"/>
                <w:spacing w:val="-2"/>
                <w:kern w:val="0"/>
                <w:szCs w:val="21"/>
              </w:rPr>
              <w:t>（建设单位</w:t>
            </w:r>
            <w:r>
              <w:rPr>
                <w:rFonts w:eastAsia="仿宋_GB2312"/>
                <w:b/>
                <w:bCs/>
                <w:color w:val="000000"/>
                <w:spacing w:val="-2"/>
                <w:kern w:val="0"/>
                <w:szCs w:val="21"/>
              </w:rPr>
              <w:t>100</w:t>
            </w:r>
            <w:r>
              <w:rPr>
                <w:rFonts w:hint="eastAsia" w:eastAsia="仿宋_GB2312"/>
                <w:b/>
                <w:bCs/>
                <w:color w:val="000000"/>
                <w:spacing w:val="-2"/>
                <w:kern w:val="0"/>
                <w:szCs w:val="21"/>
              </w:rPr>
              <w:t>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78" w:type="dxa"/>
            <w:tcBorders>
              <w:top w:val="single" w:color="auto" w:sz="4" w:space="0"/>
              <w:left w:val="single" w:color="auto" w:sz="8" w:space="0"/>
              <w:bottom w:val="single" w:color="auto" w:sz="4" w:space="0"/>
              <w:right w:val="single" w:color="auto" w:sz="4" w:space="0"/>
            </w:tcBorders>
            <w:noWrap w:val="0"/>
            <w:vAlign w:val="center"/>
          </w:tcPr>
          <w:p>
            <w:pPr>
              <w:adjustRightInd w:val="0"/>
              <w:snapToGrid w:val="0"/>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序号</w:t>
            </w:r>
          </w:p>
        </w:tc>
        <w:tc>
          <w:tcPr>
            <w:tcW w:w="194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检查项目</w:t>
            </w:r>
          </w:p>
        </w:tc>
        <w:tc>
          <w:tcPr>
            <w:tcW w:w="4041"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检查情况及扣分办法</w:t>
            </w:r>
          </w:p>
        </w:tc>
        <w:tc>
          <w:tcPr>
            <w:tcW w:w="68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扣分</w:t>
            </w:r>
          </w:p>
        </w:tc>
        <w:tc>
          <w:tcPr>
            <w:tcW w:w="76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得分</w:t>
            </w:r>
          </w:p>
        </w:tc>
        <w:tc>
          <w:tcPr>
            <w:tcW w:w="1070"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扣分原因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78" w:type="dxa"/>
            <w:tcBorders>
              <w:top w:val="single" w:color="auto" w:sz="4" w:space="0"/>
              <w:left w:val="single" w:color="auto" w:sz="8"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eastAsia="仿宋_GB2312"/>
                <w:color w:val="000000"/>
                <w:spacing w:val="-2"/>
                <w:kern w:val="0"/>
                <w:szCs w:val="21"/>
              </w:rPr>
              <w:t>1</w:t>
            </w:r>
          </w:p>
        </w:tc>
        <w:tc>
          <w:tcPr>
            <w:tcW w:w="194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提供工程相关资料（</w:t>
            </w:r>
            <w:r>
              <w:rPr>
                <w:rFonts w:eastAsia="仿宋_GB2312"/>
                <w:color w:val="000000"/>
                <w:spacing w:val="-2"/>
                <w:kern w:val="0"/>
                <w:szCs w:val="21"/>
              </w:rPr>
              <w:t>10</w:t>
            </w:r>
            <w:r>
              <w:rPr>
                <w:rFonts w:hint="eastAsia" w:eastAsia="仿宋_GB2312"/>
                <w:color w:val="000000"/>
                <w:spacing w:val="-2"/>
                <w:kern w:val="0"/>
                <w:szCs w:val="21"/>
              </w:rPr>
              <w:t>分）</w:t>
            </w:r>
          </w:p>
        </w:tc>
        <w:tc>
          <w:tcPr>
            <w:tcW w:w="4041"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未提供施工现场及毗邻区域地下管线等有关资料扣</w:t>
            </w:r>
            <w:r>
              <w:rPr>
                <w:rFonts w:eastAsia="仿宋_GB2312"/>
                <w:color w:val="000000"/>
                <w:spacing w:val="-2"/>
                <w:kern w:val="0"/>
                <w:szCs w:val="21"/>
              </w:rPr>
              <w:t>10</w:t>
            </w:r>
            <w:r>
              <w:rPr>
                <w:rFonts w:hint="eastAsia" w:eastAsia="仿宋_GB2312"/>
                <w:color w:val="000000"/>
                <w:spacing w:val="-2"/>
                <w:kern w:val="0"/>
                <w:szCs w:val="21"/>
              </w:rPr>
              <w:t>分。</w:t>
            </w:r>
          </w:p>
        </w:tc>
        <w:tc>
          <w:tcPr>
            <w:tcW w:w="688"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rPr>
                <w:rFonts w:eastAsia="仿宋_GB2312"/>
                <w:color w:val="000000"/>
                <w:spacing w:val="-2"/>
                <w:kern w:val="0"/>
                <w:szCs w:val="21"/>
              </w:rPr>
            </w:pPr>
            <w:r>
              <w:rPr>
                <w:rFonts w:hint="eastAsia" w:eastAsia="仿宋_GB2312"/>
                <w:color w:val="000000"/>
                <w:spacing w:val="-2"/>
                <w:kern w:val="0"/>
                <w:szCs w:val="21"/>
              </w:rPr>
              <w:t>　</w:t>
            </w:r>
          </w:p>
        </w:tc>
        <w:tc>
          <w:tcPr>
            <w:tcW w:w="76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　</w:t>
            </w:r>
          </w:p>
        </w:tc>
        <w:tc>
          <w:tcPr>
            <w:tcW w:w="1070"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44" w:hRule="atLeast"/>
          <w:jc w:val="center"/>
        </w:trPr>
        <w:tc>
          <w:tcPr>
            <w:tcW w:w="678" w:type="dxa"/>
            <w:tcBorders>
              <w:top w:val="single" w:color="auto" w:sz="4" w:space="0"/>
              <w:left w:val="single" w:color="auto" w:sz="8"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eastAsia="仿宋_GB2312"/>
                <w:color w:val="000000"/>
                <w:spacing w:val="-2"/>
                <w:kern w:val="0"/>
                <w:szCs w:val="21"/>
              </w:rPr>
              <w:t>2</w:t>
            </w:r>
          </w:p>
        </w:tc>
        <w:tc>
          <w:tcPr>
            <w:tcW w:w="194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落实安全技术措施（</w:t>
            </w:r>
            <w:r>
              <w:rPr>
                <w:rFonts w:eastAsia="仿宋_GB2312"/>
                <w:color w:val="000000"/>
                <w:spacing w:val="-2"/>
                <w:kern w:val="0"/>
                <w:szCs w:val="21"/>
              </w:rPr>
              <w:t>15</w:t>
            </w:r>
            <w:r>
              <w:rPr>
                <w:rFonts w:hint="eastAsia" w:eastAsia="仿宋_GB2312"/>
                <w:color w:val="000000"/>
                <w:spacing w:val="-2"/>
                <w:kern w:val="0"/>
                <w:szCs w:val="21"/>
              </w:rPr>
              <w:t>分）</w:t>
            </w:r>
          </w:p>
        </w:tc>
        <w:tc>
          <w:tcPr>
            <w:tcW w:w="4041"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未落实安全技术措施，强令施工单位赶工期现象的扣</w:t>
            </w:r>
            <w:r>
              <w:rPr>
                <w:rFonts w:eastAsia="仿宋_GB2312"/>
                <w:color w:val="000000"/>
                <w:spacing w:val="-2"/>
                <w:kern w:val="0"/>
                <w:szCs w:val="21"/>
              </w:rPr>
              <w:t>5</w:t>
            </w:r>
            <w:r>
              <w:rPr>
                <w:rFonts w:hint="eastAsia" w:eastAsia="仿宋_GB2312"/>
                <w:color w:val="000000"/>
                <w:spacing w:val="-2"/>
                <w:kern w:val="0"/>
                <w:szCs w:val="21"/>
              </w:rPr>
              <w:t>分。</w:t>
            </w:r>
          </w:p>
          <w:p>
            <w:pPr>
              <w:adjustRightInd w:val="0"/>
              <w:snapToGrid w:val="0"/>
              <w:rPr>
                <w:rFonts w:eastAsia="仿宋_GB2312"/>
                <w:color w:val="000000"/>
                <w:spacing w:val="-2"/>
                <w:kern w:val="0"/>
                <w:szCs w:val="21"/>
              </w:rPr>
            </w:pPr>
            <w:r>
              <w:rPr>
                <w:rFonts w:hint="eastAsia" w:eastAsia="仿宋_GB2312"/>
                <w:color w:val="000000"/>
                <w:spacing w:val="-2"/>
                <w:kern w:val="0"/>
                <w:szCs w:val="21"/>
              </w:rPr>
              <w:t>未采纳设计等单位提出的保证安全措施的意见及建议的扣</w:t>
            </w:r>
            <w:r>
              <w:rPr>
                <w:rFonts w:eastAsia="仿宋_GB2312"/>
                <w:color w:val="000000"/>
                <w:spacing w:val="-2"/>
                <w:kern w:val="0"/>
                <w:szCs w:val="21"/>
              </w:rPr>
              <w:t>5</w:t>
            </w:r>
            <w:r>
              <w:rPr>
                <w:rFonts w:hint="eastAsia" w:eastAsia="仿宋_GB2312"/>
                <w:color w:val="000000"/>
                <w:spacing w:val="-2"/>
                <w:kern w:val="0"/>
                <w:szCs w:val="21"/>
              </w:rPr>
              <w:t>分。</w:t>
            </w:r>
          </w:p>
          <w:p>
            <w:pPr>
              <w:adjustRightInd w:val="0"/>
              <w:snapToGrid w:val="0"/>
              <w:rPr>
                <w:rFonts w:eastAsia="仿宋_GB2312"/>
                <w:color w:val="000000"/>
                <w:spacing w:val="-2"/>
                <w:kern w:val="0"/>
                <w:szCs w:val="21"/>
              </w:rPr>
            </w:pPr>
            <w:r>
              <w:rPr>
                <w:rFonts w:hint="eastAsia" w:eastAsia="仿宋_GB2312"/>
                <w:color w:val="000000"/>
                <w:spacing w:val="-2"/>
                <w:kern w:val="0"/>
                <w:szCs w:val="21"/>
              </w:rPr>
              <w:t>有明示或暗示施工单位购买、租赁、使用不符合安全施工要求的防护用具、机械设备等行为的扣</w:t>
            </w:r>
            <w:r>
              <w:rPr>
                <w:rFonts w:eastAsia="仿宋_GB2312"/>
                <w:color w:val="000000"/>
                <w:spacing w:val="-2"/>
                <w:kern w:val="0"/>
                <w:szCs w:val="21"/>
              </w:rPr>
              <w:t>5</w:t>
            </w:r>
            <w:r>
              <w:rPr>
                <w:rFonts w:hint="eastAsia" w:eastAsia="仿宋_GB2312"/>
                <w:color w:val="000000"/>
                <w:spacing w:val="-2"/>
                <w:kern w:val="0"/>
                <w:szCs w:val="21"/>
              </w:rPr>
              <w:t>分。</w:t>
            </w:r>
          </w:p>
        </w:tc>
        <w:tc>
          <w:tcPr>
            <w:tcW w:w="688"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rPr>
                <w:rFonts w:eastAsia="仿宋_GB2312"/>
                <w:color w:val="000000"/>
                <w:spacing w:val="-2"/>
                <w:kern w:val="0"/>
                <w:szCs w:val="21"/>
              </w:rPr>
            </w:pPr>
            <w:r>
              <w:rPr>
                <w:rFonts w:hint="eastAsia" w:eastAsia="仿宋_GB2312"/>
                <w:color w:val="000000"/>
                <w:spacing w:val="-2"/>
                <w:kern w:val="0"/>
                <w:szCs w:val="21"/>
              </w:rPr>
              <w:t>　</w:t>
            </w:r>
          </w:p>
        </w:tc>
        <w:tc>
          <w:tcPr>
            <w:tcW w:w="76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　</w:t>
            </w:r>
          </w:p>
        </w:tc>
        <w:tc>
          <w:tcPr>
            <w:tcW w:w="1070"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7" w:hRule="atLeast"/>
          <w:jc w:val="center"/>
        </w:trPr>
        <w:tc>
          <w:tcPr>
            <w:tcW w:w="678" w:type="dxa"/>
            <w:tcBorders>
              <w:top w:val="single" w:color="auto" w:sz="4" w:space="0"/>
              <w:left w:val="single" w:color="auto" w:sz="8"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eastAsia="仿宋_GB2312"/>
                <w:color w:val="000000"/>
                <w:spacing w:val="-2"/>
                <w:kern w:val="0"/>
                <w:szCs w:val="21"/>
              </w:rPr>
              <w:t>3</w:t>
            </w:r>
          </w:p>
        </w:tc>
        <w:tc>
          <w:tcPr>
            <w:tcW w:w="194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履行安全职责</w:t>
            </w:r>
            <w:r>
              <w:rPr>
                <w:rFonts w:eastAsia="仿宋_GB2312"/>
                <w:color w:val="000000"/>
                <w:spacing w:val="-2"/>
                <w:kern w:val="0"/>
                <w:szCs w:val="21"/>
              </w:rPr>
              <w:t xml:space="preserve">            </w:t>
            </w:r>
            <w:r>
              <w:rPr>
                <w:rFonts w:hint="eastAsia" w:eastAsia="仿宋_GB2312"/>
                <w:color w:val="000000"/>
                <w:spacing w:val="-2"/>
                <w:kern w:val="0"/>
                <w:szCs w:val="21"/>
              </w:rPr>
              <w:t>（</w:t>
            </w:r>
            <w:r>
              <w:rPr>
                <w:rFonts w:eastAsia="仿宋_GB2312"/>
                <w:color w:val="000000"/>
                <w:spacing w:val="-2"/>
                <w:kern w:val="0"/>
                <w:szCs w:val="21"/>
              </w:rPr>
              <w:t>20</w:t>
            </w:r>
            <w:r>
              <w:rPr>
                <w:rFonts w:hint="eastAsia" w:eastAsia="仿宋_GB2312"/>
                <w:color w:val="000000"/>
                <w:spacing w:val="-2"/>
                <w:kern w:val="0"/>
                <w:szCs w:val="21"/>
              </w:rPr>
              <w:t>分）</w:t>
            </w:r>
          </w:p>
        </w:tc>
        <w:tc>
          <w:tcPr>
            <w:tcW w:w="4041"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未在超过一定规模危险性较大分部分项工程专家论证报告中签注意见并落实措施的扣</w:t>
            </w:r>
            <w:r>
              <w:rPr>
                <w:rFonts w:eastAsia="仿宋_GB2312"/>
                <w:color w:val="000000"/>
                <w:spacing w:val="-2"/>
                <w:kern w:val="0"/>
                <w:szCs w:val="21"/>
              </w:rPr>
              <w:t>10</w:t>
            </w:r>
            <w:r>
              <w:rPr>
                <w:rFonts w:hint="eastAsia" w:eastAsia="仿宋_GB2312"/>
                <w:color w:val="000000"/>
                <w:spacing w:val="-2"/>
                <w:kern w:val="0"/>
                <w:szCs w:val="21"/>
              </w:rPr>
              <w:t>分；未组织签订施工单位之间安全生产管理协议的扣</w:t>
            </w:r>
            <w:r>
              <w:rPr>
                <w:rFonts w:eastAsia="仿宋_GB2312"/>
                <w:color w:val="000000"/>
                <w:spacing w:val="-2"/>
                <w:kern w:val="0"/>
                <w:szCs w:val="21"/>
              </w:rPr>
              <w:t>10</w:t>
            </w:r>
            <w:r>
              <w:rPr>
                <w:rFonts w:hint="eastAsia" w:eastAsia="仿宋_GB2312"/>
                <w:color w:val="000000"/>
                <w:spacing w:val="-2"/>
                <w:kern w:val="0"/>
                <w:szCs w:val="21"/>
              </w:rPr>
              <w:t>分。</w:t>
            </w:r>
          </w:p>
        </w:tc>
        <w:tc>
          <w:tcPr>
            <w:tcW w:w="688"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rPr>
                <w:rFonts w:eastAsia="仿宋_GB2312"/>
                <w:color w:val="000000"/>
                <w:spacing w:val="-2"/>
                <w:kern w:val="0"/>
                <w:szCs w:val="21"/>
              </w:rPr>
            </w:pPr>
            <w:r>
              <w:rPr>
                <w:rFonts w:hint="eastAsia" w:eastAsia="仿宋_GB2312"/>
                <w:color w:val="000000"/>
                <w:spacing w:val="-2"/>
                <w:kern w:val="0"/>
                <w:szCs w:val="21"/>
              </w:rPr>
              <w:t>　</w:t>
            </w:r>
          </w:p>
        </w:tc>
        <w:tc>
          <w:tcPr>
            <w:tcW w:w="76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　</w:t>
            </w:r>
          </w:p>
        </w:tc>
        <w:tc>
          <w:tcPr>
            <w:tcW w:w="1070"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　</w:t>
            </w:r>
          </w:p>
          <w:p>
            <w:pPr>
              <w:adjustRightInd w:val="0"/>
              <w:snapToGrid w:val="0"/>
              <w:rPr>
                <w:rFonts w:eastAsia="仿宋_GB2312"/>
                <w:color w:val="000000"/>
                <w:spacing w:val="-2"/>
                <w:kern w:val="0"/>
                <w:szCs w:val="21"/>
              </w:rPr>
            </w:pPr>
            <w:r>
              <w:rPr>
                <w:rFonts w:eastAsia="仿宋_GB2312"/>
                <w:color w:val="000000"/>
                <w:spacing w:val="-2"/>
                <w:kern w:val="0"/>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678" w:type="dxa"/>
            <w:tcBorders>
              <w:top w:val="single" w:color="auto" w:sz="4" w:space="0"/>
              <w:left w:val="single" w:color="auto" w:sz="8"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eastAsia="仿宋_GB2312"/>
                <w:color w:val="000000"/>
                <w:spacing w:val="-2"/>
                <w:kern w:val="0"/>
                <w:szCs w:val="21"/>
              </w:rPr>
              <w:t>4</w:t>
            </w:r>
          </w:p>
        </w:tc>
        <w:tc>
          <w:tcPr>
            <w:tcW w:w="194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现场施工基本条件（</w:t>
            </w:r>
            <w:r>
              <w:rPr>
                <w:rFonts w:eastAsia="仿宋_GB2312"/>
                <w:color w:val="000000"/>
                <w:spacing w:val="-2"/>
                <w:kern w:val="0"/>
                <w:szCs w:val="21"/>
              </w:rPr>
              <w:t>15</w:t>
            </w:r>
            <w:r>
              <w:rPr>
                <w:rFonts w:hint="eastAsia" w:eastAsia="仿宋_GB2312"/>
                <w:color w:val="000000"/>
                <w:spacing w:val="-2"/>
                <w:kern w:val="0"/>
                <w:szCs w:val="21"/>
              </w:rPr>
              <w:t>分）</w:t>
            </w:r>
          </w:p>
        </w:tc>
        <w:tc>
          <w:tcPr>
            <w:tcW w:w="4041"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rPr>
                <w:rFonts w:eastAsia="仿宋_GB2312"/>
                <w:color w:val="000000"/>
                <w:spacing w:val="-2"/>
                <w:kern w:val="0"/>
                <w:szCs w:val="21"/>
              </w:rPr>
            </w:pPr>
            <w:r>
              <w:rPr>
                <w:rFonts w:eastAsia="仿宋_GB2312"/>
                <w:color w:val="000000"/>
                <w:spacing w:val="-2"/>
                <w:kern w:val="0"/>
                <w:szCs w:val="21"/>
              </w:rPr>
              <w:t>“</w:t>
            </w:r>
            <w:r>
              <w:rPr>
                <w:rFonts w:hint="eastAsia" w:eastAsia="仿宋_GB2312"/>
                <w:color w:val="000000"/>
                <w:spacing w:val="-2"/>
                <w:kern w:val="0"/>
                <w:szCs w:val="21"/>
              </w:rPr>
              <w:t>三通一平</w:t>
            </w:r>
            <w:r>
              <w:rPr>
                <w:rFonts w:eastAsia="仿宋_GB2312"/>
                <w:color w:val="000000"/>
                <w:spacing w:val="-2"/>
                <w:kern w:val="0"/>
                <w:szCs w:val="21"/>
              </w:rPr>
              <w:t>”</w:t>
            </w:r>
            <w:r>
              <w:rPr>
                <w:rFonts w:hint="eastAsia" w:eastAsia="仿宋_GB2312"/>
                <w:color w:val="000000"/>
                <w:spacing w:val="-2"/>
                <w:kern w:val="0"/>
                <w:szCs w:val="21"/>
              </w:rPr>
              <w:t>等不符合施工条件扣</w:t>
            </w:r>
            <w:r>
              <w:rPr>
                <w:rFonts w:eastAsia="仿宋_GB2312"/>
                <w:color w:val="000000"/>
                <w:spacing w:val="-2"/>
                <w:kern w:val="0"/>
                <w:szCs w:val="21"/>
              </w:rPr>
              <w:t>15</w:t>
            </w:r>
            <w:r>
              <w:rPr>
                <w:rFonts w:hint="eastAsia" w:eastAsia="仿宋_GB2312"/>
                <w:color w:val="000000"/>
                <w:spacing w:val="-2"/>
                <w:kern w:val="0"/>
                <w:szCs w:val="21"/>
              </w:rPr>
              <w:t>分。</w:t>
            </w:r>
          </w:p>
        </w:tc>
        <w:tc>
          <w:tcPr>
            <w:tcW w:w="688"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rPr>
                <w:rFonts w:eastAsia="仿宋_GB2312"/>
                <w:color w:val="000000"/>
                <w:spacing w:val="-2"/>
                <w:kern w:val="0"/>
                <w:szCs w:val="21"/>
              </w:rPr>
            </w:pPr>
            <w:r>
              <w:rPr>
                <w:rFonts w:hint="eastAsia" w:eastAsia="仿宋_GB2312"/>
                <w:color w:val="000000"/>
                <w:spacing w:val="-2"/>
                <w:kern w:val="0"/>
                <w:szCs w:val="21"/>
              </w:rPr>
              <w:t>　</w:t>
            </w:r>
          </w:p>
        </w:tc>
        <w:tc>
          <w:tcPr>
            <w:tcW w:w="76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　</w:t>
            </w:r>
          </w:p>
        </w:tc>
        <w:tc>
          <w:tcPr>
            <w:tcW w:w="1070"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0" w:hRule="atLeast"/>
          <w:jc w:val="center"/>
        </w:trPr>
        <w:tc>
          <w:tcPr>
            <w:tcW w:w="678" w:type="dxa"/>
            <w:tcBorders>
              <w:top w:val="single" w:color="auto" w:sz="4" w:space="0"/>
              <w:left w:val="single" w:color="auto" w:sz="8"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eastAsia="仿宋_GB2312"/>
                <w:color w:val="000000"/>
                <w:spacing w:val="-2"/>
                <w:kern w:val="0"/>
                <w:szCs w:val="21"/>
              </w:rPr>
              <w:t>5</w:t>
            </w:r>
          </w:p>
        </w:tc>
        <w:tc>
          <w:tcPr>
            <w:tcW w:w="194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文明工地长效管理</w:t>
            </w:r>
            <w:r>
              <w:rPr>
                <w:rFonts w:eastAsia="仿宋_GB2312"/>
                <w:color w:val="000000"/>
                <w:spacing w:val="-2"/>
                <w:kern w:val="0"/>
                <w:szCs w:val="21"/>
              </w:rPr>
              <w:t xml:space="preserve">            </w:t>
            </w:r>
            <w:r>
              <w:rPr>
                <w:rFonts w:hint="eastAsia" w:eastAsia="仿宋_GB2312"/>
                <w:color w:val="000000"/>
                <w:spacing w:val="-2"/>
                <w:kern w:val="0"/>
                <w:szCs w:val="21"/>
              </w:rPr>
              <w:t>（</w:t>
            </w:r>
            <w:r>
              <w:rPr>
                <w:rFonts w:eastAsia="仿宋_GB2312"/>
                <w:color w:val="000000"/>
                <w:spacing w:val="-2"/>
                <w:kern w:val="0"/>
                <w:szCs w:val="21"/>
              </w:rPr>
              <w:t>20</w:t>
            </w:r>
            <w:r>
              <w:rPr>
                <w:rFonts w:hint="eastAsia" w:eastAsia="仿宋_GB2312"/>
                <w:color w:val="000000"/>
                <w:spacing w:val="-2"/>
                <w:kern w:val="0"/>
                <w:szCs w:val="21"/>
              </w:rPr>
              <w:t>分）</w:t>
            </w:r>
          </w:p>
        </w:tc>
        <w:tc>
          <w:tcPr>
            <w:tcW w:w="4041"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未按要求设置围挡扣</w:t>
            </w:r>
            <w:r>
              <w:rPr>
                <w:rFonts w:eastAsia="仿宋_GB2312"/>
                <w:color w:val="000000"/>
                <w:spacing w:val="-2"/>
                <w:kern w:val="0"/>
                <w:szCs w:val="21"/>
              </w:rPr>
              <w:t>10</w:t>
            </w:r>
            <w:r>
              <w:rPr>
                <w:rFonts w:hint="eastAsia" w:eastAsia="仿宋_GB2312"/>
                <w:color w:val="000000"/>
                <w:spacing w:val="-2"/>
                <w:kern w:val="0"/>
                <w:szCs w:val="21"/>
              </w:rPr>
              <w:t>分；未按要求设置冲洗台扣</w:t>
            </w:r>
            <w:r>
              <w:rPr>
                <w:rFonts w:eastAsia="仿宋_GB2312"/>
                <w:color w:val="000000"/>
                <w:spacing w:val="-2"/>
                <w:kern w:val="0"/>
                <w:szCs w:val="21"/>
              </w:rPr>
              <w:t>10</w:t>
            </w:r>
            <w:r>
              <w:rPr>
                <w:rFonts w:hint="eastAsia" w:eastAsia="仿宋_GB2312"/>
                <w:color w:val="000000"/>
                <w:spacing w:val="-2"/>
                <w:kern w:val="0"/>
                <w:szCs w:val="21"/>
              </w:rPr>
              <w:t>分；未按要求设置沉淀池、排水沟扣</w:t>
            </w:r>
            <w:r>
              <w:rPr>
                <w:rFonts w:eastAsia="仿宋_GB2312"/>
                <w:color w:val="000000"/>
                <w:spacing w:val="-2"/>
                <w:kern w:val="0"/>
                <w:szCs w:val="21"/>
              </w:rPr>
              <w:t>10</w:t>
            </w:r>
            <w:r>
              <w:rPr>
                <w:rFonts w:hint="eastAsia" w:eastAsia="仿宋_GB2312"/>
                <w:color w:val="000000"/>
                <w:spacing w:val="-2"/>
                <w:kern w:val="0"/>
                <w:szCs w:val="21"/>
              </w:rPr>
              <w:t>分。</w:t>
            </w:r>
          </w:p>
        </w:tc>
        <w:tc>
          <w:tcPr>
            <w:tcW w:w="688"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rPr>
                <w:rFonts w:eastAsia="仿宋_GB2312"/>
                <w:color w:val="000000"/>
                <w:spacing w:val="-2"/>
                <w:kern w:val="0"/>
                <w:szCs w:val="21"/>
              </w:rPr>
            </w:pPr>
            <w:r>
              <w:rPr>
                <w:rFonts w:hint="eastAsia" w:eastAsia="仿宋_GB2312"/>
                <w:color w:val="000000"/>
                <w:spacing w:val="-2"/>
                <w:kern w:val="0"/>
                <w:szCs w:val="21"/>
              </w:rPr>
              <w:t>　</w:t>
            </w:r>
          </w:p>
        </w:tc>
        <w:tc>
          <w:tcPr>
            <w:tcW w:w="76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　</w:t>
            </w:r>
          </w:p>
        </w:tc>
        <w:tc>
          <w:tcPr>
            <w:tcW w:w="1070"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678" w:type="dxa"/>
            <w:tcBorders>
              <w:top w:val="single" w:color="auto" w:sz="4" w:space="0"/>
              <w:left w:val="single" w:color="auto" w:sz="8"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eastAsia="仿宋_GB2312"/>
                <w:color w:val="000000"/>
                <w:spacing w:val="-2"/>
                <w:kern w:val="0"/>
                <w:szCs w:val="21"/>
              </w:rPr>
              <w:t>6</w:t>
            </w:r>
          </w:p>
        </w:tc>
        <w:tc>
          <w:tcPr>
            <w:tcW w:w="194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扬尘控制</w:t>
            </w:r>
          </w:p>
          <w:p>
            <w:pPr>
              <w:adjustRightInd w:val="0"/>
              <w:snapToGrid w:val="0"/>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20</w:t>
            </w:r>
            <w:r>
              <w:rPr>
                <w:rFonts w:hint="eastAsia" w:eastAsia="仿宋_GB2312"/>
                <w:color w:val="000000"/>
                <w:spacing w:val="-2"/>
                <w:kern w:val="0"/>
                <w:szCs w:val="21"/>
              </w:rPr>
              <w:t>分）</w:t>
            </w:r>
          </w:p>
        </w:tc>
        <w:tc>
          <w:tcPr>
            <w:tcW w:w="4041"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文明施工及长效管理无相应措施扣</w:t>
            </w:r>
            <w:r>
              <w:rPr>
                <w:rFonts w:eastAsia="仿宋_GB2312"/>
                <w:color w:val="000000"/>
                <w:spacing w:val="-2"/>
                <w:kern w:val="0"/>
                <w:szCs w:val="21"/>
              </w:rPr>
              <w:t>10</w:t>
            </w:r>
            <w:r>
              <w:rPr>
                <w:rFonts w:hint="eastAsia" w:eastAsia="仿宋_GB2312"/>
                <w:color w:val="000000"/>
                <w:spacing w:val="-2"/>
                <w:kern w:val="0"/>
                <w:szCs w:val="21"/>
              </w:rPr>
              <w:t>分；施工现场土方等进出场污染城市道路扣</w:t>
            </w:r>
            <w:r>
              <w:rPr>
                <w:rFonts w:eastAsia="仿宋_GB2312"/>
                <w:color w:val="000000"/>
                <w:spacing w:val="-2"/>
                <w:kern w:val="0"/>
                <w:szCs w:val="21"/>
              </w:rPr>
              <w:t>10</w:t>
            </w:r>
            <w:r>
              <w:rPr>
                <w:rFonts w:hint="eastAsia" w:eastAsia="仿宋_GB2312"/>
                <w:color w:val="000000"/>
                <w:spacing w:val="-2"/>
                <w:kern w:val="0"/>
                <w:szCs w:val="21"/>
              </w:rPr>
              <w:t>分；施工场地土方裸露，未采取防尘措施扣</w:t>
            </w:r>
            <w:r>
              <w:rPr>
                <w:rFonts w:eastAsia="仿宋_GB2312"/>
                <w:color w:val="000000"/>
                <w:spacing w:val="-2"/>
                <w:kern w:val="0"/>
                <w:szCs w:val="21"/>
              </w:rPr>
              <w:t>10</w:t>
            </w:r>
            <w:r>
              <w:rPr>
                <w:rFonts w:hint="eastAsia" w:eastAsia="仿宋_GB2312"/>
                <w:color w:val="000000"/>
                <w:spacing w:val="-2"/>
                <w:kern w:val="0"/>
                <w:szCs w:val="21"/>
              </w:rPr>
              <w:t>分</w:t>
            </w:r>
          </w:p>
        </w:tc>
        <w:tc>
          <w:tcPr>
            <w:tcW w:w="688"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rPr>
                <w:rFonts w:eastAsia="仿宋_GB2312"/>
                <w:color w:val="000000"/>
                <w:spacing w:val="-2"/>
                <w:kern w:val="0"/>
                <w:szCs w:val="21"/>
              </w:rPr>
            </w:pPr>
            <w:r>
              <w:rPr>
                <w:rFonts w:hint="eastAsia" w:eastAsia="仿宋_GB2312"/>
                <w:color w:val="000000"/>
                <w:spacing w:val="-2"/>
                <w:kern w:val="0"/>
                <w:szCs w:val="21"/>
              </w:rPr>
              <w:t>　</w:t>
            </w:r>
          </w:p>
        </w:tc>
        <w:tc>
          <w:tcPr>
            <w:tcW w:w="76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　</w:t>
            </w:r>
          </w:p>
        </w:tc>
        <w:tc>
          <w:tcPr>
            <w:tcW w:w="1070"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2622" w:type="dxa"/>
            <w:gridSpan w:val="2"/>
            <w:tcBorders>
              <w:top w:val="single" w:color="auto" w:sz="4" w:space="0"/>
              <w:left w:val="single" w:color="auto" w:sz="8" w:space="0"/>
              <w:bottom w:val="single" w:color="auto" w:sz="8"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检查人签字：</w:t>
            </w:r>
          </w:p>
        </w:tc>
        <w:tc>
          <w:tcPr>
            <w:tcW w:w="2643" w:type="dxa"/>
            <w:tcBorders>
              <w:top w:val="single" w:color="auto" w:sz="4" w:space="0"/>
              <w:left w:val="single" w:color="auto" w:sz="4" w:space="0"/>
              <w:bottom w:val="single" w:color="auto" w:sz="8"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被检查单位签字：</w:t>
            </w:r>
            <w:r>
              <w:rPr>
                <w:rFonts w:eastAsia="仿宋_GB2312"/>
                <w:color w:val="000000"/>
                <w:spacing w:val="-2"/>
                <w:kern w:val="0"/>
                <w:szCs w:val="21"/>
              </w:rPr>
              <w:t xml:space="preserve">                                     </w:t>
            </w:r>
          </w:p>
        </w:tc>
        <w:tc>
          <w:tcPr>
            <w:tcW w:w="1398" w:type="dxa"/>
            <w:tcBorders>
              <w:top w:val="single" w:color="auto" w:sz="4" w:space="0"/>
              <w:left w:val="single" w:color="auto" w:sz="4" w:space="0"/>
              <w:bottom w:val="single" w:color="auto" w:sz="8"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得扣分情况</w:t>
            </w:r>
          </w:p>
        </w:tc>
        <w:tc>
          <w:tcPr>
            <w:tcW w:w="688" w:type="dxa"/>
            <w:tcBorders>
              <w:top w:val="single" w:color="auto" w:sz="4" w:space="0"/>
              <w:left w:val="single" w:color="auto" w:sz="4" w:space="0"/>
              <w:bottom w:val="single" w:color="auto" w:sz="8"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　</w:t>
            </w:r>
          </w:p>
        </w:tc>
        <w:tc>
          <w:tcPr>
            <w:tcW w:w="764" w:type="dxa"/>
            <w:tcBorders>
              <w:top w:val="single" w:color="auto" w:sz="4" w:space="0"/>
              <w:left w:val="single" w:color="auto" w:sz="4" w:space="0"/>
              <w:bottom w:val="single" w:color="auto" w:sz="8" w:space="0"/>
              <w:right w:val="single" w:color="auto" w:sz="4"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　</w:t>
            </w:r>
          </w:p>
        </w:tc>
        <w:tc>
          <w:tcPr>
            <w:tcW w:w="1070" w:type="dxa"/>
            <w:tcBorders>
              <w:top w:val="single" w:color="auto" w:sz="4" w:space="0"/>
              <w:left w:val="single" w:color="auto" w:sz="4" w:space="0"/>
              <w:bottom w:val="single" w:color="auto" w:sz="8" w:space="0"/>
              <w:right w:val="single" w:color="auto" w:sz="8" w:space="0"/>
            </w:tcBorders>
            <w:noWrap w:val="0"/>
            <w:vAlign w:val="center"/>
          </w:tcPr>
          <w:p>
            <w:pPr>
              <w:adjustRightInd w:val="0"/>
              <w:snapToGrid w:val="0"/>
              <w:rPr>
                <w:rFonts w:eastAsia="仿宋_GB2312"/>
                <w:color w:val="000000"/>
                <w:spacing w:val="-2"/>
                <w:kern w:val="0"/>
                <w:szCs w:val="21"/>
              </w:rPr>
            </w:pPr>
            <w:r>
              <w:rPr>
                <w:rFonts w:hint="eastAsia" w:eastAsia="仿宋_GB2312"/>
                <w:color w:val="000000"/>
                <w:spacing w:val="-2"/>
                <w:kern w:val="0"/>
                <w:szCs w:val="21"/>
              </w:rPr>
              <w:t>　</w:t>
            </w:r>
          </w:p>
        </w:tc>
      </w:tr>
    </w:tbl>
    <w:p>
      <w:pPr>
        <w:widowControl/>
        <w:spacing w:beforeAutospacing="1" w:afterAutospacing="1"/>
        <w:jc w:val="left"/>
        <w:rPr>
          <w:rFonts w:ascii="Times New Roman" w:hAnsi="Times New Roman" w:eastAsia="仿宋"/>
          <w:b/>
          <w:bCs/>
          <w:color w:val="000000"/>
          <w:spacing w:val="-2"/>
          <w:kern w:val="0"/>
          <w:sz w:val="32"/>
          <w:szCs w:val="32"/>
        </w:rPr>
        <w:sectPr>
          <w:pgSz w:w="11906" w:h="16838"/>
          <w:pgMar w:top="1701" w:right="1588" w:bottom="1701" w:left="1588" w:header="851" w:footer="1361" w:gutter="0"/>
          <w:cols w:space="720" w:num="1"/>
        </w:sectPr>
      </w:pPr>
    </w:p>
    <w:p>
      <w:pPr>
        <w:pStyle w:val="7"/>
        <w:adjustRightInd w:val="0"/>
        <w:snapToGrid w:val="0"/>
        <w:spacing w:line="570" w:lineRule="exact"/>
        <w:jc w:val="center"/>
        <w:rPr>
          <w:rFonts w:hint="eastAsia" w:ascii="Times New Roman" w:hAnsi="Times New Roman" w:eastAsia="方正黑体_GBK"/>
          <w:bCs/>
          <w:color w:val="000000"/>
          <w:spacing w:val="-2"/>
          <w:sz w:val="28"/>
          <w:szCs w:val="28"/>
        </w:rPr>
      </w:pPr>
      <w:r>
        <w:rPr>
          <w:rFonts w:hint="eastAsia" w:ascii="Times New Roman" w:hAnsi="Times New Roman" w:eastAsia="方正黑体_GBK"/>
          <w:bCs/>
          <w:color w:val="000000"/>
          <w:spacing w:val="-2"/>
          <w:sz w:val="28"/>
          <w:szCs w:val="28"/>
        </w:rPr>
        <w:t>建筑市场综合考核用表之五（安全生产文明施工二）</w:t>
      </w:r>
    </w:p>
    <w:p>
      <w:pPr>
        <w:adjustRightInd w:val="0"/>
        <w:snapToGrid w:val="0"/>
        <w:spacing w:line="570" w:lineRule="exact"/>
        <w:ind w:firstLine="354" w:firstLineChars="150"/>
        <w:jc w:val="left"/>
        <w:rPr>
          <w:rFonts w:hint="eastAsia" w:ascii="Times New Roman" w:hAnsi="Times New Roman" w:eastAsia="仿宋_GB2312"/>
          <w:b/>
          <w:bCs/>
          <w:color w:val="000000"/>
          <w:spacing w:val="-2"/>
          <w:kern w:val="0"/>
          <w:sz w:val="24"/>
        </w:rPr>
      </w:pPr>
      <w:r>
        <w:rPr>
          <w:rFonts w:hint="eastAsia" w:ascii="Times New Roman" w:hAnsi="Times New Roman" w:eastAsia="仿宋_GB2312"/>
          <w:bCs/>
          <w:color w:val="000000"/>
          <w:spacing w:val="-2"/>
          <w:kern w:val="0"/>
          <w:sz w:val="24"/>
        </w:rPr>
        <w:t>项目编号：                                 检查日期：</w:t>
      </w:r>
    </w:p>
    <w:tbl>
      <w:tblPr>
        <w:tblStyle w:val="12"/>
        <w:tblW w:w="0" w:type="auto"/>
        <w:jc w:val="center"/>
        <w:tblLayout w:type="fixed"/>
        <w:tblCellMar>
          <w:top w:w="0" w:type="dxa"/>
          <w:left w:w="108" w:type="dxa"/>
          <w:bottom w:w="0" w:type="dxa"/>
          <w:right w:w="108" w:type="dxa"/>
        </w:tblCellMar>
      </w:tblPr>
      <w:tblGrid>
        <w:gridCol w:w="698"/>
        <w:gridCol w:w="1764"/>
        <w:gridCol w:w="440"/>
        <w:gridCol w:w="2520"/>
        <w:gridCol w:w="1080"/>
        <w:gridCol w:w="595"/>
        <w:gridCol w:w="659"/>
        <w:gridCol w:w="1080"/>
      </w:tblGrid>
      <w:tr>
        <w:tblPrEx>
          <w:tblCellMar>
            <w:top w:w="0" w:type="dxa"/>
            <w:left w:w="108" w:type="dxa"/>
            <w:bottom w:w="0" w:type="dxa"/>
            <w:right w:w="108" w:type="dxa"/>
          </w:tblCellMar>
        </w:tblPrEx>
        <w:trPr>
          <w:trHeight w:val="555" w:hRule="atLeast"/>
          <w:jc w:val="center"/>
        </w:trPr>
        <w:tc>
          <w:tcPr>
            <w:tcW w:w="8836" w:type="dxa"/>
            <w:gridSpan w:val="8"/>
            <w:tcBorders>
              <w:top w:val="single" w:color="auto" w:sz="8" w:space="0"/>
              <w:left w:val="single" w:color="auto" w:sz="8" w:space="0"/>
              <w:bottom w:val="single" w:color="auto" w:sz="4" w:space="0"/>
              <w:right w:val="single" w:color="auto" w:sz="8" w:space="0"/>
            </w:tcBorders>
            <w:noWrap w:val="0"/>
            <w:vAlign w:val="center"/>
          </w:tcPr>
          <w:p>
            <w:pPr>
              <w:adjustRightInd w:val="0"/>
              <w:snapToGrid w:val="0"/>
              <w:spacing w:line="240" w:lineRule="exact"/>
              <w:rPr>
                <w:rFonts w:ascii="Times New Roman" w:hAnsi="Times New Roman" w:eastAsia="仿宋_GB2312"/>
                <w:b/>
                <w:bCs/>
                <w:color w:val="000000"/>
                <w:spacing w:val="-2"/>
                <w:kern w:val="0"/>
                <w:szCs w:val="21"/>
              </w:rPr>
            </w:pPr>
            <w:r>
              <w:rPr>
                <w:rFonts w:hint="eastAsia" w:ascii="Times New Roman" w:hAnsi="Times New Roman" w:eastAsia="仿宋_GB2312"/>
                <w:b/>
                <w:bCs/>
                <w:color w:val="000000"/>
                <w:spacing w:val="-2"/>
                <w:kern w:val="0"/>
                <w:szCs w:val="21"/>
              </w:rPr>
              <w:t>（施工单位100分）</w:t>
            </w:r>
          </w:p>
        </w:tc>
      </w:tr>
      <w:tr>
        <w:tblPrEx>
          <w:tblCellMar>
            <w:top w:w="0" w:type="dxa"/>
            <w:left w:w="108" w:type="dxa"/>
            <w:bottom w:w="0" w:type="dxa"/>
            <w:right w:w="108" w:type="dxa"/>
          </w:tblCellMar>
        </w:tblPrEx>
        <w:trPr>
          <w:trHeight w:val="405" w:hRule="atLeast"/>
          <w:jc w:val="center"/>
        </w:trPr>
        <w:tc>
          <w:tcPr>
            <w:tcW w:w="698" w:type="dxa"/>
            <w:tcBorders>
              <w:top w:val="nil"/>
              <w:left w:val="single" w:color="auto" w:sz="8"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方正黑体_GBK"/>
                <w:color w:val="000000"/>
                <w:spacing w:val="-2"/>
                <w:kern w:val="0"/>
                <w:szCs w:val="21"/>
              </w:rPr>
            </w:pPr>
            <w:r>
              <w:rPr>
                <w:rFonts w:hint="eastAsia" w:ascii="Times New Roman" w:hAnsi="Times New Roman" w:eastAsia="方正黑体_GBK"/>
                <w:color w:val="000000"/>
                <w:spacing w:val="-2"/>
                <w:kern w:val="0"/>
                <w:szCs w:val="21"/>
              </w:rPr>
              <w:t>序号</w:t>
            </w:r>
          </w:p>
        </w:tc>
        <w:tc>
          <w:tcPr>
            <w:tcW w:w="2204"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方正黑体_GBK"/>
                <w:color w:val="000000"/>
                <w:spacing w:val="-2"/>
                <w:kern w:val="0"/>
                <w:szCs w:val="21"/>
              </w:rPr>
            </w:pPr>
            <w:r>
              <w:rPr>
                <w:rFonts w:hint="eastAsia" w:ascii="Times New Roman" w:hAnsi="Times New Roman" w:eastAsia="方正黑体_GBK"/>
                <w:color w:val="000000"/>
                <w:spacing w:val="-2"/>
                <w:kern w:val="0"/>
                <w:szCs w:val="21"/>
              </w:rPr>
              <w:t>检查项目</w:t>
            </w:r>
          </w:p>
        </w:tc>
        <w:tc>
          <w:tcPr>
            <w:tcW w:w="3600"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方正黑体_GBK"/>
                <w:color w:val="000000"/>
                <w:spacing w:val="-2"/>
                <w:kern w:val="0"/>
                <w:szCs w:val="21"/>
              </w:rPr>
            </w:pPr>
            <w:r>
              <w:rPr>
                <w:rFonts w:hint="eastAsia" w:ascii="Times New Roman" w:hAnsi="Times New Roman" w:eastAsia="方正黑体_GBK"/>
                <w:color w:val="000000"/>
                <w:spacing w:val="-2"/>
                <w:kern w:val="0"/>
                <w:szCs w:val="21"/>
              </w:rPr>
              <w:t>检查情况及扣分办法</w:t>
            </w:r>
          </w:p>
        </w:tc>
        <w:tc>
          <w:tcPr>
            <w:tcW w:w="595" w:type="dxa"/>
            <w:tcBorders>
              <w:top w:val="nil"/>
              <w:left w:val="nil"/>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方正黑体_GBK"/>
                <w:color w:val="000000"/>
                <w:spacing w:val="-2"/>
                <w:kern w:val="0"/>
                <w:szCs w:val="21"/>
              </w:rPr>
            </w:pPr>
            <w:r>
              <w:rPr>
                <w:rFonts w:hint="eastAsia" w:ascii="Times New Roman" w:hAnsi="Times New Roman" w:eastAsia="方正黑体_GBK"/>
                <w:color w:val="000000"/>
                <w:spacing w:val="-2"/>
                <w:kern w:val="0"/>
                <w:szCs w:val="21"/>
              </w:rPr>
              <w:t>扣分</w:t>
            </w:r>
          </w:p>
        </w:tc>
        <w:tc>
          <w:tcPr>
            <w:tcW w:w="659" w:type="dxa"/>
            <w:tcBorders>
              <w:top w:val="nil"/>
              <w:left w:val="nil"/>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方正黑体_GBK"/>
                <w:color w:val="000000"/>
                <w:spacing w:val="-2"/>
                <w:kern w:val="0"/>
                <w:szCs w:val="21"/>
              </w:rPr>
            </w:pPr>
            <w:r>
              <w:rPr>
                <w:rFonts w:hint="eastAsia" w:ascii="Times New Roman" w:hAnsi="Times New Roman" w:eastAsia="方正黑体_GBK"/>
                <w:color w:val="000000"/>
                <w:spacing w:val="-2"/>
                <w:kern w:val="0"/>
                <w:szCs w:val="21"/>
              </w:rPr>
              <w:t>得分</w:t>
            </w:r>
          </w:p>
        </w:tc>
        <w:tc>
          <w:tcPr>
            <w:tcW w:w="1080" w:type="dxa"/>
            <w:tcBorders>
              <w:top w:val="nil"/>
              <w:left w:val="nil"/>
              <w:bottom w:val="single" w:color="auto" w:sz="4" w:space="0"/>
              <w:right w:val="single" w:color="auto" w:sz="8" w:space="0"/>
            </w:tcBorders>
            <w:noWrap w:val="0"/>
            <w:vAlign w:val="center"/>
          </w:tcPr>
          <w:p>
            <w:pPr>
              <w:adjustRightInd w:val="0"/>
              <w:snapToGrid w:val="0"/>
              <w:spacing w:line="240" w:lineRule="exact"/>
              <w:jc w:val="center"/>
              <w:rPr>
                <w:rFonts w:ascii="Times New Roman" w:hAnsi="Times New Roman" w:eastAsia="方正黑体_GBK"/>
                <w:color w:val="000000"/>
                <w:spacing w:val="-2"/>
                <w:kern w:val="0"/>
                <w:szCs w:val="21"/>
              </w:rPr>
            </w:pPr>
            <w:r>
              <w:rPr>
                <w:rFonts w:hint="eastAsia" w:ascii="Times New Roman" w:hAnsi="Times New Roman" w:eastAsia="方正黑体_GBK"/>
                <w:color w:val="000000"/>
                <w:spacing w:val="-2"/>
                <w:kern w:val="0"/>
                <w:szCs w:val="21"/>
              </w:rPr>
              <w:t>扣分</w:t>
            </w:r>
          </w:p>
          <w:p>
            <w:pPr>
              <w:adjustRightInd w:val="0"/>
              <w:snapToGrid w:val="0"/>
              <w:spacing w:line="240" w:lineRule="exact"/>
              <w:jc w:val="center"/>
              <w:rPr>
                <w:rFonts w:ascii="Times New Roman" w:hAnsi="Times New Roman" w:eastAsia="方正黑体_GBK"/>
                <w:color w:val="000000"/>
                <w:spacing w:val="-2"/>
                <w:kern w:val="0"/>
                <w:szCs w:val="21"/>
              </w:rPr>
            </w:pPr>
            <w:r>
              <w:rPr>
                <w:rFonts w:hint="eastAsia" w:ascii="Times New Roman" w:hAnsi="Times New Roman" w:eastAsia="方正黑体_GBK"/>
                <w:color w:val="000000"/>
                <w:spacing w:val="-2"/>
                <w:kern w:val="0"/>
                <w:szCs w:val="21"/>
              </w:rPr>
              <w:t>原因</w:t>
            </w:r>
          </w:p>
        </w:tc>
      </w:tr>
      <w:tr>
        <w:tblPrEx>
          <w:tblCellMar>
            <w:top w:w="0" w:type="dxa"/>
            <w:left w:w="108" w:type="dxa"/>
            <w:bottom w:w="0" w:type="dxa"/>
            <w:right w:w="108" w:type="dxa"/>
          </w:tblCellMar>
        </w:tblPrEx>
        <w:trPr>
          <w:trHeight w:val="1170" w:hRule="atLeast"/>
          <w:jc w:val="center"/>
        </w:trPr>
        <w:tc>
          <w:tcPr>
            <w:tcW w:w="698" w:type="dxa"/>
            <w:tcBorders>
              <w:top w:val="nil"/>
              <w:left w:val="single" w:color="auto" w:sz="8"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1</w:t>
            </w:r>
          </w:p>
        </w:tc>
        <w:tc>
          <w:tcPr>
            <w:tcW w:w="2204"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安全履责情况</w:t>
            </w:r>
          </w:p>
          <w:p>
            <w:pPr>
              <w:adjustRightInd w:val="0"/>
              <w:snapToGrid w:val="0"/>
              <w:spacing w:line="240" w:lineRule="exact"/>
              <w:jc w:val="center"/>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（20分）</w:t>
            </w:r>
          </w:p>
        </w:tc>
        <w:tc>
          <w:tcPr>
            <w:tcW w:w="3600"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项目经理（包括分包单位项目经理）不履行职责扣10分；</w:t>
            </w:r>
          </w:p>
          <w:p>
            <w:pPr>
              <w:adjustRightInd w:val="0"/>
              <w:snapToGrid w:val="0"/>
              <w:spacing w:line="240" w:lineRule="exact"/>
              <w:rPr>
                <w:rFonts w:hint="eastAsia"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安全员（包括分包单位安全员）、机管员不履行职责扣10  分；</w:t>
            </w:r>
          </w:p>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安全检查台帐不能如实反映现场真实情况扣5分。</w:t>
            </w:r>
          </w:p>
        </w:tc>
        <w:tc>
          <w:tcPr>
            <w:tcW w:w="595" w:type="dxa"/>
            <w:tcBorders>
              <w:top w:val="nil"/>
              <w:left w:val="nil"/>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659" w:type="dxa"/>
            <w:tcBorders>
              <w:top w:val="nil"/>
              <w:left w:val="nil"/>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1080" w:type="dxa"/>
            <w:tcBorders>
              <w:top w:val="nil"/>
              <w:left w:val="nil"/>
              <w:bottom w:val="single" w:color="auto" w:sz="4" w:space="0"/>
              <w:right w:val="single" w:color="auto" w:sz="8"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r>
      <w:tr>
        <w:tblPrEx>
          <w:tblCellMar>
            <w:top w:w="0" w:type="dxa"/>
            <w:left w:w="108" w:type="dxa"/>
            <w:bottom w:w="0" w:type="dxa"/>
            <w:right w:w="108" w:type="dxa"/>
          </w:tblCellMar>
        </w:tblPrEx>
        <w:trPr>
          <w:trHeight w:val="885" w:hRule="atLeast"/>
          <w:jc w:val="center"/>
        </w:trPr>
        <w:tc>
          <w:tcPr>
            <w:tcW w:w="698" w:type="dxa"/>
            <w:tcBorders>
              <w:top w:val="nil"/>
              <w:left w:val="single" w:color="auto" w:sz="8"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2</w:t>
            </w:r>
          </w:p>
        </w:tc>
        <w:tc>
          <w:tcPr>
            <w:tcW w:w="2204"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特种作业人员持证上岗（10分）</w:t>
            </w:r>
          </w:p>
        </w:tc>
        <w:tc>
          <w:tcPr>
            <w:tcW w:w="3600"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未如实建立特种作业人员（包括司索信号工）名册扣10分。</w:t>
            </w:r>
          </w:p>
        </w:tc>
        <w:tc>
          <w:tcPr>
            <w:tcW w:w="595" w:type="dxa"/>
            <w:tcBorders>
              <w:top w:val="nil"/>
              <w:left w:val="nil"/>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659" w:type="dxa"/>
            <w:tcBorders>
              <w:top w:val="nil"/>
              <w:left w:val="nil"/>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1080" w:type="dxa"/>
            <w:tcBorders>
              <w:top w:val="nil"/>
              <w:left w:val="nil"/>
              <w:bottom w:val="single" w:color="auto" w:sz="4" w:space="0"/>
              <w:right w:val="single" w:color="auto" w:sz="8"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r>
      <w:tr>
        <w:tblPrEx>
          <w:tblCellMar>
            <w:top w:w="0" w:type="dxa"/>
            <w:left w:w="108" w:type="dxa"/>
            <w:bottom w:w="0" w:type="dxa"/>
            <w:right w:w="108" w:type="dxa"/>
          </w:tblCellMar>
        </w:tblPrEx>
        <w:trPr>
          <w:trHeight w:val="1065" w:hRule="atLeast"/>
          <w:jc w:val="center"/>
        </w:trPr>
        <w:tc>
          <w:tcPr>
            <w:tcW w:w="698" w:type="dxa"/>
            <w:tcBorders>
              <w:top w:val="nil"/>
              <w:left w:val="single" w:color="auto" w:sz="8"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3</w:t>
            </w:r>
          </w:p>
        </w:tc>
        <w:tc>
          <w:tcPr>
            <w:tcW w:w="2204"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安全生产目标管理</w:t>
            </w:r>
          </w:p>
          <w:p>
            <w:pPr>
              <w:adjustRightInd w:val="0"/>
              <w:snapToGrid w:val="0"/>
              <w:spacing w:line="240" w:lineRule="exact"/>
              <w:jc w:val="center"/>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（10分）</w:t>
            </w:r>
          </w:p>
        </w:tc>
        <w:tc>
          <w:tcPr>
            <w:tcW w:w="3600"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公司与项目部未签订安全责任书扣5分；</w:t>
            </w:r>
          </w:p>
          <w:p>
            <w:pPr>
              <w:adjustRightInd w:val="0"/>
              <w:snapToGrid w:val="0"/>
              <w:spacing w:line="240" w:lineRule="exact"/>
              <w:rPr>
                <w:rFonts w:hint="eastAsia"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未签订总分包安全生产协议的扣5分；</w:t>
            </w:r>
          </w:p>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无安全生产目标扣5分。</w:t>
            </w:r>
          </w:p>
        </w:tc>
        <w:tc>
          <w:tcPr>
            <w:tcW w:w="595" w:type="dxa"/>
            <w:tcBorders>
              <w:top w:val="nil"/>
              <w:left w:val="nil"/>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659" w:type="dxa"/>
            <w:tcBorders>
              <w:top w:val="nil"/>
              <w:left w:val="nil"/>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1080" w:type="dxa"/>
            <w:tcBorders>
              <w:top w:val="nil"/>
              <w:left w:val="nil"/>
              <w:bottom w:val="single" w:color="auto" w:sz="4" w:space="0"/>
              <w:right w:val="single" w:color="auto" w:sz="8"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r>
      <w:tr>
        <w:tblPrEx>
          <w:tblCellMar>
            <w:top w:w="0" w:type="dxa"/>
            <w:left w:w="108" w:type="dxa"/>
            <w:bottom w:w="0" w:type="dxa"/>
            <w:right w:w="108" w:type="dxa"/>
          </w:tblCellMar>
        </w:tblPrEx>
        <w:trPr>
          <w:trHeight w:val="990" w:hRule="atLeast"/>
          <w:jc w:val="center"/>
        </w:trPr>
        <w:tc>
          <w:tcPr>
            <w:tcW w:w="698" w:type="dxa"/>
            <w:tcBorders>
              <w:top w:val="nil"/>
              <w:left w:val="single" w:color="auto" w:sz="8"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4</w:t>
            </w:r>
          </w:p>
        </w:tc>
        <w:tc>
          <w:tcPr>
            <w:tcW w:w="2204"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教育培训计划制定和实施（10分）</w:t>
            </w:r>
          </w:p>
        </w:tc>
        <w:tc>
          <w:tcPr>
            <w:tcW w:w="3600"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无教育培训计划扣5分；</w:t>
            </w:r>
          </w:p>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发现未落实人员岗前培训教育扣5分。</w:t>
            </w:r>
          </w:p>
        </w:tc>
        <w:tc>
          <w:tcPr>
            <w:tcW w:w="595" w:type="dxa"/>
            <w:tcBorders>
              <w:top w:val="nil"/>
              <w:left w:val="nil"/>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659" w:type="dxa"/>
            <w:tcBorders>
              <w:top w:val="nil"/>
              <w:left w:val="nil"/>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1080" w:type="dxa"/>
            <w:tcBorders>
              <w:top w:val="nil"/>
              <w:left w:val="nil"/>
              <w:bottom w:val="single" w:color="auto" w:sz="4" w:space="0"/>
              <w:right w:val="single" w:color="auto" w:sz="8"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r>
      <w:tr>
        <w:tblPrEx>
          <w:tblCellMar>
            <w:top w:w="0" w:type="dxa"/>
            <w:left w:w="108" w:type="dxa"/>
            <w:bottom w:w="0" w:type="dxa"/>
            <w:right w:w="108" w:type="dxa"/>
          </w:tblCellMar>
        </w:tblPrEx>
        <w:trPr>
          <w:trHeight w:val="1170" w:hRule="atLeast"/>
          <w:jc w:val="center"/>
        </w:trPr>
        <w:tc>
          <w:tcPr>
            <w:tcW w:w="698" w:type="dxa"/>
            <w:tcBorders>
              <w:top w:val="nil"/>
              <w:left w:val="single" w:color="auto" w:sz="8"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5</w:t>
            </w:r>
          </w:p>
        </w:tc>
        <w:tc>
          <w:tcPr>
            <w:tcW w:w="2204"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安全防护用具（品）</w:t>
            </w:r>
          </w:p>
          <w:p>
            <w:pPr>
              <w:adjustRightInd w:val="0"/>
              <w:snapToGrid w:val="0"/>
              <w:spacing w:line="240" w:lineRule="exact"/>
              <w:jc w:val="center"/>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（10分）</w:t>
            </w:r>
          </w:p>
        </w:tc>
        <w:tc>
          <w:tcPr>
            <w:tcW w:w="3600"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未提供钢管、扣件、安全网等验收、检测及有效证书的，每项扣4分：使用不合格产品的扣5分。直至扣完10分</w:t>
            </w:r>
          </w:p>
        </w:tc>
        <w:tc>
          <w:tcPr>
            <w:tcW w:w="595" w:type="dxa"/>
            <w:tcBorders>
              <w:top w:val="nil"/>
              <w:left w:val="nil"/>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659" w:type="dxa"/>
            <w:tcBorders>
              <w:top w:val="nil"/>
              <w:left w:val="nil"/>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1080" w:type="dxa"/>
            <w:tcBorders>
              <w:top w:val="nil"/>
              <w:left w:val="nil"/>
              <w:bottom w:val="single" w:color="auto" w:sz="4" w:space="0"/>
              <w:right w:val="single" w:color="auto" w:sz="8"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r>
      <w:tr>
        <w:tblPrEx>
          <w:tblCellMar>
            <w:top w:w="0" w:type="dxa"/>
            <w:left w:w="108" w:type="dxa"/>
            <w:bottom w:w="0" w:type="dxa"/>
            <w:right w:w="108" w:type="dxa"/>
          </w:tblCellMar>
        </w:tblPrEx>
        <w:trPr>
          <w:trHeight w:val="769" w:hRule="atLeast"/>
          <w:jc w:val="center"/>
        </w:trPr>
        <w:tc>
          <w:tcPr>
            <w:tcW w:w="698" w:type="dxa"/>
            <w:tcBorders>
              <w:top w:val="single" w:color="auto" w:sz="4" w:space="0"/>
              <w:left w:val="single" w:color="auto" w:sz="8"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6</w:t>
            </w:r>
          </w:p>
        </w:tc>
        <w:tc>
          <w:tcPr>
            <w:tcW w:w="2204"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安全技术交底</w:t>
            </w:r>
          </w:p>
          <w:p>
            <w:pPr>
              <w:adjustRightInd w:val="0"/>
              <w:snapToGrid w:val="0"/>
              <w:spacing w:line="240" w:lineRule="exact"/>
              <w:jc w:val="center"/>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（10分）</w:t>
            </w:r>
          </w:p>
        </w:tc>
        <w:tc>
          <w:tcPr>
            <w:tcW w:w="3600"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 xml:space="preserve">项目部未对班组落实安全技术交底扣5分；班组未对成员落实安全技术交底的扣5分。 </w:t>
            </w:r>
          </w:p>
        </w:tc>
        <w:tc>
          <w:tcPr>
            <w:tcW w:w="59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65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1080"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r>
      <w:tr>
        <w:tblPrEx>
          <w:tblCellMar>
            <w:top w:w="0" w:type="dxa"/>
            <w:left w:w="108" w:type="dxa"/>
            <w:bottom w:w="0" w:type="dxa"/>
            <w:right w:w="108" w:type="dxa"/>
          </w:tblCellMar>
        </w:tblPrEx>
        <w:trPr>
          <w:trHeight w:val="929" w:hRule="atLeast"/>
          <w:jc w:val="center"/>
        </w:trPr>
        <w:tc>
          <w:tcPr>
            <w:tcW w:w="698" w:type="dxa"/>
            <w:tcBorders>
              <w:top w:val="nil"/>
              <w:left w:val="single" w:color="auto" w:sz="8"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7</w:t>
            </w:r>
          </w:p>
        </w:tc>
        <w:tc>
          <w:tcPr>
            <w:tcW w:w="2204"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安全检查及整改情况</w:t>
            </w:r>
          </w:p>
          <w:p>
            <w:pPr>
              <w:adjustRightInd w:val="0"/>
              <w:snapToGrid w:val="0"/>
              <w:spacing w:line="240" w:lineRule="exact"/>
              <w:jc w:val="center"/>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（10分）</w:t>
            </w:r>
          </w:p>
        </w:tc>
        <w:tc>
          <w:tcPr>
            <w:tcW w:w="3600"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未定期或按要求开展安全检查的扣5分，未在规定时间内将隐患整改到位的扣5分。直至扣完10分。</w:t>
            </w:r>
          </w:p>
        </w:tc>
        <w:tc>
          <w:tcPr>
            <w:tcW w:w="595" w:type="dxa"/>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659" w:type="dxa"/>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1080" w:type="dxa"/>
            <w:tcBorders>
              <w:top w:val="single" w:color="auto" w:sz="4" w:space="0"/>
              <w:left w:val="nil"/>
              <w:bottom w:val="single" w:color="auto" w:sz="4" w:space="0"/>
              <w:right w:val="single" w:color="auto" w:sz="8"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r>
      <w:tr>
        <w:tblPrEx>
          <w:tblCellMar>
            <w:top w:w="0" w:type="dxa"/>
            <w:left w:w="108" w:type="dxa"/>
            <w:bottom w:w="0" w:type="dxa"/>
            <w:right w:w="108" w:type="dxa"/>
          </w:tblCellMar>
        </w:tblPrEx>
        <w:trPr>
          <w:trHeight w:val="801" w:hRule="atLeast"/>
          <w:jc w:val="center"/>
        </w:trPr>
        <w:tc>
          <w:tcPr>
            <w:tcW w:w="698" w:type="dxa"/>
            <w:tcBorders>
              <w:top w:val="nil"/>
              <w:left w:val="single" w:color="auto" w:sz="8"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8</w:t>
            </w:r>
          </w:p>
        </w:tc>
        <w:tc>
          <w:tcPr>
            <w:tcW w:w="2204"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机械设备验收、检测、登记</w:t>
            </w:r>
          </w:p>
          <w:p>
            <w:pPr>
              <w:adjustRightInd w:val="0"/>
              <w:snapToGrid w:val="0"/>
              <w:spacing w:line="240" w:lineRule="exact"/>
              <w:jc w:val="center"/>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（10分）</w:t>
            </w:r>
          </w:p>
        </w:tc>
        <w:tc>
          <w:tcPr>
            <w:tcW w:w="3600"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未验收合格即投入使用的扣5分；</w:t>
            </w:r>
          </w:p>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未按规定办理使用登记的扣5分。</w:t>
            </w:r>
          </w:p>
        </w:tc>
        <w:tc>
          <w:tcPr>
            <w:tcW w:w="595" w:type="dxa"/>
            <w:tcBorders>
              <w:top w:val="nil"/>
              <w:left w:val="nil"/>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659" w:type="dxa"/>
            <w:tcBorders>
              <w:top w:val="nil"/>
              <w:left w:val="nil"/>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1080" w:type="dxa"/>
            <w:tcBorders>
              <w:top w:val="nil"/>
              <w:left w:val="nil"/>
              <w:bottom w:val="single" w:color="auto" w:sz="4" w:space="0"/>
              <w:right w:val="single" w:color="auto" w:sz="8"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r>
      <w:tr>
        <w:tblPrEx>
          <w:tblCellMar>
            <w:top w:w="0" w:type="dxa"/>
            <w:left w:w="108" w:type="dxa"/>
            <w:bottom w:w="0" w:type="dxa"/>
            <w:right w:w="108" w:type="dxa"/>
          </w:tblCellMar>
        </w:tblPrEx>
        <w:trPr>
          <w:trHeight w:val="1440" w:hRule="atLeast"/>
          <w:jc w:val="center"/>
        </w:trPr>
        <w:tc>
          <w:tcPr>
            <w:tcW w:w="698" w:type="dxa"/>
            <w:tcBorders>
              <w:top w:val="nil"/>
              <w:left w:val="single" w:color="auto" w:sz="8"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9</w:t>
            </w:r>
          </w:p>
        </w:tc>
        <w:tc>
          <w:tcPr>
            <w:tcW w:w="2204"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施工方案及专家论证</w:t>
            </w:r>
          </w:p>
          <w:p>
            <w:pPr>
              <w:adjustRightInd w:val="0"/>
              <w:snapToGrid w:val="0"/>
              <w:spacing w:line="240" w:lineRule="exact"/>
              <w:jc w:val="center"/>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（10分）</w:t>
            </w:r>
          </w:p>
        </w:tc>
        <w:tc>
          <w:tcPr>
            <w:tcW w:w="3600" w:type="dxa"/>
            <w:gridSpan w:val="2"/>
            <w:tcBorders>
              <w:top w:val="single" w:color="auto" w:sz="4" w:space="0"/>
              <w:left w:val="nil"/>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危险性较大分部分项工程未编制方案的扣5分，审批手续不规范的扣3分；超过一定规模的危险性较大分部分项工程未组织专家论证并按要求完善方案的扣10分。</w:t>
            </w:r>
          </w:p>
        </w:tc>
        <w:tc>
          <w:tcPr>
            <w:tcW w:w="595" w:type="dxa"/>
            <w:tcBorders>
              <w:top w:val="nil"/>
              <w:left w:val="nil"/>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659" w:type="dxa"/>
            <w:tcBorders>
              <w:top w:val="nil"/>
              <w:left w:val="nil"/>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1080" w:type="dxa"/>
            <w:tcBorders>
              <w:top w:val="nil"/>
              <w:left w:val="nil"/>
              <w:bottom w:val="single" w:color="auto" w:sz="4" w:space="0"/>
              <w:right w:val="single" w:color="auto" w:sz="8"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r>
      <w:tr>
        <w:tblPrEx>
          <w:tblCellMar>
            <w:top w:w="0" w:type="dxa"/>
            <w:left w:w="108" w:type="dxa"/>
            <w:bottom w:w="0" w:type="dxa"/>
            <w:right w:w="108" w:type="dxa"/>
          </w:tblCellMar>
        </w:tblPrEx>
        <w:trPr>
          <w:trHeight w:val="615" w:hRule="atLeast"/>
          <w:jc w:val="center"/>
        </w:trPr>
        <w:tc>
          <w:tcPr>
            <w:tcW w:w="2462" w:type="dxa"/>
            <w:gridSpan w:val="2"/>
            <w:tcBorders>
              <w:top w:val="single" w:color="auto" w:sz="4" w:space="0"/>
              <w:left w:val="single" w:color="auto" w:sz="8" w:space="0"/>
              <w:bottom w:val="single" w:color="auto" w:sz="8" w:space="0"/>
              <w:right w:val="single" w:color="000000"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检查人签字：</w:t>
            </w:r>
          </w:p>
        </w:tc>
        <w:tc>
          <w:tcPr>
            <w:tcW w:w="2960" w:type="dxa"/>
            <w:gridSpan w:val="2"/>
            <w:tcBorders>
              <w:top w:val="single" w:color="auto" w:sz="4" w:space="0"/>
              <w:left w:val="nil"/>
              <w:bottom w:val="single" w:color="auto" w:sz="8" w:space="0"/>
              <w:right w:val="single" w:color="000000"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被检查单位签字：</w:t>
            </w:r>
          </w:p>
        </w:tc>
        <w:tc>
          <w:tcPr>
            <w:tcW w:w="1080" w:type="dxa"/>
            <w:tcBorders>
              <w:top w:val="nil"/>
              <w:left w:val="nil"/>
              <w:bottom w:val="single" w:color="auto" w:sz="8"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得分扣分情况</w:t>
            </w:r>
          </w:p>
        </w:tc>
        <w:tc>
          <w:tcPr>
            <w:tcW w:w="595" w:type="dxa"/>
            <w:tcBorders>
              <w:top w:val="nil"/>
              <w:left w:val="nil"/>
              <w:bottom w:val="single" w:color="auto" w:sz="8" w:space="0"/>
              <w:right w:val="single" w:color="auto" w:sz="4" w:space="0"/>
            </w:tcBorders>
            <w:noWrap w:val="0"/>
            <w:vAlign w:val="top"/>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　</w:t>
            </w:r>
          </w:p>
        </w:tc>
        <w:tc>
          <w:tcPr>
            <w:tcW w:w="659" w:type="dxa"/>
            <w:tcBorders>
              <w:top w:val="nil"/>
              <w:left w:val="nil"/>
              <w:bottom w:val="single" w:color="auto" w:sz="8"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　</w:t>
            </w:r>
          </w:p>
        </w:tc>
        <w:tc>
          <w:tcPr>
            <w:tcW w:w="1080" w:type="dxa"/>
            <w:tcBorders>
              <w:top w:val="nil"/>
              <w:left w:val="nil"/>
              <w:bottom w:val="single" w:color="auto" w:sz="8" w:space="0"/>
              <w:right w:val="single" w:color="auto" w:sz="8"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　</w:t>
            </w:r>
          </w:p>
        </w:tc>
      </w:tr>
    </w:tbl>
    <w:p>
      <w:pPr>
        <w:widowControl/>
        <w:spacing w:beforeAutospacing="1" w:afterAutospacing="1"/>
        <w:jc w:val="left"/>
        <w:rPr>
          <w:rFonts w:ascii="Times New Roman" w:hAnsi="Times New Roman" w:eastAsia="仿宋"/>
          <w:b/>
          <w:bCs/>
          <w:color w:val="000000"/>
          <w:spacing w:val="-2"/>
          <w:kern w:val="0"/>
          <w:sz w:val="32"/>
          <w:szCs w:val="32"/>
        </w:rPr>
        <w:sectPr>
          <w:pgSz w:w="11906" w:h="16838"/>
          <w:pgMar w:top="1701" w:right="1588" w:bottom="1701" w:left="1588" w:header="851" w:footer="1361" w:gutter="0"/>
          <w:cols w:space="720" w:num="1"/>
        </w:sectPr>
      </w:pPr>
    </w:p>
    <w:p>
      <w:pPr>
        <w:pStyle w:val="7"/>
        <w:adjustRightInd w:val="0"/>
        <w:snapToGrid w:val="0"/>
        <w:spacing w:line="570" w:lineRule="exact"/>
        <w:jc w:val="center"/>
        <w:rPr>
          <w:rFonts w:hint="eastAsia" w:ascii="Times New Roman" w:hAnsi="Times New Roman" w:eastAsia="方正黑体_GBK"/>
          <w:bCs/>
          <w:color w:val="000000"/>
          <w:spacing w:val="-2"/>
          <w:sz w:val="28"/>
          <w:szCs w:val="28"/>
        </w:rPr>
      </w:pPr>
      <w:r>
        <w:rPr>
          <w:rFonts w:hint="eastAsia" w:ascii="Times New Roman" w:hAnsi="Times New Roman" w:eastAsia="方正黑体_GBK"/>
          <w:bCs/>
          <w:color w:val="000000"/>
          <w:spacing w:val="-2"/>
          <w:sz w:val="28"/>
          <w:szCs w:val="28"/>
        </w:rPr>
        <w:t>建筑市场综合考核用表之五（安全生产文明施工三）</w:t>
      </w:r>
    </w:p>
    <w:p>
      <w:pPr>
        <w:adjustRightInd w:val="0"/>
        <w:snapToGrid w:val="0"/>
        <w:spacing w:line="570" w:lineRule="exact"/>
        <w:jc w:val="left"/>
        <w:rPr>
          <w:rFonts w:hint="eastAsia" w:ascii="Times New Roman" w:hAnsi="Times New Roman" w:eastAsia="仿宋_GB2312"/>
          <w:bCs/>
          <w:color w:val="000000"/>
          <w:spacing w:val="-2"/>
          <w:kern w:val="0"/>
          <w:sz w:val="24"/>
        </w:rPr>
      </w:pPr>
      <w:r>
        <w:rPr>
          <w:rFonts w:hint="eastAsia" w:ascii="Times New Roman" w:hAnsi="Times New Roman" w:eastAsia="仿宋_GB2312"/>
          <w:bCs/>
          <w:color w:val="000000"/>
          <w:spacing w:val="-2"/>
          <w:kern w:val="0"/>
          <w:sz w:val="24"/>
        </w:rPr>
        <w:t xml:space="preserve">项目编号：                                        检查日期： </w:t>
      </w: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91"/>
        <w:gridCol w:w="1162"/>
        <w:gridCol w:w="1283"/>
        <w:gridCol w:w="3037"/>
        <w:gridCol w:w="1306"/>
        <w:gridCol w:w="592"/>
        <w:gridCol w:w="592"/>
        <w:gridCol w:w="10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9643" w:type="dxa"/>
            <w:gridSpan w:val="8"/>
            <w:tcBorders>
              <w:top w:val="single" w:color="auto" w:sz="8" w:space="0"/>
              <w:left w:val="single" w:color="auto" w:sz="8" w:space="0"/>
              <w:bottom w:val="single" w:color="auto" w:sz="4" w:space="0"/>
              <w:right w:val="single" w:color="auto" w:sz="8" w:space="0"/>
            </w:tcBorders>
            <w:noWrap w:val="0"/>
            <w:vAlign w:val="bottom"/>
          </w:tcPr>
          <w:p>
            <w:pPr>
              <w:adjustRightInd w:val="0"/>
              <w:snapToGrid w:val="0"/>
              <w:spacing w:line="280" w:lineRule="exact"/>
              <w:rPr>
                <w:rFonts w:eastAsia="仿宋_GB2312"/>
                <w:b/>
                <w:bCs/>
                <w:color w:val="000000"/>
                <w:spacing w:val="-2"/>
                <w:kern w:val="0"/>
                <w:szCs w:val="21"/>
              </w:rPr>
            </w:pPr>
            <w:r>
              <w:rPr>
                <w:rFonts w:hint="eastAsia" w:eastAsia="仿宋_GB2312"/>
                <w:b/>
                <w:bCs/>
                <w:color w:val="000000"/>
                <w:spacing w:val="-2"/>
                <w:kern w:val="0"/>
                <w:szCs w:val="21"/>
              </w:rPr>
              <w:t>工程实体安全（</w:t>
            </w:r>
            <w:r>
              <w:rPr>
                <w:rFonts w:eastAsia="仿宋_GB2312"/>
                <w:b/>
                <w:bCs/>
                <w:color w:val="000000"/>
                <w:spacing w:val="-2"/>
                <w:kern w:val="0"/>
                <w:szCs w:val="21"/>
              </w:rPr>
              <w:t>100</w:t>
            </w:r>
            <w:r>
              <w:rPr>
                <w:rFonts w:hint="eastAsia" w:eastAsia="仿宋_GB2312"/>
                <w:b/>
                <w:bCs/>
                <w:color w:val="000000"/>
                <w:spacing w:val="-2"/>
                <w:kern w:val="0"/>
                <w:szCs w:val="21"/>
              </w:rPr>
              <w:t>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91" w:type="dxa"/>
            <w:tcBorders>
              <w:top w:val="single" w:color="auto" w:sz="4" w:space="0"/>
              <w:left w:val="single" w:color="auto" w:sz="8" w:space="0"/>
              <w:bottom w:val="single" w:color="auto" w:sz="4" w:space="0"/>
              <w:right w:val="single" w:color="auto" w:sz="4" w:space="0"/>
            </w:tcBorders>
            <w:noWrap w:val="0"/>
            <w:vAlign w:val="center"/>
          </w:tcPr>
          <w:p>
            <w:pPr>
              <w:adjustRightInd w:val="0"/>
              <w:snapToGrid w:val="0"/>
              <w:spacing w:line="280" w:lineRule="exact"/>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序号</w:t>
            </w:r>
          </w:p>
        </w:tc>
        <w:tc>
          <w:tcPr>
            <w:tcW w:w="116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检查项目</w:t>
            </w:r>
          </w:p>
        </w:tc>
        <w:tc>
          <w:tcPr>
            <w:tcW w:w="5626" w:type="dxa"/>
            <w:gridSpan w:val="3"/>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检查情况及扣分办法</w:t>
            </w:r>
          </w:p>
        </w:tc>
        <w:tc>
          <w:tcPr>
            <w:tcW w:w="59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扣分</w:t>
            </w:r>
          </w:p>
        </w:tc>
        <w:tc>
          <w:tcPr>
            <w:tcW w:w="59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得分</w:t>
            </w:r>
          </w:p>
        </w:tc>
        <w:tc>
          <w:tcPr>
            <w:tcW w:w="1080"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280" w:lineRule="exact"/>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扣分原因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96" w:hRule="atLeast"/>
          <w:jc w:val="center"/>
        </w:trPr>
        <w:tc>
          <w:tcPr>
            <w:tcW w:w="591" w:type="dxa"/>
            <w:tcBorders>
              <w:top w:val="single" w:color="auto" w:sz="4" w:space="0"/>
              <w:left w:val="single" w:color="auto" w:sz="8" w:space="0"/>
              <w:bottom w:val="single" w:color="auto" w:sz="4" w:space="0"/>
              <w:right w:val="single" w:color="auto" w:sz="4" w:space="0"/>
            </w:tcBorders>
            <w:noWrap w:val="0"/>
            <w:vAlign w:val="center"/>
          </w:tcPr>
          <w:p>
            <w:pPr>
              <w:adjustRightInd w:val="0"/>
              <w:snapToGrid w:val="0"/>
              <w:spacing w:line="280" w:lineRule="exact"/>
              <w:jc w:val="center"/>
              <w:rPr>
                <w:rFonts w:eastAsia="仿宋_GB2312"/>
                <w:color w:val="000000"/>
                <w:spacing w:val="-2"/>
                <w:kern w:val="0"/>
                <w:szCs w:val="21"/>
              </w:rPr>
            </w:pPr>
            <w:r>
              <w:rPr>
                <w:rFonts w:eastAsia="仿宋_GB2312"/>
                <w:color w:val="000000"/>
                <w:spacing w:val="-2"/>
                <w:kern w:val="0"/>
                <w:szCs w:val="21"/>
              </w:rPr>
              <w:t>1</w:t>
            </w:r>
          </w:p>
        </w:tc>
        <w:tc>
          <w:tcPr>
            <w:tcW w:w="116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eastAsia="仿宋_GB2312"/>
                <w:color w:val="000000"/>
                <w:spacing w:val="-2"/>
                <w:kern w:val="0"/>
                <w:szCs w:val="21"/>
              </w:rPr>
            </w:pPr>
            <w:r>
              <w:rPr>
                <w:rFonts w:hint="eastAsia" w:eastAsia="仿宋_GB2312"/>
                <w:color w:val="000000"/>
                <w:spacing w:val="-2"/>
                <w:kern w:val="0"/>
                <w:szCs w:val="21"/>
              </w:rPr>
              <w:t>安全防护</w:t>
            </w:r>
          </w:p>
          <w:p>
            <w:pPr>
              <w:adjustRightInd w:val="0"/>
              <w:snapToGrid w:val="0"/>
              <w:spacing w:line="280" w:lineRule="exact"/>
              <w:jc w:val="center"/>
              <w:rPr>
                <w:rFonts w:eastAsia="仿宋_GB2312"/>
                <w:color w:val="000000"/>
                <w:spacing w:val="-2"/>
                <w:kern w:val="0"/>
                <w:szCs w:val="21"/>
              </w:rPr>
            </w:pPr>
            <w:r>
              <w:rPr>
                <w:rFonts w:hint="eastAsia" w:eastAsia="仿宋_GB2312"/>
                <w:color w:val="000000"/>
                <w:spacing w:val="-2"/>
                <w:kern w:val="0"/>
                <w:szCs w:val="21"/>
              </w:rPr>
              <w:t>设施</w:t>
            </w:r>
          </w:p>
          <w:p>
            <w:pPr>
              <w:adjustRightInd w:val="0"/>
              <w:snapToGrid w:val="0"/>
              <w:spacing w:line="280" w:lineRule="exact"/>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20</w:t>
            </w:r>
            <w:r>
              <w:rPr>
                <w:rFonts w:hint="eastAsia" w:eastAsia="仿宋_GB2312"/>
                <w:color w:val="000000"/>
                <w:spacing w:val="-2"/>
                <w:kern w:val="0"/>
                <w:szCs w:val="21"/>
              </w:rPr>
              <w:t>分）</w:t>
            </w:r>
          </w:p>
        </w:tc>
        <w:tc>
          <w:tcPr>
            <w:tcW w:w="5626" w:type="dxa"/>
            <w:gridSpan w:val="3"/>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rPr>
                <w:rFonts w:eastAsia="仿宋_GB2312"/>
                <w:color w:val="000000"/>
                <w:spacing w:val="-2"/>
                <w:kern w:val="0"/>
                <w:szCs w:val="21"/>
              </w:rPr>
            </w:pPr>
            <w:r>
              <w:rPr>
                <w:rFonts w:hint="eastAsia" w:eastAsia="仿宋_GB2312"/>
                <w:color w:val="000000"/>
                <w:spacing w:val="-2"/>
                <w:kern w:val="0"/>
                <w:szCs w:val="21"/>
              </w:rPr>
              <w:t>脚手架、模板支架杆件或部件设置不齐全一处扣</w:t>
            </w:r>
            <w:r>
              <w:rPr>
                <w:rFonts w:eastAsia="仿宋_GB2312"/>
                <w:color w:val="000000"/>
                <w:spacing w:val="-2"/>
                <w:kern w:val="0"/>
                <w:szCs w:val="21"/>
              </w:rPr>
              <w:t>2</w:t>
            </w:r>
            <w:r>
              <w:rPr>
                <w:rFonts w:hint="eastAsia" w:eastAsia="仿宋_GB2312"/>
                <w:color w:val="000000"/>
                <w:spacing w:val="-2"/>
                <w:kern w:val="0"/>
                <w:szCs w:val="21"/>
              </w:rPr>
              <w:t>分；杆件间距不符规定的扣</w:t>
            </w:r>
            <w:r>
              <w:rPr>
                <w:rFonts w:eastAsia="仿宋_GB2312"/>
                <w:color w:val="000000"/>
                <w:spacing w:val="-2"/>
                <w:kern w:val="0"/>
                <w:szCs w:val="21"/>
              </w:rPr>
              <w:t>4</w:t>
            </w:r>
            <w:r>
              <w:rPr>
                <w:rFonts w:hint="eastAsia" w:eastAsia="仿宋_GB2312"/>
                <w:color w:val="000000"/>
                <w:spacing w:val="-2"/>
                <w:kern w:val="0"/>
                <w:szCs w:val="21"/>
              </w:rPr>
              <w:t>分；脚手架、模板支架基础处理不到位，存在不均匀沉降的扣</w:t>
            </w:r>
            <w:r>
              <w:rPr>
                <w:rFonts w:eastAsia="仿宋_GB2312"/>
                <w:color w:val="000000"/>
                <w:spacing w:val="-2"/>
                <w:kern w:val="0"/>
                <w:szCs w:val="21"/>
              </w:rPr>
              <w:t>4</w:t>
            </w:r>
            <w:r>
              <w:rPr>
                <w:rFonts w:hint="eastAsia" w:eastAsia="仿宋_GB2312"/>
                <w:color w:val="000000"/>
                <w:spacing w:val="-2"/>
                <w:kern w:val="0"/>
                <w:szCs w:val="21"/>
              </w:rPr>
              <w:t>分；模板立柱未采取对接接长的扣</w:t>
            </w:r>
            <w:r>
              <w:rPr>
                <w:rFonts w:eastAsia="仿宋_GB2312"/>
                <w:color w:val="000000"/>
                <w:spacing w:val="-2"/>
                <w:kern w:val="0"/>
                <w:szCs w:val="21"/>
              </w:rPr>
              <w:t>4</w:t>
            </w:r>
            <w:r>
              <w:rPr>
                <w:rFonts w:hint="eastAsia" w:eastAsia="仿宋_GB2312"/>
                <w:color w:val="000000"/>
                <w:spacing w:val="-2"/>
                <w:kern w:val="0"/>
                <w:szCs w:val="21"/>
              </w:rPr>
              <w:t>分；超过一定规模的模板支撑未使用可调支托的扣</w:t>
            </w:r>
            <w:r>
              <w:rPr>
                <w:rFonts w:eastAsia="仿宋_GB2312"/>
                <w:color w:val="000000"/>
                <w:spacing w:val="-2"/>
                <w:kern w:val="0"/>
                <w:szCs w:val="21"/>
              </w:rPr>
              <w:t>4</w:t>
            </w:r>
            <w:r>
              <w:rPr>
                <w:rFonts w:hint="eastAsia" w:eastAsia="仿宋_GB2312"/>
                <w:color w:val="000000"/>
                <w:spacing w:val="-2"/>
                <w:kern w:val="0"/>
                <w:szCs w:val="21"/>
              </w:rPr>
              <w:t>分；基坑支护措施不落实每项扣</w:t>
            </w:r>
            <w:r>
              <w:rPr>
                <w:rFonts w:eastAsia="仿宋_GB2312"/>
                <w:color w:val="000000"/>
                <w:spacing w:val="-2"/>
                <w:kern w:val="0"/>
                <w:szCs w:val="21"/>
              </w:rPr>
              <w:t>2</w:t>
            </w:r>
            <w:r>
              <w:rPr>
                <w:rFonts w:hint="eastAsia" w:eastAsia="仿宋_GB2312"/>
                <w:color w:val="000000"/>
                <w:spacing w:val="-2"/>
                <w:kern w:val="0"/>
                <w:szCs w:val="21"/>
              </w:rPr>
              <w:t>分；临边洞口防护未按规定设置的一处扣</w:t>
            </w:r>
            <w:r>
              <w:rPr>
                <w:rFonts w:eastAsia="仿宋_GB2312"/>
                <w:color w:val="000000"/>
                <w:spacing w:val="-2"/>
                <w:kern w:val="0"/>
                <w:szCs w:val="21"/>
              </w:rPr>
              <w:t>1</w:t>
            </w:r>
            <w:r>
              <w:rPr>
                <w:rFonts w:hint="eastAsia" w:eastAsia="仿宋_GB2312"/>
                <w:color w:val="000000"/>
                <w:spacing w:val="-2"/>
                <w:kern w:val="0"/>
                <w:szCs w:val="21"/>
              </w:rPr>
              <w:t>分，人行通道无防护的扣</w:t>
            </w:r>
            <w:r>
              <w:rPr>
                <w:rFonts w:eastAsia="仿宋_GB2312"/>
                <w:color w:val="000000"/>
                <w:spacing w:val="-2"/>
                <w:kern w:val="0"/>
                <w:szCs w:val="21"/>
              </w:rPr>
              <w:t>4</w:t>
            </w:r>
            <w:r>
              <w:rPr>
                <w:rFonts w:hint="eastAsia" w:eastAsia="仿宋_GB2312"/>
                <w:color w:val="000000"/>
                <w:spacing w:val="-2"/>
                <w:kern w:val="0"/>
                <w:szCs w:val="21"/>
              </w:rPr>
              <w:t>分；料台未按方案设置的每一处扣</w:t>
            </w:r>
            <w:r>
              <w:rPr>
                <w:rFonts w:eastAsia="仿宋_GB2312"/>
                <w:color w:val="000000"/>
                <w:spacing w:val="-2"/>
                <w:kern w:val="0"/>
                <w:szCs w:val="21"/>
              </w:rPr>
              <w:t>2</w:t>
            </w:r>
            <w:r>
              <w:rPr>
                <w:rFonts w:hint="eastAsia" w:eastAsia="仿宋_GB2312"/>
                <w:color w:val="000000"/>
                <w:spacing w:val="-2"/>
                <w:kern w:val="0"/>
                <w:szCs w:val="21"/>
              </w:rPr>
              <w:t>分；存在其他隐患酌情扣分，直至扣完</w:t>
            </w:r>
            <w:r>
              <w:rPr>
                <w:rFonts w:eastAsia="仿宋_GB2312"/>
                <w:color w:val="000000"/>
                <w:spacing w:val="-2"/>
                <w:kern w:val="0"/>
                <w:szCs w:val="21"/>
              </w:rPr>
              <w:t>20</w:t>
            </w:r>
            <w:r>
              <w:rPr>
                <w:rFonts w:hint="eastAsia" w:eastAsia="仿宋_GB2312"/>
                <w:color w:val="000000"/>
                <w:spacing w:val="-2"/>
                <w:kern w:val="0"/>
                <w:szCs w:val="21"/>
              </w:rPr>
              <w:t>分。</w:t>
            </w:r>
          </w:p>
        </w:tc>
        <w:tc>
          <w:tcPr>
            <w:tcW w:w="592"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280" w:lineRule="exact"/>
              <w:rPr>
                <w:rFonts w:eastAsia="仿宋_GB2312"/>
                <w:color w:val="000000"/>
                <w:spacing w:val="-2"/>
                <w:kern w:val="0"/>
                <w:szCs w:val="21"/>
              </w:rPr>
            </w:pPr>
            <w:r>
              <w:rPr>
                <w:rFonts w:hint="eastAsia" w:eastAsia="仿宋_GB2312"/>
                <w:color w:val="000000"/>
                <w:spacing w:val="-2"/>
                <w:kern w:val="0"/>
                <w:szCs w:val="21"/>
              </w:rPr>
              <w:t>　</w:t>
            </w:r>
          </w:p>
        </w:tc>
        <w:tc>
          <w:tcPr>
            <w:tcW w:w="59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rPr>
                <w:rFonts w:eastAsia="仿宋_GB2312"/>
                <w:color w:val="000000"/>
                <w:spacing w:val="-2"/>
                <w:kern w:val="0"/>
                <w:szCs w:val="21"/>
              </w:rPr>
            </w:pPr>
            <w:r>
              <w:rPr>
                <w:rFonts w:hint="eastAsia" w:eastAsia="仿宋_GB2312"/>
                <w:color w:val="000000"/>
                <w:spacing w:val="-2"/>
                <w:kern w:val="0"/>
                <w:szCs w:val="21"/>
              </w:rPr>
              <w:t>　</w:t>
            </w:r>
          </w:p>
        </w:tc>
        <w:tc>
          <w:tcPr>
            <w:tcW w:w="1080"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280" w:lineRule="exact"/>
              <w:rPr>
                <w:rFonts w:eastAsia="仿宋_GB2312"/>
                <w:color w:val="000000"/>
                <w:spacing w:val="-2"/>
                <w:kern w:val="0"/>
                <w:szCs w:val="21"/>
              </w:rPr>
            </w:pPr>
            <w:r>
              <w:rPr>
                <w:rFonts w:hint="eastAsia" w:eastAsia="仿宋_GB2312"/>
                <w:color w:val="000000"/>
                <w:spacing w:val="-2"/>
                <w:kern w:val="0"/>
                <w:szCs w:val="21"/>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5" w:hRule="atLeast"/>
          <w:jc w:val="center"/>
        </w:trPr>
        <w:tc>
          <w:tcPr>
            <w:tcW w:w="591" w:type="dxa"/>
            <w:tcBorders>
              <w:top w:val="single" w:color="auto" w:sz="4" w:space="0"/>
              <w:left w:val="single" w:color="auto" w:sz="8" w:space="0"/>
              <w:bottom w:val="single" w:color="auto" w:sz="4" w:space="0"/>
              <w:right w:val="single" w:color="auto" w:sz="4" w:space="0"/>
            </w:tcBorders>
            <w:noWrap w:val="0"/>
            <w:vAlign w:val="center"/>
          </w:tcPr>
          <w:p>
            <w:pPr>
              <w:adjustRightInd w:val="0"/>
              <w:snapToGrid w:val="0"/>
              <w:spacing w:line="280" w:lineRule="exact"/>
              <w:jc w:val="center"/>
              <w:rPr>
                <w:rFonts w:eastAsia="仿宋_GB2312"/>
                <w:color w:val="000000"/>
                <w:spacing w:val="-2"/>
                <w:kern w:val="0"/>
                <w:szCs w:val="21"/>
              </w:rPr>
            </w:pPr>
            <w:r>
              <w:rPr>
                <w:rFonts w:eastAsia="仿宋_GB2312"/>
                <w:color w:val="000000"/>
                <w:spacing w:val="-2"/>
                <w:kern w:val="0"/>
                <w:szCs w:val="21"/>
              </w:rPr>
              <w:t>2</w:t>
            </w:r>
          </w:p>
        </w:tc>
        <w:tc>
          <w:tcPr>
            <w:tcW w:w="116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eastAsia="仿宋_GB2312"/>
                <w:color w:val="000000"/>
                <w:spacing w:val="-2"/>
                <w:kern w:val="0"/>
                <w:szCs w:val="21"/>
              </w:rPr>
            </w:pPr>
            <w:r>
              <w:rPr>
                <w:rFonts w:hint="eastAsia" w:eastAsia="仿宋_GB2312"/>
                <w:color w:val="000000"/>
                <w:spacing w:val="-2"/>
                <w:kern w:val="0"/>
                <w:szCs w:val="21"/>
              </w:rPr>
              <w:t>机械设备</w:t>
            </w:r>
          </w:p>
          <w:p>
            <w:pPr>
              <w:adjustRightInd w:val="0"/>
              <w:snapToGrid w:val="0"/>
              <w:spacing w:line="280" w:lineRule="exact"/>
              <w:jc w:val="center"/>
              <w:rPr>
                <w:rFonts w:eastAsia="仿宋_GB2312"/>
                <w:color w:val="000000"/>
                <w:spacing w:val="-2"/>
                <w:kern w:val="0"/>
                <w:szCs w:val="21"/>
              </w:rPr>
            </w:pPr>
            <w:r>
              <w:rPr>
                <w:rFonts w:hint="eastAsia" w:eastAsia="仿宋_GB2312"/>
                <w:color w:val="000000"/>
                <w:spacing w:val="-2"/>
                <w:kern w:val="0"/>
                <w:szCs w:val="21"/>
              </w:rPr>
              <w:t>使用管理</w:t>
            </w:r>
          </w:p>
          <w:p>
            <w:pPr>
              <w:adjustRightInd w:val="0"/>
              <w:snapToGrid w:val="0"/>
              <w:spacing w:line="280" w:lineRule="exact"/>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20</w:t>
            </w:r>
            <w:r>
              <w:rPr>
                <w:rFonts w:hint="eastAsia" w:eastAsia="仿宋_GB2312"/>
                <w:color w:val="000000"/>
                <w:spacing w:val="-2"/>
                <w:kern w:val="0"/>
                <w:szCs w:val="21"/>
              </w:rPr>
              <w:t>分）</w:t>
            </w:r>
          </w:p>
        </w:tc>
        <w:tc>
          <w:tcPr>
            <w:tcW w:w="5626" w:type="dxa"/>
            <w:gridSpan w:val="3"/>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rPr>
                <w:rFonts w:eastAsia="仿宋_GB2312"/>
                <w:color w:val="000000"/>
                <w:spacing w:val="-2"/>
                <w:kern w:val="0"/>
                <w:szCs w:val="21"/>
              </w:rPr>
            </w:pPr>
            <w:r>
              <w:rPr>
                <w:rFonts w:hint="eastAsia" w:eastAsia="仿宋_GB2312"/>
                <w:color w:val="000000"/>
                <w:spacing w:val="-2"/>
                <w:kern w:val="0"/>
                <w:szCs w:val="21"/>
              </w:rPr>
              <w:t>起重机械未按规定办理使用登记的扣</w:t>
            </w:r>
            <w:r>
              <w:rPr>
                <w:rFonts w:eastAsia="仿宋_GB2312"/>
                <w:color w:val="000000"/>
                <w:spacing w:val="-2"/>
                <w:kern w:val="0"/>
                <w:szCs w:val="21"/>
              </w:rPr>
              <w:t>10</w:t>
            </w:r>
            <w:r>
              <w:rPr>
                <w:rFonts w:hint="eastAsia" w:eastAsia="仿宋_GB2312"/>
                <w:color w:val="000000"/>
                <w:spacing w:val="-2"/>
                <w:kern w:val="0"/>
                <w:szCs w:val="21"/>
              </w:rPr>
              <w:t>分；起重设备作业区内有其他设施而无防护措施的扣</w:t>
            </w:r>
            <w:r>
              <w:rPr>
                <w:rFonts w:eastAsia="仿宋_GB2312"/>
                <w:color w:val="000000"/>
                <w:spacing w:val="-2"/>
                <w:kern w:val="0"/>
                <w:szCs w:val="21"/>
              </w:rPr>
              <w:t>4</w:t>
            </w:r>
            <w:r>
              <w:rPr>
                <w:rFonts w:hint="eastAsia" w:eastAsia="仿宋_GB2312"/>
                <w:color w:val="000000"/>
                <w:spacing w:val="-2"/>
                <w:kern w:val="0"/>
                <w:szCs w:val="21"/>
              </w:rPr>
              <w:t>分；未执行机械日常验收、保养制度的每台次扣</w:t>
            </w:r>
            <w:r>
              <w:rPr>
                <w:rFonts w:eastAsia="仿宋_GB2312"/>
                <w:color w:val="000000"/>
                <w:spacing w:val="-2"/>
                <w:kern w:val="0"/>
                <w:szCs w:val="21"/>
              </w:rPr>
              <w:t>2</w:t>
            </w:r>
            <w:r>
              <w:rPr>
                <w:rFonts w:hint="eastAsia" w:eastAsia="仿宋_GB2312"/>
                <w:color w:val="000000"/>
                <w:spacing w:val="-2"/>
                <w:kern w:val="0"/>
                <w:szCs w:val="21"/>
              </w:rPr>
              <w:t>分；起重机械未规范使用吊索具的一处扣</w:t>
            </w:r>
            <w:r>
              <w:rPr>
                <w:rFonts w:eastAsia="仿宋_GB2312"/>
                <w:color w:val="000000"/>
                <w:spacing w:val="-2"/>
                <w:kern w:val="0"/>
                <w:szCs w:val="21"/>
              </w:rPr>
              <w:t>4</w:t>
            </w:r>
            <w:r>
              <w:rPr>
                <w:rFonts w:hint="eastAsia" w:eastAsia="仿宋_GB2312"/>
                <w:color w:val="000000"/>
                <w:spacing w:val="-2"/>
                <w:kern w:val="0"/>
                <w:szCs w:val="21"/>
              </w:rPr>
              <w:t>分；附墙装置不按规定设置的扣</w:t>
            </w:r>
            <w:r>
              <w:rPr>
                <w:rFonts w:eastAsia="仿宋_GB2312"/>
                <w:color w:val="000000"/>
                <w:spacing w:val="-2"/>
                <w:kern w:val="0"/>
                <w:szCs w:val="21"/>
              </w:rPr>
              <w:t>4</w:t>
            </w:r>
            <w:r>
              <w:rPr>
                <w:rFonts w:hint="eastAsia" w:eastAsia="仿宋_GB2312"/>
                <w:color w:val="000000"/>
                <w:spacing w:val="-2"/>
                <w:kern w:val="0"/>
                <w:szCs w:val="21"/>
              </w:rPr>
              <w:t>分；安全保护装置或部件失灵的一处扣</w:t>
            </w:r>
            <w:r>
              <w:rPr>
                <w:rFonts w:eastAsia="仿宋_GB2312"/>
                <w:color w:val="000000"/>
                <w:spacing w:val="-2"/>
                <w:kern w:val="0"/>
                <w:szCs w:val="21"/>
              </w:rPr>
              <w:t>4</w:t>
            </w:r>
            <w:r>
              <w:rPr>
                <w:rFonts w:hint="eastAsia" w:eastAsia="仿宋_GB2312"/>
                <w:color w:val="000000"/>
                <w:spacing w:val="-2"/>
                <w:kern w:val="0"/>
                <w:szCs w:val="21"/>
              </w:rPr>
              <w:t>分；存在其他隐患酌情扣分，直至扣完</w:t>
            </w:r>
            <w:r>
              <w:rPr>
                <w:rFonts w:eastAsia="仿宋_GB2312"/>
                <w:color w:val="000000"/>
                <w:spacing w:val="-2"/>
                <w:kern w:val="0"/>
                <w:szCs w:val="21"/>
              </w:rPr>
              <w:t>20</w:t>
            </w:r>
            <w:r>
              <w:rPr>
                <w:rFonts w:hint="eastAsia" w:eastAsia="仿宋_GB2312"/>
                <w:color w:val="000000"/>
                <w:spacing w:val="-2"/>
                <w:kern w:val="0"/>
                <w:szCs w:val="21"/>
              </w:rPr>
              <w:t>分。</w:t>
            </w:r>
          </w:p>
        </w:tc>
        <w:tc>
          <w:tcPr>
            <w:tcW w:w="592"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280" w:lineRule="exact"/>
              <w:rPr>
                <w:rFonts w:eastAsia="仿宋_GB2312"/>
                <w:color w:val="000000"/>
                <w:spacing w:val="-2"/>
                <w:kern w:val="0"/>
                <w:szCs w:val="21"/>
              </w:rPr>
            </w:pPr>
            <w:r>
              <w:rPr>
                <w:rFonts w:hint="eastAsia" w:eastAsia="仿宋_GB2312"/>
                <w:color w:val="000000"/>
                <w:spacing w:val="-2"/>
                <w:kern w:val="0"/>
                <w:szCs w:val="21"/>
              </w:rPr>
              <w:t>　</w:t>
            </w:r>
          </w:p>
        </w:tc>
        <w:tc>
          <w:tcPr>
            <w:tcW w:w="59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rPr>
                <w:rFonts w:eastAsia="仿宋_GB2312"/>
                <w:color w:val="000000"/>
                <w:spacing w:val="-2"/>
                <w:kern w:val="0"/>
                <w:szCs w:val="21"/>
              </w:rPr>
            </w:pPr>
            <w:r>
              <w:rPr>
                <w:rFonts w:hint="eastAsia" w:eastAsia="仿宋_GB2312"/>
                <w:color w:val="000000"/>
                <w:spacing w:val="-2"/>
                <w:kern w:val="0"/>
                <w:szCs w:val="21"/>
              </w:rPr>
              <w:t>　</w:t>
            </w:r>
          </w:p>
        </w:tc>
        <w:tc>
          <w:tcPr>
            <w:tcW w:w="1080"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280" w:lineRule="exact"/>
              <w:rPr>
                <w:rFonts w:eastAsia="仿宋_GB2312"/>
                <w:color w:val="000000"/>
                <w:spacing w:val="-2"/>
                <w:kern w:val="0"/>
                <w:szCs w:val="21"/>
              </w:rPr>
            </w:pPr>
            <w:r>
              <w:rPr>
                <w:rFonts w:hint="eastAsia" w:eastAsia="仿宋_GB2312"/>
                <w:color w:val="000000"/>
                <w:spacing w:val="-2"/>
                <w:kern w:val="0"/>
                <w:szCs w:val="21"/>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75" w:hRule="atLeast"/>
          <w:jc w:val="center"/>
        </w:trPr>
        <w:tc>
          <w:tcPr>
            <w:tcW w:w="591" w:type="dxa"/>
            <w:tcBorders>
              <w:top w:val="single" w:color="auto" w:sz="4" w:space="0"/>
              <w:left w:val="single" w:color="auto" w:sz="8" w:space="0"/>
              <w:bottom w:val="single" w:color="auto" w:sz="4" w:space="0"/>
              <w:right w:val="single" w:color="auto" w:sz="4" w:space="0"/>
            </w:tcBorders>
            <w:noWrap w:val="0"/>
            <w:vAlign w:val="center"/>
          </w:tcPr>
          <w:p>
            <w:pPr>
              <w:adjustRightInd w:val="0"/>
              <w:snapToGrid w:val="0"/>
              <w:spacing w:line="280" w:lineRule="exact"/>
              <w:jc w:val="center"/>
              <w:rPr>
                <w:rFonts w:eastAsia="仿宋_GB2312"/>
                <w:color w:val="000000"/>
                <w:spacing w:val="-2"/>
                <w:kern w:val="0"/>
                <w:szCs w:val="21"/>
              </w:rPr>
            </w:pPr>
            <w:r>
              <w:rPr>
                <w:rFonts w:eastAsia="仿宋_GB2312"/>
                <w:color w:val="000000"/>
                <w:spacing w:val="-2"/>
                <w:kern w:val="0"/>
                <w:szCs w:val="21"/>
              </w:rPr>
              <w:t>3</w:t>
            </w:r>
          </w:p>
        </w:tc>
        <w:tc>
          <w:tcPr>
            <w:tcW w:w="116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eastAsia="仿宋_GB2312"/>
                <w:color w:val="000000"/>
                <w:spacing w:val="-2"/>
                <w:kern w:val="0"/>
                <w:szCs w:val="21"/>
              </w:rPr>
            </w:pPr>
            <w:r>
              <w:rPr>
                <w:rFonts w:hint="eastAsia" w:eastAsia="仿宋_GB2312"/>
                <w:color w:val="000000"/>
                <w:spacing w:val="-2"/>
                <w:kern w:val="0"/>
                <w:szCs w:val="21"/>
              </w:rPr>
              <w:t>安全用电</w:t>
            </w:r>
          </w:p>
          <w:p>
            <w:pPr>
              <w:adjustRightInd w:val="0"/>
              <w:snapToGrid w:val="0"/>
              <w:spacing w:line="280" w:lineRule="exact"/>
              <w:jc w:val="center"/>
              <w:rPr>
                <w:rFonts w:eastAsia="仿宋_GB2312"/>
                <w:color w:val="000000"/>
                <w:spacing w:val="-2"/>
                <w:kern w:val="0"/>
                <w:szCs w:val="21"/>
              </w:rPr>
            </w:pPr>
            <w:r>
              <w:rPr>
                <w:rFonts w:hint="eastAsia" w:eastAsia="仿宋_GB2312"/>
                <w:color w:val="000000"/>
                <w:spacing w:val="-2"/>
                <w:kern w:val="0"/>
                <w:szCs w:val="21"/>
              </w:rPr>
              <w:t>消防管理</w:t>
            </w:r>
          </w:p>
          <w:p>
            <w:pPr>
              <w:adjustRightInd w:val="0"/>
              <w:snapToGrid w:val="0"/>
              <w:spacing w:line="280" w:lineRule="exact"/>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20</w:t>
            </w:r>
            <w:r>
              <w:rPr>
                <w:rFonts w:hint="eastAsia" w:eastAsia="仿宋_GB2312"/>
                <w:color w:val="000000"/>
                <w:spacing w:val="-2"/>
                <w:kern w:val="0"/>
                <w:szCs w:val="21"/>
              </w:rPr>
              <w:t>分）</w:t>
            </w:r>
          </w:p>
        </w:tc>
        <w:tc>
          <w:tcPr>
            <w:tcW w:w="5626" w:type="dxa"/>
            <w:gridSpan w:val="3"/>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rPr>
                <w:rFonts w:eastAsia="仿宋_GB2312"/>
                <w:color w:val="000000"/>
                <w:spacing w:val="-2"/>
                <w:kern w:val="0"/>
                <w:szCs w:val="21"/>
              </w:rPr>
            </w:pPr>
            <w:r>
              <w:rPr>
                <w:rFonts w:hint="eastAsia" w:eastAsia="仿宋_GB2312"/>
                <w:color w:val="000000"/>
                <w:spacing w:val="-2"/>
                <w:kern w:val="0"/>
                <w:szCs w:val="21"/>
              </w:rPr>
              <w:t>外电防护措施不到位擅自施工的扣</w:t>
            </w:r>
            <w:r>
              <w:rPr>
                <w:rFonts w:eastAsia="仿宋_GB2312"/>
                <w:color w:val="000000"/>
                <w:spacing w:val="-2"/>
                <w:kern w:val="0"/>
                <w:szCs w:val="21"/>
              </w:rPr>
              <w:t>2</w:t>
            </w:r>
            <w:r>
              <w:rPr>
                <w:rFonts w:hint="eastAsia" w:eastAsia="仿宋_GB2312"/>
                <w:color w:val="000000"/>
                <w:spacing w:val="-2"/>
                <w:kern w:val="0"/>
                <w:szCs w:val="21"/>
              </w:rPr>
              <w:t>分；三级配电二级保护不到位的扣</w:t>
            </w:r>
            <w:r>
              <w:rPr>
                <w:rFonts w:eastAsia="仿宋_GB2312"/>
                <w:color w:val="000000"/>
                <w:spacing w:val="-2"/>
                <w:kern w:val="0"/>
                <w:szCs w:val="21"/>
              </w:rPr>
              <w:t>4</w:t>
            </w:r>
            <w:r>
              <w:rPr>
                <w:rFonts w:hint="eastAsia" w:eastAsia="仿宋_GB2312"/>
                <w:color w:val="000000"/>
                <w:spacing w:val="-2"/>
                <w:kern w:val="0"/>
                <w:szCs w:val="21"/>
              </w:rPr>
              <w:t>分；电气元件不齐全一处扣</w:t>
            </w:r>
            <w:r>
              <w:rPr>
                <w:rFonts w:eastAsia="仿宋_GB2312"/>
                <w:color w:val="000000"/>
                <w:spacing w:val="-2"/>
                <w:kern w:val="0"/>
                <w:szCs w:val="21"/>
              </w:rPr>
              <w:t>1</w:t>
            </w:r>
            <w:r>
              <w:rPr>
                <w:rFonts w:hint="eastAsia" w:eastAsia="仿宋_GB2312"/>
                <w:color w:val="000000"/>
                <w:spacing w:val="-2"/>
                <w:kern w:val="0"/>
                <w:szCs w:val="21"/>
              </w:rPr>
              <w:t>分；接零保护系统未形成的扣</w:t>
            </w:r>
            <w:r>
              <w:rPr>
                <w:rFonts w:eastAsia="仿宋_GB2312"/>
                <w:color w:val="000000"/>
                <w:spacing w:val="-2"/>
                <w:kern w:val="0"/>
                <w:szCs w:val="21"/>
              </w:rPr>
              <w:t>4</w:t>
            </w:r>
            <w:r>
              <w:rPr>
                <w:rFonts w:hint="eastAsia" w:eastAsia="仿宋_GB2312"/>
                <w:color w:val="000000"/>
                <w:spacing w:val="-2"/>
                <w:kern w:val="0"/>
                <w:szCs w:val="21"/>
              </w:rPr>
              <w:t>分；保护零线未接到用电设备外壳每一处扣</w:t>
            </w:r>
            <w:r>
              <w:rPr>
                <w:rFonts w:eastAsia="仿宋_GB2312"/>
                <w:color w:val="000000"/>
                <w:spacing w:val="-2"/>
                <w:kern w:val="0"/>
                <w:szCs w:val="21"/>
              </w:rPr>
              <w:t>1</w:t>
            </w:r>
            <w:r>
              <w:rPr>
                <w:rFonts w:hint="eastAsia" w:eastAsia="仿宋_GB2312"/>
                <w:color w:val="000000"/>
                <w:spacing w:val="-2"/>
                <w:kern w:val="0"/>
                <w:szCs w:val="21"/>
              </w:rPr>
              <w:t>分；导线随意拖地、架设在金属物上无瓷瓶绑扎的一处扣</w:t>
            </w:r>
            <w:r>
              <w:rPr>
                <w:rFonts w:eastAsia="仿宋_GB2312"/>
                <w:color w:val="000000"/>
                <w:spacing w:val="-2"/>
                <w:kern w:val="0"/>
                <w:szCs w:val="21"/>
              </w:rPr>
              <w:t>1</w:t>
            </w:r>
            <w:r>
              <w:rPr>
                <w:rFonts w:hint="eastAsia" w:eastAsia="仿宋_GB2312"/>
                <w:color w:val="000000"/>
                <w:spacing w:val="-2"/>
                <w:kern w:val="0"/>
                <w:szCs w:val="21"/>
              </w:rPr>
              <w:t>分；施工现场无消防平面布置图的扣</w:t>
            </w:r>
            <w:r>
              <w:rPr>
                <w:rFonts w:eastAsia="仿宋_GB2312"/>
                <w:color w:val="000000"/>
                <w:spacing w:val="-2"/>
                <w:kern w:val="0"/>
                <w:szCs w:val="21"/>
              </w:rPr>
              <w:t>2</w:t>
            </w:r>
            <w:r>
              <w:rPr>
                <w:rFonts w:hint="eastAsia" w:eastAsia="仿宋_GB2312"/>
                <w:color w:val="000000"/>
                <w:spacing w:val="-2"/>
                <w:kern w:val="0"/>
                <w:szCs w:val="21"/>
              </w:rPr>
              <w:t>分；防火重点部位消防措施不到位的一处扣</w:t>
            </w:r>
            <w:r>
              <w:rPr>
                <w:rFonts w:eastAsia="仿宋_GB2312"/>
                <w:color w:val="000000"/>
                <w:spacing w:val="-2"/>
                <w:kern w:val="0"/>
                <w:szCs w:val="21"/>
              </w:rPr>
              <w:t>2</w:t>
            </w:r>
            <w:r>
              <w:rPr>
                <w:rFonts w:hint="eastAsia" w:eastAsia="仿宋_GB2312"/>
                <w:color w:val="000000"/>
                <w:spacing w:val="-2"/>
                <w:kern w:val="0"/>
                <w:szCs w:val="21"/>
              </w:rPr>
              <w:t>分；施工作业面无消防措施的扣</w:t>
            </w:r>
            <w:r>
              <w:rPr>
                <w:rFonts w:eastAsia="仿宋_GB2312"/>
                <w:color w:val="000000"/>
                <w:spacing w:val="-2"/>
                <w:kern w:val="0"/>
                <w:szCs w:val="21"/>
              </w:rPr>
              <w:t>3</w:t>
            </w:r>
            <w:r>
              <w:rPr>
                <w:rFonts w:hint="eastAsia" w:eastAsia="仿宋_GB2312"/>
                <w:color w:val="000000"/>
                <w:spacing w:val="-2"/>
                <w:kern w:val="0"/>
                <w:szCs w:val="21"/>
              </w:rPr>
              <w:t>分；存在其他隐患酌情扣分，直至扣完</w:t>
            </w:r>
            <w:r>
              <w:rPr>
                <w:rFonts w:eastAsia="仿宋_GB2312"/>
                <w:color w:val="000000"/>
                <w:spacing w:val="-2"/>
                <w:kern w:val="0"/>
                <w:szCs w:val="21"/>
              </w:rPr>
              <w:t>20</w:t>
            </w:r>
            <w:r>
              <w:rPr>
                <w:rFonts w:hint="eastAsia" w:eastAsia="仿宋_GB2312"/>
                <w:color w:val="000000"/>
                <w:spacing w:val="-2"/>
                <w:kern w:val="0"/>
                <w:szCs w:val="21"/>
              </w:rPr>
              <w:t>分。</w:t>
            </w:r>
          </w:p>
        </w:tc>
        <w:tc>
          <w:tcPr>
            <w:tcW w:w="592"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280" w:lineRule="exact"/>
              <w:rPr>
                <w:rFonts w:eastAsia="仿宋_GB2312"/>
                <w:color w:val="000000"/>
                <w:spacing w:val="-2"/>
                <w:kern w:val="0"/>
                <w:szCs w:val="21"/>
              </w:rPr>
            </w:pPr>
            <w:r>
              <w:rPr>
                <w:rFonts w:hint="eastAsia" w:eastAsia="仿宋_GB2312"/>
                <w:color w:val="000000"/>
                <w:spacing w:val="-2"/>
                <w:kern w:val="0"/>
                <w:szCs w:val="21"/>
              </w:rPr>
              <w:t>　</w:t>
            </w:r>
          </w:p>
        </w:tc>
        <w:tc>
          <w:tcPr>
            <w:tcW w:w="59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rPr>
                <w:rFonts w:eastAsia="仿宋_GB2312"/>
                <w:color w:val="000000"/>
                <w:spacing w:val="-2"/>
                <w:kern w:val="0"/>
                <w:szCs w:val="21"/>
              </w:rPr>
            </w:pPr>
            <w:r>
              <w:rPr>
                <w:rFonts w:hint="eastAsia" w:eastAsia="仿宋_GB2312"/>
                <w:color w:val="000000"/>
                <w:spacing w:val="-2"/>
                <w:kern w:val="0"/>
                <w:szCs w:val="21"/>
              </w:rPr>
              <w:t>　</w:t>
            </w:r>
          </w:p>
        </w:tc>
        <w:tc>
          <w:tcPr>
            <w:tcW w:w="1080"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280" w:lineRule="exact"/>
              <w:rPr>
                <w:rFonts w:eastAsia="仿宋_GB2312"/>
                <w:color w:val="000000"/>
                <w:spacing w:val="-2"/>
                <w:kern w:val="0"/>
                <w:szCs w:val="21"/>
              </w:rPr>
            </w:pPr>
            <w:r>
              <w:rPr>
                <w:rFonts w:hint="eastAsia" w:eastAsia="仿宋_GB2312"/>
                <w:color w:val="000000"/>
                <w:spacing w:val="-2"/>
                <w:kern w:val="0"/>
                <w:szCs w:val="21"/>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0" w:hRule="atLeast"/>
          <w:jc w:val="center"/>
        </w:trPr>
        <w:tc>
          <w:tcPr>
            <w:tcW w:w="591" w:type="dxa"/>
            <w:tcBorders>
              <w:top w:val="single" w:color="auto" w:sz="4" w:space="0"/>
              <w:left w:val="single" w:color="auto" w:sz="8" w:space="0"/>
              <w:bottom w:val="single" w:color="auto" w:sz="4" w:space="0"/>
              <w:right w:val="single" w:color="auto" w:sz="4" w:space="0"/>
            </w:tcBorders>
            <w:noWrap w:val="0"/>
            <w:vAlign w:val="center"/>
          </w:tcPr>
          <w:p>
            <w:pPr>
              <w:adjustRightInd w:val="0"/>
              <w:snapToGrid w:val="0"/>
              <w:spacing w:line="280" w:lineRule="exact"/>
              <w:jc w:val="center"/>
              <w:rPr>
                <w:rFonts w:eastAsia="仿宋_GB2312"/>
                <w:color w:val="000000"/>
                <w:spacing w:val="-2"/>
                <w:kern w:val="0"/>
                <w:szCs w:val="21"/>
              </w:rPr>
            </w:pPr>
            <w:r>
              <w:rPr>
                <w:rFonts w:eastAsia="仿宋_GB2312"/>
                <w:color w:val="000000"/>
                <w:spacing w:val="-2"/>
                <w:kern w:val="0"/>
                <w:szCs w:val="21"/>
              </w:rPr>
              <w:t>4</w:t>
            </w:r>
          </w:p>
        </w:tc>
        <w:tc>
          <w:tcPr>
            <w:tcW w:w="116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eastAsia="仿宋_GB2312"/>
                <w:color w:val="000000"/>
                <w:spacing w:val="-2"/>
                <w:kern w:val="0"/>
                <w:szCs w:val="21"/>
              </w:rPr>
            </w:pPr>
            <w:r>
              <w:rPr>
                <w:rFonts w:hint="eastAsia" w:eastAsia="仿宋_GB2312"/>
                <w:color w:val="000000"/>
                <w:spacing w:val="-2"/>
                <w:kern w:val="0"/>
                <w:szCs w:val="21"/>
              </w:rPr>
              <w:t>环境保护</w:t>
            </w:r>
          </w:p>
          <w:p>
            <w:pPr>
              <w:adjustRightInd w:val="0"/>
              <w:snapToGrid w:val="0"/>
              <w:spacing w:line="280" w:lineRule="exact"/>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20</w:t>
            </w:r>
            <w:r>
              <w:rPr>
                <w:rFonts w:hint="eastAsia" w:eastAsia="仿宋_GB2312"/>
                <w:color w:val="000000"/>
                <w:spacing w:val="-2"/>
                <w:kern w:val="0"/>
                <w:szCs w:val="21"/>
              </w:rPr>
              <w:t>分）</w:t>
            </w:r>
          </w:p>
        </w:tc>
        <w:tc>
          <w:tcPr>
            <w:tcW w:w="5626" w:type="dxa"/>
            <w:gridSpan w:val="3"/>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rPr>
                <w:rFonts w:eastAsia="仿宋_GB2312"/>
                <w:color w:val="000000"/>
                <w:spacing w:val="-2"/>
                <w:kern w:val="0"/>
                <w:szCs w:val="21"/>
              </w:rPr>
            </w:pPr>
            <w:r>
              <w:rPr>
                <w:rFonts w:hint="eastAsia" w:eastAsia="仿宋_GB2312"/>
                <w:color w:val="000000"/>
                <w:spacing w:val="-2"/>
                <w:kern w:val="0"/>
                <w:szCs w:val="21"/>
              </w:rPr>
              <w:t>不落实门卫制度及责任人的扣</w:t>
            </w:r>
            <w:r>
              <w:rPr>
                <w:rFonts w:eastAsia="仿宋_GB2312"/>
                <w:color w:val="000000"/>
                <w:spacing w:val="-2"/>
                <w:kern w:val="0"/>
                <w:szCs w:val="21"/>
              </w:rPr>
              <w:t>3</w:t>
            </w:r>
            <w:r>
              <w:rPr>
                <w:rFonts w:hint="eastAsia" w:eastAsia="仿宋_GB2312"/>
                <w:color w:val="000000"/>
                <w:spacing w:val="-2"/>
                <w:kern w:val="0"/>
                <w:szCs w:val="21"/>
              </w:rPr>
              <w:t>分；出入口未落实文明措施的扣</w:t>
            </w:r>
            <w:r>
              <w:rPr>
                <w:rFonts w:eastAsia="仿宋_GB2312"/>
                <w:color w:val="000000"/>
                <w:spacing w:val="-2"/>
                <w:kern w:val="0"/>
                <w:szCs w:val="21"/>
              </w:rPr>
              <w:t>3</w:t>
            </w:r>
            <w:r>
              <w:rPr>
                <w:rFonts w:hint="eastAsia" w:eastAsia="仿宋_GB2312"/>
                <w:color w:val="000000"/>
                <w:spacing w:val="-2"/>
                <w:kern w:val="0"/>
                <w:szCs w:val="21"/>
              </w:rPr>
              <w:t>分；材料堆放无序的扣</w:t>
            </w:r>
            <w:r>
              <w:rPr>
                <w:rFonts w:eastAsia="仿宋_GB2312"/>
                <w:color w:val="000000"/>
                <w:spacing w:val="-2"/>
                <w:kern w:val="0"/>
                <w:szCs w:val="21"/>
              </w:rPr>
              <w:t>3</w:t>
            </w:r>
            <w:r>
              <w:rPr>
                <w:rFonts w:hint="eastAsia" w:eastAsia="仿宋_GB2312"/>
                <w:color w:val="000000"/>
                <w:spacing w:val="-2"/>
                <w:kern w:val="0"/>
                <w:szCs w:val="21"/>
              </w:rPr>
              <w:t>分；噪音、扬尘等控制不力的扣</w:t>
            </w:r>
            <w:r>
              <w:rPr>
                <w:rFonts w:eastAsia="仿宋_GB2312"/>
                <w:color w:val="000000"/>
                <w:spacing w:val="-2"/>
                <w:kern w:val="0"/>
                <w:szCs w:val="21"/>
              </w:rPr>
              <w:t>3</w:t>
            </w:r>
            <w:r>
              <w:rPr>
                <w:rFonts w:hint="eastAsia" w:eastAsia="仿宋_GB2312"/>
                <w:color w:val="000000"/>
                <w:spacing w:val="-2"/>
                <w:kern w:val="0"/>
                <w:szCs w:val="21"/>
              </w:rPr>
              <w:t>分；暴露土方未覆盖的扣</w:t>
            </w:r>
            <w:r>
              <w:rPr>
                <w:rFonts w:eastAsia="仿宋_GB2312"/>
                <w:color w:val="000000"/>
                <w:spacing w:val="-2"/>
                <w:kern w:val="0"/>
                <w:szCs w:val="21"/>
              </w:rPr>
              <w:t>2</w:t>
            </w:r>
            <w:r>
              <w:rPr>
                <w:rFonts w:hint="eastAsia" w:eastAsia="仿宋_GB2312"/>
                <w:color w:val="000000"/>
                <w:spacing w:val="-2"/>
                <w:kern w:val="0"/>
                <w:szCs w:val="21"/>
              </w:rPr>
              <w:t>分；出现举报或投诉的扣</w:t>
            </w:r>
            <w:r>
              <w:rPr>
                <w:rFonts w:eastAsia="仿宋_GB2312"/>
                <w:color w:val="000000"/>
                <w:spacing w:val="-2"/>
                <w:kern w:val="0"/>
                <w:szCs w:val="21"/>
              </w:rPr>
              <w:t>10</w:t>
            </w:r>
            <w:r>
              <w:rPr>
                <w:rFonts w:hint="eastAsia" w:eastAsia="仿宋_GB2312"/>
                <w:color w:val="000000"/>
                <w:spacing w:val="-2"/>
                <w:kern w:val="0"/>
                <w:szCs w:val="21"/>
              </w:rPr>
              <w:t>分；存在其他问题酌情扣分，直至扣完</w:t>
            </w:r>
            <w:r>
              <w:rPr>
                <w:rFonts w:eastAsia="仿宋_GB2312"/>
                <w:color w:val="000000"/>
                <w:spacing w:val="-2"/>
                <w:kern w:val="0"/>
                <w:szCs w:val="21"/>
              </w:rPr>
              <w:t>20</w:t>
            </w:r>
            <w:r>
              <w:rPr>
                <w:rFonts w:hint="eastAsia" w:eastAsia="仿宋_GB2312"/>
                <w:color w:val="000000"/>
                <w:spacing w:val="-2"/>
                <w:kern w:val="0"/>
                <w:szCs w:val="21"/>
              </w:rPr>
              <w:t>分。</w:t>
            </w:r>
          </w:p>
        </w:tc>
        <w:tc>
          <w:tcPr>
            <w:tcW w:w="592"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280" w:lineRule="exact"/>
              <w:rPr>
                <w:rFonts w:eastAsia="仿宋_GB2312"/>
                <w:color w:val="000000"/>
                <w:spacing w:val="-2"/>
                <w:kern w:val="0"/>
                <w:szCs w:val="21"/>
              </w:rPr>
            </w:pPr>
            <w:r>
              <w:rPr>
                <w:rFonts w:hint="eastAsia" w:eastAsia="仿宋_GB2312"/>
                <w:color w:val="000000"/>
                <w:spacing w:val="-2"/>
                <w:kern w:val="0"/>
                <w:szCs w:val="21"/>
              </w:rPr>
              <w:t>　</w:t>
            </w:r>
          </w:p>
        </w:tc>
        <w:tc>
          <w:tcPr>
            <w:tcW w:w="59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rPr>
                <w:rFonts w:eastAsia="仿宋_GB2312"/>
                <w:color w:val="000000"/>
                <w:spacing w:val="-2"/>
                <w:kern w:val="0"/>
                <w:szCs w:val="21"/>
              </w:rPr>
            </w:pPr>
            <w:r>
              <w:rPr>
                <w:rFonts w:hint="eastAsia" w:eastAsia="仿宋_GB2312"/>
                <w:color w:val="000000"/>
                <w:spacing w:val="-2"/>
                <w:kern w:val="0"/>
                <w:szCs w:val="21"/>
              </w:rPr>
              <w:t>　</w:t>
            </w:r>
          </w:p>
        </w:tc>
        <w:tc>
          <w:tcPr>
            <w:tcW w:w="1080"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280" w:lineRule="exact"/>
              <w:rPr>
                <w:rFonts w:eastAsia="仿宋_GB2312"/>
                <w:color w:val="000000"/>
                <w:spacing w:val="-2"/>
                <w:kern w:val="0"/>
                <w:szCs w:val="21"/>
              </w:rPr>
            </w:pPr>
            <w:r>
              <w:rPr>
                <w:rFonts w:hint="eastAsia" w:eastAsia="仿宋_GB2312"/>
                <w:color w:val="000000"/>
                <w:spacing w:val="-2"/>
                <w:kern w:val="0"/>
                <w:szCs w:val="21"/>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6" w:hRule="atLeast"/>
          <w:jc w:val="center"/>
        </w:trPr>
        <w:tc>
          <w:tcPr>
            <w:tcW w:w="591" w:type="dxa"/>
            <w:tcBorders>
              <w:top w:val="single" w:color="auto" w:sz="4" w:space="0"/>
              <w:left w:val="single" w:color="auto" w:sz="8" w:space="0"/>
              <w:bottom w:val="single" w:color="auto" w:sz="4" w:space="0"/>
              <w:right w:val="single" w:color="auto" w:sz="4" w:space="0"/>
            </w:tcBorders>
            <w:noWrap w:val="0"/>
            <w:vAlign w:val="center"/>
          </w:tcPr>
          <w:p>
            <w:pPr>
              <w:adjustRightInd w:val="0"/>
              <w:snapToGrid w:val="0"/>
              <w:spacing w:line="280" w:lineRule="exact"/>
              <w:jc w:val="center"/>
              <w:rPr>
                <w:rFonts w:eastAsia="仿宋_GB2312"/>
                <w:color w:val="000000"/>
                <w:spacing w:val="-2"/>
                <w:kern w:val="0"/>
                <w:szCs w:val="21"/>
              </w:rPr>
            </w:pPr>
            <w:r>
              <w:rPr>
                <w:rFonts w:eastAsia="仿宋_GB2312"/>
                <w:color w:val="000000"/>
                <w:spacing w:val="-2"/>
                <w:kern w:val="0"/>
                <w:szCs w:val="21"/>
              </w:rPr>
              <w:t>5</w:t>
            </w:r>
          </w:p>
        </w:tc>
        <w:tc>
          <w:tcPr>
            <w:tcW w:w="116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eastAsia="仿宋_GB2312"/>
                <w:color w:val="000000"/>
                <w:spacing w:val="-2"/>
                <w:kern w:val="0"/>
                <w:szCs w:val="21"/>
              </w:rPr>
            </w:pPr>
            <w:r>
              <w:rPr>
                <w:rFonts w:hint="eastAsia" w:eastAsia="仿宋_GB2312"/>
                <w:color w:val="000000"/>
                <w:spacing w:val="-2"/>
                <w:kern w:val="0"/>
                <w:szCs w:val="21"/>
              </w:rPr>
              <w:t>生活卫生</w:t>
            </w:r>
          </w:p>
          <w:p>
            <w:pPr>
              <w:adjustRightInd w:val="0"/>
              <w:snapToGrid w:val="0"/>
              <w:spacing w:line="280" w:lineRule="exact"/>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20</w:t>
            </w:r>
            <w:r>
              <w:rPr>
                <w:rFonts w:hint="eastAsia" w:eastAsia="仿宋_GB2312"/>
                <w:color w:val="000000"/>
                <w:spacing w:val="-2"/>
                <w:kern w:val="0"/>
                <w:szCs w:val="21"/>
              </w:rPr>
              <w:t>分）</w:t>
            </w:r>
          </w:p>
        </w:tc>
        <w:tc>
          <w:tcPr>
            <w:tcW w:w="5626" w:type="dxa"/>
            <w:gridSpan w:val="3"/>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rPr>
                <w:rFonts w:eastAsia="仿宋_GB2312"/>
                <w:color w:val="000000"/>
                <w:spacing w:val="-2"/>
                <w:kern w:val="0"/>
                <w:szCs w:val="21"/>
              </w:rPr>
            </w:pPr>
            <w:r>
              <w:rPr>
                <w:rFonts w:hint="eastAsia" w:eastAsia="仿宋_GB2312"/>
                <w:color w:val="000000"/>
                <w:spacing w:val="-2"/>
                <w:kern w:val="0"/>
                <w:szCs w:val="21"/>
              </w:rPr>
              <w:t>临设用房采光及通风条件差的扣</w:t>
            </w:r>
            <w:r>
              <w:rPr>
                <w:rFonts w:eastAsia="仿宋_GB2312"/>
                <w:color w:val="000000"/>
                <w:spacing w:val="-2"/>
                <w:kern w:val="0"/>
                <w:szCs w:val="21"/>
              </w:rPr>
              <w:t>3</w:t>
            </w:r>
            <w:r>
              <w:rPr>
                <w:rFonts w:hint="eastAsia" w:eastAsia="仿宋_GB2312"/>
                <w:color w:val="000000"/>
                <w:spacing w:val="-2"/>
                <w:kern w:val="0"/>
                <w:szCs w:val="21"/>
              </w:rPr>
              <w:t>分；食堂无卫生许可证扣</w:t>
            </w:r>
            <w:r>
              <w:rPr>
                <w:rFonts w:eastAsia="仿宋_GB2312"/>
                <w:color w:val="000000"/>
                <w:spacing w:val="-2"/>
                <w:kern w:val="0"/>
                <w:szCs w:val="21"/>
              </w:rPr>
              <w:t>3</w:t>
            </w:r>
            <w:r>
              <w:rPr>
                <w:rFonts w:hint="eastAsia" w:eastAsia="仿宋_GB2312"/>
                <w:color w:val="000000"/>
                <w:spacing w:val="-2"/>
                <w:kern w:val="0"/>
                <w:szCs w:val="21"/>
              </w:rPr>
              <w:t>分；无淋浴设施的扣</w:t>
            </w:r>
            <w:r>
              <w:rPr>
                <w:rFonts w:eastAsia="仿宋_GB2312"/>
                <w:color w:val="000000"/>
                <w:spacing w:val="-2"/>
                <w:kern w:val="0"/>
                <w:szCs w:val="21"/>
              </w:rPr>
              <w:t>3</w:t>
            </w:r>
            <w:r>
              <w:rPr>
                <w:rFonts w:hint="eastAsia" w:eastAsia="仿宋_GB2312"/>
                <w:color w:val="000000"/>
                <w:spacing w:val="-2"/>
                <w:kern w:val="0"/>
                <w:szCs w:val="21"/>
              </w:rPr>
              <w:t>分；生活垃圾未入箱的一处扣</w:t>
            </w:r>
            <w:r>
              <w:rPr>
                <w:rFonts w:eastAsia="仿宋_GB2312"/>
                <w:color w:val="000000"/>
                <w:spacing w:val="-2"/>
                <w:kern w:val="0"/>
                <w:szCs w:val="21"/>
              </w:rPr>
              <w:t>3</w:t>
            </w:r>
            <w:r>
              <w:rPr>
                <w:rFonts w:hint="eastAsia" w:eastAsia="仿宋_GB2312"/>
                <w:color w:val="000000"/>
                <w:spacing w:val="-2"/>
                <w:kern w:val="0"/>
                <w:szCs w:val="21"/>
              </w:rPr>
              <w:t>分；无季节性劳动防护措施的扣</w:t>
            </w:r>
            <w:r>
              <w:rPr>
                <w:rFonts w:eastAsia="仿宋_GB2312"/>
                <w:color w:val="000000"/>
                <w:spacing w:val="-2"/>
                <w:kern w:val="0"/>
                <w:szCs w:val="21"/>
              </w:rPr>
              <w:t>3</w:t>
            </w:r>
            <w:r>
              <w:rPr>
                <w:rFonts w:hint="eastAsia" w:eastAsia="仿宋_GB2312"/>
                <w:color w:val="000000"/>
                <w:spacing w:val="-2"/>
                <w:kern w:val="0"/>
                <w:szCs w:val="21"/>
              </w:rPr>
              <w:t>分。被城市长效管理考评扣分的扣</w:t>
            </w:r>
            <w:r>
              <w:rPr>
                <w:rFonts w:eastAsia="仿宋_GB2312"/>
                <w:color w:val="000000"/>
                <w:spacing w:val="-2"/>
                <w:kern w:val="0"/>
                <w:szCs w:val="21"/>
              </w:rPr>
              <w:t>15</w:t>
            </w:r>
            <w:r>
              <w:rPr>
                <w:rFonts w:hint="eastAsia" w:eastAsia="仿宋_GB2312"/>
                <w:color w:val="000000"/>
                <w:spacing w:val="-2"/>
                <w:kern w:val="0"/>
                <w:szCs w:val="21"/>
              </w:rPr>
              <w:t>分。存在其他问题酌情扣分，直至扣完</w:t>
            </w:r>
            <w:r>
              <w:rPr>
                <w:rFonts w:eastAsia="仿宋_GB2312"/>
                <w:color w:val="000000"/>
                <w:spacing w:val="-2"/>
                <w:kern w:val="0"/>
                <w:szCs w:val="21"/>
              </w:rPr>
              <w:t>20</w:t>
            </w:r>
            <w:r>
              <w:rPr>
                <w:rFonts w:hint="eastAsia" w:eastAsia="仿宋_GB2312"/>
                <w:color w:val="000000"/>
                <w:spacing w:val="-2"/>
                <w:kern w:val="0"/>
                <w:szCs w:val="21"/>
              </w:rPr>
              <w:t>分。</w:t>
            </w:r>
          </w:p>
        </w:tc>
        <w:tc>
          <w:tcPr>
            <w:tcW w:w="592"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280" w:lineRule="exact"/>
              <w:rPr>
                <w:rFonts w:eastAsia="仿宋_GB2312"/>
                <w:color w:val="000000"/>
                <w:spacing w:val="-2"/>
                <w:kern w:val="0"/>
                <w:szCs w:val="21"/>
              </w:rPr>
            </w:pPr>
            <w:r>
              <w:rPr>
                <w:rFonts w:hint="eastAsia" w:eastAsia="仿宋_GB2312"/>
                <w:color w:val="000000"/>
                <w:spacing w:val="-2"/>
                <w:kern w:val="0"/>
                <w:szCs w:val="21"/>
              </w:rPr>
              <w:t>　</w:t>
            </w:r>
          </w:p>
        </w:tc>
        <w:tc>
          <w:tcPr>
            <w:tcW w:w="59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rPr>
                <w:rFonts w:eastAsia="仿宋_GB2312"/>
                <w:color w:val="000000"/>
                <w:spacing w:val="-2"/>
                <w:kern w:val="0"/>
                <w:szCs w:val="21"/>
              </w:rPr>
            </w:pPr>
            <w:r>
              <w:rPr>
                <w:rFonts w:hint="eastAsia" w:eastAsia="仿宋_GB2312"/>
                <w:color w:val="000000"/>
                <w:spacing w:val="-2"/>
                <w:kern w:val="0"/>
                <w:szCs w:val="21"/>
              </w:rPr>
              <w:t>　</w:t>
            </w:r>
          </w:p>
        </w:tc>
        <w:tc>
          <w:tcPr>
            <w:tcW w:w="1080"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280" w:lineRule="exact"/>
              <w:rPr>
                <w:rFonts w:eastAsia="仿宋_GB2312"/>
                <w:color w:val="000000"/>
                <w:spacing w:val="-2"/>
                <w:kern w:val="0"/>
                <w:szCs w:val="21"/>
              </w:rPr>
            </w:pPr>
            <w:r>
              <w:rPr>
                <w:rFonts w:hint="eastAsia" w:eastAsia="仿宋_GB2312"/>
                <w:color w:val="000000"/>
                <w:spacing w:val="-2"/>
                <w:kern w:val="0"/>
                <w:szCs w:val="21"/>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2" w:hRule="atLeast"/>
          <w:jc w:val="center"/>
        </w:trPr>
        <w:tc>
          <w:tcPr>
            <w:tcW w:w="3036" w:type="dxa"/>
            <w:gridSpan w:val="3"/>
            <w:tcBorders>
              <w:top w:val="single" w:color="auto" w:sz="4" w:space="0"/>
              <w:left w:val="single" w:color="auto" w:sz="8" w:space="0"/>
              <w:bottom w:val="single" w:color="auto" w:sz="8" w:space="0"/>
              <w:right w:val="single" w:color="auto" w:sz="4" w:space="0"/>
            </w:tcBorders>
            <w:noWrap w:val="0"/>
            <w:vAlign w:val="center"/>
          </w:tcPr>
          <w:p>
            <w:pPr>
              <w:adjustRightInd w:val="0"/>
              <w:snapToGrid w:val="0"/>
              <w:spacing w:line="280" w:lineRule="exact"/>
              <w:rPr>
                <w:rFonts w:eastAsia="仿宋_GB2312"/>
                <w:color w:val="000000"/>
                <w:spacing w:val="-2"/>
                <w:kern w:val="0"/>
                <w:szCs w:val="21"/>
              </w:rPr>
            </w:pPr>
            <w:r>
              <w:rPr>
                <w:rFonts w:hint="eastAsia" w:eastAsia="仿宋_GB2312"/>
                <w:color w:val="000000"/>
                <w:spacing w:val="-2"/>
                <w:kern w:val="0"/>
                <w:szCs w:val="21"/>
              </w:rPr>
              <w:t>检查人签字：</w:t>
            </w:r>
          </w:p>
        </w:tc>
        <w:tc>
          <w:tcPr>
            <w:tcW w:w="3037" w:type="dxa"/>
            <w:tcBorders>
              <w:top w:val="single" w:color="auto" w:sz="4" w:space="0"/>
              <w:left w:val="single" w:color="auto" w:sz="4" w:space="0"/>
              <w:bottom w:val="single" w:color="auto" w:sz="8" w:space="0"/>
              <w:right w:val="single" w:color="auto" w:sz="4" w:space="0"/>
            </w:tcBorders>
            <w:noWrap w:val="0"/>
            <w:vAlign w:val="center"/>
          </w:tcPr>
          <w:p>
            <w:pPr>
              <w:adjustRightInd w:val="0"/>
              <w:snapToGrid w:val="0"/>
              <w:spacing w:line="280" w:lineRule="exact"/>
              <w:rPr>
                <w:rFonts w:eastAsia="仿宋_GB2312"/>
                <w:color w:val="000000"/>
                <w:spacing w:val="-2"/>
                <w:kern w:val="0"/>
                <w:szCs w:val="21"/>
              </w:rPr>
            </w:pPr>
            <w:r>
              <w:rPr>
                <w:rFonts w:hint="eastAsia" w:eastAsia="仿宋_GB2312"/>
                <w:color w:val="000000"/>
                <w:spacing w:val="-2"/>
                <w:kern w:val="0"/>
                <w:szCs w:val="21"/>
              </w:rPr>
              <w:t>被检查单位签字：</w:t>
            </w:r>
          </w:p>
        </w:tc>
        <w:tc>
          <w:tcPr>
            <w:tcW w:w="1306" w:type="dxa"/>
            <w:tcBorders>
              <w:top w:val="single" w:color="auto" w:sz="4" w:space="0"/>
              <w:left w:val="single" w:color="auto" w:sz="4" w:space="0"/>
              <w:bottom w:val="single" w:color="auto" w:sz="8" w:space="0"/>
              <w:right w:val="single" w:color="auto" w:sz="4" w:space="0"/>
            </w:tcBorders>
            <w:noWrap w:val="0"/>
            <w:vAlign w:val="center"/>
          </w:tcPr>
          <w:p>
            <w:pPr>
              <w:adjustRightInd w:val="0"/>
              <w:snapToGrid w:val="0"/>
              <w:spacing w:line="280" w:lineRule="exact"/>
              <w:jc w:val="center"/>
              <w:rPr>
                <w:rFonts w:eastAsia="仿宋_GB2312"/>
                <w:color w:val="000000"/>
                <w:spacing w:val="-2"/>
                <w:kern w:val="0"/>
                <w:szCs w:val="21"/>
              </w:rPr>
            </w:pPr>
            <w:r>
              <w:rPr>
                <w:rFonts w:hint="eastAsia" w:eastAsia="仿宋_GB2312"/>
                <w:color w:val="000000"/>
                <w:spacing w:val="-2"/>
                <w:kern w:val="0"/>
                <w:szCs w:val="21"/>
              </w:rPr>
              <w:t>得分</w:t>
            </w:r>
          </w:p>
          <w:p>
            <w:pPr>
              <w:adjustRightInd w:val="0"/>
              <w:snapToGrid w:val="0"/>
              <w:spacing w:line="280" w:lineRule="exact"/>
              <w:jc w:val="center"/>
              <w:rPr>
                <w:rFonts w:eastAsia="仿宋_GB2312"/>
                <w:color w:val="000000"/>
                <w:spacing w:val="-2"/>
                <w:kern w:val="0"/>
                <w:szCs w:val="21"/>
              </w:rPr>
            </w:pPr>
            <w:r>
              <w:rPr>
                <w:rFonts w:hint="eastAsia" w:eastAsia="仿宋_GB2312"/>
                <w:color w:val="000000"/>
                <w:spacing w:val="-2"/>
                <w:kern w:val="0"/>
                <w:szCs w:val="21"/>
              </w:rPr>
              <w:t>扣分</w:t>
            </w:r>
          </w:p>
          <w:p>
            <w:pPr>
              <w:adjustRightInd w:val="0"/>
              <w:snapToGrid w:val="0"/>
              <w:spacing w:line="280" w:lineRule="exact"/>
              <w:jc w:val="center"/>
              <w:rPr>
                <w:rFonts w:eastAsia="仿宋_GB2312"/>
                <w:color w:val="000000"/>
                <w:spacing w:val="-2"/>
                <w:kern w:val="0"/>
                <w:szCs w:val="21"/>
              </w:rPr>
            </w:pPr>
            <w:r>
              <w:rPr>
                <w:rFonts w:hint="eastAsia" w:eastAsia="仿宋_GB2312"/>
                <w:color w:val="000000"/>
                <w:spacing w:val="-2"/>
                <w:kern w:val="0"/>
                <w:szCs w:val="21"/>
              </w:rPr>
              <w:t>情况</w:t>
            </w:r>
          </w:p>
        </w:tc>
        <w:tc>
          <w:tcPr>
            <w:tcW w:w="592" w:type="dxa"/>
            <w:tcBorders>
              <w:top w:val="single" w:color="auto" w:sz="4" w:space="0"/>
              <w:left w:val="single" w:color="auto" w:sz="4" w:space="0"/>
              <w:bottom w:val="single" w:color="auto" w:sz="8" w:space="0"/>
              <w:right w:val="single" w:color="auto" w:sz="4" w:space="0"/>
            </w:tcBorders>
            <w:noWrap w:val="0"/>
            <w:vAlign w:val="top"/>
          </w:tcPr>
          <w:p>
            <w:pPr>
              <w:adjustRightInd w:val="0"/>
              <w:snapToGrid w:val="0"/>
              <w:spacing w:line="280" w:lineRule="exact"/>
              <w:rPr>
                <w:rFonts w:eastAsia="仿宋_GB2312"/>
                <w:color w:val="000000"/>
                <w:spacing w:val="-2"/>
                <w:kern w:val="0"/>
                <w:szCs w:val="21"/>
              </w:rPr>
            </w:pPr>
            <w:r>
              <w:rPr>
                <w:rFonts w:hint="eastAsia" w:eastAsia="仿宋_GB2312"/>
                <w:color w:val="000000"/>
                <w:spacing w:val="-2"/>
                <w:kern w:val="0"/>
                <w:szCs w:val="21"/>
              </w:rPr>
              <w:t>　</w:t>
            </w:r>
          </w:p>
        </w:tc>
        <w:tc>
          <w:tcPr>
            <w:tcW w:w="592" w:type="dxa"/>
            <w:tcBorders>
              <w:top w:val="single" w:color="auto" w:sz="4" w:space="0"/>
              <w:left w:val="single" w:color="auto" w:sz="4" w:space="0"/>
              <w:bottom w:val="single" w:color="auto" w:sz="8" w:space="0"/>
              <w:right w:val="single" w:color="auto" w:sz="4" w:space="0"/>
            </w:tcBorders>
            <w:noWrap w:val="0"/>
            <w:vAlign w:val="center"/>
          </w:tcPr>
          <w:p>
            <w:pPr>
              <w:adjustRightInd w:val="0"/>
              <w:snapToGrid w:val="0"/>
              <w:spacing w:line="280" w:lineRule="exact"/>
              <w:rPr>
                <w:rFonts w:eastAsia="仿宋_GB2312"/>
                <w:color w:val="000000"/>
                <w:spacing w:val="-2"/>
                <w:kern w:val="0"/>
                <w:szCs w:val="21"/>
              </w:rPr>
            </w:pPr>
            <w:r>
              <w:rPr>
                <w:rFonts w:hint="eastAsia" w:eastAsia="仿宋_GB2312"/>
                <w:color w:val="000000"/>
                <w:spacing w:val="-2"/>
                <w:kern w:val="0"/>
                <w:szCs w:val="21"/>
              </w:rPr>
              <w:t>　</w:t>
            </w:r>
          </w:p>
        </w:tc>
        <w:tc>
          <w:tcPr>
            <w:tcW w:w="1080" w:type="dxa"/>
            <w:tcBorders>
              <w:top w:val="single" w:color="auto" w:sz="4" w:space="0"/>
              <w:left w:val="single" w:color="auto" w:sz="4" w:space="0"/>
              <w:bottom w:val="single" w:color="auto" w:sz="8" w:space="0"/>
              <w:right w:val="single" w:color="auto" w:sz="8" w:space="0"/>
            </w:tcBorders>
            <w:noWrap w:val="0"/>
            <w:vAlign w:val="center"/>
          </w:tcPr>
          <w:p>
            <w:pPr>
              <w:adjustRightInd w:val="0"/>
              <w:snapToGrid w:val="0"/>
              <w:spacing w:line="280" w:lineRule="exact"/>
              <w:rPr>
                <w:rFonts w:eastAsia="仿宋_GB2312"/>
                <w:color w:val="000000"/>
                <w:spacing w:val="-2"/>
                <w:kern w:val="0"/>
                <w:szCs w:val="21"/>
              </w:rPr>
            </w:pPr>
            <w:r>
              <w:rPr>
                <w:rFonts w:hint="eastAsia" w:eastAsia="仿宋_GB2312"/>
                <w:color w:val="000000"/>
                <w:spacing w:val="-2"/>
                <w:kern w:val="0"/>
                <w:szCs w:val="21"/>
              </w:rPr>
              <w:t>　</w:t>
            </w:r>
          </w:p>
        </w:tc>
      </w:tr>
    </w:tbl>
    <w:p>
      <w:pPr>
        <w:pStyle w:val="7"/>
        <w:adjustRightInd w:val="0"/>
        <w:snapToGrid w:val="0"/>
        <w:spacing w:line="570" w:lineRule="exact"/>
        <w:jc w:val="center"/>
        <w:rPr>
          <w:rFonts w:hint="eastAsia" w:ascii="Times New Roman" w:hAnsi="Times New Roman" w:eastAsia="方正黑体_GBK"/>
          <w:bCs/>
          <w:color w:val="000000"/>
          <w:spacing w:val="-2"/>
          <w:sz w:val="28"/>
          <w:szCs w:val="28"/>
        </w:rPr>
      </w:pPr>
      <w:r>
        <w:rPr>
          <w:rFonts w:hint="eastAsia" w:ascii="Times New Roman" w:hAnsi="Times New Roman" w:eastAsia="黑体"/>
          <w:bCs/>
          <w:color w:val="000000"/>
          <w:spacing w:val="-2"/>
        </w:rPr>
        <w:br w:type="column"/>
      </w:r>
      <w:r>
        <w:rPr>
          <w:rFonts w:hint="eastAsia" w:ascii="Times New Roman" w:hAnsi="Times New Roman" w:eastAsia="方正黑体_GBK"/>
          <w:bCs/>
          <w:color w:val="000000"/>
          <w:spacing w:val="-2"/>
          <w:sz w:val="28"/>
          <w:szCs w:val="28"/>
        </w:rPr>
        <w:t>建筑市场综合考核用表之六</w:t>
      </w:r>
    </w:p>
    <w:p>
      <w:pPr>
        <w:adjustRightInd w:val="0"/>
        <w:snapToGrid w:val="0"/>
        <w:spacing w:line="570" w:lineRule="exact"/>
        <w:ind w:firstLine="118" w:firstLineChars="50"/>
        <w:rPr>
          <w:rFonts w:hint="eastAsia" w:ascii="Times New Roman" w:hAnsi="Times New Roman" w:eastAsia="仿宋_GB2312"/>
          <w:bCs/>
          <w:color w:val="000000"/>
          <w:spacing w:val="-2"/>
          <w:kern w:val="0"/>
          <w:sz w:val="24"/>
        </w:rPr>
      </w:pPr>
      <w:r>
        <w:rPr>
          <w:rFonts w:hint="eastAsia" w:ascii="Times New Roman" w:hAnsi="Times New Roman" w:eastAsia="仿宋_GB2312"/>
          <w:bCs/>
          <w:color w:val="000000"/>
          <w:spacing w:val="-2"/>
          <w:kern w:val="0"/>
          <w:sz w:val="24"/>
        </w:rPr>
        <w:t>项目编号：                                          检查日期：</w:t>
      </w: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512"/>
        <w:gridCol w:w="3488"/>
        <w:gridCol w:w="1081"/>
        <w:gridCol w:w="703"/>
        <w:gridCol w:w="704"/>
        <w:gridCol w:w="10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9208" w:type="dxa"/>
            <w:gridSpan w:val="7"/>
            <w:tcBorders>
              <w:top w:val="single" w:color="auto" w:sz="8" w:space="0"/>
              <w:left w:val="single" w:color="auto" w:sz="8" w:space="0"/>
              <w:bottom w:val="single" w:color="auto" w:sz="4" w:space="0"/>
              <w:right w:val="single" w:color="auto" w:sz="8" w:space="0"/>
            </w:tcBorders>
            <w:noWrap w:val="0"/>
            <w:vAlign w:val="center"/>
          </w:tcPr>
          <w:p>
            <w:pPr>
              <w:adjustRightInd w:val="0"/>
              <w:snapToGrid w:val="0"/>
              <w:spacing w:line="340" w:lineRule="exact"/>
              <w:rPr>
                <w:rFonts w:eastAsia="仿宋_GB2312"/>
                <w:b/>
                <w:bCs/>
                <w:color w:val="000000"/>
                <w:spacing w:val="-2"/>
                <w:kern w:val="0"/>
                <w:szCs w:val="21"/>
              </w:rPr>
            </w:pPr>
            <w:r>
              <w:rPr>
                <w:rFonts w:hint="eastAsia" w:eastAsia="仿宋_GB2312"/>
                <w:b/>
                <w:bCs/>
                <w:color w:val="000000"/>
                <w:spacing w:val="-2"/>
                <w:kern w:val="0"/>
                <w:szCs w:val="21"/>
              </w:rPr>
              <w:t>建设单位（</w:t>
            </w:r>
            <w:r>
              <w:rPr>
                <w:rFonts w:eastAsia="仿宋_GB2312"/>
                <w:b/>
                <w:bCs/>
                <w:color w:val="000000"/>
                <w:spacing w:val="-2"/>
                <w:kern w:val="0"/>
                <w:szCs w:val="21"/>
              </w:rPr>
              <w:t>100</w:t>
            </w:r>
            <w:r>
              <w:rPr>
                <w:rFonts w:hint="eastAsia" w:eastAsia="仿宋_GB2312"/>
                <w:b/>
                <w:bCs/>
                <w:color w:val="000000"/>
                <w:spacing w:val="-2"/>
                <w:kern w:val="0"/>
                <w:szCs w:val="21"/>
              </w:rPr>
              <w:t>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640" w:type="dxa"/>
            <w:tcBorders>
              <w:top w:val="single" w:color="auto" w:sz="4" w:space="0"/>
              <w:left w:val="single" w:color="auto" w:sz="8" w:space="0"/>
              <w:bottom w:val="single" w:color="auto" w:sz="4" w:space="0"/>
              <w:right w:val="single" w:color="auto" w:sz="4" w:space="0"/>
            </w:tcBorders>
            <w:noWrap w:val="0"/>
            <w:vAlign w:val="center"/>
          </w:tcPr>
          <w:p>
            <w:pPr>
              <w:adjustRightInd w:val="0"/>
              <w:snapToGrid w:val="0"/>
              <w:spacing w:line="340" w:lineRule="exact"/>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序号</w:t>
            </w:r>
          </w:p>
        </w:tc>
        <w:tc>
          <w:tcPr>
            <w:tcW w:w="151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40" w:lineRule="exact"/>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检查项目</w:t>
            </w:r>
          </w:p>
        </w:tc>
        <w:tc>
          <w:tcPr>
            <w:tcW w:w="348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40" w:lineRule="exact"/>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检查内容</w:t>
            </w:r>
          </w:p>
        </w:tc>
        <w:tc>
          <w:tcPr>
            <w:tcW w:w="108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40" w:lineRule="exact"/>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扣分标准</w:t>
            </w:r>
          </w:p>
        </w:tc>
        <w:tc>
          <w:tcPr>
            <w:tcW w:w="70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40" w:lineRule="exact"/>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扣分</w:t>
            </w:r>
          </w:p>
        </w:tc>
        <w:tc>
          <w:tcPr>
            <w:tcW w:w="70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40" w:lineRule="exact"/>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得分</w:t>
            </w:r>
          </w:p>
        </w:tc>
        <w:tc>
          <w:tcPr>
            <w:tcW w:w="1080"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340" w:lineRule="exact"/>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扣分原因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0" w:hRule="atLeast"/>
          <w:jc w:val="center"/>
        </w:trPr>
        <w:tc>
          <w:tcPr>
            <w:tcW w:w="640" w:type="dxa"/>
            <w:tcBorders>
              <w:top w:val="single" w:color="auto" w:sz="4" w:space="0"/>
              <w:left w:val="single" w:color="auto" w:sz="8" w:space="0"/>
              <w:bottom w:val="single" w:color="auto" w:sz="4" w:space="0"/>
              <w:right w:val="single" w:color="auto" w:sz="4" w:space="0"/>
            </w:tcBorders>
            <w:noWrap w:val="0"/>
            <w:vAlign w:val="center"/>
          </w:tcPr>
          <w:p>
            <w:pPr>
              <w:adjustRightInd w:val="0"/>
              <w:snapToGrid w:val="0"/>
              <w:spacing w:line="340" w:lineRule="exact"/>
              <w:jc w:val="center"/>
              <w:rPr>
                <w:rFonts w:eastAsia="仿宋_GB2312"/>
                <w:color w:val="000000"/>
                <w:spacing w:val="-2"/>
                <w:kern w:val="0"/>
                <w:szCs w:val="21"/>
              </w:rPr>
            </w:pPr>
            <w:r>
              <w:rPr>
                <w:rFonts w:eastAsia="仿宋_GB2312"/>
                <w:color w:val="000000"/>
                <w:spacing w:val="-2"/>
                <w:kern w:val="0"/>
                <w:szCs w:val="21"/>
              </w:rPr>
              <w:t>1</w:t>
            </w:r>
          </w:p>
        </w:tc>
        <w:tc>
          <w:tcPr>
            <w:tcW w:w="1512"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40" w:lineRule="exact"/>
              <w:jc w:val="center"/>
              <w:rPr>
                <w:rFonts w:eastAsia="仿宋_GB2312"/>
                <w:color w:val="000000"/>
                <w:spacing w:val="-2"/>
                <w:kern w:val="0"/>
                <w:szCs w:val="21"/>
              </w:rPr>
            </w:pPr>
            <w:r>
              <w:rPr>
                <w:rFonts w:hint="eastAsia" w:eastAsia="仿宋_GB2312"/>
                <w:color w:val="000000"/>
                <w:spacing w:val="-2"/>
                <w:kern w:val="0"/>
                <w:szCs w:val="21"/>
              </w:rPr>
              <w:t>建设管理</w:t>
            </w:r>
          </w:p>
          <w:p>
            <w:pPr>
              <w:adjustRightInd w:val="0"/>
              <w:snapToGrid w:val="0"/>
              <w:spacing w:line="340" w:lineRule="exact"/>
              <w:jc w:val="center"/>
              <w:rPr>
                <w:rFonts w:eastAsia="仿宋_GB2312"/>
                <w:color w:val="000000"/>
                <w:spacing w:val="-2"/>
                <w:kern w:val="0"/>
                <w:szCs w:val="21"/>
              </w:rPr>
            </w:pPr>
            <w:r>
              <w:rPr>
                <w:rFonts w:hint="eastAsia" w:eastAsia="仿宋_GB2312"/>
                <w:color w:val="000000"/>
                <w:spacing w:val="-2"/>
                <w:kern w:val="0"/>
                <w:szCs w:val="21"/>
              </w:rPr>
              <w:t>行为</w:t>
            </w:r>
          </w:p>
        </w:tc>
        <w:tc>
          <w:tcPr>
            <w:tcW w:w="348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40" w:lineRule="exact"/>
              <w:jc w:val="center"/>
              <w:rPr>
                <w:rFonts w:eastAsia="仿宋_GB2312"/>
                <w:color w:val="000000"/>
                <w:spacing w:val="-2"/>
                <w:kern w:val="0"/>
                <w:szCs w:val="21"/>
              </w:rPr>
            </w:pPr>
            <w:r>
              <w:rPr>
                <w:rFonts w:hint="eastAsia" w:eastAsia="仿宋_GB2312"/>
                <w:color w:val="000000"/>
                <w:spacing w:val="-2"/>
                <w:kern w:val="0"/>
                <w:szCs w:val="21"/>
              </w:rPr>
              <w:t>项目开工前，应组织设计、施工、监理等单位召开第一次施工现场工地会议。（</w:t>
            </w:r>
            <w:r>
              <w:rPr>
                <w:rFonts w:eastAsia="仿宋_GB2312"/>
                <w:color w:val="000000"/>
                <w:spacing w:val="-2"/>
                <w:kern w:val="0"/>
                <w:szCs w:val="21"/>
              </w:rPr>
              <w:t>10</w:t>
            </w:r>
            <w:r>
              <w:rPr>
                <w:rFonts w:hint="eastAsia" w:eastAsia="仿宋_GB2312"/>
                <w:color w:val="000000"/>
                <w:spacing w:val="-2"/>
                <w:kern w:val="0"/>
                <w:szCs w:val="21"/>
              </w:rPr>
              <w:t>分）</w:t>
            </w:r>
          </w:p>
        </w:tc>
        <w:tc>
          <w:tcPr>
            <w:tcW w:w="108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40" w:lineRule="exact"/>
              <w:jc w:val="center"/>
              <w:rPr>
                <w:rFonts w:eastAsia="仿宋_GB2312"/>
                <w:color w:val="000000"/>
                <w:spacing w:val="-2"/>
                <w:kern w:val="0"/>
                <w:szCs w:val="21"/>
              </w:rPr>
            </w:pPr>
            <w:r>
              <w:rPr>
                <w:rFonts w:hint="eastAsia" w:eastAsia="仿宋_GB2312"/>
                <w:color w:val="000000"/>
                <w:spacing w:val="-2"/>
                <w:kern w:val="0"/>
                <w:szCs w:val="21"/>
              </w:rPr>
              <w:t>未达到</w:t>
            </w:r>
          </w:p>
          <w:p>
            <w:pPr>
              <w:adjustRightInd w:val="0"/>
              <w:snapToGrid w:val="0"/>
              <w:spacing w:line="340" w:lineRule="exact"/>
              <w:jc w:val="center"/>
              <w:rPr>
                <w:rFonts w:eastAsia="仿宋_GB2312"/>
                <w:color w:val="000000"/>
                <w:spacing w:val="-2"/>
                <w:kern w:val="0"/>
                <w:szCs w:val="21"/>
              </w:rPr>
            </w:pPr>
            <w:r>
              <w:rPr>
                <w:rFonts w:hint="eastAsia" w:eastAsia="仿宋_GB2312"/>
                <w:color w:val="000000"/>
                <w:spacing w:val="-2"/>
                <w:kern w:val="0"/>
                <w:szCs w:val="21"/>
              </w:rPr>
              <w:t>扣</w:t>
            </w:r>
            <w:r>
              <w:rPr>
                <w:rFonts w:eastAsia="仿宋_GB2312"/>
                <w:color w:val="000000"/>
                <w:spacing w:val="-2"/>
                <w:kern w:val="0"/>
                <w:szCs w:val="21"/>
              </w:rPr>
              <w:t>10</w:t>
            </w:r>
            <w:r>
              <w:rPr>
                <w:rFonts w:hint="eastAsia" w:eastAsia="仿宋_GB2312"/>
                <w:color w:val="000000"/>
                <w:spacing w:val="-2"/>
                <w:kern w:val="0"/>
                <w:szCs w:val="21"/>
              </w:rPr>
              <w:t>分</w:t>
            </w:r>
          </w:p>
        </w:tc>
        <w:tc>
          <w:tcPr>
            <w:tcW w:w="70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40" w:lineRule="exact"/>
              <w:rPr>
                <w:rFonts w:eastAsia="仿宋_GB2312"/>
                <w:color w:val="000000"/>
                <w:spacing w:val="-2"/>
                <w:kern w:val="0"/>
                <w:szCs w:val="21"/>
              </w:rPr>
            </w:pPr>
            <w:r>
              <w:rPr>
                <w:rFonts w:hint="eastAsia" w:eastAsia="仿宋_GB2312"/>
                <w:color w:val="000000"/>
                <w:spacing w:val="-2"/>
                <w:kern w:val="0"/>
                <w:szCs w:val="21"/>
              </w:rPr>
              <w:t>　</w:t>
            </w:r>
          </w:p>
        </w:tc>
        <w:tc>
          <w:tcPr>
            <w:tcW w:w="70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40" w:lineRule="exact"/>
              <w:rPr>
                <w:rFonts w:eastAsia="仿宋_GB2312"/>
                <w:color w:val="000000"/>
                <w:spacing w:val="-2"/>
                <w:kern w:val="0"/>
                <w:szCs w:val="21"/>
              </w:rPr>
            </w:pPr>
            <w:r>
              <w:rPr>
                <w:rFonts w:hint="eastAsia" w:eastAsia="仿宋_GB2312"/>
                <w:color w:val="000000"/>
                <w:spacing w:val="-2"/>
                <w:kern w:val="0"/>
                <w:szCs w:val="21"/>
              </w:rPr>
              <w:t>　</w:t>
            </w:r>
          </w:p>
        </w:tc>
        <w:tc>
          <w:tcPr>
            <w:tcW w:w="1080"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340" w:lineRule="exact"/>
              <w:rPr>
                <w:rFonts w:eastAsia="仿宋_GB2312"/>
                <w:color w:val="000000"/>
                <w:spacing w:val="-2"/>
                <w:kern w:val="0"/>
                <w:szCs w:val="21"/>
              </w:rPr>
            </w:pPr>
            <w:r>
              <w:rPr>
                <w:rFonts w:hint="eastAsia" w:eastAsia="仿宋_GB2312"/>
                <w:color w:val="000000"/>
                <w:spacing w:val="-2"/>
                <w:kern w:val="0"/>
                <w:szCs w:val="21"/>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0" w:hRule="atLeast"/>
          <w:jc w:val="center"/>
        </w:trPr>
        <w:tc>
          <w:tcPr>
            <w:tcW w:w="640" w:type="dxa"/>
            <w:tcBorders>
              <w:top w:val="single" w:color="auto" w:sz="4" w:space="0"/>
              <w:left w:val="single" w:color="auto" w:sz="8" w:space="0"/>
              <w:bottom w:val="single" w:color="auto" w:sz="4" w:space="0"/>
              <w:right w:val="single" w:color="auto" w:sz="4" w:space="0"/>
            </w:tcBorders>
            <w:noWrap w:val="0"/>
            <w:vAlign w:val="center"/>
          </w:tcPr>
          <w:p>
            <w:pPr>
              <w:adjustRightInd w:val="0"/>
              <w:snapToGrid w:val="0"/>
              <w:spacing w:line="340" w:lineRule="exact"/>
              <w:jc w:val="center"/>
              <w:rPr>
                <w:rFonts w:eastAsia="仿宋_GB2312"/>
                <w:color w:val="000000"/>
                <w:spacing w:val="-2"/>
                <w:kern w:val="0"/>
                <w:szCs w:val="21"/>
              </w:rPr>
            </w:pPr>
            <w:r>
              <w:rPr>
                <w:rFonts w:eastAsia="仿宋_GB2312"/>
                <w:color w:val="000000"/>
                <w:spacing w:val="-2"/>
                <w:kern w:val="0"/>
                <w:szCs w:val="21"/>
              </w:rPr>
              <w:t>2</w:t>
            </w:r>
          </w:p>
        </w:tc>
        <w:tc>
          <w:tcPr>
            <w:tcW w:w="151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348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40" w:lineRule="exact"/>
              <w:jc w:val="center"/>
              <w:rPr>
                <w:rFonts w:eastAsia="仿宋_GB2312"/>
                <w:color w:val="000000"/>
                <w:spacing w:val="-2"/>
                <w:kern w:val="0"/>
                <w:szCs w:val="21"/>
              </w:rPr>
            </w:pPr>
            <w:r>
              <w:rPr>
                <w:rFonts w:hint="eastAsia" w:eastAsia="仿宋_GB2312"/>
                <w:color w:val="000000"/>
                <w:spacing w:val="-2"/>
                <w:kern w:val="0"/>
                <w:szCs w:val="21"/>
              </w:rPr>
              <w:t>应按经备案签证的监理合同约定支付监理服务费用（提供支付凭证）。</w:t>
            </w:r>
          </w:p>
          <w:p>
            <w:pPr>
              <w:adjustRightInd w:val="0"/>
              <w:snapToGrid w:val="0"/>
              <w:spacing w:line="340" w:lineRule="exact"/>
              <w:jc w:val="center"/>
              <w:rPr>
                <w:rFonts w:eastAsia="仿宋_GB2312"/>
                <w:color w:val="000000"/>
                <w:spacing w:val="-2"/>
                <w:kern w:val="0"/>
                <w:szCs w:val="21"/>
              </w:rPr>
            </w:pPr>
            <w:r>
              <w:rPr>
                <w:rFonts w:hint="eastAsia" w:eastAsia="仿宋_GB2312"/>
                <w:color w:val="000000"/>
                <w:spacing w:val="-2"/>
                <w:kern w:val="0"/>
                <w:szCs w:val="21"/>
              </w:rPr>
              <w:t>（</w:t>
            </w:r>
            <w:r>
              <w:rPr>
                <w:rFonts w:eastAsia="仿宋_GB2312"/>
                <w:color w:val="000000"/>
                <w:spacing w:val="-2"/>
                <w:kern w:val="0"/>
                <w:szCs w:val="21"/>
              </w:rPr>
              <w:t>30</w:t>
            </w:r>
            <w:r>
              <w:rPr>
                <w:rFonts w:hint="eastAsia" w:eastAsia="仿宋_GB2312"/>
                <w:color w:val="000000"/>
                <w:spacing w:val="-2"/>
                <w:kern w:val="0"/>
                <w:szCs w:val="21"/>
              </w:rPr>
              <w:t>分）</w:t>
            </w:r>
          </w:p>
        </w:tc>
        <w:tc>
          <w:tcPr>
            <w:tcW w:w="108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40" w:lineRule="exact"/>
              <w:jc w:val="center"/>
              <w:rPr>
                <w:rFonts w:eastAsia="仿宋_GB2312"/>
                <w:color w:val="000000"/>
                <w:spacing w:val="-2"/>
                <w:kern w:val="0"/>
                <w:szCs w:val="21"/>
              </w:rPr>
            </w:pPr>
            <w:r>
              <w:rPr>
                <w:rFonts w:hint="eastAsia" w:eastAsia="仿宋_GB2312"/>
                <w:color w:val="000000"/>
                <w:spacing w:val="-2"/>
                <w:kern w:val="0"/>
                <w:szCs w:val="21"/>
              </w:rPr>
              <w:t>未达到</w:t>
            </w:r>
          </w:p>
          <w:p>
            <w:pPr>
              <w:adjustRightInd w:val="0"/>
              <w:snapToGrid w:val="0"/>
              <w:spacing w:line="340" w:lineRule="exact"/>
              <w:jc w:val="center"/>
              <w:rPr>
                <w:rFonts w:eastAsia="仿宋_GB2312"/>
                <w:color w:val="000000"/>
                <w:spacing w:val="-2"/>
                <w:kern w:val="0"/>
                <w:szCs w:val="21"/>
              </w:rPr>
            </w:pPr>
            <w:r>
              <w:rPr>
                <w:rFonts w:hint="eastAsia" w:eastAsia="仿宋_GB2312"/>
                <w:color w:val="000000"/>
                <w:spacing w:val="-2"/>
                <w:kern w:val="0"/>
                <w:szCs w:val="21"/>
              </w:rPr>
              <w:t>扣</w:t>
            </w:r>
            <w:r>
              <w:rPr>
                <w:rFonts w:eastAsia="仿宋_GB2312"/>
                <w:color w:val="000000"/>
                <w:spacing w:val="-2"/>
                <w:kern w:val="0"/>
                <w:szCs w:val="21"/>
              </w:rPr>
              <w:t>30</w:t>
            </w:r>
            <w:r>
              <w:rPr>
                <w:rFonts w:hint="eastAsia" w:eastAsia="仿宋_GB2312"/>
                <w:color w:val="000000"/>
                <w:spacing w:val="-2"/>
                <w:kern w:val="0"/>
                <w:szCs w:val="21"/>
              </w:rPr>
              <w:t>分</w:t>
            </w:r>
          </w:p>
        </w:tc>
        <w:tc>
          <w:tcPr>
            <w:tcW w:w="70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40" w:lineRule="exact"/>
              <w:rPr>
                <w:rFonts w:eastAsia="仿宋_GB2312"/>
                <w:color w:val="000000"/>
                <w:spacing w:val="-2"/>
                <w:kern w:val="0"/>
                <w:szCs w:val="21"/>
              </w:rPr>
            </w:pPr>
            <w:r>
              <w:rPr>
                <w:rFonts w:hint="eastAsia" w:eastAsia="仿宋_GB2312"/>
                <w:color w:val="000000"/>
                <w:spacing w:val="-2"/>
                <w:kern w:val="0"/>
                <w:szCs w:val="21"/>
              </w:rPr>
              <w:t>　</w:t>
            </w:r>
          </w:p>
        </w:tc>
        <w:tc>
          <w:tcPr>
            <w:tcW w:w="70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40" w:lineRule="exact"/>
              <w:rPr>
                <w:rFonts w:eastAsia="仿宋_GB2312"/>
                <w:color w:val="000000"/>
                <w:spacing w:val="-2"/>
                <w:kern w:val="0"/>
                <w:szCs w:val="21"/>
              </w:rPr>
            </w:pPr>
            <w:r>
              <w:rPr>
                <w:rFonts w:hint="eastAsia" w:eastAsia="仿宋_GB2312"/>
                <w:color w:val="000000"/>
                <w:spacing w:val="-2"/>
                <w:kern w:val="0"/>
                <w:szCs w:val="21"/>
              </w:rPr>
              <w:t>　</w:t>
            </w:r>
          </w:p>
        </w:tc>
        <w:tc>
          <w:tcPr>
            <w:tcW w:w="1080"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340" w:lineRule="exact"/>
              <w:rPr>
                <w:rFonts w:eastAsia="仿宋_GB2312"/>
                <w:color w:val="000000"/>
                <w:spacing w:val="-2"/>
                <w:kern w:val="0"/>
                <w:szCs w:val="21"/>
              </w:rPr>
            </w:pPr>
            <w:r>
              <w:rPr>
                <w:rFonts w:hint="eastAsia" w:eastAsia="仿宋_GB2312"/>
                <w:color w:val="000000"/>
                <w:spacing w:val="-2"/>
                <w:kern w:val="0"/>
                <w:szCs w:val="21"/>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0" w:hRule="atLeast"/>
          <w:jc w:val="center"/>
        </w:trPr>
        <w:tc>
          <w:tcPr>
            <w:tcW w:w="640" w:type="dxa"/>
            <w:tcBorders>
              <w:top w:val="single" w:color="auto" w:sz="4" w:space="0"/>
              <w:left w:val="single" w:color="auto" w:sz="8" w:space="0"/>
              <w:bottom w:val="single" w:color="auto" w:sz="4" w:space="0"/>
              <w:right w:val="single" w:color="auto" w:sz="4" w:space="0"/>
            </w:tcBorders>
            <w:noWrap w:val="0"/>
            <w:vAlign w:val="center"/>
          </w:tcPr>
          <w:p>
            <w:pPr>
              <w:adjustRightInd w:val="0"/>
              <w:snapToGrid w:val="0"/>
              <w:spacing w:line="340" w:lineRule="exact"/>
              <w:jc w:val="center"/>
              <w:rPr>
                <w:rFonts w:eastAsia="仿宋_GB2312"/>
                <w:color w:val="000000"/>
                <w:spacing w:val="-2"/>
                <w:kern w:val="0"/>
                <w:szCs w:val="21"/>
              </w:rPr>
            </w:pPr>
            <w:r>
              <w:rPr>
                <w:rFonts w:eastAsia="仿宋_GB2312"/>
                <w:color w:val="000000"/>
                <w:spacing w:val="-2"/>
                <w:kern w:val="0"/>
                <w:szCs w:val="21"/>
              </w:rPr>
              <w:t>3</w:t>
            </w:r>
          </w:p>
        </w:tc>
        <w:tc>
          <w:tcPr>
            <w:tcW w:w="151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348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40" w:lineRule="exact"/>
              <w:jc w:val="center"/>
              <w:rPr>
                <w:rFonts w:eastAsia="仿宋_GB2312"/>
                <w:color w:val="000000"/>
                <w:spacing w:val="-2"/>
                <w:kern w:val="0"/>
                <w:szCs w:val="21"/>
              </w:rPr>
            </w:pPr>
            <w:r>
              <w:rPr>
                <w:rFonts w:hint="eastAsia" w:eastAsia="仿宋_GB2312"/>
                <w:color w:val="000000"/>
                <w:spacing w:val="-2"/>
                <w:kern w:val="0"/>
                <w:szCs w:val="21"/>
              </w:rPr>
              <w:t>不得违反工程强制性标准，明示或暗示设计或施工单位变更或降低建筑节能要求。（</w:t>
            </w:r>
            <w:r>
              <w:rPr>
                <w:rFonts w:eastAsia="仿宋_GB2312"/>
                <w:color w:val="000000"/>
                <w:spacing w:val="-2"/>
                <w:kern w:val="0"/>
                <w:szCs w:val="21"/>
              </w:rPr>
              <w:t>20</w:t>
            </w:r>
            <w:r>
              <w:rPr>
                <w:rFonts w:hint="eastAsia" w:eastAsia="仿宋_GB2312"/>
                <w:color w:val="000000"/>
                <w:spacing w:val="-2"/>
                <w:kern w:val="0"/>
                <w:szCs w:val="21"/>
              </w:rPr>
              <w:t>分）</w:t>
            </w:r>
          </w:p>
        </w:tc>
        <w:tc>
          <w:tcPr>
            <w:tcW w:w="108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40" w:lineRule="exact"/>
              <w:jc w:val="center"/>
              <w:rPr>
                <w:rFonts w:eastAsia="仿宋_GB2312"/>
                <w:color w:val="000000"/>
                <w:spacing w:val="-2"/>
                <w:kern w:val="0"/>
                <w:szCs w:val="21"/>
              </w:rPr>
            </w:pPr>
            <w:r>
              <w:rPr>
                <w:rFonts w:hint="eastAsia" w:eastAsia="仿宋_GB2312"/>
                <w:color w:val="000000"/>
                <w:spacing w:val="-2"/>
                <w:kern w:val="0"/>
                <w:szCs w:val="21"/>
              </w:rPr>
              <w:t>未达到</w:t>
            </w:r>
          </w:p>
          <w:p>
            <w:pPr>
              <w:adjustRightInd w:val="0"/>
              <w:snapToGrid w:val="0"/>
              <w:spacing w:line="340" w:lineRule="exact"/>
              <w:jc w:val="center"/>
              <w:rPr>
                <w:rFonts w:eastAsia="仿宋_GB2312"/>
                <w:color w:val="000000"/>
                <w:spacing w:val="-2"/>
                <w:kern w:val="0"/>
                <w:szCs w:val="21"/>
              </w:rPr>
            </w:pPr>
            <w:r>
              <w:rPr>
                <w:rFonts w:hint="eastAsia" w:eastAsia="仿宋_GB2312"/>
                <w:color w:val="000000"/>
                <w:spacing w:val="-2"/>
                <w:kern w:val="0"/>
                <w:szCs w:val="21"/>
              </w:rPr>
              <w:t>扣</w:t>
            </w:r>
            <w:r>
              <w:rPr>
                <w:rFonts w:eastAsia="仿宋_GB2312"/>
                <w:color w:val="000000"/>
                <w:spacing w:val="-2"/>
                <w:kern w:val="0"/>
                <w:szCs w:val="21"/>
              </w:rPr>
              <w:t>20</w:t>
            </w:r>
            <w:r>
              <w:rPr>
                <w:rFonts w:hint="eastAsia" w:eastAsia="仿宋_GB2312"/>
                <w:color w:val="000000"/>
                <w:spacing w:val="-2"/>
                <w:kern w:val="0"/>
                <w:szCs w:val="21"/>
              </w:rPr>
              <w:t>分</w:t>
            </w:r>
          </w:p>
        </w:tc>
        <w:tc>
          <w:tcPr>
            <w:tcW w:w="70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40" w:lineRule="exact"/>
              <w:rPr>
                <w:rFonts w:eastAsia="仿宋_GB2312"/>
                <w:color w:val="000000"/>
                <w:spacing w:val="-2"/>
                <w:kern w:val="0"/>
                <w:szCs w:val="21"/>
              </w:rPr>
            </w:pPr>
            <w:r>
              <w:rPr>
                <w:rFonts w:hint="eastAsia" w:eastAsia="仿宋_GB2312"/>
                <w:color w:val="000000"/>
                <w:spacing w:val="-2"/>
                <w:kern w:val="0"/>
                <w:szCs w:val="21"/>
              </w:rPr>
              <w:t>　</w:t>
            </w:r>
          </w:p>
        </w:tc>
        <w:tc>
          <w:tcPr>
            <w:tcW w:w="70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40" w:lineRule="exact"/>
              <w:rPr>
                <w:rFonts w:eastAsia="仿宋_GB2312"/>
                <w:color w:val="000000"/>
                <w:spacing w:val="-2"/>
                <w:kern w:val="0"/>
                <w:szCs w:val="21"/>
              </w:rPr>
            </w:pPr>
            <w:r>
              <w:rPr>
                <w:rFonts w:hint="eastAsia" w:eastAsia="仿宋_GB2312"/>
                <w:color w:val="000000"/>
                <w:spacing w:val="-2"/>
                <w:kern w:val="0"/>
                <w:szCs w:val="21"/>
              </w:rPr>
              <w:t>　</w:t>
            </w:r>
          </w:p>
        </w:tc>
        <w:tc>
          <w:tcPr>
            <w:tcW w:w="1080"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340" w:lineRule="exact"/>
              <w:rPr>
                <w:rFonts w:eastAsia="仿宋_GB2312"/>
                <w:color w:val="000000"/>
                <w:spacing w:val="-2"/>
                <w:kern w:val="0"/>
                <w:szCs w:val="21"/>
              </w:rPr>
            </w:pPr>
            <w:r>
              <w:rPr>
                <w:rFonts w:hint="eastAsia" w:eastAsia="仿宋_GB2312"/>
                <w:color w:val="000000"/>
                <w:spacing w:val="-2"/>
                <w:kern w:val="0"/>
                <w:szCs w:val="21"/>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0" w:hRule="atLeast"/>
          <w:jc w:val="center"/>
        </w:trPr>
        <w:tc>
          <w:tcPr>
            <w:tcW w:w="640" w:type="dxa"/>
            <w:tcBorders>
              <w:top w:val="single" w:color="auto" w:sz="4" w:space="0"/>
              <w:left w:val="single" w:color="auto" w:sz="8" w:space="0"/>
              <w:bottom w:val="single" w:color="auto" w:sz="4" w:space="0"/>
              <w:right w:val="single" w:color="auto" w:sz="4" w:space="0"/>
            </w:tcBorders>
            <w:noWrap w:val="0"/>
            <w:vAlign w:val="center"/>
          </w:tcPr>
          <w:p>
            <w:pPr>
              <w:adjustRightInd w:val="0"/>
              <w:snapToGrid w:val="0"/>
              <w:spacing w:line="340" w:lineRule="exact"/>
              <w:jc w:val="center"/>
              <w:rPr>
                <w:rFonts w:eastAsia="仿宋_GB2312"/>
                <w:color w:val="000000"/>
                <w:spacing w:val="-2"/>
                <w:kern w:val="0"/>
                <w:szCs w:val="21"/>
              </w:rPr>
            </w:pPr>
            <w:r>
              <w:rPr>
                <w:rFonts w:eastAsia="仿宋_GB2312"/>
                <w:color w:val="000000"/>
                <w:spacing w:val="-2"/>
                <w:kern w:val="0"/>
                <w:szCs w:val="21"/>
              </w:rPr>
              <w:t>4</w:t>
            </w:r>
          </w:p>
        </w:tc>
        <w:tc>
          <w:tcPr>
            <w:tcW w:w="151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348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40" w:lineRule="exact"/>
              <w:jc w:val="center"/>
              <w:rPr>
                <w:rFonts w:eastAsia="仿宋_GB2312"/>
                <w:color w:val="000000"/>
                <w:spacing w:val="-2"/>
                <w:kern w:val="0"/>
                <w:szCs w:val="21"/>
              </w:rPr>
            </w:pPr>
            <w:r>
              <w:rPr>
                <w:rFonts w:hint="eastAsia" w:eastAsia="仿宋_GB2312"/>
                <w:color w:val="000000"/>
                <w:spacing w:val="-2"/>
                <w:kern w:val="0"/>
                <w:szCs w:val="21"/>
              </w:rPr>
              <w:t>不得违反工程强制性标准，明示或暗示设计或施工单位变更或降低工程质量安全要求。（</w:t>
            </w:r>
            <w:r>
              <w:rPr>
                <w:rFonts w:eastAsia="仿宋_GB2312"/>
                <w:color w:val="000000"/>
                <w:spacing w:val="-2"/>
                <w:kern w:val="0"/>
                <w:szCs w:val="21"/>
              </w:rPr>
              <w:t>20</w:t>
            </w:r>
            <w:r>
              <w:rPr>
                <w:rFonts w:hint="eastAsia" w:eastAsia="仿宋_GB2312"/>
                <w:color w:val="000000"/>
                <w:spacing w:val="-2"/>
                <w:kern w:val="0"/>
                <w:szCs w:val="21"/>
              </w:rPr>
              <w:t>分）</w:t>
            </w:r>
          </w:p>
        </w:tc>
        <w:tc>
          <w:tcPr>
            <w:tcW w:w="108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40" w:lineRule="exact"/>
              <w:jc w:val="center"/>
              <w:rPr>
                <w:rFonts w:eastAsia="仿宋_GB2312"/>
                <w:color w:val="000000"/>
                <w:spacing w:val="-2"/>
                <w:kern w:val="0"/>
                <w:szCs w:val="21"/>
              </w:rPr>
            </w:pPr>
            <w:r>
              <w:rPr>
                <w:rFonts w:hint="eastAsia" w:eastAsia="仿宋_GB2312"/>
                <w:color w:val="000000"/>
                <w:spacing w:val="-2"/>
                <w:kern w:val="0"/>
                <w:szCs w:val="21"/>
              </w:rPr>
              <w:t>未达到</w:t>
            </w:r>
          </w:p>
          <w:p>
            <w:pPr>
              <w:adjustRightInd w:val="0"/>
              <w:snapToGrid w:val="0"/>
              <w:spacing w:line="340" w:lineRule="exact"/>
              <w:jc w:val="center"/>
              <w:rPr>
                <w:rFonts w:eastAsia="仿宋_GB2312"/>
                <w:color w:val="000000"/>
                <w:spacing w:val="-2"/>
                <w:kern w:val="0"/>
                <w:szCs w:val="21"/>
              </w:rPr>
            </w:pPr>
            <w:r>
              <w:rPr>
                <w:rFonts w:hint="eastAsia" w:eastAsia="仿宋_GB2312"/>
                <w:color w:val="000000"/>
                <w:spacing w:val="-2"/>
                <w:kern w:val="0"/>
                <w:szCs w:val="21"/>
              </w:rPr>
              <w:t>扣</w:t>
            </w:r>
            <w:r>
              <w:rPr>
                <w:rFonts w:eastAsia="仿宋_GB2312"/>
                <w:color w:val="000000"/>
                <w:spacing w:val="-2"/>
                <w:kern w:val="0"/>
                <w:szCs w:val="21"/>
              </w:rPr>
              <w:t>20</w:t>
            </w:r>
            <w:r>
              <w:rPr>
                <w:rFonts w:hint="eastAsia" w:eastAsia="仿宋_GB2312"/>
                <w:color w:val="000000"/>
                <w:spacing w:val="-2"/>
                <w:kern w:val="0"/>
                <w:szCs w:val="21"/>
              </w:rPr>
              <w:t>分</w:t>
            </w:r>
          </w:p>
        </w:tc>
        <w:tc>
          <w:tcPr>
            <w:tcW w:w="70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40" w:lineRule="exact"/>
              <w:rPr>
                <w:rFonts w:eastAsia="仿宋_GB2312"/>
                <w:color w:val="000000"/>
                <w:spacing w:val="-2"/>
                <w:kern w:val="0"/>
                <w:szCs w:val="21"/>
              </w:rPr>
            </w:pPr>
            <w:r>
              <w:rPr>
                <w:rFonts w:hint="eastAsia" w:eastAsia="仿宋_GB2312"/>
                <w:color w:val="000000"/>
                <w:spacing w:val="-2"/>
                <w:kern w:val="0"/>
                <w:szCs w:val="21"/>
              </w:rPr>
              <w:t>　</w:t>
            </w:r>
          </w:p>
        </w:tc>
        <w:tc>
          <w:tcPr>
            <w:tcW w:w="70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40" w:lineRule="exact"/>
              <w:rPr>
                <w:rFonts w:eastAsia="仿宋_GB2312"/>
                <w:color w:val="000000"/>
                <w:spacing w:val="-2"/>
                <w:kern w:val="0"/>
                <w:szCs w:val="21"/>
              </w:rPr>
            </w:pPr>
            <w:r>
              <w:rPr>
                <w:rFonts w:hint="eastAsia" w:eastAsia="仿宋_GB2312"/>
                <w:color w:val="000000"/>
                <w:spacing w:val="-2"/>
                <w:kern w:val="0"/>
                <w:szCs w:val="21"/>
              </w:rPr>
              <w:t>　</w:t>
            </w:r>
          </w:p>
        </w:tc>
        <w:tc>
          <w:tcPr>
            <w:tcW w:w="1080"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340" w:lineRule="exact"/>
              <w:rPr>
                <w:rFonts w:eastAsia="仿宋_GB2312"/>
                <w:color w:val="000000"/>
                <w:spacing w:val="-2"/>
                <w:kern w:val="0"/>
                <w:szCs w:val="21"/>
              </w:rPr>
            </w:pPr>
            <w:r>
              <w:rPr>
                <w:rFonts w:hint="eastAsia" w:eastAsia="仿宋_GB2312"/>
                <w:color w:val="000000"/>
                <w:spacing w:val="-2"/>
                <w:kern w:val="0"/>
                <w:szCs w:val="21"/>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0" w:hRule="atLeast"/>
          <w:jc w:val="center"/>
        </w:trPr>
        <w:tc>
          <w:tcPr>
            <w:tcW w:w="640" w:type="dxa"/>
            <w:tcBorders>
              <w:top w:val="single" w:color="auto" w:sz="4" w:space="0"/>
              <w:left w:val="single" w:color="auto" w:sz="8" w:space="0"/>
              <w:bottom w:val="single" w:color="auto" w:sz="4" w:space="0"/>
              <w:right w:val="single" w:color="auto" w:sz="4" w:space="0"/>
            </w:tcBorders>
            <w:noWrap w:val="0"/>
            <w:vAlign w:val="center"/>
          </w:tcPr>
          <w:p>
            <w:pPr>
              <w:adjustRightInd w:val="0"/>
              <w:snapToGrid w:val="0"/>
              <w:spacing w:line="340" w:lineRule="exact"/>
              <w:jc w:val="center"/>
              <w:rPr>
                <w:rFonts w:eastAsia="仿宋_GB2312"/>
                <w:color w:val="000000"/>
                <w:spacing w:val="-2"/>
                <w:kern w:val="0"/>
                <w:szCs w:val="21"/>
              </w:rPr>
            </w:pPr>
            <w:r>
              <w:rPr>
                <w:rFonts w:eastAsia="仿宋_GB2312"/>
                <w:color w:val="000000"/>
                <w:spacing w:val="-2"/>
                <w:kern w:val="0"/>
                <w:szCs w:val="21"/>
              </w:rPr>
              <w:t>5</w:t>
            </w:r>
          </w:p>
        </w:tc>
        <w:tc>
          <w:tcPr>
            <w:tcW w:w="151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color w:val="000000"/>
                <w:spacing w:val="-2"/>
                <w:kern w:val="0"/>
                <w:szCs w:val="21"/>
              </w:rPr>
            </w:pPr>
          </w:p>
        </w:tc>
        <w:tc>
          <w:tcPr>
            <w:tcW w:w="348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40" w:lineRule="exact"/>
              <w:jc w:val="center"/>
              <w:rPr>
                <w:rFonts w:eastAsia="仿宋_GB2312"/>
                <w:color w:val="000000"/>
                <w:spacing w:val="-2"/>
                <w:kern w:val="0"/>
                <w:szCs w:val="21"/>
              </w:rPr>
            </w:pPr>
            <w:r>
              <w:rPr>
                <w:rFonts w:hint="eastAsia" w:eastAsia="仿宋_GB2312"/>
                <w:color w:val="000000"/>
                <w:spacing w:val="-2"/>
                <w:kern w:val="0"/>
                <w:szCs w:val="21"/>
              </w:rPr>
              <w:t>不得明示或暗示施工单位使用不合格的建筑材料、建筑构配件和设备。（</w:t>
            </w:r>
            <w:r>
              <w:rPr>
                <w:rFonts w:eastAsia="仿宋_GB2312"/>
                <w:color w:val="000000"/>
                <w:spacing w:val="-2"/>
                <w:kern w:val="0"/>
                <w:szCs w:val="21"/>
              </w:rPr>
              <w:t>20</w:t>
            </w:r>
            <w:r>
              <w:rPr>
                <w:rFonts w:hint="eastAsia" w:eastAsia="仿宋_GB2312"/>
                <w:color w:val="000000"/>
                <w:spacing w:val="-2"/>
                <w:kern w:val="0"/>
                <w:szCs w:val="21"/>
              </w:rPr>
              <w:t>分）</w:t>
            </w:r>
          </w:p>
        </w:tc>
        <w:tc>
          <w:tcPr>
            <w:tcW w:w="108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40" w:lineRule="exact"/>
              <w:jc w:val="center"/>
              <w:rPr>
                <w:rFonts w:eastAsia="仿宋_GB2312"/>
                <w:color w:val="000000"/>
                <w:spacing w:val="-2"/>
                <w:kern w:val="0"/>
                <w:szCs w:val="21"/>
              </w:rPr>
            </w:pPr>
            <w:r>
              <w:rPr>
                <w:rFonts w:hint="eastAsia" w:eastAsia="仿宋_GB2312"/>
                <w:color w:val="000000"/>
                <w:spacing w:val="-2"/>
                <w:kern w:val="0"/>
                <w:szCs w:val="21"/>
              </w:rPr>
              <w:t>未达到</w:t>
            </w:r>
          </w:p>
          <w:p>
            <w:pPr>
              <w:adjustRightInd w:val="0"/>
              <w:snapToGrid w:val="0"/>
              <w:spacing w:line="340" w:lineRule="exact"/>
              <w:jc w:val="center"/>
              <w:rPr>
                <w:rFonts w:eastAsia="仿宋_GB2312"/>
                <w:color w:val="000000"/>
                <w:spacing w:val="-2"/>
                <w:kern w:val="0"/>
                <w:szCs w:val="21"/>
              </w:rPr>
            </w:pPr>
            <w:r>
              <w:rPr>
                <w:rFonts w:hint="eastAsia" w:eastAsia="仿宋_GB2312"/>
                <w:color w:val="000000"/>
                <w:spacing w:val="-2"/>
                <w:kern w:val="0"/>
                <w:szCs w:val="21"/>
              </w:rPr>
              <w:t>扣</w:t>
            </w:r>
            <w:r>
              <w:rPr>
                <w:rFonts w:eastAsia="仿宋_GB2312"/>
                <w:color w:val="000000"/>
                <w:spacing w:val="-2"/>
                <w:kern w:val="0"/>
                <w:szCs w:val="21"/>
              </w:rPr>
              <w:t>20</w:t>
            </w:r>
            <w:r>
              <w:rPr>
                <w:rFonts w:hint="eastAsia" w:eastAsia="仿宋_GB2312"/>
                <w:color w:val="000000"/>
                <w:spacing w:val="-2"/>
                <w:kern w:val="0"/>
                <w:szCs w:val="21"/>
              </w:rPr>
              <w:t>分</w:t>
            </w:r>
          </w:p>
        </w:tc>
        <w:tc>
          <w:tcPr>
            <w:tcW w:w="70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40" w:lineRule="exact"/>
              <w:rPr>
                <w:rFonts w:eastAsia="仿宋_GB2312"/>
                <w:color w:val="000000"/>
                <w:spacing w:val="-2"/>
                <w:kern w:val="0"/>
                <w:szCs w:val="21"/>
              </w:rPr>
            </w:pPr>
            <w:r>
              <w:rPr>
                <w:rFonts w:hint="eastAsia" w:eastAsia="仿宋_GB2312"/>
                <w:color w:val="000000"/>
                <w:spacing w:val="-2"/>
                <w:kern w:val="0"/>
                <w:szCs w:val="21"/>
              </w:rPr>
              <w:t>　</w:t>
            </w:r>
          </w:p>
        </w:tc>
        <w:tc>
          <w:tcPr>
            <w:tcW w:w="70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40" w:lineRule="exact"/>
              <w:rPr>
                <w:rFonts w:eastAsia="仿宋_GB2312"/>
                <w:color w:val="000000"/>
                <w:spacing w:val="-2"/>
                <w:kern w:val="0"/>
                <w:szCs w:val="21"/>
              </w:rPr>
            </w:pPr>
            <w:r>
              <w:rPr>
                <w:rFonts w:hint="eastAsia" w:eastAsia="仿宋_GB2312"/>
                <w:color w:val="000000"/>
                <w:spacing w:val="-2"/>
                <w:kern w:val="0"/>
                <w:szCs w:val="21"/>
              </w:rPr>
              <w:t>　</w:t>
            </w:r>
          </w:p>
        </w:tc>
        <w:tc>
          <w:tcPr>
            <w:tcW w:w="1080"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340" w:lineRule="exact"/>
              <w:rPr>
                <w:rFonts w:eastAsia="仿宋_GB2312"/>
                <w:color w:val="000000"/>
                <w:spacing w:val="-2"/>
                <w:kern w:val="0"/>
                <w:szCs w:val="21"/>
              </w:rPr>
            </w:pPr>
            <w:r>
              <w:rPr>
                <w:rFonts w:hint="eastAsia" w:eastAsia="仿宋_GB2312"/>
                <w:color w:val="000000"/>
                <w:spacing w:val="-2"/>
                <w:kern w:val="0"/>
                <w:szCs w:val="21"/>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47" w:hRule="atLeast"/>
          <w:jc w:val="center"/>
        </w:trPr>
        <w:tc>
          <w:tcPr>
            <w:tcW w:w="2152" w:type="dxa"/>
            <w:gridSpan w:val="2"/>
            <w:tcBorders>
              <w:top w:val="single" w:color="auto" w:sz="4" w:space="0"/>
              <w:left w:val="single" w:color="auto" w:sz="8" w:space="0"/>
              <w:bottom w:val="single" w:color="auto" w:sz="8" w:space="0"/>
              <w:right w:val="single" w:color="auto" w:sz="4" w:space="0"/>
            </w:tcBorders>
            <w:noWrap w:val="0"/>
            <w:vAlign w:val="center"/>
          </w:tcPr>
          <w:p>
            <w:pPr>
              <w:adjustRightInd w:val="0"/>
              <w:snapToGrid w:val="0"/>
              <w:spacing w:line="340" w:lineRule="exact"/>
              <w:rPr>
                <w:rFonts w:eastAsia="仿宋_GB2312"/>
                <w:color w:val="000000"/>
                <w:spacing w:val="-2"/>
                <w:kern w:val="0"/>
                <w:szCs w:val="21"/>
              </w:rPr>
            </w:pPr>
            <w:r>
              <w:rPr>
                <w:rFonts w:hint="eastAsia" w:eastAsia="仿宋_GB2312"/>
                <w:color w:val="000000"/>
                <w:spacing w:val="-2"/>
                <w:kern w:val="0"/>
                <w:szCs w:val="21"/>
              </w:rPr>
              <w:t>检查人签字：</w:t>
            </w:r>
          </w:p>
        </w:tc>
        <w:tc>
          <w:tcPr>
            <w:tcW w:w="3488" w:type="dxa"/>
            <w:tcBorders>
              <w:top w:val="single" w:color="auto" w:sz="4" w:space="0"/>
              <w:left w:val="single" w:color="auto" w:sz="4" w:space="0"/>
              <w:bottom w:val="single" w:color="auto" w:sz="8" w:space="0"/>
              <w:right w:val="single" w:color="auto" w:sz="4" w:space="0"/>
            </w:tcBorders>
            <w:noWrap w:val="0"/>
            <w:vAlign w:val="center"/>
          </w:tcPr>
          <w:p>
            <w:pPr>
              <w:adjustRightInd w:val="0"/>
              <w:snapToGrid w:val="0"/>
              <w:spacing w:line="340" w:lineRule="exact"/>
              <w:rPr>
                <w:rFonts w:eastAsia="仿宋_GB2312"/>
                <w:color w:val="000000"/>
                <w:spacing w:val="-2"/>
                <w:kern w:val="0"/>
                <w:szCs w:val="21"/>
              </w:rPr>
            </w:pPr>
            <w:r>
              <w:rPr>
                <w:rFonts w:hint="eastAsia" w:eastAsia="仿宋_GB2312"/>
                <w:color w:val="000000"/>
                <w:spacing w:val="-2"/>
                <w:kern w:val="0"/>
                <w:szCs w:val="21"/>
              </w:rPr>
              <w:t>被检查单位签字：</w:t>
            </w:r>
          </w:p>
        </w:tc>
        <w:tc>
          <w:tcPr>
            <w:tcW w:w="1081" w:type="dxa"/>
            <w:tcBorders>
              <w:top w:val="single" w:color="auto" w:sz="4" w:space="0"/>
              <w:left w:val="single" w:color="auto" w:sz="4" w:space="0"/>
              <w:bottom w:val="single" w:color="auto" w:sz="8" w:space="0"/>
              <w:right w:val="single" w:color="auto" w:sz="4" w:space="0"/>
            </w:tcBorders>
            <w:noWrap w:val="0"/>
            <w:vAlign w:val="center"/>
          </w:tcPr>
          <w:p>
            <w:pPr>
              <w:adjustRightInd w:val="0"/>
              <w:snapToGrid w:val="0"/>
              <w:spacing w:line="340" w:lineRule="exact"/>
              <w:jc w:val="center"/>
              <w:rPr>
                <w:rFonts w:eastAsia="仿宋_GB2312"/>
                <w:color w:val="000000"/>
                <w:spacing w:val="-2"/>
                <w:kern w:val="0"/>
                <w:szCs w:val="21"/>
              </w:rPr>
            </w:pPr>
            <w:r>
              <w:rPr>
                <w:rFonts w:hint="eastAsia" w:eastAsia="仿宋_GB2312"/>
                <w:color w:val="000000"/>
                <w:spacing w:val="-2"/>
                <w:kern w:val="0"/>
                <w:szCs w:val="21"/>
              </w:rPr>
              <w:t>得分扣分</w:t>
            </w:r>
          </w:p>
          <w:p>
            <w:pPr>
              <w:adjustRightInd w:val="0"/>
              <w:snapToGrid w:val="0"/>
              <w:spacing w:line="340" w:lineRule="exact"/>
              <w:jc w:val="center"/>
              <w:rPr>
                <w:rFonts w:eastAsia="仿宋_GB2312"/>
                <w:color w:val="000000"/>
                <w:spacing w:val="-2"/>
                <w:kern w:val="0"/>
                <w:szCs w:val="21"/>
              </w:rPr>
            </w:pPr>
            <w:r>
              <w:rPr>
                <w:rFonts w:hint="eastAsia" w:eastAsia="仿宋_GB2312"/>
                <w:color w:val="000000"/>
                <w:spacing w:val="-2"/>
                <w:kern w:val="0"/>
                <w:szCs w:val="21"/>
              </w:rPr>
              <w:t>情况</w:t>
            </w:r>
          </w:p>
        </w:tc>
        <w:tc>
          <w:tcPr>
            <w:tcW w:w="703" w:type="dxa"/>
            <w:tcBorders>
              <w:top w:val="single" w:color="auto" w:sz="4" w:space="0"/>
              <w:left w:val="single" w:color="auto" w:sz="4" w:space="0"/>
              <w:bottom w:val="single" w:color="auto" w:sz="8" w:space="0"/>
              <w:right w:val="single" w:color="auto" w:sz="4" w:space="0"/>
            </w:tcBorders>
            <w:noWrap w:val="0"/>
            <w:vAlign w:val="center"/>
          </w:tcPr>
          <w:p>
            <w:pPr>
              <w:adjustRightInd w:val="0"/>
              <w:snapToGrid w:val="0"/>
              <w:spacing w:line="340" w:lineRule="exact"/>
              <w:rPr>
                <w:rFonts w:eastAsia="仿宋_GB2312"/>
                <w:color w:val="000000"/>
                <w:spacing w:val="-2"/>
                <w:kern w:val="0"/>
                <w:szCs w:val="21"/>
              </w:rPr>
            </w:pPr>
            <w:r>
              <w:rPr>
                <w:rFonts w:hint="eastAsia" w:eastAsia="仿宋_GB2312"/>
                <w:color w:val="000000"/>
                <w:spacing w:val="-2"/>
                <w:kern w:val="0"/>
                <w:szCs w:val="21"/>
              </w:rPr>
              <w:t>　</w:t>
            </w:r>
          </w:p>
        </w:tc>
        <w:tc>
          <w:tcPr>
            <w:tcW w:w="704" w:type="dxa"/>
            <w:tcBorders>
              <w:top w:val="single" w:color="auto" w:sz="4" w:space="0"/>
              <w:left w:val="single" w:color="auto" w:sz="4" w:space="0"/>
              <w:bottom w:val="single" w:color="auto" w:sz="8" w:space="0"/>
              <w:right w:val="single" w:color="auto" w:sz="4" w:space="0"/>
            </w:tcBorders>
            <w:noWrap w:val="0"/>
            <w:vAlign w:val="center"/>
          </w:tcPr>
          <w:p>
            <w:pPr>
              <w:adjustRightInd w:val="0"/>
              <w:snapToGrid w:val="0"/>
              <w:spacing w:line="340" w:lineRule="exact"/>
              <w:rPr>
                <w:rFonts w:eastAsia="仿宋_GB2312"/>
                <w:color w:val="000000"/>
                <w:spacing w:val="-2"/>
                <w:kern w:val="0"/>
                <w:szCs w:val="21"/>
              </w:rPr>
            </w:pPr>
            <w:r>
              <w:rPr>
                <w:rFonts w:hint="eastAsia" w:eastAsia="仿宋_GB2312"/>
                <w:color w:val="000000"/>
                <w:spacing w:val="-2"/>
                <w:kern w:val="0"/>
                <w:szCs w:val="21"/>
              </w:rPr>
              <w:t>　</w:t>
            </w:r>
          </w:p>
        </w:tc>
        <w:tc>
          <w:tcPr>
            <w:tcW w:w="1080" w:type="dxa"/>
            <w:tcBorders>
              <w:top w:val="single" w:color="auto" w:sz="4" w:space="0"/>
              <w:left w:val="single" w:color="auto" w:sz="4" w:space="0"/>
              <w:bottom w:val="single" w:color="auto" w:sz="8" w:space="0"/>
              <w:right w:val="single" w:color="auto" w:sz="8" w:space="0"/>
            </w:tcBorders>
            <w:noWrap w:val="0"/>
            <w:vAlign w:val="center"/>
          </w:tcPr>
          <w:p>
            <w:pPr>
              <w:adjustRightInd w:val="0"/>
              <w:snapToGrid w:val="0"/>
              <w:spacing w:line="340" w:lineRule="exact"/>
              <w:rPr>
                <w:rFonts w:eastAsia="仿宋_GB2312"/>
                <w:color w:val="000000"/>
                <w:spacing w:val="-2"/>
                <w:kern w:val="0"/>
                <w:szCs w:val="21"/>
              </w:rPr>
            </w:pPr>
            <w:r>
              <w:rPr>
                <w:rFonts w:hint="eastAsia" w:eastAsia="仿宋_GB2312"/>
                <w:color w:val="000000"/>
                <w:spacing w:val="-2"/>
                <w:kern w:val="0"/>
                <w:szCs w:val="21"/>
              </w:rPr>
              <w:t>　</w:t>
            </w:r>
          </w:p>
        </w:tc>
      </w:tr>
    </w:tbl>
    <w:p>
      <w:pPr>
        <w:adjustRightInd w:val="0"/>
        <w:snapToGrid w:val="0"/>
        <w:spacing w:line="570" w:lineRule="exact"/>
        <w:jc w:val="center"/>
        <w:rPr>
          <w:rFonts w:hint="eastAsia" w:ascii="Times New Roman" w:hAnsi="Times New Roman" w:eastAsia="仿宋"/>
          <w:b/>
          <w:bCs/>
          <w:color w:val="000000"/>
          <w:spacing w:val="-2"/>
          <w:kern w:val="0"/>
          <w:sz w:val="32"/>
          <w:szCs w:val="32"/>
        </w:rPr>
      </w:pPr>
    </w:p>
    <w:p>
      <w:pPr>
        <w:pStyle w:val="7"/>
        <w:adjustRightInd w:val="0"/>
        <w:snapToGrid w:val="0"/>
        <w:spacing w:line="570" w:lineRule="exact"/>
        <w:jc w:val="center"/>
        <w:rPr>
          <w:rFonts w:hint="eastAsia" w:ascii="Times New Roman" w:hAnsi="Times New Roman" w:eastAsia="方正黑体_GBK"/>
          <w:bCs/>
          <w:color w:val="000000"/>
          <w:spacing w:val="-2"/>
          <w:sz w:val="28"/>
          <w:szCs w:val="28"/>
        </w:rPr>
      </w:pPr>
      <w:r>
        <w:rPr>
          <w:rFonts w:hint="eastAsia" w:ascii="Times New Roman" w:eastAsia="仿宋"/>
          <w:b/>
          <w:bCs/>
          <w:color w:val="000000"/>
          <w:spacing w:val="-2"/>
        </w:rPr>
        <w:br w:type="column"/>
      </w:r>
      <w:r>
        <w:rPr>
          <w:rFonts w:hint="eastAsia" w:ascii="Times New Roman" w:hAnsi="Times New Roman" w:eastAsia="方正黑体_GBK"/>
          <w:bCs/>
          <w:color w:val="000000"/>
          <w:spacing w:val="-2"/>
          <w:sz w:val="28"/>
          <w:szCs w:val="28"/>
        </w:rPr>
        <w:t>建筑市场综合考核用表之六（监理）</w:t>
      </w:r>
    </w:p>
    <w:p>
      <w:pPr>
        <w:adjustRightInd w:val="0"/>
        <w:snapToGrid w:val="0"/>
        <w:spacing w:line="570" w:lineRule="exact"/>
        <w:rPr>
          <w:rFonts w:hint="eastAsia" w:ascii="Times New Roman" w:hAnsi="Times New Roman" w:eastAsia="仿宋_GB2312"/>
          <w:bCs/>
          <w:color w:val="000000"/>
          <w:spacing w:val="-2"/>
          <w:kern w:val="0"/>
          <w:sz w:val="24"/>
        </w:rPr>
      </w:pPr>
      <w:r>
        <w:rPr>
          <w:rFonts w:hint="eastAsia" w:ascii="Times New Roman" w:hAnsi="Times New Roman" w:eastAsia="仿宋_GB2312"/>
          <w:color w:val="000000"/>
          <w:spacing w:val="-2"/>
          <w:kern w:val="0"/>
          <w:sz w:val="24"/>
        </w:rPr>
        <w:t>项目编号：</w:t>
      </w:r>
      <w:r>
        <w:rPr>
          <w:rFonts w:hint="eastAsia" w:ascii="Times New Roman" w:hAnsi="Times New Roman" w:eastAsia="仿宋_GB2312"/>
          <w:bCs/>
          <w:color w:val="000000"/>
          <w:spacing w:val="-2"/>
          <w:kern w:val="0"/>
          <w:sz w:val="24"/>
        </w:rPr>
        <w:t xml:space="preserve">                                </w:t>
      </w:r>
      <w:r>
        <w:rPr>
          <w:rFonts w:hint="eastAsia" w:ascii="Times New Roman" w:hAnsi="Times New Roman" w:eastAsia="仿宋_GB2312"/>
          <w:color w:val="000000"/>
          <w:spacing w:val="-2"/>
          <w:kern w:val="0"/>
          <w:sz w:val="24"/>
        </w:rPr>
        <w:t>检查日期：</w:t>
      </w: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0"/>
        <w:gridCol w:w="820"/>
        <w:gridCol w:w="230"/>
        <w:gridCol w:w="1785"/>
        <w:gridCol w:w="1785"/>
        <w:gridCol w:w="1396"/>
        <w:gridCol w:w="793"/>
        <w:gridCol w:w="794"/>
        <w:gridCol w:w="735"/>
        <w:gridCol w:w="76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6" w:hRule="atLeast"/>
          <w:tblHeader/>
          <w:jc w:val="center"/>
        </w:trPr>
        <w:tc>
          <w:tcPr>
            <w:tcW w:w="420" w:type="dxa"/>
            <w:tcBorders>
              <w:top w:val="single" w:color="auto" w:sz="8" w:space="0"/>
              <w:left w:val="single" w:color="auto" w:sz="8"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方正黑体_GBK"/>
                <w:color w:val="000000"/>
                <w:spacing w:val="-2"/>
                <w:kern w:val="0"/>
                <w:szCs w:val="21"/>
              </w:rPr>
            </w:pPr>
            <w:r>
              <w:rPr>
                <w:rFonts w:hint="eastAsia" w:ascii="Times New Roman" w:hAnsi="Times New Roman" w:eastAsia="方正黑体_GBK"/>
                <w:color w:val="000000"/>
                <w:spacing w:val="-2"/>
                <w:kern w:val="0"/>
                <w:szCs w:val="21"/>
              </w:rPr>
              <w:t>序号</w:t>
            </w:r>
          </w:p>
        </w:tc>
        <w:tc>
          <w:tcPr>
            <w:tcW w:w="820" w:type="dxa"/>
            <w:tcBorders>
              <w:top w:val="single" w:color="auto" w:sz="8"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方正黑体_GBK"/>
                <w:color w:val="000000"/>
                <w:spacing w:val="-2"/>
                <w:kern w:val="0"/>
                <w:szCs w:val="21"/>
              </w:rPr>
            </w:pPr>
            <w:r>
              <w:rPr>
                <w:rFonts w:hint="eastAsia" w:ascii="Times New Roman" w:hAnsi="Times New Roman" w:eastAsia="方正黑体_GBK"/>
                <w:color w:val="000000"/>
                <w:spacing w:val="-2"/>
                <w:kern w:val="0"/>
                <w:szCs w:val="21"/>
              </w:rPr>
              <w:t>检查</w:t>
            </w:r>
          </w:p>
          <w:p>
            <w:pPr>
              <w:adjustRightInd w:val="0"/>
              <w:snapToGrid w:val="0"/>
              <w:spacing w:line="240" w:lineRule="exact"/>
              <w:jc w:val="center"/>
              <w:rPr>
                <w:rFonts w:ascii="Times New Roman" w:hAnsi="Times New Roman" w:eastAsia="方正黑体_GBK"/>
                <w:color w:val="000000"/>
                <w:spacing w:val="-2"/>
                <w:kern w:val="0"/>
                <w:szCs w:val="21"/>
              </w:rPr>
            </w:pPr>
            <w:r>
              <w:rPr>
                <w:rFonts w:hint="eastAsia" w:ascii="Times New Roman" w:hAnsi="Times New Roman" w:eastAsia="方正黑体_GBK"/>
                <w:color w:val="000000"/>
                <w:spacing w:val="-2"/>
                <w:kern w:val="0"/>
                <w:szCs w:val="21"/>
              </w:rPr>
              <w:t>项目</w:t>
            </w:r>
          </w:p>
        </w:tc>
        <w:tc>
          <w:tcPr>
            <w:tcW w:w="5196" w:type="dxa"/>
            <w:gridSpan w:val="4"/>
            <w:tcBorders>
              <w:top w:val="single" w:color="auto" w:sz="8"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方正黑体_GBK"/>
                <w:color w:val="000000"/>
                <w:spacing w:val="-2"/>
                <w:kern w:val="0"/>
                <w:szCs w:val="21"/>
              </w:rPr>
            </w:pPr>
            <w:r>
              <w:rPr>
                <w:rFonts w:hint="eastAsia" w:ascii="Times New Roman" w:hAnsi="Times New Roman" w:eastAsia="方正黑体_GBK"/>
                <w:color w:val="000000"/>
                <w:spacing w:val="-2"/>
                <w:kern w:val="0"/>
                <w:szCs w:val="21"/>
              </w:rPr>
              <w:t>检查内容和分值分配</w:t>
            </w:r>
          </w:p>
        </w:tc>
        <w:tc>
          <w:tcPr>
            <w:tcW w:w="1587" w:type="dxa"/>
            <w:gridSpan w:val="2"/>
            <w:tcBorders>
              <w:top w:val="single" w:color="auto" w:sz="8"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方正黑体_GBK"/>
                <w:color w:val="000000"/>
                <w:spacing w:val="-2"/>
                <w:kern w:val="0"/>
                <w:szCs w:val="21"/>
              </w:rPr>
            </w:pPr>
            <w:r>
              <w:rPr>
                <w:rFonts w:hint="eastAsia" w:ascii="Times New Roman" w:hAnsi="Times New Roman" w:eastAsia="方正黑体_GBK"/>
                <w:color w:val="000000"/>
                <w:spacing w:val="-2"/>
                <w:kern w:val="0"/>
                <w:szCs w:val="21"/>
              </w:rPr>
              <w:t>扣分（对不符合规定的条款，扣除相应分值）</w:t>
            </w:r>
          </w:p>
        </w:tc>
        <w:tc>
          <w:tcPr>
            <w:tcW w:w="735" w:type="dxa"/>
            <w:tcBorders>
              <w:top w:val="single" w:color="auto" w:sz="8"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方正黑体_GBK"/>
                <w:color w:val="000000"/>
                <w:spacing w:val="-2"/>
                <w:kern w:val="0"/>
                <w:szCs w:val="21"/>
              </w:rPr>
            </w:pPr>
            <w:r>
              <w:rPr>
                <w:rFonts w:hint="eastAsia" w:ascii="Times New Roman" w:hAnsi="Times New Roman" w:eastAsia="方正黑体_GBK"/>
                <w:color w:val="000000"/>
                <w:spacing w:val="-2"/>
                <w:kern w:val="0"/>
                <w:szCs w:val="21"/>
              </w:rPr>
              <w:t>得分</w:t>
            </w:r>
          </w:p>
        </w:tc>
        <w:tc>
          <w:tcPr>
            <w:tcW w:w="766" w:type="dxa"/>
            <w:tcBorders>
              <w:top w:val="single" w:color="auto" w:sz="8" w:space="0"/>
              <w:left w:val="single" w:color="auto" w:sz="4" w:space="0"/>
              <w:bottom w:val="single" w:color="auto" w:sz="4" w:space="0"/>
              <w:right w:val="single" w:color="auto" w:sz="8" w:space="0"/>
            </w:tcBorders>
            <w:noWrap w:val="0"/>
            <w:vAlign w:val="center"/>
          </w:tcPr>
          <w:p>
            <w:pPr>
              <w:adjustRightInd w:val="0"/>
              <w:snapToGrid w:val="0"/>
              <w:spacing w:line="240" w:lineRule="exact"/>
              <w:jc w:val="center"/>
              <w:rPr>
                <w:rFonts w:ascii="Times New Roman" w:hAnsi="Times New Roman" w:eastAsia="方正黑体_GBK"/>
                <w:color w:val="000000"/>
                <w:spacing w:val="-2"/>
                <w:kern w:val="0"/>
                <w:szCs w:val="21"/>
              </w:rPr>
            </w:pPr>
            <w:r>
              <w:rPr>
                <w:rFonts w:hint="eastAsia" w:ascii="Times New Roman" w:hAnsi="Times New Roman" w:eastAsia="方正黑体_GBK"/>
                <w:color w:val="000000"/>
                <w:spacing w:val="-2"/>
                <w:kern w:val="0"/>
                <w:szCs w:val="21"/>
              </w:rPr>
              <w:t>扣分</w:t>
            </w:r>
          </w:p>
          <w:p>
            <w:pPr>
              <w:adjustRightInd w:val="0"/>
              <w:snapToGrid w:val="0"/>
              <w:spacing w:line="240" w:lineRule="exact"/>
              <w:jc w:val="center"/>
              <w:rPr>
                <w:rFonts w:ascii="Times New Roman" w:hAnsi="Times New Roman" w:eastAsia="方正黑体_GBK"/>
                <w:color w:val="000000"/>
                <w:spacing w:val="-2"/>
                <w:kern w:val="0"/>
                <w:szCs w:val="21"/>
              </w:rPr>
            </w:pPr>
            <w:r>
              <w:rPr>
                <w:rFonts w:hint="eastAsia" w:ascii="Times New Roman" w:hAnsi="Times New Roman" w:eastAsia="方正黑体_GBK"/>
                <w:color w:val="000000"/>
                <w:spacing w:val="-2"/>
                <w:kern w:val="0"/>
                <w:szCs w:val="21"/>
              </w:rPr>
              <w:t>原因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420" w:type="dxa"/>
            <w:vMerge w:val="restart"/>
            <w:tcBorders>
              <w:top w:val="single" w:color="auto" w:sz="4" w:space="0"/>
              <w:left w:val="single" w:color="auto" w:sz="8"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一</w:t>
            </w:r>
          </w:p>
        </w:tc>
        <w:tc>
          <w:tcPr>
            <w:tcW w:w="820"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现场监理人员和监理机构管理（25分）</w:t>
            </w:r>
          </w:p>
        </w:tc>
        <w:tc>
          <w:tcPr>
            <w:tcW w:w="5196" w:type="dxa"/>
            <w:gridSpan w:val="4"/>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1.监理规划的编制、审核等均应符合监理规范规定，并严格执行（2分）。</w:t>
            </w:r>
          </w:p>
        </w:tc>
        <w:tc>
          <w:tcPr>
            <w:tcW w:w="1587"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766"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5196" w:type="dxa"/>
            <w:gridSpan w:val="4"/>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2.监理实施细则的编制、审核等应符合监理规范规定，并严格执行（2分）。</w:t>
            </w:r>
          </w:p>
        </w:tc>
        <w:tc>
          <w:tcPr>
            <w:tcW w:w="1587"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766"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5196" w:type="dxa"/>
            <w:gridSpan w:val="4"/>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3.项目监理部的监理工作制度、工作流程等应制成图牌上墙，内容完整（1分）；办公环境整洁（1分）。</w:t>
            </w:r>
          </w:p>
        </w:tc>
        <w:tc>
          <w:tcPr>
            <w:tcW w:w="1587"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766"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4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5196" w:type="dxa"/>
            <w:gridSpan w:val="4"/>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4.中标总监应按要求到岗（3分）；变更时手续必须完整（1分）（无变更时总分为4分）。</w:t>
            </w:r>
          </w:p>
        </w:tc>
        <w:tc>
          <w:tcPr>
            <w:tcW w:w="1587"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766"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5196" w:type="dxa"/>
            <w:gridSpan w:val="4"/>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5. 现场监理人员应按要求到岗（2分）；人员变更时手续必须完整（1分）。</w:t>
            </w:r>
          </w:p>
        </w:tc>
        <w:tc>
          <w:tcPr>
            <w:tcW w:w="1587"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766"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4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5196" w:type="dxa"/>
            <w:gridSpan w:val="4"/>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6.正确使用《江苏省建设工程施工阶段监理现场用表》的有效版本（2分），监理资料真实、完整、准确（1分）。</w:t>
            </w:r>
          </w:p>
        </w:tc>
        <w:tc>
          <w:tcPr>
            <w:tcW w:w="1587"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766"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4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5196" w:type="dxa"/>
            <w:gridSpan w:val="4"/>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7.监理日记记录的内容归类正确、完整、连续（1分）；总监及时审阅和签名（1分）。</w:t>
            </w:r>
          </w:p>
        </w:tc>
        <w:tc>
          <w:tcPr>
            <w:tcW w:w="1587"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766"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4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5196" w:type="dxa"/>
            <w:gridSpan w:val="4"/>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8.项目监理部应按监理规范的要求对分包单位资格进行审查（2分）。</w:t>
            </w:r>
          </w:p>
        </w:tc>
        <w:tc>
          <w:tcPr>
            <w:tcW w:w="1587"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766"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4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5196" w:type="dxa"/>
            <w:gridSpan w:val="4"/>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9.按规定编制监理月报，内容齐全（3分）。</w:t>
            </w:r>
          </w:p>
        </w:tc>
        <w:tc>
          <w:tcPr>
            <w:tcW w:w="1587"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766"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4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5196" w:type="dxa"/>
            <w:gridSpan w:val="4"/>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10.对建设、施工单位违规行为应提出监理书面意见，并按规定上报（2分）。</w:t>
            </w:r>
          </w:p>
        </w:tc>
        <w:tc>
          <w:tcPr>
            <w:tcW w:w="1587"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766"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20" w:type="dxa"/>
            <w:vMerge w:val="restart"/>
            <w:tcBorders>
              <w:top w:val="single" w:color="auto" w:sz="4" w:space="0"/>
              <w:left w:val="single" w:color="auto" w:sz="8"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二</w:t>
            </w:r>
          </w:p>
        </w:tc>
        <w:tc>
          <w:tcPr>
            <w:tcW w:w="820"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质量控制（35分）</w:t>
            </w:r>
          </w:p>
        </w:tc>
        <w:tc>
          <w:tcPr>
            <w:tcW w:w="5196" w:type="dxa"/>
            <w:gridSpan w:val="4"/>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1.应结合工程特点编制巡视、旁站和平行检查方案，并分别做好书面记录（2分）。</w:t>
            </w:r>
          </w:p>
        </w:tc>
        <w:tc>
          <w:tcPr>
            <w:tcW w:w="1587"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766"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4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5196" w:type="dxa"/>
            <w:gridSpan w:val="4"/>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2.按规定时限对施工组织设计提出完整的审核意见，并严格督促施工单位执行（2分）。</w:t>
            </w:r>
          </w:p>
        </w:tc>
        <w:tc>
          <w:tcPr>
            <w:tcW w:w="1587"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766"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4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5196" w:type="dxa"/>
            <w:gridSpan w:val="4"/>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3.工程材料、构配件和设备进场应按规定报验（1分）；不得将不合格或未经复试合格的材料、构配件、设备按合格同意使用（3分）。</w:t>
            </w:r>
          </w:p>
        </w:tc>
        <w:tc>
          <w:tcPr>
            <w:tcW w:w="1587"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766"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5196" w:type="dxa"/>
            <w:gridSpan w:val="4"/>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4.严格执行检测见证取样制度，不得弄虚作假（2分）。</w:t>
            </w:r>
          </w:p>
        </w:tc>
        <w:tc>
          <w:tcPr>
            <w:tcW w:w="1587"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766"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5196" w:type="dxa"/>
            <w:gridSpan w:val="4"/>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5.按规定参加设计交底及图纸会审（2分）。</w:t>
            </w:r>
          </w:p>
        </w:tc>
        <w:tc>
          <w:tcPr>
            <w:tcW w:w="1587"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766"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5196" w:type="dxa"/>
            <w:gridSpan w:val="4"/>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6.对检验批（分项工程）的验收应按规范规定进行（3分）。</w:t>
            </w:r>
          </w:p>
        </w:tc>
        <w:tc>
          <w:tcPr>
            <w:tcW w:w="1587"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766"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4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5196" w:type="dxa"/>
            <w:gridSpan w:val="4"/>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7.严格按规定进行工序把关，上道工序未经验收合格不得进入下道工序施工（2分）。</w:t>
            </w:r>
          </w:p>
        </w:tc>
        <w:tc>
          <w:tcPr>
            <w:tcW w:w="1587"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766"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5196" w:type="dxa"/>
            <w:gridSpan w:val="4"/>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8.工程变更符合监理规范要求（2分）；涉及重大设计变更内容的应督促审图（1分）。</w:t>
            </w:r>
          </w:p>
        </w:tc>
        <w:tc>
          <w:tcPr>
            <w:tcW w:w="1587"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766"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4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5196" w:type="dxa"/>
            <w:gridSpan w:val="4"/>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9.现场工程质量状况与监理资料记录一致（3分）；现场实体观感质量：优（8—12分），中（4—8分），差（0—4分）。</w:t>
            </w:r>
          </w:p>
        </w:tc>
        <w:tc>
          <w:tcPr>
            <w:tcW w:w="1587"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766"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420" w:type="dxa"/>
            <w:vMerge w:val="restart"/>
            <w:tcBorders>
              <w:top w:val="single" w:color="auto" w:sz="4" w:space="0"/>
              <w:left w:val="single" w:color="auto" w:sz="8"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三</w:t>
            </w:r>
          </w:p>
        </w:tc>
        <w:tc>
          <w:tcPr>
            <w:tcW w:w="820"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安全生产（35分）</w:t>
            </w:r>
          </w:p>
        </w:tc>
        <w:tc>
          <w:tcPr>
            <w:tcW w:w="5196" w:type="dxa"/>
            <w:gridSpan w:val="4"/>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1.按规定编制安全监理方案并严格执行（3分）。</w:t>
            </w:r>
          </w:p>
        </w:tc>
        <w:tc>
          <w:tcPr>
            <w:tcW w:w="1587"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766"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4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5196" w:type="dxa"/>
            <w:gridSpan w:val="4"/>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2.按规定审查危险性较大的分部分项工程的专项施工方案或超过一定规模的危险性较大分部分项工程经过专家论证的专项施工方案（2分）。</w:t>
            </w:r>
          </w:p>
        </w:tc>
        <w:tc>
          <w:tcPr>
            <w:tcW w:w="1587"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766"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4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5196" w:type="dxa"/>
            <w:gridSpan w:val="4"/>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3.危险性较大的分部分项工程或超过一定规模的危险性较大的分部分项工程应按规定单独编制安全监理实施细则（2分）。</w:t>
            </w:r>
          </w:p>
        </w:tc>
        <w:tc>
          <w:tcPr>
            <w:tcW w:w="1587"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766"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4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5196" w:type="dxa"/>
            <w:gridSpan w:val="4"/>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4.按规定审核施工现场三类人员及特种作业人员上岗证和资格证（2分）。</w:t>
            </w:r>
          </w:p>
        </w:tc>
        <w:tc>
          <w:tcPr>
            <w:tcW w:w="1587"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766"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4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5196" w:type="dxa"/>
            <w:gridSpan w:val="4"/>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5.按规定审查施工机械和设备的验收手续（2分）。</w:t>
            </w:r>
          </w:p>
        </w:tc>
        <w:tc>
          <w:tcPr>
            <w:tcW w:w="1587"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766"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4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5196" w:type="dxa"/>
            <w:gridSpan w:val="4"/>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6.应定期进行安全生产和文明施工检查（2分）；发现安全隐患，应及时发出监理工程师通知单（2分）；对施工企业拒不整改的，应按规定上报（3分）。</w:t>
            </w:r>
          </w:p>
        </w:tc>
        <w:tc>
          <w:tcPr>
            <w:tcW w:w="1587"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766"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4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5196" w:type="dxa"/>
            <w:gridSpan w:val="4"/>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7.按规定审查分包单位的安全生产责任制、各种规章制度建立情况，并有检查记录（2分）。</w:t>
            </w:r>
          </w:p>
        </w:tc>
        <w:tc>
          <w:tcPr>
            <w:tcW w:w="1587"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766"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42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5196" w:type="dxa"/>
            <w:gridSpan w:val="4"/>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8.现场的安全文明施工状况与监理资料记录一致（3分）；现场安全文明施工，优（8—12分），中（4—8分），差（0—4分）。</w:t>
            </w:r>
          </w:p>
        </w:tc>
        <w:tc>
          <w:tcPr>
            <w:tcW w:w="1587"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766"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8" w:hRule="atLeast"/>
          <w:jc w:val="center"/>
        </w:trPr>
        <w:tc>
          <w:tcPr>
            <w:tcW w:w="420" w:type="dxa"/>
            <w:tcBorders>
              <w:top w:val="single" w:color="auto" w:sz="4" w:space="0"/>
              <w:left w:val="single" w:color="auto" w:sz="8"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四</w:t>
            </w:r>
          </w:p>
        </w:tc>
        <w:tc>
          <w:tcPr>
            <w:tcW w:w="82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进度控制（2.5分）</w:t>
            </w:r>
          </w:p>
        </w:tc>
        <w:tc>
          <w:tcPr>
            <w:tcW w:w="5196" w:type="dxa"/>
            <w:gridSpan w:val="4"/>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1. 按规定审核施工阶段进度计划，对不符合总进度要求的，督促施工单位采取有效措施（2.5分）。</w:t>
            </w:r>
          </w:p>
        </w:tc>
        <w:tc>
          <w:tcPr>
            <w:tcW w:w="1587"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766"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9" w:hRule="atLeast"/>
          <w:jc w:val="center"/>
        </w:trPr>
        <w:tc>
          <w:tcPr>
            <w:tcW w:w="420" w:type="dxa"/>
            <w:tcBorders>
              <w:top w:val="single" w:color="auto" w:sz="4" w:space="0"/>
              <w:left w:val="single" w:color="auto" w:sz="8"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五</w:t>
            </w:r>
          </w:p>
        </w:tc>
        <w:tc>
          <w:tcPr>
            <w:tcW w:w="82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造价控制（2.5分）</w:t>
            </w:r>
          </w:p>
        </w:tc>
        <w:tc>
          <w:tcPr>
            <w:tcW w:w="5196" w:type="dxa"/>
            <w:gridSpan w:val="4"/>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1.按施工合同约定，进行工程计量支付监管（2.5分）。</w:t>
            </w:r>
          </w:p>
        </w:tc>
        <w:tc>
          <w:tcPr>
            <w:tcW w:w="1587"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766" w:type="dxa"/>
            <w:tcBorders>
              <w:top w:val="single" w:color="auto" w:sz="4" w:space="0"/>
              <w:left w:val="single" w:color="auto" w:sz="4" w:space="0"/>
              <w:bottom w:val="single" w:color="auto" w:sz="4" w:space="0"/>
              <w:right w:val="single" w:color="auto" w:sz="8"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1470" w:type="dxa"/>
            <w:gridSpan w:val="3"/>
            <w:tcBorders>
              <w:top w:val="single" w:color="auto" w:sz="4" w:space="0"/>
              <w:left w:val="single" w:color="auto" w:sz="8"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检查人签字</w:t>
            </w:r>
          </w:p>
        </w:tc>
        <w:tc>
          <w:tcPr>
            <w:tcW w:w="178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178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被检查单位签字</w:t>
            </w:r>
          </w:p>
        </w:tc>
        <w:tc>
          <w:tcPr>
            <w:tcW w:w="139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793" w:type="dxa"/>
            <w:vMerge w:val="restart"/>
            <w:tcBorders>
              <w:top w:val="single" w:color="auto" w:sz="4" w:space="0"/>
              <w:left w:val="single" w:color="auto" w:sz="4" w:space="0"/>
              <w:bottom w:val="single" w:color="auto" w:sz="8"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扣分</w:t>
            </w:r>
          </w:p>
          <w:p>
            <w:pPr>
              <w:adjustRightInd w:val="0"/>
              <w:snapToGrid w:val="0"/>
              <w:spacing w:line="240" w:lineRule="exact"/>
              <w:jc w:val="center"/>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情况</w:t>
            </w:r>
          </w:p>
        </w:tc>
        <w:tc>
          <w:tcPr>
            <w:tcW w:w="794" w:type="dxa"/>
            <w:vMerge w:val="restart"/>
            <w:tcBorders>
              <w:top w:val="single" w:color="auto" w:sz="4" w:space="0"/>
              <w:left w:val="single" w:color="auto" w:sz="4" w:space="0"/>
              <w:bottom w:val="single" w:color="auto" w:sz="8" w:space="0"/>
              <w:right w:val="single" w:color="auto" w:sz="4"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p>
        </w:tc>
        <w:tc>
          <w:tcPr>
            <w:tcW w:w="735" w:type="dxa"/>
            <w:vMerge w:val="restart"/>
            <w:tcBorders>
              <w:top w:val="single" w:color="auto" w:sz="4" w:space="0"/>
              <w:left w:val="single" w:color="auto" w:sz="4" w:space="0"/>
              <w:bottom w:val="single" w:color="auto" w:sz="8"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得分</w:t>
            </w:r>
          </w:p>
          <w:p>
            <w:pPr>
              <w:adjustRightInd w:val="0"/>
              <w:snapToGrid w:val="0"/>
              <w:spacing w:line="240" w:lineRule="exact"/>
              <w:jc w:val="center"/>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情况</w:t>
            </w:r>
          </w:p>
        </w:tc>
        <w:tc>
          <w:tcPr>
            <w:tcW w:w="766" w:type="dxa"/>
            <w:vMerge w:val="restart"/>
            <w:tcBorders>
              <w:top w:val="single" w:color="auto" w:sz="4" w:space="0"/>
              <w:left w:val="single" w:color="auto" w:sz="4" w:space="0"/>
              <w:bottom w:val="single" w:color="auto" w:sz="8" w:space="0"/>
              <w:right w:val="single" w:color="auto" w:sz="8" w:space="0"/>
            </w:tcBorders>
            <w:noWrap w:val="0"/>
            <w:vAlign w:val="center"/>
          </w:tcPr>
          <w:p>
            <w:pPr>
              <w:adjustRightInd w:val="0"/>
              <w:snapToGrid w:val="0"/>
              <w:spacing w:line="240" w:lineRule="exact"/>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1470" w:type="dxa"/>
            <w:gridSpan w:val="3"/>
            <w:tcBorders>
              <w:top w:val="single" w:color="auto" w:sz="4" w:space="0"/>
              <w:left w:val="single" w:color="auto" w:sz="8" w:space="0"/>
              <w:bottom w:val="single" w:color="auto" w:sz="8"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联系电话</w:t>
            </w:r>
          </w:p>
        </w:tc>
        <w:tc>
          <w:tcPr>
            <w:tcW w:w="1785" w:type="dxa"/>
            <w:tcBorders>
              <w:top w:val="single" w:color="auto" w:sz="4" w:space="0"/>
              <w:left w:val="single" w:color="auto" w:sz="4" w:space="0"/>
              <w:bottom w:val="single" w:color="auto" w:sz="8"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1785" w:type="dxa"/>
            <w:tcBorders>
              <w:top w:val="single" w:color="auto" w:sz="4" w:space="0"/>
              <w:left w:val="single" w:color="auto" w:sz="4" w:space="0"/>
              <w:bottom w:val="single" w:color="auto" w:sz="8"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r>
              <w:rPr>
                <w:rFonts w:hint="eastAsia" w:ascii="Times New Roman" w:hAnsi="Times New Roman" w:eastAsia="仿宋_GB2312"/>
                <w:color w:val="000000"/>
                <w:spacing w:val="-2"/>
                <w:kern w:val="0"/>
                <w:szCs w:val="21"/>
              </w:rPr>
              <w:t>联系电话</w:t>
            </w:r>
          </w:p>
        </w:tc>
        <w:tc>
          <w:tcPr>
            <w:tcW w:w="1396" w:type="dxa"/>
            <w:tcBorders>
              <w:top w:val="single" w:color="auto" w:sz="4" w:space="0"/>
              <w:left w:val="single" w:color="auto" w:sz="4" w:space="0"/>
              <w:bottom w:val="single" w:color="auto" w:sz="8" w:space="0"/>
              <w:right w:val="single" w:color="auto" w:sz="4" w:space="0"/>
            </w:tcBorders>
            <w:noWrap w:val="0"/>
            <w:vAlign w:val="center"/>
          </w:tcPr>
          <w:p>
            <w:pPr>
              <w:adjustRightInd w:val="0"/>
              <w:snapToGrid w:val="0"/>
              <w:spacing w:line="240" w:lineRule="exact"/>
              <w:jc w:val="center"/>
              <w:rPr>
                <w:rFonts w:ascii="Times New Roman" w:hAnsi="Times New Roman" w:eastAsia="仿宋_GB2312"/>
                <w:color w:val="000000"/>
                <w:spacing w:val="-2"/>
                <w:kern w:val="0"/>
                <w:szCs w:val="21"/>
              </w:rPr>
            </w:pPr>
          </w:p>
        </w:tc>
        <w:tc>
          <w:tcPr>
            <w:tcW w:w="793" w:type="dxa"/>
            <w:vMerge w:val="continue"/>
            <w:tcBorders>
              <w:top w:val="single" w:color="auto" w:sz="4" w:space="0"/>
              <w:left w:val="single" w:color="auto" w:sz="4" w:space="0"/>
              <w:bottom w:val="single" w:color="auto" w:sz="8"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794" w:type="dxa"/>
            <w:vMerge w:val="continue"/>
            <w:tcBorders>
              <w:top w:val="single" w:color="auto" w:sz="4" w:space="0"/>
              <w:left w:val="single" w:color="auto" w:sz="4" w:space="0"/>
              <w:bottom w:val="single" w:color="auto" w:sz="8"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735" w:type="dxa"/>
            <w:vMerge w:val="continue"/>
            <w:tcBorders>
              <w:top w:val="single" w:color="auto" w:sz="4" w:space="0"/>
              <w:left w:val="single" w:color="auto" w:sz="4" w:space="0"/>
              <w:bottom w:val="single" w:color="auto" w:sz="8" w:space="0"/>
              <w:right w:val="single" w:color="auto" w:sz="4" w:space="0"/>
            </w:tcBorders>
            <w:noWrap w:val="0"/>
            <w:vAlign w:val="center"/>
          </w:tcPr>
          <w:p>
            <w:pPr>
              <w:widowControl/>
              <w:jc w:val="left"/>
              <w:rPr>
                <w:rFonts w:ascii="Times New Roman" w:hAnsi="Times New Roman" w:eastAsia="仿宋_GB2312"/>
                <w:color w:val="000000"/>
                <w:spacing w:val="-2"/>
                <w:kern w:val="0"/>
                <w:szCs w:val="21"/>
              </w:rPr>
            </w:pPr>
          </w:p>
        </w:tc>
        <w:tc>
          <w:tcPr>
            <w:tcW w:w="766" w:type="dxa"/>
            <w:vMerge w:val="continue"/>
            <w:tcBorders>
              <w:top w:val="single" w:color="auto" w:sz="4" w:space="0"/>
              <w:left w:val="single" w:color="auto" w:sz="4" w:space="0"/>
              <w:bottom w:val="single" w:color="auto" w:sz="8" w:space="0"/>
              <w:right w:val="single" w:color="auto" w:sz="8" w:space="0"/>
            </w:tcBorders>
            <w:noWrap w:val="0"/>
            <w:vAlign w:val="center"/>
          </w:tcPr>
          <w:p>
            <w:pPr>
              <w:widowControl/>
              <w:jc w:val="left"/>
              <w:rPr>
                <w:rFonts w:ascii="Times New Roman" w:hAnsi="Times New Roman" w:eastAsia="仿宋_GB2312"/>
                <w:color w:val="000000"/>
                <w:spacing w:val="-2"/>
                <w:kern w:val="0"/>
                <w:szCs w:val="21"/>
              </w:rPr>
            </w:pPr>
          </w:p>
        </w:tc>
      </w:tr>
    </w:tbl>
    <w:p>
      <w:pPr>
        <w:adjustRightInd w:val="0"/>
        <w:snapToGrid w:val="0"/>
        <w:spacing w:line="570" w:lineRule="exact"/>
        <w:rPr>
          <w:rFonts w:hint="eastAsia" w:ascii="Times New Roman" w:hAnsi="Times New Roman" w:eastAsia="仿宋"/>
          <w:color w:val="000000"/>
          <w:spacing w:val="-2"/>
        </w:rPr>
      </w:pPr>
    </w:p>
    <w:p>
      <w:pPr>
        <w:widowControl/>
        <w:spacing w:beforeAutospacing="1" w:afterAutospacing="1"/>
        <w:jc w:val="left"/>
        <w:rPr>
          <w:rFonts w:ascii="Times New Roman" w:hAnsi="Times New Roman" w:eastAsia="仿宋"/>
          <w:color w:val="000000"/>
          <w:spacing w:val="-2"/>
          <w:kern w:val="0"/>
          <w:sz w:val="20"/>
        </w:rPr>
        <w:sectPr>
          <w:pgSz w:w="11906" w:h="16838"/>
          <w:pgMar w:top="1701" w:right="1588" w:bottom="1701" w:left="1588" w:header="851" w:footer="1361" w:gutter="0"/>
          <w:cols w:space="720" w:num="1"/>
        </w:sectPr>
      </w:pPr>
    </w:p>
    <w:p>
      <w:pPr>
        <w:pStyle w:val="7"/>
        <w:adjustRightInd w:val="0"/>
        <w:snapToGrid w:val="0"/>
        <w:spacing w:after="0" w:line="460" w:lineRule="exact"/>
        <w:ind w:left="0" w:leftChars="0" w:firstLine="472" w:firstLineChars="200"/>
        <w:rPr>
          <w:rFonts w:hint="eastAsia" w:eastAsia="方正仿宋_GBK"/>
          <w:color w:val="000000"/>
          <w:spacing w:val="-2"/>
          <w:sz w:val="24"/>
        </w:rPr>
      </w:pPr>
      <w:r>
        <w:rPr>
          <w:rFonts w:hint="eastAsia" w:eastAsia="方正仿宋_GBK"/>
          <w:color w:val="000000"/>
          <w:spacing w:val="-2"/>
          <w:sz w:val="24"/>
        </w:rPr>
        <w:t>三、在建筑市场综合考核中，建筑业企业的工程项目得分按照下列方法计算：</w:t>
      </w:r>
    </w:p>
    <w:p>
      <w:pPr>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无专业分包工程的总承包建筑业企业得分</w:t>
      </w:r>
      <w:r>
        <w:rPr>
          <w:rFonts w:eastAsia="方正仿宋_GBK"/>
          <w:color w:val="000000"/>
          <w:spacing w:val="-2"/>
          <w:kern w:val="0"/>
          <w:sz w:val="24"/>
        </w:rPr>
        <w:t xml:space="preserve"> = </w:t>
      </w:r>
      <w:r>
        <w:rPr>
          <w:rFonts w:hint="eastAsia" w:eastAsia="方正仿宋_GBK"/>
          <w:color w:val="000000"/>
          <w:spacing w:val="-2"/>
          <w:kern w:val="0"/>
          <w:sz w:val="24"/>
        </w:rPr>
        <w:t>表三</w:t>
      </w:r>
      <w:r>
        <w:rPr>
          <w:rFonts w:eastAsia="方正仿宋_GBK"/>
          <w:color w:val="000000"/>
          <w:spacing w:val="-2"/>
          <w:kern w:val="0"/>
          <w:sz w:val="24"/>
        </w:rPr>
        <w:t>(</w:t>
      </w:r>
      <w:r>
        <w:rPr>
          <w:rFonts w:hint="eastAsia" w:eastAsia="方正仿宋_GBK"/>
          <w:color w:val="000000"/>
          <w:spacing w:val="-2"/>
          <w:kern w:val="0"/>
          <w:sz w:val="24"/>
        </w:rPr>
        <w:t>项目综合情况</w:t>
      </w:r>
      <w:r>
        <w:rPr>
          <w:rFonts w:eastAsia="方正仿宋_GBK"/>
          <w:color w:val="000000"/>
          <w:spacing w:val="-2"/>
          <w:kern w:val="0"/>
          <w:sz w:val="24"/>
        </w:rPr>
        <w:t>)×30%+</w:t>
      </w:r>
      <w:r>
        <w:rPr>
          <w:rFonts w:hint="eastAsia" w:eastAsia="方正仿宋_GBK"/>
          <w:color w:val="000000"/>
          <w:spacing w:val="-2"/>
          <w:kern w:val="0"/>
          <w:sz w:val="24"/>
        </w:rPr>
        <w:t>表四（二）</w:t>
      </w:r>
      <w:r>
        <w:rPr>
          <w:rFonts w:eastAsia="方正仿宋_GBK"/>
          <w:color w:val="000000"/>
          <w:spacing w:val="-2"/>
          <w:kern w:val="0"/>
          <w:sz w:val="24"/>
        </w:rPr>
        <w:t>×20%+</w:t>
      </w:r>
      <w:r>
        <w:rPr>
          <w:rFonts w:hint="eastAsia" w:eastAsia="方正仿宋_GBK"/>
          <w:color w:val="000000"/>
          <w:spacing w:val="-2"/>
          <w:kern w:val="0"/>
          <w:sz w:val="24"/>
        </w:rPr>
        <w:t>表五（二）</w:t>
      </w:r>
      <w:r>
        <w:rPr>
          <w:rFonts w:eastAsia="方正仿宋_GBK"/>
          <w:color w:val="000000"/>
          <w:spacing w:val="-2"/>
          <w:kern w:val="0"/>
          <w:sz w:val="24"/>
        </w:rPr>
        <w:t>×20%+</w:t>
      </w:r>
      <w:r>
        <w:rPr>
          <w:rFonts w:hint="eastAsia" w:eastAsia="方正仿宋_GBK"/>
          <w:color w:val="000000"/>
          <w:spacing w:val="-2"/>
          <w:kern w:val="0"/>
          <w:sz w:val="24"/>
        </w:rPr>
        <w:t>表四（三）</w:t>
      </w:r>
      <w:r>
        <w:rPr>
          <w:rFonts w:eastAsia="方正仿宋_GBK"/>
          <w:color w:val="000000"/>
          <w:spacing w:val="-2"/>
          <w:kern w:val="0"/>
          <w:sz w:val="24"/>
        </w:rPr>
        <w:t>×15%+</w:t>
      </w:r>
      <w:r>
        <w:rPr>
          <w:rFonts w:hint="eastAsia" w:eastAsia="方正仿宋_GBK"/>
          <w:color w:val="000000"/>
          <w:spacing w:val="-2"/>
          <w:kern w:val="0"/>
          <w:sz w:val="24"/>
        </w:rPr>
        <w:t>表五（三）</w:t>
      </w:r>
      <w:r>
        <w:rPr>
          <w:rFonts w:eastAsia="方正仿宋_GBK"/>
          <w:color w:val="000000"/>
          <w:spacing w:val="-2"/>
          <w:kern w:val="0"/>
          <w:sz w:val="24"/>
        </w:rPr>
        <w:t>×15%</w:t>
      </w:r>
    </w:p>
    <w:p>
      <w:pPr>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有专业分包工程的总承包建筑业企业得分</w:t>
      </w:r>
      <w:r>
        <w:rPr>
          <w:rFonts w:eastAsia="方正仿宋_GBK"/>
          <w:color w:val="000000"/>
          <w:spacing w:val="-2"/>
          <w:kern w:val="0"/>
          <w:sz w:val="24"/>
        </w:rPr>
        <w:t xml:space="preserve"> = </w:t>
      </w:r>
      <w:r>
        <w:rPr>
          <w:rFonts w:hint="eastAsia" w:eastAsia="方正仿宋_GBK"/>
          <w:color w:val="000000"/>
          <w:spacing w:val="-2"/>
          <w:kern w:val="0"/>
          <w:sz w:val="24"/>
        </w:rPr>
        <w:t>表三</w:t>
      </w:r>
      <w:r>
        <w:rPr>
          <w:rFonts w:eastAsia="方正仿宋_GBK"/>
          <w:color w:val="000000"/>
          <w:spacing w:val="-2"/>
          <w:kern w:val="0"/>
          <w:sz w:val="24"/>
        </w:rPr>
        <w:t>(</w:t>
      </w:r>
      <w:r>
        <w:rPr>
          <w:rFonts w:hint="eastAsia" w:eastAsia="方正仿宋_GBK"/>
          <w:color w:val="000000"/>
          <w:spacing w:val="-2"/>
          <w:kern w:val="0"/>
          <w:sz w:val="24"/>
        </w:rPr>
        <w:t>项目综合情况</w:t>
      </w:r>
      <w:r>
        <w:rPr>
          <w:rFonts w:eastAsia="方正仿宋_GBK"/>
          <w:color w:val="000000"/>
          <w:spacing w:val="-2"/>
          <w:kern w:val="0"/>
          <w:sz w:val="24"/>
        </w:rPr>
        <w:t>)×20%+</w:t>
      </w:r>
      <w:r>
        <w:rPr>
          <w:rFonts w:hint="eastAsia" w:eastAsia="方正仿宋_GBK"/>
          <w:color w:val="000000"/>
          <w:spacing w:val="-2"/>
          <w:kern w:val="0"/>
          <w:sz w:val="24"/>
        </w:rPr>
        <w:t>表四</w:t>
      </w:r>
      <w:r>
        <w:rPr>
          <w:rFonts w:eastAsia="方正仿宋_GBK"/>
          <w:color w:val="000000"/>
          <w:spacing w:val="-2"/>
          <w:kern w:val="0"/>
          <w:sz w:val="24"/>
        </w:rPr>
        <w:t>(</w:t>
      </w:r>
      <w:r>
        <w:rPr>
          <w:rFonts w:hint="eastAsia" w:eastAsia="方正仿宋_GBK"/>
          <w:color w:val="000000"/>
          <w:spacing w:val="-2"/>
          <w:kern w:val="0"/>
          <w:sz w:val="24"/>
        </w:rPr>
        <w:t>二</w:t>
      </w:r>
      <w:r>
        <w:rPr>
          <w:rFonts w:eastAsia="方正仿宋_GBK"/>
          <w:color w:val="000000"/>
          <w:spacing w:val="-2"/>
          <w:kern w:val="0"/>
          <w:sz w:val="24"/>
        </w:rPr>
        <w:t>)×15%+</w:t>
      </w:r>
      <w:r>
        <w:rPr>
          <w:rFonts w:hint="eastAsia" w:eastAsia="方正仿宋_GBK"/>
          <w:color w:val="000000"/>
          <w:spacing w:val="-2"/>
          <w:kern w:val="0"/>
          <w:sz w:val="24"/>
        </w:rPr>
        <w:t>表五</w:t>
      </w:r>
      <w:r>
        <w:rPr>
          <w:rFonts w:eastAsia="方正仿宋_GBK"/>
          <w:color w:val="000000"/>
          <w:spacing w:val="-2"/>
          <w:kern w:val="0"/>
          <w:sz w:val="24"/>
        </w:rPr>
        <w:t>(</w:t>
      </w:r>
      <w:r>
        <w:rPr>
          <w:rFonts w:hint="eastAsia" w:eastAsia="方正仿宋_GBK"/>
          <w:color w:val="000000"/>
          <w:spacing w:val="-2"/>
          <w:kern w:val="0"/>
          <w:sz w:val="24"/>
        </w:rPr>
        <w:t>二</w:t>
      </w:r>
      <w:r>
        <w:rPr>
          <w:rFonts w:eastAsia="方正仿宋_GBK"/>
          <w:color w:val="000000"/>
          <w:spacing w:val="-2"/>
          <w:kern w:val="0"/>
          <w:sz w:val="24"/>
        </w:rPr>
        <w:t>)×15%+</w:t>
      </w:r>
      <w:r>
        <w:rPr>
          <w:rFonts w:hint="eastAsia" w:eastAsia="方正仿宋_GBK"/>
          <w:color w:val="000000"/>
          <w:spacing w:val="-2"/>
          <w:kern w:val="0"/>
          <w:sz w:val="24"/>
        </w:rPr>
        <w:t>表四</w:t>
      </w:r>
      <w:r>
        <w:rPr>
          <w:rFonts w:eastAsia="方正仿宋_GBK"/>
          <w:color w:val="000000"/>
          <w:spacing w:val="-2"/>
          <w:kern w:val="0"/>
          <w:sz w:val="24"/>
        </w:rPr>
        <w:t>(</w:t>
      </w:r>
      <w:r>
        <w:rPr>
          <w:rFonts w:hint="eastAsia" w:eastAsia="方正仿宋_GBK"/>
          <w:color w:val="000000"/>
          <w:spacing w:val="-2"/>
          <w:kern w:val="0"/>
          <w:sz w:val="24"/>
        </w:rPr>
        <w:t>三</w:t>
      </w:r>
      <w:r>
        <w:rPr>
          <w:rFonts w:eastAsia="方正仿宋_GBK"/>
          <w:color w:val="000000"/>
          <w:spacing w:val="-2"/>
          <w:kern w:val="0"/>
          <w:sz w:val="24"/>
        </w:rPr>
        <w:t>)×15%+</w:t>
      </w:r>
      <w:r>
        <w:rPr>
          <w:rFonts w:hint="eastAsia" w:eastAsia="方正仿宋_GBK"/>
          <w:color w:val="000000"/>
          <w:spacing w:val="-2"/>
          <w:kern w:val="0"/>
          <w:sz w:val="24"/>
        </w:rPr>
        <w:t>表五</w:t>
      </w:r>
      <w:r>
        <w:rPr>
          <w:rFonts w:eastAsia="方正仿宋_GBK"/>
          <w:color w:val="000000"/>
          <w:spacing w:val="-2"/>
          <w:kern w:val="0"/>
          <w:sz w:val="24"/>
        </w:rPr>
        <w:t>(</w:t>
      </w:r>
      <w:r>
        <w:rPr>
          <w:rFonts w:hint="eastAsia" w:eastAsia="方正仿宋_GBK"/>
          <w:color w:val="000000"/>
          <w:spacing w:val="-2"/>
          <w:kern w:val="0"/>
          <w:sz w:val="24"/>
        </w:rPr>
        <w:t>三</w:t>
      </w:r>
      <w:r>
        <w:rPr>
          <w:rFonts w:eastAsia="方正仿宋_GBK"/>
          <w:color w:val="000000"/>
          <w:spacing w:val="-2"/>
          <w:kern w:val="0"/>
          <w:sz w:val="24"/>
        </w:rPr>
        <w:t>)×15%+∑(</w:t>
      </w:r>
      <w:r>
        <w:rPr>
          <w:rFonts w:hint="eastAsia" w:eastAsia="方正仿宋_GBK"/>
          <w:color w:val="000000"/>
          <w:spacing w:val="-2"/>
          <w:kern w:val="0"/>
          <w:sz w:val="24"/>
        </w:rPr>
        <w:t>专业分包单位平均得分</w:t>
      </w:r>
      <w:r>
        <w:rPr>
          <w:rFonts w:eastAsia="方正仿宋_GBK"/>
          <w:color w:val="000000"/>
          <w:spacing w:val="-2"/>
          <w:kern w:val="0"/>
          <w:sz w:val="24"/>
        </w:rPr>
        <w:t>)×20%</w:t>
      </w:r>
      <w:r>
        <w:rPr>
          <w:rFonts w:hint="eastAsia" w:eastAsia="方正仿宋_GBK"/>
          <w:color w:val="000000"/>
          <w:spacing w:val="-2"/>
          <w:kern w:val="0"/>
          <w:sz w:val="24"/>
        </w:rPr>
        <w:t>。</w:t>
      </w:r>
      <w:r>
        <w:rPr>
          <w:rFonts w:eastAsia="方正仿宋_GBK"/>
          <w:color w:val="000000"/>
          <w:spacing w:val="-2"/>
          <w:kern w:val="0"/>
          <w:sz w:val="24"/>
        </w:rPr>
        <w:t xml:space="preserve"> </w:t>
      </w:r>
    </w:p>
    <w:p>
      <w:pPr>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分包建筑业企业得分</w:t>
      </w:r>
      <w:r>
        <w:rPr>
          <w:rFonts w:eastAsia="方正仿宋_GBK"/>
          <w:color w:val="000000"/>
          <w:spacing w:val="-2"/>
          <w:kern w:val="0"/>
          <w:sz w:val="24"/>
        </w:rPr>
        <w:t>=</w:t>
      </w:r>
      <w:r>
        <w:rPr>
          <w:rFonts w:hint="eastAsia" w:eastAsia="方正仿宋_GBK"/>
          <w:color w:val="000000"/>
          <w:spacing w:val="-2"/>
          <w:kern w:val="0"/>
          <w:sz w:val="24"/>
        </w:rPr>
        <w:t>表三</w:t>
      </w:r>
      <w:r>
        <w:rPr>
          <w:rFonts w:eastAsia="方正仿宋_GBK"/>
          <w:color w:val="000000"/>
          <w:spacing w:val="-2"/>
          <w:kern w:val="0"/>
          <w:sz w:val="24"/>
        </w:rPr>
        <w:t>(</w:t>
      </w:r>
      <w:r>
        <w:rPr>
          <w:rFonts w:hint="eastAsia" w:eastAsia="方正仿宋_GBK"/>
          <w:color w:val="000000"/>
          <w:spacing w:val="-2"/>
          <w:kern w:val="0"/>
          <w:sz w:val="24"/>
        </w:rPr>
        <w:t>分包工程</w:t>
      </w:r>
      <w:r>
        <w:rPr>
          <w:rFonts w:eastAsia="方正仿宋_GBK"/>
          <w:color w:val="000000"/>
          <w:spacing w:val="-2"/>
          <w:kern w:val="0"/>
          <w:sz w:val="24"/>
        </w:rPr>
        <w:t>)×50%+</w:t>
      </w:r>
      <w:r>
        <w:rPr>
          <w:rFonts w:hint="eastAsia" w:eastAsia="方正仿宋_GBK"/>
          <w:color w:val="000000"/>
          <w:spacing w:val="-2"/>
          <w:kern w:val="0"/>
          <w:sz w:val="24"/>
        </w:rPr>
        <w:t>表四</w:t>
      </w:r>
      <w:r>
        <w:rPr>
          <w:rFonts w:eastAsia="方正仿宋_GBK"/>
          <w:color w:val="000000"/>
          <w:spacing w:val="-2"/>
          <w:kern w:val="0"/>
          <w:sz w:val="24"/>
        </w:rPr>
        <w:t>(</w:t>
      </w:r>
      <w:r>
        <w:rPr>
          <w:rFonts w:hint="eastAsia" w:eastAsia="方正仿宋_GBK"/>
          <w:color w:val="000000"/>
          <w:spacing w:val="-2"/>
          <w:kern w:val="0"/>
          <w:sz w:val="24"/>
        </w:rPr>
        <w:t>分包工程</w:t>
      </w:r>
      <w:r>
        <w:rPr>
          <w:rFonts w:eastAsia="方正仿宋_GBK"/>
          <w:color w:val="000000"/>
          <w:spacing w:val="-2"/>
          <w:kern w:val="0"/>
          <w:sz w:val="24"/>
        </w:rPr>
        <w:t>) ×50%</w:t>
      </w:r>
      <w:r>
        <w:rPr>
          <w:rFonts w:hint="eastAsia" w:eastAsia="方正仿宋_GBK"/>
          <w:color w:val="000000"/>
          <w:spacing w:val="-2"/>
          <w:kern w:val="0"/>
          <w:sz w:val="24"/>
        </w:rPr>
        <w:t>。</w:t>
      </w:r>
      <w:r>
        <w:rPr>
          <w:rFonts w:eastAsia="方正仿宋_GBK"/>
          <w:color w:val="000000"/>
          <w:spacing w:val="-2"/>
          <w:kern w:val="0"/>
          <w:sz w:val="24"/>
        </w:rPr>
        <w:t xml:space="preserve"> </w:t>
      </w:r>
    </w:p>
    <w:p>
      <w:pPr>
        <w:pStyle w:val="7"/>
        <w:adjustRightInd w:val="0"/>
        <w:snapToGrid w:val="0"/>
        <w:spacing w:after="0" w:line="460" w:lineRule="exact"/>
        <w:ind w:left="0" w:leftChars="0" w:firstLine="472" w:firstLineChars="200"/>
        <w:rPr>
          <w:rFonts w:eastAsia="方正仿宋_GBK"/>
          <w:color w:val="000000"/>
          <w:spacing w:val="-2"/>
          <w:sz w:val="24"/>
        </w:rPr>
      </w:pPr>
      <w:r>
        <w:rPr>
          <w:rFonts w:hint="eastAsia" w:eastAsia="方正仿宋_GBK"/>
          <w:color w:val="000000"/>
          <w:spacing w:val="-2"/>
          <w:sz w:val="24"/>
        </w:rPr>
        <w:t>四、在建筑市场综合考核中，无法综合考核的在建项目的总承包企业的项目得分，按本次建筑市场综合检查在建项目综合考核的总承包企业的项目得分的平均分计算。</w:t>
      </w:r>
    </w:p>
    <w:p>
      <w:pPr>
        <w:pStyle w:val="7"/>
        <w:adjustRightInd w:val="0"/>
        <w:snapToGrid w:val="0"/>
        <w:spacing w:after="0" w:line="460" w:lineRule="exact"/>
        <w:ind w:left="0" w:leftChars="0" w:firstLine="472" w:firstLineChars="200"/>
        <w:rPr>
          <w:rFonts w:eastAsia="方正仿宋_GBK"/>
          <w:color w:val="000000"/>
          <w:spacing w:val="-2"/>
          <w:sz w:val="24"/>
        </w:rPr>
      </w:pPr>
      <w:r>
        <w:rPr>
          <w:rFonts w:hint="eastAsia" w:eastAsia="方正仿宋_GBK"/>
          <w:color w:val="000000"/>
          <w:spacing w:val="-2"/>
          <w:sz w:val="24"/>
        </w:rPr>
        <w:t>在建筑市场综合考核中，总承包企业的项目平均分</w:t>
      </w:r>
      <w:r>
        <w:rPr>
          <w:rFonts w:eastAsia="方正仿宋_GBK"/>
          <w:color w:val="000000"/>
          <w:spacing w:val="-2"/>
          <w:sz w:val="24"/>
        </w:rPr>
        <w:t>=</w:t>
      </w:r>
      <w:r>
        <w:rPr>
          <w:rFonts w:hint="eastAsia" w:eastAsia="方正仿宋_GBK"/>
          <w:color w:val="000000"/>
          <w:spacing w:val="-2"/>
          <w:sz w:val="24"/>
        </w:rPr>
        <w:t>所有检查项目的综合考核建筑业企业的项目得分之和除以具备综合考核条件的项目个数之和。</w:t>
      </w:r>
    </w:p>
    <w:p>
      <w:pPr>
        <w:pStyle w:val="7"/>
        <w:adjustRightInd w:val="0"/>
        <w:snapToGrid w:val="0"/>
        <w:spacing w:after="0" w:line="460" w:lineRule="exact"/>
        <w:ind w:left="0" w:leftChars="0" w:firstLine="472" w:firstLineChars="200"/>
        <w:rPr>
          <w:rFonts w:eastAsia="方正仿宋_GBK"/>
          <w:color w:val="000000"/>
          <w:spacing w:val="-2"/>
          <w:sz w:val="24"/>
        </w:rPr>
      </w:pPr>
      <w:r>
        <w:rPr>
          <w:rFonts w:hint="eastAsia" w:eastAsia="方正仿宋_GBK"/>
          <w:color w:val="000000"/>
          <w:spacing w:val="-2"/>
          <w:sz w:val="24"/>
        </w:rPr>
        <w:t>在建筑市场综合考核中，无法综合考核的在建项目的专业分包企业的项目得分，按本次建筑市场综合检查的在建项目综合考核的专业分包企业的项目得分的平均分计算。</w:t>
      </w:r>
    </w:p>
    <w:p>
      <w:pPr>
        <w:pStyle w:val="7"/>
        <w:adjustRightInd w:val="0"/>
        <w:snapToGrid w:val="0"/>
        <w:spacing w:after="0" w:line="460" w:lineRule="exact"/>
        <w:ind w:left="0" w:leftChars="0" w:firstLine="472" w:firstLineChars="200"/>
        <w:rPr>
          <w:rFonts w:eastAsia="方正仿宋_GBK"/>
          <w:color w:val="000000"/>
          <w:spacing w:val="-2"/>
          <w:sz w:val="24"/>
        </w:rPr>
      </w:pPr>
      <w:r>
        <w:rPr>
          <w:rFonts w:hint="eastAsia" w:eastAsia="方正仿宋_GBK"/>
          <w:color w:val="000000"/>
          <w:spacing w:val="-2"/>
          <w:sz w:val="24"/>
        </w:rPr>
        <w:t>在建筑市场综合考核中，专业分包企业的项目平均分</w:t>
      </w:r>
      <w:r>
        <w:rPr>
          <w:rFonts w:eastAsia="方正仿宋_GBK"/>
          <w:color w:val="000000"/>
          <w:spacing w:val="-2"/>
          <w:sz w:val="24"/>
        </w:rPr>
        <w:t>=</w:t>
      </w:r>
      <w:r>
        <w:rPr>
          <w:rFonts w:hint="eastAsia" w:eastAsia="方正仿宋_GBK"/>
          <w:color w:val="000000"/>
          <w:spacing w:val="-2"/>
          <w:sz w:val="24"/>
        </w:rPr>
        <w:t>所有检查项目的综合考核专业项目得分之和除以具备综合考核条件的专业分包项目个数之和。</w:t>
      </w:r>
    </w:p>
    <w:p>
      <w:pPr>
        <w:pStyle w:val="7"/>
        <w:adjustRightInd w:val="0"/>
        <w:snapToGrid w:val="0"/>
        <w:spacing w:after="0" w:line="460" w:lineRule="exact"/>
        <w:ind w:left="0" w:leftChars="0" w:firstLine="472" w:firstLineChars="200"/>
        <w:rPr>
          <w:rFonts w:eastAsia="方正仿宋_GBK"/>
          <w:color w:val="000000"/>
          <w:spacing w:val="-2"/>
          <w:sz w:val="24"/>
        </w:rPr>
      </w:pPr>
      <w:r>
        <w:rPr>
          <w:rFonts w:hint="eastAsia" w:eastAsia="方正仿宋_GBK"/>
          <w:color w:val="000000"/>
          <w:spacing w:val="-2"/>
          <w:sz w:val="24"/>
        </w:rPr>
        <w:t>五、建筑业企业综合考核得分</w:t>
      </w:r>
      <w:r>
        <w:rPr>
          <w:rFonts w:eastAsia="方正仿宋_GBK"/>
          <w:color w:val="000000"/>
          <w:spacing w:val="-2"/>
          <w:sz w:val="24"/>
        </w:rPr>
        <w:t>=</w:t>
      </w:r>
      <w:r>
        <w:rPr>
          <w:rFonts w:hint="eastAsia" w:eastAsia="方正仿宋_GBK"/>
          <w:color w:val="000000"/>
          <w:spacing w:val="-2"/>
          <w:sz w:val="24"/>
        </w:rPr>
        <w:t>该企业参加在建项目综合考核所有项目的平均得分</w:t>
      </w:r>
      <w:r>
        <w:rPr>
          <w:rFonts w:eastAsia="方正仿宋_GBK"/>
          <w:color w:val="000000"/>
          <w:spacing w:val="-2"/>
          <w:sz w:val="24"/>
        </w:rPr>
        <w:t>×50%</w:t>
      </w:r>
      <w:r>
        <w:rPr>
          <w:rFonts w:hint="eastAsia" w:eastAsia="方正仿宋_GBK"/>
          <w:color w:val="000000"/>
          <w:spacing w:val="-2"/>
          <w:sz w:val="24"/>
        </w:rPr>
        <w:t>。</w:t>
      </w:r>
    </w:p>
    <w:p>
      <w:pPr>
        <w:pStyle w:val="7"/>
        <w:adjustRightInd w:val="0"/>
        <w:snapToGrid w:val="0"/>
        <w:spacing w:line="460" w:lineRule="exact"/>
        <w:ind w:firstLine="643"/>
        <w:rPr>
          <w:rFonts w:eastAsia="方正仿宋_GBK"/>
          <w:b/>
          <w:color w:val="000000"/>
          <w:spacing w:val="-2"/>
          <w:sz w:val="24"/>
        </w:rPr>
      </w:pPr>
    </w:p>
    <w:p>
      <w:pPr>
        <w:pStyle w:val="2"/>
        <w:spacing w:before="312" w:after="312" w:line="240" w:lineRule="auto"/>
        <w:jc w:val="center"/>
      </w:pPr>
    </w:p>
    <w:p/>
    <w:p/>
    <w:p/>
    <w:p/>
    <w:p/>
    <w:p>
      <w:pPr>
        <w:pStyle w:val="2"/>
        <w:spacing w:before="240" w:beforeLines="100" w:after="240" w:afterLines="100" w:line="240" w:lineRule="auto"/>
        <w:jc w:val="center"/>
        <w:rPr>
          <w:rFonts w:ascii="Times New Roman" w:eastAsia="方正小标宋_GBK"/>
          <w:b w:val="0"/>
          <w:sz w:val="36"/>
          <w:szCs w:val="36"/>
        </w:rPr>
      </w:pPr>
      <w:bookmarkStart w:id="466" w:name="_Toc20726527"/>
      <w:bookmarkStart w:id="467" w:name="_Toc18315692"/>
      <w:bookmarkStart w:id="468" w:name="_Toc20726488"/>
      <w:r>
        <w:rPr>
          <w:rFonts w:hint="eastAsia" w:ascii="Times New Roman" w:eastAsia="方正小标宋_GBK"/>
          <w:b w:val="0"/>
          <w:sz w:val="36"/>
          <w:szCs w:val="36"/>
        </w:rPr>
        <w:t>关于对省住房和城乡建设厅关于转发住房城乡建设部《建筑业企业资质管理规定和资质标准实施意见》的通知</w:t>
      </w:r>
      <w:bookmarkEnd w:id="466"/>
      <w:bookmarkEnd w:id="467"/>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469" w:name="_Toc20726528"/>
      <w:bookmarkStart w:id="470" w:name="_Toc18315693"/>
      <w:r>
        <w:rPr>
          <w:rFonts w:hint="eastAsia" w:ascii="Times New Roman" w:hAnsi="Times New Roman" w:eastAsia="方正楷体_GBK"/>
          <w:b w:val="0"/>
          <w:sz w:val="24"/>
          <w:szCs w:val="24"/>
        </w:rPr>
        <w:t>苏建建管〔</w:t>
      </w:r>
      <w:r>
        <w:rPr>
          <w:rFonts w:ascii="Times New Roman" w:hAnsi="Times New Roman" w:eastAsia="方正楷体_GBK"/>
          <w:b w:val="0"/>
          <w:sz w:val="24"/>
          <w:szCs w:val="24"/>
        </w:rPr>
        <w:t>2015</w:t>
      </w:r>
      <w:r>
        <w:rPr>
          <w:rFonts w:hint="eastAsia" w:ascii="Times New Roman" w:hAnsi="Times New Roman" w:eastAsia="方正楷体_GBK"/>
          <w:b w:val="0"/>
          <w:sz w:val="24"/>
          <w:szCs w:val="24"/>
        </w:rPr>
        <w:t>〕</w:t>
      </w:r>
      <w:r>
        <w:rPr>
          <w:rFonts w:ascii="Times New Roman" w:hAnsi="Times New Roman" w:eastAsia="方正楷体_GBK"/>
          <w:b w:val="0"/>
          <w:sz w:val="24"/>
          <w:szCs w:val="24"/>
        </w:rPr>
        <w:t>227</w:t>
      </w:r>
      <w:r>
        <w:rPr>
          <w:rFonts w:hint="eastAsia" w:ascii="Times New Roman" w:hAnsi="Times New Roman" w:eastAsia="方正楷体_GBK"/>
          <w:b w:val="0"/>
          <w:sz w:val="24"/>
          <w:szCs w:val="24"/>
        </w:rPr>
        <w:t>号</w:t>
      </w:r>
      <w:bookmarkEnd w:id="469"/>
      <w:bookmarkEnd w:id="470"/>
    </w:p>
    <w:p>
      <w:pPr>
        <w:spacing w:line="460" w:lineRule="exact"/>
        <w:rPr>
          <w:rFonts w:eastAsia="方正仿宋_GBK"/>
          <w:color w:val="000000"/>
          <w:spacing w:val="-2"/>
          <w:sz w:val="24"/>
        </w:rPr>
      </w:pPr>
      <w:r>
        <w:rPr>
          <w:rFonts w:hint="eastAsia" w:eastAsia="方正仿宋_GBK"/>
          <w:color w:val="000000"/>
          <w:spacing w:val="-2"/>
          <w:sz w:val="24"/>
        </w:rPr>
        <w:t>各市建设局（委），泰州市建工局，苏州工业园区规划建设局、张家港保税区规划建设局，昆山市、泰兴市、沭阳县建设局，省有关厅、局：</w:t>
      </w:r>
    </w:p>
    <w:p>
      <w:pPr>
        <w:spacing w:line="460" w:lineRule="exact"/>
        <w:ind w:firstLine="472" w:firstLineChars="200"/>
        <w:rPr>
          <w:rFonts w:eastAsia="方正仿宋_GBK"/>
          <w:color w:val="000000"/>
          <w:spacing w:val="-2"/>
          <w:sz w:val="24"/>
          <w:shd w:val="clear" w:color="auto" w:fill="FFFFFF"/>
        </w:rPr>
      </w:pPr>
      <w:r>
        <w:rPr>
          <w:rFonts w:hint="eastAsia" w:eastAsia="方正仿宋_GBK"/>
          <w:color w:val="000000"/>
          <w:spacing w:val="-2"/>
          <w:sz w:val="24"/>
          <w:shd w:val="clear" w:color="auto" w:fill="FFFFFF"/>
        </w:rPr>
        <w:t>现将住房城乡建设部出台的《建筑业企业资质管理规定》（住房城乡</w:t>
      </w:r>
      <w:r>
        <w:rPr>
          <w:rFonts w:hint="eastAsia" w:eastAsia="方正仿宋_GBK"/>
          <w:color w:val="000000"/>
          <w:spacing w:val="-2"/>
          <w:kern w:val="0"/>
          <w:sz w:val="24"/>
        </w:rPr>
        <w:t>建设部令第</w:t>
      </w:r>
      <w:r>
        <w:rPr>
          <w:rFonts w:eastAsia="方正仿宋_GBK"/>
          <w:color w:val="000000"/>
          <w:spacing w:val="-2"/>
          <w:kern w:val="0"/>
          <w:sz w:val="24"/>
        </w:rPr>
        <w:t>22</w:t>
      </w:r>
      <w:r>
        <w:rPr>
          <w:rFonts w:hint="eastAsia" w:eastAsia="方正仿宋_GBK"/>
          <w:color w:val="000000"/>
          <w:spacing w:val="-2"/>
          <w:kern w:val="0"/>
          <w:sz w:val="24"/>
        </w:rPr>
        <w:t>号，以下简称《规定》）</w:t>
      </w:r>
      <w:r>
        <w:rPr>
          <w:rFonts w:hint="eastAsia" w:eastAsia="方正仿宋_GBK"/>
          <w:color w:val="000000"/>
          <w:spacing w:val="-2"/>
          <w:sz w:val="24"/>
          <w:shd w:val="clear" w:color="auto" w:fill="FFFFFF"/>
        </w:rPr>
        <w:t>、</w:t>
      </w:r>
      <w:r>
        <w:rPr>
          <w:rFonts w:hint="eastAsia" w:eastAsia="方正仿宋_GBK"/>
          <w:color w:val="000000"/>
          <w:spacing w:val="-2"/>
          <w:kern w:val="0"/>
          <w:sz w:val="24"/>
        </w:rPr>
        <w:t>《建筑业企业资质标准》（建市〔</w:t>
      </w:r>
      <w:r>
        <w:rPr>
          <w:rFonts w:eastAsia="方正仿宋_GBK"/>
          <w:color w:val="000000"/>
          <w:spacing w:val="-2"/>
          <w:kern w:val="0"/>
          <w:sz w:val="24"/>
        </w:rPr>
        <w:t>2014</w:t>
      </w:r>
      <w:r>
        <w:rPr>
          <w:rFonts w:hint="eastAsia" w:eastAsia="方正仿宋_GBK"/>
          <w:color w:val="000000"/>
          <w:spacing w:val="-2"/>
          <w:kern w:val="0"/>
          <w:sz w:val="24"/>
        </w:rPr>
        <w:t>〕</w:t>
      </w:r>
      <w:r>
        <w:rPr>
          <w:rFonts w:eastAsia="方正仿宋_GBK"/>
          <w:color w:val="000000"/>
          <w:spacing w:val="-2"/>
          <w:kern w:val="0"/>
          <w:sz w:val="24"/>
        </w:rPr>
        <w:t>159</w:t>
      </w:r>
      <w:r>
        <w:rPr>
          <w:rFonts w:hint="eastAsia" w:eastAsia="方正仿宋_GBK"/>
          <w:color w:val="000000"/>
          <w:spacing w:val="-2"/>
          <w:kern w:val="0"/>
          <w:sz w:val="24"/>
        </w:rPr>
        <w:t>号，以下简称《标准》）、</w:t>
      </w:r>
      <w:r>
        <w:rPr>
          <w:rFonts w:hint="eastAsia" w:eastAsia="方正仿宋_GBK"/>
          <w:color w:val="000000"/>
          <w:spacing w:val="-2"/>
          <w:sz w:val="24"/>
          <w:shd w:val="clear" w:color="auto" w:fill="FFFFFF"/>
        </w:rPr>
        <w:t>《建筑业企业资质管理规定和资质标准实施意见》（</w:t>
      </w:r>
      <w:r>
        <w:rPr>
          <w:rFonts w:hint="eastAsia" w:eastAsia="方正仿宋_GBK"/>
          <w:color w:val="000000"/>
          <w:spacing w:val="-2"/>
          <w:sz w:val="24"/>
        </w:rPr>
        <w:t>建市〔</w:t>
      </w:r>
      <w:r>
        <w:rPr>
          <w:rFonts w:eastAsia="方正仿宋_GBK"/>
          <w:color w:val="000000"/>
          <w:spacing w:val="-2"/>
          <w:sz w:val="24"/>
        </w:rPr>
        <w:t>2015</w:t>
      </w:r>
      <w:r>
        <w:rPr>
          <w:rFonts w:hint="eastAsia" w:eastAsia="方正仿宋_GBK"/>
          <w:color w:val="000000"/>
          <w:spacing w:val="-2"/>
          <w:sz w:val="24"/>
        </w:rPr>
        <w:t>〕</w:t>
      </w:r>
      <w:r>
        <w:rPr>
          <w:rFonts w:eastAsia="方正仿宋_GBK"/>
          <w:color w:val="000000"/>
          <w:spacing w:val="-2"/>
          <w:sz w:val="24"/>
        </w:rPr>
        <w:t>20</w:t>
      </w:r>
      <w:r>
        <w:rPr>
          <w:rFonts w:hint="eastAsia" w:eastAsia="方正仿宋_GBK"/>
          <w:color w:val="000000"/>
          <w:spacing w:val="-2"/>
          <w:sz w:val="24"/>
        </w:rPr>
        <w:t>号，以下简称《实施意见》）</w:t>
      </w:r>
      <w:r>
        <w:rPr>
          <w:rFonts w:hint="eastAsia" w:eastAsia="方正仿宋_GBK"/>
          <w:color w:val="000000"/>
          <w:spacing w:val="-2"/>
          <w:sz w:val="24"/>
          <w:shd w:val="clear" w:color="auto" w:fill="FFFFFF"/>
        </w:rPr>
        <w:t>、</w:t>
      </w:r>
      <w:r>
        <w:rPr>
          <w:rFonts w:hint="eastAsia" w:eastAsia="方正仿宋_GBK"/>
          <w:bCs/>
          <w:color w:val="000000"/>
          <w:spacing w:val="-2"/>
          <w:sz w:val="24"/>
        </w:rPr>
        <w:t>《关于推进建设省级建筑市场监管与诚信信息一体化工作平台若干意见的通知》（建办市〔</w:t>
      </w:r>
      <w:r>
        <w:rPr>
          <w:rFonts w:eastAsia="方正仿宋_GBK"/>
          <w:bCs/>
          <w:color w:val="000000"/>
          <w:spacing w:val="-2"/>
          <w:sz w:val="24"/>
        </w:rPr>
        <w:t>2014</w:t>
      </w:r>
      <w:r>
        <w:rPr>
          <w:rFonts w:hint="eastAsia" w:eastAsia="方正仿宋_GBK"/>
          <w:bCs/>
          <w:color w:val="000000"/>
          <w:spacing w:val="-2"/>
          <w:sz w:val="24"/>
        </w:rPr>
        <w:t>〕</w:t>
      </w:r>
      <w:r>
        <w:rPr>
          <w:rFonts w:eastAsia="方正仿宋_GBK"/>
          <w:bCs/>
          <w:color w:val="000000"/>
          <w:spacing w:val="-2"/>
          <w:sz w:val="24"/>
        </w:rPr>
        <w:t>55</w:t>
      </w:r>
      <w:r>
        <w:rPr>
          <w:rFonts w:hint="eastAsia" w:eastAsia="方正仿宋_GBK"/>
          <w:bCs/>
          <w:color w:val="000000"/>
          <w:spacing w:val="-2"/>
          <w:sz w:val="24"/>
        </w:rPr>
        <w:t>号）</w:t>
      </w:r>
      <w:r>
        <w:rPr>
          <w:rFonts w:hint="eastAsia" w:eastAsia="方正仿宋_GBK"/>
          <w:color w:val="000000"/>
          <w:spacing w:val="-2"/>
          <w:sz w:val="24"/>
          <w:shd w:val="clear" w:color="auto" w:fill="FFFFFF"/>
        </w:rPr>
        <w:t>转发给你们，并</w:t>
      </w:r>
      <w:r>
        <w:rPr>
          <w:rFonts w:hint="eastAsia" w:eastAsia="方正仿宋_GBK"/>
          <w:bCs/>
          <w:color w:val="000000"/>
          <w:spacing w:val="-2"/>
          <w:sz w:val="24"/>
        </w:rPr>
        <w:t>根据我省实际，提出如下意见</w:t>
      </w:r>
      <w:r>
        <w:rPr>
          <w:rFonts w:hint="eastAsia" w:eastAsia="方正仿宋_GBK"/>
          <w:color w:val="000000"/>
          <w:spacing w:val="-2"/>
          <w:sz w:val="24"/>
          <w:shd w:val="clear" w:color="auto" w:fill="FFFFFF"/>
        </w:rPr>
        <w:t>，</w:t>
      </w:r>
      <w:r>
        <w:rPr>
          <w:rFonts w:eastAsia="方正仿宋_GBK"/>
          <w:color w:val="000000"/>
          <w:spacing w:val="-2"/>
          <w:sz w:val="24"/>
          <w:shd w:val="clear" w:color="auto" w:fill="FFFFFF"/>
        </w:rPr>
        <w:t> </w:t>
      </w:r>
      <w:r>
        <w:rPr>
          <w:rFonts w:hint="eastAsia" w:eastAsia="方正仿宋_GBK"/>
          <w:color w:val="000000"/>
          <w:spacing w:val="-2"/>
          <w:sz w:val="24"/>
          <w:shd w:val="clear" w:color="auto" w:fill="FFFFFF"/>
        </w:rPr>
        <w:t>请一并贯彻执行。</w:t>
      </w:r>
    </w:p>
    <w:p>
      <w:pPr>
        <w:spacing w:line="460" w:lineRule="exact"/>
        <w:ind w:firstLine="472" w:firstLineChars="200"/>
        <w:rPr>
          <w:rFonts w:ascii="Times New Roman" w:eastAsia="黑体"/>
          <w:color w:val="000000"/>
          <w:spacing w:val="-2"/>
          <w:sz w:val="24"/>
          <w:shd w:val="clear" w:color="auto" w:fill="FFFFFF"/>
        </w:rPr>
      </w:pPr>
      <w:r>
        <w:rPr>
          <w:rFonts w:hint="eastAsia" w:ascii="Times New Roman" w:eastAsia="黑体"/>
          <w:color w:val="000000"/>
          <w:spacing w:val="-2"/>
          <w:sz w:val="24"/>
          <w:shd w:val="clear" w:color="auto" w:fill="FFFFFF"/>
        </w:rPr>
        <w:t>一、许可权限</w:t>
      </w:r>
    </w:p>
    <w:p>
      <w:pPr>
        <w:spacing w:line="460" w:lineRule="exact"/>
        <w:ind w:firstLine="472" w:firstLineChars="200"/>
        <w:rPr>
          <w:rFonts w:hint="eastAsia" w:eastAsia="方正仿宋_GBK"/>
          <w:color w:val="000000"/>
          <w:spacing w:val="-2"/>
          <w:sz w:val="24"/>
          <w:shd w:val="clear" w:color="auto" w:fill="FFFFFF"/>
        </w:rPr>
      </w:pPr>
      <w:r>
        <w:rPr>
          <w:rFonts w:hint="eastAsia" w:eastAsia="方正仿宋_GBK"/>
          <w:color w:val="000000"/>
          <w:spacing w:val="-2"/>
          <w:sz w:val="24"/>
          <w:shd w:val="clear" w:color="auto" w:fill="FFFFFF"/>
        </w:rPr>
        <w:t>（一）下列建筑业企业资质，由住房城乡建设部许可：</w:t>
      </w:r>
    </w:p>
    <w:p>
      <w:pPr>
        <w:spacing w:line="460" w:lineRule="exact"/>
        <w:ind w:firstLine="472" w:firstLineChars="200"/>
        <w:rPr>
          <w:rFonts w:eastAsia="方正仿宋_GBK"/>
          <w:color w:val="000000"/>
          <w:spacing w:val="-2"/>
          <w:sz w:val="24"/>
          <w:shd w:val="clear" w:color="auto" w:fill="FFFFFF"/>
        </w:rPr>
      </w:pPr>
      <w:r>
        <w:rPr>
          <w:rFonts w:eastAsia="方正仿宋_GBK"/>
          <w:color w:val="000000"/>
          <w:spacing w:val="-2"/>
          <w:sz w:val="24"/>
          <w:shd w:val="clear" w:color="auto" w:fill="FFFFFF"/>
        </w:rPr>
        <w:t>1</w:t>
      </w:r>
      <w:r>
        <w:rPr>
          <w:rFonts w:hint="eastAsia" w:eastAsia="方正仿宋_GBK"/>
          <w:color w:val="000000"/>
          <w:spacing w:val="-2"/>
          <w:sz w:val="24"/>
          <w:shd w:val="clear" w:color="auto" w:fill="FFFFFF"/>
        </w:rPr>
        <w:t>、施工总承包资质序列特级资质、一级资质及铁路工程施工总承包二级资质；</w:t>
      </w:r>
    </w:p>
    <w:p>
      <w:pPr>
        <w:spacing w:line="460" w:lineRule="exact"/>
        <w:ind w:firstLine="472" w:firstLineChars="200"/>
        <w:rPr>
          <w:rFonts w:eastAsia="方正仿宋_GBK"/>
          <w:color w:val="000000"/>
          <w:spacing w:val="-2"/>
          <w:sz w:val="24"/>
          <w:shd w:val="clear" w:color="auto" w:fill="FFFFFF"/>
        </w:rPr>
      </w:pPr>
      <w:r>
        <w:rPr>
          <w:rFonts w:eastAsia="方正仿宋_GBK"/>
          <w:color w:val="000000"/>
          <w:spacing w:val="-2"/>
          <w:sz w:val="24"/>
          <w:shd w:val="clear" w:color="auto" w:fill="FFFFFF"/>
        </w:rPr>
        <w:t>2</w:t>
      </w:r>
      <w:r>
        <w:rPr>
          <w:rFonts w:hint="eastAsia" w:eastAsia="方正仿宋_GBK"/>
          <w:color w:val="000000"/>
          <w:spacing w:val="-2"/>
          <w:sz w:val="24"/>
          <w:shd w:val="clear" w:color="auto" w:fill="FFFFFF"/>
        </w:rPr>
        <w:t>、专业承包资质序列公路、水运、水利、铁路、民航方面的专业承包一级资质及铁路、民航方面的专业承包二级资质；</w:t>
      </w:r>
    </w:p>
    <w:p>
      <w:pPr>
        <w:spacing w:line="460" w:lineRule="exact"/>
        <w:ind w:firstLine="472" w:firstLineChars="200"/>
        <w:rPr>
          <w:rFonts w:eastAsia="方正仿宋_GBK"/>
          <w:color w:val="000000"/>
          <w:spacing w:val="-2"/>
          <w:sz w:val="24"/>
          <w:shd w:val="clear" w:color="auto" w:fill="FFFFFF"/>
        </w:rPr>
      </w:pPr>
      <w:r>
        <w:rPr>
          <w:rFonts w:eastAsia="方正仿宋_GBK"/>
          <w:color w:val="000000"/>
          <w:spacing w:val="-2"/>
          <w:sz w:val="24"/>
          <w:shd w:val="clear" w:color="auto" w:fill="FFFFFF"/>
        </w:rPr>
        <w:t>3</w:t>
      </w:r>
      <w:r>
        <w:rPr>
          <w:rFonts w:hint="eastAsia" w:eastAsia="方正仿宋_GBK"/>
          <w:color w:val="000000"/>
          <w:spacing w:val="-2"/>
          <w:sz w:val="24"/>
          <w:shd w:val="clear" w:color="auto" w:fill="FFFFFF"/>
        </w:rPr>
        <w:t>、桥梁工程、隧道工程、核工程、海洋石油工程、输变电工程、钢结构工程专业承包一级资质。</w:t>
      </w:r>
    </w:p>
    <w:p>
      <w:pPr>
        <w:spacing w:line="460" w:lineRule="exact"/>
        <w:ind w:firstLine="472" w:firstLineChars="200"/>
        <w:rPr>
          <w:rFonts w:eastAsia="方正仿宋_GBK"/>
          <w:color w:val="000000"/>
          <w:spacing w:val="-2"/>
          <w:sz w:val="24"/>
          <w:shd w:val="clear" w:color="auto" w:fill="FFFFFF"/>
        </w:rPr>
      </w:pPr>
      <w:r>
        <w:rPr>
          <w:rFonts w:hint="eastAsia" w:eastAsia="方正仿宋_GBK"/>
          <w:color w:val="000000"/>
          <w:spacing w:val="-2"/>
          <w:sz w:val="24"/>
          <w:shd w:val="clear" w:color="auto" w:fill="FFFFFF"/>
        </w:rPr>
        <w:t>（二）下列建筑业企业资质，由省住房城乡建设厅负责许可：</w:t>
      </w:r>
    </w:p>
    <w:p>
      <w:pPr>
        <w:spacing w:line="460" w:lineRule="exact"/>
        <w:ind w:firstLine="472" w:firstLineChars="200"/>
        <w:rPr>
          <w:rFonts w:eastAsia="方正仿宋_GBK"/>
          <w:color w:val="000000"/>
          <w:spacing w:val="-2"/>
          <w:sz w:val="24"/>
          <w:shd w:val="clear" w:color="auto" w:fill="FFFFFF"/>
        </w:rPr>
      </w:pPr>
      <w:r>
        <w:rPr>
          <w:rFonts w:eastAsia="方正仿宋_GBK"/>
          <w:color w:val="000000"/>
          <w:spacing w:val="-2"/>
          <w:sz w:val="24"/>
          <w:shd w:val="clear" w:color="auto" w:fill="FFFFFF"/>
        </w:rPr>
        <w:t>1</w:t>
      </w:r>
      <w:r>
        <w:rPr>
          <w:rFonts w:hint="eastAsia" w:eastAsia="方正仿宋_GBK"/>
          <w:color w:val="000000"/>
          <w:spacing w:val="-2"/>
          <w:sz w:val="24"/>
          <w:shd w:val="clear" w:color="auto" w:fill="FFFFFF"/>
        </w:rPr>
        <w:t>、施工总承包资质序列二级资质（不含铁路工程施工总承包二级）及铁路、通信、电力工程施工总承包三级资质；</w:t>
      </w:r>
    </w:p>
    <w:p>
      <w:pPr>
        <w:spacing w:line="460" w:lineRule="exact"/>
        <w:ind w:firstLine="472" w:firstLineChars="200"/>
        <w:rPr>
          <w:rFonts w:eastAsia="方正仿宋_GBK"/>
          <w:color w:val="000000"/>
          <w:spacing w:val="-2"/>
          <w:sz w:val="24"/>
          <w:shd w:val="clear" w:color="auto" w:fill="FFFFFF"/>
        </w:rPr>
      </w:pPr>
      <w:r>
        <w:rPr>
          <w:rFonts w:eastAsia="方正仿宋_GBK"/>
          <w:color w:val="000000"/>
          <w:spacing w:val="-2"/>
          <w:sz w:val="24"/>
          <w:shd w:val="clear" w:color="auto" w:fill="FFFFFF"/>
        </w:rPr>
        <w:t>2</w:t>
      </w:r>
      <w:r>
        <w:rPr>
          <w:rFonts w:hint="eastAsia" w:eastAsia="方正仿宋_GBK"/>
          <w:color w:val="000000"/>
          <w:spacing w:val="-2"/>
          <w:sz w:val="24"/>
          <w:shd w:val="clear" w:color="auto" w:fill="FFFFFF"/>
        </w:rPr>
        <w:t>、专业承包资质序列一级资质（不含公路、水运、水利、铁路、民航方面的专业承包一级资质及桥梁、隧道、核工程、海洋石油、输变电、钢结构工程专业承包一级资质）；</w:t>
      </w:r>
    </w:p>
    <w:p>
      <w:pPr>
        <w:spacing w:line="460" w:lineRule="exact"/>
        <w:ind w:firstLine="472" w:firstLineChars="200"/>
        <w:rPr>
          <w:rFonts w:eastAsia="方正仿宋_GBK"/>
          <w:color w:val="000000"/>
          <w:spacing w:val="-2"/>
          <w:sz w:val="24"/>
          <w:shd w:val="clear" w:color="auto" w:fill="FFFFFF"/>
        </w:rPr>
      </w:pPr>
      <w:r>
        <w:rPr>
          <w:rFonts w:eastAsia="方正仿宋_GBK"/>
          <w:color w:val="000000"/>
          <w:spacing w:val="-2"/>
          <w:sz w:val="24"/>
          <w:shd w:val="clear" w:color="auto" w:fill="FFFFFF"/>
        </w:rPr>
        <w:t>3</w:t>
      </w:r>
      <w:r>
        <w:rPr>
          <w:rFonts w:hint="eastAsia" w:eastAsia="方正仿宋_GBK"/>
          <w:color w:val="000000"/>
          <w:spacing w:val="-2"/>
          <w:sz w:val="24"/>
          <w:shd w:val="clear" w:color="auto" w:fill="FFFFFF"/>
        </w:rPr>
        <w:t>、专业承包资质序列二级资质（不含铁路、民航方面的专业承包二级资质）；</w:t>
      </w:r>
    </w:p>
    <w:p>
      <w:pPr>
        <w:spacing w:line="460" w:lineRule="exact"/>
        <w:ind w:firstLine="472" w:firstLineChars="200"/>
        <w:rPr>
          <w:rFonts w:eastAsia="方正仿宋_GBK"/>
          <w:b/>
          <w:color w:val="000000"/>
          <w:spacing w:val="-2"/>
          <w:sz w:val="24"/>
          <w:shd w:val="clear" w:color="auto" w:fill="FFFFFF"/>
        </w:rPr>
      </w:pPr>
      <w:r>
        <w:rPr>
          <w:rFonts w:eastAsia="方正仿宋_GBK"/>
          <w:color w:val="000000"/>
          <w:spacing w:val="-2"/>
          <w:sz w:val="24"/>
          <w:shd w:val="clear" w:color="auto" w:fill="FFFFFF"/>
        </w:rPr>
        <w:t>4</w:t>
      </w:r>
      <w:r>
        <w:rPr>
          <w:rFonts w:hint="eastAsia" w:eastAsia="方正仿宋_GBK"/>
          <w:color w:val="000000"/>
          <w:spacing w:val="-2"/>
          <w:sz w:val="24"/>
          <w:shd w:val="clear" w:color="auto" w:fill="FFFFFF"/>
        </w:rPr>
        <w:t>、铁路方面专业承包三级资质及桥梁工程、隧道工程、输变电工程专业承包三级资质；</w:t>
      </w:r>
    </w:p>
    <w:p>
      <w:pPr>
        <w:spacing w:line="460" w:lineRule="exact"/>
        <w:ind w:firstLine="472" w:firstLineChars="200"/>
        <w:rPr>
          <w:rFonts w:eastAsia="方正仿宋_GBK"/>
          <w:color w:val="000000"/>
          <w:spacing w:val="-2"/>
          <w:sz w:val="24"/>
          <w:shd w:val="clear" w:color="auto" w:fill="FFFFFF"/>
        </w:rPr>
      </w:pPr>
      <w:r>
        <w:rPr>
          <w:rFonts w:eastAsia="方正仿宋_GBK"/>
          <w:color w:val="000000"/>
          <w:spacing w:val="-2"/>
          <w:sz w:val="24"/>
          <w:shd w:val="clear" w:color="auto" w:fill="FFFFFF"/>
        </w:rPr>
        <w:t>5</w:t>
      </w:r>
      <w:r>
        <w:rPr>
          <w:rFonts w:hint="eastAsia" w:eastAsia="方正仿宋_GBK"/>
          <w:color w:val="000000"/>
          <w:spacing w:val="-2"/>
          <w:sz w:val="24"/>
          <w:shd w:val="clear" w:color="auto" w:fill="FFFFFF"/>
        </w:rPr>
        <w:t>、特种工程专业承包资质。</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三）下列建筑业企业资质，由企业工商注册所在地设区的市建设行政主管部门负责许可。企业注册所在地为省直管试点市（县）的，按照《江苏省住房和城乡建设系统省直管县体制改革试点工作对接方案》（苏建法〔</w:t>
      </w:r>
      <w:r>
        <w:rPr>
          <w:rFonts w:eastAsia="方正仿宋_GBK"/>
          <w:color w:val="000000"/>
          <w:spacing w:val="-2"/>
          <w:sz w:val="24"/>
        </w:rPr>
        <w:t>2012</w:t>
      </w:r>
      <w:r>
        <w:rPr>
          <w:rFonts w:hint="eastAsia" w:eastAsia="方正仿宋_GBK"/>
          <w:color w:val="000000"/>
          <w:spacing w:val="-2"/>
          <w:sz w:val="24"/>
        </w:rPr>
        <w:t>〕</w:t>
      </w:r>
      <w:r>
        <w:rPr>
          <w:rFonts w:eastAsia="方正仿宋_GBK"/>
          <w:color w:val="000000"/>
          <w:spacing w:val="-2"/>
          <w:sz w:val="24"/>
        </w:rPr>
        <w:t>569</w:t>
      </w:r>
      <w:r>
        <w:rPr>
          <w:rFonts w:hint="eastAsia" w:eastAsia="方正仿宋_GBK"/>
          <w:color w:val="000000"/>
          <w:spacing w:val="-2"/>
          <w:sz w:val="24"/>
        </w:rPr>
        <w:t>号）文件精神，由省直管试点市（县）建设行政主管部门负责许可：</w:t>
      </w:r>
    </w:p>
    <w:p>
      <w:pPr>
        <w:spacing w:line="460" w:lineRule="exact"/>
        <w:ind w:firstLine="472" w:firstLineChars="200"/>
        <w:rPr>
          <w:rFonts w:eastAsia="方正仿宋_GBK"/>
          <w:color w:val="000000"/>
          <w:spacing w:val="-8"/>
          <w:sz w:val="24"/>
          <w:shd w:val="clear" w:color="auto" w:fill="FFFFFF"/>
        </w:rPr>
      </w:pPr>
      <w:r>
        <w:rPr>
          <w:rFonts w:eastAsia="方正仿宋_GBK"/>
          <w:color w:val="000000"/>
          <w:spacing w:val="-2"/>
          <w:sz w:val="24"/>
          <w:shd w:val="clear" w:color="auto" w:fill="FFFFFF"/>
        </w:rPr>
        <w:t>1</w:t>
      </w:r>
      <w:r>
        <w:rPr>
          <w:rFonts w:hint="eastAsia" w:eastAsia="方正仿宋_GBK"/>
          <w:color w:val="000000"/>
          <w:spacing w:val="-2"/>
          <w:sz w:val="24"/>
          <w:shd w:val="clear" w:color="auto" w:fill="FFFFFF"/>
        </w:rPr>
        <w:t>、</w:t>
      </w:r>
      <w:r>
        <w:rPr>
          <w:rFonts w:hint="eastAsia" w:eastAsia="方正仿宋_GBK"/>
          <w:color w:val="000000"/>
          <w:spacing w:val="-8"/>
          <w:sz w:val="24"/>
          <w:shd w:val="clear" w:color="auto" w:fill="FFFFFF"/>
        </w:rPr>
        <w:t>施工总承包资质序列三级资质（不含铁路、通信、电力工程施工总承包三级资质）；</w:t>
      </w:r>
    </w:p>
    <w:p>
      <w:pPr>
        <w:spacing w:line="460" w:lineRule="exact"/>
        <w:ind w:firstLine="472" w:firstLineChars="200"/>
        <w:rPr>
          <w:rFonts w:eastAsia="方正仿宋_GBK"/>
          <w:color w:val="000000"/>
          <w:spacing w:val="-2"/>
          <w:sz w:val="24"/>
          <w:shd w:val="clear" w:color="auto" w:fill="FFFFFF"/>
        </w:rPr>
      </w:pPr>
      <w:r>
        <w:rPr>
          <w:rFonts w:eastAsia="方正仿宋_GBK"/>
          <w:color w:val="000000"/>
          <w:spacing w:val="-2"/>
          <w:sz w:val="24"/>
          <w:shd w:val="clear" w:color="auto" w:fill="FFFFFF"/>
        </w:rPr>
        <w:t>2</w:t>
      </w:r>
      <w:r>
        <w:rPr>
          <w:rFonts w:hint="eastAsia" w:eastAsia="方正仿宋_GBK"/>
          <w:color w:val="000000"/>
          <w:spacing w:val="-2"/>
          <w:sz w:val="24"/>
          <w:shd w:val="clear" w:color="auto" w:fill="FFFFFF"/>
        </w:rPr>
        <w:t>、专业承包资质序列三级资质（不含铁路方面专业承包资质和桥梁工程、隧道工程、输变电工程专业承包三级资质）；</w:t>
      </w:r>
    </w:p>
    <w:p>
      <w:pPr>
        <w:spacing w:line="460" w:lineRule="exact"/>
        <w:ind w:firstLine="472" w:firstLineChars="200"/>
        <w:rPr>
          <w:rFonts w:eastAsia="方正仿宋_GBK"/>
          <w:color w:val="000000"/>
          <w:spacing w:val="-2"/>
          <w:sz w:val="24"/>
          <w:shd w:val="clear" w:color="auto" w:fill="FFFFFF"/>
        </w:rPr>
      </w:pPr>
      <w:r>
        <w:rPr>
          <w:rFonts w:eastAsia="方正仿宋_GBK"/>
          <w:color w:val="000000"/>
          <w:spacing w:val="-2"/>
          <w:sz w:val="24"/>
          <w:shd w:val="clear" w:color="auto" w:fill="FFFFFF"/>
        </w:rPr>
        <w:t>3</w:t>
      </w:r>
      <w:r>
        <w:rPr>
          <w:rFonts w:hint="eastAsia" w:eastAsia="方正仿宋_GBK"/>
          <w:color w:val="000000"/>
          <w:spacing w:val="-2"/>
          <w:sz w:val="24"/>
          <w:shd w:val="clear" w:color="auto" w:fill="FFFFFF"/>
        </w:rPr>
        <w:t>、预拌混凝土、模板脚手架专业承包资质；</w:t>
      </w:r>
    </w:p>
    <w:p>
      <w:pPr>
        <w:spacing w:line="460" w:lineRule="exact"/>
        <w:ind w:firstLine="472" w:firstLineChars="200"/>
        <w:rPr>
          <w:rFonts w:eastAsia="方正仿宋_GBK"/>
          <w:color w:val="000000"/>
          <w:spacing w:val="-2"/>
          <w:sz w:val="24"/>
          <w:shd w:val="clear" w:color="auto" w:fill="FFFFFF"/>
        </w:rPr>
      </w:pPr>
      <w:r>
        <w:rPr>
          <w:rFonts w:eastAsia="方正仿宋_GBK"/>
          <w:color w:val="000000"/>
          <w:spacing w:val="-2"/>
          <w:sz w:val="24"/>
          <w:shd w:val="clear" w:color="auto" w:fill="FFFFFF"/>
        </w:rPr>
        <w:t>4</w:t>
      </w:r>
      <w:r>
        <w:rPr>
          <w:rFonts w:hint="eastAsia" w:eastAsia="方正仿宋_GBK"/>
          <w:color w:val="000000"/>
          <w:spacing w:val="-2"/>
          <w:sz w:val="24"/>
          <w:shd w:val="clear" w:color="auto" w:fill="FFFFFF"/>
        </w:rPr>
        <w:t>、施工劳务资质；</w:t>
      </w:r>
    </w:p>
    <w:p>
      <w:pPr>
        <w:spacing w:line="460" w:lineRule="exact"/>
        <w:ind w:firstLine="472" w:firstLineChars="200"/>
        <w:rPr>
          <w:rFonts w:eastAsia="方正仿宋_GBK"/>
          <w:color w:val="000000"/>
          <w:spacing w:val="-2"/>
          <w:sz w:val="24"/>
          <w:shd w:val="clear" w:color="auto" w:fill="FFFFFF"/>
        </w:rPr>
      </w:pPr>
      <w:r>
        <w:rPr>
          <w:rFonts w:eastAsia="方正仿宋_GBK"/>
          <w:color w:val="000000"/>
          <w:spacing w:val="-2"/>
          <w:sz w:val="24"/>
          <w:shd w:val="clear" w:color="auto" w:fill="FFFFFF"/>
        </w:rPr>
        <w:t>5</w:t>
      </w:r>
      <w:r>
        <w:rPr>
          <w:rFonts w:hint="eastAsia" w:eastAsia="方正仿宋_GBK"/>
          <w:color w:val="000000"/>
          <w:spacing w:val="-2"/>
          <w:sz w:val="24"/>
          <w:shd w:val="clear" w:color="auto" w:fill="FFFFFF"/>
        </w:rPr>
        <w:t>、燃气燃烧器具安装、维修企业资质。具体标准按《关于燃气燃烧器具安装、维修企业资质管理有关事项的通知》（建城〔</w:t>
      </w:r>
      <w:r>
        <w:rPr>
          <w:rFonts w:eastAsia="方正仿宋_GBK"/>
          <w:color w:val="000000"/>
          <w:spacing w:val="-2"/>
          <w:sz w:val="24"/>
          <w:shd w:val="clear" w:color="auto" w:fill="FFFFFF"/>
        </w:rPr>
        <w:t>2007</w:t>
      </w:r>
      <w:r>
        <w:rPr>
          <w:rFonts w:hint="eastAsia" w:eastAsia="方正仿宋_GBK"/>
          <w:color w:val="000000"/>
          <w:spacing w:val="-2"/>
          <w:sz w:val="24"/>
          <w:shd w:val="clear" w:color="auto" w:fill="FFFFFF"/>
        </w:rPr>
        <w:t>〕</w:t>
      </w:r>
      <w:r>
        <w:rPr>
          <w:rFonts w:eastAsia="方正仿宋_GBK"/>
          <w:color w:val="000000"/>
          <w:spacing w:val="-2"/>
          <w:sz w:val="24"/>
          <w:shd w:val="clear" w:color="auto" w:fill="FFFFFF"/>
        </w:rPr>
        <w:t>250</w:t>
      </w:r>
      <w:r>
        <w:rPr>
          <w:rFonts w:hint="eastAsia" w:eastAsia="方正仿宋_GBK"/>
          <w:color w:val="000000"/>
          <w:spacing w:val="-2"/>
          <w:sz w:val="24"/>
          <w:shd w:val="clear" w:color="auto" w:fill="FFFFFF"/>
        </w:rPr>
        <w:t>号）有关规定执行。</w:t>
      </w:r>
    </w:p>
    <w:p>
      <w:pPr>
        <w:spacing w:line="460" w:lineRule="exact"/>
        <w:ind w:firstLine="472" w:firstLineChars="200"/>
        <w:rPr>
          <w:rFonts w:ascii="Times New Roman" w:eastAsia="黑体"/>
          <w:color w:val="000000"/>
          <w:spacing w:val="-2"/>
          <w:sz w:val="24"/>
          <w:shd w:val="clear" w:color="auto" w:fill="FFFFFF"/>
        </w:rPr>
      </w:pPr>
      <w:r>
        <w:rPr>
          <w:rFonts w:hint="eastAsia" w:ascii="Times New Roman" w:eastAsia="黑体"/>
          <w:color w:val="000000"/>
          <w:spacing w:val="-2"/>
          <w:sz w:val="24"/>
          <w:shd w:val="clear" w:color="auto" w:fill="FFFFFF"/>
        </w:rPr>
        <w:t>二、申报程序</w:t>
      </w:r>
    </w:p>
    <w:p>
      <w:pPr>
        <w:spacing w:line="460" w:lineRule="exact"/>
        <w:ind w:firstLine="448" w:firstLineChars="200"/>
        <w:rPr>
          <w:rFonts w:hint="eastAsia" w:eastAsia="方正仿宋_GBK"/>
          <w:color w:val="000000"/>
          <w:spacing w:val="-8"/>
          <w:sz w:val="24"/>
          <w:shd w:val="clear" w:color="auto" w:fill="FFFFFF"/>
        </w:rPr>
      </w:pPr>
      <w:r>
        <w:rPr>
          <w:rFonts w:hint="eastAsia" w:eastAsia="方正仿宋_GBK"/>
          <w:color w:val="000000"/>
          <w:spacing w:val="-8"/>
          <w:sz w:val="24"/>
          <w:shd w:val="clear" w:color="auto" w:fill="FFFFFF"/>
        </w:rPr>
        <w:t>（四）企业申请省住房城乡建设厅许可的资质，可以向企业工商注册所在地设区的市或县（市）建设行政主管部门提交申请材料。市或县（市）住房城乡建设主管部门收到申请材料后，应当在</w:t>
      </w:r>
      <w:r>
        <w:rPr>
          <w:rFonts w:eastAsia="方正仿宋_GBK"/>
          <w:color w:val="000000"/>
          <w:spacing w:val="-8"/>
          <w:sz w:val="24"/>
          <w:shd w:val="clear" w:color="auto" w:fill="FFFFFF"/>
        </w:rPr>
        <w:t>5</w:t>
      </w:r>
      <w:r>
        <w:rPr>
          <w:rFonts w:hint="eastAsia" w:eastAsia="方正仿宋_GBK"/>
          <w:color w:val="000000"/>
          <w:spacing w:val="-8"/>
          <w:sz w:val="24"/>
          <w:shd w:val="clear" w:color="auto" w:fill="FFFFFF"/>
        </w:rPr>
        <w:t>日内将全部申请材料报省住房城乡建设厅。</w:t>
      </w:r>
    </w:p>
    <w:p>
      <w:pPr>
        <w:spacing w:line="460" w:lineRule="exact"/>
        <w:ind w:firstLine="448" w:firstLineChars="200"/>
        <w:rPr>
          <w:rFonts w:eastAsia="方正仿宋_GBK"/>
          <w:color w:val="000000"/>
          <w:spacing w:val="-8"/>
          <w:sz w:val="24"/>
          <w:shd w:val="clear" w:color="auto" w:fill="FFFFFF"/>
        </w:rPr>
      </w:pPr>
      <w:r>
        <w:rPr>
          <w:rFonts w:hint="eastAsia" w:eastAsia="方正仿宋_GBK"/>
          <w:color w:val="000000"/>
          <w:spacing w:val="-8"/>
          <w:sz w:val="24"/>
          <w:shd w:val="clear" w:color="auto" w:fill="FFFFFF"/>
        </w:rPr>
        <w:t>省住房城乡建设厅在收到申请材料后，应当依法作出是否受理的决定，并出具凭证；申请材料不齐全或者不符合法定形式的，应当在</w:t>
      </w:r>
      <w:r>
        <w:rPr>
          <w:rFonts w:eastAsia="方正仿宋_GBK"/>
          <w:color w:val="000000"/>
          <w:spacing w:val="-8"/>
          <w:sz w:val="24"/>
          <w:shd w:val="clear" w:color="auto" w:fill="FFFFFF"/>
        </w:rPr>
        <w:t>5</w:t>
      </w:r>
      <w:r>
        <w:rPr>
          <w:rFonts w:hint="eastAsia" w:eastAsia="方正仿宋_GBK"/>
          <w:color w:val="000000"/>
          <w:spacing w:val="-8"/>
          <w:sz w:val="24"/>
          <w:shd w:val="clear" w:color="auto" w:fill="FFFFFF"/>
        </w:rPr>
        <w:t>日内一次性告知申请人需要补正的全部内容。逾期不告知的，自收到申请材料之日起即为受理。</w:t>
      </w:r>
    </w:p>
    <w:p>
      <w:pPr>
        <w:spacing w:line="460" w:lineRule="exact"/>
        <w:ind w:firstLine="448" w:firstLineChars="200"/>
        <w:rPr>
          <w:rFonts w:eastAsia="方正仿宋_GBK"/>
          <w:color w:val="000000"/>
          <w:spacing w:val="-8"/>
          <w:sz w:val="24"/>
          <w:shd w:val="clear" w:color="auto" w:fill="FFFFFF"/>
        </w:rPr>
      </w:pPr>
      <w:r>
        <w:rPr>
          <w:rFonts w:hint="eastAsia" w:eastAsia="方正仿宋_GBK"/>
          <w:color w:val="000000"/>
          <w:spacing w:val="-8"/>
          <w:sz w:val="24"/>
          <w:shd w:val="clear" w:color="auto" w:fill="FFFFFF"/>
        </w:rPr>
        <w:t>省住房城乡建设厅应当自受理之日起</w:t>
      </w:r>
      <w:r>
        <w:rPr>
          <w:rFonts w:eastAsia="方正仿宋_GBK"/>
          <w:color w:val="000000"/>
          <w:spacing w:val="-8"/>
          <w:sz w:val="24"/>
          <w:shd w:val="clear" w:color="auto" w:fill="FFFFFF"/>
        </w:rPr>
        <w:t>20</w:t>
      </w:r>
      <w:r>
        <w:rPr>
          <w:rFonts w:hint="eastAsia" w:eastAsia="方正仿宋_GBK"/>
          <w:color w:val="000000"/>
          <w:spacing w:val="-8"/>
          <w:sz w:val="24"/>
          <w:shd w:val="clear" w:color="auto" w:fill="FFFFFF"/>
        </w:rPr>
        <w:t>个工作日内完成审查。自作出决定之日起</w:t>
      </w:r>
      <w:r>
        <w:rPr>
          <w:rFonts w:eastAsia="方正仿宋_GBK"/>
          <w:color w:val="000000"/>
          <w:spacing w:val="-8"/>
          <w:sz w:val="24"/>
          <w:shd w:val="clear" w:color="auto" w:fill="FFFFFF"/>
        </w:rPr>
        <w:t>10</w:t>
      </w:r>
      <w:r>
        <w:rPr>
          <w:rFonts w:hint="eastAsia" w:eastAsia="方正仿宋_GBK"/>
          <w:color w:val="000000"/>
          <w:spacing w:val="-8"/>
          <w:sz w:val="24"/>
          <w:shd w:val="clear" w:color="auto" w:fill="FFFFFF"/>
        </w:rPr>
        <w:t>日内公告审批结果。其中，涉及交通、水利、通信、电力等方面资质的，由省住房城乡建设厅会同省有关部门审查。</w:t>
      </w:r>
    </w:p>
    <w:p>
      <w:pPr>
        <w:spacing w:line="460" w:lineRule="exact"/>
        <w:ind w:firstLine="448" w:firstLineChars="200"/>
        <w:rPr>
          <w:rFonts w:eastAsia="方正仿宋_GBK"/>
          <w:color w:val="000000"/>
          <w:spacing w:val="-8"/>
          <w:sz w:val="24"/>
          <w:shd w:val="clear" w:color="auto" w:fill="FFFFFF"/>
        </w:rPr>
      </w:pPr>
      <w:r>
        <w:rPr>
          <w:rFonts w:hint="eastAsia" w:eastAsia="方正仿宋_GBK"/>
          <w:color w:val="000000"/>
          <w:spacing w:val="-8"/>
          <w:sz w:val="24"/>
          <w:shd w:val="clear" w:color="auto" w:fill="FFFFFF"/>
        </w:rPr>
        <w:t>需要组织专家评审的，所需时间不计算在许可时限内，但应当明确告知申请人。</w:t>
      </w:r>
    </w:p>
    <w:p>
      <w:pPr>
        <w:spacing w:line="460" w:lineRule="exact"/>
        <w:ind w:firstLine="448" w:firstLineChars="200"/>
        <w:rPr>
          <w:rFonts w:eastAsia="方正仿宋_GBK"/>
          <w:color w:val="000000"/>
          <w:spacing w:val="-8"/>
          <w:sz w:val="24"/>
          <w:shd w:val="clear" w:color="auto" w:fill="FFFFFF"/>
        </w:rPr>
      </w:pPr>
      <w:r>
        <w:rPr>
          <w:rFonts w:hint="eastAsia" w:eastAsia="方正仿宋_GBK"/>
          <w:color w:val="000000"/>
          <w:spacing w:val="-8"/>
          <w:sz w:val="24"/>
          <w:shd w:val="clear" w:color="auto" w:fill="FFFFFF"/>
        </w:rPr>
        <w:t>涉及交通、水利、通信方面的建筑业企业资质申请，由省住房城乡建设厅受理后，征求相关部门意见，相关部门应在</w:t>
      </w:r>
      <w:r>
        <w:rPr>
          <w:rFonts w:eastAsia="方正仿宋_GBK"/>
          <w:color w:val="000000"/>
          <w:spacing w:val="-8"/>
          <w:sz w:val="24"/>
          <w:shd w:val="clear" w:color="auto" w:fill="FFFFFF"/>
        </w:rPr>
        <w:t>10</w:t>
      </w:r>
      <w:r>
        <w:rPr>
          <w:rFonts w:hint="eastAsia" w:eastAsia="方正仿宋_GBK"/>
          <w:color w:val="000000"/>
          <w:spacing w:val="-8"/>
          <w:sz w:val="24"/>
          <w:shd w:val="clear" w:color="auto" w:fill="FFFFFF"/>
        </w:rPr>
        <w:t>个工作日内反馈。逾期未反馈的，视为无不同意见。</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sz w:val="24"/>
        </w:rPr>
        <w:t>（五）注册地在我省的</w:t>
      </w:r>
      <w:r>
        <w:rPr>
          <w:rFonts w:hint="eastAsia" w:eastAsia="方正仿宋_GBK"/>
          <w:color w:val="000000"/>
          <w:spacing w:val="-2"/>
          <w:kern w:val="0"/>
          <w:sz w:val="24"/>
        </w:rPr>
        <w:t>国务院国有资产管理部门直接监管的建筑业企业及其下属企业、</w:t>
      </w:r>
      <w:r>
        <w:rPr>
          <w:rFonts w:hint="eastAsia" w:eastAsia="方正仿宋_GBK"/>
          <w:color w:val="000000"/>
          <w:spacing w:val="-2"/>
          <w:sz w:val="24"/>
        </w:rPr>
        <w:t>省国有资产管理部门直接监管的建筑业企业及其下属企业，申请由</w:t>
      </w:r>
      <w:r>
        <w:rPr>
          <w:rFonts w:hint="eastAsia" w:eastAsia="方正仿宋_GBK"/>
          <w:color w:val="000000"/>
          <w:spacing w:val="-2"/>
          <w:kern w:val="0"/>
          <w:sz w:val="24"/>
        </w:rPr>
        <w:t>省住房城乡建设厅和部</w:t>
      </w:r>
      <w:r>
        <w:rPr>
          <w:rFonts w:hint="eastAsia" w:eastAsia="方正仿宋_GBK"/>
          <w:color w:val="000000"/>
          <w:spacing w:val="-2"/>
          <w:sz w:val="24"/>
        </w:rPr>
        <w:t>许可的资质，企业可直接向省住房城乡建设厅提出申请。</w:t>
      </w:r>
    </w:p>
    <w:p>
      <w:pPr>
        <w:spacing w:line="460" w:lineRule="exact"/>
        <w:ind w:firstLine="472" w:firstLineChars="200"/>
        <w:rPr>
          <w:rFonts w:eastAsia="方正仿宋_GBK"/>
          <w:color w:val="000000"/>
          <w:spacing w:val="-2"/>
          <w:sz w:val="24"/>
        </w:rPr>
      </w:pPr>
      <w:r>
        <w:rPr>
          <w:rFonts w:hint="eastAsia" w:eastAsia="方正仿宋_GBK"/>
          <w:color w:val="000000"/>
          <w:spacing w:val="-2"/>
          <w:kern w:val="0"/>
          <w:sz w:val="24"/>
        </w:rPr>
        <w:t>注册地在苏州工业园区和张家港保税区</w:t>
      </w:r>
      <w:r>
        <w:rPr>
          <w:rFonts w:hint="eastAsia" w:eastAsia="方正仿宋_GBK"/>
          <w:color w:val="000000"/>
          <w:spacing w:val="-2"/>
          <w:sz w:val="24"/>
        </w:rPr>
        <w:t>的建筑业企业，申请</w:t>
      </w:r>
      <w:r>
        <w:rPr>
          <w:rFonts w:hint="eastAsia" w:eastAsia="方正仿宋_GBK"/>
          <w:color w:val="000000"/>
          <w:spacing w:val="-2"/>
          <w:kern w:val="0"/>
          <w:sz w:val="24"/>
        </w:rPr>
        <w:t>由省住房城乡建设厅</w:t>
      </w:r>
      <w:r>
        <w:rPr>
          <w:rFonts w:hint="eastAsia" w:eastAsia="方正仿宋_GBK"/>
          <w:color w:val="000000"/>
          <w:spacing w:val="-2"/>
          <w:sz w:val="24"/>
        </w:rPr>
        <w:t>许可或初审的资质，由</w:t>
      </w:r>
      <w:r>
        <w:rPr>
          <w:rFonts w:hint="eastAsia" w:eastAsia="方正仿宋_GBK"/>
          <w:color w:val="000000"/>
          <w:spacing w:val="-2"/>
          <w:kern w:val="0"/>
          <w:sz w:val="24"/>
        </w:rPr>
        <w:t>苏州工业园区和张家港保税区建设主管部门对</w:t>
      </w:r>
      <w:r>
        <w:rPr>
          <w:rFonts w:hint="eastAsia" w:eastAsia="方正仿宋_GBK"/>
          <w:color w:val="000000"/>
          <w:spacing w:val="-2"/>
          <w:sz w:val="24"/>
        </w:rPr>
        <w:t>申报材料进行核对、汇总</w:t>
      </w:r>
      <w:r>
        <w:rPr>
          <w:rFonts w:hint="eastAsia" w:eastAsia="方正仿宋_GBK"/>
          <w:color w:val="000000"/>
          <w:spacing w:val="-2"/>
          <w:kern w:val="0"/>
          <w:sz w:val="24"/>
        </w:rPr>
        <w:t>，上</w:t>
      </w:r>
      <w:r>
        <w:rPr>
          <w:rFonts w:hint="eastAsia" w:eastAsia="方正仿宋_GBK"/>
          <w:color w:val="000000"/>
          <w:spacing w:val="-2"/>
          <w:sz w:val="24"/>
        </w:rPr>
        <w:t>报省住房城乡建设厅。</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上述企业申请</w:t>
      </w:r>
      <w:r>
        <w:rPr>
          <w:rFonts w:hint="eastAsia" w:eastAsia="方正仿宋_GBK"/>
          <w:color w:val="000000"/>
          <w:spacing w:val="-2"/>
          <w:sz w:val="24"/>
          <w:shd w:val="clear" w:color="auto" w:fill="FFFFFF"/>
        </w:rPr>
        <w:t>设区的市或</w:t>
      </w:r>
      <w:r>
        <w:rPr>
          <w:rFonts w:hint="eastAsia" w:eastAsia="方正仿宋_GBK"/>
          <w:color w:val="000000"/>
          <w:spacing w:val="-2"/>
          <w:sz w:val="24"/>
        </w:rPr>
        <w:t>省直管试点市（县）</w:t>
      </w:r>
      <w:r>
        <w:rPr>
          <w:rFonts w:hint="eastAsia" w:eastAsia="方正仿宋_GBK"/>
          <w:color w:val="000000"/>
          <w:spacing w:val="-2"/>
          <w:sz w:val="24"/>
          <w:shd w:val="clear" w:color="auto" w:fill="FFFFFF"/>
        </w:rPr>
        <w:t>建设行政主管部门</w:t>
      </w:r>
      <w:r>
        <w:rPr>
          <w:rFonts w:hint="eastAsia" w:eastAsia="方正仿宋_GBK"/>
          <w:color w:val="000000"/>
          <w:spacing w:val="-2"/>
          <w:kern w:val="0"/>
          <w:sz w:val="24"/>
        </w:rPr>
        <w:t>许可的资质，按照企业注册所在地</w:t>
      </w:r>
      <w:r>
        <w:rPr>
          <w:rFonts w:hint="eastAsia" w:eastAsia="方正仿宋_GBK"/>
          <w:color w:val="000000"/>
          <w:spacing w:val="-2"/>
          <w:sz w:val="24"/>
          <w:shd w:val="clear" w:color="auto" w:fill="FFFFFF"/>
        </w:rPr>
        <w:t>设区的市或</w:t>
      </w:r>
      <w:r>
        <w:rPr>
          <w:rFonts w:hint="eastAsia" w:eastAsia="方正仿宋_GBK"/>
          <w:color w:val="000000"/>
          <w:spacing w:val="-2"/>
          <w:sz w:val="24"/>
        </w:rPr>
        <w:t>省直管试点市（县）</w:t>
      </w:r>
      <w:r>
        <w:rPr>
          <w:rFonts w:hint="eastAsia" w:eastAsia="方正仿宋_GBK"/>
          <w:color w:val="000000"/>
          <w:spacing w:val="-2"/>
          <w:sz w:val="24"/>
          <w:shd w:val="clear" w:color="auto" w:fill="FFFFFF"/>
        </w:rPr>
        <w:t>建设行政主管部门</w:t>
      </w:r>
      <w:r>
        <w:rPr>
          <w:rFonts w:hint="eastAsia" w:eastAsia="方正仿宋_GBK"/>
          <w:color w:val="000000"/>
          <w:spacing w:val="-2"/>
          <w:kern w:val="0"/>
          <w:sz w:val="24"/>
        </w:rPr>
        <w:t>规定的程序提出申请和审批。</w:t>
      </w:r>
    </w:p>
    <w:p>
      <w:pPr>
        <w:spacing w:line="460" w:lineRule="exact"/>
        <w:ind w:firstLine="472" w:firstLineChars="200"/>
        <w:rPr>
          <w:rFonts w:eastAsia="方正仿宋_GBK"/>
          <w:color w:val="000000"/>
          <w:spacing w:val="-2"/>
          <w:sz w:val="24"/>
          <w:shd w:val="clear" w:color="auto" w:fill="FFFFFF"/>
        </w:rPr>
      </w:pPr>
      <w:r>
        <w:rPr>
          <w:rFonts w:hint="eastAsia" w:eastAsia="方正仿宋_GBK"/>
          <w:color w:val="000000"/>
          <w:spacing w:val="-2"/>
          <w:sz w:val="24"/>
        </w:rPr>
        <w:t>（</w:t>
      </w:r>
      <w:r>
        <w:rPr>
          <w:rFonts w:hint="eastAsia" w:eastAsia="方正仿宋_GBK"/>
          <w:color w:val="000000"/>
          <w:spacing w:val="-2"/>
          <w:sz w:val="24"/>
          <w:shd w:val="clear" w:color="auto" w:fill="FFFFFF"/>
        </w:rPr>
        <w:t>六）申请建筑业企业资质，需从江苏省建筑业监管信息平台上传电子材料。</w:t>
      </w:r>
      <w:r>
        <w:rPr>
          <w:rFonts w:hint="eastAsia" w:eastAsia="方正仿宋_GBK"/>
          <w:color w:val="000000"/>
          <w:spacing w:val="-2"/>
          <w:sz w:val="24"/>
        </w:rPr>
        <w:t>由住房城乡建设部许可的资质</w:t>
      </w:r>
      <w:r>
        <w:rPr>
          <w:rFonts w:hint="eastAsia" w:eastAsia="方正仿宋_GBK"/>
          <w:color w:val="000000"/>
          <w:spacing w:val="-2"/>
          <w:sz w:val="24"/>
          <w:shd w:val="clear" w:color="auto" w:fill="FFFFFF"/>
        </w:rPr>
        <w:t>，除上传电子材料外，还需按住房城乡建设部《实施意见》的要求报送书面申请表和相关附件材料。</w:t>
      </w:r>
    </w:p>
    <w:p>
      <w:pPr>
        <w:spacing w:line="460" w:lineRule="exact"/>
        <w:ind w:firstLine="472" w:firstLineChars="200"/>
        <w:rPr>
          <w:rFonts w:ascii="Times New Roman" w:eastAsia="黑体"/>
          <w:color w:val="000000"/>
          <w:spacing w:val="-2"/>
          <w:sz w:val="24"/>
          <w:shd w:val="clear" w:color="auto" w:fill="FFFFFF"/>
        </w:rPr>
      </w:pPr>
      <w:r>
        <w:rPr>
          <w:rFonts w:hint="eastAsia" w:ascii="Times New Roman" w:eastAsia="黑体"/>
          <w:color w:val="000000"/>
          <w:spacing w:val="-2"/>
          <w:sz w:val="24"/>
          <w:shd w:val="clear" w:color="auto" w:fill="FFFFFF"/>
        </w:rPr>
        <w:t>三、企业主要人员信息</w:t>
      </w:r>
    </w:p>
    <w:p>
      <w:pPr>
        <w:spacing w:line="460" w:lineRule="exact"/>
        <w:ind w:firstLine="472" w:firstLineChars="200"/>
        <w:rPr>
          <w:rFonts w:hint="eastAsia" w:eastAsia="方正仿宋_GBK"/>
          <w:b/>
          <w:color w:val="000000"/>
          <w:spacing w:val="-2"/>
          <w:sz w:val="24"/>
        </w:rPr>
      </w:pPr>
      <w:r>
        <w:rPr>
          <w:rFonts w:hint="eastAsia" w:eastAsia="方正仿宋_GBK"/>
          <w:color w:val="000000"/>
          <w:spacing w:val="-2"/>
          <w:sz w:val="24"/>
        </w:rPr>
        <w:t>（七）资质申报涉及的企业主要人员包括注册执业人员、技术职称人员、现场管理人员、技术工人，人员信息须从省住房城乡建设厅相关信息系统读取。</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（八）人员信息采集和认定办法另行规定。</w:t>
      </w:r>
    </w:p>
    <w:p>
      <w:pPr>
        <w:spacing w:line="460" w:lineRule="exact"/>
        <w:ind w:firstLine="472" w:firstLineChars="200"/>
        <w:rPr>
          <w:rFonts w:ascii="Times New Roman" w:eastAsia="黑体"/>
          <w:color w:val="000000"/>
          <w:spacing w:val="-2"/>
          <w:sz w:val="24"/>
          <w:shd w:val="clear" w:color="auto" w:fill="FFFFFF"/>
        </w:rPr>
      </w:pPr>
      <w:r>
        <w:rPr>
          <w:rFonts w:hint="eastAsia" w:ascii="Times New Roman" w:eastAsia="黑体"/>
          <w:color w:val="000000"/>
          <w:spacing w:val="-2"/>
          <w:sz w:val="24"/>
          <w:shd w:val="clear" w:color="auto" w:fill="FFFFFF"/>
        </w:rPr>
        <w:t>四、企业和个人工程业绩</w:t>
      </w:r>
    </w:p>
    <w:p>
      <w:pPr>
        <w:spacing w:line="460" w:lineRule="exact"/>
        <w:ind w:firstLine="472" w:firstLineChars="200"/>
        <w:rPr>
          <w:rFonts w:hint="eastAsia" w:eastAsia="方正仿宋_GBK"/>
          <w:color w:val="000000"/>
          <w:spacing w:val="-2"/>
          <w:sz w:val="24"/>
          <w:shd w:val="clear" w:color="auto" w:fill="FFFFFF"/>
        </w:rPr>
      </w:pPr>
      <w:r>
        <w:rPr>
          <w:rFonts w:hint="eastAsia" w:eastAsia="方正仿宋_GBK"/>
          <w:color w:val="000000"/>
          <w:spacing w:val="-2"/>
          <w:sz w:val="24"/>
          <w:shd w:val="clear" w:color="auto" w:fill="FFFFFF"/>
        </w:rPr>
        <w:t>（九）申请建筑业企业资质，企业和个人工程业绩须符合《标准》对业绩的要求。</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（十）申请住房城乡建设部许可的资质工程业绩</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申请住房城乡建设部许可的建筑工程施工总承包、市政公用工程施工总承包资质，企业使用在已联网省（自治区、直辖市）完成的工程业绩，以全国建筑市场监管与诚信信息发布平台信息为准，无需提供中标通知书、工程承包合同、竣工验收报告以及相关图纸等证明材料。对上述工程业绩，市、县（市）建设行政主管部门应在《建设工程企业资质申报企业业绩核查汇总表》</w:t>
      </w:r>
      <w:r>
        <w:rPr>
          <w:rFonts w:eastAsia="方正仿宋_GBK"/>
          <w:color w:val="000000"/>
          <w:spacing w:val="-2"/>
          <w:sz w:val="24"/>
        </w:rPr>
        <w:t>“</w:t>
      </w:r>
      <w:r>
        <w:rPr>
          <w:rFonts w:hint="eastAsia" w:eastAsia="方正仿宋_GBK"/>
          <w:color w:val="000000"/>
          <w:spacing w:val="-2"/>
          <w:sz w:val="24"/>
        </w:rPr>
        <w:t>备注</w:t>
      </w:r>
      <w:r>
        <w:rPr>
          <w:rFonts w:eastAsia="方正仿宋_GBK"/>
          <w:color w:val="000000"/>
          <w:spacing w:val="-2"/>
          <w:sz w:val="24"/>
        </w:rPr>
        <w:t>”</w:t>
      </w:r>
      <w:r>
        <w:rPr>
          <w:rFonts w:hint="eastAsia" w:eastAsia="方正仿宋_GBK"/>
          <w:color w:val="000000"/>
          <w:spacing w:val="-2"/>
          <w:sz w:val="24"/>
        </w:rPr>
        <w:t>栏内注明；在已联网省（自治区、直辖市）完成但未进入全国建筑市场监管与诚信信息发布平台的工程业绩，不作为有效业绩认定。</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在未联网省（自治区、直辖市）完成的工程业绩及申报建筑工程施工总承包、市政公用工程施工总承包以外的其他类别资质工程业绩核查按原办法执行。</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（十一）申请省住房城乡建设厅许可的资质工程业绩</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申请省住房城乡建设厅许可的资质，企业使用省内完成的工程业绩，以省建筑市场信用管理平台或省建筑工程施工许可与竣工验收备案申报系统信息为准，无需提供中标通知书、工程承包合同、竣工验收报告以及相关图纸等证明材料。对上述工程业绩，市、县（市）建设行政主管部门应在《建设工程企业资质申报企业业绩核查汇总表》</w:t>
      </w:r>
      <w:r>
        <w:rPr>
          <w:rFonts w:eastAsia="方正仿宋_GBK"/>
          <w:color w:val="000000"/>
          <w:spacing w:val="-2"/>
          <w:sz w:val="24"/>
        </w:rPr>
        <w:t>“</w:t>
      </w:r>
      <w:r>
        <w:rPr>
          <w:rFonts w:hint="eastAsia" w:eastAsia="方正仿宋_GBK"/>
          <w:color w:val="000000"/>
          <w:spacing w:val="-2"/>
          <w:sz w:val="24"/>
        </w:rPr>
        <w:t>备注</w:t>
      </w:r>
      <w:r>
        <w:rPr>
          <w:rFonts w:eastAsia="方正仿宋_GBK"/>
          <w:color w:val="000000"/>
          <w:spacing w:val="-2"/>
          <w:sz w:val="24"/>
        </w:rPr>
        <w:t>”</w:t>
      </w:r>
      <w:r>
        <w:rPr>
          <w:rFonts w:hint="eastAsia" w:eastAsia="方正仿宋_GBK"/>
          <w:color w:val="000000"/>
          <w:spacing w:val="-2"/>
          <w:sz w:val="24"/>
        </w:rPr>
        <w:t>栏内注明；未进入平台或系统的工程业绩不予认可。</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省外工程业绩，按原办法提交《建设工程企业资质申报企业单项业绩核查表》等相应的证明材料。</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（十二）企业申请交通、水利、通信、电力等方面资质提交的业绩，业绩核查按原办法执行。</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（十三）原办法是指《关于加强建设工程企业资质申报业绩核查工作的通知》（苏建建管〔</w:t>
      </w:r>
      <w:r>
        <w:rPr>
          <w:rFonts w:eastAsia="方正仿宋_GBK"/>
          <w:color w:val="000000"/>
          <w:spacing w:val="-2"/>
          <w:sz w:val="24"/>
        </w:rPr>
        <w:t>2012</w:t>
      </w:r>
      <w:r>
        <w:rPr>
          <w:rFonts w:hint="eastAsia" w:eastAsia="方正仿宋_GBK"/>
          <w:color w:val="000000"/>
          <w:spacing w:val="-2"/>
          <w:sz w:val="24"/>
        </w:rPr>
        <w:t>〕</w:t>
      </w:r>
      <w:r>
        <w:rPr>
          <w:rFonts w:eastAsia="方正仿宋_GBK"/>
          <w:color w:val="000000"/>
          <w:spacing w:val="-2"/>
          <w:sz w:val="24"/>
        </w:rPr>
        <w:t>640</w:t>
      </w:r>
      <w:r>
        <w:rPr>
          <w:rFonts w:hint="eastAsia" w:eastAsia="方正仿宋_GBK"/>
          <w:color w:val="000000"/>
          <w:spacing w:val="-2"/>
          <w:sz w:val="24"/>
        </w:rPr>
        <w:t>号）、《关于加强建设工程企业资质申报业绩核查工作的补充通知》（苏建建管〔</w:t>
      </w:r>
      <w:r>
        <w:rPr>
          <w:rFonts w:eastAsia="方正仿宋_GBK"/>
          <w:color w:val="000000"/>
          <w:spacing w:val="-2"/>
          <w:sz w:val="24"/>
        </w:rPr>
        <w:t>2012</w:t>
      </w:r>
      <w:r>
        <w:rPr>
          <w:rFonts w:hint="eastAsia" w:eastAsia="方正仿宋_GBK"/>
          <w:color w:val="000000"/>
          <w:spacing w:val="-2"/>
          <w:sz w:val="24"/>
        </w:rPr>
        <w:t>〕</w:t>
      </w:r>
      <w:r>
        <w:rPr>
          <w:rFonts w:eastAsia="方正仿宋_GBK"/>
          <w:color w:val="000000"/>
          <w:spacing w:val="-2"/>
          <w:sz w:val="24"/>
        </w:rPr>
        <w:t>690</w:t>
      </w:r>
      <w:r>
        <w:rPr>
          <w:rFonts w:hint="eastAsia" w:eastAsia="方正仿宋_GBK"/>
          <w:color w:val="000000"/>
          <w:spacing w:val="-2"/>
          <w:sz w:val="24"/>
        </w:rPr>
        <w:t>号）、《关于进一步规范建筑业企业资质申报业绩核查工作的通知》（苏建建管〔</w:t>
      </w:r>
      <w:r>
        <w:rPr>
          <w:rFonts w:eastAsia="方正仿宋_GBK"/>
          <w:color w:val="000000"/>
          <w:spacing w:val="-2"/>
          <w:sz w:val="24"/>
        </w:rPr>
        <w:t>2014</w:t>
      </w:r>
      <w:r>
        <w:rPr>
          <w:rFonts w:hint="eastAsia" w:eastAsia="方正仿宋_GBK"/>
          <w:color w:val="000000"/>
          <w:spacing w:val="-2"/>
          <w:sz w:val="24"/>
        </w:rPr>
        <w:t>〕</w:t>
      </w:r>
      <w:r>
        <w:rPr>
          <w:rFonts w:eastAsia="方正仿宋_GBK"/>
          <w:color w:val="000000"/>
          <w:spacing w:val="-2"/>
          <w:sz w:val="24"/>
        </w:rPr>
        <w:t>86</w:t>
      </w:r>
      <w:r>
        <w:rPr>
          <w:rFonts w:hint="eastAsia" w:eastAsia="方正仿宋_GBK"/>
          <w:color w:val="000000"/>
          <w:spacing w:val="-2"/>
          <w:sz w:val="24"/>
        </w:rPr>
        <w:t>号）。</w:t>
      </w:r>
    </w:p>
    <w:p>
      <w:pPr>
        <w:spacing w:line="460" w:lineRule="exact"/>
        <w:ind w:firstLine="472" w:firstLineChars="200"/>
        <w:rPr>
          <w:rFonts w:eastAsia="方正仿宋_GBK"/>
          <w:color w:val="000000"/>
          <w:spacing w:val="-2"/>
          <w:sz w:val="24"/>
        </w:rPr>
      </w:pPr>
      <w:r>
        <w:rPr>
          <w:rFonts w:hint="eastAsia" w:eastAsia="方正仿宋_GBK"/>
          <w:color w:val="000000"/>
          <w:spacing w:val="-2"/>
          <w:kern w:val="0"/>
          <w:sz w:val="24"/>
        </w:rPr>
        <w:t>（十四）</w:t>
      </w:r>
      <w:r>
        <w:rPr>
          <w:rFonts w:hint="eastAsia" w:eastAsia="方正仿宋_GBK"/>
          <w:color w:val="000000"/>
          <w:spacing w:val="-2"/>
          <w:sz w:val="24"/>
        </w:rPr>
        <w:t>企业技术负责人（或注册建造师）主持完成的个人业绩，是指该人员担任相应工程项目的技术负责人或以注册建造师身份担任项目经理的业绩。</w:t>
      </w:r>
    </w:p>
    <w:p>
      <w:pPr>
        <w:spacing w:line="460" w:lineRule="exact"/>
        <w:ind w:firstLine="472" w:firstLineChars="200"/>
        <w:rPr>
          <w:rFonts w:ascii="Times New Roman" w:eastAsia="黑体"/>
          <w:color w:val="000000"/>
          <w:spacing w:val="-2"/>
          <w:sz w:val="24"/>
          <w:shd w:val="clear" w:color="auto" w:fill="FFFFFF"/>
        </w:rPr>
      </w:pPr>
      <w:r>
        <w:rPr>
          <w:rFonts w:hint="eastAsia" w:ascii="Times New Roman" w:eastAsia="黑体"/>
          <w:color w:val="000000"/>
          <w:spacing w:val="-2"/>
          <w:sz w:val="24"/>
          <w:shd w:val="clear" w:color="auto" w:fill="FFFFFF"/>
        </w:rPr>
        <w:t>五、换证工作</w:t>
      </w:r>
    </w:p>
    <w:p>
      <w:pPr>
        <w:spacing w:line="460" w:lineRule="exact"/>
        <w:ind w:firstLine="472" w:firstLineChars="200"/>
        <w:rPr>
          <w:rFonts w:hint="eastAsia" w:eastAsia="方正仿宋_GBK"/>
          <w:color w:val="000000"/>
          <w:spacing w:val="-2"/>
          <w:sz w:val="24"/>
          <w:shd w:val="clear" w:color="auto" w:fill="FFFFFF"/>
        </w:rPr>
      </w:pPr>
      <w:r>
        <w:rPr>
          <w:rFonts w:hint="eastAsia" w:eastAsia="方正仿宋_GBK"/>
          <w:color w:val="000000"/>
          <w:spacing w:val="-2"/>
          <w:sz w:val="24"/>
          <w:shd w:val="clear" w:color="auto" w:fill="FFFFFF"/>
        </w:rPr>
        <w:t>（十五）按原标准取得的建筑业企业资质应于</w:t>
      </w:r>
      <w:r>
        <w:rPr>
          <w:rFonts w:eastAsia="方正仿宋_GBK"/>
          <w:color w:val="000000"/>
          <w:spacing w:val="-2"/>
          <w:sz w:val="24"/>
          <w:shd w:val="clear" w:color="auto" w:fill="FFFFFF"/>
        </w:rPr>
        <w:t>2016</w:t>
      </w:r>
      <w:r>
        <w:rPr>
          <w:rFonts w:hint="eastAsia" w:eastAsia="方正仿宋_GBK"/>
          <w:color w:val="000000"/>
          <w:spacing w:val="-2"/>
          <w:sz w:val="24"/>
          <w:shd w:val="clear" w:color="auto" w:fill="FFFFFF"/>
        </w:rPr>
        <w:t>年</w:t>
      </w:r>
      <w:r>
        <w:rPr>
          <w:rFonts w:eastAsia="方正仿宋_GBK"/>
          <w:color w:val="000000"/>
          <w:spacing w:val="-2"/>
          <w:sz w:val="24"/>
          <w:shd w:val="clear" w:color="auto" w:fill="FFFFFF"/>
        </w:rPr>
        <w:t>9</w:t>
      </w:r>
      <w:r>
        <w:rPr>
          <w:rFonts w:hint="eastAsia" w:eastAsia="方正仿宋_GBK"/>
          <w:color w:val="000000"/>
          <w:spacing w:val="-2"/>
          <w:sz w:val="24"/>
          <w:shd w:val="clear" w:color="auto" w:fill="FFFFFF"/>
        </w:rPr>
        <w:t>月</w:t>
      </w:r>
      <w:r>
        <w:rPr>
          <w:rFonts w:eastAsia="方正仿宋_GBK"/>
          <w:color w:val="000000"/>
          <w:spacing w:val="-2"/>
          <w:sz w:val="24"/>
          <w:shd w:val="clear" w:color="auto" w:fill="FFFFFF"/>
        </w:rPr>
        <w:t>30</w:t>
      </w:r>
      <w:r>
        <w:rPr>
          <w:rFonts w:hint="eastAsia" w:eastAsia="方正仿宋_GBK"/>
          <w:color w:val="000000"/>
          <w:spacing w:val="-2"/>
          <w:sz w:val="24"/>
          <w:shd w:val="clear" w:color="auto" w:fill="FFFFFF"/>
        </w:rPr>
        <w:t>日之前，按照《规定》、《标准》、《实施意见》及本通知要求申请换发新版建筑业企业资质证书（以下简称换证）。企业资产、主要人员、技术装备符合《标准》要求的，资质许可机关颁发新版建筑业企业资质证书。</w:t>
      </w:r>
      <w:r>
        <w:rPr>
          <w:rFonts w:eastAsia="方正仿宋_GBK"/>
          <w:color w:val="000000"/>
          <w:spacing w:val="-2"/>
          <w:sz w:val="24"/>
          <w:shd w:val="clear" w:color="auto" w:fill="FFFFFF"/>
        </w:rPr>
        <w:t>2017</w:t>
      </w:r>
      <w:r>
        <w:rPr>
          <w:rFonts w:hint="eastAsia" w:eastAsia="方正仿宋_GBK"/>
          <w:color w:val="000000"/>
          <w:spacing w:val="-2"/>
          <w:sz w:val="24"/>
          <w:shd w:val="clear" w:color="auto" w:fill="FFFFFF"/>
        </w:rPr>
        <w:t>年</w:t>
      </w:r>
      <w:r>
        <w:rPr>
          <w:rFonts w:eastAsia="方正仿宋_GBK"/>
          <w:color w:val="000000"/>
          <w:spacing w:val="-2"/>
          <w:sz w:val="24"/>
          <w:shd w:val="clear" w:color="auto" w:fill="FFFFFF"/>
        </w:rPr>
        <w:t>1</w:t>
      </w:r>
      <w:r>
        <w:rPr>
          <w:rFonts w:hint="eastAsia" w:eastAsia="方正仿宋_GBK"/>
          <w:color w:val="000000"/>
          <w:spacing w:val="-2"/>
          <w:sz w:val="24"/>
          <w:shd w:val="clear" w:color="auto" w:fill="FFFFFF"/>
        </w:rPr>
        <w:t>月</w:t>
      </w:r>
      <w:r>
        <w:rPr>
          <w:rFonts w:eastAsia="方正仿宋_GBK"/>
          <w:color w:val="000000"/>
          <w:spacing w:val="-2"/>
          <w:sz w:val="24"/>
          <w:shd w:val="clear" w:color="auto" w:fill="FFFFFF"/>
        </w:rPr>
        <w:t>1</w:t>
      </w:r>
      <w:r>
        <w:rPr>
          <w:rFonts w:hint="eastAsia" w:eastAsia="方正仿宋_GBK"/>
          <w:color w:val="000000"/>
          <w:spacing w:val="-2"/>
          <w:sz w:val="24"/>
          <w:shd w:val="clear" w:color="auto" w:fill="FFFFFF"/>
        </w:rPr>
        <w:t>日起，旧版建筑业企业资质证书自行失效。</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shd w:val="clear" w:color="auto" w:fill="FFFFFF"/>
        </w:rPr>
        <w:t>（十六）土石方、混凝土预制构件、电梯安装、金属门窗、预应力、无损检测、体育场地设施、爆破与拆除工程专业承包资质，</w:t>
      </w:r>
      <w:r>
        <w:rPr>
          <w:rFonts w:hint="eastAsia" w:eastAsia="方正仿宋_GBK"/>
          <w:color w:val="000000"/>
          <w:spacing w:val="-2"/>
          <w:kern w:val="0"/>
          <w:sz w:val="24"/>
        </w:rPr>
        <w:t>公路养护、航道养护、可再生能源、市政养护、凿井、空气净化、高空作业、建筑物非爆破拆除工程专业承包资质，特种专业工程中桥梁伸缩缝安装、非开挖管道定向穿越、防渗、外墙保温等专业承包资质不换证</w:t>
      </w:r>
      <w:r>
        <w:rPr>
          <w:rFonts w:hint="eastAsia" w:eastAsia="方正仿宋_GBK"/>
          <w:color w:val="000000"/>
          <w:spacing w:val="-2"/>
          <w:sz w:val="24"/>
          <w:shd w:val="clear" w:color="auto" w:fill="FFFFFF"/>
        </w:rPr>
        <w:t>。</w:t>
      </w:r>
    </w:p>
    <w:p>
      <w:pPr>
        <w:spacing w:line="460" w:lineRule="exact"/>
        <w:ind w:firstLine="472" w:firstLineChars="200"/>
        <w:rPr>
          <w:rFonts w:eastAsia="方正仿宋_GBK"/>
          <w:color w:val="000000"/>
          <w:spacing w:val="-2"/>
          <w:sz w:val="24"/>
        </w:rPr>
      </w:pPr>
      <w:r>
        <w:rPr>
          <w:rFonts w:hint="eastAsia" w:eastAsia="方正仿宋_GBK"/>
          <w:color w:val="000000"/>
          <w:spacing w:val="-2"/>
          <w:kern w:val="0"/>
          <w:sz w:val="24"/>
        </w:rPr>
        <w:t>（十七）按原标准取得建筑防水、防腐保温、建筑智能化、电子、建筑装修装饰工程、消防设施工程、建筑幕墙工程等三级专业承包资质的企业，可申请《标准》中相应二级专业承包资质换证；按原标准取得建筑防水工程二级专业承包资质的企业，可申请防水防腐保温工程一级专业承包资质换证。</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十八）已取得特种工程专业承包资质，但资质证书副本未载明承包内容的，企业可根据实际从事业务及拥有的专业技术人员和技术负责人个人业绩情况选择建筑物纠偏和平移、结构补强、特殊设备起重吊装、特种防雷承包内容申请换证。</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shd w:val="clear" w:color="auto" w:fill="FFFFFF"/>
        </w:rPr>
        <w:t>（</w:t>
      </w:r>
      <w:r>
        <w:rPr>
          <w:rFonts w:hint="eastAsia" w:eastAsia="方正仿宋_GBK"/>
          <w:color w:val="000000"/>
          <w:spacing w:val="-2"/>
          <w:sz w:val="24"/>
        </w:rPr>
        <w:t>十九</w:t>
      </w:r>
      <w:r>
        <w:rPr>
          <w:rFonts w:hint="eastAsia" w:eastAsia="方正仿宋_GBK"/>
          <w:color w:val="000000"/>
          <w:spacing w:val="-2"/>
          <w:sz w:val="24"/>
          <w:shd w:val="clear" w:color="auto" w:fill="FFFFFF"/>
        </w:rPr>
        <w:t>）企业申请换证，应根据已有的资质对照本通知规定的许可权限，分别向不同的许可机关一次性全部提出换证</w:t>
      </w:r>
      <w:r>
        <w:rPr>
          <w:rFonts w:hint="eastAsia" w:eastAsia="方正仿宋_GBK"/>
          <w:color w:val="000000"/>
          <w:spacing w:val="-2"/>
          <w:sz w:val="24"/>
        </w:rPr>
        <w:t>申请</w:t>
      </w:r>
      <w:r>
        <w:rPr>
          <w:rFonts w:hint="eastAsia" w:eastAsia="方正仿宋_GBK"/>
          <w:color w:val="000000"/>
          <w:spacing w:val="-2"/>
          <w:sz w:val="24"/>
          <w:shd w:val="clear" w:color="auto" w:fill="FFFFFF"/>
        </w:rPr>
        <w:t>。企业也可根据实际情况，直接选择低于原资质等级向相应的许可机关申请换证，并按照《建筑业企业资质申报材料清单》中换证要求提交材料。如：企业同时具有部、省、市三级机关许可的资质，对同一发证机关许可的资质必须一</w:t>
      </w:r>
      <w:r>
        <w:rPr>
          <w:rFonts w:hint="eastAsia" w:eastAsia="方正仿宋_GBK"/>
          <w:color w:val="000000"/>
          <w:spacing w:val="-2"/>
          <w:sz w:val="24"/>
        </w:rPr>
        <w:t>次性提出换证申请；</w:t>
      </w:r>
      <w:r>
        <w:rPr>
          <w:rFonts w:hint="eastAsia" w:eastAsia="方正仿宋_GBK"/>
          <w:color w:val="000000"/>
          <w:spacing w:val="-2"/>
          <w:sz w:val="24"/>
          <w:shd w:val="clear" w:color="auto" w:fill="FFFFFF"/>
        </w:rPr>
        <w:t>企业有一个以上总承包类别一级资质，其中一个或若干个资质低于原资质等级申请换证，可根据实际情况向省或市建设行政主管部门提出换证申请。</w:t>
      </w:r>
    </w:p>
    <w:p>
      <w:pPr>
        <w:spacing w:line="460" w:lineRule="exact"/>
        <w:ind w:firstLine="472" w:firstLineChars="200"/>
        <w:rPr>
          <w:rFonts w:eastAsia="方正仿宋_GBK"/>
          <w:color w:val="000000"/>
          <w:spacing w:val="-2"/>
          <w:sz w:val="24"/>
          <w:shd w:val="clear" w:color="auto" w:fill="FFFFFF"/>
        </w:rPr>
      </w:pPr>
      <w:r>
        <w:rPr>
          <w:rFonts w:hint="eastAsia" w:eastAsia="方正仿宋_GBK"/>
          <w:color w:val="000000"/>
          <w:spacing w:val="-2"/>
          <w:sz w:val="24"/>
          <w:shd w:val="clear" w:color="auto" w:fill="FFFFFF"/>
        </w:rPr>
        <w:t>（二十）企业申请资质升级、增项的，原有资质必须全部按要求先换证后再提出升级、增项申请。</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shd w:val="clear" w:color="auto" w:fill="FFFFFF"/>
        </w:rPr>
        <w:t>（二十一）特级资质、建筑智能化工程设计与施工等</w:t>
      </w:r>
      <w:r>
        <w:rPr>
          <w:rFonts w:eastAsia="方正仿宋_GBK"/>
          <w:color w:val="000000"/>
          <w:spacing w:val="-2"/>
          <w:sz w:val="24"/>
          <w:shd w:val="clear" w:color="auto" w:fill="FFFFFF"/>
        </w:rPr>
        <w:t>4</w:t>
      </w:r>
      <w:r>
        <w:rPr>
          <w:rFonts w:hint="eastAsia" w:eastAsia="方正仿宋_GBK"/>
          <w:color w:val="000000"/>
          <w:spacing w:val="-2"/>
          <w:sz w:val="24"/>
          <w:shd w:val="clear" w:color="auto" w:fill="FFFFFF"/>
        </w:rPr>
        <w:t>个设计与施工资质此次不换证。</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shd w:val="clear" w:color="auto" w:fill="FFFFFF"/>
        </w:rPr>
        <w:t>（二十二）过渡期内，企业换证前因企业名称、注册资本、法定代表人、技术负责人、注册地址（本省级区域内）等发生变化需变更资质证书内容的，按原标准审查，仍颁发旧版证书；</w:t>
      </w:r>
      <w:r>
        <w:rPr>
          <w:rFonts w:hint="eastAsia" w:eastAsia="方正仿宋_GBK"/>
          <w:color w:val="000000"/>
          <w:spacing w:val="-2"/>
          <w:kern w:val="0"/>
          <w:sz w:val="24"/>
        </w:rPr>
        <w:t>企业发生重组、合并、分立并符合《</w:t>
      </w:r>
      <w:r>
        <w:rPr>
          <w:rFonts w:hint="eastAsia" w:eastAsia="方正仿宋_GBK"/>
          <w:color w:val="000000"/>
          <w:spacing w:val="-2"/>
          <w:sz w:val="24"/>
          <w:shd w:val="clear" w:color="auto" w:fill="FFFFFF"/>
        </w:rPr>
        <w:t>住房城乡建设部关于建设工程企业发生重组、合并、分立等情况资质核定有关问题的通知</w:t>
      </w:r>
      <w:r>
        <w:rPr>
          <w:rFonts w:hint="eastAsia" w:eastAsia="方正仿宋_GBK"/>
          <w:bCs/>
          <w:color w:val="000000"/>
          <w:spacing w:val="-2"/>
          <w:sz w:val="24"/>
          <w:shd w:val="clear" w:color="auto" w:fill="FFFFFF"/>
        </w:rPr>
        <w:t>》（</w:t>
      </w:r>
      <w:r>
        <w:rPr>
          <w:rFonts w:hint="eastAsia" w:eastAsia="方正仿宋_GBK"/>
          <w:color w:val="000000"/>
          <w:spacing w:val="-2"/>
          <w:sz w:val="24"/>
          <w:shd w:val="clear" w:color="auto" w:fill="FFFFFF"/>
        </w:rPr>
        <w:t>建市〔</w:t>
      </w:r>
      <w:r>
        <w:rPr>
          <w:rFonts w:eastAsia="方正仿宋_GBK"/>
          <w:color w:val="000000"/>
          <w:spacing w:val="-2"/>
          <w:sz w:val="24"/>
          <w:shd w:val="clear" w:color="auto" w:fill="FFFFFF"/>
        </w:rPr>
        <w:t>2014</w:t>
      </w:r>
      <w:r>
        <w:rPr>
          <w:rFonts w:hint="eastAsia" w:eastAsia="方正仿宋_GBK"/>
          <w:color w:val="000000"/>
          <w:spacing w:val="-2"/>
          <w:sz w:val="24"/>
          <w:shd w:val="clear" w:color="auto" w:fill="FFFFFF"/>
        </w:rPr>
        <w:t>〕</w:t>
      </w:r>
      <w:r>
        <w:rPr>
          <w:rFonts w:eastAsia="方正仿宋_GBK"/>
          <w:color w:val="000000"/>
          <w:spacing w:val="-2"/>
          <w:sz w:val="24"/>
          <w:shd w:val="clear" w:color="auto" w:fill="FFFFFF"/>
        </w:rPr>
        <w:t>79</w:t>
      </w:r>
      <w:r>
        <w:rPr>
          <w:rFonts w:hint="eastAsia" w:eastAsia="方正仿宋_GBK"/>
          <w:color w:val="000000"/>
          <w:spacing w:val="-2"/>
          <w:sz w:val="24"/>
          <w:shd w:val="clear" w:color="auto" w:fill="FFFFFF"/>
        </w:rPr>
        <w:t>号）所列简化审批手续情形的</w:t>
      </w:r>
      <w:r>
        <w:rPr>
          <w:rFonts w:hint="eastAsia" w:eastAsia="方正仿宋_GBK"/>
          <w:color w:val="000000"/>
          <w:spacing w:val="-2"/>
          <w:kern w:val="0"/>
          <w:sz w:val="24"/>
        </w:rPr>
        <w:t>，按原标准审核并颁发旧版证书。</w:t>
      </w:r>
    </w:p>
    <w:p>
      <w:pPr>
        <w:spacing w:line="460" w:lineRule="exact"/>
        <w:ind w:firstLine="472" w:firstLineChars="200"/>
        <w:rPr>
          <w:rFonts w:ascii="Times New Roman" w:eastAsia="黑体"/>
          <w:color w:val="000000"/>
          <w:spacing w:val="-2"/>
          <w:sz w:val="24"/>
          <w:shd w:val="clear" w:color="auto" w:fill="FFFFFF"/>
        </w:rPr>
      </w:pPr>
      <w:r>
        <w:rPr>
          <w:rFonts w:hint="eastAsia" w:ascii="Times New Roman" w:eastAsia="黑体"/>
          <w:color w:val="000000"/>
          <w:spacing w:val="-2"/>
          <w:sz w:val="24"/>
          <w:shd w:val="clear" w:color="auto" w:fill="FFFFFF"/>
        </w:rPr>
        <w:t>六、其他</w:t>
      </w:r>
    </w:p>
    <w:p>
      <w:pPr>
        <w:spacing w:line="460" w:lineRule="exact"/>
        <w:ind w:firstLine="472" w:firstLineChars="200"/>
        <w:rPr>
          <w:rFonts w:hint="eastAsia" w:eastAsia="方正仿宋_GBK"/>
          <w:color w:val="000000"/>
          <w:spacing w:val="-8"/>
          <w:sz w:val="24"/>
          <w:shd w:val="clear" w:color="auto" w:fill="FFFFFF"/>
        </w:rPr>
      </w:pPr>
      <w:r>
        <w:rPr>
          <w:rFonts w:hint="eastAsia" w:eastAsia="方正仿宋_GBK"/>
          <w:color w:val="000000"/>
          <w:spacing w:val="-2"/>
          <w:sz w:val="24"/>
        </w:rPr>
        <w:t>（二十三）</w:t>
      </w:r>
      <w:r>
        <w:rPr>
          <w:rFonts w:hint="eastAsia" w:eastAsia="方正仿宋_GBK"/>
          <w:color w:val="000000"/>
          <w:spacing w:val="-8"/>
          <w:sz w:val="24"/>
          <w:shd w:val="clear" w:color="auto" w:fill="FFFFFF"/>
        </w:rPr>
        <w:t>企业净资产以企业申请资质前一年度或当期经审计的财务报表中净资产指标为准考核。其中，企业前一年度的净资产信息必须从</w:t>
      </w:r>
      <w:r>
        <w:rPr>
          <w:rFonts w:eastAsia="方正仿宋_GBK"/>
          <w:color w:val="000000"/>
          <w:spacing w:val="-8"/>
          <w:sz w:val="24"/>
          <w:shd w:val="clear" w:color="auto" w:fill="FFFFFF"/>
        </w:rPr>
        <w:t>“</w:t>
      </w:r>
      <w:r>
        <w:rPr>
          <w:rFonts w:hint="eastAsia" w:eastAsia="方正仿宋_GBK"/>
          <w:color w:val="000000"/>
          <w:spacing w:val="-8"/>
          <w:sz w:val="24"/>
          <w:shd w:val="clear" w:color="auto" w:fill="FFFFFF"/>
        </w:rPr>
        <w:t>省建筑业统计信息系统</w:t>
      </w:r>
      <w:r>
        <w:rPr>
          <w:rFonts w:eastAsia="方正仿宋_GBK"/>
          <w:color w:val="000000"/>
          <w:spacing w:val="-8"/>
          <w:sz w:val="24"/>
          <w:shd w:val="clear" w:color="auto" w:fill="FFFFFF"/>
        </w:rPr>
        <w:t>”</w:t>
      </w:r>
      <w:r>
        <w:rPr>
          <w:rFonts w:hint="eastAsia" w:eastAsia="方正仿宋_GBK"/>
          <w:color w:val="000000"/>
          <w:spacing w:val="-8"/>
          <w:sz w:val="24"/>
          <w:shd w:val="clear" w:color="auto" w:fill="FFFFFF"/>
        </w:rPr>
        <w:t>读取。</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shd w:val="clear" w:color="auto" w:fill="FFFFFF"/>
        </w:rPr>
        <w:t>（二十四）各市建设行政主管部门应依据《规定》，根据实际，制定资质许可程序并报省厅备案。同时加快各地建筑市场信用平台建设，并与省建筑市场信用平台进行数据对接，以便企业资质申报和换证工作的正常进行。</w:t>
      </w:r>
    </w:p>
    <w:p>
      <w:pPr>
        <w:spacing w:line="460" w:lineRule="exact"/>
        <w:ind w:firstLine="472" w:firstLineChars="200"/>
        <w:rPr>
          <w:rFonts w:eastAsia="方正仿宋_GBK"/>
          <w:color w:val="000000"/>
          <w:spacing w:val="-6"/>
          <w:sz w:val="24"/>
        </w:rPr>
      </w:pPr>
      <w:r>
        <w:rPr>
          <w:rFonts w:hint="eastAsia" w:eastAsia="方正仿宋_GBK"/>
          <w:color w:val="000000"/>
          <w:spacing w:val="-2"/>
          <w:sz w:val="24"/>
          <w:shd w:val="clear" w:color="auto" w:fill="FFFFFF"/>
        </w:rPr>
        <w:t>（二十五）</w:t>
      </w:r>
      <w:r>
        <w:rPr>
          <w:rFonts w:hint="eastAsia" w:eastAsia="方正仿宋_GBK"/>
          <w:color w:val="000000"/>
          <w:spacing w:val="-6"/>
          <w:sz w:val="24"/>
          <w:shd w:val="clear" w:color="auto" w:fill="FFFFFF"/>
        </w:rPr>
        <w:t>过渡期内，各级建设行政主管部门应依照有关法律、法规和《规定》，加强对企业取得建筑业企业资质后是否继续满足资质标准要求和市场行为的动态监管。</w:t>
      </w:r>
    </w:p>
    <w:p>
      <w:pPr>
        <w:spacing w:line="460" w:lineRule="exact"/>
        <w:ind w:firstLine="472" w:firstLineChars="200"/>
        <w:rPr>
          <w:rFonts w:eastAsia="方正仿宋_GBK"/>
          <w:color w:val="000000"/>
          <w:spacing w:val="-8"/>
          <w:sz w:val="24"/>
        </w:rPr>
      </w:pPr>
      <w:r>
        <w:rPr>
          <w:rFonts w:hint="eastAsia" w:eastAsia="方正仿宋_GBK"/>
          <w:color w:val="000000"/>
          <w:spacing w:val="-2"/>
          <w:sz w:val="24"/>
        </w:rPr>
        <w:t>（二十六）</w:t>
      </w:r>
      <w:r>
        <w:rPr>
          <w:rFonts w:hint="eastAsia" w:eastAsia="方正仿宋_GBK"/>
          <w:color w:val="000000"/>
          <w:spacing w:val="-8"/>
          <w:sz w:val="24"/>
        </w:rPr>
        <w:t>本通知自颁发之日起施行。</w:t>
      </w:r>
      <w:r>
        <w:rPr>
          <w:rFonts w:eastAsia="方正仿宋_GBK"/>
          <w:color w:val="000000"/>
          <w:spacing w:val="-8"/>
          <w:sz w:val="24"/>
        </w:rPr>
        <w:t>2007</w:t>
      </w:r>
      <w:r>
        <w:rPr>
          <w:rFonts w:hint="eastAsia" w:eastAsia="方正仿宋_GBK"/>
          <w:color w:val="000000"/>
          <w:spacing w:val="-8"/>
          <w:sz w:val="24"/>
        </w:rPr>
        <w:t>年</w:t>
      </w:r>
      <w:r>
        <w:rPr>
          <w:rFonts w:eastAsia="方正仿宋_GBK"/>
          <w:color w:val="000000"/>
          <w:spacing w:val="-8"/>
          <w:sz w:val="24"/>
        </w:rPr>
        <w:t>12</w:t>
      </w:r>
      <w:r>
        <w:rPr>
          <w:rFonts w:hint="eastAsia" w:eastAsia="方正仿宋_GBK"/>
          <w:color w:val="000000"/>
          <w:spacing w:val="-8"/>
          <w:sz w:val="24"/>
        </w:rPr>
        <w:t>月</w:t>
      </w:r>
      <w:r>
        <w:rPr>
          <w:rFonts w:eastAsia="方正仿宋_GBK"/>
          <w:color w:val="000000"/>
          <w:spacing w:val="-8"/>
          <w:sz w:val="24"/>
        </w:rPr>
        <w:t>27</w:t>
      </w:r>
      <w:r>
        <w:rPr>
          <w:rFonts w:hint="eastAsia" w:eastAsia="方正仿宋_GBK"/>
          <w:color w:val="000000"/>
          <w:spacing w:val="-8"/>
          <w:sz w:val="24"/>
        </w:rPr>
        <w:t>日原江苏省建筑工程管理局颁发的《江苏省建筑业企业资质管理规定实施办法》（苏建管企</w:t>
      </w:r>
      <w:r>
        <w:rPr>
          <w:rFonts w:hint="eastAsia" w:eastAsia="方正仿宋_GBK"/>
          <w:color w:val="000000"/>
          <w:spacing w:val="-8"/>
          <w:sz w:val="24"/>
          <w:shd w:val="clear" w:color="auto" w:fill="FFFFFF"/>
        </w:rPr>
        <w:t>〔</w:t>
      </w:r>
      <w:r>
        <w:rPr>
          <w:rFonts w:eastAsia="方正仿宋_GBK"/>
          <w:color w:val="000000"/>
          <w:spacing w:val="-8"/>
          <w:sz w:val="24"/>
          <w:shd w:val="clear" w:color="auto" w:fill="FFFFFF"/>
        </w:rPr>
        <w:t>2007</w:t>
      </w:r>
      <w:r>
        <w:rPr>
          <w:rFonts w:hint="eastAsia" w:eastAsia="方正仿宋_GBK"/>
          <w:color w:val="000000"/>
          <w:spacing w:val="-8"/>
          <w:sz w:val="24"/>
          <w:shd w:val="clear" w:color="auto" w:fill="FFFFFF"/>
        </w:rPr>
        <w:t>〕</w:t>
      </w:r>
      <w:r>
        <w:rPr>
          <w:rFonts w:eastAsia="方正仿宋_GBK"/>
          <w:color w:val="000000"/>
          <w:spacing w:val="-8"/>
          <w:sz w:val="24"/>
        </w:rPr>
        <w:t>45</w:t>
      </w:r>
      <w:r>
        <w:rPr>
          <w:rFonts w:hint="eastAsia" w:eastAsia="方正仿宋_GBK"/>
          <w:color w:val="000000"/>
          <w:spacing w:val="-8"/>
          <w:sz w:val="24"/>
        </w:rPr>
        <w:t>号）同时废止。</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在执行中如遇问题，及时与厅建筑市场监管处、行政审批办公室联系。</w:t>
      </w:r>
    </w:p>
    <w:p>
      <w:pPr>
        <w:spacing w:line="460" w:lineRule="exact"/>
        <w:ind w:firstLine="472" w:firstLineChars="200"/>
        <w:rPr>
          <w:rFonts w:eastAsia="方正仿宋_GBK"/>
          <w:color w:val="000000"/>
          <w:spacing w:val="-2"/>
          <w:sz w:val="24"/>
        </w:rPr>
      </w:pP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附件：</w:t>
      </w:r>
      <w:r>
        <w:rPr>
          <w:rFonts w:eastAsia="方正仿宋_GBK"/>
          <w:color w:val="000000"/>
          <w:spacing w:val="-2"/>
          <w:sz w:val="24"/>
        </w:rPr>
        <w:t>1.</w:t>
      </w:r>
      <w:r>
        <w:rPr>
          <w:rFonts w:hint="eastAsia" w:eastAsia="方正仿宋_GBK"/>
          <w:color w:val="000000"/>
          <w:spacing w:val="-2"/>
          <w:sz w:val="24"/>
          <w:shd w:val="clear" w:color="auto" w:fill="FFFFFF"/>
        </w:rPr>
        <w:t>《建筑业企业资质管理规定》（住房城乡</w:t>
      </w:r>
      <w:r>
        <w:rPr>
          <w:rFonts w:hint="eastAsia" w:eastAsia="方正仿宋_GBK"/>
          <w:color w:val="000000"/>
          <w:spacing w:val="-2"/>
          <w:kern w:val="0"/>
          <w:sz w:val="24"/>
        </w:rPr>
        <w:t>建设部令第</w:t>
      </w:r>
      <w:r>
        <w:rPr>
          <w:rFonts w:eastAsia="方正仿宋_GBK"/>
          <w:color w:val="000000"/>
          <w:spacing w:val="-2"/>
          <w:kern w:val="0"/>
          <w:sz w:val="24"/>
        </w:rPr>
        <w:t>22</w:t>
      </w:r>
      <w:r>
        <w:rPr>
          <w:rFonts w:hint="eastAsia" w:eastAsia="方正仿宋_GBK"/>
          <w:color w:val="000000"/>
          <w:spacing w:val="-2"/>
          <w:kern w:val="0"/>
          <w:sz w:val="24"/>
        </w:rPr>
        <w:t>号）（略）</w:t>
      </w:r>
    </w:p>
    <w:p>
      <w:pPr>
        <w:spacing w:line="460" w:lineRule="exact"/>
        <w:ind w:firstLine="1210" w:firstLineChars="513"/>
        <w:rPr>
          <w:rFonts w:eastAsia="方正仿宋_GBK"/>
          <w:color w:val="000000"/>
          <w:spacing w:val="-2"/>
          <w:sz w:val="24"/>
        </w:rPr>
      </w:pPr>
      <w:r>
        <w:rPr>
          <w:rFonts w:eastAsia="方正仿宋_GBK"/>
          <w:color w:val="000000"/>
          <w:spacing w:val="-2"/>
          <w:kern w:val="0"/>
          <w:sz w:val="24"/>
        </w:rPr>
        <w:t>2</w:t>
      </w:r>
      <w:r>
        <w:rPr>
          <w:rFonts w:eastAsia="方正仿宋_GBK"/>
          <w:color w:val="000000"/>
          <w:spacing w:val="-2"/>
          <w:sz w:val="24"/>
        </w:rPr>
        <w:t>.</w:t>
      </w:r>
      <w:r>
        <w:rPr>
          <w:rFonts w:hint="eastAsia" w:eastAsia="方正仿宋_GBK"/>
          <w:color w:val="000000"/>
          <w:spacing w:val="-2"/>
          <w:sz w:val="24"/>
          <w:shd w:val="clear" w:color="auto" w:fill="FFFFFF"/>
        </w:rPr>
        <w:t>《建筑业企业资质管理规定和资质标准实施意见》（</w:t>
      </w:r>
      <w:r>
        <w:rPr>
          <w:rFonts w:hint="eastAsia" w:eastAsia="方正仿宋_GBK"/>
          <w:color w:val="000000"/>
          <w:spacing w:val="-2"/>
          <w:sz w:val="24"/>
        </w:rPr>
        <w:t>建市〔</w:t>
      </w:r>
      <w:r>
        <w:rPr>
          <w:rFonts w:eastAsia="方正仿宋_GBK"/>
          <w:color w:val="000000"/>
          <w:spacing w:val="-2"/>
          <w:sz w:val="24"/>
        </w:rPr>
        <w:t>2015</w:t>
      </w:r>
      <w:r>
        <w:rPr>
          <w:rFonts w:hint="eastAsia" w:eastAsia="方正仿宋_GBK"/>
          <w:color w:val="000000"/>
          <w:spacing w:val="-2"/>
          <w:sz w:val="24"/>
        </w:rPr>
        <w:t>〕</w:t>
      </w:r>
      <w:r>
        <w:rPr>
          <w:rFonts w:eastAsia="方正仿宋_GBK"/>
          <w:color w:val="000000"/>
          <w:spacing w:val="-2"/>
          <w:sz w:val="24"/>
        </w:rPr>
        <w:t>20</w:t>
      </w:r>
      <w:r>
        <w:rPr>
          <w:rFonts w:hint="eastAsia" w:eastAsia="方正仿宋_GBK"/>
          <w:color w:val="000000"/>
          <w:spacing w:val="-2"/>
          <w:sz w:val="24"/>
        </w:rPr>
        <w:t>号）</w:t>
      </w:r>
    </w:p>
    <w:p>
      <w:pPr>
        <w:spacing w:line="460" w:lineRule="exact"/>
        <w:ind w:firstLine="1390" w:firstLineChars="589"/>
        <w:rPr>
          <w:rFonts w:eastAsia="方正仿宋_GBK"/>
          <w:color w:val="000000"/>
          <w:spacing w:val="-2"/>
          <w:sz w:val="24"/>
        </w:rPr>
      </w:pPr>
      <w:r>
        <w:rPr>
          <w:rFonts w:hint="eastAsia" w:eastAsia="方正仿宋_GBK"/>
          <w:color w:val="000000"/>
          <w:spacing w:val="-2"/>
          <w:kern w:val="0"/>
          <w:sz w:val="24"/>
        </w:rPr>
        <w:t>（略）</w:t>
      </w:r>
    </w:p>
    <w:p>
      <w:pPr>
        <w:spacing w:line="460" w:lineRule="exact"/>
        <w:ind w:firstLine="1210" w:firstLineChars="513"/>
        <w:rPr>
          <w:rFonts w:eastAsia="方正仿宋_GBK"/>
          <w:color w:val="000000"/>
          <w:spacing w:val="-2"/>
          <w:kern w:val="0"/>
          <w:sz w:val="24"/>
        </w:rPr>
      </w:pPr>
      <w:r>
        <w:rPr>
          <w:rFonts w:eastAsia="方正仿宋_GBK"/>
          <w:color w:val="000000"/>
          <w:spacing w:val="-2"/>
          <w:kern w:val="0"/>
          <w:sz w:val="24"/>
        </w:rPr>
        <w:t>3</w:t>
      </w:r>
      <w:r>
        <w:rPr>
          <w:rFonts w:eastAsia="方正仿宋_GBK"/>
          <w:color w:val="000000"/>
          <w:spacing w:val="-2"/>
          <w:sz w:val="24"/>
        </w:rPr>
        <w:t>.</w:t>
      </w:r>
      <w:r>
        <w:rPr>
          <w:rFonts w:hint="eastAsia" w:eastAsia="方正仿宋_GBK"/>
          <w:color w:val="000000"/>
          <w:spacing w:val="-2"/>
          <w:kern w:val="0"/>
          <w:sz w:val="24"/>
        </w:rPr>
        <w:t>《建筑业企业资质标准》（建市〔</w:t>
      </w:r>
      <w:r>
        <w:rPr>
          <w:rFonts w:eastAsia="方正仿宋_GBK"/>
          <w:color w:val="000000"/>
          <w:spacing w:val="-2"/>
          <w:kern w:val="0"/>
          <w:sz w:val="24"/>
        </w:rPr>
        <w:t>2014</w:t>
      </w:r>
      <w:r>
        <w:rPr>
          <w:rFonts w:hint="eastAsia" w:eastAsia="方正仿宋_GBK"/>
          <w:color w:val="000000"/>
          <w:spacing w:val="-2"/>
          <w:kern w:val="0"/>
          <w:sz w:val="24"/>
        </w:rPr>
        <w:t>〕</w:t>
      </w:r>
      <w:r>
        <w:rPr>
          <w:rFonts w:eastAsia="方正仿宋_GBK"/>
          <w:color w:val="000000"/>
          <w:spacing w:val="-2"/>
          <w:kern w:val="0"/>
          <w:sz w:val="24"/>
        </w:rPr>
        <w:t>159</w:t>
      </w:r>
      <w:r>
        <w:rPr>
          <w:rFonts w:hint="eastAsia" w:eastAsia="方正仿宋_GBK"/>
          <w:color w:val="000000"/>
          <w:spacing w:val="-2"/>
          <w:kern w:val="0"/>
          <w:sz w:val="24"/>
        </w:rPr>
        <w:t>号）（略）</w:t>
      </w:r>
    </w:p>
    <w:p>
      <w:pPr>
        <w:spacing w:line="460" w:lineRule="exact"/>
        <w:ind w:firstLine="1210" w:firstLineChars="513"/>
        <w:rPr>
          <w:rFonts w:eastAsia="方正仿宋_GBK"/>
          <w:bCs/>
          <w:color w:val="000000"/>
          <w:spacing w:val="-2"/>
          <w:sz w:val="24"/>
        </w:rPr>
      </w:pPr>
      <w:r>
        <w:rPr>
          <w:rFonts w:eastAsia="方正仿宋_GBK"/>
          <w:bCs/>
          <w:color w:val="000000"/>
          <w:spacing w:val="-2"/>
          <w:sz w:val="24"/>
        </w:rPr>
        <w:t>4</w:t>
      </w:r>
      <w:r>
        <w:rPr>
          <w:rFonts w:eastAsia="方正仿宋_GBK"/>
          <w:color w:val="000000"/>
          <w:spacing w:val="-2"/>
          <w:sz w:val="24"/>
        </w:rPr>
        <w:t>.</w:t>
      </w:r>
      <w:r>
        <w:rPr>
          <w:rFonts w:hint="eastAsia" w:eastAsia="方正仿宋_GBK"/>
          <w:bCs/>
          <w:color w:val="000000"/>
          <w:spacing w:val="-2"/>
          <w:sz w:val="24"/>
        </w:rPr>
        <w:t>《关于推进建设省级建筑市场监管与诚信信息一体化工作平台若干意见</w:t>
      </w:r>
    </w:p>
    <w:p>
      <w:pPr>
        <w:ind w:firstLine="1510" w:firstLineChars="640"/>
      </w:pPr>
      <w:r>
        <w:rPr>
          <w:rFonts w:hint="eastAsia" w:eastAsia="方正仿宋_GBK"/>
          <w:bCs/>
          <w:color w:val="000000"/>
          <w:spacing w:val="-2"/>
          <w:sz w:val="24"/>
        </w:rPr>
        <w:t>的通知》（建办市〔</w:t>
      </w:r>
      <w:r>
        <w:rPr>
          <w:rFonts w:eastAsia="方正仿宋_GBK"/>
          <w:bCs/>
          <w:color w:val="000000"/>
          <w:spacing w:val="-2"/>
          <w:sz w:val="24"/>
        </w:rPr>
        <w:t>2014</w:t>
      </w:r>
      <w:r>
        <w:rPr>
          <w:rFonts w:hint="eastAsia" w:eastAsia="方正仿宋_GBK"/>
          <w:bCs/>
          <w:color w:val="000000"/>
          <w:spacing w:val="-2"/>
          <w:sz w:val="24"/>
        </w:rPr>
        <w:t>〕</w:t>
      </w:r>
      <w:r>
        <w:rPr>
          <w:rFonts w:eastAsia="方正仿宋_GBK"/>
          <w:bCs/>
          <w:color w:val="000000"/>
          <w:spacing w:val="-2"/>
          <w:sz w:val="24"/>
        </w:rPr>
        <w:t>55</w:t>
      </w:r>
      <w:r>
        <w:rPr>
          <w:rFonts w:hint="eastAsia" w:eastAsia="方正仿宋_GBK"/>
          <w:bCs/>
          <w:color w:val="000000"/>
          <w:spacing w:val="-2"/>
          <w:sz w:val="24"/>
        </w:rPr>
        <w:t>号）</w:t>
      </w:r>
      <w:r>
        <w:rPr>
          <w:rFonts w:hint="eastAsia" w:eastAsia="方正仿宋_GBK"/>
          <w:color w:val="000000"/>
          <w:spacing w:val="-2"/>
          <w:kern w:val="0"/>
          <w:sz w:val="24"/>
        </w:rPr>
        <w:t>（略）</w:t>
      </w:r>
    </w:p>
    <w:p>
      <w:pPr>
        <w:spacing w:line="500" w:lineRule="exact"/>
        <w:ind w:left="-10" w:leftChars="-8" w:hanging="7" w:hangingChars="3"/>
        <w:jc w:val="center"/>
        <w:rPr>
          <w:rFonts w:eastAsia="方正仿宋_GBK"/>
          <w:color w:val="000000"/>
          <w:sz w:val="24"/>
        </w:rPr>
      </w:pPr>
    </w:p>
    <w:p>
      <w:pPr>
        <w:pStyle w:val="2"/>
        <w:spacing w:before="312" w:after="312" w:line="240" w:lineRule="auto"/>
        <w:jc w:val="center"/>
      </w:pPr>
    </w:p>
    <w:p/>
    <w:p/>
    <w:p/>
    <w:p/>
    <w:p/>
    <w:p/>
    <w:p/>
    <w:p/>
    <w:p/>
    <w:p/>
    <w:p/>
    <w:p/>
    <w:p/>
    <w:p/>
    <w:p/>
    <w:p/>
    <w:p/>
    <w:p/>
    <w:p/>
    <w:p/>
    <w:p/>
    <w:p/>
    <w:p/>
    <w:p/>
    <w:p/>
    <w:p/>
    <w:p/>
    <w:p/>
    <w:p/>
    <w:p/>
    <w:p/>
    <w:p/>
    <w:p/>
    <w:p>
      <w:pPr>
        <w:pStyle w:val="2"/>
        <w:spacing w:before="240" w:beforeLines="100" w:after="240" w:afterLines="100" w:line="240" w:lineRule="auto"/>
        <w:jc w:val="center"/>
        <w:rPr>
          <w:rFonts w:ascii="Times New Roman" w:eastAsia="方正小标宋_GBK"/>
          <w:b w:val="0"/>
          <w:sz w:val="36"/>
          <w:szCs w:val="36"/>
        </w:rPr>
      </w:pPr>
      <w:bookmarkStart w:id="471" w:name="_Toc18315694"/>
      <w:bookmarkStart w:id="472" w:name="_Toc20726424"/>
      <w:r>
        <w:rPr>
          <w:rFonts w:hint="eastAsia" w:ascii="Times New Roman" w:eastAsia="方正小标宋_GBK"/>
          <w:b w:val="0"/>
          <w:sz w:val="36"/>
          <w:szCs w:val="36"/>
        </w:rPr>
        <w:t>省住房城乡建设厅转发住房城乡建设部关于取消建筑 智能化等4个工程设计与施工资质有关事项的通知</w:t>
      </w:r>
      <w:bookmarkEnd w:id="471"/>
      <w:bookmarkEnd w:id="472"/>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473" w:name="_Toc20726425"/>
      <w:bookmarkStart w:id="474" w:name="_Toc18315695"/>
      <w:r>
        <w:rPr>
          <w:rFonts w:hint="eastAsia" w:ascii="Times New Roman" w:hAnsi="Times New Roman" w:eastAsia="方正楷体_GBK"/>
          <w:b w:val="0"/>
          <w:sz w:val="24"/>
          <w:szCs w:val="24"/>
        </w:rPr>
        <w:t>苏建建管〔</w:t>
      </w:r>
      <w:r>
        <w:rPr>
          <w:rFonts w:ascii="Times New Roman" w:hAnsi="Times New Roman" w:eastAsia="方正楷体_GBK"/>
          <w:b w:val="0"/>
          <w:sz w:val="24"/>
          <w:szCs w:val="24"/>
        </w:rPr>
        <w:t>2015</w:t>
      </w:r>
      <w:r>
        <w:rPr>
          <w:rFonts w:hint="eastAsia" w:ascii="Times New Roman" w:hAnsi="Times New Roman" w:eastAsia="方正楷体_GBK"/>
          <w:b w:val="0"/>
          <w:sz w:val="24"/>
          <w:szCs w:val="24"/>
        </w:rPr>
        <w:t>〕</w:t>
      </w:r>
      <w:r>
        <w:rPr>
          <w:rFonts w:ascii="Times New Roman" w:hAnsi="Times New Roman" w:eastAsia="方正楷体_GBK"/>
          <w:b w:val="0"/>
          <w:sz w:val="24"/>
          <w:szCs w:val="24"/>
        </w:rPr>
        <w:t>363</w:t>
      </w:r>
      <w:r>
        <w:rPr>
          <w:rFonts w:hint="eastAsia" w:ascii="Times New Roman" w:hAnsi="Times New Roman" w:eastAsia="方正楷体_GBK"/>
          <w:b w:val="0"/>
          <w:sz w:val="24"/>
          <w:szCs w:val="24"/>
        </w:rPr>
        <w:t>号</w:t>
      </w:r>
      <w:bookmarkEnd w:id="473"/>
      <w:bookmarkEnd w:id="474"/>
    </w:p>
    <w:p>
      <w:pPr>
        <w:spacing w:line="460" w:lineRule="exact"/>
        <w:rPr>
          <w:rFonts w:eastAsia="方正仿宋_GBK"/>
          <w:color w:val="000000"/>
          <w:spacing w:val="-2"/>
          <w:sz w:val="24"/>
        </w:rPr>
      </w:pPr>
      <w:r>
        <w:rPr>
          <w:rFonts w:hint="eastAsia" w:eastAsia="方正仿宋_GBK"/>
          <w:color w:val="000000"/>
          <w:spacing w:val="-2"/>
          <w:sz w:val="24"/>
        </w:rPr>
        <w:t>各省辖市建设局（委），泰州市建工局，苏州工业园区规划建设局、张家港保税区规划建设局，昆山市、泰兴市、沭阳县建设局：</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现将《住房城乡建设部关于取消建筑智能化等</w:t>
      </w:r>
      <w:r>
        <w:rPr>
          <w:rFonts w:eastAsia="方正仿宋_GBK"/>
          <w:color w:val="000000"/>
          <w:spacing w:val="-2"/>
          <w:sz w:val="24"/>
        </w:rPr>
        <w:t>4</w:t>
      </w:r>
      <w:r>
        <w:rPr>
          <w:rFonts w:hint="eastAsia" w:eastAsia="方正仿宋_GBK"/>
          <w:color w:val="000000"/>
          <w:spacing w:val="-2"/>
          <w:sz w:val="24"/>
        </w:rPr>
        <w:t>个工程设计与施工资质有关事项的通知》（建市〔</w:t>
      </w:r>
      <w:r>
        <w:rPr>
          <w:rFonts w:eastAsia="方正仿宋_GBK"/>
          <w:color w:val="000000"/>
          <w:spacing w:val="-2"/>
          <w:sz w:val="24"/>
        </w:rPr>
        <w:t>2015</w:t>
      </w:r>
      <w:r>
        <w:rPr>
          <w:rFonts w:hint="eastAsia" w:eastAsia="方正仿宋_GBK"/>
          <w:color w:val="000000"/>
          <w:spacing w:val="-2"/>
          <w:sz w:val="24"/>
        </w:rPr>
        <w:t>〕</w:t>
      </w:r>
      <w:r>
        <w:rPr>
          <w:rFonts w:eastAsia="方正仿宋_GBK"/>
          <w:color w:val="000000"/>
          <w:spacing w:val="-2"/>
          <w:sz w:val="24"/>
        </w:rPr>
        <w:t>102</w:t>
      </w:r>
      <w:r>
        <w:rPr>
          <w:rFonts w:hint="eastAsia" w:eastAsia="方正仿宋_GBK"/>
          <w:color w:val="000000"/>
          <w:spacing w:val="-2"/>
          <w:sz w:val="24"/>
        </w:rPr>
        <w:t>号）转发给你们，并就取消建筑智能化、消防设施、建筑装饰装修、建筑幕墙</w:t>
      </w:r>
      <w:r>
        <w:rPr>
          <w:rFonts w:eastAsia="方正仿宋_GBK"/>
          <w:color w:val="000000"/>
          <w:spacing w:val="-2"/>
          <w:sz w:val="24"/>
        </w:rPr>
        <w:t>4</w:t>
      </w:r>
      <w:r>
        <w:rPr>
          <w:rFonts w:hint="eastAsia" w:eastAsia="方正仿宋_GBK"/>
          <w:color w:val="000000"/>
          <w:spacing w:val="-2"/>
          <w:sz w:val="24"/>
        </w:rPr>
        <w:t>个工程设计与施工资质（以下简称</w:t>
      </w:r>
      <w:r>
        <w:rPr>
          <w:rFonts w:eastAsia="方正仿宋_GBK"/>
          <w:color w:val="000000"/>
          <w:spacing w:val="-2"/>
          <w:sz w:val="24"/>
        </w:rPr>
        <w:t>“</w:t>
      </w:r>
      <w:r>
        <w:rPr>
          <w:rFonts w:hint="eastAsia" w:eastAsia="方正仿宋_GBK"/>
          <w:color w:val="000000"/>
          <w:spacing w:val="-2"/>
          <w:sz w:val="24"/>
        </w:rPr>
        <w:t>一体化资质</w:t>
      </w:r>
      <w:r>
        <w:rPr>
          <w:rFonts w:eastAsia="方正仿宋_GBK"/>
          <w:color w:val="000000"/>
          <w:spacing w:val="-2"/>
          <w:sz w:val="24"/>
        </w:rPr>
        <w:t>”</w:t>
      </w:r>
      <w:r>
        <w:rPr>
          <w:rFonts w:hint="eastAsia" w:eastAsia="方正仿宋_GBK"/>
          <w:color w:val="000000"/>
          <w:spacing w:val="-2"/>
          <w:sz w:val="24"/>
        </w:rPr>
        <w:t>）的后续管理工作，结合我省实际提出如下意见，请一并贯彻执行。</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一、自</w:t>
      </w:r>
      <w:r>
        <w:rPr>
          <w:rFonts w:eastAsia="方正仿宋_GBK"/>
          <w:color w:val="000000"/>
          <w:spacing w:val="-2"/>
          <w:sz w:val="24"/>
        </w:rPr>
        <w:t>2015</w:t>
      </w:r>
      <w:r>
        <w:rPr>
          <w:rFonts w:hint="eastAsia" w:eastAsia="方正仿宋_GBK"/>
          <w:color w:val="000000"/>
          <w:spacing w:val="-2"/>
          <w:sz w:val="24"/>
        </w:rPr>
        <w:t>年</w:t>
      </w:r>
      <w:r>
        <w:rPr>
          <w:rFonts w:eastAsia="方正仿宋_GBK"/>
          <w:color w:val="000000"/>
          <w:spacing w:val="-2"/>
          <w:sz w:val="24"/>
        </w:rPr>
        <w:t>7</w:t>
      </w:r>
      <w:r>
        <w:rPr>
          <w:rFonts w:hint="eastAsia" w:eastAsia="方正仿宋_GBK"/>
          <w:color w:val="000000"/>
          <w:spacing w:val="-2"/>
          <w:sz w:val="24"/>
        </w:rPr>
        <w:t>月</w:t>
      </w:r>
      <w:r>
        <w:rPr>
          <w:rFonts w:eastAsia="方正仿宋_GBK"/>
          <w:color w:val="000000"/>
          <w:spacing w:val="-2"/>
          <w:sz w:val="24"/>
        </w:rPr>
        <w:t>31</w:t>
      </w:r>
      <w:r>
        <w:rPr>
          <w:rFonts w:hint="eastAsia" w:eastAsia="方正仿宋_GBK"/>
          <w:color w:val="000000"/>
          <w:spacing w:val="-2"/>
          <w:sz w:val="24"/>
        </w:rPr>
        <w:t>日</w:t>
      </w:r>
      <w:r>
        <w:rPr>
          <w:rFonts w:eastAsia="方正仿宋_GBK"/>
          <w:color w:val="000000"/>
          <w:spacing w:val="-2"/>
          <w:sz w:val="24"/>
        </w:rPr>
        <w:t>17</w:t>
      </w:r>
      <w:r>
        <w:rPr>
          <w:rFonts w:hint="eastAsia" w:eastAsia="方正仿宋_GBK"/>
          <w:color w:val="000000"/>
          <w:spacing w:val="-2"/>
          <w:sz w:val="24"/>
        </w:rPr>
        <w:t>时起，各级建设行政主管部门停止受理</w:t>
      </w:r>
      <w:r>
        <w:rPr>
          <w:rFonts w:eastAsia="方正仿宋_GBK"/>
          <w:color w:val="000000"/>
          <w:spacing w:val="-2"/>
          <w:sz w:val="24"/>
        </w:rPr>
        <w:t>4</w:t>
      </w:r>
      <w:r>
        <w:rPr>
          <w:rFonts w:hint="eastAsia" w:eastAsia="方正仿宋_GBK"/>
          <w:color w:val="000000"/>
          <w:spacing w:val="-2"/>
          <w:sz w:val="24"/>
        </w:rPr>
        <w:t>个一体化资质的延续申请。</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二、已取得一体化资质的企业，在证书有效期内可按《工程设计资质标准》、《建筑业企业资质标准》，分别申请换发相应等级和类别的工程设计资质证书、建筑业企业资质证书（以下简称换证），换证不考核企业业绩。</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建筑装饰装修一体化三级资质证书可申请建筑装修装饰工程专业承包二级资质换证。</w:t>
      </w:r>
    </w:p>
    <w:p>
      <w:pPr>
        <w:spacing w:line="460" w:lineRule="exact"/>
        <w:rPr>
          <w:rFonts w:eastAsia="方正仿宋_GBK"/>
          <w:color w:val="000000"/>
          <w:spacing w:val="-2"/>
          <w:sz w:val="24"/>
        </w:rPr>
      </w:pPr>
      <w:r>
        <w:rPr>
          <w:rFonts w:eastAsia="方正仿宋_GBK"/>
          <w:color w:val="000000"/>
          <w:spacing w:val="-2"/>
          <w:sz w:val="24"/>
        </w:rPr>
        <w:t xml:space="preserve">    </w:t>
      </w:r>
      <w:r>
        <w:rPr>
          <w:rFonts w:hint="eastAsia" w:eastAsia="方正仿宋_GBK"/>
          <w:color w:val="000000"/>
          <w:spacing w:val="-2"/>
          <w:sz w:val="24"/>
        </w:rPr>
        <w:t>三、企业申请换证，须在资质证书有效期届满</w:t>
      </w:r>
      <w:r>
        <w:rPr>
          <w:rFonts w:eastAsia="方正仿宋_GBK"/>
          <w:color w:val="000000"/>
          <w:spacing w:val="-2"/>
          <w:sz w:val="24"/>
        </w:rPr>
        <w:t>60</w:t>
      </w:r>
      <w:r>
        <w:rPr>
          <w:rFonts w:hint="eastAsia" w:eastAsia="方正仿宋_GBK"/>
          <w:color w:val="000000"/>
          <w:spacing w:val="-2"/>
          <w:sz w:val="24"/>
        </w:rPr>
        <w:t>日前按审批权限分别一次性提出换证申请，未申请换证的资质按自动放弃处理。</w:t>
      </w:r>
    </w:p>
    <w:p>
      <w:pPr>
        <w:spacing w:line="460" w:lineRule="exact"/>
        <w:rPr>
          <w:rFonts w:eastAsia="方正仿宋_GBK"/>
          <w:color w:val="000000"/>
          <w:spacing w:val="-2"/>
          <w:sz w:val="24"/>
        </w:rPr>
      </w:pPr>
      <w:r>
        <w:rPr>
          <w:rFonts w:eastAsia="方正仿宋_GBK"/>
          <w:color w:val="000000"/>
          <w:spacing w:val="-2"/>
          <w:sz w:val="24"/>
        </w:rPr>
        <w:t xml:space="preserve">    </w:t>
      </w:r>
      <w:r>
        <w:rPr>
          <w:rFonts w:hint="eastAsia" w:eastAsia="方正仿宋_GBK"/>
          <w:color w:val="000000"/>
          <w:spacing w:val="-2"/>
          <w:sz w:val="24"/>
        </w:rPr>
        <w:t>具有其他建筑业企业资质的企业，也可与其它建筑业企业资质换证一并进行。</w:t>
      </w:r>
    </w:p>
    <w:p>
      <w:pPr>
        <w:spacing w:line="460" w:lineRule="exact"/>
        <w:rPr>
          <w:rFonts w:eastAsia="方正仿宋_GBK"/>
          <w:color w:val="000000"/>
          <w:spacing w:val="-2"/>
          <w:sz w:val="24"/>
        </w:rPr>
      </w:pPr>
      <w:r>
        <w:rPr>
          <w:rFonts w:eastAsia="方正仿宋_GBK"/>
          <w:color w:val="000000"/>
          <w:spacing w:val="-2"/>
          <w:sz w:val="24"/>
        </w:rPr>
        <w:t xml:space="preserve">    </w:t>
      </w:r>
      <w:r>
        <w:rPr>
          <w:rFonts w:hint="eastAsia" w:eastAsia="方正仿宋_GBK"/>
          <w:color w:val="000000"/>
          <w:spacing w:val="-2"/>
          <w:sz w:val="24"/>
        </w:rPr>
        <w:t>四、企业申请换发建筑业企业资质证书的，需登录</w:t>
      </w:r>
      <w:r>
        <w:rPr>
          <w:rFonts w:eastAsia="方正仿宋_GBK"/>
          <w:color w:val="000000"/>
          <w:spacing w:val="-2"/>
          <w:sz w:val="24"/>
        </w:rPr>
        <w:t>“</w:t>
      </w:r>
      <w:r>
        <w:rPr>
          <w:rFonts w:hint="eastAsia" w:eastAsia="方正仿宋_GBK"/>
          <w:color w:val="000000"/>
          <w:spacing w:val="-2"/>
          <w:sz w:val="24"/>
        </w:rPr>
        <w:t>江苏省建筑业企业资质管理系统</w:t>
      </w:r>
      <w:r>
        <w:rPr>
          <w:rFonts w:eastAsia="方正仿宋_GBK"/>
          <w:color w:val="000000"/>
          <w:spacing w:val="-2"/>
          <w:sz w:val="24"/>
        </w:rPr>
        <w:t>”</w:t>
      </w:r>
      <w:r>
        <w:rPr>
          <w:rFonts w:hint="eastAsia" w:eastAsia="方正仿宋_GBK"/>
          <w:color w:val="000000"/>
          <w:spacing w:val="-2"/>
          <w:sz w:val="24"/>
        </w:rPr>
        <w:t>，根据《建筑业企业资质管理规定》，按照建筑业企业换证的要求，填报相关信息。</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五、企业申请换发工程设计资质证书的，须按有关要求提交申请</w:t>
      </w:r>
      <w:r>
        <w:rPr>
          <w:rFonts w:eastAsia="方正仿宋_GBK"/>
          <w:color w:val="000000"/>
          <w:spacing w:val="-2"/>
          <w:sz w:val="24"/>
        </w:rPr>
        <w:t>(</w:t>
      </w:r>
      <w:r>
        <w:rPr>
          <w:rFonts w:hint="eastAsia" w:eastAsia="方正仿宋_GBK"/>
          <w:color w:val="000000"/>
          <w:spacing w:val="-2"/>
          <w:sz w:val="24"/>
        </w:rPr>
        <w:t>见附件</w:t>
      </w:r>
      <w:r>
        <w:rPr>
          <w:rFonts w:eastAsia="方正仿宋_GBK"/>
          <w:color w:val="000000"/>
          <w:spacing w:val="-2"/>
          <w:sz w:val="24"/>
        </w:rPr>
        <w:t>2)</w:t>
      </w:r>
      <w:r>
        <w:rPr>
          <w:rFonts w:hint="eastAsia" w:eastAsia="方正仿宋_GBK"/>
          <w:color w:val="000000"/>
          <w:spacing w:val="-2"/>
          <w:sz w:val="24"/>
        </w:rPr>
        <w:t>。换发工程设计资质证书后，企业应按照《省住房城乡建设厅关于启用江苏省勘察设计行业管理信息系统的通知》（苏建科〔</w:t>
      </w:r>
      <w:r>
        <w:rPr>
          <w:rFonts w:eastAsia="方正仿宋_GBK"/>
          <w:color w:val="000000"/>
          <w:spacing w:val="-2"/>
          <w:sz w:val="24"/>
        </w:rPr>
        <w:t>2013</w:t>
      </w:r>
      <w:r>
        <w:rPr>
          <w:rFonts w:hint="eastAsia" w:eastAsia="方正仿宋_GBK"/>
          <w:color w:val="000000"/>
          <w:spacing w:val="-2"/>
          <w:sz w:val="24"/>
        </w:rPr>
        <w:t>〕</w:t>
      </w:r>
      <w:r>
        <w:rPr>
          <w:rFonts w:eastAsia="方正仿宋_GBK"/>
          <w:color w:val="000000"/>
          <w:spacing w:val="-2"/>
          <w:sz w:val="24"/>
        </w:rPr>
        <w:t>623</w:t>
      </w:r>
      <w:r>
        <w:rPr>
          <w:rFonts w:hint="eastAsia" w:eastAsia="方正仿宋_GBK"/>
          <w:color w:val="000000"/>
          <w:spacing w:val="-2"/>
          <w:sz w:val="24"/>
        </w:rPr>
        <w:t>号）的要求，及时填报相关信息。</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六、各级建设行政主管部门应加强对换证后企业的动态监管。对不符合相关资质标准要求的，限期三个月整改，逾期未整改或整改后仍不符合要求的，由资质许可机关撤回其相关资质（甲级工程设计资质，上报住房和城乡建设部撤回）。</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七、各地在执行中如遇问题，请与厅建筑市场监管处、建筑节能与科研设计处、行政审批办公室联系。</w:t>
      </w:r>
    </w:p>
    <w:p>
      <w:pPr>
        <w:spacing w:line="460" w:lineRule="exact"/>
        <w:rPr>
          <w:rFonts w:eastAsia="方正仿宋_GBK"/>
          <w:color w:val="000000"/>
          <w:spacing w:val="-2"/>
          <w:sz w:val="24"/>
        </w:rPr>
      </w:pPr>
      <w:r>
        <w:rPr>
          <w:rFonts w:eastAsia="方正仿宋_GBK"/>
          <w:color w:val="000000"/>
          <w:spacing w:val="-2"/>
          <w:sz w:val="24"/>
        </w:rPr>
        <w:t xml:space="preserve">    </w:t>
      </w:r>
      <w:r>
        <w:rPr>
          <w:rFonts w:hint="eastAsia" w:eastAsia="方正仿宋_GBK"/>
          <w:color w:val="000000"/>
          <w:spacing w:val="-2"/>
          <w:sz w:val="24"/>
        </w:rPr>
        <w:t>联系电话：建筑市场监管处</w:t>
      </w:r>
      <w:r>
        <w:rPr>
          <w:rFonts w:eastAsia="方正仿宋_GBK"/>
          <w:color w:val="000000"/>
          <w:spacing w:val="-2"/>
          <w:sz w:val="24"/>
        </w:rPr>
        <w:t>025-51868628</w:t>
      </w:r>
      <w:r>
        <w:rPr>
          <w:rFonts w:hint="eastAsia" w:eastAsia="方正仿宋_GBK"/>
          <w:color w:val="000000"/>
          <w:spacing w:val="-2"/>
          <w:sz w:val="24"/>
        </w:rPr>
        <w:t>，建筑节能与科研设计处</w:t>
      </w:r>
      <w:r>
        <w:rPr>
          <w:rFonts w:eastAsia="方正仿宋_GBK"/>
          <w:color w:val="000000"/>
          <w:spacing w:val="-2"/>
          <w:sz w:val="24"/>
        </w:rPr>
        <w:t>025-51868833</w:t>
      </w:r>
      <w:r>
        <w:rPr>
          <w:rFonts w:hint="eastAsia" w:eastAsia="方正仿宋_GBK"/>
          <w:color w:val="000000"/>
          <w:spacing w:val="-2"/>
          <w:sz w:val="24"/>
        </w:rPr>
        <w:t>，行政审批办公室</w:t>
      </w:r>
      <w:r>
        <w:rPr>
          <w:rFonts w:eastAsia="方正仿宋_GBK"/>
          <w:color w:val="000000"/>
          <w:spacing w:val="-2"/>
          <w:sz w:val="24"/>
        </w:rPr>
        <w:t>025-51868202</w:t>
      </w:r>
      <w:r>
        <w:rPr>
          <w:rFonts w:hint="eastAsia" w:eastAsia="方正仿宋_GBK"/>
          <w:color w:val="000000"/>
          <w:spacing w:val="-2"/>
          <w:sz w:val="24"/>
        </w:rPr>
        <w:t>。</w:t>
      </w:r>
    </w:p>
    <w:p>
      <w:pPr>
        <w:spacing w:line="460" w:lineRule="exact"/>
        <w:rPr>
          <w:rFonts w:eastAsia="方正仿宋_GBK"/>
          <w:color w:val="000000"/>
          <w:spacing w:val="-2"/>
          <w:sz w:val="24"/>
        </w:rPr>
      </w:pP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附件：</w:t>
      </w:r>
      <w:r>
        <w:rPr>
          <w:rFonts w:eastAsia="方正仿宋_GBK"/>
          <w:color w:val="000000"/>
          <w:spacing w:val="-2"/>
          <w:sz w:val="24"/>
        </w:rPr>
        <w:t>1.</w:t>
      </w:r>
      <w:r>
        <w:rPr>
          <w:rFonts w:hint="cs" w:eastAsia="方正仿宋_GBK"/>
          <w:color w:val="000000"/>
          <w:spacing w:val="-2"/>
          <w:sz w:val="24"/>
          <w:cs/>
        </w:rPr>
        <w:t> </w:t>
      </w:r>
      <w:r>
        <w:rPr>
          <w:rFonts w:hint="eastAsia" w:eastAsia="方正仿宋_GBK"/>
          <w:color w:val="000000"/>
          <w:spacing w:val="-2"/>
          <w:sz w:val="24"/>
        </w:rPr>
        <w:t>住房城乡建设部关于取消建筑智能化等</w:t>
      </w:r>
      <w:r>
        <w:rPr>
          <w:rFonts w:eastAsia="方正仿宋_GBK"/>
          <w:color w:val="000000"/>
          <w:spacing w:val="-2"/>
          <w:sz w:val="24"/>
        </w:rPr>
        <w:t>4</w:t>
      </w:r>
      <w:r>
        <w:rPr>
          <w:rFonts w:hint="eastAsia" w:eastAsia="方正仿宋_GBK"/>
          <w:color w:val="000000"/>
          <w:spacing w:val="-2"/>
          <w:sz w:val="24"/>
        </w:rPr>
        <w:t>个工程设计与施工资质有关事</w:t>
      </w:r>
    </w:p>
    <w:p>
      <w:pPr>
        <w:spacing w:line="460" w:lineRule="exact"/>
        <w:ind w:firstLine="1411" w:firstLineChars="598"/>
        <w:rPr>
          <w:rFonts w:eastAsia="方正仿宋_GBK"/>
          <w:color w:val="000000"/>
          <w:spacing w:val="-2"/>
          <w:sz w:val="24"/>
        </w:rPr>
      </w:pPr>
      <w:r>
        <w:rPr>
          <w:rFonts w:hint="eastAsia" w:eastAsia="方正仿宋_GBK"/>
          <w:color w:val="000000"/>
          <w:spacing w:val="-2"/>
          <w:sz w:val="24"/>
        </w:rPr>
        <w:t>项的通知（建市〔</w:t>
      </w:r>
      <w:r>
        <w:rPr>
          <w:rFonts w:eastAsia="方正仿宋_GBK"/>
          <w:color w:val="000000"/>
          <w:spacing w:val="-2"/>
          <w:sz w:val="24"/>
        </w:rPr>
        <w:t>2015</w:t>
      </w:r>
      <w:r>
        <w:rPr>
          <w:rFonts w:hint="eastAsia" w:eastAsia="方正仿宋_GBK"/>
          <w:color w:val="000000"/>
          <w:spacing w:val="-2"/>
          <w:sz w:val="24"/>
        </w:rPr>
        <w:t>〕</w:t>
      </w:r>
      <w:r>
        <w:rPr>
          <w:rFonts w:eastAsia="方正仿宋_GBK"/>
          <w:color w:val="000000"/>
          <w:spacing w:val="-2"/>
          <w:sz w:val="24"/>
        </w:rPr>
        <w:t>102</w:t>
      </w:r>
      <w:r>
        <w:rPr>
          <w:rFonts w:hint="eastAsia" w:eastAsia="方正仿宋_GBK"/>
          <w:color w:val="000000"/>
          <w:spacing w:val="-2"/>
          <w:sz w:val="24"/>
        </w:rPr>
        <w:t>号）</w:t>
      </w:r>
    </w:p>
    <w:p>
      <w:pPr>
        <w:spacing w:line="460" w:lineRule="exact"/>
        <w:ind w:firstLine="1180" w:firstLineChars="500"/>
        <w:rPr>
          <w:rFonts w:eastAsia="方正仿宋_GBK"/>
          <w:color w:val="000000"/>
          <w:spacing w:val="-2"/>
          <w:sz w:val="24"/>
        </w:rPr>
      </w:pPr>
      <w:r>
        <w:rPr>
          <w:rFonts w:eastAsia="方正仿宋_GBK"/>
          <w:color w:val="000000"/>
          <w:spacing w:val="-2"/>
          <w:sz w:val="24"/>
        </w:rPr>
        <w:t>2.</w:t>
      </w:r>
      <w:r>
        <w:rPr>
          <w:rFonts w:hint="cs" w:eastAsia="方正仿宋_GBK"/>
          <w:color w:val="000000"/>
          <w:spacing w:val="-2"/>
          <w:sz w:val="24"/>
          <w:cs/>
        </w:rPr>
        <w:t> </w:t>
      </w:r>
      <w:r>
        <w:rPr>
          <w:rFonts w:hint="eastAsia" w:eastAsia="方正仿宋_GBK"/>
          <w:color w:val="000000"/>
          <w:spacing w:val="-2"/>
          <w:sz w:val="24"/>
        </w:rPr>
        <w:t>一体化资质企业申请换领工程设计资质证书的有关要求</w:t>
      </w:r>
    </w:p>
    <w:p>
      <w:pPr>
        <w:spacing w:line="460" w:lineRule="exact"/>
        <w:rPr>
          <w:rFonts w:eastAsia="方正仿宋_GBK"/>
          <w:color w:val="000000"/>
          <w:spacing w:val="-2"/>
          <w:sz w:val="24"/>
        </w:rPr>
      </w:pPr>
    </w:p>
    <w:p>
      <w:pPr>
        <w:spacing w:line="460" w:lineRule="exact"/>
        <w:ind w:right="418" w:rightChars="199"/>
        <w:jc w:val="right"/>
        <w:rPr>
          <w:rFonts w:eastAsia="方正仿宋_GBK"/>
          <w:color w:val="000000"/>
          <w:spacing w:val="-2"/>
          <w:sz w:val="24"/>
        </w:rPr>
      </w:pPr>
      <w:r>
        <w:rPr>
          <w:rFonts w:hint="eastAsia" w:eastAsia="方正仿宋_GBK"/>
          <w:color w:val="000000"/>
          <w:spacing w:val="-2"/>
          <w:sz w:val="24"/>
        </w:rPr>
        <w:t>江苏省住房和城乡建设厅</w:t>
      </w:r>
      <w:r>
        <w:rPr>
          <w:rFonts w:eastAsia="方正仿宋_GBK"/>
          <w:color w:val="000000"/>
          <w:spacing w:val="-2"/>
          <w:sz w:val="24"/>
        </w:rPr>
        <w:t xml:space="preserve">    </w:t>
      </w:r>
    </w:p>
    <w:p>
      <w:pPr>
        <w:spacing w:line="460" w:lineRule="exact"/>
        <w:ind w:right="472" w:firstLine="6018" w:firstLineChars="2550"/>
        <w:rPr>
          <w:rFonts w:eastAsia="方正仿宋_GBK"/>
          <w:color w:val="000000"/>
          <w:spacing w:val="-2"/>
          <w:sz w:val="24"/>
        </w:rPr>
      </w:pPr>
      <w:r>
        <w:rPr>
          <w:rFonts w:eastAsia="方正仿宋_GBK"/>
          <w:color w:val="000000"/>
          <w:spacing w:val="-2"/>
          <w:sz w:val="24"/>
        </w:rPr>
        <w:t>2015</w:t>
      </w:r>
      <w:r>
        <w:rPr>
          <w:rFonts w:hint="eastAsia" w:eastAsia="方正仿宋_GBK"/>
          <w:color w:val="000000"/>
          <w:spacing w:val="-2"/>
          <w:sz w:val="24"/>
        </w:rPr>
        <w:t>年</w:t>
      </w:r>
      <w:r>
        <w:rPr>
          <w:rFonts w:eastAsia="方正仿宋_GBK"/>
          <w:color w:val="000000"/>
          <w:spacing w:val="-2"/>
          <w:sz w:val="24"/>
        </w:rPr>
        <w:t>7</w:t>
      </w:r>
      <w:r>
        <w:rPr>
          <w:rFonts w:hint="eastAsia" w:eastAsia="方正仿宋_GBK"/>
          <w:color w:val="000000"/>
          <w:spacing w:val="-2"/>
          <w:sz w:val="24"/>
        </w:rPr>
        <w:t>月</w:t>
      </w:r>
      <w:r>
        <w:rPr>
          <w:rFonts w:eastAsia="方正仿宋_GBK"/>
          <w:color w:val="000000"/>
          <w:spacing w:val="-2"/>
          <w:sz w:val="24"/>
        </w:rPr>
        <w:t>29</w:t>
      </w:r>
      <w:r>
        <w:rPr>
          <w:rFonts w:hint="eastAsia" w:eastAsia="方正仿宋_GBK"/>
          <w:color w:val="000000"/>
          <w:spacing w:val="-2"/>
          <w:sz w:val="24"/>
        </w:rPr>
        <w:t>日</w:t>
      </w:r>
    </w:p>
    <w:p>
      <w:pPr>
        <w:spacing w:line="460" w:lineRule="exact"/>
        <w:ind w:right="472"/>
        <w:rPr>
          <w:rFonts w:eastAsia="方正仿宋_GBK"/>
          <w:color w:val="000000"/>
          <w:spacing w:val="-2"/>
          <w:sz w:val="24"/>
        </w:rPr>
      </w:pPr>
    </w:p>
    <w:p>
      <w:pPr>
        <w:spacing w:line="460" w:lineRule="exact"/>
        <w:ind w:right="472"/>
        <w:rPr>
          <w:rFonts w:eastAsia="方正仿宋_GBK"/>
          <w:color w:val="000000"/>
          <w:spacing w:val="-2"/>
          <w:sz w:val="24"/>
        </w:rPr>
      </w:pPr>
    </w:p>
    <w:p>
      <w:pPr>
        <w:spacing w:line="460" w:lineRule="exact"/>
        <w:ind w:right="472"/>
        <w:rPr>
          <w:rFonts w:eastAsia="方正仿宋_GBK"/>
          <w:color w:val="000000"/>
          <w:spacing w:val="-2"/>
          <w:sz w:val="24"/>
        </w:rPr>
      </w:pPr>
    </w:p>
    <w:p>
      <w:pPr>
        <w:spacing w:line="460" w:lineRule="exact"/>
        <w:ind w:right="472"/>
        <w:rPr>
          <w:rFonts w:ascii="Times New Roman" w:eastAsia="方正黑体_GBK"/>
          <w:color w:val="000000"/>
          <w:spacing w:val="-2"/>
          <w:sz w:val="28"/>
          <w:szCs w:val="28"/>
        </w:rPr>
      </w:pPr>
      <w:r>
        <w:rPr>
          <w:rFonts w:eastAsia="方正仿宋_GBK"/>
          <w:color w:val="000000"/>
          <w:spacing w:val="-2"/>
          <w:sz w:val="24"/>
        </w:rPr>
        <w:br w:type="column"/>
      </w:r>
      <w:r>
        <w:rPr>
          <w:rFonts w:hint="eastAsia" w:ascii="Times New Roman" w:eastAsia="方正黑体_GBK"/>
          <w:color w:val="000000"/>
          <w:spacing w:val="-2"/>
          <w:sz w:val="28"/>
          <w:szCs w:val="28"/>
        </w:rPr>
        <w:t>附件1　　</w:t>
      </w:r>
    </w:p>
    <w:p>
      <w:pPr>
        <w:spacing w:line="460" w:lineRule="exact"/>
        <w:jc w:val="left"/>
        <w:outlineLvl w:val="1"/>
        <w:rPr>
          <w:rFonts w:hint="eastAsia" w:eastAsia="方正仿宋_GBK"/>
          <w:color w:val="000000"/>
          <w:spacing w:val="-2"/>
          <w:sz w:val="24"/>
        </w:rPr>
      </w:pPr>
    </w:p>
    <w:p>
      <w:pPr>
        <w:spacing w:line="460" w:lineRule="exact"/>
        <w:jc w:val="center"/>
        <w:outlineLvl w:val="1"/>
        <w:rPr>
          <w:rFonts w:ascii="Times New Roman" w:eastAsia="方正小标宋简体"/>
          <w:color w:val="000000"/>
          <w:spacing w:val="-2"/>
          <w:kern w:val="36"/>
          <w:sz w:val="36"/>
          <w:szCs w:val="36"/>
        </w:rPr>
      </w:pPr>
      <w:bookmarkStart w:id="475" w:name="_Toc18315696"/>
      <w:bookmarkStart w:id="476" w:name="_Toc20667898"/>
      <w:bookmarkStart w:id="477" w:name="_Toc20726426"/>
      <w:r>
        <w:rPr>
          <w:rFonts w:hint="eastAsia" w:ascii="Times New Roman" w:eastAsia="方正小标宋简体"/>
          <w:color w:val="000000"/>
          <w:spacing w:val="-2"/>
          <w:kern w:val="36"/>
          <w:sz w:val="36"/>
          <w:szCs w:val="36"/>
        </w:rPr>
        <w:t>住房城乡建设部关于取消建筑智能化等4个工程设计</w:t>
      </w:r>
      <w:bookmarkEnd w:id="475"/>
      <w:bookmarkEnd w:id="476"/>
      <w:bookmarkEnd w:id="477"/>
    </w:p>
    <w:p>
      <w:pPr>
        <w:spacing w:line="460" w:lineRule="exact"/>
        <w:jc w:val="center"/>
        <w:outlineLvl w:val="1"/>
        <w:rPr>
          <w:rFonts w:hint="eastAsia" w:ascii="Times New Roman" w:eastAsia="方正小标宋简体"/>
          <w:color w:val="000000"/>
          <w:spacing w:val="-2"/>
          <w:kern w:val="36"/>
          <w:sz w:val="36"/>
          <w:szCs w:val="36"/>
        </w:rPr>
      </w:pPr>
      <w:bookmarkStart w:id="478" w:name="_Toc20726427"/>
      <w:bookmarkStart w:id="479" w:name="_Toc18315697"/>
      <w:bookmarkStart w:id="480" w:name="_Toc20667899"/>
      <w:r>
        <w:rPr>
          <w:rFonts w:hint="eastAsia" w:ascii="Times New Roman" w:eastAsia="方正小标宋简体"/>
          <w:color w:val="000000"/>
          <w:spacing w:val="-2"/>
          <w:kern w:val="36"/>
          <w:sz w:val="36"/>
          <w:szCs w:val="36"/>
        </w:rPr>
        <w:t>与施工资质有关事项的通知</w:t>
      </w:r>
      <w:bookmarkEnd w:id="478"/>
      <w:bookmarkEnd w:id="479"/>
      <w:bookmarkEnd w:id="480"/>
    </w:p>
    <w:p>
      <w:pPr>
        <w:pStyle w:val="10"/>
        <w:widowControl w:val="0"/>
        <w:shd w:val="clear" w:color="auto" w:fill="FFFFFF"/>
        <w:spacing w:before="0" w:beforeAutospacing="0" w:after="0" w:afterAutospacing="0" w:line="460" w:lineRule="exact"/>
        <w:rPr>
          <w:rFonts w:hint="eastAsia" w:ascii="Times New Roman" w:hAnsi="Times New Roman" w:eastAsia="方正仿宋_GBK"/>
          <w:color w:val="000000"/>
          <w:spacing w:val="-2"/>
        </w:rPr>
      </w:pPr>
    </w:p>
    <w:p>
      <w:pPr>
        <w:pStyle w:val="10"/>
        <w:widowControl w:val="0"/>
        <w:shd w:val="clear" w:color="auto" w:fill="FFFFFF"/>
        <w:spacing w:before="0" w:beforeAutospacing="0" w:after="0" w:afterAutospacing="0" w:line="460" w:lineRule="exact"/>
        <w:rPr>
          <w:rFonts w:ascii="Times New Roman" w:hAnsi="Times New Roman" w:eastAsia="方正仿宋_GBK"/>
          <w:color w:val="000000"/>
          <w:spacing w:val="-2"/>
        </w:rPr>
      </w:pPr>
      <w:r>
        <w:rPr>
          <w:rFonts w:hint="eastAsia" w:ascii="Times New Roman" w:hAnsi="Times New Roman" w:eastAsia="方正仿宋_GBK"/>
          <w:color w:val="000000"/>
          <w:spacing w:val="-2"/>
        </w:rPr>
        <w:t>各省、自治区住房城乡建设厅，直辖市建委，北京市规委，新疆生产建设兵团建设局，国务院有关部门建设司，总后基建营房部工程管理局，有关中央企业：</w:t>
      </w:r>
    </w:p>
    <w:p>
      <w:pPr>
        <w:pStyle w:val="10"/>
        <w:widowControl w:val="0"/>
        <w:shd w:val="clear" w:color="auto" w:fill="FFFFFF"/>
        <w:spacing w:before="0" w:beforeAutospacing="0" w:after="0" w:afterAutospacing="0" w:line="460" w:lineRule="exact"/>
        <w:rPr>
          <w:rFonts w:ascii="Times New Roman" w:hAnsi="Times New Roman" w:eastAsia="方正仿宋_GBK"/>
          <w:color w:val="000000"/>
          <w:spacing w:val="-2"/>
        </w:rPr>
      </w:pPr>
      <w:r>
        <w:rPr>
          <w:rFonts w:hint="eastAsia" w:ascii="Times New Roman" w:hAnsi="Times New Roman" w:eastAsia="方正仿宋_GBK"/>
          <w:color w:val="000000"/>
          <w:spacing w:val="-2"/>
        </w:rPr>
        <w:t>　　为贯彻落实国务院深化行政审批制度改革工作要求，我部对行政审批事项进行了清理，现决定取消建筑智能化、消防设施、建筑装饰装修、建筑幕墙</w:t>
      </w:r>
      <w:r>
        <w:rPr>
          <w:rFonts w:ascii="Times New Roman" w:hAnsi="Times New Roman" w:eastAsia="方正仿宋_GBK"/>
          <w:color w:val="000000"/>
          <w:spacing w:val="-2"/>
        </w:rPr>
        <w:t>4</w:t>
      </w:r>
      <w:r>
        <w:rPr>
          <w:rFonts w:hint="eastAsia" w:ascii="Times New Roman" w:hAnsi="Times New Roman" w:eastAsia="方正仿宋_GBK"/>
          <w:color w:val="000000"/>
          <w:spacing w:val="-2"/>
        </w:rPr>
        <w:t>个工程设计与施工资质（以下简称一体化资质）的行政审批。为做好已取得一体化资质企业的后续管理工作，现将有关事项通知如下。</w:t>
      </w:r>
    </w:p>
    <w:p>
      <w:pPr>
        <w:pStyle w:val="10"/>
        <w:widowControl w:val="0"/>
        <w:shd w:val="clear" w:color="auto" w:fill="FFFFFF"/>
        <w:spacing w:before="0" w:beforeAutospacing="0" w:after="0" w:afterAutospacing="0" w:line="460" w:lineRule="exact"/>
        <w:rPr>
          <w:rFonts w:ascii="Times New Roman" w:hAnsi="Times New Roman" w:eastAsia="方正仿宋_GBK"/>
          <w:color w:val="000000"/>
          <w:spacing w:val="-2"/>
        </w:rPr>
      </w:pPr>
      <w:r>
        <w:rPr>
          <w:rFonts w:hint="eastAsia" w:ascii="Times New Roman" w:hAnsi="Times New Roman" w:eastAsia="方正仿宋_GBK"/>
          <w:color w:val="000000"/>
          <w:spacing w:val="-2"/>
        </w:rPr>
        <w:t>　　一、已取得一体化资质的企业，一体化资质证书在有效期届满前继续有效，企业可在资质证书许可范围内开展业务。</w:t>
      </w:r>
    </w:p>
    <w:p>
      <w:pPr>
        <w:pStyle w:val="10"/>
        <w:widowControl w:val="0"/>
        <w:shd w:val="clear" w:color="auto" w:fill="FFFFFF"/>
        <w:spacing w:before="0" w:beforeAutospacing="0" w:after="0" w:afterAutospacing="0" w:line="460" w:lineRule="exact"/>
        <w:rPr>
          <w:rFonts w:ascii="Times New Roman" w:hAnsi="Times New Roman" w:eastAsia="方正仿宋_GBK"/>
          <w:color w:val="000000"/>
          <w:spacing w:val="-2"/>
        </w:rPr>
      </w:pPr>
      <w:r>
        <w:rPr>
          <w:rFonts w:hint="eastAsia" w:ascii="Times New Roman" w:hAnsi="Times New Roman" w:eastAsia="方正仿宋_GBK"/>
          <w:color w:val="000000"/>
          <w:spacing w:val="-2"/>
        </w:rPr>
        <w:t>　　二、已取得一体化资质的企业，应在资质证书有效期届满</w:t>
      </w:r>
      <w:r>
        <w:rPr>
          <w:rFonts w:ascii="Times New Roman" w:hAnsi="Times New Roman" w:eastAsia="方正仿宋_GBK"/>
          <w:color w:val="000000"/>
          <w:spacing w:val="-2"/>
        </w:rPr>
        <w:t>60</w:t>
      </w:r>
      <w:r>
        <w:rPr>
          <w:rFonts w:hint="eastAsia" w:ascii="Times New Roman" w:hAnsi="Times New Roman" w:eastAsia="方正仿宋_GBK"/>
          <w:color w:val="000000"/>
          <w:spacing w:val="-2"/>
        </w:rPr>
        <w:t>日前申请换发资质证书（以下简称换证），按简单换证原则分别换领原一体化资质相应等级和类别的工程设计资质证书、建筑业企业资质证书，资质证书有效期</w:t>
      </w:r>
      <w:r>
        <w:rPr>
          <w:rFonts w:ascii="Times New Roman" w:hAnsi="Times New Roman" w:eastAsia="方正仿宋_GBK"/>
          <w:color w:val="000000"/>
          <w:spacing w:val="-2"/>
        </w:rPr>
        <w:t>3</w:t>
      </w:r>
      <w:r>
        <w:rPr>
          <w:rFonts w:hint="eastAsia" w:ascii="Times New Roman" w:hAnsi="Times New Roman" w:eastAsia="方正仿宋_GBK"/>
          <w:color w:val="000000"/>
          <w:spacing w:val="-2"/>
        </w:rPr>
        <w:t>年，原一体化资质证书交回原发证机关予以注销。自本通知印发之日起，企业可在资质证书有效期内提前申请换证。</w:t>
      </w:r>
    </w:p>
    <w:p>
      <w:pPr>
        <w:pStyle w:val="10"/>
        <w:widowControl w:val="0"/>
        <w:shd w:val="clear" w:color="auto" w:fill="FFFFFF"/>
        <w:spacing w:before="0" w:beforeAutospacing="0" w:after="0" w:afterAutospacing="0" w:line="460" w:lineRule="exact"/>
        <w:rPr>
          <w:rFonts w:ascii="Times New Roman" w:hAnsi="Times New Roman" w:eastAsia="方正仿宋_GBK"/>
          <w:color w:val="000000"/>
          <w:spacing w:val="-2"/>
        </w:rPr>
      </w:pPr>
      <w:r>
        <w:rPr>
          <w:rFonts w:hint="eastAsia" w:ascii="Times New Roman" w:hAnsi="Times New Roman" w:eastAsia="方正仿宋_GBK"/>
          <w:color w:val="000000"/>
          <w:spacing w:val="-2"/>
        </w:rPr>
        <w:t>　　三、已取得二级及以下一体化资质的企业，在换领工程设计资质证书、建筑业企业资质证书后，可按照工程设计资质和建筑业企业资质有关管理规定申请资质升级。</w:t>
      </w:r>
    </w:p>
    <w:p>
      <w:pPr>
        <w:pStyle w:val="10"/>
        <w:widowControl w:val="0"/>
        <w:shd w:val="clear" w:color="auto" w:fill="FFFFFF"/>
        <w:spacing w:before="0" w:beforeAutospacing="0" w:after="0" w:afterAutospacing="0" w:line="460" w:lineRule="exact"/>
        <w:rPr>
          <w:rFonts w:ascii="Times New Roman" w:hAnsi="Times New Roman" w:eastAsia="方正仿宋_GBK"/>
          <w:color w:val="000000"/>
          <w:spacing w:val="-2"/>
        </w:rPr>
      </w:pPr>
      <w:r>
        <w:rPr>
          <w:rFonts w:hint="eastAsia" w:ascii="Times New Roman" w:hAnsi="Times New Roman" w:eastAsia="方正仿宋_GBK"/>
          <w:color w:val="000000"/>
          <w:spacing w:val="-2"/>
        </w:rPr>
        <w:t>　　四、申请换证的一体化一级资质企业，应先到省级住房城乡建设主管部门换领建筑业企业资质证书，并在换领后</w:t>
      </w:r>
      <w:r>
        <w:rPr>
          <w:rFonts w:ascii="Times New Roman" w:hAnsi="Times New Roman" w:eastAsia="方正仿宋_GBK"/>
          <w:color w:val="000000"/>
          <w:spacing w:val="-2"/>
        </w:rPr>
        <w:t>15</w:t>
      </w:r>
      <w:r>
        <w:rPr>
          <w:rFonts w:hint="eastAsia" w:ascii="Times New Roman" w:hAnsi="Times New Roman" w:eastAsia="方正仿宋_GBK"/>
          <w:color w:val="000000"/>
          <w:spacing w:val="-2"/>
        </w:rPr>
        <w:t>日内持原一体化资质证书（正本及所有副本）和已换领的建筑业企业资质证书复印件到我部行政审批集中受理办公室换领工程设计资质证书。一体化二级及以下资质企业换证办法，由各省级住房城乡建设主管部门参照本通知制定。</w:t>
      </w:r>
    </w:p>
    <w:p>
      <w:pPr>
        <w:pStyle w:val="10"/>
        <w:widowControl w:val="0"/>
        <w:shd w:val="clear" w:color="auto" w:fill="FFFFFF"/>
        <w:spacing w:before="0" w:beforeAutospacing="0" w:after="0" w:afterAutospacing="0" w:line="460" w:lineRule="exact"/>
        <w:rPr>
          <w:rFonts w:ascii="Times New Roman" w:hAnsi="Times New Roman" w:eastAsia="方正仿宋_GBK"/>
          <w:color w:val="000000"/>
          <w:spacing w:val="-2"/>
        </w:rPr>
      </w:pPr>
      <w:r>
        <w:rPr>
          <w:rFonts w:hint="eastAsia" w:ascii="Times New Roman" w:hAnsi="Times New Roman" w:eastAsia="方正仿宋_GBK"/>
          <w:color w:val="000000"/>
          <w:spacing w:val="-2"/>
        </w:rPr>
        <w:t>　　五、自</w:t>
      </w:r>
      <w:r>
        <w:rPr>
          <w:rFonts w:ascii="Times New Roman" w:hAnsi="Times New Roman" w:eastAsia="方正仿宋_GBK"/>
          <w:color w:val="000000"/>
          <w:spacing w:val="-2"/>
        </w:rPr>
        <w:t>2015</w:t>
      </w:r>
      <w:r>
        <w:rPr>
          <w:rFonts w:hint="eastAsia" w:ascii="Times New Roman" w:hAnsi="Times New Roman" w:eastAsia="方正仿宋_GBK"/>
          <w:color w:val="000000"/>
          <w:spacing w:val="-2"/>
        </w:rPr>
        <w:t>年</w:t>
      </w:r>
      <w:r>
        <w:rPr>
          <w:rFonts w:ascii="Times New Roman" w:hAnsi="Times New Roman" w:eastAsia="方正仿宋_GBK"/>
          <w:color w:val="000000"/>
          <w:spacing w:val="-2"/>
        </w:rPr>
        <w:t>7</w:t>
      </w:r>
      <w:r>
        <w:rPr>
          <w:rFonts w:hint="eastAsia" w:ascii="Times New Roman" w:hAnsi="Times New Roman" w:eastAsia="方正仿宋_GBK"/>
          <w:color w:val="000000"/>
          <w:spacing w:val="-2"/>
        </w:rPr>
        <w:t>月</w:t>
      </w:r>
      <w:r>
        <w:rPr>
          <w:rFonts w:ascii="Times New Roman" w:hAnsi="Times New Roman" w:eastAsia="方正仿宋_GBK"/>
          <w:color w:val="000000"/>
          <w:spacing w:val="-2"/>
        </w:rPr>
        <w:t>31</w:t>
      </w:r>
      <w:r>
        <w:rPr>
          <w:rFonts w:hint="eastAsia" w:ascii="Times New Roman" w:hAnsi="Times New Roman" w:eastAsia="方正仿宋_GBK"/>
          <w:color w:val="000000"/>
          <w:spacing w:val="-2"/>
        </w:rPr>
        <w:t>日起，各省级及以下住房城乡建设主管部门、有关中央企业停止受理按原一体化资质标准的资质延续申请；自</w:t>
      </w:r>
      <w:r>
        <w:rPr>
          <w:rFonts w:ascii="Times New Roman" w:hAnsi="Times New Roman" w:eastAsia="方正仿宋_GBK"/>
          <w:color w:val="000000"/>
          <w:spacing w:val="-2"/>
        </w:rPr>
        <w:t>2015</w:t>
      </w:r>
      <w:r>
        <w:rPr>
          <w:rFonts w:hint="eastAsia" w:ascii="Times New Roman" w:hAnsi="Times New Roman" w:eastAsia="方正仿宋_GBK"/>
          <w:color w:val="000000"/>
          <w:spacing w:val="-2"/>
        </w:rPr>
        <w:t>年</w:t>
      </w:r>
      <w:r>
        <w:rPr>
          <w:rFonts w:ascii="Times New Roman" w:hAnsi="Times New Roman" w:eastAsia="方正仿宋_GBK"/>
          <w:color w:val="000000"/>
          <w:spacing w:val="-2"/>
        </w:rPr>
        <w:t>8</w:t>
      </w:r>
      <w:r>
        <w:rPr>
          <w:rFonts w:hint="eastAsia" w:ascii="Times New Roman" w:hAnsi="Times New Roman" w:eastAsia="方正仿宋_GBK"/>
          <w:color w:val="000000"/>
          <w:spacing w:val="-2"/>
        </w:rPr>
        <w:t>月</w:t>
      </w:r>
      <w:r>
        <w:rPr>
          <w:rFonts w:ascii="Times New Roman" w:hAnsi="Times New Roman" w:eastAsia="方正仿宋_GBK"/>
          <w:color w:val="000000"/>
          <w:spacing w:val="-2"/>
        </w:rPr>
        <w:t>15</w:t>
      </w:r>
      <w:r>
        <w:rPr>
          <w:rFonts w:hint="eastAsia" w:ascii="Times New Roman" w:hAnsi="Times New Roman" w:eastAsia="方正仿宋_GBK"/>
          <w:color w:val="000000"/>
          <w:spacing w:val="-2"/>
        </w:rPr>
        <w:t>日起，我部停止受理按原一体化资质标准的资质延续申请。</w:t>
      </w:r>
    </w:p>
    <w:p>
      <w:pPr>
        <w:pStyle w:val="10"/>
        <w:widowControl w:val="0"/>
        <w:shd w:val="clear" w:color="auto" w:fill="FFFFFF"/>
        <w:spacing w:before="0" w:beforeAutospacing="0" w:after="0" w:afterAutospacing="0" w:line="460" w:lineRule="exact"/>
        <w:rPr>
          <w:rFonts w:ascii="Times New Roman" w:hAnsi="Times New Roman" w:eastAsia="方正仿宋_GBK"/>
          <w:color w:val="000000"/>
          <w:spacing w:val="-2"/>
        </w:rPr>
      </w:pPr>
      <w:r>
        <w:rPr>
          <w:rFonts w:hint="eastAsia" w:ascii="Times New Roman" w:hAnsi="Times New Roman" w:eastAsia="方正仿宋_GBK"/>
          <w:color w:val="000000"/>
          <w:spacing w:val="-2"/>
        </w:rPr>
        <w:t>　　六、请各省、自治区、直辖市住房城乡建设主管部门尽快将本通知内容传达至本地区各级住房城乡建设主管部门和有关企业。执行中有何问题，及时与我部建筑市场监管司联系。</w:t>
      </w:r>
    </w:p>
    <w:p>
      <w:pPr>
        <w:pStyle w:val="10"/>
        <w:widowControl w:val="0"/>
        <w:shd w:val="clear" w:color="auto" w:fill="FFFFFF"/>
        <w:spacing w:before="0" w:beforeAutospacing="0" w:after="0" w:afterAutospacing="0" w:line="460" w:lineRule="exact"/>
        <w:ind w:firstLine="480"/>
        <w:rPr>
          <w:rFonts w:ascii="Times New Roman" w:hAnsi="Times New Roman" w:eastAsia="方正仿宋_GBK"/>
          <w:color w:val="000000"/>
          <w:spacing w:val="-2"/>
        </w:rPr>
      </w:pPr>
      <w:r>
        <w:rPr>
          <w:rFonts w:hint="eastAsia" w:ascii="Times New Roman" w:hAnsi="Times New Roman" w:eastAsia="方正仿宋_GBK"/>
          <w:color w:val="000000"/>
          <w:spacing w:val="-2"/>
        </w:rPr>
        <w:t>联系电话：</w:t>
      </w:r>
      <w:r>
        <w:rPr>
          <w:rFonts w:ascii="Times New Roman" w:hAnsi="Times New Roman" w:eastAsia="方正仿宋_GBK"/>
          <w:color w:val="000000"/>
          <w:spacing w:val="-2"/>
        </w:rPr>
        <w:t>010-58934626</w:t>
      </w:r>
    </w:p>
    <w:p>
      <w:pPr>
        <w:pStyle w:val="10"/>
        <w:widowControl w:val="0"/>
        <w:shd w:val="clear" w:color="auto" w:fill="FFFFFF"/>
        <w:spacing w:before="0" w:beforeAutospacing="0" w:after="0" w:afterAutospacing="0" w:line="460" w:lineRule="exact"/>
        <w:ind w:firstLine="480"/>
        <w:rPr>
          <w:rFonts w:ascii="Times New Roman" w:hAnsi="Times New Roman" w:eastAsia="方正仿宋_GBK"/>
          <w:color w:val="000000"/>
          <w:spacing w:val="-2"/>
        </w:rPr>
      </w:pPr>
    </w:p>
    <w:p>
      <w:pPr>
        <w:pStyle w:val="10"/>
        <w:widowControl w:val="0"/>
        <w:shd w:val="clear" w:color="auto" w:fill="FFFFFF"/>
        <w:spacing w:before="0" w:beforeAutospacing="0" w:after="0" w:afterAutospacing="0" w:line="460" w:lineRule="exact"/>
        <w:ind w:right="437" w:rightChars="208"/>
        <w:jc w:val="right"/>
        <w:rPr>
          <w:rFonts w:ascii="Times New Roman" w:hAnsi="Times New Roman" w:eastAsia="方正仿宋_GBK"/>
          <w:color w:val="000000"/>
          <w:spacing w:val="-2"/>
        </w:rPr>
      </w:pPr>
      <w:r>
        <w:rPr>
          <w:rFonts w:hint="eastAsia" w:ascii="Times New Roman" w:hAnsi="Times New Roman" w:eastAsia="方正仿宋_GBK"/>
          <w:color w:val="000000"/>
          <w:spacing w:val="-2"/>
        </w:rPr>
        <w:t>　　</w:t>
      </w:r>
      <w:r>
        <w:rPr>
          <w:rFonts w:ascii="Times New Roman" w:hAnsi="Times New Roman" w:eastAsia="方正仿宋_GBK"/>
          <w:color w:val="000000"/>
          <w:spacing w:val="-2"/>
        </w:rPr>
        <w:t xml:space="preserve">     </w:t>
      </w:r>
      <w:r>
        <w:rPr>
          <w:rFonts w:hint="eastAsia" w:ascii="Times New Roman" w:hAnsi="Times New Roman" w:eastAsia="方正仿宋_GBK"/>
          <w:color w:val="000000"/>
          <w:spacing w:val="-2"/>
        </w:rPr>
        <w:t>中华人民共和国住房和城乡建设部</w:t>
      </w:r>
      <w:r>
        <w:rPr>
          <w:rFonts w:ascii="Times New Roman" w:hAnsi="Times New Roman" w:eastAsia="方正仿宋_GBK"/>
          <w:color w:val="000000"/>
          <w:spacing w:val="-2"/>
        </w:rPr>
        <w:t xml:space="preserve">    </w:t>
      </w:r>
    </w:p>
    <w:p>
      <w:pPr>
        <w:pStyle w:val="10"/>
        <w:widowControl w:val="0"/>
        <w:shd w:val="clear" w:color="auto" w:fill="FFFFFF"/>
        <w:spacing w:before="0" w:beforeAutospacing="0" w:after="0" w:afterAutospacing="0" w:line="460" w:lineRule="exact"/>
        <w:ind w:right="1298" w:rightChars="618"/>
        <w:jc w:val="right"/>
        <w:rPr>
          <w:rFonts w:ascii="Times New Roman" w:hAnsi="Times New Roman" w:eastAsia="方正仿宋_GBK"/>
          <w:color w:val="000000"/>
          <w:spacing w:val="-2"/>
        </w:rPr>
      </w:pPr>
      <w:r>
        <w:rPr>
          <w:rFonts w:hint="eastAsia" w:ascii="Times New Roman" w:hAnsi="Times New Roman" w:eastAsia="方正仿宋_GBK"/>
          <w:color w:val="000000"/>
          <w:spacing w:val="-2"/>
        </w:rPr>
        <w:t>　　</w:t>
      </w:r>
      <w:r>
        <w:rPr>
          <w:rFonts w:ascii="Times New Roman" w:hAnsi="Times New Roman" w:eastAsia="方正仿宋_GBK"/>
          <w:color w:val="000000"/>
          <w:spacing w:val="-2"/>
        </w:rPr>
        <w:t xml:space="preserve">                2015</w:t>
      </w:r>
      <w:r>
        <w:rPr>
          <w:rFonts w:hint="eastAsia" w:ascii="Times New Roman" w:hAnsi="Times New Roman" w:eastAsia="方正仿宋_GBK"/>
          <w:color w:val="000000"/>
          <w:spacing w:val="-2"/>
        </w:rPr>
        <w:t>年</w:t>
      </w:r>
      <w:r>
        <w:rPr>
          <w:rFonts w:ascii="Times New Roman" w:hAnsi="Times New Roman" w:eastAsia="方正仿宋_GBK"/>
          <w:color w:val="000000"/>
          <w:spacing w:val="-2"/>
        </w:rPr>
        <w:t>7</w:t>
      </w:r>
      <w:r>
        <w:rPr>
          <w:rFonts w:hint="eastAsia" w:ascii="Times New Roman" w:hAnsi="Times New Roman" w:eastAsia="方正仿宋_GBK"/>
          <w:color w:val="000000"/>
          <w:spacing w:val="-2"/>
        </w:rPr>
        <w:t>月</w:t>
      </w:r>
      <w:r>
        <w:rPr>
          <w:rFonts w:ascii="Times New Roman" w:hAnsi="Times New Roman" w:eastAsia="方正仿宋_GBK"/>
          <w:color w:val="000000"/>
          <w:spacing w:val="-2"/>
        </w:rPr>
        <w:t>14</w:t>
      </w:r>
      <w:r>
        <w:rPr>
          <w:rFonts w:hint="eastAsia" w:ascii="Times New Roman" w:hAnsi="Times New Roman" w:eastAsia="方正仿宋_GBK"/>
          <w:color w:val="000000"/>
          <w:spacing w:val="-2"/>
        </w:rPr>
        <w:t>日</w:t>
      </w:r>
      <w:r>
        <w:rPr>
          <w:rFonts w:ascii="Times New Roman" w:hAnsi="Times New Roman" w:eastAsia="方正仿宋_GBK"/>
          <w:color w:val="000000"/>
          <w:spacing w:val="-2"/>
        </w:rPr>
        <w:t xml:space="preserve">            </w:t>
      </w:r>
    </w:p>
    <w:p>
      <w:pPr>
        <w:pStyle w:val="10"/>
        <w:widowControl w:val="0"/>
        <w:shd w:val="clear" w:color="auto" w:fill="FFFFFF"/>
        <w:spacing w:before="0" w:beforeAutospacing="0" w:after="0" w:afterAutospacing="0" w:line="460" w:lineRule="exact"/>
        <w:jc w:val="right"/>
        <w:rPr>
          <w:rFonts w:ascii="Times New Roman" w:hAnsi="Times New Roman" w:eastAsia="方正仿宋_GBK"/>
          <w:color w:val="000000"/>
          <w:spacing w:val="-2"/>
        </w:rPr>
      </w:pPr>
    </w:p>
    <w:p>
      <w:pPr>
        <w:pStyle w:val="10"/>
        <w:widowControl w:val="0"/>
        <w:shd w:val="clear" w:color="auto" w:fill="FFFFFF"/>
        <w:spacing w:before="0" w:beforeAutospacing="0" w:after="0" w:afterAutospacing="0" w:line="460" w:lineRule="exact"/>
        <w:jc w:val="right"/>
        <w:rPr>
          <w:rFonts w:ascii="Times New Roman" w:hAnsi="Times New Roman" w:eastAsia="方正仿宋_GBK"/>
          <w:color w:val="000000"/>
          <w:spacing w:val="-2"/>
        </w:rPr>
      </w:pPr>
    </w:p>
    <w:p>
      <w:pPr>
        <w:pStyle w:val="10"/>
        <w:widowControl w:val="0"/>
        <w:spacing w:before="0" w:beforeAutospacing="0" w:after="0" w:afterAutospacing="0" w:line="460" w:lineRule="exact"/>
        <w:jc w:val="both"/>
        <w:rPr>
          <w:rFonts w:ascii="Times New Roman" w:hAnsi="Times New Roman" w:eastAsia="方正黑体_GBK"/>
          <w:color w:val="000000"/>
          <w:spacing w:val="-2"/>
          <w:sz w:val="28"/>
          <w:szCs w:val="28"/>
        </w:rPr>
      </w:pPr>
      <w:r>
        <w:rPr>
          <w:rFonts w:ascii="Times New Roman" w:hAnsi="Times New Roman" w:eastAsia="方正仿宋_GBK"/>
          <w:color w:val="000000"/>
          <w:spacing w:val="-2"/>
        </w:rPr>
        <w:br w:type="column"/>
      </w:r>
      <w:r>
        <w:rPr>
          <w:rFonts w:hint="eastAsia" w:ascii="Times New Roman" w:hAnsi="Times New Roman" w:eastAsia="方正黑体_GBK"/>
          <w:color w:val="000000"/>
          <w:spacing w:val="-2"/>
          <w:sz w:val="28"/>
          <w:szCs w:val="28"/>
        </w:rPr>
        <w:t>附件2：</w:t>
      </w:r>
    </w:p>
    <w:p>
      <w:pPr>
        <w:pStyle w:val="10"/>
        <w:widowControl w:val="0"/>
        <w:spacing w:before="0" w:beforeAutospacing="0" w:after="0" w:afterAutospacing="0" w:line="460" w:lineRule="exact"/>
        <w:jc w:val="both"/>
        <w:rPr>
          <w:rFonts w:hint="eastAsia" w:ascii="Times New Roman" w:hAnsi="Times New Roman" w:eastAsia="方正仿宋_GBK"/>
          <w:color w:val="000000"/>
          <w:spacing w:val="-2"/>
        </w:rPr>
      </w:pPr>
    </w:p>
    <w:p>
      <w:pPr>
        <w:pStyle w:val="10"/>
        <w:widowControl w:val="0"/>
        <w:spacing w:before="0" w:beforeAutospacing="0" w:after="0" w:afterAutospacing="0" w:line="460" w:lineRule="exact"/>
        <w:jc w:val="center"/>
        <w:rPr>
          <w:rFonts w:ascii="Times New Roman" w:hAnsi="Times New Roman" w:eastAsia="方正黑体_GBK"/>
          <w:color w:val="000000"/>
          <w:spacing w:val="-2"/>
          <w:sz w:val="36"/>
          <w:szCs w:val="36"/>
        </w:rPr>
      </w:pPr>
      <w:r>
        <w:rPr>
          <w:rFonts w:hint="eastAsia" w:ascii="Times New Roman" w:hAnsi="Times New Roman" w:eastAsia="方正黑体_GBK"/>
          <w:color w:val="000000"/>
          <w:spacing w:val="-2"/>
          <w:sz w:val="36"/>
          <w:szCs w:val="36"/>
        </w:rPr>
        <w:t>一体化资质企业申请换领工程设计资质证书的有关要求</w:t>
      </w:r>
    </w:p>
    <w:p>
      <w:pPr>
        <w:spacing w:line="460" w:lineRule="exact"/>
        <w:ind w:firstLine="472" w:firstLineChars="200"/>
        <w:rPr>
          <w:rFonts w:hint="eastAsia" w:eastAsia="方正仿宋_GBK"/>
          <w:color w:val="000000"/>
          <w:spacing w:val="-2"/>
          <w:sz w:val="24"/>
        </w:rPr>
      </w:pP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一体化资质企业申请换领工程设计资质证书的，须根据《工程设计资质标准》、《建设工程勘察设计资质管理规定实施意见》的要求，认真填报相关信息，并确保信息的真实性。具体申报流程如下：</w:t>
      </w:r>
    </w:p>
    <w:p>
      <w:pPr>
        <w:spacing w:line="460" w:lineRule="exact"/>
        <w:ind w:firstLine="472" w:firstLineChars="200"/>
        <w:rPr>
          <w:rFonts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、登录</w:t>
      </w:r>
      <w:r>
        <w:rPr>
          <w:rFonts w:eastAsia="方正仿宋_GBK"/>
          <w:color w:val="000000"/>
          <w:spacing w:val="-2"/>
          <w:sz w:val="24"/>
        </w:rPr>
        <w:t>“</w:t>
      </w:r>
      <w:r>
        <w:rPr>
          <w:rFonts w:hint="eastAsia" w:eastAsia="方正仿宋_GBK"/>
          <w:color w:val="000000"/>
          <w:spacing w:val="-2"/>
          <w:sz w:val="24"/>
        </w:rPr>
        <w:t>江苏省住房和城乡建设厅</w:t>
      </w:r>
      <w:r>
        <w:rPr>
          <w:rFonts w:eastAsia="方正仿宋_GBK"/>
          <w:color w:val="000000"/>
          <w:spacing w:val="-2"/>
          <w:sz w:val="24"/>
        </w:rPr>
        <w:t>”</w:t>
      </w:r>
      <w:r>
        <w:rPr>
          <w:rFonts w:hint="eastAsia" w:eastAsia="方正仿宋_GBK"/>
          <w:color w:val="000000"/>
          <w:spacing w:val="-2"/>
          <w:sz w:val="24"/>
        </w:rPr>
        <w:t>网站，进入</w:t>
      </w:r>
      <w:r>
        <w:rPr>
          <w:rFonts w:eastAsia="方正仿宋_GBK"/>
          <w:color w:val="000000"/>
          <w:spacing w:val="-2"/>
          <w:sz w:val="24"/>
        </w:rPr>
        <w:t>“</w:t>
      </w:r>
      <w:r>
        <w:rPr>
          <w:rFonts w:hint="eastAsia" w:eastAsia="方正仿宋_GBK"/>
          <w:color w:val="000000"/>
          <w:spacing w:val="-2"/>
          <w:sz w:val="24"/>
        </w:rPr>
        <w:t>行政权力网上公开透明运行平台</w:t>
      </w:r>
      <w:r>
        <w:rPr>
          <w:rFonts w:eastAsia="方正仿宋_GBK"/>
          <w:color w:val="000000"/>
          <w:spacing w:val="-2"/>
          <w:sz w:val="24"/>
        </w:rPr>
        <w:t>”</w:t>
      </w:r>
      <w:r>
        <w:rPr>
          <w:rFonts w:hint="eastAsia" w:eastAsia="方正仿宋_GBK"/>
          <w:color w:val="000000"/>
          <w:spacing w:val="-2"/>
          <w:sz w:val="24"/>
        </w:rPr>
        <w:t>，注册新用户（已有账户的除外）；</w:t>
      </w:r>
    </w:p>
    <w:p>
      <w:pPr>
        <w:pStyle w:val="10"/>
        <w:widowControl w:val="0"/>
        <w:spacing w:before="0" w:beforeAutospacing="0" w:after="0" w:afterAutospacing="0" w:line="460" w:lineRule="exact"/>
        <w:ind w:firstLine="472" w:firstLineChars="200"/>
        <w:rPr>
          <w:rFonts w:ascii="Times New Roman" w:hAnsi="Times New Roman" w:eastAsia="方正仿宋_GBK"/>
          <w:color w:val="000000"/>
          <w:spacing w:val="-2"/>
        </w:rPr>
      </w:pPr>
      <w:r>
        <w:rPr>
          <w:rFonts w:ascii="Times New Roman" w:hAnsi="Times New Roman" w:eastAsia="方正仿宋_GBK"/>
          <w:color w:val="000000"/>
          <w:spacing w:val="-2"/>
        </w:rPr>
        <w:t>2</w:t>
      </w:r>
      <w:r>
        <w:rPr>
          <w:rFonts w:hint="eastAsia" w:ascii="Times New Roman" w:hAnsi="Times New Roman" w:eastAsia="方正仿宋_GBK"/>
          <w:color w:val="000000"/>
          <w:spacing w:val="-2"/>
        </w:rPr>
        <w:t>、账户审核通过后，进入系统点击</w:t>
      </w:r>
      <w:r>
        <w:rPr>
          <w:rFonts w:ascii="Times New Roman" w:hAnsi="Times New Roman" w:eastAsia="方正仿宋_GBK"/>
          <w:color w:val="000000"/>
          <w:spacing w:val="-2"/>
        </w:rPr>
        <w:t>“</w:t>
      </w:r>
      <w:r>
        <w:rPr>
          <w:rFonts w:hint="eastAsia" w:ascii="Times New Roman" w:hAnsi="Times New Roman" w:eastAsia="方正仿宋_GBK"/>
          <w:color w:val="000000"/>
          <w:spacing w:val="-2"/>
        </w:rPr>
        <w:t>工程设计</w:t>
      </w:r>
      <w:r>
        <w:rPr>
          <w:rFonts w:ascii="Times New Roman" w:hAnsi="Times New Roman" w:eastAsia="方正仿宋_GBK"/>
          <w:color w:val="000000"/>
          <w:spacing w:val="-2"/>
        </w:rPr>
        <w:t>”</w:t>
      </w:r>
      <w:r>
        <w:rPr>
          <w:rFonts w:hint="eastAsia" w:ascii="Times New Roman" w:hAnsi="Times New Roman" w:eastAsia="方正仿宋_GBK"/>
          <w:color w:val="000000"/>
          <w:spacing w:val="-2"/>
        </w:rPr>
        <w:t>的</w:t>
      </w:r>
      <w:r>
        <w:rPr>
          <w:rFonts w:ascii="Times New Roman" w:hAnsi="Times New Roman" w:eastAsia="方正仿宋_GBK"/>
          <w:color w:val="000000"/>
          <w:spacing w:val="-2"/>
        </w:rPr>
        <w:t>“</w:t>
      </w:r>
      <w:r>
        <w:rPr>
          <w:rFonts w:hint="eastAsia" w:ascii="Times New Roman" w:hAnsi="Times New Roman" w:eastAsia="方正仿宋_GBK"/>
          <w:color w:val="000000"/>
          <w:spacing w:val="-2"/>
        </w:rPr>
        <w:t>换证（一体化）</w:t>
      </w:r>
      <w:r>
        <w:rPr>
          <w:rFonts w:ascii="Times New Roman" w:hAnsi="Times New Roman" w:eastAsia="方正仿宋_GBK"/>
          <w:color w:val="000000"/>
          <w:spacing w:val="-2"/>
        </w:rPr>
        <w:t>”</w:t>
      </w:r>
      <w:r>
        <w:rPr>
          <w:rFonts w:hint="eastAsia" w:ascii="Times New Roman" w:hAnsi="Times New Roman" w:eastAsia="方正仿宋_GBK"/>
          <w:color w:val="000000"/>
          <w:spacing w:val="-2"/>
        </w:rPr>
        <w:t>选项；</w:t>
      </w:r>
    </w:p>
    <w:p>
      <w:pPr>
        <w:spacing w:line="460" w:lineRule="exact"/>
        <w:ind w:firstLine="472" w:firstLineChars="200"/>
        <w:rPr>
          <w:rFonts w:eastAsia="方正仿宋_GBK"/>
          <w:color w:val="000000"/>
          <w:spacing w:val="-2"/>
          <w:sz w:val="24"/>
        </w:rPr>
      </w:pPr>
      <w:r>
        <w:rPr>
          <w:rFonts w:eastAsia="方正仿宋_GBK"/>
          <w:color w:val="000000"/>
          <w:spacing w:val="-2"/>
          <w:sz w:val="24"/>
        </w:rPr>
        <w:t>3</w:t>
      </w:r>
      <w:r>
        <w:rPr>
          <w:rFonts w:hint="eastAsia" w:eastAsia="方正仿宋_GBK"/>
          <w:color w:val="000000"/>
          <w:spacing w:val="-2"/>
          <w:sz w:val="24"/>
        </w:rPr>
        <w:t>、填报《工程设计资质申请表》；</w:t>
      </w:r>
    </w:p>
    <w:p>
      <w:pPr>
        <w:spacing w:line="460" w:lineRule="exact"/>
        <w:ind w:firstLine="472" w:firstLineChars="200"/>
        <w:rPr>
          <w:rFonts w:eastAsia="方正仿宋_GBK"/>
          <w:color w:val="000000"/>
          <w:spacing w:val="-2"/>
          <w:sz w:val="24"/>
        </w:rPr>
      </w:pPr>
      <w:r>
        <w:rPr>
          <w:rFonts w:eastAsia="方正仿宋_GBK"/>
          <w:color w:val="000000"/>
          <w:spacing w:val="-2"/>
          <w:sz w:val="24"/>
        </w:rPr>
        <w:t>4</w:t>
      </w:r>
      <w:r>
        <w:rPr>
          <w:rFonts w:hint="eastAsia" w:eastAsia="方正仿宋_GBK"/>
          <w:color w:val="000000"/>
          <w:spacing w:val="-2"/>
          <w:sz w:val="24"/>
        </w:rPr>
        <w:t>、将以下材料的原件扫描件上传至系统中：</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w:t>
      </w:r>
      <w:r>
        <w:rPr>
          <w:rFonts w:eastAsia="方正仿宋_GBK"/>
          <w:color w:val="000000"/>
          <w:spacing w:val="-2"/>
          <w:sz w:val="24"/>
        </w:rPr>
        <w:t>1</w:t>
      </w:r>
      <w:r>
        <w:rPr>
          <w:rFonts w:hint="eastAsia" w:eastAsia="方正仿宋_GBK"/>
          <w:color w:val="000000"/>
          <w:spacing w:val="-2"/>
          <w:sz w:val="24"/>
        </w:rPr>
        <w:t>）企业法人营业执照正、副本；</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w:t>
      </w:r>
      <w:r>
        <w:rPr>
          <w:rFonts w:eastAsia="方正仿宋_GBK"/>
          <w:color w:val="000000"/>
          <w:spacing w:val="-2"/>
          <w:sz w:val="24"/>
        </w:rPr>
        <w:t>2</w:t>
      </w:r>
      <w:r>
        <w:rPr>
          <w:rFonts w:hint="eastAsia" w:eastAsia="方正仿宋_GBK"/>
          <w:color w:val="000000"/>
          <w:spacing w:val="-2"/>
          <w:sz w:val="24"/>
        </w:rPr>
        <w:t>）原设计施工一体化资质证书正、副本；</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w:t>
      </w:r>
      <w:r>
        <w:rPr>
          <w:rFonts w:eastAsia="方正仿宋_GBK"/>
          <w:color w:val="000000"/>
          <w:spacing w:val="-2"/>
          <w:sz w:val="24"/>
        </w:rPr>
        <w:t>3</w:t>
      </w:r>
      <w:r>
        <w:rPr>
          <w:rFonts w:hint="eastAsia" w:eastAsia="方正仿宋_GBK"/>
          <w:color w:val="000000"/>
          <w:spacing w:val="-2"/>
          <w:sz w:val="24"/>
        </w:rPr>
        <w:t>）企业主要技术负责人或总工程师的身份证明、任职文件、毕业证书、职称证书及</w:t>
      </w:r>
      <w:r>
        <w:rPr>
          <w:rFonts w:eastAsia="方正仿宋_GBK"/>
          <w:color w:val="000000"/>
          <w:spacing w:val="-2"/>
          <w:sz w:val="24"/>
        </w:rPr>
        <w:t>“</w:t>
      </w:r>
      <w:r>
        <w:rPr>
          <w:rFonts w:hint="eastAsia" w:eastAsia="方正仿宋_GBK"/>
          <w:color w:val="000000"/>
          <w:spacing w:val="-2"/>
          <w:sz w:val="24"/>
        </w:rPr>
        <w:t>专业技术人员基本情况及业绩表</w:t>
      </w:r>
      <w:r>
        <w:rPr>
          <w:rFonts w:eastAsia="方正仿宋_GBK"/>
          <w:color w:val="000000"/>
          <w:spacing w:val="-2"/>
          <w:sz w:val="24"/>
        </w:rPr>
        <w:t>”</w:t>
      </w:r>
      <w:r>
        <w:rPr>
          <w:rFonts w:hint="eastAsia" w:eastAsia="方正仿宋_GBK"/>
          <w:color w:val="000000"/>
          <w:spacing w:val="-2"/>
          <w:sz w:val="24"/>
        </w:rPr>
        <w:t>；</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w:t>
      </w:r>
      <w:r>
        <w:rPr>
          <w:rFonts w:eastAsia="方正仿宋_GBK"/>
          <w:color w:val="000000"/>
          <w:spacing w:val="-2"/>
          <w:sz w:val="24"/>
        </w:rPr>
        <w:t>4</w:t>
      </w:r>
      <w:r>
        <w:rPr>
          <w:rFonts w:hint="eastAsia" w:eastAsia="方正仿宋_GBK"/>
          <w:color w:val="000000"/>
          <w:spacing w:val="-2"/>
          <w:sz w:val="24"/>
        </w:rPr>
        <w:t>）工程设计资质申请表中所列注册执业人员的身份证明、加盖执业印章的注册证书复印件；</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w:t>
      </w:r>
      <w:r>
        <w:rPr>
          <w:rFonts w:eastAsia="方正仿宋_GBK"/>
          <w:color w:val="000000"/>
          <w:spacing w:val="-2"/>
          <w:sz w:val="24"/>
        </w:rPr>
        <w:t>5</w:t>
      </w:r>
      <w:r>
        <w:rPr>
          <w:rFonts w:hint="eastAsia" w:eastAsia="方正仿宋_GBK"/>
          <w:color w:val="000000"/>
          <w:spacing w:val="-2"/>
          <w:sz w:val="24"/>
        </w:rPr>
        <w:t>）工程设计资质标准要求的非注册专业技术人员的身份证明、职称证书、毕业证书及</w:t>
      </w:r>
      <w:r>
        <w:rPr>
          <w:rFonts w:eastAsia="方正仿宋_GBK"/>
          <w:color w:val="000000"/>
          <w:spacing w:val="-2"/>
          <w:sz w:val="24"/>
        </w:rPr>
        <w:t>“</w:t>
      </w:r>
      <w:r>
        <w:rPr>
          <w:rFonts w:hint="eastAsia" w:eastAsia="方正仿宋_GBK"/>
          <w:color w:val="000000"/>
          <w:spacing w:val="-2"/>
          <w:sz w:val="24"/>
        </w:rPr>
        <w:t>专业技术人员基本情况及业绩表</w:t>
      </w:r>
      <w:r>
        <w:rPr>
          <w:rFonts w:eastAsia="方正仿宋_GBK"/>
          <w:color w:val="000000"/>
          <w:spacing w:val="-2"/>
          <w:sz w:val="24"/>
        </w:rPr>
        <w:t>”</w:t>
      </w:r>
      <w:r>
        <w:rPr>
          <w:rFonts w:hint="eastAsia" w:eastAsia="方正仿宋_GBK"/>
          <w:color w:val="000000"/>
          <w:spacing w:val="-2"/>
          <w:sz w:val="24"/>
        </w:rPr>
        <w:t>；</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w:t>
      </w:r>
      <w:r>
        <w:rPr>
          <w:rFonts w:eastAsia="方正仿宋_GBK"/>
          <w:color w:val="000000"/>
          <w:spacing w:val="-2"/>
          <w:sz w:val="24"/>
        </w:rPr>
        <w:t>6</w:t>
      </w:r>
      <w:r>
        <w:rPr>
          <w:rFonts w:hint="eastAsia" w:eastAsia="方正仿宋_GBK"/>
          <w:color w:val="000000"/>
          <w:spacing w:val="-2"/>
          <w:sz w:val="24"/>
        </w:rPr>
        <w:t>）工程设计资质标准要求的非注册专业技术人员与企业依法签订的劳动合同主要页（包括合同双方名称、聘用起止时间、签字盖章、生效日期）及近一个月的社保证明；</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w:t>
      </w:r>
      <w:r>
        <w:rPr>
          <w:rFonts w:eastAsia="方正仿宋_GBK"/>
          <w:color w:val="000000"/>
          <w:spacing w:val="-2"/>
          <w:sz w:val="24"/>
        </w:rPr>
        <w:t>7</w:t>
      </w:r>
      <w:r>
        <w:rPr>
          <w:rFonts w:hint="eastAsia" w:eastAsia="方正仿宋_GBK"/>
          <w:color w:val="000000"/>
          <w:spacing w:val="-2"/>
          <w:sz w:val="24"/>
        </w:rPr>
        <w:t>）办公场所证明，属于自有产权的出具产权证；属于租用或借用的，出具出租（借）方产权证和双方租赁合同或借用协议。</w:t>
      </w:r>
    </w:p>
    <w:p>
      <w:pPr>
        <w:spacing w:line="460" w:lineRule="exact"/>
        <w:ind w:firstLine="472" w:firstLineChars="200"/>
        <w:rPr>
          <w:rFonts w:eastAsia="方正仿宋_GBK"/>
          <w:color w:val="000000"/>
          <w:spacing w:val="-2"/>
          <w:sz w:val="24"/>
        </w:rPr>
      </w:pPr>
      <w:r>
        <w:rPr>
          <w:rFonts w:eastAsia="方正仿宋_GBK"/>
          <w:color w:val="000000"/>
          <w:spacing w:val="-2"/>
          <w:sz w:val="24"/>
        </w:rPr>
        <w:t>5</w:t>
      </w:r>
      <w:r>
        <w:rPr>
          <w:rFonts w:hint="eastAsia" w:eastAsia="方正仿宋_GBK"/>
          <w:color w:val="000000"/>
          <w:spacing w:val="-2"/>
          <w:sz w:val="24"/>
        </w:rPr>
        <w:t>、提交申请</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上述上传资料的原件由各省辖市、县（市）建设局（委）审核。</w:t>
      </w:r>
    </w:p>
    <w:p>
      <w:pPr>
        <w:pStyle w:val="2"/>
        <w:spacing w:before="240" w:beforeLines="100" w:after="240" w:afterLines="100" w:line="240" w:lineRule="auto"/>
        <w:jc w:val="center"/>
        <w:rPr>
          <w:rFonts w:ascii="Times New Roman" w:eastAsia="方正小标宋_GBK"/>
          <w:b w:val="0"/>
          <w:sz w:val="36"/>
          <w:szCs w:val="36"/>
        </w:rPr>
      </w:pPr>
      <w:r>
        <w:rPr>
          <w:rFonts w:eastAsia="方正仿宋_GBK"/>
          <w:color w:val="000000"/>
          <w:spacing w:val="-2"/>
          <w:sz w:val="24"/>
        </w:rPr>
        <w:br w:type="column"/>
      </w:r>
      <w:bookmarkStart w:id="481" w:name="_Toc18315700"/>
      <w:bookmarkStart w:id="482" w:name="_Toc20726558"/>
      <w:r>
        <w:rPr>
          <w:rFonts w:hint="eastAsia" w:ascii="Times New Roman" w:eastAsia="方正小标宋_GBK"/>
          <w:b w:val="0"/>
          <w:sz w:val="36"/>
          <w:szCs w:val="36"/>
        </w:rPr>
        <w:t>省住房城乡建设厅关于建立全省工程监理企业        资质动态核查工作机制的通知</w:t>
      </w:r>
      <w:bookmarkEnd w:id="481"/>
      <w:bookmarkEnd w:id="482"/>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483" w:name="_Toc20726559"/>
      <w:bookmarkStart w:id="484" w:name="_Toc18315701"/>
      <w:r>
        <w:rPr>
          <w:rFonts w:hint="eastAsia" w:ascii="Times New Roman" w:hAnsi="Times New Roman" w:eastAsia="方正楷体_GBK"/>
          <w:b w:val="0"/>
          <w:sz w:val="24"/>
          <w:szCs w:val="24"/>
        </w:rPr>
        <w:t>苏建函建管〔</w:t>
      </w:r>
      <w:r>
        <w:rPr>
          <w:rFonts w:ascii="Times New Roman" w:hAnsi="Times New Roman" w:eastAsia="方正楷体_GBK"/>
          <w:b w:val="0"/>
          <w:sz w:val="24"/>
          <w:szCs w:val="24"/>
        </w:rPr>
        <w:t>2015</w:t>
      </w:r>
      <w:r>
        <w:rPr>
          <w:rFonts w:hint="eastAsia" w:ascii="Times New Roman" w:hAnsi="Times New Roman" w:eastAsia="方正楷体_GBK"/>
          <w:b w:val="0"/>
          <w:sz w:val="24"/>
          <w:szCs w:val="24"/>
        </w:rPr>
        <w:t>〕</w:t>
      </w:r>
      <w:r>
        <w:rPr>
          <w:rFonts w:ascii="Times New Roman" w:hAnsi="Times New Roman" w:eastAsia="方正楷体_GBK"/>
          <w:b w:val="0"/>
          <w:sz w:val="24"/>
          <w:szCs w:val="24"/>
        </w:rPr>
        <w:t>674</w:t>
      </w:r>
      <w:r>
        <w:rPr>
          <w:rFonts w:hint="eastAsia" w:ascii="Times New Roman" w:hAnsi="Times New Roman" w:eastAsia="方正楷体_GBK"/>
          <w:b w:val="0"/>
          <w:sz w:val="24"/>
          <w:szCs w:val="24"/>
        </w:rPr>
        <w:t>号</w:t>
      </w:r>
      <w:bookmarkEnd w:id="483"/>
      <w:bookmarkEnd w:id="484"/>
    </w:p>
    <w:p>
      <w:pPr>
        <w:shd w:val="clear" w:color="auto" w:fill="FFFFFF"/>
        <w:spacing w:line="460" w:lineRule="exact"/>
        <w:rPr>
          <w:rFonts w:eastAsia="方正仿宋_GBK"/>
          <w:color w:val="000000"/>
          <w:spacing w:val="-2"/>
          <w:kern w:val="0"/>
          <w:sz w:val="24"/>
        </w:rPr>
      </w:pPr>
      <w:r>
        <w:rPr>
          <w:rFonts w:eastAsia="方正仿宋_GBK"/>
          <w:color w:val="000000"/>
          <w:spacing w:val="-2"/>
          <w:kern w:val="0"/>
          <w:sz w:val="24"/>
        </w:rPr>
        <w:t>  </w:t>
      </w:r>
      <w:r>
        <w:rPr>
          <w:rFonts w:hint="eastAsia" w:eastAsia="方正仿宋_GBK"/>
          <w:color w:val="000000"/>
          <w:spacing w:val="-2"/>
          <w:kern w:val="0"/>
          <w:sz w:val="24"/>
        </w:rPr>
        <w:t>各省辖市建设局（委），苏州工业园区规划建设局，昆山市、泰兴市、沭阳县建设局：</w:t>
      </w:r>
    </w:p>
    <w:p>
      <w:pPr>
        <w:shd w:val="clear" w:color="auto" w:fill="FFFFFF"/>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为进一步加强监理行业管理，规范建筑市场秩序，完善监理企业准入清出制度，根据《中华人民共和国建筑法》、《工程监理企业资质管理规定》（建设部第</w:t>
      </w:r>
      <w:r>
        <w:rPr>
          <w:rFonts w:eastAsia="方正仿宋_GBK"/>
          <w:color w:val="000000"/>
          <w:spacing w:val="-2"/>
          <w:kern w:val="0"/>
          <w:sz w:val="24"/>
        </w:rPr>
        <w:t>158</w:t>
      </w:r>
      <w:r>
        <w:rPr>
          <w:rFonts w:hint="eastAsia" w:eastAsia="方正仿宋_GBK"/>
          <w:color w:val="000000"/>
          <w:spacing w:val="-2"/>
          <w:kern w:val="0"/>
          <w:sz w:val="24"/>
        </w:rPr>
        <w:t>号令）等有关管理规定，经研究，决定建立全省工程监理企业资质动态核查工作机制。现将有关事项通知如下：</w:t>
      </w:r>
    </w:p>
    <w:p>
      <w:pPr>
        <w:shd w:val="clear" w:color="auto" w:fill="FFFFFF"/>
        <w:spacing w:line="460" w:lineRule="exact"/>
        <w:ind w:firstLine="472" w:firstLineChars="200"/>
        <w:rPr>
          <w:rFonts w:ascii="Times New Roman" w:eastAsia="方正黑体_GBK"/>
          <w:color w:val="000000"/>
          <w:spacing w:val="-2"/>
          <w:kern w:val="0"/>
          <w:sz w:val="24"/>
        </w:rPr>
      </w:pPr>
      <w:r>
        <w:rPr>
          <w:rFonts w:hint="eastAsia" w:ascii="Times New Roman" w:eastAsia="方正黑体_GBK"/>
          <w:color w:val="000000"/>
          <w:spacing w:val="-2"/>
          <w:kern w:val="0"/>
          <w:sz w:val="24"/>
        </w:rPr>
        <w:t>一、组织实施</w:t>
      </w:r>
    </w:p>
    <w:p>
      <w:pPr>
        <w:shd w:val="clear" w:color="auto" w:fill="FFFFFF"/>
        <w:spacing w:line="460" w:lineRule="exact"/>
        <w:ind w:firstLine="472" w:firstLineChars="200"/>
        <w:rPr>
          <w:rFonts w:hint="eastAsia" w:eastAsia="方正仿宋_GBK"/>
          <w:color w:val="000000"/>
          <w:spacing w:val="-2"/>
          <w:kern w:val="0"/>
          <w:sz w:val="24"/>
        </w:rPr>
      </w:pPr>
      <w:r>
        <w:rPr>
          <w:rFonts w:hint="eastAsia" w:eastAsia="方正仿宋_GBK"/>
          <w:color w:val="000000"/>
          <w:spacing w:val="-2"/>
          <w:kern w:val="0"/>
          <w:sz w:val="24"/>
        </w:rPr>
        <w:t>省住房城乡建设厅负责全省工程监理企业动态核查工作及核查工作的组织实施。各省辖市建设局（委），苏州工业园区规划建设局，昆山市、泰兴市、沭阳县住房城乡建设局负责辖区内工程监理企业的资质动态核查监督管理，并负责向省住房城乡建设厅报送企业动态核查情况。</w:t>
      </w:r>
    </w:p>
    <w:p>
      <w:pPr>
        <w:shd w:val="clear" w:color="auto" w:fill="FFFFFF"/>
        <w:spacing w:line="460" w:lineRule="exact"/>
        <w:ind w:firstLine="472" w:firstLineChars="200"/>
        <w:rPr>
          <w:rFonts w:ascii="Times New Roman" w:eastAsia="方正黑体_GBK"/>
          <w:color w:val="000000"/>
          <w:spacing w:val="-2"/>
          <w:kern w:val="0"/>
          <w:sz w:val="24"/>
        </w:rPr>
      </w:pPr>
      <w:r>
        <w:rPr>
          <w:rFonts w:hint="eastAsia" w:ascii="Times New Roman" w:eastAsia="方正黑体_GBK"/>
          <w:color w:val="000000"/>
          <w:spacing w:val="-2"/>
          <w:kern w:val="0"/>
          <w:sz w:val="24"/>
        </w:rPr>
        <w:t>二、核查对象</w:t>
      </w:r>
    </w:p>
    <w:p>
      <w:pPr>
        <w:shd w:val="clear" w:color="auto" w:fill="FFFFFF"/>
        <w:spacing w:line="460" w:lineRule="exact"/>
        <w:ind w:firstLine="472" w:firstLineChars="200"/>
        <w:rPr>
          <w:rFonts w:hint="eastAsia" w:eastAsia="方正仿宋_GBK"/>
          <w:color w:val="000000"/>
          <w:spacing w:val="-2"/>
          <w:kern w:val="0"/>
          <w:sz w:val="24"/>
        </w:rPr>
      </w:pPr>
      <w:r>
        <w:rPr>
          <w:rFonts w:hint="eastAsia" w:eastAsia="方正仿宋_GBK"/>
          <w:color w:val="000000"/>
          <w:spacing w:val="-2"/>
          <w:kern w:val="0"/>
          <w:sz w:val="24"/>
        </w:rPr>
        <w:t>我省取得住房城乡建设主管部门颁发的工程监理资质的工程监理企业。重点核查发生较大工程质量安全事故且应当依法承担责任的、在资质申报过程中（包括首次申请、升级、增项、延续）存在弄虚作假行为的、注册执业人员不符合资质标准要求的工程监理企业。</w:t>
      </w:r>
    </w:p>
    <w:p>
      <w:pPr>
        <w:shd w:val="clear" w:color="auto" w:fill="FFFFFF"/>
        <w:spacing w:line="460" w:lineRule="exact"/>
        <w:ind w:firstLine="472" w:firstLineChars="200"/>
        <w:rPr>
          <w:rFonts w:ascii="Times New Roman" w:eastAsia="方正黑体_GBK"/>
          <w:color w:val="000000"/>
          <w:spacing w:val="-2"/>
          <w:kern w:val="0"/>
          <w:sz w:val="24"/>
        </w:rPr>
      </w:pPr>
      <w:r>
        <w:rPr>
          <w:rFonts w:hint="eastAsia" w:ascii="Times New Roman" w:eastAsia="方正黑体_GBK"/>
          <w:color w:val="000000"/>
          <w:spacing w:val="-2"/>
          <w:kern w:val="0"/>
          <w:sz w:val="24"/>
        </w:rPr>
        <w:t>三、核查内容</w:t>
      </w:r>
    </w:p>
    <w:p>
      <w:pPr>
        <w:shd w:val="clear" w:color="auto" w:fill="FFFFFF"/>
        <w:spacing w:line="460" w:lineRule="exact"/>
        <w:ind w:firstLine="448" w:firstLineChars="200"/>
        <w:rPr>
          <w:rFonts w:hint="eastAsia" w:eastAsia="方正仿宋_GBK"/>
          <w:color w:val="000000"/>
          <w:spacing w:val="-8"/>
          <w:kern w:val="0"/>
          <w:sz w:val="24"/>
        </w:rPr>
      </w:pPr>
      <w:r>
        <w:rPr>
          <w:rFonts w:hint="eastAsia" w:eastAsia="方正仿宋_GBK"/>
          <w:color w:val="000000"/>
          <w:spacing w:val="-8"/>
          <w:kern w:val="0"/>
          <w:sz w:val="24"/>
        </w:rPr>
        <w:t>工程监理企业在取得资质证书后，其资质条件发生变化是否持续符合资质标准要求；是否存在《工程监理企业资质管理规定》第十六条所列的行为；是否存在法律法规规定的其他禁止性行为。</w:t>
      </w:r>
    </w:p>
    <w:p>
      <w:pPr>
        <w:shd w:val="clear" w:color="auto" w:fill="FFFFFF"/>
        <w:spacing w:line="460" w:lineRule="exact"/>
        <w:ind w:firstLine="472" w:firstLineChars="200"/>
        <w:rPr>
          <w:rFonts w:ascii="Times New Roman" w:eastAsia="方正黑体_GBK"/>
          <w:color w:val="000000"/>
          <w:spacing w:val="-2"/>
          <w:kern w:val="0"/>
          <w:sz w:val="24"/>
        </w:rPr>
      </w:pPr>
      <w:r>
        <w:rPr>
          <w:rFonts w:hint="eastAsia" w:ascii="Times New Roman" w:eastAsia="方正黑体_GBK"/>
          <w:color w:val="000000"/>
          <w:spacing w:val="-2"/>
          <w:kern w:val="0"/>
          <w:sz w:val="24"/>
        </w:rPr>
        <w:t>四、核查时间</w:t>
      </w:r>
    </w:p>
    <w:p>
      <w:pPr>
        <w:shd w:val="clear" w:color="auto" w:fill="FFFFFF"/>
        <w:spacing w:line="460" w:lineRule="exact"/>
        <w:ind w:firstLine="472" w:firstLineChars="200"/>
        <w:rPr>
          <w:rFonts w:hint="eastAsia" w:eastAsia="方正仿宋_GBK"/>
          <w:color w:val="000000"/>
          <w:spacing w:val="-2"/>
          <w:kern w:val="0"/>
          <w:sz w:val="24"/>
        </w:rPr>
      </w:pPr>
      <w:r>
        <w:rPr>
          <w:rFonts w:hint="eastAsia" w:eastAsia="方正仿宋_GBK"/>
          <w:color w:val="000000"/>
          <w:spacing w:val="-2"/>
          <w:kern w:val="0"/>
          <w:sz w:val="24"/>
        </w:rPr>
        <w:t>省住房城乡建设厅及各省辖市建设局（委），苏州工业园区规划建设局，昆山市、泰兴市、沭阳县住房城乡建设局不定期对所辖监理企业开展资质动态核查工作，建立工程监理企业资质动态核查工作机制。</w:t>
      </w:r>
    </w:p>
    <w:p>
      <w:pPr>
        <w:shd w:val="clear" w:color="auto" w:fill="FFFFFF"/>
        <w:spacing w:line="460" w:lineRule="exact"/>
        <w:ind w:firstLine="472" w:firstLineChars="200"/>
        <w:rPr>
          <w:rFonts w:ascii="Times New Roman" w:eastAsia="方正黑体_GBK"/>
          <w:color w:val="000000"/>
          <w:spacing w:val="-2"/>
          <w:kern w:val="0"/>
          <w:sz w:val="24"/>
        </w:rPr>
      </w:pPr>
      <w:r>
        <w:rPr>
          <w:rFonts w:hint="eastAsia" w:ascii="Times New Roman" w:eastAsia="方正黑体_GBK"/>
          <w:color w:val="000000"/>
          <w:spacing w:val="-2"/>
          <w:kern w:val="0"/>
          <w:sz w:val="24"/>
        </w:rPr>
        <w:t>五、核查流程</w:t>
      </w:r>
    </w:p>
    <w:p>
      <w:pPr>
        <w:shd w:val="clear" w:color="auto" w:fill="FFFFFF"/>
        <w:spacing w:line="460" w:lineRule="exact"/>
        <w:ind w:firstLine="472" w:firstLineChars="200"/>
        <w:rPr>
          <w:rFonts w:hint="eastAsia" w:eastAsia="方正仿宋_GBK"/>
          <w:color w:val="000000"/>
          <w:spacing w:val="-2"/>
          <w:kern w:val="0"/>
          <w:sz w:val="24"/>
        </w:rPr>
      </w:pPr>
      <w:r>
        <w:rPr>
          <w:rFonts w:eastAsia="方正仿宋_GBK"/>
          <w:color w:val="000000"/>
          <w:spacing w:val="-2"/>
          <w:kern w:val="0"/>
          <w:sz w:val="24"/>
        </w:rPr>
        <w:t>1</w:t>
      </w:r>
      <w:r>
        <w:rPr>
          <w:rFonts w:hint="eastAsia" w:eastAsia="方正仿宋_GBK"/>
          <w:color w:val="000000"/>
          <w:spacing w:val="-2"/>
          <w:kern w:val="0"/>
          <w:sz w:val="24"/>
        </w:rPr>
        <w:t>．省住房城乡建设厅将不定期核查</w:t>
      </w:r>
      <w:r>
        <w:rPr>
          <w:rFonts w:eastAsia="方正仿宋_GBK"/>
          <w:color w:val="000000"/>
          <w:spacing w:val="-2"/>
          <w:kern w:val="0"/>
          <w:sz w:val="24"/>
        </w:rPr>
        <w:t>“</w:t>
      </w:r>
      <w:r>
        <w:rPr>
          <w:rFonts w:hint="eastAsia" w:eastAsia="方正仿宋_GBK"/>
          <w:color w:val="000000"/>
          <w:spacing w:val="-2"/>
          <w:kern w:val="0"/>
          <w:sz w:val="24"/>
        </w:rPr>
        <w:t>江苏省建筑市场监理信用管理系统</w:t>
      </w:r>
      <w:r>
        <w:rPr>
          <w:rFonts w:eastAsia="方正仿宋_GBK"/>
          <w:color w:val="000000"/>
          <w:spacing w:val="-2"/>
          <w:kern w:val="0"/>
          <w:sz w:val="24"/>
        </w:rPr>
        <w:t>”</w:t>
      </w:r>
      <w:r>
        <w:rPr>
          <w:rFonts w:hint="eastAsia" w:eastAsia="方正仿宋_GBK"/>
          <w:color w:val="000000"/>
          <w:spacing w:val="-2"/>
          <w:kern w:val="0"/>
          <w:sz w:val="24"/>
        </w:rPr>
        <w:t>资质核查栏目中工程监理企业资质符合情况，日常监管中工程监理企业是否存在</w:t>
      </w:r>
      <w:r>
        <w:rPr>
          <w:rFonts w:hint="eastAsia" w:eastAsia="方正仿宋_GBK"/>
          <w:color w:val="000000"/>
          <w:spacing w:val="-8"/>
          <w:kern w:val="0"/>
          <w:sz w:val="24"/>
        </w:rPr>
        <w:t>《工程监理企业资质管理规定》</w:t>
      </w:r>
      <w:r>
        <w:rPr>
          <w:rFonts w:hint="eastAsia" w:eastAsia="方正仿宋_GBK"/>
          <w:color w:val="000000"/>
          <w:spacing w:val="-2"/>
          <w:kern w:val="0"/>
          <w:sz w:val="24"/>
        </w:rPr>
        <w:t>第十六条所列的行为，工程监理企业是否存在法律法规规定的其他禁止性行为。</w:t>
      </w:r>
    </w:p>
    <w:p>
      <w:pPr>
        <w:shd w:val="clear" w:color="auto" w:fill="FFFFFF"/>
        <w:spacing w:line="460" w:lineRule="exact"/>
        <w:ind w:firstLine="456" w:firstLineChars="200"/>
        <w:rPr>
          <w:rFonts w:eastAsia="方正仿宋_GBK"/>
          <w:color w:val="000000"/>
          <w:spacing w:val="-6"/>
          <w:kern w:val="0"/>
          <w:sz w:val="24"/>
        </w:rPr>
      </w:pPr>
      <w:r>
        <w:rPr>
          <w:rFonts w:eastAsia="方正仿宋_GBK"/>
          <w:color w:val="000000"/>
          <w:spacing w:val="-6"/>
          <w:kern w:val="0"/>
          <w:sz w:val="24"/>
        </w:rPr>
        <w:t>2</w:t>
      </w:r>
      <w:r>
        <w:rPr>
          <w:rFonts w:hint="eastAsia" w:eastAsia="方正仿宋_GBK"/>
          <w:color w:val="000000"/>
          <w:spacing w:val="-6"/>
          <w:kern w:val="0"/>
          <w:sz w:val="24"/>
        </w:rPr>
        <w:t>．省住房城乡建设厅对资质动态核查不合格的工程监理企业网上全省通报，并给予限期整改</w:t>
      </w:r>
      <w:r>
        <w:rPr>
          <w:rFonts w:hint="eastAsia" w:ascii="Times New Roman" w:hAnsi="Times New Roman" w:cs="宋体"/>
          <w:b/>
          <w:bCs/>
          <w:color w:val="000000"/>
          <w:spacing w:val="-6"/>
          <w:kern w:val="0"/>
          <w:sz w:val="18"/>
          <w:szCs w:val="18"/>
        </w:rPr>
        <w:t>，</w:t>
      </w:r>
      <w:r>
        <w:rPr>
          <w:rFonts w:hint="eastAsia" w:eastAsia="方正仿宋_GBK"/>
          <w:color w:val="000000"/>
          <w:spacing w:val="-6"/>
          <w:kern w:val="0"/>
          <w:sz w:val="24"/>
        </w:rPr>
        <w:t>对整改期满后仍不符合要求或逾期未申报整改材料的企业，撤回其资质，并由注册地住房城乡建设主管部门统一将资质证书收回后，交省住房城乡建设厅。其中工程监理综合资质、甲级资质由省住房城乡建设厅报送住房城乡建设部依法予以撤回。</w:t>
      </w:r>
    </w:p>
    <w:p>
      <w:pPr>
        <w:shd w:val="clear" w:color="auto" w:fill="FFFFFF"/>
        <w:spacing w:line="460" w:lineRule="exact"/>
        <w:ind w:firstLine="472" w:firstLineChars="200"/>
        <w:rPr>
          <w:rFonts w:ascii="Times New Roman" w:eastAsia="方正黑体_GBK"/>
          <w:color w:val="000000"/>
          <w:spacing w:val="-2"/>
          <w:kern w:val="0"/>
          <w:sz w:val="24"/>
        </w:rPr>
      </w:pPr>
      <w:r>
        <w:rPr>
          <w:rFonts w:hint="eastAsia" w:ascii="Times New Roman" w:eastAsia="方正黑体_GBK"/>
          <w:color w:val="000000"/>
          <w:spacing w:val="-2"/>
          <w:kern w:val="0"/>
          <w:sz w:val="24"/>
        </w:rPr>
        <w:t>六、有关要求及事项</w:t>
      </w:r>
    </w:p>
    <w:p>
      <w:pPr>
        <w:shd w:val="clear" w:color="auto" w:fill="FFFFFF"/>
        <w:spacing w:line="460" w:lineRule="exact"/>
        <w:ind w:firstLine="472" w:firstLineChars="200"/>
        <w:rPr>
          <w:rFonts w:hint="eastAsia" w:eastAsia="方正仿宋_GBK"/>
          <w:color w:val="000000"/>
          <w:spacing w:val="-2"/>
          <w:kern w:val="0"/>
          <w:sz w:val="24"/>
        </w:rPr>
      </w:pPr>
      <w:r>
        <w:rPr>
          <w:rFonts w:eastAsia="方正仿宋_GBK"/>
          <w:color w:val="000000"/>
          <w:spacing w:val="-2"/>
          <w:kern w:val="0"/>
          <w:sz w:val="24"/>
        </w:rPr>
        <w:t>1</w:t>
      </w:r>
      <w:r>
        <w:rPr>
          <w:rFonts w:hint="eastAsia" w:eastAsia="方正仿宋_GBK"/>
          <w:color w:val="000000"/>
          <w:spacing w:val="-2"/>
          <w:kern w:val="0"/>
          <w:sz w:val="24"/>
        </w:rPr>
        <w:t>．为充分利用信息化监管手段，简化办事流程，提高办事效率，经研究，自</w:t>
      </w:r>
      <w:r>
        <w:rPr>
          <w:rFonts w:eastAsia="方正仿宋_GBK"/>
          <w:color w:val="000000"/>
          <w:spacing w:val="-2"/>
          <w:kern w:val="0"/>
          <w:sz w:val="24"/>
        </w:rPr>
        <w:t>2015</w:t>
      </w:r>
      <w:r>
        <w:rPr>
          <w:rFonts w:hint="eastAsia" w:eastAsia="方正仿宋_GBK"/>
          <w:color w:val="000000"/>
          <w:spacing w:val="-2"/>
          <w:kern w:val="0"/>
          <w:sz w:val="24"/>
        </w:rPr>
        <w:t>年</w:t>
      </w:r>
      <w:r>
        <w:rPr>
          <w:rFonts w:eastAsia="方正仿宋_GBK"/>
          <w:color w:val="000000"/>
          <w:spacing w:val="-2"/>
          <w:kern w:val="0"/>
          <w:sz w:val="24"/>
        </w:rPr>
        <w:t>10</w:t>
      </w:r>
      <w:r>
        <w:rPr>
          <w:rFonts w:hint="eastAsia" w:eastAsia="方正仿宋_GBK"/>
          <w:color w:val="000000"/>
          <w:spacing w:val="-2"/>
          <w:kern w:val="0"/>
          <w:sz w:val="24"/>
        </w:rPr>
        <w:t>月</w:t>
      </w:r>
      <w:r>
        <w:rPr>
          <w:rFonts w:eastAsia="方正仿宋_GBK"/>
          <w:color w:val="000000"/>
          <w:spacing w:val="-2"/>
          <w:kern w:val="0"/>
          <w:sz w:val="24"/>
        </w:rPr>
        <w:t>1</w:t>
      </w:r>
      <w:r>
        <w:rPr>
          <w:rFonts w:hint="eastAsia" w:eastAsia="方正仿宋_GBK"/>
          <w:color w:val="000000"/>
          <w:spacing w:val="-2"/>
          <w:kern w:val="0"/>
          <w:sz w:val="24"/>
        </w:rPr>
        <w:t>日起，省住房城乡建设厅对所核查工程监理企业资质证书不再加盖</w:t>
      </w:r>
      <w:r>
        <w:rPr>
          <w:rFonts w:eastAsia="方正仿宋_GBK"/>
          <w:color w:val="000000"/>
          <w:spacing w:val="-2"/>
          <w:kern w:val="0"/>
          <w:sz w:val="24"/>
        </w:rPr>
        <w:t>“</w:t>
      </w:r>
      <w:r>
        <w:rPr>
          <w:rFonts w:hint="eastAsia" w:eastAsia="方正仿宋_GBK"/>
          <w:color w:val="000000"/>
          <w:spacing w:val="-2"/>
          <w:kern w:val="0"/>
          <w:sz w:val="24"/>
        </w:rPr>
        <w:t>江苏省住房和城乡建设厅建设监理管理专用章</w:t>
      </w:r>
      <w:r>
        <w:rPr>
          <w:rFonts w:eastAsia="方正仿宋_GBK"/>
          <w:color w:val="000000"/>
          <w:spacing w:val="-2"/>
          <w:kern w:val="0"/>
          <w:sz w:val="24"/>
        </w:rPr>
        <w:t>”</w:t>
      </w:r>
      <w:r>
        <w:rPr>
          <w:rFonts w:hint="eastAsia" w:eastAsia="方正仿宋_GBK"/>
          <w:color w:val="000000"/>
          <w:spacing w:val="-2"/>
          <w:kern w:val="0"/>
          <w:sz w:val="24"/>
        </w:rPr>
        <w:t>及</w:t>
      </w:r>
      <w:r>
        <w:rPr>
          <w:rFonts w:eastAsia="方正仿宋_GBK"/>
          <w:color w:val="000000"/>
          <w:spacing w:val="-2"/>
          <w:kern w:val="0"/>
          <w:sz w:val="24"/>
        </w:rPr>
        <w:t>“</w:t>
      </w:r>
      <w:r>
        <w:rPr>
          <w:rFonts w:hint="eastAsia" w:eastAsia="方正仿宋_GBK"/>
          <w:color w:val="000000"/>
          <w:spacing w:val="-2"/>
          <w:kern w:val="0"/>
          <w:sz w:val="24"/>
        </w:rPr>
        <w:t>核查合格</w:t>
      </w:r>
      <w:r>
        <w:rPr>
          <w:rFonts w:eastAsia="方正仿宋_GBK"/>
          <w:color w:val="000000"/>
          <w:spacing w:val="-2"/>
          <w:kern w:val="0"/>
          <w:sz w:val="24"/>
        </w:rPr>
        <w:t>”</w:t>
      </w:r>
      <w:r>
        <w:rPr>
          <w:rFonts w:hint="eastAsia" w:eastAsia="方正仿宋_GBK"/>
          <w:color w:val="000000"/>
          <w:spacing w:val="-2"/>
          <w:kern w:val="0"/>
          <w:sz w:val="24"/>
        </w:rPr>
        <w:t>章，原盖有资质核查有效期印章的工程监理企业资质证书，核查有效期满后在资质证书有效期内可正常使用，不影响其参加正常投标活动。</w:t>
      </w:r>
    </w:p>
    <w:p>
      <w:pPr>
        <w:shd w:val="clear" w:color="auto" w:fill="FFFFFF"/>
        <w:spacing w:line="460" w:lineRule="exact"/>
        <w:ind w:firstLine="472" w:firstLineChars="200"/>
        <w:rPr>
          <w:rFonts w:eastAsia="方正仿宋_GBK"/>
          <w:color w:val="000000"/>
          <w:spacing w:val="-2"/>
          <w:kern w:val="0"/>
          <w:sz w:val="24"/>
        </w:rPr>
      </w:pPr>
      <w:r>
        <w:rPr>
          <w:rFonts w:eastAsia="方正仿宋_GBK"/>
          <w:color w:val="000000"/>
          <w:spacing w:val="-2"/>
          <w:kern w:val="0"/>
          <w:sz w:val="24"/>
        </w:rPr>
        <w:t>2</w:t>
      </w:r>
      <w:r>
        <w:rPr>
          <w:rFonts w:hint="eastAsia" w:eastAsia="方正仿宋_GBK"/>
          <w:color w:val="000000"/>
          <w:spacing w:val="-2"/>
          <w:kern w:val="0"/>
          <w:sz w:val="24"/>
        </w:rPr>
        <w:t>．各工程监理企业应根据有关法律法规要求及核查内容进行自查，并对自查中存在的问题积极整改落实。</w:t>
      </w:r>
    </w:p>
    <w:p>
      <w:pPr>
        <w:shd w:val="clear" w:color="auto" w:fill="FFFFFF"/>
        <w:spacing w:line="460" w:lineRule="exact"/>
        <w:ind w:firstLine="472" w:firstLineChars="200"/>
        <w:rPr>
          <w:rFonts w:eastAsia="方正仿宋_GBK"/>
          <w:color w:val="000000"/>
          <w:spacing w:val="-2"/>
          <w:kern w:val="0"/>
          <w:sz w:val="24"/>
        </w:rPr>
      </w:pPr>
      <w:r>
        <w:rPr>
          <w:rFonts w:eastAsia="方正仿宋_GBK"/>
          <w:color w:val="000000"/>
          <w:spacing w:val="-2"/>
          <w:kern w:val="0"/>
          <w:sz w:val="24"/>
        </w:rPr>
        <w:t>3</w:t>
      </w:r>
      <w:r>
        <w:rPr>
          <w:rFonts w:hint="eastAsia" w:eastAsia="方正仿宋_GBK"/>
          <w:color w:val="000000"/>
          <w:spacing w:val="-2"/>
          <w:kern w:val="0"/>
          <w:sz w:val="24"/>
        </w:rPr>
        <w:t>．各地住房城乡建设主管部门应严格按照有关法律、法规要求，加大对本辖区内工程监理企业资质的动态监督管理力度，完善工程监理企业准入清出机制，进一步规范监理企业市场行为。</w:t>
      </w:r>
    </w:p>
    <w:p>
      <w:pPr>
        <w:shd w:val="clear" w:color="auto" w:fill="FFFFFF"/>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工作中如有问题，请及时与省住房城乡建设厅建筑市场监管处联系。</w:t>
      </w:r>
    </w:p>
    <w:p>
      <w:pPr>
        <w:shd w:val="clear" w:color="auto" w:fill="FFFFFF"/>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联系电话：</w:t>
      </w:r>
      <w:r>
        <w:rPr>
          <w:rFonts w:eastAsia="方正仿宋_GBK"/>
          <w:color w:val="000000"/>
          <w:spacing w:val="-2"/>
          <w:kern w:val="0"/>
          <w:sz w:val="24"/>
        </w:rPr>
        <w:t>025-51868738</w:t>
      </w:r>
      <w:r>
        <w:rPr>
          <w:rFonts w:hint="eastAsia" w:eastAsia="方正仿宋_GBK"/>
          <w:color w:val="000000"/>
          <w:spacing w:val="-2"/>
          <w:kern w:val="0"/>
          <w:sz w:val="24"/>
        </w:rPr>
        <w:t>、</w:t>
      </w:r>
      <w:r>
        <w:rPr>
          <w:rFonts w:eastAsia="方正仿宋_GBK"/>
          <w:color w:val="000000"/>
          <w:spacing w:val="-2"/>
          <w:kern w:val="0"/>
          <w:sz w:val="24"/>
        </w:rPr>
        <w:t>51868741</w:t>
      </w:r>
      <w:r>
        <w:rPr>
          <w:rFonts w:hint="eastAsia" w:eastAsia="方正仿宋_GBK"/>
          <w:color w:val="000000"/>
          <w:spacing w:val="-2"/>
          <w:kern w:val="0"/>
          <w:sz w:val="24"/>
        </w:rPr>
        <w:t>。</w:t>
      </w:r>
    </w:p>
    <w:p>
      <w:pPr>
        <w:spacing w:line="460" w:lineRule="exact"/>
        <w:ind w:right="437" w:rightChars="208"/>
        <w:rPr>
          <w:rFonts w:eastAsia="方正仿宋_GBK"/>
          <w:color w:val="000000"/>
          <w:spacing w:val="-2"/>
          <w:sz w:val="24"/>
        </w:rPr>
      </w:pPr>
      <w:r>
        <w:rPr>
          <w:rFonts w:eastAsia="方正仿宋_GBK"/>
          <w:color w:val="000000"/>
          <w:spacing w:val="-2"/>
          <w:kern w:val="0"/>
          <w:sz w:val="24"/>
        </w:rPr>
        <w:t> </w:t>
      </w:r>
      <w:r>
        <w:rPr>
          <w:rFonts w:eastAsia="方正仿宋_GBK"/>
          <w:color w:val="000000"/>
          <w:spacing w:val="-2"/>
          <w:sz w:val="24"/>
        </w:rPr>
        <w:t xml:space="preserve">                                                 </w:t>
      </w:r>
      <w:r>
        <w:rPr>
          <w:rFonts w:hint="eastAsia" w:eastAsia="方正仿宋_GBK"/>
          <w:color w:val="000000"/>
          <w:spacing w:val="-2"/>
          <w:sz w:val="24"/>
        </w:rPr>
        <w:t>江苏省住房和城乡建设厅</w:t>
      </w:r>
      <w:r>
        <w:rPr>
          <w:rFonts w:eastAsia="方正仿宋_GBK"/>
          <w:color w:val="000000"/>
          <w:spacing w:val="-2"/>
          <w:sz w:val="24"/>
        </w:rPr>
        <w:t xml:space="preserve">    </w:t>
      </w:r>
    </w:p>
    <w:p>
      <w:pPr>
        <w:spacing w:line="460" w:lineRule="exact"/>
        <w:ind w:right="878" w:rightChars="418"/>
        <w:jc w:val="right"/>
        <w:rPr>
          <w:rFonts w:eastAsia="方正仿宋_GBK"/>
          <w:color w:val="000000"/>
          <w:spacing w:val="-2"/>
          <w:sz w:val="24"/>
        </w:rPr>
      </w:pPr>
      <w:r>
        <w:rPr>
          <w:rFonts w:eastAsia="方正仿宋_GBK"/>
          <w:color w:val="000000"/>
          <w:spacing w:val="-2"/>
          <w:sz w:val="24"/>
        </w:rPr>
        <w:t>                                                       2015</w:t>
      </w:r>
      <w:r>
        <w:rPr>
          <w:rFonts w:hint="eastAsia" w:eastAsia="方正仿宋_GBK"/>
          <w:color w:val="000000"/>
          <w:spacing w:val="-2"/>
          <w:sz w:val="24"/>
        </w:rPr>
        <w:t>年</w:t>
      </w:r>
      <w:r>
        <w:rPr>
          <w:rFonts w:eastAsia="方正仿宋_GBK"/>
          <w:color w:val="000000"/>
          <w:spacing w:val="-2"/>
          <w:sz w:val="24"/>
        </w:rPr>
        <w:t>9</w:t>
      </w:r>
      <w:r>
        <w:rPr>
          <w:rFonts w:hint="eastAsia" w:eastAsia="方正仿宋_GBK"/>
          <w:color w:val="000000"/>
          <w:spacing w:val="-2"/>
          <w:sz w:val="24"/>
        </w:rPr>
        <w:t>月</w:t>
      </w:r>
      <w:r>
        <w:rPr>
          <w:rFonts w:eastAsia="方正仿宋_GBK"/>
          <w:color w:val="000000"/>
          <w:spacing w:val="-2"/>
          <w:sz w:val="24"/>
        </w:rPr>
        <w:t>15</w:t>
      </w:r>
      <w:r>
        <w:rPr>
          <w:rFonts w:hint="eastAsia" w:eastAsia="方正仿宋_GBK"/>
          <w:color w:val="000000"/>
          <w:spacing w:val="-2"/>
          <w:sz w:val="24"/>
        </w:rPr>
        <w:t>日</w:t>
      </w:r>
      <w:r>
        <w:rPr>
          <w:rFonts w:eastAsia="方正仿宋_GBK"/>
          <w:color w:val="000000"/>
          <w:spacing w:val="-2"/>
          <w:sz w:val="24"/>
        </w:rPr>
        <w:t xml:space="preserve">    </w:t>
      </w:r>
    </w:p>
    <w:p/>
    <w:p/>
    <w:p>
      <w:pPr>
        <w:pStyle w:val="2"/>
        <w:spacing w:before="312" w:after="312" w:line="240" w:lineRule="auto"/>
        <w:jc w:val="center"/>
        <w:rPr>
          <w:rFonts w:ascii="Times New Roman" w:hAnsi="Times New Roman" w:eastAsia="方正小标宋_GBK"/>
          <w:b w:val="0"/>
          <w:bCs/>
          <w:sz w:val="36"/>
          <w:szCs w:val="36"/>
        </w:rPr>
      </w:pPr>
      <w:r>
        <w:rPr>
          <w:rStyle w:val="28"/>
          <w:rFonts w:hint="eastAsia" w:ascii="Times New Roman" w:hAnsi="Times New Roman" w:eastAsia="方正小标宋_GBK"/>
          <w:b w:val="0"/>
          <w:sz w:val="36"/>
        </w:rPr>
        <w:t>省住房和城乡建设厅关于修订印发《江苏省项目监理机构</w:t>
      </w:r>
      <w:r>
        <w:rPr>
          <w:rFonts w:hint="eastAsia" w:ascii="Times New Roman" w:hAnsi="Times New Roman" w:eastAsia="方正小标宋_GBK"/>
          <w:b w:val="0"/>
          <w:sz w:val="36"/>
          <w:szCs w:val="36"/>
        </w:rPr>
        <w:t>工作评价标准》的通知</w:t>
      </w:r>
      <w:bookmarkEnd w:id="468"/>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485" w:name="_Toc20726489"/>
      <w:r>
        <w:rPr>
          <w:rFonts w:hint="eastAsia" w:ascii="Times New Roman" w:hAnsi="Times New Roman" w:eastAsia="方正楷体_GBK"/>
          <w:b w:val="0"/>
          <w:sz w:val="24"/>
          <w:szCs w:val="24"/>
        </w:rPr>
        <w:t>苏建函建管〔</w:t>
      </w:r>
      <w:r>
        <w:rPr>
          <w:rFonts w:ascii="Times New Roman" w:hAnsi="Times New Roman" w:eastAsia="方正楷体_GBK"/>
          <w:b w:val="0"/>
          <w:sz w:val="24"/>
          <w:szCs w:val="24"/>
        </w:rPr>
        <w:t>2018</w:t>
      </w:r>
      <w:r>
        <w:rPr>
          <w:rFonts w:hint="eastAsia" w:ascii="Times New Roman" w:hAnsi="Times New Roman" w:eastAsia="方正楷体_GBK"/>
          <w:b w:val="0"/>
          <w:sz w:val="24"/>
          <w:szCs w:val="24"/>
        </w:rPr>
        <w:t>〕</w:t>
      </w:r>
      <w:r>
        <w:rPr>
          <w:rFonts w:ascii="Times New Roman" w:hAnsi="Times New Roman" w:eastAsia="方正楷体_GBK"/>
          <w:b w:val="0"/>
          <w:sz w:val="24"/>
          <w:szCs w:val="24"/>
        </w:rPr>
        <w:t>759</w:t>
      </w:r>
      <w:r>
        <w:rPr>
          <w:rFonts w:hint="eastAsia" w:ascii="Times New Roman" w:hAnsi="Times New Roman" w:eastAsia="方正楷体_GBK"/>
          <w:b w:val="0"/>
          <w:sz w:val="24"/>
          <w:szCs w:val="24"/>
        </w:rPr>
        <w:t>号</w:t>
      </w:r>
      <w:bookmarkEnd w:id="485"/>
    </w:p>
    <w:p>
      <w:pPr>
        <w:spacing w:line="480" w:lineRule="exact"/>
        <w:rPr>
          <w:rFonts w:eastAsia="方正仿宋_GBK"/>
          <w:color w:val="000000"/>
          <w:spacing w:val="-2"/>
          <w:kern w:val="0"/>
          <w:sz w:val="24"/>
          <w:szCs w:val="22"/>
        </w:rPr>
      </w:pPr>
      <w:r>
        <w:rPr>
          <w:rFonts w:hint="eastAsia" w:eastAsia="方正仿宋_GBK"/>
          <w:color w:val="000000"/>
          <w:spacing w:val="-2"/>
          <w:kern w:val="0"/>
          <w:sz w:val="24"/>
          <w:szCs w:val="22"/>
        </w:rPr>
        <w:t>各设区市建设局（委），苏州工业园区规划建设局，各监理企业：</w:t>
      </w:r>
    </w:p>
    <w:p>
      <w:pPr>
        <w:spacing w:line="480" w:lineRule="exact"/>
        <w:ind w:firstLine="472" w:firstLineChars="200"/>
        <w:rPr>
          <w:rFonts w:eastAsia="方正仿宋_GBK"/>
          <w:color w:val="000000"/>
          <w:spacing w:val="-2"/>
          <w:kern w:val="0"/>
          <w:sz w:val="24"/>
          <w:szCs w:val="22"/>
        </w:rPr>
      </w:pPr>
      <w:r>
        <w:rPr>
          <w:rFonts w:hint="eastAsia" w:eastAsia="方正仿宋_GBK"/>
          <w:color w:val="000000"/>
          <w:spacing w:val="-2"/>
          <w:kern w:val="0"/>
          <w:sz w:val="24"/>
          <w:szCs w:val="22"/>
        </w:rPr>
        <w:t>为进一步加强江苏省建设工程监理工作的规范化管理，提升项目监理机构的工作能力和水平，科学、客观、公平地评价项目监理机构的服务质量和监理单位的履约能力，促进监理行业持续健康发展，我厅组织修订了《江苏省项目监理机构工作评价标准》，现印发给你们，请遵照执行。</w:t>
      </w:r>
    </w:p>
    <w:p>
      <w:pPr>
        <w:spacing w:line="480" w:lineRule="exact"/>
        <w:ind w:firstLine="472" w:firstLineChars="200"/>
        <w:rPr>
          <w:rFonts w:eastAsia="方正仿宋_GBK"/>
          <w:color w:val="000000"/>
          <w:spacing w:val="-2"/>
          <w:kern w:val="0"/>
          <w:sz w:val="24"/>
          <w:szCs w:val="22"/>
        </w:rPr>
      </w:pPr>
      <w:r>
        <w:rPr>
          <w:rFonts w:hint="eastAsia" w:eastAsia="方正仿宋_GBK"/>
          <w:color w:val="000000"/>
          <w:spacing w:val="-2"/>
          <w:kern w:val="0"/>
          <w:sz w:val="24"/>
          <w:szCs w:val="22"/>
        </w:rPr>
        <w:t>项目监理机构应依据本评价标准，对相应各阶段的工作进行自我评价。监理企业应加强内部管理，对项目监理机构各个阶段的工作质量进行考核并作出评价。鼓励建设单位组织专家对整个项目的监理工作作出综合评价，实行优质优价。</w:t>
      </w:r>
    </w:p>
    <w:p>
      <w:pPr>
        <w:spacing w:line="480" w:lineRule="exact"/>
        <w:ind w:firstLine="472" w:firstLineChars="200"/>
        <w:rPr>
          <w:rFonts w:eastAsia="方正仿宋_GBK"/>
          <w:color w:val="000000"/>
          <w:spacing w:val="-2"/>
          <w:kern w:val="0"/>
          <w:sz w:val="24"/>
          <w:szCs w:val="22"/>
        </w:rPr>
      </w:pPr>
      <w:r>
        <w:rPr>
          <w:rFonts w:hint="eastAsia" w:eastAsia="方正仿宋_GBK"/>
          <w:color w:val="000000"/>
          <w:spacing w:val="-2"/>
          <w:kern w:val="0"/>
          <w:sz w:val="24"/>
          <w:szCs w:val="22"/>
        </w:rPr>
        <w:t>我厅于</w:t>
      </w:r>
      <w:r>
        <w:rPr>
          <w:rFonts w:eastAsia="方正仿宋_GBK"/>
          <w:color w:val="000000"/>
          <w:spacing w:val="-2"/>
          <w:kern w:val="0"/>
          <w:sz w:val="24"/>
          <w:szCs w:val="22"/>
        </w:rPr>
        <w:t>2011</w:t>
      </w:r>
      <w:r>
        <w:rPr>
          <w:rFonts w:hint="eastAsia" w:eastAsia="方正仿宋_GBK"/>
          <w:color w:val="000000"/>
          <w:spacing w:val="-2"/>
          <w:kern w:val="0"/>
          <w:sz w:val="24"/>
          <w:szCs w:val="22"/>
        </w:rPr>
        <w:t>年</w:t>
      </w:r>
      <w:r>
        <w:rPr>
          <w:rFonts w:eastAsia="方正仿宋_GBK"/>
          <w:color w:val="000000"/>
          <w:spacing w:val="-2"/>
          <w:kern w:val="0"/>
          <w:sz w:val="24"/>
          <w:szCs w:val="22"/>
        </w:rPr>
        <w:t>10</w:t>
      </w:r>
      <w:r>
        <w:rPr>
          <w:rFonts w:hint="eastAsia" w:eastAsia="方正仿宋_GBK"/>
          <w:color w:val="000000"/>
          <w:spacing w:val="-2"/>
          <w:kern w:val="0"/>
          <w:sz w:val="24"/>
          <w:szCs w:val="22"/>
        </w:rPr>
        <w:t>月</w:t>
      </w:r>
      <w:r>
        <w:rPr>
          <w:rFonts w:eastAsia="方正仿宋_GBK"/>
          <w:color w:val="000000"/>
          <w:spacing w:val="-2"/>
          <w:kern w:val="0"/>
          <w:sz w:val="24"/>
          <w:szCs w:val="22"/>
        </w:rPr>
        <w:t>27</w:t>
      </w:r>
      <w:r>
        <w:rPr>
          <w:rFonts w:hint="eastAsia" w:eastAsia="方正仿宋_GBK"/>
          <w:color w:val="000000"/>
          <w:spacing w:val="-2"/>
          <w:kern w:val="0"/>
          <w:sz w:val="24"/>
          <w:szCs w:val="22"/>
        </w:rPr>
        <w:t>日印发的《江苏省项目监理机构工作评价标准》（苏建函建管〔</w:t>
      </w:r>
      <w:r>
        <w:rPr>
          <w:rFonts w:eastAsia="方正仿宋_GBK"/>
          <w:color w:val="000000"/>
          <w:spacing w:val="-2"/>
          <w:kern w:val="0"/>
          <w:sz w:val="24"/>
          <w:szCs w:val="22"/>
        </w:rPr>
        <w:t>2011</w:t>
      </w:r>
      <w:r>
        <w:rPr>
          <w:rFonts w:hint="eastAsia" w:eastAsia="方正仿宋_GBK"/>
          <w:color w:val="000000"/>
          <w:spacing w:val="-2"/>
          <w:kern w:val="0"/>
          <w:sz w:val="24"/>
          <w:szCs w:val="22"/>
        </w:rPr>
        <w:t>〕</w:t>
      </w:r>
      <w:r>
        <w:rPr>
          <w:rFonts w:eastAsia="方正仿宋_GBK"/>
          <w:color w:val="000000"/>
          <w:spacing w:val="-2"/>
          <w:kern w:val="0"/>
          <w:sz w:val="24"/>
          <w:szCs w:val="22"/>
        </w:rPr>
        <w:t>757</w:t>
      </w:r>
      <w:r>
        <w:rPr>
          <w:rFonts w:hint="eastAsia" w:eastAsia="方正仿宋_GBK"/>
          <w:color w:val="000000"/>
          <w:spacing w:val="-2"/>
          <w:kern w:val="0"/>
          <w:sz w:val="24"/>
          <w:szCs w:val="22"/>
        </w:rPr>
        <w:t>号）同时废止。</w:t>
      </w:r>
    </w:p>
    <w:p>
      <w:pPr>
        <w:spacing w:line="480" w:lineRule="exact"/>
        <w:ind w:firstLine="472" w:firstLineChars="200"/>
        <w:rPr>
          <w:rFonts w:eastAsia="方正仿宋_GBK"/>
          <w:color w:val="000000"/>
          <w:spacing w:val="-2"/>
          <w:kern w:val="0"/>
          <w:sz w:val="24"/>
          <w:szCs w:val="22"/>
        </w:rPr>
      </w:pPr>
    </w:p>
    <w:p>
      <w:pPr>
        <w:spacing w:line="480" w:lineRule="exact"/>
        <w:ind w:firstLine="472" w:firstLineChars="200"/>
        <w:rPr>
          <w:rFonts w:eastAsia="方正仿宋_GBK"/>
          <w:color w:val="000000"/>
          <w:spacing w:val="-2"/>
          <w:kern w:val="0"/>
          <w:sz w:val="24"/>
          <w:szCs w:val="22"/>
        </w:rPr>
      </w:pPr>
      <w:r>
        <w:rPr>
          <w:rFonts w:hint="eastAsia" w:eastAsia="方正仿宋_GBK"/>
          <w:color w:val="000000"/>
          <w:spacing w:val="-2"/>
          <w:kern w:val="0"/>
          <w:sz w:val="24"/>
          <w:szCs w:val="22"/>
        </w:rPr>
        <w:t>附件：江苏省项目监理机构工作评价标准</w:t>
      </w:r>
    </w:p>
    <w:p>
      <w:pPr>
        <w:spacing w:line="480" w:lineRule="exact"/>
        <w:ind w:firstLine="472" w:firstLineChars="200"/>
        <w:rPr>
          <w:rFonts w:eastAsia="方正仿宋_GBK"/>
          <w:color w:val="000000"/>
          <w:spacing w:val="-2"/>
          <w:kern w:val="0"/>
          <w:sz w:val="24"/>
          <w:szCs w:val="22"/>
        </w:rPr>
      </w:pPr>
      <w:r>
        <w:rPr>
          <w:rFonts w:eastAsia="方正仿宋_GBK"/>
          <w:color w:val="000000"/>
          <w:spacing w:val="-2"/>
          <w:kern w:val="0"/>
          <w:sz w:val="24"/>
          <w:szCs w:val="22"/>
        </w:rPr>
        <w:t xml:space="preserve">     </w:t>
      </w:r>
    </w:p>
    <w:p>
      <w:pPr>
        <w:spacing w:line="480" w:lineRule="exact"/>
        <w:ind w:firstLine="472" w:firstLineChars="200"/>
        <w:jc w:val="right"/>
        <w:rPr>
          <w:rFonts w:eastAsia="方正仿宋_GBK"/>
          <w:color w:val="000000"/>
          <w:spacing w:val="-2"/>
          <w:kern w:val="0"/>
          <w:sz w:val="24"/>
          <w:szCs w:val="22"/>
        </w:rPr>
      </w:pPr>
      <w:r>
        <w:rPr>
          <w:rFonts w:hint="eastAsia" w:eastAsia="方正仿宋_GBK"/>
          <w:color w:val="000000"/>
          <w:spacing w:val="-2"/>
          <w:kern w:val="0"/>
          <w:sz w:val="24"/>
          <w:szCs w:val="22"/>
        </w:rPr>
        <w:t>江苏省住房和城乡建设厅</w:t>
      </w:r>
    </w:p>
    <w:p>
      <w:pPr>
        <w:spacing w:line="480" w:lineRule="exact"/>
        <w:ind w:firstLine="6844" w:firstLineChars="2900"/>
        <w:rPr>
          <w:rFonts w:eastAsia="方正仿宋_GBK"/>
          <w:color w:val="000000"/>
          <w:spacing w:val="-2"/>
          <w:kern w:val="0"/>
          <w:sz w:val="24"/>
          <w:szCs w:val="22"/>
        </w:rPr>
      </w:pPr>
      <w:r>
        <w:rPr>
          <w:rFonts w:eastAsia="方正仿宋_GBK"/>
          <w:color w:val="000000"/>
          <w:spacing w:val="-2"/>
          <w:kern w:val="0"/>
          <w:sz w:val="24"/>
          <w:szCs w:val="22"/>
        </w:rPr>
        <w:t>2018</w:t>
      </w:r>
      <w:r>
        <w:rPr>
          <w:rFonts w:hint="eastAsia" w:eastAsia="方正仿宋_GBK"/>
          <w:color w:val="000000"/>
          <w:spacing w:val="-2"/>
          <w:kern w:val="0"/>
          <w:sz w:val="24"/>
          <w:szCs w:val="22"/>
        </w:rPr>
        <w:t>年</w:t>
      </w:r>
      <w:r>
        <w:rPr>
          <w:rFonts w:eastAsia="方正仿宋_GBK"/>
          <w:color w:val="000000"/>
          <w:spacing w:val="-2"/>
          <w:kern w:val="0"/>
          <w:sz w:val="24"/>
          <w:szCs w:val="22"/>
        </w:rPr>
        <w:t>9</w:t>
      </w:r>
      <w:r>
        <w:rPr>
          <w:rFonts w:hint="eastAsia" w:eastAsia="方正仿宋_GBK"/>
          <w:color w:val="000000"/>
          <w:spacing w:val="-2"/>
          <w:kern w:val="0"/>
          <w:sz w:val="24"/>
          <w:szCs w:val="22"/>
        </w:rPr>
        <w:t>月</w:t>
      </w:r>
      <w:r>
        <w:rPr>
          <w:rFonts w:eastAsia="方正仿宋_GBK"/>
          <w:color w:val="000000"/>
          <w:spacing w:val="-2"/>
          <w:kern w:val="0"/>
          <w:sz w:val="24"/>
          <w:szCs w:val="22"/>
        </w:rPr>
        <w:t>4</w:t>
      </w:r>
      <w:r>
        <w:rPr>
          <w:rFonts w:hint="eastAsia" w:eastAsia="方正仿宋_GBK"/>
          <w:color w:val="000000"/>
          <w:spacing w:val="-2"/>
          <w:kern w:val="0"/>
          <w:sz w:val="24"/>
          <w:szCs w:val="22"/>
        </w:rPr>
        <w:t>日</w:t>
      </w:r>
    </w:p>
    <w:p>
      <w:pPr>
        <w:spacing w:line="480" w:lineRule="exact"/>
        <w:ind w:firstLine="472" w:firstLineChars="200"/>
        <w:rPr>
          <w:rFonts w:eastAsia="方正仿宋_GBK"/>
          <w:color w:val="000000"/>
          <w:spacing w:val="-2"/>
          <w:kern w:val="0"/>
          <w:sz w:val="24"/>
          <w:szCs w:val="22"/>
        </w:rPr>
      </w:pPr>
      <w:r>
        <w:rPr>
          <w:rFonts w:hint="eastAsia" w:eastAsia="方正仿宋_GBK"/>
          <w:color w:val="000000"/>
          <w:spacing w:val="-2"/>
          <w:kern w:val="0"/>
          <w:sz w:val="24"/>
          <w:szCs w:val="22"/>
        </w:rPr>
        <w:t>（此件公开发布）</w:t>
      </w:r>
    </w:p>
    <w:p>
      <w:pPr>
        <w:spacing w:line="480" w:lineRule="exact"/>
        <w:rPr>
          <w:rFonts w:eastAsia="方正仿宋_GBK"/>
          <w:sz w:val="32"/>
          <w:szCs w:val="32"/>
        </w:rPr>
      </w:pPr>
    </w:p>
    <w:p>
      <w:pPr>
        <w:spacing w:line="570" w:lineRule="atLeast"/>
        <w:rPr>
          <w:rFonts w:eastAsia="方正仿宋_GBK"/>
          <w:sz w:val="32"/>
          <w:szCs w:val="32"/>
        </w:rPr>
      </w:pPr>
    </w:p>
    <w:p>
      <w:pPr>
        <w:spacing w:before="120" w:beforeLines="50" w:line="570" w:lineRule="exact"/>
        <w:rPr>
          <w:rFonts w:eastAsia="方正黑体_GBK"/>
          <w:snapToGrid w:val="0"/>
          <w:kern w:val="0"/>
          <w:sz w:val="32"/>
        </w:rPr>
      </w:pPr>
    </w:p>
    <w:p>
      <w:pPr>
        <w:spacing w:before="120" w:beforeLines="50" w:line="570" w:lineRule="exact"/>
        <w:rPr>
          <w:rFonts w:eastAsia="方正黑体_GBK"/>
          <w:snapToGrid w:val="0"/>
          <w:kern w:val="0"/>
          <w:sz w:val="32"/>
        </w:rPr>
      </w:pPr>
      <w:r>
        <w:rPr>
          <w:rFonts w:hint="eastAsia" w:eastAsia="方正黑体_GBK"/>
          <w:snapToGrid w:val="0"/>
          <w:kern w:val="0"/>
          <w:sz w:val="32"/>
        </w:rPr>
        <w:t>附件</w:t>
      </w:r>
    </w:p>
    <w:p>
      <w:pPr>
        <w:jc w:val="center"/>
        <w:rPr>
          <w:rFonts w:eastAsia="黑体"/>
          <w:b/>
          <w:sz w:val="72"/>
          <w:szCs w:val="72"/>
        </w:rPr>
      </w:pPr>
    </w:p>
    <w:p>
      <w:pPr>
        <w:jc w:val="center"/>
        <w:rPr>
          <w:rFonts w:eastAsia="黑体"/>
          <w:b/>
          <w:sz w:val="72"/>
          <w:szCs w:val="72"/>
        </w:rPr>
      </w:pPr>
    </w:p>
    <w:p>
      <w:pPr>
        <w:jc w:val="center"/>
        <w:rPr>
          <w:rFonts w:eastAsia="黑体"/>
          <w:b/>
          <w:sz w:val="72"/>
          <w:szCs w:val="72"/>
        </w:rPr>
      </w:pPr>
    </w:p>
    <w:p>
      <w:pPr>
        <w:spacing w:line="570" w:lineRule="exact"/>
        <w:jc w:val="center"/>
        <w:rPr>
          <w:rFonts w:eastAsia="方正小标宋_GBK"/>
          <w:snapToGrid w:val="0"/>
          <w:kern w:val="0"/>
          <w:sz w:val="52"/>
          <w:szCs w:val="52"/>
        </w:rPr>
      </w:pPr>
      <w:r>
        <w:rPr>
          <w:rFonts w:hint="eastAsia" w:eastAsia="方正小标宋_GBK"/>
          <w:snapToGrid w:val="0"/>
          <w:kern w:val="0"/>
          <w:sz w:val="52"/>
          <w:szCs w:val="52"/>
        </w:rPr>
        <w:t>江苏省项目监理机构工作评价标准</w:t>
      </w:r>
    </w:p>
    <w:p>
      <w:pPr>
        <w:spacing w:line="570" w:lineRule="exact"/>
        <w:rPr>
          <w:rFonts w:eastAsia="方正黑体_GBK"/>
          <w:snapToGrid w:val="0"/>
          <w:kern w:val="0"/>
          <w:sz w:val="32"/>
        </w:rPr>
      </w:pPr>
    </w:p>
    <w:p>
      <w:pPr>
        <w:spacing w:line="600" w:lineRule="exact"/>
        <w:jc w:val="center"/>
        <w:rPr>
          <w:rFonts w:eastAsia="方正黑体_GBK"/>
          <w:snapToGrid w:val="0"/>
          <w:kern w:val="0"/>
          <w:sz w:val="32"/>
        </w:rPr>
      </w:pPr>
      <w:r>
        <w:rPr>
          <w:rFonts w:eastAsia="方正黑体_GBK"/>
          <w:snapToGrid w:val="0"/>
          <w:kern w:val="0"/>
          <w:sz w:val="32"/>
        </w:rPr>
        <w:br w:type="page"/>
      </w:r>
    </w:p>
    <w:p>
      <w:pPr>
        <w:spacing w:line="600" w:lineRule="exact"/>
        <w:jc w:val="center"/>
        <w:rPr>
          <w:rFonts w:eastAsia="仿宋_GB2312"/>
          <w:b/>
          <w:bCs/>
          <w:sz w:val="36"/>
          <w:szCs w:val="36"/>
        </w:rPr>
      </w:pPr>
      <w:r>
        <w:rPr>
          <w:rFonts w:hint="eastAsia" w:eastAsia="仿宋_GB2312"/>
          <w:b/>
          <w:bCs/>
          <w:sz w:val="36"/>
          <w:szCs w:val="36"/>
        </w:rPr>
        <w:t>《江苏省项目监理机构工作评价标准》修订说明</w:t>
      </w:r>
    </w:p>
    <w:p>
      <w:pPr>
        <w:spacing w:line="560" w:lineRule="exact"/>
        <w:ind w:firstLine="560" w:firstLineChars="200"/>
        <w:jc w:val="left"/>
        <w:rPr>
          <w:rFonts w:eastAsia="仿宋_GB2312"/>
          <w:sz w:val="28"/>
          <w:szCs w:val="28"/>
        </w:rPr>
      </w:pPr>
    </w:p>
    <w:p>
      <w:pPr>
        <w:spacing w:line="560" w:lineRule="exact"/>
        <w:ind w:firstLine="560" w:firstLineChars="200"/>
        <w:jc w:val="left"/>
        <w:rPr>
          <w:rFonts w:eastAsia="仿宋_GB2312"/>
          <w:sz w:val="28"/>
          <w:szCs w:val="28"/>
        </w:rPr>
      </w:pPr>
      <w:r>
        <w:rPr>
          <w:rFonts w:eastAsia="仿宋_GB2312"/>
          <w:sz w:val="28"/>
          <w:szCs w:val="28"/>
        </w:rPr>
        <w:t>1</w:t>
      </w:r>
      <w:r>
        <w:rPr>
          <w:rFonts w:hint="eastAsia" w:eastAsia="仿宋_GB2312"/>
          <w:sz w:val="28"/>
          <w:szCs w:val="28"/>
        </w:rPr>
        <w:t>、为加强江苏省建设工程监理工作的标准化、规范化管理，提高项目监理机构的工作水平，科学、客观、公平地评价建设工程项目监理机构的服务质量和监理单位的履约能力，依据《建筑法》、《建设工程质量管理条例》、《建设工程安全生产管理条例》、《建设工程监理规范》等法律法规和技术标准，并结合我省监理工作实际，江苏省住房和城乡建设厅对</w:t>
      </w:r>
      <w:r>
        <w:rPr>
          <w:rFonts w:eastAsia="仿宋_GB2312"/>
          <w:sz w:val="28"/>
          <w:szCs w:val="28"/>
        </w:rPr>
        <w:t>2011</w:t>
      </w:r>
      <w:r>
        <w:rPr>
          <w:rFonts w:hint="eastAsia" w:eastAsia="仿宋_GB2312"/>
          <w:sz w:val="28"/>
          <w:szCs w:val="28"/>
        </w:rPr>
        <w:t>年</w:t>
      </w:r>
      <w:r>
        <w:rPr>
          <w:rFonts w:eastAsia="仿宋_GB2312"/>
          <w:sz w:val="28"/>
          <w:szCs w:val="28"/>
        </w:rPr>
        <w:t>10</w:t>
      </w:r>
      <w:r>
        <w:rPr>
          <w:rFonts w:hint="eastAsia" w:eastAsia="仿宋_GB2312"/>
          <w:sz w:val="28"/>
          <w:szCs w:val="28"/>
        </w:rPr>
        <w:t>月颁布的《江苏省项目监理机构工作评价标准》进行了修订。</w:t>
      </w:r>
    </w:p>
    <w:p>
      <w:pPr>
        <w:spacing w:line="560" w:lineRule="exact"/>
        <w:ind w:firstLine="560" w:firstLineChars="200"/>
        <w:rPr>
          <w:rFonts w:eastAsia="仿宋_GB2312"/>
          <w:sz w:val="28"/>
          <w:szCs w:val="28"/>
        </w:rPr>
      </w:pPr>
      <w:r>
        <w:rPr>
          <w:rFonts w:eastAsia="仿宋_GB2312"/>
          <w:sz w:val="28"/>
          <w:szCs w:val="28"/>
        </w:rPr>
        <w:t>2</w:t>
      </w:r>
      <w:r>
        <w:rPr>
          <w:rFonts w:hint="eastAsia" w:eastAsia="仿宋_GB2312"/>
          <w:sz w:val="28"/>
          <w:szCs w:val="28"/>
        </w:rPr>
        <w:t>、本标准适用于江苏省建设工程项目监理机构工作的评价与考核。</w:t>
      </w:r>
    </w:p>
    <w:p>
      <w:pPr>
        <w:spacing w:line="560" w:lineRule="exact"/>
        <w:ind w:firstLine="560" w:firstLineChars="200"/>
        <w:rPr>
          <w:rFonts w:eastAsia="仿宋_GB2312"/>
          <w:sz w:val="28"/>
          <w:szCs w:val="28"/>
        </w:rPr>
      </w:pPr>
      <w:r>
        <w:rPr>
          <w:rFonts w:eastAsia="仿宋_GB2312"/>
          <w:sz w:val="28"/>
          <w:szCs w:val="28"/>
        </w:rPr>
        <w:t>3</w:t>
      </w:r>
      <w:r>
        <w:rPr>
          <w:rFonts w:hint="eastAsia" w:eastAsia="仿宋_GB2312"/>
          <w:sz w:val="28"/>
          <w:szCs w:val="28"/>
        </w:rPr>
        <w:t>、本标准对项目监理机构监理工作进行评价，包括了组织机构与人员配备、监理服务情况、工作质量、工作绩效等内容，从而形成对项目监理机构工作水平的综合评价。评价的内容分为</w:t>
      </w:r>
      <w:r>
        <w:rPr>
          <w:rFonts w:eastAsia="仿宋_GB2312"/>
          <w:sz w:val="28"/>
          <w:szCs w:val="28"/>
        </w:rPr>
        <w:t>4</w:t>
      </w:r>
      <w:r>
        <w:rPr>
          <w:rFonts w:hint="eastAsia" w:eastAsia="仿宋_GB2312"/>
          <w:sz w:val="28"/>
          <w:szCs w:val="28"/>
        </w:rPr>
        <w:t>个单项表，总分为</w:t>
      </w:r>
      <w:r>
        <w:rPr>
          <w:rFonts w:eastAsia="仿宋_GB2312"/>
          <w:sz w:val="28"/>
          <w:szCs w:val="28"/>
        </w:rPr>
        <w:t>400</w:t>
      </w:r>
      <w:r>
        <w:rPr>
          <w:rFonts w:hint="eastAsia" w:eastAsia="仿宋_GB2312"/>
          <w:sz w:val="28"/>
          <w:szCs w:val="28"/>
        </w:rPr>
        <w:t>分，分别是工程施工准备阶段监理工作评价表（满分</w:t>
      </w:r>
      <w:r>
        <w:rPr>
          <w:rFonts w:eastAsia="仿宋_GB2312"/>
          <w:sz w:val="28"/>
          <w:szCs w:val="28"/>
        </w:rPr>
        <w:t>150</w:t>
      </w:r>
      <w:r>
        <w:rPr>
          <w:rFonts w:hint="eastAsia" w:eastAsia="仿宋_GB2312"/>
          <w:sz w:val="28"/>
          <w:szCs w:val="28"/>
        </w:rPr>
        <w:t>分）、工程施工阶段监理工作评价表（满分</w:t>
      </w:r>
      <w:r>
        <w:rPr>
          <w:rFonts w:eastAsia="仿宋_GB2312"/>
          <w:sz w:val="28"/>
          <w:szCs w:val="28"/>
        </w:rPr>
        <w:t>150</w:t>
      </w:r>
      <w:r>
        <w:rPr>
          <w:rFonts w:hint="eastAsia" w:eastAsia="仿宋_GB2312"/>
          <w:sz w:val="28"/>
          <w:szCs w:val="28"/>
        </w:rPr>
        <w:t>分）、工程竣工验收阶段监理工作评价表（满分</w:t>
      </w:r>
      <w:r>
        <w:rPr>
          <w:rFonts w:eastAsia="仿宋_GB2312"/>
          <w:sz w:val="28"/>
          <w:szCs w:val="28"/>
        </w:rPr>
        <w:t>50</w:t>
      </w:r>
      <w:r>
        <w:rPr>
          <w:rFonts w:hint="eastAsia" w:eastAsia="仿宋_GB2312"/>
          <w:sz w:val="28"/>
          <w:szCs w:val="28"/>
        </w:rPr>
        <w:t>分）、</w:t>
      </w:r>
      <w:r>
        <w:rPr>
          <w:rFonts w:eastAsia="仿宋_GB2312"/>
          <w:sz w:val="28"/>
          <w:szCs w:val="28"/>
        </w:rPr>
        <w:t xml:space="preserve"> </w:t>
      </w:r>
      <w:r>
        <w:rPr>
          <w:rFonts w:hint="eastAsia" w:eastAsia="仿宋_GB2312"/>
          <w:sz w:val="28"/>
          <w:szCs w:val="28"/>
        </w:rPr>
        <w:t>施工合同管理监理工作评价表（满分</w:t>
      </w:r>
      <w:r>
        <w:rPr>
          <w:rFonts w:eastAsia="仿宋_GB2312"/>
          <w:sz w:val="28"/>
          <w:szCs w:val="28"/>
        </w:rPr>
        <w:t>50</w:t>
      </w:r>
      <w:r>
        <w:rPr>
          <w:rFonts w:hint="eastAsia" w:eastAsia="仿宋_GB2312"/>
          <w:sz w:val="28"/>
          <w:szCs w:val="28"/>
        </w:rPr>
        <w:t>分）。</w:t>
      </w:r>
    </w:p>
    <w:p>
      <w:pPr>
        <w:spacing w:line="560" w:lineRule="exact"/>
        <w:ind w:firstLine="560" w:firstLineChars="200"/>
        <w:rPr>
          <w:rFonts w:eastAsia="仿宋_GB2312"/>
          <w:sz w:val="28"/>
          <w:szCs w:val="28"/>
        </w:rPr>
      </w:pPr>
      <w:r>
        <w:rPr>
          <w:rFonts w:eastAsia="仿宋_GB2312"/>
          <w:sz w:val="28"/>
          <w:szCs w:val="28"/>
        </w:rPr>
        <w:t>4</w:t>
      </w:r>
      <w:r>
        <w:rPr>
          <w:rFonts w:hint="eastAsia" w:eastAsia="仿宋_GB2312"/>
          <w:sz w:val="28"/>
          <w:szCs w:val="28"/>
        </w:rPr>
        <w:t>、单项评分表中用“▲”标注的内容为重要评价项，属于必须遵守的国家法律、法规或可能导致工程质量、安全事故隐患的内容，此项内容检查时如不符合要求，则该单项评价表的评价项目为不合格，即该评价项目考核实得分为</w:t>
      </w:r>
      <w:r>
        <w:rPr>
          <w:rFonts w:eastAsia="仿宋_GB2312"/>
          <w:sz w:val="28"/>
          <w:szCs w:val="28"/>
        </w:rPr>
        <w:t>0</w:t>
      </w:r>
      <w:r>
        <w:rPr>
          <w:rFonts w:hint="eastAsia" w:eastAsia="仿宋_GB2312"/>
          <w:sz w:val="28"/>
          <w:szCs w:val="28"/>
        </w:rPr>
        <w:t>分；其他项检查时，如发现评分标准中监理此项工作未做，则此项分数全扣，得分为</w:t>
      </w:r>
      <w:r>
        <w:rPr>
          <w:rFonts w:eastAsia="仿宋_GB2312"/>
          <w:sz w:val="28"/>
          <w:szCs w:val="28"/>
        </w:rPr>
        <w:t>0</w:t>
      </w:r>
      <w:r>
        <w:rPr>
          <w:rFonts w:hint="eastAsia" w:eastAsia="仿宋_GB2312"/>
          <w:sz w:val="28"/>
          <w:szCs w:val="28"/>
        </w:rPr>
        <w:t>，如此项工作有缺陷，可酌情扣分。</w:t>
      </w:r>
    </w:p>
    <w:p>
      <w:pPr>
        <w:spacing w:line="560" w:lineRule="exact"/>
        <w:ind w:firstLine="560" w:firstLineChars="200"/>
        <w:rPr>
          <w:rFonts w:eastAsia="仿宋_GB2312"/>
          <w:sz w:val="28"/>
          <w:szCs w:val="28"/>
        </w:rPr>
      </w:pPr>
      <w:r>
        <w:rPr>
          <w:rFonts w:eastAsia="仿宋_GB2312"/>
          <w:sz w:val="28"/>
          <w:szCs w:val="28"/>
        </w:rPr>
        <w:t>5</w:t>
      </w:r>
      <w:r>
        <w:rPr>
          <w:rFonts w:hint="eastAsia" w:eastAsia="仿宋_GB2312"/>
          <w:sz w:val="28"/>
          <w:szCs w:val="28"/>
        </w:rPr>
        <w:t>、项目监理机构监理工作评价等级根据评价得分率分为优秀、良好、一般和差。评价得分率在</w:t>
      </w:r>
      <w:r>
        <w:rPr>
          <w:rFonts w:eastAsia="仿宋_GB2312"/>
          <w:sz w:val="28"/>
          <w:szCs w:val="28"/>
        </w:rPr>
        <w:t>90%</w:t>
      </w:r>
      <w:r>
        <w:rPr>
          <w:rFonts w:hint="eastAsia" w:eastAsia="仿宋_GB2312"/>
          <w:sz w:val="28"/>
          <w:szCs w:val="28"/>
        </w:rPr>
        <w:t>及以上且每张单项表得分率均不低于</w:t>
      </w:r>
      <w:r>
        <w:rPr>
          <w:rFonts w:eastAsia="仿宋_GB2312"/>
          <w:sz w:val="28"/>
          <w:szCs w:val="28"/>
        </w:rPr>
        <w:t>85%</w:t>
      </w:r>
      <w:r>
        <w:rPr>
          <w:rFonts w:hint="eastAsia" w:eastAsia="仿宋_GB2312"/>
          <w:sz w:val="28"/>
          <w:szCs w:val="28"/>
        </w:rPr>
        <w:t>为优秀；得分率在</w:t>
      </w:r>
      <w:r>
        <w:rPr>
          <w:rFonts w:eastAsia="仿宋_GB2312"/>
          <w:sz w:val="28"/>
          <w:szCs w:val="28"/>
        </w:rPr>
        <w:t>80%</w:t>
      </w:r>
      <w:r>
        <w:rPr>
          <w:rFonts w:hint="eastAsia" w:eastAsia="仿宋_GB2312"/>
          <w:sz w:val="28"/>
          <w:szCs w:val="28"/>
        </w:rPr>
        <w:t>及以上、</w:t>
      </w:r>
      <w:r>
        <w:rPr>
          <w:rFonts w:eastAsia="仿宋_GB2312"/>
          <w:sz w:val="28"/>
          <w:szCs w:val="28"/>
        </w:rPr>
        <w:t>90%</w:t>
      </w:r>
      <w:r>
        <w:rPr>
          <w:rFonts w:hint="eastAsia" w:eastAsia="仿宋_GB2312"/>
          <w:sz w:val="28"/>
          <w:szCs w:val="28"/>
        </w:rPr>
        <w:t>以下且每张表得分率均不低于</w:t>
      </w:r>
      <w:r>
        <w:rPr>
          <w:rFonts w:eastAsia="仿宋_GB2312"/>
          <w:sz w:val="28"/>
          <w:szCs w:val="28"/>
        </w:rPr>
        <w:t>75%</w:t>
      </w:r>
      <w:r>
        <w:rPr>
          <w:rFonts w:hint="eastAsia" w:eastAsia="仿宋_GB2312"/>
          <w:sz w:val="28"/>
          <w:szCs w:val="28"/>
        </w:rPr>
        <w:t>为良好；得分率在</w:t>
      </w:r>
      <w:r>
        <w:rPr>
          <w:rFonts w:eastAsia="仿宋_GB2312"/>
          <w:sz w:val="28"/>
          <w:szCs w:val="28"/>
        </w:rPr>
        <w:t>60%</w:t>
      </w:r>
      <w:r>
        <w:rPr>
          <w:rFonts w:hint="eastAsia" w:eastAsia="仿宋_GB2312"/>
          <w:sz w:val="28"/>
          <w:szCs w:val="28"/>
        </w:rPr>
        <w:t>及以上、</w:t>
      </w:r>
      <w:r>
        <w:rPr>
          <w:rFonts w:eastAsia="仿宋_GB2312"/>
          <w:sz w:val="28"/>
          <w:szCs w:val="28"/>
        </w:rPr>
        <w:t>80%</w:t>
      </w:r>
      <w:r>
        <w:rPr>
          <w:rFonts w:hint="eastAsia" w:eastAsia="仿宋_GB2312"/>
          <w:sz w:val="28"/>
          <w:szCs w:val="28"/>
        </w:rPr>
        <w:t>以下的为一般；得分率低于</w:t>
      </w:r>
      <w:r>
        <w:rPr>
          <w:rFonts w:eastAsia="仿宋_GB2312"/>
          <w:sz w:val="28"/>
          <w:szCs w:val="28"/>
        </w:rPr>
        <w:t>60%</w:t>
      </w:r>
      <w:r>
        <w:rPr>
          <w:rFonts w:hint="eastAsia" w:eastAsia="仿宋_GB2312"/>
          <w:sz w:val="28"/>
          <w:szCs w:val="28"/>
        </w:rPr>
        <w:t>的为差。使用时，可根据委托监理的范围、工作内容、工程进度的不同，组合部分单项表或全部单项表进行评价。</w:t>
      </w:r>
    </w:p>
    <w:p>
      <w:pPr>
        <w:spacing w:line="560" w:lineRule="exact"/>
        <w:ind w:firstLine="560" w:firstLineChars="200"/>
        <w:rPr>
          <w:rFonts w:eastAsia="仿宋_GB2312"/>
          <w:sz w:val="28"/>
          <w:szCs w:val="28"/>
        </w:rPr>
      </w:pPr>
      <w:r>
        <w:rPr>
          <w:rFonts w:eastAsia="仿宋_GB2312"/>
          <w:sz w:val="28"/>
          <w:szCs w:val="28"/>
        </w:rPr>
        <w:t>6</w:t>
      </w:r>
      <w:r>
        <w:rPr>
          <w:rFonts w:hint="eastAsia" w:eastAsia="仿宋_GB2312"/>
          <w:sz w:val="28"/>
          <w:szCs w:val="28"/>
        </w:rPr>
        <w:t>、评价项目（表）有合理缺项时，该单项表（评价）得分率按下式计算：</w:t>
      </w:r>
    </w:p>
    <w:p>
      <w:pPr>
        <w:spacing w:line="560" w:lineRule="exact"/>
        <w:ind w:firstLine="560" w:firstLineChars="200"/>
        <w:rPr>
          <w:rFonts w:eastAsia="仿宋_GB2312"/>
          <w:sz w:val="28"/>
          <w:szCs w:val="28"/>
        </w:rPr>
      </w:pPr>
    </w:p>
    <w:tbl>
      <w:tblPr>
        <w:tblStyle w:val="12"/>
        <w:tblW w:w="0" w:type="auto"/>
        <w:jc w:val="center"/>
        <w:tblBorders>
          <w:top w:val="none" w:color="auto" w:sz="0" w:space="0"/>
          <w:left w:val="none" w:color="auto" w:sz="0" w:space="0"/>
          <w:bottom w:val="none" w:color="auto" w:sz="0" w:space="0"/>
          <w:right w:val="none" w:color="auto" w:sz="0" w:space="0"/>
          <w:insideH w:val="single" w:color="000000" w:sz="4" w:space="0"/>
          <w:insideV w:val="none" w:color="auto" w:sz="0" w:space="0"/>
        </w:tblBorders>
        <w:tblLayout w:type="fixed"/>
        <w:tblCellMar>
          <w:top w:w="0" w:type="dxa"/>
          <w:left w:w="108" w:type="dxa"/>
          <w:bottom w:w="0" w:type="dxa"/>
          <w:right w:w="108" w:type="dxa"/>
        </w:tblCellMar>
      </w:tblPr>
      <w:tblGrid>
        <w:gridCol w:w="1644"/>
        <w:gridCol w:w="3918"/>
        <w:gridCol w:w="1380"/>
      </w:tblGrid>
      <w:tr>
        <w:tblPrEx>
          <w:tblBorders>
            <w:top w:val="none" w:color="auto" w:sz="0" w:space="0"/>
            <w:left w:val="none" w:color="auto" w:sz="0" w:space="0"/>
            <w:bottom w:val="none" w:color="auto" w:sz="0" w:space="0"/>
            <w:right w:val="none" w:color="auto" w:sz="0" w:space="0"/>
            <w:insideH w:val="single" w:color="000000" w:sz="4" w:space="0"/>
            <w:insideV w:val="none" w:color="auto" w:sz="0" w:space="0"/>
          </w:tblBorders>
        </w:tblPrEx>
        <w:trPr>
          <w:jc w:val="center"/>
        </w:trPr>
        <w:tc>
          <w:tcPr>
            <w:tcW w:w="1644" w:type="dxa"/>
            <w:vMerge w:val="restart"/>
            <w:noWrap w:val="0"/>
            <w:vAlign w:val="center"/>
          </w:tcPr>
          <w:p>
            <w:pPr>
              <w:spacing w:line="560" w:lineRule="exact"/>
              <w:jc w:val="center"/>
              <w:rPr>
                <w:rFonts w:eastAsia="仿宋" w:cs="仿宋"/>
                <w:sz w:val="28"/>
                <w:szCs w:val="28"/>
              </w:rPr>
            </w:pPr>
            <w:r>
              <w:rPr>
                <w:rFonts w:hint="eastAsia" w:eastAsia="仿宋" w:cs="仿宋"/>
                <w:sz w:val="28"/>
                <w:szCs w:val="28"/>
              </w:rPr>
              <w:t>得分率</w:t>
            </w:r>
            <w:r>
              <w:rPr>
                <w:rFonts w:eastAsia="仿宋" w:cs="仿宋"/>
                <w:sz w:val="28"/>
                <w:szCs w:val="28"/>
              </w:rPr>
              <w:t>=</w:t>
            </w:r>
          </w:p>
        </w:tc>
        <w:tc>
          <w:tcPr>
            <w:tcW w:w="3918" w:type="dxa"/>
            <w:tcBorders>
              <w:top w:val="nil"/>
              <w:left w:val="nil"/>
              <w:bottom w:val="single" w:color="000000" w:sz="4" w:space="0"/>
              <w:right w:val="nil"/>
            </w:tcBorders>
            <w:noWrap w:val="0"/>
            <w:vAlign w:val="top"/>
          </w:tcPr>
          <w:p>
            <w:pPr>
              <w:spacing w:line="560" w:lineRule="exact"/>
              <w:rPr>
                <w:rFonts w:eastAsia="仿宋" w:cs="仿宋"/>
                <w:sz w:val="28"/>
                <w:szCs w:val="28"/>
              </w:rPr>
            </w:pPr>
            <w:r>
              <w:rPr>
                <w:rFonts w:hint="eastAsia" w:eastAsia="仿宋" w:cs="仿宋"/>
                <w:sz w:val="28"/>
                <w:szCs w:val="28"/>
              </w:rPr>
              <w:t>可评分评价项目实得分之和</w:t>
            </w:r>
          </w:p>
        </w:tc>
        <w:tc>
          <w:tcPr>
            <w:tcW w:w="1380" w:type="dxa"/>
            <w:vMerge w:val="restart"/>
            <w:noWrap w:val="0"/>
            <w:vAlign w:val="center"/>
          </w:tcPr>
          <w:p>
            <w:pPr>
              <w:spacing w:line="560" w:lineRule="exact"/>
              <w:rPr>
                <w:sz w:val="28"/>
                <w:szCs w:val="28"/>
              </w:rPr>
            </w:pPr>
            <w:r>
              <w:rPr>
                <w:rFonts w:hint="eastAsia"/>
                <w:sz w:val="28"/>
                <w:szCs w:val="28"/>
              </w:rPr>
              <w:t>×</w:t>
            </w:r>
            <w:r>
              <w:rPr>
                <w:sz w:val="28"/>
                <w:szCs w:val="28"/>
              </w:rPr>
              <w:t>100%</w:t>
            </w:r>
          </w:p>
        </w:tc>
      </w:tr>
      <w:tr>
        <w:tblPrEx>
          <w:tblBorders>
            <w:top w:val="none" w:color="auto" w:sz="0" w:space="0"/>
            <w:left w:val="none" w:color="auto" w:sz="0" w:space="0"/>
            <w:bottom w:val="none" w:color="auto" w:sz="0" w:space="0"/>
            <w:right w:val="none" w:color="auto" w:sz="0" w:space="0"/>
            <w:insideH w:val="single" w:color="000000" w:sz="4" w:space="0"/>
            <w:insideV w:val="none" w:color="auto" w:sz="0" w:space="0"/>
          </w:tblBorders>
          <w:tblCellMar>
            <w:top w:w="0" w:type="dxa"/>
            <w:left w:w="108" w:type="dxa"/>
            <w:bottom w:w="0" w:type="dxa"/>
            <w:right w:w="108" w:type="dxa"/>
          </w:tblCellMar>
        </w:tblPrEx>
        <w:trPr>
          <w:jc w:val="center"/>
        </w:trPr>
        <w:tc>
          <w:tcPr>
            <w:tcW w:w="1644" w:type="dxa"/>
            <w:vMerge w:val="continue"/>
            <w:noWrap w:val="0"/>
            <w:vAlign w:val="center"/>
          </w:tcPr>
          <w:p>
            <w:pPr>
              <w:widowControl/>
              <w:jc w:val="left"/>
              <w:rPr>
                <w:rFonts w:eastAsia="仿宋" w:cs="仿宋"/>
                <w:sz w:val="28"/>
                <w:szCs w:val="28"/>
              </w:rPr>
            </w:pPr>
          </w:p>
        </w:tc>
        <w:tc>
          <w:tcPr>
            <w:tcW w:w="3918" w:type="dxa"/>
            <w:tcBorders>
              <w:top w:val="single" w:color="000000" w:sz="4" w:space="0"/>
              <w:left w:val="nil"/>
              <w:bottom w:val="nil"/>
              <w:right w:val="nil"/>
            </w:tcBorders>
            <w:noWrap w:val="0"/>
            <w:vAlign w:val="top"/>
          </w:tcPr>
          <w:p>
            <w:pPr>
              <w:spacing w:line="560" w:lineRule="exact"/>
              <w:rPr>
                <w:rFonts w:eastAsia="仿宋" w:cs="仿宋"/>
                <w:sz w:val="28"/>
                <w:szCs w:val="28"/>
              </w:rPr>
            </w:pPr>
            <w:r>
              <w:rPr>
                <w:rFonts w:hint="eastAsia" w:eastAsia="仿宋" w:cs="仿宋"/>
                <w:sz w:val="28"/>
                <w:szCs w:val="28"/>
              </w:rPr>
              <w:t>可评分评价项目应得分之和</w:t>
            </w:r>
          </w:p>
        </w:tc>
        <w:tc>
          <w:tcPr>
            <w:tcW w:w="1380" w:type="dxa"/>
            <w:vMerge w:val="continue"/>
            <w:noWrap w:val="0"/>
            <w:vAlign w:val="center"/>
          </w:tcPr>
          <w:p>
            <w:pPr>
              <w:widowControl/>
              <w:jc w:val="left"/>
              <w:rPr>
                <w:sz w:val="28"/>
                <w:szCs w:val="28"/>
              </w:rPr>
            </w:pPr>
          </w:p>
        </w:tc>
      </w:tr>
    </w:tbl>
    <w:p>
      <w:pPr>
        <w:spacing w:line="600" w:lineRule="exact"/>
        <w:rPr>
          <w:rFonts w:eastAsia="仿宋_GB2312"/>
          <w:sz w:val="32"/>
          <w:szCs w:val="32"/>
        </w:rPr>
      </w:pPr>
    </w:p>
    <w:p>
      <w:pPr>
        <w:adjustRightInd w:val="0"/>
        <w:ind w:firstLine="643" w:firstLineChars="200"/>
        <w:rPr>
          <w:b/>
          <w:sz w:val="32"/>
          <w:szCs w:val="32"/>
        </w:rPr>
      </w:pPr>
    </w:p>
    <w:p>
      <w:pPr>
        <w:adjustRightInd w:val="0"/>
        <w:ind w:firstLine="643" w:firstLineChars="200"/>
        <w:rPr>
          <w:b/>
          <w:sz w:val="32"/>
          <w:szCs w:val="32"/>
        </w:rPr>
      </w:pPr>
    </w:p>
    <w:p>
      <w:pPr>
        <w:adjustRightInd w:val="0"/>
        <w:ind w:firstLine="643" w:firstLineChars="200"/>
        <w:rPr>
          <w:b/>
          <w:sz w:val="32"/>
          <w:szCs w:val="32"/>
        </w:rPr>
      </w:pPr>
    </w:p>
    <w:p>
      <w:pPr>
        <w:adjustRightInd w:val="0"/>
        <w:ind w:firstLine="643" w:firstLineChars="200"/>
        <w:rPr>
          <w:b/>
          <w:sz w:val="32"/>
          <w:szCs w:val="32"/>
        </w:rPr>
      </w:pPr>
    </w:p>
    <w:p>
      <w:pPr>
        <w:adjustRightInd w:val="0"/>
        <w:ind w:firstLine="643" w:firstLineChars="200"/>
        <w:rPr>
          <w:b/>
          <w:sz w:val="32"/>
          <w:szCs w:val="32"/>
        </w:rPr>
      </w:pPr>
    </w:p>
    <w:p>
      <w:pPr>
        <w:adjustRightInd w:val="0"/>
        <w:ind w:firstLine="643" w:firstLineChars="200"/>
        <w:rPr>
          <w:b/>
          <w:sz w:val="32"/>
          <w:szCs w:val="32"/>
        </w:rPr>
      </w:pPr>
    </w:p>
    <w:p>
      <w:pPr>
        <w:adjustRightInd w:val="0"/>
        <w:ind w:firstLine="643" w:firstLineChars="200"/>
        <w:rPr>
          <w:b/>
          <w:sz w:val="32"/>
          <w:szCs w:val="32"/>
        </w:rPr>
      </w:pPr>
    </w:p>
    <w:p>
      <w:pPr>
        <w:adjustRightInd w:val="0"/>
        <w:ind w:firstLine="643" w:firstLineChars="200"/>
        <w:rPr>
          <w:b/>
          <w:sz w:val="32"/>
          <w:szCs w:val="32"/>
        </w:rPr>
      </w:pPr>
    </w:p>
    <w:p>
      <w:pPr>
        <w:adjustRightInd w:val="0"/>
        <w:rPr>
          <w:b/>
          <w:sz w:val="32"/>
          <w:szCs w:val="32"/>
        </w:rPr>
      </w:pPr>
    </w:p>
    <w:p>
      <w:pPr>
        <w:widowControl/>
        <w:jc w:val="left"/>
        <w:rPr>
          <w:rFonts w:eastAsia="方正黑体_GBK"/>
          <w:snapToGrid w:val="0"/>
          <w:kern w:val="0"/>
          <w:sz w:val="32"/>
        </w:rPr>
        <w:sectPr>
          <w:pgSz w:w="11906" w:h="16838"/>
          <w:pgMar w:top="1985" w:right="1531" w:bottom="1814" w:left="1531" w:header="720" w:footer="1474" w:gutter="0"/>
          <w:cols w:space="720" w:num="1"/>
        </w:sectPr>
      </w:pPr>
    </w:p>
    <w:p>
      <w:pPr>
        <w:adjustRightInd w:val="0"/>
        <w:spacing w:before="156" w:beforeLines="50"/>
        <w:ind w:firstLine="643" w:firstLineChars="200"/>
        <w:rPr>
          <w:b/>
          <w:sz w:val="32"/>
          <w:szCs w:val="32"/>
        </w:rPr>
      </w:pPr>
      <w:r>
        <w:rPr>
          <w:rFonts w:hint="eastAsia"/>
          <w:b/>
          <w:sz w:val="32"/>
          <w:szCs w:val="32"/>
        </w:rPr>
        <w:t>表</w:t>
      </w:r>
      <w:r>
        <w:rPr>
          <w:b/>
          <w:sz w:val="32"/>
          <w:szCs w:val="32"/>
        </w:rPr>
        <w:t xml:space="preserve">A                         </w:t>
      </w:r>
      <w:r>
        <w:rPr>
          <w:rFonts w:hint="eastAsia"/>
          <w:b/>
          <w:sz w:val="32"/>
          <w:szCs w:val="32"/>
        </w:rPr>
        <w:t>工程施工准备阶段监理工作评价表</w:t>
      </w:r>
      <w:r>
        <w:rPr>
          <w:b/>
          <w:sz w:val="32"/>
          <w:szCs w:val="32"/>
        </w:rPr>
        <w:t xml:space="preserve"> </w:t>
      </w:r>
    </w:p>
    <w:p>
      <w:pPr>
        <w:adjustRightInd w:val="0"/>
        <w:ind w:firstLine="301" w:firstLineChars="200"/>
        <w:rPr>
          <w:b/>
          <w:sz w:val="15"/>
          <w:szCs w:val="15"/>
        </w:rPr>
      </w:pPr>
    </w:p>
    <w:p>
      <w:pPr>
        <w:adjustRightInd w:val="0"/>
        <w:ind w:firstLine="480" w:firstLineChars="200"/>
        <w:rPr>
          <w:sz w:val="24"/>
        </w:rPr>
      </w:pPr>
      <w:r>
        <w:rPr>
          <w:rFonts w:hint="eastAsia"/>
          <w:sz w:val="24"/>
        </w:rPr>
        <w:t>工程项目名称：</w:t>
      </w:r>
      <w:r>
        <w:rPr>
          <w:sz w:val="24"/>
        </w:rPr>
        <w:t xml:space="preserve">                                                     </w:t>
      </w:r>
      <w:r>
        <w:rPr>
          <w:rFonts w:hint="eastAsia"/>
          <w:sz w:val="24"/>
        </w:rPr>
        <w:t>监理单位名称：</w:t>
      </w:r>
      <w:r>
        <w:rPr>
          <w:sz w:val="24"/>
        </w:rPr>
        <w:t xml:space="preserve">                                                              </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655"/>
        <w:gridCol w:w="2565"/>
        <w:gridCol w:w="1770"/>
        <w:gridCol w:w="5775"/>
        <w:gridCol w:w="337"/>
        <w:gridCol w:w="630"/>
        <w:gridCol w:w="645"/>
        <w:gridCol w:w="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37"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ind w:left="105" w:leftChars="50" w:right="-105" w:rightChars="-50"/>
              <w:jc w:val="center"/>
              <w:rPr>
                <w:sz w:val="18"/>
                <w:szCs w:val="18"/>
              </w:rPr>
            </w:pPr>
            <w:r>
              <w:rPr>
                <w:rFonts w:hint="eastAsia"/>
                <w:sz w:val="18"/>
                <w:szCs w:val="18"/>
              </w:rPr>
              <w:t>序号</w:t>
            </w:r>
          </w:p>
        </w:tc>
        <w:tc>
          <w:tcPr>
            <w:tcW w:w="655"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ind w:left="105" w:leftChars="50" w:right="-105" w:rightChars="-50"/>
              <w:jc w:val="center"/>
              <w:rPr>
                <w:sz w:val="18"/>
                <w:szCs w:val="18"/>
              </w:rPr>
            </w:pPr>
            <w:r>
              <w:rPr>
                <w:rFonts w:hint="eastAsia"/>
                <w:sz w:val="18"/>
                <w:szCs w:val="18"/>
              </w:rPr>
              <w:t>评价项目</w:t>
            </w:r>
          </w:p>
        </w:tc>
        <w:tc>
          <w:tcPr>
            <w:tcW w:w="2565"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ind w:left="105" w:leftChars="50" w:right="-105" w:rightChars="-50"/>
              <w:jc w:val="center"/>
              <w:rPr>
                <w:sz w:val="18"/>
                <w:szCs w:val="18"/>
              </w:rPr>
            </w:pPr>
            <w:r>
              <w:rPr>
                <w:rFonts w:hint="eastAsia"/>
                <w:sz w:val="18"/>
                <w:szCs w:val="18"/>
              </w:rPr>
              <w:t>评价内容</w:t>
            </w:r>
          </w:p>
        </w:tc>
        <w:tc>
          <w:tcPr>
            <w:tcW w:w="7882" w:type="dxa"/>
            <w:gridSpan w:val="3"/>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ind w:left="105" w:leftChars="50" w:right="-105" w:rightChars="-50"/>
              <w:jc w:val="center"/>
              <w:rPr>
                <w:sz w:val="18"/>
                <w:szCs w:val="18"/>
              </w:rPr>
            </w:pPr>
            <w:r>
              <w:rPr>
                <w:rFonts w:hint="eastAsia"/>
                <w:sz w:val="18"/>
                <w:szCs w:val="18"/>
              </w:rPr>
              <w:t>评分标准</w:t>
            </w:r>
          </w:p>
        </w:tc>
        <w:tc>
          <w:tcPr>
            <w:tcW w:w="20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ind w:left="105" w:leftChars="50" w:right="-105" w:rightChars="-50"/>
              <w:jc w:val="center"/>
              <w:rPr>
                <w:sz w:val="18"/>
                <w:szCs w:val="18"/>
              </w:rPr>
            </w:pPr>
            <w:r>
              <w:rPr>
                <w:rFonts w:hint="eastAsia"/>
                <w:sz w:val="18"/>
                <w:szCs w:val="18"/>
              </w:rPr>
              <w:t>评分（分）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882" w:type="dxa"/>
            <w:gridSpan w:val="3"/>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30" w:type="dxa"/>
            <w:tcBorders>
              <w:top w:val="single" w:color="auto" w:sz="4" w:space="0"/>
              <w:left w:val="single" w:color="auto" w:sz="4" w:space="0"/>
              <w:bottom w:val="single" w:color="auto" w:sz="4" w:space="0"/>
              <w:right w:val="single" w:color="auto" w:sz="4" w:space="0"/>
            </w:tcBorders>
            <w:noWrap w:val="0"/>
            <w:vAlign w:val="center"/>
          </w:tcPr>
          <w:p>
            <w:pPr>
              <w:spacing w:line="220" w:lineRule="exact"/>
              <w:ind w:left="105" w:leftChars="50" w:right="-105" w:rightChars="-50"/>
              <w:jc w:val="center"/>
              <w:rPr>
                <w:sz w:val="18"/>
                <w:szCs w:val="18"/>
              </w:rPr>
            </w:pPr>
            <w:r>
              <w:rPr>
                <w:rFonts w:hint="eastAsia"/>
                <w:sz w:val="18"/>
                <w:szCs w:val="18"/>
              </w:rPr>
              <w:t>应得分</w:t>
            </w: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ind w:left="105" w:leftChars="50" w:right="-105" w:rightChars="-50"/>
              <w:jc w:val="center"/>
              <w:rPr>
                <w:sz w:val="18"/>
                <w:szCs w:val="18"/>
              </w:rPr>
            </w:pPr>
            <w:r>
              <w:rPr>
                <w:rFonts w:hint="eastAsia"/>
                <w:sz w:val="18"/>
                <w:szCs w:val="18"/>
              </w:rPr>
              <w:t>扣减分</w:t>
            </w:r>
          </w:p>
        </w:tc>
        <w:tc>
          <w:tcPr>
            <w:tcW w:w="807" w:type="dxa"/>
            <w:tcBorders>
              <w:top w:val="single" w:color="auto" w:sz="4" w:space="0"/>
              <w:left w:val="single" w:color="auto" w:sz="4" w:space="0"/>
              <w:bottom w:val="single" w:color="auto" w:sz="4" w:space="0"/>
              <w:right w:val="single" w:color="auto" w:sz="4" w:space="0"/>
            </w:tcBorders>
            <w:noWrap w:val="0"/>
            <w:vAlign w:val="center"/>
          </w:tcPr>
          <w:p>
            <w:pPr>
              <w:spacing w:line="220" w:lineRule="exact"/>
              <w:ind w:left="105" w:leftChars="50" w:right="-105" w:rightChars="-50"/>
              <w:jc w:val="center"/>
              <w:rPr>
                <w:sz w:val="18"/>
                <w:szCs w:val="18"/>
              </w:rPr>
            </w:pPr>
            <w:r>
              <w:rPr>
                <w:rFonts w:hint="eastAsia"/>
                <w:sz w:val="18"/>
                <w:szCs w:val="18"/>
              </w:rPr>
              <w:t>实得分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r>
              <w:rPr>
                <w:sz w:val="18"/>
                <w:szCs w:val="18"/>
              </w:rPr>
              <w:t>1</w:t>
            </w:r>
          </w:p>
        </w:tc>
        <w:tc>
          <w:tcPr>
            <w:tcW w:w="655"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r>
              <w:rPr>
                <w:rFonts w:hint="eastAsia"/>
                <w:sz w:val="18"/>
                <w:szCs w:val="18"/>
              </w:rPr>
              <w:t>合同与资质</w:t>
            </w:r>
          </w:p>
        </w:tc>
        <w:tc>
          <w:tcPr>
            <w:tcW w:w="256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sz w:val="18"/>
                <w:szCs w:val="18"/>
              </w:rPr>
              <w:t xml:space="preserve">A.1.1 </w:t>
            </w:r>
            <w:r>
              <w:rPr>
                <w:rFonts w:hint="eastAsia"/>
                <w:sz w:val="18"/>
                <w:szCs w:val="18"/>
              </w:rPr>
              <w:t>监理合同</w:t>
            </w: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rFonts w:hint="eastAsia"/>
                <w:sz w:val="18"/>
                <w:szCs w:val="18"/>
              </w:rPr>
              <w:t>现场无监理合同复印件</w:t>
            </w:r>
            <w:r>
              <w:rPr>
                <w:sz w:val="18"/>
                <w:szCs w:val="18"/>
              </w:rPr>
              <w:t xml:space="preserve">                                                         </w:t>
            </w:r>
            <w:r>
              <w:rPr>
                <w:rFonts w:hint="eastAsia"/>
                <w:sz w:val="18"/>
                <w:szCs w:val="18"/>
              </w:rPr>
              <w:t>扣</w:t>
            </w:r>
            <w:r>
              <w:rPr>
                <w:sz w:val="18"/>
                <w:szCs w:val="18"/>
              </w:rPr>
              <w:t>1</w:t>
            </w:r>
            <w:r>
              <w:rPr>
                <w:rFonts w:hint="eastAsia"/>
                <w:sz w:val="18"/>
                <w:szCs w:val="18"/>
              </w:rPr>
              <w:t>分</w:t>
            </w:r>
          </w:p>
        </w:tc>
        <w:tc>
          <w:tcPr>
            <w:tcW w:w="630"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r>
              <w:rPr>
                <w:sz w:val="18"/>
                <w:szCs w:val="18"/>
              </w:rPr>
              <w:t>2</w:t>
            </w: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sz w:val="18"/>
                <w:szCs w:val="18"/>
              </w:rPr>
              <w:t xml:space="preserve">A.1.2 </w:t>
            </w:r>
            <w:r>
              <w:rPr>
                <w:rFonts w:hint="eastAsia"/>
                <w:sz w:val="18"/>
                <w:szCs w:val="18"/>
              </w:rPr>
              <w:t>企业资质</w:t>
            </w: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rFonts w:hint="eastAsia"/>
                <w:sz w:val="18"/>
                <w:szCs w:val="18"/>
              </w:rPr>
              <w:t>现场无监理单位资质证书、营业执照复印件</w:t>
            </w:r>
            <w:r>
              <w:rPr>
                <w:sz w:val="18"/>
                <w:szCs w:val="18"/>
              </w:rPr>
              <w:t xml:space="preserve">                                       </w:t>
            </w:r>
            <w:r>
              <w:rPr>
                <w:rFonts w:hint="eastAsia"/>
                <w:sz w:val="18"/>
                <w:szCs w:val="18"/>
              </w:rPr>
              <w:t>扣</w:t>
            </w:r>
            <w:r>
              <w:rPr>
                <w:sz w:val="18"/>
                <w:szCs w:val="18"/>
              </w:rPr>
              <w:t>1</w:t>
            </w:r>
            <w:r>
              <w:rPr>
                <w:rFonts w:hint="eastAsia"/>
                <w:sz w:val="18"/>
                <w:szCs w:val="18"/>
              </w:rPr>
              <w:t>分</w:t>
            </w: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p>
            <w:pPr>
              <w:spacing w:line="220" w:lineRule="exact"/>
              <w:jc w:val="center"/>
              <w:rPr>
                <w:sz w:val="18"/>
                <w:szCs w:val="18"/>
              </w:rPr>
            </w:pPr>
          </w:p>
          <w:p>
            <w:pPr>
              <w:spacing w:line="220" w:lineRule="exact"/>
              <w:jc w:val="center"/>
              <w:rPr>
                <w:sz w:val="18"/>
                <w:szCs w:val="18"/>
              </w:rPr>
            </w:pPr>
          </w:p>
          <w:p>
            <w:pPr>
              <w:spacing w:line="220" w:lineRule="exact"/>
              <w:jc w:val="center"/>
              <w:rPr>
                <w:sz w:val="18"/>
                <w:szCs w:val="18"/>
              </w:rPr>
            </w:pPr>
            <w:r>
              <w:rPr>
                <w:sz w:val="18"/>
                <w:szCs w:val="18"/>
              </w:rPr>
              <w:t>2</w:t>
            </w:r>
          </w:p>
          <w:p>
            <w:pPr>
              <w:spacing w:line="220" w:lineRule="exact"/>
              <w:rPr>
                <w:sz w:val="18"/>
                <w:szCs w:val="18"/>
              </w:rPr>
            </w:pPr>
          </w:p>
          <w:p>
            <w:pPr>
              <w:spacing w:line="220" w:lineRule="exact"/>
              <w:jc w:val="center"/>
              <w:rPr>
                <w:sz w:val="18"/>
                <w:szCs w:val="18"/>
              </w:rPr>
            </w:pPr>
          </w:p>
        </w:tc>
        <w:tc>
          <w:tcPr>
            <w:tcW w:w="655"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r>
              <w:rPr>
                <w:rFonts w:hint="eastAsia"/>
                <w:sz w:val="18"/>
                <w:szCs w:val="18"/>
              </w:rPr>
              <w:t>组织机构</w:t>
            </w:r>
          </w:p>
        </w:tc>
        <w:tc>
          <w:tcPr>
            <w:tcW w:w="256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sz w:val="18"/>
                <w:szCs w:val="18"/>
              </w:rPr>
              <w:t xml:space="preserve">A.2.1 </w:t>
            </w:r>
            <w:r>
              <w:rPr>
                <w:rFonts w:hint="eastAsia"/>
                <w:sz w:val="18"/>
                <w:szCs w:val="18"/>
              </w:rPr>
              <w:t>人员配置</w:t>
            </w: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rFonts w:hint="eastAsia"/>
                <w:sz w:val="18"/>
                <w:szCs w:val="18"/>
              </w:rPr>
              <w:t>人员配置不符合监理合同或监理规划</w:t>
            </w:r>
            <w:r>
              <w:rPr>
                <w:sz w:val="18"/>
                <w:szCs w:val="18"/>
              </w:rPr>
              <w:t xml:space="preserve">                                           </w:t>
            </w:r>
            <w:r>
              <w:rPr>
                <w:rFonts w:hint="eastAsia"/>
                <w:sz w:val="18"/>
                <w:szCs w:val="18"/>
              </w:rPr>
              <w:t>扣</w:t>
            </w:r>
            <w:r>
              <w:rPr>
                <w:sz w:val="18"/>
                <w:szCs w:val="18"/>
              </w:rPr>
              <w:t>1</w:t>
            </w:r>
            <w:r>
              <w:rPr>
                <w:rFonts w:hint="eastAsia" w:cs="宋体"/>
                <w:sz w:val="18"/>
                <w:szCs w:val="18"/>
              </w:rPr>
              <w:t>～</w:t>
            </w:r>
            <w:r>
              <w:rPr>
                <w:sz w:val="18"/>
                <w:szCs w:val="18"/>
              </w:rPr>
              <w:t>4</w:t>
            </w:r>
            <w:r>
              <w:rPr>
                <w:rFonts w:hint="eastAsia"/>
                <w:sz w:val="18"/>
                <w:szCs w:val="18"/>
              </w:rPr>
              <w:t>分</w:t>
            </w:r>
          </w:p>
        </w:tc>
        <w:tc>
          <w:tcPr>
            <w:tcW w:w="630"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p>
            <w:pPr>
              <w:spacing w:line="220" w:lineRule="exact"/>
              <w:jc w:val="center"/>
              <w:rPr>
                <w:sz w:val="18"/>
                <w:szCs w:val="18"/>
              </w:rPr>
            </w:pPr>
          </w:p>
          <w:p>
            <w:pPr>
              <w:spacing w:line="220" w:lineRule="exact"/>
              <w:jc w:val="center"/>
              <w:rPr>
                <w:sz w:val="18"/>
                <w:szCs w:val="18"/>
              </w:rPr>
            </w:pPr>
          </w:p>
          <w:p>
            <w:pPr>
              <w:spacing w:line="220" w:lineRule="exact"/>
              <w:jc w:val="center"/>
              <w:rPr>
                <w:sz w:val="18"/>
                <w:szCs w:val="18"/>
              </w:rPr>
            </w:pPr>
          </w:p>
          <w:p>
            <w:pPr>
              <w:spacing w:line="220" w:lineRule="exact"/>
              <w:jc w:val="center"/>
              <w:rPr>
                <w:sz w:val="18"/>
                <w:szCs w:val="18"/>
              </w:rPr>
            </w:pPr>
          </w:p>
          <w:p>
            <w:pPr>
              <w:spacing w:line="220" w:lineRule="exact"/>
              <w:jc w:val="center"/>
              <w:rPr>
                <w:sz w:val="18"/>
                <w:szCs w:val="18"/>
              </w:rPr>
            </w:pPr>
            <w:r>
              <w:rPr>
                <w:sz w:val="18"/>
                <w:szCs w:val="18"/>
              </w:rPr>
              <w:t>25</w:t>
            </w:r>
          </w:p>
          <w:p>
            <w:pPr>
              <w:spacing w:line="220" w:lineRule="exact"/>
              <w:jc w:val="center"/>
              <w:rPr>
                <w:sz w:val="18"/>
                <w:szCs w:val="18"/>
              </w:rPr>
            </w:pPr>
          </w:p>
          <w:p>
            <w:pPr>
              <w:spacing w:line="220" w:lineRule="exact"/>
              <w:jc w:val="center"/>
              <w:rPr>
                <w:sz w:val="18"/>
                <w:szCs w:val="18"/>
              </w:rPr>
            </w:pPr>
          </w:p>
          <w:p>
            <w:pPr>
              <w:spacing w:line="220" w:lineRule="exact"/>
              <w:jc w:val="center"/>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sz w:val="18"/>
                <w:szCs w:val="18"/>
              </w:rPr>
              <w:t xml:space="preserve">A.2.2 </w:t>
            </w:r>
            <w:r>
              <w:rPr>
                <w:rFonts w:hint="eastAsia"/>
                <w:sz w:val="18"/>
                <w:szCs w:val="18"/>
              </w:rPr>
              <w:t>组织形式</w:t>
            </w: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rFonts w:hint="eastAsia"/>
                <w:sz w:val="18"/>
                <w:szCs w:val="18"/>
              </w:rPr>
              <w:t>组织机构形式、职责分工不明确</w:t>
            </w:r>
            <w:r>
              <w:rPr>
                <w:sz w:val="18"/>
                <w:szCs w:val="18"/>
              </w:rPr>
              <w:t xml:space="preserve">                                                 </w:t>
            </w:r>
            <w:r>
              <w:rPr>
                <w:rFonts w:hint="eastAsia"/>
                <w:sz w:val="18"/>
                <w:szCs w:val="18"/>
              </w:rPr>
              <w:t>扣</w:t>
            </w:r>
            <w:r>
              <w:rPr>
                <w:sz w:val="18"/>
                <w:szCs w:val="18"/>
              </w:rPr>
              <w:t>2</w:t>
            </w:r>
            <w:r>
              <w:rPr>
                <w:rFonts w:hint="eastAsia"/>
                <w:sz w:val="18"/>
                <w:szCs w:val="18"/>
              </w:rPr>
              <w:t>分</w:t>
            </w: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sz w:val="18"/>
                <w:szCs w:val="18"/>
              </w:rPr>
              <w:t xml:space="preserve">A.2.3 </w:t>
            </w:r>
            <w:r>
              <w:rPr>
                <w:rFonts w:hint="eastAsia"/>
                <w:sz w:val="18"/>
                <w:szCs w:val="18"/>
              </w:rPr>
              <w:t>专业配置</w:t>
            </w: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rFonts w:hint="eastAsia"/>
                <w:sz w:val="18"/>
                <w:szCs w:val="18"/>
              </w:rPr>
              <w:t>专业不对口、不配套</w:t>
            </w:r>
            <w:r>
              <w:rPr>
                <w:sz w:val="18"/>
                <w:szCs w:val="18"/>
              </w:rPr>
              <w:t xml:space="preserve">                                                           </w:t>
            </w:r>
            <w:r>
              <w:rPr>
                <w:rFonts w:hint="eastAsia"/>
                <w:sz w:val="18"/>
                <w:szCs w:val="18"/>
              </w:rPr>
              <w:t>扣</w:t>
            </w:r>
            <w:r>
              <w:rPr>
                <w:sz w:val="18"/>
                <w:szCs w:val="18"/>
              </w:rPr>
              <w:t>2</w:t>
            </w:r>
            <w:r>
              <w:rPr>
                <w:rFonts w:hint="eastAsia"/>
                <w:sz w:val="18"/>
                <w:szCs w:val="18"/>
              </w:rPr>
              <w:t>分</w:t>
            </w: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sz w:val="18"/>
                <w:szCs w:val="18"/>
              </w:rPr>
              <w:t xml:space="preserve">A.2.4 </w:t>
            </w:r>
            <w:r>
              <w:rPr>
                <w:rFonts w:hint="eastAsia"/>
                <w:sz w:val="18"/>
                <w:szCs w:val="18"/>
              </w:rPr>
              <w:t>总监理工程师</w:t>
            </w: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rFonts w:eastAsia="黑体"/>
                <w:b/>
                <w:sz w:val="18"/>
                <w:szCs w:val="18"/>
              </w:rPr>
            </w:pPr>
            <w:r>
              <w:rPr>
                <w:rFonts w:hint="eastAsia" w:eastAsia="仿宋_GB2312"/>
                <w:sz w:val="18"/>
                <w:szCs w:val="18"/>
              </w:rPr>
              <w:t>▲</w:t>
            </w:r>
            <w:r>
              <w:rPr>
                <w:rFonts w:hint="eastAsia" w:cs="宋体"/>
                <w:bCs/>
                <w:sz w:val="18"/>
                <w:szCs w:val="18"/>
              </w:rPr>
              <w:t>未取得总监理工程师执业资格</w:t>
            </w:r>
            <w:r>
              <w:rPr>
                <w:rFonts w:cs="宋体"/>
                <w:bCs/>
                <w:sz w:val="18"/>
                <w:szCs w:val="18"/>
              </w:rPr>
              <w:t xml:space="preserve">                                              </w:t>
            </w: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rFonts w:hint="eastAsia"/>
                <w:sz w:val="18"/>
                <w:szCs w:val="18"/>
              </w:rPr>
              <w:t>无监理单位法定代表人书面授权、总监理工程师质量终身责任承诺书</w:t>
            </w:r>
            <w:r>
              <w:rPr>
                <w:sz w:val="18"/>
                <w:szCs w:val="18"/>
              </w:rPr>
              <w:t xml:space="preserve">                 </w:t>
            </w:r>
            <w:r>
              <w:rPr>
                <w:rFonts w:hint="eastAsia"/>
                <w:sz w:val="18"/>
                <w:szCs w:val="18"/>
              </w:rPr>
              <w:t>扣</w:t>
            </w:r>
            <w:r>
              <w:rPr>
                <w:sz w:val="18"/>
                <w:szCs w:val="18"/>
              </w:rPr>
              <w:t>3</w:t>
            </w:r>
            <w:r>
              <w:rPr>
                <w:rFonts w:hint="eastAsia"/>
                <w:sz w:val="18"/>
                <w:szCs w:val="18"/>
              </w:rPr>
              <w:t>分</w:t>
            </w: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rFonts w:hint="eastAsia"/>
                <w:sz w:val="18"/>
                <w:szCs w:val="18"/>
              </w:rPr>
              <w:t>变更无相关手续</w:t>
            </w:r>
            <w:r>
              <w:rPr>
                <w:sz w:val="18"/>
                <w:szCs w:val="18"/>
              </w:rPr>
              <w:t xml:space="preserve">                                                               </w:t>
            </w:r>
            <w:r>
              <w:rPr>
                <w:rFonts w:hint="eastAsia"/>
                <w:sz w:val="18"/>
                <w:szCs w:val="18"/>
              </w:rPr>
              <w:t>扣</w:t>
            </w:r>
            <w:r>
              <w:rPr>
                <w:sz w:val="18"/>
                <w:szCs w:val="18"/>
              </w:rPr>
              <w:t>2</w:t>
            </w:r>
            <w:r>
              <w:rPr>
                <w:rFonts w:hint="eastAsia"/>
                <w:sz w:val="18"/>
                <w:szCs w:val="18"/>
              </w:rPr>
              <w:t>分</w:t>
            </w: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rFonts w:hint="eastAsia"/>
                <w:sz w:val="18"/>
                <w:szCs w:val="18"/>
              </w:rPr>
              <w:t>到岗明显低于监理合同约定；对监理工作不熟悉</w:t>
            </w:r>
            <w:r>
              <w:rPr>
                <w:sz w:val="18"/>
                <w:szCs w:val="18"/>
              </w:rPr>
              <w:t xml:space="preserve">                                   </w:t>
            </w:r>
            <w:r>
              <w:rPr>
                <w:rFonts w:hint="eastAsia"/>
                <w:sz w:val="18"/>
                <w:szCs w:val="18"/>
              </w:rPr>
              <w:t>扣</w:t>
            </w:r>
            <w:r>
              <w:rPr>
                <w:sz w:val="18"/>
                <w:szCs w:val="18"/>
              </w:rPr>
              <w:t>4</w:t>
            </w:r>
            <w:r>
              <w:rPr>
                <w:rFonts w:hint="eastAsia"/>
                <w:sz w:val="18"/>
                <w:szCs w:val="18"/>
              </w:rPr>
              <w:t>分</w:t>
            </w: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sz w:val="18"/>
                <w:szCs w:val="18"/>
              </w:rPr>
              <w:t xml:space="preserve">A.2.5 </w:t>
            </w:r>
            <w:r>
              <w:rPr>
                <w:rFonts w:hint="eastAsia"/>
                <w:sz w:val="18"/>
                <w:szCs w:val="18"/>
              </w:rPr>
              <w:t>其他监理人员</w:t>
            </w: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rFonts w:hint="eastAsia"/>
                <w:sz w:val="18"/>
                <w:szCs w:val="18"/>
              </w:rPr>
              <w:t>现场监理人员不符合规定要求</w:t>
            </w:r>
            <w:r>
              <w:rPr>
                <w:sz w:val="18"/>
                <w:szCs w:val="18"/>
              </w:rPr>
              <w:t xml:space="preserve">                                    </w:t>
            </w:r>
            <w:r>
              <w:rPr>
                <w:rFonts w:hint="eastAsia"/>
                <w:sz w:val="18"/>
                <w:szCs w:val="18"/>
              </w:rPr>
              <w:t>共</w:t>
            </w:r>
            <w:r>
              <w:rPr>
                <w:sz w:val="18"/>
                <w:szCs w:val="18"/>
              </w:rPr>
              <w:t>6</w:t>
            </w:r>
            <w:r>
              <w:rPr>
                <w:rFonts w:hint="eastAsia"/>
                <w:sz w:val="18"/>
                <w:szCs w:val="18"/>
              </w:rPr>
              <w:t>分，每少一人扣</w:t>
            </w:r>
            <w:r>
              <w:rPr>
                <w:sz w:val="18"/>
                <w:szCs w:val="18"/>
              </w:rPr>
              <w:t>2</w:t>
            </w:r>
            <w:r>
              <w:rPr>
                <w:rFonts w:hint="eastAsia"/>
                <w:sz w:val="18"/>
                <w:szCs w:val="18"/>
              </w:rPr>
              <w:t>分</w:t>
            </w: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rFonts w:hint="eastAsia"/>
                <w:sz w:val="18"/>
                <w:szCs w:val="18"/>
              </w:rPr>
              <w:t>超越职责范围行使职权</w:t>
            </w:r>
            <w:r>
              <w:rPr>
                <w:sz w:val="18"/>
                <w:szCs w:val="18"/>
              </w:rPr>
              <w:t xml:space="preserve">                                                         </w:t>
            </w:r>
            <w:r>
              <w:rPr>
                <w:rFonts w:hint="eastAsia"/>
                <w:sz w:val="18"/>
                <w:szCs w:val="18"/>
              </w:rPr>
              <w:t>扣</w:t>
            </w:r>
            <w:r>
              <w:rPr>
                <w:sz w:val="18"/>
                <w:szCs w:val="18"/>
              </w:rPr>
              <w:t>2</w:t>
            </w:r>
            <w:r>
              <w:rPr>
                <w:rFonts w:hint="eastAsia"/>
                <w:sz w:val="18"/>
                <w:szCs w:val="18"/>
              </w:rPr>
              <w:t>分</w:t>
            </w: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r>
              <w:rPr>
                <w:sz w:val="18"/>
                <w:szCs w:val="18"/>
              </w:rPr>
              <w:t>3</w:t>
            </w:r>
          </w:p>
        </w:tc>
        <w:tc>
          <w:tcPr>
            <w:tcW w:w="655"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r>
              <w:rPr>
                <w:rFonts w:hint="eastAsia"/>
                <w:sz w:val="18"/>
                <w:szCs w:val="18"/>
              </w:rPr>
              <w:t>监理设施</w:t>
            </w:r>
          </w:p>
        </w:tc>
        <w:tc>
          <w:tcPr>
            <w:tcW w:w="256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sz w:val="18"/>
                <w:szCs w:val="18"/>
              </w:rPr>
              <w:t xml:space="preserve">A.3.1 </w:t>
            </w:r>
            <w:r>
              <w:rPr>
                <w:rFonts w:hint="eastAsia"/>
                <w:sz w:val="18"/>
                <w:szCs w:val="18"/>
              </w:rPr>
              <w:t>标准、规范</w:t>
            </w: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rFonts w:hint="eastAsia"/>
                <w:sz w:val="18"/>
                <w:szCs w:val="18"/>
              </w:rPr>
              <w:t>现场不能提供工作需要的标准、图集等</w:t>
            </w:r>
            <w:r>
              <w:rPr>
                <w:sz w:val="18"/>
                <w:szCs w:val="18"/>
              </w:rPr>
              <w:t xml:space="preserve">                                           </w:t>
            </w:r>
            <w:r>
              <w:rPr>
                <w:rFonts w:hint="eastAsia"/>
                <w:sz w:val="18"/>
                <w:szCs w:val="18"/>
              </w:rPr>
              <w:t>扣</w:t>
            </w:r>
            <w:r>
              <w:rPr>
                <w:sz w:val="18"/>
                <w:szCs w:val="18"/>
              </w:rPr>
              <w:t>2</w:t>
            </w:r>
            <w:r>
              <w:rPr>
                <w:rFonts w:hint="eastAsia"/>
                <w:sz w:val="18"/>
                <w:szCs w:val="18"/>
              </w:rPr>
              <w:t>分</w:t>
            </w:r>
          </w:p>
        </w:tc>
        <w:tc>
          <w:tcPr>
            <w:tcW w:w="630"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r>
              <w:rPr>
                <w:sz w:val="18"/>
                <w:szCs w:val="18"/>
              </w:rPr>
              <w:t>5</w:t>
            </w: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sz w:val="18"/>
                <w:szCs w:val="18"/>
              </w:rPr>
              <w:t xml:space="preserve">A.3.2 </w:t>
            </w:r>
            <w:r>
              <w:rPr>
                <w:rFonts w:hint="eastAsia"/>
                <w:sz w:val="18"/>
                <w:szCs w:val="18"/>
              </w:rPr>
              <w:t>检测设备、工器具</w:t>
            </w: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ind w:left="6660" w:hanging="6660" w:hangingChars="3700"/>
              <w:rPr>
                <w:sz w:val="18"/>
                <w:szCs w:val="18"/>
              </w:rPr>
            </w:pPr>
            <w:r>
              <w:rPr>
                <w:rFonts w:hint="eastAsia"/>
                <w:sz w:val="18"/>
                <w:szCs w:val="18"/>
              </w:rPr>
              <w:t>检测设备和工器具不能满足现场监理工作需要；设备检定证书过期</w:t>
            </w:r>
            <w:r>
              <w:rPr>
                <w:sz w:val="18"/>
                <w:szCs w:val="18"/>
              </w:rPr>
              <w:t xml:space="preserve">                 </w:t>
            </w:r>
            <w:r>
              <w:rPr>
                <w:rFonts w:hint="eastAsia"/>
                <w:sz w:val="18"/>
                <w:szCs w:val="18"/>
              </w:rPr>
              <w:t>扣</w:t>
            </w:r>
            <w:r>
              <w:rPr>
                <w:sz w:val="18"/>
                <w:szCs w:val="18"/>
              </w:rPr>
              <w:t>1</w:t>
            </w:r>
            <w:r>
              <w:rPr>
                <w:rFonts w:hint="eastAsia" w:cs="宋体"/>
                <w:sz w:val="18"/>
                <w:szCs w:val="18"/>
              </w:rPr>
              <w:t>～</w:t>
            </w:r>
            <w:r>
              <w:rPr>
                <w:sz w:val="18"/>
                <w:szCs w:val="18"/>
              </w:rPr>
              <w:t>2</w:t>
            </w:r>
            <w:r>
              <w:rPr>
                <w:rFonts w:hint="eastAsia"/>
                <w:sz w:val="18"/>
                <w:szCs w:val="18"/>
              </w:rPr>
              <w:t>分</w:t>
            </w:r>
            <w:r>
              <w:rPr>
                <w:sz w:val="18"/>
                <w:szCs w:val="18"/>
              </w:rPr>
              <w:t xml:space="preserve">                                                                     </w:t>
            </w: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sz w:val="18"/>
                <w:szCs w:val="18"/>
              </w:rPr>
              <w:t xml:space="preserve">A.3.3 </w:t>
            </w:r>
            <w:r>
              <w:rPr>
                <w:rFonts w:hint="eastAsia"/>
                <w:sz w:val="18"/>
                <w:szCs w:val="18"/>
              </w:rPr>
              <w:t>办公设施</w:t>
            </w: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rFonts w:hint="eastAsia"/>
                <w:sz w:val="18"/>
                <w:szCs w:val="18"/>
              </w:rPr>
              <w:t>现场办公设施不能满足监理工作需要</w:t>
            </w:r>
            <w:r>
              <w:rPr>
                <w:sz w:val="18"/>
                <w:szCs w:val="18"/>
              </w:rPr>
              <w:t xml:space="preserve">                                             </w:t>
            </w:r>
            <w:r>
              <w:rPr>
                <w:rFonts w:hint="eastAsia"/>
                <w:sz w:val="18"/>
                <w:szCs w:val="18"/>
              </w:rPr>
              <w:t>扣</w:t>
            </w:r>
            <w:r>
              <w:rPr>
                <w:sz w:val="18"/>
                <w:szCs w:val="18"/>
              </w:rPr>
              <w:t>1</w:t>
            </w:r>
            <w:r>
              <w:rPr>
                <w:rFonts w:hint="eastAsia"/>
                <w:sz w:val="18"/>
                <w:szCs w:val="18"/>
              </w:rPr>
              <w:t>分</w:t>
            </w: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p>
            <w:pPr>
              <w:spacing w:line="220" w:lineRule="exact"/>
              <w:jc w:val="center"/>
              <w:rPr>
                <w:sz w:val="18"/>
                <w:szCs w:val="18"/>
              </w:rPr>
            </w:pPr>
          </w:p>
          <w:p>
            <w:pPr>
              <w:spacing w:line="220" w:lineRule="exact"/>
              <w:jc w:val="center"/>
              <w:rPr>
                <w:sz w:val="18"/>
                <w:szCs w:val="18"/>
              </w:rPr>
            </w:pPr>
          </w:p>
          <w:p>
            <w:pPr>
              <w:spacing w:line="220" w:lineRule="exact"/>
              <w:jc w:val="center"/>
              <w:rPr>
                <w:sz w:val="18"/>
                <w:szCs w:val="18"/>
              </w:rPr>
            </w:pPr>
            <w:r>
              <w:rPr>
                <w:sz w:val="18"/>
                <w:szCs w:val="18"/>
              </w:rPr>
              <w:t>4</w:t>
            </w:r>
          </w:p>
        </w:tc>
        <w:tc>
          <w:tcPr>
            <w:tcW w:w="655"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p>
            <w:pPr>
              <w:spacing w:line="220" w:lineRule="exact"/>
              <w:jc w:val="center"/>
              <w:rPr>
                <w:sz w:val="18"/>
                <w:szCs w:val="18"/>
              </w:rPr>
            </w:pPr>
          </w:p>
          <w:p>
            <w:pPr>
              <w:spacing w:line="220" w:lineRule="exact"/>
              <w:jc w:val="center"/>
              <w:rPr>
                <w:sz w:val="18"/>
                <w:szCs w:val="18"/>
              </w:rPr>
            </w:pPr>
            <w:r>
              <w:rPr>
                <w:rFonts w:hint="eastAsia"/>
                <w:sz w:val="18"/>
                <w:szCs w:val="18"/>
              </w:rPr>
              <w:t>监理规划与实施细则</w:t>
            </w:r>
          </w:p>
        </w:tc>
        <w:tc>
          <w:tcPr>
            <w:tcW w:w="2565"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p>
          <w:p>
            <w:pPr>
              <w:spacing w:line="220" w:lineRule="exact"/>
              <w:rPr>
                <w:sz w:val="18"/>
                <w:szCs w:val="18"/>
              </w:rPr>
            </w:pPr>
          </w:p>
          <w:p>
            <w:pPr>
              <w:spacing w:line="220" w:lineRule="exact"/>
              <w:rPr>
                <w:sz w:val="18"/>
                <w:szCs w:val="18"/>
              </w:rPr>
            </w:pPr>
            <w:r>
              <w:rPr>
                <w:sz w:val="18"/>
                <w:szCs w:val="18"/>
              </w:rPr>
              <w:t xml:space="preserve">A.4.1 </w:t>
            </w:r>
            <w:r>
              <w:rPr>
                <w:rFonts w:hint="eastAsia"/>
                <w:sz w:val="18"/>
                <w:szCs w:val="18"/>
              </w:rPr>
              <w:t>监理规划</w:t>
            </w: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rFonts w:eastAsia="黑体"/>
                <w:b/>
                <w:sz w:val="18"/>
                <w:szCs w:val="18"/>
              </w:rPr>
            </w:pPr>
            <w:r>
              <w:rPr>
                <w:rFonts w:hint="eastAsia" w:eastAsia="仿宋_GB2312"/>
                <w:sz w:val="18"/>
                <w:szCs w:val="18"/>
              </w:rPr>
              <w:t>▲</w:t>
            </w:r>
            <w:r>
              <w:rPr>
                <w:rFonts w:hint="eastAsia"/>
                <w:sz w:val="18"/>
                <w:szCs w:val="18"/>
              </w:rPr>
              <w:t>未编制监理规划</w:t>
            </w:r>
            <w:r>
              <w:rPr>
                <w:sz w:val="18"/>
                <w:szCs w:val="18"/>
              </w:rPr>
              <w:t xml:space="preserve">                                                           </w:t>
            </w:r>
          </w:p>
        </w:tc>
        <w:tc>
          <w:tcPr>
            <w:tcW w:w="630"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p>
            <w:pPr>
              <w:spacing w:line="220" w:lineRule="exact"/>
              <w:jc w:val="center"/>
              <w:rPr>
                <w:sz w:val="18"/>
                <w:szCs w:val="18"/>
              </w:rPr>
            </w:pPr>
          </w:p>
          <w:p>
            <w:pPr>
              <w:spacing w:line="220" w:lineRule="exact"/>
              <w:jc w:val="center"/>
              <w:rPr>
                <w:sz w:val="18"/>
                <w:szCs w:val="18"/>
              </w:rPr>
            </w:pPr>
            <w:r>
              <w:rPr>
                <w:sz w:val="18"/>
                <w:szCs w:val="18"/>
              </w:rPr>
              <w:t>20</w:t>
            </w: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rFonts w:hint="eastAsia"/>
                <w:sz w:val="18"/>
                <w:szCs w:val="18"/>
              </w:rPr>
              <w:t>编审程序不符合要求；未在第一次工地会议前报建设单位</w:t>
            </w:r>
            <w:r>
              <w:rPr>
                <w:sz w:val="18"/>
                <w:szCs w:val="18"/>
              </w:rPr>
              <w:t xml:space="preserve">                            </w:t>
            </w:r>
            <w:r>
              <w:rPr>
                <w:rFonts w:hint="eastAsia"/>
                <w:sz w:val="18"/>
                <w:szCs w:val="18"/>
              </w:rPr>
              <w:t>扣</w:t>
            </w:r>
            <w:r>
              <w:rPr>
                <w:sz w:val="18"/>
                <w:szCs w:val="18"/>
              </w:rPr>
              <w:t>2</w:t>
            </w:r>
            <w:r>
              <w:rPr>
                <w:rFonts w:hint="eastAsia"/>
                <w:sz w:val="18"/>
                <w:szCs w:val="18"/>
              </w:rPr>
              <w:t>分</w:t>
            </w: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rFonts w:hint="eastAsia"/>
                <w:sz w:val="18"/>
                <w:szCs w:val="18"/>
              </w:rPr>
              <w:t>内容不符合监理规范的要求，时效性、针对性、指导性差</w:t>
            </w:r>
            <w:r>
              <w:rPr>
                <w:sz w:val="18"/>
                <w:szCs w:val="18"/>
              </w:rPr>
              <w:t xml:space="preserve">                          </w:t>
            </w:r>
            <w:r>
              <w:rPr>
                <w:rFonts w:hint="eastAsia"/>
                <w:sz w:val="18"/>
                <w:szCs w:val="18"/>
              </w:rPr>
              <w:t>扣</w:t>
            </w:r>
            <w:r>
              <w:rPr>
                <w:sz w:val="18"/>
                <w:szCs w:val="18"/>
              </w:rPr>
              <w:t>1</w:t>
            </w:r>
            <w:r>
              <w:rPr>
                <w:rFonts w:hint="eastAsia" w:cs="宋体"/>
                <w:sz w:val="18"/>
                <w:szCs w:val="18"/>
              </w:rPr>
              <w:t>～</w:t>
            </w:r>
            <w:r>
              <w:rPr>
                <w:rFonts w:cs="宋体"/>
                <w:sz w:val="18"/>
                <w:szCs w:val="18"/>
              </w:rPr>
              <w:t>4</w:t>
            </w:r>
            <w:r>
              <w:rPr>
                <w:rFonts w:hint="eastAsia"/>
                <w:sz w:val="18"/>
                <w:szCs w:val="18"/>
              </w:rPr>
              <w:t>分</w:t>
            </w: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shd w:val="clear" w:color="auto" w:fill="D9D9D9"/>
              </w:rPr>
            </w:pPr>
            <w:r>
              <w:rPr>
                <w:rFonts w:hint="eastAsia"/>
                <w:sz w:val="18"/>
                <w:szCs w:val="18"/>
              </w:rPr>
              <w:t>规划中未制定监理人员进退场计划</w:t>
            </w:r>
            <w:r>
              <w:rPr>
                <w:sz w:val="18"/>
                <w:szCs w:val="18"/>
              </w:rPr>
              <w:t xml:space="preserve">                                                </w:t>
            </w:r>
            <w:r>
              <w:rPr>
                <w:rFonts w:hint="eastAsia"/>
                <w:sz w:val="18"/>
                <w:szCs w:val="18"/>
              </w:rPr>
              <w:t>扣</w:t>
            </w:r>
            <w:r>
              <w:rPr>
                <w:sz w:val="18"/>
                <w:szCs w:val="18"/>
              </w:rPr>
              <w:t>2</w:t>
            </w:r>
            <w:r>
              <w:rPr>
                <w:rFonts w:hint="eastAsia"/>
                <w:sz w:val="18"/>
                <w:szCs w:val="18"/>
              </w:rPr>
              <w:t>分</w:t>
            </w: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sz w:val="18"/>
                <w:szCs w:val="18"/>
              </w:rPr>
              <w:t xml:space="preserve">A.4.2  </w:t>
            </w:r>
            <w:r>
              <w:rPr>
                <w:rFonts w:hint="eastAsia"/>
                <w:sz w:val="18"/>
                <w:szCs w:val="18"/>
              </w:rPr>
              <w:t>实施细则</w:t>
            </w: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ind w:left="5310" w:hanging="5310" w:hangingChars="2950"/>
              <w:rPr>
                <w:sz w:val="18"/>
                <w:szCs w:val="18"/>
              </w:rPr>
            </w:pPr>
            <w:r>
              <w:rPr>
                <w:rFonts w:hint="eastAsia" w:eastAsia="仿宋_GB2312"/>
                <w:sz w:val="18"/>
                <w:szCs w:val="18"/>
              </w:rPr>
              <w:t>▲</w:t>
            </w:r>
            <w:r>
              <w:rPr>
                <w:rFonts w:hint="eastAsia"/>
                <w:sz w:val="18"/>
                <w:szCs w:val="18"/>
              </w:rPr>
              <w:t>未按规定编制危险性较大分部分项工程监理实施细则</w:t>
            </w: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rFonts w:hint="eastAsia"/>
                <w:sz w:val="18"/>
                <w:szCs w:val="18"/>
              </w:rPr>
              <w:t>未按规定编制监理工作需要的其他监理实施细则</w:t>
            </w:r>
            <w:r>
              <w:rPr>
                <w:sz w:val="18"/>
                <w:szCs w:val="18"/>
              </w:rPr>
              <w:t xml:space="preserve">                     </w:t>
            </w:r>
            <w:r>
              <w:rPr>
                <w:rFonts w:hint="eastAsia"/>
                <w:sz w:val="18"/>
                <w:szCs w:val="18"/>
              </w:rPr>
              <w:t>共</w:t>
            </w:r>
            <w:r>
              <w:rPr>
                <w:sz w:val="18"/>
                <w:szCs w:val="18"/>
              </w:rPr>
              <w:t>6</w:t>
            </w:r>
            <w:r>
              <w:rPr>
                <w:rFonts w:hint="eastAsia"/>
                <w:sz w:val="18"/>
                <w:szCs w:val="18"/>
              </w:rPr>
              <w:t>分，每缺一项扣</w:t>
            </w:r>
            <w:r>
              <w:rPr>
                <w:sz w:val="18"/>
                <w:szCs w:val="18"/>
              </w:rPr>
              <w:t>2</w:t>
            </w:r>
            <w:r>
              <w:rPr>
                <w:rFonts w:hint="eastAsia"/>
                <w:sz w:val="18"/>
                <w:szCs w:val="18"/>
              </w:rPr>
              <w:t>分</w:t>
            </w:r>
            <w:r>
              <w:rPr>
                <w:sz w:val="18"/>
                <w:szCs w:val="18"/>
              </w:rPr>
              <w:t xml:space="preserve">           </w:t>
            </w: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ind w:left="5310" w:hanging="5310" w:hangingChars="2950"/>
              <w:rPr>
                <w:sz w:val="18"/>
                <w:szCs w:val="18"/>
              </w:rPr>
            </w:pPr>
            <w:r>
              <w:rPr>
                <w:rFonts w:hint="eastAsia"/>
                <w:sz w:val="18"/>
                <w:szCs w:val="18"/>
              </w:rPr>
              <w:t>编审程序不符合要求</w:t>
            </w:r>
            <w:r>
              <w:rPr>
                <w:sz w:val="18"/>
                <w:szCs w:val="18"/>
              </w:rPr>
              <w:t xml:space="preserve">                                                           </w:t>
            </w:r>
            <w:r>
              <w:rPr>
                <w:rFonts w:hint="eastAsia"/>
                <w:sz w:val="18"/>
                <w:szCs w:val="18"/>
              </w:rPr>
              <w:t>扣</w:t>
            </w:r>
            <w:r>
              <w:rPr>
                <w:sz w:val="18"/>
                <w:szCs w:val="18"/>
              </w:rPr>
              <w:t>2</w:t>
            </w:r>
            <w:r>
              <w:rPr>
                <w:rFonts w:hint="eastAsia"/>
                <w:sz w:val="18"/>
                <w:szCs w:val="18"/>
              </w:rPr>
              <w:t>分</w:t>
            </w: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rFonts w:hint="eastAsia"/>
                <w:sz w:val="18"/>
                <w:szCs w:val="18"/>
              </w:rPr>
              <w:t>内容不符合监理规范要求，时效性、针对性、可操作性差</w:t>
            </w:r>
            <w:r>
              <w:rPr>
                <w:sz w:val="18"/>
                <w:szCs w:val="18"/>
              </w:rPr>
              <w:t xml:space="preserve">                         </w:t>
            </w:r>
            <w:r>
              <w:rPr>
                <w:rFonts w:hint="eastAsia"/>
                <w:sz w:val="18"/>
                <w:szCs w:val="18"/>
              </w:rPr>
              <w:t>扣</w:t>
            </w:r>
            <w:r>
              <w:rPr>
                <w:sz w:val="18"/>
                <w:szCs w:val="18"/>
              </w:rPr>
              <w:t>1</w:t>
            </w:r>
            <w:r>
              <w:rPr>
                <w:rFonts w:hint="eastAsia" w:cs="宋体"/>
                <w:sz w:val="18"/>
                <w:szCs w:val="18"/>
              </w:rPr>
              <w:t>～</w:t>
            </w:r>
            <w:r>
              <w:rPr>
                <w:sz w:val="18"/>
                <w:szCs w:val="18"/>
              </w:rPr>
              <w:t>4</w:t>
            </w:r>
            <w:r>
              <w:rPr>
                <w:rFonts w:hint="eastAsia"/>
                <w:sz w:val="18"/>
                <w:szCs w:val="18"/>
              </w:rPr>
              <w:t>分</w:t>
            </w: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r>
              <w:rPr>
                <w:sz w:val="18"/>
                <w:szCs w:val="18"/>
              </w:rPr>
              <w:t>5</w:t>
            </w:r>
          </w:p>
        </w:tc>
        <w:tc>
          <w:tcPr>
            <w:tcW w:w="655"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r>
              <w:rPr>
                <w:rFonts w:hint="eastAsia"/>
                <w:sz w:val="18"/>
                <w:szCs w:val="18"/>
              </w:rPr>
              <w:t>图纸会审与设计交底</w:t>
            </w:r>
          </w:p>
        </w:tc>
        <w:tc>
          <w:tcPr>
            <w:tcW w:w="256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sz w:val="18"/>
                <w:szCs w:val="18"/>
              </w:rPr>
              <w:t xml:space="preserve">A.5.1 </w:t>
            </w:r>
            <w:r>
              <w:rPr>
                <w:rFonts w:hint="eastAsia"/>
                <w:sz w:val="18"/>
                <w:szCs w:val="18"/>
              </w:rPr>
              <w:t>图纸验证</w:t>
            </w: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rFonts w:hint="eastAsia"/>
                <w:sz w:val="18"/>
                <w:szCs w:val="18"/>
              </w:rPr>
              <w:t>未留存勘察设计文件审查合格证书复印件；勘察设计文件未经审查机构审查合格已施工，监理未正确处置</w:t>
            </w:r>
            <w:r>
              <w:rPr>
                <w:sz w:val="18"/>
                <w:szCs w:val="18"/>
              </w:rPr>
              <w:t xml:space="preserve">                                                                      </w:t>
            </w:r>
            <w:r>
              <w:rPr>
                <w:rFonts w:hint="eastAsia"/>
                <w:sz w:val="18"/>
                <w:szCs w:val="18"/>
              </w:rPr>
              <w:t>扣</w:t>
            </w:r>
            <w:r>
              <w:rPr>
                <w:sz w:val="18"/>
                <w:szCs w:val="18"/>
              </w:rPr>
              <w:t>2</w:t>
            </w:r>
            <w:r>
              <w:rPr>
                <w:rFonts w:hint="eastAsia"/>
                <w:sz w:val="18"/>
                <w:szCs w:val="18"/>
              </w:rPr>
              <w:t>分</w:t>
            </w:r>
          </w:p>
        </w:tc>
        <w:tc>
          <w:tcPr>
            <w:tcW w:w="630"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r>
              <w:rPr>
                <w:sz w:val="18"/>
                <w:szCs w:val="18"/>
              </w:rPr>
              <w:t>5</w:t>
            </w: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sz w:val="18"/>
                <w:szCs w:val="18"/>
              </w:rPr>
              <w:t>A.5.2</w:t>
            </w:r>
            <w:r>
              <w:rPr>
                <w:rFonts w:hint="eastAsia"/>
                <w:sz w:val="18"/>
                <w:szCs w:val="18"/>
              </w:rPr>
              <w:t>熟悉设计文件</w:t>
            </w: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rFonts w:hint="eastAsia"/>
                <w:sz w:val="18"/>
                <w:szCs w:val="18"/>
              </w:rPr>
              <w:t>未对设计文件中存在的问题提出书面意见</w:t>
            </w:r>
            <w:r>
              <w:rPr>
                <w:sz w:val="18"/>
                <w:szCs w:val="18"/>
              </w:rPr>
              <w:t xml:space="preserve">                                          </w:t>
            </w:r>
            <w:r>
              <w:rPr>
                <w:rFonts w:hint="eastAsia"/>
                <w:sz w:val="18"/>
                <w:szCs w:val="18"/>
              </w:rPr>
              <w:t>扣</w:t>
            </w:r>
            <w:r>
              <w:rPr>
                <w:sz w:val="18"/>
                <w:szCs w:val="18"/>
              </w:rPr>
              <w:t>1</w:t>
            </w:r>
            <w:r>
              <w:rPr>
                <w:rFonts w:hint="eastAsia"/>
                <w:sz w:val="18"/>
                <w:szCs w:val="18"/>
              </w:rPr>
              <w:t>分</w:t>
            </w: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sz w:val="18"/>
                <w:szCs w:val="18"/>
              </w:rPr>
              <w:t>A.5.3</w:t>
            </w:r>
            <w:r>
              <w:rPr>
                <w:rFonts w:hint="eastAsia"/>
                <w:sz w:val="18"/>
                <w:szCs w:val="18"/>
              </w:rPr>
              <w:t>会议纪要</w:t>
            </w: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ind w:left="6840" w:hanging="6840" w:hangingChars="3800"/>
              <w:rPr>
                <w:sz w:val="18"/>
                <w:szCs w:val="18"/>
              </w:rPr>
            </w:pPr>
            <w:r>
              <w:rPr>
                <w:rFonts w:hint="eastAsia"/>
                <w:sz w:val="18"/>
                <w:szCs w:val="18"/>
              </w:rPr>
              <w:t>未参加图纸会审与设计交底会议；未及时整理并签发会议纪要；会审记录无相关单位有效签认手</w:t>
            </w:r>
          </w:p>
          <w:p>
            <w:pPr>
              <w:spacing w:line="220" w:lineRule="exact"/>
              <w:ind w:left="6840" w:hanging="6840" w:hangingChars="3800"/>
              <w:rPr>
                <w:sz w:val="18"/>
                <w:szCs w:val="18"/>
              </w:rPr>
            </w:pPr>
            <w:r>
              <w:rPr>
                <w:rFonts w:hint="eastAsia"/>
                <w:sz w:val="18"/>
                <w:szCs w:val="18"/>
              </w:rPr>
              <w:t>续，监理未正确处置</w:t>
            </w:r>
            <w:r>
              <w:rPr>
                <w:sz w:val="18"/>
                <w:szCs w:val="18"/>
              </w:rPr>
              <w:t xml:space="preserve">                                                            </w:t>
            </w:r>
            <w:r>
              <w:rPr>
                <w:rFonts w:hint="eastAsia"/>
                <w:sz w:val="18"/>
                <w:szCs w:val="18"/>
              </w:rPr>
              <w:t>扣</w:t>
            </w:r>
            <w:r>
              <w:rPr>
                <w:sz w:val="18"/>
                <w:szCs w:val="18"/>
              </w:rPr>
              <w:t>2</w:t>
            </w:r>
            <w:r>
              <w:rPr>
                <w:rFonts w:hint="eastAsia"/>
                <w:sz w:val="18"/>
                <w:szCs w:val="18"/>
              </w:rPr>
              <w:t>分</w:t>
            </w: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r>
              <w:rPr>
                <w:sz w:val="18"/>
                <w:szCs w:val="18"/>
              </w:rPr>
              <w:t>6</w:t>
            </w:r>
          </w:p>
        </w:tc>
        <w:tc>
          <w:tcPr>
            <w:tcW w:w="655"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r>
              <w:rPr>
                <w:rFonts w:hint="eastAsia"/>
                <w:sz w:val="18"/>
                <w:szCs w:val="18"/>
              </w:rPr>
              <w:t>第一次工地会议</w:t>
            </w:r>
          </w:p>
        </w:tc>
        <w:tc>
          <w:tcPr>
            <w:tcW w:w="256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sz w:val="18"/>
                <w:szCs w:val="18"/>
              </w:rPr>
              <w:t>A.6.1</w:t>
            </w:r>
            <w:r>
              <w:rPr>
                <w:rFonts w:hint="eastAsia"/>
                <w:sz w:val="18"/>
                <w:szCs w:val="18"/>
              </w:rPr>
              <w:t>参加人员</w:t>
            </w: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rFonts w:hint="eastAsia"/>
                <w:sz w:val="18"/>
                <w:szCs w:val="18"/>
              </w:rPr>
              <w:t>总监理工程师、专业监理工程师未参加</w:t>
            </w:r>
            <w:r>
              <w:rPr>
                <w:sz w:val="18"/>
                <w:szCs w:val="18"/>
              </w:rPr>
              <w:t xml:space="preserve">                             </w:t>
            </w:r>
            <w:r>
              <w:rPr>
                <w:rFonts w:hint="eastAsia"/>
                <w:sz w:val="18"/>
                <w:szCs w:val="18"/>
              </w:rPr>
              <w:t>共</w:t>
            </w:r>
            <w:r>
              <w:rPr>
                <w:sz w:val="18"/>
                <w:szCs w:val="18"/>
              </w:rPr>
              <w:t>2</w:t>
            </w:r>
            <w:r>
              <w:rPr>
                <w:rFonts w:hint="eastAsia"/>
                <w:sz w:val="18"/>
                <w:szCs w:val="18"/>
              </w:rPr>
              <w:t>分，每缺一人扣</w:t>
            </w:r>
            <w:r>
              <w:rPr>
                <w:sz w:val="18"/>
                <w:szCs w:val="18"/>
              </w:rPr>
              <w:t>1</w:t>
            </w:r>
            <w:r>
              <w:rPr>
                <w:rFonts w:hint="eastAsia"/>
                <w:sz w:val="18"/>
                <w:szCs w:val="18"/>
              </w:rPr>
              <w:t>分</w:t>
            </w:r>
          </w:p>
        </w:tc>
        <w:tc>
          <w:tcPr>
            <w:tcW w:w="630"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r>
              <w:rPr>
                <w:sz w:val="18"/>
                <w:szCs w:val="18"/>
              </w:rPr>
              <w:t>10</w:t>
            </w: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sz w:val="18"/>
                <w:szCs w:val="18"/>
              </w:rPr>
              <w:t>A.6.2</w:t>
            </w:r>
            <w:r>
              <w:rPr>
                <w:rFonts w:hint="eastAsia"/>
                <w:sz w:val="18"/>
                <w:szCs w:val="18"/>
              </w:rPr>
              <w:t>监理交底</w:t>
            </w: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rFonts w:hint="eastAsia"/>
                <w:sz w:val="18"/>
                <w:szCs w:val="18"/>
              </w:rPr>
              <w:t>未介绍监理规划中主要内容；监理交底不到位</w:t>
            </w:r>
            <w:r>
              <w:rPr>
                <w:sz w:val="18"/>
                <w:szCs w:val="18"/>
              </w:rPr>
              <w:t xml:space="preserve">                                   </w:t>
            </w:r>
            <w:r>
              <w:rPr>
                <w:rFonts w:hint="eastAsia"/>
                <w:sz w:val="18"/>
                <w:szCs w:val="18"/>
              </w:rPr>
              <w:t>扣</w:t>
            </w:r>
            <w:r>
              <w:rPr>
                <w:sz w:val="18"/>
                <w:szCs w:val="18"/>
              </w:rPr>
              <w:t>1</w:t>
            </w:r>
            <w:r>
              <w:rPr>
                <w:rFonts w:hint="eastAsia" w:cs="宋体"/>
                <w:sz w:val="18"/>
                <w:szCs w:val="18"/>
              </w:rPr>
              <w:t>～</w:t>
            </w:r>
            <w:r>
              <w:rPr>
                <w:sz w:val="18"/>
                <w:szCs w:val="18"/>
              </w:rPr>
              <w:t>3</w:t>
            </w:r>
            <w:r>
              <w:rPr>
                <w:rFonts w:hint="eastAsia"/>
                <w:sz w:val="18"/>
                <w:szCs w:val="18"/>
              </w:rPr>
              <w:t>分</w:t>
            </w: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sz w:val="18"/>
                <w:szCs w:val="18"/>
              </w:rPr>
              <w:t>A.6.3</w:t>
            </w:r>
            <w:r>
              <w:rPr>
                <w:rFonts w:hint="eastAsia"/>
                <w:sz w:val="18"/>
                <w:szCs w:val="18"/>
              </w:rPr>
              <w:t>建议与要求</w:t>
            </w: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rFonts w:hint="eastAsia"/>
                <w:sz w:val="18"/>
                <w:szCs w:val="18"/>
              </w:rPr>
              <w:t>未对施工准备情况提出意见和要求</w:t>
            </w:r>
            <w:r>
              <w:rPr>
                <w:sz w:val="18"/>
                <w:szCs w:val="18"/>
              </w:rPr>
              <w:t xml:space="preserve">                                                </w:t>
            </w:r>
            <w:r>
              <w:rPr>
                <w:rFonts w:hint="eastAsia"/>
                <w:sz w:val="18"/>
                <w:szCs w:val="18"/>
              </w:rPr>
              <w:t>扣</w:t>
            </w:r>
            <w:r>
              <w:rPr>
                <w:sz w:val="18"/>
                <w:szCs w:val="18"/>
              </w:rPr>
              <w:t>3</w:t>
            </w:r>
            <w:r>
              <w:rPr>
                <w:rFonts w:hint="eastAsia"/>
                <w:sz w:val="18"/>
                <w:szCs w:val="18"/>
              </w:rPr>
              <w:t>分</w:t>
            </w: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sz w:val="18"/>
                <w:szCs w:val="18"/>
              </w:rPr>
              <w:t>A.6.4</w:t>
            </w:r>
            <w:r>
              <w:rPr>
                <w:rFonts w:hint="eastAsia"/>
                <w:sz w:val="18"/>
                <w:szCs w:val="18"/>
              </w:rPr>
              <w:t>会议纪要</w:t>
            </w: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rFonts w:hint="eastAsia"/>
                <w:sz w:val="18"/>
                <w:szCs w:val="18"/>
              </w:rPr>
              <w:t>未及时整理并签发会议纪要；会议纪要各方会签手续不齐全</w:t>
            </w:r>
            <w:r>
              <w:rPr>
                <w:sz w:val="18"/>
                <w:szCs w:val="18"/>
              </w:rPr>
              <w:t xml:space="preserve">                          </w:t>
            </w:r>
            <w:r>
              <w:rPr>
                <w:rFonts w:hint="eastAsia"/>
                <w:sz w:val="18"/>
                <w:szCs w:val="18"/>
              </w:rPr>
              <w:t>扣</w:t>
            </w:r>
            <w:r>
              <w:rPr>
                <w:sz w:val="18"/>
                <w:szCs w:val="18"/>
              </w:rPr>
              <w:t>2</w:t>
            </w:r>
            <w:r>
              <w:rPr>
                <w:rFonts w:hint="eastAsia"/>
                <w:sz w:val="18"/>
                <w:szCs w:val="18"/>
              </w:rPr>
              <w:t>分</w:t>
            </w: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r>
              <w:rPr>
                <w:sz w:val="18"/>
                <w:szCs w:val="18"/>
              </w:rPr>
              <w:t>7</w:t>
            </w:r>
          </w:p>
        </w:tc>
        <w:tc>
          <w:tcPr>
            <w:tcW w:w="655"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r>
              <w:rPr>
                <w:rFonts w:hint="eastAsia"/>
                <w:sz w:val="18"/>
                <w:szCs w:val="18"/>
              </w:rPr>
              <w:t>施工单位质量、安全保证体系</w:t>
            </w:r>
          </w:p>
        </w:tc>
        <w:tc>
          <w:tcPr>
            <w:tcW w:w="256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sz w:val="18"/>
                <w:szCs w:val="18"/>
              </w:rPr>
              <w:t>A.7.1</w:t>
            </w:r>
            <w:r>
              <w:rPr>
                <w:rFonts w:hint="eastAsia"/>
                <w:sz w:val="18"/>
                <w:szCs w:val="18"/>
              </w:rPr>
              <w:t>施工单位资质证书、安全生产许可证</w:t>
            </w: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ind w:left="7020" w:hanging="7020" w:hangingChars="3900"/>
              <w:jc w:val="left"/>
              <w:rPr>
                <w:sz w:val="18"/>
                <w:szCs w:val="18"/>
              </w:rPr>
            </w:pPr>
            <w:r>
              <w:rPr>
                <w:rFonts w:hint="eastAsia"/>
                <w:sz w:val="18"/>
                <w:szCs w:val="18"/>
              </w:rPr>
              <w:t>未审查施工单位的资质证书、安全生产许可证；资质证书、安全生产许可证过期，监理未正确处</w:t>
            </w:r>
          </w:p>
          <w:p>
            <w:pPr>
              <w:spacing w:line="220" w:lineRule="exact"/>
              <w:ind w:left="7020" w:hanging="7020" w:hangingChars="3900"/>
              <w:jc w:val="left"/>
              <w:rPr>
                <w:sz w:val="18"/>
                <w:szCs w:val="18"/>
              </w:rPr>
            </w:pPr>
            <w:r>
              <w:rPr>
                <w:rFonts w:hint="eastAsia"/>
                <w:sz w:val="18"/>
                <w:szCs w:val="18"/>
              </w:rPr>
              <w:t>置</w:t>
            </w:r>
            <w:r>
              <w:rPr>
                <w:sz w:val="18"/>
                <w:szCs w:val="18"/>
              </w:rPr>
              <w:t xml:space="preserve">                                                                            </w:t>
            </w:r>
            <w:r>
              <w:rPr>
                <w:rFonts w:hint="eastAsia"/>
                <w:sz w:val="18"/>
                <w:szCs w:val="18"/>
              </w:rPr>
              <w:t>扣</w:t>
            </w:r>
            <w:r>
              <w:rPr>
                <w:sz w:val="18"/>
                <w:szCs w:val="18"/>
              </w:rPr>
              <w:t>2</w:t>
            </w:r>
            <w:r>
              <w:rPr>
                <w:rFonts w:hint="eastAsia"/>
                <w:sz w:val="18"/>
                <w:szCs w:val="18"/>
              </w:rPr>
              <w:t>分</w:t>
            </w:r>
            <w:r>
              <w:rPr>
                <w:sz w:val="18"/>
                <w:szCs w:val="18"/>
              </w:rPr>
              <w:t xml:space="preserve">                                   </w:t>
            </w:r>
          </w:p>
        </w:tc>
        <w:tc>
          <w:tcPr>
            <w:tcW w:w="630"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r>
              <w:rPr>
                <w:sz w:val="18"/>
                <w:szCs w:val="18"/>
              </w:rPr>
              <w:t>25</w:t>
            </w: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sz w:val="18"/>
                <w:szCs w:val="18"/>
              </w:rPr>
              <w:t>A.7.2</w:t>
            </w:r>
            <w:r>
              <w:rPr>
                <w:rFonts w:hint="eastAsia"/>
                <w:sz w:val="18"/>
                <w:szCs w:val="18"/>
              </w:rPr>
              <w:t>质量、安全管理组织机构审查</w:t>
            </w: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ind w:left="6660" w:hanging="6660" w:hangingChars="3700"/>
              <w:jc w:val="left"/>
              <w:rPr>
                <w:sz w:val="18"/>
                <w:szCs w:val="18"/>
              </w:rPr>
            </w:pPr>
            <w:r>
              <w:rPr>
                <w:rFonts w:hint="eastAsia"/>
                <w:sz w:val="18"/>
                <w:szCs w:val="18"/>
              </w:rPr>
              <w:t>未审查项目组织机构和人员配置；组织机构、人员配置不符合要求，监理未正确处置</w:t>
            </w:r>
            <w:r>
              <w:rPr>
                <w:sz w:val="18"/>
                <w:szCs w:val="18"/>
              </w:rPr>
              <w:t xml:space="preserve">  </w:t>
            </w:r>
          </w:p>
          <w:p>
            <w:pPr>
              <w:spacing w:line="220" w:lineRule="exact"/>
              <w:ind w:firstLine="6750" w:firstLineChars="3750"/>
              <w:jc w:val="left"/>
              <w:rPr>
                <w:sz w:val="18"/>
                <w:szCs w:val="18"/>
              </w:rPr>
            </w:pPr>
            <w:r>
              <w:rPr>
                <w:rFonts w:hint="eastAsia"/>
                <w:sz w:val="18"/>
                <w:szCs w:val="18"/>
              </w:rPr>
              <w:t>扣</w:t>
            </w:r>
            <w:r>
              <w:rPr>
                <w:sz w:val="18"/>
                <w:szCs w:val="18"/>
              </w:rPr>
              <w:t>1</w:t>
            </w:r>
            <w:r>
              <w:rPr>
                <w:rFonts w:hint="eastAsia" w:cs="宋体"/>
                <w:sz w:val="18"/>
                <w:szCs w:val="18"/>
              </w:rPr>
              <w:t>～</w:t>
            </w:r>
            <w:r>
              <w:rPr>
                <w:sz w:val="18"/>
                <w:szCs w:val="18"/>
              </w:rPr>
              <w:t>4</w:t>
            </w:r>
            <w:r>
              <w:rPr>
                <w:rFonts w:hint="eastAsia"/>
                <w:sz w:val="18"/>
                <w:szCs w:val="18"/>
              </w:rPr>
              <w:t>分</w:t>
            </w: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spacing w:val="-4"/>
                <w:sz w:val="18"/>
                <w:szCs w:val="18"/>
              </w:rPr>
              <w:t>A.7.3</w:t>
            </w:r>
            <w:r>
              <w:rPr>
                <w:rFonts w:hint="eastAsia"/>
                <w:spacing w:val="-4"/>
                <w:sz w:val="18"/>
                <w:szCs w:val="18"/>
              </w:rPr>
              <w:t>质量、安全管理制度审查</w:t>
            </w: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ind w:left="6570" w:hanging="6570" w:hangingChars="3650"/>
              <w:rPr>
                <w:sz w:val="18"/>
                <w:szCs w:val="18"/>
              </w:rPr>
            </w:pPr>
            <w:r>
              <w:rPr>
                <w:rFonts w:hint="eastAsia"/>
                <w:sz w:val="18"/>
                <w:szCs w:val="18"/>
              </w:rPr>
              <w:t>未审查施工单位质量、安全管理制度；质量、安全管理制度不全，监理未正确处置</w:t>
            </w:r>
          </w:p>
          <w:p>
            <w:pPr>
              <w:spacing w:line="220" w:lineRule="exact"/>
              <w:ind w:left="6570" w:hanging="6570" w:hangingChars="3650"/>
              <w:jc w:val="right"/>
              <w:rPr>
                <w:sz w:val="18"/>
                <w:szCs w:val="18"/>
              </w:rPr>
            </w:pPr>
            <w:r>
              <w:rPr>
                <w:sz w:val="18"/>
                <w:szCs w:val="18"/>
              </w:rPr>
              <w:t xml:space="preserve">                         </w:t>
            </w:r>
            <w:r>
              <w:rPr>
                <w:rFonts w:hint="eastAsia"/>
                <w:sz w:val="18"/>
                <w:szCs w:val="18"/>
              </w:rPr>
              <w:t>扣</w:t>
            </w:r>
            <w:r>
              <w:rPr>
                <w:sz w:val="18"/>
                <w:szCs w:val="18"/>
              </w:rPr>
              <w:t>1</w:t>
            </w:r>
            <w:r>
              <w:rPr>
                <w:rFonts w:hint="eastAsia" w:cs="宋体"/>
                <w:sz w:val="18"/>
                <w:szCs w:val="18"/>
              </w:rPr>
              <w:t>～</w:t>
            </w:r>
            <w:r>
              <w:rPr>
                <w:sz w:val="18"/>
                <w:szCs w:val="18"/>
              </w:rPr>
              <w:t>4</w:t>
            </w:r>
            <w:r>
              <w:rPr>
                <w:rFonts w:hint="eastAsia"/>
                <w:sz w:val="18"/>
                <w:szCs w:val="18"/>
              </w:rPr>
              <w:t>分</w:t>
            </w: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sz w:val="18"/>
                <w:szCs w:val="18"/>
              </w:rPr>
              <w:t>A.7.4</w:t>
            </w:r>
            <w:r>
              <w:rPr>
                <w:rFonts w:hint="eastAsia"/>
                <w:sz w:val="18"/>
                <w:szCs w:val="18"/>
              </w:rPr>
              <w:t>质量管理人员资格审查</w:t>
            </w: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rFonts w:hint="eastAsia"/>
                <w:sz w:val="18"/>
                <w:szCs w:val="18"/>
              </w:rPr>
              <w:t>未对项目组织机构主要管理人员（项目负责人、技术负责人、质量员、施工员等）岗位资格证书进行审核；岗位资格证书不符合要求，监理未正确处置</w:t>
            </w:r>
            <w:r>
              <w:rPr>
                <w:sz w:val="18"/>
                <w:szCs w:val="18"/>
              </w:rPr>
              <w:t xml:space="preserve">                           </w:t>
            </w:r>
            <w:r>
              <w:rPr>
                <w:rFonts w:hint="eastAsia"/>
                <w:sz w:val="18"/>
                <w:szCs w:val="18"/>
              </w:rPr>
              <w:t>扣</w:t>
            </w:r>
            <w:r>
              <w:rPr>
                <w:sz w:val="18"/>
                <w:szCs w:val="18"/>
              </w:rPr>
              <w:t>1</w:t>
            </w:r>
            <w:r>
              <w:rPr>
                <w:rFonts w:hint="eastAsia" w:cs="宋体"/>
                <w:sz w:val="18"/>
                <w:szCs w:val="18"/>
              </w:rPr>
              <w:t>～</w:t>
            </w:r>
            <w:r>
              <w:rPr>
                <w:rFonts w:cs="宋体"/>
                <w:sz w:val="18"/>
                <w:szCs w:val="18"/>
              </w:rPr>
              <w:t>5</w:t>
            </w:r>
            <w:r>
              <w:rPr>
                <w:rFonts w:hint="eastAsia"/>
                <w:sz w:val="18"/>
                <w:szCs w:val="18"/>
              </w:rPr>
              <w:t>分</w:t>
            </w: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sz w:val="18"/>
                <w:szCs w:val="18"/>
              </w:rPr>
              <w:t>A.7.5</w:t>
            </w:r>
            <w:r>
              <w:rPr>
                <w:rFonts w:hint="eastAsia"/>
                <w:sz w:val="18"/>
                <w:szCs w:val="18"/>
              </w:rPr>
              <w:t>项目负责人、专职安全员审查</w:t>
            </w: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ind w:left="6570" w:hanging="6570" w:hangingChars="3650"/>
              <w:rPr>
                <w:sz w:val="18"/>
                <w:szCs w:val="18"/>
              </w:rPr>
            </w:pPr>
            <w:r>
              <w:rPr>
                <w:rFonts w:hint="eastAsia"/>
                <w:sz w:val="18"/>
                <w:szCs w:val="18"/>
              </w:rPr>
              <w:t>未对项目负责人</w:t>
            </w:r>
            <w:r>
              <w:rPr>
                <w:sz w:val="18"/>
                <w:szCs w:val="18"/>
              </w:rPr>
              <w:t>B</w:t>
            </w:r>
            <w:r>
              <w:rPr>
                <w:rFonts w:hint="eastAsia"/>
                <w:sz w:val="18"/>
                <w:szCs w:val="18"/>
              </w:rPr>
              <w:t>证、专职安全员</w:t>
            </w:r>
            <w:r>
              <w:rPr>
                <w:sz w:val="18"/>
                <w:szCs w:val="18"/>
              </w:rPr>
              <w:t>C</w:t>
            </w:r>
            <w:r>
              <w:rPr>
                <w:rFonts w:hint="eastAsia"/>
                <w:sz w:val="18"/>
                <w:szCs w:val="18"/>
              </w:rPr>
              <w:t>证进行审核；专职安全员配备不足，或</w:t>
            </w:r>
            <w:r>
              <w:rPr>
                <w:sz w:val="18"/>
                <w:szCs w:val="18"/>
              </w:rPr>
              <w:t>B</w:t>
            </w:r>
            <w:r>
              <w:rPr>
                <w:rFonts w:hint="eastAsia"/>
                <w:sz w:val="18"/>
                <w:szCs w:val="18"/>
              </w:rPr>
              <w:t>、</w:t>
            </w:r>
            <w:r>
              <w:rPr>
                <w:sz w:val="18"/>
                <w:szCs w:val="18"/>
              </w:rPr>
              <w:t>C</w:t>
            </w:r>
            <w:r>
              <w:rPr>
                <w:rFonts w:hint="eastAsia"/>
                <w:sz w:val="18"/>
                <w:szCs w:val="18"/>
              </w:rPr>
              <w:t>类证书过期，</w:t>
            </w:r>
          </w:p>
          <w:p>
            <w:pPr>
              <w:spacing w:line="220" w:lineRule="exact"/>
              <w:ind w:left="6570" w:hanging="6570" w:hangingChars="3650"/>
              <w:rPr>
                <w:sz w:val="18"/>
                <w:szCs w:val="18"/>
              </w:rPr>
            </w:pPr>
            <w:r>
              <w:rPr>
                <w:rFonts w:hint="eastAsia"/>
                <w:sz w:val="18"/>
                <w:szCs w:val="18"/>
              </w:rPr>
              <w:t>监理未正确处置</w:t>
            </w:r>
            <w:r>
              <w:rPr>
                <w:sz w:val="18"/>
                <w:szCs w:val="18"/>
              </w:rPr>
              <w:t xml:space="preserve">                                                             </w:t>
            </w:r>
            <w:r>
              <w:rPr>
                <w:rFonts w:hint="eastAsia"/>
                <w:sz w:val="18"/>
                <w:szCs w:val="18"/>
              </w:rPr>
              <w:t>扣</w:t>
            </w:r>
            <w:r>
              <w:rPr>
                <w:sz w:val="18"/>
                <w:szCs w:val="18"/>
              </w:rPr>
              <w:t>1</w:t>
            </w:r>
            <w:r>
              <w:rPr>
                <w:rFonts w:hint="eastAsia" w:cs="宋体"/>
                <w:sz w:val="18"/>
                <w:szCs w:val="18"/>
              </w:rPr>
              <w:t>～</w:t>
            </w:r>
            <w:r>
              <w:rPr>
                <w:rFonts w:cs="宋体"/>
                <w:sz w:val="18"/>
                <w:szCs w:val="18"/>
              </w:rPr>
              <w:t>5</w:t>
            </w:r>
            <w:r>
              <w:rPr>
                <w:rFonts w:hint="eastAsia"/>
                <w:sz w:val="18"/>
                <w:szCs w:val="18"/>
              </w:rPr>
              <w:t>分</w:t>
            </w: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sz w:val="18"/>
                <w:szCs w:val="18"/>
              </w:rPr>
              <w:t>A.7.6</w:t>
            </w:r>
            <w:r>
              <w:rPr>
                <w:rFonts w:hint="eastAsia"/>
                <w:sz w:val="18"/>
                <w:szCs w:val="18"/>
              </w:rPr>
              <w:t>特种作业人员操作资格证书审查</w:t>
            </w: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rFonts w:hint="eastAsia"/>
                <w:sz w:val="18"/>
                <w:szCs w:val="18"/>
              </w:rPr>
              <w:t>未对特种作业人员操作资格证书进行审核；操作资格证书过期，监理未正确处置</w:t>
            </w:r>
            <w:r>
              <w:rPr>
                <w:sz w:val="18"/>
                <w:szCs w:val="18"/>
              </w:rPr>
              <w:t xml:space="preserve">      </w:t>
            </w:r>
            <w:r>
              <w:rPr>
                <w:rFonts w:hint="eastAsia"/>
                <w:sz w:val="18"/>
                <w:szCs w:val="18"/>
              </w:rPr>
              <w:t>扣</w:t>
            </w:r>
            <w:r>
              <w:rPr>
                <w:sz w:val="18"/>
                <w:szCs w:val="18"/>
              </w:rPr>
              <w:t>1</w:t>
            </w:r>
            <w:r>
              <w:rPr>
                <w:rFonts w:hint="eastAsia" w:cs="宋体"/>
                <w:sz w:val="18"/>
                <w:szCs w:val="18"/>
              </w:rPr>
              <w:t>～</w:t>
            </w:r>
            <w:r>
              <w:rPr>
                <w:sz w:val="18"/>
                <w:szCs w:val="18"/>
              </w:rPr>
              <w:t>5</w:t>
            </w:r>
            <w:r>
              <w:rPr>
                <w:rFonts w:hint="eastAsia"/>
                <w:sz w:val="18"/>
                <w:szCs w:val="18"/>
              </w:rPr>
              <w:t>分</w:t>
            </w:r>
            <w:r>
              <w:rPr>
                <w:sz w:val="18"/>
                <w:szCs w:val="18"/>
              </w:rPr>
              <w:t xml:space="preserve">                                                                       </w:t>
            </w: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p>
            <w:pPr>
              <w:spacing w:line="220" w:lineRule="exact"/>
              <w:jc w:val="center"/>
              <w:rPr>
                <w:sz w:val="18"/>
                <w:szCs w:val="18"/>
              </w:rPr>
            </w:pPr>
          </w:p>
          <w:p>
            <w:pPr>
              <w:spacing w:line="220" w:lineRule="exact"/>
              <w:jc w:val="center"/>
              <w:rPr>
                <w:sz w:val="18"/>
                <w:szCs w:val="18"/>
              </w:rPr>
            </w:pPr>
          </w:p>
          <w:p>
            <w:pPr>
              <w:spacing w:line="220" w:lineRule="exact"/>
              <w:jc w:val="center"/>
              <w:rPr>
                <w:sz w:val="18"/>
                <w:szCs w:val="18"/>
              </w:rPr>
            </w:pPr>
            <w:r>
              <w:rPr>
                <w:sz w:val="18"/>
                <w:szCs w:val="18"/>
              </w:rPr>
              <w:t>8</w:t>
            </w:r>
          </w:p>
          <w:p>
            <w:pPr>
              <w:spacing w:line="220" w:lineRule="exact"/>
              <w:rPr>
                <w:sz w:val="18"/>
                <w:szCs w:val="18"/>
              </w:rPr>
            </w:pPr>
          </w:p>
        </w:tc>
        <w:tc>
          <w:tcPr>
            <w:tcW w:w="655"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p>
            <w:pPr>
              <w:spacing w:line="220" w:lineRule="exact"/>
              <w:jc w:val="center"/>
              <w:rPr>
                <w:sz w:val="18"/>
                <w:szCs w:val="18"/>
              </w:rPr>
            </w:pPr>
          </w:p>
          <w:p>
            <w:pPr>
              <w:spacing w:line="220" w:lineRule="exact"/>
              <w:jc w:val="center"/>
              <w:rPr>
                <w:sz w:val="18"/>
                <w:szCs w:val="18"/>
              </w:rPr>
            </w:pPr>
            <w:r>
              <w:rPr>
                <w:rFonts w:hint="eastAsia"/>
                <w:sz w:val="18"/>
                <w:szCs w:val="18"/>
              </w:rPr>
              <w:t>施工组织设计与（专项）施工方案</w:t>
            </w:r>
          </w:p>
        </w:tc>
        <w:tc>
          <w:tcPr>
            <w:tcW w:w="2565"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sz w:val="18"/>
                <w:szCs w:val="18"/>
              </w:rPr>
              <w:t xml:space="preserve">A.8.1 </w:t>
            </w:r>
            <w:r>
              <w:rPr>
                <w:rFonts w:hint="eastAsia"/>
                <w:sz w:val="18"/>
                <w:szCs w:val="18"/>
              </w:rPr>
              <w:t>程序审查</w:t>
            </w: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rFonts w:hint="eastAsia" w:eastAsia="仿宋_GB2312"/>
                <w:sz w:val="18"/>
                <w:szCs w:val="18"/>
              </w:rPr>
              <w:t>▲</w:t>
            </w:r>
            <w:r>
              <w:rPr>
                <w:rFonts w:hint="eastAsia"/>
                <w:sz w:val="18"/>
                <w:szCs w:val="18"/>
              </w:rPr>
              <w:t>未对施工组织设计或危险性较大的分部分项工程专项施工方案进行审查</w:t>
            </w:r>
            <w:r>
              <w:rPr>
                <w:sz w:val="18"/>
                <w:szCs w:val="18"/>
              </w:rPr>
              <w:t xml:space="preserve">           </w:t>
            </w:r>
          </w:p>
        </w:tc>
        <w:tc>
          <w:tcPr>
            <w:tcW w:w="630"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p>
            <w:pPr>
              <w:spacing w:line="220" w:lineRule="exact"/>
              <w:jc w:val="center"/>
              <w:rPr>
                <w:sz w:val="18"/>
                <w:szCs w:val="18"/>
              </w:rPr>
            </w:pPr>
          </w:p>
          <w:p>
            <w:pPr>
              <w:spacing w:line="220" w:lineRule="exact"/>
              <w:jc w:val="center"/>
              <w:rPr>
                <w:sz w:val="18"/>
                <w:szCs w:val="18"/>
              </w:rPr>
            </w:pPr>
          </w:p>
          <w:p>
            <w:pPr>
              <w:spacing w:line="220" w:lineRule="exact"/>
              <w:jc w:val="center"/>
              <w:rPr>
                <w:sz w:val="18"/>
                <w:szCs w:val="18"/>
              </w:rPr>
            </w:pPr>
            <w:r>
              <w:rPr>
                <w:sz w:val="18"/>
                <w:szCs w:val="18"/>
              </w:rPr>
              <w:t>20</w:t>
            </w: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rFonts w:eastAsia="仿宋_GB2312"/>
                <w:sz w:val="18"/>
                <w:szCs w:val="18"/>
              </w:rPr>
            </w:pPr>
            <w:r>
              <w:rPr>
                <w:rFonts w:hint="eastAsia" w:eastAsia="仿宋_GB2312"/>
                <w:sz w:val="18"/>
                <w:szCs w:val="18"/>
              </w:rPr>
              <w:t>▲</w:t>
            </w:r>
            <w:r>
              <w:rPr>
                <w:rFonts w:hint="eastAsia"/>
                <w:sz w:val="18"/>
                <w:szCs w:val="18"/>
              </w:rPr>
              <w:t>超过一定规模危险性较大分部分项工程专项施工方案未经专家论证，监理未正确处置</w:t>
            </w: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rFonts w:eastAsia="仿宋_GB2312"/>
                <w:sz w:val="18"/>
                <w:szCs w:val="18"/>
              </w:rPr>
            </w:pPr>
            <w:r>
              <w:rPr>
                <w:rFonts w:hint="eastAsia"/>
                <w:sz w:val="18"/>
                <w:szCs w:val="18"/>
              </w:rPr>
              <w:t>未对除施工组织设计和专项施工方案外的其他施工方案进行审查</w:t>
            </w:r>
            <w:r>
              <w:rPr>
                <w:sz w:val="18"/>
                <w:szCs w:val="18"/>
              </w:rPr>
              <w:t xml:space="preserve">      </w:t>
            </w:r>
            <w:r>
              <w:rPr>
                <w:rFonts w:hint="eastAsia"/>
                <w:sz w:val="18"/>
                <w:szCs w:val="18"/>
              </w:rPr>
              <w:t>共</w:t>
            </w:r>
            <w:r>
              <w:rPr>
                <w:sz w:val="18"/>
                <w:szCs w:val="18"/>
              </w:rPr>
              <w:t>4</w:t>
            </w:r>
            <w:r>
              <w:rPr>
                <w:rFonts w:hint="eastAsia"/>
                <w:sz w:val="18"/>
                <w:szCs w:val="18"/>
              </w:rPr>
              <w:t>分，每缺一项扣</w:t>
            </w:r>
            <w:r>
              <w:rPr>
                <w:sz w:val="18"/>
                <w:szCs w:val="18"/>
              </w:rPr>
              <w:t>2</w:t>
            </w:r>
            <w:r>
              <w:rPr>
                <w:rFonts w:hint="eastAsia"/>
                <w:sz w:val="18"/>
                <w:szCs w:val="18"/>
              </w:rPr>
              <w:t>分</w:t>
            </w:r>
            <w:r>
              <w:rPr>
                <w:sz w:val="18"/>
                <w:szCs w:val="18"/>
              </w:rPr>
              <w:t xml:space="preserve">            </w:t>
            </w: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rFonts w:hint="eastAsia"/>
                <w:sz w:val="18"/>
                <w:szCs w:val="18"/>
              </w:rPr>
              <w:t>施工组织设计或（专项）施工方案报审、审批程序不符合要求，监理未正确处置</w:t>
            </w:r>
            <w:r>
              <w:rPr>
                <w:sz w:val="18"/>
                <w:szCs w:val="18"/>
              </w:rPr>
              <w:t xml:space="preserve">         </w:t>
            </w:r>
            <w:r>
              <w:rPr>
                <w:rFonts w:hint="eastAsia"/>
                <w:sz w:val="18"/>
                <w:szCs w:val="18"/>
              </w:rPr>
              <w:t>扣</w:t>
            </w:r>
            <w:r>
              <w:rPr>
                <w:sz w:val="18"/>
                <w:szCs w:val="18"/>
              </w:rPr>
              <w:t>2</w:t>
            </w:r>
            <w:r>
              <w:rPr>
                <w:rFonts w:hint="eastAsia"/>
                <w:sz w:val="18"/>
                <w:szCs w:val="18"/>
              </w:rPr>
              <w:t>分</w:t>
            </w:r>
            <w:r>
              <w:rPr>
                <w:color w:val="FF0000"/>
                <w:sz w:val="18"/>
                <w:szCs w:val="18"/>
              </w:rPr>
              <w:t xml:space="preserve"> </w:t>
            </w:r>
            <w:r>
              <w:rPr>
                <w:sz w:val="18"/>
                <w:szCs w:val="18"/>
              </w:rPr>
              <w:t xml:space="preserve">                             </w:t>
            </w: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sz w:val="18"/>
                <w:szCs w:val="18"/>
              </w:rPr>
              <w:t>A.8.2</w:t>
            </w:r>
            <w:r>
              <w:rPr>
                <w:rFonts w:hint="eastAsia"/>
                <w:sz w:val="18"/>
                <w:szCs w:val="18"/>
              </w:rPr>
              <w:t>强制性条文审查</w:t>
            </w: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rFonts w:hint="eastAsia" w:cs="宋体"/>
                <w:sz w:val="18"/>
                <w:szCs w:val="18"/>
              </w:rPr>
              <w:t>有违反强制性条文的内容，监理未正确处置</w:t>
            </w:r>
            <w:r>
              <w:rPr>
                <w:rFonts w:eastAsia="黑体"/>
                <w:b/>
                <w:sz w:val="18"/>
                <w:szCs w:val="18"/>
              </w:rPr>
              <w:t xml:space="preserve">                                  </w:t>
            </w:r>
            <w:r>
              <w:rPr>
                <w:rFonts w:cs="宋体"/>
                <w:sz w:val="18"/>
                <w:szCs w:val="18"/>
              </w:rPr>
              <w:t xml:space="preserve">      </w:t>
            </w:r>
            <w:r>
              <w:rPr>
                <w:rFonts w:hint="eastAsia" w:cs="宋体"/>
                <w:sz w:val="18"/>
                <w:szCs w:val="18"/>
              </w:rPr>
              <w:t>扣</w:t>
            </w:r>
            <w:r>
              <w:rPr>
                <w:rFonts w:cs="宋体"/>
                <w:sz w:val="18"/>
                <w:szCs w:val="18"/>
              </w:rPr>
              <w:t>3</w:t>
            </w:r>
            <w:r>
              <w:rPr>
                <w:rFonts w:hint="eastAsia"/>
                <w:bCs/>
                <w:sz w:val="18"/>
                <w:szCs w:val="18"/>
              </w:rPr>
              <w:t>分</w:t>
            </w: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sz w:val="18"/>
                <w:szCs w:val="18"/>
              </w:rPr>
              <w:t xml:space="preserve">A.8.3 </w:t>
            </w:r>
            <w:r>
              <w:rPr>
                <w:rFonts w:hint="eastAsia"/>
                <w:sz w:val="18"/>
                <w:szCs w:val="18"/>
              </w:rPr>
              <w:t>针对性审查</w:t>
            </w: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rFonts w:hint="eastAsia" w:eastAsia="仿宋_GB2312"/>
                <w:sz w:val="18"/>
                <w:szCs w:val="18"/>
              </w:rPr>
              <w:t>▲</w:t>
            </w:r>
            <w:r>
              <w:rPr>
                <w:rFonts w:hint="eastAsia"/>
                <w:sz w:val="18"/>
                <w:szCs w:val="18"/>
              </w:rPr>
              <w:t>未审查施工组织设计及专项施工方案中的安全技术措施</w:t>
            </w:r>
            <w:r>
              <w:rPr>
                <w:sz w:val="18"/>
                <w:szCs w:val="18"/>
              </w:rPr>
              <w:t xml:space="preserve"> </w:t>
            </w: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b/>
                <w:bCs/>
                <w:sz w:val="18"/>
                <w:szCs w:val="18"/>
              </w:rPr>
              <w:t xml:space="preserve"> </w:t>
            </w:r>
            <w:r>
              <w:rPr>
                <w:rFonts w:hint="eastAsia"/>
                <w:sz w:val="18"/>
                <w:szCs w:val="18"/>
              </w:rPr>
              <w:t>缺乏针对性，监理未正确处置</w:t>
            </w:r>
            <w:r>
              <w:rPr>
                <w:sz w:val="18"/>
                <w:szCs w:val="18"/>
              </w:rPr>
              <w:t xml:space="preserve">                                                   </w:t>
            </w:r>
            <w:r>
              <w:rPr>
                <w:rFonts w:hint="eastAsia"/>
                <w:sz w:val="18"/>
                <w:szCs w:val="18"/>
              </w:rPr>
              <w:t>扣</w:t>
            </w:r>
            <w:r>
              <w:rPr>
                <w:sz w:val="18"/>
                <w:szCs w:val="18"/>
              </w:rPr>
              <w:t>2</w:t>
            </w:r>
            <w:r>
              <w:rPr>
                <w:rFonts w:hint="eastAsia"/>
                <w:sz w:val="18"/>
                <w:szCs w:val="18"/>
              </w:rPr>
              <w:t>分</w:t>
            </w:r>
            <w:r>
              <w:rPr>
                <w:b/>
                <w:bCs/>
                <w:sz w:val="18"/>
                <w:szCs w:val="18"/>
              </w:rPr>
              <w:t xml:space="preserve">                  </w:t>
            </w: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sz w:val="18"/>
                <w:szCs w:val="18"/>
              </w:rPr>
              <w:t xml:space="preserve">A.8.4 </w:t>
            </w:r>
            <w:r>
              <w:rPr>
                <w:rFonts w:hint="eastAsia"/>
                <w:sz w:val="18"/>
                <w:szCs w:val="18"/>
              </w:rPr>
              <w:t>时效性审查</w:t>
            </w: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rFonts w:hint="eastAsia"/>
                <w:sz w:val="18"/>
                <w:szCs w:val="18"/>
              </w:rPr>
              <w:t>施工单位未及时报审施工组织设计或（专项）施工方案，监理未正确处置</w:t>
            </w:r>
            <w:r>
              <w:rPr>
                <w:sz w:val="18"/>
                <w:szCs w:val="18"/>
              </w:rPr>
              <w:t xml:space="preserve">              </w:t>
            </w:r>
            <w:r>
              <w:rPr>
                <w:rFonts w:hint="eastAsia"/>
                <w:sz w:val="18"/>
                <w:szCs w:val="18"/>
              </w:rPr>
              <w:t>扣</w:t>
            </w:r>
            <w:r>
              <w:rPr>
                <w:sz w:val="18"/>
                <w:szCs w:val="18"/>
              </w:rPr>
              <w:t>4</w:t>
            </w:r>
            <w:r>
              <w:rPr>
                <w:rFonts w:hint="eastAsia"/>
                <w:sz w:val="18"/>
                <w:szCs w:val="18"/>
              </w:rPr>
              <w:t>分</w:t>
            </w: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rFonts w:hint="eastAsia"/>
                <w:sz w:val="18"/>
                <w:szCs w:val="18"/>
              </w:rPr>
              <w:t>未在规定时限内审核</w:t>
            </w:r>
            <w:r>
              <w:rPr>
                <w:sz w:val="18"/>
                <w:szCs w:val="18"/>
              </w:rPr>
              <w:t xml:space="preserve">                                                            </w:t>
            </w:r>
            <w:r>
              <w:rPr>
                <w:rFonts w:hint="eastAsia"/>
                <w:sz w:val="18"/>
                <w:szCs w:val="18"/>
              </w:rPr>
              <w:t>扣</w:t>
            </w:r>
            <w:r>
              <w:rPr>
                <w:sz w:val="18"/>
                <w:szCs w:val="18"/>
              </w:rPr>
              <w:t>2</w:t>
            </w:r>
            <w:r>
              <w:rPr>
                <w:rFonts w:hint="eastAsia"/>
                <w:sz w:val="18"/>
                <w:szCs w:val="18"/>
              </w:rPr>
              <w:t>分</w:t>
            </w: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sz w:val="18"/>
                <w:szCs w:val="18"/>
              </w:rPr>
              <w:t>A.8.5</w:t>
            </w:r>
            <w:r>
              <w:rPr>
                <w:rFonts w:hint="eastAsia"/>
                <w:sz w:val="18"/>
                <w:szCs w:val="18"/>
              </w:rPr>
              <w:t>应急救援预案审核</w:t>
            </w: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rFonts w:hint="eastAsia"/>
                <w:sz w:val="18"/>
                <w:szCs w:val="18"/>
              </w:rPr>
              <w:t>未审核施工单位应急救援预案、安全防护措施费用使用计划</w:t>
            </w:r>
            <w:r>
              <w:rPr>
                <w:sz w:val="18"/>
                <w:szCs w:val="18"/>
              </w:rPr>
              <w:t xml:space="preserve">                          </w:t>
            </w:r>
            <w:r>
              <w:rPr>
                <w:rFonts w:hint="eastAsia"/>
                <w:sz w:val="18"/>
                <w:szCs w:val="18"/>
              </w:rPr>
              <w:t>扣</w:t>
            </w:r>
            <w:r>
              <w:rPr>
                <w:sz w:val="18"/>
                <w:szCs w:val="18"/>
              </w:rPr>
              <w:t>3</w:t>
            </w:r>
            <w:r>
              <w:rPr>
                <w:rFonts w:hint="eastAsia"/>
                <w:sz w:val="18"/>
                <w:szCs w:val="18"/>
              </w:rPr>
              <w:t>分</w:t>
            </w: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r>
              <w:rPr>
                <w:sz w:val="18"/>
                <w:szCs w:val="18"/>
              </w:rPr>
              <w:t>9</w:t>
            </w:r>
          </w:p>
        </w:tc>
        <w:tc>
          <w:tcPr>
            <w:tcW w:w="655"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r>
              <w:rPr>
                <w:rFonts w:hint="eastAsia"/>
                <w:sz w:val="18"/>
                <w:szCs w:val="18"/>
              </w:rPr>
              <w:t>施工测量放线</w:t>
            </w:r>
          </w:p>
        </w:tc>
        <w:tc>
          <w:tcPr>
            <w:tcW w:w="256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sz w:val="18"/>
                <w:szCs w:val="18"/>
              </w:rPr>
              <w:t>A.9.1</w:t>
            </w:r>
            <w:r>
              <w:rPr>
                <w:rFonts w:hint="eastAsia"/>
                <w:sz w:val="18"/>
                <w:szCs w:val="18"/>
              </w:rPr>
              <w:t>测量人员及设备审核</w:t>
            </w: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ind w:left="6688" w:hanging="6688" w:hangingChars="3800"/>
              <w:rPr>
                <w:spacing w:val="-2"/>
                <w:sz w:val="18"/>
                <w:szCs w:val="18"/>
              </w:rPr>
            </w:pPr>
            <w:r>
              <w:rPr>
                <w:rFonts w:hint="eastAsia"/>
                <w:spacing w:val="-2"/>
                <w:sz w:val="18"/>
                <w:szCs w:val="18"/>
              </w:rPr>
              <w:t>未对施工单位测量人员岗位资格证书和设备检定证书进行审核；测量人员无岗位资格证书，或测量</w:t>
            </w:r>
          </w:p>
          <w:p>
            <w:pPr>
              <w:spacing w:line="220" w:lineRule="exact"/>
              <w:ind w:left="6688" w:hanging="6688" w:hangingChars="3800"/>
              <w:rPr>
                <w:sz w:val="18"/>
                <w:szCs w:val="18"/>
              </w:rPr>
            </w:pPr>
            <w:r>
              <w:rPr>
                <w:rFonts w:hint="eastAsia"/>
                <w:spacing w:val="-2"/>
                <w:sz w:val="18"/>
                <w:szCs w:val="18"/>
              </w:rPr>
              <w:t>设备不全，或设备检定证书过期，监理未</w:t>
            </w:r>
            <w:r>
              <w:rPr>
                <w:rFonts w:hint="eastAsia"/>
                <w:sz w:val="18"/>
                <w:szCs w:val="18"/>
              </w:rPr>
              <w:t>正确处置</w:t>
            </w:r>
            <w:r>
              <w:rPr>
                <w:sz w:val="18"/>
                <w:szCs w:val="18"/>
              </w:rPr>
              <w:t xml:space="preserve">                                </w:t>
            </w:r>
            <w:r>
              <w:rPr>
                <w:rFonts w:hint="eastAsia"/>
                <w:sz w:val="18"/>
                <w:szCs w:val="18"/>
              </w:rPr>
              <w:t>扣</w:t>
            </w:r>
            <w:r>
              <w:rPr>
                <w:sz w:val="18"/>
                <w:szCs w:val="18"/>
              </w:rPr>
              <w:t>1</w:t>
            </w:r>
            <w:r>
              <w:rPr>
                <w:rFonts w:hint="eastAsia" w:cs="宋体"/>
                <w:sz w:val="18"/>
                <w:szCs w:val="18"/>
              </w:rPr>
              <w:t>～</w:t>
            </w:r>
            <w:r>
              <w:rPr>
                <w:sz w:val="18"/>
                <w:szCs w:val="18"/>
              </w:rPr>
              <w:t>3</w:t>
            </w:r>
            <w:r>
              <w:rPr>
                <w:rFonts w:hint="eastAsia"/>
                <w:sz w:val="18"/>
                <w:szCs w:val="18"/>
              </w:rPr>
              <w:t>分</w:t>
            </w:r>
          </w:p>
        </w:tc>
        <w:tc>
          <w:tcPr>
            <w:tcW w:w="630"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r>
              <w:rPr>
                <w:sz w:val="18"/>
                <w:szCs w:val="18"/>
              </w:rPr>
              <w:t>10</w:t>
            </w: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sz w:val="18"/>
                <w:szCs w:val="18"/>
              </w:rPr>
              <w:t xml:space="preserve">A.9.2 </w:t>
            </w:r>
            <w:r>
              <w:rPr>
                <w:rFonts w:hint="eastAsia"/>
                <w:sz w:val="18"/>
                <w:szCs w:val="18"/>
              </w:rPr>
              <w:t>测量放线成果复核</w:t>
            </w: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rFonts w:hint="eastAsia"/>
                <w:sz w:val="18"/>
                <w:szCs w:val="18"/>
              </w:rPr>
              <w:t>未对施工平面控制网、高程控制网和临时水准点进行检查、复核；监理复核无数据</w:t>
            </w:r>
            <w:r>
              <w:rPr>
                <w:sz w:val="18"/>
                <w:szCs w:val="18"/>
              </w:rPr>
              <w:t xml:space="preserve">      </w:t>
            </w:r>
            <w:r>
              <w:rPr>
                <w:rFonts w:hint="eastAsia"/>
                <w:sz w:val="18"/>
                <w:szCs w:val="18"/>
              </w:rPr>
              <w:t>扣</w:t>
            </w:r>
            <w:r>
              <w:rPr>
                <w:sz w:val="18"/>
                <w:szCs w:val="18"/>
              </w:rPr>
              <w:t>4</w:t>
            </w:r>
            <w:r>
              <w:rPr>
                <w:rFonts w:hint="eastAsia"/>
                <w:sz w:val="18"/>
                <w:szCs w:val="18"/>
              </w:rPr>
              <w:t>分</w:t>
            </w: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rFonts w:hint="eastAsia"/>
                <w:sz w:val="18"/>
                <w:szCs w:val="18"/>
              </w:rPr>
              <w:t>未对施工控制桩的保护措施进行查验；控制桩无有效保护措施，监理未正确处置</w:t>
            </w:r>
            <w:r>
              <w:rPr>
                <w:sz w:val="18"/>
                <w:szCs w:val="18"/>
              </w:rPr>
              <w:t xml:space="preserve">        </w:t>
            </w:r>
            <w:r>
              <w:rPr>
                <w:rFonts w:hint="eastAsia"/>
                <w:sz w:val="18"/>
                <w:szCs w:val="18"/>
              </w:rPr>
              <w:t>扣</w:t>
            </w:r>
            <w:r>
              <w:rPr>
                <w:sz w:val="18"/>
                <w:szCs w:val="18"/>
              </w:rPr>
              <w:t>3</w:t>
            </w:r>
            <w:r>
              <w:rPr>
                <w:rFonts w:hint="eastAsia"/>
                <w:sz w:val="18"/>
                <w:szCs w:val="18"/>
              </w:rPr>
              <w:t>分</w:t>
            </w: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r>
              <w:rPr>
                <w:sz w:val="18"/>
                <w:szCs w:val="18"/>
              </w:rPr>
              <w:t>10</w:t>
            </w:r>
          </w:p>
        </w:tc>
        <w:tc>
          <w:tcPr>
            <w:tcW w:w="655"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r>
              <w:rPr>
                <w:rFonts w:hint="eastAsia"/>
                <w:sz w:val="18"/>
                <w:szCs w:val="18"/>
              </w:rPr>
              <w:t>工程</w:t>
            </w:r>
          </w:p>
          <w:p>
            <w:pPr>
              <w:spacing w:line="220" w:lineRule="exact"/>
              <w:jc w:val="center"/>
              <w:rPr>
                <w:sz w:val="18"/>
                <w:szCs w:val="18"/>
              </w:rPr>
            </w:pPr>
            <w:r>
              <w:rPr>
                <w:rFonts w:hint="eastAsia"/>
                <w:sz w:val="18"/>
                <w:szCs w:val="18"/>
              </w:rPr>
              <w:t>开工</w:t>
            </w:r>
          </w:p>
        </w:tc>
        <w:tc>
          <w:tcPr>
            <w:tcW w:w="256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sz w:val="18"/>
                <w:szCs w:val="18"/>
              </w:rPr>
              <w:t xml:space="preserve">A.10.1 </w:t>
            </w:r>
            <w:r>
              <w:rPr>
                <w:rFonts w:hint="eastAsia"/>
                <w:sz w:val="18"/>
                <w:szCs w:val="18"/>
              </w:rPr>
              <w:t>开工条件审查</w:t>
            </w: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rFonts w:hint="eastAsia"/>
                <w:sz w:val="18"/>
                <w:szCs w:val="18"/>
              </w:rPr>
              <w:t>未对工程开工条件进行审查；开工条件不符合要求，监理未正确处置</w:t>
            </w:r>
            <w:r>
              <w:rPr>
                <w:sz w:val="18"/>
                <w:szCs w:val="18"/>
              </w:rPr>
              <w:t xml:space="preserve">                  </w:t>
            </w:r>
            <w:r>
              <w:rPr>
                <w:rFonts w:hint="eastAsia"/>
                <w:sz w:val="18"/>
                <w:szCs w:val="18"/>
              </w:rPr>
              <w:t>扣</w:t>
            </w:r>
            <w:r>
              <w:rPr>
                <w:sz w:val="18"/>
                <w:szCs w:val="18"/>
              </w:rPr>
              <w:t>4</w:t>
            </w:r>
            <w:r>
              <w:rPr>
                <w:rFonts w:hint="eastAsia"/>
                <w:sz w:val="18"/>
                <w:szCs w:val="18"/>
              </w:rPr>
              <w:t>分</w:t>
            </w:r>
          </w:p>
        </w:tc>
        <w:tc>
          <w:tcPr>
            <w:tcW w:w="630"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r>
              <w:rPr>
                <w:sz w:val="18"/>
                <w:szCs w:val="18"/>
              </w:rPr>
              <w:t>10</w:t>
            </w: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sz w:val="18"/>
                <w:szCs w:val="18"/>
              </w:rPr>
              <w:t xml:space="preserve">A.10.2 </w:t>
            </w:r>
            <w:r>
              <w:rPr>
                <w:rFonts w:hint="eastAsia"/>
                <w:sz w:val="18"/>
                <w:szCs w:val="18"/>
              </w:rPr>
              <w:t>开工令签发</w:t>
            </w: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rFonts w:hint="eastAsia" w:eastAsia="仿宋_GB2312"/>
                <w:sz w:val="18"/>
                <w:szCs w:val="18"/>
              </w:rPr>
              <w:t>▲</w:t>
            </w:r>
            <w:r>
              <w:rPr>
                <w:rFonts w:hint="eastAsia"/>
                <w:sz w:val="18"/>
                <w:szCs w:val="18"/>
              </w:rPr>
              <w:t>工程未取得施工许可手续，总监已批准开工</w:t>
            </w:r>
            <w:r>
              <w:rPr>
                <w:sz w:val="18"/>
                <w:szCs w:val="18"/>
              </w:rPr>
              <w:t xml:space="preserve">                                   </w:t>
            </w: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rFonts w:hint="eastAsia"/>
                <w:sz w:val="18"/>
                <w:szCs w:val="18"/>
              </w:rPr>
              <w:t>未按规定及时签发开工令；工程未取得施工许可手续现场已施工，监理未正确处置</w:t>
            </w:r>
            <w:r>
              <w:rPr>
                <w:sz w:val="18"/>
                <w:szCs w:val="18"/>
              </w:rPr>
              <w:t xml:space="preserve">      </w:t>
            </w:r>
            <w:r>
              <w:rPr>
                <w:rFonts w:hint="eastAsia"/>
                <w:sz w:val="18"/>
                <w:szCs w:val="18"/>
              </w:rPr>
              <w:t>扣</w:t>
            </w:r>
            <w:r>
              <w:rPr>
                <w:sz w:val="18"/>
                <w:szCs w:val="18"/>
              </w:rPr>
              <w:t>4</w:t>
            </w:r>
            <w:r>
              <w:rPr>
                <w:rFonts w:hint="eastAsia"/>
                <w:sz w:val="18"/>
                <w:szCs w:val="18"/>
              </w:rPr>
              <w:t>分</w:t>
            </w: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spacing w:val="-4"/>
                <w:sz w:val="18"/>
                <w:szCs w:val="18"/>
              </w:rPr>
              <w:t>A.10.3</w:t>
            </w:r>
            <w:r>
              <w:rPr>
                <w:rFonts w:hint="eastAsia"/>
                <w:spacing w:val="-4"/>
                <w:sz w:val="18"/>
                <w:szCs w:val="18"/>
              </w:rPr>
              <w:t>分包工程开工审查</w:t>
            </w: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rFonts w:hint="eastAsia"/>
                <w:sz w:val="18"/>
                <w:szCs w:val="18"/>
              </w:rPr>
              <w:t>专业分包工程开工未报审，现场已开始施工，监理未正确处置</w:t>
            </w:r>
            <w:r>
              <w:rPr>
                <w:sz w:val="18"/>
                <w:szCs w:val="18"/>
              </w:rPr>
              <w:t xml:space="preserve">                        </w:t>
            </w:r>
            <w:r>
              <w:rPr>
                <w:rFonts w:hint="eastAsia"/>
                <w:sz w:val="18"/>
                <w:szCs w:val="18"/>
              </w:rPr>
              <w:t>扣</w:t>
            </w:r>
            <w:r>
              <w:rPr>
                <w:sz w:val="18"/>
                <w:szCs w:val="18"/>
              </w:rPr>
              <w:t>2</w:t>
            </w:r>
            <w:r>
              <w:rPr>
                <w:rFonts w:hint="eastAsia"/>
                <w:sz w:val="18"/>
                <w:szCs w:val="18"/>
              </w:rPr>
              <w:t>分</w:t>
            </w: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r>
              <w:rPr>
                <w:sz w:val="18"/>
                <w:szCs w:val="18"/>
              </w:rPr>
              <w:t>11</w:t>
            </w:r>
          </w:p>
        </w:tc>
        <w:tc>
          <w:tcPr>
            <w:tcW w:w="655"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r>
              <w:rPr>
                <w:rFonts w:hint="eastAsia"/>
                <w:sz w:val="18"/>
                <w:szCs w:val="18"/>
              </w:rPr>
              <w:t>分包单位资质</w:t>
            </w:r>
          </w:p>
        </w:tc>
        <w:tc>
          <w:tcPr>
            <w:tcW w:w="256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sz w:val="18"/>
                <w:szCs w:val="18"/>
              </w:rPr>
              <w:t>A.11.1</w:t>
            </w:r>
            <w:r>
              <w:rPr>
                <w:rFonts w:hint="eastAsia"/>
                <w:sz w:val="18"/>
                <w:szCs w:val="18"/>
              </w:rPr>
              <w:t>工程分包依据</w:t>
            </w: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rFonts w:hint="eastAsia"/>
                <w:sz w:val="18"/>
                <w:szCs w:val="18"/>
              </w:rPr>
              <w:t>工程分包不符合《建设工程质量管理条例》或施工合同约定，监理未正确处置</w:t>
            </w:r>
            <w:r>
              <w:rPr>
                <w:sz w:val="18"/>
                <w:szCs w:val="18"/>
              </w:rPr>
              <w:t xml:space="preserve">          </w:t>
            </w:r>
            <w:r>
              <w:rPr>
                <w:rFonts w:hint="eastAsia"/>
                <w:sz w:val="18"/>
                <w:szCs w:val="18"/>
              </w:rPr>
              <w:t>扣</w:t>
            </w:r>
            <w:r>
              <w:rPr>
                <w:sz w:val="18"/>
                <w:szCs w:val="18"/>
              </w:rPr>
              <w:t>4</w:t>
            </w:r>
            <w:r>
              <w:rPr>
                <w:rFonts w:hint="eastAsia"/>
                <w:sz w:val="18"/>
                <w:szCs w:val="18"/>
              </w:rPr>
              <w:t>分</w:t>
            </w:r>
          </w:p>
        </w:tc>
        <w:tc>
          <w:tcPr>
            <w:tcW w:w="630"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r>
              <w:rPr>
                <w:sz w:val="18"/>
                <w:szCs w:val="18"/>
              </w:rPr>
              <w:t>15</w:t>
            </w: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sz w:val="18"/>
                <w:szCs w:val="18"/>
              </w:rPr>
              <w:t>A.11.2</w:t>
            </w:r>
            <w:r>
              <w:rPr>
                <w:rFonts w:hint="eastAsia"/>
                <w:sz w:val="18"/>
                <w:szCs w:val="18"/>
              </w:rPr>
              <w:t>资质审核</w:t>
            </w: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rFonts w:hint="eastAsia"/>
                <w:sz w:val="18"/>
                <w:szCs w:val="18"/>
              </w:rPr>
              <w:t>未对分包单位资质进行审核；分包单位资格报审资料不符合要求，监理未正确处置</w:t>
            </w:r>
            <w:r>
              <w:rPr>
                <w:sz w:val="18"/>
                <w:szCs w:val="18"/>
              </w:rPr>
              <w:t xml:space="preserve">   </w:t>
            </w:r>
            <w:r>
              <w:rPr>
                <w:rFonts w:hint="eastAsia"/>
                <w:sz w:val="18"/>
                <w:szCs w:val="18"/>
              </w:rPr>
              <w:t>扣</w:t>
            </w:r>
            <w:r>
              <w:rPr>
                <w:sz w:val="18"/>
                <w:szCs w:val="18"/>
              </w:rPr>
              <w:t>1</w:t>
            </w:r>
            <w:r>
              <w:rPr>
                <w:rFonts w:hint="eastAsia" w:cs="宋体"/>
                <w:sz w:val="18"/>
                <w:szCs w:val="18"/>
              </w:rPr>
              <w:t>～</w:t>
            </w:r>
            <w:r>
              <w:rPr>
                <w:sz w:val="18"/>
                <w:szCs w:val="18"/>
              </w:rPr>
              <w:t>3</w:t>
            </w:r>
            <w:r>
              <w:rPr>
                <w:rFonts w:hint="eastAsia"/>
                <w:sz w:val="18"/>
                <w:szCs w:val="18"/>
              </w:rPr>
              <w:t>分</w:t>
            </w: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sz w:val="18"/>
                <w:szCs w:val="18"/>
              </w:rPr>
              <w:t>A.11.3</w:t>
            </w:r>
            <w:r>
              <w:rPr>
                <w:rFonts w:hint="eastAsia"/>
                <w:sz w:val="18"/>
                <w:szCs w:val="18"/>
              </w:rPr>
              <w:t>管理人员资格审核</w:t>
            </w: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rFonts w:hint="eastAsia"/>
                <w:sz w:val="18"/>
                <w:szCs w:val="18"/>
              </w:rPr>
              <w:t>未对主要管理人员岗位资格证书进行审核；证书不符合要求，监理未正确处置</w:t>
            </w:r>
            <w:r>
              <w:rPr>
                <w:sz w:val="18"/>
                <w:szCs w:val="18"/>
              </w:rPr>
              <w:t xml:space="preserve">       </w:t>
            </w:r>
            <w:r>
              <w:rPr>
                <w:rFonts w:hint="eastAsia"/>
                <w:sz w:val="18"/>
                <w:szCs w:val="18"/>
              </w:rPr>
              <w:t>扣</w:t>
            </w:r>
            <w:r>
              <w:rPr>
                <w:sz w:val="18"/>
                <w:szCs w:val="18"/>
              </w:rPr>
              <w:t>1</w:t>
            </w:r>
            <w:r>
              <w:rPr>
                <w:rFonts w:hint="eastAsia" w:cs="宋体"/>
                <w:sz w:val="18"/>
                <w:szCs w:val="18"/>
              </w:rPr>
              <w:t>～</w:t>
            </w:r>
            <w:r>
              <w:rPr>
                <w:sz w:val="18"/>
                <w:szCs w:val="18"/>
              </w:rPr>
              <w:t>4</w:t>
            </w:r>
            <w:r>
              <w:rPr>
                <w:rFonts w:hint="eastAsia"/>
                <w:sz w:val="18"/>
                <w:szCs w:val="18"/>
              </w:rPr>
              <w:t>分</w:t>
            </w: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sz w:val="18"/>
                <w:szCs w:val="18"/>
              </w:rPr>
              <w:t>A.11.4</w:t>
            </w:r>
            <w:r>
              <w:rPr>
                <w:rFonts w:hint="eastAsia"/>
                <w:sz w:val="18"/>
                <w:szCs w:val="18"/>
              </w:rPr>
              <w:t>特种作业人员资格审核</w:t>
            </w: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rFonts w:hint="eastAsia"/>
                <w:sz w:val="18"/>
                <w:szCs w:val="18"/>
              </w:rPr>
              <w:t>未对特种作业人员操作证书进行审核；操作证书过期，监理未正确处置</w:t>
            </w:r>
            <w:r>
              <w:rPr>
                <w:sz w:val="18"/>
                <w:szCs w:val="18"/>
              </w:rPr>
              <w:t xml:space="preserve">              </w:t>
            </w:r>
            <w:r>
              <w:rPr>
                <w:rFonts w:hint="eastAsia"/>
                <w:sz w:val="18"/>
                <w:szCs w:val="18"/>
              </w:rPr>
              <w:t>扣</w:t>
            </w:r>
            <w:r>
              <w:rPr>
                <w:sz w:val="18"/>
                <w:szCs w:val="18"/>
              </w:rPr>
              <w:t>1</w:t>
            </w:r>
            <w:r>
              <w:rPr>
                <w:rFonts w:hint="eastAsia" w:cs="宋体"/>
                <w:sz w:val="18"/>
                <w:szCs w:val="18"/>
              </w:rPr>
              <w:t>～</w:t>
            </w:r>
            <w:r>
              <w:rPr>
                <w:sz w:val="18"/>
                <w:szCs w:val="18"/>
              </w:rPr>
              <w:t>4</w:t>
            </w:r>
            <w:r>
              <w:rPr>
                <w:rFonts w:hint="eastAsia"/>
                <w:sz w:val="18"/>
                <w:szCs w:val="18"/>
              </w:rPr>
              <w:t>分</w:t>
            </w:r>
            <w:r>
              <w:rPr>
                <w:sz w:val="18"/>
                <w:szCs w:val="18"/>
              </w:rPr>
              <w:t xml:space="preserve">                                                           </w:t>
            </w: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r>
              <w:rPr>
                <w:sz w:val="18"/>
                <w:szCs w:val="18"/>
              </w:rPr>
              <w:t>12</w:t>
            </w:r>
          </w:p>
        </w:tc>
        <w:tc>
          <w:tcPr>
            <w:tcW w:w="655"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r>
              <w:rPr>
                <w:rFonts w:hint="eastAsia"/>
                <w:sz w:val="18"/>
                <w:szCs w:val="18"/>
              </w:rPr>
              <w:t>现场试验室</w:t>
            </w:r>
          </w:p>
        </w:tc>
        <w:tc>
          <w:tcPr>
            <w:tcW w:w="2565"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rPr>
                <w:spacing w:val="-4"/>
                <w:sz w:val="18"/>
                <w:szCs w:val="18"/>
              </w:rPr>
            </w:pPr>
            <w:r>
              <w:rPr>
                <w:sz w:val="18"/>
                <w:szCs w:val="18"/>
              </w:rPr>
              <w:t>A.12.1</w:t>
            </w:r>
            <w:r>
              <w:rPr>
                <w:rFonts w:hint="eastAsia"/>
                <w:sz w:val="18"/>
                <w:szCs w:val="18"/>
              </w:rPr>
              <w:t>试验室检查</w:t>
            </w: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rFonts w:hint="eastAsia"/>
                <w:sz w:val="18"/>
                <w:szCs w:val="18"/>
              </w:rPr>
              <w:t>未对施工单位试验室资质等级及试验范围进行检查</w:t>
            </w:r>
            <w:r>
              <w:rPr>
                <w:sz w:val="18"/>
                <w:szCs w:val="18"/>
              </w:rPr>
              <w:t xml:space="preserve">                                  </w:t>
            </w:r>
            <w:r>
              <w:rPr>
                <w:rFonts w:hint="eastAsia"/>
                <w:sz w:val="18"/>
                <w:szCs w:val="18"/>
              </w:rPr>
              <w:t>扣</w:t>
            </w:r>
            <w:r>
              <w:rPr>
                <w:sz w:val="18"/>
                <w:szCs w:val="18"/>
              </w:rPr>
              <w:t>1</w:t>
            </w:r>
            <w:r>
              <w:rPr>
                <w:rFonts w:hint="eastAsia"/>
                <w:sz w:val="18"/>
                <w:szCs w:val="18"/>
              </w:rPr>
              <w:t>分</w:t>
            </w:r>
          </w:p>
        </w:tc>
        <w:tc>
          <w:tcPr>
            <w:tcW w:w="630"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r>
              <w:rPr>
                <w:sz w:val="18"/>
                <w:szCs w:val="18"/>
              </w:rPr>
              <w:t>3</w:t>
            </w: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pacing w:val="-4"/>
                <w:sz w:val="18"/>
                <w:szCs w:val="18"/>
              </w:rPr>
            </w:pP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rFonts w:hint="eastAsia"/>
                <w:sz w:val="18"/>
                <w:szCs w:val="18"/>
              </w:rPr>
              <w:t>未对试验室管理制度及试验人员岗位资格证书进行审查</w:t>
            </w:r>
            <w:r>
              <w:rPr>
                <w:sz w:val="18"/>
                <w:szCs w:val="18"/>
              </w:rPr>
              <w:t xml:space="preserve">                              </w:t>
            </w:r>
            <w:r>
              <w:rPr>
                <w:rFonts w:hint="eastAsia"/>
                <w:sz w:val="18"/>
                <w:szCs w:val="18"/>
              </w:rPr>
              <w:t>扣</w:t>
            </w:r>
            <w:r>
              <w:rPr>
                <w:sz w:val="18"/>
                <w:szCs w:val="18"/>
              </w:rPr>
              <w:t>1</w:t>
            </w:r>
            <w:r>
              <w:rPr>
                <w:rFonts w:hint="eastAsia"/>
                <w:sz w:val="18"/>
                <w:szCs w:val="18"/>
              </w:rPr>
              <w:t>分</w:t>
            </w: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56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pacing w:val="-4"/>
                <w:sz w:val="18"/>
                <w:szCs w:val="18"/>
              </w:rPr>
            </w:pPr>
          </w:p>
        </w:tc>
        <w:tc>
          <w:tcPr>
            <w:tcW w:w="7882" w:type="dxa"/>
            <w:gridSpan w:val="3"/>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rFonts w:hint="eastAsia"/>
                <w:sz w:val="18"/>
                <w:szCs w:val="18"/>
              </w:rPr>
              <w:t>未对试验设备检定证书进行审查</w:t>
            </w:r>
            <w:r>
              <w:rPr>
                <w:sz w:val="18"/>
                <w:szCs w:val="18"/>
              </w:rPr>
              <w:t xml:space="preserve">                                                  </w:t>
            </w:r>
            <w:r>
              <w:rPr>
                <w:rFonts w:hint="eastAsia"/>
                <w:sz w:val="18"/>
                <w:szCs w:val="18"/>
              </w:rPr>
              <w:t>扣</w:t>
            </w:r>
            <w:r>
              <w:rPr>
                <w:sz w:val="18"/>
                <w:szCs w:val="18"/>
              </w:rPr>
              <w:t>1</w:t>
            </w:r>
            <w:r>
              <w:rPr>
                <w:rFonts w:hint="eastAsia"/>
                <w:sz w:val="18"/>
                <w:szCs w:val="18"/>
              </w:rPr>
              <w:t>分</w:t>
            </w: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64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sz w:val="18"/>
                <w:szCs w:val="18"/>
              </w:rPr>
            </w:pPr>
          </w:p>
        </w:tc>
        <w:tc>
          <w:tcPr>
            <w:tcW w:w="8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27" w:type="dxa"/>
            <w:gridSpan w:val="4"/>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rFonts w:hint="eastAsia"/>
                <w:sz w:val="18"/>
                <w:szCs w:val="18"/>
              </w:rPr>
              <w:t>可评分评价项目实得分之和</w:t>
            </w:r>
            <w:r>
              <w:rPr>
                <w:sz w:val="18"/>
                <w:szCs w:val="18"/>
              </w:rPr>
              <w:t>:</w:t>
            </w:r>
          </w:p>
        </w:tc>
        <w:tc>
          <w:tcPr>
            <w:tcW w:w="577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rFonts w:hint="eastAsia"/>
                <w:sz w:val="18"/>
                <w:szCs w:val="18"/>
              </w:rPr>
              <w:t>可评分评价项目应得分之和：</w:t>
            </w:r>
          </w:p>
        </w:tc>
        <w:tc>
          <w:tcPr>
            <w:tcW w:w="2419" w:type="dxa"/>
            <w:gridSpan w:val="4"/>
            <w:tcBorders>
              <w:top w:val="single" w:color="auto" w:sz="4" w:space="0"/>
              <w:left w:val="single" w:color="auto" w:sz="4" w:space="0"/>
              <w:bottom w:val="single" w:color="auto" w:sz="4" w:space="0"/>
              <w:right w:val="single" w:color="auto" w:sz="4" w:space="0"/>
            </w:tcBorders>
            <w:noWrap w:val="0"/>
            <w:vAlign w:val="center"/>
          </w:tcPr>
          <w:p>
            <w:pPr>
              <w:spacing w:line="220" w:lineRule="exact"/>
              <w:rPr>
                <w:sz w:val="18"/>
                <w:szCs w:val="18"/>
              </w:rPr>
            </w:pPr>
            <w:r>
              <w:rPr>
                <w:rFonts w:hint="eastAsia"/>
                <w:sz w:val="18"/>
                <w:szCs w:val="18"/>
              </w:rPr>
              <w:t>本表得分（率）：</w:t>
            </w:r>
          </w:p>
        </w:tc>
      </w:tr>
    </w:tbl>
    <w:p>
      <w:pPr>
        <w:jc w:val="center"/>
        <w:rPr>
          <w:szCs w:val="21"/>
        </w:rPr>
      </w:pPr>
    </w:p>
    <w:p>
      <w:pPr>
        <w:jc w:val="center"/>
        <w:rPr>
          <w:szCs w:val="21"/>
        </w:rPr>
      </w:pPr>
      <w:r>
        <w:rPr>
          <w:rFonts w:hint="eastAsia"/>
          <w:szCs w:val="21"/>
        </w:rPr>
        <w:t>评分人员：</w:t>
      </w:r>
      <w:r>
        <w:rPr>
          <w:szCs w:val="21"/>
        </w:rPr>
        <w:t xml:space="preserve">                                                                                                  </w:t>
      </w:r>
      <w:r>
        <w:rPr>
          <w:rFonts w:hint="eastAsia"/>
          <w:szCs w:val="21"/>
        </w:rPr>
        <w:t>日期：</w:t>
      </w:r>
      <w:r>
        <w:rPr>
          <w:szCs w:val="21"/>
        </w:rPr>
        <w:t xml:space="preserve">     </w:t>
      </w:r>
      <w:r>
        <w:rPr>
          <w:rFonts w:hint="eastAsia"/>
          <w:szCs w:val="21"/>
        </w:rPr>
        <w:t>年</w:t>
      </w:r>
      <w:r>
        <w:rPr>
          <w:szCs w:val="21"/>
        </w:rPr>
        <w:t xml:space="preserve">   </w:t>
      </w:r>
      <w:r>
        <w:rPr>
          <w:rFonts w:hint="eastAsia"/>
          <w:szCs w:val="21"/>
        </w:rPr>
        <w:t>月</w:t>
      </w:r>
      <w:r>
        <w:rPr>
          <w:szCs w:val="21"/>
        </w:rPr>
        <w:t xml:space="preserve">   </w:t>
      </w:r>
      <w:r>
        <w:rPr>
          <w:rFonts w:hint="eastAsia"/>
          <w:szCs w:val="21"/>
        </w:rPr>
        <w:t>日</w:t>
      </w:r>
    </w:p>
    <w:p>
      <w:pPr>
        <w:adjustRightInd w:val="0"/>
        <w:ind w:firstLine="643" w:firstLineChars="200"/>
        <w:rPr>
          <w:b/>
          <w:sz w:val="32"/>
          <w:szCs w:val="32"/>
        </w:rPr>
      </w:pPr>
    </w:p>
    <w:p>
      <w:pPr>
        <w:adjustRightInd w:val="0"/>
        <w:ind w:firstLine="643" w:firstLineChars="200"/>
        <w:rPr>
          <w:b/>
          <w:sz w:val="32"/>
          <w:szCs w:val="32"/>
        </w:rPr>
      </w:pPr>
      <w:r>
        <w:rPr>
          <w:rFonts w:hint="eastAsia"/>
          <w:b/>
          <w:sz w:val="32"/>
          <w:szCs w:val="32"/>
        </w:rPr>
        <w:t>表</w:t>
      </w:r>
      <w:r>
        <w:rPr>
          <w:b/>
          <w:sz w:val="32"/>
          <w:szCs w:val="32"/>
        </w:rPr>
        <w:t xml:space="preserve">B                         </w:t>
      </w:r>
      <w:r>
        <w:rPr>
          <w:rFonts w:hint="eastAsia"/>
          <w:b/>
          <w:sz w:val="32"/>
          <w:szCs w:val="32"/>
        </w:rPr>
        <w:t>工程施工阶段监理工作评价表</w:t>
      </w:r>
      <w:r>
        <w:rPr>
          <w:b/>
          <w:sz w:val="32"/>
          <w:szCs w:val="32"/>
        </w:rPr>
        <w:t xml:space="preserve">      </w:t>
      </w:r>
    </w:p>
    <w:p>
      <w:pPr>
        <w:ind w:firstLine="480" w:firstLineChars="200"/>
        <w:jc w:val="left"/>
        <w:rPr>
          <w:b/>
          <w:sz w:val="15"/>
          <w:szCs w:val="15"/>
        </w:rPr>
      </w:pPr>
      <w:r>
        <w:rPr>
          <w:rFonts w:hint="eastAsia"/>
          <w:sz w:val="24"/>
        </w:rPr>
        <w:t>工程项目名称：</w:t>
      </w:r>
      <w:r>
        <w:rPr>
          <w:sz w:val="24"/>
        </w:rPr>
        <w:t xml:space="preserve">                                                          </w:t>
      </w:r>
      <w:r>
        <w:rPr>
          <w:rFonts w:hint="eastAsia"/>
          <w:sz w:val="24"/>
        </w:rPr>
        <w:t>监理单位名称：</w:t>
      </w:r>
      <w:r>
        <w:rPr>
          <w:sz w:val="24"/>
        </w:rPr>
        <w:t xml:space="preserve">  </w:t>
      </w:r>
      <w:r>
        <w:rPr>
          <w:sz w:val="15"/>
          <w:szCs w:val="15"/>
        </w:rPr>
        <w:t xml:space="preserve">                                                        </w:t>
      </w:r>
      <w:r>
        <w:rPr>
          <w:b/>
          <w:sz w:val="15"/>
          <w:szCs w:val="15"/>
        </w:rPr>
        <w:t xml:space="preserve">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900"/>
        <w:gridCol w:w="2185"/>
        <w:gridCol w:w="8671"/>
        <w:gridCol w:w="748"/>
        <w:gridCol w:w="720"/>
        <w:gridCol w:w="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3" w:type="dxa"/>
            <w:vMerge w:val="restart"/>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 w:val="18"/>
                <w:szCs w:val="18"/>
              </w:rPr>
            </w:pPr>
            <w:r>
              <w:rPr>
                <w:rFonts w:hint="eastAsia"/>
                <w:sz w:val="18"/>
                <w:szCs w:val="18"/>
              </w:rPr>
              <w:t>序号</w:t>
            </w:r>
          </w:p>
        </w:tc>
        <w:tc>
          <w:tcPr>
            <w:tcW w:w="900" w:type="dxa"/>
            <w:vMerge w:val="restart"/>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 w:val="18"/>
                <w:szCs w:val="18"/>
              </w:rPr>
            </w:pPr>
            <w:r>
              <w:rPr>
                <w:rFonts w:hint="eastAsia"/>
                <w:sz w:val="18"/>
                <w:szCs w:val="18"/>
              </w:rPr>
              <w:t>评价项目</w:t>
            </w:r>
          </w:p>
        </w:tc>
        <w:tc>
          <w:tcPr>
            <w:tcW w:w="2185" w:type="dxa"/>
            <w:vMerge w:val="restart"/>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 w:val="18"/>
                <w:szCs w:val="18"/>
              </w:rPr>
            </w:pPr>
            <w:r>
              <w:rPr>
                <w:rFonts w:hint="eastAsia"/>
                <w:sz w:val="18"/>
                <w:szCs w:val="18"/>
              </w:rPr>
              <w:t>评价内容</w:t>
            </w:r>
          </w:p>
        </w:tc>
        <w:tc>
          <w:tcPr>
            <w:tcW w:w="8671" w:type="dxa"/>
            <w:vMerge w:val="restart"/>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 w:val="18"/>
                <w:szCs w:val="18"/>
              </w:rPr>
            </w:pPr>
            <w:r>
              <w:rPr>
                <w:rFonts w:hint="eastAsia"/>
                <w:sz w:val="18"/>
                <w:szCs w:val="18"/>
              </w:rPr>
              <w:t>评分标准</w:t>
            </w:r>
          </w:p>
        </w:tc>
        <w:tc>
          <w:tcPr>
            <w:tcW w:w="2237" w:type="dxa"/>
            <w:gridSpan w:val="3"/>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 w:val="18"/>
                <w:szCs w:val="18"/>
              </w:rPr>
            </w:pPr>
            <w:r>
              <w:rPr>
                <w:rFonts w:hint="eastAsia"/>
                <w:sz w:val="18"/>
                <w:szCs w:val="18"/>
              </w:rPr>
              <w:t>评分（分）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86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48" w:type="dxa"/>
            <w:tcBorders>
              <w:top w:val="single" w:color="auto" w:sz="4" w:space="0"/>
              <w:left w:val="single" w:color="auto" w:sz="4" w:space="0"/>
              <w:bottom w:val="single" w:color="auto" w:sz="4" w:space="0"/>
              <w:right w:val="single" w:color="auto" w:sz="4" w:space="0"/>
            </w:tcBorders>
            <w:noWrap w:val="0"/>
            <w:vAlign w:val="center"/>
          </w:tcPr>
          <w:p>
            <w:pPr>
              <w:ind w:left="-50" w:right="-50"/>
              <w:jc w:val="center"/>
              <w:rPr>
                <w:sz w:val="18"/>
                <w:szCs w:val="18"/>
              </w:rPr>
            </w:pPr>
            <w:r>
              <w:rPr>
                <w:rFonts w:hint="eastAsia"/>
                <w:sz w:val="18"/>
                <w:szCs w:val="18"/>
              </w:rPr>
              <w:t>应得分</w:t>
            </w:r>
          </w:p>
        </w:tc>
        <w:tc>
          <w:tcPr>
            <w:tcW w:w="720" w:type="dxa"/>
            <w:tcBorders>
              <w:top w:val="single" w:color="auto" w:sz="4" w:space="0"/>
              <w:left w:val="single" w:color="auto" w:sz="4" w:space="0"/>
              <w:bottom w:val="single" w:color="auto" w:sz="4" w:space="0"/>
              <w:right w:val="single" w:color="auto" w:sz="4" w:space="0"/>
            </w:tcBorders>
            <w:noWrap w:val="0"/>
            <w:vAlign w:val="center"/>
          </w:tcPr>
          <w:p>
            <w:pPr>
              <w:ind w:left="-50" w:right="-50"/>
              <w:jc w:val="center"/>
              <w:rPr>
                <w:sz w:val="18"/>
                <w:szCs w:val="18"/>
              </w:rPr>
            </w:pPr>
            <w:r>
              <w:rPr>
                <w:rFonts w:hint="eastAsia"/>
                <w:sz w:val="18"/>
                <w:szCs w:val="18"/>
              </w:rPr>
              <w:t>扣减分</w:t>
            </w:r>
          </w:p>
        </w:tc>
        <w:tc>
          <w:tcPr>
            <w:tcW w:w="769" w:type="dxa"/>
            <w:tcBorders>
              <w:top w:val="single" w:color="auto" w:sz="4" w:space="0"/>
              <w:left w:val="single" w:color="auto" w:sz="4" w:space="0"/>
              <w:bottom w:val="single" w:color="auto" w:sz="4" w:space="0"/>
              <w:right w:val="single" w:color="auto" w:sz="4" w:space="0"/>
            </w:tcBorders>
            <w:noWrap w:val="0"/>
            <w:vAlign w:val="center"/>
          </w:tcPr>
          <w:p>
            <w:pPr>
              <w:ind w:left="-50" w:right="-50"/>
              <w:jc w:val="center"/>
              <w:rPr>
                <w:sz w:val="18"/>
                <w:szCs w:val="18"/>
              </w:rPr>
            </w:pPr>
            <w:r>
              <w:rPr>
                <w:rFonts w:hint="eastAsia"/>
                <w:sz w:val="18"/>
                <w:szCs w:val="18"/>
              </w:rPr>
              <w:t>实得分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3"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1</w:t>
            </w:r>
          </w:p>
        </w:tc>
        <w:tc>
          <w:tcPr>
            <w:tcW w:w="900"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rFonts w:hint="eastAsia"/>
                <w:sz w:val="18"/>
                <w:szCs w:val="18"/>
              </w:rPr>
              <w:t>危险性较大分部分项工程</w:t>
            </w:r>
          </w:p>
        </w:tc>
        <w:tc>
          <w:tcPr>
            <w:tcW w:w="2185"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sz w:val="18"/>
                <w:szCs w:val="18"/>
              </w:rPr>
              <w:t xml:space="preserve">B.1.1 </w:t>
            </w:r>
            <w:r>
              <w:rPr>
                <w:rFonts w:hint="eastAsia"/>
                <w:sz w:val="18"/>
                <w:szCs w:val="18"/>
              </w:rPr>
              <w:t>验收</w:t>
            </w:r>
          </w:p>
        </w:tc>
        <w:tc>
          <w:tcPr>
            <w:tcW w:w="8671"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eastAsia="仿宋_GB2312"/>
                <w:sz w:val="18"/>
                <w:szCs w:val="18"/>
              </w:rPr>
              <w:t>▲</w:t>
            </w:r>
            <w:r>
              <w:rPr>
                <w:rFonts w:hint="eastAsia"/>
                <w:sz w:val="18"/>
                <w:szCs w:val="18"/>
              </w:rPr>
              <w:t>未按规定参与危险性较大分部分项工程验收；验收记录未签字</w:t>
            </w:r>
            <w:r>
              <w:rPr>
                <w:sz w:val="18"/>
                <w:szCs w:val="18"/>
              </w:rPr>
              <w:t xml:space="preserve">                       </w:t>
            </w:r>
          </w:p>
        </w:tc>
        <w:tc>
          <w:tcPr>
            <w:tcW w:w="748"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20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69"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sz w:val="18"/>
                <w:szCs w:val="18"/>
              </w:rPr>
              <w:t xml:space="preserve">B.1.2 </w:t>
            </w:r>
            <w:r>
              <w:rPr>
                <w:rFonts w:hint="eastAsia"/>
                <w:sz w:val="18"/>
                <w:szCs w:val="18"/>
              </w:rPr>
              <w:t>巡视检查</w:t>
            </w:r>
          </w:p>
        </w:tc>
        <w:tc>
          <w:tcPr>
            <w:tcW w:w="8671" w:type="dxa"/>
            <w:tcBorders>
              <w:top w:val="single" w:color="auto" w:sz="4" w:space="0"/>
              <w:left w:val="single" w:color="auto" w:sz="4" w:space="0"/>
              <w:bottom w:val="single" w:color="auto" w:sz="4" w:space="0"/>
              <w:right w:val="single" w:color="auto" w:sz="4" w:space="0"/>
            </w:tcBorders>
            <w:noWrap w:val="0"/>
            <w:vAlign w:val="center"/>
          </w:tcPr>
          <w:p>
            <w:pPr>
              <w:ind w:left="6480" w:hanging="6480" w:hangingChars="3600"/>
              <w:jc w:val="left"/>
              <w:rPr>
                <w:sz w:val="18"/>
                <w:szCs w:val="18"/>
              </w:rPr>
            </w:pPr>
            <w:r>
              <w:rPr>
                <w:rFonts w:hint="eastAsia"/>
                <w:sz w:val="18"/>
                <w:szCs w:val="18"/>
              </w:rPr>
              <w:t>未按规定对危险性较大分部分项工程进行专项巡视检查；专项巡视检查记录不全</w:t>
            </w:r>
            <w:r>
              <w:rPr>
                <w:sz w:val="18"/>
                <w:szCs w:val="18"/>
              </w:rPr>
              <w:t xml:space="preserve">         </w:t>
            </w:r>
          </w:p>
          <w:p>
            <w:pPr>
              <w:ind w:left="181" w:leftChars="86" w:firstLine="6120" w:firstLineChars="3400"/>
              <w:jc w:val="left"/>
              <w:rPr>
                <w:sz w:val="18"/>
                <w:szCs w:val="18"/>
              </w:rPr>
            </w:pPr>
            <w:r>
              <w:rPr>
                <w:rFonts w:hint="eastAsia"/>
                <w:sz w:val="18"/>
                <w:szCs w:val="18"/>
              </w:rPr>
              <w:t>扣</w:t>
            </w:r>
            <w:r>
              <w:rPr>
                <w:sz w:val="18"/>
                <w:szCs w:val="18"/>
              </w:rPr>
              <w:t>1</w:t>
            </w:r>
            <w:r>
              <w:rPr>
                <w:rFonts w:hint="eastAsia" w:cs="宋体"/>
                <w:sz w:val="18"/>
                <w:szCs w:val="18"/>
              </w:rPr>
              <w:t>～</w:t>
            </w:r>
            <w:r>
              <w:rPr>
                <w:sz w:val="18"/>
                <w:szCs w:val="18"/>
              </w:rPr>
              <w:t>10</w:t>
            </w:r>
            <w:r>
              <w:rPr>
                <w:rFonts w:hint="eastAsia"/>
                <w:sz w:val="18"/>
                <w:szCs w:val="18"/>
              </w:rPr>
              <w:t>分</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sz w:val="18"/>
                <w:szCs w:val="18"/>
              </w:rPr>
              <w:t xml:space="preserve">B.1.3 </w:t>
            </w:r>
            <w:r>
              <w:rPr>
                <w:rFonts w:hint="eastAsia"/>
                <w:sz w:val="18"/>
                <w:szCs w:val="18"/>
              </w:rPr>
              <w:t>安全档案管理</w:t>
            </w:r>
          </w:p>
        </w:tc>
        <w:tc>
          <w:tcPr>
            <w:tcW w:w="8671" w:type="dxa"/>
            <w:tcBorders>
              <w:top w:val="single" w:color="auto" w:sz="4" w:space="0"/>
              <w:left w:val="single" w:color="auto" w:sz="4" w:space="0"/>
              <w:bottom w:val="single" w:color="auto" w:sz="4" w:space="0"/>
              <w:right w:val="single" w:color="auto" w:sz="4" w:space="0"/>
            </w:tcBorders>
            <w:noWrap w:val="0"/>
            <w:vAlign w:val="center"/>
          </w:tcPr>
          <w:p>
            <w:pPr>
              <w:tabs>
                <w:tab w:val="left" w:pos="342"/>
              </w:tabs>
              <w:rPr>
                <w:sz w:val="18"/>
                <w:szCs w:val="18"/>
              </w:rPr>
            </w:pPr>
            <w:r>
              <w:rPr>
                <w:rFonts w:hint="eastAsia"/>
                <w:sz w:val="18"/>
                <w:szCs w:val="18"/>
              </w:rPr>
              <w:t>未按规定建立危险性较大分部分项工程安全管理档案；安全管理档案资料不全</w:t>
            </w:r>
            <w:r>
              <w:rPr>
                <w:sz w:val="18"/>
                <w:szCs w:val="18"/>
              </w:rPr>
              <w:t xml:space="preserve">  </w:t>
            </w:r>
            <w:r>
              <w:rPr>
                <w:rFonts w:hint="eastAsia"/>
                <w:sz w:val="18"/>
                <w:szCs w:val="18"/>
              </w:rPr>
              <w:t>扣</w:t>
            </w:r>
            <w:r>
              <w:rPr>
                <w:sz w:val="18"/>
                <w:szCs w:val="18"/>
              </w:rPr>
              <w:t>1</w:t>
            </w:r>
            <w:r>
              <w:rPr>
                <w:rFonts w:hint="eastAsia" w:cs="宋体"/>
                <w:sz w:val="18"/>
                <w:szCs w:val="18"/>
              </w:rPr>
              <w:t>～</w:t>
            </w:r>
            <w:r>
              <w:rPr>
                <w:sz w:val="18"/>
                <w:szCs w:val="18"/>
              </w:rPr>
              <w:t>10</w:t>
            </w:r>
            <w:r>
              <w:rPr>
                <w:rFonts w:hint="eastAsia"/>
                <w:sz w:val="18"/>
                <w:szCs w:val="18"/>
              </w:rPr>
              <w:t>分</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3"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2</w:t>
            </w:r>
          </w:p>
        </w:tc>
        <w:tc>
          <w:tcPr>
            <w:tcW w:w="900"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rFonts w:hint="eastAsia"/>
                <w:sz w:val="18"/>
                <w:szCs w:val="18"/>
              </w:rPr>
              <w:t>施工起重机械设备</w:t>
            </w:r>
          </w:p>
        </w:tc>
        <w:tc>
          <w:tcPr>
            <w:tcW w:w="2185" w:type="dxa"/>
            <w:vMerge w:val="restart"/>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sz w:val="18"/>
                <w:szCs w:val="18"/>
              </w:rPr>
              <w:t>B.2.1</w:t>
            </w:r>
            <w:r>
              <w:rPr>
                <w:rFonts w:hint="eastAsia"/>
                <w:sz w:val="18"/>
                <w:szCs w:val="18"/>
              </w:rPr>
              <w:t>设备安装、拆卸核查</w:t>
            </w:r>
          </w:p>
        </w:tc>
        <w:tc>
          <w:tcPr>
            <w:tcW w:w="8671"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未审核设备制造许可证、产品合格证、备案证明等文件；上述文件不符合要求，或设备型号、数量与施工组织设计不符，监理未正确处置</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48"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p>
            <w:pPr>
              <w:jc w:val="center"/>
              <w:rPr>
                <w:sz w:val="18"/>
                <w:szCs w:val="18"/>
              </w:rPr>
            </w:pPr>
          </w:p>
          <w:p>
            <w:pPr>
              <w:jc w:val="center"/>
              <w:rPr>
                <w:sz w:val="18"/>
                <w:szCs w:val="18"/>
              </w:rPr>
            </w:pPr>
          </w:p>
          <w:p>
            <w:pPr>
              <w:jc w:val="center"/>
              <w:rPr>
                <w:sz w:val="18"/>
                <w:szCs w:val="18"/>
              </w:rPr>
            </w:pPr>
          </w:p>
          <w:p>
            <w:pPr>
              <w:jc w:val="center"/>
              <w:rPr>
                <w:sz w:val="18"/>
                <w:szCs w:val="18"/>
              </w:rPr>
            </w:pPr>
          </w:p>
          <w:p>
            <w:pPr>
              <w:jc w:val="center"/>
              <w:rPr>
                <w:sz w:val="18"/>
                <w:szCs w:val="18"/>
              </w:rPr>
            </w:pPr>
          </w:p>
          <w:p>
            <w:pPr>
              <w:jc w:val="center"/>
              <w:rPr>
                <w:sz w:val="18"/>
                <w:szCs w:val="18"/>
              </w:rPr>
            </w:pPr>
          </w:p>
          <w:p>
            <w:pPr>
              <w:jc w:val="center"/>
              <w:rPr>
                <w:sz w:val="18"/>
                <w:szCs w:val="18"/>
              </w:rPr>
            </w:pPr>
          </w:p>
          <w:p>
            <w:pPr>
              <w:jc w:val="center"/>
              <w:rPr>
                <w:sz w:val="18"/>
                <w:szCs w:val="18"/>
              </w:rPr>
            </w:pPr>
          </w:p>
          <w:p>
            <w:pPr>
              <w:jc w:val="center"/>
              <w:rPr>
                <w:sz w:val="18"/>
                <w:szCs w:val="18"/>
              </w:rPr>
            </w:pPr>
            <w:r>
              <w:rPr>
                <w:sz w:val="18"/>
                <w:szCs w:val="18"/>
              </w:rPr>
              <w:t>20</w:t>
            </w:r>
          </w:p>
          <w:p>
            <w:pPr>
              <w:jc w:val="center"/>
              <w:rPr>
                <w:sz w:val="18"/>
                <w:szCs w:val="18"/>
              </w:rPr>
            </w:pPr>
          </w:p>
          <w:p>
            <w:pPr>
              <w:jc w:val="center"/>
              <w:rPr>
                <w:sz w:val="18"/>
                <w:szCs w:val="18"/>
              </w:rPr>
            </w:pPr>
          </w:p>
          <w:p>
            <w:pPr>
              <w:jc w:val="center"/>
              <w:rPr>
                <w:sz w:val="18"/>
                <w:szCs w:val="18"/>
              </w:rPr>
            </w:pPr>
          </w:p>
          <w:p>
            <w:pPr>
              <w:jc w:val="center"/>
              <w:rPr>
                <w:sz w:val="18"/>
                <w:szCs w:val="18"/>
              </w:rPr>
            </w:pPr>
          </w:p>
          <w:p>
            <w:pPr>
              <w:jc w:val="center"/>
              <w:rPr>
                <w:sz w:val="18"/>
                <w:szCs w:val="18"/>
              </w:rPr>
            </w:pPr>
          </w:p>
          <w:p>
            <w:pPr>
              <w:jc w:val="center"/>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 xml:space="preserve"> </w:t>
            </w:r>
          </w:p>
        </w:tc>
        <w:tc>
          <w:tcPr>
            <w:tcW w:w="769"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8671"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未核查设备安装、拆卸单位的资质证书、安全生产许可证和特种作业人员操作证书；上述证书过期，监理未正确处置</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 xml:space="preserve"> </w:t>
            </w: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8671"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未审核设备安装、拆卸专项方案（含群塔方案）；方案不符合相关强制性标准，监理未正确处置</w:t>
            </w:r>
            <w:r>
              <w:rPr>
                <w:sz w:val="18"/>
                <w:szCs w:val="18"/>
              </w:rPr>
              <w:t xml:space="preserve">                                                                      </w:t>
            </w:r>
            <w:r>
              <w:rPr>
                <w:rFonts w:hint="eastAsia"/>
                <w:sz w:val="18"/>
                <w:szCs w:val="18"/>
              </w:rPr>
              <w:t>扣</w:t>
            </w:r>
            <w:r>
              <w:rPr>
                <w:sz w:val="18"/>
                <w:szCs w:val="18"/>
              </w:rPr>
              <w:t>4</w:t>
            </w:r>
            <w:r>
              <w:rPr>
                <w:rFonts w:hint="eastAsia"/>
                <w:sz w:val="18"/>
                <w:szCs w:val="18"/>
              </w:rPr>
              <w:t>分</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8671"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未按规定对设备安装、拆卸过程进行巡视检查；监理巡视检查记录不全</w:t>
            </w:r>
            <w:r>
              <w:rPr>
                <w:sz w:val="18"/>
                <w:szCs w:val="18"/>
              </w:rPr>
              <w:t xml:space="preserve">         </w:t>
            </w:r>
            <w:r>
              <w:rPr>
                <w:rFonts w:hint="eastAsia"/>
                <w:sz w:val="18"/>
                <w:szCs w:val="18"/>
              </w:rPr>
              <w:t>扣</w:t>
            </w:r>
            <w:r>
              <w:rPr>
                <w:sz w:val="18"/>
                <w:szCs w:val="18"/>
              </w:rPr>
              <w:t>1</w:t>
            </w:r>
            <w:r>
              <w:rPr>
                <w:rFonts w:hint="eastAsia" w:cs="宋体"/>
                <w:sz w:val="18"/>
                <w:szCs w:val="18"/>
              </w:rPr>
              <w:t>～</w:t>
            </w:r>
            <w:r>
              <w:rPr>
                <w:sz w:val="18"/>
                <w:szCs w:val="18"/>
              </w:rPr>
              <w:t>4</w:t>
            </w:r>
            <w:r>
              <w:rPr>
                <w:rFonts w:hint="eastAsia"/>
                <w:sz w:val="18"/>
                <w:szCs w:val="18"/>
              </w:rPr>
              <w:t>分</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 xml:space="preserve"> </w:t>
            </w: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vMerge w:val="restart"/>
            <w:tcBorders>
              <w:top w:val="single" w:color="auto" w:sz="4" w:space="0"/>
              <w:left w:val="single" w:color="auto" w:sz="4" w:space="0"/>
              <w:bottom w:val="single" w:color="auto" w:sz="4" w:space="0"/>
              <w:right w:val="single" w:color="auto" w:sz="4" w:space="0"/>
            </w:tcBorders>
            <w:noWrap w:val="0"/>
            <w:vAlign w:val="center"/>
          </w:tcPr>
          <w:p>
            <w:pPr>
              <w:rPr>
                <w:sz w:val="18"/>
                <w:szCs w:val="18"/>
              </w:rPr>
            </w:pPr>
          </w:p>
          <w:p>
            <w:pPr>
              <w:rPr>
                <w:sz w:val="18"/>
                <w:szCs w:val="18"/>
              </w:rPr>
            </w:pPr>
            <w:r>
              <w:rPr>
                <w:sz w:val="18"/>
                <w:szCs w:val="18"/>
              </w:rPr>
              <w:t>B.2.2</w:t>
            </w:r>
            <w:r>
              <w:rPr>
                <w:rFonts w:hint="eastAsia"/>
                <w:sz w:val="18"/>
                <w:szCs w:val="18"/>
              </w:rPr>
              <w:t>设备使用核查</w:t>
            </w:r>
          </w:p>
        </w:tc>
        <w:tc>
          <w:tcPr>
            <w:tcW w:w="8671"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eastAsia="仿宋_GB2312"/>
                <w:sz w:val="18"/>
                <w:szCs w:val="18"/>
              </w:rPr>
              <w:t>▲</w:t>
            </w:r>
            <w:r>
              <w:rPr>
                <w:rFonts w:hint="eastAsia"/>
                <w:sz w:val="18"/>
                <w:szCs w:val="18"/>
              </w:rPr>
              <w:t>未按规定参与设备（含设备附着）验收；设备检测不合格，或设备未经验收合格已使用，监理未正确处置</w:t>
            </w:r>
            <w:r>
              <w:rPr>
                <w:sz w:val="18"/>
                <w:szCs w:val="18"/>
              </w:rPr>
              <w:t xml:space="preserve">                                </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 xml:space="preserve"> </w:t>
            </w: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8671"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设备验收合格后未按规定到相关主管部门登记，监理未正确处置</w:t>
            </w:r>
            <w:r>
              <w:rPr>
                <w:sz w:val="18"/>
                <w:szCs w:val="18"/>
              </w:rPr>
              <w:t xml:space="preserve">                   </w:t>
            </w:r>
            <w:r>
              <w:rPr>
                <w:rFonts w:hint="eastAsia"/>
                <w:sz w:val="18"/>
                <w:szCs w:val="18"/>
              </w:rPr>
              <w:t>扣</w:t>
            </w:r>
            <w:r>
              <w:rPr>
                <w:sz w:val="18"/>
                <w:szCs w:val="18"/>
              </w:rPr>
              <w:t>1</w:t>
            </w:r>
            <w:r>
              <w:rPr>
                <w:rFonts w:hint="eastAsia"/>
                <w:sz w:val="18"/>
                <w:szCs w:val="18"/>
              </w:rPr>
              <w:t>分</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 xml:space="preserve"> </w:t>
            </w: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8671" w:type="dxa"/>
            <w:tcBorders>
              <w:top w:val="single" w:color="auto" w:sz="4" w:space="0"/>
              <w:left w:val="single" w:color="auto" w:sz="4" w:space="0"/>
              <w:bottom w:val="single" w:color="auto" w:sz="4" w:space="0"/>
              <w:right w:val="single" w:color="auto" w:sz="4" w:space="0"/>
            </w:tcBorders>
            <w:noWrap w:val="0"/>
            <w:vAlign w:val="center"/>
          </w:tcPr>
          <w:p>
            <w:pPr>
              <w:ind w:left="-61" w:leftChars="-29"/>
              <w:rPr>
                <w:sz w:val="18"/>
                <w:szCs w:val="18"/>
              </w:rPr>
            </w:pPr>
            <w:r>
              <w:rPr>
                <w:rFonts w:hint="eastAsia"/>
                <w:sz w:val="18"/>
                <w:szCs w:val="18"/>
              </w:rPr>
              <w:t>未审核设备特种作业人员操作证书；操作证书过期，监理未正确处置</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 xml:space="preserve"> </w:t>
            </w: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8671"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未审核设备操作和维护保养制度</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 xml:space="preserve"> </w:t>
            </w: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sz w:val="18"/>
                <w:szCs w:val="18"/>
              </w:rPr>
              <w:t>B.2.3</w:t>
            </w:r>
            <w:r>
              <w:rPr>
                <w:rFonts w:hint="eastAsia"/>
                <w:sz w:val="18"/>
                <w:szCs w:val="18"/>
              </w:rPr>
              <w:t>使用监管</w:t>
            </w:r>
          </w:p>
        </w:tc>
        <w:tc>
          <w:tcPr>
            <w:tcW w:w="8671"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未检查设备使用情况；设备超出检测周期未检测继续使用，监理未正确处置</w:t>
            </w:r>
            <w:r>
              <w:rPr>
                <w:sz w:val="18"/>
                <w:szCs w:val="18"/>
              </w:rPr>
              <w:t xml:space="preserve">         </w:t>
            </w:r>
            <w:r>
              <w:rPr>
                <w:rFonts w:hint="eastAsia"/>
                <w:sz w:val="18"/>
                <w:szCs w:val="18"/>
              </w:rPr>
              <w:t>扣</w:t>
            </w:r>
            <w:r>
              <w:rPr>
                <w:sz w:val="18"/>
                <w:szCs w:val="18"/>
              </w:rPr>
              <w:t>3</w:t>
            </w:r>
            <w:r>
              <w:rPr>
                <w:rFonts w:hint="eastAsia"/>
                <w:sz w:val="18"/>
                <w:szCs w:val="18"/>
              </w:rPr>
              <w:t>分</w:t>
            </w:r>
            <w:r>
              <w:rPr>
                <w:sz w:val="18"/>
                <w:szCs w:val="18"/>
              </w:rPr>
              <w:t xml:space="preserve">                                                  </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3"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p>
            <w:pPr>
              <w:jc w:val="center"/>
              <w:rPr>
                <w:sz w:val="18"/>
                <w:szCs w:val="18"/>
              </w:rPr>
            </w:pPr>
          </w:p>
          <w:p>
            <w:pPr>
              <w:jc w:val="center"/>
              <w:rPr>
                <w:sz w:val="18"/>
                <w:szCs w:val="18"/>
              </w:rPr>
            </w:pPr>
          </w:p>
          <w:p>
            <w:pPr>
              <w:jc w:val="center"/>
              <w:rPr>
                <w:sz w:val="18"/>
                <w:szCs w:val="18"/>
              </w:rPr>
            </w:pPr>
          </w:p>
          <w:p>
            <w:pPr>
              <w:jc w:val="center"/>
              <w:rPr>
                <w:sz w:val="18"/>
                <w:szCs w:val="18"/>
              </w:rPr>
            </w:pPr>
            <w:r>
              <w:rPr>
                <w:sz w:val="18"/>
                <w:szCs w:val="18"/>
              </w:rPr>
              <w:t>3</w:t>
            </w:r>
          </w:p>
        </w:tc>
        <w:tc>
          <w:tcPr>
            <w:tcW w:w="900"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p>
            <w:pPr>
              <w:jc w:val="center"/>
              <w:rPr>
                <w:sz w:val="18"/>
                <w:szCs w:val="18"/>
              </w:rPr>
            </w:pPr>
          </w:p>
          <w:p>
            <w:pPr>
              <w:jc w:val="center"/>
              <w:rPr>
                <w:sz w:val="18"/>
                <w:szCs w:val="18"/>
              </w:rPr>
            </w:pPr>
          </w:p>
          <w:p>
            <w:pPr>
              <w:jc w:val="center"/>
              <w:rPr>
                <w:sz w:val="18"/>
                <w:szCs w:val="18"/>
              </w:rPr>
            </w:pPr>
            <w:r>
              <w:rPr>
                <w:rFonts w:hint="eastAsia"/>
                <w:sz w:val="18"/>
                <w:szCs w:val="18"/>
              </w:rPr>
              <w:t>工程材料、构配件、设备</w:t>
            </w:r>
          </w:p>
          <w:p>
            <w:pPr>
              <w:jc w:val="center"/>
              <w:rPr>
                <w:sz w:val="18"/>
                <w:szCs w:val="18"/>
              </w:rPr>
            </w:pPr>
          </w:p>
        </w:tc>
        <w:tc>
          <w:tcPr>
            <w:tcW w:w="2185" w:type="dxa"/>
            <w:vMerge w:val="restart"/>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sz w:val="18"/>
                <w:szCs w:val="18"/>
              </w:rPr>
              <w:t xml:space="preserve">B.3.1 </w:t>
            </w:r>
            <w:r>
              <w:rPr>
                <w:rFonts w:hint="eastAsia"/>
                <w:sz w:val="18"/>
                <w:szCs w:val="18"/>
              </w:rPr>
              <w:t>质量证明文件审核</w:t>
            </w:r>
          </w:p>
        </w:tc>
        <w:tc>
          <w:tcPr>
            <w:tcW w:w="8671"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eastAsia="仿宋_GB2312"/>
                <w:sz w:val="18"/>
                <w:szCs w:val="18"/>
              </w:rPr>
              <w:t>▲</w:t>
            </w:r>
            <w:r>
              <w:rPr>
                <w:rFonts w:hint="eastAsia" w:cs="宋体"/>
                <w:bCs/>
                <w:sz w:val="18"/>
                <w:szCs w:val="18"/>
              </w:rPr>
              <w:t>将不合格的材料、构配件、设备按照合格签字</w:t>
            </w:r>
            <w:r>
              <w:rPr>
                <w:rFonts w:cs="宋体"/>
                <w:bCs/>
                <w:sz w:val="18"/>
                <w:szCs w:val="18"/>
              </w:rPr>
              <w:t xml:space="preserve"> </w:t>
            </w:r>
          </w:p>
        </w:tc>
        <w:tc>
          <w:tcPr>
            <w:tcW w:w="748"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p>
            <w:pPr>
              <w:jc w:val="center"/>
              <w:rPr>
                <w:sz w:val="18"/>
                <w:szCs w:val="18"/>
              </w:rPr>
            </w:pPr>
          </w:p>
          <w:p>
            <w:pPr>
              <w:jc w:val="center"/>
              <w:rPr>
                <w:sz w:val="18"/>
                <w:szCs w:val="18"/>
              </w:rPr>
            </w:pPr>
          </w:p>
          <w:p>
            <w:pPr>
              <w:jc w:val="center"/>
              <w:rPr>
                <w:sz w:val="18"/>
                <w:szCs w:val="18"/>
              </w:rPr>
            </w:pPr>
          </w:p>
          <w:p>
            <w:pPr>
              <w:jc w:val="center"/>
              <w:rPr>
                <w:sz w:val="18"/>
                <w:szCs w:val="18"/>
              </w:rPr>
            </w:pPr>
            <w:r>
              <w:rPr>
                <w:sz w:val="18"/>
                <w:szCs w:val="18"/>
              </w:rPr>
              <w:t>20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69"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8671" w:type="dxa"/>
            <w:tcBorders>
              <w:top w:val="single" w:color="auto" w:sz="4" w:space="0"/>
              <w:left w:val="single" w:color="auto" w:sz="4" w:space="0"/>
              <w:bottom w:val="single" w:color="auto" w:sz="4" w:space="0"/>
              <w:right w:val="single" w:color="auto" w:sz="4" w:space="0"/>
            </w:tcBorders>
            <w:noWrap w:val="0"/>
            <w:vAlign w:val="center"/>
          </w:tcPr>
          <w:p>
            <w:pPr>
              <w:rPr>
                <w:rFonts w:eastAsia="黑体"/>
                <w:b/>
                <w:sz w:val="18"/>
                <w:szCs w:val="18"/>
              </w:rPr>
            </w:pPr>
            <w:r>
              <w:rPr>
                <w:rFonts w:hint="eastAsia"/>
                <w:sz w:val="18"/>
                <w:szCs w:val="18"/>
              </w:rPr>
              <w:t>未对进场材料等质量证明文件进行审核；质量证明文件不完整，监理未正确处置</w:t>
            </w:r>
            <w:r>
              <w:rPr>
                <w:sz w:val="18"/>
                <w:szCs w:val="18"/>
              </w:rPr>
              <w:t xml:space="preserve">  </w:t>
            </w:r>
            <w:r>
              <w:rPr>
                <w:rFonts w:hint="eastAsia"/>
                <w:sz w:val="18"/>
                <w:szCs w:val="18"/>
              </w:rPr>
              <w:t>扣</w:t>
            </w:r>
            <w:r>
              <w:rPr>
                <w:sz w:val="18"/>
                <w:szCs w:val="18"/>
              </w:rPr>
              <w:t>1</w:t>
            </w:r>
            <w:r>
              <w:rPr>
                <w:rFonts w:hint="eastAsia" w:cs="宋体"/>
                <w:sz w:val="18"/>
                <w:szCs w:val="18"/>
              </w:rPr>
              <w:t>～</w:t>
            </w:r>
            <w:r>
              <w:rPr>
                <w:rFonts w:cs="宋体"/>
                <w:sz w:val="18"/>
                <w:szCs w:val="18"/>
              </w:rPr>
              <w:t>6</w:t>
            </w:r>
            <w:r>
              <w:rPr>
                <w:rFonts w:hint="eastAsia"/>
                <w:sz w:val="18"/>
                <w:szCs w:val="18"/>
              </w:rPr>
              <w:t>分</w:t>
            </w:r>
            <w:r>
              <w:rPr>
                <w:rFonts w:cs="宋体"/>
                <w:bCs/>
                <w:sz w:val="18"/>
                <w:szCs w:val="18"/>
              </w:rPr>
              <w:t xml:space="preserve">              </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8671" w:type="dxa"/>
            <w:tcBorders>
              <w:top w:val="single" w:color="auto" w:sz="4" w:space="0"/>
              <w:left w:val="single" w:color="auto" w:sz="4" w:space="0"/>
              <w:bottom w:val="single" w:color="auto" w:sz="4" w:space="0"/>
              <w:right w:val="single" w:color="auto" w:sz="4" w:space="0"/>
            </w:tcBorders>
            <w:noWrap w:val="0"/>
            <w:vAlign w:val="center"/>
          </w:tcPr>
          <w:p>
            <w:pPr>
              <w:rPr>
                <w:rFonts w:eastAsia="黑体"/>
                <w:b/>
                <w:sz w:val="18"/>
                <w:szCs w:val="18"/>
              </w:rPr>
            </w:pPr>
            <w:r>
              <w:rPr>
                <w:rFonts w:hint="eastAsia"/>
                <w:sz w:val="18"/>
                <w:szCs w:val="18"/>
              </w:rPr>
              <w:t>未审查工程采用的“新材料、新工艺、新技术、新设备”的论证材料及相关验收标准</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vMerge w:val="restart"/>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sz w:val="18"/>
                <w:szCs w:val="18"/>
              </w:rPr>
              <w:t>B.3.2</w:t>
            </w:r>
            <w:r>
              <w:rPr>
                <w:rFonts w:hint="eastAsia"/>
                <w:sz w:val="18"/>
                <w:szCs w:val="18"/>
              </w:rPr>
              <w:t>平行检验、见证取样</w:t>
            </w:r>
          </w:p>
        </w:tc>
        <w:tc>
          <w:tcPr>
            <w:tcW w:w="8671"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未按规定平行检验或见证取样</w:t>
            </w:r>
            <w:r>
              <w:rPr>
                <w:sz w:val="18"/>
                <w:szCs w:val="18"/>
              </w:rPr>
              <w:t xml:space="preserve">                                                </w:t>
            </w:r>
            <w:r>
              <w:rPr>
                <w:rFonts w:hint="eastAsia"/>
                <w:sz w:val="18"/>
                <w:szCs w:val="18"/>
              </w:rPr>
              <w:t>扣</w:t>
            </w:r>
            <w:r>
              <w:rPr>
                <w:sz w:val="18"/>
                <w:szCs w:val="18"/>
              </w:rPr>
              <w:t>3</w:t>
            </w:r>
            <w:r>
              <w:rPr>
                <w:rFonts w:hint="eastAsia"/>
                <w:sz w:val="18"/>
                <w:szCs w:val="18"/>
              </w:rPr>
              <w:t>分</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8671"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未及时平行检验或见证取样；未按设计、标准要求委托检测，监理未正确处置</w:t>
            </w:r>
            <w:r>
              <w:rPr>
                <w:sz w:val="18"/>
                <w:szCs w:val="18"/>
              </w:rPr>
              <w:t xml:space="preserve">      </w:t>
            </w:r>
            <w:r>
              <w:rPr>
                <w:rFonts w:hint="eastAsia"/>
                <w:sz w:val="18"/>
                <w:szCs w:val="18"/>
              </w:rPr>
              <w:t>扣</w:t>
            </w:r>
            <w:r>
              <w:rPr>
                <w:sz w:val="18"/>
                <w:szCs w:val="18"/>
              </w:rPr>
              <w:t>3</w:t>
            </w:r>
            <w:r>
              <w:rPr>
                <w:rFonts w:hint="eastAsia"/>
                <w:sz w:val="18"/>
                <w:szCs w:val="18"/>
              </w:rPr>
              <w:t>分</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sz w:val="18"/>
                <w:szCs w:val="18"/>
              </w:rPr>
              <w:t>B.3.3</w:t>
            </w:r>
            <w:r>
              <w:rPr>
                <w:rFonts w:hint="eastAsia"/>
                <w:sz w:val="18"/>
                <w:szCs w:val="18"/>
              </w:rPr>
              <w:t>台账管理</w:t>
            </w:r>
          </w:p>
        </w:tc>
        <w:tc>
          <w:tcPr>
            <w:tcW w:w="8671"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未按规定建立平行检验或见证取样台账；台账与相关资料不相符</w:t>
            </w:r>
            <w:r>
              <w:rPr>
                <w:sz w:val="18"/>
                <w:szCs w:val="18"/>
              </w:rPr>
              <w:t xml:space="preserve">               </w:t>
            </w:r>
            <w:r>
              <w:rPr>
                <w:rFonts w:hint="eastAsia"/>
                <w:sz w:val="18"/>
                <w:szCs w:val="18"/>
              </w:rPr>
              <w:t>扣</w:t>
            </w:r>
            <w:r>
              <w:rPr>
                <w:sz w:val="18"/>
                <w:szCs w:val="18"/>
              </w:rPr>
              <w:t>1</w:t>
            </w:r>
            <w:r>
              <w:rPr>
                <w:rFonts w:hint="eastAsia" w:cs="宋体"/>
                <w:sz w:val="18"/>
                <w:szCs w:val="18"/>
              </w:rPr>
              <w:t>～</w:t>
            </w:r>
            <w:r>
              <w:rPr>
                <w:sz w:val="18"/>
                <w:szCs w:val="18"/>
              </w:rPr>
              <w:t>3</w:t>
            </w:r>
            <w:r>
              <w:rPr>
                <w:rFonts w:hint="eastAsia"/>
                <w:sz w:val="18"/>
                <w:szCs w:val="18"/>
              </w:rPr>
              <w:t>分</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sz w:val="18"/>
                <w:szCs w:val="18"/>
              </w:rPr>
              <w:t xml:space="preserve">B.3.4 </w:t>
            </w:r>
            <w:r>
              <w:rPr>
                <w:rFonts w:hint="eastAsia"/>
                <w:sz w:val="18"/>
                <w:szCs w:val="18"/>
              </w:rPr>
              <w:t>报验管理</w:t>
            </w:r>
          </w:p>
        </w:tc>
        <w:tc>
          <w:tcPr>
            <w:tcW w:w="8671" w:type="dxa"/>
            <w:tcBorders>
              <w:top w:val="single" w:color="auto" w:sz="4" w:space="0"/>
              <w:left w:val="single" w:color="auto" w:sz="4" w:space="0"/>
              <w:bottom w:val="single" w:color="auto" w:sz="4" w:space="0"/>
              <w:right w:val="single" w:color="auto" w:sz="4" w:space="0"/>
            </w:tcBorders>
            <w:noWrap w:val="0"/>
            <w:vAlign w:val="center"/>
          </w:tcPr>
          <w:p>
            <w:pPr>
              <w:ind w:left="6660" w:hanging="6660" w:hangingChars="3700"/>
              <w:jc w:val="left"/>
              <w:rPr>
                <w:sz w:val="18"/>
                <w:szCs w:val="18"/>
              </w:rPr>
            </w:pPr>
            <w:r>
              <w:rPr>
                <w:rFonts w:hint="eastAsia"/>
                <w:sz w:val="18"/>
                <w:szCs w:val="18"/>
              </w:rPr>
              <w:t>材料等报验（品种、批次、数量等）不符合要求，或未经验收合格已使用，监理未正确处置</w:t>
            </w:r>
            <w:r>
              <w:rPr>
                <w:sz w:val="18"/>
                <w:szCs w:val="18"/>
              </w:rPr>
              <w:t xml:space="preserve">                                                            </w:t>
            </w:r>
            <w:r>
              <w:rPr>
                <w:rFonts w:hint="eastAsia"/>
                <w:sz w:val="18"/>
                <w:szCs w:val="18"/>
              </w:rPr>
              <w:t>扣</w:t>
            </w:r>
            <w:r>
              <w:rPr>
                <w:sz w:val="18"/>
                <w:szCs w:val="18"/>
              </w:rPr>
              <w:t>3</w:t>
            </w:r>
            <w:r>
              <w:rPr>
                <w:rFonts w:hint="eastAsia"/>
                <w:sz w:val="18"/>
                <w:szCs w:val="18"/>
              </w:rPr>
              <w:t>分</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3"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4</w:t>
            </w:r>
          </w:p>
          <w:p>
            <w:pPr>
              <w:jc w:val="center"/>
              <w:rPr>
                <w:sz w:val="18"/>
                <w:szCs w:val="18"/>
              </w:rPr>
            </w:pPr>
            <w:r>
              <w:rPr>
                <w:sz w:val="18"/>
                <w:szCs w:val="18"/>
              </w:rPr>
              <w:t xml:space="preserve"> </w:t>
            </w:r>
          </w:p>
        </w:tc>
        <w:tc>
          <w:tcPr>
            <w:tcW w:w="900"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rFonts w:hint="eastAsia"/>
                <w:sz w:val="18"/>
                <w:szCs w:val="18"/>
              </w:rPr>
              <w:t>施工过程监控情况</w:t>
            </w:r>
          </w:p>
        </w:tc>
        <w:tc>
          <w:tcPr>
            <w:tcW w:w="2185"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sz w:val="18"/>
                <w:szCs w:val="18"/>
              </w:rPr>
              <w:t>B.4.1</w:t>
            </w:r>
            <w:r>
              <w:rPr>
                <w:rFonts w:hint="eastAsia"/>
                <w:sz w:val="18"/>
                <w:szCs w:val="18"/>
              </w:rPr>
              <w:t>巡视</w:t>
            </w:r>
          </w:p>
        </w:tc>
        <w:tc>
          <w:tcPr>
            <w:tcW w:w="8671"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未按规定进行巡视检查</w:t>
            </w:r>
            <w:r>
              <w:rPr>
                <w:sz w:val="18"/>
                <w:szCs w:val="18"/>
              </w:rPr>
              <w:t xml:space="preserve">                                                      </w:t>
            </w:r>
            <w:r>
              <w:rPr>
                <w:rFonts w:hint="eastAsia"/>
                <w:sz w:val="18"/>
                <w:szCs w:val="18"/>
              </w:rPr>
              <w:t>扣</w:t>
            </w:r>
            <w:r>
              <w:rPr>
                <w:sz w:val="18"/>
                <w:szCs w:val="18"/>
              </w:rPr>
              <w:t>2</w:t>
            </w:r>
            <w:r>
              <w:rPr>
                <w:rFonts w:hint="eastAsia"/>
                <w:sz w:val="18"/>
                <w:szCs w:val="18"/>
              </w:rPr>
              <w:t>分</w:t>
            </w:r>
            <w:r>
              <w:rPr>
                <w:sz w:val="18"/>
                <w:szCs w:val="18"/>
              </w:rPr>
              <w:t xml:space="preserve">  </w:t>
            </w:r>
          </w:p>
        </w:tc>
        <w:tc>
          <w:tcPr>
            <w:tcW w:w="748"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25</w:t>
            </w: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69"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vMerge w:val="restart"/>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sz w:val="18"/>
                <w:szCs w:val="18"/>
              </w:rPr>
              <w:t>B.4.2</w:t>
            </w:r>
            <w:r>
              <w:rPr>
                <w:rFonts w:hint="eastAsia"/>
                <w:sz w:val="18"/>
                <w:szCs w:val="18"/>
              </w:rPr>
              <w:t>旁站</w:t>
            </w:r>
          </w:p>
        </w:tc>
        <w:tc>
          <w:tcPr>
            <w:tcW w:w="8671" w:type="dxa"/>
            <w:tcBorders>
              <w:top w:val="single" w:color="auto" w:sz="4" w:space="0"/>
              <w:left w:val="single" w:color="auto" w:sz="4" w:space="0"/>
              <w:bottom w:val="single" w:color="auto" w:sz="4" w:space="0"/>
              <w:right w:val="single" w:color="auto" w:sz="4" w:space="0"/>
            </w:tcBorders>
            <w:noWrap w:val="0"/>
            <w:vAlign w:val="center"/>
          </w:tcPr>
          <w:p>
            <w:pPr>
              <w:rPr>
                <w:rFonts w:cs="宋体"/>
                <w:b/>
                <w:bCs/>
                <w:sz w:val="18"/>
                <w:szCs w:val="18"/>
              </w:rPr>
            </w:pPr>
            <w:r>
              <w:rPr>
                <w:rFonts w:hint="eastAsia"/>
                <w:sz w:val="18"/>
                <w:szCs w:val="18"/>
              </w:rPr>
              <w:t>未按规定进行旁站</w:t>
            </w:r>
            <w:r>
              <w:rPr>
                <w:sz w:val="18"/>
                <w:szCs w:val="18"/>
              </w:rPr>
              <w:t xml:space="preserve">                                                          </w:t>
            </w:r>
            <w:r>
              <w:rPr>
                <w:rFonts w:hint="eastAsia"/>
                <w:sz w:val="18"/>
                <w:szCs w:val="18"/>
              </w:rPr>
              <w:t>扣</w:t>
            </w:r>
            <w:r>
              <w:rPr>
                <w:sz w:val="18"/>
                <w:szCs w:val="18"/>
              </w:rPr>
              <w:t>3</w:t>
            </w:r>
            <w:r>
              <w:rPr>
                <w:rFonts w:hint="eastAsia"/>
                <w:sz w:val="18"/>
                <w:szCs w:val="18"/>
              </w:rPr>
              <w:t>分</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8671"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旁站记录不及时，内容不真实、不完整、不具体，整改情况不闭合</w:t>
            </w:r>
            <w:r>
              <w:rPr>
                <w:sz w:val="18"/>
                <w:szCs w:val="18"/>
              </w:rPr>
              <w:t xml:space="preserve">             </w:t>
            </w:r>
            <w:r>
              <w:rPr>
                <w:rFonts w:hint="eastAsia"/>
                <w:sz w:val="18"/>
                <w:szCs w:val="18"/>
              </w:rPr>
              <w:t>扣</w:t>
            </w:r>
            <w:r>
              <w:rPr>
                <w:sz w:val="18"/>
                <w:szCs w:val="18"/>
              </w:rPr>
              <w:t>1</w:t>
            </w:r>
            <w:r>
              <w:rPr>
                <w:rFonts w:hint="eastAsia" w:cs="宋体"/>
                <w:sz w:val="18"/>
                <w:szCs w:val="18"/>
              </w:rPr>
              <w:t>～</w:t>
            </w:r>
            <w:r>
              <w:rPr>
                <w:sz w:val="18"/>
                <w:szCs w:val="18"/>
              </w:rPr>
              <w:t>3</w:t>
            </w:r>
            <w:r>
              <w:rPr>
                <w:rFonts w:hint="eastAsia"/>
                <w:sz w:val="18"/>
                <w:szCs w:val="18"/>
              </w:rPr>
              <w:t>分</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vMerge w:val="restart"/>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sz w:val="18"/>
                <w:szCs w:val="18"/>
              </w:rPr>
              <w:t>B.4.3</w:t>
            </w:r>
            <w:r>
              <w:rPr>
                <w:rFonts w:hint="eastAsia"/>
                <w:sz w:val="18"/>
                <w:szCs w:val="18"/>
              </w:rPr>
              <w:t>施工过程检查及</w:t>
            </w:r>
          </w:p>
          <w:p>
            <w:pPr>
              <w:rPr>
                <w:sz w:val="18"/>
                <w:szCs w:val="18"/>
              </w:rPr>
            </w:pPr>
            <w:r>
              <w:rPr>
                <w:rFonts w:hint="eastAsia"/>
                <w:sz w:val="18"/>
                <w:szCs w:val="18"/>
              </w:rPr>
              <w:t>隐患处理</w:t>
            </w:r>
          </w:p>
        </w:tc>
        <w:tc>
          <w:tcPr>
            <w:tcW w:w="8671"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施工单位未按批准的施工组织设计或（专项）施工方案及强制性标准施工，或现场材料不合格，或施工主要管理人员不到岗，或特种作业人员无证上岗，监理未正确处置</w:t>
            </w:r>
            <w:r>
              <w:rPr>
                <w:sz w:val="18"/>
                <w:szCs w:val="18"/>
              </w:rPr>
              <w:t xml:space="preserve">   </w:t>
            </w:r>
            <w:r>
              <w:rPr>
                <w:rFonts w:hint="eastAsia"/>
                <w:sz w:val="18"/>
                <w:szCs w:val="18"/>
              </w:rPr>
              <w:t>扣</w:t>
            </w:r>
            <w:r>
              <w:rPr>
                <w:sz w:val="18"/>
                <w:szCs w:val="18"/>
              </w:rPr>
              <w:t>1</w:t>
            </w:r>
            <w:r>
              <w:rPr>
                <w:rFonts w:hint="eastAsia" w:cs="宋体"/>
                <w:sz w:val="18"/>
                <w:szCs w:val="18"/>
              </w:rPr>
              <w:t>～</w:t>
            </w:r>
            <w:r>
              <w:rPr>
                <w:sz w:val="18"/>
                <w:szCs w:val="18"/>
              </w:rPr>
              <w:t>8</w:t>
            </w:r>
            <w:r>
              <w:rPr>
                <w:rFonts w:hint="eastAsia"/>
                <w:sz w:val="18"/>
                <w:szCs w:val="18"/>
              </w:rPr>
              <w:t>分</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8671" w:type="dxa"/>
            <w:tcBorders>
              <w:top w:val="single" w:color="auto" w:sz="4" w:space="0"/>
              <w:left w:val="single" w:color="auto" w:sz="4" w:space="0"/>
              <w:bottom w:val="single" w:color="auto" w:sz="4" w:space="0"/>
              <w:right w:val="single" w:color="auto" w:sz="4" w:space="0"/>
            </w:tcBorders>
            <w:noWrap w:val="0"/>
            <w:vAlign w:val="center"/>
          </w:tcPr>
          <w:p>
            <w:pPr>
              <w:ind w:left="6480" w:hanging="6480" w:hangingChars="3600"/>
              <w:rPr>
                <w:sz w:val="18"/>
                <w:szCs w:val="18"/>
              </w:rPr>
            </w:pPr>
            <w:r>
              <w:rPr>
                <w:rFonts w:hint="eastAsia"/>
                <w:sz w:val="18"/>
                <w:szCs w:val="18"/>
              </w:rPr>
              <w:t>工程质量存在严重缺陷，或施工安全存在事故隐患，监理未及时要求施工单位整改；情况严</w:t>
            </w:r>
          </w:p>
          <w:p>
            <w:pPr>
              <w:ind w:left="6480" w:hanging="6480" w:hangingChars="3600"/>
              <w:rPr>
                <w:sz w:val="18"/>
                <w:szCs w:val="18"/>
              </w:rPr>
            </w:pPr>
            <w:r>
              <w:rPr>
                <w:rFonts w:hint="eastAsia"/>
                <w:sz w:val="18"/>
                <w:szCs w:val="18"/>
              </w:rPr>
              <w:t>重，监理未要求施工单位暂停施工</w:t>
            </w:r>
            <w:r>
              <w:rPr>
                <w:sz w:val="18"/>
                <w:szCs w:val="18"/>
              </w:rPr>
              <w:t xml:space="preserve">                                            </w:t>
            </w:r>
            <w:r>
              <w:rPr>
                <w:rFonts w:hint="eastAsia"/>
                <w:sz w:val="18"/>
                <w:szCs w:val="18"/>
              </w:rPr>
              <w:t>扣</w:t>
            </w:r>
            <w:r>
              <w:rPr>
                <w:sz w:val="18"/>
                <w:szCs w:val="18"/>
              </w:rPr>
              <w:t>6</w:t>
            </w:r>
            <w:r>
              <w:rPr>
                <w:rFonts w:hint="eastAsia"/>
                <w:sz w:val="18"/>
                <w:szCs w:val="18"/>
              </w:rPr>
              <w:t>分</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8671"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隐患处理结束，监理未复查</w:t>
            </w:r>
            <w:r>
              <w:rPr>
                <w:sz w:val="18"/>
                <w:szCs w:val="18"/>
              </w:rPr>
              <w:t xml:space="preserve">                                                  </w:t>
            </w:r>
            <w:r>
              <w:rPr>
                <w:rFonts w:hint="eastAsia"/>
                <w:sz w:val="18"/>
                <w:szCs w:val="18"/>
              </w:rPr>
              <w:t>扣</w:t>
            </w:r>
            <w:r>
              <w:rPr>
                <w:sz w:val="18"/>
                <w:szCs w:val="18"/>
              </w:rPr>
              <w:t>3</w:t>
            </w:r>
            <w:r>
              <w:rPr>
                <w:rFonts w:hint="eastAsia"/>
                <w:sz w:val="18"/>
                <w:szCs w:val="18"/>
              </w:rPr>
              <w:t>分</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8671"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eastAsia="仿宋_GB2312"/>
                <w:sz w:val="18"/>
                <w:szCs w:val="18"/>
              </w:rPr>
              <w:t>▲</w:t>
            </w:r>
            <w:r>
              <w:rPr>
                <w:rFonts w:hint="eastAsia"/>
                <w:sz w:val="18"/>
                <w:szCs w:val="18"/>
              </w:rPr>
              <w:t>施工单位拒不整改或不停止施工，监理未及时向建设单位或当地建设行政主管部门报告</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3"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5</w:t>
            </w:r>
          </w:p>
        </w:tc>
        <w:tc>
          <w:tcPr>
            <w:tcW w:w="900"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rFonts w:hint="eastAsia"/>
                <w:sz w:val="18"/>
                <w:szCs w:val="18"/>
              </w:rPr>
              <w:t>工地</w:t>
            </w:r>
          </w:p>
          <w:p>
            <w:pPr>
              <w:jc w:val="center"/>
              <w:rPr>
                <w:sz w:val="18"/>
                <w:szCs w:val="18"/>
              </w:rPr>
            </w:pPr>
            <w:r>
              <w:rPr>
                <w:rFonts w:hint="eastAsia"/>
                <w:sz w:val="18"/>
                <w:szCs w:val="18"/>
              </w:rPr>
              <w:t>会议</w:t>
            </w:r>
          </w:p>
        </w:tc>
        <w:tc>
          <w:tcPr>
            <w:tcW w:w="2185" w:type="dxa"/>
            <w:vMerge w:val="restart"/>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sz w:val="18"/>
                <w:szCs w:val="18"/>
              </w:rPr>
              <w:t>B.5.1</w:t>
            </w:r>
            <w:r>
              <w:rPr>
                <w:rFonts w:hint="eastAsia"/>
                <w:sz w:val="18"/>
                <w:szCs w:val="18"/>
              </w:rPr>
              <w:t>监理例会（专题会议）</w:t>
            </w:r>
          </w:p>
        </w:tc>
        <w:tc>
          <w:tcPr>
            <w:tcW w:w="8671" w:type="dxa"/>
            <w:tcBorders>
              <w:top w:val="single" w:color="auto" w:sz="4" w:space="0"/>
              <w:left w:val="single" w:color="auto" w:sz="4" w:space="0"/>
              <w:bottom w:val="single" w:color="auto" w:sz="4" w:space="0"/>
              <w:right w:val="single" w:color="auto" w:sz="4" w:space="0"/>
            </w:tcBorders>
            <w:noWrap w:val="0"/>
            <w:vAlign w:val="top"/>
          </w:tcPr>
          <w:p>
            <w:pPr>
              <w:rPr>
                <w:sz w:val="18"/>
                <w:szCs w:val="18"/>
              </w:rPr>
            </w:pPr>
            <w:r>
              <w:rPr>
                <w:rFonts w:hint="eastAsia"/>
                <w:sz w:val="18"/>
                <w:szCs w:val="18"/>
              </w:rPr>
              <w:t>未定期组织召开监理例会；总监较少主持监理例会</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48"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10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8671" w:type="dxa"/>
            <w:tcBorders>
              <w:top w:val="single" w:color="auto" w:sz="4" w:space="0"/>
              <w:left w:val="single" w:color="auto" w:sz="4" w:space="0"/>
              <w:bottom w:val="single" w:color="auto" w:sz="4" w:space="0"/>
              <w:right w:val="single" w:color="auto" w:sz="4" w:space="0"/>
            </w:tcBorders>
            <w:noWrap w:val="0"/>
            <w:vAlign w:val="top"/>
          </w:tcPr>
          <w:p>
            <w:pPr>
              <w:rPr>
                <w:sz w:val="18"/>
                <w:szCs w:val="18"/>
              </w:rPr>
            </w:pPr>
            <w:r>
              <w:rPr>
                <w:rFonts w:hint="eastAsia"/>
                <w:sz w:val="18"/>
                <w:szCs w:val="18"/>
              </w:rPr>
              <w:t>未按需要组织召开或参加专题会议</w:t>
            </w:r>
            <w:r>
              <w:rPr>
                <w:sz w:val="18"/>
                <w:szCs w:val="18"/>
              </w:rPr>
              <w:t xml:space="preserve">                                            </w:t>
            </w:r>
            <w:r>
              <w:rPr>
                <w:rFonts w:hint="eastAsia"/>
                <w:sz w:val="18"/>
                <w:szCs w:val="18"/>
              </w:rPr>
              <w:t>扣</w:t>
            </w:r>
            <w:r>
              <w:rPr>
                <w:sz w:val="18"/>
                <w:szCs w:val="18"/>
              </w:rPr>
              <w:t>1</w:t>
            </w:r>
            <w:r>
              <w:rPr>
                <w:rFonts w:hint="eastAsia"/>
                <w:sz w:val="18"/>
                <w:szCs w:val="18"/>
              </w:rPr>
              <w:t>分</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8671" w:type="dxa"/>
            <w:tcBorders>
              <w:top w:val="single" w:color="auto" w:sz="4" w:space="0"/>
              <w:left w:val="single" w:color="auto" w:sz="4" w:space="0"/>
              <w:bottom w:val="single" w:color="auto" w:sz="4" w:space="0"/>
              <w:right w:val="single" w:color="auto" w:sz="4" w:space="0"/>
            </w:tcBorders>
            <w:noWrap w:val="0"/>
            <w:vAlign w:val="top"/>
          </w:tcPr>
          <w:p>
            <w:pPr>
              <w:rPr>
                <w:sz w:val="18"/>
                <w:szCs w:val="18"/>
              </w:rPr>
            </w:pPr>
            <w:r>
              <w:rPr>
                <w:rFonts w:hint="eastAsia"/>
                <w:sz w:val="18"/>
                <w:szCs w:val="18"/>
              </w:rPr>
              <w:t>会议纪要内容不符合监理规范要求、不完整或签发不及时；会议纪要未经各方会签</w:t>
            </w:r>
            <w:r>
              <w:rPr>
                <w:sz w:val="18"/>
                <w:szCs w:val="18"/>
              </w:rPr>
              <w:t xml:space="preserve">  </w:t>
            </w:r>
            <w:r>
              <w:rPr>
                <w:rFonts w:hint="eastAsia"/>
                <w:sz w:val="18"/>
                <w:szCs w:val="18"/>
              </w:rPr>
              <w:t>扣</w:t>
            </w:r>
            <w:r>
              <w:rPr>
                <w:sz w:val="18"/>
                <w:szCs w:val="18"/>
              </w:rPr>
              <w:t>1</w:t>
            </w:r>
            <w:r>
              <w:rPr>
                <w:rFonts w:hint="eastAsia" w:cs="宋体"/>
                <w:sz w:val="18"/>
                <w:szCs w:val="18"/>
              </w:rPr>
              <w:t>～</w:t>
            </w:r>
            <w:r>
              <w:rPr>
                <w:sz w:val="18"/>
                <w:szCs w:val="18"/>
              </w:rPr>
              <w:t>4</w:t>
            </w:r>
            <w:r>
              <w:rPr>
                <w:rFonts w:hint="eastAsia"/>
                <w:sz w:val="18"/>
                <w:szCs w:val="18"/>
              </w:rPr>
              <w:t>分</w:t>
            </w:r>
            <w:r>
              <w:rPr>
                <w:sz w:val="18"/>
                <w:szCs w:val="18"/>
              </w:rPr>
              <w:t xml:space="preserve">                                                                      </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8671" w:type="dxa"/>
            <w:tcBorders>
              <w:top w:val="single" w:color="auto" w:sz="4" w:space="0"/>
              <w:left w:val="single" w:color="auto" w:sz="4" w:space="0"/>
              <w:bottom w:val="single" w:color="auto" w:sz="4" w:space="0"/>
              <w:right w:val="single" w:color="auto" w:sz="4" w:space="0"/>
            </w:tcBorders>
            <w:noWrap w:val="0"/>
            <w:vAlign w:val="top"/>
          </w:tcPr>
          <w:p>
            <w:pPr>
              <w:rPr>
                <w:sz w:val="18"/>
                <w:szCs w:val="18"/>
              </w:rPr>
            </w:pPr>
            <w:r>
              <w:rPr>
                <w:rFonts w:hint="eastAsia"/>
                <w:sz w:val="18"/>
                <w:szCs w:val="18"/>
              </w:rPr>
              <w:t>会议议定事项未落实，处理问题不闭合，监理未正确处置</w:t>
            </w:r>
            <w:r>
              <w:rPr>
                <w:sz w:val="18"/>
                <w:szCs w:val="18"/>
              </w:rPr>
              <w:t xml:space="preserve">                      </w:t>
            </w:r>
            <w:r>
              <w:rPr>
                <w:rFonts w:hint="eastAsia"/>
                <w:sz w:val="18"/>
                <w:szCs w:val="18"/>
              </w:rPr>
              <w:t>扣</w:t>
            </w:r>
            <w:r>
              <w:rPr>
                <w:sz w:val="18"/>
                <w:szCs w:val="18"/>
              </w:rPr>
              <w:t>1</w:t>
            </w:r>
            <w:r>
              <w:rPr>
                <w:rFonts w:hint="eastAsia" w:cs="宋体"/>
                <w:sz w:val="18"/>
                <w:szCs w:val="18"/>
              </w:rPr>
              <w:t>～</w:t>
            </w:r>
            <w:r>
              <w:rPr>
                <w:sz w:val="18"/>
                <w:szCs w:val="18"/>
              </w:rPr>
              <w:t>3</w:t>
            </w:r>
            <w:r>
              <w:rPr>
                <w:rFonts w:hint="eastAsia"/>
                <w:sz w:val="18"/>
                <w:szCs w:val="18"/>
              </w:rPr>
              <w:t>分</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3"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6</w:t>
            </w:r>
          </w:p>
        </w:tc>
        <w:tc>
          <w:tcPr>
            <w:tcW w:w="900"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rFonts w:hint="eastAsia"/>
                <w:sz w:val="18"/>
                <w:szCs w:val="18"/>
              </w:rPr>
              <w:t>监理</w:t>
            </w:r>
          </w:p>
          <w:p>
            <w:pPr>
              <w:jc w:val="center"/>
              <w:rPr>
                <w:sz w:val="18"/>
                <w:szCs w:val="18"/>
              </w:rPr>
            </w:pPr>
            <w:r>
              <w:rPr>
                <w:rFonts w:hint="eastAsia"/>
                <w:sz w:val="18"/>
                <w:szCs w:val="18"/>
              </w:rPr>
              <w:t>日志</w:t>
            </w:r>
          </w:p>
        </w:tc>
        <w:tc>
          <w:tcPr>
            <w:tcW w:w="2185" w:type="dxa"/>
            <w:vMerge w:val="restart"/>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sz w:val="18"/>
                <w:szCs w:val="18"/>
              </w:rPr>
              <w:t>B.6.1</w:t>
            </w:r>
            <w:r>
              <w:rPr>
                <w:rFonts w:hint="eastAsia"/>
                <w:sz w:val="18"/>
                <w:szCs w:val="18"/>
              </w:rPr>
              <w:t>内容</w:t>
            </w:r>
          </w:p>
        </w:tc>
        <w:tc>
          <w:tcPr>
            <w:tcW w:w="8671"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内容不符合监理规范要求，重要的信息漏记</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48"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5</w:t>
            </w: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69"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8671"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不能如实反映监理工作情况；内容与其他监理资料不一致或不能闭合</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sz w:val="18"/>
                <w:szCs w:val="18"/>
              </w:rPr>
              <w:t>B.6.2</w:t>
            </w:r>
            <w:r>
              <w:rPr>
                <w:rFonts w:hint="eastAsia"/>
                <w:sz w:val="18"/>
                <w:szCs w:val="18"/>
              </w:rPr>
              <w:t>签字、时效</w:t>
            </w:r>
          </w:p>
        </w:tc>
        <w:tc>
          <w:tcPr>
            <w:tcW w:w="8671"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记录人、审核人不符合要求；记录、审核不及时</w:t>
            </w:r>
            <w:r>
              <w:rPr>
                <w:sz w:val="18"/>
                <w:szCs w:val="18"/>
              </w:rPr>
              <w:t xml:space="preserve">                                </w:t>
            </w:r>
            <w:r>
              <w:rPr>
                <w:rFonts w:hint="eastAsia"/>
                <w:sz w:val="18"/>
                <w:szCs w:val="18"/>
              </w:rPr>
              <w:t>扣</w:t>
            </w:r>
            <w:r>
              <w:rPr>
                <w:sz w:val="18"/>
                <w:szCs w:val="18"/>
              </w:rPr>
              <w:t>1</w:t>
            </w:r>
            <w:r>
              <w:rPr>
                <w:rFonts w:hint="eastAsia"/>
                <w:sz w:val="18"/>
                <w:szCs w:val="18"/>
              </w:rPr>
              <w:t>分</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3"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7</w:t>
            </w:r>
          </w:p>
        </w:tc>
        <w:tc>
          <w:tcPr>
            <w:tcW w:w="900"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rFonts w:hint="eastAsia"/>
                <w:sz w:val="18"/>
                <w:szCs w:val="18"/>
              </w:rPr>
              <w:t>监理</w:t>
            </w:r>
          </w:p>
          <w:p>
            <w:pPr>
              <w:jc w:val="center"/>
              <w:rPr>
                <w:sz w:val="18"/>
                <w:szCs w:val="18"/>
              </w:rPr>
            </w:pPr>
            <w:r>
              <w:rPr>
                <w:rFonts w:hint="eastAsia"/>
                <w:sz w:val="18"/>
                <w:szCs w:val="18"/>
              </w:rPr>
              <w:t>月报</w:t>
            </w:r>
          </w:p>
        </w:tc>
        <w:tc>
          <w:tcPr>
            <w:tcW w:w="2185"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sz w:val="18"/>
                <w:szCs w:val="18"/>
              </w:rPr>
              <w:t>B.7.1</w:t>
            </w:r>
            <w:r>
              <w:rPr>
                <w:rFonts w:hint="eastAsia"/>
                <w:sz w:val="18"/>
                <w:szCs w:val="18"/>
              </w:rPr>
              <w:t>内容</w:t>
            </w:r>
          </w:p>
        </w:tc>
        <w:tc>
          <w:tcPr>
            <w:tcW w:w="8671"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内容不符合监理合同、监理规范、江苏省建设工程监理现场用表要求</w:t>
            </w:r>
            <w:r>
              <w:rPr>
                <w:sz w:val="18"/>
                <w:szCs w:val="18"/>
              </w:rPr>
              <w:t xml:space="preserve">           </w:t>
            </w:r>
            <w:r>
              <w:rPr>
                <w:rFonts w:hint="eastAsia"/>
                <w:sz w:val="18"/>
                <w:szCs w:val="18"/>
              </w:rPr>
              <w:t>扣</w:t>
            </w:r>
            <w:r>
              <w:rPr>
                <w:sz w:val="18"/>
                <w:szCs w:val="18"/>
              </w:rPr>
              <w:t>1</w:t>
            </w:r>
            <w:r>
              <w:rPr>
                <w:rFonts w:hint="eastAsia" w:cs="宋体"/>
                <w:sz w:val="18"/>
                <w:szCs w:val="18"/>
              </w:rPr>
              <w:t>～</w:t>
            </w:r>
            <w:r>
              <w:rPr>
                <w:sz w:val="18"/>
                <w:szCs w:val="18"/>
              </w:rPr>
              <w:t>3</w:t>
            </w:r>
            <w:r>
              <w:rPr>
                <w:rFonts w:hint="eastAsia"/>
                <w:sz w:val="18"/>
                <w:szCs w:val="18"/>
              </w:rPr>
              <w:t>分</w:t>
            </w:r>
          </w:p>
        </w:tc>
        <w:tc>
          <w:tcPr>
            <w:tcW w:w="748"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5</w:t>
            </w: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69"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p>
            <w:pPr>
              <w:jc w:val="center"/>
              <w:rPr>
                <w:sz w:val="18"/>
                <w:szCs w:val="18"/>
              </w:rPr>
            </w:pPr>
          </w:p>
          <w:p>
            <w:pPr>
              <w:jc w:val="center"/>
              <w:rPr>
                <w:sz w:val="18"/>
                <w:szCs w:val="18"/>
              </w:rPr>
            </w:pPr>
          </w:p>
          <w:p>
            <w:pPr>
              <w:jc w:val="center"/>
              <w:rPr>
                <w:sz w:val="18"/>
                <w:szCs w:val="18"/>
              </w:rPr>
            </w:pPr>
          </w:p>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sz w:val="18"/>
                <w:szCs w:val="18"/>
              </w:rPr>
              <w:t>B.7.2</w:t>
            </w:r>
            <w:r>
              <w:rPr>
                <w:rFonts w:hint="eastAsia"/>
                <w:sz w:val="18"/>
                <w:szCs w:val="18"/>
              </w:rPr>
              <w:t>审核</w:t>
            </w:r>
          </w:p>
        </w:tc>
        <w:tc>
          <w:tcPr>
            <w:tcW w:w="8671"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总监理工程师未审核签认</w:t>
            </w:r>
            <w:r>
              <w:rPr>
                <w:sz w:val="18"/>
                <w:szCs w:val="18"/>
              </w:rPr>
              <w:t xml:space="preserve">                                                    </w:t>
            </w:r>
            <w:r>
              <w:rPr>
                <w:rFonts w:hint="eastAsia"/>
                <w:sz w:val="18"/>
                <w:szCs w:val="18"/>
              </w:rPr>
              <w:t>扣</w:t>
            </w:r>
            <w:r>
              <w:rPr>
                <w:sz w:val="18"/>
                <w:szCs w:val="18"/>
              </w:rPr>
              <w:t>1</w:t>
            </w:r>
            <w:r>
              <w:rPr>
                <w:rFonts w:hint="eastAsia"/>
                <w:sz w:val="18"/>
                <w:szCs w:val="18"/>
              </w:rPr>
              <w:t>分</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68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sz w:val="18"/>
                <w:szCs w:val="18"/>
              </w:rPr>
              <w:t>B.7.3</w:t>
            </w:r>
            <w:r>
              <w:rPr>
                <w:rFonts w:hint="eastAsia"/>
                <w:sz w:val="18"/>
                <w:szCs w:val="18"/>
              </w:rPr>
              <w:t>报送</w:t>
            </w:r>
          </w:p>
        </w:tc>
        <w:tc>
          <w:tcPr>
            <w:tcW w:w="8671"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未按规定及时报送相关单位</w:t>
            </w:r>
            <w:r>
              <w:rPr>
                <w:sz w:val="18"/>
                <w:szCs w:val="18"/>
              </w:rPr>
              <w:t xml:space="preserve">                                                  </w:t>
            </w:r>
            <w:r>
              <w:rPr>
                <w:rFonts w:hint="eastAsia"/>
                <w:sz w:val="18"/>
                <w:szCs w:val="18"/>
              </w:rPr>
              <w:t>扣</w:t>
            </w:r>
            <w:r>
              <w:rPr>
                <w:sz w:val="18"/>
                <w:szCs w:val="18"/>
              </w:rPr>
              <w:t>1</w:t>
            </w:r>
            <w:r>
              <w:rPr>
                <w:rFonts w:hint="eastAsia"/>
                <w:sz w:val="18"/>
                <w:szCs w:val="18"/>
              </w:rPr>
              <w:t>分</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bl>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900"/>
        <w:gridCol w:w="2185"/>
        <w:gridCol w:w="5092"/>
        <w:gridCol w:w="3578"/>
        <w:gridCol w:w="748"/>
        <w:gridCol w:w="720"/>
        <w:gridCol w:w="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4"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sz w:val="18"/>
                <w:szCs w:val="18"/>
              </w:rPr>
            </w:pPr>
            <w:r>
              <w:rPr>
                <w:sz w:val="18"/>
                <w:szCs w:val="18"/>
              </w:rPr>
              <w:t>8</w:t>
            </w:r>
          </w:p>
        </w:tc>
        <w:tc>
          <w:tcPr>
            <w:tcW w:w="900"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sz w:val="18"/>
                <w:szCs w:val="18"/>
              </w:rPr>
            </w:pPr>
            <w:r>
              <w:rPr>
                <w:rFonts w:hint="eastAsia"/>
                <w:sz w:val="18"/>
                <w:szCs w:val="18"/>
              </w:rPr>
              <w:t>分部分项工程及隐蔽工程</w:t>
            </w:r>
          </w:p>
          <w:p>
            <w:pPr>
              <w:spacing w:line="240" w:lineRule="exact"/>
              <w:jc w:val="center"/>
              <w:rPr>
                <w:sz w:val="18"/>
                <w:szCs w:val="18"/>
              </w:rPr>
            </w:pPr>
          </w:p>
        </w:tc>
        <w:tc>
          <w:tcPr>
            <w:tcW w:w="218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sz w:val="18"/>
                <w:szCs w:val="18"/>
              </w:rPr>
            </w:pPr>
            <w:r>
              <w:rPr>
                <w:sz w:val="18"/>
                <w:szCs w:val="18"/>
              </w:rPr>
              <w:t>B.8.1</w:t>
            </w:r>
            <w:r>
              <w:rPr>
                <w:rFonts w:hint="eastAsia"/>
                <w:sz w:val="18"/>
                <w:szCs w:val="18"/>
              </w:rPr>
              <w:t>工程质量验收划分方案审核</w:t>
            </w:r>
          </w:p>
        </w:tc>
        <w:tc>
          <w:tcPr>
            <w:tcW w:w="8670" w:type="dxa"/>
            <w:gridSpan w:val="2"/>
            <w:tcBorders>
              <w:top w:val="single" w:color="auto" w:sz="4" w:space="0"/>
              <w:left w:val="single" w:color="auto" w:sz="4" w:space="0"/>
              <w:bottom w:val="single" w:color="auto" w:sz="4" w:space="0"/>
              <w:right w:val="single" w:color="auto" w:sz="4" w:space="0"/>
            </w:tcBorders>
            <w:noWrap w:val="0"/>
            <w:vAlign w:val="top"/>
          </w:tcPr>
          <w:p>
            <w:pPr>
              <w:spacing w:line="240" w:lineRule="exact"/>
              <w:rPr>
                <w:sz w:val="18"/>
                <w:szCs w:val="18"/>
              </w:rPr>
            </w:pPr>
            <w:r>
              <w:rPr>
                <w:rFonts w:hint="eastAsia"/>
                <w:sz w:val="18"/>
                <w:szCs w:val="18"/>
              </w:rPr>
              <w:t>未审核施工单位报审的单位（子单位）工程、分部（子分部）工程、分项工程、检验批质量验收划分方案；质量验收划分方案不符合要求，监理未正确处置</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48"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sz w:val="18"/>
                <w:szCs w:val="18"/>
              </w:rPr>
            </w:pPr>
          </w:p>
          <w:p>
            <w:pPr>
              <w:spacing w:line="240" w:lineRule="exact"/>
              <w:ind w:firstLine="90" w:firstLineChars="50"/>
              <w:rPr>
                <w:sz w:val="18"/>
                <w:szCs w:val="18"/>
              </w:rPr>
            </w:pPr>
          </w:p>
          <w:p>
            <w:pPr>
              <w:spacing w:line="240" w:lineRule="exact"/>
              <w:ind w:firstLine="90" w:firstLineChars="50"/>
              <w:rPr>
                <w:sz w:val="18"/>
                <w:szCs w:val="18"/>
              </w:rPr>
            </w:pPr>
          </w:p>
          <w:p>
            <w:pPr>
              <w:spacing w:line="240" w:lineRule="exact"/>
              <w:ind w:firstLine="90" w:firstLineChars="50"/>
              <w:rPr>
                <w:sz w:val="18"/>
                <w:szCs w:val="18"/>
              </w:rPr>
            </w:pPr>
          </w:p>
          <w:p>
            <w:pPr>
              <w:spacing w:line="240" w:lineRule="exact"/>
              <w:ind w:firstLine="90" w:firstLineChars="50"/>
              <w:rPr>
                <w:sz w:val="18"/>
                <w:szCs w:val="18"/>
              </w:rPr>
            </w:pPr>
            <w:r>
              <w:rPr>
                <w:sz w:val="18"/>
                <w:szCs w:val="18"/>
              </w:rPr>
              <w:t>25</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sz w:val="18"/>
                <w:szCs w:val="18"/>
              </w:rPr>
            </w:pPr>
          </w:p>
        </w:tc>
        <w:tc>
          <w:tcPr>
            <w:tcW w:w="769"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exact"/>
              <w:rPr>
                <w:sz w:val="18"/>
                <w:szCs w:val="18"/>
              </w:rPr>
            </w:pPr>
            <w:r>
              <w:rPr>
                <w:sz w:val="18"/>
                <w:szCs w:val="18"/>
              </w:rPr>
              <w:t>B.8.2</w:t>
            </w:r>
            <w:r>
              <w:rPr>
                <w:rFonts w:hint="eastAsia"/>
                <w:sz w:val="18"/>
                <w:szCs w:val="18"/>
              </w:rPr>
              <w:t>验收程序和组织</w:t>
            </w:r>
          </w:p>
        </w:tc>
        <w:tc>
          <w:tcPr>
            <w:tcW w:w="8670" w:type="dxa"/>
            <w:gridSpan w:val="2"/>
            <w:tcBorders>
              <w:top w:val="single" w:color="auto" w:sz="4" w:space="0"/>
              <w:left w:val="single" w:color="auto" w:sz="4" w:space="0"/>
              <w:bottom w:val="single" w:color="auto" w:sz="4" w:space="0"/>
              <w:right w:val="single" w:color="auto" w:sz="4" w:space="0"/>
            </w:tcBorders>
            <w:noWrap w:val="0"/>
            <w:vAlign w:val="top"/>
          </w:tcPr>
          <w:p>
            <w:pPr>
              <w:spacing w:line="240" w:lineRule="exact"/>
              <w:rPr>
                <w:sz w:val="18"/>
                <w:szCs w:val="18"/>
              </w:rPr>
            </w:pPr>
            <w:r>
              <w:rPr>
                <w:rFonts w:hint="eastAsia"/>
                <w:sz w:val="18"/>
                <w:szCs w:val="18"/>
              </w:rPr>
              <w:t>未按标准要求组织验收</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sz w:val="18"/>
                <w:szCs w:val="18"/>
              </w:rPr>
            </w:pP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8670" w:type="dxa"/>
            <w:gridSpan w:val="2"/>
            <w:tcBorders>
              <w:top w:val="single" w:color="auto" w:sz="4" w:space="0"/>
              <w:left w:val="single" w:color="auto" w:sz="4" w:space="0"/>
              <w:bottom w:val="single" w:color="auto" w:sz="4" w:space="0"/>
              <w:right w:val="single" w:color="auto" w:sz="4" w:space="0"/>
            </w:tcBorders>
            <w:noWrap w:val="0"/>
            <w:vAlign w:val="top"/>
          </w:tcPr>
          <w:p>
            <w:pPr>
              <w:spacing w:line="240" w:lineRule="exact"/>
              <w:rPr>
                <w:sz w:val="18"/>
                <w:szCs w:val="18"/>
              </w:rPr>
            </w:pPr>
            <w:r>
              <w:rPr>
                <w:rFonts w:hint="eastAsia"/>
                <w:sz w:val="18"/>
                <w:szCs w:val="18"/>
              </w:rPr>
              <w:t>不及时组织验收；施工单位不及时报验，监理未正确处置</w:t>
            </w:r>
            <w:r>
              <w:rPr>
                <w:sz w:val="18"/>
                <w:szCs w:val="18"/>
              </w:rPr>
              <w:t xml:space="preserve">                        </w:t>
            </w:r>
            <w:r>
              <w:rPr>
                <w:rFonts w:hint="eastAsia"/>
                <w:sz w:val="18"/>
                <w:szCs w:val="18"/>
              </w:rPr>
              <w:t>扣</w:t>
            </w:r>
            <w:r>
              <w:rPr>
                <w:sz w:val="18"/>
                <w:szCs w:val="18"/>
              </w:rPr>
              <w:t>3</w:t>
            </w:r>
            <w:r>
              <w:rPr>
                <w:rFonts w:hint="eastAsia"/>
                <w:sz w:val="18"/>
                <w:szCs w:val="18"/>
              </w:rPr>
              <w:t>分</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sz w:val="18"/>
                <w:szCs w:val="18"/>
              </w:rPr>
            </w:pP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exact"/>
              <w:rPr>
                <w:sz w:val="18"/>
                <w:szCs w:val="18"/>
              </w:rPr>
            </w:pPr>
            <w:r>
              <w:rPr>
                <w:sz w:val="18"/>
                <w:szCs w:val="18"/>
              </w:rPr>
              <w:t>B.8.3</w:t>
            </w:r>
            <w:r>
              <w:rPr>
                <w:rFonts w:hint="eastAsia"/>
                <w:sz w:val="18"/>
                <w:szCs w:val="18"/>
              </w:rPr>
              <w:t>检验批（分项工程）及隐蔽工程验收</w:t>
            </w:r>
          </w:p>
        </w:tc>
        <w:tc>
          <w:tcPr>
            <w:tcW w:w="8670" w:type="dxa"/>
            <w:gridSpan w:val="2"/>
            <w:tcBorders>
              <w:top w:val="single" w:color="auto" w:sz="4" w:space="0"/>
              <w:left w:val="single" w:color="auto" w:sz="4" w:space="0"/>
              <w:bottom w:val="single" w:color="auto" w:sz="4" w:space="0"/>
              <w:right w:val="single" w:color="auto" w:sz="4" w:space="0"/>
            </w:tcBorders>
            <w:noWrap w:val="0"/>
            <w:vAlign w:val="top"/>
          </w:tcPr>
          <w:p>
            <w:pPr>
              <w:spacing w:line="240" w:lineRule="exact"/>
              <w:rPr>
                <w:sz w:val="18"/>
                <w:szCs w:val="18"/>
              </w:rPr>
            </w:pPr>
            <w:r>
              <w:rPr>
                <w:rFonts w:hint="eastAsia" w:eastAsia="仿宋_GB2312"/>
                <w:sz w:val="18"/>
                <w:szCs w:val="18"/>
              </w:rPr>
              <w:t>▲</w:t>
            </w:r>
            <w:r>
              <w:rPr>
                <w:rFonts w:hint="eastAsia"/>
                <w:sz w:val="18"/>
                <w:szCs w:val="18"/>
              </w:rPr>
              <w:t>监理单位与建设单位或施工单位串通，弄虚作假，降低工程质量</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sz w:val="18"/>
                <w:szCs w:val="18"/>
              </w:rPr>
            </w:pP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8670" w:type="dxa"/>
            <w:gridSpan w:val="2"/>
            <w:tcBorders>
              <w:top w:val="single" w:color="auto" w:sz="4" w:space="0"/>
              <w:left w:val="single" w:color="auto" w:sz="4" w:space="0"/>
              <w:bottom w:val="single" w:color="auto" w:sz="4" w:space="0"/>
              <w:right w:val="single" w:color="auto" w:sz="4" w:space="0"/>
            </w:tcBorders>
            <w:noWrap w:val="0"/>
            <w:vAlign w:val="top"/>
          </w:tcPr>
          <w:p>
            <w:pPr>
              <w:spacing w:line="240" w:lineRule="exact"/>
              <w:rPr>
                <w:sz w:val="18"/>
                <w:szCs w:val="18"/>
              </w:rPr>
            </w:pPr>
            <w:r>
              <w:rPr>
                <w:rFonts w:hint="eastAsia"/>
                <w:sz w:val="18"/>
                <w:szCs w:val="18"/>
              </w:rPr>
              <w:t>未按相关标准或工程质量验收划分方案进行验收；无监理检查记录</w:t>
            </w:r>
            <w:r>
              <w:rPr>
                <w:sz w:val="18"/>
                <w:szCs w:val="18"/>
              </w:rPr>
              <w:t xml:space="preserve">                </w:t>
            </w:r>
            <w:r>
              <w:rPr>
                <w:rFonts w:hint="eastAsia"/>
                <w:sz w:val="18"/>
                <w:szCs w:val="18"/>
              </w:rPr>
              <w:t>扣</w:t>
            </w:r>
            <w:r>
              <w:rPr>
                <w:sz w:val="18"/>
                <w:szCs w:val="18"/>
              </w:rPr>
              <w:t>3</w:t>
            </w:r>
            <w:r>
              <w:rPr>
                <w:rFonts w:hint="eastAsia"/>
                <w:sz w:val="18"/>
                <w:szCs w:val="18"/>
              </w:rPr>
              <w:t>分</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sz w:val="18"/>
                <w:szCs w:val="18"/>
              </w:rPr>
            </w:pP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8670" w:type="dxa"/>
            <w:gridSpan w:val="2"/>
            <w:tcBorders>
              <w:top w:val="single" w:color="auto" w:sz="4" w:space="0"/>
              <w:left w:val="single" w:color="auto" w:sz="4" w:space="0"/>
              <w:bottom w:val="single" w:color="auto" w:sz="4" w:space="0"/>
              <w:right w:val="single" w:color="auto" w:sz="4" w:space="0"/>
            </w:tcBorders>
            <w:noWrap w:val="0"/>
            <w:vAlign w:val="top"/>
          </w:tcPr>
          <w:p>
            <w:pPr>
              <w:spacing w:line="240" w:lineRule="exact"/>
              <w:rPr>
                <w:sz w:val="18"/>
                <w:szCs w:val="18"/>
              </w:rPr>
            </w:pPr>
            <w:r>
              <w:rPr>
                <w:rFonts w:hint="eastAsia"/>
                <w:sz w:val="18"/>
                <w:szCs w:val="18"/>
              </w:rPr>
              <w:t>验收记录不完整、不正确，或验收依据不足，监理未正确处置</w:t>
            </w:r>
            <w:r>
              <w:rPr>
                <w:sz w:val="18"/>
                <w:szCs w:val="18"/>
              </w:rPr>
              <w:t xml:space="preserve">                  </w:t>
            </w:r>
            <w:r>
              <w:rPr>
                <w:rFonts w:hint="eastAsia"/>
                <w:sz w:val="18"/>
                <w:szCs w:val="18"/>
              </w:rPr>
              <w:t>扣</w:t>
            </w:r>
            <w:r>
              <w:rPr>
                <w:sz w:val="18"/>
                <w:szCs w:val="18"/>
              </w:rPr>
              <w:t>1</w:t>
            </w:r>
            <w:r>
              <w:rPr>
                <w:rFonts w:hint="eastAsia" w:cs="宋体"/>
                <w:sz w:val="18"/>
                <w:szCs w:val="18"/>
              </w:rPr>
              <w:t>～</w:t>
            </w:r>
            <w:r>
              <w:rPr>
                <w:rFonts w:cs="宋体"/>
                <w:sz w:val="18"/>
                <w:szCs w:val="18"/>
              </w:rPr>
              <w:t>4</w:t>
            </w:r>
            <w:r>
              <w:rPr>
                <w:rFonts w:hint="eastAsia"/>
                <w:sz w:val="18"/>
                <w:szCs w:val="18"/>
              </w:rPr>
              <w:t>分</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sz w:val="18"/>
                <w:szCs w:val="18"/>
              </w:rPr>
            </w:pP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8670"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rPr>
                <w:sz w:val="18"/>
                <w:szCs w:val="18"/>
              </w:rPr>
            </w:pPr>
            <w:r>
              <w:rPr>
                <w:rFonts w:hint="eastAsia" w:eastAsia="仿宋_GB2312"/>
                <w:sz w:val="18"/>
                <w:szCs w:val="18"/>
              </w:rPr>
              <w:t>▲</w:t>
            </w:r>
            <w:r>
              <w:rPr>
                <w:rFonts w:hint="eastAsia"/>
                <w:sz w:val="18"/>
                <w:szCs w:val="18"/>
              </w:rPr>
              <w:t>验收不合格，施工单位已进入下道工序施工，监理未正确处置</w:t>
            </w:r>
            <w:r>
              <w:rPr>
                <w:sz w:val="18"/>
                <w:szCs w:val="18"/>
              </w:rPr>
              <w:t xml:space="preserve">                 </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sz w:val="18"/>
                <w:szCs w:val="18"/>
              </w:rPr>
            </w:pP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exact"/>
              <w:rPr>
                <w:sz w:val="18"/>
                <w:szCs w:val="18"/>
              </w:rPr>
            </w:pPr>
            <w:r>
              <w:rPr>
                <w:sz w:val="18"/>
                <w:szCs w:val="18"/>
              </w:rPr>
              <w:t>B.8.4</w:t>
            </w:r>
            <w:r>
              <w:rPr>
                <w:rFonts w:hint="eastAsia"/>
                <w:sz w:val="18"/>
                <w:szCs w:val="18"/>
              </w:rPr>
              <w:t>分部（子分部）工程验收</w:t>
            </w:r>
          </w:p>
        </w:tc>
        <w:tc>
          <w:tcPr>
            <w:tcW w:w="8670" w:type="dxa"/>
            <w:gridSpan w:val="2"/>
            <w:tcBorders>
              <w:top w:val="single" w:color="auto" w:sz="4" w:space="0"/>
              <w:left w:val="single" w:color="auto" w:sz="4" w:space="0"/>
              <w:bottom w:val="single" w:color="auto" w:sz="4" w:space="0"/>
              <w:right w:val="single" w:color="auto" w:sz="4" w:space="0"/>
            </w:tcBorders>
            <w:noWrap w:val="0"/>
            <w:vAlign w:val="top"/>
          </w:tcPr>
          <w:p>
            <w:pPr>
              <w:spacing w:line="240" w:lineRule="exact"/>
              <w:rPr>
                <w:sz w:val="18"/>
                <w:szCs w:val="18"/>
              </w:rPr>
            </w:pPr>
            <w:r>
              <w:rPr>
                <w:rFonts w:hint="eastAsia"/>
                <w:sz w:val="18"/>
                <w:szCs w:val="18"/>
              </w:rPr>
              <w:t>未对工程质量控制资料进行审核；质量控制资料不完整，监理未正确处置</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sz w:val="18"/>
                <w:szCs w:val="18"/>
              </w:rPr>
            </w:pP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8670" w:type="dxa"/>
            <w:gridSpan w:val="2"/>
            <w:tcBorders>
              <w:top w:val="single" w:color="auto" w:sz="4" w:space="0"/>
              <w:left w:val="single" w:color="auto" w:sz="4" w:space="0"/>
              <w:bottom w:val="single" w:color="auto" w:sz="4" w:space="0"/>
              <w:right w:val="single" w:color="auto" w:sz="4" w:space="0"/>
            </w:tcBorders>
            <w:noWrap w:val="0"/>
            <w:vAlign w:val="top"/>
          </w:tcPr>
          <w:p>
            <w:pPr>
              <w:spacing w:line="240" w:lineRule="exact"/>
              <w:rPr>
                <w:sz w:val="18"/>
                <w:szCs w:val="18"/>
              </w:rPr>
            </w:pPr>
            <w:r>
              <w:rPr>
                <w:rFonts w:hint="eastAsia"/>
                <w:sz w:val="18"/>
                <w:szCs w:val="18"/>
              </w:rPr>
              <w:t>未对工程有关安全、节能、环境保护和主要使用功能抽样检验报告进行审核；未按规定进行抽样检验，或抽样检验结果不符合要求，监理未正确处置</w:t>
            </w:r>
            <w:r>
              <w:rPr>
                <w:sz w:val="18"/>
                <w:szCs w:val="18"/>
              </w:rPr>
              <w:t xml:space="preserve">                        </w:t>
            </w:r>
            <w:r>
              <w:rPr>
                <w:rFonts w:hint="eastAsia"/>
                <w:sz w:val="18"/>
                <w:szCs w:val="18"/>
              </w:rPr>
              <w:t>扣</w:t>
            </w:r>
            <w:r>
              <w:rPr>
                <w:sz w:val="18"/>
                <w:szCs w:val="18"/>
              </w:rPr>
              <w:t>3</w:t>
            </w:r>
            <w:r>
              <w:rPr>
                <w:rFonts w:hint="eastAsia"/>
                <w:sz w:val="18"/>
                <w:szCs w:val="18"/>
              </w:rPr>
              <w:t>分</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sz w:val="18"/>
                <w:szCs w:val="18"/>
              </w:rPr>
            </w:pPr>
            <w:r>
              <w:rPr>
                <w:sz w:val="18"/>
                <w:szCs w:val="18"/>
              </w:rPr>
              <w:t xml:space="preserve"> </w:t>
            </w: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8670" w:type="dxa"/>
            <w:gridSpan w:val="2"/>
            <w:tcBorders>
              <w:top w:val="single" w:color="auto" w:sz="4" w:space="0"/>
              <w:left w:val="single" w:color="auto" w:sz="4" w:space="0"/>
              <w:bottom w:val="single" w:color="auto" w:sz="4" w:space="0"/>
              <w:right w:val="single" w:color="auto" w:sz="4" w:space="0"/>
            </w:tcBorders>
            <w:noWrap w:val="0"/>
            <w:vAlign w:val="top"/>
          </w:tcPr>
          <w:p>
            <w:pPr>
              <w:spacing w:line="240" w:lineRule="exact"/>
              <w:rPr>
                <w:sz w:val="18"/>
                <w:szCs w:val="18"/>
              </w:rPr>
            </w:pPr>
            <w:r>
              <w:rPr>
                <w:rFonts w:hint="eastAsia"/>
                <w:sz w:val="18"/>
                <w:szCs w:val="18"/>
              </w:rPr>
              <w:t>未对工程观感质量进行验收；观感质量验收不符合要求，监理未正确处置</w:t>
            </w:r>
            <w:r>
              <w:rPr>
                <w:sz w:val="18"/>
                <w:szCs w:val="18"/>
              </w:rPr>
              <w:t xml:space="preserve">          </w:t>
            </w:r>
            <w:r>
              <w:rPr>
                <w:rFonts w:hint="eastAsia"/>
                <w:sz w:val="18"/>
                <w:szCs w:val="18"/>
              </w:rPr>
              <w:t>扣</w:t>
            </w:r>
            <w:r>
              <w:rPr>
                <w:sz w:val="18"/>
                <w:szCs w:val="18"/>
              </w:rPr>
              <w:t>1</w:t>
            </w:r>
            <w:r>
              <w:rPr>
                <w:rFonts w:hint="eastAsia"/>
                <w:sz w:val="18"/>
                <w:szCs w:val="18"/>
              </w:rPr>
              <w:t>分</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sz w:val="18"/>
                <w:szCs w:val="18"/>
              </w:rPr>
            </w:pPr>
            <w:r>
              <w:rPr>
                <w:sz w:val="18"/>
                <w:szCs w:val="18"/>
              </w:rPr>
              <w:t xml:space="preserve"> </w:t>
            </w: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8670" w:type="dxa"/>
            <w:gridSpan w:val="2"/>
            <w:tcBorders>
              <w:top w:val="single" w:color="auto" w:sz="4" w:space="0"/>
              <w:left w:val="single" w:color="auto" w:sz="4" w:space="0"/>
              <w:bottom w:val="single" w:color="auto" w:sz="4" w:space="0"/>
              <w:right w:val="single" w:color="auto" w:sz="4" w:space="0"/>
            </w:tcBorders>
            <w:noWrap w:val="0"/>
            <w:vAlign w:val="top"/>
          </w:tcPr>
          <w:p>
            <w:pPr>
              <w:spacing w:line="240" w:lineRule="exact"/>
              <w:jc w:val="left"/>
              <w:rPr>
                <w:sz w:val="18"/>
                <w:szCs w:val="18"/>
              </w:rPr>
            </w:pPr>
            <w:r>
              <w:rPr>
                <w:rFonts w:hint="eastAsia"/>
                <w:sz w:val="18"/>
                <w:szCs w:val="18"/>
              </w:rPr>
              <w:t>分部工程验收责任主体签字不齐全，监理未正确处置；无质量评估报告（地基与基础、主体结构、建筑节能等分部）；评估报告内容不符合要求，或评估依据不足，或验收意见不正确</w:t>
            </w:r>
            <w:r>
              <w:rPr>
                <w:sz w:val="18"/>
                <w:szCs w:val="18"/>
              </w:rPr>
              <w:t xml:space="preserve">                 </w:t>
            </w:r>
            <w:r>
              <w:rPr>
                <w:rFonts w:hint="eastAsia"/>
                <w:sz w:val="18"/>
                <w:szCs w:val="18"/>
              </w:rPr>
              <w:t>扣</w:t>
            </w:r>
            <w:r>
              <w:rPr>
                <w:sz w:val="18"/>
                <w:szCs w:val="18"/>
              </w:rPr>
              <w:t>1</w:t>
            </w:r>
            <w:r>
              <w:rPr>
                <w:rFonts w:hint="eastAsia" w:cs="宋体"/>
                <w:sz w:val="18"/>
                <w:szCs w:val="18"/>
              </w:rPr>
              <w:t>～</w:t>
            </w:r>
            <w:r>
              <w:rPr>
                <w:rFonts w:cs="宋体"/>
                <w:sz w:val="18"/>
                <w:szCs w:val="18"/>
              </w:rPr>
              <w:t>4</w:t>
            </w:r>
            <w:r>
              <w:rPr>
                <w:rFonts w:hint="eastAsia"/>
                <w:sz w:val="18"/>
                <w:szCs w:val="18"/>
              </w:rPr>
              <w:t>分</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sz w:val="18"/>
                <w:szCs w:val="18"/>
              </w:rPr>
            </w:pP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8670" w:type="dxa"/>
            <w:gridSpan w:val="2"/>
            <w:tcBorders>
              <w:top w:val="single" w:color="auto" w:sz="4" w:space="0"/>
              <w:left w:val="single" w:color="auto" w:sz="4" w:space="0"/>
              <w:bottom w:val="single" w:color="auto" w:sz="4" w:space="0"/>
              <w:right w:val="single" w:color="auto" w:sz="4" w:space="0"/>
            </w:tcBorders>
            <w:noWrap w:val="0"/>
            <w:vAlign w:val="top"/>
          </w:tcPr>
          <w:p>
            <w:pPr>
              <w:spacing w:line="240" w:lineRule="exact"/>
              <w:rPr>
                <w:sz w:val="18"/>
                <w:szCs w:val="18"/>
              </w:rPr>
            </w:pPr>
            <w:r>
              <w:rPr>
                <w:rFonts w:hint="eastAsia"/>
                <w:sz w:val="18"/>
                <w:szCs w:val="18"/>
              </w:rPr>
              <w:t>分部工程验收资料不齐全，或验收记录内容不完整，监理未正确处置</w:t>
            </w:r>
            <w:r>
              <w:rPr>
                <w:sz w:val="18"/>
                <w:szCs w:val="18"/>
              </w:rPr>
              <w:t xml:space="preserve">              </w:t>
            </w:r>
            <w:r>
              <w:rPr>
                <w:rFonts w:hint="eastAsia"/>
                <w:sz w:val="18"/>
                <w:szCs w:val="18"/>
              </w:rPr>
              <w:t>扣</w:t>
            </w:r>
            <w:r>
              <w:rPr>
                <w:sz w:val="18"/>
                <w:szCs w:val="18"/>
              </w:rPr>
              <w:t>1</w:t>
            </w:r>
            <w:r>
              <w:rPr>
                <w:rFonts w:hint="eastAsia"/>
                <w:sz w:val="18"/>
                <w:szCs w:val="18"/>
              </w:rPr>
              <w:t>分</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sz w:val="18"/>
                <w:szCs w:val="18"/>
              </w:rPr>
            </w:pP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4"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sz w:val="18"/>
                <w:szCs w:val="18"/>
              </w:rPr>
            </w:pPr>
            <w:r>
              <w:rPr>
                <w:sz w:val="18"/>
                <w:szCs w:val="18"/>
              </w:rPr>
              <w:t>9</w:t>
            </w:r>
          </w:p>
        </w:tc>
        <w:tc>
          <w:tcPr>
            <w:tcW w:w="900"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sz w:val="18"/>
                <w:szCs w:val="18"/>
              </w:rPr>
            </w:pPr>
            <w:r>
              <w:rPr>
                <w:rFonts w:hint="eastAsia"/>
                <w:sz w:val="18"/>
                <w:szCs w:val="18"/>
              </w:rPr>
              <w:t>工程</w:t>
            </w:r>
          </w:p>
          <w:p>
            <w:pPr>
              <w:spacing w:line="240" w:lineRule="exact"/>
              <w:jc w:val="center"/>
              <w:rPr>
                <w:sz w:val="18"/>
                <w:szCs w:val="18"/>
              </w:rPr>
            </w:pPr>
            <w:r>
              <w:rPr>
                <w:rFonts w:hint="eastAsia"/>
                <w:sz w:val="18"/>
                <w:szCs w:val="18"/>
              </w:rPr>
              <w:t>进度</w:t>
            </w:r>
          </w:p>
        </w:tc>
        <w:tc>
          <w:tcPr>
            <w:tcW w:w="2185"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exact"/>
              <w:rPr>
                <w:sz w:val="18"/>
                <w:szCs w:val="18"/>
              </w:rPr>
            </w:pPr>
            <w:r>
              <w:rPr>
                <w:sz w:val="18"/>
                <w:szCs w:val="18"/>
              </w:rPr>
              <w:t>B.9.1</w:t>
            </w:r>
            <w:r>
              <w:rPr>
                <w:rFonts w:hint="eastAsia"/>
                <w:sz w:val="18"/>
                <w:szCs w:val="18"/>
              </w:rPr>
              <w:t>进度计划审核</w:t>
            </w:r>
          </w:p>
        </w:tc>
        <w:tc>
          <w:tcPr>
            <w:tcW w:w="8670"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rPr>
                <w:sz w:val="18"/>
                <w:szCs w:val="18"/>
              </w:rPr>
            </w:pPr>
            <w:r>
              <w:rPr>
                <w:rFonts w:hint="eastAsia"/>
                <w:sz w:val="18"/>
                <w:szCs w:val="18"/>
              </w:rPr>
              <w:t>未按要求审核进度计划；进度计划报审资料不齐全，监理未正确处置</w:t>
            </w:r>
            <w:r>
              <w:rPr>
                <w:sz w:val="18"/>
                <w:szCs w:val="18"/>
              </w:rPr>
              <w:t xml:space="preserve">           </w:t>
            </w:r>
            <w:r>
              <w:rPr>
                <w:rFonts w:hint="eastAsia"/>
                <w:sz w:val="18"/>
                <w:szCs w:val="18"/>
              </w:rPr>
              <w:t>扣</w:t>
            </w:r>
            <w:r>
              <w:rPr>
                <w:sz w:val="18"/>
                <w:szCs w:val="18"/>
              </w:rPr>
              <w:t>1</w:t>
            </w:r>
            <w:r>
              <w:rPr>
                <w:rFonts w:hint="eastAsia" w:cs="宋体"/>
                <w:sz w:val="18"/>
                <w:szCs w:val="18"/>
              </w:rPr>
              <w:t>～</w:t>
            </w:r>
            <w:r>
              <w:rPr>
                <w:sz w:val="18"/>
                <w:szCs w:val="18"/>
              </w:rPr>
              <w:t>2</w:t>
            </w:r>
            <w:r>
              <w:rPr>
                <w:rFonts w:hint="eastAsia"/>
                <w:sz w:val="18"/>
                <w:szCs w:val="18"/>
              </w:rPr>
              <w:t>分</w:t>
            </w:r>
          </w:p>
        </w:tc>
        <w:tc>
          <w:tcPr>
            <w:tcW w:w="748"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sz w:val="18"/>
                <w:szCs w:val="18"/>
              </w:rPr>
            </w:pPr>
            <w:r>
              <w:rPr>
                <w:sz w:val="18"/>
                <w:szCs w:val="18"/>
              </w:rPr>
              <w:t>10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sz w:val="18"/>
                <w:szCs w:val="18"/>
              </w:rPr>
            </w:pPr>
          </w:p>
        </w:tc>
        <w:tc>
          <w:tcPr>
            <w:tcW w:w="769"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8670"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rPr>
                <w:sz w:val="18"/>
                <w:szCs w:val="18"/>
              </w:rPr>
            </w:pPr>
            <w:r>
              <w:rPr>
                <w:rFonts w:hint="eastAsia"/>
                <w:sz w:val="18"/>
                <w:szCs w:val="18"/>
              </w:rPr>
              <w:t>审核程序不符合要求；未在规定时限内审核</w:t>
            </w:r>
            <w:r>
              <w:rPr>
                <w:sz w:val="18"/>
                <w:szCs w:val="18"/>
              </w:rPr>
              <w:t xml:space="preserve">                                    </w:t>
            </w:r>
            <w:r>
              <w:rPr>
                <w:rFonts w:hint="eastAsia"/>
                <w:sz w:val="18"/>
                <w:szCs w:val="18"/>
              </w:rPr>
              <w:t>扣</w:t>
            </w:r>
            <w:r>
              <w:rPr>
                <w:sz w:val="18"/>
                <w:szCs w:val="18"/>
              </w:rPr>
              <w:t>1</w:t>
            </w:r>
            <w:r>
              <w:rPr>
                <w:rFonts w:hint="eastAsia"/>
                <w:sz w:val="18"/>
                <w:szCs w:val="18"/>
              </w:rPr>
              <w:t>分</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sz w:val="18"/>
                <w:szCs w:val="18"/>
              </w:rPr>
            </w:pP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8670"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rPr>
                <w:color w:val="0000FF"/>
                <w:sz w:val="18"/>
                <w:szCs w:val="18"/>
              </w:rPr>
            </w:pPr>
            <w:r>
              <w:rPr>
                <w:rFonts w:hint="eastAsia"/>
                <w:sz w:val="18"/>
                <w:szCs w:val="18"/>
              </w:rPr>
              <w:t>审核后的进度计划未及时报建设单位</w:t>
            </w:r>
            <w:r>
              <w:rPr>
                <w:sz w:val="18"/>
                <w:szCs w:val="18"/>
              </w:rPr>
              <w:t xml:space="preserve">                                          </w:t>
            </w:r>
            <w:r>
              <w:rPr>
                <w:rFonts w:hint="eastAsia"/>
                <w:sz w:val="18"/>
                <w:szCs w:val="18"/>
              </w:rPr>
              <w:t>扣</w:t>
            </w:r>
            <w:r>
              <w:rPr>
                <w:sz w:val="18"/>
                <w:szCs w:val="18"/>
              </w:rPr>
              <w:t>1</w:t>
            </w:r>
            <w:r>
              <w:rPr>
                <w:rFonts w:hint="eastAsia"/>
                <w:sz w:val="18"/>
                <w:szCs w:val="18"/>
              </w:rPr>
              <w:t>分</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sz w:val="18"/>
                <w:szCs w:val="18"/>
              </w:rPr>
            </w:pP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exact"/>
              <w:rPr>
                <w:sz w:val="18"/>
                <w:szCs w:val="18"/>
              </w:rPr>
            </w:pPr>
            <w:r>
              <w:rPr>
                <w:sz w:val="18"/>
                <w:szCs w:val="18"/>
              </w:rPr>
              <w:t>B.9.2</w:t>
            </w:r>
            <w:r>
              <w:rPr>
                <w:rFonts w:hint="eastAsia"/>
                <w:sz w:val="18"/>
                <w:szCs w:val="18"/>
              </w:rPr>
              <w:t>进度实施控制</w:t>
            </w:r>
          </w:p>
        </w:tc>
        <w:tc>
          <w:tcPr>
            <w:tcW w:w="8670"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rPr>
                <w:sz w:val="18"/>
                <w:szCs w:val="18"/>
              </w:rPr>
            </w:pPr>
            <w:r>
              <w:rPr>
                <w:rFonts w:hint="eastAsia"/>
                <w:sz w:val="18"/>
                <w:szCs w:val="18"/>
              </w:rPr>
              <w:t>建设单位任意压缩合理的合同工期，监理未正确处置</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sz w:val="18"/>
                <w:szCs w:val="18"/>
              </w:rPr>
            </w:pP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8670"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rPr>
                <w:sz w:val="18"/>
                <w:szCs w:val="18"/>
              </w:rPr>
            </w:pPr>
            <w:r>
              <w:rPr>
                <w:rFonts w:hint="eastAsia"/>
                <w:sz w:val="18"/>
                <w:szCs w:val="18"/>
              </w:rPr>
              <w:t>未定期检查进度计划执行情况</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sz w:val="18"/>
                <w:szCs w:val="18"/>
              </w:rPr>
            </w:pP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8670"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rPr>
                <w:sz w:val="18"/>
                <w:szCs w:val="18"/>
              </w:rPr>
            </w:pPr>
            <w:r>
              <w:rPr>
                <w:rFonts w:hint="eastAsia"/>
                <w:sz w:val="18"/>
                <w:szCs w:val="18"/>
              </w:rPr>
              <w:t>工程进度严重偏离计划，监理未正确处置</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sz w:val="18"/>
                <w:szCs w:val="18"/>
              </w:rPr>
            </w:pP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4"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sz w:val="18"/>
                <w:szCs w:val="18"/>
              </w:rPr>
            </w:pPr>
            <w:r>
              <w:rPr>
                <w:sz w:val="18"/>
                <w:szCs w:val="18"/>
              </w:rPr>
              <w:t>10</w:t>
            </w:r>
          </w:p>
        </w:tc>
        <w:tc>
          <w:tcPr>
            <w:tcW w:w="900"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sz w:val="18"/>
                <w:szCs w:val="18"/>
              </w:rPr>
            </w:pPr>
            <w:r>
              <w:rPr>
                <w:rFonts w:hint="eastAsia"/>
                <w:sz w:val="18"/>
                <w:szCs w:val="18"/>
              </w:rPr>
              <w:t>工程</w:t>
            </w:r>
          </w:p>
          <w:p>
            <w:pPr>
              <w:spacing w:line="240" w:lineRule="exact"/>
              <w:jc w:val="center"/>
              <w:rPr>
                <w:sz w:val="18"/>
                <w:szCs w:val="18"/>
              </w:rPr>
            </w:pPr>
            <w:r>
              <w:rPr>
                <w:rFonts w:hint="eastAsia"/>
                <w:sz w:val="18"/>
                <w:szCs w:val="18"/>
              </w:rPr>
              <w:t>造价</w:t>
            </w:r>
          </w:p>
        </w:tc>
        <w:tc>
          <w:tcPr>
            <w:tcW w:w="2185"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exact"/>
              <w:rPr>
                <w:sz w:val="18"/>
                <w:szCs w:val="18"/>
              </w:rPr>
            </w:pPr>
            <w:r>
              <w:rPr>
                <w:sz w:val="18"/>
                <w:szCs w:val="18"/>
              </w:rPr>
              <w:t>B.10.1</w:t>
            </w:r>
            <w:r>
              <w:rPr>
                <w:rFonts w:hint="eastAsia"/>
                <w:sz w:val="18"/>
                <w:szCs w:val="18"/>
              </w:rPr>
              <w:t>工程量计量</w:t>
            </w:r>
          </w:p>
        </w:tc>
        <w:tc>
          <w:tcPr>
            <w:tcW w:w="8670"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rPr>
                <w:sz w:val="18"/>
                <w:szCs w:val="18"/>
              </w:rPr>
            </w:pPr>
            <w:r>
              <w:rPr>
                <w:rFonts w:hint="eastAsia"/>
                <w:sz w:val="18"/>
                <w:szCs w:val="18"/>
              </w:rPr>
              <w:t>未按合同约定进行计量；工程未验收合格，监理已计量</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48"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sz w:val="18"/>
                <w:szCs w:val="18"/>
              </w:rPr>
            </w:pPr>
            <w:r>
              <w:rPr>
                <w:sz w:val="18"/>
                <w:szCs w:val="18"/>
              </w:rPr>
              <w:t>10</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sz w:val="18"/>
                <w:szCs w:val="18"/>
              </w:rPr>
            </w:pPr>
          </w:p>
        </w:tc>
        <w:tc>
          <w:tcPr>
            <w:tcW w:w="769"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8670"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rPr>
                <w:sz w:val="18"/>
                <w:szCs w:val="18"/>
              </w:rPr>
            </w:pPr>
            <w:r>
              <w:rPr>
                <w:rFonts w:hint="eastAsia"/>
                <w:sz w:val="18"/>
                <w:szCs w:val="18"/>
              </w:rPr>
              <w:t>签证、计量不符合施工合同约定</w:t>
            </w:r>
            <w:r>
              <w:rPr>
                <w:sz w:val="18"/>
                <w:szCs w:val="18"/>
              </w:rPr>
              <w:t xml:space="preserve">                                               </w:t>
            </w:r>
            <w:r>
              <w:rPr>
                <w:rFonts w:hint="eastAsia"/>
                <w:sz w:val="18"/>
                <w:szCs w:val="18"/>
              </w:rPr>
              <w:t>扣</w:t>
            </w:r>
            <w:r>
              <w:rPr>
                <w:sz w:val="18"/>
                <w:szCs w:val="18"/>
              </w:rPr>
              <w:t>3</w:t>
            </w:r>
            <w:r>
              <w:rPr>
                <w:rFonts w:hint="eastAsia"/>
                <w:sz w:val="18"/>
                <w:szCs w:val="18"/>
              </w:rPr>
              <w:t>分</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sz w:val="18"/>
                <w:szCs w:val="18"/>
              </w:rPr>
            </w:pP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8670"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rPr>
                <w:sz w:val="18"/>
                <w:szCs w:val="18"/>
              </w:rPr>
            </w:pPr>
            <w:r>
              <w:rPr>
                <w:rFonts w:hint="eastAsia"/>
                <w:sz w:val="18"/>
                <w:szCs w:val="18"/>
              </w:rPr>
              <w:t>审核签认后未及时报建设单位</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sz w:val="18"/>
                <w:szCs w:val="18"/>
              </w:rPr>
            </w:pP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sz w:val="18"/>
                <w:szCs w:val="18"/>
              </w:rPr>
            </w:pPr>
            <w:r>
              <w:rPr>
                <w:sz w:val="18"/>
                <w:szCs w:val="18"/>
              </w:rPr>
              <w:t>B.10.2</w:t>
            </w:r>
            <w:r>
              <w:rPr>
                <w:rFonts w:hint="eastAsia"/>
                <w:sz w:val="18"/>
                <w:szCs w:val="18"/>
              </w:rPr>
              <w:t>工程款支付审核</w:t>
            </w:r>
          </w:p>
        </w:tc>
        <w:tc>
          <w:tcPr>
            <w:tcW w:w="8670"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rPr>
                <w:sz w:val="18"/>
                <w:szCs w:val="18"/>
              </w:rPr>
            </w:pPr>
            <w:r>
              <w:rPr>
                <w:rFonts w:hint="eastAsia"/>
                <w:sz w:val="18"/>
                <w:szCs w:val="18"/>
              </w:rPr>
              <w:t>未审核签字，或审核程序和签署的金额不符合施工合同及有关规定</w:t>
            </w:r>
            <w:r>
              <w:rPr>
                <w:sz w:val="18"/>
                <w:szCs w:val="18"/>
              </w:rPr>
              <w:t xml:space="preserve">                </w:t>
            </w:r>
            <w:r>
              <w:rPr>
                <w:rFonts w:hint="eastAsia"/>
                <w:sz w:val="18"/>
                <w:szCs w:val="18"/>
              </w:rPr>
              <w:t>扣</w:t>
            </w:r>
            <w:r>
              <w:rPr>
                <w:sz w:val="18"/>
                <w:szCs w:val="18"/>
              </w:rPr>
              <w:t>3</w:t>
            </w:r>
            <w:r>
              <w:rPr>
                <w:rFonts w:hint="eastAsia"/>
                <w:sz w:val="18"/>
                <w:szCs w:val="18"/>
              </w:rPr>
              <w:t>分</w:t>
            </w:r>
          </w:p>
        </w:tc>
        <w:tc>
          <w:tcPr>
            <w:tcW w:w="74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sz w:val="18"/>
                <w:szCs w:val="18"/>
              </w:rPr>
            </w:pPr>
          </w:p>
        </w:tc>
        <w:tc>
          <w:tcPr>
            <w:tcW w:w="7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69"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exact"/>
              <w:rPr>
                <w:sz w:val="18"/>
                <w:szCs w:val="18"/>
              </w:rPr>
            </w:pPr>
            <w:r>
              <w:rPr>
                <w:rFonts w:hint="eastAsia"/>
                <w:sz w:val="18"/>
                <w:szCs w:val="18"/>
              </w:rPr>
              <w:t>可评分评价项目实得分之和：</w:t>
            </w:r>
          </w:p>
        </w:tc>
        <w:tc>
          <w:tcPr>
            <w:tcW w:w="509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sz w:val="18"/>
                <w:szCs w:val="18"/>
              </w:rPr>
            </w:pPr>
            <w:r>
              <w:rPr>
                <w:rFonts w:hint="eastAsia"/>
                <w:sz w:val="18"/>
                <w:szCs w:val="18"/>
              </w:rPr>
              <w:t>可评分评价项目应得分之和：</w:t>
            </w:r>
          </w:p>
        </w:tc>
        <w:tc>
          <w:tcPr>
            <w:tcW w:w="5815" w:type="dxa"/>
            <w:gridSpan w:val="4"/>
            <w:tcBorders>
              <w:top w:val="single" w:color="auto" w:sz="4" w:space="0"/>
              <w:left w:val="single" w:color="auto" w:sz="4" w:space="0"/>
              <w:bottom w:val="single" w:color="auto" w:sz="4" w:space="0"/>
              <w:right w:val="single" w:color="auto" w:sz="4" w:space="0"/>
            </w:tcBorders>
            <w:noWrap w:val="0"/>
            <w:vAlign w:val="center"/>
          </w:tcPr>
          <w:p>
            <w:pPr>
              <w:spacing w:line="240" w:lineRule="exact"/>
              <w:rPr>
                <w:sz w:val="18"/>
                <w:szCs w:val="18"/>
              </w:rPr>
            </w:pPr>
            <w:r>
              <w:rPr>
                <w:rFonts w:hint="eastAsia"/>
                <w:sz w:val="18"/>
                <w:szCs w:val="18"/>
              </w:rPr>
              <w:t>本表得分（率）：</w:t>
            </w:r>
          </w:p>
        </w:tc>
      </w:tr>
    </w:tbl>
    <w:p>
      <w:pPr>
        <w:jc w:val="center"/>
        <w:rPr>
          <w:szCs w:val="21"/>
        </w:rPr>
      </w:pPr>
      <w:r>
        <w:rPr>
          <w:szCs w:val="21"/>
        </w:rPr>
        <w:t xml:space="preserve">     </w:t>
      </w:r>
    </w:p>
    <w:p>
      <w:pPr>
        <w:spacing w:line="360" w:lineRule="auto"/>
        <w:rPr>
          <w:szCs w:val="21"/>
        </w:rPr>
      </w:pPr>
      <w:r>
        <w:rPr>
          <w:rFonts w:hint="eastAsia"/>
          <w:szCs w:val="21"/>
        </w:rPr>
        <w:t>评分人员：</w:t>
      </w:r>
      <w:r>
        <w:rPr>
          <w:szCs w:val="21"/>
        </w:rPr>
        <w:t xml:space="preserve">                                                                                               </w:t>
      </w:r>
      <w:r>
        <w:rPr>
          <w:rFonts w:hint="eastAsia"/>
          <w:szCs w:val="21"/>
        </w:rPr>
        <w:t>日期：</w:t>
      </w:r>
      <w:r>
        <w:rPr>
          <w:szCs w:val="21"/>
        </w:rPr>
        <w:t xml:space="preserve">       </w:t>
      </w:r>
      <w:r>
        <w:rPr>
          <w:rFonts w:hint="eastAsia"/>
          <w:szCs w:val="21"/>
        </w:rPr>
        <w:t>年</w:t>
      </w:r>
      <w:r>
        <w:rPr>
          <w:szCs w:val="21"/>
        </w:rPr>
        <w:t xml:space="preserve">   </w:t>
      </w:r>
      <w:r>
        <w:rPr>
          <w:rFonts w:hint="eastAsia"/>
          <w:szCs w:val="21"/>
        </w:rPr>
        <w:t>月</w:t>
      </w:r>
      <w:r>
        <w:rPr>
          <w:szCs w:val="21"/>
        </w:rPr>
        <w:t xml:space="preserve">   </w:t>
      </w:r>
      <w:r>
        <w:rPr>
          <w:rFonts w:hint="eastAsia"/>
          <w:szCs w:val="21"/>
        </w:rPr>
        <w:t>日</w:t>
      </w:r>
    </w:p>
    <w:p>
      <w:pPr>
        <w:spacing w:line="240" w:lineRule="atLeast"/>
        <w:ind w:firstLine="300" w:firstLineChars="200"/>
        <w:jc w:val="left"/>
        <w:rPr>
          <w:sz w:val="15"/>
          <w:szCs w:val="15"/>
        </w:rPr>
      </w:pPr>
    </w:p>
    <w:p>
      <w:pPr>
        <w:spacing w:line="360" w:lineRule="exact"/>
        <w:jc w:val="left"/>
        <w:rPr>
          <w:b/>
          <w:sz w:val="32"/>
          <w:szCs w:val="32"/>
        </w:rPr>
      </w:pPr>
      <w:r>
        <w:rPr>
          <w:rFonts w:hint="eastAsia"/>
          <w:b/>
          <w:sz w:val="32"/>
          <w:szCs w:val="32"/>
        </w:rPr>
        <w:t>表</w:t>
      </w:r>
      <w:r>
        <w:rPr>
          <w:b/>
          <w:sz w:val="32"/>
          <w:szCs w:val="32"/>
        </w:rPr>
        <w:t xml:space="preserve">C                           </w:t>
      </w:r>
      <w:r>
        <w:rPr>
          <w:rFonts w:hint="eastAsia"/>
          <w:b/>
          <w:sz w:val="32"/>
          <w:szCs w:val="32"/>
        </w:rPr>
        <w:t>工程竣工验收阶段监理工作评价表</w:t>
      </w:r>
      <w:r>
        <w:rPr>
          <w:b/>
          <w:sz w:val="32"/>
          <w:szCs w:val="32"/>
        </w:rPr>
        <w:t xml:space="preserve"> </w:t>
      </w:r>
      <w:r>
        <w:rPr>
          <w:b/>
          <w:color w:val="0000FF"/>
          <w:szCs w:val="21"/>
        </w:rPr>
        <w:t xml:space="preserve"> </w:t>
      </w:r>
    </w:p>
    <w:p>
      <w:pPr>
        <w:spacing w:before="156" w:beforeLines="50"/>
        <w:ind w:firstLine="480" w:firstLineChars="200"/>
        <w:rPr>
          <w:b/>
          <w:sz w:val="24"/>
        </w:rPr>
      </w:pPr>
      <w:r>
        <w:rPr>
          <w:rFonts w:hint="eastAsia"/>
          <w:sz w:val="24"/>
        </w:rPr>
        <w:t>工程项目名称：</w:t>
      </w:r>
      <w:r>
        <w:rPr>
          <w:sz w:val="24"/>
        </w:rPr>
        <w:t xml:space="preserve">                                                             </w:t>
      </w:r>
      <w:r>
        <w:rPr>
          <w:rFonts w:hint="eastAsia"/>
          <w:sz w:val="24"/>
        </w:rPr>
        <w:t>监理单位名称：</w:t>
      </w:r>
      <w:r>
        <w:rPr>
          <w:sz w:val="24"/>
        </w:rPr>
        <w:t xml:space="preserve">                                                 </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1236"/>
        <w:gridCol w:w="2181"/>
        <w:gridCol w:w="1127"/>
        <w:gridCol w:w="5214"/>
        <w:gridCol w:w="1188"/>
        <w:gridCol w:w="722"/>
        <w:gridCol w:w="722"/>
        <w:gridCol w:w="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62" w:type="dxa"/>
            <w:vMerge w:val="restart"/>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 w:val="18"/>
                <w:szCs w:val="18"/>
              </w:rPr>
            </w:pPr>
            <w:r>
              <w:rPr>
                <w:rFonts w:hint="eastAsia"/>
                <w:sz w:val="18"/>
                <w:szCs w:val="18"/>
              </w:rPr>
              <w:t>序号</w:t>
            </w:r>
          </w:p>
        </w:tc>
        <w:tc>
          <w:tcPr>
            <w:tcW w:w="1236" w:type="dxa"/>
            <w:vMerge w:val="restart"/>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 w:val="18"/>
                <w:szCs w:val="18"/>
              </w:rPr>
            </w:pPr>
            <w:r>
              <w:rPr>
                <w:rFonts w:hint="eastAsia"/>
                <w:sz w:val="18"/>
                <w:szCs w:val="18"/>
              </w:rPr>
              <w:t>评价项目</w:t>
            </w:r>
          </w:p>
        </w:tc>
        <w:tc>
          <w:tcPr>
            <w:tcW w:w="2181" w:type="dxa"/>
            <w:vMerge w:val="restart"/>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 w:val="18"/>
                <w:szCs w:val="18"/>
              </w:rPr>
            </w:pPr>
            <w:r>
              <w:rPr>
                <w:rFonts w:hint="eastAsia"/>
                <w:sz w:val="18"/>
                <w:szCs w:val="18"/>
              </w:rPr>
              <w:t>评价内容</w:t>
            </w:r>
          </w:p>
        </w:tc>
        <w:tc>
          <w:tcPr>
            <w:tcW w:w="7529" w:type="dxa"/>
            <w:gridSpan w:val="3"/>
            <w:vMerge w:val="restart"/>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 w:val="18"/>
                <w:szCs w:val="18"/>
              </w:rPr>
            </w:pPr>
            <w:r>
              <w:rPr>
                <w:rFonts w:hint="eastAsia"/>
                <w:sz w:val="18"/>
                <w:szCs w:val="18"/>
              </w:rPr>
              <w:t>评分标准</w:t>
            </w:r>
          </w:p>
        </w:tc>
        <w:tc>
          <w:tcPr>
            <w:tcW w:w="2166" w:type="dxa"/>
            <w:gridSpan w:val="3"/>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 w:val="18"/>
                <w:szCs w:val="18"/>
              </w:rPr>
            </w:pPr>
            <w:r>
              <w:rPr>
                <w:rFonts w:hint="eastAsia"/>
                <w:sz w:val="18"/>
                <w:szCs w:val="18"/>
              </w:rPr>
              <w:t>评分（分）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6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12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529" w:type="dxa"/>
            <w:gridSpan w:val="3"/>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2"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 w:val="18"/>
                <w:szCs w:val="18"/>
              </w:rPr>
            </w:pPr>
            <w:r>
              <w:rPr>
                <w:rFonts w:hint="eastAsia"/>
                <w:sz w:val="18"/>
                <w:szCs w:val="18"/>
              </w:rPr>
              <w:t>应得分</w:t>
            </w:r>
          </w:p>
        </w:tc>
        <w:tc>
          <w:tcPr>
            <w:tcW w:w="722"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 w:val="18"/>
                <w:szCs w:val="18"/>
              </w:rPr>
            </w:pPr>
            <w:r>
              <w:rPr>
                <w:rFonts w:hint="eastAsia"/>
                <w:sz w:val="18"/>
                <w:szCs w:val="18"/>
              </w:rPr>
              <w:t>扣减分</w:t>
            </w:r>
          </w:p>
        </w:tc>
        <w:tc>
          <w:tcPr>
            <w:tcW w:w="722"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 w:val="18"/>
                <w:szCs w:val="18"/>
              </w:rPr>
            </w:pPr>
            <w:r>
              <w:rPr>
                <w:rFonts w:hint="eastAsia"/>
                <w:sz w:val="18"/>
                <w:szCs w:val="18"/>
              </w:rPr>
              <w:t>实得分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62"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1</w:t>
            </w:r>
          </w:p>
        </w:tc>
        <w:tc>
          <w:tcPr>
            <w:tcW w:w="1236"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rFonts w:hint="eastAsia"/>
                <w:sz w:val="18"/>
                <w:szCs w:val="18"/>
              </w:rPr>
              <w:t>竣工</w:t>
            </w:r>
          </w:p>
          <w:p>
            <w:pPr>
              <w:jc w:val="center"/>
              <w:rPr>
                <w:sz w:val="18"/>
                <w:szCs w:val="18"/>
              </w:rPr>
            </w:pPr>
            <w:r>
              <w:rPr>
                <w:rFonts w:hint="eastAsia"/>
                <w:sz w:val="18"/>
                <w:szCs w:val="18"/>
              </w:rPr>
              <w:t>预验收</w:t>
            </w:r>
          </w:p>
        </w:tc>
        <w:tc>
          <w:tcPr>
            <w:tcW w:w="2181" w:type="dxa"/>
            <w:vMerge w:val="restart"/>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sz w:val="18"/>
                <w:szCs w:val="18"/>
              </w:rPr>
              <w:t>C.1.1</w:t>
            </w:r>
            <w:r>
              <w:rPr>
                <w:rFonts w:hint="eastAsia"/>
                <w:sz w:val="18"/>
                <w:szCs w:val="18"/>
              </w:rPr>
              <w:t>问题处理</w:t>
            </w:r>
          </w:p>
        </w:tc>
        <w:tc>
          <w:tcPr>
            <w:tcW w:w="7529" w:type="dxa"/>
            <w:gridSpan w:val="3"/>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未对工程竣工资料进行审查</w:t>
            </w:r>
            <w:r>
              <w:rPr>
                <w:sz w:val="18"/>
                <w:szCs w:val="18"/>
              </w:rPr>
              <w:t xml:space="preserve">                                                   </w:t>
            </w:r>
            <w:r>
              <w:rPr>
                <w:rFonts w:hint="eastAsia"/>
                <w:sz w:val="18"/>
                <w:szCs w:val="18"/>
              </w:rPr>
              <w:t>扣</w:t>
            </w:r>
            <w:r>
              <w:rPr>
                <w:sz w:val="18"/>
                <w:szCs w:val="18"/>
              </w:rPr>
              <w:t>3</w:t>
            </w:r>
            <w:r>
              <w:rPr>
                <w:rFonts w:hint="eastAsia"/>
                <w:sz w:val="18"/>
                <w:szCs w:val="18"/>
              </w:rPr>
              <w:t>分</w:t>
            </w:r>
          </w:p>
        </w:tc>
        <w:tc>
          <w:tcPr>
            <w:tcW w:w="722"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20</w:t>
            </w:r>
          </w:p>
        </w:tc>
        <w:tc>
          <w:tcPr>
            <w:tcW w:w="722"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 xml:space="preserve"> </w:t>
            </w:r>
          </w:p>
        </w:tc>
        <w:tc>
          <w:tcPr>
            <w:tcW w:w="722"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6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12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529" w:type="dxa"/>
            <w:gridSpan w:val="3"/>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发现工程质量、竣工资料存在问题，监理未及时提出整改意见</w:t>
            </w:r>
            <w:r>
              <w:rPr>
                <w:sz w:val="18"/>
                <w:szCs w:val="18"/>
              </w:rPr>
              <w:t xml:space="preserve">                     </w:t>
            </w:r>
            <w:r>
              <w:rPr>
                <w:rFonts w:hint="eastAsia"/>
                <w:sz w:val="18"/>
                <w:szCs w:val="18"/>
              </w:rPr>
              <w:t>扣</w:t>
            </w:r>
            <w:r>
              <w:rPr>
                <w:sz w:val="18"/>
                <w:szCs w:val="18"/>
              </w:rPr>
              <w:t>3</w:t>
            </w:r>
            <w:r>
              <w:rPr>
                <w:rFonts w:hint="eastAsia"/>
                <w:sz w:val="18"/>
                <w:szCs w:val="18"/>
              </w:rPr>
              <w:t>分</w:t>
            </w:r>
          </w:p>
        </w:tc>
        <w:tc>
          <w:tcPr>
            <w:tcW w:w="7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2"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6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12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529" w:type="dxa"/>
            <w:gridSpan w:val="3"/>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未对工程质量、竣工资料存在问题的整改结果进行复查</w:t>
            </w:r>
            <w:r>
              <w:rPr>
                <w:sz w:val="18"/>
                <w:szCs w:val="18"/>
              </w:rPr>
              <w:t xml:space="preserve">                           </w:t>
            </w:r>
            <w:r>
              <w:rPr>
                <w:rFonts w:hint="eastAsia"/>
                <w:sz w:val="18"/>
                <w:szCs w:val="18"/>
              </w:rPr>
              <w:t>扣</w:t>
            </w:r>
            <w:r>
              <w:rPr>
                <w:sz w:val="18"/>
                <w:szCs w:val="18"/>
              </w:rPr>
              <w:t>3</w:t>
            </w:r>
            <w:r>
              <w:rPr>
                <w:rFonts w:hint="eastAsia"/>
                <w:sz w:val="18"/>
                <w:szCs w:val="18"/>
              </w:rPr>
              <w:t>分</w:t>
            </w:r>
          </w:p>
        </w:tc>
        <w:tc>
          <w:tcPr>
            <w:tcW w:w="7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2"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 xml:space="preserve"> </w:t>
            </w:r>
          </w:p>
        </w:tc>
        <w:tc>
          <w:tcPr>
            <w:tcW w:w="7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6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12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1"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sz w:val="18"/>
                <w:szCs w:val="18"/>
              </w:rPr>
              <w:t>C.1.2</w:t>
            </w:r>
            <w:r>
              <w:rPr>
                <w:rFonts w:hint="eastAsia"/>
                <w:sz w:val="18"/>
                <w:szCs w:val="18"/>
              </w:rPr>
              <w:t>时效</w:t>
            </w:r>
          </w:p>
        </w:tc>
        <w:tc>
          <w:tcPr>
            <w:tcW w:w="7529" w:type="dxa"/>
            <w:gridSpan w:val="3"/>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不及时组织竣工预验收；不及时签署竣工验收报审表</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2"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6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12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1" w:type="dxa"/>
            <w:vMerge w:val="restart"/>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sz w:val="18"/>
                <w:szCs w:val="18"/>
              </w:rPr>
              <w:t>C.1.2</w:t>
            </w:r>
            <w:r>
              <w:rPr>
                <w:rFonts w:hint="eastAsia"/>
                <w:sz w:val="18"/>
                <w:szCs w:val="18"/>
              </w:rPr>
              <w:t>编写工程质量评估报告</w:t>
            </w:r>
          </w:p>
        </w:tc>
        <w:tc>
          <w:tcPr>
            <w:tcW w:w="7529" w:type="dxa"/>
            <w:gridSpan w:val="3"/>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质量评估报告内容不完整，依据不充分，结论不正确</w:t>
            </w:r>
            <w:r>
              <w:rPr>
                <w:sz w:val="18"/>
                <w:szCs w:val="18"/>
              </w:rPr>
              <w:t xml:space="preserve">                          </w:t>
            </w:r>
            <w:r>
              <w:rPr>
                <w:rFonts w:hint="eastAsia"/>
                <w:sz w:val="18"/>
                <w:szCs w:val="18"/>
              </w:rPr>
              <w:t>扣</w:t>
            </w:r>
            <w:r>
              <w:rPr>
                <w:sz w:val="18"/>
                <w:szCs w:val="18"/>
              </w:rPr>
              <w:t>1</w:t>
            </w:r>
            <w:r>
              <w:rPr>
                <w:rFonts w:hint="eastAsia" w:cs="宋体"/>
                <w:sz w:val="18"/>
                <w:szCs w:val="18"/>
              </w:rPr>
              <w:t>～</w:t>
            </w:r>
            <w:r>
              <w:rPr>
                <w:rFonts w:cs="宋体"/>
                <w:sz w:val="18"/>
                <w:szCs w:val="18"/>
              </w:rPr>
              <w:t>5</w:t>
            </w:r>
            <w:r>
              <w:rPr>
                <w:rFonts w:hint="eastAsia"/>
                <w:sz w:val="18"/>
                <w:szCs w:val="18"/>
              </w:rPr>
              <w:t>分</w:t>
            </w:r>
          </w:p>
        </w:tc>
        <w:tc>
          <w:tcPr>
            <w:tcW w:w="7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2"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 xml:space="preserve"> </w:t>
            </w:r>
          </w:p>
        </w:tc>
        <w:tc>
          <w:tcPr>
            <w:tcW w:w="7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6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12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529" w:type="dxa"/>
            <w:gridSpan w:val="3"/>
            <w:tcBorders>
              <w:top w:val="single" w:color="auto" w:sz="4" w:space="0"/>
              <w:left w:val="single" w:color="auto" w:sz="4" w:space="0"/>
              <w:bottom w:val="single" w:color="auto" w:sz="4" w:space="0"/>
              <w:right w:val="single" w:color="auto" w:sz="4" w:space="0"/>
            </w:tcBorders>
            <w:noWrap w:val="0"/>
            <w:vAlign w:val="center"/>
          </w:tcPr>
          <w:p>
            <w:pPr>
              <w:rPr>
                <w:rFonts w:eastAsia="黑体"/>
                <w:b/>
                <w:sz w:val="18"/>
                <w:szCs w:val="18"/>
              </w:rPr>
            </w:pPr>
            <w:r>
              <w:rPr>
                <w:rFonts w:hint="eastAsia"/>
                <w:sz w:val="18"/>
                <w:szCs w:val="18"/>
              </w:rPr>
              <w:t>质量评估报告未经监理企业技术负责人审核签字</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2"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6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12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529" w:type="dxa"/>
            <w:gridSpan w:val="3"/>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质量评估报告未及时报送建设单位</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2"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 xml:space="preserve"> </w:t>
            </w:r>
          </w:p>
        </w:tc>
        <w:tc>
          <w:tcPr>
            <w:tcW w:w="7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62"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2</w:t>
            </w:r>
          </w:p>
        </w:tc>
        <w:tc>
          <w:tcPr>
            <w:tcW w:w="1236"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rFonts w:hint="eastAsia"/>
                <w:sz w:val="18"/>
                <w:szCs w:val="18"/>
              </w:rPr>
              <w:t>竣工</w:t>
            </w:r>
          </w:p>
          <w:p>
            <w:pPr>
              <w:jc w:val="center"/>
              <w:rPr>
                <w:sz w:val="18"/>
                <w:szCs w:val="18"/>
              </w:rPr>
            </w:pPr>
            <w:r>
              <w:rPr>
                <w:rFonts w:hint="eastAsia"/>
                <w:sz w:val="18"/>
                <w:szCs w:val="18"/>
              </w:rPr>
              <w:t>验收</w:t>
            </w:r>
          </w:p>
        </w:tc>
        <w:tc>
          <w:tcPr>
            <w:tcW w:w="2181"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sz w:val="18"/>
                <w:szCs w:val="18"/>
              </w:rPr>
              <w:t>C.2.1</w:t>
            </w:r>
            <w:r>
              <w:rPr>
                <w:rFonts w:hint="eastAsia"/>
                <w:sz w:val="18"/>
                <w:szCs w:val="18"/>
              </w:rPr>
              <w:t>问题处理</w:t>
            </w:r>
          </w:p>
        </w:tc>
        <w:tc>
          <w:tcPr>
            <w:tcW w:w="7529" w:type="dxa"/>
            <w:gridSpan w:val="3"/>
            <w:tcBorders>
              <w:top w:val="single" w:color="auto" w:sz="4" w:space="0"/>
              <w:left w:val="single" w:color="auto" w:sz="4" w:space="0"/>
              <w:bottom w:val="single" w:color="auto" w:sz="4" w:space="0"/>
              <w:right w:val="single" w:color="auto" w:sz="4" w:space="0"/>
            </w:tcBorders>
            <w:noWrap w:val="0"/>
            <w:vAlign w:val="center"/>
          </w:tcPr>
          <w:p>
            <w:pPr>
              <w:ind w:left="6660" w:hanging="6660" w:hangingChars="3700"/>
              <w:rPr>
                <w:sz w:val="18"/>
                <w:szCs w:val="18"/>
              </w:rPr>
            </w:pPr>
            <w:r>
              <w:rPr>
                <w:rFonts w:hint="eastAsia"/>
                <w:sz w:val="18"/>
                <w:szCs w:val="18"/>
              </w:rPr>
              <w:t>对验收中提出的问题未及时要求施工单位整改；问题整改后监理未及时复查</w:t>
            </w:r>
            <w:r>
              <w:rPr>
                <w:sz w:val="18"/>
                <w:szCs w:val="18"/>
              </w:rPr>
              <w:t xml:space="preserve">         </w:t>
            </w:r>
            <w:r>
              <w:rPr>
                <w:rFonts w:hint="eastAsia"/>
                <w:sz w:val="18"/>
                <w:szCs w:val="18"/>
              </w:rPr>
              <w:t>扣</w:t>
            </w:r>
            <w:r>
              <w:rPr>
                <w:sz w:val="18"/>
                <w:szCs w:val="18"/>
              </w:rPr>
              <w:t>3</w:t>
            </w:r>
            <w:r>
              <w:rPr>
                <w:rFonts w:hint="eastAsia"/>
                <w:sz w:val="18"/>
                <w:szCs w:val="18"/>
              </w:rPr>
              <w:t>分</w:t>
            </w:r>
          </w:p>
        </w:tc>
        <w:tc>
          <w:tcPr>
            <w:tcW w:w="722"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6</w:t>
            </w:r>
          </w:p>
        </w:tc>
        <w:tc>
          <w:tcPr>
            <w:tcW w:w="722"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 xml:space="preserve">  </w:t>
            </w:r>
          </w:p>
        </w:tc>
        <w:tc>
          <w:tcPr>
            <w:tcW w:w="722"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6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12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1"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sz w:val="18"/>
                <w:szCs w:val="18"/>
              </w:rPr>
              <w:t>C.2.2</w:t>
            </w:r>
            <w:r>
              <w:rPr>
                <w:rFonts w:hint="eastAsia"/>
                <w:sz w:val="18"/>
                <w:szCs w:val="18"/>
              </w:rPr>
              <w:t>验收签字</w:t>
            </w:r>
          </w:p>
        </w:tc>
        <w:tc>
          <w:tcPr>
            <w:tcW w:w="7529" w:type="dxa"/>
            <w:gridSpan w:val="3"/>
            <w:tcBorders>
              <w:top w:val="single" w:color="auto" w:sz="4" w:space="0"/>
              <w:left w:val="single" w:color="auto" w:sz="4" w:space="0"/>
              <w:bottom w:val="single" w:color="auto" w:sz="4" w:space="0"/>
              <w:right w:val="single" w:color="auto" w:sz="4" w:space="0"/>
            </w:tcBorders>
            <w:noWrap w:val="0"/>
            <w:vAlign w:val="center"/>
          </w:tcPr>
          <w:p>
            <w:pPr>
              <w:rPr>
                <w:b/>
                <w:sz w:val="18"/>
                <w:szCs w:val="18"/>
              </w:rPr>
            </w:pPr>
            <w:r>
              <w:rPr>
                <w:rFonts w:hint="eastAsia"/>
                <w:sz w:val="18"/>
                <w:szCs w:val="18"/>
              </w:rPr>
              <w:t>总监理工程师未参加竣工验收；未在竣工验收证明文件上签字</w:t>
            </w:r>
            <w:r>
              <w:rPr>
                <w:sz w:val="18"/>
                <w:szCs w:val="18"/>
              </w:rPr>
              <w:t xml:space="preserve">                     </w:t>
            </w:r>
            <w:r>
              <w:rPr>
                <w:rFonts w:hint="eastAsia"/>
                <w:sz w:val="18"/>
                <w:szCs w:val="18"/>
              </w:rPr>
              <w:t>扣</w:t>
            </w:r>
            <w:r>
              <w:rPr>
                <w:sz w:val="18"/>
                <w:szCs w:val="18"/>
              </w:rPr>
              <w:t>3</w:t>
            </w:r>
            <w:r>
              <w:rPr>
                <w:rFonts w:hint="eastAsia"/>
                <w:sz w:val="18"/>
                <w:szCs w:val="18"/>
              </w:rPr>
              <w:t>分</w:t>
            </w:r>
          </w:p>
        </w:tc>
        <w:tc>
          <w:tcPr>
            <w:tcW w:w="7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2"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3</w:t>
            </w:r>
          </w:p>
        </w:tc>
        <w:tc>
          <w:tcPr>
            <w:tcW w:w="1236"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rFonts w:hint="eastAsia"/>
                <w:sz w:val="18"/>
                <w:szCs w:val="18"/>
              </w:rPr>
              <w:t>竣工结算</w:t>
            </w:r>
          </w:p>
        </w:tc>
        <w:tc>
          <w:tcPr>
            <w:tcW w:w="2181"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sz w:val="18"/>
                <w:szCs w:val="18"/>
              </w:rPr>
              <w:t>C.3.1</w:t>
            </w:r>
            <w:r>
              <w:rPr>
                <w:rFonts w:hint="eastAsia"/>
                <w:sz w:val="18"/>
                <w:szCs w:val="18"/>
              </w:rPr>
              <w:t>竣工结算</w:t>
            </w:r>
          </w:p>
        </w:tc>
        <w:tc>
          <w:tcPr>
            <w:tcW w:w="7529" w:type="dxa"/>
            <w:gridSpan w:val="3"/>
            <w:tcBorders>
              <w:top w:val="single" w:color="auto" w:sz="4" w:space="0"/>
              <w:left w:val="single" w:color="auto" w:sz="4" w:space="0"/>
              <w:bottom w:val="single" w:color="auto" w:sz="4" w:space="0"/>
              <w:right w:val="single" w:color="auto" w:sz="4" w:space="0"/>
            </w:tcBorders>
            <w:noWrap w:val="0"/>
            <w:vAlign w:val="center"/>
          </w:tcPr>
          <w:p>
            <w:pPr>
              <w:rPr>
                <w:rFonts w:cs="宋体"/>
                <w:b/>
                <w:bCs/>
                <w:sz w:val="18"/>
                <w:szCs w:val="18"/>
              </w:rPr>
            </w:pPr>
            <w:r>
              <w:rPr>
                <w:rFonts w:hint="eastAsia"/>
                <w:sz w:val="18"/>
                <w:szCs w:val="18"/>
              </w:rPr>
              <w:t>未按合同约定及时审查施工单位提交的竣工结算申请并报建设单位</w:t>
            </w:r>
            <w:r>
              <w:rPr>
                <w:sz w:val="18"/>
                <w:szCs w:val="18"/>
              </w:rPr>
              <w:t xml:space="preserve">                 </w:t>
            </w:r>
            <w:r>
              <w:rPr>
                <w:rFonts w:hint="eastAsia"/>
                <w:sz w:val="18"/>
                <w:szCs w:val="18"/>
              </w:rPr>
              <w:t>扣</w:t>
            </w:r>
            <w:r>
              <w:rPr>
                <w:sz w:val="18"/>
                <w:szCs w:val="18"/>
              </w:rPr>
              <w:t>3</w:t>
            </w:r>
            <w:r>
              <w:rPr>
                <w:rFonts w:hint="eastAsia"/>
                <w:sz w:val="18"/>
                <w:szCs w:val="18"/>
              </w:rPr>
              <w:t>分</w:t>
            </w:r>
          </w:p>
        </w:tc>
        <w:tc>
          <w:tcPr>
            <w:tcW w:w="722"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3</w:t>
            </w:r>
          </w:p>
        </w:tc>
        <w:tc>
          <w:tcPr>
            <w:tcW w:w="722"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22"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62"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4</w:t>
            </w:r>
          </w:p>
        </w:tc>
        <w:tc>
          <w:tcPr>
            <w:tcW w:w="1236"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rFonts w:hint="eastAsia"/>
                <w:sz w:val="18"/>
                <w:szCs w:val="18"/>
              </w:rPr>
              <w:t>监理</w:t>
            </w:r>
          </w:p>
          <w:p>
            <w:pPr>
              <w:jc w:val="center"/>
              <w:rPr>
                <w:sz w:val="18"/>
                <w:szCs w:val="18"/>
              </w:rPr>
            </w:pPr>
            <w:r>
              <w:rPr>
                <w:rFonts w:hint="eastAsia"/>
                <w:sz w:val="18"/>
                <w:szCs w:val="18"/>
              </w:rPr>
              <w:t>工作总结</w:t>
            </w:r>
          </w:p>
        </w:tc>
        <w:tc>
          <w:tcPr>
            <w:tcW w:w="2181" w:type="dxa"/>
            <w:vMerge w:val="restart"/>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sz w:val="18"/>
                <w:szCs w:val="18"/>
              </w:rPr>
              <w:t>C.4.1</w:t>
            </w:r>
            <w:r>
              <w:rPr>
                <w:rFonts w:hint="eastAsia"/>
                <w:sz w:val="18"/>
                <w:szCs w:val="18"/>
              </w:rPr>
              <w:t>编写总结</w:t>
            </w:r>
          </w:p>
        </w:tc>
        <w:tc>
          <w:tcPr>
            <w:tcW w:w="7529" w:type="dxa"/>
            <w:gridSpan w:val="3"/>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监理工作结束后，未及时编写监理工作总结</w:t>
            </w:r>
            <w:r>
              <w:rPr>
                <w:sz w:val="18"/>
                <w:szCs w:val="18"/>
              </w:rPr>
              <w:t xml:space="preserve">                                     </w:t>
            </w:r>
            <w:r>
              <w:rPr>
                <w:rFonts w:hint="eastAsia"/>
                <w:sz w:val="18"/>
                <w:szCs w:val="18"/>
              </w:rPr>
              <w:t>扣</w:t>
            </w:r>
            <w:r>
              <w:rPr>
                <w:sz w:val="18"/>
                <w:szCs w:val="18"/>
              </w:rPr>
              <w:t>3</w:t>
            </w:r>
            <w:r>
              <w:rPr>
                <w:rFonts w:hint="eastAsia"/>
                <w:sz w:val="18"/>
                <w:szCs w:val="18"/>
              </w:rPr>
              <w:t>分</w:t>
            </w:r>
          </w:p>
        </w:tc>
        <w:tc>
          <w:tcPr>
            <w:tcW w:w="722"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5</w:t>
            </w:r>
          </w:p>
        </w:tc>
        <w:tc>
          <w:tcPr>
            <w:tcW w:w="722"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 xml:space="preserve"> </w:t>
            </w:r>
          </w:p>
        </w:tc>
        <w:tc>
          <w:tcPr>
            <w:tcW w:w="722"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6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12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529" w:type="dxa"/>
            <w:gridSpan w:val="3"/>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监理工作总结的内容不符合监理规范等要求</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2"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62"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5</w:t>
            </w:r>
          </w:p>
        </w:tc>
        <w:tc>
          <w:tcPr>
            <w:tcW w:w="1236"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rFonts w:hint="eastAsia"/>
                <w:sz w:val="18"/>
                <w:szCs w:val="18"/>
              </w:rPr>
              <w:t>监理</w:t>
            </w:r>
          </w:p>
          <w:p>
            <w:pPr>
              <w:jc w:val="center"/>
              <w:rPr>
                <w:sz w:val="18"/>
                <w:szCs w:val="18"/>
              </w:rPr>
            </w:pPr>
            <w:r>
              <w:rPr>
                <w:rFonts w:hint="eastAsia"/>
                <w:sz w:val="18"/>
                <w:szCs w:val="18"/>
              </w:rPr>
              <w:t>文件资料</w:t>
            </w:r>
          </w:p>
        </w:tc>
        <w:tc>
          <w:tcPr>
            <w:tcW w:w="2181" w:type="dxa"/>
            <w:vMerge w:val="restart"/>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sz w:val="18"/>
                <w:szCs w:val="18"/>
              </w:rPr>
              <w:t xml:space="preserve">C.5.1 </w:t>
            </w:r>
            <w:r>
              <w:rPr>
                <w:rFonts w:hint="eastAsia"/>
                <w:sz w:val="18"/>
                <w:szCs w:val="18"/>
              </w:rPr>
              <w:t>时效</w:t>
            </w:r>
          </w:p>
        </w:tc>
        <w:tc>
          <w:tcPr>
            <w:tcW w:w="7529" w:type="dxa"/>
            <w:gridSpan w:val="3"/>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未按规定完成监理文件资料的整理</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22"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6</w:t>
            </w:r>
          </w:p>
        </w:tc>
        <w:tc>
          <w:tcPr>
            <w:tcW w:w="722"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 xml:space="preserve"> </w:t>
            </w:r>
          </w:p>
        </w:tc>
        <w:tc>
          <w:tcPr>
            <w:tcW w:w="722"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6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12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529" w:type="dxa"/>
            <w:gridSpan w:val="3"/>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未及时将监理文件资料向建设单位移交</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2"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6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12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529" w:type="dxa"/>
            <w:gridSpan w:val="3"/>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未及时将监理文件资料向监理单位移交</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2"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62"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6</w:t>
            </w:r>
          </w:p>
        </w:tc>
        <w:tc>
          <w:tcPr>
            <w:tcW w:w="1236"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rFonts w:hint="eastAsia"/>
                <w:sz w:val="18"/>
                <w:szCs w:val="18"/>
              </w:rPr>
              <w:t>结束期</w:t>
            </w:r>
          </w:p>
          <w:p>
            <w:pPr>
              <w:jc w:val="center"/>
              <w:rPr>
                <w:sz w:val="18"/>
                <w:szCs w:val="18"/>
              </w:rPr>
            </w:pPr>
            <w:r>
              <w:rPr>
                <w:rFonts w:hint="eastAsia"/>
                <w:sz w:val="18"/>
                <w:szCs w:val="18"/>
              </w:rPr>
              <w:t>工作</w:t>
            </w:r>
          </w:p>
        </w:tc>
        <w:tc>
          <w:tcPr>
            <w:tcW w:w="2181"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sz w:val="18"/>
                <w:szCs w:val="18"/>
              </w:rPr>
              <w:t>C.6.1</w:t>
            </w:r>
            <w:r>
              <w:rPr>
                <w:rFonts w:hint="eastAsia"/>
                <w:sz w:val="18"/>
                <w:szCs w:val="18"/>
              </w:rPr>
              <w:t>办理业务手册</w:t>
            </w:r>
          </w:p>
        </w:tc>
        <w:tc>
          <w:tcPr>
            <w:tcW w:w="7529" w:type="dxa"/>
            <w:gridSpan w:val="3"/>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未及时办理监理业务手册</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22"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10</w:t>
            </w:r>
          </w:p>
        </w:tc>
        <w:tc>
          <w:tcPr>
            <w:tcW w:w="722"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6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12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181"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sz w:val="18"/>
                <w:szCs w:val="18"/>
              </w:rPr>
              <w:t>C.6.2</w:t>
            </w:r>
            <w:r>
              <w:rPr>
                <w:rFonts w:hint="eastAsia"/>
                <w:sz w:val="18"/>
                <w:szCs w:val="18"/>
              </w:rPr>
              <w:t>监理工作评价</w:t>
            </w:r>
          </w:p>
        </w:tc>
        <w:tc>
          <w:tcPr>
            <w:tcW w:w="7529" w:type="dxa"/>
            <w:gridSpan w:val="3"/>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建设单位满意度评测</w:t>
            </w:r>
            <w:r>
              <w:rPr>
                <w:sz w:val="18"/>
                <w:szCs w:val="18"/>
              </w:rPr>
              <w:t xml:space="preserve">                                                      </w:t>
            </w:r>
            <w:r>
              <w:rPr>
                <w:rFonts w:hint="eastAsia"/>
                <w:sz w:val="18"/>
                <w:szCs w:val="18"/>
              </w:rPr>
              <w:t>扣</w:t>
            </w:r>
            <w:r>
              <w:rPr>
                <w:sz w:val="18"/>
                <w:szCs w:val="18"/>
              </w:rPr>
              <w:t>1</w:t>
            </w:r>
            <w:r>
              <w:rPr>
                <w:rFonts w:hint="eastAsia" w:cs="宋体"/>
                <w:sz w:val="18"/>
                <w:szCs w:val="18"/>
              </w:rPr>
              <w:t>～</w:t>
            </w:r>
            <w:r>
              <w:rPr>
                <w:sz w:val="18"/>
                <w:szCs w:val="18"/>
              </w:rPr>
              <w:t>8</w:t>
            </w:r>
            <w:r>
              <w:rPr>
                <w:rFonts w:hint="eastAsia"/>
                <w:sz w:val="18"/>
                <w:szCs w:val="18"/>
              </w:rPr>
              <w:t>分</w:t>
            </w:r>
          </w:p>
        </w:tc>
        <w:tc>
          <w:tcPr>
            <w:tcW w:w="7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22"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206" w:type="dxa"/>
            <w:gridSpan w:val="4"/>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可评分评价项目实得分之和：</w:t>
            </w:r>
          </w:p>
        </w:tc>
        <w:tc>
          <w:tcPr>
            <w:tcW w:w="5214"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可评分评价项目应得分之和：</w:t>
            </w:r>
          </w:p>
        </w:tc>
        <w:tc>
          <w:tcPr>
            <w:tcW w:w="3354" w:type="dxa"/>
            <w:gridSpan w:val="4"/>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本表得分（率）：</w:t>
            </w:r>
            <w:r>
              <w:rPr>
                <w:sz w:val="18"/>
                <w:szCs w:val="18"/>
              </w:rPr>
              <w:t xml:space="preserve">  </w:t>
            </w:r>
          </w:p>
        </w:tc>
      </w:tr>
    </w:tbl>
    <w:p>
      <w:pPr>
        <w:spacing w:line="480" w:lineRule="auto"/>
        <w:jc w:val="center"/>
        <w:rPr>
          <w:szCs w:val="21"/>
        </w:rPr>
      </w:pPr>
      <w:r>
        <w:rPr>
          <w:rFonts w:hint="eastAsia"/>
          <w:szCs w:val="21"/>
        </w:rPr>
        <w:t>评分人员：</w:t>
      </w:r>
      <w:r>
        <w:rPr>
          <w:szCs w:val="21"/>
        </w:rPr>
        <w:t xml:space="preserve">                                                                                                  </w:t>
      </w:r>
      <w:r>
        <w:rPr>
          <w:rFonts w:hint="eastAsia"/>
          <w:szCs w:val="21"/>
        </w:rPr>
        <w:t>日期：</w:t>
      </w:r>
      <w:r>
        <w:rPr>
          <w:szCs w:val="21"/>
        </w:rPr>
        <w:t xml:space="preserve">       </w:t>
      </w:r>
      <w:r>
        <w:rPr>
          <w:rFonts w:hint="eastAsia"/>
          <w:szCs w:val="21"/>
        </w:rPr>
        <w:t>年</w:t>
      </w:r>
      <w:r>
        <w:rPr>
          <w:szCs w:val="21"/>
        </w:rPr>
        <w:t xml:space="preserve">   </w:t>
      </w:r>
      <w:r>
        <w:rPr>
          <w:rFonts w:hint="eastAsia"/>
          <w:szCs w:val="21"/>
        </w:rPr>
        <w:t>月</w:t>
      </w:r>
      <w:r>
        <w:rPr>
          <w:szCs w:val="21"/>
        </w:rPr>
        <w:t xml:space="preserve">   </w:t>
      </w:r>
      <w:r>
        <w:rPr>
          <w:rFonts w:hint="eastAsia"/>
          <w:szCs w:val="21"/>
        </w:rPr>
        <w:t>日</w:t>
      </w:r>
    </w:p>
    <w:p>
      <w:pPr>
        <w:widowControl/>
        <w:jc w:val="left"/>
        <w:rPr>
          <w:szCs w:val="21"/>
        </w:rPr>
        <w:sectPr>
          <w:pgSz w:w="16838" w:h="11906" w:orient="landscape"/>
          <w:pgMar w:top="1531" w:right="1418" w:bottom="1134" w:left="1418" w:header="567" w:footer="567" w:gutter="0"/>
          <w:cols w:space="720" w:num="1"/>
          <w:docGrid w:type="lines" w:linePitch="312" w:charSpace="0"/>
        </w:sectPr>
      </w:pPr>
    </w:p>
    <w:p>
      <w:pPr>
        <w:ind w:firstLine="643" w:firstLineChars="200"/>
        <w:rPr>
          <w:b/>
          <w:sz w:val="32"/>
          <w:szCs w:val="32"/>
        </w:rPr>
      </w:pPr>
      <w:r>
        <w:rPr>
          <w:rFonts w:hint="eastAsia"/>
          <w:b/>
          <w:sz w:val="32"/>
          <w:szCs w:val="32"/>
        </w:rPr>
        <w:t>表</w:t>
      </w:r>
      <w:r>
        <w:rPr>
          <w:b/>
          <w:sz w:val="32"/>
          <w:szCs w:val="32"/>
        </w:rPr>
        <w:t xml:space="preserve">D                         </w:t>
      </w:r>
      <w:r>
        <w:rPr>
          <w:rFonts w:hint="eastAsia"/>
          <w:b/>
          <w:sz w:val="32"/>
          <w:szCs w:val="32"/>
        </w:rPr>
        <w:t>施工合同管理监理工作评价表</w:t>
      </w:r>
      <w:r>
        <w:rPr>
          <w:b/>
          <w:sz w:val="32"/>
          <w:szCs w:val="32"/>
        </w:rPr>
        <w:t xml:space="preserve">                            </w:t>
      </w:r>
    </w:p>
    <w:p>
      <w:pPr>
        <w:ind w:firstLine="480" w:firstLineChars="200"/>
        <w:rPr>
          <w:b/>
          <w:sz w:val="32"/>
          <w:szCs w:val="32"/>
        </w:rPr>
      </w:pPr>
      <w:r>
        <w:rPr>
          <w:rFonts w:hint="eastAsia"/>
          <w:sz w:val="24"/>
        </w:rPr>
        <w:t>工程项目名称：</w:t>
      </w:r>
      <w:r>
        <w:rPr>
          <w:sz w:val="24"/>
        </w:rPr>
        <w:t xml:space="preserve">                                                             </w:t>
      </w:r>
      <w:r>
        <w:rPr>
          <w:rFonts w:hint="eastAsia"/>
          <w:sz w:val="24"/>
        </w:rPr>
        <w:t>监理单位名称：</w:t>
      </w:r>
      <w:r>
        <w:rPr>
          <w:sz w:val="24"/>
        </w:rPr>
        <w:t xml:space="preserve">                                                      </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1016"/>
        <w:gridCol w:w="2272"/>
        <w:gridCol w:w="1303"/>
        <w:gridCol w:w="5258"/>
        <w:gridCol w:w="1263"/>
        <w:gridCol w:w="733"/>
        <w:gridCol w:w="733"/>
        <w:gridCol w:w="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67"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rFonts w:hint="eastAsia"/>
                <w:sz w:val="18"/>
                <w:szCs w:val="18"/>
              </w:rPr>
              <w:t>序号</w:t>
            </w:r>
          </w:p>
        </w:tc>
        <w:tc>
          <w:tcPr>
            <w:tcW w:w="1016"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rFonts w:hint="eastAsia"/>
                <w:sz w:val="18"/>
                <w:szCs w:val="18"/>
              </w:rPr>
              <w:t>评价项目</w:t>
            </w:r>
          </w:p>
        </w:tc>
        <w:tc>
          <w:tcPr>
            <w:tcW w:w="2272"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rFonts w:hint="eastAsia"/>
                <w:sz w:val="18"/>
                <w:szCs w:val="18"/>
              </w:rPr>
              <w:t>评价内容</w:t>
            </w:r>
          </w:p>
        </w:tc>
        <w:tc>
          <w:tcPr>
            <w:tcW w:w="7824" w:type="dxa"/>
            <w:gridSpan w:val="3"/>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rFonts w:hint="eastAsia"/>
                <w:sz w:val="18"/>
                <w:szCs w:val="18"/>
              </w:rPr>
              <w:t>评分标准</w:t>
            </w:r>
          </w:p>
        </w:tc>
        <w:tc>
          <w:tcPr>
            <w:tcW w:w="2222"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rFonts w:hint="eastAsia"/>
                <w:sz w:val="18"/>
                <w:szCs w:val="18"/>
              </w:rPr>
              <w:t>评分（分）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66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101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27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824" w:type="dxa"/>
            <w:gridSpan w:val="3"/>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33"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rFonts w:hint="eastAsia"/>
                <w:sz w:val="18"/>
                <w:szCs w:val="18"/>
              </w:rPr>
              <w:t>应得分</w:t>
            </w:r>
          </w:p>
        </w:tc>
        <w:tc>
          <w:tcPr>
            <w:tcW w:w="733"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rFonts w:hint="eastAsia"/>
                <w:sz w:val="18"/>
                <w:szCs w:val="18"/>
              </w:rPr>
              <w:t>扣减分</w:t>
            </w:r>
          </w:p>
        </w:tc>
        <w:tc>
          <w:tcPr>
            <w:tcW w:w="756"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rFonts w:hint="eastAsia"/>
                <w:sz w:val="18"/>
                <w:szCs w:val="18"/>
              </w:rPr>
              <w:t>实得分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1</w:t>
            </w:r>
          </w:p>
        </w:tc>
        <w:tc>
          <w:tcPr>
            <w:tcW w:w="1016"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rFonts w:hint="eastAsia"/>
                <w:sz w:val="18"/>
                <w:szCs w:val="18"/>
              </w:rPr>
              <w:t>施工</w:t>
            </w:r>
          </w:p>
          <w:p>
            <w:pPr>
              <w:jc w:val="center"/>
              <w:rPr>
                <w:sz w:val="18"/>
                <w:szCs w:val="18"/>
              </w:rPr>
            </w:pPr>
            <w:r>
              <w:rPr>
                <w:rFonts w:hint="eastAsia"/>
                <w:sz w:val="18"/>
                <w:szCs w:val="18"/>
              </w:rPr>
              <w:t>合同</w:t>
            </w:r>
          </w:p>
        </w:tc>
        <w:tc>
          <w:tcPr>
            <w:tcW w:w="2272" w:type="dxa"/>
            <w:vMerge w:val="restart"/>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sz w:val="18"/>
                <w:szCs w:val="18"/>
              </w:rPr>
              <w:t>D.1.1</w:t>
            </w:r>
            <w:r>
              <w:rPr>
                <w:rFonts w:hint="eastAsia"/>
                <w:sz w:val="18"/>
                <w:szCs w:val="18"/>
              </w:rPr>
              <w:t>合同管理</w:t>
            </w:r>
          </w:p>
        </w:tc>
        <w:tc>
          <w:tcPr>
            <w:tcW w:w="7824" w:type="dxa"/>
            <w:gridSpan w:val="3"/>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未建立施工合同管理台账</w:t>
            </w:r>
            <w:r>
              <w:rPr>
                <w:sz w:val="18"/>
                <w:szCs w:val="18"/>
              </w:rPr>
              <w:t xml:space="preserve">                                                      </w:t>
            </w:r>
            <w:r>
              <w:rPr>
                <w:rFonts w:hint="eastAsia"/>
                <w:sz w:val="18"/>
                <w:szCs w:val="18"/>
              </w:rPr>
              <w:t>扣</w:t>
            </w:r>
            <w:r>
              <w:rPr>
                <w:sz w:val="18"/>
                <w:szCs w:val="18"/>
              </w:rPr>
              <w:t>1</w:t>
            </w:r>
            <w:r>
              <w:rPr>
                <w:rFonts w:hint="eastAsia"/>
                <w:sz w:val="18"/>
                <w:szCs w:val="18"/>
              </w:rPr>
              <w:t>分</w:t>
            </w:r>
          </w:p>
        </w:tc>
        <w:tc>
          <w:tcPr>
            <w:tcW w:w="733"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5</w:t>
            </w:r>
          </w:p>
        </w:tc>
        <w:tc>
          <w:tcPr>
            <w:tcW w:w="733"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56"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6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101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27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824" w:type="dxa"/>
            <w:gridSpan w:val="3"/>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施工合同及相关资料不齐全，监理未正确处置</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3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33"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5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6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101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27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824" w:type="dxa"/>
            <w:gridSpan w:val="3"/>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未签订施工（分包）合同就施工，监理未正确处置</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3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33"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5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2</w:t>
            </w:r>
          </w:p>
        </w:tc>
        <w:tc>
          <w:tcPr>
            <w:tcW w:w="1016"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rFonts w:hint="eastAsia"/>
                <w:sz w:val="18"/>
                <w:szCs w:val="18"/>
              </w:rPr>
              <w:t>合同履约情况</w:t>
            </w:r>
          </w:p>
        </w:tc>
        <w:tc>
          <w:tcPr>
            <w:tcW w:w="2272" w:type="dxa"/>
            <w:vMerge w:val="restart"/>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sz w:val="18"/>
                <w:szCs w:val="18"/>
              </w:rPr>
              <w:t>D.2.1</w:t>
            </w:r>
            <w:r>
              <w:rPr>
                <w:rFonts w:hint="eastAsia"/>
                <w:sz w:val="18"/>
                <w:szCs w:val="18"/>
              </w:rPr>
              <w:t>合同履约</w:t>
            </w:r>
          </w:p>
        </w:tc>
        <w:tc>
          <w:tcPr>
            <w:tcW w:w="7824" w:type="dxa"/>
            <w:gridSpan w:val="3"/>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施工单位未按施工合同约定配备人员、设备等，监理未正确处置</w:t>
            </w:r>
            <w:r>
              <w:rPr>
                <w:sz w:val="18"/>
                <w:szCs w:val="18"/>
              </w:rPr>
              <w:t xml:space="preserve">                     </w:t>
            </w:r>
            <w:r>
              <w:rPr>
                <w:rFonts w:hint="eastAsia"/>
                <w:sz w:val="18"/>
                <w:szCs w:val="18"/>
              </w:rPr>
              <w:t>扣</w:t>
            </w:r>
            <w:r>
              <w:rPr>
                <w:sz w:val="18"/>
                <w:szCs w:val="18"/>
              </w:rPr>
              <w:t>4</w:t>
            </w:r>
            <w:r>
              <w:rPr>
                <w:rFonts w:hint="eastAsia"/>
                <w:sz w:val="18"/>
                <w:szCs w:val="18"/>
              </w:rPr>
              <w:t>分</w:t>
            </w:r>
          </w:p>
        </w:tc>
        <w:tc>
          <w:tcPr>
            <w:tcW w:w="733"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10</w:t>
            </w:r>
          </w:p>
        </w:tc>
        <w:tc>
          <w:tcPr>
            <w:tcW w:w="733"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56"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6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101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27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824" w:type="dxa"/>
            <w:gridSpan w:val="3"/>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未按施工合同约定的工期完工，监理未正确处置</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3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33"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5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6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101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27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824" w:type="dxa"/>
            <w:gridSpan w:val="3"/>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工程质量未达到合同约定的质量标准，监理未正确处置</w:t>
            </w:r>
            <w:r>
              <w:rPr>
                <w:sz w:val="18"/>
                <w:szCs w:val="18"/>
              </w:rPr>
              <w:t xml:space="preserve">                             </w:t>
            </w:r>
            <w:r>
              <w:rPr>
                <w:rFonts w:hint="eastAsia"/>
                <w:sz w:val="18"/>
                <w:szCs w:val="18"/>
              </w:rPr>
              <w:t>扣</w:t>
            </w:r>
            <w:r>
              <w:rPr>
                <w:sz w:val="18"/>
                <w:szCs w:val="18"/>
              </w:rPr>
              <w:t>4</w:t>
            </w:r>
            <w:r>
              <w:rPr>
                <w:rFonts w:hint="eastAsia"/>
                <w:sz w:val="18"/>
                <w:szCs w:val="18"/>
              </w:rPr>
              <w:t>分</w:t>
            </w:r>
          </w:p>
        </w:tc>
        <w:tc>
          <w:tcPr>
            <w:tcW w:w="73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33"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5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3</w:t>
            </w:r>
          </w:p>
        </w:tc>
        <w:tc>
          <w:tcPr>
            <w:tcW w:w="1016"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rFonts w:hint="eastAsia"/>
                <w:sz w:val="18"/>
                <w:szCs w:val="18"/>
              </w:rPr>
              <w:t>工程暂停及复工</w:t>
            </w:r>
          </w:p>
        </w:tc>
        <w:tc>
          <w:tcPr>
            <w:tcW w:w="2272" w:type="dxa"/>
            <w:vMerge w:val="restart"/>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sz w:val="18"/>
                <w:szCs w:val="18"/>
              </w:rPr>
              <w:t>D.3.1</w:t>
            </w:r>
            <w:r>
              <w:rPr>
                <w:rFonts w:hint="eastAsia"/>
                <w:sz w:val="18"/>
                <w:szCs w:val="18"/>
              </w:rPr>
              <w:t>签发暂停令</w:t>
            </w:r>
          </w:p>
        </w:tc>
        <w:tc>
          <w:tcPr>
            <w:tcW w:w="7824" w:type="dxa"/>
            <w:gridSpan w:val="3"/>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工程发生必须暂停施工的情况，总监未及时签发暂停令或未正确处置</w:t>
            </w:r>
            <w:r>
              <w:rPr>
                <w:sz w:val="18"/>
                <w:szCs w:val="18"/>
              </w:rPr>
              <w:t xml:space="preserve">                 </w:t>
            </w:r>
            <w:r>
              <w:rPr>
                <w:rFonts w:hint="eastAsia"/>
                <w:sz w:val="18"/>
                <w:szCs w:val="18"/>
              </w:rPr>
              <w:t>扣</w:t>
            </w:r>
            <w:r>
              <w:rPr>
                <w:sz w:val="18"/>
                <w:szCs w:val="18"/>
              </w:rPr>
              <w:t>5</w:t>
            </w:r>
            <w:r>
              <w:rPr>
                <w:rFonts w:hint="eastAsia"/>
                <w:sz w:val="18"/>
                <w:szCs w:val="18"/>
              </w:rPr>
              <w:t>分</w:t>
            </w:r>
          </w:p>
        </w:tc>
        <w:tc>
          <w:tcPr>
            <w:tcW w:w="733"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15</w:t>
            </w:r>
          </w:p>
        </w:tc>
        <w:tc>
          <w:tcPr>
            <w:tcW w:w="733"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 xml:space="preserve">  </w:t>
            </w:r>
          </w:p>
        </w:tc>
        <w:tc>
          <w:tcPr>
            <w:tcW w:w="756"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6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101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27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824" w:type="dxa"/>
            <w:gridSpan w:val="3"/>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工程暂停令未明确停工范围，或签发手续不符合监理规范或监理合同</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3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33"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 xml:space="preserve">  </w:t>
            </w:r>
          </w:p>
        </w:tc>
        <w:tc>
          <w:tcPr>
            <w:tcW w:w="75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6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101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27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824" w:type="dxa"/>
            <w:gridSpan w:val="3"/>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工程暂停令应用不当</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3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33"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 xml:space="preserve"> </w:t>
            </w:r>
          </w:p>
        </w:tc>
        <w:tc>
          <w:tcPr>
            <w:tcW w:w="75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6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101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272" w:type="dxa"/>
            <w:vMerge w:val="restart"/>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sz w:val="18"/>
                <w:szCs w:val="18"/>
              </w:rPr>
              <w:t xml:space="preserve">D.3.2 </w:t>
            </w:r>
            <w:r>
              <w:rPr>
                <w:rFonts w:hint="eastAsia"/>
                <w:sz w:val="18"/>
                <w:szCs w:val="18"/>
              </w:rPr>
              <w:t>签发复工令</w:t>
            </w:r>
          </w:p>
        </w:tc>
        <w:tc>
          <w:tcPr>
            <w:tcW w:w="7824" w:type="dxa"/>
            <w:gridSpan w:val="3"/>
            <w:tcBorders>
              <w:top w:val="single" w:color="auto" w:sz="4" w:space="0"/>
              <w:left w:val="single" w:color="auto" w:sz="4" w:space="0"/>
              <w:bottom w:val="single" w:color="auto" w:sz="4" w:space="0"/>
              <w:right w:val="single" w:color="auto" w:sz="4" w:space="0"/>
            </w:tcBorders>
            <w:noWrap w:val="0"/>
            <w:vAlign w:val="center"/>
          </w:tcPr>
          <w:p>
            <w:pPr>
              <w:ind w:left="6840" w:hanging="6840" w:hangingChars="3800"/>
              <w:rPr>
                <w:sz w:val="18"/>
                <w:szCs w:val="18"/>
              </w:rPr>
            </w:pPr>
            <w:r>
              <w:rPr>
                <w:rFonts w:hint="eastAsia"/>
                <w:sz w:val="18"/>
                <w:szCs w:val="18"/>
              </w:rPr>
              <w:t>具备复工条件，监理未及时要求施工单位复工，或未及时签发复工令</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3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33"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 xml:space="preserve"> </w:t>
            </w:r>
          </w:p>
        </w:tc>
        <w:tc>
          <w:tcPr>
            <w:tcW w:w="75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6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101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27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824" w:type="dxa"/>
            <w:gridSpan w:val="3"/>
            <w:tcBorders>
              <w:top w:val="single" w:color="auto" w:sz="4" w:space="0"/>
              <w:left w:val="single" w:color="auto" w:sz="4" w:space="0"/>
              <w:bottom w:val="single" w:color="auto" w:sz="4" w:space="0"/>
              <w:right w:val="single" w:color="auto" w:sz="4" w:space="0"/>
            </w:tcBorders>
            <w:noWrap w:val="0"/>
            <w:vAlign w:val="center"/>
          </w:tcPr>
          <w:p>
            <w:pPr>
              <w:ind w:left="6840" w:hanging="6840" w:hangingChars="3800"/>
              <w:rPr>
                <w:sz w:val="18"/>
                <w:szCs w:val="18"/>
              </w:rPr>
            </w:pPr>
            <w:r>
              <w:rPr>
                <w:rFonts w:hint="eastAsia"/>
                <w:sz w:val="18"/>
                <w:szCs w:val="18"/>
              </w:rPr>
              <w:t>未经建设单位批准，总监已签发复工令</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3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33"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5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6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101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272"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sz w:val="18"/>
                <w:szCs w:val="18"/>
              </w:rPr>
              <w:t xml:space="preserve">D.3.3 </w:t>
            </w:r>
            <w:r>
              <w:rPr>
                <w:rFonts w:hint="eastAsia"/>
                <w:sz w:val="18"/>
                <w:szCs w:val="18"/>
              </w:rPr>
              <w:t>相关事项处理</w:t>
            </w:r>
          </w:p>
        </w:tc>
        <w:tc>
          <w:tcPr>
            <w:tcW w:w="7824" w:type="dxa"/>
            <w:gridSpan w:val="3"/>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未及时处理因工程暂停引起的涉及工期、费用等有关问题</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3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33"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5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4</w:t>
            </w:r>
          </w:p>
        </w:tc>
        <w:tc>
          <w:tcPr>
            <w:tcW w:w="1016"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rFonts w:hint="eastAsia"/>
                <w:sz w:val="18"/>
                <w:szCs w:val="18"/>
              </w:rPr>
              <w:t>工程</w:t>
            </w:r>
          </w:p>
          <w:p>
            <w:pPr>
              <w:jc w:val="center"/>
              <w:rPr>
                <w:sz w:val="18"/>
                <w:szCs w:val="18"/>
              </w:rPr>
            </w:pPr>
            <w:r>
              <w:rPr>
                <w:rFonts w:hint="eastAsia"/>
                <w:sz w:val="18"/>
                <w:szCs w:val="18"/>
              </w:rPr>
              <w:t>变更</w:t>
            </w:r>
          </w:p>
        </w:tc>
        <w:tc>
          <w:tcPr>
            <w:tcW w:w="2272" w:type="dxa"/>
            <w:vMerge w:val="restart"/>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sz w:val="18"/>
                <w:szCs w:val="18"/>
              </w:rPr>
              <w:t xml:space="preserve">D.4.1 </w:t>
            </w:r>
            <w:r>
              <w:rPr>
                <w:rFonts w:hint="eastAsia"/>
                <w:sz w:val="18"/>
                <w:szCs w:val="18"/>
              </w:rPr>
              <w:t>审查、评估</w:t>
            </w:r>
          </w:p>
        </w:tc>
        <w:tc>
          <w:tcPr>
            <w:tcW w:w="7824" w:type="dxa"/>
            <w:gridSpan w:val="3"/>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未对施工单位提出的工程变更进行审查</w:t>
            </w:r>
            <w:r>
              <w:rPr>
                <w:sz w:val="18"/>
                <w:szCs w:val="18"/>
              </w:rPr>
              <w:t xml:space="preserve">                                          </w:t>
            </w:r>
            <w:r>
              <w:rPr>
                <w:rFonts w:hint="eastAsia"/>
                <w:sz w:val="18"/>
                <w:szCs w:val="18"/>
              </w:rPr>
              <w:t>扣</w:t>
            </w:r>
            <w:r>
              <w:rPr>
                <w:sz w:val="18"/>
                <w:szCs w:val="18"/>
              </w:rPr>
              <w:t>4</w:t>
            </w:r>
            <w:r>
              <w:rPr>
                <w:rFonts w:hint="eastAsia"/>
                <w:sz w:val="18"/>
                <w:szCs w:val="18"/>
              </w:rPr>
              <w:t>分</w:t>
            </w:r>
          </w:p>
        </w:tc>
        <w:tc>
          <w:tcPr>
            <w:tcW w:w="733"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10</w:t>
            </w:r>
          </w:p>
        </w:tc>
        <w:tc>
          <w:tcPr>
            <w:tcW w:w="733"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56"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6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101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27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824" w:type="dxa"/>
            <w:gridSpan w:val="3"/>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未对建设单位提出的工程变更进行评估</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3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33"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5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6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101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272"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sz w:val="18"/>
                <w:szCs w:val="18"/>
              </w:rPr>
              <w:t xml:space="preserve">D.4.2 </w:t>
            </w:r>
            <w:r>
              <w:rPr>
                <w:rFonts w:hint="eastAsia"/>
                <w:sz w:val="18"/>
                <w:szCs w:val="18"/>
              </w:rPr>
              <w:t>监管</w:t>
            </w:r>
          </w:p>
        </w:tc>
        <w:tc>
          <w:tcPr>
            <w:tcW w:w="7824" w:type="dxa"/>
            <w:gridSpan w:val="3"/>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未办妥工程变更手续已施工，监理未正确处置</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3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33"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5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6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101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272"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sz w:val="18"/>
                <w:szCs w:val="18"/>
              </w:rPr>
              <w:t xml:space="preserve">D.4.3 </w:t>
            </w:r>
            <w:r>
              <w:rPr>
                <w:rFonts w:hint="eastAsia"/>
                <w:sz w:val="18"/>
                <w:szCs w:val="18"/>
              </w:rPr>
              <w:t>相关事项处理</w:t>
            </w:r>
          </w:p>
        </w:tc>
        <w:tc>
          <w:tcPr>
            <w:tcW w:w="7824" w:type="dxa"/>
            <w:gridSpan w:val="3"/>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未及时处理因工程变更引起的涉及工期、费用等有关问题</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3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33"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5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5</w:t>
            </w:r>
          </w:p>
        </w:tc>
        <w:tc>
          <w:tcPr>
            <w:tcW w:w="1016"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rFonts w:hint="eastAsia"/>
                <w:sz w:val="18"/>
                <w:szCs w:val="18"/>
              </w:rPr>
              <w:t>费用</w:t>
            </w:r>
          </w:p>
          <w:p>
            <w:pPr>
              <w:jc w:val="center"/>
              <w:rPr>
                <w:sz w:val="18"/>
                <w:szCs w:val="18"/>
              </w:rPr>
            </w:pPr>
            <w:r>
              <w:rPr>
                <w:rFonts w:hint="eastAsia"/>
                <w:sz w:val="18"/>
                <w:szCs w:val="18"/>
              </w:rPr>
              <w:t>索赔</w:t>
            </w:r>
          </w:p>
        </w:tc>
        <w:tc>
          <w:tcPr>
            <w:tcW w:w="2272"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sz w:val="18"/>
                <w:szCs w:val="18"/>
              </w:rPr>
              <w:t xml:space="preserve">D.5.1 </w:t>
            </w:r>
            <w:r>
              <w:rPr>
                <w:rFonts w:hint="eastAsia"/>
                <w:sz w:val="18"/>
                <w:szCs w:val="18"/>
              </w:rPr>
              <w:t>收集资料</w:t>
            </w:r>
          </w:p>
        </w:tc>
        <w:tc>
          <w:tcPr>
            <w:tcW w:w="7824" w:type="dxa"/>
            <w:gridSpan w:val="3"/>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未及时收集与工程索赔有关资料</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33"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5</w:t>
            </w:r>
          </w:p>
        </w:tc>
        <w:tc>
          <w:tcPr>
            <w:tcW w:w="733"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56"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6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101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2272"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sz w:val="18"/>
                <w:szCs w:val="18"/>
              </w:rPr>
              <w:t xml:space="preserve">D.5.2 </w:t>
            </w:r>
            <w:r>
              <w:rPr>
                <w:rFonts w:hint="eastAsia"/>
                <w:sz w:val="18"/>
                <w:szCs w:val="18"/>
              </w:rPr>
              <w:t>索赔审查</w:t>
            </w:r>
          </w:p>
        </w:tc>
        <w:tc>
          <w:tcPr>
            <w:tcW w:w="7824" w:type="dxa"/>
            <w:gridSpan w:val="3"/>
            <w:tcBorders>
              <w:top w:val="single" w:color="auto" w:sz="4" w:space="0"/>
              <w:left w:val="single" w:color="auto" w:sz="4" w:space="0"/>
              <w:bottom w:val="single" w:color="auto" w:sz="4" w:space="0"/>
              <w:right w:val="single" w:color="auto" w:sz="4" w:space="0"/>
            </w:tcBorders>
            <w:noWrap w:val="0"/>
            <w:vAlign w:val="center"/>
          </w:tcPr>
          <w:p>
            <w:pPr>
              <w:ind w:left="6840" w:hanging="6840" w:hangingChars="3800"/>
              <w:rPr>
                <w:sz w:val="18"/>
                <w:szCs w:val="18"/>
              </w:rPr>
            </w:pPr>
            <w:r>
              <w:rPr>
                <w:rFonts w:hint="eastAsia"/>
                <w:sz w:val="18"/>
                <w:szCs w:val="18"/>
              </w:rPr>
              <w:t>未按合同约定或相关规定处理索赔</w:t>
            </w:r>
            <w:r>
              <w:rPr>
                <w:sz w:val="18"/>
                <w:szCs w:val="18"/>
              </w:rPr>
              <w:t xml:space="preserve">                                              </w:t>
            </w:r>
            <w:r>
              <w:rPr>
                <w:rFonts w:hint="eastAsia"/>
                <w:sz w:val="18"/>
                <w:szCs w:val="18"/>
              </w:rPr>
              <w:t>扣</w:t>
            </w:r>
            <w:r>
              <w:rPr>
                <w:sz w:val="18"/>
                <w:szCs w:val="18"/>
              </w:rPr>
              <w:t>3</w:t>
            </w:r>
            <w:r>
              <w:rPr>
                <w:rFonts w:hint="eastAsia"/>
                <w:sz w:val="18"/>
                <w:szCs w:val="18"/>
              </w:rPr>
              <w:t>分</w:t>
            </w:r>
          </w:p>
        </w:tc>
        <w:tc>
          <w:tcPr>
            <w:tcW w:w="73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33"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5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6</w:t>
            </w:r>
          </w:p>
        </w:tc>
        <w:tc>
          <w:tcPr>
            <w:tcW w:w="1016"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pacing w:val="-6"/>
                <w:sz w:val="18"/>
                <w:szCs w:val="18"/>
              </w:rPr>
            </w:pPr>
            <w:r>
              <w:rPr>
                <w:rFonts w:hint="eastAsia"/>
                <w:spacing w:val="-6"/>
                <w:sz w:val="18"/>
                <w:szCs w:val="18"/>
              </w:rPr>
              <w:t>工程</w:t>
            </w:r>
          </w:p>
          <w:p>
            <w:pPr>
              <w:jc w:val="center"/>
              <w:rPr>
                <w:spacing w:val="-6"/>
                <w:sz w:val="18"/>
                <w:szCs w:val="18"/>
              </w:rPr>
            </w:pPr>
            <w:r>
              <w:rPr>
                <w:rFonts w:hint="eastAsia"/>
                <w:spacing w:val="-6"/>
                <w:sz w:val="18"/>
                <w:szCs w:val="18"/>
              </w:rPr>
              <w:t>延期</w:t>
            </w:r>
          </w:p>
        </w:tc>
        <w:tc>
          <w:tcPr>
            <w:tcW w:w="2272"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sz w:val="18"/>
                <w:szCs w:val="18"/>
              </w:rPr>
              <w:t xml:space="preserve">D.6.1 </w:t>
            </w:r>
            <w:r>
              <w:rPr>
                <w:rFonts w:hint="eastAsia"/>
                <w:sz w:val="18"/>
                <w:szCs w:val="18"/>
              </w:rPr>
              <w:t>收集资料</w:t>
            </w:r>
          </w:p>
        </w:tc>
        <w:tc>
          <w:tcPr>
            <w:tcW w:w="7824" w:type="dxa"/>
            <w:gridSpan w:val="3"/>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未及时收集与工程延期有关资料</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33"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sz w:val="18"/>
                <w:szCs w:val="18"/>
              </w:rPr>
              <w:t>5</w:t>
            </w:r>
          </w:p>
        </w:tc>
        <w:tc>
          <w:tcPr>
            <w:tcW w:w="733"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56"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6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101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pacing w:val="-6"/>
                <w:sz w:val="18"/>
                <w:szCs w:val="18"/>
              </w:rPr>
            </w:pPr>
          </w:p>
        </w:tc>
        <w:tc>
          <w:tcPr>
            <w:tcW w:w="2272"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sz w:val="18"/>
                <w:szCs w:val="18"/>
              </w:rPr>
              <w:t xml:space="preserve">D.6.2 </w:t>
            </w:r>
            <w:r>
              <w:rPr>
                <w:rFonts w:hint="eastAsia"/>
                <w:sz w:val="18"/>
                <w:szCs w:val="18"/>
              </w:rPr>
              <w:t>延期审查</w:t>
            </w:r>
          </w:p>
        </w:tc>
        <w:tc>
          <w:tcPr>
            <w:tcW w:w="7824" w:type="dxa"/>
            <w:gridSpan w:val="3"/>
            <w:tcBorders>
              <w:top w:val="single" w:color="auto" w:sz="4" w:space="0"/>
              <w:left w:val="single" w:color="auto" w:sz="4" w:space="0"/>
              <w:bottom w:val="single" w:color="auto" w:sz="4" w:space="0"/>
              <w:right w:val="single" w:color="auto" w:sz="4" w:space="0"/>
            </w:tcBorders>
            <w:noWrap w:val="0"/>
            <w:vAlign w:val="center"/>
          </w:tcPr>
          <w:p>
            <w:pPr>
              <w:rPr>
                <w:rFonts w:eastAsia="黑体"/>
                <w:b/>
                <w:sz w:val="18"/>
                <w:szCs w:val="18"/>
              </w:rPr>
            </w:pPr>
            <w:r>
              <w:rPr>
                <w:rFonts w:hint="eastAsia"/>
                <w:sz w:val="18"/>
                <w:szCs w:val="18"/>
              </w:rPr>
              <w:t>未按合同约定或相关规定处理工程延期</w:t>
            </w:r>
            <w:r>
              <w:rPr>
                <w:sz w:val="18"/>
                <w:szCs w:val="18"/>
              </w:rPr>
              <w:t xml:space="preserve">                                          </w:t>
            </w:r>
            <w:r>
              <w:rPr>
                <w:rFonts w:hint="eastAsia"/>
                <w:sz w:val="18"/>
                <w:szCs w:val="18"/>
              </w:rPr>
              <w:t>扣</w:t>
            </w:r>
            <w:r>
              <w:rPr>
                <w:sz w:val="18"/>
                <w:szCs w:val="18"/>
              </w:rPr>
              <w:t>3</w:t>
            </w:r>
            <w:r>
              <w:rPr>
                <w:rFonts w:hint="eastAsia"/>
                <w:sz w:val="18"/>
                <w:szCs w:val="18"/>
              </w:rPr>
              <w:t>分</w:t>
            </w:r>
          </w:p>
        </w:tc>
        <w:tc>
          <w:tcPr>
            <w:tcW w:w="73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c>
          <w:tcPr>
            <w:tcW w:w="733"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p>
        </w:tc>
        <w:tc>
          <w:tcPr>
            <w:tcW w:w="75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258" w:type="dxa"/>
            <w:gridSpan w:val="4"/>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可评分评价项目实得分之和：</w:t>
            </w:r>
          </w:p>
        </w:tc>
        <w:tc>
          <w:tcPr>
            <w:tcW w:w="5258" w:type="dxa"/>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可评分评价项目应得分之和：</w:t>
            </w:r>
            <w:r>
              <w:rPr>
                <w:sz w:val="18"/>
                <w:szCs w:val="18"/>
              </w:rPr>
              <w:t xml:space="preserve"> </w:t>
            </w:r>
          </w:p>
        </w:tc>
        <w:tc>
          <w:tcPr>
            <w:tcW w:w="3485" w:type="dxa"/>
            <w:gridSpan w:val="4"/>
            <w:tcBorders>
              <w:top w:val="single" w:color="auto" w:sz="4" w:space="0"/>
              <w:left w:val="single" w:color="auto" w:sz="4" w:space="0"/>
              <w:bottom w:val="single" w:color="auto" w:sz="4" w:space="0"/>
              <w:right w:val="single" w:color="auto" w:sz="4" w:space="0"/>
            </w:tcBorders>
            <w:noWrap w:val="0"/>
            <w:vAlign w:val="center"/>
          </w:tcPr>
          <w:p>
            <w:pPr>
              <w:rPr>
                <w:sz w:val="18"/>
                <w:szCs w:val="18"/>
              </w:rPr>
            </w:pPr>
            <w:r>
              <w:rPr>
                <w:rFonts w:hint="eastAsia"/>
                <w:sz w:val="18"/>
                <w:szCs w:val="18"/>
              </w:rPr>
              <w:t>本表得分（率）：</w:t>
            </w:r>
          </w:p>
        </w:tc>
      </w:tr>
    </w:tbl>
    <w:p>
      <w:pPr>
        <w:jc w:val="center"/>
        <w:rPr>
          <w:szCs w:val="21"/>
        </w:rPr>
      </w:pPr>
    </w:p>
    <w:p>
      <w:pPr>
        <w:spacing w:line="360" w:lineRule="auto"/>
        <w:jc w:val="center"/>
        <w:rPr>
          <w:b/>
          <w:sz w:val="32"/>
          <w:szCs w:val="32"/>
        </w:rPr>
      </w:pPr>
      <w:r>
        <w:rPr>
          <w:rFonts w:hint="eastAsia"/>
          <w:szCs w:val="21"/>
        </w:rPr>
        <w:t>评分人员：</w:t>
      </w:r>
      <w:r>
        <w:rPr>
          <w:szCs w:val="21"/>
        </w:rPr>
        <w:t xml:space="preserve">                                                                                                  </w:t>
      </w:r>
      <w:r>
        <w:rPr>
          <w:rFonts w:hint="eastAsia"/>
          <w:szCs w:val="21"/>
        </w:rPr>
        <w:t>日期：</w:t>
      </w:r>
      <w:r>
        <w:rPr>
          <w:szCs w:val="21"/>
        </w:rPr>
        <w:t xml:space="preserve">        </w:t>
      </w:r>
      <w:r>
        <w:rPr>
          <w:rFonts w:hint="eastAsia"/>
          <w:szCs w:val="21"/>
        </w:rPr>
        <w:t>年</w:t>
      </w:r>
      <w:r>
        <w:rPr>
          <w:szCs w:val="21"/>
        </w:rPr>
        <w:t xml:space="preserve">   </w:t>
      </w:r>
      <w:r>
        <w:rPr>
          <w:rFonts w:hint="eastAsia"/>
          <w:szCs w:val="21"/>
        </w:rPr>
        <w:t>月</w:t>
      </w:r>
      <w:r>
        <w:rPr>
          <w:szCs w:val="21"/>
        </w:rPr>
        <w:t xml:space="preserve">   </w:t>
      </w:r>
      <w:r>
        <w:rPr>
          <w:rFonts w:hint="eastAsia"/>
          <w:szCs w:val="21"/>
        </w:rPr>
        <w:t>日</w:t>
      </w:r>
    </w:p>
    <w:p>
      <w:pPr>
        <w:widowControl/>
        <w:spacing w:line="360" w:lineRule="auto"/>
        <w:jc w:val="left"/>
        <w:rPr>
          <w:b/>
          <w:sz w:val="32"/>
          <w:szCs w:val="32"/>
        </w:rPr>
        <w:sectPr>
          <w:pgSz w:w="16838" w:h="11906" w:orient="landscape"/>
          <w:pgMar w:top="737" w:right="851" w:bottom="737" w:left="851" w:header="567" w:footer="567" w:gutter="0"/>
          <w:cols w:space="720" w:num="1"/>
          <w:docGrid w:type="lines" w:linePitch="312" w:charSpace="0"/>
        </w:sectPr>
      </w:pPr>
    </w:p>
    <w:p>
      <w:pPr>
        <w:spacing w:after="156" w:afterLines="50" w:line="480" w:lineRule="exact"/>
        <w:ind w:firstLine="643" w:firstLineChars="200"/>
        <w:rPr>
          <w:sz w:val="24"/>
        </w:rPr>
      </w:pPr>
      <w:r>
        <w:rPr>
          <w:rFonts w:hint="eastAsia"/>
          <w:b/>
          <w:sz w:val="32"/>
          <w:szCs w:val="32"/>
        </w:rPr>
        <w:t>表</w:t>
      </w:r>
      <w:r>
        <w:rPr>
          <w:b/>
          <w:sz w:val="32"/>
          <w:szCs w:val="32"/>
        </w:rPr>
        <w:t xml:space="preserve">E           </w:t>
      </w:r>
      <w:r>
        <w:rPr>
          <w:rFonts w:hint="eastAsia"/>
          <w:b/>
          <w:sz w:val="32"/>
          <w:szCs w:val="32"/>
        </w:rPr>
        <w:t>项目监理机构工作评价总表</w:t>
      </w:r>
    </w:p>
    <w:p>
      <w:pPr>
        <w:spacing w:line="480" w:lineRule="exact"/>
        <w:ind w:firstLine="480" w:firstLineChars="200"/>
        <w:rPr>
          <w:sz w:val="24"/>
        </w:rPr>
      </w:pPr>
      <w:r>
        <w:rPr>
          <w:rFonts w:hint="eastAsia"/>
          <w:sz w:val="24"/>
        </w:rPr>
        <w:t>工程项目名称：</w:t>
      </w:r>
    </w:p>
    <w:p>
      <w:pPr>
        <w:spacing w:line="480" w:lineRule="exact"/>
        <w:ind w:firstLine="480" w:firstLineChars="200"/>
        <w:rPr>
          <w:sz w:val="24"/>
        </w:rPr>
      </w:pPr>
      <w:r>
        <w:rPr>
          <w:rFonts w:hint="eastAsia"/>
          <w:sz w:val="24"/>
        </w:rPr>
        <w:t>工程专业类别、等级：</w:t>
      </w:r>
    </w:p>
    <w:p>
      <w:pPr>
        <w:spacing w:line="480" w:lineRule="exact"/>
        <w:ind w:firstLine="480" w:firstLineChars="200"/>
        <w:rPr>
          <w:sz w:val="24"/>
        </w:rPr>
      </w:pPr>
      <w:r>
        <w:rPr>
          <w:rFonts w:hint="eastAsia"/>
          <w:sz w:val="24"/>
        </w:rPr>
        <w:t>工程监理单位名称：</w:t>
      </w:r>
    </w:p>
    <w:p>
      <w:pPr>
        <w:spacing w:after="156" w:afterLines="50" w:line="480" w:lineRule="exact"/>
        <w:ind w:firstLine="480" w:firstLineChars="200"/>
        <w:rPr>
          <w:sz w:val="24"/>
        </w:rPr>
      </w:pPr>
      <w:r>
        <w:rPr>
          <w:rFonts w:hint="eastAsia"/>
          <w:sz w:val="24"/>
        </w:rPr>
        <w:t>总监理工程师姓名及其执业证书号：</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7"/>
        <w:gridCol w:w="3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7" w:hRule="atLeast"/>
        </w:trPr>
        <w:tc>
          <w:tcPr>
            <w:tcW w:w="8688" w:type="dxa"/>
            <w:gridSpan w:val="2"/>
            <w:tcBorders>
              <w:top w:val="single" w:color="auto" w:sz="4" w:space="0"/>
              <w:left w:val="single" w:color="auto" w:sz="4" w:space="0"/>
              <w:bottom w:val="single" w:color="auto" w:sz="4" w:space="0"/>
              <w:right w:val="single" w:color="auto" w:sz="4" w:space="0"/>
            </w:tcBorders>
            <w:noWrap w:val="0"/>
            <w:vAlign w:val="top"/>
          </w:tcPr>
          <w:p>
            <w:pPr>
              <w:spacing w:line="240" w:lineRule="atLeast"/>
              <w:rPr>
                <w:sz w:val="10"/>
                <w:szCs w:val="10"/>
              </w:rPr>
            </w:pPr>
          </w:p>
          <w:p>
            <w:pPr>
              <w:spacing w:line="240" w:lineRule="atLeast"/>
              <w:rPr>
                <w:sz w:val="24"/>
              </w:rPr>
            </w:pPr>
            <w:r>
              <w:rPr>
                <w:rFonts w:hint="eastAsia"/>
                <w:sz w:val="24"/>
              </w:rPr>
              <w:t>一、本次评价属于：</w:t>
            </w:r>
          </w:p>
          <w:p>
            <w:pPr>
              <w:spacing w:line="400" w:lineRule="exact"/>
              <w:ind w:firstLine="480"/>
              <w:rPr>
                <w:sz w:val="24"/>
              </w:rPr>
            </w:pPr>
            <w:r>
              <w:rPr>
                <w:rFonts w:hint="eastAsia"/>
                <w:sz w:val="24"/>
              </w:rPr>
              <w:t>□　</w:t>
            </w:r>
            <w:r>
              <w:rPr>
                <w:sz w:val="24"/>
              </w:rPr>
              <w:t xml:space="preserve"> </w:t>
            </w:r>
            <w:r>
              <w:rPr>
                <w:rFonts w:hint="eastAsia"/>
                <w:sz w:val="24"/>
              </w:rPr>
              <w:t>项目监理机构自我评价</w:t>
            </w:r>
          </w:p>
          <w:p>
            <w:pPr>
              <w:spacing w:line="400" w:lineRule="exact"/>
              <w:ind w:firstLine="480"/>
              <w:rPr>
                <w:sz w:val="24"/>
              </w:rPr>
            </w:pPr>
            <w:r>
              <w:rPr>
                <w:rFonts w:hint="eastAsia"/>
                <w:sz w:val="24"/>
              </w:rPr>
              <w:t>□</w:t>
            </w:r>
            <w:r>
              <w:rPr>
                <w:sz w:val="24"/>
              </w:rPr>
              <w:t xml:space="preserve"> </w:t>
            </w:r>
            <w:r>
              <w:rPr>
                <w:rFonts w:hint="eastAsia"/>
                <w:sz w:val="24"/>
              </w:rPr>
              <w:t>　监理单位对项目监理机构工作的考核评价</w:t>
            </w:r>
          </w:p>
          <w:p>
            <w:pPr>
              <w:spacing w:line="400" w:lineRule="exact"/>
              <w:ind w:firstLine="480"/>
              <w:rPr>
                <w:sz w:val="24"/>
              </w:rPr>
            </w:pPr>
            <w:r>
              <w:rPr>
                <w:rFonts w:hint="eastAsia"/>
                <w:sz w:val="24"/>
              </w:rPr>
              <w:t>□</w:t>
            </w:r>
            <w:r>
              <w:rPr>
                <w:sz w:val="24"/>
              </w:rPr>
              <w:t xml:space="preserve"> </w:t>
            </w:r>
            <w:r>
              <w:rPr>
                <w:rFonts w:hint="eastAsia"/>
                <w:sz w:val="24"/>
              </w:rPr>
              <w:t>　建设单位对项目监理机构工作的考核评价</w:t>
            </w:r>
          </w:p>
          <w:p>
            <w:pPr>
              <w:spacing w:line="400" w:lineRule="exact"/>
              <w:ind w:firstLine="480" w:firstLineChars="200"/>
              <w:rPr>
                <w:sz w:val="24"/>
              </w:rPr>
            </w:pPr>
            <w:r>
              <w:rPr>
                <w:rFonts w:hint="eastAsia"/>
                <w:sz w:val="24"/>
              </w:rPr>
              <w:t>□　</w:t>
            </w:r>
            <w:r>
              <w:rPr>
                <w:sz w:val="24"/>
              </w:rPr>
              <w:t xml:space="preserve"> __________________________  </w:t>
            </w:r>
            <w:r>
              <w:rPr>
                <w:rFonts w:hint="eastAsia"/>
                <w:sz w:val="24"/>
              </w:rPr>
              <w:t>监督检查</w:t>
            </w:r>
          </w:p>
          <w:p>
            <w:pPr>
              <w:spacing w:line="400" w:lineRule="exact"/>
              <w:rPr>
                <w:sz w:val="24"/>
              </w:rPr>
            </w:pPr>
            <w:r>
              <w:rPr>
                <w:rFonts w:hint="eastAsia"/>
                <w:sz w:val="24"/>
              </w:rPr>
              <w:t>二、工程形象进度：</w:t>
            </w:r>
            <w:r>
              <w:rPr>
                <w:sz w:val="24"/>
              </w:rPr>
              <w:t xml:space="preserve"> </w:t>
            </w:r>
          </w:p>
          <w:p>
            <w:pPr>
              <w:spacing w:line="400" w:lineRule="exact"/>
              <w:rPr>
                <w:sz w:val="24"/>
              </w:rPr>
            </w:pPr>
          </w:p>
          <w:p>
            <w:pPr>
              <w:spacing w:line="400" w:lineRule="exact"/>
              <w:rPr>
                <w:sz w:val="24"/>
              </w:rPr>
            </w:pPr>
            <w:r>
              <w:rPr>
                <w:rFonts w:hint="eastAsia"/>
                <w:sz w:val="24"/>
              </w:rPr>
              <w:t>三、项目监理机构工作评价：</w:t>
            </w:r>
          </w:p>
          <w:p>
            <w:pPr>
              <w:numPr>
                <w:ilvl w:val="0"/>
                <w:numId w:val="2"/>
              </w:numPr>
              <w:spacing w:line="400" w:lineRule="exact"/>
              <w:rPr>
                <w:sz w:val="24"/>
              </w:rPr>
            </w:pPr>
            <w:r>
              <w:rPr>
                <w:rFonts w:hint="eastAsia"/>
                <w:sz w:val="24"/>
              </w:rPr>
              <w:t>各单项表评价得分（率）及总得分（率）</w:t>
            </w:r>
          </w:p>
          <w:p>
            <w:pPr>
              <w:numPr>
                <w:ilvl w:val="0"/>
                <w:numId w:val="3"/>
              </w:numPr>
              <w:spacing w:line="400" w:lineRule="exact"/>
              <w:rPr>
                <w:sz w:val="24"/>
              </w:rPr>
            </w:pPr>
            <w:r>
              <w:rPr>
                <w:rFonts w:hint="eastAsia"/>
                <w:sz w:val="24"/>
              </w:rPr>
              <w:t>工程施工准备阶段监理工作得分（率）：</w:t>
            </w:r>
            <w:r>
              <w:rPr>
                <w:sz w:val="24"/>
                <w:u w:val="single"/>
              </w:rPr>
              <w:t xml:space="preserve">                    </w:t>
            </w:r>
          </w:p>
          <w:p>
            <w:pPr>
              <w:numPr>
                <w:ilvl w:val="0"/>
                <w:numId w:val="3"/>
              </w:numPr>
              <w:spacing w:line="400" w:lineRule="exact"/>
              <w:rPr>
                <w:sz w:val="24"/>
              </w:rPr>
            </w:pPr>
            <w:r>
              <w:rPr>
                <w:rFonts w:hint="eastAsia"/>
                <w:sz w:val="24"/>
              </w:rPr>
              <w:t>工程施工阶段监理工作得分（率）：</w:t>
            </w:r>
            <w:r>
              <w:rPr>
                <w:sz w:val="24"/>
              </w:rPr>
              <w:t xml:space="preserve">    </w:t>
            </w:r>
            <w:r>
              <w:rPr>
                <w:sz w:val="24"/>
                <w:u w:val="single"/>
              </w:rPr>
              <w:t xml:space="preserve">                    </w:t>
            </w:r>
          </w:p>
          <w:p>
            <w:pPr>
              <w:numPr>
                <w:ilvl w:val="0"/>
                <w:numId w:val="3"/>
              </w:numPr>
              <w:spacing w:line="400" w:lineRule="exact"/>
              <w:rPr>
                <w:sz w:val="24"/>
              </w:rPr>
            </w:pPr>
            <w:r>
              <w:rPr>
                <w:rFonts w:hint="eastAsia"/>
                <w:sz w:val="24"/>
              </w:rPr>
              <w:t>工程竣工验收阶段监理工作得分（率）：</w:t>
            </w:r>
            <w:r>
              <w:rPr>
                <w:sz w:val="24"/>
                <w:u w:val="single"/>
              </w:rPr>
              <w:t xml:space="preserve">                    </w:t>
            </w:r>
          </w:p>
          <w:p>
            <w:pPr>
              <w:numPr>
                <w:ilvl w:val="0"/>
                <w:numId w:val="3"/>
              </w:numPr>
              <w:spacing w:line="400" w:lineRule="exact"/>
              <w:rPr>
                <w:sz w:val="24"/>
              </w:rPr>
            </w:pPr>
            <w:r>
              <w:rPr>
                <w:rFonts w:hint="eastAsia"/>
                <w:sz w:val="24"/>
              </w:rPr>
              <w:t>施工合同管理监理工作得分（率）：</w:t>
            </w:r>
            <w:r>
              <w:rPr>
                <w:sz w:val="24"/>
              </w:rPr>
              <w:t xml:space="preserve">    </w:t>
            </w:r>
            <w:r>
              <w:rPr>
                <w:sz w:val="24"/>
                <w:u w:val="single"/>
              </w:rPr>
              <w:t xml:space="preserve">                    </w:t>
            </w:r>
          </w:p>
          <w:p>
            <w:pPr>
              <w:numPr>
                <w:ilvl w:val="0"/>
                <w:numId w:val="3"/>
              </w:numPr>
              <w:spacing w:line="400" w:lineRule="exact"/>
              <w:rPr>
                <w:sz w:val="24"/>
              </w:rPr>
            </w:pPr>
            <w:r>
              <w:rPr>
                <w:rFonts w:hint="eastAsia"/>
                <w:sz w:val="24"/>
              </w:rPr>
              <w:t>评价总得分（率）：</w:t>
            </w:r>
            <w:r>
              <w:rPr>
                <w:sz w:val="24"/>
              </w:rPr>
              <w:t xml:space="preserve">                  </w:t>
            </w:r>
            <w:r>
              <w:rPr>
                <w:sz w:val="24"/>
                <w:u w:val="single"/>
              </w:rPr>
              <w:t xml:space="preserve">                    </w:t>
            </w:r>
          </w:p>
          <w:p>
            <w:pPr>
              <w:numPr>
                <w:ilvl w:val="0"/>
                <w:numId w:val="2"/>
              </w:numPr>
              <w:spacing w:line="400" w:lineRule="exact"/>
              <w:rPr>
                <w:sz w:val="24"/>
              </w:rPr>
            </w:pPr>
            <w:r>
              <w:rPr>
                <w:rFonts w:hint="eastAsia"/>
                <w:sz w:val="24"/>
              </w:rPr>
              <w:t>项目监理机构评价等级：</w:t>
            </w:r>
          </w:p>
          <w:p>
            <w:pPr>
              <w:spacing w:line="400" w:lineRule="exact"/>
              <w:ind w:firstLine="480" w:firstLineChars="200"/>
              <w:rPr>
                <w:sz w:val="24"/>
              </w:rPr>
            </w:pPr>
            <w:r>
              <w:rPr>
                <w:rFonts w:hint="eastAsia"/>
                <w:sz w:val="24"/>
              </w:rPr>
              <w:t>□　优秀</w:t>
            </w:r>
          </w:p>
          <w:p>
            <w:pPr>
              <w:spacing w:line="400" w:lineRule="exact"/>
              <w:ind w:firstLine="480" w:firstLineChars="200"/>
              <w:rPr>
                <w:sz w:val="24"/>
              </w:rPr>
            </w:pPr>
            <w:r>
              <w:rPr>
                <w:rFonts w:hint="eastAsia"/>
                <w:sz w:val="24"/>
              </w:rPr>
              <w:t>□　良好</w:t>
            </w:r>
          </w:p>
          <w:p>
            <w:pPr>
              <w:spacing w:line="400" w:lineRule="exact"/>
              <w:ind w:firstLine="480"/>
              <w:rPr>
                <w:sz w:val="24"/>
              </w:rPr>
            </w:pPr>
            <w:r>
              <w:rPr>
                <w:rFonts w:hint="eastAsia"/>
                <w:sz w:val="24"/>
              </w:rPr>
              <w:t>□</w:t>
            </w:r>
            <w:r>
              <w:rPr>
                <w:sz w:val="24"/>
              </w:rPr>
              <w:t xml:space="preserve">  </w:t>
            </w:r>
            <w:r>
              <w:rPr>
                <w:rFonts w:hint="eastAsia"/>
                <w:sz w:val="24"/>
              </w:rPr>
              <w:t>一般</w:t>
            </w:r>
          </w:p>
          <w:p>
            <w:pPr>
              <w:tabs>
                <w:tab w:val="left" w:pos="3234"/>
              </w:tabs>
              <w:spacing w:after="156" w:afterLines="50" w:line="400" w:lineRule="exact"/>
              <w:ind w:firstLine="480" w:firstLineChars="200"/>
              <w:rPr>
                <w:sz w:val="24"/>
              </w:rPr>
            </w:pPr>
            <w:r>
              <w:rPr>
                <w:rFonts w:hint="eastAsia"/>
                <w:sz w:val="24"/>
              </w:rPr>
              <w:t>□　差</w:t>
            </w:r>
            <w:r>
              <w:rPr>
                <w:sz w:val="24"/>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9" w:hRule="atLeast"/>
        </w:trPr>
        <w:tc>
          <w:tcPr>
            <w:tcW w:w="5007" w:type="dxa"/>
            <w:tcBorders>
              <w:top w:val="single" w:color="auto" w:sz="4" w:space="0"/>
              <w:left w:val="single" w:color="auto" w:sz="4" w:space="0"/>
              <w:bottom w:val="single" w:color="auto" w:sz="4" w:space="0"/>
              <w:right w:val="single" w:color="auto" w:sz="4" w:space="0"/>
            </w:tcBorders>
            <w:noWrap w:val="0"/>
            <w:vAlign w:val="top"/>
          </w:tcPr>
          <w:p>
            <w:pPr>
              <w:jc w:val="left"/>
              <w:rPr>
                <w:sz w:val="24"/>
              </w:rPr>
            </w:pPr>
          </w:p>
          <w:p>
            <w:pPr>
              <w:jc w:val="left"/>
              <w:rPr>
                <w:sz w:val="24"/>
              </w:rPr>
            </w:pPr>
            <w:r>
              <w:rPr>
                <w:rFonts w:hint="eastAsia"/>
                <w:sz w:val="24"/>
              </w:rPr>
              <w:t>评分人员：</w:t>
            </w:r>
          </w:p>
          <w:p>
            <w:pPr>
              <w:rPr>
                <w:szCs w:val="21"/>
              </w:rPr>
            </w:pPr>
            <w:r>
              <w:rPr>
                <w:rFonts w:hint="eastAsia"/>
                <w:sz w:val="24"/>
              </w:rPr>
              <w:t>（签</w:t>
            </w:r>
            <w:r>
              <w:rPr>
                <w:sz w:val="24"/>
              </w:rPr>
              <w:t xml:space="preserve"> </w:t>
            </w:r>
            <w:r>
              <w:rPr>
                <w:rFonts w:hint="eastAsia"/>
                <w:sz w:val="24"/>
              </w:rPr>
              <w:t>名）</w:t>
            </w:r>
          </w:p>
          <w:p>
            <w:pPr>
              <w:jc w:val="left"/>
              <w:rPr>
                <w:szCs w:val="21"/>
              </w:rPr>
            </w:pPr>
            <w:r>
              <w:rPr>
                <w:szCs w:val="21"/>
              </w:rPr>
              <w:t xml:space="preserve">    </w:t>
            </w:r>
          </w:p>
          <w:p>
            <w:pPr>
              <w:jc w:val="left"/>
              <w:rPr>
                <w:szCs w:val="21"/>
              </w:rPr>
            </w:pPr>
          </w:p>
          <w:p>
            <w:pPr>
              <w:jc w:val="left"/>
              <w:rPr>
                <w:szCs w:val="21"/>
              </w:rPr>
            </w:pPr>
          </w:p>
          <w:p>
            <w:pPr>
              <w:spacing w:after="156" w:afterLines="50"/>
              <w:jc w:val="right"/>
              <w:rPr>
                <w:sz w:val="24"/>
              </w:rPr>
            </w:pPr>
            <w:r>
              <w:rPr>
                <w:szCs w:val="21"/>
              </w:rPr>
              <w:t xml:space="preserve"> </w:t>
            </w:r>
            <w:r>
              <w:rPr>
                <w:rFonts w:hint="eastAsia"/>
                <w:szCs w:val="21"/>
              </w:rPr>
              <w:t>年</w:t>
            </w:r>
            <w:r>
              <w:rPr>
                <w:szCs w:val="21"/>
              </w:rPr>
              <w:t xml:space="preserve">     </w:t>
            </w:r>
            <w:r>
              <w:rPr>
                <w:rFonts w:hint="eastAsia"/>
                <w:szCs w:val="21"/>
              </w:rPr>
              <w:t>月</w:t>
            </w:r>
            <w:r>
              <w:rPr>
                <w:szCs w:val="21"/>
              </w:rPr>
              <w:t xml:space="preserve">      </w:t>
            </w:r>
            <w:r>
              <w:rPr>
                <w:rFonts w:hint="eastAsia"/>
                <w:szCs w:val="21"/>
              </w:rPr>
              <w:t>日</w:t>
            </w:r>
          </w:p>
        </w:tc>
        <w:tc>
          <w:tcPr>
            <w:tcW w:w="3681" w:type="dxa"/>
            <w:tcBorders>
              <w:top w:val="single" w:color="auto" w:sz="4" w:space="0"/>
              <w:left w:val="single" w:color="auto" w:sz="4" w:space="0"/>
              <w:bottom w:val="single" w:color="auto" w:sz="4" w:space="0"/>
              <w:right w:val="single" w:color="auto" w:sz="4" w:space="0"/>
            </w:tcBorders>
            <w:noWrap w:val="0"/>
            <w:vAlign w:val="top"/>
          </w:tcPr>
          <w:p>
            <w:pPr>
              <w:rPr>
                <w:sz w:val="24"/>
              </w:rPr>
            </w:pPr>
          </w:p>
          <w:p>
            <w:pPr>
              <w:jc w:val="left"/>
              <w:rPr>
                <w:sz w:val="24"/>
              </w:rPr>
            </w:pPr>
            <w:r>
              <w:rPr>
                <w:szCs w:val="21"/>
              </w:rPr>
              <w:t xml:space="preserve"> </w:t>
            </w:r>
            <w:r>
              <w:rPr>
                <w:rFonts w:hint="eastAsia"/>
                <w:sz w:val="24"/>
              </w:rPr>
              <w:t>总监理工程师：</w:t>
            </w:r>
          </w:p>
          <w:p>
            <w:pPr>
              <w:rPr>
                <w:szCs w:val="21"/>
              </w:rPr>
            </w:pPr>
            <w:r>
              <w:rPr>
                <w:rFonts w:hint="eastAsia"/>
                <w:sz w:val="24"/>
              </w:rPr>
              <w:t>（签</w:t>
            </w:r>
            <w:r>
              <w:rPr>
                <w:sz w:val="24"/>
              </w:rPr>
              <w:t xml:space="preserve"> </w:t>
            </w:r>
            <w:r>
              <w:rPr>
                <w:rFonts w:hint="eastAsia"/>
                <w:sz w:val="24"/>
              </w:rPr>
              <w:t>名）</w:t>
            </w:r>
            <w:r>
              <w:rPr>
                <w:szCs w:val="21"/>
              </w:rPr>
              <w:t xml:space="preserve">                       </w:t>
            </w:r>
          </w:p>
          <w:p>
            <w:pPr>
              <w:ind w:firstLine="3465" w:firstLineChars="1650"/>
              <w:rPr>
                <w:szCs w:val="21"/>
              </w:rPr>
            </w:pPr>
            <w:r>
              <w:rPr>
                <w:szCs w:val="21"/>
              </w:rPr>
              <w:t xml:space="preserve">   </w:t>
            </w:r>
          </w:p>
          <w:p>
            <w:pPr>
              <w:rPr>
                <w:szCs w:val="21"/>
              </w:rPr>
            </w:pPr>
          </w:p>
          <w:p>
            <w:pPr>
              <w:rPr>
                <w:szCs w:val="21"/>
              </w:rPr>
            </w:pPr>
          </w:p>
          <w:p>
            <w:pPr>
              <w:rPr>
                <w:szCs w:val="21"/>
              </w:rPr>
            </w:pPr>
            <w:r>
              <w:rPr>
                <w:szCs w:val="21"/>
              </w:rPr>
              <w:t xml:space="preserve">              </w:t>
            </w:r>
            <w:r>
              <w:rPr>
                <w:rFonts w:hint="eastAsia"/>
                <w:szCs w:val="21"/>
              </w:rPr>
              <w:t>年</w:t>
            </w:r>
            <w:r>
              <w:rPr>
                <w:szCs w:val="21"/>
              </w:rPr>
              <w:t xml:space="preserve">     </w:t>
            </w:r>
            <w:r>
              <w:rPr>
                <w:rFonts w:hint="eastAsia"/>
                <w:szCs w:val="21"/>
              </w:rPr>
              <w:t>月</w:t>
            </w:r>
            <w:r>
              <w:rPr>
                <w:szCs w:val="21"/>
              </w:rPr>
              <w:t xml:space="preserve">      </w:t>
            </w:r>
            <w:r>
              <w:rPr>
                <w:rFonts w:hint="eastAsia"/>
                <w:szCs w:val="21"/>
              </w:rPr>
              <w:t>日</w:t>
            </w:r>
          </w:p>
        </w:tc>
      </w:tr>
    </w:tbl>
    <w:p>
      <w:pPr>
        <w:spacing w:line="460" w:lineRule="exact"/>
        <w:jc w:val="center"/>
        <w:rPr>
          <w:rFonts w:ascii="Times New Roman" w:hAnsi="Times New Roman" w:eastAsia="方正小标宋_GBK"/>
          <w:sz w:val="36"/>
          <w:szCs w:val="36"/>
        </w:rPr>
      </w:pPr>
      <w:r>
        <w:rPr>
          <w:rFonts w:eastAsia="方正黑体_GBK"/>
          <w:snapToGrid w:val="0"/>
          <w:kern w:val="0"/>
          <w:sz w:val="32"/>
        </w:rPr>
        <w:br w:type="page"/>
      </w:r>
      <w:bookmarkStart w:id="486" w:name="_Toc20726561"/>
      <w:bookmarkStart w:id="487" w:name="_Toc18315703"/>
      <w:r>
        <w:rPr>
          <w:rFonts w:hint="eastAsia" w:eastAsia="方正小标宋_GBK"/>
          <w:snapToGrid w:val="0"/>
          <w:kern w:val="0"/>
          <w:sz w:val="36"/>
          <w:szCs w:val="36"/>
        </w:rPr>
        <w:t>江苏省住房和城乡建设厅关于</w:t>
      </w:r>
      <w:r>
        <w:rPr>
          <w:rFonts w:hint="eastAsia" w:ascii="Times New Roman" w:hAnsi="Times New Roman" w:eastAsia="方正小标宋_GBK"/>
          <w:sz w:val="36"/>
          <w:szCs w:val="36"/>
        </w:rPr>
        <w:t>试行调整部分</w:t>
      </w:r>
    </w:p>
    <w:p>
      <w:pPr>
        <w:spacing w:line="460" w:lineRule="exact"/>
        <w:jc w:val="center"/>
        <w:rPr>
          <w:rFonts w:hint="eastAsia" w:eastAsia="方正小标宋_GBK"/>
          <w:snapToGrid w:val="0"/>
          <w:kern w:val="0"/>
          <w:sz w:val="36"/>
          <w:szCs w:val="36"/>
        </w:rPr>
      </w:pPr>
      <w:r>
        <w:rPr>
          <w:rFonts w:hint="eastAsia" w:ascii="Times New Roman" w:hAnsi="Times New Roman" w:eastAsia="方正小标宋_GBK"/>
          <w:sz w:val="36"/>
          <w:szCs w:val="36"/>
        </w:rPr>
        <w:t>建筑业企业资质承包工程范围</w:t>
      </w:r>
      <w:r>
        <w:rPr>
          <w:rFonts w:hint="eastAsia" w:eastAsia="方正小标宋_GBK"/>
          <w:snapToGrid w:val="0"/>
          <w:kern w:val="0"/>
          <w:sz w:val="36"/>
          <w:szCs w:val="36"/>
        </w:rPr>
        <w:t>的</w:t>
      </w:r>
      <w:r>
        <w:rPr>
          <w:rFonts w:hint="eastAsia" w:ascii="Times New Roman" w:hAnsi="Times New Roman" w:eastAsia="方正小标宋_GBK"/>
          <w:sz w:val="36"/>
          <w:szCs w:val="36"/>
        </w:rPr>
        <w:t>通知</w:t>
      </w:r>
    </w:p>
    <w:p>
      <w:pPr>
        <w:pStyle w:val="3"/>
        <w:spacing w:before="312" w:beforeLines="100" w:after="312" w:afterLines="100" w:line="240" w:lineRule="auto"/>
        <w:jc w:val="center"/>
        <w:rPr>
          <w:rFonts w:ascii="Times New Roman" w:hAnsi="Times New Roman" w:eastAsia="方正楷体_GBK"/>
          <w:b w:val="0"/>
          <w:sz w:val="24"/>
          <w:szCs w:val="24"/>
        </w:rPr>
      </w:pPr>
      <w:r>
        <w:rPr>
          <w:rFonts w:hint="eastAsia" w:ascii="Times New Roman" w:hAnsi="Times New Roman" w:eastAsia="方正楷体_GBK"/>
          <w:b w:val="0"/>
          <w:sz w:val="24"/>
          <w:szCs w:val="24"/>
        </w:rPr>
        <w:t>苏建规字〔</w:t>
      </w:r>
      <w:r>
        <w:rPr>
          <w:rFonts w:ascii="Times New Roman" w:hAnsi="Times New Roman" w:eastAsia="方正楷体_GBK"/>
          <w:b w:val="0"/>
          <w:sz w:val="24"/>
          <w:szCs w:val="24"/>
        </w:rPr>
        <w:t>2019</w:t>
      </w:r>
      <w:r>
        <w:rPr>
          <w:rFonts w:hint="eastAsia" w:ascii="Times New Roman" w:hAnsi="Times New Roman" w:eastAsia="方正楷体_GBK"/>
          <w:b w:val="0"/>
          <w:sz w:val="24"/>
          <w:szCs w:val="24"/>
        </w:rPr>
        <w:t>〕</w:t>
      </w:r>
      <w:r>
        <w:rPr>
          <w:rFonts w:ascii="Times New Roman" w:hAnsi="Times New Roman" w:eastAsia="方正楷体_GBK"/>
          <w:b w:val="0"/>
          <w:sz w:val="24"/>
          <w:szCs w:val="24"/>
        </w:rPr>
        <w:t>1</w:t>
      </w:r>
      <w:r>
        <w:rPr>
          <w:rFonts w:hint="eastAsia" w:ascii="Times New Roman" w:hAnsi="Times New Roman" w:eastAsia="方正楷体_GBK"/>
          <w:b w:val="0"/>
          <w:sz w:val="24"/>
          <w:szCs w:val="24"/>
        </w:rPr>
        <w:t>号</w:t>
      </w:r>
      <w:bookmarkEnd w:id="486"/>
      <w:bookmarkEnd w:id="487"/>
    </w:p>
    <w:p>
      <w:pPr>
        <w:spacing w:line="460" w:lineRule="exact"/>
        <w:rPr>
          <w:rFonts w:eastAsia="方正仿宋_GBK"/>
          <w:snapToGrid w:val="0"/>
          <w:kern w:val="32"/>
          <w:sz w:val="24"/>
        </w:rPr>
      </w:pPr>
      <w:r>
        <w:rPr>
          <w:rFonts w:hint="eastAsia" w:ascii="Times New Roman" w:hAnsi="Times New Roman" w:eastAsia="方正仿宋_GBK" w:cs="宋体"/>
          <w:kern w:val="0"/>
          <w:sz w:val="32"/>
          <w:szCs w:val="32"/>
        </w:rPr>
        <w:t xml:space="preserve">   </w:t>
      </w:r>
      <w:r>
        <w:rPr>
          <w:rFonts w:hint="eastAsia" w:ascii="Times New Roman" w:hAnsi="Times New Roman" w:eastAsia="方正仿宋_GBK" w:cs="宋体"/>
          <w:kern w:val="0"/>
          <w:sz w:val="24"/>
        </w:rPr>
        <w:t xml:space="preserve"> 为进一步落实建筑业“放管服”改革要求，推动建筑业快速发展，</w:t>
      </w:r>
      <w:r>
        <w:rPr>
          <w:rFonts w:hint="eastAsia" w:ascii="Times New Roman" w:hAnsi="Times New Roman" w:eastAsia="方正仿宋_GBK" w:cs="方正仿宋_GBK"/>
          <w:sz w:val="24"/>
        </w:rPr>
        <w:t>根据《国务院办公厅关于促进建筑业持续健康发展的意见》（国办发〔2017〕19号）和《省政府关于促进建筑业改革发展的意见》（苏政发〔2017〕151号）</w:t>
      </w:r>
      <w:r>
        <w:rPr>
          <w:rFonts w:hint="eastAsia" w:ascii="Times New Roman" w:hAnsi="Times New Roman" w:eastAsia="方正仿宋_GBK"/>
          <w:sz w:val="24"/>
        </w:rPr>
        <w:t>的</w:t>
      </w:r>
      <w:r>
        <w:rPr>
          <w:rFonts w:hint="eastAsia" w:ascii="Times New Roman" w:hAnsi="Times New Roman" w:eastAsia="方正仿宋_GBK" w:cs="方正仿宋_GBK"/>
          <w:sz w:val="24"/>
        </w:rPr>
        <w:t>精神，我厅制定了</w:t>
      </w:r>
      <w:r>
        <w:rPr>
          <w:rFonts w:hint="eastAsia" w:ascii="Times New Roman" w:eastAsia="方正仿宋_GBK"/>
          <w:sz w:val="24"/>
        </w:rPr>
        <w:t>《江苏省住房和城乡建设厅关于试行调整部分建筑业企业资质承包工程范围的通知》，经2018年12月厅常务会议审议通过，现予印发，自2019年3月1日起施行。</w:t>
      </w:r>
    </w:p>
    <w:p>
      <w:pPr>
        <w:autoSpaceDE w:val="0"/>
        <w:autoSpaceDN w:val="0"/>
        <w:snapToGrid w:val="0"/>
        <w:spacing w:line="460" w:lineRule="exact"/>
        <w:ind w:firstLine="624"/>
        <w:rPr>
          <w:rFonts w:ascii="Times New Roman" w:eastAsia="方正仿宋_GBK"/>
          <w:snapToGrid w:val="0"/>
          <w:kern w:val="0"/>
          <w:sz w:val="24"/>
        </w:rPr>
      </w:pPr>
    </w:p>
    <w:p>
      <w:pPr>
        <w:autoSpaceDE w:val="0"/>
        <w:autoSpaceDN w:val="0"/>
        <w:snapToGrid w:val="0"/>
        <w:spacing w:line="460" w:lineRule="exact"/>
        <w:ind w:right="660" w:firstLine="1418"/>
        <w:jc w:val="right"/>
        <w:rPr>
          <w:rFonts w:hint="eastAsia" w:ascii="Times New Roman" w:eastAsia="方正仿宋_GBK"/>
          <w:snapToGrid w:val="0"/>
          <w:kern w:val="0"/>
          <w:sz w:val="24"/>
        </w:rPr>
      </w:pPr>
      <w:r>
        <w:rPr>
          <w:rFonts w:hint="eastAsia" w:ascii="Times New Roman" w:eastAsia="方正仿宋_GBK"/>
          <w:snapToGrid w:val="0"/>
          <w:kern w:val="0"/>
          <w:sz w:val="24"/>
        </w:rPr>
        <w:t xml:space="preserve"> 江苏省住房和城乡建设厅</w:t>
      </w:r>
    </w:p>
    <w:p>
      <w:pPr>
        <w:autoSpaceDE w:val="0"/>
        <w:autoSpaceDN w:val="0"/>
        <w:snapToGrid w:val="0"/>
        <w:spacing w:line="460" w:lineRule="exact"/>
        <w:ind w:right="1260" w:firstLine="624"/>
        <w:rPr>
          <w:rFonts w:hint="eastAsia" w:ascii="Times New Roman" w:eastAsia="方正仿宋_GBK"/>
          <w:snapToGrid w:val="0"/>
          <w:kern w:val="0"/>
          <w:sz w:val="24"/>
        </w:rPr>
      </w:pPr>
      <w:r>
        <w:rPr>
          <w:rFonts w:hint="eastAsia" w:ascii="Times New Roman" w:eastAsia="方正仿宋_GBK"/>
          <w:snapToGrid w:val="0"/>
          <w:kern w:val="0"/>
          <w:sz w:val="24"/>
        </w:rPr>
        <w:t xml:space="preserve">                                           2019年  月  日</w:t>
      </w:r>
    </w:p>
    <w:p>
      <w:pPr>
        <w:spacing w:line="460" w:lineRule="exact"/>
        <w:jc w:val="center"/>
        <w:rPr>
          <w:rFonts w:hint="eastAsia" w:eastAsia="方正小标宋_GBK"/>
          <w:snapToGrid w:val="0"/>
          <w:kern w:val="0"/>
          <w:sz w:val="24"/>
        </w:rPr>
      </w:pPr>
    </w:p>
    <w:p>
      <w:pPr>
        <w:spacing w:line="460" w:lineRule="exact"/>
        <w:jc w:val="center"/>
        <w:rPr>
          <w:rFonts w:eastAsia="方正小标宋_GBK"/>
          <w:snapToGrid w:val="0"/>
          <w:kern w:val="0"/>
          <w:sz w:val="24"/>
        </w:rPr>
      </w:pPr>
    </w:p>
    <w:p>
      <w:pPr>
        <w:spacing w:line="460" w:lineRule="exact"/>
        <w:jc w:val="center"/>
        <w:rPr>
          <w:rFonts w:ascii="Times New Roman" w:hAnsi="Times New Roman" w:eastAsia="方正小标宋_GBK"/>
          <w:sz w:val="36"/>
          <w:szCs w:val="36"/>
        </w:rPr>
      </w:pPr>
      <w:r>
        <w:rPr>
          <w:rFonts w:hint="eastAsia" w:eastAsia="方正小标宋_GBK"/>
          <w:snapToGrid w:val="0"/>
          <w:kern w:val="0"/>
          <w:sz w:val="36"/>
          <w:szCs w:val="36"/>
        </w:rPr>
        <w:t>江苏省住房和城乡建设厅关于</w:t>
      </w:r>
      <w:r>
        <w:rPr>
          <w:rFonts w:hint="eastAsia" w:ascii="Times New Roman" w:hAnsi="Times New Roman" w:eastAsia="方正小标宋_GBK"/>
          <w:sz w:val="36"/>
          <w:szCs w:val="36"/>
        </w:rPr>
        <w:t>试行调整部分</w:t>
      </w:r>
    </w:p>
    <w:p>
      <w:pPr>
        <w:spacing w:line="460" w:lineRule="exact"/>
        <w:jc w:val="center"/>
        <w:rPr>
          <w:rFonts w:hint="eastAsia" w:eastAsia="方正小标宋_GBK"/>
          <w:snapToGrid w:val="0"/>
          <w:kern w:val="0"/>
          <w:sz w:val="36"/>
          <w:szCs w:val="36"/>
        </w:rPr>
      </w:pPr>
      <w:r>
        <w:rPr>
          <w:rFonts w:hint="eastAsia" w:ascii="Times New Roman" w:hAnsi="Times New Roman" w:eastAsia="方正小标宋_GBK"/>
          <w:sz w:val="36"/>
          <w:szCs w:val="36"/>
        </w:rPr>
        <w:t>建筑业企业资质承包工程范围</w:t>
      </w:r>
      <w:r>
        <w:rPr>
          <w:rFonts w:hint="eastAsia" w:eastAsia="方正小标宋_GBK"/>
          <w:snapToGrid w:val="0"/>
          <w:kern w:val="0"/>
          <w:sz w:val="36"/>
          <w:szCs w:val="36"/>
        </w:rPr>
        <w:t>的</w:t>
      </w:r>
      <w:r>
        <w:rPr>
          <w:rFonts w:hint="eastAsia" w:ascii="Times New Roman" w:hAnsi="Times New Roman" w:eastAsia="方正小标宋_GBK"/>
          <w:sz w:val="36"/>
          <w:szCs w:val="36"/>
        </w:rPr>
        <w:t>通知</w:t>
      </w:r>
    </w:p>
    <w:p>
      <w:pPr>
        <w:spacing w:line="460" w:lineRule="exact"/>
        <w:ind w:firstLine="480" w:firstLineChars="200"/>
        <w:rPr>
          <w:rFonts w:ascii="Times New Roman" w:hAnsi="Times New Roman" w:eastAsia="方正仿宋_GBK" w:cs="宋体"/>
          <w:kern w:val="0"/>
          <w:sz w:val="24"/>
        </w:rPr>
      </w:pPr>
    </w:p>
    <w:p>
      <w:pPr>
        <w:spacing w:line="46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宋体"/>
          <w:kern w:val="0"/>
          <w:sz w:val="24"/>
        </w:rPr>
        <w:t>为进一步落实建筑业“放管服”改革要求，推动建筑业快速发展，</w:t>
      </w:r>
      <w:r>
        <w:rPr>
          <w:rFonts w:hint="eastAsia" w:ascii="Times New Roman" w:hAnsi="Times New Roman" w:eastAsia="方正仿宋_GBK" w:cs="方正仿宋_GBK"/>
          <w:sz w:val="24"/>
        </w:rPr>
        <w:t>根据《国务院办公厅关于促进建筑业持续健康发展的意见》（国办发〔2017〕19号）“</w:t>
      </w:r>
      <w:r>
        <w:rPr>
          <w:rFonts w:hint="eastAsia" w:ascii="Times New Roman" w:hAnsi="Times New Roman" w:eastAsia="方正仿宋_GBK"/>
          <w:color w:val="000000"/>
          <w:sz w:val="24"/>
          <w:shd w:val="clear" w:color="auto" w:fill="FFFFFF"/>
        </w:rPr>
        <w:t>选择部分地区开展试点，对信用良好、具有相关专业技术能力、能够提供足额担保的企业，在其资质类别内放宽承揽业务范围限制”</w:t>
      </w:r>
      <w:r>
        <w:rPr>
          <w:rFonts w:hint="eastAsia" w:ascii="Times New Roman" w:hAnsi="Times New Roman" w:eastAsia="方正仿宋_GBK" w:cs="方正仿宋_GBK"/>
          <w:color w:val="000000"/>
          <w:sz w:val="24"/>
        </w:rPr>
        <w:t>，</w:t>
      </w:r>
      <w:r>
        <w:rPr>
          <w:rFonts w:hint="eastAsia" w:ascii="Times New Roman" w:hAnsi="Times New Roman" w:eastAsia="方正仿宋_GBK" w:cs="方正仿宋_GBK"/>
          <w:sz w:val="24"/>
        </w:rPr>
        <w:t>《省政府关于促进建筑业改革发展的意见》（苏政发〔2017〕151号）“</w:t>
      </w:r>
      <w:r>
        <w:rPr>
          <w:rFonts w:hint="eastAsia" w:ascii="Times New Roman" w:hAnsi="Times New Roman" w:eastAsia="方正仿宋_GBK"/>
          <w:sz w:val="24"/>
        </w:rPr>
        <w:t>扩大承接业务范围，对信誉良好、具有相关专业技术能力、能够提供足额担保的企业，允许其在资质类别内承接高一等级资质相应的业务”、“取得施工总承包资质的企业，可以承接总承包资质覆盖范围内的专业承包工程”的</w:t>
      </w:r>
      <w:r>
        <w:rPr>
          <w:rFonts w:hint="eastAsia" w:ascii="Times New Roman" w:hAnsi="Times New Roman" w:eastAsia="方正仿宋_GBK" w:cs="方正仿宋_GBK"/>
          <w:sz w:val="24"/>
        </w:rPr>
        <w:t>精神，按照住房城乡建设部关于在我省开展建筑业改革综合试点的要求，现就我省试行调整部分建筑业企业资质承包工程范围事宜通知如下：</w:t>
      </w:r>
    </w:p>
    <w:p>
      <w:pPr>
        <w:spacing w:line="460" w:lineRule="exact"/>
        <w:ind w:firstLine="480" w:firstLineChars="200"/>
        <w:rPr>
          <w:rFonts w:hint="eastAsia" w:ascii="Times New Roman" w:hAnsi="Times New Roman" w:eastAsia="方正黑体_GBK" w:cs="方正仿宋_GBK"/>
          <w:sz w:val="24"/>
        </w:rPr>
      </w:pPr>
      <w:r>
        <w:rPr>
          <w:rFonts w:hint="eastAsia" w:ascii="Times New Roman" w:hAnsi="Times New Roman" w:eastAsia="方正黑体_GBK" w:cs="方正仿宋_GBK"/>
          <w:sz w:val="24"/>
        </w:rPr>
        <w:t>一、调整部分专业承包资质承包工程范围</w:t>
      </w:r>
    </w:p>
    <w:p>
      <w:pPr>
        <w:spacing w:line="46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先行在不涉及建筑主体结构的部分二级专业承包资质中调整承包工程的范围。</w:t>
      </w:r>
    </w:p>
    <w:p>
      <w:pPr>
        <w:spacing w:line="46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符合下列条件的二级专业承包资质企业可以承接一级资质相应的业务。</w:t>
      </w:r>
    </w:p>
    <w:p>
      <w:pPr>
        <w:numPr>
          <w:ilvl w:val="0"/>
          <w:numId w:val="4"/>
        </w:numPr>
        <w:spacing w:line="460" w:lineRule="exact"/>
        <w:rPr>
          <w:rFonts w:hint="eastAsia" w:ascii="Times New Roman" w:hAnsi="Times New Roman" w:eastAsia="方正仿宋_GBK" w:cs="方正仿宋_GBK"/>
          <w:sz w:val="24"/>
        </w:rPr>
      </w:pPr>
      <w:r>
        <w:rPr>
          <w:rFonts w:hint="eastAsia" w:ascii="Times New Roman" w:hAnsi="Times New Roman" w:eastAsia="方正仿宋_GBK" w:cs="方正仿宋_GBK"/>
          <w:sz w:val="24"/>
        </w:rPr>
        <w:t>试行资质类别</w:t>
      </w:r>
    </w:p>
    <w:p>
      <w:pPr>
        <w:spacing w:line="460" w:lineRule="exact"/>
        <w:ind w:left="160"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电子与智能化工程专业承包、防水防腐保温工程专业承包、城市及道路照明工程专业承包、环保工程专业承包。</w:t>
      </w:r>
    </w:p>
    <w:p>
      <w:pPr>
        <w:spacing w:line="46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（二）企业信誉良好</w:t>
      </w:r>
    </w:p>
    <w:p>
      <w:pPr>
        <w:widowControl/>
        <w:spacing w:line="460" w:lineRule="exact"/>
        <w:ind w:firstLine="480" w:firstLineChars="200"/>
        <w:jc w:val="left"/>
        <w:rPr>
          <w:rFonts w:hint="eastAsia" w:ascii="Times New Roman" w:hAnsi="Times New Roman" w:eastAsia="方正仿宋_GBK" w:cs="宋体"/>
          <w:kern w:val="0"/>
          <w:sz w:val="24"/>
        </w:rPr>
      </w:pPr>
      <w:r>
        <w:rPr>
          <w:rFonts w:hint="eastAsia" w:ascii="Times New Roman" w:hAnsi="Times New Roman" w:eastAsia="方正仿宋_GBK" w:cs="宋体"/>
          <w:kern w:val="0"/>
          <w:sz w:val="24"/>
        </w:rPr>
        <w:t>自2017年11月24日</w:t>
      </w:r>
      <w:r>
        <w:rPr>
          <w:rFonts w:hint="eastAsia" w:ascii="Times New Roman" w:hAnsi="Times New Roman" w:eastAsia="方正仿宋_GBK" w:cs="方正仿宋_GBK"/>
          <w:sz w:val="24"/>
        </w:rPr>
        <w:t>《省政府关于促进建筑业改革发展的意见》（苏政发〔2017〕151号）实施之日起</w:t>
      </w:r>
      <w:r>
        <w:rPr>
          <w:rFonts w:hint="eastAsia" w:ascii="Times New Roman" w:hAnsi="Times New Roman" w:eastAsia="方正仿宋_GBK" w:cs="宋体"/>
          <w:kern w:val="0"/>
          <w:sz w:val="24"/>
        </w:rPr>
        <w:t>无下列行为：</w:t>
      </w:r>
    </w:p>
    <w:p>
      <w:pPr>
        <w:widowControl/>
        <w:spacing w:line="460" w:lineRule="exact"/>
        <w:ind w:firstLine="480" w:firstLineChars="200"/>
        <w:jc w:val="left"/>
        <w:rPr>
          <w:rFonts w:hint="eastAsia" w:ascii="Times New Roman" w:hAnsi="Times New Roman" w:eastAsia="方正仿宋_GBK" w:cs="宋体"/>
          <w:kern w:val="0"/>
          <w:sz w:val="24"/>
        </w:rPr>
      </w:pPr>
      <w:r>
        <w:rPr>
          <w:rFonts w:hint="eastAsia" w:ascii="Times New Roman" w:hAnsi="Times New Roman" w:eastAsia="方正仿宋_GBK" w:cs="宋体"/>
          <w:kern w:val="0"/>
          <w:sz w:val="24"/>
        </w:rPr>
        <w:t>1．因拖欠民工工资被县级以上建设行政主管部门通报的；</w:t>
      </w:r>
    </w:p>
    <w:p>
      <w:pPr>
        <w:widowControl/>
        <w:spacing w:line="460" w:lineRule="exact"/>
        <w:ind w:firstLine="480" w:firstLineChars="200"/>
        <w:jc w:val="left"/>
        <w:rPr>
          <w:rFonts w:hint="eastAsia" w:ascii="Times New Roman" w:hAnsi="Times New Roman" w:eastAsia="方正仿宋_GBK" w:cs="宋体"/>
          <w:kern w:val="0"/>
          <w:sz w:val="24"/>
        </w:rPr>
      </w:pPr>
      <w:r>
        <w:rPr>
          <w:rFonts w:hint="eastAsia" w:ascii="Times New Roman" w:hAnsi="Times New Roman" w:eastAsia="方正仿宋_GBK" w:cs="宋体"/>
          <w:kern w:val="0"/>
          <w:sz w:val="24"/>
        </w:rPr>
        <w:t>2．因违反建筑市场相关规定被县级以上建设行政主管部门行政处罚或者限制市场准入的。</w:t>
      </w:r>
    </w:p>
    <w:p>
      <w:pPr>
        <w:widowControl/>
        <w:spacing w:line="460" w:lineRule="exact"/>
        <w:ind w:firstLine="480" w:firstLineChars="200"/>
        <w:jc w:val="left"/>
        <w:rPr>
          <w:rFonts w:hint="eastAsia" w:ascii="Times New Roman" w:hAnsi="Times New Roman" w:eastAsia="方正仿宋_GBK" w:cs="宋体"/>
          <w:kern w:val="0"/>
          <w:sz w:val="24"/>
        </w:rPr>
      </w:pPr>
      <w:r>
        <w:rPr>
          <w:rFonts w:hint="eastAsia" w:ascii="Times New Roman" w:hAnsi="Times New Roman" w:eastAsia="方正仿宋_GBK" w:cs="宋体"/>
          <w:kern w:val="0"/>
          <w:sz w:val="24"/>
        </w:rPr>
        <w:t>试行期间，企业发生上述情形的，从通报或者决定作出之日起，</w:t>
      </w:r>
      <w:r>
        <w:rPr>
          <w:rFonts w:hint="eastAsia" w:ascii="Times New Roman" w:hAnsi="Times New Roman" w:eastAsia="方正仿宋_GBK" w:cs="宋体"/>
          <w:color w:val="000000"/>
          <w:kern w:val="0"/>
          <w:sz w:val="24"/>
        </w:rPr>
        <w:t>在纠正违法行为，消除不良影响，</w:t>
      </w:r>
      <w:r>
        <w:rPr>
          <w:rFonts w:hint="eastAsia" w:ascii="Times New Roman" w:hAnsi="Times New Roman" w:eastAsia="方正仿宋_GBK" w:cs="宋体"/>
          <w:kern w:val="0"/>
          <w:sz w:val="24"/>
        </w:rPr>
        <w:t>恢复信用前，不得承接新的试点工程。</w:t>
      </w:r>
    </w:p>
    <w:p>
      <w:pPr>
        <w:spacing w:line="46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（三）具有相关专业技术能力</w:t>
      </w:r>
    </w:p>
    <w:p>
      <w:pPr>
        <w:spacing w:line="46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项目负责人具备拟承接工程所需的相应专业的注册建造师资格，并主持完成过本类别资质二级以上标准要求的工程业绩不少于2项；企业近5年内承担过本类别资质二级以上标准要求的工程业绩不少于2类。未发生过质量安全事故，且上述业绩已在全国建筑市场监管公共服务平台备案。</w:t>
      </w:r>
    </w:p>
    <w:p>
      <w:pPr>
        <w:spacing w:line="460" w:lineRule="exact"/>
        <w:ind w:firstLine="720"/>
        <w:rPr>
          <w:rFonts w:hint="eastAsia" w:ascii="Times New Roman" w:hAnsi="Times New Roman" w:eastAsia="方正仿宋_GBK" w:cs="方正仿宋_GBK"/>
          <w:sz w:val="24"/>
        </w:rPr>
      </w:pPr>
      <w:r>
        <w:rPr>
          <w:rFonts w:hint="eastAsia" w:ascii="Times New Roman" w:hAnsi="Times New Roman" w:eastAsia="方正仿宋_GBK" w:cs="方正仿宋_GBK"/>
          <w:sz w:val="24"/>
        </w:rPr>
        <w:t>（四）能够提供足额履约担保</w:t>
      </w:r>
    </w:p>
    <w:p>
      <w:pPr>
        <w:spacing w:line="460" w:lineRule="exact"/>
        <w:ind w:firstLine="720"/>
        <w:rPr>
          <w:rFonts w:hint="eastAsia" w:ascii="Times New Roman" w:hAnsi="Times New Roman" w:eastAsia="方正仿宋_GBK" w:cs="方正仿宋_GBK"/>
          <w:sz w:val="24"/>
        </w:rPr>
      </w:pPr>
      <w:r>
        <w:rPr>
          <w:rFonts w:hint="eastAsia" w:ascii="Times New Roman" w:hAnsi="Times New Roman" w:eastAsia="方正仿宋_GBK" w:cs="方正仿宋_GBK"/>
          <w:sz w:val="24"/>
        </w:rPr>
        <w:t>企业以银行担保、保证保险等方式提供合同总价10%的履约担保。</w:t>
      </w:r>
    </w:p>
    <w:p>
      <w:pPr>
        <w:spacing w:line="460" w:lineRule="exact"/>
        <w:ind w:firstLine="720"/>
        <w:rPr>
          <w:rFonts w:hint="eastAsia" w:ascii="Times New Roman" w:hAnsi="Times New Roman" w:eastAsia="方正仿宋_GBK" w:cs="方正仿宋_GBK"/>
          <w:sz w:val="24"/>
        </w:rPr>
      </w:pPr>
      <w:r>
        <w:rPr>
          <w:rFonts w:hint="eastAsia" w:ascii="Times New Roman" w:hAnsi="Times New Roman" w:eastAsia="方正仿宋_GBK" w:cs="方正仿宋_GBK"/>
          <w:sz w:val="24"/>
        </w:rPr>
        <w:t>发包单位在发包相应专业工程业务时，对企业是否具备上述条件进行审查，并对审查结果负责。发包单位不得拒绝符合上述条件的企业承揽相应工程业务。</w:t>
      </w:r>
    </w:p>
    <w:p>
      <w:pPr>
        <w:spacing w:line="460" w:lineRule="exact"/>
        <w:ind w:firstLine="720"/>
        <w:rPr>
          <w:rFonts w:hint="eastAsia" w:ascii="Times New Roman" w:hAnsi="Times New Roman" w:eastAsia="方正黑体_GBK" w:cs="方正仿宋_GBK"/>
          <w:sz w:val="24"/>
        </w:rPr>
      </w:pPr>
      <w:r>
        <w:rPr>
          <w:rFonts w:hint="eastAsia" w:ascii="Times New Roman" w:hAnsi="Times New Roman" w:eastAsia="方正黑体_GBK" w:cs="方正仿宋_GBK"/>
          <w:sz w:val="24"/>
        </w:rPr>
        <w:t>二、取得施工总承包资质的企业，可以承接总承包资质覆盖范围内的专业承包工程</w:t>
      </w:r>
    </w:p>
    <w:p>
      <w:pPr>
        <w:spacing w:line="46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（一）试行资质类别</w:t>
      </w:r>
    </w:p>
    <w:p>
      <w:pPr>
        <w:spacing w:line="46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具有建筑工程、市政公用工程、机电工程施工总承包资质的企业，可以对总承包范围内不高于总承包资质等级的专业承包工程自行施工，不再需要具备相应的专业承包工程资质；</w:t>
      </w:r>
      <w:r>
        <w:rPr>
          <w:rFonts w:hint="eastAsia" w:ascii="Times New Roman" w:hAnsi="Times New Roman" w:eastAsia="方正仿宋_GBK" w:cs="宋体"/>
          <w:sz w:val="24"/>
        </w:rPr>
        <w:t>也可以将专业承包工程依法分包给具有相应资质的专业承包企业。</w:t>
      </w:r>
    </w:p>
    <w:p>
      <w:pPr>
        <w:spacing w:line="46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（二）总承包资质覆盖范围</w:t>
      </w:r>
    </w:p>
    <w:p>
      <w:pPr>
        <w:spacing w:line="460" w:lineRule="exact"/>
        <w:ind w:firstLine="480" w:firstLineChars="200"/>
        <w:rPr>
          <w:rFonts w:hint="eastAsia" w:ascii="Times New Roman" w:hAnsi="Times New Roman" w:eastAsia="方正仿宋_GBK" w:cs="宋体"/>
          <w:sz w:val="24"/>
        </w:rPr>
      </w:pPr>
      <w:r>
        <w:rPr>
          <w:rFonts w:hint="eastAsia" w:ascii="Times New Roman" w:hAnsi="Times New Roman" w:eastAsia="方正仿宋_GBK" w:cs="方正仿宋_GBK"/>
          <w:sz w:val="24"/>
        </w:rPr>
        <w:t>1．建筑工程施工总承包资质：覆盖地基基础工程、起重设备安装工程、电子与智能化工程、消防设施工程、建筑装修装饰工程、建筑机电安装工程、建筑幕墙工程专业承包资质的工程范围；</w:t>
      </w:r>
      <w:r>
        <w:rPr>
          <w:rFonts w:hint="eastAsia" w:ascii="Times New Roman" w:hAnsi="Times New Roman" w:eastAsia="方正仿宋_GBK" w:cs="宋体"/>
          <w:sz w:val="24"/>
        </w:rPr>
        <w:t xml:space="preserve"> </w:t>
      </w:r>
    </w:p>
    <w:p>
      <w:pPr>
        <w:spacing w:line="460" w:lineRule="exact"/>
        <w:ind w:firstLine="480" w:firstLineChars="200"/>
        <w:rPr>
          <w:rFonts w:hint="eastAsia" w:ascii="Times New Roman" w:hAnsi="Times New Roman" w:eastAsia="方正仿宋_GBK" w:cs="宋体"/>
          <w:color w:val="000000"/>
          <w:kern w:val="0"/>
          <w:sz w:val="24"/>
        </w:rPr>
      </w:pPr>
      <w:r>
        <w:rPr>
          <w:rFonts w:hint="eastAsia" w:ascii="Times New Roman" w:hAnsi="Times New Roman" w:eastAsia="方正仿宋_GBK" w:cs="方正仿宋_GBK"/>
          <w:sz w:val="24"/>
        </w:rPr>
        <w:t>2．市政公用工程施工总承包资质：覆盖</w:t>
      </w:r>
      <w:r>
        <w:rPr>
          <w:rFonts w:hint="eastAsia" w:ascii="Times New Roman" w:hAnsi="Times New Roman" w:eastAsia="方正仿宋_GBK" w:cs="宋体"/>
          <w:color w:val="000000"/>
          <w:kern w:val="0"/>
          <w:sz w:val="24"/>
        </w:rPr>
        <w:t>城市及道路照明工程、桥梁工程、隧道工程、环保工程、机场场道工程</w:t>
      </w:r>
      <w:r>
        <w:rPr>
          <w:rFonts w:hint="eastAsia" w:ascii="Times New Roman" w:hAnsi="Times New Roman" w:eastAsia="方正仿宋_GBK" w:cs="方正仿宋_GBK"/>
          <w:sz w:val="24"/>
        </w:rPr>
        <w:t>专业承包资质的工程范围</w:t>
      </w:r>
      <w:r>
        <w:rPr>
          <w:rFonts w:hint="eastAsia" w:ascii="Times New Roman" w:hAnsi="Times New Roman" w:eastAsia="方正仿宋_GBK" w:cs="方正仿宋_GBK"/>
          <w:b/>
          <w:sz w:val="24"/>
        </w:rPr>
        <w:t>；</w:t>
      </w:r>
      <w:r>
        <w:rPr>
          <w:rFonts w:hint="eastAsia" w:ascii="Times New Roman" w:hAnsi="Times New Roman" w:eastAsia="方正仿宋_GBK" w:cs="方正仿宋_GBK"/>
          <w:sz w:val="24"/>
        </w:rPr>
        <w:t xml:space="preserve"> </w:t>
      </w:r>
    </w:p>
    <w:p>
      <w:pPr>
        <w:spacing w:line="460" w:lineRule="exact"/>
        <w:ind w:firstLine="480" w:firstLineChars="200"/>
        <w:rPr>
          <w:rFonts w:hint="eastAsia" w:ascii="Times New Roman" w:hAnsi="Times New Roman" w:eastAsia="方正仿宋_GBK" w:cs="宋体"/>
          <w:color w:val="000000"/>
          <w:kern w:val="0"/>
          <w:sz w:val="24"/>
        </w:rPr>
      </w:pPr>
      <w:r>
        <w:rPr>
          <w:rFonts w:hint="eastAsia" w:ascii="Times New Roman" w:hAnsi="Times New Roman" w:eastAsia="方正仿宋_GBK" w:cs="方正仿宋_GBK"/>
          <w:sz w:val="24"/>
        </w:rPr>
        <w:t>3．机电工程施工总承包资质：覆盖起重设备安装工程、建筑机电安装工程专业承包资质的工程范围</w:t>
      </w:r>
      <w:r>
        <w:rPr>
          <w:rFonts w:hint="eastAsia" w:ascii="Times New Roman" w:hAnsi="Times New Roman" w:eastAsia="方正仿宋_GBK" w:cs="方正仿宋_GBK"/>
          <w:b/>
          <w:sz w:val="24"/>
        </w:rPr>
        <w:t>。</w:t>
      </w:r>
    </w:p>
    <w:p>
      <w:pPr>
        <w:spacing w:line="46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上述三类施工总承包资质均覆盖总承包范围内的防水防腐保温工程、特种工程、模板脚手架专业承包工程。</w:t>
      </w:r>
    </w:p>
    <w:p>
      <w:pPr>
        <w:spacing w:line="460" w:lineRule="exact"/>
        <w:ind w:firstLine="480" w:firstLineChars="200"/>
        <w:rPr>
          <w:rFonts w:hint="eastAsia" w:ascii="Times New Roman" w:hAnsi="Times New Roman" w:eastAsia="方正仿宋_GBK" w:cs="宋体"/>
          <w:sz w:val="24"/>
        </w:rPr>
      </w:pPr>
      <w:r>
        <w:rPr>
          <w:rFonts w:hint="eastAsia" w:ascii="Times New Roman" w:hAnsi="Times New Roman" w:eastAsia="方正仿宋_GBK" w:cs="宋体"/>
          <w:sz w:val="24"/>
        </w:rPr>
        <w:t>（三）具有施工总承包资质的企业，未取得覆盖范围内的专业承包资质，不得承接其他施工总承包企业依法分包的专业工程或者建设单位依法发包的专业工程。</w:t>
      </w:r>
    </w:p>
    <w:p>
      <w:pPr>
        <w:spacing w:line="460" w:lineRule="exact"/>
        <w:ind w:firstLine="480" w:firstLineChars="200"/>
        <w:rPr>
          <w:rFonts w:hint="eastAsia" w:ascii="Times New Roman" w:hAnsi="Times New Roman" w:eastAsia="方正黑体_GBK" w:cs="方正仿宋_GBK"/>
          <w:sz w:val="24"/>
        </w:rPr>
      </w:pPr>
      <w:r>
        <w:rPr>
          <w:rFonts w:hint="eastAsia" w:ascii="Times New Roman" w:hAnsi="Times New Roman" w:eastAsia="方正黑体_GBK" w:cs="方正仿宋_GBK"/>
          <w:sz w:val="24"/>
        </w:rPr>
        <w:t>三、其他事宜</w:t>
      </w:r>
    </w:p>
    <w:p>
      <w:pPr>
        <w:spacing w:line="46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 xml:space="preserve">（一）各地建设主管部门要对本通知试行的情况进行重点跟踪，强化对试点工程项目的工程质量和安全监督管理，督促工程建设各方主体责任落实到位。 </w:t>
      </w:r>
    </w:p>
    <w:p>
      <w:pPr>
        <w:spacing w:line="46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（二）本试行办法自</w:t>
      </w:r>
      <w:r>
        <w:rPr>
          <w:rFonts w:hint="eastAsia" w:ascii="Times New Roman" w:hAnsi="Times New Roman" w:eastAsia="方正仿宋_GBK" w:cs="方正仿宋_GBK"/>
          <w:color w:val="000000"/>
          <w:sz w:val="24"/>
        </w:rPr>
        <w:t>2019年3月1日</w:t>
      </w:r>
      <w:r>
        <w:rPr>
          <w:rFonts w:hint="eastAsia" w:ascii="Times New Roman" w:hAnsi="Times New Roman" w:eastAsia="方正仿宋_GBK" w:cs="方正仿宋_GBK"/>
          <w:sz w:val="24"/>
        </w:rPr>
        <w:t>起试行。试行过程中，省</w:t>
      </w:r>
      <w:r>
        <w:rPr>
          <w:rFonts w:hint="eastAsia" w:ascii="Times New Roman" w:eastAsia="方正仿宋_GBK"/>
          <w:snapToGrid w:val="0"/>
          <w:kern w:val="0"/>
          <w:sz w:val="24"/>
        </w:rPr>
        <w:t>住房和城乡建设</w:t>
      </w:r>
      <w:r>
        <w:rPr>
          <w:rFonts w:hint="eastAsia" w:ascii="Times New Roman" w:hAnsi="Times New Roman" w:eastAsia="方正仿宋_GBK" w:cs="方正仿宋_GBK"/>
          <w:sz w:val="24"/>
        </w:rPr>
        <w:t>厅将根据试行情况和国家工程审批制度改革以及资质管理制度改革的要求，对本试行办法进行调整或者终止试行。</w:t>
      </w:r>
    </w:p>
    <w:p>
      <w:pPr>
        <w:spacing w:line="460" w:lineRule="exact"/>
        <w:rPr>
          <w:rFonts w:hint="eastAsia" w:ascii="Times New Roman" w:hAnsi="Times New Roman" w:eastAsia="方正仿宋_GBK" w:cs="方正仿宋_GBK"/>
          <w:b/>
          <w:sz w:val="24"/>
        </w:rPr>
      </w:pPr>
    </w:p>
    <w:p>
      <w:pPr>
        <w:spacing w:line="460" w:lineRule="exact"/>
        <w:jc w:val="center"/>
        <w:rPr>
          <w:rFonts w:hint="eastAsia" w:ascii="Times New Roman" w:hAnsi="Times New Roman" w:eastAsia="方正仿宋_GBK" w:cs="方正仿宋_GBK"/>
          <w:sz w:val="24"/>
        </w:rPr>
      </w:pPr>
      <w:r>
        <w:rPr>
          <w:rFonts w:hint="eastAsia" w:ascii="Times New Roman" w:hAnsi="Times New Roman" w:eastAsia="方正仿宋_GBK" w:cs="方正仿宋_GBK"/>
          <w:sz w:val="24"/>
        </w:rPr>
        <w:t xml:space="preserve">              </w:t>
      </w:r>
    </w:p>
    <w:p>
      <w:pPr>
        <w:spacing w:line="460" w:lineRule="exact"/>
        <w:jc w:val="center"/>
        <w:rPr>
          <w:rFonts w:hint="eastAsia" w:ascii="Times New Roman" w:hAnsi="Times New Roman" w:eastAsia="方正仿宋_GBK" w:cs="方正仿宋_GBK"/>
          <w:sz w:val="24"/>
        </w:rPr>
      </w:pPr>
      <w:r>
        <w:rPr>
          <w:rFonts w:hint="eastAsia" w:ascii="Times New Roman" w:hAnsi="Times New Roman" w:eastAsia="方正仿宋_GBK" w:cs="方正仿宋_GBK"/>
          <w:sz w:val="24"/>
        </w:rPr>
        <w:t xml:space="preserve">           </w:t>
      </w:r>
    </w:p>
    <w:p>
      <w:pPr>
        <w:spacing w:line="460" w:lineRule="exact"/>
        <w:jc w:val="center"/>
        <w:rPr>
          <w:rFonts w:hint="eastAsia" w:ascii="Times New Roman" w:hAnsi="Times New Roman" w:eastAsia="方正仿宋_GBK" w:cs="方正仿宋_GBK"/>
          <w:sz w:val="24"/>
        </w:rPr>
      </w:pPr>
      <w:r>
        <w:rPr>
          <w:rFonts w:hint="eastAsia" w:ascii="Times New Roman" w:hAnsi="Times New Roman" w:eastAsia="方正仿宋_GBK" w:cs="方正仿宋_GBK"/>
          <w:sz w:val="24"/>
        </w:rPr>
        <w:t xml:space="preserve"> </w:t>
      </w:r>
    </w:p>
    <w:p>
      <w:pPr>
        <w:spacing w:line="460" w:lineRule="exact"/>
        <w:jc w:val="center"/>
        <w:rPr>
          <w:rFonts w:hint="eastAsia" w:eastAsia="方正仿宋_GBK"/>
          <w:sz w:val="24"/>
        </w:rPr>
      </w:pPr>
    </w:p>
    <w:p>
      <w:pPr>
        <w:spacing w:line="460" w:lineRule="exact"/>
        <w:rPr>
          <w:rFonts w:eastAsia="方正仿宋_GBK"/>
          <w:snapToGrid w:val="0"/>
          <w:kern w:val="0"/>
          <w:sz w:val="24"/>
          <w:highlight w:val="yellow"/>
        </w:rPr>
      </w:pPr>
    </w:p>
    <w:p>
      <w:pPr>
        <w:spacing w:line="460" w:lineRule="exact"/>
        <w:rPr>
          <w:rFonts w:ascii="Times New Roman" w:eastAsia="方正仿宋_GBK"/>
          <w:sz w:val="24"/>
        </w:rPr>
      </w:pPr>
    </w:p>
    <w:p>
      <w:pPr>
        <w:tabs>
          <w:tab w:val="left" w:pos="1442"/>
        </w:tabs>
        <w:autoSpaceDE w:val="0"/>
        <w:autoSpaceDN w:val="0"/>
        <w:adjustRightInd w:val="0"/>
        <w:snapToGrid w:val="0"/>
        <w:spacing w:line="460" w:lineRule="exact"/>
        <w:ind w:left="3045" w:leftChars="1450" w:right="105" w:rightChars="50"/>
        <w:jc w:val="center"/>
        <w:rPr>
          <w:rFonts w:hint="eastAsia"/>
          <w:sz w:val="24"/>
        </w:rPr>
      </w:pPr>
    </w:p>
    <w:p>
      <w:pPr>
        <w:autoSpaceDE w:val="0"/>
        <w:autoSpaceDN w:val="0"/>
        <w:snapToGrid w:val="0"/>
        <w:spacing w:line="460" w:lineRule="exact"/>
        <w:rPr>
          <w:rFonts w:eastAsia="方正仿宋_GBK"/>
          <w:snapToGrid w:val="0"/>
          <w:kern w:val="0"/>
          <w:sz w:val="24"/>
        </w:rPr>
      </w:pPr>
    </w:p>
    <w:p>
      <w:pPr>
        <w:tabs>
          <w:tab w:val="left" w:pos="9193"/>
          <w:tab w:val="left" w:pos="9827"/>
        </w:tabs>
        <w:autoSpaceDE w:val="0"/>
        <w:autoSpaceDN w:val="0"/>
        <w:snapToGrid w:val="0"/>
        <w:spacing w:line="460" w:lineRule="exact"/>
        <w:jc w:val="center"/>
        <w:rPr>
          <w:rFonts w:ascii="Times New Roman" w:eastAsia="方正仿宋_GBK"/>
          <w:sz w:val="24"/>
        </w:rPr>
      </w:pPr>
    </w:p>
    <w:p>
      <w:pPr>
        <w:tabs>
          <w:tab w:val="left" w:pos="9193"/>
          <w:tab w:val="left" w:pos="9827"/>
        </w:tabs>
        <w:autoSpaceDE w:val="0"/>
        <w:autoSpaceDN w:val="0"/>
        <w:snapToGrid w:val="0"/>
        <w:spacing w:line="460" w:lineRule="exact"/>
        <w:jc w:val="center"/>
        <w:rPr>
          <w:rFonts w:hint="eastAsia" w:ascii="Times New Roman" w:eastAsia="方正仿宋_GBK"/>
          <w:sz w:val="24"/>
        </w:rPr>
      </w:pPr>
    </w:p>
    <w:p>
      <w:pPr>
        <w:spacing w:line="460" w:lineRule="exact"/>
        <w:rPr>
          <w:rFonts w:hint="eastAsia" w:eastAsia="方正仿宋_GBK" w:cs="宋体"/>
          <w:kern w:val="0"/>
          <w:sz w:val="24"/>
        </w:rPr>
      </w:pPr>
    </w:p>
    <w:p>
      <w:pPr>
        <w:spacing w:line="460" w:lineRule="exact"/>
        <w:rPr>
          <w:rFonts w:eastAsia="方正仿宋_GBK" w:cs="宋体"/>
          <w:kern w:val="0"/>
          <w:sz w:val="24"/>
        </w:rPr>
      </w:pPr>
    </w:p>
    <w:p>
      <w:pPr>
        <w:spacing w:line="460" w:lineRule="exact"/>
        <w:rPr>
          <w:rFonts w:eastAsia="方正仿宋_GBK" w:cs="宋体"/>
          <w:kern w:val="0"/>
          <w:sz w:val="24"/>
        </w:rPr>
      </w:pPr>
    </w:p>
    <w:p>
      <w:pPr>
        <w:pStyle w:val="2"/>
        <w:spacing w:before="312" w:beforeLines="100" w:after="312" w:afterLines="100" w:line="240" w:lineRule="auto"/>
        <w:jc w:val="center"/>
        <w:rPr>
          <w:rFonts w:ascii="Times New Roman" w:eastAsia="方正小标宋_GBK"/>
          <w:b w:val="0"/>
          <w:sz w:val="36"/>
          <w:szCs w:val="36"/>
        </w:rPr>
      </w:pPr>
      <w:bookmarkStart w:id="488" w:name="_Toc18315704"/>
      <w:bookmarkStart w:id="489" w:name="_Toc20726562"/>
      <w:r>
        <w:rPr>
          <w:rFonts w:hint="eastAsia" w:ascii="Times New Roman" w:eastAsia="方正小标宋_GBK"/>
          <w:b w:val="0"/>
          <w:sz w:val="36"/>
          <w:szCs w:val="36"/>
        </w:rPr>
        <w:t>省住房城乡建设厅 省交通厅 省水利厅关于试行部分 类别的施工总承包资质企业跨专业承接工程的通知</w:t>
      </w:r>
      <w:bookmarkEnd w:id="488"/>
      <w:bookmarkEnd w:id="489"/>
    </w:p>
    <w:p>
      <w:pPr>
        <w:pStyle w:val="3"/>
        <w:spacing w:before="312" w:beforeLines="100" w:after="312" w:afterLines="100" w:line="240" w:lineRule="auto"/>
        <w:jc w:val="center"/>
        <w:rPr>
          <w:rFonts w:hint="eastAsia" w:ascii="Times New Roman" w:hAnsi="Times New Roman" w:eastAsia="方正楷体_GBK"/>
          <w:b w:val="0"/>
          <w:sz w:val="24"/>
          <w:szCs w:val="24"/>
        </w:rPr>
      </w:pPr>
      <w:bookmarkStart w:id="490" w:name="_Toc20726563"/>
      <w:bookmarkStart w:id="491" w:name="_Toc18315705"/>
      <w:r>
        <w:rPr>
          <w:rFonts w:hint="eastAsia" w:ascii="Times New Roman" w:hAnsi="Times New Roman" w:eastAsia="方正楷体_GBK"/>
          <w:b w:val="0"/>
          <w:sz w:val="24"/>
          <w:szCs w:val="24"/>
        </w:rPr>
        <w:t>苏建规字〔</w:t>
      </w:r>
      <w:r>
        <w:rPr>
          <w:rFonts w:ascii="Times New Roman" w:hAnsi="Times New Roman" w:eastAsia="方正楷体_GBK"/>
          <w:b w:val="0"/>
          <w:sz w:val="24"/>
          <w:szCs w:val="24"/>
        </w:rPr>
        <w:t>2019</w:t>
      </w:r>
      <w:r>
        <w:rPr>
          <w:rFonts w:hint="eastAsia" w:ascii="Times New Roman" w:hAnsi="Times New Roman" w:eastAsia="方正楷体_GBK"/>
          <w:b w:val="0"/>
          <w:sz w:val="24"/>
          <w:szCs w:val="24"/>
        </w:rPr>
        <w:t>〕</w:t>
      </w:r>
      <w:r>
        <w:rPr>
          <w:rFonts w:ascii="Times New Roman" w:hAnsi="Times New Roman" w:eastAsia="方正楷体_GBK"/>
          <w:b w:val="0"/>
          <w:sz w:val="24"/>
          <w:szCs w:val="24"/>
        </w:rPr>
        <w:t>2</w:t>
      </w:r>
      <w:r>
        <w:rPr>
          <w:rFonts w:hint="eastAsia" w:ascii="Times New Roman" w:hAnsi="Times New Roman" w:eastAsia="方正楷体_GBK"/>
          <w:b w:val="0"/>
          <w:sz w:val="24"/>
          <w:szCs w:val="24"/>
        </w:rPr>
        <w:t>号</w:t>
      </w:r>
      <w:bookmarkEnd w:id="490"/>
      <w:bookmarkEnd w:id="491"/>
    </w:p>
    <w:p>
      <w:pPr>
        <w:spacing w:line="460" w:lineRule="exact"/>
        <w:ind w:firstLine="480" w:firstLineChars="200"/>
        <w:rPr>
          <w:rFonts w:eastAsia="方正仿宋_GBK" w:cs="方正仿宋_GBK"/>
          <w:sz w:val="24"/>
        </w:rPr>
      </w:pPr>
      <w:r>
        <w:rPr>
          <w:rFonts w:hint="eastAsia" w:eastAsia="方正仿宋_GBK" w:cs="宋体"/>
          <w:kern w:val="0"/>
          <w:sz w:val="24"/>
        </w:rPr>
        <w:t>为进一步落实建筑业“放管服”改革要求，推动建筑业快速发展，</w:t>
      </w:r>
      <w:r>
        <w:rPr>
          <w:rFonts w:hint="eastAsia" w:eastAsia="方正仿宋_GBK" w:cs="方正仿宋_GBK"/>
          <w:sz w:val="24"/>
        </w:rPr>
        <w:t>根据《国务院办公厅关于促进建筑业持续健康发展的意见》（国办发〔</w:t>
      </w:r>
      <w:r>
        <w:rPr>
          <w:rFonts w:eastAsia="方正仿宋_GBK" w:cs="方正仿宋_GBK"/>
          <w:sz w:val="24"/>
        </w:rPr>
        <w:t>2017</w:t>
      </w:r>
      <w:r>
        <w:rPr>
          <w:rFonts w:hint="eastAsia" w:eastAsia="方正仿宋_GBK" w:cs="方正仿宋_GBK"/>
          <w:sz w:val="24"/>
        </w:rPr>
        <w:t>〕</w:t>
      </w:r>
      <w:r>
        <w:rPr>
          <w:rFonts w:eastAsia="方正仿宋_GBK" w:cs="方正仿宋_GBK"/>
          <w:sz w:val="24"/>
        </w:rPr>
        <w:t>19</w:t>
      </w:r>
      <w:r>
        <w:rPr>
          <w:rFonts w:hint="eastAsia" w:eastAsia="方正仿宋_GBK" w:cs="方正仿宋_GBK"/>
          <w:sz w:val="24"/>
        </w:rPr>
        <w:t>号）、《省政府关于促进建筑业改革发展的意见》（苏政发〔</w:t>
      </w:r>
      <w:r>
        <w:rPr>
          <w:rFonts w:eastAsia="方正仿宋_GBK" w:cs="方正仿宋_GBK"/>
          <w:sz w:val="24"/>
        </w:rPr>
        <w:t>2017</w:t>
      </w:r>
      <w:r>
        <w:rPr>
          <w:rFonts w:hint="eastAsia" w:eastAsia="方正仿宋_GBK" w:cs="方正仿宋_GBK"/>
          <w:sz w:val="24"/>
        </w:rPr>
        <w:t>〕</w:t>
      </w:r>
      <w:r>
        <w:rPr>
          <w:rFonts w:eastAsia="方正仿宋_GBK" w:cs="方正仿宋_GBK"/>
          <w:sz w:val="24"/>
        </w:rPr>
        <w:t>151</w:t>
      </w:r>
      <w:r>
        <w:rPr>
          <w:rFonts w:hint="eastAsia" w:eastAsia="方正仿宋_GBK" w:cs="方正仿宋_GBK"/>
          <w:sz w:val="24"/>
        </w:rPr>
        <w:t>号）等文件精神，按照住房城乡建设部关于在我省开展建筑业改革综合试点的要求，现就我省试行部分类别的施工总承包资质企业跨专业承接工程有关事宜通知如下：</w:t>
      </w:r>
    </w:p>
    <w:p>
      <w:pPr>
        <w:spacing w:line="460" w:lineRule="exact"/>
        <w:ind w:firstLine="480" w:firstLineChars="200"/>
        <w:rPr>
          <w:rFonts w:eastAsia="方正仿宋_GBK" w:cs="方正仿宋_GBK"/>
          <w:sz w:val="24"/>
        </w:rPr>
      </w:pPr>
      <w:r>
        <w:rPr>
          <w:rFonts w:hint="eastAsia" w:eastAsia="方正仿宋_GBK" w:cs="方正仿宋_GBK"/>
          <w:sz w:val="24"/>
        </w:rPr>
        <w:t>一、具有市政公用工程、公路工程、水利水电工程、港口与航道工程任意一项一级及以上施工总承包资质，信誉良好且符合下列条件的企业，可以跨专业承接其他三个类别同等级资质相应的工程。</w:t>
      </w:r>
    </w:p>
    <w:p>
      <w:pPr>
        <w:spacing w:line="460" w:lineRule="exact"/>
        <w:ind w:firstLine="480" w:firstLineChars="200"/>
        <w:rPr>
          <w:rFonts w:eastAsia="方正仿宋_GBK" w:cs="方正仿宋_GBK"/>
          <w:sz w:val="24"/>
        </w:rPr>
      </w:pPr>
      <w:r>
        <w:rPr>
          <w:rFonts w:hint="eastAsia" w:eastAsia="方正仿宋_GBK" w:cs="方正仿宋_GBK"/>
          <w:sz w:val="24"/>
        </w:rPr>
        <w:t>（一）企业须提供合同总价</w:t>
      </w:r>
      <w:r>
        <w:rPr>
          <w:rFonts w:eastAsia="方正仿宋_GBK" w:cs="方正仿宋_GBK"/>
          <w:sz w:val="24"/>
        </w:rPr>
        <w:t>10%</w:t>
      </w:r>
      <w:r>
        <w:rPr>
          <w:rFonts w:hint="eastAsia" w:eastAsia="方正仿宋_GBK" w:cs="方正仿宋_GBK"/>
          <w:sz w:val="24"/>
        </w:rPr>
        <w:t>的履约担保，担保方式由发包人结合企业信用等因素自行确定，优先采用银行担保、保证保险等方式。</w:t>
      </w:r>
    </w:p>
    <w:p>
      <w:pPr>
        <w:spacing w:line="460" w:lineRule="exact"/>
        <w:ind w:firstLine="480" w:firstLineChars="200"/>
        <w:rPr>
          <w:rFonts w:eastAsia="方正仿宋_GBK" w:cs="方正仿宋_GBK"/>
          <w:sz w:val="24"/>
        </w:rPr>
      </w:pPr>
      <w:r>
        <w:rPr>
          <w:rFonts w:hint="eastAsia" w:eastAsia="方正仿宋_GBK" w:cs="方正仿宋_GBK"/>
          <w:sz w:val="24"/>
        </w:rPr>
        <w:t>（二）拟承接工程的项目负责人和技术负责人作为项目经理或者项目技术负责人主持完成过拟承接类别一级资质以上标准要求的工程业绩，且未发生过质量安全事故，该工程业绩已在国家或者我省相应的工程项目监管平台备案。</w:t>
      </w:r>
    </w:p>
    <w:p>
      <w:pPr>
        <w:spacing w:line="460" w:lineRule="exact"/>
        <w:ind w:firstLine="720"/>
        <w:rPr>
          <w:rFonts w:eastAsia="方正仿宋_GBK" w:cs="方正仿宋_GBK"/>
          <w:sz w:val="24"/>
        </w:rPr>
      </w:pPr>
      <w:r>
        <w:rPr>
          <w:rFonts w:hint="eastAsia" w:eastAsia="方正仿宋_GBK" w:cs="方正仿宋_GBK"/>
          <w:sz w:val="24"/>
        </w:rPr>
        <w:t>（三）现场施工管理机构和项目部关键岗位人员配备须符合相关行业的管理要求。</w:t>
      </w:r>
    </w:p>
    <w:p>
      <w:pPr>
        <w:spacing w:line="460" w:lineRule="exact"/>
        <w:ind w:firstLine="480" w:firstLineChars="200"/>
        <w:rPr>
          <w:rFonts w:eastAsia="方正仿宋_GBK" w:cs="方正仿宋_GBK"/>
          <w:sz w:val="24"/>
        </w:rPr>
      </w:pPr>
      <w:r>
        <w:rPr>
          <w:rFonts w:hint="eastAsia" w:eastAsia="方正仿宋_GBK" w:cs="方正仿宋_GBK"/>
          <w:sz w:val="24"/>
        </w:rPr>
        <w:t>二、跨专业承接的市政公用工程不包括燃气工程、热力工程、轨道交通工程、环境卫生工程、照明工程；公路工程不包括高速公路、单跨</w:t>
      </w:r>
      <w:r>
        <w:rPr>
          <w:rFonts w:eastAsia="方正仿宋_GBK" w:cs="方正仿宋_GBK"/>
          <w:sz w:val="24"/>
        </w:rPr>
        <w:t>&gt;500</w:t>
      </w:r>
      <w:r>
        <w:rPr>
          <w:rFonts w:hint="eastAsia" w:eastAsia="方正仿宋_GBK" w:cs="方正仿宋_GBK"/>
          <w:sz w:val="24"/>
        </w:rPr>
        <w:t>米或者总长</w:t>
      </w:r>
      <w:r>
        <w:rPr>
          <w:rFonts w:eastAsia="方正仿宋_GBK" w:cs="方正仿宋_GBK"/>
          <w:sz w:val="24"/>
        </w:rPr>
        <w:t>&gt;1000</w:t>
      </w:r>
      <w:r>
        <w:rPr>
          <w:rFonts w:hint="eastAsia" w:eastAsia="方正仿宋_GBK" w:cs="方正仿宋_GBK"/>
          <w:sz w:val="24"/>
        </w:rPr>
        <w:t>米的独立大桥工程，港口与航道工程不包括沿海港口与航道工程；水利水电工程不包括Ⅰ级堤防、水库、工程规模中型及以上的泵站和水闸。</w:t>
      </w:r>
    </w:p>
    <w:p>
      <w:pPr>
        <w:widowControl/>
        <w:spacing w:line="460" w:lineRule="exact"/>
        <w:ind w:firstLine="480" w:firstLineChars="200"/>
        <w:jc w:val="left"/>
        <w:rPr>
          <w:rFonts w:eastAsia="方正仿宋_GBK" w:cs="宋体"/>
          <w:kern w:val="0"/>
          <w:sz w:val="24"/>
        </w:rPr>
      </w:pPr>
      <w:r>
        <w:rPr>
          <w:rFonts w:hint="eastAsia" w:eastAsia="方正仿宋_GBK" w:cs="宋体"/>
          <w:kern w:val="0"/>
          <w:sz w:val="24"/>
        </w:rPr>
        <w:t>三、试行期间，企业发生违法行为的，自通报或者决定作出之日起，在纠正违法行为、消除不良影响、修复信用前，不得跨专业承接新的相应的工程业务。</w:t>
      </w:r>
    </w:p>
    <w:p>
      <w:pPr>
        <w:spacing w:line="460" w:lineRule="exact"/>
        <w:ind w:firstLine="480" w:firstLineChars="200"/>
        <w:rPr>
          <w:rFonts w:eastAsia="方正仿宋_GBK" w:cs="方正仿宋_GBK"/>
          <w:b/>
          <w:sz w:val="24"/>
        </w:rPr>
      </w:pPr>
      <w:r>
        <w:rPr>
          <w:rFonts w:hint="eastAsia" w:eastAsia="方正仿宋_GBK" w:cs="方正仿宋_GBK"/>
          <w:sz w:val="24"/>
        </w:rPr>
        <w:t>四、各级行业主管部门要对跨专业承包工程项目进行重点跟踪，强化工程质量安全监督管理，确保工程建设各方主体责任落实到位。</w:t>
      </w:r>
    </w:p>
    <w:p>
      <w:pPr>
        <w:spacing w:line="460" w:lineRule="exact"/>
        <w:outlineLvl w:val="0"/>
        <w:rPr>
          <w:rFonts w:eastAsia="方正仿宋_GBK"/>
          <w:color w:val="000000"/>
          <w:spacing w:val="-2"/>
          <w:kern w:val="0"/>
          <w:sz w:val="24"/>
        </w:rPr>
      </w:pPr>
      <w:bookmarkStart w:id="492" w:name="_Toc20668035"/>
      <w:bookmarkStart w:id="493" w:name="_Toc20726564"/>
      <w:r>
        <w:rPr>
          <w:rFonts w:hint="eastAsia" w:eastAsia="方正仿宋_GBK" w:cs="方正仿宋_GBK"/>
          <w:sz w:val="24"/>
        </w:rPr>
        <w:t>五、本通知自</w:t>
      </w:r>
      <w:r>
        <w:rPr>
          <w:rFonts w:eastAsia="方正仿宋_GBK" w:cs="方正仿宋_GBK"/>
          <w:sz w:val="24"/>
        </w:rPr>
        <w:t>2019</w:t>
      </w:r>
      <w:r>
        <w:rPr>
          <w:rFonts w:hint="eastAsia" w:eastAsia="方正仿宋_GBK" w:cs="方正仿宋_GBK"/>
          <w:sz w:val="24"/>
        </w:rPr>
        <w:t>年</w:t>
      </w:r>
      <w:r>
        <w:rPr>
          <w:rFonts w:eastAsia="方正仿宋_GBK" w:cs="方正仿宋_GBK"/>
          <w:sz w:val="24"/>
        </w:rPr>
        <w:t>3</w:t>
      </w:r>
      <w:r>
        <w:rPr>
          <w:rFonts w:hint="eastAsia" w:eastAsia="方正仿宋_GBK" w:cs="方正仿宋_GBK"/>
          <w:sz w:val="24"/>
        </w:rPr>
        <w:t>月</w:t>
      </w:r>
      <w:r>
        <w:rPr>
          <w:rFonts w:eastAsia="方正仿宋_GBK" w:cs="方正仿宋_GBK"/>
          <w:sz w:val="24"/>
        </w:rPr>
        <w:t>1</w:t>
      </w:r>
      <w:r>
        <w:rPr>
          <w:rFonts w:hint="eastAsia" w:eastAsia="方正仿宋_GBK" w:cs="方正仿宋_GBK"/>
          <w:sz w:val="24"/>
        </w:rPr>
        <w:t>日起试行，试行过程中，省住房和城乡建设厅将根据试行情况和国家工程审批制度改革及资质管理制度改革的要求，对本试行办法进行调整或终止试行。</w:t>
      </w:r>
      <w:bookmarkEnd w:id="492"/>
      <w:bookmarkEnd w:id="493"/>
    </w:p>
    <w:p>
      <w:pPr>
        <w:spacing w:line="460" w:lineRule="exact"/>
        <w:ind w:firstLine="472" w:firstLineChars="200"/>
        <w:outlineLvl w:val="0"/>
        <w:rPr>
          <w:rFonts w:eastAsia="方正仿宋_GBK"/>
          <w:color w:val="000000"/>
          <w:spacing w:val="-2"/>
          <w:kern w:val="0"/>
          <w:sz w:val="24"/>
        </w:rPr>
      </w:pPr>
    </w:p>
    <w:p>
      <w:pPr>
        <w:spacing w:line="460" w:lineRule="exact"/>
        <w:ind w:firstLine="472" w:firstLineChars="200"/>
        <w:outlineLvl w:val="0"/>
        <w:rPr>
          <w:rFonts w:eastAsia="方正仿宋_GBK"/>
          <w:color w:val="000000"/>
          <w:spacing w:val="-2"/>
          <w:kern w:val="0"/>
          <w:sz w:val="24"/>
        </w:rPr>
      </w:pPr>
    </w:p>
    <w:p>
      <w:pPr>
        <w:snapToGrid w:val="0"/>
        <w:spacing w:line="600" w:lineRule="exact"/>
        <w:rPr>
          <w:rFonts w:eastAsia="方正仿宋_GBK"/>
          <w:color w:val="000000"/>
          <w:spacing w:val="-2"/>
          <w:kern w:val="0"/>
          <w:sz w:val="24"/>
        </w:rPr>
      </w:pPr>
    </w:p>
    <w:p>
      <w:pPr>
        <w:rPr>
          <w:rFonts w:eastAsia="方正仿宋_GBK"/>
          <w:sz w:val="24"/>
        </w:rPr>
      </w:pPr>
    </w:p>
    <w:p>
      <w:pPr>
        <w:rPr>
          <w:rFonts w:eastAsia="方正仿宋_GBK"/>
          <w:sz w:val="24"/>
        </w:rPr>
      </w:pPr>
    </w:p>
    <w:p>
      <w:pPr>
        <w:rPr>
          <w:rFonts w:eastAsia="方正仿宋_GBK"/>
          <w:sz w:val="24"/>
        </w:rPr>
      </w:pPr>
    </w:p>
    <w:p>
      <w:pPr>
        <w:rPr>
          <w:rFonts w:eastAsia="方正仿宋_GBK"/>
          <w:sz w:val="24"/>
        </w:rPr>
      </w:pPr>
    </w:p>
    <w:p>
      <w:pPr>
        <w:rPr>
          <w:rFonts w:eastAsia="方正仿宋_GBK"/>
          <w:sz w:val="24"/>
        </w:rPr>
      </w:pPr>
    </w:p>
    <w:p>
      <w:pPr>
        <w:rPr>
          <w:rFonts w:eastAsia="方正仿宋_GBK"/>
          <w:sz w:val="24"/>
        </w:rPr>
      </w:pPr>
    </w:p>
    <w:p>
      <w:pPr>
        <w:rPr>
          <w:rFonts w:eastAsia="方正仿宋_GBK"/>
          <w:sz w:val="24"/>
        </w:rPr>
      </w:pPr>
    </w:p>
    <w:p>
      <w:pPr>
        <w:rPr>
          <w:rFonts w:eastAsia="方正仿宋_GBK"/>
          <w:sz w:val="24"/>
        </w:rPr>
      </w:pPr>
    </w:p>
    <w:p>
      <w:pPr>
        <w:rPr>
          <w:rFonts w:eastAsia="方正仿宋_GBK"/>
          <w:sz w:val="24"/>
        </w:rPr>
      </w:pPr>
    </w:p>
    <w:p>
      <w:pPr>
        <w:rPr>
          <w:rFonts w:eastAsia="方正仿宋_GBK"/>
          <w:sz w:val="24"/>
        </w:rPr>
      </w:pPr>
    </w:p>
    <w:p>
      <w:pPr>
        <w:rPr>
          <w:rFonts w:eastAsia="方正仿宋_GBK"/>
          <w:sz w:val="24"/>
        </w:rPr>
      </w:pPr>
    </w:p>
    <w:p>
      <w:pPr>
        <w:rPr>
          <w:rFonts w:eastAsia="方正仿宋_GBK"/>
          <w:sz w:val="24"/>
        </w:rPr>
      </w:pPr>
    </w:p>
    <w:p>
      <w:pPr>
        <w:rPr>
          <w:rFonts w:eastAsia="方正仿宋_GBK"/>
          <w:sz w:val="24"/>
        </w:rPr>
      </w:pPr>
    </w:p>
    <w:p>
      <w:pPr>
        <w:rPr>
          <w:rFonts w:eastAsia="方正仿宋_GBK"/>
          <w:sz w:val="24"/>
        </w:rPr>
      </w:pPr>
    </w:p>
    <w:p>
      <w:pPr>
        <w:rPr>
          <w:rFonts w:eastAsia="方正仿宋_GBK"/>
          <w:sz w:val="24"/>
        </w:rPr>
      </w:pPr>
    </w:p>
    <w:p>
      <w:pPr>
        <w:rPr>
          <w:rFonts w:eastAsia="方正仿宋_GBK"/>
          <w:sz w:val="24"/>
        </w:rPr>
      </w:pPr>
    </w:p>
    <w:p>
      <w:pPr>
        <w:rPr>
          <w:rFonts w:eastAsia="方正仿宋_GBK"/>
          <w:sz w:val="24"/>
        </w:rPr>
      </w:pPr>
    </w:p>
    <w:p>
      <w:pPr>
        <w:rPr>
          <w:rFonts w:eastAsia="方正仿宋_GBK"/>
          <w:sz w:val="24"/>
        </w:rPr>
      </w:pPr>
    </w:p>
    <w:p>
      <w:pPr>
        <w:snapToGrid w:val="0"/>
        <w:spacing w:line="600" w:lineRule="exact"/>
        <w:rPr>
          <w:rFonts w:eastAsia="方正仿宋_GBK"/>
          <w:sz w:val="24"/>
        </w:rPr>
      </w:pPr>
    </w:p>
    <w:p>
      <w:pPr>
        <w:rPr>
          <w:rFonts w:eastAsia="方正仿宋_GBK"/>
          <w:sz w:val="24"/>
        </w:rPr>
      </w:pPr>
    </w:p>
    <w:p>
      <w:pPr>
        <w:rPr>
          <w:rFonts w:eastAsia="方正仿宋_GBK"/>
          <w:sz w:val="24"/>
        </w:rPr>
      </w:pPr>
    </w:p>
    <w:p>
      <w:pPr>
        <w:rPr>
          <w:rFonts w:eastAsia="方正仿宋_GBK"/>
          <w:sz w:val="24"/>
        </w:rPr>
      </w:pPr>
    </w:p>
    <w:p>
      <w:pPr>
        <w:rPr>
          <w:rFonts w:eastAsia="方正仿宋_GBK"/>
          <w:sz w:val="24"/>
        </w:rPr>
      </w:pPr>
    </w:p>
    <w:p>
      <w:pPr>
        <w:rPr>
          <w:rFonts w:eastAsia="方正仿宋_GBK"/>
          <w:sz w:val="24"/>
        </w:rPr>
      </w:pPr>
    </w:p>
    <w:p>
      <w:pPr>
        <w:pStyle w:val="2"/>
        <w:spacing w:before="312" w:after="312" w:line="240" w:lineRule="auto"/>
        <w:jc w:val="center"/>
        <w:rPr>
          <w:rFonts w:ascii="Times New Roman" w:hAnsi="Times New Roman" w:eastAsia="方正小标宋_GBK"/>
          <w:b w:val="0"/>
          <w:bCs/>
          <w:sz w:val="36"/>
          <w:szCs w:val="36"/>
        </w:rPr>
      </w:pPr>
      <w:bookmarkStart w:id="494" w:name="_Toc20726515"/>
      <w:r>
        <w:rPr>
          <w:rFonts w:hint="eastAsia" w:ascii="Times New Roman" w:hAnsi="Times New Roman" w:eastAsia="方正小标宋_GBK"/>
          <w:b w:val="0"/>
          <w:sz w:val="36"/>
          <w:szCs w:val="36"/>
        </w:rPr>
        <w:t>省住房城乡建设厅关于统一使用《江苏省建设工程监理现场用表（第六版）》的通知</w:t>
      </w:r>
      <w:bookmarkEnd w:id="494"/>
      <w:r>
        <w:rPr>
          <w:rFonts w:hint="eastAsia" w:ascii="Times New Roman" w:hAnsi="Times New Roman" w:eastAsia="方正小标宋_GBK"/>
          <w:b w:val="0"/>
          <w:sz w:val="36"/>
          <w:szCs w:val="36"/>
        </w:rPr>
        <w:t xml:space="preserve"> </w:t>
      </w:r>
    </w:p>
    <w:p>
      <w:pPr>
        <w:pStyle w:val="3"/>
        <w:spacing w:before="312" w:after="312" w:line="240" w:lineRule="auto"/>
        <w:jc w:val="center"/>
        <w:rPr>
          <w:rFonts w:hint="eastAsia" w:ascii="Times New Roman" w:hAnsi="Times New Roman" w:eastAsia="方正楷体_GBK"/>
          <w:b w:val="0"/>
          <w:bCs w:val="0"/>
          <w:sz w:val="24"/>
          <w:szCs w:val="24"/>
        </w:rPr>
      </w:pPr>
      <w:bookmarkStart w:id="495" w:name="_Toc20726516"/>
      <w:r>
        <w:rPr>
          <w:rFonts w:hint="eastAsia" w:ascii="Times New Roman" w:hAnsi="Times New Roman" w:eastAsia="方正楷体_GBK"/>
          <w:b w:val="0"/>
          <w:bCs w:val="0"/>
          <w:sz w:val="24"/>
          <w:szCs w:val="24"/>
        </w:rPr>
        <w:t>苏建建管〔</w:t>
      </w:r>
      <w:r>
        <w:rPr>
          <w:rFonts w:ascii="Times New Roman" w:hAnsi="Times New Roman" w:eastAsia="方正楷体_GBK"/>
          <w:b w:val="0"/>
          <w:bCs w:val="0"/>
          <w:sz w:val="24"/>
          <w:szCs w:val="24"/>
        </w:rPr>
        <w:t>2019</w:t>
      </w:r>
      <w:r>
        <w:rPr>
          <w:rFonts w:hint="eastAsia" w:ascii="Times New Roman" w:hAnsi="Times New Roman" w:eastAsia="方正楷体_GBK"/>
          <w:b w:val="0"/>
          <w:bCs w:val="0"/>
          <w:sz w:val="24"/>
          <w:szCs w:val="24"/>
        </w:rPr>
        <w:t>〕</w:t>
      </w:r>
      <w:r>
        <w:rPr>
          <w:rFonts w:ascii="Times New Roman" w:hAnsi="Times New Roman" w:eastAsia="方正楷体_GBK"/>
          <w:b w:val="0"/>
          <w:bCs w:val="0"/>
          <w:sz w:val="24"/>
          <w:szCs w:val="24"/>
        </w:rPr>
        <w:t>204</w:t>
      </w:r>
      <w:r>
        <w:rPr>
          <w:rFonts w:hint="eastAsia" w:ascii="Times New Roman" w:hAnsi="Times New Roman" w:eastAsia="方正楷体_GBK"/>
          <w:b w:val="0"/>
          <w:bCs w:val="0"/>
          <w:sz w:val="24"/>
          <w:szCs w:val="24"/>
        </w:rPr>
        <w:t>号</w:t>
      </w:r>
      <w:bookmarkEnd w:id="495"/>
    </w:p>
    <w:p>
      <w:pPr>
        <w:spacing w:line="500" w:lineRule="exact"/>
        <w:ind w:left="-10" w:leftChars="-8" w:hanging="7" w:hangingChars="3"/>
        <w:rPr>
          <w:rFonts w:eastAsia="方正仿宋_GBK"/>
          <w:color w:val="000000"/>
          <w:spacing w:val="-2"/>
          <w:kern w:val="0"/>
          <w:sz w:val="24"/>
        </w:rPr>
      </w:pPr>
      <w:r>
        <w:rPr>
          <w:rFonts w:hint="eastAsia" w:eastAsia="方正仿宋_GBK"/>
          <w:color w:val="000000"/>
          <w:spacing w:val="-2"/>
          <w:kern w:val="0"/>
          <w:sz w:val="24"/>
        </w:rPr>
        <w:t>各设区市住房城乡建设局（建委）：</w:t>
      </w:r>
    </w:p>
    <w:p>
      <w:pPr>
        <w:spacing w:line="500" w:lineRule="exact"/>
        <w:ind w:left="-10" w:leftChars="-8" w:hanging="7" w:hangingChars="3"/>
        <w:jc w:val="left"/>
        <w:rPr>
          <w:rFonts w:eastAsia="方正仿宋_GBK"/>
          <w:color w:val="000000"/>
          <w:spacing w:val="-2"/>
          <w:kern w:val="0"/>
          <w:sz w:val="24"/>
        </w:rPr>
      </w:pPr>
      <w:r>
        <w:rPr>
          <w:rFonts w:eastAsia="方正仿宋_GBK"/>
          <w:color w:val="000000"/>
          <w:spacing w:val="-2"/>
          <w:kern w:val="0"/>
          <w:sz w:val="24"/>
        </w:rPr>
        <w:t xml:space="preserve">    </w:t>
      </w:r>
      <w:r>
        <w:rPr>
          <w:rFonts w:hint="eastAsia" w:eastAsia="方正仿宋_GBK"/>
          <w:color w:val="000000"/>
          <w:spacing w:val="-2"/>
          <w:kern w:val="0"/>
          <w:sz w:val="24"/>
        </w:rPr>
        <w:t>为进一步规范现场监理工作，提高全省建设工程监理工作的科学化、规范化水平，根据《中华人民共和国建筑法》《建设工程质量管理条例》《建设工程安全生产管理条例》《危险性较大的分部分项工程安全管理规定》《建设工程监理规范》（</w:t>
      </w:r>
      <w:r>
        <w:rPr>
          <w:rFonts w:eastAsia="方正仿宋_GBK"/>
          <w:color w:val="000000"/>
          <w:spacing w:val="-2"/>
          <w:kern w:val="0"/>
          <w:sz w:val="24"/>
        </w:rPr>
        <w:t>GB/T50319-2013</w:t>
      </w:r>
      <w:r>
        <w:rPr>
          <w:rFonts w:hint="eastAsia" w:eastAsia="方正仿宋_GBK"/>
          <w:color w:val="000000"/>
          <w:spacing w:val="-2"/>
          <w:kern w:val="0"/>
          <w:sz w:val="24"/>
        </w:rPr>
        <w:t>）等法律法规和相关标准规范规定，结合我省实际，我厅对《江苏省建设工程施工阶段监理现场用表（第五版）》进行了补充和修订。修订后的《江苏省建设工程监理现场用表（第六版）》（以下简称《监理现场用表》）分为</w:t>
      </w:r>
      <w:r>
        <w:rPr>
          <w:rFonts w:eastAsia="方正仿宋_GBK"/>
          <w:color w:val="000000"/>
          <w:spacing w:val="-2"/>
          <w:kern w:val="0"/>
          <w:sz w:val="24"/>
        </w:rPr>
        <w:t>A</w:t>
      </w:r>
      <w:r>
        <w:rPr>
          <w:rFonts w:hint="eastAsia" w:eastAsia="方正仿宋_GBK"/>
          <w:color w:val="000000"/>
          <w:spacing w:val="-2"/>
          <w:kern w:val="0"/>
          <w:sz w:val="24"/>
        </w:rPr>
        <w:t>（工程监理单位用表，</w:t>
      </w:r>
      <w:r>
        <w:rPr>
          <w:rFonts w:eastAsia="方正仿宋_GBK"/>
          <w:color w:val="000000"/>
          <w:spacing w:val="-2"/>
          <w:kern w:val="0"/>
          <w:sz w:val="24"/>
        </w:rPr>
        <w:t>19</w:t>
      </w:r>
      <w:r>
        <w:rPr>
          <w:rFonts w:hint="eastAsia" w:eastAsia="方正仿宋_GBK"/>
          <w:color w:val="000000"/>
          <w:spacing w:val="-2"/>
          <w:kern w:val="0"/>
          <w:sz w:val="24"/>
        </w:rPr>
        <w:t>种）、</w:t>
      </w:r>
      <w:r>
        <w:rPr>
          <w:rFonts w:eastAsia="方正仿宋_GBK"/>
          <w:color w:val="000000"/>
          <w:spacing w:val="-2"/>
          <w:kern w:val="0"/>
          <w:sz w:val="24"/>
        </w:rPr>
        <w:t>B</w:t>
      </w:r>
      <w:r>
        <w:rPr>
          <w:rFonts w:hint="eastAsia" w:eastAsia="方正仿宋_GBK"/>
          <w:color w:val="000000"/>
          <w:spacing w:val="-2"/>
          <w:kern w:val="0"/>
          <w:sz w:val="24"/>
        </w:rPr>
        <w:t>（施工单位报审、报验等用表，</w:t>
      </w:r>
      <w:r>
        <w:rPr>
          <w:rFonts w:eastAsia="方正仿宋_GBK"/>
          <w:color w:val="000000"/>
          <w:spacing w:val="-2"/>
          <w:kern w:val="0"/>
          <w:sz w:val="24"/>
        </w:rPr>
        <w:t>24</w:t>
      </w:r>
      <w:r>
        <w:rPr>
          <w:rFonts w:hint="eastAsia" w:eastAsia="方正仿宋_GBK"/>
          <w:color w:val="000000"/>
          <w:spacing w:val="-2"/>
          <w:kern w:val="0"/>
          <w:sz w:val="24"/>
        </w:rPr>
        <w:t>种）、</w:t>
      </w:r>
      <w:r>
        <w:rPr>
          <w:rFonts w:eastAsia="方正仿宋_GBK"/>
          <w:color w:val="000000"/>
          <w:spacing w:val="-2"/>
          <w:kern w:val="0"/>
          <w:sz w:val="24"/>
        </w:rPr>
        <w:t>C</w:t>
      </w:r>
      <w:r>
        <w:rPr>
          <w:rFonts w:hint="eastAsia" w:eastAsia="方正仿宋_GBK"/>
          <w:color w:val="000000"/>
          <w:spacing w:val="-2"/>
          <w:kern w:val="0"/>
          <w:sz w:val="24"/>
        </w:rPr>
        <w:t>（通用表，</w:t>
      </w:r>
      <w:r>
        <w:rPr>
          <w:rFonts w:eastAsia="方正仿宋_GBK"/>
          <w:color w:val="000000"/>
          <w:spacing w:val="-2"/>
          <w:kern w:val="0"/>
          <w:sz w:val="24"/>
        </w:rPr>
        <w:t xml:space="preserve"> 2</w:t>
      </w:r>
      <w:r>
        <w:rPr>
          <w:rFonts w:hint="eastAsia" w:eastAsia="方正仿宋_GBK"/>
          <w:color w:val="000000"/>
          <w:spacing w:val="-2"/>
          <w:kern w:val="0"/>
          <w:sz w:val="24"/>
        </w:rPr>
        <w:t>种）三大类，共计</w:t>
      </w:r>
      <w:r>
        <w:rPr>
          <w:rFonts w:eastAsia="方正仿宋_GBK"/>
          <w:color w:val="000000"/>
          <w:spacing w:val="-2"/>
          <w:kern w:val="0"/>
          <w:sz w:val="24"/>
        </w:rPr>
        <w:t>45</w:t>
      </w:r>
      <w:r>
        <w:rPr>
          <w:rFonts w:hint="eastAsia" w:eastAsia="方正仿宋_GBK"/>
          <w:color w:val="000000"/>
          <w:spacing w:val="-2"/>
          <w:kern w:val="0"/>
          <w:sz w:val="24"/>
        </w:rPr>
        <w:t>种用表。现印发给你们，请各地认真贯彻执行。</w:t>
      </w:r>
    </w:p>
    <w:p>
      <w:pPr>
        <w:spacing w:line="500" w:lineRule="exact"/>
        <w:ind w:left="-10" w:leftChars="-8" w:hanging="7" w:hangingChars="3"/>
        <w:jc w:val="left"/>
        <w:rPr>
          <w:rFonts w:eastAsia="方正仿宋_GBK"/>
          <w:color w:val="000000"/>
          <w:spacing w:val="-2"/>
          <w:kern w:val="0"/>
          <w:sz w:val="24"/>
        </w:rPr>
      </w:pPr>
      <w:r>
        <w:rPr>
          <w:rFonts w:eastAsia="方正仿宋_GBK"/>
          <w:color w:val="000000"/>
          <w:spacing w:val="-2"/>
          <w:kern w:val="0"/>
          <w:sz w:val="24"/>
        </w:rPr>
        <w:t xml:space="preserve">    </w:t>
      </w:r>
      <w:r>
        <w:rPr>
          <w:rFonts w:hint="eastAsia" w:eastAsia="方正仿宋_GBK"/>
          <w:color w:val="000000"/>
          <w:spacing w:val="-2"/>
          <w:kern w:val="0"/>
          <w:sz w:val="24"/>
        </w:rPr>
        <w:t>自</w:t>
      </w:r>
      <w:r>
        <w:rPr>
          <w:rFonts w:eastAsia="方正仿宋_GBK"/>
          <w:color w:val="000000"/>
          <w:spacing w:val="-2"/>
          <w:kern w:val="0"/>
          <w:sz w:val="24"/>
        </w:rPr>
        <w:t>2019</w:t>
      </w:r>
      <w:r>
        <w:rPr>
          <w:rFonts w:hint="eastAsia" w:eastAsia="方正仿宋_GBK"/>
          <w:color w:val="000000"/>
          <w:spacing w:val="-2"/>
          <w:kern w:val="0"/>
          <w:sz w:val="24"/>
        </w:rPr>
        <w:t>年</w:t>
      </w:r>
      <w:r>
        <w:rPr>
          <w:rFonts w:eastAsia="方正仿宋_GBK"/>
          <w:color w:val="000000"/>
          <w:spacing w:val="-2"/>
          <w:kern w:val="0"/>
          <w:sz w:val="24"/>
        </w:rPr>
        <w:t>5</w:t>
      </w:r>
      <w:r>
        <w:rPr>
          <w:rFonts w:hint="eastAsia" w:eastAsia="方正仿宋_GBK"/>
          <w:color w:val="000000"/>
          <w:spacing w:val="-2"/>
          <w:kern w:val="0"/>
          <w:sz w:val="24"/>
        </w:rPr>
        <w:t>月</w:t>
      </w:r>
      <w:r>
        <w:rPr>
          <w:rFonts w:eastAsia="方正仿宋_GBK"/>
          <w:color w:val="000000"/>
          <w:spacing w:val="-2"/>
          <w:kern w:val="0"/>
          <w:sz w:val="24"/>
        </w:rPr>
        <w:t>20</w:t>
      </w:r>
      <w:r>
        <w:rPr>
          <w:rFonts w:hint="eastAsia" w:eastAsia="方正仿宋_GBK"/>
          <w:color w:val="000000"/>
          <w:spacing w:val="-2"/>
          <w:kern w:val="0"/>
          <w:sz w:val="24"/>
        </w:rPr>
        <w:t>日起，凡在我省境内新开工依法必须实行监理的建设工程均须统一使用本《监理现场用表》（</w:t>
      </w:r>
      <w:r>
        <w:rPr>
          <w:rFonts w:eastAsia="方正仿宋_GBK"/>
          <w:color w:val="000000"/>
          <w:spacing w:val="-2"/>
          <w:kern w:val="0"/>
          <w:sz w:val="24"/>
        </w:rPr>
        <w:t>2019</w:t>
      </w:r>
      <w:r>
        <w:rPr>
          <w:rFonts w:hint="eastAsia" w:eastAsia="方正仿宋_GBK"/>
          <w:color w:val="000000"/>
          <w:spacing w:val="-2"/>
          <w:kern w:val="0"/>
          <w:sz w:val="24"/>
        </w:rPr>
        <w:t>年</w:t>
      </w:r>
      <w:r>
        <w:rPr>
          <w:rFonts w:eastAsia="方正仿宋_GBK"/>
          <w:color w:val="000000"/>
          <w:spacing w:val="-2"/>
          <w:kern w:val="0"/>
          <w:sz w:val="24"/>
        </w:rPr>
        <w:t>5</w:t>
      </w:r>
      <w:r>
        <w:rPr>
          <w:rFonts w:hint="eastAsia" w:eastAsia="方正仿宋_GBK"/>
          <w:color w:val="000000"/>
          <w:spacing w:val="-2"/>
          <w:kern w:val="0"/>
          <w:sz w:val="24"/>
        </w:rPr>
        <w:t>月</w:t>
      </w:r>
      <w:r>
        <w:rPr>
          <w:rFonts w:eastAsia="方正仿宋_GBK"/>
          <w:color w:val="000000"/>
          <w:spacing w:val="-2"/>
          <w:kern w:val="0"/>
          <w:sz w:val="24"/>
        </w:rPr>
        <w:t>20</w:t>
      </w:r>
      <w:r>
        <w:rPr>
          <w:rFonts w:hint="eastAsia" w:eastAsia="方正仿宋_GBK"/>
          <w:color w:val="000000"/>
          <w:spacing w:val="-2"/>
          <w:kern w:val="0"/>
          <w:sz w:val="24"/>
        </w:rPr>
        <w:t>日前未竣工工程仍可延续使用原第五版监理现场用表），其他建设工程可根据建设单位委托监理的范围和工作内容选用本《监理现场用表》。本《监理现场用表》作为建设工程竣工验收的依据和工程档案资料归档。</w:t>
      </w:r>
    </w:p>
    <w:p>
      <w:pPr>
        <w:spacing w:line="500" w:lineRule="exact"/>
        <w:ind w:left="-10" w:leftChars="-8" w:hanging="7" w:hangingChars="3"/>
        <w:jc w:val="left"/>
        <w:rPr>
          <w:rFonts w:eastAsia="方正仿宋_GBK"/>
          <w:color w:val="000000"/>
          <w:spacing w:val="-2"/>
          <w:kern w:val="0"/>
          <w:sz w:val="24"/>
        </w:rPr>
      </w:pPr>
      <w:r>
        <w:rPr>
          <w:rFonts w:eastAsia="方正仿宋_GBK"/>
          <w:color w:val="000000"/>
          <w:spacing w:val="-2"/>
          <w:kern w:val="0"/>
          <w:sz w:val="24"/>
        </w:rPr>
        <w:t xml:space="preserve">    </w:t>
      </w:r>
      <w:r>
        <w:rPr>
          <w:rFonts w:hint="eastAsia" w:eastAsia="方正仿宋_GBK"/>
          <w:color w:val="000000"/>
          <w:spacing w:val="-2"/>
          <w:kern w:val="0"/>
          <w:sz w:val="24"/>
        </w:rPr>
        <w:t>本《监理现场用表》由江苏省住房和城乡建设厅统一监制，供各单位免费下载使用。各地在执行中有何问题和建议，请及时与我厅建筑市场监管处联系。</w:t>
      </w:r>
    </w:p>
    <w:p>
      <w:pPr>
        <w:spacing w:line="500" w:lineRule="exact"/>
        <w:ind w:left="-10" w:leftChars="-8" w:hanging="7" w:hangingChars="3"/>
        <w:jc w:val="center"/>
        <w:rPr>
          <w:rFonts w:eastAsia="方正仿宋_GBK"/>
          <w:color w:val="000000"/>
          <w:spacing w:val="-2"/>
          <w:kern w:val="0"/>
          <w:sz w:val="24"/>
        </w:rPr>
      </w:pPr>
    </w:p>
    <w:p>
      <w:pPr>
        <w:spacing w:line="500" w:lineRule="exact"/>
        <w:ind w:firstLine="472" w:firstLineChars="200"/>
        <w:rPr>
          <w:rFonts w:eastAsia="方正仿宋_GBK"/>
          <w:color w:val="000000"/>
          <w:spacing w:val="-2"/>
          <w:kern w:val="0"/>
          <w:sz w:val="24"/>
        </w:rPr>
      </w:pPr>
      <w:r>
        <w:rPr>
          <w:rFonts w:hint="eastAsia" w:eastAsia="方正仿宋_GBK"/>
          <w:color w:val="000000"/>
          <w:spacing w:val="-2"/>
          <w:kern w:val="0"/>
          <w:sz w:val="24"/>
        </w:rPr>
        <w:t>附件：江苏省建设工程监理现场用表</w:t>
      </w:r>
      <w:r>
        <w:rPr>
          <w:rFonts w:eastAsia="方正仿宋_GBK"/>
          <w:color w:val="000000"/>
          <w:spacing w:val="-2"/>
          <w:kern w:val="0"/>
          <w:sz w:val="24"/>
        </w:rPr>
        <w:t>(</w:t>
      </w:r>
      <w:r>
        <w:rPr>
          <w:rFonts w:hint="eastAsia" w:eastAsia="方正仿宋_GBK"/>
          <w:color w:val="000000"/>
          <w:spacing w:val="-2"/>
          <w:kern w:val="0"/>
          <w:sz w:val="24"/>
        </w:rPr>
        <w:t>第六版</w:t>
      </w:r>
      <w:r>
        <w:rPr>
          <w:rFonts w:eastAsia="方正仿宋_GBK"/>
          <w:color w:val="000000"/>
          <w:spacing w:val="-2"/>
          <w:kern w:val="0"/>
          <w:sz w:val="24"/>
        </w:rPr>
        <w:t>).doc</w:t>
      </w:r>
    </w:p>
    <w:p>
      <w:pPr>
        <w:spacing w:line="500" w:lineRule="exact"/>
        <w:jc w:val="right"/>
        <w:rPr>
          <w:rFonts w:eastAsia="方正仿宋_GBK"/>
          <w:color w:val="000000"/>
          <w:spacing w:val="-2"/>
          <w:kern w:val="0"/>
          <w:sz w:val="24"/>
        </w:rPr>
      </w:pPr>
      <w:r>
        <w:rPr>
          <w:rFonts w:hint="eastAsia" w:eastAsia="方正仿宋_GBK"/>
          <w:color w:val="000000"/>
          <w:spacing w:val="-2"/>
          <w:kern w:val="0"/>
          <w:sz w:val="24"/>
        </w:rPr>
        <w:t>江苏省住房和城乡建设厅</w:t>
      </w:r>
    </w:p>
    <w:p>
      <w:pPr>
        <w:spacing w:line="500" w:lineRule="exact"/>
        <w:ind w:firstLine="6372" w:firstLineChars="2700"/>
        <w:rPr>
          <w:rFonts w:eastAsia="方正仿宋_GBK"/>
          <w:color w:val="000000"/>
          <w:spacing w:val="-2"/>
          <w:kern w:val="0"/>
          <w:sz w:val="24"/>
        </w:rPr>
      </w:pPr>
      <w:r>
        <w:rPr>
          <w:rFonts w:eastAsia="方正仿宋_GBK"/>
          <w:color w:val="000000"/>
          <w:spacing w:val="-2"/>
          <w:kern w:val="0"/>
          <w:sz w:val="24"/>
        </w:rPr>
        <w:t>2019</w:t>
      </w:r>
      <w:r>
        <w:rPr>
          <w:rFonts w:hint="eastAsia" w:eastAsia="方正仿宋_GBK"/>
          <w:color w:val="000000"/>
          <w:spacing w:val="-2"/>
          <w:kern w:val="0"/>
          <w:sz w:val="24"/>
        </w:rPr>
        <w:t>年</w:t>
      </w:r>
      <w:r>
        <w:rPr>
          <w:rFonts w:eastAsia="方正仿宋_GBK"/>
          <w:color w:val="000000"/>
          <w:spacing w:val="-2"/>
          <w:kern w:val="0"/>
          <w:sz w:val="24"/>
        </w:rPr>
        <w:t>5</w:t>
      </w:r>
      <w:r>
        <w:rPr>
          <w:rFonts w:hint="eastAsia" w:eastAsia="方正仿宋_GBK"/>
          <w:color w:val="000000"/>
          <w:spacing w:val="-2"/>
          <w:kern w:val="0"/>
          <w:sz w:val="24"/>
        </w:rPr>
        <w:t>月</w:t>
      </w:r>
      <w:r>
        <w:rPr>
          <w:rFonts w:eastAsia="方正仿宋_GBK"/>
          <w:color w:val="000000"/>
          <w:spacing w:val="-2"/>
          <w:kern w:val="0"/>
          <w:sz w:val="24"/>
        </w:rPr>
        <w:t>12</w:t>
      </w:r>
      <w:r>
        <w:rPr>
          <w:rFonts w:hint="eastAsia" w:eastAsia="方正仿宋_GBK"/>
          <w:color w:val="000000"/>
          <w:spacing w:val="-2"/>
          <w:kern w:val="0"/>
          <w:sz w:val="24"/>
        </w:rPr>
        <w:t>日</w:t>
      </w:r>
    </w:p>
    <w:p>
      <w:pPr>
        <w:jc w:val="center"/>
        <w:rPr>
          <w:rFonts w:ascii="Times New Roman" w:hAnsi="Times New Roman" w:eastAsia="黑体"/>
          <w:spacing w:val="195"/>
          <w:w w:val="150"/>
          <w:kern w:val="0"/>
          <w:sz w:val="52"/>
          <w:szCs w:val="52"/>
        </w:rPr>
      </w:pPr>
    </w:p>
    <w:p>
      <w:pPr>
        <w:jc w:val="center"/>
        <w:rPr>
          <w:rFonts w:hint="eastAsia" w:ascii="Times New Roman" w:hAnsi="Times New Roman" w:eastAsia="黑体"/>
          <w:spacing w:val="195"/>
          <w:w w:val="150"/>
          <w:kern w:val="0"/>
          <w:sz w:val="52"/>
          <w:szCs w:val="52"/>
        </w:rPr>
      </w:pPr>
    </w:p>
    <w:p>
      <w:pPr>
        <w:jc w:val="center"/>
        <w:rPr>
          <w:rFonts w:hint="eastAsia" w:ascii="Times New Roman" w:hAnsi="Times New Roman" w:eastAsia="黑体"/>
          <w:w w:val="150"/>
          <w:sz w:val="52"/>
          <w:szCs w:val="52"/>
        </w:rPr>
      </w:pPr>
      <w:r>
        <w:rPr>
          <w:rFonts w:hint="eastAsia" w:ascii="Times New Roman" w:hAnsi="Times New Roman" w:eastAsia="黑体"/>
          <w:spacing w:val="195"/>
          <w:w w:val="150"/>
          <w:kern w:val="0"/>
          <w:sz w:val="52"/>
          <w:szCs w:val="52"/>
        </w:rPr>
        <w:t>江苏省建设工</w:t>
      </w:r>
      <w:r>
        <w:rPr>
          <w:rFonts w:hint="eastAsia" w:ascii="Times New Roman" w:hAnsi="Times New Roman" w:eastAsia="黑体"/>
          <w:w w:val="150"/>
          <w:kern w:val="0"/>
          <w:sz w:val="52"/>
          <w:szCs w:val="52"/>
        </w:rPr>
        <w:t>程</w:t>
      </w:r>
    </w:p>
    <w:p>
      <w:pPr>
        <w:jc w:val="center"/>
        <w:rPr>
          <w:rFonts w:hint="eastAsia" w:ascii="Times New Roman" w:hAnsi="Times New Roman" w:eastAsia="隶书"/>
          <w:sz w:val="52"/>
          <w:szCs w:val="52"/>
        </w:rPr>
      </w:pPr>
      <w:r>
        <w:rPr>
          <w:rFonts w:hint="eastAsia" w:ascii="Times New Roman" w:hAnsi="Times New Roman" w:eastAsia="隶书"/>
          <w:sz w:val="52"/>
          <w:szCs w:val="52"/>
        </w:rPr>
        <w:t xml:space="preserve">监 理 现 场 用 表 </w:t>
      </w:r>
    </w:p>
    <w:p>
      <w:pPr>
        <w:spacing w:line="240" w:lineRule="exact"/>
        <w:jc w:val="center"/>
        <w:rPr>
          <w:rFonts w:hint="eastAsia" w:eastAsia="黑体"/>
          <w:sz w:val="52"/>
          <w:szCs w:val="52"/>
        </w:rPr>
      </w:pPr>
    </w:p>
    <w:p>
      <w:pPr>
        <w:jc w:val="center"/>
        <w:rPr>
          <w:rFonts w:eastAsia="黑体"/>
          <w:sz w:val="44"/>
          <w:szCs w:val="44"/>
        </w:rPr>
      </w:pPr>
      <w:r>
        <w:rPr>
          <w:rFonts w:eastAsia="黑体"/>
          <w:sz w:val="44"/>
          <w:szCs w:val="44"/>
        </w:rPr>
        <w:t>(</w:t>
      </w:r>
      <w:r>
        <w:rPr>
          <w:rFonts w:hint="eastAsia" w:eastAsia="黑体"/>
          <w:sz w:val="44"/>
          <w:szCs w:val="44"/>
        </w:rPr>
        <w:t>第六版</w:t>
      </w:r>
      <w:r>
        <w:rPr>
          <w:rFonts w:eastAsia="黑体"/>
          <w:sz w:val="44"/>
          <w:szCs w:val="44"/>
        </w:rPr>
        <w:t>)</w:t>
      </w:r>
    </w:p>
    <w:p>
      <w:pPr>
        <w:jc w:val="center"/>
        <w:rPr>
          <w:rFonts w:eastAsia="黑体"/>
          <w:sz w:val="44"/>
        </w:rPr>
      </w:pPr>
      <w:r>
        <w:rPr>
          <w:rFonts w:eastAsia="黑体"/>
          <w:sz w:val="44"/>
        </w:rPr>
        <w:drawing>
          <wp:inline distT="0" distB="0" distL="114300" distR="114300">
            <wp:extent cx="5379720" cy="3862705"/>
            <wp:effectExtent l="0" t="0" r="11430" b="4445"/>
            <wp:docPr id="56" name="图片 1" descr="第五版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descr="第五版封"/>
                    <pic:cNvPicPr>
                      <a:picLocks noChangeAspect="1"/>
                    </pic:cNvPicPr>
                  </pic:nvPicPr>
                  <pic:blipFill>
                    <a:blip r:embed="rId8"/>
                    <a:stretch>
                      <a:fillRect/>
                    </a:stretch>
                  </pic:blipFill>
                  <pic:spPr>
                    <a:xfrm>
                      <a:off x="0" y="0"/>
                      <a:ext cx="5379720" cy="3862705"/>
                    </a:xfrm>
                    <a:prstGeom prst="rect">
                      <a:avLst/>
                    </a:prstGeom>
                    <a:noFill/>
                    <a:ln>
                      <a:noFill/>
                    </a:ln>
                  </pic:spPr>
                </pic:pic>
              </a:graphicData>
            </a:graphic>
          </wp:inline>
        </w:drawing>
      </w:r>
    </w:p>
    <w:p>
      <w:pPr>
        <w:rPr>
          <w:rFonts w:eastAsia="黑体"/>
          <w:sz w:val="44"/>
        </w:rPr>
      </w:pPr>
    </w:p>
    <w:p>
      <w:pPr>
        <w:spacing w:line="240" w:lineRule="exact"/>
        <w:jc w:val="center"/>
        <w:rPr>
          <w:rFonts w:eastAsia="黑体"/>
          <w:sz w:val="36"/>
          <w:szCs w:val="36"/>
        </w:rPr>
      </w:pPr>
    </w:p>
    <w:p>
      <w:pPr>
        <w:jc w:val="center"/>
        <w:rPr>
          <w:rFonts w:eastAsia="黑体"/>
          <w:sz w:val="36"/>
          <w:szCs w:val="36"/>
        </w:rPr>
      </w:pPr>
      <w:r>
        <w:rPr>
          <w:rFonts w:hint="eastAsia" w:eastAsia="黑体"/>
          <w:sz w:val="36"/>
          <w:szCs w:val="36"/>
        </w:rPr>
        <w:t>江苏省住房和城乡建设厅监制</w:t>
      </w:r>
    </w:p>
    <w:p>
      <w:pPr>
        <w:jc w:val="center"/>
        <w:rPr>
          <w:rFonts w:eastAsia="黑体"/>
          <w:sz w:val="36"/>
          <w:szCs w:val="36"/>
        </w:rPr>
      </w:pPr>
      <w:r>
        <w:rPr>
          <w:rFonts w:eastAsia="黑体"/>
          <w:sz w:val="36"/>
          <w:szCs w:val="36"/>
        </w:rPr>
        <w:t>2019</w:t>
      </w:r>
      <w:r>
        <w:rPr>
          <w:rFonts w:hint="eastAsia" w:eastAsia="黑体"/>
          <w:sz w:val="36"/>
          <w:szCs w:val="36"/>
        </w:rPr>
        <w:t>年</w:t>
      </w:r>
      <w:r>
        <w:rPr>
          <w:rFonts w:eastAsia="黑体"/>
          <w:sz w:val="36"/>
          <w:szCs w:val="36"/>
        </w:rPr>
        <w:t>5</w:t>
      </w:r>
      <w:r>
        <w:rPr>
          <w:rFonts w:hint="eastAsia" w:eastAsia="黑体"/>
          <w:sz w:val="36"/>
          <w:szCs w:val="36"/>
        </w:rPr>
        <w:t>月</w:t>
      </w:r>
    </w:p>
    <w:p>
      <w:pPr>
        <w:widowControl/>
        <w:jc w:val="left"/>
        <w:rPr>
          <w:rFonts w:eastAsia="黑体"/>
          <w:sz w:val="36"/>
          <w:szCs w:val="36"/>
        </w:rPr>
        <w:sectPr>
          <w:pgSz w:w="11906" w:h="16838"/>
          <w:pgMar w:top="1701" w:right="1701" w:bottom="1701" w:left="1701" w:header="851" w:footer="992" w:gutter="0"/>
          <w:cols w:space="720" w:num="1"/>
          <w:docGrid w:type="lines" w:linePitch="312" w:charSpace="0"/>
        </w:sectPr>
      </w:pPr>
    </w:p>
    <w:p>
      <w:pPr>
        <w:jc w:val="center"/>
        <w:rPr>
          <w:rFonts w:eastAsia="黑体"/>
          <w:sz w:val="44"/>
        </w:rPr>
      </w:pPr>
    </w:p>
    <w:p>
      <w:pPr>
        <w:spacing w:line="700" w:lineRule="exact"/>
        <w:jc w:val="center"/>
        <w:rPr>
          <w:b/>
          <w:sz w:val="48"/>
          <w:szCs w:val="48"/>
        </w:rPr>
      </w:pPr>
      <w:r>
        <w:rPr>
          <w:rFonts w:hint="eastAsia" w:hAnsi="Times New Roman"/>
          <w:b/>
          <w:spacing w:val="22"/>
          <w:w w:val="97"/>
          <w:kern w:val="0"/>
          <w:sz w:val="48"/>
          <w:szCs w:val="48"/>
        </w:rPr>
        <w:t>江苏省建设工程监理现场用</w:t>
      </w:r>
      <w:r>
        <w:rPr>
          <w:rFonts w:hint="eastAsia" w:hAnsi="Times New Roman"/>
          <w:b/>
          <w:spacing w:val="6"/>
          <w:w w:val="97"/>
          <w:kern w:val="0"/>
          <w:sz w:val="48"/>
          <w:szCs w:val="48"/>
        </w:rPr>
        <w:t>表</w:t>
      </w:r>
    </w:p>
    <w:p>
      <w:pPr>
        <w:spacing w:line="700" w:lineRule="exact"/>
        <w:jc w:val="center"/>
        <w:rPr>
          <w:rFonts w:hAnsi="Times New Roman"/>
          <w:b/>
          <w:spacing w:val="22"/>
          <w:w w:val="97"/>
          <w:kern w:val="0"/>
          <w:sz w:val="36"/>
          <w:szCs w:val="36"/>
        </w:rPr>
      </w:pPr>
      <w:r>
        <w:rPr>
          <w:rFonts w:hint="eastAsia" w:hAnsi="Times New Roman"/>
          <w:b/>
          <w:spacing w:val="22"/>
          <w:w w:val="97"/>
          <w:kern w:val="0"/>
          <w:sz w:val="36"/>
          <w:szCs w:val="36"/>
        </w:rPr>
        <w:t>（第六版）</w:t>
      </w:r>
    </w:p>
    <w:p>
      <w:pPr>
        <w:spacing w:line="400" w:lineRule="exact"/>
        <w:jc w:val="center"/>
        <w:rPr>
          <w:rFonts w:eastAsia="黑体"/>
          <w:sz w:val="32"/>
          <w:szCs w:val="32"/>
        </w:rPr>
      </w:pPr>
    </w:p>
    <w:p>
      <w:pPr>
        <w:pStyle w:val="6"/>
        <w:tabs>
          <w:tab w:val="left" w:pos="1680"/>
        </w:tabs>
        <w:rPr>
          <w:rFonts w:hAnsi="Times New Roman"/>
          <w:b/>
          <w:bCs/>
          <w:sz w:val="32"/>
          <w:szCs w:val="32"/>
        </w:rPr>
      </w:pPr>
      <w:r>
        <w:rPr>
          <w:rFonts w:hint="eastAsia" w:hAnsi="Times New Roman"/>
          <w:b/>
          <w:bCs/>
          <w:sz w:val="32"/>
          <w:szCs w:val="32"/>
        </w:rPr>
        <w:t>一、使用须知</w:t>
      </w:r>
    </w:p>
    <w:p>
      <w:pPr>
        <w:pStyle w:val="6"/>
        <w:tabs>
          <w:tab w:val="left" w:pos="1680"/>
        </w:tabs>
        <w:ind w:firstLine="420" w:firstLineChars="200"/>
        <w:rPr>
          <w:szCs w:val="28"/>
        </w:rPr>
      </w:pPr>
      <w:r>
        <w:rPr>
          <w:szCs w:val="28"/>
        </w:rPr>
        <w:t>1</w:t>
      </w:r>
      <w:r>
        <w:rPr>
          <w:rFonts w:hint="eastAsia" w:hAnsi="Times New Roman"/>
          <w:szCs w:val="28"/>
        </w:rPr>
        <w:t>、《江苏省建设工程监理现场用表（第六版）》（以下简称《监理现场用表》）是江苏省住房和城乡建设厅根据《中华人民共和国建筑法》、《建设工程质量管理条例》、《建设工程安全生产管理条例》、《危险性较大的分部分项工程安全管理规定》、《建设工程监理规范》（</w:t>
      </w:r>
      <w:r>
        <w:rPr>
          <w:szCs w:val="28"/>
        </w:rPr>
        <w:t>GB/T 50319-2013</w:t>
      </w:r>
      <w:r>
        <w:rPr>
          <w:rFonts w:hint="eastAsia" w:hAnsi="Times New Roman"/>
          <w:szCs w:val="28"/>
        </w:rPr>
        <w:t>）等法律法规和相关标准规范，结合工程实际，在《江苏省建设工程施工阶段监理现场用表（第五版）》的基础上制定的。凡在江苏省境内依法必须实行监理的建设工程（房屋建筑和市政基础设施项目），均应使用本《监理现场用表》，并作为工程竣工验收的依据；其他建设工程，可依据建设单位委托监理的范围和工作内容选用本《监理现场用表》。</w:t>
      </w:r>
    </w:p>
    <w:p>
      <w:pPr>
        <w:pStyle w:val="6"/>
        <w:tabs>
          <w:tab w:val="left" w:pos="1680"/>
        </w:tabs>
        <w:ind w:firstLine="420"/>
        <w:rPr>
          <w:szCs w:val="28"/>
        </w:rPr>
      </w:pPr>
      <w:r>
        <w:rPr>
          <w:szCs w:val="28"/>
        </w:rPr>
        <w:t>2</w:t>
      </w:r>
      <w:r>
        <w:rPr>
          <w:rFonts w:hint="eastAsia" w:hAnsi="Times New Roman"/>
          <w:szCs w:val="28"/>
        </w:rPr>
        <w:t>、《监理现场用表》用表分为</w:t>
      </w:r>
      <w:r>
        <w:rPr>
          <w:szCs w:val="28"/>
        </w:rPr>
        <w:t>A</w:t>
      </w:r>
      <w:r>
        <w:rPr>
          <w:rFonts w:hint="eastAsia" w:hAnsi="Times New Roman"/>
          <w:szCs w:val="28"/>
        </w:rPr>
        <w:t>、</w:t>
      </w:r>
      <w:r>
        <w:rPr>
          <w:szCs w:val="28"/>
        </w:rPr>
        <w:t>B</w:t>
      </w:r>
      <w:r>
        <w:rPr>
          <w:rFonts w:hint="eastAsia" w:hAnsi="Times New Roman"/>
          <w:szCs w:val="28"/>
        </w:rPr>
        <w:t>、</w:t>
      </w:r>
      <w:r>
        <w:rPr>
          <w:szCs w:val="28"/>
        </w:rPr>
        <w:t>C</w:t>
      </w:r>
      <w:r>
        <w:rPr>
          <w:rFonts w:hint="eastAsia" w:hAnsi="Times New Roman"/>
          <w:szCs w:val="28"/>
        </w:rPr>
        <w:t>三类。</w:t>
      </w:r>
      <w:r>
        <w:rPr>
          <w:szCs w:val="28"/>
        </w:rPr>
        <w:t>A</w:t>
      </w:r>
      <w:r>
        <w:rPr>
          <w:rFonts w:hint="eastAsia" w:hAnsi="Times New Roman"/>
          <w:szCs w:val="28"/>
        </w:rPr>
        <w:t>类表为工程监理单位用表，由工程监理单位或项目监理机构签发；</w:t>
      </w:r>
      <w:r>
        <w:rPr>
          <w:szCs w:val="28"/>
        </w:rPr>
        <w:t>B</w:t>
      </w:r>
      <w:r>
        <w:rPr>
          <w:rFonts w:hint="eastAsia" w:hAnsi="Times New Roman"/>
          <w:szCs w:val="28"/>
        </w:rPr>
        <w:t>类表为施工单位报审、报验等用表，由施工单位项目经理部填写后报送项目监理机构、工程建设相关方；</w:t>
      </w:r>
      <w:r>
        <w:rPr>
          <w:szCs w:val="28"/>
        </w:rPr>
        <w:t>C</w:t>
      </w:r>
      <w:r>
        <w:rPr>
          <w:rFonts w:hint="eastAsia" w:hAnsi="Times New Roman"/>
          <w:szCs w:val="28"/>
        </w:rPr>
        <w:t>类表为通用表，是工程建设相关方工作联系的通用表。</w:t>
      </w:r>
    </w:p>
    <w:p>
      <w:pPr>
        <w:pStyle w:val="6"/>
        <w:tabs>
          <w:tab w:val="left" w:pos="1680"/>
        </w:tabs>
        <w:ind w:firstLine="420"/>
        <w:rPr>
          <w:rFonts w:hAnsi="Times New Roman"/>
          <w:szCs w:val="28"/>
        </w:rPr>
      </w:pPr>
      <w:r>
        <w:rPr>
          <w:szCs w:val="28"/>
        </w:rPr>
        <w:t>3</w:t>
      </w:r>
      <w:r>
        <w:rPr>
          <w:rFonts w:hint="eastAsia" w:hAnsi="Times New Roman"/>
          <w:szCs w:val="28"/>
        </w:rPr>
        <w:t>、各类表的签发、报送、回复应依照法律法规、合同文件、标准规范等规定的程序和时限进行。工程项目任一参建方不得拒绝收、签其他参建方报、送的文件，有不同意见的可用相关用表、文件回复本单位的观点。各方处理报、审的时限应在规定时间内完成。</w:t>
      </w:r>
    </w:p>
    <w:p>
      <w:pPr>
        <w:pStyle w:val="6"/>
        <w:tabs>
          <w:tab w:val="left" w:pos="1680"/>
        </w:tabs>
        <w:ind w:firstLine="420"/>
        <w:rPr>
          <w:szCs w:val="28"/>
        </w:rPr>
      </w:pPr>
      <w:r>
        <w:rPr>
          <w:rFonts w:hint="eastAsia" w:hAnsi="Times New Roman"/>
          <w:szCs w:val="28"/>
        </w:rPr>
        <w:t>未纳入施工总承包管理的施工单位的报审事宜直接向项目监理机构报审，专业分包单位的报审、报验事宜通过施工总承包单位向项目监理机构报审、报验。</w:t>
      </w:r>
    </w:p>
    <w:p>
      <w:pPr>
        <w:pStyle w:val="6"/>
        <w:tabs>
          <w:tab w:val="left" w:pos="1680"/>
        </w:tabs>
        <w:ind w:firstLine="420"/>
        <w:rPr>
          <w:szCs w:val="28"/>
        </w:rPr>
      </w:pPr>
      <w:r>
        <w:rPr>
          <w:szCs w:val="28"/>
        </w:rPr>
        <w:t>4</w:t>
      </w:r>
      <w:r>
        <w:rPr>
          <w:rFonts w:hint="eastAsia" w:hAnsi="Times New Roman"/>
          <w:szCs w:val="28"/>
        </w:rPr>
        <w:t>、各类用表应按有关规定，不得使用易褪色的书写材料填写、打印。</w:t>
      </w:r>
    </w:p>
    <w:p>
      <w:pPr>
        <w:pStyle w:val="6"/>
        <w:tabs>
          <w:tab w:val="left" w:pos="1680"/>
        </w:tabs>
        <w:ind w:firstLine="420"/>
        <w:rPr>
          <w:rFonts w:hAnsi="Times New Roman"/>
          <w:szCs w:val="28"/>
        </w:rPr>
      </w:pPr>
      <w:r>
        <w:rPr>
          <w:szCs w:val="28"/>
        </w:rPr>
        <w:t>5</w:t>
      </w:r>
      <w:r>
        <w:rPr>
          <w:rFonts w:hint="eastAsia" w:hAnsi="Times New Roman"/>
          <w:szCs w:val="28"/>
        </w:rPr>
        <w:t>、</w:t>
      </w:r>
      <w:r>
        <w:rPr>
          <w:rFonts w:hint="eastAsia"/>
          <w:szCs w:val="28"/>
        </w:rPr>
        <w:t>各类用表中</w:t>
      </w:r>
      <w:r>
        <w:rPr>
          <w:szCs w:val="28"/>
        </w:rPr>
        <w:t>“</w:t>
      </w:r>
      <w:r>
        <w:rPr>
          <w:rFonts w:hint="eastAsia" w:hAnsi="Times New Roman"/>
          <w:szCs w:val="28"/>
        </w:rPr>
        <w:t>□</w:t>
      </w:r>
      <w:r>
        <w:rPr>
          <w:szCs w:val="28"/>
        </w:rPr>
        <w:t>”</w:t>
      </w:r>
      <w:r>
        <w:rPr>
          <w:rFonts w:hint="eastAsia" w:hAnsi="Times New Roman"/>
          <w:szCs w:val="28"/>
        </w:rPr>
        <w:t>表示可选择项，不是“必须”项，以</w:t>
      </w:r>
      <w:r>
        <w:rPr>
          <w:szCs w:val="28"/>
        </w:rPr>
        <w:t>“√”</w:t>
      </w:r>
      <w:r>
        <w:rPr>
          <w:rFonts w:hint="eastAsia" w:hAnsi="Times New Roman"/>
          <w:szCs w:val="28"/>
        </w:rPr>
        <w:t>表示被选中项。</w:t>
      </w:r>
    </w:p>
    <w:p>
      <w:pPr>
        <w:pStyle w:val="6"/>
        <w:tabs>
          <w:tab w:val="left" w:pos="1680"/>
        </w:tabs>
        <w:ind w:firstLine="420"/>
        <w:rPr>
          <w:szCs w:val="28"/>
        </w:rPr>
      </w:pPr>
      <w:r>
        <w:rPr>
          <w:szCs w:val="28"/>
        </w:rPr>
        <w:t>6</w:t>
      </w:r>
      <w:r>
        <w:rPr>
          <w:rFonts w:hint="eastAsia"/>
          <w:szCs w:val="28"/>
        </w:rPr>
        <w:t>、填写各类现场用表应使用规范语言，法定计量单位，公历年、月、日。各类表中相关人员的签字栏均须由本人签署，不得代签。由施工单位提供附件的，施工单位项目经理部相关人员应签字或盖章，并宜在附件上加盖骑缝章。</w:t>
      </w:r>
    </w:p>
    <w:p>
      <w:pPr>
        <w:pStyle w:val="6"/>
        <w:tabs>
          <w:tab w:val="left" w:pos="1680"/>
        </w:tabs>
        <w:ind w:firstLine="420"/>
        <w:rPr>
          <w:szCs w:val="28"/>
        </w:rPr>
      </w:pPr>
      <w:r>
        <w:rPr>
          <w:szCs w:val="28"/>
        </w:rPr>
        <w:t>7</w:t>
      </w:r>
      <w:r>
        <w:rPr>
          <w:rFonts w:hint="eastAsia"/>
          <w:szCs w:val="28"/>
        </w:rPr>
        <w:t>、各类表在实际使用中，应分类建立统一编码体系，各类用表的编号应连续，不得重号、跳号。</w:t>
      </w:r>
    </w:p>
    <w:p>
      <w:pPr>
        <w:pStyle w:val="6"/>
        <w:tabs>
          <w:tab w:val="left" w:pos="1680"/>
        </w:tabs>
        <w:ind w:firstLine="420"/>
        <w:rPr>
          <w:szCs w:val="28"/>
        </w:rPr>
      </w:pPr>
      <w:r>
        <w:rPr>
          <w:rFonts w:hint="eastAsia"/>
          <w:szCs w:val="28"/>
        </w:rPr>
        <w:t>编码可分为：顺序编码、文字数字码、日期码等。一般可采用日期加文字加数字（自然序号）的编码方法：日期采用用表形成的年、月、日；文字采用汉语拼音字头，表示用表的类、项；数字码可视工程规模形成用表总份数的多少，确定采用</w:t>
      </w:r>
      <w:r>
        <w:rPr>
          <w:szCs w:val="28"/>
        </w:rPr>
        <w:t>2</w:t>
      </w:r>
      <w:r>
        <w:rPr>
          <w:rFonts w:hint="eastAsia"/>
          <w:szCs w:val="28"/>
        </w:rPr>
        <w:t>位码或</w:t>
      </w:r>
      <w:r>
        <w:rPr>
          <w:szCs w:val="28"/>
        </w:rPr>
        <w:t>3</w:t>
      </w:r>
      <w:r>
        <w:rPr>
          <w:rFonts w:hint="eastAsia"/>
          <w:szCs w:val="28"/>
        </w:rPr>
        <w:t>位码（</w:t>
      </w:r>
      <w:r>
        <w:rPr>
          <w:szCs w:val="28"/>
        </w:rPr>
        <w:t>01</w:t>
      </w:r>
      <w:r>
        <w:rPr>
          <w:rFonts w:hint="eastAsia"/>
          <w:szCs w:val="28"/>
        </w:rPr>
        <w:t>、</w:t>
      </w:r>
      <w:r>
        <w:rPr>
          <w:szCs w:val="28"/>
        </w:rPr>
        <w:t>02</w:t>
      </w:r>
      <w:r>
        <w:rPr>
          <w:rFonts w:hint="eastAsia"/>
          <w:szCs w:val="28"/>
        </w:rPr>
        <w:t>或</w:t>
      </w:r>
      <w:r>
        <w:rPr>
          <w:szCs w:val="28"/>
        </w:rPr>
        <w:t>001</w:t>
      </w:r>
      <w:r>
        <w:rPr>
          <w:rFonts w:hint="eastAsia"/>
          <w:szCs w:val="28"/>
        </w:rPr>
        <w:t>、</w:t>
      </w:r>
      <w:r>
        <w:rPr>
          <w:szCs w:val="28"/>
        </w:rPr>
        <w:t>002</w:t>
      </w:r>
      <w:r>
        <w:rPr>
          <w:rFonts w:hint="eastAsia" w:hAnsi="Times New Roman"/>
          <w:szCs w:val="28"/>
        </w:rPr>
        <w:t>…</w:t>
      </w:r>
      <w:r>
        <w:rPr>
          <w:rFonts w:hint="eastAsia"/>
          <w:szCs w:val="28"/>
        </w:rPr>
        <w:t>）。编码要有利于资料的归档整理、查找和检索及信息化管理。</w:t>
      </w:r>
    </w:p>
    <w:p>
      <w:pPr>
        <w:pStyle w:val="6"/>
        <w:tabs>
          <w:tab w:val="left" w:pos="1680"/>
        </w:tabs>
        <w:ind w:firstLine="420"/>
        <w:rPr>
          <w:szCs w:val="28"/>
        </w:rPr>
      </w:pPr>
      <w:r>
        <w:rPr>
          <w:szCs w:val="28"/>
        </w:rPr>
        <w:t>8</w:t>
      </w:r>
      <w:r>
        <w:rPr>
          <w:rFonts w:hint="eastAsia" w:hAnsi="Times New Roman"/>
          <w:szCs w:val="28"/>
        </w:rPr>
        <w:t>、《监理现</w:t>
      </w:r>
      <w:r>
        <w:rPr>
          <w:rFonts w:hint="eastAsia"/>
          <w:szCs w:val="28"/>
        </w:rPr>
        <w:t>场用表》各用表的编号中，凡</w:t>
      </w:r>
      <w:r>
        <w:rPr>
          <w:szCs w:val="28"/>
        </w:rPr>
        <w:t>“—”</w:t>
      </w:r>
      <w:r>
        <w:rPr>
          <w:rFonts w:hint="eastAsia"/>
          <w:szCs w:val="28"/>
        </w:rPr>
        <w:t>前有空白格，应填写所报审（验）选项的数码代号，当报审（验）的内容不在列出的选项中时，可在预留的</w:t>
      </w:r>
      <w:r>
        <w:rPr>
          <w:szCs w:val="28"/>
        </w:rPr>
        <w:t>“</w:t>
      </w:r>
      <w:r>
        <w:rPr>
          <w:rFonts w:hint="eastAsia" w:hAnsi="Times New Roman"/>
          <w:szCs w:val="28"/>
        </w:rPr>
        <w:t>□</w:t>
      </w:r>
      <w:r>
        <w:rPr>
          <w:szCs w:val="28"/>
        </w:rPr>
        <w:t>”</w:t>
      </w:r>
      <w:r>
        <w:rPr>
          <w:rFonts w:hint="eastAsia"/>
          <w:szCs w:val="28"/>
        </w:rPr>
        <w:t>后自行填加，数码代号顺延。</w:t>
      </w:r>
      <w:r>
        <w:rPr>
          <w:szCs w:val="28"/>
        </w:rPr>
        <w:t>“—”</w:t>
      </w:r>
      <w:r>
        <w:rPr>
          <w:rFonts w:hint="eastAsia"/>
          <w:szCs w:val="28"/>
        </w:rPr>
        <w:t>号后的编码可按本须知第</w:t>
      </w:r>
      <w:r>
        <w:rPr>
          <w:szCs w:val="28"/>
        </w:rPr>
        <w:t>7</w:t>
      </w:r>
      <w:r>
        <w:rPr>
          <w:rFonts w:hint="eastAsia"/>
          <w:szCs w:val="28"/>
        </w:rPr>
        <w:t>条提供的方法选用。</w:t>
      </w:r>
    </w:p>
    <w:p>
      <w:pPr>
        <w:pStyle w:val="6"/>
        <w:tabs>
          <w:tab w:val="left" w:pos="1680"/>
        </w:tabs>
        <w:ind w:firstLine="420"/>
        <w:rPr>
          <w:szCs w:val="28"/>
        </w:rPr>
      </w:pPr>
      <w:r>
        <w:rPr>
          <w:szCs w:val="28"/>
        </w:rPr>
        <w:t>9</w:t>
      </w:r>
      <w:r>
        <w:rPr>
          <w:rFonts w:hint="eastAsia" w:hAnsi="Times New Roman"/>
          <w:szCs w:val="28"/>
        </w:rPr>
        <w:t>、各类用表中施工项目经理部用章和项目经理执业印章的样章应在项目监理机构和建设单位备案；项目监理机构用章和总监理工程师执业印章的样章应在建设单位和施工单位备案。</w:t>
      </w:r>
    </w:p>
    <w:p>
      <w:pPr>
        <w:pStyle w:val="6"/>
        <w:tabs>
          <w:tab w:val="left" w:pos="1134"/>
        </w:tabs>
        <w:ind w:firstLine="420"/>
        <w:rPr>
          <w:rFonts w:hAnsi="Times New Roman"/>
          <w:szCs w:val="28"/>
        </w:rPr>
      </w:pPr>
      <w:r>
        <w:rPr>
          <w:rFonts w:hAnsi="Times New Roman"/>
          <w:szCs w:val="28"/>
        </w:rPr>
        <w:t>10</w:t>
      </w:r>
      <w:r>
        <w:rPr>
          <w:rFonts w:hint="eastAsia" w:hAnsi="Times New Roman"/>
          <w:szCs w:val="28"/>
        </w:rPr>
        <w:t>、对于各类表中所涉及的有关工程质量方面的附表，由于各行业、各部门的专业要求不同，各类工程的质量验收应按相关专业验收规范及相关用表的要求办理。如果没有相应的用表或有需要对用表内容进行补充的，工程开工前，项目监理机构与建设单位、施工单位根据工程特点、质量要求、竣工及归档组卷要求进行协商，定制工程质量验收相应用表。</w:t>
      </w:r>
    </w:p>
    <w:p>
      <w:pPr>
        <w:pStyle w:val="6"/>
        <w:tabs>
          <w:tab w:val="left" w:pos="1134"/>
        </w:tabs>
        <w:spacing w:line="400" w:lineRule="exact"/>
        <w:ind w:firstLine="420"/>
        <w:rPr>
          <w:rFonts w:hAnsi="Times New Roman"/>
          <w:szCs w:val="21"/>
        </w:rPr>
      </w:pPr>
    </w:p>
    <w:p>
      <w:pPr>
        <w:pStyle w:val="6"/>
        <w:tabs>
          <w:tab w:val="left" w:pos="1134"/>
        </w:tabs>
        <w:spacing w:line="400" w:lineRule="exact"/>
        <w:ind w:firstLine="420"/>
        <w:rPr>
          <w:rFonts w:hAnsi="Times New Roman"/>
          <w:szCs w:val="21"/>
        </w:rPr>
      </w:pPr>
    </w:p>
    <w:p>
      <w:pPr>
        <w:pStyle w:val="6"/>
        <w:tabs>
          <w:tab w:val="left" w:pos="1680"/>
        </w:tabs>
        <w:rPr>
          <w:rFonts w:hAnsi="Times New Roman"/>
          <w:b/>
          <w:bCs/>
          <w:sz w:val="32"/>
          <w:szCs w:val="32"/>
        </w:rPr>
      </w:pPr>
      <w:r>
        <w:rPr>
          <w:rFonts w:hint="eastAsia" w:hAnsi="Times New Roman"/>
          <w:b/>
          <w:bCs/>
          <w:sz w:val="32"/>
          <w:szCs w:val="32"/>
        </w:rPr>
        <w:t>二、各类用表</w:t>
      </w:r>
    </w:p>
    <w:p>
      <w:pPr>
        <w:pStyle w:val="6"/>
        <w:tabs>
          <w:tab w:val="left" w:pos="1134"/>
        </w:tabs>
        <w:ind w:firstLine="420"/>
        <w:rPr>
          <w:rFonts w:hAnsi="Times New Roman"/>
          <w:szCs w:val="28"/>
        </w:rPr>
      </w:pPr>
      <w:r>
        <w:rPr>
          <w:rFonts w:hAnsi="Times New Roman"/>
          <w:szCs w:val="28"/>
        </w:rPr>
        <w:t>1</w:t>
      </w:r>
      <w:r>
        <w:rPr>
          <w:rFonts w:hint="eastAsia" w:hAnsi="Times New Roman"/>
          <w:szCs w:val="28"/>
        </w:rPr>
        <w:t>、</w:t>
      </w:r>
      <w:r>
        <w:rPr>
          <w:rFonts w:hAnsi="Times New Roman"/>
          <w:szCs w:val="28"/>
        </w:rPr>
        <w:t>A</w:t>
      </w:r>
      <w:r>
        <w:rPr>
          <w:rFonts w:hint="eastAsia" w:hAnsi="Times New Roman"/>
          <w:szCs w:val="28"/>
        </w:rPr>
        <w:t>类表清单</w:t>
      </w:r>
    </w:p>
    <w:p>
      <w:pPr>
        <w:spacing w:line="400" w:lineRule="exact"/>
        <w:ind w:left="902" w:firstLine="480"/>
        <w:rPr>
          <w:szCs w:val="21"/>
        </w:rPr>
      </w:pPr>
      <w:r>
        <w:rPr>
          <w:szCs w:val="21"/>
        </w:rPr>
        <w:t xml:space="preserve">A.0.1     </w:t>
      </w:r>
      <w:r>
        <w:rPr>
          <w:rFonts w:hint="eastAsia" w:hAnsi="Times New Roman"/>
          <w:szCs w:val="21"/>
        </w:rPr>
        <w:t>总监理工程师任命书</w:t>
      </w:r>
    </w:p>
    <w:p>
      <w:pPr>
        <w:spacing w:line="400" w:lineRule="exact"/>
        <w:ind w:left="902" w:firstLine="480"/>
        <w:rPr>
          <w:szCs w:val="21"/>
        </w:rPr>
      </w:pPr>
      <w:r>
        <w:rPr>
          <w:szCs w:val="21"/>
        </w:rPr>
        <w:t xml:space="preserve">A.0.2     </w:t>
      </w:r>
      <w:r>
        <w:rPr>
          <w:rFonts w:hint="eastAsia" w:hAnsi="Times New Roman"/>
          <w:szCs w:val="21"/>
        </w:rPr>
        <w:t>监理日志</w:t>
      </w:r>
    </w:p>
    <w:p>
      <w:pPr>
        <w:spacing w:line="400" w:lineRule="exact"/>
        <w:ind w:left="902" w:firstLine="480"/>
        <w:rPr>
          <w:szCs w:val="21"/>
        </w:rPr>
      </w:pPr>
      <w:r>
        <w:rPr>
          <w:szCs w:val="21"/>
        </w:rPr>
        <w:t xml:space="preserve">A.0.3     </w:t>
      </w:r>
      <w:r>
        <w:rPr>
          <w:rFonts w:hint="eastAsia" w:hAnsi="Times New Roman"/>
          <w:szCs w:val="21"/>
        </w:rPr>
        <w:t>监理规划</w:t>
      </w:r>
    </w:p>
    <w:p>
      <w:pPr>
        <w:spacing w:line="400" w:lineRule="exact"/>
        <w:ind w:left="902" w:firstLine="480"/>
        <w:rPr>
          <w:szCs w:val="21"/>
        </w:rPr>
      </w:pPr>
      <w:r>
        <w:rPr>
          <w:szCs w:val="21"/>
        </w:rPr>
        <w:t xml:space="preserve">A.0.4     </w:t>
      </w:r>
      <w:r>
        <w:rPr>
          <w:rFonts w:hint="eastAsia" w:hAnsi="Times New Roman"/>
          <w:szCs w:val="21"/>
        </w:rPr>
        <w:t>监理实施细则</w:t>
      </w:r>
    </w:p>
    <w:p>
      <w:pPr>
        <w:spacing w:line="400" w:lineRule="exact"/>
        <w:ind w:left="902" w:firstLine="480"/>
        <w:rPr>
          <w:szCs w:val="21"/>
        </w:rPr>
      </w:pPr>
      <w:r>
        <w:rPr>
          <w:szCs w:val="21"/>
        </w:rPr>
        <w:t xml:space="preserve">A.0.5     </w:t>
      </w:r>
      <w:r>
        <w:rPr>
          <w:rFonts w:hint="eastAsia" w:hAnsi="Times New Roman"/>
          <w:szCs w:val="21"/>
        </w:rPr>
        <w:t>工程开工令</w:t>
      </w:r>
    </w:p>
    <w:p>
      <w:pPr>
        <w:spacing w:line="400" w:lineRule="exact"/>
        <w:ind w:left="902" w:firstLine="480"/>
        <w:rPr>
          <w:szCs w:val="21"/>
        </w:rPr>
      </w:pPr>
      <w:r>
        <w:rPr>
          <w:szCs w:val="21"/>
        </w:rPr>
        <w:t xml:space="preserve">A.0.6     </w:t>
      </w:r>
      <w:r>
        <w:rPr>
          <w:rFonts w:hint="eastAsia" w:hAnsi="Times New Roman"/>
          <w:szCs w:val="21"/>
        </w:rPr>
        <w:t>旁站记录表（通用）</w:t>
      </w:r>
    </w:p>
    <w:p>
      <w:pPr>
        <w:spacing w:line="400" w:lineRule="exact"/>
        <w:ind w:left="902" w:firstLine="480"/>
        <w:rPr>
          <w:szCs w:val="21"/>
        </w:rPr>
      </w:pPr>
      <w:r>
        <w:rPr>
          <w:szCs w:val="21"/>
        </w:rPr>
        <w:t xml:space="preserve">A.0.7     </w:t>
      </w:r>
      <w:r>
        <w:rPr>
          <w:szCs w:val="21"/>
          <w:u w:val="single"/>
        </w:rPr>
        <w:t xml:space="preserve">          </w:t>
      </w:r>
      <w:r>
        <w:rPr>
          <w:rFonts w:hint="eastAsia" w:hAnsi="Times New Roman"/>
          <w:szCs w:val="21"/>
        </w:rPr>
        <w:t>会议纪要</w:t>
      </w:r>
    </w:p>
    <w:p>
      <w:pPr>
        <w:spacing w:line="400" w:lineRule="exact"/>
        <w:ind w:left="902" w:firstLine="480"/>
        <w:rPr>
          <w:szCs w:val="21"/>
        </w:rPr>
      </w:pPr>
      <w:r>
        <w:rPr>
          <w:szCs w:val="21"/>
        </w:rPr>
        <w:t xml:space="preserve">A.0.8     </w:t>
      </w:r>
      <w:r>
        <w:rPr>
          <w:rFonts w:hint="eastAsia" w:hAnsi="Times New Roman"/>
          <w:szCs w:val="21"/>
        </w:rPr>
        <w:t>监理月报</w:t>
      </w:r>
    </w:p>
    <w:p>
      <w:pPr>
        <w:spacing w:line="400" w:lineRule="exact"/>
        <w:ind w:left="902" w:firstLine="480"/>
        <w:rPr>
          <w:szCs w:val="21"/>
        </w:rPr>
      </w:pPr>
      <w:r>
        <w:rPr>
          <w:szCs w:val="21"/>
        </w:rPr>
        <w:t xml:space="preserve">A.0.9     </w:t>
      </w:r>
      <w:r>
        <w:rPr>
          <w:rFonts w:hint="eastAsia" w:hAnsi="Times New Roman"/>
          <w:szCs w:val="21"/>
        </w:rPr>
        <w:t>工程款支付证书</w:t>
      </w:r>
    </w:p>
    <w:p>
      <w:pPr>
        <w:spacing w:line="400" w:lineRule="exact"/>
        <w:ind w:left="902" w:firstLine="480"/>
        <w:rPr>
          <w:szCs w:val="21"/>
        </w:rPr>
      </w:pPr>
      <w:r>
        <w:rPr>
          <w:szCs w:val="21"/>
        </w:rPr>
        <w:t xml:space="preserve">A.0.10    </w:t>
      </w:r>
      <w:r>
        <w:rPr>
          <w:rFonts w:hint="eastAsia" w:hAnsi="Times New Roman"/>
          <w:szCs w:val="21"/>
        </w:rPr>
        <w:t>监理通知单（</w:t>
      </w:r>
      <w:r>
        <w:rPr>
          <w:szCs w:val="21"/>
        </w:rPr>
        <w:t xml:space="preserve">          </w:t>
      </w:r>
      <w:r>
        <w:rPr>
          <w:rFonts w:hint="eastAsia" w:hAnsi="Times New Roman"/>
          <w:szCs w:val="21"/>
        </w:rPr>
        <w:t>类）</w:t>
      </w:r>
    </w:p>
    <w:p>
      <w:pPr>
        <w:spacing w:line="400" w:lineRule="exact"/>
        <w:ind w:left="902" w:firstLine="480"/>
        <w:rPr>
          <w:szCs w:val="21"/>
        </w:rPr>
      </w:pPr>
      <w:r>
        <w:rPr>
          <w:szCs w:val="21"/>
        </w:rPr>
        <w:t xml:space="preserve">A.0.11    </w:t>
      </w:r>
      <w:r>
        <w:rPr>
          <w:rFonts w:hint="eastAsia" w:hAnsi="Times New Roman"/>
          <w:szCs w:val="21"/>
        </w:rPr>
        <w:t>工程暂停令</w:t>
      </w:r>
    </w:p>
    <w:p>
      <w:pPr>
        <w:spacing w:line="400" w:lineRule="exact"/>
        <w:ind w:left="902" w:firstLine="480"/>
        <w:rPr>
          <w:szCs w:val="21"/>
        </w:rPr>
      </w:pPr>
      <w:r>
        <w:rPr>
          <w:szCs w:val="21"/>
        </w:rPr>
        <w:t xml:space="preserve">A.0.12    </w:t>
      </w:r>
      <w:r>
        <w:rPr>
          <w:rFonts w:hint="eastAsia" w:hAnsi="Times New Roman"/>
          <w:szCs w:val="21"/>
        </w:rPr>
        <w:t>工程复工令</w:t>
      </w:r>
      <w:r>
        <w:rPr>
          <w:szCs w:val="21"/>
        </w:rPr>
        <w:t xml:space="preserve"> </w:t>
      </w:r>
    </w:p>
    <w:p>
      <w:pPr>
        <w:spacing w:line="400" w:lineRule="exact"/>
        <w:ind w:left="902" w:firstLine="480"/>
        <w:rPr>
          <w:szCs w:val="21"/>
        </w:rPr>
      </w:pPr>
      <w:r>
        <w:rPr>
          <w:szCs w:val="21"/>
        </w:rPr>
        <w:t xml:space="preserve">A.0.13    </w:t>
      </w:r>
      <w:r>
        <w:rPr>
          <w:rFonts w:hint="eastAsia" w:hAnsi="Times New Roman"/>
          <w:szCs w:val="21"/>
        </w:rPr>
        <w:t>监理备忘录</w:t>
      </w:r>
    </w:p>
    <w:p>
      <w:pPr>
        <w:spacing w:line="400" w:lineRule="exact"/>
        <w:ind w:left="902" w:firstLine="480"/>
        <w:rPr>
          <w:szCs w:val="21"/>
        </w:rPr>
      </w:pPr>
      <w:r>
        <w:rPr>
          <w:szCs w:val="21"/>
        </w:rPr>
        <w:t xml:space="preserve">A.0.14    </w:t>
      </w:r>
      <w:r>
        <w:rPr>
          <w:rFonts w:hint="eastAsia" w:hAnsi="Times New Roman"/>
          <w:szCs w:val="21"/>
        </w:rPr>
        <w:t>监理报告</w:t>
      </w:r>
    </w:p>
    <w:p>
      <w:pPr>
        <w:spacing w:line="400" w:lineRule="exact"/>
        <w:ind w:left="902" w:firstLine="480"/>
        <w:rPr>
          <w:szCs w:val="21"/>
        </w:rPr>
      </w:pPr>
      <w:r>
        <w:rPr>
          <w:szCs w:val="21"/>
        </w:rPr>
        <w:t xml:space="preserve">A.0.15    </w:t>
      </w:r>
      <w:r>
        <w:rPr>
          <w:rFonts w:hint="eastAsia" w:hAnsi="Times New Roman"/>
          <w:szCs w:val="21"/>
        </w:rPr>
        <w:t>工程质量评估报告</w:t>
      </w:r>
    </w:p>
    <w:p>
      <w:pPr>
        <w:spacing w:line="400" w:lineRule="exact"/>
        <w:ind w:left="902" w:firstLine="480"/>
        <w:rPr>
          <w:szCs w:val="21"/>
        </w:rPr>
      </w:pPr>
      <w:r>
        <w:rPr>
          <w:szCs w:val="21"/>
        </w:rPr>
        <w:t xml:space="preserve">A.0.16    </w:t>
      </w:r>
      <w:r>
        <w:rPr>
          <w:rFonts w:hint="eastAsia" w:hAnsi="Times New Roman"/>
          <w:szCs w:val="21"/>
        </w:rPr>
        <w:t>监理工作总结</w:t>
      </w:r>
    </w:p>
    <w:p>
      <w:pPr>
        <w:spacing w:line="400" w:lineRule="exact"/>
        <w:ind w:left="902" w:firstLine="480"/>
        <w:rPr>
          <w:rFonts w:hAnsi="Times New Roman"/>
          <w:szCs w:val="21"/>
        </w:rPr>
      </w:pPr>
      <w:r>
        <w:rPr>
          <w:szCs w:val="21"/>
        </w:rPr>
        <w:t xml:space="preserve">A.0.17    </w:t>
      </w:r>
      <w:r>
        <w:rPr>
          <w:rFonts w:hint="eastAsia" w:hAnsi="Times New Roman"/>
          <w:szCs w:val="21"/>
        </w:rPr>
        <w:t>工程监理资料移交单</w:t>
      </w:r>
    </w:p>
    <w:p>
      <w:pPr>
        <w:spacing w:line="400" w:lineRule="exact"/>
        <w:ind w:left="902" w:firstLine="480"/>
        <w:rPr>
          <w:rFonts w:hAnsi="Times New Roman"/>
          <w:szCs w:val="21"/>
        </w:rPr>
      </w:pPr>
      <w:r>
        <w:rPr>
          <w:rFonts w:hAnsi="Times New Roman"/>
          <w:szCs w:val="21"/>
        </w:rPr>
        <w:t xml:space="preserve">A.0.18   </w:t>
      </w:r>
      <w:r>
        <w:rPr>
          <w:rFonts w:hint="eastAsia" w:hAnsi="Times New Roman"/>
          <w:szCs w:val="21"/>
        </w:rPr>
        <w:t>危大工程巡视检查记录表</w:t>
      </w:r>
    </w:p>
    <w:p>
      <w:pPr>
        <w:spacing w:line="400" w:lineRule="exact"/>
        <w:ind w:left="902" w:firstLine="480"/>
        <w:rPr>
          <w:rFonts w:hAnsi="Times New Roman"/>
          <w:szCs w:val="21"/>
        </w:rPr>
      </w:pPr>
      <w:r>
        <w:rPr>
          <w:rFonts w:hAnsi="Times New Roman"/>
          <w:szCs w:val="21"/>
        </w:rPr>
        <w:t xml:space="preserve">A.0.19   </w:t>
      </w:r>
      <w:r>
        <w:rPr>
          <w:rFonts w:hint="eastAsia" w:hAnsi="Times New Roman"/>
          <w:szCs w:val="21"/>
        </w:rPr>
        <w:t>危大工程安全管理档案</w:t>
      </w:r>
      <w:r>
        <w:rPr>
          <w:rFonts w:hAnsi="Times New Roman"/>
          <w:szCs w:val="21"/>
        </w:rPr>
        <w:t xml:space="preserve"> </w:t>
      </w:r>
    </w:p>
    <w:p>
      <w:pPr>
        <w:spacing w:line="400" w:lineRule="exact"/>
        <w:ind w:left="902" w:firstLine="480"/>
        <w:rPr>
          <w:szCs w:val="21"/>
        </w:rPr>
      </w:pPr>
    </w:p>
    <w:p>
      <w:pPr>
        <w:pStyle w:val="6"/>
        <w:tabs>
          <w:tab w:val="left" w:pos="1134"/>
        </w:tabs>
        <w:ind w:firstLine="420"/>
        <w:rPr>
          <w:rFonts w:hAnsi="Times New Roman"/>
          <w:szCs w:val="28"/>
        </w:rPr>
      </w:pPr>
      <w:r>
        <w:rPr>
          <w:rFonts w:hAnsi="Times New Roman"/>
          <w:szCs w:val="28"/>
        </w:rPr>
        <w:t>2</w:t>
      </w:r>
      <w:r>
        <w:rPr>
          <w:rFonts w:hint="eastAsia" w:hAnsi="Times New Roman"/>
          <w:szCs w:val="28"/>
        </w:rPr>
        <w:t>、</w:t>
      </w:r>
      <w:r>
        <w:rPr>
          <w:rFonts w:hAnsi="Times New Roman"/>
          <w:szCs w:val="28"/>
        </w:rPr>
        <w:t>B</w:t>
      </w:r>
      <w:r>
        <w:rPr>
          <w:rFonts w:hint="eastAsia" w:hAnsi="Times New Roman"/>
          <w:szCs w:val="28"/>
        </w:rPr>
        <w:t>类表清单</w:t>
      </w:r>
    </w:p>
    <w:p>
      <w:pPr>
        <w:spacing w:line="400" w:lineRule="exact"/>
        <w:ind w:left="902" w:firstLine="465"/>
        <w:rPr>
          <w:szCs w:val="21"/>
        </w:rPr>
      </w:pPr>
      <w:r>
        <w:rPr>
          <w:szCs w:val="21"/>
        </w:rPr>
        <w:t xml:space="preserve">B.0.1     </w:t>
      </w:r>
      <w:r>
        <w:rPr>
          <w:rFonts w:hint="eastAsia" w:hAnsi="Times New Roman"/>
          <w:szCs w:val="21"/>
        </w:rPr>
        <w:t>施工组织设计</w:t>
      </w:r>
      <w:r>
        <w:rPr>
          <w:szCs w:val="21"/>
        </w:rPr>
        <w:t>/</w:t>
      </w:r>
      <w:r>
        <w:rPr>
          <w:rFonts w:hint="eastAsia" w:hAnsi="Times New Roman"/>
          <w:szCs w:val="21"/>
        </w:rPr>
        <w:t>施工方案报审表</w:t>
      </w:r>
    </w:p>
    <w:p>
      <w:pPr>
        <w:spacing w:line="400" w:lineRule="exact"/>
        <w:ind w:left="902" w:firstLine="465"/>
        <w:rPr>
          <w:szCs w:val="21"/>
        </w:rPr>
      </w:pPr>
      <w:r>
        <w:rPr>
          <w:szCs w:val="21"/>
        </w:rPr>
        <w:t xml:space="preserve">B.0.2     </w:t>
      </w:r>
      <w:r>
        <w:rPr>
          <w:rFonts w:hint="eastAsia" w:hAnsi="Times New Roman"/>
          <w:szCs w:val="21"/>
        </w:rPr>
        <w:t>施工现场质量、安全生产管理体系报审表</w:t>
      </w:r>
    </w:p>
    <w:p>
      <w:pPr>
        <w:spacing w:line="400" w:lineRule="exact"/>
        <w:ind w:left="902" w:firstLine="465"/>
        <w:rPr>
          <w:rFonts w:hAnsi="Times New Roman"/>
          <w:szCs w:val="21"/>
        </w:rPr>
      </w:pPr>
      <w:r>
        <w:rPr>
          <w:szCs w:val="21"/>
        </w:rPr>
        <w:t xml:space="preserve">B.0.3     </w:t>
      </w:r>
      <w:r>
        <w:rPr>
          <w:rFonts w:hint="eastAsia" w:hAnsi="Times New Roman"/>
          <w:szCs w:val="21"/>
        </w:rPr>
        <w:t>工程开工报审表</w:t>
      </w:r>
    </w:p>
    <w:p>
      <w:pPr>
        <w:spacing w:line="400" w:lineRule="exact"/>
        <w:ind w:left="902" w:firstLine="465"/>
        <w:rPr>
          <w:szCs w:val="21"/>
        </w:rPr>
      </w:pPr>
      <w:r>
        <w:rPr>
          <w:szCs w:val="21"/>
        </w:rPr>
        <w:t xml:space="preserve">B.0.4     </w:t>
      </w:r>
      <w:r>
        <w:rPr>
          <w:rFonts w:hint="eastAsia" w:hAnsi="Times New Roman"/>
          <w:szCs w:val="21"/>
        </w:rPr>
        <w:t>分包单位资质报审表</w:t>
      </w:r>
    </w:p>
    <w:p>
      <w:pPr>
        <w:spacing w:line="400" w:lineRule="exact"/>
        <w:ind w:left="902" w:firstLine="465"/>
        <w:rPr>
          <w:szCs w:val="21"/>
        </w:rPr>
      </w:pPr>
      <w:r>
        <w:rPr>
          <w:szCs w:val="21"/>
        </w:rPr>
        <w:t xml:space="preserve">B.1.1     </w:t>
      </w:r>
      <w:r>
        <w:rPr>
          <w:rFonts w:hint="eastAsia" w:hAnsi="Times New Roman"/>
          <w:szCs w:val="21"/>
        </w:rPr>
        <w:t>施工试验室报审表</w:t>
      </w:r>
    </w:p>
    <w:p>
      <w:pPr>
        <w:spacing w:line="400" w:lineRule="exact"/>
        <w:ind w:left="902" w:firstLine="465"/>
        <w:rPr>
          <w:szCs w:val="21"/>
        </w:rPr>
      </w:pPr>
      <w:r>
        <w:rPr>
          <w:szCs w:val="21"/>
        </w:rPr>
        <w:t xml:space="preserve">B.1.2     </w:t>
      </w:r>
      <w:r>
        <w:rPr>
          <w:rFonts w:hint="eastAsia" w:hAnsi="Times New Roman"/>
          <w:szCs w:val="21"/>
        </w:rPr>
        <w:t>施工控制测量成果报验表</w:t>
      </w:r>
    </w:p>
    <w:p>
      <w:pPr>
        <w:spacing w:line="400" w:lineRule="exact"/>
        <w:ind w:left="902" w:firstLine="465"/>
        <w:rPr>
          <w:szCs w:val="21"/>
        </w:rPr>
      </w:pPr>
      <w:r>
        <w:rPr>
          <w:szCs w:val="21"/>
        </w:rPr>
        <w:t xml:space="preserve">B.1.3     </w:t>
      </w:r>
      <w:r>
        <w:rPr>
          <w:rFonts w:hint="eastAsia" w:hAnsi="Times New Roman"/>
          <w:szCs w:val="21"/>
        </w:rPr>
        <w:t>工程材料、构配件、设备进场</w:t>
      </w:r>
      <w:r>
        <w:rPr>
          <w:rFonts w:hAnsi="Times New Roman"/>
          <w:szCs w:val="21"/>
        </w:rPr>
        <w:t>/</w:t>
      </w:r>
      <w:r>
        <w:rPr>
          <w:rFonts w:hint="eastAsia" w:hAnsi="Times New Roman"/>
          <w:szCs w:val="21"/>
        </w:rPr>
        <w:t>使用报审表</w:t>
      </w:r>
    </w:p>
    <w:p>
      <w:pPr>
        <w:spacing w:line="400" w:lineRule="exact"/>
        <w:ind w:left="902" w:firstLine="465"/>
        <w:rPr>
          <w:szCs w:val="21"/>
        </w:rPr>
      </w:pPr>
      <w:r>
        <w:rPr>
          <w:szCs w:val="21"/>
        </w:rPr>
        <w:t xml:space="preserve">B.1.4     </w:t>
      </w:r>
      <w:r>
        <w:rPr>
          <w:rFonts w:hint="eastAsia" w:hAnsi="Times New Roman"/>
          <w:szCs w:val="21"/>
        </w:rPr>
        <w:t>工程质量报验表</w:t>
      </w:r>
    </w:p>
    <w:p>
      <w:pPr>
        <w:spacing w:line="400" w:lineRule="exact"/>
        <w:ind w:left="902" w:firstLine="465"/>
        <w:rPr>
          <w:szCs w:val="21"/>
        </w:rPr>
      </w:pPr>
      <w:r>
        <w:rPr>
          <w:szCs w:val="21"/>
        </w:rPr>
        <w:t xml:space="preserve">B.1.5     </w:t>
      </w:r>
      <w:r>
        <w:rPr>
          <w:rFonts w:hint="eastAsia" w:hAnsi="Times New Roman"/>
          <w:szCs w:val="21"/>
        </w:rPr>
        <w:t>混凝土浇筑报审表</w:t>
      </w:r>
    </w:p>
    <w:p>
      <w:pPr>
        <w:spacing w:line="400" w:lineRule="exact"/>
        <w:ind w:left="902" w:firstLine="465"/>
        <w:rPr>
          <w:rFonts w:hAnsi="Times New Roman"/>
          <w:szCs w:val="21"/>
        </w:rPr>
      </w:pPr>
      <w:r>
        <w:rPr>
          <w:szCs w:val="21"/>
        </w:rPr>
        <w:t xml:space="preserve">B.1.6     </w:t>
      </w:r>
      <w:r>
        <w:rPr>
          <w:rFonts w:hint="eastAsia" w:hAnsi="Times New Roman"/>
          <w:szCs w:val="21"/>
        </w:rPr>
        <w:t>分部（子分部）工程报验表</w:t>
      </w:r>
    </w:p>
    <w:p>
      <w:pPr>
        <w:spacing w:line="400" w:lineRule="exact"/>
        <w:ind w:left="902" w:firstLine="465"/>
        <w:rPr>
          <w:rFonts w:hAnsi="Times New Roman"/>
          <w:szCs w:val="21"/>
        </w:rPr>
      </w:pPr>
      <w:r>
        <w:rPr>
          <w:rFonts w:hAnsi="Times New Roman"/>
          <w:szCs w:val="21"/>
        </w:rPr>
        <w:t xml:space="preserve">B.1.7     </w:t>
      </w:r>
      <w:r>
        <w:rPr>
          <w:rFonts w:hint="eastAsia" w:hAnsi="Times New Roman"/>
          <w:szCs w:val="21"/>
        </w:rPr>
        <w:t>部品部件进场报审表</w:t>
      </w:r>
    </w:p>
    <w:p>
      <w:pPr>
        <w:spacing w:line="400" w:lineRule="exact"/>
        <w:ind w:left="902" w:firstLine="465"/>
        <w:rPr>
          <w:rFonts w:hAnsi="Times New Roman"/>
          <w:szCs w:val="21"/>
        </w:rPr>
      </w:pPr>
      <w:r>
        <w:rPr>
          <w:rFonts w:hAnsi="Times New Roman"/>
          <w:szCs w:val="21"/>
        </w:rPr>
        <w:t xml:space="preserve">B.1.8     </w:t>
      </w:r>
      <w:r>
        <w:rPr>
          <w:rFonts w:hint="eastAsia" w:hAnsi="Times New Roman"/>
          <w:szCs w:val="21"/>
        </w:rPr>
        <w:t>部品部件安装质量报验表</w:t>
      </w:r>
    </w:p>
    <w:p>
      <w:pPr>
        <w:spacing w:line="400" w:lineRule="exact"/>
        <w:ind w:left="902" w:firstLine="465"/>
        <w:rPr>
          <w:szCs w:val="21"/>
        </w:rPr>
      </w:pPr>
      <w:r>
        <w:rPr>
          <w:szCs w:val="21"/>
        </w:rPr>
        <w:t>B.2.1      </w:t>
      </w:r>
      <w:r>
        <w:rPr>
          <w:rFonts w:hint="eastAsia" w:hAnsi="Times New Roman"/>
          <w:szCs w:val="21"/>
        </w:rPr>
        <w:t>工程计量报审表</w:t>
      </w:r>
    </w:p>
    <w:p>
      <w:pPr>
        <w:tabs>
          <w:tab w:val="left" w:pos="2380"/>
        </w:tabs>
        <w:spacing w:line="400" w:lineRule="exact"/>
        <w:ind w:left="902" w:firstLine="480"/>
        <w:rPr>
          <w:szCs w:val="21"/>
        </w:rPr>
      </w:pPr>
      <w:r>
        <w:rPr>
          <w:szCs w:val="21"/>
        </w:rPr>
        <w:t xml:space="preserve">B.2.2     </w:t>
      </w:r>
      <w:r>
        <w:rPr>
          <w:rFonts w:hint="eastAsia" w:hAnsi="Times New Roman"/>
          <w:szCs w:val="21"/>
        </w:rPr>
        <w:t>费用索赔报审表</w:t>
      </w:r>
    </w:p>
    <w:p>
      <w:pPr>
        <w:tabs>
          <w:tab w:val="left" w:pos="2454"/>
        </w:tabs>
        <w:spacing w:line="400" w:lineRule="exact"/>
        <w:ind w:left="902" w:firstLine="480"/>
        <w:rPr>
          <w:szCs w:val="21"/>
        </w:rPr>
      </w:pPr>
      <w:r>
        <w:rPr>
          <w:szCs w:val="21"/>
        </w:rPr>
        <w:t xml:space="preserve">B.2.3     </w:t>
      </w:r>
      <w:r>
        <w:rPr>
          <w:rFonts w:hint="eastAsia" w:hAnsi="Times New Roman"/>
          <w:szCs w:val="21"/>
        </w:rPr>
        <w:t>工程款支付报审表</w:t>
      </w:r>
    </w:p>
    <w:p>
      <w:pPr>
        <w:spacing w:line="400" w:lineRule="exact"/>
        <w:ind w:left="902" w:firstLine="480"/>
        <w:rPr>
          <w:szCs w:val="21"/>
        </w:rPr>
      </w:pPr>
      <w:r>
        <w:rPr>
          <w:szCs w:val="21"/>
        </w:rPr>
        <w:t xml:space="preserve">B.3.1     </w:t>
      </w:r>
      <w:r>
        <w:rPr>
          <w:rFonts w:hint="eastAsia" w:hAnsi="Times New Roman"/>
          <w:szCs w:val="21"/>
        </w:rPr>
        <w:t>施工进度计划报审表</w:t>
      </w:r>
    </w:p>
    <w:p>
      <w:pPr>
        <w:spacing w:line="400" w:lineRule="exact"/>
        <w:ind w:left="902" w:firstLine="480"/>
        <w:rPr>
          <w:szCs w:val="21"/>
        </w:rPr>
      </w:pPr>
      <w:r>
        <w:rPr>
          <w:szCs w:val="21"/>
        </w:rPr>
        <w:t xml:space="preserve">B.3.2     </w:t>
      </w:r>
      <w:r>
        <w:rPr>
          <w:rFonts w:hint="eastAsia" w:hAnsi="Times New Roman"/>
          <w:szCs w:val="21"/>
        </w:rPr>
        <w:t>工程临时</w:t>
      </w:r>
      <w:r>
        <w:rPr>
          <w:szCs w:val="21"/>
        </w:rPr>
        <w:t>/</w:t>
      </w:r>
      <w:r>
        <w:rPr>
          <w:rFonts w:hint="eastAsia" w:hAnsi="Times New Roman"/>
          <w:szCs w:val="21"/>
        </w:rPr>
        <w:t>最终延期报审表</w:t>
      </w:r>
    </w:p>
    <w:p>
      <w:pPr>
        <w:spacing w:line="400" w:lineRule="exact"/>
        <w:ind w:left="902" w:firstLine="480"/>
        <w:rPr>
          <w:rFonts w:hAnsi="Times New Roman"/>
          <w:szCs w:val="21"/>
        </w:rPr>
      </w:pPr>
      <w:r>
        <w:rPr>
          <w:szCs w:val="21"/>
        </w:rPr>
        <w:t xml:space="preserve">B.4.1     </w:t>
      </w:r>
      <w:r>
        <w:rPr>
          <w:rFonts w:hint="eastAsia" w:hAnsi="Times New Roman"/>
          <w:szCs w:val="21"/>
        </w:rPr>
        <w:t>施工起重机械设备安装</w:t>
      </w:r>
      <w:r>
        <w:rPr>
          <w:szCs w:val="21"/>
        </w:rPr>
        <w:t>/</w:t>
      </w:r>
      <w:r>
        <w:rPr>
          <w:rFonts w:hint="eastAsia" w:hAnsi="Times New Roman"/>
          <w:szCs w:val="21"/>
        </w:rPr>
        <w:t>使用</w:t>
      </w:r>
      <w:r>
        <w:rPr>
          <w:szCs w:val="21"/>
        </w:rPr>
        <w:t>/</w:t>
      </w:r>
      <w:r>
        <w:rPr>
          <w:rFonts w:hint="eastAsia" w:hAnsi="Times New Roman"/>
          <w:szCs w:val="21"/>
        </w:rPr>
        <w:t>拆卸报审表</w:t>
      </w:r>
    </w:p>
    <w:p>
      <w:pPr>
        <w:spacing w:line="400" w:lineRule="exact"/>
        <w:ind w:left="902" w:firstLine="480"/>
        <w:rPr>
          <w:rFonts w:hAnsi="Times New Roman"/>
          <w:szCs w:val="21"/>
        </w:rPr>
      </w:pPr>
      <w:r>
        <w:rPr>
          <w:rFonts w:hAnsi="Times New Roman"/>
          <w:szCs w:val="21"/>
        </w:rPr>
        <w:t xml:space="preserve">B.4.2     </w:t>
      </w:r>
      <w:r>
        <w:rPr>
          <w:rFonts w:hint="eastAsia" w:hAnsi="Times New Roman"/>
          <w:szCs w:val="21"/>
        </w:rPr>
        <w:t>危大工程验收告知单</w:t>
      </w:r>
    </w:p>
    <w:p>
      <w:pPr>
        <w:spacing w:line="400" w:lineRule="exact"/>
        <w:ind w:left="902" w:firstLine="480"/>
        <w:rPr>
          <w:szCs w:val="21"/>
        </w:rPr>
      </w:pPr>
      <w:r>
        <w:rPr>
          <w:szCs w:val="21"/>
        </w:rPr>
        <w:t xml:space="preserve">B.5.1     </w:t>
      </w:r>
      <w:r>
        <w:rPr>
          <w:rFonts w:hint="eastAsia" w:hAnsi="Times New Roman"/>
          <w:szCs w:val="21"/>
        </w:rPr>
        <w:t>监理通知回复单（</w:t>
      </w:r>
      <w:r>
        <w:rPr>
          <w:szCs w:val="21"/>
        </w:rPr>
        <w:t xml:space="preserve">         </w:t>
      </w:r>
      <w:r>
        <w:rPr>
          <w:rFonts w:hint="eastAsia" w:hAnsi="Times New Roman"/>
          <w:szCs w:val="21"/>
        </w:rPr>
        <w:t>类）</w:t>
      </w:r>
    </w:p>
    <w:p>
      <w:pPr>
        <w:spacing w:line="400" w:lineRule="exact"/>
        <w:ind w:left="902" w:firstLine="480"/>
        <w:rPr>
          <w:szCs w:val="21"/>
        </w:rPr>
      </w:pPr>
      <w:r>
        <w:rPr>
          <w:szCs w:val="21"/>
        </w:rPr>
        <w:t xml:space="preserve">B.5.2     </w:t>
      </w:r>
      <w:r>
        <w:rPr>
          <w:rFonts w:hint="eastAsia" w:hAnsi="Times New Roman"/>
          <w:szCs w:val="21"/>
        </w:rPr>
        <w:t>工程复工报审表</w:t>
      </w:r>
    </w:p>
    <w:p>
      <w:pPr>
        <w:spacing w:line="400" w:lineRule="exact"/>
        <w:ind w:left="902" w:firstLine="480"/>
        <w:rPr>
          <w:szCs w:val="21"/>
        </w:rPr>
      </w:pPr>
      <w:r>
        <w:rPr>
          <w:szCs w:val="21"/>
        </w:rPr>
        <w:t xml:space="preserve">B.5.3     </w:t>
      </w:r>
      <w:r>
        <w:rPr>
          <w:rFonts w:hint="eastAsia" w:hAnsi="Times New Roman"/>
          <w:szCs w:val="21"/>
        </w:rPr>
        <w:t>单位工程竣工验收报审表</w:t>
      </w:r>
    </w:p>
    <w:p>
      <w:pPr>
        <w:spacing w:line="400" w:lineRule="exact"/>
        <w:ind w:left="902" w:firstLine="480"/>
        <w:rPr>
          <w:rFonts w:hAnsi="Times New Roman"/>
          <w:szCs w:val="21"/>
        </w:rPr>
      </w:pPr>
      <w:r>
        <w:rPr>
          <w:szCs w:val="21"/>
        </w:rPr>
        <w:t xml:space="preserve">B.5.4     </w:t>
      </w:r>
      <w:r>
        <w:rPr>
          <w:rFonts w:hint="eastAsia" w:hAnsi="Times New Roman"/>
          <w:szCs w:val="21"/>
        </w:rPr>
        <w:t>施工单位通用报审表</w:t>
      </w:r>
    </w:p>
    <w:p>
      <w:pPr>
        <w:spacing w:line="400" w:lineRule="exact"/>
        <w:ind w:left="902" w:firstLine="480"/>
        <w:rPr>
          <w:rFonts w:hAnsi="Times New Roman"/>
          <w:szCs w:val="21"/>
        </w:rPr>
      </w:pPr>
      <w:r>
        <w:rPr>
          <w:rFonts w:hAnsi="Times New Roman"/>
          <w:szCs w:val="21"/>
        </w:rPr>
        <w:t xml:space="preserve">B.5.5     </w:t>
      </w:r>
      <w:r>
        <w:rPr>
          <w:rFonts w:hint="eastAsia" w:hAnsi="Times New Roman"/>
          <w:szCs w:val="21"/>
        </w:rPr>
        <w:t>工程变更申请表</w:t>
      </w:r>
    </w:p>
    <w:p>
      <w:pPr>
        <w:spacing w:line="400" w:lineRule="exact"/>
        <w:ind w:left="902"/>
        <w:rPr>
          <w:rFonts w:eastAsia="黑体"/>
          <w:bCs/>
          <w:szCs w:val="21"/>
        </w:rPr>
      </w:pPr>
      <w:r>
        <w:rPr>
          <w:szCs w:val="21"/>
        </w:rPr>
        <w:t xml:space="preserve">    </w:t>
      </w:r>
    </w:p>
    <w:p>
      <w:pPr>
        <w:pStyle w:val="6"/>
        <w:tabs>
          <w:tab w:val="left" w:pos="1134"/>
        </w:tabs>
        <w:ind w:firstLine="420"/>
        <w:rPr>
          <w:rFonts w:hAnsi="Times New Roman"/>
          <w:szCs w:val="28"/>
        </w:rPr>
      </w:pPr>
      <w:r>
        <w:rPr>
          <w:rFonts w:hAnsi="Times New Roman"/>
          <w:szCs w:val="28"/>
        </w:rPr>
        <w:t>3</w:t>
      </w:r>
      <w:r>
        <w:rPr>
          <w:rFonts w:hint="eastAsia" w:hAnsi="Times New Roman"/>
          <w:szCs w:val="28"/>
        </w:rPr>
        <w:t>、</w:t>
      </w:r>
      <w:r>
        <w:rPr>
          <w:rFonts w:hAnsi="Times New Roman"/>
          <w:szCs w:val="28"/>
        </w:rPr>
        <w:t>C</w:t>
      </w:r>
      <w:r>
        <w:rPr>
          <w:rFonts w:hint="eastAsia" w:hAnsi="Times New Roman"/>
          <w:szCs w:val="28"/>
        </w:rPr>
        <w:t>类表清单</w:t>
      </w:r>
    </w:p>
    <w:p>
      <w:pPr>
        <w:spacing w:line="400" w:lineRule="exact"/>
        <w:ind w:left="902" w:firstLine="405"/>
        <w:rPr>
          <w:szCs w:val="21"/>
        </w:rPr>
      </w:pPr>
      <w:r>
        <w:rPr>
          <w:szCs w:val="21"/>
        </w:rPr>
        <w:t xml:space="preserve">C.0.1     </w:t>
      </w:r>
      <w:r>
        <w:rPr>
          <w:rFonts w:hint="eastAsia" w:hAnsi="Times New Roman"/>
          <w:szCs w:val="21"/>
        </w:rPr>
        <w:t>工程联系单</w:t>
      </w:r>
    </w:p>
    <w:p>
      <w:pPr>
        <w:spacing w:line="400" w:lineRule="exact"/>
        <w:ind w:left="902" w:firstLine="405"/>
        <w:rPr>
          <w:szCs w:val="21"/>
        </w:rPr>
      </w:pPr>
      <w:r>
        <w:rPr>
          <w:szCs w:val="21"/>
        </w:rPr>
        <w:t xml:space="preserve">C.0.2     </w:t>
      </w:r>
      <w:r>
        <w:rPr>
          <w:rFonts w:hint="eastAsia" w:hAnsi="Times New Roman"/>
          <w:szCs w:val="21"/>
        </w:rPr>
        <w:t>索赔意向通知书</w:t>
      </w:r>
    </w:p>
    <w:p>
      <w:pPr>
        <w:pStyle w:val="6"/>
        <w:tabs>
          <w:tab w:val="left" w:pos="1680"/>
        </w:tabs>
        <w:spacing w:line="400" w:lineRule="exact"/>
        <w:ind w:firstLine="420"/>
        <w:rPr>
          <w:b/>
          <w:szCs w:val="21"/>
        </w:rPr>
      </w:pPr>
    </w:p>
    <w:p>
      <w:pPr>
        <w:pStyle w:val="6"/>
        <w:tabs>
          <w:tab w:val="left" w:pos="1680"/>
        </w:tabs>
        <w:rPr>
          <w:rFonts w:hAnsi="Times New Roman"/>
          <w:b/>
          <w:bCs/>
          <w:sz w:val="32"/>
          <w:szCs w:val="32"/>
        </w:rPr>
      </w:pPr>
      <w:r>
        <w:rPr>
          <w:rFonts w:hint="eastAsia" w:hAnsi="Times New Roman"/>
          <w:b/>
          <w:bCs/>
          <w:sz w:val="32"/>
          <w:szCs w:val="32"/>
        </w:rPr>
        <w:t>三、各类用表使用说明</w:t>
      </w:r>
    </w:p>
    <w:p>
      <w:pPr>
        <w:pStyle w:val="6"/>
        <w:tabs>
          <w:tab w:val="left" w:pos="1680"/>
        </w:tabs>
        <w:spacing w:line="400" w:lineRule="exact"/>
        <w:rPr>
          <w:rFonts w:eastAsia="黑体"/>
          <w:szCs w:val="28"/>
        </w:rPr>
      </w:pPr>
      <w:r>
        <w:rPr>
          <w:rFonts w:eastAsia="黑体"/>
          <w:szCs w:val="28"/>
        </w:rPr>
        <w:t>1</w:t>
      </w:r>
      <w:r>
        <w:rPr>
          <w:rFonts w:hint="eastAsia" w:eastAsia="黑体"/>
          <w:szCs w:val="28"/>
        </w:rPr>
        <w:t>、</w:t>
      </w:r>
      <w:r>
        <w:rPr>
          <w:rFonts w:eastAsia="黑体"/>
          <w:szCs w:val="28"/>
        </w:rPr>
        <w:t>A</w:t>
      </w:r>
      <w:r>
        <w:rPr>
          <w:rFonts w:hint="eastAsia" w:eastAsia="黑体"/>
          <w:szCs w:val="28"/>
        </w:rPr>
        <w:t>类表</w:t>
      </w:r>
    </w:p>
    <w:p>
      <w:pPr>
        <w:pStyle w:val="6"/>
        <w:tabs>
          <w:tab w:val="left" w:pos="1680"/>
        </w:tabs>
        <w:spacing w:line="400" w:lineRule="exact"/>
        <w:rPr>
          <w:rFonts w:eastAsia="黑体"/>
          <w:sz w:val="24"/>
        </w:rPr>
      </w:pPr>
      <w:r>
        <w:rPr>
          <w:rFonts w:eastAsia="黑体"/>
          <w:sz w:val="24"/>
        </w:rPr>
        <w:t xml:space="preserve">A.0.1  </w:t>
      </w:r>
      <w:r>
        <w:rPr>
          <w:rFonts w:hint="eastAsia" w:eastAsia="黑体"/>
          <w:sz w:val="24"/>
        </w:rPr>
        <w:t>总监理工程师任命书</w:t>
      </w:r>
    </w:p>
    <w:p>
      <w:pPr>
        <w:pStyle w:val="6"/>
        <w:tabs>
          <w:tab w:val="left" w:pos="1680"/>
        </w:tabs>
        <w:spacing w:line="400" w:lineRule="exact"/>
        <w:ind w:firstLine="420"/>
        <w:rPr>
          <w:szCs w:val="21"/>
        </w:rPr>
      </w:pPr>
      <w:r>
        <w:rPr>
          <w:rFonts w:hint="eastAsia"/>
          <w:szCs w:val="21"/>
        </w:rPr>
        <w:t>《建设工程监理合同》签订后，工程监理单位法定代表人根据监理合同的约定，任命项目总监理工程师，负责履行《建设工程监理合同》、主持项目监理机构工作。工程监理单位应将对总监理工程师的任命以及相应的授权范围书面通知建设单位，并抄送施工单位。本表应附总监理工程师执业证书复印件及印章和项目监理机构用章的样章。</w:t>
      </w:r>
    </w:p>
    <w:p>
      <w:pPr>
        <w:pStyle w:val="6"/>
        <w:tabs>
          <w:tab w:val="left" w:pos="1680"/>
        </w:tabs>
        <w:spacing w:line="400" w:lineRule="exact"/>
        <w:rPr>
          <w:rFonts w:eastAsia="黑体"/>
          <w:sz w:val="24"/>
        </w:rPr>
      </w:pPr>
      <w:r>
        <w:rPr>
          <w:rFonts w:eastAsia="黑体"/>
          <w:sz w:val="24"/>
        </w:rPr>
        <w:t xml:space="preserve">A.0.2  </w:t>
      </w:r>
      <w:r>
        <w:rPr>
          <w:rFonts w:hint="eastAsia" w:eastAsia="黑体"/>
          <w:sz w:val="24"/>
        </w:rPr>
        <w:t>监理日志</w:t>
      </w:r>
    </w:p>
    <w:p>
      <w:pPr>
        <w:pStyle w:val="6"/>
        <w:tabs>
          <w:tab w:val="left" w:pos="1680"/>
        </w:tabs>
        <w:spacing w:line="400" w:lineRule="exact"/>
        <w:ind w:firstLine="420"/>
        <w:rPr>
          <w:szCs w:val="21"/>
        </w:rPr>
      </w:pPr>
      <w:r>
        <w:rPr>
          <w:rFonts w:hint="eastAsia"/>
          <w:szCs w:val="21"/>
        </w:rPr>
        <w:t>监理日志是项目监理机构对当天气候及现场情况、监理工作及施工进展情况所做的记录。</w:t>
      </w:r>
    </w:p>
    <w:p>
      <w:pPr>
        <w:pStyle w:val="6"/>
        <w:tabs>
          <w:tab w:val="left" w:pos="1680"/>
        </w:tabs>
        <w:spacing w:line="400" w:lineRule="exact"/>
        <w:ind w:firstLine="420"/>
        <w:rPr>
          <w:szCs w:val="21"/>
        </w:rPr>
      </w:pPr>
      <w:r>
        <w:rPr>
          <w:szCs w:val="21"/>
        </w:rPr>
        <w:t>1</w:t>
      </w:r>
      <w:r>
        <w:rPr>
          <w:rFonts w:hint="eastAsia"/>
          <w:szCs w:val="21"/>
        </w:rPr>
        <w:t>、记录当日监理的主要工作内容及有关事项：</w:t>
      </w:r>
    </w:p>
    <w:p>
      <w:pPr>
        <w:pStyle w:val="6"/>
        <w:numPr>
          <w:ilvl w:val="0"/>
          <w:numId w:val="5"/>
        </w:numPr>
        <w:tabs>
          <w:tab w:val="left" w:pos="993"/>
        </w:tabs>
        <w:spacing w:line="400" w:lineRule="exact"/>
        <w:ind w:left="989" w:leftChars="269" w:hanging="424" w:hangingChars="202"/>
        <w:rPr>
          <w:szCs w:val="21"/>
        </w:rPr>
      </w:pPr>
      <w:r>
        <w:rPr>
          <w:rFonts w:hint="eastAsia"/>
          <w:szCs w:val="21"/>
        </w:rPr>
        <w:t>施工现场巡查、旁站、见证取样或平行检验监理情况（包括口头通知、协调等）。</w:t>
      </w:r>
    </w:p>
    <w:p>
      <w:pPr>
        <w:pStyle w:val="6"/>
        <w:numPr>
          <w:ilvl w:val="0"/>
          <w:numId w:val="5"/>
        </w:numPr>
        <w:tabs>
          <w:tab w:val="left" w:pos="993"/>
        </w:tabs>
        <w:spacing w:line="400" w:lineRule="exact"/>
        <w:ind w:left="991" w:leftChars="270" w:hanging="424" w:hangingChars="202"/>
        <w:rPr>
          <w:szCs w:val="21"/>
        </w:rPr>
      </w:pPr>
      <w:r>
        <w:rPr>
          <w:rFonts w:hint="eastAsia"/>
          <w:szCs w:val="21"/>
        </w:rPr>
        <w:t>检验批验收情况（包括测量放线等）。</w:t>
      </w:r>
    </w:p>
    <w:p>
      <w:pPr>
        <w:pStyle w:val="6"/>
        <w:numPr>
          <w:ilvl w:val="0"/>
          <w:numId w:val="5"/>
        </w:numPr>
        <w:tabs>
          <w:tab w:val="left" w:pos="993"/>
        </w:tabs>
        <w:spacing w:line="400" w:lineRule="exact"/>
        <w:ind w:left="991" w:leftChars="270" w:hanging="424" w:hangingChars="202"/>
        <w:rPr>
          <w:szCs w:val="21"/>
        </w:rPr>
      </w:pPr>
      <w:r>
        <w:rPr>
          <w:rFonts w:hint="eastAsia"/>
          <w:szCs w:val="21"/>
        </w:rPr>
        <w:t>除检验批以外的施工单位各种报验、报审情况（如混凝土浇筑报审、工程材料</w:t>
      </w:r>
      <w:r>
        <w:rPr>
          <w:szCs w:val="21"/>
        </w:rPr>
        <w:t>/</w:t>
      </w:r>
      <w:r>
        <w:rPr>
          <w:rFonts w:hint="eastAsia"/>
          <w:szCs w:val="21"/>
        </w:rPr>
        <w:t>构配件</w:t>
      </w:r>
      <w:r>
        <w:rPr>
          <w:szCs w:val="21"/>
        </w:rPr>
        <w:t>/</w:t>
      </w:r>
      <w:r>
        <w:rPr>
          <w:rFonts w:hint="eastAsia"/>
          <w:szCs w:val="21"/>
        </w:rPr>
        <w:t>设备报审、施工起重机械安装</w:t>
      </w:r>
      <w:r>
        <w:rPr>
          <w:szCs w:val="21"/>
        </w:rPr>
        <w:t>/</w:t>
      </w:r>
      <w:r>
        <w:rPr>
          <w:rFonts w:hint="eastAsia"/>
          <w:szCs w:val="21"/>
        </w:rPr>
        <w:t>使用</w:t>
      </w:r>
      <w:r>
        <w:rPr>
          <w:szCs w:val="21"/>
        </w:rPr>
        <w:t>/</w:t>
      </w:r>
      <w:r>
        <w:rPr>
          <w:rFonts w:hint="eastAsia"/>
          <w:szCs w:val="21"/>
        </w:rPr>
        <w:t>拆卸报审、施工方案报审、分包单位资质报审、进度报审、工程费用报审等）。</w:t>
      </w:r>
    </w:p>
    <w:p>
      <w:pPr>
        <w:pStyle w:val="6"/>
        <w:numPr>
          <w:ilvl w:val="0"/>
          <w:numId w:val="5"/>
        </w:numPr>
        <w:tabs>
          <w:tab w:val="left" w:pos="993"/>
        </w:tabs>
        <w:spacing w:line="400" w:lineRule="exact"/>
        <w:ind w:left="991" w:leftChars="270" w:hanging="424" w:hangingChars="202"/>
        <w:rPr>
          <w:szCs w:val="21"/>
        </w:rPr>
      </w:pPr>
      <w:r>
        <w:rPr>
          <w:rFonts w:hint="eastAsia"/>
          <w:szCs w:val="21"/>
        </w:rPr>
        <w:t>安全生产管理的监理工作（专项施工方案与安全技术措施审核、危大工程专项巡视情况、现场安全事故隐患处置情况等）。</w:t>
      </w:r>
    </w:p>
    <w:p>
      <w:pPr>
        <w:pStyle w:val="6"/>
        <w:numPr>
          <w:ilvl w:val="0"/>
          <w:numId w:val="5"/>
        </w:numPr>
        <w:tabs>
          <w:tab w:val="left" w:pos="993"/>
        </w:tabs>
        <w:spacing w:line="400" w:lineRule="exact"/>
        <w:ind w:left="991" w:leftChars="270" w:hanging="424" w:hangingChars="202"/>
        <w:rPr>
          <w:szCs w:val="21"/>
        </w:rPr>
      </w:pPr>
      <w:r>
        <w:rPr>
          <w:rFonts w:hint="eastAsia"/>
          <w:szCs w:val="21"/>
        </w:rPr>
        <w:t>召开的各种会议（注明详情见会议纪要）。</w:t>
      </w:r>
    </w:p>
    <w:p>
      <w:pPr>
        <w:pStyle w:val="6"/>
        <w:numPr>
          <w:ilvl w:val="0"/>
          <w:numId w:val="5"/>
        </w:numPr>
        <w:tabs>
          <w:tab w:val="left" w:pos="993"/>
        </w:tabs>
        <w:spacing w:line="400" w:lineRule="exact"/>
        <w:ind w:left="991" w:leftChars="270" w:hanging="424" w:hangingChars="202"/>
        <w:rPr>
          <w:szCs w:val="21"/>
        </w:rPr>
      </w:pPr>
      <w:r>
        <w:rPr>
          <w:rFonts w:hint="eastAsia"/>
          <w:szCs w:val="21"/>
        </w:rPr>
        <w:t>异常事件的发生及处理情况（如质量安全事故、停复工、索赔等）。</w:t>
      </w:r>
    </w:p>
    <w:p>
      <w:pPr>
        <w:pStyle w:val="6"/>
        <w:numPr>
          <w:ilvl w:val="0"/>
          <w:numId w:val="5"/>
        </w:numPr>
        <w:tabs>
          <w:tab w:val="left" w:pos="993"/>
        </w:tabs>
        <w:spacing w:line="400" w:lineRule="exact"/>
        <w:ind w:left="991" w:leftChars="270" w:hanging="424" w:hangingChars="202"/>
        <w:rPr>
          <w:szCs w:val="21"/>
        </w:rPr>
      </w:pPr>
      <w:r>
        <w:rPr>
          <w:rFonts w:hint="eastAsia"/>
          <w:szCs w:val="21"/>
        </w:rPr>
        <w:t>其他应记录的主要工作事项。</w:t>
      </w:r>
    </w:p>
    <w:p>
      <w:pPr>
        <w:pStyle w:val="6"/>
        <w:tabs>
          <w:tab w:val="left" w:pos="993"/>
        </w:tabs>
        <w:spacing w:line="400" w:lineRule="exact"/>
        <w:ind w:firstLine="424" w:firstLineChars="202"/>
        <w:rPr>
          <w:szCs w:val="21"/>
        </w:rPr>
      </w:pPr>
      <w:r>
        <w:rPr>
          <w:szCs w:val="21"/>
        </w:rPr>
        <w:t>2</w:t>
      </w:r>
      <w:r>
        <w:rPr>
          <w:rFonts w:hint="eastAsia"/>
          <w:szCs w:val="21"/>
        </w:rPr>
        <w:t>、日志记录的各事项的处理须闭合。记录内容较多可添置附页（可在表格的背面）。</w:t>
      </w:r>
    </w:p>
    <w:p>
      <w:pPr>
        <w:pStyle w:val="6"/>
        <w:tabs>
          <w:tab w:val="left" w:pos="993"/>
        </w:tabs>
        <w:spacing w:line="400" w:lineRule="exact"/>
        <w:ind w:firstLine="405"/>
        <w:rPr>
          <w:szCs w:val="21"/>
        </w:rPr>
      </w:pPr>
      <w:r>
        <w:rPr>
          <w:szCs w:val="21"/>
        </w:rPr>
        <w:t>3</w:t>
      </w:r>
      <w:r>
        <w:rPr>
          <w:rFonts w:hint="eastAsia"/>
          <w:szCs w:val="21"/>
        </w:rPr>
        <w:t>、大中型项目宜分标段（或片区）、分专业填写，具体划分范围由总监理工程师确定。</w:t>
      </w:r>
    </w:p>
    <w:p>
      <w:pPr>
        <w:pStyle w:val="6"/>
        <w:tabs>
          <w:tab w:val="left" w:pos="993"/>
        </w:tabs>
        <w:spacing w:line="400" w:lineRule="exact"/>
        <w:ind w:firstLine="405"/>
        <w:rPr>
          <w:szCs w:val="21"/>
        </w:rPr>
      </w:pPr>
      <w:r>
        <w:rPr>
          <w:szCs w:val="21"/>
        </w:rPr>
        <w:t>4</w:t>
      </w:r>
      <w:r>
        <w:rPr>
          <w:rFonts w:hint="eastAsia"/>
          <w:szCs w:val="21"/>
        </w:rPr>
        <w:t>、监理日志由总监理工程师根据岗位分工，指定专业监理工程师组织编写，审核人由总监理工程师确定。</w:t>
      </w:r>
    </w:p>
    <w:p>
      <w:pPr>
        <w:pStyle w:val="6"/>
        <w:tabs>
          <w:tab w:val="left" w:pos="993"/>
        </w:tabs>
        <w:spacing w:line="400" w:lineRule="exact"/>
        <w:ind w:firstLine="405"/>
        <w:rPr>
          <w:szCs w:val="21"/>
        </w:rPr>
      </w:pPr>
      <w:r>
        <w:rPr>
          <w:szCs w:val="21"/>
        </w:rPr>
        <w:t>5</w:t>
      </w:r>
      <w:r>
        <w:rPr>
          <w:rFonts w:hint="eastAsia"/>
          <w:szCs w:val="21"/>
        </w:rPr>
        <w:t>、监理日志应及时填写，可手写，也可电脑打印，并保持原始记录的真实性。</w:t>
      </w:r>
    </w:p>
    <w:p>
      <w:pPr>
        <w:pStyle w:val="6"/>
        <w:tabs>
          <w:tab w:val="left" w:pos="1680"/>
        </w:tabs>
        <w:spacing w:line="400" w:lineRule="exact"/>
        <w:rPr>
          <w:rFonts w:eastAsia="黑体"/>
          <w:sz w:val="24"/>
        </w:rPr>
      </w:pPr>
      <w:r>
        <w:rPr>
          <w:rFonts w:eastAsia="黑体"/>
          <w:sz w:val="24"/>
        </w:rPr>
        <w:t xml:space="preserve"> A.0.3  </w:t>
      </w:r>
      <w:r>
        <w:rPr>
          <w:rFonts w:hint="eastAsia" w:eastAsia="黑体"/>
          <w:sz w:val="24"/>
        </w:rPr>
        <w:t>监理规划</w:t>
      </w:r>
    </w:p>
    <w:p>
      <w:pPr>
        <w:pStyle w:val="6"/>
        <w:tabs>
          <w:tab w:val="left" w:pos="993"/>
        </w:tabs>
        <w:spacing w:line="400" w:lineRule="exact"/>
        <w:ind w:firstLine="405"/>
        <w:rPr>
          <w:szCs w:val="21"/>
        </w:rPr>
      </w:pPr>
      <w:r>
        <w:rPr>
          <w:rFonts w:hint="eastAsia"/>
          <w:szCs w:val="21"/>
        </w:rPr>
        <w:t>监理规划是项目监理机构全面开展建设工程监理工作的指导性</w:t>
      </w:r>
      <w:r>
        <w:rPr>
          <w:rFonts w:hint="eastAsia" w:hAnsi="Times New Roman"/>
          <w:szCs w:val="21"/>
        </w:rPr>
        <w:t>文件，可在签订监理合同及收到设计文件后，由总监理工程师根据已掌握的工程信息，组织各专业监理工程师编制，报监理单位技术负责人审批后，在第一次工地会议前报送建设单位。监理规划的内容、审核等应符合相关规定，并应具有针对性</w:t>
      </w:r>
      <w:r>
        <w:rPr>
          <w:rFonts w:hint="eastAsia"/>
          <w:szCs w:val="21"/>
        </w:rPr>
        <w:t>和时效性。</w:t>
      </w:r>
    </w:p>
    <w:p>
      <w:pPr>
        <w:pStyle w:val="6"/>
        <w:tabs>
          <w:tab w:val="left" w:pos="1680"/>
        </w:tabs>
        <w:spacing w:line="400" w:lineRule="exact"/>
        <w:rPr>
          <w:rFonts w:eastAsia="黑体"/>
          <w:sz w:val="24"/>
        </w:rPr>
      </w:pPr>
      <w:r>
        <w:rPr>
          <w:rFonts w:eastAsia="黑体"/>
          <w:sz w:val="24"/>
        </w:rPr>
        <w:t xml:space="preserve"> A.0.4  </w:t>
      </w:r>
      <w:r>
        <w:rPr>
          <w:rFonts w:hint="eastAsia" w:eastAsia="黑体"/>
          <w:sz w:val="24"/>
        </w:rPr>
        <w:t>监理实施细则</w:t>
      </w:r>
    </w:p>
    <w:p>
      <w:pPr>
        <w:pStyle w:val="6"/>
        <w:tabs>
          <w:tab w:val="left" w:pos="993"/>
        </w:tabs>
        <w:spacing w:line="400" w:lineRule="exact"/>
        <w:ind w:firstLine="420" w:firstLineChars="200"/>
        <w:rPr>
          <w:szCs w:val="21"/>
        </w:rPr>
      </w:pPr>
      <w:r>
        <w:rPr>
          <w:rFonts w:hint="eastAsia"/>
          <w:szCs w:val="21"/>
        </w:rPr>
        <w:t>对于专业性较强、具有一定难</w:t>
      </w:r>
      <w:r>
        <w:rPr>
          <w:rFonts w:hint="eastAsia" w:hAnsi="Times New Roman"/>
          <w:szCs w:val="21"/>
        </w:rPr>
        <w:t>度或危险性较大的分部分项工程，项目监理机构应编制监理实施细则。监理实施细则的内容、编制、审核等应符合相关规定。监理实施细则编制的时间应在施工方案审批通过后，相应的分部、分项工程施工开始前审批</w:t>
      </w:r>
      <w:r>
        <w:rPr>
          <w:rFonts w:hint="eastAsia"/>
          <w:szCs w:val="21"/>
        </w:rPr>
        <w:t>完成。</w:t>
      </w:r>
    </w:p>
    <w:p>
      <w:pPr>
        <w:pStyle w:val="6"/>
        <w:tabs>
          <w:tab w:val="left" w:pos="1680"/>
        </w:tabs>
        <w:spacing w:line="400" w:lineRule="exact"/>
        <w:rPr>
          <w:rFonts w:eastAsia="黑体"/>
          <w:sz w:val="24"/>
        </w:rPr>
      </w:pPr>
      <w:r>
        <w:rPr>
          <w:rFonts w:eastAsia="黑体"/>
          <w:sz w:val="24"/>
        </w:rPr>
        <w:t xml:space="preserve"> A.0.5  </w:t>
      </w:r>
      <w:r>
        <w:rPr>
          <w:rFonts w:hint="eastAsia" w:eastAsia="黑体"/>
          <w:sz w:val="24"/>
        </w:rPr>
        <w:t>工程开工令</w:t>
      </w:r>
    </w:p>
    <w:p>
      <w:pPr>
        <w:pStyle w:val="6"/>
        <w:tabs>
          <w:tab w:val="left" w:pos="1680"/>
        </w:tabs>
        <w:spacing w:line="400" w:lineRule="exact"/>
        <w:ind w:firstLine="450"/>
        <w:rPr>
          <w:szCs w:val="21"/>
        </w:rPr>
      </w:pPr>
      <w:r>
        <w:rPr>
          <w:rFonts w:hint="eastAsia" w:hAnsi="Times New Roman"/>
          <w:szCs w:val="21"/>
        </w:rPr>
        <w:t>建设单位对《工程开工报审表》签署同意开工意见、且工程施工许可手续均已办妥后，总监理工程师可签发《工程开工令》。工期自《工程开工令》中载明的开工日期起算。</w:t>
      </w:r>
    </w:p>
    <w:p>
      <w:pPr>
        <w:pStyle w:val="6"/>
        <w:tabs>
          <w:tab w:val="left" w:pos="1680"/>
        </w:tabs>
        <w:spacing w:line="400" w:lineRule="exact"/>
        <w:ind w:firstLine="450"/>
        <w:rPr>
          <w:szCs w:val="21"/>
        </w:rPr>
      </w:pPr>
      <w:r>
        <w:rPr>
          <w:rFonts w:hint="eastAsia" w:hAnsi="Times New Roman"/>
          <w:szCs w:val="21"/>
        </w:rPr>
        <w:t>工程建设中，任何一方发生了违法开工的行为，项目监理机构应视具体情况，采用监理通知单、工程联系单、工程暂停令、监理备忘录、监理报告予以提醒或制止。</w:t>
      </w:r>
    </w:p>
    <w:p>
      <w:pPr>
        <w:pStyle w:val="6"/>
        <w:tabs>
          <w:tab w:val="left" w:pos="1680"/>
        </w:tabs>
        <w:spacing w:line="400" w:lineRule="exact"/>
        <w:rPr>
          <w:rFonts w:eastAsia="黑体"/>
          <w:sz w:val="24"/>
        </w:rPr>
      </w:pPr>
      <w:r>
        <w:rPr>
          <w:rFonts w:eastAsia="黑体"/>
          <w:sz w:val="24"/>
        </w:rPr>
        <w:t xml:space="preserve"> A.0.6  </w:t>
      </w:r>
      <w:r>
        <w:rPr>
          <w:rFonts w:hint="eastAsia" w:eastAsia="黑体"/>
          <w:sz w:val="24"/>
        </w:rPr>
        <w:t>旁站记录表（通用）</w:t>
      </w:r>
    </w:p>
    <w:p>
      <w:pPr>
        <w:pStyle w:val="6"/>
        <w:tabs>
          <w:tab w:val="left" w:pos="1680"/>
        </w:tabs>
        <w:spacing w:line="400" w:lineRule="exact"/>
        <w:ind w:firstLine="420"/>
        <w:rPr>
          <w:szCs w:val="21"/>
        </w:rPr>
      </w:pPr>
      <w:r>
        <w:rPr>
          <w:rFonts w:hint="eastAsia"/>
          <w:szCs w:val="21"/>
        </w:rPr>
        <w:t>本表适用于监理人员对工程的关键部位、关键工序的施工质量进行监督。本表为旁站记录的通用用表，在工程实施过程中，项目监理机构可根据不同的旁站对象，设计有针对性、可操作的旁站记录用表。旁站人员应将旁站部位的施工和监理工作情况、发现问题及处理情况作详细记录，并对存在问题及时处置。施工情况包括施工单位质检人员到岗情况、特殊工种人员持证情况以及施工机械、材料准备及关键部位、关键工序的施工是否按施工方案及工程建设强制性标准执行等情况。</w:t>
      </w:r>
    </w:p>
    <w:p>
      <w:pPr>
        <w:pStyle w:val="6"/>
        <w:tabs>
          <w:tab w:val="left" w:pos="1680"/>
        </w:tabs>
        <w:spacing w:line="400" w:lineRule="exact"/>
        <w:rPr>
          <w:rFonts w:eastAsia="黑体"/>
          <w:sz w:val="24"/>
        </w:rPr>
      </w:pPr>
      <w:r>
        <w:rPr>
          <w:rFonts w:eastAsia="黑体"/>
          <w:sz w:val="24"/>
        </w:rPr>
        <w:t xml:space="preserve">A.0.7 </w:t>
      </w:r>
      <w:r>
        <w:rPr>
          <w:rFonts w:eastAsia="黑体"/>
          <w:sz w:val="24"/>
          <w:u w:val="single"/>
        </w:rPr>
        <w:t xml:space="preserve">      </w:t>
      </w:r>
      <w:r>
        <w:rPr>
          <w:rFonts w:hint="eastAsia" w:hAnsi="Times New Roman" w:eastAsia="黑体"/>
          <w:sz w:val="24"/>
        </w:rPr>
        <w:t>会议纪要</w:t>
      </w:r>
    </w:p>
    <w:p>
      <w:pPr>
        <w:pStyle w:val="6"/>
        <w:tabs>
          <w:tab w:val="left" w:pos="1680"/>
        </w:tabs>
        <w:spacing w:line="400" w:lineRule="exact"/>
        <w:ind w:firstLine="420" w:firstLineChars="200"/>
        <w:rPr>
          <w:rFonts w:eastAsia="黑体"/>
          <w:sz w:val="24"/>
        </w:rPr>
      </w:pPr>
      <w:r>
        <w:rPr>
          <w:rFonts w:hint="eastAsia" w:hAnsi="Times New Roman"/>
          <w:szCs w:val="21"/>
        </w:rPr>
        <w:t>本表适用于第一次工地会议（</w:t>
      </w:r>
      <w:r>
        <w:rPr>
          <w:szCs w:val="21"/>
        </w:rPr>
        <w:t>A.0.7</w:t>
      </w:r>
      <w:r>
        <w:rPr>
          <w:szCs w:val="21"/>
          <w:u w:val="single"/>
        </w:rPr>
        <w:t>0</w:t>
      </w:r>
      <w:r>
        <w:rPr>
          <w:rFonts w:hint="eastAsia" w:hAnsi="Times New Roman"/>
          <w:szCs w:val="21"/>
        </w:rPr>
        <w:t>）、工地监理例会（</w:t>
      </w:r>
      <w:r>
        <w:rPr>
          <w:szCs w:val="21"/>
        </w:rPr>
        <w:t>A.0.7</w:t>
      </w:r>
      <w:r>
        <w:rPr>
          <w:szCs w:val="21"/>
          <w:u w:val="single"/>
        </w:rPr>
        <w:t>1</w:t>
      </w:r>
      <w:r>
        <w:rPr>
          <w:rFonts w:hint="eastAsia" w:hAnsi="Times New Roman"/>
          <w:szCs w:val="21"/>
        </w:rPr>
        <w:t>）、专题会议（</w:t>
      </w:r>
      <w:r>
        <w:rPr>
          <w:szCs w:val="21"/>
        </w:rPr>
        <w:t>A.0.7</w:t>
      </w:r>
      <w:r>
        <w:rPr>
          <w:szCs w:val="21"/>
          <w:u w:val="single"/>
        </w:rPr>
        <w:t>2</w:t>
      </w:r>
      <w:r>
        <w:rPr>
          <w:rFonts w:hint="eastAsia" w:hAnsi="Times New Roman"/>
          <w:szCs w:val="21"/>
        </w:rPr>
        <w:t>）和项目监理机构内部会议（</w:t>
      </w:r>
      <w:r>
        <w:rPr>
          <w:szCs w:val="21"/>
        </w:rPr>
        <w:t>A.0.7</w:t>
      </w:r>
      <w:r>
        <w:rPr>
          <w:szCs w:val="21"/>
          <w:u w:val="single"/>
        </w:rPr>
        <w:t>3</w:t>
      </w:r>
      <w:r>
        <w:rPr>
          <w:rFonts w:hint="eastAsia" w:hAnsi="Times New Roman"/>
          <w:szCs w:val="21"/>
        </w:rPr>
        <w:t>）的参加单位、人员与会时签到用。会议主要内容及结论写在附页上。</w:t>
      </w:r>
    </w:p>
    <w:p>
      <w:pPr>
        <w:pStyle w:val="6"/>
        <w:tabs>
          <w:tab w:val="left" w:pos="1680"/>
        </w:tabs>
        <w:spacing w:line="400" w:lineRule="exact"/>
        <w:rPr>
          <w:szCs w:val="21"/>
        </w:rPr>
      </w:pPr>
      <w:r>
        <w:rPr>
          <w:rFonts w:eastAsia="黑体"/>
          <w:sz w:val="24"/>
        </w:rPr>
        <w:t xml:space="preserve">A.0.8  </w:t>
      </w:r>
      <w:r>
        <w:rPr>
          <w:rFonts w:hint="eastAsia" w:hAnsi="Times New Roman" w:eastAsia="黑体"/>
          <w:sz w:val="24"/>
        </w:rPr>
        <w:t>监理月</w:t>
      </w:r>
      <w:r>
        <w:rPr>
          <w:rFonts w:hint="eastAsia" w:eastAsia="黑体"/>
          <w:sz w:val="24"/>
        </w:rPr>
        <w:t>报</w:t>
      </w:r>
    </w:p>
    <w:p>
      <w:pPr>
        <w:pStyle w:val="6"/>
        <w:tabs>
          <w:tab w:val="left" w:pos="1680"/>
        </w:tabs>
        <w:spacing w:line="400" w:lineRule="exact"/>
        <w:ind w:firstLine="420" w:firstLineChars="200"/>
        <w:rPr>
          <w:szCs w:val="21"/>
        </w:rPr>
      </w:pPr>
      <w:r>
        <w:rPr>
          <w:rFonts w:hint="eastAsia" w:hAnsi="Times New Roman"/>
          <w:szCs w:val="21"/>
        </w:rPr>
        <w:t>监理月报是项目监理机构按月向建设单位和监理单位提交的，反映在本报告期内工程实施情况、监理工作情况、施工中存在问题及处理情况、下月监理工作重点等的书面报告。监理月报每月月底提交，报告期宜为上月</w:t>
      </w:r>
      <w:r>
        <w:rPr>
          <w:szCs w:val="21"/>
        </w:rPr>
        <w:t>26</w:t>
      </w:r>
      <w:r>
        <w:rPr>
          <w:rFonts w:hint="eastAsia" w:hAnsi="Times New Roman"/>
          <w:szCs w:val="21"/>
        </w:rPr>
        <w:t>日至本月</w:t>
      </w:r>
      <w:r>
        <w:rPr>
          <w:szCs w:val="21"/>
        </w:rPr>
        <w:t>25</w:t>
      </w:r>
      <w:r>
        <w:rPr>
          <w:rFonts w:hint="eastAsia" w:hAnsi="Times New Roman"/>
          <w:szCs w:val="21"/>
        </w:rPr>
        <w:t>日。项目监理机构可根据工程规模与特点增加图表、图片等内容，如表格各栏不够填写，可增加附页。</w:t>
      </w:r>
    </w:p>
    <w:p>
      <w:pPr>
        <w:pStyle w:val="6"/>
        <w:tabs>
          <w:tab w:val="left" w:pos="1680"/>
        </w:tabs>
        <w:spacing w:line="400" w:lineRule="exact"/>
        <w:rPr>
          <w:rFonts w:eastAsia="黑体"/>
          <w:sz w:val="24"/>
        </w:rPr>
      </w:pPr>
      <w:r>
        <w:rPr>
          <w:rFonts w:eastAsia="黑体"/>
          <w:sz w:val="24"/>
        </w:rPr>
        <w:t xml:space="preserve">A.0.9  </w:t>
      </w:r>
      <w:r>
        <w:rPr>
          <w:rFonts w:hint="eastAsia" w:eastAsia="黑体"/>
          <w:sz w:val="24"/>
        </w:rPr>
        <w:t>工程款支付证书</w:t>
      </w:r>
    </w:p>
    <w:p>
      <w:pPr>
        <w:pStyle w:val="6"/>
        <w:tabs>
          <w:tab w:val="left" w:pos="1680"/>
        </w:tabs>
        <w:spacing w:line="400" w:lineRule="exact"/>
        <w:ind w:firstLine="420" w:firstLineChars="200"/>
        <w:rPr>
          <w:szCs w:val="21"/>
        </w:rPr>
      </w:pPr>
      <w:r>
        <w:rPr>
          <w:rFonts w:hint="eastAsia"/>
          <w:szCs w:val="21"/>
        </w:rPr>
        <w:t>本表适用于项目监理机构收到经建设单位签署审批的《工程款支付报审表》后，根据建设单位审批意见签发本表作为工程款支付的证明文件。支付证书应明确施工单位申报款、经审批的应得款、本期应扣款、本期应付款等数额。签发《工程款支付证书》应符合《建设工程施工合同》约定。</w:t>
      </w:r>
    </w:p>
    <w:p>
      <w:pPr>
        <w:pStyle w:val="6"/>
        <w:tabs>
          <w:tab w:val="left" w:pos="1680"/>
        </w:tabs>
        <w:spacing w:line="400" w:lineRule="exact"/>
        <w:rPr>
          <w:rFonts w:eastAsia="黑体"/>
          <w:sz w:val="24"/>
        </w:rPr>
      </w:pPr>
      <w:r>
        <w:rPr>
          <w:rFonts w:eastAsia="黑体"/>
          <w:sz w:val="24"/>
        </w:rPr>
        <w:t xml:space="preserve">A.0.10  </w:t>
      </w:r>
      <w:r>
        <w:rPr>
          <w:rFonts w:hint="eastAsia" w:eastAsia="黑体"/>
          <w:sz w:val="24"/>
        </w:rPr>
        <w:t>监理通知单（</w:t>
      </w:r>
      <w:r>
        <w:rPr>
          <w:rFonts w:eastAsia="黑体"/>
          <w:sz w:val="24"/>
        </w:rPr>
        <w:t xml:space="preserve">      </w:t>
      </w:r>
      <w:r>
        <w:rPr>
          <w:rFonts w:hint="eastAsia" w:eastAsia="黑体"/>
          <w:sz w:val="24"/>
        </w:rPr>
        <w:t>类）</w:t>
      </w:r>
    </w:p>
    <w:p>
      <w:pPr>
        <w:pStyle w:val="6"/>
        <w:tabs>
          <w:tab w:val="left" w:pos="1680"/>
        </w:tabs>
        <w:spacing w:line="400" w:lineRule="exact"/>
        <w:ind w:firstLine="420" w:firstLineChars="200"/>
        <w:rPr>
          <w:szCs w:val="21"/>
        </w:rPr>
      </w:pPr>
      <w:r>
        <w:rPr>
          <w:rFonts w:hint="eastAsia"/>
          <w:szCs w:val="21"/>
        </w:rPr>
        <w:t>本表是项目监理机构通知施工单位应执行的、除工程暂停以外的涉及质量、造价、进度、安全文明、工程变更和其他有关事项的用表。</w:t>
      </w:r>
      <w:bookmarkStart w:id="496" w:name="_Hlk531353585"/>
      <w:r>
        <w:rPr>
          <w:rFonts w:hint="eastAsia"/>
          <w:szCs w:val="21"/>
        </w:rPr>
        <w:t>通知单中文字表达不清楚的，应匹配相应图片作为附件。</w:t>
      </w:r>
      <w:bookmarkEnd w:id="496"/>
      <w:r>
        <w:rPr>
          <w:rFonts w:hint="eastAsia"/>
          <w:szCs w:val="21"/>
        </w:rPr>
        <w:t>监理通知单中应明确施工单位应执行事项的内容和完成的时限以及要求施工单位书面回复的时限。</w:t>
      </w:r>
    </w:p>
    <w:p>
      <w:pPr>
        <w:pStyle w:val="6"/>
        <w:tabs>
          <w:tab w:val="left" w:pos="1680"/>
        </w:tabs>
        <w:spacing w:line="400" w:lineRule="exact"/>
        <w:ind w:firstLine="420" w:firstLineChars="200"/>
        <w:rPr>
          <w:szCs w:val="21"/>
        </w:rPr>
      </w:pPr>
      <w:r>
        <w:rPr>
          <w:rFonts w:hint="eastAsia"/>
          <w:szCs w:val="21"/>
        </w:rPr>
        <w:t>该表使用频率高，应注意用词准确明晰，逻辑严密，资料闭合。</w:t>
      </w:r>
    </w:p>
    <w:p>
      <w:pPr>
        <w:pStyle w:val="6"/>
        <w:tabs>
          <w:tab w:val="left" w:pos="1680"/>
        </w:tabs>
        <w:spacing w:line="400" w:lineRule="exact"/>
        <w:rPr>
          <w:rFonts w:eastAsia="黑体"/>
          <w:sz w:val="24"/>
        </w:rPr>
      </w:pPr>
      <w:r>
        <w:rPr>
          <w:rFonts w:eastAsia="黑体"/>
          <w:sz w:val="24"/>
        </w:rPr>
        <w:t xml:space="preserve">A.0.11  </w:t>
      </w:r>
      <w:r>
        <w:rPr>
          <w:rFonts w:hint="eastAsia" w:eastAsia="黑体"/>
          <w:sz w:val="24"/>
        </w:rPr>
        <w:t>工程暂停令</w:t>
      </w:r>
    </w:p>
    <w:p>
      <w:pPr>
        <w:pStyle w:val="6"/>
        <w:tabs>
          <w:tab w:val="left" w:pos="1680"/>
        </w:tabs>
        <w:spacing w:line="400" w:lineRule="exact"/>
        <w:ind w:firstLine="420" w:firstLineChars="200"/>
        <w:rPr>
          <w:szCs w:val="21"/>
        </w:rPr>
      </w:pPr>
      <w:r>
        <w:rPr>
          <w:rFonts w:hint="eastAsia"/>
          <w:szCs w:val="21"/>
        </w:rPr>
        <w:t>本表是总监理工程师对施工单位下达工程暂停指令的用表。项目监理机构发现下列情况之一时，总监理工程师应及时签发工程暂停令：</w:t>
      </w:r>
    </w:p>
    <w:p>
      <w:pPr>
        <w:pStyle w:val="6"/>
        <w:tabs>
          <w:tab w:val="left" w:pos="851"/>
        </w:tabs>
        <w:spacing w:line="400" w:lineRule="exact"/>
        <w:rPr>
          <w:szCs w:val="21"/>
        </w:rPr>
      </w:pPr>
      <w:r>
        <w:rPr>
          <w:rFonts w:hAnsi="Times New Roman"/>
          <w:szCs w:val="21"/>
        </w:rPr>
        <w:t>1</w:t>
      </w:r>
      <w:r>
        <w:rPr>
          <w:rFonts w:hint="eastAsia" w:hAnsi="Times New Roman"/>
          <w:szCs w:val="21"/>
        </w:rPr>
        <w:t>、建设单位要求暂停施工且工程需要暂停施工的。</w:t>
      </w:r>
    </w:p>
    <w:p>
      <w:pPr>
        <w:pStyle w:val="6"/>
        <w:tabs>
          <w:tab w:val="left" w:pos="851"/>
        </w:tabs>
        <w:spacing w:line="400" w:lineRule="exact"/>
        <w:rPr>
          <w:szCs w:val="21"/>
        </w:rPr>
      </w:pPr>
      <w:r>
        <w:rPr>
          <w:rFonts w:hAnsi="Times New Roman"/>
          <w:szCs w:val="21"/>
        </w:rPr>
        <w:t>2</w:t>
      </w:r>
      <w:r>
        <w:rPr>
          <w:rFonts w:hint="eastAsia" w:hAnsi="Times New Roman"/>
          <w:szCs w:val="21"/>
        </w:rPr>
        <w:t>、施工单位未经批准擅自施工或拒绝项目监理机构管理的。</w:t>
      </w:r>
    </w:p>
    <w:p>
      <w:pPr>
        <w:pStyle w:val="6"/>
        <w:tabs>
          <w:tab w:val="left" w:pos="851"/>
        </w:tabs>
        <w:spacing w:line="400" w:lineRule="exact"/>
        <w:rPr>
          <w:szCs w:val="21"/>
        </w:rPr>
      </w:pPr>
      <w:r>
        <w:rPr>
          <w:rFonts w:hAnsi="Times New Roman"/>
          <w:szCs w:val="21"/>
        </w:rPr>
        <w:t>3</w:t>
      </w:r>
      <w:r>
        <w:rPr>
          <w:rFonts w:hint="eastAsia" w:hAnsi="Times New Roman"/>
          <w:szCs w:val="21"/>
        </w:rPr>
        <w:t>、施工单位未按审查通过的工程设计文件施工的。</w:t>
      </w:r>
    </w:p>
    <w:p>
      <w:pPr>
        <w:pStyle w:val="6"/>
        <w:tabs>
          <w:tab w:val="left" w:pos="851"/>
        </w:tabs>
        <w:spacing w:line="400" w:lineRule="exact"/>
        <w:rPr>
          <w:szCs w:val="21"/>
        </w:rPr>
      </w:pPr>
      <w:r>
        <w:rPr>
          <w:rFonts w:hAnsi="Times New Roman"/>
          <w:szCs w:val="21"/>
        </w:rPr>
        <w:t>4</w:t>
      </w:r>
      <w:r>
        <w:rPr>
          <w:rFonts w:hint="eastAsia" w:hAnsi="Times New Roman"/>
          <w:szCs w:val="21"/>
        </w:rPr>
        <w:t>、施工单位违反工程建设强制性标准的。</w:t>
      </w:r>
    </w:p>
    <w:p>
      <w:pPr>
        <w:pStyle w:val="6"/>
        <w:tabs>
          <w:tab w:val="left" w:pos="851"/>
        </w:tabs>
        <w:spacing w:line="400" w:lineRule="exact"/>
        <w:rPr>
          <w:szCs w:val="21"/>
        </w:rPr>
      </w:pPr>
      <w:r>
        <w:rPr>
          <w:rFonts w:hAnsi="Times New Roman"/>
          <w:szCs w:val="21"/>
        </w:rPr>
        <w:t>5</w:t>
      </w:r>
      <w:r>
        <w:rPr>
          <w:rFonts w:hint="eastAsia" w:hAnsi="Times New Roman"/>
          <w:szCs w:val="21"/>
        </w:rPr>
        <w:t>、施工存在重大质量、安全事故隐患或发生质量、安全事故的。</w:t>
      </w:r>
    </w:p>
    <w:p>
      <w:pPr>
        <w:pStyle w:val="6"/>
        <w:tabs>
          <w:tab w:val="left" w:pos="851"/>
        </w:tabs>
        <w:spacing w:line="400" w:lineRule="exact"/>
        <w:rPr>
          <w:szCs w:val="21"/>
        </w:rPr>
      </w:pPr>
      <w:r>
        <w:rPr>
          <w:rFonts w:hAnsi="Times New Roman"/>
          <w:szCs w:val="21"/>
        </w:rPr>
        <w:t>6</w:t>
      </w:r>
      <w:r>
        <w:rPr>
          <w:rFonts w:hint="eastAsia" w:hAnsi="Times New Roman"/>
          <w:szCs w:val="21"/>
        </w:rPr>
        <w:t>、发生必须暂停施工的紧急事件时。</w:t>
      </w:r>
    </w:p>
    <w:p>
      <w:pPr>
        <w:pStyle w:val="6"/>
        <w:tabs>
          <w:tab w:val="left" w:pos="0"/>
        </w:tabs>
        <w:spacing w:line="400" w:lineRule="exact"/>
        <w:ind w:firstLine="420" w:firstLineChars="200"/>
        <w:rPr>
          <w:szCs w:val="21"/>
        </w:rPr>
      </w:pPr>
      <w:r>
        <w:rPr>
          <w:rFonts w:hint="eastAsia" w:hAnsi="Times New Roman"/>
          <w:szCs w:val="21"/>
        </w:rPr>
        <w:t>签发工程暂停令应注明暂停部位及范围。一般情况下，签发工程暂停令应事先与建设单位沟通，征得建设单位同意。在紧急情况下未能事先报告时，应在事后及时向建设单位作出书面报告</w:t>
      </w:r>
      <w:r>
        <w:rPr>
          <w:rFonts w:hint="eastAsia"/>
          <w:szCs w:val="21"/>
        </w:rPr>
        <w:t>。如项目监理机构与建设单位沟通工程暂停事宜时，建设单位不同意停工，项目监理机构认为必须停工的，仍应签发《工程暂停令》；如工程仍未停工，项目监理机构应向建设单位发工程联系单或监理备忘录，必要时向监理单位和主管部门报告。</w:t>
      </w:r>
    </w:p>
    <w:p>
      <w:pPr>
        <w:pStyle w:val="6"/>
        <w:tabs>
          <w:tab w:val="left" w:pos="0"/>
        </w:tabs>
        <w:spacing w:line="400" w:lineRule="exact"/>
        <w:ind w:firstLine="420" w:firstLineChars="200"/>
        <w:rPr>
          <w:szCs w:val="21"/>
        </w:rPr>
      </w:pPr>
      <w:r>
        <w:rPr>
          <w:rFonts w:hint="eastAsia"/>
          <w:szCs w:val="21"/>
        </w:rPr>
        <w:t>施工单位自行要求停工的，如节假日放假，可通过《施工单位通用报审表》向监理机构报审，项目监理机构应根据《建设工程施工合同》约定，征得建设单位同意后，签署同意暂停施工意见。</w:t>
      </w:r>
    </w:p>
    <w:p>
      <w:pPr>
        <w:pStyle w:val="6"/>
        <w:tabs>
          <w:tab w:val="left" w:pos="0"/>
        </w:tabs>
        <w:spacing w:line="400" w:lineRule="exact"/>
        <w:ind w:firstLine="420" w:firstLineChars="200"/>
        <w:rPr>
          <w:szCs w:val="21"/>
        </w:rPr>
      </w:pPr>
      <w:r>
        <w:rPr>
          <w:rFonts w:hint="eastAsia"/>
          <w:szCs w:val="21"/>
        </w:rPr>
        <w:t>工程暂停期间，项目监理机构应按相关规定和《建设工程施工合同》约定，会同建设单位、施工单位处理好因工程暂停引起的各类问题，确定工程复工条件。</w:t>
      </w:r>
    </w:p>
    <w:p>
      <w:pPr>
        <w:pStyle w:val="6"/>
        <w:tabs>
          <w:tab w:val="left" w:pos="0"/>
        </w:tabs>
        <w:spacing w:line="400" w:lineRule="exact"/>
        <w:rPr>
          <w:rFonts w:eastAsia="黑体"/>
          <w:sz w:val="24"/>
        </w:rPr>
      </w:pPr>
      <w:r>
        <w:rPr>
          <w:rFonts w:eastAsia="黑体"/>
          <w:sz w:val="24"/>
        </w:rPr>
        <w:t xml:space="preserve">A.0.12  </w:t>
      </w:r>
      <w:r>
        <w:rPr>
          <w:rFonts w:hint="eastAsia" w:eastAsia="黑体"/>
          <w:sz w:val="24"/>
        </w:rPr>
        <w:t>工程复工令</w:t>
      </w:r>
    </w:p>
    <w:p>
      <w:pPr>
        <w:pStyle w:val="6"/>
        <w:tabs>
          <w:tab w:val="left" w:pos="0"/>
        </w:tabs>
        <w:spacing w:line="400" w:lineRule="exact"/>
        <w:ind w:firstLine="420" w:firstLineChars="200"/>
        <w:rPr>
          <w:szCs w:val="21"/>
        </w:rPr>
      </w:pPr>
      <w:r>
        <w:rPr>
          <w:rFonts w:hint="eastAsia"/>
          <w:szCs w:val="21"/>
        </w:rPr>
        <w:t>本表是暂停施工原因消失、具备复工条件，项目监理机构通知施工单位恢复施工的用表。工程复工令签发前，应征得建设单位同意。如因施工单位原因引起工程暂停的，施工单位在复工前应使用《工程复工报审表》申请复工；项目监理机构应对施工单位的整改过程、结果进行检查、验收，符合要求的，对施工单位的《工程复工报审表》予以签认，并报建设单位；建设单位审批同意后，项目监理机构应及时签发本表指令施工单位复工。</w:t>
      </w:r>
    </w:p>
    <w:p>
      <w:pPr>
        <w:pStyle w:val="6"/>
        <w:tabs>
          <w:tab w:val="left" w:pos="1680"/>
        </w:tabs>
        <w:spacing w:line="400" w:lineRule="exact"/>
        <w:rPr>
          <w:rFonts w:eastAsia="黑体"/>
          <w:sz w:val="24"/>
        </w:rPr>
      </w:pPr>
      <w:r>
        <w:rPr>
          <w:rFonts w:eastAsia="黑体"/>
          <w:sz w:val="24"/>
        </w:rPr>
        <w:t xml:space="preserve">A.0.13  </w:t>
      </w:r>
      <w:r>
        <w:rPr>
          <w:rFonts w:hint="eastAsia" w:eastAsia="黑体"/>
          <w:sz w:val="24"/>
        </w:rPr>
        <w:t>监理备忘录</w:t>
      </w:r>
    </w:p>
    <w:p>
      <w:pPr>
        <w:pStyle w:val="6"/>
        <w:tabs>
          <w:tab w:val="left" w:pos="1680"/>
        </w:tabs>
        <w:spacing w:line="400" w:lineRule="exact"/>
        <w:ind w:firstLine="420" w:firstLineChars="200"/>
        <w:rPr>
          <w:szCs w:val="21"/>
        </w:rPr>
      </w:pPr>
      <w:r>
        <w:rPr>
          <w:rFonts w:hint="eastAsia"/>
          <w:szCs w:val="21"/>
        </w:rPr>
        <w:t>本表为项目监理机构就有关建议未被建设单位采纳或监理通知单的应执行事项施工单位未予执行、已成事实且造成一定的或可预见的后果时的最终书面说明。备忘录应及时向监理单位报告，也可抄报有关上级主管部门。</w:t>
      </w:r>
    </w:p>
    <w:p>
      <w:pPr>
        <w:pStyle w:val="6"/>
        <w:tabs>
          <w:tab w:val="left" w:pos="1680"/>
        </w:tabs>
        <w:spacing w:line="400" w:lineRule="exact"/>
        <w:rPr>
          <w:rFonts w:eastAsia="黑体"/>
          <w:sz w:val="24"/>
        </w:rPr>
      </w:pPr>
      <w:r>
        <w:rPr>
          <w:rFonts w:eastAsia="黑体"/>
          <w:sz w:val="24"/>
        </w:rPr>
        <w:t xml:space="preserve">A.0.14  </w:t>
      </w:r>
      <w:r>
        <w:rPr>
          <w:rFonts w:hint="eastAsia" w:eastAsia="黑体"/>
          <w:sz w:val="24"/>
        </w:rPr>
        <w:t>监理报告</w:t>
      </w:r>
    </w:p>
    <w:p>
      <w:pPr>
        <w:pStyle w:val="6"/>
        <w:tabs>
          <w:tab w:val="left" w:pos="1680"/>
        </w:tabs>
        <w:spacing w:line="400" w:lineRule="exact"/>
        <w:rPr>
          <w:szCs w:val="21"/>
        </w:rPr>
      </w:pPr>
      <w:r>
        <w:rPr>
          <w:szCs w:val="21"/>
        </w:rPr>
        <w:t xml:space="preserve">    </w:t>
      </w:r>
      <w:r>
        <w:rPr>
          <w:rFonts w:hint="eastAsia"/>
          <w:szCs w:val="21"/>
        </w:rPr>
        <w:t>当项目监理机构发现工程施工中存在安全事故隐患，已要求施工单位整改或停工，而施工单位拒不执行时，项目监理机构可使用该表向有关主管部门报告，主管部门不得拒绝接收。情况紧急时，项目监理机构可在第一时间通过电信手段向有关主管部门报告，随后报送书面报告。</w:t>
      </w:r>
      <w:r>
        <w:rPr>
          <w:szCs w:val="21"/>
        </w:rPr>
        <w:t>“</w:t>
      </w:r>
      <w:r>
        <w:rPr>
          <w:rFonts w:hint="eastAsia"/>
          <w:szCs w:val="21"/>
        </w:rPr>
        <w:t>监理报告</w:t>
      </w:r>
      <w:r>
        <w:rPr>
          <w:szCs w:val="21"/>
        </w:rPr>
        <w:t>”</w:t>
      </w:r>
      <w:r>
        <w:rPr>
          <w:rFonts w:hint="eastAsia"/>
          <w:szCs w:val="21"/>
        </w:rPr>
        <w:t>应附相关监理通知单、工程暂停令等文件资料。</w:t>
      </w:r>
    </w:p>
    <w:p>
      <w:pPr>
        <w:pStyle w:val="6"/>
        <w:tabs>
          <w:tab w:val="left" w:pos="1680"/>
        </w:tabs>
        <w:spacing w:line="400" w:lineRule="exact"/>
        <w:rPr>
          <w:rFonts w:eastAsia="黑体"/>
          <w:sz w:val="24"/>
        </w:rPr>
      </w:pPr>
      <w:r>
        <w:rPr>
          <w:rFonts w:eastAsia="黑体"/>
          <w:sz w:val="24"/>
        </w:rPr>
        <w:t xml:space="preserve">A.0.15  </w:t>
      </w:r>
      <w:r>
        <w:rPr>
          <w:rFonts w:hint="eastAsia" w:eastAsia="黑体"/>
          <w:sz w:val="24"/>
        </w:rPr>
        <w:t>工程质量评估报告</w:t>
      </w:r>
    </w:p>
    <w:p>
      <w:pPr>
        <w:pStyle w:val="6"/>
        <w:tabs>
          <w:tab w:val="left" w:pos="1680"/>
        </w:tabs>
        <w:spacing w:line="400" w:lineRule="exact"/>
        <w:ind w:firstLine="420" w:firstLineChars="200"/>
        <w:rPr>
          <w:szCs w:val="21"/>
        </w:rPr>
      </w:pPr>
      <w:r>
        <w:rPr>
          <w:rFonts w:hint="eastAsia"/>
          <w:szCs w:val="21"/>
        </w:rPr>
        <w:t>本表是由项目监理机构依据有关法律法规、工程建设标准、勘察设计文件及施工合同对单位（子单位）工程质量进行评估时用表。</w:t>
      </w:r>
    </w:p>
    <w:p>
      <w:pPr>
        <w:pStyle w:val="6"/>
        <w:tabs>
          <w:tab w:val="left" w:pos="1680"/>
        </w:tabs>
        <w:spacing w:line="400" w:lineRule="exact"/>
        <w:ind w:firstLine="420" w:firstLineChars="200"/>
        <w:rPr>
          <w:szCs w:val="21"/>
        </w:rPr>
      </w:pPr>
      <w:r>
        <w:rPr>
          <w:rFonts w:hint="eastAsia"/>
          <w:szCs w:val="21"/>
        </w:rPr>
        <w:t>项目监理机构应审查施工单位报送的竣工资料，并组织有关单位对工程质量进行预验收，对预验收存在的质量问题，项目监理机构应及时发通知单要求施工单位整改，施工单位整改完成并经监理验收合格后，项目监理机构编制工程质量评估报告。报告应包括以下主要内容：</w:t>
      </w:r>
    </w:p>
    <w:p>
      <w:pPr>
        <w:pStyle w:val="6"/>
        <w:tabs>
          <w:tab w:val="left" w:pos="851"/>
        </w:tabs>
        <w:spacing w:line="400" w:lineRule="exact"/>
        <w:ind w:firstLine="420" w:firstLineChars="200"/>
        <w:rPr>
          <w:szCs w:val="21"/>
        </w:rPr>
      </w:pPr>
      <w:r>
        <w:rPr>
          <w:szCs w:val="21"/>
        </w:rPr>
        <w:t>1</w:t>
      </w:r>
      <w:r>
        <w:rPr>
          <w:rFonts w:hint="eastAsia"/>
          <w:szCs w:val="21"/>
        </w:rPr>
        <w:t>、工程概况</w:t>
      </w:r>
      <w:r>
        <w:rPr>
          <w:rFonts w:hint="eastAsia" w:hAnsi="Times New Roman"/>
          <w:szCs w:val="21"/>
        </w:rPr>
        <w:t>。</w:t>
      </w:r>
    </w:p>
    <w:p>
      <w:pPr>
        <w:pStyle w:val="6"/>
        <w:tabs>
          <w:tab w:val="left" w:pos="851"/>
        </w:tabs>
        <w:spacing w:line="400" w:lineRule="exact"/>
        <w:ind w:firstLine="420" w:firstLineChars="200"/>
        <w:rPr>
          <w:szCs w:val="21"/>
        </w:rPr>
      </w:pPr>
      <w:r>
        <w:rPr>
          <w:szCs w:val="21"/>
        </w:rPr>
        <w:t>2</w:t>
      </w:r>
      <w:r>
        <w:rPr>
          <w:rFonts w:hint="eastAsia"/>
          <w:szCs w:val="21"/>
        </w:rPr>
        <w:t>、工程各参建单位。</w:t>
      </w:r>
    </w:p>
    <w:p>
      <w:pPr>
        <w:pStyle w:val="6"/>
        <w:tabs>
          <w:tab w:val="left" w:pos="851"/>
        </w:tabs>
        <w:spacing w:line="400" w:lineRule="exact"/>
        <w:ind w:firstLine="420" w:firstLineChars="200"/>
        <w:rPr>
          <w:rFonts w:hAnsi="Times New Roman"/>
          <w:szCs w:val="21"/>
        </w:rPr>
      </w:pPr>
      <w:r>
        <w:rPr>
          <w:rFonts w:hAnsi="Times New Roman"/>
          <w:szCs w:val="21"/>
        </w:rPr>
        <w:t>3</w:t>
      </w:r>
      <w:r>
        <w:rPr>
          <w:rFonts w:hint="eastAsia" w:hAnsi="Times New Roman"/>
          <w:szCs w:val="21"/>
        </w:rPr>
        <w:t>、工程质量验收情况。</w:t>
      </w:r>
    </w:p>
    <w:p>
      <w:pPr>
        <w:pStyle w:val="6"/>
        <w:tabs>
          <w:tab w:val="left" w:pos="851"/>
        </w:tabs>
        <w:spacing w:line="400" w:lineRule="exact"/>
        <w:ind w:firstLine="420" w:firstLineChars="200"/>
        <w:rPr>
          <w:szCs w:val="21"/>
        </w:rPr>
      </w:pPr>
      <w:r>
        <w:rPr>
          <w:szCs w:val="21"/>
        </w:rPr>
        <w:t>4</w:t>
      </w:r>
      <w:r>
        <w:rPr>
          <w:rFonts w:hint="eastAsia"/>
          <w:szCs w:val="21"/>
        </w:rPr>
        <w:t>、工程质量事故及处理情况。</w:t>
      </w:r>
    </w:p>
    <w:p>
      <w:pPr>
        <w:pStyle w:val="6"/>
        <w:tabs>
          <w:tab w:val="left" w:pos="851"/>
        </w:tabs>
        <w:spacing w:line="400" w:lineRule="exact"/>
        <w:ind w:firstLine="420" w:firstLineChars="200"/>
        <w:rPr>
          <w:szCs w:val="21"/>
        </w:rPr>
      </w:pPr>
      <w:r>
        <w:rPr>
          <w:szCs w:val="21"/>
        </w:rPr>
        <w:t>5</w:t>
      </w:r>
      <w:r>
        <w:rPr>
          <w:rFonts w:hint="eastAsia"/>
          <w:szCs w:val="21"/>
        </w:rPr>
        <w:t>、竣工资料审查情况。</w:t>
      </w:r>
    </w:p>
    <w:p>
      <w:pPr>
        <w:pStyle w:val="6"/>
        <w:tabs>
          <w:tab w:val="left" w:pos="851"/>
        </w:tabs>
        <w:spacing w:line="400" w:lineRule="exact"/>
        <w:ind w:firstLine="420" w:firstLineChars="200"/>
        <w:rPr>
          <w:szCs w:val="21"/>
        </w:rPr>
      </w:pPr>
      <w:r>
        <w:rPr>
          <w:szCs w:val="21"/>
        </w:rPr>
        <w:t>6</w:t>
      </w:r>
      <w:r>
        <w:rPr>
          <w:rFonts w:hint="eastAsia"/>
          <w:szCs w:val="21"/>
        </w:rPr>
        <w:t>、工程质量评估结论。</w:t>
      </w:r>
    </w:p>
    <w:p>
      <w:pPr>
        <w:pStyle w:val="6"/>
        <w:tabs>
          <w:tab w:val="left" w:pos="851"/>
        </w:tabs>
        <w:spacing w:line="400" w:lineRule="exact"/>
        <w:ind w:firstLine="420" w:firstLineChars="200"/>
        <w:rPr>
          <w:szCs w:val="21"/>
        </w:rPr>
      </w:pPr>
      <w:r>
        <w:rPr>
          <w:rFonts w:hint="eastAsia"/>
          <w:szCs w:val="21"/>
        </w:rPr>
        <w:t>一般还应有以下附件：</w:t>
      </w:r>
    </w:p>
    <w:p>
      <w:pPr>
        <w:pStyle w:val="6"/>
        <w:tabs>
          <w:tab w:val="left" w:pos="851"/>
        </w:tabs>
        <w:spacing w:line="400" w:lineRule="exact"/>
        <w:ind w:firstLine="420" w:firstLineChars="200"/>
        <w:rPr>
          <w:szCs w:val="21"/>
        </w:rPr>
      </w:pPr>
      <w:r>
        <w:rPr>
          <w:rFonts w:hint="eastAsia"/>
          <w:szCs w:val="21"/>
        </w:rPr>
        <w:t>附件（一）：单位（子单位）工程质量控制资料监理核查记录表</w:t>
      </w:r>
      <w:r>
        <w:rPr>
          <w:rFonts w:hint="eastAsia" w:hAnsi="Times New Roman"/>
          <w:szCs w:val="21"/>
        </w:rPr>
        <w:t>。</w:t>
      </w:r>
    </w:p>
    <w:p>
      <w:pPr>
        <w:pStyle w:val="6"/>
        <w:tabs>
          <w:tab w:val="left" w:pos="851"/>
        </w:tabs>
        <w:spacing w:line="400" w:lineRule="exact"/>
        <w:ind w:firstLine="420" w:firstLineChars="200"/>
        <w:rPr>
          <w:spacing w:val="-6"/>
          <w:szCs w:val="21"/>
        </w:rPr>
      </w:pPr>
      <w:r>
        <w:rPr>
          <w:rFonts w:hint="eastAsia"/>
          <w:szCs w:val="21"/>
        </w:rPr>
        <w:t>附件（二）：</w:t>
      </w:r>
      <w:r>
        <w:rPr>
          <w:rFonts w:hint="eastAsia"/>
          <w:spacing w:val="-6"/>
          <w:szCs w:val="21"/>
        </w:rPr>
        <w:t>单位（子单位）工程有关安全和功能检验资料、主要功能项目的抽查结果及监理检查记录汇总表</w:t>
      </w:r>
      <w:r>
        <w:rPr>
          <w:rFonts w:hint="eastAsia" w:hAnsi="Times New Roman"/>
          <w:szCs w:val="21"/>
        </w:rPr>
        <w:t>。</w:t>
      </w:r>
    </w:p>
    <w:p>
      <w:pPr>
        <w:pStyle w:val="6"/>
        <w:tabs>
          <w:tab w:val="left" w:pos="851"/>
        </w:tabs>
        <w:spacing w:line="400" w:lineRule="exact"/>
        <w:ind w:firstLine="420" w:firstLineChars="200"/>
        <w:rPr>
          <w:szCs w:val="21"/>
        </w:rPr>
      </w:pPr>
      <w:r>
        <w:rPr>
          <w:rFonts w:hint="eastAsia"/>
          <w:szCs w:val="21"/>
        </w:rPr>
        <w:t>附件（三）：单位（子单位）工程观感质量监理检查记录</w:t>
      </w:r>
      <w:r>
        <w:rPr>
          <w:rFonts w:hint="eastAsia" w:hAnsi="Times New Roman"/>
          <w:szCs w:val="21"/>
        </w:rPr>
        <w:t>。</w:t>
      </w:r>
    </w:p>
    <w:p>
      <w:pPr>
        <w:pStyle w:val="6"/>
        <w:tabs>
          <w:tab w:val="left" w:pos="851"/>
        </w:tabs>
        <w:spacing w:line="400" w:lineRule="exact"/>
        <w:ind w:firstLine="420" w:firstLineChars="200"/>
        <w:rPr>
          <w:szCs w:val="21"/>
        </w:rPr>
      </w:pPr>
      <w:r>
        <w:rPr>
          <w:rFonts w:hint="eastAsia"/>
          <w:szCs w:val="21"/>
        </w:rPr>
        <w:t>附件（四）：监理抽检</w:t>
      </w:r>
      <w:r>
        <w:rPr>
          <w:szCs w:val="21"/>
        </w:rPr>
        <w:t>/</w:t>
      </w:r>
      <w:r>
        <w:rPr>
          <w:rFonts w:hint="eastAsia"/>
          <w:szCs w:val="21"/>
        </w:rPr>
        <w:t>见证试验情况汇总及说明</w:t>
      </w:r>
      <w:r>
        <w:rPr>
          <w:rFonts w:hint="eastAsia" w:hAnsi="Times New Roman"/>
          <w:szCs w:val="21"/>
        </w:rPr>
        <w:t>。</w:t>
      </w:r>
    </w:p>
    <w:p>
      <w:pPr>
        <w:pStyle w:val="6"/>
        <w:tabs>
          <w:tab w:val="left" w:pos="851"/>
        </w:tabs>
        <w:spacing w:line="400" w:lineRule="exact"/>
        <w:ind w:firstLine="420" w:firstLineChars="200"/>
        <w:rPr>
          <w:szCs w:val="21"/>
        </w:rPr>
      </w:pPr>
      <w:r>
        <w:rPr>
          <w:rFonts w:hint="eastAsia"/>
          <w:szCs w:val="21"/>
        </w:rPr>
        <w:t>附件（五）：竣工预验收小组成员名单及分工表。</w:t>
      </w:r>
    </w:p>
    <w:p>
      <w:pPr>
        <w:pStyle w:val="6"/>
        <w:tabs>
          <w:tab w:val="left" w:pos="851"/>
        </w:tabs>
        <w:spacing w:line="400" w:lineRule="exact"/>
        <w:ind w:firstLine="420" w:firstLineChars="200"/>
        <w:rPr>
          <w:szCs w:val="21"/>
        </w:rPr>
      </w:pPr>
      <w:r>
        <w:rPr>
          <w:rFonts w:hint="eastAsia"/>
          <w:szCs w:val="21"/>
        </w:rPr>
        <w:t>单位工程质量评估报告应经监理单位技术负责人审批同意。</w:t>
      </w:r>
    </w:p>
    <w:p>
      <w:pPr>
        <w:pStyle w:val="6"/>
        <w:tabs>
          <w:tab w:val="left" w:pos="851"/>
        </w:tabs>
        <w:spacing w:line="400" w:lineRule="exact"/>
        <w:ind w:firstLine="420" w:firstLineChars="200"/>
        <w:rPr>
          <w:szCs w:val="21"/>
        </w:rPr>
      </w:pPr>
      <w:r>
        <w:rPr>
          <w:rFonts w:hint="eastAsia"/>
          <w:szCs w:val="21"/>
        </w:rPr>
        <w:t>对于重要的分部（子分部）工程，如：地基与基础分部、主体结构分部、建筑节能分部等，项目监理机构应编制相应工程的质量评估报告。工程质量评估报告的内容可参照《建筑工程施工质量验收统一标准》（</w:t>
      </w:r>
      <w:r>
        <w:rPr>
          <w:szCs w:val="21"/>
        </w:rPr>
        <w:t>GB50300</w:t>
      </w:r>
      <w:r>
        <w:rPr>
          <w:rFonts w:hint="eastAsia"/>
          <w:szCs w:val="21"/>
        </w:rPr>
        <w:t>）中相关条款编写。</w:t>
      </w:r>
    </w:p>
    <w:p>
      <w:pPr>
        <w:pStyle w:val="6"/>
        <w:tabs>
          <w:tab w:val="left" w:pos="0"/>
        </w:tabs>
        <w:spacing w:line="400" w:lineRule="exact"/>
        <w:rPr>
          <w:rFonts w:eastAsia="黑体"/>
          <w:sz w:val="24"/>
        </w:rPr>
      </w:pPr>
      <w:r>
        <w:rPr>
          <w:rFonts w:eastAsia="黑体"/>
          <w:sz w:val="24"/>
        </w:rPr>
        <w:t xml:space="preserve">A.0.16  </w:t>
      </w:r>
      <w:r>
        <w:rPr>
          <w:rFonts w:hint="eastAsia" w:eastAsia="黑体"/>
          <w:sz w:val="24"/>
        </w:rPr>
        <w:t>监理工作总结</w:t>
      </w:r>
    </w:p>
    <w:p>
      <w:pPr>
        <w:pStyle w:val="6"/>
        <w:tabs>
          <w:tab w:val="left" w:pos="0"/>
        </w:tabs>
        <w:spacing w:line="400" w:lineRule="exact"/>
        <w:ind w:firstLine="420" w:firstLineChars="200"/>
        <w:rPr>
          <w:szCs w:val="21"/>
        </w:rPr>
      </w:pPr>
      <w:r>
        <w:rPr>
          <w:rFonts w:hint="eastAsia"/>
          <w:szCs w:val="21"/>
        </w:rPr>
        <w:t>监理工作总结是项目监理机构完成监理合同约定的全部工作后，向监理单位提交的工作总结。其主要内容包括：工程概况、项目监理机构、监理合同履行情况、监理工作成效、监理工作中发现的问题及其处理情况、说明和建议等。</w:t>
      </w:r>
    </w:p>
    <w:p>
      <w:pPr>
        <w:pStyle w:val="6"/>
        <w:tabs>
          <w:tab w:val="left" w:pos="0"/>
        </w:tabs>
        <w:spacing w:line="400" w:lineRule="exact"/>
        <w:rPr>
          <w:rFonts w:eastAsia="黑体"/>
          <w:sz w:val="24"/>
        </w:rPr>
      </w:pPr>
      <w:r>
        <w:rPr>
          <w:rFonts w:eastAsia="黑体"/>
          <w:sz w:val="24"/>
        </w:rPr>
        <w:t xml:space="preserve">A.0.17  </w:t>
      </w:r>
      <w:r>
        <w:rPr>
          <w:rFonts w:hint="eastAsia" w:eastAsia="黑体"/>
          <w:sz w:val="24"/>
        </w:rPr>
        <w:t>工程监理资料移交单</w:t>
      </w:r>
    </w:p>
    <w:p>
      <w:pPr>
        <w:pStyle w:val="6"/>
        <w:tabs>
          <w:tab w:val="left" w:pos="0"/>
        </w:tabs>
        <w:spacing w:line="400" w:lineRule="exact"/>
        <w:ind w:firstLine="420" w:firstLineChars="200"/>
        <w:rPr>
          <w:szCs w:val="21"/>
        </w:rPr>
      </w:pPr>
      <w:r>
        <w:rPr>
          <w:rFonts w:hint="eastAsia"/>
          <w:szCs w:val="21"/>
        </w:rPr>
        <w:t>工程竣工验收后，监理单位应及时将工程监理资料整理后向建设单位移交，并办理工程监理移交手续，本表是工程监理资料移交专用表格。</w:t>
      </w:r>
    </w:p>
    <w:p>
      <w:pPr>
        <w:pStyle w:val="6"/>
        <w:tabs>
          <w:tab w:val="left" w:pos="0"/>
        </w:tabs>
        <w:spacing w:line="400" w:lineRule="exact"/>
        <w:rPr>
          <w:rFonts w:eastAsia="黑体"/>
          <w:sz w:val="24"/>
        </w:rPr>
      </w:pPr>
      <w:r>
        <w:rPr>
          <w:rFonts w:eastAsia="黑体"/>
          <w:sz w:val="24"/>
        </w:rPr>
        <w:t xml:space="preserve">A.0.18  </w:t>
      </w:r>
      <w:r>
        <w:rPr>
          <w:rFonts w:hint="eastAsia" w:eastAsia="黑体"/>
          <w:sz w:val="24"/>
        </w:rPr>
        <w:t>危大工程巡视检查记录表</w:t>
      </w:r>
    </w:p>
    <w:p>
      <w:pPr>
        <w:pStyle w:val="6"/>
        <w:tabs>
          <w:tab w:val="left" w:pos="0"/>
        </w:tabs>
        <w:spacing w:line="400" w:lineRule="exact"/>
        <w:rPr>
          <w:rFonts w:eastAsia="黑体"/>
          <w:sz w:val="24"/>
        </w:rPr>
      </w:pPr>
      <w:r>
        <w:rPr>
          <w:rFonts w:eastAsia="黑体"/>
          <w:sz w:val="24"/>
        </w:rPr>
        <w:tab/>
      </w:r>
      <w:r>
        <w:rPr>
          <w:rFonts w:hint="eastAsia"/>
          <w:szCs w:val="21"/>
        </w:rPr>
        <w:t>根据《危险性较大的分部分项工程安全管理规定》，项目监理机构应对危险性较大分部分项工程（简称“危大工程”）进行专项巡视检查。工程开工前，项目监理机构应根据施工组织设计等相关文件，明确本工程危大工程清单，并在监理实施细则中明确危大工程专项巡视检查的要求。</w:t>
      </w:r>
    </w:p>
    <w:p>
      <w:pPr>
        <w:pStyle w:val="6"/>
        <w:tabs>
          <w:tab w:val="left" w:pos="0"/>
        </w:tabs>
        <w:spacing w:line="400" w:lineRule="exact"/>
        <w:rPr>
          <w:rFonts w:eastAsia="黑体"/>
          <w:sz w:val="24"/>
        </w:rPr>
      </w:pPr>
      <w:r>
        <w:rPr>
          <w:rFonts w:eastAsia="黑体"/>
          <w:sz w:val="24"/>
        </w:rPr>
        <w:t xml:space="preserve">A.0.19  </w:t>
      </w:r>
      <w:r>
        <w:rPr>
          <w:rFonts w:hint="eastAsia" w:eastAsia="黑体"/>
          <w:sz w:val="24"/>
        </w:rPr>
        <w:t>危大工程安全管理档案</w:t>
      </w:r>
      <w:r>
        <w:rPr>
          <w:rFonts w:eastAsia="黑体"/>
          <w:sz w:val="24"/>
        </w:rPr>
        <w:t xml:space="preserve"> </w:t>
      </w:r>
    </w:p>
    <w:p>
      <w:pPr>
        <w:pStyle w:val="6"/>
        <w:tabs>
          <w:tab w:val="left" w:pos="0"/>
        </w:tabs>
        <w:spacing w:line="400" w:lineRule="exact"/>
        <w:rPr>
          <w:szCs w:val="21"/>
        </w:rPr>
      </w:pPr>
      <w:r>
        <w:rPr>
          <w:rFonts w:eastAsia="黑体"/>
          <w:sz w:val="24"/>
        </w:rPr>
        <w:tab/>
      </w:r>
      <w:r>
        <w:rPr>
          <w:rFonts w:hint="eastAsia"/>
          <w:szCs w:val="21"/>
        </w:rPr>
        <w:t>根据《危险性较大的分部分项工程安全管理规定》，项目监理机构应建立危大工程安全管理档案。安全管理档案主要内容有：危大工程清单、危大工程专项施工方案审查、危大工程监理实施细则、危大工程专项巡视检查、危大工程验收、危大工程事故隐患处置和其它等相关资料。</w:t>
      </w:r>
    </w:p>
    <w:p>
      <w:pPr>
        <w:pStyle w:val="6"/>
        <w:tabs>
          <w:tab w:val="left" w:pos="0"/>
        </w:tabs>
        <w:spacing w:line="400" w:lineRule="exact"/>
        <w:rPr>
          <w:szCs w:val="21"/>
        </w:rPr>
      </w:pPr>
    </w:p>
    <w:p>
      <w:pPr>
        <w:pStyle w:val="6"/>
        <w:tabs>
          <w:tab w:val="left" w:pos="1680"/>
        </w:tabs>
        <w:spacing w:line="400" w:lineRule="exact"/>
        <w:rPr>
          <w:rFonts w:eastAsia="黑体"/>
          <w:szCs w:val="28"/>
        </w:rPr>
      </w:pPr>
      <w:r>
        <w:rPr>
          <w:rFonts w:eastAsia="黑体"/>
          <w:szCs w:val="28"/>
        </w:rPr>
        <w:t>2</w:t>
      </w:r>
      <w:r>
        <w:rPr>
          <w:rFonts w:hint="eastAsia" w:eastAsia="黑体"/>
          <w:szCs w:val="28"/>
        </w:rPr>
        <w:t>、</w:t>
      </w:r>
      <w:r>
        <w:rPr>
          <w:rFonts w:eastAsia="黑体"/>
          <w:szCs w:val="28"/>
        </w:rPr>
        <w:t>B</w:t>
      </w:r>
      <w:r>
        <w:rPr>
          <w:rFonts w:hint="eastAsia" w:eastAsia="黑体"/>
          <w:szCs w:val="28"/>
        </w:rPr>
        <w:t>类表</w:t>
      </w:r>
    </w:p>
    <w:p>
      <w:pPr>
        <w:pStyle w:val="6"/>
        <w:tabs>
          <w:tab w:val="left" w:pos="1680"/>
        </w:tabs>
        <w:spacing w:line="400" w:lineRule="exact"/>
        <w:rPr>
          <w:szCs w:val="21"/>
        </w:rPr>
      </w:pPr>
      <w:r>
        <w:rPr>
          <w:rFonts w:eastAsia="黑体"/>
          <w:sz w:val="24"/>
        </w:rPr>
        <w:t xml:space="preserve">B.0.1  </w:t>
      </w:r>
      <w:r>
        <w:rPr>
          <w:rFonts w:hint="eastAsia" w:eastAsia="黑体"/>
          <w:sz w:val="24"/>
        </w:rPr>
        <w:t>施工组织设计／施工方案报审表</w:t>
      </w:r>
    </w:p>
    <w:p>
      <w:pPr>
        <w:pStyle w:val="6"/>
        <w:tabs>
          <w:tab w:val="left" w:pos="1680"/>
        </w:tabs>
        <w:spacing w:line="400" w:lineRule="exact"/>
        <w:ind w:firstLine="412" w:firstLineChars="200"/>
        <w:rPr>
          <w:spacing w:val="-2"/>
          <w:szCs w:val="21"/>
        </w:rPr>
      </w:pPr>
      <w:r>
        <w:rPr>
          <w:rFonts w:hint="eastAsia"/>
          <w:spacing w:val="-2"/>
          <w:szCs w:val="21"/>
        </w:rPr>
        <w:t>本表是施工单位项目经理部向项目监理机构报审施工组织设计或施工方案的用表。施工组织设计包括总包单位和分包单位编制的施工组织设计；施工方案包括两种情况，一是一般的施工方案，二是危大工程安全专项施工方案。</w:t>
      </w:r>
    </w:p>
    <w:p>
      <w:pPr>
        <w:pStyle w:val="6"/>
        <w:tabs>
          <w:tab w:val="left" w:pos="1680"/>
        </w:tabs>
        <w:spacing w:line="400" w:lineRule="exact"/>
        <w:ind w:firstLine="412" w:firstLineChars="200"/>
        <w:rPr>
          <w:spacing w:val="-2"/>
          <w:szCs w:val="21"/>
        </w:rPr>
      </w:pPr>
      <w:r>
        <w:rPr>
          <w:rFonts w:hint="eastAsia"/>
          <w:spacing w:val="-2"/>
          <w:szCs w:val="21"/>
        </w:rPr>
        <w:t>施工组织设计和危大工程的安全专项施工方案应由本单位的技术、质量、安全等相关职能部门审查会签，并经施工单位的技术负责人审批，且签字盖章齐全。</w:t>
      </w:r>
    </w:p>
    <w:p>
      <w:pPr>
        <w:pStyle w:val="6"/>
        <w:tabs>
          <w:tab w:val="left" w:pos="1680"/>
        </w:tabs>
        <w:spacing w:line="400" w:lineRule="exact"/>
        <w:ind w:firstLine="412" w:firstLineChars="200"/>
        <w:rPr>
          <w:spacing w:val="-2"/>
          <w:szCs w:val="21"/>
        </w:rPr>
      </w:pPr>
      <w:r>
        <w:rPr>
          <w:rFonts w:hint="eastAsia"/>
          <w:spacing w:val="-2"/>
          <w:szCs w:val="21"/>
        </w:rPr>
        <w:t>对超过一定规模的危大工程的安全专项施工方案，应当由</w:t>
      </w:r>
      <w:r>
        <w:rPr>
          <w:rFonts w:hint="eastAsia"/>
          <w:szCs w:val="21"/>
        </w:rPr>
        <w:t>施工（总承包）单位</w:t>
      </w:r>
      <w:r>
        <w:rPr>
          <w:rFonts w:hint="eastAsia"/>
          <w:spacing w:val="-2"/>
          <w:szCs w:val="21"/>
        </w:rPr>
        <w:t>组织召开专家论证会。分包单位编制的分包工程施工组织设计或（专项）施工方案，均应由施工总承包单位按规定完成相关审批手续后报项目监理机构审核。对于施工组织设计和专项施工方案，专业监理工程师应提出具体的审查意见，重点审查质量、安全技术措施是否符合工程建设强制性标准，然后由总监理工程师签署审核意见。</w:t>
      </w:r>
    </w:p>
    <w:p>
      <w:pPr>
        <w:pStyle w:val="6"/>
        <w:tabs>
          <w:tab w:val="left" w:pos="1680"/>
        </w:tabs>
        <w:spacing w:line="400" w:lineRule="exact"/>
        <w:rPr>
          <w:rFonts w:eastAsia="黑体"/>
          <w:sz w:val="24"/>
        </w:rPr>
      </w:pPr>
      <w:r>
        <w:rPr>
          <w:rFonts w:eastAsia="黑体"/>
          <w:sz w:val="24"/>
        </w:rPr>
        <w:t xml:space="preserve">B.0.2  </w:t>
      </w:r>
      <w:r>
        <w:rPr>
          <w:rFonts w:hint="eastAsia" w:eastAsia="黑体"/>
          <w:sz w:val="24"/>
        </w:rPr>
        <w:t>施工现场质量、安全生产管理体系报审表</w:t>
      </w:r>
    </w:p>
    <w:p>
      <w:pPr>
        <w:pStyle w:val="6"/>
        <w:tabs>
          <w:tab w:val="left" w:pos="1680"/>
        </w:tabs>
        <w:spacing w:line="400" w:lineRule="exact"/>
        <w:ind w:firstLine="420" w:firstLineChars="200"/>
        <w:rPr>
          <w:spacing w:val="-2"/>
          <w:szCs w:val="21"/>
        </w:rPr>
      </w:pPr>
      <w:r>
        <w:rPr>
          <w:rFonts w:hint="eastAsia"/>
          <w:szCs w:val="21"/>
        </w:rPr>
        <w:t>本表是施工单位向项目监理机构报审施工现场质量、安全生产管理体系资料的专项用表。项目监理机构应认真审核施工单位的质量、安全生产管理体系，重点审查：施工单位的资质证书、安全生产许可证、项目经理部质量和安全生产管理组织机构、岗位职责分工、质量安全管理制度（如质量检查制度、质量教育培训制度、安全生产责任制度、治安保卫制度、安生生产教育培训制度、质量安全事故处理制度、工程起重机械设备管理制度、重大危险源管理制度、安全事故应急救援预案等）、安全文明措施费使用计划、质量安全人员证书（项目经理、项目技术负责人、质量员、施工员、专职安全员、特种作业人员等）等。项目监理机构宜提出并留存具体的审查记录。特种作业人员特种作业操作资格证的审核应动态管理。安全文明措施费使用计划可用《施工单位通用报审表》报审。</w:t>
      </w:r>
    </w:p>
    <w:p>
      <w:pPr>
        <w:pStyle w:val="6"/>
        <w:tabs>
          <w:tab w:val="left" w:pos="1680"/>
        </w:tabs>
        <w:spacing w:line="400" w:lineRule="exact"/>
        <w:rPr>
          <w:rFonts w:eastAsia="黑体"/>
          <w:sz w:val="24"/>
        </w:rPr>
      </w:pPr>
      <w:r>
        <w:rPr>
          <w:rFonts w:eastAsia="黑体"/>
          <w:sz w:val="24"/>
        </w:rPr>
        <w:t xml:space="preserve">B.0.3  </w:t>
      </w:r>
      <w:r>
        <w:rPr>
          <w:rFonts w:hint="eastAsia" w:eastAsia="黑体"/>
          <w:sz w:val="24"/>
        </w:rPr>
        <w:t>工程开工报审表</w:t>
      </w:r>
    </w:p>
    <w:p>
      <w:pPr>
        <w:pStyle w:val="6"/>
        <w:tabs>
          <w:tab w:val="left" w:pos="1680"/>
        </w:tabs>
        <w:spacing w:line="400" w:lineRule="exact"/>
        <w:ind w:firstLine="420" w:firstLineChars="200"/>
        <w:rPr>
          <w:szCs w:val="21"/>
        </w:rPr>
      </w:pPr>
      <w:r>
        <w:rPr>
          <w:rFonts w:hint="eastAsia"/>
          <w:szCs w:val="21"/>
        </w:rPr>
        <w:t>本表是施工单位按工程施工合同约定完成工程开工准备工作，工程现场符合开工条件后，向项目监理机构申请工程开工的用表。分包工程的开工申请手续也由施工总承包单位使用本表办理报审手续。如整个项目为一家施工单位承担，只填报一次；如项目涉及多个单位工程，建设单位分别发包给多家施工单位，则每家施工单位都应申报。</w:t>
      </w:r>
    </w:p>
    <w:p>
      <w:pPr>
        <w:pStyle w:val="6"/>
        <w:tabs>
          <w:tab w:val="left" w:pos="1680"/>
        </w:tabs>
        <w:spacing w:line="400" w:lineRule="exact"/>
        <w:ind w:firstLine="420" w:firstLineChars="200"/>
        <w:rPr>
          <w:szCs w:val="21"/>
        </w:rPr>
      </w:pPr>
      <w:r>
        <w:rPr>
          <w:rFonts w:hint="eastAsia"/>
          <w:szCs w:val="21"/>
        </w:rPr>
        <w:t>项目监理机构应根据工程施工合同的约定和相关开工条件，按照表中的内容检查各项准备工作是否满足开工条件。工程开工日期一般应为工程施工合同中约定的开工日期，如施工单位申报的开工日期与工程施工合同中约定的日期不一致，总监理工程师应与建设单位协商取得一致意见后签署监理审核意见。</w:t>
      </w:r>
    </w:p>
    <w:p>
      <w:pPr>
        <w:pStyle w:val="6"/>
        <w:tabs>
          <w:tab w:val="left" w:pos="1680"/>
        </w:tabs>
        <w:spacing w:line="400" w:lineRule="exact"/>
        <w:rPr>
          <w:rFonts w:eastAsia="黑体"/>
          <w:sz w:val="24"/>
        </w:rPr>
      </w:pPr>
      <w:r>
        <w:rPr>
          <w:rFonts w:eastAsia="黑体"/>
          <w:sz w:val="24"/>
        </w:rPr>
        <w:t xml:space="preserve">B.0.4  </w:t>
      </w:r>
      <w:r>
        <w:rPr>
          <w:rFonts w:hint="eastAsia" w:eastAsia="黑体"/>
          <w:sz w:val="24"/>
        </w:rPr>
        <w:t>分包单位资质报审表</w:t>
      </w:r>
    </w:p>
    <w:p>
      <w:pPr>
        <w:pStyle w:val="6"/>
        <w:tabs>
          <w:tab w:val="left" w:pos="1680"/>
        </w:tabs>
        <w:spacing w:line="400" w:lineRule="exact"/>
        <w:ind w:firstLine="420" w:firstLineChars="200"/>
        <w:rPr>
          <w:szCs w:val="21"/>
        </w:rPr>
      </w:pPr>
      <w:r>
        <w:rPr>
          <w:rFonts w:hint="eastAsia"/>
          <w:szCs w:val="21"/>
        </w:rPr>
        <w:t>本表是施工单位报请项目监理机构对分包单位的资质进行审查的用表。施工单位应提供的报审资料包括：分包单位的营业执照、资质等级证书、安全生产许可文件、专职管理人员（项目经理、质量员、专职安全员等）和特种作业人员的资格证书、类似工程业绩和总承包单位对分包单位的管理制度等。</w:t>
      </w:r>
    </w:p>
    <w:p>
      <w:pPr>
        <w:pStyle w:val="6"/>
        <w:tabs>
          <w:tab w:val="left" w:pos="1680"/>
        </w:tabs>
        <w:spacing w:line="400" w:lineRule="exact"/>
        <w:ind w:firstLine="420" w:firstLineChars="200"/>
        <w:rPr>
          <w:szCs w:val="21"/>
        </w:rPr>
      </w:pPr>
      <w:r>
        <w:rPr>
          <w:rFonts w:hint="eastAsia"/>
          <w:szCs w:val="21"/>
        </w:rPr>
        <w:t>项目监理机构应根据《建设工程质量管理条例》和施工合同约定，对专业分包单位进行审核，专业分包单位应经建设单位审批同意。</w:t>
      </w:r>
    </w:p>
    <w:p>
      <w:pPr>
        <w:pStyle w:val="6"/>
        <w:tabs>
          <w:tab w:val="left" w:pos="1680"/>
        </w:tabs>
        <w:spacing w:line="400" w:lineRule="exact"/>
        <w:rPr>
          <w:rFonts w:eastAsia="黑体"/>
          <w:sz w:val="24"/>
        </w:rPr>
      </w:pPr>
      <w:r>
        <w:rPr>
          <w:rFonts w:eastAsia="黑体"/>
          <w:sz w:val="24"/>
        </w:rPr>
        <w:t xml:space="preserve">B.1.1  </w:t>
      </w:r>
      <w:r>
        <w:rPr>
          <w:rFonts w:hint="eastAsia" w:eastAsia="黑体"/>
          <w:sz w:val="24"/>
        </w:rPr>
        <w:t>施工试验室报审表</w:t>
      </w:r>
    </w:p>
    <w:p>
      <w:pPr>
        <w:pStyle w:val="6"/>
        <w:tabs>
          <w:tab w:val="left" w:pos="1680"/>
        </w:tabs>
        <w:spacing w:line="400" w:lineRule="exact"/>
        <w:ind w:firstLine="420"/>
        <w:rPr>
          <w:szCs w:val="21"/>
        </w:rPr>
      </w:pPr>
      <w:r>
        <w:rPr>
          <w:rFonts w:hint="eastAsia"/>
          <w:szCs w:val="21"/>
        </w:rPr>
        <w:t>本表是施工单位报请项目监理机构对施工单位在现场设立试验室的情况进行审查的用表。某些专业工程（如交通工程）要求施工单位必须在施工现场设立试验室的，施工单位应该报审的资料为：企业试验室的资质证书、试验室管理制度、计划在工地现场做试验的项目清单、现场配备的试验人员（附试验人员岗位证书），工地现场配备的试验设备清单和法定计量部门对试验计量设备、器具出具的计量检定证明或校准的证明文件等。</w:t>
      </w:r>
    </w:p>
    <w:p>
      <w:pPr>
        <w:pStyle w:val="6"/>
        <w:tabs>
          <w:tab w:val="left" w:pos="1680"/>
        </w:tabs>
        <w:spacing w:line="400" w:lineRule="exact"/>
        <w:rPr>
          <w:rFonts w:eastAsia="黑体"/>
          <w:sz w:val="24"/>
        </w:rPr>
      </w:pPr>
      <w:r>
        <w:rPr>
          <w:rFonts w:eastAsia="黑体"/>
          <w:sz w:val="24"/>
        </w:rPr>
        <w:t xml:space="preserve">B.1.2  </w:t>
      </w:r>
      <w:r>
        <w:rPr>
          <w:rFonts w:hint="eastAsia" w:eastAsia="黑体"/>
          <w:sz w:val="24"/>
        </w:rPr>
        <w:t>施工控制测量成果报审表</w:t>
      </w:r>
    </w:p>
    <w:p>
      <w:pPr>
        <w:pStyle w:val="6"/>
        <w:tabs>
          <w:tab w:val="left" w:pos="1680"/>
        </w:tabs>
        <w:spacing w:line="400" w:lineRule="exact"/>
        <w:ind w:firstLine="420" w:firstLineChars="200"/>
        <w:rPr>
          <w:szCs w:val="21"/>
        </w:rPr>
      </w:pPr>
      <w:r>
        <w:rPr>
          <w:rFonts w:hint="eastAsia"/>
          <w:szCs w:val="21"/>
        </w:rPr>
        <w:t>本表是施工单位报请项目监理机构对施工控制测量成果及保护措施进行审查的用表。报审的资料应包括：施工单位测量人员的资格证书、测量设备的清单及检定或校准的证明文件；施工平面控制网、高程控制网、临时水准点、规划红线、基点等测量控制依据资料、控制测量成果表及附图，对现场加密的应提供桩位布置图，以及相应的保护措施等。</w:t>
      </w:r>
    </w:p>
    <w:p>
      <w:pPr>
        <w:pStyle w:val="6"/>
        <w:tabs>
          <w:tab w:val="left" w:pos="1680"/>
        </w:tabs>
        <w:spacing w:line="400" w:lineRule="exact"/>
        <w:ind w:firstLine="420" w:firstLineChars="200"/>
        <w:rPr>
          <w:szCs w:val="21"/>
        </w:rPr>
      </w:pPr>
      <w:r>
        <w:rPr>
          <w:rFonts w:hint="eastAsia"/>
          <w:szCs w:val="21"/>
        </w:rPr>
        <w:t>专业监理工程师应按标准有关要求，对控制网布设、测点保护、仪器精度、观测规范、记录清晰等方面进行检查、审核，意见栏应填写是否符合技术规范、设计等的具体要求，重点应进行必要的内业及外业复核，检查、复核记录作为附件留档。</w:t>
      </w:r>
    </w:p>
    <w:p>
      <w:pPr>
        <w:pStyle w:val="6"/>
        <w:tabs>
          <w:tab w:val="left" w:pos="1680"/>
        </w:tabs>
        <w:spacing w:line="400" w:lineRule="exact"/>
        <w:rPr>
          <w:rFonts w:eastAsia="黑体"/>
          <w:sz w:val="24"/>
        </w:rPr>
      </w:pPr>
      <w:r>
        <w:rPr>
          <w:rFonts w:eastAsia="黑体"/>
          <w:sz w:val="24"/>
        </w:rPr>
        <w:t xml:space="preserve">B.1.3  </w:t>
      </w:r>
      <w:r>
        <w:rPr>
          <w:rFonts w:hint="eastAsia" w:eastAsia="黑体"/>
          <w:sz w:val="24"/>
        </w:rPr>
        <w:t>工程材料、构配件、设备进场</w:t>
      </w:r>
      <w:r>
        <w:rPr>
          <w:rFonts w:eastAsia="黑体"/>
          <w:sz w:val="24"/>
        </w:rPr>
        <w:t>/</w:t>
      </w:r>
      <w:r>
        <w:rPr>
          <w:rFonts w:hint="eastAsia" w:eastAsia="黑体"/>
          <w:sz w:val="24"/>
        </w:rPr>
        <w:t>使用报审表</w:t>
      </w:r>
    </w:p>
    <w:p>
      <w:pPr>
        <w:pStyle w:val="6"/>
        <w:tabs>
          <w:tab w:val="left" w:pos="1680"/>
        </w:tabs>
        <w:spacing w:line="400" w:lineRule="exact"/>
        <w:ind w:firstLine="420" w:firstLineChars="200"/>
        <w:rPr>
          <w:szCs w:val="21"/>
        </w:rPr>
      </w:pPr>
      <w:r>
        <w:rPr>
          <w:rFonts w:hint="eastAsia"/>
          <w:szCs w:val="21"/>
        </w:rPr>
        <w:t>本表为施工单位向项目监理机构报审工程用的材料、构配件、设备进场</w:t>
      </w:r>
      <w:r>
        <w:rPr>
          <w:szCs w:val="21"/>
        </w:rPr>
        <w:t>/</w:t>
      </w:r>
      <w:r>
        <w:rPr>
          <w:rFonts w:hint="eastAsia"/>
          <w:szCs w:val="21"/>
        </w:rPr>
        <w:t>使用的用表。</w:t>
      </w:r>
    </w:p>
    <w:p>
      <w:pPr>
        <w:pStyle w:val="6"/>
        <w:tabs>
          <w:tab w:val="left" w:pos="1680"/>
        </w:tabs>
        <w:spacing w:line="400" w:lineRule="exact"/>
        <w:ind w:firstLine="420" w:firstLineChars="200"/>
        <w:rPr>
          <w:szCs w:val="21"/>
        </w:rPr>
      </w:pPr>
      <w:r>
        <w:rPr>
          <w:rFonts w:hint="eastAsia"/>
          <w:szCs w:val="21"/>
        </w:rPr>
        <w:t>材料</w:t>
      </w:r>
      <w:r>
        <w:rPr>
          <w:szCs w:val="21"/>
        </w:rPr>
        <w:t>/</w:t>
      </w:r>
      <w:r>
        <w:rPr>
          <w:rFonts w:hint="eastAsia"/>
          <w:szCs w:val="21"/>
        </w:rPr>
        <w:t>构配件</w:t>
      </w:r>
      <w:r>
        <w:rPr>
          <w:szCs w:val="21"/>
        </w:rPr>
        <w:t>/</w:t>
      </w:r>
      <w:r>
        <w:rPr>
          <w:rFonts w:hint="eastAsia"/>
          <w:szCs w:val="21"/>
        </w:rPr>
        <w:t>设备的清单是指：材料</w:t>
      </w:r>
      <w:r>
        <w:rPr>
          <w:szCs w:val="21"/>
        </w:rPr>
        <w:t>/</w:t>
      </w:r>
      <w:r>
        <w:rPr>
          <w:rFonts w:hint="eastAsia"/>
          <w:szCs w:val="21"/>
        </w:rPr>
        <w:t>构配件</w:t>
      </w:r>
      <w:r>
        <w:rPr>
          <w:szCs w:val="21"/>
        </w:rPr>
        <w:t>/</w:t>
      </w:r>
      <w:r>
        <w:rPr>
          <w:rFonts w:hint="eastAsia"/>
          <w:szCs w:val="21"/>
        </w:rPr>
        <w:t>设备的名称、型号、规格、数量等。</w:t>
      </w:r>
    </w:p>
    <w:p>
      <w:pPr>
        <w:pStyle w:val="6"/>
        <w:tabs>
          <w:tab w:val="left" w:pos="1680"/>
        </w:tabs>
        <w:spacing w:line="400" w:lineRule="exact"/>
        <w:ind w:firstLine="420" w:firstLineChars="200"/>
        <w:rPr>
          <w:szCs w:val="21"/>
        </w:rPr>
      </w:pPr>
      <w:r>
        <w:rPr>
          <w:rFonts w:hint="eastAsia"/>
          <w:szCs w:val="21"/>
        </w:rPr>
        <w:t>出厂质量证明文件是指：生产单位提供的出厂合格证、（出厂）质量检验报告、（型式）检验报告等证明资料。进口材料</w:t>
      </w:r>
      <w:r>
        <w:rPr>
          <w:szCs w:val="21"/>
        </w:rPr>
        <w:t>/</w:t>
      </w:r>
      <w:r>
        <w:rPr>
          <w:rFonts w:hint="eastAsia"/>
          <w:szCs w:val="21"/>
        </w:rPr>
        <w:t>构配件</w:t>
      </w:r>
      <w:r>
        <w:rPr>
          <w:szCs w:val="21"/>
        </w:rPr>
        <w:t>/</w:t>
      </w:r>
      <w:r>
        <w:rPr>
          <w:rFonts w:hint="eastAsia"/>
          <w:szCs w:val="21"/>
        </w:rPr>
        <w:t>设备应按规定提供商检的证明文件；新材料、新设备应有相关单位的技术鉴定文件（鉴定书中注明的产品应用范围、产品质量的企业标准等）及专家论证报告等。如无证明文件原件，需提供复印件并加盖证明文件提供单位的公章。</w:t>
      </w:r>
    </w:p>
    <w:p>
      <w:pPr>
        <w:pStyle w:val="6"/>
        <w:tabs>
          <w:tab w:val="left" w:pos="1680"/>
        </w:tabs>
        <w:spacing w:line="400" w:lineRule="exact"/>
        <w:ind w:firstLine="420" w:firstLineChars="200"/>
        <w:rPr>
          <w:szCs w:val="21"/>
        </w:rPr>
      </w:pPr>
      <w:r>
        <w:rPr>
          <w:rFonts w:hint="eastAsia"/>
          <w:szCs w:val="21"/>
        </w:rPr>
        <w:t>自检结果是指：施工单位对所购材料</w:t>
      </w:r>
      <w:r>
        <w:rPr>
          <w:szCs w:val="21"/>
        </w:rPr>
        <w:t>/</w:t>
      </w:r>
      <w:r>
        <w:rPr>
          <w:rFonts w:hint="eastAsia"/>
          <w:szCs w:val="21"/>
        </w:rPr>
        <w:t>构配件</w:t>
      </w:r>
      <w:r>
        <w:rPr>
          <w:szCs w:val="21"/>
        </w:rPr>
        <w:t>/</w:t>
      </w:r>
      <w:r>
        <w:rPr>
          <w:rFonts w:hint="eastAsia"/>
          <w:szCs w:val="21"/>
        </w:rPr>
        <w:t>设备清单、出厂质量证明文件核对后，对材料</w:t>
      </w:r>
      <w:r>
        <w:rPr>
          <w:szCs w:val="21"/>
        </w:rPr>
        <w:t>/</w:t>
      </w:r>
      <w:r>
        <w:rPr>
          <w:rFonts w:hint="eastAsia"/>
          <w:szCs w:val="21"/>
        </w:rPr>
        <w:t>构配件</w:t>
      </w:r>
      <w:r>
        <w:rPr>
          <w:szCs w:val="21"/>
        </w:rPr>
        <w:t>/</w:t>
      </w:r>
      <w:r>
        <w:rPr>
          <w:rFonts w:hint="eastAsia"/>
          <w:szCs w:val="21"/>
        </w:rPr>
        <w:t>设备实物及外观、质量进行验收核实的自检结果。</w:t>
      </w:r>
    </w:p>
    <w:p>
      <w:pPr>
        <w:pStyle w:val="6"/>
        <w:tabs>
          <w:tab w:val="left" w:pos="1680"/>
        </w:tabs>
        <w:spacing w:line="400" w:lineRule="exact"/>
        <w:ind w:firstLine="420" w:firstLineChars="200"/>
        <w:rPr>
          <w:szCs w:val="21"/>
        </w:rPr>
      </w:pPr>
      <w:r>
        <w:rPr>
          <w:rFonts w:hint="eastAsia"/>
          <w:szCs w:val="21"/>
        </w:rPr>
        <w:t>建设单位供应的材料</w:t>
      </w:r>
      <w:r>
        <w:rPr>
          <w:szCs w:val="21"/>
        </w:rPr>
        <w:t>/</w:t>
      </w:r>
      <w:r>
        <w:rPr>
          <w:rFonts w:hint="eastAsia"/>
          <w:szCs w:val="21"/>
        </w:rPr>
        <w:t>构配件</w:t>
      </w:r>
      <w:r>
        <w:rPr>
          <w:szCs w:val="21"/>
        </w:rPr>
        <w:t>/</w:t>
      </w:r>
      <w:r>
        <w:rPr>
          <w:rFonts w:hint="eastAsia"/>
          <w:szCs w:val="21"/>
        </w:rPr>
        <w:t>设备，按施工合同的约定，由施工单位清点、接收和报验。</w:t>
      </w:r>
    </w:p>
    <w:p>
      <w:pPr>
        <w:pStyle w:val="6"/>
        <w:tabs>
          <w:tab w:val="left" w:pos="1680"/>
        </w:tabs>
        <w:spacing w:line="400" w:lineRule="exact"/>
        <w:ind w:firstLine="420" w:firstLineChars="200"/>
        <w:rPr>
          <w:szCs w:val="21"/>
        </w:rPr>
      </w:pPr>
      <w:r>
        <w:rPr>
          <w:rFonts w:hint="eastAsia"/>
          <w:szCs w:val="21"/>
        </w:rPr>
        <w:t>进口材料</w:t>
      </w:r>
      <w:r>
        <w:rPr>
          <w:szCs w:val="21"/>
        </w:rPr>
        <w:t>/</w:t>
      </w:r>
      <w:r>
        <w:rPr>
          <w:rFonts w:hint="eastAsia"/>
          <w:szCs w:val="21"/>
        </w:rPr>
        <w:t>构配件</w:t>
      </w:r>
      <w:r>
        <w:rPr>
          <w:szCs w:val="21"/>
        </w:rPr>
        <w:t>/</w:t>
      </w:r>
      <w:r>
        <w:rPr>
          <w:rFonts w:hint="eastAsia"/>
          <w:szCs w:val="21"/>
        </w:rPr>
        <w:t>设备按合同约定，由建设单位、施工单位、供货单位、项目监理机构及其他有关单位进行联合检查，检查情况及结果应形成记录，并由各方代表签字认可。</w:t>
      </w:r>
    </w:p>
    <w:p>
      <w:pPr>
        <w:pStyle w:val="6"/>
        <w:tabs>
          <w:tab w:val="left" w:pos="1680"/>
        </w:tabs>
        <w:spacing w:line="400" w:lineRule="exact"/>
        <w:ind w:firstLine="420" w:firstLineChars="200"/>
        <w:rPr>
          <w:szCs w:val="21"/>
        </w:rPr>
      </w:pPr>
      <w:r>
        <w:rPr>
          <w:rFonts w:hint="eastAsia"/>
          <w:szCs w:val="21"/>
        </w:rPr>
        <w:t>专业监理工程师应审查施工单位报审资料的有效性和符合情况，并按规定对进场的材料</w:t>
      </w:r>
      <w:r>
        <w:rPr>
          <w:szCs w:val="21"/>
        </w:rPr>
        <w:t>/</w:t>
      </w:r>
      <w:r>
        <w:rPr>
          <w:rFonts w:hint="eastAsia"/>
          <w:szCs w:val="21"/>
        </w:rPr>
        <w:t>构配件</w:t>
      </w:r>
      <w:r>
        <w:rPr>
          <w:szCs w:val="21"/>
        </w:rPr>
        <w:t>/</w:t>
      </w:r>
      <w:r>
        <w:rPr>
          <w:rFonts w:hint="eastAsia"/>
          <w:szCs w:val="21"/>
        </w:rPr>
        <w:t>设备进行检查，留存检查记录。对符合要求的材料</w:t>
      </w:r>
      <w:r>
        <w:rPr>
          <w:szCs w:val="21"/>
        </w:rPr>
        <w:t>/</w:t>
      </w:r>
      <w:r>
        <w:rPr>
          <w:rFonts w:hint="eastAsia"/>
          <w:szCs w:val="21"/>
        </w:rPr>
        <w:t>构配件</w:t>
      </w:r>
      <w:r>
        <w:rPr>
          <w:szCs w:val="21"/>
        </w:rPr>
        <w:t>/</w:t>
      </w:r>
      <w:r>
        <w:rPr>
          <w:rFonts w:hint="eastAsia"/>
          <w:szCs w:val="21"/>
        </w:rPr>
        <w:t>设备，如不需要复试的，直接签署同意使用；对按规定需要复试的材料</w:t>
      </w:r>
      <w:r>
        <w:rPr>
          <w:szCs w:val="21"/>
        </w:rPr>
        <w:t>/</w:t>
      </w:r>
      <w:r>
        <w:rPr>
          <w:rFonts w:hint="eastAsia"/>
          <w:szCs w:val="21"/>
        </w:rPr>
        <w:t>构配件，专业监理工程师签署同意进场，并按规定进行见证取样，复试合格后施工单位应再次进行使用报审。</w:t>
      </w:r>
    </w:p>
    <w:p>
      <w:pPr>
        <w:pStyle w:val="6"/>
        <w:tabs>
          <w:tab w:val="left" w:pos="1680"/>
        </w:tabs>
        <w:spacing w:line="400" w:lineRule="exact"/>
        <w:rPr>
          <w:rFonts w:eastAsia="黑体"/>
          <w:sz w:val="24"/>
        </w:rPr>
      </w:pPr>
      <w:r>
        <w:rPr>
          <w:rFonts w:eastAsia="黑体"/>
          <w:sz w:val="24"/>
        </w:rPr>
        <w:t xml:space="preserve">B.1.4  </w:t>
      </w:r>
      <w:r>
        <w:rPr>
          <w:rFonts w:hint="eastAsia" w:eastAsia="黑体"/>
          <w:sz w:val="24"/>
        </w:rPr>
        <w:t>工程质量报验表</w:t>
      </w:r>
    </w:p>
    <w:p>
      <w:pPr>
        <w:pStyle w:val="6"/>
        <w:tabs>
          <w:tab w:val="left" w:pos="1680"/>
        </w:tabs>
        <w:spacing w:line="400" w:lineRule="exact"/>
        <w:ind w:firstLine="405"/>
        <w:rPr>
          <w:szCs w:val="21"/>
        </w:rPr>
      </w:pPr>
      <w:r>
        <w:rPr>
          <w:rFonts w:hint="eastAsia"/>
          <w:szCs w:val="21"/>
        </w:rPr>
        <w:t>本表一般为施工单位报请项目监理机构对隐蔽工程、检验批、分项工程和测量放线的质量进行验收的用表。施工单位需经自检合格并附相应工序和部位的质量检查记录表后，向项目监理机构报验。项目监理机构应审核报验资料的有效性，并通过现场检查进行验证，并将相关抽查记录保留存档。当工程质量不符合要求时，应参照《建筑工程施工质量验收统一标准》（</w:t>
      </w:r>
      <w:r>
        <w:rPr>
          <w:szCs w:val="21"/>
        </w:rPr>
        <w:t>GB50300</w:t>
      </w:r>
      <w:r>
        <w:rPr>
          <w:rFonts w:hint="eastAsia"/>
          <w:szCs w:val="21"/>
        </w:rPr>
        <w:t>）</w:t>
      </w:r>
      <w:r>
        <w:rPr>
          <w:szCs w:val="21"/>
        </w:rPr>
        <w:t>5.0.6</w:t>
      </w:r>
      <w:r>
        <w:rPr>
          <w:rFonts w:hint="eastAsia"/>
          <w:szCs w:val="21"/>
        </w:rPr>
        <w:t>条和</w:t>
      </w:r>
      <w:r>
        <w:rPr>
          <w:szCs w:val="21"/>
        </w:rPr>
        <w:t>5.0.7</w:t>
      </w:r>
      <w:r>
        <w:rPr>
          <w:rFonts w:hint="eastAsia"/>
          <w:szCs w:val="21"/>
        </w:rPr>
        <w:t>条执行。凡验收不合格的，不得进入下道工序施工。</w:t>
      </w:r>
    </w:p>
    <w:p>
      <w:pPr>
        <w:pStyle w:val="6"/>
        <w:tabs>
          <w:tab w:val="left" w:pos="1680"/>
        </w:tabs>
        <w:spacing w:line="400" w:lineRule="exact"/>
        <w:ind w:firstLine="405"/>
        <w:rPr>
          <w:szCs w:val="21"/>
        </w:rPr>
      </w:pPr>
      <w:r>
        <w:rPr>
          <w:rFonts w:hint="eastAsia"/>
          <w:szCs w:val="21"/>
        </w:rPr>
        <w:t>分包单位的报验资料应由施工总承包单位验收合格后向项目监理机构报验。</w:t>
      </w:r>
    </w:p>
    <w:p>
      <w:pPr>
        <w:spacing w:line="400" w:lineRule="exact"/>
        <w:rPr>
          <w:rFonts w:eastAsia="黑体"/>
          <w:sz w:val="24"/>
        </w:rPr>
      </w:pPr>
      <w:r>
        <w:rPr>
          <w:rFonts w:eastAsia="黑体"/>
          <w:sz w:val="24"/>
        </w:rPr>
        <w:t xml:space="preserve">B.1.5  </w:t>
      </w:r>
      <w:r>
        <w:rPr>
          <w:rFonts w:hint="eastAsia" w:eastAsia="黑体"/>
          <w:sz w:val="24"/>
        </w:rPr>
        <w:t>混凝土浇筑报审表</w:t>
      </w:r>
    </w:p>
    <w:p>
      <w:pPr>
        <w:spacing w:line="400" w:lineRule="exact"/>
        <w:rPr>
          <w:szCs w:val="21"/>
        </w:rPr>
      </w:pPr>
      <w:r>
        <w:rPr>
          <w:szCs w:val="21"/>
        </w:rPr>
        <w:t xml:space="preserve">    </w:t>
      </w:r>
      <w:r>
        <w:rPr>
          <w:rFonts w:hint="eastAsia"/>
          <w:szCs w:val="21"/>
        </w:rPr>
        <w:t>本表是某部位混凝土浇筑前的准备工作已就绪，相关的土建、安装工序均已验收合格，在计划浇筑混凝土前向项目监理机构报审用表。项目监理机构应检查将要隐蔽的所有检验批是否均已报验并验收合格；模板支撑是否验收合格；特殊混凝土的施工方案是否审核通过；使用预拌（商品）混凝土的，混凝土生产单位的相关资料是否报项目监理机构审核通过。</w:t>
      </w:r>
    </w:p>
    <w:p>
      <w:pPr>
        <w:spacing w:line="400" w:lineRule="exact"/>
        <w:rPr>
          <w:rFonts w:eastAsia="黑体"/>
          <w:sz w:val="24"/>
        </w:rPr>
      </w:pPr>
      <w:r>
        <w:rPr>
          <w:rFonts w:eastAsia="黑体"/>
          <w:sz w:val="24"/>
        </w:rPr>
        <w:t xml:space="preserve">B.1.6  </w:t>
      </w:r>
      <w:r>
        <w:rPr>
          <w:rFonts w:hint="eastAsia" w:eastAsia="黑体"/>
          <w:sz w:val="24"/>
        </w:rPr>
        <w:t>分部（子分部）工程报验表</w:t>
      </w:r>
    </w:p>
    <w:p>
      <w:pPr>
        <w:spacing w:line="400" w:lineRule="exact"/>
        <w:rPr>
          <w:szCs w:val="21"/>
        </w:rPr>
      </w:pPr>
      <w:r>
        <w:rPr>
          <w:szCs w:val="21"/>
        </w:rPr>
        <w:t xml:space="preserve">    </w:t>
      </w:r>
      <w:r>
        <w:rPr>
          <w:rFonts w:hint="eastAsia"/>
          <w:szCs w:val="21"/>
        </w:rPr>
        <w:t>本表是施工单位在完成分部（子分部）工程的施工，自检合格并整理完成相应质量控制资料后报送项目监理机构进行分部（子分部）验收的用表。施工单位应提前</w:t>
      </w:r>
      <w:r>
        <w:rPr>
          <w:szCs w:val="21"/>
        </w:rPr>
        <w:t>48</w:t>
      </w:r>
      <w:r>
        <w:rPr>
          <w:rFonts w:hint="eastAsia"/>
          <w:szCs w:val="21"/>
        </w:rPr>
        <w:t>小时通知项目监理机构验收。分部（子分部）工程质量验收合格应符合下列条件：</w:t>
      </w:r>
    </w:p>
    <w:p>
      <w:pPr>
        <w:spacing w:line="400" w:lineRule="exact"/>
        <w:ind w:firstLine="424" w:firstLineChars="202"/>
        <w:rPr>
          <w:szCs w:val="21"/>
        </w:rPr>
      </w:pPr>
      <w:r>
        <w:rPr>
          <w:szCs w:val="21"/>
        </w:rPr>
        <w:t>1</w:t>
      </w:r>
      <w:r>
        <w:rPr>
          <w:rFonts w:hint="eastAsia"/>
          <w:szCs w:val="21"/>
        </w:rPr>
        <w:t>、分部（子分部）工程所含分项工程的质量均应验收合格。</w:t>
      </w:r>
    </w:p>
    <w:p>
      <w:pPr>
        <w:spacing w:line="400" w:lineRule="exact"/>
        <w:ind w:firstLine="424" w:firstLineChars="202"/>
        <w:rPr>
          <w:szCs w:val="21"/>
        </w:rPr>
      </w:pPr>
      <w:r>
        <w:rPr>
          <w:szCs w:val="21"/>
        </w:rPr>
        <w:t>2</w:t>
      </w:r>
      <w:r>
        <w:rPr>
          <w:rFonts w:hint="eastAsia"/>
          <w:szCs w:val="21"/>
        </w:rPr>
        <w:t>、质量控制资料应完整。</w:t>
      </w:r>
    </w:p>
    <w:p>
      <w:pPr>
        <w:spacing w:line="400" w:lineRule="exact"/>
        <w:ind w:firstLine="424" w:firstLineChars="202"/>
        <w:rPr>
          <w:szCs w:val="21"/>
        </w:rPr>
      </w:pPr>
      <w:r>
        <w:rPr>
          <w:szCs w:val="21"/>
        </w:rPr>
        <w:t>3</w:t>
      </w:r>
      <w:r>
        <w:rPr>
          <w:rFonts w:hint="eastAsia"/>
          <w:szCs w:val="21"/>
        </w:rPr>
        <w:t>、有关安全、节能、环境保护和主要使用功能的抽样检测结果应符合相应规定。</w:t>
      </w:r>
    </w:p>
    <w:p>
      <w:pPr>
        <w:spacing w:line="400" w:lineRule="exact"/>
        <w:ind w:firstLine="424" w:firstLineChars="202"/>
        <w:rPr>
          <w:szCs w:val="21"/>
        </w:rPr>
      </w:pPr>
      <w:r>
        <w:rPr>
          <w:szCs w:val="21"/>
        </w:rPr>
        <w:t>4</w:t>
      </w:r>
      <w:r>
        <w:rPr>
          <w:rFonts w:hint="eastAsia"/>
          <w:szCs w:val="21"/>
        </w:rPr>
        <w:t>、观感质量验收应符合要求。</w:t>
      </w:r>
    </w:p>
    <w:p>
      <w:pPr>
        <w:spacing w:line="400" w:lineRule="exact"/>
        <w:ind w:firstLine="424" w:firstLineChars="202"/>
        <w:rPr>
          <w:szCs w:val="21"/>
        </w:rPr>
      </w:pPr>
      <w:r>
        <w:rPr>
          <w:rFonts w:hint="eastAsia"/>
          <w:szCs w:val="21"/>
        </w:rPr>
        <w:t>项目监理机构应对分部（子分部）工程质量控制资料、有关抽样检验报告等进行审查，并留存审查记录。</w:t>
      </w:r>
    </w:p>
    <w:p>
      <w:pPr>
        <w:pStyle w:val="6"/>
        <w:tabs>
          <w:tab w:val="left" w:pos="1680"/>
        </w:tabs>
        <w:spacing w:line="400" w:lineRule="exact"/>
        <w:rPr>
          <w:rFonts w:eastAsia="黑体"/>
          <w:sz w:val="24"/>
        </w:rPr>
      </w:pPr>
      <w:r>
        <w:rPr>
          <w:rFonts w:eastAsia="黑体"/>
          <w:sz w:val="24"/>
        </w:rPr>
        <w:t xml:space="preserve">B.1.7  </w:t>
      </w:r>
      <w:r>
        <w:rPr>
          <w:rFonts w:hint="eastAsia" w:eastAsia="黑体"/>
          <w:sz w:val="24"/>
        </w:rPr>
        <w:t>部品部件进场报审表</w:t>
      </w:r>
    </w:p>
    <w:p>
      <w:pPr>
        <w:pStyle w:val="6"/>
        <w:tabs>
          <w:tab w:val="left" w:pos="1680"/>
        </w:tabs>
        <w:spacing w:line="400" w:lineRule="exact"/>
        <w:ind w:firstLine="420" w:firstLineChars="200"/>
        <w:rPr>
          <w:szCs w:val="21"/>
        </w:rPr>
      </w:pPr>
      <w:r>
        <w:rPr>
          <w:rFonts w:hint="eastAsia"/>
          <w:szCs w:val="21"/>
        </w:rPr>
        <w:t>本表为装配式结构工程施工单位向项目监理机构报审部品部件（预制构件）进场的用表。</w:t>
      </w:r>
    </w:p>
    <w:p>
      <w:pPr>
        <w:pStyle w:val="6"/>
        <w:tabs>
          <w:tab w:val="left" w:pos="1680"/>
        </w:tabs>
        <w:spacing w:line="400" w:lineRule="exact"/>
        <w:ind w:firstLine="420" w:firstLineChars="200"/>
        <w:rPr>
          <w:szCs w:val="21"/>
        </w:rPr>
      </w:pPr>
      <w:r>
        <w:rPr>
          <w:rFonts w:hint="eastAsia"/>
          <w:szCs w:val="21"/>
        </w:rPr>
        <w:t>部品部件（预制构件）进场清单是指：本次进场的部品部件（预制构件）的名称、型号、规格、数量等。</w:t>
      </w:r>
    </w:p>
    <w:p>
      <w:pPr>
        <w:pStyle w:val="6"/>
        <w:tabs>
          <w:tab w:val="left" w:pos="1680"/>
        </w:tabs>
        <w:spacing w:line="400" w:lineRule="exact"/>
        <w:ind w:firstLine="420" w:firstLineChars="200"/>
        <w:rPr>
          <w:szCs w:val="21"/>
        </w:rPr>
      </w:pPr>
      <w:r>
        <w:rPr>
          <w:rFonts w:hint="eastAsia"/>
          <w:szCs w:val="21"/>
        </w:rPr>
        <w:t>出厂质量证明文件是指：生产单位提供的出厂合格证、（出厂）质量检验报告等证明资料。</w:t>
      </w:r>
    </w:p>
    <w:p>
      <w:pPr>
        <w:pStyle w:val="6"/>
        <w:tabs>
          <w:tab w:val="left" w:pos="1680"/>
        </w:tabs>
        <w:spacing w:line="400" w:lineRule="exact"/>
        <w:ind w:firstLine="420" w:firstLineChars="200"/>
        <w:rPr>
          <w:szCs w:val="21"/>
        </w:rPr>
      </w:pPr>
      <w:r>
        <w:rPr>
          <w:rFonts w:hint="eastAsia"/>
          <w:szCs w:val="21"/>
        </w:rPr>
        <w:t>专业监理工程师应审查施工单位报审资料的有效性和符合情况，并按规定对进场的预制构件进行检查，留存检查记录；对符合要求的预制构件，签署同意进场使用。</w:t>
      </w:r>
    </w:p>
    <w:p>
      <w:pPr>
        <w:pStyle w:val="6"/>
        <w:tabs>
          <w:tab w:val="left" w:pos="1680"/>
        </w:tabs>
        <w:spacing w:line="400" w:lineRule="exact"/>
        <w:rPr>
          <w:rFonts w:eastAsia="黑体"/>
          <w:sz w:val="24"/>
        </w:rPr>
      </w:pPr>
      <w:r>
        <w:rPr>
          <w:rFonts w:eastAsia="黑体"/>
          <w:sz w:val="24"/>
        </w:rPr>
        <w:t xml:space="preserve">B.1.8   </w:t>
      </w:r>
      <w:r>
        <w:rPr>
          <w:rFonts w:hint="eastAsia" w:eastAsia="黑体"/>
          <w:sz w:val="24"/>
        </w:rPr>
        <w:t>部品部件安装质量报验表</w:t>
      </w:r>
    </w:p>
    <w:p>
      <w:pPr>
        <w:pStyle w:val="6"/>
        <w:tabs>
          <w:tab w:val="left" w:pos="1680"/>
        </w:tabs>
        <w:spacing w:line="400" w:lineRule="exact"/>
        <w:ind w:firstLine="405"/>
        <w:rPr>
          <w:szCs w:val="21"/>
        </w:rPr>
      </w:pPr>
      <w:r>
        <w:rPr>
          <w:rFonts w:hint="eastAsia"/>
          <w:szCs w:val="21"/>
        </w:rPr>
        <w:t>本表为施工单位报请项目监理机构对部品部件（预制构件）安装质量进行验收的用表。</w:t>
      </w:r>
    </w:p>
    <w:p>
      <w:pPr>
        <w:pStyle w:val="6"/>
        <w:tabs>
          <w:tab w:val="left" w:pos="1680"/>
        </w:tabs>
        <w:spacing w:line="400" w:lineRule="exact"/>
        <w:ind w:firstLine="405"/>
        <w:rPr>
          <w:szCs w:val="21"/>
        </w:rPr>
      </w:pPr>
      <w:r>
        <w:rPr>
          <w:rFonts w:hint="eastAsia"/>
          <w:szCs w:val="21"/>
        </w:rPr>
        <w:t>部品部件（预制构件）安装完成后，施工单位需经自检合格并附相应工序和部位的质量检查记录表后，向项目监理机构报验。项目监理机构应审核报验资料的有效性，符合要求后签署同意验收意见，相关资料保留存档。</w:t>
      </w:r>
    </w:p>
    <w:p>
      <w:pPr>
        <w:pStyle w:val="6"/>
        <w:tabs>
          <w:tab w:val="left" w:pos="1680"/>
        </w:tabs>
        <w:spacing w:line="400" w:lineRule="exact"/>
        <w:ind w:firstLine="405"/>
        <w:rPr>
          <w:szCs w:val="21"/>
        </w:rPr>
      </w:pPr>
      <w:r>
        <w:rPr>
          <w:rFonts w:hint="eastAsia"/>
          <w:szCs w:val="21"/>
        </w:rPr>
        <w:t>当工程质量不符合要求时，应参照《建筑工程施工质量验收统一标准》（</w:t>
      </w:r>
      <w:r>
        <w:rPr>
          <w:szCs w:val="21"/>
        </w:rPr>
        <w:t>GB50300</w:t>
      </w:r>
      <w:r>
        <w:rPr>
          <w:rFonts w:hint="eastAsia"/>
          <w:szCs w:val="21"/>
        </w:rPr>
        <w:t>）</w:t>
      </w:r>
      <w:r>
        <w:rPr>
          <w:szCs w:val="21"/>
        </w:rPr>
        <w:t>5.0.6</w:t>
      </w:r>
      <w:r>
        <w:rPr>
          <w:rFonts w:hint="eastAsia"/>
          <w:szCs w:val="21"/>
        </w:rPr>
        <w:t>条和</w:t>
      </w:r>
      <w:r>
        <w:rPr>
          <w:szCs w:val="21"/>
        </w:rPr>
        <w:t>5.0.7</w:t>
      </w:r>
      <w:r>
        <w:rPr>
          <w:rFonts w:hint="eastAsia"/>
          <w:szCs w:val="21"/>
        </w:rPr>
        <w:t>条执行。凡验收不合格的，不得进入下道工序施工。</w:t>
      </w:r>
    </w:p>
    <w:p>
      <w:pPr>
        <w:spacing w:line="400" w:lineRule="exact"/>
        <w:rPr>
          <w:rFonts w:eastAsia="黑体"/>
          <w:sz w:val="24"/>
        </w:rPr>
      </w:pPr>
      <w:r>
        <w:rPr>
          <w:rFonts w:eastAsia="黑体"/>
          <w:sz w:val="24"/>
        </w:rPr>
        <w:t xml:space="preserve">B.2.1  </w:t>
      </w:r>
      <w:r>
        <w:rPr>
          <w:rFonts w:hint="eastAsia" w:eastAsia="黑体"/>
          <w:sz w:val="24"/>
        </w:rPr>
        <w:t>工程计量报审表</w:t>
      </w:r>
    </w:p>
    <w:p>
      <w:pPr>
        <w:spacing w:line="400" w:lineRule="exact"/>
        <w:rPr>
          <w:szCs w:val="21"/>
        </w:rPr>
      </w:pPr>
      <w:r>
        <w:rPr>
          <w:szCs w:val="21"/>
        </w:rPr>
        <w:t xml:space="preserve">    </w:t>
      </w:r>
      <w:r>
        <w:rPr>
          <w:rFonts w:hint="eastAsia"/>
          <w:szCs w:val="21"/>
        </w:rPr>
        <w:t>本表是施工单位报请项目监理机构对已完成的合格工程进行计量审核的用表。除施工合同专用合同条款另有约定外，工程量的计量按月进行，施工单位宜每月</w:t>
      </w:r>
      <w:r>
        <w:rPr>
          <w:szCs w:val="21"/>
        </w:rPr>
        <w:t>25</w:t>
      </w:r>
      <w:r>
        <w:rPr>
          <w:rFonts w:hint="eastAsia"/>
          <w:szCs w:val="21"/>
        </w:rPr>
        <w:t>日向项目监理机构报送上月</w:t>
      </w:r>
      <w:r>
        <w:rPr>
          <w:szCs w:val="21"/>
        </w:rPr>
        <w:t>20</w:t>
      </w:r>
      <w:r>
        <w:rPr>
          <w:rFonts w:hint="eastAsia"/>
          <w:szCs w:val="21"/>
        </w:rPr>
        <w:t>日至本月</w:t>
      </w:r>
      <w:r>
        <w:rPr>
          <w:szCs w:val="21"/>
        </w:rPr>
        <w:t>19</w:t>
      </w:r>
      <w:r>
        <w:rPr>
          <w:rFonts w:hint="eastAsia"/>
          <w:szCs w:val="21"/>
        </w:rPr>
        <w:t>日已完成的工程量报审表，并附相关工程变更通知、计算书等证明资料。项目监理机构按照合同约定的工程量计算规则、图纸及变更指示等进行计量，并留存相关审查记录，不合格工程不予计量。对工程量有异议的，有权要求施工单位提供补充计量资料和共同复核或抽样复测。项目监理机构应在收到《工程计量报审表》的</w:t>
      </w:r>
      <w:r>
        <w:rPr>
          <w:szCs w:val="21"/>
        </w:rPr>
        <w:t>7</w:t>
      </w:r>
      <w:r>
        <w:rPr>
          <w:rFonts w:hint="eastAsia"/>
          <w:szCs w:val="21"/>
        </w:rPr>
        <w:t>天内完成审核工作予以回复。</w:t>
      </w:r>
    </w:p>
    <w:p>
      <w:pPr>
        <w:spacing w:line="400" w:lineRule="exact"/>
        <w:rPr>
          <w:szCs w:val="21"/>
        </w:rPr>
      </w:pPr>
      <w:r>
        <w:rPr>
          <w:rFonts w:eastAsia="黑体"/>
          <w:sz w:val="24"/>
        </w:rPr>
        <w:t xml:space="preserve">B.2.2  </w:t>
      </w:r>
      <w:r>
        <w:rPr>
          <w:rFonts w:hint="eastAsia" w:eastAsia="黑体"/>
          <w:sz w:val="24"/>
        </w:rPr>
        <w:t>费用索赔报审表</w:t>
      </w:r>
    </w:p>
    <w:p>
      <w:pPr>
        <w:spacing w:line="400" w:lineRule="exact"/>
        <w:rPr>
          <w:szCs w:val="21"/>
        </w:rPr>
      </w:pPr>
      <w:r>
        <w:rPr>
          <w:b/>
          <w:bCs/>
          <w:szCs w:val="21"/>
        </w:rPr>
        <w:t xml:space="preserve">   </w:t>
      </w:r>
      <w:r>
        <w:rPr>
          <w:rFonts w:hint="eastAsia"/>
          <w:szCs w:val="21"/>
        </w:rPr>
        <w:t>本表是施工单位报请项目监理机构审核工程费用索赔事项的用表。项目监理机构应根据施工合同的约定，在与建设单位协商后，签署监理审核意见，并留存相关审核记录。证明材料包括：索赔意向书、索赔事项的相关证明材料等。项目监理机构应在收到索赔报审表后</w:t>
      </w:r>
      <w:r>
        <w:rPr>
          <w:szCs w:val="21"/>
        </w:rPr>
        <w:t>14</w:t>
      </w:r>
      <w:r>
        <w:rPr>
          <w:rFonts w:hint="eastAsia"/>
          <w:szCs w:val="21"/>
        </w:rPr>
        <w:t>天内完成审核并报建设单位。建设单位应在项目监理机构收到索赔报审表或有关索赔的进一步证明材料后的</w:t>
      </w:r>
      <w:r>
        <w:rPr>
          <w:szCs w:val="21"/>
        </w:rPr>
        <w:t>28</w:t>
      </w:r>
      <w:r>
        <w:rPr>
          <w:rFonts w:hint="eastAsia"/>
          <w:szCs w:val="21"/>
        </w:rPr>
        <w:t>天内，由项目监理机构向施工单位出具经建设单位签认的索赔处理结果。</w:t>
      </w:r>
    </w:p>
    <w:p>
      <w:pPr>
        <w:spacing w:line="400" w:lineRule="exact"/>
        <w:rPr>
          <w:szCs w:val="21"/>
        </w:rPr>
      </w:pPr>
      <w:r>
        <w:rPr>
          <w:rFonts w:eastAsia="黑体"/>
          <w:sz w:val="24"/>
        </w:rPr>
        <w:t xml:space="preserve">B.2.3  </w:t>
      </w:r>
      <w:r>
        <w:rPr>
          <w:rFonts w:hint="eastAsia" w:eastAsia="黑体"/>
          <w:sz w:val="24"/>
        </w:rPr>
        <w:t>工程款支付报审表</w:t>
      </w:r>
    </w:p>
    <w:p>
      <w:pPr>
        <w:spacing w:line="400" w:lineRule="exact"/>
        <w:ind w:firstLine="420"/>
        <w:rPr>
          <w:szCs w:val="21"/>
        </w:rPr>
      </w:pPr>
      <w:r>
        <w:rPr>
          <w:rFonts w:hint="eastAsia"/>
          <w:szCs w:val="21"/>
        </w:rPr>
        <w:t>本表是施工单位工程预付款、工程进度款、竣工结算款、工程变更费用、索赔费用的支付申请。</w:t>
      </w:r>
    </w:p>
    <w:p>
      <w:pPr>
        <w:spacing w:line="400" w:lineRule="exact"/>
        <w:ind w:firstLine="420"/>
        <w:rPr>
          <w:szCs w:val="21"/>
        </w:rPr>
      </w:pPr>
      <w:r>
        <w:rPr>
          <w:rFonts w:hint="eastAsia"/>
          <w:szCs w:val="21"/>
        </w:rPr>
        <w:t>施工单位应按施工合同约定提出工程款支付报审表，并附工程款支付证明材料。</w:t>
      </w:r>
    </w:p>
    <w:p>
      <w:pPr>
        <w:spacing w:line="400" w:lineRule="exact"/>
        <w:ind w:firstLine="420"/>
        <w:rPr>
          <w:szCs w:val="21"/>
        </w:rPr>
      </w:pPr>
      <w:r>
        <w:rPr>
          <w:rFonts w:hint="eastAsia"/>
          <w:szCs w:val="21"/>
        </w:rPr>
        <w:t>项目监理机构应按施工合同约定对施工单位报审的相关材料进行审查，并留存相关审查记录。</w:t>
      </w:r>
    </w:p>
    <w:p>
      <w:pPr>
        <w:spacing w:line="400" w:lineRule="exact"/>
        <w:ind w:firstLine="420"/>
        <w:rPr>
          <w:szCs w:val="21"/>
        </w:rPr>
      </w:pPr>
      <w:r>
        <w:rPr>
          <w:rFonts w:hint="eastAsia"/>
          <w:szCs w:val="21"/>
        </w:rPr>
        <w:t>项目监理机构应在收到进度款支付报审表及相关资料后的</w:t>
      </w:r>
      <w:r>
        <w:rPr>
          <w:szCs w:val="21"/>
        </w:rPr>
        <w:t>7</w:t>
      </w:r>
      <w:r>
        <w:rPr>
          <w:rFonts w:hint="eastAsia"/>
          <w:szCs w:val="21"/>
        </w:rPr>
        <w:t>天内完成审核工作并报建设单位。建设单位应在监理机构收到进度付款报审表或有关付款申请的进一步证明材料后的</w:t>
      </w:r>
      <w:r>
        <w:rPr>
          <w:szCs w:val="21"/>
        </w:rPr>
        <w:t>14</w:t>
      </w:r>
      <w:r>
        <w:rPr>
          <w:rFonts w:hint="eastAsia"/>
          <w:szCs w:val="21"/>
        </w:rPr>
        <w:t>天内，完成审批工作并由项目监理机构签发进度款支付证书。</w:t>
      </w:r>
    </w:p>
    <w:p>
      <w:pPr>
        <w:spacing w:line="400" w:lineRule="exact"/>
        <w:rPr>
          <w:rFonts w:eastAsia="黑体"/>
          <w:sz w:val="24"/>
        </w:rPr>
      </w:pPr>
      <w:r>
        <w:rPr>
          <w:rFonts w:eastAsia="黑体"/>
          <w:sz w:val="24"/>
        </w:rPr>
        <w:t xml:space="preserve">B.3.1  </w:t>
      </w:r>
      <w:r>
        <w:rPr>
          <w:rFonts w:hint="eastAsia" w:eastAsia="黑体"/>
          <w:sz w:val="24"/>
        </w:rPr>
        <w:t>施工进度报审表</w:t>
      </w:r>
      <w:r>
        <w:rPr>
          <w:rFonts w:eastAsia="黑体"/>
          <w:sz w:val="24"/>
        </w:rPr>
        <w:t xml:space="preserve"> </w:t>
      </w:r>
    </w:p>
    <w:p>
      <w:pPr>
        <w:spacing w:line="400" w:lineRule="exact"/>
        <w:rPr>
          <w:szCs w:val="21"/>
        </w:rPr>
      </w:pPr>
      <w:r>
        <w:rPr>
          <w:b/>
          <w:bCs/>
          <w:szCs w:val="21"/>
        </w:rPr>
        <w:t xml:space="preserve">    </w:t>
      </w:r>
      <w:r>
        <w:rPr>
          <w:rFonts w:hint="eastAsia"/>
          <w:szCs w:val="21"/>
        </w:rPr>
        <w:t>本表是施工单位向项目监理机构报审工程总进度计划、月进度计划和其他阶段性进度计划及相关措施的用表。项目监理机构应要求施工单位提交与进度计划有关的相关措施，如材料设备供应计划、劳动力使用计划、施工机械使用计划等。项目监理机构应审查下列基本内容：</w:t>
      </w:r>
    </w:p>
    <w:p>
      <w:pPr>
        <w:numPr>
          <w:ilvl w:val="0"/>
          <w:numId w:val="6"/>
        </w:numPr>
        <w:spacing w:line="400" w:lineRule="exact"/>
        <w:ind w:firstLine="424" w:firstLineChars="202"/>
        <w:rPr>
          <w:szCs w:val="21"/>
        </w:rPr>
      </w:pPr>
      <w:r>
        <w:rPr>
          <w:rFonts w:hint="eastAsia"/>
          <w:szCs w:val="21"/>
        </w:rPr>
        <w:t>施工进度计划应符合施工合同中约定的工期。</w:t>
      </w:r>
    </w:p>
    <w:p>
      <w:pPr>
        <w:numPr>
          <w:ilvl w:val="0"/>
          <w:numId w:val="6"/>
        </w:numPr>
        <w:spacing w:line="400" w:lineRule="exact"/>
        <w:ind w:firstLine="424" w:firstLineChars="202"/>
        <w:rPr>
          <w:szCs w:val="21"/>
        </w:rPr>
      </w:pPr>
      <w:r>
        <w:rPr>
          <w:rFonts w:hint="eastAsia"/>
          <w:szCs w:val="21"/>
        </w:rPr>
        <w:t>施工进度计划中主要施工项目无遗漏，应满足分批投入试运、分批动用的需要，阶段性施工进度计划应满足总进度控制目标的要求。</w:t>
      </w:r>
    </w:p>
    <w:p>
      <w:pPr>
        <w:numPr>
          <w:ilvl w:val="0"/>
          <w:numId w:val="6"/>
        </w:numPr>
        <w:spacing w:line="400" w:lineRule="exact"/>
        <w:ind w:firstLine="424" w:firstLineChars="202"/>
        <w:rPr>
          <w:szCs w:val="21"/>
        </w:rPr>
      </w:pPr>
      <w:r>
        <w:rPr>
          <w:rFonts w:hint="eastAsia"/>
          <w:szCs w:val="21"/>
        </w:rPr>
        <w:t>施工顺序的安排符合施工工艺要求。</w:t>
      </w:r>
    </w:p>
    <w:p>
      <w:pPr>
        <w:numPr>
          <w:ilvl w:val="0"/>
          <w:numId w:val="6"/>
        </w:numPr>
        <w:spacing w:line="400" w:lineRule="exact"/>
        <w:ind w:firstLine="424" w:firstLineChars="202"/>
        <w:rPr>
          <w:szCs w:val="21"/>
        </w:rPr>
      </w:pPr>
      <w:r>
        <w:rPr>
          <w:rFonts w:hint="eastAsia"/>
          <w:szCs w:val="21"/>
        </w:rPr>
        <w:t>施工人员、工程材料、施工机械等资源供应计划应满足施工进度计划的需要。</w:t>
      </w:r>
    </w:p>
    <w:p>
      <w:pPr>
        <w:numPr>
          <w:ilvl w:val="0"/>
          <w:numId w:val="6"/>
        </w:numPr>
        <w:spacing w:line="400" w:lineRule="exact"/>
        <w:ind w:firstLine="424" w:firstLineChars="202"/>
        <w:rPr>
          <w:szCs w:val="21"/>
        </w:rPr>
      </w:pPr>
      <w:r>
        <w:rPr>
          <w:rFonts w:hint="eastAsia"/>
          <w:szCs w:val="21"/>
        </w:rPr>
        <w:t>施工进度计划应符合建设单位提供的资金、施工图纸、施工场地、物资等施工条件。</w:t>
      </w:r>
    </w:p>
    <w:p>
      <w:pPr>
        <w:spacing w:line="400" w:lineRule="exact"/>
        <w:rPr>
          <w:b/>
          <w:bCs/>
          <w:szCs w:val="21"/>
        </w:rPr>
      </w:pPr>
      <w:r>
        <w:rPr>
          <w:rFonts w:eastAsia="黑体"/>
          <w:sz w:val="24"/>
        </w:rPr>
        <w:t xml:space="preserve">B.3.2  </w:t>
      </w:r>
      <w:r>
        <w:rPr>
          <w:rFonts w:hint="eastAsia" w:eastAsia="黑体"/>
          <w:sz w:val="24"/>
        </w:rPr>
        <w:t>工程临时</w:t>
      </w:r>
      <w:r>
        <w:rPr>
          <w:rFonts w:eastAsia="黑体"/>
          <w:sz w:val="24"/>
        </w:rPr>
        <w:t>/</w:t>
      </w:r>
      <w:r>
        <w:rPr>
          <w:rFonts w:hint="eastAsia" w:eastAsia="黑体"/>
          <w:sz w:val="24"/>
        </w:rPr>
        <w:t>最终延期报审表</w:t>
      </w:r>
    </w:p>
    <w:p>
      <w:pPr>
        <w:spacing w:line="400" w:lineRule="exact"/>
        <w:rPr>
          <w:szCs w:val="21"/>
        </w:rPr>
      </w:pPr>
      <w:r>
        <w:rPr>
          <w:szCs w:val="21"/>
        </w:rPr>
        <w:t xml:space="preserve">    </w:t>
      </w:r>
      <w:r>
        <w:rPr>
          <w:rFonts w:hint="eastAsia"/>
          <w:szCs w:val="21"/>
        </w:rPr>
        <w:t>本表是施工单位依据施工合同约定，发生非施工单位原因造成的持续性影响工期事件时向项目监理机构就临时延长合同工期、最终延长合同工期提出申请的用表。造成工程延期的非施工单位原因有：</w:t>
      </w:r>
    </w:p>
    <w:p>
      <w:pPr>
        <w:numPr>
          <w:ilvl w:val="0"/>
          <w:numId w:val="7"/>
        </w:numPr>
        <w:spacing w:line="400" w:lineRule="exact"/>
        <w:ind w:firstLine="424" w:firstLineChars="202"/>
        <w:rPr>
          <w:szCs w:val="21"/>
        </w:rPr>
      </w:pPr>
      <w:r>
        <w:rPr>
          <w:rFonts w:hint="eastAsia"/>
          <w:szCs w:val="21"/>
        </w:rPr>
        <w:t>建设单位未能按施工合同约定提供图纸或提供的图纸不符合合同约定。</w:t>
      </w:r>
    </w:p>
    <w:p>
      <w:pPr>
        <w:numPr>
          <w:ilvl w:val="0"/>
          <w:numId w:val="7"/>
        </w:numPr>
        <w:spacing w:line="400" w:lineRule="exact"/>
        <w:ind w:firstLine="424" w:firstLineChars="202"/>
        <w:rPr>
          <w:szCs w:val="21"/>
        </w:rPr>
      </w:pPr>
      <w:r>
        <w:rPr>
          <w:rFonts w:hint="eastAsia"/>
          <w:szCs w:val="21"/>
        </w:rPr>
        <w:t>建设单位提供的测量基准点、基准线和水准点及其书面资料存在错误或疏漏。</w:t>
      </w:r>
    </w:p>
    <w:p>
      <w:pPr>
        <w:numPr>
          <w:ilvl w:val="0"/>
          <w:numId w:val="7"/>
        </w:numPr>
        <w:spacing w:line="400" w:lineRule="exact"/>
        <w:ind w:firstLine="424" w:firstLineChars="202"/>
        <w:rPr>
          <w:szCs w:val="21"/>
        </w:rPr>
      </w:pPr>
      <w:r>
        <w:rPr>
          <w:rFonts w:hint="eastAsia"/>
          <w:szCs w:val="21"/>
        </w:rPr>
        <w:t>建设单位未能按施工合同规定提供施工场地、施工条件、基础资料、许可、批准等开工条件。</w:t>
      </w:r>
    </w:p>
    <w:p>
      <w:pPr>
        <w:numPr>
          <w:ilvl w:val="0"/>
          <w:numId w:val="7"/>
        </w:numPr>
        <w:spacing w:line="400" w:lineRule="exact"/>
        <w:ind w:firstLine="424" w:firstLineChars="202"/>
        <w:rPr>
          <w:szCs w:val="21"/>
        </w:rPr>
      </w:pPr>
      <w:r>
        <w:rPr>
          <w:rFonts w:hint="eastAsia"/>
          <w:szCs w:val="21"/>
        </w:rPr>
        <w:t>建设单位未能在计划开工日期之日起</w:t>
      </w:r>
      <w:r>
        <w:rPr>
          <w:szCs w:val="21"/>
        </w:rPr>
        <w:t>7</w:t>
      </w:r>
      <w:r>
        <w:rPr>
          <w:rFonts w:hint="eastAsia"/>
          <w:szCs w:val="21"/>
        </w:rPr>
        <w:t>天内批复开工报审或下达开工通知。</w:t>
      </w:r>
    </w:p>
    <w:p>
      <w:pPr>
        <w:numPr>
          <w:ilvl w:val="0"/>
          <w:numId w:val="7"/>
        </w:numPr>
        <w:spacing w:line="400" w:lineRule="exact"/>
        <w:ind w:firstLine="424" w:firstLineChars="202"/>
        <w:rPr>
          <w:szCs w:val="21"/>
        </w:rPr>
      </w:pPr>
      <w:r>
        <w:rPr>
          <w:rFonts w:hint="eastAsia"/>
          <w:szCs w:val="21"/>
        </w:rPr>
        <w:t>建设单位未能按施工合同约定日期支付工程预付款、进度款或竣工结算款。</w:t>
      </w:r>
    </w:p>
    <w:p>
      <w:pPr>
        <w:numPr>
          <w:ilvl w:val="0"/>
          <w:numId w:val="7"/>
        </w:numPr>
        <w:spacing w:line="400" w:lineRule="exact"/>
        <w:ind w:firstLine="424" w:firstLineChars="202"/>
        <w:rPr>
          <w:szCs w:val="21"/>
        </w:rPr>
      </w:pPr>
      <w:r>
        <w:rPr>
          <w:rFonts w:hint="eastAsia"/>
          <w:szCs w:val="21"/>
        </w:rPr>
        <w:t>项目监理机构未按合同约定发出指示、核准等文件。</w:t>
      </w:r>
    </w:p>
    <w:p>
      <w:pPr>
        <w:numPr>
          <w:ilvl w:val="0"/>
          <w:numId w:val="7"/>
        </w:numPr>
        <w:spacing w:line="400" w:lineRule="exact"/>
        <w:ind w:firstLine="424" w:firstLineChars="202"/>
        <w:rPr>
          <w:szCs w:val="21"/>
        </w:rPr>
      </w:pPr>
      <w:r>
        <w:rPr>
          <w:rFonts w:hint="eastAsia"/>
          <w:szCs w:val="21"/>
        </w:rPr>
        <w:t>发生不可抗力事件。</w:t>
      </w:r>
    </w:p>
    <w:p>
      <w:pPr>
        <w:numPr>
          <w:ilvl w:val="0"/>
          <w:numId w:val="7"/>
        </w:numPr>
        <w:spacing w:line="400" w:lineRule="exact"/>
        <w:ind w:firstLine="424" w:firstLineChars="202"/>
        <w:rPr>
          <w:szCs w:val="21"/>
        </w:rPr>
      </w:pPr>
      <w:r>
        <w:rPr>
          <w:rFonts w:hint="eastAsia"/>
          <w:szCs w:val="21"/>
        </w:rPr>
        <w:t>施工合同专用合同条款中约定的其他情形。</w:t>
      </w:r>
    </w:p>
    <w:p>
      <w:pPr>
        <w:spacing w:line="400" w:lineRule="exact"/>
        <w:ind w:firstLine="420" w:firstLineChars="200"/>
        <w:rPr>
          <w:szCs w:val="21"/>
        </w:rPr>
      </w:pPr>
      <w:r>
        <w:rPr>
          <w:rFonts w:hint="eastAsia"/>
          <w:szCs w:val="21"/>
        </w:rPr>
        <w:t>施工单位在报审时应附工程延期的依据、工期计算、申请延长竣工日期等证明资料。项目监理机构应根据相关规定和施工合同的约定，对工程延期证明材料等进行审查，留存相关审查记录，并与建设单位、施工单位协商后提出工程延长工期天数的审核意见，报建设单位审批。如不同意延期的，应说明理由。施工单位须在施工合同约定的期限内提出工程延期的申请，项目监理机构、建设单位亦应在施工合同约定的期限内予以回复审核、提出审批意见。</w:t>
      </w:r>
    </w:p>
    <w:p>
      <w:pPr>
        <w:spacing w:line="400" w:lineRule="exact"/>
        <w:rPr>
          <w:rFonts w:eastAsia="黑体"/>
          <w:sz w:val="24"/>
        </w:rPr>
      </w:pPr>
      <w:r>
        <w:rPr>
          <w:rFonts w:eastAsia="黑体"/>
          <w:sz w:val="24"/>
        </w:rPr>
        <w:t xml:space="preserve">B.4.1  </w:t>
      </w:r>
      <w:r>
        <w:rPr>
          <w:rFonts w:hint="eastAsia" w:eastAsia="黑体"/>
          <w:sz w:val="24"/>
        </w:rPr>
        <w:t>施工起重机械设备安装</w:t>
      </w:r>
      <w:r>
        <w:rPr>
          <w:rFonts w:eastAsia="黑体"/>
          <w:sz w:val="24"/>
        </w:rPr>
        <w:t>/</w:t>
      </w:r>
      <w:r>
        <w:rPr>
          <w:rFonts w:hint="eastAsia" w:eastAsia="黑体"/>
          <w:sz w:val="24"/>
        </w:rPr>
        <w:t>使用</w:t>
      </w:r>
      <w:r>
        <w:rPr>
          <w:rFonts w:eastAsia="黑体"/>
          <w:sz w:val="24"/>
        </w:rPr>
        <w:t>/</w:t>
      </w:r>
      <w:r>
        <w:rPr>
          <w:rFonts w:hint="eastAsia" w:eastAsia="黑体"/>
          <w:sz w:val="24"/>
        </w:rPr>
        <w:t>拆卸报审表</w:t>
      </w:r>
    </w:p>
    <w:p>
      <w:pPr>
        <w:spacing w:line="400" w:lineRule="exact"/>
        <w:ind w:firstLine="420"/>
        <w:rPr>
          <w:szCs w:val="21"/>
        </w:rPr>
      </w:pPr>
      <w:r>
        <w:rPr>
          <w:rFonts w:hint="eastAsia"/>
          <w:szCs w:val="21"/>
        </w:rPr>
        <w:t>本表是施工单位向项目监理机构报审用于本工程施工起重机械设备（塔吊、附墙电梯、整体提升式脚手架、滑模等自升式架设设施等）安装</w:t>
      </w:r>
      <w:r>
        <w:rPr>
          <w:szCs w:val="21"/>
        </w:rPr>
        <w:t>/</w:t>
      </w:r>
      <w:r>
        <w:rPr>
          <w:rFonts w:hint="eastAsia"/>
          <w:szCs w:val="21"/>
        </w:rPr>
        <w:t>使用</w:t>
      </w:r>
      <w:r>
        <w:rPr>
          <w:szCs w:val="21"/>
        </w:rPr>
        <w:t>/</w:t>
      </w:r>
      <w:r>
        <w:rPr>
          <w:rFonts w:hint="eastAsia"/>
          <w:szCs w:val="21"/>
        </w:rPr>
        <w:t>拆卸的专项用表。</w:t>
      </w:r>
    </w:p>
    <w:p>
      <w:pPr>
        <w:spacing w:line="400" w:lineRule="exact"/>
        <w:ind w:firstLine="420"/>
        <w:rPr>
          <w:szCs w:val="21"/>
        </w:rPr>
      </w:pPr>
      <w:r>
        <w:rPr>
          <w:rFonts w:hint="eastAsia"/>
          <w:szCs w:val="21"/>
        </w:rPr>
        <w:t>按原建设部《建筑起重机械安全监督管理规定》（建设部</w:t>
      </w:r>
      <w:r>
        <w:rPr>
          <w:szCs w:val="21"/>
        </w:rPr>
        <w:t>166</w:t>
      </w:r>
      <w:r>
        <w:rPr>
          <w:rFonts w:hint="eastAsia"/>
          <w:szCs w:val="21"/>
        </w:rPr>
        <w:t>号令）中的有关规定，要求监理单位核查设备的合格证，核查专业安装、拆卸单位的资质和人员的资格，审核设备安装、拆卸方案，核查第三方专业检测单位的资质、检测人员的资格和检测报告，核查由施工单位、安装单位、设备租赁单位、检测单位参加并签字盖章的验收合格证明，核查政府有关部门同意登记备案的证明，审查工程起重机械设备操作和维护保养制度，核查设备操作人员的上岗资格等。施工单位在施工起重机械设备安装前、安装完毕使用前、使用结束拆卸前三个时段应分别进行报审。施工单位每次报审应附本表中所列的附件资料，项目监理机构应对所附资料进行核实、审查和备案。</w:t>
      </w:r>
    </w:p>
    <w:p>
      <w:pPr>
        <w:spacing w:line="400" w:lineRule="exact"/>
        <w:ind w:firstLine="420"/>
        <w:rPr>
          <w:szCs w:val="21"/>
        </w:rPr>
      </w:pPr>
      <w:r>
        <w:rPr>
          <w:rFonts w:hint="eastAsia"/>
          <w:szCs w:val="21"/>
        </w:rPr>
        <w:t>施工起重机械设备的顶升、附着，施工单位应参照本报审表报审。</w:t>
      </w:r>
    </w:p>
    <w:p>
      <w:pPr>
        <w:spacing w:line="400" w:lineRule="exact"/>
        <w:rPr>
          <w:rFonts w:eastAsia="黑体"/>
          <w:sz w:val="24"/>
        </w:rPr>
      </w:pPr>
      <w:r>
        <w:rPr>
          <w:rFonts w:eastAsia="黑体"/>
          <w:sz w:val="24"/>
        </w:rPr>
        <w:t xml:space="preserve">B.4.2  </w:t>
      </w:r>
      <w:r>
        <w:rPr>
          <w:rFonts w:hint="eastAsia" w:eastAsia="黑体"/>
          <w:sz w:val="24"/>
        </w:rPr>
        <w:t>危大工程验收告知单</w:t>
      </w:r>
    </w:p>
    <w:p>
      <w:pPr>
        <w:spacing w:line="400" w:lineRule="exact"/>
        <w:ind w:firstLine="420"/>
        <w:rPr>
          <w:szCs w:val="21"/>
        </w:rPr>
      </w:pPr>
      <w:r>
        <w:rPr>
          <w:rFonts w:hint="eastAsia"/>
          <w:szCs w:val="21"/>
        </w:rPr>
        <w:t>根据《危险性较大的分部分项工程安全管理规定》，项目监理机构应参与危大工程验收。对于需要验收的危大工程，验收前，施工单位应使用本告知单提前通知项目监理机构，项目监理机构收到本告知单后，在约定时间内参与验收。</w:t>
      </w:r>
    </w:p>
    <w:p>
      <w:pPr>
        <w:spacing w:line="400" w:lineRule="exact"/>
        <w:rPr>
          <w:rFonts w:eastAsia="黑体"/>
          <w:sz w:val="24"/>
        </w:rPr>
      </w:pPr>
      <w:r>
        <w:rPr>
          <w:rFonts w:eastAsia="黑体"/>
          <w:bCs/>
          <w:sz w:val="24"/>
        </w:rPr>
        <w:t xml:space="preserve">B.5.1  </w:t>
      </w:r>
      <w:r>
        <w:rPr>
          <w:rFonts w:hint="eastAsia" w:eastAsia="黑体"/>
          <w:bCs/>
          <w:sz w:val="24"/>
        </w:rPr>
        <w:t>监理通知回复单</w:t>
      </w:r>
      <w:r>
        <w:rPr>
          <w:rFonts w:hint="eastAsia" w:eastAsia="黑体"/>
          <w:sz w:val="24"/>
        </w:rPr>
        <w:t>（</w:t>
      </w:r>
      <w:r>
        <w:rPr>
          <w:rFonts w:eastAsia="黑体"/>
          <w:sz w:val="24"/>
        </w:rPr>
        <w:t xml:space="preserve">      </w:t>
      </w:r>
      <w:r>
        <w:rPr>
          <w:rFonts w:hint="eastAsia" w:eastAsia="黑体"/>
          <w:sz w:val="24"/>
        </w:rPr>
        <w:t>类）</w:t>
      </w:r>
    </w:p>
    <w:p>
      <w:pPr>
        <w:spacing w:line="400" w:lineRule="exact"/>
        <w:rPr>
          <w:szCs w:val="21"/>
        </w:rPr>
      </w:pPr>
      <w:r>
        <w:rPr>
          <w:b/>
          <w:bCs/>
          <w:szCs w:val="21"/>
        </w:rPr>
        <w:t xml:space="preserve">    </w:t>
      </w:r>
      <w:r>
        <w:rPr>
          <w:rFonts w:hint="eastAsia"/>
          <w:szCs w:val="21"/>
        </w:rPr>
        <w:t>本表是施工单位在收到</w:t>
      </w:r>
      <w:r>
        <w:rPr>
          <w:szCs w:val="21"/>
        </w:rPr>
        <w:t>“A.0.10</w:t>
      </w:r>
      <w:r>
        <w:rPr>
          <w:rFonts w:hint="eastAsia"/>
          <w:szCs w:val="21"/>
        </w:rPr>
        <w:t>监理通知单</w:t>
      </w:r>
      <w:r>
        <w:rPr>
          <w:szCs w:val="21"/>
        </w:rPr>
        <w:t>”</w:t>
      </w:r>
      <w:r>
        <w:rPr>
          <w:rFonts w:hint="eastAsia"/>
          <w:szCs w:val="21"/>
        </w:rPr>
        <w:t>后，根据通知要求在规定时间内完成相关工作，自查符合要求后报请项目监理机构进行复查的用表，通知回复单中应附整改完成后的相关资料（如：图片）作为附件。项目监理机构应及时核查、记录并签署复查意见。</w:t>
      </w:r>
    </w:p>
    <w:p>
      <w:pPr>
        <w:spacing w:line="400" w:lineRule="exact"/>
        <w:rPr>
          <w:rFonts w:eastAsia="黑体"/>
          <w:bCs/>
          <w:sz w:val="24"/>
        </w:rPr>
      </w:pPr>
      <w:r>
        <w:rPr>
          <w:rFonts w:eastAsia="黑体"/>
          <w:bCs/>
          <w:sz w:val="24"/>
        </w:rPr>
        <w:t xml:space="preserve">B.5.2  </w:t>
      </w:r>
      <w:r>
        <w:rPr>
          <w:rFonts w:hint="eastAsia" w:eastAsia="黑体"/>
          <w:bCs/>
          <w:sz w:val="24"/>
        </w:rPr>
        <w:t>工程复工报审表</w:t>
      </w:r>
    </w:p>
    <w:p>
      <w:pPr>
        <w:spacing w:line="400" w:lineRule="exact"/>
        <w:rPr>
          <w:szCs w:val="21"/>
        </w:rPr>
      </w:pPr>
      <w:r>
        <w:rPr>
          <w:b/>
          <w:bCs/>
          <w:szCs w:val="21"/>
        </w:rPr>
        <w:t xml:space="preserve">   </w:t>
      </w:r>
      <w:r>
        <w:rPr>
          <w:rFonts w:hint="eastAsia"/>
          <w:szCs w:val="21"/>
        </w:rPr>
        <w:t>本表是工程暂停后，当停工原因消失，施工单位准备恢复施工，向项目监理机构申请复工的用表。工程复工报审需提供相关证明材料，必要时，还需提供工程恢复施工的安全措施。项目监理机构应及时予以核查、评估，提出审核意见报建设单位审批。</w:t>
      </w:r>
    </w:p>
    <w:p>
      <w:pPr>
        <w:spacing w:line="400" w:lineRule="exact"/>
        <w:rPr>
          <w:szCs w:val="21"/>
        </w:rPr>
      </w:pPr>
      <w:r>
        <w:rPr>
          <w:rFonts w:eastAsia="黑体"/>
          <w:bCs/>
          <w:sz w:val="24"/>
        </w:rPr>
        <w:t xml:space="preserve">B.5.3  </w:t>
      </w:r>
      <w:r>
        <w:rPr>
          <w:rFonts w:hint="eastAsia" w:eastAsia="黑体"/>
          <w:bCs/>
          <w:sz w:val="24"/>
        </w:rPr>
        <w:t>单位工程竣工验收报审表</w:t>
      </w:r>
    </w:p>
    <w:p>
      <w:pPr>
        <w:spacing w:line="400" w:lineRule="exact"/>
        <w:rPr>
          <w:szCs w:val="21"/>
        </w:rPr>
      </w:pPr>
      <w:r>
        <w:rPr>
          <w:b/>
          <w:bCs/>
          <w:szCs w:val="21"/>
        </w:rPr>
        <w:t xml:space="preserve">    </w:t>
      </w:r>
      <w:r>
        <w:rPr>
          <w:rFonts w:hint="eastAsia"/>
          <w:szCs w:val="21"/>
        </w:rPr>
        <w:t>本表是施工单位已按施工合同约定，完成设计文件所要求的施工内容，自检符合竣工验收条件后，向项目监理机构和建设单位提出竣工验收申请的用表。工程具备以下条件的，施工单位可以申请竣工验收：</w:t>
      </w:r>
    </w:p>
    <w:p>
      <w:pPr>
        <w:numPr>
          <w:ilvl w:val="0"/>
          <w:numId w:val="8"/>
        </w:numPr>
        <w:spacing w:line="400" w:lineRule="exact"/>
        <w:ind w:firstLine="424" w:firstLineChars="202"/>
        <w:rPr>
          <w:szCs w:val="21"/>
        </w:rPr>
      </w:pPr>
      <w:r>
        <w:rPr>
          <w:rFonts w:hint="eastAsia"/>
          <w:szCs w:val="21"/>
        </w:rPr>
        <w:t>除建设单位同意的甩项工作和缺陷修补工作外，施工合同范围内的全部工程以及有关工作，包括合同要求的试验，试运行以及检验均已完成，并符合施工合同要求。</w:t>
      </w:r>
    </w:p>
    <w:p>
      <w:pPr>
        <w:numPr>
          <w:ilvl w:val="0"/>
          <w:numId w:val="8"/>
        </w:numPr>
        <w:spacing w:line="400" w:lineRule="exact"/>
        <w:ind w:firstLine="424" w:firstLineChars="202"/>
        <w:rPr>
          <w:szCs w:val="21"/>
        </w:rPr>
      </w:pPr>
      <w:r>
        <w:rPr>
          <w:rFonts w:hint="eastAsia"/>
          <w:szCs w:val="21"/>
        </w:rPr>
        <w:t>已按施工合同约定编制了甩项工作和缺陷修补工作清单以及相应的施工计划。</w:t>
      </w:r>
    </w:p>
    <w:p>
      <w:pPr>
        <w:numPr>
          <w:ilvl w:val="0"/>
          <w:numId w:val="8"/>
        </w:numPr>
        <w:spacing w:line="400" w:lineRule="exact"/>
        <w:ind w:firstLine="424" w:firstLineChars="202"/>
        <w:rPr>
          <w:szCs w:val="21"/>
        </w:rPr>
      </w:pPr>
      <w:r>
        <w:rPr>
          <w:rFonts w:hint="eastAsia"/>
          <w:szCs w:val="21"/>
        </w:rPr>
        <w:t>已按合同约定的内容和份数备齐竣工资料。</w:t>
      </w:r>
    </w:p>
    <w:p>
      <w:pPr>
        <w:spacing w:line="400" w:lineRule="exact"/>
        <w:ind w:firstLine="422" w:firstLineChars="201"/>
        <w:rPr>
          <w:szCs w:val="21"/>
        </w:rPr>
      </w:pPr>
      <w:r>
        <w:rPr>
          <w:rFonts w:hint="eastAsia"/>
          <w:szCs w:val="21"/>
        </w:rPr>
        <w:t>项目监理机构收到单位工程竣工验收报审表后，应及时组织相关参建单位进行工程竣工预验收。存在问题的，应要求施工单位及时整改；合格的，总监理工程师应在收到本报审表后</w:t>
      </w:r>
      <w:r>
        <w:rPr>
          <w:szCs w:val="21"/>
        </w:rPr>
        <w:t>14</w:t>
      </w:r>
      <w:r>
        <w:rPr>
          <w:rFonts w:hint="eastAsia"/>
          <w:szCs w:val="21"/>
        </w:rPr>
        <w:t>天内签认单位工程竣工验收报审表，报请建设单位组织竣工验收，或要求施工单位整改后重新报审。</w:t>
      </w:r>
    </w:p>
    <w:p>
      <w:pPr>
        <w:spacing w:line="400" w:lineRule="exact"/>
        <w:rPr>
          <w:rFonts w:eastAsia="黑体"/>
          <w:sz w:val="24"/>
        </w:rPr>
      </w:pPr>
      <w:r>
        <w:rPr>
          <w:rFonts w:eastAsia="黑体"/>
          <w:bCs/>
          <w:sz w:val="24"/>
        </w:rPr>
        <w:t xml:space="preserve">B.5.4  </w:t>
      </w:r>
      <w:r>
        <w:rPr>
          <w:rFonts w:hint="eastAsia" w:eastAsia="黑体"/>
          <w:bCs/>
          <w:sz w:val="24"/>
        </w:rPr>
        <w:t>施工单位通用报审表</w:t>
      </w:r>
    </w:p>
    <w:p>
      <w:pPr>
        <w:spacing w:line="400" w:lineRule="exact"/>
        <w:ind w:firstLine="420"/>
        <w:rPr>
          <w:szCs w:val="21"/>
        </w:rPr>
      </w:pPr>
      <w:r>
        <w:rPr>
          <w:rFonts w:hint="eastAsia"/>
          <w:szCs w:val="21"/>
        </w:rPr>
        <w:t>本表是施工单位向项目监理机构报审</w:t>
      </w:r>
      <w:r>
        <w:rPr>
          <w:szCs w:val="21"/>
        </w:rPr>
        <w:t>B</w:t>
      </w:r>
      <w:r>
        <w:rPr>
          <w:rFonts w:hint="eastAsia"/>
          <w:szCs w:val="21"/>
        </w:rPr>
        <w:t>类表中其他用表所未能包括的事项的用表。</w:t>
      </w:r>
    </w:p>
    <w:p>
      <w:pPr>
        <w:spacing w:line="400" w:lineRule="exact"/>
        <w:rPr>
          <w:rFonts w:eastAsia="黑体"/>
          <w:bCs/>
          <w:sz w:val="24"/>
        </w:rPr>
      </w:pPr>
      <w:r>
        <w:rPr>
          <w:rFonts w:eastAsia="黑体"/>
          <w:bCs/>
          <w:sz w:val="24"/>
        </w:rPr>
        <w:t xml:space="preserve">B.5.5  </w:t>
      </w:r>
      <w:r>
        <w:rPr>
          <w:rFonts w:hint="eastAsia" w:eastAsia="黑体"/>
          <w:bCs/>
          <w:sz w:val="24"/>
        </w:rPr>
        <w:t>工程变更申请表</w:t>
      </w:r>
    </w:p>
    <w:p>
      <w:pPr>
        <w:spacing w:line="400" w:lineRule="exact"/>
        <w:ind w:firstLine="420" w:firstLineChars="200"/>
        <w:rPr>
          <w:szCs w:val="21"/>
        </w:rPr>
      </w:pPr>
      <w:r>
        <w:rPr>
          <w:rFonts w:hint="eastAsia"/>
          <w:szCs w:val="21"/>
        </w:rPr>
        <w:t>本表是施工单位就工程变更事宜向项目监理机构提出工程变更申请的用表。该表应写明工程变更原因、工程变更内容等，项目监理机构应根据相关规定及施工合同约定对施工单位提出的工程变更进行审查，提出审查意见，并经建设单位审批。对涉及工程设计文件修改的工程变更，应由建设单位转交原设计单位修改工程设计文件；如涉及工程规模变化、结构重大修改、建筑节能变更等，必须经原审图机构审查同意。</w:t>
      </w:r>
    </w:p>
    <w:p>
      <w:pPr>
        <w:spacing w:line="400" w:lineRule="exact"/>
        <w:rPr>
          <w:szCs w:val="21"/>
        </w:rPr>
      </w:pPr>
    </w:p>
    <w:p>
      <w:pPr>
        <w:spacing w:line="400" w:lineRule="exact"/>
        <w:rPr>
          <w:rFonts w:eastAsia="黑体"/>
          <w:sz w:val="28"/>
          <w:szCs w:val="28"/>
        </w:rPr>
      </w:pPr>
      <w:r>
        <w:rPr>
          <w:rFonts w:eastAsia="黑体"/>
          <w:sz w:val="28"/>
          <w:szCs w:val="28"/>
        </w:rPr>
        <w:t>C</w:t>
      </w:r>
      <w:r>
        <w:rPr>
          <w:rFonts w:hint="eastAsia" w:eastAsia="黑体"/>
          <w:sz w:val="28"/>
          <w:szCs w:val="28"/>
        </w:rPr>
        <w:t>类表</w:t>
      </w:r>
    </w:p>
    <w:p>
      <w:pPr>
        <w:spacing w:line="400" w:lineRule="exact"/>
        <w:rPr>
          <w:rFonts w:eastAsia="黑体"/>
          <w:bCs/>
          <w:sz w:val="24"/>
        </w:rPr>
      </w:pPr>
      <w:r>
        <w:rPr>
          <w:rFonts w:eastAsia="黑体"/>
          <w:bCs/>
          <w:sz w:val="24"/>
        </w:rPr>
        <w:t xml:space="preserve">C.0.1  </w:t>
      </w:r>
      <w:r>
        <w:rPr>
          <w:rFonts w:hint="eastAsia" w:eastAsia="黑体"/>
          <w:bCs/>
          <w:sz w:val="24"/>
        </w:rPr>
        <w:t>工程联系单</w:t>
      </w:r>
      <w:r>
        <w:rPr>
          <w:rFonts w:eastAsia="黑体"/>
          <w:bCs/>
          <w:sz w:val="24"/>
        </w:rPr>
        <w:t xml:space="preserve"> </w:t>
      </w:r>
    </w:p>
    <w:p>
      <w:pPr>
        <w:spacing w:line="400" w:lineRule="exact"/>
        <w:rPr>
          <w:bCs/>
          <w:szCs w:val="21"/>
        </w:rPr>
      </w:pPr>
      <w:r>
        <w:rPr>
          <w:szCs w:val="21"/>
        </w:rPr>
        <w:t xml:space="preserve">    </w:t>
      </w:r>
      <w:r>
        <w:rPr>
          <w:rFonts w:hint="eastAsia"/>
          <w:szCs w:val="21"/>
        </w:rPr>
        <w:t>本表是项目监理机构与工程参建各方（包括建设、施工、监理、勘察设计等）相互之间的日常书面工作联系用表。发文单位有权签发的人员应为：建设单位的现场代表，施工单位的项目经理，监理单位的项目总监理工程师</w:t>
      </w:r>
      <w:r>
        <w:rPr>
          <w:szCs w:val="21"/>
        </w:rPr>
        <w:t>/</w:t>
      </w:r>
      <w:r>
        <w:rPr>
          <w:rFonts w:hint="eastAsia"/>
          <w:szCs w:val="21"/>
        </w:rPr>
        <w:t>总监</w:t>
      </w:r>
      <w:r>
        <w:rPr>
          <w:rFonts w:hint="eastAsia"/>
          <w:bCs/>
          <w:szCs w:val="21"/>
        </w:rPr>
        <w:t>理工程师代表，勘察设计单位的项目负责人及项目其他参建单位的相关负责人。</w:t>
      </w:r>
    </w:p>
    <w:p>
      <w:pPr>
        <w:spacing w:line="400" w:lineRule="exact"/>
        <w:rPr>
          <w:szCs w:val="21"/>
        </w:rPr>
      </w:pPr>
      <w:r>
        <w:rPr>
          <w:rFonts w:eastAsia="黑体"/>
          <w:bCs/>
          <w:sz w:val="24"/>
        </w:rPr>
        <w:t>C.0.2</w:t>
      </w:r>
      <w:r>
        <w:rPr>
          <w:rFonts w:eastAsia="黑体"/>
          <w:b/>
          <w:bCs/>
          <w:sz w:val="24"/>
        </w:rPr>
        <w:t xml:space="preserve"> </w:t>
      </w:r>
      <w:r>
        <w:rPr>
          <w:rFonts w:eastAsia="黑体"/>
          <w:bCs/>
          <w:sz w:val="24"/>
        </w:rPr>
        <w:t xml:space="preserve"> </w:t>
      </w:r>
      <w:r>
        <w:rPr>
          <w:rFonts w:hint="eastAsia" w:eastAsia="黑体"/>
          <w:bCs/>
          <w:sz w:val="24"/>
        </w:rPr>
        <w:t>索赔意向通知书</w:t>
      </w:r>
      <w:r>
        <w:rPr>
          <w:bCs/>
          <w:szCs w:val="21"/>
        </w:rPr>
        <w:t xml:space="preserve"> </w:t>
      </w:r>
    </w:p>
    <w:p>
      <w:pPr>
        <w:spacing w:line="400" w:lineRule="exact"/>
        <w:rPr>
          <w:szCs w:val="21"/>
        </w:rPr>
      </w:pPr>
      <w:r>
        <w:rPr>
          <w:szCs w:val="21"/>
        </w:rPr>
        <w:t xml:space="preserve">    </w:t>
      </w:r>
      <w:r>
        <w:rPr>
          <w:rFonts w:hint="eastAsia"/>
          <w:szCs w:val="21"/>
        </w:rPr>
        <w:t>本表是具有索赔意向的单位依据法律法规和合同向项目监理机构、相关索赔对象提出索赔意向的用表。有索赔意向的单位应该根据合同的约定在索赔事件发生的</w:t>
      </w:r>
      <w:r>
        <w:rPr>
          <w:szCs w:val="21"/>
        </w:rPr>
        <w:t>28</w:t>
      </w:r>
      <w:r>
        <w:rPr>
          <w:rFonts w:hint="eastAsia"/>
          <w:szCs w:val="21"/>
        </w:rPr>
        <w:t>天内提交索赔意向书，并附索赔事件的相关证据；在索赔事件影响结束后</w:t>
      </w:r>
      <w:r>
        <w:rPr>
          <w:szCs w:val="21"/>
        </w:rPr>
        <w:t>28</w:t>
      </w:r>
      <w:r>
        <w:rPr>
          <w:rFonts w:hint="eastAsia"/>
          <w:szCs w:val="21"/>
        </w:rPr>
        <w:t>天内提交最终索赔报告。索赔意向通知书宜明确以下内容：</w:t>
      </w:r>
    </w:p>
    <w:p>
      <w:pPr>
        <w:numPr>
          <w:ilvl w:val="0"/>
          <w:numId w:val="9"/>
        </w:numPr>
        <w:spacing w:line="400" w:lineRule="exact"/>
        <w:ind w:firstLine="424" w:firstLineChars="202"/>
        <w:rPr>
          <w:szCs w:val="21"/>
        </w:rPr>
      </w:pPr>
      <w:r>
        <w:rPr>
          <w:rFonts w:hint="eastAsia"/>
          <w:szCs w:val="21"/>
        </w:rPr>
        <w:t>事件发生的时间和情况的简单描述</w:t>
      </w:r>
      <w:r>
        <w:rPr>
          <w:rFonts w:hint="eastAsia" w:hAnsi="Times New Roman"/>
          <w:szCs w:val="21"/>
        </w:rPr>
        <w:t>。</w:t>
      </w:r>
    </w:p>
    <w:p>
      <w:pPr>
        <w:numPr>
          <w:ilvl w:val="0"/>
          <w:numId w:val="9"/>
        </w:numPr>
        <w:spacing w:line="400" w:lineRule="exact"/>
        <w:ind w:firstLine="424" w:firstLineChars="202"/>
        <w:rPr>
          <w:szCs w:val="21"/>
        </w:rPr>
      </w:pPr>
      <w:r>
        <w:rPr>
          <w:rFonts w:hint="eastAsia"/>
          <w:szCs w:val="21"/>
        </w:rPr>
        <w:t>合同依据的条款和理由</w:t>
      </w:r>
      <w:r>
        <w:rPr>
          <w:rFonts w:hint="eastAsia" w:hAnsi="Times New Roman"/>
          <w:szCs w:val="21"/>
        </w:rPr>
        <w:t>。</w:t>
      </w:r>
    </w:p>
    <w:p>
      <w:pPr>
        <w:numPr>
          <w:ilvl w:val="0"/>
          <w:numId w:val="9"/>
        </w:numPr>
        <w:spacing w:line="400" w:lineRule="exact"/>
        <w:ind w:firstLine="424" w:firstLineChars="202"/>
        <w:rPr>
          <w:szCs w:val="21"/>
        </w:rPr>
      </w:pPr>
      <w:r>
        <w:rPr>
          <w:rFonts w:hint="eastAsia"/>
          <w:szCs w:val="21"/>
        </w:rPr>
        <w:t>有关后续资料的提供，包括及时记录和提供事件发展的动态</w:t>
      </w:r>
      <w:r>
        <w:rPr>
          <w:rFonts w:hint="eastAsia" w:hAnsi="Times New Roman"/>
          <w:szCs w:val="21"/>
        </w:rPr>
        <w:t>。</w:t>
      </w:r>
    </w:p>
    <w:p>
      <w:pPr>
        <w:numPr>
          <w:ilvl w:val="0"/>
          <w:numId w:val="9"/>
        </w:numPr>
        <w:spacing w:line="400" w:lineRule="exact"/>
        <w:ind w:firstLine="424" w:firstLineChars="202"/>
        <w:rPr>
          <w:szCs w:val="21"/>
        </w:rPr>
      </w:pPr>
      <w:r>
        <w:rPr>
          <w:rFonts w:hint="eastAsia"/>
          <w:szCs w:val="21"/>
        </w:rPr>
        <w:t>对工程成本和工期产生的不利影响及其严重程度的初步评估</w:t>
      </w:r>
      <w:r>
        <w:rPr>
          <w:rFonts w:hint="eastAsia" w:hAnsi="Times New Roman"/>
          <w:szCs w:val="21"/>
        </w:rPr>
        <w:t>。</w:t>
      </w:r>
    </w:p>
    <w:p>
      <w:pPr>
        <w:numPr>
          <w:ilvl w:val="0"/>
          <w:numId w:val="9"/>
        </w:numPr>
        <w:spacing w:line="400" w:lineRule="exact"/>
        <w:ind w:firstLine="424" w:firstLineChars="202"/>
        <w:rPr>
          <w:szCs w:val="21"/>
        </w:rPr>
      </w:pPr>
      <w:r>
        <w:rPr>
          <w:rFonts w:hint="eastAsia"/>
          <w:szCs w:val="21"/>
        </w:rPr>
        <w:t>声明</w:t>
      </w:r>
      <w:r>
        <w:rPr>
          <w:szCs w:val="21"/>
        </w:rPr>
        <w:t>/</w:t>
      </w:r>
      <w:r>
        <w:rPr>
          <w:rFonts w:hint="eastAsia"/>
          <w:szCs w:val="21"/>
        </w:rPr>
        <w:t>告知拟进行相关索赔的意向。</w:t>
      </w:r>
    </w:p>
    <w:p>
      <w:pPr>
        <w:spacing w:line="400" w:lineRule="exact"/>
        <w:rPr>
          <w:szCs w:val="21"/>
        </w:rPr>
      </w:pPr>
    </w:p>
    <w:p>
      <w:pPr>
        <w:widowControl/>
        <w:spacing w:beforeAutospacing="1" w:afterAutospacing="1"/>
        <w:jc w:val="left"/>
        <w:rPr>
          <w:szCs w:val="21"/>
        </w:rPr>
        <w:sectPr>
          <w:pgSz w:w="11906" w:h="16838"/>
          <w:pgMar w:top="1701" w:right="1701" w:bottom="1701" w:left="1701" w:header="851" w:footer="1191" w:gutter="0"/>
          <w:cols w:space="720" w:num="1"/>
          <w:docGrid w:type="lines" w:linePitch="312" w:charSpace="0"/>
        </w:sectPr>
      </w:pPr>
    </w:p>
    <w:p>
      <w:pPr>
        <w:spacing w:line="380" w:lineRule="exact"/>
        <w:jc w:val="right"/>
        <w:rPr>
          <w:rFonts w:eastAsia="黑体"/>
          <w:b/>
          <w:w w:val="90"/>
          <w:sz w:val="28"/>
          <w:szCs w:val="28"/>
          <w14:shadow w14:blurRad="50800" w14:dist="38100" w14:dir="2700000" w14:sx="100000" w14:sy="100000" w14:kx="0" w14:ky="0" w14:algn="tl">
            <w14:srgbClr w14:val="000000">
              <w14:alpha w14:val="60000"/>
            </w14:srgbClr>
          </w14:shadow>
        </w:rPr>
      </w:pPr>
      <w:r>
        <w:rPr>
          <w:rFonts w:eastAsia="黑体"/>
          <w:b/>
          <w:w w:val="90"/>
          <w:sz w:val="28"/>
          <w:szCs w:val="28"/>
          <w14:shadow w14:blurRad="50800" w14:dist="38100" w14:dir="2700000" w14:sx="100000" w14:sy="100000" w14:kx="0" w14:ky="0" w14:algn="tl">
            <w14:srgbClr w14:val="000000">
              <w14:alpha w14:val="60000"/>
            </w14:srgbClr>
          </w14:shadow>
        </w:rPr>
        <w:t>A.0.1</w:t>
      </w:r>
    </w:p>
    <w:p>
      <w:pPr>
        <w:spacing w:before="312" w:beforeLines="100" w:after="312" w:afterLines="100"/>
        <w:jc w:val="center"/>
        <w:rPr>
          <w:rFonts w:ascii="Times New Roman" w:eastAsia="黑体"/>
          <w:sz w:val="44"/>
          <w:szCs w:val="44"/>
          <w:u w:val="single" w:color="FF0000"/>
          <w14:shadow w14:blurRad="50800" w14:dist="38100" w14:dir="2700000" w14:sx="100000" w14:sy="100000" w14:kx="0" w14:ky="0" w14:algn="tl">
            <w14:srgbClr w14:val="000000">
              <w14:alpha w14:val="60000"/>
            </w14:srgbClr>
          </w14:shadow>
        </w:rPr>
      </w:pPr>
      <w:r>
        <w:rPr>
          <w:rFonts w:hint="eastAsia" w:ascii="Times New Roman" w:eastAsia="黑体"/>
          <w:sz w:val="44"/>
          <w:szCs w:val="44"/>
          <w14:shadow w14:blurRad="50800" w14:dist="38100" w14:dir="2700000" w14:sx="100000" w14:sy="100000" w14:kx="0" w14:ky="0" w14:algn="tl">
            <w14:srgbClr w14:val="000000">
              <w14:alpha w14:val="60000"/>
            </w14:srgbClr>
          </w14:shadow>
        </w:rPr>
        <w:t>总监理工程师任命书</w:t>
      </w:r>
    </w:p>
    <w:p>
      <w:pPr>
        <w:spacing w:after="156" w:afterLines="50"/>
        <w:rPr>
          <w:rFonts w:hint="eastAsia"/>
          <w:szCs w:val="21"/>
          <w:u w:val="single"/>
        </w:rPr>
      </w:pPr>
      <w:r>
        <w:rPr>
          <w:rFonts w:hint="eastAsia"/>
          <w:szCs w:val="21"/>
        </w:rPr>
        <w:t>工程名称：</w:t>
      </w:r>
      <w:r>
        <w:rPr>
          <w:szCs w:val="21"/>
          <w:u w:val="single"/>
        </w:rPr>
        <w:t xml:space="preserve">                            </w:t>
      </w:r>
      <w:r>
        <w:rPr>
          <w:rFonts w:hint="eastAsia"/>
          <w:szCs w:val="21"/>
        </w:rPr>
        <w:t>　　</w:t>
      </w:r>
      <w:r>
        <w:rPr>
          <w:szCs w:val="21"/>
        </w:rPr>
        <w:t xml:space="preserve">    </w:t>
      </w:r>
      <w:r>
        <w:rPr>
          <w:rFonts w:hint="eastAsia"/>
          <w:szCs w:val="21"/>
        </w:rPr>
        <w:t>　</w:t>
      </w:r>
      <w:r>
        <w:rPr>
          <w:szCs w:val="21"/>
        </w:rPr>
        <w:t xml:space="preserve">               </w:t>
      </w:r>
      <w:r>
        <w:rPr>
          <w:rFonts w:hint="eastAsia"/>
          <w:szCs w:val="21"/>
        </w:rPr>
        <w:t>编号：</w:t>
      </w:r>
      <w:r>
        <w:rPr>
          <w:szCs w:val="21"/>
        </w:rPr>
        <w:t>A.0.1</w:t>
      </w:r>
      <w:r>
        <w:rPr>
          <w:rFonts w:hint="eastAsia"/>
          <w:szCs w:val="21"/>
        </w:rPr>
        <w:t>－</w:t>
      </w:r>
      <w:r>
        <w:rPr>
          <w:szCs w:val="21"/>
          <w:u w:val="single"/>
        </w:rPr>
        <w:t xml:space="preserve">       </w:t>
      </w: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47"/>
        <w:gridCol w:w="69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813" w:hRule="atLeast"/>
          <w:jc w:val="center"/>
        </w:trPr>
        <w:tc>
          <w:tcPr>
            <w:tcW w:w="1747" w:type="dxa"/>
            <w:tcBorders>
              <w:top w:val="single" w:color="auto" w:sz="8" w:space="0"/>
              <w:left w:val="single" w:color="auto" w:sz="8" w:space="0"/>
              <w:bottom w:val="single" w:color="auto" w:sz="4" w:space="0"/>
              <w:right w:val="single" w:color="auto" w:sz="4" w:space="0"/>
            </w:tcBorders>
            <w:noWrap w:val="0"/>
            <w:vAlign w:val="center"/>
          </w:tcPr>
          <w:p>
            <w:pPr>
              <w:spacing w:line="420" w:lineRule="exact"/>
              <w:jc w:val="center"/>
              <w:rPr>
                <w:szCs w:val="21"/>
              </w:rPr>
            </w:pPr>
            <w:r>
              <w:rPr>
                <w:rFonts w:hint="eastAsia"/>
                <w:szCs w:val="21"/>
              </w:rPr>
              <w:t>建设单位签收人</w:t>
            </w:r>
          </w:p>
          <w:p>
            <w:pPr>
              <w:spacing w:line="420" w:lineRule="exact"/>
              <w:jc w:val="center"/>
              <w:rPr>
                <w:szCs w:val="21"/>
              </w:rPr>
            </w:pPr>
            <w:r>
              <w:rPr>
                <w:rFonts w:hint="eastAsia"/>
                <w:szCs w:val="21"/>
              </w:rPr>
              <w:t>姓名及时间</w:t>
            </w:r>
          </w:p>
        </w:tc>
        <w:tc>
          <w:tcPr>
            <w:tcW w:w="6918" w:type="dxa"/>
            <w:tcBorders>
              <w:top w:val="single" w:color="auto" w:sz="8" w:space="0"/>
              <w:left w:val="single" w:color="auto" w:sz="4" w:space="0"/>
              <w:bottom w:val="single" w:color="auto" w:sz="4" w:space="0"/>
              <w:right w:val="single" w:color="auto" w:sz="8" w:space="0"/>
            </w:tcBorders>
            <w:noWrap w:val="0"/>
            <w:vAlign w:val="center"/>
          </w:tcPr>
          <w:p>
            <w:pP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10079" w:hRule="atLeast"/>
          <w:jc w:val="center"/>
        </w:trPr>
        <w:tc>
          <w:tcPr>
            <w:tcW w:w="8665" w:type="dxa"/>
            <w:gridSpan w:val="2"/>
            <w:tcBorders>
              <w:top w:val="single" w:color="auto" w:sz="4" w:space="0"/>
              <w:left w:val="single" w:color="auto" w:sz="8" w:space="0"/>
              <w:bottom w:val="single" w:color="auto" w:sz="4" w:space="0"/>
              <w:right w:val="single" w:color="auto" w:sz="8" w:space="0"/>
            </w:tcBorders>
            <w:noWrap w:val="0"/>
            <w:vAlign w:val="top"/>
          </w:tcPr>
          <w:p>
            <w:pPr>
              <w:spacing w:before="156" w:beforeLines="50" w:line="420" w:lineRule="exact"/>
              <w:rPr>
                <w:szCs w:val="21"/>
              </w:rPr>
            </w:pPr>
            <w:r>
              <w:rPr>
                <w:rFonts w:hint="eastAsia" w:ascii="Times New Roman"/>
                <w:szCs w:val="21"/>
              </w:rPr>
              <w:t>致 ：</w:t>
            </w:r>
            <w:r>
              <w:rPr>
                <w:rFonts w:hint="eastAsia" w:ascii="Times New Roman"/>
                <w:szCs w:val="21"/>
                <w:u w:val="single"/>
              </w:rPr>
              <w:t xml:space="preserve">                                </w:t>
            </w:r>
            <w:r>
              <w:rPr>
                <w:rFonts w:hint="eastAsia" w:ascii="Times New Roman"/>
                <w:szCs w:val="21"/>
              </w:rPr>
              <w:t xml:space="preserve"> （建设单位） </w:t>
            </w:r>
          </w:p>
          <w:p>
            <w:pPr>
              <w:spacing w:before="156" w:beforeLines="50" w:line="420" w:lineRule="exact"/>
              <w:ind w:firstLine="420" w:firstLineChars="200"/>
              <w:rPr>
                <w:szCs w:val="21"/>
              </w:rPr>
            </w:pPr>
            <w:r>
              <w:rPr>
                <w:rFonts w:hint="eastAsia"/>
                <w:szCs w:val="21"/>
              </w:rPr>
              <w:t>兹任命</w:t>
            </w:r>
            <w:r>
              <w:rPr>
                <w:rFonts w:hint="eastAsia" w:ascii="Times New Roman"/>
                <w:szCs w:val="21"/>
                <w:u w:val="single"/>
              </w:rPr>
              <w:t xml:space="preserve">              </w:t>
            </w:r>
            <w:r>
              <w:rPr>
                <w:rFonts w:hint="eastAsia"/>
                <w:szCs w:val="21"/>
              </w:rPr>
              <w:t>为我单位</w:t>
            </w:r>
            <w:r>
              <w:rPr>
                <w:rFonts w:hint="eastAsia" w:ascii="Times New Roman"/>
                <w:szCs w:val="21"/>
                <w:u w:val="single"/>
              </w:rPr>
              <w:t xml:space="preserve">                   </w:t>
            </w:r>
            <w:r>
              <w:rPr>
                <w:rFonts w:hint="eastAsia"/>
                <w:szCs w:val="21"/>
              </w:rPr>
              <w:t>项目总监理工程师，负责履行</w:t>
            </w:r>
            <w:r>
              <w:rPr>
                <w:rFonts w:hint="eastAsia" w:ascii="Times New Roman" w:hAnsi="Times New Roman"/>
                <w:szCs w:val="21"/>
              </w:rPr>
              <w:t>《建设工程监理合同》，主持项目监理机构工作。</w:t>
            </w:r>
          </w:p>
          <w:p>
            <w:pPr>
              <w:spacing w:line="420" w:lineRule="exact"/>
              <w:rPr>
                <w:szCs w:val="21"/>
              </w:rPr>
            </w:pPr>
            <w:r>
              <w:rPr>
                <w:szCs w:val="21"/>
              </w:rPr>
              <w:t xml:space="preserve">      </w:t>
            </w:r>
          </w:p>
          <w:p>
            <w:pPr>
              <w:spacing w:line="420" w:lineRule="exact"/>
              <w:rPr>
                <w:szCs w:val="21"/>
              </w:rPr>
            </w:pPr>
          </w:p>
          <w:p>
            <w:pPr>
              <w:spacing w:line="420" w:lineRule="exact"/>
              <w:rPr>
                <w:szCs w:val="21"/>
              </w:rPr>
            </w:pPr>
            <w:r>
              <w:rPr>
                <w:szCs w:val="21"/>
              </w:rPr>
              <w:t xml:space="preserve">      </w:t>
            </w:r>
            <w:r>
              <w:rPr>
                <w:szCs w:val="21"/>
                <w:u w:val="single"/>
              </w:rPr>
              <w:t xml:space="preserve">               </w:t>
            </w:r>
            <w:r>
              <w:rPr>
                <w:rFonts w:hint="eastAsia"/>
                <w:szCs w:val="21"/>
              </w:rPr>
              <w:t>总监理工程师的执业印章和项目监理机构用章的样章为：</w:t>
            </w:r>
          </w:p>
          <w:p>
            <w:pPr>
              <w:spacing w:line="420" w:lineRule="exact"/>
              <w:rPr>
                <w:szCs w:val="21"/>
              </w:rPr>
            </w:pPr>
          </w:p>
          <w:p>
            <w:pPr>
              <w:spacing w:line="420" w:lineRule="exact"/>
              <w:rPr>
                <w:szCs w:val="21"/>
              </w:rPr>
            </w:pPr>
          </w:p>
          <w:p>
            <w:pPr>
              <w:spacing w:line="420" w:lineRule="exact"/>
              <w:rPr>
                <w:szCs w:val="21"/>
              </w:rPr>
            </w:pPr>
          </w:p>
          <w:p>
            <w:pPr>
              <w:spacing w:line="420" w:lineRule="exact"/>
              <w:ind w:firstLine="420" w:firstLineChars="200"/>
              <w:rPr>
                <w:szCs w:val="21"/>
              </w:rPr>
            </w:pPr>
            <w:r>
              <w:rPr>
                <w:rFonts w:hint="eastAsia"/>
                <w:szCs w:val="21"/>
              </w:rPr>
              <w:t>附件：总监理工程师的执业证书。</w:t>
            </w:r>
          </w:p>
          <w:p>
            <w:pPr>
              <w:spacing w:line="420" w:lineRule="exact"/>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szCs w:val="21"/>
              </w:rPr>
              <w:t xml:space="preserve">    </w:t>
            </w:r>
            <w:r>
              <w:rPr>
                <w:rFonts w:hint="eastAsia"/>
                <w:szCs w:val="21"/>
              </w:rPr>
              <w:t>抄送：施工单位</w:t>
            </w:r>
          </w:p>
          <w:p>
            <w:pPr>
              <w:rPr>
                <w:szCs w:val="21"/>
              </w:rPr>
            </w:pPr>
          </w:p>
          <w:p>
            <w:pPr>
              <w:rPr>
                <w:szCs w:val="21"/>
              </w:rPr>
            </w:pPr>
          </w:p>
          <w:p>
            <w:pPr>
              <w:rPr>
                <w:szCs w:val="21"/>
              </w:rPr>
            </w:pPr>
          </w:p>
          <w:p>
            <w:pPr>
              <w:rPr>
                <w:rFonts w:ascii="Times New Roman" w:hAnsi="Times New Roman"/>
                <w:bCs/>
                <w:szCs w:val="21"/>
                <w:u w:val="single"/>
              </w:rPr>
            </w:pPr>
            <w:r>
              <w:rPr>
                <w:rFonts w:hint="eastAsia"/>
                <w:szCs w:val="21"/>
              </w:rPr>
              <w:t>　　　　　　　　　　　</w:t>
            </w:r>
            <w:r>
              <w:rPr>
                <w:szCs w:val="21"/>
              </w:rPr>
              <w:t xml:space="preserve">              </w:t>
            </w:r>
            <w:r>
              <w:rPr>
                <w:rFonts w:hint="eastAsia"/>
                <w:szCs w:val="21"/>
              </w:rPr>
              <w:t>　</w:t>
            </w:r>
            <w:r>
              <w:rPr>
                <w:rFonts w:hint="eastAsia" w:ascii="Times New Roman" w:hAnsi="Times New Roman"/>
                <w:bCs/>
                <w:szCs w:val="21"/>
              </w:rPr>
              <w:t>监理单位（章）：</w:t>
            </w:r>
            <w:r>
              <w:rPr>
                <w:rFonts w:hint="eastAsia" w:ascii="Times New Roman" w:hAnsi="Times New Roman"/>
                <w:bCs/>
                <w:szCs w:val="21"/>
                <w:u w:val="single"/>
              </w:rPr>
              <w:t xml:space="preserve">                      </w:t>
            </w:r>
          </w:p>
          <w:p>
            <w:pPr>
              <w:rPr>
                <w:rFonts w:hint="eastAsia"/>
                <w:szCs w:val="21"/>
              </w:rPr>
            </w:pPr>
          </w:p>
          <w:p>
            <w:pPr>
              <w:ind w:firstLine="4002" w:firstLineChars="1906"/>
              <w:rPr>
                <w:szCs w:val="21"/>
              </w:rPr>
            </w:pPr>
            <w:r>
              <w:rPr>
                <w:rFonts w:hint="eastAsia"/>
                <w:szCs w:val="21"/>
              </w:rPr>
              <w:t>法定代表人（签字）：</w:t>
            </w:r>
            <w:r>
              <w:rPr>
                <w:rFonts w:hint="eastAsia"/>
                <w:szCs w:val="21"/>
                <w:u w:val="single"/>
              </w:rPr>
              <w:t>　　　　</w:t>
            </w:r>
            <w:r>
              <w:rPr>
                <w:szCs w:val="21"/>
                <w:u w:val="single"/>
              </w:rPr>
              <w:t xml:space="preserve">          </w:t>
            </w:r>
            <w:r>
              <w:rPr>
                <w:szCs w:val="21"/>
              </w:rPr>
              <w:t xml:space="preserve">  </w:t>
            </w:r>
          </w:p>
          <w:p>
            <w:pPr>
              <w:ind w:firstLine="3057" w:firstLineChars="1456"/>
              <w:rPr>
                <w:szCs w:val="21"/>
              </w:rPr>
            </w:pPr>
          </w:p>
          <w:p>
            <w:pPr>
              <w:ind w:firstLine="5355" w:firstLineChars="2550"/>
              <w:rPr>
                <w:szCs w:val="21"/>
                <w:u w:val="single"/>
              </w:rPr>
            </w:pPr>
            <w:r>
              <w:rPr>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8665" w:type="dxa"/>
            <w:gridSpan w:val="2"/>
            <w:tcBorders>
              <w:top w:val="single" w:color="auto" w:sz="4" w:space="0"/>
              <w:left w:val="single" w:color="auto" w:sz="8" w:space="0"/>
              <w:bottom w:val="single" w:color="auto" w:sz="8" w:space="0"/>
              <w:right w:val="single" w:color="auto" w:sz="8" w:space="0"/>
            </w:tcBorders>
            <w:noWrap w:val="0"/>
            <w:vAlign w:val="center"/>
          </w:tcPr>
          <w:p>
            <w:pPr>
              <w:rPr>
                <w:szCs w:val="21"/>
              </w:rPr>
            </w:pPr>
            <w:r>
              <w:rPr>
                <w:rFonts w:hint="eastAsia"/>
                <w:szCs w:val="21"/>
              </w:rPr>
              <w:t>注：本表一式三份，项目监理机构、建设单位、施工单位各一份。</w:t>
            </w:r>
          </w:p>
        </w:tc>
      </w:tr>
    </w:tbl>
    <w:p>
      <w:pPr>
        <w:rPr>
          <w:rFonts w:ascii="Times New Roman" w:eastAsia="隶书"/>
        </w:rPr>
      </w:pPr>
      <w:r>
        <w:rPr>
          <w:rFonts w:hint="eastAsia" w:ascii="Times New Roman" w:eastAsia="隶书"/>
        </w:rPr>
        <w:t>第六版表                                              江苏省住房和城乡建设厅监制</w:t>
      </w:r>
    </w:p>
    <w:p>
      <w:pPr>
        <w:widowControl/>
        <w:jc w:val="left"/>
        <w:rPr>
          <w:rFonts w:eastAsia="黑体"/>
          <w:w w:val="90"/>
          <w:sz w:val="28"/>
          <w:szCs w:val="28"/>
          <w14:shadow w14:blurRad="50800" w14:dist="38100" w14:dir="2700000" w14:sx="100000" w14:sy="100000" w14:kx="0" w14:ky="0" w14:algn="tl">
            <w14:srgbClr w14:val="000000">
              <w14:alpha w14:val="60000"/>
            </w14:srgbClr>
          </w14:shadow>
        </w:rPr>
        <w:sectPr>
          <w:pgSz w:w="11906" w:h="16838"/>
          <w:pgMar w:top="1021" w:right="1701" w:bottom="1701" w:left="1701" w:header="851" w:footer="1191" w:gutter="0"/>
          <w:cols w:space="720" w:num="1"/>
          <w:docGrid w:type="lines" w:linePitch="312" w:charSpace="0"/>
        </w:sectPr>
      </w:pPr>
    </w:p>
    <w:p>
      <w:pPr>
        <w:spacing w:line="380" w:lineRule="exact"/>
        <w:jc w:val="right"/>
        <w:rPr>
          <w:rFonts w:hint="eastAsia" w:eastAsia="黑体"/>
          <w:b/>
          <w:w w:val="90"/>
          <w:sz w:val="28"/>
          <w:szCs w:val="28"/>
          <w14:shadow w14:blurRad="50800" w14:dist="38100" w14:dir="2700000" w14:sx="100000" w14:sy="100000" w14:kx="0" w14:ky="0" w14:algn="tl">
            <w14:srgbClr w14:val="000000">
              <w14:alpha w14:val="60000"/>
            </w14:srgbClr>
          </w14:shadow>
        </w:rPr>
      </w:pPr>
      <w:r>
        <w:rPr>
          <w:rFonts w:eastAsia="黑体"/>
          <w:b/>
          <w:w w:val="90"/>
          <w:sz w:val="28"/>
          <w:szCs w:val="28"/>
          <w14:shadow w14:blurRad="50800" w14:dist="38100" w14:dir="2700000" w14:sx="100000" w14:sy="100000" w14:kx="0" w14:ky="0" w14:algn="tl">
            <w14:srgbClr w14:val="000000">
              <w14:alpha w14:val="60000"/>
            </w14:srgbClr>
          </w14:shadow>
        </w:rPr>
        <w:t>A.0.2</w:t>
      </w:r>
    </w:p>
    <w:p>
      <w:pPr>
        <w:spacing w:before="312" w:beforeLines="100" w:after="312" w:afterLines="100"/>
        <w:jc w:val="center"/>
        <w:rPr>
          <w:rFonts w:ascii="Times New Roman" w:eastAsia="黑体"/>
          <w:sz w:val="44"/>
          <w:szCs w:val="44"/>
          <w14:shadow w14:blurRad="50800" w14:dist="38100" w14:dir="2700000" w14:sx="100000" w14:sy="100000" w14:kx="0" w14:ky="0" w14:algn="tl">
            <w14:srgbClr w14:val="000000">
              <w14:alpha w14:val="60000"/>
            </w14:srgbClr>
          </w14:shadow>
        </w:rPr>
      </w:pPr>
      <w:r>
        <w:rPr>
          <w:rFonts w:hint="eastAsia" w:ascii="Times New Roman" w:eastAsia="黑体"/>
          <w:sz w:val="44"/>
          <w:szCs w:val="44"/>
          <w14:shadow w14:blurRad="50800" w14:dist="38100" w14:dir="2700000" w14:sx="100000" w14:sy="100000" w14:kx="0" w14:ky="0" w14:algn="tl">
            <w14:srgbClr w14:val="000000">
              <w14:alpha w14:val="60000"/>
            </w14:srgbClr>
          </w14:shadow>
        </w:rPr>
        <w:t>监　理　日　志（       ）</w:t>
      </w:r>
    </w:p>
    <w:p>
      <w:pPr>
        <w:spacing w:line="420" w:lineRule="exact"/>
        <w:rPr>
          <w:rFonts w:hint="eastAsia"/>
          <w:szCs w:val="21"/>
          <w:u w:val="single"/>
        </w:rPr>
      </w:pPr>
      <w:r>
        <w:rPr>
          <w:rFonts w:hint="eastAsia"/>
          <w:szCs w:val="21"/>
        </w:rPr>
        <w:t>日期：</w:t>
      </w:r>
      <w:r>
        <w:rPr>
          <w:rFonts w:hint="eastAsia"/>
          <w:szCs w:val="21"/>
          <w:u w:val="single"/>
        </w:rPr>
        <w:t>　　　</w:t>
      </w:r>
      <w:r>
        <w:rPr>
          <w:rFonts w:hint="eastAsia"/>
          <w:szCs w:val="21"/>
        </w:rPr>
        <w:t>年</w:t>
      </w:r>
      <w:r>
        <w:rPr>
          <w:rFonts w:hint="eastAsia"/>
          <w:szCs w:val="21"/>
          <w:u w:val="single"/>
        </w:rPr>
        <w:t>　　</w:t>
      </w:r>
      <w:r>
        <w:rPr>
          <w:rFonts w:hint="eastAsia"/>
          <w:szCs w:val="21"/>
        </w:rPr>
        <w:t>月</w:t>
      </w:r>
      <w:r>
        <w:rPr>
          <w:rFonts w:hint="eastAsia"/>
          <w:szCs w:val="21"/>
          <w:u w:val="single"/>
        </w:rPr>
        <w:t>　　</w:t>
      </w:r>
      <w:r>
        <w:rPr>
          <w:rFonts w:hint="eastAsia"/>
          <w:szCs w:val="21"/>
        </w:rPr>
        <w:t>日　　　　　　　　</w:t>
      </w:r>
      <w:r>
        <w:rPr>
          <w:szCs w:val="21"/>
        </w:rPr>
        <w:t xml:space="preserve">          </w:t>
      </w:r>
      <w:r>
        <w:rPr>
          <w:rFonts w:hint="eastAsia"/>
          <w:szCs w:val="21"/>
        </w:rPr>
        <w:t>　　　　</w:t>
      </w:r>
      <w:r>
        <w:rPr>
          <w:szCs w:val="21"/>
        </w:rPr>
        <w:t xml:space="preserve">     </w:t>
      </w:r>
      <w:r>
        <w:rPr>
          <w:rFonts w:hint="eastAsia"/>
          <w:szCs w:val="21"/>
        </w:rPr>
        <w:t>　天气：</w:t>
      </w:r>
      <w:r>
        <w:rPr>
          <w:rFonts w:hint="eastAsia"/>
          <w:szCs w:val="21"/>
          <w:u w:val="single"/>
        </w:rPr>
        <w:t>　　　　　</w:t>
      </w:r>
    </w:p>
    <w:p>
      <w:pPr>
        <w:spacing w:line="420" w:lineRule="exact"/>
        <w:rPr>
          <w:szCs w:val="21"/>
          <w:u w:val="single"/>
        </w:rPr>
      </w:pPr>
      <w:r>
        <w:rPr>
          <w:rFonts w:hint="eastAsia"/>
          <w:szCs w:val="21"/>
        </w:rPr>
        <w:t>星期：</w:t>
      </w:r>
      <w:r>
        <w:rPr>
          <w:rFonts w:hint="eastAsia"/>
          <w:szCs w:val="21"/>
          <w:u w:val="single"/>
        </w:rPr>
        <w:t>　</w:t>
      </w:r>
      <w:r>
        <w:rPr>
          <w:szCs w:val="21"/>
          <w:u w:val="single"/>
        </w:rPr>
        <w:t xml:space="preserve">  </w:t>
      </w:r>
      <w:r>
        <w:rPr>
          <w:rFonts w:hint="eastAsia"/>
          <w:szCs w:val="21"/>
          <w:u w:val="single"/>
        </w:rPr>
        <w:t>　</w:t>
      </w:r>
      <w:r>
        <w:rPr>
          <w:rFonts w:hint="eastAsia"/>
          <w:szCs w:val="21"/>
        </w:rPr>
        <w:t>　　　　　　　　　　　　　　</w:t>
      </w:r>
      <w:r>
        <w:rPr>
          <w:szCs w:val="21"/>
        </w:rPr>
        <w:t xml:space="preserve">  </w:t>
      </w:r>
      <w:r>
        <w:rPr>
          <w:rFonts w:hint="eastAsia"/>
          <w:szCs w:val="21"/>
        </w:rPr>
        <w:t>　　　</w:t>
      </w:r>
      <w:r>
        <w:rPr>
          <w:szCs w:val="21"/>
        </w:rPr>
        <w:t xml:space="preserve">          </w:t>
      </w:r>
      <w:r>
        <w:rPr>
          <w:rFonts w:hint="eastAsia"/>
          <w:szCs w:val="21"/>
        </w:rPr>
        <w:t>　</w:t>
      </w:r>
      <w:r>
        <w:rPr>
          <w:szCs w:val="21"/>
        </w:rPr>
        <w:t xml:space="preserve">     </w:t>
      </w:r>
      <w:r>
        <w:rPr>
          <w:rFonts w:hint="eastAsia"/>
          <w:szCs w:val="21"/>
        </w:rPr>
        <w:t>　气温：</w:t>
      </w:r>
      <w:r>
        <w:rPr>
          <w:rFonts w:hint="eastAsia"/>
          <w:szCs w:val="21"/>
          <w:u w:val="single"/>
        </w:rPr>
        <w:t>　　</w:t>
      </w:r>
      <w:r>
        <w:rPr>
          <w:szCs w:val="21"/>
          <w:u w:val="single"/>
        </w:rPr>
        <w:t xml:space="preserve">  </w:t>
      </w:r>
      <w:r>
        <w:rPr>
          <w:rFonts w:hint="eastAsia"/>
          <w:szCs w:val="21"/>
          <w:u w:val="single"/>
        </w:rPr>
        <w:t>　　</w:t>
      </w:r>
    </w:p>
    <w:p>
      <w:pPr>
        <w:spacing w:after="156" w:afterLines="50" w:line="420" w:lineRule="exact"/>
        <w:ind w:left="21" w:hanging="21" w:hangingChars="10"/>
        <w:rPr>
          <w:szCs w:val="21"/>
        </w:rPr>
      </w:pPr>
      <w:r>
        <w:rPr>
          <w:rFonts w:hint="eastAsia"/>
          <w:szCs w:val="21"/>
        </w:rPr>
        <w:t>工程名称</w:t>
      </w:r>
      <w:r>
        <w:rPr>
          <w:szCs w:val="21"/>
        </w:rPr>
        <w:t xml:space="preserve">: </w:t>
      </w:r>
      <w:r>
        <w:rPr>
          <w:szCs w:val="21"/>
          <w:u w:val="single"/>
        </w:rPr>
        <w:t xml:space="preserve">                         </w:t>
      </w:r>
      <w:r>
        <w:rPr>
          <w:szCs w:val="21"/>
        </w:rPr>
        <w:t xml:space="preserve">                                    </w:t>
      </w: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28"/>
        <w:gridCol w:w="1260"/>
        <w:gridCol w:w="2508"/>
        <w:gridCol w:w="414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45" w:hRule="atLeast"/>
          <w:jc w:val="center"/>
        </w:trPr>
        <w:tc>
          <w:tcPr>
            <w:tcW w:w="528" w:type="dxa"/>
            <w:tcBorders>
              <w:top w:val="single" w:color="auto" w:sz="8" w:space="0"/>
              <w:left w:val="single" w:color="auto" w:sz="8" w:space="0"/>
              <w:bottom w:val="single" w:color="auto" w:sz="4" w:space="0"/>
              <w:right w:val="single" w:color="auto" w:sz="4" w:space="0"/>
            </w:tcBorders>
            <w:noWrap w:val="0"/>
            <w:vAlign w:val="center"/>
          </w:tcPr>
          <w:p>
            <w:pPr>
              <w:spacing w:line="420" w:lineRule="exact"/>
              <w:jc w:val="center"/>
              <w:rPr>
                <w:rFonts w:ascii="Times New Roman"/>
                <w:szCs w:val="21"/>
              </w:rPr>
            </w:pPr>
            <w:r>
              <w:rPr>
                <w:rFonts w:hint="eastAsia" w:ascii="Times New Roman"/>
                <w:szCs w:val="21"/>
              </w:rPr>
              <w:t>监</w:t>
            </w:r>
          </w:p>
          <w:p>
            <w:pPr>
              <w:spacing w:line="420" w:lineRule="exact"/>
              <w:jc w:val="center"/>
              <w:rPr>
                <w:rFonts w:hint="eastAsia" w:ascii="Times New Roman"/>
                <w:szCs w:val="21"/>
              </w:rPr>
            </w:pPr>
            <w:r>
              <w:rPr>
                <w:rFonts w:hint="eastAsia" w:ascii="Times New Roman"/>
                <w:szCs w:val="21"/>
              </w:rPr>
              <w:t>理</w:t>
            </w:r>
          </w:p>
          <w:p>
            <w:pPr>
              <w:spacing w:line="420" w:lineRule="exact"/>
              <w:jc w:val="center"/>
              <w:rPr>
                <w:rFonts w:hint="eastAsia" w:ascii="Times New Roman"/>
                <w:szCs w:val="21"/>
              </w:rPr>
            </w:pPr>
            <w:r>
              <w:rPr>
                <w:rFonts w:hint="eastAsia" w:ascii="Times New Roman"/>
                <w:szCs w:val="21"/>
              </w:rPr>
              <w:t>工</w:t>
            </w:r>
          </w:p>
          <w:p>
            <w:pPr>
              <w:spacing w:line="420" w:lineRule="exact"/>
              <w:jc w:val="center"/>
              <w:rPr>
                <w:rFonts w:hint="eastAsia" w:ascii="Times New Roman"/>
                <w:szCs w:val="21"/>
              </w:rPr>
            </w:pPr>
            <w:r>
              <w:rPr>
                <w:rFonts w:hint="eastAsia" w:ascii="Times New Roman"/>
                <w:szCs w:val="21"/>
              </w:rPr>
              <w:t>作</w:t>
            </w:r>
          </w:p>
          <w:p>
            <w:pPr>
              <w:spacing w:line="420" w:lineRule="exact"/>
              <w:jc w:val="center"/>
              <w:rPr>
                <w:rFonts w:hint="eastAsia" w:ascii="Times New Roman"/>
                <w:szCs w:val="21"/>
              </w:rPr>
            </w:pPr>
            <w:r>
              <w:rPr>
                <w:rFonts w:hint="eastAsia" w:ascii="Times New Roman"/>
                <w:szCs w:val="21"/>
              </w:rPr>
              <w:t>情</w:t>
            </w:r>
          </w:p>
          <w:p>
            <w:pPr>
              <w:keepLines/>
              <w:spacing w:line="420" w:lineRule="exact"/>
              <w:jc w:val="center"/>
              <w:rPr>
                <w:rFonts w:ascii="Times New Roman"/>
                <w:szCs w:val="21"/>
              </w:rPr>
            </w:pPr>
            <w:r>
              <w:rPr>
                <w:rFonts w:hint="eastAsia" w:ascii="Times New Roman"/>
                <w:szCs w:val="21"/>
              </w:rPr>
              <w:t>况</w:t>
            </w:r>
          </w:p>
        </w:tc>
        <w:tc>
          <w:tcPr>
            <w:tcW w:w="7913" w:type="dxa"/>
            <w:gridSpan w:val="3"/>
            <w:tcBorders>
              <w:top w:val="single" w:color="auto" w:sz="8" w:space="0"/>
              <w:left w:val="single" w:color="auto" w:sz="4" w:space="0"/>
              <w:bottom w:val="single" w:color="auto" w:sz="4" w:space="0"/>
              <w:right w:val="single" w:color="auto" w:sz="8" w:space="0"/>
            </w:tcBorders>
            <w:noWrap w:val="0"/>
            <w:vAlign w:val="top"/>
          </w:tcPr>
          <w:p>
            <w:pPr>
              <w:spacing w:line="420" w:lineRule="exact"/>
              <w:rPr>
                <w:rFonts w:ascii="Times New Roman"/>
                <w:szCs w:val="21"/>
              </w:rPr>
            </w:pPr>
          </w:p>
          <w:p>
            <w:pPr>
              <w:spacing w:line="420" w:lineRule="exact"/>
              <w:rPr>
                <w:rFonts w:hint="eastAsia" w:ascii="Times New Roman"/>
                <w:szCs w:val="21"/>
              </w:rPr>
            </w:pPr>
          </w:p>
          <w:p>
            <w:pPr>
              <w:spacing w:line="420" w:lineRule="exact"/>
              <w:rPr>
                <w:rFonts w:hint="eastAsia" w:ascii="Times New Roman"/>
                <w:szCs w:val="21"/>
              </w:rPr>
            </w:pPr>
          </w:p>
          <w:p>
            <w:pPr>
              <w:spacing w:line="420" w:lineRule="exact"/>
              <w:rPr>
                <w:rFonts w:hint="eastAsia" w:ascii="Times New Roman"/>
                <w:szCs w:val="21"/>
              </w:rPr>
            </w:pPr>
          </w:p>
          <w:p>
            <w:pPr>
              <w:spacing w:line="420" w:lineRule="exact"/>
              <w:rPr>
                <w:rFonts w:hint="eastAsia" w:ascii="Times New Roman"/>
                <w:szCs w:val="21"/>
              </w:rPr>
            </w:pPr>
          </w:p>
          <w:p>
            <w:pPr>
              <w:spacing w:line="420" w:lineRule="exact"/>
              <w:rPr>
                <w:rFonts w:hint="eastAsia" w:ascii="Times New Roman"/>
                <w:szCs w:val="21"/>
              </w:rPr>
            </w:pPr>
          </w:p>
          <w:p>
            <w:pPr>
              <w:spacing w:line="420" w:lineRule="exact"/>
              <w:rPr>
                <w:rFonts w:hint="eastAsia" w:ascii="Times New Roman"/>
                <w:szCs w:val="21"/>
              </w:rPr>
            </w:pPr>
          </w:p>
          <w:p>
            <w:pPr>
              <w:spacing w:line="420" w:lineRule="exact"/>
              <w:rPr>
                <w:rFonts w:hint="eastAsia" w:ascii="Times New Roman"/>
                <w:szCs w:val="21"/>
              </w:rPr>
            </w:pPr>
          </w:p>
          <w:p>
            <w:pPr>
              <w:spacing w:line="420" w:lineRule="exact"/>
              <w:rPr>
                <w:rFonts w:hint="eastAsia" w:ascii="Times New Roman"/>
                <w:szCs w:val="21"/>
              </w:rPr>
            </w:pPr>
          </w:p>
          <w:p>
            <w:pPr>
              <w:spacing w:line="420" w:lineRule="exact"/>
              <w:rPr>
                <w:rFonts w:hint="eastAsia" w:ascii="Times New Roman"/>
                <w:szCs w:val="21"/>
              </w:rPr>
            </w:pPr>
          </w:p>
          <w:p>
            <w:pPr>
              <w:spacing w:line="420" w:lineRule="exact"/>
              <w:rPr>
                <w:rFonts w:hint="eastAsia" w:ascii="Times New Roman"/>
                <w:szCs w:val="21"/>
              </w:rPr>
            </w:pPr>
          </w:p>
          <w:p>
            <w:pPr>
              <w:spacing w:line="420" w:lineRule="exact"/>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528" w:type="dxa"/>
            <w:vMerge w:val="restart"/>
            <w:tcBorders>
              <w:top w:val="single" w:color="auto" w:sz="4" w:space="0"/>
              <w:left w:val="single" w:color="auto" w:sz="8" w:space="0"/>
              <w:bottom w:val="single" w:color="auto" w:sz="4" w:space="0"/>
              <w:right w:val="single" w:color="auto" w:sz="4" w:space="0"/>
            </w:tcBorders>
            <w:noWrap w:val="0"/>
            <w:vAlign w:val="center"/>
          </w:tcPr>
          <w:p>
            <w:pPr>
              <w:spacing w:line="420" w:lineRule="exact"/>
              <w:jc w:val="center"/>
              <w:rPr>
                <w:rFonts w:ascii="Times New Roman"/>
                <w:szCs w:val="21"/>
              </w:rPr>
            </w:pPr>
            <w:r>
              <w:rPr>
                <w:rFonts w:hint="eastAsia" w:ascii="Times New Roman"/>
                <w:szCs w:val="21"/>
              </w:rPr>
              <w:t>施</w:t>
            </w:r>
          </w:p>
          <w:p>
            <w:pPr>
              <w:spacing w:line="420" w:lineRule="exact"/>
              <w:jc w:val="center"/>
              <w:rPr>
                <w:rFonts w:hint="eastAsia" w:ascii="Times New Roman"/>
                <w:szCs w:val="21"/>
              </w:rPr>
            </w:pPr>
            <w:r>
              <w:rPr>
                <w:rFonts w:hint="eastAsia" w:ascii="Times New Roman"/>
                <w:szCs w:val="21"/>
              </w:rPr>
              <w:t>工</w:t>
            </w:r>
          </w:p>
          <w:p>
            <w:pPr>
              <w:spacing w:line="420" w:lineRule="exact"/>
              <w:jc w:val="center"/>
              <w:rPr>
                <w:rFonts w:hint="eastAsia" w:ascii="Times New Roman"/>
                <w:szCs w:val="21"/>
              </w:rPr>
            </w:pPr>
            <w:r>
              <w:rPr>
                <w:rFonts w:hint="eastAsia" w:ascii="Times New Roman"/>
                <w:szCs w:val="21"/>
              </w:rPr>
              <w:t>情</w:t>
            </w:r>
          </w:p>
          <w:p>
            <w:pPr>
              <w:spacing w:line="420" w:lineRule="exact"/>
              <w:jc w:val="center"/>
              <w:rPr>
                <w:rFonts w:ascii="Times New Roman"/>
                <w:szCs w:val="21"/>
              </w:rPr>
            </w:pPr>
            <w:r>
              <w:rPr>
                <w:rFonts w:hint="eastAsia" w:ascii="Times New Roman"/>
                <w:szCs w:val="21"/>
              </w:rPr>
              <w:t>况</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szCs w:val="21"/>
              </w:rPr>
            </w:pPr>
            <w:r>
              <w:rPr>
                <w:rFonts w:hint="eastAsia" w:ascii="Times New Roman"/>
                <w:szCs w:val="21"/>
              </w:rPr>
              <w:t>施工单位</w:t>
            </w:r>
          </w:p>
        </w:tc>
        <w:tc>
          <w:tcPr>
            <w:tcW w:w="6653" w:type="dxa"/>
            <w:gridSpan w:val="2"/>
            <w:tcBorders>
              <w:top w:val="single" w:color="auto" w:sz="4" w:space="0"/>
              <w:left w:val="single" w:color="auto" w:sz="4" w:space="0"/>
              <w:bottom w:val="single" w:color="auto" w:sz="4" w:space="0"/>
              <w:right w:val="single" w:color="auto" w:sz="8" w:space="0"/>
            </w:tcBorders>
            <w:noWrap w:val="0"/>
            <w:vAlign w:val="center"/>
          </w:tcPr>
          <w:p>
            <w:pPr>
              <w:jc w:val="center"/>
              <w:rPr>
                <w:rFonts w:ascii="Times New Roman"/>
                <w:szCs w:val="21"/>
              </w:rPr>
            </w:pPr>
            <w:r>
              <w:rPr>
                <w:rFonts w:hint="eastAsia" w:ascii="Times New Roman"/>
                <w:szCs w:val="21"/>
              </w:rPr>
              <w:t>施工内容及进度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48" w:hRule="atLeast"/>
          <w:jc w:val="center"/>
        </w:trPr>
        <w:tc>
          <w:tcPr>
            <w:tcW w:w="528"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ascii="Times New Roman"/>
                <w:szCs w:val="21"/>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rPr>
                <w:rFonts w:ascii="Times New Roman"/>
                <w:szCs w:val="21"/>
              </w:rPr>
            </w:pPr>
          </w:p>
        </w:tc>
        <w:tc>
          <w:tcPr>
            <w:tcW w:w="6653" w:type="dxa"/>
            <w:gridSpan w:val="2"/>
            <w:tcBorders>
              <w:top w:val="single" w:color="auto" w:sz="4" w:space="0"/>
              <w:left w:val="single" w:color="auto" w:sz="4" w:space="0"/>
              <w:bottom w:val="single" w:color="auto" w:sz="4" w:space="0"/>
              <w:right w:val="single" w:color="auto" w:sz="8" w:space="0"/>
            </w:tcBorders>
            <w:noWrap w:val="0"/>
            <w:vAlign w:val="top"/>
          </w:tcPr>
          <w:p>
            <w:pPr>
              <w:rPr>
                <w:rFonts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698" w:hRule="atLeast"/>
          <w:jc w:val="center"/>
        </w:trPr>
        <w:tc>
          <w:tcPr>
            <w:tcW w:w="528" w:type="dxa"/>
            <w:tcBorders>
              <w:top w:val="single" w:color="auto" w:sz="4" w:space="0"/>
              <w:left w:val="single" w:color="auto" w:sz="8" w:space="0"/>
              <w:bottom w:val="single" w:color="auto" w:sz="4" w:space="0"/>
              <w:right w:val="single" w:color="auto" w:sz="4" w:space="0"/>
            </w:tcBorders>
            <w:noWrap w:val="0"/>
            <w:vAlign w:val="center"/>
          </w:tcPr>
          <w:p>
            <w:pPr>
              <w:spacing w:line="420" w:lineRule="exact"/>
              <w:jc w:val="distribute"/>
              <w:rPr>
                <w:rFonts w:ascii="Times New Roman"/>
                <w:szCs w:val="21"/>
              </w:rPr>
            </w:pPr>
            <w:r>
              <w:rPr>
                <w:rFonts w:hint="eastAsia" w:ascii="Times New Roman"/>
                <w:szCs w:val="21"/>
              </w:rPr>
              <w:t>其</w:t>
            </w:r>
          </w:p>
          <w:p>
            <w:pPr>
              <w:spacing w:line="420" w:lineRule="exact"/>
              <w:jc w:val="distribute"/>
              <w:rPr>
                <w:rFonts w:hint="eastAsia" w:ascii="Times New Roman"/>
                <w:szCs w:val="21"/>
              </w:rPr>
            </w:pPr>
            <w:r>
              <w:rPr>
                <w:rFonts w:hint="eastAsia" w:ascii="Times New Roman"/>
                <w:szCs w:val="21"/>
              </w:rPr>
              <w:t>它</w:t>
            </w:r>
          </w:p>
          <w:p>
            <w:pPr>
              <w:spacing w:line="420" w:lineRule="exact"/>
              <w:jc w:val="distribute"/>
              <w:rPr>
                <w:rFonts w:hint="eastAsia" w:ascii="Times New Roman"/>
                <w:szCs w:val="21"/>
              </w:rPr>
            </w:pPr>
            <w:r>
              <w:rPr>
                <w:rFonts w:hint="eastAsia" w:ascii="Times New Roman"/>
                <w:szCs w:val="21"/>
              </w:rPr>
              <w:t>事</w:t>
            </w:r>
          </w:p>
          <w:p>
            <w:pPr>
              <w:spacing w:line="420" w:lineRule="exact"/>
              <w:jc w:val="distribute"/>
              <w:rPr>
                <w:rFonts w:ascii="Times New Roman"/>
                <w:szCs w:val="21"/>
              </w:rPr>
            </w:pPr>
            <w:r>
              <w:rPr>
                <w:rFonts w:hint="eastAsia" w:ascii="Times New Roman"/>
                <w:szCs w:val="21"/>
              </w:rPr>
              <w:t>项</w:t>
            </w:r>
          </w:p>
        </w:tc>
        <w:tc>
          <w:tcPr>
            <w:tcW w:w="7913" w:type="dxa"/>
            <w:gridSpan w:val="3"/>
            <w:tcBorders>
              <w:top w:val="single" w:color="auto" w:sz="4" w:space="0"/>
              <w:left w:val="single" w:color="auto" w:sz="4" w:space="0"/>
              <w:bottom w:val="single" w:color="auto" w:sz="4" w:space="0"/>
              <w:right w:val="single" w:color="auto" w:sz="8" w:space="0"/>
            </w:tcBorders>
            <w:noWrap w:val="0"/>
            <w:vAlign w:val="center"/>
          </w:tcPr>
          <w:p>
            <w:pPr>
              <w:spacing w:line="360" w:lineRule="auto"/>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09" w:hRule="exact"/>
          <w:jc w:val="center"/>
        </w:trPr>
        <w:tc>
          <w:tcPr>
            <w:tcW w:w="4296" w:type="dxa"/>
            <w:gridSpan w:val="3"/>
            <w:tcBorders>
              <w:top w:val="single" w:color="auto" w:sz="4" w:space="0"/>
              <w:left w:val="single" w:color="auto" w:sz="8" w:space="0"/>
              <w:bottom w:val="single" w:color="auto" w:sz="8" w:space="0"/>
              <w:right w:val="single" w:color="auto" w:sz="4" w:space="0"/>
            </w:tcBorders>
            <w:noWrap w:val="0"/>
            <w:vAlign w:val="center"/>
          </w:tcPr>
          <w:p>
            <w:pPr>
              <w:spacing w:before="156" w:beforeLines="50"/>
              <w:rPr>
                <w:rFonts w:ascii="Times New Roman"/>
                <w:szCs w:val="21"/>
              </w:rPr>
            </w:pPr>
            <w:r>
              <w:rPr>
                <w:rFonts w:hint="eastAsia" w:ascii="Times New Roman"/>
                <w:szCs w:val="21"/>
              </w:rPr>
              <w:t>记录人（签字）:</w:t>
            </w:r>
          </w:p>
        </w:tc>
        <w:tc>
          <w:tcPr>
            <w:tcW w:w="4145" w:type="dxa"/>
            <w:tcBorders>
              <w:top w:val="single" w:color="auto" w:sz="4" w:space="0"/>
              <w:left w:val="single" w:color="auto" w:sz="4" w:space="0"/>
              <w:bottom w:val="single" w:color="auto" w:sz="8" w:space="0"/>
              <w:right w:val="single" w:color="auto" w:sz="8" w:space="0"/>
            </w:tcBorders>
            <w:noWrap w:val="0"/>
            <w:vAlign w:val="center"/>
          </w:tcPr>
          <w:p>
            <w:pPr>
              <w:spacing w:before="156" w:beforeLines="50"/>
              <w:rPr>
                <w:rFonts w:ascii="Times New Roman"/>
                <w:szCs w:val="21"/>
              </w:rPr>
            </w:pPr>
            <w:r>
              <w:rPr>
                <w:rFonts w:hint="eastAsia" w:ascii="Times New Roman"/>
                <w:szCs w:val="21"/>
              </w:rPr>
              <w:t>审核人（签字）：</w:t>
            </w:r>
          </w:p>
        </w:tc>
      </w:tr>
    </w:tbl>
    <w:p>
      <w:pPr>
        <w:jc w:val="right"/>
        <w:rPr>
          <w:rFonts w:ascii="Times New Roman" w:eastAsia="隶书"/>
        </w:rPr>
      </w:pPr>
      <w:r>
        <w:rPr>
          <w:rFonts w:hint="eastAsia" w:ascii="Times New Roman" w:eastAsia="隶书"/>
        </w:rPr>
        <w:t>第六版表                                              江苏省住房和城乡建设厅监制</w:t>
      </w:r>
    </w:p>
    <w:p>
      <w:pPr>
        <w:widowControl/>
        <w:jc w:val="left"/>
        <w:rPr>
          <w:rFonts w:eastAsia="黑体"/>
          <w:b/>
          <w:w w:val="90"/>
          <w:sz w:val="28"/>
          <w:szCs w:val="28"/>
          <w14:shadow w14:blurRad="50800" w14:dist="38100" w14:dir="2700000" w14:sx="100000" w14:sy="100000" w14:kx="0" w14:ky="0" w14:algn="tl">
            <w14:srgbClr w14:val="000000">
              <w14:alpha w14:val="60000"/>
            </w14:srgbClr>
          </w14:shadow>
        </w:rPr>
        <w:sectPr>
          <w:pgSz w:w="11906" w:h="16838"/>
          <w:pgMar w:top="1021" w:right="1701" w:bottom="1701" w:left="1701" w:header="851" w:footer="992" w:gutter="0"/>
          <w:cols w:space="720" w:num="1"/>
          <w:docGrid w:type="lines" w:linePitch="312" w:charSpace="0"/>
        </w:sectPr>
      </w:pPr>
    </w:p>
    <w:p>
      <w:pPr>
        <w:spacing w:line="380" w:lineRule="exact"/>
        <w:jc w:val="right"/>
        <w:rPr>
          <w:rFonts w:hint="eastAsia" w:eastAsia="黑体"/>
          <w:b/>
          <w:w w:val="90"/>
          <w:sz w:val="28"/>
          <w:szCs w:val="28"/>
          <w14:shadow w14:blurRad="50800" w14:dist="38100" w14:dir="2700000" w14:sx="100000" w14:sy="100000" w14:kx="0" w14:ky="0" w14:algn="tl">
            <w14:srgbClr w14:val="000000">
              <w14:alpha w14:val="60000"/>
            </w14:srgbClr>
          </w14:shadow>
        </w:rPr>
      </w:pPr>
      <w:r>
        <w:rPr>
          <w:rFonts w:eastAsia="黑体"/>
          <w:b/>
          <w:w w:val="90"/>
          <w:sz w:val="28"/>
          <w:szCs w:val="28"/>
          <w14:shadow w14:blurRad="50800" w14:dist="38100" w14:dir="2700000" w14:sx="100000" w14:sy="100000" w14:kx="0" w14:ky="0" w14:algn="tl">
            <w14:srgbClr w14:val="000000">
              <w14:alpha w14:val="60000"/>
            </w14:srgbClr>
          </w14:shadow>
        </w:rPr>
        <w:t>A .0.3</w:t>
      </w:r>
    </w:p>
    <w:p>
      <w:pPr>
        <w:spacing w:before="468" w:beforeLines="150" w:after="156" w:afterLines="50"/>
        <w:jc w:val="center"/>
        <w:rPr>
          <w:rFonts w:ascii="Times New Roman" w:hAnsi="Times New Roman"/>
          <w:sz w:val="32"/>
          <w:szCs w:val="32"/>
        </w:rPr>
      </w:pPr>
      <w:r>
        <w:rPr>
          <w:rFonts w:hint="eastAsia" w:eastAsia="微软简标宋"/>
          <w:sz w:val="36"/>
          <w:u w:val="single"/>
        </w:rPr>
        <w:t>　　　　　　　　　　　　　　　　　　　</w:t>
      </w:r>
      <w:r>
        <w:rPr>
          <w:rFonts w:hint="eastAsia" w:ascii="Times New Roman" w:hAnsi="Times New Roman" w:eastAsia="黑体"/>
          <w:sz w:val="44"/>
          <w14:shadow w14:blurRad="50800" w14:dist="38100" w14:dir="2700000" w14:sx="100000" w14:sy="100000" w14:kx="0" w14:ky="0" w14:algn="tl">
            <w14:srgbClr w14:val="000000">
              <w14:alpha w14:val="60000"/>
            </w14:srgbClr>
          </w14:shadow>
        </w:rPr>
        <w:t>工程</w:t>
      </w:r>
    </w:p>
    <w:p>
      <w:pPr>
        <w:spacing w:before="240" w:after="240"/>
        <w:jc w:val="center"/>
        <w:rPr>
          <w:rFonts w:hint="eastAsia" w:ascii="Times New Roman" w:eastAsia="黑体"/>
          <w:spacing w:val="40"/>
          <w:w w:val="200"/>
          <w:sz w:val="52"/>
          <w:szCs w:val="52"/>
          <w14:shadow w14:blurRad="50800" w14:dist="38100" w14:dir="2700000" w14:sx="100000" w14:sy="100000" w14:kx="0" w14:ky="0" w14:algn="tl">
            <w14:srgbClr w14:val="000000">
              <w14:alpha w14:val="60000"/>
            </w14:srgbClr>
          </w14:shadow>
        </w:rPr>
      </w:pPr>
      <w:r>
        <w:rPr>
          <w:rFonts w:hint="eastAsia" w:ascii="Times New Roman" w:eastAsia="黑体"/>
          <w:spacing w:val="40"/>
          <w:w w:val="200"/>
          <w:sz w:val="52"/>
          <w:szCs w:val="52"/>
          <w14:shadow w14:blurRad="50800" w14:dist="38100" w14:dir="2700000" w14:sx="100000" w14:sy="100000" w14:kx="0" w14:ky="0" w14:algn="tl">
            <w14:srgbClr w14:val="000000">
              <w14:alpha w14:val="60000"/>
            </w14:srgbClr>
          </w14:shadow>
        </w:rPr>
        <w:t>监理规划</w:t>
      </w:r>
    </w:p>
    <w:p>
      <w:pPr>
        <w:spacing w:before="120"/>
        <w:jc w:val="center"/>
        <w:rPr>
          <w:rFonts w:hint="eastAsia" w:ascii="Times New Roman" w:hAnsi="Times New Roman"/>
          <w:szCs w:val="21"/>
        </w:rPr>
      </w:pPr>
      <w:r>
        <w:rPr>
          <w:rFonts w:hint="eastAsia" w:ascii="Times New Roman" w:eastAsia="微软简标宋"/>
          <w:szCs w:val="21"/>
          <w:u w:val="single"/>
        </w:rPr>
        <w:t xml:space="preserve">         </w:t>
      </w:r>
      <w:r>
        <w:rPr>
          <w:rFonts w:hint="eastAsia" w:ascii="Times New Roman" w:hAnsi="Times New Roman"/>
          <w:szCs w:val="21"/>
        </w:rPr>
        <w:t>年</w:t>
      </w:r>
      <w:r>
        <w:rPr>
          <w:rFonts w:hint="eastAsia" w:ascii="Times New Roman" w:hAnsi="Times New Roman"/>
          <w:szCs w:val="21"/>
          <w:u w:val="single"/>
        </w:rPr>
        <w:t>　　　</w:t>
      </w:r>
      <w:r>
        <w:rPr>
          <w:rFonts w:hint="eastAsia" w:ascii="Times New Roman" w:hAnsi="Times New Roman"/>
          <w:szCs w:val="21"/>
        </w:rPr>
        <w:t>月</w:t>
      </w:r>
      <w:r>
        <w:rPr>
          <w:rFonts w:hint="eastAsia" w:ascii="Times New Roman" w:hAnsi="Times New Roman"/>
          <w:szCs w:val="21"/>
          <w:u w:val="single"/>
        </w:rPr>
        <w:t>　　　</w:t>
      </w:r>
      <w:r>
        <w:rPr>
          <w:rFonts w:hint="eastAsia" w:ascii="Times New Roman" w:hAnsi="Times New Roman"/>
          <w:szCs w:val="21"/>
        </w:rPr>
        <w:t>日　至　</w:t>
      </w:r>
      <w:r>
        <w:rPr>
          <w:rFonts w:hint="eastAsia" w:ascii="Times New Roman" w:hAnsi="Times New Roman"/>
          <w:szCs w:val="21"/>
          <w:u w:val="single"/>
        </w:rPr>
        <w:t>　　 　</w:t>
      </w:r>
      <w:r>
        <w:rPr>
          <w:rFonts w:hint="eastAsia" w:ascii="Times New Roman" w:hAnsi="Times New Roman"/>
          <w:szCs w:val="21"/>
        </w:rPr>
        <w:t>年</w:t>
      </w:r>
      <w:r>
        <w:rPr>
          <w:rFonts w:hint="eastAsia" w:ascii="Times New Roman" w:hAnsi="Times New Roman"/>
          <w:szCs w:val="21"/>
          <w:u w:val="single"/>
        </w:rPr>
        <w:t>　　　</w:t>
      </w:r>
      <w:r>
        <w:rPr>
          <w:rFonts w:hint="eastAsia" w:ascii="Times New Roman" w:hAnsi="Times New Roman"/>
          <w:szCs w:val="21"/>
        </w:rPr>
        <w:t>月</w:t>
      </w:r>
      <w:r>
        <w:rPr>
          <w:rFonts w:hint="eastAsia" w:ascii="Times New Roman" w:hAnsi="Times New Roman"/>
          <w:szCs w:val="21"/>
          <w:u w:val="single"/>
        </w:rPr>
        <w:t>　　　</w:t>
      </w:r>
      <w:r>
        <w:rPr>
          <w:rFonts w:hint="eastAsia" w:ascii="Times New Roman" w:hAnsi="Times New Roman"/>
          <w:szCs w:val="21"/>
        </w:rPr>
        <w:t>日</w:t>
      </w:r>
    </w:p>
    <w:p>
      <w:pPr>
        <w:spacing w:before="120"/>
        <w:jc w:val="center"/>
        <w:rPr>
          <w:rFonts w:hint="eastAsia" w:ascii="Times New Roman" w:eastAsia="微软简标宋"/>
          <w:sz w:val="28"/>
        </w:rPr>
      </w:pPr>
    </w:p>
    <w:p>
      <w:pPr>
        <w:spacing w:line="360" w:lineRule="exact"/>
        <w:ind w:firstLine="1937" w:firstLineChars="804"/>
        <w:rPr>
          <w:rFonts w:hint="eastAsia"/>
          <w:b/>
          <w:sz w:val="24"/>
        </w:rPr>
      </w:pPr>
      <w:r>
        <w:rPr>
          <w:rFonts w:hint="eastAsia"/>
          <w:b/>
          <w:sz w:val="24"/>
        </w:rPr>
        <w:t>内容提要：</w:t>
      </w:r>
      <w:r>
        <w:rPr>
          <w:b/>
          <w:sz w:val="24"/>
        </w:rPr>
        <w:t xml:space="preserve"> </w:t>
      </w:r>
    </w:p>
    <w:p>
      <w:pPr>
        <w:spacing w:line="360" w:lineRule="exact"/>
        <w:rPr>
          <w:sz w:val="24"/>
        </w:rPr>
      </w:pPr>
      <w:r>
        <w:rPr>
          <w:sz w:val="24"/>
        </w:rPr>
        <w:t xml:space="preserve">                </w:t>
      </w:r>
      <w:r>
        <w:rPr>
          <w:rFonts w:hint="eastAsia"/>
          <w:sz w:val="24"/>
        </w:rPr>
        <w:t>工程概况</w:t>
      </w:r>
    </w:p>
    <w:p>
      <w:pPr>
        <w:spacing w:line="360" w:lineRule="exact"/>
        <w:rPr>
          <w:sz w:val="24"/>
        </w:rPr>
      </w:pPr>
      <w:r>
        <w:rPr>
          <w:sz w:val="24"/>
        </w:rPr>
        <w:t xml:space="preserve">                </w:t>
      </w:r>
      <w:r>
        <w:rPr>
          <w:rFonts w:hint="eastAsia"/>
          <w:sz w:val="24"/>
        </w:rPr>
        <w:t>监理工作范围、内容、目标</w:t>
      </w:r>
    </w:p>
    <w:p>
      <w:pPr>
        <w:spacing w:line="360" w:lineRule="exact"/>
        <w:ind w:firstLine="1920" w:firstLineChars="800"/>
        <w:rPr>
          <w:sz w:val="24"/>
        </w:rPr>
      </w:pPr>
      <w:r>
        <w:rPr>
          <w:rFonts w:hint="eastAsia"/>
          <w:sz w:val="24"/>
        </w:rPr>
        <w:t>监理工作依据</w:t>
      </w:r>
    </w:p>
    <w:p>
      <w:pPr>
        <w:tabs>
          <w:tab w:val="left" w:pos="2260"/>
        </w:tabs>
        <w:spacing w:line="360" w:lineRule="exact"/>
        <w:rPr>
          <w:sz w:val="24"/>
        </w:rPr>
      </w:pPr>
      <w:r>
        <w:rPr>
          <w:sz w:val="24"/>
        </w:rPr>
        <w:t xml:space="preserve">                </w:t>
      </w:r>
      <w:r>
        <w:rPr>
          <w:rFonts w:hint="eastAsia"/>
          <w:sz w:val="24"/>
        </w:rPr>
        <w:t>监理组织形式、人员配备及进退场计划、岗位职责</w:t>
      </w:r>
    </w:p>
    <w:p>
      <w:pPr>
        <w:spacing w:line="360" w:lineRule="exact"/>
        <w:rPr>
          <w:sz w:val="24"/>
        </w:rPr>
      </w:pPr>
      <w:r>
        <w:rPr>
          <w:sz w:val="24"/>
        </w:rPr>
        <w:t xml:space="preserve">                </w:t>
      </w:r>
      <w:r>
        <w:rPr>
          <w:rFonts w:hint="eastAsia"/>
          <w:sz w:val="24"/>
        </w:rPr>
        <w:t>监理工作制度</w:t>
      </w:r>
    </w:p>
    <w:p>
      <w:pPr>
        <w:spacing w:line="360" w:lineRule="exact"/>
        <w:rPr>
          <w:sz w:val="24"/>
        </w:rPr>
      </w:pPr>
      <w:r>
        <w:rPr>
          <w:sz w:val="24"/>
        </w:rPr>
        <w:t xml:space="preserve">                </w:t>
      </w:r>
      <w:r>
        <w:rPr>
          <w:rFonts w:hint="eastAsia"/>
          <w:sz w:val="24"/>
        </w:rPr>
        <w:t>工程质量控制</w:t>
      </w:r>
    </w:p>
    <w:p>
      <w:pPr>
        <w:spacing w:line="360" w:lineRule="exact"/>
        <w:rPr>
          <w:sz w:val="24"/>
        </w:rPr>
      </w:pPr>
      <w:r>
        <w:rPr>
          <w:sz w:val="24"/>
        </w:rPr>
        <w:t xml:space="preserve">                </w:t>
      </w:r>
      <w:r>
        <w:rPr>
          <w:rFonts w:hint="eastAsia"/>
          <w:sz w:val="24"/>
        </w:rPr>
        <w:t>工程造价控制</w:t>
      </w:r>
    </w:p>
    <w:p>
      <w:pPr>
        <w:spacing w:line="360" w:lineRule="exact"/>
        <w:rPr>
          <w:sz w:val="24"/>
        </w:rPr>
      </w:pPr>
      <w:r>
        <w:rPr>
          <w:sz w:val="24"/>
        </w:rPr>
        <w:t xml:space="preserve">                </w:t>
      </w:r>
      <w:r>
        <w:rPr>
          <w:rFonts w:hint="eastAsia"/>
          <w:sz w:val="24"/>
        </w:rPr>
        <w:t>工程进度控制</w:t>
      </w:r>
    </w:p>
    <w:p>
      <w:pPr>
        <w:spacing w:line="360" w:lineRule="exact"/>
        <w:rPr>
          <w:sz w:val="24"/>
        </w:rPr>
      </w:pPr>
      <w:r>
        <w:rPr>
          <w:sz w:val="24"/>
        </w:rPr>
        <w:t xml:space="preserve">                </w:t>
      </w:r>
      <w:r>
        <w:rPr>
          <w:rFonts w:hint="eastAsia"/>
          <w:sz w:val="24"/>
        </w:rPr>
        <w:t>安全生产管理的监理工作</w:t>
      </w:r>
    </w:p>
    <w:p>
      <w:pPr>
        <w:spacing w:line="360" w:lineRule="exact"/>
        <w:rPr>
          <w:sz w:val="24"/>
        </w:rPr>
      </w:pPr>
      <w:r>
        <w:rPr>
          <w:sz w:val="24"/>
        </w:rPr>
        <w:t xml:space="preserve">                </w:t>
      </w:r>
      <w:r>
        <w:rPr>
          <w:rFonts w:hint="eastAsia"/>
          <w:sz w:val="24"/>
        </w:rPr>
        <w:t>合同与信息管理</w:t>
      </w:r>
    </w:p>
    <w:p>
      <w:pPr>
        <w:spacing w:line="360" w:lineRule="exact"/>
        <w:rPr>
          <w:sz w:val="24"/>
        </w:rPr>
      </w:pPr>
      <w:r>
        <w:rPr>
          <w:sz w:val="24"/>
        </w:rPr>
        <w:t xml:space="preserve">                </w:t>
      </w:r>
      <w:r>
        <w:rPr>
          <w:rFonts w:hint="eastAsia"/>
          <w:sz w:val="24"/>
        </w:rPr>
        <w:t>组织协调</w:t>
      </w:r>
    </w:p>
    <w:p>
      <w:pPr>
        <w:spacing w:line="360" w:lineRule="exact"/>
        <w:rPr>
          <w:sz w:val="24"/>
        </w:rPr>
      </w:pPr>
      <w:r>
        <w:rPr>
          <w:sz w:val="24"/>
        </w:rPr>
        <w:t xml:space="preserve">                </w:t>
      </w:r>
      <w:r>
        <w:rPr>
          <w:rFonts w:hint="eastAsia"/>
          <w:sz w:val="24"/>
        </w:rPr>
        <w:t>监理工作设施</w:t>
      </w:r>
    </w:p>
    <w:p>
      <w:pPr>
        <w:rPr>
          <w:sz w:val="28"/>
        </w:rPr>
      </w:pPr>
    </w:p>
    <w:p>
      <w:pPr>
        <w:rPr>
          <w:rFonts w:ascii="Times New Roman"/>
          <w:bCs/>
          <w:sz w:val="30"/>
          <w:u w:val="single"/>
        </w:rPr>
      </w:pPr>
      <w:r>
        <w:rPr>
          <w:sz w:val="28"/>
        </w:rPr>
        <w:t xml:space="preserve">           </w:t>
      </w:r>
      <w:r>
        <w:rPr>
          <w:rFonts w:hint="eastAsia" w:ascii="Times New Roman"/>
          <w:bCs/>
          <w:sz w:val="30"/>
        </w:rPr>
        <w:t>监理单位（章）：</w:t>
      </w:r>
      <w:r>
        <w:rPr>
          <w:rFonts w:hint="eastAsia" w:ascii="Times New Roman"/>
          <w:bCs/>
          <w:sz w:val="30"/>
          <w:u w:val="single"/>
        </w:rPr>
        <w:t xml:space="preserve">　　　      　　                </w:t>
      </w:r>
    </w:p>
    <w:p>
      <w:pPr>
        <w:rPr>
          <w:rFonts w:hint="eastAsia" w:ascii="Times New Roman"/>
          <w:bCs/>
          <w:sz w:val="30"/>
          <w:u w:val="single"/>
        </w:rPr>
      </w:pPr>
      <w:r>
        <w:rPr>
          <w:rFonts w:hint="eastAsia" w:ascii="Times New Roman"/>
          <w:bCs/>
          <w:sz w:val="30"/>
        </w:rPr>
        <w:t>　　　　　总监理工程师（签字）：</w:t>
      </w:r>
      <w:r>
        <w:rPr>
          <w:rFonts w:hint="eastAsia" w:ascii="Times New Roman"/>
          <w:bCs/>
          <w:sz w:val="30"/>
          <w:u w:val="single"/>
        </w:rPr>
        <w:t>　　　　 　　        　　</w:t>
      </w:r>
    </w:p>
    <w:p>
      <w:pPr>
        <w:rPr>
          <w:rFonts w:hint="eastAsia" w:ascii="Times New Roman" w:eastAsia="微软简标宋"/>
          <w:bCs/>
          <w:sz w:val="30"/>
          <w:u w:val="single"/>
        </w:rPr>
      </w:pPr>
      <w:r>
        <w:rPr>
          <w:rFonts w:hint="eastAsia" w:ascii="Times New Roman"/>
          <w:bCs/>
          <w:sz w:val="30"/>
        </w:rPr>
        <w:t xml:space="preserve">          监理单位技术负责人（签字）：</w:t>
      </w:r>
      <w:r>
        <w:rPr>
          <w:rFonts w:hint="eastAsia" w:ascii="Times New Roman"/>
          <w:bCs/>
          <w:sz w:val="30"/>
          <w:u w:val="single"/>
        </w:rPr>
        <w:t xml:space="preserve">                    </w:t>
      </w:r>
    </w:p>
    <w:p>
      <w:pPr>
        <w:spacing w:after="480"/>
        <w:rPr>
          <w:rFonts w:hint="eastAsia"/>
          <w:bCs/>
          <w:sz w:val="32"/>
          <w:u w:val="single"/>
        </w:rPr>
      </w:pPr>
      <w:r>
        <w:rPr>
          <w:rFonts w:hint="eastAsia"/>
          <w:bCs/>
          <w:sz w:val="30"/>
        </w:rPr>
        <w:t>　　　　　日</w:t>
      </w:r>
      <w:r>
        <w:rPr>
          <w:bCs/>
          <w:sz w:val="30"/>
        </w:rPr>
        <w:t xml:space="preserve">          </w:t>
      </w:r>
      <w:r>
        <w:rPr>
          <w:rFonts w:hint="eastAsia"/>
          <w:bCs/>
          <w:sz w:val="30"/>
        </w:rPr>
        <w:t>期：</w:t>
      </w:r>
      <w:r>
        <w:rPr>
          <w:rFonts w:hint="eastAsia"/>
          <w:bCs/>
          <w:sz w:val="30"/>
          <w:u w:val="single"/>
        </w:rPr>
        <w:t>　　　　</w:t>
      </w:r>
      <w:r>
        <w:rPr>
          <w:bCs/>
          <w:sz w:val="30"/>
          <w:u w:val="single"/>
        </w:rPr>
        <w:t xml:space="preserve"> </w:t>
      </w:r>
      <w:r>
        <w:rPr>
          <w:rFonts w:hint="eastAsia"/>
          <w:bCs/>
          <w:sz w:val="30"/>
          <w:u w:val="single"/>
        </w:rPr>
        <w:t>　　　</w:t>
      </w:r>
      <w:r>
        <w:rPr>
          <w:bCs/>
          <w:sz w:val="30"/>
          <w:u w:val="single"/>
        </w:rPr>
        <w:t xml:space="preserve">              </w:t>
      </w:r>
      <w:r>
        <w:rPr>
          <w:rFonts w:hint="eastAsia"/>
          <w:bCs/>
          <w:sz w:val="30"/>
          <w:u w:val="single"/>
        </w:rPr>
        <w:t>　</w:t>
      </w:r>
    </w:p>
    <w:p>
      <w:pPr>
        <w:jc w:val="center"/>
        <w:rPr>
          <w:rFonts w:ascii="Times New Roman" w:eastAsia="隶书"/>
        </w:rPr>
      </w:pPr>
    </w:p>
    <w:p>
      <w:pPr>
        <w:jc w:val="center"/>
        <w:rPr>
          <w:rFonts w:hint="eastAsia" w:ascii="Times New Roman" w:eastAsia="隶书"/>
        </w:rPr>
      </w:pPr>
    </w:p>
    <w:p>
      <w:pPr>
        <w:jc w:val="center"/>
        <w:rPr>
          <w:rFonts w:hint="eastAsia" w:ascii="Times New Roman" w:eastAsia="隶书"/>
        </w:rPr>
      </w:pPr>
      <w:r>
        <w:rPr>
          <w:rFonts w:hint="eastAsia" w:ascii="Times New Roman" w:eastAsia="隶书"/>
        </w:rPr>
        <w:t>第六版表                                              江苏省住房和城乡建设厅监制</w:t>
      </w:r>
    </w:p>
    <w:p>
      <w:pPr>
        <w:spacing w:line="380" w:lineRule="exact"/>
        <w:jc w:val="right"/>
        <w:rPr>
          <w:rFonts w:hint="eastAsia" w:ascii="Times New Roman" w:eastAsia="黑体"/>
          <w:b/>
          <w:sz w:val="28"/>
          <w:szCs w:val="28"/>
          <w14:shadow w14:blurRad="50800" w14:dist="38100" w14:dir="2700000" w14:sx="100000" w14:sy="100000" w14:kx="0" w14:ky="0" w14:algn="tl">
            <w14:srgbClr w14:val="000000">
              <w14:alpha w14:val="60000"/>
            </w14:srgbClr>
          </w14:shadow>
        </w:rPr>
      </w:pPr>
      <w:r>
        <w:rPr>
          <w:rFonts w:eastAsia="黑体"/>
          <w:b/>
          <w:w w:val="90"/>
          <w:sz w:val="28"/>
          <w:szCs w:val="28"/>
          <w14:shadow w14:blurRad="50800" w14:dist="38100" w14:dir="2700000" w14:sx="100000" w14:sy="100000" w14:kx="0" w14:ky="0" w14:algn="tl">
            <w14:srgbClr w14:val="000000">
              <w14:alpha w14:val="60000"/>
            </w14:srgbClr>
          </w14:shadow>
        </w:rPr>
        <w:t>A.0.4</w:t>
      </w:r>
    </w:p>
    <w:p>
      <w:pPr>
        <w:spacing w:before="468" w:beforeLines="150" w:after="156" w:afterLines="50"/>
        <w:jc w:val="center"/>
        <w:rPr>
          <w:rFonts w:hint="eastAsia" w:ascii="Times New Roman" w:hAnsi="Times New Roman"/>
          <w:sz w:val="36"/>
        </w:rPr>
      </w:pPr>
      <w:r>
        <w:rPr>
          <w:rFonts w:hint="eastAsia" w:eastAsia="微软简标宋"/>
          <w:sz w:val="36"/>
          <w:u w:val="single"/>
        </w:rPr>
        <w:t>　　　　　　　　　　　　　　　　　　　</w:t>
      </w:r>
      <w:r>
        <w:rPr>
          <w:rFonts w:hint="eastAsia" w:ascii="Times New Roman" w:hAnsi="Times New Roman" w:eastAsia="黑体"/>
          <w:sz w:val="44"/>
          <w14:shadow w14:blurRad="50800" w14:dist="38100" w14:dir="2700000" w14:sx="100000" w14:sy="100000" w14:kx="0" w14:ky="0" w14:algn="tl">
            <w14:srgbClr w14:val="000000">
              <w14:alpha w14:val="60000"/>
            </w14:srgbClr>
          </w14:shadow>
        </w:rPr>
        <w:t>工程</w:t>
      </w:r>
    </w:p>
    <w:p>
      <w:pPr>
        <w:spacing w:before="240" w:after="240"/>
        <w:jc w:val="center"/>
        <w:rPr>
          <w:rFonts w:hint="eastAsia" w:ascii="Times New Roman" w:eastAsia="黑体"/>
          <w:spacing w:val="40"/>
          <w:w w:val="200"/>
          <w:sz w:val="52"/>
          <w:szCs w:val="52"/>
          <w14:shadow w14:blurRad="50800" w14:dist="38100" w14:dir="2700000" w14:sx="100000" w14:sy="100000" w14:kx="0" w14:ky="0" w14:algn="tl">
            <w14:srgbClr w14:val="000000">
              <w14:alpha w14:val="60000"/>
            </w14:srgbClr>
          </w14:shadow>
        </w:rPr>
      </w:pPr>
      <w:r>
        <w:rPr>
          <w:rFonts w:hint="eastAsia" w:ascii="Times New Roman" w:eastAsia="黑体"/>
          <w:spacing w:val="40"/>
          <w:w w:val="200"/>
          <w:sz w:val="52"/>
          <w:szCs w:val="52"/>
          <w14:shadow w14:blurRad="50800" w14:dist="38100" w14:dir="2700000" w14:sx="100000" w14:sy="100000" w14:kx="0" w14:ky="0" w14:algn="tl">
            <w14:srgbClr w14:val="000000">
              <w14:alpha w14:val="60000"/>
            </w14:srgbClr>
          </w14:shadow>
        </w:rPr>
        <w:t>监理实施细则</w:t>
      </w:r>
    </w:p>
    <w:p>
      <w:pPr>
        <w:rPr>
          <w:rFonts w:hint="eastAsia" w:eastAsia="微软简标宋"/>
          <w:sz w:val="48"/>
        </w:rPr>
      </w:pPr>
      <w:r>
        <w:rPr>
          <w:rFonts w:eastAsia="微软简标宋"/>
          <w:sz w:val="48"/>
        </w:rPr>
        <w:t xml:space="preserve">           </w:t>
      </w:r>
      <w:r>
        <w:rPr>
          <w:rFonts w:hint="eastAsia" w:eastAsia="微软简标宋"/>
          <w:sz w:val="48"/>
        </w:rPr>
        <w:t>（</w:t>
      </w:r>
      <w:r>
        <w:rPr>
          <w:rFonts w:eastAsia="微软简标宋"/>
          <w:sz w:val="48"/>
        </w:rPr>
        <w:t xml:space="preserve">          </w:t>
      </w:r>
      <w:r>
        <w:rPr>
          <w:rFonts w:hint="eastAsia" w:eastAsia="微软简标宋"/>
          <w:sz w:val="48"/>
        </w:rPr>
        <w:t>）</w:t>
      </w:r>
    </w:p>
    <w:p>
      <w:pPr>
        <w:rPr>
          <w:sz w:val="28"/>
        </w:rPr>
      </w:pPr>
    </w:p>
    <w:p>
      <w:pPr>
        <w:spacing w:line="600" w:lineRule="exact"/>
        <w:ind w:firstLine="2535" w:firstLineChars="1052"/>
        <w:rPr>
          <w:b/>
          <w:sz w:val="24"/>
        </w:rPr>
      </w:pPr>
      <w:r>
        <w:rPr>
          <w:rFonts w:hint="eastAsia"/>
          <w:b/>
          <w:sz w:val="24"/>
        </w:rPr>
        <w:t>内容提要：</w:t>
      </w:r>
    </w:p>
    <w:p>
      <w:pPr>
        <w:spacing w:line="600" w:lineRule="exact"/>
        <w:ind w:firstLine="2520" w:firstLineChars="1050"/>
        <w:rPr>
          <w:sz w:val="24"/>
        </w:rPr>
      </w:pPr>
      <w:r>
        <w:rPr>
          <w:rFonts w:hint="eastAsia"/>
          <w:sz w:val="24"/>
        </w:rPr>
        <w:t>专业工程特点</w:t>
      </w:r>
    </w:p>
    <w:p>
      <w:pPr>
        <w:spacing w:line="600" w:lineRule="exact"/>
        <w:ind w:firstLine="2520" w:firstLineChars="1050"/>
        <w:rPr>
          <w:sz w:val="24"/>
        </w:rPr>
      </w:pPr>
      <w:r>
        <w:rPr>
          <w:rFonts w:hint="eastAsia"/>
          <w:sz w:val="24"/>
        </w:rPr>
        <w:t>监理工作流程</w:t>
      </w:r>
    </w:p>
    <w:p>
      <w:pPr>
        <w:spacing w:line="600" w:lineRule="exact"/>
        <w:ind w:firstLine="2520" w:firstLineChars="1050"/>
        <w:rPr>
          <w:sz w:val="24"/>
        </w:rPr>
      </w:pPr>
      <w:r>
        <w:rPr>
          <w:rFonts w:hint="eastAsia"/>
          <w:sz w:val="24"/>
        </w:rPr>
        <w:t>监理工作要点</w:t>
      </w:r>
    </w:p>
    <w:p>
      <w:pPr>
        <w:spacing w:line="600" w:lineRule="exact"/>
        <w:ind w:firstLine="2544" w:firstLineChars="1060"/>
        <w:rPr>
          <w:sz w:val="24"/>
        </w:rPr>
      </w:pPr>
      <w:r>
        <w:rPr>
          <w:rFonts w:hint="eastAsia"/>
          <w:sz w:val="24"/>
        </w:rPr>
        <w:t>监理工作方法及措施</w:t>
      </w:r>
    </w:p>
    <w:p>
      <w:pPr>
        <w:rPr>
          <w:sz w:val="28"/>
        </w:rPr>
      </w:pPr>
    </w:p>
    <w:p>
      <w:pPr>
        <w:rPr>
          <w:sz w:val="28"/>
        </w:rPr>
      </w:pPr>
    </w:p>
    <w:p>
      <w:pPr>
        <w:rPr>
          <w:sz w:val="28"/>
        </w:rPr>
      </w:pPr>
    </w:p>
    <w:p>
      <w:pPr>
        <w:ind w:firstLine="1344" w:firstLineChars="448"/>
        <w:rPr>
          <w:rFonts w:ascii="Times New Roman"/>
          <w:bCs/>
          <w:sz w:val="30"/>
          <w:szCs w:val="30"/>
          <w:u w:val="single"/>
        </w:rPr>
      </w:pPr>
      <w:bookmarkStart w:id="497" w:name="_Hlk531354896"/>
      <w:r>
        <w:rPr>
          <w:rFonts w:hint="eastAsia" w:ascii="Times New Roman"/>
          <w:bCs/>
          <w:sz w:val="30"/>
          <w:szCs w:val="30"/>
        </w:rPr>
        <w:t>项目监理机构（章）：</w:t>
      </w:r>
      <w:r>
        <w:rPr>
          <w:rFonts w:hint="eastAsia" w:ascii="Times New Roman"/>
          <w:bCs/>
          <w:sz w:val="30"/>
          <w:szCs w:val="30"/>
          <w:u w:val="single"/>
        </w:rPr>
        <w:t>　　　　      　 　　　</w:t>
      </w:r>
    </w:p>
    <w:p>
      <w:pPr>
        <w:ind w:firstLine="1344" w:firstLineChars="448"/>
        <w:rPr>
          <w:rFonts w:hint="eastAsia" w:ascii="Times New Roman"/>
          <w:bCs/>
          <w:sz w:val="30"/>
          <w:szCs w:val="30"/>
        </w:rPr>
      </w:pPr>
      <w:r>
        <w:rPr>
          <w:rFonts w:hint="eastAsia" w:ascii="Times New Roman"/>
          <w:bCs/>
          <w:sz w:val="30"/>
          <w:szCs w:val="30"/>
        </w:rPr>
        <w:t>专业监理工程师（签字）</w:t>
      </w:r>
      <w:r>
        <w:rPr>
          <w:rFonts w:hint="eastAsia" w:ascii="Times New Roman"/>
          <w:bCs/>
          <w:sz w:val="28"/>
        </w:rPr>
        <w:t>：</w:t>
      </w:r>
      <w:r>
        <w:rPr>
          <w:rFonts w:hint="eastAsia" w:ascii="Times New Roman"/>
          <w:bCs/>
          <w:sz w:val="30"/>
          <w:szCs w:val="30"/>
          <w:u w:val="single"/>
        </w:rPr>
        <w:t xml:space="preserve">                   </w:t>
      </w:r>
    </w:p>
    <w:p>
      <w:pPr>
        <w:ind w:firstLine="1344" w:firstLineChars="448"/>
        <w:rPr>
          <w:rFonts w:hint="eastAsia" w:ascii="Times New Roman" w:eastAsia="微软简标宋"/>
          <w:bCs/>
          <w:sz w:val="30"/>
          <w:szCs w:val="30"/>
          <w:u w:val="single"/>
        </w:rPr>
      </w:pPr>
      <w:r>
        <w:rPr>
          <w:rFonts w:hint="eastAsia" w:ascii="Times New Roman"/>
          <w:bCs/>
          <w:sz w:val="30"/>
          <w:szCs w:val="30"/>
        </w:rPr>
        <w:t>总监理工程师（签字、执业印章）：</w:t>
      </w:r>
      <w:r>
        <w:rPr>
          <w:rFonts w:hint="eastAsia" w:ascii="Times New Roman"/>
          <w:bCs/>
          <w:sz w:val="30"/>
          <w:szCs w:val="30"/>
          <w:u w:val="single"/>
        </w:rPr>
        <w:t>　 　 　 　</w:t>
      </w:r>
    </w:p>
    <w:bookmarkEnd w:id="497"/>
    <w:p>
      <w:pPr>
        <w:spacing w:after="480"/>
        <w:ind w:firstLine="1344" w:firstLineChars="448"/>
        <w:rPr>
          <w:rFonts w:hint="eastAsia" w:ascii="Times New Roman" w:eastAsia="隶书"/>
        </w:rPr>
      </w:pPr>
      <w:r>
        <w:rPr>
          <w:rFonts w:hint="eastAsia"/>
          <w:bCs/>
          <w:sz w:val="30"/>
          <w:szCs w:val="30"/>
        </w:rPr>
        <w:t>日</w:t>
      </w:r>
      <w:r>
        <w:rPr>
          <w:bCs/>
          <w:sz w:val="30"/>
          <w:szCs w:val="30"/>
        </w:rPr>
        <w:t xml:space="preserve">        </w:t>
      </w:r>
      <w:r>
        <w:rPr>
          <w:rFonts w:hint="eastAsia"/>
          <w:bCs/>
          <w:sz w:val="30"/>
          <w:szCs w:val="30"/>
        </w:rPr>
        <w:t>期：</w:t>
      </w:r>
      <w:r>
        <w:rPr>
          <w:rFonts w:hint="eastAsia" w:ascii="Times New Roman"/>
          <w:bCs/>
          <w:sz w:val="30"/>
          <w:szCs w:val="30"/>
          <w:u w:val="single"/>
        </w:rPr>
        <w:t xml:space="preserve">　　　　　　  　 　      　 </w:t>
      </w:r>
    </w:p>
    <w:p>
      <w:pPr>
        <w:jc w:val="center"/>
        <w:rPr>
          <w:rFonts w:hint="eastAsia" w:ascii="Times New Roman" w:eastAsia="隶书"/>
        </w:rPr>
      </w:pPr>
    </w:p>
    <w:p>
      <w:pPr>
        <w:jc w:val="center"/>
        <w:rPr>
          <w:rFonts w:hint="eastAsia" w:ascii="Times New Roman" w:eastAsia="隶书"/>
        </w:rPr>
      </w:pPr>
    </w:p>
    <w:p>
      <w:pPr>
        <w:jc w:val="center"/>
        <w:rPr>
          <w:rFonts w:hint="eastAsia" w:ascii="Times New Roman" w:eastAsia="隶书"/>
        </w:rPr>
      </w:pPr>
      <w:r>
        <w:rPr>
          <w:rFonts w:hint="eastAsia" w:ascii="Times New Roman" w:eastAsia="隶书"/>
        </w:rPr>
        <w:t>第六版表                                             江苏省住房和城乡建设厅监制</w:t>
      </w:r>
    </w:p>
    <w:p>
      <w:pPr>
        <w:jc w:val="right"/>
        <w:rPr>
          <w:rFonts w:hint="eastAsia" w:ascii="Times New Roman" w:eastAsia="黑体"/>
          <w:b/>
        </w:rPr>
      </w:pPr>
      <w:r>
        <w:rPr>
          <w:b/>
          <w:szCs w:val="21"/>
        </w:rPr>
        <w:br w:type="column"/>
      </w:r>
      <w:r>
        <w:rPr>
          <w:rFonts w:eastAsia="黑体"/>
          <w:b/>
          <w:w w:val="90"/>
          <w:sz w:val="28"/>
          <w:szCs w:val="28"/>
          <w14:shadow w14:blurRad="50800" w14:dist="38100" w14:dir="2700000" w14:sx="100000" w14:sy="100000" w14:kx="0" w14:ky="0" w14:algn="tl">
            <w14:srgbClr w14:val="000000">
              <w14:alpha w14:val="60000"/>
            </w14:srgbClr>
          </w14:shadow>
        </w:rPr>
        <w:t>A.0.5</w:t>
      </w:r>
    </w:p>
    <w:p>
      <w:pPr>
        <w:spacing w:before="312" w:beforeLines="100" w:after="312" w:afterLines="100"/>
        <w:jc w:val="center"/>
        <w:rPr>
          <w:rFonts w:hint="eastAsia" w:ascii="Times New Roman" w:eastAsia="黑体"/>
          <w:sz w:val="44"/>
          <w:szCs w:val="44"/>
          <w14:shadow w14:blurRad="50800" w14:dist="38100" w14:dir="2700000" w14:sx="100000" w14:sy="100000" w14:kx="0" w14:ky="0" w14:algn="tl">
            <w14:srgbClr w14:val="000000">
              <w14:alpha w14:val="60000"/>
            </w14:srgbClr>
          </w14:shadow>
        </w:rPr>
      </w:pPr>
      <w:r>
        <w:rPr>
          <w:rFonts w:hint="eastAsia" w:ascii="Times New Roman" w:eastAsia="黑体"/>
          <w:sz w:val="44"/>
          <w:szCs w:val="44"/>
          <w14:shadow w14:blurRad="50800" w14:dist="38100" w14:dir="2700000" w14:sx="100000" w14:sy="100000" w14:kx="0" w14:ky="0" w14:algn="tl">
            <w14:srgbClr w14:val="000000">
              <w14:alpha w14:val="60000"/>
            </w14:srgbClr>
          </w14:shadow>
        </w:rPr>
        <w:t>工 程 开 工 令</w:t>
      </w:r>
    </w:p>
    <w:p>
      <w:pPr>
        <w:spacing w:after="156" w:afterLines="50" w:line="420" w:lineRule="exact"/>
        <w:ind w:left="21" w:hanging="21" w:hangingChars="10"/>
        <w:rPr>
          <w:rFonts w:hint="eastAsia"/>
          <w:szCs w:val="21"/>
        </w:rPr>
      </w:pPr>
      <w:r>
        <w:rPr>
          <w:rFonts w:hint="eastAsia"/>
          <w:szCs w:val="21"/>
        </w:rPr>
        <w:t>工程名称：</w:t>
      </w:r>
      <w:r>
        <w:rPr>
          <w:rFonts w:hint="eastAsia"/>
          <w:szCs w:val="21"/>
          <w:u w:val="single"/>
        </w:rPr>
        <w:t>　</w:t>
      </w:r>
      <w:r>
        <w:rPr>
          <w:szCs w:val="21"/>
          <w:u w:val="single"/>
        </w:rPr>
        <w:t xml:space="preserve">     </w:t>
      </w:r>
      <w:r>
        <w:rPr>
          <w:rFonts w:hint="eastAsia"/>
          <w:szCs w:val="21"/>
          <w:u w:val="single"/>
        </w:rPr>
        <w:t>　　　　　</w:t>
      </w:r>
      <w:r>
        <w:rPr>
          <w:szCs w:val="21"/>
          <w:u w:val="single"/>
        </w:rPr>
        <w:t xml:space="preserve"> </w:t>
      </w:r>
      <w:r>
        <w:rPr>
          <w:rFonts w:hint="eastAsia"/>
          <w:szCs w:val="21"/>
          <w:u w:val="single"/>
        </w:rPr>
        <w:t>　　　</w:t>
      </w:r>
      <w:r>
        <w:rPr>
          <w:szCs w:val="21"/>
          <w:u w:val="single"/>
        </w:rPr>
        <w:t xml:space="preserve">       </w:t>
      </w:r>
      <w:r>
        <w:rPr>
          <w:szCs w:val="21"/>
        </w:rPr>
        <w:t xml:space="preserve">                 </w:t>
      </w:r>
      <w:r>
        <w:rPr>
          <w:rFonts w:hint="eastAsia"/>
          <w:szCs w:val="21"/>
        </w:rPr>
        <w:t>编号：</w:t>
      </w:r>
      <w:r>
        <w:rPr>
          <w:szCs w:val="21"/>
        </w:rPr>
        <w:t>A.0.5</w:t>
      </w:r>
      <w:r>
        <w:rPr>
          <w:szCs w:val="21"/>
          <w:u w:val="single"/>
        </w:rPr>
        <w:t xml:space="preserve">  </w:t>
      </w:r>
      <w:r>
        <w:rPr>
          <w:rFonts w:hint="eastAsia"/>
          <w:szCs w:val="21"/>
        </w:rPr>
        <w:t>—</w:t>
      </w:r>
      <w:r>
        <w:rPr>
          <w:szCs w:val="21"/>
          <w:u w:val="single"/>
        </w:rPr>
        <w:t xml:space="preserve">       </w:t>
      </w:r>
    </w:p>
    <w:tbl>
      <w:tblPr>
        <w:tblStyle w:val="1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2977"/>
        <w:gridCol w:w="1660"/>
        <w:gridCol w:w="199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8" w:hRule="atLeast"/>
        </w:trPr>
        <w:tc>
          <w:tcPr>
            <w:tcW w:w="1951" w:type="dxa"/>
            <w:tcBorders>
              <w:top w:val="single" w:color="auto" w:sz="8" w:space="0"/>
              <w:left w:val="single" w:color="auto" w:sz="8" w:space="0"/>
              <w:bottom w:val="single" w:color="auto" w:sz="4" w:space="0"/>
              <w:right w:val="single" w:color="auto" w:sz="4" w:space="0"/>
            </w:tcBorders>
            <w:noWrap w:val="0"/>
            <w:vAlign w:val="center"/>
          </w:tcPr>
          <w:p>
            <w:pPr>
              <w:spacing w:line="320" w:lineRule="exact"/>
              <w:jc w:val="center"/>
              <w:rPr>
                <w:szCs w:val="21"/>
              </w:rPr>
            </w:pPr>
            <w:r>
              <w:rPr>
                <w:rFonts w:hint="eastAsia"/>
                <w:szCs w:val="21"/>
              </w:rPr>
              <w:t>施工项目经理部</w:t>
            </w:r>
          </w:p>
          <w:p>
            <w:pPr>
              <w:spacing w:line="320" w:lineRule="exact"/>
              <w:jc w:val="center"/>
              <w:rPr>
                <w:szCs w:val="21"/>
              </w:rPr>
            </w:pPr>
            <w:r>
              <w:rPr>
                <w:rFonts w:hint="eastAsia"/>
                <w:szCs w:val="21"/>
              </w:rPr>
              <w:t>签收人姓名及时间</w:t>
            </w:r>
          </w:p>
        </w:tc>
        <w:tc>
          <w:tcPr>
            <w:tcW w:w="2977" w:type="dxa"/>
            <w:tcBorders>
              <w:top w:val="single" w:color="auto" w:sz="8" w:space="0"/>
              <w:left w:val="single" w:color="auto" w:sz="4" w:space="0"/>
              <w:bottom w:val="single" w:color="auto" w:sz="4" w:space="0"/>
              <w:right w:val="single" w:color="auto" w:sz="4" w:space="0"/>
            </w:tcBorders>
            <w:noWrap w:val="0"/>
            <w:vAlign w:val="center"/>
          </w:tcPr>
          <w:p>
            <w:pPr>
              <w:spacing w:line="320" w:lineRule="exact"/>
              <w:jc w:val="center"/>
              <w:rPr>
                <w:szCs w:val="21"/>
              </w:rPr>
            </w:pPr>
          </w:p>
        </w:tc>
        <w:tc>
          <w:tcPr>
            <w:tcW w:w="1660" w:type="dxa"/>
            <w:tcBorders>
              <w:top w:val="single" w:color="auto" w:sz="8" w:space="0"/>
              <w:left w:val="single" w:color="auto" w:sz="4" w:space="0"/>
              <w:bottom w:val="single" w:color="auto" w:sz="4" w:space="0"/>
              <w:right w:val="single" w:color="auto" w:sz="4" w:space="0"/>
            </w:tcBorders>
            <w:noWrap w:val="0"/>
            <w:vAlign w:val="center"/>
          </w:tcPr>
          <w:p>
            <w:pPr>
              <w:spacing w:line="320" w:lineRule="exact"/>
              <w:jc w:val="center"/>
              <w:rPr>
                <w:szCs w:val="21"/>
              </w:rPr>
            </w:pPr>
            <w:r>
              <w:rPr>
                <w:rFonts w:hint="eastAsia"/>
                <w:szCs w:val="21"/>
              </w:rPr>
              <w:t>建设单位签收人姓名及时间</w:t>
            </w:r>
          </w:p>
        </w:tc>
        <w:tc>
          <w:tcPr>
            <w:tcW w:w="1996" w:type="dxa"/>
            <w:tcBorders>
              <w:top w:val="single" w:color="auto" w:sz="8" w:space="0"/>
              <w:left w:val="single" w:color="auto" w:sz="4" w:space="0"/>
              <w:bottom w:val="single" w:color="auto" w:sz="4" w:space="0"/>
              <w:right w:val="single" w:color="auto" w:sz="8" w:space="0"/>
            </w:tcBorders>
            <w:noWrap w:val="0"/>
            <w:vAlign w:val="center"/>
          </w:tcPr>
          <w:p>
            <w:pP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883" w:hRule="atLeast"/>
        </w:trPr>
        <w:tc>
          <w:tcPr>
            <w:tcW w:w="8584" w:type="dxa"/>
            <w:gridSpan w:val="4"/>
            <w:tcBorders>
              <w:top w:val="single" w:color="auto" w:sz="4" w:space="0"/>
              <w:left w:val="single" w:color="auto" w:sz="8" w:space="0"/>
              <w:bottom w:val="single" w:color="auto" w:sz="4" w:space="0"/>
              <w:right w:val="single" w:color="auto" w:sz="8" w:space="0"/>
            </w:tcBorders>
            <w:noWrap w:val="0"/>
            <w:vAlign w:val="top"/>
          </w:tcPr>
          <w:p>
            <w:pPr>
              <w:spacing w:before="156" w:beforeLines="50" w:line="420" w:lineRule="exact"/>
              <w:rPr>
                <w:rFonts w:ascii="Times New Roman"/>
                <w:szCs w:val="21"/>
                <w:u w:val="single"/>
              </w:rPr>
            </w:pPr>
            <w:r>
              <w:rPr>
                <w:rFonts w:hint="eastAsia" w:ascii="Times New Roman"/>
                <w:szCs w:val="21"/>
              </w:rPr>
              <w:t>致：</w:t>
            </w:r>
            <w:r>
              <w:rPr>
                <w:rFonts w:hint="eastAsia" w:ascii="Times New Roman"/>
                <w:szCs w:val="21"/>
                <w:u w:val="single"/>
              </w:rPr>
              <w:t>　　　　　　   　</w:t>
            </w:r>
            <w:r>
              <w:rPr>
                <w:rFonts w:hint="eastAsia"/>
                <w:szCs w:val="21"/>
              </w:rPr>
              <w:t>（施工项目经理部）</w:t>
            </w:r>
          </w:p>
          <w:p>
            <w:pPr>
              <w:spacing w:before="156" w:beforeLines="50" w:line="420" w:lineRule="exact"/>
              <w:ind w:firstLine="420" w:firstLineChars="200"/>
              <w:rPr>
                <w:rFonts w:hint="eastAsia"/>
                <w:szCs w:val="21"/>
              </w:rPr>
            </w:pPr>
            <w:r>
              <w:rPr>
                <w:rFonts w:hint="eastAsia"/>
                <w:szCs w:val="21"/>
              </w:rPr>
              <w:t>经审查，本工程已具备施工合同约定的开工条件，经建设单位批准，现同意你方开始施工，开工日期为</w:t>
            </w:r>
            <w:r>
              <w:rPr>
                <w:rFonts w:hint="eastAsia" w:ascii="Times New Roman"/>
                <w:szCs w:val="21"/>
                <w:u w:val="single"/>
              </w:rPr>
              <w:t>　　   　</w:t>
            </w:r>
            <w:r>
              <w:rPr>
                <w:rFonts w:hint="eastAsia"/>
                <w:szCs w:val="21"/>
              </w:rPr>
              <w:t>年</w:t>
            </w:r>
            <w:r>
              <w:rPr>
                <w:rFonts w:hint="eastAsia" w:ascii="Times New Roman"/>
                <w:szCs w:val="21"/>
                <w:u w:val="single"/>
              </w:rPr>
              <w:t>　　   　</w:t>
            </w:r>
            <w:r>
              <w:rPr>
                <w:rFonts w:hint="eastAsia"/>
                <w:szCs w:val="21"/>
              </w:rPr>
              <w:t>月</w:t>
            </w:r>
            <w:r>
              <w:rPr>
                <w:rFonts w:hint="eastAsia" w:ascii="Times New Roman"/>
                <w:szCs w:val="21"/>
                <w:u w:val="single"/>
              </w:rPr>
              <w:t xml:space="preserve">　　   </w:t>
            </w:r>
            <w:r>
              <w:rPr>
                <w:rFonts w:hint="eastAsia"/>
                <w:szCs w:val="21"/>
              </w:rPr>
              <w:t>日。</w:t>
            </w:r>
          </w:p>
          <w:p>
            <w:pPr>
              <w:spacing w:line="420" w:lineRule="exact"/>
              <w:rPr>
                <w:szCs w:val="21"/>
              </w:rPr>
            </w:pPr>
          </w:p>
          <w:p>
            <w:pPr>
              <w:spacing w:line="420" w:lineRule="exact"/>
              <w:rPr>
                <w:szCs w:val="21"/>
              </w:rPr>
            </w:pPr>
            <w:r>
              <w:rPr>
                <w:szCs w:val="21"/>
              </w:rPr>
              <w:t xml:space="preserve">    </w:t>
            </w:r>
            <w:r>
              <w:rPr>
                <w:rFonts w:hint="eastAsia"/>
                <w:szCs w:val="21"/>
              </w:rPr>
              <w:t>附件：工程开工报审表</w:t>
            </w:r>
          </w:p>
          <w:p>
            <w:pPr>
              <w:spacing w:line="420" w:lineRule="exact"/>
              <w:rPr>
                <w:szCs w:val="21"/>
              </w:rPr>
            </w:pPr>
          </w:p>
          <w:p>
            <w:pPr>
              <w:spacing w:line="420" w:lineRule="exact"/>
              <w:rPr>
                <w:szCs w:val="21"/>
              </w:rPr>
            </w:pPr>
          </w:p>
          <w:p>
            <w:pPr>
              <w:spacing w:line="420" w:lineRule="exact"/>
              <w:rPr>
                <w:szCs w:val="21"/>
              </w:rPr>
            </w:pPr>
          </w:p>
          <w:p>
            <w:pPr>
              <w:spacing w:line="420" w:lineRule="exact"/>
              <w:rPr>
                <w:szCs w:val="21"/>
              </w:rPr>
            </w:pPr>
          </w:p>
          <w:p>
            <w:pPr>
              <w:spacing w:line="420" w:lineRule="exact"/>
              <w:rPr>
                <w:szCs w:val="21"/>
              </w:rPr>
            </w:pPr>
          </w:p>
          <w:p>
            <w:pPr>
              <w:spacing w:line="420" w:lineRule="exact"/>
              <w:rPr>
                <w:szCs w:val="21"/>
              </w:rPr>
            </w:pPr>
          </w:p>
          <w:p>
            <w:pPr>
              <w:spacing w:line="420" w:lineRule="exact"/>
              <w:rPr>
                <w:szCs w:val="21"/>
              </w:rPr>
            </w:pPr>
          </w:p>
          <w:p>
            <w:pPr>
              <w:spacing w:line="420" w:lineRule="exact"/>
              <w:rPr>
                <w:szCs w:val="21"/>
              </w:rPr>
            </w:pPr>
          </w:p>
          <w:p>
            <w:pPr>
              <w:spacing w:line="420" w:lineRule="exact"/>
              <w:rPr>
                <w:szCs w:val="21"/>
              </w:rPr>
            </w:pPr>
          </w:p>
          <w:p>
            <w:pPr>
              <w:spacing w:line="420" w:lineRule="exact"/>
              <w:rPr>
                <w:szCs w:val="21"/>
              </w:rPr>
            </w:pPr>
          </w:p>
          <w:p>
            <w:pPr>
              <w:spacing w:line="420" w:lineRule="exact"/>
              <w:rPr>
                <w:szCs w:val="21"/>
              </w:rPr>
            </w:pPr>
          </w:p>
          <w:p>
            <w:pPr>
              <w:spacing w:line="420" w:lineRule="exact"/>
              <w:rPr>
                <w:szCs w:val="21"/>
              </w:rPr>
            </w:pPr>
          </w:p>
          <w:p>
            <w:pPr>
              <w:spacing w:line="420" w:lineRule="exact"/>
              <w:rPr>
                <w:szCs w:val="21"/>
              </w:rPr>
            </w:pPr>
          </w:p>
          <w:p>
            <w:pPr>
              <w:spacing w:line="420" w:lineRule="exact"/>
              <w:rPr>
                <w:szCs w:val="21"/>
              </w:rPr>
            </w:pPr>
          </w:p>
          <w:p>
            <w:pPr>
              <w:spacing w:line="360" w:lineRule="auto"/>
              <w:jc w:val="center"/>
              <w:rPr>
                <w:rFonts w:ascii="Times New Roman" w:hAnsi="Times New Roman"/>
                <w:bCs/>
                <w:szCs w:val="21"/>
                <w:u w:val="single"/>
              </w:rPr>
            </w:pPr>
            <w:r>
              <w:rPr>
                <w:rFonts w:hint="eastAsia" w:ascii="Times New Roman" w:hAnsi="Times New Roman"/>
                <w:bCs/>
                <w:szCs w:val="21"/>
              </w:rPr>
              <w:t xml:space="preserve">           项目监理机构(章): </w:t>
            </w:r>
            <w:r>
              <w:rPr>
                <w:rFonts w:hint="eastAsia" w:ascii="Times New Roman" w:hAnsi="Times New Roman"/>
                <w:bCs/>
                <w:szCs w:val="21"/>
                <w:u w:val="single"/>
              </w:rPr>
              <w:t xml:space="preserve">                       </w:t>
            </w:r>
            <w:r>
              <w:rPr>
                <w:rFonts w:hint="eastAsia" w:ascii="Times New Roman" w:hAnsi="Times New Roman"/>
                <w:bCs/>
                <w:szCs w:val="21"/>
              </w:rPr>
              <w:t xml:space="preserve">          </w:t>
            </w:r>
          </w:p>
          <w:p>
            <w:pPr>
              <w:spacing w:line="360" w:lineRule="auto"/>
              <w:ind w:firstLine="2730" w:firstLineChars="1300"/>
              <w:jc w:val="center"/>
              <w:rPr>
                <w:rFonts w:hint="eastAsia" w:ascii="Times New Roman" w:hAnsi="Times New Roman"/>
                <w:bCs/>
                <w:szCs w:val="21"/>
              </w:rPr>
            </w:pPr>
            <w:r>
              <w:rPr>
                <w:rFonts w:hint="eastAsia"/>
                <w:szCs w:val="21"/>
              </w:rPr>
              <w:t>总监理工程师（签字、执业印章）</w:t>
            </w:r>
            <w:r>
              <w:rPr>
                <w:szCs w:val="21"/>
              </w:rPr>
              <w:t xml:space="preserve"> </w:t>
            </w:r>
            <w:r>
              <w:rPr>
                <w:rFonts w:hint="eastAsia"/>
                <w:szCs w:val="21"/>
              </w:rPr>
              <w:t>：</w:t>
            </w:r>
            <w:r>
              <w:rPr>
                <w:szCs w:val="21"/>
                <w:u w:val="single"/>
              </w:rPr>
              <w:t xml:space="preserve">         </w:t>
            </w:r>
            <w:r>
              <w:rPr>
                <w:szCs w:val="21"/>
              </w:rPr>
              <w:t xml:space="preserve">          </w:t>
            </w:r>
          </w:p>
          <w:p>
            <w:pPr>
              <w:spacing w:line="360" w:lineRule="auto"/>
              <w:jc w:val="right"/>
              <w:rPr>
                <w:szCs w:val="21"/>
                <w:u w:val="single"/>
              </w:rPr>
            </w:pPr>
            <w:r>
              <w:rPr>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01" w:hRule="atLeast"/>
        </w:trPr>
        <w:tc>
          <w:tcPr>
            <w:tcW w:w="8584" w:type="dxa"/>
            <w:gridSpan w:val="4"/>
            <w:tcBorders>
              <w:top w:val="single" w:color="auto" w:sz="4" w:space="0"/>
              <w:left w:val="single" w:color="auto" w:sz="8" w:space="0"/>
              <w:bottom w:val="single" w:color="auto" w:sz="8" w:space="0"/>
              <w:right w:val="single" w:color="auto" w:sz="8" w:space="0"/>
            </w:tcBorders>
            <w:noWrap w:val="0"/>
            <w:vAlign w:val="top"/>
          </w:tcPr>
          <w:p>
            <w:pPr>
              <w:spacing w:line="320" w:lineRule="exact"/>
              <w:rPr>
                <w:szCs w:val="21"/>
              </w:rPr>
            </w:pPr>
            <w:r>
              <w:rPr>
                <w:rFonts w:hint="eastAsia"/>
                <w:szCs w:val="21"/>
              </w:rPr>
              <w:t>注：</w:t>
            </w:r>
            <w:r>
              <w:rPr>
                <w:szCs w:val="21"/>
              </w:rPr>
              <w:t>1</w:t>
            </w:r>
            <w:r>
              <w:rPr>
                <w:rFonts w:hint="eastAsia"/>
                <w:szCs w:val="21"/>
              </w:rPr>
              <w:t>、总监理工程师发出的工程开工令应符合法律规定，工程必须取得施工许可文件。</w:t>
            </w:r>
          </w:p>
          <w:p>
            <w:pPr>
              <w:spacing w:line="320" w:lineRule="exact"/>
              <w:rPr>
                <w:szCs w:val="21"/>
              </w:rPr>
            </w:pPr>
            <w:r>
              <w:rPr>
                <w:szCs w:val="21"/>
              </w:rPr>
              <w:t xml:space="preserve">    2</w:t>
            </w:r>
            <w:r>
              <w:rPr>
                <w:rFonts w:hint="eastAsia"/>
                <w:szCs w:val="21"/>
              </w:rPr>
              <w:t>、本表一式三份，项目监理机构、建设单位、施工单位各一份。</w:t>
            </w:r>
          </w:p>
        </w:tc>
      </w:tr>
    </w:tbl>
    <w:p>
      <w:pPr>
        <w:ind w:right="4"/>
        <w:jc w:val="center"/>
        <w:rPr>
          <w:rFonts w:ascii="Times New Roman" w:eastAsia="隶书"/>
        </w:rPr>
      </w:pPr>
      <w:r>
        <w:rPr>
          <w:rFonts w:hint="eastAsia" w:ascii="Times New Roman" w:eastAsia="隶书"/>
        </w:rPr>
        <w:t>第六版表                                              江苏省住房和城乡建设厅监制</w:t>
      </w:r>
    </w:p>
    <w:p>
      <w:pPr>
        <w:spacing w:line="380" w:lineRule="exact"/>
        <w:jc w:val="right"/>
        <w:rPr>
          <w:rFonts w:hint="eastAsia" w:ascii="Times New Roman" w:eastAsia="黑体"/>
          <w:sz w:val="28"/>
          <w:szCs w:val="28"/>
        </w:rPr>
      </w:pPr>
      <w:r>
        <w:rPr>
          <w:rFonts w:eastAsia="黑体"/>
          <w:b/>
          <w:w w:val="90"/>
          <w:sz w:val="28"/>
          <w:szCs w:val="28"/>
          <w14:shadow w14:blurRad="50800" w14:dist="38100" w14:dir="2700000" w14:sx="100000" w14:sy="100000" w14:kx="0" w14:ky="0" w14:algn="tl">
            <w14:srgbClr w14:val="000000">
              <w14:alpha w14:val="60000"/>
            </w14:srgbClr>
          </w14:shadow>
        </w:rPr>
        <w:t>A.0.6</w:t>
      </w:r>
    </w:p>
    <w:p>
      <w:pPr>
        <w:spacing w:before="312" w:beforeLines="100" w:after="312" w:afterLines="100"/>
        <w:jc w:val="center"/>
        <w:rPr>
          <w:rFonts w:hint="eastAsia" w:eastAsia="黑体"/>
          <w:bCs/>
          <w:sz w:val="40"/>
          <w14:shadow w14:blurRad="50800" w14:dist="38100" w14:dir="2700000" w14:sx="100000" w14:sy="100000" w14:kx="0" w14:ky="0" w14:algn="tl">
            <w14:srgbClr w14:val="000000">
              <w14:alpha w14:val="60000"/>
            </w14:srgbClr>
          </w14:shadow>
        </w:rPr>
      </w:pPr>
      <w:r>
        <w:rPr>
          <w:rFonts w:hint="eastAsia" w:eastAsia="黑体"/>
          <w:bCs/>
          <w:sz w:val="44"/>
          <w14:shadow w14:blurRad="50800" w14:dist="38100" w14:dir="2700000" w14:sx="100000" w14:sy="100000" w14:kx="0" w14:ky="0" w14:algn="tl">
            <w14:srgbClr w14:val="000000">
              <w14:alpha w14:val="60000"/>
            </w14:srgbClr>
          </w14:shadow>
        </w:rPr>
        <w:t>旁站记录表（通用）</w:t>
      </w:r>
    </w:p>
    <w:p>
      <w:pPr>
        <w:spacing w:after="156" w:afterLines="50" w:line="420" w:lineRule="exact"/>
        <w:ind w:left="21" w:hanging="21" w:hangingChars="10"/>
        <w:rPr>
          <w:szCs w:val="21"/>
        </w:rPr>
      </w:pPr>
      <w:r>
        <w:rPr>
          <w:rFonts w:hint="eastAsia"/>
          <w:szCs w:val="21"/>
        </w:rPr>
        <w:t>工程名称：</w:t>
      </w:r>
      <w:r>
        <w:rPr>
          <w:szCs w:val="21"/>
          <w:u w:val="single"/>
        </w:rPr>
        <w:t xml:space="preserve">                        </w:t>
      </w:r>
      <w:r>
        <w:rPr>
          <w:rFonts w:hint="eastAsia"/>
          <w:szCs w:val="21"/>
        </w:rPr>
        <w:t>　　　　　　　　　　　</w:t>
      </w:r>
      <w:r>
        <w:rPr>
          <w:szCs w:val="21"/>
        </w:rPr>
        <w:t xml:space="preserve"> </w:t>
      </w:r>
      <w:r>
        <w:rPr>
          <w:rFonts w:hint="eastAsia"/>
          <w:szCs w:val="21"/>
        </w:rPr>
        <w:t>　编号：</w:t>
      </w:r>
      <w:r>
        <w:rPr>
          <w:szCs w:val="21"/>
        </w:rPr>
        <w:t>A.0.6</w:t>
      </w:r>
      <w:r>
        <w:rPr>
          <w:rFonts w:hint="eastAsia"/>
          <w:szCs w:val="21"/>
        </w:rPr>
        <w:t>－</w:t>
      </w:r>
      <w:r>
        <w:rPr>
          <w:szCs w:val="21"/>
          <w:u w:val="single"/>
        </w:rPr>
        <w:t xml:space="preserve">       </w:t>
      </w:r>
    </w:p>
    <w:tbl>
      <w:tblPr>
        <w:tblStyle w:val="1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2746"/>
        <w:gridCol w:w="1484"/>
        <w:gridCol w:w="288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2" w:hRule="exact"/>
        </w:trPr>
        <w:tc>
          <w:tcPr>
            <w:tcW w:w="1515" w:type="dxa"/>
            <w:tcBorders>
              <w:top w:val="single" w:color="auto" w:sz="8" w:space="0"/>
              <w:left w:val="single" w:color="auto" w:sz="8" w:space="0"/>
              <w:bottom w:val="single" w:color="auto" w:sz="4" w:space="0"/>
              <w:right w:val="single" w:color="auto" w:sz="4" w:space="0"/>
            </w:tcBorders>
            <w:noWrap w:val="0"/>
            <w:vAlign w:val="center"/>
          </w:tcPr>
          <w:p>
            <w:pPr>
              <w:jc w:val="center"/>
              <w:rPr>
                <w:szCs w:val="21"/>
              </w:rPr>
            </w:pPr>
            <w:r>
              <w:rPr>
                <w:rFonts w:hint="eastAsia"/>
                <w:szCs w:val="21"/>
              </w:rPr>
              <w:t>旁站的关键部位、关键工序</w:t>
            </w:r>
          </w:p>
        </w:tc>
        <w:tc>
          <w:tcPr>
            <w:tcW w:w="2746" w:type="dxa"/>
            <w:tcBorders>
              <w:top w:val="single" w:color="auto" w:sz="8" w:space="0"/>
              <w:left w:val="single" w:color="auto" w:sz="4" w:space="0"/>
              <w:bottom w:val="single" w:color="auto" w:sz="4" w:space="0"/>
              <w:right w:val="single" w:color="auto" w:sz="4" w:space="0"/>
            </w:tcBorders>
            <w:noWrap w:val="0"/>
            <w:vAlign w:val="center"/>
          </w:tcPr>
          <w:p>
            <w:pPr>
              <w:jc w:val="center"/>
              <w:rPr>
                <w:szCs w:val="21"/>
              </w:rPr>
            </w:pPr>
          </w:p>
        </w:tc>
        <w:tc>
          <w:tcPr>
            <w:tcW w:w="1484" w:type="dxa"/>
            <w:tcBorders>
              <w:top w:val="single" w:color="auto" w:sz="8" w:space="0"/>
              <w:left w:val="single" w:color="auto" w:sz="4" w:space="0"/>
              <w:bottom w:val="single" w:color="auto" w:sz="4" w:space="0"/>
              <w:right w:val="single" w:color="auto" w:sz="4" w:space="0"/>
            </w:tcBorders>
            <w:noWrap w:val="0"/>
            <w:vAlign w:val="center"/>
          </w:tcPr>
          <w:p>
            <w:pPr>
              <w:jc w:val="center"/>
              <w:rPr>
                <w:szCs w:val="21"/>
              </w:rPr>
            </w:pPr>
            <w:r>
              <w:rPr>
                <w:rFonts w:hint="eastAsia"/>
                <w:szCs w:val="21"/>
              </w:rPr>
              <w:t>施工单位</w:t>
            </w:r>
          </w:p>
        </w:tc>
        <w:tc>
          <w:tcPr>
            <w:tcW w:w="2883" w:type="dxa"/>
            <w:tcBorders>
              <w:top w:val="single" w:color="auto" w:sz="8" w:space="0"/>
              <w:left w:val="single" w:color="auto" w:sz="4" w:space="0"/>
              <w:bottom w:val="single" w:color="auto" w:sz="4" w:space="0"/>
              <w:right w:val="single" w:color="auto" w:sz="8" w:space="0"/>
            </w:tcBorders>
            <w:noWrap w:val="0"/>
            <w:vAlign w:val="center"/>
          </w:tcPr>
          <w:p>
            <w:pPr>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15" w:type="dxa"/>
            <w:tcBorders>
              <w:top w:val="single" w:color="auto" w:sz="4" w:space="0"/>
              <w:left w:val="single" w:color="auto" w:sz="8" w:space="0"/>
              <w:bottom w:val="single" w:color="auto" w:sz="4" w:space="0"/>
              <w:right w:val="single" w:color="auto" w:sz="4" w:space="0"/>
            </w:tcBorders>
            <w:noWrap w:val="0"/>
            <w:vAlign w:val="center"/>
          </w:tcPr>
          <w:p>
            <w:pPr>
              <w:jc w:val="center"/>
              <w:rPr>
                <w:szCs w:val="21"/>
              </w:rPr>
            </w:pPr>
            <w:r>
              <w:rPr>
                <w:rFonts w:hint="eastAsia"/>
                <w:szCs w:val="21"/>
              </w:rPr>
              <w:t>旁站开始时间</w:t>
            </w:r>
          </w:p>
        </w:tc>
        <w:tc>
          <w:tcPr>
            <w:tcW w:w="2746" w:type="dxa"/>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szCs w:val="21"/>
              </w:rPr>
              <w:t xml:space="preserve">   </w:t>
            </w:r>
            <w:r>
              <w:rPr>
                <w:rFonts w:hint="eastAsia"/>
                <w:szCs w:val="21"/>
              </w:rPr>
              <w:t>年</w:t>
            </w:r>
            <w:r>
              <w:rPr>
                <w:szCs w:val="21"/>
              </w:rPr>
              <w:t xml:space="preserve">  </w:t>
            </w:r>
            <w:r>
              <w:rPr>
                <w:rFonts w:hint="eastAsia"/>
                <w:szCs w:val="21"/>
              </w:rPr>
              <w:t>月</w:t>
            </w:r>
            <w:r>
              <w:rPr>
                <w:szCs w:val="21"/>
              </w:rPr>
              <w:t xml:space="preserve">   </w:t>
            </w:r>
            <w:r>
              <w:rPr>
                <w:rFonts w:hint="eastAsia"/>
                <w:szCs w:val="21"/>
              </w:rPr>
              <w:t>日</w:t>
            </w:r>
            <w:r>
              <w:rPr>
                <w:szCs w:val="21"/>
              </w:rPr>
              <w:t xml:space="preserve">   </w:t>
            </w:r>
            <w:r>
              <w:rPr>
                <w:rFonts w:hint="eastAsia"/>
                <w:szCs w:val="21"/>
              </w:rPr>
              <w:t>时</w:t>
            </w:r>
            <w:r>
              <w:rPr>
                <w:szCs w:val="21"/>
              </w:rPr>
              <w:t xml:space="preserve">   </w:t>
            </w:r>
            <w:r>
              <w:rPr>
                <w:rFonts w:hint="eastAsia"/>
                <w:szCs w:val="21"/>
              </w:rPr>
              <w:t>分</w:t>
            </w:r>
          </w:p>
        </w:tc>
        <w:tc>
          <w:tcPr>
            <w:tcW w:w="1484" w:type="dxa"/>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rFonts w:hint="eastAsia"/>
                <w:szCs w:val="21"/>
              </w:rPr>
              <w:t>旁站结束时间</w:t>
            </w:r>
            <w:r>
              <w:rPr>
                <w:szCs w:val="21"/>
              </w:rPr>
              <w:t xml:space="preserve">    </w:t>
            </w:r>
          </w:p>
        </w:tc>
        <w:tc>
          <w:tcPr>
            <w:tcW w:w="2883" w:type="dxa"/>
            <w:tcBorders>
              <w:top w:val="single" w:color="auto" w:sz="4" w:space="0"/>
              <w:left w:val="single" w:color="auto" w:sz="4" w:space="0"/>
              <w:bottom w:val="single" w:color="auto" w:sz="4" w:space="0"/>
              <w:right w:val="single" w:color="auto" w:sz="8" w:space="0"/>
            </w:tcBorders>
            <w:noWrap w:val="0"/>
            <w:vAlign w:val="center"/>
          </w:tcPr>
          <w:p>
            <w:pPr>
              <w:jc w:val="center"/>
              <w:rPr>
                <w:szCs w:val="21"/>
              </w:rPr>
            </w:pPr>
            <w:r>
              <w:rPr>
                <w:szCs w:val="21"/>
              </w:rPr>
              <w:t xml:space="preserve">    </w:t>
            </w:r>
            <w:r>
              <w:rPr>
                <w:rFonts w:hint="eastAsia"/>
                <w:szCs w:val="21"/>
              </w:rPr>
              <w:t>年</w:t>
            </w:r>
            <w:r>
              <w:rPr>
                <w:szCs w:val="21"/>
              </w:rPr>
              <w:t xml:space="preserve">  </w:t>
            </w:r>
            <w:r>
              <w:rPr>
                <w:rFonts w:hint="eastAsia"/>
                <w:szCs w:val="21"/>
              </w:rPr>
              <w:t>月</w:t>
            </w:r>
            <w:r>
              <w:rPr>
                <w:szCs w:val="21"/>
              </w:rPr>
              <w:t xml:space="preserve">   </w:t>
            </w:r>
            <w:r>
              <w:rPr>
                <w:rFonts w:hint="eastAsia"/>
                <w:szCs w:val="21"/>
              </w:rPr>
              <w:t>日</w:t>
            </w:r>
            <w:r>
              <w:rPr>
                <w:szCs w:val="21"/>
              </w:rPr>
              <w:t xml:space="preserve">   </w:t>
            </w:r>
            <w:r>
              <w:rPr>
                <w:rFonts w:hint="eastAsia"/>
                <w:szCs w:val="21"/>
              </w:rPr>
              <w:t>时</w:t>
            </w:r>
            <w:r>
              <w:rPr>
                <w:szCs w:val="21"/>
              </w:rPr>
              <w:t xml:space="preserve">   </w:t>
            </w:r>
            <w:r>
              <w:rPr>
                <w:rFonts w:hint="eastAsia"/>
                <w:szCs w:val="21"/>
              </w:rPr>
              <w:t>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90" w:hRule="atLeast"/>
        </w:trPr>
        <w:tc>
          <w:tcPr>
            <w:tcW w:w="8628" w:type="dxa"/>
            <w:gridSpan w:val="4"/>
            <w:tcBorders>
              <w:top w:val="single" w:color="auto" w:sz="4" w:space="0"/>
              <w:left w:val="single" w:color="auto" w:sz="8" w:space="0"/>
              <w:bottom w:val="single" w:color="auto" w:sz="4" w:space="0"/>
              <w:right w:val="single" w:color="auto" w:sz="8" w:space="0"/>
            </w:tcBorders>
            <w:noWrap w:val="0"/>
            <w:vAlign w:val="top"/>
          </w:tcPr>
          <w:p>
            <w:pPr>
              <w:spacing w:before="156" w:beforeLines="50"/>
              <w:rPr>
                <w:szCs w:val="21"/>
              </w:rPr>
            </w:pPr>
            <w:r>
              <w:rPr>
                <w:rFonts w:hint="eastAsia"/>
                <w:szCs w:val="21"/>
              </w:rPr>
              <w:t>旁站的关键部位、关键工序施工情况：</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60" w:hRule="atLeast"/>
        </w:trPr>
        <w:tc>
          <w:tcPr>
            <w:tcW w:w="8628" w:type="dxa"/>
            <w:gridSpan w:val="4"/>
            <w:tcBorders>
              <w:top w:val="single" w:color="auto" w:sz="4" w:space="0"/>
              <w:left w:val="single" w:color="auto" w:sz="8" w:space="0"/>
              <w:bottom w:val="single" w:color="auto" w:sz="4" w:space="0"/>
              <w:right w:val="single" w:color="auto" w:sz="8" w:space="0"/>
            </w:tcBorders>
            <w:noWrap w:val="0"/>
            <w:vAlign w:val="top"/>
          </w:tcPr>
          <w:p>
            <w:pPr>
              <w:spacing w:before="156" w:beforeLines="50"/>
              <w:rPr>
                <w:szCs w:val="21"/>
              </w:rPr>
            </w:pPr>
            <w:r>
              <w:rPr>
                <w:rFonts w:hint="eastAsia"/>
                <w:szCs w:val="21"/>
              </w:rPr>
              <w:t>发现问题及处理情况：</w:t>
            </w:r>
          </w:p>
          <w:p>
            <w:pP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7" w:hRule="atLeast"/>
        </w:trPr>
        <w:tc>
          <w:tcPr>
            <w:tcW w:w="8628" w:type="dxa"/>
            <w:gridSpan w:val="4"/>
            <w:tcBorders>
              <w:top w:val="single" w:color="auto" w:sz="4" w:space="0"/>
              <w:left w:val="single" w:color="auto" w:sz="8" w:space="0"/>
              <w:bottom w:val="single" w:color="auto" w:sz="4" w:space="0"/>
              <w:right w:val="single" w:color="auto" w:sz="8" w:space="0"/>
            </w:tcBorders>
            <w:noWrap w:val="0"/>
            <w:vAlign w:val="top"/>
          </w:tcPr>
          <w:p>
            <w:pPr>
              <w:spacing w:line="360" w:lineRule="auto"/>
              <w:rPr>
                <w:szCs w:val="21"/>
              </w:rPr>
            </w:pPr>
          </w:p>
          <w:p>
            <w:pPr>
              <w:spacing w:line="360" w:lineRule="auto"/>
              <w:rPr>
                <w:szCs w:val="21"/>
              </w:rPr>
            </w:pPr>
          </w:p>
          <w:p>
            <w:pPr>
              <w:spacing w:line="360" w:lineRule="auto"/>
              <w:rPr>
                <w:szCs w:val="21"/>
              </w:rPr>
            </w:pPr>
          </w:p>
          <w:p>
            <w:pPr>
              <w:spacing w:line="360" w:lineRule="auto"/>
              <w:rPr>
                <w:szCs w:val="21"/>
              </w:rPr>
            </w:pPr>
          </w:p>
          <w:p>
            <w:pPr>
              <w:spacing w:line="420" w:lineRule="exact"/>
              <w:ind w:firstLine="4410" w:firstLineChars="2100"/>
              <w:rPr>
                <w:szCs w:val="21"/>
                <w:u w:val="single"/>
              </w:rPr>
            </w:pPr>
            <w:r>
              <w:rPr>
                <w:rFonts w:hint="eastAsia"/>
                <w:szCs w:val="21"/>
              </w:rPr>
              <w:t>旁站人员（签字）：</w:t>
            </w:r>
            <w:r>
              <w:rPr>
                <w:rFonts w:hint="eastAsia"/>
                <w:szCs w:val="21"/>
                <w:u w:val="single"/>
              </w:rPr>
              <w:t>　　　　</w:t>
            </w:r>
            <w:r>
              <w:rPr>
                <w:szCs w:val="21"/>
                <w:u w:val="single"/>
              </w:rPr>
              <w:t xml:space="preserve">     </w:t>
            </w:r>
            <w:r>
              <w:rPr>
                <w:rFonts w:hint="eastAsia"/>
                <w:szCs w:val="21"/>
                <w:u w:val="single"/>
              </w:rPr>
              <w:t>　　</w:t>
            </w:r>
          </w:p>
          <w:p>
            <w:pPr>
              <w:spacing w:line="420" w:lineRule="exact"/>
              <w:ind w:right="480"/>
              <w:jc w:val="right"/>
              <w:rPr>
                <w:szCs w:val="21"/>
              </w:rPr>
            </w:pPr>
            <w:r>
              <w:rPr>
                <w:rFonts w:hint="eastAsia"/>
                <w:szCs w:val="21"/>
              </w:rPr>
              <w:t>　</w:t>
            </w:r>
            <w:r>
              <w:rPr>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8628" w:type="dxa"/>
            <w:gridSpan w:val="4"/>
            <w:tcBorders>
              <w:top w:val="single" w:color="auto" w:sz="4" w:space="0"/>
              <w:left w:val="single" w:color="auto" w:sz="8" w:space="0"/>
              <w:bottom w:val="single" w:color="auto" w:sz="8" w:space="0"/>
              <w:right w:val="single" w:color="auto" w:sz="8" w:space="0"/>
            </w:tcBorders>
            <w:noWrap w:val="0"/>
            <w:vAlign w:val="top"/>
          </w:tcPr>
          <w:p>
            <w:pPr>
              <w:spacing w:line="420" w:lineRule="exact"/>
              <w:ind w:right="480"/>
              <w:jc w:val="left"/>
              <w:rPr>
                <w:szCs w:val="21"/>
              </w:rPr>
            </w:pPr>
            <w:r>
              <w:rPr>
                <w:rFonts w:hint="eastAsia"/>
                <w:szCs w:val="21"/>
              </w:rPr>
              <w:t>注：本表一式一份，项目监理机构留存。</w:t>
            </w:r>
          </w:p>
        </w:tc>
      </w:tr>
    </w:tbl>
    <w:p>
      <w:pPr>
        <w:jc w:val="center"/>
        <w:rPr>
          <w:rFonts w:ascii="Times New Roman" w:eastAsia="隶书"/>
        </w:rPr>
      </w:pPr>
      <w:r>
        <w:rPr>
          <w:rFonts w:hint="eastAsia" w:ascii="Times New Roman" w:eastAsia="隶书"/>
        </w:rPr>
        <w:t>第六版表                                              江苏省住房和城乡建设厅监制</w:t>
      </w:r>
    </w:p>
    <w:p>
      <w:pPr>
        <w:spacing w:line="380" w:lineRule="exact"/>
        <w:jc w:val="right"/>
        <w:rPr>
          <w:rFonts w:hint="eastAsia" w:ascii="Times New Roman" w:eastAsia="黑体"/>
          <w:sz w:val="24"/>
          <w14:shadow w14:blurRad="50800" w14:dist="38100" w14:dir="2700000" w14:sx="100000" w14:sy="100000" w14:kx="0" w14:ky="0" w14:algn="tl">
            <w14:srgbClr w14:val="000000">
              <w14:alpha w14:val="60000"/>
            </w14:srgbClr>
          </w14:shadow>
        </w:rPr>
      </w:pPr>
      <w:r>
        <w:rPr>
          <w:rFonts w:eastAsia="黑体"/>
          <w:b/>
          <w:w w:val="90"/>
          <w:sz w:val="28"/>
          <w:szCs w:val="28"/>
          <w14:shadow w14:blurRad="50800" w14:dist="38100" w14:dir="2700000" w14:sx="100000" w14:sy="100000" w14:kx="0" w14:ky="0" w14:algn="tl">
            <w14:srgbClr w14:val="000000">
              <w14:alpha w14:val="60000"/>
            </w14:srgbClr>
          </w14:shadow>
        </w:rPr>
        <w:br w:type="column"/>
      </w:r>
      <w:r>
        <w:rPr>
          <w:rFonts w:eastAsia="黑体"/>
          <w:b/>
          <w:w w:val="90"/>
          <w:sz w:val="28"/>
          <w:szCs w:val="28"/>
          <w14:shadow w14:blurRad="50800" w14:dist="38100" w14:dir="2700000" w14:sx="100000" w14:sy="100000" w14:kx="0" w14:ky="0" w14:algn="tl">
            <w14:srgbClr w14:val="000000">
              <w14:alpha w14:val="60000"/>
            </w14:srgbClr>
          </w14:shadow>
        </w:rPr>
        <w:t>A.0.7</w:t>
      </w:r>
    </w:p>
    <w:p>
      <w:pPr>
        <w:spacing w:before="312" w:beforeLines="100" w:after="312" w:afterLines="100"/>
        <w:jc w:val="center"/>
        <w:rPr>
          <w:rFonts w:hint="eastAsia"/>
          <w:sz w:val="44"/>
          <w14:shadow w14:blurRad="50800" w14:dist="38100" w14:dir="2700000" w14:sx="100000" w14:sy="100000" w14:kx="0" w14:ky="0" w14:algn="tl">
            <w14:srgbClr w14:val="000000">
              <w14:alpha w14:val="60000"/>
            </w14:srgbClr>
          </w14:shadow>
        </w:rPr>
      </w:pPr>
      <w:r>
        <w:rPr>
          <w:rFonts w:hint="eastAsia" w:ascii="Times New Roman" w:eastAsia="黑体"/>
          <w:sz w:val="44"/>
          <w:u w:val="single"/>
          <w14:shadow w14:blurRad="50800" w14:dist="38100" w14:dir="2700000" w14:sx="100000" w14:sy="100000" w14:kx="0" w14:ky="0" w14:algn="tl">
            <w14:srgbClr w14:val="000000">
              <w14:alpha w14:val="60000"/>
            </w14:srgbClr>
          </w14:shadow>
        </w:rPr>
        <w:t xml:space="preserve">            </w:t>
      </w:r>
      <w:r>
        <w:rPr>
          <w:rFonts w:hint="eastAsia" w:ascii="Times New Roman" w:eastAsia="黑体"/>
          <w:sz w:val="44"/>
          <w14:shadow w14:blurRad="50800" w14:dist="38100" w14:dir="2700000" w14:sx="100000" w14:sy="100000" w14:kx="0" w14:ky="0" w14:algn="tl">
            <w14:srgbClr w14:val="000000">
              <w14:alpha w14:val="60000"/>
            </w14:srgbClr>
          </w14:shadow>
        </w:rPr>
        <w:t>会议纪要</w:t>
      </w:r>
    </w:p>
    <w:p>
      <w:pPr>
        <w:spacing w:after="156" w:afterLines="50" w:line="420" w:lineRule="exact"/>
        <w:ind w:left="21" w:hanging="21" w:hangingChars="10"/>
        <w:rPr>
          <w:szCs w:val="21"/>
        </w:rPr>
      </w:pPr>
      <w:r>
        <w:rPr>
          <w:rFonts w:hint="eastAsia"/>
          <w:szCs w:val="21"/>
        </w:rPr>
        <w:t>工程名称：</w:t>
      </w:r>
      <w:r>
        <w:rPr>
          <w:szCs w:val="21"/>
          <w:u w:val="single"/>
        </w:rPr>
        <w:t xml:space="preserve">                              </w:t>
      </w:r>
      <w:r>
        <w:rPr>
          <w:rFonts w:hint="eastAsia"/>
          <w:szCs w:val="21"/>
        </w:rPr>
        <w:t>　</w:t>
      </w:r>
      <w:r>
        <w:rPr>
          <w:szCs w:val="21"/>
        </w:rPr>
        <w:t xml:space="preserve">       </w:t>
      </w:r>
      <w:r>
        <w:rPr>
          <w:rFonts w:hint="eastAsia"/>
          <w:szCs w:val="21"/>
        </w:rPr>
        <w:t>　　　　　</w:t>
      </w:r>
      <w:r>
        <w:rPr>
          <w:szCs w:val="21"/>
        </w:rPr>
        <w:t xml:space="preserve">     </w:t>
      </w:r>
      <w:r>
        <w:rPr>
          <w:rFonts w:hint="eastAsia"/>
          <w:szCs w:val="21"/>
        </w:rPr>
        <w:t>　</w:t>
      </w:r>
      <w:r>
        <w:rPr>
          <w:szCs w:val="21"/>
        </w:rPr>
        <w:t>A.0.7</w:t>
      </w:r>
      <w:r>
        <w:rPr>
          <w:rFonts w:hint="eastAsia"/>
          <w:szCs w:val="21"/>
          <w:u w:val="single"/>
        </w:rPr>
        <w:t>　</w:t>
      </w:r>
      <w:r>
        <w:rPr>
          <w:rFonts w:hint="eastAsia"/>
          <w:szCs w:val="21"/>
        </w:rPr>
        <w:t>—</w:t>
      </w:r>
      <w:r>
        <w:rPr>
          <w:szCs w:val="21"/>
          <w:u w:val="single"/>
        </w:rPr>
        <w:t xml:space="preserve">       </w:t>
      </w: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3600"/>
        <w:gridCol w:w="1260"/>
        <w:gridCol w:w="262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3" w:hRule="atLeast"/>
          <w:jc w:val="center"/>
        </w:trPr>
        <w:tc>
          <w:tcPr>
            <w:tcW w:w="8668" w:type="dxa"/>
            <w:gridSpan w:val="4"/>
            <w:tcBorders>
              <w:top w:val="single" w:color="auto" w:sz="8" w:space="0"/>
              <w:left w:val="single" w:color="auto" w:sz="8" w:space="0"/>
              <w:bottom w:val="single" w:color="auto" w:sz="4" w:space="0"/>
              <w:right w:val="single" w:color="auto" w:sz="8" w:space="0"/>
            </w:tcBorders>
            <w:noWrap w:val="0"/>
            <w:vAlign w:val="top"/>
          </w:tcPr>
          <w:p>
            <w:pPr>
              <w:spacing w:before="156" w:beforeLines="50" w:line="420" w:lineRule="exact"/>
            </w:pPr>
            <w:r>
              <w:rPr>
                <w:rFonts w:hint="eastAsia"/>
              </w:rPr>
              <w:t>各与会单位</w:t>
            </w:r>
            <w:r>
              <w:t>:</w:t>
            </w:r>
          </w:p>
          <w:p>
            <w:pPr>
              <w:keepLines/>
              <w:spacing w:before="156" w:beforeLines="50" w:line="420" w:lineRule="exact"/>
              <w:rPr>
                <w:rFonts w:ascii="Times New Roman"/>
                <w:szCs w:val="21"/>
              </w:rPr>
            </w:pPr>
            <w:r>
              <w:rPr>
                <w:rFonts w:hint="eastAsia" w:ascii="Times New Roman"/>
                <w:szCs w:val="21"/>
              </w:rPr>
              <w:t xml:space="preserve">    现将</w:t>
            </w:r>
            <w:r>
              <w:rPr>
                <w:rFonts w:hint="eastAsia" w:ascii="Times New Roman"/>
                <w:szCs w:val="21"/>
                <w:u w:val="single"/>
              </w:rPr>
              <w:t xml:space="preserve">                                </w:t>
            </w:r>
            <w:r>
              <w:rPr>
                <w:rFonts w:hint="eastAsia" w:ascii="Times New Roman"/>
                <w:szCs w:val="21"/>
              </w:rPr>
              <w:t>会议纪要印发给你们，请查收。</w:t>
            </w:r>
          </w:p>
          <w:p>
            <w:pPr>
              <w:keepLines/>
              <w:spacing w:line="420" w:lineRule="exact"/>
              <w:rPr>
                <w:rFonts w:hint="eastAsia" w:ascii="Times New Roman"/>
                <w:szCs w:val="21"/>
              </w:rPr>
            </w:pPr>
          </w:p>
          <w:p>
            <w:pPr>
              <w:keepLines/>
              <w:spacing w:line="420" w:lineRule="exact"/>
              <w:ind w:firstLine="420" w:firstLineChars="200"/>
              <w:rPr>
                <w:rFonts w:hint="eastAsia" w:ascii="Times New Roman"/>
                <w:szCs w:val="21"/>
              </w:rPr>
            </w:pPr>
            <w:r>
              <w:rPr>
                <w:rFonts w:hint="eastAsia" w:ascii="Times New Roman"/>
                <w:szCs w:val="21"/>
              </w:rPr>
              <w:t>附：会议纪要正文共</w:t>
            </w:r>
            <w:r>
              <w:rPr>
                <w:rFonts w:hint="eastAsia" w:ascii="Times New Roman"/>
                <w:szCs w:val="21"/>
                <w:u w:val="single"/>
              </w:rPr>
              <w:t xml:space="preserve">      </w:t>
            </w:r>
            <w:r>
              <w:rPr>
                <w:rFonts w:hint="eastAsia" w:ascii="Times New Roman"/>
                <w:szCs w:val="21"/>
              </w:rPr>
              <w:t>页。</w:t>
            </w:r>
          </w:p>
          <w:p>
            <w:pPr>
              <w:keepLines/>
              <w:tabs>
                <w:tab w:val="left" w:pos="7790"/>
              </w:tabs>
              <w:spacing w:line="420" w:lineRule="exact"/>
              <w:rPr>
                <w:rFonts w:hint="eastAsia" w:ascii="Times New Roman"/>
                <w:szCs w:val="21"/>
              </w:rPr>
            </w:pPr>
          </w:p>
          <w:p>
            <w:pPr>
              <w:keepLines/>
              <w:tabs>
                <w:tab w:val="left" w:pos="7790"/>
              </w:tabs>
              <w:spacing w:line="420" w:lineRule="exact"/>
              <w:rPr>
                <w:rFonts w:hint="eastAsia" w:ascii="Times New Roman"/>
                <w:szCs w:val="21"/>
                <w:u w:val="single"/>
              </w:rPr>
            </w:pPr>
            <w:r>
              <w:rPr>
                <w:rFonts w:hint="eastAsia" w:ascii="Times New Roman"/>
                <w:szCs w:val="21"/>
              </w:rPr>
              <w:t xml:space="preserve">　　　　　　                 项目监理机构(章): </w:t>
            </w:r>
            <w:r>
              <w:rPr>
                <w:rFonts w:hint="eastAsia" w:ascii="Times New Roman"/>
                <w:szCs w:val="21"/>
                <w:u w:val="single"/>
              </w:rPr>
              <w:t xml:space="preserve">                                 </w:t>
            </w:r>
          </w:p>
          <w:p>
            <w:pPr>
              <w:keepLines/>
              <w:spacing w:line="420" w:lineRule="exact"/>
              <w:rPr>
                <w:rFonts w:hint="eastAsia" w:ascii="Times New Roman"/>
                <w:szCs w:val="21"/>
                <w:u w:val="single"/>
              </w:rPr>
            </w:pPr>
            <w:r>
              <w:rPr>
                <w:rFonts w:hint="eastAsia" w:ascii="Times New Roman"/>
                <w:szCs w:val="21"/>
              </w:rPr>
              <w:t>　　　　　　                 总监理工程师/总监理工程师代表（签字）：</w:t>
            </w:r>
            <w:r>
              <w:rPr>
                <w:rFonts w:hint="eastAsia" w:ascii="Times New Roman"/>
                <w:szCs w:val="21"/>
                <w:u w:val="single"/>
              </w:rPr>
              <w:t>　　　   　</w:t>
            </w:r>
            <w:r>
              <w:rPr>
                <w:szCs w:val="21"/>
              </w:rPr>
              <w:t xml:space="preserve">                           </w:t>
            </w:r>
          </w:p>
          <w:p>
            <w:pPr>
              <w:keepLines/>
              <w:spacing w:line="420" w:lineRule="exact"/>
              <w:ind w:firstLine="5502" w:firstLineChars="2620"/>
              <w:rPr>
                <w:rFonts w:ascii="Times New Roman"/>
                <w:szCs w:val="21"/>
                <w:u w:val="single"/>
              </w:rPr>
            </w:pPr>
            <w:r>
              <w:rPr>
                <w:szCs w:val="21"/>
              </w:rPr>
              <w:t xml:space="preserve"> </w:t>
            </w:r>
            <w:r>
              <w:rPr>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188" w:type="dxa"/>
            <w:tcBorders>
              <w:top w:val="single" w:color="auto" w:sz="4" w:space="0"/>
              <w:left w:val="single" w:color="auto" w:sz="8" w:space="0"/>
              <w:bottom w:val="single" w:color="auto" w:sz="4" w:space="0"/>
              <w:right w:val="single" w:color="auto" w:sz="4" w:space="0"/>
            </w:tcBorders>
            <w:noWrap w:val="0"/>
            <w:vAlign w:val="center"/>
          </w:tcPr>
          <w:p>
            <w:pPr>
              <w:jc w:val="center"/>
              <w:rPr>
                <w:rFonts w:ascii="Times New Roman"/>
                <w:szCs w:val="21"/>
              </w:rPr>
            </w:pPr>
            <w:r>
              <w:rPr>
                <w:rFonts w:hint="eastAsia" w:ascii="Times New Roman"/>
                <w:szCs w:val="21"/>
              </w:rPr>
              <w:t>会议地点</w:t>
            </w:r>
          </w:p>
        </w:tc>
        <w:tc>
          <w:tcPr>
            <w:tcW w:w="360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szCs w:val="21"/>
              </w:rPr>
            </w:pPr>
            <w:r>
              <w:rPr>
                <w:rFonts w:hint="eastAsia" w:ascii="Times New Roman"/>
                <w:szCs w:val="21"/>
              </w:rPr>
              <w:t>会议时间</w:t>
            </w:r>
          </w:p>
        </w:tc>
        <w:tc>
          <w:tcPr>
            <w:tcW w:w="2620" w:type="dxa"/>
            <w:tcBorders>
              <w:top w:val="single" w:color="auto" w:sz="4" w:space="0"/>
              <w:left w:val="single" w:color="auto" w:sz="4" w:space="0"/>
              <w:bottom w:val="single" w:color="auto" w:sz="4" w:space="0"/>
              <w:right w:val="single" w:color="auto" w:sz="8" w:space="0"/>
            </w:tcBorders>
            <w:noWrap w:val="0"/>
            <w:vAlign w:val="top"/>
          </w:tcPr>
          <w:p>
            <w:pPr>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188" w:type="dxa"/>
            <w:tcBorders>
              <w:top w:val="single" w:color="auto" w:sz="4" w:space="0"/>
              <w:left w:val="single" w:color="auto" w:sz="8" w:space="0"/>
              <w:bottom w:val="single" w:color="auto" w:sz="4" w:space="0"/>
              <w:right w:val="single" w:color="auto" w:sz="4" w:space="0"/>
            </w:tcBorders>
            <w:noWrap w:val="0"/>
            <w:vAlign w:val="center"/>
          </w:tcPr>
          <w:p>
            <w:pPr>
              <w:jc w:val="center"/>
              <w:rPr>
                <w:rFonts w:ascii="Times New Roman"/>
                <w:szCs w:val="21"/>
              </w:rPr>
            </w:pPr>
            <w:r>
              <w:rPr>
                <w:rFonts w:hint="eastAsia" w:ascii="Times New Roman"/>
                <w:szCs w:val="21"/>
              </w:rPr>
              <w:t>组织单位</w:t>
            </w:r>
          </w:p>
        </w:tc>
        <w:tc>
          <w:tcPr>
            <w:tcW w:w="360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szCs w:val="21"/>
              </w:rPr>
            </w:pPr>
            <w:r>
              <w:rPr>
                <w:rFonts w:hint="eastAsia" w:ascii="Times New Roman"/>
                <w:szCs w:val="21"/>
              </w:rPr>
              <w:t>主持人</w:t>
            </w:r>
          </w:p>
        </w:tc>
        <w:tc>
          <w:tcPr>
            <w:tcW w:w="2620" w:type="dxa"/>
            <w:tcBorders>
              <w:top w:val="single" w:color="auto" w:sz="4" w:space="0"/>
              <w:left w:val="single" w:color="auto" w:sz="4" w:space="0"/>
              <w:bottom w:val="single" w:color="auto" w:sz="4" w:space="0"/>
              <w:right w:val="single" w:color="auto" w:sz="8" w:space="0"/>
            </w:tcBorders>
            <w:noWrap w:val="0"/>
            <w:vAlign w:val="top"/>
          </w:tcPr>
          <w:p>
            <w:pPr>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10" w:hRule="exact"/>
          <w:jc w:val="center"/>
        </w:trPr>
        <w:tc>
          <w:tcPr>
            <w:tcW w:w="1188" w:type="dxa"/>
            <w:tcBorders>
              <w:top w:val="single" w:color="auto" w:sz="4" w:space="0"/>
              <w:left w:val="single" w:color="auto" w:sz="8" w:space="0"/>
              <w:bottom w:val="single" w:color="auto" w:sz="4" w:space="0"/>
              <w:right w:val="single" w:color="auto" w:sz="4" w:space="0"/>
            </w:tcBorders>
            <w:noWrap w:val="0"/>
            <w:vAlign w:val="center"/>
          </w:tcPr>
          <w:p>
            <w:pPr>
              <w:rPr>
                <w:rFonts w:ascii="Times New Roman"/>
                <w:szCs w:val="21"/>
              </w:rPr>
            </w:pPr>
            <w:r>
              <w:rPr>
                <w:rFonts w:hint="eastAsia" w:ascii="Times New Roman"/>
                <w:szCs w:val="21"/>
              </w:rPr>
              <w:t>会议议题</w:t>
            </w:r>
          </w:p>
        </w:tc>
        <w:tc>
          <w:tcPr>
            <w:tcW w:w="7480" w:type="dxa"/>
            <w:gridSpan w:val="3"/>
            <w:tcBorders>
              <w:top w:val="single" w:color="auto" w:sz="4" w:space="0"/>
              <w:left w:val="single" w:color="auto" w:sz="4" w:space="0"/>
              <w:bottom w:val="single" w:color="auto" w:sz="4" w:space="0"/>
              <w:right w:val="single" w:color="auto" w:sz="8" w:space="0"/>
            </w:tcBorders>
            <w:noWrap w:val="0"/>
            <w:vAlign w:val="center"/>
          </w:tcPr>
          <w:p>
            <w:pPr>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188" w:type="dxa"/>
            <w:vMerge w:val="restart"/>
            <w:tcBorders>
              <w:top w:val="single" w:color="auto" w:sz="4" w:space="0"/>
              <w:left w:val="single" w:color="auto" w:sz="8" w:space="0"/>
              <w:bottom w:val="single" w:color="auto" w:sz="4" w:space="0"/>
              <w:right w:val="single" w:color="auto" w:sz="4" w:space="0"/>
            </w:tcBorders>
            <w:noWrap w:val="0"/>
            <w:vAlign w:val="center"/>
          </w:tcPr>
          <w:p>
            <w:pPr>
              <w:jc w:val="center"/>
              <w:rPr>
                <w:rFonts w:ascii="Times New Roman"/>
                <w:szCs w:val="21"/>
              </w:rPr>
            </w:pPr>
            <w:r>
              <w:rPr>
                <w:rFonts w:hint="eastAsia" w:ascii="Times New Roman"/>
                <w:szCs w:val="21"/>
              </w:rPr>
              <w:t>各与会单位及人员</w:t>
            </w:r>
          </w:p>
          <w:p>
            <w:pPr>
              <w:jc w:val="center"/>
              <w:rPr>
                <w:rFonts w:ascii="Times New Roman"/>
                <w:szCs w:val="21"/>
              </w:rPr>
            </w:pPr>
            <w:r>
              <w:rPr>
                <w:rFonts w:hint="eastAsia" w:ascii="Times New Roman"/>
                <w:szCs w:val="21"/>
              </w:rPr>
              <w:t>签到栏</w:t>
            </w:r>
          </w:p>
        </w:tc>
        <w:tc>
          <w:tcPr>
            <w:tcW w:w="360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szCs w:val="21"/>
              </w:rPr>
            </w:pPr>
            <w:r>
              <w:rPr>
                <w:rFonts w:hint="eastAsia" w:ascii="Times New Roman"/>
                <w:szCs w:val="21"/>
              </w:rPr>
              <w:t>与会单位</w:t>
            </w:r>
          </w:p>
        </w:tc>
        <w:tc>
          <w:tcPr>
            <w:tcW w:w="3880" w:type="dxa"/>
            <w:gridSpan w:val="2"/>
            <w:tcBorders>
              <w:top w:val="single" w:color="auto" w:sz="4" w:space="0"/>
              <w:left w:val="single" w:color="auto" w:sz="4" w:space="0"/>
              <w:bottom w:val="single" w:color="auto" w:sz="4" w:space="0"/>
              <w:right w:val="single" w:color="auto" w:sz="8" w:space="0"/>
            </w:tcBorders>
            <w:noWrap w:val="0"/>
            <w:vAlign w:val="center"/>
          </w:tcPr>
          <w:p>
            <w:pPr>
              <w:jc w:val="center"/>
              <w:rPr>
                <w:rFonts w:ascii="Times New Roman"/>
                <w:szCs w:val="21"/>
              </w:rPr>
            </w:pPr>
            <w:r>
              <w:rPr>
                <w:rFonts w:hint="eastAsia" w:ascii="Times New Roman"/>
                <w:szCs w:val="21"/>
              </w:rPr>
              <w:t>与会人员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188"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ascii="Times New Roman"/>
                <w:szCs w:val="21"/>
              </w:rPr>
            </w:pPr>
          </w:p>
        </w:tc>
        <w:tc>
          <w:tcPr>
            <w:tcW w:w="3600" w:type="dxa"/>
            <w:tcBorders>
              <w:top w:val="single" w:color="auto" w:sz="4" w:space="0"/>
              <w:left w:val="single" w:color="auto" w:sz="4" w:space="0"/>
              <w:bottom w:val="single" w:color="auto" w:sz="4" w:space="0"/>
              <w:right w:val="single" w:color="auto" w:sz="4" w:space="0"/>
            </w:tcBorders>
            <w:noWrap w:val="0"/>
            <w:vAlign w:val="top"/>
          </w:tcPr>
          <w:p>
            <w:pPr>
              <w:rPr>
                <w:rFonts w:ascii="Times New Roman"/>
                <w:szCs w:val="21"/>
              </w:rPr>
            </w:pPr>
          </w:p>
        </w:tc>
        <w:tc>
          <w:tcPr>
            <w:tcW w:w="3880" w:type="dxa"/>
            <w:gridSpan w:val="2"/>
            <w:tcBorders>
              <w:top w:val="single" w:color="auto" w:sz="4" w:space="0"/>
              <w:left w:val="single" w:color="auto" w:sz="4" w:space="0"/>
              <w:bottom w:val="single" w:color="auto" w:sz="4" w:space="0"/>
              <w:right w:val="single" w:color="auto" w:sz="8" w:space="0"/>
            </w:tcBorders>
            <w:noWrap w:val="0"/>
            <w:vAlign w:val="top"/>
          </w:tcPr>
          <w:p>
            <w:pPr>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188"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ascii="Times New Roman"/>
                <w:szCs w:val="21"/>
              </w:rPr>
            </w:pPr>
          </w:p>
        </w:tc>
        <w:tc>
          <w:tcPr>
            <w:tcW w:w="3600" w:type="dxa"/>
            <w:tcBorders>
              <w:top w:val="single" w:color="auto" w:sz="4" w:space="0"/>
              <w:left w:val="single" w:color="auto" w:sz="4" w:space="0"/>
              <w:bottom w:val="single" w:color="auto" w:sz="4" w:space="0"/>
              <w:right w:val="single" w:color="auto" w:sz="4" w:space="0"/>
            </w:tcBorders>
            <w:noWrap w:val="0"/>
            <w:vAlign w:val="top"/>
          </w:tcPr>
          <w:p>
            <w:pPr>
              <w:rPr>
                <w:rFonts w:ascii="Times New Roman"/>
                <w:szCs w:val="21"/>
              </w:rPr>
            </w:pPr>
          </w:p>
        </w:tc>
        <w:tc>
          <w:tcPr>
            <w:tcW w:w="3880" w:type="dxa"/>
            <w:gridSpan w:val="2"/>
            <w:tcBorders>
              <w:top w:val="single" w:color="auto" w:sz="4" w:space="0"/>
              <w:left w:val="single" w:color="auto" w:sz="4" w:space="0"/>
              <w:bottom w:val="single" w:color="auto" w:sz="4" w:space="0"/>
              <w:right w:val="single" w:color="auto" w:sz="8" w:space="0"/>
            </w:tcBorders>
            <w:noWrap w:val="0"/>
            <w:vAlign w:val="top"/>
          </w:tcPr>
          <w:p>
            <w:pPr>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188"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ascii="Times New Roman"/>
                <w:szCs w:val="21"/>
              </w:rPr>
            </w:pPr>
          </w:p>
        </w:tc>
        <w:tc>
          <w:tcPr>
            <w:tcW w:w="3600" w:type="dxa"/>
            <w:tcBorders>
              <w:top w:val="single" w:color="auto" w:sz="4" w:space="0"/>
              <w:left w:val="single" w:color="auto" w:sz="4" w:space="0"/>
              <w:bottom w:val="single" w:color="auto" w:sz="4" w:space="0"/>
              <w:right w:val="single" w:color="auto" w:sz="4" w:space="0"/>
            </w:tcBorders>
            <w:noWrap w:val="0"/>
            <w:vAlign w:val="top"/>
          </w:tcPr>
          <w:p>
            <w:pPr>
              <w:rPr>
                <w:rFonts w:ascii="Times New Roman"/>
                <w:szCs w:val="21"/>
              </w:rPr>
            </w:pPr>
          </w:p>
        </w:tc>
        <w:tc>
          <w:tcPr>
            <w:tcW w:w="3880" w:type="dxa"/>
            <w:gridSpan w:val="2"/>
            <w:tcBorders>
              <w:top w:val="single" w:color="auto" w:sz="4" w:space="0"/>
              <w:left w:val="single" w:color="auto" w:sz="4" w:space="0"/>
              <w:bottom w:val="single" w:color="auto" w:sz="4" w:space="0"/>
              <w:right w:val="single" w:color="auto" w:sz="8" w:space="0"/>
            </w:tcBorders>
            <w:noWrap w:val="0"/>
            <w:vAlign w:val="top"/>
          </w:tcPr>
          <w:p>
            <w:pPr>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188"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ascii="Times New Roman"/>
                <w:szCs w:val="21"/>
              </w:rPr>
            </w:pPr>
          </w:p>
        </w:tc>
        <w:tc>
          <w:tcPr>
            <w:tcW w:w="3600" w:type="dxa"/>
            <w:tcBorders>
              <w:top w:val="single" w:color="auto" w:sz="4" w:space="0"/>
              <w:left w:val="single" w:color="auto" w:sz="4" w:space="0"/>
              <w:bottom w:val="single" w:color="auto" w:sz="4" w:space="0"/>
              <w:right w:val="single" w:color="auto" w:sz="4" w:space="0"/>
            </w:tcBorders>
            <w:noWrap w:val="0"/>
            <w:vAlign w:val="top"/>
          </w:tcPr>
          <w:p>
            <w:pPr>
              <w:rPr>
                <w:rFonts w:ascii="Times New Roman"/>
                <w:szCs w:val="21"/>
              </w:rPr>
            </w:pPr>
          </w:p>
        </w:tc>
        <w:tc>
          <w:tcPr>
            <w:tcW w:w="3880" w:type="dxa"/>
            <w:gridSpan w:val="2"/>
            <w:tcBorders>
              <w:top w:val="single" w:color="auto" w:sz="4" w:space="0"/>
              <w:left w:val="single" w:color="auto" w:sz="4" w:space="0"/>
              <w:bottom w:val="single" w:color="auto" w:sz="4" w:space="0"/>
              <w:right w:val="single" w:color="auto" w:sz="8" w:space="0"/>
            </w:tcBorders>
            <w:noWrap w:val="0"/>
            <w:vAlign w:val="top"/>
          </w:tcPr>
          <w:p>
            <w:pPr>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188"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ascii="Times New Roman"/>
                <w:szCs w:val="21"/>
              </w:rPr>
            </w:pPr>
          </w:p>
        </w:tc>
        <w:tc>
          <w:tcPr>
            <w:tcW w:w="3600" w:type="dxa"/>
            <w:tcBorders>
              <w:top w:val="single" w:color="auto" w:sz="4" w:space="0"/>
              <w:left w:val="single" w:color="auto" w:sz="4" w:space="0"/>
              <w:bottom w:val="single" w:color="auto" w:sz="4" w:space="0"/>
              <w:right w:val="single" w:color="auto" w:sz="4" w:space="0"/>
            </w:tcBorders>
            <w:noWrap w:val="0"/>
            <w:vAlign w:val="top"/>
          </w:tcPr>
          <w:p>
            <w:pPr>
              <w:rPr>
                <w:rFonts w:ascii="Times New Roman"/>
                <w:szCs w:val="21"/>
              </w:rPr>
            </w:pPr>
          </w:p>
        </w:tc>
        <w:tc>
          <w:tcPr>
            <w:tcW w:w="3880" w:type="dxa"/>
            <w:gridSpan w:val="2"/>
            <w:tcBorders>
              <w:top w:val="single" w:color="auto" w:sz="4" w:space="0"/>
              <w:left w:val="single" w:color="auto" w:sz="4" w:space="0"/>
              <w:bottom w:val="single" w:color="auto" w:sz="4" w:space="0"/>
              <w:right w:val="single" w:color="auto" w:sz="8" w:space="0"/>
            </w:tcBorders>
            <w:noWrap w:val="0"/>
            <w:vAlign w:val="top"/>
          </w:tcPr>
          <w:p>
            <w:pPr>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188"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ascii="Times New Roman"/>
                <w:szCs w:val="21"/>
              </w:rPr>
            </w:pPr>
          </w:p>
        </w:tc>
        <w:tc>
          <w:tcPr>
            <w:tcW w:w="3600" w:type="dxa"/>
            <w:tcBorders>
              <w:top w:val="single" w:color="auto" w:sz="4" w:space="0"/>
              <w:left w:val="single" w:color="auto" w:sz="4" w:space="0"/>
              <w:bottom w:val="single" w:color="auto" w:sz="4" w:space="0"/>
              <w:right w:val="single" w:color="auto" w:sz="4" w:space="0"/>
            </w:tcBorders>
            <w:noWrap w:val="0"/>
            <w:vAlign w:val="top"/>
          </w:tcPr>
          <w:p>
            <w:pPr>
              <w:rPr>
                <w:rFonts w:ascii="Times New Roman"/>
                <w:szCs w:val="21"/>
              </w:rPr>
            </w:pPr>
          </w:p>
        </w:tc>
        <w:tc>
          <w:tcPr>
            <w:tcW w:w="3880" w:type="dxa"/>
            <w:gridSpan w:val="2"/>
            <w:tcBorders>
              <w:top w:val="single" w:color="auto" w:sz="4" w:space="0"/>
              <w:left w:val="single" w:color="auto" w:sz="4" w:space="0"/>
              <w:bottom w:val="single" w:color="auto" w:sz="4" w:space="0"/>
              <w:right w:val="single" w:color="auto" w:sz="8" w:space="0"/>
            </w:tcBorders>
            <w:noWrap w:val="0"/>
            <w:vAlign w:val="top"/>
          </w:tcPr>
          <w:p>
            <w:pPr>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188"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ascii="Times New Roman"/>
                <w:szCs w:val="21"/>
              </w:rPr>
            </w:pPr>
          </w:p>
        </w:tc>
        <w:tc>
          <w:tcPr>
            <w:tcW w:w="3600" w:type="dxa"/>
            <w:tcBorders>
              <w:top w:val="single" w:color="auto" w:sz="4" w:space="0"/>
              <w:left w:val="single" w:color="auto" w:sz="4" w:space="0"/>
              <w:bottom w:val="single" w:color="auto" w:sz="4" w:space="0"/>
              <w:right w:val="single" w:color="auto" w:sz="4" w:space="0"/>
            </w:tcBorders>
            <w:noWrap w:val="0"/>
            <w:vAlign w:val="top"/>
          </w:tcPr>
          <w:p>
            <w:pPr>
              <w:rPr>
                <w:rFonts w:ascii="Times New Roman"/>
                <w:szCs w:val="21"/>
              </w:rPr>
            </w:pPr>
          </w:p>
        </w:tc>
        <w:tc>
          <w:tcPr>
            <w:tcW w:w="3880" w:type="dxa"/>
            <w:gridSpan w:val="2"/>
            <w:tcBorders>
              <w:top w:val="single" w:color="auto" w:sz="4" w:space="0"/>
              <w:left w:val="single" w:color="auto" w:sz="4" w:space="0"/>
              <w:bottom w:val="single" w:color="auto" w:sz="4" w:space="0"/>
              <w:right w:val="single" w:color="auto" w:sz="8" w:space="0"/>
            </w:tcBorders>
            <w:noWrap w:val="0"/>
            <w:vAlign w:val="top"/>
          </w:tcPr>
          <w:p>
            <w:pPr>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188"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ascii="Times New Roman"/>
                <w:szCs w:val="21"/>
              </w:rPr>
            </w:pPr>
          </w:p>
        </w:tc>
        <w:tc>
          <w:tcPr>
            <w:tcW w:w="3600" w:type="dxa"/>
            <w:tcBorders>
              <w:top w:val="single" w:color="auto" w:sz="4" w:space="0"/>
              <w:left w:val="single" w:color="auto" w:sz="4" w:space="0"/>
              <w:bottom w:val="single" w:color="auto" w:sz="4" w:space="0"/>
              <w:right w:val="single" w:color="auto" w:sz="4" w:space="0"/>
            </w:tcBorders>
            <w:noWrap w:val="0"/>
            <w:vAlign w:val="top"/>
          </w:tcPr>
          <w:p>
            <w:pPr>
              <w:rPr>
                <w:rFonts w:ascii="Times New Roman"/>
                <w:szCs w:val="21"/>
              </w:rPr>
            </w:pPr>
          </w:p>
        </w:tc>
        <w:tc>
          <w:tcPr>
            <w:tcW w:w="3880" w:type="dxa"/>
            <w:gridSpan w:val="2"/>
            <w:tcBorders>
              <w:top w:val="single" w:color="auto" w:sz="4" w:space="0"/>
              <w:left w:val="single" w:color="auto" w:sz="4" w:space="0"/>
              <w:bottom w:val="single" w:color="auto" w:sz="4" w:space="0"/>
              <w:right w:val="single" w:color="auto" w:sz="8" w:space="0"/>
            </w:tcBorders>
            <w:noWrap w:val="0"/>
            <w:vAlign w:val="top"/>
          </w:tcPr>
          <w:p>
            <w:pPr>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188"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ascii="Times New Roman"/>
                <w:szCs w:val="21"/>
              </w:rPr>
            </w:pPr>
          </w:p>
        </w:tc>
        <w:tc>
          <w:tcPr>
            <w:tcW w:w="3600" w:type="dxa"/>
            <w:tcBorders>
              <w:top w:val="single" w:color="auto" w:sz="4" w:space="0"/>
              <w:left w:val="single" w:color="auto" w:sz="4" w:space="0"/>
              <w:bottom w:val="single" w:color="auto" w:sz="4" w:space="0"/>
              <w:right w:val="single" w:color="auto" w:sz="4" w:space="0"/>
            </w:tcBorders>
            <w:noWrap w:val="0"/>
            <w:vAlign w:val="top"/>
          </w:tcPr>
          <w:p>
            <w:pPr>
              <w:rPr>
                <w:rFonts w:ascii="Times New Roman"/>
                <w:szCs w:val="21"/>
              </w:rPr>
            </w:pPr>
          </w:p>
        </w:tc>
        <w:tc>
          <w:tcPr>
            <w:tcW w:w="3880" w:type="dxa"/>
            <w:gridSpan w:val="2"/>
            <w:tcBorders>
              <w:top w:val="single" w:color="auto" w:sz="4" w:space="0"/>
              <w:left w:val="single" w:color="auto" w:sz="4" w:space="0"/>
              <w:bottom w:val="single" w:color="auto" w:sz="4" w:space="0"/>
              <w:right w:val="single" w:color="auto" w:sz="8" w:space="0"/>
            </w:tcBorders>
            <w:noWrap w:val="0"/>
            <w:vAlign w:val="top"/>
          </w:tcPr>
          <w:p>
            <w:pPr>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8668" w:type="dxa"/>
            <w:gridSpan w:val="4"/>
            <w:tcBorders>
              <w:top w:val="single" w:color="auto" w:sz="4" w:space="0"/>
              <w:left w:val="single" w:color="auto" w:sz="8" w:space="0"/>
              <w:bottom w:val="single" w:color="auto" w:sz="8" w:space="0"/>
              <w:right w:val="single" w:color="auto" w:sz="8" w:space="0"/>
            </w:tcBorders>
            <w:noWrap w:val="0"/>
            <w:vAlign w:val="top"/>
          </w:tcPr>
          <w:p>
            <w:pPr>
              <w:spacing w:line="320" w:lineRule="exact"/>
              <w:rPr>
                <w:rFonts w:ascii="Times New Roman"/>
                <w:szCs w:val="21"/>
              </w:rPr>
            </w:pPr>
            <w:r>
              <w:rPr>
                <w:rFonts w:hint="eastAsia" w:ascii="Times New Roman"/>
                <w:szCs w:val="21"/>
              </w:rPr>
              <w:t>注：1、本会议纪要分为第一次工地会议纪要</w:t>
            </w:r>
            <w:r>
              <w:rPr>
                <w:rFonts w:hint="eastAsia"/>
                <w:szCs w:val="21"/>
              </w:rPr>
              <w:t>（</w:t>
            </w:r>
            <w:r>
              <w:rPr>
                <w:szCs w:val="21"/>
              </w:rPr>
              <w:t>A.0.7</w:t>
            </w:r>
            <w:r>
              <w:rPr>
                <w:szCs w:val="21"/>
                <w:u w:val="single"/>
              </w:rPr>
              <w:t>0</w:t>
            </w:r>
            <w:r>
              <w:rPr>
                <w:rFonts w:hint="eastAsia"/>
                <w:szCs w:val="21"/>
              </w:rPr>
              <w:t>）、监理例会纪要（</w:t>
            </w:r>
            <w:r>
              <w:rPr>
                <w:szCs w:val="21"/>
              </w:rPr>
              <w:t>A.0.7</w:t>
            </w:r>
            <w:r>
              <w:rPr>
                <w:szCs w:val="21"/>
                <w:u w:val="single"/>
              </w:rPr>
              <w:t>1</w:t>
            </w:r>
            <w:r>
              <w:rPr>
                <w:rFonts w:hint="eastAsia"/>
                <w:szCs w:val="21"/>
              </w:rPr>
              <w:t>）、专题会议纪要（</w:t>
            </w:r>
            <w:r>
              <w:rPr>
                <w:szCs w:val="21"/>
              </w:rPr>
              <w:t>A.0.7</w:t>
            </w:r>
            <w:r>
              <w:rPr>
                <w:szCs w:val="21"/>
                <w:u w:val="single"/>
              </w:rPr>
              <w:t>2</w:t>
            </w:r>
            <w:r>
              <w:rPr>
                <w:rFonts w:hint="eastAsia"/>
                <w:szCs w:val="21"/>
              </w:rPr>
              <w:t>）、项目监理机构内部会议纪要（</w:t>
            </w:r>
            <w:r>
              <w:rPr>
                <w:szCs w:val="21"/>
              </w:rPr>
              <w:t>A.0.7</w:t>
            </w:r>
            <w:r>
              <w:rPr>
                <w:szCs w:val="21"/>
                <w:u w:val="single"/>
              </w:rPr>
              <w:t>3</w:t>
            </w:r>
            <w:r>
              <w:rPr>
                <w:rFonts w:hint="eastAsia"/>
                <w:szCs w:val="21"/>
              </w:rPr>
              <w:t>）</w:t>
            </w:r>
            <w:r>
              <w:rPr>
                <w:rFonts w:hint="eastAsia" w:ascii="Times New Roman"/>
                <w:szCs w:val="21"/>
              </w:rPr>
              <w:t>。</w:t>
            </w:r>
          </w:p>
          <w:p>
            <w:pPr>
              <w:spacing w:line="320" w:lineRule="exact"/>
              <w:rPr>
                <w:rFonts w:ascii="Times New Roman"/>
                <w:szCs w:val="21"/>
              </w:rPr>
            </w:pPr>
            <w:r>
              <w:rPr>
                <w:rFonts w:hint="eastAsia" w:ascii="Times New Roman"/>
                <w:szCs w:val="21"/>
              </w:rPr>
              <w:t xml:space="preserve">    2、本表与会议纪要正文参会单位各一份。</w:t>
            </w:r>
          </w:p>
        </w:tc>
      </w:tr>
    </w:tbl>
    <w:p>
      <w:pPr>
        <w:jc w:val="right"/>
        <w:rPr>
          <w:rFonts w:ascii="Times New Roman" w:eastAsia="隶书"/>
        </w:rPr>
      </w:pPr>
      <w:r>
        <w:rPr>
          <w:rFonts w:hint="eastAsia" w:ascii="Times New Roman" w:eastAsia="隶书"/>
        </w:rPr>
        <w:t>第六版表                                              江苏省住房和城乡建设厅监制</w:t>
      </w:r>
    </w:p>
    <w:p>
      <w:pPr>
        <w:spacing w:line="380" w:lineRule="exact"/>
        <w:jc w:val="right"/>
        <w:rPr>
          <w:rFonts w:hint="eastAsia" w:ascii="Times New Roman" w:eastAsia="黑体"/>
          <w:b/>
          <w:sz w:val="28"/>
          <w:szCs w:val="28"/>
          <w14:shadow w14:blurRad="50800" w14:dist="38100" w14:dir="2700000" w14:sx="100000" w14:sy="100000" w14:kx="0" w14:ky="0" w14:algn="tl">
            <w14:srgbClr w14:val="000000">
              <w14:alpha w14:val="60000"/>
            </w14:srgbClr>
          </w14:shadow>
        </w:rPr>
      </w:pPr>
      <w:r>
        <w:rPr>
          <w:b/>
          <w:szCs w:val="21"/>
        </w:rPr>
        <w:br w:type="column"/>
      </w:r>
      <w:r>
        <w:rPr>
          <w:rFonts w:eastAsia="黑体"/>
          <w:b/>
          <w:w w:val="90"/>
          <w:sz w:val="28"/>
          <w:szCs w:val="28"/>
          <w14:shadow w14:blurRad="50800" w14:dist="38100" w14:dir="2700000" w14:sx="100000" w14:sy="100000" w14:kx="0" w14:ky="0" w14:algn="tl">
            <w14:srgbClr w14:val="000000">
              <w14:alpha w14:val="60000"/>
            </w14:srgbClr>
          </w14:shadow>
        </w:rPr>
        <w:t>A.0.8</w:t>
      </w:r>
    </w:p>
    <w:p>
      <w:pPr>
        <w:spacing w:before="468" w:beforeLines="150"/>
        <w:jc w:val="center"/>
        <w:rPr>
          <w:rFonts w:hint="eastAsia" w:eastAsia="微软简标宋"/>
          <w:sz w:val="32"/>
        </w:rPr>
      </w:pPr>
      <w:r>
        <w:rPr>
          <w:sz w:val="28"/>
          <w:u w:val="single"/>
        </w:rPr>
        <w:t xml:space="preserve">                                               </w:t>
      </w:r>
      <w:r>
        <w:rPr>
          <w:rFonts w:hint="eastAsia" w:ascii="Times New Roman" w:hAnsi="Times New Roman" w:eastAsia="黑体"/>
          <w:sz w:val="44"/>
          <w14:shadow w14:blurRad="50800" w14:dist="38100" w14:dir="2700000" w14:sx="100000" w14:sy="100000" w14:kx="0" w14:ky="0" w14:algn="tl">
            <w14:srgbClr w14:val="000000">
              <w14:alpha w14:val="60000"/>
            </w14:srgbClr>
          </w14:shadow>
        </w:rPr>
        <w:t>工程</w:t>
      </w:r>
    </w:p>
    <w:p>
      <w:pPr>
        <w:spacing w:before="312" w:beforeLines="100" w:after="312" w:afterLines="100"/>
        <w:jc w:val="center"/>
        <w:rPr>
          <w:rFonts w:eastAsia="黑体"/>
          <w:sz w:val="72"/>
          <w14:shadow w14:blurRad="50800" w14:dist="38100" w14:dir="2700000" w14:sx="100000" w14:sy="100000" w14:kx="0" w14:ky="0" w14:algn="tl">
            <w14:srgbClr w14:val="000000">
              <w14:alpha w14:val="60000"/>
            </w14:srgbClr>
          </w14:shadow>
        </w:rPr>
      </w:pPr>
      <w:r>
        <w:rPr>
          <w:rFonts w:hint="eastAsia" w:eastAsia="黑体"/>
          <w:sz w:val="72"/>
          <w14:shadow w14:blurRad="50800" w14:dist="38100" w14:dir="2700000" w14:sx="100000" w14:sy="100000" w14:kx="0" w14:ky="0" w14:algn="tl">
            <w14:srgbClr w14:val="000000">
              <w14:alpha w14:val="60000"/>
            </w14:srgbClr>
          </w14:shadow>
        </w:rPr>
        <w:t>监</w:t>
      </w:r>
      <w:r>
        <w:rPr>
          <w:rFonts w:eastAsia="黑体"/>
          <w:sz w:val="72"/>
          <w14:shadow w14:blurRad="50800" w14:dist="38100" w14:dir="2700000" w14:sx="100000" w14:sy="100000" w14:kx="0" w14:ky="0" w14:algn="tl">
            <w14:srgbClr w14:val="000000">
              <w14:alpha w14:val="60000"/>
            </w14:srgbClr>
          </w14:shadow>
        </w:rPr>
        <w:t xml:space="preserve"> </w:t>
      </w:r>
      <w:r>
        <w:rPr>
          <w:rFonts w:hint="eastAsia" w:eastAsia="黑体"/>
          <w:sz w:val="72"/>
          <w14:shadow w14:blurRad="50800" w14:dist="38100" w14:dir="2700000" w14:sx="100000" w14:sy="100000" w14:kx="0" w14:ky="0" w14:algn="tl">
            <w14:srgbClr w14:val="000000">
              <w14:alpha w14:val="60000"/>
            </w14:srgbClr>
          </w14:shadow>
        </w:rPr>
        <w:t>理</w:t>
      </w:r>
      <w:r>
        <w:rPr>
          <w:rFonts w:eastAsia="黑体"/>
          <w:sz w:val="72"/>
          <w14:shadow w14:blurRad="50800" w14:dist="38100" w14:dir="2700000" w14:sx="100000" w14:sy="100000" w14:kx="0" w14:ky="0" w14:algn="tl">
            <w14:srgbClr w14:val="000000">
              <w14:alpha w14:val="60000"/>
            </w14:srgbClr>
          </w14:shadow>
        </w:rPr>
        <w:t xml:space="preserve"> </w:t>
      </w:r>
      <w:r>
        <w:rPr>
          <w:rFonts w:hint="eastAsia" w:eastAsia="黑体"/>
          <w:sz w:val="72"/>
          <w14:shadow w14:blurRad="50800" w14:dist="38100" w14:dir="2700000" w14:sx="100000" w14:sy="100000" w14:kx="0" w14:ky="0" w14:algn="tl">
            <w14:srgbClr w14:val="000000">
              <w14:alpha w14:val="60000"/>
            </w14:srgbClr>
          </w14:shadow>
        </w:rPr>
        <w:t>月</w:t>
      </w:r>
      <w:r>
        <w:rPr>
          <w:rFonts w:eastAsia="黑体"/>
          <w:sz w:val="72"/>
          <w14:shadow w14:blurRad="50800" w14:dist="38100" w14:dir="2700000" w14:sx="100000" w14:sy="100000" w14:kx="0" w14:ky="0" w14:algn="tl">
            <w14:srgbClr w14:val="000000">
              <w14:alpha w14:val="60000"/>
            </w14:srgbClr>
          </w14:shadow>
        </w:rPr>
        <w:t xml:space="preserve"> </w:t>
      </w:r>
      <w:r>
        <w:rPr>
          <w:rFonts w:hint="eastAsia" w:eastAsia="黑体"/>
          <w:sz w:val="72"/>
          <w14:shadow w14:blurRad="50800" w14:dist="38100" w14:dir="2700000" w14:sx="100000" w14:sy="100000" w14:kx="0" w14:ky="0" w14:algn="tl">
            <w14:srgbClr w14:val="000000">
              <w14:alpha w14:val="60000"/>
            </w14:srgbClr>
          </w14:shadow>
        </w:rPr>
        <w:t>报</w:t>
      </w:r>
    </w:p>
    <w:p>
      <w:pPr>
        <w:spacing w:line="420" w:lineRule="exact"/>
        <w:jc w:val="center"/>
        <w:rPr>
          <w:rFonts w:ascii="Times New Roman" w:eastAsia="微软简标宋"/>
          <w:sz w:val="24"/>
        </w:rPr>
      </w:pPr>
      <w:r>
        <w:rPr>
          <w:rFonts w:hint="eastAsia"/>
          <w:sz w:val="24"/>
        </w:rPr>
        <w:t>第</w:t>
      </w:r>
      <w:r>
        <w:rPr>
          <w:rFonts w:hint="eastAsia"/>
          <w:sz w:val="24"/>
          <w:u w:val="single"/>
        </w:rPr>
        <w:t>　　　　</w:t>
      </w:r>
      <w:r>
        <w:rPr>
          <w:rFonts w:hint="eastAsia"/>
          <w:sz w:val="24"/>
        </w:rPr>
        <w:t>期</w:t>
      </w:r>
    </w:p>
    <w:p>
      <w:pPr>
        <w:spacing w:line="420" w:lineRule="exact"/>
        <w:jc w:val="center"/>
        <w:rPr>
          <w:rFonts w:hint="eastAsia"/>
          <w:sz w:val="24"/>
        </w:rPr>
      </w:pPr>
      <w:r>
        <w:rPr>
          <w:rFonts w:hint="eastAsia"/>
          <w:sz w:val="24"/>
          <w:u w:val="single"/>
        </w:rPr>
        <w:t>　　　　</w:t>
      </w:r>
      <w:r>
        <w:rPr>
          <w:rFonts w:hint="eastAsia"/>
          <w:sz w:val="24"/>
        </w:rPr>
        <w:t>年</w:t>
      </w:r>
      <w:r>
        <w:rPr>
          <w:rFonts w:hint="eastAsia"/>
          <w:sz w:val="24"/>
          <w:u w:val="single"/>
        </w:rPr>
        <w:t>　　　</w:t>
      </w:r>
      <w:r>
        <w:rPr>
          <w:rFonts w:hint="eastAsia"/>
          <w:sz w:val="24"/>
        </w:rPr>
        <w:t>月</w:t>
      </w:r>
      <w:r>
        <w:rPr>
          <w:rFonts w:hint="eastAsia"/>
          <w:sz w:val="24"/>
          <w:u w:val="single"/>
        </w:rPr>
        <w:t>　　　</w:t>
      </w:r>
      <w:r>
        <w:rPr>
          <w:rFonts w:hint="eastAsia"/>
          <w:sz w:val="24"/>
        </w:rPr>
        <w:t>日　至　</w:t>
      </w:r>
      <w:r>
        <w:rPr>
          <w:rFonts w:hint="eastAsia"/>
          <w:sz w:val="24"/>
          <w:u w:val="single"/>
        </w:rPr>
        <w:t>　　　　</w:t>
      </w:r>
      <w:r>
        <w:rPr>
          <w:rFonts w:hint="eastAsia"/>
          <w:sz w:val="24"/>
        </w:rPr>
        <w:t>年</w:t>
      </w:r>
      <w:r>
        <w:rPr>
          <w:rFonts w:hint="eastAsia"/>
          <w:sz w:val="24"/>
          <w:u w:val="single"/>
        </w:rPr>
        <w:t>　　　</w:t>
      </w:r>
      <w:r>
        <w:rPr>
          <w:rFonts w:hint="eastAsia"/>
          <w:sz w:val="24"/>
        </w:rPr>
        <w:t>月</w:t>
      </w:r>
      <w:r>
        <w:rPr>
          <w:rFonts w:hint="eastAsia"/>
          <w:sz w:val="24"/>
          <w:u w:val="single"/>
        </w:rPr>
        <w:t>　　　</w:t>
      </w:r>
      <w:r>
        <w:rPr>
          <w:rFonts w:hint="eastAsia"/>
          <w:sz w:val="24"/>
        </w:rPr>
        <w:t>日</w:t>
      </w:r>
    </w:p>
    <w:p>
      <w:pPr>
        <w:spacing w:line="420" w:lineRule="exact"/>
        <w:ind w:left="3079"/>
        <w:rPr>
          <w:b/>
          <w:sz w:val="24"/>
        </w:rPr>
      </w:pPr>
    </w:p>
    <w:p>
      <w:pPr>
        <w:spacing w:line="420" w:lineRule="exact"/>
        <w:ind w:left="3079"/>
        <w:rPr>
          <w:b/>
          <w:sz w:val="24"/>
        </w:rPr>
      </w:pPr>
    </w:p>
    <w:p>
      <w:pPr>
        <w:spacing w:line="420" w:lineRule="exact"/>
        <w:ind w:left="3079"/>
        <w:rPr>
          <w:b/>
          <w:sz w:val="24"/>
        </w:rPr>
      </w:pPr>
      <w:r>
        <w:rPr>
          <w:rFonts w:hint="eastAsia"/>
          <w:b/>
          <w:sz w:val="24"/>
        </w:rPr>
        <w:t>内容提要：</w:t>
      </w:r>
    </w:p>
    <w:p>
      <w:pPr>
        <w:spacing w:line="420" w:lineRule="exact"/>
        <w:ind w:left="3079"/>
        <w:rPr>
          <w:sz w:val="24"/>
        </w:rPr>
      </w:pPr>
      <w:r>
        <w:rPr>
          <w:rFonts w:hint="eastAsia"/>
          <w:sz w:val="24"/>
        </w:rPr>
        <w:t>工程实施概况</w:t>
      </w:r>
    </w:p>
    <w:p>
      <w:pPr>
        <w:spacing w:line="420" w:lineRule="exact"/>
        <w:ind w:left="3079"/>
        <w:rPr>
          <w:sz w:val="24"/>
        </w:rPr>
      </w:pPr>
      <w:r>
        <w:rPr>
          <w:rFonts w:hint="eastAsia"/>
          <w:sz w:val="24"/>
        </w:rPr>
        <w:t>质量控制情况</w:t>
      </w:r>
    </w:p>
    <w:p>
      <w:pPr>
        <w:spacing w:line="420" w:lineRule="exact"/>
        <w:ind w:left="3079"/>
        <w:rPr>
          <w:sz w:val="24"/>
        </w:rPr>
      </w:pPr>
      <w:r>
        <w:rPr>
          <w:rFonts w:hint="eastAsia"/>
          <w:sz w:val="24"/>
        </w:rPr>
        <w:t>费用控制情况</w:t>
      </w:r>
    </w:p>
    <w:p>
      <w:pPr>
        <w:spacing w:line="420" w:lineRule="exact"/>
        <w:ind w:left="3079"/>
        <w:rPr>
          <w:sz w:val="24"/>
        </w:rPr>
      </w:pPr>
      <w:r>
        <w:rPr>
          <w:rFonts w:hint="eastAsia"/>
          <w:sz w:val="24"/>
        </w:rPr>
        <w:t>进度控制情况</w:t>
      </w:r>
    </w:p>
    <w:p>
      <w:pPr>
        <w:spacing w:line="420" w:lineRule="exact"/>
        <w:ind w:left="3079"/>
        <w:rPr>
          <w:sz w:val="24"/>
        </w:rPr>
      </w:pPr>
      <w:r>
        <w:rPr>
          <w:rFonts w:hint="eastAsia"/>
          <w:sz w:val="24"/>
        </w:rPr>
        <w:t>安全生产管理的监理工作</w:t>
      </w:r>
    </w:p>
    <w:p>
      <w:pPr>
        <w:spacing w:line="420" w:lineRule="exact"/>
        <w:ind w:left="3079"/>
        <w:rPr>
          <w:sz w:val="24"/>
        </w:rPr>
      </w:pPr>
      <w:r>
        <w:rPr>
          <w:rFonts w:hint="eastAsia"/>
          <w:sz w:val="24"/>
        </w:rPr>
        <w:t>其它事项</w:t>
      </w:r>
    </w:p>
    <w:p>
      <w:pPr>
        <w:rPr>
          <w:sz w:val="28"/>
        </w:rPr>
      </w:pPr>
    </w:p>
    <w:p>
      <w:pPr>
        <w:rPr>
          <w:sz w:val="28"/>
        </w:rPr>
      </w:pPr>
    </w:p>
    <w:p>
      <w:pPr>
        <w:rPr>
          <w:sz w:val="28"/>
        </w:rPr>
      </w:pPr>
    </w:p>
    <w:p>
      <w:pPr>
        <w:rPr>
          <w:sz w:val="28"/>
        </w:rPr>
      </w:pPr>
    </w:p>
    <w:p>
      <w:pPr>
        <w:tabs>
          <w:tab w:val="left" w:pos="7520"/>
        </w:tabs>
        <w:ind w:firstLine="1506" w:firstLineChars="500"/>
        <w:rPr>
          <w:sz w:val="30"/>
          <w:szCs w:val="30"/>
          <w:u w:val="single"/>
        </w:rPr>
      </w:pPr>
      <w:r>
        <w:rPr>
          <w:rFonts w:hint="eastAsia"/>
          <w:b/>
          <w:sz w:val="30"/>
          <w:szCs w:val="30"/>
        </w:rPr>
        <w:t>项目监理机构（章）</w:t>
      </w:r>
      <w:r>
        <w:rPr>
          <w:rFonts w:hint="eastAsia"/>
          <w:sz w:val="30"/>
          <w:szCs w:val="30"/>
        </w:rPr>
        <w:t>：</w:t>
      </w:r>
      <w:r>
        <w:rPr>
          <w:rFonts w:hint="eastAsia"/>
          <w:sz w:val="28"/>
          <w:szCs w:val="28"/>
          <w:u w:val="single"/>
        </w:rPr>
        <w:t>　　　　　　</w:t>
      </w:r>
      <w:r>
        <w:rPr>
          <w:spacing w:val="-16"/>
          <w:sz w:val="28"/>
          <w:szCs w:val="28"/>
          <w:u w:val="single"/>
        </w:rPr>
        <w:t>  </w:t>
      </w:r>
      <w:r>
        <w:rPr>
          <w:rFonts w:hint="eastAsia"/>
          <w:sz w:val="28"/>
          <w:szCs w:val="28"/>
          <w:u w:val="single"/>
        </w:rPr>
        <w:t>　</w:t>
      </w:r>
      <w:r>
        <w:rPr>
          <w:sz w:val="28"/>
          <w:szCs w:val="28"/>
          <w:u w:val="single"/>
        </w:rPr>
        <w:t xml:space="preserve">       </w:t>
      </w:r>
      <w:r>
        <w:rPr>
          <w:sz w:val="30"/>
          <w:szCs w:val="30"/>
          <w:u w:val="single"/>
        </w:rPr>
        <w:t xml:space="preserve"> </w:t>
      </w:r>
      <w:r>
        <w:rPr>
          <w:rFonts w:hint="eastAsia"/>
          <w:sz w:val="30"/>
          <w:szCs w:val="30"/>
          <w:u w:val="single"/>
        </w:rPr>
        <w:t>　　</w:t>
      </w:r>
      <w:r>
        <w:rPr>
          <w:sz w:val="30"/>
          <w:szCs w:val="30"/>
          <w:u w:val="single"/>
        </w:rPr>
        <w:t xml:space="preserve">  </w:t>
      </w:r>
    </w:p>
    <w:p>
      <w:pPr>
        <w:tabs>
          <w:tab w:val="left" w:pos="7490"/>
        </w:tabs>
        <w:ind w:firstLine="1446" w:firstLineChars="500"/>
        <w:rPr>
          <w:spacing w:val="-6"/>
          <w:sz w:val="28"/>
          <w:u w:val="single"/>
        </w:rPr>
      </w:pPr>
      <w:r>
        <w:rPr>
          <w:rFonts w:hint="eastAsia"/>
          <w:b/>
          <w:spacing w:val="-6"/>
          <w:sz w:val="30"/>
          <w:szCs w:val="30"/>
        </w:rPr>
        <w:t>总监理工程师</w:t>
      </w:r>
      <w:r>
        <w:rPr>
          <w:b/>
          <w:spacing w:val="-6"/>
          <w:sz w:val="30"/>
          <w:szCs w:val="30"/>
        </w:rPr>
        <w:t>/</w:t>
      </w:r>
      <w:r>
        <w:rPr>
          <w:rFonts w:hint="eastAsia"/>
          <w:b/>
          <w:spacing w:val="-6"/>
          <w:sz w:val="30"/>
          <w:szCs w:val="30"/>
        </w:rPr>
        <w:t>总监理工程师代表</w:t>
      </w:r>
      <w:r>
        <w:rPr>
          <w:rFonts w:hint="eastAsia"/>
          <w:b/>
          <w:spacing w:val="-6"/>
          <w:sz w:val="24"/>
        </w:rPr>
        <w:t>（签字）</w:t>
      </w:r>
      <w:r>
        <w:rPr>
          <w:rFonts w:hint="eastAsia"/>
          <w:spacing w:val="-6"/>
          <w:sz w:val="28"/>
        </w:rPr>
        <w:t>：</w:t>
      </w:r>
      <w:r>
        <w:rPr>
          <w:rFonts w:hint="eastAsia"/>
          <w:spacing w:val="-6"/>
          <w:sz w:val="28"/>
          <w:u w:val="single"/>
        </w:rPr>
        <w:t>　</w:t>
      </w:r>
      <w:r>
        <w:rPr>
          <w:spacing w:val="-6"/>
          <w:sz w:val="28"/>
          <w:u w:val="single"/>
        </w:rPr>
        <w:t xml:space="preserve">    </w:t>
      </w:r>
      <w:r>
        <w:rPr>
          <w:rFonts w:hint="eastAsia"/>
          <w:spacing w:val="-6"/>
          <w:sz w:val="28"/>
          <w:u w:val="single"/>
        </w:rPr>
        <w:t>　</w:t>
      </w:r>
      <w:r>
        <w:rPr>
          <w:spacing w:val="-6"/>
          <w:sz w:val="28"/>
          <w:u w:val="single"/>
        </w:rPr>
        <w:t xml:space="preserve"> </w:t>
      </w:r>
      <w:r>
        <w:rPr>
          <w:rFonts w:hint="eastAsia"/>
          <w:spacing w:val="-6"/>
          <w:sz w:val="28"/>
          <w:u w:val="single"/>
        </w:rPr>
        <w:t>　　</w:t>
      </w:r>
    </w:p>
    <w:p>
      <w:pPr>
        <w:ind w:firstLine="1506" w:firstLineChars="500"/>
        <w:rPr>
          <w:sz w:val="28"/>
          <w:u w:val="single"/>
        </w:rPr>
      </w:pPr>
      <w:r>
        <w:rPr>
          <w:rFonts w:hint="eastAsia"/>
          <w:b/>
          <w:sz w:val="30"/>
          <w:szCs w:val="30"/>
        </w:rPr>
        <w:t>日</w:t>
      </w:r>
      <w:r>
        <w:rPr>
          <w:b/>
          <w:sz w:val="30"/>
          <w:szCs w:val="30"/>
        </w:rPr>
        <w:t xml:space="preserve">        </w:t>
      </w:r>
      <w:r>
        <w:rPr>
          <w:rFonts w:hint="eastAsia"/>
          <w:b/>
          <w:sz w:val="30"/>
          <w:szCs w:val="30"/>
        </w:rPr>
        <w:t>期</w:t>
      </w:r>
      <w:r>
        <w:rPr>
          <w:rFonts w:hint="eastAsia"/>
          <w:sz w:val="28"/>
        </w:rPr>
        <w:t>：</w:t>
      </w:r>
      <w:r>
        <w:rPr>
          <w:rFonts w:hint="eastAsia"/>
          <w:sz w:val="28"/>
          <w:u w:val="single"/>
        </w:rPr>
        <w:t>　　　　　　　　　　</w:t>
      </w:r>
      <w:r>
        <w:rPr>
          <w:sz w:val="28"/>
          <w:u w:val="single"/>
        </w:rPr>
        <w:t xml:space="preserve">          </w:t>
      </w:r>
      <w:r>
        <w:rPr>
          <w:rFonts w:hint="eastAsia"/>
          <w:sz w:val="28"/>
          <w:u w:val="single"/>
        </w:rPr>
        <w:t>　　</w:t>
      </w:r>
      <w:r>
        <w:rPr>
          <w:sz w:val="28"/>
          <w:u w:val="single"/>
        </w:rPr>
        <w:t xml:space="preserve"> </w:t>
      </w:r>
    </w:p>
    <w:p>
      <w:pPr>
        <w:spacing w:line="360" w:lineRule="exact"/>
        <w:ind w:firstLine="1980"/>
        <w:rPr>
          <w:sz w:val="28"/>
          <w:u w:val="single"/>
        </w:rPr>
      </w:pPr>
    </w:p>
    <w:p>
      <w:pPr>
        <w:spacing w:line="360" w:lineRule="exact"/>
        <w:ind w:firstLine="1980"/>
        <w:rPr>
          <w:sz w:val="28"/>
          <w:u w:val="single"/>
        </w:rPr>
      </w:pPr>
    </w:p>
    <w:p>
      <w:pPr>
        <w:spacing w:line="360" w:lineRule="exact"/>
        <w:ind w:firstLine="1980"/>
        <w:rPr>
          <w:sz w:val="28"/>
          <w:u w:val="single"/>
        </w:rPr>
      </w:pPr>
    </w:p>
    <w:p>
      <w:pPr>
        <w:spacing w:line="360" w:lineRule="exact"/>
        <w:ind w:firstLine="1980"/>
        <w:rPr>
          <w:sz w:val="28"/>
          <w:u w:val="single"/>
        </w:rPr>
      </w:pPr>
    </w:p>
    <w:p>
      <w:pPr>
        <w:jc w:val="center"/>
        <w:rPr>
          <w:sz w:val="24"/>
        </w:rPr>
      </w:pPr>
      <w:r>
        <w:rPr>
          <w:rFonts w:hint="eastAsia" w:ascii="Times New Roman" w:eastAsia="隶书"/>
        </w:rPr>
        <w:t xml:space="preserve">第六版表                                              </w:t>
      </w:r>
      <w:r>
        <w:rPr>
          <w:rFonts w:hint="eastAsia" w:ascii="Times New Roman" w:eastAsia="隶书"/>
          <w:szCs w:val="21"/>
        </w:rPr>
        <w:t>江苏省住房和城乡建设厅监制</w:t>
      </w:r>
    </w:p>
    <w:p>
      <w:pPr>
        <w:widowControl/>
        <w:jc w:val="left"/>
        <w:rPr>
          <w:rFonts w:eastAsia="黑体"/>
          <w:b/>
          <w:w w:val="90"/>
          <w:sz w:val="28"/>
          <w:szCs w:val="28"/>
          <w14:shadow w14:blurRad="50800" w14:dist="38100" w14:dir="2700000" w14:sx="100000" w14:sy="100000" w14:kx="0" w14:ky="0" w14:algn="tl">
            <w14:srgbClr w14:val="000000">
              <w14:alpha w14:val="60000"/>
            </w14:srgbClr>
          </w14:shadow>
        </w:rPr>
        <w:sectPr>
          <w:pgSz w:w="11906" w:h="16838"/>
          <w:pgMar w:top="1021" w:right="1701" w:bottom="1701" w:left="1701" w:header="851" w:footer="1191" w:gutter="0"/>
          <w:cols w:space="720" w:num="1"/>
          <w:docGrid w:type="lines" w:linePitch="312" w:charSpace="0"/>
        </w:sectPr>
      </w:pPr>
    </w:p>
    <w:p>
      <w:pPr>
        <w:spacing w:line="380" w:lineRule="exact"/>
        <w:jc w:val="right"/>
        <w:rPr>
          <w:rFonts w:eastAsia="黑体"/>
          <w:b/>
          <w:w w:val="90"/>
          <w:sz w:val="28"/>
          <w:szCs w:val="28"/>
          <w14:shadow w14:blurRad="50800" w14:dist="38100" w14:dir="2700000" w14:sx="100000" w14:sy="100000" w14:kx="0" w14:ky="0" w14:algn="tl">
            <w14:srgbClr w14:val="000000">
              <w14:alpha w14:val="60000"/>
            </w14:srgbClr>
          </w14:shadow>
        </w:rPr>
      </w:pPr>
      <w:r>
        <w:rPr>
          <w:rFonts w:eastAsia="黑体"/>
          <w:b/>
          <w:w w:val="90"/>
          <w:sz w:val="28"/>
          <w:szCs w:val="28"/>
          <w14:shadow w14:blurRad="50800" w14:dist="38100" w14:dir="2700000" w14:sx="100000" w14:sy="100000" w14:kx="0" w14:ky="0" w14:algn="tl">
            <w14:srgbClr w14:val="000000">
              <w14:alpha w14:val="60000"/>
            </w14:srgbClr>
          </w14:shadow>
        </w:rPr>
        <w:t>A.0.8-1</w:t>
      </w:r>
    </w:p>
    <w:p>
      <w:pPr>
        <w:spacing w:before="312" w:beforeLines="100" w:after="312" w:afterLines="100"/>
        <w:jc w:val="center"/>
        <w:rPr>
          <w:rFonts w:eastAsia="黑体"/>
          <w:sz w:val="44"/>
          <w14:shadow w14:blurRad="50800" w14:dist="38100" w14:dir="2700000" w14:sx="100000" w14:sy="100000" w14:kx="0" w14:ky="0" w14:algn="tl">
            <w14:srgbClr w14:val="000000">
              <w14:alpha w14:val="60000"/>
            </w14:srgbClr>
          </w14:shadow>
        </w:rPr>
      </w:pPr>
      <w:r>
        <w:rPr>
          <w:rFonts w:hint="eastAsia" w:eastAsia="黑体"/>
          <w:sz w:val="44"/>
          <w14:shadow w14:blurRad="50800" w14:dist="38100" w14:dir="2700000" w14:sx="100000" w14:sy="100000" w14:kx="0" w14:ky="0" w14:algn="tl">
            <w14:srgbClr w14:val="000000">
              <w14:alpha w14:val="60000"/>
            </w14:srgbClr>
          </w14:shadow>
        </w:rPr>
        <w:t>本月工程实施概要</w:t>
      </w:r>
    </w:p>
    <w:tbl>
      <w:tblPr>
        <w:tblStyle w:val="12"/>
        <w:tblW w:w="0" w:type="auto"/>
        <w:tblInd w:w="-7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2340"/>
        <w:gridCol w:w="2343"/>
        <w:gridCol w:w="18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80" w:type="dxa"/>
            <w:gridSpan w:val="4"/>
            <w:tcBorders>
              <w:top w:val="single" w:color="auto" w:sz="8" w:space="0"/>
              <w:left w:val="single" w:color="auto" w:sz="8" w:space="0"/>
              <w:bottom w:val="single" w:color="auto" w:sz="4" w:space="0"/>
              <w:right w:val="single" w:color="auto" w:sz="8" w:space="0"/>
            </w:tcBorders>
            <w:noWrap w:val="0"/>
            <w:vAlign w:val="center"/>
          </w:tcPr>
          <w:p>
            <w:pPr>
              <w:spacing w:line="240" w:lineRule="exact"/>
              <w:jc w:val="center"/>
              <w:rPr>
                <w:szCs w:val="21"/>
              </w:rPr>
            </w:pPr>
            <w:r>
              <w:rPr>
                <w:rFonts w:hint="eastAsia"/>
                <w:szCs w:val="21"/>
              </w:rPr>
              <w:t>相关情况登记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160" w:type="dxa"/>
            <w:tcBorders>
              <w:top w:val="single" w:color="auto" w:sz="4" w:space="0"/>
              <w:left w:val="single" w:color="auto" w:sz="8" w:space="0"/>
              <w:bottom w:val="single" w:color="auto" w:sz="4" w:space="0"/>
              <w:right w:val="single" w:color="auto" w:sz="4" w:space="0"/>
            </w:tcBorders>
            <w:noWrap w:val="0"/>
            <w:vAlign w:val="center"/>
          </w:tcPr>
          <w:p>
            <w:pPr>
              <w:spacing w:line="240" w:lineRule="exact"/>
              <w:rPr>
                <w:szCs w:val="21"/>
              </w:rPr>
            </w:pPr>
            <w:r>
              <w:rPr>
                <w:rFonts w:hint="eastAsia"/>
                <w:szCs w:val="21"/>
              </w:rPr>
              <w:t>本月日历天</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right"/>
              <w:rPr>
                <w:szCs w:val="21"/>
              </w:rPr>
            </w:pPr>
            <w:r>
              <w:rPr>
                <w:rFonts w:hint="eastAsia"/>
                <w:szCs w:val="21"/>
              </w:rPr>
              <w:t>天</w:t>
            </w:r>
          </w:p>
        </w:tc>
        <w:tc>
          <w:tcPr>
            <w:tcW w:w="2343"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szCs w:val="21"/>
              </w:rPr>
            </w:pPr>
            <w:r>
              <w:rPr>
                <w:rFonts w:hint="eastAsia"/>
                <w:szCs w:val="21"/>
              </w:rPr>
              <w:t>实际工作日</w:t>
            </w:r>
          </w:p>
        </w:tc>
        <w:tc>
          <w:tcPr>
            <w:tcW w:w="1837"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right"/>
              <w:rPr>
                <w:szCs w:val="21"/>
              </w:rPr>
            </w:pPr>
            <w:r>
              <w:rPr>
                <w:rFonts w:hint="eastAsia"/>
                <w:szCs w:val="21"/>
              </w:rPr>
              <w:t>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160" w:type="dxa"/>
            <w:tcBorders>
              <w:top w:val="single" w:color="auto" w:sz="4" w:space="0"/>
              <w:left w:val="single" w:color="auto" w:sz="8" w:space="0"/>
              <w:bottom w:val="single" w:color="auto" w:sz="4" w:space="0"/>
              <w:right w:val="single" w:color="auto" w:sz="4" w:space="0"/>
            </w:tcBorders>
            <w:noWrap w:val="0"/>
            <w:vAlign w:val="center"/>
          </w:tcPr>
          <w:p>
            <w:pPr>
              <w:spacing w:line="240" w:lineRule="exact"/>
              <w:rPr>
                <w:szCs w:val="21"/>
              </w:rPr>
            </w:pPr>
            <w:r>
              <w:rPr>
                <w:rFonts w:hint="eastAsia"/>
                <w:szCs w:val="21"/>
              </w:rPr>
              <w:t>工程暂停令</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right"/>
              <w:rPr>
                <w:szCs w:val="21"/>
              </w:rPr>
            </w:pPr>
            <w:r>
              <w:rPr>
                <w:rFonts w:hint="eastAsia"/>
                <w:szCs w:val="21"/>
              </w:rPr>
              <w:t>份</w:t>
            </w:r>
          </w:p>
        </w:tc>
        <w:tc>
          <w:tcPr>
            <w:tcW w:w="2343"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szCs w:val="21"/>
              </w:rPr>
            </w:pPr>
            <w:r>
              <w:rPr>
                <w:rFonts w:hint="eastAsia"/>
                <w:szCs w:val="21"/>
              </w:rPr>
              <w:t>联系单</w:t>
            </w:r>
          </w:p>
        </w:tc>
        <w:tc>
          <w:tcPr>
            <w:tcW w:w="1837"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right"/>
              <w:rPr>
                <w:szCs w:val="21"/>
              </w:rPr>
            </w:pPr>
            <w:r>
              <w:rPr>
                <w:rFonts w:hint="eastAsia"/>
                <w:szCs w:val="21"/>
              </w:rPr>
              <w:t>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160" w:type="dxa"/>
            <w:tcBorders>
              <w:top w:val="single" w:color="auto" w:sz="4" w:space="0"/>
              <w:left w:val="single" w:color="auto" w:sz="8" w:space="0"/>
              <w:bottom w:val="single" w:color="auto" w:sz="4" w:space="0"/>
              <w:right w:val="single" w:color="auto" w:sz="4" w:space="0"/>
            </w:tcBorders>
            <w:noWrap w:val="0"/>
            <w:vAlign w:val="center"/>
          </w:tcPr>
          <w:p>
            <w:pPr>
              <w:spacing w:line="240" w:lineRule="exact"/>
              <w:rPr>
                <w:szCs w:val="21"/>
              </w:rPr>
            </w:pPr>
            <w:r>
              <w:rPr>
                <w:rFonts w:hint="eastAsia"/>
                <w:szCs w:val="21"/>
              </w:rPr>
              <w:t>监理备忘录</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right"/>
              <w:rPr>
                <w:szCs w:val="21"/>
              </w:rPr>
            </w:pPr>
            <w:r>
              <w:rPr>
                <w:rFonts w:hint="eastAsia"/>
                <w:szCs w:val="21"/>
              </w:rPr>
              <w:t>份</w:t>
            </w:r>
          </w:p>
        </w:tc>
        <w:tc>
          <w:tcPr>
            <w:tcW w:w="2343"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szCs w:val="21"/>
              </w:rPr>
            </w:pPr>
            <w:r>
              <w:rPr>
                <w:rFonts w:hint="eastAsia"/>
                <w:szCs w:val="21"/>
              </w:rPr>
              <w:t>监理通知单</w:t>
            </w:r>
          </w:p>
        </w:tc>
        <w:tc>
          <w:tcPr>
            <w:tcW w:w="1837"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right"/>
              <w:rPr>
                <w:szCs w:val="21"/>
              </w:rPr>
            </w:pPr>
            <w:r>
              <w:rPr>
                <w:rFonts w:hint="eastAsia"/>
                <w:szCs w:val="21"/>
              </w:rPr>
              <w:t>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160" w:type="dxa"/>
            <w:tcBorders>
              <w:top w:val="single" w:color="auto" w:sz="4" w:space="0"/>
              <w:left w:val="single" w:color="auto" w:sz="8" w:space="0"/>
              <w:bottom w:val="single" w:color="auto" w:sz="4" w:space="0"/>
              <w:right w:val="single" w:color="auto" w:sz="4" w:space="0"/>
            </w:tcBorders>
            <w:noWrap w:val="0"/>
            <w:vAlign w:val="center"/>
          </w:tcPr>
          <w:p>
            <w:pPr>
              <w:spacing w:line="240" w:lineRule="exact"/>
              <w:rPr>
                <w:szCs w:val="21"/>
              </w:rPr>
            </w:pPr>
            <w:r>
              <w:rPr>
                <w:rFonts w:hint="eastAsia"/>
                <w:szCs w:val="21"/>
              </w:rPr>
              <w:t>例会会议纪要</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right"/>
              <w:rPr>
                <w:szCs w:val="21"/>
              </w:rPr>
            </w:pPr>
            <w:r>
              <w:rPr>
                <w:szCs w:val="21"/>
              </w:rPr>
              <w:t xml:space="preserve">      </w:t>
            </w:r>
            <w:r>
              <w:rPr>
                <w:rFonts w:hint="eastAsia"/>
                <w:szCs w:val="21"/>
              </w:rPr>
              <w:t>份</w:t>
            </w:r>
          </w:p>
        </w:tc>
        <w:tc>
          <w:tcPr>
            <w:tcW w:w="2343"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szCs w:val="21"/>
              </w:rPr>
            </w:pPr>
            <w:r>
              <w:rPr>
                <w:rFonts w:hint="eastAsia"/>
                <w:szCs w:val="21"/>
              </w:rPr>
              <w:t>其它发文</w:t>
            </w:r>
          </w:p>
        </w:tc>
        <w:tc>
          <w:tcPr>
            <w:tcW w:w="1837" w:type="dxa"/>
            <w:tcBorders>
              <w:top w:val="single" w:color="auto" w:sz="4" w:space="0"/>
              <w:left w:val="single" w:color="auto" w:sz="4" w:space="0"/>
              <w:bottom w:val="single" w:color="auto" w:sz="4" w:space="0"/>
              <w:right w:val="single" w:color="auto" w:sz="8" w:space="0"/>
            </w:tcBorders>
            <w:noWrap w:val="0"/>
            <w:vAlign w:val="center"/>
          </w:tcPr>
          <w:p>
            <w:pPr>
              <w:spacing w:line="240" w:lineRule="exact"/>
              <w:jc w:val="right"/>
              <w:rPr>
                <w:szCs w:val="21"/>
              </w:rPr>
            </w:pPr>
            <w:r>
              <w:rPr>
                <w:rFonts w:hint="eastAsia"/>
                <w:szCs w:val="21"/>
              </w:rPr>
              <w:t>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80" w:type="dxa"/>
            <w:gridSpan w:val="4"/>
            <w:tcBorders>
              <w:top w:val="single" w:color="auto" w:sz="4" w:space="0"/>
              <w:left w:val="single" w:color="auto" w:sz="8" w:space="0"/>
              <w:bottom w:val="single" w:color="auto" w:sz="4" w:space="0"/>
              <w:right w:val="single" w:color="auto" w:sz="8" w:space="0"/>
            </w:tcBorders>
            <w:noWrap w:val="0"/>
            <w:vAlign w:val="center"/>
          </w:tcPr>
          <w:p>
            <w:pPr>
              <w:spacing w:line="240" w:lineRule="exact"/>
              <w:jc w:val="center"/>
              <w:rPr>
                <w:szCs w:val="21"/>
              </w:rPr>
            </w:pPr>
            <w:r>
              <w:rPr>
                <w:rFonts w:hint="eastAsia"/>
                <w:szCs w:val="21"/>
              </w:rPr>
              <w:t>本月工程实施概要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24" w:hRule="atLeast"/>
        </w:trPr>
        <w:tc>
          <w:tcPr>
            <w:tcW w:w="8680" w:type="dxa"/>
            <w:gridSpan w:val="4"/>
            <w:tcBorders>
              <w:top w:val="single" w:color="auto" w:sz="4" w:space="0"/>
              <w:left w:val="single" w:color="auto" w:sz="8" w:space="0"/>
              <w:bottom w:val="single" w:color="auto" w:sz="8" w:space="0"/>
              <w:right w:val="single" w:color="auto" w:sz="8" w:space="0"/>
            </w:tcBorders>
            <w:noWrap w:val="0"/>
            <w:vAlign w:val="top"/>
          </w:tcPr>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tc>
      </w:tr>
    </w:tbl>
    <w:p>
      <w:pPr>
        <w:jc w:val="right"/>
        <w:rPr>
          <w:rFonts w:ascii="Times New Roman" w:eastAsia="隶书"/>
          <w:szCs w:val="21"/>
        </w:rPr>
      </w:pPr>
      <w:r>
        <w:rPr>
          <w:rFonts w:hint="eastAsia" w:ascii="Times New Roman" w:eastAsia="隶书"/>
        </w:rPr>
        <w:t>第六版表                                              江苏省住房和城乡建设厅监制</w:t>
      </w:r>
    </w:p>
    <w:p>
      <w:pPr>
        <w:pStyle w:val="2"/>
        <w:spacing w:before="0" w:after="0" w:line="380" w:lineRule="exact"/>
        <w:ind w:firstLine="510"/>
        <w:jc w:val="right"/>
        <w:rPr>
          <w:rFonts w:hint="eastAsia" w:eastAsia="黑体"/>
          <w:bCs/>
          <w:w w:val="90"/>
          <w:kern w:val="2"/>
          <w:szCs w:val="28"/>
          <w14:shadow w14:blurRad="50800" w14:dist="38100" w14:dir="2700000" w14:sx="100000" w14:sy="100000" w14:kx="0" w14:ky="0" w14:algn="tl">
            <w14:srgbClr w14:val="000000">
              <w14:alpha w14:val="60000"/>
            </w14:srgbClr>
          </w14:shadow>
        </w:rPr>
      </w:pPr>
      <w:r>
        <w:rPr>
          <w:rFonts w:eastAsia="黑体"/>
          <w:b w:val="0"/>
          <w:w w:val="90"/>
          <w:szCs w:val="28"/>
          <w14:shadow w14:blurRad="50800" w14:dist="38100" w14:dir="2700000" w14:sx="100000" w14:sy="100000" w14:kx="0" w14:ky="0" w14:algn="tl">
            <w14:srgbClr w14:val="000000">
              <w14:alpha w14:val="60000"/>
            </w14:srgbClr>
          </w14:shadow>
        </w:rPr>
        <w:br w:type="column"/>
      </w:r>
      <w:bookmarkStart w:id="498" w:name="_Toc20726517"/>
      <w:bookmarkStart w:id="499" w:name="_Toc20667988"/>
      <w:r>
        <w:rPr>
          <w:rFonts w:eastAsia="黑体"/>
          <w:w w:val="90"/>
          <w:kern w:val="2"/>
          <w:szCs w:val="28"/>
          <w14:shadow w14:blurRad="50800" w14:dist="38100" w14:dir="2700000" w14:sx="100000" w14:sy="100000" w14:kx="0" w14:ky="0" w14:algn="tl">
            <w14:srgbClr w14:val="000000">
              <w14:alpha w14:val="60000"/>
            </w14:srgbClr>
          </w14:shadow>
        </w:rPr>
        <w:t>A.0.8-2</w:t>
      </w:r>
      <w:bookmarkEnd w:id="498"/>
      <w:bookmarkEnd w:id="499"/>
    </w:p>
    <w:p>
      <w:pPr>
        <w:spacing w:before="312" w:beforeLines="100" w:after="312" w:afterLines="100"/>
        <w:jc w:val="center"/>
        <w:rPr>
          <w:rFonts w:eastAsia="黑体"/>
          <w:sz w:val="44"/>
          <w14:shadow w14:blurRad="50800" w14:dist="38100" w14:dir="2700000" w14:sx="100000" w14:sy="100000" w14:kx="0" w14:ky="0" w14:algn="tl">
            <w14:srgbClr w14:val="000000">
              <w14:alpha w14:val="60000"/>
            </w14:srgbClr>
          </w14:shadow>
        </w:rPr>
      </w:pPr>
      <w:r>
        <w:rPr>
          <w:rFonts w:hint="eastAsia" w:eastAsia="黑体"/>
          <w:sz w:val="44"/>
          <w14:shadow w14:blurRad="50800" w14:dist="38100" w14:dir="2700000" w14:sx="100000" w14:sy="100000" w14:kx="0" w14:ky="0" w14:algn="tl">
            <w14:srgbClr w14:val="000000">
              <w14:alpha w14:val="60000"/>
            </w14:srgbClr>
          </w14:shadow>
        </w:rPr>
        <w:t>本月工程质量控制情况评析</w:t>
      </w:r>
    </w:p>
    <w:tbl>
      <w:tblPr>
        <w:tblStyle w:val="1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988"/>
        <w:gridCol w:w="1260"/>
        <w:gridCol w:w="3060"/>
        <w:gridCol w:w="134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648" w:type="dxa"/>
            <w:gridSpan w:val="4"/>
            <w:tcBorders>
              <w:top w:val="single" w:color="auto" w:sz="8" w:space="0"/>
              <w:left w:val="single" w:color="auto" w:sz="8" w:space="0"/>
              <w:bottom w:val="single" w:color="auto" w:sz="4" w:space="0"/>
              <w:right w:val="single" w:color="auto" w:sz="8" w:space="0"/>
            </w:tcBorders>
            <w:noWrap w:val="0"/>
            <w:vAlign w:val="center"/>
          </w:tcPr>
          <w:p>
            <w:pPr>
              <w:jc w:val="center"/>
              <w:rPr>
                <w:rFonts w:ascii="Times New Roman"/>
                <w:szCs w:val="21"/>
              </w:rPr>
            </w:pPr>
            <w:r>
              <w:rPr>
                <w:rFonts w:hint="eastAsia" w:ascii="Times New Roman"/>
                <w:szCs w:val="21"/>
              </w:rPr>
              <w:t>本月质量控制情况登记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4" w:hRule="exact"/>
        </w:trPr>
        <w:tc>
          <w:tcPr>
            <w:tcW w:w="2988" w:type="dxa"/>
            <w:tcBorders>
              <w:top w:val="single" w:color="auto" w:sz="4" w:space="0"/>
              <w:left w:val="single" w:color="auto" w:sz="8" w:space="0"/>
              <w:bottom w:val="single" w:color="auto" w:sz="4" w:space="0"/>
              <w:right w:val="single" w:color="auto" w:sz="4" w:space="0"/>
            </w:tcBorders>
            <w:noWrap w:val="0"/>
            <w:vAlign w:val="center"/>
          </w:tcPr>
          <w:p>
            <w:pPr>
              <w:rPr>
                <w:rFonts w:ascii="Times New Roman"/>
                <w:szCs w:val="21"/>
              </w:rPr>
            </w:pPr>
            <w:r>
              <w:rPr>
                <w:rFonts w:hint="eastAsia" w:ascii="Times New Roman"/>
                <w:szCs w:val="21"/>
              </w:rPr>
              <w:t>本月材料、构配件、设备验收次数</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right"/>
              <w:rPr>
                <w:rFonts w:ascii="Times New Roman"/>
                <w:szCs w:val="21"/>
              </w:rPr>
            </w:pPr>
            <w:r>
              <w:rPr>
                <w:rFonts w:hint="eastAsia" w:ascii="Times New Roman"/>
                <w:szCs w:val="21"/>
              </w:rPr>
              <w:t>次</w:t>
            </w:r>
          </w:p>
        </w:tc>
        <w:tc>
          <w:tcPr>
            <w:tcW w:w="3060"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szCs w:val="21"/>
              </w:rPr>
            </w:pPr>
            <w:r>
              <w:rPr>
                <w:rFonts w:hint="eastAsia" w:ascii="Times New Roman"/>
                <w:szCs w:val="21"/>
              </w:rPr>
              <w:t>检查不符合要求次数</w:t>
            </w:r>
          </w:p>
        </w:tc>
        <w:tc>
          <w:tcPr>
            <w:tcW w:w="1340" w:type="dxa"/>
            <w:tcBorders>
              <w:top w:val="single" w:color="auto" w:sz="4" w:space="0"/>
              <w:left w:val="single" w:color="auto" w:sz="4" w:space="0"/>
              <w:bottom w:val="single" w:color="auto" w:sz="4" w:space="0"/>
              <w:right w:val="single" w:color="auto" w:sz="8" w:space="0"/>
            </w:tcBorders>
            <w:noWrap w:val="0"/>
            <w:vAlign w:val="center"/>
          </w:tcPr>
          <w:p>
            <w:pPr>
              <w:jc w:val="right"/>
              <w:rPr>
                <w:rFonts w:ascii="Times New Roman"/>
                <w:szCs w:val="21"/>
              </w:rPr>
            </w:pPr>
            <w:r>
              <w:rPr>
                <w:rFonts w:hint="eastAsia" w:ascii="Times New Roman"/>
                <w:szCs w:val="21"/>
              </w:rPr>
              <w:t>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988" w:type="dxa"/>
            <w:tcBorders>
              <w:top w:val="single" w:color="auto" w:sz="4" w:space="0"/>
              <w:left w:val="single" w:color="auto" w:sz="8" w:space="0"/>
              <w:bottom w:val="single" w:color="auto" w:sz="4" w:space="0"/>
              <w:right w:val="single" w:color="auto" w:sz="4" w:space="0"/>
            </w:tcBorders>
            <w:noWrap w:val="0"/>
            <w:vAlign w:val="center"/>
          </w:tcPr>
          <w:p>
            <w:pPr>
              <w:rPr>
                <w:rFonts w:ascii="Times New Roman"/>
                <w:szCs w:val="21"/>
              </w:rPr>
            </w:pPr>
            <w:r>
              <w:rPr>
                <w:rFonts w:hint="eastAsia" w:ascii="Times New Roman"/>
                <w:szCs w:val="21"/>
              </w:rPr>
              <w:t>本月工程质量验收次数</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right"/>
              <w:rPr>
                <w:rFonts w:ascii="Times New Roman"/>
                <w:szCs w:val="21"/>
              </w:rPr>
            </w:pPr>
            <w:r>
              <w:rPr>
                <w:rFonts w:hint="eastAsia" w:ascii="Times New Roman"/>
                <w:szCs w:val="21"/>
              </w:rPr>
              <w:t>次</w:t>
            </w:r>
          </w:p>
        </w:tc>
        <w:tc>
          <w:tcPr>
            <w:tcW w:w="3060" w:type="dxa"/>
            <w:tcBorders>
              <w:top w:val="single" w:color="auto" w:sz="4" w:space="0"/>
              <w:left w:val="single" w:color="auto" w:sz="4" w:space="0"/>
              <w:bottom w:val="single" w:color="auto" w:sz="4" w:space="0"/>
              <w:right w:val="single" w:color="auto" w:sz="4" w:space="0"/>
            </w:tcBorders>
            <w:noWrap w:val="0"/>
            <w:vAlign w:val="center"/>
          </w:tcPr>
          <w:p>
            <w:pPr>
              <w:ind w:right="480"/>
              <w:rPr>
                <w:rFonts w:ascii="Times New Roman"/>
                <w:szCs w:val="21"/>
              </w:rPr>
            </w:pPr>
            <w:r>
              <w:rPr>
                <w:rFonts w:hint="eastAsia" w:ascii="Times New Roman"/>
                <w:szCs w:val="21"/>
              </w:rPr>
              <w:t>其中一次验收合格计</w:t>
            </w:r>
          </w:p>
        </w:tc>
        <w:tc>
          <w:tcPr>
            <w:tcW w:w="1340" w:type="dxa"/>
            <w:tcBorders>
              <w:top w:val="single" w:color="auto" w:sz="4" w:space="0"/>
              <w:left w:val="single" w:color="auto" w:sz="4" w:space="0"/>
              <w:bottom w:val="single" w:color="auto" w:sz="4" w:space="0"/>
              <w:right w:val="single" w:color="auto" w:sz="8" w:space="0"/>
            </w:tcBorders>
            <w:noWrap w:val="0"/>
            <w:vAlign w:val="center"/>
          </w:tcPr>
          <w:p>
            <w:pPr>
              <w:ind w:left="752"/>
              <w:jc w:val="right"/>
              <w:rPr>
                <w:rFonts w:ascii="Times New Roman"/>
                <w:szCs w:val="21"/>
              </w:rPr>
            </w:pPr>
            <w:r>
              <w:rPr>
                <w:rFonts w:hint="eastAsia" w:ascii="Times New Roman"/>
                <w:szCs w:val="21"/>
              </w:rPr>
              <w:t>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248" w:type="dxa"/>
            <w:gridSpan w:val="2"/>
            <w:tcBorders>
              <w:top w:val="single" w:color="auto" w:sz="4" w:space="0"/>
              <w:left w:val="single" w:color="auto" w:sz="8" w:space="0"/>
              <w:bottom w:val="single" w:color="auto" w:sz="4" w:space="0"/>
              <w:right w:val="single" w:color="auto" w:sz="4" w:space="0"/>
            </w:tcBorders>
            <w:noWrap w:val="0"/>
            <w:vAlign w:val="center"/>
          </w:tcPr>
          <w:p>
            <w:pPr>
              <w:rPr>
                <w:rFonts w:ascii="Times New Roman"/>
                <w:szCs w:val="21"/>
              </w:rPr>
            </w:pPr>
            <w:r>
              <w:rPr>
                <w:rFonts w:hint="eastAsia" w:ascii="Times New Roman"/>
                <w:szCs w:val="21"/>
              </w:rPr>
              <w:t>发出监理通知单（质量控制类）</w:t>
            </w:r>
          </w:p>
        </w:tc>
        <w:tc>
          <w:tcPr>
            <w:tcW w:w="4400" w:type="dxa"/>
            <w:gridSpan w:val="2"/>
            <w:tcBorders>
              <w:top w:val="single" w:color="auto" w:sz="4" w:space="0"/>
              <w:left w:val="single" w:color="auto" w:sz="4" w:space="0"/>
              <w:bottom w:val="single" w:color="auto" w:sz="4" w:space="0"/>
              <w:right w:val="single" w:color="auto" w:sz="8" w:space="0"/>
            </w:tcBorders>
            <w:noWrap w:val="0"/>
            <w:vAlign w:val="center"/>
          </w:tcPr>
          <w:p>
            <w:pPr>
              <w:jc w:val="right"/>
              <w:rPr>
                <w:rFonts w:ascii="Times New Roman"/>
                <w:szCs w:val="21"/>
              </w:rPr>
            </w:pPr>
            <w:r>
              <w:rPr>
                <w:rFonts w:hint="eastAsia" w:ascii="Times New Roman"/>
                <w:szCs w:val="21"/>
              </w:rPr>
              <w:t xml:space="preserve">                               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48" w:type="dxa"/>
            <w:gridSpan w:val="4"/>
            <w:tcBorders>
              <w:top w:val="single" w:color="auto" w:sz="4" w:space="0"/>
              <w:left w:val="single" w:color="auto" w:sz="8" w:space="0"/>
              <w:bottom w:val="single" w:color="auto" w:sz="4" w:space="0"/>
              <w:right w:val="single" w:color="auto" w:sz="8" w:space="0"/>
            </w:tcBorders>
            <w:noWrap w:val="0"/>
            <w:vAlign w:val="center"/>
          </w:tcPr>
          <w:p>
            <w:pPr>
              <w:jc w:val="center"/>
              <w:rPr>
                <w:rFonts w:ascii="Times New Roman"/>
                <w:szCs w:val="21"/>
              </w:rPr>
            </w:pPr>
            <w:r>
              <w:rPr>
                <w:rFonts w:hint="eastAsia" w:ascii="Times New Roman"/>
                <w:szCs w:val="21"/>
              </w:rPr>
              <w:t>工程质量控制情况简析（文字或图表）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8" w:hRule="atLeast"/>
        </w:trPr>
        <w:tc>
          <w:tcPr>
            <w:tcW w:w="8648" w:type="dxa"/>
            <w:gridSpan w:val="4"/>
            <w:tcBorders>
              <w:top w:val="single" w:color="auto" w:sz="4" w:space="0"/>
              <w:left w:val="single" w:color="auto" w:sz="8" w:space="0"/>
              <w:bottom w:val="single" w:color="auto" w:sz="4" w:space="0"/>
              <w:right w:val="single" w:color="auto" w:sz="8" w:space="0"/>
            </w:tcBorders>
            <w:noWrap w:val="0"/>
            <w:vAlign w:val="top"/>
          </w:tcPr>
          <w:p>
            <w:pPr>
              <w:rPr>
                <w:rFonts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8648" w:type="dxa"/>
            <w:gridSpan w:val="4"/>
            <w:tcBorders>
              <w:top w:val="single" w:color="auto" w:sz="4" w:space="0"/>
              <w:left w:val="single" w:color="auto" w:sz="8" w:space="0"/>
              <w:bottom w:val="single" w:color="auto" w:sz="4" w:space="0"/>
              <w:right w:val="single" w:color="auto" w:sz="8" w:space="0"/>
            </w:tcBorders>
            <w:noWrap w:val="0"/>
            <w:vAlign w:val="center"/>
          </w:tcPr>
          <w:p>
            <w:pPr>
              <w:jc w:val="center"/>
              <w:rPr>
                <w:rFonts w:ascii="Times New Roman"/>
                <w:szCs w:val="21"/>
              </w:rPr>
            </w:pPr>
            <w:r>
              <w:rPr>
                <w:rFonts w:hint="eastAsia" w:ascii="Times New Roman"/>
                <w:bCs/>
                <w:sz w:val="24"/>
              </w:rPr>
              <w:t>下月质量控制监理工作重点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8" w:hRule="atLeast"/>
        </w:trPr>
        <w:tc>
          <w:tcPr>
            <w:tcW w:w="8648" w:type="dxa"/>
            <w:gridSpan w:val="4"/>
            <w:tcBorders>
              <w:top w:val="single" w:color="auto" w:sz="4" w:space="0"/>
              <w:left w:val="single" w:color="auto" w:sz="8" w:space="0"/>
              <w:bottom w:val="single" w:color="auto" w:sz="8" w:space="0"/>
              <w:right w:val="single" w:color="auto" w:sz="8" w:space="0"/>
            </w:tcBorders>
            <w:noWrap w:val="0"/>
            <w:vAlign w:val="top"/>
          </w:tcPr>
          <w:p>
            <w:pPr>
              <w:rPr>
                <w:rFonts w:ascii="Times New Roman"/>
                <w:sz w:val="24"/>
              </w:rPr>
            </w:pPr>
          </w:p>
          <w:p>
            <w:pPr>
              <w:rPr>
                <w:rFonts w:hint="eastAsia" w:ascii="Times New Roman"/>
                <w:sz w:val="24"/>
              </w:rPr>
            </w:pPr>
          </w:p>
          <w:p>
            <w:pPr>
              <w:rPr>
                <w:rFonts w:hint="eastAsia" w:ascii="Times New Roman"/>
                <w:sz w:val="24"/>
              </w:rPr>
            </w:pPr>
          </w:p>
          <w:p>
            <w:pPr>
              <w:rPr>
                <w:rFonts w:ascii="Times New Roman"/>
                <w:sz w:val="24"/>
              </w:rPr>
            </w:pPr>
          </w:p>
        </w:tc>
      </w:tr>
    </w:tbl>
    <w:p>
      <w:pPr>
        <w:jc w:val="right"/>
        <w:rPr>
          <w:rFonts w:ascii="Times New Roman" w:eastAsia="隶书"/>
          <w:szCs w:val="21"/>
        </w:rPr>
      </w:pPr>
      <w:r>
        <w:rPr>
          <w:rFonts w:hint="eastAsia" w:ascii="Times New Roman" w:eastAsia="隶书"/>
        </w:rPr>
        <w:t>第六版表                                              江苏省住房和城乡建设厅监制</w:t>
      </w:r>
    </w:p>
    <w:p>
      <w:pPr>
        <w:pageBreakBefore/>
        <w:spacing w:line="380" w:lineRule="exact"/>
        <w:jc w:val="right"/>
        <w:rPr>
          <w:rFonts w:hint="eastAsia" w:eastAsia="黑体"/>
          <w:b/>
          <w:w w:val="90"/>
          <w:sz w:val="28"/>
          <w:szCs w:val="28"/>
          <w14:shadow w14:blurRad="50800" w14:dist="38100" w14:dir="2700000" w14:sx="100000" w14:sy="100000" w14:kx="0" w14:ky="0" w14:algn="tl">
            <w14:srgbClr w14:val="000000">
              <w14:alpha w14:val="60000"/>
            </w14:srgbClr>
          </w14:shadow>
        </w:rPr>
      </w:pPr>
      <w:r>
        <w:rPr>
          <w:rFonts w:eastAsia="黑体"/>
          <w:b/>
          <w:w w:val="90"/>
          <w:sz w:val="28"/>
          <w:szCs w:val="28"/>
          <w14:shadow w14:blurRad="50800" w14:dist="38100" w14:dir="2700000" w14:sx="100000" w14:sy="100000" w14:kx="0" w14:ky="0" w14:algn="tl">
            <w14:srgbClr w14:val="000000">
              <w14:alpha w14:val="60000"/>
            </w14:srgbClr>
          </w14:shadow>
        </w:rPr>
        <w:t>A.0.8-3</w:t>
      </w:r>
    </w:p>
    <w:p>
      <w:pPr>
        <w:spacing w:before="312" w:beforeLines="100" w:after="312" w:afterLines="100"/>
        <w:jc w:val="center"/>
        <w:rPr>
          <w:rFonts w:eastAsia="黑体"/>
          <w:sz w:val="44"/>
          <w14:shadow w14:blurRad="50800" w14:dist="38100" w14:dir="2700000" w14:sx="100000" w14:sy="100000" w14:kx="0" w14:ky="0" w14:algn="tl">
            <w14:srgbClr w14:val="000000">
              <w14:alpha w14:val="60000"/>
            </w14:srgbClr>
          </w14:shadow>
        </w:rPr>
      </w:pPr>
      <w:r>
        <w:rPr>
          <w:rFonts w:hint="eastAsia" w:eastAsia="黑体"/>
          <w:sz w:val="44"/>
          <w14:shadow w14:blurRad="50800" w14:dist="38100" w14:dir="2700000" w14:sx="100000" w14:sy="100000" w14:kx="0" w14:ky="0" w14:algn="tl">
            <w14:srgbClr w14:val="000000">
              <w14:alpha w14:val="60000"/>
            </w14:srgbClr>
          </w14:shadow>
        </w:rPr>
        <w:t>本月造价控制情况评析</w:t>
      </w:r>
    </w:p>
    <w:tbl>
      <w:tblPr>
        <w:tblStyle w:val="1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661"/>
        <w:gridCol w:w="1935"/>
        <w:gridCol w:w="2325"/>
        <w:gridCol w:w="168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96" w:type="dxa"/>
            <w:gridSpan w:val="2"/>
            <w:tcBorders>
              <w:top w:val="single" w:color="auto" w:sz="8" w:space="0"/>
              <w:left w:val="single" w:color="auto" w:sz="8" w:space="0"/>
              <w:bottom w:val="single" w:color="auto" w:sz="4" w:space="0"/>
              <w:right w:val="single" w:color="auto" w:sz="4" w:space="0"/>
            </w:tcBorders>
            <w:noWrap w:val="0"/>
            <w:vAlign w:val="center"/>
          </w:tcPr>
          <w:p>
            <w:pPr>
              <w:rPr>
                <w:rFonts w:ascii="Times New Roman"/>
                <w:szCs w:val="21"/>
              </w:rPr>
            </w:pPr>
            <w:r>
              <w:rPr>
                <w:rFonts w:hint="eastAsia" w:ascii="Times New Roman"/>
                <w:szCs w:val="21"/>
              </w:rPr>
              <w:t>工程合同总额</w:t>
            </w:r>
          </w:p>
        </w:tc>
        <w:tc>
          <w:tcPr>
            <w:tcW w:w="4012" w:type="dxa"/>
            <w:gridSpan w:val="2"/>
            <w:tcBorders>
              <w:top w:val="single" w:color="auto" w:sz="8" w:space="0"/>
              <w:left w:val="single" w:color="auto" w:sz="4" w:space="0"/>
              <w:bottom w:val="single" w:color="auto" w:sz="4" w:space="0"/>
              <w:right w:val="single" w:color="auto" w:sz="8" w:space="0"/>
            </w:tcBorders>
            <w:noWrap w:val="0"/>
            <w:vAlign w:val="center"/>
          </w:tcPr>
          <w:p>
            <w:pPr>
              <w:ind w:left="52"/>
              <w:jc w:val="right"/>
              <w:rPr>
                <w:rFonts w:ascii="Times New Roman"/>
                <w:szCs w:val="21"/>
              </w:rPr>
            </w:pPr>
            <w:r>
              <w:rPr>
                <w:rFonts w:hint="eastAsia" w:ascii="Times New Roman"/>
                <w:szCs w:val="21"/>
              </w:rPr>
              <w:t xml:space="preserve">        　万元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4" w:hRule="exact"/>
        </w:trPr>
        <w:tc>
          <w:tcPr>
            <w:tcW w:w="4596" w:type="dxa"/>
            <w:gridSpan w:val="2"/>
            <w:tcBorders>
              <w:top w:val="single" w:color="auto" w:sz="4" w:space="0"/>
              <w:left w:val="single" w:color="auto" w:sz="8" w:space="0"/>
              <w:bottom w:val="single" w:color="auto" w:sz="4" w:space="0"/>
              <w:right w:val="single" w:color="auto" w:sz="4" w:space="0"/>
            </w:tcBorders>
            <w:noWrap w:val="0"/>
            <w:vAlign w:val="center"/>
          </w:tcPr>
          <w:p>
            <w:pPr>
              <w:rPr>
                <w:rFonts w:ascii="Times New Roman"/>
                <w:szCs w:val="21"/>
              </w:rPr>
            </w:pPr>
            <w:r>
              <w:rPr>
                <w:rFonts w:hint="eastAsia" w:ascii="Times New Roman"/>
                <w:szCs w:val="21"/>
              </w:rPr>
              <w:t>截止本月25日累计完成金额占工程合同总额百分比</w:t>
            </w:r>
          </w:p>
        </w:tc>
        <w:tc>
          <w:tcPr>
            <w:tcW w:w="4012" w:type="dxa"/>
            <w:gridSpan w:val="2"/>
            <w:tcBorders>
              <w:top w:val="single" w:color="auto" w:sz="4" w:space="0"/>
              <w:left w:val="single" w:color="auto" w:sz="4" w:space="0"/>
              <w:bottom w:val="single" w:color="auto" w:sz="4" w:space="0"/>
              <w:right w:val="single" w:color="auto" w:sz="8" w:space="0"/>
            </w:tcBorders>
            <w:noWrap w:val="0"/>
            <w:vAlign w:val="center"/>
          </w:tcPr>
          <w:p>
            <w:pPr>
              <w:ind w:left="592"/>
              <w:jc w:val="right"/>
              <w:rPr>
                <w:rFonts w:ascii="Times New Roman"/>
                <w:szCs w:val="21"/>
              </w:rPr>
            </w:pPr>
            <w:r>
              <w:rPr>
                <w:rFonts w:hint="eastAsia" w:ascii="Times New Roman"/>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661" w:type="dxa"/>
            <w:tcBorders>
              <w:top w:val="single" w:color="auto" w:sz="4" w:space="0"/>
              <w:left w:val="single" w:color="auto" w:sz="8" w:space="0"/>
              <w:bottom w:val="single" w:color="auto" w:sz="4" w:space="0"/>
              <w:right w:val="single" w:color="auto" w:sz="4" w:space="0"/>
            </w:tcBorders>
            <w:noWrap w:val="0"/>
            <w:vAlign w:val="center"/>
          </w:tcPr>
          <w:p>
            <w:pPr>
              <w:rPr>
                <w:rFonts w:ascii="Times New Roman"/>
                <w:szCs w:val="21"/>
              </w:rPr>
            </w:pPr>
            <w:r>
              <w:rPr>
                <w:rFonts w:hint="eastAsia" w:ascii="Times New Roman"/>
                <w:szCs w:val="21"/>
              </w:rPr>
              <w:t>本月施工单位申报工作量</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jc w:val="right"/>
              <w:rPr>
                <w:rFonts w:ascii="Times New Roman"/>
                <w:szCs w:val="21"/>
              </w:rPr>
            </w:pPr>
            <w:r>
              <w:rPr>
                <w:rFonts w:hint="eastAsia" w:ascii="Times New Roman"/>
                <w:szCs w:val="21"/>
              </w:rPr>
              <w:t>万元</w:t>
            </w:r>
          </w:p>
        </w:tc>
        <w:tc>
          <w:tcPr>
            <w:tcW w:w="2325" w:type="dxa"/>
            <w:tcBorders>
              <w:top w:val="single" w:color="auto" w:sz="4" w:space="0"/>
              <w:left w:val="single" w:color="auto" w:sz="4" w:space="0"/>
              <w:bottom w:val="single" w:color="auto" w:sz="4" w:space="0"/>
              <w:right w:val="single" w:color="auto" w:sz="4" w:space="0"/>
            </w:tcBorders>
            <w:noWrap w:val="0"/>
            <w:vAlign w:val="center"/>
          </w:tcPr>
          <w:p>
            <w:pPr>
              <w:jc w:val="left"/>
              <w:rPr>
                <w:rFonts w:ascii="Times New Roman"/>
                <w:szCs w:val="21"/>
              </w:rPr>
            </w:pPr>
            <w:r>
              <w:rPr>
                <w:rFonts w:hint="eastAsia" w:ascii="Times New Roman"/>
                <w:szCs w:val="21"/>
              </w:rPr>
              <w:t>监理审核工作量</w:t>
            </w:r>
          </w:p>
        </w:tc>
        <w:tc>
          <w:tcPr>
            <w:tcW w:w="1687" w:type="dxa"/>
            <w:tcBorders>
              <w:top w:val="single" w:color="auto" w:sz="4" w:space="0"/>
              <w:left w:val="single" w:color="auto" w:sz="4" w:space="0"/>
              <w:bottom w:val="single" w:color="auto" w:sz="4" w:space="0"/>
              <w:right w:val="single" w:color="auto" w:sz="8" w:space="0"/>
            </w:tcBorders>
            <w:noWrap w:val="0"/>
            <w:vAlign w:val="center"/>
          </w:tcPr>
          <w:p>
            <w:pPr>
              <w:jc w:val="right"/>
              <w:rPr>
                <w:rFonts w:ascii="Times New Roman"/>
                <w:szCs w:val="21"/>
              </w:rPr>
            </w:pPr>
            <w:r>
              <w:rPr>
                <w:rFonts w:hint="eastAsia" w:ascii="Times New Roman"/>
                <w:szCs w:val="21"/>
              </w:rPr>
              <w:t>万元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661" w:type="dxa"/>
            <w:tcBorders>
              <w:top w:val="single" w:color="auto" w:sz="4" w:space="0"/>
              <w:left w:val="single" w:color="auto" w:sz="8" w:space="0"/>
              <w:bottom w:val="single" w:color="auto" w:sz="4" w:space="0"/>
              <w:right w:val="single" w:color="auto" w:sz="4" w:space="0"/>
            </w:tcBorders>
            <w:noWrap w:val="0"/>
            <w:vAlign w:val="center"/>
          </w:tcPr>
          <w:p>
            <w:pPr>
              <w:rPr>
                <w:rFonts w:ascii="Times New Roman"/>
                <w:szCs w:val="21"/>
              </w:rPr>
            </w:pPr>
            <w:r>
              <w:rPr>
                <w:rFonts w:hint="eastAsia" w:ascii="Times New Roman"/>
                <w:szCs w:val="21"/>
              </w:rPr>
              <w:t>本月批准付款</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ind w:left="352"/>
              <w:jc w:val="right"/>
              <w:rPr>
                <w:rFonts w:ascii="Times New Roman"/>
                <w:szCs w:val="21"/>
              </w:rPr>
            </w:pPr>
            <w:r>
              <w:rPr>
                <w:rFonts w:hint="eastAsia" w:ascii="Times New Roman"/>
                <w:szCs w:val="21"/>
              </w:rPr>
              <w:t>　   万元</w:t>
            </w:r>
          </w:p>
        </w:tc>
        <w:tc>
          <w:tcPr>
            <w:tcW w:w="2325" w:type="dxa"/>
            <w:tcBorders>
              <w:top w:val="single" w:color="auto" w:sz="4" w:space="0"/>
              <w:left w:val="single" w:color="auto" w:sz="4" w:space="0"/>
              <w:bottom w:val="single" w:color="auto" w:sz="4" w:space="0"/>
              <w:right w:val="single" w:color="auto" w:sz="4" w:space="0"/>
            </w:tcBorders>
            <w:noWrap w:val="0"/>
            <w:vAlign w:val="center"/>
          </w:tcPr>
          <w:p>
            <w:pPr>
              <w:ind w:left="52"/>
              <w:rPr>
                <w:rFonts w:ascii="Times New Roman"/>
                <w:szCs w:val="21"/>
              </w:rPr>
            </w:pPr>
            <w:r>
              <w:rPr>
                <w:rFonts w:hint="eastAsia" w:ascii="Times New Roman"/>
                <w:szCs w:val="21"/>
              </w:rPr>
              <w:t>累计批准付款额</w:t>
            </w:r>
          </w:p>
        </w:tc>
        <w:tc>
          <w:tcPr>
            <w:tcW w:w="1687" w:type="dxa"/>
            <w:tcBorders>
              <w:top w:val="single" w:color="auto" w:sz="4" w:space="0"/>
              <w:left w:val="single" w:color="auto" w:sz="4" w:space="0"/>
              <w:bottom w:val="single" w:color="auto" w:sz="4" w:space="0"/>
              <w:right w:val="single" w:color="auto" w:sz="8" w:space="0"/>
            </w:tcBorders>
            <w:noWrap w:val="0"/>
            <w:vAlign w:val="center"/>
          </w:tcPr>
          <w:p>
            <w:pPr>
              <w:ind w:left="592" w:leftChars="282"/>
              <w:jc w:val="right"/>
              <w:rPr>
                <w:rFonts w:ascii="Times New Roman"/>
                <w:szCs w:val="21"/>
              </w:rPr>
            </w:pPr>
            <w:r>
              <w:rPr>
                <w:rFonts w:hint="eastAsia" w:ascii="Times New Roman"/>
                <w:szCs w:val="21"/>
              </w:rPr>
              <w:t>　 万元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661" w:type="dxa"/>
            <w:tcBorders>
              <w:top w:val="single" w:color="auto" w:sz="4" w:space="0"/>
              <w:left w:val="single" w:color="auto" w:sz="8" w:space="0"/>
              <w:bottom w:val="single" w:color="auto" w:sz="4" w:space="0"/>
              <w:right w:val="single" w:color="auto" w:sz="4" w:space="0"/>
            </w:tcBorders>
            <w:noWrap w:val="0"/>
            <w:vAlign w:val="center"/>
          </w:tcPr>
          <w:p>
            <w:pPr>
              <w:rPr>
                <w:rFonts w:ascii="Times New Roman"/>
                <w:szCs w:val="21"/>
              </w:rPr>
            </w:pPr>
            <w:r>
              <w:rPr>
                <w:rFonts w:hint="eastAsia" w:ascii="Times New Roman"/>
                <w:szCs w:val="21"/>
              </w:rPr>
              <w:t>本月发生批准索赔</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ind w:left="352"/>
              <w:jc w:val="right"/>
              <w:rPr>
                <w:rFonts w:ascii="Times New Roman"/>
                <w:szCs w:val="21"/>
              </w:rPr>
            </w:pPr>
            <w:r>
              <w:rPr>
                <w:rFonts w:hint="eastAsia" w:ascii="Times New Roman"/>
                <w:szCs w:val="21"/>
              </w:rPr>
              <w:t>　　 万元</w:t>
            </w:r>
          </w:p>
        </w:tc>
        <w:tc>
          <w:tcPr>
            <w:tcW w:w="2325" w:type="dxa"/>
            <w:tcBorders>
              <w:top w:val="single" w:color="auto" w:sz="4" w:space="0"/>
              <w:left w:val="single" w:color="auto" w:sz="4" w:space="0"/>
              <w:bottom w:val="single" w:color="auto" w:sz="4" w:space="0"/>
              <w:right w:val="single" w:color="auto" w:sz="4" w:space="0"/>
            </w:tcBorders>
            <w:noWrap w:val="0"/>
            <w:vAlign w:val="center"/>
          </w:tcPr>
          <w:p>
            <w:pPr>
              <w:ind w:left="52"/>
              <w:rPr>
                <w:rFonts w:ascii="Times New Roman"/>
                <w:szCs w:val="21"/>
              </w:rPr>
            </w:pPr>
            <w:r>
              <w:rPr>
                <w:rFonts w:hint="eastAsia" w:ascii="Times New Roman"/>
                <w:szCs w:val="21"/>
              </w:rPr>
              <w:t>累计发生索赔额</w:t>
            </w:r>
          </w:p>
        </w:tc>
        <w:tc>
          <w:tcPr>
            <w:tcW w:w="1687" w:type="dxa"/>
            <w:tcBorders>
              <w:top w:val="single" w:color="auto" w:sz="4" w:space="0"/>
              <w:left w:val="single" w:color="auto" w:sz="4" w:space="0"/>
              <w:bottom w:val="single" w:color="auto" w:sz="4" w:space="0"/>
              <w:right w:val="single" w:color="auto" w:sz="8" w:space="0"/>
            </w:tcBorders>
            <w:noWrap w:val="0"/>
            <w:vAlign w:val="center"/>
          </w:tcPr>
          <w:p>
            <w:pPr>
              <w:ind w:left="872"/>
              <w:jc w:val="right"/>
              <w:rPr>
                <w:rFonts w:ascii="Times New Roman"/>
                <w:szCs w:val="21"/>
              </w:rPr>
            </w:pPr>
            <w:r>
              <w:rPr>
                <w:rFonts w:hint="eastAsia" w:ascii="Times New Roman"/>
                <w:szCs w:val="21"/>
              </w:rPr>
              <w:t xml:space="preserve"> 万元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96" w:type="dxa"/>
            <w:gridSpan w:val="2"/>
            <w:tcBorders>
              <w:top w:val="single" w:color="auto" w:sz="4" w:space="0"/>
              <w:left w:val="single" w:color="auto" w:sz="8" w:space="0"/>
              <w:bottom w:val="single" w:color="auto" w:sz="4" w:space="0"/>
              <w:right w:val="single" w:color="auto" w:sz="4" w:space="0"/>
            </w:tcBorders>
            <w:noWrap w:val="0"/>
            <w:vAlign w:val="center"/>
          </w:tcPr>
          <w:p>
            <w:pPr>
              <w:rPr>
                <w:rFonts w:ascii="Times New Roman"/>
                <w:szCs w:val="21"/>
              </w:rPr>
            </w:pPr>
            <w:r>
              <w:rPr>
                <w:rFonts w:hint="eastAsia" w:ascii="Times New Roman"/>
                <w:szCs w:val="21"/>
              </w:rPr>
              <w:t>发出监理通知单（造价控制类）</w:t>
            </w:r>
          </w:p>
        </w:tc>
        <w:tc>
          <w:tcPr>
            <w:tcW w:w="4012" w:type="dxa"/>
            <w:gridSpan w:val="2"/>
            <w:tcBorders>
              <w:top w:val="single" w:color="auto" w:sz="4" w:space="0"/>
              <w:left w:val="single" w:color="auto" w:sz="4" w:space="0"/>
              <w:bottom w:val="single" w:color="auto" w:sz="4" w:space="0"/>
              <w:right w:val="single" w:color="auto" w:sz="8" w:space="0"/>
            </w:tcBorders>
            <w:noWrap w:val="0"/>
            <w:vAlign w:val="center"/>
          </w:tcPr>
          <w:p>
            <w:pPr>
              <w:jc w:val="right"/>
              <w:rPr>
                <w:rFonts w:ascii="Times New Roman"/>
                <w:szCs w:val="21"/>
              </w:rPr>
            </w:pPr>
            <w:r>
              <w:rPr>
                <w:rFonts w:hint="eastAsia" w:ascii="Times New Roman"/>
                <w:szCs w:val="21"/>
              </w:rPr>
              <w:t>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08" w:type="dxa"/>
            <w:gridSpan w:val="4"/>
            <w:tcBorders>
              <w:top w:val="single" w:color="auto" w:sz="4" w:space="0"/>
              <w:left w:val="single" w:color="auto" w:sz="8" w:space="0"/>
              <w:bottom w:val="single" w:color="auto" w:sz="4" w:space="0"/>
              <w:right w:val="single" w:color="auto" w:sz="8" w:space="0"/>
            </w:tcBorders>
            <w:noWrap w:val="0"/>
            <w:vAlign w:val="center"/>
          </w:tcPr>
          <w:p>
            <w:pPr>
              <w:jc w:val="center"/>
              <w:rPr>
                <w:rFonts w:ascii="Times New Roman"/>
                <w:szCs w:val="21"/>
              </w:rPr>
            </w:pPr>
            <w:r>
              <w:rPr>
                <w:rFonts w:hint="eastAsia" w:ascii="Times New Roman"/>
                <w:szCs w:val="21"/>
              </w:rPr>
              <w:t>工程造价控制情况简析（文字或图表）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83" w:hRule="atLeast"/>
        </w:trPr>
        <w:tc>
          <w:tcPr>
            <w:tcW w:w="8608" w:type="dxa"/>
            <w:gridSpan w:val="4"/>
            <w:tcBorders>
              <w:top w:val="single" w:color="auto" w:sz="4" w:space="0"/>
              <w:left w:val="single" w:color="auto" w:sz="8" w:space="0"/>
              <w:bottom w:val="single" w:color="auto" w:sz="4" w:space="0"/>
              <w:right w:val="single" w:color="auto" w:sz="8" w:space="0"/>
            </w:tcBorders>
            <w:noWrap w:val="0"/>
            <w:vAlign w:val="center"/>
          </w:tcPr>
          <w:p>
            <w:pPr>
              <w:jc w:val="center"/>
              <w:rPr>
                <w:rFonts w:ascii="Times New Roman"/>
                <w:szCs w:val="21"/>
              </w:rPr>
            </w:pPr>
          </w:p>
          <w:p>
            <w:pPr>
              <w:jc w:val="center"/>
              <w:rPr>
                <w:rFonts w:hint="eastAsia" w:ascii="Times New Roman"/>
                <w:szCs w:val="21"/>
              </w:rPr>
            </w:pPr>
          </w:p>
          <w:p>
            <w:pPr>
              <w:jc w:val="center"/>
              <w:rPr>
                <w:rFonts w:hint="eastAsia" w:ascii="Times New Roman"/>
                <w:szCs w:val="21"/>
              </w:rPr>
            </w:pPr>
          </w:p>
          <w:p>
            <w:pPr>
              <w:jc w:val="center"/>
              <w:rPr>
                <w:rFonts w:hint="eastAsia" w:ascii="Times New Roman"/>
                <w:szCs w:val="21"/>
              </w:rPr>
            </w:pPr>
          </w:p>
          <w:p>
            <w:pPr>
              <w:jc w:val="center"/>
              <w:rPr>
                <w:rFonts w:hint="eastAsia" w:ascii="Times New Roman"/>
                <w:szCs w:val="21"/>
              </w:rPr>
            </w:pPr>
          </w:p>
          <w:p>
            <w:pPr>
              <w:jc w:val="center"/>
              <w:rPr>
                <w:rFonts w:hint="eastAsia" w:ascii="Times New Roman"/>
                <w:szCs w:val="21"/>
              </w:rPr>
            </w:pPr>
          </w:p>
          <w:p>
            <w:pPr>
              <w:jc w:val="center"/>
              <w:rPr>
                <w:rFonts w:hint="eastAsia" w:ascii="Times New Roman"/>
                <w:szCs w:val="21"/>
              </w:rPr>
            </w:pPr>
          </w:p>
          <w:p>
            <w:pPr>
              <w:jc w:val="center"/>
              <w:rPr>
                <w:rFonts w:hint="eastAsia" w:ascii="Times New Roman"/>
                <w:szCs w:val="21"/>
              </w:rPr>
            </w:pPr>
          </w:p>
          <w:p>
            <w:pPr>
              <w:jc w:val="center"/>
              <w:rPr>
                <w:rFonts w:hint="eastAsia" w:ascii="Times New Roman"/>
                <w:szCs w:val="21"/>
              </w:rPr>
            </w:pPr>
          </w:p>
          <w:p>
            <w:pPr>
              <w:jc w:val="center"/>
              <w:rPr>
                <w:rFonts w:hint="eastAsia" w:ascii="Times New Roman"/>
                <w:szCs w:val="21"/>
              </w:rPr>
            </w:pPr>
          </w:p>
          <w:p>
            <w:pPr>
              <w:jc w:val="center"/>
              <w:rPr>
                <w:rFonts w:hint="eastAsia" w:ascii="Times New Roman"/>
                <w:szCs w:val="21"/>
              </w:rPr>
            </w:pPr>
          </w:p>
          <w:p>
            <w:pPr>
              <w:jc w:val="center"/>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608" w:type="dxa"/>
            <w:gridSpan w:val="4"/>
            <w:tcBorders>
              <w:top w:val="single" w:color="auto" w:sz="4" w:space="0"/>
              <w:left w:val="single" w:color="auto" w:sz="8" w:space="0"/>
              <w:bottom w:val="single" w:color="auto" w:sz="4" w:space="0"/>
              <w:right w:val="single" w:color="auto" w:sz="8" w:space="0"/>
            </w:tcBorders>
            <w:noWrap w:val="0"/>
            <w:vAlign w:val="center"/>
          </w:tcPr>
          <w:p>
            <w:pPr>
              <w:jc w:val="center"/>
              <w:rPr>
                <w:rFonts w:ascii="Times New Roman"/>
                <w:szCs w:val="21"/>
              </w:rPr>
            </w:pPr>
            <w:r>
              <w:rPr>
                <w:rFonts w:hint="eastAsia" w:ascii="Times New Roman"/>
                <w:bCs/>
                <w:sz w:val="24"/>
              </w:rPr>
              <w:t>下月造价控制监理工作重点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1" w:hRule="atLeast"/>
        </w:trPr>
        <w:tc>
          <w:tcPr>
            <w:tcW w:w="8608" w:type="dxa"/>
            <w:gridSpan w:val="4"/>
            <w:tcBorders>
              <w:top w:val="single" w:color="auto" w:sz="4" w:space="0"/>
              <w:left w:val="single" w:color="auto" w:sz="8" w:space="0"/>
              <w:bottom w:val="single" w:color="auto" w:sz="8" w:space="0"/>
              <w:right w:val="single" w:color="auto" w:sz="8" w:space="0"/>
            </w:tcBorders>
            <w:noWrap w:val="0"/>
            <w:vAlign w:val="top"/>
          </w:tcPr>
          <w:p>
            <w:pPr>
              <w:rPr>
                <w:rFonts w:ascii="Times New Roman"/>
                <w:sz w:val="24"/>
              </w:rPr>
            </w:pPr>
          </w:p>
          <w:p>
            <w:pPr>
              <w:rPr>
                <w:rFonts w:hint="eastAsia" w:ascii="Times New Roman"/>
                <w:sz w:val="24"/>
              </w:rPr>
            </w:pPr>
          </w:p>
          <w:p>
            <w:pPr>
              <w:rPr>
                <w:rFonts w:hint="eastAsia" w:ascii="Times New Roman"/>
                <w:sz w:val="24"/>
              </w:rPr>
            </w:pPr>
          </w:p>
          <w:p>
            <w:pPr>
              <w:rPr>
                <w:rFonts w:hint="eastAsia" w:ascii="Times New Roman"/>
                <w:sz w:val="24"/>
              </w:rPr>
            </w:pPr>
          </w:p>
          <w:p>
            <w:pPr>
              <w:rPr>
                <w:rFonts w:ascii="Times New Roman"/>
                <w:sz w:val="24"/>
              </w:rPr>
            </w:pPr>
          </w:p>
        </w:tc>
      </w:tr>
    </w:tbl>
    <w:p>
      <w:pPr>
        <w:jc w:val="right"/>
        <w:rPr>
          <w:rFonts w:ascii="Times New Roman" w:eastAsia="隶书"/>
          <w:szCs w:val="21"/>
        </w:rPr>
      </w:pPr>
      <w:r>
        <w:rPr>
          <w:rFonts w:hint="eastAsia" w:ascii="Times New Roman" w:eastAsia="隶书"/>
        </w:rPr>
        <w:t>第六版表                                              江苏省住房和城乡建设厅监制</w:t>
      </w:r>
    </w:p>
    <w:p>
      <w:pPr>
        <w:pageBreakBefore/>
        <w:wordWrap w:val="0"/>
        <w:spacing w:line="380" w:lineRule="exact"/>
        <w:jc w:val="right"/>
        <w:rPr>
          <w:rFonts w:hint="eastAsia" w:eastAsia="黑体"/>
          <w:b/>
          <w:w w:val="90"/>
          <w:sz w:val="28"/>
          <w:szCs w:val="28"/>
          <w14:shadow w14:blurRad="50800" w14:dist="38100" w14:dir="2700000" w14:sx="100000" w14:sy="100000" w14:kx="0" w14:ky="0" w14:algn="tl">
            <w14:srgbClr w14:val="000000">
              <w14:alpha w14:val="60000"/>
            </w14:srgbClr>
          </w14:shadow>
        </w:rPr>
      </w:pPr>
      <w:r>
        <w:rPr>
          <w:rFonts w:eastAsia="黑体"/>
          <w:b/>
          <w:w w:val="90"/>
          <w:sz w:val="28"/>
          <w:szCs w:val="28"/>
          <w14:shadow w14:blurRad="50800" w14:dist="38100" w14:dir="2700000" w14:sx="100000" w14:sy="100000" w14:kx="0" w14:ky="0" w14:algn="tl">
            <w14:srgbClr w14:val="000000">
              <w14:alpha w14:val="60000"/>
            </w14:srgbClr>
          </w14:shadow>
        </w:rPr>
        <w:t>A.0.8-4</w:t>
      </w:r>
    </w:p>
    <w:p>
      <w:pPr>
        <w:spacing w:before="312" w:beforeLines="100" w:after="312" w:afterLines="100"/>
        <w:jc w:val="center"/>
        <w:rPr>
          <w:rFonts w:eastAsia="黑体"/>
          <w:sz w:val="44"/>
          <w14:shadow w14:blurRad="50800" w14:dist="38100" w14:dir="2700000" w14:sx="100000" w14:sy="100000" w14:kx="0" w14:ky="0" w14:algn="tl">
            <w14:srgbClr w14:val="000000">
              <w14:alpha w14:val="60000"/>
            </w14:srgbClr>
          </w14:shadow>
        </w:rPr>
      </w:pPr>
      <w:r>
        <w:rPr>
          <w:rFonts w:hint="eastAsia" w:eastAsia="黑体"/>
          <w:sz w:val="44"/>
          <w14:shadow w14:blurRad="50800" w14:dist="38100" w14:dir="2700000" w14:sx="100000" w14:sy="100000" w14:kx="0" w14:ky="0" w14:algn="tl">
            <w14:srgbClr w14:val="000000">
              <w14:alpha w14:val="60000"/>
            </w14:srgbClr>
          </w14:shadow>
        </w:rPr>
        <w:t>本月工程进度控制情况评析</w:t>
      </w:r>
    </w:p>
    <w:tbl>
      <w:tblPr>
        <w:tblStyle w:val="1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1980"/>
        <w:gridCol w:w="2142"/>
        <w:gridCol w:w="18"/>
        <w:gridCol w:w="224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268" w:type="dxa"/>
            <w:tcBorders>
              <w:top w:val="single" w:color="auto" w:sz="8" w:space="0"/>
              <w:left w:val="single" w:color="auto" w:sz="8" w:space="0"/>
              <w:bottom w:val="single" w:color="auto" w:sz="4" w:space="0"/>
              <w:right w:val="single" w:color="auto" w:sz="4" w:space="0"/>
            </w:tcBorders>
            <w:noWrap w:val="0"/>
            <w:vAlign w:val="center"/>
          </w:tcPr>
          <w:p>
            <w:pPr>
              <w:rPr>
                <w:rFonts w:ascii="Times New Roman"/>
                <w:szCs w:val="21"/>
              </w:rPr>
            </w:pPr>
            <w:r>
              <w:rPr>
                <w:rFonts w:hint="eastAsia" w:ascii="Times New Roman"/>
                <w:szCs w:val="21"/>
              </w:rPr>
              <w:t>工程开工日期</w:t>
            </w:r>
          </w:p>
        </w:tc>
        <w:tc>
          <w:tcPr>
            <w:tcW w:w="1980" w:type="dxa"/>
            <w:tcBorders>
              <w:top w:val="single" w:color="auto" w:sz="8" w:space="0"/>
              <w:left w:val="single" w:color="auto" w:sz="4" w:space="0"/>
              <w:bottom w:val="single" w:color="auto" w:sz="4" w:space="0"/>
              <w:right w:val="single" w:color="auto" w:sz="4" w:space="0"/>
            </w:tcBorders>
            <w:noWrap w:val="0"/>
            <w:vAlign w:val="top"/>
          </w:tcPr>
          <w:p>
            <w:pPr>
              <w:rPr>
                <w:rFonts w:ascii="Times New Roman"/>
                <w:szCs w:val="21"/>
              </w:rPr>
            </w:pPr>
          </w:p>
        </w:tc>
        <w:tc>
          <w:tcPr>
            <w:tcW w:w="2142" w:type="dxa"/>
            <w:tcBorders>
              <w:top w:val="single" w:color="auto" w:sz="8" w:space="0"/>
              <w:left w:val="single" w:color="auto" w:sz="4" w:space="0"/>
              <w:bottom w:val="single" w:color="auto" w:sz="4" w:space="0"/>
              <w:right w:val="single" w:color="auto" w:sz="4" w:space="0"/>
            </w:tcBorders>
            <w:noWrap w:val="0"/>
            <w:vAlign w:val="center"/>
          </w:tcPr>
          <w:p>
            <w:pPr>
              <w:rPr>
                <w:rFonts w:ascii="Times New Roman"/>
                <w:szCs w:val="21"/>
              </w:rPr>
            </w:pPr>
            <w:r>
              <w:rPr>
                <w:rFonts w:hint="eastAsia" w:ascii="Times New Roman"/>
                <w:szCs w:val="21"/>
              </w:rPr>
              <w:t>工程竣工日期</w:t>
            </w:r>
          </w:p>
        </w:tc>
        <w:tc>
          <w:tcPr>
            <w:tcW w:w="2258" w:type="dxa"/>
            <w:gridSpan w:val="2"/>
            <w:tcBorders>
              <w:top w:val="single" w:color="auto" w:sz="8" w:space="0"/>
              <w:left w:val="single" w:color="auto" w:sz="4" w:space="0"/>
              <w:bottom w:val="single" w:color="auto" w:sz="4" w:space="0"/>
              <w:right w:val="single" w:color="auto" w:sz="8" w:space="0"/>
            </w:tcBorders>
            <w:noWrap w:val="0"/>
            <w:vAlign w:val="top"/>
          </w:tcPr>
          <w:p>
            <w:pPr>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268" w:type="dxa"/>
            <w:tcBorders>
              <w:top w:val="single" w:color="auto" w:sz="4" w:space="0"/>
              <w:left w:val="single" w:color="auto" w:sz="8" w:space="0"/>
              <w:bottom w:val="single" w:color="auto" w:sz="4" w:space="0"/>
              <w:right w:val="single" w:color="auto" w:sz="4" w:space="0"/>
            </w:tcBorders>
            <w:noWrap w:val="0"/>
            <w:vAlign w:val="center"/>
          </w:tcPr>
          <w:p>
            <w:pPr>
              <w:rPr>
                <w:rFonts w:ascii="Times New Roman"/>
                <w:szCs w:val="21"/>
              </w:rPr>
            </w:pPr>
            <w:r>
              <w:rPr>
                <w:rFonts w:hint="eastAsia" w:ascii="Times New Roman"/>
                <w:szCs w:val="21"/>
              </w:rPr>
              <w:t>本月计划完成至</w:t>
            </w:r>
          </w:p>
        </w:tc>
        <w:tc>
          <w:tcPr>
            <w:tcW w:w="6380" w:type="dxa"/>
            <w:gridSpan w:val="4"/>
            <w:tcBorders>
              <w:top w:val="single" w:color="auto" w:sz="4" w:space="0"/>
              <w:left w:val="single" w:color="auto" w:sz="4" w:space="0"/>
              <w:bottom w:val="single" w:color="auto" w:sz="4" w:space="0"/>
              <w:right w:val="single" w:color="auto" w:sz="8" w:space="0"/>
            </w:tcBorders>
            <w:noWrap w:val="0"/>
            <w:vAlign w:val="top"/>
          </w:tcPr>
          <w:p>
            <w:pPr>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268" w:type="dxa"/>
            <w:tcBorders>
              <w:top w:val="single" w:color="auto" w:sz="4" w:space="0"/>
              <w:left w:val="single" w:color="auto" w:sz="8" w:space="0"/>
              <w:bottom w:val="single" w:color="auto" w:sz="4" w:space="0"/>
              <w:right w:val="single" w:color="auto" w:sz="4" w:space="0"/>
            </w:tcBorders>
            <w:noWrap w:val="0"/>
            <w:vAlign w:val="center"/>
          </w:tcPr>
          <w:p>
            <w:pPr>
              <w:rPr>
                <w:rFonts w:ascii="Times New Roman"/>
                <w:szCs w:val="21"/>
              </w:rPr>
            </w:pPr>
            <w:r>
              <w:rPr>
                <w:rFonts w:hint="eastAsia" w:ascii="Times New Roman"/>
                <w:szCs w:val="21"/>
              </w:rPr>
              <w:t>本月实际完成至</w:t>
            </w:r>
          </w:p>
        </w:tc>
        <w:tc>
          <w:tcPr>
            <w:tcW w:w="6380" w:type="dxa"/>
            <w:gridSpan w:val="4"/>
            <w:tcBorders>
              <w:top w:val="single" w:color="auto" w:sz="4" w:space="0"/>
              <w:left w:val="single" w:color="auto" w:sz="4" w:space="0"/>
              <w:bottom w:val="single" w:color="auto" w:sz="4" w:space="0"/>
              <w:right w:val="single" w:color="auto" w:sz="8" w:space="0"/>
            </w:tcBorders>
            <w:noWrap w:val="0"/>
            <w:vAlign w:val="top"/>
          </w:tcPr>
          <w:p>
            <w:pPr>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268" w:type="dxa"/>
            <w:tcBorders>
              <w:top w:val="single" w:color="auto" w:sz="4" w:space="0"/>
              <w:left w:val="single" w:color="auto" w:sz="8" w:space="0"/>
              <w:bottom w:val="single" w:color="auto" w:sz="4" w:space="0"/>
              <w:right w:val="single" w:color="auto" w:sz="4" w:space="0"/>
            </w:tcBorders>
            <w:noWrap w:val="0"/>
            <w:vAlign w:val="center"/>
          </w:tcPr>
          <w:p>
            <w:pPr>
              <w:rPr>
                <w:rFonts w:ascii="Times New Roman"/>
                <w:szCs w:val="21"/>
              </w:rPr>
            </w:pPr>
            <w:r>
              <w:rPr>
                <w:rFonts w:hint="eastAsia" w:ascii="Times New Roman"/>
                <w:szCs w:val="21"/>
              </w:rPr>
              <w:t>本月批准延长工期</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jc w:val="right"/>
              <w:rPr>
                <w:rFonts w:ascii="Times New Roman"/>
                <w:szCs w:val="21"/>
              </w:rPr>
            </w:pPr>
            <w:r>
              <w:rPr>
                <w:rFonts w:hint="eastAsia" w:ascii="Times New Roman"/>
                <w:szCs w:val="21"/>
              </w:rPr>
              <w:t>天</w:t>
            </w: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pPr>
              <w:rPr>
                <w:rFonts w:ascii="Times New Roman"/>
                <w:szCs w:val="21"/>
              </w:rPr>
            </w:pPr>
            <w:r>
              <w:rPr>
                <w:rFonts w:hint="eastAsia" w:ascii="Times New Roman"/>
                <w:szCs w:val="21"/>
              </w:rPr>
              <w:t>累计延长工期</w:t>
            </w:r>
          </w:p>
        </w:tc>
        <w:tc>
          <w:tcPr>
            <w:tcW w:w="2240" w:type="dxa"/>
            <w:tcBorders>
              <w:top w:val="single" w:color="auto" w:sz="4" w:space="0"/>
              <w:left w:val="single" w:color="auto" w:sz="4" w:space="0"/>
              <w:bottom w:val="single" w:color="auto" w:sz="4" w:space="0"/>
              <w:right w:val="single" w:color="auto" w:sz="8" w:space="0"/>
            </w:tcBorders>
            <w:noWrap w:val="0"/>
            <w:vAlign w:val="center"/>
          </w:tcPr>
          <w:p>
            <w:pPr>
              <w:jc w:val="right"/>
              <w:rPr>
                <w:rFonts w:ascii="Times New Roman"/>
                <w:szCs w:val="21"/>
              </w:rPr>
            </w:pPr>
            <w:r>
              <w:rPr>
                <w:rFonts w:hint="eastAsia" w:ascii="Times New Roman"/>
                <w:szCs w:val="21"/>
              </w:rPr>
              <w:t>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248" w:type="dxa"/>
            <w:gridSpan w:val="2"/>
            <w:tcBorders>
              <w:top w:val="single" w:color="auto" w:sz="4" w:space="0"/>
              <w:left w:val="single" w:color="auto" w:sz="8" w:space="0"/>
              <w:bottom w:val="single" w:color="auto" w:sz="4" w:space="0"/>
              <w:right w:val="single" w:color="auto" w:sz="4" w:space="0"/>
            </w:tcBorders>
            <w:noWrap w:val="0"/>
            <w:vAlign w:val="center"/>
          </w:tcPr>
          <w:p>
            <w:pPr>
              <w:rPr>
                <w:rFonts w:ascii="Times New Roman"/>
                <w:szCs w:val="21"/>
              </w:rPr>
            </w:pPr>
            <w:r>
              <w:rPr>
                <w:rFonts w:hint="eastAsia" w:ascii="Times New Roman"/>
                <w:szCs w:val="21"/>
              </w:rPr>
              <w:t>发出监理通知单（进度控制类）</w:t>
            </w:r>
          </w:p>
        </w:tc>
        <w:tc>
          <w:tcPr>
            <w:tcW w:w="4400" w:type="dxa"/>
            <w:gridSpan w:val="3"/>
            <w:tcBorders>
              <w:top w:val="single" w:color="auto" w:sz="4" w:space="0"/>
              <w:left w:val="single" w:color="auto" w:sz="4" w:space="0"/>
              <w:bottom w:val="single" w:color="auto" w:sz="4" w:space="0"/>
              <w:right w:val="single" w:color="auto" w:sz="8" w:space="0"/>
            </w:tcBorders>
            <w:noWrap w:val="0"/>
            <w:vAlign w:val="center"/>
          </w:tcPr>
          <w:p>
            <w:pPr>
              <w:jc w:val="right"/>
              <w:rPr>
                <w:rFonts w:ascii="Times New Roman"/>
                <w:szCs w:val="21"/>
              </w:rPr>
            </w:pPr>
            <w:r>
              <w:rPr>
                <w:rFonts w:hint="eastAsia" w:ascii="Times New Roman"/>
                <w:szCs w:val="21"/>
              </w:rPr>
              <w:t>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48" w:type="dxa"/>
            <w:gridSpan w:val="5"/>
            <w:tcBorders>
              <w:top w:val="single" w:color="auto" w:sz="4" w:space="0"/>
              <w:left w:val="single" w:color="auto" w:sz="8" w:space="0"/>
              <w:bottom w:val="single" w:color="auto" w:sz="4" w:space="0"/>
              <w:right w:val="single" w:color="auto" w:sz="8" w:space="0"/>
            </w:tcBorders>
            <w:noWrap w:val="0"/>
            <w:vAlign w:val="center"/>
          </w:tcPr>
          <w:p>
            <w:pPr>
              <w:jc w:val="center"/>
              <w:rPr>
                <w:rFonts w:ascii="Times New Roman"/>
                <w:szCs w:val="21"/>
              </w:rPr>
            </w:pPr>
            <w:r>
              <w:rPr>
                <w:rFonts w:hint="eastAsia" w:ascii="Times New Roman"/>
                <w:szCs w:val="21"/>
              </w:rPr>
              <w:t>本月工程进度控制情况简析（文字或图表）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46" w:hRule="atLeast"/>
        </w:trPr>
        <w:tc>
          <w:tcPr>
            <w:tcW w:w="8648" w:type="dxa"/>
            <w:gridSpan w:val="5"/>
            <w:tcBorders>
              <w:top w:val="single" w:color="auto" w:sz="4" w:space="0"/>
              <w:left w:val="single" w:color="auto" w:sz="8" w:space="0"/>
              <w:bottom w:val="single" w:color="auto" w:sz="4" w:space="0"/>
              <w:right w:val="single" w:color="auto" w:sz="8" w:space="0"/>
            </w:tcBorders>
            <w:noWrap w:val="0"/>
            <w:vAlign w:val="top"/>
          </w:tcPr>
          <w:p>
            <w:pPr>
              <w:rPr>
                <w:rFonts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48" w:type="dxa"/>
            <w:gridSpan w:val="5"/>
            <w:tcBorders>
              <w:top w:val="single" w:color="auto" w:sz="4" w:space="0"/>
              <w:left w:val="single" w:color="auto" w:sz="8" w:space="0"/>
              <w:bottom w:val="single" w:color="auto" w:sz="4" w:space="0"/>
              <w:right w:val="single" w:color="auto" w:sz="8" w:space="0"/>
            </w:tcBorders>
            <w:noWrap w:val="0"/>
            <w:vAlign w:val="center"/>
          </w:tcPr>
          <w:p>
            <w:pPr>
              <w:jc w:val="center"/>
              <w:rPr>
                <w:rFonts w:ascii="Times New Roman"/>
                <w:szCs w:val="21"/>
              </w:rPr>
            </w:pPr>
            <w:r>
              <w:rPr>
                <w:rFonts w:hint="eastAsia" w:ascii="Times New Roman"/>
                <w:bCs/>
                <w:sz w:val="24"/>
              </w:rPr>
              <w:t>下月进度控制监理工作重点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12" w:hRule="atLeast"/>
        </w:trPr>
        <w:tc>
          <w:tcPr>
            <w:tcW w:w="8648" w:type="dxa"/>
            <w:gridSpan w:val="5"/>
            <w:tcBorders>
              <w:top w:val="single" w:color="auto" w:sz="4" w:space="0"/>
              <w:left w:val="single" w:color="auto" w:sz="8" w:space="0"/>
              <w:bottom w:val="single" w:color="auto" w:sz="8" w:space="0"/>
              <w:right w:val="single" w:color="auto" w:sz="8" w:space="0"/>
            </w:tcBorders>
            <w:noWrap w:val="0"/>
            <w:vAlign w:val="top"/>
          </w:tcPr>
          <w:p>
            <w:pPr>
              <w:rPr>
                <w:rFonts w:ascii="Times New Roman"/>
                <w:sz w:val="24"/>
              </w:rPr>
            </w:pPr>
          </w:p>
          <w:p>
            <w:pPr>
              <w:rPr>
                <w:rFonts w:hint="eastAsia" w:ascii="Times New Roman"/>
                <w:sz w:val="24"/>
              </w:rPr>
            </w:pPr>
          </w:p>
          <w:p>
            <w:pPr>
              <w:spacing w:before="156" w:beforeLines="50"/>
              <w:rPr>
                <w:rFonts w:hint="eastAsia" w:ascii="Times New Roman"/>
                <w:sz w:val="24"/>
              </w:rPr>
            </w:pPr>
          </w:p>
          <w:p>
            <w:pPr>
              <w:rPr>
                <w:rFonts w:ascii="Times New Roman"/>
                <w:sz w:val="24"/>
              </w:rPr>
            </w:pPr>
          </w:p>
        </w:tc>
      </w:tr>
    </w:tbl>
    <w:p>
      <w:pPr>
        <w:jc w:val="right"/>
        <w:rPr>
          <w:rFonts w:ascii="Times New Roman" w:eastAsia="隶书"/>
          <w:szCs w:val="21"/>
        </w:rPr>
      </w:pPr>
      <w:r>
        <w:rPr>
          <w:rFonts w:hint="eastAsia" w:ascii="Times New Roman" w:eastAsia="隶书"/>
        </w:rPr>
        <w:t>第六版表                                              江苏省住房和城乡建设厅监制</w:t>
      </w:r>
    </w:p>
    <w:p>
      <w:pPr>
        <w:pStyle w:val="2"/>
        <w:spacing w:before="0" w:after="0" w:line="380" w:lineRule="exact"/>
        <w:ind w:firstLine="510"/>
        <w:jc w:val="right"/>
        <w:rPr>
          <w:rFonts w:hint="eastAsia" w:ascii="Times New Roman" w:eastAsia="黑体"/>
          <w:b w:val="0"/>
          <w:szCs w:val="28"/>
          <w14:shadow w14:blurRad="50800" w14:dist="38100" w14:dir="2700000" w14:sx="100000" w14:sy="100000" w14:kx="0" w14:ky="0" w14:algn="tl">
            <w14:srgbClr w14:val="000000">
              <w14:alpha w14:val="60000"/>
            </w14:srgbClr>
          </w14:shadow>
        </w:rPr>
      </w:pPr>
      <w:bookmarkStart w:id="500" w:name="_Toc20667989"/>
      <w:bookmarkStart w:id="501" w:name="_Toc20726518"/>
      <w:r>
        <w:rPr>
          <w:rFonts w:eastAsia="黑体"/>
          <w:w w:val="90"/>
          <w:kern w:val="2"/>
          <w:szCs w:val="28"/>
          <w14:shadow w14:blurRad="50800" w14:dist="38100" w14:dir="2700000" w14:sx="100000" w14:sy="100000" w14:kx="0" w14:ky="0" w14:algn="tl">
            <w14:srgbClr w14:val="000000">
              <w14:alpha w14:val="60000"/>
            </w14:srgbClr>
          </w14:shadow>
        </w:rPr>
        <w:t>A.0.8-5</w:t>
      </w:r>
      <w:bookmarkEnd w:id="500"/>
      <w:bookmarkEnd w:id="501"/>
    </w:p>
    <w:p>
      <w:pPr>
        <w:spacing w:before="312" w:beforeLines="100" w:after="312" w:afterLines="100"/>
        <w:jc w:val="center"/>
        <w:rPr>
          <w:rFonts w:hint="eastAsia" w:eastAsia="黑体"/>
          <w:sz w:val="44"/>
          <w14:shadow w14:blurRad="50800" w14:dist="38100" w14:dir="2700000" w14:sx="100000" w14:sy="100000" w14:kx="0" w14:ky="0" w14:algn="tl">
            <w14:srgbClr w14:val="000000">
              <w14:alpha w14:val="60000"/>
            </w14:srgbClr>
          </w14:shadow>
        </w:rPr>
      </w:pPr>
      <w:r>
        <w:rPr>
          <w:rFonts w:hint="eastAsia" w:eastAsia="黑体"/>
          <w:sz w:val="44"/>
          <w14:shadow w14:blurRad="50800" w14:dist="38100" w14:dir="2700000" w14:sx="100000" w14:sy="100000" w14:kx="0" w14:ky="0" w14:algn="tl">
            <w14:srgbClr w14:val="000000">
              <w14:alpha w14:val="60000"/>
            </w14:srgbClr>
          </w14:shadow>
        </w:rPr>
        <w:t>本月施工安全生产管理工作评析</w:t>
      </w:r>
    </w:p>
    <w:tbl>
      <w:tblPr>
        <w:tblStyle w:val="1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40"/>
        <w:gridCol w:w="44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58" w:type="dxa"/>
            <w:gridSpan w:val="2"/>
            <w:tcBorders>
              <w:top w:val="single" w:color="auto" w:sz="8" w:space="0"/>
              <w:left w:val="single" w:color="auto" w:sz="8" w:space="0"/>
              <w:bottom w:val="single" w:color="auto" w:sz="4" w:space="0"/>
              <w:right w:val="single" w:color="auto" w:sz="8" w:space="0"/>
            </w:tcBorders>
            <w:noWrap w:val="0"/>
            <w:vAlign w:val="center"/>
          </w:tcPr>
          <w:p>
            <w:pPr>
              <w:jc w:val="center"/>
              <w:rPr>
                <w:rFonts w:ascii="Times New Roman"/>
                <w:szCs w:val="21"/>
              </w:rPr>
            </w:pPr>
            <w:r>
              <w:rPr>
                <w:rFonts w:hint="eastAsia" w:ascii="Times New Roman"/>
                <w:szCs w:val="21"/>
              </w:rPr>
              <w:t>本月施工安全生产管理工作情况登记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240" w:type="dxa"/>
            <w:tcBorders>
              <w:top w:val="single" w:color="auto" w:sz="4" w:space="0"/>
              <w:left w:val="single" w:color="auto" w:sz="8" w:space="0"/>
              <w:bottom w:val="single" w:color="auto" w:sz="4" w:space="0"/>
              <w:right w:val="single" w:color="auto" w:sz="4" w:space="0"/>
            </w:tcBorders>
            <w:noWrap w:val="0"/>
            <w:vAlign w:val="center"/>
          </w:tcPr>
          <w:p>
            <w:pPr>
              <w:rPr>
                <w:rFonts w:ascii="Times New Roman"/>
                <w:szCs w:val="21"/>
              </w:rPr>
            </w:pPr>
            <w:r>
              <w:rPr>
                <w:rFonts w:hint="eastAsia" w:ascii="Times New Roman"/>
                <w:szCs w:val="21"/>
              </w:rPr>
              <w:t>参与安全检查次数</w:t>
            </w:r>
          </w:p>
        </w:tc>
        <w:tc>
          <w:tcPr>
            <w:tcW w:w="4418" w:type="dxa"/>
            <w:tcBorders>
              <w:top w:val="single" w:color="auto" w:sz="4" w:space="0"/>
              <w:left w:val="single" w:color="auto" w:sz="4" w:space="0"/>
              <w:bottom w:val="single" w:color="auto" w:sz="4" w:space="0"/>
              <w:right w:val="single" w:color="auto" w:sz="8" w:space="0"/>
            </w:tcBorders>
            <w:noWrap w:val="0"/>
            <w:vAlign w:val="center"/>
          </w:tcPr>
          <w:p>
            <w:pPr>
              <w:ind w:left="3792"/>
              <w:jc w:val="right"/>
              <w:rPr>
                <w:rFonts w:ascii="Times New Roman"/>
                <w:szCs w:val="21"/>
              </w:rPr>
            </w:pPr>
            <w:r>
              <w:rPr>
                <w:rFonts w:hint="eastAsia" w:ascii="Times New Roman"/>
                <w:szCs w:val="21"/>
              </w:rPr>
              <w:t>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240" w:type="dxa"/>
            <w:tcBorders>
              <w:top w:val="single" w:color="auto" w:sz="4" w:space="0"/>
              <w:left w:val="single" w:color="auto" w:sz="8" w:space="0"/>
              <w:bottom w:val="single" w:color="auto" w:sz="4" w:space="0"/>
              <w:right w:val="single" w:color="auto" w:sz="4" w:space="0"/>
            </w:tcBorders>
            <w:noWrap w:val="0"/>
            <w:vAlign w:val="center"/>
          </w:tcPr>
          <w:p>
            <w:pPr>
              <w:rPr>
                <w:rFonts w:ascii="Times New Roman"/>
                <w:szCs w:val="21"/>
              </w:rPr>
            </w:pPr>
            <w:r>
              <w:rPr>
                <w:rFonts w:hint="eastAsia" w:ascii="Times New Roman"/>
                <w:szCs w:val="21"/>
              </w:rPr>
              <w:t>危大工程专项巡视检查次数</w:t>
            </w:r>
          </w:p>
        </w:tc>
        <w:tc>
          <w:tcPr>
            <w:tcW w:w="4418" w:type="dxa"/>
            <w:tcBorders>
              <w:top w:val="single" w:color="auto" w:sz="4" w:space="0"/>
              <w:left w:val="single" w:color="auto" w:sz="4" w:space="0"/>
              <w:bottom w:val="single" w:color="auto" w:sz="4" w:space="0"/>
              <w:right w:val="single" w:color="auto" w:sz="8" w:space="0"/>
            </w:tcBorders>
            <w:noWrap w:val="0"/>
            <w:vAlign w:val="center"/>
          </w:tcPr>
          <w:p>
            <w:pPr>
              <w:ind w:left="3792"/>
              <w:jc w:val="right"/>
              <w:rPr>
                <w:rFonts w:ascii="Times New Roman"/>
                <w:szCs w:val="21"/>
              </w:rPr>
            </w:pPr>
            <w:r>
              <w:rPr>
                <w:rFonts w:hint="eastAsia" w:ascii="Times New Roman"/>
                <w:szCs w:val="21"/>
              </w:rPr>
              <w:t>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240" w:type="dxa"/>
            <w:tcBorders>
              <w:top w:val="single" w:color="auto" w:sz="4" w:space="0"/>
              <w:left w:val="single" w:color="auto" w:sz="8" w:space="0"/>
              <w:bottom w:val="single" w:color="auto" w:sz="4" w:space="0"/>
              <w:right w:val="single" w:color="auto" w:sz="4" w:space="0"/>
            </w:tcBorders>
            <w:noWrap w:val="0"/>
            <w:vAlign w:val="center"/>
          </w:tcPr>
          <w:p>
            <w:pPr>
              <w:rPr>
                <w:rFonts w:ascii="Times New Roman"/>
                <w:szCs w:val="21"/>
              </w:rPr>
            </w:pPr>
            <w:r>
              <w:rPr>
                <w:rFonts w:hint="eastAsia" w:ascii="Times New Roman"/>
                <w:szCs w:val="21"/>
              </w:rPr>
              <w:t>危大工程验收次数</w:t>
            </w:r>
          </w:p>
        </w:tc>
        <w:tc>
          <w:tcPr>
            <w:tcW w:w="4418" w:type="dxa"/>
            <w:tcBorders>
              <w:top w:val="single" w:color="auto" w:sz="4" w:space="0"/>
              <w:left w:val="single" w:color="auto" w:sz="4" w:space="0"/>
              <w:bottom w:val="single" w:color="auto" w:sz="4" w:space="0"/>
              <w:right w:val="single" w:color="auto" w:sz="8" w:space="0"/>
            </w:tcBorders>
            <w:noWrap w:val="0"/>
            <w:vAlign w:val="center"/>
          </w:tcPr>
          <w:p>
            <w:pPr>
              <w:ind w:left="3792"/>
              <w:jc w:val="right"/>
              <w:rPr>
                <w:rFonts w:ascii="Times New Roman"/>
                <w:szCs w:val="21"/>
              </w:rPr>
            </w:pPr>
            <w:r>
              <w:rPr>
                <w:rFonts w:hint="eastAsia" w:ascii="Times New Roman"/>
                <w:szCs w:val="21"/>
              </w:rPr>
              <w:t>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240" w:type="dxa"/>
            <w:tcBorders>
              <w:top w:val="single" w:color="auto" w:sz="4" w:space="0"/>
              <w:left w:val="single" w:color="auto" w:sz="8" w:space="0"/>
              <w:bottom w:val="single" w:color="auto" w:sz="4" w:space="0"/>
              <w:right w:val="single" w:color="auto" w:sz="4" w:space="0"/>
            </w:tcBorders>
            <w:noWrap w:val="0"/>
            <w:vAlign w:val="center"/>
          </w:tcPr>
          <w:p>
            <w:pPr>
              <w:rPr>
                <w:rFonts w:ascii="Times New Roman"/>
                <w:szCs w:val="21"/>
              </w:rPr>
            </w:pPr>
            <w:r>
              <w:rPr>
                <w:rFonts w:hint="eastAsia" w:ascii="Times New Roman"/>
                <w:szCs w:val="21"/>
              </w:rPr>
              <w:t>发出监理通知单（安全文明类）</w:t>
            </w:r>
          </w:p>
        </w:tc>
        <w:tc>
          <w:tcPr>
            <w:tcW w:w="4418" w:type="dxa"/>
            <w:tcBorders>
              <w:top w:val="single" w:color="auto" w:sz="4" w:space="0"/>
              <w:left w:val="single" w:color="auto" w:sz="4" w:space="0"/>
              <w:bottom w:val="single" w:color="auto" w:sz="4" w:space="0"/>
              <w:right w:val="single" w:color="auto" w:sz="8" w:space="0"/>
            </w:tcBorders>
            <w:noWrap w:val="0"/>
            <w:vAlign w:val="center"/>
          </w:tcPr>
          <w:p>
            <w:pPr>
              <w:ind w:left="1472"/>
              <w:jc w:val="right"/>
              <w:rPr>
                <w:rFonts w:ascii="Times New Roman"/>
                <w:szCs w:val="21"/>
              </w:rPr>
            </w:pPr>
            <w:r>
              <w:rPr>
                <w:rFonts w:hint="eastAsia" w:ascii="Times New Roman"/>
                <w:szCs w:val="21"/>
              </w:rPr>
              <w:t xml:space="preserve">  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58" w:type="dxa"/>
            <w:gridSpan w:val="2"/>
            <w:tcBorders>
              <w:top w:val="single" w:color="auto" w:sz="4" w:space="0"/>
              <w:left w:val="single" w:color="auto" w:sz="8" w:space="0"/>
              <w:bottom w:val="single" w:color="auto" w:sz="4" w:space="0"/>
              <w:right w:val="single" w:color="auto" w:sz="8" w:space="0"/>
            </w:tcBorders>
            <w:noWrap w:val="0"/>
            <w:vAlign w:val="center"/>
          </w:tcPr>
          <w:p>
            <w:pPr>
              <w:jc w:val="center"/>
              <w:rPr>
                <w:rFonts w:ascii="Times New Roman"/>
                <w:szCs w:val="21"/>
              </w:rPr>
            </w:pPr>
            <w:r>
              <w:rPr>
                <w:rFonts w:hint="eastAsia" w:ascii="Times New Roman"/>
                <w:szCs w:val="21"/>
              </w:rPr>
              <w:t>工程施工安全生产管理工作简析（文字或图表）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8658" w:type="dxa"/>
            <w:gridSpan w:val="2"/>
            <w:tcBorders>
              <w:top w:val="single" w:color="auto" w:sz="4" w:space="0"/>
              <w:left w:val="single" w:color="auto" w:sz="8" w:space="0"/>
              <w:bottom w:val="single" w:color="auto" w:sz="4" w:space="0"/>
              <w:right w:val="single" w:color="auto" w:sz="8" w:space="0"/>
            </w:tcBorders>
            <w:noWrap w:val="0"/>
            <w:vAlign w:val="top"/>
          </w:tcPr>
          <w:p>
            <w:pPr>
              <w:rPr>
                <w:rFonts w:ascii="Times New Roman"/>
                <w:szCs w:val="21"/>
              </w:rPr>
            </w:pPr>
            <w:r>
              <w:rPr>
                <w:rFonts w:hint="eastAsia" w:ascii="Times New Roman"/>
                <w:szCs w:val="21"/>
              </w:rPr>
              <w:t>施工单位安全生产管理状况：</w:t>
            </w: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r>
              <w:rPr>
                <w:rFonts w:hint="eastAsia" w:ascii="Times New Roman"/>
                <w:szCs w:val="21"/>
              </w:rPr>
              <w:t>履行建设工程安全生产管理法定职责情况：</w:t>
            </w: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658" w:type="dxa"/>
            <w:gridSpan w:val="2"/>
            <w:tcBorders>
              <w:top w:val="single" w:color="auto" w:sz="4" w:space="0"/>
              <w:left w:val="single" w:color="auto" w:sz="8" w:space="0"/>
              <w:bottom w:val="single" w:color="auto" w:sz="4" w:space="0"/>
              <w:right w:val="single" w:color="auto" w:sz="8" w:space="0"/>
            </w:tcBorders>
            <w:noWrap w:val="0"/>
            <w:vAlign w:val="center"/>
          </w:tcPr>
          <w:p>
            <w:pPr>
              <w:jc w:val="center"/>
              <w:rPr>
                <w:rFonts w:ascii="Times New Roman"/>
                <w:szCs w:val="21"/>
              </w:rPr>
            </w:pPr>
            <w:r>
              <w:rPr>
                <w:rFonts w:hint="eastAsia" w:ascii="Times New Roman"/>
                <w:szCs w:val="21"/>
              </w:rPr>
              <w:t>下月安全生产管理的监理工作重点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90" w:hRule="atLeast"/>
        </w:trPr>
        <w:tc>
          <w:tcPr>
            <w:tcW w:w="8658" w:type="dxa"/>
            <w:gridSpan w:val="2"/>
            <w:tcBorders>
              <w:top w:val="single" w:color="auto" w:sz="4" w:space="0"/>
              <w:left w:val="single" w:color="auto" w:sz="8" w:space="0"/>
              <w:bottom w:val="single" w:color="auto" w:sz="8" w:space="0"/>
              <w:right w:val="single" w:color="auto" w:sz="8" w:space="0"/>
            </w:tcBorders>
            <w:noWrap w:val="0"/>
            <w:vAlign w:val="top"/>
          </w:tcPr>
          <w:p>
            <w:pPr>
              <w:rPr>
                <w:rFonts w:ascii="Times New Roman"/>
                <w:sz w:val="24"/>
              </w:rPr>
            </w:pPr>
          </w:p>
          <w:p>
            <w:pPr>
              <w:rPr>
                <w:rFonts w:hint="eastAsia" w:ascii="Times New Roman"/>
                <w:sz w:val="24"/>
              </w:rPr>
            </w:pPr>
          </w:p>
          <w:p>
            <w:pPr>
              <w:spacing w:line="240" w:lineRule="exact"/>
              <w:rPr>
                <w:rFonts w:ascii="Times New Roman"/>
                <w:sz w:val="24"/>
              </w:rPr>
            </w:pPr>
          </w:p>
        </w:tc>
      </w:tr>
    </w:tbl>
    <w:p>
      <w:pPr>
        <w:jc w:val="right"/>
        <w:rPr>
          <w:rFonts w:ascii="Times New Roman" w:eastAsia="隶书"/>
          <w:szCs w:val="21"/>
        </w:rPr>
      </w:pPr>
      <w:r>
        <w:rPr>
          <w:rFonts w:hint="eastAsia" w:ascii="Times New Roman" w:eastAsia="隶书"/>
        </w:rPr>
        <w:t>第六版表                                              江苏省住房和城乡建设厅监制</w:t>
      </w:r>
    </w:p>
    <w:p>
      <w:pPr>
        <w:spacing w:line="380" w:lineRule="exact"/>
        <w:jc w:val="right"/>
        <w:rPr>
          <w:rFonts w:hint="eastAsia" w:ascii="Times New Roman" w:eastAsia="黑体"/>
          <w:sz w:val="28"/>
          <w:szCs w:val="28"/>
        </w:rPr>
      </w:pPr>
      <w:r>
        <w:rPr>
          <w:rFonts w:eastAsia="黑体"/>
          <w:b/>
          <w:w w:val="90"/>
          <w:sz w:val="28"/>
          <w:szCs w:val="28"/>
          <w14:shadow w14:blurRad="50800" w14:dist="38100" w14:dir="2700000" w14:sx="100000" w14:sy="100000" w14:kx="0" w14:ky="0" w14:algn="tl">
            <w14:srgbClr w14:val="000000">
              <w14:alpha w14:val="60000"/>
            </w14:srgbClr>
          </w14:shadow>
        </w:rPr>
        <w:t>A.0.8-6</w:t>
      </w:r>
    </w:p>
    <w:p>
      <w:pPr>
        <w:spacing w:before="312" w:beforeLines="100" w:after="312" w:afterLines="100"/>
        <w:jc w:val="center"/>
        <w:rPr>
          <w:rFonts w:hint="eastAsia" w:eastAsia="黑体"/>
          <w:sz w:val="44"/>
          <w14:shadow w14:blurRad="50800" w14:dist="38100" w14:dir="2700000" w14:sx="100000" w14:sy="100000" w14:kx="0" w14:ky="0" w14:algn="tl">
            <w14:srgbClr w14:val="000000">
              <w14:alpha w14:val="60000"/>
            </w14:srgbClr>
          </w14:shadow>
        </w:rPr>
      </w:pPr>
      <w:r>
        <w:rPr>
          <w:rFonts w:hint="eastAsia" w:eastAsia="黑体"/>
          <w:sz w:val="44"/>
          <w14:shadow w14:blurRad="50800" w14:dist="38100" w14:dir="2700000" w14:sx="100000" w14:sy="100000" w14:kx="0" w14:ky="0" w14:algn="tl">
            <w14:srgbClr w14:val="000000">
              <w14:alpha w14:val="60000"/>
            </w14:srgbClr>
          </w14:shadow>
        </w:rPr>
        <w:t>本月工程其它事项</w:t>
      </w:r>
    </w:p>
    <w:tbl>
      <w:tblPr>
        <w:tblStyle w:val="12"/>
        <w:tblW w:w="0" w:type="auto"/>
        <w:tblInd w:w="0"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8708"/>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c>
          <w:tcPr>
            <w:tcW w:w="8708" w:type="dxa"/>
            <w:tcBorders>
              <w:top w:val="single" w:color="auto" w:sz="8" w:space="0"/>
              <w:left w:val="single" w:color="auto" w:sz="8" w:space="0"/>
              <w:bottom w:val="single" w:color="auto" w:sz="8" w:space="0"/>
              <w:right w:val="single" w:color="auto" w:sz="8" w:space="0"/>
            </w:tcBorders>
            <w:noWrap w:val="0"/>
            <w:vAlign w:val="top"/>
          </w:tcPr>
          <w:p>
            <w:pPr>
              <w:jc w:val="center"/>
              <w:rPr>
                <w:rFonts w:eastAsia="黑体"/>
                <w:sz w:val="36"/>
              </w:rPr>
            </w:pPr>
          </w:p>
          <w:p>
            <w:pPr>
              <w:rPr>
                <w:rFonts w:eastAsia="黑体"/>
                <w:sz w:val="36"/>
              </w:rPr>
            </w:pPr>
          </w:p>
          <w:p>
            <w:pPr>
              <w:jc w:val="center"/>
              <w:rPr>
                <w:rFonts w:eastAsia="黑体"/>
                <w:sz w:val="36"/>
              </w:rPr>
            </w:pPr>
          </w:p>
          <w:p>
            <w:pPr>
              <w:jc w:val="center"/>
              <w:rPr>
                <w:rFonts w:eastAsia="黑体"/>
                <w:sz w:val="36"/>
              </w:rPr>
            </w:pPr>
          </w:p>
          <w:p>
            <w:pPr>
              <w:jc w:val="center"/>
              <w:rPr>
                <w:rFonts w:eastAsia="黑体"/>
                <w:sz w:val="36"/>
              </w:rPr>
            </w:pPr>
          </w:p>
          <w:p>
            <w:pPr>
              <w:jc w:val="center"/>
              <w:rPr>
                <w:rFonts w:eastAsia="黑体"/>
                <w:sz w:val="36"/>
              </w:rPr>
            </w:pPr>
          </w:p>
          <w:p>
            <w:pPr>
              <w:jc w:val="center"/>
              <w:rPr>
                <w:rFonts w:eastAsia="黑体"/>
                <w:sz w:val="36"/>
              </w:rPr>
            </w:pPr>
          </w:p>
          <w:p>
            <w:pPr>
              <w:jc w:val="center"/>
              <w:rPr>
                <w:rFonts w:eastAsia="黑体"/>
                <w:sz w:val="36"/>
              </w:rPr>
            </w:pPr>
          </w:p>
          <w:p>
            <w:pPr>
              <w:jc w:val="center"/>
              <w:rPr>
                <w:rFonts w:eastAsia="黑体"/>
                <w:sz w:val="36"/>
              </w:rPr>
            </w:pPr>
          </w:p>
          <w:p>
            <w:pPr>
              <w:jc w:val="center"/>
              <w:rPr>
                <w:rFonts w:eastAsia="黑体"/>
                <w:sz w:val="36"/>
              </w:rPr>
            </w:pPr>
          </w:p>
          <w:p>
            <w:pPr>
              <w:jc w:val="center"/>
              <w:rPr>
                <w:rFonts w:eastAsia="黑体"/>
                <w:sz w:val="36"/>
              </w:rPr>
            </w:pPr>
          </w:p>
          <w:p>
            <w:pPr>
              <w:jc w:val="center"/>
              <w:rPr>
                <w:rFonts w:eastAsia="黑体"/>
                <w:sz w:val="36"/>
              </w:rPr>
            </w:pPr>
          </w:p>
          <w:p>
            <w:pPr>
              <w:jc w:val="center"/>
              <w:rPr>
                <w:rFonts w:eastAsia="黑体"/>
                <w:sz w:val="36"/>
              </w:rPr>
            </w:pPr>
          </w:p>
          <w:p>
            <w:pPr>
              <w:jc w:val="center"/>
              <w:rPr>
                <w:rFonts w:eastAsia="黑体"/>
                <w:sz w:val="36"/>
              </w:rPr>
            </w:pPr>
          </w:p>
          <w:p>
            <w:pPr>
              <w:jc w:val="center"/>
              <w:rPr>
                <w:rFonts w:eastAsia="黑体"/>
                <w:sz w:val="36"/>
              </w:rPr>
            </w:pPr>
          </w:p>
          <w:p>
            <w:pPr>
              <w:jc w:val="center"/>
              <w:rPr>
                <w:rFonts w:eastAsia="黑体"/>
                <w:sz w:val="36"/>
              </w:rPr>
            </w:pPr>
          </w:p>
          <w:p>
            <w:pPr>
              <w:spacing w:line="220" w:lineRule="exact"/>
              <w:jc w:val="center"/>
              <w:rPr>
                <w:rFonts w:eastAsia="黑体"/>
                <w:sz w:val="36"/>
              </w:rPr>
            </w:pPr>
          </w:p>
          <w:p>
            <w:pPr>
              <w:spacing w:line="220" w:lineRule="exact"/>
              <w:jc w:val="center"/>
              <w:rPr>
                <w:rFonts w:eastAsia="黑体"/>
                <w:sz w:val="36"/>
              </w:rPr>
            </w:pPr>
          </w:p>
        </w:tc>
      </w:tr>
    </w:tbl>
    <w:p>
      <w:pPr>
        <w:jc w:val="left"/>
        <w:rPr>
          <w:rFonts w:ascii="Times New Roman" w:eastAsia="隶书"/>
          <w:szCs w:val="21"/>
        </w:rPr>
      </w:pPr>
      <w:r>
        <w:rPr>
          <w:rFonts w:hint="eastAsia" w:ascii="Times New Roman" w:eastAsia="隶书"/>
        </w:rPr>
        <w:t>第六版表                                              江苏省住房和城乡建设厅监制</w:t>
      </w:r>
    </w:p>
    <w:p>
      <w:pPr>
        <w:jc w:val="right"/>
        <w:rPr>
          <w:rFonts w:hint="eastAsia" w:eastAsia="黑体"/>
          <w:b/>
          <w:w w:val="90"/>
          <w:sz w:val="28"/>
          <w:szCs w:val="28"/>
          <w14:shadow w14:blurRad="50800" w14:dist="38100" w14:dir="2700000" w14:sx="100000" w14:sy="100000" w14:kx="0" w14:ky="0" w14:algn="tl">
            <w14:srgbClr w14:val="000000">
              <w14:alpha w14:val="60000"/>
            </w14:srgbClr>
          </w14:shadow>
        </w:rPr>
      </w:pPr>
      <w:r>
        <w:rPr>
          <w:szCs w:val="21"/>
        </w:rPr>
        <w:br w:type="column"/>
      </w:r>
      <w:r>
        <w:rPr>
          <w:rFonts w:eastAsia="黑体"/>
          <w:b/>
          <w:w w:val="90"/>
          <w:sz w:val="28"/>
          <w:szCs w:val="28"/>
          <w14:shadow w14:blurRad="50800" w14:dist="38100" w14:dir="2700000" w14:sx="100000" w14:sy="100000" w14:kx="0" w14:ky="0" w14:algn="tl">
            <w14:srgbClr w14:val="000000">
              <w14:alpha w14:val="60000"/>
            </w14:srgbClr>
          </w14:shadow>
        </w:rPr>
        <w:t>A.0.9</w:t>
      </w:r>
    </w:p>
    <w:p>
      <w:pPr>
        <w:spacing w:before="312" w:beforeLines="100" w:after="312" w:afterLines="100"/>
        <w:jc w:val="center"/>
        <w:rPr>
          <w:rFonts w:eastAsia="黑体"/>
          <w:sz w:val="44"/>
          <w14:shadow w14:blurRad="50800" w14:dist="38100" w14:dir="2700000" w14:sx="100000" w14:sy="100000" w14:kx="0" w14:ky="0" w14:algn="tl">
            <w14:srgbClr w14:val="000000">
              <w14:alpha w14:val="60000"/>
            </w14:srgbClr>
          </w14:shadow>
        </w:rPr>
      </w:pPr>
      <w:r>
        <w:rPr>
          <w:rFonts w:hint="eastAsia" w:eastAsia="黑体"/>
          <w:sz w:val="44"/>
          <w14:shadow w14:blurRad="50800" w14:dist="38100" w14:dir="2700000" w14:sx="100000" w14:sy="100000" w14:kx="0" w14:ky="0" w14:algn="tl">
            <w14:srgbClr w14:val="000000">
              <w14:alpha w14:val="60000"/>
            </w14:srgbClr>
          </w14:shadow>
        </w:rPr>
        <w:t>工程款支付证书</w:t>
      </w:r>
    </w:p>
    <w:p>
      <w:pPr>
        <w:spacing w:after="156" w:afterLines="50" w:line="420" w:lineRule="exact"/>
        <w:ind w:left="21" w:hanging="21" w:hangingChars="10"/>
        <w:rPr>
          <w:szCs w:val="21"/>
        </w:rPr>
      </w:pPr>
      <w:r>
        <w:rPr>
          <w:rFonts w:hint="eastAsia"/>
          <w:szCs w:val="21"/>
        </w:rPr>
        <w:t>工程名称：</w:t>
      </w:r>
      <w:r>
        <w:rPr>
          <w:szCs w:val="21"/>
          <w:u w:val="single"/>
        </w:rPr>
        <w:t xml:space="preserve">                             </w:t>
      </w:r>
      <w:r>
        <w:rPr>
          <w:szCs w:val="21"/>
        </w:rPr>
        <w:t xml:space="preserve">    </w:t>
      </w:r>
      <w:r>
        <w:rPr>
          <w:rFonts w:hint="eastAsia"/>
          <w:szCs w:val="21"/>
        </w:rPr>
        <w:t>　　　　　　</w:t>
      </w:r>
      <w:r>
        <w:rPr>
          <w:szCs w:val="21"/>
        </w:rPr>
        <w:t xml:space="preserve">       </w:t>
      </w:r>
      <w:r>
        <w:rPr>
          <w:rFonts w:hint="eastAsia"/>
          <w:szCs w:val="21"/>
        </w:rPr>
        <w:t>编号：</w:t>
      </w:r>
      <w:r>
        <w:rPr>
          <w:szCs w:val="21"/>
        </w:rPr>
        <w:t>A.0.9</w:t>
      </w:r>
      <w:r>
        <w:rPr>
          <w:rFonts w:hint="eastAsia"/>
          <w:szCs w:val="21"/>
        </w:rPr>
        <w:t>—</w:t>
      </w:r>
      <w:r>
        <w:rPr>
          <w:szCs w:val="21"/>
          <w:u w:val="single"/>
        </w:rPr>
        <w:t xml:space="preserve">       </w:t>
      </w:r>
    </w:p>
    <w:tbl>
      <w:tblPr>
        <w:tblStyle w:val="1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2977"/>
        <w:gridCol w:w="1802"/>
        <w:gridCol w:w="202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1809" w:type="dxa"/>
            <w:tcBorders>
              <w:top w:val="single" w:color="auto" w:sz="8" w:space="0"/>
              <w:left w:val="single" w:color="auto" w:sz="8" w:space="0"/>
              <w:bottom w:val="single" w:color="auto" w:sz="4" w:space="0"/>
              <w:right w:val="single" w:color="auto" w:sz="4" w:space="0"/>
            </w:tcBorders>
            <w:noWrap w:val="0"/>
            <w:vAlign w:val="center"/>
          </w:tcPr>
          <w:p>
            <w:pPr>
              <w:jc w:val="center"/>
              <w:rPr>
                <w:szCs w:val="21"/>
              </w:rPr>
            </w:pPr>
            <w:r>
              <w:rPr>
                <w:rFonts w:hint="eastAsia"/>
                <w:szCs w:val="21"/>
              </w:rPr>
              <w:t>施工单位签收人</w:t>
            </w:r>
          </w:p>
          <w:p>
            <w:pPr>
              <w:jc w:val="center"/>
              <w:rPr>
                <w:szCs w:val="21"/>
              </w:rPr>
            </w:pPr>
            <w:r>
              <w:rPr>
                <w:rFonts w:hint="eastAsia"/>
                <w:szCs w:val="21"/>
              </w:rPr>
              <w:t>姓名及时间</w:t>
            </w:r>
          </w:p>
        </w:tc>
        <w:tc>
          <w:tcPr>
            <w:tcW w:w="2977" w:type="dxa"/>
            <w:tcBorders>
              <w:top w:val="single" w:color="auto" w:sz="8" w:space="0"/>
              <w:left w:val="single" w:color="auto" w:sz="4" w:space="0"/>
              <w:bottom w:val="single" w:color="auto" w:sz="4" w:space="0"/>
              <w:right w:val="single" w:color="auto" w:sz="4" w:space="0"/>
            </w:tcBorders>
            <w:noWrap w:val="0"/>
            <w:vAlign w:val="center"/>
          </w:tcPr>
          <w:p>
            <w:pPr>
              <w:jc w:val="center"/>
              <w:rPr>
                <w:szCs w:val="21"/>
              </w:rPr>
            </w:pPr>
          </w:p>
        </w:tc>
        <w:tc>
          <w:tcPr>
            <w:tcW w:w="1802" w:type="dxa"/>
            <w:tcBorders>
              <w:top w:val="single" w:color="auto" w:sz="8" w:space="0"/>
              <w:left w:val="single" w:color="auto" w:sz="4" w:space="0"/>
              <w:bottom w:val="single" w:color="auto" w:sz="4" w:space="0"/>
              <w:right w:val="single" w:color="auto" w:sz="4" w:space="0"/>
            </w:tcBorders>
            <w:noWrap w:val="0"/>
            <w:vAlign w:val="center"/>
          </w:tcPr>
          <w:p>
            <w:pPr>
              <w:jc w:val="center"/>
              <w:rPr>
                <w:szCs w:val="21"/>
              </w:rPr>
            </w:pPr>
            <w:r>
              <w:rPr>
                <w:rFonts w:hint="eastAsia"/>
                <w:szCs w:val="21"/>
              </w:rPr>
              <w:t>建设单位签收人</w:t>
            </w:r>
          </w:p>
          <w:p>
            <w:pPr>
              <w:jc w:val="center"/>
              <w:rPr>
                <w:szCs w:val="21"/>
              </w:rPr>
            </w:pPr>
            <w:r>
              <w:rPr>
                <w:rFonts w:hint="eastAsia"/>
                <w:szCs w:val="21"/>
              </w:rPr>
              <w:t>姓名及时间</w:t>
            </w:r>
          </w:p>
        </w:tc>
        <w:tc>
          <w:tcPr>
            <w:tcW w:w="2020" w:type="dxa"/>
            <w:tcBorders>
              <w:top w:val="single" w:color="auto" w:sz="8" w:space="0"/>
              <w:left w:val="single" w:color="auto" w:sz="4" w:space="0"/>
              <w:bottom w:val="single" w:color="auto" w:sz="4" w:space="0"/>
              <w:right w:val="single" w:color="auto" w:sz="8" w:space="0"/>
            </w:tcBorders>
            <w:noWrap w:val="0"/>
            <w:vAlign w:val="center"/>
          </w:tcPr>
          <w:p>
            <w:pP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372" w:hRule="atLeast"/>
        </w:trPr>
        <w:tc>
          <w:tcPr>
            <w:tcW w:w="8608" w:type="dxa"/>
            <w:gridSpan w:val="4"/>
            <w:tcBorders>
              <w:top w:val="single" w:color="auto" w:sz="4" w:space="0"/>
              <w:left w:val="single" w:color="auto" w:sz="8" w:space="0"/>
              <w:bottom w:val="single" w:color="auto" w:sz="4" w:space="0"/>
              <w:right w:val="single" w:color="auto" w:sz="8" w:space="0"/>
            </w:tcBorders>
            <w:noWrap w:val="0"/>
            <w:vAlign w:val="top"/>
          </w:tcPr>
          <w:p>
            <w:pPr>
              <w:spacing w:after="156" w:afterLines="50" w:line="420" w:lineRule="exact"/>
              <w:rPr>
                <w:rFonts w:ascii="Times New Roman"/>
                <w:szCs w:val="21"/>
              </w:rPr>
            </w:pPr>
            <w:r>
              <w:rPr>
                <w:rFonts w:hint="eastAsia" w:ascii="Times New Roman"/>
                <w:szCs w:val="21"/>
              </w:rPr>
              <w:t>致：</w:t>
            </w:r>
            <w:r>
              <w:rPr>
                <w:rFonts w:hint="eastAsia" w:ascii="Times New Roman"/>
                <w:szCs w:val="21"/>
                <w:u w:val="single"/>
              </w:rPr>
              <w:t>　　　　　　　</w:t>
            </w:r>
            <w:r>
              <w:rPr>
                <w:rFonts w:hint="eastAsia" w:ascii="Times New Roman"/>
                <w:szCs w:val="21"/>
              </w:rPr>
              <w:t>(施工单位)</w:t>
            </w:r>
          </w:p>
          <w:p>
            <w:pPr>
              <w:spacing w:line="420" w:lineRule="exact"/>
              <w:ind w:firstLine="420" w:firstLineChars="200"/>
              <w:rPr>
                <w:rFonts w:hint="eastAsia" w:ascii="Times New Roman" w:hAnsi="Times New Roman"/>
                <w:szCs w:val="21"/>
              </w:rPr>
            </w:pPr>
            <w:r>
              <w:rPr>
                <w:rFonts w:hint="eastAsia" w:ascii="Times New Roman" w:hAnsi="Times New Roman"/>
                <w:szCs w:val="21"/>
              </w:rPr>
              <w:t>根据工程施工合同的规定，经审核，扣除有关款项后，同意支付工程款共计：</w:t>
            </w:r>
          </w:p>
          <w:p>
            <w:pPr>
              <w:spacing w:line="420" w:lineRule="exact"/>
              <w:rPr>
                <w:rFonts w:hint="eastAsia" w:ascii="Times New Roman" w:hAnsi="Times New Roman"/>
                <w:szCs w:val="21"/>
              </w:rPr>
            </w:pPr>
            <w:r>
              <w:rPr>
                <w:rFonts w:hint="eastAsia" w:ascii="Times New Roman" w:hAnsi="Times New Roman"/>
                <w:szCs w:val="21"/>
              </w:rPr>
              <w:t xml:space="preserve">(大写： </w:t>
            </w:r>
            <w:r>
              <w:rPr>
                <w:rFonts w:hint="eastAsia" w:ascii="Times New Roman" w:hAnsi="Times New Roman"/>
                <w:szCs w:val="21"/>
                <w:u w:val="single"/>
              </w:rPr>
              <w:t xml:space="preserve">                                   </w:t>
            </w:r>
            <w:r>
              <w:rPr>
                <w:rFonts w:hint="eastAsia" w:ascii="Times New Roman" w:hAnsi="Times New Roman"/>
                <w:szCs w:val="21"/>
              </w:rPr>
              <w:t>，小写：</w:t>
            </w:r>
            <w:r>
              <w:rPr>
                <w:rFonts w:hint="eastAsia" w:ascii="Times New Roman" w:hAnsi="Times New Roman"/>
                <w:szCs w:val="21"/>
                <w:u w:val="single"/>
              </w:rPr>
              <w:t xml:space="preserve">                        </w:t>
            </w:r>
            <w:r>
              <w:rPr>
                <w:rFonts w:hint="eastAsia" w:ascii="Times New Roman" w:hAnsi="Times New Roman"/>
                <w:szCs w:val="21"/>
              </w:rPr>
              <w:t xml:space="preserve"> )。</w:t>
            </w:r>
          </w:p>
          <w:p>
            <w:pPr>
              <w:spacing w:line="420" w:lineRule="exact"/>
              <w:rPr>
                <w:rFonts w:hint="eastAsia" w:ascii="Times New Roman" w:hAnsi="Times New Roman"/>
                <w:szCs w:val="21"/>
              </w:rPr>
            </w:pPr>
          </w:p>
          <w:p>
            <w:pPr>
              <w:spacing w:line="420" w:lineRule="exact"/>
              <w:ind w:firstLine="420" w:firstLineChars="200"/>
              <w:rPr>
                <w:rFonts w:hint="eastAsia" w:ascii="Times New Roman" w:hAnsi="Times New Roman"/>
                <w:szCs w:val="21"/>
              </w:rPr>
            </w:pPr>
            <w:r>
              <w:rPr>
                <w:rFonts w:hint="eastAsia" w:ascii="Times New Roman" w:hAnsi="Times New Roman"/>
                <w:szCs w:val="21"/>
              </w:rPr>
              <w:t>其中：</w:t>
            </w:r>
          </w:p>
          <w:p>
            <w:pPr>
              <w:spacing w:line="420" w:lineRule="exact"/>
              <w:ind w:firstLine="420" w:firstLineChars="200"/>
              <w:rPr>
                <w:rFonts w:hint="eastAsia" w:ascii="Times New Roman" w:hAnsi="Times New Roman"/>
                <w:szCs w:val="21"/>
              </w:rPr>
            </w:pPr>
            <w:r>
              <w:rPr>
                <w:szCs w:val="21"/>
              </w:rPr>
              <w:t>1</w:t>
            </w:r>
            <w:r>
              <w:rPr>
                <w:rFonts w:hint="eastAsia" w:ascii="Times New Roman" w:hAnsi="Times New Roman"/>
                <w:szCs w:val="21"/>
              </w:rPr>
              <w:t>、施工单位申报款为：</w:t>
            </w:r>
            <w:r>
              <w:rPr>
                <w:rFonts w:hint="eastAsia" w:ascii="Times New Roman" w:hAnsi="Times New Roman"/>
                <w:szCs w:val="21"/>
                <w:u w:val="single"/>
              </w:rPr>
              <w:t xml:space="preserve">                         　                           </w:t>
            </w:r>
          </w:p>
          <w:p>
            <w:pPr>
              <w:spacing w:line="420" w:lineRule="exact"/>
              <w:ind w:firstLine="420" w:firstLineChars="200"/>
              <w:rPr>
                <w:rFonts w:hint="eastAsia" w:ascii="Times New Roman" w:hAnsi="Times New Roman"/>
                <w:szCs w:val="21"/>
              </w:rPr>
            </w:pPr>
            <w:r>
              <w:rPr>
                <w:szCs w:val="21"/>
              </w:rPr>
              <w:t>2</w:t>
            </w:r>
            <w:r>
              <w:rPr>
                <w:rFonts w:hint="eastAsia" w:ascii="Times New Roman" w:hAnsi="Times New Roman"/>
                <w:szCs w:val="21"/>
              </w:rPr>
              <w:t>、经审核施工单位应得款为：</w:t>
            </w:r>
            <w:r>
              <w:rPr>
                <w:rFonts w:hint="eastAsia" w:ascii="Times New Roman" w:hAnsi="Times New Roman"/>
                <w:szCs w:val="21"/>
                <w:u w:val="single"/>
              </w:rPr>
              <w:t xml:space="preserve">                              　                </w:t>
            </w:r>
          </w:p>
          <w:p>
            <w:pPr>
              <w:spacing w:line="420" w:lineRule="exact"/>
              <w:ind w:firstLine="420" w:firstLineChars="200"/>
              <w:rPr>
                <w:rFonts w:hint="eastAsia" w:ascii="Times New Roman" w:hAnsi="Times New Roman"/>
                <w:szCs w:val="21"/>
              </w:rPr>
            </w:pPr>
            <w:r>
              <w:rPr>
                <w:szCs w:val="21"/>
              </w:rPr>
              <w:t>3</w:t>
            </w:r>
            <w:r>
              <w:rPr>
                <w:rFonts w:hint="eastAsia" w:ascii="Times New Roman" w:hAnsi="Times New Roman"/>
                <w:szCs w:val="21"/>
              </w:rPr>
              <w:t>、本期应扣款为：</w:t>
            </w:r>
            <w:r>
              <w:rPr>
                <w:rFonts w:hint="eastAsia" w:ascii="Times New Roman" w:hAnsi="Times New Roman"/>
                <w:szCs w:val="21"/>
                <w:u w:val="single"/>
              </w:rPr>
              <w:t xml:space="preserve">                                         　               </w:t>
            </w:r>
          </w:p>
          <w:p>
            <w:pPr>
              <w:tabs>
                <w:tab w:val="left" w:pos="7876"/>
              </w:tabs>
              <w:spacing w:line="420" w:lineRule="exact"/>
              <w:ind w:firstLine="420" w:firstLineChars="200"/>
              <w:rPr>
                <w:rFonts w:hint="eastAsia" w:ascii="Times New Roman" w:hAnsi="Times New Roman"/>
                <w:szCs w:val="21"/>
              </w:rPr>
            </w:pPr>
            <w:r>
              <w:rPr>
                <w:szCs w:val="21"/>
              </w:rPr>
              <w:t>4</w:t>
            </w:r>
            <w:r>
              <w:rPr>
                <w:rFonts w:hint="eastAsia" w:ascii="Times New Roman" w:hAnsi="Times New Roman"/>
                <w:szCs w:val="21"/>
              </w:rPr>
              <w:t>、本期应付款为：</w:t>
            </w:r>
            <w:r>
              <w:rPr>
                <w:rFonts w:hint="eastAsia" w:ascii="Times New Roman" w:hAnsi="Times New Roman"/>
                <w:szCs w:val="21"/>
                <w:u w:val="single"/>
              </w:rPr>
              <w:t xml:space="preserve">                                          　              </w:t>
            </w:r>
          </w:p>
          <w:p>
            <w:pPr>
              <w:spacing w:line="420" w:lineRule="exact"/>
              <w:rPr>
                <w:rFonts w:hint="eastAsia" w:ascii="Times New Roman" w:hAnsi="Times New Roman"/>
                <w:szCs w:val="21"/>
              </w:rPr>
            </w:pPr>
          </w:p>
          <w:p>
            <w:pPr>
              <w:spacing w:line="420" w:lineRule="exact"/>
              <w:ind w:firstLine="420" w:firstLineChars="200"/>
              <w:rPr>
                <w:rFonts w:hint="eastAsia" w:ascii="Times New Roman" w:hAnsi="Times New Roman"/>
                <w:szCs w:val="21"/>
              </w:rPr>
            </w:pPr>
            <w:r>
              <w:rPr>
                <w:rFonts w:hint="eastAsia" w:ascii="Times New Roman" w:hAnsi="Times New Roman"/>
                <w:szCs w:val="21"/>
              </w:rPr>
              <w:t>附件：工程款支付报审表及附件。</w:t>
            </w:r>
          </w:p>
          <w:p>
            <w:pPr>
              <w:spacing w:line="420" w:lineRule="exact"/>
              <w:rPr>
                <w:rFonts w:hint="eastAsia"/>
                <w:szCs w:val="21"/>
              </w:rPr>
            </w:pPr>
          </w:p>
          <w:p>
            <w:pPr>
              <w:spacing w:line="420" w:lineRule="exact"/>
              <w:rPr>
                <w:szCs w:val="21"/>
              </w:rPr>
            </w:pPr>
          </w:p>
          <w:p>
            <w:pPr>
              <w:spacing w:line="420" w:lineRule="exact"/>
              <w:rPr>
                <w:szCs w:val="21"/>
              </w:rPr>
            </w:pPr>
          </w:p>
          <w:p>
            <w:pPr>
              <w:tabs>
                <w:tab w:val="left" w:pos="4020"/>
              </w:tabs>
              <w:spacing w:line="420" w:lineRule="exact"/>
              <w:rPr>
                <w:szCs w:val="21"/>
              </w:rPr>
            </w:pPr>
            <w:r>
              <w:rPr>
                <w:szCs w:val="21"/>
              </w:rPr>
              <w:t xml:space="preserve">                               </w:t>
            </w:r>
            <w:r>
              <w:rPr>
                <w:rFonts w:hint="eastAsia"/>
                <w:szCs w:val="21"/>
              </w:rPr>
              <w:t>项目监理机构</w:t>
            </w:r>
            <w:r>
              <w:rPr>
                <w:szCs w:val="21"/>
              </w:rPr>
              <w:t>(</w:t>
            </w:r>
            <w:r>
              <w:rPr>
                <w:rFonts w:hint="eastAsia"/>
                <w:szCs w:val="21"/>
              </w:rPr>
              <w:t>章</w:t>
            </w:r>
            <w:r>
              <w:rPr>
                <w:szCs w:val="21"/>
              </w:rPr>
              <w:t>)</w:t>
            </w:r>
            <w:r>
              <w:rPr>
                <w:rFonts w:hint="eastAsia"/>
                <w:szCs w:val="21"/>
              </w:rPr>
              <w:t>：</w:t>
            </w:r>
            <w:r>
              <w:rPr>
                <w:szCs w:val="21"/>
                <w:u w:val="single"/>
              </w:rPr>
              <w:t xml:space="preserve">                          </w:t>
            </w:r>
          </w:p>
          <w:p>
            <w:pPr>
              <w:spacing w:before="312" w:beforeLines="100" w:line="420" w:lineRule="exact"/>
              <w:ind w:firstLine="420" w:firstLineChars="200"/>
              <w:rPr>
                <w:szCs w:val="21"/>
                <w:u w:val="single"/>
              </w:rPr>
            </w:pPr>
            <w:r>
              <w:rPr>
                <w:szCs w:val="21"/>
              </w:rPr>
              <w:t xml:space="preserve">                           </w:t>
            </w:r>
            <w:r>
              <w:rPr>
                <w:rFonts w:hint="eastAsia"/>
                <w:szCs w:val="21"/>
              </w:rPr>
              <w:t>总监理工程师（签字、执业印章）：</w:t>
            </w:r>
            <w:r>
              <w:rPr>
                <w:rFonts w:hint="eastAsia"/>
                <w:szCs w:val="21"/>
                <w:u w:val="single"/>
              </w:rPr>
              <w:t>　　　　　　</w:t>
            </w:r>
          </w:p>
          <w:p>
            <w:pPr>
              <w:spacing w:before="156" w:beforeLines="50" w:line="420" w:lineRule="exact"/>
              <w:ind w:firstLine="420" w:firstLineChars="200"/>
              <w:rPr>
                <w:szCs w:val="21"/>
                <w:u w:val="single"/>
              </w:rPr>
            </w:pPr>
            <w:r>
              <w:rPr>
                <w:szCs w:val="21"/>
              </w:rPr>
              <w:t xml:space="preserve">                                              </w:t>
            </w:r>
            <w:r>
              <w:rPr>
                <w:bCs/>
                <w:szCs w:val="21"/>
              </w:rPr>
              <w:t xml:space="preserve"> </w:t>
            </w:r>
            <w:r>
              <w:rPr>
                <w:bCs/>
                <w:szCs w:val="21"/>
                <w:u w:val="single"/>
              </w:rPr>
              <w:t xml:space="preserve">        </w:t>
            </w:r>
            <w:r>
              <w:rPr>
                <w:rFonts w:hint="eastAsia"/>
                <w:szCs w:val="21"/>
              </w:rPr>
              <w:t>年</w:t>
            </w:r>
            <w:r>
              <w:rPr>
                <w:bCs/>
                <w:szCs w:val="21"/>
                <w:u w:val="single"/>
              </w:rPr>
              <w:t xml:space="preserve">    </w:t>
            </w:r>
            <w:r>
              <w:rPr>
                <w:rFonts w:hint="eastAsia"/>
                <w:szCs w:val="21"/>
              </w:rPr>
              <w:t>月</w:t>
            </w:r>
            <w:r>
              <w:rPr>
                <w:bCs/>
                <w:szCs w:val="21"/>
                <w:u w:val="single"/>
              </w:rPr>
              <w:t xml:space="preserve">     </w:t>
            </w:r>
            <w:r>
              <w:rPr>
                <w:rFonts w:hint="eastAsia"/>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5" w:hRule="atLeast"/>
        </w:trPr>
        <w:tc>
          <w:tcPr>
            <w:tcW w:w="8608" w:type="dxa"/>
            <w:gridSpan w:val="4"/>
            <w:tcBorders>
              <w:top w:val="single" w:color="auto" w:sz="4" w:space="0"/>
              <w:left w:val="single" w:color="auto" w:sz="8" w:space="0"/>
              <w:bottom w:val="single" w:color="auto" w:sz="8" w:space="0"/>
              <w:right w:val="single" w:color="auto" w:sz="8" w:space="0"/>
            </w:tcBorders>
            <w:noWrap w:val="0"/>
            <w:vAlign w:val="top"/>
          </w:tcPr>
          <w:p>
            <w:pPr>
              <w:spacing w:before="120"/>
              <w:rPr>
                <w:rFonts w:ascii="Times New Roman"/>
                <w:szCs w:val="21"/>
              </w:rPr>
            </w:pPr>
            <w:r>
              <w:rPr>
                <w:rFonts w:hint="eastAsia" w:ascii="Times New Roman" w:hAnsi="Times New Roman"/>
                <w:szCs w:val="21"/>
              </w:rPr>
              <w:t>注：本表一式三份，项目监理机构、建设单位、施工单位各一份。</w:t>
            </w:r>
          </w:p>
        </w:tc>
      </w:tr>
    </w:tbl>
    <w:p>
      <w:pPr>
        <w:rPr>
          <w:rFonts w:ascii="Times New Roman" w:eastAsia="隶书"/>
        </w:rPr>
      </w:pPr>
      <w:r>
        <w:rPr>
          <w:rFonts w:hint="eastAsia" w:ascii="Times New Roman" w:eastAsia="隶书"/>
        </w:rPr>
        <w:t>第六版表                                              江苏省住房和城乡建设厅监制</w:t>
      </w:r>
    </w:p>
    <w:p>
      <w:pPr>
        <w:ind w:right="-40"/>
        <w:jc w:val="right"/>
        <w:rPr>
          <w:rFonts w:hint="eastAsia" w:eastAsia="黑体"/>
          <w:b/>
          <w:sz w:val="28"/>
          <w:szCs w:val="28"/>
          <w14:shadow w14:blurRad="50800" w14:dist="38100" w14:dir="2700000" w14:sx="100000" w14:sy="100000" w14:kx="0" w14:ky="0" w14:algn="tl">
            <w14:srgbClr w14:val="000000">
              <w14:alpha w14:val="60000"/>
            </w14:srgbClr>
          </w14:shadow>
        </w:rPr>
      </w:pPr>
      <w:r>
        <w:rPr>
          <w:szCs w:val="21"/>
        </w:rPr>
        <w:br w:type="column"/>
      </w:r>
      <w:r>
        <w:rPr>
          <w:rFonts w:eastAsia="黑体"/>
          <w:b/>
          <w:sz w:val="28"/>
          <w:szCs w:val="28"/>
          <w14:shadow w14:blurRad="50800" w14:dist="38100" w14:dir="2700000" w14:sx="100000" w14:sy="100000" w14:kx="0" w14:ky="0" w14:algn="tl">
            <w14:srgbClr w14:val="000000">
              <w14:alpha w14:val="60000"/>
            </w14:srgbClr>
          </w14:shadow>
        </w:rPr>
        <w:t>A.0.10</w:t>
      </w:r>
    </w:p>
    <w:p>
      <w:pPr>
        <w:spacing w:before="312" w:beforeLines="100" w:after="312" w:afterLines="100"/>
        <w:jc w:val="center"/>
        <w:rPr>
          <w:rFonts w:eastAsia="黑体"/>
          <w:sz w:val="44"/>
          <w14:shadow w14:blurRad="50800" w14:dist="38100" w14:dir="2700000" w14:sx="100000" w14:sy="100000" w14:kx="0" w14:ky="0" w14:algn="tl">
            <w14:srgbClr w14:val="000000">
              <w14:alpha w14:val="60000"/>
            </w14:srgbClr>
          </w14:shadow>
        </w:rPr>
      </w:pPr>
      <w:r>
        <w:rPr>
          <w:rFonts w:hint="eastAsia" w:eastAsia="黑体"/>
          <w:sz w:val="44"/>
          <w14:shadow w14:blurRad="50800" w14:dist="38100" w14:dir="2700000" w14:sx="100000" w14:sy="100000" w14:kx="0" w14:ky="0" w14:algn="tl">
            <w14:srgbClr w14:val="000000">
              <w14:alpha w14:val="60000"/>
            </w14:srgbClr>
          </w14:shadow>
        </w:rPr>
        <w:t>监理通知单（</w:t>
      </w:r>
      <w:r>
        <w:rPr>
          <w:rFonts w:eastAsia="黑体"/>
          <w:sz w:val="44"/>
          <w14:shadow w14:blurRad="50800" w14:dist="38100" w14:dir="2700000" w14:sx="100000" w14:sy="100000" w14:kx="0" w14:ky="0" w14:algn="tl">
            <w14:srgbClr w14:val="000000">
              <w14:alpha w14:val="60000"/>
            </w14:srgbClr>
          </w14:shadow>
        </w:rPr>
        <w:t xml:space="preserve">      </w:t>
      </w:r>
      <w:r>
        <w:rPr>
          <w:rFonts w:hint="eastAsia" w:eastAsia="黑体"/>
          <w:sz w:val="44"/>
          <w14:shadow w14:blurRad="50800" w14:dist="38100" w14:dir="2700000" w14:sx="100000" w14:sy="100000" w14:kx="0" w14:ky="0" w14:algn="tl">
            <w14:srgbClr w14:val="000000">
              <w14:alpha w14:val="60000"/>
            </w14:srgbClr>
          </w14:shadow>
        </w:rPr>
        <w:t>类）</w:t>
      </w:r>
    </w:p>
    <w:p>
      <w:pPr>
        <w:spacing w:after="156" w:afterLines="50" w:line="420" w:lineRule="exact"/>
        <w:ind w:left="21" w:hanging="21" w:hangingChars="10"/>
        <w:rPr>
          <w:szCs w:val="21"/>
        </w:rPr>
      </w:pPr>
      <w:r>
        <w:rPr>
          <w:rFonts w:hint="eastAsia"/>
          <w:szCs w:val="21"/>
        </w:rPr>
        <w:t>工程名称：</w:t>
      </w:r>
      <w:r>
        <w:rPr>
          <w:szCs w:val="21"/>
          <w:u w:val="single"/>
        </w:rPr>
        <w:t xml:space="preserve">                    </w:t>
      </w:r>
      <w:r>
        <w:rPr>
          <w:szCs w:val="21"/>
        </w:rPr>
        <w:t xml:space="preserve">                        </w:t>
      </w:r>
      <w:r>
        <w:rPr>
          <w:rFonts w:hint="eastAsia"/>
          <w:szCs w:val="21"/>
        </w:rPr>
        <w:t>　</w:t>
      </w:r>
      <w:r>
        <w:rPr>
          <w:szCs w:val="21"/>
        </w:rPr>
        <w:t xml:space="preserve">   </w:t>
      </w:r>
      <w:r>
        <w:rPr>
          <w:rFonts w:hint="eastAsia"/>
          <w:szCs w:val="21"/>
        </w:rPr>
        <w:t>编号：</w:t>
      </w:r>
      <w:r>
        <w:rPr>
          <w:szCs w:val="21"/>
        </w:rPr>
        <w:t>A.0.10</w:t>
      </w:r>
      <w:r>
        <w:rPr>
          <w:szCs w:val="21"/>
          <w:u w:val="single"/>
        </w:rPr>
        <w:t xml:space="preserve">  </w:t>
      </w:r>
      <w:r>
        <w:rPr>
          <w:rFonts w:hint="eastAsia"/>
          <w:szCs w:val="21"/>
        </w:rPr>
        <w:t>－</w:t>
      </w:r>
      <w:r>
        <w:rPr>
          <w:szCs w:val="21"/>
          <w:u w:val="single"/>
        </w:rPr>
        <w:t xml:space="preserve">       </w:t>
      </w: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2977"/>
        <w:gridCol w:w="1660"/>
        <w:gridCol w:w="21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951" w:type="dxa"/>
            <w:tcBorders>
              <w:top w:val="single" w:color="auto" w:sz="8" w:space="0"/>
              <w:left w:val="single" w:color="auto" w:sz="8" w:space="0"/>
              <w:bottom w:val="single" w:color="auto" w:sz="4" w:space="0"/>
              <w:right w:val="single" w:color="auto" w:sz="4" w:space="0"/>
            </w:tcBorders>
            <w:noWrap w:val="0"/>
            <w:vAlign w:val="center"/>
          </w:tcPr>
          <w:p>
            <w:pPr>
              <w:spacing w:line="320" w:lineRule="exact"/>
              <w:jc w:val="center"/>
              <w:rPr>
                <w:szCs w:val="21"/>
              </w:rPr>
            </w:pPr>
            <w:r>
              <w:rPr>
                <w:rFonts w:hint="eastAsia"/>
                <w:szCs w:val="21"/>
              </w:rPr>
              <w:t>施工项目经理部签收人姓名及时间</w:t>
            </w:r>
          </w:p>
        </w:tc>
        <w:tc>
          <w:tcPr>
            <w:tcW w:w="2977" w:type="dxa"/>
            <w:tcBorders>
              <w:top w:val="single" w:color="auto" w:sz="8" w:space="0"/>
              <w:left w:val="single" w:color="auto" w:sz="4" w:space="0"/>
              <w:bottom w:val="single" w:color="auto" w:sz="4" w:space="0"/>
              <w:right w:val="single" w:color="auto" w:sz="4" w:space="0"/>
            </w:tcBorders>
            <w:noWrap w:val="0"/>
            <w:vAlign w:val="center"/>
          </w:tcPr>
          <w:p>
            <w:pPr>
              <w:spacing w:line="320" w:lineRule="exact"/>
              <w:jc w:val="center"/>
              <w:rPr>
                <w:szCs w:val="21"/>
              </w:rPr>
            </w:pPr>
          </w:p>
        </w:tc>
        <w:tc>
          <w:tcPr>
            <w:tcW w:w="1660" w:type="dxa"/>
            <w:tcBorders>
              <w:top w:val="single" w:color="auto" w:sz="8" w:space="0"/>
              <w:left w:val="single" w:color="auto" w:sz="4" w:space="0"/>
              <w:bottom w:val="single" w:color="auto" w:sz="4" w:space="0"/>
              <w:right w:val="single" w:color="auto" w:sz="4" w:space="0"/>
            </w:tcBorders>
            <w:noWrap w:val="0"/>
            <w:vAlign w:val="center"/>
          </w:tcPr>
          <w:p>
            <w:pPr>
              <w:spacing w:line="320" w:lineRule="exact"/>
              <w:jc w:val="center"/>
              <w:rPr>
                <w:szCs w:val="21"/>
              </w:rPr>
            </w:pPr>
            <w:r>
              <w:rPr>
                <w:rFonts w:hint="eastAsia"/>
                <w:szCs w:val="21"/>
              </w:rPr>
              <w:t>建设单位签收人姓名及时间</w:t>
            </w:r>
          </w:p>
        </w:tc>
        <w:tc>
          <w:tcPr>
            <w:tcW w:w="2132" w:type="dxa"/>
            <w:tcBorders>
              <w:top w:val="single" w:color="auto" w:sz="8" w:space="0"/>
              <w:left w:val="single" w:color="auto" w:sz="4" w:space="0"/>
              <w:bottom w:val="single" w:color="auto" w:sz="4" w:space="0"/>
              <w:right w:val="single" w:color="auto" w:sz="8" w:space="0"/>
            </w:tcBorders>
            <w:noWrap w:val="0"/>
            <w:vAlign w:val="center"/>
          </w:tcPr>
          <w:p>
            <w:pPr>
              <w:spacing w:line="320" w:lineRule="exact"/>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720" w:type="dxa"/>
            <w:gridSpan w:val="4"/>
            <w:tcBorders>
              <w:top w:val="single" w:color="auto" w:sz="4" w:space="0"/>
              <w:left w:val="single" w:color="auto" w:sz="8" w:space="0"/>
              <w:bottom w:val="single" w:color="auto" w:sz="4" w:space="0"/>
              <w:right w:val="single" w:color="auto" w:sz="8" w:space="0"/>
            </w:tcBorders>
            <w:noWrap w:val="0"/>
            <w:vAlign w:val="top"/>
          </w:tcPr>
          <w:p>
            <w:pPr>
              <w:spacing w:before="156" w:beforeLines="50" w:after="156" w:afterLines="50" w:line="420" w:lineRule="exact"/>
              <w:rPr>
                <w:szCs w:val="21"/>
              </w:rPr>
            </w:pPr>
            <w:r>
              <w:rPr>
                <w:rFonts w:hint="eastAsia"/>
                <w:szCs w:val="21"/>
              </w:rPr>
              <w:t>致：</w:t>
            </w:r>
            <w:r>
              <w:rPr>
                <w:szCs w:val="21"/>
              </w:rPr>
              <w:t xml:space="preserve"> </w:t>
            </w:r>
            <w:r>
              <w:rPr>
                <w:szCs w:val="21"/>
                <w:u w:val="single"/>
              </w:rPr>
              <w:t xml:space="preserve">                    </w:t>
            </w:r>
            <w:r>
              <w:rPr>
                <w:rFonts w:hint="eastAsia"/>
                <w:szCs w:val="21"/>
              </w:rPr>
              <w:t>（施工项目经理部）</w:t>
            </w:r>
            <w:r>
              <w:rPr>
                <w:szCs w:val="21"/>
              </w:rPr>
              <w:t xml:space="preserve"> </w:t>
            </w:r>
          </w:p>
          <w:p>
            <w:pPr>
              <w:spacing w:line="420" w:lineRule="exact"/>
              <w:ind w:firstLine="420" w:firstLineChars="200"/>
              <w:rPr>
                <w:szCs w:val="21"/>
              </w:rPr>
            </w:pPr>
            <w:r>
              <w:rPr>
                <w:rFonts w:hint="eastAsia"/>
                <w:szCs w:val="21"/>
              </w:rPr>
              <w:t>事由：</w:t>
            </w:r>
          </w:p>
          <w:p>
            <w:pPr>
              <w:spacing w:line="420" w:lineRule="exact"/>
              <w:ind w:firstLine="420" w:firstLineChars="200"/>
              <w:rPr>
                <w:szCs w:val="21"/>
              </w:rPr>
            </w:pPr>
          </w:p>
          <w:p>
            <w:pPr>
              <w:spacing w:line="420" w:lineRule="exact"/>
              <w:ind w:firstLine="420" w:firstLineChars="200"/>
              <w:rPr>
                <w:szCs w:val="21"/>
              </w:rPr>
            </w:pPr>
          </w:p>
          <w:p>
            <w:pPr>
              <w:spacing w:line="420" w:lineRule="exact"/>
              <w:ind w:firstLine="420" w:firstLineChars="200"/>
              <w:rPr>
                <w:szCs w:val="21"/>
              </w:rPr>
            </w:pPr>
            <w:r>
              <w:rPr>
                <w:rFonts w:hint="eastAsia"/>
                <w:szCs w:val="21"/>
              </w:rPr>
              <w:t>内容：</w:t>
            </w:r>
          </w:p>
          <w:p>
            <w:pPr>
              <w:spacing w:line="420" w:lineRule="exact"/>
              <w:ind w:firstLine="420" w:firstLineChars="200"/>
              <w:rPr>
                <w:szCs w:val="21"/>
              </w:rPr>
            </w:pPr>
          </w:p>
          <w:p>
            <w:pPr>
              <w:spacing w:line="420" w:lineRule="exact"/>
              <w:ind w:firstLine="420" w:firstLineChars="200"/>
              <w:rPr>
                <w:szCs w:val="21"/>
              </w:rPr>
            </w:pPr>
          </w:p>
          <w:p>
            <w:pPr>
              <w:spacing w:line="420" w:lineRule="exact"/>
              <w:ind w:firstLine="420" w:firstLineChars="200"/>
              <w:rPr>
                <w:szCs w:val="21"/>
              </w:rPr>
            </w:pPr>
          </w:p>
          <w:p>
            <w:pPr>
              <w:spacing w:line="420" w:lineRule="exact"/>
              <w:ind w:firstLine="420" w:firstLineChars="200"/>
              <w:rPr>
                <w:szCs w:val="21"/>
              </w:rPr>
            </w:pPr>
          </w:p>
          <w:p>
            <w:pPr>
              <w:spacing w:line="420" w:lineRule="exact"/>
              <w:ind w:firstLine="420" w:firstLineChars="200"/>
              <w:rPr>
                <w:szCs w:val="21"/>
              </w:rPr>
            </w:pPr>
            <w:r>
              <w:rPr>
                <w:rFonts w:hint="eastAsia"/>
                <w:szCs w:val="21"/>
              </w:rPr>
              <w:t>如对本监理通知单内容有异议，请在</w:t>
            </w:r>
            <w:r>
              <w:rPr>
                <w:szCs w:val="21"/>
              </w:rPr>
              <w:t>24</w:t>
            </w:r>
            <w:r>
              <w:rPr>
                <w:rFonts w:hint="eastAsia"/>
                <w:szCs w:val="21"/>
              </w:rPr>
              <w:t>小时内向监理提出书面报告。</w:t>
            </w:r>
          </w:p>
          <w:p>
            <w:pPr>
              <w:spacing w:line="420" w:lineRule="exact"/>
              <w:ind w:firstLine="420" w:firstLineChars="200"/>
              <w:rPr>
                <w:szCs w:val="21"/>
              </w:rPr>
            </w:pPr>
          </w:p>
          <w:p>
            <w:pPr>
              <w:spacing w:line="420" w:lineRule="exact"/>
              <w:ind w:firstLine="420" w:firstLineChars="200"/>
              <w:rPr>
                <w:szCs w:val="21"/>
              </w:rPr>
            </w:pPr>
            <w:r>
              <w:rPr>
                <w:rFonts w:hint="eastAsia"/>
                <w:szCs w:val="21"/>
              </w:rPr>
              <w:t>附件共</w:t>
            </w:r>
            <w:r>
              <w:rPr>
                <w:szCs w:val="21"/>
              </w:rPr>
              <w:t xml:space="preserve"> </w:t>
            </w:r>
            <w:r>
              <w:rPr>
                <w:szCs w:val="21"/>
                <w:u w:val="single"/>
              </w:rPr>
              <w:t xml:space="preserve">      </w:t>
            </w:r>
            <w:r>
              <w:rPr>
                <w:rFonts w:hint="eastAsia"/>
                <w:szCs w:val="21"/>
              </w:rPr>
              <w:t>页，请于</w:t>
            </w:r>
            <w:r>
              <w:rPr>
                <w:rFonts w:hint="eastAsia"/>
                <w:szCs w:val="21"/>
                <w:u w:val="single"/>
              </w:rPr>
              <w:t>　</w:t>
            </w:r>
            <w:r>
              <w:rPr>
                <w:szCs w:val="21"/>
                <w:u w:val="single"/>
              </w:rPr>
              <w:t xml:space="preserve"> </w:t>
            </w:r>
            <w:r>
              <w:rPr>
                <w:rFonts w:hint="eastAsia"/>
                <w:szCs w:val="21"/>
              </w:rPr>
              <w:t>年</w:t>
            </w:r>
            <w:r>
              <w:rPr>
                <w:rFonts w:hint="eastAsia"/>
                <w:szCs w:val="21"/>
                <w:u w:val="single"/>
              </w:rPr>
              <w:t>　</w:t>
            </w:r>
            <w:r>
              <w:rPr>
                <w:szCs w:val="21"/>
                <w:u w:val="single"/>
              </w:rPr>
              <w:t xml:space="preserve">  </w:t>
            </w:r>
            <w:r>
              <w:rPr>
                <w:rFonts w:hint="eastAsia"/>
                <w:szCs w:val="21"/>
              </w:rPr>
              <w:t>月</w:t>
            </w:r>
            <w:r>
              <w:rPr>
                <w:szCs w:val="21"/>
                <w:u w:val="single"/>
              </w:rPr>
              <w:t xml:space="preserve">    </w:t>
            </w:r>
            <w:r>
              <w:rPr>
                <w:rFonts w:hint="eastAsia"/>
                <w:szCs w:val="21"/>
              </w:rPr>
              <w:t>日前填报回复单（</w:t>
            </w:r>
            <w:r>
              <w:rPr>
                <w:szCs w:val="21"/>
              </w:rPr>
              <w:t>B.5</w:t>
            </w:r>
            <w:r>
              <w:rPr>
                <w:szCs w:val="21"/>
                <w:u w:val="single"/>
              </w:rPr>
              <w:t>1</w:t>
            </w:r>
            <w:r>
              <w:rPr>
                <w:rFonts w:hint="eastAsia"/>
                <w:szCs w:val="21"/>
              </w:rPr>
              <w:t>）。</w:t>
            </w:r>
          </w:p>
          <w:p>
            <w:pPr>
              <w:spacing w:line="420" w:lineRule="exact"/>
              <w:rPr>
                <w:szCs w:val="21"/>
              </w:rPr>
            </w:pPr>
          </w:p>
          <w:p>
            <w:pPr>
              <w:spacing w:line="420" w:lineRule="exact"/>
              <w:rPr>
                <w:szCs w:val="21"/>
              </w:rPr>
            </w:pPr>
            <w:r>
              <w:rPr>
                <w:rFonts w:hint="eastAsia"/>
                <w:szCs w:val="21"/>
              </w:rPr>
              <w:t>　　　　　　　　　　　</w:t>
            </w:r>
            <w:r>
              <w:rPr>
                <w:szCs w:val="21"/>
              </w:rPr>
              <w:t xml:space="preserve">                     </w:t>
            </w:r>
          </w:p>
          <w:p>
            <w:pPr>
              <w:spacing w:line="240" w:lineRule="exact"/>
              <w:rPr>
                <w:szCs w:val="21"/>
              </w:rPr>
            </w:pPr>
          </w:p>
          <w:p>
            <w:pPr>
              <w:rPr>
                <w:szCs w:val="21"/>
                <w:u w:val="single"/>
              </w:rPr>
            </w:pPr>
            <w:r>
              <w:rPr>
                <w:rFonts w:hint="eastAsia"/>
                <w:szCs w:val="21"/>
              </w:rPr>
              <w:t>　</w:t>
            </w:r>
            <w:r>
              <w:rPr>
                <w:szCs w:val="21"/>
              </w:rPr>
              <w:t xml:space="preserve">                    </w:t>
            </w:r>
            <w:r>
              <w:rPr>
                <w:rFonts w:hint="eastAsia"/>
                <w:szCs w:val="21"/>
              </w:rPr>
              <w:t>　　　　</w:t>
            </w:r>
            <w:r>
              <w:rPr>
                <w:szCs w:val="21"/>
              </w:rPr>
              <w:t xml:space="preserve">  </w:t>
            </w:r>
            <w:r>
              <w:rPr>
                <w:rFonts w:hint="eastAsia"/>
                <w:szCs w:val="21"/>
              </w:rPr>
              <w:t>项目监理机构</w:t>
            </w:r>
            <w:r>
              <w:rPr>
                <w:szCs w:val="21"/>
              </w:rPr>
              <w:t>(</w:t>
            </w:r>
            <w:r>
              <w:rPr>
                <w:rFonts w:hint="eastAsia"/>
                <w:szCs w:val="21"/>
              </w:rPr>
              <w:t>章</w:t>
            </w:r>
            <w:r>
              <w:rPr>
                <w:szCs w:val="21"/>
              </w:rPr>
              <w:t>)</w:t>
            </w:r>
            <w:r>
              <w:rPr>
                <w:rFonts w:hint="eastAsia"/>
                <w:szCs w:val="21"/>
              </w:rPr>
              <w:t>：</w:t>
            </w:r>
            <w:r>
              <w:rPr>
                <w:szCs w:val="21"/>
                <w:u w:val="single"/>
              </w:rPr>
              <w:t xml:space="preserve">                                </w:t>
            </w:r>
          </w:p>
          <w:p>
            <w:pPr>
              <w:tabs>
                <w:tab w:val="left" w:pos="8170"/>
              </w:tabs>
              <w:spacing w:before="312" w:beforeLines="100"/>
              <w:ind w:firstLine="3360" w:firstLineChars="1600"/>
              <w:rPr>
                <w:szCs w:val="21"/>
              </w:rPr>
            </w:pPr>
            <w:r>
              <w:rPr>
                <w:rFonts w:hint="eastAsia"/>
                <w:szCs w:val="21"/>
              </w:rPr>
              <w:t>总监理工程师</w:t>
            </w:r>
            <w:r>
              <w:rPr>
                <w:szCs w:val="21"/>
              </w:rPr>
              <w:t>/</w:t>
            </w:r>
            <w:r>
              <w:rPr>
                <w:rFonts w:hint="eastAsia"/>
                <w:szCs w:val="21"/>
              </w:rPr>
              <w:t>专业监理工程师（签字）：</w:t>
            </w:r>
            <w:r>
              <w:rPr>
                <w:szCs w:val="21"/>
                <w:u w:val="single"/>
              </w:rPr>
              <w:t xml:space="preserve">          </w:t>
            </w:r>
            <w:r>
              <w:rPr>
                <w:rFonts w:hint="eastAsia"/>
                <w:szCs w:val="21"/>
                <w:u w:val="single"/>
              </w:rPr>
              <w:t>　</w:t>
            </w:r>
            <w:r>
              <w:rPr>
                <w:szCs w:val="21"/>
                <w:u w:val="single"/>
              </w:rPr>
              <w:t xml:space="preserve">  </w:t>
            </w:r>
            <w:r>
              <w:rPr>
                <w:szCs w:val="21"/>
              </w:rPr>
              <w:t xml:space="preserve"> </w:t>
            </w:r>
          </w:p>
          <w:p>
            <w:pPr>
              <w:spacing w:before="156" w:beforeLines="50"/>
              <w:ind w:firstLine="5581" w:firstLineChars="2658"/>
              <w:rPr>
                <w:szCs w:val="21"/>
              </w:rPr>
            </w:pPr>
            <w:r>
              <w:rPr>
                <w:szCs w:val="21"/>
              </w:rPr>
              <w:t xml:space="preserve"> </w:t>
            </w:r>
            <w:r>
              <w:rPr>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97" w:hRule="atLeast"/>
          <w:jc w:val="center"/>
        </w:trPr>
        <w:tc>
          <w:tcPr>
            <w:tcW w:w="8720" w:type="dxa"/>
            <w:gridSpan w:val="4"/>
            <w:tcBorders>
              <w:top w:val="single" w:color="auto" w:sz="4" w:space="0"/>
              <w:left w:val="single" w:color="auto" w:sz="8" w:space="0"/>
              <w:bottom w:val="single" w:color="auto" w:sz="8" w:space="0"/>
              <w:right w:val="single" w:color="auto" w:sz="8" w:space="0"/>
            </w:tcBorders>
            <w:noWrap w:val="0"/>
            <w:vAlign w:val="center"/>
          </w:tcPr>
          <w:p>
            <w:pPr>
              <w:spacing w:line="320" w:lineRule="exact"/>
              <w:rPr>
                <w:szCs w:val="21"/>
              </w:rPr>
            </w:pPr>
            <w:r>
              <w:rPr>
                <w:rFonts w:hint="eastAsia"/>
                <w:szCs w:val="21"/>
              </w:rPr>
              <w:t>注：</w:t>
            </w:r>
            <w:r>
              <w:rPr>
                <w:szCs w:val="21"/>
              </w:rPr>
              <w:t>1</w:t>
            </w:r>
            <w:r>
              <w:rPr>
                <w:rFonts w:hint="eastAsia"/>
                <w:szCs w:val="21"/>
              </w:rPr>
              <w:t>、本通知单分为质量控制类（</w:t>
            </w:r>
            <w:r>
              <w:rPr>
                <w:szCs w:val="21"/>
              </w:rPr>
              <w:t>A.0.10</w:t>
            </w:r>
            <w:r>
              <w:rPr>
                <w:szCs w:val="21"/>
                <w:u w:val="single"/>
              </w:rPr>
              <w:t>1</w:t>
            </w:r>
            <w:r>
              <w:rPr>
                <w:rFonts w:hint="eastAsia"/>
                <w:szCs w:val="21"/>
              </w:rPr>
              <w:t>）、造价控制类（</w:t>
            </w:r>
            <w:r>
              <w:rPr>
                <w:szCs w:val="21"/>
              </w:rPr>
              <w:t>A.0.10</w:t>
            </w:r>
            <w:r>
              <w:rPr>
                <w:szCs w:val="21"/>
                <w:u w:val="single"/>
              </w:rPr>
              <w:t>2</w:t>
            </w:r>
            <w:r>
              <w:rPr>
                <w:rFonts w:hint="eastAsia"/>
                <w:szCs w:val="21"/>
              </w:rPr>
              <w:t>）、进度控制类（</w:t>
            </w:r>
            <w:r>
              <w:rPr>
                <w:szCs w:val="21"/>
              </w:rPr>
              <w:t>A.0.10</w:t>
            </w:r>
            <w:r>
              <w:rPr>
                <w:szCs w:val="21"/>
                <w:u w:val="single"/>
              </w:rPr>
              <w:t>3</w:t>
            </w:r>
            <w:r>
              <w:rPr>
                <w:rFonts w:hint="eastAsia"/>
                <w:szCs w:val="21"/>
              </w:rPr>
              <w:t>）、安全文明类（</w:t>
            </w:r>
            <w:r>
              <w:rPr>
                <w:szCs w:val="21"/>
              </w:rPr>
              <w:t>A .0.10</w:t>
            </w:r>
            <w:r>
              <w:rPr>
                <w:szCs w:val="21"/>
                <w:u w:val="single"/>
              </w:rPr>
              <w:t>4</w:t>
            </w:r>
            <w:r>
              <w:rPr>
                <w:rFonts w:hint="eastAsia"/>
                <w:szCs w:val="21"/>
              </w:rPr>
              <w:t>）、工程变更类（</w:t>
            </w:r>
            <w:r>
              <w:rPr>
                <w:szCs w:val="21"/>
              </w:rPr>
              <w:t>A.0.10</w:t>
            </w:r>
            <w:r>
              <w:rPr>
                <w:szCs w:val="21"/>
                <w:u w:val="single"/>
              </w:rPr>
              <w:t>5</w:t>
            </w:r>
            <w:r>
              <w:rPr>
                <w:rFonts w:hint="eastAsia"/>
                <w:szCs w:val="21"/>
              </w:rPr>
              <w:t>）、其它类（</w:t>
            </w:r>
            <w:r>
              <w:rPr>
                <w:szCs w:val="21"/>
              </w:rPr>
              <w:t>A.0.10</w:t>
            </w:r>
            <w:r>
              <w:rPr>
                <w:szCs w:val="21"/>
                <w:u w:val="single"/>
              </w:rPr>
              <w:t>6</w:t>
            </w:r>
            <w:r>
              <w:rPr>
                <w:rFonts w:hint="eastAsia"/>
                <w:szCs w:val="21"/>
              </w:rPr>
              <w:t>）。</w:t>
            </w:r>
          </w:p>
          <w:p>
            <w:pPr>
              <w:spacing w:line="320" w:lineRule="exact"/>
              <w:ind w:firstLine="420" w:firstLineChars="200"/>
              <w:rPr>
                <w:szCs w:val="21"/>
              </w:rPr>
            </w:pPr>
            <w:r>
              <w:rPr>
                <w:szCs w:val="21"/>
              </w:rPr>
              <w:t>2</w:t>
            </w:r>
            <w:r>
              <w:rPr>
                <w:rFonts w:hint="eastAsia"/>
                <w:szCs w:val="21"/>
              </w:rPr>
              <w:t>、本表一式三份，项目监理机构、施工项目经理部、建设单位各一份。</w:t>
            </w:r>
          </w:p>
        </w:tc>
      </w:tr>
    </w:tbl>
    <w:p>
      <w:pPr>
        <w:ind w:right="-40"/>
        <w:rPr>
          <w:rFonts w:ascii="Times New Roman" w:eastAsia="隶书"/>
        </w:rPr>
      </w:pPr>
      <w:r>
        <w:rPr>
          <w:rFonts w:hint="eastAsia" w:ascii="Times New Roman" w:eastAsia="隶书"/>
        </w:rPr>
        <w:t>第六版表                                              江苏省住房和城乡建设厅监制</w:t>
      </w:r>
    </w:p>
    <w:p>
      <w:pPr>
        <w:ind w:right="4"/>
        <w:jc w:val="right"/>
        <w:rPr>
          <w:rFonts w:hint="eastAsia" w:eastAsia="黑体"/>
          <w:b/>
          <w:sz w:val="28"/>
          <w:szCs w:val="28"/>
          <w14:shadow w14:blurRad="50800" w14:dist="38100" w14:dir="2700000" w14:sx="100000" w14:sy="100000" w14:kx="0" w14:ky="0" w14:algn="tl">
            <w14:srgbClr w14:val="000000">
              <w14:alpha w14:val="60000"/>
            </w14:srgbClr>
          </w14:shadow>
        </w:rPr>
      </w:pPr>
      <w:r>
        <w:rPr>
          <w:szCs w:val="21"/>
        </w:rPr>
        <w:br w:type="column"/>
      </w:r>
      <w:r>
        <w:rPr>
          <w:rFonts w:eastAsia="黑体"/>
          <w:b/>
          <w:sz w:val="28"/>
          <w:szCs w:val="28"/>
          <w14:shadow w14:blurRad="50800" w14:dist="38100" w14:dir="2700000" w14:sx="100000" w14:sy="100000" w14:kx="0" w14:ky="0" w14:algn="tl">
            <w14:srgbClr w14:val="000000">
              <w14:alpha w14:val="60000"/>
            </w14:srgbClr>
          </w14:shadow>
        </w:rPr>
        <w:t>A.0.11</w:t>
      </w:r>
    </w:p>
    <w:p>
      <w:pPr>
        <w:spacing w:before="312" w:beforeLines="100" w:after="312" w:afterLines="100"/>
        <w:jc w:val="center"/>
        <w:rPr>
          <w:rFonts w:eastAsia="黑体"/>
          <w:sz w:val="44"/>
          <w14:shadow w14:blurRad="50800" w14:dist="38100" w14:dir="2700000" w14:sx="100000" w14:sy="100000" w14:kx="0" w14:ky="0" w14:algn="tl">
            <w14:srgbClr w14:val="000000">
              <w14:alpha w14:val="60000"/>
            </w14:srgbClr>
          </w14:shadow>
        </w:rPr>
      </w:pPr>
      <w:r>
        <w:rPr>
          <w:rFonts w:hint="eastAsia" w:eastAsia="黑体"/>
          <w:sz w:val="44"/>
          <w14:shadow w14:blurRad="50800" w14:dist="38100" w14:dir="2700000" w14:sx="100000" w14:sy="100000" w14:kx="0" w14:ky="0" w14:algn="tl">
            <w14:srgbClr w14:val="000000">
              <w14:alpha w14:val="60000"/>
            </w14:srgbClr>
          </w14:shadow>
        </w:rPr>
        <w:t>工程暂停令</w:t>
      </w:r>
    </w:p>
    <w:p>
      <w:pPr>
        <w:spacing w:after="156" w:afterLines="50" w:line="420" w:lineRule="exact"/>
        <w:ind w:left="21" w:hanging="21" w:hangingChars="10"/>
        <w:rPr>
          <w:szCs w:val="21"/>
        </w:rPr>
      </w:pPr>
      <w:r>
        <w:rPr>
          <w:rFonts w:hint="eastAsia"/>
          <w:szCs w:val="21"/>
        </w:rPr>
        <w:t>工程名称：</w:t>
      </w:r>
      <w:r>
        <w:rPr>
          <w:szCs w:val="21"/>
          <w:u w:val="single"/>
        </w:rPr>
        <w:t xml:space="preserve">                           </w:t>
      </w:r>
      <w:r>
        <w:rPr>
          <w:szCs w:val="21"/>
        </w:rPr>
        <w:t xml:space="preserve">         </w:t>
      </w:r>
      <w:r>
        <w:rPr>
          <w:rFonts w:hint="eastAsia"/>
          <w:szCs w:val="21"/>
        </w:rPr>
        <w:t>　　</w:t>
      </w:r>
      <w:r>
        <w:rPr>
          <w:szCs w:val="21"/>
        </w:rPr>
        <w:t xml:space="preserve">        </w:t>
      </w:r>
      <w:r>
        <w:rPr>
          <w:rFonts w:hint="eastAsia"/>
          <w:szCs w:val="21"/>
        </w:rPr>
        <w:t>　编号：</w:t>
      </w:r>
      <w:r>
        <w:rPr>
          <w:szCs w:val="21"/>
        </w:rPr>
        <w:t>A.0.11</w:t>
      </w:r>
      <w:r>
        <w:rPr>
          <w:rFonts w:hint="eastAsia"/>
          <w:szCs w:val="21"/>
        </w:rPr>
        <w:t>－</w:t>
      </w:r>
      <w:r>
        <w:rPr>
          <w:rFonts w:hint="eastAsia"/>
          <w:szCs w:val="21"/>
          <w:u w:val="single"/>
        </w:rPr>
        <w:t>　　　　</w:t>
      </w: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2835"/>
        <w:gridCol w:w="1660"/>
        <w:gridCol w:w="20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2093" w:type="dxa"/>
            <w:tcBorders>
              <w:top w:val="single" w:color="auto" w:sz="8" w:space="0"/>
              <w:left w:val="single" w:color="auto" w:sz="8" w:space="0"/>
              <w:bottom w:val="single" w:color="auto" w:sz="4" w:space="0"/>
              <w:right w:val="single" w:color="auto" w:sz="4" w:space="0"/>
            </w:tcBorders>
            <w:noWrap w:val="0"/>
            <w:vAlign w:val="center"/>
          </w:tcPr>
          <w:p>
            <w:pPr>
              <w:spacing w:line="320" w:lineRule="exact"/>
              <w:rPr>
                <w:szCs w:val="21"/>
              </w:rPr>
            </w:pPr>
            <w:r>
              <w:rPr>
                <w:rFonts w:hint="eastAsia"/>
                <w:szCs w:val="21"/>
              </w:rPr>
              <w:t>施工项目经理部签收人姓名及时间</w:t>
            </w:r>
          </w:p>
        </w:tc>
        <w:tc>
          <w:tcPr>
            <w:tcW w:w="2835" w:type="dxa"/>
            <w:tcBorders>
              <w:top w:val="single" w:color="auto" w:sz="8" w:space="0"/>
              <w:left w:val="single" w:color="auto" w:sz="4" w:space="0"/>
              <w:bottom w:val="single" w:color="auto" w:sz="4" w:space="0"/>
              <w:right w:val="single" w:color="auto" w:sz="4" w:space="0"/>
            </w:tcBorders>
            <w:noWrap w:val="0"/>
            <w:vAlign w:val="center"/>
          </w:tcPr>
          <w:p>
            <w:pPr>
              <w:rPr>
                <w:szCs w:val="21"/>
              </w:rPr>
            </w:pPr>
          </w:p>
        </w:tc>
        <w:tc>
          <w:tcPr>
            <w:tcW w:w="1660" w:type="dxa"/>
            <w:tcBorders>
              <w:top w:val="single" w:color="auto" w:sz="8" w:space="0"/>
              <w:left w:val="single" w:color="auto" w:sz="4" w:space="0"/>
              <w:bottom w:val="single" w:color="auto" w:sz="4" w:space="0"/>
              <w:right w:val="single" w:color="auto" w:sz="4" w:space="0"/>
            </w:tcBorders>
            <w:noWrap w:val="0"/>
            <w:vAlign w:val="center"/>
          </w:tcPr>
          <w:p>
            <w:pPr>
              <w:jc w:val="center"/>
              <w:rPr>
                <w:szCs w:val="21"/>
              </w:rPr>
            </w:pPr>
            <w:r>
              <w:rPr>
                <w:rFonts w:hint="eastAsia"/>
                <w:szCs w:val="21"/>
              </w:rPr>
              <w:t>建设单位签收人姓名及时间</w:t>
            </w:r>
          </w:p>
        </w:tc>
        <w:tc>
          <w:tcPr>
            <w:tcW w:w="2060" w:type="dxa"/>
            <w:tcBorders>
              <w:top w:val="single" w:color="auto" w:sz="8" w:space="0"/>
              <w:left w:val="single" w:color="auto" w:sz="4" w:space="0"/>
              <w:bottom w:val="single" w:color="auto" w:sz="4" w:space="0"/>
              <w:right w:val="single" w:color="auto" w:sz="8" w:space="0"/>
            </w:tcBorders>
            <w:noWrap w:val="0"/>
            <w:vAlign w:val="center"/>
          </w:tcPr>
          <w:p>
            <w:pP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25" w:hRule="atLeast"/>
          <w:jc w:val="center"/>
        </w:trPr>
        <w:tc>
          <w:tcPr>
            <w:tcW w:w="8648" w:type="dxa"/>
            <w:gridSpan w:val="4"/>
            <w:tcBorders>
              <w:top w:val="single" w:color="auto" w:sz="4" w:space="0"/>
              <w:left w:val="single" w:color="auto" w:sz="8" w:space="0"/>
              <w:bottom w:val="single" w:color="auto" w:sz="4" w:space="0"/>
              <w:right w:val="single" w:color="auto" w:sz="8" w:space="0"/>
            </w:tcBorders>
            <w:noWrap w:val="0"/>
            <w:vAlign w:val="top"/>
          </w:tcPr>
          <w:p>
            <w:pPr>
              <w:spacing w:before="156" w:beforeLines="50" w:after="156" w:afterLines="50" w:line="420" w:lineRule="exact"/>
              <w:rPr>
                <w:rFonts w:ascii="Times New Roman" w:hAnsi="Times New Roman"/>
                <w:szCs w:val="21"/>
              </w:rPr>
            </w:pPr>
            <w:r>
              <w:rPr>
                <w:rFonts w:hint="eastAsia" w:ascii="Times New Roman" w:hAnsi="Times New Roman"/>
                <w:szCs w:val="21"/>
              </w:rPr>
              <w:t>致：</w:t>
            </w:r>
            <w:r>
              <w:rPr>
                <w:rFonts w:hint="eastAsia" w:ascii="Times New Roman" w:hAnsi="Times New Roman"/>
                <w:szCs w:val="21"/>
                <w:u w:val="single"/>
              </w:rPr>
              <w:t>　　　　　     　</w:t>
            </w:r>
            <w:r>
              <w:rPr>
                <w:rFonts w:hint="eastAsia" w:ascii="Times New Roman" w:hAnsi="Times New Roman"/>
                <w:szCs w:val="21"/>
              </w:rPr>
              <w:t>(施工项目经理部)</w:t>
            </w:r>
          </w:p>
          <w:p>
            <w:pPr>
              <w:spacing w:line="420" w:lineRule="exact"/>
              <w:rPr>
                <w:rFonts w:hint="eastAsia"/>
                <w:bCs/>
                <w:szCs w:val="21"/>
                <w:u w:val="single"/>
              </w:rPr>
            </w:pPr>
            <w:r>
              <w:rPr>
                <w:szCs w:val="21"/>
              </w:rPr>
              <w:t xml:space="preserve">  </w:t>
            </w:r>
            <w:r>
              <w:rPr>
                <w:bCs/>
                <w:szCs w:val="21"/>
              </w:rPr>
              <w:t xml:space="preserve">  </w:t>
            </w:r>
            <w:r>
              <w:rPr>
                <w:rFonts w:hint="eastAsia"/>
                <w:bCs/>
                <w:szCs w:val="21"/>
              </w:rPr>
              <w:t>由于</w:t>
            </w:r>
            <w:r>
              <w:rPr>
                <w:bCs/>
                <w:szCs w:val="21"/>
              </w:rPr>
              <w:t xml:space="preserve"> </w:t>
            </w:r>
            <w:r>
              <w:rPr>
                <w:bCs/>
                <w:szCs w:val="21"/>
                <w:u w:val="single"/>
              </w:rPr>
              <w:t xml:space="preserve">                                                                        </w:t>
            </w:r>
          </w:p>
          <w:p>
            <w:pPr>
              <w:spacing w:line="420" w:lineRule="exact"/>
              <w:rPr>
                <w:szCs w:val="21"/>
              </w:rPr>
            </w:pPr>
            <w:r>
              <w:rPr>
                <w:szCs w:val="21"/>
                <w:u w:val="single"/>
              </w:rPr>
              <w:t xml:space="preserve">                                                                                </w:t>
            </w:r>
          </w:p>
          <w:p>
            <w:pPr>
              <w:spacing w:line="420" w:lineRule="exact"/>
              <w:rPr>
                <w:szCs w:val="21"/>
              </w:rPr>
            </w:pPr>
            <w:r>
              <w:rPr>
                <w:rFonts w:hint="eastAsia"/>
                <w:szCs w:val="21"/>
              </w:rPr>
              <w:t>原因，现通知你方于</w:t>
            </w:r>
            <w:r>
              <w:rPr>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r>
              <w:rPr>
                <w:szCs w:val="21"/>
                <w:u w:val="single"/>
              </w:rPr>
              <w:t xml:space="preserve">      </w:t>
            </w:r>
            <w:r>
              <w:rPr>
                <w:rFonts w:hint="eastAsia"/>
                <w:szCs w:val="21"/>
              </w:rPr>
              <w:t>时起，暂停</w:t>
            </w:r>
            <w:r>
              <w:rPr>
                <w:szCs w:val="21"/>
                <w:u w:val="single"/>
              </w:rPr>
              <w:t xml:space="preserve">                </w:t>
            </w:r>
            <w:r>
              <w:rPr>
                <w:rFonts w:hint="eastAsia"/>
                <w:szCs w:val="21"/>
              </w:rPr>
              <w:t>部位（工序）施工，并按下述要求做好后续工作。</w:t>
            </w:r>
          </w:p>
          <w:p>
            <w:pPr>
              <w:spacing w:line="420" w:lineRule="exact"/>
              <w:rPr>
                <w:szCs w:val="21"/>
              </w:rPr>
            </w:pPr>
          </w:p>
          <w:p>
            <w:pPr>
              <w:spacing w:line="420" w:lineRule="exact"/>
              <w:ind w:firstLine="420" w:firstLineChars="200"/>
              <w:rPr>
                <w:szCs w:val="21"/>
              </w:rPr>
            </w:pPr>
            <w:r>
              <w:rPr>
                <w:rFonts w:hint="eastAsia"/>
                <w:szCs w:val="21"/>
              </w:rPr>
              <w:t>要求：</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附件：</w:t>
            </w:r>
            <w:r>
              <w:rPr>
                <w:szCs w:val="21"/>
                <w:u w:val="single"/>
              </w:rPr>
              <w:t xml:space="preserve">            </w:t>
            </w:r>
            <w:r>
              <w:rPr>
                <w:rFonts w:hint="eastAsia"/>
                <w:szCs w:val="21"/>
              </w:rPr>
              <w:t>。</w:t>
            </w:r>
          </w:p>
          <w:p>
            <w:pPr>
              <w:rPr>
                <w:szCs w:val="21"/>
              </w:rPr>
            </w:pPr>
          </w:p>
          <w:p>
            <w:pPr>
              <w:rPr>
                <w:szCs w:val="21"/>
              </w:rPr>
            </w:pPr>
          </w:p>
          <w:p>
            <w:pPr>
              <w:spacing w:line="420" w:lineRule="exact"/>
              <w:rPr>
                <w:bCs/>
                <w:szCs w:val="21"/>
                <w:u w:val="single"/>
              </w:rPr>
            </w:pPr>
            <w:r>
              <w:rPr>
                <w:szCs w:val="21"/>
              </w:rPr>
              <w:t xml:space="preserve">                              </w:t>
            </w:r>
            <w:r>
              <w:rPr>
                <w:rFonts w:hint="eastAsia"/>
                <w:bCs/>
                <w:szCs w:val="21"/>
              </w:rPr>
              <w:t>项目监理机构</w:t>
            </w:r>
            <w:r>
              <w:rPr>
                <w:bCs/>
                <w:szCs w:val="21"/>
              </w:rPr>
              <w:t>(</w:t>
            </w:r>
            <w:r>
              <w:rPr>
                <w:rFonts w:hint="eastAsia"/>
                <w:bCs/>
                <w:szCs w:val="21"/>
              </w:rPr>
              <w:t>章</w:t>
            </w:r>
            <w:r>
              <w:rPr>
                <w:bCs/>
                <w:szCs w:val="21"/>
              </w:rPr>
              <w:t xml:space="preserve">):  </w:t>
            </w:r>
            <w:r>
              <w:rPr>
                <w:bCs/>
                <w:szCs w:val="21"/>
                <w:u w:val="single"/>
              </w:rPr>
              <w:t xml:space="preserve">                           </w:t>
            </w:r>
          </w:p>
          <w:p>
            <w:pPr>
              <w:spacing w:before="312" w:beforeLines="100" w:line="420" w:lineRule="exact"/>
              <w:rPr>
                <w:szCs w:val="21"/>
                <w:u w:val="single"/>
              </w:rPr>
            </w:pPr>
            <w:r>
              <w:rPr>
                <w:rFonts w:hint="eastAsia"/>
                <w:szCs w:val="21"/>
              </w:rPr>
              <w:t>　　　</w:t>
            </w:r>
            <w:r>
              <w:rPr>
                <w:szCs w:val="21"/>
              </w:rPr>
              <w:t xml:space="preserve">                        </w:t>
            </w:r>
            <w:r>
              <w:rPr>
                <w:rFonts w:hint="eastAsia"/>
                <w:szCs w:val="21"/>
              </w:rPr>
              <w:t>总监理工程师（签字、执业印章）：</w:t>
            </w:r>
            <w:r>
              <w:rPr>
                <w:rFonts w:hint="eastAsia"/>
                <w:bCs/>
                <w:szCs w:val="21"/>
                <w:u w:val="single"/>
              </w:rPr>
              <w:t>　</w:t>
            </w:r>
            <w:r>
              <w:rPr>
                <w:bCs/>
                <w:szCs w:val="21"/>
                <w:u w:val="single"/>
              </w:rPr>
              <w:t xml:space="preserve">  </w:t>
            </w:r>
            <w:r>
              <w:rPr>
                <w:rFonts w:hint="eastAsia"/>
                <w:bCs/>
                <w:szCs w:val="21"/>
                <w:u w:val="single"/>
              </w:rPr>
              <w:t>　　　　　</w:t>
            </w:r>
          </w:p>
          <w:p>
            <w:pPr>
              <w:spacing w:before="156" w:beforeLines="50" w:line="420" w:lineRule="exact"/>
              <w:rPr>
                <w:szCs w:val="21"/>
                <w:u w:val="single"/>
              </w:rPr>
            </w:pPr>
            <w:r>
              <w:rPr>
                <w:szCs w:val="21"/>
              </w:rPr>
              <w:t xml:space="preserve">                                       </w:t>
            </w:r>
            <w:r>
              <w:rPr>
                <w:bCs/>
                <w:szCs w:val="21"/>
              </w:rPr>
              <w:t xml:space="preserve"> </w:t>
            </w:r>
            <w:r>
              <w:rPr>
                <w:szCs w:val="21"/>
              </w:rPr>
              <w:t xml:space="preserve">           </w:t>
            </w:r>
            <w:r>
              <w:rPr>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8648" w:type="dxa"/>
            <w:gridSpan w:val="4"/>
            <w:tcBorders>
              <w:top w:val="single" w:color="auto" w:sz="4" w:space="0"/>
              <w:left w:val="single" w:color="auto" w:sz="8" w:space="0"/>
              <w:bottom w:val="single" w:color="auto" w:sz="8" w:space="0"/>
              <w:right w:val="single" w:color="auto" w:sz="8" w:space="0"/>
            </w:tcBorders>
            <w:noWrap w:val="0"/>
            <w:vAlign w:val="center"/>
          </w:tcPr>
          <w:p>
            <w:pPr>
              <w:spacing w:before="120"/>
              <w:rPr>
                <w:rFonts w:ascii="Times New Roman" w:hAnsi="Times New Roman"/>
                <w:szCs w:val="21"/>
              </w:rPr>
            </w:pPr>
            <w:r>
              <w:rPr>
                <w:rFonts w:hint="eastAsia"/>
                <w:szCs w:val="21"/>
              </w:rPr>
              <w:t>注：本表一式三份，项目监理机构、施工项目经理部、建设单位各一份。</w:t>
            </w:r>
          </w:p>
        </w:tc>
      </w:tr>
    </w:tbl>
    <w:p>
      <w:pPr>
        <w:ind w:right="4"/>
        <w:rPr>
          <w:rFonts w:ascii="Times New Roman" w:eastAsia="隶书"/>
        </w:rPr>
      </w:pPr>
      <w:r>
        <w:rPr>
          <w:rFonts w:hint="eastAsia" w:ascii="Times New Roman" w:eastAsia="隶书"/>
        </w:rPr>
        <w:t>第六版表                                              江苏省住房和城乡建设厅监制</w:t>
      </w:r>
    </w:p>
    <w:p>
      <w:pPr>
        <w:jc w:val="right"/>
        <w:rPr>
          <w:rFonts w:hint="eastAsia" w:eastAsia="黑体"/>
          <w:b/>
          <w:sz w:val="28"/>
          <w:szCs w:val="28"/>
          <w14:shadow w14:blurRad="50800" w14:dist="38100" w14:dir="2700000" w14:sx="100000" w14:sy="100000" w14:kx="0" w14:ky="0" w14:algn="tl">
            <w14:srgbClr w14:val="000000">
              <w14:alpha w14:val="60000"/>
            </w14:srgbClr>
          </w14:shadow>
        </w:rPr>
      </w:pPr>
      <w:r>
        <w:rPr>
          <w:rFonts w:hint="eastAsia" w:ascii="Times New Roman" w:eastAsia="黑体"/>
          <w:b/>
          <w:sz w:val="28"/>
          <w:szCs w:val="28"/>
        </w:rPr>
        <w:br w:type="column"/>
      </w:r>
      <w:r>
        <w:rPr>
          <w:rFonts w:eastAsia="黑体"/>
          <w:b/>
          <w:sz w:val="28"/>
          <w:szCs w:val="28"/>
          <w14:shadow w14:blurRad="50800" w14:dist="38100" w14:dir="2700000" w14:sx="100000" w14:sy="100000" w14:kx="0" w14:ky="0" w14:algn="tl">
            <w14:srgbClr w14:val="000000">
              <w14:alpha w14:val="60000"/>
            </w14:srgbClr>
          </w14:shadow>
        </w:rPr>
        <w:t>A.0.12</w:t>
      </w:r>
    </w:p>
    <w:p>
      <w:pPr>
        <w:spacing w:before="312" w:beforeLines="100" w:after="312" w:afterLines="100"/>
        <w:jc w:val="center"/>
        <w:rPr>
          <w:rFonts w:eastAsia="黑体"/>
          <w:sz w:val="44"/>
          <w14:shadow w14:blurRad="50800" w14:dist="38100" w14:dir="2700000" w14:sx="100000" w14:sy="100000" w14:kx="0" w14:ky="0" w14:algn="tl">
            <w14:srgbClr w14:val="000000">
              <w14:alpha w14:val="60000"/>
            </w14:srgbClr>
          </w14:shadow>
        </w:rPr>
      </w:pPr>
      <w:r>
        <w:rPr>
          <w:rFonts w:hint="eastAsia" w:eastAsia="黑体"/>
          <w:sz w:val="44"/>
          <w14:shadow w14:blurRad="50800" w14:dist="38100" w14:dir="2700000" w14:sx="100000" w14:sy="100000" w14:kx="0" w14:ky="0" w14:algn="tl">
            <w14:srgbClr w14:val="000000">
              <w14:alpha w14:val="60000"/>
            </w14:srgbClr>
          </w14:shadow>
        </w:rPr>
        <w:t>工程复工令</w:t>
      </w:r>
    </w:p>
    <w:p>
      <w:pPr>
        <w:spacing w:after="156" w:afterLines="50" w:line="420" w:lineRule="exact"/>
        <w:ind w:left="21" w:hanging="21" w:hangingChars="10"/>
        <w:rPr>
          <w:szCs w:val="21"/>
        </w:rPr>
      </w:pPr>
      <w:r>
        <w:rPr>
          <w:rFonts w:hint="eastAsia"/>
          <w:szCs w:val="21"/>
        </w:rPr>
        <w:t>工程名称：</w:t>
      </w:r>
      <w:r>
        <w:rPr>
          <w:szCs w:val="21"/>
          <w:u w:val="single"/>
        </w:rPr>
        <w:t xml:space="preserve">                    </w:t>
      </w:r>
      <w:r>
        <w:rPr>
          <w:rFonts w:hint="eastAsia"/>
          <w:szCs w:val="21"/>
        </w:rPr>
        <w:t>　　　　　　　　</w:t>
      </w:r>
      <w:r>
        <w:rPr>
          <w:szCs w:val="21"/>
        </w:rPr>
        <w:t xml:space="preserve"> </w:t>
      </w:r>
      <w:r>
        <w:rPr>
          <w:rFonts w:hint="eastAsia"/>
          <w:szCs w:val="21"/>
        </w:rPr>
        <w:t>　　　</w:t>
      </w:r>
      <w:r>
        <w:rPr>
          <w:szCs w:val="21"/>
        </w:rPr>
        <w:t xml:space="preserve">       </w:t>
      </w:r>
      <w:r>
        <w:rPr>
          <w:rFonts w:hint="eastAsia"/>
          <w:szCs w:val="21"/>
        </w:rPr>
        <w:t>编号：</w:t>
      </w:r>
      <w:r>
        <w:rPr>
          <w:szCs w:val="21"/>
        </w:rPr>
        <w:t>A.0.12</w:t>
      </w:r>
      <w:r>
        <w:rPr>
          <w:rFonts w:hint="eastAsia"/>
          <w:szCs w:val="21"/>
        </w:rPr>
        <w:t>—</w:t>
      </w:r>
      <w:r>
        <w:rPr>
          <w:rFonts w:hint="eastAsia"/>
          <w:szCs w:val="21"/>
          <w:u w:val="single"/>
        </w:rPr>
        <w:t>　　</w:t>
      </w:r>
      <w:r>
        <w:rPr>
          <w:szCs w:val="21"/>
          <w:u w:val="single"/>
        </w:rPr>
        <w:t xml:space="preserve"> </w:t>
      </w:r>
      <w:r>
        <w:rPr>
          <w:rFonts w:hint="eastAsia"/>
          <w:szCs w:val="21"/>
          <w:u w:val="single"/>
        </w:rPr>
        <w:t>　　</w:t>
      </w:r>
    </w:p>
    <w:tbl>
      <w:tblPr>
        <w:tblStyle w:val="1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3119"/>
        <w:gridCol w:w="1518"/>
        <w:gridCol w:w="21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1951" w:type="dxa"/>
            <w:tcBorders>
              <w:top w:val="single" w:color="auto" w:sz="8" w:space="0"/>
              <w:left w:val="single" w:color="auto" w:sz="8" w:space="0"/>
              <w:bottom w:val="single" w:color="auto" w:sz="4" w:space="0"/>
              <w:right w:val="single" w:color="auto" w:sz="4" w:space="0"/>
            </w:tcBorders>
            <w:noWrap w:val="0"/>
            <w:vAlign w:val="center"/>
          </w:tcPr>
          <w:p>
            <w:pPr>
              <w:spacing w:line="320" w:lineRule="exact"/>
              <w:ind w:left="-105" w:leftChars="-50" w:right="-105" w:rightChars="-50"/>
              <w:jc w:val="center"/>
              <w:rPr>
                <w:szCs w:val="21"/>
              </w:rPr>
            </w:pPr>
            <w:r>
              <w:rPr>
                <w:rFonts w:hint="eastAsia"/>
                <w:szCs w:val="21"/>
              </w:rPr>
              <w:t>施工项目经理部</w:t>
            </w:r>
          </w:p>
          <w:p>
            <w:pPr>
              <w:spacing w:line="320" w:lineRule="exact"/>
              <w:ind w:left="-105" w:leftChars="-50" w:right="-105" w:rightChars="-50"/>
              <w:jc w:val="center"/>
              <w:rPr>
                <w:szCs w:val="21"/>
              </w:rPr>
            </w:pPr>
            <w:r>
              <w:rPr>
                <w:rFonts w:hint="eastAsia"/>
                <w:szCs w:val="21"/>
              </w:rPr>
              <w:t>签收人姓名及时间</w:t>
            </w:r>
          </w:p>
        </w:tc>
        <w:tc>
          <w:tcPr>
            <w:tcW w:w="3119" w:type="dxa"/>
            <w:tcBorders>
              <w:top w:val="single" w:color="auto" w:sz="8" w:space="0"/>
              <w:left w:val="single" w:color="auto" w:sz="4" w:space="0"/>
              <w:bottom w:val="single" w:color="auto" w:sz="4" w:space="0"/>
              <w:right w:val="single" w:color="auto" w:sz="4" w:space="0"/>
            </w:tcBorders>
            <w:noWrap w:val="0"/>
            <w:vAlign w:val="center"/>
          </w:tcPr>
          <w:p>
            <w:pPr>
              <w:spacing w:line="320" w:lineRule="exact"/>
              <w:ind w:left="-105" w:leftChars="-50" w:right="-105" w:rightChars="-50"/>
              <w:rPr>
                <w:szCs w:val="21"/>
              </w:rPr>
            </w:pPr>
          </w:p>
        </w:tc>
        <w:tc>
          <w:tcPr>
            <w:tcW w:w="1518" w:type="dxa"/>
            <w:tcBorders>
              <w:top w:val="single" w:color="auto" w:sz="8" w:space="0"/>
              <w:left w:val="single" w:color="auto" w:sz="4" w:space="0"/>
              <w:bottom w:val="single" w:color="auto" w:sz="4" w:space="0"/>
              <w:right w:val="single" w:color="auto" w:sz="4" w:space="0"/>
            </w:tcBorders>
            <w:noWrap w:val="0"/>
            <w:vAlign w:val="center"/>
          </w:tcPr>
          <w:p>
            <w:pPr>
              <w:spacing w:line="320" w:lineRule="exact"/>
              <w:ind w:left="-105" w:leftChars="-50" w:right="-105" w:rightChars="-50"/>
              <w:jc w:val="center"/>
              <w:rPr>
                <w:szCs w:val="21"/>
              </w:rPr>
            </w:pPr>
            <w:r>
              <w:rPr>
                <w:rFonts w:hint="eastAsia"/>
                <w:szCs w:val="21"/>
              </w:rPr>
              <w:t>建设单位签收人</w:t>
            </w:r>
          </w:p>
          <w:p>
            <w:pPr>
              <w:spacing w:line="320" w:lineRule="exact"/>
              <w:ind w:left="-105" w:leftChars="-50" w:right="-105" w:rightChars="-50"/>
              <w:jc w:val="center"/>
              <w:rPr>
                <w:szCs w:val="21"/>
              </w:rPr>
            </w:pPr>
            <w:r>
              <w:rPr>
                <w:rFonts w:hint="eastAsia"/>
                <w:szCs w:val="21"/>
              </w:rPr>
              <w:t>姓名及时间</w:t>
            </w:r>
          </w:p>
        </w:tc>
        <w:tc>
          <w:tcPr>
            <w:tcW w:w="2132" w:type="dxa"/>
            <w:tcBorders>
              <w:top w:val="single" w:color="auto" w:sz="8" w:space="0"/>
              <w:left w:val="single" w:color="auto" w:sz="4" w:space="0"/>
              <w:bottom w:val="single" w:color="auto" w:sz="4" w:space="0"/>
              <w:right w:val="single" w:color="auto" w:sz="8" w:space="0"/>
            </w:tcBorders>
            <w:noWrap w:val="0"/>
            <w:vAlign w:val="center"/>
          </w:tcPr>
          <w:p>
            <w:pPr>
              <w:spacing w:line="320" w:lineRule="exact"/>
              <w:ind w:left="-105" w:leftChars="-50" w:right="-105" w:rightChars="-5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437" w:hRule="atLeast"/>
        </w:trPr>
        <w:tc>
          <w:tcPr>
            <w:tcW w:w="8720" w:type="dxa"/>
            <w:gridSpan w:val="4"/>
            <w:tcBorders>
              <w:top w:val="single" w:color="auto" w:sz="4" w:space="0"/>
              <w:left w:val="single" w:color="auto" w:sz="8" w:space="0"/>
              <w:bottom w:val="single" w:color="auto" w:sz="4" w:space="0"/>
              <w:right w:val="single" w:color="auto" w:sz="8" w:space="0"/>
            </w:tcBorders>
            <w:noWrap w:val="0"/>
            <w:vAlign w:val="top"/>
          </w:tcPr>
          <w:p>
            <w:pPr>
              <w:spacing w:before="156" w:beforeLines="50" w:after="156" w:afterLines="50" w:line="420" w:lineRule="exact"/>
              <w:rPr>
                <w:rFonts w:ascii="Times New Roman"/>
                <w:szCs w:val="21"/>
                <w:u w:val="single"/>
              </w:rPr>
            </w:pPr>
            <w:r>
              <w:rPr>
                <w:rFonts w:hint="eastAsia" w:ascii="Times New Roman"/>
                <w:szCs w:val="21"/>
              </w:rPr>
              <w:t>致：</w:t>
            </w:r>
            <w:r>
              <w:rPr>
                <w:rFonts w:hint="eastAsia" w:ascii="Times New Roman"/>
                <w:szCs w:val="21"/>
                <w:u w:val="single"/>
              </w:rPr>
              <w:t>　　　　　　   　</w:t>
            </w:r>
            <w:r>
              <w:rPr>
                <w:rFonts w:hint="eastAsia"/>
                <w:szCs w:val="21"/>
              </w:rPr>
              <w:t>（施工项目经理部）</w:t>
            </w:r>
          </w:p>
          <w:p>
            <w:pPr>
              <w:spacing w:line="420" w:lineRule="exact"/>
              <w:ind w:firstLine="420" w:firstLineChars="200"/>
              <w:rPr>
                <w:rFonts w:hint="eastAsia"/>
                <w:szCs w:val="21"/>
              </w:rPr>
            </w:pPr>
            <w:r>
              <w:rPr>
                <w:rFonts w:hint="eastAsia"/>
                <w:szCs w:val="21"/>
              </w:rPr>
              <w:t>我方发出的编号为</w:t>
            </w:r>
            <w:r>
              <w:rPr>
                <w:rFonts w:hint="eastAsia" w:ascii="Times New Roman"/>
                <w:szCs w:val="21"/>
                <w:u w:val="single"/>
              </w:rPr>
              <w:t>　　     　</w:t>
            </w:r>
            <w:r>
              <w:rPr>
                <w:rFonts w:hint="eastAsia" w:ascii="Times New Roman" w:hAnsi="Times New Roman"/>
                <w:szCs w:val="21"/>
              </w:rPr>
              <w:t>《工程暂停令》，要求暂停施工的</w:t>
            </w:r>
            <w:r>
              <w:rPr>
                <w:rFonts w:hint="eastAsia" w:ascii="Times New Roman"/>
                <w:szCs w:val="21"/>
                <w:u w:val="single"/>
              </w:rPr>
              <w:t xml:space="preserve">               　</w:t>
            </w:r>
            <w:r>
              <w:rPr>
                <w:rFonts w:hint="eastAsia" w:ascii="Times New Roman" w:hAnsi="Times New Roman"/>
                <w:szCs w:val="21"/>
              </w:rPr>
              <w:t>部位（工序），</w:t>
            </w:r>
            <w:r>
              <w:rPr>
                <w:rFonts w:hint="eastAsia"/>
                <w:szCs w:val="21"/>
              </w:rPr>
              <w:t>现已具备复工条件。经建设单位同意，通知你方于</w:t>
            </w:r>
            <w:r>
              <w:rPr>
                <w:rFonts w:hint="eastAsia" w:ascii="Times New Roman"/>
                <w:szCs w:val="21"/>
                <w:u w:val="single"/>
              </w:rPr>
              <w:t>　　   　</w:t>
            </w:r>
            <w:r>
              <w:rPr>
                <w:rFonts w:hint="eastAsia"/>
                <w:szCs w:val="21"/>
              </w:rPr>
              <w:t>年</w:t>
            </w:r>
            <w:r>
              <w:rPr>
                <w:rFonts w:hint="eastAsia" w:ascii="Times New Roman"/>
                <w:szCs w:val="21"/>
                <w:u w:val="single"/>
              </w:rPr>
              <w:t>　 　</w:t>
            </w:r>
            <w:r>
              <w:rPr>
                <w:rFonts w:hint="eastAsia"/>
                <w:szCs w:val="21"/>
              </w:rPr>
              <w:t>月</w:t>
            </w:r>
            <w:r>
              <w:rPr>
                <w:rFonts w:hint="eastAsia" w:ascii="Times New Roman"/>
                <w:szCs w:val="21"/>
                <w:u w:val="single"/>
              </w:rPr>
              <w:t>　　</w:t>
            </w:r>
            <w:r>
              <w:rPr>
                <w:rFonts w:hint="eastAsia"/>
                <w:szCs w:val="21"/>
              </w:rPr>
              <w:t>日</w:t>
            </w:r>
            <w:r>
              <w:rPr>
                <w:rFonts w:hint="eastAsia" w:ascii="Times New Roman"/>
                <w:szCs w:val="21"/>
                <w:u w:val="single"/>
              </w:rPr>
              <w:t>　　  　</w:t>
            </w:r>
            <w:r>
              <w:rPr>
                <w:rFonts w:hint="eastAsia"/>
                <w:szCs w:val="21"/>
              </w:rPr>
              <w:t>时起恢复施工。</w:t>
            </w:r>
          </w:p>
          <w:p>
            <w:pPr>
              <w:spacing w:line="420" w:lineRule="exact"/>
              <w:rPr>
                <w:szCs w:val="21"/>
              </w:rPr>
            </w:pPr>
          </w:p>
          <w:p>
            <w:pPr>
              <w:spacing w:line="420" w:lineRule="exact"/>
              <w:ind w:firstLine="420" w:firstLineChars="200"/>
              <w:rPr>
                <w:szCs w:val="21"/>
              </w:rPr>
            </w:pPr>
            <w:r>
              <w:rPr>
                <w:rFonts w:hint="eastAsia"/>
                <w:szCs w:val="21"/>
              </w:rPr>
              <w:t>附件：</w:t>
            </w:r>
          </w:p>
          <w:p>
            <w:pPr>
              <w:spacing w:line="420" w:lineRule="exact"/>
              <w:ind w:firstLine="420" w:firstLineChars="200"/>
              <w:rPr>
                <w:szCs w:val="21"/>
              </w:rPr>
            </w:pPr>
            <w:r>
              <w:rPr>
                <w:rFonts w:hint="eastAsia" w:ascii="Times New Roman" w:hAnsi="Times New Roman"/>
                <w:szCs w:val="21"/>
              </w:rPr>
              <w:t>□</w:t>
            </w:r>
            <w:r>
              <w:rPr>
                <w:szCs w:val="21"/>
              </w:rPr>
              <w:t xml:space="preserve"> </w:t>
            </w:r>
            <w:r>
              <w:rPr>
                <w:rFonts w:hint="eastAsia"/>
                <w:szCs w:val="21"/>
              </w:rPr>
              <w:t>工程复工报审表</w:t>
            </w:r>
          </w:p>
          <w:p>
            <w:pPr>
              <w:spacing w:line="420" w:lineRule="exact"/>
              <w:ind w:firstLine="420" w:firstLineChars="200"/>
              <w:rPr>
                <w:szCs w:val="21"/>
              </w:rPr>
            </w:pPr>
            <w:r>
              <w:rPr>
                <w:rFonts w:hint="eastAsia" w:ascii="Times New Roman" w:hAnsi="Times New Roman"/>
                <w:szCs w:val="21"/>
              </w:rPr>
              <w:t>□ 建设单位工程联系单</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tabs>
                <w:tab w:val="left" w:pos="4020"/>
                <w:tab w:val="left" w:pos="7850"/>
              </w:tabs>
              <w:spacing w:line="420" w:lineRule="exact"/>
              <w:rPr>
                <w:szCs w:val="21"/>
              </w:rPr>
            </w:pPr>
            <w:r>
              <w:rPr>
                <w:szCs w:val="21"/>
              </w:rPr>
              <w:t xml:space="preserve">                                </w:t>
            </w:r>
            <w:r>
              <w:rPr>
                <w:rFonts w:hint="eastAsia"/>
                <w:szCs w:val="21"/>
              </w:rPr>
              <w:t>项目监理机构</w:t>
            </w:r>
            <w:r>
              <w:rPr>
                <w:szCs w:val="21"/>
              </w:rPr>
              <w:t>(</w:t>
            </w:r>
            <w:r>
              <w:rPr>
                <w:rFonts w:hint="eastAsia"/>
                <w:szCs w:val="21"/>
              </w:rPr>
              <w:t>章</w:t>
            </w:r>
            <w:r>
              <w:rPr>
                <w:szCs w:val="21"/>
              </w:rPr>
              <w:t>)</w:t>
            </w:r>
            <w:r>
              <w:rPr>
                <w:rFonts w:hint="eastAsia"/>
                <w:szCs w:val="21"/>
              </w:rPr>
              <w:t>：</w:t>
            </w:r>
            <w:r>
              <w:rPr>
                <w:szCs w:val="21"/>
                <w:u w:val="single"/>
              </w:rPr>
              <w:t xml:space="preserve">                          </w:t>
            </w:r>
          </w:p>
          <w:p>
            <w:pPr>
              <w:spacing w:before="312" w:beforeLines="100" w:line="420" w:lineRule="exact"/>
              <w:ind w:firstLine="420" w:firstLineChars="200"/>
              <w:rPr>
                <w:szCs w:val="21"/>
                <w:u w:val="single"/>
              </w:rPr>
            </w:pPr>
            <w:r>
              <w:rPr>
                <w:szCs w:val="21"/>
              </w:rPr>
              <w:t xml:space="preserve">                           </w:t>
            </w:r>
            <w:r>
              <w:rPr>
                <w:rFonts w:hint="eastAsia"/>
                <w:szCs w:val="21"/>
              </w:rPr>
              <w:t>总监理工程师（签字、执业印章）：</w:t>
            </w:r>
            <w:r>
              <w:rPr>
                <w:rFonts w:hint="eastAsia"/>
                <w:szCs w:val="21"/>
                <w:u w:val="single"/>
              </w:rPr>
              <w:t>　　</w:t>
            </w:r>
            <w:r>
              <w:rPr>
                <w:szCs w:val="21"/>
                <w:u w:val="single"/>
              </w:rPr>
              <w:t> </w:t>
            </w:r>
            <w:r>
              <w:rPr>
                <w:rFonts w:hint="eastAsia"/>
                <w:szCs w:val="21"/>
                <w:u w:val="single"/>
              </w:rPr>
              <w:t>　　　　</w:t>
            </w:r>
          </w:p>
          <w:p>
            <w:pPr>
              <w:spacing w:before="156" w:beforeLines="50" w:line="420" w:lineRule="exact"/>
              <w:ind w:firstLine="735" w:firstLineChars="350"/>
              <w:rPr>
                <w:szCs w:val="21"/>
              </w:rPr>
            </w:pPr>
            <w:r>
              <w:rPr>
                <w:szCs w:val="21"/>
              </w:rPr>
              <w:t xml:space="preserve">                                            </w:t>
            </w:r>
            <w:r>
              <w:rPr>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p>
            <w:pPr>
              <w:spacing w:before="120"/>
              <w:ind w:firstLine="735" w:firstLineChars="350"/>
              <w:rPr>
                <w:szCs w:val="21"/>
                <w:u w:val="single"/>
              </w:rPr>
            </w:pPr>
            <w:r>
              <w:rPr>
                <w:rFonts w:hint="eastAsia"/>
                <w:szCs w:val="21"/>
              </w:rPr>
              <w:t>　　　　　　　　　　　</w:t>
            </w:r>
            <w:r>
              <w:rPr>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720" w:type="dxa"/>
            <w:gridSpan w:val="4"/>
            <w:tcBorders>
              <w:top w:val="single" w:color="auto" w:sz="4" w:space="0"/>
              <w:left w:val="single" w:color="auto" w:sz="8" w:space="0"/>
              <w:bottom w:val="single" w:color="auto" w:sz="8" w:space="0"/>
              <w:right w:val="single" w:color="auto" w:sz="8" w:space="0"/>
            </w:tcBorders>
            <w:noWrap w:val="0"/>
            <w:vAlign w:val="center"/>
          </w:tcPr>
          <w:p>
            <w:pPr>
              <w:rPr>
                <w:szCs w:val="21"/>
              </w:rPr>
            </w:pPr>
            <w:r>
              <w:rPr>
                <w:rFonts w:hint="eastAsia"/>
                <w:szCs w:val="21"/>
              </w:rPr>
              <w:t>注：本表一式三份，项目监理机构、建设单位、施工单位各一份。</w:t>
            </w:r>
          </w:p>
        </w:tc>
      </w:tr>
    </w:tbl>
    <w:p>
      <w:pPr>
        <w:rPr>
          <w:rFonts w:ascii="Times New Roman" w:eastAsia="隶书"/>
        </w:rPr>
      </w:pPr>
      <w:r>
        <w:rPr>
          <w:rFonts w:hint="eastAsia" w:ascii="Times New Roman" w:eastAsia="隶书"/>
        </w:rPr>
        <w:t>第六版表                                              江苏省住房和城乡建设厅监制</w:t>
      </w:r>
    </w:p>
    <w:p>
      <w:pPr>
        <w:jc w:val="right"/>
        <w:rPr>
          <w:rFonts w:hint="eastAsia" w:eastAsia="黑体"/>
          <w:b/>
          <w:sz w:val="28"/>
          <w:szCs w:val="28"/>
          <w14:shadow w14:blurRad="50800" w14:dist="38100" w14:dir="2700000" w14:sx="100000" w14:sy="100000" w14:kx="0" w14:ky="0" w14:algn="tl">
            <w14:srgbClr w14:val="000000">
              <w14:alpha w14:val="60000"/>
            </w14:srgbClr>
          </w14:shadow>
        </w:rPr>
      </w:pPr>
      <w:r>
        <w:rPr>
          <w:szCs w:val="21"/>
        </w:rPr>
        <w:br w:type="column"/>
      </w:r>
      <w:r>
        <w:rPr>
          <w:rFonts w:eastAsia="黑体"/>
          <w:b/>
          <w:sz w:val="28"/>
          <w:szCs w:val="28"/>
          <w14:shadow w14:blurRad="50800" w14:dist="38100" w14:dir="2700000" w14:sx="100000" w14:sy="100000" w14:kx="0" w14:ky="0" w14:algn="tl">
            <w14:srgbClr w14:val="000000">
              <w14:alpha w14:val="60000"/>
            </w14:srgbClr>
          </w14:shadow>
        </w:rPr>
        <w:t>A.0.13</w:t>
      </w:r>
    </w:p>
    <w:p>
      <w:pPr>
        <w:spacing w:before="312" w:beforeLines="100" w:after="312" w:afterLines="100"/>
        <w:jc w:val="center"/>
        <w:rPr>
          <w:rFonts w:eastAsia="黑体"/>
          <w:sz w:val="44"/>
          <w14:shadow w14:blurRad="50800" w14:dist="38100" w14:dir="2700000" w14:sx="100000" w14:sy="100000" w14:kx="0" w14:ky="0" w14:algn="tl">
            <w14:srgbClr w14:val="000000">
              <w14:alpha w14:val="60000"/>
            </w14:srgbClr>
          </w14:shadow>
        </w:rPr>
      </w:pPr>
      <w:r>
        <w:rPr>
          <w:rFonts w:hint="eastAsia" w:eastAsia="黑体"/>
          <w:sz w:val="44"/>
          <w14:shadow w14:blurRad="50800" w14:dist="38100" w14:dir="2700000" w14:sx="100000" w14:sy="100000" w14:kx="0" w14:ky="0" w14:algn="tl">
            <w14:srgbClr w14:val="000000">
              <w14:alpha w14:val="60000"/>
            </w14:srgbClr>
          </w14:shadow>
        </w:rPr>
        <w:t>监理备忘录</w:t>
      </w:r>
    </w:p>
    <w:p>
      <w:pPr>
        <w:spacing w:after="156" w:afterLines="50" w:line="420" w:lineRule="exact"/>
        <w:ind w:left="21" w:hanging="21" w:hangingChars="10"/>
        <w:rPr>
          <w:szCs w:val="21"/>
        </w:rPr>
      </w:pPr>
      <w:r>
        <w:rPr>
          <w:rFonts w:hint="eastAsia"/>
          <w:szCs w:val="21"/>
        </w:rPr>
        <w:t>工程名称：</w:t>
      </w:r>
      <w:r>
        <w:rPr>
          <w:szCs w:val="21"/>
          <w:u w:val="single"/>
        </w:rPr>
        <w:t xml:space="preserve">                        </w:t>
      </w:r>
      <w:r>
        <w:rPr>
          <w:szCs w:val="21"/>
        </w:rPr>
        <w:t xml:space="preserve">      </w:t>
      </w:r>
      <w:r>
        <w:rPr>
          <w:rFonts w:hint="eastAsia"/>
          <w:szCs w:val="21"/>
        </w:rPr>
        <w:t>　　　　</w:t>
      </w:r>
      <w:r>
        <w:rPr>
          <w:szCs w:val="21"/>
        </w:rPr>
        <w:t xml:space="preserve">      </w:t>
      </w:r>
      <w:r>
        <w:rPr>
          <w:rFonts w:hint="eastAsia"/>
          <w:szCs w:val="21"/>
        </w:rPr>
        <w:t>　编号：</w:t>
      </w:r>
      <w:r>
        <w:rPr>
          <w:szCs w:val="21"/>
        </w:rPr>
        <w:t>A.0.13</w:t>
      </w:r>
      <w:r>
        <w:rPr>
          <w:szCs w:val="21"/>
          <w:u w:val="single"/>
        </w:rPr>
        <w:t xml:space="preserve">   </w:t>
      </w:r>
      <w:r>
        <w:rPr>
          <w:rFonts w:hint="eastAsia"/>
          <w:szCs w:val="21"/>
        </w:rPr>
        <w:t>—</w:t>
      </w:r>
      <w:r>
        <w:rPr>
          <w:rFonts w:hint="eastAsia"/>
          <w:szCs w:val="21"/>
          <w:u w:val="single"/>
        </w:rPr>
        <w:t>　　　　</w:t>
      </w:r>
    </w:p>
    <w:tbl>
      <w:tblPr>
        <w:tblStyle w:val="1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8"/>
        <w:gridCol w:w="4500"/>
        <w:gridCol w:w="1260"/>
        <w:gridCol w:w="20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828" w:type="dxa"/>
            <w:tcBorders>
              <w:top w:val="single" w:color="auto" w:sz="8" w:space="0"/>
              <w:left w:val="single" w:color="auto" w:sz="8" w:space="0"/>
              <w:bottom w:val="single" w:color="auto" w:sz="4" w:space="0"/>
              <w:right w:val="single" w:color="auto" w:sz="4" w:space="0"/>
            </w:tcBorders>
            <w:noWrap w:val="0"/>
            <w:vAlign w:val="center"/>
          </w:tcPr>
          <w:p>
            <w:pPr>
              <w:rPr>
                <w:szCs w:val="21"/>
              </w:rPr>
            </w:pPr>
            <w:r>
              <w:rPr>
                <w:rFonts w:hint="eastAsia"/>
                <w:szCs w:val="21"/>
              </w:rPr>
              <w:t>事由</w:t>
            </w:r>
          </w:p>
        </w:tc>
        <w:tc>
          <w:tcPr>
            <w:tcW w:w="4500" w:type="dxa"/>
            <w:tcBorders>
              <w:top w:val="single" w:color="auto" w:sz="8" w:space="0"/>
              <w:left w:val="single" w:color="auto" w:sz="4" w:space="0"/>
              <w:bottom w:val="single" w:color="auto" w:sz="4" w:space="0"/>
              <w:right w:val="single" w:color="auto" w:sz="4" w:space="0"/>
            </w:tcBorders>
            <w:noWrap w:val="0"/>
            <w:vAlign w:val="center"/>
          </w:tcPr>
          <w:p>
            <w:pPr>
              <w:rPr>
                <w:szCs w:val="21"/>
              </w:rPr>
            </w:pPr>
          </w:p>
        </w:tc>
        <w:tc>
          <w:tcPr>
            <w:tcW w:w="1260" w:type="dxa"/>
            <w:tcBorders>
              <w:top w:val="single" w:color="auto" w:sz="8" w:space="0"/>
              <w:left w:val="single" w:color="auto" w:sz="4" w:space="0"/>
              <w:bottom w:val="single" w:color="auto" w:sz="4" w:space="0"/>
              <w:right w:val="single" w:color="auto" w:sz="4" w:space="0"/>
            </w:tcBorders>
            <w:noWrap w:val="0"/>
            <w:vAlign w:val="center"/>
          </w:tcPr>
          <w:p>
            <w:pPr>
              <w:ind w:left="-105" w:leftChars="-50" w:right="-105" w:rightChars="-50"/>
              <w:jc w:val="center"/>
              <w:rPr>
                <w:szCs w:val="21"/>
              </w:rPr>
            </w:pPr>
            <w:r>
              <w:rPr>
                <w:rFonts w:hint="eastAsia"/>
                <w:szCs w:val="21"/>
              </w:rPr>
              <w:t>签收人</w:t>
            </w:r>
          </w:p>
          <w:p>
            <w:pPr>
              <w:ind w:left="-105" w:leftChars="-50" w:right="-105" w:rightChars="-50"/>
              <w:jc w:val="center"/>
              <w:rPr>
                <w:szCs w:val="21"/>
              </w:rPr>
            </w:pPr>
            <w:r>
              <w:rPr>
                <w:rFonts w:hint="eastAsia"/>
                <w:szCs w:val="21"/>
              </w:rPr>
              <w:t>姓名及时间</w:t>
            </w:r>
          </w:p>
        </w:tc>
        <w:tc>
          <w:tcPr>
            <w:tcW w:w="2028" w:type="dxa"/>
            <w:tcBorders>
              <w:top w:val="single" w:color="auto" w:sz="8" w:space="0"/>
              <w:left w:val="single" w:color="auto" w:sz="4" w:space="0"/>
              <w:bottom w:val="single" w:color="auto" w:sz="4" w:space="0"/>
              <w:right w:val="single" w:color="auto" w:sz="8" w:space="0"/>
            </w:tcBorders>
            <w:noWrap w:val="0"/>
            <w:vAlign w:val="center"/>
          </w:tcPr>
          <w:p>
            <w:pP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616" w:type="dxa"/>
            <w:gridSpan w:val="4"/>
            <w:tcBorders>
              <w:top w:val="single" w:color="auto" w:sz="4" w:space="0"/>
              <w:left w:val="single" w:color="auto" w:sz="8" w:space="0"/>
              <w:bottom w:val="single" w:color="auto" w:sz="4" w:space="0"/>
              <w:right w:val="single" w:color="auto" w:sz="8" w:space="0"/>
            </w:tcBorders>
            <w:noWrap w:val="0"/>
            <w:vAlign w:val="top"/>
          </w:tcPr>
          <w:p>
            <w:pPr>
              <w:spacing w:before="156" w:beforeLines="50" w:line="420" w:lineRule="exact"/>
              <w:rPr>
                <w:rFonts w:ascii="Times New Roman"/>
                <w:szCs w:val="21"/>
                <w:u w:val="single"/>
              </w:rPr>
            </w:pPr>
            <w:r>
              <w:rPr>
                <w:rFonts w:hint="eastAsia" w:ascii="Times New Roman"/>
                <w:szCs w:val="21"/>
              </w:rPr>
              <w:t>致：</w:t>
            </w:r>
            <w:r>
              <w:rPr>
                <w:rFonts w:hint="eastAsia" w:ascii="Times New Roman"/>
                <w:szCs w:val="21"/>
                <w:u w:val="single"/>
              </w:rPr>
              <w:t>　　　　　   　　</w:t>
            </w: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szCs w:val="21"/>
              </w:rPr>
            </w:pPr>
          </w:p>
          <w:p>
            <w:pPr>
              <w:rPr>
                <w:szCs w:val="21"/>
              </w:rPr>
            </w:pPr>
          </w:p>
          <w:p>
            <w:pPr>
              <w:spacing w:line="420" w:lineRule="exact"/>
              <w:ind w:firstLine="2849" w:firstLineChars="1357"/>
              <w:rPr>
                <w:bCs/>
                <w:szCs w:val="21"/>
                <w:u w:val="single"/>
              </w:rPr>
            </w:pPr>
            <w:r>
              <w:rPr>
                <w:szCs w:val="21"/>
              </w:rPr>
              <w:t> </w:t>
            </w:r>
            <w:r>
              <w:rPr>
                <w:rFonts w:hint="eastAsia"/>
                <w:bCs/>
                <w:szCs w:val="21"/>
              </w:rPr>
              <w:t>项目监理机构</w:t>
            </w:r>
            <w:r>
              <w:rPr>
                <w:bCs/>
                <w:szCs w:val="21"/>
              </w:rPr>
              <w:t>(</w:t>
            </w:r>
            <w:r>
              <w:rPr>
                <w:rFonts w:hint="eastAsia"/>
                <w:bCs/>
                <w:szCs w:val="21"/>
              </w:rPr>
              <w:t>章</w:t>
            </w:r>
            <w:r>
              <w:rPr>
                <w:bCs/>
                <w:szCs w:val="21"/>
              </w:rPr>
              <w:t xml:space="preserve">): </w:t>
            </w:r>
            <w:r>
              <w:rPr>
                <w:bCs/>
                <w:szCs w:val="21"/>
                <w:u w:val="single"/>
              </w:rPr>
              <w:t xml:space="preserve">                               </w:t>
            </w:r>
          </w:p>
          <w:p>
            <w:pPr>
              <w:spacing w:before="312" w:beforeLines="100" w:line="420" w:lineRule="exact"/>
              <w:rPr>
                <w:szCs w:val="21"/>
                <w:u w:val="single"/>
              </w:rPr>
            </w:pPr>
            <w:r>
              <w:rPr>
                <w:szCs w:val="21"/>
              </w:rPr>
              <w:t xml:space="preserve">                           </w:t>
            </w:r>
            <w:r>
              <w:rPr>
                <w:rFonts w:hint="eastAsia"/>
                <w:szCs w:val="21"/>
              </w:rPr>
              <w:t>总监理工程师</w:t>
            </w:r>
            <w:r>
              <w:rPr>
                <w:szCs w:val="21"/>
              </w:rPr>
              <w:t>/</w:t>
            </w:r>
            <w:r>
              <w:rPr>
                <w:rFonts w:hint="eastAsia"/>
                <w:szCs w:val="21"/>
              </w:rPr>
              <w:t>总监理工程师代表（签字）：</w:t>
            </w:r>
            <w:r>
              <w:rPr>
                <w:rFonts w:hint="eastAsia"/>
                <w:szCs w:val="21"/>
                <w:u w:val="single"/>
              </w:rPr>
              <w:t>　　　　　</w:t>
            </w:r>
            <w:r>
              <w:rPr>
                <w:szCs w:val="21"/>
                <w:u w:val="single"/>
              </w:rPr>
              <w:t xml:space="preserve"> </w:t>
            </w:r>
          </w:p>
          <w:p>
            <w:pPr>
              <w:spacing w:before="156" w:beforeLines="50" w:line="420" w:lineRule="exact"/>
              <w:rPr>
                <w:szCs w:val="21"/>
              </w:rPr>
            </w:pPr>
            <w:r>
              <w:rPr>
                <w:szCs w:val="21"/>
              </w:rPr>
              <w:t xml:space="preserve">                                                    </w:t>
            </w:r>
            <w:r>
              <w:rPr>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p>
            <w:pPr>
              <w:spacing w:before="312" w:beforeLines="100"/>
              <w:ind w:firstLine="420" w:firstLineChars="200"/>
              <w:rPr>
                <w:szCs w:val="21"/>
                <w:u w:val="single"/>
              </w:rPr>
            </w:pPr>
            <w:r>
              <w:rPr>
                <w:rFonts w:hint="eastAsia"/>
                <w:szCs w:val="21"/>
              </w:rPr>
              <w:t>抄送：</w:t>
            </w:r>
            <w:r>
              <w:rPr>
                <w:szCs w:val="21"/>
                <w:u w:val="single"/>
              </w:rPr>
              <w:t xml:space="preserve">                </w:t>
            </w:r>
            <w:r>
              <w:rPr>
                <w:szCs w:val="21"/>
              </w:rPr>
              <w:t xml:space="preserve">          </w:t>
            </w:r>
            <w:r>
              <w:rPr>
                <w:rFonts w:hint="eastAsia"/>
                <w:szCs w:val="21"/>
              </w:rPr>
              <w:t>签收人姓名及时间：</w:t>
            </w:r>
            <w:r>
              <w:rPr>
                <w:szCs w:val="21"/>
                <w:u w:val="single"/>
              </w:rPr>
              <w:t xml:space="preserve">                      </w:t>
            </w:r>
          </w:p>
          <w:p>
            <w:pPr>
              <w:tabs>
                <w:tab w:val="left" w:pos="7950"/>
              </w:tabs>
              <w:spacing w:before="312" w:beforeLines="100"/>
              <w:ind w:firstLine="420" w:firstLineChars="200"/>
              <w:rPr>
                <w:szCs w:val="21"/>
                <w:u w:val="single"/>
              </w:rPr>
            </w:pPr>
            <w:r>
              <w:rPr>
                <w:rFonts w:hint="eastAsia"/>
                <w:szCs w:val="21"/>
              </w:rPr>
              <w:t>抄报：</w:t>
            </w:r>
            <w:r>
              <w:rPr>
                <w:szCs w:val="21"/>
                <w:u w:val="single"/>
              </w:rPr>
              <w:t xml:space="preserve">                 </w:t>
            </w:r>
            <w:r>
              <w:rPr>
                <w:szCs w:val="21"/>
              </w:rPr>
              <w:t xml:space="preserve">         </w:t>
            </w:r>
            <w:r>
              <w:rPr>
                <w:rFonts w:hint="eastAsia"/>
                <w:szCs w:val="21"/>
              </w:rPr>
              <w:t>签收人姓名及时间：</w:t>
            </w:r>
            <w:r>
              <w:rPr>
                <w:szCs w:val="21"/>
                <w:u w:val="single"/>
              </w:rPr>
              <w:t xml:space="preserve">                      </w:t>
            </w:r>
          </w:p>
          <w:p>
            <w:pPr>
              <w:tabs>
                <w:tab w:val="left" w:pos="7950"/>
              </w:tabs>
              <w:spacing w:before="312" w:beforeLines="100"/>
              <w:ind w:firstLine="420" w:firstLineChars="200"/>
              <w:rPr>
                <w:szCs w:val="21"/>
                <w:u w:val="singl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14" w:hRule="atLeast"/>
        </w:trPr>
        <w:tc>
          <w:tcPr>
            <w:tcW w:w="8616" w:type="dxa"/>
            <w:gridSpan w:val="4"/>
            <w:tcBorders>
              <w:top w:val="single" w:color="auto" w:sz="4" w:space="0"/>
              <w:left w:val="single" w:color="auto" w:sz="8" w:space="0"/>
              <w:bottom w:val="single" w:color="auto" w:sz="8" w:space="0"/>
              <w:right w:val="single" w:color="auto" w:sz="8" w:space="0"/>
            </w:tcBorders>
            <w:noWrap w:val="0"/>
            <w:vAlign w:val="center"/>
          </w:tcPr>
          <w:p>
            <w:pPr>
              <w:spacing w:line="320" w:lineRule="exact"/>
              <w:rPr>
                <w:szCs w:val="21"/>
              </w:rPr>
            </w:pPr>
            <w:r>
              <w:rPr>
                <w:rFonts w:hint="eastAsia" w:ascii="Times New Roman" w:hAnsi="Times New Roman"/>
                <w:szCs w:val="21"/>
              </w:rPr>
              <w:t>注：</w:t>
            </w:r>
            <w:r>
              <w:rPr>
                <w:rFonts w:hAnsi="Times New Roman"/>
                <w:szCs w:val="21"/>
              </w:rPr>
              <w:t>1</w:t>
            </w:r>
            <w:r>
              <w:rPr>
                <w:rFonts w:hint="eastAsia" w:hAnsi="Times New Roman"/>
                <w:szCs w:val="21"/>
              </w:rPr>
              <w:t>、本备忘录用于项目监理机构就有关重要建议未被建设单位采纳或监理通知单中的应执行事项施工单位未予执行的最终书面说明，可抄报有关上级主管部门。</w:t>
            </w:r>
          </w:p>
          <w:p>
            <w:pPr>
              <w:numPr>
                <w:ilvl w:val="0"/>
                <w:numId w:val="10"/>
              </w:numPr>
              <w:spacing w:line="320" w:lineRule="exact"/>
              <w:ind w:firstLine="315" w:firstLineChars="150"/>
              <w:rPr>
                <w:rFonts w:hAnsi="Times New Roman"/>
                <w:szCs w:val="21"/>
              </w:rPr>
            </w:pPr>
            <w:r>
              <w:rPr>
                <w:rFonts w:hint="eastAsia" w:hAnsi="Times New Roman"/>
                <w:szCs w:val="21"/>
              </w:rPr>
              <w:t>本备忘录分为建设单位备忘录（</w:t>
            </w:r>
            <w:r>
              <w:rPr>
                <w:szCs w:val="21"/>
              </w:rPr>
              <w:t>A.0.13</w:t>
            </w:r>
            <w:r>
              <w:rPr>
                <w:szCs w:val="21"/>
                <w:u w:val="single"/>
              </w:rPr>
              <w:t>1</w:t>
            </w:r>
            <w:r>
              <w:rPr>
                <w:rFonts w:hint="eastAsia" w:hAnsi="Times New Roman"/>
                <w:szCs w:val="21"/>
              </w:rPr>
              <w:t>）和施工单位备忘录（</w:t>
            </w:r>
            <w:r>
              <w:rPr>
                <w:szCs w:val="21"/>
              </w:rPr>
              <w:t>A.0.13</w:t>
            </w:r>
            <w:r>
              <w:rPr>
                <w:szCs w:val="21"/>
                <w:u w:val="single"/>
              </w:rPr>
              <w:t>2</w:t>
            </w:r>
            <w:r>
              <w:rPr>
                <w:rFonts w:hint="eastAsia" w:hAnsi="Times New Roman"/>
                <w:szCs w:val="21"/>
              </w:rPr>
              <w:t>）。</w:t>
            </w:r>
          </w:p>
        </w:tc>
      </w:tr>
    </w:tbl>
    <w:p>
      <w:pPr>
        <w:jc w:val="right"/>
        <w:rPr>
          <w:rFonts w:ascii="Times New Roman" w:eastAsia="隶书"/>
        </w:rPr>
      </w:pPr>
      <w:r>
        <w:rPr>
          <w:rFonts w:hint="eastAsia" w:ascii="Times New Roman" w:eastAsia="隶书"/>
        </w:rPr>
        <w:t>第六版表                                              江苏省住房和城乡建设厅监制</w:t>
      </w:r>
    </w:p>
    <w:p>
      <w:pPr>
        <w:spacing w:line="380" w:lineRule="exact"/>
        <w:jc w:val="right"/>
        <w:rPr>
          <w:rFonts w:hint="eastAsia" w:eastAsia="黑体"/>
          <w:b/>
          <w:sz w:val="28"/>
          <w:szCs w:val="28"/>
          <w14:shadow w14:blurRad="50800" w14:dist="38100" w14:dir="2700000" w14:sx="100000" w14:sy="100000" w14:kx="0" w14:ky="0" w14:algn="tl">
            <w14:srgbClr w14:val="000000">
              <w14:alpha w14:val="60000"/>
            </w14:srgbClr>
          </w14:shadow>
        </w:rPr>
      </w:pPr>
      <w:r>
        <w:rPr>
          <w:rFonts w:eastAsia="黑体"/>
          <w:b/>
          <w:sz w:val="28"/>
          <w:szCs w:val="28"/>
          <w14:shadow w14:blurRad="50800" w14:dist="38100" w14:dir="2700000" w14:sx="100000" w14:sy="100000" w14:kx="0" w14:ky="0" w14:algn="tl">
            <w14:srgbClr w14:val="000000">
              <w14:alpha w14:val="60000"/>
            </w14:srgbClr>
          </w14:shadow>
        </w:rPr>
        <w:br w:type="column"/>
      </w:r>
      <w:r>
        <w:rPr>
          <w:rFonts w:eastAsia="黑体"/>
          <w:b/>
          <w:sz w:val="28"/>
          <w:szCs w:val="28"/>
          <w14:shadow w14:blurRad="50800" w14:dist="38100" w14:dir="2700000" w14:sx="100000" w14:sy="100000" w14:kx="0" w14:ky="0" w14:algn="tl">
            <w14:srgbClr w14:val="000000">
              <w14:alpha w14:val="60000"/>
            </w14:srgbClr>
          </w14:shadow>
        </w:rPr>
        <w:t>A.0.14</w:t>
      </w:r>
    </w:p>
    <w:p>
      <w:pPr>
        <w:spacing w:before="312" w:beforeLines="100" w:after="312" w:afterLines="100"/>
        <w:jc w:val="center"/>
        <w:rPr>
          <w:rFonts w:eastAsia="黑体"/>
          <w:sz w:val="44"/>
          <w14:shadow w14:blurRad="50800" w14:dist="38100" w14:dir="2700000" w14:sx="100000" w14:sy="100000" w14:kx="0" w14:ky="0" w14:algn="tl">
            <w14:srgbClr w14:val="000000">
              <w14:alpha w14:val="60000"/>
            </w14:srgbClr>
          </w14:shadow>
        </w:rPr>
      </w:pPr>
      <w:r>
        <w:rPr>
          <w:rFonts w:hint="eastAsia" w:eastAsia="黑体"/>
          <w:sz w:val="44"/>
          <w14:shadow w14:blurRad="50800" w14:dist="38100" w14:dir="2700000" w14:sx="100000" w14:sy="100000" w14:kx="0" w14:ky="0" w14:algn="tl">
            <w14:srgbClr w14:val="000000">
              <w14:alpha w14:val="60000"/>
            </w14:srgbClr>
          </w14:shadow>
        </w:rPr>
        <w:t>监</w:t>
      </w:r>
      <w:r>
        <w:rPr>
          <w:rFonts w:eastAsia="黑体"/>
          <w:sz w:val="44"/>
          <w14:shadow w14:blurRad="50800" w14:dist="38100" w14:dir="2700000" w14:sx="100000" w14:sy="100000" w14:kx="0" w14:ky="0" w14:algn="tl">
            <w14:srgbClr w14:val="000000">
              <w14:alpha w14:val="60000"/>
            </w14:srgbClr>
          </w14:shadow>
        </w:rPr>
        <w:t xml:space="preserve"> </w:t>
      </w:r>
      <w:r>
        <w:rPr>
          <w:rFonts w:hint="eastAsia" w:eastAsia="黑体"/>
          <w:sz w:val="44"/>
          <w14:shadow w14:blurRad="50800" w14:dist="38100" w14:dir="2700000" w14:sx="100000" w14:sy="100000" w14:kx="0" w14:ky="0" w14:algn="tl">
            <w14:srgbClr w14:val="000000">
              <w14:alpha w14:val="60000"/>
            </w14:srgbClr>
          </w14:shadow>
        </w:rPr>
        <w:t>理</w:t>
      </w:r>
      <w:r>
        <w:rPr>
          <w:rFonts w:eastAsia="黑体"/>
          <w:sz w:val="44"/>
          <w14:shadow w14:blurRad="50800" w14:dist="38100" w14:dir="2700000" w14:sx="100000" w14:sy="100000" w14:kx="0" w14:ky="0" w14:algn="tl">
            <w14:srgbClr w14:val="000000">
              <w14:alpha w14:val="60000"/>
            </w14:srgbClr>
          </w14:shadow>
        </w:rPr>
        <w:t xml:space="preserve"> </w:t>
      </w:r>
      <w:r>
        <w:rPr>
          <w:rFonts w:hint="eastAsia" w:eastAsia="黑体"/>
          <w:sz w:val="44"/>
          <w14:shadow w14:blurRad="50800" w14:dist="38100" w14:dir="2700000" w14:sx="100000" w14:sy="100000" w14:kx="0" w14:ky="0" w14:algn="tl">
            <w14:srgbClr w14:val="000000">
              <w14:alpha w14:val="60000"/>
            </w14:srgbClr>
          </w14:shadow>
        </w:rPr>
        <w:t>报</w:t>
      </w:r>
      <w:r>
        <w:rPr>
          <w:rFonts w:eastAsia="黑体"/>
          <w:sz w:val="44"/>
          <w14:shadow w14:blurRad="50800" w14:dist="38100" w14:dir="2700000" w14:sx="100000" w14:sy="100000" w14:kx="0" w14:ky="0" w14:algn="tl">
            <w14:srgbClr w14:val="000000">
              <w14:alpha w14:val="60000"/>
            </w14:srgbClr>
          </w14:shadow>
        </w:rPr>
        <w:t xml:space="preserve"> </w:t>
      </w:r>
      <w:r>
        <w:rPr>
          <w:rFonts w:hint="eastAsia" w:eastAsia="黑体"/>
          <w:sz w:val="44"/>
          <w14:shadow w14:blurRad="50800" w14:dist="38100" w14:dir="2700000" w14:sx="100000" w14:sy="100000" w14:kx="0" w14:ky="0" w14:algn="tl">
            <w14:srgbClr w14:val="000000">
              <w14:alpha w14:val="60000"/>
            </w14:srgbClr>
          </w14:shadow>
        </w:rPr>
        <w:t>告</w:t>
      </w:r>
    </w:p>
    <w:p>
      <w:pPr>
        <w:spacing w:after="156" w:afterLines="50" w:line="420" w:lineRule="exact"/>
        <w:ind w:left="21" w:hanging="21" w:hangingChars="10"/>
        <w:rPr>
          <w:szCs w:val="21"/>
        </w:rPr>
      </w:pPr>
      <w:r>
        <w:rPr>
          <w:rFonts w:hint="eastAsia"/>
          <w:szCs w:val="21"/>
        </w:rPr>
        <w:t>工程名称：</w:t>
      </w:r>
      <w:r>
        <w:rPr>
          <w:szCs w:val="21"/>
          <w:u w:val="single"/>
        </w:rPr>
        <w:t xml:space="preserve">                       </w:t>
      </w:r>
      <w:r>
        <w:rPr>
          <w:szCs w:val="21"/>
        </w:rPr>
        <w:t xml:space="preserve">        </w:t>
      </w:r>
      <w:r>
        <w:rPr>
          <w:rFonts w:hint="eastAsia"/>
          <w:szCs w:val="21"/>
        </w:rPr>
        <w:t>　　　</w:t>
      </w:r>
      <w:r>
        <w:rPr>
          <w:szCs w:val="21"/>
        </w:rPr>
        <w:t xml:space="preserve">  </w:t>
      </w:r>
      <w:r>
        <w:rPr>
          <w:rFonts w:hint="eastAsia"/>
          <w:szCs w:val="21"/>
        </w:rPr>
        <w:t>　</w:t>
      </w:r>
      <w:r>
        <w:rPr>
          <w:szCs w:val="21"/>
        </w:rPr>
        <w:t xml:space="preserve">    </w:t>
      </w:r>
      <w:r>
        <w:rPr>
          <w:rFonts w:hint="eastAsia"/>
          <w:szCs w:val="21"/>
        </w:rPr>
        <w:t>　</w:t>
      </w:r>
      <w:r>
        <w:rPr>
          <w:szCs w:val="21"/>
        </w:rPr>
        <w:t xml:space="preserve">    </w:t>
      </w:r>
      <w:r>
        <w:rPr>
          <w:rFonts w:hint="eastAsia"/>
          <w:szCs w:val="21"/>
        </w:rPr>
        <w:t>编号：</w:t>
      </w:r>
      <w:r>
        <w:rPr>
          <w:szCs w:val="21"/>
        </w:rPr>
        <w:t>A.0.14</w:t>
      </w:r>
      <w:r>
        <w:rPr>
          <w:rFonts w:hint="eastAsia"/>
          <w:szCs w:val="21"/>
        </w:rPr>
        <w:t>－</w:t>
      </w:r>
      <w:r>
        <w:rPr>
          <w:szCs w:val="21"/>
          <w:u w:val="single"/>
        </w:rPr>
        <w:t xml:space="preserve">       </w:t>
      </w:r>
    </w:p>
    <w:tbl>
      <w:tblPr>
        <w:tblStyle w:val="1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8"/>
        <w:gridCol w:w="4860"/>
        <w:gridCol w:w="1584"/>
        <w:gridCol w:w="17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468" w:type="dxa"/>
            <w:tcBorders>
              <w:top w:val="single" w:color="auto" w:sz="8" w:space="0"/>
              <w:left w:val="single" w:color="auto" w:sz="8" w:space="0"/>
              <w:bottom w:val="single" w:color="auto" w:sz="4" w:space="0"/>
              <w:right w:val="single" w:color="auto" w:sz="4" w:space="0"/>
            </w:tcBorders>
            <w:noWrap w:val="0"/>
            <w:vAlign w:val="center"/>
          </w:tcPr>
          <w:p>
            <w:pPr>
              <w:spacing w:line="320" w:lineRule="exact"/>
              <w:rPr>
                <w:szCs w:val="21"/>
              </w:rPr>
            </w:pPr>
            <w:r>
              <w:rPr>
                <w:rFonts w:hint="eastAsia"/>
                <w:szCs w:val="21"/>
              </w:rPr>
              <w:t>事</w:t>
            </w:r>
          </w:p>
          <w:p>
            <w:pPr>
              <w:spacing w:line="320" w:lineRule="exact"/>
              <w:rPr>
                <w:szCs w:val="21"/>
              </w:rPr>
            </w:pPr>
            <w:r>
              <w:rPr>
                <w:rFonts w:hint="eastAsia"/>
                <w:szCs w:val="21"/>
              </w:rPr>
              <w:t>由</w:t>
            </w:r>
          </w:p>
        </w:tc>
        <w:tc>
          <w:tcPr>
            <w:tcW w:w="4860" w:type="dxa"/>
            <w:tcBorders>
              <w:top w:val="single" w:color="auto" w:sz="8" w:space="0"/>
              <w:left w:val="single" w:color="auto" w:sz="4" w:space="0"/>
              <w:bottom w:val="single" w:color="auto" w:sz="4" w:space="0"/>
              <w:right w:val="single" w:color="auto" w:sz="4" w:space="0"/>
            </w:tcBorders>
            <w:noWrap w:val="0"/>
            <w:vAlign w:val="center"/>
          </w:tcPr>
          <w:p>
            <w:pPr>
              <w:spacing w:line="320" w:lineRule="exact"/>
              <w:rPr>
                <w:szCs w:val="21"/>
              </w:rPr>
            </w:pPr>
          </w:p>
        </w:tc>
        <w:tc>
          <w:tcPr>
            <w:tcW w:w="1584" w:type="dxa"/>
            <w:tcBorders>
              <w:top w:val="single" w:color="auto" w:sz="8" w:space="0"/>
              <w:left w:val="single" w:color="auto" w:sz="4" w:space="0"/>
              <w:bottom w:val="single" w:color="auto" w:sz="4" w:space="0"/>
              <w:right w:val="single" w:color="auto" w:sz="4" w:space="0"/>
            </w:tcBorders>
            <w:noWrap w:val="0"/>
            <w:vAlign w:val="center"/>
          </w:tcPr>
          <w:p>
            <w:pPr>
              <w:spacing w:line="320" w:lineRule="exact"/>
              <w:jc w:val="center"/>
              <w:rPr>
                <w:szCs w:val="21"/>
              </w:rPr>
            </w:pPr>
            <w:r>
              <w:rPr>
                <w:rFonts w:hint="eastAsia"/>
                <w:szCs w:val="21"/>
              </w:rPr>
              <w:t>主管部门签收</w:t>
            </w:r>
          </w:p>
          <w:p>
            <w:pPr>
              <w:spacing w:line="320" w:lineRule="exact"/>
              <w:jc w:val="center"/>
              <w:rPr>
                <w:szCs w:val="21"/>
              </w:rPr>
            </w:pPr>
            <w:r>
              <w:rPr>
                <w:rFonts w:hint="eastAsia"/>
                <w:szCs w:val="21"/>
              </w:rPr>
              <w:t>人姓名及时间</w:t>
            </w:r>
          </w:p>
        </w:tc>
        <w:tc>
          <w:tcPr>
            <w:tcW w:w="1756" w:type="dxa"/>
            <w:tcBorders>
              <w:top w:val="single" w:color="auto" w:sz="8" w:space="0"/>
              <w:left w:val="single" w:color="auto" w:sz="4" w:space="0"/>
              <w:bottom w:val="single" w:color="auto" w:sz="4" w:space="0"/>
              <w:right w:val="single" w:color="auto" w:sz="8" w:space="0"/>
            </w:tcBorders>
            <w:noWrap w:val="0"/>
            <w:vAlign w:val="center"/>
          </w:tcPr>
          <w:p>
            <w:pPr>
              <w:spacing w:line="320" w:lineRule="exact"/>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8668" w:type="dxa"/>
            <w:gridSpan w:val="4"/>
            <w:tcBorders>
              <w:top w:val="single" w:color="auto" w:sz="4" w:space="0"/>
              <w:left w:val="single" w:color="auto" w:sz="8" w:space="0"/>
              <w:bottom w:val="single" w:color="auto" w:sz="4" w:space="0"/>
              <w:right w:val="single" w:color="auto" w:sz="8" w:space="0"/>
            </w:tcBorders>
            <w:noWrap w:val="0"/>
            <w:vAlign w:val="top"/>
          </w:tcPr>
          <w:p>
            <w:pPr>
              <w:spacing w:before="156" w:beforeLines="50" w:after="156" w:afterLines="50" w:line="420" w:lineRule="exact"/>
              <w:rPr>
                <w:szCs w:val="21"/>
              </w:rPr>
            </w:pPr>
            <w:r>
              <w:rPr>
                <w:rFonts w:hint="eastAsia" w:ascii="Times New Roman"/>
                <w:szCs w:val="21"/>
              </w:rPr>
              <w:t>致 ：</w:t>
            </w:r>
            <w:r>
              <w:rPr>
                <w:rFonts w:hint="eastAsia" w:ascii="Times New Roman"/>
                <w:szCs w:val="21"/>
                <w:u w:val="single"/>
              </w:rPr>
              <w:t xml:space="preserve">                       </w:t>
            </w:r>
            <w:r>
              <w:rPr>
                <w:rFonts w:hint="eastAsia" w:ascii="Times New Roman"/>
                <w:szCs w:val="21"/>
              </w:rPr>
              <w:t xml:space="preserve"> （主管部门） </w:t>
            </w:r>
          </w:p>
          <w:p>
            <w:pPr>
              <w:spacing w:line="420" w:lineRule="exact"/>
              <w:ind w:firstLine="420" w:firstLineChars="200"/>
              <w:rPr>
                <w:rFonts w:ascii="Times New Roman" w:hAnsi="Times New Roman"/>
                <w:szCs w:val="21"/>
              </w:rPr>
            </w:pPr>
            <w:r>
              <w:rPr>
                <w:rFonts w:hint="eastAsia"/>
                <w:szCs w:val="21"/>
              </w:rPr>
              <w:t>由</w:t>
            </w:r>
            <w:r>
              <w:rPr>
                <w:rFonts w:hint="eastAsia" w:ascii="Times New Roman"/>
                <w:szCs w:val="21"/>
                <w:u w:val="single"/>
              </w:rPr>
              <w:t xml:space="preserve">                </w:t>
            </w:r>
            <w:r>
              <w:rPr>
                <w:rFonts w:hint="eastAsia"/>
                <w:szCs w:val="21"/>
              </w:rPr>
              <w:t>（施工单位）施工的</w:t>
            </w:r>
            <w:r>
              <w:rPr>
                <w:rFonts w:hint="eastAsia" w:ascii="Times New Roman"/>
                <w:szCs w:val="21"/>
                <w:u w:val="single"/>
              </w:rPr>
              <w:t xml:space="preserve">                </w:t>
            </w:r>
            <w:r>
              <w:rPr>
                <w:rFonts w:hint="eastAsia"/>
                <w:szCs w:val="21"/>
              </w:rPr>
              <w:t>（工程部位），存在安全事故隐患。我方已于</w:t>
            </w:r>
            <w:r>
              <w:rPr>
                <w:rFonts w:hint="eastAsia" w:ascii="Times New Roman"/>
                <w:szCs w:val="21"/>
                <w:u w:val="single"/>
              </w:rPr>
              <w:t xml:space="preserve">     </w:t>
            </w:r>
            <w:r>
              <w:rPr>
                <w:rFonts w:hint="eastAsia"/>
                <w:szCs w:val="21"/>
              </w:rPr>
              <w:t>年</w:t>
            </w:r>
            <w:r>
              <w:rPr>
                <w:rFonts w:hint="eastAsia" w:ascii="Times New Roman"/>
                <w:szCs w:val="21"/>
                <w:u w:val="single"/>
              </w:rPr>
              <w:t xml:space="preserve">     </w:t>
            </w:r>
            <w:r>
              <w:rPr>
                <w:rFonts w:hint="eastAsia"/>
                <w:szCs w:val="21"/>
              </w:rPr>
              <w:t>月</w:t>
            </w:r>
            <w:r>
              <w:rPr>
                <w:rFonts w:hint="eastAsia" w:ascii="Times New Roman"/>
                <w:szCs w:val="21"/>
                <w:u w:val="single"/>
              </w:rPr>
              <w:t xml:space="preserve">     </w:t>
            </w:r>
            <w:r>
              <w:rPr>
                <w:rFonts w:hint="eastAsia"/>
                <w:szCs w:val="21"/>
              </w:rPr>
              <w:t>日发出编号为</w:t>
            </w:r>
            <w:r>
              <w:rPr>
                <w:szCs w:val="21"/>
                <w:u w:val="single"/>
              </w:rPr>
              <w:t xml:space="preserve">                 </w:t>
            </w:r>
            <w:r>
              <w:rPr>
                <w:rFonts w:hint="eastAsia"/>
                <w:szCs w:val="21"/>
              </w:rPr>
              <w:t>的</w:t>
            </w:r>
            <w:r>
              <w:rPr>
                <w:rFonts w:hint="eastAsia" w:ascii="Times New Roman" w:hAnsi="Times New Roman"/>
                <w:szCs w:val="21"/>
              </w:rPr>
              <w:t>《监理通知单》</w:t>
            </w:r>
          </w:p>
          <w:p>
            <w:pPr>
              <w:spacing w:line="420" w:lineRule="exact"/>
              <w:rPr>
                <w:rFonts w:hint="eastAsia"/>
                <w:szCs w:val="21"/>
              </w:rPr>
            </w:pPr>
            <w:r>
              <w:rPr>
                <w:rFonts w:hint="eastAsia" w:ascii="Times New Roman" w:hAnsi="Times New Roman"/>
                <w:szCs w:val="21"/>
              </w:rPr>
              <w:t>和</w:t>
            </w:r>
            <w:r>
              <w:rPr>
                <w:rFonts w:hint="eastAsia" w:ascii="Times New Roman"/>
                <w:szCs w:val="21"/>
                <w:u w:val="single"/>
              </w:rPr>
              <w:t xml:space="preserve">     </w:t>
            </w:r>
            <w:r>
              <w:rPr>
                <w:rFonts w:hint="eastAsia"/>
                <w:szCs w:val="21"/>
              </w:rPr>
              <w:t>年</w:t>
            </w:r>
            <w:r>
              <w:rPr>
                <w:rFonts w:hint="eastAsia" w:ascii="Times New Roman"/>
                <w:szCs w:val="21"/>
                <w:u w:val="single"/>
              </w:rPr>
              <w:t xml:space="preserve">     </w:t>
            </w:r>
            <w:r>
              <w:rPr>
                <w:rFonts w:hint="eastAsia"/>
                <w:szCs w:val="21"/>
              </w:rPr>
              <w:t>月</w:t>
            </w:r>
            <w:r>
              <w:rPr>
                <w:rFonts w:hint="eastAsia" w:ascii="Times New Roman"/>
                <w:szCs w:val="21"/>
                <w:u w:val="single"/>
              </w:rPr>
              <w:t xml:space="preserve">     </w:t>
            </w:r>
            <w:r>
              <w:rPr>
                <w:rFonts w:hint="eastAsia"/>
                <w:szCs w:val="21"/>
              </w:rPr>
              <w:t>日发出</w:t>
            </w:r>
            <w:r>
              <w:rPr>
                <w:rFonts w:hint="eastAsia" w:ascii="Times New Roman" w:hAnsi="Times New Roman"/>
                <w:szCs w:val="21"/>
              </w:rPr>
              <w:t>编号为</w:t>
            </w:r>
            <w:r>
              <w:rPr>
                <w:szCs w:val="21"/>
                <w:u w:val="single"/>
              </w:rPr>
              <w:t xml:space="preserve">                </w:t>
            </w:r>
            <w:r>
              <w:rPr>
                <w:szCs w:val="21"/>
              </w:rPr>
              <w:t xml:space="preserve"> </w:t>
            </w:r>
            <w:r>
              <w:rPr>
                <w:rFonts w:hint="eastAsia"/>
                <w:szCs w:val="21"/>
              </w:rPr>
              <w:t>的</w:t>
            </w:r>
            <w:r>
              <w:rPr>
                <w:rFonts w:hint="eastAsia" w:ascii="Times New Roman" w:hAnsi="Times New Roman"/>
                <w:szCs w:val="21"/>
              </w:rPr>
              <w:t>《工程暂停令》，但施</w:t>
            </w:r>
            <w:r>
              <w:rPr>
                <w:rFonts w:hint="eastAsia"/>
                <w:szCs w:val="21"/>
              </w:rPr>
              <w:t>工单位未整改，也未暂停施工。</w:t>
            </w:r>
          </w:p>
          <w:p>
            <w:pPr>
              <w:spacing w:line="420" w:lineRule="exact"/>
              <w:rPr>
                <w:szCs w:val="21"/>
              </w:rPr>
            </w:pPr>
            <w:r>
              <w:rPr>
                <w:szCs w:val="21"/>
              </w:rPr>
              <w:t xml:space="preserve">    </w:t>
            </w:r>
            <w:r>
              <w:rPr>
                <w:rFonts w:hint="eastAsia"/>
                <w:szCs w:val="21"/>
              </w:rPr>
              <w:t>特此报告。</w:t>
            </w:r>
          </w:p>
          <w:p>
            <w:pPr>
              <w:spacing w:line="420" w:lineRule="exact"/>
              <w:rPr>
                <w:szCs w:val="21"/>
              </w:rPr>
            </w:pPr>
          </w:p>
          <w:p>
            <w:pPr>
              <w:spacing w:line="420" w:lineRule="exact"/>
              <w:rPr>
                <w:szCs w:val="21"/>
              </w:rPr>
            </w:pPr>
            <w:r>
              <w:rPr>
                <w:szCs w:val="21"/>
              </w:rPr>
              <w:t xml:space="preserve">    </w:t>
            </w:r>
            <w:r>
              <w:rPr>
                <w:rFonts w:hint="eastAsia"/>
                <w:szCs w:val="21"/>
              </w:rPr>
              <w:t>附件：</w:t>
            </w:r>
          </w:p>
          <w:p>
            <w:pPr>
              <w:spacing w:line="420" w:lineRule="exact"/>
              <w:rPr>
                <w:szCs w:val="21"/>
              </w:rPr>
            </w:pPr>
            <w:r>
              <w:rPr>
                <w:szCs w:val="21"/>
              </w:rPr>
              <w:t xml:space="preserve">    </w:t>
            </w:r>
            <w:r>
              <w:rPr>
                <w:rFonts w:hint="eastAsia"/>
                <w:szCs w:val="21"/>
              </w:rPr>
              <w:t>□</w:t>
            </w:r>
            <w:r>
              <w:rPr>
                <w:szCs w:val="21"/>
              </w:rPr>
              <w:t xml:space="preserve"> </w:t>
            </w:r>
            <w:r>
              <w:rPr>
                <w:rFonts w:hint="eastAsia"/>
                <w:szCs w:val="21"/>
              </w:rPr>
              <w:t>监理通知单</w:t>
            </w:r>
          </w:p>
          <w:p>
            <w:pPr>
              <w:spacing w:line="420" w:lineRule="exact"/>
              <w:rPr>
                <w:szCs w:val="21"/>
              </w:rPr>
            </w:pPr>
            <w:r>
              <w:rPr>
                <w:szCs w:val="21"/>
              </w:rPr>
              <w:t xml:space="preserve">    </w:t>
            </w:r>
            <w:r>
              <w:rPr>
                <w:rFonts w:hint="eastAsia"/>
                <w:szCs w:val="21"/>
              </w:rPr>
              <w:t>□</w:t>
            </w:r>
            <w:r>
              <w:rPr>
                <w:szCs w:val="21"/>
              </w:rPr>
              <w:t xml:space="preserve"> </w:t>
            </w:r>
            <w:r>
              <w:rPr>
                <w:rFonts w:hint="eastAsia"/>
                <w:szCs w:val="21"/>
              </w:rPr>
              <w:t>工程暂停令</w:t>
            </w:r>
          </w:p>
          <w:p>
            <w:pPr>
              <w:spacing w:line="420" w:lineRule="exact"/>
              <w:rPr>
                <w:szCs w:val="21"/>
              </w:rPr>
            </w:pPr>
            <w:r>
              <w:rPr>
                <w:szCs w:val="21"/>
              </w:rPr>
              <w:t xml:space="preserve">    </w:t>
            </w:r>
            <w:r>
              <w:rPr>
                <w:rFonts w:hint="eastAsia"/>
                <w:szCs w:val="21"/>
              </w:rPr>
              <w:t>□</w:t>
            </w:r>
            <w:r>
              <w:rPr>
                <w:szCs w:val="21"/>
              </w:rPr>
              <w:t xml:space="preserve"> </w:t>
            </w:r>
            <w:r>
              <w:rPr>
                <w:rFonts w:hint="eastAsia"/>
                <w:szCs w:val="21"/>
              </w:rPr>
              <w:t>其它</w:t>
            </w:r>
            <w:r>
              <w:rPr>
                <w:szCs w:val="21"/>
              </w:rPr>
              <w:t xml:space="preserve">  </w:t>
            </w:r>
          </w:p>
          <w:p>
            <w:pPr>
              <w:spacing w:line="420" w:lineRule="exact"/>
              <w:rPr>
                <w:szCs w:val="21"/>
              </w:rPr>
            </w:pPr>
          </w:p>
          <w:p>
            <w:pPr>
              <w:spacing w:line="420" w:lineRule="exact"/>
              <w:rPr>
                <w:szCs w:val="21"/>
              </w:rPr>
            </w:pPr>
          </w:p>
          <w:p>
            <w:pPr>
              <w:spacing w:line="420" w:lineRule="exact"/>
              <w:rPr>
                <w:szCs w:val="21"/>
              </w:rPr>
            </w:pPr>
          </w:p>
          <w:p>
            <w:pPr>
              <w:spacing w:line="240" w:lineRule="exact"/>
              <w:rPr>
                <w:szCs w:val="21"/>
              </w:rPr>
            </w:pPr>
          </w:p>
          <w:p>
            <w:pPr>
              <w:ind w:firstLine="2940" w:firstLineChars="1400"/>
              <w:rPr>
                <w:rFonts w:ascii="Times New Roman" w:hAnsi="Times New Roman"/>
                <w:bCs/>
                <w:szCs w:val="21"/>
                <w:u w:val="single"/>
              </w:rPr>
            </w:pPr>
            <w:r>
              <w:rPr>
                <w:rFonts w:hint="eastAsia" w:ascii="Times New Roman" w:hAnsi="Times New Roman"/>
                <w:bCs/>
                <w:szCs w:val="21"/>
              </w:rPr>
              <w:t xml:space="preserve">项目监理机构(章)： </w:t>
            </w:r>
            <w:r>
              <w:rPr>
                <w:rFonts w:hint="eastAsia" w:ascii="Times New Roman" w:hAnsi="Times New Roman"/>
                <w:bCs/>
                <w:szCs w:val="21"/>
                <w:u w:val="single"/>
              </w:rPr>
              <w:t xml:space="preserve">                                </w:t>
            </w:r>
          </w:p>
          <w:p>
            <w:pPr>
              <w:spacing w:before="312" w:beforeLines="100"/>
              <w:ind w:firstLine="525" w:firstLineChars="250"/>
              <w:rPr>
                <w:rFonts w:hint="eastAsia"/>
                <w:szCs w:val="21"/>
                <w:u w:val="single"/>
              </w:rPr>
            </w:pPr>
            <w:r>
              <w:rPr>
                <w:szCs w:val="21"/>
              </w:rPr>
              <w:t xml:space="preserve">                       </w:t>
            </w:r>
            <w:r>
              <w:rPr>
                <w:rFonts w:hint="eastAsia"/>
                <w:szCs w:val="21"/>
              </w:rPr>
              <w:t>总监理工程师</w:t>
            </w:r>
            <w:r>
              <w:rPr>
                <w:szCs w:val="21"/>
              </w:rPr>
              <w:t>/</w:t>
            </w:r>
            <w:r>
              <w:rPr>
                <w:rFonts w:hint="eastAsia"/>
                <w:szCs w:val="21"/>
              </w:rPr>
              <w:t>总监理工程师代表（签字）：</w:t>
            </w:r>
            <w:r>
              <w:rPr>
                <w:rFonts w:hint="eastAsia"/>
                <w:szCs w:val="21"/>
                <w:u w:val="single"/>
              </w:rPr>
              <w:t>　　</w:t>
            </w:r>
            <w:r>
              <w:rPr>
                <w:szCs w:val="21"/>
                <w:u w:val="single"/>
              </w:rPr>
              <w:t> </w:t>
            </w:r>
            <w:r>
              <w:rPr>
                <w:rFonts w:hint="eastAsia"/>
                <w:szCs w:val="21"/>
                <w:u w:val="single"/>
              </w:rPr>
              <w:t>　　　</w:t>
            </w:r>
            <w:r>
              <w:rPr>
                <w:szCs w:val="21"/>
                <w:u w:val="single"/>
              </w:rPr>
              <w:t xml:space="preserve"> </w:t>
            </w:r>
            <w:r>
              <w:rPr>
                <w:rFonts w:hint="eastAsia"/>
                <w:szCs w:val="21"/>
                <w:u w:val="single"/>
              </w:rPr>
              <w:t>　</w:t>
            </w:r>
          </w:p>
          <w:p>
            <w:pPr>
              <w:spacing w:before="156" w:beforeLines="50"/>
              <w:ind w:firstLine="525" w:firstLineChars="250"/>
              <w:rPr>
                <w:szCs w:val="21"/>
                <w:u w:val="single"/>
              </w:rPr>
            </w:pPr>
            <w:r>
              <w:rPr>
                <w:bCs/>
                <w:szCs w:val="21"/>
              </w:rPr>
              <w:t xml:space="preserve">                                              </w:t>
            </w:r>
            <w:r>
              <w:rPr>
                <w:szCs w:val="21"/>
              </w:rPr>
              <w:t xml:space="preserve"> </w:t>
            </w:r>
            <w:r>
              <w:rPr>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74" w:hRule="atLeast"/>
        </w:trPr>
        <w:tc>
          <w:tcPr>
            <w:tcW w:w="8668" w:type="dxa"/>
            <w:gridSpan w:val="4"/>
            <w:tcBorders>
              <w:top w:val="single" w:color="auto" w:sz="4" w:space="0"/>
              <w:left w:val="single" w:color="auto" w:sz="8" w:space="0"/>
              <w:bottom w:val="single" w:color="auto" w:sz="8" w:space="0"/>
              <w:right w:val="single" w:color="auto" w:sz="8" w:space="0"/>
            </w:tcBorders>
            <w:noWrap w:val="0"/>
            <w:vAlign w:val="center"/>
          </w:tcPr>
          <w:p>
            <w:pPr>
              <w:spacing w:line="320" w:lineRule="exact"/>
              <w:rPr>
                <w:szCs w:val="21"/>
              </w:rPr>
            </w:pPr>
            <w:r>
              <w:rPr>
                <w:rFonts w:hint="eastAsia"/>
                <w:szCs w:val="21"/>
              </w:rPr>
              <w:t>注：当发现存在安全事故隐患并已要求施工单位整改，但施工单位拒不整改或不停止施工时，项目监理机构采用本报告及时向有关主管部门报告。</w:t>
            </w:r>
          </w:p>
        </w:tc>
      </w:tr>
    </w:tbl>
    <w:p>
      <w:pPr>
        <w:rPr>
          <w:rFonts w:ascii="Times New Roman" w:eastAsia="隶书"/>
        </w:rPr>
      </w:pPr>
      <w:r>
        <w:rPr>
          <w:rFonts w:hint="eastAsia" w:ascii="Times New Roman" w:eastAsia="隶书"/>
        </w:rPr>
        <w:t>第六版表                                              江苏省住房和城乡建设厅监制</w:t>
      </w:r>
    </w:p>
    <w:p>
      <w:pPr>
        <w:widowControl/>
        <w:jc w:val="left"/>
        <w:rPr>
          <w:rFonts w:ascii="Times New Roman" w:eastAsia="黑体"/>
          <w:bCs/>
          <w:sz w:val="44"/>
          <w:szCs w:val="28"/>
        </w:rPr>
        <w:sectPr>
          <w:pgSz w:w="11906" w:h="16838"/>
          <w:pgMar w:top="1021" w:right="1701" w:bottom="3115" w:left="1701" w:header="851" w:footer="1191" w:gutter="0"/>
          <w:cols w:space="720" w:num="1"/>
          <w:docGrid w:type="lines" w:linePitch="312" w:charSpace="0"/>
        </w:sectPr>
      </w:pPr>
    </w:p>
    <w:p>
      <w:pPr>
        <w:spacing w:line="380" w:lineRule="exact"/>
        <w:jc w:val="right"/>
        <w:rPr>
          <w:rFonts w:hint="eastAsia" w:eastAsia="黑体"/>
          <w:b/>
          <w:sz w:val="28"/>
          <w:szCs w:val="28"/>
          <w14:shadow w14:blurRad="50800" w14:dist="38100" w14:dir="2700000" w14:sx="100000" w14:sy="100000" w14:kx="0" w14:ky="0" w14:algn="tl">
            <w14:srgbClr w14:val="000000">
              <w14:alpha w14:val="60000"/>
            </w14:srgbClr>
          </w14:shadow>
        </w:rPr>
      </w:pPr>
      <w:r>
        <w:rPr>
          <w:rFonts w:eastAsia="黑体"/>
          <w:b/>
          <w:sz w:val="28"/>
          <w:szCs w:val="28"/>
          <w14:shadow w14:blurRad="50800" w14:dist="38100" w14:dir="2700000" w14:sx="100000" w14:sy="100000" w14:kx="0" w14:ky="0" w14:algn="tl">
            <w14:srgbClr w14:val="000000">
              <w14:alpha w14:val="60000"/>
            </w14:srgbClr>
          </w14:shadow>
        </w:rPr>
        <w:t>A.0.15</w:t>
      </w:r>
    </w:p>
    <w:p>
      <w:pPr>
        <w:spacing w:before="312" w:beforeLines="100" w:after="156" w:afterLines="50"/>
        <w:jc w:val="center"/>
        <w:rPr>
          <w:rFonts w:ascii="Times New Roman" w:hAnsi="Times New Roman" w:eastAsia="黑体"/>
          <w:sz w:val="44"/>
          <w:szCs w:val="44"/>
        </w:rPr>
      </w:pPr>
      <w:r>
        <w:rPr>
          <w:rFonts w:hint="eastAsia" w:eastAsia="微软简标宋"/>
          <w:sz w:val="32"/>
          <w:u w:val="single"/>
        </w:rPr>
        <w:t>　　　　　　　　</w:t>
      </w:r>
      <w:r>
        <w:rPr>
          <w:rFonts w:eastAsia="微软简标宋"/>
          <w:sz w:val="32"/>
          <w:u w:val="single"/>
        </w:rPr>
        <w:t xml:space="preserve">     </w:t>
      </w:r>
      <w:r>
        <w:rPr>
          <w:rFonts w:hint="eastAsia" w:eastAsia="微软简标宋"/>
          <w:sz w:val="32"/>
          <w:u w:val="single"/>
        </w:rPr>
        <w:t>　　　</w:t>
      </w:r>
      <w:r>
        <w:rPr>
          <w:rFonts w:eastAsia="微软简标宋"/>
          <w:sz w:val="32"/>
          <w:u w:val="single"/>
        </w:rPr>
        <w:t xml:space="preserve">  </w:t>
      </w:r>
      <w:r>
        <w:rPr>
          <w:rFonts w:hint="eastAsia" w:eastAsia="微软简标宋"/>
          <w:sz w:val="32"/>
          <w:u w:val="single"/>
        </w:rPr>
        <w:t>　　　　　</w:t>
      </w:r>
      <w:r>
        <w:rPr>
          <w:rFonts w:hint="eastAsia" w:ascii="Times New Roman" w:hAnsi="Times New Roman" w:eastAsia="黑体"/>
          <w:sz w:val="44"/>
          <w:szCs w:val="44"/>
        </w:rPr>
        <w:t>工程</w:t>
      </w:r>
    </w:p>
    <w:p>
      <w:pPr>
        <w:spacing w:before="312" w:beforeLines="100" w:after="312" w:afterLines="100"/>
        <w:jc w:val="center"/>
        <w:rPr>
          <w:rFonts w:hint="eastAsia" w:eastAsia="黑体"/>
          <w:snapToGrid w:val="0"/>
          <w:w w:val="150"/>
          <w:kern w:val="0"/>
          <w:sz w:val="52"/>
          <w:szCs w:val="52"/>
        </w:rPr>
      </w:pPr>
      <w:r>
        <w:rPr>
          <w:rFonts w:hint="eastAsia" w:eastAsia="黑体"/>
          <w:snapToGrid w:val="0"/>
          <w:w w:val="150"/>
          <w:kern w:val="0"/>
          <w:sz w:val="52"/>
          <w:szCs w:val="52"/>
        </w:rPr>
        <w:t>工程质量评估报告</w:t>
      </w:r>
    </w:p>
    <w:p>
      <w:pPr>
        <w:spacing w:line="0" w:lineRule="atLeast"/>
        <w:jc w:val="center"/>
        <w:rPr>
          <w:rFonts w:eastAsia="黑体"/>
          <w:snapToGrid w:val="0"/>
          <w:kern w:val="0"/>
          <w:sz w:val="52"/>
        </w:rPr>
      </w:pPr>
    </w:p>
    <w:p>
      <w:pPr>
        <w:spacing w:line="480" w:lineRule="exact"/>
        <w:ind w:firstLine="3161" w:firstLineChars="1312"/>
        <w:rPr>
          <w:b/>
          <w:sz w:val="24"/>
        </w:rPr>
      </w:pPr>
      <w:r>
        <w:rPr>
          <w:rFonts w:hint="eastAsia"/>
          <w:b/>
          <w:sz w:val="24"/>
        </w:rPr>
        <w:t>内容提要：</w:t>
      </w:r>
      <w:r>
        <w:rPr>
          <w:b/>
          <w:sz w:val="24"/>
        </w:rPr>
        <w:t xml:space="preserve"> </w:t>
      </w:r>
    </w:p>
    <w:p>
      <w:pPr>
        <w:spacing w:line="480" w:lineRule="exact"/>
        <w:ind w:firstLine="3148" w:firstLineChars="1312"/>
        <w:rPr>
          <w:sz w:val="24"/>
        </w:rPr>
      </w:pPr>
      <w:r>
        <w:rPr>
          <w:rFonts w:hint="eastAsia"/>
          <w:sz w:val="24"/>
        </w:rPr>
        <w:t>工程概况</w:t>
      </w:r>
    </w:p>
    <w:p>
      <w:pPr>
        <w:spacing w:line="480" w:lineRule="exact"/>
        <w:ind w:firstLine="3148" w:firstLineChars="1312"/>
        <w:rPr>
          <w:sz w:val="24"/>
        </w:rPr>
      </w:pPr>
      <w:r>
        <w:rPr>
          <w:rFonts w:hint="eastAsia"/>
          <w:sz w:val="24"/>
        </w:rPr>
        <w:t>工程各参建单位</w:t>
      </w:r>
    </w:p>
    <w:p>
      <w:pPr>
        <w:spacing w:line="480" w:lineRule="exact"/>
        <w:ind w:firstLine="3148" w:firstLineChars="1312"/>
        <w:rPr>
          <w:sz w:val="24"/>
        </w:rPr>
      </w:pPr>
      <w:r>
        <w:rPr>
          <w:rFonts w:hint="eastAsia"/>
          <w:sz w:val="24"/>
        </w:rPr>
        <w:t>工程质量验收情况</w:t>
      </w:r>
    </w:p>
    <w:p>
      <w:pPr>
        <w:spacing w:line="480" w:lineRule="exact"/>
        <w:ind w:firstLine="3148" w:firstLineChars="1312"/>
        <w:rPr>
          <w:sz w:val="24"/>
        </w:rPr>
      </w:pPr>
      <w:r>
        <w:rPr>
          <w:rFonts w:hint="eastAsia"/>
          <w:sz w:val="24"/>
        </w:rPr>
        <w:t>工程质量事故及其处理情况</w:t>
      </w:r>
    </w:p>
    <w:p>
      <w:pPr>
        <w:spacing w:line="480" w:lineRule="exact"/>
        <w:ind w:firstLine="3148" w:firstLineChars="1312"/>
        <w:rPr>
          <w:sz w:val="24"/>
        </w:rPr>
      </w:pPr>
      <w:r>
        <w:rPr>
          <w:rFonts w:hint="eastAsia"/>
          <w:sz w:val="24"/>
        </w:rPr>
        <w:t>竣工资料审查情况</w:t>
      </w:r>
    </w:p>
    <w:p>
      <w:pPr>
        <w:spacing w:line="480" w:lineRule="exact"/>
        <w:ind w:firstLine="3148" w:firstLineChars="1312"/>
        <w:rPr>
          <w:sz w:val="24"/>
        </w:rPr>
      </w:pPr>
      <w:r>
        <w:rPr>
          <w:rFonts w:hint="eastAsia"/>
          <w:sz w:val="24"/>
        </w:rPr>
        <w:t>工程质量评估结论</w:t>
      </w:r>
    </w:p>
    <w:p>
      <w:pPr>
        <w:ind w:firstLine="2520" w:firstLineChars="1200"/>
        <w:rPr>
          <w:bCs/>
          <w:snapToGrid w:val="0"/>
          <w:kern w:val="0"/>
          <w:szCs w:val="28"/>
        </w:rPr>
      </w:pPr>
    </w:p>
    <w:p>
      <w:pPr>
        <w:ind w:firstLine="2520" w:firstLineChars="1200"/>
        <w:rPr>
          <w:bCs/>
          <w:snapToGrid w:val="0"/>
          <w:kern w:val="0"/>
          <w:szCs w:val="28"/>
        </w:rPr>
      </w:pPr>
    </w:p>
    <w:p>
      <w:pPr>
        <w:tabs>
          <w:tab w:val="left" w:pos="7030"/>
        </w:tabs>
        <w:spacing w:line="560" w:lineRule="exact"/>
        <w:ind w:firstLine="2072" w:firstLineChars="688"/>
        <w:rPr>
          <w:b/>
          <w:sz w:val="30"/>
          <w:szCs w:val="30"/>
          <w:u w:val="single"/>
        </w:rPr>
      </w:pPr>
      <w:r>
        <w:rPr>
          <w:rFonts w:hint="eastAsia"/>
          <w:b/>
          <w:sz w:val="30"/>
          <w:szCs w:val="30"/>
        </w:rPr>
        <w:t>建设单位：</w:t>
      </w:r>
      <w:r>
        <w:rPr>
          <w:sz w:val="30"/>
          <w:szCs w:val="30"/>
          <w:u w:val="single"/>
        </w:rPr>
        <w:t xml:space="preserve">                        </w:t>
      </w:r>
    </w:p>
    <w:p>
      <w:pPr>
        <w:spacing w:line="560" w:lineRule="exact"/>
        <w:ind w:firstLine="2042" w:firstLineChars="678"/>
        <w:jc w:val="left"/>
        <w:rPr>
          <w:sz w:val="30"/>
          <w:szCs w:val="30"/>
          <w:u w:val="single"/>
        </w:rPr>
      </w:pPr>
      <w:r>
        <w:rPr>
          <w:rFonts w:hint="eastAsia"/>
          <w:b/>
          <w:sz w:val="30"/>
          <w:szCs w:val="30"/>
        </w:rPr>
        <w:t>设计单位：</w:t>
      </w:r>
      <w:r>
        <w:rPr>
          <w:sz w:val="30"/>
          <w:szCs w:val="30"/>
          <w:u w:val="single"/>
        </w:rPr>
        <w:t xml:space="preserve">                       </w:t>
      </w:r>
    </w:p>
    <w:p>
      <w:pPr>
        <w:spacing w:line="560" w:lineRule="exact"/>
        <w:ind w:firstLine="2042" w:firstLineChars="678"/>
        <w:jc w:val="left"/>
        <w:rPr>
          <w:sz w:val="30"/>
          <w:szCs w:val="30"/>
        </w:rPr>
      </w:pPr>
      <w:r>
        <w:rPr>
          <w:rFonts w:hint="eastAsia"/>
          <w:b/>
          <w:sz w:val="30"/>
          <w:szCs w:val="30"/>
        </w:rPr>
        <w:t>施工单位：</w:t>
      </w:r>
      <w:r>
        <w:rPr>
          <w:sz w:val="30"/>
          <w:szCs w:val="30"/>
          <w:u w:val="single"/>
        </w:rPr>
        <w:t xml:space="preserve">                        </w:t>
      </w:r>
    </w:p>
    <w:p>
      <w:pPr>
        <w:spacing w:line="560" w:lineRule="exact"/>
        <w:ind w:firstLine="2042" w:firstLineChars="678"/>
        <w:jc w:val="left"/>
        <w:rPr>
          <w:sz w:val="30"/>
          <w:szCs w:val="30"/>
        </w:rPr>
      </w:pPr>
      <w:r>
        <w:rPr>
          <w:rFonts w:hint="eastAsia"/>
          <w:b/>
          <w:sz w:val="30"/>
          <w:szCs w:val="30"/>
        </w:rPr>
        <w:t>监理单位</w:t>
      </w:r>
      <w:r>
        <w:rPr>
          <w:b/>
          <w:sz w:val="30"/>
          <w:szCs w:val="30"/>
        </w:rPr>
        <w:t>(</w:t>
      </w:r>
      <w:r>
        <w:rPr>
          <w:rFonts w:hint="eastAsia"/>
          <w:b/>
          <w:sz w:val="30"/>
          <w:szCs w:val="30"/>
        </w:rPr>
        <w:t>章</w:t>
      </w:r>
      <w:r>
        <w:rPr>
          <w:b/>
          <w:sz w:val="30"/>
          <w:szCs w:val="30"/>
        </w:rPr>
        <w:t>)</w:t>
      </w:r>
      <w:r>
        <w:rPr>
          <w:rFonts w:hint="eastAsia"/>
          <w:b/>
          <w:sz w:val="30"/>
          <w:szCs w:val="30"/>
        </w:rPr>
        <w:t>：</w:t>
      </w:r>
      <w:r>
        <w:rPr>
          <w:sz w:val="30"/>
          <w:szCs w:val="30"/>
          <w:u w:val="single"/>
        </w:rPr>
        <w:t xml:space="preserve">                     </w:t>
      </w:r>
    </w:p>
    <w:p>
      <w:pPr>
        <w:spacing w:line="560" w:lineRule="exact"/>
        <w:ind w:firstLine="2042" w:firstLineChars="678"/>
        <w:jc w:val="left"/>
        <w:rPr>
          <w:sz w:val="30"/>
          <w:szCs w:val="30"/>
        </w:rPr>
      </w:pPr>
      <w:r>
        <w:rPr>
          <w:rFonts w:hint="eastAsia"/>
          <w:b/>
          <w:sz w:val="30"/>
          <w:szCs w:val="30"/>
        </w:rPr>
        <w:t>总监理工程师（签字）：</w:t>
      </w:r>
      <w:r>
        <w:rPr>
          <w:sz w:val="30"/>
          <w:szCs w:val="30"/>
          <w:u w:val="single"/>
        </w:rPr>
        <w:t xml:space="preserve">           </w:t>
      </w:r>
    </w:p>
    <w:p>
      <w:pPr>
        <w:spacing w:line="560" w:lineRule="exact"/>
        <w:ind w:firstLine="2042" w:firstLineChars="678"/>
        <w:jc w:val="left"/>
        <w:rPr>
          <w:sz w:val="30"/>
          <w:szCs w:val="30"/>
        </w:rPr>
      </w:pPr>
      <w:r>
        <w:rPr>
          <w:rFonts w:hint="eastAsia"/>
          <w:b/>
          <w:sz w:val="30"/>
          <w:szCs w:val="30"/>
        </w:rPr>
        <w:t>监理单位技术负责人（签字）：</w:t>
      </w:r>
      <w:r>
        <w:rPr>
          <w:sz w:val="30"/>
          <w:szCs w:val="30"/>
          <w:u w:val="single"/>
        </w:rPr>
        <w:t xml:space="preserve">     </w:t>
      </w:r>
    </w:p>
    <w:p>
      <w:pPr>
        <w:spacing w:line="560" w:lineRule="exact"/>
        <w:ind w:firstLine="2042" w:firstLineChars="678"/>
        <w:jc w:val="left"/>
        <w:rPr>
          <w:bCs/>
          <w:snapToGrid w:val="0"/>
          <w:kern w:val="0"/>
          <w:szCs w:val="28"/>
        </w:rPr>
      </w:pPr>
      <w:r>
        <w:rPr>
          <w:rFonts w:hint="eastAsia"/>
          <w:b/>
          <w:sz w:val="30"/>
          <w:szCs w:val="30"/>
        </w:rPr>
        <w:t>日</w:t>
      </w:r>
      <w:r>
        <w:rPr>
          <w:b/>
          <w:sz w:val="30"/>
          <w:szCs w:val="30"/>
        </w:rPr>
        <w:t xml:space="preserve">    </w:t>
      </w:r>
      <w:r>
        <w:rPr>
          <w:rFonts w:hint="eastAsia"/>
          <w:b/>
          <w:sz w:val="30"/>
          <w:szCs w:val="30"/>
        </w:rPr>
        <w:t>期：</w:t>
      </w:r>
      <w:r>
        <w:rPr>
          <w:sz w:val="30"/>
          <w:szCs w:val="30"/>
          <w:u w:val="single"/>
        </w:rPr>
        <w:t xml:space="preserve">                        </w:t>
      </w:r>
    </w:p>
    <w:p>
      <w:pPr>
        <w:rPr>
          <w:bCs/>
          <w:snapToGrid w:val="0"/>
          <w:kern w:val="0"/>
        </w:rPr>
      </w:pPr>
    </w:p>
    <w:p/>
    <w:p>
      <w:pPr>
        <w:jc w:val="center"/>
        <w:rPr>
          <w:rFonts w:eastAsia="隶书"/>
        </w:rPr>
      </w:pPr>
    </w:p>
    <w:p>
      <w:pPr>
        <w:jc w:val="center"/>
        <w:rPr>
          <w:rFonts w:eastAsia="隶书"/>
        </w:rPr>
      </w:pPr>
    </w:p>
    <w:p>
      <w:pPr>
        <w:jc w:val="center"/>
        <w:rPr>
          <w:rFonts w:eastAsia="隶书"/>
        </w:rPr>
      </w:pPr>
    </w:p>
    <w:p>
      <w:pPr>
        <w:jc w:val="center"/>
        <w:rPr>
          <w:rFonts w:eastAsia="隶书"/>
        </w:rPr>
      </w:pPr>
    </w:p>
    <w:p>
      <w:pPr>
        <w:jc w:val="center"/>
        <w:rPr>
          <w:rFonts w:eastAsia="隶书"/>
        </w:rPr>
      </w:pPr>
    </w:p>
    <w:p>
      <w:pPr>
        <w:jc w:val="center"/>
        <w:rPr>
          <w:rFonts w:eastAsia="隶书"/>
        </w:rPr>
      </w:pPr>
      <w:r>
        <w:rPr>
          <w:rFonts w:hint="eastAsia" w:ascii="Times New Roman" w:eastAsia="隶书"/>
        </w:rPr>
        <w:t xml:space="preserve">第六版表                                              </w:t>
      </w:r>
      <w:r>
        <w:rPr>
          <w:rFonts w:hint="eastAsia" w:eastAsia="隶书"/>
        </w:rPr>
        <w:t>江苏省住房和城乡建设厅监制</w:t>
      </w:r>
    </w:p>
    <w:p>
      <w:pPr>
        <w:jc w:val="center"/>
      </w:pPr>
    </w:p>
    <w:p>
      <w:pPr>
        <w:jc w:val="right"/>
        <w:rPr>
          <w:rFonts w:eastAsia="黑体"/>
          <w:b/>
          <w:sz w:val="28"/>
          <w:szCs w:val="28"/>
          <w14:shadow w14:blurRad="50800" w14:dist="38100" w14:dir="2700000" w14:sx="100000" w14:sy="100000" w14:kx="0" w14:ky="0" w14:algn="tl">
            <w14:srgbClr w14:val="000000">
              <w14:alpha w14:val="60000"/>
            </w14:srgbClr>
          </w14:shadow>
        </w:rPr>
      </w:pPr>
      <w:r>
        <w:rPr>
          <w:rFonts w:eastAsia="黑体"/>
          <w:b/>
          <w:sz w:val="28"/>
          <w:szCs w:val="28"/>
          <w14:shadow w14:blurRad="50800" w14:dist="38100" w14:dir="2700000" w14:sx="100000" w14:sy="100000" w14:kx="0" w14:ky="0" w14:algn="tl">
            <w14:srgbClr w14:val="000000">
              <w14:alpha w14:val="60000"/>
            </w14:srgbClr>
          </w14:shadow>
        </w:rPr>
        <w:t>A.0.16</w:t>
      </w:r>
    </w:p>
    <w:p>
      <w:pPr>
        <w:pStyle w:val="11"/>
        <w:spacing w:before="312" w:beforeLines="100" w:after="156" w:afterLines="50"/>
        <w:rPr>
          <w:rFonts w:ascii="Times New Roman" w:hAnsi="Times New Roman" w:eastAsia="黑体"/>
          <w:sz w:val="44"/>
          <w:szCs w:val="44"/>
          <w14:shadow w14:blurRad="50800" w14:dist="38100" w14:dir="2700000" w14:sx="100000" w14:sy="100000" w14:kx="0" w14:ky="0" w14:algn="tl">
            <w14:srgbClr w14:val="000000">
              <w14:alpha w14:val="60000"/>
            </w14:srgbClr>
          </w14:shadow>
        </w:rPr>
      </w:pPr>
      <w:r>
        <w:rPr>
          <w:rFonts w:ascii="Times New Roman" w:hAnsi="Times New Roman"/>
          <w:u w:val="single"/>
        </w:rPr>
        <w:t xml:space="preserve">                                           </w:t>
      </w:r>
      <w:r>
        <w:rPr>
          <w:rFonts w:hint="eastAsia" w:ascii="Times New Roman" w:hAnsi="Times New Roman"/>
          <w:u w:val="single"/>
        </w:rPr>
        <w:t>　　</w:t>
      </w:r>
      <w:bookmarkStart w:id="502" w:name="_Toc20726519"/>
      <w:bookmarkStart w:id="503" w:name="_Toc20667990"/>
      <w:r>
        <w:rPr>
          <w:rFonts w:hint="eastAsia" w:ascii="Times New Roman" w:hAnsi="Times New Roman" w:eastAsia="黑体"/>
          <w:sz w:val="44"/>
          <w:szCs w:val="44"/>
        </w:rPr>
        <w:t>工程</w:t>
      </w:r>
      <w:bookmarkEnd w:id="502"/>
      <w:bookmarkEnd w:id="503"/>
    </w:p>
    <w:p>
      <w:pPr>
        <w:spacing w:before="312" w:beforeLines="100" w:after="312" w:afterLines="100"/>
        <w:jc w:val="center"/>
        <w:rPr>
          <w:rFonts w:hint="eastAsia" w:ascii="Times New Roman" w:hAnsi="Times New Roman" w:eastAsia="微软雅黑"/>
          <w:w w:val="200"/>
          <w:sz w:val="48"/>
          <w:szCs w:val="48"/>
          <w14:shadow w14:blurRad="50800" w14:dist="38100" w14:dir="2700000" w14:sx="100000" w14:sy="100000" w14:kx="0" w14:ky="0" w14:algn="tl">
            <w14:srgbClr w14:val="000000">
              <w14:alpha w14:val="60000"/>
            </w14:srgbClr>
          </w14:shadow>
        </w:rPr>
      </w:pPr>
      <w:r>
        <w:rPr>
          <w:rFonts w:hint="eastAsia" w:ascii="Times New Roman" w:hAnsi="Times New Roman" w:eastAsia="微软雅黑"/>
          <w:w w:val="200"/>
          <w:sz w:val="48"/>
          <w:szCs w:val="48"/>
          <w14:shadow w14:blurRad="50800" w14:dist="38100" w14:dir="2700000" w14:sx="100000" w14:sy="100000" w14:kx="0" w14:ky="0" w14:algn="tl">
            <w14:srgbClr w14:val="000000">
              <w14:alpha w14:val="60000"/>
            </w14:srgbClr>
          </w14:shadow>
        </w:rPr>
        <w:t>监理工作总结</w:t>
      </w:r>
    </w:p>
    <w:p>
      <w:pPr>
        <w:spacing w:after="800"/>
        <w:jc w:val="center"/>
        <w:rPr>
          <w:rFonts w:hint="eastAsia"/>
          <w:sz w:val="24"/>
        </w:rPr>
      </w:pPr>
      <w:r>
        <w:rPr>
          <w:sz w:val="30"/>
        </w:rPr>
        <w:t xml:space="preserve"> </w:t>
      </w:r>
      <w:r>
        <w:rPr>
          <w:sz w:val="24"/>
          <w:u w:val="single"/>
        </w:rPr>
        <w:t xml:space="preserve">       </w:t>
      </w:r>
      <w:r>
        <w:rPr>
          <w:rFonts w:hint="eastAsia"/>
          <w:sz w:val="24"/>
        </w:rPr>
        <w:t>年</w:t>
      </w:r>
      <w:r>
        <w:rPr>
          <w:sz w:val="24"/>
          <w:u w:val="single"/>
        </w:rPr>
        <w:t xml:space="preserve">      </w:t>
      </w:r>
      <w:r>
        <w:rPr>
          <w:rFonts w:hint="eastAsia"/>
          <w:sz w:val="24"/>
        </w:rPr>
        <w:t>月</w:t>
      </w:r>
      <w:r>
        <w:rPr>
          <w:rFonts w:hint="eastAsia"/>
          <w:sz w:val="24"/>
          <w:u w:val="single"/>
        </w:rPr>
        <w:t>　</w:t>
      </w:r>
      <w:r>
        <w:rPr>
          <w:sz w:val="24"/>
          <w:u w:val="single"/>
        </w:rPr>
        <w:t xml:space="preserve">    </w:t>
      </w:r>
      <w:r>
        <w:rPr>
          <w:rFonts w:hint="eastAsia"/>
          <w:sz w:val="24"/>
        </w:rPr>
        <w:t>日　至</w:t>
      </w:r>
      <w:r>
        <w:rPr>
          <w:sz w:val="24"/>
          <w:u w:val="single"/>
        </w:rPr>
        <w:t xml:space="preserve">       </w:t>
      </w:r>
      <w:r>
        <w:rPr>
          <w:rFonts w:hint="eastAsia"/>
          <w:sz w:val="24"/>
        </w:rPr>
        <w:t>年</w:t>
      </w:r>
      <w:r>
        <w:rPr>
          <w:rFonts w:hint="eastAsia"/>
          <w:sz w:val="24"/>
          <w:u w:val="single"/>
        </w:rPr>
        <w:t>　</w:t>
      </w:r>
      <w:r>
        <w:rPr>
          <w:sz w:val="24"/>
          <w:u w:val="single"/>
        </w:rPr>
        <w:t xml:space="preserve">  </w:t>
      </w:r>
      <w:r>
        <w:rPr>
          <w:rFonts w:hint="eastAsia"/>
          <w:sz w:val="24"/>
          <w:u w:val="single"/>
        </w:rPr>
        <w:t>　</w:t>
      </w:r>
      <w:r>
        <w:rPr>
          <w:rFonts w:hint="eastAsia"/>
          <w:sz w:val="24"/>
        </w:rPr>
        <w:t>月</w:t>
      </w:r>
      <w:r>
        <w:rPr>
          <w:sz w:val="24"/>
        </w:rPr>
        <w:t xml:space="preserve"> </w:t>
      </w:r>
      <w:r>
        <w:rPr>
          <w:sz w:val="24"/>
          <w:u w:val="single"/>
        </w:rPr>
        <w:t xml:space="preserve">     </w:t>
      </w:r>
      <w:r>
        <w:rPr>
          <w:rFonts w:hint="eastAsia"/>
          <w:sz w:val="24"/>
        </w:rPr>
        <w:t>日</w:t>
      </w:r>
    </w:p>
    <w:p>
      <w:pPr>
        <w:spacing w:line="480" w:lineRule="exact"/>
        <w:ind w:firstLine="2643" w:firstLineChars="1097"/>
        <w:rPr>
          <w:sz w:val="24"/>
        </w:rPr>
      </w:pPr>
      <w:r>
        <w:rPr>
          <w:rFonts w:hint="eastAsia"/>
          <w:b/>
          <w:sz w:val="24"/>
        </w:rPr>
        <w:t>内容提要</w:t>
      </w:r>
      <w:r>
        <w:rPr>
          <w:rFonts w:hint="eastAsia"/>
          <w:sz w:val="24"/>
        </w:rPr>
        <w:t>：</w:t>
      </w:r>
      <w:r>
        <w:rPr>
          <w:sz w:val="24"/>
        </w:rPr>
        <w:t xml:space="preserve"> </w:t>
      </w:r>
    </w:p>
    <w:p>
      <w:pPr>
        <w:spacing w:line="480" w:lineRule="exact"/>
        <w:ind w:firstLine="2632" w:firstLineChars="1097"/>
        <w:rPr>
          <w:sz w:val="24"/>
        </w:rPr>
      </w:pPr>
      <w:r>
        <w:rPr>
          <w:rFonts w:hint="eastAsia"/>
          <w:sz w:val="24"/>
        </w:rPr>
        <w:t>工程概况</w:t>
      </w:r>
    </w:p>
    <w:p>
      <w:pPr>
        <w:spacing w:line="480" w:lineRule="exact"/>
        <w:ind w:firstLine="2632" w:firstLineChars="1097"/>
        <w:rPr>
          <w:sz w:val="24"/>
        </w:rPr>
      </w:pPr>
      <w:r>
        <w:rPr>
          <w:rFonts w:hint="eastAsia"/>
          <w:sz w:val="24"/>
        </w:rPr>
        <w:t>项目监理机构</w:t>
      </w:r>
    </w:p>
    <w:p>
      <w:pPr>
        <w:spacing w:line="480" w:lineRule="exact"/>
        <w:ind w:firstLine="2632" w:firstLineChars="1097"/>
        <w:rPr>
          <w:sz w:val="24"/>
        </w:rPr>
      </w:pPr>
      <w:r>
        <w:rPr>
          <w:rFonts w:hint="eastAsia"/>
          <w:sz w:val="24"/>
        </w:rPr>
        <w:t>建设工程监理合同履行情况</w:t>
      </w:r>
    </w:p>
    <w:p>
      <w:pPr>
        <w:spacing w:line="480" w:lineRule="exact"/>
        <w:ind w:firstLine="2632" w:firstLineChars="1097"/>
        <w:rPr>
          <w:sz w:val="24"/>
        </w:rPr>
      </w:pPr>
      <w:r>
        <w:rPr>
          <w:rFonts w:hint="eastAsia"/>
          <w:sz w:val="24"/>
        </w:rPr>
        <w:t>监理工作成效</w:t>
      </w:r>
    </w:p>
    <w:p>
      <w:pPr>
        <w:spacing w:line="480" w:lineRule="exact"/>
        <w:ind w:firstLine="2632" w:firstLineChars="1097"/>
        <w:rPr>
          <w:sz w:val="24"/>
        </w:rPr>
      </w:pPr>
      <w:r>
        <w:rPr>
          <w:rFonts w:hint="eastAsia"/>
          <w:sz w:val="24"/>
        </w:rPr>
        <w:t>监理工作中发现的问题及其处理情况</w:t>
      </w:r>
    </w:p>
    <w:p>
      <w:pPr>
        <w:spacing w:line="480" w:lineRule="exact"/>
        <w:ind w:firstLine="2632" w:firstLineChars="1097"/>
        <w:rPr>
          <w:sz w:val="24"/>
        </w:rPr>
      </w:pPr>
      <w:r>
        <w:rPr>
          <w:rFonts w:hint="eastAsia"/>
          <w:sz w:val="24"/>
        </w:rPr>
        <w:t>说明和建议</w:t>
      </w:r>
    </w:p>
    <w:p>
      <w:pPr>
        <w:spacing w:line="480" w:lineRule="exact"/>
        <w:ind w:firstLine="2798" w:firstLineChars="1166"/>
        <w:rPr>
          <w:sz w:val="24"/>
        </w:rPr>
      </w:pPr>
    </w:p>
    <w:p>
      <w:pPr>
        <w:spacing w:line="480" w:lineRule="exact"/>
        <w:ind w:firstLine="2798" w:firstLineChars="1166"/>
        <w:rPr>
          <w:sz w:val="24"/>
        </w:rPr>
      </w:pPr>
    </w:p>
    <w:p>
      <w:pPr>
        <w:spacing w:line="480" w:lineRule="exact"/>
        <w:ind w:firstLine="2798" w:firstLineChars="1166"/>
        <w:rPr>
          <w:sz w:val="24"/>
        </w:rPr>
      </w:pPr>
    </w:p>
    <w:p>
      <w:pPr>
        <w:tabs>
          <w:tab w:val="left" w:pos="6750"/>
        </w:tabs>
        <w:spacing w:line="600" w:lineRule="exact"/>
        <w:ind w:firstLine="2087" w:firstLineChars="693"/>
        <w:rPr>
          <w:sz w:val="30"/>
          <w:szCs w:val="30"/>
        </w:rPr>
      </w:pPr>
      <w:r>
        <w:rPr>
          <w:rFonts w:hint="eastAsia"/>
          <w:b/>
          <w:sz w:val="30"/>
          <w:szCs w:val="30"/>
        </w:rPr>
        <w:t>项目监理机构（章）：</w:t>
      </w:r>
      <w:r>
        <w:rPr>
          <w:sz w:val="30"/>
          <w:szCs w:val="30"/>
          <w:u w:val="single"/>
        </w:rPr>
        <w:t xml:space="preserve">                    </w:t>
      </w:r>
      <w:r>
        <w:rPr>
          <w:sz w:val="30"/>
          <w:szCs w:val="30"/>
        </w:rPr>
        <w:t xml:space="preserve">    </w:t>
      </w:r>
    </w:p>
    <w:p>
      <w:pPr>
        <w:spacing w:line="600" w:lineRule="exact"/>
        <w:ind w:firstLine="2087" w:firstLineChars="693"/>
        <w:rPr>
          <w:sz w:val="30"/>
          <w:szCs w:val="30"/>
        </w:rPr>
      </w:pPr>
      <w:r>
        <w:rPr>
          <w:rFonts w:hint="eastAsia"/>
          <w:b/>
          <w:sz w:val="30"/>
          <w:szCs w:val="30"/>
        </w:rPr>
        <w:t>总监理工程师（签字）：</w:t>
      </w:r>
      <w:r>
        <w:rPr>
          <w:sz w:val="30"/>
          <w:szCs w:val="30"/>
          <w:u w:val="single"/>
        </w:rPr>
        <w:t xml:space="preserve">                  </w:t>
      </w:r>
    </w:p>
    <w:p>
      <w:pPr>
        <w:spacing w:line="600" w:lineRule="exact"/>
        <w:ind w:firstLine="2087" w:firstLineChars="693"/>
        <w:rPr>
          <w:sz w:val="30"/>
          <w:szCs w:val="30"/>
        </w:rPr>
      </w:pPr>
      <w:r>
        <w:rPr>
          <w:rFonts w:hint="eastAsia"/>
          <w:b/>
          <w:sz w:val="30"/>
          <w:szCs w:val="30"/>
        </w:rPr>
        <w:t>日</w:t>
      </w:r>
      <w:r>
        <w:rPr>
          <w:b/>
          <w:sz w:val="30"/>
          <w:szCs w:val="30"/>
        </w:rPr>
        <w:t xml:space="preserve">      </w:t>
      </w:r>
      <w:r>
        <w:rPr>
          <w:rFonts w:hint="eastAsia"/>
          <w:b/>
          <w:sz w:val="30"/>
          <w:szCs w:val="30"/>
        </w:rPr>
        <w:t>期：</w:t>
      </w:r>
      <w:r>
        <w:rPr>
          <w:sz w:val="30"/>
          <w:szCs w:val="30"/>
          <w:u w:val="single"/>
        </w:rPr>
        <w:t xml:space="preserve">                            </w:t>
      </w:r>
    </w:p>
    <w:p>
      <w:pPr>
        <w:rPr>
          <w:rFonts w:ascii="Times New Roman"/>
          <w:sz w:val="28"/>
          <w:szCs w:val="28"/>
          <w:u w:val="single"/>
        </w:rPr>
      </w:pPr>
    </w:p>
    <w:p>
      <w:pPr>
        <w:jc w:val="center"/>
        <w:rPr>
          <w:rFonts w:hint="eastAsia" w:ascii="Times New Roman" w:eastAsia="隶书"/>
        </w:rPr>
      </w:pPr>
    </w:p>
    <w:p>
      <w:pPr>
        <w:jc w:val="center"/>
        <w:rPr>
          <w:rFonts w:hint="eastAsia" w:ascii="Times New Roman" w:eastAsia="隶书"/>
        </w:rPr>
      </w:pPr>
    </w:p>
    <w:p>
      <w:pPr>
        <w:jc w:val="center"/>
        <w:rPr>
          <w:rFonts w:hint="eastAsia" w:ascii="Times New Roman" w:eastAsia="隶书"/>
          <w:sz w:val="28"/>
        </w:rPr>
      </w:pPr>
      <w:r>
        <w:rPr>
          <w:rFonts w:hint="eastAsia" w:ascii="Times New Roman" w:eastAsia="隶书"/>
        </w:rPr>
        <w:t>第六版表                                              江苏省住房和城乡建设厅监制</w:t>
      </w:r>
    </w:p>
    <w:p>
      <w:pPr>
        <w:rPr>
          <w:rFonts w:hint="eastAsia"/>
          <w:sz w:val="24"/>
          <w:u w:val="single"/>
        </w:rPr>
      </w:pPr>
      <w:r>
        <w:rPr>
          <w:szCs w:val="21"/>
        </w:rPr>
        <w:br w:type="column"/>
      </w:r>
    </w:p>
    <w:p>
      <w:pPr>
        <w:spacing w:line="380" w:lineRule="exact"/>
        <w:jc w:val="right"/>
        <w:rPr>
          <w:rFonts w:eastAsia="黑体"/>
          <w:b/>
          <w:sz w:val="28"/>
          <w:szCs w:val="28"/>
          <w14:shadow w14:blurRad="50800" w14:dist="38100" w14:dir="2700000" w14:sx="100000" w14:sy="100000" w14:kx="0" w14:ky="0" w14:algn="tl">
            <w14:srgbClr w14:val="000000">
              <w14:alpha w14:val="60000"/>
            </w14:srgbClr>
          </w14:shadow>
        </w:rPr>
      </w:pPr>
      <w:r>
        <w:rPr>
          <w:rFonts w:eastAsia="黑体"/>
          <w:b/>
          <w:sz w:val="28"/>
          <w:szCs w:val="28"/>
          <w14:shadow w14:blurRad="50800" w14:dist="38100" w14:dir="2700000" w14:sx="100000" w14:sy="100000" w14:kx="0" w14:ky="0" w14:algn="tl">
            <w14:srgbClr w14:val="000000">
              <w14:alpha w14:val="60000"/>
            </w14:srgbClr>
          </w14:shadow>
        </w:rPr>
        <w:t>A.0.17</w:t>
      </w:r>
    </w:p>
    <w:p>
      <w:pPr>
        <w:spacing w:before="312" w:beforeLines="100" w:after="312" w:afterLines="100"/>
        <w:jc w:val="center"/>
        <w:rPr>
          <w:rFonts w:eastAsia="黑体"/>
          <w:sz w:val="44"/>
          <w14:shadow w14:blurRad="50800" w14:dist="38100" w14:dir="2700000" w14:sx="100000" w14:sy="100000" w14:kx="0" w14:ky="0" w14:algn="tl">
            <w14:srgbClr w14:val="000000">
              <w14:alpha w14:val="60000"/>
            </w14:srgbClr>
          </w14:shadow>
        </w:rPr>
      </w:pPr>
      <w:r>
        <w:rPr>
          <w:rFonts w:hint="eastAsia" w:eastAsia="黑体"/>
          <w:sz w:val="44"/>
          <w14:shadow w14:blurRad="50800" w14:dist="38100" w14:dir="2700000" w14:sx="100000" w14:sy="100000" w14:kx="0" w14:ky="0" w14:algn="tl">
            <w14:srgbClr w14:val="000000">
              <w14:alpha w14:val="60000"/>
            </w14:srgbClr>
          </w14:shadow>
        </w:rPr>
        <w:t>工程监理资料移交单</w:t>
      </w:r>
    </w:p>
    <w:p>
      <w:pPr>
        <w:spacing w:after="156" w:afterLines="50" w:line="420" w:lineRule="exact"/>
        <w:ind w:left="21" w:hanging="21" w:hangingChars="10"/>
        <w:rPr>
          <w:szCs w:val="21"/>
        </w:rPr>
      </w:pPr>
      <w:r>
        <w:rPr>
          <w:rFonts w:hint="eastAsia"/>
          <w:szCs w:val="21"/>
        </w:rPr>
        <w:t>工程名称：</w:t>
      </w:r>
      <w:r>
        <w:rPr>
          <w:szCs w:val="21"/>
          <w:u w:val="single"/>
        </w:rPr>
        <w:t xml:space="preserve">                        </w:t>
      </w:r>
      <w:r>
        <w:rPr>
          <w:rFonts w:hint="eastAsia"/>
          <w:szCs w:val="21"/>
        </w:rPr>
        <w:t>　　　</w:t>
      </w:r>
      <w:r>
        <w:rPr>
          <w:szCs w:val="21"/>
        </w:rPr>
        <w:t xml:space="preserve">    </w:t>
      </w:r>
      <w:r>
        <w:rPr>
          <w:rFonts w:hint="eastAsia"/>
          <w:szCs w:val="21"/>
        </w:rPr>
        <w:t>　</w:t>
      </w:r>
      <w:r>
        <w:rPr>
          <w:szCs w:val="21"/>
        </w:rPr>
        <w:t xml:space="preserve">               </w:t>
      </w:r>
      <w:r>
        <w:rPr>
          <w:rFonts w:hint="eastAsia"/>
          <w:szCs w:val="21"/>
        </w:rPr>
        <w:t>编号：</w:t>
      </w:r>
      <w:r>
        <w:rPr>
          <w:szCs w:val="21"/>
        </w:rPr>
        <w:t>A.0.17</w:t>
      </w:r>
      <w:r>
        <w:rPr>
          <w:rFonts w:hint="eastAsia"/>
          <w:szCs w:val="21"/>
        </w:rPr>
        <w:t>－</w:t>
      </w:r>
      <w:r>
        <w:rPr>
          <w:szCs w:val="21"/>
          <w:u w:val="single"/>
        </w:rPr>
        <w:t xml:space="preserve">       </w:t>
      </w:r>
    </w:p>
    <w:tbl>
      <w:tblPr>
        <w:tblStyle w:val="1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93"/>
        <w:gridCol w:w="2175"/>
        <w:gridCol w:w="1980"/>
        <w:gridCol w:w="26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25" w:hRule="atLeast"/>
        </w:trPr>
        <w:tc>
          <w:tcPr>
            <w:tcW w:w="8718" w:type="dxa"/>
            <w:gridSpan w:val="4"/>
            <w:tcBorders>
              <w:top w:val="single" w:color="auto" w:sz="8" w:space="0"/>
              <w:left w:val="single" w:color="auto" w:sz="8" w:space="0"/>
              <w:bottom w:val="single" w:color="auto" w:sz="4" w:space="0"/>
              <w:right w:val="single" w:color="auto" w:sz="8" w:space="0"/>
            </w:tcBorders>
            <w:noWrap w:val="0"/>
            <w:vAlign w:val="top"/>
          </w:tcPr>
          <w:p>
            <w:pPr>
              <w:spacing w:before="156" w:beforeLines="50" w:after="156" w:afterLines="50" w:line="420" w:lineRule="exact"/>
              <w:rPr>
                <w:rFonts w:ascii="Times New Roman"/>
                <w:szCs w:val="21"/>
              </w:rPr>
            </w:pPr>
            <w:r>
              <w:rPr>
                <w:rFonts w:hint="eastAsia" w:ascii="Times New Roman"/>
                <w:szCs w:val="21"/>
              </w:rPr>
              <w:t>致：</w:t>
            </w:r>
            <w:r>
              <w:rPr>
                <w:rFonts w:hint="eastAsia" w:ascii="Times New Roman"/>
                <w:szCs w:val="21"/>
                <w:u w:val="single"/>
              </w:rPr>
              <w:t>　　　　　　　　</w:t>
            </w:r>
            <w:r>
              <w:rPr>
                <w:rFonts w:hint="eastAsia" w:ascii="Times New Roman"/>
                <w:szCs w:val="21"/>
              </w:rPr>
              <w:t>（建设单位）</w:t>
            </w:r>
          </w:p>
          <w:p>
            <w:pPr>
              <w:spacing w:line="420" w:lineRule="exact"/>
              <w:ind w:firstLine="420" w:firstLineChars="200"/>
              <w:jc w:val="left"/>
              <w:rPr>
                <w:rFonts w:hint="eastAsia" w:ascii="Times New Roman"/>
                <w:spacing w:val="-6"/>
                <w:szCs w:val="21"/>
              </w:rPr>
            </w:pPr>
            <w:r>
              <w:rPr>
                <w:rFonts w:hint="eastAsia" w:ascii="Times New Roman"/>
                <w:szCs w:val="21"/>
              </w:rPr>
              <w:t>我方现将</w:t>
            </w:r>
            <w:r>
              <w:rPr>
                <w:rFonts w:hint="eastAsia" w:ascii="Times New Roman"/>
                <w:szCs w:val="21"/>
                <w:u w:val="single"/>
              </w:rPr>
              <w:t xml:space="preserve">                                </w:t>
            </w:r>
            <w:r>
              <w:rPr>
                <w:rFonts w:hint="eastAsia" w:ascii="Times New Roman"/>
                <w:spacing w:val="-6"/>
                <w:szCs w:val="21"/>
              </w:rPr>
              <w:t>工程监理资料移交给贵方,请予以审查、接收。</w:t>
            </w:r>
          </w:p>
          <w:p>
            <w:pPr>
              <w:spacing w:line="420" w:lineRule="exact"/>
              <w:ind w:firstLine="480"/>
              <w:jc w:val="left"/>
              <w:rPr>
                <w:rFonts w:hint="eastAsia" w:ascii="Times New Roman"/>
                <w:szCs w:val="21"/>
              </w:rPr>
            </w:pPr>
          </w:p>
          <w:p>
            <w:pPr>
              <w:spacing w:line="420" w:lineRule="exact"/>
              <w:ind w:firstLine="480"/>
              <w:jc w:val="left"/>
              <w:rPr>
                <w:rFonts w:hint="eastAsia" w:ascii="Times New Roman"/>
                <w:szCs w:val="21"/>
              </w:rPr>
            </w:pPr>
            <w:r>
              <w:rPr>
                <w:rFonts w:hint="eastAsia" w:ascii="Times New Roman"/>
                <w:szCs w:val="21"/>
              </w:rPr>
              <w:t>附件：</w:t>
            </w:r>
          </w:p>
          <w:p>
            <w:pPr>
              <w:spacing w:line="420" w:lineRule="exact"/>
              <w:ind w:left="480"/>
              <w:jc w:val="left"/>
              <w:rPr>
                <w:rFonts w:hint="eastAsia" w:ascii="Times New Roman"/>
                <w:szCs w:val="21"/>
              </w:rPr>
            </w:pPr>
            <w:r>
              <w:rPr>
                <w:szCs w:val="21"/>
              </w:rPr>
              <w:t>1</w:t>
            </w:r>
            <w:r>
              <w:rPr>
                <w:rFonts w:hint="eastAsia" w:ascii="Times New Roman"/>
                <w:szCs w:val="21"/>
              </w:rPr>
              <w:t xml:space="preserve">、工程监理资料清单                        </w:t>
            </w:r>
          </w:p>
          <w:p>
            <w:pPr>
              <w:spacing w:line="420" w:lineRule="exact"/>
              <w:ind w:left="480"/>
              <w:jc w:val="left"/>
              <w:rPr>
                <w:rFonts w:hint="eastAsia" w:ascii="Times New Roman"/>
                <w:szCs w:val="21"/>
              </w:rPr>
            </w:pPr>
            <w:r>
              <w:rPr>
                <w:szCs w:val="21"/>
              </w:rPr>
              <w:t>2</w:t>
            </w:r>
            <w:r>
              <w:rPr>
                <w:rFonts w:hint="eastAsia" w:ascii="Times New Roman"/>
                <w:szCs w:val="21"/>
              </w:rPr>
              <w:t>、工程监理资料整理归档文件</w:t>
            </w:r>
          </w:p>
          <w:p>
            <w:pPr>
              <w:spacing w:line="420" w:lineRule="exact"/>
              <w:ind w:firstLine="3158" w:firstLineChars="1504"/>
              <w:rPr>
                <w:rFonts w:hint="eastAsia" w:ascii="Times New Roman"/>
                <w:szCs w:val="21"/>
              </w:rPr>
            </w:pPr>
          </w:p>
          <w:p>
            <w:pPr>
              <w:spacing w:line="420" w:lineRule="exact"/>
              <w:ind w:firstLine="3158" w:firstLineChars="1504"/>
              <w:rPr>
                <w:rFonts w:hint="eastAsia" w:ascii="Times New Roman"/>
                <w:szCs w:val="21"/>
              </w:rPr>
            </w:pPr>
          </w:p>
          <w:p>
            <w:pPr>
              <w:spacing w:line="420" w:lineRule="exact"/>
              <w:ind w:firstLine="3158" w:firstLineChars="1504"/>
              <w:rPr>
                <w:rFonts w:hint="eastAsia" w:ascii="Times New Roman"/>
                <w:szCs w:val="21"/>
              </w:rPr>
            </w:pPr>
          </w:p>
          <w:p>
            <w:pPr>
              <w:spacing w:line="420" w:lineRule="exact"/>
              <w:ind w:firstLine="3158" w:firstLineChars="1504"/>
              <w:rPr>
                <w:rFonts w:hint="eastAsia" w:ascii="Times New Roman"/>
                <w:szCs w:val="21"/>
              </w:rPr>
            </w:pPr>
          </w:p>
          <w:p>
            <w:pPr>
              <w:spacing w:line="420" w:lineRule="exact"/>
              <w:ind w:firstLine="3158" w:firstLineChars="1504"/>
              <w:rPr>
                <w:rFonts w:hint="eastAsia" w:ascii="Times New Roman"/>
                <w:szCs w:val="21"/>
              </w:rPr>
            </w:pPr>
          </w:p>
          <w:p>
            <w:pPr>
              <w:spacing w:line="420" w:lineRule="exact"/>
              <w:rPr>
                <w:rFonts w:hint="eastAsia" w:ascii="Times New Roman"/>
                <w:szCs w:val="21"/>
                <w:u w:val="single"/>
              </w:rPr>
            </w:pPr>
            <w:r>
              <w:rPr>
                <w:rFonts w:hint="eastAsia" w:ascii="Times New Roman"/>
                <w:szCs w:val="21"/>
              </w:rPr>
              <w:t xml:space="preserve">                          项目监理机构（章）：</w:t>
            </w:r>
            <w:r>
              <w:rPr>
                <w:rFonts w:hint="eastAsia" w:ascii="Times New Roman"/>
                <w:szCs w:val="21"/>
                <w:u w:val="single"/>
              </w:rPr>
              <w:t>　　         　　    　  　　　</w:t>
            </w:r>
          </w:p>
          <w:p>
            <w:pPr>
              <w:spacing w:before="312" w:beforeLines="100" w:line="420" w:lineRule="exact"/>
              <w:ind w:firstLine="105" w:firstLineChars="50"/>
              <w:jc w:val="left"/>
              <w:rPr>
                <w:rFonts w:hint="eastAsia" w:ascii="Times New Roman"/>
                <w:szCs w:val="21"/>
                <w:u w:val="single"/>
              </w:rPr>
            </w:pPr>
            <w:r>
              <w:rPr>
                <w:rFonts w:hint="eastAsia" w:ascii="Times New Roman"/>
                <w:szCs w:val="21"/>
              </w:rPr>
              <w:t xml:space="preserve">                        总监理工程师/总监理工程师代表（签字）：</w:t>
            </w:r>
            <w:r>
              <w:rPr>
                <w:rFonts w:hint="eastAsia" w:ascii="Times New Roman"/>
                <w:szCs w:val="21"/>
                <w:u w:val="single"/>
              </w:rPr>
              <w:t>　　　　　　</w:t>
            </w:r>
          </w:p>
          <w:p>
            <w:pPr>
              <w:tabs>
                <w:tab w:val="left" w:pos="7890"/>
              </w:tabs>
              <w:spacing w:before="156" w:beforeLines="50" w:line="420" w:lineRule="exact"/>
              <w:ind w:firstLine="105" w:firstLineChars="50"/>
              <w:jc w:val="left"/>
              <w:rPr>
                <w:rFonts w:ascii="Times New Roman"/>
                <w:szCs w:val="21"/>
                <w:u w:val="single"/>
              </w:rPr>
            </w:pPr>
            <w:r>
              <w:rPr>
                <w:bCs/>
                <w:szCs w:val="21"/>
              </w:rPr>
              <w:t xml:space="preserve">                                                  </w:t>
            </w:r>
            <w:r>
              <w:rPr>
                <w:szCs w:val="21"/>
              </w:rPr>
              <w:t xml:space="preserve"> </w:t>
            </w:r>
            <w:r>
              <w:rPr>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27" w:hRule="atLeast"/>
        </w:trPr>
        <w:tc>
          <w:tcPr>
            <w:tcW w:w="1893" w:type="dxa"/>
            <w:tcBorders>
              <w:top w:val="single" w:color="auto" w:sz="4" w:space="0"/>
              <w:left w:val="single" w:color="auto" w:sz="8" w:space="0"/>
              <w:bottom w:val="single" w:color="auto" w:sz="4" w:space="0"/>
              <w:right w:val="single" w:color="auto" w:sz="4" w:space="0"/>
            </w:tcBorders>
            <w:noWrap w:val="0"/>
            <w:vAlign w:val="center"/>
          </w:tcPr>
          <w:p>
            <w:pPr>
              <w:spacing w:line="320" w:lineRule="exact"/>
              <w:jc w:val="center"/>
              <w:rPr>
                <w:rFonts w:ascii="Times New Roman"/>
                <w:szCs w:val="21"/>
              </w:rPr>
            </w:pPr>
            <w:r>
              <w:rPr>
                <w:rFonts w:hint="eastAsia" w:ascii="Times New Roman"/>
                <w:szCs w:val="21"/>
              </w:rPr>
              <w:t>建设单位签收</w:t>
            </w:r>
          </w:p>
          <w:p>
            <w:pPr>
              <w:spacing w:line="320" w:lineRule="exact"/>
              <w:jc w:val="center"/>
              <w:rPr>
                <w:rFonts w:ascii="Times New Roman"/>
                <w:szCs w:val="21"/>
              </w:rPr>
            </w:pPr>
            <w:r>
              <w:rPr>
                <w:rFonts w:hint="eastAsia" w:ascii="Times New Roman"/>
                <w:szCs w:val="21"/>
              </w:rPr>
              <w:t>人姓名及时间</w:t>
            </w:r>
          </w:p>
        </w:tc>
        <w:tc>
          <w:tcPr>
            <w:tcW w:w="2175"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Times New Roman"/>
                <w:szCs w:val="21"/>
              </w:rPr>
            </w:pP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Times New Roman"/>
                <w:szCs w:val="21"/>
              </w:rPr>
            </w:pPr>
            <w:r>
              <w:rPr>
                <w:rFonts w:hint="eastAsia" w:ascii="Times New Roman"/>
                <w:szCs w:val="21"/>
              </w:rPr>
              <w:t>项目监理机构签</w:t>
            </w:r>
          </w:p>
          <w:p>
            <w:pPr>
              <w:spacing w:line="320" w:lineRule="exact"/>
              <w:jc w:val="center"/>
              <w:rPr>
                <w:rFonts w:ascii="Times New Roman"/>
                <w:szCs w:val="21"/>
              </w:rPr>
            </w:pPr>
            <w:r>
              <w:rPr>
                <w:rFonts w:hint="eastAsia" w:ascii="Times New Roman"/>
                <w:szCs w:val="21"/>
              </w:rPr>
              <w:t>收人姓名及时间</w:t>
            </w:r>
          </w:p>
        </w:tc>
        <w:tc>
          <w:tcPr>
            <w:tcW w:w="2670" w:type="dxa"/>
            <w:tcBorders>
              <w:top w:val="single" w:color="auto" w:sz="4" w:space="0"/>
              <w:left w:val="single" w:color="auto" w:sz="4" w:space="0"/>
              <w:bottom w:val="single" w:color="auto" w:sz="4" w:space="0"/>
              <w:right w:val="single" w:color="auto" w:sz="8" w:space="0"/>
            </w:tcBorders>
            <w:noWrap w:val="0"/>
            <w:vAlign w:val="center"/>
          </w:tcPr>
          <w:p>
            <w:pPr>
              <w:spacing w:line="320" w:lineRule="exact"/>
              <w:jc w:val="center"/>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95" w:hRule="atLeast"/>
        </w:trPr>
        <w:tc>
          <w:tcPr>
            <w:tcW w:w="8718" w:type="dxa"/>
            <w:gridSpan w:val="4"/>
            <w:tcBorders>
              <w:top w:val="single" w:color="auto" w:sz="4" w:space="0"/>
              <w:left w:val="single" w:color="auto" w:sz="8" w:space="0"/>
              <w:bottom w:val="single" w:color="auto" w:sz="4" w:space="0"/>
              <w:right w:val="single" w:color="auto" w:sz="8" w:space="0"/>
            </w:tcBorders>
            <w:noWrap w:val="0"/>
            <w:vAlign w:val="top"/>
          </w:tcPr>
          <w:p>
            <w:pPr>
              <w:spacing w:before="156" w:beforeLines="50" w:line="420" w:lineRule="exact"/>
              <w:rPr>
                <w:rFonts w:ascii="Times New Roman"/>
                <w:szCs w:val="21"/>
              </w:rPr>
            </w:pPr>
            <w:r>
              <w:rPr>
                <w:rFonts w:hint="eastAsia" w:ascii="Times New Roman"/>
                <w:szCs w:val="21"/>
              </w:rPr>
              <w:t>建设单位意见：</w:t>
            </w:r>
          </w:p>
          <w:p>
            <w:pPr>
              <w:spacing w:line="420" w:lineRule="exact"/>
              <w:rPr>
                <w:rFonts w:hint="eastAsia" w:ascii="Times New Roman"/>
                <w:szCs w:val="21"/>
              </w:rPr>
            </w:pPr>
          </w:p>
          <w:p>
            <w:pPr>
              <w:spacing w:line="420" w:lineRule="exact"/>
              <w:rPr>
                <w:rFonts w:hint="eastAsia" w:ascii="Times New Roman"/>
                <w:szCs w:val="21"/>
              </w:rPr>
            </w:pPr>
          </w:p>
          <w:p>
            <w:pPr>
              <w:ind w:firstLine="3194" w:firstLineChars="1521"/>
              <w:rPr>
                <w:rFonts w:hint="eastAsia" w:ascii="Times New Roman"/>
                <w:szCs w:val="21"/>
                <w:u w:val="single"/>
              </w:rPr>
            </w:pPr>
            <w:r>
              <w:rPr>
                <w:rFonts w:hint="eastAsia" w:ascii="Times New Roman"/>
                <w:szCs w:val="21"/>
              </w:rPr>
              <w:t>建设单位（章）：</w:t>
            </w:r>
            <w:r>
              <w:rPr>
                <w:rFonts w:hint="eastAsia" w:ascii="Times New Roman"/>
                <w:szCs w:val="21"/>
                <w:u w:val="single"/>
              </w:rPr>
              <w:t xml:space="preserve">                              </w:t>
            </w:r>
          </w:p>
          <w:p>
            <w:pPr>
              <w:tabs>
                <w:tab w:val="left" w:pos="7936"/>
              </w:tabs>
              <w:spacing w:before="312" w:beforeLines="100"/>
              <w:rPr>
                <w:rFonts w:hint="eastAsia" w:ascii="Times New Roman"/>
                <w:szCs w:val="21"/>
              </w:rPr>
            </w:pPr>
            <w:r>
              <w:rPr>
                <w:rFonts w:hint="eastAsia" w:ascii="Times New Roman"/>
                <w:szCs w:val="21"/>
              </w:rPr>
              <w:t xml:space="preserve">                              项目负责人（签字）：</w:t>
            </w:r>
            <w:r>
              <w:rPr>
                <w:rFonts w:hint="eastAsia" w:ascii="Times New Roman"/>
                <w:szCs w:val="21"/>
                <w:u w:val="single"/>
              </w:rPr>
              <w:t xml:space="preserve">                       </w:t>
            </w:r>
            <w:r>
              <w:rPr>
                <w:rFonts w:ascii="Times New Roman"/>
                <w:szCs w:val="21"/>
                <w:u w:val="single"/>
              </w:rPr>
              <w:t> </w:t>
            </w:r>
            <w:r>
              <w:rPr>
                <w:rFonts w:hint="eastAsia" w:ascii="Times New Roman"/>
                <w:szCs w:val="21"/>
                <w:u w:val="single"/>
              </w:rPr>
              <w:t xml:space="preserve">   </w:t>
            </w:r>
            <w:r>
              <w:rPr>
                <w:rFonts w:hint="eastAsia" w:ascii="Times New Roman"/>
                <w:szCs w:val="21"/>
              </w:rPr>
              <w:t xml:space="preserve">  </w:t>
            </w:r>
          </w:p>
          <w:p>
            <w:pPr>
              <w:tabs>
                <w:tab w:val="left" w:pos="8100"/>
              </w:tabs>
              <w:spacing w:before="156" w:beforeLines="50"/>
              <w:rPr>
                <w:rFonts w:ascii="Times New Roman"/>
                <w:szCs w:val="21"/>
                <w:u w:val="single"/>
              </w:rPr>
            </w:pPr>
            <w:r>
              <w:rPr>
                <w:bCs/>
                <w:szCs w:val="21"/>
              </w:rPr>
              <w:t xml:space="preserve">                                                   </w:t>
            </w:r>
            <w:r>
              <w:rPr>
                <w:szCs w:val="21"/>
              </w:rPr>
              <w:t xml:space="preserve"> </w:t>
            </w:r>
            <w:r>
              <w:rPr>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718" w:type="dxa"/>
            <w:gridSpan w:val="4"/>
            <w:tcBorders>
              <w:top w:val="single" w:color="auto" w:sz="4" w:space="0"/>
              <w:left w:val="single" w:color="auto" w:sz="8" w:space="0"/>
              <w:bottom w:val="single" w:color="auto" w:sz="8" w:space="0"/>
              <w:right w:val="single" w:color="auto" w:sz="8" w:space="0"/>
            </w:tcBorders>
            <w:noWrap w:val="0"/>
            <w:vAlign w:val="center"/>
          </w:tcPr>
          <w:p>
            <w:pPr>
              <w:tabs>
                <w:tab w:val="left" w:pos="8100"/>
              </w:tabs>
              <w:spacing w:line="420" w:lineRule="exact"/>
              <w:rPr>
                <w:rFonts w:ascii="Times New Roman"/>
                <w:szCs w:val="21"/>
                <w:u w:val="single"/>
              </w:rPr>
            </w:pPr>
            <w:r>
              <w:rPr>
                <w:rFonts w:hint="eastAsia"/>
                <w:szCs w:val="21"/>
              </w:rPr>
              <w:t>注：本表一式二份，项目监理机构、建设单位各一份。</w:t>
            </w:r>
          </w:p>
        </w:tc>
      </w:tr>
    </w:tbl>
    <w:p>
      <w:pPr>
        <w:rPr>
          <w:rFonts w:ascii="Times New Roman" w:eastAsia="隶书"/>
        </w:rPr>
      </w:pPr>
      <w:r>
        <w:rPr>
          <w:rFonts w:hint="eastAsia" w:ascii="Times New Roman" w:eastAsia="隶书"/>
        </w:rPr>
        <w:t>第六版表                                              江苏省住房和城乡建设厅监制</w:t>
      </w:r>
    </w:p>
    <w:p>
      <w:pPr>
        <w:spacing w:line="380" w:lineRule="exact"/>
        <w:jc w:val="right"/>
        <w:rPr>
          <w:rFonts w:hint="eastAsia" w:ascii="Times New Roman" w:eastAsia="黑体"/>
          <w:sz w:val="28"/>
          <w:szCs w:val="28"/>
        </w:rPr>
      </w:pPr>
      <w:r>
        <w:rPr>
          <w:rFonts w:eastAsia="黑体"/>
          <w:b/>
          <w:w w:val="90"/>
          <w:sz w:val="28"/>
          <w:szCs w:val="28"/>
          <w14:shadow w14:blurRad="50800" w14:dist="38100" w14:dir="2700000" w14:sx="100000" w14:sy="100000" w14:kx="0" w14:ky="0" w14:algn="tl">
            <w14:srgbClr w14:val="000000">
              <w14:alpha w14:val="60000"/>
            </w14:srgbClr>
          </w14:shadow>
        </w:rPr>
        <w:t>A.0.18</w:t>
      </w:r>
    </w:p>
    <w:p>
      <w:pPr>
        <w:spacing w:before="312" w:beforeLines="100" w:after="312" w:afterLines="100"/>
        <w:jc w:val="center"/>
        <w:rPr>
          <w:rFonts w:hint="eastAsia" w:eastAsia="黑体"/>
          <w:bCs/>
          <w:sz w:val="44"/>
          <w14:shadow w14:blurRad="50800" w14:dist="38100" w14:dir="2700000" w14:sx="100000" w14:sy="100000" w14:kx="0" w14:ky="0" w14:algn="tl">
            <w14:srgbClr w14:val="000000">
              <w14:alpha w14:val="60000"/>
            </w14:srgbClr>
          </w14:shadow>
        </w:rPr>
      </w:pPr>
      <w:r>
        <w:rPr>
          <w:rFonts w:hint="eastAsia" w:eastAsia="黑体"/>
          <w:bCs/>
          <w:sz w:val="44"/>
          <w14:shadow w14:blurRad="50800" w14:dist="38100" w14:dir="2700000" w14:sx="100000" w14:sy="100000" w14:kx="0" w14:ky="0" w14:algn="tl">
            <w14:srgbClr w14:val="000000">
              <w14:alpha w14:val="60000"/>
            </w14:srgbClr>
          </w14:shadow>
        </w:rPr>
        <w:t>危大工程巡视检查记录表</w:t>
      </w:r>
    </w:p>
    <w:p>
      <w:pPr>
        <w:spacing w:after="156" w:afterLines="50" w:line="420" w:lineRule="exact"/>
        <w:ind w:left="21" w:hanging="21" w:hangingChars="10"/>
        <w:rPr>
          <w:szCs w:val="21"/>
        </w:rPr>
      </w:pPr>
      <w:r>
        <w:rPr>
          <w:rFonts w:hint="eastAsia"/>
          <w:szCs w:val="21"/>
        </w:rPr>
        <w:t>工程名称：</w:t>
      </w:r>
      <w:r>
        <w:rPr>
          <w:szCs w:val="21"/>
          <w:u w:val="single"/>
        </w:rPr>
        <w:t xml:space="preserve">                        </w:t>
      </w:r>
      <w:r>
        <w:rPr>
          <w:rFonts w:hint="eastAsia"/>
          <w:szCs w:val="21"/>
        </w:rPr>
        <w:t>　　　　　　　　　　　</w:t>
      </w:r>
      <w:r>
        <w:rPr>
          <w:szCs w:val="21"/>
        </w:rPr>
        <w:t xml:space="preserve"> </w:t>
      </w:r>
      <w:r>
        <w:rPr>
          <w:rFonts w:hint="eastAsia"/>
          <w:szCs w:val="21"/>
        </w:rPr>
        <w:t>　编号：</w:t>
      </w:r>
      <w:r>
        <w:rPr>
          <w:szCs w:val="21"/>
        </w:rPr>
        <w:t>A.0.18</w:t>
      </w:r>
      <w:r>
        <w:rPr>
          <w:rFonts w:hint="eastAsia"/>
          <w:szCs w:val="21"/>
        </w:rPr>
        <w:t>－</w:t>
      </w:r>
      <w:r>
        <w:rPr>
          <w:szCs w:val="21"/>
          <w:u w:val="single"/>
        </w:rPr>
        <w:t xml:space="preserve">       </w:t>
      </w:r>
    </w:p>
    <w:tbl>
      <w:tblPr>
        <w:tblStyle w:val="1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2746"/>
        <w:gridCol w:w="1484"/>
        <w:gridCol w:w="288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2" w:hRule="exact"/>
        </w:trPr>
        <w:tc>
          <w:tcPr>
            <w:tcW w:w="1515" w:type="dxa"/>
            <w:tcBorders>
              <w:top w:val="single" w:color="auto" w:sz="8" w:space="0"/>
              <w:left w:val="single" w:color="auto" w:sz="8" w:space="0"/>
              <w:bottom w:val="single" w:color="auto" w:sz="4" w:space="0"/>
              <w:right w:val="single" w:color="auto" w:sz="4" w:space="0"/>
            </w:tcBorders>
            <w:noWrap w:val="0"/>
            <w:vAlign w:val="center"/>
          </w:tcPr>
          <w:p>
            <w:pPr>
              <w:rPr>
                <w:szCs w:val="21"/>
              </w:rPr>
            </w:pPr>
            <w:r>
              <w:rPr>
                <w:rFonts w:hint="eastAsia"/>
                <w:szCs w:val="21"/>
              </w:rPr>
              <w:t>危大工程名称</w:t>
            </w:r>
          </w:p>
        </w:tc>
        <w:tc>
          <w:tcPr>
            <w:tcW w:w="2746" w:type="dxa"/>
            <w:tcBorders>
              <w:top w:val="single" w:color="auto" w:sz="8" w:space="0"/>
              <w:left w:val="single" w:color="auto" w:sz="4" w:space="0"/>
              <w:bottom w:val="single" w:color="auto" w:sz="4" w:space="0"/>
              <w:right w:val="single" w:color="auto" w:sz="4" w:space="0"/>
            </w:tcBorders>
            <w:noWrap w:val="0"/>
            <w:vAlign w:val="center"/>
          </w:tcPr>
          <w:p>
            <w:pPr>
              <w:jc w:val="center"/>
              <w:rPr>
                <w:szCs w:val="21"/>
              </w:rPr>
            </w:pPr>
          </w:p>
        </w:tc>
        <w:tc>
          <w:tcPr>
            <w:tcW w:w="1484" w:type="dxa"/>
            <w:tcBorders>
              <w:top w:val="single" w:color="auto" w:sz="8" w:space="0"/>
              <w:left w:val="single" w:color="auto" w:sz="4" w:space="0"/>
              <w:bottom w:val="single" w:color="auto" w:sz="4" w:space="0"/>
              <w:right w:val="single" w:color="auto" w:sz="4" w:space="0"/>
            </w:tcBorders>
            <w:noWrap w:val="0"/>
            <w:vAlign w:val="center"/>
          </w:tcPr>
          <w:p>
            <w:pPr>
              <w:jc w:val="center"/>
              <w:rPr>
                <w:szCs w:val="21"/>
              </w:rPr>
            </w:pPr>
            <w:r>
              <w:rPr>
                <w:rFonts w:hint="eastAsia"/>
                <w:szCs w:val="21"/>
              </w:rPr>
              <w:t>施工单位</w:t>
            </w:r>
          </w:p>
        </w:tc>
        <w:tc>
          <w:tcPr>
            <w:tcW w:w="2883" w:type="dxa"/>
            <w:tcBorders>
              <w:top w:val="single" w:color="auto" w:sz="8" w:space="0"/>
              <w:left w:val="single" w:color="auto" w:sz="4" w:space="0"/>
              <w:bottom w:val="single" w:color="auto" w:sz="4" w:space="0"/>
              <w:right w:val="single" w:color="auto" w:sz="8" w:space="0"/>
            </w:tcBorders>
            <w:noWrap w:val="0"/>
            <w:vAlign w:val="center"/>
          </w:tcPr>
          <w:p>
            <w:pPr>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11" w:hRule="atLeast"/>
        </w:trPr>
        <w:tc>
          <w:tcPr>
            <w:tcW w:w="8628" w:type="dxa"/>
            <w:gridSpan w:val="4"/>
            <w:tcBorders>
              <w:top w:val="single" w:color="auto" w:sz="4" w:space="0"/>
              <w:left w:val="single" w:color="auto" w:sz="8" w:space="0"/>
              <w:bottom w:val="single" w:color="auto" w:sz="4" w:space="0"/>
              <w:right w:val="single" w:color="auto" w:sz="8" w:space="0"/>
            </w:tcBorders>
            <w:noWrap w:val="0"/>
            <w:vAlign w:val="top"/>
          </w:tcPr>
          <w:p>
            <w:pPr>
              <w:spacing w:before="156" w:beforeLines="50"/>
              <w:rPr>
                <w:szCs w:val="21"/>
              </w:rPr>
            </w:pPr>
            <w:r>
              <w:rPr>
                <w:rFonts w:hint="eastAsia"/>
                <w:szCs w:val="21"/>
              </w:rPr>
              <w:t>巡视检查情况：</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723" w:hRule="atLeast"/>
        </w:trPr>
        <w:tc>
          <w:tcPr>
            <w:tcW w:w="8628" w:type="dxa"/>
            <w:gridSpan w:val="4"/>
            <w:tcBorders>
              <w:top w:val="single" w:color="auto" w:sz="4" w:space="0"/>
              <w:left w:val="single" w:color="auto" w:sz="8" w:space="0"/>
              <w:bottom w:val="single" w:color="auto" w:sz="4" w:space="0"/>
              <w:right w:val="single" w:color="auto" w:sz="8" w:space="0"/>
            </w:tcBorders>
            <w:noWrap w:val="0"/>
            <w:vAlign w:val="top"/>
          </w:tcPr>
          <w:p>
            <w:pPr>
              <w:spacing w:before="156" w:beforeLines="50"/>
              <w:rPr>
                <w:szCs w:val="21"/>
              </w:rPr>
            </w:pPr>
            <w:r>
              <w:rPr>
                <w:rFonts w:hint="eastAsia"/>
                <w:szCs w:val="21"/>
              </w:rPr>
              <w:t>发现问题及处理情况：</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7" w:hRule="atLeast"/>
        </w:trPr>
        <w:tc>
          <w:tcPr>
            <w:tcW w:w="8628" w:type="dxa"/>
            <w:gridSpan w:val="4"/>
            <w:tcBorders>
              <w:top w:val="single" w:color="auto" w:sz="4" w:space="0"/>
              <w:left w:val="single" w:color="auto" w:sz="8" w:space="0"/>
              <w:bottom w:val="single" w:color="auto" w:sz="4" w:space="0"/>
              <w:right w:val="single" w:color="auto" w:sz="8" w:space="0"/>
            </w:tcBorders>
            <w:noWrap w:val="0"/>
            <w:vAlign w:val="top"/>
          </w:tcPr>
          <w:p>
            <w:pPr>
              <w:spacing w:line="360" w:lineRule="auto"/>
              <w:rPr>
                <w:szCs w:val="21"/>
              </w:rPr>
            </w:pPr>
          </w:p>
          <w:p>
            <w:pPr>
              <w:spacing w:line="420" w:lineRule="exact"/>
              <w:ind w:firstLine="4872" w:firstLineChars="2320"/>
              <w:rPr>
                <w:szCs w:val="21"/>
                <w:u w:val="single"/>
              </w:rPr>
            </w:pPr>
            <w:r>
              <w:rPr>
                <w:rFonts w:hint="eastAsia"/>
                <w:szCs w:val="21"/>
              </w:rPr>
              <w:t>巡查人员（签字）：</w:t>
            </w:r>
            <w:r>
              <w:rPr>
                <w:rFonts w:hint="eastAsia"/>
                <w:szCs w:val="21"/>
                <w:u w:val="single"/>
              </w:rPr>
              <w:t>　　　　</w:t>
            </w:r>
            <w:r>
              <w:rPr>
                <w:szCs w:val="21"/>
                <w:u w:val="single"/>
              </w:rPr>
              <w:t xml:space="preserve">  </w:t>
            </w:r>
            <w:r>
              <w:rPr>
                <w:rFonts w:hint="eastAsia"/>
                <w:szCs w:val="21"/>
                <w:u w:val="single"/>
              </w:rPr>
              <w:t>　　</w:t>
            </w:r>
          </w:p>
          <w:p>
            <w:pPr>
              <w:spacing w:line="420" w:lineRule="exact"/>
              <w:ind w:right="480"/>
              <w:jc w:val="right"/>
              <w:rPr>
                <w:szCs w:val="21"/>
              </w:rPr>
            </w:pPr>
            <w:r>
              <w:rPr>
                <w:rFonts w:hint="eastAsia"/>
                <w:szCs w:val="21"/>
              </w:rPr>
              <w:t>　</w:t>
            </w:r>
            <w:r>
              <w:rPr>
                <w:szCs w:val="21"/>
              </w:rPr>
              <w:t xml:space="preserve">        </w:t>
            </w:r>
            <w:r>
              <w:rPr>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8628" w:type="dxa"/>
            <w:gridSpan w:val="4"/>
            <w:tcBorders>
              <w:top w:val="single" w:color="auto" w:sz="4" w:space="0"/>
              <w:left w:val="single" w:color="auto" w:sz="8" w:space="0"/>
              <w:bottom w:val="single" w:color="auto" w:sz="8" w:space="0"/>
              <w:right w:val="single" w:color="auto" w:sz="8" w:space="0"/>
            </w:tcBorders>
            <w:noWrap w:val="0"/>
            <w:vAlign w:val="top"/>
          </w:tcPr>
          <w:p>
            <w:pPr>
              <w:spacing w:line="420" w:lineRule="exact"/>
              <w:ind w:right="480"/>
              <w:jc w:val="left"/>
              <w:rPr>
                <w:szCs w:val="21"/>
              </w:rPr>
            </w:pPr>
            <w:r>
              <w:rPr>
                <w:rFonts w:hint="eastAsia"/>
                <w:szCs w:val="21"/>
              </w:rPr>
              <w:t>注：</w:t>
            </w:r>
            <w:r>
              <w:rPr>
                <w:szCs w:val="21"/>
              </w:rPr>
              <w:t>1</w:t>
            </w:r>
            <w:r>
              <w:rPr>
                <w:rFonts w:hint="eastAsia"/>
                <w:szCs w:val="21"/>
              </w:rPr>
              <w:t>、本表用于现场监理人员对危险性较大分部分项的专项巡视检查。</w:t>
            </w:r>
          </w:p>
          <w:p>
            <w:pPr>
              <w:spacing w:line="420" w:lineRule="exact"/>
              <w:ind w:right="480" w:firstLine="420" w:firstLineChars="200"/>
              <w:jc w:val="left"/>
              <w:rPr>
                <w:szCs w:val="21"/>
              </w:rPr>
            </w:pPr>
            <w:r>
              <w:rPr>
                <w:szCs w:val="21"/>
              </w:rPr>
              <w:t>2</w:t>
            </w:r>
            <w:r>
              <w:rPr>
                <w:rFonts w:hint="eastAsia"/>
                <w:szCs w:val="21"/>
              </w:rPr>
              <w:t>、本表一式一份，项目监理机构留存。</w:t>
            </w:r>
          </w:p>
        </w:tc>
      </w:tr>
    </w:tbl>
    <w:p>
      <w:pPr>
        <w:jc w:val="center"/>
        <w:rPr>
          <w:rFonts w:eastAsia="隶书"/>
        </w:rPr>
      </w:pPr>
      <w:r>
        <w:rPr>
          <w:rFonts w:hint="eastAsia" w:ascii="Times New Roman" w:eastAsia="隶书"/>
        </w:rPr>
        <w:t>第六版表                                              江苏省住房和城乡建设厅监制</w:t>
      </w:r>
    </w:p>
    <w:p>
      <w:pPr>
        <w:spacing w:line="380" w:lineRule="exact"/>
        <w:jc w:val="right"/>
        <w:rPr>
          <w:rFonts w:eastAsia="黑体"/>
          <w:b/>
          <w:sz w:val="28"/>
          <w:szCs w:val="28"/>
          <w14:shadow w14:blurRad="50800" w14:dist="38100" w14:dir="2700000" w14:sx="100000" w14:sy="100000" w14:kx="0" w14:ky="0" w14:algn="tl">
            <w14:srgbClr w14:val="000000">
              <w14:alpha w14:val="60000"/>
            </w14:srgbClr>
          </w14:shadow>
        </w:rPr>
      </w:pPr>
      <w:r>
        <w:rPr>
          <w:rFonts w:eastAsia="黑体"/>
          <w:b/>
          <w:sz w:val="28"/>
          <w:szCs w:val="28"/>
          <w14:shadow w14:blurRad="50800" w14:dist="38100" w14:dir="2700000" w14:sx="100000" w14:sy="100000" w14:kx="0" w14:ky="0" w14:algn="tl">
            <w14:srgbClr w14:val="000000">
              <w14:alpha w14:val="60000"/>
            </w14:srgbClr>
          </w14:shadow>
        </w:rPr>
        <w:t>A.0.19</w:t>
      </w:r>
    </w:p>
    <w:p>
      <w:pPr>
        <w:spacing w:before="312" w:beforeLines="100" w:after="312" w:afterLines="100" w:line="600" w:lineRule="exact"/>
        <w:jc w:val="center"/>
        <w:rPr>
          <w:rFonts w:eastAsia="黑体"/>
          <w:snapToGrid w:val="0"/>
          <w:w w:val="150"/>
          <w:kern w:val="0"/>
          <w:sz w:val="52"/>
          <w:szCs w:val="52"/>
        </w:rPr>
      </w:pPr>
      <w:r>
        <w:rPr>
          <w:rFonts w:hint="eastAsia" w:eastAsia="黑体"/>
          <w:snapToGrid w:val="0"/>
          <w:kern w:val="0"/>
          <w:sz w:val="52"/>
          <w:szCs w:val="52"/>
        </w:rPr>
        <w:t>危大工程安全管理档案　</w:t>
      </w:r>
      <w:r>
        <w:rPr>
          <w:rFonts w:hint="eastAsia" w:eastAsia="黑体"/>
          <w:snapToGrid w:val="0"/>
          <w:w w:val="150"/>
          <w:kern w:val="0"/>
          <w:sz w:val="52"/>
          <w:szCs w:val="52"/>
        </w:rPr>
        <w:t>　　　　　　　</w:t>
      </w:r>
      <w:r>
        <w:rPr>
          <w:rFonts w:eastAsia="黑体"/>
          <w:snapToGrid w:val="0"/>
          <w:w w:val="150"/>
          <w:kern w:val="0"/>
          <w:sz w:val="52"/>
          <w:szCs w:val="52"/>
        </w:rPr>
        <w:t xml:space="preserve">     </w:t>
      </w:r>
      <w:r>
        <w:rPr>
          <w:rFonts w:hint="eastAsia" w:eastAsia="黑体"/>
          <w:snapToGrid w:val="0"/>
          <w:w w:val="150"/>
          <w:kern w:val="0"/>
          <w:sz w:val="52"/>
          <w:szCs w:val="52"/>
        </w:rPr>
        <w:t>　</w:t>
      </w:r>
      <w:r>
        <w:rPr>
          <w:rFonts w:hint="eastAsia" w:eastAsia="微软简标宋"/>
          <w:sz w:val="32"/>
          <w:u w:val="single"/>
        </w:rPr>
        <w:t>　　</w:t>
      </w:r>
      <w:r>
        <w:rPr>
          <w:rFonts w:eastAsia="微软简标宋"/>
          <w:sz w:val="32"/>
          <w:u w:val="single"/>
        </w:rPr>
        <w:t xml:space="preserve">  </w:t>
      </w:r>
      <w:r>
        <w:rPr>
          <w:rFonts w:hint="eastAsia" w:eastAsia="微软简标宋"/>
          <w:sz w:val="32"/>
          <w:u w:val="single"/>
        </w:rPr>
        <w:t>　　　　　</w:t>
      </w:r>
    </w:p>
    <w:p>
      <w:pPr>
        <w:spacing w:line="0" w:lineRule="atLeast"/>
        <w:jc w:val="center"/>
        <w:rPr>
          <w:rFonts w:eastAsia="黑体"/>
          <w:snapToGrid w:val="0"/>
          <w:kern w:val="0"/>
          <w:sz w:val="52"/>
        </w:rPr>
      </w:pPr>
    </w:p>
    <w:p>
      <w:pPr>
        <w:spacing w:line="480" w:lineRule="exact"/>
        <w:ind w:left="1680" w:firstLine="420"/>
        <w:rPr>
          <w:b/>
          <w:sz w:val="24"/>
        </w:rPr>
      </w:pPr>
      <w:r>
        <w:rPr>
          <w:rFonts w:hint="eastAsia"/>
          <w:b/>
          <w:sz w:val="24"/>
        </w:rPr>
        <w:t>内容提要：</w:t>
      </w:r>
      <w:r>
        <w:rPr>
          <w:b/>
          <w:sz w:val="24"/>
        </w:rPr>
        <w:t xml:space="preserve"> </w:t>
      </w:r>
    </w:p>
    <w:p>
      <w:pPr>
        <w:spacing w:line="480" w:lineRule="exact"/>
        <w:ind w:left="1680" w:firstLine="420"/>
        <w:rPr>
          <w:sz w:val="24"/>
        </w:rPr>
      </w:pPr>
      <w:r>
        <w:rPr>
          <w:rFonts w:hint="eastAsia"/>
          <w:sz w:val="24"/>
        </w:rPr>
        <w:t>危大工程清单</w:t>
      </w:r>
    </w:p>
    <w:p>
      <w:pPr>
        <w:spacing w:line="480" w:lineRule="exact"/>
        <w:ind w:left="1680" w:firstLine="420"/>
        <w:rPr>
          <w:sz w:val="24"/>
        </w:rPr>
      </w:pPr>
      <w:r>
        <w:rPr>
          <w:rFonts w:hint="eastAsia"/>
          <w:sz w:val="24"/>
        </w:rPr>
        <w:t>危大工程专项施工方案审查</w:t>
      </w:r>
    </w:p>
    <w:p>
      <w:pPr>
        <w:spacing w:line="480" w:lineRule="exact"/>
        <w:ind w:left="1680" w:firstLine="420"/>
        <w:rPr>
          <w:sz w:val="24"/>
        </w:rPr>
      </w:pPr>
      <w:r>
        <w:rPr>
          <w:rFonts w:hint="eastAsia"/>
          <w:sz w:val="24"/>
        </w:rPr>
        <w:t>危大工程监理实施细则</w:t>
      </w:r>
    </w:p>
    <w:p>
      <w:pPr>
        <w:spacing w:line="480" w:lineRule="exact"/>
        <w:ind w:left="1680" w:firstLine="420"/>
        <w:rPr>
          <w:sz w:val="24"/>
        </w:rPr>
      </w:pPr>
      <w:r>
        <w:rPr>
          <w:rFonts w:hint="eastAsia"/>
          <w:sz w:val="24"/>
        </w:rPr>
        <w:t>危大工程专项巡视检查</w:t>
      </w:r>
    </w:p>
    <w:p>
      <w:pPr>
        <w:spacing w:line="480" w:lineRule="exact"/>
        <w:ind w:left="1680" w:firstLine="420"/>
        <w:rPr>
          <w:sz w:val="24"/>
        </w:rPr>
      </w:pPr>
      <w:r>
        <w:rPr>
          <w:rFonts w:hint="eastAsia"/>
          <w:sz w:val="24"/>
        </w:rPr>
        <w:t>危大工程验收</w:t>
      </w:r>
    </w:p>
    <w:p>
      <w:pPr>
        <w:spacing w:line="480" w:lineRule="exact"/>
        <w:ind w:left="1680" w:firstLine="420"/>
        <w:rPr>
          <w:sz w:val="24"/>
        </w:rPr>
      </w:pPr>
      <w:r>
        <w:rPr>
          <w:rFonts w:hint="eastAsia"/>
          <w:sz w:val="24"/>
        </w:rPr>
        <w:t>危大工程事故隐患处置</w:t>
      </w:r>
    </w:p>
    <w:p>
      <w:pPr>
        <w:spacing w:line="480" w:lineRule="exact"/>
        <w:ind w:left="1680" w:firstLine="420"/>
        <w:rPr>
          <w:sz w:val="24"/>
        </w:rPr>
      </w:pPr>
      <w:r>
        <w:rPr>
          <w:rFonts w:hint="eastAsia"/>
          <w:sz w:val="24"/>
        </w:rPr>
        <w:t>其它</w:t>
      </w:r>
    </w:p>
    <w:p>
      <w:pPr>
        <w:spacing w:line="480" w:lineRule="exact"/>
        <w:ind w:firstLine="3148" w:firstLineChars="1312"/>
        <w:rPr>
          <w:sz w:val="24"/>
        </w:rPr>
      </w:pPr>
    </w:p>
    <w:p>
      <w:pPr>
        <w:ind w:firstLine="2520" w:firstLineChars="1200"/>
        <w:rPr>
          <w:bCs/>
          <w:snapToGrid w:val="0"/>
          <w:kern w:val="0"/>
          <w:szCs w:val="28"/>
        </w:rPr>
      </w:pPr>
    </w:p>
    <w:p>
      <w:pPr>
        <w:ind w:firstLine="2520" w:firstLineChars="1200"/>
        <w:rPr>
          <w:bCs/>
          <w:snapToGrid w:val="0"/>
          <w:kern w:val="0"/>
          <w:szCs w:val="28"/>
        </w:rPr>
      </w:pPr>
    </w:p>
    <w:p>
      <w:pPr>
        <w:ind w:firstLine="2520" w:firstLineChars="1200"/>
        <w:rPr>
          <w:bCs/>
          <w:snapToGrid w:val="0"/>
          <w:kern w:val="0"/>
          <w:szCs w:val="28"/>
        </w:rPr>
      </w:pPr>
    </w:p>
    <w:p>
      <w:pPr>
        <w:tabs>
          <w:tab w:val="left" w:pos="7030"/>
        </w:tabs>
        <w:spacing w:line="560" w:lineRule="exact"/>
        <w:ind w:firstLine="2108" w:firstLineChars="700"/>
        <w:rPr>
          <w:b/>
          <w:sz w:val="30"/>
          <w:szCs w:val="30"/>
          <w:u w:val="single"/>
        </w:rPr>
      </w:pPr>
      <w:r>
        <w:rPr>
          <w:rFonts w:hint="eastAsia"/>
          <w:b/>
          <w:sz w:val="30"/>
          <w:szCs w:val="30"/>
        </w:rPr>
        <w:t>工程名称：</w:t>
      </w:r>
      <w:r>
        <w:rPr>
          <w:sz w:val="30"/>
          <w:szCs w:val="30"/>
          <w:u w:val="single"/>
        </w:rPr>
        <w:t xml:space="preserve">                        </w:t>
      </w:r>
    </w:p>
    <w:p>
      <w:pPr>
        <w:spacing w:line="560" w:lineRule="exact"/>
        <w:ind w:firstLine="2108" w:firstLineChars="700"/>
        <w:jc w:val="left"/>
        <w:rPr>
          <w:sz w:val="30"/>
          <w:szCs w:val="30"/>
          <w:u w:val="single"/>
        </w:rPr>
      </w:pPr>
      <w:r>
        <w:rPr>
          <w:rFonts w:hint="eastAsia"/>
          <w:b/>
          <w:sz w:val="30"/>
          <w:szCs w:val="30"/>
        </w:rPr>
        <w:t>建设单位：</w:t>
      </w:r>
      <w:bookmarkStart w:id="504" w:name="_Hlk531354992"/>
      <w:r>
        <w:rPr>
          <w:sz w:val="30"/>
          <w:szCs w:val="30"/>
          <w:u w:val="single"/>
        </w:rPr>
        <w:t xml:space="preserve">                       </w:t>
      </w:r>
    </w:p>
    <w:bookmarkEnd w:id="504"/>
    <w:p>
      <w:pPr>
        <w:spacing w:line="560" w:lineRule="exact"/>
        <w:ind w:firstLine="2108" w:firstLineChars="700"/>
        <w:jc w:val="left"/>
        <w:rPr>
          <w:b/>
          <w:sz w:val="30"/>
          <w:szCs w:val="30"/>
        </w:rPr>
      </w:pPr>
      <w:r>
        <w:rPr>
          <w:rFonts w:hint="eastAsia"/>
          <w:b/>
          <w:sz w:val="30"/>
          <w:szCs w:val="30"/>
        </w:rPr>
        <w:t>施工单位：</w:t>
      </w:r>
      <w:r>
        <w:rPr>
          <w:sz w:val="30"/>
          <w:szCs w:val="30"/>
          <w:u w:val="single"/>
        </w:rPr>
        <w:t xml:space="preserve">                       </w:t>
      </w:r>
      <w:r>
        <w:rPr>
          <w:b/>
          <w:sz w:val="30"/>
          <w:szCs w:val="30"/>
        </w:rPr>
        <w:t xml:space="preserve">                       </w:t>
      </w:r>
    </w:p>
    <w:p>
      <w:pPr>
        <w:spacing w:line="560" w:lineRule="exact"/>
        <w:ind w:firstLine="2108" w:firstLineChars="700"/>
        <w:jc w:val="left"/>
        <w:rPr>
          <w:b/>
          <w:sz w:val="30"/>
          <w:szCs w:val="30"/>
        </w:rPr>
      </w:pPr>
      <w:r>
        <w:rPr>
          <w:rFonts w:hint="eastAsia"/>
          <w:b/>
          <w:sz w:val="30"/>
          <w:szCs w:val="30"/>
        </w:rPr>
        <w:t>项目监理机构（章）：</w:t>
      </w:r>
      <w:r>
        <w:rPr>
          <w:sz w:val="30"/>
          <w:szCs w:val="30"/>
          <w:u w:val="single"/>
        </w:rPr>
        <w:t xml:space="preserve">             </w:t>
      </w:r>
      <w:r>
        <w:rPr>
          <w:rFonts w:hint="eastAsia"/>
          <w:b/>
          <w:sz w:val="30"/>
          <w:szCs w:val="30"/>
        </w:rPr>
        <w:t>　　　　</w:t>
      </w:r>
      <w:r>
        <w:rPr>
          <w:b/>
          <w:sz w:val="30"/>
          <w:szCs w:val="30"/>
        </w:rPr>
        <w:t xml:space="preserve">     </w:t>
      </w:r>
    </w:p>
    <w:p>
      <w:pPr>
        <w:spacing w:line="560" w:lineRule="exact"/>
        <w:ind w:firstLine="2108" w:firstLineChars="700"/>
        <w:jc w:val="left"/>
        <w:rPr>
          <w:bCs/>
          <w:snapToGrid w:val="0"/>
          <w:kern w:val="0"/>
        </w:rPr>
      </w:pPr>
      <w:r>
        <w:rPr>
          <w:rFonts w:hint="eastAsia"/>
          <w:b/>
          <w:sz w:val="30"/>
          <w:szCs w:val="30"/>
        </w:rPr>
        <w:t>总监理工程师（签字）：</w:t>
      </w:r>
      <w:r>
        <w:rPr>
          <w:sz w:val="30"/>
          <w:szCs w:val="30"/>
          <w:u w:val="single"/>
        </w:rPr>
        <w:t xml:space="preserve">           </w:t>
      </w:r>
      <w:r>
        <w:rPr>
          <w:rFonts w:hint="eastAsia"/>
          <w:b/>
          <w:sz w:val="30"/>
          <w:szCs w:val="30"/>
        </w:rPr>
        <w:t>　</w:t>
      </w:r>
      <w:r>
        <w:rPr>
          <w:b/>
          <w:sz w:val="30"/>
          <w:szCs w:val="30"/>
        </w:rPr>
        <w:t xml:space="preserve"> </w:t>
      </w:r>
    </w:p>
    <w:p/>
    <w:p/>
    <w:p/>
    <w:p>
      <w:pPr>
        <w:jc w:val="center"/>
        <w:rPr>
          <w:rFonts w:eastAsia="隶书"/>
        </w:rPr>
      </w:pPr>
    </w:p>
    <w:p>
      <w:pPr>
        <w:jc w:val="center"/>
        <w:rPr>
          <w:rFonts w:eastAsia="隶书"/>
        </w:rPr>
      </w:pPr>
    </w:p>
    <w:p>
      <w:pPr>
        <w:jc w:val="center"/>
        <w:rPr>
          <w:rFonts w:eastAsia="隶书"/>
        </w:rPr>
      </w:pPr>
    </w:p>
    <w:p>
      <w:pPr>
        <w:jc w:val="center"/>
        <w:rPr>
          <w:rFonts w:eastAsia="隶书"/>
        </w:rPr>
      </w:pPr>
    </w:p>
    <w:p>
      <w:pPr>
        <w:jc w:val="center"/>
        <w:rPr>
          <w:rFonts w:eastAsia="隶书"/>
        </w:rPr>
      </w:pPr>
    </w:p>
    <w:p>
      <w:pPr>
        <w:jc w:val="center"/>
        <w:rPr>
          <w:rFonts w:eastAsia="隶书"/>
        </w:rPr>
      </w:pPr>
    </w:p>
    <w:p>
      <w:pPr>
        <w:jc w:val="center"/>
        <w:rPr>
          <w:rFonts w:eastAsia="隶书"/>
        </w:rPr>
      </w:pPr>
    </w:p>
    <w:p>
      <w:pPr>
        <w:jc w:val="center"/>
        <w:rPr>
          <w:rFonts w:eastAsia="黑体"/>
          <w:sz w:val="28"/>
          <w:szCs w:val="28"/>
          <w14:shadow w14:blurRad="50800" w14:dist="38100" w14:dir="2700000" w14:sx="100000" w14:sy="100000" w14:kx="0" w14:ky="0" w14:algn="tl">
            <w14:srgbClr w14:val="000000">
              <w14:alpha w14:val="60000"/>
            </w14:srgbClr>
          </w14:shadow>
        </w:rPr>
      </w:pPr>
      <w:r>
        <w:rPr>
          <w:rFonts w:hint="eastAsia" w:ascii="Times New Roman" w:eastAsia="隶书"/>
        </w:rPr>
        <w:t xml:space="preserve">第六版表                                              </w:t>
      </w:r>
      <w:r>
        <w:rPr>
          <w:rFonts w:hint="eastAsia" w:eastAsia="隶书"/>
        </w:rPr>
        <w:t>江苏省住房和城乡建设厅监制</w:t>
      </w:r>
    </w:p>
    <w:p>
      <w:pPr>
        <w:jc w:val="right"/>
        <w:rPr>
          <w:rFonts w:eastAsia="黑体"/>
          <w:b/>
          <w:sz w:val="28"/>
          <w:szCs w:val="28"/>
          <w14:shadow w14:blurRad="50800" w14:dist="38100" w14:dir="2700000" w14:sx="100000" w14:sy="100000" w14:kx="0" w14:ky="0" w14:algn="tl">
            <w14:srgbClr w14:val="000000">
              <w14:alpha w14:val="60000"/>
            </w14:srgbClr>
          </w14:shadow>
        </w:rPr>
      </w:pPr>
      <w:r>
        <w:rPr>
          <w:rFonts w:hint="eastAsia" w:eastAsia="黑体"/>
          <w:sz w:val="28"/>
          <w:szCs w:val="28"/>
          <w14:shadow w14:blurRad="50800" w14:dist="38100" w14:dir="2700000" w14:sx="100000" w14:sy="100000" w14:kx="0" w14:ky="0" w14:algn="tl">
            <w14:srgbClr w14:val="000000">
              <w14:alpha w14:val="60000"/>
            </w14:srgbClr>
          </w14:shadow>
        </w:rPr>
        <w:t>　　　　　　　　　　　　　　　　　　　　　　　　　　</w:t>
      </w:r>
      <w:r>
        <w:rPr>
          <w:rFonts w:eastAsia="黑体"/>
          <w:b/>
          <w:sz w:val="28"/>
          <w:szCs w:val="28"/>
          <w14:shadow w14:blurRad="50800" w14:dist="38100" w14:dir="2700000" w14:sx="100000" w14:sy="100000" w14:kx="0" w14:ky="0" w14:algn="tl">
            <w14:srgbClr w14:val="000000">
              <w14:alpha w14:val="60000"/>
            </w14:srgbClr>
          </w14:shadow>
        </w:rPr>
        <w:t>B.0.1</w:t>
      </w:r>
    </w:p>
    <w:p>
      <w:pPr>
        <w:spacing w:before="312" w:beforeLines="100" w:after="312" w:afterLines="100"/>
        <w:jc w:val="center"/>
        <w:rPr>
          <w:rFonts w:eastAsia="黑体"/>
          <w:sz w:val="44"/>
          <w14:shadow w14:blurRad="50800" w14:dist="38100" w14:dir="2700000" w14:sx="100000" w14:sy="100000" w14:kx="0" w14:ky="0" w14:algn="tl">
            <w14:srgbClr w14:val="000000">
              <w14:alpha w14:val="60000"/>
            </w14:srgbClr>
          </w14:shadow>
        </w:rPr>
      </w:pPr>
      <w:r>
        <w:rPr>
          <w:rFonts w:hint="eastAsia" w:eastAsia="黑体"/>
          <w:sz w:val="44"/>
          <w14:shadow w14:blurRad="50800" w14:dist="38100" w14:dir="2700000" w14:sx="100000" w14:sy="100000" w14:kx="0" w14:ky="0" w14:algn="tl">
            <w14:srgbClr w14:val="000000">
              <w14:alpha w14:val="60000"/>
            </w14:srgbClr>
          </w14:shadow>
        </w:rPr>
        <w:t>施工组织设计／施工方案报审表</w:t>
      </w:r>
    </w:p>
    <w:p>
      <w:pPr>
        <w:spacing w:after="156" w:afterLines="50" w:line="420" w:lineRule="exact"/>
        <w:ind w:left="21" w:hanging="21" w:hangingChars="10"/>
        <w:rPr>
          <w:szCs w:val="21"/>
        </w:rPr>
      </w:pPr>
      <w:r>
        <w:rPr>
          <w:rFonts w:hint="eastAsia"/>
          <w:szCs w:val="21"/>
        </w:rPr>
        <w:t>工程名称：</w:t>
      </w:r>
      <w:r>
        <w:rPr>
          <w:szCs w:val="21"/>
          <w:u w:val="single"/>
        </w:rPr>
        <w:t xml:space="preserve">                     </w:t>
      </w:r>
      <w:r>
        <w:rPr>
          <w:rFonts w:hint="eastAsia"/>
          <w:szCs w:val="21"/>
        </w:rPr>
        <w:t>　　　　</w:t>
      </w:r>
      <w:r>
        <w:rPr>
          <w:szCs w:val="21"/>
        </w:rPr>
        <w:t xml:space="preserve">                </w:t>
      </w:r>
      <w:r>
        <w:rPr>
          <w:rFonts w:hint="eastAsia"/>
          <w:szCs w:val="21"/>
        </w:rPr>
        <w:t>　</w:t>
      </w:r>
      <w:r>
        <w:rPr>
          <w:szCs w:val="21"/>
        </w:rPr>
        <w:t xml:space="preserve">  </w:t>
      </w:r>
      <w:r>
        <w:rPr>
          <w:rFonts w:hint="eastAsia"/>
          <w:szCs w:val="21"/>
        </w:rPr>
        <w:t>编号：</w:t>
      </w:r>
      <w:r>
        <w:rPr>
          <w:szCs w:val="21"/>
        </w:rPr>
        <w:t>B.0.1</w:t>
      </w:r>
      <w:r>
        <w:rPr>
          <w:rFonts w:hint="eastAsia"/>
          <w:szCs w:val="21"/>
          <w:u w:val="single"/>
        </w:rPr>
        <w:t>　</w:t>
      </w:r>
      <w:r>
        <w:rPr>
          <w:szCs w:val="21"/>
          <w:u w:val="single"/>
        </w:rPr>
        <w:t xml:space="preserve"> </w:t>
      </w:r>
      <w:r>
        <w:rPr>
          <w:rFonts w:hint="eastAsia"/>
          <w:szCs w:val="21"/>
        </w:rPr>
        <w:t>－</w:t>
      </w:r>
      <w:r>
        <w:rPr>
          <w:rFonts w:hint="eastAsia"/>
          <w:szCs w:val="21"/>
          <w:u w:val="single"/>
        </w:rPr>
        <w:t>　</w:t>
      </w:r>
      <w:r>
        <w:rPr>
          <w:szCs w:val="21"/>
          <w:u w:val="single"/>
        </w:rPr>
        <w:t xml:space="preserve"> </w:t>
      </w:r>
      <w:r>
        <w:rPr>
          <w:rFonts w:hint="eastAsia"/>
          <w:szCs w:val="21"/>
          <w:u w:val="single"/>
        </w:rPr>
        <w:t>　　</w:t>
      </w:r>
    </w:p>
    <w:tbl>
      <w:tblPr>
        <w:tblStyle w:val="1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14"/>
        <w:gridCol w:w="2794"/>
        <w:gridCol w:w="1796"/>
        <w:gridCol w:w="24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688" w:type="dxa"/>
            <w:gridSpan w:val="4"/>
            <w:tcBorders>
              <w:top w:val="single" w:color="auto" w:sz="8" w:space="0"/>
              <w:left w:val="single" w:color="auto" w:sz="8" w:space="0"/>
              <w:bottom w:val="single" w:color="auto" w:sz="4" w:space="0"/>
              <w:right w:val="single" w:color="auto" w:sz="8" w:space="0"/>
            </w:tcBorders>
            <w:noWrap w:val="0"/>
            <w:vAlign w:val="top"/>
          </w:tcPr>
          <w:p>
            <w:pPr>
              <w:spacing w:before="156" w:beforeLines="50" w:after="156" w:afterLines="50" w:line="360" w:lineRule="exact"/>
              <w:rPr>
                <w:rFonts w:ascii="Times New Roman"/>
                <w:szCs w:val="21"/>
                <w:u w:val="single"/>
              </w:rPr>
            </w:pPr>
            <w:r>
              <w:rPr>
                <w:rFonts w:hint="eastAsia" w:ascii="Times New Roman"/>
                <w:szCs w:val="21"/>
              </w:rPr>
              <w:t>致：</w:t>
            </w:r>
            <w:r>
              <w:rPr>
                <w:rFonts w:hint="eastAsia" w:ascii="Times New Roman"/>
                <w:szCs w:val="21"/>
                <w:u w:val="single"/>
              </w:rPr>
              <w:t>　　　　   　　</w:t>
            </w:r>
            <w:r>
              <w:rPr>
                <w:rFonts w:hint="eastAsia" w:ascii="Times New Roman"/>
                <w:szCs w:val="21"/>
              </w:rPr>
              <w:t>（项目监理机构）</w:t>
            </w:r>
          </w:p>
          <w:p>
            <w:pPr>
              <w:spacing w:line="360" w:lineRule="exact"/>
              <w:ind w:firstLine="420" w:firstLineChars="200"/>
              <w:rPr>
                <w:rFonts w:hint="eastAsia" w:ascii="Times New Roman"/>
                <w:szCs w:val="21"/>
              </w:rPr>
            </w:pPr>
            <w:r>
              <w:rPr>
                <w:rFonts w:hint="eastAsia" w:ascii="Times New Roman"/>
                <w:szCs w:val="21"/>
              </w:rPr>
              <w:t>我方已完成</w:t>
            </w:r>
            <w:r>
              <w:rPr>
                <w:rFonts w:hint="eastAsia" w:ascii="Times New Roman" w:hAnsi="Times New Roman"/>
                <w:szCs w:val="21"/>
                <w:u w:val="single"/>
              </w:rPr>
              <w:t>　　　　　　　　　　　　　</w:t>
            </w:r>
            <w:r>
              <w:rPr>
                <w:rFonts w:hint="eastAsia" w:ascii="Times New Roman"/>
                <w:szCs w:val="21"/>
              </w:rPr>
              <w:t>工程施工组织设计／（专项）施工方案的编制和审批，请予以审查。附件：</w:t>
            </w:r>
          </w:p>
          <w:p>
            <w:pPr>
              <w:spacing w:line="360" w:lineRule="exact"/>
              <w:ind w:firstLine="420" w:firstLineChars="200"/>
              <w:rPr>
                <w:rFonts w:hint="eastAsia" w:ascii="Times New Roman" w:hAnsi="Times New Roman"/>
                <w:szCs w:val="21"/>
              </w:rPr>
            </w:pPr>
            <w:r>
              <w:rPr>
                <w:rFonts w:hint="eastAsia" w:ascii="Times New Roman"/>
                <w:szCs w:val="21"/>
              </w:rPr>
              <w:t xml:space="preserve">□ </w:t>
            </w:r>
            <w:r>
              <w:rPr>
                <w:szCs w:val="21"/>
              </w:rPr>
              <w:t>1</w:t>
            </w:r>
            <w:r>
              <w:rPr>
                <w:rFonts w:hint="eastAsia" w:ascii="Times New Roman"/>
                <w:szCs w:val="21"/>
              </w:rPr>
              <w:t xml:space="preserve"> </w:t>
            </w:r>
            <w:r>
              <w:rPr>
                <w:rFonts w:hint="eastAsia" w:ascii="Times New Roman" w:hAnsi="Times New Roman"/>
                <w:szCs w:val="21"/>
              </w:rPr>
              <w:t>施工组织设计</w:t>
            </w:r>
          </w:p>
          <w:p>
            <w:pPr>
              <w:spacing w:line="360" w:lineRule="exact"/>
              <w:ind w:firstLine="420" w:firstLineChars="200"/>
              <w:rPr>
                <w:rFonts w:hint="eastAsia" w:ascii="Times New Roman" w:hAnsi="Times New Roman"/>
                <w:szCs w:val="21"/>
              </w:rPr>
            </w:pPr>
            <w:r>
              <w:rPr>
                <w:rFonts w:hint="eastAsia" w:ascii="Times New Roman" w:hAnsi="Times New Roman"/>
                <w:szCs w:val="21"/>
              </w:rPr>
              <w:t xml:space="preserve">□ </w:t>
            </w:r>
            <w:r>
              <w:rPr>
                <w:szCs w:val="21"/>
              </w:rPr>
              <w:t>2</w:t>
            </w:r>
            <w:r>
              <w:rPr>
                <w:rFonts w:hint="eastAsia" w:ascii="Times New Roman" w:hAnsi="Times New Roman"/>
                <w:szCs w:val="21"/>
              </w:rPr>
              <w:t xml:space="preserve"> </w:t>
            </w:r>
            <w:r>
              <w:rPr>
                <w:rFonts w:hint="eastAsia" w:ascii="Times New Roman" w:hAnsi="Times New Roman"/>
                <w:szCs w:val="21"/>
                <w:u w:val="single"/>
              </w:rPr>
              <w:t>　　　　　　 　　　</w:t>
            </w:r>
            <w:r>
              <w:rPr>
                <w:rFonts w:hint="eastAsia" w:ascii="Times New Roman" w:hAnsi="Times New Roman"/>
                <w:szCs w:val="21"/>
              </w:rPr>
              <w:t>工程</w:t>
            </w:r>
            <w:r>
              <w:rPr>
                <w:rFonts w:hint="eastAsia" w:ascii="Times New Roman"/>
                <w:szCs w:val="21"/>
              </w:rPr>
              <w:t>安全专项</w:t>
            </w:r>
            <w:r>
              <w:rPr>
                <w:rFonts w:hint="eastAsia" w:ascii="Times New Roman" w:hAnsi="Times New Roman"/>
                <w:szCs w:val="21"/>
              </w:rPr>
              <w:t>施工方案</w:t>
            </w:r>
          </w:p>
          <w:p>
            <w:pPr>
              <w:spacing w:line="360" w:lineRule="exact"/>
              <w:ind w:firstLine="420" w:firstLineChars="200"/>
              <w:rPr>
                <w:rFonts w:hint="eastAsia" w:ascii="Times New Roman" w:hAnsi="Times New Roman"/>
                <w:szCs w:val="21"/>
              </w:rPr>
            </w:pPr>
            <w:r>
              <w:rPr>
                <w:rFonts w:hint="eastAsia" w:ascii="Times New Roman" w:hAnsi="Times New Roman"/>
                <w:szCs w:val="21"/>
              </w:rPr>
              <w:t xml:space="preserve">□ </w:t>
            </w:r>
            <w:r>
              <w:rPr>
                <w:szCs w:val="21"/>
              </w:rPr>
              <w:t>3</w:t>
            </w:r>
            <w:r>
              <w:rPr>
                <w:rFonts w:hint="eastAsia" w:ascii="Times New Roman" w:hAnsi="Times New Roman"/>
                <w:szCs w:val="21"/>
              </w:rPr>
              <w:t xml:space="preserve"> </w:t>
            </w:r>
            <w:r>
              <w:rPr>
                <w:rFonts w:hint="eastAsia" w:ascii="Times New Roman" w:hAnsi="Times New Roman"/>
                <w:szCs w:val="21"/>
                <w:u w:val="single"/>
              </w:rPr>
              <w:t xml:space="preserve">                   </w:t>
            </w:r>
            <w:r>
              <w:rPr>
                <w:rFonts w:hint="eastAsia" w:ascii="Times New Roman" w:hAnsi="Times New Roman"/>
                <w:szCs w:val="21"/>
              </w:rPr>
              <w:t>工程施工方案</w:t>
            </w:r>
          </w:p>
          <w:p>
            <w:pPr>
              <w:spacing w:line="360" w:lineRule="exact"/>
              <w:ind w:firstLine="420" w:firstLineChars="200"/>
              <w:rPr>
                <w:rFonts w:hint="eastAsia" w:ascii="Times New Roman" w:hAnsi="Times New Roman"/>
                <w:szCs w:val="21"/>
              </w:rPr>
            </w:pPr>
            <w:r>
              <w:rPr>
                <w:rFonts w:hint="eastAsia" w:ascii="Times New Roman" w:hAnsi="Times New Roman"/>
                <w:szCs w:val="21"/>
              </w:rPr>
              <w:t xml:space="preserve">□ </w:t>
            </w:r>
            <w:r>
              <w:rPr>
                <w:szCs w:val="21"/>
              </w:rPr>
              <w:t>4</w:t>
            </w:r>
            <w:r>
              <w:rPr>
                <w:rFonts w:hint="eastAsia" w:ascii="Times New Roman" w:hAnsi="Times New Roman"/>
                <w:szCs w:val="21"/>
              </w:rPr>
              <w:t xml:space="preserve"> </w:t>
            </w:r>
          </w:p>
          <w:p>
            <w:pPr>
              <w:spacing w:line="360" w:lineRule="exact"/>
              <w:rPr>
                <w:rFonts w:hint="eastAsia" w:ascii="Times New Roman"/>
                <w:szCs w:val="21"/>
              </w:rPr>
            </w:pPr>
            <w:r>
              <w:rPr>
                <w:rFonts w:hint="eastAsia" w:ascii="Times New Roman"/>
                <w:szCs w:val="21"/>
              </w:rPr>
              <w:t>　　本次申报内容系第</w:t>
            </w:r>
            <w:r>
              <w:rPr>
                <w:rFonts w:hint="eastAsia" w:ascii="Times New Roman"/>
                <w:szCs w:val="21"/>
                <w:u w:val="single"/>
              </w:rPr>
              <w:t xml:space="preserve">    </w:t>
            </w:r>
            <w:r>
              <w:rPr>
                <w:rFonts w:hint="eastAsia" w:ascii="Times New Roman"/>
                <w:szCs w:val="21"/>
              </w:rPr>
              <w:t>次申报。</w:t>
            </w:r>
          </w:p>
          <w:p>
            <w:pPr>
              <w:spacing w:line="360" w:lineRule="exact"/>
              <w:rPr>
                <w:rFonts w:hint="eastAsia" w:ascii="Times New Roman"/>
                <w:szCs w:val="21"/>
                <w:u w:val="single"/>
              </w:rPr>
            </w:pPr>
          </w:p>
          <w:p>
            <w:pPr>
              <w:spacing w:line="360" w:lineRule="exact"/>
              <w:rPr>
                <w:rFonts w:hint="eastAsia" w:ascii="Times New Roman"/>
                <w:szCs w:val="21"/>
                <w:u w:val="single"/>
              </w:rPr>
            </w:pPr>
            <w:r>
              <w:rPr>
                <w:rFonts w:hint="eastAsia" w:ascii="Times New Roman"/>
                <w:szCs w:val="21"/>
              </w:rPr>
              <w:t>　　　　　　　　　                         施工项目经理部（章）：</w:t>
            </w:r>
            <w:r>
              <w:rPr>
                <w:rFonts w:hint="eastAsia" w:ascii="Times New Roman"/>
                <w:szCs w:val="21"/>
                <w:u w:val="single"/>
              </w:rPr>
              <w:t xml:space="preserve">　　          </w:t>
            </w:r>
            <w:r>
              <w:rPr>
                <w:rFonts w:hint="eastAsia" w:ascii="Times New Roman"/>
                <w:szCs w:val="21"/>
              </w:rPr>
              <w:t xml:space="preserve">   　　　　　　</w:t>
            </w:r>
          </w:p>
          <w:p>
            <w:pPr>
              <w:tabs>
                <w:tab w:val="left" w:pos="6496"/>
              </w:tabs>
              <w:spacing w:line="360" w:lineRule="exact"/>
              <w:jc w:val="left"/>
              <w:rPr>
                <w:rFonts w:hint="eastAsia" w:ascii="Times New Roman"/>
                <w:szCs w:val="21"/>
              </w:rPr>
            </w:pPr>
            <w:r>
              <w:rPr>
                <w:rFonts w:hint="eastAsia" w:ascii="Times New Roman"/>
                <w:szCs w:val="21"/>
              </w:rPr>
              <w:t xml:space="preserve">　　　　　　　　 </w:t>
            </w:r>
            <w:r>
              <w:rPr>
                <w:rFonts w:ascii="Times New Roman"/>
                <w:szCs w:val="21"/>
              </w:rPr>
              <w:t> </w:t>
            </w:r>
            <w:r>
              <w:rPr>
                <w:rFonts w:hint="eastAsia" w:ascii="Times New Roman"/>
                <w:szCs w:val="21"/>
              </w:rPr>
              <w:t xml:space="preserve">  </w:t>
            </w:r>
            <w:r>
              <w:rPr>
                <w:rFonts w:ascii="Times New Roman"/>
                <w:szCs w:val="21"/>
              </w:rPr>
              <w:t> </w:t>
            </w:r>
            <w:r>
              <w:rPr>
                <w:rFonts w:hint="eastAsia" w:ascii="Times New Roman"/>
                <w:szCs w:val="21"/>
              </w:rPr>
              <w:t xml:space="preserve">                       项目经理（签字、执业印章）：</w:t>
            </w:r>
            <w:r>
              <w:rPr>
                <w:rFonts w:hint="eastAsia" w:ascii="Times New Roman"/>
                <w:szCs w:val="21"/>
                <w:u w:val="single"/>
              </w:rPr>
              <w:t xml:space="preserve">　　　　  </w:t>
            </w:r>
            <w:r>
              <w:rPr>
                <w:rFonts w:hint="eastAsia" w:ascii="Times New Roman"/>
                <w:szCs w:val="21"/>
              </w:rPr>
              <w:t xml:space="preserve">  </w:t>
            </w:r>
          </w:p>
          <w:p>
            <w:pPr>
              <w:tabs>
                <w:tab w:val="left" w:pos="6496"/>
              </w:tabs>
              <w:spacing w:line="360" w:lineRule="exact"/>
              <w:jc w:val="right"/>
              <w:rPr>
                <w:rFonts w:ascii="Times New Roman"/>
                <w:szCs w:val="21"/>
                <w:u w:val="single"/>
              </w:rPr>
            </w:pPr>
            <w:r>
              <w:rPr>
                <w:rFonts w:hint="eastAsia" w:ascii="Times New Roman"/>
                <w:szCs w:val="21"/>
              </w:rPr>
              <w:t xml:space="preserve"> </w:t>
            </w: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1614" w:type="dxa"/>
            <w:tcBorders>
              <w:top w:val="single" w:color="auto" w:sz="4" w:space="0"/>
              <w:left w:val="single" w:color="auto" w:sz="8" w:space="0"/>
              <w:bottom w:val="single" w:color="auto" w:sz="4" w:space="0"/>
              <w:right w:val="single" w:color="auto" w:sz="4" w:space="0"/>
            </w:tcBorders>
            <w:noWrap w:val="0"/>
            <w:vAlign w:val="center"/>
          </w:tcPr>
          <w:p>
            <w:pPr>
              <w:spacing w:line="320" w:lineRule="exact"/>
              <w:ind w:left="-105" w:leftChars="-50" w:right="-105" w:rightChars="-50"/>
              <w:jc w:val="center"/>
              <w:rPr>
                <w:rFonts w:ascii="Times New Roman"/>
                <w:szCs w:val="21"/>
              </w:rPr>
            </w:pPr>
            <w:r>
              <w:rPr>
                <w:rFonts w:hint="eastAsia" w:ascii="Times New Roman"/>
                <w:szCs w:val="21"/>
              </w:rPr>
              <w:t>项目监理机构签收人姓名及时间</w:t>
            </w:r>
          </w:p>
        </w:tc>
        <w:tc>
          <w:tcPr>
            <w:tcW w:w="2794"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left="-105" w:leftChars="-50" w:right="-105" w:rightChars="-50"/>
              <w:jc w:val="center"/>
              <w:rPr>
                <w:rFonts w:ascii="Times New Roman"/>
                <w:szCs w:val="21"/>
              </w:rPr>
            </w:pPr>
          </w:p>
        </w:tc>
        <w:tc>
          <w:tcPr>
            <w:tcW w:w="1796"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left="-105" w:leftChars="-50" w:right="-105" w:rightChars="-50"/>
              <w:jc w:val="center"/>
              <w:rPr>
                <w:rFonts w:ascii="Times New Roman"/>
                <w:szCs w:val="21"/>
              </w:rPr>
            </w:pPr>
            <w:r>
              <w:rPr>
                <w:rFonts w:hint="eastAsia" w:ascii="Times New Roman"/>
                <w:szCs w:val="21"/>
              </w:rPr>
              <w:t>施工项目经理部签收人姓名及时间</w:t>
            </w:r>
          </w:p>
        </w:tc>
        <w:tc>
          <w:tcPr>
            <w:tcW w:w="2484" w:type="dxa"/>
            <w:tcBorders>
              <w:top w:val="single" w:color="auto" w:sz="4" w:space="0"/>
              <w:left w:val="single" w:color="auto" w:sz="4" w:space="0"/>
              <w:bottom w:val="single" w:color="auto" w:sz="4" w:space="0"/>
              <w:right w:val="single" w:color="auto" w:sz="8" w:space="0"/>
            </w:tcBorders>
            <w:noWrap w:val="0"/>
            <w:vAlign w:val="center"/>
          </w:tcPr>
          <w:p>
            <w:pPr>
              <w:ind w:left="-105" w:leftChars="-50" w:right="-105" w:rightChars="-50"/>
              <w:jc w:val="center"/>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688" w:type="dxa"/>
            <w:gridSpan w:val="4"/>
            <w:tcBorders>
              <w:top w:val="single" w:color="auto" w:sz="4" w:space="0"/>
              <w:left w:val="single" w:color="auto" w:sz="8" w:space="0"/>
              <w:bottom w:val="single" w:color="auto" w:sz="4" w:space="0"/>
              <w:right w:val="single" w:color="auto" w:sz="8" w:space="0"/>
            </w:tcBorders>
            <w:noWrap w:val="0"/>
            <w:vAlign w:val="top"/>
          </w:tcPr>
          <w:p>
            <w:pPr>
              <w:rPr>
                <w:rFonts w:ascii="Times New Roman"/>
                <w:szCs w:val="21"/>
              </w:rPr>
            </w:pPr>
            <w:r>
              <w:rPr>
                <w:rFonts w:hint="eastAsia" w:ascii="Times New Roman"/>
                <w:szCs w:val="21"/>
              </w:rPr>
              <w:t>审查意见:</w:t>
            </w:r>
          </w:p>
          <w:p>
            <w:pPr>
              <w:rPr>
                <w:rFonts w:hint="eastAsia" w:ascii="Times New Roman"/>
                <w:szCs w:val="21"/>
              </w:rPr>
            </w:pPr>
          </w:p>
          <w:p>
            <w:pPr>
              <w:rPr>
                <w:rFonts w:hint="eastAsia" w:ascii="Times New Roman"/>
                <w:szCs w:val="21"/>
              </w:rPr>
            </w:pPr>
          </w:p>
          <w:p>
            <w:pPr>
              <w:spacing w:line="360" w:lineRule="exact"/>
              <w:rPr>
                <w:rFonts w:hint="eastAsia" w:ascii="Times New Roman" w:hAnsi="Times New Roman"/>
                <w:szCs w:val="21"/>
              </w:rPr>
            </w:pPr>
            <w:r>
              <w:rPr>
                <w:rFonts w:hint="eastAsia" w:ascii="Times New Roman"/>
                <w:szCs w:val="21"/>
              </w:rPr>
              <w:t>附件：□  审查记录</w:t>
            </w:r>
          </w:p>
          <w:p>
            <w:pPr>
              <w:rPr>
                <w:rFonts w:hint="eastAsia" w:ascii="Times New Roman"/>
                <w:szCs w:val="21"/>
              </w:rPr>
            </w:pPr>
          </w:p>
          <w:p>
            <w:pPr>
              <w:spacing w:line="360" w:lineRule="auto"/>
              <w:ind w:firstLine="4599" w:firstLineChars="2190"/>
              <w:rPr>
                <w:rFonts w:hint="eastAsia" w:ascii="Times New Roman"/>
                <w:szCs w:val="21"/>
              </w:rPr>
            </w:pPr>
            <w:r>
              <w:rPr>
                <w:rFonts w:hint="eastAsia" w:ascii="Times New Roman"/>
                <w:szCs w:val="21"/>
              </w:rPr>
              <w:t>专业监理工程师（签字）：</w:t>
            </w:r>
            <w:r>
              <w:rPr>
                <w:rFonts w:hint="eastAsia" w:ascii="Times New Roman"/>
                <w:szCs w:val="21"/>
                <w:u w:val="single"/>
              </w:rPr>
              <w:t xml:space="preserve">          </w:t>
            </w:r>
            <w:r>
              <w:rPr>
                <w:rFonts w:hint="eastAsia" w:ascii="Times New Roman"/>
                <w:szCs w:val="21"/>
              </w:rPr>
              <w:t xml:space="preserve">   </w:t>
            </w:r>
          </w:p>
          <w:p>
            <w:pPr>
              <w:spacing w:line="360" w:lineRule="auto"/>
              <w:ind w:firstLine="6069" w:firstLineChars="2890"/>
              <w:rPr>
                <w:rFonts w:ascii="Times New Roman"/>
                <w:szCs w:val="21"/>
              </w:rPr>
            </w:pP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5" w:hRule="atLeast"/>
        </w:trPr>
        <w:tc>
          <w:tcPr>
            <w:tcW w:w="8688" w:type="dxa"/>
            <w:gridSpan w:val="4"/>
            <w:tcBorders>
              <w:top w:val="single" w:color="auto" w:sz="4" w:space="0"/>
              <w:left w:val="single" w:color="auto" w:sz="8" w:space="0"/>
              <w:bottom w:val="single" w:color="auto" w:sz="4" w:space="0"/>
              <w:right w:val="single" w:color="auto" w:sz="8" w:space="0"/>
            </w:tcBorders>
            <w:noWrap w:val="0"/>
            <w:vAlign w:val="top"/>
          </w:tcPr>
          <w:p>
            <w:pPr>
              <w:rPr>
                <w:rFonts w:ascii="Times New Roman"/>
                <w:szCs w:val="21"/>
              </w:rPr>
            </w:pPr>
            <w:r>
              <w:rPr>
                <w:rFonts w:hint="eastAsia" w:ascii="Times New Roman"/>
                <w:szCs w:val="21"/>
              </w:rPr>
              <w:t>审核意见：</w:t>
            </w:r>
          </w:p>
          <w:p>
            <w:pPr>
              <w:rPr>
                <w:rFonts w:hint="eastAsia" w:ascii="Times New Roman"/>
                <w:szCs w:val="21"/>
              </w:rPr>
            </w:pPr>
          </w:p>
          <w:p>
            <w:pPr>
              <w:rPr>
                <w:rFonts w:hint="eastAsia" w:ascii="Times New Roman"/>
                <w:szCs w:val="21"/>
              </w:rPr>
            </w:pPr>
          </w:p>
          <w:p>
            <w:pPr>
              <w:spacing w:line="360" w:lineRule="auto"/>
              <w:rPr>
                <w:rFonts w:hint="eastAsia" w:ascii="Times New Roman"/>
                <w:bCs/>
                <w:szCs w:val="21"/>
                <w:u w:val="single"/>
              </w:rPr>
            </w:pPr>
            <w:r>
              <w:rPr>
                <w:rFonts w:hint="eastAsia" w:ascii="Times New Roman"/>
                <w:szCs w:val="21"/>
              </w:rPr>
              <w:t xml:space="preserve">　　　                               </w:t>
            </w:r>
            <w:r>
              <w:rPr>
                <w:rFonts w:hint="eastAsia" w:ascii="Times New Roman"/>
                <w:bCs/>
                <w:szCs w:val="21"/>
              </w:rPr>
              <w:t>项目监理机构(章):</w:t>
            </w:r>
            <w:r>
              <w:rPr>
                <w:rFonts w:hint="eastAsia" w:ascii="Times New Roman"/>
                <w:bCs/>
                <w:szCs w:val="21"/>
                <w:u w:val="single"/>
              </w:rPr>
              <w:t xml:space="preserve">                          </w:t>
            </w:r>
            <w:r>
              <w:rPr>
                <w:rFonts w:hint="eastAsia" w:ascii="Times New Roman"/>
                <w:bCs/>
                <w:szCs w:val="21"/>
              </w:rPr>
              <w:t xml:space="preserve">                </w:t>
            </w:r>
          </w:p>
          <w:p>
            <w:pPr>
              <w:spacing w:line="360" w:lineRule="auto"/>
              <w:rPr>
                <w:rFonts w:hint="eastAsia" w:ascii="Times New Roman"/>
                <w:szCs w:val="21"/>
              </w:rPr>
            </w:pPr>
            <w:r>
              <w:rPr>
                <w:rFonts w:hint="eastAsia" w:ascii="Times New Roman"/>
                <w:szCs w:val="21"/>
              </w:rPr>
              <w:t>　　                                 总监理工程师（签字、执业印章）：</w:t>
            </w:r>
            <w:r>
              <w:rPr>
                <w:rFonts w:hint="eastAsia" w:ascii="Times New Roman"/>
                <w:szCs w:val="21"/>
                <w:u w:val="single"/>
              </w:rPr>
              <w:t>　　　　　　</w:t>
            </w:r>
            <w:r>
              <w:rPr>
                <w:rFonts w:hint="eastAsia" w:ascii="Times New Roman"/>
                <w:szCs w:val="21"/>
              </w:rPr>
              <w:t xml:space="preserve">  </w:t>
            </w:r>
          </w:p>
          <w:p>
            <w:pPr>
              <w:spacing w:line="360" w:lineRule="auto"/>
              <w:jc w:val="right"/>
              <w:rPr>
                <w:rFonts w:ascii="Times New Roman"/>
                <w:szCs w:val="21"/>
              </w:rPr>
            </w:pP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8688" w:type="dxa"/>
            <w:gridSpan w:val="4"/>
            <w:tcBorders>
              <w:top w:val="single" w:color="auto" w:sz="4" w:space="0"/>
              <w:left w:val="single" w:color="auto" w:sz="8" w:space="0"/>
              <w:bottom w:val="single" w:color="auto" w:sz="8" w:space="0"/>
              <w:right w:val="single" w:color="auto" w:sz="8" w:space="0"/>
            </w:tcBorders>
            <w:noWrap w:val="0"/>
            <w:vAlign w:val="center"/>
          </w:tcPr>
          <w:p>
            <w:pPr>
              <w:rPr>
                <w:rFonts w:ascii="Times New Roman"/>
                <w:szCs w:val="21"/>
              </w:rPr>
            </w:pPr>
            <w:r>
              <w:rPr>
                <w:rFonts w:hint="eastAsia" w:ascii="Times New Roman"/>
                <w:szCs w:val="21"/>
              </w:rPr>
              <w:t>注：本表一式三份，项目监理机构、建设单位、施工单位各一份。</w:t>
            </w:r>
          </w:p>
        </w:tc>
      </w:tr>
    </w:tbl>
    <w:p>
      <w:pPr>
        <w:spacing w:line="380" w:lineRule="exact"/>
        <w:jc w:val="right"/>
        <w:rPr>
          <w:rFonts w:eastAsia="黑体"/>
          <w:b/>
          <w:sz w:val="28"/>
          <w:szCs w:val="28"/>
          <w14:shadow w14:blurRad="50800" w14:dist="38100" w14:dir="2700000" w14:sx="100000" w14:sy="100000" w14:kx="0" w14:ky="0" w14:algn="tl">
            <w14:srgbClr w14:val="000000">
              <w14:alpha w14:val="60000"/>
            </w14:srgbClr>
          </w14:shadow>
        </w:rPr>
      </w:pPr>
      <w:r>
        <w:rPr>
          <w:rFonts w:hint="eastAsia" w:ascii="Times New Roman" w:eastAsia="隶书"/>
        </w:rPr>
        <w:t>第六版表                                              江苏省住房和城乡建设厅监制</w:t>
      </w:r>
      <w:r>
        <w:rPr>
          <w:szCs w:val="21"/>
        </w:rPr>
        <w:br w:type="column"/>
      </w:r>
      <w:r>
        <w:rPr>
          <w:rFonts w:eastAsia="黑体"/>
          <w:b/>
          <w:sz w:val="28"/>
          <w:szCs w:val="28"/>
          <w14:shadow w14:blurRad="50800" w14:dist="38100" w14:dir="2700000" w14:sx="100000" w14:sy="100000" w14:kx="0" w14:ky="0" w14:algn="tl">
            <w14:srgbClr w14:val="000000">
              <w14:alpha w14:val="60000"/>
            </w14:srgbClr>
          </w14:shadow>
        </w:rPr>
        <w:t>B.0.2</w:t>
      </w:r>
    </w:p>
    <w:p>
      <w:pPr>
        <w:spacing w:before="312" w:beforeLines="100" w:after="312" w:afterLines="100"/>
        <w:jc w:val="center"/>
        <w:rPr>
          <w:rFonts w:eastAsia="黑体"/>
          <w:sz w:val="44"/>
          <w14:shadow w14:blurRad="50800" w14:dist="38100" w14:dir="2700000" w14:sx="100000" w14:sy="100000" w14:kx="0" w14:ky="0" w14:algn="tl">
            <w14:srgbClr w14:val="000000">
              <w14:alpha w14:val="60000"/>
            </w14:srgbClr>
          </w14:shadow>
        </w:rPr>
      </w:pPr>
      <w:r>
        <w:rPr>
          <w:rFonts w:hint="eastAsia" w:eastAsia="黑体"/>
          <w:sz w:val="44"/>
          <w14:shadow w14:blurRad="50800" w14:dist="38100" w14:dir="2700000" w14:sx="100000" w14:sy="100000" w14:kx="0" w14:ky="0" w14:algn="tl">
            <w14:srgbClr w14:val="000000">
              <w14:alpha w14:val="60000"/>
            </w14:srgbClr>
          </w14:shadow>
        </w:rPr>
        <w:t>施工现场质量、安全生产管理体系报审表</w:t>
      </w:r>
    </w:p>
    <w:p>
      <w:pPr>
        <w:spacing w:after="156" w:afterLines="50" w:line="420" w:lineRule="exact"/>
        <w:ind w:left="21" w:hanging="21" w:hangingChars="10"/>
        <w:rPr>
          <w:szCs w:val="21"/>
        </w:rPr>
      </w:pPr>
      <w:r>
        <w:rPr>
          <w:rFonts w:hint="eastAsia"/>
          <w:szCs w:val="21"/>
        </w:rPr>
        <w:t>工程名称：</w:t>
      </w:r>
      <w:r>
        <w:rPr>
          <w:szCs w:val="21"/>
          <w:u w:val="single"/>
        </w:rPr>
        <w:t xml:space="preserve">                     </w:t>
      </w:r>
      <w:r>
        <w:rPr>
          <w:rFonts w:hint="eastAsia"/>
          <w:szCs w:val="21"/>
        </w:rPr>
        <w:t>　　　　</w:t>
      </w:r>
      <w:r>
        <w:rPr>
          <w:szCs w:val="21"/>
        </w:rPr>
        <w:t xml:space="preserve">                     </w:t>
      </w:r>
      <w:r>
        <w:rPr>
          <w:rFonts w:hint="eastAsia"/>
          <w:szCs w:val="21"/>
        </w:rPr>
        <w:t>　编号：</w:t>
      </w:r>
      <w:r>
        <w:rPr>
          <w:szCs w:val="21"/>
        </w:rPr>
        <w:t>B.0.2</w:t>
      </w:r>
      <w:r>
        <w:rPr>
          <w:rFonts w:hint="eastAsia"/>
          <w:szCs w:val="21"/>
        </w:rPr>
        <w:t>－</w:t>
      </w:r>
      <w:r>
        <w:rPr>
          <w:rFonts w:hint="eastAsia"/>
          <w:szCs w:val="21"/>
          <w:u w:val="single"/>
        </w:rPr>
        <w:t>　</w:t>
      </w:r>
      <w:r>
        <w:rPr>
          <w:szCs w:val="21"/>
          <w:u w:val="single"/>
        </w:rPr>
        <w:t xml:space="preserve"> </w:t>
      </w:r>
      <w:r>
        <w:rPr>
          <w:rFonts w:hint="eastAsia"/>
          <w:szCs w:val="21"/>
          <w:u w:val="single"/>
        </w:rPr>
        <w:t>　　</w:t>
      </w: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14"/>
        <w:gridCol w:w="2794"/>
        <w:gridCol w:w="1473"/>
        <w:gridCol w:w="26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30" w:hRule="atLeast"/>
          <w:jc w:val="center"/>
        </w:trPr>
        <w:tc>
          <w:tcPr>
            <w:tcW w:w="8522" w:type="dxa"/>
            <w:gridSpan w:val="4"/>
            <w:tcBorders>
              <w:top w:val="single" w:color="auto" w:sz="8" w:space="0"/>
              <w:left w:val="single" w:color="auto" w:sz="8" w:space="0"/>
              <w:bottom w:val="single" w:color="auto" w:sz="4" w:space="0"/>
              <w:right w:val="single" w:color="auto" w:sz="8" w:space="0"/>
            </w:tcBorders>
            <w:noWrap w:val="0"/>
            <w:vAlign w:val="top"/>
          </w:tcPr>
          <w:p>
            <w:pPr>
              <w:spacing w:before="156" w:beforeLines="50" w:after="156" w:afterLines="50"/>
              <w:rPr>
                <w:rFonts w:ascii="Times New Roman"/>
                <w:szCs w:val="21"/>
                <w:u w:val="single"/>
              </w:rPr>
            </w:pPr>
            <w:r>
              <w:rPr>
                <w:rFonts w:hint="eastAsia" w:ascii="Times New Roman"/>
                <w:szCs w:val="21"/>
              </w:rPr>
              <w:t>致：</w:t>
            </w:r>
            <w:r>
              <w:rPr>
                <w:rFonts w:hint="eastAsia" w:ascii="Times New Roman"/>
                <w:szCs w:val="21"/>
                <w:u w:val="single"/>
              </w:rPr>
              <w:t>　　　　　　</w:t>
            </w:r>
            <w:r>
              <w:rPr>
                <w:rFonts w:hint="eastAsia" w:ascii="Times New Roman"/>
                <w:szCs w:val="21"/>
              </w:rPr>
              <w:t>（项目监理机构）</w:t>
            </w:r>
          </w:p>
          <w:p>
            <w:pPr>
              <w:spacing w:line="360" w:lineRule="exact"/>
              <w:ind w:firstLine="420" w:firstLineChars="200"/>
              <w:rPr>
                <w:rFonts w:hint="eastAsia" w:ascii="Times New Roman"/>
                <w:szCs w:val="21"/>
              </w:rPr>
            </w:pPr>
            <w:r>
              <w:rPr>
                <w:rFonts w:hint="eastAsia" w:ascii="Times New Roman"/>
                <w:szCs w:val="21"/>
              </w:rPr>
              <w:t>我方施工现场质量、安全生产管理体系已建立，请予审查。</w:t>
            </w:r>
          </w:p>
          <w:p>
            <w:pPr>
              <w:spacing w:line="360" w:lineRule="exact"/>
              <w:ind w:firstLine="420" w:firstLineChars="200"/>
              <w:rPr>
                <w:rFonts w:hint="eastAsia" w:ascii="Times New Roman"/>
                <w:szCs w:val="21"/>
              </w:rPr>
            </w:pPr>
            <w:r>
              <w:rPr>
                <w:rFonts w:hint="eastAsia" w:ascii="Times New Roman"/>
                <w:szCs w:val="21"/>
              </w:rPr>
              <w:t>本次申报内容系第</w:t>
            </w:r>
            <w:r>
              <w:rPr>
                <w:rFonts w:hint="eastAsia" w:ascii="Times New Roman"/>
                <w:szCs w:val="21"/>
                <w:u w:val="single"/>
              </w:rPr>
              <w:t xml:space="preserve">          </w:t>
            </w:r>
            <w:r>
              <w:rPr>
                <w:rFonts w:hint="eastAsia" w:ascii="Times New Roman"/>
                <w:szCs w:val="21"/>
              </w:rPr>
              <w:t>次申报。</w:t>
            </w:r>
          </w:p>
          <w:p>
            <w:pPr>
              <w:spacing w:line="360" w:lineRule="exact"/>
              <w:rPr>
                <w:rFonts w:hint="eastAsia" w:ascii="Times New Roman"/>
                <w:szCs w:val="21"/>
              </w:rPr>
            </w:pPr>
            <w:r>
              <w:rPr>
                <w:rFonts w:hint="eastAsia" w:ascii="Times New Roman"/>
                <w:szCs w:val="21"/>
              </w:rPr>
              <w:t>附件：</w:t>
            </w:r>
          </w:p>
          <w:p>
            <w:pPr>
              <w:spacing w:line="360" w:lineRule="exact"/>
              <w:ind w:firstLine="420" w:firstLineChars="200"/>
              <w:rPr>
                <w:rFonts w:hint="eastAsia" w:ascii="Times New Roman" w:hAnsi="Times New Roman"/>
                <w:szCs w:val="21"/>
              </w:rPr>
            </w:pPr>
            <w:r>
              <w:rPr>
                <w:rFonts w:hint="eastAsia" w:ascii="Times New Roman" w:hAnsi="Times New Roman"/>
                <w:szCs w:val="21"/>
              </w:rPr>
              <w:t>□ 项目部组织机构，现场管理人员一览表、项目经理、质检员、安全员等专职管理</w:t>
            </w:r>
          </w:p>
          <w:p>
            <w:pPr>
              <w:spacing w:line="360" w:lineRule="exact"/>
              <w:ind w:left="628" w:leftChars="299" w:firstLine="79" w:firstLineChars="38"/>
              <w:rPr>
                <w:rFonts w:hint="eastAsia" w:ascii="Times New Roman" w:hAnsi="Times New Roman"/>
                <w:szCs w:val="21"/>
              </w:rPr>
            </w:pPr>
            <w:r>
              <w:rPr>
                <w:rFonts w:hint="eastAsia" w:ascii="Times New Roman" w:hAnsi="Times New Roman"/>
                <w:szCs w:val="21"/>
              </w:rPr>
              <w:t>人员的岗位证书。</w:t>
            </w:r>
          </w:p>
          <w:p>
            <w:pPr>
              <w:spacing w:line="360" w:lineRule="exact"/>
              <w:ind w:firstLine="420" w:firstLineChars="200"/>
              <w:rPr>
                <w:rFonts w:hint="eastAsia" w:ascii="Times New Roman" w:hAnsi="Times New Roman"/>
                <w:szCs w:val="21"/>
              </w:rPr>
            </w:pPr>
            <w:r>
              <w:rPr>
                <w:rFonts w:hint="eastAsia" w:ascii="Times New Roman" w:hAnsi="Times New Roman"/>
                <w:szCs w:val="21"/>
              </w:rPr>
              <w:t>□ 施工单位资质证书、安全生产许可证</w:t>
            </w:r>
          </w:p>
          <w:p>
            <w:pPr>
              <w:spacing w:line="360" w:lineRule="exact"/>
              <w:ind w:firstLine="420" w:firstLineChars="200"/>
              <w:rPr>
                <w:rFonts w:hint="eastAsia" w:ascii="Times New Roman" w:hAnsi="Times New Roman"/>
                <w:szCs w:val="21"/>
              </w:rPr>
            </w:pPr>
            <w:r>
              <w:rPr>
                <w:rFonts w:hint="eastAsia" w:ascii="Times New Roman" w:hAnsi="Times New Roman"/>
                <w:szCs w:val="21"/>
              </w:rPr>
              <w:t>□ 质量、安全生产管理制度</w:t>
            </w:r>
          </w:p>
          <w:p>
            <w:pPr>
              <w:spacing w:line="360" w:lineRule="exact"/>
              <w:ind w:firstLine="420" w:firstLineChars="200"/>
              <w:rPr>
                <w:rFonts w:hint="eastAsia" w:ascii="Times New Roman" w:hAnsi="Times New Roman"/>
                <w:szCs w:val="21"/>
              </w:rPr>
            </w:pPr>
            <w:r>
              <w:rPr>
                <w:rFonts w:hint="eastAsia" w:ascii="Times New Roman" w:hAnsi="Times New Roman"/>
                <w:szCs w:val="21"/>
              </w:rPr>
              <w:t>□ 特种作业人员操作资格证书</w:t>
            </w:r>
          </w:p>
          <w:p>
            <w:pPr>
              <w:spacing w:line="360" w:lineRule="exact"/>
              <w:ind w:firstLine="420" w:firstLineChars="200"/>
              <w:rPr>
                <w:rFonts w:hint="eastAsia" w:ascii="Times New Roman" w:hAnsi="Times New Roman"/>
                <w:szCs w:val="21"/>
              </w:rPr>
            </w:pPr>
            <w:r>
              <w:rPr>
                <w:rFonts w:hint="eastAsia" w:ascii="Times New Roman" w:hAnsi="Times New Roman"/>
                <w:szCs w:val="21"/>
              </w:rPr>
              <w:t>□</w:t>
            </w:r>
          </w:p>
          <w:p>
            <w:pPr>
              <w:spacing w:line="420" w:lineRule="exact"/>
              <w:rPr>
                <w:rFonts w:hint="eastAsia" w:ascii="Times New Roman"/>
                <w:szCs w:val="21"/>
                <w:u w:val="single"/>
              </w:rPr>
            </w:pPr>
            <w:r>
              <w:rPr>
                <w:rFonts w:hint="eastAsia" w:ascii="Times New Roman"/>
                <w:szCs w:val="21"/>
              </w:rPr>
              <w:t>　　　　　　　 　                             施工项目经理部（章）：</w:t>
            </w:r>
            <w:r>
              <w:rPr>
                <w:rFonts w:hint="eastAsia" w:ascii="Times New Roman"/>
                <w:szCs w:val="21"/>
                <w:u w:val="single"/>
              </w:rPr>
              <w:t>　　   　　</w:t>
            </w:r>
          </w:p>
          <w:p>
            <w:pPr>
              <w:tabs>
                <w:tab w:val="left" w:pos="6630"/>
              </w:tabs>
              <w:spacing w:line="420" w:lineRule="exact"/>
              <w:rPr>
                <w:rFonts w:hint="eastAsia" w:ascii="Times New Roman"/>
                <w:szCs w:val="21"/>
              </w:rPr>
            </w:pPr>
            <w:r>
              <w:rPr>
                <w:rFonts w:hint="eastAsia" w:ascii="Times New Roman"/>
                <w:szCs w:val="21"/>
              </w:rPr>
              <w:t>　　　　　　　 　                         项目经理（签字、执业印章）：</w:t>
            </w:r>
            <w:r>
              <w:rPr>
                <w:rFonts w:hint="eastAsia" w:ascii="Times New Roman"/>
                <w:szCs w:val="21"/>
                <w:u w:val="single"/>
              </w:rPr>
              <w:t>　　　　　 　　</w:t>
            </w:r>
            <w:r>
              <w:rPr>
                <w:rFonts w:hint="eastAsia" w:ascii="Times New Roman"/>
                <w:szCs w:val="21"/>
              </w:rPr>
              <w:t xml:space="preserve">   </w:t>
            </w:r>
          </w:p>
          <w:p>
            <w:pPr>
              <w:tabs>
                <w:tab w:val="left" w:pos="6630"/>
              </w:tabs>
              <w:spacing w:line="420" w:lineRule="exact"/>
              <w:jc w:val="right"/>
              <w:rPr>
                <w:rFonts w:ascii="Times New Roman"/>
                <w:szCs w:val="21"/>
                <w:u w:val="single"/>
              </w:rPr>
            </w:pP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14" w:type="dxa"/>
            <w:tcBorders>
              <w:top w:val="single" w:color="auto" w:sz="4" w:space="0"/>
              <w:left w:val="single" w:color="auto" w:sz="8" w:space="0"/>
              <w:bottom w:val="single" w:color="auto" w:sz="4" w:space="0"/>
              <w:right w:val="single" w:color="auto" w:sz="4" w:space="0"/>
            </w:tcBorders>
            <w:noWrap w:val="0"/>
            <w:vAlign w:val="center"/>
          </w:tcPr>
          <w:p>
            <w:pPr>
              <w:spacing w:before="120" w:after="120"/>
              <w:jc w:val="center"/>
              <w:rPr>
                <w:rFonts w:ascii="Times New Roman"/>
                <w:szCs w:val="21"/>
              </w:rPr>
            </w:pPr>
            <w:r>
              <w:rPr>
                <w:rFonts w:hint="eastAsia" w:ascii="Times New Roman"/>
                <w:szCs w:val="21"/>
              </w:rPr>
              <w:t>项目监理机构签收人姓名及时间</w:t>
            </w:r>
          </w:p>
        </w:tc>
        <w:tc>
          <w:tcPr>
            <w:tcW w:w="2794" w:type="dxa"/>
            <w:tcBorders>
              <w:top w:val="single" w:color="auto" w:sz="4" w:space="0"/>
              <w:left w:val="single" w:color="auto" w:sz="4" w:space="0"/>
              <w:bottom w:val="single" w:color="auto" w:sz="4" w:space="0"/>
              <w:right w:val="single" w:color="auto" w:sz="4" w:space="0"/>
            </w:tcBorders>
            <w:noWrap w:val="0"/>
            <w:vAlign w:val="center"/>
          </w:tcPr>
          <w:p>
            <w:pPr>
              <w:spacing w:before="120" w:after="120"/>
              <w:jc w:val="center"/>
              <w:rPr>
                <w:rFonts w:ascii="Times New Roman"/>
                <w:szCs w:val="21"/>
              </w:rPr>
            </w:pPr>
          </w:p>
        </w:tc>
        <w:tc>
          <w:tcPr>
            <w:tcW w:w="1473" w:type="dxa"/>
            <w:tcBorders>
              <w:top w:val="single" w:color="auto" w:sz="4" w:space="0"/>
              <w:left w:val="single" w:color="auto" w:sz="4" w:space="0"/>
              <w:bottom w:val="single" w:color="auto" w:sz="4" w:space="0"/>
              <w:right w:val="single" w:color="auto" w:sz="4" w:space="0"/>
            </w:tcBorders>
            <w:noWrap w:val="0"/>
            <w:vAlign w:val="center"/>
          </w:tcPr>
          <w:p>
            <w:pPr>
              <w:spacing w:before="120" w:after="120"/>
              <w:jc w:val="center"/>
              <w:rPr>
                <w:rFonts w:ascii="Times New Roman"/>
                <w:szCs w:val="21"/>
              </w:rPr>
            </w:pPr>
            <w:r>
              <w:rPr>
                <w:rFonts w:hint="eastAsia" w:ascii="Times New Roman"/>
                <w:szCs w:val="21"/>
              </w:rPr>
              <w:t>施工项目经理部签收人姓名及时间</w:t>
            </w:r>
          </w:p>
        </w:tc>
        <w:tc>
          <w:tcPr>
            <w:tcW w:w="2641" w:type="dxa"/>
            <w:tcBorders>
              <w:top w:val="single" w:color="auto" w:sz="4" w:space="0"/>
              <w:left w:val="single" w:color="auto" w:sz="4" w:space="0"/>
              <w:bottom w:val="single" w:color="auto" w:sz="4" w:space="0"/>
              <w:right w:val="single" w:color="auto" w:sz="8" w:space="0"/>
            </w:tcBorders>
            <w:noWrap w:val="0"/>
            <w:vAlign w:val="center"/>
          </w:tcPr>
          <w:p>
            <w:pPr>
              <w:spacing w:before="120" w:after="120"/>
              <w:jc w:val="center"/>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4"/>
            <w:tcBorders>
              <w:top w:val="single" w:color="auto" w:sz="4" w:space="0"/>
              <w:left w:val="single" w:color="auto" w:sz="8" w:space="0"/>
              <w:bottom w:val="single" w:color="auto" w:sz="4" w:space="0"/>
              <w:right w:val="single" w:color="auto" w:sz="8" w:space="0"/>
            </w:tcBorders>
            <w:noWrap w:val="0"/>
            <w:vAlign w:val="top"/>
          </w:tcPr>
          <w:p>
            <w:pPr>
              <w:rPr>
                <w:rFonts w:ascii="Times New Roman"/>
                <w:szCs w:val="21"/>
              </w:rPr>
            </w:pPr>
            <w:r>
              <w:rPr>
                <w:rFonts w:hint="eastAsia" w:ascii="Times New Roman"/>
                <w:szCs w:val="21"/>
              </w:rPr>
              <w:t>审查意见:</w:t>
            </w:r>
          </w:p>
          <w:p>
            <w:pPr>
              <w:rPr>
                <w:rFonts w:hint="eastAsia" w:ascii="Times New Roman"/>
                <w:szCs w:val="21"/>
              </w:rPr>
            </w:pPr>
          </w:p>
          <w:p>
            <w:pPr>
              <w:spacing w:line="360" w:lineRule="exact"/>
              <w:rPr>
                <w:rFonts w:hint="eastAsia" w:ascii="Times New Roman"/>
                <w:szCs w:val="21"/>
              </w:rPr>
            </w:pPr>
            <w:r>
              <w:rPr>
                <w:rFonts w:hint="eastAsia" w:ascii="Times New Roman"/>
                <w:szCs w:val="21"/>
              </w:rPr>
              <w:t>附件：□  审查记录</w:t>
            </w:r>
          </w:p>
          <w:p>
            <w:pPr>
              <w:rPr>
                <w:rFonts w:hint="eastAsia" w:ascii="Times New Roman"/>
                <w:szCs w:val="21"/>
              </w:rPr>
            </w:pPr>
          </w:p>
          <w:p>
            <w:pPr>
              <w:rPr>
                <w:rFonts w:hint="eastAsia" w:ascii="Times New Roman"/>
                <w:szCs w:val="21"/>
              </w:rPr>
            </w:pPr>
          </w:p>
          <w:p>
            <w:pPr>
              <w:tabs>
                <w:tab w:val="left" w:pos="6637"/>
              </w:tabs>
              <w:spacing w:line="360" w:lineRule="auto"/>
              <w:ind w:firstLine="315" w:firstLineChars="150"/>
              <w:rPr>
                <w:rFonts w:hint="eastAsia" w:ascii="Times New Roman"/>
                <w:szCs w:val="21"/>
              </w:rPr>
            </w:pPr>
            <w:r>
              <w:rPr>
                <w:rFonts w:hint="eastAsia" w:ascii="Times New Roman"/>
                <w:szCs w:val="21"/>
              </w:rPr>
              <w:t xml:space="preserve">                                          专业监理工程师（签字）：</w:t>
            </w:r>
            <w:r>
              <w:rPr>
                <w:rFonts w:hint="eastAsia" w:ascii="Times New Roman"/>
                <w:szCs w:val="21"/>
                <w:u w:val="single"/>
              </w:rPr>
              <w:t xml:space="preserve">          </w:t>
            </w:r>
            <w:r>
              <w:rPr>
                <w:rFonts w:hint="eastAsia" w:ascii="Times New Roman"/>
                <w:szCs w:val="21"/>
              </w:rPr>
              <w:t xml:space="preserve">   </w:t>
            </w:r>
          </w:p>
          <w:p>
            <w:pPr>
              <w:tabs>
                <w:tab w:val="left" w:pos="6637"/>
              </w:tabs>
              <w:spacing w:line="360" w:lineRule="auto"/>
              <w:ind w:firstLine="315" w:firstLineChars="150"/>
              <w:jc w:val="right"/>
              <w:rPr>
                <w:rFonts w:ascii="Times New Roman"/>
                <w:szCs w:val="21"/>
              </w:rPr>
            </w:pPr>
            <w:r>
              <w:rPr>
                <w:rFonts w:hint="eastAsia" w:ascii="Times New Roman"/>
                <w:szCs w:val="21"/>
              </w:rPr>
              <w:t xml:space="preserve"> </w:t>
            </w: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28" w:hRule="atLeast"/>
          <w:jc w:val="center"/>
        </w:trPr>
        <w:tc>
          <w:tcPr>
            <w:tcW w:w="8522" w:type="dxa"/>
            <w:gridSpan w:val="4"/>
            <w:tcBorders>
              <w:top w:val="single" w:color="auto" w:sz="4" w:space="0"/>
              <w:left w:val="single" w:color="auto" w:sz="8" w:space="0"/>
              <w:bottom w:val="single" w:color="auto" w:sz="4" w:space="0"/>
              <w:right w:val="single" w:color="auto" w:sz="8" w:space="0"/>
            </w:tcBorders>
            <w:noWrap w:val="0"/>
            <w:vAlign w:val="top"/>
          </w:tcPr>
          <w:p>
            <w:pPr>
              <w:rPr>
                <w:rFonts w:ascii="Times New Roman"/>
                <w:szCs w:val="21"/>
              </w:rPr>
            </w:pPr>
            <w:r>
              <w:rPr>
                <w:rFonts w:hint="eastAsia" w:ascii="Times New Roman"/>
                <w:szCs w:val="21"/>
              </w:rPr>
              <w:t>审核意见：</w:t>
            </w:r>
          </w:p>
          <w:p>
            <w:pPr>
              <w:rPr>
                <w:rFonts w:hint="eastAsia" w:ascii="Times New Roman"/>
                <w:szCs w:val="21"/>
              </w:rPr>
            </w:pPr>
          </w:p>
          <w:p>
            <w:pPr>
              <w:rPr>
                <w:rFonts w:hint="eastAsia" w:ascii="Times New Roman"/>
                <w:szCs w:val="21"/>
              </w:rPr>
            </w:pPr>
          </w:p>
          <w:p>
            <w:pPr>
              <w:rPr>
                <w:rFonts w:hint="eastAsia" w:ascii="Times New Roman"/>
                <w:szCs w:val="21"/>
              </w:rPr>
            </w:pPr>
          </w:p>
          <w:p>
            <w:pPr>
              <w:spacing w:line="320" w:lineRule="exact"/>
              <w:ind w:firstLine="2940" w:firstLineChars="1400"/>
              <w:rPr>
                <w:rFonts w:hint="eastAsia" w:ascii="Times New Roman"/>
                <w:bCs/>
                <w:szCs w:val="21"/>
                <w:u w:val="single"/>
              </w:rPr>
            </w:pPr>
            <w:r>
              <w:rPr>
                <w:rFonts w:hint="eastAsia" w:ascii="Times New Roman"/>
                <w:bCs/>
                <w:szCs w:val="21"/>
              </w:rPr>
              <w:t>项目监理机构(章):</w:t>
            </w:r>
            <w:r>
              <w:rPr>
                <w:rFonts w:hint="eastAsia" w:ascii="Times New Roman"/>
                <w:bCs/>
                <w:szCs w:val="21"/>
                <w:u w:val="single"/>
              </w:rPr>
              <w:t xml:space="preserve">                                </w:t>
            </w:r>
          </w:p>
          <w:p>
            <w:pPr>
              <w:tabs>
                <w:tab w:val="left" w:pos="6540"/>
              </w:tabs>
              <w:spacing w:line="320" w:lineRule="exact"/>
              <w:ind w:firstLine="2940" w:firstLineChars="1400"/>
              <w:rPr>
                <w:rFonts w:hint="eastAsia" w:ascii="Times New Roman"/>
                <w:szCs w:val="21"/>
              </w:rPr>
            </w:pPr>
            <w:r>
              <w:rPr>
                <w:rFonts w:hint="eastAsia" w:ascii="Times New Roman"/>
                <w:szCs w:val="21"/>
              </w:rPr>
              <w:t>总监理工程师/总监理工程师代表（签字）：</w:t>
            </w:r>
            <w:r>
              <w:rPr>
                <w:rFonts w:hint="eastAsia" w:ascii="Times New Roman"/>
                <w:szCs w:val="21"/>
                <w:u w:val="single"/>
              </w:rPr>
              <w:t xml:space="preserve">　　　　　 </w:t>
            </w:r>
            <w:r>
              <w:rPr>
                <w:rFonts w:hint="eastAsia" w:ascii="Times New Roman"/>
                <w:szCs w:val="21"/>
              </w:rPr>
              <w:t xml:space="preserve">    </w:t>
            </w:r>
          </w:p>
          <w:p>
            <w:pPr>
              <w:tabs>
                <w:tab w:val="left" w:pos="6540"/>
              </w:tabs>
              <w:spacing w:line="320" w:lineRule="exact"/>
              <w:ind w:firstLine="630" w:firstLineChars="300"/>
              <w:jc w:val="right"/>
              <w:rPr>
                <w:rFonts w:ascii="Times New Roman"/>
                <w:szCs w:val="21"/>
              </w:rPr>
            </w:pP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8522" w:type="dxa"/>
            <w:gridSpan w:val="4"/>
            <w:tcBorders>
              <w:top w:val="single" w:color="auto" w:sz="4" w:space="0"/>
              <w:left w:val="single" w:color="auto" w:sz="8" w:space="0"/>
              <w:bottom w:val="single" w:color="auto" w:sz="8" w:space="0"/>
              <w:right w:val="single" w:color="auto" w:sz="8" w:space="0"/>
            </w:tcBorders>
            <w:noWrap w:val="0"/>
            <w:vAlign w:val="center"/>
          </w:tcPr>
          <w:p>
            <w:pPr>
              <w:rPr>
                <w:szCs w:val="21"/>
              </w:rPr>
            </w:pPr>
            <w:r>
              <w:rPr>
                <w:rFonts w:hint="eastAsia" w:ascii="Times New Roman"/>
                <w:szCs w:val="21"/>
              </w:rPr>
              <w:t>注：</w:t>
            </w:r>
            <w:r>
              <w:rPr>
                <w:szCs w:val="21"/>
              </w:rPr>
              <w:t>1</w:t>
            </w:r>
            <w:r>
              <w:rPr>
                <w:rFonts w:hint="eastAsia"/>
                <w:szCs w:val="21"/>
              </w:rPr>
              <w:t>、施工单位项目经理部应在计划开工</w:t>
            </w:r>
            <w:r>
              <w:rPr>
                <w:szCs w:val="21"/>
              </w:rPr>
              <w:t>7</w:t>
            </w:r>
            <w:r>
              <w:rPr>
                <w:rFonts w:hint="eastAsia"/>
                <w:szCs w:val="21"/>
              </w:rPr>
              <w:t>日前提出本报审表。</w:t>
            </w:r>
          </w:p>
          <w:p>
            <w:pPr>
              <w:rPr>
                <w:rFonts w:ascii="Times New Roman"/>
                <w:szCs w:val="21"/>
              </w:rPr>
            </w:pPr>
            <w:r>
              <w:rPr>
                <w:szCs w:val="21"/>
              </w:rPr>
              <w:t xml:space="preserve">    2</w:t>
            </w:r>
            <w:r>
              <w:rPr>
                <w:rFonts w:hint="eastAsia" w:ascii="Times New Roman"/>
                <w:szCs w:val="21"/>
              </w:rPr>
              <w:t>、本表一式三份，项目监理机构、建设单位、施工单位各一份。</w:t>
            </w:r>
          </w:p>
        </w:tc>
      </w:tr>
    </w:tbl>
    <w:p>
      <w:pPr>
        <w:jc w:val="right"/>
        <w:rPr>
          <w:szCs w:val="21"/>
        </w:rPr>
      </w:pPr>
      <w:r>
        <w:rPr>
          <w:rFonts w:hint="eastAsia" w:ascii="Times New Roman" w:eastAsia="隶书"/>
        </w:rPr>
        <w:t>第六版表                                              江苏省住房和城乡建设厅监制</w:t>
      </w:r>
    </w:p>
    <w:p>
      <w:pPr>
        <w:jc w:val="right"/>
        <w:rPr>
          <w:rFonts w:eastAsia="黑体"/>
          <w:b/>
          <w:sz w:val="28"/>
          <w:szCs w:val="28"/>
          <w14:shadow w14:blurRad="50800" w14:dist="38100" w14:dir="2700000" w14:sx="100000" w14:sy="100000" w14:kx="0" w14:ky="0" w14:algn="tl">
            <w14:srgbClr w14:val="000000">
              <w14:alpha w14:val="60000"/>
            </w14:srgbClr>
          </w14:shadow>
        </w:rPr>
      </w:pPr>
      <w:r>
        <w:rPr>
          <w:rFonts w:eastAsia="黑体"/>
          <w:b/>
          <w:sz w:val="28"/>
          <w:szCs w:val="28"/>
          <w14:shadow w14:blurRad="50800" w14:dist="38100" w14:dir="2700000" w14:sx="100000" w14:sy="100000" w14:kx="0" w14:ky="0" w14:algn="tl">
            <w14:srgbClr w14:val="000000">
              <w14:alpha w14:val="60000"/>
            </w14:srgbClr>
          </w14:shadow>
        </w:rPr>
        <w:t>B.0.3</w:t>
      </w:r>
    </w:p>
    <w:p>
      <w:pPr>
        <w:spacing w:before="312" w:beforeLines="100" w:after="312" w:afterLines="100" w:line="280" w:lineRule="exact"/>
        <w:jc w:val="center"/>
        <w:rPr>
          <w:rFonts w:eastAsia="黑体"/>
          <w:sz w:val="44"/>
          <w14:shadow w14:blurRad="50800" w14:dist="38100" w14:dir="2700000" w14:sx="100000" w14:sy="100000" w14:kx="0" w14:ky="0" w14:algn="tl">
            <w14:srgbClr w14:val="000000">
              <w14:alpha w14:val="60000"/>
            </w14:srgbClr>
          </w14:shadow>
        </w:rPr>
      </w:pPr>
      <w:r>
        <w:rPr>
          <w:rFonts w:hint="eastAsia" w:eastAsia="黑体"/>
          <w:sz w:val="44"/>
          <w14:shadow w14:blurRad="50800" w14:dist="38100" w14:dir="2700000" w14:sx="100000" w14:sy="100000" w14:kx="0" w14:ky="0" w14:algn="tl">
            <w14:srgbClr w14:val="000000">
              <w14:alpha w14:val="60000"/>
            </w14:srgbClr>
          </w14:shadow>
        </w:rPr>
        <w:t>工程开工报审表</w:t>
      </w:r>
    </w:p>
    <w:p>
      <w:pPr>
        <w:spacing w:after="156" w:afterLines="50" w:line="420" w:lineRule="exact"/>
        <w:ind w:left="21" w:hanging="21" w:hangingChars="10"/>
        <w:rPr>
          <w:szCs w:val="21"/>
        </w:rPr>
      </w:pPr>
      <w:r>
        <w:rPr>
          <w:rFonts w:hint="eastAsia"/>
          <w:szCs w:val="21"/>
        </w:rPr>
        <w:t>工程名称：</w:t>
      </w:r>
      <w:r>
        <w:rPr>
          <w:szCs w:val="21"/>
          <w:u w:val="single"/>
        </w:rPr>
        <w:t xml:space="preserve">                        </w:t>
      </w:r>
      <w:r>
        <w:rPr>
          <w:rFonts w:hint="eastAsia"/>
          <w:szCs w:val="21"/>
        </w:rPr>
        <w:t>　　　　</w:t>
      </w:r>
      <w:r>
        <w:rPr>
          <w:szCs w:val="21"/>
        </w:rPr>
        <w:t xml:space="preserve">               </w:t>
      </w:r>
      <w:r>
        <w:rPr>
          <w:rFonts w:hint="eastAsia"/>
          <w:szCs w:val="21"/>
        </w:rPr>
        <w:t>　　编号：</w:t>
      </w:r>
      <w:r>
        <w:rPr>
          <w:szCs w:val="21"/>
        </w:rPr>
        <w:t>B.0.3</w:t>
      </w:r>
      <w:r>
        <w:rPr>
          <w:rFonts w:hint="eastAsia"/>
          <w:szCs w:val="21"/>
        </w:rPr>
        <w:t>－</w:t>
      </w:r>
      <w:r>
        <w:rPr>
          <w:rFonts w:hint="eastAsia"/>
          <w:szCs w:val="21"/>
          <w:u w:val="single"/>
        </w:rPr>
        <w:t>　</w:t>
      </w:r>
      <w:r>
        <w:rPr>
          <w:szCs w:val="21"/>
          <w:u w:val="single"/>
        </w:rPr>
        <w:t xml:space="preserve"> </w:t>
      </w:r>
      <w:r>
        <w:rPr>
          <w:rFonts w:hint="eastAsia"/>
          <w:szCs w:val="21"/>
          <w:u w:val="single"/>
        </w:rPr>
        <w:t>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3"/>
        <w:gridCol w:w="7"/>
        <w:gridCol w:w="2788"/>
        <w:gridCol w:w="347"/>
        <w:gridCol w:w="1158"/>
        <w:gridCol w:w="402"/>
        <w:gridCol w:w="2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1" w:hRule="atLeast"/>
        </w:trPr>
        <w:tc>
          <w:tcPr>
            <w:tcW w:w="8628" w:type="dxa"/>
            <w:gridSpan w:val="7"/>
            <w:tcBorders>
              <w:top w:val="single" w:color="auto" w:sz="8" w:space="0"/>
              <w:left w:val="single" w:color="auto" w:sz="8" w:space="0"/>
              <w:bottom w:val="nil"/>
              <w:right w:val="single" w:color="auto" w:sz="8" w:space="0"/>
            </w:tcBorders>
            <w:noWrap w:val="0"/>
            <w:vAlign w:val="top"/>
          </w:tcPr>
          <w:p>
            <w:pPr>
              <w:spacing w:before="156" w:beforeLines="50" w:after="156" w:afterLines="50"/>
              <w:rPr>
                <w:rFonts w:ascii="Times New Roman"/>
                <w:szCs w:val="21"/>
              </w:rPr>
            </w:pPr>
            <w:r>
              <w:rPr>
                <w:rFonts w:hint="eastAsia" w:ascii="Times New Roman"/>
                <w:szCs w:val="21"/>
              </w:rPr>
              <w:t>致：</w:t>
            </w:r>
            <w:r>
              <w:rPr>
                <w:rFonts w:hint="eastAsia" w:ascii="Times New Roman"/>
                <w:szCs w:val="21"/>
                <w:u w:val="single"/>
              </w:rPr>
              <w:t>　　　　　　　</w:t>
            </w:r>
            <w:r>
              <w:rPr>
                <w:rFonts w:hint="eastAsia" w:ascii="Times New Roman"/>
                <w:szCs w:val="21"/>
              </w:rPr>
              <w:t>（建设单位）</w:t>
            </w:r>
          </w:p>
          <w:p>
            <w:pPr>
              <w:spacing w:line="360" w:lineRule="auto"/>
              <w:rPr>
                <w:rFonts w:hint="eastAsia" w:ascii="Times New Roman"/>
                <w:szCs w:val="21"/>
              </w:rPr>
            </w:pPr>
            <w:r>
              <w:rPr>
                <w:rFonts w:hint="eastAsia" w:ascii="Times New Roman"/>
                <w:szCs w:val="21"/>
              </w:rPr>
              <w:t xml:space="preserve">    </w:t>
            </w:r>
            <w:r>
              <w:rPr>
                <w:rFonts w:hint="eastAsia" w:ascii="Times New Roman"/>
                <w:szCs w:val="21"/>
                <w:u w:val="single"/>
              </w:rPr>
              <w:t xml:space="preserve">     　　　　　</w:t>
            </w:r>
            <w:r>
              <w:rPr>
                <w:rFonts w:hint="eastAsia" w:ascii="Times New Roman"/>
                <w:szCs w:val="21"/>
              </w:rPr>
              <w:t>（项目监理机构）</w:t>
            </w:r>
          </w:p>
          <w:p>
            <w:pPr>
              <w:spacing w:line="320" w:lineRule="exact"/>
              <w:rPr>
                <w:rFonts w:hint="eastAsia" w:ascii="Times New Roman"/>
                <w:szCs w:val="21"/>
              </w:rPr>
            </w:pPr>
            <w:r>
              <w:rPr>
                <w:rFonts w:hint="eastAsia" w:ascii="Times New Roman"/>
                <w:szCs w:val="21"/>
              </w:rPr>
              <w:t>　  我方承担的</w:t>
            </w:r>
            <w:r>
              <w:rPr>
                <w:rFonts w:hint="eastAsia" w:ascii="Times New Roman"/>
                <w:szCs w:val="21"/>
                <w:u w:val="single"/>
              </w:rPr>
              <w:t>　　　　　　　　　　　　　　　　　</w:t>
            </w:r>
            <w:r>
              <w:rPr>
                <w:rFonts w:hint="eastAsia" w:ascii="Times New Roman"/>
                <w:szCs w:val="21"/>
              </w:rPr>
              <w:t>工程，已完成相关准备工作，具备开工条件，申请于</w:t>
            </w:r>
            <w:r>
              <w:rPr>
                <w:rFonts w:hint="eastAsia" w:ascii="Times New Roman"/>
                <w:szCs w:val="21"/>
                <w:u w:val="single"/>
              </w:rPr>
              <w:t>　　　</w:t>
            </w:r>
            <w:r>
              <w:rPr>
                <w:rFonts w:hint="eastAsia" w:ascii="Times New Roman"/>
                <w:szCs w:val="21"/>
              </w:rPr>
              <w:t>年</w:t>
            </w:r>
            <w:r>
              <w:rPr>
                <w:rFonts w:hint="eastAsia" w:ascii="Times New Roman"/>
                <w:szCs w:val="21"/>
                <w:u w:val="single"/>
              </w:rPr>
              <w:t>　 　</w:t>
            </w:r>
            <w:r>
              <w:rPr>
                <w:rFonts w:hint="eastAsia" w:ascii="Times New Roman"/>
                <w:szCs w:val="21"/>
              </w:rPr>
              <w:t>月</w:t>
            </w:r>
            <w:r>
              <w:rPr>
                <w:rFonts w:hint="eastAsia" w:ascii="Times New Roman"/>
                <w:szCs w:val="21"/>
                <w:u w:val="single"/>
              </w:rPr>
              <w:t>　　　</w:t>
            </w:r>
            <w:r>
              <w:rPr>
                <w:rFonts w:hint="eastAsia" w:ascii="Times New Roman"/>
                <w:szCs w:val="21"/>
              </w:rPr>
              <w:t>日开工，请予以审核，批准。</w:t>
            </w:r>
          </w:p>
          <w:p>
            <w:pPr>
              <w:spacing w:line="320" w:lineRule="exact"/>
              <w:ind w:firstLine="420" w:firstLineChars="200"/>
              <w:rPr>
                <w:rFonts w:hint="eastAsia" w:ascii="Times New Roman"/>
                <w:szCs w:val="21"/>
              </w:rPr>
            </w:pPr>
            <w:r>
              <w:rPr>
                <w:rFonts w:hint="eastAsia" w:ascii="Times New Roman"/>
                <w:szCs w:val="21"/>
              </w:rPr>
              <w:t>□　设计交底和图纸会审</w:t>
            </w:r>
          </w:p>
          <w:p>
            <w:pPr>
              <w:spacing w:line="320" w:lineRule="exact"/>
              <w:ind w:firstLine="420" w:firstLineChars="200"/>
              <w:rPr>
                <w:rFonts w:hint="eastAsia" w:ascii="Times New Roman"/>
                <w:szCs w:val="21"/>
              </w:rPr>
            </w:pPr>
            <w:r>
              <w:rPr>
                <w:rFonts w:hint="eastAsia" w:ascii="Times New Roman"/>
                <w:szCs w:val="21"/>
              </w:rPr>
              <w:t>□  施工组织设计/施工方案（</w:t>
            </w:r>
            <w:r>
              <w:rPr>
                <w:szCs w:val="21"/>
              </w:rPr>
              <w:t>B.0.1</w:t>
            </w:r>
            <w:r>
              <w:rPr>
                <w:rFonts w:hint="eastAsia" w:ascii="Times New Roman"/>
                <w:szCs w:val="21"/>
                <w:u w:val="single"/>
              </w:rPr>
              <w:t xml:space="preserve">   </w:t>
            </w:r>
            <w:r>
              <w:rPr>
                <w:rFonts w:hint="eastAsia" w:ascii="Times New Roman"/>
                <w:szCs w:val="21"/>
              </w:rPr>
              <w:t>—</w:t>
            </w:r>
            <w:r>
              <w:rPr>
                <w:rFonts w:hint="eastAsia" w:ascii="Times New Roman"/>
                <w:szCs w:val="21"/>
                <w:u w:val="single"/>
              </w:rPr>
              <w:t xml:space="preserve">            </w:t>
            </w:r>
            <w:r>
              <w:rPr>
                <w:rFonts w:hint="eastAsia" w:ascii="Times New Roman"/>
                <w:szCs w:val="21"/>
              </w:rPr>
              <w:t>）</w:t>
            </w:r>
          </w:p>
          <w:p>
            <w:pPr>
              <w:spacing w:line="320" w:lineRule="exact"/>
              <w:ind w:firstLine="420" w:firstLineChars="200"/>
              <w:rPr>
                <w:rFonts w:hint="eastAsia" w:ascii="Times New Roman"/>
                <w:szCs w:val="21"/>
              </w:rPr>
            </w:pPr>
            <w:r>
              <w:rPr>
                <w:rFonts w:hint="eastAsia" w:ascii="Times New Roman"/>
                <w:szCs w:val="21"/>
              </w:rPr>
              <w:t>□  施工进度计划（</w:t>
            </w:r>
            <w:r>
              <w:rPr>
                <w:szCs w:val="21"/>
              </w:rPr>
              <w:t>B.3.1</w:t>
            </w:r>
            <w:r>
              <w:rPr>
                <w:rFonts w:hint="eastAsia" w:ascii="Times New Roman"/>
                <w:szCs w:val="21"/>
                <w:u w:val="single"/>
              </w:rPr>
              <w:t xml:space="preserve">   </w:t>
            </w:r>
            <w:r>
              <w:rPr>
                <w:rFonts w:hint="eastAsia" w:ascii="Times New Roman"/>
                <w:szCs w:val="21"/>
              </w:rPr>
              <w:t>—</w:t>
            </w:r>
            <w:r>
              <w:rPr>
                <w:rFonts w:hint="eastAsia" w:ascii="Times New Roman"/>
                <w:szCs w:val="21"/>
                <w:u w:val="single"/>
              </w:rPr>
              <w:t xml:space="preserve">            </w:t>
            </w:r>
            <w:r>
              <w:rPr>
                <w:rFonts w:hint="eastAsia" w:ascii="Times New Roman"/>
                <w:szCs w:val="21"/>
              </w:rPr>
              <w:t>）</w:t>
            </w:r>
          </w:p>
          <w:p>
            <w:pPr>
              <w:spacing w:line="320" w:lineRule="exact"/>
              <w:ind w:firstLine="420" w:firstLineChars="200"/>
              <w:rPr>
                <w:rFonts w:hint="eastAsia" w:ascii="Times New Roman"/>
                <w:szCs w:val="21"/>
              </w:rPr>
            </w:pPr>
            <w:r>
              <w:rPr>
                <w:rFonts w:hint="eastAsia" w:ascii="Times New Roman"/>
                <w:szCs w:val="21"/>
              </w:rPr>
              <w:t>□  施工质量、安全生产管理体系（</w:t>
            </w:r>
            <w:r>
              <w:rPr>
                <w:szCs w:val="21"/>
              </w:rPr>
              <w:t>B.0.2</w:t>
            </w:r>
            <w:r>
              <w:rPr>
                <w:rFonts w:hint="eastAsia" w:ascii="Times New Roman"/>
                <w:szCs w:val="21"/>
              </w:rPr>
              <w:t>—</w:t>
            </w:r>
            <w:r>
              <w:rPr>
                <w:rFonts w:hint="eastAsia" w:ascii="Times New Roman"/>
                <w:szCs w:val="21"/>
                <w:u w:val="single"/>
              </w:rPr>
              <w:t xml:space="preserve">            </w:t>
            </w:r>
            <w:r>
              <w:rPr>
                <w:rFonts w:hint="eastAsia" w:ascii="Times New Roman"/>
                <w:szCs w:val="21"/>
              </w:rPr>
              <w:t>）</w:t>
            </w:r>
          </w:p>
          <w:p>
            <w:pPr>
              <w:spacing w:line="320" w:lineRule="exact"/>
              <w:ind w:firstLine="420" w:firstLineChars="200"/>
              <w:rPr>
                <w:rFonts w:hint="eastAsia" w:ascii="Times New Roman"/>
                <w:szCs w:val="21"/>
              </w:rPr>
            </w:pPr>
            <w:r>
              <w:rPr>
                <w:rFonts w:hint="eastAsia" w:ascii="Times New Roman"/>
                <w:szCs w:val="21"/>
              </w:rPr>
              <w:t>□  进场道路及水、电、通信、临设等</w:t>
            </w:r>
          </w:p>
          <w:p>
            <w:pPr>
              <w:ind w:firstLine="480"/>
              <w:rPr>
                <w:rFonts w:hint="eastAsia" w:ascii="Times New Roman"/>
                <w:szCs w:val="21"/>
              </w:rPr>
            </w:pPr>
          </w:p>
          <w:p>
            <w:pPr>
              <w:keepLines/>
              <w:rPr>
                <w:rFonts w:hint="eastAsia" w:ascii="Times New Roman"/>
                <w:szCs w:val="21"/>
              </w:rPr>
            </w:pPr>
            <w:r>
              <w:rPr>
                <w:rFonts w:hint="eastAsia" w:ascii="Times New Roman"/>
                <w:szCs w:val="21"/>
              </w:rPr>
              <w:t>　　　　　　         施工单位（章）：</w:t>
            </w:r>
            <w:r>
              <w:rPr>
                <w:rFonts w:hint="eastAsia" w:ascii="Times New Roman"/>
                <w:szCs w:val="21"/>
                <w:u w:val="single"/>
              </w:rPr>
              <w:t>　　 　 　    　　　　</w:t>
            </w:r>
          </w:p>
          <w:p>
            <w:pPr>
              <w:spacing w:before="120" w:after="120"/>
              <w:rPr>
                <w:rFonts w:ascii="Times New Roman"/>
                <w:szCs w:val="21"/>
              </w:rPr>
            </w:pPr>
            <w:r>
              <w:rPr>
                <w:rFonts w:hint="eastAsia" w:ascii="Times New Roman"/>
                <w:szCs w:val="21"/>
              </w:rPr>
              <w:t>　　　　　　         项目经理（签字、执业印章）：</w:t>
            </w:r>
            <w:r>
              <w:rPr>
                <w:rFonts w:hint="eastAsia" w:ascii="Times New Roman"/>
                <w:szCs w:val="21"/>
                <w:u w:val="single"/>
              </w:rPr>
              <w:t>　　　　　</w:t>
            </w:r>
            <w:r>
              <w:rPr>
                <w:rFonts w:hint="eastAsia" w:ascii="Times New Roman"/>
                <w:szCs w:val="21"/>
              </w:rPr>
              <w:t xml:space="preserve">  </w:t>
            </w: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exact"/>
        </w:trPr>
        <w:tc>
          <w:tcPr>
            <w:tcW w:w="1613" w:type="dxa"/>
            <w:tcBorders>
              <w:top w:val="single" w:color="auto" w:sz="4" w:space="0"/>
              <w:left w:val="single" w:color="auto" w:sz="8" w:space="0"/>
              <w:bottom w:val="single" w:color="auto" w:sz="4" w:space="0"/>
              <w:right w:val="single" w:color="auto" w:sz="4" w:space="0"/>
            </w:tcBorders>
            <w:noWrap w:val="0"/>
            <w:vAlign w:val="center"/>
          </w:tcPr>
          <w:p>
            <w:pPr>
              <w:spacing w:line="320" w:lineRule="exact"/>
              <w:ind w:left="-105" w:leftChars="-50" w:right="-105" w:rightChars="-50"/>
              <w:jc w:val="center"/>
              <w:rPr>
                <w:rFonts w:ascii="Times New Roman"/>
                <w:szCs w:val="21"/>
              </w:rPr>
            </w:pPr>
            <w:r>
              <w:rPr>
                <w:rFonts w:hint="eastAsia" w:ascii="Times New Roman"/>
                <w:szCs w:val="21"/>
              </w:rPr>
              <w:t>项目监理机构签收人姓名及时间</w:t>
            </w:r>
          </w:p>
        </w:tc>
        <w:tc>
          <w:tcPr>
            <w:tcW w:w="2795" w:type="dxa"/>
            <w:gridSpan w:val="2"/>
            <w:tcBorders>
              <w:top w:val="single" w:color="auto" w:sz="4" w:space="0"/>
              <w:left w:val="single" w:color="auto" w:sz="4" w:space="0"/>
              <w:bottom w:val="single" w:color="auto" w:sz="4" w:space="0"/>
              <w:right w:val="single" w:color="auto" w:sz="4" w:space="0"/>
            </w:tcBorders>
            <w:noWrap w:val="0"/>
            <w:vAlign w:val="center"/>
          </w:tcPr>
          <w:p>
            <w:pPr>
              <w:spacing w:line="320" w:lineRule="exact"/>
              <w:ind w:left="-105" w:leftChars="-50" w:right="-105" w:rightChars="-50"/>
              <w:jc w:val="center"/>
              <w:rPr>
                <w:rFonts w:ascii="Times New Roman"/>
                <w:szCs w:val="21"/>
              </w:rPr>
            </w:pPr>
          </w:p>
        </w:tc>
        <w:tc>
          <w:tcPr>
            <w:tcW w:w="1505" w:type="dxa"/>
            <w:gridSpan w:val="2"/>
            <w:tcBorders>
              <w:top w:val="single" w:color="auto" w:sz="4" w:space="0"/>
              <w:left w:val="single" w:color="auto" w:sz="4" w:space="0"/>
              <w:bottom w:val="single" w:color="auto" w:sz="4" w:space="0"/>
              <w:right w:val="single" w:color="auto" w:sz="4" w:space="0"/>
            </w:tcBorders>
            <w:noWrap w:val="0"/>
            <w:vAlign w:val="center"/>
          </w:tcPr>
          <w:p>
            <w:pPr>
              <w:spacing w:line="320" w:lineRule="exact"/>
              <w:ind w:left="-105" w:leftChars="-50" w:right="-105" w:rightChars="-50"/>
              <w:jc w:val="center"/>
              <w:rPr>
                <w:rFonts w:ascii="Times New Roman"/>
                <w:szCs w:val="21"/>
              </w:rPr>
            </w:pPr>
            <w:r>
              <w:rPr>
                <w:rFonts w:hint="eastAsia" w:ascii="Times New Roman"/>
                <w:szCs w:val="21"/>
              </w:rPr>
              <w:t>施工单位签收 人姓名及时间</w:t>
            </w:r>
          </w:p>
        </w:tc>
        <w:tc>
          <w:tcPr>
            <w:tcW w:w="2715" w:type="dxa"/>
            <w:gridSpan w:val="2"/>
            <w:tcBorders>
              <w:top w:val="single" w:color="auto" w:sz="4" w:space="0"/>
              <w:left w:val="single" w:color="auto" w:sz="4" w:space="0"/>
              <w:bottom w:val="single" w:color="auto" w:sz="4" w:space="0"/>
              <w:right w:val="single" w:color="auto" w:sz="8" w:space="0"/>
            </w:tcBorders>
            <w:noWrap w:val="0"/>
            <w:vAlign w:val="top"/>
          </w:tcPr>
          <w:p>
            <w:pPr>
              <w:spacing w:line="320" w:lineRule="exact"/>
              <w:ind w:left="-105" w:leftChars="-50" w:right="-105" w:rightChars="-50"/>
              <w:rPr>
                <w:rFonts w:asci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5" w:hRule="atLeast"/>
        </w:trPr>
        <w:tc>
          <w:tcPr>
            <w:tcW w:w="8628" w:type="dxa"/>
            <w:gridSpan w:val="7"/>
            <w:tcBorders>
              <w:top w:val="single" w:color="auto" w:sz="4" w:space="0"/>
              <w:left w:val="single" w:color="auto" w:sz="8" w:space="0"/>
              <w:bottom w:val="single" w:color="auto" w:sz="4" w:space="0"/>
              <w:right w:val="single" w:color="auto" w:sz="8" w:space="0"/>
            </w:tcBorders>
            <w:noWrap w:val="0"/>
            <w:vAlign w:val="top"/>
          </w:tcPr>
          <w:p>
            <w:pPr>
              <w:spacing w:before="120" w:after="120"/>
              <w:rPr>
                <w:rFonts w:ascii="Times New Roman"/>
                <w:szCs w:val="21"/>
              </w:rPr>
            </w:pPr>
            <w:r>
              <w:rPr>
                <w:rFonts w:hint="eastAsia" w:ascii="Times New Roman"/>
                <w:szCs w:val="21"/>
              </w:rPr>
              <w:t>审核意见：</w:t>
            </w:r>
          </w:p>
          <w:p>
            <w:pPr>
              <w:rPr>
                <w:rFonts w:hint="eastAsia" w:ascii="Times New Roman"/>
                <w:szCs w:val="21"/>
              </w:rPr>
            </w:pPr>
            <w:r>
              <w:rPr>
                <w:rFonts w:hint="eastAsia" w:ascii="Times New Roman"/>
                <w:szCs w:val="21"/>
              </w:rPr>
              <w:t xml:space="preserve">   　</w:t>
            </w:r>
          </w:p>
          <w:p>
            <w:pPr>
              <w:rPr>
                <w:rFonts w:hint="eastAsia" w:ascii="Times New Roman"/>
                <w:szCs w:val="21"/>
              </w:rPr>
            </w:pPr>
          </w:p>
          <w:p>
            <w:pPr>
              <w:rPr>
                <w:rFonts w:hint="eastAsia" w:ascii="Times New Roman"/>
                <w:szCs w:val="21"/>
              </w:rPr>
            </w:pPr>
          </w:p>
          <w:p>
            <w:pPr>
              <w:ind w:firstLine="2114" w:firstLineChars="1007"/>
              <w:rPr>
                <w:rFonts w:hint="eastAsia" w:ascii="Times New Roman"/>
                <w:bCs/>
                <w:szCs w:val="21"/>
                <w:u w:val="single"/>
              </w:rPr>
            </w:pPr>
            <w:r>
              <w:rPr>
                <w:rFonts w:hint="eastAsia" w:ascii="Times New Roman"/>
                <w:bCs/>
                <w:szCs w:val="21"/>
              </w:rPr>
              <w:t xml:space="preserve">项目监理机构(章): </w:t>
            </w:r>
            <w:r>
              <w:rPr>
                <w:rFonts w:hint="eastAsia" w:ascii="Times New Roman"/>
                <w:bCs/>
                <w:szCs w:val="21"/>
                <w:u w:val="single"/>
              </w:rPr>
              <w:t xml:space="preserve">                    </w:t>
            </w:r>
          </w:p>
          <w:p>
            <w:pPr>
              <w:spacing w:before="120" w:after="120"/>
              <w:ind w:firstLine="2100" w:firstLineChars="1000"/>
              <w:rPr>
                <w:rFonts w:ascii="Times New Roman"/>
                <w:szCs w:val="21"/>
              </w:rPr>
            </w:pPr>
            <w:r>
              <w:rPr>
                <w:rFonts w:hint="eastAsia" w:ascii="Times New Roman"/>
                <w:szCs w:val="21"/>
              </w:rPr>
              <w:t>总监理工程师（签字、执业印章）：</w:t>
            </w:r>
            <w:r>
              <w:rPr>
                <w:rFonts w:hint="eastAsia" w:ascii="Times New Roman"/>
                <w:szCs w:val="21"/>
                <w:u w:val="single"/>
              </w:rPr>
              <w:t>　　  　</w:t>
            </w:r>
            <w:r>
              <w:rPr>
                <w:rFonts w:hint="eastAsia" w:ascii="Times New Roman"/>
                <w:szCs w:val="21"/>
              </w:rPr>
              <w:t xml:space="preserve">  </w:t>
            </w: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1620" w:type="dxa"/>
            <w:gridSpan w:val="2"/>
            <w:tcBorders>
              <w:top w:val="single" w:color="auto" w:sz="4" w:space="0"/>
              <w:left w:val="single" w:color="auto" w:sz="8" w:space="0"/>
              <w:bottom w:val="single" w:color="auto" w:sz="4" w:space="0"/>
              <w:right w:val="single" w:color="auto" w:sz="4" w:space="0"/>
            </w:tcBorders>
            <w:noWrap w:val="0"/>
            <w:vAlign w:val="center"/>
          </w:tcPr>
          <w:p>
            <w:pPr>
              <w:ind w:left="-105" w:leftChars="-50" w:right="-105" w:rightChars="-50"/>
              <w:jc w:val="center"/>
              <w:rPr>
                <w:rFonts w:ascii="Times New Roman"/>
                <w:szCs w:val="21"/>
              </w:rPr>
            </w:pPr>
            <w:r>
              <w:rPr>
                <w:rFonts w:hint="eastAsia" w:ascii="Times New Roman"/>
                <w:szCs w:val="21"/>
              </w:rPr>
              <w:t>建设单位签收人姓名及时间</w:t>
            </w:r>
          </w:p>
        </w:tc>
        <w:tc>
          <w:tcPr>
            <w:tcW w:w="3135" w:type="dxa"/>
            <w:gridSpan w:val="2"/>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rFonts w:ascii="Times New Roman"/>
                <w:szCs w:val="21"/>
              </w:rPr>
            </w:pPr>
          </w:p>
        </w:tc>
        <w:tc>
          <w:tcPr>
            <w:tcW w:w="1560" w:type="dxa"/>
            <w:gridSpan w:val="2"/>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rFonts w:ascii="Times New Roman"/>
                <w:szCs w:val="21"/>
              </w:rPr>
            </w:pPr>
            <w:r>
              <w:rPr>
                <w:rFonts w:hint="eastAsia" w:ascii="Times New Roman"/>
                <w:szCs w:val="21"/>
              </w:rPr>
              <w:t>项目监理机构签收人姓名及时间</w:t>
            </w:r>
          </w:p>
        </w:tc>
        <w:tc>
          <w:tcPr>
            <w:tcW w:w="2313" w:type="dxa"/>
            <w:tcBorders>
              <w:top w:val="single" w:color="auto" w:sz="4" w:space="0"/>
              <w:left w:val="single" w:color="auto" w:sz="4" w:space="0"/>
              <w:bottom w:val="single" w:color="auto" w:sz="4" w:space="0"/>
              <w:right w:val="single" w:color="auto" w:sz="8" w:space="0"/>
            </w:tcBorders>
            <w:noWrap w:val="0"/>
            <w:vAlign w:val="center"/>
          </w:tcPr>
          <w:p>
            <w:pPr>
              <w:ind w:left="-105" w:leftChars="-50" w:right="-105" w:rightChars="-50"/>
              <w:jc w:val="center"/>
              <w:rPr>
                <w:rFonts w:asci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4" w:hRule="atLeast"/>
        </w:trPr>
        <w:tc>
          <w:tcPr>
            <w:tcW w:w="8628" w:type="dxa"/>
            <w:gridSpan w:val="7"/>
            <w:tcBorders>
              <w:top w:val="single" w:color="auto" w:sz="4" w:space="0"/>
              <w:left w:val="single" w:color="auto" w:sz="8" w:space="0"/>
              <w:bottom w:val="single" w:color="auto" w:sz="4" w:space="0"/>
              <w:right w:val="single" w:color="auto" w:sz="8" w:space="0"/>
            </w:tcBorders>
            <w:noWrap w:val="0"/>
            <w:vAlign w:val="top"/>
          </w:tcPr>
          <w:p>
            <w:pPr>
              <w:spacing w:before="120" w:after="120"/>
              <w:rPr>
                <w:rFonts w:ascii="Times New Roman"/>
                <w:szCs w:val="21"/>
              </w:rPr>
            </w:pPr>
            <w:r>
              <w:rPr>
                <w:rFonts w:hint="eastAsia" w:ascii="Times New Roman"/>
                <w:szCs w:val="21"/>
              </w:rPr>
              <w:t>建设单位审批意见：</w:t>
            </w:r>
          </w:p>
          <w:p>
            <w:pPr>
              <w:rPr>
                <w:rFonts w:hint="eastAsia" w:ascii="Times New Roman"/>
                <w:szCs w:val="21"/>
              </w:rPr>
            </w:pPr>
          </w:p>
          <w:p>
            <w:pPr>
              <w:rPr>
                <w:rFonts w:hint="eastAsia" w:ascii="Times New Roman"/>
                <w:bCs/>
                <w:szCs w:val="21"/>
                <w:u w:val="single"/>
              </w:rPr>
            </w:pPr>
            <w:r>
              <w:rPr>
                <w:rFonts w:hint="eastAsia" w:ascii="Times New Roman"/>
                <w:szCs w:val="21"/>
              </w:rPr>
              <w:t xml:space="preserve">                             </w:t>
            </w:r>
            <w:r>
              <w:rPr>
                <w:rFonts w:hint="eastAsia" w:ascii="Times New Roman"/>
                <w:bCs/>
                <w:szCs w:val="21"/>
              </w:rPr>
              <w:t xml:space="preserve">建设单位(章): </w:t>
            </w:r>
            <w:r>
              <w:rPr>
                <w:rFonts w:hint="eastAsia" w:ascii="Times New Roman"/>
                <w:bCs/>
                <w:szCs w:val="21"/>
                <w:u w:val="single"/>
              </w:rPr>
              <w:t xml:space="preserve">               </w:t>
            </w:r>
          </w:p>
          <w:p>
            <w:pPr>
              <w:tabs>
                <w:tab w:val="left" w:pos="6840"/>
                <w:tab w:val="left" w:pos="8160"/>
              </w:tabs>
              <w:spacing w:line="420" w:lineRule="exact"/>
              <w:ind w:firstLine="3057" w:firstLineChars="1456"/>
              <w:rPr>
                <w:rFonts w:ascii="Times New Roman"/>
                <w:szCs w:val="21"/>
              </w:rPr>
            </w:pPr>
            <w:r>
              <w:rPr>
                <w:rFonts w:hint="eastAsia" w:ascii="Times New Roman"/>
                <w:szCs w:val="21"/>
              </w:rPr>
              <w:t>建设单位代表（签字）：</w:t>
            </w:r>
            <w:r>
              <w:rPr>
                <w:rFonts w:hint="eastAsia" w:ascii="Times New Roman"/>
                <w:szCs w:val="21"/>
                <w:u w:val="single"/>
              </w:rPr>
              <w:t>　　  　</w:t>
            </w:r>
            <w:r>
              <w:rPr>
                <w:rFonts w:hint="eastAsia" w:ascii="Times New Roman"/>
                <w:szCs w:val="21"/>
              </w:rPr>
              <w:t xml:space="preserve">   </w:t>
            </w: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8628" w:type="dxa"/>
            <w:gridSpan w:val="7"/>
            <w:tcBorders>
              <w:top w:val="single" w:color="auto" w:sz="4" w:space="0"/>
              <w:left w:val="single" w:color="auto" w:sz="8" w:space="0"/>
              <w:bottom w:val="single" w:color="auto" w:sz="8" w:space="0"/>
              <w:right w:val="single" w:color="auto" w:sz="8" w:space="0"/>
            </w:tcBorders>
            <w:noWrap w:val="0"/>
            <w:vAlign w:val="center"/>
          </w:tcPr>
          <w:p>
            <w:pPr>
              <w:rPr>
                <w:szCs w:val="21"/>
              </w:rPr>
            </w:pPr>
            <w:r>
              <w:rPr>
                <w:rFonts w:hint="eastAsia" w:ascii="Times New Roman"/>
                <w:szCs w:val="21"/>
              </w:rPr>
              <w:t>注：</w:t>
            </w:r>
            <w:r>
              <w:rPr>
                <w:szCs w:val="21"/>
              </w:rPr>
              <w:t>1</w:t>
            </w:r>
            <w:r>
              <w:rPr>
                <w:rFonts w:hint="eastAsia"/>
                <w:szCs w:val="21"/>
              </w:rPr>
              <w:t>、施工单位应在计划开工日期</w:t>
            </w:r>
            <w:r>
              <w:rPr>
                <w:szCs w:val="21"/>
              </w:rPr>
              <w:t>7</w:t>
            </w:r>
            <w:r>
              <w:rPr>
                <w:rFonts w:hint="eastAsia"/>
                <w:szCs w:val="21"/>
              </w:rPr>
              <w:t>天前提出本报审表。</w:t>
            </w:r>
          </w:p>
          <w:p>
            <w:pPr>
              <w:ind w:firstLine="420" w:firstLineChars="200"/>
              <w:rPr>
                <w:szCs w:val="21"/>
              </w:rPr>
            </w:pPr>
            <w:r>
              <w:rPr>
                <w:szCs w:val="21"/>
              </w:rPr>
              <w:t>2</w:t>
            </w:r>
            <w:r>
              <w:rPr>
                <w:rFonts w:hint="eastAsia"/>
                <w:szCs w:val="21"/>
              </w:rPr>
              <w:t>、施工单位未取得《工程开工令》不得擅自开工。</w:t>
            </w:r>
          </w:p>
          <w:p>
            <w:pPr>
              <w:rPr>
                <w:rFonts w:ascii="Times New Roman"/>
                <w:szCs w:val="21"/>
              </w:rPr>
            </w:pPr>
            <w:r>
              <w:rPr>
                <w:szCs w:val="21"/>
              </w:rPr>
              <w:t xml:space="preserve">    3</w:t>
            </w:r>
            <w:r>
              <w:rPr>
                <w:rFonts w:hint="eastAsia" w:ascii="Times New Roman"/>
                <w:szCs w:val="21"/>
              </w:rPr>
              <w:t>、本表一式三份，项目监理机构、建设单位、施工单位各一份。</w:t>
            </w:r>
          </w:p>
        </w:tc>
      </w:tr>
    </w:tbl>
    <w:p>
      <w:pPr>
        <w:rPr>
          <w:rFonts w:ascii="Times New Roman" w:eastAsia="隶书"/>
        </w:rPr>
      </w:pPr>
      <w:r>
        <w:rPr>
          <w:rFonts w:hint="eastAsia" w:ascii="Times New Roman" w:eastAsia="隶书"/>
        </w:rPr>
        <w:t>第六版表                                              江苏省住房和城乡建设厅监制</w:t>
      </w:r>
      <w:r>
        <w:rPr>
          <w:rFonts w:hint="eastAsia" w:eastAsia="黑体"/>
          <w:sz w:val="28"/>
          <w:szCs w:val="28"/>
          <w14:shadow w14:blurRad="50800" w14:dist="38100" w14:dir="2700000" w14:sx="100000" w14:sy="100000" w14:kx="0" w14:ky="0" w14:algn="tl">
            <w14:srgbClr w14:val="000000">
              <w14:alpha w14:val="60000"/>
            </w14:srgbClr>
          </w14:shadow>
        </w:rPr>
        <w:t>　　　　　　　　　　　　　　　　　　　　　　　　　　　　　　　　</w:t>
      </w:r>
    </w:p>
    <w:p>
      <w:pPr>
        <w:spacing w:line="380" w:lineRule="exact"/>
        <w:jc w:val="right"/>
        <w:rPr>
          <w:rFonts w:hint="eastAsia" w:eastAsia="黑体"/>
          <w:b/>
          <w:sz w:val="28"/>
          <w:szCs w:val="28"/>
          <w14:shadow w14:blurRad="50800" w14:dist="38100" w14:dir="2700000" w14:sx="100000" w14:sy="100000" w14:kx="0" w14:ky="0" w14:algn="tl">
            <w14:srgbClr w14:val="000000">
              <w14:alpha w14:val="60000"/>
            </w14:srgbClr>
          </w14:shadow>
        </w:rPr>
      </w:pPr>
      <w:r>
        <w:rPr>
          <w:rFonts w:eastAsia="黑体"/>
          <w:b/>
          <w:sz w:val="28"/>
          <w:szCs w:val="28"/>
          <w14:shadow w14:blurRad="50800" w14:dist="38100" w14:dir="2700000" w14:sx="100000" w14:sy="100000" w14:kx="0" w14:ky="0" w14:algn="tl">
            <w14:srgbClr w14:val="000000">
              <w14:alpha w14:val="60000"/>
            </w14:srgbClr>
          </w14:shadow>
        </w:rPr>
        <w:t>B.0.4</w:t>
      </w:r>
    </w:p>
    <w:p>
      <w:pPr>
        <w:spacing w:before="312" w:beforeLines="100" w:after="312" w:afterLines="100" w:line="360" w:lineRule="exact"/>
        <w:jc w:val="center"/>
        <w:rPr>
          <w:rFonts w:eastAsia="黑体"/>
          <w:sz w:val="44"/>
          <w14:shadow w14:blurRad="50800" w14:dist="38100" w14:dir="2700000" w14:sx="100000" w14:sy="100000" w14:kx="0" w14:ky="0" w14:algn="tl">
            <w14:srgbClr w14:val="000000">
              <w14:alpha w14:val="60000"/>
            </w14:srgbClr>
          </w14:shadow>
        </w:rPr>
      </w:pPr>
      <w:r>
        <w:rPr>
          <w:rFonts w:hint="eastAsia" w:eastAsia="黑体"/>
          <w:sz w:val="44"/>
          <w14:shadow w14:blurRad="50800" w14:dist="38100" w14:dir="2700000" w14:sx="100000" w14:sy="100000" w14:kx="0" w14:ky="0" w14:algn="tl">
            <w14:srgbClr w14:val="000000">
              <w14:alpha w14:val="60000"/>
            </w14:srgbClr>
          </w14:shadow>
        </w:rPr>
        <w:t>分包单位资质报审表</w:t>
      </w:r>
    </w:p>
    <w:p>
      <w:pPr>
        <w:spacing w:after="156" w:afterLines="50" w:line="420" w:lineRule="exact"/>
        <w:ind w:left="21" w:hanging="21" w:hangingChars="10"/>
        <w:rPr>
          <w:szCs w:val="21"/>
        </w:rPr>
      </w:pPr>
      <w:r>
        <w:rPr>
          <w:rFonts w:hint="eastAsia"/>
          <w:szCs w:val="21"/>
        </w:rPr>
        <w:t>工程名称：</w:t>
      </w:r>
      <w:r>
        <w:rPr>
          <w:szCs w:val="21"/>
          <w:u w:val="single"/>
        </w:rPr>
        <w:t xml:space="preserve">                       </w:t>
      </w:r>
      <w:r>
        <w:rPr>
          <w:rFonts w:hint="eastAsia"/>
          <w:szCs w:val="21"/>
        </w:rPr>
        <w:t>　</w:t>
      </w:r>
      <w:r>
        <w:rPr>
          <w:szCs w:val="21"/>
        </w:rPr>
        <w:t xml:space="preserve">          </w:t>
      </w:r>
      <w:r>
        <w:rPr>
          <w:rFonts w:hint="eastAsia"/>
          <w:szCs w:val="21"/>
        </w:rPr>
        <w:t>　　</w:t>
      </w:r>
      <w:r>
        <w:rPr>
          <w:szCs w:val="21"/>
        </w:rPr>
        <w:t xml:space="preserve">     </w:t>
      </w:r>
      <w:r>
        <w:rPr>
          <w:rFonts w:hint="eastAsia"/>
          <w:szCs w:val="21"/>
        </w:rPr>
        <w:t>　　</w:t>
      </w:r>
      <w:r>
        <w:rPr>
          <w:szCs w:val="21"/>
        </w:rPr>
        <w:t xml:space="preserve">  </w:t>
      </w:r>
      <w:r>
        <w:rPr>
          <w:rFonts w:hint="eastAsia"/>
          <w:szCs w:val="21"/>
        </w:rPr>
        <w:t>　编号：</w:t>
      </w:r>
      <w:r>
        <w:rPr>
          <w:szCs w:val="21"/>
        </w:rPr>
        <w:t>B.0.4</w:t>
      </w:r>
      <w:r>
        <w:rPr>
          <w:rFonts w:hint="eastAsia"/>
          <w:szCs w:val="21"/>
        </w:rPr>
        <w:t>—</w:t>
      </w:r>
      <w:r>
        <w:rPr>
          <w:rFonts w:hint="eastAsia"/>
          <w:szCs w:val="21"/>
          <w:u w:val="single"/>
        </w:rPr>
        <w:t>　　　</w:t>
      </w:r>
      <w:r>
        <w:rPr>
          <w:szCs w:val="21"/>
          <w:u w:val="single"/>
        </w:rPr>
        <w:t xml:space="preserve"> </w:t>
      </w: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14"/>
        <w:gridCol w:w="2794"/>
        <w:gridCol w:w="1473"/>
        <w:gridCol w:w="2641"/>
        <w:gridCol w:w="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9" w:hRule="atLeast"/>
          <w:jc w:val="center"/>
        </w:trPr>
        <w:tc>
          <w:tcPr>
            <w:tcW w:w="8528" w:type="dxa"/>
            <w:gridSpan w:val="5"/>
            <w:tcBorders>
              <w:top w:val="single" w:color="auto" w:sz="8" w:space="0"/>
              <w:left w:val="single" w:color="auto" w:sz="8" w:space="0"/>
              <w:bottom w:val="single" w:color="auto" w:sz="4" w:space="0"/>
              <w:right w:val="single" w:color="auto" w:sz="8" w:space="0"/>
            </w:tcBorders>
            <w:noWrap w:val="0"/>
            <w:vAlign w:val="top"/>
          </w:tcPr>
          <w:p>
            <w:pPr>
              <w:spacing w:before="156" w:beforeLines="50" w:after="156" w:afterLines="50"/>
              <w:rPr>
                <w:rFonts w:ascii="Times New Roman"/>
                <w:szCs w:val="21"/>
                <w:u w:val="single"/>
              </w:rPr>
            </w:pPr>
            <w:r>
              <w:rPr>
                <w:rFonts w:hint="eastAsia" w:ascii="Times New Roman"/>
                <w:szCs w:val="21"/>
              </w:rPr>
              <w:t>致：</w:t>
            </w:r>
            <w:r>
              <w:rPr>
                <w:rFonts w:hint="eastAsia" w:ascii="Times New Roman"/>
                <w:szCs w:val="21"/>
                <w:u w:val="single"/>
              </w:rPr>
              <w:t>　　　　　　　  　</w:t>
            </w:r>
            <w:r>
              <w:rPr>
                <w:rFonts w:hint="eastAsia" w:ascii="Times New Roman"/>
                <w:szCs w:val="21"/>
              </w:rPr>
              <w:t>（项目监理机构）</w:t>
            </w:r>
          </w:p>
          <w:p>
            <w:pPr>
              <w:spacing w:line="360" w:lineRule="exact"/>
              <w:ind w:left="991" w:leftChars="300" w:hanging="361" w:hangingChars="172"/>
              <w:rPr>
                <w:rFonts w:hint="eastAsia" w:ascii="Times New Roman"/>
                <w:szCs w:val="21"/>
              </w:rPr>
            </w:pPr>
            <w:r>
              <w:rPr>
                <w:rFonts w:hint="eastAsia" w:ascii="Times New Roman"/>
                <w:szCs w:val="21"/>
              </w:rPr>
              <w:t>经考察，我方认为拟选择的</w:t>
            </w:r>
            <w:r>
              <w:rPr>
                <w:rFonts w:hint="eastAsia" w:ascii="Times New Roman"/>
                <w:szCs w:val="21"/>
                <w:u w:val="single"/>
              </w:rPr>
              <w:t>　　　　　　　　               　</w:t>
            </w:r>
            <w:r>
              <w:rPr>
                <w:rFonts w:hint="eastAsia" w:ascii="Times New Roman"/>
                <w:szCs w:val="21"/>
              </w:rPr>
              <w:t>（分包单位）具有</w:t>
            </w:r>
          </w:p>
          <w:p>
            <w:pPr>
              <w:spacing w:line="360" w:lineRule="exact"/>
              <w:rPr>
                <w:rFonts w:hint="eastAsia" w:ascii="Times New Roman"/>
                <w:szCs w:val="21"/>
              </w:rPr>
            </w:pPr>
            <w:r>
              <w:rPr>
                <w:rFonts w:hint="eastAsia" w:ascii="Times New Roman"/>
                <w:szCs w:val="21"/>
                <w:u w:val="single"/>
              </w:rPr>
              <w:t xml:space="preserve">                              </w:t>
            </w:r>
            <w:r>
              <w:rPr>
                <w:rFonts w:hint="eastAsia" w:ascii="Times New Roman"/>
                <w:szCs w:val="21"/>
              </w:rPr>
              <w:t>工程的施工资质和能力，可以保证本工程按施工合同</w:t>
            </w:r>
          </w:p>
          <w:p>
            <w:pPr>
              <w:spacing w:line="360" w:lineRule="exact"/>
              <w:rPr>
                <w:rFonts w:hint="eastAsia" w:ascii="Times New Roman"/>
                <w:szCs w:val="21"/>
              </w:rPr>
            </w:pPr>
            <w:r>
              <w:rPr>
                <w:rFonts w:hint="eastAsia" w:ascii="Times New Roman"/>
                <w:szCs w:val="21"/>
              </w:rPr>
              <w:t>第</w:t>
            </w:r>
            <w:r>
              <w:rPr>
                <w:rFonts w:hint="eastAsia" w:ascii="Times New Roman"/>
                <w:szCs w:val="21"/>
                <w:u w:val="single"/>
              </w:rPr>
              <w:t>　　　　　　　</w:t>
            </w:r>
            <w:r>
              <w:rPr>
                <w:rFonts w:hint="eastAsia" w:ascii="Times New Roman"/>
                <w:szCs w:val="21"/>
              </w:rPr>
              <w:t>条款的约定进行施工。请予以审查。附件：</w:t>
            </w:r>
          </w:p>
          <w:p>
            <w:pPr>
              <w:spacing w:line="360" w:lineRule="exact"/>
              <w:ind w:firstLine="420" w:firstLineChars="200"/>
              <w:rPr>
                <w:rFonts w:hint="eastAsia" w:ascii="Times New Roman"/>
                <w:szCs w:val="21"/>
              </w:rPr>
            </w:pPr>
            <w:r>
              <w:rPr>
                <w:rFonts w:hint="eastAsia" w:ascii="Times New Roman"/>
                <w:szCs w:val="21"/>
              </w:rPr>
              <w:t>□   分包单位资质材料：营业执照、资质证书、安全生产许可证等</w:t>
            </w:r>
          </w:p>
          <w:p>
            <w:pPr>
              <w:spacing w:line="360" w:lineRule="exact"/>
              <w:ind w:firstLine="420" w:firstLineChars="200"/>
              <w:rPr>
                <w:rFonts w:hint="eastAsia" w:ascii="Times New Roman"/>
                <w:szCs w:val="21"/>
              </w:rPr>
            </w:pPr>
            <w:r>
              <w:rPr>
                <w:rFonts w:hint="eastAsia" w:ascii="Times New Roman"/>
                <w:szCs w:val="21"/>
              </w:rPr>
              <w:t>□   分包单位类似工程业绩</w:t>
            </w:r>
          </w:p>
          <w:p>
            <w:pPr>
              <w:spacing w:line="360" w:lineRule="exact"/>
              <w:ind w:firstLine="420" w:firstLineChars="200"/>
              <w:rPr>
                <w:rFonts w:hint="eastAsia" w:ascii="Times New Roman"/>
                <w:szCs w:val="21"/>
              </w:rPr>
            </w:pPr>
            <w:r>
              <w:rPr>
                <w:rFonts w:hint="eastAsia" w:ascii="Times New Roman"/>
                <w:szCs w:val="21"/>
              </w:rPr>
              <w:t>□   分包单位专职管理人员和特种作业员的资格证</w:t>
            </w:r>
          </w:p>
          <w:p>
            <w:pPr>
              <w:spacing w:line="360" w:lineRule="exact"/>
              <w:ind w:firstLine="420" w:firstLineChars="200"/>
              <w:rPr>
                <w:rFonts w:hint="eastAsia" w:ascii="Times New Roman"/>
                <w:szCs w:val="21"/>
              </w:rPr>
            </w:pPr>
            <w:r>
              <w:rPr>
                <w:rFonts w:hint="eastAsia" w:ascii="Times New Roman"/>
                <w:szCs w:val="21"/>
              </w:rPr>
              <w:t>□   施工总承包单位对分包单位的管理制度</w:t>
            </w:r>
          </w:p>
          <w:p>
            <w:pPr>
              <w:spacing w:line="420" w:lineRule="exact"/>
              <w:rPr>
                <w:rFonts w:hint="eastAsia" w:ascii="Times New Roman"/>
                <w:szCs w:val="21"/>
              </w:rPr>
            </w:pPr>
            <w:r>
              <w:rPr>
                <w:rFonts w:hint="eastAsia" w:ascii="Times New Roman"/>
                <w:szCs w:val="21"/>
              </w:rPr>
              <w:t>　　　　　　　　　　　　　                 施工项目经理部（章）：</w:t>
            </w:r>
            <w:r>
              <w:rPr>
                <w:rFonts w:hint="eastAsia" w:ascii="Times New Roman"/>
                <w:szCs w:val="21"/>
                <w:u w:val="single"/>
              </w:rPr>
              <w:t xml:space="preserve">　　　　     </w:t>
            </w:r>
          </w:p>
          <w:p>
            <w:pPr>
              <w:spacing w:line="420" w:lineRule="exact"/>
              <w:rPr>
                <w:rFonts w:hint="eastAsia" w:ascii="Times New Roman"/>
                <w:szCs w:val="21"/>
              </w:rPr>
            </w:pPr>
            <w:r>
              <w:rPr>
                <w:rFonts w:hint="eastAsia" w:ascii="Times New Roman"/>
                <w:szCs w:val="21"/>
              </w:rPr>
              <w:t>　　　　　　　　　                         项目经理（签字）：</w:t>
            </w:r>
            <w:r>
              <w:rPr>
                <w:rFonts w:hint="eastAsia" w:ascii="Times New Roman"/>
                <w:szCs w:val="21"/>
                <w:u w:val="single"/>
              </w:rPr>
              <w:t>　　　    　　　　</w:t>
            </w:r>
            <w:r>
              <w:rPr>
                <w:rFonts w:hint="eastAsia" w:ascii="Times New Roman"/>
                <w:szCs w:val="21"/>
              </w:rPr>
              <w:t xml:space="preserve"> </w:t>
            </w:r>
          </w:p>
          <w:p>
            <w:pPr>
              <w:spacing w:line="420" w:lineRule="exact"/>
              <w:jc w:val="right"/>
              <w:rPr>
                <w:rFonts w:ascii="Times New Roman"/>
                <w:szCs w:val="21"/>
              </w:rPr>
            </w:pP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640" w:hRule="atLeast"/>
          <w:jc w:val="center"/>
        </w:trPr>
        <w:tc>
          <w:tcPr>
            <w:tcW w:w="1614" w:type="dxa"/>
            <w:tcBorders>
              <w:top w:val="single" w:color="auto" w:sz="4" w:space="0"/>
              <w:left w:val="single" w:color="auto" w:sz="8" w:space="0"/>
              <w:bottom w:val="single" w:color="auto" w:sz="4" w:space="0"/>
              <w:right w:val="single" w:color="auto" w:sz="4" w:space="0"/>
            </w:tcBorders>
            <w:noWrap w:val="0"/>
            <w:vAlign w:val="center"/>
          </w:tcPr>
          <w:p>
            <w:pPr>
              <w:ind w:left="-105" w:leftChars="-50" w:right="-105" w:rightChars="-50"/>
              <w:jc w:val="center"/>
              <w:rPr>
                <w:rFonts w:ascii="Times New Roman"/>
                <w:szCs w:val="21"/>
              </w:rPr>
            </w:pPr>
            <w:r>
              <w:rPr>
                <w:rFonts w:hint="eastAsia" w:ascii="Times New Roman"/>
                <w:szCs w:val="21"/>
              </w:rPr>
              <w:t>项目监理机构签收人姓名及时间</w:t>
            </w:r>
          </w:p>
        </w:tc>
        <w:tc>
          <w:tcPr>
            <w:tcW w:w="2794"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rFonts w:ascii="Times New Roman"/>
                <w:szCs w:val="21"/>
              </w:rPr>
            </w:pPr>
          </w:p>
        </w:tc>
        <w:tc>
          <w:tcPr>
            <w:tcW w:w="1473"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rFonts w:ascii="Times New Roman"/>
                <w:szCs w:val="21"/>
              </w:rPr>
            </w:pPr>
            <w:r>
              <w:rPr>
                <w:rFonts w:hint="eastAsia" w:ascii="Times New Roman"/>
                <w:szCs w:val="21"/>
              </w:rPr>
              <w:t>施工单位签收人姓名及时间</w:t>
            </w:r>
          </w:p>
        </w:tc>
        <w:tc>
          <w:tcPr>
            <w:tcW w:w="2641" w:type="dxa"/>
            <w:tcBorders>
              <w:top w:val="single" w:color="auto" w:sz="4" w:space="0"/>
              <w:left w:val="single" w:color="auto" w:sz="4" w:space="0"/>
              <w:bottom w:val="single" w:color="auto" w:sz="4" w:space="0"/>
              <w:right w:val="single" w:color="auto" w:sz="8" w:space="0"/>
            </w:tcBorders>
            <w:noWrap w:val="0"/>
            <w:vAlign w:val="top"/>
          </w:tcPr>
          <w:p>
            <w:pPr>
              <w:ind w:left="-105" w:leftChars="-50" w:right="-105" w:rightChars="-50"/>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388" w:hRule="atLeast"/>
          <w:jc w:val="center"/>
        </w:trPr>
        <w:tc>
          <w:tcPr>
            <w:tcW w:w="8522" w:type="dxa"/>
            <w:gridSpan w:val="4"/>
            <w:tcBorders>
              <w:top w:val="single" w:color="auto" w:sz="4" w:space="0"/>
              <w:left w:val="single" w:color="auto" w:sz="8" w:space="0"/>
              <w:bottom w:val="single" w:color="auto" w:sz="4" w:space="0"/>
              <w:right w:val="single" w:color="auto" w:sz="8" w:space="0"/>
            </w:tcBorders>
            <w:noWrap w:val="0"/>
            <w:vAlign w:val="center"/>
          </w:tcPr>
          <w:p>
            <w:pPr>
              <w:spacing w:before="120" w:after="120" w:line="240" w:lineRule="exact"/>
              <w:rPr>
                <w:rFonts w:ascii="Times New Roman"/>
                <w:szCs w:val="21"/>
              </w:rPr>
            </w:pPr>
            <w:r>
              <w:rPr>
                <w:rFonts w:hint="eastAsia" w:ascii="Times New Roman"/>
                <w:szCs w:val="21"/>
              </w:rPr>
              <w:t>审查意见：</w:t>
            </w:r>
          </w:p>
          <w:p>
            <w:pPr>
              <w:spacing w:before="120" w:after="120" w:line="240" w:lineRule="exact"/>
              <w:rPr>
                <w:rFonts w:hint="eastAsia" w:ascii="Times New Roman"/>
                <w:szCs w:val="21"/>
              </w:rPr>
            </w:pPr>
          </w:p>
          <w:p>
            <w:pPr>
              <w:spacing w:line="360" w:lineRule="auto"/>
              <w:ind w:right="-105" w:rightChars="-50"/>
              <w:jc w:val="right"/>
              <w:rPr>
                <w:rFonts w:ascii="Times New Roman"/>
                <w:szCs w:val="21"/>
              </w:rPr>
            </w:pPr>
            <w:r>
              <w:rPr>
                <w:rFonts w:hint="eastAsia" w:ascii="Times New Roman" w:hAnsi="Times New Roman"/>
                <w:szCs w:val="21"/>
              </w:rPr>
              <w:t xml:space="preserve">专业监理工程师(签字): </w:t>
            </w:r>
            <w:r>
              <w:rPr>
                <w:rFonts w:hint="eastAsia" w:ascii="Times New Roman" w:hAnsi="Times New Roman"/>
                <w:szCs w:val="21"/>
                <w:u w:val="single"/>
              </w:rPr>
              <w:t xml:space="preserve">            </w:t>
            </w:r>
            <w:r>
              <w:rPr>
                <w:rFonts w:hint="eastAsia" w:ascii="Times New Roman"/>
                <w:szCs w:val="21"/>
              </w:rPr>
              <w:t xml:space="preserve"> </w:t>
            </w: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0" w:hRule="atLeast"/>
          <w:jc w:val="center"/>
        </w:trPr>
        <w:tc>
          <w:tcPr>
            <w:tcW w:w="8528" w:type="dxa"/>
            <w:gridSpan w:val="5"/>
            <w:tcBorders>
              <w:top w:val="single" w:color="auto" w:sz="4" w:space="0"/>
              <w:left w:val="single" w:color="auto" w:sz="8" w:space="0"/>
              <w:bottom w:val="single" w:color="auto" w:sz="4" w:space="0"/>
              <w:right w:val="single" w:color="auto" w:sz="8" w:space="0"/>
            </w:tcBorders>
            <w:noWrap w:val="0"/>
            <w:vAlign w:val="top"/>
          </w:tcPr>
          <w:p>
            <w:pPr>
              <w:spacing w:before="120" w:after="120" w:line="240" w:lineRule="exact"/>
              <w:rPr>
                <w:rFonts w:ascii="Times New Roman"/>
                <w:szCs w:val="21"/>
              </w:rPr>
            </w:pPr>
            <w:r>
              <w:rPr>
                <w:rFonts w:hint="eastAsia" w:ascii="Times New Roman"/>
                <w:szCs w:val="21"/>
              </w:rPr>
              <w:t>审核意见：</w:t>
            </w:r>
          </w:p>
          <w:p>
            <w:pPr>
              <w:spacing w:before="120" w:after="120" w:line="240" w:lineRule="exact"/>
              <w:ind w:left="3228" w:leftChars="387" w:hanging="2415" w:hangingChars="1150"/>
              <w:rPr>
                <w:rFonts w:hint="eastAsia" w:ascii="Times New Roman"/>
                <w:bCs/>
                <w:szCs w:val="21"/>
              </w:rPr>
            </w:pPr>
            <w:r>
              <w:rPr>
                <w:rFonts w:hint="eastAsia" w:ascii="Times New Roman"/>
                <w:bCs/>
                <w:szCs w:val="21"/>
              </w:rPr>
              <w:t xml:space="preserve">                     </w:t>
            </w:r>
          </w:p>
          <w:p>
            <w:pPr>
              <w:spacing w:line="360" w:lineRule="auto"/>
              <w:ind w:firstLine="2940" w:firstLineChars="1400"/>
              <w:rPr>
                <w:rFonts w:hint="eastAsia" w:ascii="Times New Roman" w:hAnsi="Times New Roman"/>
                <w:szCs w:val="21"/>
              </w:rPr>
            </w:pPr>
            <w:r>
              <w:rPr>
                <w:rFonts w:hint="eastAsia" w:ascii="Times New Roman" w:hAnsi="Times New Roman"/>
                <w:szCs w:val="21"/>
              </w:rPr>
              <w:t xml:space="preserve">项目监理机构(章): </w:t>
            </w:r>
            <w:r>
              <w:rPr>
                <w:rFonts w:hint="eastAsia" w:ascii="Times New Roman" w:hAnsi="Times New Roman"/>
                <w:szCs w:val="21"/>
                <w:u w:val="single"/>
              </w:rPr>
              <w:t xml:space="preserve">                                </w:t>
            </w:r>
          </w:p>
          <w:p>
            <w:pPr>
              <w:tabs>
                <w:tab w:val="left" w:pos="6720"/>
              </w:tabs>
              <w:spacing w:line="360" w:lineRule="auto"/>
              <w:rPr>
                <w:rFonts w:hint="eastAsia" w:ascii="Times New Roman"/>
                <w:szCs w:val="21"/>
              </w:rPr>
            </w:pPr>
            <w:r>
              <w:rPr>
                <w:rFonts w:hint="eastAsia" w:ascii="Times New Roman"/>
                <w:szCs w:val="21"/>
              </w:rPr>
              <w:t xml:space="preserve">                            总监理工程师/总监理工程师代表（签字）：</w:t>
            </w:r>
            <w:r>
              <w:rPr>
                <w:rFonts w:hint="eastAsia" w:ascii="Times New Roman"/>
                <w:szCs w:val="21"/>
                <w:u w:val="single"/>
              </w:rPr>
              <w:t>　　　 　　</w:t>
            </w:r>
            <w:r>
              <w:rPr>
                <w:rFonts w:hint="eastAsia" w:ascii="Times New Roman"/>
                <w:szCs w:val="21"/>
              </w:rPr>
              <w:t xml:space="preserve"> </w:t>
            </w:r>
          </w:p>
          <w:p>
            <w:pPr>
              <w:tabs>
                <w:tab w:val="left" w:pos="6720"/>
              </w:tabs>
              <w:spacing w:line="360" w:lineRule="auto"/>
              <w:jc w:val="right"/>
              <w:rPr>
                <w:rFonts w:ascii="Times New Roman"/>
                <w:szCs w:val="21"/>
              </w:rPr>
            </w:pP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9" w:hRule="atLeast"/>
          <w:jc w:val="center"/>
        </w:trPr>
        <w:tc>
          <w:tcPr>
            <w:tcW w:w="8528" w:type="dxa"/>
            <w:gridSpan w:val="5"/>
            <w:tcBorders>
              <w:top w:val="single" w:color="auto" w:sz="4" w:space="0"/>
              <w:left w:val="single" w:color="auto" w:sz="8" w:space="0"/>
              <w:bottom w:val="single" w:color="auto" w:sz="4" w:space="0"/>
              <w:right w:val="single" w:color="auto" w:sz="8" w:space="0"/>
            </w:tcBorders>
            <w:noWrap w:val="0"/>
            <w:vAlign w:val="top"/>
          </w:tcPr>
          <w:p>
            <w:pPr>
              <w:tabs>
                <w:tab w:val="left" w:pos="6720"/>
              </w:tabs>
              <w:spacing w:line="320" w:lineRule="exact"/>
              <w:jc w:val="left"/>
              <w:rPr>
                <w:rFonts w:ascii="Times New Roman"/>
                <w:szCs w:val="21"/>
              </w:rPr>
            </w:pPr>
            <w:r>
              <w:rPr>
                <w:rFonts w:hint="eastAsia" w:ascii="Times New Roman"/>
                <w:szCs w:val="21"/>
              </w:rPr>
              <w:t>审批意见：</w:t>
            </w:r>
          </w:p>
          <w:p>
            <w:pPr>
              <w:tabs>
                <w:tab w:val="left" w:pos="6720"/>
              </w:tabs>
              <w:spacing w:line="320" w:lineRule="exact"/>
              <w:jc w:val="left"/>
              <w:rPr>
                <w:rFonts w:hint="eastAsia" w:ascii="Times New Roman"/>
                <w:szCs w:val="21"/>
              </w:rPr>
            </w:pPr>
          </w:p>
          <w:p>
            <w:pPr>
              <w:tabs>
                <w:tab w:val="left" w:pos="6720"/>
              </w:tabs>
              <w:spacing w:line="320" w:lineRule="exact"/>
              <w:jc w:val="left"/>
              <w:rPr>
                <w:rFonts w:hint="eastAsia" w:ascii="Times New Roman"/>
                <w:szCs w:val="21"/>
              </w:rPr>
            </w:pPr>
          </w:p>
          <w:p>
            <w:pPr>
              <w:spacing w:line="360" w:lineRule="auto"/>
              <w:ind w:firstLine="2730" w:firstLineChars="1300"/>
              <w:rPr>
                <w:rFonts w:hint="eastAsia" w:ascii="Times New Roman"/>
                <w:bCs/>
                <w:szCs w:val="21"/>
                <w:u w:val="single"/>
              </w:rPr>
            </w:pPr>
            <w:r>
              <w:rPr>
                <w:rFonts w:hint="eastAsia" w:ascii="Times New Roman"/>
                <w:bCs/>
                <w:szCs w:val="21"/>
              </w:rPr>
              <w:t xml:space="preserve">建设单位(章): </w:t>
            </w:r>
            <w:r>
              <w:rPr>
                <w:rFonts w:hint="eastAsia" w:ascii="Times New Roman"/>
                <w:bCs/>
                <w:szCs w:val="21"/>
                <w:u w:val="single"/>
              </w:rPr>
              <w:t xml:space="preserve">                 </w:t>
            </w:r>
          </w:p>
          <w:p>
            <w:pPr>
              <w:tabs>
                <w:tab w:val="left" w:pos="6720"/>
              </w:tabs>
              <w:spacing w:line="360" w:lineRule="auto"/>
              <w:jc w:val="right"/>
              <w:rPr>
                <w:rFonts w:ascii="Times New Roman"/>
                <w:szCs w:val="21"/>
              </w:rPr>
            </w:pPr>
            <w:r>
              <w:rPr>
                <w:rFonts w:hint="eastAsia" w:ascii="Times New Roman"/>
                <w:szCs w:val="21"/>
              </w:rPr>
              <w:t xml:space="preserve">     建设单位代表（签字）：</w:t>
            </w:r>
            <w:r>
              <w:rPr>
                <w:rFonts w:hint="eastAsia" w:ascii="Times New Roman"/>
                <w:szCs w:val="21"/>
                <w:u w:val="single"/>
              </w:rPr>
              <w:t>　　    　</w:t>
            </w:r>
            <w:r>
              <w:rPr>
                <w:rFonts w:hint="eastAsia" w:ascii="Times New Roman"/>
                <w:szCs w:val="21"/>
              </w:rPr>
              <w:t xml:space="preserve">   </w:t>
            </w: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8528" w:type="dxa"/>
            <w:gridSpan w:val="5"/>
            <w:tcBorders>
              <w:top w:val="single" w:color="auto" w:sz="4" w:space="0"/>
              <w:left w:val="single" w:color="auto" w:sz="8" w:space="0"/>
              <w:bottom w:val="single" w:color="auto" w:sz="8" w:space="0"/>
              <w:right w:val="single" w:color="auto" w:sz="8" w:space="0"/>
            </w:tcBorders>
            <w:noWrap w:val="0"/>
            <w:vAlign w:val="center"/>
          </w:tcPr>
          <w:p>
            <w:pPr>
              <w:spacing w:line="360" w:lineRule="exact"/>
              <w:rPr>
                <w:rFonts w:ascii="Times New Roman"/>
                <w:szCs w:val="21"/>
              </w:rPr>
            </w:pPr>
            <w:r>
              <w:rPr>
                <w:rFonts w:hint="eastAsia" w:ascii="Times New Roman"/>
                <w:szCs w:val="21"/>
              </w:rPr>
              <w:t>注：1、施工单位项目经理部一般应在分包工程开工提7日前提出本报审表。</w:t>
            </w:r>
          </w:p>
          <w:p>
            <w:pPr>
              <w:spacing w:line="360" w:lineRule="exact"/>
              <w:rPr>
                <w:rFonts w:hint="eastAsia" w:ascii="Times New Roman"/>
                <w:szCs w:val="21"/>
              </w:rPr>
            </w:pPr>
            <w:r>
              <w:rPr>
                <w:rFonts w:hint="eastAsia" w:ascii="Times New Roman"/>
                <w:szCs w:val="21"/>
              </w:rPr>
              <w:t xml:space="preserve">    2、施工总承包单位应在分包工程开工前向建设单位和监理单位提交分包合同副本。</w:t>
            </w:r>
          </w:p>
          <w:p>
            <w:pPr>
              <w:spacing w:line="360" w:lineRule="exact"/>
              <w:rPr>
                <w:rFonts w:ascii="Times New Roman"/>
                <w:szCs w:val="21"/>
              </w:rPr>
            </w:pPr>
            <w:r>
              <w:rPr>
                <w:rFonts w:hint="eastAsia" w:ascii="Times New Roman"/>
                <w:szCs w:val="21"/>
              </w:rPr>
              <w:t xml:space="preserve">    3、本表一式三份，项目监理机构、建设单位、施工单位各一份。</w:t>
            </w:r>
          </w:p>
        </w:tc>
      </w:tr>
    </w:tbl>
    <w:p>
      <w:pPr>
        <w:jc w:val="right"/>
        <w:rPr>
          <w:rFonts w:eastAsia="黑体"/>
          <w:b/>
          <w:sz w:val="28"/>
          <w:szCs w:val="28"/>
          <w14:shadow w14:blurRad="50800" w14:dist="38100" w14:dir="2700000" w14:sx="100000" w14:sy="100000" w14:kx="0" w14:ky="0" w14:algn="tl">
            <w14:srgbClr w14:val="000000">
              <w14:alpha w14:val="60000"/>
            </w14:srgbClr>
          </w14:shadow>
        </w:rPr>
      </w:pPr>
      <w:r>
        <w:rPr>
          <w:rFonts w:hint="eastAsia" w:ascii="Times New Roman" w:eastAsia="隶书"/>
        </w:rPr>
        <w:t>第六版表                                              江苏省住房和城乡建设厅监制</w:t>
      </w:r>
      <w:r>
        <w:rPr>
          <w:b/>
          <w:szCs w:val="21"/>
        </w:rPr>
        <w:br w:type="column"/>
      </w:r>
      <w:r>
        <w:rPr>
          <w:rFonts w:eastAsia="黑体"/>
          <w:b/>
          <w:sz w:val="28"/>
          <w:szCs w:val="28"/>
          <w14:shadow w14:blurRad="50800" w14:dist="38100" w14:dir="2700000" w14:sx="100000" w14:sy="100000" w14:kx="0" w14:ky="0" w14:algn="tl">
            <w14:srgbClr w14:val="000000">
              <w14:alpha w14:val="60000"/>
            </w14:srgbClr>
          </w14:shadow>
        </w:rPr>
        <w:t>B.1.1</w:t>
      </w:r>
    </w:p>
    <w:p>
      <w:pPr>
        <w:spacing w:before="312" w:beforeLines="100" w:after="312" w:afterLines="100"/>
        <w:jc w:val="center"/>
        <w:rPr>
          <w:rFonts w:eastAsia="黑体"/>
          <w:sz w:val="44"/>
          <w14:shadow w14:blurRad="50800" w14:dist="38100" w14:dir="2700000" w14:sx="100000" w14:sy="100000" w14:kx="0" w14:ky="0" w14:algn="tl">
            <w14:srgbClr w14:val="000000">
              <w14:alpha w14:val="60000"/>
            </w14:srgbClr>
          </w14:shadow>
        </w:rPr>
      </w:pPr>
      <w:r>
        <w:rPr>
          <w:rFonts w:hint="eastAsia" w:eastAsia="黑体"/>
          <w:sz w:val="44"/>
          <w14:shadow w14:blurRad="50800" w14:dist="38100" w14:dir="2700000" w14:sx="100000" w14:sy="100000" w14:kx="0" w14:ky="0" w14:algn="tl">
            <w14:srgbClr w14:val="000000">
              <w14:alpha w14:val="60000"/>
            </w14:srgbClr>
          </w14:shadow>
        </w:rPr>
        <w:t>施工试验室报审表</w:t>
      </w:r>
    </w:p>
    <w:p>
      <w:pPr>
        <w:spacing w:after="156" w:afterLines="50" w:line="420" w:lineRule="exact"/>
        <w:ind w:left="21" w:hanging="21" w:hangingChars="10"/>
        <w:rPr>
          <w:szCs w:val="21"/>
        </w:rPr>
      </w:pPr>
      <w:r>
        <w:rPr>
          <w:rFonts w:hint="eastAsia"/>
          <w:szCs w:val="21"/>
        </w:rPr>
        <w:t>工程名称：</w:t>
      </w:r>
      <w:r>
        <w:rPr>
          <w:szCs w:val="21"/>
          <w:u w:val="single"/>
        </w:rPr>
        <w:t xml:space="preserve">                            </w:t>
      </w:r>
      <w:r>
        <w:rPr>
          <w:rFonts w:hint="eastAsia"/>
          <w:szCs w:val="21"/>
        </w:rPr>
        <w:t>　　　</w:t>
      </w:r>
      <w:r>
        <w:rPr>
          <w:szCs w:val="21"/>
        </w:rPr>
        <w:t xml:space="preserve">                  </w:t>
      </w:r>
      <w:r>
        <w:rPr>
          <w:rFonts w:hint="eastAsia"/>
          <w:szCs w:val="21"/>
        </w:rPr>
        <w:t>编号：</w:t>
      </w:r>
      <w:r>
        <w:rPr>
          <w:szCs w:val="21"/>
        </w:rPr>
        <w:t>B.1.1</w:t>
      </w:r>
      <w:r>
        <w:rPr>
          <w:rFonts w:hint="eastAsia"/>
          <w:szCs w:val="21"/>
        </w:rPr>
        <w:t>－</w:t>
      </w:r>
      <w:r>
        <w:rPr>
          <w:rFonts w:hint="eastAsia"/>
          <w:szCs w:val="21"/>
          <w:u w:val="single"/>
        </w:rPr>
        <w:t>　　</w:t>
      </w:r>
      <w:r>
        <w:rPr>
          <w:szCs w:val="21"/>
          <w:u w:val="single"/>
        </w:rPr>
        <w:t xml:space="preserve"> </w:t>
      </w:r>
      <w:r>
        <w:rPr>
          <w:rFonts w:hint="eastAsia"/>
          <w:szCs w:val="21"/>
          <w:u w:val="single"/>
        </w:rPr>
        <w:t>　</w:t>
      </w: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93"/>
        <w:gridCol w:w="2369"/>
        <w:gridCol w:w="1942"/>
        <w:gridCol w:w="23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25" w:type="dxa"/>
            <w:gridSpan w:val="4"/>
            <w:tcBorders>
              <w:top w:val="single" w:color="auto" w:sz="8" w:space="0"/>
              <w:left w:val="single" w:color="auto" w:sz="8" w:space="0"/>
              <w:bottom w:val="single" w:color="auto" w:sz="4" w:space="0"/>
              <w:right w:val="single" w:color="auto" w:sz="8" w:space="0"/>
            </w:tcBorders>
            <w:noWrap w:val="0"/>
            <w:vAlign w:val="top"/>
          </w:tcPr>
          <w:p>
            <w:pPr>
              <w:spacing w:before="156" w:beforeLines="50" w:after="156" w:afterLines="50" w:line="420" w:lineRule="exact"/>
              <w:rPr>
                <w:rFonts w:ascii="Times New Roman"/>
                <w:szCs w:val="21"/>
              </w:rPr>
            </w:pPr>
            <w:r>
              <w:rPr>
                <w:rFonts w:hint="eastAsia" w:ascii="Times New Roman"/>
                <w:szCs w:val="21"/>
              </w:rPr>
              <w:t>致：</w:t>
            </w:r>
            <w:r>
              <w:rPr>
                <w:rFonts w:hint="eastAsia" w:ascii="Times New Roman"/>
                <w:szCs w:val="21"/>
                <w:u w:val="single"/>
              </w:rPr>
              <w:t>　　　　　　 　　</w:t>
            </w:r>
            <w:r>
              <w:rPr>
                <w:rFonts w:hint="eastAsia" w:ascii="Times New Roman"/>
                <w:szCs w:val="21"/>
              </w:rPr>
              <w:t>（项目监理机构）</w:t>
            </w:r>
          </w:p>
          <w:p>
            <w:pPr>
              <w:spacing w:line="420" w:lineRule="exact"/>
              <w:ind w:firstLine="420" w:firstLineChars="200"/>
              <w:jc w:val="left"/>
              <w:rPr>
                <w:rFonts w:hint="eastAsia" w:ascii="Times New Roman"/>
                <w:szCs w:val="21"/>
              </w:rPr>
            </w:pPr>
            <w:r>
              <w:rPr>
                <w:rFonts w:hint="eastAsia" w:ascii="Times New Roman"/>
                <w:szCs w:val="21"/>
              </w:rPr>
              <w:t>我方已建成为工程提供服务的试验室，请予以审查。</w:t>
            </w:r>
          </w:p>
          <w:p>
            <w:pPr>
              <w:spacing w:line="420" w:lineRule="exact"/>
              <w:ind w:firstLine="480"/>
              <w:jc w:val="left"/>
              <w:rPr>
                <w:rFonts w:hint="eastAsia" w:ascii="Times New Roman"/>
                <w:szCs w:val="21"/>
              </w:rPr>
            </w:pPr>
            <w:r>
              <w:rPr>
                <w:rFonts w:hint="eastAsia" w:ascii="Times New Roman"/>
                <w:szCs w:val="21"/>
              </w:rPr>
              <w:t>附件：</w:t>
            </w:r>
          </w:p>
          <w:p>
            <w:pPr>
              <w:numPr>
                <w:ilvl w:val="0"/>
                <w:numId w:val="11"/>
              </w:numPr>
              <w:spacing w:line="420" w:lineRule="exact"/>
              <w:jc w:val="left"/>
              <w:rPr>
                <w:rFonts w:hint="eastAsia" w:ascii="Times New Roman"/>
                <w:szCs w:val="21"/>
              </w:rPr>
            </w:pPr>
            <w:r>
              <w:rPr>
                <w:rFonts w:hint="eastAsia" w:ascii="Times New Roman"/>
                <w:szCs w:val="21"/>
              </w:rPr>
              <w:t xml:space="preserve"> 试验室的资质等级及试验范围</w:t>
            </w:r>
          </w:p>
          <w:p>
            <w:pPr>
              <w:numPr>
                <w:ilvl w:val="0"/>
                <w:numId w:val="11"/>
              </w:numPr>
              <w:spacing w:line="420" w:lineRule="exact"/>
              <w:jc w:val="left"/>
              <w:rPr>
                <w:rFonts w:hint="eastAsia" w:ascii="Times New Roman"/>
                <w:szCs w:val="21"/>
              </w:rPr>
            </w:pPr>
            <w:r>
              <w:rPr>
                <w:rFonts w:hint="eastAsia" w:ascii="Times New Roman"/>
                <w:szCs w:val="21"/>
              </w:rPr>
              <w:t xml:space="preserve"> 法定计量部门对计量设备、器具出具的计量检定证明</w:t>
            </w:r>
          </w:p>
          <w:p>
            <w:pPr>
              <w:numPr>
                <w:ilvl w:val="0"/>
                <w:numId w:val="11"/>
              </w:numPr>
              <w:spacing w:line="420" w:lineRule="exact"/>
              <w:jc w:val="left"/>
              <w:rPr>
                <w:rFonts w:hint="eastAsia" w:ascii="Times New Roman"/>
                <w:szCs w:val="21"/>
              </w:rPr>
            </w:pPr>
            <w:r>
              <w:rPr>
                <w:rFonts w:hint="eastAsia" w:ascii="Times New Roman"/>
                <w:szCs w:val="21"/>
              </w:rPr>
              <w:t xml:space="preserve"> 试验室管理制度</w:t>
            </w:r>
          </w:p>
          <w:p>
            <w:pPr>
              <w:numPr>
                <w:ilvl w:val="0"/>
                <w:numId w:val="11"/>
              </w:numPr>
              <w:spacing w:line="420" w:lineRule="exact"/>
              <w:jc w:val="left"/>
              <w:rPr>
                <w:rFonts w:hint="eastAsia" w:ascii="Times New Roman"/>
                <w:szCs w:val="21"/>
              </w:rPr>
            </w:pPr>
            <w:r>
              <w:rPr>
                <w:rFonts w:hint="eastAsia" w:ascii="Times New Roman"/>
                <w:szCs w:val="21"/>
              </w:rPr>
              <w:t xml:space="preserve"> 试验人员资格证书</w:t>
            </w:r>
          </w:p>
          <w:p>
            <w:pPr>
              <w:ind w:firstLine="3158" w:firstLineChars="1504"/>
              <w:rPr>
                <w:rFonts w:hint="eastAsia" w:ascii="Times New Roman"/>
                <w:szCs w:val="21"/>
              </w:rPr>
            </w:pPr>
          </w:p>
          <w:p>
            <w:pPr>
              <w:ind w:firstLine="3158" w:firstLineChars="1504"/>
              <w:rPr>
                <w:rFonts w:hint="eastAsia" w:ascii="Times New Roman"/>
                <w:szCs w:val="21"/>
              </w:rPr>
            </w:pPr>
          </w:p>
          <w:p>
            <w:pPr>
              <w:tabs>
                <w:tab w:val="left" w:pos="7959"/>
              </w:tabs>
              <w:ind w:firstLine="3465" w:firstLineChars="1650"/>
              <w:rPr>
                <w:rFonts w:hint="eastAsia" w:ascii="Times New Roman"/>
                <w:szCs w:val="21"/>
                <w:u w:val="single"/>
              </w:rPr>
            </w:pPr>
            <w:r>
              <w:rPr>
                <w:rFonts w:hint="eastAsia" w:ascii="Times New Roman"/>
                <w:szCs w:val="21"/>
              </w:rPr>
              <w:t>施工项目经理部（章）：</w:t>
            </w:r>
            <w:r>
              <w:rPr>
                <w:rFonts w:hint="eastAsia" w:ascii="Times New Roman"/>
                <w:szCs w:val="21"/>
                <w:u w:val="single"/>
              </w:rPr>
              <w:t>　　　　 　     　　　</w:t>
            </w:r>
          </w:p>
          <w:p>
            <w:pPr>
              <w:spacing w:before="312" w:beforeLines="100"/>
              <w:jc w:val="left"/>
              <w:rPr>
                <w:rFonts w:hint="eastAsia" w:ascii="Times New Roman"/>
                <w:szCs w:val="21"/>
              </w:rPr>
            </w:pPr>
            <w:r>
              <w:rPr>
                <w:rFonts w:hint="eastAsia" w:ascii="Times New Roman"/>
                <w:szCs w:val="21"/>
              </w:rPr>
              <w:t xml:space="preserve">                                 项目经理（签字）：</w:t>
            </w:r>
            <w:r>
              <w:rPr>
                <w:rFonts w:hint="eastAsia" w:ascii="Times New Roman"/>
                <w:szCs w:val="21"/>
                <w:u w:val="single"/>
              </w:rPr>
              <w:t>　　　                　　</w:t>
            </w:r>
            <w:r>
              <w:rPr>
                <w:rFonts w:hint="eastAsia" w:ascii="Times New Roman"/>
                <w:szCs w:val="21"/>
              </w:rPr>
              <w:t xml:space="preserve">  </w:t>
            </w:r>
          </w:p>
          <w:p>
            <w:pPr>
              <w:tabs>
                <w:tab w:val="left" w:pos="4389"/>
              </w:tabs>
              <w:spacing w:before="156" w:beforeLines="50"/>
              <w:jc w:val="left"/>
              <w:rPr>
                <w:rFonts w:ascii="Times New Roman"/>
                <w:szCs w:val="21"/>
                <w:u w:val="single"/>
              </w:rPr>
            </w:pPr>
            <w:r>
              <w:rPr>
                <w:rFonts w:hint="eastAsia" w:ascii="Times New Roman"/>
                <w:szCs w:val="21"/>
              </w:rPr>
              <w:t xml:space="preserve">                                                     </w:t>
            </w: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54" w:hRule="atLeast"/>
          <w:jc w:val="center"/>
        </w:trPr>
        <w:tc>
          <w:tcPr>
            <w:tcW w:w="1893" w:type="dxa"/>
            <w:tcBorders>
              <w:top w:val="single" w:color="auto" w:sz="4" w:space="0"/>
              <w:left w:val="single" w:color="auto" w:sz="8" w:space="0"/>
              <w:bottom w:val="single" w:color="auto" w:sz="4" w:space="0"/>
              <w:right w:val="single" w:color="auto" w:sz="4" w:space="0"/>
            </w:tcBorders>
            <w:noWrap w:val="0"/>
            <w:vAlign w:val="center"/>
          </w:tcPr>
          <w:p>
            <w:pPr>
              <w:spacing w:line="320" w:lineRule="exact"/>
              <w:jc w:val="center"/>
              <w:rPr>
                <w:rFonts w:ascii="Times New Roman"/>
                <w:szCs w:val="21"/>
              </w:rPr>
            </w:pPr>
            <w:r>
              <w:rPr>
                <w:rFonts w:hint="eastAsia" w:ascii="Times New Roman"/>
                <w:szCs w:val="21"/>
              </w:rPr>
              <w:t>项目监理机构签</w:t>
            </w:r>
          </w:p>
          <w:p>
            <w:pPr>
              <w:spacing w:line="320" w:lineRule="exact"/>
              <w:jc w:val="center"/>
              <w:rPr>
                <w:rFonts w:ascii="Times New Roman"/>
                <w:szCs w:val="21"/>
              </w:rPr>
            </w:pPr>
            <w:r>
              <w:rPr>
                <w:rFonts w:hint="eastAsia" w:ascii="Times New Roman"/>
                <w:szCs w:val="21"/>
              </w:rPr>
              <w:t>收人姓名及时间</w:t>
            </w:r>
          </w:p>
        </w:tc>
        <w:tc>
          <w:tcPr>
            <w:tcW w:w="2369"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Times New Roman"/>
                <w:szCs w:val="21"/>
              </w:rPr>
            </w:pPr>
          </w:p>
        </w:tc>
        <w:tc>
          <w:tcPr>
            <w:tcW w:w="1942"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Times New Roman"/>
                <w:szCs w:val="21"/>
              </w:rPr>
            </w:pPr>
            <w:r>
              <w:rPr>
                <w:rFonts w:hint="eastAsia" w:ascii="Times New Roman"/>
                <w:szCs w:val="21"/>
              </w:rPr>
              <w:t>施工项目经理部签收人姓名及时间</w:t>
            </w:r>
          </w:p>
        </w:tc>
        <w:tc>
          <w:tcPr>
            <w:tcW w:w="2321" w:type="dxa"/>
            <w:tcBorders>
              <w:top w:val="single" w:color="auto" w:sz="4" w:space="0"/>
              <w:left w:val="single" w:color="auto" w:sz="4" w:space="0"/>
              <w:bottom w:val="single" w:color="auto" w:sz="4" w:space="0"/>
              <w:right w:val="single" w:color="auto" w:sz="8" w:space="0"/>
            </w:tcBorders>
            <w:noWrap w:val="0"/>
            <w:vAlign w:val="center"/>
          </w:tcPr>
          <w:p>
            <w:pPr>
              <w:spacing w:line="320" w:lineRule="exact"/>
              <w:jc w:val="center"/>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81" w:hRule="atLeast"/>
          <w:jc w:val="center"/>
        </w:trPr>
        <w:tc>
          <w:tcPr>
            <w:tcW w:w="8525" w:type="dxa"/>
            <w:gridSpan w:val="4"/>
            <w:tcBorders>
              <w:top w:val="single" w:color="auto" w:sz="4" w:space="0"/>
              <w:left w:val="single" w:color="auto" w:sz="8" w:space="0"/>
              <w:bottom w:val="single" w:color="auto" w:sz="4" w:space="0"/>
              <w:right w:val="single" w:color="auto" w:sz="8" w:space="0"/>
            </w:tcBorders>
            <w:noWrap w:val="0"/>
            <w:vAlign w:val="top"/>
          </w:tcPr>
          <w:p>
            <w:pPr>
              <w:spacing w:before="156" w:beforeLines="50" w:after="156" w:afterLines="50" w:line="420" w:lineRule="exact"/>
              <w:rPr>
                <w:rFonts w:ascii="Times New Roman"/>
                <w:szCs w:val="21"/>
              </w:rPr>
            </w:pPr>
            <w:r>
              <w:rPr>
                <w:rFonts w:hint="eastAsia" w:ascii="Times New Roman"/>
                <w:szCs w:val="21"/>
              </w:rPr>
              <w:t>审查意见：</w:t>
            </w: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r>
              <w:rPr>
                <w:rFonts w:hint="eastAsia" w:ascii="Times New Roman"/>
                <w:szCs w:val="21"/>
              </w:rPr>
              <w:t xml:space="preserve">                                  项目监理机构（章）：</w:t>
            </w:r>
            <w:r>
              <w:rPr>
                <w:rFonts w:hint="eastAsia" w:ascii="Times New Roman"/>
                <w:szCs w:val="21"/>
                <w:u w:val="single"/>
              </w:rPr>
              <w:t xml:space="preserve">                       </w:t>
            </w:r>
            <w:r>
              <w:rPr>
                <w:rFonts w:hint="eastAsia" w:ascii="Times New Roman"/>
                <w:szCs w:val="21"/>
              </w:rPr>
              <w:t xml:space="preserve">       </w:t>
            </w:r>
          </w:p>
          <w:p>
            <w:pPr>
              <w:spacing w:before="312" w:beforeLines="100"/>
              <w:rPr>
                <w:rFonts w:hint="eastAsia" w:ascii="Times New Roman"/>
                <w:szCs w:val="21"/>
              </w:rPr>
            </w:pPr>
            <w:r>
              <w:rPr>
                <w:rFonts w:hint="eastAsia" w:ascii="Times New Roman"/>
                <w:szCs w:val="21"/>
              </w:rPr>
              <w:t xml:space="preserve">                                  专业监理工程师（签字）：</w:t>
            </w:r>
            <w:r>
              <w:rPr>
                <w:rFonts w:hint="eastAsia" w:ascii="Times New Roman"/>
                <w:szCs w:val="21"/>
                <w:u w:val="single"/>
              </w:rPr>
              <w:t xml:space="preserve">                    </w:t>
            </w:r>
          </w:p>
          <w:p>
            <w:pPr>
              <w:spacing w:before="156" w:beforeLines="50"/>
              <w:ind w:firstLine="5544" w:firstLineChars="2640"/>
              <w:rPr>
                <w:rFonts w:ascii="Times New Roman"/>
                <w:szCs w:val="21"/>
              </w:rPr>
            </w:pPr>
            <w:r>
              <w:rPr>
                <w:rFonts w:ascii="Times New Roman"/>
                <w:szCs w:val="21"/>
                <w:u w:val="single"/>
              </w:rPr>
              <w:t> </w:t>
            </w: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8525" w:type="dxa"/>
            <w:gridSpan w:val="4"/>
            <w:tcBorders>
              <w:top w:val="single" w:color="auto" w:sz="4" w:space="0"/>
              <w:left w:val="single" w:color="auto" w:sz="8" w:space="0"/>
              <w:bottom w:val="single" w:color="auto" w:sz="8" w:space="0"/>
              <w:right w:val="single" w:color="auto" w:sz="8" w:space="0"/>
            </w:tcBorders>
            <w:noWrap w:val="0"/>
            <w:vAlign w:val="top"/>
          </w:tcPr>
          <w:p>
            <w:pPr>
              <w:spacing w:before="156" w:beforeLines="50"/>
              <w:jc w:val="left"/>
              <w:rPr>
                <w:rFonts w:ascii="Times New Roman"/>
                <w:szCs w:val="21"/>
                <w:u w:val="single"/>
              </w:rPr>
            </w:pPr>
            <w:r>
              <w:rPr>
                <w:rFonts w:hint="eastAsia"/>
                <w:szCs w:val="21"/>
              </w:rPr>
              <w:t>注：本表一式二份，项目监理机构、施工单位各一份。</w:t>
            </w:r>
          </w:p>
        </w:tc>
      </w:tr>
    </w:tbl>
    <w:p>
      <w:pPr>
        <w:rPr>
          <w:rFonts w:ascii="Times New Roman" w:eastAsia="隶书"/>
        </w:rPr>
      </w:pPr>
      <w:r>
        <w:rPr>
          <w:rFonts w:hint="eastAsia" w:ascii="Times New Roman" w:eastAsia="隶书"/>
        </w:rPr>
        <w:t>第六版表                                              江苏省住房和城乡建设厅监制</w:t>
      </w:r>
      <w:r>
        <w:rPr>
          <w:rFonts w:hint="eastAsia" w:eastAsia="黑体"/>
          <w:sz w:val="28"/>
          <w:szCs w:val="28"/>
          <w14:shadow w14:blurRad="50800" w14:dist="38100" w14:dir="2700000" w14:sx="100000" w14:sy="100000" w14:kx="0" w14:ky="0" w14:algn="tl">
            <w14:srgbClr w14:val="000000">
              <w14:alpha w14:val="60000"/>
            </w14:srgbClr>
          </w14:shadow>
        </w:rPr>
        <w:t>　　　　　　　　　　　　　　　　　　　　　　　　　　　　　</w:t>
      </w:r>
    </w:p>
    <w:p>
      <w:pPr>
        <w:spacing w:line="380" w:lineRule="exact"/>
        <w:jc w:val="right"/>
        <w:rPr>
          <w:rFonts w:hint="eastAsia" w:eastAsia="黑体"/>
          <w:b/>
          <w:sz w:val="28"/>
          <w:szCs w:val="28"/>
          <w14:shadow w14:blurRad="50800" w14:dist="38100" w14:dir="2700000" w14:sx="100000" w14:sy="100000" w14:kx="0" w14:ky="0" w14:algn="tl">
            <w14:srgbClr w14:val="000000">
              <w14:alpha w14:val="60000"/>
            </w14:srgbClr>
          </w14:shadow>
        </w:rPr>
      </w:pPr>
      <w:r>
        <w:rPr>
          <w:rFonts w:eastAsia="黑体"/>
          <w:b/>
          <w:sz w:val="28"/>
          <w:szCs w:val="28"/>
          <w14:shadow w14:blurRad="50800" w14:dist="38100" w14:dir="2700000" w14:sx="100000" w14:sy="100000" w14:kx="0" w14:ky="0" w14:algn="tl">
            <w14:srgbClr w14:val="000000">
              <w14:alpha w14:val="60000"/>
            </w14:srgbClr>
          </w14:shadow>
        </w:rPr>
        <w:t>B.1.2</w:t>
      </w:r>
    </w:p>
    <w:p>
      <w:pPr>
        <w:spacing w:before="312" w:beforeLines="100" w:after="312" w:afterLines="100"/>
        <w:jc w:val="center"/>
        <w:rPr>
          <w:rFonts w:eastAsia="黑体"/>
          <w:sz w:val="44"/>
          <w14:shadow w14:blurRad="50800" w14:dist="38100" w14:dir="2700000" w14:sx="100000" w14:sy="100000" w14:kx="0" w14:ky="0" w14:algn="tl">
            <w14:srgbClr w14:val="000000">
              <w14:alpha w14:val="60000"/>
            </w14:srgbClr>
          </w14:shadow>
        </w:rPr>
      </w:pPr>
      <w:r>
        <w:rPr>
          <w:rFonts w:hint="eastAsia" w:eastAsia="黑体"/>
          <w:sz w:val="44"/>
          <w14:shadow w14:blurRad="50800" w14:dist="38100" w14:dir="2700000" w14:sx="100000" w14:sy="100000" w14:kx="0" w14:ky="0" w14:algn="tl">
            <w14:srgbClr w14:val="000000">
              <w14:alpha w14:val="60000"/>
            </w14:srgbClr>
          </w14:shadow>
        </w:rPr>
        <w:t>施工控制测量成果报验表</w:t>
      </w:r>
    </w:p>
    <w:p>
      <w:pPr>
        <w:spacing w:after="156" w:afterLines="50" w:line="420" w:lineRule="exact"/>
        <w:ind w:left="21" w:hanging="21" w:hangingChars="10"/>
        <w:rPr>
          <w:szCs w:val="21"/>
        </w:rPr>
      </w:pPr>
      <w:r>
        <w:rPr>
          <w:rFonts w:hint="eastAsia"/>
          <w:szCs w:val="21"/>
        </w:rPr>
        <w:t>工程名称：</w:t>
      </w:r>
      <w:r>
        <w:rPr>
          <w:szCs w:val="21"/>
          <w:u w:val="single"/>
        </w:rPr>
        <w:t xml:space="preserve">                         </w:t>
      </w:r>
      <w:r>
        <w:rPr>
          <w:rFonts w:hint="eastAsia"/>
          <w:szCs w:val="21"/>
        </w:rPr>
        <w:t>　　</w:t>
      </w:r>
      <w:r>
        <w:rPr>
          <w:szCs w:val="21"/>
        </w:rPr>
        <w:t xml:space="preserve">              </w:t>
      </w:r>
      <w:r>
        <w:rPr>
          <w:rFonts w:hint="eastAsia"/>
          <w:szCs w:val="21"/>
        </w:rPr>
        <w:t>　</w:t>
      </w:r>
      <w:r>
        <w:rPr>
          <w:szCs w:val="21"/>
        </w:rPr>
        <w:t xml:space="preserve">   </w:t>
      </w:r>
      <w:r>
        <w:rPr>
          <w:rFonts w:hint="eastAsia"/>
          <w:szCs w:val="21"/>
        </w:rPr>
        <w:t>　</w:t>
      </w:r>
      <w:r>
        <w:rPr>
          <w:szCs w:val="21"/>
        </w:rPr>
        <w:t xml:space="preserve"> </w:t>
      </w:r>
      <w:r>
        <w:rPr>
          <w:rFonts w:hint="eastAsia"/>
          <w:szCs w:val="21"/>
        </w:rPr>
        <w:t>编号：</w:t>
      </w:r>
      <w:r>
        <w:rPr>
          <w:szCs w:val="21"/>
        </w:rPr>
        <w:t>B.1.2</w:t>
      </w:r>
      <w:r>
        <w:rPr>
          <w:rFonts w:hint="eastAsia"/>
          <w:szCs w:val="21"/>
        </w:rPr>
        <w:t>—</w:t>
      </w:r>
      <w:r>
        <w:rPr>
          <w:rFonts w:hint="eastAsia"/>
          <w:szCs w:val="21"/>
          <w:u w:val="single"/>
        </w:rPr>
        <w:t>　　</w:t>
      </w:r>
      <w:r>
        <w:rPr>
          <w:szCs w:val="21"/>
          <w:u w:val="single"/>
        </w:rPr>
        <w:t xml:space="preserve"> </w:t>
      </w:r>
      <w:r>
        <w:rPr>
          <w:rFonts w:hint="eastAsia"/>
          <w:szCs w:val="21"/>
          <w:u w:val="single"/>
        </w:rPr>
        <w:t>　</w:t>
      </w: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14"/>
        <w:gridCol w:w="2794"/>
        <w:gridCol w:w="1724"/>
        <w:gridCol w:w="23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79" w:hRule="atLeast"/>
          <w:jc w:val="center"/>
        </w:trPr>
        <w:tc>
          <w:tcPr>
            <w:tcW w:w="8522" w:type="dxa"/>
            <w:gridSpan w:val="4"/>
            <w:tcBorders>
              <w:top w:val="single" w:color="auto" w:sz="8" w:space="0"/>
              <w:left w:val="single" w:color="auto" w:sz="8" w:space="0"/>
              <w:bottom w:val="single" w:color="auto" w:sz="4" w:space="0"/>
              <w:right w:val="single" w:color="auto" w:sz="8" w:space="0"/>
            </w:tcBorders>
            <w:noWrap w:val="0"/>
            <w:vAlign w:val="top"/>
          </w:tcPr>
          <w:p>
            <w:pPr>
              <w:spacing w:before="156" w:beforeLines="50" w:after="156" w:afterLines="50" w:line="420" w:lineRule="exact"/>
              <w:rPr>
                <w:rFonts w:ascii="Times New Roman"/>
                <w:szCs w:val="21"/>
                <w:u w:val="single"/>
              </w:rPr>
            </w:pPr>
            <w:r>
              <w:rPr>
                <w:rFonts w:hint="eastAsia" w:ascii="Times New Roman"/>
                <w:szCs w:val="21"/>
              </w:rPr>
              <w:t>致：</w:t>
            </w:r>
            <w:r>
              <w:rPr>
                <w:rFonts w:hint="eastAsia" w:ascii="Times New Roman"/>
                <w:szCs w:val="21"/>
                <w:u w:val="single"/>
              </w:rPr>
              <w:t>　　　　   　　</w:t>
            </w:r>
            <w:r>
              <w:rPr>
                <w:rFonts w:hint="eastAsia" w:ascii="Times New Roman"/>
                <w:szCs w:val="21"/>
              </w:rPr>
              <w:t>（项目监理机构）</w:t>
            </w:r>
          </w:p>
          <w:p>
            <w:pPr>
              <w:spacing w:line="420" w:lineRule="exact"/>
              <w:ind w:firstLine="420" w:firstLineChars="200"/>
              <w:jc w:val="left"/>
              <w:rPr>
                <w:rFonts w:hint="eastAsia" w:ascii="Times New Roman"/>
                <w:szCs w:val="21"/>
              </w:rPr>
            </w:pPr>
            <w:r>
              <w:rPr>
                <w:rFonts w:hint="eastAsia" w:ascii="Times New Roman"/>
                <w:szCs w:val="21"/>
              </w:rPr>
              <w:t>我方已完成</w:t>
            </w:r>
            <w:r>
              <w:rPr>
                <w:rFonts w:hint="eastAsia" w:ascii="Times New Roman"/>
                <w:szCs w:val="21"/>
                <w:u w:val="single"/>
              </w:rPr>
              <w:t xml:space="preserve">                          </w:t>
            </w:r>
            <w:r>
              <w:rPr>
                <w:rFonts w:hint="eastAsia" w:ascii="Times New Roman"/>
                <w:szCs w:val="21"/>
              </w:rPr>
              <w:t>的施工控制测量, 经自检合格，请予以查验。</w:t>
            </w:r>
          </w:p>
          <w:p>
            <w:pPr>
              <w:spacing w:line="420" w:lineRule="exact"/>
              <w:ind w:firstLine="420" w:firstLineChars="200"/>
              <w:jc w:val="left"/>
              <w:rPr>
                <w:rFonts w:hint="eastAsia" w:ascii="Times New Roman"/>
                <w:szCs w:val="21"/>
              </w:rPr>
            </w:pPr>
            <w:r>
              <w:rPr>
                <w:rFonts w:hint="eastAsia" w:ascii="Times New Roman"/>
                <w:szCs w:val="21"/>
              </w:rPr>
              <w:t>附件：</w:t>
            </w:r>
          </w:p>
          <w:p>
            <w:pPr>
              <w:numPr>
                <w:ilvl w:val="0"/>
                <w:numId w:val="12"/>
              </w:numPr>
              <w:spacing w:line="420" w:lineRule="exact"/>
              <w:ind w:left="993" w:hanging="566"/>
              <w:jc w:val="left"/>
              <w:rPr>
                <w:rFonts w:hint="eastAsia" w:ascii="Times New Roman"/>
                <w:szCs w:val="21"/>
              </w:rPr>
            </w:pPr>
            <w:r>
              <w:rPr>
                <w:rFonts w:hint="eastAsia" w:ascii="Times New Roman"/>
                <w:szCs w:val="21"/>
              </w:rPr>
              <w:t xml:space="preserve"> 施工控制测量依据资料：测绘基点、规划红线</w:t>
            </w:r>
          </w:p>
          <w:p>
            <w:pPr>
              <w:numPr>
                <w:ilvl w:val="0"/>
                <w:numId w:val="12"/>
              </w:numPr>
              <w:spacing w:line="420" w:lineRule="exact"/>
              <w:ind w:hanging="516"/>
              <w:jc w:val="left"/>
              <w:rPr>
                <w:rFonts w:hint="eastAsia" w:ascii="Times New Roman"/>
                <w:szCs w:val="21"/>
              </w:rPr>
            </w:pPr>
            <w:r>
              <w:rPr>
                <w:rFonts w:hint="eastAsia" w:ascii="Times New Roman"/>
                <w:szCs w:val="21"/>
              </w:rPr>
              <w:t xml:space="preserve"> 施工控制测量成果表</w:t>
            </w:r>
          </w:p>
          <w:p>
            <w:pPr>
              <w:spacing w:line="420" w:lineRule="exact"/>
              <w:ind w:left="397"/>
              <w:jc w:val="left"/>
              <w:rPr>
                <w:rFonts w:hint="eastAsia" w:ascii="Times New Roman"/>
                <w:szCs w:val="21"/>
              </w:rPr>
            </w:pPr>
            <w:r>
              <w:rPr>
                <w:rFonts w:hint="eastAsia" w:ascii="Times New Roman"/>
                <w:szCs w:val="21"/>
              </w:rPr>
              <w:t xml:space="preserve"> </w:t>
            </w:r>
          </w:p>
          <w:p>
            <w:pPr>
              <w:spacing w:line="240" w:lineRule="exact"/>
              <w:ind w:left="1321"/>
              <w:jc w:val="left"/>
              <w:rPr>
                <w:rFonts w:hint="eastAsia" w:ascii="Times New Roman"/>
                <w:szCs w:val="21"/>
              </w:rPr>
            </w:pPr>
          </w:p>
          <w:p>
            <w:pPr>
              <w:spacing w:line="420" w:lineRule="exact"/>
              <w:ind w:firstLine="420" w:firstLineChars="200"/>
              <w:jc w:val="left"/>
              <w:rPr>
                <w:rFonts w:hint="eastAsia" w:ascii="Times New Roman"/>
                <w:szCs w:val="21"/>
              </w:rPr>
            </w:pPr>
            <w:r>
              <w:rPr>
                <w:rFonts w:hint="eastAsia" w:ascii="Times New Roman"/>
                <w:szCs w:val="21"/>
              </w:rPr>
              <w:t>本次报验内容系第</w:t>
            </w:r>
            <w:r>
              <w:rPr>
                <w:rFonts w:hint="eastAsia" w:ascii="Times New Roman"/>
                <w:szCs w:val="21"/>
                <w:u w:val="single"/>
              </w:rPr>
              <w:t xml:space="preserve">        </w:t>
            </w:r>
            <w:r>
              <w:rPr>
                <w:rFonts w:hint="eastAsia" w:ascii="Times New Roman"/>
                <w:szCs w:val="21"/>
              </w:rPr>
              <w:t>次报验。</w:t>
            </w:r>
          </w:p>
          <w:p>
            <w:pPr>
              <w:spacing w:line="420" w:lineRule="exact"/>
              <w:jc w:val="left"/>
              <w:rPr>
                <w:rFonts w:hint="eastAsia" w:ascii="Times New Roman"/>
                <w:szCs w:val="21"/>
              </w:rPr>
            </w:pPr>
          </w:p>
          <w:p>
            <w:pPr>
              <w:spacing w:line="420" w:lineRule="exact"/>
              <w:jc w:val="left"/>
              <w:rPr>
                <w:rFonts w:hint="eastAsia" w:ascii="Times New Roman"/>
                <w:szCs w:val="21"/>
              </w:rPr>
            </w:pPr>
          </w:p>
          <w:p>
            <w:pPr>
              <w:jc w:val="left"/>
              <w:rPr>
                <w:rFonts w:hint="eastAsia" w:ascii="Times New Roman"/>
                <w:szCs w:val="21"/>
                <w:u w:val="single"/>
              </w:rPr>
            </w:pPr>
            <w:r>
              <w:rPr>
                <w:rFonts w:hint="eastAsia" w:ascii="Times New Roman"/>
                <w:szCs w:val="21"/>
              </w:rPr>
              <w:t>　　　　　　　　　　　　                 施工项目经理部（章）：</w:t>
            </w:r>
            <w:r>
              <w:rPr>
                <w:rFonts w:hint="eastAsia" w:ascii="Times New Roman"/>
                <w:szCs w:val="21"/>
                <w:u w:val="single"/>
              </w:rPr>
              <w:t>　　　　　  　</w:t>
            </w:r>
          </w:p>
          <w:p>
            <w:pPr>
              <w:spacing w:before="312" w:beforeLines="100"/>
              <w:jc w:val="left"/>
              <w:rPr>
                <w:rFonts w:hint="eastAsia" w:ascii="Times New Roman"/>
                <w:szCs w:val="21"/>
                <w:u w:val="single"/>
              </w:rPr>
            </w:pPr>
            <w:r>
              <w:rPr>
                <w:rFonts w:hint="eastAsia" w:ascii="Times New Roman"/>
                <w:szCs w:val="21"/>
              </w:rPr>
              <w:t>　　　　　　　　　　                     项目经理（签字）：</w:t>
            </w:r>
            <w:r>
              <w:rPr>
                <w:rFonts w:hint="eastAsia" w:ascii="Times New Roman"/>
                <w:szCs w:val="21"/>
                <w:u w:val="single"/>
              </w:rPr>
              <w:t>　　     　     　</w:t>
            </w:r>
          </w:p>
          <w:p>
            <w:pPr>
              <w:spacing w:before="156" w:beforeLines="50"/>
              <w:ind w:firstLine="5586" w:firstLineChars="2660"/>
              <w:jc w:val="left"/>
              <w:rPr>
                <w:rFonts w:ascii="Times New Roman"/>
                <w:szCs w:val="21"/>
                <w:u w:val="single"/>
              </w:rPr>
            </w:pP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14" w:type="dxa"/>
            <w:tcBorders>
              <w:top w:val="single" w:color="auto" w:sz="4" w:space="0"/>
              <w:left w:val="single" w:color="auto" w:sz="8" w:space="0"/>
              <w:bottom w:val="single" w:color="auto" w:sz="4" w:space="0"/>
              <w:right w:val="single" w:color="auto" w:sz="4" w:space="0"/>
            </w:tcBorders>
            <w:noWrap w:val="0"/>
            <w:vAlign w:val="center"/>
          </w:tcPr>
          <w:p>
            <w:pPr>
              <w:spacing w:before="120" w:after="120"/>
              <w:ind w:left="-105" w:leftChars="-50" w:right="-105" w:rightChars="-50"/>
              <w:jc w:val="center"/>
              <w:rPr>
                <w:rFonts w:ascii="Times New Roman"/>
                <w:szCs w:val="21"/>
              </w:rPr>
            </w:pPr>
            <w:r>
              <w:rPr>
                <w:rFonts w:hint="eastAsia" w:ascii="Times New Roman"/>
                <w:szCs w:val="21"/>
              </w:rPr>
              <w:t>项目监理机构签收人姓名及时间</w:t>
            </w:r>
          </w:p>
        </w:tc>
        <w:tc>
          <w:tcPr>
            <w:tcW w:w="2794" w:type="dxa"/>
            <w:tcBorders>
              <w:top w:val="single" w:color="auto" w:sz="4" w:space="0"/>
              <w:left w:val="single" w:color="auto" w:sz="4" w:space="0"/>
              <w:bottom w:val="single" w:color="auto" w:sz="4" w:space="0"/>
              <w:right w:val="single" w:color="auto" w:sz="4" w:space="0"/>
            </w:tcBorders>
            <w:noWrap w:val="0"/>
            <w:vAlign w:val="center"/>
          </w:tcPr>
          <w:p>
            <w:pPr>
              <w:spacing w:before="120" w:after="120"/>
              <w:ind w:left="-105" w:leftChars="-50" w:right="-105" w:rightChars="-50"/>
              <w:jc w:val="center"/>
              <w:rPr>
                <w:rFonts w:ascii="Times New Roman"/>
                <w:szCs w:val="21"/>
              </w:rPr>
            </w:pPr>
          </w:p>
        </w:tc>
        <w:tc>
          <w:tcPr>
            <w:tcW w:w="1724"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rFonts w:ascii="Times New Roman"/>
                <w:szCs w:val="21"/>
              </w:rPr>
            </w:pPr>
            <w:r>
              <w:rPr>
                <w:rFonts w:hint="eastAsia" w:ascii="Times New Roman"/>
                <w:szCs w:val="21"/>
              </w:rPr>
              <w:t>施工项目经理部签收人姓名及时间</w:t>
            </w:r>
          </w:p>
        </w:tc>
        <w:tc>
          <w:tcPr>
            <w:tcW w:w="2390" w:type="dxa"/>
            <w:tcBorders>
              <w:top w:val="single" w:color="auto" w:sz="4" w:space="0"/>
              <w:left w:val="single" w:color="auto" w:sz="4" w:space="0"/>
              <w:bottom w:val="single" w:color="auto" w:sz="4" w:space="0"/>
              <w:right w:val="single" w:color="auto" w:sz="8" w:space="0"/>
            </w:tcBorders>
            <w:noWrap w:val="0"/>
            <w:vAlign w:val="center"/>
          </w:tcPr>
          <w:p>
            <w:pPr>
              <w:spacing w:before="120" w:after="120"/>
              <w:ind w:left="-105" w:leftChars="-50" w:right="-105" w:rightChars="-50"/>
              <w:jc w:val="center"/>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54" w:hRule="atLeast"/>
          <w:jc w:val="center"/>
        </w:trPr>
        <w:tc>
          <w:tcPr>
            <w:tcW w:w="8522" w:type="dxa"/>
            <w:gridSpan w:val="4"/>
            <w:tcBorders>
              <w:top w:val="single" w:color="auto" w:sz="4" w:space="0"/>
              <w:left w:val="single" w:color="auto" w:sz="8" w:space="0"/>
              <w:bottom w:val="single" w:color="auto" w:sz="4" w:space="0"/>
              <w:right w:val="single" w:color="auto" w:sz="8" w:space="0"/>
            </w:tcBorders>
            <w:noWrap w:val="0"/>
            <w:vAlign w:val="top"/>
          </w:tcPr>
          <w:p>
            <w:pPr>
              <w:spacing w:before="156" w:beforeLines="50"/>
              <w:rPr>
                <w:rFonts w:ascii="Times New Roman"/>
                <w:szCs w:val="21"/>
              </w:rPr>
            </w:pPr>
            <w:r>
              <w:rPr>
                <w:rFonts w:hint="eastAsia" w:ascii="Times New Roman"/>
                <w:szCs w:val="21"/>
              </w:rPr>
              <w:t>复核意见：</w:t>
            </w:r>
          </w:p>
          <w:p>
            <w:pPr>
              <w:rPr>
                <w:rFonts w:hint="eastAsia" w:ascii="Times New Roman"/>
                <w:szCs w:val="21"/>
              </w:rPr>
            </w:pPr>
          </w:p>
          <w:p>
            <w:pPr>
              <w:rPr>
                <w:rFonts w:hint="eastAsia" w:ascii="Times New Roman"/>
                <w:szCs w:val="21"/>
              </w:rPr>
            </w:pPr>
          </w:p>
          <w:p>
            <w:pPr>
              <w:rPr>
                <w:rFonts w:hint="eastAsia" w:ascii="Times New Roman"/>
                <w:szCs w:val="21"/>
              </w:rPr>
            </w:pPr>
          </w:p>
          <w:p>
            <w:pPr>
              <w:spacing w:line="360" w:lineRule="exact"/>
              <w:rPr>
                <w:rFonts w:hint="eastAsia" w:ascii="Times New Roman"/>
                <w:szCs w:val="21"/>
              </w:rPr>
            </w:pPr>
            <w:r>
              <w:rPr>
                <w:rFonts w:hint="eastAsia" w:ascii="Times New Roman"/>
                <w:szCs w:val="21"/>
              </w:rPr>
              <w:t>附件：□  复核记录</w:t>
            </w:r>
          </w:p>
          <w:p>
            <w:pPr>
              <w:rPr>
                <w:rFonts w:hint="eastAsia" w:ascii="Times New Roman"/>
                <w:szCs w:val="21"/>
              </w:rPr>
            </w:pPr>
          </w:p>
          <w:p>
            <w:pPr>
              <w:tabs>
                <w:tab w:val="left" w:pos="3756"/>
              </w:tabs>
              <w:spacing w:line="360" w:lineRule="auto"/>
              <w:rPr>
                <w:rFonts w:hint="eastAsia" w:ascii="Times New Roman"/>
                <w:bCs/>
                <w:szCs w:val="21"/>
                <w:u w:val="single"/>
              </w:rPr>
            </w:pPr>
            <w:r>
              <w:rPr>
                <w:rFonts w:hint="eastAsia" w:ascii="Times New Roman"/>
                <w:szCs w:val="21"/>
              </w:rPr>
              <w:t xml:space="preserve">                        </w:t>
            </w:r>
            <w:r>
              <w:rPr>
                <w:rFonts w:hint="eastAsia" w:ascii="Times New Roman"/>
                <w:bCs/>
                <w:szCs w:val="21"/>
              </w:rPr>
              <w:t xml:space="preserve">            </w:t>
            </w:r>
            <w:r>
              <w:rPr>
                <w:rFonts w:ascii="Times New Roman"/>
                <w:bCs/>
                <w:szCs w:val="21"/>
              </w:rPr>
              <w:t> </w:t>
            </w:r>
            <w:r>
              <w:rPr>
                <w:rFonts w:hint="eastAsia" w:ascii="Times New Roman"/>
                <w:bCs/>
                <w:szCs w:val="21"/>
              </w:rPr>
              <w:t xml:space="preserve">        项目监理机构(章): </w:t>
            </w:r>
            <w:r>
              <w:rPr>
                <w:rFonts w:hint="eastAsia" w:ascii="Times New Roman"/>
                <w:bCs/>
                <w:szCs w:val="21"/>
                <w:u w:val="single"/>
              </w:rPr>
              <w:t xml:space="preserve">                  </w:t>
            </w:r>
          </w:p>
          <w:p>
            <w:pPr>
              <w:tabs>
                <w:tab w:val="left" w:pos="3756"/>
              </w:tabs>
              <w:spacing w:line="360" w:lineRule="auto"/>
              <w:ind w:firstLine="4620" w:firstLineChars="2200"/>
              <w:rPr>
                <w:rFonts w:hint="eastAsia" w:ascii="Times New Roman"/>
                <w:szCs w:val="21"/>
              </w:rPr>
            </w:pPr>
            <w:r>
              <w:rPr>
                <w:rFonts w:hint="eastAsia" w:ascii="Times New Roman"/>
                <w:szCs w:val="21"/>
              </w:rPr>
              <w:t>专业监理工程师（签字）：</w:t>
            </w:r>
            <w:r>
              <w:rPr>
                <w:rFonts w:hint="eastAsia" w:ascii="Times New Roman"/>
                <w:szCs w:val="21"/>
                <w:u w:val="single"/>
              </w:rPr>
              <w:t xml:space="preserve">　　        </w:t>
            </w:r>
          </w:p>
          <w:p>
            <w:pPr>
              <w:spacing w:after="156" w:afterLines="50" w:line="360" w:lineRule="auto"/>
              <w:ind w:firstLine="5724" w:firstLineChars="2726"/>
              <w:jc w:val="right"/>
              <w:rPr>
                <w:rFonts w:ascii="Times New Roman"/>
                <w:szCs w:val="21"/>
              </w:rPr>
            </w:pP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2" w:type="dxa"/>
            <w:gridSpan w:val="4"/>
            <w:tcBorders>
              <w:top w:val="single" w:color="auto" w:sz="4" w:space="0"/>
              <w:left w:val="single" w:color="auto" w:sz="8" w:space="0"/>
              <w:bottom w:val="single" w:color="auto" w:sz="8" w:space="0"/>
              <w:right w:val="single" w:color="auto" w:sz="8" w:space="0"/>
            </w:tcBorders>
            <w:noWrap w:val="0"/>
            <w:vAlign w:val="center"/>
          </w:tcPr>
          <w:p>
            <w:pPr>
              <w:rPr>
                <w:rFonts w:ascii="Times New Roman"/>
                <w:szCs w:val="21"/>
              </w:rPr>
            </w:pPr>
            <w:r>
              <w:rPr>
                <w:rFonts w:hint="eastAsia" w:ascii="Times New Roman"/>
                <w:szCs w:val="21"/>
              </w:rPr>
              <w:t>注：本表一式三份，项目监理机构、建设单位、施工单位各一份。</w:t>
            </w:r>
          </w:p>
        </w:tc>
      </w:tr>
    </w:tbl>
    <w:p>
      <w:pPr>
        <w:rPr>
          <w:rFonts w:ascii="Times New Roman" w:eastAsia="隶书"/>
        </w:rPr>
      </w:pPr>
      <w:r>
        <w:rPr>
          <w:rFonts w:hint="eastAsia" w:ascii="Times New Roman" w:eastAsia="隶书"/>
        </w:rPr>
        <w:t>第六版表                                              江苏省住房和城乡建设厅监制</w:t>
      </w:r>
    </w:p>
    <w:p>
      <w:pPr>
        <w:jc w:val="right"/>
        <w:rPr>
          <w:rFonts w:hint="eastAsia" w:eastAsia="黑体"/>
          <w:b/>
          <w:sz w:val="28"/>
          <w:szCs w:val="28"/>
          <w14:shadow w14:blurRad="50800" w14:dist="38100" w14:dir="2700000" w14:sx="100000" w14:sy="100000" w14:kx="0" w14:ky="0" w14:algn="tl">
            <w14:srgbClr w14:val="000000">
              <w14:alpha w14:val="60000"/>
            </w14:srgbClr>
          </w14:shadow>
        </w:rPr>
      </w:pPr>
      <w:r>
        <w:rPr>
          <w:b/>
          <w:szCs w:val="21"/>
        </w:rPr>
        <w:br w:type="column"/>
      </w:r>
      <w:r>
        <w:rPr>
          <w:rFonts w:eastAsia="黑体"/>
          <w:b/>
          <w:sz w:val="28"/>
          <w:szCs w:val="28"/>
          <w14:shadow w14:blurRad="50800" w14:dist="38100" w14:dir="2700000" w14:sx="100000" w14:sy="100000" w14:kx="0" w14:ky="0" w14:algn="tl">
            <w14:srgbClr w14:val="000000">
              <w14:alpha w14:val="60000"/>
            </w14:srgbClr>
          </w14:shadow>
        </w:rPr>
        <w:t>B.1.3</w:t>
      </w:r>
    </w:p>
    <w:p>
      <w:pPr>
        <w:spacing w:before="312" w:beforeLines="100" w:after="312" w:afterLines="100" w:line="300" w:lineRule="exact"/>
        <w:jc w:val="center"/>
        <w:rPr>
          <w:rFonts w:eastAsia="黑体"/>
          <w:sz w:val="44"/>
          <w14:shadow w14:blurRad="50800" w14:dist="38100" w14:dir="2700000" w14:sx="100000" w14:sy="100000" w14:kx="0" w14:ky="0" w14:algn="tl">
            <w14:srgbClr w14:val="000000">
              <w14:alpha w14:val="60000"/>
            </w14:srgbClr>
          </w14:shadow>
        </w:rPr>
      </w:pPr>
      <w:r>
        <w:rPr>
          <w:rFonts w:hint="eastAsia" w:eastAsia="黑体"/>
          <w:w w:val="80"/>
          <w:sz w:val="44"/>
          <w14:shadow w14:blurRad="50800" w14:dist="38100" w14:dir="2700000" w14:sx="100000" w14:sy="100000" w14:kx="0" w14:ky="0" w14:algn="tl">
            <w14:srgbClr w14:val="000000">
              <w14:alpha w14:val="60000"/>
            </w14:srgbClr>
          </w14:shadow>
        </w:rPr>
        <w:t>工程材料、构配件、设备</w:t>
      </w:r>
      <w:r>
        <w:rPr>
          <w:rFonts w:hint="eastAsia" w:eastAsia="黑体"/>
          <w:sz w:val="44"/>
          <w14:shadow w14:blurRad="50800" w14:dist="38100" w14:dir="2700000" w14:sx="100000" w14:sy="100000" w14:kx="0" w14:ky="0" w14:algn="tl">
            <w14:srgbClr w14:val="000000">
              <w14:alpha w14:val="60000"/>
            </w14:srgbClr>
          </w14:shadow>
        </w:rPr>
        <w:t>进场</w:t>
      </w:r>
      <w:r>
        <w:rPr>
          <w:rFonts w:eastAsia="黑体"/>
          <w:sz w:val="44"/>
          <w14:shadow w14:blurRad="50800" w14:dist="38100" w14:dir="2700000" w14:sx="100000" w14:sy="100000" w14:kx="0" w14:ky="0" w14:algn="tl">
            <w14:srgbClr w14:val="000000">
              <w14:alpha w14:val="60000"/>
            </w14:srgbClr>
          </w14:shadow>
        </w:rPr>
        <w:t>/</w:t>
      </w:r>
      <w:r>
        <w:rPr>
          <w:rFonts w:hint="eastAsia" w:eastAsia="黑体"/>
          <w:sz w:val="44"/>
          <w14:shadow w14:blurRad="50800" w14:dist="38100" w14:dir="2700000" w14:sx="100000" w14:sy="100000" w14:kx="0" w14:ky="0" w14:algn="tl">
            <w14:srgbClr w14:val="000000">
              <w14:alpha w14:val="60000"/>
            </w14:srgbClr>
          </w14:shadow>
        </w:rPr>
        <w:t>使用报审表</w:t>
      </w:r>
    </w:p>
    <w:p>
      <w:pPr>
        <w:jc w:val="center"/>
        <w:rPr>
          <w:sz w:val="24"/>
        </w:rPr>
      </w:pPr>
    </w:p>
    <w:p>
      <w:pPr>
        <w:spacing w:after="156" w:afterLines="50" w:line="420" w:lineRule="exact"/>
        <w:ind w:left="21" w:hanging="21" w:hangingChars="10"/>
        <w:rPr>
          <w:szCs w:val="21"/>
        </w:rPr>
      </w:pPr>
      <w:r>
        <w:rPr>
          <w:rFonts w:hint="eastAsia"/>
          <w:szCs w:val="21"/>
        </w:rPr>
        <w:t>工程名称：</w:t>
      </w:r>
      <w:r>
        <w:rPr>
          <w:szCs w:val="21"/>
          <w:u w:val="single"/>
        </w:rPr>
        <w:t xml:space="preserve">                       </w:t>
      </w:r>
      <w:r>
        <w:rPr>
          <w:rFonts w:hint="eastAsia"/>
          <w:szCs w:val="21"/>
        </w:rPr>
        <w:t>　　</w:t>
      </w:r>
      <w:r>
        <w:rPr>
          <w:szCs w:val="21"/>
        </w:rPr>
        <w:t xml:space="preserve">        </w:t>
      </w:r>
      <w:r>
        <w:rPr>
          <w:rFonts w:hint="eastAsia"/>
          <w:szCs w:val="21"/>
        </w:rPr>
        <w:t>　</w:t>
      </w:r>
      <w:r>
        <w:rPr>
          <w:szCs w:val="21"/>
        </w:rPr>
        <w:t xml:space="preserve">         </w:t>
      </w:r>
      <w:r>
        <w:rPr>
          <w:rFonts w:hint="eastAsia"/>
          <w:szCs w:val="21"/>
        </w:rPr>
        <w:t>　编号：</w:t>
      </w:r>
      <w:r>
        <w:rPr>
          <w:szCs w:val="21"/>
        </w:rPr>
        <w:t>B.1.3</w:t>
      </w:r>
      <w:r>
        <w:rPr>
          <w:rFonts w:hint="eastAsia"/>
          <w:szCs w:val="21"/>
          <w:u w:val="single"/>
        </w:rPr>
        <w:t>　</w:t>
      </w:r>
      <w:r>
        <w:rPr>
          <w:rFonts w:hint="eastAsia"/>
          <w:szCs w:val="21"/>
        </w:rPr>
        <w:t>—</w:t>
      </w:r>
      <w:r>
        <w:rPr>
          <w:rFonts w:hint="eastAsia"/>
          <w:szCs w:val="21"/>
          <w:u w:val="single"/>
        </w:rPr>
        <w:t>　　　　</w:t>
      </w: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14"/>
        <w:gridCol w:w="2794"/>
        <w:gridCol w:w="1796"/>
        <w:gridCol w:w="23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4"/>
            <w:tcBorders>
              <w:top w:val="single" w:color="auto" w:sz="8" w:space="0"/>
              <w:left w:val="single" w:color="auto" w:sz="8" w:space="0"/>
              <w:bottom w:val="single" w:color="auto" w:sz="4" w:space="0"/>
              <w:right w:val="single" w:color="auto" w:sz="8" w:space="0"/>
            </w:tcBorders>
            <w:noWrap w:val="0"/>
            <w:vAlign w:val="top"/>
          </w:tcPr>
          <w:p>
            <w:pPr>
              <w:spacing w:before="156" w:beforeLines="50" w:after="156" w:afterLines="50" w:line="420" w:lineRule="exact"/>
              <w:rPr>
                <w:rFonts w:ascii="Times New Roman"/>
                <w:szCs w:val="21"/>
              </w:rPr>
            </w:pPr>
            <w:r>
              <w:rPr>
                <w:rFonts w:hint="eastAsia" w:ascii="Times New Roman"/>
                <w:szCs w:val="21"/>
              </w:rPr>
              <w:t>致：</w:t>
            </w:r>
            <w:r>
              <w:rPr>
                <w:rFonts w:hint="eastAsia" w:ascii="Times New Roman"/>
                <w:szCs w:val="21"/>
                <w:u w:val="single"/>
              </w:rPr>
              <w:t>　　　　　            　</w:t>
            </w:r>
            <w:r>
              <w:rPr>
                <w:rFonts w:hint="eastAsia" w:ascii="Times New Roman"/>
                <w:szCs w:val="21"/>
              </w:rPr>
              <w:t>（项目监理机构）</w:t>
            </w:r>
          </w:p>
          <w:p>
            <w:pPr>
              <w:spacing w:line="320" w:lineRule="exact"/>
              <w:ind w:firstLine="420" w:firstLineChars="200"/>
              <w:rPr>
                <w:rFonts w:hint="eastAsia" w:ascii="Times New Roman"/>
                <w:szCs w:val="21"/>
              </w:rPr>
            </w:pPr>
            <w:r>
              <w:rPr>
                <w:rFonts w:hint="eastAsia" w:ascii="Times New Roman"/>
                <w:szCs w:val="21"/>
              </w:rPr>
              <w:t>于</w:t>
            </w:r>
            <w:r>
              <w:rPr>
                <w:rFonts w:hint="eastAsia"/>
                <w:szCs w:val="21"/>
                <w:u w:val="single"/>
              </w:rPr>
              <w:t>　　　</w:t>
            </w:r>
            <w:r>
              <w:rPr>
                <w:rFonts w:hint="eastAsia" w:ascii="Times New Roman"/>
                <w:szCs w:val="21"/>
              </w:rPr>
              <w:t>年</w:t>
            </w:r>
            <w:r>
              <w:rPr>
                <w:rFonts w:hint="eastAsia"/>
                <w:szCs w:val="21"/>
                <w:u w:val="single"/>
              </w:rPr>
              <w:t>　　　</w:t>
            </w:r>
            <w:r>
              <w:rPr>
                <w:rFonts w:hint="eastAsia" w:ascii="Times New Roman"/>
                <w:szCs w:val="21"/>
              </w:rPr>
              <w:t>月</w:t>
            </w:r>
            <w:r>
              <w:rPr>
                <w:rFonts w:hint="eastAsia"/>
                <w:szCs w:val="21"/>
                <w:u w:val="single"/>
              </w:rPr>
              <w:t>　　　</w:t>
            </w:r>
            <w:r>
              <w:rPr>
                <w:rFonts w:hint="eastAsia" w:ascii="Times New Roman"/>
                <w:szCs w:val="21"/>
              </w:rPr>
              <w:t>日进场的拟用于工程</w:t>
            </w:r>
            <w:r>
              <w:rPr>
                <w:rFonts w:hint="eastAsia"/>
                <w:szCs w:val="21"/>
                <w:u w:val="single"/>
              </w:rPr>
              <w:t>　　　</w:t>
            </w:r>
            <w:r>
              <w:rPr>
                <w:szCs w:val="21"/>
                <w:u w:val="single"/>
              </w:rPr>
              <w:t xml:space="preserve">   </w:t>
            </w:r>
            <w:r>
              <w:rPr>
                <w:rFonts w:hint="eastAsia"/>
                <w:szCs w:val="21"/>
                <w:u w:val="single"/>
              </w:rPr>
              <w:t>　　　</w:t>
            </w:r>
            <w:r>
              <w:rPr>
                <w:rFonts w:hint="eastAsia" w:ascii="Times New Roman"/>
                <w:szCs w:val="21"/>
              </w:rPr>
              <w:t>部位的</w:t>
            </w:r>
            <w:r>
              <w:rPr>
                <w:rFonts w:hint="eastAsia"/>
                <w:szCs w:val="21"/>
                <w:u w:val="single"/>
              </w:rPr>
              <w:t>　　　　</w:t>
            </w:r>
            <w:r>
              <w:rPr>
                <w:szCs w:val="21"/>
                <w:u w:val="single"/>
              </w:rPr>
              <w:t xml:space="preserve">                </w:t>
            </w:r>
            <w:r>
              <w:rPr>
                <w:rFonts w:hint="eastAsia"/>
                <w:szCs w:val="21"/>
                <w:u w:val="single"/>
              </w:rPr>
              <w:t>　</w:t>
            </w:r>
            <w:r>
              <w:rPr>
                <w:rFonts w:hint="eastAsia" w:ascii="Times New Roman"/>
                <w:szCs w:val="21"/>
              </w:rPr>
              <w:t xml:space="preserve">，现将相关资料报上，请予以审查。 </w:t>
            </w:r>
          </w:p>
          <w:p>
            <w:pPr>
              <w:spacing w:line="320" w:lineRule="exact"/>
              <w:ind w:firstLine="420" w:firstLineChars="200"/>
              <w:rPr>
                <w:rFonts w:hint="eastAsia" w:ascii="Times New Roman"/>
                <w:szCs w:val="21"/>
              </w:rPr>
            </w:pPr>
            <w:r>
              <w:rPr>
                <w:rFonts w:hint="eastAsia" w:ascii="Times New Roman"/>
                <w:szCs w:val="21"/>
              </w:rPr>
              <w:t>附件：</w:t>
            </w:r>
          </w:p>
          <w:p>
            <w:pPr>
              <w:spacing w:line="320" w:lineRule="exact"/>
              <w:ind w:firstLine="420" w:firstLineChars="200"/>
              <w:rPr>
                <w:rFonts w:hint="eastAsia" w:ascii="Times New Roman"/>
                <w:b/>
                <w:bCs/>
                <w:szCs w:val="21"/>
              </w:rPr>
            </w:pPr>
            <w:r>
              <w:rPr>
                <w:rFonts w:hint="eastAsia" w:ascii="Times New Roman"/>
                <w:szCs w:val="21"/>
              </w:rPr>
              <w:t xml:space="preserve">□ </w:t>
            </w:r>
            <w:r>
              <w:rPr>
                <w:rFonts w:hint="eastAsia" w:ascii="Times New Roman"/>
                <w:b/>
                <w:bCs/>
                <w:szCs w:val="21"/>
              </w:rPr>
              <w:t>进场材料、构配件、设备进场：</w:t>
            </w:r>
          </w:p>
          <w:p>
            <w:pPr>
              <w:spacing w:line="320" w:lineRule="exact"/>
              <w:rPr>
                <w:rFonts w:hint="eastAsia" w:ascii="Times New Roman"/>
                <w:szCs w:val="21"/>
              </w:rPr>
            </w:pPr>
            <w:r>
              <w:rPr>
                <w:rFonts w:hint="eastAsia" w:ascii="Times New Roman"/>
                <w:szCs w:val="21"/>
              </w:rPr>
              <w:t xml:space="preserve">        □   工程材料/构配件/设备清单</w:t>
            </w:r>
          </w:p>
          <w:p>
            <w:pPr>
              <w:spacing w:line="320" w:lineRule="exact"/>
              <w:ind w:firstLine="840" w:firstLineChars="400"/>
              <w:rPr>
                <w:rFonts w:hint="eastAsia" w:ascii="Times New Roman"/>
                <w:szCs w:val="21"/>
              </w:rPr>
            </w:pPr>
            <w:r>
              <w:rPr>
                <w:rFonts w:hint="eastAsia" w:ascii="Times New Roman"/>
                <w:szCs w:val="21"/>
              </w:rPr>
              <w:t>□   出厂合格证、质量检验报告等</w:t>
            </w:r>
          </w:p>
          <w:p>
            <w:pPr>
              <w:spacing w:line="320" w:lineRule="exact"/>
              <w:ind w:firstLine="840" w:firstLineChars="400"/>
              <w:rPr>
                <w:rFonts w:hint="eastAsia" w:ascii="Times New Roman"/>
                <w:szCs w:val="21"/>
              </w:rPr>
            </w:pPr>
            <w:r>
              <w:rPr>
                <w:rFonts w:hint="eastAsia" w:ascii="Times New Roman"/>
                <w:szCs w:val="21"/>
              </w:rPr>
              <w:t>□   施工单位自检记录</w:t>
            </w:r>
          </w:p>
          <w:p>
            <w:pPr>
              <w:spacing w:line="320" w:lineRule="exact"/>
              <w:ind w:firstLine="840" w:firstLineChars="400"/>
              <w:rPr>
                <w:rFonts w:hint="eastAsia" w:ascii="Times New Roman"/>
                <w:szCs w:val="21"/>
              </w:rPr>
            </w:pPr>
            <w:r>
              <w:rPr>
                <w:rFonts w:hint="eastAsia" w:ascii="Times New Roman"/>
                <w:szCs w:val="21"/>
              </w:rPr>
              <w:t xml:space="preserve">□　 </w:t>
            </w:r>
          </w:p>
          <w:p>
            <w:pPr>
              <w:spacing w:line="320" w:lineRule="exact"/>
              <w:ind w:firstLine="420" w:firstLineChars="200"/>
              <w:rPr>
                <w:rFonts w:hint="eastAsia" w:ascii="Times New Roman"/>
                <w:b/>
                <w:bCs/>
                <w:szCs w:val="21"/>
              </w:rPr>
            </w:pPr>
            <w:r>
              <w:rPr>
                <w:rFonts w:hint="eastAsia" w:ascii="Times New Roman"/>
                <w:szCs w:val="21"/>
              </w:rPr>
              <w:t xml:space="preserve">□ </w:t>
            </w:r>
            <w:r>
              <w:rPr>
                <w:rFonts w:hint="eastAsia" w:ascii="Times New Roman"/>
                <w:b/>
                <w:bCs/>
                <w:szCs w:val="21"/>
              </w:rPr>
              <w:t>进场材料、构配件、设备使用：</w:t>
            </w:r>
          </w:p>
          <w:p>
            <w:pPr>
              <w:spacing w:line="320" w:lineRule="exact"/>
              <w:ind w:firstLine="840" w:firstLineChars="400"/>
              <w:rPr>
                <w:rFonts w:hint="eastAsia" w:ascii="Times New Roman"/>
                <w:szCs w:val="21"/>
              </w:rPr>
            </w:pPr>
            <w:r>
              <w:rPr>
                <w:rFonts w:hint="eastAsia" w:ascii="Times New Roman"/>
                <w:szCs w:val="21"/>
              </w:rPr>
              <w:t>□   进场复试报告</w:t>
            </w:r>
          </w:p>
          <w:p>
            <w:pPr>
              <w:spacing w:line="320" w:lineRule="exact"/>
              <w:ind w:firstLine="420"/>
              <w:rPr>
                <w:rFonts w:hint="eastAsia" w:ascii="Times New Roman"/>
                <w:szCs w:val="21"/>
              </w:rPr>
            </w:pPr>
            <w:r>
              <w:rPr>
                <w:rFonts w:hint="eastAsia" w:ascii="Times New Roman"/>
                <w:szCs w:val="21"/>
              </w:rPr>
              <w:t xml:space="preserve">    □</w:t>
            </w:r>
          </w:p>
          <w:p>
            <w:pPr>
              <w:spacing w:line="320" w:lineRule="exact"/>
              <w:ind w:firstLine="420" w:firstLineChars="200"/>
              <w:jc w:val="left"/>
              <w:rPr>
                <w:rFonts w:hint="eastAsia" w:ascii="Times New Roman"/>
                <w:szCs w:val="21"/>
              </w:rPr>
            </w:pPr>
            <w:r>
              <w:rPr>
                <w:rFonts w:hint="eastAsia" w:ascii="Times New Roman"/>
                <w:szCs w:val="21"/>
              </w:rPr>
              <w:t>本次报审内容系第</w:t>
            </w:r>
            <w:r>
              <w:rPr>
                <w:rFonts w:hint="eastAsia" w:ascii="Times New Roman"/>
                <w:szCs w:val="21"/>
                <w:u w:val="single"/>
              </w:rPr>
              <w:t xml:space="preserve">      </w:t>
            </w:r>
            <w:r>
              <w:rPr>
                <w:rFonts w:hint="eastAsia" w:ascii="Times New Roman"/>
                <w:szCs w:val="21"/>
              </w:rPr>
              <w:t>次报审。</w:t>
            </w:r>
          </w:p>
          <w:p>
            <w:pPr>
              <w:spacing w:line="320" w:lineRule="exact"/>
              <w:rPr>
                <w:rFonts w:hint="eastAsia" w:ascii="Times New Roman"/>
                <w:szCs w:val="21"/>
              </w:rPr>
            </w:pPr>
          </w:p>
          <w:p>
            <w:pPr>
              <w:spacing w:line="360" w:lineRule="auto"/>
              <w:rPr>
                <w:rFonts w:hint="eastAsia" w:ascii="Times New Roman"/>
                <w:szCs w:val="21"/>
                <w:u w:val="single"/>
              </w:rPr>
            </w:pPr>
            <w:r>
              <w:rPr>
                <w:rFonts w:hint="eastAsia" w:ascii="Times New Roman"/>
                <w:szCs w:val="21"/>
              </w:rPr>
              <w:t>　　　　　　　　　　　　                  施工项目经理部（章）：</w:t>
            </w:r>
            <w:r>
              <w:rPr>
                <w:rFonts w:hint="eastAsia" w:ascii="Times New Roman"/>
                <w:szCs w:val="21"/>
                <w:u w:val="single"/>
              </w:rPr>
              <w:t xml:space="preserve">　　　　      </w:t>
            </w:r>
          </w:p>
          <w:p>
            <w:pPr>
              <w:spacing w:line="360" w:lineRule="auto"/>
              <w:rPr>
                <w:rFonts w:hint="eastAsia" w:ascii="Times New Roman"/>
                <w:szCs w:val="21"/>
              </w:rPr>
            </w:pPr>
            <w:r>
              <w:rPr>
                <w:rFonts w:hint="eastAsia" w:ascii="Times New Roman"/>
                <w:szCs w:val="21"/>
              </w:rPr>
              <w:t>　　　　　　　　　　　                    项目经理（签字）：</w:t>
            </w:r>
            <w:r>
              <w:rPr>
                <w:rFonts w:hint="eastAsia" w:ascii="Times New Roman"/>
                <w:szCs w:val="21"/>
                <w:u w:val="single"/>
              </w:rPr>
              <w:t xml:space="preserve">　　              </w:t>
            </w:r>
          </w:p>
          <w:p>
            <w:pPr>
              <w:tabs>
                <w:tab w:val="left" w:pos="8211"/>
                <w:tab w:val="left" w:pos="8306"/>
              </w:tabs>
              <w:spacing w:line="360" w:lineRule="auto"/>
              <w:ind w:firstLine="5917" w:firstLineChars="2818"/>
              <w:rPr>
                <w:rFonts w:ascii="Times New Roman"/>
                <w:szCs w:val="21"/>
              </w:rPr>
            </w:pPr>
            <w:r>
              <w:rPr>
                <w:rFonts w:ascii="Times New Roman"/>
                <w:szCs w:val="21"/>
                <w:u w:val="single"/>
              </w:rPr>
              <w:t> </w:t>
            </w: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14" w:type="dxa"/>
            <w:tcBorders>
              <w:top w:val="single" w:color="auto" w:sz="4" w:space="0"/>
              <w:left w:val="single" w:color="auto" w:sz="8" w:space="0"/>
              <w:bottom w:val="single" w:color="auto" w:sz="4" w:space="0"/>
              <w:right w:val="single" w:color="auto" w:sz="4" w:space="0"/>
            </w:tcBorders>
            <w:noWrap w:val="0"/>
            <w:vAlign w:val="center"/>
          </w:tcPr>
          <w:p>
            <w:pPr>
              <w:spacing w:before="120" w:after="120"/>
              <w:ind w:left="-105" w:leftChars="-50" w:right="-105" w:rightChars="-50"/>
              <w:jc w:val="center"/>
              <w:rPr>
                <w:rFonts w:ascii="Times New Roman"/>
                <w:szCs w:val="21"/>
              </w:rPr>
            </w:pPr>
            <w:r>
              <w:rPr>
                <w:rFonts w:hint="eastAsia" w:ascii="Times New Roman"/>
                <w:szCs w:val="21"/>
              </w:rPr>
              <w:t>项目监理机构签收人姓名及时间</w:t>
            </w:r>
          </w:p>
        </w:tc>
        <w:tc>
          <w:tcPr>
            <w:tcW w:w="2794" w:type="dxa"/>
            <w:tcBorders>
              <w:top w:val="single" w:color="auto" w:sz="4" w:space="0"/>
              <w:left w:val="single" w:color="auto" w:sz="4" w:space="0"/>
              <w:bottom w:val="single" w:color="auto" w:sz="4" w:space="0"/>
              <w:right w:val="single" w:color="auto" w:sz="4" w:space="0"/>
            </w:tcBorders>
            <w:noWrap w:val="0"/>
            <w:vAlign w:val="center"/>
          </w:tcPr>
          <w:p>
            <w:pPr>
              <w:spacing w:before="120" w:after="120"/>
              <w:ind w:left="-105" w:leftChars="-50" w:right="-105" w:rightChars="-50"/>
              <w:jc w:val="center"/>
              <w:rPr>
                <w:rFonts w:ascii="Times New Roman"/>
                <w:szCs w:val="21"/>
              </w:rPr>
            </w:pPr>
          </w:p>
        </w:tc>
        <w:tc>
          <w:tcPr>
            <w:tcW w:w="1796" w:type="dxa"/>
            <w:tcBorders>
              <w:top w:val="single" w:color="auto" w:sz="4" w:space="0"/>
              <w:left w:val="single" w:color="auto" w:sz="4" w:space="0"/>
              <w:bottom w:val="single" w:color="auto" w:sz="4" w:space="0"/>
              <w:right w:val="single" w:color="auto" w:sz="4" w:space="0"/>
            </w:tcBorders>
            <w:noWrap w:val="0"/>
            <w:vAlign w:val="center"/>
          </w:tcPr>
          <w:p>
            <w:pPr>
              <w:spacing w:before="120" w:after="120"/>
              <w:ind w:left="-105" w:leftChars="-50" w:right="-105" w:rightChars="-50"/>
              <w:jc w:val="center"/>
              <w:rPr>
                <w:rFonts w:ascii="Times New Roman"/>
                <w:szCs w:val="21"/>
              </w:rPr>
            </w:pPr>
            <w:r>
              <w:rPr>
                <w:rFonts w:hint="eastAsia" w:ascii="Times New Roman"/>
                <w:szCs w:val="21"/>
              </w:rPr>
              <w:t>施工项目经理部签收人姓名及时间</w:t>
            </w:r>
          </w:p>
        </w:tc>
        <w:tc>
          <w:tcPr>
            <w:tcW w:w="2318" w:type="dxa"/>
            <w:tcBorders>
              <w:top w:val="single" w:color="auto" w:sz="4" w:space="0"/>
              <w:left w:val="single" w:color="auto" w:sz="4" w:space="0"/>
              <w:bottom w:val="single" w:color="auto" w:sz="4" w:space="0"/>
              <w:right w:val="single" w:color="auto" w:sz="8" w:space="0"/>
            </w:tcBorders>
            <w:noWrap w:val="0"/>
            <w:vAlign w:val="top"/>
          </w:tcPr>
          <w:p>
            <w:pPr>
              <w:spacing w:before="120" w:after="120"/>
              <w:ind w:left="-105" w:leftChars="-50" w:right="-105" w:rightChars="-50"/>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2" w:type="dxa"/>
            <w:gridSpan w:val="4"/>
            <w:tcBorders>
              <w:top w:val="single" w:color="auto" w:sz="4" w:space="0"/>
              <w:left w:val="single" w:color="auto" w:sz="8" w:space="0"/>
              <w:bottom w:val="single" w:color="auto" w:sz="4" w:space="0"/>
              <w:right w:val="single" w:color="auto" w:sz="8" w:space="0"/>
            </w:tcBorders>
            <w:noWrap w:val="0"/>
            <w:vAlign w:val="top"/>
          </w:tcPr>
          <w:p>
            <w:pPr>
              <w:spacing w:before="120" w:after="120"/>
              <w:rPr>
                <w:rFonts w:ascii="Times New Roman"/>
                <w:szCs w:val="21"/>
              </w:rPr>
            </w:pPr>
            <w:r>
              <w:rPr>
                <w:rFonts w:hint="eastAsia" w:ascii="Times New Roman"/>
                <w:szCs w:val="21"/>
              </w:rPr>
              <w:t>审查意见：</w:t>
            </w:r>
          </w:p>
          <w:p>
            <w:pPr>
              <w:spacing w:line="420" w:lineRule="exact"/>
              <w:rPr>
                <w:rFonts w:hint="eastAsia" w:ascii="Times New Roman"/>
                <w:szCs w:val="21"/>
                <w:u w:val="single"/>
              </w:rPr>
            </w:pPr>
          </w:p>
          <w:p>
            <w:pPr>
              <w:spacing w:line="360" w:lineRule="exact"/>
              <w:rPr>
                <w:rFonts w:hint="eastAsia" w:ascii="Times New Roman"/>
                <w:szCs w:val="21"/>
              </w:rPr>
            </w:pPr>
            <w:r>
              <w:rPr>
                <w:rFonts w:hint="eastAsia" w:ascii="Times New Roman"/>
                <w:szCs w:val="21"/>
              </w:rPr>
              <w:t>附件：□  检查记录</w:t>
            </w:r>
          </w:p>
          <w:p>
            <w:pPr>
              <w:spacing w:before="156" w:beforeLines="50"/>
              <w:rPr>
                <w:rFonts w:hint="eastAsia" w:ascii="Times New Roman"/>
                <w:bCs/>
                <w:szCs w:val="21"/>
                <w:u w:val="single"/>
              </w:rPr>
            </w:pPr>
            <w:r>
              <w:rPr>
                <w:rFonts w:hint="eastAsia" w:ascii="Times New Roman"/>
                <w:szCs w:val="21"/>
              </w:rPr>
              <w:t xml:space="preserve">　　　　　　　　　　　   　    </w:t>
            </w:r>
            <w:r>
              <w:rPr>
                <w:rFonts w:hint="eastAsia" w:ascii="Times New Roman"/>
                <w:bCs/>
                <w:szCs w:val="21"/>
              </w:rPr>
              <w:t xml:space="preserve">           项目监理机构(章): </w:t>
            </w:r>
            <w:r>
              <w:rPr>
                <w:rFonts w:hint="eastAsia" w:ascii="Times New Roman"/>
                <w:bCs/>
                <w:szCs w:val="21"/>
                <w:u w:val="single"/>
              </w:rPr>
              <w:t xml:space="preserve">                   </w:t>
            </w:r>
            <w:r>
              <w:rPr>
                <w:rFonts w:hint="eastAsia" w:ascii="Times New Roman"/>
                <w:bCs/>
                <w:szCs w:val="21"/>
              </w:rPr>
              <w:t xml:space="preserve"> </w:t>
            </w:r>
          </w:p>
          <w:p>
            <w:pPr>
              <w:spacing w:before="156" w:beforeLines="50"/>
              <w:rPr>
                <w:rFonts w:hint="eastAsia" w:ascii="Times New Roman"/>
                <w:szCs w:val="21"/>
              </w:rPr>
            </w:pPr>
            <w:r>
              <w:rPr>
                <w:rFonts w:hint="eastAsia" w:ascii="Times New Roman"/>
                <w:szCs w:val="21"/>
              </w:rPr>
              <w:t xml:space="preserve">                                          专业监理工程师（签字）：</w:t>
            </w:r>
            <w:r>
              <w:rPr>
                <w:rFonts w:hint="eastAsia" w:ascii="Times New Roman"/>
                <w:szCs w:val="21"/>
                <w:u w:val="single"/>
              </w:rPr>
              <w:t xml:space="preserve">　　        </w:t>
            </w:r>
          </w:p>
          <w:p>
            <w:pPr>
              <w:spacing w:before="156" w:beforeLines="50"/>
              <w:ind w:firstLine="5917" w:firstLineChars="2818"/>
              <w:rPr>
                <w:rFonts w:ascii="Times New Roman"/>
                <w:szCs w:val="21"/>
              </w:rPr>
            </w:pP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8522" w:type="dxa"/>
            <w:gridSpan w:val="4"/>
            <w:tcBorders>
              <w:top w:val="single" w:color="auto" w:sz="4" w:space="0"/>
              <w:left w:val="single" w:color="auto" w:sz="8" w:space="0"/>
              <w:bottom w:val="single" w:color="auto" w:sz="8" w:space="0"/>
              <w:right w:val="single" w:color="auto" w:sz="8" w:space="0"/>
            </w:tcBorders>
            <w:noWrap w:val="0"/>
            <w:vAlign w:val="center"/>
          </w:tcPr>
          <w:p>
            <w:pPr>
              <w:rPr>
                <w:szCs w:val="21"/>
              </w:rPr>
            </w:pPr>
            <w:r>
              <w:rPr>
                <w:rFonts w:hint="eastAsia" w:ascii="Times New Roman"/>
                <w:szCs w:val="21"/>
              </w:rPr>
              <w:t>注</w:t>
            </w:r>
            <w:r>
              <w:rPr>
                <w:rFonts w:hint="eastAsia"/>
                <w:szCs w:val="21"/>
              </w:rPr>
              <w:t>：</w:t>
            </w:r>
            <w:r>
              <w:rPr>
                <w:szCs w:val="21"/>
              </w:rPr>
              <w:t>1</w:t>
            </w:r>
            <w:r>
              <w:rPr>
                <w:rFonts w:hint="eastAsia"/>
                <w:szCs w:val="21"/>
              </w:rPr>
              <w:t>、本报审表分为工程材料报审（</w:t>
            </w:r>
            <w:r>
              <w:rPr>
                <w:szCs w:val="21"/>
              </w:rPr>
              <w:t>B.1.31</w:t>
            </w:r>
            <w:r>
              <w:rPr>
                <w:rFonts w:hint="eastAsia"/>
                <w:szCs w:val="21"/>
              </w:rPr>
              <w:t>）、工程构配件报审（</w:t>
            </w:r>
            <w:r>
              <w:rPr>
                <w:szCs w:val="21"/>
              </w:rPr>
              <w:t>B.1.32</w:t>
            </w:r>
            <w:r>
              <w:rPr>
                <w:rFonts w:hint="eastAsia"/>
                <w:szCs w:val="21"/>
              </w:rPr>
              <w:t>）、工程设备报审（</w:t>
            </w:r>
            <w:r>
              <w:rPr>
                <w:szCs w:val="21"/>
              </w:rPr>
              <w:t>B.1.33</w:t>
            </w:r>
            <w:r>
              <w:rPr>
                <w:rFonts w:hint="eastAsia"/>
                <w:szCs w:val="21"/>
              </w:rPr>
              <w:t>），需要进场复试的分进场</w:t>
            </w:r>
            <w:r>
              <w:rPr>
                <w:szCs w:val="21"/>
              </w:rPr>
              <w:t>/</w:t>
            </w:r>
            <w:r>
              <w:rPr>
                <w:rFonts w:hint="eastAsia"/>
                <w:szCs w:val="21"/>
              </w:rPr>
              <w:t>使用两次报审。</w:t>
            </w:r>
          </w:p>
          <w:p>
            <w:pPr>
              <w:numPr>
                <w:ilvl w:val="0"/>
                <w:numId w:val="13"/>
              </w:numPr>
              <w:ind w:firstLine="340" w:firstLineChars="162"/>
              <w:rPr>
                <w:szCs w:val="21"/>
              </w:rPr>
            </w:pPr>
            <w:r>
              <w:rPr>
                <w:rFonts w:hint="eastAsia"/>
                <w:szCs w:val="21"/>
              </w:rPr>
              <w:t>大型设备开箱检查建设单位、设计单位代表应参加。</w:t>
            </w:r>
          </w:p>
          <w:p>
            <w:pPr>
              <w:numPr>
                <w:ilvl w:val="0"/>
                <w:numId w:val="13"/>
              </w:numPr>
              <w:ind w:firstLine="340" w:firstLineChars="162"/>
              <w:rPr>
                <w:rFonts w:ascii="Times New Roman"/>
                <w:spacing w:val="-6"/>
                <w:szCs w:val="21"/>
              </w:rPr>
            </w:pPr>
            <w:r>
              <w:rPr>
                <w:rFonts w:hint="eastAsia"/>
                <w:szCs w:val="21"/>
              </w:rPr>
              <w:t>本表一式二份，项目监理机构、施工单位各一份。</w:t>
            </w:r>
          </w:p>
        </w:tc>
      </w:tr>
    </w:tbl>
    <w:p>
      <w:pPr>
        <w:spacing w:line="380" w:lineRule="exact"/>
        <w:jc w:val="right"/>
        <w:rPr>
          <w:rFonts w:eastAsia="黑体"/>
          <w:b/>
          <w:sz w:val="28"/>
          <w:szCs w:val="28"/>
          <w14:shadow w14:blurRad="50800" w14:dist="38100" w14:dir="2700000" w14:sx="100000" w14:sy="100000" w14:kx="0" w14:ky="0" w14:algn="tl">
            <w14:srgbClr w14:val="000000">
              <w14:alpha w14:val="60000"/>
            </w14:srgbClr>
          </w14:shadow>
        </w:rPr>
      </w:pPr>
      <w:r>
        <w:rPr>
          <w:rFonts w:hint="eastAsia" w:ascii="Times New Roman" w:eastAsia="隶书"/>
        </w:rPr>
        <w:t>第六版表                                              江苏省住房和城乡建设厅监制</w:t>
      </w:r>
      <w:r>
        <w:rPr>
          <w:b/>
          <w:szCs w:val="21"/>
        </w:rPr>
        <w:br w:type="column"/>
      </w:r>
      <w:r>
        <w:rPr>
          <w:rFonts w:eastAsia="黑体"/>
          <w:b/>
          <w:sz w:val="28"/>
          <w:szCs w:val="28"/>
          <w14:shadow w14:blurRad="50800" w14:dist="38100" w14:dir="2700000" w14:sx="100000" w14:sy="100000" w14:kx="0" w14:ky="0" w14:algn="tl">
            <w14:srgbClr w14:val="000000">
              <w14:alpha w14:val="60000"/>
            </w14:srgbClr>
          </w14:shadow>
        </w:rPr>
        <w:t>B.1.4</w:t>
      </w:r>
    </w:p>
    <w:p>
      <w:pPr>
        <w:spacing w:before="312" w:beforeLines="100" w:after="312" w:afterLines="100" w:line="300" w:lineRule="exact"/>
        <w:jc w:val="center"/>
        <w:rPr>
          <w:rFonts w:eastAsia="黑体"/>
          <w:sz w:val="44"/>
          <w14:shadow w14:blurRad="50800" w14:dist="38100" w14:dir="2700000" w14:sx="100000" w14:sy="100000" w14:kx="0" w14:ky="0" w14:algn="tl">
            <w14:srgbClr w14:val="000000">
              <w14:alpha w14:val="60000"/>
            </w14:srgbClr>
          </w14:shadow>
        </w:rPr>
      </w:pPr>
      <w:r>
        <w:rPr>
          <w:rFonts w:hint="eastAsia" w:eastAsia="黑体"/>
          <w:sz w:val="44"/>
          <w14:shadow w14:blurRad="50800" w14:dist="38100" w14:dir="2700000" w14:sx="100000" w14:sy="100000" w14:kx="0" w14:ky="0" w14:algn="tl">
            <w14:srgbClr w14:val="000000">
              <w14:alpha w14:val="60000"/>
            </w14:srgbClr>
          </w14:shadow>
        </w:rPr>
        <w:t>工程质量报验表</w:t>
      </w:r>
    </w:p>
    <w:p>
      <w:pPr>
        <w:spacing w:after="156" w:afterLines="50" w:line="420" w:lineRule="exact"/>
        <w:ind w:left="21" w:right="-115" w:rightChars="-55" w:hanging="21" w:hangingChars="10"/>
        <w:rPr>
          <w:szCs w:val="21"/>
        </w:rPr>
      </w:pPr>
      <w:r>
        <w:rPr>
          <w:rFonts w:hint="eastAsia"/>
          <w:szCs w:val="21"/>
        </w:rPr>
        <w:t>工程名称：</w:t>
      </w:r>
      <w:r>
        <w:rPr>
          <w:szCs w:val="21"/>
          <w:u w:val="single"/>
        </w:rPr>
        <w:t xml:space="preserve">                      </w:t>
      </w:r>
      <w:r>
        <w:rPr>
          <w:rFonts w:hint="eastAsia"/>
          <w:szCs w:val="21"/>
        </w:rPr>
        <w:t>　　　　　　　　　　</w:t>
      </w:r>
      <w:r>
        <w:rPr>
          <w:szCs w:val="21"/>
        </w:rPr>
        <w:t xml:space="preserve">         </w:t>
      </w:r>
      <w:r>
        <w:rPr>
          <w:rFonts w:hint="eastAsia"/>
          <w:szCs w:val="21"/>
        </w:rPr>
        <w:t>编号：</w:t>
      </w:r>
      <w:r>
        <w:rPr>
          <w:szCs w:val="21"/>
        </w:rPr>
        <w:t>B.1.4</w:t>
      </w:r>
      <w:r>
        <w:rPr>
          <w:szCs w:val="21"/>
          <w:u w:val="single"/>
        </w:rPr>
        <w:t xml:space="preserve">  </w:t>
      </w:r>
      <w:r>
        <w:rPr>
          <w:rFonts w:hint="eastAsia"/>
          <w:szCs w:val="21"/>
        </w:rPr>
        <w:t>－</w:t>
      </w:r>
      <w:r>
        <w:rPr>
          <w:rFonts w:hint="eastAsia"/>
          <w:szCs w:val="21"/>
          <w:u w:val="single"/>
        </w:rPr>
        <w:t>　　</w:t>
      </w:r>
      <w:r>
        <w:rPr>
          <w:szCs w:val="21"/>
          <w:u w:val="single"/>
        </w:rPr>
        <w:t xml:space="preserve"> </w:t>
      </w:r>
      <w:r>
        <w:rPr>
          <w:rFonts w:hint="eastAsia"/>
          <w:szCs w:val="21"/>
          <w:u w:val="single"/>
        </w:rPr>
        <w:t>　</w:t>
      </w:r>
    </w:p>
    <w:tbl>
      <w:tblPr>
        <w:tblStyle w:val="1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93"/>
        <w:gridCol w:w="2184"/>
        <w:gridCol w:w="1985"/>
        <w:gridCol w:w="26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40" w:hRule="atLeast"/>
        </w:trPr>
        <w:tc>
          <w:tcPr>
            <w:tcW w:w="8718" w:type="dxa"/>
            <w:gridSpan w:val="4"/>
            <w:tcBorders>
              <w:top w:val="single" w:color="auto" w:sz="8" w:space="0"/>
              <w:left w:val="single" w:color="auto" w:sz="8" w:space="0"/>
              <w:bottom w:val="single" w:color="auto" w:sz="4" w:space="0"/>
              <w:right w:val="single" w:color="auto" w:sz="8" w:space="0"/>
            </w:tcBorders>
            <w:noWrap w:val="0"/>
            <w:vAlign w:val="top"/>
          </w:tcPr>
          <w:p>
            <w:pPr>
              <w:spacing w:before="156" w:beforeLines="50" w:after="156" w:afterLines="50" w:line="360" w:lineRule="exact"/>
              <w:rPr>
                <w:rFonts w:ascii="Times New Roman"/>
                <w:szCs w:val="21"/>
              </w:rPr>
            </w:pPr>
            <w:r>
              <w:rPr>
                <w:rFonts w:hint="eastAsia" w:ascii="Times New Roman"/>
                <w:szCs w:val="21"/>
              </w:rPr>
              <w:t>致：</w:t>
            </w:r>
            <w:r>
              <w:rPr>
                <w:rFonts w:hint="eastAsia" w:ascii="Times New Roman"/>
                <w:szCs w:val="21"/>
                <w:u w:val="single"/>
              </w:rPr>
              <w:t>　　　　　　 　　</w:t>
            </w:r>
            <w:r>
              <w:rPr>
                <w:rFonts w:hint="eastAsia" w:ascii="Times New Roman"/>
                <w:szCs w:val="21"/>
              </w:rPr>
              <w:t>（项目监理机构）</w:t>
            </w:r>
          </w:p>
          <w:p>
            <w:pPr>
              <w:spacing w:line="360" w:lineRule="exact"/>
              <w:ind w:firstLine="420" w:firstLineChars="200"/>
              <w:jc w:val="left"/>
              <w:rPr>
                <w:rFonts w:hint="eastAsia" w:ascii="Times New Roman"/>
                <w:szCs w:val="21"/>
              </w:rPr>
            </w:pPr>
            <w:r>
              <w:rPr>
                <w:rFonts w:hint="eastAsia" w:ascii="Times New Roman"/>
                <w:szCs w:val="21"/>
              </w:rPr>
              <w:t>我方已完成</w:t>
            </w:r>
            <w:r>
              <w:rPr>
                <w:rFonts w:hint="eastAsia" w:ascii="Times New Roman"/>
                <w:szCs w:val="21"/>
                <w:u w:val="single"/>
              </w:rPr>
              <w:t xml:space="preserve">                                   </w:t>
            </w:r>
            <w:r>
              <w:rPr>
                <w:rFonts w:hint="eastAsia" w:ascii="Times New Roman"/>
                <w:szCs w:val="21"/>
              </w:rPr>
              <w:t>工作，经自检合格，请予以验收。</w:t>
            </w:r>
          </w:p>
          <w:p>
            <w:pPr>
              <w:spacing w:line="360" w:lineRule="exact"/>
              <w:ind w:firstLine="420" w:firstLineChars="200"/>
              <w:jc w:val="left"/>
              <w:rPr>
                <w:rFonts w:hint="eastAsia" w:ascii="Times New Roman"/>
                <w:szCs w:val="21"/>
              </w:rPr>
            </w:pPr>
            <w:r>
              <w:rPr>
                <w:rFonts w:hint="eastAsia" w:ascii="Times New Roman"/>
                <w:szCs w:val="21"/>
              </w:rPr>
              <w:t>附件：</w:t>
            </w:r>
          </w:p>
          <w:p>
            <w:pPr>
              <w:numPr>
                <w:ilvl w:val="0"/>
                <w:numId w:val="14"/>
              </w:numPr>
              <w:spacing w:line="360" w:lineRule="exact"/>
              <w:ind w:hanging="420"/>
              <w:jc w:val="left"/>
              <w:rPr>
                <w:rFonts w:hint="eastAsia" w:ascii="Times New Roman"/>
                <w:szCs w:val="21"/>
              </w:rPr>
            </w:pPr>
            <w:r>
              <w:rPr>
                <w:rFonts w:hint="eastAsia" w:ascii="Times New Roman"/>
                <w:szCs w:val="21"/>
              </w:rPr>
              <w:t xml:space="preserve"> 隐蔽工程质量检验资料</w:t>
            </w:r>
          </w:p>
          <w:p>
            <w:pPr>
              <w:numPr>
                <w:ilvl w:val="0"/>
                <w:numId w:val="14"/>
              </w:numPr>
              <w:spacing w:line="360" w:lineRule="exact"/>
              <w:ind w:hanging="420"/>
              <w:jc w:val="left"/>
              <w:rPr>
                <w:rFonts w:hint="eastAsia" w:ascii="Times New Roman"/>
                <w:szCs w:val="21"/>
              </w:rPr>
            </w:pPr>
            <w:r>
              <w:rPr>
                <w:rFonts w:hint="eastAsia" w:ascii="Times New Roman"/>
                <w:szCs w:val="21"/>
              </w:rPr>
              <w:t xml:space="preserve"> 检验批质量检验资料</w:t>
            </w:r>
          </w:p>
          <w:p>
            <w:pPr>
              <w:numPr>
                <w:ilvl w:val="0"/>
                <w:numId w:val="14"/>
              </w:numPr>
              <w:spacing w:line="360" w:lineRule="exact"/>
              <w:ind w:hanging="420"/>
              <w:jc w:val="left"/>
              <w:rPr>
                <w:rFonts w:hint="eastAsia" w:ascii="Times New Roman"/>
                <w:szCs w:val="21"/>
              </w:rPr>
            </w:pPr>
            <w:r>
              <w:rPr>
                <w:rFonts w:hint="eastAsia" w:ascii="Times New Roman"/>
                <w:szCs w:val="21"/>
              </w:rPr>
              <w:t xml:space="preserve"> 分项工程质量检验资料</w:t>
            </w:r>
          </w:p>
          <w:p>
            <w:pPr>
              <w:numPr>
                <w:ilvl w:val="0"/>
                <w:numId w:val="14"/>
              </w:numPr>
              <w:spacing w:line="360" w:lineRule="exact"/>
              <w:ind w:hanging="420"/>
              <w:jc w:val="left"/>
              <w:rPr>
                <w:rFonts w:hint="eastAsia" w:ascii="Times New Roman"/>
                <w:szCs w:val="21"/>
              </w:rPr>
            </w:pPr>
            <w:r>
              <w:rPr>
                <w:rFonts w:hint="eastAsia" w:ascii="Times New Roman"/>
                <w:szCs w:val="21"/>
              </w:rPr>
              <w:t xml:space="preserve"> 测量放线资料</w:t>
            </w:r>
          </w:p>
          <w:p>
            <w:pPr>
              <w:spacing w:line="420" w:lineRule="exact"/>
              <w:rPr>
                <w:rFonts w:hint="eastAsia" w:ascii="Times New Roman"/>
                <w:szCs w:val="21"/>
                <w:u w:val="single"/>
              </w:rPr>
            </w:pPr>
            <w:r>
              <w:rPr>
                <w:rFonts w:hint="eastAsia" w:ascii="Times New Roman"/>
                <w:szCs w:val="21"/>
              </w:rPr>
              <w:t xml:space="preserve">                            </w:t>
            </w:r>
            <w:r>
              <w:rPr>
                <w:rFonts w:ascii="Times New Roman"/>
                <w:szCs w:val="21"/>
              </w:rPr>
              <w:t> </w:t>
            </w:r>
            <w:r>
              <w:rPr>
                <w:rFonts w:hint="eastAsia" w:ascii="Times New Roman"/>
                <w:szCs w:val="21"/>
              </w:rPr>
              <w:t xml:space="preserve">              施工项目经理部（章）：</w:t>
            </w:r>
            <w:r>
              <w:rPr>
                <w:rFonts w:hint="eastAsia" w:ascii="Times New Roman"/>
                <w:szCs w:val="21"/>
                <w:u w:val="single"/>
              </w:rPr>
              <w:t xml:space="preserve">　　　　       </w:t>
            </w:r>
          </w:p>
          <w:p>
            <w:pPr>
              <w:spacing w:line="420" w:lineRule="exact"/>
              <w:ind w:firstLine="482"/>
              <w:jc w:val="left"/>
              <w:rPr>
                <w:rFonts w:hint="eastAsia" w:ascii="Times New Roman"/>
                <w:szCs w:val="21"/>
                <w:u w:val="single"/>
              </w:rPr>
            </w:pPr>
            <w:r>
              <w:rPr>
                <w:rFonts w:hint="eastAsia" w:ascii="Times New Roman"/>
                <w:szCs w:val="21"/>
              </w:rPr>
              <w:t>　                                    项目经理（签字）：</w:t>
            </w:r>
            <w:r>
              <w:rPr>
                <w:rFonts w:hint="eastAsia" w:ascii="Times New Roman"/>
                <w:szCs w:val="21"/>
                <w:u w:val="single"/>
              </w:rPr>
              <w:t>　　　　　       　</w:t>
            </w:r>
          </w:p>
          <w:p>
            <w:pPr>
              <w:spacing w:line="420" w:lineRule="exact"/>
              <w:ind w:right="-124" w:firstLine="482"/>
              <w:rPr>
                <w:rFonts w:ascii="Times New Roman"/>
                <w:szCs w:val="21"/>
              </w:rPr>
            </w:pPr>
            <w:r>
              <w:rPr>
                <w:rFonts w:hint="eastAsia" w:ascii="Times New Roman"/>
                <w:szCs w:val="21"/>
              </w:rPr>
              <w:t xml:space="preserve">                                                        </w:t>
            </w: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1893" w:type="dxa"/>
            <w:tcBorders>
              <w:top w:val="single" w:color="auto" w:sz="4" w:space="0"/>
              <w:left w:val="single" w:color="auto" w:sz="8" w:space="0"/>
              <w:bottom w:val="single" w:color="auto" w:sz="4" w:space="0"/>
              <w:right w:val="single" w:color="auto" w:sz="4" w:space="0"/>
            </w:tcBorders>
            <w:noWrap w:val="0"/>
            <w:vAlign w:val="center"/>
          </w:tcPr>
          <w:p>
            <w:pPr>
              <w:ind w:left="-105" w:leftChars="-50" w:right="-105" w:rightChars="-50"/>
              <w:jc w:val="center"/>
              <w:rPr>
                <w:rFonts w:ascii="Times New Roman"/>
                <w:spacing w:val="-8"/>
                <w:szCs w:val="21"/>
              </w:rPr>
            </w:pPr>
            <w:r>
              <w:rPr>
                <w:rFonts w:hint="eastAsia" w:ascii="Times New Roman"/>
                <w:spacing w:val="-8"/>
                <w:szCs w:val="21"/>
              </w:rPr>
              <w:t>项目监理机构</w:t>
            </w:r>
          </w:p>
          <w:p>
            <w:pPr>
              <w:ind w:left="-105" w:leftChars="-50" w:right="-105" w:rightChars="-50"/>
              <w:jc w:val="center"/>
              <w:rPr>
                <w:rFonts w:ascii="Times New Roman"/>
                <w:szCs w:val="21"/>
              </w:rPr>
            </w:pPr>
            <w:r>
              <w:rPr>
                <w:rFonts w:hint="eastAsia" w:ascii="Times New Roman"/>
                <w:spacing w:val="-8"/>
                <w:szCs w:val="21"/>
              </w:rPr>
              <w:t>签收人姓名及时间</w:t>
            </w:r>
          </w:p>
        </w:tc>
        <w:tc>
          <w:tcPr>
            <w:tcW w:w="2184"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rFonts w:ascii="Times New Roman"/>
                <w:szCs w:val="21"/>
              </w:rPr>
            </w:pPr>
          </w:p>
        </w:tc>
        <w:tc>
          <w:tcPr>
            <w:tcW w:w="198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rFonts w:ascii="Times New Roman"/>
                <w:szCs w:val="21"/>
              </w:rPr>
            </w:pPr>
            <w:r>
              <w:rPr>
                <w:rFonts w:hint="eastAsia" w:ascii="Times New Roman"/>
                <w:szCs w:val="21"/>
              </w:rPr>
              <w:t>施工项目经理部</w:t>
            </w:r>
          </w:p>
          <w:p>
            <w:pPr>
              <w:ind w:left="-105" w:leftChars="-50" w:right="-105" w:rightChars="-50"/>
              <w:jc w:val="center"/>
              <w:rPr>
                <w:rFonts w:ascii="Times New Roman"/>
                <w:szCs w:val="21"/>
              </w:rPr>
            </w:pPr>
            <w:r>
              <w:rPr>
                <w:rFonts w:hint="eastAsia" w:ascii="Times New Roman"/>
                <w:szCs w:val="21"/>
              </w:rPr>
              <w:t>签收人姓名及时间</w:t>
            </w:r>
          </w:p>
        </w:tc>
        <w:tc>
          <w:tcPr>
            <w:tcW w:w="2656" w:type="dxa"/>
            <w:tcBorders>
              <w:top w:val="single" w:color="auto" w:sz="4" w:space="0"/>
              <w:left w:val="single" w:color="auto" w:sz="4" w:space="0"/>
              <w:bottom w:val="single" w:color="auto" w:sz="4" w:space="0"/>
              <w:right w:val="single" w:color="auto" w:sz="8" w:space="0"/>
            </w:tcBorders>
            <w:noWrap w:val="0"/>
            <w:vAlign w:val="center"/>
          </w:tcPr>
          <w:p>
            <w:pPr>
              <w:ind w:left="-105" w:leftChars="-50" w:right="-105" w:rightChars="-50"/>
              <w:jc w:val="center"/>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28" w:hRule="atLeast"/>
        </w:trPr>
        <w:tc>
          <w:tcPr>
            <w:tcW w:w="8718" w:type="dxa"/>
            <w:gridSpan w:val="4"/>
            <w:tcBorders>
              <w:top w:val="single" w:color="auto" w:sz="4" w:space="0"/>
              <w:left w:val="single" w:color="auto" w:sz="8" w:space="0"/>
              <w:bottom w:val="single" w:color="auto" w:sz="4" w:space="0"/>
              <w:right w:val="single" w:color="auto" w:sz="8" w:space="0"/>
            </w:tcBorders>
            <w:noWrap w:val="0"/>
            <w:vAlign w:val="center"/>
          </w:tcPr>
          <w:p>
            <w:pPr>
              <w:spacing w:line="360" w:lineRule="auto"/>
              <w:rPr>
                <w:rFonts w:ascii="Times New Roman"/>
                <w:szCs w:val="21"/>
              </w:rPr>
            </w:pPr>
            <w:r>
              <w:rPr>
                <w:rFonts w:hint="eastAsia" w:ascii="Times New Roman"/>
                <w:szCs w:val="21"/>
              </w:rPr>
              <w:t>验收情况：</w:t>
            </w:r>
          </w:p>
          <w:p>
            <w:pPr>
              <w:spacing w:line="360" w:lineRule="auto"/>
              <w:ind w:firstLine="420" w:firstLineChars="200"/>
              <w:rPr>
                <w:rFonts w:hint="eastAsia" w:ascii="Times New Roman"/>
                <w:szCs w:val="21"/>
              </w:rPr>
            </w:pPr>
            <w:r>
              <w:rPr>
                <w:rFonts w:hint="eastAsia" w:ascii="Times New Roman"/>
                <w:szCs w:val="21"/>
              </w:rPr>
              <w:t>收到施工单位报验资料共</w:t>
            </w:r>
            <w:r>
              <w:rPr>
                <w:rFonts w:hint="eastAsia" w:ascii="Times New Roman"/>
                <w:szCs w:val="21"/>
                <w:u w:val="single"/>
              </w:rPr>
              <w:t xml:space="preserve">     </w:t>
            </w:r>
            <w:r>
              <w:rPr>
                <w:rFonts w:hint="eastAsia" w:ascii="Times New Roman"/>
                <w:szCs w:val="21"/>
              </w:rPr>
              <w:t>页，该项报验内容系第</w:t>
            </w:r>
            <w:r>
              <w:rPr>
                <w:rFonts w:hint="eastAsia" w:ascii="Times New Roman"/>
                <w:szCs w:val="21"/>
                <w:u w:val="single"/>
              </w:rPr>
              <w:t xml:space="preserve">    </w:t>
            </w:r>
            <w:r>
              <w:rPr>
                <w:rFonts w:hint="eastAsia" w:ascii="Times New Roman"/>
                <w:szCs w:val="21"/>
              </w:rPr>
              <w:t>次报验。</w:t>
            </w:r>
          </w:p>
          <w:p>
            <w:pPr>
              <w:rPr>
                <w:rFonts w:hint="eastAsia" w:ascii="Times New Roman"/>
                <w:szCs w:val="21"/>
              </w:rPr>
            </w:pPr>
          </w:p>
          <w:p>
            <w:pPr>
              <w:rPr>
                <w:rFonts w:hint="eastAsia" w:ascii="Times New Roman"/>
                <w:szCs w:val="21"/>
              </w:rPr>
            </w:pPr>
          </w:p>
          <w:p>
            <w:pPr>
              <w:rPr>
                <w:rFonts w:hint="eastAsia" w:ascii="Times New Roman"/>
                <w:szCs w:val="21"/>
              </w:rPr>
            </w:pPr>
            <w:r>
              <w:rPr>
                <w:rFonts w:hint="eastAsia" w:ascii="Times New Roman"/>
                <w:szCs w:val="21"/>
              </w:rPr>
              <w:t xml:space="preserve">附件：□ 抽查记录  </w:t>
            </w:r>
          </w:p>
          <w:p>
            <w:pPr>
              <w:rPr>
                <w:rFonts w:hint="eastAsia" w:ascii="Times New Roman"/>
                <w:szCs w:val="21"/>
              </w:rPr>
            </w:pPr>
          </w:p>
          <w:p>
            <w:pPr>
              <w:rPr>
                <w:rFonts w:hint="eastAsia" w:ascii="Times New Roman"/>
                <w:szCs w:val="21"/>
                <w:u w:val="single"/>
              </w:rPr>
            </w:pPr>
            <w:r>
              <w:rPr>
                <w:rFonts w:hint="eastAsia" w:ascii="Times New Roman"/>
                <w:szCs w:val="21"/>
              </w:rPr>
              <w:t xml:space="preserve">                          </w:t>
            </w:r>
          </w:p>
          <w:p>
            <w:pPr>
              <w:spacing w:line="360" w:lineRule="auto"/>
              <w:ind w:right="-124"/>
              <w:rPr>
                <w:rFonts w:hint="eastAsia" w:ascii="Times New Roman"/>
                <w:szCs w:val="21"/>
              </w:rPr>
            </w:pPr>
            <w:r>
              <w:rPr>
                <w:rFonts w:ascii="Times New Roman"/>
                <w:szCs w:val="21"/>
              </w:rPr>
              <w:t> </w:t>
            </w:r>
            <w:r>
              <w:rPr>
                <w:rFonts w:hint="eastAsia" w:ascii="Times New Roman"/>
                <w:szCs w:val="21"/>
              </w:rPr>
              <w:t xml:space="preserve">                                                       检查人（签字）：</w:t>
            </w:r>
            <w:r>
              <w:rPr>
                <w:rFonts w:hint="eastAsia" w:ascii="Times New Roman"/>
                <w:szCs w:val="21"/>
                <w:u w:val="single"/>
              </w:rPr>
              <w:t xml:space="preserve">          </w:t>
            </w:r>
            <w:r>
              <w:rPr>
                <w:rFonts w:hint="eastAsia" w:ascii="Times New Roman"/>
                <w:szCs w:val="21"/>
              </w:rPr>
              <w:t xml:space="preserve">  </w:t>
            </w:r>
          </w:p>
          <w:p>
            <w:pPr>
              <w:spacing w:line="360" w:lineRule="auto"/>
              <w:ind w:right="-124" w:firstLine="3360" w:firstLineChars="1600"/>
              <w:jc w:val="right"/>
              <w:rPr>
                <w:rFonts w:ascii="Times New Roman"/>
                <w:szCs w:val="21"/>
              </w:rPr>
            </w:pP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 xml:space="preserve">日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12" w:hRule="atLeast"/>
        </w:trPr>
        <w:tc>
          <w:tcPr>
            <w:tcW w:w="8718" w:type="dxa"/>
            <w:gridSpan w:val="4"/>
            <w:tcBorders>
              <w:top w:val="single" w:color="auto" w:sz="4" w:space="0"/>
              <w:left w:val="single" w:color="auto" w:sz="8" w:space="0"/>
              <w:bottom w:val="single" w:color="auto" w:sz="4" w:space="0"/>
              <w:right w:val="single" w:color="auto" w:sz="8" w:space="0"/>
            </w:tcBorders>
            <w:noWrap w:val="0"/>
            <w:vAlign w:val="top"/>
          </w:tcPr>
          <w:p>
            <w:pPr>
              <w:spacing w:line="360" w:lineRule="exact"/>
              <w:rPr>
                <w:rFonts w:ascii="Times New Roman"/>
                <w:szCs w:val="21"/>
              </w:rPr>
            </w:pPr>
            <w:r>
              <w:rPr>
                <w:rFonts w:hint="eastAsia" w:ascii="Times New Roman"/>
                <w:szCs w:val="21"/>
              </w:rPr>
              <w:t>验收意见：</w:t>
            </w:r>
          </w:p>
          <w:p>
            <w:pPr>
              <w:ind w:left="840"/>
              <w:rPr>
                <w:rFonts w:hint="eastAsia" w:ascii="Times New Roman"/>
                <w:szCs w:val="21"/>
              </w:rPr>
            </w:pPr>
          </w:p>
          <w:p>
            <w:pPr>
              <w:spacing w:line="360" w:lineRule="exact"/>
              <w:rPr>
                <w:rFonts w:hint="eastAsia" w:ascii="Times New Roman"/>
                <w:szCs w:val="21"/>
              </w:rPr>
            </w:pPr>
            <w:r>
              <w:rPr>
                <w:rFonts w:hint="eastAsia" w:ascii="Times New Roman"/>
                <w:szCs w:val="21"/>
              </w:rPr>
              <w:t xml:space="preserve">                   </w:t>
            </w:r>
          </w:p>
          <w:p>
            <w:pPr>
              <w:spacing w:line="420" w:lineRule="exact"/>
              <w:ind w:firstLine="3570" w:firstLineChars="1700"/>
              <w:rPr>
                <w:rFonts w:hint="eastAsia" w:ascii="Times New Roman"/>
                <w:szCs w:val="21"/>
              </w:rPr>
            </w:pPr>
            <w:r>
              <w:rPr>
                <w:rFonts w:hint="eastAsia" w:ascii="Times New Roman"/>
                <w:szCs w:val="21"/>
              </w:rPr>
              <w:t xml:space="preserve">        项目监理机构（章）：</w:t>
            </w:r>
            <w:r>
              <w:rPr>
                <w:rFonts w:hint="eastAsia" w:ascii="Times New Roman"/>
                <w:szCs w:val="21"/>
                <w:u w:val="single"/>
              </w:rPr>
              <w:t xml:space="preserve">                   </w:t>
            </w:r>
          </w:p>
          <w:p>
            <w:pPr>
              <w:spacing w:line="420" w:lineRule="exact"/>
              <w:rPr>
                <w:rFonts w:hint="eastAsia" w:ascii="Times New Roman"/>
                <w:szCs w:val="21"/>
              </w:rPr>
            </w:pPr>
            <w:r>
              <w:rPr>
                <w:rFonts w:hint="eastAsia" w:ascii="Times New Roman"/>
                <w:szCs w:val="21"/>
              </w:rPr>
              <w:t xml:space="preserve">                                          专业监理工程师（签字）：</w:t>
            </w:r>
            <w:r>
              <w:rPr>
                <w:rFonts w:hint="eastAsia" w:ascii="Times New Roman"/>
                <w:szCs w:val="21"/>
                <w:u w:val="single"/>
              </w:rPr>
              <w:t xml:space="preserve">               </w:t>
            </w:r>
          </w:p>
          <w:p>
            <w:pPr>
              <w:spacing w:line="420" w:lineRule="exact"/>
              <w:rPr>
                <w:rFonts w:ascii="Times New Roman"/>
                <w:szCs w:val="21"/>
                <w:u w:val="single"/>
              </w:rPr>
            </w:pPr>
            <w:r>
              <w:rPr>
                <w:rFonts w:hint="eastAsia" w:ascii="Times New Roman"/>
                <w:szCs w:val="21"/>
              </w:rPr>
              <w:t xml:space="preserve">                                                           </w:t>
            </w: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66" w:hRule="atLeast"/>
        </w:trPr>
        <w:tc>
          <w:tcPr>
            <w:tcW w:w="8718" w:type="dxa"/>
            <w:gridSpan w:val="4"/>
            <w:tcBorders>
              <w:top w:val="single" w:color="auto" w:sz="4" w:space="0"/>
              <w:left w:val="single" w:color="auto" w:sz="8" w:space="0"/>
              <w:bottom w:val="single" w:color="auto" w:sz="8" w:space="0"/>
              <w:right w:val="single" w:color="auto" w:sz="8" w:space="0"/>
            </w:tcBorders>
            <w:noWrap w:val="0"/>
            <w:vAlign w:val="center"/>
          </w:tcPr>
          <w:p>
            <w:pPr>
              <w:rPr>
                <w:szCs w:val="21"/>
              </w:rPr>
            </w:pPr>
            <w:r>
              <w:rPr>
                <w:rFonts w:hint="eastAsia" w:ascii="Times New Roman"/>
                <w:szCs w:val="21"/>
              </w:rPr>
              <w:t>注：</w:t>
            </w:r>
            <w:r>
              <w:rPr>
                <w:szCs w:val="21"/>
              </w:rPr>
              <w:t>1</w:t>
            </w:r>
            <w:r>
              <w:rPr>
                <w:rFonts w:hint="eastAsia"/>
                <w:szCs w:val="21"/>
              </w:rPr>
              <w:t>、本报验表分为隐蔽工程质量报验（</w:t>
            </w:r>
            <w:r>
              <w:rPr>
                <w:szCs w:val="21"/>
              </w:rPr>
              <w:t>B.1.41</w:t>
            </w:r>
            <w:r>
              <w:rPr>
                <w:rFonts w:hint="eastAsia"/>
                <w:szCs w:val="21"/>
              </w:rPr>
              <w:t>）、检验批质量报验（</w:t>
            </w:r>
            <w:r>
              <w:rPr>
                <w:szCs w:val="21"/>
              </w:rPr>
              <w:t>B.1.42</w:t>
            </w:r>
            <w:r>
              <w:rPr>
                <w:rFonts w:hint="eastAsia"/>
                <w:szCs w:val="21"/>
              </w:rPr>
              <w:t>）、分项工程质量报验（</w:t>
            </w:r>
            <w:r>
              <w:rPr>
                <w:szCs w:val="21"/>
              </w:rPr>
              <w:t>B.1.43</w:t>
            </w:r>
            <w:r>
              <w:rPr>
                <w:rFonts w:hint="eastAsia"/>
                <w:szCs w:val="21"/>
              </w:rPr>
              <w:t>）、测量放线报验（</w:t>
            </w:r>
            <w:r>
              <w:rPr>
                <w:szCs w:val="21"/>
              </w:rPr>
              <w:t>B.1.44</w:t>
            </w:r>
            <w:r>
              <w:rPr>
                <w:rFonts w:hint="eastAsia"/>
                <w:szCs w:val="21"/>
              </w:rPr>
              <w:t>）及其他报验（</w:t>
            </w:r>
            <w:r>
              <w:rPr>
                <w:szCs w:val="21"/>
              </w:rPr>
              <w:t xml:space="preserve">B.1.4 </w:t>
            </w:r>
            <w:r>
              <w:rPr>
                <w:rFonts w:hint="eastAsia"/>
                <w:szCs w:val="21"/>
              </w:rPr>
              <w:t>）。</w:t>
            </w:r>
          </w:p>
          <w:p>
            <w:pPr>
              <w:ind w:firstLine="420" w:firstLineChars="200"/>
              <w:rPr>
                <w:szCs w:val="21"/>
              </w:rPr>
            </w:pPr>
            <w:r>
              <w:rPr>
                <w:szCs w:val="21"/>
              </w:rPr>
              <w:t>2</w:t>
            </w:r>
            <w:r>
              <w:rPr>
                <w:rFonts w:hint="eastAsia"/>
                <w:szCs w:val="21"/>
              </w:rPr>
              <w:t>、本表一式二份，项目监理机构、施工单位各一份。</w:t>
            </w:r>
          </w:p>
        </w:tc>
      </w:tr>
    </w:tbl>
    <w:p>
      <w:pPr>
        <w:rPr>
          <w:rFonts w:ascii="Times New Roman" w:eastAsia="隶书"/>
        </w:rPr>
      </w:pPr>
      <w:r>
        <w:rPr>
          <w:rFonts w:hint="eastAsia" w:ascii="Times New Roman" w:eastAsia="隶书"/>
        </w:rPr>
        <w:t>第六版表                                              江苏省住房和城乡建设厅监制</w:t>
      </w:r>
    </w:p>
    <w:p>
      <w:pPr>
        <w:widowControl/>
        <w:jc w:val="left"/>
        <w:rPr>
          <w:rFonts w:ascii="Times New Roman" w:eastAsia="黑体"/>
          <w:kern w:val="44"/>
          <w:sz w:val="44"/>
          <w:szCs w:val="28"/>
          <w14:shadow w14:blurRad="50800" w14:dist="38100" w14:dir="2700000" w14:sx="100000" w14:sy="100000" w14:kx="0" w14:ky="0" w14:algn="tl">
            <w14:srgbClr w14:val="000000">
              <w14:alpha w14:val="60000"/>
            </w14:srgbClr>
          </w14:shadow>
        </w:rPr>
        <w:sectPr>
          <w:pgSz w:w="11906" w:h="16838"/>
          <w:pgMar w:top="1021" w:right="1701" w:bottom="1701" w:left="1701" w:header="851" w:footer="992" w:gutter="0"/>
          <w:cols w:space="720" w:num="1"/>
          <w:docGrid w:type="lines" w:linePitch="312" w:charSpace="0"/>
        </w:sectPr>
      </w:pPr>
    </w:p>
    <w:p>
      <w:pPr>
        <w:spacing w:line="380" w:lineRule="exact"/>
        <w:jc w:val="right"/>
        <w:rPr>
          <w:rFonts w:hint="eastAsia" w:eastAsia="黑体"/>
          <w:b/>
          <w:sz w:val="28"/>
          <w:szCs w:val="28"/>
          <w14:shadow w14:blurRad="50800" w14:dist="38100" w14:dir="2700000" w14:sx="100000" w14:sy="100000" w14:kx="0" w14:ky="0" w14:algn="tl">
            <w14:srgbClr w14:val="000000">
              <w14:alpha w14:val="60000"/>
            </w14:srgbClr>
          </w14:shadow>
        </w:rPr>
      </w:pPr>
      <w:r>
        <w:rPr>
          <w:rFonts w:eastAsia="黑体"/>
          <w:b/>
          <w:sz w:val="28"/>
          <w:szCs w:val="28"/>
          <w14:shadow w14:blurRad="50800" w14:dist="38100" w14:dir="2700000" w14:sx="100000" w14:sy="100000" w14:kx="0" w14:ky="0" w14:algn="tl">
            <w14:srgbClr w14:val="000000">
              <w14:alpha w14:val="60000"/>
            </w14:srgbClr>
          </w14:shadow>
        </w:rPr>
        <w:t>B.1.5</w:t>
      </w:r>
    </w:p>
    <w:p>
      <w:pPr>
        <w:spacing w:before="312" w:beforeLines="100" w:after="312" w:afterLines="100" w:line="300" w:lineRule="exact"/>
        <w:jc w:val="center"/>
        <w:rPr>
          <w:rFonts w:eastAsia="黑体"/>
          <w:sz w:val="44"/>
          <w14:shadow w14:blurRad="50800" w14:dist="38100" w14:dir="2700000" w14:sx="100000" w14:sy="100000" w14:kx="0" w14:ky="0" w14:algn="tl">
            <w14:srgbClr w14:val="000000">
              <w14:alpha w14:val="60000"/>
            </w14:srgbClr>
          </w14:shadow>
        </w:rPr>
      </w:pPr>
      <w:r>
        <w:rPr>
          <w:rFonts w:hint="eastAsia" w:eastAsia="黑体"/>
          <w:sz w:val="44"/>
          <w14:shadow w14:blurRad="50800" w14:dist="38100" w14:dir="2700000" w14:sx="100000" w14:sy="100000" w14:kx="0" w14:ky="0" w14:algn="tl">
            <w14:srgbClr w14:val="000000">
              <w14:alpha w14:val="60000"/>
            </w14:srgbClr>
          </w14:shadow>
        </w:rPr>
        <w:t>混凝土浇筑报审表</w:t>
      </w:r>
    </w:p>
    <w:p>
      <w:pPr>
        <w:spacing w:after="156" w:afterLines="50" w:line="420" w:lineRule="exact"/>
        <w:ind w:left="21" w:hanging="21" w:hangingChars="10"/>
        <w:rPr>
          <w:szCs w:val="21"/>
        </w:rPr>
      </w:pPr>
      <w:r>
        <w:rPr>
          <w:rFonts w:hint="eastAsia"/>
          <w:szCs w:val="21"/>
        </w:rPr>
        <w:t>工程名称：</w:t>
      </w:r>
      <w:r>
        <w:rPr>
          <w:szCs w:val="21"/>
          <w:u w:val="single"/>
        </w:rPr>
        <w:t xml:space="preserve">                       </w:t>
      </w:r>
      <w:r>
        <w:rPr>
          <w:rFonts w:hint="eastAsia"/>
          <w:szCs w:val="21"/>
        </w:rPr>
        <w:t>　　</w:t>
      </w:r>
      <w:r>
        <w:rPr>
          <w:szCs w:val="21"/>
        </w:rPr>
        <w:t xml:space="preserve">          </w:t>
      </w:r>
      <w:r>
        <w:rPr>
          <w:rFonts w:hint="eastAsia"/>
          <w:szCs w:val="21"/>
        </w:rPr>
        <w:t>　　</w:t>
      </w:r>
      <w:r>
        <w:rPr>
          <w:szCs w:val="21"/>
        </w:rPr>
        <w:t xml:space="preserve">         </w:t>
      </w:r>
      <w:r>
        <w:rPr>
          <w:rFonts w:hint="eastAsia"/>
          <w:szCs w:val="21"/>
        </w:rPr>
        <w:t>　编号：</w:t>
      </w:r>
      <w:r>
        <w:rPr>
          <w:szCs w:val="21"/>
        </w:rPr>
        <w:t>B.1.5</w:t>
      </w:r>
      <w:r>
        <w:rPr>
          <w:rFonts w:hint="eastAsia"/>
          <w:szCs w:val="21"/>
        </w:rPr>
        <w:t>－</w:t>
      </w:r>
      <w:r>
        <w:rPr>
          <w:rFonts w:hint="eastAsia"/>
          <w:szCs w:val="21"/>
          <w:u w:val="single"/>
        </w:rPr>
        <w:t>　　　</w:t>
      </w: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2859"/>
        <w:gridCol w:w="1798"/>
        <w:gridCol w:w="254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63" w:hRule="atLeast"/>
          <w:jc w:val="center"/>
        </w:trPr>
        <w:tc>
          <w:tcPr>
            <w:tcW w:w="8748" w:type="dxa"/>
            <w:gridSpan w:val="4"/>
            <w:tcBorders>
              <w:top w:val="single" w:color="auto" w:sz="8" w:space="0"/>
              <w:left w:val="single" w:color="auto" w:sz="8" w:space="0"/>
              <w:bottom w:val="single" w:color="auto" w:sz="4" w:space="0"/>
              <w:right w:val="single" w:color="auto" w:sz="8" w:space="0"/>
            </w:tcBorders>
            <w:noWrap w:val="0"/>
            <w:vAlign w:val="top"/>
          </w:tcPr>
          <w:p>
            <w:pPr>
              <w:spacing w:before="156" w:beforeLines="50" w:after="156" w:afterLines="50" w:line="420" w:lineRule="exact"/>
              <w:rPr>
                <w:rFonts w:ascii="Times New Roman"/>
                <w:szCs w:val="21"/>
                <w:u w:val="single"/>
              </w:rPr>
            </w:pPr>
            <w:r>
              <w:rPr>
                <w:rFonts w:hint="eastAsia" w:ascii="Times New Roman"/>
                <w:szCs w:val="21"/>
              </w:rPr>
              <w:t>致：</w:t>
            </w:r>
            <w:r>
              <w:rPr>
                <w:rFonts w:hint="eastAsia" w:ascii="Times New Roman"/>
                <w:szCs w:val="21"/>
                <w:u w:val="single"/>
              </w:rPr>
              <w:t>　　　　　　　       　</w:t>
            </w:r>
            <w:r>
              <w:rPr>
                <w:rFonts w:hint="eastAsia" w:ascii="Times New Roman"/>
                <w:szCs w:val="21"/>
              </w:rPr>
              <w:t>（项目监理机构）</w:t>
            </w:r>
          </w:p>
          <w:p>
            <w:pPr>
              <w:spacing w:line="360" w:lineRule="auto"/>
              <w:ind w:firstLine="420" w:firstLineChars="200"/>
              <w:rPr>
                <w:rFonts w:hint="eastAsia" w:ascii="Times New Roman"/>
                <w:szCs w:val="21"/>
              </w:rPr>
            </w:pPr>
            <w:r>
              <w:rPr>
                <w:rFonts w:hint="eastAsia" w:ascii="Times New Roman"/>
                <w:szCs w:val="21"/>
              </w:rPr>
              <w:t>我方已完成</w:t>
            </w:r>
            <w:r>
              <w:rPr>
                <w:rFonts w:hint="eastAsia" w:ascii="Times New Roman"/>
                <w:szCs w:val="21"/>
                <w:u w:val="single"/>
              </w:rPr>
              <w:t>　　　　　　　　　　　　　　　　　</w:t>
            </w:r>
            <w:r>
              <w:rPr>
                <w:rFonts w:hint="eastAsia" w:ascii="Times New Roman"/>
                <w:szCs w:val="21"/>
              </w:rPr>
              <w:t>部位的钢筋、模板、水电安装和预埋件等工作，并已经项目监理机构验收合格。混凝土浇筑准备工作已就绪，申请于</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p>
            <w:pPr>
              <w:spacing w:line="360" w:lineRule="auto"/>
              <w:rPr>
                <w:rFonts w:hint="eastAsia" w:ascii="Times New Roman"/>
                <w:szCs w:val="21"/>
              </w:rPr>
            </w:pPr>
            <w:r>
              <w:rPr>
                <w:rFonts w:hint="eastAsia" w:ascii="Times New Roman"/>
                <w:szCs w:val="21"/>
                <w:u w:val="single"/>
              </w:rPr>
              <w:t xml:space="preserve">　   </w:t>
            </w:r>
            <w:r>
              <w:rPr>
                <w:rFonts w:hint="eastAsia" w:ascii="Times New Roman"/>
                <w:szCs w:val="21"/>
              </w:rPr>
              <w:t>时至</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r>
              <w:rPr>
                <w:rFonts w:hint="eastAsia" w:ascii="Times New Roman"/>
                <w:szCs w:val="21"/>
                <w:u w:val="single"/>
              </w:rPr>
              <w:t xml:space="preserve">　  </w:t>
            </w:r>
            <w:r>
              <w:rPr>
                <w:rFonts w:hint="eastAsia" w:ascii="Times New Roman"/>
                <w:szCs w:val="21"/>
              </w:rPr>
              <w:t>时浇筑混凝土，商品混凝土供应商为</w:t>
            </w:r>
            <w:r>
              <w:rPr>
                <w:rFonts w:hint="eastAsia" w:ascii="Times New Roman"/>
                <w:szCs w:val="21"/>
                <w:u w:val="single"/>
              </w:rPr>
              <w:t xml:space="preserve">            </w:t>
            </w:r>
            <w:r>
              <w:rPr>
                <w:rFonts w:hint="eastAsia" w:ascii="Times New Roman"/>
                <w:szCs w:val="21"/>
              </w:rPr>
              <w:t>，混凝土强度等级为</w:t>
            </w:r>
            <w:r>
              <w:rPr>
                <w:rFonts w:hint="eastAsia" w:ascii="Times New Roman"/>
                <w:szCs w:val="21"/>
                <w:u w:val="single"/>
              </w:rPr>
              <w:t xml:space="preserve">        </w:t>
            </w:r>
            <w:r>
              <w:rPr>
                <w:rFonts w:hint="eastAsia" w:ascii="Times New Roman"/>
                <w:szCs w:val="21"/>
              </w:rPr>
              <w:t>，预计浇筑量为</w:t>
            </w:r>
            <w:r>
              <w:rPr>
                <w:rFonts w:hint="eastAsia" w:ascii="Times New Roman"/>
                <w:szCs w:val="21"/>
                <w:u w:val="single"/>
              </w:rPr>
              <w:t xml:space="preserve">            </w:t>
            </w:r>
            <w:r>
              <w:rPr>
                <w:rFonts w:hint="eastAsia" w:ascii="Times New Roman"/>
                <w:szCs w:val="21"/>
              </w:rPr>
              <w:t>，施工值班负责人为</w:t>
            </w:r>
            <w:r>
              <w:rPr>
                <w:rFonts w:hint="eastAsia" w:ascii="Times New Roman"/>
                <w:szCs w:val="21"/>
                <w:u w:val="single"/>
              </w:rPr>
              <w:t xml:space="preserve">            </w:t>
            </w:r>
            <w:r>
              <w:rPr>
                <w:rFonts w:hint="eastAsia" w:ascii="Times New Roman"/>
                <w:szCs w:val="21"/>
              </w:rPr>
              <w:t>，请予以批准。</w:t>
            </w:r>
          </w:p>
          <w:p>
            <w:pPr>
              <w:rPr>
                <w:rFonts w:hint="eastAsia" w:ascii="Times New Roman"/>
                <w:szCs w:val="21"/>
              </w:rPr>
            </w:pPr>
          </w:p>
          <w:p>
            <w:pPr>
              <w:rPr>
                <w:rFonts w:hint="eastAsia" w:ascii="Times New Roman"/>
                <w:szCs w:val="21"/>
              </w:rPr>
            </w:pPr>
          </w:p>
          <w:p>
            <w:pPr>
              <w:spacing w:line="260" w:lineRule="exact"/>
              <w:rPr>
                <w:rFonts w:hint="eastAsia" w:ascii="Times New Roman"/>
                <w:szCs w:val="21"/>
                <w:u w:val="single"/>
              </w:rPr>
            </w:pPr>
            <w:r>
              <w:rPr>
                <w:rFonts w:hint="eastAsia" w:ascii="Times New Roman"/>
                <w:szCs w:val="21"/>
              </w:rPr>
              <w:t>　　　　　　　　　　　                    施工项目经理部（章）：</w:t>
            </w:r>
            <w:r>
              <w:rPr>
                <w:rFonts w:hint="eastAsia" w:ascii="Times New Roman"/>
                <w:szCs w:val="21"/>
                <w:u w:val="single"/>
              </w:rPr>
              <w:t>　　       　　</w:t>
            </w:r>
          </w:p>
          <w:p>
            <w:pPr>
              <w:spacing w:before="120" w:after="120" w:line="260" w:lineRule="exact"/>
              <w:rPr>
                <w:rFonts w:hint="eastAsia" w:ascii="Times New Roman"/>
                <w:szCs w:val="21"/>
              </w:rPr>
            </w:pPr>
            <w:r>
              <w:rPr>
                <w:rFonts w:hint="eastAsia" w:ascii="Times New Roman"/>
                <w:szCs w:val="21"/>
              </w:rPr>
              <w:t>　　　　　　　　　                        项 目 经 理（签字）</w:t>
            </w:r>
            <w:r>
              <w:rPr>
                <w:rFonts w:hint="eastAsia" w:ascii="Times New Roman"/>
                <w:szCs w:val="21"/>
                <w:u w:val="single"/>
              </w:rPr>
              <w:t>　　　　    　　</w:t>
            </w:r>
            <w:r>
              <w:rPr>
                <w:rFonts w:hint="eastAsia" w:ascii="Times New Roman"/>
                <w:szCs w:val="21"/>
              </w:rPr>
              <w:t xml:space="preserve"> </w:t>
            </w:r>
          </w:p>
          <w:p>
            <w:pPr>
              <w:wordWrap w:val="0"/>
              <w:spacing w:before="120" w:after="120"/>
              <w:ind w:firstLine="5728" w:firstLineChars="2728"/>
              <w:jc w:val="right"/>
              <w:rPr>
                <w:rFonts w:ascii="Times New Roman"/>
                <w:szCs w:val="21"/>
                <w:u w:val="single"/>
              </w:rPr>
            </w:pP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2" w:hRule="exact"/>
          <w:jc w:val="center"/>
        </w:trPr>
        <w:tc>
          <w:tcPr>
            <w:tcW w:w="1547" w:type="dxa"/>
            <w:tcBorders>
              <w:top w:val="single" w:color="auto" w:sz="4" w:space="0"/>
              <w:left w:val="single" w:color="auto" w:sz="8" w:space="0"/>
              <w:bottom w:val="single" w:color="auto" w:sz="4" w:space="0"/>
              <w:right w:val="single" w:color="auto" w:sz="4" w:space="0"/>
            </w:tcBorders>
            <w:noWrap w:val="0"/>
            <w:vAlign w:val="center"/>
          </w:tcPr>
          <w:p>
            <w:pPr>
              <w:spacing w:line="240" w:lineRule="exact"/>
              <w:ind w:left="-105" w:leftChars="-50" w:right="-105" w:rightChars="-50"/>
              <w:jc w:val="center"/>
              <w:rPr>
                <w:rFonts w:ascii="Times New Roman"/>
                <w:szCs w:val="21"/>
              </w:rPr>
            </w:pPr>
            <w:r>
              <w:rPr>
                <w:rFonts w:hint="eastAsia" w:ascii="Times New Roman"/>
                <w:szCs w:val="21"/>
              </w:rPr>
              <w:t>项目监理机构签收人姓名及时间</w:t>
            </w:r>
          </w:p>
        </w:tc>
        <w:tc>
          <w:tcPr>
            <w:tcW w:w="2859" w:type="dxa"/>
            <w:tcBorders>
              <w:top w:val="single" w:color="auto" w:sz="4" w:space="0"/>
              <w:left w:val="single" w:color="auto" w:sz="4" w:space="0"/>
              <w:bottom w:val="single" w:color="auto" w:sz="4" w:space="0"/>
              <w:right w:val="single" w:color="auto" w:sz="4" w:space="0"/>
            </w:tcBorders>
            <w:noWrap w:val="0"/>
            <w:vAlign w:val="center"/>
          </w:tcPr>
          <w:p>
            <w:pPr>
              <w:spacing w:line="240" w:lineRule="exact"/>
              <w:ind w:left="-105" w:leftChars="-50" w:right="-105" w:rightChars="-50"/>
              <w:jc w:val="center"/>
              <w:rPr>
                <w:rFonts w:ascii="Times New Roman"/>
                <w:szCs w:val="21"/>
              </w:rPr>
            </w:pPr>
          </w:p>
        </w:tc>
        <w:tc>
          <w:tcPr>
            <w:tcW w:w="1798" w:type="dxa"/>
            <w:tcBorders>
              <w:top w:val="single" w:color="auto" w:sz="4" w:space="0"/>
              <w:left w:val="single" w:color="auto" w:sz="4" w:space="0"/>
              <w:bottom w:val="single" w:color="auto" w:sz="4" w:space="0"/>
              <w:right w:val="single" w:color="auto" w:sz="4" w:space="0"/>
            </w:tcBorders>
            <w:noWrap w:val="0"/>
            <w:vAlign w:val="center"/>
          </w:tcPr>
          <w:p>
            <w:pPr>
              <w:spacing w:line="240" w:lineRule="exact"/>
              <w:ind w:left="-105" w:leftChars="-50" w:right="-105" w:rightChars="-50"/>
              <w:jc w:val="center"/>
              <w:rPr>
                <w:rFonts w:ascii="Times New Roman"/>
                <w:szCs w:val="21"/>
              </w:rPr>
            </w:pPr>
            <w:r>
              <w:rPr>
                <w:rFonts w:hint="eastAsia" w:ascii="Times New Roman"/>
                <w:szCs w:val="21"/>
              </w:rPr>
              <w:t>施工项目经理部签收人姓名及时间</w:t>
            </w:r>
          </w:p>
        </w:tc>
        <w:tc>
          <w:tcPr>
            <w:tcW w:w="2544" w:type="dxa"/>
            <w:tcBorders>
              <w:top w:val="single" w:color="auto" w:sz="4" w:space="0"/>
              <w:left w:val="single" w:color="auto" w:sz="4" w:space="0"/>
              <w:bottom w:val="single" w:color="auto" w:sz="4" w:space="0"/>
              <w:right w:val="single" w:color="auto" w:sz="8" w:space="0"/>
            </w:tcBorders>
            <w:noWrap w:val="0"/>
            <w:vAlign w:val="top"/>
          </w:tcPr>
          <w:p>
            <w:pPr>
              <w:spacing w:line="240" w:lineRule="exact"/>
              <w:ind w:left="-105" w:leftChars="-50" w:right="-105" w:rightChars="-50"/>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170" w:hRule="atLeast"/>
          <w:jc w:val="center"/>
        </w:trPr>
        <w:tc>
          <w:tcPr>
            <w:tcW w:w="8748" w:type="dxa"/>
            <w:gridSpan w:val="4"/>
            <w:tcBorders>
              <w:top w:val="single" w:color="auto" w:sz="4" w:space="0"/>
              <w:left w:val="single" w:color="auto" w:sz="8" w:space="0"/>
              <w:bottom w:val="single" w:color="auto" w:sz="4" w:space="0"/>
              <w:right w:val="single" w:color="auto" w:sz="8" w:space="0"/>
            </w:tcBorders>
            <w:noWrap w:val="0"/>
            <w:vAlign w:val="top"/>
          </w:tcPr>
          <w:p>
            <w:pPr>
              <w:spacing w:after="120"/>
              <w:rPr>
                <w:rFonts w:ascii="Times New Roman"/>
                <w:szCs w:val="21"/>
              </w:rPr>
            </w:pPr>
            <w:r>
              <w:rPr>
                <w:rFonts w:hint="eastAsia" w:ascii="Times New Roman"/>
                <w:szCs w:val="21"/>
              </w:rPr>
              <w:t>审查意见：</w:t>
            </w:r>
          </w:p>
          <w:p>
            <w:pPr>
              <w:spacing w:line="160" w:lineRule="exact"/>
              <w:rPr>
                <w:rFonts w:hint="eastAsia" w:ascii="Times New Roman"/>
                <w:szCs w:val="21"/>
                <w:u w:val="single"/>
              </w:rPr>
            </w:pPr>
          </w:p>
          <w:p>
            <w:pPr>
              <w:rPr>
                <w:rFonts w:hint="eastAsia" w:ascii="Times New Roman"/>
                <w:szCs w:val="21"/>
                <w:u w:val="single"/>
              </w:rPr>
            </w:pPr>
          </w:p>
          <w:p>
            <w:pPr>
              <w:spacing w:before="156" w:beforeLines="50"/>
              <w:rPr>
                <w:rFonts w:hint="eastAsia" w:ascii="Times New Roman"/>
                <w:szCs w:val="21"/>
              </w:rPr>
            </w:pPr>
            <w:r>
              <w:rPr>
                <w:rFonts w:hint="eastAsia" w:ascii="Times New Roman"/>
                <w:szCs w:val="21"/>
              </w:rPr>
              <w:t>　                              专业监理工程师（土建）（签字）：</w:t>
            </w:r>
            <w:r>
              <w:rPr>
                <w:rFonts w:hint="eastAsia" w:ascii="Times New Roman"/>
                <w:szCs w:val="21"/>
                <w:u w:val="single"/>
              </w:rPr>
              <w:t>　　 　　　　　　</w:t>
            </w:r>
            <w:r>
              <w:rPr>
                <w:rFonts w:hint="eastAsia" w:ascii="Times New Roman"/>
                <w:szCs w:val="21"/>
              </w:rPr>
              <w:t xml:space="preserve"> </w:t>
            </w:r>
          </w:p>
          <w:p>
            <w:pPr>
              <w:spacing w:before="156" w:beforeLines="50"/>
              <w:jc w:val="right"/>
              <w:rPr>
                <w:rFonts w:hint="eastAsia" w:ascii="Times New Roman"/>
                <w:bCs/>
                <w:szCs w:val="21"/>
                <w:u w:val="single"/>
              </w:rPr>
            </w:pP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p>
            <w:pPr>
              <w:spacing w:before="156" w:beforeLines="50"/>
              <w:ind w:firstLine="420" w:firstLineChars="200"/>
              <w:rPr>
                <w:rFonts w:hint="eastAsia" w:ascii="Times New Roman"/>
                <w:szCs w:val="21"/>
              </w:rPr>
            </w:pPr>
            <w:r>
              <w:rPr>
                <w:rFonts w:hint="eastAsia" w:ascii="Times New Roman"/>
                <w:szCs w:val="21"/>
              </w:rPr>
              <w:t xml:space="preserve">                            专业监理工程师（安装）（签字）：</w:t>
            </w:r>
            <w:r>
              <w:rPr>
                <w:rFonts w:hint="eastAsia" w:ascii="Times New Roman"/>
                <w:szCs w:val="21"/>
                <w:u w:val="single"/>
              </w:rPr>
              <w:t>　　　　　 　　　</w:t>
            </w:r>
            <w:r>
              <w:rPr>
                <w:rFonts w:hint="eastAsia" w:ascii="Times New Roman"/>
                <w:szCs w:val="21"/>
              </w:rPr>
              <w:t xml:space="preserve"> </w:t>
            </w:r>
          </w:p>
          <w:p>
            <w:pPr>
              <w:spacing w:before="156" w:beforeLines="50"/>
              <w:ind w:firstLine="420" w:firstLineChars="200"/>
              <w:jc w:val="right"/>
              <w:rPr>
                <w:rFonts w:ascii="Times New Roman"/>
                <w:szCs w:val="21"/>
              </w:rPr>
            </w:pP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704" w:hRule="atLeast"/>
          <w:jc w:val="center"/>
        </w:trPr>
        <w:tc>
          <w:tcPr>
            <w:tcW w:w="8748" w:type="dxa"/>
            <w:gridSpan w:val="4"/>
            <w:tcBorders>
              <w:top w:val="single" w:color="auto" w:sz="4" w:space="0"/>
              <w:left w:val="single" w:color="auto" w:sz="8" w:space="0"/>
              <w:bottom w:val="single" w:color="auto" w:sz="4" w:space="0"/>
              <w:right w:val="single" w:color="auto" w:sz="8" w:space="0"/>
            </w:tcBorders>
            <w:noWrap w:val="0"/>
            <w:vAlign w:val="top"/>
          </w:tcPr>
          <w:p>
            <w:pPr>
              <w:spacing w:after="120"/>
              <w:rPr>
                <w:rFonts w:ascii="Times New Roman"/>
                <w:szCs w:val="21"/>
              </w:rPr>
            </w:pPr>
            <w:r>
              <w:rPr>
                <w:rFonts w:hint="eastAsia" w:ascii="Times New Roman"/>
                <w:szCs w:val="21"/>
              </w:rPr>
              <w:t>审核意见：</w:t>
            </w:r>
          </w:p>
          <w:p>
            <w:pPr>
              <w:rPr>
                <w:rFonts w:hint="eastAsia" w:ascii="Times New Roman"/>
                <w:szCs w:val="21"/>
              </w:rPr>
            </w:pPr>
            <w:r>
              <w:rPr>
                <w:rFonts w:hint="eastAsia" w:ascii="Times New Roman"/>
                <w:szCs w:val="21"/>
              </w:rPr>
              <w:t>　</w:t>
            </w:r>
          </w:p>
          <w:p>
            <w:pPr>
              <w:rPr>
                <w:rFonts w:hint="eastAsia" w:ascii="Times New Roman"/>
                <w:szCs w:val="21"/>
              </w:rPr>
            </w:pPr>
          </w:p>
          <w:p>
            <w:pPr>
              <w:spacing w:before="156" w:beforeLines="50" w:line="360" w:lineRule="auto"/>
              <w:rPr>
                <w:rFonts w:hint="eastAsia" w:ascii="Times New Roman"/>
                <w:bCs/>
                <w:szCs w:val="21"/>
                <w:u w:val="single"/>
              </w:rPr>
            </w:pPr>
            <w:r>
              <w:rPr>
                <w:rFonts w:hint="eastAsia" w:ascii="Times New Roman"/>
                <w:szCs w:val="21"/>
              </w:rPr>
              <w:t>　                          项目监理机构（章）：</w:t>
            </w:r>
            <w:r>
              <w:rPr>
                <w:rFonts w:hint="eastAsia" w:ascii="Times New Roman"/>
                <w:szCs w:val="21"/>
                <w:u w:val="single"/>
              </w:rPr>
              <w:t>　　                  　　　　　</w:t>
            </w:r>
          </w:p>
          <w:p>
            <w:pPr>
              <w:spacing w:after="120"/>
              <w:rPr>
                <w:rFonts w:hint="eastAsia" w:ascii="Times New Roman"/>
                <w:szCs w:val="21"/>
              </w:rPr>
            </w:pPr>
            <w:r>
              <w:rPr>
                <w:rFonts w:hint="eastAsia" w:ascii="Times New Roman"/>
                <w:szCs w:val="21"/>
              </w:rPr>
              <w:t xml:space="preserve">                            总监理工程师/总监理工程师代表（签字）：</w:t>
            </w:r>
            <w:r>
              <w:rPr>
                <w:rFonts w:hint="eastAsia" w:ascii="Times New Roman"/>
                <w:szCs w:val="21"/>
                <w:u w:val="single"/>
              </w:rPr>
              <w:t>　　　   　　</w:t>
            </w:r>
            <w:r>
              <w:rPr>
                <w:rFonts w:hint="eastAsia" w:ascii="Times New Roman"/>
                <w:szCs w:val="21"/>
              </w:rPr>
              <w:t xml:space="preserve"> </w:t>
            </w:r>
          </w:p>
          <w:p>
            <w:pPr>
              <w:wordWrap w:val="0"/>
              <w:spacing w:after="120"/>
              <w:ind w:firstLine="5720" w:firstLineChars="2724"/>
              <w:jc w:val="right"/>
              <w:rPr>
                <w:rFonts w:ascii="Times New Roman"/>
                <w:szCs w:val="21"/>
              </w:rPr>
            </w:pP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748" w:type="dxa"/>
            <w:gridSpan w:val="4"/>
            <w:tcBorders>
              <w:top w:val="single" w:color="auto" w:sz="4" w:space="0"/>
              <w:left w:val="single" w:color="auto" w:sz="8" w:space="0"/>
              <w:bottom w:val="single" w:color="auto" w:sz="8" w:space="0"/>
              <w:right w:val="single" w:color="auto" w:sz="8" w:space="0"/>
            </w:tcBorders>
            <w:noWrap w:val="0"/>
            <w:vAlign w:val="top"/>
          </w:tcPr>
          <w:p>
            <w:pPr>
              <w:rPr>
                <w:szCs w:val="21"/>
              </w:rPr>
            </w:pPr>
            <w:r>
              <w:rPr>
                <w:rFonts w:hint="eastAsia" w:ascii="Times New Roman"/>
                <w:szCs w:val="21"/>
              </w:rPr>
              <w:t>注：</w:t>
            </w:r>
            <w:r>
              <w:rPr>
                <w:szCs w:val="21"/>
              </w:rPr>
              <w:t>1</w:t>
            </w:r>
            <w:r>
              <w:rPr>
                <w:rFonts w:hint="eastAsia"/>
                <w:szCs w:val="21"/>
              </w:rPr>
              <w:t>、施工单位项目经理部应在混凝土浇筑前提出本报审表，未获批准不得擅自浇筑混凝土。</w:t>
            </w:r>
          </w:p>
          <w:p>
            <w:pPr>
              <w:ind w:firstLine="382" w:firstLineChars="182"/>
              <w:rPr>
                <w:rFonts w:ascii="Times New Roman"/>
                <w:szCs w:val="21"/>
              </w:rPr>
            </w:pPr>
            <w:r>
              <w:rPr>
                <w:szCs w:val="21"/>
              </w:rPr>
              <w:t>2</w:t>
            </w:r>
            <w:r>
              <w:rPr>
                <w:rFonts w:hint="eastAsia"/>
                <w:szCs w:val="21"/>
              </w:rPr>
              <w:t>、</w:t>
            </w:r>
            <w:r>
              <w:rPr>
                <w:rFonts w:hint="eastAsia" w:ascii="Times New Roman"/>
                <w:szCs w:val="21"/>
              </w:rPr>
              <w:t>如现场自拌混凝土，还应提供原材料报审表及人、料、机准备情况。</w:t>
            </w:r>
          </w:p>
          <w:p>
            <w:pPr>
              <w:ind w:firstLine="382" w:firstLineChars="182"/>
              <w:rPr>
                <w:rFonts w:ascii="Times New Roman"/>
                <w:szCs w:val="21"/>
              </w:rPr>
            </w:pPr>
            <w:r>
              <w:rPr>
                <w:rFonts w:hint="eastAsia" w:ascii="Times New Roman"/>
                <w:szCs w:val="21"/>
              </w:rPr>
              <w:t>3、本表一式二份，项目监理机构、施工单位各一份。</w:t>
            </w:r>
          </w:p>
        </w:tc>
      </w:tr>
    </w:tbl>
    <w:p>
      <w:pPr>
        <w:ind w:right="-10"/>
        <w:rPr>
          <w:rFonts w:ascii="Times New Roman" w:eastAsia="隶书"/>
        </w:rPr>
      </w:pPr>
      <w:r>
        <w:rPr>
          <w:rFonts w:hint="eastAsia" w:ascii="Times New Roman" w:eastAsia="隶书"/>
        </w:rPr>
        <w:t>第六版表                                               江苏省住房和城乡建设厅监制</w:t>
      </w:r>
    </w:p>
    <w:p>
      <w:pPr>
        <w:jc w:val="right"/>
        <w:rPr>
          <w:rFonts w:hint="eastAsia" w:eastAsia="黑体"/>
          <w:b/>
          <w:sz w:val="28"/>
          <w:szCs w:val="28"/>
          <w14:shadow w14:blurRad="50800" w14:dist="38100" w14:dir="2700000" w14:sx="100000" w14:sy="100000" w14:kx="0" w14:ky="0" w14:algn="tl">
            <w14:srgbClr w14:val="000000">
              <w14:alpha w14:val="60000"/>
            </w14:srgbClr>
          </w14:shadow>
        </w:rPr>
      </w:pPr>
      <w:r>
        <w:rPr>
          <w:rFonts w:eastAsia="黑体"/>
          <w:b/>
          <w:sz w:val="28"/>
          <w:szCs w:val="28"/>
          <w14:shadow w14:blurRad="50800" w14:dist="38100" w14:dir="2700000" w14:sx="100000" w14:sy="100000" w14:kx="0" w14:ky="0" w14:algn="tl">
            <w14:srgbClr w14:val="000000">
              <w14:alpha w14:val="60000"/>
            </w14:srgbClr>
          </w14:shadow>
        </w:rPr>
        <w:t>B.1.6</w:t>
      </w:r>
    </w:p>
    <w:p>
      <w:pPr>
        <w:spacing w:before="312" w:beforeLines="100" w:after="312" w:afterLines="100"/>
        <w:jc w:val="center"/>
        <w:rPr>
          <w:rFonts w:eastAsia="黑体"/>
          <w:sz w:val="44"/>
          <w14:shadow w14:blurRad="50800" w14:dist="38100" w14:dir="2700000" w14:sx="100000" w14:sy="100000" w14:kx="0" w14:ky="0" w14:algn="tl">
            <w14:srgbClr w14:val="000000">
              <w14:alpha w14:val="60000"/>
            </w14:srgbClr>
          </w14:shadow>
        </w:rPr>
      </w:pPr>
      <w:r>
        <w:rPr>
          <w:rFonts w:hint="eastAsia" w:eastAsia="黑体"/>
          <w:sz w:val="44"/>
          <w14:shadow w14:blurRad="50800" w14:dist="38100" w14:dir="2700000" w14:sx="100000" w14:sy="100000" w14:kx="0" w14:ky="0" w14:algn="tl">
            <w14:srgbClr w14:val="000000">
              <w14:alpha w14:val="60000"/>
            </w14:srgbClr>
          </w14:shadow>
        </w:rPr>
        <w:t>分部（子分部）工程报验表</w:t>
      </w:r>
    </w:p>
    <w:p>
      <w:pPr>
        <w:spacing w:after="156" w:afterLines="50" w:line="420" w:lineRule="exact"/>
        <w:ind w:left="21" w:hanging="21" w:hangingChars="10"/>
        <w:rPr>
          <w:szCs w:val="21"/>
        </w:rPr>
      </w:pPr>
      <w:r>
        <w:rPr>
          <w:rFonts w:hint="eastAsia"/>
          <w:szCs w:val="21"/>
        </w:rPr>
        <w:t>工程名称：</w:t>
      </w:r>
      <w:r>
        <w:rPr>
          <w:szCs w:val="21"/>
          <w:u w:val="single"/>
        </w:rPr>
        <w:t xml:space="preserve">                           </w:t>
      </w:r>
      <w:r>
        <w:rPr>
          <w:szCs w:val="21"/>
        </w:rPr>
        <w:t xml:space="preserve">            </w:t>
      </w:r>
      <w:r>
        <w:rPr>
          <w:rFonts w:hint="eastAsia"/>
          <w:szCs w:val="21"/>
        </w:rPr>
        <w:t>　　　</w:t>
      </w:r>
      <w:r>
        <w:rPr>
          <w:szCs w:val="21"/>
        </w:rPr>
        <w:t xml:space="preserve">       </w:t>
      </w:r>
      <w:r>
        <w:rPr>
          <w:rFonts w:hint="eastAsia"/>
          <w:szCs w:val="21"/>
        </w:rPr>
        <w:t>编号：</w:t>
      </w:r>
      <w:r>
        <w:rPr>
          <w:szCs w:val="21"/>
        </w:rPr>
        <w:t>B.1.6</w:t>
      </w:r>
      <w:r>
        <w:rPr>
          <w:rFonts w:hint="eastAsia"/>
          <w:szCs w:val="21"/>
        </w:rPr>
        <w:t>—</w:t>
      </w:r>
      <w:r>
        <w:rPr>
          <w:rFonts w:hint="eastAsia"/>
          <w:szCs w:val="21"/>
          <w:u w:val="single"/>
        </w:rPr>
        <w:t>　</w:t>
      </w:r>
      <w:r>
        <w:rPr>
          <w:szCs w:val="21"/>
          <w:u w:val="single"/>
        </w:rPr>
        <w:t xml:space="preserve">   </w:t>
      </w:r>
      <w:r>
        <w:rPr>
          <w:rFonts w:hint="eastAsia"/>
          <w:szCs w:val="21"/>
          <w:u w:val="single"/>
        </w:rPr>
        <w:t>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4"/>
        <w:gridCol w:w="2794"/>
        <w:gridCol w:w="1796"/>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4" w:hRule="atLeast"/>
        </w:trPr>
        <w:tc>
          <w:tcPr>
            <w:tcW w:w="8614" w:type="dxa"/>
            <w:gridSpan w:val="4"/>
            <w:tcBorders>
              <w:top w:val="single" w:color="auto" w:sz="8" w:space="0"/>
              <w:left w:val="single" w:color="auto" w:sz="8" w:space="0"/>
              <w:bottom w:val="single" w:color="auto" w:sz="4" w:space="0"/>
              <w:right w:val="single" w:color="auto" w:sz="8" w:space="0"/>
            </w:tcBorders>
            <w:noWrap w:val="0"/>
            <w:vAlign w:val="top"/>
          </w:tcPr>
          <w:p>
            <w:pPr>
              <w:spacing w:before="156" w:beforeLines="50" w:after="156" w:afterLines="50" w:line="360" w:lineRule="exact"/>
              <w:rPr>
                <w:rFonts w:ascii="Times New Roman"/>
                <w:szCs w:val="21"/>
                <w:u w:val="single"/>
              </w:rPr>
            </w:pPr>
            <w:r>
              <w:rPr>
                <w:rFonts w:hint="eastAsia" w:ascii="Times New Roman"/>
                <w:szCs w:val="21"/>
              </w:rPr>
              <w:t>致：</w:t>
            </w:r>
            <w:r>
              <w:rPr>
                <w:rFonts w:hint="eastAsia" w:ascii="Times New Roman"/>
                <w:szCs w:val="21"/>
                <w:u w:val="single"/>
              </w:rPr>
              <w:t>　　　　　      　　</w:t>
            </w:r>
            <w:r>
              <w:rPr>
                <w:rFonts w:hint="eastAsia" w:ascii="Times New Roman"/>
                <w:szCs w:val="21"/>
              </w:rPr>
              <w:t>（项目监理机构）</w:t>
            </w:r>
          </w:p>
          <w:p>
            <w:pPr>
              <w:spacing w:line="360" w:lineRule="exact"/>
              <w:ind w:firstLine="420" w:firstLineChars="200"/>
              <w:jc w:val="left"/>
              <w:rPr>
                <w:rFonts w:hint="eastAsia" w:ascii="Times New Roman"/>
                <w:szCs w:val="21"/>
              </w:rPr>
            </w:pPr>
            <w:r>
              <w:rPr>
                <w:rFonts w:hint="eastAsia" w:ascii="Times New Roman"/>
                <w:szCs w:val="21"/>
              </w:rPr>
              <w:t xml:space="preserve">我方已完成 </w:t>
            </w:r>
            <w:r>
              <w:rPr>
                <w:rFonts w:hint="eastAsia" w:ascii="Times New Roman"/>
                <w:szCs w:val="21"/>
                <w:u w:val="single"/>
              </w:rPr>
              <w:t xml:space="preserve">                             </w:t>
            </w:r>
            <w:r>
              <w:rPr>
                <w:rFonts w:hint="eastAsia" w:ascii="Times New Roman"/>
                <w:szCs w:val="21"/>
              </w:rPr>
              <w:t>分部（子分部）工程,经自检合格,请予以验收。</w:t>
            </w:r>
          </w:p>
          <w:p>
            <w:pPr>
              <w:spacing w:line="360" w:lineRule="exact"/>
              <w:ind w:firstLine="420" w:firstLineChars="200"/>
              <w:rPr>
                <w:rFonts w:hint="eastAsia" w:ascii="Times New Roman"/>
                <w:szCs w:val="21"/>
              </w:rPr>
            </w:pPr>
            <w:r>
              <w:rPr>
                <w:rFonts w:hint="eastAsia" w:ascii="Times New Roman"/>
                <w:szCs w:val="21"/>
              </w:rPr>
              <w:t>附件：</w:t>
            </w:r>
          </w:p>
          <w:p>
            <w:pPr>
              <w:spacing w:line="360" w:lineRule="exact"/>
              <w:ind w:firstLine="420" w:firstLineChars="200"/>
              <w:rPr>
                <w:rFonts w:hint="eastAsia" w:ascii="Times New Roman"/>
                <w:szCs w:val="21"/>
              </w:rPr>
            </w:pPr>
            <w:r>
              <w:rPr>
                <w:rFonts w:hint="eastAsia" w:ascii="Times New Roman"/>
                <w:szCs w:val="21"/>
              </w:rPr>
              <w:t>□ 施工单位验收报告</w:t>
            </w:r>
          </w:p>
          <w:p>
            <w:pPr>
              <w:spacing w:line="360" w:lineRule="exact"/>
              <w:ind w:firstLine="420" w:firstLineChars="200"/>
              <w:rPr>
                <w:rFonts w:hint="eastAsia" w:ascii="Times New Roman"/>
                <w:szCs w:val="21"/>
              </w:rPr>
            </w:pPr>
            <w:r>
              <w:rPr>
                <w:rFonts w:hint="eastAsia" w:ascii="Times New Roman"/>
                <w:szCs w:val="21"/>
              </w:rPr>
              <w:t>□ 分部（子分部）工程所含分项工程的质量验收资料</w:t>
            </w:r>
          </w:p>
          <w:p>
            <w:pPr>
              <w:spacing w:line="360" w:lineRule="exact"/>
              <w:ind w:firstLine="420" w:firstLineChars="200"/>
              <w:rPr>
                <w:rFonts w:hint="eastAsia" w:ascii="Times New Roman"/>
                <w:szCs w:val="21"/>
              </w:rPr>
            </w:pPr>
            <w:r>
              <w:rPr>
                <w:rFonts w:hint="eastAsia" w:ascii="Times New Roman"/>
                <w:szCs w:val="21"/>
              </w:rPr>
              <w:t>□ 质量控制资料</w:t>
            </w:r>
          </w:p>
          <w:p>
            <w:pPr>
              <w:spacing w:line="360" w:lineRule="exact"/>
              <w:ind w:firstLine="420" w:firstLineChars="200"/>
              <w:rPr>
                <w:rFonts w:hint="eastAsia" w:ascii="Times New Roman"/>
                <w:szCs w:val="21"/>
              </w:rPr>
            </w:pPr>
            <w:r>
              <w:rPr>
                <w:rFonts w:hint="eastAsia" w:ascii="Times New Roman"/>
                <w:szCs w:val="21"/>
              </w:rPr>
              <w:t>□ 相关安全和功能检测资料</w:t>
            </w:r>
          </w:p>
          <w:p>
            <w:pPr>
              <w:spacing w:line="360" w:lineRule="exact"/>
              <w:ind w:firstLine="420" w:firstLineChars="200"/>
              <w:rPr>
                <w:rFonts w:hint="eastAsia" w:ascii="Times New Roman"/>
                <w:szCs w:val="21"/>
              </w:rPr>
            </w:pPr>
            <w:r>
              <w:rPr>
                <w:rFonts w:hint="eastAsia" w:ascii="Times New Roman"/>
                <w:szCs w:val="21"/>
              </w:rPr>
              <w:t>□ 观感质量验收资料</w:t>
            </w:r>
          </w:p>
          <w:p>
            <w:pPr>
              <w:spacing w:line="360" w:lineRule="exact"/>
              <w:ind w:firstLine="420" w:firstLineChars="200"/>
              <w:rPr>
                <w:rFonts w:hint="eastAsia" w:ascii="Times New Roman"/>
                <w:szCs w:val="21"/>
              </w:rPr>
            </w:pPr>
            <w:r>
              <w:rPr>
                <w:rFonts w:hint="eastAsia" w:ascii="Times New Roman"/>
                <w:szCs w:val="21"/>
              </w:rPr>
              <w:t xml:space="preserve">□ </w:t>
            </w:r>
          </w:p>
          <w:p>
            <w:pPr>
              <w:spacing w:line="240" w:lineRule="exact"/>
              <w:ind w:left="839"/>
              <w:rPr>
                <w:rFonts w:hint="eastAsia" w:ascii="Times New Roman"/>
                <w:szCs w:val="21"/>
              </w:rPr>
            </w:pPr>
          </w:p>
          <w:p>
            <w:pPr>
              <w:spacing w:line="420" w:lineRule="exact"/>
              <w:rPr>
                <w:rFonts w:hint="eastAsia" w:ascii="Times New Roman"/>
                <w:szCs w:val="21"/>
                <w:u w:val="single"/>
              </w:rPr>
            </w:pPr>
            <w:r>
              <w:rPr>
                <w:rFonts w:hint="eastAsia" w:ascii="Times New Roman"/>
                <w:szCs w:val="21"/>
              </w:rPr>
              <w:t>　　　　　　　　　　　　            　     施工项目经理部（章）：</w:t>
            </w:r>
            <w:r>
              <w:rPr>
                <w:rFonts w:hint="eastAsia" w:ascii="Times New Roman"/>
                <w:szCs w:val="21"/>
                <w:u w:val="single"/>
              </w:rPr>
              <w:t>　　　　    　</w:t>
            </w:r>
          </w:p>
          <w:p>
            <w:pPr>
              <w:spacing w:line="420" w:lineRule="exact"/>
              <w:rPr>
                <w:rFonts w:hint="eastAsia" w:ascii="Times New Roman"/>
                <w:szCs w:val="21"/>
              </w:rPr>
            </w:pPr>
            <w:r>
              <w:rPr>
                <w:rFonts w:hint="eastAsia" w:ascii="Times New Roman"/>
                <w:szCs w:val="21"/>
              </w:rPr>
              <w:t>　　　　　　　　　　                       项目经理（签字）：</w:t>
            </w:r>
            <w:r>
              <w:rPr>
                <w:rFonts w:hint="eastAsia" w:ascii="Times New Roman"/>
                <w:szCs w:val="21"/>
                <w:u w:val="single"/>
              </w:rPr>
              <w:t>　　　     　 　　</w:t>
            </w:r>
          </w:p>
          <w:p>
            <w:pPr>
              <w:spacing w:line="420" w:lineRule="exact"/>
              <w:rPr>
                <w:rFonts w:hint="eastAsia" w:ascii="Times New Roman"/>
                <w:szCs w:val="21"/>
              </w:rPr>
            </w:pPr>
            <w:r>
              <w:rPr>
                <w:rFonts w:hint="eastAsia" w:ascii="Times New Roman"/>
                <w:szCs w:val="21"/>
              </w:rPr>
              <w:t xml:space="preserve">                                                        </w:t>
            </w: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p>
            <w:pPr>
              <w:spacing w:line="240" w:lineRule="exact"/>
              <w:rPr>
                <w:rFonts w:ascii="Times New Roman"/>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1614" w:type="dxa"/>
            <w:tcBorders>
              <w:top w:val="single" w:color="auto" w:sz="4" w:space="0"/>
              <w:left w:val="single" w:color="auto" w:sz="8" w:space="0"/>
              <w:bottom w:val="single" w:color="auto" w:sz="4" w:space="0"/>
              <w:right w:val="single" w:color="auto" w:sz="4" w:space="0"/>
            </w:tcBorders>
            <w:noWrap w:val="0"/>
            <w:vAlign w:val="center"/>
          </w:tcPr>
          <w:p>
            <w:pPr>
              <w:ind w:left="-105" w:leftChars="-50" w:right="-105" w:rightChars="-50"/>
              <w:jc w:val="center"/>
              <w:rPr>
                <w:rFonts w:ascii="Times New Roman"/>
                <w:szCs w:val="21"/>
              </w:rPr>
            </w:pPr>
            <w:r>
              <w:rPr>
                <w:rFonts w:hint="eastAsia" w:ascii="Times New Roman"/>
                <w:szCs w:val="21"/>
              </w:rPr>
              <w:t>项目监理机构签收人姓名及时间</w:t>
            </w:r>
          </w:p>
        </w:tc>
        <w:tc>
          <w:tcPr>
            <w:tcW w:w="2794"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rFonts w:ascii="Times New Roman"/>
                <w:szCs w:val="21"/>
              </w:rPr>
            </w:pPr>
          </w:p>
        </w:tc>
        <w:tc>
          <w:tcPr>
            <w:tcW w:w="1796"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rFonts w:ascii="Times New Roman"/>
                <w:szCs w:val="21"/>
              </w:rPr>
            </w:pPr>
            <w:r>
              <w:rPr>
                <w:rFonts w:hint="eastAsia" w:ascii="Times New Roman"/>
                <w:szCs w:val="21"/>
              </w:rPr>
              <w:t>施工项目经理部签收人姓名及时间</w:t>
            </w:r>
          </w:p>
        </w:tc>
        <w:tc>
          <w:tcPr>
            <w:tcW w:w="2410" w:type="dxa"/>
            <w:tcBorders>
              <w:top w:val="single" w:color="auto" w:sz="4" w:space="0"/>
              <w:left w:val="single" w:color="auto" w:sz="4" w:space="0"/>
              <w:bottom w:val="single" w:color="auto" w:sz="4" w:space="0"/>
              <w:right w:val="single" w:color="auto" w:sz="8" w:space="0"/>
            </w:tcBorders>
            <w:noWrap w:val="0"/>
            <w:vAlign w:val="top"/>
          </w:tcPr>
          <w:p>
            <w:pPr>
              <w:ind w:left="-105" w:leftChars="-50" w:right="-105" w:rightChars="-50"/>
              <w:rPr>
                <w:rFonts w:asci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0" w:hRule="atLeast"/>
        </w:trPr>
        <w:tc>
          <w:tcPr>
            <w:tcW w:w="8614" w:type="dxa"/>
            <w:gridSpan w:val="4"/>
            <w:tcBorders>
              <w:top w:val="single" w:color="auto" w:sz="4" w:space="0"/>
              <w:left w:val="single" w:color="auto" w:sz="8" w:space="0"/>
              <w:bottom w:val="single" w:color="auto" w:sz="4" w:space="0"/>
              <w:right w:val="single" w:color="auto" w:sz="8" w:space="0"/>
            </w:tcBorders>
            <w:noWrap w:val="0"/>
            <w:vAlign w:val="top"/>
          </w:tcPr>
          <w:p>
            <w:pPr>
              <w:rPr>
                <w:rFonts w:ascii="Times New Roman"/>
                <w:szCs w:val="21"/>
              </w:rPr>
            </w:pPr>
            <w:r>
              <w:rPr>
                <w:rFonts w:hint="eastAsia" w:ascii="Times New Roman"/>
                <w:szCs w:val="21"/>
              </w:rPr>
              <w:t>验收意见：</w:t>
            </w:r>
          </w:p>
          <w:p>
            <w:pPr>
              <w:keepLines/>
              <w:spacing w:line="360" w:lineRule="auto"/>
              <w:ind w:firstLine="480"/>
              <w:rPr>
                <w:rFonts w:hint="eastAsia" w:ascii="Times New Roman"/>
                <w:szCs w:val="21"/>
              </w:rPr>
            </w:pPr>
          </w:p>
          <w:p>
            <w:pPr>
              <w:keepLines/>
              <w:spacing w:line="240" w:lineRule="exact"/>
              <w:rPr>
                <w:rFonts w:hint="eastAsia" w:ascii="Times New Roman"/>
                <w:szCs w:val="21"/>
              </w:rPr>
            </w:pPr>
          </w:p>
          <w:p>
            <w:pPr>
              <w:keepLines/>
              <w:spacing w:line="240" w:lineRule="exact"/>
              <w:rPr>
                <w:rFonts w:hint="eastAsia" w:ascii="Times New Roman"/>
                <w:szCs w:val="21"/>
              </w:rPr>
            </w:pPr>
            <w:r>
              <w:rPr>
                <w:rFonts w:hint="eastAsia" w:ascii="Times New Roman"/>
                <w:szCs w:val="21"/>
              </w:rPr>
              <w:t xml:space="preserve">附件：□ 审查记录 </w:t>
            </w:r>
          </w:p>
          <w:p>
            <w:pPr>
              <w:spacing w:line="420" w:lineRule="exact"/>
              <w:ind w:firstLine="4013" w:firstLineChars="1911"/>
              <w:rPr>
                <w:rFonts w:hint="eastAsia" w:ascii="Times New Roman"/>
                <w:szCs w:val="21"/>
              </w:rPr>
            </w:pPr>
            <w:r>
              <w:rPr>
                <w:rFonts w:hint="eastAsia" w:ascii="Times New Roman"/>
                <w:szCs w:val="21"/>
              </w:rPr>
              <w:t>专业监理工程师（签字）：</w:t>
            </w:r>
            <w:r>
              <w:rPr>
                <w:rFonts w:hint="eastAsia" w:ascii="Times New Roman"/>
                <w:szCs w:val="21"/>
                <w:u w:val="single"/>
              </w:rPr>
              <w:t xml:space="preserve">　　          　 </w:t>
            </w:r>
            <w:r>
              <w:rPr>
                <w:rFonts w:hint="eastAsia" w:ascii="Times New Roman"/>
                <w:szCs w:val="21"/>
              </w:rPr>
              <w:t xml:space="preserve"> </w:t>
            </w:r>
          </w:p>
          <w:p>
            <w:pPr>
              <w:spacing w:line="420" w:lineRule="exact"/>
              <w:ind w:right="-115" w:firstLine="5928" w:firstLineChars="2823"/>
              <w:rPr>
                <w:rFonts w:ascii="Times New Roman"/>
                <w:szCs w:val="21"/>
                <w:u w:val="single"/>
              </w:rPr>
            </w:pP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5" w:hRule="atLeast"/>
        </w:trPr>
        <w:tc>
          <w:tcPr>
            <w:tcW w:w="8614" w:type="dxa"/>
            <w:gridSpan w:val="4"/>
            <w:tcBorders>
              <w:top w:val="single" w:color="auto" w:sz="4" w:space="0"/>
              <w:left w:val="single" w:color="auto" w:sz="8" w:space="0"/>
              <w:bottom w:val="single" w:color="auto" w:sz="4" w:space="0"/>
              <w:right w:val="single" w:color="auto" w:sz="8" w:space="0"/>
            </w:tcBorders>
            <w:noWrap w:val="0"/>
            <w:vAlign w:val="top"/>
          </w:tcPr>
          <w:p>
            <w:pPr>
              <w:rPr>
                <w:rFonts w:ascii="Times New Roman"/>
                <w:szCs w:val="21"/>
              </w:rPr>
            </w:pPr>
            <w:r>
              <w:rPr>
                <w:rFonts w:hint="eastAsia" w:ascii="Times New Roman"/>
                <w:szCs w:val="21"/>
              </w:rPr>
              <w:t>审核意见：</w:t>
            </w:r>
          </w:p>
          <w:p>
            <w:pPr>
              <w:keepLines/>
              <w:spacing w:line="240" w:lineRule="exact"/>
              <w:ind w:left="482"/>
              <w:rPr>
                <w:rFonts w:hint="eastAsia" w:ascii="Times New Roman"/>
                <w:szCs w:val="21"/>
              </w:rPr>
            </w:pPr>
          </w:p>
          <w:p>
            <w:pPr>
              <w:keepLines/>
              <w:spacing w:line="240" w:lineRule="exact"/>
              <w:ind w:left="482"/>
              <w:rPr>
                <w:rFonts w:hint="eastAsia" w:ascii="Times New Roman"/>
                <w:szCs w:val="21"/>
              </w:rPr>
            </w:pPr>
          </w:p>
          <w:p>
            <w:pPr>
              <w:keepLines/>
              <w:spacing w:line="420" w:lineRule="exact"/>
              <w:ind w:firstLine="2940" w:firstLineChars="1400"/>
              <w:rPr>
                <w:rFonts w:hint="eastAsia" w:ascii="Times New Roman"/>
                <w:szCs w:val="21"/>
                <w:u w:val="single"/>
              </w:rPr>
            </w:pPr>
            <w:r>
              <w:rPr>
                <w:rFonts w:hint="eastAsia" w:ascii="Times New Roman"/>
                <w:szCs w:val="21"/>
              </w:rPr>
              <w:t>项目监理机构(章)：</w:t>
            </w:r>
            <w:r>
              <w:rPr>
                <w:rFonts w:hint="eastAsia" w:ascii="Times New Roman"/>
                <w:szCs w:val="21"/>
                <w:u w:val="single"/>
              </w:rPr>
              <w:t xml:space="preserve">　　　　                          </w:t>
            </w:r>
          </w:p>
          <w:p>
            <w:pPr>
              <w:keepLines/>
              <w:spacing w:line="420" w:lineRule="exact"/>
              <w:ind w:firstLine="2940" w:firstLineChars="1400"/>
              <w:rPr>
                <w:rFonts w:hint="eastAsia" w:ascii="Times New Roman"/>
                <w:szCs w:val="21"/>
              </w:rPr>
            </w:pPr>
            <w:r>
              <w:rPr>
                <w:rFonts w:hint="eastAsia" w:ascii="Times New Roman"/>
                <w:szCs w:val="21"/>
              </w:rPr>
              <w:t>总监理工程师/总监理工程师代表（签字）：</w:t>
            </w:r>
            <w:r>
              <w:rPr>
                <w:rFonts w:hint="eastAsia" w:ascii="Times New Roman"/>
                <w:szCs w:val="21"/>
                <w:u w:val="single"/>
              </w:rPr>
              <w:t>　　　   　　</w:t>
            </w:r>
            <w:r>
              <w:rPr>
                <w:rFonts w:hint="eastAsia" w:ascii="Times New Roman"/>
                <w:szCs w:val="21"/>
              </w:rPr>
              <w:t xml:space="preserve">  </w:t>
            </w:r>
          </w:p>
          <w:p>
            <w:pPr>
              <w:spacing w:line="420" w:lineRule="exact"/>
              <w:ind w:firstLine="210" w:firstLineChars="100"/>
              <w:jc w:val="right"/>
              <w:rPr>
                <w:rFonts w:ascii="Times New Roman"/>
                <w:szCs w:val="21"/>
                <w:u w:val="single"/>
              </w:rPr>
            </w:pPr>
            <w:r>
              <w:rPr>
                <w:rFonts w:hint="eastAsia" w:ascii="Times New Roman"/>
                <w:szCs w:val="21"/>
              </w:rPr>
              <w:t xml:space="preserve">                                                      </w:t>
            </w: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trPr>
        <w:tc>
          <w:tcPr>
            <w:tcW w:w="8614" w:type="dxa"/>
            <w:gridSpan w:val="4"/>
            <w:tcBorders>
              <w:top w:val="single" w:color="auto" w:sz="4" w:space="0"/>
              <w:left w:val="single" w:color="auto" w:sz="8" w:space="0"/>
              <w:bottom w:val="single" w:color="auto" w:sz="8" w:space="0"/>
              <w:right w:val="single" w:color="auto" w:sz="8" w:space="0"/>
            </w:tcBorders>
            <w:noWrap w:val="0"/>
            <w:vAlign w:val="center"/>
          </w:tcPr>
          <w:p>
            <w:pPr>
              <w:rPr>
                <w:rFonts w:ascii="Times New Roman"/>
                <w:szCs w:val="21"/>
              </w:rPr>
            </w:pPr>
            <w:r>
              <w:rPr>
                <w:rFonts w:hint="eastAsia" w:ascii="Times New Roman"/>
                <w:szCs w:val="21"/>
              </w:rPr>
              <w:t>注：本表一式三份，项目监理机构、建设单位、施工单位各一份。</w:t>
            </w:r>
          </w:p>
        </w:tc>
      </w:tr>
    </w:tbl>
    <w:p>
      <w:pPr>
        <w:jc w:val="right"/>
        <w:rPr>
          <w:rFonts w:eastAsia="黑体"/>
          <w:b/>
          <w:sz w:val="28"/>
          <w:szCs w:val="28"/>
          <w14:shadow w14:blurRad="50800" w14:dist="38100" w14:dir="2700000" w14:sx="100000" w14:sy="100000" w14:kx="0" w14:ky="0" w14:algn="tl">
            <w14:srgbClr w14:val="000000">
              <w14:alpha w14:val="60000"/>
            </w14:srgbClr>
          </w14:shadow>
        </w:rPr>
      </w:pPr>
      <w:r>
        <w:rPr>
          <w:rFonts w:hint="eastAsia" w:ascii="Times New Roman" w:eastAsia="隶书"/>
        </w:rPr>
        <w:t>第六版表                                              江苏省住房和城乡建设厅监制</w:t>
      </w:r>
      <w:r>
        <w:rPr>
          <w:b/>
          <w:szCs w:val="21"/>
        </w:rPr>
        <w:br w:type="column"/>
      </w:r>
      <w:r>
        <w:rPr>
          <w:rFonts w:eastAsia="黑体"/>
          <w:b/>
          <w:sz w:val="28"/>
          <w:szCs w:val="28"/>
          <w14:shadow w14:blurRad="50800" w14:dist="38100" w14:dir="2700000" w14:sx="100000" w14:sy="100000" w14:kx="0" w14:ky="0" w14:algn="tl">
            <w14:srgbClr w14:val="000000">
              <w14:alpha w14:val="60000"/>
            </w14:srgbClr>
          </w14:shadow>
        </w:rPr>
        <w:t>B.1.7</w:t>
      </w:r>
    </w:p>
    <w:p>
      <w:pPr>
        <w:spacing w:before="312" w:beforeLines="100" w:after="312" w:afterLines="100"/>
        <w:jc w:val="center"/>
        <w:rPr>
          <w:sz w:val="24"/>
        </w:rPr>
      </w:pPr>
      <w:r>
        <w:rPr>
          <w:rFonts w:hint="eastAsia" w:eastAsia="黑体"/>
          <w:sz w:val="44"/>
          <w:szCs w:val="22"/>
          <w14:shadow w14:blurRad="50800" w14:dist="38100" w14:dir="2700000" w14:sx="100000" w14:sy="100000" w14:kx="0" w14:ky="0" w14:algn="tl">
            <w14:srgbClr w14:val="000000">
              <w14:alpha w14:val="60000"/>
            </w14:srgbClr>
          </w14:shadow>
        </w:rPr>
        <w:t>部品部件进场报审表</w:t>
      </w:r>
    </w:p>
    <w:p>
      <w:pPr>
        <w:spacing w:after="156" w:afterLines="50" w:line="420" w:lineRule="exact"/>
        <w:ind w:left="21" w:hanging="21" w:hangingChars="10"/>
        <w:rPr>
          <w:szCs w:val="21"/>
        </w:rPr>
      </w:pPr>
      <w:r>
        <w:rPr>
          <w:rFonts w:hint="eastAsia"/>
          <w:szCs w:val="21"/>
        </w:rPr>
        <w:t>工程名称：</w:t>
      </w:r>
      <w:r>
        <w:rPr>
          <w:szCs w:val="21"/>
          <w:u w:val="single"/>
        </w:rPr>
        <w:t xml:space="preserve">                       </w:t>
      </w:r>
      <w:r>
        <w:rPr>
          <w:rFonts w:hint="eastAsia"/>
          <w:szCs w:val="21"/>
        </w:rPr>
        <w:t>　　</w:t>
      </w:r>
      <w:r>
        <w:rPr>
          <w:szCs w:val="21"/>
        </w:rPr>
        <w:t xml:space="preserve">        </w:t>
      </w:r>
      <w:r>
        <w:rPr>
          <w:rFonts w:hint="eastAsia"/>
          <w:szCs w:val="21"/>
        </w:rPr>
        <w:t>　</w:t>
      </w:r>
      <w:r>
        <w:rPr>
          <w:szCs w:val="21"/>
        </w:rPr>
        <w:t xml:space="preserve">         </w:t>
      </w:r>
      <w:r>
        <w:rPr>
          <w:rFonts w:hint="eastAsia"/>
          <w:szCs w:val="21"/>
        </w:rPr>
        <w:t>　编号：</w:t>
      </w:r>
      <w:r>
        <w:rPr>
          <w:szCs w:val="21"/>
        </w:rPr>
        <w:t>B.1.7</w:t>
      </w:r>
      <w:r>
        <w:rPr>
          <w:rFonts w:hint="eastAsia"/>
          <w:szCs w:val="21"/>
        </w:rPr>
        <w:t>—</w:t>
      </w:r>
      <w:r>
        <w:rPr>
          <w:rFonts w:hint="eastAsia"/>
          <w:szCs w:val="21"/>
          <w:u w:val="single"/>
        </w:rPr>
        <w:t>　　　　</w:t>
      </w: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14"/>
        <w:gridCol w:w="2794"/>
        <w:gridCol w:w="1796"/>
        <w:gridCol w:w="23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4"/>
            <w:tcBorders>
              <w:top w:val="single" w:color="auto" w:sz="8" w:space="0"/>
              <w:left w:val="single" w:color="auto" w:sz="8" w:space="0"/>
              <w:bottom w:val="single" w:color="auto" w:sz="4" w:space="0"/>
              <w:right w:val="single" w:color="auto" w:sz="8" w:space="0"/>
            </w:tcBorders>
            <w:noWrap w:val="0"/>
            <w:vAlign w:val="top"/>
          </w:tcPr>
          <w:p>
            <w:pPr>
              <w:spacing w:before="156" w:beforeLines="50" w:after="156" w:afterLines="50" w:line="420" w:lineRule="exact"/>
              <w:rPr>
                <w:rFonts w:ascii="Times New Roman"/>
                <w:szCs w:val="21"/>
              </w:rPr>
            </w:pPr>
            <w:r>
              <w:rPr>
                <w:rFonts w:hint="eastAsia" w:ascii="Times New Roman"/>
                <w:szCs w:val="21"/>
              </w:rPr>
              <w:t>致：</w:t>
            </w:r>
            <w:r>
              <w:rPr>
                <w:rFonts w:hint="eastAsia" w:ascii="Times New Roman"/>
                <w:szCs w:val="21"/>
                <w:u w:val="single"/>
              </w:rPr>
              <w:t>　　　　　            　</w:t>
            </w:r>
            <w:r>
              <w:rPr>
                <w:rFonts w:hint="eastAsia" w:ascii="Times New Roman"/>
                <w:szCs w:val="21"/>
              </w:rPr>
              <w:t>（项目监理机构）</w:t>
            </w:r>
          </w:p>
          <w:p>
            <w:pPr>
              <w:spacing w:line="320" w:lineRule="exact"/>
              <w:ind w:firstLine="420" w:firstLineChars="200"/>
              <w:rPr>
                <w:rFonts w:hint="eastAsia" w:ascii="Times New Roman"/>
                <w:szCs w:val="21"/>
              </w:rPr>
            </w:pPr>
            <w:r>
              <w:rPr>
                <w:rFonts w:hint="eastAsia" w:ascii="Times New Roman"/>
                <w:szCs w:val="21"/>
              </w:rPr>
              <w:t>于</w:t>
            </w:r>
            <w:r>
              <w:rPr>
                <w:rFonts w:hint="eastAsia"/>
                <w:szCs w:val="21"/>
                <w:u w:val="single"/>
              </w:rPr>
              <w:t>　　　</w:t>
            </w:r>
            <w:r>
              <w:rPr>
                <w:rFonts w:hint="eastAsia" w:ascii="Times New Roman"/>
                <w:szCs w:val="21"/>
              </w:rPr>
              <w:t>年</w:t>
            </w:r>
            <w:r>
              <w:rPr>
                <w:rFonts w:hint="eastAsia"/>
                <w:szCs w:val="21"/>
                <w:u w:val="single"/>
              </w:rPr>
              <w:t>　　　</w:t>
            </w:r>
            <w:r>
              <w:rPr>
                <w:rFonts w:hint="eastAsia" w:ascii="Times New Roman"/>
                <w:szCs w:val="21"/>
              </w:rPr>
              <w:t>月</w:t>
            </w:r>
            <w:r>
              <w:rPr>
                <w:rFonts w:hint="eastAsia"/>
                <w:szCs w:val="21"/>
                <w:u w:val="single"/>
              </w:rPr>
              <w:t>　　　</w:t>
            </w:r>
            <w:r>
              <w:rPr>
                <w:rFonts w:hint="eastAsia" w:ascii="Times New Roman"/>
                <w:szCs w:val="21"/>
              </w:rPr>
              <w:t>日进场的拟用于工程</w:t>
            </w:r>
            <w:r>
              <w:rPr>
                <w:rFonts w:hint="eastAsia"/>
                <w:szCs w:val="21"/>
                <w:u w:val="single"/>
              </w:rPr>
              <w:t>　　　</w:t>
            </w:r>
            <w:r>
              <w:rPr>
                <w:szCs w:val="21"/>
                <w:u w:val="single"/>
              </w:rPr>
              <w:t xml:space="preserve">   </w:t>
            </w:r>
            <w:r>
              <w:rPr>
                <w:rFonts w:hint="eastAsia"/>
                <w:szCs w:val="21"/>
                <w:u w:val="single"/>
              </w:rPr>
              <w:t>　　　</w:t>
            </w:r>
            <w:r>
              <w:rPr>
                <w:rFonts w:hint="eastAsia" w:ascii="Times New Roman"/>
                <w:szCs w:val="21"/>
              </w:rPr>
              <w:t>部位的</w:t>
            </w:r>
            <w:r>
              <w:rPr>
                <w:rFonts w:hint="eastAsia"/>
                <w:szCs w:val="21"/>
                <w:u w:val="single"/>
              </w:rPr>
              <w:t>　　　　</w:t>
            </w:r>
            <w:r>
              <w:rPr>
                <w:szCs w:val="21"/>
                <w:u w:val="single"/>
              </w:rPr>
              <w:t xml:space="preserve">                </w:t>
            </w:r>
            <w:r>
              <w:rPr>
                <w:rFonts w:hint="eastAsia"/>
                <w:szCs w:val="21"/>
                <w:u w:val="single"/>
              </w:rPr>
              <w:t>　</w:t>
            </w:r>
            <w:r>
              <w:rPr>
                <w:rFonts w:hint="eastAsia" w:ascii="Times New Roman"/>
                <w:szCs w:val="21"/>
              </w:rPr>
              <w:t xml:space="preserve">，现将相关资料报上，请予以审查。 </w:t>
            </w:r>
          </w:p>
          <w:p>
            <w:pPr>
              <w:spacing w:line="320" w:lineRule="exact"/>
              <w:ind w:firstLine="420" w:firstLineChars="200"/>
              <w:rPr>
                <w:rFonts w:hint="eastAsia" w:ascii="Times New Roman"/>
                <w:szCs w:val="21"/>
              </w:rPr>
            </w:pPr>
            <w:r>
              <w:rPr>
                <w:rFonts w:hint="eastAsia" w:ascii="Times New Roman"/>
                <w:szCs w:val="21"/>
              </w:rPr>
              <w:t>附件：</w:t>
            </w:r>
          </w:p>
          <w:p>
            <w:pPr>
              <w:spacing w:line="320" w:lineRule="exact"/>
              <w:rPr>
                <w:rFonts w:hint="eastAsia" w:ascii="Times New Roman"/>
                <w:szCs w:val="21"/>
              </w:rPr>
            </w:pPr>
            <w:r>
              <w:rPr>
                <w:rFonts w:hint="eastAsia" w:ascii="Times New Roman"/>
                <w:szCs w:val="21"/>
              </w:rPr>
              <w:t xml:space="preserve">        □   部品部件进场清单</w:t>
            </w:r>
          </w:p>
          <w:p>
            <w:pPr>
              <w:spacing w:line="320" w:lineRule="exact"/>
              <w:ind w:firstLine="840" w:firstLineChars="400"/>
              <w:rPr>
                <w:rFonts w:hint="eastAsia" w:ascii="Times New Roman"/>
                <w:szCs w:val="21"/>
              </w:rPr>
            </w:pPr>
            <w:r>
              <w:rPr>
                <w:rFonts w:hint="eastAsia" w:ascii="Times New Roman"/>
                <w:szCs w:val="21"/>
              </w:rPr>
              <w:t>□   出厂质量证明文件</w:t>
            </w:r>
          </w:p>
          <w:p>
            <w:pPr>
              <w:spacing w:line="320" w:lineRule="exact"/>
              <w:ind w:firstLine="840" w:firstLineChars="400"/>
              <w:rPr>
                <w:rFonts w:hint="eastAsia" w:ascii="Times New Roman"/>
                <w:szCs w:val="21"/>
              </w:rPr>
            </w:pPr>
            <w:r>
              <w:rPr>
                <w:rFonts w:hint="eastAsia" w:ascii="Times New Roman"/>
                <w:szCs w:val="21"/>
              </w:rPr>
              <w:t>□   性能检验报告</w:t>
            </w:r>
          </w:p>
          <w:p>
            <w:pPr>
              <w:spacing w:line="320" w:lineRule="exact"/>
              <w:ind w:firstLine="840" w:firstLineChars="400"/>
              <w:rPr>
                <w:rFonts w:hint="eastAsia" w:ascii="Times New Roman"/>
                <w:szCs w:val="21"/>
              </w:rPr>
            </w:pPr>
            <w:r>
              <w:rPr>
                <w:rFonts w:hint="eastAsia" w:ascii="Times New Roman"/>
                <w:szCs w:val="21"/>
              </w:rPr>
              <w:t>□   施工单位自检记录</w:t>
            </w:r>
          </w:p>
          <w:p>
            <w:pPr>
              <w:spacing w:line="320" w:lineRule="exact"/>
              <w:ind w:firstLine="840" w:firstLineChars="400"/>
              <w:rPr>
                <w:rFonts w:hint="eastAsia" w:ascii="Times New Roman"/>
                <w:szCs w:val="21"/>
              </w:rPr>
            </w:pPr>
            <w:r>
              <w:rPr>
                <w:rFonts w:hint="eastAsia" w:ascii="Times New Roman"/>
                <w:szCs w:val="21"/>
              </w:rPr>
              <w:t xml:space="preserve">□　 </w:t>
            </w:r>
          </w:p>
          <w:p>
            <w:pPr>
              <w:spacing w:line="320" w:lineRule="exact"/>
              <w:ind w:firstLine="420" w:firstLineChars="200"/>
              <w:jc w:val="left"/>
              <w:rPr>
                <w:rFonts w:hint="eastAsia" w:ascii="Times New Roman"/>
                <w:szCs w:val="21"/>
              </w:rPr>
            </w:pPr>
            <w:r>
              <w:rPr>
                <w:rFonts w:hint="eastAsia" w:ascii="Times New Roman"/>
                <w:szCs w:val="21"/>
              </w:rPr>
              <w:t>本次报审内容系第</w:t>
            </w:r>
            <w:r>
              <w:rPr>
                <w:rFonts w:hint="eastAsia" w:ascii="Times New Roman"/>
                <w:szCs w:val="21"/>
                <w:u w:val="single"/>
              </w:rPr>
              <w:t xml:space="preserve">      </w:t>
            </w:r>
            <w:r>
              <w:rPr>
                <w:rFonts w:hint="eastAsia" w:ascii="Times New Roman"/>
                <w:szCs w:val="21"/>
              </w:rPr>
              <w:t>次报审。</w:t>
            </w:r>
          </w:p>
          <w:p>
            <w:pPr>
              <w:spacing w:line="320" w:lineRule="exact"/>
              <w:ind w:firstLine="420" w:firstLineChars="200"/>
              <w:jc w:val="left"/>
              <w:rPr>
                <w:rFonts w:hint="eastAsia" w:ascii="Times New Roman"/>
                <w:szCs w:val="21"/>
              </w:rPr>
            </w:pPr>
          </w:p>
          <w:p>
            <w:pPr>
              <w:spacing w:line="320" w:lineRule="exact"/>
              <w:rPr>
                <w:rFonts w:hint="eastAsia" w:ascii="Times New Roman"/>
                <w:szCs w:val="21"/>
              </w:rPr>
            </w:pPr>
          </w:p>
          <w:p>
            <w:pPr>
              <w:spacing w:line="360" w:lineRule="auto"/>
              <w:rPr>
                <w:rFonts w:hint="eastAsia" w:ascii="Times New Roman"/>
                <w:szCs w:val="21"/>
                <w:u w:val="single"/>
              </w:rPr>
            </w:pPr>
            <w:r>
              <w:rPr>
                <w:rFonts w:hint="eastAsia" w:ascii="Times New Roman"/>
                <w:szCs w:val="21"/>
              </w:rPr>
              <w:t>　　　　　　　　　　　　                  施工项目经理部（章）：</w:t>
            </w:r>
            <w:r>
              <w:rPr>
                <w:rFonts w:hint="eastAsia" w:ascii="Times New Roman"/>
                <w:szCs w:val="21"/>
                <w:u w:val="single"/>
              </w:rPr>
              <w:t xml:space="preserve">　　　　      </w:t>
            </w:r>
          </w:p>
          <w:p>
            <w:pPr>
              <w:spacing w:line="360" w:lineRule="auto"/>
              <w:rPr>
                <w:rFonts w:hint="eastAsia" w:ascii="Times New Roman"/>
                <w:szCs w:val="21"/>
              </w:rPr>
            </w:pPr>
            <w:r>
              <w:rPr>
                <w:rFonts w:hint="eastAsia" w:ascii="Times New Roman"/>
                <w:szCs w:val="21"/>
              </w:rPr>
              <w:t>　　　　　　　　　　　                    项目经理（签字）：</w:t>
            </w:r>
            <w:r>
              <w:rPr>
                <w:rFonts w:hint="eastAsia" w:ascii="Times New Roman"/>
                <w:szCs w:val="21"/>
                <w:u w:val="single"/>
              </w:rPr>
              <w:t xml:space="preserve">　　              </w:t>
            </w:r>
          </w:p>
          <w:p>
            <w:pPr>
              <w:tabs>
                <w:tab w:val="left" w:pos="8211"/>
                <w:tab w:val="left" w:pos="8306"/>
              </w:tabs>
              <w:spacing w:line="360" w:lineRule="auto"/>
              <w:ind w:firstLine="5917" w:firstLineChars="2818"/>
              <w:rPr>
                <w:rFonts w:ascii="Times New Roman"/>
                <w:szCs w:val="21"/>
              </w:rPr>
            </w:pPr>
            <w:r>
              <w:rPr>
                <w:rFonts w:ascii="Times New Roman"/>
                <w:szCs w:val="21"/>
                <w:u w:val="single"/>
              </w:rPr>
              <w:t> </w:t>
            </w: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14" w:type="dxa"/>
            <w:tcBorders>
              <w:top w:val="single" w:color="auto" w:sz="4" w:space="0"/>
              <w:left w:val="single" w:color="auto" w:sz="8" w:space="0"/>
              <w:bottom w:val="single" w:color="auto" w:sz="4" w:space="0"/>
              <w:right w:val="single" w:color="auto" w:sz="4" w:space="0"/>
            </w:tcBorders>
            <w:noWrap w:val="0"/>
            <w:vAlign w:val="center"/>
          </w:tcPr>
          <w:p>
            <w:pPr>
              <w:spacing w:before="120" w:after="120"/>
              <w:ind w:left="-105" w:leftChars="-50" w:right="-105" w:rightChars="-50"/>
              <w:jc w:val="center"/>
              <w:rPr>
                <w:rFonts w:ascii="Times New Roman"/>
                <w:szCs w:val="21"/>
              </w:rPr>
            </w:pPr>
            <w:r>
              <w:rPr>
                <w:rFonts w:hint="eastAsia" w:ascii="Times New Roman"/>
                <w:szCs w:val="21"/>
              </w:rPr>
              <w:t>项目监理机构签收人姓名及时间</w:t>
            </w:r>
          </w:p>
        </w:tc>
        <w:tc>
          <w:tcPr>
            <w:tcW w:w="2794" w:type="dxa"/>
            <w:tcBorders>
              <w:top w:val="single" w:color="auto" w:sz="4" w:space="0"/>
              <w:left w:val="single" w:color="auto" w:sz="4" w:space="0"/>
              <w:bottom w:val="single" w:color="auto" w:sz="4" w:space="0"/>
              <w:right w:val="single" w:color="auto" w:sz="4" w:space="0"/>
            </w:tcBorders>
            <w:noWrap w:val="0"/>
            <w:vAlign w:val="center"/>
          </w:tcPr>
          <w:p>
            <w:pPr>
              <w:spacing w:before="120" w:after="120"/>
              <w:ind w:left="-105" w:leftChars="-50" w:right="-105" w:rightChars="-50"/>
              <w:jc w:val="center"/>
              <w:rPr>
                <w:rFonts w:ascii="Times New Roman"/>
                <w:szCs w:val="21"/>
              </w:rPr>
            </w:pPr>
          </w:p>
        </w:tc>
        <w:tc>
          <w:tcPr>
            <w:tcW w:w="1796" w:type="dxa"/>
            <w:tcBorders>
              <w:top w:val="single" w:color="auto" w:sz="4" w:space="0"/>
              <w:left w:val="single" w:color="auto" w:sz="4" w:space="0"/>
              <w:bottom w:val="single" w:color="auto" w:sz="4" w:space="0"/>
              <w:right w:val="single" w:color="auto" w:sz="4" w:space="0"/>
            </w:tcBorders>
            <w:noWrap w:val="0"/>
            <w:vAlign w:val="center"/>
          </w:tcPr>
          <w:p>
            <w:pPr>
              <w:spacing w:before="120" w:after="120"/>
              <w:ind w:left="-105" w:leftChars="-50" w:right="-105" w:rightChars="-50"/>
              <w:jc w:val="center"/>
              <w:rPr>
                <w:rFonts w:ascii="Times New Roman"/>
                <w:szCs w:val="21"/>
              </w:rPr>
            </w:pPr>
            <w:r>
              <w:rPr>
                <w:rFonts w:hint="eastAsia" w:ascii="Times New Roman"/>
                <w:szCs w:val="21"/>
              </w:rPr>
              <w:t>施工项目经理部签收人姓名及时间</w:t>
            </w:r>
          </w:p>
        </w:tc>
        <w:tc>
          <w:tcPr>
            <w:tcW w:w="2318" w:type="dxa"/>
            <w:tcBorders>
              <w:top w:val="single" w:color="auto" w:sz="4" w:space="0"/>
              <w:left w:val="single" w:color="auto" w:sz="4" w:space="0"/>
              <w:bottom w:val="single" w:color="auto" w:sz="4" w:space="0"/>
              <w:right w:val="single" w:color="auto" w:sz="8" w:space="0"/>
            </w:tcBorders>
            <w:noWrap w:val="0"/>
            <w:vAlign w:val="top"/>
          </w:tcPr>
          <w:p>
            <w:pPr>
              <w:spacing w:before="120" w:after="120"/>
              <w:ind w:left="-105" w:leftChars="-50" w:right="-105" w:rightChars="-50"/>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72" w:hRule="atLeast"/>
          <w:jc w:val="center"/>
        </w:trPr>
        <w:tc>
          <w:tcPr>
            <w:tcW w:w="8522" w:type="dxa"/>
            <w:gridSpan w:val="4"/>
            <w:tcBorders>
              <w:top w:val="single" w:color="auto" w:sz="4" w:space="0"/>
              <w:left w:val="single" w:color="auto" w:sz="8" w:space="0"/>
              <w:bottom w:val="single" w:color="auto" w:sz="4" w:space="0"/>
              <w:right w:val="single" w:color="auto" w:sz="8" w:space="0"/>
            </w:tcBorders>
            <w:noWrap w:val="0"/>
            <w:vAlign w:val="top"/>
          </w:tcPr>
          <w:p>
            <w:pPr>
              <w:spacing w:before="120" w:after="120"/>
              <w:rPr>
                <w:rFonts w:ascii="Times New Roman"/>
                <w:szCs w:val="21"/>
              </w:rPr>
            </w:pPr>
            <w:r>
              <w:rPr>
                <w:rFonts w:hint="eastAsia" w:ascii="Times New Roman"/>
                <w:szCs w:val="21"/>
              </w:rPr>
              <w:t>审查意见：</w:t>
            </w:r>
          </w:p>
          <w:p>
            <w:pPr>
              <w:spacing w:line="420" w:lineRule="exact"/>
              <w:rPr>
                <w:rFonts w:hint="eastAsia" w:ascii="Times New Roman"/>
                <w:szCs w:val="21"/>
                <w:u w:val="single"/>
              </w:rPr>
            </w:pPr>
          </w:p>
          <w:p>
            <w:pPr>
              <w:spacing w:line="420" w:lineRule="exact"/>
              <w:rPr>
                <w:rFonts w:hint="eastAsia" w:ascii="Times New Roman"/>
                <w:szCs w:val="21"/>
                <w:u w:val="single"/>
              </w:rPr>
            </w:pPr>
          </w:p>
          <w:p>
            <w:pPr>
              <w:spacing w:line="420" w:lineRule="exact"/>
              <w:rPr>
                <w:rFonts w:hint="eastAsia" w:ascii="Times New Roman"/>
                <w:szCs w:val="21"/>
                <w:u w:val="single"/>
              </w:rPr>
            </w:pPr>
          </w:p>
          <w:p>
            <w:pPr>
              <w:spacing w:line="360" w:lineRule="exact"/>
              <w:rPr>
                <w:rFonts w:hint="eastAsia" w:ascii="Times New Roman"/>
                <w:szCs w:val="21"/>
              </w:rPr>
            </w:pPr>
            <w:r>
              <w:rPr>
                <w:rFonts w:hint="eastAsia" w:ascii="Times New Roman"/>
                <w:szCs w:val="21"/>
              </w:rPr>
              <w:t>附件：□  检查记录</w:t>
            </w:r>
          </w:p>
          <w:p>
            <w:pPr>
              <w:spacing w:before="156" w:beforeLines="50"/>
              <w:rPr>
                <w:rFonts w:hint="eastAsia" w:ascii="Times New Roman"/>
                <w:bCs/>
                <w:szCs w:val="21"/>
                <w:u w:val="single"/>
              </w:rPr>
            </w:pPr>
            <w:r>
              <w:rPr>
                <w:rFonts w:hint="eastAsia" w:ascii="Times New Roman"/>
                <w:szCs w:val="21"/>
              </w:rPr>
              <w:t xml:space="preserve">　　　　　　　　　　　   　    </w:t>
            </w:r>
            <w:r>
              <w:rPr>
                <w:rFonts w:hint="eastAsia" w:ascii="Times New Roman"/>
                <w:bCs/>
                <w:szCs w:val="21"/>
              </w:rPr>
              <w:t xml:space="preserve">           项目监理机构(章): </w:t>
            </w:r>
            <w:r>
              <w:rPr>
                <w:rFonts w:hint="eastAsia" w:ascii="Times New Roman"/>
                <w:bCs/>
                <w:szCs w:val="21"/>
                <w:u w:val="single"/>
              </w:rPr>
              <w:t xml:space="preserve">                   </w:t>
            </w:r>
            <w:r>
              <w:rPr>
                <w:rFonts w:hint="eastAsia" w:ascii="Times New Roman"/>
                <w:bCs/>
                <w:szCs w:val="21"/>
              </w:rPr>
              <w:t xml:space="preserve"> </w:t>
            </w:r>
          </w:p>
          <w:p>
            <w:pPr>
              <w:spacing w:before="156" w:beforeLines="50"/>
              <w:rPr>
                <w:rFonts w:hint="eastAsia" w:ascii="Times New Roman"/>
                <w:szCs w:val="21"/>
              </w:rPr>
            </w:pPr>
            <w:r>
              <w:rPr>
                <w:rFonts w:hint="eastAsia" w:ascii="Times New Roman"/>
                <w:szCs w:val="21"/>
              </w:rPr>
              <w:t xml:space="preserve">                                          专业监理工程师（签字）：</w:t>
            </w:r>
            <w:r>
              <w:rPr>
                <w:rFonts w:hint="eastAsia" w:ascii="Times New Roman"/>
                <w:szCs w:val="21"/>
                <w:u w:val="single"/>
              </w:rPr>
              <w:t xml:space="preserve">　　        </w:t>
            </w:r>
          </w:p>
          <w:p>
            <w:pPr>
              <w:spacing w:before="156" w:beforeLines="50"/>
              <w:ind w:firstLine="5917" w:firstLineChars="2818"/>
              <w:rPr>
                <w:rFonts w:ascii="Times New Roman"/>
                <w:szCs w:val="21"/>
              </w:rPr>
            </w:pP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8522" w:type="dxa"/>
            <w:gridSpan w:val="4"/>
            <w:tcBorders>
              <w:top w:val="single" w:color="auto" w:sz="4" w:space="0"/>
              <w:left w:val="single" w:color="auto" w:sz="8" w:space="0"/>
              <w:bottom w:val="single" w:color="auto" w:sz="8" w:space="0"/>
              <w:right w:val="single" w:color="auto" w:sz="8" w:space="0"/>
            </w:tcBorders>
            <w:noWrap w:val="0"/>
            <w:vAlign w:val="center"/>
          </w:tcPr>
          <w:p>
            <w:pPr>
              <w:rPr>
                <w:szCs w:val="21"/>
              </w:rPr>
            </w:pPr>
            <w:r>
              <w:rPr>
                <w:rFonts w:hint="eastAsia" w:ascii="Times New Roman"/>
                <w:szCs w:val="21"/>
              </w:rPr>
              <w:t>注</w:t>
            </w:r>
            <w:r>
              <w:rPr>
                <w:rFonts w:hint="eastAsia"/>
                <w:szCs w:val="21"/>
              </w:rPr>
              <w:t>：</w:t>
            </w:r>
            <w:r>
              <w:rPr>
                <w:szCs w:val="21"/>
              </w:rPr>
              <w:t>1</w:t>
            </w:r>
            <w:r>
              <w:rPr>
                <w:rFonts w:hint="eastAsia"/>
                <w:szCs w:val="21"/>
              </w:rPr>
              <w:t>、本报审表主要用于装配式结构中部品部件进场的报审。</w:t>
            </w:r>
          </w:p>
          <w:p>
            <w:pPr>
              <w:ind w:firstLine="420" w:firstLineChars="200"/>
              <w:rPr>
                <w:rFonts w:ascii="Times New Roman"/>
                <w:spacing w:val="-6"/>
                <w:szCs w:val="21"/>
              </w:rPr>
            </w:pPr>
            <w:r>
              <w:rPr>
                <w:szCs w:val="21"/>
              </w:rPr>
              <w:t>2</w:t>
            </w:r>
            <w:r>
              <w:rPr>
                <w:rFonts w:hint="eastAsia"/>
                <w:szCs w:val="21"/>
              </w:rPr>
              <w:t>、本表一式二份，项目监理机构、施工单位各一份。</w:t>
            </w:r>
          </w:p>
        </w:tc>
      </w:tr>
    </w:tbl>
    <w:p>
      <w:pPr>
        <w:spacing w:line="380" w:lineRule="exact"/>
        <w:jc w:val="right"/>
        <w:rPr>
          <w:rFonts w:eastAsia="黑体"/>
          <w:b/>
          <w:sz w:val="28"/>
          <w:szCs w:val="28"/>
          <w14:shadow w14:blurRad="50800" w14:dist="38100" w14:dir="2700000" w14:sx="100000" w14:sy="100000" w14:kx="0" w14:ky="0" w14:algn="tl">
            <w14:srgbClr w14:val="000000">
              <w14:alpha w14:val="60000"/>
            </w14:srgbClr>
          </w14:shadow>
        </w:rPr>
      </w:pPr>
      <w:r>
        <w:rPr>
          <w:rFonts w:hint="eastAsia" w:ascii="Times New Roman" w:eastAsia="隶书"/>
        </w:rPr>
        <w:t>第六版表                                              江苏省住房和城乡建设厅监制</w:t>
      </w:r>
      <w:r>
        <w:rPr>
          <w:b/>
          <w:szCs w:val="21"/>
        </w:rPr>
        <w:br w:type="column"/>
      </w:r>
      <w:r>
        <w:rPr>
          <w:rFonts w:eastAsia="黑体"/>
          <w:b/>
          <w:sz w:val="28"/>
          <w:szCs w:val="28"/>
          <w14:shadow w14:blurRad="50800" w14:dist="38100" w14:dir="2700000" w14:sx="100000" w14:sy="100000" w14:kx="0" w14:ky="0" w14:algn="tl">
            <w14:srgbClr w14:val="000000">
              <w14:alpha w14:val="60000"/>
            </w14:srgbClr>
          </w14:shadow>
        </w:rPr>
        <w:t>B.1.8</w:t>
      </w:r>
    </w:p>
    <w:p>
      <w:pPr>
        <w:spacing w:before="312" w:beforeLines="100" w:after="312" w:afterLines="100" w:line="300" w:lineRule="exact"/>
        <w:jc w:val="center"/>
        <w:rPr>
          <w:rFonts w:eastAsia="黑体"/>
          <w:sz w:val="44"/>
          <w14:shadow w14:blurRad="50800" w14:dist="38100" w14:dir="2700000" w14:sx="100000" w14:sy="100000" w14:kx="0" w14:ky="0" w14:algn="tl">
            <w14:srgbClr w14:val="000000">
              <w14:alpha w14:val="60000"/>
            </w14:srgbClr>
          </w14:shadow>
        </w:rPr>
      </w:pPr>
      <w:r>
        <w:rPr>
          <w:rFonts w:hint="eastAsia" w:eastAsia="黑体"/>
          <w:sz w:val="44"/>
          <w14:shadow w14:blurRad="50800" w14:dist="38100" w14:dir="2700000" w14:sx="100000" w14:sy="100000" w14:kx="0" w14:ky="0" w14:algn="tl">
            <w14:srgbClr w14:val="000000">
              <w14:alpha w14:val="60000"/>
            </w14:srgbClr>
          </w14:shadow>
        </w:rPr>
        <w:t>部品部件安装质量报验表</w:t>
      </w:r>
    </w:p>
    <w:p>
      <w:pPr>
        <w:spacing w:after="156" w:afterLines="50" w:line="420" w:lineRule="exact"/>
        <w:ind w:left="21" w:right="-115" w:rightChars="-55" w:hanging="21" w:hangingChars="10"/>
        <w:rPr>
          <w:szCs w:val="21"/>
        </w:rPr>
      </w:pPr>
      <w:r>
        <w:rPr>
          <w:rFonts w:hint="eastAsia"/>
          <w:szCs w:val="21"/>
        </w:rPr>
        <w:t>工程名称：</w:t>
      </w:r>
      <w:r>
        <w:rPr>
          <w:szCs w:val="21"/>
          <w:u w:val="single"/>
        </w:rPr>
        <w:t xml:space="preserve">                      </w:t>
      </w:r>
      <w:r>
        <w:rPr>
          <w:rFonts w:hint="eastAsia"/>
          <w:szCs w:val="21"/>
        </w:rPr>
        <w:t>　　　　　　　　　　</w:t>
      </w:r>
      <w:r>
        <w:rPr>
          <w:szCs w:val="21"/>
        </w:rPr>
        <w:t xml:space="preserve">         </w:t>
      </w:r>
      <w:r>
        <w:rPr>
          <w:rFonts w:hint="eastAsia"/>
          <w:szCs w:val="21"/>
        </w:rPr>
        <w:t>编号：</w:t>
      </w:r>
      <w:r>
        <w:rPr>
          <w:szCs w:val="21"/>
        </w:rPr>
        <w:t>B.1.8</w:t>
      </w:r>
      <w:r>
        <w:rPr>
          <w:szCs w:val="21"/>
          <w:u w:val="single"/>
        </w:rPr>
        <w:t xml:space="preserve">  </w:t>
      </w:r>
      <w:r>
        <w:rPr>
          <w:rFonts w:hint="eastAsia"/>
          <w:szCs w:val="21"/>
        </w:rPr>
        <w:t>－</w:t>
      </w:r>
      <w:r>
        <w:rPr>
          <w:rFonts w:hint="eastAsia"/>
          <w:szCs w:val="21"/>
          <w:u w:val="single"/>
        </w:rPr>
        <w:t>　　</w:t>
      </w:r>
      <w:r>
        <w:rPr>
          <w:szCs w:val="21"/>
          <w:u w:val="single"/>
        </w:rPr>
        <w:t xml:space="preserve"> </w:t>
      </w:r>
      <w:r>
        <w:rPr>
          <w:rFonts w:hint="eastAsia"/>
          <w:szCs w:val="21"/>
          <w:u w:val="single"/>
        </w:rPr>
        <w:t>　</w:t>
      </w:r>
    </w:p>
    <w:tbl>
      <w:tblPr>
        <w:tblStyle w:val="1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93"/>
        <w:gridCol w:w="2184"/>
        <w:gridCol w:w="1985"/>
        <w:gridCol w:w="26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40" w:hRule="atLeast"/>
        </w:trPr>
        <w:tc>
          <w:tcPr>
            <w:tcW w:w="8718" w:type="dxa"/>
            <w:gridSpan w:val="4"/>
            <w:tcBorders>
              <w:top w:val="single" w:color="auto" w:sz="8" w:space="0"/>
              <w:left w:val="single" w:color="auto" w:sz="8" w:space="0"/>
              <w:bottom w:val="single" w:color="auto" w:sz="4" w:space="0"/>
              <w:right w:val="single" w:color="auto" w:sz="8" w:space="0"/>
            </w:tcBorders>
            <w:noWrap w:val="0"/>
            <w:vAlign w:val="top"/>
          </w:tcPr>
          <w:p>
            <w:pPr>
              <w:spacing w:before="156" w:beforeLines="50" w:after="156" w:afterLines="50" w:line="360" w:lineRule="exact"/>
              <w:rPr>
                <w:rFonts w:ascii="Times New Roman"/>
                <w:szCs w:val="21"/>
              </w:rPr>
            </w:pPr>
            <w:r>
              <w:rPr>
                <w:rFonts w:hint="eastAsia" w:ascii="Times New Roman"/>
                <w:szCs w:val="21"/>
              </w:rPr>
              <w:t>致：</w:t>
            </w:r>
            <w:r>
              <w:rPr>
                <w:rFonts w:hint="eastAsia" w:ascii="Times New Roman"/>
                <w:szCs w:val="21"/>
                <w:u w:val="single"/>
              </w:rPr>
              <w:t>　　　　　　 　　</w:t>
            </w:r>
            <w:r>
              <w:rPr>
                <w:rFonts w:hint="eastAsia" w:ascii="Times New Roman"/>
                <w:szCs w:val="21"/>
              </w:rPr>
              <w:t>（项目监理机构）</w:t>
            </w:r>
          </w:p>
          <w:p>
            <w:pPr>
              <w:spacing w:line="360" w:lineRule="exact"/>
              <w:ind w:firstLine="420" w:firstLineChars="200"/>
              <w:jc w:val="left"/>
              <w:rPr>
                <w:rFonts w:hint="eastAsia" w:ascii="Times New Roman"/>
                <w:szCs w:val="21"/>
              </w:rPr>
            </w:pPr>
            <w:r>
              <w:rPr>
                <w:rFonts w:hint="eastAsia" w:ascii="Times New Roman"/>
                <w:szCs w:val="21"/>
              </w:rPr>
              <w:t>我方已完成</w:t>
            </w:r>
            <w:r>
              <w:rPr>
                <w:rFonts w:hint="eastAsia" w:ascii="Times New Roman"/>
                <w:szCs w:val="21"/>
                <w:u w:val="single"/>
              </w:rPr>
              <w:t xml:space="preserve">                                   </w:t>
            </w:r>
            <w:r>
              <w:rPr>
                <w:rFonts w:hint="eastAsia" w:ascii="Times New Roman"/>
                <w:szCs w:val="21"/>
              </w:rPr>
              <w:t>工作，经自检合格，请予以验收。</w:t>
            </w:r>
          </w:p>
          <w:p>
            <w:pPr>
              <w:spacing w:line="360" w:lineRule="exact"/>
              <w:ind w:firstLine="420" w:firstLineChars="200"/>
              <w:jc w:val="left"/>
              <w:rPr>
                <w:rFonts w:hint="eastAsia" w:ascii="Times New Roman"/>
                <w:szCs w:val="21"/>
              </w:rPr>
            </w:pPr>
            <w:r>
              <w:rPr>
                <w:rFonts w:hint="eastAsia" w:ascii="Times New Roman"/>
                <w:szCs w:val="21"/>
              </w:rPr>
              <w:t>附件：</w:t>
            </w:r>
          </w:p>
          <w:p>
            <w:pPr>
              <w:numPr>
                <w:ilvl w:val="0"/>
                <w:numId w:val="14"/>
              </w:numPr>
              <w:spacing w:line="360" w:lineRule="exact"/>
              <w:ind w:hanging="420"/>
              <w:jc w:val="left"/>
              <w:rPr>
                <w:rFonts w:hint="eastAsia" w:ascii="Times New Roman"/>
                <w:szCs w:val="21"/>
              </w:rPr>
            </w:pPr>
            <w:r>
              <w:rPr>
                <w:rFonts w:hint="eastAsia" w:ascii="Times New Roman"/>
                <w:szCs w:val="21"/>
              </w:rPr>
              <w:t>隐蔽工程质量检验资料</w:t>
            </w:r>
          </w:p>
          <w:p>
            <w:pPr>
              <w:numPr>
                <w:ilvl w:val="0"/>
                <w:numId w:val="14"/>
              </w:numPr>
              <w:spacing w:line="360" w:lineRule="exact"/>
              <w:ind w:hanging="420"/>
              <w:jc w:val="left"/>
              <w:rPr>
                <w:rFonts w:hint="eastAsia" w:ascii="Times New Roman"/>
                <w:szCs w:val="21"/>
              </w:rPr>
            </w:pPr>
            <w:r>
              <w:rPr>
                <w:rFonts w:hint="eastAsia" w:ascii="Times New Roman"/>
                <w:szCs w:val="21"/>
              </w:rPr>
              <w:t>检验批质量检验资料</w:t>
            </w:r>
          </w:p>
          <w:p>
            <w:pPr>
              <w:numPr>
                <w:ilvl w:val="0"/>
                <w:numId w:val="14"/>
              </w:numPr>
              <w:spacing w:line="360" w:lineRule="exact"/>
              <w:ind w:hanging="420"/>
              <w:jc w:val="left"/>
              <w:rPr>
                <w:rFonts w:hint="eastAsia" w:ascii="Times New Roman"/>
                <w:szCs w:val="21"/>
              </w:rPr>
            </w:pPr>
            <w:r>
              <w:rPr>
                <w:rFonts w:hint="eastAsia" w:ascii="Times New Roman"/>
                <w:szCs w:val="21"/>
              </w:rPr>
              <w:t>分项工程质量检验资料</w:t>
            </w:r>
          </w:p>
          <w:p>
            <w:pPr>
              <w:numPr>
                <w:ilvl w:val="0"/>
                <w:numId w:val="14"/>
              </w:numPr>
              <w:spacing w:line="360" w:lineRule="exact"/>
              <w:ind w:hanging="420"/>
              <w:jc w:val="left"/>
              <w:rPr>
                <w:rFonts w:hint="eastAsia" w:ascii="Times New Roman"/>
                <w:szCs w:val="21"/>
              </w:rPr>
            </w:pPr>
          </w:p>
          <w:p>
            <w:pPr>
              <w:spacing w:line="420" w:lineRule="exact"/>
              <w:ind w:left="420"/>
              <w:jc w:val="left"/>
              <w:rPr>
                <w:rFonts w:hint="eastAsia" w:ascii="Times New Roman"/>
                <w:szCs w:val="21"/>
              </w:rPr>
            </w:pPr>
            <w:r>
              <w:rPr>
                <w:rFonts w:hint="eastAsia" w:ascii="Times New Roman"/>
                <w:szCs w:val="21"/>
              </w:rPr>
              <w:t xml:space="preserve">                    </w:t>
            </w:r>
          </w:p>
          <w:p>
            <w:pPr>
              <w:spacing w:line="420" w:lineRule="exact"/>
              <w:rPr>
                <w:rFonts w:hint="eastAsia" w:ascii="Times New Roman"/>
                <w:szCs w:val="21"/>
                <w:u w:val="single"/>
              </w:rPr>
            </w:pPr>
            <w:r>
              <w:rPr>
                <w:rFonts w:hint="eastAsia" w:ascii="Times New Roman"/>
                <w:szCs w:val="21"/>
              </w:rPr>
              <w:t xml:space="preserve">                            </w:t>
            </w:r>
            <w:r>
              <w:rPr>
                <w:rFonts w:ascii="Times New Roman"/>
                <w:szCs w:val="21"/>
              </w:rPr>
              <w:t> </w:t>
            </w:r>
            <w:r>
              <w:rPr>
                <w:rFonts w:hint="eastAsia" w:ascii="Times New Roman"/>
                <w:szCs w:val="21"/>
              </w:rPr>
              <w:t xml:space="preserve">              施工项目经理部（章）：</w:t>
            </w:r>
            <w:r>
              <w:rPr>
                <w:rFonts w:hint="eastAsia" w:ascii="Times New Roman"/>
                <w:szCs w:val="21"/>
                <w:u w:val="single"/>
              </w:rPr>
              <w:t xml:space="preserve">　　　　       </w:t>
            </w:r>
          </w:p>
          <w:p>
            <w:pPr>
              <w:spacing w:line="420" w:lineRule="exact"/>
              <w:ind w:firstLine="482"/>
              <w:jc w:val="left"/>
              <w:rPr>
                <w:rFonts w:hint="eastAsia" w:ascii="Times New Roman"/>
                <w:szCs w:val="21"/>
                <w:u w:val="single"/>
              </w:rPr>
            </w:pPr>
            <w:r>
              <w:rPr>
                <w:rFonts w:hint="eastAsia" w:ascii="Times New Roman"/>
                <w:szCs w:val="21"/>
              </w:rPr>
              <w:t>　                                    项目经理（签字）：</w:t>
            </w:r>
            <w:r>
              <w:rPr>
                <w:rFonts w:hint="eastAsia" w:ascii="Times New Roman"/>
                <w:szCs w:val="21"/>
                <w:u w:val="single"/>
              </w:rPr>
              <w:t>　　　　　       　</w:t>
            </w:r>
          </w:p>
          <w:p>
            <w:pPr>
              <w:spacing w:line="420" w:lineRule="exact"/>
              <w:ind w:right="-124" w:firstLine="482"/>
              <w:rPr>
                <w:rFonts w:ascii="Times New Roman"/>
                <w:szCs w:val="21"/>
              </w:rPr>
            </w:pPr>
            <w:r>
              <w:rPr>
                <w:rFonts w:hint="eastAsia" w:ascii="Times New Roman"/>
                <w:szCs w:val="21"/>
              </w:rPr>
              <w:t xml:space="preserve">                                                        </w:t>
            </w: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1893" w:type="dxa"/>
            <w:tcBorders>
              <w:top w:val="single" w:color="auto" w:sz="4" w:space="0"/>
              <w:left w:val="single" w:color="auto" w:sz="8" w:space="0"/>
              <w:bottom w:val="single" w:color="auto" w:sz="4" w:space="0"/>
              <w:right w:val="single" w:color="auto" w:sz="4" w:space="0"/>
            </w:tcBorders>
            <w:noWrap w:val="0"/>
            <w:vAlign w:val="center"/>
          </w:tcPr>
          <w:p>
            <w:pPr>
              <w:ind w:left="-105" w:leftChars="-50" w:right="-105" w:rightChars="-50"/>
              <w:jc w:val="center"/>
              <w:rPr>
                <w:rFonts w:ascii="Times New Roman"/>
                <w:spacing w:val="-8"/>
                <w:szCs w:val="21"/>
              </w:rPr>
            </w:pPr>
            <w:r>
              <w:rPr>
                <w:rFonts w:hint="eastAsia" w:ascii="Times New Roman"/>
                <w:spacing w:val="-8"/>
                <w:szCs w:val="21"/>
              </w:rPr>
              <w:t>项目监理机构</w:t>
            </w:r>
          </w:p>
          <w:p>
            <w:pPr>
              <w:ind w:left="-105" w:leftChars="-50" w:right="-105" w:rightChars="-50"/>
              <w:jc w:val="center"/>
              <w:rPr>
                <w:rFonts w:ascii="Times New Roman"/>
                <w:szCs w:val="21"/>
              </w:rPr>
            </w:pPr>
            <w:r>
              <w:rPr>
                <w:rFonts w:hint="eastAsia" w:ascii="Times New Roman"/>
                <w:spacing w:val="-8"/>
                <w:szCs w:val="21"/>
              </w:rPr>
              <w:t>签收人姓名及时间</w:t>
            </w:r>
          </w:p>
        </w:tc>
        <w:tc>
          <w:tcPr>
            <w:tcW w:w="2184"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rFonts w:ascii="Times New Roman"/>
                <w:szCs w:val="21"/>
              </w:rPr>
            </w:pPr>
          </w:p>
        </w:tc>
        <w:tc>
          <w:tcPr>
            <w:tcW w:w="198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rFonts w:ascii="Times New Roman"/>
                <w:szCs w:val="21"/>
              </w:rPr>
            </w:pPr>
            <w:r>
              <w:rPr>
                <w:rFonts w:hint="eastAsia" w:ascii="Times New Roman"/>
                <w:szCs w:val="21"/>
              </w:rPr>
              <w:t>施工项目经理部</w:t>
            </w:r>
          </w:p>
          <w:p>
            <w:pPr>
              <w:ind w:left="-105" w:leftChars="-50" w:right="-105" w:rightChars="-50"/>
              <w:jc w:val="center"/>
              <w:rPr>
                <w:rFonts w:ascii="Times New Roman"/>
                <w:szCs w:val="21"/>
              </w:rPr>
            </w:pPr>
            <w:r>
              <w:rPr>
                <w:rFonts w:hint="eastAsia" w:ascii="Times New Roman"/>
                <w:szCs w:val="21"/>
              </w:rPr>
              <w:t>签收人姓名及时间</w:t>
            </w:r>
          </w:p>
        </w:tc>
        <w:tc>
          <w:tcPr>
            <w:tcW w:w="2656" w:type="dxa"/>
            <w:tcBorders>
              <w:top w:val="single" w:color="auto" w:sz="4" w:space="0"/>
              <w:left w:val="single" w:color="auto" w:sz="4" w:space="0"/>
              <w:bottom w:val="single" w:color="auto" w:sz="4" w:space="0"/>
              <w:right w:val="single" w:color="auto" w:sz="8" w:space="0"/>
            </w:tcBorders>
            <w:noWrap w:val="0"/>
            <w:vAlign w:val="center"/>
          </w:tcPr>
          <w:p>
            <w:pPr>
              <w:ind w:left="-105" w:leftChars="-50" w:right="-105" w:rightChars="-50"/>
              <w:jc w:val="center"/>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28" w:hRule="atLeast"/>
        </w:trPr>
        <w:tc>
          <w:tcPr>
            <w:tcW w:w="8718" w:type="dxa"/>
            <w:gridSpan w:val="4"/>
            <w:tcBorders>
              <w:top w:val="single" w:color="auto" w:sz="4" w:space="0"/>
              <w:left w:val="single" w:color="auto" w:sz="8" w:space="0"/>
              <w:bottom w:val="single" w:color="auto" w:sz="4" w:space="0"/>
              <w:right w:val="single" w:color="auto" w:sz="8" w:space="0"/>
            </w:tcBorders>
            <w:noWrap w:val="0"/>
            <w:vAlign w:val="center"/>
          </w:tcPr>
          <w:p>
            <w:pPr>
              <w:spacing w:line="360" w:lineRule="auto"/>
              <w:rPr>
                <w:rFonts w:ascii="Times New Roman"/>
                <w:szCs w:val="21"/>
              </w:rPr>
            </w:pPr>
            <w:r>
              <w:rPr>
                <w:rFonts w:hint="eastAsia" w:ascii="Times New Roman"/>
                <w:szCs w:val="21"/>
              </w:rPr>
              <w:t>验收情况：</w:t>
            </w:r>
          </w:p>
          <w:p>
            <w:pPr>
              <w:spacing w:line="360" w:lineRule="auto"/>
              <w:ind w:firstLine="420" w:firstLineChars="200"/>
              <w:rPr>
                <w:rFonts w:hint="eastAsia" w:ascii="Times New Roman"/>
                <w:szCs w:val="21"/>
              </w:rPr>
            </w:pPr>
            <w:r>
              <w:rPr>
                <w:rFonts w:hint="eastAsia" w:ascii="Times New Roman"/>
                <w:szCs w:val="21"/>
              </w:rPr>
              <w:t>收到施工单位报验资料共</w:t>
            </w:r>
            <w:r>
              <w:rPr>
                <w:rFonts w:hint="eastAsia" w:ascii="Times New Roman"/>
                <w:szCs w:val="21"/>
                <w:u w:val="single"/>
              </w:rPr>
              <w:t xml:space="preserve">     </w:t>
            </w:r>
            <w:r>
              <w:rPr>
                <w:rFonts w:hint="eastAsia" w:ascii="Times New Roman"/>
                <w:szCs w:val="21"/>
              </w:rPr>
              <w:t>页，该项报验内容系第</w:t>
            </w:r>
            <w:r>
              <w:rPr>
                <w:rFonts w:hint="eastAsia" w:ascii="Times New Roman"/>
                <w:szCs w:val="21"/>
                <w:u w:val="single"/>
              </w:rPr>
              <w:t xml:space="preserve">    </w:t>
            </w:r>
            <w:r>
              <w:rPr>
                <w:rFonts w:hint="eastAsia" w:ascii="Times New Roman"/>
                <w:szCs w:val="21"/>
              </w:rPr>
              <w:t>次报验。</w:t>
            </w:r>
          </w:p>
          <w:p>
            <w:pPr>
              <w:rPr>
                <w:rFonts w:hint="eastAsia" w:ascii="Times New Roman"/>
                <w:szCs w:val="21"/>
              </w:rPr>
            </w:pPr>
          </w:p>
          <w:p>
            <w:pPr>
              <w:rPr>
                <w:rFonts w:hint="eastAsia" w:ascii="Times New Roman"/>
                <w:szCs w:val="21"/>
                <w:u w:val="single"/>
              </w:rPr>
            </w:pPr>
            <w:r>
              <w:rPr>
                <w:rFonts w:hint="eastAsia" w:ascii="Times New Roman"/>
                <w:szCs w:val="21"/>
              </w:rPr>
              <w:t xml:space="preserve">                            </w:t>
            </w:r>
          </w:p>
          <w:p>
            <w:pPr>
              <w:spacing w:line="360" w:lineRule="auto"/>
              <w:ind w:right="-124"/>
              <w:rPr>
                <w:rFonts w:hint="eastAsia" w:ascii="Times New Roman"/>
                <w:szCs w:val="21"/>
              </w:rPr>
            </w:pPr>
            <w:r>
              <w:rPr>
                <w:rFonts w:ascii="Times New Roman"/>
                <w:szCs w:val="21"/>
              </w:rPr>
              <w:t> </w:t>
            </w:r>
            <w:r>
              <w:rPr>
                <w:rFonts w:hint="eastAsia" w:ascii="Times New Roman"/>
                <w:szCs w:val="21"/>
              </w:rPr>
              <w:t xml:space="preserve">                                                  检查人（签字）：</w:t>
            </w:r>
            <w:r>
              <w:rPr>
                <w:rFonts w:hint="eastAsia" w:ascii="Times New Roman"/>
                <w:szCs w:val="21"/>
                <w:u w:val="single"/>
              </w:rPr>
              <w:t xml:space="preserve">              </w:t>
            </w:r>
            <w:r>
              <w:rPr>
                <w:rFonts w:hint="eastAsia" w:ascii="Times New Roman"/>
                <w:szCs w:val="21"/>
              </w:rPr>
              <w:t xml:space="preserve">  </w:t>
            </w:r>
          </w:p>
          <w:p>
            <w:pPr>
              <w:spacing w:line="360" w:lineRule="auto"/>
              <w:ind w:right="-124" w:firstLine="3360" w:firstLineChars="1600"/>
              <w:jc w:val="right"/>
              <w:rPr>
                <w:rFonts w:ascii="Times New Roman"/>
                <w:szCs w:val="21"/>
              </w:rPr>
            </w:pP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 xml:space="preserve">日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12" w:hRule="atLeast"/>
        </w:trPr>
        <w:tc>
          <w:tcPr>
            <w:tcW w:w="8718" w:type="dxa"/>
            <w:gridSpan w:val="4"/>
            <w:tcBorders>
              <w:top w:val="single" w:color="auto" w:sz="4" w:space="0"/>
              <w:left w:val="single" w:color="auto" w:sz="8" w:space="0"/>
              <w:bottom w:val="single" w:color="auto" w:sz="4" w:space="0"/>
              <w:right w:val="single" w:color="auto" w:sz="8" w:space="0"/>
            </w:tcBorders>
            <w:noWrap w:val="0"/>
            <w:vAlign w:val="top"/>
          </w:tcPr>
          <w:p>
            <w:pPr>
              <w:spacing w:line="360" w:lineRule="exact"/>
              <w:rPr>
                <w:rFonts w:ascii="Times New Roman"/>
                <w:szCs w:val="21"/>
              </w:rPr>
            </w:pPr>
            <w:r>
              <w:rPr>
                <w:rFonts w:hint="eastAsia" w:ascii="Times New Roman"/>
                <w:szCs w:val="21"/>
              </w:rPr>
              <w:t>验收意见：</w:t>
            </w:r>
          </w:p>
          <w:p>
            <w:pPr>
              <w:ind w:left="840"/>
              <w:rPr>
                <w:rFonts w:hint="eastAsia" w:ascii="Times New Roman"/>
                <w:szCs w:val="21"/>
              </w:rPr>
            </w:pPr>
          </w:p>
          <w:p>
            <w:pPr>
              <w:spacing w:line="360" w:lineRule="exact"/>
              <w:rPr>
                <w:rFonts w:hint="eastAsia" w:ascii="Times New Roman"/>
                <w:szCs w:val="21"/>
              </w:rPr>
            </w:pPr>
            <w:r>
              <w:rPr>
                <w:rFonts w:hint="eastAsia" w:ascii="Times New Roman"/>
                <w:szCs w:val="21"/>
              </w:rPr>
              <w:t xml:space="preserve">                   </w:t>
            </w:r>
          </w:p>
          <w:p>
            <w:pPr>
              <w:spacing w:line="420" w:lineRule="exact"/>
              <w:ind w:firstLine="3570" w:firstLineChars="1700"/>
              <w:rPr>
                <w:rFonts w:hint="eastAsia" w:ascii="Times New Roman"/>
                <w:szCs w:val="21"/>
              </w:rPr>
            </w:pPr>
            <w:r>
              <w:rPr>
                <w:rFonts w:hint="eastAsia" w:ascii="Times New Roman"/>
                <w:szCs w:val="21"/>
              </w:rPr>
              <w:t xml:space="preserve">        项目监理机构（章）：</w:t>
            </w:r>
            <w:r>
              <w:rPr>
                <w:rFonts w:hint="eastAsia" w:ascii="Times New Roman"/>
                <w:szCs w:val="21"/>
                <w:u w:val="single"/>
              </w:rPr>
              <w:t xml:space="preserve">                   </w:t>
            </w:r>
          </w:p>
          <w:p>
            <w:pPr>
              <w:spacing w:line="420" w:lineRule="exact"/>
              <w:rPr>
                <w:rFonts w:hint="eastAsia" w:ascii="Times New Roman"/>
                <w:szCs w:val="21"/>
              </w:rPr>
            </w:pPr>
            <w:r>
              <w:rPr>
                <w:rFonts w:hint="eastAsia" w:ascii="Times New Roman"/>
                <w:szCs w:val="21"/>
              </w:rPr>
              <w:t xml:space="preserve">                                          专业监理工程师（签字）：</w:t>
            </w:r>
            <w:r>
              <w:rPr>
                <w:rFonts w:hint="eastAsia" w:ascii="Times New Roman"/>
                <w:szCs w:val="21"/>
                <w:u w:val="single"/>
              </w:rPr>
              <w:t xml:space="preserve">               </w:t>
            </w:r>
          </w:p>
          <w:p>
            <w:pPr>
              <w:spacing w:line="420" w:lineRule="exact"/>
              <w:rPr>
                <w:rFonts w:ascii="Times New Roman"/>
                <w:szCs w:val="21"/>
                <w:u w:val="single"/>
              </w:rPr>
            </w:pPr>
            <w:r>
              <w:rPr>
                <w:rFonts w:hint="eastAsia" w:ascii="Times New Roman"/>
                <w:szCs w:val="21"/>
              </w:rPr>
              <w:t xml:space="preserve">                                                           </w:t>
            </w: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66" w:hRule="atLeast"/>
        </w:trPr>
        <w:tc>
          <w:tcPr>
            <w:tcW w:w="8718" w:type="dxa"/>
            <w:gridSpan w:val="4"/>
            <w:tcBorders>
              <w:top w:val="single" w:color="auto" w:sz="4" w:space="0"/>
              <w:left w:val="single" w:color="auto" w:sz="8" w:space="0"/>
              <w:bottom w:val="single" w:color="auto" w:sz="8" w:space="0"/>
              <w:right w:val="single" w:color="auto" w:sz="8" w:space="0"/>
            </w:tcBorders>
            <w:noWrap w:val="0"/>
            <w:vAlign w:val="center"/>
          </w:tcPr>
          <w:p>
            <w:pPr>
              <w:rPr>
                <w:szCs w:val="21"/>
              </w:rPr>
            </w:pPr>
            <w:r>
              <w:rPr>
                <w:rFonts w:hint="eastAsia" w:ascii="Times New Roman"/>
                <w:szCs w:val="21"/>
              </w:rPr>
              <w:t>注：</w:t>
            </w:r>
            <w:r>
              <w:rPr>
                <w:szCs w:val="21"/>
              </w:rPr>
              <w:t>1</w:t>
            </w:r>
            <w:r>
              <w:rPr>
                <w:rFonts w:hint="eastAsia"/>
                <w:szCs w:val="21"/>
              </w:rPr>
              <w:t>、本报验表分为隐蔽工程质量报验（</w:t>
            </w:r>
            <w:r>
              <w:rPr>
                <w:szCs w:val="21"/>
              </w:rPr>
              <w:t>B.1.81</w:t>
            </w:r>
            <w:r>
              <w:rPr>
                <w:rFonts w:hint="eastAsia"/>
                <w:szCs w:val="21"/>
              </w:rPr>
              <w:t>）、检验批质量报验（</w:t>
            </w:r>
            <w:r>
              <w:rPr>
                <w:szCs w:val="21"/>
              </w:rPr>
              <w:t>B.1.82</w:t>
            </w:r>
            <w:r>
              <w:rPr>
                <w:rFonts w:hint="eastAsia"/>
                <w:szCs w:val="21"/>
              </w:rPr>
              <w:t>）和分项工程质量报验（</w:t>
            </w:r>
            <w:r>
              <w:rPr>
                <w:szCs w:val="21"/>
              </w:rPr>
              <w:t>B.1.83</w:t>
            </w:r>
            <w:r>
              <w:rPr>
                <w:rFonts w:hint="eastAsia"/>
                <w:szCs w:val="21"/>
              </w:rPr>
              <w:t>）。</w:t>
            </w:r>
          </w:p>
          <w:p>
            <w:pPr>
              <w:ind w:firstLine="420" w:firstLineChars="200"/>
              <w:rPr>
                <w:szCs w:val="21"/>
              </w:rPr>
            </w:pPr>
            <w:r>
              <w:rPr>
                <w:szCs w:val="21"/>
              </w:rPr>
              <w:t>2</w:t>
            </w:r>
            <w:r>
              <w:rPr>
                <w:rFonts w:hint="eastAsia"/>
                <w:szCs w:val="21"/>
              </w:rPr>
              <w:t>、本表一式二份，项目监理机构、施工单位各一份。</w:t>
            </w:r>
          </w:p>
        </w:tc>
      </w:tr>
    </w:tbl>
    <w:p>
      <w:pPr>
        <w:rPr>
          <w:rFonts w:ascii="Times New Roman" w:eastAsia="隶书"/>
        </w:rPr>
      </w:pPr>
      <w:r>
        <w:rPr>
          <w:rFonts w:hint="eastAsia" w:ascii="Times New Roman" w:eastAsia="隶书"/>
        </w:rPr>
        <w:t>第六版表                                              江苏省住房和城乡建设厅监制</w:t>
      </w:r>
    </w:p>
    <w:p>
      <w:pPr>
        <w:widowControl/>
        <w:jc w:val="left"/>
        <w:rPr>
          <w:rFonts w:ascii="Times New Roman" w:eastAsia="黑体"/>
          <w:kern w:val="44"/>
          <w:sz w:val="44"/>
          <w:szCs w:val="28"/>
          <w14:shadow w14:blurRad="50800" w14:dist="38100" w14:dir="2700000" w14:sx="100000" w14:sy="100000" w14:kx="0" w14:ky="0" w14:algn="tl">
            <w14:srgbClr w14:val="000000">
              <w14:alpha w14:val="60000"/>
            </w14:srgbClr>
          </w14:shadow>
        </w:rPr>
        <w:sectPr>
          <w:pgSz w:w="11906" w:h="16838"/>
          <w:pgMar w:top="1021" w:right="1701" w:bottom="1701" w:left="1701" w:header="851" w:footer="992" w:gutter="0"/>
          <w:cols w:space="720" w:num="1"/>
          <w:docGrid w:type="lines" w:linePitch="312" w:charSpace="0"/>
        </w:sectPr>
      </w:pPr>
    </w:p>
    <w:p>
      <w:pPr>
        <w:jc w:val="right"/>
        <w:rPr>
          <w:rFonts w:hint="eastAsia" w:eastAsia="黑体"/>
          <w:b/>
          <w:sz w:val="28"/>
          <w:szCs w:val="28"/>
          <w14:shadow w14:blurRad="50800" w14:dist="38100" w14:dir="2700000" w14:sx="100000" w14:sy="100000" w14:kx="0" w14:ky="0" w14:algn="tl">
            <w14:srgbClr w14:val="000000">
              <w14:alpha w14:val="60000"/>
            </w14:srgbClr>
          </w14:shadow>
        </w:rPr>
      </w:pPr>
      <w:r>
        <w:rPr>
          <w:rFonts w:eastAsia="黑体"/>
          <w:b/>
          <w:sz w:val="28"/>
          <w:szCs w:val="28"/>
          <w14:shadow w14:blurRad="50800" w14:dist="38100" w14:dir="2700000" w14:sx="100000" w14:sy="100000" w14:kx="0" w14:ky="0" w14:algn="tl">
            <w14:srgbClr w14:val="000000">
              <w14:alpha w14:val="60000"/>
            </w14:srgbClr>
          </w14:shadow>
        </w:rPr>
        <w:t>B.2.1</w:t>
      </w:r>
    </w:p>
    <w:p>
      <w:pPr>
        <w:spacing w:before="312" w:beforeLines="100" w:after="312" w:afterLines="100" w:line="300" w:lineRule="exact"/>
        <w:jc w:val="center"/>
        <w:rPr>
          <w:rFonts w:eastAsia="黑体"/>
          <w:sz w:val="44"/>
          <w14:shadow w14:blurRad="50800" w14:dist="38100" w14:dir="2700000" w14:sx="100000" w14:sy="100000" w14:kx="0" w14:ky="0" w14:algn="tl">
            <w14:srgbClr w14:val="000000">
              <w14:alpha w14:val="60000"/>
            </w14:srgbClr>
          </w14:shadow>
        </w:rPr>
      </w:pPr>
      <w:r>
        <w:rPr>
          <w:rFonts w:hint="eastAsia" w:eastAsia="黑体"/>
          <w:sz w:val="44"/>
          <w14:shadow w14:blurRad="50800" w14:dist="38100" w14:dir="2700000" w14:sx="100000" w14:sy="100000" w14:kx="0" w14:ky="0" w14:algn="tl">
            <w14:srgbClr w14:val="000000">
              <w14:alpha w14:val="60000"/>
            </w14:srgbClr>
          </w14:shadow>
        </w:rPr>
        <w:t>工程计量报审表</w:t>
      </w:r>
    </w:p>
    <w:p>
      <w:pPr>
        <w:spacing w:after="156" w:afterLines="50" w:line="420" w:lineRule="exact"/>
        <w:ind w:left="21" w:hanging="21" w:hangingChars="10"/>
        <w:rPr>
          <w:szCs w:val="21"/>
        </w:rPr>
      </w:pPr>
      <w:r>
        <w:rPr>
          <w:rFonts w:hint="eastAsia"/>
          <w:szCs w:val="21"/>
        </w:rPr>
        <w:t>工程名称：</w:t>
      </w:r>
      <w:r>
        <w:rPr>
          <w:szCs w:val="21"/>
          <w:u w:val="single"/>
        </w:rPr>
        <w:t xml:space="preserve">                        </w:t>
      </w:r>
      <w:r>
        <w:rPr>
          <w:rFonts w:hint="eastAsia"/>
          <w:szCs w:val="21"/>
        </w:rPr>
        <w:t>　　　　　　</w:t>
      </w:r>
      <w:r>
        <w:rPr>
          <w:szCs w:val="21"/>
        </w:rPr>
        <w:t xml:space="preserve">               </w:t>
      </w:r>
      <w:r>
        <w:rPr>
          <w:rFonts w:hint="eastAsia"/>
          <w:szCs w:val="21"/>
        </w:rPr>
        <w:t>编号：</w:t>
      </w:r>
      <w:r>
        <w:rPr>
          <w:szCs w:val="21"/>
        </w:rPr>
        <w:t>B.2.1</w:t>
      </w:r>
      <w:r>
        <w:rPr>
          <w:rFonts w:hint="eastAsia"/>
          <w:szCs w:val="21"/>
        </w:rPr>
        <w:t>—</w:t>
      </w:r>
      <w:r>
        <w:rPr>
          <w:rFonts w:hint="eastAsia"/>
          <w:szCs w:val="21"/>
          <w:u w:val="single"/>
        </w:rPr>
        <w:t>　　　　</w:t>
      </w: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14"/>
        <w:gridCol w:w="2794"/>
        <w:gridCol w:w="1796"/>
        <w:gridCol w:w="23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8522" w:type="dxa"/>
            <w:gridSpan w:val="4"/>
            <w:tcBorders>
              <w:top w:val="single" w:color="auto" w:sz="8" w:space="0"/>
              <w:left w:val="single" w:color="auto" w:sz="8" w:space="0"/>
              <w:bottom w:val="single" w:color="auto" w:sz="4" w:space="0"/>
              <w:right w:val="single" w:color="auto" w:sz="8" w:space="0"/>
            </w:tcBorders>
            <w:noWrap w:val="0"/>
            <w:vAlign w:val="top"/>
          </w:tcPr>
          <w:p>
            <w:pPr>
              <w:spacing w:line="360" w:lineRule="exact"/>
              <w:rPr>
                <w:rFonts w:ascii="Times New Roman"/>
                <w:szCs w:val="21"/>
              </w:rPr>
            </w:pPr>
            <w:r>
              <w:rPr>
                <w:rFonts w:hint="eastAsia" w:ascii="Times New Roman"/>
                <w:szCs w:val="21"/>
              </w:rPr>
              <w:t>致：</w:t>
            </w:r>
            <w:r>
              <w:rPr>
                <w:rFonts w:hint="eastAsia" w:ascii="Times New Roman"/>
                <w:szCs w:val="21"/>
                <w:u w:val="single"/>
              </w:rPr>
              <w:t>　　　　　　       　</w:t>
            </w:r>
            <w:r>
              <w:rPr>
                <w:rFonts w:hint="eastAsia" w:ascii="Times New Roman"/>
                <w:szCs w:val="21"/>
              </w:rPr>
              <w:t>（项目监理机构）</w:t>
            </w:r>
          </w:p>
          <w:p>
            <w:pPr>
              <w:spacing w:before="156" w:beforeLines="50" w:line="340" w:lineRule="exact"/>
              <w:ind w:left="1050" w:leftChars="200" w:hanging="630" w:hangingChars="300"/>
              <w:rPr>
                <w:rFonts w:hint="eastAsia" w:ascii="Times New Roman"/>
                <w:szCs w:val="21"/>
                <w:u w:val="single"/>
              </w:rPr>
            </w:pPr>
            <w:r>
              <w:rPr>
                <w:rFonts w:hint="eastAsia" w:ascii="Times New Roman"/>
                <w:szCs w:val="21"/>
              </w:rPr>
              <w:t>兹申报</w:t>
            </w:r>
            <w:r>
              <w:rPr>
                <w:rFonts w:hint="eastAsia" w:ascii="Times New Roman"/>
                <w:szCs w:val="21"/>
                <w:u w:val="single"/>
              </w:rPr>
              <w:t>　　　　</w:t>
            </w:r>
            <w:r>
              <w:rPr>
                <w:rFonts w:hint="eastAsia" w:ascii="Times New Roman"/>
                <w:szCs w:val="21"/>
              </w:rPr>
              <w:t>年</w:t>
            </w:r>
            <w:r>
              <w:rPr>
                <w:rFonts w:hint="eastAsia" w:ascii="Times New Roman"/>
                <w:szCs w:val="21"/>
                <w:u w:val="single"/>
              </w:rPr>
              <w:t>　　</w:t>
            </w:r>
            <w:r>
              <w:rPr>
                <w:rFonts w:hint="eastAsia" w:ascii="Times New Roman"/>
                <w:szCs w:val="21"/>
              </w:rPr>
              <w:t>月</w:t>
            </w:r>
            <w:r>
              <w:rPr>
                <w:rFonts w:hint="eastAsia" w:ascii="Times New Roman"/>
                <w:szCs w:val="21"/>
                <w:u w:val="single"/>
              </w:rPr>
              <w:t>　　</w:t>
            </w:r>
            <w:r>
              <w:rPr>
                <w:rFonts w:hint="eastAsia" w:ascii="Times New Roman"/>
                <w:szCs w:val="21"/>
              </w:rPr>
              <w:t>日至</w:t>
            </w:r>
            <w:r>
              <w:rPr>
                <w:rFonts w:hint="eastAsia" w:ascii="Times New Roman"/>
                <w:szCs w:val="21"/>
                <w:u w:val="single"/>
              </w:rPr>
              <w:t>　　　　</w:t>
            </w:r>
            <w:r>
              <w:rPr>
                <w:rFonts w:hint="eastAsia" w:ascii="Times New Roman"/>
                <w:szCs w:val="21"/>
              </w:rPr>
              <w:t>年</w:t>
            </w:r>
            <w:r>
              <w:rPr>
                <w:rFonts w:hint="eastAsia" w:ascii="Times New Roman"/>
                <w:szCs w:val="21"/>
                <w:u w:val="single"/>
              </w:rPr>
              <w:t>　　</w:t>
            </w:r>
            <w:r>
              <w:rPr>
                <w:rFonts w:hint="eastAsia" w:ascii="Times New Roman"/>
                <w:szCs w:val="21"/>
              </w:rPr>
              <w:t>月</w:t>
            </w:r>
            <w:r>
              <w:rPr>
                <w:rFonts w:hint="eastAsia" w:ascii="Times New Roman"/>
                <w:szCs w:val="21"/>
                <w:u w:val="single"/>
              </w:rPr>
              <w:t>　　</w:t>
            </w:r>
            <w:r>
              <w:rPr>
                <w:rFonts w:hint="eastAsia" w:ascii="Times New Roman"/>
                <w:szCs w:val="21"/>
              </w:rPr>
              <w:t>日完成的</w:t>
            </w:r>
            <w:r>
              <w:rPr>
                <w:rFonts w:hint="eastAsia" w:ascii="Times New Roman"/>
                <w:szCs w:val="21"/>
                <w:u w:val="single"/>
              </w:rPr>
              <w:t xml:space="preserve">                 </w:t>
            </w:r>
          </w:p>
          <w:p>
            <w:pPr>
              <w:spacing w:line="340" w:lineRule="exact"/>
              <w:rPr>
                <w:rFonts w:hint="eastAsia" w:ascii="Times New Roman"/>
                <w:szCs w:val="21"/>
              </w:rPr>
            </w:pPr>
            <w:r>
              <w:rPr>
                <w:rFonts w:hint="eastAsia" w:ascii="Times New Roman"/>
                <w:szCs w:val="21"/>
                <w:u w:val="single"/>
              </w:rPr>
              <w:t xml:space="preserve">                                    </w:t>
            </w:r>
            <w:r>
              <w:rPr>
                <w:rFonts w:hint="eastAsia" w:ascii="Times New Roman"/>
                <w:szCs w:val="21"/>
              </w:rPr>
              <w:t>合格工程量，请予以审核。</w:t>
            </w:r>
          </w:p>
          <w:p>
            <w:pPr>
              <w:spacing w:line="340" w:lineRule="exact"/>
              <w:ind w:firstLine="420" w:firstLineChars="200"/>
              <w:rPr>
                <w:rFonts w:hint="eastAsia" w:ascii="Times New Roman"/>
                <w:szCs w:val="21"/>
              </w:rPr>
            </w:pPr>
            <w:r>
              <w:rPr>
                <w:rFonts w:hint="eastAsia" w:ascii="Times New Roman"/>
                <w:szCs w:val="21"/>
              </w:rPr>
              <w:t xml:space="preserve">附件：  □  合同内工程量及证明材料 </w:t>
            </w:r>
          </w:p>
          <w:p>
            <w:pPr>
              <w:spacing w:line="340" w:lineRule="exact"/>
              <w:ind w:firstLine="1260" w:firstLineChars="600"/>
              <w:rPr>
                <w:rFonts w:hint="eastAsia" w:ascii="Times New Roman"/>
                <w:szCs w:val="21"/>
              </w:rPr>
            </w:pPr>
            <w:r>
              <w:rPr>
                <w:rFonts w:hint="eastAsia" w:ascii="Times New Roman"/>
                <w:szCs w:val="21"/>
              </w:rPr>
              <w:t>□  变更工程量及证明材料</w:t>
            </w:r>
          </w:p>
          <w:p>
            <w:pPr>
              <w:spacing w:line="340" w:lineRule="exact"/>
              <w:ind w:firstLine="482"/>
              <w:rPr>
                <w:rFonts w:hint="eastAsia" w:ascii="Times New Roman"/>
                <w:szCs w:val="21"/>
              </w:rPr>
            </w:pPr>
          </w:p>
          <w:p>
            <w:pPr>
              <w:spacing w:line="360" w:lineRule="exact"/>
              <w:jc w:val="left"/>
              <w:rPr>
                <w:rFonts w:hint="eastAsia" w:ascii="Times New Roman"/>
                <w:szCs w:val="21"/>
              </w:rPr>
            </w:pPr>
          </w:p>
          <w:p>
            <w:pPr>
              <w:spacing w:line="420" w:lineRule="exact"/>
              <w:rPr>
                <w:rFonts w:hint="eastAsia" w:ascii="Times New Roman"/>
                <w:szCs w:val="21"/>
                <w:u w:val="single"/>
              </w:rPr>
            </w:pPr>
            <w:r>
              <w:rPr>
                <w:rFonts w:hint="eastAsia" w:ascii="Times New Roman"/>
                <w:szCs w:val="21"/>
              </w:rPr>
              <w:t>　　　　　　　　　　　                         施工项目经理部（章）：</w:t>
            </w:r>
            <w:r>
              <w:rPr>
                <w:rFonts w:hint="eastAsia" w:ascii="Times New Roman"/>
                <w:szCs w:val="21"/>
                <w:u w:val="single"/>
              </w:rPr>
              <w:t xml:space="preserve">　　　　  </w:t>
            </w:r>
          </w:p>
          <w:p>
            <w:pPr>
              <w:spacing w:line="420" w:lineRule="exact"/>
              <w:rPr>
                <w:rFonts w:hint="eastAsia" w:ascii="Times New Roman"/>
                <w:szCs w:val="21"/>
              </w:rPr>
            </w:pPr>
            <w:r>
              <w:rPr>
                <w:rFonts w:hint="eastAsia" w:ascii="Times New Roman"/>
                <w:szCs w:val="21"/>
              </w:rPr>
              <w:t>　　　　　　　　                               项目经理（签字）：</w:t>
            </w:r>
            <w:r>
              <w:rPr>
                <w:rFonts w:hint="eastAsia" w:ascii="Times New Roman"/>
                <w:szCs w:val="21"/>
                <w:u w:val="single"/>
              </w:rPr>
              <w:t xml:space="preserve">　　　　     </w:t>
            </w:r>
          </w:p>
          <w:p>
            <w:pPr>
              <w:tabs>
                <w:tab w:val="left" w:pos="6210"/>
                <w:tab w:val="left" w:pos="8055"/>
              </w:tabs>
              <w:spacing w:after="156" w:afterLines="50" w:line="420" w:lineRule="exact"/>
              <w:rPr>
                <w:rFonts w:ascii="Times New Roman"/>
                <w:szCs w:val="21"/>
              </w:rPr>
            </w:pPr>
            <w:r>
              <w:rPr>
                <w:rFonts w:hint="eastAsia" w:ascii="Times New Roman"/>
                <w:szCs w:val="21"/>
              </w:rPr>
              <w:t xml:space="preserve">                                                         </w:t>
            </w: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614" w:type="dxa"/>
            <w:tcBorders>
              <w:top w:val="single" w:color="auto" w:sz="4" w:space="0"/>
              <w:left w:val="single" w:color="auto" w:sz="8" w:space="0"/>
              <w:bottom w:val="single" w:color="auto" w:sz="4" w:space="0"/>
              <w:right w:val="single" w:color="auto" w:sz="4" w:space="0"/>
            </w:tcBorders>
            <w:noWrap w:val="0"/>
            <w:vAlign w:val="center"/>
          </w:tcPr>
          <w:p>
            <w:pPr>
              <w:spacing w:line="320" w:lineRule="exact"/>
              <w:ind w:left="-105" w:leftChars="-50" w:right="-105" w:rightChars="-50"/>
              <w:jc w:val="center"/>
              <w:rPr>
                <w:rFonts w:ascii="Times New Roman"/>
                <w:szCs w:val="21"/>
              </w:rPr>
            </w:pPr>
            <w:r>
              <w:rPr>
                <w:rFonts w:hint="eastAsia" w:ascii="Times New Roman"/>
                <w:szCs w:val="21"/>
              </w:rPr>
              <w:t>项目监理机构签收人姓名及时间</w:t>
            </w:r>
          </w:p>
        </w:tc>
        <w:tc>
          <w:tcPr>
            <w:tcW w:w="2794"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left="-105" w:leftChars="-50" w:right="-105" w:rightChars="-50"/>
              <w:jc w:val="center"/>
              <w:rPr>
                <w:rFonts w:ascii="Times New Roman"/>
                <w:szCs w:val="21"/>
              </w:rPr>
            </w:pPr>
          </w:p>
        </w:tc>
        <w:tc>
          <w:tcPr>
            <w:tcW w:w="1796"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left="-105" w:leftChars="-50" w:right="-105" w:rightChars="-50"/>
              <w:jc w:val="center"/>
              <w:rPr>
                <w:rFonts w:ascii="Times New Roman"/>
                <w:szCs w:val="21"/>
              </w:rPr>
            </w:pPr>
            <w:r>
              <w:rPr>
                <w:rFonts w:hint="eastAsia" w:ascii="Times New Roman"/>
                <w:szCs w:val="21"/>
              </w:rPr>
              <w:t>施工项目经理部签收人姓名及时间</w:t>
            </w:r>
          </w:p>
        </w:tc>
        <w:tc>
          <w:tcPr>
            <w:tcW w:w="2318" w:type="dxa"/>
            <w:tcBorders>
              <w:top w:val="single" w:color="auto" w:sz="4" w:space="0"/>
              <w:left w:val="single" w:color="auto" w:sz="4" w:space="0"/>
              <w:bottom w:val="single" w:color="auto" w:sz="4" w:space="0"/>
              <w:right w:val="single" w:color="auto" w:sz="8" w:space="0"/>
            </w:tcBorders>
            <w:noWrap w:val="0"/>
            <w:vAlign w:val="top"/>
          </w:tcPr>
          <w:p>
            <w:pPr>
              <w:spacing w:line="320" w:lineRule="exact"/>
              <w:ind w:left="-105" w:leftChars="-50" w:right="-105" w:rightChars="-50"/>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3" w:hRule="atLeast"/>
          <w:jc w:val="center"/>
        </w:trPr>
        <w:tc>
          <w:tcPr>
            <w:tcW w:w="8522" w:type="dxa"/>
            <w:gridSpan w:val="4"/>
            <w:tcBorders>
              <w:top w:val="single" w:color="auto" w:sz="4" w:space="0"/>
              <w:left w:val="single" w:color="auto" w:sz="8" w:space="0"/>
              <w:bottom w:val="single" w:color="auto" w:sz="4" w:space="0"/>
              <w:right w:val="single" w:color="auto" w:sz="8" w:space="0"/>
            </w:tcBorders>
            <w:noWrap w:val="0"/>
            <w:vAlign w:val="center"/>
          </w:tcPr>
          <w:p>
            <w:pPr>
              <w:rPr>
                <w:rFonts w:ascii="Times New Roman"/>
                <w:bCs/>
                <w:szCs w:val="21"/>
              </w:rPr>
            </w:pPr>
            <w:r>
              <w:rPr>
                <w:rFonts w:hint="eastAsia" w:ascii="Times New Roman"/>
                <w:bCs/>
                <w:szCs w:val="21"/>
              </w:rPr>
              <w:t>审查意见：</w:t>
            </w: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p>
          <w:p>
            <w:pPr>
              <w:rPr>
                <w:rFonts w:hint="eastAsia" w:ascii="Times New Roman"/>
                <w:szCs w:val="21"/>
              </w:rPr>
            </w:pPr>
            <w:r>
              <w:rPr>
                <w:rFonts w:hint="eastAsia" w:ascii="Times New Roman"/>
                <w:szCs w:val="21"/>
              </w:rPr>
              <w:t>附件：□ 审查记录</w:t>
            </w:r>
          </w:p>
          <w:p>
            <w:pPr>
              <w:rPr>
                <w:rFonts w:hint="eastAsia" w:ascii="Times New Roman"/>
                <w:szCs w:val="21"/>
              </w:rPr>
            </w:pPr>
          </w:p>
          <w:p>
            <w:pPr>
              <w:spacing w:after="156" w:afterLines="50"/>
              <w:rPr>
                <w:rFonts w:hint="eastAsia" w:ascii="Times New Roman"/>
                <w:szCs w:val="21"/>
              </w:rPr>
            </w:pPr>
            <w:r>
              <w:rPr>
                <w:rFonts w:hint="eastAsia" w:ascii="Times New Roman"/>
                <w:szCs w:val="21"/>
              </w:rPr>
              <w:t xml:space="preserve">                                         专业监理工程师（签字）：</w:t>
            </w:r>
            <w:r>
              <w:rPr>
                <w:rFonts w:hint="eastAsia" w:ascii="Times New Roman"/>
                <w:szCs w:val="21"/>
                <w:u w:val="single"/>
              </w:rPr>
              <w:t>　　     　　</w:t>
            </w:r>
            <w:r>
              <w:rPr>
                <w:rFonts w:hint="eastAsia" w:ascii="Times New Roman"/>
                <w:szCs w:val="21"/>
              </w:rPr>
              <w:t xml:space="preserve">  </w:t>
            </w:r>
          </w:p>
          <w:p>
            <w:pPr>
              <w:spacing w:after="156" w:afterLines="50"/>
              <w:jc w:val="right"/>
              <w:rPr>
                <w:rFonts w:ascii="Times New Roman"/>
                <w:szCs w:val="21"/>
              </w:rPr>
            </w:pP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4"/>
            <w:tcBorders>
              <w:top w:val="single" w:color="auto" w:sz="4" w:space="0"/>
              <w:left w:val="single" w:color="auto" w:sz="8" w:space="0"/>
              <w:bottom w:val="single" w:color="auto" w:sz="4" w:space="0"/>
              <w:right w:val="single" w:color="auto" w:sz="8" w:space="0"/>
            </w:tcBorders>
            <w:noWrap w:val="0"/>
            <w:vAlign w:val="top"/>
          </w:tcPr>
          <w:p>
            <w:pPr>
              <w:spacing w:before="120" w:after="120"/>
              <w:rPr>
                <w:rFonts w:ascii="Times New Roman"/>
                <w:szCs w:val="21"/>
              </w:rPr>
            </w:pPr>
            <w:r>
              <w:rPr>
                <w:rFonts w:hint="eastAsia" w:ascii="Times New Roman"/>
                <w:szCs w:val="21"/>
              </w:rPr>
              <w:t>审核意见：</w:t>
            </w:r>
          </w:p>
          <w:p>
            <w:pPr>
              <w:rPr>
                <w:rFonts w:hint="eastAsia" w:ascii="Times New Roman"/>
                <w:szCs w:val="21"/>
              </w:rPr>
            </w:pPr>
          </w:p>
          <w:p>
            <w:pPr>
              <w:rPr>
                <w:rFonts w:hint="eastAsia" w:ascii="Times New Roman"/>
                <w:szCs w:val="21"/>
              </w:rPr>
            </w:pPr>
          </w:p>
          <w:p>
            <w:pPr>
              <w:spacing w:line="420" w:lineRule="exact"/>
              <w:rPr>
                <w:rFonts w:hint="eastAsia" w:ascii="Times New Roman"/>
                <w:szCs w:val="21"/>
                <w:u w:val="single"/>
              </w:rPr>
            </w:pPr>
            <w:r>
              <w:rPr>
                <w:rFonts w:hint="eastAsia" w:ascii="Times New Roman"/>
                <w:szCs w:val="21"/>
              </w:rPr>
              <w:t xml:space="preserve">　　　　　　             </w:t>
            </w:r>
            <w:r>
              <w:rPr>
                <w:rFonts w:hint="eastAsia" w:ascii="Times New Roman"/>
                <w:bCs/>
                <w:szCs w:val="21"/>
              </w:rPr>
              <w:t>项目监理机构(章)</w:t>
            </w:r>
            <w:r>
              <w:rPr>
                <w:rFonts w:hint="eastAsia" w:ascii="Times New Roman"/>
                <w:szCs w:val="21"/>
              </w:rPr>
              <w:t>：</w:t>
            </w:r>
            <w:r>
              <w:rPr>
                <w:rFonts w:hint="eastAsia" w:ascii="Times New Roman"/>
                <w:szCs w:val="21"/>
                <w:u w:val="single"/>
              </w:rPr>
              <w:t xml:space="preserve">　　　　　            　   </w:t>
            </w:r>
            <w:r>
              <w:rPr>
                <w:rFonts w:ascii="Times New Roman"/>
                <w:szCs w:val="21"/>
                <w:u w:val="single"/>
              </w:rPr>
              <w:t> </w:t>
            </w:r>
            <w:r>
              <w:rPr>
                <w:rFonts w:hint="eastAsia" w:ascii="Times New Roman"/>
                <w:szCs w:val="21"/>
                <w:u w:val="single"/>
              </w:rPr>
              <w:t xml:space="preserve">  　 　</w:t>
            </w:r>
            <w:r>
              <w:rPr>
                <w:rFonts w:hint="eastAsia" w:ascii="Times New Roman"/>
                <w:szCs w:val="21"/>
              </w:rPr>
              <w:t xml:space="preserve"> </w:t>
            </w:r>
          </w:p>
          <w:p>
            <w:pPr>
              <w:tabs>
                <w:tab w:val="left" w:pos="8040"/>
              </w:tabs>
              <w:spacing w:line="420" w:lineRule="exact"/>
              <w:ind w:firstLine="420" w:firstLineChars="200"/>
              <w:rPr>
                <w:rFonts w:hint="eastAsia" w:ascii="Times New Roman"/>
                <w:szCs w:val="21"/>
              </w:rPr>
            </w:pPr>
            <w:r>
              <w:rPr>
                <w:rFonts w:hint="eastAsia" w:ascii="Times New Roman"/>
                <w:szCs w:val="21"/>
              </w:rPr>
              <w:t xml:space="preserve">                     总监理工程师/总监理工程师代表（签字）：</w:t>
            </w:r>
            <w:r>
              <w:rPr>
                <w:rFonts w:hint="eastAsia" w:ascii="Times New Roman"/>
                <w:szCs w:val="21"/>
                <w:u w:val="single"/>
              </w:rPr>
              <w:t xml:space="preserve">　　　 </w:t>
            </w:r>
            <w:r>
              <w:rPr>
                <w:rFonts w:ascii="Times New Roman"/>
                <w:szCs w:val="21"/>
                <w:u w:val="single"/>
              </w:rPr>
              <w:t> </w:t>
            </w:r>
            <w:r>
              <w:rPr>
                <w:rFonts w:hint="eastAsia" w:ascii="Times New Roman"/>
                <w:szCs w:val="21"/>
                <w:u w:val="single"/>
              </w:rPr>
              <w:t xml:space="preserve"> 　　　</w:t>
            </w:r>
          </w:p>
          <w:p>
            <w:pPr>
              <w:tabs>
                <w:tab w:val="left" w:pos="6240"/>
              </w:tabs>
              <w:spacing w:after="156" w:afterLines="50" w:line="420" w:lineRule="exact"/>
              <w:ind w:firstLine="420" w:firstLineChars="200"/>
              <w:rPr>
                <w:rFonts w:ascii="Times New Roman"/>
                <w:szCs w:val="21"/>
              </w:rPr>
            </w:pPr>
            <w:r>
              <w:rPr>
                <w:rFonts w:hint="eastAsia" w:ascii="Times New Roman"/>
                <w:szCs w:val="21"/>
              </w:rPr>
              <w:t xml:space="preserve">                                                    </w:t>
            </w: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4"/>
            <w:tcBorders>
              <w:top w:val="single" w:color="auto" w:sz="4" w:space="0"/>
              <w:left w:val="single" w:color="auto" w:sz="8" w:space="0"/>
              <w:bottom w:val="single" w:color="auto" w:sz="8" w:space="0"/>
              <w:right w:val="single" w:color="auto" w:sz="8" w:space="0"/>
            </w:tcBorders>
            <w:noWrap w:val="0"/>
            <w:vAlign w:val="top"/>
          </w:tcPr>
          <w:p>
            <w:pPr>
              <w:rPr>
                <w:szCs w:val="21"/>
              </w:rPr>
            </w:pPr>
            <w:r>
              <w:rPr>
                <w:rFonts w:hint="eastAsia" w:ascii="Times New Roman"/>
                <w:szCs w:val="21"/>
              </w:rPr>
              <w:t>注：</w:t>
            </w:r>
            <w:r>
              <w:rPr>
                <w:szCs w:val="21"/>
              </w:rPr>
              <w:t>1</w:t>
            </w:r>
            <w:r>
              <w:rPr>
                <w:rFonts w:hint="eastAsia"/>
                <w:szCs w:val="21"/>
              </w:rPr>
              <w:t>、项目监理机构一般应在自收到本报审表之日起</w:t>
            </w:r>
            <w:r>
              <w:rPr>
                <w:szCs w:val="21"/>
              </w:rPr>
              <w:t>7</w:t>
            </w:r>
            <w:r>
              <w:rPr>
                <w:rFonts w:hint="eastAsia"/>
                <w:szCs w:val="21"/>
              </w:rPr>
              <w:t>日内完成计量审核工作，予以回复。</w:t>
            </w:r>
          </w:p>
          <w:p>
            <w:pPr>
              <w:ind w:firstLine="315" w:firstLineChars="150"/>
              <w:rPr>
                <w:rFonts w:ascii="Times New Roman"/>
                <w:szCs w:val="21"/>
              </w:rPr>
            </w:pPr>
            <w:r>
              <w:rPr>
                <w:szCs w:val="21"/>
              </w:rPr>
              <w:t> 2</w:t>
            </w:r>
            <w:r>
              <w:rPr>
                <w:rFonts w:hint="eastAsia"/>
                <w:szCs w:val="21"/>
              </w:rPr>
              <w:t>、本表一式二份，</w:t>
            </w:r>
            <w:r>
              <w:rPr>
                <w:rFonts w:hint="eastAsia" w:ascii="Times New Roman"/>
                <w:szCs w:val="21"/>
              </w:rPr>
              <w:t>项目监理机构、施工单位各一份。</w:t>
            </w:r>
          </w:p>
        </w:tc>
      </w:tr>
    </w:tbl>
    <w:p>
      <w:pPr>
        <w:rPr>
          <w:rFonts w:ascii="Times New Roman" w:eastAsia="隶书"/>
        </w:rPr>
      </w:pPr>
      <w:r>
        <w:rPr>
          <w:rFonts w:hint="eastAsia" w:ascii="Times New Roman" w:eastAsia="隶书"/>
        </w:rPr>
        <w:t>第六版表                                              江苏省住房和城乡建设厅监制</w:t>
      </w:r>
    </w:p>
    <w:p>
      <w:pPr>
        <w:jc w:val="right"/>
        <w:rPr>
          <w:rFonts w:hint="eastAsia" w:eastAsia="黑体"/>
          <w:b/>
          <w:sz w:val="28"/>
          <w:szCs w:val="28"/>
          <w14:shadow w14:blurRad="50800" w14:dist="38100" w14:dir="2700000" w14:sx="100000" w14:sy="100000" w14:kx="0" w14:ky="0" w14:algn="tl">
            <w14:srgbClr w14:val="000000">
              <w14:alpha w14:val="60000"/>
            </w14:srgbClr>
          </w14:shadow>
        </w:rPr>
      </w:pPr>
      <w:r>
        <w:rPr>
          <w:b/>
          <w:szCs w:val="21"/>
        </w:rPr>
        <w:br w:type="column"/>
      </w:r>
      <w:r>
        <w:rPr>
          <w:rFonts w:eastAsia="黑体"/>
          <w:b/>
          <w:sz w:val="28"/>
          <w:szCs w:val="28"/>
          <w14:shadow w14:blurRad="50800" w14:dist="38100" w14:dir="2700000" w14:sx="100000" w14:sy="100000" w14:kx="0" w14:ky="0" w14:algn="tl">
            <w14:srgbClr w14:val="000000">
              <w14:alpha w14:val="60000"/>
            </w14:srgbClr>
          </w14:shadow>
        </w:rPr>
        <w:t>B.2.2</w:t>
      </w:r>
    </w:p>
    <w:p>
      <w:pPr>
        <w:spacing w:before="312" w:beforeLines="100" w:after="312" w:afterLines="100" w:line="300" w:lineRule="exact"/>
        <w:jc w:val="center"/>
        <w:rPr>
          <w:rFonts w:eastAsia="黑体"/>
          <w:sz w:val="44"/>
          <w14:shadow w14:blurRad="50800" w14:dist="38100" w14:dir="2700000" w14:sx="100000" w14:sy="100000" w14:kx="0" w14:ky="0" w14:algn="tl">
            <w14:srgbClr w14:val="000000">
              <w14:alpha w14:val="60000"/>
            </w14:srgbClr>
          </w14:shadow>
        </w:rPr>
      </w:pPr>
      <w:r>
        <w:rPr>
          <w:rFonts w:hint="eastAsia" w:eastAsia="黑体"/>
          <w:sz w:val="44"/>
          <w14:shadow w14:blurRad="50800" w14:dist="38100" w14:dir="2700000" w14:sx="100000" w14:sy="100000" w14:kx="0" w14:ky="0" w14:algn="tl">
            <w14:srgbClr w14:val="000000">
              <w14:alpha w14:val="60000"/>
            </w14:srgbClr>
          </w14:shadow>
        </w:rPr>
        <w:t>费用索赔报审表</w:t>
      </w:r>
    </w:p>
    <w:p>
      <w:pPr>
        <w:spacing w:after="156" w:afterLines="50" w:line="420" w:lineRule="exact"/>
        <w:ind w:left="21" w:hanging="21" w:hangingChars="10"/>
        <w:rPr>
          <w:szCs w:val="21"/>
        </w:rPr>
      </w:pPr>
      <w:r>
        <w:rPr>
          <w:rFonts w:hint="eastAsia"/>
          <w:szCs w:val="21"/>
        </w:rPr>
        <w:t>工程名称：</w:t>
      </w:r>
      <w:r>
        <w:rPr>
          <w:szCs w:val="21"/>
          <w:u w:val="single"/>
        </w:rPr>
        <w:t xml:space="preserve">                             </w:t>
      </w:r>
      <w:r>
        <w:rPr>
          <w:rFonts w:hint="eastAsia"/>
          <w:szCs w:val="21"/>
        </w:rPr>
        <w:t>　　　　　　　</w:t>
      </w:r>
      <w:r>
        <w:rPr>
          <w:szCs w:val="21"/>
        </w:rPr>
        <w:t xml:space="preserve">       </w:t>
      </w:r>
      <w:r>
        <w:rPr>
          <w:rFonts w:hint="eastAsia"/>
          <w:szCs w:val="21"/>
        </w:rPr>
        <w:t>编号：</w:t>
      </w:r>
      <w:r>
        <w:rPr>
          <w:szCs w:val="21"/>
        </w:rPr>
        <w:t>B.2.2</w:t>
      </w:r>
      <w:r>
        <w:rPr>
          <w:rFonts w:hint="eastAsia"/>
          <w:szCs w:val="21"/>
        </w:rPr>
        <w:t>—</w:t>
      </w:r>
      <w:r>
        <w:rPr>
          <w:rFonts w:hint="eastAsia"/>
          <w:szCs w:val="21"/>
          <w:u w:val="single"/>
        </w:rPr>
        <w:t>　　　　</w:t>
      </w:r>
    </w:p>
    <w:tbl>
      <w:tblPr>
        <w:tblStyle w:val="1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14"/>
        <w:gridCol w:w="141"/>
        <w:gridCol w:w="2653"/>
        <w:gridCol w:w="257"/>
        <w:gridCol w:w="1539"/>
        <w:gridCol w:w="336"/>
        <w:gridCol w:w="20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81" w:hRule="atLeast"/>
        </w:trPr>
        <w:tc>
          <w:tcPr>
            <w:tcW w:w="8568" w:type="dxa"/>
            <w:gridSpan w:val="7"/>
            <w:tcBorders>
              <w:top w:val="single" w:color="auto" w:sz="8" w:space="0"/>
              <w:left w:val="single" w:color="auto" w:sz="8" w:space="0"/>
              <w:bottom w:val="single" w:color="auto" w:sz="4" w:space="0"/>
              <w:right w:val="single" w:color="auto" w:sz="8" w:space="0"/>
            </w:tcBorders>
            <w:noWrap w:val="0"/>
            <w:vAlign w:val="top"/>
          </w:tcPr>
          <w:p>
            <w:pPr>
              <w:spacing w:before="156" w:beforeLines="50" w:after="156" w:afterLines="50"/>
              <w:rPr>
                <w:rFonts w:ascii="Times New Roman"/>
                <w:szCs w:val="21"/>
                <w:u w:val="single"/>
              </w:rPr>
            </w:pPr>
            <w:r>
              <w:rPr>
                <w:rFonts w:hint="eastAsia" w:ascii="Times New Roman"/>
                <w:szCs w:val="21"/>
              </w:rPr>
              <w:t>致：</w:t>
            </w:r>
            <w:r>
              <w:rPr>
                <w:rFonts w:hint="eastAsia" w:ascii="Times New Roman"/>
                <w:szCs w:val="21"/>
                <w:u w:val="single"/>
              </w:rPr>
              <w:t>　　　　　　　</w:t>
            </w:r>
            <w:r>
              <w:rPr>
                <w:rFonts w:hint="eastAsia" w:ascii="Times New Roman"/>
                <w:szCs w:val="21"/>
              </w:rPr>
              <w:t>（项目监理机构）</w:t>
            </w:r>
          </w:p>
          <w:p>
            <w:pPr>
              <w:spacing w:line="360" w:lineRule="exact"/>
              <w:ind w:firstLine="420" w:firstLineChars="200"/>
              <w:jc w:val="left"/>
              <w:rPr>
                <w:rFonts w:hint="eastAsia" w:ascii="Times New Roman"/>
                <w:szCs w:val="21"/>
              </w:rPr>
            </w:pPr>
            <w:r>
              <w:rPr>
                <w:rFonts w:hint="eastAsia" w:ascii="Times New Roman"/>
                <w:szCs w:val="21"/>
              </w:rPr>
              <w:t>根据施工合同</w:t>
            </w:r>
            <w:r>
              <w:rPr>
                <w:rFonts w:hint="eastAsia" w:ascii="Times New Roman"/>
                <w:szCs w:val="21"/>
                <w:u w:val="single"/>
              </w:rPr>
              <w:t>　　　   　　</w:t>
            </w:r>
            <w:r>
              <w:rPr>
                <w:rFonts w:hint="eastAsia" w:ascii="Times New Roman"/>
                <w:szCs w:val="21"/>
              </w:rPr>
              <w:t>条款，由于</w:t>
            </w:r>
            <w:r>
              <w:rPr>
                <w:rFonts w:hint="eastAsia" w:ascii="Times New Roman"/>
                <w:szCs w:val="21"/>
                <w:u w:val="single"/>
              </w:rPr>
              <w:t>　　　　　        　　　　　　</w:t>
            </w:r>
            <w:r>
              <w:rPr>
                <w:rFonts w:hint="eastAsia" w:ascii="Times New Roman"/>
                <w:szCs w:val="21"/>
              </w:rPr>
              <w:t>的原因，我方申请索赔金额（大写）</w:t>
            </w:r>
            <w:r>
              <w:rPr>
                <w:rFonts w:hint="eastAsia" w:ascii="Times New Roman"/>
                <w:szCs w:val="21"/>
                <w:u w:val="single"/>
              </w:rPr>
              <w:t>　           　    　</w:t>
            </w:r>
            <w:r>
              <w:rPr>
                <w:rFonts w:hint="eastAsia" w:ascii="Times New Roman"/>
                <w:szCs w:val="21"/>
              </w:rPr>
              <w:t>，请予以批准。</w:t>
            </w:r>
          </w:p>
          <w:p>
            <w:pPr>
              <w:spacing w:line="360" w:lineRule="exact"/>
              <w:ind w:firstLine="420" w:firstLineChars="200"/>
              <w:rPr>
                <w:rFonts w:hint="eastAsia" w:ascii="Times New Roman"/>
                <w:szCs w:val="21"/>
              </w:rPr>
            </w:pPr>
            <w:r>
              <w:rPr>
                <w:rFonts w:hint="eastAsia" w:ascii="Times New Roman"/>
                <w:szCs w:val="21"/>
              </w:rPr>
              <w:t>索赔理由：</w:t>
            </w:r>
            <w:r>
              <w:rPr>
                <w:rFonts w:hint="eastAsia" w:ascii="Times New Roman"/>
                <w:szCs w:val="21"/>
                <w:u w:val="single"/>
              </w:rPr>
              <w:t>　　　　　        　　　　　　　　　　　             　　　　　　</w:t>
            </w:r>
          </w:p>
          <w:p>
            <w:pPr>
              <w:spacing w:line="360" w:lineRule="exact"/>
              <w:rPr>
                <w:rFonts w:hint="eastAsia" w:ascii="Times New Roman"/>
                <w:szCs w:val="21"/>
              </w:rPr>
            </w:pPr>
            <w:r>
              <w:rPr>
                <w:rFonts w:hint="eastAsia" w:ascii="Times New Roman"/>
                <w:szCs w:val="21"/>
                <w:u w:val="single"/>
              </w:rPr>
              <w:t>　　　　　        　                      　　　                          　　</w:t>
            </w:r>
            <w:r>
              <w:rPr>
                <w:rFonts w:hint="eastAsia" w:ascii="Times New Roman"/>
                <w:szCs w:val="21"/>
              </w:rPr>
              <w:t>。</w:t>
            </w:r>
          </w:p>
          <w:p>
            <w:pPr>
              <w:spacing w:line="360" w:lineRule="exact"/>
              <w:ind w:firstLine="420" w:firstLineChars="200"/>
              <w:rPr>
                <w:rFonts w:hint="eastAsia" w:ascii="Times New Roman"/>
                <w:szCs w:val="21"/>
              </w:rPr>
            </w:pPr>
            <w:r>
              <w:rPr>
                <w:rFonts w:hint="eastAsia" w:ascii="Times New Roman"/>
                <w:szCs w:val="21"/>
              </w:rPr>
              <w:t>附件：</w:t>
            </w:r>
          </w:p>
          <w:p>
            <w:pPr>
              <w:numPr>
                <w:ilvl w:val="0"/>
                <w:numId w:val="15"/>
              </w:numPr>
              <w:spacing w:line="360" w:lineRule="exact"/>
              <w:ind w:left="0" w:firstLine="405" w:firstLineChars="193"/>
              <w:rPr>
                <w:rFonts w:hint="eastAsia" w:ascii="Times New Roman"/>
                <w:szCs w:val="21"/>
              </w:rPr>
            </w:pPr>
            <w:r>
              <w:rPr>
                <w:rFonts w:hint="eastAsia" w:ascii="Times New Roman"/>
                <w:szCs w:val="21"/>
              </w:rPr>
              <w:t>索赔金额的计算</w:t>
            </w:r>
          </w:p>
          <w:p>
            <w:pPr>
              <w:numPr>
                <w:ilvl w:val="0"/>
                <w:numId w:val="15"/>
              </w:numPr>
              <w:spacing w:line="360" w:lineRule="exact"/>
              <w:ind w:left="0" w:firstLine="405" w:firstLineChars="193"/>
              <w:rPr>
                <w:rFonts w:hint="eastAsia" w:ascii="Times New Roman"/>
                <w:szCs w:val="21"/>
              </w:rPr>
            </w:pPr>
            <w:r>
              <w:rPr>
                <w:rFonts w:hint="eastAsia" w:ascii="Times New Roman"/>
                <w:szCs w:val="21"/>
              </w:rPr>
              <w:t>证明材料</w:t>
            </w:r>
          </w:p>
          <w:p>
            <w:pPr>
              <w:spacing w:line="240" w:lineRule="exact"/>
              <w:rPr>
                <w:rFonts w:hint="eastAsia" w:ascii="Times New Roman"/>
                <w:szCs w:val="21"/>
              </w:rPr>
            </w:pPr>
            <w:r>
              <w:rPr>
                <w:rFonts w:hint="eastAsia" w:ascii="Times New Roman"/>
                <w:szCs w:val="21"/>
              </w:rPr>
              <w:t xml:space="preserve">　　　　　　　　　　　　　　 </w:t>
            </w:r>
          </w:p>
          <w:p>
            <w:pPr>
              <w:spacing w:line="360" w:lineRule="exact"/>
              <w:rPr>
                <w:rFonts w:hint="eastAsia" w:ascii="Times New Roman"/>
                <w:szCs w:val="21"/>
                <w:u w:val="single"/>
              </w:rPr>
            </w:pPr>
            <w:r>
              <w:rPr>
                <w:rFonts w:hint="eastAsia" w:ascii="Times New Roman"/>
                <w:szCs w:val="21"/>
              </w:rPr>
              <w:t xml:space="preserve">                  </w:t>
            </w:r>
            <w:r>
              <w:rPr>
                <w:rFonts w:ascii="Times New Roman"/>
                <w:szCs w:val="21"/>
              </w:rPr>
              <w:t>   </w:t>
            </w:r>
            <w:r>
              <w:rPr>
                <w:rFonts w:hint="eastAsia" w:ascii="Times New Roman"/>
                <w:szCs w:val="21"/>
              </w:rPr>
              <w:t xml:space="preserve">                       施工项目经理部（章）：</w:t>
            </w:r>
            <w:r>
              <w:rPr>
                <w:rFonts w:hint="eastAsia" w:ascii="Times New Roman"/>
                <w:szCs w:val="21"/>
                <w:u w:val="single"/>
              </w:rPr>
              <w:t>　　　　　　　　</w:t>
            </w:r>
          </w:p>
          <w:p>
            <w:pPr>
              <w:spacing w:line="360" w:lineRule="exact"/>
              <w:ind w:firstLine="4410" w:firstLineChars="2100"/>
              <w:rPr>
                <w:rFonts w:hint="eastAsia" w:ascii="Times New Roman"/>
                <w:szCs w:val="21"/>
              </w:rPr>
            </w:pPr>
            <w:r>
              <w:rPr>
                <w:rFonts w:hint="eastAsia" w:ascii="Times New Roman"/>
                <w:szCs w:val="21"/>
              </w:rPr>
              <w:t>项目经理（签字、执业印章）：</w:t>
            </w:r>
            <w:r>
              <w:rPr>
                <w:rFonts w:hint="eastAsia" w:ascii="Times New Roman"/>
                <w:szCs w:val="21"/>
                <w:u w:val="single"/>
              </w:rPr>
              <w:t>　  　　　</w:t>
            </w:r>
            <w:r>
              <w:rPr>
                <w:rFonts w:hint="eastAsia" w:ascii="Times New Roman"/>
                <w:szCs w:val="21"/>
              </w:rPr>
              <w:t>　</w:t>
            </w:r>
          </w:p>
          <w:p>
            <w:pPr>
              <w:spacing w:line="360" w:lineRule="exact"/>
              <w:jc w:val="right"/>
              <w:rPr>
                <w:rFonts w:ascii="Times New Roman"/>
                <w:szCs w:val="21"/>
                <w:u w:val="single"/>
              </w:rPr>
            </w:pP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14" w:type="dxa"/>
            <w:tcBorders>
              <w:top w:val="single" w:color="auto" w:sz="4" w:space="0"/>
              <w:left w:val="single" w:color="auto" w:sz="8" w:space="0"/>
              <w:bottom w:val="single" w:color="auto" w:sz="4" w:space="0"/>
              <w:right w:val="single" w:color="auto" w:sz="4" w:space="0"/>
            </w:tcBorders>
            <w:noWrap w:val="0"/>
            <w:vAlign w:val="center"/>
          </w:tcPr>
          <w:p>
            <w:pPr>
              <w:ind w:left="-105" w:leftChars="-50" w:right="-105" w:rightChars="-50"/>
              <w:jc w:val="center"/>
              <w:rPr>
                <w:rFonts w:ascii="Times New Roman"/>
                <w:szCs w:val="21"/>
              </w:rPr>
            </w:pPr>
            <w:r>
              <w:rPr>
                <w:rFonts w:hint="eastAsia" w:ascii="Times New Roman"/>
                <w:szCs w:val="21"/>
              </w:rPr>
              <w:t>项目监理机构签收人姓名及时间</w:t>
            </w:r>
          </w:p>
        </w:tc>
        <w:tc>
          <w:tcPr>
            <w:tcW w:w="2794" w:type="dxa"/>
            <w:gridSpan w:val="2"/>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rFonts w:ascii="Times New Roman"/>
                <w:szCs w:val="21"/>
              </w:rPr>
            </w:pPr>
          </w:p>
        </w:tc>
        <w:tc>
          <w:tcPr>
            <w:tcW w:w="1796" w:type="dxa"/>
            <w:gridSpan w:val="2"/>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rFonts w:ascii="Times New Roman"/>
                <w:szCs w:val="21"/>
              </w:rPr>
            </w:pPr>
            <w:r>
              <w:rPr>
                <w:rFonts w:hint="eastAsia" w:ascii="Times New Roman"/>
                <w:szCs w:val="21"/>
              </w:rPr>
              <w:t>施工项目经理部签收人姓名及时间</w:t>
            </w:r>
          </w:p>
        </w:tc>
        <w:tc>
          <w:tcPr>
            <w:tcW w:w="2364" w:type="dxa"/>
            <w:gridSpan w:val="2"/>
            <w:tcBorders>
              <w:top w:val="single" w:color="auto" w:sz="4" w:space="0"/>
              <w:left w:val="single" w:color="auto" w:sz="4" w:space="0"/>
              <w:bottom w:val="single" w:color="auto" w:sz="4" w:space="0"/>
              <w:right w:val="single" w:color="auto" w:sz="8" w:space="0"/>
            </w:tcBorders>
            <w:noWrap w:val="0"/>
            <w:vAlign w:val="top"/>
          </w:tcPr>
          <w:p>
            <w:pPr>
              <w:ind w:left="-105" w:leftChars="-50" w:right="-105" w:rightChars="-50"/>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53" w:hRule="atLeast"/>
        </w:trPr>
        <w:tc>
          <w:tcPr>
            <w:tcW w:w="8568" w:type="dxa"/>
            <w:gridSpan w:val="7"/>
            <w:tcBorders>
              <w:top w:val="single" w:color="auto" w:sz="4" w:space="0"/>
              <w:left w:val="single" w:color="auto" w:sz="8" w:space="0"/>
              <w:bottom w:val="single" w:color="auto" w:sz="4" w:space="0"/>
              <w:right w:val="single" w:color="auto" w:sz="8" w:space="0"/>
            </w:tcBorders>
            <w:noWrap w:val="0"/>
            <w:vAlign w:val="top"/>
          </w:tcPr>
          <w:p>
            <w:pPr>
              <w:rPr>
                <w:rFonts w:ascii="Times New Roman"/>
                <w:szCs w:val="21"/>
              </w:rPr>
            </w:pPr>
            <w:r>
              <w:rPr>
                <w:rFonts w:hint="eastAsia" w:ascii="Times New Roman"/>
                <w:szCs w:val="21"/>
              </w:rPr>
              <w:t>审核意见：</w:t>
            </w:r>
          </w:p>
          <w:p>
            <w:pPr>
              <w:spacing w:line="280" w:lineRule="exact"/>
              <w:rPr>
                <w:rFonts w:hint="eastAsia" w:ascii="Times New Roman"/>
                <w:szCs w:val="21"/>
              </w:rPr>
            </w:pPr>
          </w:p>
          <w:p>
            <w:pPr>
              <w:spacing w:line="280" w:lineRule="exact"/>
              <w:rPr>
                <w:rFonts w:hint="eastAsia" w:ascii="Times New Roman"/>
                <w:szCs w:val="21"/>
              </w:rPr>
            </w:pPr>
            <w:r>
              <w:rPr>
                <w:rFonts w:hint="eastAsia" w:ascii="Times New Roman"/>
                <w:szCs w:val="21"/>
              </w:rPr>
              <w:t>附件：□ 审核记录</w:t>
            </w:r>
          </w:p>
          <w:p>
            <w:pPr>
              <w:spacing w:after="120"/>
              <w:rPr>
                <w:rFonts w:hint="eastAsia" w:ascii="Times New Roman"/>
                <w:szCs w:val="21"/>
                <w:u w:val="single"/>
              </w:rPr>
            </w:pPr>
            <w:r>
              <w:rPr>
                <w:rFonts w:hint="eastAsia" w:ascii="Times New Roman"/>
                <w:szCs w:val="21"/>
              </w:rPr>
              <w:t>　　　　　                            项目监理机构(章)：</w:t>
            </w:r>
            <w:r>
              <w:rPr>
                <w:rFonts w:hint="eastAsia" w:ascii="Times New Roman"/>
                <w:szCs w:val="21"/>
                <w:u w:val="single"/>
              </w:rPr>
              <w:t>　　　　           　　</w:t>
            </w:r>
          </w:p>
          <w:p>
            <w:pPr>
              <w:spacing w:after="120"/>
              <w:ind w:firstLine="3990" w:firstLineChars="1900"/>
              <w:rPr>
                <w:rFonts w:hint="eastAsia" w:ascii="Times New Roman"/>
                <w:szCs w:val="21"/>
              </w:rPr>
            </w:pPr>
            <w:r>
              <w:rPr>
                <w:rFonts w:hint="eastAsia" w:ascii="Times New Roman"/>
                <w:szCs w:val="21"/>
              </w:rPr>
              <w:t>总监理工程师（签字、执业印章）：</w:t>
            </w:r>
            <w:r>
              <w:rPr>
                <w:rFonts w:hint="eastAsia" w:ascii="Times New Roman"/>
                <w:szCs w:val="21"/>
                <w:u w:val="single"/>
              </w:rPr>
              <w:t xml:space="preserve">　　  　  </w:t>
            </w:r>
            <w:r>
              <w:rPr>
                <w:rFonts w:hint="eastAsia" w:ascii="Times New Roman"/>
                <w:szCs w:val="21"/>
              </w:rPr>
              <w:t xml:space="preserve"> </w:t>
            </w:r>
          </w:p>
          <w:p>
            <w:pPr>
              <w:spacing w:after="120"/>
              <w:ind w:firstLine="420" w:firstLineChars="200"/>
              <w:jc w:val="right"/>
              <w:rPr>
                <w:rFonts w:ascii="Times New Roman"/>
                <w:szCs w:val="21"/>
                <w:u w:val="single"/>
              </w:rPr>
            </w:pP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1755" w:type="dxa"/>
            <w:gridSpan w:val="2"/>
            <w:tcBorders>
              <w:top w:val="single" w:color="auto" w:sz="4" w:space="0"/>
              <w:left w:val="single" w:color="auto" w:sz="8" w:space="0"/>
              <w:bottom w:val="single" w:color="auto" w:sz="4" w:space="0"/>
              <w:right w:val="single" w:color="auto" w:sz="4" w:space="0"/>
            </w:tcBorders>
            <w:noWrap w:val="0"/>
            <w:vAlign w:val="top"/>
          </w:tcPr>
          <w:p>
            <w:pPr>
              <w:spacing w:before="120" w:after="120"/>
              <w:jc w:val="center"/>
              <w:rPr>
                <w:rFonts w:ascii="Times New Roman"/>
                <w:szCs w:val="21"/>
              </w:rPr>
            </w:pPr>
            <w:r>
              <w:rPr>
                <w:rFonts w:hint="eastAsia" w:ascii="Times New Roman"/>
                <w:szCs w:val="21"/>
              </w:rPr>
              <w:t>建设单位签收人姓名及时间</w:t>
            </w:r>
          </w:p>
        </w:tc>
        <w:tc>
          <w:tcPr>
            <w:tcW w:w="2910" w:type="dxa"/>
            <w:gridSpan w:val="2"/>
            <w:tcBorders>
              <w:top w:val="single" w:color="auto" w:sz="4" w:space="0"/>
              <w:left w:val="single" w:color="auto" w:sz="4" w:space="0"/>
              <w:bottom w:val="single" w:color="auto" w:sz="4" w:space="0"/>
              <w:right w:val="single" w:color="auto" w:sz="4" w:space="0"/>
            </w:tcBorders>
            <w:noWrap w:val="0"/>
            <w:vAlign w:val="top"/>
          </w:tcPr>
          <w:p>
            <w:pPr>
              <w:spacing w:before="120" w:after="120"/>
              <w:ind w:firstLine="420" w:firstLineChars="200"/>
              <w:jc w:val="center"/>
              <w:rPr>
                <w:rFonts w:ascii="Times New Roman"/>
                <w:szCs w:val="21"/>
              </w:rPr>
            </w:pPr>
          </w:p>
        </w:tc>
        <w:tc>
          <w:tcPr>
            <w:tcW w:w="1875" w:type="dxa"/>
            <w:gridSpan w:val="2"/>
            <w:tcBorders>
              <w:top w:val="single" w:color="auto" w:sz="4" w:space="0"/>
              <w:left w:val="single" w:color="auto" w:sz="4" w:space="0"/>
              <w:bottom w:val="single" w:color="auto" w:sz="4" w:space="0"/>
              <w:right w:val="single" w:color="auto" w:sz="4" w:space="0"/>
            </w:tcBorders>
            <w:noWrap w:val="0"/>
            <w:vAlign w:val="top"/>
          </w:tcPr>
          <w:p>
            <w:pPr>
              <w:spacing w:before="120" w:after="120"/>
              <w:jc w:val="center"/>
              <w:rPr>
                <w:rFonts w:ascii="Times New Roman"/>
                <w:szCs w:val="21"/>
              </w:rPr>
            </w:pPr>
            <w:r>
              <w:rPr>
                <w:rFonts w:hint="eastAsia" w:ascii="Times New Roman"/>
                <w:szCs w:val="21"/>
              </w:rPr>
              <w:t>项目监理机构签收人姓名及时间</w:t>
            </w:r>
          </w:p>
        </w:tc>
        <w:tc>
          <w:tcPr>
            <w:tcW w:w="2028" w:type="dxa"/>
            <w:tcBorders>
              <w:top w:val="single" w:color="auto" w:sz="4" w:space="0"/>
              <w:left w:val="single" w:color="auto" w:sz="4" w:space="0"/>
              <w:bottom w:val="single" w:color="auto" w:sz="4" w:space="0"/>
              <w:right w:val="single" w:color="auto" w:sz="8" w:space="0"/>
            </w:tcBorders>
            <w:noWrap w:val="0"/>
            <w:vAlign w:val="top"/>
          </w:tcPr>
          <w:p>
            <w:pPr>
              <w:spacing w:before="120" w:after="120"/>
              <w:ind w:firstLine="420" w:firstLineChars="200"/>
              <w:jc w:val="center"/>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704" w:hRule="atLeast"/>
        </w:trPr>
        <w:tc>
          <w:tcPr>
            <w:tcW w:w="8568" w:type="dxa"/>
            <w:gridSpan w:val="7"/>
            <w:tcBorders>
              <w:top w:val="single" w:color="auto" w:sz="4" w:space="0"/>
              <w:left w:val="single" w:color="auto" w:sz="8" w:space="0"/>
              <w:bottom w:val="single" w:color="auto" w:sz="4" w:space="0"/>
              <w:right w:val="single" w:color="auto" w:sz="8" w:space="0"/>
            </w:tcBorders>
            <w:noWrap w:val="0"/>
            <w:vAlign w:val="top"/>
          </w:tcPr>
          <w:p>
            <w:pPr>
              <w:rPr>
                <w:rFonts w:ascii="Times New Roman"/>
                <w:szCs w:val="21"/>
              </w:rPr>
            </w:pPr>
            <w:r>
              <w:rPr>
                <w:rFonts w:hint="eastAsia" w:ascii="Times New Roman"/>
                <w:szCs w:val="21"/>
              </w:rPr>
              <w:t>审批意见：</w:t>
            </w:r>
          </w:p>
          <w:p>
            <w:pPr>
              <w:keepLines/>
              <w:rPr>
                <w:rFonts w:hint="eastAsia" w:ascii="Times New Roman"/>
                <w:szCs w:val="21"/>
              </w:rPr>
            </w:pPr>
          </w:p>
          <w:p>
            <w:pPr>
              <w:spacing w:after="120"/>
              <w:ind w:firstLine="4410" w:firstLineChars="2100"/>
              <w:rPr>
                <w:rFonts w:hint="eastAsia" w:ascii="Times New Roman"/>
                <w:szCs w:val="21"/>
                <w:u w:val="single"/>
              </w:rPr>
            </w:pPr>
            <w:r>
              <w:rPr>
                <w:rFonts w:hint="eastAsia" w:ascii="Times New Roman"/>
                <w:szCs w:val="21"/>
              </w:rPr>
              <w:t>建设单位(章)：</w:t>
            </w:r>
            <w:r>
              <w:rPr>
                <w:rFonts w:hint="eastAsia" w:ascii="Times New Roman"/>
                <w:szCs w:val="21"/>
                <w:u w:val="single"/>
              </w:rPr>
              <w:t xml:space="preserve">　　　            　   </w:t>
            </w:r>
          </w:p>
          <w:p>
            <w:pPr>
              <w:spacing w:after="120"/>
              <w:ind w:firstLine="4410" w:firstLineChars="2100"/>
              <w:rPr>
                <w:rFonts w:hint="eastAsia" w:ascii="Times New Roman"/>
                <w:szCs w:val="21"/>
              </w:rPr>
            </w:pPr>
            <w:r>
              <w:rPr>
                <w:rFonts w:hint="eastAsia" w:ascii="Times New Roman"/>
                <w:szCs w:val="21"/>
              </w:rPr>
              <w:t>项目负责人（签字）：</w:t>
            </w:r>
            <w:r>
              <w:rPr>
                <w:rFonts w:hint="eastAsia" w:ascii="Times New Roman"/>
                <w:szCs w:val="21"/>
                <w:u w:val="single"/>
              </w:rPr>
              <w:t xml:space="preserve">　　          　  </w:t>
            </w:r>
            <w:r>
              <w:rPr>
                <w:rFonts w:hint="eastAsia" w:ascii="Times New Roman"/>
                <w:szCs w:val="21"/>
              </w:rPr>
              <w:t xml:space="preserve"> </w:t>
            </w:r>
          </w:p>
          <w:p>
            <w:pPr>
              <w:spacing w:after="120"/>
              <w:jc w:val="right"/>
              <w:rPr>
                <w:rFonts w:ascii="Times New Roman"/>
                <w:szCs w:val="21"/>
              </w:rPr>
            </w:pP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8568" w:type="dxa"/>
            <w:gridSpan w:val="7"/>
            <w:tcBorders>
              <w:top w:val="single" w:color="auto" w:sz="4" w:space="0"/>
              <w:left w:val="single" w:color="auto" w:sz="8" w:space="0"/>
              <w:bottom w:val="single" w:color="auto" w:sz="8" w:space="0"/>
              <w:right w:val="single" w:color="auto" w:sz="8" w:space="0"/>
            </w:tcBorders>
            <w:noWrap w:val="0"/>
            <w:vAlign w:val="top"/>
          </w:tcPr>
          <w:p>
            <w:pPr>
              <w:rPr>
                <w:szCs w:val="21"/>
              </w:rPr>
            </w:pPr>
            <w:r>
              <w:rPr>
                <w:rFonts w:hint="eastAsia" w:ascii="Times New Roman"/>
                <w:szCs w:val="21"/>
              </w:rPr>
              <w:t>注：</w:t>
            </w:r>
            <w:r>
              <w:rPr>
                <w:szCs w:val="21"/>
              </w:rPr>
              <w:t>1</w:t>
            </w:r>
            <w:r>
              <w:rPr>
                <w:rFonts w:hint="eastAsia"/>
                <w:szCs w:val="21"/>
              </w:rPr>
              <w:t>、项目监理机构应在收到索赔报审表后</w:t>
            </w:r>
            <w:r>
              <w:rPr>
                <w:szCs w:val="21"/>
              </w:rPr>
              <w:t>14</w:t>
            </w:r>
            <w:r>
              <w:rPr>
                <w:rFonts w:hint="eastAsia"/>
                <w:szCs w:val="21"/>
              </w:rPr>
              <w:t>天内完成审核并报建设单位。</w:t>
            </w:r>
          </w:p>
          <w:p>
            <w:pPr>
              <w:ind w:firstLine="420"/>
              <w:rPr>
                <w:szCs w:val="21"/>
              </w:rPr>
            </w:pPr>
            <w:r>
              <w:rPr>
                <w:szCs w:val="21"/>
              </w:rPr>
              <w:t>2</w:t>
            </w:r>
            <w:r>
              <w:rPr>
                <w:rFonts w:hint="eastAsia"/>
                <w:szCs w:val="21"/>
              </w:rPr>
              <w:t>、建设单位应在监理机构收到索赔报审表或有关索赔的进一步证明材料后的</w:t>
            </w:r>
            <w:r>
              <w:rPr>
                <w:szCs w:val="21"/>
              </w:rPr>
              <w:t>28</w:t>
            </w:r>
            <w:r>
              <w:rPr>
                <w:rFonts w:hint="eastAsia"/>
                <w:szCs w:val="21"/>
              </w:rPr>
              <w:t>天内，由监理机构向施工单位出具经建设单位签认的索赔处理结果。</w:t>
            </w:r>
          </w:p>
          <w:p>
            <w:pPr>
              <w:ind w:firstLine="420"/>
              <w:rPr>
                <w:rFonts w:ascii="Times New Roman"/>
                <w:szCs w:val="21"/>
              </w:rPr>
            </w:pPr>
            <w:r>
              <w:rPr>
                <w:szCs w:val="21"/>
              </w:rPr>
              <w:t>3</w:t>
            </w:r>
            <w:r>
              <w:rPr>
                <w:rFonts w:hint="eastAsia"/>
                <w:szCs w:val="21"/>
              </w:rPr>
              <w:t>、本表一式</w:t>
            </w:r>
            <w:r>
              <w:rPr>
                <w:rFonts w:hint="eastAsia" w:ascii="Times New Roman"/>
                <w:szCs w:val="21"/>
              </w:rPr>
              <w:t>三份，项目监理机构、建设单位、施工单位各一份。</w:t>
            </w:r>
          </w:p>
        </w:tc>
      </w:tr>
    </w:tbl>
    <w:p>
      <w:pPr>
        <w:jc w:val="left"/>
        <w:rPr>
          <w:rFonts w:ascii="Times New Roman" w:eastAsia="隶书"/>
        </w:rPr>
      </w:pPr>
      <w:r>
        <w:rPr>
          <w:rFonts w:hint="eastAsia" w:ascii="Times New Roman" w:eastAsia="隶书"/>
        </w:rPr>
        <w:t>第六版表                                              江苏省住房和城乡建设厅监制</w:t>
      </w:r>
    </w:p>
    <w:p>
      <w:pPr>
        <w:widowControl/>
        <w:jc w:val="left"/>
        <w:rPr>
          <w:rFonts w:ascii="Times New Roman" w:eastAsia="隶书"/>
        </w:rPr>
        <w:sectPr>
          <w:pgSz w:w="11906" w:h="16838"/>
          <w:pgMar w:top="1021" w:right="1701" w:bottom="1701" w:left="1701" w:header="851" w:footer="992" w:gutter="0"/>
          <w:cols w:space="720" w:num="1"/>
          <w:docGrid w:type="lines" w:linePitch="312" w:charSpace="0"/>
        </w:sectPr>
      </w:pPr>
    </w:p>
    <w:p>
      <w:pPr>
        <w:jc w:val="right"/>
        <w:rPr>
          <w:rFonts w:hint="eastAsia" w:eastAsia="黑体"/>
          <w:sz w:val="28"/>
          <w:szCs w:val="28"/>
          <w14:shadow w14:blurRad="50800" w14:dist="38100" w14:dir="2700000" w14:sx="100000" w14:sy="100000" w14:kx="0" w14:ky="0" w14:algn="tl">
            <w14:srgbClr w14:val="000000">
              <w14:alpha w14:val="60000"/>
            </w14:srgbClr>
          </w14:shadow>
        </w:rPr>
      </w:pPr>
      <w:r>
        <w:rPr>
          <w:rFonts w:eastAsia="黑体"/>
          <w:b/>
          <w:sz w:val="28"/>
          <w:szCs w:val="28"/>
          <w14:shadow w14:blurRad="50800" w14:dist="38100" w14:dir="2700000" w14:sx="100000" w14:sy="100000" w14:kx="0" w14:ky="0" w14:algn="tl">
            <w14:srgbClr w14:val="000000">
              <w14:alpha w14:val="60000"/>
            </w14:srgbClr>
          </w14:shadow>
        </w:rPr>
        <w:t>B.2.3</w:t>
      </w:r>
    </w:p>
    <w:p>
      <w:pPr>
        <w:spacing w:before="312" w:beforeLines="100" w:after="312" w:afterLines="100" w:line="240" w:lineRule="exact"/>
        <w:jc w:val="center"/>
        <w:rPr>
          <w:rFonts w:eastAsia="黑体"/>
          <w:sz w:val="44"/>
          <w14:shadow w14:blurRad="50800" w14:dist="38100" w14:dir="2700000" w14:sx="100000" w14:sy="100000" w14:kx="0" w14:ky="0" w14:algn="tl">
            <w14:srgbClr w14:val="000000">
              <w14:alpha w14:val="60000"/>
            </w14:srgbClr>
          </w14:shadow>
        </w:rPr>
      </w:pPr>
      <w:r>
        <w:rPr>
          <w:rFonts w:hint="eastAsia" w:eastAsia="黑体"/>
          <w:sz w:val="44"/>
          <w14:shadow w14:blurRad="50800" w14:dist="38100" w14:dir="2700000" w14:sx="100000" w14:sy="100000" w14:kx="0" w14:ky="0" w14:algn="tl">
            <w14:srgbClr w14:val="000000">
              <w14:alpha w14:val="60000"/>
            </w14:srgbClr>
          </w14:shadow>
        </w:rPr>
        <w:t>工程款支付报审表</w:t>
      </w:r>
    </w:p>
    <w:p>
      <w:pPr>
        <w:spacing w:after="156" w:afterLines="50" w:line="420" w:lineRule="exact"/>
        <w:ind w:left="21" w:hanging="21" w:hangingChars="10"/>
        <w:rPr>
          <w:szCs w:val="21"/>
        </w:rPr>
      </w:pPr>
      <w:r>
        <w:rPr>
          <w:rFonts w:hint="eastAsia"/>
          <w:szCs w:val="21"/>
        </w:rPr>
        <w:t>工程名称：</w:t>
      </w:r>
      <w:r>
        <w:rPr>
          <w:szCs w:val="21"/>
          <w:u w:val="single"/>
        </w:rPr>
        <w:t xml:space="preserve">                            </w:t>
      </w:r>
      <w:r>
        <w:rPr>
          <w:rFonts w:hint="eastAsia"/>
          <w:szCs w:val="21"/>
        </w:rPr>
        <w:t>　　　　　　　　</w:t>
      </w:r>
      <w:r>
        <w:rPr>
          <w:szCs w:val="21"/>
        </w:rPr>
        <w:t xml:space="preserve">    </w:t>
      </w:r>
      <w:r>
        <w:rPr>
          <w:rFonts w:hint="eastAsia"/>
          <w:szCs w:val="21"/>
        </w:rPr>
        <w:t>　编号：</w:t>
      </w:r>
      <w:r>
        <w:rPr>
          <w:szCs w:val="21"/>
        </w:rPr>
        <w:t>B.2.3</w:t>
      </w:r>
      <w:r>
        <w:rPr>
          <w:rFonts w:hint="eastAsia"/>
          <w:szCs w:val="21"/>
        </w:rPr>
        <w:t>－</w:t>
      </w:r>
      <w:r>
        <w:rPr>
          <w:rFonts w:hint="eastAsia"/>
          <w:szCs w:val="21"/>
          <w:u w:val="single"/>
        </w:rPr>
        <w:t>　　</w:t>
      </w:r>
      <w:r>
        <w:rPr>
          <w:szCs w:val="21"/>
          <w:u w:val="single"/>
        </w:rPr>
        <w:t xml:space="preserve">  </w:t>
      </w:r>
      <w:r>
        <w:rPr>
          <w:rFonts w:hint="eastAsia"/>
          <w:szCs w:val="21"/>
          <w:u w:val="single"/>
        </w:rPr>
        <w:t>　</w:t>
      </w: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40"/>
        <w:gridCol w:w="135"/>
        <w:gridCol w:w="2769"/>
        <w:gridCol w:w="284"/>
        <w:gridCol w:w="1417"/>
        <w:gridCol w:w="142"/>
        <w:gridCol w:w="20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2" w:hRule="atLeast"/>
          <w:jc w:val="center"/>
        </w:trPr>
        <w:tc>
          <w:tcPr>
            <w:tcW w:w="8525" w:type="dxa"/>
            <w:gridSpan w:val="7"/>
            <w:tcBorders>
              <w:top w:val="single" w:color="auto" w:sz="8" w:space="0"/>
              <w:left w:val="single" w:color="auto" w:sz="8" w:space="0"/>
              <w:bottom w:val="single" w:color="auto" w:sz="4" w:space="0"/>
              <w:right w:val="single" w:color="auto" w:sz="8" w:space="0"/>
            </w:tcBorders>
            <w:noWrap w:val="0"/>
            <w:vAlign w:val="top"/>
          </w:tcPr>
          <w:p>
            <w:pPr>
              <w:spacing w:before="120" w:after="120" w:line="300" w:lineRule="exact"/>
              <w:rPr>
                <w:rFonts w:ascii="Times New Roman"/>
                <w:szCs w:val="21"/>
              </w:rPr>
            </w:pPr>
            <w:r>
              <w:rPr>
                <w:rFonts w:hint="eastAsia" w:ascii="Times New Roman"/>
                <w:szCs w:val="21"/>
              </w:rPr>
              <w:t>致：</w:t>
            </w:r>
            <w:r>
              <w:rPr>
                <w:rFonts w:hint="eastAsia" w:ascii="Times New Roman"/>
                <w:szCs w:val="21"/>
                <w:u w:val="single"/>
              </w:rPr>
              <w:t>　　　　　　　　</w:t>
            </w:r>
            <w:r>
              <w:rPr>
                <w:rFonts w:hint="eastAsia" w:ascii="Times New Roman"/>
                <w:szCs w:val="21"/>
              </w:rPr>
              <w:t>（项目监理机构）</w:t>
            </w:r>
          </w:p>
          <w:p>
            <w:pPr>
              <w:spacing w:line="300" w:lineRule="exact"/>
              <w:ind w:firstLine="420" w:firstLineChars="200"/>
              <w:jc w:val="left"/>
              <w:rPr>
                <w:rFonts w:hint="eastAsia" w:ascii="Times New Roman"/>
                <w:szCs w:val="21"/>
              </w:rPr>
            </w:pPr>
            <w:r>
              <w:rPr>
                <w:rFonts w:hint="eastAsia" w:ascii="Times New Roman"/>
                <w:szCs w:val="21"/>
              </w:rPr>
              <w:t>根据施工合同约定，我方已完成</w:t>
            </w:r>
            <w:r>
              <w:rPr>
                <w:rFonts w:hint="eastAsia" w:ascii="Times New Roman"/>
                <w:szCs w:val="21"/>
                <w:u w:val="single"/>
              </w:rPr>
              <w:t xml:space="preserve">                                 </w:t>
            </w:r>
            <w:r>
              <w:rPr>
                <w:rFonts w:hint="eastAsia" w:ascii="Times New Roman"/>
                <w:szCs w:val="21"/>
              </w:rPr>
              <w:t>工作,建设单位应在</w:t>
            </w:r>
            <w:r>
              <w:rPr>
                <w:rFonts w:hint="eastAsia" w:ascii="Times New Roman"/>
                <w:szCs w:val="21"/>
                <w:u w:val="single"/>
              </w:rPr>
              <w:t>　 　</w:t>
            </w:r>
            <w:r>
              <w:rPr>
                <w:rFonts w:hint="eastAsia" w:ascii="Times New Roman"/>
                <w:szCs w:val="21"/>
              </w:rPr>
              <w:t>年</w:t>
            </w:r>
            <w:r>
              <w:rPr>
                <w:rFonts w:hint="eastAsia" w:ascii="Times New Roman"/>
                <w:szCs w:val="21"/>
                <w:u w:val="single"/>
              </w:rPr>
              <w:t>　　</w:t>
            </w:r>
            <w:r>
              <w:rPr>
                <w:rFonts w:hint="eastAsia" w:ascii="Times New Roman"/>
                <w:szCs w:val="21"/>
              </w:rPr>
              <w:t>月</w:t>
            </w:r>
            <w:r>
              <w:rPr>
                <w:rFonts w:hint="eastAsia" w:ascii="Times New Roman"/>
                <w:szCs w:val="21"/>
                <w:u w:val="single"/>
              </w:rPr>
              <w:t>　　</w:t>
            </w:r>
            <w:r>
              <w:rPr>
                <w:rFonts w:hint="eastAsia" w:ascii="Times New Roman"/>
                <w:szCs w:val="21"/>
              </w:rPr>
              <w:t>日前支付该项工程款共计（大写）</w:t>
            </w:r>
            <w:r>
              <w:rPr>
                <w:rFonts w:hint="eastAsia" w:ascii="Times New Roman"/>
                <w:szCs w:val="21"/>
                <w:u w:val="single"/>
              </w:rPr>
              <w:t xml:space="preserve">                           </w:t>
            </w:r>
            <w:r>
              <w:rPr>
                <w:rFonts w:hint="eastAsia" w:ascii="Times New Roman"/>
                <w:szCs w:val="21"/>
              </w:rPr>
              <w:t xml:space="preserve">(小写: </w:t>
            </w:r>
            <w:r>
              <w:rPr>
                <w:rFonts w:hint="eastAsia" w:ascii="Times New Roman"/>
                <w:szCs w:val="21"/>
                <w:u w:val="single"/>
              </w:rPr>
              <w:t xml:space="preserve">              </w:t>
            </w:r>
            <w:r>
              <w:rPr>
                <w:rFonts w:hint="eastAsia" w:ascii="Times New Roman"/>
                <w:szCs w:val="21"/>
              </w:rPr>
              <w:t>)，现将有关资料报上，请予以审核。</w:t>
            </w:r>
          </w:p>
          <w:p>
            <w:pPr>
              <w:spacing w:line="300" w:lineRule="exact"/>
              <w:ind w:firstLine="420" w:firstLineChars="200"/>
              <w:jc w:val="left"/>
              <w:rPr>
                <w:rFonts w:hint="eastAsia" w:ascii="Times New Roman"/>
                <w:szCs w:val="21"/>
              </w:rPr>
            </w:pPr>
            <w:r>
              <w:rPr>
                <w:rFonts w:hint="eastAsia" w:ascii="Times New Roman"/>
                <w:szCs w:val="21"/>
              </w:rPr>
              <w:t>附件：工程款支付证明材料</w:t>
            </w:r>
          </w:p>
          <w:p>
            <w:pPr>
              <w:spacing w:line="360" w:lineRule="auto"/>
              <w:ind w:firstLine="4273" w:firstLineChars="2035"/>
              <w:rPr>
                <w:rFonts w:hint="eastAsia" w:ascii="Times New Roman"/>
                <w:szCs w:val="21"/>
                <w:u w:val="single"/>
              </w:rPr>
            </w:pPr>
            <w:r>
              <w:rPr>
                <w:rFonts w:hint="eastAsia" w:ascii="Times New Roman"/>
                <w:szCs w:val="21"/>
              </w:rPr>
              <w:t>施工项目经理部（章）：</w:t>
            </w:r>
            <w:r>
              <w:rPr>
                <w:rFonts w:hint="eastAsia" w:ascii="Times New Roman"/>
                <w:szCs w:val="21"/>
                <w:u w:val="single"/>
              </w:rPr>
              <w:t>　　　　　　　　</w:t>
            </w:r>
          </w:p>
          <w:p>
            <w:pPr>
              <w:spacing w:line="360" w:lineRule="auto"/>
              <w:ind w:firstLine="480"/>
              <w:jc w:val="left"/>
              <w:rPr>
                <w:rFonts w:hint="eastAsia" w:ascii="Times New Roman"/>
                <w:szCs w:val="21"/>
              </w:rPr>
            </w:pPr>
            <w:r>
              <w:rPr>
                <w:rFonts w:hint="eastAsia" w:ascii="Times New Roman"/>
                <w:szCs w:val="21"/>
              </w:rPr>
              <w:t>　　　　      　                    项目经理（签字、执业印章）：</w:t>
            </w:r>
            <w:r>
              <w:rPr>
                <w:rFonts w:hint="eastAsia" w:ascii="Times New Roman"/>
                <w:szCs w:val="21"/>
                <w:u w:val="single"/>
              </w:rPr>
              <w:t>　　  　　</w:t>
            </w:r>
            <w:r>
              <w:rPr>
                <w:rFonts w:hint="eastAsia" w:ascii="Times New Roman"/>
                <w:szCs w:val="21"/>
              </w:rPr>
              <w:t>　</w:t>
            </w:r>
          </w:p>
          <w:p>
            <w:pPr>
              <w:spacing w:line="360" w:lineRule="auto"/>
              <w:ind w:firstLine="5934" w:firstLineChars="2826"/>
              <w:jc w:val="left"/>
              <w:rPr>
                <w:rFonts w:ascii="Times New Roman"/>
                <w:szCs w:val="21"/>
                <w:u w:val="single"/>
              </w:rPr>
            </w:pP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8" w:hRule="exact"/>
          <w:jc w:val="center"/>
        </w:trPr>
        <w:tc>
          <w:tcPr>
            <w:tcW w:w="1740" w:type="dxa"/>
            <w:tcBorders>
              <w:top w:val="single" w:color="auto" w:sz="4" w:space="0"/>
              <w:left w:val="single" w:color="auto" w:sz="8" w:space="0"/>
              <w:bottom w:val="single" w:color="auto" w:sz="4" w:space="0"/>
              <w:right w:val="single" w:color="auto" w:sz="4" w:space="0"/>
            </w:tcBorders>
            <w:noWrap w:val="0"/>
            <w:vAlign w:val="top"/>
          </w:tcPr>
          <w:p>
            <w:pPr>
              <w:spacing w:line="320" w:lineRule="exact"/>
              <w:ind w:left="-105" w:leftChars="-50" w:right="-105" w:rightChars="-50"/>
              <w:jc w:val="center"/>
              <w:rPr>
                <w:rFonts w:ascii="Times New Roman"/>
                <w:szCs w:val="21"/>
              </w:rPr>
            </w:pPr>
            <w:r>
              <w:rPr>
                <w:rFonts w:hint="eastAsia" w:ascii="Times New Roman"/>
                <w:szCs w:val="21"/>
              </w:rPr>
              <w:t>项目监理机构签收人姓名及时间</w:t>
            </w:r>
          </w:p>
        </w:tc>
        <w:tc>
          <w:tcPr>
            <w:tcW w:w="2904" w:type="dxa"/>
            <w:gridSpan w:val="2"/>
            <w:tcBorders>
              <w:top w:val="single" w:color="auto" w:sz="4" w:space="0"/>
              <w:left w:val="single" w:color="auto" w:sz="4" w:space="0"/>
              <w:bottom w:val="single" w:color="auto" w:sz="4" w:space="0"/>
              <w:right w:val="single" w:color="auto" w:sz="4" w:space="0"/>
            </w:tcBorders>
            <w:noWrap w:val="0"/>
            <w:vAlign w:val="top"/>
          </w:tcPr>
          <w:p>
            <w:pPr>
              <w:spacing w:line="320" w:lineRule="exact"/>
              <w:ind w:left="-105" w:leftChars="-50" w:right="-105" w:rightChars="-50"/>
              <w:jc w:val="center"/>
              <w:rPr>
                <w:rFonts w:ascii="Times New Roman"/>
                <w:szCs w:val="21"/>
              </w:rPr>
            </w:pPr>
          </w:p>
        </w:tc>
        <w:tc>
          <w:tcPr>
            <w:tcW w:w="1701" w:type="dxa"/>
            <w:gridSpan w:val="2"/>
            <w:tcBorders>
              <w:top w:val="single" w:color="auto" w:sz="4" w:space="0"/>
              <w:left w:val="single" w:color="auto" w:sz="4" w:space="0"/>
              <w:bottom w:val="single" w:color="auto" w:sz="4" w:space="0"/>
              <w:right w:val="single" w:color="auto" w:sz="4" w:space="0"/>
            </w:tcBorders>
            <w:noWrap w:val="0"/>
            <w:vAlign w:val="top"/>
          </w:tcPr>
          <w:p>
            <w:pPr>
              <w:spacing w:line="320" w:lineRule="exact"/>
              <w:ind w:left="-105" w:leftChars="-50" w:right="-105" w:rightChars="-50"/>
              <w:jc w:val="center"/>
              <w:rPr>
                <w:rFonts w:ascii="Times New Roman"/>
                <w:szCs w:val="21"/>
              </w:rPr>
            </w:pPr>
            <w:r>
              <w:rPr>
                <w:rFonts w:hint="eastAsia" w:ascii="Times New Roman"/>
                <w:szCs w:val="21"/>
              </w:rPr>
              <w:t>施工项目经理部签收人姓名及时间</w:t>
            </w:r>
          </w:p>
        </w:tc>
        <w:tc>
          <w:tcPr>
            <w:tcW w:w="2180" w:type="dxa"/>
            <w:gridSpan w:val="2"/>
            <w:tcBorders>
              <w:top w:val="single" w:color="auto" w:sz="4" w:space="0"/>
              <w:left w:val="single" w:color="auto" w:sz="4" w:space="0"/>
              <w:bottom w:val="single" w:color="auto" w:sz="4" w:space="0"/>
              <w:right w:val="single" w:color="auto" w:sz="8" w:space="0"/>
            </w:tcBorders>
            <w:noWrap w:val="0"/>
            <w:vAlign w:val="top"/>
          </w:tcPr>
          <w:p>
            <w:pPr>
              <w:spacing w:line="320" w:lineRule="exact"/>
              <w:ind w:left="-105" w:leftChars="-50" w:right="-105" w:rightChars="-50"/>
              <w:jc w:val="center"/>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81" w:hRule="atLeast"/>
          <w:jc w:val="center"/>
        </w:trPr>
        <w:tc>
          <w:tcPr>
            <w:tcW w:w="8525" w:type="dxa"/>
            <w:gridSpan w:val="7"/>
            <w:tcBorders>
              <w:top w:val="single" w:color="auto" w:sz="4" w:space="0"/>
              <w:left w:val="single" w:color="auto" w:sz="8" w:space="0"/>
              <w:bottom w:val="single" w:color="auto" w:sz="4" w:space="0"/>
              <w:right w:val="single" w:color="auto" w:sz="8" w:space="0"/>
            </w:tcBorders>
            <w:noWrap w:val="0"/>
            <w:vAlign w:val="top"/>
          </w:tcPr>
          <w:p>
            <w:pPr>
              <w:spacing w:before="120" w:after="120"/>
              <w:rPr>
                <w:rFonts w:ascii="Times New Roman"/>
                <w:szCs w:val="21"/>
              </w:rPr>
            </w:pPr>
            <w:r>
              <w:rPr>
                <w:rFonts w:hint="eastAsia" w:ascii="Times New Roman"/>
                <w:szCs w:val="21"/>
              </w:rPr>
              <w:t>审查意见：</w:t>
            </w:r>
          </w:p>
          <w:p>
            <w:pPr>
              <w:spacing w:before="120" w:after="120"/>
              <w:rPr>
                <w:rFonts w:hint="eastAsia" w:ascii="Times New Roman"/>
                <w:szCs w:val="21"/>
              </w:rPr>
            </w:pPr>
          </w:p>
          <w:p>
            <w:pPr>
              <w:rPr>
                <w:rFonts w:hint="eastAsia" w:ascii="Times New Roman"/>
                <w:szCs w:val="21"/>
              </w:rPr>
            </w:pPr>
            <w:r>
              <w:rPr>
                <w:rFonts w:hint="eastAsia" w:ascii="Times New Roman"/>
                <w:szCs w:val="21"/>
              </w:rPr>
              <w:t>附件：□ 审查记录</w:t>
            </w:r>
          </w:p>
          <w:p>
            <w:pPr>
              <w:spacing w:before="120" w:after="120"/>
              <w:rPr>
                <w:rFonts w:hint="eastAsia" w:ascii="Times New Roman"/>
                <w:szCs w:val="21"/>
              </w:rPr>
            </w:pPr>
            <w:r>
              <w:rPr>
                <w:rFonts w:hint="eastAsia" w:ascii="Times New Roman"/>
                <w:szCs w:val="21"/>
              </w:rPr>
              <w:t>　　　　                                   专业监理工程师（签字）：</w:t>
            </w:r>
            <w:r>
              <w:rPr>
                <w:rFonts w:hint="eastAsia" w:ascii="Times New Roman"/>
                <w:szCs w:val="21"/>
                <w:u w:val="single"/>
              </w:rPr>
              <w:t>　　　 　　</w:t>
            </w:r>
            <w:r>
              <w:rPr>
                <w:rFonts w:hint="eastAsia" w:ascii="Times New Roman"/>
                <w:szCs w:val="21"/>
              </w:rPr>
              <w:t>　</w:t>
            </w:r>
          </w:p>
          <w:p>
            <w:pPr>
              <w:spacing w:before="120" w:after="120"/>
              <w:ind w:firstLine="5880" w:firstLineChars="2800"/>
              <w:rPr>
                <w:rFonts w:ascii="Times New Roman"/>
                <w:szCs w:val="21"/>
              </w:rPr>
            </w:pP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777" w:hRule="atLeast"/>
          <w:jc w:val="center"/>
        </w:trPr>
        <w:tc>
          <w:tcPr>
            <w:tcW w:w="8525" w:type="dxa"/>
            <w:gridSpan w:val="7"/>
            <w:tcBorders>
              <w:top w:val="single" w:color="auto" w:sz="4" w:space="0"/>
              <w:left w:val="single" w:color="auto" w:sz="8" w:space="0"/>
              <w:bottom w:val="single" w:color="auto" w:sz="4" w:space="0"/>
              <w:right w:val="single" w:color="auto" w:sz="8" w:space="0"/>
            </w:tcBorders>
            <w:noWrap w:val="0"/>
            <w:vAlign w:val="top"/>
          </w:tcPr>
          <w:p>
            <w:pPr>
              <w:spacing w:before="120" w:after="120"/>
              <w:rPr>
                <w:rFonts w:ascii="Times New Roman"/>
                <w:szCs w:val="21"/>
              </w:rPr>
            </w:pPr>
            <w:r>
              <w:rPr>
                <w:rFonts w:hint="eastAsia" w:ascii="Times New Roman"/>
                <w:szCs w:val="21"/>
              </w:rPr>
              <w:t>审核意见：</w:t>
            </w:r>
          </w:p>
          <w:p>
            <w:pPr>
              <w:spacing w:line="140" w:lineRule="exact"/>
              <w:ind w:firstLine="3479" w:firstLineChars="1657"/>
              <w:rPr>
                <w:rFonts w:hint="eastAsia" w:ascii="Times New Roman"/>
                <w:szCs w:val="21"/>
              </w:rPr>
            </w:pPr>
          </w:p>
          <w:p>
            <w:pPr>
              <w:spacing w:line="360" w:lineRule="auto"/>
              <w:ind w:firstLine="3805" w:firstLineChars="1812"/>
              <w:rPr>
                <w:rFonts w:hint="eastAsia" w:ascii="Times New Roman"/>
                <w:szCs w:val="21"/>
                <w:u w:val="single"/>
              </w:rPr>
            </w:pPr>
            <w:r>
              <w:rPr>
                <w:rFonts w:hint="eastAsia" w:ascii="Times New Roman"/>
                <w:szCs w:val="21"/>
              </w:rPr>
              <w:t>项目监理机构（章）：</w:t>
            </w:r>
            <w:r>
              <w:rPr>
                <w:rFonts w:hint="eastAsia" w:ascii="Times New Roman"/>
                <w:szCs w:val="21"/>
                <w:u w:val="single"/>
              </w:rPr>
              <w:t>　　　　　　        　　</w:t>
            </w:r>
          </w:p>
          <w:p>
            <w:pPr>
              <w:spacing w:line="360" w:lineRule="auto"/>
              <w:rPr>
                <w:rFonts w:hint="eastAsia" w:ascii="Times New Roman"/>
                <w:szCs w:val="21"/>
              </w:rPr>
            </w:pPr>
            <w:r>
              <w:rPr>
                <w:rFonts w:hint="eastAsia" w:ascii="Times New Roman"/>
                <w:szCs w:val="21"/>
              </w:rPr>
              <w:t>　　                                总监理工程师（签字、执业印章）：</w:t>
            </w:r>
            <w:r>
              <w:rPr>
                <w:rFonts w:hint="eastAsia" w:ascii="Times New Roman"/>
                <w:szCs w:val="21"/>
                <w:u w:val="single"/>
              </w:rPr>
              <w:t>　　　　  　</w:t>
            </w:r>
            <w:r>
              <w:rPr>
                <w:rFonts w:hint="eastAsia" w:ascii="Times New Roman"/>
                <w:szCs w:val="21"/>
              </w:rPr>
              <w:t>　</w:t>
            </w:r>
          </w:p>
          <w:p>
            <w:pPr>
              <w:spacing w:line="360" w:lineRule="auto"/>
              <w:ind w:firstLine="6090" w:firstLineChars="2900"/>
              <w:rPr>
                <w:rFonts w:ascii="Times New Roman"/>
                <w:szCs w:val="21"/>
              </w:rPr>
            </w:pP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60" w:hRule="exact"/>
          <w:jc w:val="center"/>
        </w:trPr>
        <w:tc>
          <w:tcPr>
            <w:tcW w:w="1875" w:type="dxa"/>
            <w:gridSpan w:val="2"/>
            <w:tcBorders>
              <w:top w:val="single" w:color="auto" w:sz="4" w:space="0"/>
              <w:left w:val="single" w:color="auto" w:sz="8" w:space="0"/>
              <w:bottom w:val="single" w:color="auto" w:sz="4" w:space="0"/>
              <w:right w:val="single" w:color="auto" w:sz="4" w:space="0"/>
            </w:tcBorders>
            <w:noWrap w:val="0"/>
            <w:vAlign w:val="top"/>
          </w:tcPr>
          <w:p>
            <w:pPr>
              <w:spacing w:line="320" w:lineRule="exact"/>
              <w:ind w:left="-105" w:leftChars="-50" w:right="-105" w:rightChars="-50"/>
              <w:jc w:val="center"/>
              <w:rPr>
                <w:rFonts w:ascii="Times New Roman"/>
                <w:szCs w:val="21"/>
              </w:rPr>
            </w:pPr>
            <w:r>
              <w:rPr>
                <w:rFonts w:hint="eastAsia" w:ascii="Times New Roman"/>
                <w:szCs w:val="21"/>
              </w:rPr>
              <w:t>建设单位签收人</w:t>
            </w:r>
          </w:p>
          <w:p>
            <w:pPr>
              <w:spacing w:line="320" w:lineRule="exact"/>
              <w:ind w:left="-105" w:leftChars="-50" w:right="-105" w:rightChars="-50"/>
              <w:jc w:val="center"/>
              <w:rPr>
                <w:rFonts w:ascii="Times New Roman"/>
                <w:szCs w:val="21"/>
              </w:rPr>
            </w:pPr>
            <w:r>
              <w:rPr>
                <w:rFonts w:hint="eastAsia" w:ascii="Times New Roman"/>
                <w:szCs w:val="21"/>
              </w:rPr>
              <w:t>姓名及时间</w:t>
            </w:r>
          </w:p>
        </w:tc>
        <w:tc>
          <w:tcPr>
            <w:tcW w:w="3053" w:type="dxa"/>
            <w:gridSpan w:val="2"/>
            <w:tcBorders>
              <w:top w:val="single" w:color="auto" w:sz="4" w:space="0"/>
              <w:left w:val="single" w:color="auto" w:sz="4" w:space="0"/>
              <w:bottom w:val="single" w:color="auto" w:sz="4" w:space="0"/>
              <w:right w:val="single" w:color="auto" w:sz="4" w:space="0"/>
            </w:tcBorders>
            <w:noWrap w:val="0"/>
            <w:vAlign w:val="top"/>
          </w:tcPr>
          <w:p>
            <w:pPr>
              <w:spacing w:line="320" w:lineRule="exact"/>
              <w:ind w:left="-105" w:leftChars="-50" w:right="-105" w:rightChars="-50"/>
              <w:jc w:val="center"/>
              <w:rPr>
                <w:rFonts w:ascii="Times New Roman"/>
                <w:szCs w:val="21"/>
              </w:rPr>
            </w:pPr>
          </w:p>
        </w:tc>
        <w:tc>
          <w:tcPr>
            <w:tcW w:w="1559" w:type="dxa"/>
            <w:gridSpan w:val="2"/>
            <w:tcBorders>
              <w:top w:val="single" w:color="auto" w:sz="4" w:space="0"/>
              <w:left w:val="single" w:color="auto" w:sz="4" w:space="0"/>
              <w:bottom w:val="single" w:color="auto" w:sz="4" w:space="0"/>
              <w:right w:val="single" w:color="auto" w:sz="4" w:space="0"/>
            </w:tcBorders>
            <w:noWrap w:val="0"/>
            <w:vAlign w:val="top"/>
          </w:tcPr>
          <w:p>
            <w:pPr>
              <w:spacing w:line="320" w:lineRule="exact"/>
              <w:ind w:left="-105" w:leftChars="-50" w:right="-105" w:rightChars="-50"/>
              <w:jc w:val="center"/>
              <w:rPr>
                <w:rFonts w:ascii="Times New Roman"/>
                <w:szCs w:val="21"/>
              </w:rPr>
            </w:pPr>
            <w:r>
              <w:rPr>
                <w:rFonts w:hint="eastAsia" w:ascii="Times New Roman"/>
                <w:szCs w:val="21"/>
              </w:rPr>
              <w:t>项目监理机构签收人姓名及时间</w:t>
            </w:r>
          </w:p>
        </w:tc>
        <w:tc>
          <w:tcPr>
            <w:tcW w:w="2038" w:type="dxa"/>
            <w:tcBorders>
              <w:top w:val="single" w:color="auto" w:sz="4" w:space="0"/>
              <w:left w:val="single" w:color="auto" w:sz="4" w:space="0"/>
              <w:bottom w:val="single" w:color="auto" w:sz="4" w:space="0"/>
              <w:right w:val="single" w:color="auto" w:sz="8" w:space="0"/>
            </w:tcBorders>
            <w:noWrap w:val="0"/>
            <w:vAlign w:val="top"/>
          </w:tcPr>
          <w:p>
            <w:pPr>
              <w:spacing w:line="320" w:lineRule="exact"/>
              <w:ind w:left="-105" w:leftChars="-50" w:right="-105" w:rightChars="-50"/>
              <w:jc w:val="center"/>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80" w:hRule="atLeast"/>
          <w:jc w:val="center"/>
        </w:trPr>
        <w:tc>
          <w:tcPr>
            <w:tcW w:w="8525" w:type="dxa"/>
            <w:gridSpan w:val="7"/>
            <w:tcBorders>
              <w:top w:val="single" w:color="auto" w:sz="4" w:space="0"/>
              <w:left w:val="single" w:color="auto" w:sz="8" w:space="0"/>
              <w:bottom w:val="single" w:color="auto" w:sz="4" w:space="0"/>
              <w:right w:val="single" w:color="auto" w:sz="8" w:space="0"/>
            </w:tcBorders>
            <w:noWrap w:val="0"/>
            <w:vAlign w:val="top"/>
          </w:tcPr>
          <w:p>
            <w:pPr>
              <w:spacing w:before="120" w:after="120" w:line="300" w:lineRule="exact"/>
              <w:rPr>
                <w:rFonts w:ascii="Times New Roman"/>
                <w:szCs w:val="21"/>
              </w:rPr>
            </w:pPr>
            <w:r>
              <w:rPr>
                <w:rFonts w:hint="eastAsia" w:ascii="Times New Roman"/>
                <w:szCs w:val="21"/>
              </w:rPr>
              <w:t>审批意见：</w:t>
            </w:r>
          </w:p>
          <w:p>
            <w:pPr>
              <w:spacing w:before="120" w:after="120" w:line="300" w:lineRule="exact"/>
              <w:rPr>
                <w:rFonts w:hint="eastAsia" w:ascii="Times New Roman"/>
                <w:szCs w:val="21"/>
              </w:rPr>
            </w:pPr>
          </w:p>
          <w:p>
            <w:pPr>
              <w:spacing w:line="300" w:lineRule="exact"/>
              <w:ind w:firstLine="3780" w:firstLineChars="1800"/>
              <w:rPr>
                <w:rFonts w:hint="eastAsia" w:ascii="Times New Roman"/>
                <w:szCs w:val="21"/>
                <w:u w:val="single"/>
              </w:rPr>
            </w:pPr>
            <w:r>
              <w:rPr>
                <w:rFonts w:hint="eastAsia" w:ascii="Times New Roman"/>
                <w:szCs w:val="21"/>
              </w:rPr>
              <w:t>建设单位（章）：</w:t>
            </w:r>
            <w:r>
              <w:rPr>
                <w:rFonts w:hint="eastAsia" w:ascii="Times New Roman"/>
                <w:szCs w:val="21"/>
                <w:u w:val="single"/>
              </w:rPr>
              <w:t>　　　            　　　</w:t>
            </w:r>
          </w:p>
          <w:p>
            <w:pPr>
              <w:spacing w:line="300" w:lineRule="exact"/>
              <w:rPr>
                <w:rFonts w:hint="eastAsia" w:ascii="Times New Roman"/>
                <w:szCs w:val="21"/>
              </w:rPr>
            </w:pPr>
            <w:r>
              <w:rPr>
                <w:rFonts w:hint="eastAsia" w:ascii="Times New Roman"/>
                <w:szCs w:val="21"/>
              </w:rPr>
              <w:t>　　　                              项目负责人（签字）：</w:t>
            </w:r>
            <w:r>
              <w:rPr>
                <w:rFonts w:hint="eastAsia" w:ascii="Times New Roman"/>
                <w:szCs w:val="21"/>
                <w:u w:val="single"/>
              </w:rPr>
              <w:t>　　　          　　</w:t>
            </w:r>
            <w:r>
              <w:rPr>
                <w:rFonts w:hint="eastAsia" w:ascii="Times New Roman"/>
                <w:szCs w:val="21"/>
              </w:rPr>
              <w:t>　</w:t>
            </w:r>
          </w:p>
          <w:p>
            <w:pPr>
              <w:spacing w:line="300" w:lineRule="exact"/>
              <w:jc w:val="right"/>
              <w:rPr>
                <w:rFonts w:ascii="Times New Roman"/>
                <w:szCs w:val="21"/>
              </w:rPr>
            </w:pP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3" w:hRule="atLeast"/>
          <w:jc w:val="center"/>
        </w:trPr>
        <w:tc>
          <w:tcPr>
            <w:tcW w:w="8525" w:type="dxa"/>
            <w:gridSpan w:val="7"/>
            <w:tcBorders>
              <w:top w:val="single" w:color="auto" w:sz="4" w:space="0"/>
              <w:left w:val="single" w:color="auto" w:sz="8" w:space="0"/>
              <w:bottom w:val="single" w:color="auto" w:sz="8" w:space="0"/>
              <w:right w:val="single" w:color="auto" w:sz="8" w:space="0"/>
            </w:tcBorders>
            <w:noWrap w:val="0"/>
            <w:vAlign w:val="center"/>
          </w:tcPr>
          <w:p>
            <w:pPr>
              <w:ind w:left="735" w:hanging="735" w:hangingChars="350"/>
              <w:jc w:val="left"/>
              <w:rPr>
                <w:szCs w:val="21"/>
              </w:rPr>
            </w:pPr>
            <w:r>
              <w:rPr>
                <w:rFonts w:hint="eastAsia" w:ascii="Times New Roman"/>
                <w:szCs w:val="21"/>
              </w:rPr>
              <w:t>注：</w:t>
            </w:r>
            <w:r>
              <w:rPr>
                <w:szCs w:val="21"/>
              </w:rPr>
              <w:t>1</w:t>
            </w:r>
            <w:r>
              <w:rPr>
                <w:rFonts w:hint="eastAsia"/>
                <w:szCs w:val="21"/>
              </w:rPr>
              <w:t>、项目监理机构应在收到施工单位进度付款报审报表以及相关资料后</w:t>
            </w:r>
            <w:r>
              <w:rPr>
                <w:szCs w:val="21"/>
              </w:rPr>
              <w:t>7</w:t>
            </w:r>
            <w:r>
              <w:rPr>
                <w:rFonts w:hint="eastAsia"/>
                <w:szCs w:val="21"/>
              </w:rPr>
              <w:t>天内完成审核并报建设单位。</w:t>
            </w:r>
          </w:p>
          <w:p>
            <w:pPr>
              <w:ind w:left="735" w:hanging="735" w:hangingChars="350"/>
              <w:jc w:val="left"/>
              <w:rPr>
                <w:rFonts w:ascii="Times New Roman"/>
                <w:szCs w:val="21"/>
              </w:rPr>
            </w:pPr>
            <w:r>
              <w:rPr>
                <w:szCs w:val="21"/>
              </w:rPr>
              <w:t xml:space="preserve">    2</w:t>
            </w:r>
            <w:r>
              <w:rPr>
                <w:rFonts w:hint="eastAsia" w:ascii="Times New Roman"/>
                <w:szCs w:val="21"/>
              </w:rPr>
              <w:t>、本表一式四份，项目监理机构、建设单位各一份，施工单位二份。</w:t>
            </w:r>
          </w:p>
        </w:tc>
      </w:tr>
    </w:tbl>
    <w:p>
      <w:pPr>
        <w:jc w:val="left"/>
        <w:rPr>
          <w:rFonts w:ascii="Times New Roman" w:eastAsia="隶书"/>
        </w:rPr>
      </w:pPr>
      <w:r>
        <w:rPr>
          <w:rFonts w:hint="eastAsia" w:ascii="Times New Roman" w:eastAsia="隶书"/>
        </w:rPr>
        <w:t>第六版表                                              江苏省住房和城乡建设厅监制</w:t>
      </w:r>
    </w:p>
    <w:p>
      <w:pPr>
        <w:widowControl/>
        <w:jc w:val="left"/>
        <w:rPr>
          <w:rFonts w:ascii="Times New Roman" w:eastAsia="隶书"/>
        </w:rPr>
        <w:sectPr>
          <w:pgSz w:w="11906" w:h="16838"/>
          <w:pgMar w:top="1021" w:right="1701" w:bottom="1701" w:left="1701" w:header="851" w:footer="992" w:gutter="0"/>
          <w:cols w:space="720" w:num="1"/>
          <w:docGrid w:type="lines" w:linePitch="312" w:charSpace="0"/>
        </w:sectPr>
      </w:pPr>
    </w:p>
    <w:p>
      <w:pPr>
        <w:jc w:val="right"/>
        <w:rPr>
          <w:rFonts w:hint="eastAsia" w:eastAsia="黑体"/>
          <w:sz w:val="28"/>
          <w:szCs w:val="28"/>
          <w14:shadow w14:blurRad="50800" w14:dist="38100" w14:dir="2700000" w14:sx="100000" w14:sy="100000" w14:kx="0" w14:ky="0" w14:algn="tl">
            <w14:srgbClr w14:val="000000">
              <w14:alpha w14:val="60000"/>
            </w14:srgbClr>
          </w14:shadow>
        </w:rPr>
      </w:pPr>
      <w:r>
        <w:rPr>
          <w:rFonts w:eastAsia="黑体"/>
          <w:b/>
          <w:sz w:val="28"/>
          <w:szCs w:val="28"/>
          <w14:shadow w14:blurRad="50800" w14:dist="38100" w14:dir="2700000" w14:sx="100000" w14:sy="100000" w14:kx="0" w14:ky="0" w14:algn="tl">
            <w14:srgbClr w14:val="000000">
              <w14:alpha w14:val="60000"/>
            </w14:srgbClr>
          </w14:shadow>
        </w:rPr>
        <w:t>B.3.1</w:t>
      </w:r>
    </w:p>
    <w:p>
      <w:pPr>
        <w:spacing w:before="312" w:beforeLines="100" w:after="312" w:afterLines="100" w:line="300" w:lineRule="exact"/>
        <w:jc w:val="center"/>
        <w:rPr>
          <w:rFonts w:eastAsia="黑体"/>
          <w:sz w:val="44"/>
          <w14:shadow w14:blurRad="50800" w14:dist="38100" w14:dir="2700000" w14:sx="100000" w14:sy="100000" w14:kx="0" w14:ky="0" w14:algn="tl">
            <w14:srgbClr w14:val="000000">
              <w14:alpha w14:val="60000"/>
            </w14:srgbClr>
          </w14:shadow>
        </w:rPr>
      </w:pPr>
      <w:r>
        <w:rPr>
          <w:rFonts w:hint="eastAsia" w:eastAsia="黑体"/>
          <w:sz w:val="44"/>
          <w14:shadow w14:blurRad="50800" w14:dist="38100" w14:dir="2700000" w14:sx="100000" w14:sy="100000" w14:kx="0" w14:ky="0" w14:algn="tl">
            <w14:srgbClr w14:val="000000">
              <w14:alpha w14:val="60000"/>
            </w14:srgbClr>
          </w14:shadow>
        </w:rPr>
        <w:t>施工进度计划报审表</w:t>
      </w:r>
    </w:p>
    <w:p>
      <w:pPr>
        <w:spacing w:after="156" w:afterLines="50" w:line="420" w:lineRule="exact"/>
        <w:ind w:left="21" w:hanging="21" w:hangingChars="10"/>
        <w:rPr>
          <w:szCs w:val="21"/>
        </w:rPr>
      </w:pPr>
      <w:r>
        <w:rPr>
          <w:rFonts w:hint="eastAsia"/>
          <w:szCs w:val="21"/>
        </w:rPr>
        <w:t>工程名称：</w:t>
      </w:r>
      <w:r>
        <w:rPr>
          <w:szCs w:val="21"/>
          <w:u w:val="single"/>
        </w:rPr>
        <w:t xml:space="preserve">                         </w:t>
      </w:r>
      <w:r>
        <w:rPr>
          <w:szCs w:val="21"/>
        </w:rPr>
        <w:t xml:space="preserve">        </w:t>
      </w:r>
      <w:r>
        <w:rPr>
          <w:rFonts w:hint="eastAsia"/>
          <w:szCs w:val="21"/>
        </w:rPr>
        <w:t>　　</w:t>
      </w:r>
      <w:r>
        <w:rPr>
          <w:szCs w:val="21"/>
        </w:rPr>
        <w:t xml:space="preserve">   </w:t>
      </w:r>
      <w:r>
        <w:rPr>
          <w:rFonts w:hint="eastAsia"/>
          <w:szCs w:val="21"/>
        </w:rPr>
        <w:t>　</w:t>
      </w:r>
      <w:r>
        <w:rPr>
          <w:szCs w:val="21"/>
        </w:rPr>
        <w:t xml:space="preserve">     </w:t>
      </w:r>
      <w:r>
        <w:rPr>
          <w:rFonts w:hint="eastAsia"/>
          <w:szCs w:val="21"/>
        </w:rPr>
        <w:t>编号：</w:t>
      </w:r>
      <w:r>
        <w:rPr>
          <w:szCs w:val="21"/>
        </w:rPr>
        <w:t>B.3.1</w:t>
      </w:r>
      <w:r>
        <w:rPr>
          <w:szCs w:val="21"/>
          <w:u w:val="single"/>
        </w:rPr>
        <w:t xml:space="preserve">   </w:t>
      </w:r>
      <w:r>
        <w:rPr>
          <w:rFonts w:hint="eastAsia"/>
          <w:szCs w:val="21"/>
        </w:rPr>
        <w:t>－</w:t>
      </w:r>
      <w:r>
        <w:rPr>
          <w:rFonts w:hint="eastAsia"/>
          <w:szCs w:val="21"/>
          <w:u w:val="single"/>
        </w:rPr>
        <w:t>　</w:t>
      </w:r>
      <w:r>
        <w:rPr>
          <w:szCs w:val="21"/>
          <w:u w:val="single"/>
        </w:rPr>
        <w:t xml:space="preserve">      </w:t>
      </w:r>
      <w:r>
        <w:rPr>
          <w:rFonts w:hint="eastAsia"/>
          <w:szCs w:val="21"/>
          <w:u w:val="single"/>
        </w:rPr>
        <w:t>　</w:t>
      </w:r>
    </w:p>
    <w:tbl>
      <w:tblPr>
        <w:tblStyle w:val="1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2860"/>
        <w:gridCol w:w="1937"/>
        <w:gridCol w:w="24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52" w:hRule="atLeast"/>
        </w:trPr>
        <w:tc>
          <w:tcPr>
            <w:tcW w:w="8755" w:type="dxa"/>
            <w:gridSpan w:val="4"/>
            <w:tcBorders>
              <w:top w:val="single" w:color="auto" w:sz="8" w:space="0"/>
              <w:left w:val="single" w:color="auto" w:sz="8" w:space="0"/>
              <w:bottom w:val="single" w:color="auto" w:sz="4" w:space="0"/>
              <w:right w:val="single" w:color="auto" w:sz="8" w:space="0"/>
            </w:tcBorders>
            <w:noWrap w:val="0"/>
            <w:vAlign w:val="top"/>
          </w:tcPr>
          <w:p>
            <w:pPr>
              <w:spacing w:before="156" w:beforeLines="50" w:after="156" w:afterLines="50" w:line="420" w:lineRule="exact"/>
              <w:rPr>
                <w:rFonts w:ascii="Times New Roman"/>
                <w:szCs w:val="21"/>
                <w:u w:val="single"/>
              </w:rPr>
            </w:pPr>
            <w:r>
              <w:rPr>
                <w:rFonts w:hint="eastAsia" w:ascii="Times New Roman"/>
                <w:szCs w:val="21"/>
              </w:rPr>
              <w:t>致：</w:t>
            </w:r>
            <w:r>
              <w:rPr>
                <w:rFonts w:hint="eastAsia" w:ascii="Times New Roman"/>
                <w:szCs w:val="21"/>
                <w:u w:val="single"/>
              </w:rPr>
              <w:t>　　　　　　　</w:t>
            </w:r>
            <w:r>
              <w:rPr>
                <w:rFonts w:hint="eastAsia" w:ascii="Times New Roman"/>
                <w:szCs w:val="21"/>
              </w:rPr>
              <w:t>（项目监理机构）</w:t>
            </w:r>
          </w:p>
          <w:p>
            <w:pPr>
              <w:spacing w:line="420" w:lineRule="exact"/>
              <w:rPr>
                <w:rFonts w:hint="eastAsia" w:ascii="Times New Roman"/>
                <w:szCs w:val="21"/>
              </w:rPr>
            </w:pPr>
            <w:r>
              <w:rPr>
                <w:rFonts w:hint="eastAsia" w:ascii="Times New Roman"/>
                <w:szCs w:val="21"/>
              </w:rPr>
              <w:t xml:space="preserve">     根据施工合同约定，我方已完成</w:t>
            </w:r>
            <w:r>
              <w:rPr>
                <w:rFonts w:hint="eastAsia" w:ascii="Times New Roman"/>
                <w:szCs w:val="21"/>
                <w:u w:val="single"/>
              </w:rPr>
              <w:t>　　　　        　　　</w:t>
            </w:r>
            <w:r>
              <w:rPr>
                <w:rFonts w:hint="eastAsia" w:ascii="Times New Roman"/>
                <w:szCs w:val="21"/>
              </w:rPr>
              <w:t>工程</w:t>
            </w:r>
            <w:r>
              <w:rPr>
                <w:rFonts w:hint="eastAsia" w:ascii="Times New Roman"/>
                <w:szCs w:val="21"/>
                <w:u w:val="single"/>
              </w:rPr>
              <w:t>　　　　</w:t>
            </w:r>
            <w:r>
              <w:rPr>
                <w:rFonts w:hint="eastAsia" w:ascii="Times New Roman"/>
                <w:szCs w:val="21"/>
              </w:rPr>
              <w:t>年</w:t>
            </w:r>
            <w:r>
              <w:rPr>
                <w:rFonts w:hint="eastAsia" w:ascii="Times New Roman"/>
                <w:szCs w:val="21"/>
                <w:u w:val="single"/>
              </w:rPr>
              <w:t>　　</w:t>
            </w:r>
            <w:r>
              <w:rPr>
                <w:rFonts w:hint="eastAsia" w:ascii="Times New Roman"/>
                <w:szCs w:val="21"/>
              </w:rPr>
              <w:t>月</w:t>
            </w:r>
            <w:r>
              <w:rPr>
                <w:rFonts w:hint="eastAsia" w:ascii="Times New Roman"/>
                <w:szCs w:val="21"/>
                <w:u w:val="single"/>
              </w:rPr>
              <w:t xml:space="preserve">    </w:t>
            </w:r>
            <w:r>
              <w:rPr>
                <w:rFonts w:hint="eastAsia" w:ascii="Times New Roman"/>
                <w:szCs w:val="21"/>
              </w:rPr>
              <w:t>日至</w:t>
            </w:r>
            <w:r>
              <w:rPr>
                <w:rFonts w:hint="eastAsia" w:ascii="Times New Roman"/>
                <w:szCs w:val="21"/>
                <w:u w:val="single"/>
              </w:rPr>
              <w:t>　　　　</w:t>
            </w:r>
            <w:r>
              <w:rPr>
                <w:rFonts w:hint="eastAsia" w:ascii="Times New Roman"/>
                <w:szCs w:val="21"/>
              </w:rPr>
              <w:t>年</w:t>
            </w:r>
            <w:r>
              <w:rPr>
                <w:rFonts w:hint="eastAsia" w:ascii="Times New Roman"/>
                <w:szCs w:val="21"/>
                <w:u w:val="single"/>
              </w:rPr>
              <w:t>　　</w:t>
            </w:r>
            <w:r>
              <w:rPr>
                <w:rFonts w:hint="eastAsia" w:ascii="Times New Roman"/>
                <w:szCs w:val="21"/>
              </w:rPr>
              <w:t>月</w:t>
            </w:r>
            <w:r>
              <w:rPr>
                <w:rFonts w:hint="eastAsia" w:ascii="Times New Roman"/>
                <w:szCs w:val="21"/>
                <w:u w:val="single"/>
              </w:rPr>
              <w:t>　　</w:t>
            </w:r>
            <w:r>
              <w:rPr>
                <w:rFonts w:hint="eastAsia" w:ascii="Times New Roman"/>
                <w:szCs w:val="21"/>
              </w:rPr>
              <w:t>日的进度计划的编制和审批，请予以审查。</w:t>
            </w:r>
          </w:p>
          <w:p>
            <w:pPr>
              <w:spacing w:line="420" w:lineRule="exact"/>
              <w:rPr>
                <w:rFonts w:hint="eastAsia" w:ascii="Times New Roman"/>
                <w:szCs w:val="21"/>
              </w:rPr>
            </w:pPr>
            <w:r>
              <w:rPr>
                <w:rFonts w:hint="eastAsia" w:ascii="Times New Roman"/>
                <w:szCs w:val="21"/>
              </w:rPr>
              <w:t>　　附件：</w:t>
            </w:r>
          </w:p>
          <w:p>
            <w:pPr>
              <w:spacing w:line="420" w:lineRule="exact"/>
              <w:ind w:firstLine="420" w:firstLineChars="200"/>
              <w:rPr>
                <w:rFonts w:hint="eastAsia" w:ascii="Times New Roman"/>
                <w:szCs w:val="21"/>
              </w:rPr>
            </w:pPr>
            <w:r>
              <w:rPr>
                <w:rFonts w:hint="eastAsia" w:ascii="Times New Roman"/>
                <w:szCs w:val="21"/>
              </w:rPr>
              <w:t>□ 工程总进度计划及相关资料</w:t>
            </w:r>
          </w:p>
          <w:p>
            <w:pPr>
              <w:spacing w:line="420" w:lineRule="exact"/>
              <w:ind w:firstLine="420" w:firstLineChars="200"/>
              <w:rPr>
                <w:rFonts w:hint="eastAsia" w:ascii="Times New Roman"/>
                <w:szCs w:val="21"/>
              </w:rPr>
            </w:pPr>
            <w:r>
              <w:rPr>
                <w:rFonts w:hint="eastAsia" w:ascii="Times New Roman"/>
                <w:szCs w:val="21"/>
              </w:rPr>
              <w:t>□ 工程月进度计划及相关资料</w:t>
            </w:r>
          </w:p>
          <w:p>
            <w:pPr>
              <w:spacing w:line="420" w:lineRule="exact"/>
              <w:ind w:firstLine="420" w:firstLineChars="200"/>
              <w:rPr>
                <w:rFonts w:hint="eastAsia" w:ascii="Times New Roman"/>
                <w:szCs w:val="21"/>
              </w:rPr>
            </w:pPr>
            <w:r>
              <w:rPr>
                <w:rFonts w:hint="eastAsia" w:ascii="Times New Roman"/>
                <w:szCs w:val="21"/>
              </w:rPr>
              <w:t>□</w:t>
            </w:r>
            <w:r>
              <w:rPr>
                <w:szCs w:val="21"/>
              </w:rPr>
              <w:t xml:space="preserve"> </w:t>
            </w:r>
            <w:r>
              <w:rPr>
                <w:rFonts w:hint="eastAsia" w:ascii="Times New Roman"/>
                <w:szCs w:val="21"/>
              </w:rPr>
              <w:t>其他阶段计划及相关资料</w:t>
            </w:r>
          </w:p>
          <w:p>
            <w:pPr>
              <w:spacing w:line="420" w:lineRule="exact"/>
              <w:ind w:firstLine="420" w:firstLineChars="200"/>
              <w:rPr>
                <w:rFonts w:hint="eastAsia" w:ascii="Times New Roman"/>
                <w:szCs w:val="21"/>
              </w:rPr>
            </w:pPr>
          </w:p>
          <w:p>
            <w:pPr>
              <w:spacing w:line="420" w:lineRule="exact"/>
              <w:rPr>
                <w:rFonts w:hint="eastAsia" w:ascii="Times New Roman"/>
                <w:szCs w:val="21"/>
              </w:rPr>
            </w:pPr>
          </w:p>
          <w:p>
            <w:pPr>
              <w:tabs>
                <w:tab w:val="left" w:pos="3780"/>
              </w:tabs>
              <w:spacing w:line="420" w:lineRule="exact"/>
              <w:ind w:firstLine="5040" w:firstLineChars="2400"/>
              <w:rPr>
                <w:rFonts w:hint="eastAsia" w:ascii="Times New Roman"/>
                <w:szCs w:val="21"/>
              </w:rPr>
            </w:pPr>
            <w:r>
              <w:rPr>
                <w:rFonts w:hint="eastAsia" w:ascii="Times New Roman"/>
                <w:szCs w:val="21"/>
              </w:rPr>
              <w:t>施工项目经理部（章）：</w:t>
            </w:r>
            <w:r>
              <w:rPr>
                <w:rFonts w:hint="eastAsia" w:ascii="Times New Roman"/>
                <w:szCs w:val="21"/>
                <w:u w:val="single"/>
              </w:rPr>
              <w:t xml:space="preserve">　　 </w:t>
            </w:r>
            <w:r>
              <w:rPr>
                <w:rFonts w:ascii="Times New Roman"/>
                <w:szCs w:val="21"/>
                <w:u w:val="single"/>
              </w:rPr>
              <w:t> </w:t>
            </w:r>
            <w:r>
              <w:rPr>
                <w:rFonts w:hint="eastAsia" w:ascii="Times New Roman"/>
                <w:szCs w:val="21"/>
                <w:u w:val="single"/>
              </w:rPr>
              <w:t xml:space="preserve">     　</w:t>
            </w:r>
          </w:p>
          <w:p>
            <w:pPr>
              <w:spacing w:line="420" w:lineRule="exact"/>
              <w:ind w:firstLine="5040" w:firstLineChars="2400"/>
              <w:rPr>
                <w:rFonts w:hint="eastAsia" w:ascii="Times New Roman"/>
                <w:szCs w:val="21"/>
              </w:rPr>
            </w:pPr>
            <w:r>
              <w:rPr>
                <w:rFonts w:hint="eastAsia" w:ascii="Times New Roman"/>
                <w:szCs w:val="21"/>
              </w:rPr>
              <w:t>项目经理（签字）：</w:t>
            </w:r>
            <w:r>
              <w:rPr>
                <w:rFonts w:hint="eastAsia" w:ascii="Times New Roman"/>
                <w:szCs w:val="21"/>
                <w:u w:val="single"/>
              </w:rPr>
              <w:t>　　　　　　　</w:t>
            </w:r>
            <w:r>
              <w:rPr>
                <w:rFonts w:hint="eastAsia" w:ascii="Times New Roman"/>
                <w:szCs w:val="21"/>
              </w:rPr>
              <w:t xml:space="preserve">   </w:t>
            </w:r>
          </w:p>
          <w:p>
            <w:pPr>
              <w:spacing w:line="420" w:lineRule="exact"/>
              <w:jc w:val="right"/>
              <w:rPr>
                <w:rFonts w:ascii="Times New Roman"/>
                <w:szCs w:val="21"/>
              </w:rPr>
            </w:pP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548" w:type="dxa"/>
            <w:tcBorders>
              <w:top w:val="single" w:color="auto" w:sz="4" w:space="0"/>
              <w:left w:val="single" w:color="auto" w:sz="8" w:space="0"/>
              <w:bottom w:val="single" w:color="auto" w:sz="4" w:space="0"/>
              <w:right w:val="single" w:color="auto" w:sz="4" w:space="0"/>
            </w:tcBorders>
            <w:noWrap w:val="0"/>
            <w:vAlign w:val="center"/>
          </w:tcPr>
          <w:p>
            <w:pPr>
              <w:ind w:left="-105" w:leftChars="-50" w:right="-105" w:rightChars="-50"/>
              <w:jc w:val="center"/>
              <w:rPr>
                <w:rFonts w:ascii="Times New Roman"/>
                <w:szCs w:val="21"/>
              </w:rPr>
            </w:pPr>
            <w:r>
              <w:rPr>
                <w:rFonts w:hint="eastAsia" w:ascii="Times New Roman"/>
                <w:szCs w:val="21"/>
              </w:rPr>
              <w:t>项目监理机构签收人姓名及时间</w:t>
            </w:r>
          </w:p>
        </w:tc>
        <w:tc>
          <w:tcPr>
            <w:tcW w:w="2860"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rFonts w:ascii="Times New Roman"/>
                <w:szCs w:val="21"/>
              </w:rPr>
            </w:pPr>
          </w:p>
        </w:tc>
        <w:tc>
          <w:tcPr>
            <w:tcW w:w="193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rFonts w:ascii="Times New Roman"/>
                <w:szCs w:val="21"/>
              </w:rPr>
            </w:pPr>
            <w:r>
              <w:rPr>
                <w:rFonts w:hint="eastAsia" w:ascii="Times New Roman"/>
                <w:szCs w:val="21"/>
              </w:rPr>
              <w:t>施工项目经理部签收人姓名及时间</w:t>
            </w:r>
          </w:p>
        </w:tc>
        <w:tc>
          <w:tcPr>
            <w:tcW w:w="2410" w:type="dxa"/>
            <w:tcBorders>
              <w:top w:val="single" w:color="auto" w:sz="4" w:space="0"/>
              <w:left w:val="single" w:color="auto" w:sz="4" w:space="0"/>
              <w:bottom w:val="single" w:color="auto" w:sz="4" w:space="0"/>
              <w:right w:val="single" w:color="auto" w:sz="8" w:space="0"/>
            </w:tcBorders>
            <w:noWrap w:val="0"/>
            <w:vAlign w:val="top"/>
          </w:tcPr>
          <w:p>
            <w:pPr>
              <w:ind w:left="-105" w:leftChars="-50" w:right="-105" w:rightChars="-50"/>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73" w:hRule="atLeast"/>
        </w:trPr>
        <w:tc>
          <w:tcPr>
            <w:tcW w:w="8755" w:type="dxa"/>
            <w:gridSpan w:val="4"/>
            <w:tcBorders>
              <w:top w:val="single" w:color="auto" w:sz="4" w:space="0"/>
              <w:left w:val="single" w:color="auto" w:sz="8" w:space="0"/>
              <w:bottom w:val="single" w:color="auto" w:sz="4" w:space="0"/>
              <w:right w:val="single" w:color="auto" w:sz="8" w:space="0"/>
            </w:tcBorders>
            <w:noWrap w:val="0"/>
            <w:vAlign w:val="top"/>
          </w:tcPr>
          <w:p>
            <w:pPr>
              <w:spacing w:before="120"/>
              <w:rPr>
                <w:rFonts w:ascii="Times New Roman"/>
                <w:szCs w:val="21"/>
              </w:rPr>
            </w:pPr>
            <w:r>
              <w:rPr>
                <w:rFonts w:hint="eastAsia" w:ascii="Times New Roman"/>
                <w:szCs w:val="21"/>
              </w:rPr>
              <w:t>审查意见：</w:t>
            </w:r>
          </w:p>
          <w:p>
            <w:pPr>
              <w:spacing w:before="120"/>
              <w:rPr>
                <w:rFonts w:hint="eastAsia" w:ascii="Times New Roman" w:hAnsi="Times New Roman"/>
                <w:szCs w:val="21"/>
              </w:rPr>
            </w:pPr>
          </w:p>
          <w:p>
            <w:pPr>
              <w:spacing w:line="420" w:lineRule="exact"/>
              <w:ind w:firstLine="4767" w:firstLineChars="2270"/>
              <w:rPr>
                <w:rFonts w:hint="eastAsia" w:ascii="Times New Roman" w:hAnsi="Times New Roman"/>
                <w:bCs/>
                <w:szCs w:val="21"/>
                <w:u w:val="single"/>
              </w:rPr>
            </w:pPr>
            <w:r>
              <w:rPr>
                <w:rFonts w:hint="eastAsia" w:ascii="Times New Roman" w:hAnsi="Times New Roman"/>
                <w:bCs/>
                <w:szCs w:val="21"/>
              </w:rPr>
              <w:t xml:space="preserve">项目监理机构(章):  </w:t>
            </w:r>
            <w:r>
              <w:rPr>
                <w:rFonts w:hint="eastAsia" w:ascii="Times New Roman" w:hAnsi="Times New Roman"/>
                <w:bCs/>
                <w:szCs w:val="21"/>
                <w:u w:val="single"/>
              </w:rPr>
              <w:t xml:space="preserve">                 </w:t>
            </w:r>
          </w:p>
          <w:p>
            <w:pPr>
              <w:spacing w:line="420" w:lineRule="exact"/>
              <w:ind w:firstLine="630" w:firstLineChars="300"/>
              <w:jc w:val="center"/>
              <w:rPr>
                <w:rFonts w:hint="eastAsia" w:ascii="Times New Roman"/>
                <w:szCs w:val="21"/>
              </w:rPr>
            </w:pPr>
            <w:r>
              <w:rPr>
                <w:rFonts w:hint="eastAsia" w:ascii="Times New Roman" w:hAnsi="Times New Roman"/>
                <w:szCs w:val="21"/>
              </w:rPr>
              <w:t xml:space="preserve">                          专业监理工程师</w:t>
            </w:r>
            <w:r>
              <w:rPr>
                <w:rFonts w:hint="eastAsia" w:ascii="Times New Roman"/>
                <w:szCs w:val="21"/>
              </w:rPr>
              <w:t>（签字）</w:t>
            </w:r>
            <w:r>
              <w:rPr>
                <w:rFonts w:hint="eastAsia" w:ascii="Times New Roman" w:hAnsi="Times New Roman"/>
                <w:szCs w:val="21"/>
              </w:rPr>
              <w:t xml:space="preserve">： </w:t>
            </w:r>
            <w:r>
              <w:rPr>
                <w:rFonts w:hint="eastAsia" w:ascii="Times New Roman" w:hAnsi="Times New Roman"/>
                <w:szCs w:val="21"/>
                <w:u w:val="single"/>
              </w:rPr>
              <w:t xml:space="preserve">            </w:t>
            </w:r>
            <w:r>
              <w:rPr>
                <w:rFonts w:hint="eastAsia" w:ascii="Times New Roman"/>
                <w:szCs w:val="21"/>
              </w:rPr>
              <w:t xml:space="preserve">  </w:t>
            </w:r>
          </w:p>
          <w:p>
            <w:pPr>
              <w:spacing w:line="420" w:lineRule="exact"/>
              <w:ind w:firstLine="630" w:firstLineChars="300"/>
              <w:jc w:val="right"/>
              <w:rPr>
                <w:rFonts w:ascii="Times New Roman"/>
                <w:szCs w:val="21"/>
                <w:u w:val="single"/>
              </w:rPr>
            </w:pPr>
            <w:r>
              <w:rPr>
                <w:rFonts w:hint="eastAsia" w:ascii="Times New Roman"/>
                <w:szCs w:val="21"/>
              </w:rPr>
              <w:t xml:space="preserve"> </w:t>
            </w: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8755" w:type="dxa"/>
            <w:gridSpan w:val="4"/>
            <w:tcBorders>
              <w:top w:val="single" w:color="auto" w:sz="4" w:space="0"/>
              <w:left w:val="single" w:color="auto" w:sz="8" w:space="0"/>
              <w:bottom w:val="single" w:color="auto" w:sz="4" w:space="0"/>
              <w:right w:val="single" w:color="auto" w:sz="8" w:space="0"/>
            </w:tcBorders>
            <w:noWrap w:val="0"/>
            <w:vAlign w:val="top"/>
          </w:tcPr>
          <w:p>
            <w:pPr>
              <w:spacing w:before="120"/>
              <w:rPr>
                <w:rFonts w:ascii="Times New Roman"/>
                <w:szCs w:val="21"/>
              </w:rPr>
            </w:pPr>
            <w:r>
              <w:rPr>
                <w:rFonts w:hint="eastAsia" w:ascii="Times New Roman"/>
                <w:szCs w:val="21"/>
              </w:rPr>
              <w:t>审核意见：</w:t>
            </w:r>
          </w:p>
          <w:p>
            <w:pPr>
              <w:spacing w:before="120"/>
              <w:rPr>
                <w:rFonts w:hint="eastAsia" w:ascii="Times New Roman" w:hAnsi="Times New Roman"/>
                <w:szCs w:val="21"/>
              </w:rPr>
            </w:pPr>
          </w:p>
          <w:p>
            <w:pPr>
              <w:spacing w:line="420" w:lineRule="exact"/>
              <w:ind w:firstLine="3150" w:firstLineChars="1500"/>
              <w:rPr>
                <w:rFonts w:hint="eastAsia" w:ascii="Times New Roman" w:hAnsi="Times New Roman"/>
                <w:bCs/>
                <w:szCs w:val="21"/>
                <w:u w:val="single"/>
              </w:rPr>
            </w:pPr>
            <w:r>
              <w:rPr>
                <w:rFonts w:hint="eastAsia" w:ascii="Times New Roman" w:hAnsi="Times New Roman"/>
                <w:bCs/>
                <w:szCs w:val="21"/>
              </w:rPr>
              <w:t xml:space="preserve">项目监理机构(章):  </w:t>
            </w:r>
            <w:r>
              <w:rPr>
                <w:rFonts w:hint="eastAsia" w:ascii="Times New Roman" w:hAnsi="Times New Roman"/>
                <w:bCs/>
                <w:szCs w:val="21"/>
                <w:u w:val="single"/>
              </w:rPr>
              <w:t xml:space="preserve">                               </w:t>
            </w:r>
          </w:p>
          <w:p>
            <w:pPr>
              <w:spacing w:line="420" w:lineRule="exact"/>
              <w:jc w:val="center"/>
              <w:rPr>
                <w:rFonts w:hint="eastAsia" w:ascii="Times New Roman"/>
                <w:szCs w:val="21"/>
              </w:rPr>
            </w:pPr>
            <w:r>
              <w:rPr>
                <w:rFonts w:hint="eastAsia" w:ascii="Times New Roman" w:hAnsi="Times New Roman"/>
                <w:szCs w:val="21"/>
              </w:rPr>
              <w:t xml:space="preserve">                 总监理工程师/总监理工程师代表</w:t>
            </w:r>
            <w:r>
              <w:rPr>
                <w:rFonts w:hint="eastAsia" w:ascii="Times New Roman"/>
                <w:szCs w:val="21"/>
              </w:rPr>
              <w:t>（签字）</w:t>
            </w:r>
            <w:r>
              <w:rPr>
                <w:rFonts w:hint="eastAsia" w:ascii="Times New Roman" w:hAnsi="Times New Roman"/>
                <w:szCs w:val="21"/>
              </w:rPr>
              <w:t>：</w:t>
            </w:r>
            <w:r>
              <w:rPr>
                <w:rFonts w:hint="eastAsia" w:ascii="Times New Roman" w:hAnsi="Times New Roman"/>
                <w:szCs w:val="21"/>
                <w:u w:val="single"/>
              </w:rPr>
              <w:t>　　     　</w:t>
            </w:r>
            <w:r>
              <w:rPr>
                <w:rFonts w:hint="eastAsia" w:ascii="Times New Roman"/>
                <w:szCs w:val="21"/>
              </w:rPr>
              <w:t xml:space="preserve">  </w:t>
            </w:r>
          </w:p>
          <w:p>
            <w:pPr>
              <w:spacing w:line="420" w:lineRule="exact"/>
              <w:jc w:val="right"/>
              <w:rPr>
                <w:rFonts w:ascii="Times New Roman"/>
                <w:szCs w:val="21"/>
              </w:rPr>
            </w:pPr>
            <w:r>
              <w:rPr>
                <w:rFonts w:hint="eastAsia" w:ascii="Times New Roman"/>
                <w:szCs w:val="21"/>
              </w:rPr>
              <w:t xml:space="preserve"> </w:t>
            </w: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8755" w:type="dxa"/>
            <w:gridSpan w:val="4"/>
            <w:tcBorders>
              <w:top w:val="single" w:color="auto" w:sz="4" w:space="0"/>
              <w:left w:val="single" w:color="auto" w:sz="8" w:space="0"/>
              <w:bottom w:val="single" w:color="auto" w:sz="8" w:space="0"/>
              <w:right w:val="single" w:color="auto" w:sz="8" w:space="0"/>
            </w:tcBorders>
            <w:noWrap w:val="0"/>
            <w:vAlign w:val="center"/>
          </w:tcPr>
          <w:p>
            <w:pPr>
              <w:rPr>
                <w:rFonts w:ascii="Times New Roman"/>
                <w:szCs w:val="21"/>
              </w:rPr>
            </w:pPr>
            <w:r>
              <w:rPr>
                <w:rFonts w:hint="eastAsia" w:ascii="Times New Roman"/>
                <w:szCs w:val="21"/>
              </w:rPr>
              <w:t>注：</w:t>
            </w:r>
            <w:r>
              <w:rPr>
                <w:szCs w:val="21"/>
              </w:rPr>
              <w:t>1</w:t>
            </w:r>
            <w:r>
              <w:rPr>
                <w:rFonts w:hint="eastAsia" w:ascii="Times New Roman"/>
                <w:szCs w:val="21"/>
              </w:rPr>
              <w:t>、进度计划报审表施工项目经理部应提前7日提出，项目监理机构应于</w:t>
            </w:r>
            <w:r>
              <w:rPr>
                <w:szCs w:val="21"/>
              </w:rPr>
              <w:t>7</w:t>
            </w:r>
            <w:r>
              <w:rPr>
                <w:rFonts w:hint="eastAsia" w:ascii="Times New Roman"/>
                <w:szCs w:val="21"/>
              </w:rPr>
              <w:t>天内完成审核工作。</w:t>
            </w:r>
          </w:p>
          <w:p>
            <w:pPr>
              <w:rPr>
                <w:rFonts w:ascii="Times New Roman"/>
                <w:szCs w:val="21"/>
              </w:rPr>
            </w:pPr>
            <w:r>
              <w:rPr>
                <w:rFonts w:hint="eastAsia" w:ascii="Times New Roman"/>
                <w:szCs w:val="21"/>
              </w:rPr>
              <w:t xml:space="preserve">    </w:t>
            </w:r>
            <w:r>
              <w:rPr>
                <w:szCs w:val="21"/>
              </w:rPr>
              <w:t>2</w:t>
            </w:r>
            <w:r>
              <w:rPr>
                <w:rFonts w:hint="eastAsia" w:ascii="Times New Roman"/>
                <w:szCs w:val="21"/>
              </w:rPr>
              <w:t>、本表一式三份，项目监理机构、建设单位、施工单位各一份。</w:t>
            </w:r>
          </w:p>
        </w:tc>
      </w:tr>
    </w:tbl>
    <w:p>
      <w:pPr>
        <w:rPr>
          <w:rFonts w:ascii="Times New Roman" w:eastAsia="隶书"/>
        </w:rPr>
      </w:pPr>
      <w:r>
        <w:rPr>
          <w:rFonts w:hint="eastAsia" w:ascii="Times New Roman" w:eastAsia="隶书"/>
        </w:rPr>
        <w:t>第六版表                                              江苏省住房和城乡建设厅监制</w:t>
      </w:r>
    </w:p>
    <w:p>
      <w:pPr>
        <w:jc w:val="right"/>
        <w:rPr>
          <w:rFonts w:hint="eastAsia" w:eastAsia="黑体"/>
          <w:b/>
          <w:sz w:val="28"/>
          <w:szCs w:val="28"/>
          <w14:shadow w14:blurRad="50800" w14:dist="38100" w14:dir="2700000" w14:sx="100000" w14:sy="100000" w14:kx="0" w14:ky="0" w14:algn="tl">
            <w14:srgbClr w14:val="000000">
              <w14:alpha w14:val="60000"/>
            </w14:srgbClr>
          </w14:shadow>
        </w:rPr>
      </w:pPr>
      <w:r>
        <w:rPr>
          <w:b/>
          <w:szCs w:val="21"/>
        </w:rPr>
        <w:br w:type="column"/>
      </w:r>
      <w:r>
        <w:rPr>
          <w:rFonts w:eastAsia="黑体"/>
          <w:b/>
          <w:sz w:val="28"/>
          <w:szCs w:val="28"/>
          <w14:shadow w14:blurRad="50800" w14:dist="38100" w14:dir="2700000" w14:sx="100000" w14:sy="100000" w14:kx="0" w14:ky="0" w14:algn="tl">
            <w14:srgbClr w14:val="000000">
              <w14:alpha w14:val="60000"/>
            </w14:srgbClr>
          </w14:shadow>
        </w:rPr>
        <w:t>B.3.2</w:t>
      </w:r>
    </w:p>
    <w:p>
      <w:pPr>
        <w:spacing w:before="312" w:beforeLines="100" w:after="312" w:afterLines="100" w:line="300" w:lineRule="exact"/>
        <w:jc w:val="center"/>
        <w:rPr>
          <w:rFonts w:eastAsia="黑体"/>
          <w:sz w:val="44"/>
          <w14:shadow w14:blurRad="50800" w14:dist="38100" w14:dir="2700000" w14:sx="100000" w14:sy="100000" w14:kx="0" w14:ky="0" w14:algn="tl">
            <w14:srgbClr w14:val="000000">
              <w14:alpha w14:val="60000"/>
            </w14:srgbClr>
          </w14:shadow>
        </w:rPr>
      </w:pPr>
      <w:r>
        <w:rPr>
          <w:rFonts w:hint="eastAsia" w:eastAsia="黑体"/>
          <w:sz w:val="44"/>
          <w14:shadow w14:blurRad="50800" w14:dist="38100" w14:dir="2700000" w14:sx="100000" w14:sy="100000" w14:kx="0" w14:ky="0" w14:algn="tl">
            <w14:srgbClr w14:val="000000">
              <w14:alpha w14:val="60000"/>
            </w14:srgbClr>
          </w14:shadow>
        </w:rPr>
        <w:t>工程临时</w:t>
      </w:r>
      <w:r>
        <w:rPr>
          <w:rFonts w:eastAsia="黑体"/>
          <w:sz w:val="44"/>
          <w14:shadow w14:blurRad="50800" w14:dist="38100" w14:dir="2700000" w14:sx="100000" w14:sy="100000" w14:kx="0" w14:ky="0" w14:algn="tl">
            <w14:srgbClr w14:val="000000">
              <w14:alpha w14:val="60000"/>
            </w14:srgbClr>
          </w14:shadow>
        </w:rPr>
        <w:t>/</w:t>
      </w:r>
      <w:r>
        <w:rPr>
          <w:rFonts w:hint="eastAsia" w:eastAsia="黑体"/>
          <w:sz w:val="44"/>
          <w14:shadow w14:blurRad="50800" w14:dist="38100" w14:dir="2700000" w14:sx="100000" w14:sy="100000" w14:kx="0" w14:ky="0" w14:algn="tl">
            <w14:srgbClr w14:val="000000">
              <w14:alpha w14:val="60000"/>
            </w14:srgbClr>
          </w14:shadow>
        </w:rPr>
        <w:t>最终延期报审表</w:t>
      </w:r>
    </w:p>
    <w:p>
      <w:pPr>
        <w:spacing w:after="156" w:afterLines="50" w:line="420" w:lineRule="exact"/>
        <w:ind w:left="21" w:hanging="21" w:hangingChars="10"/>
        <w:rPr>
          <w:szCs w:val="21"/>
        </w:rPr>
      </w:pPr>
      <w:r>
        <w:rPr>
          <w:rFonts w:hint="eastAsia"/>
          <w:szCs w:val="21"/>
        </w:rPr>
        <w:t>工程名称：</w:t>
      </w:r>
      <w:r>
        <w:rPr>
          <w:szCs w:val="21"/>
          <w:u w:val="single"/>
        </w:rPr>
        <w:t xml:space="preserve">                         </w:t>
      </w:r>
      <w:r>
        <w:rPr>
          <w:rFonts w:hint="eastAsia"/>
          <w:szCs w:val="21"/>
        </w:rPr>
        <w:t>　　　　　　　</w:t>
      </w:r>
      <w:r>
        <w:rPr>
          <w:szCs w:val="21"/>
        </w:rPr>
        <w:t xml:space="preserve">  </w:t>
      </w:r>
      <w:r>
        <w:rPr>
          <w:rFonts w:hint="eastAsia"/>
          <w:szCs w:val="21"/>
        </w:rPr>
        <w:t>　　　</w:t>
      </w:r>
      <w:r>
        <w:rPr>
          <w:szCs w:val="21"/>
        </w:rPr>
        <w:t xml:space="preserve">   </w:t>
      </w:r>
      <w:r>
        <w:rPr>
          <w:rFonts w:hint="eastAsia"/>
          <w:szCs w:val="21"/>
        </w:rPr>
        <w:t>编号：</w:t>
      </w:r>
      <w:r>
        <w:rPr>
          <w:szCs w:val="21"/>
        </w:rPr>
        <w:t>B.3.2</w:t>
      </w:r>
      <w:r>
        <w:rPr>
          <w:rFonts w:hint="eastAsia"/>
          <w:szCs w:val="21"/>
        </w:rPr>
        <w:t>－</w:t>
      </w:r>
      <w:r>
        <w:rPr>
          <w:rFonts w:hint="eastAsia"/>
          <w:szCs w:val="21"/>
          <w:u w:val="single"/>
        </w:rPr>
        <w:t>　　</w:t>
      </w:r>
      <w:r>
        <w:rPr>
          <w:szCs w:val="21"/>
          <w:u w:val="single"/>
        </w:rPr>
        <w:t xml:space="preserve">    </w:t>
      </w:r>
    </w:p>
    <w:tbl>
      <w:tblPr>
        <w:tblStyle w:val="1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88"/>
        <w:gridCol w:w="2747"/>
        <w:gridCol w:w="47"/>
        <w:gridCol w:w="1796"/>
        <w:gridCol w:w="241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49" w:hRule="atLeast"/>
        </w:trPr>
        <w:tc>
          <w:tcPr>
            <w:tcW w:w="8616" w:type="dxa"/>
            <w:gridSpan w:val="6"/>
            <w:tcBorders>
              <w:top w:val="single" w:color="auto" w:sz="8" w:space="0"/>
              <w:left w:val="single" w:color="auto" w:sz="8" w:space="0"/>
              <w:bottom w:val="single" w:color="auto" w:sz="4" w:space="0"/>
              <w:right w:val="single" w:color="auto" w:sz="8" w:space="0"/>
            </w:tcBorders>
            <w:noWrap w:val="0"/>
            <w:vAlign w:val="top"/>
          </w:tcPr>
          <w:p>
            <w:pPr>
              <w:spacing w:before="156" w:beforeLines="50" w:after="156" w:afterLines="50" w:line="420" w:lineRule="exact"/>
              <w:rPr>
                <w:rFonts w:ascii="Times New Roman"/>
                <w:szCs w:val="21"/>
              </w:rPr>
            </w:pPr>
            <w:r>
              <w:rPr>
                <w:rFonts w:hint="eastAsia" w:ascii="Times New Roman"/>
                <w:szCs w:val="21"/>
              </w:rPr>
              <w:t>致：</w:t>
            </w:r>
            <w:r>
              <w:rPr>
                <w:rFonts w:hint="eastAsia" w:ascii="Times New Roman"/>
                <w:szCs w:val="21"/>
                <w:u w:val="single"/>
              </w:rPr>
              <w:t>　　　　　　　</w:t>
            </w:r>
            <w:r>
              <w:rPr>
                <w:rFonts w:hint="eastAsia" w:ascii="Times New Roman"/>
                <w:szCs w:val="21"/>
              </w:rPr>
              <w:t>（建设单位）</w:t>
            </w:r>
          </w:p>
          <w:p>
            <w:pPr>
              <w:spacing w:line="320" w:lineRule="exact"/>
              <w:ind w:firstLine="420" w:firstLineChars="200"/>
              <w:rPr>
                <w:rFonts w:hint="eastAsia" w:ascii="Times New Roman"/>
                <w:szCs w:val="21"/>
              </w:rPr>
            </w:pPr>
            <w:r>
              <w:rPr>
                <w:rFonts w:hint="eastAsia" w:ascii="Times New Roman"/>
                <w:szCs w:val="21"/>
                <w:u w:val="single"/>
              </w:rPr>
              <w:t>　　　　　　　</w:t>
            </w:r>
            <w:r>
              <w:rPr>
                <w:rFonts w:hint="eastAsia" w:ascii="Times New Roman"/>
                <w:szCs w:val="21"/>
              </w:rPr>
              <w:t>（项目监理机构）</w:t>
            </w:r>
          </w:p>
          <w:p>
            <w:pPr>
              <w:spacing w:line="320" w:lineRule="exact"/>
              <w:rPr>
                <w:rFonts w:hint="eastAsia" w:ascii="Times New Roman"/>
                <w:szCs w:val="21"/>
              </w:rPr>
            </w:pPr>
            <w:r>
              <w:rPr>
                <w:rFonts w:hint="eastAsia" w:ascii="Times New Roman"/>
                <w:szCs w:val="21"/>
              </w:rPr>
              <w:t>　　根据施工合同</w:t>
            </w:r>
            <w:r>
              <w:rPr>
                <w:rFonts w:hint="eastAsia" w:ascii="Times New Roman"/>
                <w:szCs w:val="21"/>
                <w:u w:val="single"/>
              </w:rPr>
              <w:t>　　　　　　　　　　</w:t>
            </w:r>
            <w:r>
              <w:rPr>
                <w:rFonts w:hint="eastAsia" w:ascii="Times New Roman"/>
                <w:szCs w:val="21"/>
              </w:rPr>
              <w:t>条款，由于</w:t>
            </w:r>
            <w:r>
              <w:rPr>
                <w:rFonts w:hint="eastAsia" w:ascii="Times New Roman"/>
                <w:szCs w:val="21"/>
                <w:u w:val="single"/>
              </w:rPr>
              <w:t>　　　　　              　　</w:t>
            </w:r>
            <w:r>
              <w:rPr>
                <w:rFonts w:hint="eastAsia" w:ascii="Times New Roman"/>
                <w:szCs w:val="21"/>
              </w:rPr>
              <w:t>原因，我方申请工程临时/最终延期</w:t>
            </w:r>
            <w:r>
              <w:rPr>
                <w:rFonts w:hint="eastAsia" w:ascii="Times New Roman"/>
                <w:szCs w:val="21"/>
                <w:u w:val="single"/>
              </w:rPr>
              <w:t>　　   　</w:t>
            </w:r>
            <w:r>
              <w:rPr>
                <w:rFonts w:hint="eastAsia" w:ascii="Times New Roman"/>
                <w:szCs w:val="21"/>
              </w:rPr>
              <w:t>天，请予以批准。</w:t>
            </w:r>
          </w:p>
          <w:p>
            <w:pPr>
              <w:spacing w:line="320" w:lineRule="exact"/>
              <w:ind w:firstLine="420" w:firstLineChars="200"/>
              <w:rPr>
                <w:rFonts w:hint="eastAsia" w:ascii="Times New Roman"/>
                <w:szCs w:val="21"/>
              </w:rPr>
            </w:pPr>
            <w:r>
              <w:rPr>
                <w:rFonts w:hint="eastAsia" w:ascii="Times New Roman"/>
                <w:szCs w:val="21"/>
              </w:rPr>
              <w:t>附件：工程延期证明材料</w:t>
            </w:r>
          </w:p>
          <w:p>
            <w:pPr>
              <w:spacing w:line="320" w:lineRule="exact"/>
              <w:ind w:firstLine="420" w:firstLineChars="200"/>
              <w:rPr>
                <w:rFonts w:hint="eastAsia" w:ascii="Times New Roman"/>
                <w:szCs w:val="21"/>
              </w:rPr>
            </w:pPr>
          </w:p>
          <w:p>
            <w:pPr>
              <w:spacing w:line="360" w:lineRule="exact"/>
              <w:rPr>
                <w:rFonts w:hint="eastAsia" w:ascii="Times New Roman"/>
                <w:szCs w:val="21"/>
              </w:rPr>
            </w:pPr>
          </w:p>
          <w:p>
            <w:pPr>
              <w:spacing w:line="420" w:lineRule="exact"/>
              <w:ind w:firstLine="4326" w:firstLineChars="2060"/>
              <w:rPr>
                <w:rFonts w:hint="eastAsia" w:ascii="Times New Roman"/>
                <w:szCs w:val="21"/>
                <w:u w:val="single"/>
              </w:rPr>
            </w:pPr>
            <w:r>
              <w:rPr>
                <w:rFonts w:hint="eastAsia" w:ascii="Times New Roman"/>
                <w:szCs w:val="21"/>
              </w:rPr>
              <w:t>施工项目经理部（章）：</w:t>
            </w:r>
            <w:r>
              <w:rPr>
                <w:rFonts w:hint="eastAsia" w:ascii="Times New Roman"/>
                <w:szCs w:val="21"/>
                <w:u w:val="single"/>
              </w:rPr>
              <w:t>　　　　　　　　</w:t>
            </w:r>
          </w:p>
          <w:p>
            <w:pPr>
              <w:keepLines/>
              <w:spacing w:line="420" w:lineRule="exact"/>
              <w:jc w:val="center"/>
              <w:rPr>
                <w:rFonts w:hint="eastAsia" w:ascii="Times New Roman"/>
                <w:szCs w:val="21"/>
              </w:rPr>
            </w:pPr>
            <w:r>
              <w:rPr>
                <w:rFonts w:hint="eastAsia" w:ascii="Times New Roman"/>
                <w:szCs w:val="21"/>
              </w:rPr>
              <w:t xml:space="preserve">                             项目经理（签字、执业印章）：</w:t>
            </w:r>
            <w:r>
              <w:rPr>
                <w:rFonts w:hint="eastAsia" w:ascii="Times New Roman"/>
                <w:szCs w:val="21"/>
                <w:u w:val="single"/>
              </w:rPr>
              <w:t>　　　　　</w:t>
            </w:r>
            <w:r>
              <w:rPr>
                <w:rFonts w:hint="eastAsia" w:ascii="Times New Roman"/>
                <w:szCs w:val="21"/>
              </w:rPr>
              <w:t xml:space="preserve">   </w:t>
            </w:r>
          </w:p>
          <w:p>
            <w:pPr>
              <w:keepLines/>
              <w:spacing w:line="420" w:lineRule="exact"/>
              <w:jc w:val="right"/>
              <w:rPr>
                <w:rFonts w:ascii="Times New Roman"/>
                <w:szCs w:val="21"/>
              </w:rPr>
            </w:pP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614" w:type="dxa"/>
            <w:gridSpan w:val="2"/>
            <w:tcBorders>
              <w:top w:val="single" w:color="auto" w:sz="4" w:space="0"/>
              <w:left w:val="single" w:color="auto" w:sz="8" w:space="0"/>
              <w:bottom w:val="single" w:color="auto" w:sz="4" w:space="0"/>
              <w:right w:val="single" w:color="auto" w:sz="4" w:space="0"/>
            </w:tcBorders>
            <w:noWrap w:val="0"/>
            <w:vAlign w:val="center"/>
          </w:tcPr>
          <w:p>
            <w:pPr>
              <w:spacing w:line="320" w:lineRule="exact"/>
              <w:ind w:left="-105" w:leftChars="-50" w:right="-105" w:rightChars="-50"/>
              <w:jc w:val="center"/>
              <w:rPr>
                <w:rFonts w:ascii="Times New Roman"/>
                <w:spacing w:val="-10"/>
                <w:szCs w:val="21"/>
              </w:rPr>
            </w:pPr>
            <w:r>
              <w:rPr>
                <w:rFonts w:hint="eastAsia" w:ascii="Times New Roman"/>
                <w:spacing w:val="-10"/>
                <w:szCs w:val="21"/>
              </w:rPr>
              <w:t>项目监理机构</w:t>
            </w:r>
          </w:p>
          <w:p>
            <w:pPr>
              <w:spacing w:line="320" w:lineRule="exact"/>
              <w:ind w:left="-105" w:leftChars="-50" w:right="-105" w:rightChars="-50"/>
              <w:jc w:val="center"/>
              <w:rPr>
                <w:rFonts w:ascii="Times New Roman"/>
                <w:szCs w:val="21"/>
              </w:rPr>
            </w:pPr>
            <w:r>
              <w:rPr>
                <w:rFonts w:hint="eastAsia" w:ascii="Times New Roman"/>
                <w:spacing w:val="-10"/>
                <w:szCs w:val="21"/>
              </w:rPr>
              <w:t>签收人姓名及时间</w:t>
            </w:r>
          </w:p>
        </w:tc>
        <w:tc>
          <w:tcPr>
            <w:tcW w:w="2794" w:type="dxa"/>
            <w:gridSpan w:val="2"/>
            <w:tcBorders>
              <w:top w:val="single" w:color="auto" w:sz="4" w:space="0"/>
              <w:left w:val="single" w:color="auto" w:sz="4" w:space="0"/>
              <w:bottom w:val="single" w:color="auto" w:sz="4" w:space="0"/>
              <w:right w:val="single" w:color="auto" w:sz="4" w:space="0"/>
            </w:tcBorders>
            <w:noWrap w:val="0"/>
            <w:vAlign w:val="center"/>
          </w:tcPr>
          <w:p>
            <w:pPr>
              <w:spacing w:line="320" w:lineRule="exact"/>
              <w:ind w:left="-105" w:leftChars="-50" w:right="-105" w:rightChars="-50"/>
              <w:jc w:val="center"/>
              <w:rPr>
                <w:rFonts w:ascii="Times New Roman"/>
                <w:szCs w:val="21"/>
              </w:rPr>
            </w:pPr>
          </w:p>
        </w:tc>
        <w:tc>
          <w:tcPr>
            <w:tcW w:w="1796"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left="-105" w:leftChars="-50" w:right="-105" w:rightChars="-50"/>
              <w:jc w:val="center"/>
              <w:rPr>
                <w:rFonts w:ascii="Times New Roman"/>
                <w:szCs w:val="21"/>
              </w:rPr>
            </w:pPr>
            <w:r>
              <w:rPr>
                <w:rFonts w:hint="eastAsia" w:ascii="Times New Roman"/>
                <w:szCs w:val="21"/>
              </w:rPr>
              <w:t>施工项目经理部</w:t>
            </w:r>
          </w:p>
          <w:p>
            <w:pPr>
              <w:spacing w:line="320" w:lineRule="exact"/>
              <w:ind w:left="-105" w:leftChars="-50" w:right="-105" w:rightChars="-50"/>
              <w:jc w:val="center"/>
              <w:rPr>
                <w:rFonts w:ascii="Times New Roman"/>
                <w:szCs w:val="21"/>
              </w:rPr>
            </w:pPr>
            <w:r>
              <w:rPr>
                <w:rFonts w:hint="eastAsia" w:ascii="Times New Roman"/>
                <w:szCs w:val="21"/>
              </w:rPr>
              <w:t>签收人姓名及时间</w:t>
            </w:r>
          </w:p>
        </w:tc>
        <w:tc>
          <w:tcPr>
            <w:tcW w:w="2412" w:type="dxa"/>
            <w:tcBorders>
              <w:top w:val="single" w:color="auto" w:sz="4" w:space="0"/>
              <w:left w:val="single" w:color="auto" w:sz="4" w:space="0"/>
              <w:bottom w:val="single" w:color="auto" w:sz="4" w:space="0"/>
              <w:right w:val="single" w:color="auto" w:sz="8" w:space="0"/>
            </w:tcBorders>
            <w:noWrap w:val="0"/>
            <w:vAlign w:val="top"/>
          </w:tcPr>
          <w:p>
            <w:pPr>
              <w:spacing w:line="320" w:lineRule="exact"/>
              <w:ind w:left="-105" w:leftChars="-50" w:right="-105" w:rightChars="-50"/>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97" w:hRule="atLeast"/>
        </w:trPr>
        <w:tc>
          <w:tcPr>
            <w:tcW w:w="8616" w:type="dxa"/>
            <w:gridSpan w:val="6"/>
            <w:tcBorders>
              <w:top w:val="single" w:color="auto" w:sz="4" w:space="0"/>
              <w:left w:val="single" w:color="auto" w:sz="8" w:space="0"/>
              <w:bottom w:val="single" w:color="auto" w:sz="4" w:space="0"/>
              <w:right w:val="single" w:color="auto" w:sz="8" w:space="0"/>
            </w:tcBorders>
            <w:noWrap w:val="0"/>
            <w:vAlign w:val="top"/>
          </w:tcPr>
          <w:p>
            <w:pPr>
              <w:spacing w:line="300" w:lineRule="exact"/>
              <w:rPr>
                <w:rFonts w:ascii="Times New Roman"/>
                <w:szCs w:val="21"/>
              </w:rPr>
            </w:pPr>
            <w:r>
              <w:rPr>
                <w:rFonts w:hint="eastAsia" w:ascii="Times New Roman"/>
                <w:szCs w:val="21"/>
              </w:rPr>
              <w:t>审查意见：</w:t>
            </w:r>
          </w:p>
          <w:p>
            <w:pPr>
              <w:tabs>
                <w:tab w:val="left" w:pos="1350"/>
              </w:tabs>
              <w:spacing w:line="320" w:lineRule="exact"/>
              <w:ind w:firstLine="480"/>
              <w:rPr>
                <w:rFonts w:hint="eastAsia" w:ascii="Times New Roman"/>
                <w:szCs w:val="21"/>
              </w:rPr>
            </w:pPr>
            <w:r>
              <w:rPr>
                <w:rFonts w:hint="eastAsia" w:ascii="Times New Roman"/>
                <w:szCs w:val="21"/>
              </w:rPr>
              <w:tab/>
            </w:r>
            <w:r>
              <w:rPr>
                <w:rFonts w:hint="eastAsia" w:ascii="Times New Roman"/>
                <w:szCs w:val="21"/>
              </w:rPr>
              <w:t xml:space="preserve">          </w:t>
            </w:r>
          </w:p>
          <w:p>
            <w:pPr>
              <w:rPr>
                <w:rFonts w:hint="eastAsia" w:ascii="Times New Roman"/>
                <w:szCs w:val="21"/>
              </w:rPr>
            </w:pPr>
            <w:r>
              <w:rPr>
                <w:rFonts w:hint="eastAsia" w:ascii="Times New Roman"/>
                <w:szCs w:val="21"/>
              </w:rPr>
              <w:t>附件：□ 审查记录。</w:t>
            </w:r>
          </w:p>
          <w:p>
            <w:pPr>
              <w:spacing w:line="300" w:lineRule="exact"/>
              <w:ind w:firstLine="480"/>
              <w:rPr>
                <w:rFonts w:hint="eastAsia" w:ascii="Times New Roman"/>
                <w:szCs w:val="21"/>
              </w:rPr>
            </w:pPr>
          </w:p>
          <w:p>
            <w:pPr>
              <w:spacing w:line="300" w:lineRule="exact"/>
              <w:ind w:firstLine="480"/>
              <w:rPr>
                <w:rFonts w:hint="eastAsia" w:ascii="Times New Roman"/>
                <w:szCs w:val="21"/>
              </w:rPr>
            </w:pPr>
          </w:p>
          <w:p>
            <w:pPr>
              <w:spacing w:line="360" w:lineRule="auto"/>
              <w:ind w:firstLine="4116" w:firstLineChars="1960"/>
              <w:rPr>
                <w:rFonts w:hint="eastAsia" w:ascii="Times New Roman"/>
                <w:bCs/>
                <w:szCs w:val="21"/>
                <w:u w:val="single"/>
              </w:rPr>
            </w:pPr>
            <w:r>
              <w:rPr>
                <w:rFonts w:hint="eastAsia" w:ascii="Times New Roman"/>
                <w:bCs/>
                <w:szCs w:val="21"/>
              </w:rPr>
              <w:t>项目监理机构(章)：</w:t>
            </w:r>
            <w:r>
              <w:rPr>
                <w:rFonts w:hint="eastAsia" w:ascii="Times New Roman"/>
                <w:bCs/>
                <w:szCs w:val="21"/>
                <w:u w:val="single"/>
              </w:rPr>
              <w:t xml:space="preserve">                     </w:t>
            </w:r>
          </w:p>
          <w:p>
            <w:pPr>
              <w:spacing w:line="360" w:lineRule="auto"/>
              <w:ind w:firstLine="4116" w:firstLineChars="1960"/>
              <w:rPr>
                <w:rFonts w:hint="eastAsia" w:ascii="Times New Roman"/>
                <w:szCs w:val="21"/>
              </w:rPr>
            </w:pPr>
            <w:r>
              <w:rPr>
                <w:rFonts w:hint="eastAsia" w:ascii="Times New Roman"/>
                <w:szCs w:val="21"/>
              </w:rPr>
              <w:t>总监理工程师（签字、执业印章）：</w:t>
            </w:r>
            <w:r>
              <w:rPr>
                <w:rFonts w:hint="eastAsia" w:ascii="Times New Roman"/>
                <w:szCs w:val="21"/>
                <w:u w:val="single"/>
              </w:rPr>
              <w:t>　　  　</w:t>
            </w:r>
            <w:r>
              <w:rPr>
                <w:rFonts w:hint="eastAsia" w:ascii="Times New Roman"/>
                <w:szCs w:val="21"/>
              </w:rPr>
              <w:t xml:space="preserve">   </w:t>
            </w:r>
          </w:p>
          <w:p>
            <w:pPr>
              <w:keepLines/>
              <w:spacing w:before="120" w:after="120"/>
              <w:jc w:val="right"/>
              <w:rPr>
                <w:rFonts w:ascii="Times New Roman"/>
                <w:szCs w:val="21"/>
              </w:rPr>
            </w:pP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26" w:type="dxa"/>
            <w:tcBorders>
              <w:top w:val="single" w:color="auto" w:sz="4" w:space="0"/>
              <w:left w:val="single" w:color="auto" w:sz="8" w:space="0"/>
              <w:bottom w:val="single" w:color="auto" w:sz="4" w:space="0"/>
              <w:right w:val="single" w:color="auto" w:sz="4" w:space="0"/>
            </w:tcBorders>
            <w:noWrap w:val="0"/>
            <w:vAlign w:val="top"/>
          </w:tcPr>
          <w:p>
            <w:pPr>
              <w:spacing w:before="120" w:after="120"/>
              <w:jc w:val="center"/>
              <w:rPr>
                <w:rFonts w:ascii="Times New Roman"/>
                <w:szCs w:val="21"/>
              </w:rPr>
            </w:pPr>
            <w:r>
              <w:rPr>
                <w:rFonts w:hint="eastAsia" w:ascii="Times New Roman"/>
                <w:szCs w:val="21"/>
              </w:rPr>
              <w:t>建设单位签收人姓名及时间</w:t>
            </w:r>
          </w:p>
        </w:tc>
        <w:tc>
          <w:tcPr>
            <w:tcW w:w="2835" w:type="dxa"/>
            <w:gridSpan w:val="2"/>
            <w:tcBorders>
              <w:top w:val="single" w:color="auto" w:sz="4" w:space="0"/>
              <w:left w:val="single" w:color="auto" w:sz="4" w:space="0"/>
              <w:bottom w:val="single" w:color="auto" w:sz="4" w:space="0"/>
              <w:right w:val="single" w:color="auto" w:sz="4" w:space="0"/>
            </w:tcBorders>
            <w:noWrap w:val="0"/>
            <w:vAlign w:val="top"/>
          </w:tcPr>
          <w:p>
            <w:pPr>
              <w:spacing w:before="120" w:after="120"/>
              <w:jc w:val="center"/>
              <w:rPr>
                <w:rFonts w:ascii="Times New Roman"/>
                <w:szCs w:val="21"/>
              </w:rPr>
            </w:pPr>
          </w:p>
        </w:tc>
        <w:tc>
          <w:tcPr>
            <w:tcW w:w="1843" w:type="dxa"/>
            <w:gridSpan w:val="2"/>
            <w:tcBorders>
              <w:top w:val="single" w:color="auto" w:sz="4" w:space="0"/>
              <w:left w:val="single" w:color="auto" w:sz="4" w:space="0"/>
              <w:bottom w:val="single" w:color="auto" w:sz="4" w:space="0"/>
              <w:right w:val="single" w:color="auto" w:sz="4" w:space="0"/>
            </w:tcBorders>
            <w:noWrap w:val="0"/>
            <w:vAlign w:val="top"/>
          </w:tcPr>
          <w:p>
            <w:pPr>
              <w:spacing w:before="120" w:after="120"/>
              <w:jc w:val="center"/>
              <w:rPr>
                <w:rFonts w:ascii="Times New Roman"/>
                <w:szCs w:val="21"/>
              </w:rPr>
            </w:pPr>
            <w:r>
              <w:rPr>
                <w:rFonts w:hint="eastAsia" w:ascii="Times New Roman"/>
                <w:szCs w:val="21"/>
              </w:rPr>
              <w:t>项目监理机构签收人姓名及时间</w:t>
            </w:r>
          </w:p>
        </w:tc>
        <w:tc>
          <w:tcPr>
            <w:tcW w:w="2412" w:type="dxa"/>
            <w:tcBorders>
              <w:top w:val="single" w:color="auto" w:sz="4" w:space="0"/>
              <w:left w:val="single" w:color="auto" w:sz="4" w:space="0"/>
              <w:bottom w:val="single" w:color="auto" w:sz="4" w:space="0"/>
              <w:right w:val="single" w:color="auto" w:sz="8" w:space="0"/>
            </w:tcBorders>
            <w:noWrap w:val="0"/>
            <w:vAlign w:val="top"/>
          </w:tcPr>
          <w:p>
            <w:pPr>
              <w:spacing w:before="120" w:after="120"/>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05" w:hRule="atLeast"/>
        </w:trPr>
        <w:tc>
          <w:tcPr>
            <w:tcW w:w="8616" w:type="dxa"/>
            <w:gridSpan w:val="6"/>
            <w:tcBorders>
              <w:top w:val="single" w:color="auto" w:sz="4" w:space="0"/>
              <w:left w:val="single" w:color="auto" w:sz="8" w:space="0"/>
              <w:bottom w:val="single" w:color="auto" w:sz="4" w:space="0"/>
              <w:right w:val="single" w:color="auto" w:sz="8" w:space="0"/>
            </w:tcBorders>
            <w:noWrap w:val="0"/>
            <w:vAlign w:val="top"/>
          </w:tcPr>
          <w:p>
            <w:pPr>
              <w:spacing w:line="300" w:lineRule="exact"/>
              <w:rPr>
                <w:rFonts w:ascii="Times New Roman"/>
                <w:szCs w:val="21"/>
              </w:rPr>
            </w:pPr>
            <w:r>
              <w:rPr>
                <w:rFonts w:hint="eastAsia" w:ascii="Times New Roman"/>
                <w:szCs w:val="21"/>
              </w:rPr>
              <w:t>审批意见：</w:t>
            </w:r>
          </w:p>
          <w:p>
            <w:pPr>
              <w:spacing w:line="300" w:lineRule="exact"/>
              <w:rPr>
                <w:rFonts w:hint="eastAsia" w:ascii="Times New Roman"/>
                <w:szCs w:val="21"/>
              </w:rPr>
            </w:pPr>
          </w:p>
          <w:p>
            <w:pPr>
              <w:spacing w:line="300" w:lineRule="exact"/>
              <w:ind w:firstLine="480"/>
              <w:rPr>
                <w:rFonts w:hint="eastAsia" w:ascii="Times New Roman"/>
                <w:szCs w:val="21"/>
              </w:rPr>
            </w:pPr>
          </w:p>
          <w:p>
            <w:pPr>
              <w:spacing w:line="420" w:lineRule="exact"/>
              <w:ind w:firstLine="4103" w:firstLineChars="1954"/>
              <w:rPr>
                <w:rFonts w:hint="eastAsia" w:ascii="Times New Roman"/>
                <w:bCs/>
                <w:szCs w:val="21"/>
                <w:u w:val="single"/>
              </w:rPr>
            </w:pPr>
            <w:r>
              <w:rPr>
                <w:rFonts w:hint="eastAsia" w:ascii="Times New Roman"/>
                <w:bCs/>
                <w:szCs w:val="21"/>
              </w:rPr>
              <w:t>建设单位(章)：</w:t>
            </w:r>
            <w:r>
              <w:rPr>
                <w:rFonts w:hint="eastAsia" w:ascii="Times New Roman"/>
                <w:bCs/>
                <w:szCs w:val="21"/>
                <w:u w:val="single"/>
              </w:rPr>
              <w:t xml:space="preserve">                       </w:t>
            </w:r>
          </w:p>
          <w:p>
            <w:pPr>
              <w:spacing w:line="420" w:lineRule="exact"/>
              <w:jc w:val="center"/>
              <w:rPr>
                <w:rFonts w:hint="eastAsia" w:ascii="Times New Roman"/>
                <w:szCs w:val="21"/>
              </w:rPr>
            </w:pPr>
            <w:r>
              <w:rPr>
                <w:rFonts w:hint="eastAsia" w:ascii="Times New Roman"/>
                <w:szCs w:val="21"/>
              </w:rPr>
              <w:t xml:space="preserve">                 项目负责人（签字）：</w:t>
            </w:r>
            <w:r>
              <w:rPr>
                <w:rFonts w:hint="eastAsia" w:ascii="Times New Roman"/>
                <w:szCs w:val="21"/>
                <w:u w:val="single"/>
              </w:rPr>
              <w:t>　　            　</w:t>
            </w:r>
            <w:r>
              <w:rPr>
                <w:rFonts w:hint="eastAsia" w:ascii="Times New Roman"/>
                <w:szCs w:val="21"/>
              </w:rPr>
              <w:t xml:space="preserve">   </w:t>
            </w:r>
          </w:p>
          <w:p>
            <w:pPr>
              <w:spacing w:line="420" w:lineRule="exact"/>
              <w:jc w:val="right"/>
              <w:rPr>
                <w:rFonts w:ascii="Times New Roman"/>
                <w:szCs w:val="21"/>
              </w:rPr>
            </w:pP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16" w:type="dxa"/>
            <w:gridSpan w:val="6"/>
            <w:tcBorders>
              <w:top w:val="single" w:color="auto" w:sz="4" w:space="0"/>
              <w:left w:val="single" w:color="auto" w:sz="8" w:space="0"/>
              <w:bottom w:val="single" w:color="auto" w:sz="8" w:space="0"/>
              <w:right w:val="single" w:color="auto" w:sz="8" w:space="0"/>
            </w:tcBorders>
            <w:noWrap w:val="0"/>
            <w:vAlign w:val="center"/>
          </w:tcPr>
          <w:p>
            <w:pPr>
              <w:rPr>
                <w:rFonts w:ascii="Times New Roman"/>
                <w:szCs w:val="21"/>
              </w:rPr>
            </w:pPr>
            <w:r>
              <w:rPr>
                <w:rFonts w:hint="eastAsia" w:ascii="Times New Roman"/>
                <w:szCs w:val="21"/>
              </w:rPr>
              <w:t>注：本表一式三份，项目监理机构、建设单位、施工单位各一份。</w:t>
            </w:r>
          </w:p>
        </w:tc>
      </w:tr>
    </w:tbl>
    <w:p>
      <w:pPr>
        <w:rPr>
          <w:rFonts w:ascii="Times New Roman" w:eastAsia="隶书"/>
        </w:rPr>
      </w:pPr>
      <w:r>
        <w:rPr>
          <w:rFonts w:hint="eastAsia" w:ascii="Times New Roman" w:eastAsia="隶书"/>
        </w:rPr>
        <w:t>第六版表                                              江苏省住房和城乡建设厅监制</w:t>
      </w:r>
    </w:p>
    <w:p>
      <w:pPr>
        <w:spacing w:line="380" w:lineRule="exact"/>
        <w:jc w:val="right"/>
        <w:rPr>
          <w:rFonts w:hint="eastAsia" w:eastAsia="黑体"/>
          <w:b/>
          <w:sz w:val="28"/>
          <w:szCs w:val="28"/>
          <w14:shadow w14:blurRad="50800" w14:dist="38100" w14:dir="2700000" w14:sx="100000" w14:sy="100000" w14:kx="0" w14:ky="0" w14:algn="tl">
            <w14:srgbClr w14:val="000000">
              <w14:alpha w14:val="60000"/>
            </w14:srgbClr>
          </w14:shadow>
        </w:rPr>
      </w:pPr>
      <w:r>
        <w:rPr>
          <w:rFonts w:eastAsia="黑体"/>
          <w:b/>
          <w:sz w:val="28"/>
          <w:szCs w:val="28"/>
          <w14:shadow w14:blurRad="50800" w14:dist="38100" w14:dir="2700000" w14:sx="100000" w14:sy="100000" w14:kx="0" w14:ky="0" w14:algn="tl">
            <w14:srgbClr w14:val="000000">
              <w14:alpha w14:val="60000"/>
            </w14:srgbClr>
          </w14:shadow>
        </w:rPr>
        <w:t>B.4.1</w:t>
      </w:r>
    </w:p>
    <w:p>
      <w:pPr>
        <w:spacing w:before="312" w:beforeLines="100" w:after="312" w:afterLines="100"/>
        <w:jc w:val="center"/>
        <w:rPr>
          <w:rFonts w:eastAsia="黑体"/>
          <w:sz w:val="44"/>
          <w14:shadow w14:blurRad="50800" w14:dist="38100" w14:dir="2700000" w14:sx="100000" w14:sy="100000" w14:kx="0" w14:ky="0" w14:algn="tl">
            <w14:srgbClr w14:val="000000">
              <w14:alpha w14:val="60000"/>
            </w14:srgbClr>
          </w14:shadow>
        </w:rPr>
      </w:pPr>
      <w:r>
        <w:rPr>
          <w:rFonts w:hint="eastAsia" w:eastAsia="黑体"/>
          <w:sz w:val="44"/>
          <w14:shadow w14:blurRad="50800" w14:dist="38100" w14:dir="2700000" w14:sx="100000" w14:sy="100000" w14:kx="0" w14:ky="0" w14:algn="tl">
            <w14:srgbClr w14:val="000000">
              <w14:alpha w14:val="60000"/>
            </w14:srgbClr>
          </w14:shadow>
        </w:rPr>
        <w:t>施工起重机械设备安装</w:t>
      </w:r>
      <w:r>
        <w:rPr>
          <w:rFonts w:eastAsia="黑体"/>
          <w:sz w:val="44"/>
          <w14:shadow w14:blurRad="50800" w14:dist="38100" w14:dir="2700000" w14:sx="100000" w14:sy="100000" w14:kx="0" w14:ky="0" w14:algn="tl">
            <w14:srgbClr w14:val="000000">
              <w14:alpha w14:val="60000"/>
            </w14:srgbClr>
          </w14:shadow>
        </w:rPr>
        <w:t>/</w:t>
      </w:r>
      <w:r>
        <w:rPr>
          <w:rFonts w:hint="eastAsia" w:eastAsia="黑体"/>
          <w:sz w:val="44"/>
          <w14:shadow w14:blurRad="50800" w14:dist="38100" w14:dir="2700000" w14:sx="100000" w14:sy="100000" w14:kx="0" w14:ky="0" w14:algn="tl">
            <w14:srgbClr w14:val="000000">
              <w14:alpha w14:val="60000"/>
            </w14:srgbClr>
          </w14:shadow>
        </w:rPr>
        <w:t>使用</w:t>
      </w:r>
      <w:r>
        <w:rPr>
          <w:rFonts w:eastAsia="黑体"/>
          <w:sz w:val="44"/>
          <w14:shadow w14:blurRad="50800" w14:dist="38100" w14:dir="2700000" w14:sx="100000" w14:sy="100000" w14:kx="0" w14:ky="0" w14:algn="tl">
            <w14:srgbClr w14:val="000000">
              <w14:alpha w14:val="60000"/>
            </w14:srgbClr>
          </w14:shadow>
        </w:rPr>
        <w:t>/</w:t>
      </w:r>
      <w:r>
        <w:rPr>
          <w:rFonts w:hint="eastAsia" w:eastAsia="黑体"/>
          <w:sz w:val="44"/>
          <w14:shadow w14:blurRad="50800" w14:dist="38100" w14:dir="2700000" w14:sx="100000" w14:sy="100000" w14:kx="0" w14:ky="0" w14:algn="tl">
            <w14:srgbClr w14:val="000000">
              <w14:alpha w14:val="60000"/>
            </w14:srgbClr>
          </w14:shadow>
        </w:rPr>
        <w:t>拆卸报审表</w:t>
      </w:r>
    </w:p>
    <w:p>
      <w:pPr>
        <w:spacing w:after="156" w:afterLines="50" w:line="420" w:lineRule="exact"/>
        <w:ind w:left="21" w:hanging="21" w:hangingChars="10"/>
        <w:rPr>
          <w:szCs w:val="21"/>
        </w:rPr>
      </w:pPr>
      <w:r>
        <w:rPr>
          <w:rFonts w:hint="eastAsia"/>
          <w:szCs w:val="21"/>
        </w:rPr>
        <w:t>工程名称：</w:t>
      </w:r>
      <w:r>
        <w:rPr>
          <w:szCs w:val="21"/>
          <w:u w:val="single"/>
        </w:rPr>
        <w:t xml:space="preserve">                          </w:t>
      </w:r>
      <w:r>
        <w:rPr>
          <w:szCs w:val="21"/>
        </w:rPr>
        <w:t xml:space="preserve">   </w:t>
      </w:r>
      <w:r>
        <w:rPr>
          <w:rFonts w:hint="eastAsia"/>
          <w:szCs w:val="21"/>
        </w:rPr>
        <w:t>　　　　　</w:t>
      </w:r>
      <w:r>
        <w:rPr>
          <w:szCs w:val="21"/>
        </w:rPr>
        <w:t xml:space="preserve">       </w:t>
      </w:r>
      <w:r>
        <w:rPr>
          <w:rFonts w:hint="eastAsia"/>
          <w:szCs w:val="21"/>
        </w:rPr>
        <w:t>　编号：</w:t>
      </w:r>
      <w:r>
        <w:rPr>
          <w:szCs w:val="21"/>
        </w:rPr>
        <w:t>B.4.1</w:t>
      </w:r>
      <w:r>
        <w:rPr>
          <w:rFonts w:hint="eastAsia"/>
          <w:szCs w:val="21"/>
          <w:u w:val="single"/>
        </w:rPr>
        <w:t>　</w:t>
      </w:r>
      <w:r>
        <w:rPr>
          <w:szCs w:val="21"/>
          <w:u w:val="single"/>
        </w:rPr>
        <w:t xml:space="preserve"> </w:t>
      </w:r>
      <w:r>
        <w:rPr>
          <w:rFonts w:hint="eastAsia"/>
          <w:szCs w:val="21"/>
        </w:rPr>
        <w:t>—</w:t>
      </w:r>
      <w:r>
        <w:rPr>
          <w:rFonts w:hint="eastAsia"/>
          <w:szCs w:val="21"/>
          <w:u w:val="single"/>
        </w:rPr>
        <w:t>　　　　</w:t>
      </w:r>
    </w:p>
    <w:tbl>
      <w:tblPr>
        <w:tblStyle w:val="1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14"/>
        <w:gridCol w:w="2794"/>
        <w:gridCol w:w="1796"/>
        <w:gridCol w:w="23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598" w:type="dxa"/>
            <w:gridSpan w:val="4"/>
            <w:tcBorders>
              <w:top w:val="single" w:color="auto" w:sz="8" w:space="0"/>
              <w:left w:val="single" w:color="auto" w:sz="8" w:space="0"/>
              <w:bottom w:val="single" w:color="auto" w:sz="4" w:space="0"/>
              <w:right w:val="single" w:color="auto" w:sz="8" w:space="0"/>
            </w:tcBorders>
            <w:noWrap w:val="0"/>
            <w:vAlign w:val="top"/>
          </w:tcPr>
          <w:p>
            <w:pPr>
              <w:spacing w:before="120" w:after="120" w:line="260" w:lineRule="exact"/>
              <w:rPr>
                <w:rFonts w:ascii="Times New Roman"/>
                <w:szCs w:val="21"/>
              </w:rPr>
            </w:pPr>
            <w:r>
              <w:rPr>
                <w:rFonts w:hint="eastAsia" w:ascii="Times New Roman"/>
                <w:szCs w:val="21"/>
              </w:rPr>
              <w:t>致：</w:t>
            </w:r>
            <w:r>
              <w:rPr>
                <w:rFonts w:hint="eastAsia" w:ascii="Times New Roman"/>
                <w:szCs w:val="21"/>
                <w:u w:val="single"/>
              </w:rPr>
              <w:t>　　　　　　</w:t>
            </w:r>
            <w:r>
              <w:rPr>
                <w:rFonts w:hint="eastAsia" w:ascii="Times New Roman"/>
                <w:szCs w:val="21"/>
              </w:rPr>
              <w:t>（项目监理机构）</w:t>
            </w:r>
          </w:p>
          <w:p>
            <w:pPr>
              <w:spacing w:line="260" w:lineRule="exact"/>
              <w:rPr>
                <w:rFonts w:hint="eastAsia" w:ascii="Times New Roman"/>
                <w:szCs w:val="21"/>
              </w:rPr>
            </w:pPr>
            <w:r>
              <w:rPr>
                <w:rFonts w:hint="eastAsia" w:ascii="Times New Roman"/>
                <w:szCs w:val="21"/>
              </w:rPr>
              <w:t xml:space="preserve">    根据工程施工需要， </w:t>
            </w:r>
            <w:r>
              <w:rPr>
                <w:rFonts w:hint="eastAsia" w:ascii="Times New Roman"/>
                <w:szCs w:val="21"/>
                <w:u w:val="single"/>
              </w:rPr>
              <w:t xml:space="preserve">                           </w:t>
            </w:r>
            <w:r>
              <w:rPr>
                <w:rFonts w:hint="eastAsia" w:ascii="Times New Roman"/>
                <w:szCs w:val="21"/>
              </w:rPr>
              <w:t>工程（单位/分部）拟安装/使用/拆卸</w:t>
            </w:r>
            <w:r>
              <w:rPr>
                <w:rFonts w:hint="eastAsia" w:ascii="Times New Roman"/>
                <w:szCs w:val="21"/>
                <w:u w:val="single"/>
              </w:rPr>
              <w:t xml:space="preserve">                           </w:t>
            </w:r>
            <w:r>
              <w:rPr>
                <w:rFonts w:hint="eastAsia" w:ascii="Times New Roman"/>
                <w:szCs w:val="21"/>
              </w:rPr>
              <w:t>起重机械设备，我方已完成自检工作。请予以审核。</w:t>
            </w:r>
          </w:p>
          <w:p>
            <w:pPr>
              <w:spacing w:line="260" w:lineRule="exact"/>
              <w:ind w:firstLine="420" w:firstLineChars="200"/>
              <w:rPr>
                <w:rFonts w:hint="eastAsia" w:ascii="Times New Roman"/>
                <w:szCs w:val="21"/>
              </w:rPr>
            </w:pPr>
            <w:r>
              <w:rPr>
                <w:rFonts w:hint="eastAsia" w:ascii="Times New Roman"/>
                <w:szCs w:val="21"/>
              </w:rPr>
              <w:t>附件：</w:t>
            </w:r>
          </w:p>
          <w:p>
            <w:pPr>
              <w:spacing w:line="260" w:lineRule="exact"/>
              <w:ind w:firstLine="420" w:firstLineChars="200"/>
              <w:rPr>
                <w:rFonts w:hint="eastAsia" w:ascii="Times New Roman"/>
                <w:szCs w:val="21"/>
              </w:rPr>
            </w:pPr>
            <w:r>
              <w:rPr>
                <w:rFonts w:hint="eastAsia" w:ascii="Times New Roman"/>
                <w:szCs w:val="21"/>
              </w:rPr>
              <w:t xml:space="preserve">□ </w:t>
            </w:r>
            <w:r>
              <w:rPr>
                <w:rFonts w:hint="eastAsia" w:ascii="Times New Roman"/>
                <w:b/>
                <w:bCs/>
                <w:szCs w:val="21"/>
              </w:rPr>
              <w:t>设备安装：</w:t>
            </w:r>
          </w:p>
          <w:p>
            <w:pPr>
              <w:spacing w:line="260" w:lineRule="exact"/>
              <w:ind w:firstLine="840" w:firstLineChars="400"/>
              <w:rPr>
                <w:rFonts w:hint="eastAsia" w:ascii="Times New Roman"/>
                <w:szCs w:val="21"/>
              </w:rPr>
            </w:pPr>
            <w:r>
              <w:rPr>
                <w:rFonts w:hint="eastAsia" w:ascii="Times New Roman"/>
                <w:szCs w:val="21"/>
              </w:rPr>
              <w:t>□  设备清单（如名称、产地、规格、数量等）</w:t>
            </w:r>
          </w:p>
          <w:p>
            <w:pPr>
              <w:spacing w:line="260" w:lineRule="exact"/>
              <w:ind w:firstLine="840" w:firstLineChars="400"/>
              <w:rPr>
                <w:rFonts w:hint="eastAsia" w:ascii="Times New Roman"/>
                <w:szCs w:val="21"/>
              </w:rPr>
            </w:pPr>
            <w:r>
              <w:rPr>
                <w:rFonts w:hint="eastAsia" w:ascii="Times New Roman"/>
                <w:szCs w:val="21"/>
              </w:rPr>
              <w:t>□  设备制造许可证、产品合格证、备案证明等</w:t>
            </w:r>
          </w:p>
          <w:p>
            <w:pPr>
              <w:spacing w:line="260" w:lineRule="exact"/>
              <w:ind w:firstLine="840" w:firstLineChars="400"/>
              <w:rPr>
                <w:rFonts w:hint="eastAsia" w:ascii="Times New Roman"/>
                <w:szCs w:val="21"/>
              </w:rPr>
            </w:pPr>
            <w:r>
              <w:rPr>
                <w:rFonts w:hint="eastAsia" w:ascii="Times New Roman"/>
                <w:szCs w:val="21"/>
              </w:rPr>
              <w:t>□  设备安装单位的资质和人员的资格证书</w:t>
            </w:r>
          </w:p>
          <w:p>
            <w:pPr>
              <w:spacing w:line="260" w:lineRule="exact"/>
              <w:ind w:firstLine="840" w:firstLineChars="400"/>
              <w:rPr>
                <w:rFonts w:hint="eastAsia" w:ascii="Times New Roman"/>
                <w:szCs w:val="21"/>
              </w:rPr>
            </w:pPr>
            <w:r>
              <w:rPr>
                <w:rFonts w:hint="eastAsia" w:ascii="Times New Roman"/>
                <w:szCs w:val="21"/>
              </w:rPr>
              <w:t>□  设备安装施工方案（含急救援预案）</w:t>
            </w:r>
          </w:p>
          <w:p>
            <w:pPr>
              <w:spacing w:line="260" w:lineRule="exact"/>
              <w:ind w:firstLine="840" w:firstLineChars="400"/>
              <w:rPr>
                <w:rFonts w:hint="eastAsia" w:ascii="Times New Roman"/>
                <w:szCs w:val="21"/>
              </w:rPr>
            </w:pPr>
            <w:r>
              <w:rPr>
                <w:rFonts w:hint="eastAsia" w:ascii="Times New Roman"/>
                <w:szCs w:val="21"/>
              </w:rPr>
              <w:t>□  自检合格记录</w:t>
            </w:r>
          </w:p>
          <w:p>
            <w:pPr>
              <w:spacing w:line="260" w:lineRule="exact"/>
              <w:ind w:firstLine="420" w:firstLineChars="200"/>
              <w:rPr>
                <w:rFonts w:hint="eastAsia" w:ascii="Times New Roman"/>
                <w:szCs w:val="21"/>
              </w:rPr>
            </w:pPr>
            <w:r>
              <w:rPr>
                <w:rFonts w:hint="eastAsia" w:ascii="Times New Roman"/>
                <w:szCs w:val="21"/>
              </w:rPr>
              <w:t xml:space="preserve">□ </w:t>
            </w:r>
            <w:r>
              <w:rPr>
                <w:rFonts w:hint="eastAsia" w:ascii="Times New Roman"/>
                <w:b/>
                <w:bCs/>
                <w:szCs w:val="21"/>
              </w:rPr>
              <w:t>设备使用：</w:t>
            </w:r>
          </w:p>
          <w:p>
            <w:pPr>
              <w:spacing w:line="260" w:lineRule="exact"/>
              <w:ind w:firstLine="840" w:firstLineChars="400"/>
              <w:rPr>
                <w:rFonts w:hint="eastAsia" w:ascii="Times New Roman"/>
                <w:szCs w:val="21"/>
              </w:rPr>
            </w:pPr>
            <w:r>
              <w:rPr>
                <w:rFonts w:hint="eastAsia" w:ascii="Times New Roman"/>
                <w:szCs w:val="21"/>
              </w:rPr>
              <w:t>□  安装单位自检合格记录</w:t>
            </w:r>
          </w:p>
          <w:p>
            <w:pPr>
              <w:spacing w:line="260" w:lineRule="exact"/>
              <w:ind w:firstLine="840" w:firstLineChars="400"/>
              <w:rPr>
                <w:rFonts w:hint="eastAsia" w:ascii="Times New Roman"/>
                <w:szCs w:val="21"/>
              </w:rPr>
            </w:pPr>
            <w:r>
              <w:rPr>
                <w:rFonts w:hint="eastAsia" w:ascii="Times New Roman"/>
                <w:szCs w:val="21"/>
              </w:rPr>
              <w:t>□  专业检测单位检测报告</w:t>
            </w:r>
          </w:p>
          <w:p>
            <w:pPr>
              <w:spacing w:line="260" w:lineRule="exact"/>
              <w:ind w:firstLine="840" w:firstLineChars="400"/>
              <w:rPr>
                <w:rFonts w:hint="eastAsia" w:ascii="Times New Roman"/>
                <w:szCs w:val="21"/>
              </w:rPr>
            </w:pPr>
            <w:r>
              <w:rPr>
                <w:rFonts w:hint="eastAsia" w:ascii="Times New Roman"/>
                <w:szCs w:val="21"/>
              </w:rPr>
              <w:t>□  设备验收记录</w:t>
            </w:r>
          </w:p>
          <w:p>
            <w:pPr>
              <w:spacing w:line="260" w:lineRule="exact"/>
              <w:ind w:firstLine="840" w:firstLineChars="400"/>
              <w:rPr>
                <w:rFonts w:hint="eastAsia" w:ascii="Times New Roman"/>
                <w:szCs w:val="21"/>
              </w:rPr>
            </w:pPr>
            <w:r>
              <w:rPr>
                <w:rFonts w:hint="eastAsia" w:ascii="Times New Roman"/>
                <w:szCs w:val="21"/>
              </w:rPr>
              <w:t>□  设备操作人员的资格证书</w:t>
            </w:r>
          </w:p>
          <w:p>
            <w:pPr>
              <w:spacing w:line="260" w:lineRule="exact"/>
              <w:ind w:firstLine="840" w:firstLineChars="400"/>
              <w:rPr>
                <w:rFonts w:hint="eastAsia" w:ascii="Times New Roman"/>
                <w:szCs w:val="21"/>
              </w:rPr>
            </w:pPr>
            <w:r>
              <w:rPr>
                <w:rFonts w:hint="eastAsia" w:ascii="Times New Roman"/>
                <w:szCs w:val="21"/>
              </w:rPr>
              <w:t>□  设备操作和维护保养管理制度</w:t>
            </w:r>
          </w:p>
          <w:p>
            <w:pPr>
              <w:spacing w:line="260" w:lineRule="exact"/>
              <w:ind w:firstLine="840" w:firstLineChars="400"/>
              <w:rPr>
                <w:rFonts w:hint="eastAsia" w:ascii="Times New Roman"/>
                <w:szCs w:val="21"/>
              </w:rPr>
            </w:pPr>
            <w:r>
              <w:rPr>
                <w:rFonts w:hint="eastAsia" w:ascii="Times New Roman"/>
                <w:szCs w:val="21"/>
              </w:rPr>
              <w:t xml:space="preserve">□  </w:t>
            </w:r>
          </w:p>
          <w:p>
            <w:pPr>
              <w:spacing w:line="260" w:lineRule="exact"/>
              <w:ind w:firstLine="420" w:firstLineChars="200"/>
              <w:rPr>
                <w:rFonts w:hint="eastAsia" w:ascii="Times New Roman"/>
                <w:szCs w:val="21"/>
              </w:rPr>
            </w:pPr>
            <w:r>
              <w:rPr>
                <w:rFonts w:hint="eastAsia" w:ascii="Times New Roman"/>
                <w:szCs w:val="21"/>
              </w:rPr>
              <w:t xml:space="preserve">□ </w:t>
            </w:r>
            <w:r>
              <w:rPr>
                <w:rFonts w:hint="eastAsia" w:ascii="Times New Roman"/>
                <w:b/>
                <w:bCs/>
                <w:szCs w:val="21"/>
              </w:rPr>
              <w:t>设备拆卸：</w:t>
            </w:r>
          </w:p>
          <w:p>
            <w:pPr>
              <w:spacing w:line="260" w:lineRule="exact"/>
              <w:ind w:firstLine="840" w:firstLineChars="400"/>
              <w:rPr>
                <w:rFonts w:hint="eastAsia" w:ascii="Times New Roman"/>
                <w:szCs w:val="21"/>
              </w:rPr>
            </w:pPr>
            <w:r>
              <w:rPr>
                <w:rFonts w:hint="eastAsia" w:ascii="Times New Roman"/>
                <w:szCs w:val="21"/>
              </w:rPr>
              <w:t>□  设备拆卸单位的资质和人员资格证书</w:t>
            </w:r>
          </w:p>
          <w:p>
            <w:pPr>
              <w:spacing w:line="260" w:lineRule="exact"/>
              <w:ind w:firstLine="840" w:firstLineChars="400"/>
              <w:rPr>
                <w:rFonts w:hint="eastAsia" w:ascii="Times New Roman"/>
                <w:szCs w:val="21"/>
              </w:rPr>
            </w:pPr>
            <w:r>
              <w:rPr>
                <w:rFonts w:hint="eastAsia" w:ascii="Times New Roman"/>
                <w:szCs w:val="21"/>
              </w:rPr>
              <w:t>□  设备拆卸施工方案（含急救援预案）</w:t>
            </w:r>
          </w:p>
          <w:p>
            <w:pPr>
              <w:spacing w:line="260" w:lineRule="exact"/>
              <w:ind w:firstLine="840" w:firstLineChars="400"/>
              <w:rPr>
                <w:rFonts w:hint="eastAsia" w:ascii="Times New Roman"/>
                <w:szCs w:val="21"/>
              </w:rPr>
            </w:pPr>
            <w:r>
              <w:rPr>
                <w:rFonts w:hint="eastAsia" w:ascii="Times New Roman"/>
                <w:szCs w:val="21"/>
              </w:rPr>
              <w:t>□</w:t>
            </w:r>
          </w:p>
          <w:p>
            <w:pPr>
              <w:spacing w:line="260" w:lineRule="exact"/>
              <w:ind w:firstLine="420" w:firstLineChars="200"/>
              <w:rPr>
                <w:rFonts w:hint="eastAsia" w:ascii="Times New Roman"/>
                <w:szCs w:val="21"/>
              </w:rPr>
            </w:pPr>
            <w:r>
              <w:rPr>
                <w:rFonts w:hint="eastAsia" w:ascii="Times New Roman"/>
                <w:szCs w:val="21"/>
              </w:rPr>
              <w:t>本次报验内容系第</w:t>
            </w:r>
            <w:r>
              <w:rPr>
                <w:rFonts w:hint="eastAsia" w:ascii="Times New Roman"/>
                <w:szCs w:val="21"/>
                <w:u w:val="single"/>
              </w:rPr>
              <w:t xml:space="preserve">      </w:t>
            </w:r>
            <w:r>
              <w:rPr>
                <w:rFonts w:hint="eastAsia" w:ascii="Times New Roman"/>
                <w:szCs w:val="21"/>
              </w:rPr>
              <w:t>次报验。</w:t>
            </w:r>
          </w:p>
          <w:p>
            <w:pPr>
              <w:ind w:firstLine="4838" w:firstLineChars="2304"/>
              <w:jc w:val="left"/>
              <w:rPr>
                <w:rFonts w:hint="eastAsia" w:ascii="Times New Roman"/>
                <w:szCs w:val="21"/>
                <w:u w:val="single"/>
              </w:rPr>
            </w:pPr>
            <w:r>
              <w:rPr>
                <w:rFonts w:hint="eastAsia" w:ascii="Times New Roman"/>
                <w:szCs w:val="21"/>
              </w:rPr>
              <w:t>施工项目经理部（章）：</w:t>
            </w:r>
            <w:r>
              <w:rPr>
                <w:rFonts w:hint="eastAsia" w:ascii="Times New Roman"/>
                <w:szCs w:val="21"/>
                <w:u w:val="single"/>
              </w:rPr>
              <w:t>　　   　　</w:t>
            </w:r>
          </w:p>
          <w:p>
            <w:pPr>
              <w:spacing w:before="120" w:after="120"/>
              <w:ind w:firstLine="4830" w:firstLineChars="2300"/>
              <w:jc w:val="left"/>
              <w:rPr>
                <w:rFonts w:hint="eastAsia" w:ascii="Times New Roman"/>
                <w:szCs w:val="21"/>
              </w:rPr>
            </w:pPr>
            <w:r>
              <w:rPr>
                <w:rFonts w:hint="eastAsia" w:ascii="Times New Roman"/>
                <w:szCs w:val="21"/>
              </w:rPr>
              <w:t>项目经理（签字）：</w:t>
            </w:r>
            <w:r>
              <w:rPr>
                <w:rFonts w:hint="eastAsia" w:ascii="Times New Roman"/>
                <w:szCs w:val="21"/>
                <w:u w:val="single"/>
              </w:rPr>
              <w:t>　　　　　　　</w:t>
            </w:r>
            <w:r>
              <w:rPr>
                <w:rFonts w:hint="eastAsia" w:ascii="Times New Roman"/>
                <w:szCs w:val="21"/>
              </w:rPr>
              <w:t xml:space="preserve">  </w:t>
            </w:r>
          </w:p>
          <w:p>
            <w:pPr>
              <w:spacing w:before="120" w:after="120"/>
              <w:ind w:firstLine="6090" w:firstLineChars="2900"/>
              <w:jc w:val="left"/>
              <w:rPr>
                <w:rFonts w:ascii="Times New Roman"/>
                <w:szCs w:val="21"/>
              </w:rPr>
            </w:pP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0" w:hRule="exact"/>
        </w:trPr>
        <w:tc>
          <w:tcPr>
            <w:tcW w:w="1614" w:type="dxa"/>
            <w:tcBorders>
              <w:top w:val="single" w:color="auto" w:sz="4" w:space="0"/>
              <w:left w:val="single" w:color="auto" w:sz="8" w:space="0"/>
              <w:bottom w:val="single" w:color="auto" w:sz="4" w:space="0"/>
              <w:right w:val="single" w:color="auto" w:sz="4" w:space="0"/>
            </w:tcBorders>
            <w:noWrap w:val="0"/>
            <w:vAlign w:val="center"/>
          </w:tcPr>
          <w:p>
            <w:pPr>
              <w:ind w:left="-105" w:leftChars="-50" w:right="-105" w:rightChars="-50"/>
              <w:jc w:val="center"/>
              <w:rPr>
                <w:rFonts w:ascii="Times New Roman"/>
                <w:spacing w:val="-10"/>
                <w:szCs w:val="21"/>
              </w:rPr>
            </w:pPr>
            <w:r>
              <w:rPr>
                <w:rFonts w:hint="eastAsia" w:ascii="Times New Roman"/>
                <w:spacing w:val="-10"/>
                <w:szCs w:val="21"/>
              </w:rPr>
              <w:t>项目监理机构签收人姓名及时间</w:t>
            </w:r>
          </w:p>
        </w:tc>
        <w:tc>
          <w:tcPr>
            <w:tcW w:w="2794" w:type="dxa"/>
            <w:tcBorders>
              <w:top w:val="single" w:color="auto" w:sz="4" w:space="0"/>
              <w:left w:val="single" w:color="auto" w:sz="4" w:space="0"/>
              <w:bottom w:val="single" w:color="auto" w:sz="4" w:space="0"/>
              <w:right w:val="single" w:color="auto" w:sz="4" w:space="0"/>
            </w:tcBorders>
            <w:noWrap w:val="0"/>
            <w:vAlign w:val="center"/>
          </w:tcPr>
          <w:p>
            <w:pPr>
              <w:ind w:left="-50" w:right="-50"/>
              <w:jc w:val="center"/>
              <w:rPr>
                <w:rFonts w:ascii="Times New Roman"/>
                <w:spacing w:val="-10"/>
                <w:szCs w:val="21"/>
              </w:rPr>
            </w:pPr>
          </w:p>
        </w:tc>
        <w:tc>
          <w:tcPr>
            <w:tcW w:w="1796" w:type="dxa"/>
            <w:tcBorders>
              <w:top w:val="single" w:color="auto" w:sz="4" w:space="0"/>
              <w:left w:val="single" w:color="auto" w:sz="4" w:space="0"/>
              <w:bottom w:val="single" w:color="auto" w:sz="4" w:space="0"/>
              <w:right w:val="single" w:color="auto" w:sz="4" w:space="0"/>
            </w:tcBorders>
            <w:noWrap w:val="0"/>
            <w:vAlign w:val="center"/>
          </w:tcPr>
          <w:p>
            <w:pPr>
              <w:ind w:left="-50" w:right="-50"/>
              <w:jc w:val="center"/>
              <w:rPr>
                <w:rFonts w:ascii="Times New Roman"/>
                <w:spacing w:val="-10"/>
                <w:szCs w:val="21"/>
              </w:rPr>
            </w:pPr>
            <w:r>
              <w:rPr>
                <w:rFonts w:hint="eastAsia" w:ascii="Times New Roman"/>
                <w:spacing w:val="-10"/>
                <w:szCs w:val="21"/>
              </w:rPr>
              <w:t>施工项目经理部签收人姓名及时间</w:t>
            </w:r>
          </w:p>
        </w:tc>
        <w:tc>
          <w:tcPr>
            <w:tcW w:w="2394" w:type="dxa"/>
            <w:tcBorders>
              <w:top w:val="single" w:color="auto" w:sz="4" w:space="0"/>
              <w:left w:val="single" w:color="auto" w:sz="4" w:space="0"/>
              <w:bottom w:val="single" w:color="auto" w:sz="4" w:space="0"/>
              <w:right w:val="single" w:color="auto" w:sz="8" w:space="0"/>
            </w:tcBorders>
            <w:noWrap w:val="0"/>
            <w:vAlign w:val="top"/>
          </w:tcPr>
          <w:p>
            <w:pPr>
              <w:ind w:left="-50" w:right="-50"/>
              <w:rPr>
                <w:rFonts w:ascii="Times New Roman"/>
                <w:spacing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70" w:hRule="atLeast"/>
        </w:trPr>
        <w:tc>
          <w:tcPr>
            <w:tcW w:w="8598" w:type="dxa"/>
            <w:gridSpan w:val="4"/>
            <w:tcBorders>
              <w:top w:val="single" w:color="auto" w:sz="4" w:space="0"/>
              <w:left w:val="single" w:color="auto" w:sz="8" w:space="0"/>
              <w:bottom w:val="single" w:color="auto" w:sz="4" w:space="0"/>
              <w:right w:val="single" w:color="auto" w:sz="8" w:space="0"/>
            </w:tcBorders>
            <w:noWrap w:val="0"/>
            <w:vAlign w:val="top"/>
          </w:tcPr>
          <w:p>
            <w:pPr>
              <w:spacing w:before="120" w:after="120"/>
              <w:rPr>
                <w:rFonts w:ascii="Times New Roman"/>
                <w:szCs w:val="21"/>
              </w:rPr>
            </w:pPr>
            <w:r>
              <w:rPr>
                <w:rFonts w:hint="eastAsia" w:ascii="Times New Roman"/>
                <w:szCs w:val="21"/>
              </w:rPr>
              <w:t>审查意见：</w:t>
            </w:r>
          </w:p>
          <w:p>
            <w:pPr>
              <w:spacing w:line="360" w:lineRule="exact"/>
              <w:rPr>
                <w:rFonts w:hint="eastAsia" w:ascii="Times New Roman"/>
                <w:bCs/>
                <w:szCs w:val="21"/>
                <w:u w:val="single"/>
              </w:rPr>
            </w:pPr>
            <w:r>
              <w:rPr>
                <w:rFonts w:hint="eastAsia" w:ascii="Times New Roman"/>
                <w:szCs w:val="21"/>
              </w:rPr>
              <w:t>　　     项</w:t>
            </w:r>
            <w:r>
              <w:rPr>
                <w:rFonts w:hint="eastAsia" w:ascii="Times New Roman"/>
                <w:bCs/>
                <w:szCs w:val="21"/>
              </w:rPr>
              <w:t xml:space="preserve">目监理机构(章): </w:t>
            </w:r>
            <w:r>
              <w:rPr>
                <w:rFonts w:hint="eastAsia" w:ascii="Times New Roman"/>
                <w:bCs/>
                <w:szCs w:val="21"/>
                <w:u w:val="single"/>
              </w:rPr>
              <w:t xml:space="preserve">                                  </w:t>
            </w:r>
          </w:p>
          <w:p>
            <w:pPr>
              <w:spacing w:line="360" w:lineRule="exact"/>
              <w:ind w:firstLine="2730" w:firstLineChars="1300"/>
              <w:rPr>
                <w:rFonts w:hint="eastAsia" w:ascii="Times New Roman"/>
                <w:szCs w:val="21"/>
                <w:u w:val="single"/>
              </w:rPr>
            </w:pPr>
            <w:r>
              <w:rPr>
                <w:rFonts w:hint="eastAsia" w:ascii="Times New Roman"/>
                <w:szCs w:val="21"/>
              </w:rPr>
              <w:t>专业监理工程师（签字）：</w:t>
            </w:r>
            <w:r>
              <w:rPr>
                <w:rFonts w:hint="eastAsia" w:ascii="Times New Roman"/>
                <w:szCs w:val="21"/>
                <w:u w:val="single"/>
              </w:rPr>
              <w:t>　　                       　</w:t>
            </w:r>
          </w:p>
          <w:p>
            <w:pPr>
              <w:spacing w:line="360" w:lineRule="exact"/>
              <w:ind w:firstLine="2730" w:firstLineChars="1300"/>
              <w:rPr>
                <w:rFonts w:hint="eastAsia" w:ascii="Times New Roman"/>
                <w:szCs w:val="21"/>
                <w:u w:val="single"/>
              </w:rPr>
            </w:pPr>
            <w:r>
              <w:rPr>
                <w:rFonts w:hint="eastAsia" w:ascii="Times New Roman"/>
                <w:szCs w:val="21"/>
              </w:rPr>
              <w:t>总监理工程师/总监理工程师代表（签字）:</w:t>
            </w:r>
            <w:r>
              <w:rPr>
                <w:rFonts w:hint="eastAsia" w:ascii="Times New Roman"/>
                <w:szCs w:val="21"/>
                <w:u w:val="single"/>
              </w:rPr>
              <w:t xml:space="preserve">              </w:t>
            </w:r>
          </w:p>
          <w:p>
            <w:pPr>
              <w:spacing w:line="440" w:lineRule="exact"/>
              <w:ind w:right="71" w:firstLine="4548" w:firstLineChars="2166"/>
              <w:jc w:val="right"/>
              <w:rPr>
                <w:rFonts w:ascii="Times New Roman"/>
                <w:szCs w:val="21"/>
              </w:rPr>
            </w:pP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8598" w:type="dxa"/>
            <w:gridSpan w:val="4"/>
            <w:tcBorders>
              <w:top w:val="single" w:color="auto" w:sz="4" w:space="0"/>
              <w:left w:val="single" w:color="auto" w:sz="8" w:space="0"/>
              <w:bottom w:val="single" w:color="auto" w:sz="8" w:space="0"/>
              <w:right w:val="single" w:color="auto" w:sz="8" w:space="0"/>
            </w:tcBorders>
            <w:noWrap w:val="0"/>
            <w:vAlign w:val="top"/>
          </w:tcPr>
          <w:p>
            <w:pPr>
              <w:rPr>
                <w:rFonts w:ascii="Times New Roman"/>
                <w:szCs w:val="21"/>
              </w:rPr>
            </w:pPr>
            <w:r>
              <w:rPr>
                <w:rFonts w:hint="eastAsia" w:ascii="Times New Roman"/>
                <w:szCs w:val="21"/>
              </w:rPr>
              <w:t>注：</w:t>
            </w:r>
            <w:r>
              <w:rPr>
                <w:szCs w:val="21"/>
              </w:rPr>
              <w:t>1</w:t>
            </w:r>
            <w:r>
              <w:rPr>
                <w:rFonts w:hint="eastAsia" w:ascii="Times New Roman"/>
                <w:szCs w:val="21"/>
              </w:rPr>
              <w:t>、</w:t>
            </w:r>
            <w:r>
              <w:rPr>
                <w:rFonts w:hint="eastAsia" w:ascii="Times New Roman"/>
                <w:spacing w:val="-6"/>
                <w:szCs w:val="21"/>
              </w:rPr>
              <w:t>本报审表分为设备安装报审（</w:t>
            </w:r>
            <w:r>
              <w:rPr>
                <w:spacing w:val="-6"/>
                <w:szCs w:val="21"/>
              </w:rPr>
              <w:t>B.4.1</w:t>
            </w:r>
            <w:r>
              <w:rPr>
                <w:spacing w:val="-6"/>
                <w:szCs w:val="21"/>
                <w:u w:val="single"/>
              </w:rPr>
              <w:t>1</w:t>
            </w:r>
            <w:r>
              <w:rPr>
                <w:rFonts w:hint="eastAsia" w:ascii="Times New Roman"/>
                <w:spacing w:val="-6"/>
                <w:szCs w:val="21"/>
              </w:rPr>
              <w:t>）、设备使用报审（</w:t>
            </w:r>
            <w:r>
              <w:rPr>
                <w:spacing w:val="-6"/>
                <w:szCs w:val="21"/>
              </w:rPr>
              <w:t>B.4.1</w:t>
            </w:r>
            <w:r>
              <w:rPr>
                <w:spacing w:val="-6"/>
                <w:szCs w:val="21"/>
                <w:u w:val="single"/>
              </w:rPr>
              <w:t>2</w:t>
            </w:r>
            <w:r>
              <w:rPr>
                <w:rFonts w:hint="eastAsia" w:ascii="Times New Roman"/>
                <w:spacing w:val="-6"/>
                <w:szCs w:val="21"/>
              </w:rPr>
              <w:t>）、设备拆卸报审（</w:t>
            </w:r>
            <w:r>
              <w:rPr>
                <w:spacing w:val="-6"/>
                <w:szCs w:val="21"/>
              </w:rPr>
              <w:t>B.4.1</w:t>
            </w:r>
            <w:r>
              <w:rPr>
                <w:spacing w:val="-6"/>
                <w:szCs w:val="21"/>
                <w:u w:val="single"/>
              </w:rPr>
              <w:t>3</w:t>
            </w:r>
            <w:r>
              <w:rPr>
                <w:rFonts w:hint="eastAsia" w:ascii="Times New Roman"/>
                <w:spacing w:val="-6"/>
                <w:szCs w:val="21"/>
              </w:rPr>
              <w:t>）。</w:t>
            </w:r>
          </w:p>
          <w:p>
            <w:pPr>
              <w:numPr>
                <w:ilvl w:val="0"/>
                <w:numId w:val="16"/>
              </w:numPr>
              <w:ind w:firstLine="420" w:firstLineChars="200"/>
              <w:rPr>
                <w:rFonts w:hint="eastAsia" w:ascii="Times New Roman"/>
                <w:szCs w:val="21"/>
              </w:rPr>
            </w:pPr>
            <w:r>
              <w:rPr>
                <w:rFonts w:hint="eastAsia" w:ascii="Times New Roman"/>
                <w:szCs w:val="21"/>
              </w:rPr>
              <w:t>施工起重机械设备的顶升、附着参照本报审表报审。</w:t>
            </w:r>
          </w:p>
          <w:p>
            <w:pPr>
              <w:ind w:firstLine="420" w:firstLineChars="200"/>
              <w:rPr>
                <w:rFonts w:ascii="Times New Roman"/>
                <w:szCs w:val="21"/>
              </w:rPr>
            </w:pPr>
            <w:r>
              <w:rPr>
                <w:szCs w:val="21"/>
              </w:rPr>
              <w:t>3</w:t>
            </w:r>
            <w:r>
              <w:rPr>
                <w:rFonts w:hint="eastAsia" w:ascii="Times New Roman"/>
                <w:szCs w:val="21"/>
              </w:rPr>
              <w:t>、本表一式二份，项目监理机构、施工单位各一份。</w:t>
            </w:r>
          </w:p>
        </w:tc>
      </w:tr>
    </w:tbl>
    <w:p>
      <w:pPr>
        <w:rPr>
          <w:rFonts w:ascii="Times New Roman" w:eastAsia="隶书"/>
        </w:rPr>
      </w:pPr>
      <w:r>
        <w:rPr>
          <w:rFonts w:hint="eastAsia" w:ascii="Times New Roman" w:eastAsia="隶书"/>
        </w:rPr>
        <w:t>第六版表                                              江苏省住房和城乡建设厅监制</w:t>
      </w:r>
    </w:p>
    <w:p>
      <w:pPr>
        <w:jc w:val="right"/>
        <w:rPr>
          <w:rFonts w:hint="eastAsia" w:eastAsia="黑体"/>
          <w:b/>
          <w:sz w:val="28"/>
          <w:szCs w:val="28"/>
          <w14:shadow w14:blurRad="50800" w14:dist="38100" w14:dir="2700000" w14:sx="100000" w14:sy="100000" w14:kx="0" w14:ky="0" w14:algn="tl">
            <w14:srgbClr w14:val="000000">
              <w14:alpha w14:val="60000"/>
            </w14:srgbClr>
          </w14:shadow>
        </w:rPr>
      </w:pPr>
      <w:r>
        <w:rPr>
          <w:rFonts w:eastAsia="黑体"/>
          <w:b/>
          <w:sz w:val="28"/>
          <w:szCs w:val="28"/>
          <w14:shadow w14:blurRad="50800" w14:dist="38100" w14:dir="2700000" w14:sx="100000" w14:sy="100000" w14:kx="0" w14:ky="0" w14:algn="tl">
            <w14:srgbClr w14:val="000000">
              <w14:alpha w14:val="60000"/>
            </w14:srgbClr>
          </w14:shadow>
        </w:rPr>
        <w:t>B.4.2</w:t>
      </w:r>
    </w:p>
    <w:p>
      <w:pPr>
        <w:spacing w:before="312" w:beforeLines="100" w:after="312" w:afterLines="100"/>
        <w:jc w:val="center"/>
        <w:rPr>
          <w:rFonts w:eastAsia="黑体"/>
          <w:sz w:val="44"/>
          <w14:shadow w14:blurRad="50800" w14:dist="38100" w14:dir="2700000" w14:sx="100000" w14:sy="100000" w14:kx="0" w14:ky="0" w14:algn="tl">
            <w14:srgbClr w14:val="000000">
              <w14:alpha w14:val="60000"/>
            </w14:srgbClr>
          </w14:shadow>
        </w:rPr>
      </w:pPr>
      <w:r>
        <w:rPr>
          <w:rFonts w:eastAsia="黑体"/>
          <w:sz w:val="44"/>
          <w14:shadow w14:blurRad="50800" w14:dist="38100" w14:dir="2700000" w14:sx="100000" w14:sy="100000" w14:kx="0" w14:ky="0" w14:algn="tl">
            <w14:srgbClr w14:val="000000">
              <w14:alpha w14:val="60000"/>
            </w14:srgbClr>
          </w14:shadow>
        </w:rPr>
        <w:t xml:space="preserve"> </w:t>
      </w:r>
      <w:r>
        <w:rPr>
          <w:rFonts w:hint="eastAsia" w:eastAsia="黑体"/>
          <w:sz w:val="44"/>
          <w14:shadow w14:blurRad="50800" w14:dist="38100" w14:dir="2700000" w14:sx="100000" w14:sy="100000" w14:kx="0" w14:ky="0" w14:algn="tl">
            <w14:srgbClr w14:val="000000">
              <w14:alpha w14:val="60000"/>
            </w14:srgbClr>
          </w14:shadow>
        </w:rPr>
        <w:t>危大工程验收告知单</w:t>
      </w:r>
    </w:p>
    <w:p>
      <w:pPr>
        <w:spacing w:after="156" w:afterLines="50" w:line="420" w:lineRule="exact"/>
        <w:ind w:left="21" w:hanging="21" w:hangingChars="10"/>
        <w:rPr>
          <w:szCs w:val="21"/>
        </w:rPr>
      </w:pPr>
      <w:r>
        <w:rPr>
          <w:rFonts w:hint="eastAsia"/>
          <w:szCs w:val="21"/>
        </w:rPr>
        <w:t>工程名称：</w:t>
      </w:r>
      <w:r>
        <w:rPr>
          <w:szCs w:val="21"/>
          <w:u w:val="single"/>
        </w:rPr>
        <w:t xml:space="preserve">                              </w:t>
      </w:r>
      <w:r>
        <w:rPr>
          <w:rFonts w:hint="eastAsia"/>
          <w:szCs w:val="21"/>
        </w:rPr>
        <w:t>　　　　　　</w:t>
      </w:r>
      <w:r>
        <w:rPr>
          <w:szCs w:val="21"/>
        </w:rPr>
        <w:t xml:space="preserve">    </w:t>
      </w:r>
      <w:r>
        <w:rPr>
          <w:rFonts w:hint="eastAsia"/>
          <w:szCs w:val="21"/>
        </w:rPr>
        <w:t>　</w:t>
      </w:r>
      <w:r>
        <w:rPr>
          <w:szCs w:val="21"/>
        </w:rPr>
        <w:t xml:space="preserve">    </w:t>
      </w:r>
      <w:r>
        <w:rPr>
          <w:rFonts w:hint="eastAsia"/>
          <w:szCs w:val="21"/>
        </w:rPr>
        <w:t>编号：</w:t>
      </w:r>
      <w:r>
        <w:rPr>
          <w:szCs w:val="21"/>
        </w:rPr>
        <w:t>B.4.2</w:t>
      </w:r>
      <w:r>
        <w:rPr>
          <w:rFonts w:hint="eastAsia"/>
          <w:szCs w:val="21"/>
        </w:rPr>
        <w:t>—</w:t>
      </w:r>
      <w:r>
        <w:rPr>
          <w:rFonts w:hint="eastAsia"/>
          <w:szCs w:val="21"/>
          <w:u w:val="single"/>
        </w:rPr>
        <w:t>　　　</w:t>
      </w:r>
    </w:p>
    <w:tbl>
      <w:tblPr>
        <w:tblStyle w:val="1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8"/>
        <w:gridCol w:w="720"/>
        <w:gridCol w:w="2860"/>
        <w:gridCol w:w="1796"/>
        <w:gridCol w:w="24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828" w:type="dxa"/>
            <w:tcBorders>
              <w:top w:val="single" w:color="auto" w:sz="8" w:space="0"/>
              <w:left w:val="single" w:color="auto" w:sz="8" w:space="0"/>
              <w:bottom w:val="single" w:color="auto" w:sz="4" w:space="0"/>
              <w:right w:val="single" w:color="auto" w:sz="4" w:space="0"/>
            </w:tcBorders>
            <w:noWrap w:val="0"/>
            <w:vAlign w:val="center"/>
          </w:tcPr>
          <w:p>
            <w:pPr>
              <w:rPr>
                <w:szCs w:val="21"/>
              </w:rPr>
            </w:pPr>
            <w:r>
              <w:rPr>
                <w:rFonts w:hint="eastAsia"/>
                <w:szCs w:val="21"/>
              </w:rPr>
              <w:t>事由</w:t>
            </w:r>
          </w:p>
        </w:tc>
        <w:tc>
          <w:tcPr>
            <w:tcW w:w="7786" w:type="dxa"/>
            <w:gridSpan w:val="4"/>
            <w:tcBorders>
              <w:top w:val="single" w:color="auto" w:sz="8" w:space="0"/>
              <w:left w:val="single" w:color="auto" w:sz="4" w:space="0"/>
              <w:bottom w:val="single" w:color="auto" w:sz="4" w:space="0"/>
              <w:right w:val="single" w:color="auto" w:sz="8" w:space="0"/>
            </w:tcBorders>
            <w:noWrap w:val="0"/>
            <w:vAlign w:val="center"/>
          </w:tcPr>
          <w:p>
            <w:pPr>
              <w:rPr>
                <w:szCs w:val="21"/>
              </w:rPr>
            </w:pPr>
          </w:p>
          <w:p>
            <w:pP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70" w:hRule="atLeast"/>
        </w:trPr>
        <w:tc>
          <w:tcPr>
            <w:tcW w:w="8614" w:type="dxa"/>
            <w:gridSpan w:val="5"/>
            <w:tcBorders>
              <w:top w:val="single" w:color="auto" w:sz="4" w:space="0"/>
              <w:left w:val="single" w:color="auto" w:sz="8" w:space="0"/>
              <w:bottom w:val="single" w:color="auto" w:sz="4" w:space="0"/>
              <w:right w:val="single" w:color="auto" w:sz="8" w:space="0"/>
            </w:tcBorders>
            <w:noWrap w:val="0"/>
            <w:vAlign w:val="top"/>
          </w:tcPr>
          <w:p>
            <w:pPr>
              <w:spacing w:before="240"/>
              <w:rPr>
                <w:rFonts w:ascii="Times New Roman"/>
                <w:szCs w:val="21"/>
                <w:u w:val="single"/>
              </w:rPr>
            </w:pPr>
            <w:r>
              <w:rPr>
                <w:rFonts w:hint="eastAsia" w:ascii="Times New Roman"/>
                <w:szCs w:val="21"/>
              </w:rPr>
              <w:t>致：</w:t>
            </w:r>
            <w:r>
              <w:rPr>
                <w:rFonts w:hint="eastAsia" w:ascii="Times New Roman"/>
                <w:szCs w:val="21"/>
                <w:u w:val="single"/>
              </w:rPr>
              <w:t>　　　　    　  　　</w:t>
            </w:r>
            <w:r>
              <w:rPr>
                <w:rFonts w:hint="eastAsia" w:ascii="Times New Roman"/>
                <w:szCs w:val="21"/>
              </w:rPr>
              <w:t>（项目监理机构）</w:t>
            </w:r>
          </w:p>
          <w:p>
            <w:pPr>
              <w:spacing w:line="360" w:lineRule="exact"/>
              <w:ind w:left="420" w:leftChars="200"/>
              <w:jc w:val="left"/>
              <w:rPr>
                <w:rFonts w:hint="eastAsia" w:ascii="Times New Roman"/>
                <w:szCs w:val="21"/>
              </w:rPr>
            </w:pPr>
            <w:r>
              <w:rPr>
                <w:rFonts w:hint="eastAsia" w:ascii="Times New Roman"/>
                <w:szCs w:val="21"/>
              </w:rPr>
              <w:t xml:space="preserve">我方已完成 </w:t>
            </w:r>
            <w:r>
              <w:rPr>
                <w:rFonts w:hint="eastAsia" w:ascii="Times New Roman"/>
                <w:szCs w:val="21"/>
                <w:u w:val="single"/>
              </w:rPr>
              <w:t xml:space="preserve">                                             </w:t>
            </w:r>
            <w:r>
              <w:rPr>
                <w:rFonts w:hint="eastAsia" w:ascii="Times New Roman"/>
                <w:szCs w:val="21"/>
              </w:rPr>
              <w:t>危险性较大分部分项</w:t>
            </w:r>
          </w:p>
          <w:p>
            <w:pPr>
              <w:spacing w:line="360" w:lineRule="exact"/>
              <w:jc w:val="left"/>
              <w:rPr>
                <w:rFonts w:hint="eastAsia" w:ascii="Times New Roman"/>
                <w:szCs w:val="21"/>
              </w:rPr>
            </w:pPr>
            <w:r>
              <w:rPr>
                <w:rFonts w:hint="eastAsia" w:ascii="Times New Roman"/>
                <w:szCs w:val="21"/>
              </w:rPr>
              <w:t>工程的施工，定于</w:t>
            </w: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r>
              <w:rPr>
                <w:rFonts w:hint="eastAsia" w:ascii="Times New Roman"/>
                <w:szCs w:val="21"/>
                <w:u w:val="single"/>
              </w:rPr>
              <w:t xml:space="preserve">      </w:t>
            </w:r>
            <w:r>
              <w:rPr>
                <w:rFonts w:hint="eastAsia" w:ascii="Times New Roman"/>
                <w:szCs w:val="21"/>
              </w:rPr>
              <w:t>时</w:t>
            </w:r>
            <w:r>
              <w:rPr>
                <w:rFonts w:hint="eastAsia" w:ascii="Times New Roman"/>
                <w:szCs w:val="21"/>
                <w:u w:val="single"/>
              </w:rPr>
              <w:t xml:space="preserve">     </w:t>
            </w:r>
            <w:r>
              <w:rPr>
                <w:rFonts w:hint="eastAsia" w:ascii="Times New Roman"/>
                <w:szCs w:val="21"/>
              </w:rPr>
              <w:t>分组织验收，请派人参加。</w:t>
            </w:r>
          </w:p>
          <w:p>
            <w:pPr>
              <w:spacing w:line="360" w:lineRule="exact"/>
              <w:ind w:left="482"/>
              <w:rPr>
                <w:rFonts w:hint="eastAsia" w:ascii="Times New Roman"/>
                <w:szCs w:val="21"/>
              </w:rPr>
            </w:pPr>
            <w:r>
              <w:rPr>
                <w:rFonts w:hint="eastAsia" w:ascii="Times New Roman"/>
                <w:szCs w:val="21"/>
              </w:rPr>
              <w:t>□ 基坑工程</w:t>
            </w:r>
          </w:p>
          <w:p>
            <w:pPr>
              <w:spacing w:line="360" w:lineRule="exact"/>
              <w:ind w:left="482"/>
              <w:rPr>
                <w:rFonts w:hint="eastAsia" w:ascii="Times New Roman"/>
                <w:szCs w:val="21"/>
              </w:rPr>
            </w:pPr>
            <w:r>
              <w:rPr>
                <w:rFonts w:hint="eastAsia" w:ascii="Times New Roman"/>
                <w:szCs w:val="21"/>
              </w:rPr>
              <w:t>□ 模板工程及支撑体系</w:t>
            </w:r>
          </w:p>
          <w:p>
            <w:pPr>
              <w:spacing w:line="360" w:lineRule="exact"/>
              <w:ind w:left="482"/>
              <w:rPr>
                <w:rFonts w:hint="eastAsia" w:ascii="Times New Roman"/>
                <w:szCs w:val="21"/>
              </w:rPr>
            </w:pPr>
            <w:r>
              <w:rPr>
                <w:rFonts w:hint="eastAsia" w:ascii="Times New Roman"/>
                <w:szCs w:val="21"/>
              </w:rPr>
              <w:t>□ 起重吊装及起重机械安装拆卸工程</w:t>
            </w:r>
          </w:p>
          <w:p>
            <w:pPr>
              <w:spacing w:line="360" w:lineRule="exact"/>
              <w:ind w:left="482"/>
              <w:rPr>
                <w:rFonts w:hint="eastAsia" w:ascii="Times New Roman"/>
                <w:szCs w:val="21"/>
              </w:rPr>
            </w:pPr>
            <w:r>
              <w:rPr>
                <w:rFonts w:hint="eastAsia" w:ascii="Times New Roman"/>
                <w:szCs w:val="21"/>
              </w:rPr>
              <w:t>□ 脚手架工程</w:t>
            </w:r>
          </w:p>
          <w:p>
            <w:pPr>
              <w:spacing w:line="360" w:lineRule="exact"/>
              <w:ind w:left="482"/>
              <w:rPr>
                <w:rFonts w:hint="eastAsia" w:ascii="Times New Roman"/>
                <w:szCs w:val="21"/>
              </w:rPr>
            </w:pPr>
            <w:r>
              <w:rPr>
                <w:rFonts w:hint="eastAsia" w:ascii="Times New Roman"/>
                <w:szCs w:val="21"/>
              </w:rPr>
              <w:t>□ 暗挖工程</w:t>
            </w:r>
          </w:p>
          <w:p>
            <w:pPr>
              <w:spacing w:line="360" w:lineRule="exact"/>
              <w:ind w:left="482"/>
              <w:rPr>
                <w:rFonts w:hint="eastAsia" w:ascii="Times New Roman"/>
                <w:szCs w:val="21"/>
              </w:rPr>
            </w:pPr>
            <w:r>
              <w:rPr>
                <w:rFonts w:hint="eastAsia" w:ascii="Times New Roman"/>
                <w:szCs w:val="21"/>
              </w:rPr>
              <w:t>□ 拆除工程</w:t>
            </w:r>
          </w:p>
          <w:p>
            <w:pPr>
              <w:spacing w:line="360" w:lineRule="exact"/>
              <w:ind w:left="482"/>
              <w:rPr>
                <w:rFonts w:hint="eastAsia" w:ascii="Times New Roman"/>
                <w:szCs w:val="21"/>
              </w:rPr>
            </w:pPr>
            <w:r>
              <w:rPr>
                <w:rFonts w:hint="eastAsia" w:ascii="Times New Roman"/>
                <w:szCs w:val="21"/>
              </w:rPr>
              <w:t xml:space="preserve">□ </w:t>
            </w:r>
          </w:p>
          <w:p>
            <w:pPr>
              <w:rPr>
                <w:rFonts w:hint="eastAsia"/>
                <w:szCs w:val="21"/>
              </w:rPr>
            </w:pPr>
          </w:p>
          <w:p>
            <w:pPr>
              <w:tabs>
                <w:tab w:val="left" w:pos="7980"/>
              </w:tabs>
              <w:ind w:firstLine="4200" w:firstLineChars="2000"/>
              <w:jc w:val="left"/>
              <w:rPr>
                <w:szCs w:val="21"/>
                <w:u w:val="single"/>
              </w:rPr>
            </w:pPr>
            <w:r>
              <w:rPr>
                <w:rFonts w:hint="eastAsia"/>
                <w:szCs w:val="21"/>
              </w:rPr>
              <w:t>施工项目经理部（章）：</w:t>
            </w:r>
            <w:r>
              <w:rPr>
                <w:rFonts w:hint="eastAsia"/>
                <w:szCs w:val="21"/>
                <w:u w:val="single"/>
              </w:rPr>
              <w:t>　</w:t>
            </w:r>
            <w:r>
              <w:rPr>
                <w:szCs w:val="21"/>
                <w:u w:val="single"/>
              </w:rPr>
              <w:t xml:space="preserve"> </w:t>
            </w:r>
            <w:r>
              <w:rPr>
                <w:rFonts w:hint="eastAsia"/>
                <w:szCs w:val="21"/>
                <w:u w:val="single"/>
              </w:rPr>
              <w:t>　　</w:t>
            </w:r>
            <w:r>
              <w:rPr>
                <w:szCs w:val="21"/>
                <w:u w:val="single"/>
              </w:rPr>
              <w:t xml:space="preserve">         </w:t>
            </w:r>
            <w:r>
              <w:rPr>
                <w:rFonts w:hint="eastAsia"/>
                <w:szCs w:val="21"/>
                <w:u w:val="single"/>
              </w:rPr>
              <w:t>　</w:t>
            </w:r>
          </w:p>
          <w:p>
            <w:pPr>
              <w:tabs>
                <w:tab w:val="left" w:pos="7980"/>
              </w:tabs>
              <w:spacing w:before="120"/>
              <w:jc w:val="left"/>
              <w:rPr>
                <w:szCs w:val="21"/>
              </w:rPr>
            </w:pPr>
            <w:r>
              <w:rPr>
                <w:rFonts w:hint="eastAsia"/>
                <w:szCs w:val="21"/>
              </w:rPr>
              <w:t>　　　　　　　　　　</w:t>
            </w:r>
            <w:r>
              <w:rPr>
                <w:szCs w:val="21"/>
              </w:rPr>
              <w:t xml:space="preserve">                    </w:t>
            </w:r>
            <w:r>
              <w:rPr>
                <w:rFonts w:hint="eastAsia"/>
                <w:szCs w:val="21"/>
              </w:rPr>
              <w:t>项目经理（签字）：</w:t>
            </w:r>
            <w:r>
              <w:rPr>
                <w:rFonts w:hint="eastAsia"/>
                <w:szCs w:val="21"/>
                <w:u w:val="single"/>
              </w:rPr>
              <w:t>　　　</w:t>
            </w:r>
            <w:r>
              <w:rPr>
                <w:szCs w:val="21"/>
                <w:u w:val="single"/>
              </w:rPr>
              <w:t xml:space="preserve">           </w:t>
            </w:r>
            <w:r>
              <w:rPr>
                <w:rFonts w:hint="eastAsia"/>
                <w:szCs w:val="21"/>
                <w:u w:val="single"/>
              </w:rPr>
              <w:t>　</w:t>
            </w:r>
            <w:r>
              <w:rPr>
                <w:szCs w:val="21"/>
                <w:u w:val="single"/>
              </w:rPr>
              <w:t xml:space="preserve">  </w:t>
            </w:r>
          </w:p>
          <w:p>
            <w:pPr>
              <w:spacing w:before="120"/>
              <w:rPr>
                <w:szCs w:val="21"/>
                <w:u w:val="single"/>
              </w:rPr>
            </w:pPr>
            <w:r>
              <w:rPr>
                <w:szCs w:val="21"/>
              </w:rPr>
              <w:t xml:space="preserve">                                                          </w:t>
            </w:r>
            <w:r>
              <w:rPr>
                <w:rFonts w:hint="eastAsia" w:ascii="Times New Roman"/>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548" w:type="dxa"/>
            <w:gridSpan w:val="2"/>
            <w:tcBorders>
              <w:top w:val="single" w:color="auto" w:sz="4" w:space="0"/>
              <w:left w:val="single" w:color="auto" w:sz="8" w:space="0"/>
              <w:bottom w:val="single" w:color="auto" w:sz="4" w:space="0"/>
              <w:right w:val="single" w:color="auto" w:sz="4" w:space="0"/>
            </w:tcBorders>
            <w:noWrap w:val="0"/>
            <w:vAlign w:val="center"/>
          </w:tcPr>
          <w:p>
            <w:pPr>
              <w:pStyle w:val="9"/>
              <w:tabs>
                <w:tab w:val="left" w:pos="420"/>
              </w:tabs>
              <w:ind w:left="-105" w:leftChars="-50" w:right="-105" w:rightChars="-50"/>
              <w:rPr>
                <w:rFonts w:ascii="Times New Roman"/>
                <w:sz w:val="21"/>
                <w:szCs w:val="21"/>
                <w:lang w:val="en-US" w:eastAsia="zh-CN"/>
              </w:rPr>
            </w:pPr>
            <w:r>
              <w:rPr>
                <w:rFonts w:hint="eastAsia" w:ascii="Times New Roman"/>
                <w:sz w:val="21"/>
                <w:szCs w:val="21"/>
                <w:lang w:val="en-US" w:eastAsia="zh-CN"/>
              </w:rPr>
              <w:t>项目监理机构签收人姓名及时间</w:t>
            </w:r>
          </w:p>
        </w:tc>
        <w:tc>
          <w:tcPr>
            <w:tcW w:w="2860" w:type="dxa"/>
            <w:tcBorders>
              <w:top w:val="single" w:color="auto" w:sz="4" w:space="0"/>
              <w:left w:val="single" w:color="auto" w:sz="4" w:space="0"/>
              <w:bottom w:val="single" w:color="auto" w:sz="4" w:space="0"/>
              <w:right w:val="single" w:color="auto" w:sz="4" w:space="0"/>
            </w:tcBorders>
            <w:noWrap w:val="0"/>
            <w:vAlign w:val="top"/>
          </w:tcPr>
          <w:p>
            <w:pPr>
              <w:ind w:left="-105" w:leftChars="-50" w:right="-105" w:rightChars="-50"/>
              <w:rPr>
                <w:rFonts w:ascii="Times New Roman"/>
                <w:szCs w:val="21"/>
              </w:rPr>
            </w:pPr>
          </w:p>
        </w:tc>
        <w:tc>
          <w:tcPr>
            <w:tcW w:w="1796" w:type="dxa"/>
            <w:tcBorders>
              <w:top w:val="single" w:color="auto" w:sz="4" w:space="0"/>
              <w:left w:val="single" w:color="auto" w:sz="4" w:space="0"/>
              <w:bottom w:val="single" w:color="auto" w:sz="4" w:space="0"/>
              <w:right w:val="single" w:color="auto" w:sz="4" w:space="0"/>
            </w:tcBorders>
            <w:noWrap w:val="0"/>
            <w:vAlign w:val="center"/>
          </w:tcPr>
          <w:p>
            <w:pPr>
              <w:pStyle w:val="9"/>
              <w:tabs>
                <w:tab w:val="left" w:pos="420"/>
              </w:tabs>
              <w:ind w:left="-105" w:leftChars="-50" w:right="-105" w:rightChars="-50"/>
              <w:rPr>
                <w:rFonts w:ascii="Times New Roman"/>
                <w:sz w:val="21"/>
                <w:szCs w:val="21"/>
                <w:lang w:val="en-US" w:eastAsia="zh-CN"/>
              </w:rPr>
            </w:pPr>
            <w:r>
              <w:rPr>
                <w:rFonts w:hint="eastAsia" w:ascii="Times New Roman"/>
                <w:sz w:val="21"/>
                <w:szCs w:val="21"/>
                <w:lang w:val="en-US" w:eastAsia="zh-CN"/>
              </w:rPr>
              <w:t>施工项目经理部签收人姓名及时间</w:t>
            </w:r>
          </w:p>
        </w:tc>
        <w:tc>
          <w:tcPr>
            <w:tcW w:w="2410" w:type="dxa"/>
            <w:tcBorders>
              <w:top w:val="single" w:color="auto" w:sz="4" w:space="0"/>
              <w:left w:val="single" w:color="auto" w:sz="4" w:space="0"/>
              <w:bottom w:val="single" w:color="auto" w:sz="4" w:space="0"/>
              <w:right w:val="single" w:color="auto" w:sz="8" w:space="0"/>
            </w:tcBorders>
            <w:noWrap w:val="0"/>
            <w:vAlign w:val="top"/>
          </w:tcPr>
          <w:p>
            <w:pPr>
              <w:ind w:left="-105" w:leftChars="-50" w:right="-105" w:rightChars="-50"/>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47" w:hRule="atLeast"/>
        </w:trPr>
        <w:tc>
          <w:tcPr>
            <w:tcW w:w="8614" w:type="dxa"/>
            <w:gridSpan w:val="5"/>
            <w:tcBorders>
              <w:top w:val="single" w:color="auto" w:sz="4" w:space="0"/>
              <w:left w:val="single" w:color="auto" w:sz="8" w:space="0"/>
              <w:bottom w:val="single" w:color="auto" w:sz="4" w:space="0"/>
              <w:right w:val="single" w:color="auto" w:sz="8" w:space="0"/>
            </w:tcBorders>
            <w:noWrap w:val="0"/>
            <w:vAlign w:val="top"/>
          </w:tcPr>
          <w:p>
            <w:pPr>
              <w:rPr>
                <w:szCs w:val="21"/>
              </w:rPr>
            </w:pPr>
            <w:r>
              <w:rPr>
                <w:rFonts w:hint="eastAsia"/>
                <w:szCs w:val="21"/>
              </w:rPr>
              <w:t>确认意见：</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spacing w:line="420" w:lineRule="exact"/>
              <w:rPr>
                <w:bCs/>
                <w:szCs w:val="21"/>
                <w:u w:val="single"/>
              </w:rPr>
            </w:pPr>
            <w:r>
              <w:rPr>
                <w:rFonts w:hint="eastAsia"/>
                <w:szCs w:val="21"/>
              </w:rPr>
              <w:t>　　　　　　　</w:t>
            </w:r>
            <w:r>
              <w:rPr>
                <w:szCs w:val="21"/>
              </w:rPr>
              <w:t xml:space="preserve">                </w:t>
            </w:r>
          </w:p>
          <w:p>
            <w:pPr>
              <w:spacing w:line="420" w:lineRule="exact"/>
              <w:ind w:firstLine="2520" w:firstLineChars="1200"/>
              <w:rPr>
                <w:szCs w:val="21"/>
                <w:u w:val="single"/>
              </w:rPr>
            </w:pPr>
            <w:r>
              <w:rPr>
                <w:rFonts w:hint="eastAsia"/>
                <w:szCs w:val="21"/>
              </w:rPr>
              <w:t>总监理工程师</w:t>
            </w:r>
            <w:r>
              <w:rPr>
                <w:szCs w:val="21"/>
              </w:rPr>
              <w:t>/</w:t>
            </w:r>
            <w:r>
              <w:rPr>
                <w:rFonts w:hint="eastAsia"/>
                <w:szCs w:val="21"/>
              </w:rPr>
              <w:t>专业监理工程师（签字）：</w:t>
            </w:r>
            <w:r>
              <w:rPr>
                <w:szCs w:val="21"/>
                <w:u w:val="single"/>
              </w:rPr>
              <w:t xml:space="preserve">                    </w:t>
            </w:r>
          </w:p>
          <w:p>
            <w:pPr>
              <w:spacing w:line="420" w:lineRule="exact"/>
              <w:jc w:val="right"/>
              <w:rPr>
                <w:rFonts w:ascii="Times New Roman"/>
                <w:szCs w:val="21"/>
              </w:rPr>
            </w:pPr>
            <w:r>
              <w:rPr>
                <w:szCs w:val="21"/>
              </w:rPr>
              <w:t xml:space="preserve">                              </w:t>
            </w:r>
            <w:r>
              <w:rPr>
                <w:rFonts w:hint="eastAsia" w:ascii="Times New Roman"/>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614" w:type="dxa"/>
            <w:gridSpan w:val="5"/>
            <w:tcBorders>
              <w:top w:val="single" w:color="auto" w:sz="4" w:space="0"/>
              <w:left w:val="single" w:color="auto" w:sz="8" w:space="0"/>
              <w:bottom w:val="single" w:color="auto" w:sz="8" w:space="0"/>
              <w:right w:val="single" w:color="auto" w:sz="8" w:space="0"/>
            </w:tcBorders>
            <w:noWrap w:val="0"/>
            <w:vAlign w:val="center"/>
          </w:tcPr>
          <w:p>
            <w:pPr>
              <w:rPr>
                <w:szCs w:val="21"/>
              </w:rPr>
            </w:pPr>
            <w:r>
              <w:rPr>
                <w:rFonts w:hint="eastAsia"/>
                <w:szCs w:val="21"/>
              </w:rPr>
              <w:t>注：</w:t>
            </w:r>
            <w:r>
              <w:rPr>
                <w:szCs w:val="21"/>
              </w:rPr>
              <w:t>1</w:t>
            </w:r>
            <w:r>
              <w:rPr>
                <w:rFonts w:hint="eastAsia"/>
                <w:szCs w:val="21"/>
              </w:rPr>
              <w:t>、本</w:t>
            </w:r>
            <w:r>
              <w:rPr>
                <w:rFonts w:hint="eastAsia" w:ascii="Times New Roman"/>
                <w:szCs w:val="21"/>
              </w:rPr>
              <w:t>表一式二份，项目监理机构、施工单位各一份。</w:t>
            </w:r>
          </w:p>
        </w:tc>
      </w:tr>
    </w:tbl>
    <w:p>
      <w:pPr>
        <w:jc w:val="right"/>
        <w:rPr>
          <w:rFonts w:eastAsia="黑体"/>
          <w:b/>
          <w:sz w:val="28"/>
          <w:szCs w:val="28"/>
          <w14:shadow w14:blurRad="50800" w14:dist="38100" w14:dir="2700000" w14:sx="100000" w14:sy="100000" w14:kx="0" w14:ky="0" w14:algn="tl">
            <w14:srgbClr w14:val="000000">
              <w14:alpha w14:val="60000"/>
            </w14:srgbClr>
          </w14:shadow>
        </w:rPr>
      </w:pPr>
      <w:r>
        <w:rPr>
          <w:rFonts w:hint="eastAsia" w:ascii="Times New Roman" w:eastAsia="隶书"/>
        </w:rPr>
        <w:t>第六版表                                              江苏省住房和城乡建设厅监制</w:t>
      </w:r>
      <w:r>
        <w:rPr>
          <w:b/>
          <w:szCs w:val="21"/>
        </w:rPr>
        <w:br w:type="column"/>
      </w:r>
      <w:r>
        <w:rPr>
          <w:rFonts w:eastAsia="黑体"/>
          <w:b/>
          <w:sz w:val="28"/>
          <w:szCs w:val="28"/>
          <w14:shadow w14:blurRad="50800" w14:dist="38100" w14:dir="2700000" w14:sx="100000" w14:sy="100000" w14:kx="0" w14:ky="0" w14:algn="tl">
            <w14:srgbClr w14:val="000000">
              <w14:alpha w14:val="60000"/>
            </w14:srgbClr>
          </w14:shadow>
        </w:rPr>
        <w:t>B.5.1</w:t>
      </w:r>
    </w:p>
    <w:p>
      <w:pPr>
        <w:spacing w:before="312" w:beforeLines="100" w:after="312" w:afterLines="100"/>
        <w:jc w:val="center"/>
        <w:rPr>
          <w:rFonts w:eastAsia="黑体"/>
          <w:sz w:val="44"/>
          <w14:shadow w14:blurRad="50800" w14:dist="38100" w14:dir="2700000" w14:sx="100000" w14:sy="100000" w14:kx="0" w14:ky="0" w14:algn="tl">
            <w14:srgbClr w14:val="000000">
              <w14:alpha w14:val="60000"/>
            </w14:srgbClr>
          </w14:shadow>
        </w:rPr>
      </w:pPr>
      <w:r>
        <w:rPr>
          <w:rFonts w:hint="eastAsia" w:eastAsia="黑体"/>
          <w:sz w:val="44"/>
          <w14:shadow w14:blurRad="50800" w14:dist="38100" w14:dir="2700000" w14:sx="100000" w14:sy="100000" w14:kx="0" w14:ky="0" w14:algn="tl">
            <w14:srgbClr w14:val="000000">
              <w14:alpha w14:val="60000"/>
            </w14:srgbClr>
          </w14:shadow>
        </w:rPr>
        <w:t>监理通知回复单（　　　　类）</w:t>
      </w:r>
    </w:p>
    <w:p>
      <w:pPr>
        <w:spacing w:after="156" w:afterLines="50" w:line="420" w:lineRule="exact"/>
        <w:ind w:left="21" w:hanging="21" w:hangingChars="10"/>
        <w:rPr>
          <w:szCs w:val="21"/>
        </w:rPr>
      </w:pPr>
      <w:r>
        <w:rPr>
          <w:rFonts w:hint="eastAsia"/>
          <w:szCs w:val="21"/>
        </w:rPr>
        <w:t>工程名称：</w:t>
      </w:r>
      <w:r>
        <w:rPr>
          <w:rFonts w:hint="eastAsia"/>
          <w:szCs w:val="21"/>
          <w:u w:val="single"/>
        </w:rPr>
        <w:t>　</w:t>
      </w:r>
      <w:r>
        <w:rPr>
          <w:szCs w:val="21"/>
          <w:u w:val="single"/>
        </w:rPr>
        <w:t xml:space="preserve">                            </w:t>
      </w:r>
      <w:r>
        <w:rPr>
          <w:szCs w:val="21"/>
        </w:rPr>
        <w:t xml:space="preserve">    </w:t>
      </w:r>
      <w:r>
        <w:rPr>
          <w:rFonts w:hint="eastAsia"/>
          <w:szCs w:val="21"/>
        </w:rPr>
        <w:t>　　　　</w:t>
      </w:r>
      <w:r>
        <w:rPr>
          <w:szCs w:val="21"/>
        </w:rPr>
        <w:t xml:space="preserve">    </w:t>
      </w:r>
      <w:r>
        <w:rPr>
          <w:rFonts w:hint="eastAsia"/>
          <w:szCs w:val="21"/>
        </w:rPr>
        <w:t>编号：</w:t>
      </w:r>
      <w:r>
        <w:rPr>
          <w:szCs w:val="21"/>
        </w:rPr>
        <w:t>B.5.1</w:t>
      </w:r>
      <w:r>
        <w:rPr>
          <w:rFonts w:hint="eastAsia"/>
          <w:szCs w:val="21"/>
          <w:u w:val="single"/>
        </w:rPr>
        <w:t>　</w:t>
      </w:r>
      <w:r>
        <w:rPr>
          <w:szCs w:val="21"/>
          <w:u w:val="single"/>
        </w:rPr>
        <w:t xml:space="preserve"> </w:t>
      </w:r>
      <w:r>
        <w:rPr>
          <w:rFonts w:hint="eastAsia"/>
          <w:szCs w:val="21"/>
        </w:rPr>
        <w:t>—</w:t>
      </w:r>
      <w:r>
        <w:rPr>
          <w:rFonts w:hint="eastAsia"/>
          <w:szCs w:val="21"/>
          <w:u w:val="single"/>
        </w:rPr>
        <w:t>　　</w:t>
      </w:r>
      <w:r>
        <w:rPr>
          <w:szCs w:val="21"/>
          <w:u w:val="single"/>
        </w:rPr>
        <w:t xml:space="preserve">  </w:t>
      </w:r>
      <w:r>
        <w:rPr>
          <w:rFonts w:hint="eastAsia"/>
          <w:szCs w:val="21"/>
          <w:u w:val="single"/>
        </w:rPr>
        <w:t>　</w:t>
      </w:r>
    </w:p>
    <w:tbl>
      <w:tblPr>
        <w:tblStyle w:val="1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2870"/>
        <w:gridCol w:w="1927"/>
        <w:gridCol w:w="22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8644" w:type="dxa"/>
            <w:gridSpan w:val="4"/>
            <w:tcBorders>
              <w:top w:val="single" w:color="auto" w:sz="8" w:space="0"/>
              <w:left w:val="single" w:color="auto" w:sz="8" w:space="0"/>
              <w:bottom w:val="single" w:color="auto" w:sz="4" w:space="0"/>
              <w:right w:val="single" w:color="auto" w:sz="8" w:space="0"/>
            </w:tcBorders>
            <w:noWrap w:val="0"/>
            <w:vAlign w:val="top"/>
          </w:tcPr>
          <w:p>
            <w:pPr>
              <w:spacing w:before="156" w:beforeLines="50" w:after="156" w:afterLines="50" w:line="420" w:lineRule="exact"/>
              <w:rPr>
                <w:szCs w:val="21"/>
                <w:u w:val="single"/>
              </w:rPr>
            </w:pPr>
            <w:r>
              <w:rPr>
                <w:rFonts w:hint="eastAsia"/>
                <w:szCs w:val="21"/>
              </w:rPr>
              <w:t>致：</w:t>
            </w:r>
            <w:r>
              <w:rPr>
                <w:rFonts w:hint="eastAsia"/>
                <w:szCs w:val="21"/>
                <w:u w:val="single"/>
              </w:rPr>
              <w:t>　　　　</w:t>
            </w:r>
            <w:r>
              <w:rPr>
                <w:szCs w:val="21"/>
                <w:u w:val="single"/>
              </w:rPr>
              <w:t xml:space="preserve">   </w:t>
            </w:r>
            <w:r>
              <w:rPr>
                <w:rFonts w:hint="eastAsia"/>
                <w:szCs w:val="21"/>
                <w:u w:val="single"/>
              </w:rPr>
              <w:t>　　　</w:t>
            </w:r>
            <w:r>
              <w:rPr>
                <w:rFonts w:hint="eastAsia"/>
                <w:szCs w:val="21"/>
              </w:rPr>
              <w:t>（项目监理机构）</w:t>
            </w:r>
          </w:p>
          <w:p>
            <w:pPr>
              <w:spacing w:line="420" w:lineRule="exact"/>
              <w:ind w:firstLine="420" w:firstLineChars="200"/>
              <w:rPr>
                <w:szCs w:val="21"/>
              </w:rPr>
            </w:pPr>
            <w:r>
              <w:rPr>
                <w:rFonts w:hint="eastAsia"/>
                <w:szCs w:val="21"/>
              </w:rPr>
              <w:t>我方接到编号为</w:t>
            </w:r>
            <w:r>
              <w:rPr>
                <w:szCs w:val="21"/>
                <w:u w:val="single"/>
              </w:rPr>
              <w:t xml:space="preserve">                             </w:t>
            </w:r>
            <w:r>
              <w:rPr>
                <w:rFonts w:hint="eastAsia"/>
                <w:szCs w:val="21"/>
              </w:rPr>
              <w:t>的监理通知后，已按要求完成相关工作，请予以复查。</w:t>
            </w:r>
          </w:p>
          <w:p>
            <w:pPr>
              <w:spacing w:line="420" w:lineRule="exact"/>
              <w:ind w:firstLine="420" w:firstLineChars="200"/>
              <w:rPr>
                <w:szCs w:val="21"/>
              </w:rPr>
            </w:pPr>
            <w:r>
              <w:rPr>
                <w:rFonts w:hint="eastAsia"/>
                <w:szCs w:val="21"/>
              </w:rPr>
              <w:t>附件：</w:t>
            </w:r>
          </w:p>
          <w:p>
            <w:pPr>
              <w:spacing w:line="420" w:lineRule="exact"/>
              <w:ind w:firstLine="420" w:firstLineChars="200"/>
              <w:rPr>
                <w:szCs w:val="21"/>
              </w:rPr>
            </w:pPr>
            <w:r>
              <w:rPr>
                <w:rFonts w:hint="eastAsia" w:ascii="Times New Roman"/>
                <w:szCs w:val="21"/>
              </w:rPr>
              <w:t>□ 相关记录</w:t>
            </w:r>
          </w:p>
          <w:p>
            <w:pPr>
              <w:spacing w:line="420" w:lineRule="exact"/>
              <w:rPr>
                <w:szCs w:val="21"/>
              </w:rPr>
            </w:pPr>
          </w:p>
          <w:p>
            <w:pPr>
              <w:spacing w:line="420" w:lineRule="exact"/>
              <w:rPr>
                <w:szCs w:val="21"/>
              </w:rPr>
            </w:pPr>
          </w:p>
          <w:p>
            <w:pPr>
              <w:spacing w:line="420" w:lineRule="exact"/>
              <w:rPr>
                <w:szCs w:val="21"/>
              </w:rPr>
            </w:pPr>
          </w:p>
          <w:p>
            <w:pPr>
              <w:spacing w:line="420" w:lineRule="exact"/>
              <w:rPr>
                <w:szCs w:val="21"/>
              </w:rPr>
            </w:pPr>
          </w:p>
          <w:p>
            <w:pPr>
              <w:spacing w:line="420" w:lineRule="exact"/>
              <w:rPr>
                <w:szCs w:val="21"/>
              </w:rPr>
            </w:pPr>
          </w:p>
          <w:p>
            <w:pPr>
              <w:spacing w:line="420" w:lineRule="exact"/>
              <w:rPr>
                <w:szCs w:val="21"/>
                <w:u w:val="single"/>
              </w:rPr>
            </w:pPr>
            <w:r>
              <w:rPr>
                <w:rFonts w:hint="eastAsia"/>
                <w:szCs w:val="21"/>
              </w:rPr>
              <w:t>　　　　　　　　　　　</w:t>
            </w:r>
            <w:r>
              <w:rPr>
                <w:szCs w:val="21"/>
              </w:rPr>
              <w:t xml:space="preserve">                       </w:t>
            </w:r>
            <w:r>
              <w:rPr>
                <w:rFonts w:hint="eastAsia"/>
                <w:szCs w:val="21"/>
              </w:rPr>
              <w:t>施工项目经理部（章）：</w:t>
            </w:r>
            <w:r>
              <w:rPr>
                <w:rFonts w:hint="eastAsia"/>
                <w:szCs w:val="21"/>
                <w:u w:val="single"/>
              </w:rPr>
              <w:t>　　　</w:t>
            </w:r>
            <w:r>
              <w:rPr>
                <w:szCs w:val="21"/>
                <w:u w:val="single"/>
              </w:rPr>
              <w:t xml:space="preserve">    </w:t>
            </w:r>
            <w:r>
              <w:rPr>
                <w:rFonts w:hint="eastAsia"/>
                <w:szCs w:val="21"/>
                <w:u w:val="single"/>
              </w:rPr>
              <w:t>　</w:t>
            </w:r>
          </w:p>
          <w:p>
            <w:pPr>
              <w:spacing w:line="420" w:lineRule="exact"/>
              <w:rPr>
                <w:szCs w:val="21"/>
              </w:rPr>
            </w:pPr>
            <w:r>
              <w:rPr>
                <w:rFonts w:hint="eastAsia"/>
                <w:szCs w:val="21"/>
              </w:rPr>
              <w:t>　　　　　　　　　　　　</w:t>
            </w:r>
            <w:r>
              <w:rPr>
                <w:szCs w:val="21"/>
              </w:rPr>
              <w:t xml:space="preserve">                     </w:t>
            </w:r>
            <w:r>
              <w:rPr>
                <w:rFonts w:hint="eastAsia"/>
                <w:szCs w:val="21"/>
              </w:rPr>
              <w:t>项目经理（签字）：</w:t>
            </w:r>
            <w:r>
              <w:rPr>
                <w:rFonts w:hint="eastAsia"/>
                <w:szCs w:val="21"/>
                <w:u w:val="single"/>
              </w:rPr>
              <w:t>　　　</w:t>
            </w:r>
            <w:r>
              <w:rPr>
                <w:szCs w:val="21"/>
                <w:u w:val="single"/>
              </w:rPr>
              <w:t xml:space="preserve">     </w:t>
            </w:r>
            <w:r>
              <w:rPr>
                <w:rFonts w:hint="eastAsia"/>
                <w:szCs w:val="21"/>
                <w:u w:val="single"/>
              </w:rPr>
              <w:t>　　</w:t>
            </w:r>
            <w:r>
              <w:rPr>
                <w:szCs w:val="21"/>
              </w:rPr>
              <w:t xml:space="preserve"> </w:t>
            </w:r>
          </w:p>
          <w:p>
            <w:pPr>
              <w:spacing w:line="420" w:lineRule="exact"/>
              <w:ind w:firstLine="6018" w:firstLineChars="2866"/>
              <w:rPr>
                <w:szCs w:val="21"/>
              </w:rPr>
            </w:pP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22" w:hRule="atLeast"/>
        </w:trPr>
        <w:tc>
          <w:tcPr>
            <w:tcW w:w="1548" w:type="dxa"/>
            <w:tcBorders>
              <w:top w:val="single" w:color="auto" w:sz="4" w:space="0"/>
              <w:left w:val="single" w:color="auto" w:sz="8" w:space="0"/>
              <w:bottom w:val="single" w:color="auto" w:sz="4" w:space="0"/>
              <w:right w:val="single" w:color="auto" w:sz="4" w:space="0"/>
            </w:tcBorders>
            <w:noWrap w:val="0"/>
            <w:vAlign w:val="center"/>
          </w:tcPr>
          <w:p>
            <w:pPr>
              <w:ind w:left="-105" w:leftChars="-50" w:right="-105" w:rightChars="-50"/>
              <w:jc w:val="center"/>
              <w:rPr>
                <w:rFonts w:ascii="Times New Roman"/>
                <w:szCs w:val="21"/>
              </w:rPr>
            </w:pPr>
            <w:r>
              <w:rPr>
                <w:rFonts w:hint="eastAsia" w:ascii="Times New Roman"/>
                <w:szCs w:val="21"/>
              </w:rPr>
              <w:t>项目监理机构签收人姓名及时间</w:t>
            </w:r>
          </w:p>
        </w:tc>
        <w:tc>
          <w:tcPr>
            <w:tcW w:w="2870"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rFonts w:ascii="Times New Roman"/>
                <w:szCs w:val="21"/>
              </w:rPr>
            </w:pPr>
          </w:p>
        </w:tc>
        <w:tc>
          <w:tcPr>
            <w:tcW w:w="192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rFonts w:ascii="Times New Roman"/>
                <w:szCs w:val="21"/>
              </w:rPr>
            </w:pPr>
            <w:r>
              <w:rPr>
                <w:rFonts w:hint="eastAsia" w:ascii="Times New Roman"/>
                <w:szCs w:val="21"/>
              </w:rPr>
              <w:t>施工项目经理部签收人姓名及时间</w:t>
            </w:r>
          </w:p>
        </w:tc>
        <w:tc>
          <w:tcPr>
            <w:tcW w:w="2299" w:type="dxa"/>
            <w:tcBorders>
              <w:top w:val="single" w:color="auto" w:sz="4" w:space="0"/>
              <w:left w:val="single" w:color="auto" w:sz="4" w:space="0"/>
              <w:bottom w:val="single" w:color="auto" w:sz="4" w:space="0"/>
              <w:right w:val="single" w:color="auto" w:sz="8" w:space="0"/>
            </w:tcBorders>
            <w:noWrap w:val="0"/>
            <w:vAlign w:val="center"/>
          </w:tcPr>
          <w:p>
            <w:pPr>
              <w:ind w:left="-105" w:leftChars="-50" w:right="-105" w:rightChars="-50"/>
              <w:jc w:val="center"/>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8644" w:type="dxa"/>
            <w:gridSpan w:val="4"/>
            <w:tcBorders>
              <w:top w:val="single" w:color="auto" w:sz="4" w:space="0"/>
              <w:left w:val="single" w:color="auto" w:sz="8" w:space="0"/>
              <w:bottom w:val="single" w:color="auto" w:sz="4" w:space="0"/>
              <w:right w:val="single" w:color="auto" w:sz="8" w:space="0"/>
            </w:tcBorders>
            <w:noWrap w:val="0"/>
            <w:vAlign w:val="top"/>
          </w:tcPr>
          <w:p>
            <w:pPr>
              <w:spacing w:before="156" w:beforeLines="50"/>
              <w:rPr>
                <w:szCs w:val="21"/>
              </w:rPr>
            </w:pPr>
            <w:r>
              <w:rPr>
                <w:rFonts w:hint="eastAsia"/>
                <w:szCs w:val="21"/>
              </w:rPr>
              <w:t>复查意见：</w:t>
            </w:r>
          </w:p>
          <w:p>
            <w:pPr>
              <w:rPr>
                <w:szCs w:val="21"/>
              </w:rPr>
            </w:pPr>
          </w:p>
          <w:p>
            <w:pPr>
              <w:rPr>
                <w:szCs w:val="21"/>
              </w:rPr>
            </w:pPr>
          </w:p>
          <w:p>
            <w:pPr>
              <w:rPr>
                <w:szCs w:val="21"/>
              </w:rPr>
            </w:pPr>
          </w:p>
          <w:p>
            <w:pPr>
              <w:rPr>
                <w:szCs w:val="21"/>
              </w:rPr>
            </w:pPr>
          </w:p>
          <w:p>
            <w:pPr>
              <w:rPr>
                <w:szCs w:val="21"/>
              </w:rPr>
            </w:pPr>
          </w:p>
          <w:p>
            <w:pPr>
              <w:rPr>
                <w:szCs w:val="21"/>
              </w:rPr>
            </w:pPr>
          </w:p>
          <w:p>
            <w:pPr>
              <w:spacing w:line="420" w:lineRule="exact"/>
              <w:rPr>
                <w:rFonts w:ascii="Times New Roman"/>
                <w:szCs w:val="21"/>
                <w:u w:val="single"/>
              </w:rPr>
            </w:pPr>
            <w:r>
              <w:rPr>
                <w:rFonts w:hint="eastAsia" w:ascii="Times New Roman"/>
                <w:szCs w:val="21"/>
              </w:rPr>
              <w:t xml:space="preserve">　　　　　　　　　              </w:t>
            </w:r>
            <w:r>
              <w:rPr>
                <w:rFonts w:hint="eastAsia" w:ascii="Times New Roman"/>
                <w:bCs/>
                <w:szCs w:val="21"/>
              </w:rPr>
              <w:t>项目监理机构(章)</w:t>
            </w:r>
            <w:r>
              <w:rPr>
                <w:rFonts w:hint="eastAsia" w:ascii="Times New Roman"/>
                <w:szCs w:val="21"/>
              </w:rPr>
              <w:t>:</w:t>
            </w:r>
            <w:r>
              <w:rPr>
                <w:rFonts w:hint="eastAsia" w:ascii="Times New Roman"/>
                <w:szCs w:val="21"/>
                <w:u w:val="single"/>
              </w:rPr>
              <w:t xml:space="preserve">                              </w:t>
            </w:r>
          </w:p>
          <w:p>
            <w:pPr>
              <w:keepLines/>
              <w:spacing w:line="420" w:lineRule="exact"/>
              <w:ind w:firstLine="3360" w:firstLineChars="1600"/>
              <w:rPr>
                <w:rFonts w:hint="eastAsia" w:ascii="Times New Roman"/>
                <w:szCs w:val="21"/>
              </w:rPr>
            </w:pPr>
            <w:r>
              <w:rPr>
                <w:rFonts w:hint="eastAsia" w:ascii="Times New Roman"/>
                <w:szCs w:val="21"/>
              </w:rPr>
              <w:t>总监理工程师/专业监理工程师</w:t>
            </w:r>
            <w:r>
              <w:rPr>
                <w:rFonts w:hint="eastAsia"/>
                <w:szCs w:val="21"/>
              </w:rPr>
              <w:t>（签字）</w:t>
            </w:r>
            <w:r>
              <w:rPr>
                <w:rFonts w:hint="eastAsia" w:ascii="Times New Roman"/>
                <w:szCs w:val="21"/>
              </w:rPr>
              <w:t>：</w:t>
            </w:r>
            <w:r>
              <w:rPr>
                <w:rFonts w:hint="eastAsia" w:ascii="Times New Roman"/>
                <w:szCs w:val="21"/>
                <w:u w:val="single"/>
              </w:rPr>
              <w:t xml:space="preserve">　　      　 </w:t>
            </w:r>
          </w:p>
          <w:p>
            <w:pPr>
              <w:keepLines/>
              <w:spacing w:line="420" w:lineRule="exact"/>
              <w:ind w:firstLine="840" w:firstLineChars="400"/>
              <w:rPr>
                <w:szCs w:val="21"/>
              </w:rPr>
            </w:pPr>
            <w:r>
              <w:rPr>
                <w:rFonts w:hint="eastAsia" w:ascii="Times New Roman"/>
                <w:szCs w:val="21"/>
              </w:rPr>
              <w:t xml:space="preserve">                                                  </w:t>
            </w:r>
            <w:r>
              <w:rPr>
                <w:rFonts w:hint="eastAsia" w:ascii="Times New Roman"/>
                <w:szCs w:val="21"/>
                <w:u w:val="single"/>
              </w:rPr>
              <w:t xml:space="preserve">      </w:t>
            </w:r>
            <w:r>
              <w:rPr>
                <w:rFonts w:hint="eastAsia" w:ascii="Times New Roman"/>
                <w:szCs w:val="21"/>
              </w:rPr>
              <w:t>年</w:t>
            </w:r>
            <w:r>
              <w:rPr>
                <w:rFonts w:hint="eastAsia" w:ascii="Times New Roman"/>
                <w:szCs w:val="21"/>
                <w:u w:val="single"/>
              </w:rPr>
              <w:t xml:space="preserve">     </w:t>
            </w:r>
            <w:r>
              <w:rPr>
                <w:rFonts w:hint="eastAsia" w:ascii="Times New Roman"/>
                <w:szCs w:val="21"/>
              </w:rPr>
              <w:t>月</w:t>
            </w:r>
            <w:r>
              <w:rPr>
                <w:rFonts w:hint="eastAsia" w:ascii="Times New Roman"/>
                <w:szCs w:val="21"/>
                <w:u w:val="single"/>
              </w:rPr>
              <w:t xml:space="preserve">     </w:t>
            </w:r>
            <w:r>
              <w:rPr>
                <w:rFonts w:hint="eastAsia" w:ascii="Times New Roman"/>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71" w:hRule="atLeast"/>
        </w:trPr>
        <w:tc>
          <w:tcPr>
            <w:tcW w:w="8644" w:type="dxa"/>
            <w:gridSpan w:val="4"/>
            <w:tcBorders>
              <w:top w:val="single" w:color="auto" w:sz="4" w:space="0"/>
              <w:left w:val="single" w:color="auto" w:sz="8" w:space="0"/>
              <w:bottom w:val="single" w:color="auto" w:sz="8" w:space="0"/>
              <w:right w:val="single" w:color="auto" w:sz="8" w:space="0"/>
            </w:tcBorders>
            <w:noWrap w:val="0"/>
            <w:vAlign w:val="center"/>
          </w:tcPr>
          <w:p>
            <w:pPr>
              <w:rPr>
                <w:szCs w:val="21"/>
              </w:rPr>
            </w:pPr>
            <w:r>
              <w:rPr>
                <w:rFonts w:hint="eastAsia"/>
                <w:szCs w:val="21"/>
              </w:rPr>
              <w:t>注：</w:t>
            </w:r>
            <w:r>
              <w:rPr>
                <w:szCs w:val="21"/>
              </w:rPr>
              <w:t xml:space="preserve"> 1</w:t>
            </w:r>
            <w:r>
              <w:rPr>
                <w:rFonts w:hint="eastAsia"/>
                <w:szCs w:val="21"/>
              </w:rPr>
              <w:t>、监理通知回复单分为：质量控制类（</w:t>
            </w:r>
            <w:r>
              <w:rPr>
                <w:szCs w:val="21"/>
              </w:rPr>
              <w:t>B.5.1</w:t>
            </w:r>
            <w:r>
              <w:rPr>
                <w:szCs w:val="21"/>
                <w:u w:val="single"/>
              </w:rPr>
              <w:t>1</w:t>
            </w:r>
            <w:r>
              <w:rPr>
                <w:rFonts w:hint="eastAsia"/>
                <w:szCs w:val="21"/>
              </w:rPr>
              <w:t>）、造价控制类（</w:t>
            </w:r>
            <w:r>
              <w:rPr>
                <w:szCs w:val="21"/>
              </w:rPr>
              <w:t>B.5.1</w:t>
            </w:r>
            <w:r>
              <w:rPr>
                <w:szCs w:val="21"/>
                <w:u w:val="single"/>
              </w:rPr>
              <w:t>2</w:t>
            </w:r>
            <w:r>
              <w:rPr>
                <w:rFonts w:hint="eastAsia"/>
                <w:szCs w:val="21"/>
              </w:rPr>
              <w:t>）、进度控制类（</w:t>
            </w:r>
            <w:r>
              <w:rPr>
                <w:szCs w:val="21"/>
              </w:rPr>
              <w:t>B.5.1</w:t>
            </w:r>
            <w:r>
              <w:rPr>
                <w:szCs w:val="21"/>
                <w:u w:val="single"/>
              </w:rPr>
              <w:t>3</w:t>
            </w:r>
            <w:r>
              <w:rPr>
                <w:rFonts w:hint="eastAsia"/>
                <w:szCs w:val="21"/>
              </w:rPr>
              <w:t>）、安全文明类（</w:t>
            </w:r>
            <w:r>
              <w:rPr>
                <w:szCs w:val="21"/>
              </w:rPr>
              <w:t>B.5.1</w:t>
            </w:r>
            <w:r>
              <w:rPr>
                <w:szCs w:val="21"/>
                <w:u w:val="single"/>
              </w:rPr>
              <w:t>4</w:t>
            </w:r>
            <w:r>
              <w:rPr>
                <w:rFonts w:hint="eastAsia"/>
                <w:szCs w:val="21"/>
              </w:rPr>
              <w:t>）。</w:t>
            </w:r>
          </w:p>
          <w:p>
            <w:pPr>
              <w:ind w:firstLine="459" w:firstLineChars="219"/>
              <w:rPr>
                <w:szCs w:val="21"/>
              </w:rPr>
            </w:pPr>
            <w:r>
              <w:rPr>
                <w:szCs w:val="21"/>
              </w:rPr>
              <w:t>2</w:t>
            </w:r>
            <w:r>
              <w:rPr>
                <w:rFonts w:hint="eastAsia"/>
                <w:spacing w:val="-16"/>
                <w:szCs w:val="21"/>
              </w:rPr>
              <w:t>、</w:t>
            </w:r>
            <w:r>
              <w:rPr>
                <w:rFonts w:hint="eastAsia" w:ascii="Times New Roman"/>
                <w:szCs w:val="21"/>
              </w:rPr>
              <w:t>本表一式二份，项目监理机构、施工单位各一份。</w:t>
            </w:r>
          </w:p>
        </w:tc>
      </w:tr>
    </w:tbl>
    <w:p>
      <w:pPr>
        <w:jc w:val="right"/>
        <w:rPr>
          <w:rFonts w:eastAsia="黑体"/>
          <w:b/>
          <w:sz w:val="28"/>
          <w:szCs w:val="28"/>
          <w14:shadow w14:blurRad="50800" w14:dist="38100" w14:dir="2700000" w14:sx="100000" w14:sy="100000" w14:kx="0" w14:ky="0" w14:algn="tl">
            <w14:srgbClr w14:val="000000">
              <w14:alpha w14:val="60000"/>
            </w14:srgbClr>
          </w14:shadow>
        </w:rPr>
      </w:pPr>
      <w:r>
        <w:rPr>
          <w:rFonts w:hint="eastAsia" w:ascii="Times New Roman" w:eastAsia="隶书"/>
        </w:rPr>
        <w:t>第六版表                                              江苏省住房和城乡建设厅监制</w:t>
      </w:r>
      <w:r>
        <w:rPr>
          <w:b/>
          <w:szCs w:val="21"/>
        </w:rPr>
        <w:br w:type="column"/>
      </w:r>
      <w:r>
        <w:rPr>
          <w:rFonts w:eastAsia="黑体"/>
          <w:b/>
          <w:sz w:val="28"/>
          <w:szCs w:val="28"/>
          <w14:shadow w14:blurRad="50800" w14:dist="38100" w14:dir="2700000" w14:sx="100000" w14:sy="100000" w14:kx="0" w14:ky="0" w14:algn="tl">
            <w14:srgbClr w14:val="000000">
              <w14:alpha w14:val="60000"/>
            </w14:srgbClr>
          </w14:shadow>
        </w:rPr>
        <w:t>B.5.2</w:t>
      </w:r>
    </w:p>
    <w:p>
      <w:pPr>
        <w:spacing w:before="312" w:beforeLines="100" w:after="312" w:afterLines="100" w:line="300" w:lineRule="exact"/>
        <w:jc w:val="center"/>
        <w:rPr>
          <w:rFonts w:eastAsia="黑体"/>
          <w:sz w:val="44"/>
          <w14:shadow w14:blurRad="50800" w14:dist="38100" w14:dir="2700000" w14:sx="100000" w14:sy="100000" w14:kx="0" w14:ky="0" w14:algn="tl">
            <w14:srgbClr w14:val="000000">
              <w14:alpha w14:val="60000"/>
            </w14:srgbClr>
          </w14:shadow>
        </w:rPr>
      </w:pPr>
      <w:r>
        <w:rPr>
          <w:rFonts w:hint="eastAsia" w:eastAsia="黑体"/>
          <w:sz w:val="44"/>
          <w14:shadow w14:blurRad="50800" w14:dist="38100" w14:dir="2700000" w14:sx="100000" w14:sy="100000" w14:kx="0" w14:ky="0" w14:algn="tl">
            <w14:srgbClr w14:val="000000">
              <w14:alpha w14:val="60000"/>
            </w14:srgbClr>
          </w14:shadow>
        </w:rPr>
        <w:t>工程复工报审表</w:t>
      </w:r>
    </w:p>
    <w:p>
      <w:pPr>
        <w:spacing w:after="156" w:afterLines="50" w:line="420" w:lineRule="exact"/>
        <w:ind w:left="21" w:hanging="21" w:hangingChars="10"/>
        <w:rPr>
          <w:szCs w:val="21"/>
        </w:rPr>
      </w:pPr>
      <w:r>
        <w:rPr>
          <w:rFonts w:hint="eastAsia"/>
          <w:szCs w:val="21"/>
        </w:rPr>
        <w:t>工程名称：</w:t>
      </w:r>
      <w:r>
        <w:rPr>
          <w:szCs w:val="21"/>
          <w:u w:val="single"/>
        </w:rPr>
        <w:t xml:space="preserve">                        </w:t>
      </w:r>
      <w:r>
        <w:rPr>
          <w:rFonts w:hint="eastAsia"/>
          <w:szCs w:val="21"/>
        </w:rPr>
        <w:t>　　　　　　　</w:t>
      </w:r>
      <w:r>
        <w:rPr>
          <w:szCs w:val="21"/>
        </w:rPr>
        <w:t xml:space="preserve">            </w:t>
      </w:r>
      <w:r>
        <w:rPr>
          <w:rFonts w:hint="eastAsia"/>
          <w:szCs w:val="21"/>
        </w:rPr>
        <w:t>编号：</w:t>
      </w:r>
      <w:r>
        <w:rPr>
          <w:szCs w:val="21"/>
        </w:rPr>
        <w:t>B.5.2</w:t>
      </w:r>
      <w:r>
        <w:rPr>
          <w:rFonts w:hint="eastAsia"/>
          <w:szCs w:val="21"/>
        </w:rPr>
        <w:t>—</w:t>
      </w:r>
      <w:r>
        <w:rPr>
          <w:rFonts w:hint="eastAsia"/>
          <w:szCs w:val="21"/>
          <w:u w:val="single"/>
        </w:rPr>
        <w:t>　</w:t>
      </w:r>
      <w:r>
        <w:rPr>
          <w:szCs w:val="21"/>
          <w:u w:val="single"/>
        </w:rPr>
        <w:t xml:space="preserve">      </w:t>
      </w:r>
    </w:p>
    <w:tbl>
      <w:tblPr>
        <w:tblStyle w:val="1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02"/>
        <w:gridCol w:w="2768"/>
        <w:gridCol w:w="457"/>
        <w:gridCol w:w="1329"/>
        <w:gridCol w:w="336"/>
        <w:gridCol w:w="20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8614" w:type="dxa"/>
            <w:gridSpan w:val="7"/>
            <w:tcBorders>
              <w:top w:val="single" w:color="auto" w:sz="8" w:space="0"/>
              <w:left w:val="single" w:color="auto" w:sz="8" w:space="0"/>
              <w:bottom w:val="single" w:color="auto" w:sz="4" w:space="0"/>
              <w:right w:val="single" w:color="auto" w:sz="8" w:space="0"/>
            </w:tcBorders>
            <w:noWrap w:val="0"/>
            <w:vAlign w:val="top"/>
          </w:tcPr>
          <w:p>
            <w:pPr>
              <w:spacing w:before="156" w:beforeLines="50" w:after="156" w:afterLines="50" w:line="420" w:lineRule="exact"/>
              <w:rPr>
                <w:szCs w:val="21"/>
                <w:u w:val="single"/>
              </w:rPr>
            </w:pPr>
            <w:r>
              <w:rPr>
                <w:rFonts w:hint="eastAsia"/>
                <w:szCs w:val="21"/>
              </w:rPr>
              <w:t>致：</w:t>
            </w:r>
            <w:r>
              <w:rPr>
                <w:rFonts w:hint="eastAsia"/>
                <w:szCs w:val="21"/>
                <w:u w:val="single"/>
              </w:rPr>
              <w:t>　　　　　</w:t>
            </w:r>
            <w:r>
              <w:rPr>
                <w:szCs w:val="21"/>
                <w:u w:val="single"/>
              </w:rPr>
              <w:t xml:space="preserve">   </w:t>
            </w:r>
            <w:r>
              <w:rPr>
                <w:rFonts w:hint="eastAsia"/>
                <w:szCs w:val="21"/>
                <w:u w:val="single"/>
              </w:rPr>
              <w:t>　　</w:t>
            </w:r>
            <w:r>
              <w:rPr>
                <w:rFonts w:hint="eastAsia"/>
                <w:szCs w:val="21"/>
              </w:rPr>
              <w:t>（项目监理机构）</w:t>
            </w:r>
          </w:p>
          <w:p>
            <w:pPr>
              <w:spacing w:line="420" w:lineRule="exact"/>
              <w:ind w:firstLine="420" w:firstLineChars="200"/>
              <w:rPr>
                <w:szCs w:val="21"/>
              </w:rPr>
            </w:pPr>
            <w:r>
              <w:rPr>
                <w:rFonts w:hint="eastAsia"/>
                <w:szCs w:val="21"/>
              </w:rPr>
              <w:t>编号为</w:t>
            </w:r>
            <w:r>
              <w:rPr>
                <w:szCs w:val="21"/>
                <w:u w:val="single"/>
              </w:rPr>
              <w:t xml:space="preserve">                     </w:t>
            </w:r>
            <w:r>
              <w:rPr>
                <w:szCs w:val="21"/>
              </w:rPr>
              <w:t xml:space="preserve"> </w:t>
            </w:r>
            <w:r>
              <w:rPr>
                <w:rFonts w:hint="eastAsia"/>
                <w:szCs w:val="21"/>
              </w:rPr>
              <w:t>《工程暂停令》的停工的</w:t>
            </w:r>
            <w:r>
              <w:rPr>
                <w:szCs w:val="21"/>
                <w:u w:val="single"/>
              </w:rPr>
              <w:t xml:space="preserve">              </w:t>
            </w:r>
            <w:r>
              <w:rPr>
                <w:rFonts w:hint="eastAsia"/>
                <w:szCs w:val="21"/>
              </w:rPr>
              <w:t>部位（工序）已满足复工条件，我方申请于</w:t>
            </w:r>
            <w:r>
              <w:rPr>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日复工，请予审批。</w:t>
            </w:r>
            <w:r>
              <w:rPr>
                <w:szCs w:val="21"/>
              </w:rPr>
              <w:t xml:space="preserve">   </w:t>
            </w:r>
          </w:p>
          <w:p>
            <w:pPr>
              <w:spacing w:line="420" w:lineRule="exact"/>
              <w:ind w:firstLine="420" w:firstLineChars="200"/>
              <w:rPr>
                <w:szCs w:val="21"/>
              </w:rPr>
            </w:pPr>
            <w:r>
              <w:rPr>
                <w:rFonts w:hint="eastAsia"/>
                <w:szCs w:val="21"/>
              </w:rPr>
              <w:t>附件：工程复工证明材料</w:t>
            </w:r>
          </w:p>
          <w:p>
            <w:pPr>
              <w:spacing w:line="420" w:lineRule="exact"/>
              <w:rPr>
                <w:szCs w:val="21"/>
              </w:rPr>
            </w:pPr>
          </w:p>
          <w:p>
            <w:pPr>
              <w:spacing w:line="420" w:lineRule="exact"/>
              <w:rPr>
                <w:szCs w:val="21"/>
              </w:rPr>
            </w:pPr>
          </w:p>
          <w:p>
            <w:pPr>
              <w:spacing w:line="420" w:lineRule="exact"/>
              <w:rPr>
                <w:szCs w:val="21"/>
                <w:u w:val="single"/>
              </w:rPr>
            </w:pPr>
            <w:r>
              <w:rPr>
                <w:rFonts w:hint="eastAsia"/>
                <w:szCs w:val="21"/>
              </w:rPr>
              <w:t>　　　　　　　　　　　</w:t>
            </w:r>
            <w:r>
              <w:rPr>
                <w:szCs w:val="21"/>
              </w:rPr>
              <w:t xml:space="preserve">             </w:t>
            </w:r>
            <w:r>
              <w:rPr>
                <w:rFonts w:hint="eastAsia"/>
                <w:szCs w:val="21"/>
              </w:rPr>
              <w:t>施工项目经理部（章）：</w:t>
            </w:r>
            <w:r>
              <w:rPr>
                <w:rFonts w:hint="eastAsia"/>
                <w:szCs w:val="21"/>
                <w:u w:val="single"/>
              </w:rPr>
              <w:t>　　　　　</w:t>
            </w:r>
            <w:r>
              <w:rPr>
                <w:szCs w:val="21"/>
                <w:u w:val="single"/>
              </w:rPr>
              <w:t xml:space="preserve"> </w:t>
            </w:r>
            <w:r>
              <w:rPr>
                <w:rFonts w:hint="eastAsia"/>
                <w:szCs w:val="21"/>
                <w:u w:val="single"/>
              </w:rPr>
              <w:t>　</w:t>
            </w:r>
            <w:r>
              <w:rPr>
                <w:szCs w:val="21"/>
                <w:u w:val="single"/>
              </w:rPr>
              <w:t xml:space="preserve">    </w:t>
            </w:r>
            <w:r>
              <w:rPr>
                <w:rFonts w:hint="eastAsia"/>
                <w:szCs w:val="21"/>
                <w:u w:val="single"/>
              </w:rPr>
              <w:t>　　　</w:t>
            </w:r>
          </w:p>
          <w:p>
            <w:pPr>
              <w:spacing w:line="420" w:lineRule="exact"/>
              <w:rPr>
                <w:szCs w:val="21"/>
              </w:rPr>
            </w:pPr>
            <w:r>
              <w:rPr>
                <w:rFonts w:hint="eastAsia"/>
                <w:szCs w:val="21"/>
              </w:rPr>
              <w:t>　　　　　　　　　</w:t>
            </w:r>
            <w:r>
              <w:rPr>
                <w:szCs w:val="21"/>
              </w:rPr>
              <w:t xml:space="preserve">                 </w:t>
            </w:r>
            <w:r>
              <w:rPr>
                <w:rFonts w:hint="eastAsia"/>
                <w:szCs w:val="21"/>
              </w:rPr>
              <w:t>项目经理</w:t>
            </w:r>
            <w:r>
              <w:rPr>
                <w:rFonts w:hint="eastAsia" w:ascii="Times New Roman"/>
                <w:szCs w:val="21"/>
              </w:rPr>
              <w:t>(签字、执业印章)</w:t>
            </w:r>
            <w:r>
              <w:rPr>
                <w:rFonts w:hint="eastAsia"/>
                <w:szCs w:val="21"/>
              </w:rPr>
              <w:t>：</w:t>
            </w:r>
            <w:r>
              <w:rPr>
                <w:rFonts w:hint="eastAsia"/>
                <w:szCs w:val="21"/>
                <w:u w:val="single"/>
              </w:rPr>
              <w:t>　　</w:t>
            </w:r>
            <w:r>
              <w:rPr>
                <w:szCs w:val="21"/>
                <w:u w:val="single"/>
              </w:rPr>
              <w:t xml:space="preserve">       </w:t>
            </w:r>
            <w:r>
              <w:rPr>
                <w:rFonts w:hint="eastAsia"/>
                <w:szCs w:val="21"/>
                <w:u w:val="single"/>
              </w:rPr>
              <w:t>　</w:t>
            </w:r>
            <w:r>
              <w:rPr>
                <w:szCs w:val="21"/>
                <w:u w:val="single"/>
              </w:rPr>
              <w:t xml:space="preserve">  </w:t>
            </w:r>
            <w:r>
              <w:rPr>
                <w:rFonts w:hint="eastAsia"/>
                <w:szCs w:val="21"/>
                <w:u w:val="single"/>
              </w:rPr>
              <w:t>　</w:t>
            </w:r>
            <w:r>
              <w:rPr>
                <w:szCs w:val="21"/>
                <w:u w:val="single"/>
              </w:rPr>
              <w:t xml:space="preserve"> </w:t>
            </w:r>
          </w:p>
          <w:p>
            <w:pPr>
              <w:spacing w:line="420" w:lineRule="exact"/>
              <w:ind w:firstLine="6123" w:firstLineChars="2916"/>
              <w:rPr>
                <w:szCs w:val="21"/>
              </w:rPr>
            </w:pPr>
            <w:r>
              <w:rPr>
                <w:rFonts w:hint="eastAsia" w:ascii="Times New Roman"/>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r>
              <w:rPr>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22" w:hRule="atLeast"/>
        </w:trPr>
        <w:tc>
          <w:tcPr>
            <w:tcW w:w="1548" w:type="dxa"/>
            <w:tcBorders>
              <w:top w:val="single" w:color="auto" w:sz="4" w:space="0"/>
              <w:left w:val="single" w:color="auto" w:sz="8" w:space="0"/>
              <w:bottom w:val="single" w:color="auto" w:sz="4" w:space="0"/>
              <w:right w:val="single" w:color="auto" w:sz="4" w:space="0"/>
            </w:tcBorders>
            <w:noWrap w:val="0"/>
            <w:vAlign w:val="center"/>
          </w:tcPr>
          <w:p>
            <w:pPr>
              <w:ind w:left="-105" w:leftChars="-50" w:right="-105" w:rightChars="-50"/>
              <w:jc w:val="center"/>
              <w:rPr>
                <w:rFonts w:ascii="Times New Roman"/>
                <w:szCs w:val="21"/>
              </w:rPr>
            </w:pPr>
            <w:r>
              <w:rPr>
                <w:rFonts w:hint="eastAsia" w:ascii="Times New Roman"/>
                <w:szCs w:val="21"/>
              </w:rPr>
              <w:t>项目监理机构签收人姓名及时间</w:t>
            </w:r>
          </w:p>
        </w:tc>
        <w:tc>
          <w:tcPr>
            <w:tcW w:w="2870" w:type="dxa"/>
            <w:gridSpan w:val="2"/>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rFonts w:ascii="Times New Roman"/>
                <w:szCs w:val="21"/>
              </w:rPr>
            </w:pPr>
          </w:p>
        </w:tc>
        <w:tc>
          <w:tcPr>
            <w:tcW w:w="1786" w:type="dxa"/>
            <w:gridSpan w:val="2"/>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rFonts w:ascii="Times New Roman"/>
                <w:szCs w:val="21"/>
              </w:rPr>
            </w:pPr>
            <w:r>
              <w:rPr>
                <w:rFonts w:hint="eastAsia" w:ascii="Times New Roman"/>
                <w:szCs w:val="21"/>
              </w:rPr>
              <w:t>施工项目经理部签收人姓名及时间</w:t>
            </w:r>
          </w:p>
        </w:tc>
        <w:tc>
          <w:tcPr>
            <w:tcW w:w="2410" w:type="dxa"/>
            <w:gridSpan w:val="2"/>
            <w:tcBorders>
              <w:top w:val="single" w:color="auto" w:sz="4" w:space="0"/>
              <w:left w:val="single" w:color="auto" w:sz="4" w:space="0"/>
              <w:bottom w:val="single" w:color="auto" w:sz="4" w:space="0"/>
              <w:right w:val="single" w:color="auto" w:sz="8" w:space="0"/>
            </w:tcBorders>
            <w:noWrap w:val="0"/>
            <w:vAlign w:val="center"/>
          </w:tcPr>
          <w:p>
            <w:pPr>
              <w:ind w:left="-105" w:leftChars="-50" w:right="-105" w:rightChars="-50"/>
              <w:jc w:val="center"/>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43" w:hRule="atLeast"/>
        </w:trPr>
        <w:tc>
          <w:tcPr>
            <w:tcW w:w="8614" w:type="dxa"/>
            <w:gridSpan w:val="7"/>
            <w:tcBorders>
              <w:top w:val="single" w:color="auto" w:sz="4" w:space="0"/>
              <w:left w:val="single" w:color="auto" w:sz="8" w:space="0"/>
              <w:bottom w:val="single" w:color="auto" w:sz="4" w:space="0"/>
              <w:right w:val="single" w:color="auto" w:sz="8" w:space="0"/>
            </w:tcBorders>
            <w:noWrap w:val="0"/>
            <w:vAlign w:val="top"/>
          </w:tcPr>
          <w:p>
            <w:pPr>
              <w:spacing w:line="360" w:lineRule="exact"/>
              <w:rPr>
                <w:szCs w:val="21"/>
              </w:rPr>
            </w:pPr>
            <w:r>
              <w:rPr>
                <w:rFonts w:hint="eastAsia"/>
                <w:szCs w:val="21"/>
              </w:rPr>
              <w:t>审核意见：</w:t>
            </w:r>
          </w:p>
          <w:p>
            <w:pPr>
              <w:spacing w:line="360" w:lineRule="exact"/>
              <w:rPr>
                <w:szCs w:val="21"/>
              </w:rPr>
            </w:pPr>
          </w:p>
          <w:p>
            <w:pPr>
              <w:spacing w:line="360" w:lineRule="exact"/>
              <w:rPr>
                <w:szCs w:val="21"/>
              </w:rPr>
            </w:pPr>
          </w:p>
          <w:p>
            <w:pPr>
              <w:spacing w:line="420" w:lineRule="exact"/>
              <w:rPr>
                <w:rFonts w:ascii="Times New Roman"/>
                <w:bCs/>
                <w:szCs w:val="21"/>
                <w:u w:val="single"/>
              </w:rPr>
            </w:pPr>
            <w:r>
              <w:rPr>
                <w:rFonts w:hint="eastAsia" w:ascii="Times New Roman"/>
                <w:szCs w:val="21"/>
              </w:rPr>
              <w:t xml:space="preserve">　　　　　　　　　　　            </w:t>
            </w:r>
            <w:r>
              <w:rPr>
                <w:rFonts w:hint="eastAsia" w:ascii="Times New Roman"/>
                <w:bCs/>
                <w:szCs w:val="21"/>
              </w:rPr>
              <w:t xml:space="preserve">项目监理机构(章): </w:t>
            </w:r>
            <w:r>
              <w:rPr>
                <w:rFonts w:hint="eastAsia" w:ascii="Times New Roman"/>
                <w:bCs/>
                <w:szCs w:val="21"/>
                <w:u w:val="single"/>
              </w:rPr>
              <w:t xml:space="preserve">                           </w:t>
            </w:r>
          </w:p>
          <w:p>
            <w:pPr>
              <w:keepLines/>
              <w:tabs>
                <w:tab w:val="left" w:pos="531"/>
              </w:tabs>
              <w:spacing w:line="420" w:lineRule="exact"/>
              <w:ind w:firstLine="525" w:firstLineChars="250"/>
              <w:rPr>
                <w:rFonts w:hint="eastAsia" w:ascii="Times New Roman"/>
                <w:szCs w:val="21"/>
              </w:rPr>
            </w:pPr>
            <w:r>
              <w:rPr>
                <w:rFonts w:hint="eastAsia" w:ascii="Times New Roman"/>
                <w:szCs w:val="21"/>
              </w:rPr>
              <w:tab/>
            </w:r>
            <w:r>
              <w:rPr>
                <w:rFonts w:hint="eastAsia" w:ascii="Times New Roman"/>
                <w:szCs w:val="21"/>
              </w:rPr>
              <w:t xml:space="preserve">                             总监理工程师(签字、执业印章)：</w:t>
            </w:r>
            <w:r>
              <w:rPr>
                <w:rFonts w:hint="eastAsia" w:ascii="Times New Roman"/>
                <w:szCs w:val="21"/>
                <w:u w:val="single"/>
              </w:rPr>
              <w:t xml:space="preserve">　　           </w:t>
            </w:r>
          </w:p>
          <w:p>
            <w:pPr>
              <w:keepLines/>
              <w:tabs>
                <w:tab w:val="left" w:pos="531"/>
              </w:tabs>
              <w:spacing w:line="420" w:lineRule="exact"/>
              <w:ind w:firstLine="6127" w:firstLineChars="2918"/>
              <w:rPr>
                <w:szCs w:val="21"/>
              </w:rPr>
            </w:pPr>
            <w:r>
              <w:rPr>
                <w:rFonts w:hint="eastAsia" w:ascii="Times New Roman"/>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1650" w:type="dxa"/>
            <w:gridSpan w:val="2"/>
            <w:tcBorders>
              <w:top w:val="single" w:color="auto" w:sz="4" w:space="0"/>
              <w:left w:val="single" w:color="auto" w:sz="8" w:space="0"/>
              <w:bottom w:val="single" w:color="auto" w:sz="4" w:space="0"/>
              <w:right w:val="single" w:color="auto" w:sz="4" w:space="0"/>
            </w:tcBorders>
            <w:noWrap w:val="0"/>
            <w:vAlign w:val="center"/>
          </w:tcPr>
          <w:p>
            <w:pPr>
              <w:ind w:left="-105" w:leftChars="-50" w:right="-105" w:rightChars="-50"/>
              <w:jc w:val="center"/>
              <w:rPr>
                <w:rFonts w:ascii="Times New Roman"/>
                <w:szCs w:val="21"/>
              </w:rPr>
            </w:pPr>
            <w:r>
              <w:rPr>
                <w:rFonts w:hint="eastAsia" w:ascii="Times New Roman"/>
                <w:szCs w:val="21"/>
              </w:rPr>
              <w:t>建设单位签收人姓名及时间</w:t>
            </w:r>
          </w:p>
        </w:tc>
        <w:tc>
          <w:tcPr>
            <w:tcW w:w="3225" w:type="dxa"/>
            <w:gridSpan w:val="2"/>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rFonts w:ascii="Times New Roman"/>
                <w:szCs w:val="21"/>
              </w:rPr>
            </w:pPr>
          </w:p>
        </w:tc>
        <w:tc>
          <w:tcPr>
            <w:tcW w:w="1665" w:type="dxa"/>
            <w:gridSpan w:val="2"/>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rFonts w:ascii="Times New Roman"/>
                <w:szCs w:val="21"/>
              </w:rPr>
            </w:pPr>
            <w:r>
              <w:rPr>
                <w:rFonts w:hint="eastAsia" w:ascii="Times New Roman"/>
                <w:szCs w:val="21"/>
              </w:rPr>
              <w:t>项目监理机构签收人姓名及时间</w:t>
            </w:r>
          </w:p>
        </w:tc>
        <w:tc>
          <w:tcPr>
            <w:tcW w:w="2074" w:type="dxa"/>
            <w:tcBorders>
              <w:top w:val="single" w:color="auto" w:sz="4" w:space="0"/>
              <w:left w:val="single" w:color="auto" w:sz="4" w:space="0"/>
              <w:bottom w:val="single" w:color="auto" w:sz="4" w:space="0"/>
              <w:right w:val="single" w:color="auto" w:sz="8" w:space="0"/>
            </w:tcBorders>
            <w:noWrap w:val="0"/>
            <w:vAlign w:val="center"/>
          </w:tcPr>
          <w:p>
            <w:pPr>
              <w:ind w:left="-105" w:leftChars="-50" w:right="-105" w:rightChars="-50"/>
              <w:jc w:val="center"/>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92" w:hRule="atLeast"/>
        </w:trPr>
        <w:tc>
          <w:tcPr>
            <w:tcW w:w="8614" w:type="dxa"/>
            <w:gridSpan w:val="7"/>
            <w:tcBorders>
              <w:top w:val="single" w:color="auto" w:sz="4" w:space="0"/>
              <w:left w:val="single" w:color="auto" w:sz="8" w:space="0"/>
              <w:bottom w:val="single" w:color="auto" w:sz="4" w:space="0"/>
              <w:right w:val="single" w:color="auto" w:sz="8" w:space="0"/>
            </w:tcBorders>
            <w:noWrap w:val="0"/>
            <w:vAlign w:val="top"/>
          </w:tcPr>
          <w:p>
            <w:pPr>
              <w:rPr>
                <w:szCs w:val="21"/>
              </w:rPr>
            </w:pPr>
            <w:r>
              <w:rPr>
                <w:rFonts w:hint="eastAsia"/>
                <w:szCs w:val="21"/>
              </w:rPr>
              <w:t>审批意见：</w:t>
            </w:r>
          </w:p>
          <w:p>
            <w:pPr>
              <w:rPr>
                <w:szCs w:val="21"/>
              </w:rPr>
            </w:pPr>
          </w:p>
          <w:p>
            <w:pPr>
              <w:rPr>
                <w:szCs w:val="21"/>
              </w:rPr>
            </w:pPr>
          </w:p>
          <w:p>
            <w:pPr>
              <w:rPr>
                <w:szCs w:val="21"/>
              </w:rPr>
            </w:pPr>
          </w:p>
          <w:p>
            <w:pPr>
              <w:rPr>
                <w:szCs w:val="21"/>
              </w:rPr>
            </w:pPr>
          </w:p>
          <w:p>
            <w:pPr>
              <w:spacing w:line="360" w:lineRule="exact"/>
              <w:rPr>
                <w:rFonts w:ascii="Times New Roman"/>
                <w:bCs/>
                <w:szCs w:val="21"/>
                <w:u w:val="single"/>
              </w:rPr>
            </w:pPr>
            <w:r>
              <w:rPr>
                <w:rFonts w:hint="eastAsia" w:ascii="Times New Roman"/>
                <w:szCs w:val="21"/>
              </w:rPr>
              <w:t xml:space="preserve">　　　　　　　　　　　            </w:t>
            </w:r>
            <w:r>
              <w:rPr>
                <w:rFonts w:hint="eastAsia" w:ascii="Times New Roman"/>
                <w:bCs/>
                <w:szCs w:val="21"/>
              </w:rPr>
              <w:t xml:space="preserve">建设单位(章): </w:t>
            </w:r>
            <w:r>
              <w:rPr>
                <w:rFonts w:hint="eastAsia" w:ascii="Times New Roman"/>
                <w:bCs/>
                <w:szCs w:val="21"/>
                <w:u w:val="single"/>
              </w:rPr>
              <w:t xml:space="preserve">                              </w:t>
            </w:r>
          </w:p>
          <w:p>
            <w:pPr>
              <w:spacing w:line="420" w:lineRule="exact"/>
              <w:rPr>
                <w:rFonts w:hint="eastAsia" w:ascii="Times New Roman"/>
                <w:szCs w:val="21"/>
              </w:rPr>
            </w:pPr>
            <w:r>
              <w:rPr>
                <w:rFonts w:hint="eastAsia" w:ascii="Times New Roman"/>
                <w:szCs w:val="21"/>
              </w:rPr>
              <w:t xml:space="preserve">                                  项目负责人(签字)：</w:t>
            </w:r>
            <w:r>
              <w:rPr>
                <w:rFonts w:hint="eastAsia" w:ascii="Times New Roman"/>
                <w:szCs w:val="21"/>
                <w:u w:val="single"/>
              </w:rPr>
              <w:t xml:space="preserve">　　　                   </w:t>
            </w:r>
          </w:p>
          <w:p>
            <w:pPr>
              <w:spacing w:line="420" w:lineRule="exact"/>
              <w:ind w:firstLine="2310" w:firstLineChars="1100"/>
              <w:rPr>
                <w:szCs w:val="21"/>
              </w:rPr>
            </w:pPr>
            <w:r>
              <w:rPr>
                <w:rFonts w:hint="eastAsia" w:ascii="Times New Roman"/>
                <w:szCs w:val="21"/>
              </w:rPr>
              <w:t xml:space="preserve">                                    </w:t>
            </w:r>
            <w:r>
              <w:rPr>
                <w:rFonts w:hint="eastAsia" w:ascii="Times New Roman"/>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6" w:hRule="atLeast"/>
        </w:trPr>
        <w:tc>
          <w:tcPr>
            <w:tcW w:w="8614" w:type="dxa"/>
            <w:gridSpan w:val="7"/>
            <w:tcBorders>
              <w:top w:val="single" w:color="auto" w:sz="4" w:space="0"/>
              <w:left w:val="single" w:color="auto" w:sz="8" w:space="0"/>
              <w:bottom w:val="single" w:color="auto" w:sz="8" w:space="0"/>
              <w:right w:val="single" w:color="auto" w:sz="8" w:space="0"/>
            </w:tcBorders>
            <w:noWrap w:val="0"/>
            <w:vAlign w:val="top"/>
          </w:tcPr>
          <w:p>
            <w:pPr>
              <w:rPr>
                <w:szCs w:val="21"/>
              </w:rPr>
            </w:pPr>
            <w:r>
              <w:rPr>
                <w:rFonts w:hint="eastAsia"/>
                <w:szCs w:val="21"/>
              </w:rPr>
              <w:t>注：</w:t>
            </w:r>
            <w:r>
              <w:rPr>
                <w:szCs w:val="21"/>
              </w:rPr>
              <w:t>1</w:t>
            </w:r>
            <w:r>
              <w:rPr>
                <w:rFonts w:hint="eastAsia"/>
                <w:szCs w:val="21"/>
              </w:rPr>
              <w:t>、施工单位未取得工程复工令不得擅自复工。</w:t>
            </w:r>
          </w:p>
          <w:p>
            <w:pPr>
              <w:ind w:firstLine="420" w:firstLineChars="200"/>
              <w:rPr>
                <w:szCs w:val="21"/>
              </w:rPr>
            </w:pPr>
            <w:r>
              <w:rPr>
                <w:szCs w:val="21"/>
              </w:rPr>
              <w:t>2</w:t>
            </w:r>
            <w:r>
              <w:rPr>
                <w:rFonts w:hint="eastAsia"/>
                <w:szCs w:val="21"/>
              </w:rPr>
              <w:t>、本表一式三份，项目监理机构、建设单位、施工单位各一份。</w:t>
            </w:r>
          </w:p>
        </w:tc>
      </w:tr>
    </w:tbl>
    <w:p>
      <w:pPr>
        <w:rPr>
          <w:rFonts w:ascii="Times New Roman" w:eastAsia="隶书"/>
        </w:rPr>
      </w:pPr>
      <w:r>
        <w:rPr>
          <w:rFonts w:hint="eastAsia" w:ascii="Times New Roman" w:eastAsia="隶书"/>
        </w:rPr>
        <w:t>第六版表                                              江苏省住房和城乡建设厅监制</w:t>
      </w:r>
    </w:p>
    <w:p>
      <w:pPr>
        <w:jc w:val="right"/>
        <w:rPr>
          <w:rFonts w:hint="eastAsia" w:eastAsia="黑体"/>
          <w:b/>
          <w:sz w:val="28"/>
          <w:szCs w:val="28"/>
          <w14:shadow w14:blurRad="50800" w14:dist="38100" w14:dir="2700000" w14:sx="100000" w14:sy="100000" w14:kx="0" w14:ky="0" w14:algn="tl">
            <w14:srgbClr w14:val="000000">
              <w14:alpha w14:val="60000"/>
            </w14:srgbClr>
          </w14:shadow>
        </w:rPr>
      </w:pPr>
      <w:r>
        <w:rPr>
          <w:b/>
          <w:szCs w:val="21"/>
        </w:rPr>
        <w:br w:type="column"/>
      </w:r>
      <w:r>
        <w:rPr>
          <w:rFonts w:eastAsia="黑体"/>
          <w:b/>
          <w:sz w:val="28"/>
          <w:szCs w:val="28"/>
          <w14:shadow w14:blurRad="50800" w14:dist="38100" w14:dir="2700000" w14:sx="100000" w14:sy="100000" w14:kx="0" w14:ky="0" w14:algn="tl">
            <w14:srgbClr w14:val="000000">
              <w14:alpha w14:val="60000"/>
            </w14:srgbClr>
          </w14:shadow>
        </w:rPr>
        <w:t>B.5.3</w:t>
      </w:r>
    </w:p>
    <w:p>
      <w:pPr>
        <w:spacing w:before="312" w:beforeLines="100" w:after="312" w:afterLines="100" w:line="300" w:lineRule="exact"/>
        <w:jc w:val="center"/>
        <w:rPr>
          <w:rFonts w:eastAsia="黑体"/>
          <w:sz w:val="44"/>
          <w14:shadow w14:blurRad="50800" w14:dist="38100" w14:dir="2700000" w14:sx="100000" w14:sy="100000" w14:kx="0" w14:ky="0" w14:algn="tl">
            <w14:srgbClr w14:val="000000">
              <w14:alpha w14:val="60000"/>
            </w14:srgbClr>
          </w14:shadow>
        </w:rPr>
      </w:pPr>
      <w:r>
        <w:rPr>
          <w:rFonts w:hint="eastAsia" w:eastAsia="黑体"/>
          <w:sz w:val="44"/>
          <w14:shadow w14:blurRad="50800" w14:dist="38100" w14:dir="2700000" w14:sx="100000" w14:sy="100000" w14:kx="0" w14:ky="0" w14:algn="tl">
            <w14:srgbClr w14:val="000000">
              <w14:alpha w14:val="60000"/>
            </w14:srgbClr>
          </w14:shadow>
        </w:rPr>
        <w:t>单位工程竣工验收报审表</w:t>
      </w:r>
    </w:p>
    <w:p>
      <w:pPr>
        <w:spacing w:after="156" w:afterLines="50" w:line="420" w:lineRule="exact"/>
        <w:ind w:left="21" w:hanging="21" w:hangingChars="10"/>
        <w:rPr>
          <w:szCs w:val="21"/>
        </w:rPr>
      </w:pPr>
      <w:r>
        <w:rPr>
          <w:rFonts w:hint="eastAsia"/>
          <w:szCs w:val="21"/>
        </w:rPr>
        <w:t>工程名称：</w:t>
      </w:r>
      <w:r>
        <w:rPr>
          <w:szCs w:val="21"/>
          <w:u w:val="single"/>
        </w:rPr>
        <w:t xml:space="preserve">                        </w:t>
      </w:r>
      <w:r>
        <w:rPr>
          <w:rFonts w:hint="eastAsia"/>
          <w:szCs w:val="21"/>
        </w:rPr>
        <w:t>　　　　　</w:t>
      </w:r>
      <w:r>
        <w:rPr>
          <w:szCs w:val="21"/>
        </w:rPr>
        <w:t xml:space="preserve">                </w:t>
      </w:r>
      <w:r>
        <w:rPr>
          <w:rFonts w:hint="eastAsia"/>
          <w:szCs w:val="21"/>
        </w:rPr>
        <w:t>编号：</w:t>
      </w:r>
      <w:r>
        <w:rPr>
          <w:szCs w:val="21"/>
        </w:rPr>
        <w:t>B.5.3</w:t>
      </w:r>
      <w:r>
        <w:rPr>
          <w:rFonts w:hint="eastAsia"/>
          <w:szCs w:val="21"/>
        </w:rPr>
        <w:t>—</w:t>
      </w:r>
      <w:r>
        <w:rPr>
          <w:rFonts w:hint="eastAsia"/>
          <w:szCs w:val="21"/>
          <w:u w:val="single"/>
        </w:rPr>
        <w:t>　　　</w:t>
      </w:r>
      <w:r>
        <w:rPr>
          <w:szCs w:val="21"/>
          <w:u w:val="single"/>
        </w:rPr>
        <w:t xml:space="preserve">  </w:t>
      </w:r>
      <w:r>
        <w:rPr>
          <w:szCs w:val="21"/>
        </w:rPr>
        <w:t xml:space="preserve"> </w:t>
      </w:r>
      <w:r>
        <w:rPr>
          <w:rFonts w:hint="eastAsia"/>
          <w:szCs w:val="21"/>
        </w:rPr>
        <w:t>　</w:t>
      </w:r>
    </w:p>
    <w:tbl>
      <w:tblPr>
        <w:tblStyle w:val="1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14"/>
        <w:gridCol w:w="2794"/>
        <w:gridCol w:w="1473"/>
        <w:gridCol w:w="27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43" w:hRule="atLeast"/>
        </w:trPr>
        <w:tc>
          <w:tcPr>
            <w:tcW w:w="8648" w:type="dxa"/>
            <w:gridSpan w:val="4"/>
            <w:tcBorders>
              <w:top w:val="single" w:color="auto" w:sz="8" w:space="0"/>
              <w:left w:val="single" w:color="auto" w:sz="8" w:space="0"/>
              <w:bottom w:val="single" w:color="auto" w:sz="4" w:space="0"/>
              <w:right w:val="single" w:color="auto" w:sz="8" w:space="0"/>
            </w:tcBorders>
            <w:noWrap w:val="0"/>
            <w:vAlign w:val="top"/>
          </w:tcPr>
          <w:p>
            <w:pPr>
              <w:spacing w:before="156" w:beforeLines="50" w:after="156" w:afterLines="50" w:line="420" w:lineRule="exact"/>
              <w:rPr>
                <w:rFonts w:ascii="Times New Roman"/>
                <w:szCs w:val="21"/>
                <w:u w:val="single"/>
              </w:rPr>
            </w:pPr>
            <w:r>
              <w:rPr>
                <w:rFonts w:hint="eastAsia" w:ascii="Times New Roman"/>
                <w:szCs w:val="21"/>
              </w:rPr>
              <w:t>致：</w:t>
            </w:r>
            <w:r>
              <w:rPr>
                <w:rFonts w:hint="eastAsia" w:ascii="Times New Roman"/>
                <w:szCs w:val="21"/>
                <w:u w:val="single"/>
              </w:rPr>
              <w:t>　　　　　    　　</w:t>
            </w:r>
            <w:r>
              <w:rPr>
                <w:rFonts w:hint="eastAsia" w:ascii="Times New Roman"/>
                <w:szCs w:val="21"/>
              </w:rPr>
              <w:t>（项目监理机构）</w:t>
            </w:r>
          </w:p>
          <w:p>
            <w:pPr>
              <w:spacing w:line="360" w:lineRule="exact"/>
              <w:ind w:firstLine="480"/>
              <w:jc w:val="left"/>
              <w:rPr>
                <w:rFonts w:hint="eastAsia" w:ascii="Times New Roman"/>
                <w:szCs w:val="21"/>
              </w:rPr>
            </w:pPr>
            <w:r>
              <w:rPr>
                <w:rFonts w:hint="eastAsia" w:ascii="Times New Roman"/>
                <w:szCs w:val="21"/>
              </w:rPr>
              <w:t xml:space="preserve">我方已按施工合同要求完成了 </w:t>
            </w:r>
            <w:r>
              <w:rPr>
                <w:rFonts w:hint="eastAsia" w:ascii="Times New Roman"/>
                <w:szCs w:val="21"/>
                <w:u w:val="single"/>
              </w:rPr>
              <w:t xml:space="preserve">                           </w:t>
            </w:r>
            <w:r>
              <w:rPr>
                <w:rFonts w:hint="eastAsia" w:ascii="Times New Roman"/>
                <w:szCs w:val="21"/>
              </w:rPr>
              <w:t>单位（子单位）工程,经自检合格,现将有关资料报上，请予以验收。</w:t>
            </w:r>
          </w:p>
          <w:p>
            <w:pPr>
              <w:spacing w:line="360" w:lineRule="exact"/>
              <w:ind w:firstLine="480"/>
              <w:rPr>
                <w:rFonts w:hint="eastAsia" w:ascii="Times New Roman"/>
                <w:szCs w:val="21"/>
              </w:rPr>
            </w:pPr>
            <w:r>
              <w:rPr>
                <w:rFonts w:hint="eastAsia" w:ascii="Times New Roman"/>
                <w:szCs w:val="21"/>
              </w:rPr>
              <w:t>附件：</w:t>
            </w:r>
          </w:p>
          <w:p>
            <w:pPr>
              <w:spacing w:line="360" w:lineRule="exact"/>
              <w:ind w:left="482"/>
              <w:rPr>
                <w:rFonts w:hint="eastAsia" w:ascii="Times New Roman"/>
                <w:szCs w:val="21"/>
              </w:rPr>
            </w:pPr>
            <w:r>
              <w:rPr>
                <w:rFonts w:hint="eastAsia" w:ascii="Times New Roman"/>
                <w:szCs w:val="21"/>
              </w:rPr>
              <w:t>□ 施工单位工程质量验收报告</w:t>
            </w:r>
          </w:p>
          <w:p>
            <w:pPr>
              <w:spacing w:line="360" w:lineRule="exact"/>
              <w:ind w:left="482"/>
              <w:rPr>
                <w:rFonts w:hint="eastAsia" w:ascii="Times New Roman"/>
                <w:szCs w:val="21"/>
              </w:rPr>
            </w:pPr>
            <w:r>
              <w:rPr>
                <w:rFonts w:hint="eastAsia" w:ascii="Times New Roman"/>
                <w:szCs w:val="21"/>
              </w:rPr>
              <w:t>□ 工程实体质量验收资料</w:t>
            </w:r>
          </w:p>
          <w:p>
            <w:pPr>
              <w:spacing w:line="360" w:lineRule="exact"/>
              <w:ind w:left="482"/>
              <w:rPr>
                <w:rFonts w:hint="eastAsia" w:ascii="Times New Roman"/>
                <w:szCs w:val="21"/>
              </w:rPr>
            </w:pPr>
            <w:r>
              <w:rPr>
                <w:rFonts w:hint="eastAsia" w:ascii="Times New Roman"/>
                <w:szCs w:val="21"/>
              </w:rPr>
              <w:t>□ 单位（子单位）工程所含分部（子分部）工程的质量验收资料、质量控制资料</w:t>
            </w:r>
          </w:p>
          <w:p>
            <w:pPr>
              <w:spacing w:line="360" w:lineRule="exact"/>
              <w:ind w:left="482"/>
              <w:rPr>
                <w:rFonts w:hint="eastAsia" w:ascii="Times New Roman"/>
                <w:szCs w:val="21"/>
              </w:rPr>
            </w:pPr>
            <w:r>
              <w:rPr>
                <w:rFonts w:hint="eastAsia" w:ascii="Times New Roman"/>
                <w:szCs w:val="21"/>
              </w:rPr>
              <w:t>□ 主要功能项目的抽查结果资料</w:t>
            </w:r>
          </w:p>
          <w:p>
            <w:pPr>
              <w:spacing w:line="360" w:lineRule="exact"/>
              <w:ind w:left="482"/>
              <w:rPr>
                <w:rFonts w:hint="eastAsia" w:ascii="Times New Roman"/>
                <w:szCs w:val="21"/>
              </w:rPr>
            </w:pPr>
            <w:r>
              <w:rPr>
                <w:rFonts w:hint="eastAsia" w:ascii="Times New Roman"/>
                <w:szCs w:val="21"/>
              </w:rPr>
              <w:t>□ 观感质量验收资料</w:t>
            </w:r>
          </w:p>
          <w:p>
            <w:pPr>
              <w:spacing w:line="360" w:lineRule="exact"/>
              <w:ind w:left="482"/>
              <w:rPr>
                <w:rFonts w:hint="eastAsia" w:ascii="Times New Roman"/>
                <w:szCs w:val="21"/>
              </w:rPr>
            </w:pPr>
            <w:r>
              <w:rPr>
                <w:rFonts w:hint="eastAsia" w:ascii="Times New Roman"/>
                <w:szCs w:val="21"/>
              </w:rPr>
              <w:t xml:space="preserve"> </w:t>
            </w:r>
          </w:p>
          <w:p>
            <w:pPr>
              <w:spacing w:line="420" w:lineRule="exact"/>
              <w:ind w:left="839"/>
              <w:rPr>
                <w:rFonts w:hint="eastAsia" w:ascii="Times New Roman"/>
                <w:szCs w:val="21"/>
              </w:rPr>
            </w:pPr>
          </w:p>
          <w:p>
            <w:pPr>
              <w:spacing w:line="420" w:lineRule="exact"/>
              <w:ind w:left="839"/>
              <w:rPr>
                <w:rFonts w:hint="eastAsia" w:ascii="Times New Roman"/>
                <w:szCs w:val="21"/>
              </w:rPr>
            </w:pPr>
          </w:p>
          <w:p>
            <w:pPr>
              <w:spacing w:line="420" w:lineRule="exact"/>
              <w:rPr>
                <w:rFonts w:hint="eastAsia" w:ascii="Times New Roman"/>
                <w:szCs w:val="21"/>
                <w:u w:val="single"/>
              </w:rPr>
            </w:pPr>
            <w:r>
              <w:rPr>
                <w:rFonts w:hint="eastAsia" w:ascii="Times New Roman"/>
                <w:szCs w:val="21"/>
              </w:rPr>
              <w:t>　　　　　　　　　　　　　           施工单位（章）：</w:t>
            </w:r>
            <w:r>
              <w:rPr>
                <w:rFonts w:hint="eastAsia" w:ascii="Times New Roman"/>
                <w:szCs w:val="21"/>
                <w:u w:val="single"/>
              </w:rPr>
              <w:t>　　　          　　　　　</w:t>
            </w:r>
          </w:p>
          <w:p>
            <w:pPr>
              <w:spacing w:line="420" w:lineRule="exact"/>
              <w:rPr>
                <w:rFonts w:hint="eastAsia" w:ascii="Times New Roman"/>
                <w:szCs w:val="21"/>
              </w:rPr>
            </w:pPr>
            <w:r>
              <w:rPr>
                <w:rFonts w:hint="eastAsia" w:ascii="Times New Roman"/>
                <w:szCs w:val="21"/>
              </w:rPr>
              <w:t xml:space="preserve">                                     项目经理（签字、执业印章）：</w:t>
            </w:r>
            <w:r>
              <w:rPr>
                <w:rFonts w:hint="eastAsia" w:ascii="Times New Roman"/>
                <w:szCs w:val="21"/>
                <w:u w:val="single"/>
              </w:rPr>
              <w:t>　　　　　　　</w:t>
            </w:r>
            <w:r>
              <w:rPr>
                <w:rFonts w:hint="eastAsia" w:ascii="Times New Roman"/>
                <w:szCs w:val="21"/>
              </w:rPr>
              <w:t xml:space="preserve">  </w:t>
            </w:r>
          </w:p>
          <w:p>
            <w:pPr>
              <w:spacing w:after="156" w:afterLines="50" w:line="420" w:lineRule="exact"/>
              <w:rPr>
                <w:rFonts w:ascii="Times New Roman"/>
                <w:szCs w:val="21"/>
                <w:u w:val="single"/>
              </w:rPr>
            </w:pPr>
            <w:r>
              <w:rPr>
                <w:rFonts w:hint="eastAsia" w:ascii="Times New Roman"/>
                <w:szCs w:val="21"/>
              </w:rPr>
              <w:t xml:space="preserve">                                                         </w:t>
            </w:r>
            <w:r>
              <w:rPr>
                <w:rFonts w:hint="eastAsia" w:ascii="Times New Roman"/>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1614" w:type="dxa"/>
            <w:tcBorders>
              <w:top w:val="single" w:color="auto" w:sz="4" w:space="0"/>
              <w:left w:val="single" w:color="auto" w:sz="8" w:space="0"/>
              <w:bottom w:val="single" w:color="auto" w:sz="4" w:space="0"/>
              <w:right w:val="single" w:color="auto" w:sz="4" w:space="0"/>
            </w:tcBorders>
            <w:noWrap w:val="0"/>
            <w:vAlign w:val="center"/>
          </w:tcPr>
          <w:p>
            <w:pPr>
              <w:spacing w:line="320" w:lineRule="exact"/>
              <w:ind w:left="-105" w:leftChars="-50" w:right="-105" w:rightChars="-50"/>
              <w:jc w:val="center"/>
              <w:rPr>
                <w:rFonts w:ascii="Times New Roman"/>
                <w:szCs w:val="21"/>
              </w:rPr>
            </w:pPr>
            <w:r>
              <w:rPr>
                <w:rFonts w:hint="eastAsia" w:ascii="Times New Roman"/>
                <w:szCs w:val="21"/>
              </w:rPr>
              <w:t>项目监理机构签收人姓名及时间</w:t>
            </w:r>
          </w:p>
        </w:tc>
        <w:tc>
          <w:tcPr>
            <w:tcW w:w="2794"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left="-105" w:leftChars="-50" w:right="-105" w:rightChars="-50"/>
              <w:jc w:val="center"/>
              <w:rPr>
                <w:rFonts w:ascii="Times New Roman"/>
                <w:szCs w:val="21"/>
              </w:rPr>
            </w:pPr>
          </w:p>
        </w:tc>
        <w:tc>
          <w:tcPr>
            <w:tcW w:w="1473"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left="-105" w:leftChars="-50" w:right="-105" w:rightChars="-50"/>
              <w:jc w:val="center"/>
              <w:rPr>
                <w:rFonts w:ascii="Times New Roman"/>
                <w:szCs w:val="21"/>
              </w:rPr>
            </w:pPr>
            <w:r>
              <w:rPr>
                <w:rFonts w:hint="eastAsia" w:ascii="Times New Roman"/>
                <w:szCs w:val="21"/>
              </w:rPr>
              <w:t>施工单位签收人姓名及时间</w:t>
            </w:r>
          </w:p>
        </w:tc>
        <w:tc>
          <w:tcPr>
            <w:tcW w:w="2767" w:type="dxa"/>
            <w:tcBorders>
              <w:top w:val="single" w:color="auto" w:sz="4" w:space="0"/>
              <w:left w:val="single" w:color="auto" w:sz="4" w:space="0"/>
              <w:bottom w:val="single" w:color="auto" w:sz="4" w:space="0"/>
              <w:right w:val="single" w:color="auto" w:sz="8" w:space="0"/>
            </w:tcBorders>
            <w:noWrap w:val="0"/>
            <w:vAlign w:val="top"/>
          </w:tcPr>
          <w:p>
            <w:pPr>
              <w:spacing w:line="320" w:lineRule="exact"/>
              <w:ind w:left="-105" w:leftChars="-50" w:right="-105" w:rightChars="-50"/>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40" w:hRule="atLeast"/>
        </w:trPr>
        <w:tc>
          <w:tcPr>
            <w:tcW w:w="8648" w:type="dxa"/>
            <w:gridSpan w:val="4"/>
            <w:tcBorders>
              <w:top w:val="single" w:color="auto" w:sz="4" w:space="0"/>
              <w:left w:val="single" w:color="auto" w:sz="8" w:space="0"/>
              <w:bottom w:val="single" w:color="auto" w:sz="4" w:space="0"/>
              <w:right w:val="single" w:color="auto" w:sz="8" w:space="0"/>
            </w:tcBorders>
            <w:noWrap w:val="0"/>
            <w:vAlign w:val="top"/>
          </w:tcPr>
          <w:p>
            <w:pPr>
              <w:spacing w:line="360" w:lineRule="exact"/>
              <w:rPr>
                <w:rFonts w:ascii="Times New Roman"/>
                <w:szCs w:val="21"/>
              </w:rPr>
            </w:pPr>
            <w:r>
              <w:rPr>
                <w:rFonts w:hint="eastAsia" w:ascii="Times New Roman"/>
                <w:szCs w:val="21"/>
              </w:rPr>
              <w:t>预验收意见：</w:t>
            </w:r>
          </w:p>
          <w:p>
            <w:pPr>
              <w:keepLines/>
              <w:ind w:firstLine="480"/>
              <w:rPr>
                <w:rFonts w:hint="eastAsia" w:ascii="Times New Roman"/>
                <w:szCs w:val="21"/>
              </w:rPr>
            </w:pPr>
          </w:p>
          <w:p>
            <w:pPr>
              <w:keepLines/>
              <w:spacing w:line="360" w:lineRule="auto"/>
              <w:ind w:left="480"/>
              <w:rPr>
                <w:rFonts w:hint="eastAsia" w:ascii="Times New Roman"/>
                <w:szCs w:val="21"/>
              </w:rPr>
            </w:pPr>
          </w:p>
          <w:p>
            <w:pPr>
              <w:keepLines/>
              <w:spacing w:line="360" w:lineRule="auto"/>
              <w:ind w:left="480"/>
              <w:rPr>
                <w:rFonts w:hint="eastAsia" w:ascii="Times New Roman"/>
                <w:szCs w:val="21"/>
              </w:rPr>
            </w:pPr>
          </w:p>
          <w:p>
            <w:pPr>
              <w:keepLines/>
              <w:spacing w:line="360" w:lineRule="auto"/>
              <w:ind w:left="480"/>
              <w:rPr>
                <w:rFonts w:hint="eastAsia" w:ascii="Times New Roman"/>
                <w:szCs w:val="21"/>
              </w:rPr>
            </w:pPr>
          </w:p>
          <w:p>
            <w:pPr>
              <w:keepLines/>
              <w:spacing w:line="420" w:lineRule="exact"/>
              <w:ind w:firstLine="480"/>
              <w:rPr>
                <w:rFonts w:hint="eastAsia" w:ascii="Times New Roman"/>
                <w:szCs w:val="21"/>
                <w:u w:val="single"/>
              </w:rPr>
            </w:pPr>
            <w:r>
              <w:rPr>
                <w:rFonts w:hint="eastAsia" w:ascii="Times New Roman"/>
                <w:szCs w:val="21"/>
              </w:rPr>
              <w:t xml:space="preserve">　　　　　　　 　               </w:t>
            </w:r>
            <w:r>
              <w:rPr>
                <w:rFonts w:ascii="Times New Roman"/>
                <w:szCs w:val="21"/>
              </w:rPr>
              <w:t> </w:t>
            </w:r>
            <w:r>
              <w:rPr>
                <w:rFonts w:hint="eastAsia" w:ascii="Times New Roman"/>
                <w:szCs w:val="21"/>
              </w:rPr>
              <w:t>项目监理机构(章)：</w:t>
            </w:r>
            <w:r>
              <w:rPr>
                <w:rFonts w:hint="eastAsia" w:ascii="Times New Roman"/>
                <w:szCs w:val="21"/>
                <w:u w:val="single"/>
              </w:rPr>
              <w:t>　　　　  　         　</w:t>
            </w:r>
          </w:p>
          <w:p>
            <w:pPr>
              <w:spacing w:line="420" w:lineRule="exact"/>
              <w:ind w:firstLine="1260" w:firstLineChars="600"/>
              <w:rPr>
                <w:rFonts w:hint="eastAsia" w:ascii="Times New Roman"/>
                <w:szCs w:val="21"/>
              </w:rPr>
            </w:pPr>
            <w:r>
              <w:rPr>
                <w:rFonts w:hint="eastAsia" w:ascii="Times New Roman"/>
                <w:szCs w:val="21"/>
              </w:rPr>
              <w:t xml:space="preserve">                         总监理工程师（签字、执业印章）：</w:t>
            </w:r>
            <w:r>
              <w:rPr>
                <w:rFonts w:hint="eastAsia" w:ascii="Times New Roman"/>
                <w:szCs w:val="21"/>
                <w:u w:val="single"/>
              </w:rPr>
              <w:t xml:space="preserve">　　      </w:t>
            </w:r>
          </w:p>
          <w:p>
            <w:pPr>
              <w:spacing w:line="420" w:lineRule="exact"/>
              <w:ind w:firstLine="1260" w:firstLineChars="600"/>
              <w:rPr>
                <w:rFonts w:ascii="Times New Roman"/>
                <w:szCs w:val="21"/>
                <w:u w:val="single"/>
              </w:rPr>
            </w:pPr>
            <w:r>
              <w:rPr>
                <w:rFonts w:hint="eastAsia" w:ascii="Times New Roman"/>
                <w:szCs w:val="21"/>
              </w:rPr>
              <w:t xml:space="preserve">                                             </w:t>
            </w:r>
            <w:r>
              <w:rPr>
                <w:rFonts w:hint="eastAsia" w:ascii="Times New Roman"/>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00" w:hRule="atLeast"/>
        </w:trPr>
        <w:tc>
          <w:tcPr>
            <w:tcW w:w="8648" w:type="dxa"/>
            <w:gridSpan w:val="4"/>
            <w:tcBorders>
              <w:top w:val="single" w:color="auto" w:sz="4" w:space="0"/>
              <w:left w:val="single" w:color="auto" w:sz="8" w:space="0"/>
              <w:bottom w:val="single" w:color="auto" w:sz="8" w:space="0"/>
              <w:right w:val="single" w:color="auto" w:sz="8" w:space="0"/>
            </w:tcBorders>
            <w:noWrap w:val="0"/>
            <w:vAlign w:val="center"/>
          </w:tcPr>
          <w:p>
            <w:pPr>
              <w:rPr>
                <w:szCs w:val="21"/>
              </w:rPr>
            </w:pPr>
            <w:r>
              <w:rPr>
                <w:rFonts w:hint="eastAsia" w:ascii="Times New Roman"/>
                <w:szCs w:val="21"/>
              </w:rPr>
              <w:t>注：</w:t>
            </w:r>
            <w:r>
              <w:rPr>
                <w:szCs w:val="21"/>
              </w:rPr>
              <w:t>1</w:t>
            </w:r>
            <w:r>
              <w:rPr>
                <w:rFonts w:hint="eastAsia"/>
                <w:szCs w:val="21"/>
              </w:rPr>
              <w:t>、项目监理机构应在收到本报审表后</w:t>
            </w:r>
            <w:r>
              <w:rPr>
                <w:szCs w:val="21"/>
              </w:rPr>
              <w:t>14</w:t>
            </w:r>
            <w:r>
              <w:rPr>
                <w:rFonts w:hint="eastAsia"/>
                <w:szCs w:val="21"/>
              </w:rPr>
              <w:t>天内签认预验收意见报建设单位组织竣工验收或要求施工单位整改后重新报审。</w:t>
            </w:r>
          </w:p>
          <w:p>
            <w:pPr>
              <w:ind w:firstLine="420" w:firstLineChars="200"/>
              <w:rPr>
                <w:rFonts w:ascii="Times New Roman"/>
                <w:szCs w:val="21"/>
              </w:rPr>
            </w:pPr>
            <w:r>
              <w:rPr>
                <w:szCs w:val="21"/>
              </w:rPr>
              <w:t>2</w:t>
            </w:r>
            <w:r>
              <w:rPr>
                <w:rFonts w:hint="eastAsia"/>
                <w:szCs w:val="21"/>
              </w:rPr>
              <w:t>、本</w:t>
            </w:r>
            <w:r>
              <w:rPr>
                <w:rFonts w:hint="eastAsia" w:ascii="Times New Roman"/>
                <w:szCs w:val="21"/>
              </w:rPr>
              <w:t>表一式三份，项目监理机构、建设单位、施工单位各一份。</w:t>
            </w:r>
          </w:p>
        </w:tc>
      </w:tr>
    </w:tbl>
    <w:p>
      <w:pPr>
        <w:jc w:val="right"/>
        <w:rPr>
          <w:rFonts w:eastAsia="黑体"/>
          <w:b/>
          <w:sz w:val="28"/>
          <w:szCs w:val="28"/>
          <w14:shadow w14:blurRad="50800" w14:dist="38100" w14:dir="2700000" w14:sx="100000" w14:sy="100000" w14:kx="0" w14:ky="0" w14:algn="tl">
            <w14:srgbClr w14:val="000000">
              <w14:alpha w14:val="60000"/>
            </w14:srgbClr>
          </w14:shadow>
        </w:rPr>
      </w:pPr>
      <w:r>
        <w:rPr>
          <w:rFonts w:hint="eastAsia" w:ascii="Times New Roman" w:eastAsia="隶书"/>
        </w:rPr>
        <w:t>第六版表                                              江苏省住房和城乡建设厅监制</w:t>
      </w:r>
      <w:r>
        <w:rPr>
          <w:b/>
          <w:szCs w:val="21"/>
        </w:rPr>
        <w:br w:type="column"/>
      </w:r>
      <w:r>
        <w:rPr>
          <w:rFonts w:eastAsia="黑体"/>
          <w:b/>
          <w:sz w:val="28"/>
          <w:szCs w:val="28"/>
          <w14:shadow w14:blurRad="50800" w14:dist="38100" w14:dir="2700000" w14:sx="100000" w14:sy="100000" w14:kx="0" w14:ky="0" w14:algn="tl">
            <w14:srgbClr w14:val="000000">
              <w14:alpha w14:val="60000"/>
            </w14:srgbClr>
          </w14:shadow>
        </w:rPr>
        <w:t>B.5.4</w:t>
      </w:r>
    </w:p>
    <w:p>
      <w:pPr>
        <w:spacing w:before="312" w:beforeLines="100" w:after="312" w:afterLines="100"/>
        <w:jc w:val="center"/>
        <w:rPr>
          <w:rFonts w:eastAsia="黑体"/>
          <w:sz w:val="44"/>
          <w14:shadow w14:blurRad="50800" w14:dist="38100" w14:dir="2700000" w14:sx="100000" w14:sy="100000" w14:kx="0" w14:ky="0" w14:algn="tl">
            <w14:srgbClr w14:val="000000">
              <w14:alpha w14:val="60000"/>
            </w14:srgbClr>
          </w14:shadow>
        </w:rPr>
      </w:pPr>
      <w:r>
        <w:rPr>
          <w:rFonts w:eastAsia="黑体"/>
          <w:sz w:val="44"/>
          <w14:shadow w14:blurRad="50800" w14:dist="38100" w14:dir="2700000" w14:sx="100000" w14:sy="100000" w14:kx="0" w14:ky="0" w14:algn="tl">
            <w14:srgbClr w14:val="000000">
              <w14:alpha w14:val="60000"/>
            </w14:srgbClr>
          </w14:shadow>
        </w:rPr>
        <w:t xml:space="preserve"> </w:t>
      </w:r>
      <w:r>
        <w:rPr>
          <w:rFonts w:hint="eastAsia" w:eastAsia="黑体"/>
          <w:sz w:val="44"/>
          <w14:shadow w14:blurRad="50800" w14:dist="38100" w14:dir="2700000" w14:sx="100000" w14:sy="100000" w14:kx="0" w14:ky="0" w14:algn="tl">
            <w14:srgbClr w14:val="000000">
              <w14:alpha w14:val="60000"/>
            </w14:srgbClr>
          </w14:shadow>
        </w:rPr>
        <w:t>施工单位通用报审表</w:t>
      </w:r>
    </w:p>
    <w:p>
      <w:pPr>
        <w:spacing w:after="156" w:afterLines="50" w:line="420" w:lineRule="exact"/>
        <w:ind w:left="21" w:hanging="21" w:hangingChars="10"/>
        <w:rPr>
          <w:szCs w:val="21"/>
        </w:rPr>
      </w:pPr>
      <w:r>
        <w:rPr>
          <w:rFonts w:hint="eastAsia"/>
          <w:szCs w:val="21"/>
        </w:rPr>
        <w:t>工程名称：</w:t>
      </w:r>
      <w:r>
        <w:rPr>
          <w:szCs w:val="21"/>
          <w:u w:val="single"/>
        </w:rPr>
        <w:t xml:space="preserve">                              </w:t>
      </w:r>
      <w:r>
        <w:rPr>
          <w:rFonts w:hint="eastAsia"/>
          <w:szCs w:val="21"/>
        </w:rPr>
        <w:t>　　　　　　</w:t>
      </w:r>
      <w:r>
        <w:rPr>
          <w:szCs w:val="21"/>
        </w:rPr>
        <w:t xml:space="preserve">    </w:t>
      </w:r>
      <w:r>
        <w:rPr>
          <w:rFonts w:hint="eastAsia"/>
          <w:szCs w:val="21"/>
        </w:rPr>
        <w:t>　</w:t>
      </w:r>
      <w:r>
        <w:rPr>
          <w:szCs w:val="21"/>
        </w:rPr>
        <w:t xml:space="preserve">   </w:t>
      </w:r>
      <w:r>
        <w:rPr>
          <w:rFonts w:hint="eastAsia"/>
          <w:szCs w:val="21"/>
        </w:rPr>
        <w:t>编号：</w:t>
      </w:r>
      <w:r>
        <w:rPr>
          <w:szCs w:val="21"/>
        </w:rPr>
        <w:t>B.5.4</w:t>
      </w:r>
      <w:r>
        <w:rPr>
          <w:rFonts w:hint="eastAsia"/>
          <w:szCs w:val="21"/>
        </w:rPr>
        <w:t>—</w:t>
      </w:r>
      <w:r>
        <w:rPr>
          <w:rFonts w:hint="eastAsia"/>
          <w:szCs w:val="21"/>
          <w:u w:val="single"/>
        </w:rPr>
        <w:t>　　　　</w:t>
      </w:r>
    </w:p>
    <w:tbl>
      <w:tblPr>
        <w:tblStyle w:val="1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8"/>
        <w:gridCol w:w="720"/>
        <w:gridCol w:w="2860"/>
        <w:gridCol w:w="1796"/>
        <w:gridCol w:w="24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828" w:type="dxa"/>
            <w:tcBorders>
              <w:top w:val="single" w:color="auto" w:sz="8" w:space="0"/>
              <w:left w:val="single" w:color="auto" w:sz="8" w:space="0"/>
              <w:bottom w:val="single" w:color="auto" w:sz="4" w:space="0"/>
              <w:right w:val="single" w:color="auto" w:sz="4" w:space="0"/>
            </w:tcBorders>
            <w:noWrap w:val="0"/>
            <w:vAlign w:val="center"/>
          </w:tcPr>
          <w:p>
            <w:pPr>
              <w:rPr>
                <w:szCs w:val="21"/>
              </w:rPr>
            </w:pPr>
            <w:r>
              <w:rPr>
                <w:rFonts w:hint="eastAsia"/>
                <w:szCs w:val="21"/>
              </w:rPr>
              <w:t>事由</w:t>
            </w:r>
          </w:p>
        </w:tc>
        <w:tc>
          <w:tcPr>
            <w:tcW w:w="7786" w:type="dxa"/>
            <w:gridSpan w:val="4"/>
            <w:tcBorders>
              <w:top w:val="single" w:color="auto" w:sz="8" w:space="0"/>
              <w:left w:val="single" w:color="auto" w:sz="4" w:space="0"/>
              <w:bottom w:val="single" w:color="auto" w:sz="4" w:space="0"/>
              <w:right w:val="single" w:color="auto" w:sz="8" w:space="0"/>
            </w:tcBorders>
            <w:noWrap w:val="0"/>
            <w:vAlign w:val="center"/>
          </w:tcPr>
          <w:p>
            <w:pPr>
              <w:rPr>
                <w:szCs w:val="21"/>
              </w:rPr>
            </w:pPr>
          </w:p>
          <w:p>
            <w:pP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2" w:hRule="atLeast"/>
        </w:trPr>
        <w:tc>
          <w:tcPr>
            <w:tcW w:w="8614" w:type="dxa"/>
            <w:gridSpan w:val="5"/>
            <w:tcBorders>
              <w:top w:val="single" w:color="auto" w:sz="4" w:space="0"/>
              <w:left w:val="single" w:color="auto" w:sz="8" w:space="0"/>
              <w:bottom w:val="single" w:color="auto" w:sz="4" w:space="0"/>
              <w:right w:val="single" w:color="auto" w:sz="8" w:space="0"/>
            </w:tcBorders>
            <w:noWrap w:val="0"/>
            <w:vAlign w:val="top"/>
          </w:tcPr>
          <w:p>
            <w:pPr>
              <w:spacing w:before="240"/>
              <w:rPr>
                <w:rFonts w:ascii="Times New Roman"/>
                <w:szCs w:val="21"/>
                <w:u w:val="single"/>
              </w:rPr>
            </w:pPr>
            <w:r>
              <w:rPr>
                <w:rFonts w:hint="eastAsia" w:ascii="Times New Roman"/>
                <w:szCs w:val="21"/>
              </w:rPr>
              <w:t>致：</w:t>
            </w:r>
            <w:r>
              <w:rPr>
                <w:rFonts w:hint="eastAsia" w:ascii="Times New Roman"/>
                <w:szCs w:val="21"/>
                <w:u w:val="single"/>
              </w:rPr>
              <w:t>　　　　    　  　　</w:t>
            </w:r>
            <w:r>
              <w:rPr>
                <w:rFonts w:hint="eastAsia" w:ascii="Times New Roman"/>
                <w:szCs w:val="21"/>
              </w:rPr>
              <w:t>（项目监理机构）</w:t>
            </w:r>
          </w:p>
          <w:p>
            <w:pPr>
              <w:spacing w:before="120"/>
              <w:rPr>
                <w:rFonts w:hint="eastAsia"/>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（附件共</w:t>
            </w:r>
            <w:r>
              <w:rPr>
                <w:rFonts w:hint="eastAsia"/>
                <w:szCs w:val="21"/>
                <w:u w:val="single"/>
              </w:rPr>
              <w:t>　　　　</w:t>
            </w:r>
            <w:r>
              <w:rPr>
                <w:rFonts w:hint="eastAsia"/>
                <w:szCs w:val="21"/>
              </w:rPr>
              <w:t>页）</w:t>
            </w:r>
          </w:p>
          <w:p>
            <w:pPr>
              <w:rPr>
                <w:szCs w:val="21"/>
              </w:rPr>
            </w:pPr>
          </w:p>
          <w:p>
            <w:pPr>
              <w:tabs>
                <w:tab w:val="left" w:pos="7980"/>
              </w:tabs>
              <w:ind w:firstLine="5040" w:firstLineChars="2400"/>
              <w:jc w:val="left"/>
              <w:rPr>
                <w:szCs w:val="21"/>
                <w:u w:val="single"/>
              </w:rPr>
            </w:pPr>
            <w:r>
              <w:rPr>
                <w:rFonts w:hint="eastAsia"/>
                <w:szCs w:val="21"/>
              </w:rPr>
              <w:t>施工项目经理部（章）：</w:t>
            </w:r>
            <w:r>
              <w:rPr>
                <w:rFonts w:hint="eastAsia"/>
                <w:szCs w:val="21"/>
                <w:u w:val="single"/>
              </w:rPr>
              <w:t>　</w:t>
            </w:r>
            <w:r>
              <w:rPr>
                <w:szCs w:val="21"/>
                <w:u w:val="single"/>
              </w:rPr>
              <w:t xml:space="preserve"> </w:t>
            </w:r>
            <w:r>
              <w:rPr>
                <w:rFonts w:hint="eastAsia"/>
                <w:szCs w:val="21"/>
                <w:u w:val="single"/>
              </w:rPr>
              <w:t>　</w:t>
            </w:r>
            <w:r>
              <w:rPr>
                <w:szCs w:val="21"/>
                <w:u w:val="single"/>
              </w:rPr>
              <w:t xml:space="preserve">    </w:t>
            </w:r>
            <w:r>
              <w:rPr>
                <w:rFonts w:hint="eastAsia"/>
                <w:szCs w:val="21"/>
                <w:u w:val="single"/>
              </w:rPr>
              <w:t>　</w:t>
            </w:r>
          </w:p>
          <w:p>
            <w:pPr>
              <w:tabs>
                <w:tab w:val="left" w:pos="7980"/>
              </w:tabs>
              <w:spacing w:before="120"/>
              <w:jc w:val="left"/>
              <w:rPr>
                <w:szCs w:val="21"/>
              </w:rPr>
            </w:pPr>
            <w:r>
              <w:rPr>
                <w:rFonts w:hint="eastAsia"/>
                <w:szCs w:val="21"/>
              </w:rPr>
              <w:t>　　　　　　　　　　</w:t>
            </w:r>
            <w:r>
              <w:rPr>
                <w:szCs w:val="21"/>
              </w:rPr>
              <w:t xml:space="preserve">                            </w:t>
            </w:r>
            <w:r>
              <w:rPr>
                <w:rFonts w:hint="eastAsia"/>
                <w:szCs w:val="21"/>
              </w:rPr>
              <w:t>项目经理（签字）：</w:t>
            </w:r>
            <w:r>
              <w:rPr>
                <w:rFonts w:hint="eastAsia"/>
                <w:szCs w:val="21"/>
                <w:u w:val="single"/>
              </w:rPr>
              <w:t>　　　</w:t>
            </w:r>
            <w:r>
              <w:rPr>
                <w:szCs w:val="21"/>
                <w:u w:val="single"/>
              </w:rPr>
              <w:t xml:space="preserve">    </w:t>
            </w:r>
            <w:r>
              <w:rPr>
                <w:rFonts w:hint="eastAsia"/>
                <w:szCs w:val="21"/>
                <w:u w:val="single"/>
              </w:rPr>
              <w:t>　</w:t>
            </w:r>
            <w:r>
              <w:rPr>
                <w:szCs w:val="21"/>
                <w:u w:val="single"/>
              </w:rPr>
              <w:t xml:space="preserve">  </w:t>
            </w:r>
          </w:p>
          <w:p>
            <w:pPr>
              <w:spacing w:before="120"/>
              <w:rPr>
                <w:szCs w:val="21"/>
                <w:u w:val="single"/>
              </w:rPr>
            </w:pPr>
            <w:r>
              <w:rPr>
                <w:szCs w:val="21"/>
              </w:rPr>
              <w:t xml:space="preserve">                                                          </w:t>
            </w:r>
            <w:r>
              <w:rPr>
                <w:rFonts w:hint="eastAsia" w:ascii="Times New Roman"/>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548" w:type="dxa"/>
            <w:gridSpan w:val="2"/>
            <w:tcBorders>
              <w:top w:val="single" w:color="auto" w:sz="4" w:space="0"/>
              <w:left w:val="single" w:color="auto" w:sz="8" w:space="0"/>
              <w:bottom w:val="single" w:color="auto" w:sz="4" w:space="0"/>
              <w:right w:val="single" w:color="auto" w:sz="4" w:space="0"/>
            </w:tcBorders>
            <w:noWrap w:val="0"/>
            <w:vAlign w:val="center"/>
          </w:tcPr>
          <w:p>
            <w:pPr>
              <w:pStyle w:val="9"/>
              <w:tabs>
                <w:tab w:val="left" w:pos="420"/>
              </w:tabs>
              <w:ind w:left="-105" w:leftChars="-50" w:right="-105" w:rightChars="-50"/>
              <w:rPr>
                <w:rFonts w:ascii="Times New Roman"/>
                <w:sz w:val="21"/>
                <w:szCs w:val="21"/>
                <w:lang w:val="en-US" w:eastAsia="zh-CN"/>
              </w:rPr>
            </w:pPr>
            <w:r>
              <w:rPr>
                <w:rFonts w:hint="eastAsia" w:ascii="Times New Roman"/>
                <w:sz w:val="21"/>
                <w:szCs w:val="21"/>
                <w:lang w:val="en-US" w:eastAsia="zh-CN"/>
              </w:rPr>
              <w:t>项目监理机构签收人姓名及时间</w:t>
            </w:r>
          </w:p>
        </w:tc>
        <w:tc>
          <w:tcPr>
            <w:tcW w:w="2860" w:type="dxa"/>
            <w:tcBorders>
              <w:top w:val="single" w:color="auto" w:sz="4" w:space="0"/>
              <w:left w:val="single" w:color="auto" w:sz="4" w:space="0"/>
              <w:bottom w:val="single" w:color="auto" w:sz="4" w:space="0"/>
              <w:right w:val="single" w:color="auto" w:sz="4" w:space="0"/>
            </w:tcBorders>
            <w:noWrap w:val="0"/>
            <w:vAlign w:val="top"/>
          </w:tcPr>
          <w:p>
            <w:pPr>
              <w:ind w:left="-105" w:leftChars="-50" w:right="-105" w:rightChars="-50"/>
              <w:rPr>
                <w:rFonts w:ascii="Times New Roman"/>
                <w:szCs w:val="21"/>
              </w:rPr>
            </w:pPr>
          </w:p>
        </w:tc>
        <w:tc>
          <w:tcPr>
            <w:tcW w:w="1796" w:type="dxa"/>
            <w:tcBorders>
              <w:top w:val="single" w:color="auto" w:sz="4" w:space="0"/>
              <w:left w:val="single" w:color="auto" w:sz="4" w:space="0"/>
              <w:bottom w:val="single" w:color="auto" w:sz="4" w:space="0"/>
              <w:right w:val="single" w:color="auto" w:sz="4" w:space="0"/>
            </w:tcBorders>
            <w:noWrap w:val="0"/>
            <w:vAlign w:val="center"/>
          </w:tcPr>
          <w:p>
            <w:pPr>
              <w:pStyle w:val="9"/>
              <w:tabs>
                <w:tab w:val="left" w:pos="420"/>
              </w:tabs>
              <w:ind w:left="-105" w:leftChars="-50" w:right="-105" w:rightChars="-50"/>
              <w:rPr>
                <w:rFonts w:ascii="Times New Roman"/>
                <w:sz w:val="21"/>
                <w:szCs w:val="21"/>
                <w:lang w:val="en-US" w:eastAsia="zh-CN"/>
              </w:rPr>
            </w:pPr>
            <w:r>
              <w:rPr>
                <w:rFonts w:hint="eastAsia" w:ascii="Times New Roman"/>
                <w:sz w:val="21"/>
                <w:szCs w:val="21"/>
                <w:lang w:val="en-US" w:eastAsia="zh-CN"/>
              </w:rPr>
              <w:t>施工项目经理部签收人姓名及时间</w:t>
            </w:r>
          </w:p>
        </w:tc>
        <w:tc>
          <w:tcPr>
            <w:tcW w:w="2410" w:type="dxa"/>
            <w:tcBorders>
              <w:top w:val="single" w:color="auto" w:sz="4" w:space="0"/>
              <w:left w:val="single" w:color="auto" w:sz="4" w:space="0"/>
              <w:bottom w:val="single" w:color="auto" w:sz="4" w:space="0"/>
              <w:right w:val="single" w:color="auto" w:sz="8" w:space="0"/>
            </w:tcBorders>
            <w:noWrap w:val="0"/>
            <w:vAlign w:val="top"/>
          </w:tcPr>
          <w:p>
            <w:pPr>
              <w:ind w:left="-105" w:leftChars="-50" w:right="-105" w:rightChars="-50"/>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37" w:hRule="atLeast"/>
        </w:trPr>
        <w:tc>
          <w:tcPr>
            <w:tcW w:w="8614" w:type="dxa"/>
            <w:gridSpan w:val="5"/>
            <w:tcBorders>
              <w:top w:val="single" w:color="auto" w:sz="4" w:space="0"/>
              <w:left w:val="single" w:color="auto" w:sz="8" w:space="0"/>
              <w:bottom w:val="single" w:color="auto" w:sz="4" w:space="0"/>
              <w:right w:val="single" w:color="auto" w:sz="8" w:space="0"/>
            </w:tcBorders>
            <w:noWrap w:val="0"/>
            <w:vAlign w:val="top"/>
          </w:tcPr>
          <w:p>
            <w:pPr>
              <w:rPr>
                <w:szCs w:val="21"/>
              </w:rPr>
            </w:pPr>
            <w:r>
              <w:rPr>
                <w:rFonts w:hint="eastAsia"/>
                <w:szCs w:val="21"/>
              </w:rPr>
              <w:t>审查意见：</w:t>
            </w:r>
          </w:p>
          <w:p>
            <w:pPr>
              <w:rPr>
                <w:szCs w:val="21"/>
              </w:rPr>
            </w:pPr>
          </w:p>
          <w:p>
            <w:pPr>
              <w:rPr>
                <w:szCs w:val="21"/>
              </w:rPr>
            </w:pPr>
          </w:p>
          <w:p>
            <w:pPr>
              <w:tabs>
                <w:tab w:val="left" w:pos="1770"/>
              </w:tabs>
              <w:rPr>
                <w:bCs/>
                <w:szCs w:val="21"/>
                <w:u w:val="single"/>
              </w:rPr>
            </w:pPr>
            <w:r>
              <w:rPr>
                <w:szCs w:val="21"/>
              </w:rPr>
              <w:tab/>
            </w:r>
            <w:r>
              <w:rPr>
                <w:rFonts w:hint="eastAsia"/>
                <w:szCs w:val="21"/>
              </w:rPr>
              <w:t>　　　　　　　　　　</w:t>
            </w:r>
            <w:r>
              <w:rPr>
                <w:szCs w:val="21"/>
              </w:rPr>
              <w:t xml:space="preserve">                </w:t>
            </w:r>
          </w:p>
          <w:p>
            <w:pPr>
              <w:spacing w:line="420" w:lineRule="exact"/>
              <w:ind w:firstLine="4935" w:firstLineChars="2350"/>
              <w:rPr>
                <w:szCs w:val="21"/>
                <w:u w:val="single"/>
              </w:rPr>
            </w:pPr>
            <w:r>
              <w:rPr>
                <w:rFonts w:hint="eastAsia"/>
                <w:szCs w:val="21"/>
              </w:rPr>
              <w:t>专业监理工程师（签字）：</w:t>
            </w:r>
            <w:r>
              <w:rPr>
                <w:szCs w:val="21"/>
                <w:u w:val="single"/>
              </w:rPr>
              <w:t xml:space="preserve">          </w:t>
            </w:r>
          </w:p>
          <w:p>
            <w:pPr>
              <w:spacing w:line="420" w:lineRule="exact"/>
              <w:jc w:val="right"/>
              <w:rPr>
                <w:rFonts w:ascii="Times New Roman"/>
                <w:szCs w:val="21"/>
              </w:rPr>
            </w:pPr>
            <w:r>
              <w:rPr>
                <w:szCs w:val="21"/>
              </w:rPr>
              <w:t xml:space="preserve">                              </w:t>
            </w:r>
            <w:r>
              <w:rPr>
                <w:rFonts w:hint="eastAsia" w:ascii="Times New Roman"/>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83" w:hRule="atLeast"/>
        </w:trPr>
        <w:tc>
          <w:tcPr>
            <w:tcW w:w="8614" w:type="dxa"/>
            <w:gridSpan w:val="5"/>
            <w:tcBorders>
              <w:top w:val="single" w:color="auto" w:sz="4" w:space="0"/>
              <w:left w:val="single" w:color="auto" w:sz="8" w:space="0"/>
              <w:bottom w:val="single" w:color="auto" w:sz="4" w:space="0"/>
              <w:right w:val="single" w:color="auto" w:sz="8" w:space="0"/>
            </w:tcBorders>
            <w:noWrap w:val="0"/>
            <w:vAlign w:val="top"/>
          </w:tcPr>
          <w:p>
            <w:pPr>
              <w:spacing w:line="420" w:lineRule="exact"/>
              <w:ind w:right="45"/>
              <w:jc w:val="left"/>
              <w:rPr>
                <w:rFonts w:ascii="Times New Roman"/>
                <w:szCs w:val="21"/>
              </w:rPr>
            </w:pPr>
            <w:r>
              <w:rPr>
                <w:rFonts w:hint="eastAsia" w:ascii="Times New Roman"/>
                <w:szCs w:val="21"/>
              </w:rPr>
              <w:t>审核意见：</w:t>
            </w:r>
          </w:p>
          <w:p>
            <w:pPr>
              <w:tabs>
                <w:tab w:val="left" w:pos="2100"/>
              </w:tabs>
              <w:spacing w:line="420" w:lineRule="exact"/>
              <w:ind w:right="45"/>
              <w:jc w:val="left"/>
              <w:rPr>
                <w:rFonts w:hint="eastAsia" w:ascii="Times New Roman"/>
                <w:szCs w:val="21"/>
              </w:rPr>
            </w:pPr>
            <w:r>
              <w:rPr>
                <w:rFonts w:hint="eastAsia" w:ascii="Times New Roman"/>
                <w:szCs w:val="21"/>
              </w:rPr>
              <w:tab/>
            </w:r>
          </w:p>
          <w:p>
            <w:pPr>
              <w:spacing w:line="420" w:lineRule="exact"/>
              <w:ind w:firstLine="3360" w:firstLineChars="1600"/>
              <w:rPr>
                <w:rFonts w:hint="eastAsia"/>
                <w:bCs/>
                <w:szCs w:val="21"/>
                <w:u w:val="single"/>
              </w:rPr>
            </w:pPr>
            <w:r>
              <w:rPr>
                <w:rFonts w:hint="eastAsia"/>
                <w:bCs/>
                <w:szCs w:val="21"/>
              </w:rPr>
              <w:t>项目监理机构</w:t>
            </w:r>
            <w:r>
              <w:rPr>
                <w:bCs/>
                <w:szCs w:val="21"/>
              </w:rPr>
              <w:t>(</w:t>
            </w:r>
            <w:r>
              <w:rPr>
                <w:rFonts w:hint="eastAsia"/>
                <w:bCs/>
                <w:szCs w:val="21"/>
              </w:rPr>
              <w:t>章</w:t>
            </w:r>
            <w:r>
              <w:rPr>
                <w:bCs/>
                <w:szCs w:val="21"/>
              </w:rPr>
              <w:t xml:space="preserve">): </w:t>
            </w:r>
            <w:r>
              <w:rPr>
                <w:bCs/>
                <w:szCs w:val="21"/>
                <w:u w:val="single"/>
              </w:rPr>
              <w:t xml:space="preserve">                               </w:t>
            </w:r>
          </w:p>
          <w:p>
            <w:pPr>
              <w:spacing w:line="420" w:lineRule="exact"/>
              <w:jc w:val="center"/>
              <w:rPr>
                <w:szCs w:val="21"/>
              </w:rPr>
            </w:pPr>
            <w:r>
              <w:rPr>
                <w:szCs w:val="21"/>
              </w:rPr>
              <w:t xml:space="preserve">                     </w:t>
            </w:r>
            <w:r>
              <w:rPr>
                <w:rFonts w:hint="eastAsia"/>
                <w:szCs w:val="21"/>
              </w:rPr>
              <w:t>总监理工程师</w:t>
            </w:r>
            <w:r>
              <w:rPr>
                <w:szCs w:val="21"/>
              </w:rPr>
              <w:t>/</w:t>
            </w:r>
            <w:r>
              <w:rPr>
                <w:rFonts w:hint="eastAsia"/>
                <w:szCs w:val="21"/>
              </w:rPr>
              <w:t>总监理工程代表（签字）：</w:t>
            </w:r>
            <w:r>
              <w:rPr>
                <w:rFonts w:hint="eastAsia"/>
                <w:szCs w:val="21"/>
                <w:u w:val="single"/>
              </w:rPr>
              <w:t>　　</w:t>
            </w:r>
            <w:r>
              <w:rPr>
                <w:szCs w:val="21"/>
                <w:u w:val="single"/>
              </w:rPr>
              <w:t xml:space="preserve">       </w:t>
            </w:r>
          </w:p>
          <w:p>
            <w:pPr>
              <w:spacing w:line="420" w:lineRule="exact"/>
              <w:ind w:right="45"/>
              <w:jc w:val="right"/>
              <w:rPr>
                <w:rFonts w:ascii="Times New Roman"/>
                <w:szCs w:val="21"/>
              </w:rPr>
            </w:pPr>
            <w:r>
              <w:rPr>
                <w:rFonts w:hint="eastAsia" w:ascii="Times New Roman"/>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614" w:type="dxa"/>
            <w:gridSpan w:val="5"/>
            <w:tcBorders>
              <w:top w:val="single" w:color="auto" w:sz="4" w:space="0"/>
              <w:left w:val="single" w:color="auto" w:sz="8" w:space="0"/>
              <w:bottom w:val="single" w:color="auto" w:sz="8" w:space="0"/>
              <w:right w:val="single" w:color="auto" w:sz="8" w:space="0"/>
            </w:tcBorders>
            <w:noWrap w:val="0"/>
            <w:vAlign w:val="center"/>
          </w:tcPr>
          <w:p>
            <w:pPr>
              <w:rPr>
                <w:szCs w:val="21"/>
              </w:rPr>
            </w:pPr>
            <w:r>
              <w:rPr>
                <w:rFonts w:hint="eastAsia"/>
                <w:szCs w:val="21"/>
              </w:rPr>
              <w:t>注：</w:t>
            </w:r>
            <w:r>
              <w:rPr>
                <w:szCs w:val="21"/>
              </w:rPr>
              <w:t>1</w:t>
            </w:r>
            <w:r>
              <w:rPr>
                <w:rFonts w:hint="eastAsia"/>
                <w:szCs w:val="21"/>
              </w:rPr>
              <w:t>、本表用于施工单位就</w:t>
            </w:r>
            <w:r>
              <w:rPr>
                <w:szCs w:val="21"/>
              </w:rPr>
              <w:t xml:space="preserve">B </w:t>
            </w:r>
            <w:r>
              <w:rPr>
                <w:rFonts w:hint="eastAsia"/>
                <w:szCs w:val="21"/>
              </w:rPr>
              <w:t>类表中其它用表所未能包括的事项向监理申报。</w:t>
            </w:r>
          </w:p>
          <w:p>
            <w:pPr>
              <w:rPr>
                <w:szCs w:val="21"/>
              </w:rPr>
            </w:pPr>
            <w:r>
              <w:rPr>
                <w:szCs w:val="21"/>
              </w:rPr>
              <w:t xml:space="preserve">    2</w:t>
            </w:r>
            <w:r>
              <w:rPr>
                <w:rFonts w:hint="eastAsia"/>
                <w:szCs w:val="21"/>
              </w:rPr>
              <w:t>、本</w:t>
            </w:r>
            <w:r>
              <w:rPr>
                <w:rFonts w:hint="eastAsia" w:ascii="Times New Roman"/>
                <w:szCs w:val="21"/>
              </w:rPr>
              <w:t>表一式二份，项目监理机构、施工单位各一份。</w:t>
            </w:r>
          </w:p>
        </w:tc>
      </w:tr>
    </w:tbl>
    <w:p>
      <w:pPr>
        <w:jc w:val="right"/>
        <w:rPr>
          <w:rFonts w:ascii="Times New Roman" w:eastAsia="隶书"/>
        </w:rPr>
      </w:pPr>
      <w:r>
        <w:rPr>
          <w:rFonts w:hint="eastAsia" w:ascii="Times New Roman" w:eastAsia="隶书"/>
        </w:rPr>
        <w:t>第六版表                                              江苏省住房和城乡建设厅监制</w:t>
      </w:r>
    </w:p>
    <w:p>
      <w:pPr>
        <w:widowControl/>
        <w:jc w:val="left"/>
        <w:rPr>
          <w:rFonts w:ascii="Times New Roman" w:eastAsia="黑体"/>
          <w:bCs/>
          <w:kern w:val="44"/>
          <w:sz w:val="28"/>
          <w:szCs w:val="28"/>
          <w14:shadow w14:blurRad="50800" w14:dist="38100" w14:dir="2700000" w14:sx="100000" w14:sy="100000" w14:kx="0" w14:ky="0" w14:algn="tl">
            <w14:srgbClr w14:val="000000">
              <w14:alpha w14:val="60000"/>
            </w14:srgbClr>
          </w14:shadow>
        </w:rPr>
        <w:sectPr>
          <w:pgSz w:w="11906" w:h="16838"/>
          <w:pgMar w:top="1021" w:right="1701" w:bottom="1701" w:left="1701" w:header="851" w:footer="992" w:gutter="0"/>
          <w:cols w:space="720" w:num="1"/>
          <w:docGrid w:type="lines" w:linePitch="312" w:charSpace="0"/>
        </w:sectPr>
      </w:pPr>
    </w:p>
    <w:p>
      <w:pPr>
        <w:spacing w:line="380" w:lineRule="exact"/>
        <w:jc w:val="right"/>
        <w:rPr>
          <w:rFonts w:hint="eastAsia" w:eastAsia="黑体"/>
          <w:b/>
          <w:sz w:val="28"/>
          <w:szCs w:val="28"/>
          <w14:shadow w14:blurRad="50800" w14:dist="38100" w14:dir="2700000" w14:sx="100000" w14:sy="100000" w14:kx="0" w14:ky="0" w14:algn="tl">
            <w14:srgbClr w14:val="000000">
              <w14:alpha w14:val="60000"/>
            </w14:srgbClr>
          </w14:shadow>
        </w:rPr>
      </w:pPr>
      <w:r>
        <w:rPr>
          <w:rFonts w:eastAsia="黑体"/>
          <w:b/>
          <w:sz w:val="28"/>
          <w:szCs w:val="28"/>
          <w14:shadow w14:blurRad="50800" w14:dist="38100" w14:dir="2700000" w14:sx="100000" w14:sy="100000" w14:kx="0" w14:ky="0" w14:algn="tl">
            <w14:srgbClr w14:val="000000">
              <w14:alpha w14:val="60000"/>
            </w14:srgbClr>
          </w14:shadow>
        </w:rPr>
        <w:t>B.5.5</w:t>
      </w:r>
    </w:p>
    <w:p>
      <w:pPr>
        <w:spacing w:before="312" w:beforeLines="100" w:after="312" w:afterLines="100" w:line="300" w:lineRule="exact"/>
        <w:jc w:val="center"/>
        <w:rPr>
          <w:rFonts w:eastAsia="黑体"/>
          <w:sz w:val="44"/>
          <w14:shadow w14:blurRad="50800" w14:dist="38100" w14:dir="2700000" w14:sx="100000" w14:sy="100000" w14:kx="0" w14:ky="0" w14:algn="tl">
            <w14:srgbClr w14:val="000000">
              <w14:alpha w14:val="60000"/>
            </w14:srgbClr>
          </w14:shadow>
        </w:rPr>
      </w:pPr>
      <w:r>
        <w:rPr>
          <w:rFonts w:hint="eastAsia" w:eastAsia="黑体"/>
          <w:sz w:val="44"/>
          <w14:shadow w14:blurRad="50800" w14:dist="38100" w14:dir="2700000" w14:sx="100000" w14:sy="100000" w14:kx="0" w14:ky="0" w14:algn="tl">
            <w14:srgbClr w14:val="000000">
              <w14:alpha w14:val="60000"/>
            </w14:srgbClr>
          </w14:shadow>
        </w:rPr>
        <w:t>工程变更申请表</w:t>
      </w:r>
    </w:p>
    <w:p>
      <w:pPr>
        <w:spacing w:after="156" w:afterLines="50" w:line="420" w:lineRule="exact"/>
        <w:ind w:left="21" w:hanging="21" w:hangingChars="10"/>
        <w:rPr>
          <w:szCs w:val="21"/>
        </w:rPr>
      </w:pPr>
      <w:r>
        <w:rPr>
          <w:rFonts w:hint="eastAsia"/>
          <w:szCs w:val="21"/>
        </w:rPr>
        <w:t>工程名称：</w:t>
      </w:r>
      <w:r>
        <w:rPr>
          <w:szCs w:val="21"/>
          <w:u w:val="single"/>
        </w:rPr>
        <w:t xml:space="preserve">                              </w:t>
      </w:r>
      <w:r>
        <w:rPr>
          <w:rFonts w:hint="eastAsia"/>
          <w:szCs w:val="21"/>
        </w:rPr>
        <w:t>　</w:t>
      </w:r>
      <w:r>
        <w:rPr>
          <w:szCs w:val="21"/>
        </w:rPr>
        <w:t xml:space="preserve">   </w:t>
      </w:r>
      <w:r>
        <w:rPr>
          <w:rFonts w:hint="eastAsia"/>
          <w:szCs w:val="21"/>
        </w:rPr>
        <w:t>　</w:t>
      </w:r>
      <w:r>
        <w:rPr>
          <w:szCs w:val="21"/>
        </w:rPr>
        <w:t xml:space="preserve"> </w:t>
      </w:r>
      <w:r>
        <w:rPr>
          <w:rFonts w:hint="eastAsia"/>
          <w:szCs w:val="21"/>
        </w:rPr>
        <w:t>　　</w:t>
      </w:r>
      <w:r>
        <w:rPr>
          <w:szCs w:val="21"/>
        </w:rPr>
        <w:t xml:space="preserve">         </w:t>
      </w:r>
      <w:r>
        <w:rPr>
          <w:rFonts w:hint="eastAsia"/>
          <w:szCs w:val="21"/>
        </w:rPr>
        <w:t>编号：</w:t>
      </w:r>
      <w:r>
        <w:rPr>
          <w:szCs w:val="21"/>
        </w:rPr>
        <w:t>B.5.5</w:t>
      </w:r>
      <w:r>
        <w:rPr>
          <w:rFonts w:hint="eastAsia"/>
          <w:szCs w:val="21"/>
        </w:rPr>
        <w:t>－</w:t>
      </w:r>
      <w:r>
        <w:rPr>
          <w:rFonts w:hint="eastAsia"/>
          <w:szCs w:val="21"/>
          <w:u w:val="single"/>
        </w:rPr>
        <w:t>　　　　</w:t>
      </w:r>
    </w:p>
    <w:tbl>
      <w:tblPr>
        <w:tblStyle w:val="1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8"/>
        <w:gridCol w:w="4500"/>
        <w:gridCol w:w="1260"/>
        <w:gridCol w:w="20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828" w:type="dxa"/>
            <w:tcBorders>
              <w:top w:val="single" w:color="auto" w:sz="8" w:space="0"/>
              <w:left w:val="single" w:color="auto" w:sz="8" w:space="0"/>
              <w:bottom w:val="single" w:color="auto" w:sz="4" w:space="0"/>
              <w:right w:val="single" w:color="auto" w:sz="4" w:space="0"/>
            </w:tcBorders>
            <w:noWrap w:val="0"/>
            <w:vAlign w:val="center"/>
          </w:tcPr>
          <w:p>
            <w:pPr>
              <w:rPr>
                <w:szCs w:val="21"/>
              </w:rPr>
            </w:pPr>
            <w:r>
              <w:rPr>
                <w:rFonts w:hint="eastAsia"/>
                <w:szCs w:val="21"/>
              </w:rPr>
              <w:t>事由</w:t>
            </w:r>
          </w:p>
        </w:tc>
        <w:tc>
          <w:tcPr>
            <w:tcW w:w="4500" w:type="dxa"/>
            <w:tcBorders>
              <w:top w:val="single" w:color="auto" w:sz="8" w:space="0"/>
              <w:left w:val="single" w:color="auto" w:sz="4" w:space="0"/>
              <w:bottom w:val="single" w:color="auto" w:sz="4" w:space="0"/>
              <w:right w:val="single" w:color="auto" w:sz="4" w:space="0"/>
            </w:tcBorders>
            <w:noWrap w:val="0"/>
            <w:vAlign w:val="center"/>
          </w:tcPr>
          <w:p>
            <w:pPr>
              <w:rPr>
                <w:szCs w:val="21"/>
              </w:rPr>
            </w:pPr>
          </w:p>
        </w:tc>
        <w:tc>
          <w:tcPr>
            <w:tcW w:w="1260" w:type="dxa"/>
            <w:tcBorders>
              <w:top w:val="single" w:color="auto" w:sz="8" w:space="0"/>
              <w:left w:val="single" w:color="auto" w:sz="4" w:space="0"/>
              <w:bottom w:val="single" w:color="auto" w:sz="4" w:space="0"/>
              <w:right w:val="single" w:color="auto" w:sz="4" w:space="0"/>
            </w:tcBorders>
            <w:noWrap w:val="0"/>
            <w:vAlign w:val="center"/>
          </w:tcPr>
          <w:p>
            <w:pPr>
              <w:jc w:val="center"/>
              <w:rPr>
                <w:szCs w:val="21"/>
              </w:rPr>
            </w:pPr>
            <w:r>
              <w:rPr>
                <w:rFonts w:hint="eastAsia"/>
                <w:szCs w:val="21"/>
              </w:rPr>
              <w:t>签收人姓名及时间</w:t>
            </w:r>
          </w:p>
        </w:tc>
        <w:tc>
          <w:tcPr>
            <w:tcW w:w="2056" w:type="dxa"/>
            <w:tcBorders>
              <w:top w:val="single" w:color="auto" w:sz="8" w:space="0"/>
              <w:left w:val="single" w:color="auto" w:sz="4" w:space="0"/>
              <w:bottom w:val="single" w:color="auto" w:sz="4" w:space="0"/>
              <w:right w:val="single" w:color="auto" w:sz="8" w:space="0"/>
            </w:tcBorders>
            <w:noWrap w:val="0"/>
            <w:vAlign w:val="center"/>
          </w:tcPr>
          <w:p>
            <w:pP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128" w:hRule="atLeast"/>
        </w:trPr>
        <w:tc>
          <w:tcPr>
            <w:tcW w:w="8644" w:type="dxa"/>
            <w:gridSpan w:val="4"/>
            <w:tcBorders>
              <w:top w:val="single" w:color="auto" w:sz="4" w:space="0"/>
              <w:left w:val="single" w:color="auto" w:sz="8" w:space="0"/>
              <w:bottom w:val="single" w:color="auto" w:sz="4" w:space="0"/>
              <w:right w:val="single" w:color="auto" w:sz="8" w:space="0"/>
            </w:tcBorders>
            <w:noWrap w:val="0"/>
            <w:vAlign w:val="top"/>
          </w:tcPr>
          <w:p>
            <w:pPr>
              <w:spacing w:before="156" w:beforeLines="50" w:after="156" w:afterLines="50" w:line="420" w:lineRule="exact"/>
              <w:rPr>
                <w:bCs/>
                <w:szCs w:val="21"/>
              </w:rPr>
            </w:pPr>
            <w:r>
              <w:rPr>
                <w:rFonts w:hint="eastAsia"/>
                <w:szCs w:val="21"/>
              </w:rPr>
              <w:t>致：</w:t>
            </w:r>
            <w:r>
              <w:rPr>
                <w:rFonts w:hint="eastAsia"/>
                <w:szCs w:val="21"/>
                <w:u w:val="single"/>
              </w:rPr>
              <w:t>　　　</w:t>
            </w:r>
            <w:r>
              <w:rPr>
                <w:szCs w:val="21"/>
                <w:u w:val="single"/>
              </w:rPr>
              <w:t xml:space="preserve">  </w:t>
            </w:r>
            <w:r>
              <w:rPr>
                <w:rFonts w:hint="eastAsia"/>
                <w:szCs w:val="21"/>
                <w:u w:val="single"/>
              </w:rPr>
              <w:t>　　</w:t>
            </w:r>
            <w:r>
              <w:rPr>
                <w:szCs w:val="21"/>
                <w:u w:val="single"/>
              </w:rPr>
              <w:t xml:space="preserve"> </w:t>
            </w:r>
            <w:r>
              <w:rPr>
                <w:rFonts w:hint="eastAsia"/>
                <w:szCs w:val="21"/>
                <w:u w:val="single"/>
              </w:rPr>
              <w:t>　</w:t>
            </w:r>
            <w:r>
              <w:rPr>
                <w:szCs w:val="21"/>
                <w:u w:val="single"/>
              </w:rPr>
              <w:t xml:space="preserve"> </w:t>
            </w:r>
            <w:r>
              <w:rPr>
                <w:rFonts w:hint="eastAsia"/>
                <w:szCs w:val="21"/>
                <w:u w:val="single"/>
              </w:rPr>
              <w:t>　</w:t>
            </w:r>
            <w:r>
              <w:rPr>
                <w:rFonts w:hint="eastAsia"/>
                <w:szCs w:val="21"/>
              </w:rPr>
              <w:t>（项目监理机构）</w:t>
            </w:r>
          </w:p>
          <w:p>
            <w:pPr>
              <w:spacing w:line="360" w:lineRule="exact"/>
              <w:rPr>
                <w:szCs w:val="21"/>
              </w:rPr>
            </w:pPr>
            <w:r>
              <w:rPr>
                <w:szCs w:val="21"/>
              </w:rPr>
              <w:t xml:space="preserve">     </w:t>
            </w:r>
            <w:r>
              <w:rPr>
                <w:rFonts w:hint="eastAsia"/>
                <w:szCs w:val="21"/>
              </w:rPr>
              <w:t>由于</w:t>
            </w:r>
            <w:r>
              <w:rPr>
                <w:rFonts w:hint="eastAsia"/>
                <w:szCs w:val="21"/>
                <w:u w:val="single"/>
              </w:rPr>
              <w:t>　　　</w:t>
            </w:r>
            <w:r>
              <w:rPr>
                <w:szCs w:val="21"/>
                <w:u w:val="single"/>
              </w:rPr>
              <w:t xml:space="preserve">  </w:t>
            </w:r>
            <w:r>
              <w:rPr>
                <w:rFonts w:hint="eastAsia"/>
                <w:szCs w:val="21"/>
                <w:u w:val="single"/>
              </w:rPr>
              <w:t>　　</w:t>
            </w:r>
            <w:r>
              <w:rPr>
                <w:szCs w:val="21"/>
                <w:u w:val="single"/>
              </w:rPr>
              <w:t xml:space="preserve"> </w:t>
            </w:r>
            <w:r>
              <w:rPr>
                <w:rFonts w:hint="eastAsia"/>
                <w:szCs w:val="21"/>
                <w:u w:val="single"/>
              </w:rPr>
              <w:t>　　　</w:t>
            </w:r>
            <w:r>
              <w:rPr>
                <w:szCs w:val="21"/>
                <w:u w:val="single"/>
              </w:rPr>
              <w:t xml:space="preserve">       </w:t>
            </w:r>
            <w:r>
              <w:rPr>
                <w:rFonts w:hint="eastAsia"/>
                <w:szCs w:val="21"/>
                <w:u w:val="single"/>
              </w:rPr>
              <w:t>　</w:t>
            </w:r>
            <w:r>
              <w:rPr>
                <w:szCs w:val="21"/>
                <w:u w:val="single"/>
              </w:rPr>
              <w:t xml:space="preserve">  </w:t>
            </w:r>
            <w:r>
              <w:rPr>
                <w:rFonts w:hint="eastAsia"/>
                <w:szCs w:val="21"/>
                <w:u w:val="single"/>
              </w:rPr>
              <w:t>　　</w:t>
            </w:r>
            <w:r>
              <w:rPr>
                <w:szCs w:val="21"/>
                <w:u w:val="single"/>
              </w:rPr>
              <w:t xml:space="preserve"> </w:t>
            </w:r>
            <w:r>
              <w:rPr>
                <w:rFonts w:hint="eastAsia"/>
                <w:szCs w:val="21"/>
                <w:u w:val="single"/>
              </w:rPr>
              <w:t>　</w:t>
            </w:r>
            <w:r>
              <w:rPr>
                <w:rFonts w:hint="eastAsia"/>
                <w:szCs w:val="21"/>
              </w:rPr>
              <w:t>原因，提出</w:t>
            </w:r>
            <w:r>
              <w:rPr>
                <w:rFonts w:hint="eastAsia"/>
                <w:szCs w:val="21"/>
                <w:u w:val="single"/>
              </w:rPr>
              <w:t>　　　</w:t>
            </w:r>
            <w:r>
              <w:rPr>
                <w:szCs w:val="21"/>
                <w:u w:val="single"/>
              </w:rPr>
              <w:t xml:space="preserve">         </w:t>
            </w:r>
            <w:r>
              <w:rPr>
                <w:rFonts w:hint="eastAsia"/>
                <w:szCs w:val="21"/>
                <w:u w:val="single"/>
              </w:rPr>
              <w:t>　　</w:t>
            </w:r>
            <w:r>
              <w:rPr>
                <w:szCs w:val="21"/>
                <w:u w:val="single"/>
              </w:rPr>
              <w:t xml:space="preserve">  </w:t>
            </w:r>
            <w:r>
              <w:rPr>
                <w:rFonts w:hint="eastAsia"/>
                <w:szCs w:val="21"/>
                <w:u w:val="single"/>
              </w:rPr>
              <w:t>　</w:t>
            </w:r>
          </w:p>
          <w:p>
            <w:pPr>
              <w:spacing w:line="360" w:lineRule="exact"/>
              <w:rPr>
                <w:szCs w:val="21"/>
              </w:rPr>
            </w:pPr>
            <w:r>
              <w:rPr>
                <w:rFonts w:hint="eastAsia"/>
                <w:szCs w:val="21"/>
                <w:u w:val="single"/>
              </w:rPr>
              <w:t>　　　</w:t>
            </w:r>
            <w:r>
              <w:rPr>
                <w:szCs w:val="21"/>
                <w:u w:val="single"/>
              </w:rPr>
              <w:t xml:space="preserve">  </w:t>
            </w:r>
            <w:r>
              <w:rPr>
                <w:rFonts w:hint="eastAsia"/>
                <w:szCs w:val="21"/>
                <w:u w:val="single"/>
              </w:rPr>
              <w:t>　　</w:t>
            </w:r>
            <w:r>
              <w:rPr>
                <w:szCs w:val="21"/>
                <w:u w:val="single"/>
              </w:rPr>
              <w:t xml:space="preserve"> </w:t>
            </w:r>
            <w:r>
              <w:rPr>
                <w:rFonts w:hint="eastAsia"/>
                <w:szCs w:val="21"/>
                <w:u w:val="single"/>
              </w:rPr>
              <w:t>　　　　</w:t>
            </w:r>
            <w:r>
              <w:rPr>
                <w:szCs w:val="21"/>
                <w:u w:val="single"/>
              </w:rPr>
              <w:t xml:space="preserve">  </w:t>
            </w:r>
            <w:r>
              <w:rPr>
                <w:rFonts w:hint="eastAsia"/>
                <w:szCs w:val="21"/>
                <w:u w:val="single"/>
              </w:rPr>
              <w:t>　　</w:t>
            </w:r>
            <w:r>
              <w:rPr>
                <w:szCs w:val="21"/>
                <w:u w:val="single"/>
              </w:rPr>
              <w:t xml:space="preserve"> </w:t>
            </w:r>
            <w:r>
              <w:rPr>
                <w:rFonts w:hint="eastAsia"/>
                <w:szCs w:val="21"/>
                <w:u w:val="single"/>
              </w:rPr>
              <w:t>　</w:t>
            </w:r>
            <w:r>
              <w:rPr>
                <w:rFonts w:hint="eastAsia"/>
                <w:szCs w:val="21"/>
              </w:rPr>
              <w:t>工程变更，请予以审查。</w:t>
            </w:r>
          </w:p>
          <w:p>
            <w:pPr>
              <w:spacing w:line="360" w:lineRule="exact"/>
              <w:ind w:firstLine="420" w:firstLineChars="200"/>
              <w:rPr>
                <w:szCs w:val="21"/>
              </w:rPr>
            </w:pPr>
            <w:r>
              <w:rPr>
                <w:rFonts w:hint="eastAsia"/>
                <w:szCs w:val="21"/>
              </w:rPr>
              <w:t>附件：</w:t>
            </w:r>
            <w:r>
              <w:rPr>
                <w:rFonts w:hint="eastAsia" w:ascii="Times New Roman"/>
                <w:szCs w:val="21"/>
              </w:rPr>
              <w:t xml:space="preserve"> 工程变更证明材料</w:t>
            </w:r>
          </w:p>
          <w:p>
            <w:pPr>
              <w:spacing w:line="360" w:lineRule="exact"/>
              <w:ind w:firstLine="420" w:firstLineChars="200"/>
              <w:rPr>
                <w:szCs w:val="21"/>
              </w:rPr>
            </w:pPr>
            <w:r>
              <w:rPr>
                <w:rFonts w:hint="eastAsia" w:ascii="Times New Roman"/>
                <w:szCs w:val="21"/>
              </w:rPr>
              <w:t xml:space="preserve"> </w:t>
            </w:r>
          </w:p>
          <w:p>
            <w:pPr>
              <w:tabs>
                <w:tab w:val="left" w:pos="7980"/>
              </w:tabs>
              <w:ind w:firstLine="5040" w:firstLineChars="2400"/>
              <w:jc w:val="left"/>
              <w:rPr>
                <w:szCs w:val="21"/>
                <w:u w:val="single"/>
              </w:rPr>
            </w:pPr>
            <w:r>
              <w:rPr>
                <w:rFonts w:hint="eastAsia"/>
                <w:szCs w:val="21"/>
              </w:rPr>
              <w:t>施工项目经理部（章）：</w:t>
            </w:r>
            <w:r>
              <w:rPr>
                <w:rFonts w:hint="eastAsia"/>
                <w:szCs w:val="21"/>
                <w:u w:val="single"/>
              </w:rPr>
              <w:t>　</w:t>
            </w:r>
            <w:r>
              <w:rPr>
                <w:szCs w:val="21"/>
                <w:u w:val="single"/>
              </w:rPr>
              <w:t xml:space="preserve"> </w:t>
            </w:r>
            <w:r>
              <w:rPr>
                <w:rFonts w:hint="eastAsia"/>
                <w:szCs w:val="21"/>
                <w:u w:val="single"/>
              </w:rPr>
              <w:t>　　</w:t>
            </w:r>
            <w:r>
              <w:rPr>
                <w:szCs w:val="21"/>
                <w:u w:val="single"/>
              </w:rPr>
              <w:t xml:space="preserve">  </w:t>
            </w:r>
            <w:r>
              <w:rPr>
                <w:rFonts w:hint="eastAsia"/>
                <w:szCs w:val="21"/>
                <w:u w:val="single"/>
              </w:rPr>
              <w:t>　</w:t>
            </w:r>
          </w:p>
          <w:p>
            <w:pPr>
              <w:tabs>
                <w:tab w:val="left" w:pos="7980"/>
              </w:tabs>
              <w:spacing w:before="120"/>
              <w:jc w:val="left"/>
              <w:rPr>
                <w:szCs w:val="21"/>
              </w:rPr>
            </w:pPr>
            <w:r>
              <w:rPr>
                <w:rFonts w:hint="eastAsia"/>
                <w:szCs w:val="21"/>
              </w:rPr>
              <w:t>　　　　　　　　　　</w:t>
            </w:r>
            <w:r>
              <w:rPr>
                <w:szCs w:val="21"/>
              </w:rPr>
              <w:t xml:space="preserve">                            </w:t>
            </w:r>
            <w:r>
              <w:rPr>
                <w:rFonts w:hint="eastAsia"/>
                <w:szCs w:val="21"/>
              </w:rPr>
              <w:t>项目经理（签字）：</w:t>
            </w:r>
            <w:r>
              <w:rPr>
                <w:rFonts w:hint="eastAsia"/>
                <w:szCs w:val="21"/>
                <w:u w:val="single"/>
              </w:rPr>
              <w:t>　　　</w:t>
            </w:r>
            <w:r>
              <w:rPr>
                <w:szCs w:val="21"/>
                <w:u w:val="single"/>
              </w:rPr>
              <w:t xml:space="preserve">   </w:t>
            </w:r>
            <w:r>
              <w:rPr>
                <w:rFonts w:hint="eastAsia"/>
                <w:szCs w:val="21"/>
                <w:u w:val="single"/>
              </w:rPr>
              <w:t>　</w:t>
            </w:r>
            <w:r>
              <w:rPr>
                <w:szCs w:val="21"/>
                <w:u w:val="single"/>
              </w:rPr>
              <w:t xml:space="preserve">  </w:t>
            </w:r>
            <w:r>
              <w:rPr>
                <w:szCs w:val="21"/>
              </w:rPr>
              <w:t xml:space="preserve">                                                          </w:t>
            </w:r>
            <w:r>
              <w:rPr>
                <w:rFonts w:hint="eastAsia" w:ascii="Times New Roman"/>
                <w:szCs w:val="21"/>
                <w:u w:val="single"/>
              </w:rPr>
              <w:t xml:space="preserve">     </w:t>
            </w:r>
            <w:r>
              <w:rPr>
                <w:szCs w:val="21"/>
              </w:rPr>
              <w:t xml:space="preserve">    </w:t>
            </w:r>
          </w:p>
          <w:p>
            <w:pPr>
              <w:tabs>
                <w:tab w:val="left" w:pos="7940"/>
              </w:tabs>
              <w:spacing w:line="420" w:lineRule="exact"/>
              <w:ind w:firstLine="2940" w:firstLineChars="1400"/>
              <w:jc w:val="right"/>
              <w:rPr>
                <w:szCs w:val="21"/>
              </w:rPr>
            </w:pPr>
            <w:r>
              <w:rPr>
                <w:rFonts w:hint="eastAsia" w:ascii="Times New Roman"/>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43" w:hRule="atLeast"/>
        </w:trPr>
        <w:tc>
          <w:tcPr>
            <w:tcW w:w="8644" w:type="dxa"/>
            <w:gridSpan w:val="4"/>
            <w:tcBorders>
              <w:top w:val="single" w:color="auto" w:sz="4" w:space="0"/>
              <w:left w:val="single" w:color="auto" w:sz="8" w:space="0"/>
              <w:bottom w:val="single" w:color="auto" w:sz="4" w:space="0"/>
              <w:right w:val="single" w:color="auto" w:sz="8" w:space="0"/>
            </w:tcBorders>
            <w:noWrap w:val="0"/>
            <w:vAlign w:val="top"/>
          </w:tcPr>
          <w:p>
            <w:pPr>
              <w:spacing w:before="120"/>
              <w:rPr>
                <w:szCs w:val="21"/>
              </w:rPr>
            </w:pPr>
            <w:r>
              <w:rPr>
                <w:rFonts w:hint="eastAsia"/>
                <w:szCs w:val="21"/>
              </w:rPr>
              <w:t>审查意见：</w:t>
            </w:r>
          </w:p>
          <w:p>
            <w:pPr>
              <w:spacing w:before="120"/>
              <w:rPr>
                <w:szCs w:val="21"/>
              </w:rPr>
            </w:pPr>
          </w:p>
          <w:p>
            <w:pPr>
              <w:spacing w:before="120"/>
              <w:ind w:firstLine="4845" w:firstLineChars="2550"/>
              <w:rPr>
                <w:szCs w:val="21"/>
              </w:rPr>
            </w:pPr>
            <w:r>
              <w:rPr>
                <w:rFonts w:hint="eastAsia"/>
                <w:spacing w:val="-10"/>
                <w:szCs w:val="21"/>
              </w:rPr>
              <w:t>专业监理工程师（签字）</w:t>
            </w:r>
            <w:r>
              <w:rPr>
                <w:rFonts w:hint="eastAsia"/>
                <w:szCs w:val="21"/>
              </w:rPr>
              <w:t>：</w:t>
            </w:r>
            <w:r>
              <w:rPr>
                <w:rFonts w:hint="eastAsia"/>
                <w:szCs w:val="21"/>
                <w:u w:val="single"/>
              </w:rPr>
              <w:t>　　　</w:t>
            </w:r>
            <w:r>
              <w:rPr>
                <w:szCs w:val="21"/>
                <w:u w:val="single"/>
              </w:rPr>
              <w:t xml:space="preserve"> </w:t>
            </w:r>
            <w:r>
              <w:rPr>
                <w:rFonts w:hint="eastAsia"/>
                <w:szCs w:val="21"/>
                <w:u w:val="single"/>
              </w:rPr>
              <w:t>　　</w:t>
            </w:r>
            <w:r>
              <w:rPr>
                <w:szCs w:val="21"/>
                <w:u w:val="single"/>
              </w:rPr>
              <w:t xml:space="preserve"> </w:t>
            </w:r>
          </w:p>
          <w:p>
            <w:pPr>
              <w:spacing w:before="120"/>
              <w:ind w:firstLine="210" w:firstLineChars="100"/>
              <w:jc w:val="right"/>
              <w:rPr>
                <w:szCs w:val="21"/>
              </w:rPr>
            </w:pPr>
            <w:r>
              <w:rPr>
                <w:rFonts w:hint="eastAsia" w:ascii="Times New Roman"/>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45" w:hRule="atLeast"/>
        </w:trPr>
        <w:tc>
          <w:tcPr>
            <w:tcW w:w="8644" w:type="dxa"/>
            <w:gridSpan w:val="4"/>
            <w:tcBorders>
              <w:top w:val="single" w:color="auto" w:sz="4" w:space="0"/>
              <w:left w:val="single" w:color="auto" w:sz="8" w:space="0"/>
              <w:bottom w:val="single" w:color="auto" w:sz="4" w:space="0"/>
              <w:right w:val="single" w:color="auto" w:sz="8" w:space="0"/>
            </w:tcBorders>
            <w:noWrap w:val="0"/>
            <w:vAlign w:val="top"/>
          </w:tcPr>
          <w:p>
            <w:pPr>
              <w:spacing w:before="120"/>
              <w:rPr>
                <w:szCs w:val="21"/>
              </w:rPr>
            </w:pPr>
            <w:r>
              <w:rPr>
                <w:rFonts w:hint="eastAsia"/>
                <w:szCs w:val="21"/>
              </w:rPr>
              <w:t>审核意见：</w:t>
            </w:r>
          </w:p>
          <w:p>
            <w:pPr>
              <w:spacing w:before="120"/>
              <w:rPr>
                <w:szCs w:val="21"/>
              </w:rPr>
            </w:pPr>
          </w:p>
          <w:p>
            <w:pPr>
              <w:spacing w:before="120"/>
              <w:ind w:firstLine="3570" w:firstLineChars="1700"/>
              <w:rPr>
                <w:szCs w:val="21"/>
              </w:rPr>
            </w:pPr>
            <w:r>
              <w:rPr>
                <w:rFonts w:hint="eastAsia"/>
                <w:szCs w:val="21"/>
              </w:rPr>
              <w:t>项目监理机构（章）：</w:t>
            </w:r>
            <w:r>
              <w:rPr>
                <w:rFonts w:hint="eastAsia"/>
                <w:szCs w:val="21"/>
                <w:u w:val="single"/>
              </w:rPr>
              <w:t>　　</w:t>
            </w:r>
            <w:r>
              <w:rPr>
                <w:szCs w:val="21"/>
                <w:u w:val="single"/>
              </w:rPr>
              <w:t xml:space="preserve">            </w:t>
            </w:r>
            <w:r>
              <w:rPr>
                <w:rFonts w:hint="eastAsia"/>
                <w:szCs w:val="21"/>
                <w:u w:val="single"/>
              </w:rPr>
              <w:t>　</w:t>
            </w:r>
            <w:r>
              <w:rPr>
                <w:szCs w:val="21"/>
                <w:u w:val="single"/>
              </w:rPr>
              <w:t xml:space="preserve"> </w:t>
            </w:r>
            <w:r>
              <w:rPr>
                <w:rFonts w:hint="eastAsia"/>
                <w:szCs w:val="21"/>
                <w:u w:val="single"/>
              </w:rPr>
              <w:t>　</w:t>
            </w:r>
            <w:r>
              <w:rPr>
                <w:szCs w:val="21"/>
                <w:u w:val="single"/>
              </w:rPr>
              <w:t xml:space="preserve">     </w:t>
            </w:r>
          </w:p>
          <w:p>
            <w:pPr>
              <w:spacing w:before="120"/>
              <w:ind w:firstLine="3610" w:firstLineChars="1900"/>
              <w:rPr>
                <w:szCs w:val="21"/>
              </w:rPr>
            </w:pPr>
            <w:r>
              <w:rPr>
                <w:rFonts w:hint="eastAsia"/>
                <w:spacing w:val="-10"/>
                <w:szCs w:val="21"/>
              </w:rPr>
              <w:t>总监理工程师</w:t>
            </w:r>
            <w:r>
              <w:rPr>
                <w:spacing w:val="-10"/>
                <w:szCs w:val="21"/>
              </w:rPr>
              <w:t>/</w:t>
            </w:r>
            <w:r>
              <w:rPr>
                <w:rFonts w:hint="eastAsia"/>
                <w:spacing w:val="-10"/>
                <w:szCs w:val="21"/>
              </w:rPr>
              <w:t>总监理工程师代表（签字）</w:t>
            </w:r>
            <w:r>
              <w:rPr>
                <w:rFonts w:hint="eastAsia"/>
                <w:szCs w:val="21"/>
              </w:rPr>
              <w:t>：</w:t>
            </w:r>
            <w:r>
              <w:rPr>
                <w:rFonts w:hint="eastAsia"/>
                <w:szCs w:val="21"/>
                <w:u w:val="single"/>
              </w:rPr>
              <w:t>　　　</w:t>
            </w:r>
            <w:r>
              <w:rPr>
                <w:szCs w:val="21"/>
                <w:u w:val="single"/>
              </w:rPr>
              <w:t xml:space="preserve"> </w:t>
            </w:r>
            <w:r>
              <w:rPr>
                <w:rFonts w:hint="eastAsia"/>
                <w:szCs w:val="21"/>
                <w:u w:val="single"/>
              </w:rPr>
              <w:t>　　</w:t>
            </w:r>
            <w:r>
              <w:rPr>
                <w:szCs w:val="21"/>
                <w:u w:val="single"/>
              </w:rPr>
              <w:t xml:space="preserve"> </w:t>
            </w:r>
          </w:p>
          <w:p>
            <w:pPr>
              <w:spacing w:before="120"/>
              <w:jc w:val="right"/>
              <w:rPr>
                <w:szCs w:val="21"/>
              </w:rPr>
            </w:pPr>
            <w:r>
              <w:rPr>
                <w:rFonts w:hint="eastAsia" w:ascii="Times New Roman"/>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70" w:hRule="atLeast"/>
        </w:trPr>
        <w:tc>
          <w:tcPr>
            <w:tcW w:w="8644" w:type="dxa"/>
            <w:gridSpan w:val="4"/>
            <w:tcBorders>
              <w:top w:val="single" w:color="auto" w:sz="4" w:space="0"/>
              <w:left w:val="single" w:color="auto" w:sz="8" w:space="0"/>
              <w:bottom w:val="single" w:color="auto" w:sz="4" w:space="0"/>
              <w:right w:val="single" w:color="auto" w:sz="8" w:space="0"/>
            </w:tcBorders>
            <w:noWrap w:val="0"/>
            <w:vAlign w:val="top"/>
          </w:tcPr>
          <w:p>
            <w:pPr>
              <w:spacing w:before="120"/>
              <w:rPr>
                <w:szCs w:val="21"/>
              </w:rPr>
            </w:pPr>
            <w:r>
              <w:rPr>
                <w:rFonts w:hint="eastAsia"/>
                <w:szCs w:val="21"/>
              </w:rPr>
              <w:t>审批意见：</w:t>
            </w:r>
          </w:p>
          <w:p>
            <w:pPr>
              <w:spacing w:before="120"/>
              <w:rPr>
                <w:szCs w:val="21"/>
              </w:rPr>
            </w:pPr>
          </w:p>
          <w:p>
            <w:pPr>
              <w:spacing w:before="120"/>
              <w:rPr>
                <w:szCs w:val="21"/>
              </w:rPr>
            </w:pPr>
          </w:p>
          <w:p>
            <w:pPr>
              <w:spacing w:line="360" w:lineRule="exact"/>
              <w:ind w:firstLine="5040" w:firstLineChars="2400"/>
              <w:rPr>
                <w:rFonts w:ascii="Times New Roman"/>
                <w:bCs/>
                <w:szCs w:val="21"/>
                <w:u w:val="single"/>
              </w:rPr>
            </w:pPr>
            <w:r>
              <w:rPr>
                <w:rFonts w:hint="eastAsia" w:ascii="Times New Roman"/>
                <w:bCs/>
                <w:szCs w:val="21"/>
              </w:rPr>
              <w:t xml:space="preserve">建设单位(章): </w:t>
            </w:r>
            <w:r>
              <w:rPr>
                <w:rFonts w:hint="eastAsia" w:ascii="Times New Roman"/>
                <w:bCs/>
                <w:szCs w:val="21"/>
                <w:u w:val="single"/>
              </w:rPr>
              <w:t xml:space="preserve">                </w:t>
            </w:r>
          </w:p>
          <w:p>
            <w:pPr>
              <w:spacing w:line="420" w:lineRule="exact"/>
              <w:rPr>
                <w:rFonts w:hint="eastAsia" w:ascii="Times New Roman"/>
                <w:szCs w:val="21"/>
              </w:rPr>
            </w:pPr>
            <w:r>
              <w:rPr>
                <w:rFonts w:hint="eastAsia" w:ascii="Times New Roman"/>
                <w:szCs w:val="21"/>
              </w:rPr>
              <w:t xml:space="preserve">                                                项目负责人(签字)：</w:t>
            </w:r>
            <w:r>
              <w:rPr>
                <w:rFonts w:hint="eastAsia" w:ascii="Times New Roman"/>
                <w:szCs w:val="21"/>
                <w:u w:val="single"/>
              </w:rPr>
              <w:t xml:space="preserve">　　　      </w:t>
            </w:r>
          </w:p>
          <w:p>
            <w:pPr>
              <w:spacing w:before="120"/>
              <w:jc w:val="right"/>
              <w:rPr>
                <w:szCs w:val="21"/>
              </w:rPr>
            </w:pPr>
            <w:r>
              <w:rPr>
                <w:rFonts w:hint="eastAsia" w:ascii="Times New Roman"/>
                <w:szCs w:val="21"/>
              </w:rPr>
              <w:t xml:space="preserve">                                    </w:t>
            </w:r>
            <w:r>
              <w:rPr>
                <w:rFonts w:hint="eastAsia" w:ascii="Times New Roman"/>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644" w:type="dxa"/>
            <w:gridSpan w:val="4"/>
            <w:tcBorders>
              <w:top w:val="single" w:color="auto" w:sz="4" w:space="0"/>
              <w:left w:val="single" w:color="auto" w:sz="8" w:space="0"/>
              <w:bottom w:val="single" w:color="auto" w:sz="8" w:space="0"/>
              <w:right w:val="single" w:color="auto" w:sz="8" w:space="0"/>
            </w:tcBorders>
            <w:noWrap w:val="0"/>
            <w:vAlign w:val="top"/>
          </w:tcPr>
          <w:p>
            <w:pPr>
              <w:ind w:firstLine="420" w:firstLineChars="200"/>
              <w:rPr>
                <w:szCs w:val="21"/>
              </w:rPr>
            </w:pPr>
            <w:r>
              <w:rPr>
                <w:rFonts w:hint="eastAsia"/>
                <w:szCs w:val="21"/>
              </w:rPr>
              <w:t>注：</w:t>
            </w:r>
            <w:r>
              <w:rPr>
                <w:szCs w:val="21"/>
              </w:rPr>
              <w:t>1</w:t>
            </w:r>
            <w:r>
              <w:rPr>
                <w:rFonts w:hint="eastAsia"/>
                <w:szCs w:val="21"/>
              </w:rPr>
              <w:t>、本表用于施工单位提出的工程变更，对建设单位（设计单位）提出的工程变更项目监理机构宜提出评估意见。</w:t>
            </w:r>
          </w:p>
          <w:p>
            <w:pPr>
              <w:ind w:firstLine="420" w:firstLineChars="200"/>
              <w:rPr>
                <w:szCs w:val="21"/>
              </w:rPr>
            </w:pPr>
            <w:r>
              <w:rPr>
                <w:szCs w:val="21"/>
              </w:rPr>
              <w:t>2</w:t>
            </w:r>
            <w:r>
              <w:rPr>
                <w:rFonts w:hint="eastAsia"/>
                <w:szCs w:val="21"/>
              </w:rPr>
              <w:t>、工程变更涉及设计文件修改的，须经原设计单位确认。</w:t>
            </w:r>
          </w:p>
          <w:p>
            <w:pPr>
              <w:ind w:firstLine="420" w:firstLineChars="200"/>
              <w:rPr>
                <w:szCs w:val="21"/>
              </w:rPr>
            </w:pPr>
            <w:r>
              <w:rPr>
                <w:szCs w:val="21"/>
              </w:rPr>
              <w:t>3</w:t>
            </w:r>
            <w:r>
              <w:rPr>
                <w:rFonts w:hint="eastAsia"/>
                <w:szCs w:val="21"/>
              </w:rPr>
              <w:t>、本表一式三份，建设单位、项目监理机构、施工单位各一份。</w:t>
            </w:r>
          </w:p>
        </w:tc>
      </w:tr>
    </w:tbl>
    <w:p>
      <w:pPr>
        <w:rPr>
          <w:rFonts w:eastAsia="隶书"/>
        </w:rPr>
      </w:pPr>
      <w:r>
        <w:rPr>
          <w:rFonts w:hint="eastAsia" w:ascii="Times New Roman" w:eastAsia="隶书"/>
        </w:rPr>
        <w:t>第六版表                                              江苏省住房和城乡建设厅监制</w:t>
      </w:r>
    </w:p>
    <w:p>
      <w:pPr>
        <w:widowControl/>
        <w:jc w:val="left"/>
        <w:rPr>
          <w:rFonts w:ascii="Times New Roman" w:eastAsia="黑体"/>
          <w:bCs/>
          <w:kern w:val="44"/>
          <w:sz w:val="28"/>
          <w:szCs w:val="28"/>
          <w14:shadow w14:blurRad="50800" w14:dist="38100" w14:dir="2700000" w14:sx="100000" w14:sy="100000" w14:kx="0" w14:ky="0" w14:algn="tl">
            <w14:srgbClr w14:val="000000">
              <w14:alpha w14:val="60000"/>
            </w14:srgbClr>
          </w14:shadow>
        </w:rPr>
        <w:sectPr>
          <w:pgSz w:w="11906" w:h="16838"/>
          <w:pgMar w:top="1021" w:right="1701" w:bottom="1701" w:left="1701" w:header="851" w:footer="992" w:gutter="0"/>
          <w:cols w:space="720" w:num="1"/>
          <w:docGrid w:type="lines" w:linePitch="312" w:charSpace="0"/>
        </w:sectPr>
      </w:pPr>
    </w:p>
    <w:p>
      <w:pPr>
        <w:jc w:val="right"/>
        <w:rPr>
          <w:rFonts w:eastAsia="黑体"/>
          <w:b/>
          <w:sz w:val="28"/>
          <w:szCs w:val="28"/>
          <w14:shadow w14:blurRad="50800" w14:dist="38100" w14:dir="2700000" w14:sx="100000" w14:sy="100000" w14:kx="0" w14:ky="0" w14:algn="tl">
            <w14:srgbClr w14:val="000000">
              <w14:alpha w14:val="60000"/>
            </w14:srgbClr>
          </w14:shadow>
        </w:rPr>
      </w:pPr>
      <w:r>
        <w:rPr>
          <w:rFonts w:eastAsia="黑体"/>
          <w:b/>
          <w:sz w:val="28"/>
          <w:szCs w:val="28"/>
          <w14:shadow w14:blurRad="50800" w14:dist="38100" w14:dir="2700000" w14:sx="100000" w14:sy="100000" w14:kx="0" w14:ky="0" w14:algn="tl">
            <w14:srgbClr w14:val="000000">
              <w14:alpha w14:val="60000"/>
            </w14:srgbClr>
          </w14:shadow>
        </w:rPr>
        <w:t>C.0.1</w:t>
      </w:r>
    </w:p>
    <w:p>
      <w:pPr>
        <w:spacing w:before="240" w:beforeLines="100" w:after="240" w:afterLines="100" w:line="300" w:lineRule="exact"/>
        <w:jc w:val="center"/>
        <w:rPr>
          <w:rFonts w:eastAsia="黑体"/>
          <w:sz w:val="44"/>
          <w14:shadow w14:blurRad="50800" w14:dist="38100" w14:dir="2700000" w14:sx="100000" w14:sy="100000" w14:kx="0" w14:ky="0" w14:algn="tl">
            <w14:srgbClr w14:val="000000">
              <w14:alpha w14:val="60000"/>
            </w14:srgbClr>
          </w14:shadow>
        </w:rPr>
      </w:pPr>
      <w:r>
        <w:rPr>
          <w:rFonts w:hint="eastAsia" w:eastAsia="黑体"/>
          <w:sz w:val="44"/>
          <w14:shadow w14:blurRad="50800" w14:dist="38100" w14:dir="2700000" w14:sx="100000" w14:sy="100000" w14:kx="0" w14:ky="0" w14:algn="tl">
            <w14:srgbClr w14:val="000000">
              <w14:alpha w14:val="60000"/>
            </w14:srgbClr>
          </w14:shadow>
        </w:rPr>
        <w:t>工程联系单</w:t>
      </w:r>
    </w:p>
    <w:p>
      <w:pPr>
        <w:spacing w:after="120" w:afterLines="50" w:line="420" w:lineRule="exact"/>
        <w:ind w:left="21" w:hanging="21" w:hangingChars="10"/>
        <w:rPr>
          <w:szCs w:val="21"/>
        </w:rPr>
      </w:pPr>
      <w:r>
        <w:rPr>
          <w:rFonts w:hint="eastAsia"/>
          <w:szCs w:val="21"/>
        </w:rPr>
        <w:t>工程名称：</w:t>
      </w:r>
      <w:r>
        <w:rPr>
          <w:szCs w:val="21"/>
          <w:u w:val="single"/>
        </w:rPr>
        <w:t xml:space="preserve">                              </w:t>
      </w:r>
      <w:r>
        <w:rPr>
          <w:rFonts w:hint="eastAsia"/>
          <w:szCs w:val="21"/>
        </w:rPr>
        <w:t>　　　　　　　</w:t>
      </w:r>
      <w:r>
        <w:rPr>
          <w:szCs w:val="21"/>
        </w:rPr>
        <w:t xml:space="preserve">    </w:t>
      </w:r>
      <w:r>
        <w:rPr>
          <w:rFonts w:hint="eastAsia"/>
          <w:szCs w:val="21"/>
        </w:rPr>
        <w:t>编号：</w:t>
      </w:r>
      <w:r>
        <w:rPr>
          <w:szCs w:val="21"/>
        </w:rPr>
        <w:t>C.0.1</w:t>
      </w:r>
      <w:r>
        <w:rPr>
          <w:szCs w:val="21"/>
          <w:u w:val="single"/>
        </w:rPr>
        <w:t xml:space="preserve">  </w:t>
      </w:r>
      <w:r>
        <w:rPr>
          <w:rFonts w:hint="eastAsia"/>
          <w:szCs w:val="21"/>
        </w:rPr>
        <w:t>－</w:t>
      </w:r>
      <w:r>
        <w:rPr>
          <w:rFonts w:hint="eastAsia"/>
          <w:szCs w:val="21"/>
          <w:u w:val="single"/>
        </w:rPr>
        <w:t>　</w:t>
      </w:r>
      <w:r>
        <w:rPr>
          <w:szCs w:val="21"/>
          <w:u w:val="single"/>
        </w:rPr>
        <w:t xml:space="preserve">  </w:t>
      </w:r>
      <w:r>
        <w:rPr>
          <w:rFonts w:hint="eastAsia"/>
          <w:szCs w:val="21"/>
          <w:u w:val="single"/>
        </w:rPr>
        <w:t>　　</w:t>
      </w:r>
    </w:p>
    <w:tbl>
      <w:tblPr>
        <w:tblStyle w:val="12"/>
        <w:tblW w:w="0" w:type="auto"/>
        <w:tblInd w:w="1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0"/>
        <w:gridCol w:w="4500"/>
        <w:gridCol w:w="1260"/>
        <w:gridCol w:w="204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810" w:type="dxa"/>
            <w:tcBorders>
              <w:top w:val="single" w:color="auto" w:sz="8" w:space="0"/>
              <w:left w:val="single" w:color="auto" w:sz="8" w:space="0"/>
              <w:bottom w:val="single" w:color="auto" w:sz="4" w:space="0"/>
              <w:right w:val="single" w:color="auto" w:sz="4" w:space="0"/>
            </w:tcBorders>
            <w:noWrap w:val="0"/>
            <w:vAlign w:val="center"/>
          </w:tcPr>
          <w:p>
            <w:pPr>
              <w:rPr>
                <w:szCs w:val="21"/>
              </w:rPr>
            </w:pPr>
            <w:r>
              <w:rPr>
                <w:rFonts w:hint="eastAsia"/>
                <w:szCs w:val="21"/>
              </w:rPr>
              <w:t>事由</w:t>
            </w:r>
          </w:p>
        </w:tc>
        <w:tc>
          <w:tcPr>
            <w:tcW w:w="4500" w:type="dxa"/>
            <w:tcBorders>
              <w:top w:val="single" w:color="auto" w:sz="8" w:space="0"/>
              <w:left w:val="single" w:color="auto" w:sz="4" w:space="0"/>
              <w:bottom w:val="single" w:color="auto" w:sz="4" w:space="0"/>
              <w:right w:val="single" w:color="auto" w:sz="4" w:space="0"/>
            </w:tcBorders>
            <w:noWrap w:val="0"/>
            <w:vAlign w:val="center"/>
          </w:tcPr>
          <w:p>
            <w:pPr>
              <w:rPr>
                <w:szCs w:val="21"/>
              </w:rPr>
            </w:pPr>
          </w:p>
        </w:tc>
        <w:tc>
          <w:tcPr>
            <w:tcW w:w="1260" w:type="dxa"/>
            <w:tcBorders>
              <w:top w:val="single" w:color="auto" w:sz="8" w:space="0"/>
              <w:left w:val="single" w:color="auto" w:sz="4" w:space="0"/>
              <w:bottom w:val="single" w:color="auto" w:sz="4" w:space="0"/>
              <w:right w:val="single" w:color="auto" w:sz="4" w:space="0"/>
            </w:tcBorders>
            <w:noWrap w:val="0"/>
            <w:vAlign w:val="center"/>
          </w:tcPr>
          <w:p>
            <w:pPr>
              <w:jc w:val="center"/>
              <w:rPr>
                <w:szCs w:val="21"/>
              </w:rPr>
            </w:pPr>
            <w:r>
              <w:rPr>
                <w:rFonts w:hint="eastAsia"/>
                <w:szCs w:val="21"/>
              </w:rPr>
              <w:t>签收人姓名及时间</w:t>
            </w:r>
          </w:p>
        </w:tc>
        <w:tc>
          <w:tcPr>
            <w:tcW w:w="2040" w:type="dxa"/>
            <w:tcBorders>
              <w:top w:val="single" w:color="auto" w:sz="8" w:space="0"/>
              <w:left w:val="single" w:color="auto" w:sz="4" w:space="0"/>
              <w:bottom w:val="single" w:color="auto" w:sz="4" w:space="0"/>
              <w:right w:val="single" w:color="auto" w:sz="8" w:space="0"/>
            </w:tcBorders>
            <w:noWrap w:val="0"/>
            <w:vAlign w:val="center"/>
          </w:tcPr>
          <w:p>
            <w:pP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407" w:hRule="atLeast"/>
        </w:trPr>
        <w:tc>
          <w:tcPr>
            <w:tcW w:w="8610" w:type="dxa"/>
            <w:gridSpan w:val="4"/>
            <w:tcBorders>
              <w:top w:val="single" w:color="auto" w:sz="4" w:space="0"/>
              <w:left w:val="single" w:color="auto" w:sz="8" w:space="0"/>
              <w:bottom w:val="single" w:color="auto" w:sz="4" w:space="0"/>
              <w:right w:val="single" w:color="auto" w:sz="8" w:space="0"/>
            </w:tcBorders>
            <w:noWrap w:val="0"/>
            <w:vAlign w:val="top"/>
          </w:tcPr>
          <w:p>
            <w:pPr>
              <w:spacing w:before="120" w:beforeLines="50" w:after="120" w:afterLines="50" w:line="420" w:lineRule="exact"/>
              <w:rPr>
                <w:szCs w:val="21"/>
                <w:u w:val="single"/>
              </w:rPr>
            </w:pPr>
            <w:r>
              <w:rPr>
                <w:rFonts w:hint="eastAsia"/>
                <w:szCs w:val="21"/>
              </w:rPr>
              <w:t>致：</w:t>
            </w:r>
            <w:r>
              <w:rPr>
                <w:rFonts w:hint="eastAsia"/>
                <w:szCs w:val="21"/>
                <w:u w:val="single"/>
              </w:rPr>
              <w:t>　　　　　　　</w:t>
            </w:r>
            <w:r>
              <w:rPr>
                <w:szCs w:val="21"/>
                <w:u w:val="single"/>
              </w:rPr>
              <w:t xml:space="preserve">           </w:t>
            </w:r>
            <w:r>
              <w:rPr>
                <w:rFonts w:hint="eastAsia"/>
                <w:szCs w:val="21"/>
                <w:u w:val="single"/>
              </w:rPr>
              <w:t>　</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（附件共</w:t>
            </w:r>
            <w:r>
              <w:rPr>
                <w:szCs w:val="21"/>
                <w:u w:val="single"/>
              </w:rPr>
              <w:t xml:space="preserve">      </w:t>
            </w:r>
            <w:r>
              <w:rPr>
                <w:rFonts w:hint="eastAsia"/>
                <w:szCs w:val="21"/>
              </w:rPr>
              <w:t>页）</w:t>
            </w:r>
          </w:p>
          <w:p>
            <w:pPr>
              <w:rPr>
                <w:szCs w:val="21"/>
              </w:rPr>
            </w:pPr>
          </w:p>
          <w:p>
            <w:pPr>
              <w:rPr>
                <w:szCs w:val="21"/>
              </w:rPr>
            </w:pPr>
          </w:p>
          <w:p>
            <w:pPr>
              <w:rPr>
                <w:szCs w:val="21"/>
              </w:rPr>
            </w:pPr>
          </w:p>
          <w:p>
            <w:pPr>
              <w:rPr>
                <w:szCs w:val="21"/>
              </w:rPr>
            </w:pPr>
          </w:p>
          <w:p>
            <w:pPr>
              <w:ind w:firstLine="4313" w:firstLineChars="2054"/>
              <w:rPr>
                <w:szCs w:val="21"/>
                <w:u w:val="single"/>
              </w:rPr>
            </w:pPr>
            <w:r>
              <w:rPr>
                <w:rFonts w:hint="eastAsia"/>
                <w:szCs w:val="21"/>
              </w:rPr>
              <w:t>发文单位（章）：</w:t>
            </w:r>
            <w:r>
              <w:rPr>
                <w:rFonts w:hint="eastAsia"/>
                <w:szCs w:val="21"/>
                <w:u w:val="single"/>
              </w:rPr>
              <w:t>　　</w:t>
            </w:r>
            <w:r>
              <w:rPr>
                <w:szCs w:val="21"/>
                <w:u w:val="single"/>
              </w:rPr>
              <w:t xml:space="preserve">        </w:t>
            </w:r>
            <w:r>
              <w:rPr>
                <w:rFonts w:hint="eastAsia"/>
                <w:szCs w:val="21"/>
                <w:u w:val="single"/>
              </w:rPr>
              <w:t>　　</w:t>
            </w:r>
            <w:r>
              <w:rPr>
                <w:szCs w:val="21"/>
                <w:u w:val="single"/>
              </w:rPr>
              <w:t xml:space="preserve"> </w:t>
            </w:r>
            <w:r>
              <w:rPr>
                <w:rFonts w:hint="eastAsia"/>
                <w:szCs w:val="21"/>
                <w:u w:val="single"/>
              </w:rPr>
              <w:t>　　　</w:t>
            </w:r>
          </w:p>
          <w:p>
            <w:pPr>
              <w:spacing w:before="120"/>
              <w:ind w:firstLine="4305" w:firstLineChars="2050"/>
              <w:rPr>
                <w:szCs w:val="21"/>
              </w:rPr>
            </w:pPr>
            <w:r>
              <w:rPr>
                <w:rFonts w:hint="eastAsia"/>
                <w:szCs w:val="21"/>
              </w:rPr>
              <w:t>项目负责人（签字）：</w:t>
            </w:r>
            <w:r>
              <w:rPr>
                <w:rFonts w:hint="eastAsia"/>
                <w:szCs w:val="21"/>
                <w:u w:val="single"/>
              </w:rPr>
              <w:t>　　</w:t>
            </w:r>
            <w:r>
              <w:rPr>
                <w:szCs w:val="21"/>
                <w:u w:val="single"/>
              </w:rPr>
              <w:t xml:space="preserve">       </w:t>
            </w:r>
            <w:r>
              <w:rPr>
                <w:rFonts w:hint="eastAsia"/>
                <w:szCs w:val="21"/>
                <w:u w:val="single"/>
              </w:rPr>
              <w:t>　</w:t>
            </w:r>
            <w:r>
              <w:rPr>
                <w:szCs w:val="21"/>
                <w:u w:val="single"/>
              </w:rPr>
              <w:t xml:space="preserve">  </w:t>
            </w:r>
            <w:r>
              <w:rPr>
                <w:rFonts w:hint="eastAsia"/>
                <w:szCs w:val="21"/>
                <w:u w:val="single"/>
              </w:rPr>
              <w:t>　</w:t>
            </w:r>
            <w:r>
              <w:rPr>
                <w:szCs w:val="21"/>
                <w:u w:val="single"/>
              </w:rPr>
              <w:t xml:space="preserve"> </w:t>
            </w:r>
            <w:r>
              <w:rPr>
                <w:szCs w:val="21"/>
              </w:rPr>
              <w:t xml:space="preserve">   </w:t>
            </w:r>
          </w:p>
          <w:p>
            <w:pPr>
              <w:spacing w:before="120"/>
              <w:ind w:firstLine="5985" w:firstLineChars="2850"/>
              <w:rPr>
                <w:szCs w:val="21"/>
              </w:rPr>
            </w:pPr>
            <w:r>
              <w:rPr>
                <w:rFonts w:hint="eastAsia" w:ascii="Times New Roman"/>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52" w:hRule="atLeast"/>
        </w:trPr>
        <w:tc>
          <w:tcPr>
            <w:tcW w:w="8610" w:type="dxa"/>
            <w:gridSpan w:val="4"/>
            <w:tcBorders>
              <w:top w:val="single" w:color="auto" w:sz="4" w:space="0"/>
              <w:left w:val="single" w:color="auto" w:sz="8" w:space="0"/>
              <w:bottom w:val="single" w:color="auto" w:sz="8" w:space="0"/>
              <w:right w:val="single" w:color="auto" w:sz="8" w:space="0"/>
            </w:tcBorders>
            <w:noWrap w:val="0"/>
            <w:vAlign w:val="center"/>
          </w:tcPr>
          <w:p>
            <w:pPr>
              <w:rPr>
                <w:szCs w:val="21"/>
              </w:rPr>
            </w:pPr>
            <w:r>
              <w:rPr>
                <w:rFonts w:hint="eastAsia"/>
                <w:szCs w:val="21"/>
              </w:rPr>
              <w:t>注：</w:t>
            </w:r>
            <w:r>
              <w:rPr>
                <w:szCs w:val="21"/>
              </w:rPr>
              <w:t>1</w:t>
            </w:r>
            <w:r>
              <w:rPr>
                <w:rFonts w:hint="eastAsia"/>
                <w:szCs w:val="21"/>
              </w:rPr>
              <w:t>、本联系单分为建设单位工程联系单（</w:t>
            </w:r>
            <w:r>
              <w:rPr>
                <w:szCs w:val="21"/>
              </w:rPr>
              <w:t>C.0.1</w:t>
            </w:r>
            <w:r>
              <w:rPr>
                <w:szCs w:val="21"/>
                <w:u w:val="single"/>
              </w:rPr>
              <w:t>1</w:t>
            </w:r>
            <w:r>
              <w:rPr>
                <w:rFonts w:hint="eastAsia"/>
                <w:szCs w:val="21"/>
              </w:rPr>
              <w:t>）、项目监理机构工程联系单（</w:t>
            </w:r>
            <w:r>
              <w:rPr>
                <w:szCs w:val="21"/>
              </w:rPr>
              <w:t>C.0.1</w:t>
            </w:r>
            <w:r>
              <w:rPr>
                <w:szCs w:val="21"/>
                <w:u w:val="single"/>
              </w:rPr>
              <w:t>2</w:t>
            </w:r>
            <w:r>
              <w:rPr>
                <w:rFonts w:hint="eastAsia"/>
                <w:szCs w:val="21"/>
              </w:rPr>
              <w:t>）、施工单位工程联系单（</w:t>
            </w:r>
            <w:r>
              <w:rPr>
                <w:szCs w:val="21"/>
              </w:rPr>
              <w:t>C.0.1</w:t>
            </w:r>
            <w:r>
              <w:rPr>
                <w:szCs w:val="21"/>
                <w:u w:val="single"/>
              </w:rPr>
              <w:t>3</w:t>
            </w:r>
            <w:r>
              <w:rPr>
                <w:rFonts w:hint="eastAsia"/>
                <w:szCs w:val="21"/>
              </w:rPr>
              <w:t>）。</w:t>
            </w:r>
          </w:p>
          <w:p>
            <w:pPr>
              <w:ind w:firstLine="420" w:firstLineChars="200"/>
              <w:rPr>
                <w:szCs w:val="21"/>
              </w:rPr>
            </w:pPr>
            <w:r>
              <w:rPr>
                <w:szCs w:val="21"/>
              </w:rPr>
              <w:t>2</w:t>
            </w:r>
            <w:r>
              <w:rPr>
                <w:rFonts w:hint="eastAsia"/>
                <w:szCs w:val="21"/>
              </w:rPr>
              <w:t>、收文单位如有疑义，应在自收到本联系单后</w:t>
            </w:r>
            <w:r>
              <w:rPr>
                <w:szCs w:val="21"/>
              </w:rPr>
              <w:t>48</w:t>
            </w:r>
            <w:r>
              <w:rPr>
                <w:rFonts w:hint="eastAsia"/>
                <w:szCs w:val="21"/>
              </w:rPr>
              <w:t>小时内书面提出。</w:t>
            </w:r>
          </w:p>
          <w:p>
            <w:pPr>
              <w:ind w:firstLine="420" w:firstLineChars="200"/>
              <w:rPr>
                <w:szCs w:val="21"/>
              </w:rPr>
            </w:pPr>
            <w:r>
              <w:rPr>
                <w:szCs w:val="21"/>
              </w:rPr>
              <w:t>3</w:t>
            </w:r>
            <w:r>
              <w:rPr>
                <w:rFonts w:hint="eastAsia" w:ascii="Times New Roman"/>
                <w:szCs w:val="21"/>
              </w:rPr>
              <w:t>、本表发文与收文单位各一份。</w:t>
            </w:r>
          </w:p>
        </w:tc>
      </w:tr>
    </w:tbl>
    <w:p>
      <w:pPr>
        <w:rPr>
          <w:rFonts w:ascii="Times New Roman" w:eastAsia="隶书"/>
        </w:rPr>
      </w:pPr>
      <w:r>
        <w:rPr>
          <w:rFonts w:hint="eastAsia" w:ascii="Times New Roman" w:eastAsia="隶书"/>
        </w:rPr>
        <w:t>第六版表                                              江苏省住房和城乡建设厅监制</w:t>
      </w:r>
    </w:p>
    <w:p>
      <w:pPr>
        <w:jc w:val="right"/>
        <w:rPr>
          <w:rFonts w:hint="eastAsia" w:eastAsia="黑体"/>
          <w:b/>
          <w:sz w:val="28"/>
          <w:szCs w:val="28"/>
          <w14:shadow w14:blurRad="50800" w14:dist="38100" w14:dir="2700000" w14:sx="100000" w14:sy="100000" w14:kx="0" w14:ky="0" w14:algn="tl">
            <w14:srgbClr w14:val="000000">
              <w14:alpha w14:val="60000"/>
            </w14:srgbClr>
          </w14:shadow>
        </w:rPr>
      </w:pPr>
      <w:r>
        <w:rPr>
          <w:b/>
          <w:szCs w:val="21"/>
        </w:rPr>
        <w:br w:type="column"/>
      </w:r>
      <w:r>
        <w:rPr>
          <w:rFonts w:eastAsia="黑体"/>
          <w:b/>
          <w:sz w:val="28"/>
          <w:szCs w:val="28"/>
          <w14:shadow w14:blurRad="50800" w14:dist="38100" w14:dir="2700000" w14:sx="100000" w14:sy="100000" w14:kx="0" w14:ky="0" w14:algn="tl">
            <w14:srgbClr w14:val="000000">
              <w14:alpha w14:val="60000"/>
            </w14:srgbClr>
          </w14:shadow>
        </w:rPr>
        <w:t>C.0.2</w:t>
      </w:r>
    </w:p>
    <w:p>
      <w:pPr>
        <w:spacing w:before="240" w:beforeLines="100" w:after="240" w:afterLines="100" w:line="300" w:lineRule="exact"/>
        <w:jc w:val="center"/>
        <w:rPr>
          <w:rFonts w:eastAsia="黑体"/>
          <w:sz w:val="44"/>
          <w14:shadow w14:blurRad="50800" w14:dist="38100" w14:dir="2700000" w14:sx="100000" w14:sy="100000" w14:kx="0" w14:ky="0" w14:algn="tl">
            <w14:srgbClr w14:val="000000">
              <w14:alpha w14:val="60000"/>
            </w14:srgbClr>
          </w14:shadow>
        </w:rPr>
      </w:pPr>
      <w:r>
        <w:rPr>
          <w:rFonts w:hint="eastAsia" w:eastAsia="黑体"/>
          <w:sz w:val="44"/>
          <w14:shadow w14:blurRad="50800" w14:dist="38100" w14:dir="2700000" w14:sx="100000" w14:sy="100000" w14:kx="0" w14:ky="0" w14:algn="tl">
            <w14:srgbClr w14:val="000000">
              <w14:alpha w14:val="60000"/>
            </w14:srgbClr>
          </w14:shadow>
        </w:rPr>
        <w:t>索赔意向通知书</w:t>
      </w:r>
    </w:p>
    <w:p>
      <w:pPr>
        <w:spacing w:after="120" w:afterLines="50" w:line="420" w:lineRule="exact"/>
        <w:ind w:left="21" w:hanging="21" w:hangingChars="10"/>
        <w:rPr>
          <w:szCs w:val="21"/>
        </w:rPr>
      </w:pPr>
      <w:r>
        <w:rPr>
          <w:rFonts w:hint="eastAsia"/>
          <w:szCs w:val="21"/>
        </w:rPr>
        <w:t>工程名称：</w:t>
      </w:r>
      <w:r>
        <w:rPr>
          <w:rFonts w:hint="eastAsia"/>
          <w:szCs w:val="21"/>
          <w:u w:val="single"/>
        </w:rPr>
        <w:t>　　　　　　　　　</w:t>
      </w:r>
      <w:r>
        <w:rPr>
          <w:szCs w:val="21"/>
          <w:u w:val="single"/>
        </w:rPr>
        <w:t xml:space="preserve">     </w:t>
      </w:r>
      <w:r>
        <w:rPr>
          <w:rFonts w:hint="eastAsia"/>
          <w:szCs w:val="21"/>
          <w:u w:val="single"/>
        </w:rPr>
        <w:t>　　　</w:t>
      </w:r>
      <w:r>
        <w:rPr>
          <w:szCs w:val="21"/>
          <w:u w:val="single"/>
        </w:rPr>
        <w:t xml:space="preserve">       </w:t>
      </w:r>
      <w:r>
        <w:rPr>
          <w:szCs w:val="21"/>
        </w:rPr>
        <w:t xml:space="preserve">              </w:t>
      </w:r>
      <w:r>
        <w:rPr>
          <w:rFonts w:hint="eastAsia"/>
          <w:szCs w:val="21"/>
        </w:rPr>
        <w:t>编号：</w:t>
      </w:r>
      <w:r>
        <w:rPr>
          <w:szCs w:val="21"/>
        </w:rPr>
        <w:t>C.0.2</w:t>
      </w:r>
      <w:r>
        <w:rPr>
          <w:rFonts w:hint="eastAsia"/>
          <w:szCs w:val="21"/>
        </w:rPr>
        <w:t>－</w:t>
      </w:r>
      <w:r>
        <w:rPr>
          <w:rFonts w:hint="eastAsia"/>
          <w:szCs w:val="21"/>
          <w:u w:val="single"/>
        </w:rPr>
        <w:t>　</w:t>
      </w:r>
      <w:r>
        <w:rPr>
          <w:szCs w:val="21"/>
          <w:u w:val="single"/>
        </w:rPr>
        <w:t xml:space="preserve">  </w:t>
      </w:r>
      <w:r>
        <w:rPr>
          <w:rFonts w:hint="eastAsia"/>
          <w:szCs w:val="21"/>
          <w:u w:val="single"/>
        </w:rPr>
        <w:t>　　</w:t>
      </w:r>
    </w:p>
    <w:tbl>
      <w:tblPr>
        <w:tblStyle w:val="1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977"/>
        <w:gridCol w:w="2085"/>
        <w:gridCol w:w="20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02" w:hRule="atLeast"/>
        </w:trPr>
        <w:tc>
          <w:tcPr>
            <w:tcW w:w="1526" w:type="dxa"/>
            <w:tcBorders>
              <w:top w:val="single" w:color="auto" w:sz="8" w:space="0"/>
              <w:left w:val="single" w:color="auto" w:sz="8" w:space="0"/>
              <w:bottom w:val="single" w:color="auto" w:sz="4" w:space="0"/>
              <w:right w:val="single" w:color="auto" w:sz="4" w:space="0"/>
            </w:tcBorders>
            <w:noWrap w:val="0"/>
            <w:vAlign w:val="center"/>
          </w:tcPr>
          <w:p>
            <w:pPr>
              <w:ind w:left="-105" w:leftChars="-50" w:right="-105" w:rightChars="-50"/>
              <w:jc w:val="center"/>
              <w:rPr>
                <w:szCs w:val="21"/>
              </w:rPr>
            </w:pPr>
            <w:r>
              <w:rPr>
                <w:rFonts w:hint="eastAsia"/>
                <w:szCs w:val="21"/>
              </w:rPr>
              <w:t>项目监理机构签收人姓名及时间</w:t>
            </w:r>
          </w:p>
        </w:tc>
        <w:tc>
          <w:tcPr>
            <w:tcW w:w="2977" w:type="dxa"/>
            <w:tcBorders>
              <w:top w:val="single" w:color="auto" w:sz="8" w:space="0"/>
              <w:left w:val="single" w:color="auto" w:sz="4" w:space="0"/>
              <w:bottom w:val="single" w:color="auto" w:sz="4" w:space="0"/>
              <w:right w:val="single" w:color="auto" w:sz="4" w:space="0"/>
            </w:tcBorders>
            <w:noWrap w:val="0"/>
            <w:vAlign w:val="center"/>
          </w:tcPr>
          <w:p>
            <w:pPr>
              <w:ind w:left="-105" w:leftChars="-50" w:right="-105" w:rightChars="-50"/>
              <w:jc w:val="center"/>
              <w:rPr>
                <w:szCs w:val="21"/>
              </w:rPr>
            </w:pPr>
          </w:p>
        </w:tc>
        <w:tc>
          <w:tcPr>
            <w:tcW w:w="2085" w:type="dxa"/>
            <w:tcBorders>
              <w:top w:val="single" w:color="auto" w:sz="8" w:space="0"/>
              <w:left w:val="single" w:color="auto" w:sz="4" w:space="0"/>
              <w:bottom w:val="single" w:color="auto" w:sz="4" w:space="0"/>
              <w:right w:val="single" w:color="auto" w:sz="4" w:space="0"/>
            </w:tcBorders>
            <w:noWrap w:val="0"/>
            <w:vAlign w:val="center"/>
          </w:tcPr>
          <w:p>
            <w:pPr>
              <w:ind w:left="-105" w:leftChars="-50" w:right="-105" w:rightChars="-50"/>
              <w:jc w:val="center"/>
              <w:rPr>
                <w:szCs w:val="21"/>
              </w:rPr>
            </w:pPr>
            <w:r>
              <w:rPr>
                <w:rFonts w:hint="eastAsia"/>
                <w:szCs w:val="21"/>
              </w:rPr>
              <w:t>被索赔方签收人姓名及时间</w:t>
            </w:r>
          </w:p>
        </w:tc>
        <w:tc>
          <w:tcPr>
            <w:tcW w:w="2010" w:type="dxa"/>
            <w:tcBorders>
              <w:top w:val="single" w:color="auto" w:sz="8" w:space="0"/>
              <w:left w:val="single" w:color="auto" w:sz="4" w:space="0"/>
              <w:bottom w:val="single" w:color="auto" w:sz="4" w:space="0"/>
              <w:right w:val="single" w:color="auto" w:sz="8" w:space="0"/>
            </w:tcBorders>
            <w:noWrap w:val="0"/>
            <w:vAlign w:val="center"/>
          </w:tcPr>
          <w:p>
            <w:pPr>
              <w:ind w:left="-105" w:leftChars="-50" w:right="-105" w:rightChars="-5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561" w:hRule="atLeast"/>
        </w:trPr>
        <w:tc>
          <w:tcPr>
            <w:tcW w:w="8598" w:type="dxa"/>
            <w:gridSpan w:val="4"/>
            <w:tcBorders>
              <w:top w:val="single" w:color="auto" w:sz="4" w:space="0"/>
              <w:left w:val="single" w:color="auto" w:sz="8" w:space="0"/>
              <w:bottom w:val="single" w:color="auto" w:sz="4" w:space="0"/>
              <w:right w:val="single" w:color="auto" w:sz="8" w:space="0"/>
            </w:tcBorders>
            <w:noWrap w:val="0"/>
            <w:vAlign w:val="top"/>
          </w:tcPr>
          <w:p>
            <w:pPr>
              <w:spacing w:line="420" w:lineRule="exact"/>
              <w:rPr>
                <w:szCs w:val="21"/>
                <w:u w:val="single"/>
              </w:rPr>
            </w:pPr>
            <w:r>
              <w:rPr>
                <w:rFonts w:hint="eastAsia"/>
                <w:szCs w:val="21"/>
              </w:rPr>
              <w:t>致：</w:t>
            </w:r>
            <w:r>
              <w:rPr>
                <w:rFonts w:hint="eastAsia"/>
                <w:szCs w:val="21"/>
                <w:u w:val="single"/>
              </w:rPr>
              <w:t>　　　　　　　　　　　</w:t>
            </w:r>
          </w:p>
          <w:p>
            <w:pPr>
              <w:spacing w:line="420" w:lineRule="exact"/>
              <w:rPr>
                <w:szCs w:val="21"/>
              </w:rPr>
            </w:pPr>
          </w:p>
          <w:p>
            <w:pPr>
              <w:spacing w:line="420" w:lineRule="exact"/>
              <w:ind w:left="420" w:leftChars="200"/>
              <w:rPr>
                <w:szCs w:val="21"/>
              </w:rPr>
            </w:pPr>
            <w:r>
              <w:rPr>
                <w:rFonts w:hint="eastAsia"/>
                <w:szCs w:val="21"/>
              </w:rPr>
              <w:t>根据施工合同</w:t>
            </w:r>
            <w:r>
              <w:rPr>
                <w:rFonts w:hint="eastAsia"/>
                <w:szCs w:val="21"/>
                <w:u w:val="single"/>
              </w:rPr>
              <w:t>　　　　　　　　　　　　　　　　</w:t>
            </w:r>
            <w:r>
              <w:rPr>
                <w:rFonts w:hint="eastAsia"/>
                <w:szCs w:val="21"/>
              </w:rPr>
              <w:t>（条款）约定，由于发生了</w:t>
            </w:r>
          </w:p>
          <w:p>
            <w:pPr>
              <w:spacing w:line="420" w:lineRule="exact"/>
              <w:rPr>
                <w:szCs w:val="21"/>
              </w:rPr>
            </w:pPr>
            <w:r>
              <w:rPr>
                <w:rFonts w:hint="eastAsia"/>
                <w:szCs w:val="21"/>
                <w:u w:val="single"/>
              </w:rPr>
              <w:t>　　　　　　　　　　　　　　　　　　　　　　　　　</w:t>
            </w:r>
            <w:r>
              <w:rPr>
                <w:rFonts w:hint="eastAsia"/>
                <w:szCs w:val="21"/>
              </w:rPr>
              <w:t>事件，且该事件的发生非我方原因所致。为此，我方向</w:t>
            </w:r>
            <w:r>
              <w:rPr>
                <w:rFonts w:hint="eastAsia"/>
                <w:szCs w:val="21"/>
                <w:u w:val="single"/>
              </w:rPr>
              <w:t>　　　　　　　　</w:t>
            </w:r>
            <w:r>
              <w:rPr>
                <w:rFonts w:hint="eastAsia"/>
                <w:szCs w:val="21"/>
              </w:rPr>
              <w:t>（单位）提出索赔要求。</w:t>
            </w:r>
          </w:p>
          <w:p>
            <w:pPr>
              <w:spacing w:line="420" w:lineRule="exact"/>
              <w:rPr>
                <w:szCs w:val="21"/>
              </w:rPr>
            </w:pPr>
          </w:p>
          <w:p>
            <w:pPr>
              <w:spacing w:line="420" w:lineRule="exact"/>
              <w:ind w:firstLine="420" w:firstLineChars="200"/>
              <w:rPr>
                <w:szCs w:val="21"/>
              </w:rPr>
            </w:pPr>
            <w:r>
              <w:rPr>
                <w:rFonts w:hint="eastAsia"/>
                <w:szCs w:val="21"/>
              </w:rPr>
              <w:t>附件：索赔相关资料</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ind w:firstLine="4830" w:firstLineChars="2300"/>
              <w:rPr>
                <w:szCs w:val="21"/>
                <w:u w:val="single"/>
              </w:rPr>
            </w:pPr>
            <w:r>
              <w:rPr>
                <w:rFonts w:hint="eastAsia"/>
                <w:szCs w:val="21"/>
              </w:rPr>
              <w:t>提出单位（章）：</w:t>
            </w:r>
            <w:r>
              <w:rPr>
                <w:rFonts w:hint="eastAsia"/>
                <w:szCs w:val="21"/>
                <w:u w:val="single"/>
              </w:rPr>
              <w:t>　　</w:t>
            </w:r>
            <w:r>
              <w:rPr>
                <w:szCs w:val="21"/>
                <w:u w:val="single"/>
              </w:rPr>
              <w:t xml:space="preserve">    </w:t>
            </w:r>
            <w:r>
              <w:rPr>
                <w:rFonts w:hint="eastAsia"/>
                <w:szCs w:val="21"/>
                <w:u w:val="single"/>
              </w:rPr>
              <w:t>　　</w:t>
            </w:r>
            <w:r>
              <w:rPr>
                <w:szCs w:val="21"/>
                <w:u w:val="single"/>
              </w:rPr>
              <w:t xml:space="preserve"> </w:t>
            </w:r>
            <w:r>
              <w:rPr>
                <w:rFonts w:hint="eastAsia"/>
                <w:szCs w:val="21"/>
                <w:u w:val="single"/>
              </w:rPr>
              <w:t>　　　</w:t>
            </w:r>
          </w:p>
          <w:p>
            <w:pPr>
              <w:spacing w:before="120"/>
              <w:ind w:firstLine="4830" w:firstLineChars="2300"/>
              <w:rPr>
                <w:szCs w:val="21"/>
              </w:rPr>
            </w:pPr>
            <w:r>
              <w:rPr>
                <w:rFonts w:hint="eastAsia"/>
                <w:szCs w:val="21"/>
              </w:rPr>
              <w:t>项目负责人（签字）：</w:t>
            </w:r>
            <w:r>
              <w:rPr>
                <w:rFonts w:hint="eastAsia"/>
                <w:szCs w:val="21"/>
                <w:u w:val="single"/>
              </w:rPr>
              <w:t>　　　</w:t>
            </w:r>
            <w:r>
              <w:rPr>
                <w:szCs w:val="21"/>
                <w:u w:val="single"/>
              </w:rPr>
              <w:t xml:space="preserve">     </w:t>
            </w:r>
            <w:r>
              <w:rPr>
                <w:rFonts w:hint="eastAsia"/>
                <w:szCs w:val="21"/>
                <w:u w:val="single"/>
              </w:rPr>
              <w:t>　</w:t>
            </w:r>
            <w:r>
              <w:rPr>
                <w:szCs w:val="21"/>
                <w:u w:val="single"/>
              </w:rPr>
              <w:t xml:space="preserve"> </w:t>
            </w:r>
            <w:r>
              <w:rPr>
                <w:szCs w:val="21"/>
              </w:rPr>
              <w:t xml:space="preserve">  </w:t>
            </w:r>
          </w:p>
          <w:p>
            <w:pPr>
              <w:spacing w:before="120"/>
              <w:jc w:val="right"/>
              <w:rPr>
                <w:szCs w:val="21"/>
              </w:rPr>
            </w:pPr>
            <w:r>
              <w:rPr>
                <w:rFonts w:hint="eastAsia" w:ascii="Times New Roman"/>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33" w:hRule="atLeast"/>
        </w:trPr>
        <w:tc>
          <w:tcPr>
            <w:tcW w:w="8598" w:type="dxa"/>
            <w:gridSpan w:val="4"/>
            <w:tcBorders>
              <w:top w:val="single" w:color="auto" w:sz="4" w:space="0"/>
              <w:left w:val="single" w:color="auto" w:sz="8" w:space="0"/>
              <w:bottom w:val="single" w:color="auto" w:sz="8" w:space="0"/>
              <w:right w:val="single" w:color="auto" w:sz="8" w:space="0"/>
            </w:tcBorders>
            <w:noWrap w:val="0"/>
            <w:vAlign w:val="center"/>
          </w:tcPr>
          <w:p>
            <w:pPr>
              <w:ind w:left="315" w:hanging="315" w:hangingChars="150"/>
              <w:rPr>
                <w:szCs w:val="21"/>
              </w:rPr>
            </w:pPr>
            <w:r>
              <w:rPr>
                <w:rFonts w:hint="eastAsia"/>
                <w:szCs w:val="21"/>
              </w:rPr>
              <w:t>注：</w:t>
            </w:r>
            <w:r>
              <w:rPr>
                <w:szCs w:val="21"/>
              </w:rPr>
              <w:t>1</w:t>
            </w:r>
            <w:r>
              <w:rPr>
                <w:rFonts w:hint="eastAsia"/>
                <w:szCs w:val="21"/>
              </w:rPr>
              <w:t>、索赔人和被索赔人及项目监理机构应按施工合同约定的程序及时限处理索赔事件。</w:t>
            </w:r>
          </w:p>
          <w:p>
            <w:pPr>
              <w:ind w:left="315" w:hanging="315" w:hangingChars="150"/>
              <w:rPr>
                <w:szCs w:val="21"/>
              </w:rPr>
            </w:pPr>
            <w:r>
              <w:rPr>
                <w:szCs w:val="21"/>
              </w:rPr>
              <w:t xml:space="preserve">    2</w:t>
            </w:r>
            <w:r>
              <w:rPr>
                <w:rFonts w:hint="eastAsia"/>
                <w:szCs w:val="21"/>
              </w:rPr>
              <w:t>、本表一式三份，项目监理机构、建设单位、施工单位各一份。</w:t>
            </w:r>
          </w:p>
        </w:tc>
      </w:tr>
    </w:tbl>
    <w:p>
      <w:pPr>
        <w:rPr>
          <w:rFonts w:ascii="Times New Roman" w:eastAsia="隶书"/>
        </w:rPr>
      </w:pPr>
      <w:r>
        <w:rPr>
          <w:rFonts w:hint="eastAsia" w:ascii="Times New Roman" w:eastAsia="隶书"/>
        </w:rPr>
        <w:t>第六版表                                             江苏省住房和城乡建设厅监制</w:t>
      </w:r>
    </w:p>
    <w:p>
      <w:pPr>
        <w:snapToGrid w:val="0"/>
        <w:spacing w:line="600" w:lineRule="exact"/>
        <w:rPr>
          <w:rFonts w:hint="eastAsia" w:eastAsia="方正仿宋_GBK"/>
          <w:sz w:val="24"/>
        </w:rPr>
      </w:pPr>
    </w:p>
    <w:p>
      <w:pPr>
        <w:snapToGrid w:val="0"/>
        <w:spacing w:line="600" w:lineRule="exact"/>
        <w:rPr>
          <w:rFonts w:eastAsia="方正小标宋_GBK"/>
          <w:sz w:val="40"/>
          <w:szCs w:val="44"/>
        </w:rPr>
      </w:pPr>
      <w:r>
        <w:rPr>
          <w:rFonts w:eastAsia="方正仿宋_GBK"/>
          <w:sz w:val="24"/>
        </w:rPr>
        <w:br w:type="column"/>
      </w:r>
    </w:p>
    <w:p>
      <w:pPr>
        <w:snapToGrid w:val="0"/>
        <w:spacing w:line="600" w:lineRule="exact"/>
        <w:jc w:val="center"/>
        <w:rPr>
          <w:rFonts w:eastAsia="方正小标宋_GBK"/>
          <w:sz w:val="44"/>
          <w:szCs w:val="44"/>
        </w:rPr>
      </w:pPr>
      <w:r>
        <w:rPr>
          <w:rFonts w:hint="eastAsia" w:eastAsia="方正小标宋_GBK"/>
          <w:sz w:val="40"/>
          <w:szCs w:val="44"/>
        </w:rPr>
        <w:t>关于印发《</w:t>
      </w:r>
      <w:r>
        <w:rPr>
          <w:rFonts w:hint="eastAsia" w:eastAsia="方正小标宋_GBK"/>
          <w:sz w:val="44"/>
          <w:szCs w:val="44"/>
        </w:rPr>
        <w:t>江苏省建筑工人实名制管理和工资支付保障实施办法（试行）》的通知</w:t>
      </w:r>
    </w:p>
    <w:p>
      <w:pPr>
        <w:snapToGrid w:val="0"/>
        <w:spacing w:line="600" w:lineRule="exact"/>
        <w:jc w:val="center"/>
      </w:pPr>
      <w:r>
        <w:rPr>
          <w:rFonts w:hint="eastAsia"/>
        </w:rPr>
        <w:t>苏建规字〔</w:t>
      </w:r>
      <w:r>
        <w:t>2019</w:t>
      </w:r>
      <w:r>
        <w:rPr>
          <w:rFonts w:hint="eastAsia"/>
        </w:rPr>
        <w:t>〕</w:t>
      </w:r>
      <w:r>
        <w:t>4</w:t>
      </w:r>
      <w:r>
        <w:rPr>
          <w:rFonts w:hint="eastAsia"/>
        </w:rPr>
        <w:t>号</w:t>
      </w:r>
    </w:p>
    <w:p>
      <w:pPr>
        <w:snapToGrid w:val="0"/>
        <w:spacing w:line="600" w:lineRule="exact"/>
        <w:jc w:val="center"/>
        <w:rPr>
          <w:rFonts w:eastAsia="方正小标宋_GBK"/>
          <w:sz w:val="40"/>
          <w:szCs w:val="44"/>
        </w:rPr>
      </w:pPr>
    </w:p>
    <w:p>
      <w:pPr>
        <w:snapToGrid w:val="0"/>
        <w:spacing w:line="600" w:lineRule="exact"/>
        <w:jc w:val="left"/>
      </w:pPr>
      <w:r>
        <w:rPr>
          <w:rFonts w:hint="eastAsia"/>
        </w:rPr>
        <w:t>各设区市住房城乡建设局（委）、人力资源社会保障局，中国人民银行南京分行营业管理部、江苏省各市中心支行：</w:t>
      </w:r>
    </w:p>
    <w:p>
      <w:pPr>
        <w:snapToGrid w:val="0"/>
        <w:spacing w:line="600" w:lineRule="exact"/>
        <w:jc w:val="left"/>
        <w:rPr>
          <w:rFonts w:eastAsia="方正小标宋_GBK"/>
          <w:sz w:val="40"/>
          <w:szCs w:val="44"/>
        </w:rPr>
      </w:pPr>
      <w:r>
        <w:t xml:space="preserve">    </w:t>
      </w:r>
      <w:r>
        <w:rPr>
          <w:rFonts w:hint="eastAsia"/>
        </w:rPr>
        <w:t>为切实加强建筑工人实名制管理、落实工资支付保障工作，维护建筑企业和建筑工人的合法权益，依据《建筑法》《劳动合同法》有关规定以及《国务院办公厅关于全面治理拖欠农民工工资问题的意见》（国办发〔</w:t>
      </w:r>
      <w:r>
        <w:t>2016</w:t>
      </w:r>
      <w:r>
        <w:rPr>
          <w:rFonts w:hint="eastAsia"/>
        </w:rPr>
        <w:t>〕</w:t>
      </w:r>
      <w:r>
        <w:t>1</w:t>
      </w:r>
      <w:r>
        <w:rPr>
          <w:rFonts w:hint="eastAsia"/>
        </w:rPr>
        <w:t>号）、《住房和城乡建设部</w:t>
      </w:r>
      <w:r>
        <w:t xml:space="preserve"> </w:t>
      </w:r>
      <w:r>
        <w:rPr>
          <w:rFonts w:hint="eastAsia"/>
        </w:rPr>
        <w:t>人力资源和社会保障部关于印发建筑工人实名制管理办法（试行）的通知》（建市〔</w:t>
      </w:r>
      <w:r>
        <w:t>2019</w:t>
      </w:r>
      <w:r>
        <w:rPr>
          <w:rFonts w:hint="eastAsia"/>
        </w:rPr>
        <w:t>〕</w:t>
      </w:r>
      <w:r>
        <w:t>18</w:t>
      </w:r>
      <w:r>
        <w:rPr>
          <w:rFonts w:hint="eastAsia"/>
        </w:rPr>
        <w:t>号）和《省政府办公厅关于全面治理拖欠农民工工资问题的实施意见》（苏政办发〔</w:t>
      </w:r>
      <w:r>
        <w:t>2016</w:t>
      </w:r>
      <w:r>
        <w:rPr>
          <w:rFonts w:hint="eastAsia"/>
        </w:rPr>
        <w:t>〕</w:t>
      </w:r>
      <w:r>
        <w:t>85</w:t>
      </w:r>
      <w:r>
        <w:rPr>
          <w:rFonts w:hint="eastAsia"/>
        </w:rPr>
        <w:t>号）等文件精神，省住房城乡建设厅、人力资源社会保障厅、中国人民银行南京分行共同制定了《江苏省建筑工人实名制管理和工资支付保障实施办法（试行）》，</w:t>
      </w:r>
      <w:r>
        <w:t>2019</w:t>
      </w:r>
      <w:r>
        <w:rPr>
          <w:rFonts w:hint="eastAsia"/>
        </w:rPr>
        <w:t>年</w:t>
      </w:r>
      <w:r>
        <w:t>11</w:t>
      </w:r>
      <w:r>
        <w:rPr>
          <w:rFonts w:hint="eastAsia"/>
        </w:rPr>
        <w:t>月</w:t>
      </w:r>
      <w:r>
        <w:t>8</w:t>
      </w:r>
      <w:r>
        <w:rPr>
          <w:rFonts w:hint="eastAsia"/>
        </w:rPr>
        <w:t>日经省住房城乡建设厅常务会议审议通过，现予印发，自</w:t>
      </w:r>
      <w:r>
        <w:t>2019</w:t>
      </w:r>
      <w:r>
        <w:rPr>
          <w:rFonts w:hint="eastAsia"/>
        </w:rPr>
        <w:t>年</w:t>
      </w:r>
      <w:r>
        <w:t>12</w:t>
      </w:r>
      <w:r>
        <w:rPr>
          <w:rFonts w:hint="eastAsia"/>
        </w:rPr>
        <w:t>月</w:t>
      </w:r>
      <w:r>
        <w:t>10</w:t>
      </w:r>
      <w:r>
        <w:rPr>
          <w:rFonts w:hint="eastAsia"/>
        </w:rPr>
        <w:t>日起施行。</w:t>
      </w:r>
    </w:p>
    <w:p>
      <w:pPr>
        <w:snapToGrid w:val="0"/>
        <w:spacing w:line="600" w:lineRule="exact"/>
        <w:ind w:left="1600" w:hanging="1600" w:hangingChars="400"/>
        <w:jc w:val="left"/>
      </w:pPr>
      <w:r>
        <w:rPr>
          <w:rFonts w:eastAsia="方正小标宋_GBK"/>
          <w:sz w:val="40"/>
          <w:szCs w:val="44"/>
        </w:rPr>
        <w:t xml:space="preserve">   </w:t>
      </w:r>
      <w:r>
        <w:rPr>
          <w:rFonts w:hint="eastAsia"/>
        </w:rPr>
        <w:t>附件：江苏省建筑工人实名制管理和工资支付保障实施办法</w:t>
      </w:r>
    </w:p>
    <w:p>
      <w:pPr>
        <w:snapToGrid w:val="0"/>
        <w:spacing w:line="600" w:lineRule="exact"/>
        <w:ind w:left="840" w:leftChars="400" w:firstLine="109" w:firstLineChars="52"/>
        <w:jc w:val="left"/>
        <w:rPr>
          <w:rFonts w:eastAsia="方正小标宋_GBK"/>
          <w:sz w:val="40"/>
          <w:szCs w:val="44"/>
        </w:rPr>
      </w:pPr>
      <w:r>
        <w:rPr>
          <w:rFonts w:hint="eastAsia"/>
        </w:rPr>
        <w:t>（试行）</w:t>
      </w:r>
    </w:p>
    <w:p>
      <w:pPr>
        <w:snapToGrid w:val="0"/>
        <w:spacing w:line="600" w:lineRule="exact"/>
        <w:jc w:val="right"/>
      </w:pPr>
      <w:r>
        <w:t xml:space="preserve">                                        </w:t>
      </w:r>
      <w:r>
        <w:rPr>
          <w:rFonts w:hint="eastAsia"/>
        </w:rPr>
        <w:t>江苏省住房和城乡建设厅</w:t>
      </w:r>
      <w:r>
        <w:t xml:space="preserve">     </w:t>
      </w:r>
    </w:p>
    <w:p>
      <w:pPr>
        <w:snapToGrid w:val="0"/>
        <w:spacing w:line="600" w:lineRule="exact"/>
        <w:jc w:val="right"/>
      </w:pPr>
      <w:r>
        <w:t xml:space="preserve"> </w:t>
      </w:r>
      <w:r>
        <w:rPr>
          <w:rFonts w:hint="eastAsia"/>
        </w:rPr>
        <w:t>江苏省人力资源和社会保障厅</w:t>
      </w:r>
      <w:r>
        <w:t xml:space="preserve">                           </w:t>
      </w:r>
    </w:p>
    <w:p>
      <w:pPr>
        <w:snapToGrid w:val="0"/>
        <w:spacing w:line="600" w:lineRule="exact"/>
        <w:jc w:val="right"/>
      </w:pPr>
      <w:r>
        <w:rPr>
          <w:rFonts w:hint="eastAsia"/>
        </w:rPr>
        <w:t>中国人民银行南京分行</w:t>
      </w:r>
    </w:p>
    <w:p>
      <w:pPr>
        <w:snapToGrid w:val="0"/>
        <w:spacing w:line="600" w:lineRule="exact"/>
        <w:jc w:val="center"/>
      </w:pPr>
      <w:r>
        <w:t xml:space="preserve">                                                       2019</w:t>
      </w:r>
      <w:r>
        <w:rPr>
          <w:rFonts w:hint="eastAsia"/>
        </w:rPr>
        <w:t>年</w:t>
      </w:r>
      <w:r>
        <w:t>11</w:t>
      </w:r>
      <w:r>
        <w:rPr>
          <w:rFonts w:hint="eastAsia"/>
        </w:rPr>
        <w:t>月</w:t>
      </w:r>
      <w:r>
        <w:t>21</w:t>
      </w:r>
      <w:r>
        <w:rPr>
          <w:rFonts w:hint="eastAsia"/>
        </w:rPr>
        <w:t>日</w:t>
      </w:r>
    </w:p>
    <w:p>
      <w:pPr>
        <w:snapToGrid w:val="0"/>
        <w:spacing w:line="600" w:lineRule="exact"/>
        <w:jc w:val="center"/>
      </w:pPr>
    </w:p>
    <w:p>
      <w:pPr>
        <w:snapToGrid w:val="0"/>
        <w:spacing w:line="600" w:lineRule="exact"/>
        <w:ind w:firstLine="420" w:firstLineChars="200"/>
        <w:jc w:val="right"/>
      </w:pPr>
      <w:r>
        <w:rPr>
          <w:rFonts w:hint="eastAsia"/>
        </w:rPr>
        <w:t>（此件公开发布）</w:t>
      </w:r>
    </w:p>
    <w:p>
      <w:pPr>
        <w:snapToGrid w:val="0"/>
        <w:spacing w:line="570" w:lineRule="exact"/>
        <w:rPr>
          <w:rFonts w:eastAsia="黑体"/>
        </w:rPr>
      </w:pPr>
      <w:r>
        <w:br w:type="column"/>
      </w:r>
      <w:r>
        <w:rPr>
          <w:rFonts w:hint="eastAsia" w:hAnsi="Times New Roman" w:eastAsia="黑体"/>
        </w:rPr>
        <w:t>附件</w:t>
      </w:r>
    </w:p>
    <w:p>
      <w:pPr>
        <w:snapToGrid w:val="0"/>
        <w:spacing w:line="570" w:lineRule="exact"/>
      </w:pPr>
    </w:p>
    <w:p>
      <w:pPr>
        <w:snapToGrid w:val="0"/>
        <w:spacing w:line="570" w:lineRule="exact"/>
        <w:jc w:val="center"/>
        <w:rPr>
          <w:rFonts w:eastAsia="方正小标宋_GBK"/>
          <w:sz w:val="44"/>
          <w:szCs w:val="44"/>
        </w:rPr>
      </w:pPr>
      <w:r>
        <w:rPr>
          <w:rFonts w:hint="eastAsia" w:eastAsia="方正小标宋_GBK"/>
          <w:sz w:val="44"/>
          <w:szCs w:val="44"/>
        </w:rPr>
        <w:t>江苏省建筑工人实名制管理和工资支付保障实施办法（试行）</w:t>
      </w:r>
    </w:p>
    <w:p>
      <w:pPr>
        <w:snapToGrid w:val="0"/>
        <w:spacing w:line="570" w:lineRule="exact"/>
        <w:rPr>
          <w:rFonts w:eastAsia="黑体"/>
        </w:rPr>
      </w:pPr>
    </w:p>
    <w:p>
      <w:pPr>
        <w:snapToGrid w:val="0"/>
        <w:spacing w:line="570" w:lineRule="exact"/>
        <w:rPr>
          <w:rFonts w:eastAsia="华文中宋"/>
          <w:sz w:val="44"/>
          <w:szCs w:val="44"/>
        </w:rPr>
      </w:pPr>
      <w:r>
        <w:rPr>
          <w:rFonts w:eastAsia="方正黑体_GBK"/>
        </w:rPr>
        <w:t xml:space="preserve">    </w:t>
      </w:r>
      <w:r>
        <w:rPr>
          <w:rFonts w:hint="eastAsia" w:eastAsia="方正黑体_GBK"/>
        </w:rPr>
        <w:t>第一条</w:t>
      </w:r>
      <w:r>
        <w:rPr>
          <w:rFonts w:eastAsia="方正黑体_GBK"/>
        </w:rPr>
        <w:t xml:space="preserve">  </w:t>
      </w:r>
      <w:r>
        <w:rPr>
          <w:rFonts w:hint="eastAsia"/>
        </w:rPr>
        <w:t>为加强建筑工人实名制管理、落实工资支付保障工作，维护建筑企业和建筑工人的合法权益，依据《建筑法》《劳动合同法》有关规定以及《国务院办公厅关于全面治理拖欠农民工工资问题的意见》（国办发〔</w:t>
      </w:r>
      <w:r>
        <w:t>2016</w:t>
      </w:r>
      <w:r>
        <w:rPr>
          <w:rFonts w:hint="eastAsia"/>
        </w:rPr>
        <w:t>〕</w:t>
      </w:r>
      <w:r>
        <w:t>1</w:t>
      </w:r>
      <w:r>
        <w:rPr>
          <w:rFonts w:hint="eastAsia"/>
        </w:rPr>
        <w:t>号）、《住房和城乡建设部</w:t>
      </w:r>
      <w:r>
        <w:t xml:space="preserve"> </w:t>
      </w:r>
      <w:r>
        <w:rPr>
          <w:rFonts w:hint="eastAsia"/>
        </w:rPr>
        <w:t>人力资源和社会保障部关于印发建筑工人实名制管理办法（试行）的通知》（建市〔</w:t>
      </w:r>
      <w:r>
        <w:t>2019</w:t>
      </w:r>
      <w:r>
        <w:rPr>
          <w:rFonts w:hint="eastAsia"/>
        </w:rPr>
        <w:t>〕</w:t>
      </w:r>
      <w:r>
        <w:t>18</w:t>
      </w:r>
      <w:r>
        <w:rPr>
          <w:rFonts w:hint="eastAsia"/>
        </w:rPr>
        <w:t>号）和《省政府办公厅关于全面治理拖欠农民工工资问题的实施意见》（苏政办发〔</w:t>
      </w:r>
      <w:r>
        <w:t>2016</w:t>
      </w:r>
      <w:r>
        <w:rPr>
          <w:rFonts w:hint="eastAsia"/>
        </w:rPr>
        <w:t>〕</w:t>
      </w:r>
      <w:r>
        <w:t>85</w:t>
      </w:r>
      <w:r>
        <w:rPr>
          <w:rFonts w:hint="eastAsia"/>
        </w:rPr>
        <w:t>号）等文件精神，结合我省实际，制订本办法。</w:t>
      </w:r>
    </w:p>
    <w:p>
      <w:pPr>
        <w:snapToGrid w:val="0"/>
        <w:spacing w:line="570" w:lineRule="exact"/>
      </w:pPr>
      <w:r>
        <w:rPr>
          <w:rFonts w:eastAsia="黑体"/>
        </w:rPr>
        <w:t xml:space="preserve">    </w:t>
      </w:r>
      <w:r>
        <w:rPr>
          <w:rFonts w:hint="eastAsia" w:hAnsi="Times New Roman" w:eastAsia="黑体"/>
        </w:rPr>
        <w:t>第二条</w:t>
      </w:r>
      <w:r>
        <w:rPr>
          <w:rFonts w:eastAsia="黑体"/>
        </w:rPr>
        <w:t xml:space="preserve">  </w:t>
      </w:r>
      <w:r>
        <w:rPr>
          <w:rFonts w:hint="eastAsia"/>
          <w:spacing w:val="-8"/>
        </w:rPr>
        <w:t>本省行政区域内的房屋建筑和市政基础设施工程的建筑工人实名</w:t>
      </w:r>
      <w:r>
        <w:rPr>
          <w:rFonts w:hint="eastAsia"/>
        </w:rPr>
        <w:t>制管理、工资支付保障及其监督管理适用本办法。</w:t>
      </w:r>
    </w:p>
    <w:p>
      <w:pPr>
        <w:snapToGrid w:val="0"/>
        <w:spacing w:line="570" w:lineRule="exact"/>
        <w:ind w:firstLine="420" w:firstLineChars="200"/>
      </w:pPr>
      <w:r>
        <w:rPr>
          <w:rFonts w:hint="eastAsia" w:hAnsi="Times New Roman" w:eastAsia="黑体"/>
        </w:rPr>
        <w:t>第三条</w:t>
      </w:r>
      <w:r>
        <w:rPr>
          <w:rFonts w:eastAsia="黑体"/>
        </w:rPr>
        <w:t xml:space="preserve">  </w:t>
      </w:r>
      <w:r>
        <w:rPr>
          <w:rFonts w:hint="eastAsia"/>
        </w:rPr>
        <w:t>本办法所称建筑工人实名制是指对建筑企业所招用建筑工人的从业、培训、技能、权益保障等以真实身份信息认证方式进行综合管理的制度。进入施工现场的建设单位、建筑企业、监理单位的项目管理人员及建筑工人均应纳入建筑工人实名制管理。</w:t>
      </w:r>
    </w:p>
    <w:p>
      <w:pPr>
        <w:snapToGrid w:val="0"/>
        <w:spacing w:line="570" w:lineRule="exact"/>
        <w:ind w:firstLine="420" w:firstLineChars="200"/>
      </w:pPr>
      <w:r>
        <w:rPr>
          <w:rFonts w:hint="eastAsia"/>
        </w:rPr>
        <w:t>本办法所称建筑企业是指总承包企业和分包企业。总承包企业是指施工总承包、工程总承包以及依法与建设单位直接签订合同的专业承包企业。分包企业是指依法承接分包工程项目的专业承包施工企业、施工劳务企业。</w:t>
      </w:r>
    </w:p>
    <w:p>
      <w:pPr>
        <w:snapToGrid w:val="0"/>
        <w:spacing w:line="570" w:lineRule="exact"/>
        <w:ind w:firstLine="420" w:firstLineChars="200"/>
      </w:pPr>
      <w:r>
        <w:rPr>
          <w:rFonts w:hint="eastAsia"/>
          <w:bCs/>
          <w:kern w:val="0"/>
        </w:rPr>
        <w:t>本办法所称建筑工人工资专用账户，是指总承包企业在工程项目所在地银行，以工程项目为单位，为支付所招用的建筑工人工资开设的工资专用账户。</w:t>
      </w:r>
    </w:p>
    <w:p>
      <w:pPr>
        <w:snapToGrid w:val="0"/>
        <w:spacing w:line="570" w:lineRule="exact"/>
        <w:ind w:firstLine="420" w:firstLineChars="200"/>
      </w:pPr>
      <w:r>
        <w:rPr>
          <w:rFonts w:hint="eastAsia" w:eastAsia="方正黑体_GBK"/>
        </w:rPr>
        <w:t>第四条</w:t>
      </w:r>
      <w:r>
        <w:rPr>
          <w:rFonts w:eastAsia="方正黑体_GBK"/>
        </w:rPr>
        <w:t xml:space="preserve">  </w:t>
      </w:r>
      <w:r>
        <w:rPr>
          <w:rFonts w:hint="eastAsia"/>
        </w:rPr>
        <w:t>省住房城乡建设厅、人力资源社会保障厅依据各自职责分工对各地实施建筑工人实名制管理和工资支付保障工作进行指导和监督。</w:t>
      </w:r>
    </w:p>
    <w:p>
      <w:pPr>
        <w:snapToGrid w:val="0"/>
        <w:spacing w:line="570" w:lineRule="exact"/>
        <w:ind w:firstLine="420" w:firstLineChars="200"/>
      </w:pPr>
      <w:r>
        <w:rPr>
          <w:rFonts w:hint="eastAsia"/>
        </w:rPr>
        <w:t>各设区市、县（市）住房和城乡建设行政主管部门（以下简称住房城乡建设部门）、人力资源社会保障部门依据职责分工负责本行政区域建筑工人实名制管理，督促建筑企业在施工现场全面落实建筑工人实名制管理工作的各项要求。</w:t>
      </w:r>
    </w:p>
    <w:p>
      <w:pPr>
        <w:snapToGrid w:val="0"/>
        <w:spacing w:line="570" w:lineRule="exact"/>
        <w:ind w:firstLine="420" w:firstLineChars="200"/>
        <w:rPr>
          <w:rFonts w:eastAsia="方正黑体_GBK"/>
        </w:rPr>
      </w:pPr>
      <w:r>
        <w:rPr>
          <w:rFonts w:hint="eastAsia" w:hAnsi="Times New Roman" w:eastAsia="黑体"/>
        </w:rPr>
        <w:t>第五条</w:t>
      </w:r>
      <w:r>
        <w:rPr>
          <w:rFonts w:eastAsia="黑体"/>
        </w:rPr>
        <w:t xml:space="preserve">  </w:t>
      </w:r>
      <w:r>
        <w:rPr>
          <w:rFonts w:hint="eastAsia"/>
        </w:rPr>
        <w:t>建筑工人工资支付保障实行“谁承包谁负责，总包负总责”的原则，总承包企业对所承包工程的建筑工人工资</w:t>
      </w:r>
      <w:r>
        <w:rPr>
          <w:rFonts w:hint="eastAsia"/>
          <w:color w:val="000000"/>
        </w:rPr>
        <w:t>支付负总责，分包企业对分包工程的建筑工人工资支付负直接责任。</w:t>
      </w:r>
      <w:r>
        <w:rPr>
          <w:rFonts w:hint="eastAsia"/>
        </w:rPr>
        <w:t>建筑企业不得以应收工程款未到账等为由，克扣或拖欠建筑工人工资。</w:t>
      </w:r>
    </w:p>
    <w:p>
      <w:pPr>
        <w:snapToGrid w:val="0"/>
        <w:spacing w:line="570" w:lineRule="exact"/>
        <w:ind w:firstLine="420" w:firstLineChars="200"/>
      </w:pPr>
      <w:r>
        <w:rPr>
          <w:rFonts w:hint="eastAsia" w:hAnsi="Times New Roman" w:eastAsia="黑体"/>
        </w:rPr>
        <w:t>第六条</w:t>
      </w:r>
      <w:r>
        <w:rPr>
          <w:rFonts w:eastAsia="黑体"/>
        </w:rPr>
        <w:t xml:space="preserve">  </w:t>
      </w:r>
      <w:r>
        <w:rPr>
          <w:rFonts w:hint="eastAsia"/>
        </w:rPr>
        <w:t>建筑企业应当明确专职人员负责建筑工人实名制管理和工资支付等具体工作。专职人员的姓名和联系电话应当在“建筑工人维权告示牌”上进行公示。</w:t>
      </w:r>
    </w:p>
    <w:p>
      <w:pPr>
        <w:shd w:val="clear" w:color="auto" w:fill="FFFFFF"/>
        <w:spacing w:line="570" w:lineRule="exact"/>
        <w:ind w:firstLine="420" w:firstLineChars="200"/>
      </w:pPr>
      <w:r>
        <w:rPr>
          <w:rFonts w:hint="eastAsia" w:eastAsia="方正黑体_GBK"/>
        </w:rPr>
        <w:t>第七条</w:t>
      </w:r>
      <w:r>
        <w:rPr>
          <w:rFonts w:eastAsia="方正黑体_GBK"/>
        </w:rPr>
        <w:t xml:space="preserve">  </w:t>
      </w:r>
      <w:r>
        <w:rPr>
          <w:rFonts w:hint="eastAsia"/>
        </w:rPr>
        <w:t>省住房和城乡建设厅负责建立统一的建筑工人实名制信息管理服务平台，并与全国建筑工人实名制管理服务平台实现数据共享。各设区市、县（市）住房城乡建设部门应按照实名制管理权限，对本辖区内的建筑企业所报送的实名制管理信息与工资支付信息等数据进行核对，确保实名制平台内数据完整。</w:t>
      </w:r>
    </w:p>
    <w:p>
      <w:pPr>
        <w:shd w:val="clear" w:color="auto" w:fill="FFFFFF"/>
        <w:spacing w:line="570" w:lineRule="exact"/>
        <w:ind w:firstLine="420" w:firstLineChars="200"/>
      </w:pPr>
      <w:r>
        <w:rPr>
          <w:rFonts w:hint="eastAsia" w:eastAsia="方正黑体_GBK"/>
        </w:rPr>
        <w:t>第八条</w:t>
      </w:r>
      <w:r>
        <w:rPr>
          <w:rFonts w:eastAsia="方正黑体_GBK"/>
        </w:rPr>
        <w:t xml:space="preserve">  </w:t>
      </w:r>
      <w:r>
        <w:rPr>
          <w:rFonts w:hint="eastAsia"/>
        </w:rPr>
        <w:t>建筑企业通过“江苏省建筑工人实名制信息管理服务平台”（以下简称“实名制平台”）的企业用户端对本企业建筑工人和项目管理人员进行实名制信息认证，对信息真实性负责。</w:t>
      </w:r>
    </w:p>
    <w:p>
      <w:pPr>
        <w:shd w:val="clear" w:color="auto" w:fill="FFFFFF"/>
        <w:spacing w:line="570" w:lineRule="exact"/>
        <w:ind w:firstLine="420" w:firstLineChars="200"/>
      </w:pPr>
      <w:r>
        <w:rPr>
          <w:rFonts w:hint="eastAsia" w:eastAsia="方正黑体_GBK"/>
        </w:rPr>
        <w:t>第九条</w:t>
      </w:r>
      <w:r>
        <w:rPr>
          <w:rFonts w:eastAsia="方正黑体_GBK"/>
        </w:rPr>
        <w:t xml:space="preserve">  </w:t>
      </w:r>
      <w:r>
        <w:rPr>
          <w:rFonts w:hint="eastAsia"/>
        </w:rPr>
        <w:t>进入施工现场的建筑工人，要接受安全培训和实名制相关数据的登记。已录入省实名制平台的建筑工人，</w:t>
      </w:r>
      <w:r>
        <w:t>1</w:t>
      </w:r>
      <w:r>
        <w:rPr>
          <w:rFonts w:hint="eastAsia"/>
        </w:rPr>
        <w:t>年以上（含</w:t>
      </w:r>
      <w:r>
        <w:t>1</w:t>
      </w:r>
      <w:r>
        <w:rPr>
          <w:rFonts w:hint="eastAsia"/>
        </w:rPr>
        <w:t>年）无数据更新的，再次从事建筑作业时，建筑企业应对其重新进行安全培训，记录相关信息，未经安全培训不得进入施工现场上岗作业。</w:t>
      </w:r>
    </w:p>
    <w:p>
      <w:pPr>
        <w:shd w:val="clear" w:color="auto" w:fill="FFFFFF"/>
        <w:spacing w:line="570" w:lineRule="exact"/>
        <w:ind w:firstLine="420" w:firstLineChars="200"/>
        <w:rPr>
          <w:spacing w:val="-6"/>
        </w:rPr>
      </w:pPr>
      <w:r>
        <w:rPr>
          <w:rFonts w:hint="eastAsia" w:eastAsia="方正黑体_GBK"/>
        </w:rPr>
        <w:t>第十条</w:t>
      </w:r>
      <w:r>
        <w:rPr>
          <w:rFonts w:eastAsia="方正黑体_GBK"/>
        </w:rPr>
        <w:t xml:space="preserve">  </w:t>
      </w:r>
      <w:r>
        <w:rPr>
          <w:rFonts w:hint="eastAsia"/>
          <w:spacing w:val="-6"/>
        </w:rPr>
        <w:t>施工总承包企业（或工程项目总承包企业）对施工现场实名制管理负总责。具备封闭式管理条件的工程项目，应配备实名制管理所必须的硬件设施设备，设立进出场门禁系统，采用人脸、指纹、虹膜等生物识别技术进行考勤；不具备封闭式管理条件的工程项目，应采用移动定位、电子围栏等技术实施考勤管理。相关电子考勤和图像、影像等电子档案保存期限不少于</w:t>
      </w:r>
      <w:r>
        <w:rPr>
          <w:spacing w:val="-6"/>
        </w:rPr>
        <w:t>2</w:t>
      </w:r>
      <w:r>
        <w:rPr>
          <w:rFonts w:hint="eastAsia"/>
          <w:spacing w:val="-6"/>
        </w:rPr>
        <w:t>年。</w:t>
      </w:r>
    </w:p>
    <w:p>
      <w:pPr>
        <w:shd w:val="clear" w:color="auto" w:fill="FFFFFF"/>
        <w:spacing w:line="570" w:lineRule="exact"/>
        <w:ind w:firstLine="420" w:firstLineChars="200"/>
      </w:pPr>
      <w:r>
        <w:rPr>
          <w:rFonts w:hint="eastAsia" w:eastAsia="方正黑体_GBK"/>
        </w:rPr>
        <w:t>第十一条</w:t>
      </w:r>
      <w:r>
        <w:rPr>
          <w:rFonts w:eastAsia="方正黑体_GBK"/>
        </w:rPr>
        <w:t xml:space="preserve">  </w:t>
      </w:r>
      <w:r>
        <w:rPr>
          <w:rFonts w:hint="eastAsia"/>
        </w:rPr>
        <w:t>进入施工现场的建筑工人当日进出现场时间通过施工现场考勤设备予以记录，记录的考勤信息通过实名制平台生成考勤表。</w:t>
      </w:r>
    </w:p>
    <w:p>
      <w:pPr>
        <w:shd w:val="clear" w:color="auto" w:fill="FFFFFF"/>
        <w:spacing w:line="570" w:lineRule="exact"/>
        <w:ind w:firstLine="420" w:firstLineChars="200"/>
        <w:rPr>
          <w:rFonts w:eastAsia="黑体"/>
          <w:bCs/>
          <w:kern w:val="0"/>
        </w:rPr>
      </w:pPr>
      <w:r>
        <w:rPr>
          <w:rFonts w:hint="eastAsia" w:eastAsia="方正黑体_GBK"/>
        </w:rPr>
        <w:t>第十二条</w:t>
      </w:r>
      <w:r>
        <w:rPr>
          <w:rFonts w:eastAsia="方正黑体_GBK"/>
        </w:rPr>
        <w:t xml:space="preserve">  </w:t>
      </w:r>
      <w:r>
        <w:rPr>
          <w:rFonts w:hint="eastAsia"/>
        </w:rPr>
        <w:t>实名制平台和“江苏省劳动关系监测预警维权调度指挥</w:t>
      </w:r>
      <w:r>
        <w:rPr>
          <w:rFonts w:hint="eastAsia"/>
          <w:color w:val="000000"/>
        </w:rPr>
        <w:t>中心信息系统”实</w:t>
      </w:r>
      <w:r>
        <w:rPr>
          <w:rFonts w:hint="eastAsia"/>
        </w:rPr>
        <w:t>现信息互联共享，相关数据标准由省住房城乡建设厅与省人力资源社会保障厅共同制定。</w:t>
      </w:r>
    </w:p>
    <w:p>
      <w:pPr>
        <w:shd w:val="clear" w:color="auto" w:fill="FFFFFF"/>
        <w:spacing w:line="570" w:lineRule="exact"/>
        <w:ind w:firstLine="420" w:firstLineChars="200"/>
        <w:rPr>
          <w:b/>
          <w:bCs/>
          <w:kern w:val="0"/>
        </w:rPr>
      </w:pPr>
      <w:r>
        <w:rPr>
          <w:rFonts w:hint="eastAsia" w:eastAsia="方正黑体_GBK"/>
        </w:rPr>
        <w:t>第十三条</w:t>
      </w:r>
      <w:r>
        <w:rPr>
          <w:rFonts w:eastAsia="方正黑体_GBK"/>
        </w:rPr>
        <w:t xml:space="preserve">  </w:t>
      </w:r>
      <w:r>
        <w:rPr>
          <w:rFonts w:hint="eastAsia"/>
          <w:bCs/>
          <w:kern w:val="0"/>
        </w:rPr>
        <w:t>建筑工人工资和工程款项应当实行分账管理，建设单位</w:t>
      </w:r>
      <w:r>
        <w:rPr>
          <w:rFonts w:hint="eastAsia"/>
        </w:rPr>
        <w:t>应当按照工程承包合同的约定，按时足额向建筑企业拨付工程款，并将</w:t>
      </w:r>
      <w:r>
        <w:rPr>
          <w:rFonts w:hint="eastAsia"/>
          <w:bCs/>
          <w:kern w:val="0"/>
        </w:rPr>
        <w:t>建筑工人工资存入工资专用账户</w:t>
      </w:r>
      <w:r>
        <w:rPr>
          <w:rFonts w:hint="eastAsia"/>
        </w:rPr>
        <w:t>。</w:t>
      </w:r>
    </w:p>
    <w:p>
      <w:pPr>
        <w:shd w:val="clear" w:color="auto" w:fill="FFFFFF"/>
        <w:spacing w:line="570" w:lineRule="exact"/>
        <w:ind w:firstLine="420" w:firstLineChars="200"/>
        <w:rPr>
          <w:color w:val="000000"/>
        </w:rPr>
      </w:pPr>
      <w:r>
        <w:rPr>
          <w:rFonts w:hint="eastAsia" w:eastAsia="方正黑体_GBK"/>
          <w:color w:val="000000"/>
        </w:rPr>
        <w:t>第十四条</w:t>
      </w:r>
      <w:r>
        <w:rPr>
          <w:rFonts w:eastAsia="方正黑体_GBK"/>
          <w:color w:val="000000"/>
        </w:rPr>
        <w:t xml:space="preserve">  </w:t>
      </w:r>
      <w:r>
        <w:rPr>
          <w:rFonts w:hint="eastAsia"/>
          <w:color w:val="000000"/>
        </w:rPr>
        <w:t>建筑工人的工资支付实行银行代发制度。总承包企业应当按照自愿的原则，选择与实名制信息平台对接的银行设立建筑工人工资专用账户。总承包企业在开设工资专用账户时，应当与工资专用账户管理银行签订账户管理协议，确保代发专用账户资金安全保密。</w:t>
      </w:r>
    </w:p>
    <w:p>
      <w:pPr>
        <w:shd w:val="clear" w:color="auto" w:fill="FFFFFF"/>
        <w:spacing w:line="570" w:lineRule="exact"/>
        <w:ind w:firstLine="420" w:firstLineChars="200"/>
      </w:pPr>
      <w:r>
        <w:rPr>
          <w:rFonts w:hint="eastAsia" w:eastAsia="方正黑体_GBK"/>
        </w:rPr>
        <w:t>第十五条</w:t>
      </w:r>
      <w:r>
        <w:rPr>
          <w:rFonts w:eastAsia="方正黑体_GBK"/>
        </w:rPr>
        <w:t xml:space="preserve">  </w:t>
      </w:r>
      <w:r>
        <w:rPr>
          <w:rFonts w:hint="eastAsia"/>
        </w:rPr>
        <w:t>建筑工人工资发放表，应当由建筑工人本人签字确认后及时录入实名制平台。工资支付周期最长不得超过</w:t>
      </w:r>
      <w:r>
        <w:t>1</w:t>
      </w:r>
      <w:r>
        <w:rPr>
          <w:rFonts w:hint="eastAsia"/>
        </w:rPr>
        <w:t>个月，用工不满</w:t>
      </w:r>
      <w:r>
        <w:t>1</w:t>
      </w:r>
      <w:r>
        <w:rPr>
          <w:rFonts w:hint="eastAsia"/>
        </w:rPr>
        <w:t>个月的临时用工，应当在用工结束之日起</w:t>
      </w:r>
      <w:r>
        <w:t>2</w:t>
      </w:r>
      <w:r>
        <w:rPr>
          <w:rFonts w:hint="eastAsia"/>
        </w:rPr>
        <w:t>个工作日内一次性付清工资。</w:t>
      </w:r>
    </w:p>
    <w:p>
      <w:pPr>
        <w:shd w:val="clear" w:color="auto" w:fill="FFFFFF"/>
        <w:spacing w:line="570" w:lineRule="exact"/>
        <w:ind w:firstLine="420" w:firstLineChars="200"/>
        <w:rPr>
          <w:b/>
        </w:rPr>
      </w:pPr>
      <w:r>
        <w:rPr>
          <w:rFonts w:hint="eastAsia" w:eastAsia="方正黑体_GBK"/>
        </w:rPr>
        <w:t>第十六条</w:t>
      </w:r>
      <w:r>
        <w:t xml:space="preserve">  </w:t>
      </w:r>
      <w:r>
        <w:rPr>
          <w:rFonts w:hint="eastAsia"/>
        </w:rPr>
        <w:t>建筑企业工资专用账户管理银行，应当按照建筑工人工资发放表将建筑工人工资按月足额转入建筑工人的个人账户，同时将工资发放信息反馈至实名制平台。</w:t>
      </w:r>
    </w:p>
    <w:p>
      <w:pPr>
        <w:shd w:val="clear" w:color="auto" w:fill="FFFFFF"/>
        <w:spacing w:line="570" w:lineRule="exact"/>
        <w:ind w:firstLine="420" w:firstLineChars="200"/>
      </w:pPr>
      <w:r>
        <w:rPr>
          <w:rFonts w:hint="eastAsia" w:eastAsia="方正黑体_GBK"/>
        </w:rPr>
        <w:t>第十七条</w:t>
      </w:r>
      <w:r>
        <w:rPr>
          <w:rFonts w:eastAsia="方正黑体_GBK"/>
        </w:rPr>
        <w:t xml:space="preserve">  </w:t>
      </w:r>
      <w:r>
        <w:rPr>
          <w:rFonts w:hint="eastAsia"/>
        </w:rPr>
        <w:t>建设单</w:t>
      </w:r>
      <w:r>
        <w:rPr>
          <w:rFonts w:hint="eastAsia"/>
          <w:color w:val="000000"/>
        </w:rPr>
        <w:t>位未按照合同约定支付工程进度款和建筑工人工资的，由建设单位负直接责任；总承包企业未按照合同约定按月足额支付招用的建筑工人工资的，由总承包企业负直</w:t>
      </w:r>
      <w:r>
        <w:rPr>
          <w:rFonts w:hint="eastAsia"/>
        </w:rPr>
        <w:t>接责任；分包企业工人工资应由总承包企业代发，分包企业每月向总承包企业报送当月工资表，负责对工资发放情况进行核实。</w:t>
      </w:r>
    </w:p>
    <w:p>
      <w:pPr>
        <w:shd w:val="clear" w:color="auto" w:fill="FFFFFF"/>
        <w:spacing w:line="570" w:lineRule="exact"/>
        <w:ind w:firstLine="600"/>
      </w:pPr>
      <w:r>
        <w:rPr>
          <w:rFonts w:hint="eastAsia" w:eastAsia="方正黑体_GBK"/>
        </w:rPr>
        <w:t>第十八条</w:t>
      </w:r>
      <w:r>
        <w:rPr>
          <w:rFonts w:eastAsia="方正黑体_GBK"/>
        </w:rPr>
        <w:t xml:space="preserve">  </w:t>
      </w:r>
      <w:r>
        <w:rPr>
          <w:rFonts w:hint="eastAsia"/>
        </w:rPr>
        <w:t>各设区市、县（市）住房城乡建设部门可在项目竣工验收前，督促检查建筑企业落实建筑工人工资支付保障制度情况。项目竣工验收并结清建筑工人工资后，建筑企业可将工资专用账户注销。</w:t>
      </w:r>
    </w:p>
    <w:p>
      <w:pPr>
        <w:shd w:val="clear" w:color="auto" w:fill="FFFFFF"/>
        <w:spacing w:line="570" w:lineRule="exact"/>
        <w:ind w:firstLine="660"/>
      </w:pPr>
      <w:r>
        <w:rPr>
          <w:rFonts w:hint="eastAsia" w:eastAsia="方正黑体_GBK"/>
        </w:rPr>
        <w:t>第十九条</w:t>
      </w:r>
      <w:r>
        <w:rPr>
          <w:rFonts w:eastAsia="方正黑体_GBK"/>
        </w:rPr>
        <w:t xml:space="preserve">  </w:t>
      </w:r>
      <w:r>
        <w:rPr>
          <w:rFonts w:hint="eastAsia"/>
        </w:rPr>
        <w:t>各地区应当建立健全相关部门共同参与配合的联动机制，切实解决好工程建设领域建筑工人工资拖欠问题，落实好实名制平台的监管责任，形成源头预防、部门联动、动态监管、失信惩戒相结合的保障体系，加强施工现场的监督管理，维护企业和从业人员的合法权益。</w:t>
      </w:r>
    </w:p>
    <w:p>
      <w:pPr>
        <w:shd w:val="clear" w:color="auto" w:fill="FFFFFF"/>
        <w:spacing w:line="570" w:lineRule="exact"/>
        <w:ind w:firstLine="660"/>
      </w:pPr>
      <w:r>
        <w:rPr>
          <w:rFonts w:hint="eastAsia" w:eastAsia="方正黑体_GBK"/>
        </w:rPr>
        <w:t>第二十条</w:t>
      </w:r>
      <w:r>
        <w:rPr>
          <w:rFonts w:eastAsia="方正黑体_GBK"/>
        </w:rPr>
        <w:t xml:space="preserve">  </w:t>
      </w:r>
      <w:r>
        <w:rPr>
          <w:rFonts w:hint="eastAsia"/>
        </w:rPr>
        <w:t>各设区市、县（市）住房城乡建设部门、人力资源社会保障部门不得以建筑工人实名制管理的名义，指定建筑企业采购相关产品，增加企业额外负担。</w:t>
      </w:r>
    </w:p>
    <w:p>
      <w:pPr>
        <w:shd w:val="clear" w:color="auto" w:fill="FFFFFF"/>
        <w:spacing w:line="570" w:lineRule="exact"/>
        <w:ind w:firstLine="660"/>
      </w:pPr>
      <w:r>
        <w:rPr>
          <w:rFonts w:hint="eastAsia" w:eastAsia="方正黑体_GBK"/>
        </w:rPr>
        <w:t>第二十一条</w:t>
      </w:r>
      <w:r>
        <w:rPr>
          <w:rFonts w:eastAsia="方正黑体_GBK"/>
        </w:rPr>
        <w:t xml:space="preserve">  </w:t>
      </w:r>
      <w:r>
        <w:rPr>
          <w:rFonts w:hint="eastAsia"/>
        </w:rPr>
        <w:t>实名制管理所产生的费用，依据《省住房城乡建设厅关于建筑工人实名制费用计取方法的公告》（〔</w:t>
      </w:r>
      <w:r>
        <w:t>2019</w:t>
      </w:r>
      <w:r>
        <w:rPr>
          <w:rFonts w:hint="eastAsia"/>
        </w:rPr>
        <w:t>〕第</w:t>
      </w:r>
      <w:r>
        <w:t>19</w:t>
      </w:r>
      <w:r>
        <w:rPr>
          <w:rFonts w:hint="eastAsia"/>
        </w:rPr>
        <w:t>号）收取。</w:t>
      </w:r>
    </w:p>
    <w:p>
      <w:pPr>
        <w:shd w:val="clear" w:color="auto" w:fill="FFFFFF"/>
        <w:spacing w:line="570" w:lineRule="exact"/>
        <w:ind w:firstLine="420" w:firstLineChars="200"/>
      </w:pPr>
      <w:r>
        <w:rPr>
          <w:rFonts w:hint="eastAsia" w:eastAsia="方正黑体_GBK"/>
        </w:rPr>
        <w:t>第二十二条</w:t>
      </w:r>
      <w:r>
        <w:rPr>
          <w:rFonts w:eastAsia="方正黑体_GBK"/>
        </w:rPr>
        <w:t xml:space="preserve">  </w:t>
      </w:r>
      <w:r>
        <w:rPr>
          <w:rFonts w:hint="eastAsia"/>
        </w:rPr>
        <w:t>各设区市、县（市）住房城乡建设部门、人力资源社会保障部门应对落实建筑工人实名制管理情况进行监督检查，对责任不落实、组织工作不到位的单位和部门，采取约谈相关责任人等方式督促落实，情节严重的，提请有关部门进行问责。</w:t>
      </w:r>
    </w:p>
    <w:p>
      <w:pPr>
        <w:shd w:val="clear" w:color="auto" w:fill="FFFFFF"/>
        <w:spacing w:line="570" w:lineRule="exact"/>
        <w:ind w:firstLine="420" w:firstLineChars="200"/>
      </w:pPr>
      <w:r>
        <w:rPr>
          <w:rFonts w:hint="eastAsia" w:eastAsia="方正黑体_GBK"/>
        </w:rPr>
        <w:t>第二十三条</w:t>
      </w:r>
      <w:r>
        <w:rPr>
          <w:rFonts w:eastAsia="方正黑体_GBK"/>
        </w:rPr>
        <w:t xml:space="preserve">  </w:t>
      </w:r>
      <w:r>
        <w:rPr>
          <w:rFonts w:hint="eastAsia"/>
        </w:rPr>
        <w:t>各设区市、县（市）住房城乡建设部门应当会同人力资源社会保障部门，按照“双随机、一公开”的要求，加强对本行政区域内施工现场建筑工人实名制管理制度落实情况的日常检查，调查处理建筑工人实名制管理相关投诉举报事项。</w:t>
      </w:r>
    </w:p>
    <w:p>
      <w:pPr>
        <w:snapToGrid w:val="0"/>
        <w:spacing w:line="570" w:lineRule="exact"/>
        <w:ind w:firstLine="420" w:firstLineChars="200"/>
      </w:pPr>
      <w:r>
        <w:rPr>
          <w:rFonts w:hint="eastAsia" w:eastAsia="方正黑体_GBK"/>
        </w:rPr>
        <w:t>第二十四条</w:t>
      </w:r>
      <w:r>
        <w:rPr>
          <w:rFonts w:eastAsia="方正黑体_GBK"/>
        </w:rPr>
        <w:t xml:space="preserve">  </w:t>
      </w:r>
      <w:r>
        <w:rPr>
          <w:rFonts w:hint="eastAsia"/>
        </w:rPr>
        <w:t>对涉及不依法签订劳动合同、不依法参加工伤保险、欠薪等侵害建筑工人劳动保障权益的，由人力资源社会保障部门会同有关部门依法处理；对涉及其他部门职能的违法问题或案件线索，应按职责分工及时移送相关部门处理。</w:t>
      </w:r>
    </w:p>
    <w:p>
      <w:pPr>
        <w:snapToGrid w:val="0"/>
        <w:spacing w:line="570" w:lineRule="exact"/>
        <w:ind w:firstLine="420" w:firstLineChars="200"/>
      </w:pPr>
      <w:r>
        <w:rPr>
          <w:rFonts w:hint="eastAsia" w:eastAsia="方正黑体_GBK"/>
        </w:rPr>
        <w:t>第二十五条</w:t>
      </w:r>
      <w:r>
        <w:rPr>
          <w:rFonts w:eastAsia="方正黑体_GBK"/>
        </w:rPr>
        <w:t xml:space="preserve">  </w:t>
      </w:r>
      <w:r>
        <w:rPr>
          <w:rFonts w:hint="eastAsia"/>
        </w:rPr>
        <w:t>发现建筑企业及个人存在弄虚作假、漏报瞒报等行为的应当责令限期改正，拒不整改或整改不到位的，可以列入建筑业企业资质动态核查重点监管对象。对存在拖欠建筑工人工资的建筑企业，按照附件规定提高建筑工人工资保证金缴纳比例，并将相关不良行为记入企业或个人信用档案，通过</w:t>
      </w:r>
      <w:r>
        <w:rPr>
          <w:rFonts w:hint="eastAsia"/>
          <w:color w:val="333333"/>
        </w:rPr>
        <w:t>建筑市场监管与诚信信息一体化平台</w:t>
      </w:r>
      <w:r>
        <w:rPr>
          <w:rFonts w:hint="eastAsia"/>
        </w:rPr>
        <w:t>向社会公布。</w:t>
      </w:r>
    </w:p>
    <w:p>
      <w:pPr>
        <w:snapToGrid w:val="0"/>
        <w:spacing w:line="570" w:lineRule="exact"/>
        <w:ind w:firstLine="420" w:firstLineChars="200"/>
        <w:rPr>
          <w:b/>
        </w:rPr>
      </w:pPr>
      <w:r>
        <w:rPr>
          <w:rFonts w:hint="eastAsia" w:eastAsia="方正黑体_GBK"/>
        </w:rPr>
        <w:t>第二十六条</w:t>
      </w:r>
      <w:r>
        <w:rPr>
          <w:rFonts w:eastAsia="方正黑体_GBK"/>
        </w:rPr>
        <w:t xml:space="preserve">  </w:t>
      </w:r>
      <w:r>
        <w:rPr>
          <w:rFonts w:hint="eastAsia"/>
        </w:rPr>
        <w:t>各设区市、县（市）住房城乡建设、人力资源社会保障部门应当结合本地实际情况，制定具体的实施办法。</w:t>
      </w:r>
    </w:p>
    <w:p>
      <w:pPr>
        <w:snapToGrid w:val="0"/>
        <w:spacing w:line="570" w:lineRule="exact"/>
        <w:ind w:firstLine="420" w:firstLineChars="200"/>
        <w:rPr>
          <w:spacing w:val="-16"/>
        </w:rPr>
      </w:pPr>
      <w:r>
        <w:rPr>
          <w:rFonts w:hint="eastAsia" w:eastAsia="方正黑体_GBK"/>
        </w:rPr>
        <w:t>第二十七条</w:t>
      </w:r>
      <w:r>
        <w:rPr>
          <w:rFonts w:eastAsia="方正黑体_GBK"/>
        </w:rPr>
        <w:t xml:space="preserve">  </w:t>
      </w:r>
      <w:r>
        <w:rPr>
          <w:rFonts w:hint="eastAsia"/>
          <w:spacing w:val="-16"/>
        </w:rPr>
        <w:t>本办法自</w:t>
      </w:r>
      <w:r>
        <w:rPr>
          <w:spacing w:val="-16"/>
        </w:rPr>
        <w:t>2019</w:t>
      </w:r>
      <w:r>
        <w:rPr>
          <w:rFonts w:hint="eastAsia"/>
          <w:spacing w:val="-16"/>
        </w:rPr>
        <w:t>年</w:t>
      </w:r>
      <w:r>
        <w:rPr>
          <w:spacing w:val="-16"/>
        </w:rPr>
        <w:t>12</w:t>
      </w:r>
      <w:r>
        <w:rPr>
          <w:rFonts w:hint="eastAsia"/>
          <w:spacing w:val="-16"/>
        </w:rPr>
        <w:t>月</w:t>
      </w:r>
      <w:r>
        <w:rPr>
          <w:spacing w:val="-16"/>
        </w:rPr>
        <w:t>10</w:t>
      </w:r>
      <w:r>
        <w:rPr>
          <w:rFonts w:hint="eastAsia"/>
          <w:spacing w:val="-16"/>
        </w:rPr>
        <w:t>日起施行，有效期</w:t>
      </w:r>
      <w:r>
        <w:rPr>
          <w:spacing w:val="-16"/>
        </w:rPr>
        <w:t>2</w:t>
      </w:r>
      <w:r>
        <w:rPr>
          <w:rFonts w:hint="eastAsia"/>
          <w:spacing w:val="-16"/>
        </w:rPr>
        <w:t>年。</w:t>
      </w:r>
    </w:p>
    <w:p>
      <w:pPr>
        <w:snapToGrid w:val="0"/>
        <w:spacing w:line="570" w:lineRule="exact"/>
        <w:ind w:firstLine="356" w:firstLineChars="200"/>
        <w:rPr>
          <w:spacing w:val="-16"/>
        </w:rPr>
      </w:pPr>
    </w:p>
    <w:p>
      <w:pPr>
        <w:snapToGrid w:val="0"/>
        <w:spacing w:line="570" w:lineRule="exact"/>
        <w:ind w:firstLine="420" w:firstLineChars="200"/>
      </w:pPr>
      <w:r>
        <w:rPr>
          <w:rFonts w:hint="eastAsia"/>
        </w:rPr>
        <w:t>附件：因拖欠建筑工人工资需提高缴纳的工资保证金标准</w:t>
      </w:r>
    </w:p>
    <w:p>
      <w:pPr>
        <w:snapToGrid w:val="0"/>
        <w:spacing w:line="570" w:lineRule="exact"/>
      </w:pPr>
      <w:r>
        <w:br w:type="column"/>
      </w:r>
      <w:r>
        <w:rPr>
          <w:rFonts w:hint="eastAsia" w:hAnsi="Times New Roman" w:eastAsia="黑体"/>
        </w:rPr>
        <w:t>附件</w:t>
      </w:r>
    </w:p>
    <w:p>
      <w:pPr>
        <w:snapToGrid w:val="0"/>
        <w:spacing w:line="570" w:lineRule="exact"/>
        <w:ind w:firstLine="420" w:firstLineChars="200"/>
      </w:pPr>
    </w:p>
    <w:p>
      <w:pPr>
        <w:snapToGrid w:val="0"/>
        <w:spacing w:line="570" w:lineRule="exact"/>
        <w:jc w:val="center"/>
        <w:rPr>
          <w:rFonts w:eastAsia="方正小标宋_GBK"/>
          <w:sz w:val="44"/>
          <w:szCs w:val="44"/>
        </w:rPr>
      </w:pPr>
      <w:r>
        <w:rPr>
          <w:rFonts w:hint="eastAsia" w:eastAsia="方正小标宋_GBK"/>
          <w:sz w:val="44"/>
          <w:szCs w:val="44"/>
        </w:rPr>
        <w:t>因拖欠建筑工人工资需提高缴存的工资</w:t>
      </w:r>
    </w:p>
    <w:p>
      <w:pPr>
        <w:snapToGrid w:val="0"/>
        <w:spacing w:line="570" w:lineRule="exact"/>
        <w:jc w:val="center"/>
        <w:rPr>
          <w:rFonts w:eastAsia="方正小标宋_GBK"/>
          <w:sz w:val="44"/>
          <w:szCs w:val="44"/>
        </w:rPr>
      </w:pPr>
      <w:r>
        <w:rPr>
          <w:rFonts w:hint="eastAsia" w:eastAsia="方正小标宋_GBK"/>
          <w:sz w:val="44"/>
          <w:szCs w:val="44"/>
        </w:rPr>
        <w:t>保证金标准</w:t>
      </w:r>
    </w:p>
    <w:p>
      <w:pPr>
        <w:pStyle w:val="10"/>
        <w:widowControl w:val="0"/>
        <w:shd w:val="clear" w:color="auto" w:fill="FFFFFF"/>
        <w:spacing w:before="0" w:beforeAutospacing="0" w:after="0" w:afterAutospacing="0" w:line="570" w:lineRule="exact"/>
        <w:ind w:firstLine="640"/>
        <w:jc w:val="both"/>
        <w:rPr>
          <w:rFonts w:ascii="Times New Roman" w:hAnsi="Times New Roman" w:eastAsia="方正仿宋_GBK"/>
          <w:kern w:val="2"/>
          <w:sz w:val="32"/>
          <w:szCs w:val="32"/>
        </w:rPr>
      </w:pPr>
    </w:p>
    <w:p>
      <w:pPr>
        <w:pStyle w:val="10"/>
        <w:widowControl w:val="0"/>
        <w:shd w:val="clear" w:color="auto" w:fill="FFFFFF"/>
        <w:spacing w:before="0" w:beforeAutospacing="0" w:after="0" w:afterAutospacing="0" w:line="570" w:lineRule="exact"/>
        <w:ind w:firstLine="640"/>
        <w:jc w:val="both"/>
        <w:rPr>
          <w:rFonts w:ascii="Times New Roman" w:hAnsi="Times New Roman" w:eastAsia="方正仿宋_GBK"/>
          <w:kern w:val="2"/>
          <w:sz w:val="32"/>
          <w:szCs w:val="32"/>
        </w:rPr>
      </w:pPr>
      <w:r>
        <w:rPr>
          <w:rFonts w:hint="eastAsia" w:ascii="Times New Roman" w:hAnsi="Times New Roman" w:eastAsia="黑体"/>
          <w:kern w:val="2"/>
          <w:sz w:val="32"/>
          <w:szCs w:val="32"/>
        </w:rPr>
        <w:t>一、</w:t>
      </w:r>
      <w:r>
        <w:rPr>
          <w:rFonts w:hint="eastAsia" w:ascii="Times New Roman" w:hAnsi="Times New Roman" w:eastAsia="方正仿宋_GBK"/>
          <w:kern w:val="2"/>
          <w:sz w:val="32"/>
          <w:szCs w:val="32"/>
        </w:rPr>
        <w:t>应缴存保证金前</w:t>
      </w:r>
      <w:r>
        <w:rPr>
          <w:rFonts w:ascii="Times New Roman" w:hAnsi="Times New Roman" w:eastAsia="方正仿宋_GBK"/>
          <w:kern w:val="2"/>
          <w:sz w:val="32"/>
          <w:szCs w:val="32"/>
        </w:rPr>
        <w:t>2</w:t>
      </w:r>
      <w:r>
        <w:rPr>
          <w:rFonts w:hint="eastAsia" w:ascii="Times New Roman" w:hAnsi="Times New Roman" w:eastAsia="方正仿宋_GBK"/>
          <w:kern w:val="2"/>
          <w:sz w:val="32"/>
          <w:szCs w:val="32"/>
        </w:rPr>
        <w:t>年内未发生拖欠建筑工人工资行为的建筑企业，按合同价款的</w:t>
      </w:r>
      <w:r>
        <w:rPr>
          <w:rFonts w:ascii="Times New Roman" w:hAnsi="Times New Roman" w:eastAsia="方正仿宋_GBK"/>
          <w:kern w:val="2"/>
          <w:sz w:val="32"/>
          <w:szCs w:val="32"/>
        </w:rPr>
        <w:t>2</w:t>
      </w:r>
      <w:r>
        <w:rPr>
          <w:rFonts w:hint="eastAsia" w:ascii="Times New Roman" w:hAnsi="Times New Roman" w:eastAsia="方正仿宋_GBK"/>
          <w:kern w:val="2"/>
          <w:sz w:val="32"/>
          <w:szCs w:val="32"/>
        </w:rPr>
        <w:t>％缴存保证金。应缴存保证金前</w:t>
      </w:r>
      <w:r>
        <w:rPr>
          <w:rFonts w:ascii="Times New Roman" w:hAnsi="Times New Roman" w:eastAsia="方正仿宋_GBK"/>
          <w:kern w:val="2"/>
          <w:sz w:val="32"/>
          <w:szCs w:val="32"/>
        </w:rPr>
        <w:t>2</w:t>
      </w:r>
      <w:r>
        <w:rPr>
          <w:rFonts w:hint="eastAsia" w:ascii="Times New Roman" w:hAnsi="Times New Roman" w:eastAsia="方正仿宋_GBK"/>
          <w:kern w:val="2"/>
          <w:sz w:val="32"/>
          <w:szCs w:val="32"/>
        </w:rPr>
        <w:t>年内未发生拖欠建筑工人工资行为的施工企业，且在银行开设建筑工人工资专户、建立建筑工人实名制管理信息系统并有效运行的施工企业，按合同价款的</w:t>
      </w:r>
      <w:r>
        <w:rPr>
          <w:rFonts w:ascii="Times New Roman" w:hAnsi="Times New Roman" w:eastAsia="方正仿宋_GBK"/>
          <w:kern w:val="2"/>
          <w:sz w:val="32"/>
          <w:szCs w:val="32"/>
        </w:rPr>
        <w:t>1%</w:t>
      </w:r>
      <w:r>
        <w:rPr>
          <w:rFonts w:hint="eastAsia" w:ascii="Times New Roman" w:hAnsi="Times New Roman" w:eastAsia="方正仿宋_GBK"/>
          <w:kern w:val="2"/>
          <w:sz w:val="32"/>
          <w:szCs w:val="32"/>
        </w:rPr>
        <w:t>缴存保证金。前述同一施工企业在同一设区市、县（市）区域内缴存保证金余额不超过</w:t>
      </w:r>
      <w:r>
        <w:rPr>
          <w:rFonts w:ascii="Times New Roman" w:hAnsi="Times New Roman" w:eastAsia="方正仿宋_GBK"/>
          <w:kern w:val="2"/>
          <w:sz w:val="32"/>
          <w:szCs w:val="32"/>
        </w:rPr>
        <w:t>80</w:t>
      </w:r>
      <w:r>
        <w:rPr>
          <w:rFonts w:hint="eastAsia" w:ascii="Times New Roman" w:hAnsi="Times New Roman" w:eastAsia="方正仿宋_GBK"/>
          <w:kern w:val="2"/>
          <w:sz w:val="32"/>
          <w:szCs w:val="32"/>
        </w:rPr>
        <w:t>万元。</w:t>
      </w:r>
    </w:p>
    <w:p>
      <w:pPr>
        <w:pStyle w:val="10"/>
        <w:widowControl w:val="0"/>
        <w:shd w:val="clear" w:color="auto" w:fill="FFFFFF"/>
        <w:spacing w:before="0" w:beforeAutospacing="0" w:after="0" w:afterAutospacing="0" w:line="570" w:lineRule="exact"/>
        <w:ind w:firstLine="64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应缴存保证金前</w:t>
      </w:r>
      <w:r>
        <w:rPr>
          <w:rFonts w:ascii="Times New Roman" w:hAnsi="Times New Roman" w:eastAsia="方正仿宋_GBK"/>
          <w:kern w:val="2"/>
          <w:sz w:val="32"/>
          <w:szCs w:val="32"/>
        </w:rPr>
        <w:t>5</w:t>
      </w:r>
      <w:r>
        <w:rPr>
          <w:rFonts w:hint="eastAsia" w:ascii="Times New Roman" w:hAnsi="Times New Roman" w:eastAsia="方正仿宋_GBK"/>
          <w:kern w:val="2"/>
          <w:sz w:val="32"/>
          <w:szCs w:val="32"/>
        </w:rPr>
        <w:t>年内未发生拖欠建筑工人工资行为，且在银行开设建筑工人工资专户、建立实名制管理信息系统并有效运行的施工企业，免于缴存保证金。</w:t>
      </w:r>
    </w:p>
    <w:p>
      <w:pPr>
        <w:pStyle w:val="10"/>
        <w:widowControl w:val="0"/>
        <w:shd w:val="clear" w:color="auto" w:fill="FFFFFF"/>
        <w:spacing w:before="0" w:beforeAutospacing="0" w:after="0" w:afterAutospacing="0" w:line="570" w:lineRule="exact"/>
        <w:ind w:firstLine="64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应缴存保证金前</w:t>
      </w:r>
      <w:r>
        <w:rPr>
          <w:rFonts w:ascii="Times New Roman" w:hAnsi="Times New Roman" w:eastAsia="方正仿宋_GBK"/>
          <w:kern w:val="2"/>
          <w:sz w:val="32"/>
          <w:szCs w:val="32"/>
        </w:rPr>
        <w:t>2</w:t>
      </w:r>
      <w:r>
        <w:rPr>
          <w:rFonts w:hint="eastAsia" w:ascii="Times New Roman" w:hAnsi="Times New Roman" w:eastAsia="方正仿宋_GBK"/>
          <w:kern w:val="2"/>
          <w:sz w:val="32"/>
          <w:szCs w:val="32"/>
        </w:rPr>
        <w:t>年内发生过拖欠建筑工人工资行为的施工企业，新报建项目按备案合同价款的</w:t>
      </w:r>
      <w:r>
        <w:rPr>
          <w:rFonts w:ascii="Times New Roman" w:hAnsi="Times New Roman" w:eastAsia="方正仿宋_GBK"/>
          <w:kern w:val="2"/>
          <w:sz w:val="32"/>
          <w:szCs w:val="32"/>
        </w:rPr>
        <w:t>3</w:t>
      </w:r>
      <w:r>
        <w:rPr>
          <w:rFonts w:hint="eastAsia" w:ascii="Times New Roman" w:hAnsi="Times New Roman" w:eastAsia="方正仿宋_GBK"/>
          <w:kern w:val="2"/>
          <w:sz w:val="32"/>
          <w:szCs w:val="32"/>
        </w:rPr>
        <w:t>％缴存保证金；对因拖欠建筑工人工资行为引发群体性事件的施工企业，新报建项目应当按备案合同价款的</w:t>
      </w:r>
      <w:r>
        <w:rPr>
          <w:rFonts w:ascii="Times New Roman" w:hAnsi="Times New Roman" w:eastAsia="方正仿宋_GBK"/>
          <w:kern w:val="2"/>
          <w:sz w:val="32"/>
          <w:szCs w:val="32"/>
        </w:rPr>
        <w:t>4%</w:t>
      </w:r>
      <w:r>
        <w:rPr>
          <w:rFonts w:hint="eastAsia" w:ascii="Times New Roman" w:hAnsi="Times New Roman" w:eastAsia="方正仿宋_GBK"/>
          <w:kern w:val="2"/>
          <w:sz w:val="32"/>
          <w:szCs w:val="32"/>
        </w:rPr>
        <w:t>缴存保证金。前述同一施工企业在同一市、县（市）区域内缴存保证金余额不超过</w:t>
      </w:r>
      <w:r>
        <w:rPr>
          <w:rFonts w:ascii="Times New Roman" w:hAnsi="Times New Roman" w:eastAsia="方正仿宋_GBK"/>
          <w:kern w:val="2"/>
          <w:sz w:val="32"/>
          <w:szCs w:val="32"/>
        </w:rPr>
        <w:t>160</w:t>
      </w:r>
      <w:r>
        <w:rPr>
          <w:rFonts w:hint="eastAsia" w:ascii="Times New Roman" w:hAnsi="Times New Roman" w:eastAsia="方正仿宋_GBK"/>
          <w:kern w:val="2"/>
          <w:sz w:val="32"/>
          <w:szCs w:val="32"/>
        </w:rPr>
        <w:t>万元。</w:t>
      </w:r>
    </w:p>
    <w:p>
      <w:pPr>
        <w:pStyle w:val="10"/>
        <w:widowControl w:val="0"/>
        <w:shd w:val="clear" w:color="auto" w:fill="FFFFFF"/>
        <w:spacing w:before="0" w:beforeAutospacing="0" w:after="0" w:afterAutospacing="0" w:line="570" w:lineRule="exact"/>
        <w:ind w:firstLine="640"/>
        <w:jc w:val="both"/>
        <w:rPr>
          <w:rFonts w:ascii="Times New Roman" w:hAnsi="Times New Roman" w:eastAsia="方正仿宋_GBK"/>
          <w:kern w:val="2"/>
          <w:sz w:val="32"/>
          <w:szCs w:val="32"/>
        </w:rPr>
      </w:pPr>
      <w:r>
        <w:rPr>
          <w:rFonts w:hint="eastAsia" w:ascii="Times New Roman" w:hAnsi="Times New Roman" w:eastAsia="黑体"/>
          <w:kern w:val="2"/>
          <w:sz w:val="32"/>
          <w:szCs w:val="32"/>
        </w:rPr>
        <w:t>二、</w:t>
      </w:r>
      <w:r>
        <w:rPr>
          <w:rFonts w:hint="eastAsia" w:ascii="Times New Roman" w:hAnsi="Times New Roman" w:eastAsia="方正仿宋_GBK"/>
          <w:kern w:val="2"/>
          <w:sz w:val="32"/>
          <w:szCs w:val="32"/>
        </w:rPr>
        <w:t>对连续在市、县（市）区域内缴存保证金满</w:t>
      </w:r>
      <w:r>
        <w:rPr>
          <w:rFonts w:ascii="Times New Roman" w:hAnsi="Times New Roman" w:eastAsia="方正仿宋_GBK"/>
          <w:kern w:val="2"/>
          <w:sz w:val="32"/>
          <w:szCs w:val="32"/>
        </w:rPr>
        <w:t>3</w:t>
      </w:r>
      <w:r>
        <w:rPr>
          <w:rFonts w:hint="eastAsia" w:ascii="Times New Roman" w:hAnsi="Times New Roman" w:eastAsia="方正仿宋_GBK"/>
          <w:kern w:val="2"/>
          <w:sz w:val="32"/>
          <w:szCs w:val="32"/>
        </w:rPr>
        <w:t>年，且没有发生拖欠建筑工人工资行为的施工企业，应当退还保证金，退还比例为</w:t>
      </w:r>
      <w:r>
        <w:rPr>
          <w:rFonts w:ascii="Times New Roman" w:hAnsi="Times New Roman" w:eastAsia="方正仿宋_GBK"/>
          <w:kern w:val="2"/>
          <w:sz w:val="32"/>
          <w:szCs w:val="32"/>
        </w:rPr>
        <w:t>80%</w:t>
      </w:r>
      <w:r>
        <w:rPr>
          <w:rFonts w:hint="eastAsia" w:ascii="Times New Roman" w:hAnsi="Times New Roman" w:eastAsia="方正仿宋_GBK"/>
          <w:kern w:val="2"/>
          <w:sz w:val="32"/>
          <w:szCs w:val="32"/>
        </w:rPr>
        <w:t>；无后续工程的，退还全部保证金余额。退还保证金时，利息一并退还。</w:t>
      </w:r>
    </w:p>
    <w:p>
      <w:pPr>
        <w:pStyle w:val="10"/>
        <w:widowControl w:val="0"/>
        <w:shd w:val="clear" w:color="auto" w:fill="FFFFFF"/>
        <w:spacing w:before="0" w:beforeAutospacing="0" w:after="0" w:afterAutospacing="0" w:line="570" w:lineRule="exact"/>
        <w:ind w:firstLine="640"/>
        <w:jc w:val="both"/>
        <w:rPr>
          <w:rFonts w:ascii="Times New Roman" w:hAnsi="Times New Roman" w:eastAsia="方正仿宋_GBK"/>
          <w:kern w:val="2"/>
          <w:sz w:val="32"/>
          <w:szCs w:val="32"/>
        </w:rPr>
      </w:pPr>
      <w:r>
        <w:rPr>
          <w:rFonts w:hint="eastAsia" w:ascii="Times New Roman" w:hAnsi="Times New Roman" w:eastAsia="黑体"/>
          <w:kern w:val="2"/>
          <w:sz w:val="32"/>
          <w:szCs w:val="32"/>
        </w:rPr>
        <w:t>三、</w:t>
      </w:r>
      <w:r>
        <w:rPr>
          <w:rFonts w:hint="eastAsia" w:ascii="Times New Roman" w:hAnsi="Times New Roman" w:eastAsia="方正仿宋_GBK"/>
          <w:kern w:val="2"/>
          <w:sz w:val="32"/>
          <w:szCs w:val="32"/>
        </w:rPr>
        <w:t>施工企业发生建筑工人工资拖欠时，相关行政主管部门应当及时采取措施，督促其限期支付。</w:t>
      </w:r>
    </w:p>
    <w:p>
      <w:pPr>
        <w:pStyle w:val="10"/>
        <w:widowControl w:val="0"/>
        <w:shd w:val="clear" w:color="auto" w:fill="FFFFFF"/>
        <w:spacing w:before="0" w:beforeAutospacing="0" w:after="0" w:afterAutospacing="0" w:line="570" w:lineRule="exact"/>
        <w:ind w:firstLine="64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施工企业故意拖延、拒不履行支付建筑工人工资义务超过限定时间的，工程建设项目所在地相关行政主管部门可以动用保证金，用于支付责任施工企业拖欠的建筑工人工资。</w:t>
      </w:r>
    </w:p>
    <w:p>
      <w:pPr>
        <w:pStyle w:val="10"/>
        <w:widowControl w:val="0"/>
        <w:shd w:val="clear" w:color="auto" w:fill="FFFFFF"/>
        <w:spacing w:before="0" w:beforeAutospacing="0" w:after="0" w:afterAutospacing="0" w:line="570" w:lineRule="exact"/>
        <w:ind w:firstLine="64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施工企业应当在动用保证金支付建筑工人工资</w:t>
      </w:r>
      <w:r>
        <w:rPr>
          <w:rFonts w:ascii="Times New Roman" w:hAnsi="Times New Roman" w:eastAsia="方正仿宋_GBK"/>
          <w:kern w:val="2"/>
          <w:sz w:val="32"/>
          <w:szCs w:val="32"/>
        </w:rPr>
        <w:t>30</w:t>
      </w:r>
      <w:r>
        <w:rPr>
          <w:rFonts w:hint="eastAsia" w:ascii="Times New Roman" w:hAnsi="Times New Roman" w:eastAsia="方正仿宋_GBK"/>
          <w:kern w:val="2"/>
          <w:sz w:val="32"/>
          <w:szCs w:val="32"/>
        </w:rPr>
        <w:t>日内，按动用数额的</w:t>
      </w:r>
      <w:r>
        <w:rPr>
          <w:rFonts w:ascii="Times New Roman" w:hAnsi="Times New Roman" w:eastAsia="方正仿宋_GBK"/>
          <w:kern w:val="2"/>
          <w:sz w:val="32"/>
          <w:szCs w:val="32"/>
        </w:rPr>
        <w:t>2</w:t>
      </w:r>
      <w:r>
        <w:rPr>
          <w:rFonts w:hint="eastAsia" w:ascii="Times New Roman" w:hAnsi="Times New Roman" w:eastAsia="方正仿宋_GBK"/>
          <w:kern w:val="2"/>
          <w:sz w:val="32"/>
          <w:szCs w:val="32"/>
        </w:rPr>
        <w:t>倍缴存保证金。</w:t>
      </w:r>
    </w:p>
    <w:p>
      <w:pPr>
        <w:snapToGrid w:val="0"/>
        <w:spacing w:line="600" w:lineRule="exact"/>
        <w:ind w:firstLine="420" w:firstLineChars="200"/>
      </w:pPr>
    </w:p>
    <w:p>
      <w:pPr>
        <w:snapToGrid w:val="0"/>
        <w:spacing w:line="600" w:lineRule="exact"/>
        <w:ind w:firstLine="420" w:firstLineChars="200"/>
      </w:pPr>
    </w:p>
    <w:p>
      <w:pPr>
        <w:snapToGrid w:val="0"/>
        <w:spacing w:line="600" w:lineRule="exact"/>
        <w:ind w:firstLine="420" w:firstLineChars="200"/>
      </w:pPr>
    </w:p>
    <w:p>
      <w:pPr>
        <w:snapToGrid w:val="0"/>
        <w:spacing w:line="600" w:lineRule="exact"/>
        <w:ind w:firstLine="420" w:firstLineChars="200"/>
      </w:pPr>
    </w:p>
    <w:p>
      <w:pPr>
        <w:snapToGrid w:val="0"/>
        <w:spacing w:line="600" w:lineRule="exact"/>
        <w:ind w:firstLine="420" w:firstLineChars="200"/>
      </w:pPr>
    </w:p>
    <w:p>
      <w:pPr>
        <w:snapToGrid w:val="0"/>
        <w:spacing w:line="600" w:lineRule="exact"/>
        <w:ind w:firstLine="420" w:firstLineChars="200"/>
      </w:pPr>
    </w:p>
    <w:p>
      <w:pPr>
        <w:snapToGrid w:val="0"/>
        <w:spacing w:line="600" w:lineRule="exact"/>
        <w:ind w:firstLine="420" w:firstLineChars="200"/>
      </w:pPr>
    </w:p>
    <w:p>
      <w:pPr>
        <w:snapToGrid w:val="0"/>
        <w:spacing w:line="600" w:lineRule="exact"/>
        <w:ind w:firstLine="420" w:firstLineChars="200"/>
      </w:pPr>
    </w:p>
    <w:p>
      <w:pPr>
        <w:snapToGrid w:val="0"/>
        <w:spacing w:line="600" w:lineRule="exact"/>
        <w:ind w:firstLine="420" w:firstLineChars="200"/>
      </w:pPr>
    </w:p>
    <w:p>
      <w:pPr>
        <w:snapToGrid w:val="0"/>
        <w:spacing w:line="20" w:lineRule="exact"/>
        <w:jc w:val="left"/>
      </w:pPr>
    </w:p>
    <w:p/>
    <w:p/>
    <w:p/>
    <w:p/>
    <w:p/>
    <w:p/>
    <w:p/>
    <w:p/>
    <w:p/>
    <w:p/>
    <w:p/>
    <w:p/>
    <w:p/>
    <w:p>
      <w:pPr>
        <w:spacing w:line="500" w:lineRule="exact"/>
        <w:ind w:left="-7" w:leftChars="-8" w:hanging="10" w:hangingChars="3"/>
        <w:jc w:val="center"/>
        <w:rPr>
          <w:rFonts w:ascii="Times New Roman" w:eastAsia="方正小标宋简体"/>
          <w:sz w:val="36"/>
          <w:szCs w:val="36"/>
        </w:rPr>
      </w:pPr>
      <w:r>
        <w:rPr>
          <w:rFonts w:hint="eastAsia" w:ascii="Times New Roman" w:eastAsia="方正小标宋简体"/>
          <w:sz w:val="36"/>
          <w:szCs w:val="36"/>
        </w:rPr>
        <w:t>关于印发《江苏省房屋建筑和市政基础设施</w:t>
      </w:r>
    </w:p>
    <w:p>
      <w:pPr>
        <w:spacing w:line="500" w:lineRule="exact"/>
        <w:ind w:left="-7" w:leftChars="-8" w:hanging="10" w:hangingChars="3"/>
        <w:jc w:val="center"/>
        <w:rPr>
          <w:rFonts w:hint="eastAsia" w:ascii="Times New Roman" w:eastAsia="方正小标宋简体"/>
          <w:sz w:val="36"/>
          <w:szCs w:val="36"/>
        </w:rPr>
      </w:pPr>
      <w:r>
        <w:rPr>
          <w:rFonts w:hint="eastAsia" w:ascii="Times New Roman" w:eastAsia="方正小标宋简体"/>
          <w:sz w:val="36"/>
          <w:szCs w:val="36"/>
        </w:rPr>
        <w:t>拆除安全管理办法》的通知</w:t>
      </w:r>
    </w:p>
    <w:p>
      <w:pPr>
        <w:spacing w:line="460" w:lineRule="exact"/>
        <w:ind w:firstLine="472"/>
        <w:jc w:val="center"/>
        <w:rPr>
          <w:rFonts w:hint="eastAsia" w:eastAsia="方正仿宋_GBK"/>
          <w:color w:val="000000"/>
          <w:spacing w:val="-2"/>
          <w:sz w:val="24"/>
        </w:rPr>
      </w:pPr>
    </w:p>
    <w:p>
      <w:pPr>
        <w:spacing w:line="460" w:lineRule="exact"/>
        <w:ind w:firstLine="480"/>
        <w:jc w:val="center"/>
        <w:rPr>
          <w:rFonts w:eastAsia="方正楷体_GBK"/>
          <w:sz w:val="24"/>
        </w:rPr>
      </w:pPr>
      <w:r>
        <w:rPr>
          <w:rFonts w:hint="eastAsia" w:eastAsia="方正楷体_GBK"/>
          <w:sz w:val="24"/>
        </w:rPr>
        <w:t>苏建质安〔</w:t>
      </w:r>
      <w:r>
        <w:rPr>
          <w:rFonts w:eastAsia="方正楷体_GBK"/>
          <w:sz w:val="24"/>
        </w:rPr>
        <w:t>2010</w:t>
      </w:r>
      <w:r>
        <w:rPr>
          <w:rFonts w:hint="eastAsia" w:eastAsia="方正楷体_GBK"/>
          <w:sz w:val="24"/>
        </w:rPr>
        <w:t>〕</w:t>
      </w:r>
      <w:r>
        <w:rPr>
          <w:rFonts w:eastAsia="方正楷体_GBK"/>
          <w:sz w:val="24"/>
        </w:rPr>
        <w:t>351</w:t>
      </w:r>
      <w:r>
        <w:rPr>
          <w:rFonts w:hint="eastAsia" w:eastAsia="方正楷体_GBK"/>
          <w:sz w:val="24"/>
        </w:rPr>
        <w:t>号</w:t>
      </w:r>
    </w:p>
    <w:p>
      <w:pPr>
        <w:spacing w:line="460" w:lineRule="exact"/>
        <w:ind w:firstLine="472"/>
        <w:jc w:val="center"/>
        <w:rPr>
          <w:rFonts w:eastAsia="方正仿宋_GBK"/>
          <w:color w:val="000000"/>
          <w:spacing w:val="-2"/>
          <w:sz w:val="24"/>
        </w:rPr>
      </w:pPr>
    </w:p>
    <w:p>
      <w:pPr>
        <w:spacing w:line="460" w:lineRule="exact"/>
        <w:rPr>
          <w:rFonts w:eastAsia="方正仿宋_GBK"/>
          <w:color w:val="000000"/>
          <w:spacing w:val="-2"/>
          <w:sz w:val="24"/>
        </w:rPr>
      </w:pPr>
      <w:r>
        <w:rPr>
          <w:rFonts w:hint="eastAsia" w:eastAsia="方正仿宋_GBK"/>
          <w:color w:val="000000"/>
          <w:spacing w:val="-2"/>
          <w:sz w:val="24"/>
        </w:rPr>
        <w:t>各市住建局（委）、规划局、房管局、市政公用局、应急管理局：</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近年来，随着城市建设进程的加快，我省各市在城市改造工作中房屋建筑和市政基础设施拆除工作量不断加大，但在拆除过程中，由于施工行为不规范，缺少有效的安全防护措施和可行性方案，近期连续发生多起人员伤亡事故，给人民的生命财产造成了很大的危害。</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省住房和城乡建设厅和省应急管理厅根据《中华人民共和国安全生产法》、《中华人民共和国建筑法》、《建设工程安全生产管理条例》等法律、法规，结合我省房屋建筑和市政基础设施拆除工作实际，制定《江苏省房屋建筑和市政基础设施拆除安全管理办法》，主要规范房屋建筑和市政基础设施拆除实施单位的主体资格、施工程序及施工的安全防护措施等。现印发给你们，请认真执行。</w:t>
      </w:r>
    </w:p>
    <w:p>
      <w:pPr>
        <w:spacing w:line="460" w:lineRule="exact"/>
        <w:ind w:firstLine="472" w:firstLineChars="200"/>
        <w:rPr>
          <w:rFonts w:eastAsia="方正仿宋_GBK"/>
          <w:color w:val="000000"/>
          <w:spacing w:val="-2"/>
          <w:sz w:val="24"/>
        </w:rPr>
      </w:pP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附件：江苏省房屋建筑和市政基础设施拆除安全管理办法</w:t>
      </w:r>
      <w:r>
        <w:rPr>
          <w:rFonts w:eastAsia="方正仿宋_GBK"/>
          <w:color w:val="000000"/>
          <w:spacing w:val="-2"/>
          <w:sz w:val="24"/>
        </w:rPr>
        <w:t xml:space="preserve"> </w:t>
      </w:r>
    </w:p>
    <w:p>
      <w:pPr>
        <w:spacing w:line="460" w:lineRule="exact"/>
        <w:ind w:firstLine="480" w:firstLineChars="200"/>
        <w:jc w:val="right"/>
        <w:rPr>
          <w:rFonts w:eastAsia="方正仿宋_GBK"/>
          <w:color w:val="000000"/>
          <w:kern w:val="0"/>
          <w:sz w:val="24"/>
        </w:rPr>
      </w:pPr>
    </w:p>
    <w:p>
      <w:pPr>
        <w:spacing w:line="460" w:lineRule="exact"/>
        <w:ind w:right="418" w:rightChars="199" w:firstLine="528" w:firstLineChars="200"/>
        <w:jc w:val="right"/>
        <w:rPr>
          <w:rFonts w:eastAsia="方正仿宋_GBK"/>
          <w:color w:val="000000"/>
          <w:spacing w:val="-2"/>
          <w:sz w:val="24"/>
        </w:rPr>
      </w:pPr>
      <w:r>
        <w:rPr>
          <w:rFonts w:hint="eastAsia" w:eastAsia="方正仿宋_GBK"/>
          <w:color w:val="000000"/>
          <w:spacing w:val="12"/>
          <w:kern w:val="0"/>
          <w:sz w:val="24"/>
        </w:rPr>
        <w:t>江苏省住房和城乡建设</w:t>
      </w:r>
      <w:r>
        <w:rPr>
          <w:rFonts w:hint="eastAsia" w:eastAsia="方正仿宋_GBK"/>
          <w:color w:val="000000"/>
          <w:kern w:val="0"/>
          <w:sz w:val="24"/>
        </w:rPr>
        <w:t>厅</w:t>
      </w:r>
      <w:r>
        <w:rPr>
          <w:rFonts w:eastAsia="方正仿宋_GBK"/>
          <w:color w:val="000000"/>
          <w:kern w:val="0"/>
          <w:sz w:val="24"/>
        </w:rPr>
        <w:t xml:space="preserve">    </w:t>
      </w:r>
    </w:p>
    <w:p>
      <w:pPr>
        <w:spacing w:line="460" w:lineRule="exact"/>
        <w:ind w:right="418" w:rightChars="199" w:firstLine="472" w:firstLineChars="200"/>
        <w:jc w:val="right"/>
        <w:rPr>
          <w:rFonts w:eastAsia="方正仿宋_GBK"/>
          <w:color w:val="000000"/>
          <w:spacing w:val="-2"/>
          <w:sz w:val="24"/>
        </w:rPr>
      </w:pPr>
      <w:r>
        <w:rPr>
          <w:rFonts w:hint="eastAsia" w:eastAsia="方正仿宋_GBK"/>
          <w:color w:val="000000"/>
          <w:spacing w:val="-2"/>
          <w:sz w:val="24"/>
        </w:rPr>
        <w:t>江苏省应急管理厅</w:t>
      </w:r>
      <w:r>
        <w:rPr>
          <w:rFonts w:eastAsia="方正仿宋_GBK"/>
          <w:color w:val="000000"/>
          <w:spacing w:val="-2"/>
          <w:sz w:val="24"/>
        </w:rPr>
        <w:t xml:space="preserve">    </w:t>
      </w:r>
    </w:p>
    <w:p>
      <w:pPr>
        <w:spacing w:line="460" w:lineRule="exact"/>
        <w:ind w:right="838" w:rightChars="399" w:firstLine="4012" w:firstLineChars="1700"/>
        <w:jc w:val="right"/>
        <w:rPr>
          <w:rFonts w:eastAsia="方正仿宋_GBK"/>
          <w:color w:val="000000"/>
          <w:spacing w:val="-2"/>
          <w:sz w:val="24"/>
        </w:rPr>
      </w:pPr>
      <w:r>
        <w:rPr>
          <w:rFonts w:hint="eastAsia" w:eastAsia="方正仿宋_GBK"/>
          <w:color w:val="000000"/>
          <w:spacing w:val="-2"/>
          <w:sz w:val="24"/>
        </w:rPr>
        <w:t>二</w:t>
      </w:r>
      <w:r>
        <w:rPr>
          <w:rFonts w:hint="eastAsia" w:eastAsia="方正仿宋_GBK"/>
          <w:bCs/>
          <w:snapToGrid w:val="0"/>
          <w:color w:val="000000"/>
          <w:spacing w:val="-2"/>
          <w:kern w:val="0"/>
          <w:sz w:val="24"/>
        </w:rPr>
        <w:t>○</w:t>
      </w:r>
      <w:r>
        <w:rPr>
          <w:rFonts w:hint="eastAsia" w:eastAsia="方正仿宋_GBK"/>
          <w:color w:val="000000"/>
          <w:spacing w:val="-2"/>
          <w:sz w:val="24"/>
        </w:rPr>
        <w:t>一</w:t>
      </w:r>
      <w:r>
        <w:rPr>
          <w:rFonts w:hint="eastAsia" w:eastAsia="方正仿宋_GBK"/>
          <w:bCs/>
          <w:snapToGrid w:val="0"/>
          <w:color w:val="000000"/>
          <w:spacing w:val="-2"/>
          <w:kern w:val="0"/>
          <w:sz w:val="24"/>
        </w:rPr>
        <w:t>○</w:t>
      </w:r>
      <w:r>
        <w:rPr>
          <w:rFonts w:hint="eastAsia" w:eastAsia="方正仿宋_GBK"/>
          <w:color w:val="000000"/>
          <w:spacing w:val="-2"/>
          <w:sz w:val="24"/>
        </w:rPr>
        <w:t>年八月四日</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p>
    <w:p>
      <w:pPr>
        <w:spacing w:line="460" w:lineRule="exact"/>
        <w:ind w:firstLine="472"/>
        <w:rPr>
          <w:rFonts w:eastAsia="方正仿宋_GBK"/>
          <w:color w:val="000000"/>
          <w:spacing w:val="-2"/>
          <w:sz w:val="24"/>
        </w:rPr>
      </w:pPr>
    </w:p>
    <w:p>
      <w:pPr>
        <w:spacing w:line="460" w:lineRule="exact"/>
        <w:ind w:firstLine="712"/>
        <w:jc w:val="center"/>
        <w:rPr>
          <w:rFonts w:ascii="Times New Roman" w:eastAsia="方正黑体_GBK"/>
          <w:color w:val="000000"/>
          <w:spacing w:val="-2"/>
          <w:sz w:val="36"/>
          <w:szCs w:val="36"/>
        </w:rPr>
      </w:pPr>
      <w:r>
        <w:rPr>
          <w:rFonts w:hint="eastAsia" w:ascii="Times New Roman" w:eastAsia="方正黑体_GBK"/>
          <w:color w:val="000000"/>
          <w:spacing w:val="-2"/>
          <w:sz w:val="36"/>
          <w:szCs w:val="36"/>
        </w:rPr>
        <w:t>江苏省房屋建筑和市政基础设施</w:t>
      </w:r>
    </w:p>
    <w:p>
      <w:pPr>
        <w:spacing w:line="460" w:lineRule="exact"/>
        <w:ind w:firstLine="712"/>
        <w:jc w:val="center"/>
        <w:rPr>
          <w:rFonts w:hint="eastAsia" w:ascii="Times New Roman" w:eastAsia="方正黑体_GBK"/>
          <w:color w:val="000000"/>
          <w:spacing w:val="-2"/>
          <w:sz w:val="36"/>
          <w:szCs w:val="36"/>
        </w:rPr>
      </w:pPr>
      <w:r>
        <w:rPr>
          <w:rFonts w:hint="eastAsia" w:ascii="Times New Roman" w:eastAsia="方正黑体_GBK"/>
          <w:color w:val="000000"/>
          <w:spacing w:val="-2"/>
          <w:sz w:val="36"/>
          <w:szCs w:val="36"/>
        </w:rPr>
        <w:t>拆除安全管理办法</w:t>
      </w:r>
    </w:p>
    <w:p>
      <w:pPr>
        <w:spacing w:line="460" w:lineRule="exact"/>
        <w:ind w:firstLine="472" w:firstLineChars="200"/>
        <w:rPr>
          <w:rFonts w:hint="eastAsia" w:eastAsia="方正仿宋_GBK"/>
          <w:color w:val="000000"/>
          <w:spacing w:val="-2"/>
          <w:sz w:val="24"/>
        </w:rPr>
      </w:pP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 xml:space="preserve">第一条 </w:t>
      </w:r>
      <w:r>
        <w:rPr>
          <w:rFonts w:eastAsia="方正仿宋_GBK"/>
          <w:color w:val="000000"/>
          <w:spacing w:val="-2"/>
          <w:sz w:val="24"/>
        </w:rPr>
        <w:t xml:space="preserve"> </w:t>
      </w:r>
      <w:r>
        <w:rPr>
          <w:rFonts w:hint="eastAsia" w:eastAsia="方正仿宋_GBK"/>
          <w:color w:val="000000"/>
          <w:spacing w:val="-2"/>
          <w:sz w:val="24"/>
        </w:rPr>
        <w:t>为了加强对房屋建筑和市政基础设施拆除活动的管理，提高安全生产和文明施工水平，防止和减少安全事故的发生，确保拆除顺利进行，根据有关法律、法规，制定本办法。</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第二条</w:t>
      </w:r>
      <w:r>
        <w:rPr>
          <w:rFonts w:eastAsia="方正仿宋_GBK"/>
          <w:color w:val="000000"/>
          <w:spacing w:val="-2"/>
          <w:sz w:val="24"/>
        </w:rPr>
        <w:t xml:space="preserve">  </w:t>
      </w:r>
      <w:r>
        <w:rPr>
          <w:rFonts w:hint="eastAsia" w:eastAsia="方正仿宋_GBK"/>
          <w:color w:val="000000"/>
          <w:spacing w:val="-2"/>
          <w:sz w:val="24"/>
        </w:rPr>
        <w:t>在本省行政区域内从事房屋建筑和市政基础设施拆除活动，实施对该活动的安全监督管理，应当遵守本办法。</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 xml:space="preserve">第三条 </w:t>
      </w:r>
      <w:r>
        <w:rPr>
          <w:rFonts w:eastAsia="方正仿宋_GBK"/>
          <w:color w:val="000000"/>
          <w:spacing w:val="-2"/>
          <w:sz w:val="24"/>
        </w:rPr>
        <w:t xml:space="preserve"> </w:t>
      </w:r>
      <w:r>
        <w:rPr>
          <w:rFonts w:hint="eastAsia" w:eastAsia="方正仿宋_GBK"/>
          <w:color w:val="000000"/>
          <w:spacing w:val="-2"/>
          <w:sz w:val="24"/>
        </w:rPr>
        <w:t>省应急管理部门负责对本省房屋建筑和市政基础设施拆除活动的安全实施综合监督管理。</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省建设行政主管部门负责对本省房屋建筑和市政基础设施拆除活动的安全实施监督管理。</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设区的市、县（市）建设行政主管部门负责本行政区域内的房屋建筑和市政基础设施拆除活动的安全实施监督管理工作。</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第四条</w:t>
      </w:r>
      <w:r>
        <w:rPr>
          <w:rFonts w:eastAsia="方正仿宋_GBK"/>
          <w:color w:val="000000"/>
          <w:spacing w:val="-2"/>
          <w:sz w:val="24"/>
        </w:rPr>
        <w:t xml:space="preserve">  </w:t>
      </w:r>
      <w:r>
        <w:rPr>
          <w:rFonts w:hint="eastAsia" w:eastAsia="方正仿宋_GBK"/>
          <w:color w:val="000000"/>
          <w:spacing w:val="-2"/>
          <w:sz w:val="24"/>
        </w:rPr>
        <w:t>建设单位应将房屋建筑和市政基础设施拆除的工程发包给具有相应资质等级并具备安全作业条件的施工单位承担，并签订安全生产管理协议。</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第五条</w:t>
      </w:r>
      <w:r>
        <w:rPr>
          <w:rFonts w:eastAsia="方正仿宋_GBK"/>
          <w:color w:val="000000"/>
          <w:spacing w:val="-2"/>
          <w:sz w:val="24"/>
        </w:rPr>
        <w:t xml:space="preserve">  </w:t>
      </w:r>
      <w:r>
        <w:rPr>
          <w:rFonts w:hint="eastAsia" w:eastAsia="方正仿宋_GBK"/>
          <w:color w:val="000000"/>
          <w:spacing w:val="-2"/>
          <w:sz w:val="24"/>
        </w:rPr>
        <w:t>从事房屋建筑和市政基础设施拆除工程施工的项目经理、技术负责人、安全员、特种作业人员和作业人员，应当接受施工安全技术培训和安全教育，持证上岗。</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患有心脏病、高血压、癫痫病的人员不得从事高空施工作业。</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第六条</w:t>
      </w:r>
      <w:r>
        <w:rPr>
          <w:rFonts w:eastAsia="方正仿宋_GBK"/>
          <w:color w:val="000000"/>
          <w:spacing w:val="-2"/>
          <w:sz w:val="24"/>
        </w:rPr>
        <w:t xml:space="preserve">  </w:t>
      </w:r>
      <w:r>
        <w:rPr>
          <w:rFonts w:hint="eastAsia" w:eastAsia="方正仿宋_GBK"/>
          <w:color w:val="000000"/>
          <w:spacing w:val="-2"/>
          <w:sz w:val="24"/>
        </w:rPr>
        <w:t>建设单位应当在拆除工程施工</w:t>
      </w:r>
      <w:r>
        <w:rPr>
          <w:rFonts w:eastAsia="方正仿宋_GBK"/>
          <w:color w:val="000000"/>
          <w:spacing w:val="-2"/>
          <w:sz w:val="24"/>
        </w:rPr>
        <w:t>15</w:t>
      </w:r>
      <w:r>
        <w:rPr>
          <w:rFonts w:hint="eastAsia" w:eastAsia="方正仿宋_GBK"/>
          <w:color w:val="000000"/>
          <w:spacing w:val="-2"/>
          <w:sz w:val="24"/>
        </w:rPr>
        <w:t>日前，将下列资料报送工程所在地的县级以上地方人民政府建设行政主管部门备案：</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（一）施工单位资质等级证明；</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（二）拆除施工组织方案；</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（三）拟拆除建筑物、构筑物及可能危及毗邻建筑的说明；</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（四）堆放、清除废弃物的措施；</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拟拆除的房屋建筑和市政基础设施属于文物保护单位和依法确定的纪念性建筑的，建设单位除提供前款规定文件外，还应出具有关部门同意拆除的证明。</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第七条</w:t>
      </w:r>
      <w:r>
        <w:rPr>
          <w:rFonts w:eastAsia="方正仿宋_GBK"/>
          <w:color w:val="000000"/>
          <w:spacing w:val="-2"/>
          <w:sz w:val="24"/>
        </w:rPr>
        <w:t xml:space="preserve">  </w:t>
      </w:r>
      <w:r>
        <w:rPr>
          <w:rFonts w:hint="eastAsia" w:eastAsia="方正仿宋_GBK"/>
          <w:color w:val="000000"/>
          <w:spacing w:val="-2"/>
          <w:sz w:val="24"/>
        </w:rPr>
        <w:t>建设单位应当向施工单位提供施工现场及毗邻区域内地（上）下管线资料，气象和水文观测资料，相邻建筑物和构筑物、地下工程的有关资料，并保证资料的真实、准确、完整。</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建设单位因工程需要，向有关部门或者单位查询前款规定的资料时，有关部门或者单位应当及时提供。</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 xml:space="preserve">第八条 </w:t>
      </w:r>
      <w:r>
        <w:rPr>
          <w:rFonts w:eastAsia="方正仿宋_GBK"/>
          <w:color w:val="000000"/>
          <w:spacing w:val="-2"/>
          <w:sz w:val="24"/>
        </w:rPr>
        <w:t xml:space="preserve"> </w:t>
      </w:r>
      <w:r>
        <w:rPr>
          <w:rFonts w:hint="eastAsia" w:eastAsia="方正仿宋_GBK"/>
          <w:color w:val="000000"/>
          <w:spacing w:val="-2"/>
          <w:sz w:val="24"/>
        </w:rPr>
        <w:t>建设单位应当向施工单位提供拟拆除房屋建筑工程的结构图、管线图和周边环境的情况。</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 xml:space="preserve">第九条 </w:t>
      </w:r>
      <w:r>
        <w:rPr>
          <w:rFonts w:eastAsia="方正仿宋_GBK"/>
          <w:color w:val="000000"/>
          <w:spacing w:val="-2"/>
          <w:sz w:val="24"/>
        </w:rPr>
        <w:t xml:space="preserve"> </w:t>
      </w:r>
      <w:r>
        <w:rPr>
          <w:rFonts w:hint="eastAsia" w:eastAsia="方正仿宋_GBK"/>
          <w:color w:val="000000"/>
          <w:spacing w:val="-2"/>
          <w:sz w:val="24"/>
        </w:rPr>
        <w:t>在房屋建筑和市政基础设施拆除过程中，建设单位必须派相关业务人员在施工现场协助施工单位，按要求进行房屋建筑和市政基础拆除的施工。</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 xml:space="preserve">第十条 </w:t>
      </w:r>
      <w:r>
        <w:rPr>
          <w:rFonts w:eastAsia="方正仿宋_GBK"/>
          <w:color w:val="000000"/>
          <w:spacing w:val="-2"/>
          <w:sz w:val="24"/>
        </w:rPr>
        <w:t xml:space="preserve"> </w:t>
      </w:r>
      <w:r>
        <w:rPr>
          <w:rFonts w:hint="eastAsia" w:eastAsia="方正仿宋_GBK"/>
          <w:color w:val="000000"/>
          <w:spacing w:val="-2"/>
          <w:sz w:val="24"/>
        </w:rPr>
        <w:t>施工单位应当合理确定拆除工程的拆除方法，并符合下列要求：</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（一）人工拆除，可适用于木结构、砖木结构、砖混结构的民用建筑工程；</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（二）机械拆除，可适用于砖混结构、框架结构、排架结构、钢结构和各类基础、地下构筑物工程；</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（三）爆破拆除，可适用于砖混结构、框架结构、排架结构、钢结构和各类基础、构筑物、高耸的建筑构筑物工程。</w:t>
      </w:r>
      <w:r>
        <w:rPr>
          <w:rFonts w:eastAsia="方正仿宋_GBK"/>
          <w:color w:val="000000"/>
          <w:spacing w:val="-2"/>
          <w:sz w:val="24"/>
        </w:rPr>
        <w:t xml:space="preserve"> </w:t>
      </w:r>
    </w:p>
    <w:p>
      <w:pPr>
        <w:spacing w:line="57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第十一条</w:t>
      </w:r>
      <w:r>
        <w:rPr>
          <w:rFonts w:eastAsia="方正仿宋_GBK"/>
          <w:color w:val="000000"/>
          <w:spacing w:val="-2"/>
          <w:sz w:val="24"/>
        </w:rPr>
        <w:t xml:space="preserve">  </w:t>
      </w:r>
      <w:r>
        <w:rPr>
          <w:rFonts w:hint="eastAsia" w:eastAsia="方正仿宋_GBK"/>
          <w:color w:val="000000"/>
          <w:spacing w:val="-2"/>
          <w:sz w:val="24"/>
        </w:rPr>
        <w:t>施工单位应当对拟拆除的建筑物、构筑物工程进行详细的调查和现场实地勘察，根据危险性较大的分部分项工程相关安全管理规定，编制专项施工方案，并按规定组织专家论证和实施。</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拆除房屋建筑和水塔、烟囱等构筑物工程，必须编制施工组织设计。在编制施工专项方案或施工组织设计时，应当制定预防拆除事故的安全技术措施。施工专项方案或者施工组织设计应当经施工企业的技术负责人审核批准。</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采用爆破作业方法拆除建筑物、构筑物时，其施工方案或施工组织设计应当经公安部门批准。</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 xml:space="preserve">第十二条 </w:t>
      </w:r>
      <w:r>
        <w:rPr>
          <w:rFonts w:eastAsia="方正仿宋_GBK"/>
          <w:color w:val="000000"/>
          <w:spacing w:val="-2"/>
          <w:sz w:val="24"/>
        </w:rPr>
        <w:t xml:space="preserve"> </w:t>
      </w:r>
      <w:r>
        <w:rPr>
          <w:rFonts w:hint="eastAsia" w:eastAsia="方正仿宋_GBK"/>
          <w:color w:val="000000"/>
          <w:spacing w:val="-2"/>
          <w:sz w:val="24"/>
        </w:rPr>
        <w:t>在房屋建筑和市政基础设施工程拆除时，施工现场必须设置封闭的围栏围护。拆除位于主次干道两侧及人员密集场所的建筑物、构筑物时，防护架搭设应当采取全封闭形式，并应当做到节点可靠，固定点合理，能满足抗倾覆的要求。</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 xml:space="preserve">第十三条 </w:t>
      </w:r>
      <w:r>
        <w:rPr>
          <w:rFonts w:eastAsia="方正仿宋_GBK"/>
          <w:color w:val="000000"/>
          <w:spacing w:val="-2"/>
          <w:sz w:val="24"/>
        </w:rPr>
        <w:t xml:space="preserve"> </w:t>
      </w:r>
      <w:r>
        <w:rPr>
          <w:rFonts w:hint="eastAsia" w:eastAsia="方正仿宋_GBK"/>
          <w:color w:val="000000"/>
          <w:spacing w:val="-2"/>
          <w:sz w:val="24"/>
        </w:rPr>
        <w:t>施工现场应当在主要出入口设置施工标志牌，写明建设单位、施工单位名称及项目经理、项目技术负责人、安全员姓名，拆除工程备案编号，监督电话等，接受社会监督。施工现场的危险区域和临街、临路的危险地段应当悬挂警示标志、夜间用红灯警示。</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 xml:space="preserve">第十四条 </w:t>
      </w:r>
      <w:r>
        <w:rPr>
          <w:rFonts w:eastAsia="方正仿宋_GBK"/>
          <w:color w:val="000000"/>
          <w:spacing w:val="-2"/>
          <w:sz w:val="24"/>
        </w:rPr>
        <w:t xml:space="preserve"> </w:t>
      </w:r>
      <w:r>
        <w:rPr>
          <w:rFonts w:hint="eastAsia" w:eastAsia="方正仿宋_GBK"/>
          <w:color w:val="000000"/>
          <w:spacing w:val="-2"/>
          <w:sz w:val="24"/>
        </w:rPr>
        <w:t>施工现场有下列情形之一的，建设单位应当按照国家有关规定申请办理批准手续：</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（一）需要临时占用规划批准范围以外场地的；</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（二）可能损坏道路、管线、电力、邮电、通讯等公共设施的；</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（三）需要临时停水、停电、中断道路交通的：</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（四）法律、法规规定的其它情形。</w:t>
      </w:r>
      <w:r>
        <w:rPr>
          <w:rFonts w:eastAsia="方正仿宋_GBK"/>
          <w:color w:val="000000"/>
          <w:spacing w:val="-2"/>
          <w:sz w:val="24"/>
        </w:rPr>
        <w:t xml:space="preserve"> </w:t>
      </w:r>
    </w:p>
    <w:p>
      <w:pPr>
        <w:spacing w:line="570" w:lineRule="exact"/>
        <w:ind w:firstLine="462" w:firstLineChars="196"/>
        <w:rPr>
          <w:rFonts w:eastAsia="方正仿宋_GBK"/>
          <w:color w:val="000000"/>
          <w:spacing w:val="-2"/>
          <w:sz w:val="24"/>
        </w:rPr>
      </w:pPr>
      <w:r>
        <w:rPr>
          <w:rFonts w:hint="eastAsia" w:ascii="Times New Roman" w:eastAsia="方正黑体_GBK"/>
          <w:color w:val="000000"/>
          <w:spacing w:val="-2"/>
          <w:sz w:val="24"/>
        </w:rPr>
        <w:t>第十五条</w:t>
      </w:r>
      <w:r>
        <w:rPr>
          <w:rFonts w:eastAsia="方正仿宋_GBK"/>
          <w:color w:val="000000"/>
          <w:spacing w:val="-2"/>
          <w:sz w:val="24"/>
        </w:rPr>
        <w:t xml:space="preserve">  </w:t>
      </w:r>
      <w:r>
        <w:rPr>
          <w:rFonts w:hint="eastAsia" w:eastAsia="方正仿宋_GBK"/>
          <w:color w:val="000000"/>
          <w:spacing w:val="-2"/>
          <w:sz w:val="24"/>
        </w:rPr>
        <w:t>施工作业前，施工技术负责人应当对施工现场管理人员进行方案交底，交底内容包括施工工艺、材料、设备、工作流程、工作条件、安全技术措施，以及安全管理和应急处置措施等，应由双方共同签字确认。施工现场管理人员应当向作业人员进行有针对性的安全技术交底，交底由双方和项目专职安全生产管理人员共同签字确认。</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拆除作业时，施工单位的项目经理、技术负责人、安全员必须在现场指挥、监督；监理单位应当对拆除实施专项巡视检查。</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第十六条</w:t>
      </w:r>
      <w:r>
        <w:rPr>
          <w:rFonts w:eastAsia="方正仿宋_GBK"/>
          <w:color w:val="000000"/>
          <w:spacing w:val="-2"/>
          <w:sz w:val="24"/>
        </w:rPr>
        <w:t xml:space="preserve">  </w:t>
      </w:r>
      <w:r>
        <w:rPr>
          <w:rFonts w:hint="eastAsia" w:eastAsia="方正仿宋_GBK"/>
          <w:color w:val="000000"/>
          <w:spacing w:val="-2"/>
          <w:sz w:val="24"/>
        </w:rPr>
        <w:t>施工单位进行管道、容器拆除时，应查清管道容器的用途，采取相应措施清除废气、废液后方可施工。采用电、气焊，应严格执行明火作业的有关规定，配备监护人员和灭火器材。</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 xml:space="preserve">第十七条 </w:t>
      </w:r>
      <w:r>
        <w:rPr>
          <w:rFonts w:eastAsia="方正仿宋_GBK"/>
          <w:color w:val="000000"/>
          <w:spacing w:val="-2"/>
          <w:sz w:val="24"/>
        </w:rPr>
        <w:t xml:space="preserve"> </w:t>
      </w:r>
      <w:r>
        <w:rPr>
          <w:rFonts w:hint="eastAsia" w:eastAsia="方正仿宋_GBK"/>
          <w:color w:val="000000"/>
          <w:spacing w:val="-2"/>
          <w:sz w:val="24"/>
        </w:rPr>
        <w:t>遇有雨、雪、大雾及六级以上大风等恶劣天气时，应当停止拆除施工。</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 xml:space="preserve">第十八条 </w:t>
      </w:r>
      <w:r>
        <w:rPr>
          <w:rFonts w:eastAsia="方正仿宋_GBK"/>
          <w:color w:val="000000"/>
          <w:spacing w:val="-2"/>
          <w:sz w:val="24"/>
        </w:rPr>
        <w:t xml:space="preserve"> </w:t>
      </w:r>
      <w:r>
        <w:rPr>
          <w:rFonts w:hint="eastAsia" w:eastAsia="方正仿宋_GBK"/>
          <w:color w:val="000000"/>
          <w:spacing w:val="-2"/>
          <w:sz w:val="24"/>
        </w:rPr>
        <w:t>施工单位不得将未拆除的建筑物、构筑物等作为临时办公、住宿及仓库使用。</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第十九条</w:t>
      </w:r>
      <w:r>
        <w:rPr>
          <w:rFonts w:eastAsia="方正仿宋_GBK"/>
          <w:color w:val="000000"/>
          <w:spacing w:val="-2"/>
          <w:sz w:val="24"/>
        </w:rPr>
        <w:t xml:space="preserve">  </w:t>
      </w:r>
      <w:r>
        <w:rPr>
          <w:rFonts w:hint="eastAsia" w:eastAsia="方正仿宋_GBK"/>
          <w:color w:val="000000"/>
          <w:spacing w:val="-2"/>
          <w:sz w:val="24"/>
        </w:rPr>
        <w:t>施工作业应当严格执行国家制定的强制性标准和建筑安装工程安全技术规程。拆除建筑物、构筑物应当自上而下按对称顺序进行，不得逆向操作。</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当部分拆除建筑物、构筑物时，应当采取相应的防范措施，防止另一部分建筑物、构筑物倒塌，造成安全事故。严禁从高处向下抛掷废弃物。</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 xml:space="preserve">第二十条 </w:t>
      </w:r>
      <w:r>
        <w:rPr>
          <w:rFonts w:eastAsia="方正仿宋_GBK"/>
          <w:color w:val="000000"/>
          <w:spacing w:val="-2"/>
          <w:sz w:val="24"/>
        </w:rPr>
        <w:t xml:space="preserve"> </w:t>
      </w:r>
      <w:r>
        <w:rPr>
          <w:rFonts w:hint="eastAsia" w:eastAsia="方正仿宋_GBK"/>
          <w:color w:val="000000"/>
          <w:spacing w:val="-2"/>
          <w:sz w:val="24"/>
        </w:rPr>
        <w:t>施工作业发现文物、爆炸物以及不明的电缆、管道和构筑物时，应当停止施工，保护现场，并向建设单位和有关主管部门报告。经有关主管部门同意，并采取相应补救措施确认安全后，方可恢复施工。</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 xml:space="preserve">第二十一条 </w:t>
      </w:r>
      <w:r>
        <w:rPr>
          <w:rFonts w:eastAsia="方正仿宋_GBK"/>
          <w:color w:val="000000"/>
          <w:spacing w:val="-2"/>
          <w:sz w:val="24"/>
        </w:rPr>
        <w:t xml:space="preserve"> </w:t>
      </w:r>
      <w:r>
        <w:rPr>
          <w:rFonts w:hint="eastAsia" w:eastAsia="方正仿宋_GBK"/>
          <w:color w:val="000000"/>
          <w:spacing w:val="-2"/>
          <w:sz w:val="24"/>
        </w:rPr>
        <w:t>施工作业时，应当采取有效降尘措施，减少对环境的污染。拆卸的各种材料、构件应当及时清理，堆放整齐。建筑垃圾应当及时清运至城市管理部门指定的场所，禁止在施工现场焚烧废弃物。</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第二十二条</w:t>
      </w:r>
      <w:r>
        <w:rPr>
          <w:rFonts w:eastAsia="方正仿宋_GBK"/>
          <w:color w:val="000000"/>
          <w:spacing w:val="-2"/>
          <w:sz w:val="24"/>
        </w:rPr>
        <w:t xml:space="preserve">  </w:t>
      </w:r>
      <w:r>
        <w:rPr>
          <w:rFonts w:hint="eastAsia" w:eastAsia="方正仿宋_GBK"/>
          <w:color w:val="000000"/>
          <w:spacing w:val="-2"/>
          <w:sz w:val="24"/>
        </w:rPr>
        <w:t>施工作业结束后应当及时平整场地，做到场清地平，修复因施工损坏的市政公用设施。</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 xml:space="preserve">第二十三条 </w:t>
      </w:r>
      <w:r>
        <w:rPr>
          <w:rFonts w:eastAsia="方正仿宋_GBK"/>
          <w:color w:val="000000"/>
          <w:spacing w:val="-2"/>
          <w:sz w:val="24"/>
        </w:rPr>
        <w:t xml:space="preserve"> </w:t>
      </w:r>
      <w:r>
        <w:rPr>
          <w:rFonts w:hint="eastAsia" w:eastAsia="方正仿宋_GBK"/>
          <w:color w:val="000000"/>
          <w:spacing w:val="-2"/>
          <w:sz w:val="24"/>
        </w:rPr>
        <w:t>建设单位应当对拆除施工活动进行综合协调，按文明施工的要求检查督促施工安全和环境卫生。</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施工活动中发生安全事故时，施工单位、建设单位应当做好抢险和救护工作，并立即向工程所在地公安、应急管理和建设等行政主管部门报告。</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事故的调查处理按照国家和省有关法律、法规、规章和规定执行。</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第二十四条</w:t>
      </w:r>
      <w:r>
        <w:rPr>
          <w:rFonts w:eastAsia="方正仿宋_GBK"/>
          <w:color w:val="000000"/>
          <w:spacing w:val="-2"/>
          <w:sz w:val="24"/>
        </w:rPr>
        <w:t xml:space="preserve">  </w:t>
      </w:r>
      <w:r>
        <w:rPr>
          <w:rFonts w:hint="eastAsia" w:eastAsia="方正仿宋_GBK"/>
          <w:color w:val="000000"/>
          <w:spacing w:val="-2"/>
          <w:sz w:val="24"/>
        </w:rPr>
        <w:t>建设单位未按本办法规定向施工单位提供相关资料，造成生产安全事故的，建设单位为第一责任人；施工单位施工操作不当，造成生产安全事故的，施工单位为第一责任人。</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第二十五条</w:t>
      </w:r>
      <w:r>
        <w:rPr>
          <w:rFonts w:eastAsia="方正仿宋_GBK"/>
          <w:color w:val="000000"/>
          <w:spacing w:val="-2"/>
          <w:sz w:val="24"/>
        </w:rPr>
        <w:t xml:space="preserve">  </w:t>
      </w:r>
      <w:r>
        <w:rPr>
          <w:rFonts w:hint="eastAsia" w:eastAsia="方正仿宋_GBK"/>
          <w:color w:val="000000"/>
          <w:spacing w:val="-2"/>
          <w:sz w:val="24"/>
        </w:rPr>
        <w:t>原《江苏省房屋建筑拆除工程施工安全管理规定》［省建设厅、省建筑工程管理局、省安全生产监督管理局苏建法（</w:t>
      </w:r>
      <w:r>
        <w:rPr>
          <w:rFonts w:eastAsia="方正仿宋_GBK"/>
          <w:color w:val="000000"/>
          <w:spacing w:val="-2"/>
          <w:sz w:val="24"/>
        </w:rPr>
        <w:t>2003</w:t>
      </w:r>
      <w:r>
        <w:rPr>
          <w:rFonts w:hint="eastAsia" w:eastAsia="方正仿宋_GBK"/>
          <w:color w:val="000000"/>
          <w:spacing w:val="-2"/>
          <w:sz w:val="24"/>
        </w:rPr>
        <w:t>）</w:t>
      </w:r>
      <w:r>
        <w:rPr>
          <w:rFonts w:eastAsia="方正仿宋_GBK"/>
          <w:color w:val="000000"/>
          <w:spacing w:val="-2"/>
          <w:sz w:val="24"/>
        </w:rPr>
        <w:t>151</w:t>
      </w:r>
      <w:r>
        <w:rPr>
          <w:rFonts w:hint="eastAsia" w:eastAsia="方正仿宋_GBK"/>
          <w:color w:val="000000"/>
          <w:spacing w:val="-2"/>
          <w:sz w:val="24"/>
        </w:rPr>
        <w:t>号］废止。</w:t>
      </w:r>
      <w:r>
        <w:rPr>
          <w:rFonts w:eastAsia="方正仿宋_GBK"/>
          <w:color w:val="000000"/>
          <w:spacing w:val="-2"/>
          <w:sz w:val="24"/>
        </w:rPr>
        <w:t xml:space="preserve"> </w:t>
      </w:r>
    </w:p>
    <w:p>
      <w:pPr>
        <w:spacing w:line="460" w:lineRule="exact"/>
        <w:ind w:firstLine="472" w:firstLineChars="200"/>
        <w:rPr>
          <w:kern w:val="0"/>
          <w:szCs w:val="32"/>
        </w:rPr>
      </w:pPr>
      <w:r>
        <w:rPr>
          <w:rFonts w:hint="eastAsia" w:ascii="Times New Roman" w:eastAsia="方正黑体_GBK"/>
          <w:color w:val="000000"/>
          <w:spacing w:val="-2"/>
          <w:sz w:val="24"/>
        </w:rPr>
        <w:t xml:space="preserve">第二十六条 </w:t>
      </w:r>
      <w:r>
        <w:rPr>
          <w:rFonts w:eastAsia="方正仿宋_GBK"/>
          <w:color w:val="000000"/>
          <w:spacing w:val="-2"/>
          <w:sz w:val="24"/>
        </w:rPr>
        <w:t xml:space="preserve"> </w:t>
      </w:r>
      <w:r>
        <w:rPr>
          <w:rFonts w:hint="eastAsia" w:eastAsia="方正仿宋_GBK"/>
          <w:color w:val="000000"/>
          <w:spacing w:val="-2"/>
          <w:sz w:val="24"/>
        </w:rPr>
        <w:t>本办法自</w:t>
      </w:r>
      <w:r>
        <w:rPr>
          <w:rFonts w:eastAsia="方正仿宋_GBK"/>
          <w:color w:val="000000"/>
          <w:spacing w:val="-2"/>
          <w:sz w:val="24"/>
        </w:rPr>
        <w:t>2010</w:t>
      </w:r>
      <w:r>
        <w:rPr>
          <w:rFonts w:hint="eastAsia" w:eastAsia="方正仿宋_GBK"/>
          <w:color w:val="000000"/>
          <w:spacing w:val="-2"/>
          <w:sz w:val="24"/>
        </w:rPr>
        <w:t>年</w:t>
      </w:r>
      <w:r>
        <w:rPr>
          <w:rFonts w:eastAsia="方正仿宋_GBK"/>
          <w:color w:val="000000"/>
          <w:spacing w:val="-2"/>
          <w:sz w:val="24"/>
        </w:rPr>
        <w:t>9</w:t>
      </w:r>
      <w:r>
        <w:rPr>
          <w:rFonts w:hint="eastAsia" w:eastAsia="方正仿宋_GBK"/>
          <w:color w:val="000000"/>
          <w:spacing w:val="-2"/>
          <w:sz w:val="24"/>
        </w:rPr>
        <w:t>月</w:t>
      </w:r>
      <w:r>
        <w:rPr>
          <w:rFonts w:eastAsia="方正仿宋_GBK"/>
          <w:color w:val="000000"/>
          <w:spacing w:val="-2"/>
          <w:sz w:val="24"/>
        </w:rPr>
        <w:t>4</w:t>
      </w:r>
      <w:r>
        <w:rPr>
          <w:rFonts w:hint="eastAsia" w:eastAsia="方正仿宋_GBK"/>
          <w:color w:val="000000"/>
          <w:spacing w:val="-2"/>
          <w:sz w:val="24"/>
        </w:rPr>
        <w:t>日起执行。</w:t>
      </w:r>
      <w:r>
        <w:rPr>
          <w:rFonts w:eastAsia="方正仿宋_GBK"/>
          <w:color w:val="000000"/>
          <w:spacing w:val="-2"/>
          <w:sz w:val="24"/>
        </w:rPr>
        <w:t xml:space="preserve"> </w:t>
      </w:r>
    </w:p>
    <w:p/>
    <w:p/>
    <w:p/>
    <w:p/>
    <w:p/>
    <w:p/>
    <w:p/>
    <w:p/>
    <w:p/>
    <w:p/>
    <w:p/>
    <w:p/>
    <w:p/>
    <w:p/>
    <w:p/>
    <w:p/>
    <w:p/>
    <w:p/>
    <w:p/>
    <w:p/>
    <w:p/>
    <w:p/>
    <w:p/>
    <w:p/>
    <w:p/>
    <w:p/>
    <w:p/>
    <w:p/>
    <w:p/>
    <w:p/>
    <w:p/>
    <w:p/>
    <w:p/>
    <w:p/>
    <w:p>
      <w:pPr>
        <w:pStyle w:val="2"/>
        <w:spacing w:before="240" w:beforeLines="100" w:after="240" w:afterLines="100" w:line="240" w:lineRule="auto"/>
        <w:jc w:val="center"/>
        <w:rPr>
          <w:rFonts w:ascii="Times New Roman" w:eastAsia="方正小标宋_GBK"/>
          <w:b w:val="0"/>
          <w:sz w:val="36"/>
          <w:szCs w:val="36"/>
        </w:rPr>
      </w:pPr>
      <w:bookmarkStart w:id="505" w:name="_Toc18315716"/>
      <w:bookmarkStart w:id="506" w:name="_Toc20726575"/>
      <w:r>
        <w:rPr>
          <w:rFonts w:hint="eastAsia" w:ascii="Times New Roman" w:eastAsia="方正小标宋_GBK"/>
          <w:b w:val="0"/>
          <w:sz w:val="36"/>
          <w:szCs w:val="36"/>
        </w:rPr>
        <w:t>关于加强全省建筑安全生产责任追究若干意见的通知</w:t>
      </w:r>
      <w:bookmarkEnd w:id="505"/>
      <w:bookmarkEnd w:id="506"/>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507" w:name="_Toc18315717"/>
      <w:bookmarkStart w:id="508" w:name="_Toc20726576"/>
      <w:r>
        <w:rPr>
          <w:rFonts w:hint="eastAsia" w:ascii="Times New Roman" w:hAnsi="Times New Roman" w:eastAsia="方正楷体_GBK"/>
          <w:b w:val="0"/>
          <w:sz w:val="24"/>
          <w:szCs w:val="24"/>
        </w:rPr>
        <w:t>苏建质安〔</w:t>
      </w:r>
      <w:r>
        <w:rPr>
          <w:rFonts w:ascii="Times New Roman" w:hAnsi="Times New Roman" w:eastAsia="方正楷体_GBK"/>
          <w:b w:val="0"/>
          <w:sz w:val="24"/>
          <w:szCs w:val="24"/>
        </w:rPr>
        <w:t>2011</w:t>
      </w:r>
      <w:r>
        <w:rPr>
          <w:rFonts w:hint="eastAsia" w:ascii="Times New Roman" w:hAnsi="Times New Roman" w:eastAsia="方正楷体_GBK"/>
          <w:b w:val="0"/>
          <w:sz w:val="24"/>
          <w:szCs w:val="24"/>
        </w:rPr>
        <w:t>〕</w:t>
      </w:r>
      <w:r>
        <w:rPr>
          <w:rFonts w:ascii="Times New Roman" w:hAnsi="Times New Roman" w:eastAsia="方正楷体_GBK"/>
          <w:b w:val="0"/>
          <w:sz w:val="24"/>
          <w:szCs w:val="24"/>
        </w:rPr>
        <w:t>847</w:t>
      </w:r>
      <w:r>
        <w:rPr>
          <w:rFonts w:hint="eastAsia" w:ascii="Times New Roman" w:hAnsi="Times New Roman" w:eastAsia="方正楷体_GBK"/>
          <w:b w:val="0"/>
          <w:sz w:val="24"/>
          <w:szCs w:val="24"/>
        </w:rPr>
        <w:t>号</w:t>
      </w:r>
      <w:bookmarkEnd w:id="507"/>
      <w:bookmarkEnd w:id="508"/>
    </w:p>
    <w:p>
      <w:pPr>
        <w:shd w:val="clear" w:color="auto" w:fill="FFFFFF"/>
        <w:spacing w:line="460" w:lineRule="exact"/>
        <w:rPr>
          <w:rFonts w:eastAsia="方正仿宋_GBK"/>
          <w:color w:val="000000"/>
          <w:kern w:val="0"/>
          <w:sz w:val="24"/>
        </w:rPr>
      </w:pPr>
      <w:r>
        <w:rPr>
          <w:rFonts w:hint="eastAsia" w:eastAsia="方正仿宋_GBK"/>
          <w:color w:val="000000"/>
          <w:kern w:val="0"/>
          <w:sz w:val="24"/>
        </w:rPr>
        <w:t>各设区市建设局（委），泰州市建工局，苏州工业园区规划建设委员会、张家港保税区规划建设局，昆山市、泰兴市、沭阳县建设局：</w:t>
      </w:r>
    </w:p>
    <w:p>
      <w:pPr>
        <w:shd w:val="clear" w:color="auto" w:fill="FFFFFF"/>
        <w:spacing w:line="460" w:lineRule="exact"/>
        <w:ind w:firstLine="480" w:firstLineChars="200"/>
        <w:rPr>
          <w:rFonts w:eastAsia="方正仿宋_GBK"/>
          <w:color w:val="000000"/>
          <w:sz w:val="24"/>
        </w:rPr>
      </w:pPr>
      <w:r>
        <w:rPr>
          <w:rFonts w:hint="eastAsia" w:eastAsia="方正仿宋_GBK"/>
          <w:color w:val="000000"/>
          <w:sz w:val="24"/>
        </w:rPr>
        <w:t>为进一步加大建筑施工安全生产监管力度，坚持</w:t>
      </w:r>
      <w:r>
        <w:rPr>
          <w:rFonts w:eastAsia="方正仿宋_GBK"/>
          <w:color w:val="000000"/>
          <w:sz w:val="24"/>
        </w:rPr>
        <w:t>“</w:t>
      </w:r>
      <w:r>
        <w:rPr>
          <w:rFonts w:hint="eastAsia" w:eastAsia="方正仿宋_GBK"/>
          <w:color w:val="000000"/>
          <w:sz w:val="24"/>
        </w:rPr>
        <w:t>安全第一、预防为主、综合治理</w:t>
      </w:r>
      <w:r>
        <w:rPr>
          <w:rFonts w:eastAsia="方正仿宋_GBK"/>
          <w:color w:val="000000"/>
          <w:sz w:val="24"/>
        </w:rPr>
        <w:t>”</w:t>
      </w:r>
      <w:r>
        <w:rPr>
          <w:rFonts w:hint="eastAsia" w:eastAsia="方正仿宋_GBK"/>
          <w:color w:val="000000"/>
          <w:sz w:val="24"/>
        </w:rPr>
        <w:t>的方针，强化协调联动、齐抓共管机制，着力推进企业安全生产主体责任落实，实现</w:t>
      </w:r>
      <w:r>
        <w:rPr>
          <w:rFonts w:eastAsia="方正仿宋_GBK"/>
          <w:color w:val="000000"/>
          <w:sz w:val="24"/>
        </w:rPr>
        <w:t>“</w:t>
      </w:r>
      <w:r>
        <w:rPr>
          <w:rFonts w:hint="eastAsia" w:eastAsia="方正仿宋_GBK"/>
          <w:color w:val="000000"/>
          <w:sz w:val="24"/>
        </w:rPr>
        <w:t>压降一般事故、遏制较大事故、杜绝重特大事故</w:t>
      </w:r>
      <w:r>
        <w:rPr>
          <w:rFonts w:eastAsia="方正仿宋_GBK"/>
          <w:color w:val="000000"/>
          <w:sz w:val="24"/>
        </w:rPr>
        <w:t>”</w:t>
      </w:r>
      <w:r>
        <w:rPr>
          <w:rFonts w:hint="eastAsia" w:eastAsia="方正仿宋_GBK"/>
          <w:color w:val="000000"/>
          <w:sz w:val="24"/>
        </w:rPr>
        <w:t>的目标，根据《安全生产法》、《建设工程安全生产管理条例》、《安全生产许可证条例》、《安全生产事故报告和调查处理条例》等法律法规以及《中共中央国务院关于推进安全生产领域改革发展的意见》等文件的精神，结合我省实际，对建筑安全生产责任追究，提出如下意见：</w:t>
      </w:r>
    </w:p>
    <w:p>
      <w:pPr>
        <w:spacing w:line="460" w:lineRule="exact"/>
        <w:ind w:firstLine="475" w:firstLineChars="198"/>
        <w:rPr>
          <w:rFonts w:eastAsia="方正仿宋_GBK"/>
          <w:color w:val="000000"/>
          <w:sz w:val="24"/>
        </w:rPr>
      </w:pPr>
      <w:r>
        <w:rPr>
          <w:rFonts w:hint="eastAsia" w:eastAsia="方正仿宋_GBK"/>
          <w:color w:val="000000"/>
          <w:sz w:val="24"/>
        </w:rPr>
        <w:t>一、建筑施工企业发生建筑施工安全生产责任事故的，发证机关依照《建筑施工企业安全生产许可证管理规定》和《建筑施工企业安全生产许可证动态监管暂行办法》，对其实施安全生产许可证作出暂扣处罚，暂扣期间，不得承揽新的工程项目。</w:t>
      </w:r>
    </w:p>
    <w:p>
      <w:pPr>
        <w:adjustRightInd w:val="0"/>
        <w:snapToGrid w:val="0"/>
        <w:spacing w:line="460" w:lineRule="exact"/>
        <w:ind w:firstLine="480" w:firstLineChars="200"/>
        <w:rPr>
          <w:rFonts w:eastAsia="方正仿宋_GBK"/>
          <w:color w:val="000000"/>
          <w:sz w:val="24"/>
        </w:rPr>
      </w:pPr>
      <w:r>
        <w:rPr>
          <w:rFonts w:hint="eastAsia" w:eastAsia="方正仿宋_GBK"/>
          <w:color w:val="000000"/>
          <w:sz w:val="24"/>
        </w:rPr>
        <w:t>二、建筑施工企业发生建筑施工安全生产责任事故的，发证机关依照《建筑施工企业主要负责人、项目负责人和专职安全生产管理人员安全生产管理规定》、</w:t>
      </w:r>
      <w:bookmarkStart w:id="509" w:name="建筑施工企业安全生产许可证管理规定实施意见"/>
      <w:r>
        <w:rPr>
          <w:rFonts w:hint="eastAsia" w:eastAsia="方正仿宋_GBK"/>
          <w:color w:val="000000"/>
          <w:sz w:val="24"/>
        </w:rPr>
        <w:t>《建筑施工企业主要负责人、项目负责人和专职安全生产管理人员安全生产管理规定实施意见》</w:t>
      </w:r>
      <w:bookmarkEnd w:id="509"/>
      <w:r>
        <w:rPr>
          <w:rFonts w:hint="eastAsia" w:eastAsia="方正仿宋_GBK"/>
          <w:color w:val="000000"/>
          <w:sz w:val="24"/>
        </w:rPr>
        <w:t>，对其责任人（企业主要负责人、项目负责人和专职安全生产管理人员）的安全生产合格证作出如下处理：</w:t>
      </w:r>
    </w:p>
    <w:p>
      <w:pPr>
        <w:spacing w:line="460" w:lineRule="exact"/>
        <w:ind w:firstLine="475" w:firstLineChars="198"/>
        <w:rPr>
          <w:rFonts w:eastAsia="方正仿宋_GBK"/>
          <w:color w:val="000000"/>
          <w:sz w:val="24"/>
        </w:rPr>
      </w:pPr>
      <w:r>
        <w:rPr>
          <w:rFonts w:eastAsia="方正仿宋_GBK"/>
          <w:color w:val="000000"/>
          <w:sz w:val="24"/>
        </w:rPr>
        <w:t>1</w:t>
      </w:r>
      <w:r>
        <w:rPr>
          <w:rFonts w:hint="eastAsia" w:eastAsia="方正仿宋_GBK"/>
          <w:color w:val="000000"/>
          <w:sz w:val="24"/>
        </w:rPr>
        <w:t>、发生一般安全生产事故，死亡</w:t>
      </w:r>
      <w:r>
        <w:rPr>
          <w:rFonts w:eastAsia="方正仿宋_GBK"/>
          <w:color w:val="000000"/>
          <w:sz w:val="24"/>
        </w:rPr>
        <w:t>1</w:t>
      </w:r>
      <w:r>
        <w:rPr>
          <w:rFonts w:hint="eastAsia" w:eastAsia="方正仿宋_GBK"/>
          <w:color w:val="000000"/>
          <w:sz w:val="24"/>
        </w:rPr>
        <w:t>人的，暂扣专职安全生产管理人员</w:t>
      </w:r>
      <w:r>
        <w:rPr>
          <w:rFonts w:eastAsia="方正仿宋_GBK"/>
          <w:color w:val="000000"/>
          <w:sz w:val="24"/>
        </w:rPr>
        <w:t>6</w:t>
      </w:r>
      <w:r>
        <w:rPr>
          <w:rFonts w:hint="eastAsia" w:eastAsia="方正仿宋_GBK"/>
          <w:color w:val="000000"/>
          <w:sz w:val="24"/>
        </w:rPr>
        <w:t>个月安全生产考核合格证，死亡</w:t>
      </w:r>
      <w:r>
        <w:rPr>
          <w:rFonts w:eastAsia="方正仿宋_GBK"/>
          <w:color w:val="000000"/>
          <w:sz w:val="24"/>
        </w:rPr>
        <w:t>2</w:t>
      </w:r>
      <w:r>
        <w:rPr>
          <w:rFonts w:hint="eastAsia" w:eastAsia="方正仿宋_GBK"/>
          <w:color w:val="000000"/>
          <w:sz w:val="24"/>
        </w:rPr>
        <w:t>人的，暂扣专职安全生产管理人员</w:t>
      </w:r>
      <w:r>
        <w:rPr>
          <w:rFonts w:eastAsia="方正仿宋_GBK"/>
          <w:color w:val="000000"/>
          <w:sz w:val="24"/>
        </w:rPr>
        <w:t>1</w:t>
      </w:r>
      <w:r>
        <w:rPr>
          <w:rFonts w:hint="eastAsia" w:eastAsia="方正仿宋_GBK"/>
          <w:color w:val="000000"/>
          <w:sz w:val="24"/>
        </w:rPr>
        <w:t>年安全生产考核合格证；</w:t>
      </w:r>
    </w:p>
    <w:p>
      <w:pPr>
        <w:spacing w:line="460" w:lineRule="exact"/>
        <w:ind w:firstLine="475" w:firstLineChars="198"/>
        <w:rPr>
          <w:rFonts w:eastAsia="方正仿宋_GBK"/>
          <w:color w:val="000000"/>
          <w:sz w:val="24"/>
        </w:rPr>
      </w:pPr>
      <w:r>
        <w:rPr>
          <w:rFonts w:eastAsia="方正仿宋_GBK"/>
          <w:color w:val="000000"/>
          <w:sz w:val="24"/>
        </w:rPr>
        <w:t>2</w:t>
      </w:r>
      <w:r>
        <w:rPr>
          <w:rFonts w:hint="eastAsia" w:eastAsia="方正仿宋_GBK"/>
          <w:color w:val="000000"/>
          <w:sz w:val="24"/>
        </w:rPr>
        <w:t>、发生较大及以上安全生产事故，吊销施工企业主要负责人、项目负责人和专职安全生产管理人员安全生产考核合格证。</w:t>
      </w:r>
    </w:p>
    <w:p>
      <w:pPr>
        <w:spacing w:line="460" w:lineRule="exact"/>
        <w:ind w:firstLine="475" w:firstLineChars="198"/>
        <w:rPr>
          <w:rFonts w:eastAsia="方正仿宋_GBK"/>
          <w:color w:val="000000"/>
          <w:sz w:val="24"/>
        </w:rPr>
      </w:pPr>
      <w:r>
        <w:rPr>
          <w:rFonts w:hint="eastAsia" w:eastAsia="方正仿宋_GBK"/>
          <w:color w:val="000000"/>
          <w:sz w:val="24"/>
        </w:rPr>
        <w:t>以上所述责任人在安全生产考核合格证暂扣期内，不得从事建筑施工安全生产工作。安全生产考核合格证吊销后，一年之内不得申领。安全生产考核合格证暂扣或吊销起始时间自事故处罚决定作出之日起计算。</w:t>
      </w:r>
    </w:p>
    <w:p>
      <w:pPr>
        <w:keepNext/>
        <w:keepLines/>
        <w:shd w:val="clear" w:color="auto" w:fill="FFFFFF"/>
        <w:spacing w:line="460" w:lineRule="exact"/>
        <w:ind w:right="150" w:firstLine="480" w:firstLineChars="200"/>
        <w:outlineLvl w:val="0"/>
        <w:rPr>
          <w:rFonts w:eastAsia="方正仿宋_GBK"/>
          <w:color w:val="000000"/>
          <w:sz w:val="24"/>
        </w:rPr>
      </w:pPr>
      <w:bookmarkStart w:id="510" w:name="_Toc18315718"/>
      <w:bookmarkStart w:id="511" w:name="_Toc20668048"/>
      <w:bookmarkStart w:id="512" w:name="_Toc20726577"/>
      <w:r>
        <w:rPr>
          <w:rFonts w:hint="eastAsia" w:eastAsia="方正仿宋_GBK"/>
          <w:color w:val="000000"/>
          <w:sz w:val="24"/>
        </w:rPr>
        <w:t>三、因监理企业和注册监理工程师在工程监理过程中未履行监理职责，导致发生建筑施工安全生产事故发生的，发证机关和工程所在地建设主管部门应依据《建设工程安全生产管理条例》对其作出处罚。</w:t>
      </w:r>
      <w:bookmarkEnd w:id="510"/>
      <w:bookmarkEnd w:id="511"/>
      <w:bookmarkEnd w:id="512"/>
    </w:p>
    <w:p>
      <w:pPr>
        <w:spacing w:line="460" w:lineRule="exact"/>
        <w:ind w:firstLine="475" w:firstLineChars="198"/>
        <w:rPr>
          <w:rFonts w:eastAsia="方正仿宋_GBK"/>
          <w:color w:val="000000"/>
          <w:sz w:val="24"/>
        </w:rPr>
      </w:pPr>
      <w:r>
        <w:rPr>
          <w:rFonts w:hint="eastAsia" w:eastAsia="方正仿宋_GBK"/>
          <w:color w:val="000000"/>
          <w:sz w:val="24"/>
        </w:rPr>
        <w:t>四、省外建筑施工、监理企业在我省承接工程施工、监理过程中，因降低安全生产条件和未履行监理职责而导致发生建筑施工安全生产责任事故的，依据相关规定将建筑施工、监理企业列入黑名单，实施联合惩戒，依法采取市场禁入等措施。</w:t>
      </w:r>
    </w:p>
    <w:p>
      <w:pPr>
        <w:spacing w:line="460" w:lineRule="exact"/>
        <w:ind w:firstLine="475" w:firstLineChars="198"/>
        <w:rPr>
          <w:rFonts w:eastAsia="方正仿宋_GBK"/>
          <w:color w:val="000000"/>
          <w:sz w:val="24"/>
        </w:rPr>
      </w:pPr>
      <w:r>
        <w:rPr>
          <w:rFonts w:hint="eastAsia" w:eastAsia="方正仿宋_GBK"/>
          <w:color w:val="000000"/>
          <w:sz w:val="24"/>
        </w:rPr>
        <w:t>五、建筑施工、监理企业在其申请建筑业企业资质升级、资质增项时，资质许可机关应依照《建筑业企业资质管理规定》，对申请之日起前一年至资质许可决定作出前，发生过一般以上安全事故的，不予批准。发生过重或特大安全生产事故的，资质许可机关应自安全生产许可证处罚之日起，降低建筑施工、监理企业资质等级或吊销资质证书。</w:t>
      </w:r>
    </w:p>
    <w:p>
      <w:pPr>
        <w:spacing w:line="460" w:lineRule="exact"/>
        <w:ind w:firstLine="475" w:firstLineChars="198"/>
        <w:rPr>
          <w:rFonts w:eastAsia="方正仿宋_GBK"/>
          <w:color w:val="000000"/>
          <w:sz w:val="24"/>
        </w:rPr>
      </w:pPr>
      <w:r>
        <w:rPr>
          <w:rFonts w:hint="eastAsia" w:eastAsia="方正仿宋_GBK"/>
          <w:color w:val="000000"/>
          <w:sz w:val="24"/>
        </w:rPr>
        <w:t>六、各级建设行政主管部门在安全监督检查中，发现建筑施工企业降低安全生产条件的，应根据《建筑施工企业安全生产许可证动态监管暂行办法》，对其进行相应处罚。</w:t>
      </w:r>
      <w:r>
        <w:rPr>
          <w:rFonts w:hint="eastAsia" w:eastAsia="方正仿宋_GBK"/>
          <w:color w:val="000000"/>
          <w:spacing w:val="-8"/>
          <w:sz w:val="24"/>
        </w:rPr>
        <w:t>建筑施工企业因</w:t>
      </w:r>
      <w:r>
        <w:rPr>
          <w:rFonts w:hint="eastAsia" w:eastAsia="方正仿宋_GBK"/>
          <w:color w:val="000000"/>
          <w:sz w:val="24"/>
        </w:rPr>
        <w:t>安全生产条件降低，导致</w:t>
      </w:r>
      <w:r>
        <w:rPr>
          <w:rFonts w:hint="eastAsia" w:eastAsia="方正仿宋_GBK"/>
          <w:color w:val="000000"/>
          <w:spacing w:val="-8"/>
          <w:sz w:val="24"/>
        </w:rPr>
        <w:t>发生安全生产责任事故的，自事故通报之日起，事故所在地设区市建设行政主管部门应将其列入黑名单，按照</w:t>
      </w:r>
      <w:r>
        <w:rPr>
          <w:rFonts w:eastAsia="方正仿宋_GBK"/>
          <w:color w:val="000000"/>
          <w:spacing w:val="-8"/>
          <w:sz w:val="24"/>
        </w:rPr>
        <w:t>“</w:t>
      </w:r>
      <w:r>
        <w:rPr>
          <w:rFonts w:hint="eastAsia" w:eastAsia="方正仿宋_GBK"/>
          <w:color w:val="000000"/>
          <w:spacing w:val="-8"/>
          <w:sz w:val="24"/>
        </w:rPr>
        <w:t>四不放过</w:t>
      </w:r>
      <w:r>
        <w:rPr>
          <w:rFonts w:eastAsia="方正仿宋_GBK"/>
          <w:color w:val="000000"/>
          <w:spacing w:val="-8"/>
          <w:sz w:val="24"/>
        </w:rPr>
        <w:t>”</w:t>
      </w:r>
      <w:r>
        <w:rPr>
          <w:rFonts w:hint="eastAsia" w:eastAsia="方正仿宋_GBK"/>
          <w:color w:val="000000"/>
          <w:spacing w:val="-8"/>
          <w:sz w:val="24"/>
        </w:rPr>
        <w:t>原则，限制其进入招标市场。</w:t>
      </w:r>
    </w:p>
    <w:p>
      <w:pPr>
        <w:spacing w:line="460" w:lineRule="exact"/>
        <w:ind w:firstLine="475" w:firstLineChars="198"/>
        <w:rPr>
          <w:rFonts w:eastAsia="方正仿宋_GBK"/>
          <w:color w:val="000000"/>
          <w:sz w:val="24"/>
        </w:rPr>
      </w:pPr>
      <w:r>
        <w:rPr>
          <w:rFonts w:hint="eastAsia" w:eastAsia="方正仿宋_GBK"/>
          <w:color w:val="000000"/>
          <w:sz w:val="24"/>
        </w:rPr>
        <w:t>七、凡在建设过程中发生一般以上安全生产事故的工程项目，取消该项目参加各类评优评奖资格。</w:t>
      </w:r>
    </w:p>
    <w:p>
      <w:pPr>
        <w:spacing w:line="460" w:lineRule="exact"/>
        <w:ind w:firstLine="475" w:firstLineChars="198"/>
        <w:rPr>
          <w:rFonts w:eastAsia="方正仿宋_GBK"/>
          <w:color w:val="000000"/>
          <w:sz w:val="24"/>
        </w:rPr>
      </w:pPr>
      <w:r>
        <w:rPr>
          <w:rFonts w:hint="eastAsia" w:eastAsia="方正仿宋_GBK"/>
          <w:color w:val="000000"/>
          <w:sz w:val="24"/>
        </w:rPr>
        <w:t>八、凡在辖区内，发生</w:t>
      </w:r>
      <w:r>
        <w:rPr>
          <w:rFonts w:eastAsia="方正仿宋_GBK"/>
          <w:color w:val="000000"/>
          <w:sz w:val="24"/>
        </w:rPr>
        <w:t>1</w:t>
      </w:r>
      <w:r>
        <w:rPr>
          <w:rFonts w:hint="eastAsia" w:eastAsia="方正仿宋_GBK"/>
          <w:color w:val="000000"/>
          <w:sz w:val="24"/>
        </w:rPr>
        <w:t>起较大以上建筑施工安全生产事故的，取消该地区在本考核年度内</w:t>
      </w:r>
      <w:r>
        <w:rPr>
          <w:rFonts w:eastAsia="方正仿宋_GBK"/>
          <w:color w:val="000000"/>
          <w:sz w:val="24"/>
        </w:rPr>
        <w:t>“</w:t>
      </w:r>
      <w:r>
        <w:rPr>
          <w:rFonts w:hint="eastAsia" w:eastAsia="方正仿宋_GBK"/>
          <w:color w:val="000000"/>
          <w:sz w:val="24"/>
        </w:rPr>
        <w:t>建筑强县</w:t>
      </w:r>
      <w:r>
        <w:rPr>
          <w:rFonts w:eastAsia="方正仿宋_GBK"/>
          <w:color w:val="000000"/>
          <w:sz w:val="24"/>
        </w:rPr>
        <w:t>”</w:t>
      </w:r>
      <w:r>
        <w:rPr>
          <w:rFonts w:hint="eastAsia" w:eastAsia="方正仿宋_GBK"/>
          <w:color w:val="000000"/>
          <w:sz w:val="24"/>
        </w:rPr>
        <w:t>等称号的参评资格。发生</w:t>
      </w:r>
      <w:r>
        <w:rPr>
          <w:rFonts w:eastAsia="方正仿宋_GBK"/>
          <w:color w:val="000000"/>
          <w:sz w:val="24"/>
        </w:rPr>
        <w:t>2</w:t>
      </w:r>
      <w:r>
        <w:rPr>
          <w:rFonts w:hint="eastAsia" w:eastAsia="方正仿宋_GBK"/>
          <w:color w:val="000000"/>
          <w:sz w:val="24"/>
        </w:rPr>
        <w:t>起较大以上建筑施工安全生产事故的，取消该地区在本考核年度内</w:t>
      </w:r>
      <w:r>
        <w:rPr>
          <w:rFonts w:eastAsia="方正仿宋_GBK"/>
          <w:color w:val="000000"/>
          <w:sz w:val="24"/>
        </w:rPr>
        <w:t>“</w:t>
      </w:r>
      <w:r>
        <w:rPr>
          <w:rFonts w:hint="eastAsia" w:eastAsia="方正仿宋_GBK"/>
          <w:color w:val="000000"/>
          <w:sz w:val="24"/>
        </w:rPr>
        <w:t>建筑强市</w:t>
      </w:r>
      <w:r>
        <w:rPr>
          <w:rFonts w:eastAsia="方正仿宋_GBK"/>
          <w:color w:val="000000"/>
          <w:sz w:val="24"/>
        </w:rPr>
        <w:t>”</w:t>
      </w:r>
      <w:r>
        <w:rPr>
          <w:rFonts w:hint="eastAsia" w:eastAsia="方正仿宋_GBK"/>
          <w:color w:val="000000"/>
          <w:sz w:val="24"/>
        </w:rPr>
        <w:t>等称号的参评资格。</w:t>
      </w:r>
    </w:p>
    <w:p>
      <w:pPr>
        <w:spacing w:line="460" w:lineRule="exact"/>
        <w:ind w:firstLine="475" w:firstLineChars="198"/>
        <w:rPr>
          <w:rFonts w:eastAsia="方正仿宋_GBK"/>
          <w:color w:val="000000"/>
          <w:sz w:val="24"/>
        </w:rPr>
      </w:pPr>
      <w:r>
        <w:rPr>
          <w:rFonts w:hint="eastAsia" w:eastAsia="方正仿宋_GBK"/>
          <w:color w:val="000000"/>
          <w:sz w:val="24"/>
        </w:rPr>
        <w:t>凡发生一般及以上建筑施工安全生产事故的企业，取消本考核年度内</w:t>
      </w:r>
      <w:r>
        <w:rPr>
          <w:rFonts w:eastAsia="方正仿宋_GBK"/>
          <w:color w:val="000000"/>
          <w:sz w:val="24"/>
        </w:rPr>
        <w:t>“</w:t>
      </w:r>
      <w:r>
        <w:rPr>
          <w:rFonts w:hint="eastAsia" w:eastAsia="方正仿宋_GBK"/>
          <w:color w:val="000000"/>
          <w:sz w:val="24"/>
        </w:rPr>
        <w:t>百强企业</w:t>
      </w:r>
      <w:r>
        <w:rPr>
          <w:rFonts w:eastAsia="方正仿宋_GBK"/>
          <w:color w:val="000000"/>
          <w:sz w:val="24"/>
        </w:rPr>
        <w:t>”</w:t>
      </w:r>
      <w:r>
        <w:rPr>
          <w:rFonts w:hint="eastAsia" w:eastAsia="方正仿宋_GBK"/>
          <w:color w:val="000000"/>
          <w:sz w:val="24"/>
        </w:rPr>
        <w:t>等称号的参评资格。</w:t>
      </w:r>
    </w:p>
    <w:p>
      <w:pPr>
        <w:spacing w:line="460" w:lineRule="exact"/>
        <w:ind w:firstLine="475" w:firstLineChars="198"/>
        <w:rPr>
          <w:rFonts w:eastAsia="方正仿宋_GBK"/>
          <w:color w:val="000000"/>
          <w:sz w:val="24"/>
        </w:rPr>
      </w:pPr>
      <w:r>
        <w:rPr>
          <w:rFonts w:hint="eastAsia" w:eastAsia="方正仿宋_GBK"/>
          <w:color w:val="000000"/>
          <w:sz w:val="24"/>
        </w:rPr>
        <w:t>九、各级各类行业协会（或社会团体），在组织企业和个人参加各级各类单项或综合性荣誉称号评比时，应报同级建设行政主管部门审查，并得到在本考核年度内该企业或个人安全生产无事故记录的书面确认。</w:t>
      </w:r>
    </w:p>
    <w:p>
      <w:pPr>
        <w:spacing w:line="460" w:lineRule="exact"/>
        <w:ind w:firstLine="475" w:firstLineChars="198"/>
        <w:rPr>
          <w:rFonts w:eastAsia="方正仿宋_GBK"/>
          <w:color w:val="000000"/>
          <w:sz w:val="24"/>
        </w:rPr>
      </w:pPr>
      <w:r>
        <w:rPr>
          <w:rFonts w:hint="eastAsia" w:eastAsia="方正仿宋_GBK"/>
          <w:color w:val="000000"/>
          <w:sz w:val="24"/>
        </w:rPr>
        <w:t>十、省级建设行政主管部门应对事故多发、频发区域建设行政主管部门采取约谈、告诫，各级建设行政主管部门、安全监督机构未能完成年度《建筑施工安全生产目标管理任务书》内容要求的、未及时上报事故情况的、未按规定对事故责任单位和责任人进行严肃查处的，省级建设行政主管部门应对其进行通报批评。</w:t>
      </w:r>
    </w:p>
    <w:p>
      <w:pPr>
        <w:spacing w:line="460" w:lineRule="exact"/>
        <w:ind w:firstLine="475" w:firstLineChars="198"/>
        <w:rPr>
          <w:rFonts w:eastAsia="方正仿宋_GBK"/>
          <w:color w:val="000000"/>
          <w:sz w:val="24"/>
        </w:rPr>
      </w:pPr>
      <w:r>
        <w:rPr>
          <w:rFonts w:hint="eastAsia" w:eastAsia="方正仿宋_GBK"/>
          <w:color w:val="000000"/>
          <w:sz w:val="24"/>
        </w:rPr>
        <w:t>以上通知请各地认真贯彻执行，执行中如有问题和建议，请及时反馈至省住房城乡建设厅工程质量安全监管处。</w:t>
      </w:r>
    </w:p>
    <w:p>
      <w:pPr>
        <w:spacing w:line="460" w:lineRule="exact"/>
        <w:ind w:firstLine="475" w:firstLineChars="198"/>
        <w:rPr>
          <w:rFonts w:eastAsia="方正仿宋_GBK"/>
          <w:color w:val="000000"/>
          <w:sz w:val="24"/>
        </w:rPr>
      </w:pPr>
      <w:r>
        <w:rPr>
          <w:rFonts w:hint="eastAsia" w:eastAsia="方正仿宋_GBK"/>
          <w:color w:val="000000"/>
          <w:sz w:val="24"/>
        </w:rPr>
        <w:t>联系人：徐嘉祥，</w:t>
      </w:r>
      <w:r>
        <w:rPr>
          <w:rFonts w:eastAsia="方正仿宋_GBK"/>
          <w:color w:val="000000"/>
          <w:sz w:val="24"/>
        </w:rPr>
        <w:t>025-51868699</w:t>
      </w:r>
      <w:r>
        <w:rPr>
          <w:rFonts w:hint="eastAsia" w:eastAsia="方正仿宋_GBK"/>
          <w:color w:val="000000"/>
          <w:sz w:val="24"/>
        </w:rPr>
        <w:t>。</w:t>
      </w:r>
    </w:p>
    <w:p>
      <w:pPr>
        <w:spacing w:line="460" w:lineRule="exact"/>
        <w:ind w:right="600" w:firstLine="235" w:firstLineChars="98"/>
        <w:jc w:val="right"/>
        <w:rPr>
          <w:rFonts w:eastAsia="方正仿宋_GBK"/>
          <w:color w:val="000000"/>
          <w:sz w:val="24"/>
        </w:rPr>
      </w:pPr>
    </w:p>
    <w:p>
      <w:pPr>
        <w:spacing w:line="460" w:lineRule="exact"/>
        <w:ind w:right="600" w:firstLine="235" w:firstLineChars="98"/>
        <w:jc w:val="right"/>
        <w:rPr>
          <w:rFonts w:eastAsia="方正仿宋_GBK"/>
          <w:color w:val="000000"/>
          <w:sz w:val="24"/>
        </w:rPr>
      </w:pPr>
      <w:r>
        <w:rPr>
          <w:rFonts w:hint="eastAsia" w:eastAsia="方正仿宋_GBK"/>
          <w:color w:val="000000"/>
          <w:sz w:val="24"/>
        </w:rPr>
        <w:t>江苏省住房和城乡建设厅</w:t>
      </w:r>
    </w:p>
    <w:p>
      <w:pPr>
        <w:spacing w:line="460" w:lineRule="exact"/>
        <w:ind w:right="1080" w:firstLine="235" w:firstLineChars="98"/>
        <w:jc w:val="right"/>
        <w:rPr>
          <w:rFonts w:eastAsia="方正仿宋_GBK"/>
          <w:color w:val="000000"/>
          <w:sz w:val="24"/>
        </w:rPr>
      </w:pPr>
      <w:r>
        <w:rPr>
          <w:rFonts w:eastAsia="方正仿宋_GBK"/>
          <w:color w:val="000000"/>
          <w:sz w:val="24"/>
        </w:rPr>
        <w:t>2017</w:t>
      </w:r>
      <w:r>
        <w:rPr>
          <w:rFonts w:hint="eastAsia" w:eastAsia="方正仿宋_GBK"/>
          <w:color w:val="000000"/>
          <w:sz w:val="24"/>
        </w:rPr>
        <w:t>年</w:t>
      </w:r>
      <w:r>
        <w:rPr>
          <w:rFonts w:eastAsia="方正仿宋_GBK"/>
          <w:color w:val="000000"/>
          <w:sz w:val="24"/>
        </w:rPr>
        <w:t>9</w:t>
      </w:r>
      <w:r>
        <w:rPr>
          <w:rFonts w:hint="eastAsia" w:eastAsia="方正仿宋_GBK"/>
          <w:color w:val="000000"/>
          <w:sz w:val="24"/>
        </w:rPr>
        <w:t>月</w:t>
      </w:r>
      <w:r>
        <w:rPr>
          <w:rFonts w:eastAsia="方正仿宋_GBK"/>
          <w:color w:val="000000"/>
          <w:sz w:val="24"/>
        </w:rPr>
        <w:t>14</w:t>
      </w:r>
      <w:r>
        <w:rPr>
          <w:rFonts w:hint="eastAsia" w:eastAsia="方正仿宋_GBK"/>
          <w:color w:val="000000"/>
          <w:sz w:val="24"/>
        </w:rPr>
        <w:t>日</w:t>
      </w:r>
    </w:p>
    <w:p>
      <w:pPr>
        <w:spacing w:line="500" w:lineRule="exact"/>
        <w:ind w:left="-10" w:leftChars="-8" w:hanging="7" w:hangingChars="3"/>
        <w:jc w:val="center"/>
        <w:rPr>
          <w:rFonts w:eastAsia="方正仿宋_GBK"/>
          <w:color w:val="000000"/>
          <w:spacing w:val="-2"/>
          <w:sz w:val="24"/>
        </w:rPr>
      </w:pPr>
    </w:p>
    <w:p>
      <w:pPr>
        <w:spacing w:line="500" w:lineRule="exact"/>
        <w:ind w:left="-10" w:leftChars="-8" w:hanging="7" w:hangingChars="3"/>
        <w:jc w:val="center"/>
        <w:rPr>
          <w:rFonts w:eastAsia="方正仿宋_GBK"/>
          <w:color w:val="000000"/>
          <w:spacing w:val="-2"/>
          <w:sz w:val="24"/>
        </w:rPr>
      </w:pPr>
    </w:p>
    <w:p>
      <w:pPr>
        <w:spacing w:line="500" w:lineRule="exact"/>
        <w:ind w:left="-10" w:leftChars="-8" w:hanging="7" w:hangingChars="3"/>
        <w:jc w:val="center"/>
        <w:rPr>
          <w:rFonts w:eastAsia="方正仿宋_GBK"/>
          <w:color w:val="000000"/>
          <w:spacing w:val="-2"/>
          <w:sz w:val="24"/>
        </w:rPr>
      </w:pPr>
    </w:p>
    <w:p>
      <w:pPr>
        <w:spacing w:line="500" w:lineRule="exact"/>
        <w:ind w:left="-10" w:leftChars="-8" w:hanging="7" w:hangingChars="3"/>
        <w:jc w:val="center"/>
        <w:rPr>
          <w:rFonts w:eastAsia="方正仿宋_GBK"/>
          <w:color w:val="000000"/>
          <w:spacing w:val="-2"/>
          <w:sz w:val="24"/>
        </w:rPr>
      </w:pPr>
    </w:p>
    <w:p>
      <w:pPr>
        <w:spacing w:line="500" w:lineRule="exact"/>
        <w:ind w:left="-10" w:leftChars="-8" w:hanging="7" w:hangingChars="3"/>
        <w:jc w:val="center"/>
        <w:rPr>
          <w:rFonts w:eastAsia="方正仿宋_GBK"/>
          <w:color w:val="000000"/>
          <w:spacing w:val="-2"/>
          <w:sz w:val="24"/>
        </w:rPr>
      </w:pPr>
    </w:p>
    <w:p>
      <w:pPr>
        <w:spacing w:line="500" w:lineRule="exact"/>
        <w:ind w:left="-10" w:leftChars="-8" w:hanging="7" w:hangingChars="3"/>
        <w:jc w:val="center"/>
        <w:rPr>
          <w:rFonts w:eastAsia="方正仿宋_GBK"/>
          <w:color w:val="000000"/>
          <w:spacing w:val="-2"/>
          <w:sz w:val="24"/>
        </w:rPr>
      </w:pPr>
    </w:p>
    <w:p>
      <w:pPr>
        <w:spacing w:line="500" w:lineRule="exact"/>
        <w:ind w:left="-10" w:leftChars="-8" w:hanging="7" w:hangingChars="3"/>
        <w:jc w:val="center"/>
        <w:rPr>
          <w:rFonts w:eastAsia="方正仿宋_GBK"/>
          <w:color w:val="000000"/>
          <w:spacing w:val="-2"/>
          <w:sz w:val="24"/>
        </w:rPr>
      </w:pPr>
    </w:p>
    <w:p>
      <w:pPr>
        <w:spacing w:line="500" w:lineRule="exact"/>
        <w:ind w:left="-10" w:leftChars="-8" w:hanging="7" w:hangingChars="3"/>
        <w:jc w:val="center"/>
        <w:rPr>
          <w:rFonts w:eastAsia="方正仿宋_GBK"/>
          <w:color w:val="000000"/>
          <w:spacing w:val="-2"/>
          <w:sz w:val="24"/>
        </w:rPr>
      </w:pPr>
    </w:p>
    <w:p>
      <w:pPr>
        <w:spacing w:line="500" w:lineRule="exact"/>
        <w:ind w:left="-10" w:leftChars="-8" w:hanging="7" w:hangingChars="3"/>
        <w:jc w:val="center"/>
        <w:rPr>
          <w:rFonts w:eastAsia="方正仿宋_GBK"/>
          <w:color w:val="000000"/>
          <w:spacing w:val="-2"/>
          <w:sz w:val="24"/>
        </w:rPr>
      </w:pPr>
    </w:p>
    <w:p>
      <w:pPr>
        <w:spacing w:line="500" w:lineRule="exact"/>
        <w:ind w:left="-10" w:leftChars="-8" w:hanging="7" w:hangingChars="3"/>
        <w:jc w:val="center"/>
        <w:rPr>
          <w:rFonts w:eastAsia="方正仿宋_GBK"/>
          <w:color w:val="000000"/>
          <w:spacing w:val="-2"/>
          <w:sz w:val="24"/>
        </w:rPr>
      </w:pPr>
    </w:p>
    <w:p>
      <w:pPr>
        <w:spacing w:line="500" w:lineRule="exact"/>
        <w:ind w:left="-10" w:leftChars="-8" w:hanging="7" w:hangingChars="3"/>
        <w:jc w:val="center"/>
        <w:rPr>
          <w:rFonts w:eastAsia="方正仿宋_GBK"/>
          <w:color w:val="000000"/>
          <w:spacing w:val="-2"/>
          <w:sz w:val="24"/>
        </w:rPr>
      </w:pPr>
    </w:p>
    <w:p>
      <w:pPr>
        <w:spacing w:line="500" w:lineRule="exact"/>
        <w:ind w:left="-10" w:leftChars="-8" w:hanging="7" w:hangingChars="3"/>
        <w:jc w:val="center"/>
        <w:rPr>
          <w:rFonts w:eastAsia="方正仿宋_GBK"/>
          <w:color w:val="000000"/>
          <w:spacing w:val="-2"/>
          <w:sz w:val="24"/>
        </w:rPr>
      </w:pPr>
    </w:p>
    <w:p>
      <w:pPr>
        <w:spacing w:line="500" w:lineRule="exact"/>
        <w:ind w:left="-10" w:leftChars="-8" w:hanging="7" w:hangingChars="3"/>
        <w:jc w:val="center"/>
        <w:rPr>
          <w:rFonts w:eastAsia="方正仿宋_GBK"/>
          <w:color w:val="000000"/>
          <w:spacing w:val="-2"/>
          <w:sz w:val="24"/>
        </w:rPr>
      </w:pPr>
    </w:p>
    <w:p>
      <w:pPr>
        <w:spacing w:line="500" w:lineRule="exact"/>
        <w:ind w:left="-10" w:leftChars="-8" w:hanging="7" w:hangingChars="3"/>
        <w:jc w:val="center"/>
        <w:rPr>
          <w:rFonts w:eastAsia="方正仿宋_GBK"/>
          <w:color w:val="000000"/>
          <w:spacing w:val="-2"/>
          <w:sz w:val="24"/>
        </w:rPr>
      </w:pPr>
    </w:p>
    <w:p>
      <w:pPr>
        <w:spacing w:line="500" w:lineRule="exact"/>
        <w:ind w:left="-10" w:leftChars="-8" w:hanging="7" w:hangingChars="3"/>
        <w:jc w:val="center"/>
        <w:rPr>
          <w:rFonts w:eastAsia="方正仿宋_GBK"/>
          <w:color w:val="000000"/>
          <w:spacing w:val="-2"/>
          <w:sz w:val="24"/>
        </w:rPr>
      </w:pPr>
    </w:p>
    <w:p>
      <w:pPr>
        <w:spacing w:line="500" w:lineRule="exact"/>
        <w:ind w:left="-10" w:leftChars="-8" w:hanging="7" w:hangingChars="3"/>
        <w:jc w:val="center"/>
        <w:rPr>
          <w:rFonts w:eastAsia="方正仿宋_GBK"/>
          <w:color w:val="000000"/>
          <w:spacing w:val="-2"/>
          <w:sz w:val="24"/>
        </w:rPr>
      </w:pPr>
    </w:p>
    <w:p>
      <w:pPr>
        <w:spacing w:line="500" w:lineRule="exact"/>
        <w:ind w:left="-10" w:leftChars="-8" w:hanging="7" w:hangingChars="3"/>
        <w:rPr>
          <w:rFonts w:eastAsia="方正仿宋_GBK"/>
          <w:color w:val="000000"/>
          <w:spacing w:val="-2"/>
          <w:sz w:val="24"/>
        </w:rPr>
      </w:pPr>
    </w:p>
    <w:p/>
    <w:p/>
    <w:p/>
    <w:p/>
    <w:p/>
    <w:p/>
    <w:p/>
    <w:p>
      <w:pPr>
        <w:pStyle w:val="2"/>
        <w:spacing w:before="240" w:beforeLines="100" w:after="240" w:afterLines="100" w:line="240" w:lineRule="auto"/>
        <w:jc w:val="center"/>
        <w:rPr>
          <w:rFonts w:ascii="Times New Roman" w:eastAsia="方正小标宋_GBK"/>
          <w:b w:val="0"/>
          <w:sz w:val="36"/>
          <w:szCs w:val="36"/>
        </w:rPr>
      </w:pPr>
      <w:bookmarkStart w:id="513" w:name="_Toc20726578"/>
      <w:bookmarkStart w:id="514" w:name="_Toc18315719"/>
      <w:r>
        <w:rPr>
          <w:rFonts w:hint="eastAsia" w:ascii="Times New Roman" w:eastAsia="方正小标宋_GBK"/>
          <w:b w:val="0"/>
          <w:sz w:val="36"/>
          <w:szCs w:val="36"/>
        </w:rPr>
        <w:t>省住房城乡建设厅关于转发《住房城乡建设部关于印发 &lt;建筑工程五方责任主体项目负责人质量终身责任追究暂行办法&gt;的通知》的通知</w:t>
      </w:r>
      <w:bookmarkEnd w:id="513"/>
      <w:bookmarkEnd w:id="514"/>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515" w:name="_Toc20726579"/>
      <w:bookmarkStart w:id="516" w:name="_Toc18315720"/>
      <w:r>
        <w:rPr>
          <w:rFonts w:hint="eastAsia" w:ascii="Times New Roman" w:hAnsi="Times New Roman" w:eastAsia="方正楷体_GBK"/>
          <w:b w:val="0"/>
          <w:sz w:val="24"/>
          <w:szCs w:val="24"/>
        </w:rPr>
        <w:t>苏建质安〔</w:t>
      </w:r>
      <w:r>
        <w:rPr>
          <w:rFonts w:ascii="Times New Roman" w:hAnsi="Times New Roman" w:eastAsia="方正楷体_GBK"/>
          <w:b w:val="0"/>
          <w:sz w:val="24"/>
          <w:szCs w:val="24"/>
        </w:rPr>
        <w:t>2014</w:t>
      </w:r>
      <w:r>
        <w:rPr>
          <w:rFonts w:hint="eastAsia" w:ascii="Times New Roman" w:hAnsi="Times New Roman" w:eastAsia="方正楷体_GBK"/>
          <w:b w:val="0"/>
          <w:sz w:val="24"/>
          <w:szCs w:val="24"/>
        </w:rPr>
        <w:t>〕</w:t>
      </w:r>
      <w:r>
        <w:rPr>
          <w:rFonts w:ascii="Times New Roman" w:hAnsi="Times New Roman" w:eastAsia="方正楷体_GBK"/>
          <w:b w:val="0"/>
          <w:sz w:val="24"/>
          <w:szCs w:val="24"/>
        </w:rPr>
        <w:t>533</w:t>
      </w:r>
      <w:r>
        <w:rPr>
          <w:rFonts w:hint="eastAsia" w:ascii="Times New Roman" w:hAnsi="Times New Roman" w:eastAsia="方正楷体_GBK"/>
          <w:b w:val="0"/>
          <w:sz w:val="24"/>
          <w:szCs w:val="24"/>
        </w:rPr>
        <w:t>号</w:t>
      </w:r>
      <w:bookmarkEnd w:id="515"/>
      <w:bookmarkEnd w:id="516"/>
    </w:p>
    <w:p>
      <w:pPr>
        <w:spacing w:line="460" w:lineRule="exact"/>
        <w:rPr>
          <w:rFonts w:eastAsia="方正仿宋_GBK"/>
          <w:color w:val="000000"/>
          <w:spacing w:val="-2"/>
          <w:sz w:val="24"/>
        </w:rPr>
      </w:pPr>
      <w:r>
        <w:rPr>
          <w:rFonts w:hint="eastAsia" w:eastAsia="方正仿宋_GBK"/>
          <w:color w:val="000000"/>
          <w:spacing w:val="-2"/>
          <w:sz w:val="24"/>
        </w:rPr>
        <w:t>各省辖市建设局（委），泰州市建工局，苏州工业园区规划建设局、张家港保税区规划建设局，昆山市、泰兴市、沭阳县建设局：</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现将《住房城乡建设部关于印发</w:t>
      </w:r>
      <w:r>
        <w:rPr>
          <w:rFonts w:hint="eastAsia" w:ascii="Times New Roman" w:hAnsi="Times New Roman"/>
          <w:color w:val="000000"/>
          <w:spacing w:val="-2"/>
          <w:sz w:val="24"/>
        </w:rPr>
        <w:t>&lt;</w:t>
      </w:r>
      <w:r>
        <w:rPr>
          <w:rFonts w:hint="eastAsia" w:eastAsia="方正仿宋_GBK"/>
          <w:color w:val="000000"/>
          <w:spacing w:val="-2"/>
          <w:sz w:val="24"/>
        </w:rPr>
        <w:t>建筑工程五方责任主体项目负责人质量终身责任追究暂行办法</w:t>
      </w:r>
      <w:r>
        <w:rPr>
          <w:rFonts w:hint="eastAsia" w:ascii="Times New Roman" w:hAnsi="Times New Roman"/>
          <w:color w:val="000000"/>
          <w:spacing w:val="-2"/>
          <w:sz w:val="24"/>
        </w:rPr>
        <w:t>&gt;</w:t>
      </w:r>
      <w:r>
        <w:rPr>
          <w:rFonts w:hint="eastAsia" w:eastAsia="方正仿宋_GBK"/>
          <w:color w:val="000000"/>
          <w:spacing w:val="-2"/>
          <w:sz w:val="24"/>
        </w:rPr>
        <w:t>的通知》（建质</w:t>
      </w:r>
      <w:r>
        <w:rPr>
          <w:rFonts w:eastAsia="方正仿宋_GBK"/>
          <w:color w:val="000000"/>
          <w:spacing w:val="-2"/>
          <w:sz w:val="24"/>
        </w:rPr>
        <w:t>(2014</w:t>
      </w:r>
      <w:r>
        <w:rPr>
          <w:rFonts w:hint="eastAsia" w:eastAsia="方正仿宋_GBK"/>
          <w:color w:val="000000"/>
          <w:spacing w:val="-2"/>
          <w:sz w:val="24"/>
        </w:rPr>
        <w:t>〕</w:t>
      </w:r>
      <w:r>
        <w:rPr>
          <w:rFonts w:eastAsia="方正仿宋_GBK"/>
          <w:color w:val="000000"/>
          <w:spacing w:val="-2"/>
          <w:sz w:val="24"/>
        </w:rPr>
        <w:t>124</w:t>
      </w:r>
      <w:r>
        <w:rPr>
          <w:rFonts w:hint="eastAsia" w:eastAsia="方正仿宋_GBK"/>
          <w:color w:val="000000"/>
          <w:spacing w:val="-2"/>
          <w:sz w:val="24"/>
        </w:rPr>
        <w:t>号</w:t>
      </w:r>
      <w:r>
        <w:rPr>
          <w:rFonts w:eastAsia="方正仿宋_GBK"/>
          <w:color w:val="000000"/>
          <w:spacing w:val="-2"/>
          <w:sz w:val="24"/>
        </w:rPr>
        <w:t>)</w:t>
      </w:r>
      <w:r>
        <w:rPr>
          <w:rFonts w:hint="eastAsia" w:eastAsia="方正仿宋_GBK"/>
          <w:color w:val="000000"/>
          <w:spacing w:val="-2"/>
          <w:sz w:val="24"/>
        </w:rPr>
        <w:t>转发给你们，并制定了建筑工程五方责任主体项目负责人质量终身责任信息档案、永久性责任标牌式样，请一并认真贯彻落实。</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附件：</w:t>
      </w:r>
      <w:r>
        <w:rPr>
          <w:rFonts w:eastAsia="方正仿宋_GBK"/>
          <w:color w:val="000000"/>
          <w:spacing w:val="-2"/>
          <w:sz w:val="24"/>
        </w:rPr>
        <w:t>1</w:t>
      </w:r>
      <w:r>
        <w:rPr>
          <w:rFonts w:hint="eastAsia" w:eastAsia="方正仿宋_GBK"/>
          <w:color w:val="000000"/>
          <w:spacing w:val="-2"/>
          <w:sz w:val="24"/>
        </w:rPr>
        <w:t>．住房城乡建设部关于印发《建筑工程五方责任主体项目负责人质量终</w:t>
      </w:r>
    </w:p>
    <w:p>
      <w:pPr>
        <w:spacing w:line="460" w:lineRule="exact"/>
        <w:ind w:firstLine="1510" w:firstLineChars="640"/>
        <w:rPr>
          <w:rFonts w:eastAsia="方正仿宋_GBK"/>
          <w:color w:val="000000"/>
          <w:spacing w:val="-2"/>
          <w:sz w:val="24"/>
        </w:rPr>
      </w:pPr>
      <w:r>
        <w:rPr>
          <w:rFonts w:hint="eastAsia" w:eastAsia="方正仿宋_GBK"/>
          <w:color w:val="000000"/>
          <w:spacing w:val="-2"/>
          <w:sz w:val="24"/>
        </w:rPr>
        <w:t>身责任追究暂行办法》的通知（建质〔</w:t>
      </w:r>
      <w:r>
        <w:rPr>
          <w:rFonts w:eastAsia="方正仿宋_GBK"/>
          <w:color w:val="000000"/>
          <w:spacing w:val="-2"/>
          <w:sz w:val="24"/>
        </w:rPr>
        <w:t>2014</w:t>
      </w:r>
      <w:r>
        <w:rPr>
          <w:rFonts w:hint="eastAsia" w:eastAsia="方正仿宋_GBK"/>
          <w:color w:val="000000"/>
          <w:spacing w:val="-2"/>
          <w:sz w:val="24"/>
        </w:rPr>
        <w:t>〕</w:t>
      </w:r>
      <w:r>
        <w:rPr>
          <w:rFonts w:eastAsia="方正仿宋_GBK"/>
          <w:color w:val="000000"/>
          <w:spacing w:val="-2"/>
          <w:sz w:val="24"/>
        </w:rPr>
        <w:t>124</w:t>
      </w:r>
      <w:r>
        <w:rPr>
          <w:rFonts w:hint="eastAsia" w:eastAsia="方正仿宋_GBK"/>
          <w:color w:val="000000"/>
          <w:spacing w:val="-2"/>
          <w:sz w:val="24"/>
        </w:rPr>
        <w:t>号）</w:t>
      </w:r>
    </w:p>
    <w:p>
      <w:pPr>
        <w:spacing w:line="460" w:lineRule="exact"/>
        <w:ind w:firstLine="1187" w:firstLineChars="503"/>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．建筑工程五方责任主体项目负责人质量终身责任信息档案</w:t>
      </w:r>
    </w:p>
    <w:p>
      <w:pPr>
        <w:spacing w:line="460" w:lineRule="exact"/>
        <w:ind w:firstLine="1187" w:firstLineChars="503"/>
        <w:rPr>
          <w:rFonts w:eastAsia="方正仿宋_GBK"/>
          <w:color w:val="000000"/>
          <w:spacing w:val="-2"/>
          <w:sz w:val="24"/>
        </w:rPr>
      </w:pPr>
      <w:r>
        <w:rPr>
          <w:rFonts w:eastAsia="方正仿宋_GBK"/>
          <w:color w:val="000000"/>
          <w:spacing w:val="-2"/>
          <w:sz w:val="24"/>
        </w:rPr>
        <w:t>3</w:t>
      </w:r>
      <w:r>
        <w:rPr>
          <w:rFonts w:hint="eastAsia" w:eastAsia="方正仿宋_GBK"/>
          <w:color w:val="000000"/>
          <w:spacing w:val="-2"/>
          <w:sz w:val="24"/>
        </w:rPr>
        <w:t>．永久性责任标牌式样</w:t>
      </w:r>
    </w:p>
    <w:p>
      <w:pPr>
        <w:spacing w:line="460" w:lineRule="exact"/>
        <w:ind w:firstLine="1187" w:firstLineChars="503"/>
        <w:rPr>
          <w:rFonts w:eastAsia="方正仿宋_GBK"/>
          <w:color w:val="000000"/>
          <w:spacing w:val="-2"/>
          <w:sz w:val="24"/>
        </w:rPr>
      </w:pPr>
    </w:p>
    <w:p>
      <w:pPr>
        <w:spacing w:line="460" w:lineRule="exact"/>
        <w:ind w:firstLine="1187" w:firstLineChars="503"/>
        <w:rPr>
          <w:rFonts w:eastAsia="方正仿宋_GBK"/>
          <w:color w:val="000000"/>
          <w:spacing w:val="-2"/>
          <w:sz w:val="24"/>
        </w:rPr>
      </w:pPr>
    </w:p>
    <w:p>
      <w:pPr>
        <w:spacing w:line="460" w:lineRule="exact"/>
        <w:ind w:right="418" w:rightChars="199" w:firstLine="1187" w:firstLineChars="503"/>
        <w:jc w:val="right"/>
        <w:rPr>
          <w:rFonts w:eastAsia="方正仿宋_GBK"/>
          <w:color w:val="000000"/>
          <w:spacing w:val="-2"/>
          <w:sz w:val="24"/>
        </w:rPr>
      </w:pPr>
      <w:r>
        <w:rPr>
          <w:rFonts w:hint="eastAsia" w:eastAsia="方正仿宋_GBK"/>
          <w:color w:val="000000"/>
          <w:spacing w:val="-2"/>
          <w:sz w:val="24"/>
        </w:rPr>
        <w:t>江苏省住房和城乡建设厅</w:t>
      </w:r>
      <w:r>
        <w:rPr>
          <w:rFonts w:eastAsia="方正仿宋_GBK"/>
          <w:color w:val="000000"/>
          <w:spacing w:val="-2"/>
          <w:sz w:val="24"/>
        </w:rPr>
        <w:t xml:space="preserve">    </w:t>
      </w:r>
    </w:p>
    <w:p>
      <w:pPr>
        <w:spacing w:line="460" w:lineRule="exact"/>
        <w:ind w:right="777" w:rightChars="370" w:firstLine="4373" w:firstLineChars="1853"/>
        <w:jc w:val="right"/>
        <w:rPr>
          <w:rFonts w:eastAsia="方正仿宋_GBK"/>
          <w:color w:val="000000"/>
          <w:spacing w:val="-2"/>
          <w:sz w:val="24"/>
        </w:rPr>
      </w:pPr>
      <w:r>
        <w:rPr>
          <w:rFonts w:eastAsia="方正仿宋_GBK"/>
          <w:color w:val="000000"/>
          <w:spacing w:val="-2"/>
          <w:sz w:val="24"/>
        </w:rPr>
        <w:t>2014</w:t>
      </w:r>
      <w:r>
        <w:rPr>
          <w:rFonts w:hint="eastAsia" w:eastAsia="方正仿宋_GBK"/>
          <w:color w:val="000000"/>
          <w:spacing w:val="-2"/>
          <w:sz w:val="24"/>
        </w:rPr>
        <w:t>年</w:t>
      </w:r>
      <w:r>
        <w:rPr>
          <w:rFonts w:eastAsia="方正仿宋_GBK"/>
          <w:color w:val="000000"/>
          <w:spacing w:val="-2"/>
          <w:sz w:val="24"/>
        </w:rPr>
        <w:t>10</w:t>
      </w:r>
      <w:r>
        <w:rPr>
          <w:rFonts w:hint="eastAsia" w:eastAsia="方正仿宋_GBK"/>
          <w:color w:val="000000"/>
          <w:spacing w:val="-2"/>
          <w:sz w:val="24"/>
        </w:rPr>
        <w:t>月</w:t>
      </w:r>
      <w:r>
        <w:rPr>
          <w:rFonts w:eastAsia="方正仿宋_GBK"/>
          <w:color w:val="000000"/>
          <w:spacing w:val="-2"/>
          <w:sz w:val="24"/>
        </w:rPr>
        <w:t>20</w:t>
      </w:r>
      <w:r>
        <w:rPr>
          <w:rFonts w:hint="eastAsia" w:eastAsia="方正仿宋_GBK"/>
          <w:color w:val="000000"/>
          <w:spacing w:val="-2"/>
          <w:sz w:val="24"/>
        </w:rPr>
        <w:t>日</w:t>
      </w:r>
      <w:r>
        <w:rPr>
          <w:rFonts w:eastAsia="方正仿宋_GBK"/>
          <w:color w:val="000000"/>
          <w:spacing w:val="-2"/>
          <w:sz w:val="24"/>
        </w:rPr>
        <w:t xml:space="preserve">       </w:t>
      </w:r>
    </w:p>
    <w:p>
      <w:pPr>
        <w:spacing w:line="460" w:lineRule="exact"/>
        <w:ind w:firstLine="472" w:firstLineChars="200"/>
        <w:rPr>
          <w:rFonts w:eastAsia="方正仿宋_GBK"/>
          <w:color w:val="000000"/>
          <w:spacing w:val="-2"/>
          <w:sz w:val="24"/>
        </w:rPr>
      </w:pPr>
    </w:p>
    <w:p>
      <w:pPr>
        <w:spacing w:line="460" w:lineRule="exact"/>
        <w:rPr>
          <w:rFonts w:ascii="Times New Roman" w:eastAsia="方正黑体_GBK"/>
          <w:color w:val="000000"/>
          <w:spacing w:val="-2"/>
          <w:sz w:val="28"/>
          <w:szCs w:val="28"/>
        </w:rPr>
      </w:pPr>
      <w:r>
        <w:rPr>
          <w:rFonts w:eastAsia="方正仿宋_GBK"/>
          <w:color w:val="000000"/>
          <w:spacing w:val="-2"/>
          <w:sz w:val="24"/>
        </w:rPr>
        <w:br w:type="column"/>
      </w:r>
      <w:r>
        <w:rPr>
          <w:rFonts w:hint="eastAsia" w:ascii="Times New Roman" w:eastAsia="方正黑体_GBK"/>
          <w:color w:val="000000"/>
          <w:spacing w:val="-2"/>
          <w:sz w:val="28"/>
          <w:szCs w:val="28"/>
        </w:rPr>
        <w:t>附件1</w:t>
      </w:r>
    </w:p>
    <w:p>
      <w:pPr>
        <w:spacing w:line="460" w:lineRule="exact"/>
        <w:rPr>
          <w:rFonts w:hint="eastAsia" w:eastAsia="方正仿宋_GBK"/>
          <w:color w:val="000000"/>
          <w:spacing w:val="-2"/>
          <w:sz w:val="24"/>
        </w:rPr>
      </w:pPr>
    </w:p>
    <w:p>
      <w:pPr>
        <w:spacing w:line="460" w:lineRule="exact"/>
        <w:jc w:val="center"/>
        <w:rPr>
          <w:rFonts w:ascii="Times New Roman" w:eastAsia="方正小标宋简体"/>
          <w:color w:val="000000"/>
          <w:spacing w:val="-2"/>
          <w:sz w:val="36"/>
          <w:szCs w:val="36"/>
        </w:rPr>
      </w:pPr>
      <w:r>
        <w:rPr>
          <w:rFonts w:hint="eastAsia" w:ascii="Times New Roman" w:eastAsia="方正小标宋简体"/>
          <w:color w:val="000000"/>
          <w:spacing w:val="-2"/>
          <w:sz w:val="36"/>
          <w:szCs w:val="36"/>
        </w:rPr>
        <w:t>住房城乡建设部关于印发《建筑工程五方责任主体项目</w:t>
      </w:r>
    </w:p>
    <w:p>
      <w:pPr>
        <w:spacing w:line="460" w:lineRule="exact"/>
        <w:jc w:val="center"/>
        <w:rPr>
          <w:rFonts w:hint="eastAsia" w:ascii="Times New Roman" w:eastAsia="方正小标宋简体"/>
          <w:color w:val="000000"/>
          <w:spacing w:val="-2"/>
          <w:sz w:val="36"/>
          <w:szCs w:val="36"/>
        </w:rPr>
      </w:pPr>
      <w:r>
        <w:rPr>
          <w:rFonts w:hint="eastAsia" w:ascii="Times New Roman" w:eastAsia="方正小标宋简体"/>
          <w:color w:val="000000"/>
          <w:spacing w:val="-2"/>
          <w:sz w:val="36"/>
          <w:szCs w:val="36"/>
        </w:rPr>
        <w:t>负责人质量终身责任追究暂行办法》的通知</w:t>
      </w:r>
    </w:p>
    <w:p>
      <w:pPr>
        <w:spacing w:line="460" w:lineRule="exact"/>
        <w:rPr>
          <w:rFonts w:hint="eastAsia" w:eastAsia="方正仿宋_GBK"/>
          <w:color w:val="000000"/>
          <w:spacing w:val="-2"/>
          <w:sz w:val="24"/>
        </w:rPr>
      </w:pPr>
    </w:p>
    <w:p>
      <w:pPr>
        <w:spacing w:line="460" w:lineRule="exact"/>
        <w:jc w:val="center"/>
        <w:rPr>
          <w:rFonts w:eastAsia="方正楷体_GBK"/>
          <w:sz w:val="24"/>
        </w:rPr>
      </w:pPr>
      <w:r>
        <w:rPr>
          <w:rFonts w:hint="eastAsia" w:eastAsia="方正楷体_GBK"/>
          <w:sz w:val="24"/>
        </w:rPr>
        <w:t>建质〔</w:t>
      </w:r>
      <w:r>
        <w:rPr>
          <w:rFonts w:eastAsia="方正楷体_GBK"/>
          <w:sz w:val="24"/>
        </w:rPr>
        <w:t>2014</w:t>
      </w:r>
      <w:r>
        <w:rPr>
          <w:rFonts w:hint="eastAsia" w:eastAsia="方正楷体_GBK"/>
          <w:sz w:val="24"/>
        </w:rPr>
        <w:t>〕</w:t>
      </w:r>
      <w:r>
        <w:rPr>
          <w:rFonts w:eastAsia="方正楷体_GBK"/>
          <w:sz w:val="24"/>
        </w:rPr>
        <w:t>124</w:t>
      </w:r>
      <w:r>
        <w:rPr>
          <w:rFonts w:hint="eastAsia" w:eastAsia="方正楷体_GBK"/>
          <w:sz w:val="24"/>
        </w:rPr>
        <w:t>号</w:t>
      </w:r>
    </w:p>
    <w:p>
      <w:pPr>
        <w:spacing w:line="460" w:lineRule="exact"/>
        <w:rPr>
          <w:rFonts w:eastAsia="方正仿宋_GBK"/>
          <w:color w:val="000000"/>
          <w:spacing w:val="-2"/>
          <w:sz w:val="24"/>
        </w:rPr>
      </w:pPr>
    </w:p>
    <w:p>
      <w:pPr>
        <w:spacing w:line="460" w:lineRule="exact"/>
        <w:rPr>
          <w:rFonts w:eastAsia="方正仿宋_GBK"/>
          <w:color w:val="000000"/>
          <w:spacing w:val="-2"/>
          <w:sz w:val="24"/>
        </w:rPr>
      </w:pPr>
      <w:r>
        <w:rPr>
          <w:rFonts w:hint="eastAsia" w:eastAsia="方正仿宋_GBK"/>
          <w:color w:val="000000"/>
          <w:spacing w:val="-2"/>
          <w:sz w:val="24"/>
        </w:rPr>
        <w:t>各省、自治区住房城乡建设厅，直辖市建委（规委），新疆生产建设兵团建设局：</w:t>
      </w:r>
    </w:p>
    <w:p>
      <w:pPr>
        <w:spacing w:line="460" w:lineRule="exact"/>
        <w:ind w:firstLine="456" w:firstLineChars="200"/>
        <w:rPr>
          <w:rFonts w:eastAsia="方正仿宋_GBK"/>
          <w:color w:val="000000"/>
          <w:spacing w:val="-6"/>
          <w:sz w:val="24"/>
        </w:rPr>
      </w:pPr>
      <w:r>
        <w:rPr>
          <w:rFonts w:hint="eastAsia" w:eastAsia="方正仿宋_GBK"/>
          <w:color w:val="000000"/>
          <w:spacing w:val="-6"/>
          <w:sz w:val="24"/>
        </w:rPr>
        <w:t>为贯彻《建设工程质量管理条例》，强化工程质量终身责任落实，现将《建筑工程五方责任主体项目负责人质量终身责任追究暂行办法》印发给你们，请认真贯彻执行。</w:t>
      </w:r>
    </w:p>
    <w:p>
      <w:pPr>
        <w:spacing w:line="460" w:lineRule="exact"/>
        <w:rPr>
          <w:rFonts w:eastAsia="方正仿宋_GBK"/>
          <w:color w:val="000000"/>
          <w:spacing w:val="-2"/>
          <w:sz w:val="24"/>
        </w:rPr>
      </w:pPr>
    </w:p>
    <w:p>
      <w:pPr>
        <w:spacing w:line="460" w:lineRule="exact"/>
        <w:rPr>
          <w:rFonts w:eastAsia="方正仿宋_GBK"/>
          <w:color w:val="000000"/>
          <w:spacing w:val="-2"/>
          <w:sz w:val="24"/>
        </w:rPr>
      </w:pPr>
    </w:p>
    <w:p>
      <w:pPr>
        <w:spacing w:line="460" w:lineRule="exact"/>
        <w:jc w:val="center"/>
        <w:rPr>
          <w:rFonts w:ascii="Times New Roman" w:eastAsia="方正黑体_GBK"/>
          <w:color w:val="000000"/>
          <w:spacing w:val="-2"/>
          <w:sz w:val="36"/>
          <w:szCs w:val="36"/>
        </w:rPr>
      </w:pPr>
      <w:r>
        <w:rPr>
          <w:rFonts w:hint="eastAsia" w:ascii="Times New Roman" w:eastAsia="方正黑体_GBK"/>
          <w:color w:val="000000"/>
          <w:spacing w:val="-2"/>
          <w:sz w:val="36"/>
          <w:szCs w:val="36"/>
        </w:rPr>
        <w:t>建筑工程五方责任主体项目负责人质量终身责任追究</w:t>
      </w:r>
    </w:p>
    <w:p>
      <w:pPr>
        <w:spacing w:line="460" w:lineRule="exact"/>
        <w:jc w:val="center"/>
        <w:rPr>
          <w:rFonts w:hint="eastAsia" w:ascii="Times New Roman" w:eastAsia="方正黑体_GBK"/>
          <w:color w:val="000000"/>
          <w:spacing w:val="-2"/>
          <w:sz w:val="36"/>
          <w:szCs w:val="36"/>
        </w:rPr>
      </w:pPr>
      <w:r>
        <w:rPr>
          <w:rFonts w:hint="eastAsia" w:ascii="Times New Roman" w:eastAsia="方正黑体_GBK"/>
          <w:color w:val="000000"/>
          <w:spacing w:val="-2"/>
          <w:sz w:val="36"/>
          <w:szCs w:val="36"/>
        </w:rPr>
        <w:t>暂行办法</w:t>
      </w:r>
    </w:p>
    <w:p>
      <w:pPr>
        <w:spacing w:line="460" w:lineRule="exact"/>
        <w:ind w:firstLine="472" w:firstLineChars="200"/>
        <w:jc w:val="center"/>
        <w:rPr>
          <w:rFonts w:hint="eastAsia" w:eastAsia="方正仿宋_GBK"/>
          <w:color w:val="000000"/>
          <w:spacing w:val="-2"/>
          <w:sz w:val="24"/>
        </w:rPr>
      </w:pP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kern w:val="0"/>
          <w:sz w:val="24"/>
        </w:rPr>
        <w:t>第一条</w:t>
      </w:r>
      <w:r>
        <w:rPr>
          <w:rFonts w:eastAsia="方正仿宋_GBK"/>
          <w:color w:val="000000"/>
          <w:spacing w:val="-2"/>
          <w:sz w:val="24"/>
        </w:rPr>
        <w:t xml:space="preserve">  </w:t>
      </w:r>
      <w:r>
        <w:rPr>
          <w:rFonts w:hint="eastAsia" w:eastAsia="方正仿宋_GBK"/>
          <w:color w:val="000000"/>
          <w:spacing w:val="-2"/>
          <w:sz w:val="24"/>
        </w:rPr>
        <w:t>为加强房屋建筑和市政基础设施工程（以下简称建筑工程）质量管理，提高质量责任意识，强化质量责任追究，保证工程建设质量，根据《中华人民共和国建筑法》、《建设工程质量管理条例》等法律法规，制定本办法。</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kern w:val="0"/>
          <w:sz w:val="24"/>
        </w:rPr>
        <w:t>第二条</w:t>
      </w:r>
      <w:r>
        <w:rPr>
          <w:rFonts w:eastAsia="方正仿宋_GBK"/>
          <w:color w:val="000000"/>
          <w:spacing w:val="-2"/>
          <w:sz w:val="24"/>
        </w:rPr>
        <w:t xml:space="preserve">  </w:t>
      </w:r>
      <w:r>
        <w:rPr>
          <w:rFonts w:hint="eastAsia" w:eastAsia="方正仿宋_GBK"/>
          <w:color w:val="000000"/>
          <w:spacing w:val="-2"/>
          <w:sz w:val="24"/>
        </w:rPr>
        <w:t>建筑工程五方责任主体项目负责人是指承担建筑工程项目建设的建设单位项目负责人、勘察单位项目负责人、设计单位项目负责人、施工单位项目经理、监理单位总监理工程师。建筑工程开工建设前，建设、勘察、设计、施工、监理单位法定代表人应当签署授权书，明确本单位项目负责人。</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kern w:val="0"/>
          <w:sz w:val="24"/>
        </w:rPr>
        <w:t>第三条</w:t>
      </w:r>
      <w:r>
        <w:rPr>
          <w:rFonts w:eastAsia="方正仿宋_GBK"/>
          <w:color w:val="000000"/>
          <w:spacing w:val="-2"/>
          <w:sz w:val="24"/>
        </w:rPr>
        <w:t xml:space="preserve">  </w:t>
      </w:r>
      <w:r>
        <w:rPr>
          <w:rFonts w:hint="eastAsia" w:eastAsia="方正仿宋_GBK"/>
          <w:color w:val="000000"/>
          <w:spacing w:val="-2"/>
          <w:sz w:val="24"/>
        </w:rPr>
        <w:t>建筑工程五方责任主体项目负责人质量终身责任，是指参与新建、扩建、改建的建筑工程项目负责人按照国家法律法规和有关规定，在工程设计使用年限内对工程质量承担相应责任。</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kern w:val="0"/>
          <w:sz w:val="24"/>
        </w:rPr>
        <w:t>第四条</w:t>
      </w:r>
      <w:r>
        <w:rPr>
          <w:rFonts w:eastAsia="方正仿宋_GBK"/>
          <w:color w:val="000000"/>
          <w:spacing w:val="-2"/>
          <w:sz w:val="24"/>
        </w:rPr>
        <w:t xml:space="preserve">  </w:t>
      </w:r>
      <w:r>
        <w:rPr>
          <w:rFonts w:hint="eastAsia" w:eastAsia="方正仿宋_GBK"/>
          <w:color w:val="000000"/>
          <w:spacing w:val="-2"/>
          <w:sz w:val="24"/>
        </w:rPr>
        <w:t>国务院住房城乡建设主管部门负责对全国建筑工程项目负责人质量终身责任追究工作进行指导和监督管理。</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县级以上地方人民政府住房城乡建设主管部门负责对本行政区域内的建筑工程项目负责人质量终身责任追究工作实施监督管理。</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kern w:val="0"/>
          <w:sz w:val="24"/>
        </w:rPr>
        <w:t>第五条</w:t>
      </w:r>
      <w:r>
        <w:rPr>
          <w:rFonts w:eastAsia="方正仿宋_GBK"/>
          <w:color w:val="000000"/>
          <w:spacing w:val="-2"/>
          <w:sz w:val="24"/>
        </w:rPr>
        <w:t xml:space="preserve">  </w:t>
      </w:r>
      <w:r>
        <w:rPr>
          <w:rFonts w:hint="eastAsia" w:eastAsia="方正仿宋_GBK"/>
          <w:color w:val="000000"/>
          <w:spacing w:val="-2"/>
          <w:sz w:val="24"/>
        </w:rPr>
        <w:t>建设单位项目负责人对工程质量承担全面责任，不得违法发包、肢解发包，不得以任何理由要求勘察、设计、施工、监理单位违反法律法规和工程建设标准，降低工程质量，其违法违规或不当行为造成工程质量事故或质量问题应当承担责任。</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勘察、设计单位项目负责人应当保证勘察设计文件符合法律法规和工程建设强制性标准的要求，对因勘察、设计导致的工程质量事故或质量问题承担责任。</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施工单位项目经理应当按照经审查合格的施工图设计文件和施工技术标准进行施工，对因施工导致的工程质量事故或质量问题承担责任。</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监理单位总监理工程师应当按照法律法规、有关技术标准、设计文件和工程承包合同进行监理，对施工质量承担监理责任。</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kern w:val="0"/>
          <w:sz w:val="24"/>
        </w:rPr>
        <w:t>第六条</w:t>
      </w:r>
      <w:r>
        <w:rPr>
          <w:rFonts w:eastAsia="方正仿宋_GBK"/>
          <w:color w:val="000000"/>
          <w:spacing w:val="-2"/>
          <w:sz w:val="24"/>
        </w:rPr>
        <w:t xml:space="preserve">  </w:t>
      </w:r>
      <w:r>
        <w:rPr>
          <w:rFonts w:hint="eastAsia" w:eastAsia="方正仿宋_GBK"/>
          <w:color w:val="000000"/>
          <w:spacing w:val="-2"/>
          <w:sz w:val="24"/>
        </w:rPr>
        <w:t>符合下列情形之一的，县级以上地方人民政府住房城乡建设主管部门应当依法追究项目负责人的质量终身责任：</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（一）发生工程质量事故；</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（二）发生投诉、举报、群体性事件、媒体报道并造成恶劣社会影响的严重工程质量问题；</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（三）由于勘察、设计或施工原因造成尚在设计使用年限内的建筑工程不能正常使用；</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（四）存在其他需追究责任的违法违规行为。</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kern w:val="0"/>
          <w:sz w:val="24"/>
        </w:rPr>
        <w:t>第七条</w:t>
      </w:r>
      <w:r>
        <w:rPr>
          <w:rFonts w:eastAsia="方正仿宋_GBK"/>
          <w:color w:val="000000"/>
          <w:spacing w:val="-2"/>
          <w:sz w:val="24"/>
        </w:rPr>
        <w:t xml:space="preserve">  </w:t>
      </w:r>
      <w:r>
        <w:rPr>
          <w:rFonts w:hint="eastAsia" w:eastAsia="方正仿宋_GBK"/>
          <w:color w:val="000000"/>
          <w:spacing w:val="-2"/>
          <w:sz w:val="24"/>
        </w:rPr>
        <w:t>工程质量终身责任实行书面承诺和竣工后永久性标牌等制度。</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kern w:val="0"/>
          <w:sz w:val="24"/>
        </w:rPr>
        <w:t>第八条</w:t>
      </w:r>
      <w:r>
        <w:rPr>
          <w:rFonts w:eastAsia="方正仿宋_GBK"/>
          <w:color w:val="000000"/>
          <w:spacing w:val="-2"/>
          <w:sz w:val="24"/>
        </w:rPr>
        <w:t xml:space="preserve">  </w:t>
      </w:r>
      <w:r>
        <w:rPr>
          <w:rFonts w:hint="eastAsia" w:eastAsia="方正仿宋_GBK"/>
          <w:color w:val="000000"/>
          <w:spacing w:val="-2"/>
          <w:sz w:val="24"/>
        </w:rPr>
        <w:t>项目负责人应当在办理工程质量监督手续前签署工程质量终身责任承诺书，连同法定代表人授权书，报工程质量监督机构备案。项目负责人如有更换的，应当按规定办理变更程序，重新签署工程质量终身责任承诺书，连同法定代表人授权书，报工程质量监督机构备案。</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kern w:val="0"/>
          <w:sz w:val="24"/>
        </w:rPr>
        <w:t>第九条</w:t>
      </w:r>
      <w:r>
        <w:rPr>
          <w:rFonts w:eastAsia="方正仿宋_GBK"/>
          <w:color w:val="000000"/>
          <w:spacing w:val="-2"/>
          <w:sz w:val="24"/>
        </w:rPr>
        <w:t xml:space="preserve">  </w:t>
      </w:r>
      <w:r>
        <w:rPr>
          <w:rFonts w:hint="eastAsia" w:eastAsia="方正仿宋_GBK"/>
          <w:color w:val="000000"/>
          <w:spacing w:val="-2"/>
          <w:sz w:val="24"/>
        </w:rPr>
        <w:t>建筑工程竣工验收合格后，建设单位应当在建筑物明显部位设置永久性标牌，载明建设、勘察、设计、施工、监理单位名称和项目负责人姓名。</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kern w:val="0"/>
          <w:sz w:val="24"/>
        </w:rPr>
        <w:t>第十条</w:t>
      </w:r>
      <w:r>
        <w:rPr>
          <w:rFonts w:eastAsia="方正仿宋_GBK"/>
          <w:color w:val="000000"/>
          <w:spacing w:val="-2"/>
          <w:sz w:val="24"/>
        </w:rPr>
        <w:t xml:space="preserve">  </w:t>
      </w:r>
      <w:r>
        <w:rPr>
          <w:rFonts w:hint="eastAsia" w:eastAsia="方正仿宋_GBK"/>
          <w:color w:val="000000"/>
          <w:spacing w:val="-2"/>
          <w:sz w:val="24"/>
        </w:rPr>
        <w:t>建设单位应当建立建筑工程各方主体项目负责人质量终身责任信息档案，工程竣工验收合格后移交城建档案管理部门。项目负责人质量终身责任信息档案包括下列内容：</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（一）建设、勘察、设计、施工、监理单位项目负责人姓名，身份证号码，执业资格，所在单位，变更情况等；</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（二）建设、勘察、设计、施工、监理单位项目负责人签署的工程质量终身责任承诺书；</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（三）法定代表人授权书。</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kern w:val="0"/>
          <w:sz w:val="24"/>
        </w:rPr>
        <w:t>第十一条</w:t>
      </w:r>
      <w:r>
        <w:rPr>
          <w:rFonts w:eastAsia="方正仿宋_GBK"/>
          <w:color w:val="000000"/>
          <w:spacing w:val="-2"/>
          <w:sz w:val="24"/>
        </w:rPr>
        <w:t xml:space="preserve">  </w:t>
      </w:r>
      <w:r>
        <w:rPr>
          <w:rFonts w:hint="eastAsia" w:eastAsia="方正仿宋_GBK"/>
          <w:color w:val="000000"/>
          <w:spacing w:val="-2"/>
          <w:sz w:val="24"/>
        </w:rPr>
        <w:t>发生本办法第六条所列情形之一的，对建设单位项目负责人按以下方式进行责任追究：</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（一）项目负责人为国家公职人员的，将其违法违规行为告知其上级主管部门及纪检监察部门，并建议对项目负责人给予相应的行政、纪律处分；</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（二）构成犯罪的，移送司法机关依法追究刑事责任；（三）处单位罚款数额</w:t>
      </w:r>
      <w:r>
        <w:rPr>
          <w:rFonts w:eastAsia="方正仿宋_GBK"/>
          <w:color w:val="000000"/>
          <w:spacing w:val="-2"/>
          <w:sz w:val="24"/>
        </w:rPr>
        <w:t>5%</w:t>
      </w:r>
      <w:r>
        <w:rPr>
          <w:rFonts w:hint="eastAsia" w:eastAsia="方正仿宋_GBK"/>
          <w:color w:val="000000"/>
          <w:spacing w:val="-2"/>
          <w:sz w:val="24"/>
        </w:rPr>
        <w:t>以上</w:t>
      </w:r>
      <w:r>
        <w:rPr>
          <w:rFonts w:eastAsia="方正仿宋_GBK"/>
          <w:color w:val="000000"/>
          <w:spacing w:val="-2"/>
          <w:sz w:val="24"/>
        </w:rPr>
        <w:t>10%</w:t>
      </w:r>
      <w:r>
        <w:rPr>
          <w:rFonts w:hint="eastAsia" w:eastAsia="方正仿宋_GBK"/>
          <w:color w:val="000000"/>
          <w:spacing w:val="-2"/>
          <w:sz w:val="24"/>
        </w:rPr>
        <w:t>以下的罚款；</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（四）向社会公布曝光。</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kern w:val="0"/>
          <w:sz w:val="24"/>
        </w:rPr>
        <w:t>第十二条</w:t>
      </w:r>
      <w:r>
        <w:rPr>
          <w:rFonts w:eastAsia="方正仿宋_GBK"/>
          <w:color w:val="000000"/>
          <w:spacing w:val="-2"/>
          <w:sz w:val="24"/>
        </w:rPr>
        <w:t xml:space="preserve">  </w:t>
      </w:r>
      <w:r>
        <w:rPr>
          <w:rFonts w:hint="eastAsia" w:eastAsia="方正仿宋_GBK"/>
          <w:color w:val="000000"/>
          <w:spacing w:val="-2"/>
          <w:sz w:val="24"/>
        </w:rPr>
        <w:t>发生本办法第六条所列情形之一的，对勘察单位项目负责人、设计单位项目负责人按以下方式进行责任追究：（一）项目负责人为注册建筑师、勘察设计注册工程师的，</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责令停止执业</w:t>
      </w:r>
      <w:r>
        <w:rPr>
          <w:rFonts w:eastAsia="方正仿宋_GBK"/>
          <w:color w:val="000000"/>
          <w:spacing w:val="-2"/>
          <w:sz w:val="24"/>
        </w:rPr>
        <w:t>1</w:t>
      </w:r>
      <w:r>
        <w:rPr>
          <w:rFonts w:hint="eastAsia" w:eastAsia="方正仿宋_GBK"/>
          <w:color w:val="000000"/>
          <w:spacing w:val="-2"/>
          <w:sz w:val="24"/>
        </w:rPr>
        <w:t>年；造成重大质量事故的，吊销执业资格证书，</w:t>
      </w:r>
      <w:r>
        <w:rPr>
          <w:rFonts w:eastAsia="方正仿宋_GBK"/>
          <w:color w:val="000000"/>
          <w:spacing w:val="-2"/>
          <w:sz w:val="24"/>
        </w:rPr>
        <w:t>5</w:t>
      </w:r>
      <w:r>
        <w:rPr>
          <w:rFonts w:hint="eastAsia" w:eastAsia="方正仿宋_GBK"/>
          <w:color w:val="000000"/>
          <w:spacing w:val="-2"/>
          <w:sz w:val="24"/>
        </w:rPr>
        <w:t>年以内不予注册；情节特别恶劣的，终身不予注册；</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（二）构成犯罪的，移送司法机关依法追究刑事责任；</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（三）处单位罚款数额</w:t>
      </w:r>
      <w:r>
        <w:rPr>
          <w:rFonts w:eastAsia="方正仿宋_GBK"/>
          <w:color w:val="000000"/>
          <w:spacing w:val="-2"/>
          <w:sz w:val="24"/>
        </w:rPr>
        <w:t>5%</w:t>
      </w:r>
      <w:r>
        <w:rPr>
          <w:rFonts w:hint="eastAsia" w:eastAsia="方正仿宋_GBK"/>
          <w:color w:val="000000"/>
          <w:spacing w:val="-2"/>
          <w:sz w:val="24"/>
        </w:rPr>
        <w:t>以上</w:t>
      </w:r>
      <w:r>
        <w:rPr>
          <w:rFonts w:eastAsia="方正仿宋_GBK"/>
          <w:color w:val="000000"/>
          <w:spacing w:val="-2"/>
          <w:sz w:val="24"/>
        </w:rPr>
        <w:t>10%</w:t>
      </w:r>
      <w:r>
        <w:rPr>
          <w:rFonts w:hint="eastAsia" w:eastAsia="方正仿宋_GBK"/>
          <w:color w:val="000000"/>
          <w:spacing w:val="-2"/>
          <w:sz w:val="24"/>
        </w:rPr>
        <w:t>以下的罚款；</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（四）向社会公布曝光。</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kern w:val="0"/>
          <w:sz w:val="24"/>
        </w:rPr>
        <w:t>第十三条</w:t>
      </w:r>
      <w:r>
        <w:rPr>
          <w:rFonts w:eastAsia="方正仿宋_GBK"/>
          <w:color w:val="000000"/>
          <w:spacing w:val="-2"/>
          <w:sz w:val="24"/>
        </w:rPr>
        <w:t xml:space="preserve">  </w:t>
      </w:r>
      <w:r>
        <w:rPr>
          <w:rFonts w:hint="eastAsia" w:eastAsia="方正仿宋_GBK"/>
          <w:color w:val="000000"/>
          <w:spacing w:val="-2"/>
          <w:sz w:val="24"/>
        </w:rPr>
        <w:t>发生本办法第六条所列情形之一的，对施工单位项目经理按以下方式进行责任追究：</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（一）项目经理为相关注册执业人员的，责令停止执业</w:t>
      </w:r>
      <w:r>
        <w:rPr>
          <w:rFonts w:eastAsia="方正仿宋_GBK"/>
          <w:color w:val="000000"/>
          <w:spacing w:val="-2"/>
          <w:sz w:val="24"/>
        </w:rPr>
        <w:t>1</w:t>
      </w:r>
      <w:r>
        <w:rPr>
          <w:rFonts w:hint="eastAsia" w:eastAsia="方正仿宋_GBK"/>
          <w:color w:val="000000"/>
          <w:spacing w:val="-2"/>
          <w:sz w:val="24"/>
        </w:rPr>
        <w:t>年；造成重大质量事故的，吊销执业资格证书，</w:t>
      </w:r>
      <w:r>
        <w:rPr>
          <w:rFonts w:eastAsia="方正仿宋_GBK"/>
          <w:color w:val="000000"/>
          <w:spacing w:val="-2"/>
          <w:sz w:val="24"/>
        </w:rPr>
        <w:t>5</w:t>
      </w:r>
      <w:r>
        <w:rPr>
          <w:rFonts w:hint="eastAsia" w:eastAsia="方正仿宋_GBK"/>
          <w:color w:val="000000"/>
          <w:spacing w:val="-2"/>
          <w:sz w:val="24"/>
        </w:rPr>
        <w:t>年以内不予注册；情节特别恶劣的，终身不予注册；</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（二）构成犯罪的，移送司法机关依法追究刑事责任；</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（三）处单位罚款数额</w:t>
      </w:r>
      <w:r>
        <w:rPr>
          <w:rFonts w:eastAsia="方正仿宋_GBK"/>
          <w:color w:val="000000"/>
          <w:spacing w:val="-2"/>
          <w:sz w:val="24"/>
        </w:rPr>
        <w:t>5%</w:t>
      </w:r>
      <w:r>
        <w:rPr>
          <w:rFonts w:hint="eastAsia" w:eastAsia="方正仿宋_GBK"/>
          <w:color w:val="000000"/>
          <w:spacing w:val="-2"/>
          <w:sz w:val="24"/>
        </w:rPr>
        <w:t>以上</w:t>
      </w:r>
      <w:r>
        <w:rPr>
          <w:rFonts w:eastAsia="方正仿宋_GBK"/>
          <w:color w:val="000000"/>
          <w:spacing w:val="-2"/>
          <w:sz w:val="24"/>
        </w:rPr>
        <w:t>10%</w:t>
      </w:r>
      <w:r>
        <w:rPr>
          <w:rFonts w:hint="eastAsia" w:eastAsia="方正仿宋_GBK"/>
          <w:color w:val="000000"/>
          <w:spacing w:val="-2"/>
          <w:sz w:val="24"/>
        </w:rPr>
        <w:t>以下的罚款；</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（四）向社会公布曝光。</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kern w:val="0"/>
          <w:sz w:val="24"/>
        </w:rPr>
        <w:t>第十四条</w:t>
      </w:r>
      <w:r>
        <w:rPr>
          <w:rFonts w:eastAsia="方正仿宋_GBK"/>
          <w:color w:val="000000"/>
          <w:spacing w:val="-2"/>
          <w:sz w:val="24"/>
        </w:rPr>
        <w:t xml:space="preserve">  </w:t>
      </w:r>
      <w:r>
        <w:rPr>
          <w:rFonts w:hint="eastAsia" w:eastAsia="方正仿宋_GBK"/>
          <w:color w:val="000000"/>
          <w:spacing w:val="-2"/>
          <w:sz w:val="24"/>
        </w:rPr>
        <w:t>发生本办法第六条所列情形之一的，对监理单位总监理工程师按以下方式进行责任追究：</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（一）责令停止注册监理工程师执业</w:t>
      </w:r>
      <w:r>
        <w:rPr>
          <w:rFonts w:eastAsia="方正仿宋_GBK"/>
          <w:color w:val="000000"/>
          <w:spacing w:val="-2"/>
          <w:sz w:val="24"/>
        </w:rPr>
        <w:t>1</w:t>
      </w:r>
      <w:r>
        <w:rPr>
          <w:rFonts w:hint="eastAsia" w:eastAsia="方正仿宋_GBK"/>
          <w:color w:val="000000"/>
          <w:spacing w:val="-2"/>
          <w:sz w:val="24"/>
        </w:rPr>
        <w:t>年；造成重大质量事故的，吊销执业资格证书，</w:t>
      </w:r>
      <w:r>
        <w:rPr>
          <w:rFonts w:eastAsia="方正仿宋_GBK"/>
          <w:color w:val="000000"/>
          <w:spacing w:val="-2"/>
          <w:sz w:val="24"/>
        </w:rPr>
        <w:t>5</w:t>
      </w:r>
      <w:r>
        <w:rPr>
          <w:rFonts w:hint="eastAsia" w:eastAsia="方正仿宋_GBK"/>
          <w:color w:val="000000"/>
          <w:spacing w:val="-2"/>
          <w:sz w:val="24"/>
        </w:rPr>
        <w:t>年以内不予注册；情节特别恶劣的，终身不予注册；</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（二）构成犯罪的，移送司法机关依法追究刑事责任；</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（三）处单位罚款数额</w:t>
      </w:r>
      <w:r>
        <w:rPr>
          <w:rFonts w:eastAsia="方正仿宋_GBK"/>
          <w:color w:val="000000"/>
          <w:spacing w:val="-2"/>
          <w:sz w:val="24"/>
        </w:rPr>
        <w:t>5%</w:t>
      </w:r>
      <w:r>
        <w:rPr>
          <w:rFonts w:hint="eastAsia" w:eastAsia="方正仿宋_GBK"/>
          <w:color w:val="000000"/>
          <w:spacing w:val="-2"/>
          <w:sz w:val="24"/>
        </w:rPr>
        <w:t>以上</w:t>
      </w:r>
      <w:r>
        <w:rPr>
          <w:rFonts w:eastAsia="方正仿宋_GBK"/>
          <w:color w:val="000000"/>
          <w:spacing w:val="-2"/>
          <w:sz w:val="24"/>
        </w:rPr>
        <w:t>10%</w:t>
      </w:r>
      <w:r>
        <w:rPr>
          <w:rFonts w:hint="eastAsia" w:eastAsia="方正仿宋_GBK"/>
          <w:color w:val="000000"/>
          <w:spacing w:val="-2"/>
          <w:sz w:val="24"/>
        </w:rPr>
        <w:t>以下的罚款；</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（四）向社会公布曝光。</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kern w:val="0"/>
          <w:sz w:val="24"/>
        </w:rPr>
        <w:t>第十五条</w:t>
      </w:r>
      <w:r>
        <w:rPr>
          <w:rFonts w:eastAsia="方正仿宋_GBK"/>
          <w:color w:val="000000"/>
          <w:spacing w:val="-2"/>
          <w:sz w:val="24"/>
        </w:rPr>
        <w:t xml:space="preserve">  </w:t>
      </w:r>
      <w:r>
        <w:rPr>
          <w:rFonts w:hint="eastAsia" w:eastAsia="方正仿宋_GBK"/>
          <w:color w:val="000000"/>
          <w:spacing w:val="-2"/>
          <w:sz w:val="24"/>
        </w:rPr>
        <w:t>住房城乡建设主管部门应当及时公布项目负责人质量责任追究情况，将其违法违规等不良行为及处罚结果记入个人信用档案，给予信用惩戒。</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鼓励住房城乡建设主管部门向社会公开项目负责人终身质量责任承诺等质量责任信息。</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kern w:val="0"/>
          <w:sz w:val="24"/>
        </w:rPr>
        <w:t>第十六条</w:t>
      </w:r>
      <w:r>
        <w:rPr>
          <w:rFonts w:eastAsia="方正仿宋_GBK"/>
          <w:color w:val="000000"/>
          <w:spacing w:val="-2"/>
          <w:sz w:val="24"/>
        </w:rPr>
        <w:t xml:space="preserve">  </w:t>
      </w:r>
      <w:r>
        <w:rPr>
          <w:rFonts w:hint="eastAsia" w:eastAsia="方正仿宋_GBK"/>
          <w:color w:val="000000"/>
          <w:spacing w:val="-2"/>
          <w:sz w:val="24"/>
        </w:rPr>
        <w:t>项目负责人因调动工作等原因离开原单位后，被发现在原单位工作期间违反国家法律法规、工程建设标准及有关规定，造成所负责项目发生工程质量事故或严重质量问题的，仍应按本办法第十一条、第十二条、第十三条、第十四条规定依法追究相应责任。</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项目负责人已退休的，被发现在工作期间违反国家法律法规、工程建设标准及有关规定，造成所负责项目发生工程质量事故或严重质量问题的，仍应按本办法第十一条、第十二条、第十三条、第十四条规定依法追究相应责任，且不得返聘从事相关技术工作。项目负责人为国家公职人员的，根据其承担责任依法应当给予降级、撤职、开除处分的，按照规定相应降低或取消其享受的待遇。</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kern w:val="0"/>
          <w:sz w:val="24"/>
        </w:rPr>
        <w:t>第十七条</w:t>
      </w:r>
      <w:r>
        <w:rPr>
          <w:rFonts w:eastAsia="方正仿宋_GBK"/>
          <w:color w:val="000000"/>
          <w:spacing w:val="-2"/>
          <w:sz w:val="24"/>
        </w:rPr>
        <w:t xml:space="preserve">  </w:t>
      </w:r>
      <w:r>
        <w:rPr>
          <w:rFonts w:hint="eastAsia" w:eastAsia="方正仿宋_GBK"/>
          <w:color w:val="000000"/>
          <w:spacing w:val="-2"/>
          <w:sz w:val="24"/>
        </w:rPr>
        <w:t>工程质量事故或严重质量问题相关责任单位已被撤销、注销、吊销营业执照或者宣告破产的，仍应按本办法第十一条、第十二条、第十三条、第十四条规定依法追究项目负责人的责任。</w:t>
      </w:r>
    </w:p>
    <w:p>
      <w:pPr>
        <w:spacing w:line="460" w:lineRule="exact"/>
        <w:ind w:firstLine="472" w:firstLineChars="200"/>
        <w:rPr>
          <w:rFonts w:eastAsia="方正仿宋_GBK"/>
          <w:color w:val="000000"/>
          <w:spacing w:val="-6"/>
          <w:sz w:val="24"/>
        </w:rPr>
      </w:pPr>
      <w:r>
        <w:rPr>
          <w:rFonts w:hint="eastAsia" w:ascii="Times New Roman" w:eastAsia="方正黑体_GBK"/>
          <w:color w:val="000000"/>
          <w:spacing w:val="-2"/>
          <w:kern w:val="0"/>
          <w:sz w:val="24"/>
        </w:rPr>
        <w:t>第十八条</w:t>
      </w:r>
      <w:r>
        <w:rPr>
          <w:rFonts w:eastAsia="方正仿宋_GBK"/>
          <w:color w:val="000000"/>
          <w:spacing w:val="-2"/>
          <w:sz w:val="24"/>
        </w:rPr>
        <w:t xml:space="preserve">  </w:t>
      </w:r>
      <w:r>
        <w:rPr>
          <w:rFonts w:hint="eastAsia" w:eastAsia="方正仿宋_GBK"/>
          <w:color w:val="000000"/>
          <w:spacing w:val="-6"/>
          <w:sz w:val="24"/>
        </w:rPr>
        <w:t>违反法律法规规定，造成工程质量事故或严重质量问题的，除依照本办法规定追究项目负责人终身责任外，还应依法追究相关责任单位和责任人员的责任。</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kern w:val="0"/>
          <w:sz w:val="24"/>
        </w:rPr>
        <w:t>第十九条</w:t>
      </w:r>
      <w:r>
        <w:rPr>
          <w:rFonts w:eastAsia="方正仿宋_GBK"/>
          <w:color w:val="000000"/>
          <w:spacing w:val="-2"/>
          <w:sz w:val="24"/>
        </w:rPr>
        <w:t xml:space="preserve">  </w:t>
      </w:r>
      <w:r>
        <w:rPr>
          <w:rFonts w:hint="eastAsia" w:eastAsia="方正仿宋_GBK"/>
          <w:color w:val="000000"/>
          <w:spacing w:val="-2"/>
          <w:sz w:val="24"/>
        </w:rPr>
        <w:t>省、自治区、直辖市住房城乡建设主管部门可以根据本办法，制定实施细则。</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kern w:val="0"/>
          <w:sz w:val="24"/>
        </w:rPr>
        <w:t>第二十条</w:t>
      </w:r>
      <w:r>
        <w:rPr>
          <w:rFonts w:eastAsia="方正仿宋_GBK"/>
          <w:color w:val="000000"/>
          <w:spacing w:val="-2"/>
          <w:sz w:val="24"/>
        </w:rPr>
        <w:t xml:space="preserve">  </w:t>
      </w:r>
      <w:r>
        <w:rPr>
          <w:rFonts w:hint="eastAsia" w:eastAsia="方正仿宋_GBK"/>
          <w:color w:val="000000"/>
          <w:spacing w:val="-2"/>
          <w:sz w:val="24"/>
        </w:rPr>
        <w:t>本办法自印发之日起施行。</w:t>
      </w:r>
    </w:p>
    <w:p>
      <w:pPr>
        <w:spacing w:line="460" w:lineRule="exact"/>
        <w:ind w:firstLine="472" w:firstLineChars="200"/>
        <w:rPr>
          <w:rFonts w:eastAsia="方正仿宋_GBK"/>
          <w:color w:val="000000"/>
          <w:spacing w:val="-2"/>
          <w:sz w:val="24"/>
        </w:rPr>
      </w:pPr>
    </w:p>
    <w:p>
      <w:pPr>
        <w:spacing w:line="460" w:lineRule="exact"/>
        <w:ind w:firstLine="472" w:firstLineChars="200"/>
        <w:jc w:val="right"/>
        <w:rPr>
          <w:rFonts w:eastAsia="方正仿宋_GBK"/>
          <w:color w:val="000000"/>
          <w:spacing w:val="-2"/>
          <w:sz w:val="24"/>
        </w:rPr>
      </w:pPr>
      <w:r>
        <w:rPr>
          <w:rFonts w:hint="eastAsia" w:eastAsia="方正仿宋_GBK"/>
          <w:color w:val="000000"/>
          <w:spacing w:val="-2"/>
          <w:sz w:val="24"/>
        </w:rPr>
        <w:t>住房城乡建设部办公厅秘书处</w:t>
      </w:r>
      <w:r>
        <w:rPr>
          <w:rFonts w:eastAsia="方正仿宋_GBK"/>
          <w:color w:val="000000"/>
          <w:spacing w:val="-2"/>
          <w:sz w:val="24"/>
        </w:rPr>
        <w:t xml:space="preserve">    </w:t>
      </w:r>
    </w:p>
    <w:p>
      <w:pPr>
        <w:spacing w:line="460" w:lineRule="exact"/>
        <w:ind w:firstLine="3894" w:firstLineChars="1650"/>
        <w:jc w:val="right"/>
        <w:rPr>
          <w:rFonts w:eastAsia="方正仿宋_GBK"/>
          <w:color w:val="000000"/>
          <w:spacing w:val="-2"/>
          <w:sz w:val="24"/>
        </w:rPr>
      </w:pPr>
      <w:r>
        <w:rPr>
          <w:rFonts w:eastAsia="方正仿宋_GBK"/>
          <w:color w:val="000000"/>
          <w:spacing w:val="-2"/>
          <w:sz w:val="24"/>
        </w:rPr>
        <w:t>2014</w:t>
      </w:r>
      <w:r>
        <w:rPr>
          <w:rFonts w:hint="eastAsia" w:eastAsia="方正仿宋_GBK"/>
          <w:color w:val="000000"/>
          <w:spacing w:val="-2"/>
          <w:sz w:val="24"/>
        </w:rPr>
        <w:t>年</w:t>
      </w:r>
      <w:r>
        <w:rPr>
          <w:rFonts w:eastAsia="方正仿宋_GBK"/>
          <w:color w:val="000000"/>
          <w:spacing w:val="-2"/>
          <w:sz w:val="24"/>
        </w:rPr>
        <w:t>8</w:t>
      </w:r>
      <w:r>
        <w:rPr>
          <w:rFonts w:hint="eastAsia" w:eastAsia="方正仿宋_GBK"/>
          <w:color w:val="000000"/>
          <w:spacing w:val="-2"/>
          <w:sz w:val="24"/>
        </w:rPr>
        <w:t>月</w:t>
      </w:r>
      <w:r>
        <w:rPr>
          <w:rFonts w:eastAsia="方正仿宋_GBK"/>
          <w:color w:val="000000"/>
          <w:spacing w:val="-2"/>
          <w:sz w:val="24"/>
        </w:rPr>
        <w:t>26</w:t>
      </w:r>
      <w:r>
        <w:rPr>
          <w:rFonts w:hint="eastAsia" w:eastAsia="方正仿宋_GBK"/>
          <w:color w:val="000000"/>
          <w:spacing w:val="-2"/>
          <w:sz w:val="24"/>
        </w:rPr>
        <w:t>日</w:t>
      </w:r>
      <w:r>
        <w:rPr>
          <w:rFonts w:eastAsia="方正仿宋_GBK"/>
          <w:color w:val="000000"/>
          <w:spacing w:val="-2"/>
          <w:sz w:val="24"/>
        </w:rPr>
        <w:t xml:space="preserve">         </w:t>
      </w:r>
    </w:p>
    <w:p>
      <w:pPr>
        <w:spacing w:line="460" w:lineRule="exact"/>
        <w:rPr>
          <w:rFonts w:eastAsia="方正仿宋_GBK"/>
          <w:color w:val="000000"/>
          <w:spacing w:val="-2"/>
          <w:sz w:val="24"/>
        </w:rPr>
      </w:pPr>
      <w:r>
        <w:rPr>
          <w:rFonts w:eastAsia="方正仿宋_GBK"/>
          <w:color w:val="000000"/>
          <w:spacing w:val="-2"/>
          <w:sz w:val="24"/>
        </w:rPr>
        <w:t xml:space="preserve"> </w:t>
      </w:r>
    </w:p>
    <w:p>
      <w:pPr>
        <w:widowControl/>
        <w:jc w:val="left"/>
        <w:rPr>
          <w:rFonts w:eastAsia="仿宋_GB2312"/>
          <w:color w:val="000000"/>
          <w:spacing w:val="-2"/>
          <w:sz w:val="32"/>
          <w:szCs w:val="32"/>
        </w:rPr>
        <w:sectPr>
          <w:pgSz w:w="11906" w:h="16838"/>
          <w:pgMar w:top="1701" w:right="1588" w:bottom="1701" w:left="1588" w:header="851" w:footer="1361" w:gutter="0"/>
          <w:cols w:space="720" w:num="1"/>
        </w:sectPr>
      </w:pPr>
    </w:p>
    <w:p>
      <w:pPr>
        <w:spacing w:line="460" w:lineRule="exact"/>
        <w:rPr>
          <w:rFonts w:ascii="Times New Roman" w:eastAsia="方正黑体_GBK"/>
          <w:color w:val="000000"/>
          <w:spacing w:val="-2"/>
          <w:sz w:val="28"/>
          <w:szCs w:val="28"/>
        </w:rPr>
      </w:pPr>
      <w:r>
        <w:rPr>
          <w:rFonts w:hint="eastAsia" w:ascii="Times New Roman" w:eastAsia="方正黑体_GBK"/>
          <w:color w:val="000000"/>
          <w:spacing w:val="-2"/>
          <w:sz w:val="28"/>
          <w:szCs w:val="28"/>
        </w:rPr>
        <w:t>附件2：</w:t>
      </w:r>
    </w:p>
    <w:p>
      <w:pPr>
        <w:rPr>
          <w:rFonts w:hint="eastAsia"/>
          <w:color w:val="000000"/>
          <w:spacing w:val="-2"/>
        </w:rPr>
      </w:pPr>
    </w:p>
    <w:p>
      <w:pPr>
        <w:rPr>
          <w:color w:val="000000"/>
          <w:spacing w:val="-2"/>
        </w:rPr>
      </w:pPr>
    </w:p>
    <w:p>
      <w:pPr>
        <w:rPr>
          <w:color w:val="000000"/>
          <w:spacing w:val="-2"/>
        </w:rPr>
      </w:pPr>
    </w:p>
    <w:p>
      <w:pPr>
        <w:ind w:firstLine="2142" w:firstLineChars="450"/>
        <w:rPr>
          <w:rFonts w:ascii="Times New Roman" w:eastAsia="方正小标宋简体"/>
          <w:color w:val="000000"/>
          <w:spacing w:val="-2"/>
          <w:sz w:val="48"/>
          <w:szCs w:val="48"/>
        </w:rPr>
      </w:pPr>
      <w:r>
        <w:rPr>
          <w:rFonts w:hint="eastAsia" w:ascii="Times New Roman" w:eastAsia="方正小标宋简体"/>
          <w:color w:val="000000"/>
          <w:spacing w:val="-2"/>
          <w:sz w:val="48"/>
          <w:szCs w:val="48"/>
          <w:u w:val="single"/>
        </w:rPr>
        <w:t xml:space="preserve">                    </w:t>
      </w:r>
      <w:r>
        <w:rPr>
          <w:rFonts w:hint="eastAsia" w:ascii="Times New Roman" w:eastAsia="方正小标宋简体"/>
          <w:color w:val="000000"/>
          <w:spacing w:val="-2"/>
          <w:sz w:val="48"/>
          <w:szCs w:val="48"/>
        </w:rPr>
        <w:t>工程</w:t>
      </w:r>
    </w:p>
    <w:p>
      <w:pPr>
        <w:rPr>
          <w:rFonts w:hint="eastAsia"/>
          <w:color w:val="000000"/>
          <w:spacing w:val="-2"/>
        </w:rPr>
      </w:pPr>
    </w:p>
    <w:p>
      <w:pPr>
        <w:rPr>
          <w:color w:val="000000"/>
          <w:spacing w:val="-2"/>
        </w:rPr>
      </w:pPr>
    </w:p>
    <w:p>
      <w:pPr>
        <w:rPr>
          <w:color w:val="000000"/>
          <w:spacing w:val="-2"/>
        </w:rPr>
      </w:pPr>
    </w:p>
    <w:p>
      <w:pPr>
        <w:rPr>
          <w:color w:val="000000"/>
          <w:spacing w:val="-2"/>
        </w:rPr>
      </w:pPr>
    </w:p>
    <w:p>
      <w:pPr>
        <w:rPr>
          <w:color w:val="000000"/>
          <w:spacing w:val="-2"/>
        </w:rPr>
      </w:pPr>
    </w:p>
    <w:p>
      <w:pPr>
        <w:rPr>
          <w:color w:val="000000"/>
          <w:spacing w:val="-2"/>
        </w:rPr>
      </w:pPr>
    </w:p>
    <w:p>
      <w:pPr>
        <w:rPr>
          <w:color w:val="000000"/>
          <w:spacing w:val="-2"/>
        </w:rPr>
      </w:pPr>
    </w:p>
    <w:p>
      <w:pPr>
        <w:jc w:val="center"/>
        <w:rPr>
          <w:rFonts w:ascii="Times New Roman" w:eastAsia="方正小标宋简体"/>
          <w:color w:val="000000"/>
          <w:spacing w:val="-2"/>
          <w:sz w:val="52"/>
          <w:szCs w:val="52"/>
        </w:rPr>
      </w:pPr>
      <w:r>
        <w:rPr>
          <w:rFonts w:hint="eastAsia" w:ascii="Times New Roman" w:hAnsi="Times New Roman" w:eastAsia="方正小标宋简体"/>
          <w:color w:val="000000"/>
          <w:spacing w:val="-2"/>
          <w:sz w:val="52"/>
          <w:szCs w:val="52"/>
        </w:rPr>
        <w:t>建筑工程五方责任主体项目负责人</w:t>
      </w:r>
    </w:p>
    <w:p>
      <w:pPr>
        <w:jc w:val="center"/>
        <w:rPr>
          <w:rFonts w:hint="eastAsia" w:ascii="Times New Roman" w:eastAsia="方正小标宋简体"/>
          <w:bCs/>
          <w:color w:val="000000"/>
          <w:spacing w:val="-2"/>
          <w:sz w:val="52"/>
          <w:szCs w:val="52"/>
        </w:rPr>
      </w:pPr>
      <w:r>
        <w:rPr>
          <w:rFonts w:hint="eastAsia" w:ascii="Times New Roman" w:eastAsia="方正小标宋简体"/>
          <w:bCs/>
          <w:color w:val="000000"/>
          <w:spacing w:val="-2"/>
          <w:sz w:val="52"/>
          <w:szCs w:val="52"/>
        </w:rPr>
        <w:t>质量终身责任信息档案</w:t>
      </w:r>
    </w:p>
    <w:p>
      <w:pPr>
        <w:jc w:val="center"/>
        <w:rPr>
          <w:rFonts w:hint="eastAsia"/>
          <w:b/>
          <w:bCs/>
          <w:color w:val="000000"/>
          <w:spacing w:val="-2"/>
          <w:sz w:val="72"/>
          <w:szCs w:val="72"/>
        </w:rPr>
      </w:pPr>
    </w:p>
    <w:p>
      <w:pPr>
        <w:jc w:val="center"/>
        <w:rPr>
          <w:b/>
          <w:bCs/>
          <w:color w:val="000000"/>
          <w:spacing w:val="-2"/>
          <w:sz w:val="72"/>
          <w:szCs w:val="72"/>
        </w:rPr>
      </w:pPr>
    </w:p>
    <w:p>
      <w:pPr>
        <w:jc w:val="center"/>
        <w:rPr>
          <w:b/>
          <w:bCs/>
          <w:color w:val="000000"/>
          <w:spacing w:val="-2"/>
          <w:sz w:val="72"/>
          <w:szCs w:val="72"/>
        </w:rPr>
      </w:pPr>
    </w:p>
    <w:p>
      <w:pPr>
        <w:jc w:val="center"/>
        <w:rPr>
          <w:b/>
          <w:bCs/>
          <w:color w:val="000000"/>
          <w:spacing w:val="-2"/>
          <w:sz w:val="72"/>
          <w:szCs w:val="72"/>
        </w:rPr>
      </w:pPr>
    </w:p>
    <w:p>
      <w:pPr>
        <w:jc w:val="center"/>
        <w:rPr>
          <w:b/>
          <w:bCs/>
          <w:color w:val="000000"/>
          <w:spacing w:val="-2"/>
          <w:sz w:val="72"/>
          <w:szCs w:val="72"/>
        </w:rPr>
      </w:pPr>
    </w:p>
    <w:p>
      <w:pPr>
        <w:jc w:val="center"/>
        <w:rPr>
          <w:b/>
          <w:bCs/>
          <w:color w:val="000000"/>
          <w:spacing w:val="-2"/>
          <w:sz w:val="72"/>
          <w:szCs w:val="72"/>
        </w:rPr>
      </w:pPr>
    </w:p>
    <w:p>
      <w:pPr>
        <w:jc w:val="center"/>
        <w:rPr>
          <w:b/>
          <w:bCs/>
          <w:color w:val="000000"/>
          <w:spacing w:val="-2"/>
          <w:sz w:val="72"/>
          <w:szCs w:val="72"/>
        </w:rPr>
      </w:pPr>
    </w:p>
    <w:p>
      <w:pPr>
        <w:jc w:val="center"/>
        <w:rPr>
          <w:b/>
          <w:bCs/>
          <w:color w:val="000000"/>
          <w:spacing w:val="-2"/>
          <w:sz w:val="72"/>
          <w:szCs w:val="72"/>
        </w:rPr>
      </w:pPr>
    </w:p>
    <w:p>
      <w:pPr>
        <w:jc w:val="center"/>
        <w:rPr>
          <w:rFonts w:eastAsia="方正楷体_GBK"/>
          <w:bCs/>
          <w:color w:val="000000"/>
          <w:spacing w:val="-2"/>
          <w:sz w:val="36"/>
          <w:szCs w:val="36"/>
        </w:rPr>
      </w:pPr>
      <w:r>
        <w:rPr>
          <w:rFonts w:hint="eastAsia" w:eastAsia="方正楷体_GBK"/>
          <w:bCs/>
          <w:color w:val="000000"/>
          <w:spacing w:val="-2"/>
          <w:sz w:val="36"/>
          <w:szCs w:val="36"/>
        </w:rPr>
        <w:t>建档日期：</w:t>
      </w:r>
      <w:r>
        <w:rPr>
          <w:rFonts w:eastAsia="方正楷体_GBK"/>
          <w:bCs/>
          <w:color w:val="000000"/>
          <w:spacing w:val="-2"/>
          <w:sz w:val="36"/>
          <w:szCs w:val="36"/>
          <w:u w:val="single"/>
        </w:rPr>
        <w:t xml:space="preserve">    </w:t>
      </w:r>
      <w:r>
        <w:rPr>
          <w:rFonts w:hint="eastAsia" w:eastAsia="方正楷体_GBK"/>
          <w:bCs/>
          <w:color w:val="000000"/>
          <w:spacing w:val="-2"/>
          <w:sz w:val="36"/>
          <w:szCs w:val="36"/>
        </w:rPr>
        <w:t>年</w:t>
      </w:r>
      <w:r>
        <w:rPr>
          <w:rFonts w:eastAsia="方正楷体_GBK"/>
          <w:bCs/>
          <w:color w:val="000000"/>
          <w:spacing w:val="-2"/>
          <w:sz w:val="36"/>
          <w:szCs w:val="36"/>
          <w:u w:val="single"/>
        </w:rPr>
        <w:t xml:space="preserve">    </w:t>
      </w:r>
      <w:r>
        <w:rPr>
          <w:rFonts w:hint="eastAsia" w:eastAsia="方正楷体_GBK"/>
          <w:bCs/>
          <w:color w:val="000000"/>
          <w:spacing w:val="-2"/>
          <w:sz w:val="36"/>
          <w:szCs w:val="36"/>
        </w:rPr>
        <w:t>月</w:t>
      </w:r>
      <w:r>
        <w:rPr>
          <w:rFonts w:eastAsia="方正楷体_GBK"/>
          <w:bCs/>
          <w:color w:val="000000"/>
          <w:spacing w:val="-2"/>
          <w:sz w:val="36"/>
          <w:szCs w:val="36"/>
          <w:u w:val="single"/>
        </w:rPr>
        <w:t xml:space="preserve">    </w:t>
      </w:r>
      <w:r>
        <w:rPr>
          <w:rFonts w:hint="eastAsia" w:eastAsia="方正楷体_GBK"/>
          <w:bCs/>
          <w:color w:val="000000"/>
          <w:spacing w:val="-2"/>
          <w:sz w:val="36"/>
          <w:szCs w:val="36"/>
        </w:rPr>
        <w:t>日</w:t>
      </w:r>
    </w:p>
    <w:p>
      <w:pPr>
        <w:jc w:val="right"/>
        <w:rPr>
          <w:b/>
          <w:bCs/>
          <w:color w:val="000000"/>
          <w:spacing w:val="-2"/>
          <w:sz w:val="36"/>
          <w:szCs w:val="36"/>
        </w:rPr>
      </w:pPr>
    </w:p>
    <w:p>
      <w:pPr>
        <w:rPr>
          <w:color w:val="000000"/>
          <w:spacing w:val="-2"/>
        </w:rPr>
      </w:pPr>
    </w:p>
    <w:p>
      <w:pPr>
        <w:rPr>
          <w:rFonts w:eastAsia="方正黑体_GBK"/>
          <w:color w:val="000000"/>
          <w:spacing w:val="-2"/>
          <w:sz w:val="36"/>
          <w:szCs w:val="36"/>
        </w:rPr>
      </w:pPr>
      <w:r>
        <w:rPr>
          <w:rFonts w:eastAsia="方正黑体_GBK"/>
          <w:color w:val="000000"/>
          <w:spacing w:val="-2"/>
          <w:sz w:val="36"/>
          <w:szCs w:val="36"/>
        </w:rPr>
        <w:br w:type="column"/>
      </w:r>
      <w:r>
        <w:rPr>
          <w:rFonts w:hint="eastAsia" w:eastAsia="方正黑体_GBK"/>
          <w:color w:val="000000"/>
          <w:spacing w:val="-2"/>
          <w:sz w:val="36"/>
          <w:szCs w:val="36"/>
        </w:rPr>
        <w:t>第</w:t>
      </w:r>
      <w:r>
        <w:rPr>
          <w:rFonts w:eastAsia="方正黑体_GBK"/>
          <w:color w:val="000000"/>
          <w:spacing w:val="-2"/>
          <w:sz w:val="36"/>
          <w:szCs w:val="36"/>
        </w:rPr>
        <w:t>1</w:t>
      </w:r>
      <w:r>
        <w:rPr>
          <w:rFonts w:hint="eastAsia" w:eastAsia="方正黑体_GBK"/>
          <w:color w:val="000000"/>
          <w:spacing w:val="-2"/>
          <w:sz w:val="36"/>
          <w:szCs w:val="36"/>
        </w:rPr>
        <w:t>部分：</w:t>
      </w:r>
    </w:p>
    <w:p>
      <w:pPr>
        <w:rPr>
          <w:color w:val="000000"/>
          <w:spacing w:val="-2"/>
        </w:rPr>
      </w:pPr>
    </w:p>
    <w:p>
      <w:pPr>
        <w:rPr>
          <w:color w:val="000000"/>
          <w:spacing w:val="-2"/>
        </w:rPr>
      </w:pPr>
    </w:p>
    <w:p>
      <w:pPr>
        <w:rPr>
          <w:color w:val="000000"/>
          <w:spacing w:val="-2"/>
        </w:rPr>
      </w:pPr>
    </w:p>
    <w:p>
      <w:pPr>
        <w:rPr>
          <w:color w:val="000000"/>
          <w:spacing w:val="-2"/>
        </w:rPr>
      </w:pPr>
    </w:p>
    <w:p>
      <w:pPr>
        <w:rPr>
          <w:color w:val="000000"/>
          <w:spacing w:val="-2"/>
        </w:rPr>
      </w:pPr>
    </w:p>
    <w:p>
      <w:pPr>
        <w:rPr>
          <w:color w:val="000000"/>
          <w:spacing w:val="-2"/>
        </w:rPr>
      </w:pPr>
    </w:p>
    <w:p>
      <w:pPr>
        <w:rPr>
          <w:color w:val="000000"/>
          <w:spacing w:val="-2"/>
        </w:rPr>
      </w:pPr>
    </w:p>
    <w:p>
      <w:pPr>
        <w:rPr>
          <w:color w:val="000000"/>
          <w:spacing w:val="-2"/>
        </w:rPr>
      </w:pPr>
    </w:p>
    <w:p>
      <w:pPr>
        <w:jc w:val="center"/>
        <w:rPr>
          <w:rFonts w:ascii="Times New Roman" w:eastAsia="方正小标宋简体"/>
          <w:color w:val="000000"/>
          <w:spacing w:val="-2"/>
          <w:sz w:val="48"/>
          <w:szCs w:val="48"/>
        </w:rPr>
      </w:pPr>
      <w:r>
        <w:rPr>
          <w:rFonts w:hint="eastAsia" w:ascii="Times New Roman" w:hAnsi="Times New Roman" w:eastAsia="方正小标宋简体"/>
          <w:color w:val="000000"/>
          <w:spacing w:val="-2"/>
          <w:sz w:val="48"/>
          <w:szCs w:val="48"/>
        </w:rPr>
        <w:t>建筑工程五方责任主体项目负责人</w:t>
      </w:r>
    </w:p>
    <w:p>
      <w:pPr>
        <w:jc w:val="center"/>
        <w:rPr>
          <w:rFonts w:hint="eastAsia" w:ascii="Times New Roman" w:eastAsia="方正小标宋简体"/>
          <w:color w:val="000000"/>
          <w:spacing w:val="-2"/>
          <w:sz w:val="48"/>
          <w:szCs w:val="48"/>
        </w:rPr>
      </w:pPr>
    </w:p>
    <w:p>
      <w:pPr>
        <w:jc w:val="center"/>
        <w:rPr>
          <w:rFonts w:hint="eastAsia" w:ascii="Times New Roman" w:eastAsia="方正小标宋简体"/>
          <w:bCs/>
          <w:color w:val="000000"/>
          <w:spacing w:val="-2"/>
          <w:sz w:val="48"/>
          <w:szCs w:val="48"/>
        </w:rPr>
      </w:pPr>
      <w:r>
        <w:rPr>
          <w:rFonts w:hint="eastAsia" w:ascii="Times New Roman" w:eastAsia="方正小标宋简体"/>
          <w:bCs/>
          <w:color w:val="000000"/>
          <w:spacing w:val="-2"/>
          <w:sz w:val="48"/>
          <w:szCs w:val="48"/>
        </w:rPr>
        <w:t>质量终身责任信息登记表</w:t>
      </w:r>
    </w:p>
    <w:p>
      <w:pPr>
        <w:jc w:val="center"/>
        <w:rPr>
          <w:rFonts w:hint="eastAsia"/>
          <w:b/>
          <w:bCs/>
          <w:color w:val="000000"/>
          <w:spacing w:val="-2"/>
          <w:sz w:val="72"/>
          <w:szCs w:val="72"/>
        </w:rPr>
      </w:pPr>
    </w:p>
    <w:p>
      <w:pPr>
        <w:jc w:val="center"/>
        <w:rPr>
          <w:b/>
          <w:bCs/>
          <w:color w:val="000000"/>
          <w:spacing w:val="-2"/>
          <w:sz w:val="72"/>
          <w:szCs w:val="72"/>
        </w:rPr>
      </w:pPr>
    </w:p>
    <w:p>
      <w:pPr>
        <w:jc w:val="center"/>
        <w:rPr>
          <w:b/>
          <w:bCs/>
          <w:color w:val="000000"/>
          <w:spacing w:val="-2"/>
          <w:sz w:val="72"/>
          <w:szCs w:val="72"/>
        </w:rPr>
      </w:pPr>
    </w:p>
    <w:p>
      <w:pPr>
        <w:jc w:val="center"/>
        <w:rPr>
          <w:b/>
          <w:bCs/>
          <w:color w:val="000000"/>
          <w:spacing w:val="-2"/>
          <w:sz w:val="72"/>
          <w:szCs w:val="72"/>
        </w:rPr>
      </w:pPr>
    </w:p>
    <w:p>
      <w:pPr>
        <w:jc w:val="center"/>
        <w:rPr>
          <w:b/>
          <w:bCs/>
          <w:color w:val="000000"/>
          <w:spacing w:val="-2"/>
          <w:sz w:val="72"/>
          <w:szCs w:val="72"/>
        </w:rPr>
      </w:pPr>
    </w:p>
    <w:p>
      <w:pPr>
        <w:jc w:val="center"/>
        <w:rPr>
          <w:b/>
          <w:bCs/>
          <w:color w:val="000000"/>
          <w:spacing w:val="-2"/>
          <w:sz w:val="72"/>
          <w:szCs w:val="72"/>
        </w:rPr>
      </w:pPr>
    </w:p>
    <w:p>
      <w:pPr>
        <w:jc w:val="center"/>
        <w:rPr>
          <w:b/>
          <w:bCs/>
          <w:color w:val="000000"/>
          <w:spacing w:val="-2"/>
          <w:sz w:val="72"/>
          <w:szCs w:val="72"/>
        </w:rPr>
      </w:pPr>
    </w:p>
    <w:p>
      <w:pPr>
        <w:jc w:val="right"/>
        <w:rPr>
          <w:b/>
          <w:bCs/>
          <w:color w:val="000000"/>
          <w:spacing w:val="-2"/>
          <w:sz w:val="36"/>
          <w:szCs w:val="36"/>
        </w:rPr>
      </w:pPr>
      <w:r>
        <w:rPr>
          <w:b/>
          <w:bCs/>
          <w:color w:val="000000"/>
          <w:spacing w:val="-2"/>
          <w:sz w:val="36"/>
          <w:szCs w:val="36"/>
        </w:rPr>
        <w:t xml:space="preserve"> </w:t>
      </w:r>
    </w:p>
    <w:p>
      <w:pPr>
        <w:rPr>
          <w:b/>
          <w:bCs/>
          <w:color w:val="000000"/>
          <w:spacing w:val="-2"/>
          <w:sz w:val="36"/>
          <w:szCs w:val="36"/>
        </w:rPr>
      </w:pPr>
    </w:p>
    <w:p>
      <w:pPr>
        <w:rPr>
          <w:b/>
          <w:bCs/>
          <w:color w:val="000000"/>
          <w:spacing w:val="-2"/>
          <w:sz w:val="36"/>
          <w:szCs w:val="36"/>
        </w:rPr>
      </w:pPr>
    </w:p>
    <w:p>
      <w:pPr>
        <w:jc w:val="center"/>
        <w:rPr>
          <w:rFonts w:eastAsia="方正黑体_GBK"/>
          <w:color w:val="000000"/>
          <w:spacing w:val="-2"/>
          <w:sz w:val="28"/>
          <w:szCs w:val="28"/>
        </w:rPr>
      </w:pPr>
      <w:r>
        <w:rPr>
          <w:rFonts w:hint="eastAsia" w:ascii="Times New Roman" w:hAnsi="Times New Roman"/>
          <w:b/>
          <w:color w:val="000000"/>
          <w:spacing w:val="-2"/>
          <w:sz w:val="36"/>
          <w:szCs w:val="36"/>
        </w:rPr>
        <w:br w:type="column"/>
      </w:r>
      <w:r>
        <w:rPr>
          <w:rFonts w:hint="eastAsia" w:eastAsia="方正黑体_GBK"/>
          <w:color w:val="000000"/>
          <w:spacing w:val="-2"/>
          <w:sz w:val="28"/>
          <w:szCs w:val="28"/>
        </w:rPr>
        <w:t>建筑工程五方责任主体项目负责人</w:t>
      </w:r>
    </w:p>
    <w:p>
      <w:pPr>
        <w:jc w:val="center"/>
        <w:rPr>
          <w:rFonts w:eastAsia="方正黑体_GBK"/>
          <w:color w:val="000000"/>
          <w:spacing w:val="-2"/>
          <w:sz w:val="28"/>
          <w:szCs w:val="28"/>
        </w:rPr>
      </w:pPr>
      <w:r>
        <w:rPr>
          <w:rFonts w:hint="eastAsia" w:eastAsia="方正黑体_GBK"/>
          <w:color w:val="000000"/>
          <w:spacing w:val="-2"/>
          <w:sz w:val="28"/>
          <w:szCs w:val="28"/>
        </w:rPr>
        <w:t>工程质量终身责任信息登记表</w:t>
      </w:r>
    </w:p>
    <w:p>
      <w:pPr>
        <w:jc w:val="center"/>
        <w:rPr>
          <w:rFonts w:ascii="Times New Roman"/>
          <w:b/>
          <w:color w:val="000000"/>
          <w:spacing w:val="-2"/>
          <w:sz w:val="32"/>
          <w:szCs w:val="32"/>
        </w:rPr>
      </w:pPr>
    </w:p>
    <w:tbl>
      <w:tblPr>
        <w:tblStyle w:val="12"/>
        <w:tblW w:w="0" w:type="auto"/>
        <w:tblInd w:w="6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484"/>
        <w:gridCol w:w="2076"/>
        <w:gridCol w:w="198"/>
        <w:gridCol w:w="971"/>
        <w:gridCol w:w="390"/>
        <w:gridCol w:w="957"/>
        <w:gridCol w:w="177"/>
        <w:gridCol w:w="573"/>
        <w:gridCol w:w="18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576" w:type="dxa"/>
            <w:gridSpan w:val="2"/>
            <w:tcBorders>
              <w:top w:val="single" w:color="auto" w:sz="8"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工程名称</w:t>
            </w:r>
          </w:p>
        </w:tc>
        <w:tc>
          <w:tcPr>
            <w:tcW w:w="7184" w:type="dxa"/>
            <w:gridSpan w:val="8"/>
            <w:tcBorders>
              <w:top w:val="single" w:color="auto" w:sz="8"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576" w:type="dxa"/>
            <w:gridSpan w:val="2"/>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工程地址</w:t>
            </w:r>
          </w:p>
        </w:tc>
        <w:tc>
          <w:tcPr>
            <w:tcW w:w="7184" w:type="dxa"/>
            <w:gridSpan w:val="8"/>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576" w:type="dxa"/>
            <w:gridSpan w:val="2"/>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建筑面积</w:t>
            </w:r>
          </w:p>
        </w:tc>
        <w:tc>
          <w:tcPr>
            <w:tcW w:w="227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p>
        </w:tc>
        <w:tc>
          <w:tcPr>
            <w:tcW w:w="971"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结构类型</w:t>
            </w:r>
            <w:r>
              <w:rPr>
                <w:rFonts w:eastAsia="方正仿宋_GBK"/>
                <w:color w:val="000000"/>
                <w:spacing w:val="-2"/>
              </w:rPr>
              <w:t>/</w:t>
            </w:r>
            <w:r>
              <w:rPr>
                <w:rFonts w:hint="eastAsia" w:eastAsia="方正仿宋_GBK"/>
                <w:color w:val="000000"/>
                <w:spacing w:val="-2"/>
              </w:rPr>
              <w:t>层数</w:t>
            </w:r>
          </w:p>
        </w:tc>
        <w:tc>
          <w:tcPr>
            <w:tcW w:w="134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p>
        </w:tc>
        <w:tc>
          <w:tcPr>
            <w:tcW w:w="75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工程造价</w:t>
            </w:r>
          </w:p>
        </w:tc>
        <w:tc>
          <w:tcPr>
            <w:tcW w:w="1842"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576" w:type="dxa"/>
            <w:gridSpan w:val="2"/>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开工日期</w:t>
            </w:r>
          </w:p>
        </w:tc>
        <w:tc>
          <w:tcPr>
            <w:tcW w:w="3245"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p>
        </w:tc>
        <w:tc>
          <w:tcPr>
            <w:tcW w:w="134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竣工日期</w:t>
            </w:r>
          </w:p>
        </w:tc>
        <w:tc>
          <w:tcPr>
            <w:tcW w:w="2592" w:type="dxa"/>
            <w:gridSpan w:val="3"/>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1092" w:type="dxa"/>
            <w:vMerge w:val="restart"/>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建设单位</w:t>
            </w:r>
          </w:p>
        </w:tc>
        <w:tc>
          <w:tcPr>
            <w:tcW w:w="256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单位名称</w:t>
            </w:r>
          </w:p>
        </w:tc>
        <w:tc>
          <w:tcPr>
            <w:tcW w:w="5108" w:type="dxa"/>
            <w:gridSpan w:val="7"/>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1092"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rPr>
            </w:pPr>
          </w:p>
        </w:tc>
        <w:tc>
          <w:tcPr>
            <w:tcW w:w="256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项目负责人姓名</w:t>
            </w:r>
          </w:p>
        </w:tc>
        <w:tc>
          <w:tcPr>
            <w:tcW w:w="1559"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p>
        </w:tc>
        <w:tc>
          <w:tcPr>
            <w:tcW w:w="113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身份证号</w:t>
            </w:r>
          </w:p>
        </w:tc>
        <w:tc>
          <w:tcPr>
            <w:tcW w:w="2415" w:type="dxa"/>
            <w:gridSpan w:val="2"/>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1092"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rPr>
            </w:pPr>
          </w:p>
        </w:tc>
        <w:tc>
          <w:tcPr>
            <w:tcW w:w="256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执业资格证书号</w:t>
            </w:r>
          </w:p>
        </w:tc>
        <w:tc>
          <w:tcPr>
            <w:tcW w:w="1559"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p>
        </w:tc>
        <w:tc>
          <w:tcPr>
            <w:tcW w:w="113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联系电话</w:t>
            </w:r>
          </w:p>
        </w:tc>
        <w:tc>
          <w:tcPr>
            <w:tcW w:w="2415" w:type="dxa"/>
            <w:gridSpan w:val="2"/>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1092" w:type="dxa"/>
            <w:vMerge w:val="restart"/>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勘察单位</w:t>
            </w:r>
          </w:p>
        </w:tc>
        <w:tc>
          <w:tcPr>
            <w:tcW w:w="256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单位名称</w:t>
            </w:r>
          </w:p>
        </w:tc>
        <w:tc>
          <w:tcPr>
            <w:tcW w:w="5108" w:type="dxa"/>
            <w:gridSpan w:val="7"/>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1092"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rPr>
            </w:pPr>
          </w:p>
        </w:tc>
        <w:tc>
          <w:tcPr>
            <w:tcW w:w="256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项目负责人姓名</w:t>
            </w:r>
          </w:p>
        </w:tc>
        <w:tc>
          <w:tcPr>
            <w:tcW w:w="1559"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p>
        </w:tc>
        <w:tc>
          <w:tcPr>
            <w:tcW w:w="113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身份证号</w:t>
            </w:r>
          </w:p>
        </w:tc>
        <w:tc>
          <w:tcPr>
            <w:tcW w:w="2415" w:type="dxa"/>
            <w:gridSpan w:val="2"/>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1092"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rPr>
            </w:pPr>
          </w:p>
        </w:tc>
        <w:tc>
          <w:tcPr>
            <w:tcW w:w="256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执业资格证书号</w:t>
            </w:r>
          </w:p>
        </w:tc>
        <w:tc>
          <w:tcPr>
            <w:tcW w:w="1559"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p>
        </w:tc>
        <w:tc>
          <w:tcPr>
            <w:tcW w:w="113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注册专业</w:t>
            </w:r>
          </w:p>
        </w:tc>
        <w:tc>
          <w:tcPr>
            <w:tcW w:w="2415" w:type="dxa"/>
            <w:gridSpan w:val="2"/>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1092"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rPr>
            </w:pPr>
          </w:p>
        </w:tc>
        <w:tc>
          <w:tcPr>
            <w:tcW w:w="256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执业印章号</w:t>
            </w:r>
          </w:p>
        </w:tc>
        <w:tc>
          <w:tcPr>
            <w:tcW w:w="1559"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p>
        </w:tc>
        <w:tc>
          <w:tcPr>
            <w:tcW w:w="113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联系电话</w:t>
            </w:r>
          </w:p>
        </w:tc>
        <w:tc>
          <w:tcPr>
            <w:tcW w:w="2415" w:type="dxa"/>
            <w:gridSpan w:val="2"/>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1092" w:type="dxa"/>
            <w:vMerge w:val="restart"/>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设计单位</w:t>
            </w:r>
          </w:p>
        </w:tc>
        <w:tc>
          <w:tcPr>
            <w:tcW w:w="256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单位名称</w:t>
            </w:r>
          </w:p>
        </w:tc>
        <w:tc>
          <w:tcPr>
            <w:tcW w:w="5108" w:type="dxa"/>
            <w:gridSpan w:val="7"/>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1092"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rPr>
            </w:pPr>
          </w:p>
        </w:tc>
        <w:tc>
          <w:tcPr>
            <w:tcW w:w="256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项目负责人姓名</w:t>
            </w:r>
          </w:p>
        </w:tc>
        <w:tc>
          <w:tcPr>
            <w:tcW w:w="1559"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p>
        </w:tc>
        <w:tc>
          <w:tcPr>
            <w:tcW w:w="113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身份证号</w:t>
            </w:r>
          </w:p>
        </w:tc>
        <w:tc>
          <w:tcPr>
            <w:tcW w:w="2415" w:type="dxa"/>
            <w:gridSpan w:val="2"/>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1092"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rPr>
            </w:pPr>
          </w:p>
        </w:tc>
        <w:tc>
          <w:tcPr>
            <w:tcW w:w="256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执业资格证书号</w:t>
            </w:r>
          </w:p>
        </w:tc>
        <w:tc>
          <w:tcPr>
            <w:tcW w:w="1559"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p>
        </w:tc>
        <w:tc>
          <w:tcPr>
            <w:tcW w:w="113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注册专业及等级</w:t>
            </w:r>
          </w:p>
        </w:tc>
        <w:tc>
          <w:tcPr>
            <w:tcW w:w="2415" w:type="dxa"/>
            <w:gridSpan w:val="2"/>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1092"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rPr>
            </w:pPr>
          </w:p>
        </w:tc>
        <w:tc>
          <w:tcPr>
            <w:tcW w:w="256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执业印章号</w:t>
            </w:r>
          </w:p>
        </w:tc>
        <w:tc>
          <w:tcPr>
            <w:tcW w:w="1559"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p>
        </w:tc>
        <w:tc>
          <w:tcPr>
            <w:tcW w:w="113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联系电话</w:t>
            </w:r>
          </w:p>
        </w:tc>
        <w:tc>
          <w:tcPr>
            <w:tcW w:w="2415" w:type="dxa"/>
            <w:gridSpan w:val="2"/>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1092" w:type="dxa"/>
            <w:vMerge w:val="restart"/>
            <w:tcBorders>
              <w:top w:val="single" w:color="auto" w:sz="4" w:space="0"/>
              <w:left w:val="single" w:color="auto" w:sz="8" w:space="0"/>
              <w:bottom w:val="single" w:color="auto" w:sz="4" w:space="0"/>
              <w:right w:val="single" w:color="auto" w:sz="4" w:space="0"/>
            </w:tcBorders>
            <w:noWrap w:val="0"/>
            <w:vAlign w:val="center"/>
          </w:tcPr>
          <w:p>
            <w:pPr>
              <w:rPr>
                <w:rFonts w:eastAsia="方正仿宋_GBK"/>
                <w:color w:val="000000"/>
                <w:spacing w:val="-2"/>
              </w:rPr>
            </w:pPr>
            <w:r>
              <w:rPr>
                <w:rFonts w:hint="eastAsia" w:eastAsia="方正仿宋_GBK"/>
                <w:color w:val="000000"/>
                <w:spacing w:val="-2"/>
              </w:rPr>
              <w:t>施工单位</w:t>
            </w:r>
          </w:p>
        </w:tc>
        <w:tc>
          <w:tcPr>
            <w:tcW w:w="256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单位名称</w:t>
            </w:r>
          </w:p>
        </w:tc>
        <w:tc>
          <w:tcPr>
            <w:tcW w:w="5108" w:type="dxa"/>
            <w:gridSpan w:val="7"/>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1092"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rPr>
            </w:pPr>
          </w:p>
        </w:tc>
        <w:tc>
          <w:tcPr>
            <w:tcW w:w="256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项目负责人姓名</w:t>
            </w:r>
          </w:p>
        </w:tc>
        <w:tc>
          <w:tcPr>
            <w:tcW w:w="1559"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p>
        </w:tc>
        <w:tc>
          <w:tcPr>
            <w:tcW w:w="113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身份证号</w:t>
            </w:r>
          </w:p>
        </w:tc>
        <w:tc>
          <w:tcPr>
            <w:tcW w:w="2415" w:type="dxa"/>
            <w:gridSpan w:val="2"/>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1092"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rPr>
            </w:pPr>
          </w:p>
        </w:tc>
        <w:tc>
          <w:tcPr>
            <w:tcW w:w="256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执业资格证书号</w:t>
            </w:r>
          </w:p>
        </w:tc>
        <w:tc>
          <w:tcPr>
            <w:tcW w:w="1559"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p>
        </w:tc>
        <w:tc>
          <w:tcPr>
            <w:tcW w:w="113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联系电话</w:t>
            </w:r>
          </w:p>
        </w:tc>
        <w:tc>
          <w:tcPr>
            <w:tcW w:w="2415" w:type="dxa"/>
            <w:gridSpan w:val="2"/>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1092" w:type="dxa"/>
            <w:vMerge w:val="restart"/>
            <w:tcBorders>
              <w:top w:val="single" w:color="auto" w:sz="4" w:space="0"/>
              <w:left w:val="single" w:color="auto" w:sz="8" w:space="0"/>
              <w:bottom w:val="single" w:color="auto" w:sz="8" w:space="0"/>
              <w:right w:val="single" w:color="auto" w:sz="4" w:space="0"/>
            </w:tcBorders>
            <w:noWrap w:val="0"/>
            <w:vAlign w:val="center"/>
          </w:tcPr>
          <w:p>
            <w:pPr>
              <w:rPr>
                <w:rFonts w:eastAsia="方正仿宋_GBK"/>
                <w:color w:val="000000"/>
                <w:spacing w:val="-2"/>
              </w:rPr>
            </w:pPr>
            <w:r>
              <w:rPr>
                <w:rFonts w:hint="eastAsia" w:eastAsia="方正仿宋_GBK"/>
                <w:color w:val="000000"/>
                <w:spacing w:val="-2"/>
              </w:rPr>
              <w:t>监理单位</w:t>
            </w:r>
          </w:p>
        </w:tc>
        <w:tc>
          <w:tcPr>
            <w:tcW w:w="256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单位名称</w:t>
            </w:r>
          </w:p>
        </w:tc>
        <w:tc>
          <w:tcPr>
            <w:tcW w:w="5108" w:type="dxa"/>
            <w:gridSpan w:val="7"/>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1092" w:type="dxa"/>
            <w:vMerge w:val="continue"/>
            <w:tcBorders>
              <w:top w:val="single" w:color="auto" w:sz="4" w:space="0"/>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rPr>
            </w:pPr>
          </w:p>
        </w:tc>
        <w:tc>
          <w:tcPr>
            <w:tcW w:w="256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总监理工程师姓名</w:t>
            </w:r>
          </w:p>
        </w:tc>
        <w:tc>
          <w:tcPr>
            <w:tcW w:w="1559"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p>
        </w:tc>
        <w:tc>
          <w:tcPr>
            <w:tcW w:w="113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身份证号</w:t>
            </w:r>
          </w:p>
        </w:tc>
        <w:tc>
          <w:tcPr>
            <w:tcW w:w="2415" w:type="dxa"/>
            <w:gridSpan w:val="2"/>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1092" w:type="dxa"/>
            <w:vMerge w:val="continue"/>
            <w:tcBorders>
              <w:top w:val="single" w:color="auto" w:sz="4" w:space="0"/>
              <w:left w:val="single" w:color="auto" w:sz="8" w:space="0"/>
              <w:bottom w:val="single" w:color="auto" w:sz="8" w:space="0"/>
              <w:right w:val="single" w:color="auto" w:sz="4" w:space="0"/>
            </w:tcBorders>
            <w:noWrap w:val="0"/>
            <w:vAlign w:val="center"/>
          </w:tcPr>
          <w:p>
            <w:pPr>
              <w:widowControl/>
              <w:jc w:val="left"/>
              <w:rPr>
                <w:rFonts w:eastAsia="方正仿宋_GBK"/>
                <w:color w:val="000000"/>
                <w:spacing w:val="-2"/>
              </w:rPr>
            </w:pPr>
          </w:p>
        </w:tc>
        <w:tc>
          <w:tcPr>
            <w:tcW w:w="2560" w:type="dxa"/>
            <w:gridSpan w:val="2"/>
            <w:tcBorders>
              <w:top w:val="single" w:color="auto" w:sz="4" w:space="0"/>
              <w:left w:val="single" w:color="auto" w:sz="4" w:space="0"/>
              <w:bottom w:val="single" w:color="auto" w:sz="8"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执业资格证书号</w:t>
            </w:r>
          </w:p>
        </w:tc>
        <w:tc>
          <w:tcPr>
            <w:tcW w:w="1559" w:type="dxa"/>
            <w:gridSpan w:val="3"/>
            <w:tcBorders>
              <w:top w:val="single" w:color="auto" w:sz="4" w:space="0"/>
              <w:left w:val="single" w:color="auto" w:sz="4" w:space="0"/>
              <w:bottom w:val="single" w:color="auto" w:sz="8" w:space="0"/>
              <w:right w:val="single" w:color="auto" w:sz="4" w:space="0"/>
            </w:tcBorders>
            <w:noWrap w:val="0"/>
            <w:vAlign w:val="center"/>
          </w:tcPr>
          <w:p>
            <w:pPr>
              <w:jc w:val="center"/>
              <w:rPr>
                <w:rFonts w:eastAsia="方正仿宋_GBK"/>
                <w:color w:val="000000"/>
                <w:spacing w:val="-2"/>
              </w:rPr>
            </w:pPr>
          </w:p>
        </w:tc>
        <w:tc>
          <w:tcPr>
            <w:tcW w:w="1134" w:type="dxa"/>
            <w:gridSpan w:val="2"/>
            <w:tcBorders>
              <w:top w:val="single" w:color="auto" w:sz="4" w:space="0"/>
              <w:left w:val="single" w:color="auto" w:sz="4" w:space="0"/>
              <w:bottom w:val="single" w:color="auto" w:sz="8"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联系电话</w:t>
            </w:r>
          </w:p>
        </w:tc>
        <w:tc>
          <w:tcPr>
            <w:tcW w:w="2415" w:type="dxa"/>
            <w:gridSpan w:val="2"/>
            <w:tcBorders>
              <w:top w:val="single" w:color="auto" w:sz="4" w:space="0"/>
              <w:left w:val="single" w:color="auto" w:sz="4" w:space="0"/>
              <w:bottom w:val="single" w:color="auto" w:sz="8" w:space="0"/>
              <w:right w:val="single" w:color="auto" w:sz="8" w:space="0"/>
            </w:tcBorders>
            <w:noWrap w:val="0"/>
            <w:vAlign w:val="center"/>
          </w:tcPr>
          <w:p>
            <w:pPr>
              <w:jc w:val="center"/>
              <w:rPr>
                <w:rFonts w:eastAsia="方正仿宋_GBK"/>
                <w:color w:val="000000"/>
                <w:spacing w:val="-2"/>
              </w:rPr>
            </w:pPr>
          </w:p>
        </w:tc>
      </w:tr>
    </w:tbl>
    <w:p>
      <w:pPr>
        <w:rPr>
          <w:rFonts w:hint="eastAsia" w:eastAsia="方正黑体_GBK"/>
          <w:color w:val="000000"/>
          <w:spacing w:val="-2"/>
          <w:sz w:val="36"/>
          <w:szCs w:val="36"/>
        </w:rPr>
      </w:pPr>
      <w:r>
        <w:rPr>
          <w:rFonts w:hint="eastAsia" w:ascii="Times New Roman" w:eastAsia="黑体"/>
          <w:color w:val="000000"/>
          <w:spacing w:val="-2"/>
          <w:sz w:val="36"/>
          <w:szCs w:val="36"/>
        </w:rPr>
        <w:br w:type="column"/>
      </w:r>
      <w:r>
        <w:rPr>
          <w:rFonts w:hint="eastAsia" w:eastAsia="方正黑体_GBK"/>
          <w:color w:val="000000"/>
          <w:spacing w:val="-2"/>
          <w:sz w:val="36"/>
          <w:szCs w:val="36"/>
        </w:rPr>
        <w:t>第</w:t>
      </w:r>
      <w:r>
        <w:rPr>
          <w:rFonts w:eastAsia="方正黑体_GBK"/>
          <w:color w:val="000000"/>
          <w:spacing w:val="-2"/>
          <w:sz w:val="36"/>
          <w:szCs w:val="36"/>
        </w:rPr>
        <w:t>2</w:t>
      </w:r>
      <w:r>
        <w:rPr>
          <w:rFonts w:hint="eastAsia" w:eastAsia="方正黑体_GBK"/>
          <w:color w:val="000000"/>
          <w:spacing w:val="-2"/>
          <w:sz w:val="36"/>
          <w:szCs w:val="36"/>
        </w:rPr>
        <w:t>部分：</w:t>
      </w:r>
    </w:p>
    <w:p>
      <w:pPr>
        <w:rPr>
          <w:color w:val="000000"/>
          <w:spacing w:val="-2"/>
        </w:rPr>
      </w:pPr>
    </w:p>
    <w:p>
      <w:pPr>
        <w:rPr>
          <w:color w:val="000000"/>
          <w:spacing w:val="-2"/>
        </w:rPr>
      </w:pPr>
    </w:p>
    <w:p>
      <w:pPr>
        <w:rPr>
          <w:color w:val="000000"/>
          <w:spacing w:val="-2"/>
        </w:rPr>
      </w:pPr>
    </w:p>
    <w:p>
      <w:pPr>
        <w:rPr>
          <w:color w:val="000000"/>
          <w:spacing w:val="-2"/>
        </w:rPr>
      </w:pPr>
    </w:p>
    <w:p>
      <w:pPr>
        <w:rPr>
          <w:color w:val="000000"/>
          <w:spacing w:val="-2"/>
        </w:rPr>
      </w:pPr>
    </w:p>
    <w:p>
      <w:pPr>
        <w:rPr>
          <w:color w:val="000000"/>
          <w:spacing w:val="-2"/>
        </w:rPr>
      </w:pPr>
    </w:p>
    <w:p>
      <w:pPr>
        <w:rPr>
          <w:color w:val="000000"/>
          <w:spacing w:val="-2"/>
        </w:rPr>
      </w:pPr>
    </w:p>
    <w:p>
      <w:pPr>
        <w:rPr>
          <w:color w:val="000000"/>
          <w:spacing w:val="-2"/>
        </w:rPr>
      </w:pPr>
    </w:p>
    <w:p>
      <w:pPr>
        <w:rPr>
          <w:color w:val="000000"/>
          <w:spacing w:val="-2"/>
        </w:rPr>
      </w:pPr>
    </w:p>
    <w:p>
      <w:pPr>
        <w:rPr>
          <w:color w:val="000000"/>
          <w:spacing w:val="-2"/>
        </w:rPr>
      </w:pPr>
    </w:p>
    <w:p>
      <w:pPr>
        <w:jc w:val="center"/>
        <w:rPr>
          <w:rFonts w:ascii="Times New Roman" w:hAnsi="Times New Roman" w:eastAsia="方正小标宋简体"/>
          <w:color w:val="000000"/>
          <w:spacing w:val="-2"/>
          <w:sz w:val="48"/>
          <w:szCs w:val="48"/>
        </w:rPr>
      </w:pPr>
      <w:r>
        <w:rPr>
          <w:rFonts w:hint="eastAsia" w:ascii="Times New Roman" w:hAnsi="Times New Roman" w:eastAsia="方正小标宋简体"/>
          <w:color w:val="000000"/>
          <w:spacing w:val="-2"/>
          <w:sz w:val="48"/>
          <w:szCs w:val="48"/>
        </w:rPr>
        <w:t>建筑工程五方责任主体项目负责人</w:t>
      </w:r>
    </w:p>
    <w:p>
      <w:pPr>
        <w:jc w:val="center"/>
        <w:rPr>
          <w:rFonts w:hint="eastAsia" w:ascii="Times New Roman" w:hAnsi="Times New Roman" w:eastAsia="方正小标宋简体"/>
          <w:color w:val="000000"/>
          <w:spacing w:val="-2"/>
          <w:sz w:val="48"/>
          <w:szCs w:val="48"/>
        </w:rPr>
      </w:pPr>
    </w:p>
    <w:p>
      <w:pPr>
        <w:jc w:val="center"/>
        <w:rPr>
          <w:rFonts w:hint="eastAsia" w:ascii="Times New Roman" w:hAnsi="Times New Roman" w:eastAsia="方正小标宋简体"/>
          <w:color w:val="000000"/>
          <w:spacing w:val="-2"/>
          <w:sz w:val="48"/>
          <w:szCs w:val="48"/>
        </w:rPr>
      </w:pPr>
      <w:r>
        <w:rPr>
          <w:rFonts w:hint="eastAsia" w:ascii="Times New Roman" w:hAnsi="Times New Roman" w:eastAsia="方正小标宋简体"/>
          <w:color w:val="000000"/>
          <w:spacing w:val="-2"/>
          <w:sz w:val="48"/>
          <w:szCs w:val="48"/>
        </w:rPr>
        <w:t>质量终身责任信息变更表</w:t>
      </w:r>
    </w:p>
    <w:p>
      <w:pPr>
        <w:jc w:val="center"/>
        <w:rPr>
          <w:rFonts w:hint="eastAsia"/>
          <w:b/>
          <w:bCs/>
          <w:color w:val="000000"/>
          <w:spacing w:val="-2"/>
          <w:sz w:val="72"/>
          <w:szCs w:val="72"/>
        </w:rPr>
      </w:pPr>
    </w:p>
    <w:p>
      <w:pPr>
        <w:jc w:val="center"/>
        <w:rPr>
          <w:b/>
          <w:bCs/>
          <w:color w:val="000000"/>
          <w:spacing w:val="-2"/>
          <w:sz w:val="72"/>
          <w:szCs w:val="72"/>
        </w:rPr>
      </w:pPr>
    </w:p>
    <w:p>
      <w:pPr>
        <w:jc w:val="center"/>
        <w:rPr>
          <w:b/>
          <w:bCs/>
          <w:color w:val="000000"/>
          <w:spacing w:val="-2"/>
          <w:sz w:val="72"/>
          <w:szCs w:val="72"/>
        </w:rPr>
      </w:pPr>
    </w:p>
    <w:p>
      <w:pPr>
        <w:jc w:val="center"/>
        <w:rPr>
          <w:b/>
          <w:bCs/>
          <w:color w:val="000000"/>
          <w:spacing w:val="-2"/>
          <w:sz w:val="72"/>
          <w:szCs w:val="72"/>
        </w:rPr>
      </w:pPr>
    </w:p>
    <w:p>
      <w:pPr>
        <w:jc w:val="center"/>
        <w:rPr>
          <w:b/>
          <w:bCs/>
          <w:color w:val="000000"/>
          <w:spacing w:val="-2"/>
          <w:sz w:val="72"/>
          <w:szCs w:val="72"/>
        </w:rPr>
      </w:pPr>
    </w:p>
    <w:p>
      <w:pPr>
        <w:jc w:val="center"/>
        <w:rPr>
          <w:b/>
          <w:bCs/>
          <w:color w:val="000000"/>
          <w:spacing w:val="-2"/>
          <w:sz w:val="72"/>
          <w:szCs w:val="72"/>
        </w:rPr>
      </w:pPr>
    </w:p>
    <w:p>
      <w:pPr>
        <w:jc w:val="center"/>
        <w:rPr>
          <w:b/>
          <w:bCs/>
          <w:color w:val="000000"/>
          <w:spacing w:val="-2"/>
          <w:sz w:val="72"/>
          <w:szCs w:val="72"/>
        </w:rPr>
      </w:pPr>
    </w:p>
    <w:p>
      <w:pPr>
        <w:jc w:val="center"/>
        <w:rPr>
          <w:b/>
          <w:bCs/>
          <w:color w:val="000000"/>
          <w:spacing w:val="-2"/>
          <w:sz w:val="72"/>
          <w:szCs w:val="72"/>
        </w:rPr>
      </w:pPr>
    </w:p>
    <w:p>
      <w:pPr>
        <w:jc w:val="center"/>
        <w:rPr>
          <w:b/>
          <w:bCs/>
          <w:color w:val="000000"/>
          <w:spacing w:val="-2"/>
          <w:sz w:val="72"/>
          <w:szCs w:val="72"/>
        </w:rPr>
      </w:pPr>
    </w:p>
    <w:p>
      <w:pPr>
        <w:jc w:val="center"/>
        <w:rPr>
          <w:rFonts w:eastAsia="方正黑体_GBK"/>
          <w:color w:val="000000"/>
          <w:spacing w:val="-2"/>
          <w:sz w:val="28"/>
          <w:szCs w:val="28"/>
        </w:rPr>
      </w:pPr>
      <w:r>
        <w:rPr>
          <w:rFonts w:hint="eastAsia" w:ascii="Times New Roman"/>
          <w:b/>
          <w:color w:val="000000"/>
          <w:spacing w:val="-2"/>
          <w:sz w:val="36"/>
          <w:szCs w:val="36"/>
        </w:rPr>
        <w:br w:type="column"/>
      </w:r>
      <w:r>
        <w:rPr>
          <w:rFonts w:hint="eastAsia" w:eastAsia="方正黑体_GBK"/>
          <w:color w:val="000000"/>
          <w:spacing w:val="-2"/>
          <w:sz w:val="28"/>
          <w:szCs w:val="28"/>
        </w:rPr>
        <w:t>工程质量终身责任信息变更表</w:t>
      </w:r>
    </w:p>
    <w:p>
      <w:pPr>
        <w:rPr>
          <w:rFonts w:ascii="Times New Roman"/>
          <w:b/>
          <w:color w:val="000000"/>
          <w:spacing w:val="-2"/>
          <w:sz w:val="24"/>
        </w:rPr>
      </w:pPr>
    </w:p>
    <w:tbl>
      <w:tblPr>
        <w:tblStyle w:val="12"/>
        <w:tblW w:w="0" w:type="auto"/>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1515"/>
        <w:gridCol w:w="1036"/>
        <w:gridCol w:w="1781"/>
        <w:gridCol w:w="1005"/>
        <w:gridCol w:w="17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07" w:type="dxa"/>
            <w:tcBorders>
              <w:top w:val="single" w:color="auto" w:sz="8"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工程名称</w:t>
            </w:r>
          </w:p>
        </w:tc>
        <w:tc>
          <w:tcPr>
            <w:tcW w:w="7053" w:type="dxa"/>
            <w:gridSpan w:val="5"/>
            <w:tcBorders>
              <w:top w:val="single" w:color="auto" w:sz="8"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07"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工程地址</w:t>
            </w:r>
          </w:p>
        </w:tc>
        <w:tc>
          <w:tcPr>
            <w:tcW w:w="7053" w:type="dxa"/>
            <w:gridSpan w:val="5"/>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07"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建筑面积</w:t>
            </w:r>
          </w:p>
        </w:tc>
        <w:tc>
          <w:tcPr>
            <w:tcW w:w="1515"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p>
        </w:tc>
        <w:tc>
          <w:tcPr>
            <w:tcW w:w="1036"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结构类型</w:t>
            </w:r>
            <w:r>
              <w:rPr>
                <w:rFonts w:eastAsia="方正仿宋_GBK"/>
                <w:color w:val="000000"/>
                <w:spacing w:val="-2"/>
              </w:rPr>
              <w:t>/</w:t>
            </w:r>
            <w:r>
              <w:rPr>
                <w:rFonts w:hint="eastAsia" w:eastAsia="方正仿宋_GBK"/>
                <w:color w:val="000000"/>
                <w:spacing w:val="-2"/>
              </w:rPr>
              <w:t>层数</w:t>
            </w:r>
          </w:p>
        </w:tc>
        <w:tc>
          <w:tcPr>
            <w:tcW w:w="1781"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工程</w:t>
            </w:r>
          </w:p>
          <w:p>
            <w:pPr>
              <w:jc w:val="center"/>
              <w:rPr>
                <w:rFonts w:eastAsia="方正仿宋_GBK"/>
                <w:color w:val="000000"/>
                <w:spacing w:val="-2"/>
              </w:rPr>
            </w:pPr>
            <w:r>
              <w:rPr>
                <w:rFonts w:hint="eastAsia" w:eastAsia="方正仿宋_GBK"/>
                <w:color w:val="000000"/>
                <w:spacing w:val="-2"/>
              </w:rPr>
              <w:t>造价</w:t>
            </w:r>
          </w:p>
        </w:tc>
        <w:tc>
          <w:tcPr>
            <w:tcW w:w="1716"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707"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开工日期</w:t>
            </w:r>
          </w:p>
        </w:tc>
        <w:tc>
          <w:tcPr>
            <w:tcW w:w="255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p>
        </w:tc>
        <w:tc>
          <w:tcPr>
            <w:tcW w:w="1781"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竣工日期</w:t>
            </w:r>
          </w:p>
        </w:tc>
        <w:tc>
          <w:tcPr>
            <w:tcW w:w="2721" w:type="dxa"/>
            <w:gridSpan w:val="2"/>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4258" w:type="dxa"/>
            <w:gridSpan w:val="3"/>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变更前</w:t>
            </w:r>
          </w:p>
        </w:tc>
        <w:tc>
          <w:tcPr>
            <w:tcW w:w="4502" w:type="dxa"/>
            <w:gridSpan w:val="3"/>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rPr>
            </w:pPr>
            <w:r>
              <w:rPr>
                <w:rFonts w:hint="eastAsia" w:eastAsia="方正仿宋_GBK"/>
                <w:color w:val="000000"/>
                <w:spacing w:val="-2"/>
              </w:rPr>
              <w:t>变更后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707"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项目负责人姓名</w:t>
            </w:r>
          </w:p>
        </w:tc>
        <w:tc>
          <w:tcPr>
            <w:tcW w:w="255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p>
        </w:tc>
        <w:tc>
          <w:tcPr>
            <w:tcW w:w="1781"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项目负责人姓名</w:t>
            </w:r>
          </w:p>
        </w:tc>
        <w:tc>
          <w:tcPr>
            <w:tcW w:w="2721" w:type="dxa"/>
            <w:gridSpan w:val="2"/>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707"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注册专业</w:t>
            </w:r>
          </w:p>
        </w:tc>
        <w:tc>
          <w:tcPr>
            <w:tcW w:w="255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p>
        </w:tc>
        <w:tc>
          <w:tcPr>
            <w:tcW w:w="1781"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注册专业</w:t>
            </w:r>
          </w:p>
        </w:tc>
        <w:tc>
          <w:tcPr>
            <w:tcW w:w="2721" w:type="dxa"/>
            <w:gridSpan w:val="2"/>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707"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执业资格证书号</w:t>
            </w:r>
          </w:p>
        </w:tc>
        <w:tc>
          <w:tcPr>
            <w:tcW w:w="255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p>
        </w:tc>
        <w:tc>
          <w:tcPr>
            <w:tcW w:w="1781"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执业资格证书号</w:t>
            </w:r>
          </w:p>
        </w:tc>
        <w:tc>
          <w:tcPr>
            <w:tcW w:w="2721" w:type="dxa"/>
            <w:gridSpan w:val="2"/>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707"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执业印章号</w:t>
            </w:r>
          </w:p>
        </w:tc>
        <w:tc>
          <w:tcPr>
            <w:tcW w:w="255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p>
        </w:tc>
        <w:tc>
          <w:tcPr>
            <w:tcW w:w="1781"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执业印章号</w:t>
            </w:r>
          </w:p>
        </w:tc>
        <w:tc>
          <w:tcPr>
            <w:tcW w:w="2721" w:type="dxa"/>
            <w:gridSpan w:val="2"/>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707"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身份证号</w:t>
            </w:r>
          </w:p>
        </w:tc>
        <w:tc>
          <w:tcPr>
            <w:tcW w:w="255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p>
        </w:tc>
        <w:tc>
          <w:tcPr>
            <w:tcW w:w="1781"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身份证号</w:t>
            </w:r>
          </w:p>
        </w:tc>
        <w:tc>
          <w:tcPr>
            <w:tcW w:w="2721" w:type="dxa"/>
            <w:gridSpan w:val="2"/>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707"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联系电话</w:t>
            </w:r>
          </w:p>
        </w:tc>
        <w:tc>
          <w:tcPr>
            <w:tcW w:w="255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p>
        </w:tc>
        <w:tc>
          <w:tcPr>
            <w:tcW w:w="1781"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联系电话</w:t>
            </w:r>
          </w:p>
        </w:tc>
        <w:tc>
          <w:tcPr>
            <w:tcW w:w="2721" w:type="dxa"/>
            <w:gridSpan w:val="2"/>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46" w:hRule="atLeast"/>
        </w:trPr>
        <w:tc>
          <w:tcPr>
            <w:tcW w:w="1707"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变更申请</w:t>
            </w:r>
          </w:p>
        </w:tc>
        <w:tc>
          <w:tcPr>
            <w:tcW w:w="7053" w:type="dxa"/>
            <w:gridSpan w:val="5"/>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p>
            <w:pPr>
              <w:jc w:val="center"/>
              <w:rPr>
                <w:rFonts w:eastAsia="方正仿宋_GBK"/>
                <w:color w:val="000000"/>
                <w:spacing w:val="-2"/>
                <w:szCs w:val="21"/>
              </w:rPr>
            </w:pPr>
          </w:p>
          <w:p>
            <w:pPr>
              <w:jc w:val="center"/>
              <w:rPr>
                <w:rFonts w:eastAsia="方正仿宋_GBK"/>
                <w:color w:val="000000"/>
                <w:spacing w:val="-2"/>
                <w:szCs w:val="21"/>
              </w:rPr>
            </w:pPr>
          </w:p>
          <w:p>
            <w:pPr>
              <w:jc w:val="center"/>
              <w:rPr>
                <w:rFonts w:eastAsia="方正仿宋_GBK"/>
                <w:color w:val="000000"/>
                <w:spacing w:val="-2"/>
                <w:szCs w:val="21"/>
              </w:rPr>
            </w:pPr>
          </w:p>
          <w:p>
            <w:pPr>
              <w:jc w:val="center"/>
              <w:rPr>
                <w:rFonts w:eastAsia="方正仿宋_GBK"/>
                <w:color w:val="000000"/>
                <w:spacing w:val="-2"/>
                <w:szCs w:val="21"/>
              </w:rPr>
            </w:pPr>
          </w:p>
          <w:p>
            <w:pPr>
              <w:jc w:val="center"/>
              <w:rPr>
                <w:rFonts w:eastAsia="方正仿宋_GBK"/>
                <w:color w:val="000000"/>
                <w:spacing w:val="-2"/>
                <w:szCs w:val="21"/>
              </w:rPr>
            </w:pPr>
          </w:p>
          <w:p>
            <w:pPr>
              <w:jc w:val="center"/>
              <w:rPr>
                <w:rFonts w:eastAsia="方正仿宋_GBK"/>
                <w:color w:val="000000"/>
                <w:spacing w:val="-2"/>
                <w:szCs w:val="21"/>
              </w:rPr>
            </w:pPr>
          </w:p>
          <w:p>
            <w:pPr>
              <w:jc w:val="center"/>
              <w:rPr>
                <w:rFonts w:eastAsia="方正仿宋_GBK"/>
                <w:color w:val="000000"/>
                <w:spacing w:val="-2"/>
              </w:rPr>
            </w:pPr>
            <w:r>
              <w:rPr>
                <w:rFonts w:eastAsia="方正仿宋_GBK"/>
                <w:color w:val="000000"/>
                <w:spacing w:val="-2"/>
                <w:szCs w:val="21"/>
              </w:rPr>
              <w:t xml:space="preserve">                </w:t>
            </w:r>
            <w:r>
              <w:rPr>
                <w:rFonts w:hint="eastAsia" w:eastAsia="方正仿宋_GBK"/>
                <w:color w:val="000000"/>
                <w:spacing w:val="-2"/>
                <w:szCs w:val="21"/>
              </w:rPr>
              <w:t>单位公章</w:t>
            </w:r>
            <w:r>
              <w:rPr>
                <w:rFonts w:eastAsia="方正仿宋_GBK"/>
                <w:color w:val="000000"/>
                <w:spacing w:val="-2"/>
                <w:szCs w:val="21"/>
              </w:rPr>
              <w:t xml:space="preserve">                 </w:t>
            </w:r>
            <w:r>
              <w:rPr>
                <w:rFonts w:hint="eastAsia" w:eastAsia="方正仿宋_GBK"/>
                <w:color w:val="000000"/>
                <w:spacing w:val="-2"/>
                <w:szCs w:val="21"/>
              </w:rPr>
              <w:t>年</w:t>
            </w:r>
            <w:r>
              <w:rPr>
                <w:rFonts w:eastAsia="方正仿宋_GBK"/>
                <w:color w:val="000000"/>
                <w:spacing w:val="-2"/>
                <w:szCs w:val="21"/>
              </w:rPr>
              <w:t xml:space="preserve">  </w:t>
            </w:r>
            <w:r>
              <w:rPr>
                <w:rFonts w:hint="eastAsia" w:eastAsia="方正仿宋_GBK"/>
                <w:color w:val="000000"/>
                <w:spacing w:val="-2"/>
                <w:szCs w:val="21"/>
              </w:rPr>
              <w:t>月</w:t>
            </w:r>
            <w:r>
              <w:rPr>
                <w:rFonts w:eastAsia="方正仿宋_GBK"/>
                <w:color w:val="000000"/>
                <w:spacing w:val="-2"/>
                <w:szCs w:val="21"/>
              </w:rPr>
              <w:t xml:space="preserve">  </w:t>
            </w:r>
            <w:r>
              <w:rPr>
                <w:rFonts w:hint="eastAsia" w:eastAsia="方正仿宋_GBK"/>
                <w:color w:val="000000"/>
                <w:spacing w:val="-2"/>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96" w:hRule="atLeast"/>
        </w:trPr>
        <w:tc>
          <w:tcPr>
            <w:tcW w:w="1707" w:type="dxa"/>
            <w:tcBorders>
              <w:top w:val="single" w:color="auto" w:sz="4" w:space="0"/>
              <w:left w:val="single" w:color="auto" w:sz="8" w:space="0"/>
              <w:bottom w:val="single" w:color="auto" w:sz="8" w:space="0"/>
              <w:right w:val="single" w:color="auto" w:sz="4" w:space="0"/>
            </w:tcBorders>
            <w:noWrap w:val="0"/>
            <w:vAlign w:val="center"/>
          </w:tcPr>
          <w:p>
            <w:pPr>
              <w:jc w:val="left"/>
              <w:rPr>
                <w:rFonts w:eastAsia="方正仿宋_GBK"/>
                <w:color w:val="000000"/>
                <w:spacing w:val="-2"/>
                <w:szCs w:val="21"/>
              </w:rPr>
            </w:pPr>
            <w:r>
              <w:rPr>
                <w:rFonts w:hint="eastAsia" w:eastAsia="方正仿宋_GBK"/>
                <w:color w:val="000000"/>
                <w:spacing w:val="-2"/>
                <w:szCs w:val="21"/>
              </w:rPr>
              <w:t>合同备案管理部门备案审查情况</w:t>
            </w:r>
          </w:p>
          <w:p>
            <w:pPr>
              <w:jc w:val="center"/>
              <w:rPr>
                <w:rFonts w:eastAsia="方正仿宋_GBK"/>
                <w:color w:val="000000"/>
                <w:spacing w:val="-2"/>
              </w:rPr>
            </w:pPr>
          </w:p>
        </w:tc>
        <w:tc>
          <w:tcPr>
            <w:tcW w:w="7053" w:type="dxa"/>
            <w:gridSpan w:val="5"/>
            <w:tcBorders>
              <w:top w:val="single" w:color="auto" w:sz="4" w:space="0"/>
              <w:left w:val="single" w:color="auto" w:sz="4" w:space="0"/>
              <w:bottom w:val="single" w:color="auto" w:sz="8" w:space="0"/>
              <w:right w:val="single" w:color="auto" w:sz="8" w:space="0"/>
            </w:tcBorders>
            <w:noWrap w:val="0"/>
            <w:vAlign w:val="center"/>
          </w:tcPr>
          <w:p>
            <w:pPr>
              <w:jc w:val="left"/>
              <w:rPr>
                <w:rFonts w:eastAsia="方正仿宋_GBK"/>
                <w:color w:val="000000"/>
                <w:spacing w:val="-2"/>
              </w:rPr>
            </w:pPr>
          </w:p>
          <w:p>
            <w:pPr>
              <w:jc w:val="left"/>
              <w:rPr>
                <w:rFonts w:eastAsia="方正仿宋_GBK"/>
                <w:color w:val="000000"/>
                <w:spacing w:val="-2"/>
              </w:rPr>
            </w:pPr>
          </w:p>
          <w:p>
            <w:pPr>
              <w:jc w:val="left"/>
              <w:rPr>
                <w:rFonts w:eastAsia="方正仿宋_GBK"/>
                <w:color w:val="000000"/>
                <w:spacing w:val="-2"/>
              </w:rPr>
            </w:pPr>
          </w:p>
          <w:p>
            <w:pPr>
              <w:jc w:val="left"/>
              <w:rPr>
                <w:rFonts w:eastAsia="方正仿宋_GBK"/>
                <w:color w:val="000000"/>
                <w:spacing w:val="-2"/>
              </w:rPr>
            </w:pPr>
          </w:p>
          <w:p>
            <w:pPr>
              <w:jc w:val="left"/>
              <w:rPr>
                <w:rFonts w:eastAsia="方正仿宋_GBK"/>
                <w:color w:val="000000"/>
                <w:spacing w:val="-2"/>
              </w:rPr>
            </w:pPr>
          </w:p>
          <w:p>
            <w:pPr>
              <w:jc w:val="left"/>
              <w:rPr>
                <w:rFonts w:eastAsia="方正仿宋_GBK"/>
                <w:color w:val="000000"/>
                <w:spacing w:val="-2"/>
              </w:rPr>
            </w:pPr>
          </w:p>
          <w:p>
            <w:pPr>
              <w:jc w:val="left"/>
              <w:rPr>
                <w:rFonts w:eastAsia="方正仿宋_GBK"/>
                <w:color w:val="000000"/>
                <w:spacing w:val="-2"/>
              </w:rPr>
            </w:pPr>
          </w:p>
          <w:p>
            <w:pPr>
              <w:jc w:val="left"/>
              <w:rPr>
                <w:rFonts w:eastAsia="方正仿宋_GBK"/>
                <w:color w:val="000000"/>
                <w:spacing w:val="-2"/>
              </w:rPr>
            </w:pPr>
          </w:p>
          <w:p>
            <w:pPr>
              <w:jc w:val="left"/>
              <w:rPr>
                <w:rFonts w:eastAsia="方正仿宋_GBK"/>
                <w:color w:val="000000"/>
                <w:spacing w:val="-2"/>
              </w:rPr>
            </w:pPr>
          </w:p>
          <w:p>
            <w:pPr>
              <w:jc w:val="left"/>
              <w:rPr>
                <w:rFonts w:eastAsia="方正仿宋_GBK"/>
                <w:color w:val="000000"/>
                <w:spacing w:val="-2"/>
              </w:rPr>
            </w:pPr>
          </w:p>
          <w:p>
            <w:pPr>
              <w:jc w:val="left"/>
              <w:rPr>
                <w:rFonts w:eastAsia="方正仿宋_GBK"/>
                <w:color w:val="000000"/>
                <w:spacing w:val="-2"/>
              </w:rPr>
            </w:pPr>
          </w:p>
          <w:p>
            <w:pPr>
              <w:ind w:left="1797"/>
              <w:jc w:val="center"/>
              <w:rPr>
                <w:rFonts w:eastAsia="方正仿宋_GBK"/>
                <w:color w:val="000000"/>
                <w:spacing w:val="-2"/>
              </w:rPr>
            </w:pPr>
          </w:p>
        </w:tc>
      </w:tr>
    </w:tbl>
    <w:p>
      <w:pPr>
        <w:jc w:val="right"/>
        <w:rPr>
          <w:rFonts w:hint="eastAsia"/>
          <w:color w:val="000000"/>
          <w:spacing w:val="-2"/>
          <w:sz w:val="18"/>
          <w:szCs w:val="18"/>
        </w:rPr>
      </w:pPr>
    </w:p>
    <w:p>
      <w:pPr>
        <w:rPr>
          <w:rFonts w:eastAsia="方正黑体_GBK"/>
          <w:color w:val="000000"/>
          <w:spacing w:val="-2"/>
          <w:sz w:val="36"/>
          <w:szCs w:val="36"/>
        </w:rPr>
      </w:pPr>
      <w:r>
        <w:rPr>
          <w:rFonts w:hint="eastAsia" w:ascii="Times New Roman" w:eastAsia="黑体"/>
          <w:color w:val="000000"/>
          <w:spacing w:val="-2"/>
          <w:sz w:val="36"/>
          <w:szCs w:val="36"/>
        </w:rPr>
        <w:br w:type="column"/>
      </w:r>
      <w:r>
        <w:rPr>
          <w:rFonts w:hint="eastAsia" w:eastAsia="方正黑体_GBK"/>
          <w:color w:val="000000"/>
          <w:spacing w:val="-2"/>
          <w:sz w:val="36"/>
          <w:szCs w:val="36"/>
        </w:rPr>
        <w:t>第</w:t>
      </w:r>
      <w:r>
        <w:rPr>
          <w:rFonts w:eastAsia="方正黑体_GBK"/>
          <w:color w:val="000000"/>
          <w:spacing w:val="-2"/>
          <w:sz w:val="36"/>
          <w:szCs w:val="36"/>
        </w:rPr>
        <w:t>3</w:t>
      </w:r>
      <w:r>
        <w:rPr>
          <w:rFonts w:hint="eastAsia" w:eastAsia="方正黑体_GBK"/>
          <w:color w:val="000000"/>
          <w:spacing w:val="-2"/>
          <w:sz w:val="36"/>
          <w:szCs w:val="36"/>
        </w:rPr>
        <w:t>部分：</w:t>
      </w:r>
    </w:p>
    <w:p>
      <w:pPr>
        <w:rPr>
          <w:color w:val="000000"/>
          <w:spacing w:val="-2"/>
        </w:rPr>
      </w:pPr>
    </w:p>
    <w:p>
      <w:pPr>
        <w:rPr>
          <w:color w:val="000000"/>
          <w:spacing w:val="-2"/>
        </w:rPr>
      </w:pPr>
    </w:p>
    <w:p>
      <w:pPr>
        <w:rPr>
          <w:color w:val="000000"/>
          <w:spacing w:val="-2"/>
        </w:rPr>
      </w:pPr>
    </w:p>
    <w:p>
      <w:pPr>
        <w:rPr>
          <w:color w:val="000000"/>
          <w:spacing w:val="-2"/>
        </w:rPr>
      </w:pPr>
    </w:p>
    <w:p>
      <w:pPr>
        <w:rPr>
          <w:color w:val="000000"/>
          <w:spacing w:val="-2"/>
        </w:rPr>
      </w:pPr>
    </w:p>
    <w:p>
      <w:pPr>
        <w:rPr>
          <w:color w:val="000000"/>
          <w:spacing w:val="-2"/>
        </w:rPr>
      </w:pPr>
    </w:p>
    <w:p>
      <w:pPr>
        <w:rPr>
          <w:color w:val="000000"/>
          <w:spacing w:val="-2"/>
        </w:rPr>
      </w:pPr>
    </w:p>
    <w:p>
      <w:pPr>
        <w:jc w:val="center"/>
        <w:rPr>
          <w:rFonts w:ascii="Times New Roman" w:hAnsi="Times New Roman" w:eastAsia="方正小标宋简体"/>
          <w:color w:val="000000"/>
          <w:spacing w:val="-2"/>
          <w:sz w:val="48"/>
          <w:szCs w:val="48"/>
        </w:rPr>
      </w:pPr>
      <w:r>
        <w:rPr>
          <w:rFonts w:hint="eastAsia" w:ascii="Times New Roman" w:hAnsi="Times New Roman" w:eastAsia="方正小标宋简体"/>
          <w:color w:val="000000"/>
          <w:spacing w:val="-2"/>
          <w:sz w:val="48"/>
          <w:szCs w:val="48"/>
        </w:rPr>
        <w:t xml:space="preserve"> 工程质量终身责任承诺书</w:t>
      </w:r>
    </w:p>
    <w:p>
      <w:pPr>
        <w:jc w:val="center"/>
        <w:rPr>
          <w:rFonts w:hint="eastAsia"/>
          <w:b/>
          <w:bCs/>
          <w:color w:val="000000"/>
          <w:spacing w:val="-2"/>
          <w:sz w:val="72"/>
          <w:szCs w:val="72"/>
        </w:rPr>
      </w:pPr>
    </w:p>
    <w:p>
      <w:pPr>
        <w:jc w:val="center"/>
        <w:rPr>
          <w:b/>
          <w:bCs/>
          <w:color w:val="000000"/>
          <w:spacing w:val="-2"/>
          <w:sz w:val="72"/>
          <w:szCs w:val="72"/>
        </w:rPr>
      </w:pPr>
    </w:p>
    <w:p>
      <w:pPr>
        <w:jc w:val="center"/>
        <w:rPr>
          <w:b/>
          <w:bCs/>
          <w:color w:val="000000"/>
          <w:spacing w:val="-2"/>
          <w:sz w:val="72"/>
          <w:szCs w:val="72"/>
        </w:rPr>
      </w:pPr>
    </w:p>
    <w:p>
      <w:pPr>
        <w:jc w:val="center"/>
        <w:rPr>
          <w:b/>
          <w:bCs/>
          <w:color w:val="000000"/>
          <w:spacing w:val="-2"/>
          <w:sz w:val="72"/>
          <w:szCs w:val="72"/>
        </w:rPr>
      </w:pPr>
    </w:p>
    <w:p>
      <w:pPr>
        <w:jc w:val="center"/>
        <w:rPr>
          <w:b/>
          <w:bCs/>
          <w:color w:val="000000"/>
          <w:spacing w:val="-2"/>
          <w:sz w:val="72"/>
          <w:szCs w:val="72"/>
        </w:rPr>
      </w:pPr>
    </w:p>
    <w:p>
      <w:pPr>
        <w:jc w:val="center"/>
        <w:rPr>
          <w:b/>
          <w:bCs/>
          <w:color w:val="000000"/>
          <w:spacing w:val="-2"/>
          <w:sz w:val="72"/>
          <w:szCs w:val="72"/>
        </w:rPr>
      </w:pPr>
    </w:p>
    <w:p>
      <w:pPr>
        <w:jc w:val="center"/>
        <w:rPr>
          <w:b/>
          <w:bCs/>
          <w:color w:val="000000"/>
          <w:spacing w:val="-2"/>
          <w:sz w:val="72"/>
          <w:szCs w:val="72"/>
        </w:rPr>
      </w:pPr>
    </w:p>
    <w:p>
      <w:pPr>
        <w:jc w:val="center"/>
        <w:rPr>
          <w:b/>
          <w:bCs/>
          <w:color w:val="000000"/>
          <w:spacing w:val="-2"/>
          <w:sz w:val="72"/>
          <w:szCs w:val="72"/>
        </w:rPr>
      </w:pPr>
    </w:p>
    <w:p>
      <w:pPr>
        <w:jc w:val="center"/>
        <w:rPr>
          <w:b/>
          <w:bCs/>
          <w:color w:val="000000"/>
          <w:spacing w:val="-2"/>
          <w:sz w:val="72"/>
          <w:szCs w:val="72"/>
        </w:rPr>
      </w:pPr>
    </w:p>
    <w:p>
      <w:pPr>
        <w:jc w:val="center"/>
        <w:rPr>
          <w:b/>
          <w:bCs/>
          <w:color w:val="000000"/>
          <w:spacing w:val="-2"/>
          <w:sz w:val="72"/>
          <w:szCs w:val="72"/>
        </w:rPr>
      </w:pPr>
    </w:p>
    <w:p>
      <w:pPr>
        <w:jc w:val="right"/>
        <w:rPr>
          <w:b/>
          <w:bCs/>
          <w:color w:val="000000"/>
          <w:spacing w:val="-2"/>
        </w:rPr>
      </w:pPr>
      <w:r>
        <w:rPr>
          <w:b/>
          <w:bCs/>
          <w:color w:val="000000"/>
          <w:spacing w:val="-2"/>
          <w:sz w:val="36"/>
          <w:szCs w:val="36"/>
        </w:rPr>
        <w:t xml:space="preserve">  </w:t>
      </w:r>
    </w:p>
    <w:p>
      <w:pPr>
        <w:pStyle w:val="10"/>
        <w:widowControl w:val="0"/>
        <w:shd w:val="clear" w:color="auto" w:fill="FFFFFF"/>
        <w:spacing w:before="0" w:beforeAutospacing="0" w:after="0" w:afterAutospacing="0" w:line="460" w:lineRule="exact"/>
        <w:jc w:val="center"/>
        <w:rPr>
          <w:rFonts w:ascii="Times New Roman" w:hAnsi="Times New Roman" w:eastAsia="方正仿宋_GBK"/>
          <w:b/>
          <w:bCs/>
          <w:color w:val="000000"/>
          <w:spacing w:val="-2"/>
        </w:rPr>
      </w:pPr>
      <w:r>
        <w:rPr>
          <w:rFonts w:hint="eastAsia" w:ascii="Times New Roman" w:hAnsi="Times New Roman"/>
          <w:b/>
          <w:bCs/>
          <w:color w:val="000000"/>
          <w:spacing w:val="-2"/>
          <w:sz w:val="36"/>
          <w:szCs w:val="36"/>
        </w:rPr>
        <w:br w:type="column"/>
      </w:r>
    </w:p>
    <w:p>
      <w:pPr>
        <w:pStyle w:val="10"/>
        <w:widowControl w:val="0"/>
        <w:shd w:val="clear" w:color="auto" w:fill="FFFFFF"/>
        <w:spacing w:before="0" w:beforeAutospacing="0" w:after="0" w:afterAutospacing="0" w:line="460" w:lineRule="exact"/>
        <w:jc w:val="center"/>
        <w:rPr>
          <w:rFonts w:ascii="Times New Roman" w:hAnsi="Times New Roman" w:eastAsia="方正黑体_GBK"/>
          <w:bCs/>
          <w:color w:val="000000"/>
          <w:spacing w:val="-2"/>
          <w:sz w:val="32"/>
          <w:szCs w:val="32"/>
        </w:rPr>
      </w:pPr>
      <w:r>
        <w:rPr>
          <w:rFonts w:hint="eastAsia" w:ascii="Times New Roman" w:hAnsi="Times New Roman" w:eastAsia="方正黑体_GBK"/>
          <w:bCs/>
          <w:color w:val="000000"/>
          <w:spacing w:val="-2"/>
          <w:sz w:val="32"/>
          <w:szCs w:val="32"/>
        </w:rPr>
        <w:t>建设单位项目负责人质量终身责任承诺书</w:t>
      </w:r>
    </w:p>
    <w:p>
      <w:pPr>
        <w:shd w:val="clear" w:color="auto" w:fill="FFFFFF"/>
        <w:spacing w:line="460" w:lineRule="exact"/>
        <w:jc w:val="left"/>
        <w:rPr>
          <w:rFonts w:hint="eastAsia" w:eastAsia="方正仿宋_GBK"/>
          <w:b/>
          <w:color w:val="000000"/>
          <w:spacing w:val="-2"/>
          <w:kern w:val="0"/>
          <w:sz w:val="24"/>
        </w:rPr>
      </w:pPr>
    </w:p>
    <w:p>
      <w:pPr>
        <w:shd w:val="clear" w:color="auto" w:fill="FFFFFF"/>
        <w:spacing w:line="460" w:lineRule="exact"/>
        <w:ind w:firstLine="480"/>
        <w:jc w:val="left"/>
        <w:rPr>
          <w:rFonts w:eastAsia="方正仿宋_GBK"/>
          <w:color w:val="000000"/>
          <w:spacing w:val="-2"/>
          <w:kern w:val="0"/>
          <w:sz w:val="24"/>
          <w:u w:val="single"/>
        </w:rPr>
      </w:pPr>
      <w:r>
        <w:rPr>
          <w:rFonts w:hint="eastAsia" w:eastAsia="方正仿宋_GBK"/>
          <w:b/>
          <w:color w:val="000000"/>
          <w:spacing w:val="-2"/>
          <w:kern w:val="0"/>
          <w:sz w:val="24"/>
        </w:rPr>
        <w:t>本人承诺：</w:t>
      </w:r>
      <w:r>
        <w:rPr>
          <w:rFonts w:hint="eastAsia" w:eastAsia="方正仿宋_GBK"/>
          <w:color w:val="000000"/>
          <w:spacing w:val="-2"/>
          <w:kern w:val="0"/>
          <w:sz w:val="24"/>
        </w:rPr>
        <w:t>在</w:t>
      </w:r>
      <w:r>
        <w:rPr>
          <w:rFonts w:eastAsia="方正仿宋_GBK"/>
          <w:color w:val="000000"/>
          <w:spacing w:val="-2"/>
          <w:kern w:val="0"/>
          <w:sz w:val="24"/>
          <w:u w:val="single"/>
        </w:rPr>
        <w:t xml:space="preserve">                                    </w:t>
      </w:r>
      <w:r>
        <w:rPr>
          <w:rFonts w:hint="eastAsia" w:eastAsia="方正仿宋_GBK"/>
          <w:color w:val="000000"/>
          <w:spacing w:val="-2"/>
          <w:kern w:val="0"/>
          <w:sz w:val="24"/>
        </w:rPr>
        <w:t>工程建设过程中认真履行下列职责，并承担相应终身质量责任。</w:t>
      </w:r>
    </w:p>
    <w:p>
      <w:pPr>
        <w:shd w:val="clear" w:color="auto" w:fill="FFFFFF"/>
        <w:spacing w:line="460" w:lineRule="exact"/>
        <w:ind w:firstLine="472" w:firstLineChars="200"/>
        <w:jc w:val="left"/>
        <w:rPr>
          <w:rFonts w:eastAsia="方正仿宋_GBK"/>
          <w:color w:val="000000"/>
          <w:spacing w:val="-2"/>
          <w:kern w:val="0"/>
          <w:sz w:val="24"/>
        </w:rPr>
      </w:pPr>
      <w:r>
        <w:rPr>
          <w:rFonts w:eastAsia="方正仿宋_GBK"/>
          <w:color w:val="000000"/>
          <w:spacing w:val="-2"/>
          <w:kern w:val="0"/>
          <w:sz w:val="24"/>
        </w:rPr>
        <w:t>1</w:t>
      </w:r>
      <w:r>
        <w:rPr>
          <w:rFonts w:hint="eastAsia" w:eastAsia="方正仿宋_GBK"/>
          <w:color w:val="000000"/>
          <w:spacing w:val="-2"/>
          <w:kern w:val="0"/>
          <w:sz w:val="24"/>
        </w:rPr>
        <w:t>、工程建设坚持先勘察、后设计、再施工的原则。向勘察、设计、施工、监理、检测和施工图审查等单位提供真实、准确、齐全的建设项目相关的原始材料。</w:t>
      </w:r>
    </w:p>
    <w:p>
      <w:pPr>
        <w:shd w:val="clear" w:color="auto" w:fill="FFFFFF"/>
        <w:spacing w:line="460" w:lineRule="exact"/>
        <w:ind w:firstLine="472" w:firstLineChars="200"/>
        <w:jc w:val="left"/>
        <w:rPr>
          <w:rFonts w:eastAsia="方正仿宋_GBK"/>
          <w:color w:val="000000"/>
          <w:spacing w:val="-2"/>
          <w:kern w:val="0"/>
          <w:sz w:val="24"/>
        </w:rPr>
      </w:pPr>
      <w:r>
        <w:rPr>
          <w:rFonts w:eastAsia="方正仿宋_GBK"/>
          <w:color w:val="000000"/>
          <w:spacing w:val="-2"/>
          <w:kern w:val="0"/>
          <w:sz w:val="24"/>
        </w:rPr>
        <w:t>2</w:t>
      </w:r>
      <w:r>
        <w:rPr>
          <w:rFonts w:hint="eastAsia" w:eastAsia="方正仿宋_GBK"/>
          <w:color w:val="000000"/>
          <w:spacing w:val="-2"/>
          <w:kern w:val="0"/>
          <w:sz w:val="24"/>
        </w:rPr>
        <w:t>、及时办理项目选址、用地规划许可、建设工程规划许可、项目施工图审查和备案、质量安全监督、合同备案、开工安全生产条件审查等手续，领取施工许可证（含依法分项发包工程）后方开工建设。</w:t>
      </w:r>
    </w:p>
    <w:p>
      <w:pPr>
        <w:shd w:val="clear" w:color="auto" w:fill="FFFFFF"/>
        <w:spacing w:line="460" w:lineRule="exact"/>
        <w:ind w:firstLine="472" w:firstLineChars="200"/>
        <w:jc w:val="left"/>
        <w:rPr>
          <w:rFonts w:eastAsia="方正仿宋_GBK"/>
          <w:color w:val="000000"/>
          <w:spacing w:val="-2"/>
          <w:kern w:val="0"/>
          <w:sz w:val="24"/>
        </w:rPr>
      </w:pPr>
      <w:r>
        <w:rPr>
          <w:rFonts w:eastAsia="方正仿宋_GBK"/>
          <w:color w:val="000000"/>
          <w:spacing w:val="-2"/>
          <w:kern w:val="0"/>
          <w:sz w:val="24"/>
        </w:rPr>
        <w:t>3</w:t>
      </w:r>
      <w:r>
        <w:rPr>
          <w:rFonts w:hint="eastAsia" w:eastAsia="方正仿宋_GBK"/>
          <w:color w:val="000000"/>
          <w:spacing w:val="-2"/>
          <w:kern w:val="0"/>
          <w:sz w:val="24"/>
        </w:rPr>
        <w:t>、工程发包给具有相应资质等级的施工、监理、勘察、设计等单位，对规定必须招标的工程项目严格依法依规进行招标，不将建设工程肢解发包，不强迫承包方以低于成本价竞标情况，不压缩合理工期。向施工现场提供经施工图审查机构审查合格并加盖专用章的施工用图和设计变更等相关设计文件。对依法分项发包而未指定总包管理的分部分项工程的质量负总责。</w:t>
      </w:r>
    </w:p>
    <w:p>
      <w:pPr>
        <w:shd w:val="clear" w:color="auto" w:fill="FFFFFF"/>
        <w:spacing w:line="460" w:lineRule="exact"/>
        <w:ind w:firstLine="472" w:firstLineChars="200"/>
        <w:jc w:val="left"/>
        <w:rPr>
          <w:rFonts w:eastAsia="方正仿宋_GBK"/>
          <w:color w:val="000000"/>
          <w:spacing w:val="-2"/>
          <w:kern w:val="0"/>
          <w:sz w:val="24"/>
        </w:rPr>
      </w:pPr>
      <w:r>
        <w:rPr>
          <w:rFonts w:eastAsia="方正仿宋_GBK"/>
          <w:color w:val="000000"/>
          <w:spacing w:val="-2"/>
          <w:kern w:val="0"/>
          <w:sz w:val="24"/>
        </w:rPr>
        <w:t>4</w:t>
      </w:r>
      <w:r>
        <w:rPr>
          <w:rFonts w:hint="eastAsia" w:eastAsia="方正仿宋_GBK"/>
          <w:color w:val="000000"/>
          <w:spacing w:val="-2"/>
          <w:kern w:val="0"/>
          <w:sz w:val="24"/>
        </w:rPr>
        <w:t>、无明示或暗示勘察、设计、施工、检测等单位违反工程建设强制性标准或使用不合格的建筑材料、建筑配件和设备，降低工程质量的情况。</w:t>
      </w:r>
    </w:p>
    <w:p>
      <w:pPr>
        <w:shd w:val="clear" w:color="auto" w:fill="FFFFFF"/>
        <w:spacing w:line="460" w:lineRule="exact"/>
        <w:ind w:firstLine="472" w:firstLineChars="200"/>
        <w:jc w:val="left"/>
        <w:rPr>
          <w:rFonts w:eastAsia="方正仿宋_GBK"/>
          <w:color w:val="000000"/>
          <w:spacing w:val="-2"/>
          <w:kern w:val="0"/>
          <w:sz w:val="24"/>
        </w:rPr>
      </w:pPr>
      <w:r>
        <w:rPr>
          <w:rFonts w:eastAsia="方正仿宋_GBK"/>
          <w:color w:val="000000"/>
          <w:spacing w:val="-2"/>
          <w:kern w:val="0"/>
          <w:sz w:val="24"/>
        </w:rPr>
        <w:t>5</w:t>
      </w:r>
      <w:r>
        <w:rPr>
          <w:rFonts w:hint="eastAsia" w:eastAsia="方正仿宋_GBK"/>
          <w:color w:val="000000"/>
          <w:spacing w:val="-2"/>
          <w:kern w:val="0"/>
          <w:sz w:val="24"/>
        </w:rPr>
        <w:t>、涉及到工程建设强制性标准、地基基础和主体结构安全性等方面的设计变更，均经原施工图审查机构审查合格，并加盖审查机构专用章。</w:t>
      </w:r>
    </w:p>
    <w:p>
      <w:pPr>
        <w:shd w:val="clear" w:color="auto" w:fill="FFFFFF"/>
        <w:spacing w:line="460" w:lineRule="exact"/>
        <w:ind w:firstLine="472" w:firstLineChars="200"/>
        <w:jc w:val="left"/>
        <w:rPr>
          <w:rFonts w:eastAsia="方正仿宋_GBK"/>
          <w:color w:val="000000"/>
          <w:spacing w:val="-2"/>
          <w:kern w:val="0"/>
          <w:sz w:val="24"/>
        </w:rPr>
      </w:pPr>
      <w:r>
        <w:rPr>
          <w:rFonts w:eastAsia="方正仿宋_GBK"/>
          <w:color w:val="000000"/>
          <w:spacing w:val="-2"/>
          <w:kern w:val="0"/>
          <w:sz w:val="24"/>
        </w:rPr>
        <w:t>6</w:t>
      </w:r>
      <w:r>
        <w:rPr>
          <w:rFonts w:hint="eastAsia" w:eastAsia="方正仿宋_GBK"/>
          <w:color w:val="000000"/>
          <w:spacing w:val="-2"/>
          <w:kern w:val="0"/>
          <w:sz w:val="24"/>
        </w:rPr>
        <w:t>、及时整理文件资料，建立健全工程项目档案，并自竣工备案后三个月内向城建档案管理部门移交建设项目档案。</w:t>
      </w:r>
    </w:p>
    <w:p>
      <w:pPr>
        <w:shd w:val="clear" w:color="auto" w:fill="FFFFFF"/>
        <w:spacing w:line="460" w:lineRule="exact"/>
        <w:ind w:firstLine="472" w:firstLineChars="200"/>
        <w:jc w:val="left"/>
        <w:rPr>
          <w:rFonts w:eastAsia="方正仿宋_GBK"/>
          <w:color w:val="000000"/>
          <w:spacing w:val="-2"/>
          <w:kern w:val="0"/>
          <w:sz w:val="24"/>
        </w:rPr>
      </w:pPr>
      <w:r>
        <w:rPr>
          <w:rFonts w:eastAsia="方正仿宋_GBK"/>
          <w:color w:val="000000"/>
          <w:spacing w:val="-2"/>
          <w:kern w:val="0"/>
          <w:sz w:val="24"/>
        </w:rPr>
        <w:t>7</w:t>
      </w:r>
      <w:r>
        <w:rPr>
          <w:rFonts w:hint="eastAsia" w:eastAsia="方正仿宋_GBK"/>
          <w:color w:val="000000"/>
          <w:spacing w:val="-2"/>
          <w:kern w:val="0"/>
          <w:sz w:val="24"/>
        </w:rPr>
        <w:t>、法律法规及标准规范规定的其他质量责任。</w:t>
      </w:r>
    </w:p>
    <w:p>
      <w:pPr>
        <w:shd w:val="clear" w:color="auto" w:fill="FFFFFF"/>
        <w:spacing w:line="20" w:lineRule="exact"/>
        <w:ind w:firstLine="472" w:firstLineChars="200"/>
        <w:jc w:val="left"/>
        <w:rPr>
          <w:rFonts w:eastAsia="方正仿宋_GBK"/>
          <w:color w:val="000000"/>
          <w:spacing w:val="-2"/>
          <w:kern w:val="0"/>
          <w:sz w:val="24"/>
        </w:rPr>
      </w:pPr>
    </w:p>
    <w:p>
      <w:pPr>
        <w:shd w:val="clear" w:color="auto" w:fill="FFFFFF"/>
        <w:spacing w:line="20" w:lineRule="exact"/>
        <w:ind w:firstLine="472" w:firstLineChars="200"/>
        <w:jc w:val="left"/>
        <w:rPr>
          <w:rFonts w:eastAsia="方正仿宋_GBK"/>
          <w:color w:val="000000"/>
          <w:spacing w:val="-2"/>
          <w:kern w:val="0"/>
          <w:sz w:val="24"/>
        </w:rPr>
      </w:pPr>
    </w:p>
    <w:tbl>
      <w:tblPr>
        <w:tblStyle w:val="12"/>
        <w:tblW w:w="0" w:type="auto"/>
        <w:jc w:val="center"/>
        <w:tblLayout w:type="fixed"/>
        <w:tblCellMar>
          <w:top w:w="0" w:type="dxa"/>
          <w:left w:w="0" w:type="dxa"/>
          <w:bottom w:w="0" w:type="dxa"/>
          <w:right w:w="0" w:type="dxa"/>
        </w:tblCellMar>
      </w:tblPr>
      <w:tblGrid>
        <w:gridCol w:w="1767"/>
        <w:gridCol w:w="2733"/>
        <w:gridCol w:w="3946"/>
      </w:tblGrid>
      <w:tr>
        <w:tblPrEx>
          <w:tblCellMar>
            <w:top w:w="0" w:type="dxa"/>
            <w:left w:w="0" w:type="dxa"/>
            <w:bottom w:w="0" w:type="dxa"/>
            <w:right w:w="0" w:type="dxa"/>
          </w:tblCellMar>
        </w:tblPrEx>
        <w:trPr>
          <w:trHeight w:val="742" w:hRule="atLeast"/>
          <w:jc w:val="center"/>
        </w:trPr>
        <w:tc>
          <w:tcPr>
            <w:tcW w:w="1767" w:type="dxa"/>
            <w:tcBorders>
              <w:top w:val="single" w:color="auto" w:sz="8" w:space="0"/>
              <w:left w:val="single" w:color="auto" w:sz="8" w:space="0"/>
              <w:bottom w:val="single" w:color="auto" w:sz="4" w:space="0"/>
              <w:right w:val="single" w:color="auto" w:sz="4" w:space="0"/>
            </w:tcBorders>
            <w:noWrap w:val="0"/>
            <w:vAlign w:val="center"/>
          </w:tcPr>
          <w:p>
            <w:pPr>
              <w:spacing w:line="240" w:lineRule="exact"/>
              <w:jc w:val="center"/>
              <w:outlineLvl w:val="0"/>
              <w:rPr>
                <w:rFonts w:eastAsia="方正仿宋_GBK"/>
                <w:b/>
                <w:bCs/>
                <w:color w:val="000000"/>
                <w:spacing w:val="-2"/>
                <w:kern w:val="36"/>
                <w:sz w:val="24"/>
              </w:rPr>
            </w:pPr>
            <w:bookmarkStart w:id="517" w:name="_Toc20668051"/>
            <w:bookmarkStart w:id="518" w:name="_Toc18315721"/>
            <w:bookmarkStart w:id="519" w:name="_Toc20726580"/>
            <w:r>
              <w:rPr>
                <w:rFonts w:hint="eastAsia" w:eastAsia="方正仿宋_GBK"/>
                <w:color w:val="000000"/>
                <w:spacing w:val="-2"/>
                <w:kern w:val="36"/>
                <w:sz w:val="24"/>
              </w:rPr>
              <w:t>项目负责人</w:t>
            </w:r>
            <w:bookmarkEnd w:id="517"/>
            <w:bookmarkEnd w:id="518"/>
            <w:bookmarkEnd w:id="519"/>
          </w:p>
        </w:tc>
        <w:tc>
          <w:tcPr>
            <w:tcW w:w="2733" w:type="dxa"/>
            <w:tcBorders>
              <w:top w:val="single" w:color="auto" w:sz="8" w:space="0"/>
              <w:left w:val="single" w:color="auto" w:sz="4" w:space="0"/>
              <w:bottom w:val="single" w:color="auto" w:sz="4" w:space="0"/>
              <w:right w:val="single" w:color="auto" w:sz="4" w:space="0"/>
            </w:tcBorders>
            <w:noWrap w:val="0"/>
            <w:vAlign w:val="center"/>
          </w:tcPr>
          <w:p>
            <w:pPr>
              <w:spacing w:line="240" w:lineRule="exact"/>
              <w:jc w:val="center"/>
              <w:outlineLvl w:val="0"/>
              <w:rPr>
                <w:rFonts w:eastAsia="方正仿宋_GBK"/>
                <w:b/>
                <w:bCs/>
                <w:color w:val="000000"/>
                <w:spacing w:val="-2"/>
                <w:kern w:val="36"/>
                <w:sz w:val="24"/>
              </w:rPr>
            </w:pPr>
            <w:r>
              <w:rPr>
                <w:rFonts w:eastAsia="方正仿宋_GBK"/>
                <w:color w:val="000000"/>
                <w:spacing w:val="-2"/>
                <w:kern w:val="36"/>
                <w:sz w:val="24"/>
              </w:rPr>
              <w:t> </w:t>
            </w:r>
          </w:p>
        </w:tc>
        <w:tc>
          <w:tcPr>
            <w:tcW w:w="3946" w:type="dxa"/>
            <w:vMerge w:val="restart"/>
            <w:tcBorders>
              <w:top w:val="single" w:color="auto" w:sz="8" w:space="0"/>
              <w:left w:val="single" w:color="auto" w:sz="4" w:space="0"/>
              <w:bottom w:val="single" w:color="auto" w:sz="8" w:space="0"/>
              <w:right w:val="single" w:color="auto" w:sz="8" w:space="0"/>
            </w:tcBorders>
            <w:noWrap w:val="0"/>
            <w:vAlign w:val="center"/>
          </w:tcPr>
          <w:p>
            <w:pPr>
              <w:spacing w:line="240" w:lineRule="exact"/>
              <w:jc w:val="left"/>
              <w:outlineLvl w:val="0"/>
              <w:rPr>
                <w:rFonts w:eastAsia="方正仿宋_GBK"/>
                <w:b/>
                <w:bCs/>
                <w:color w:val="000000"/>
                <w:spacing w:val="-2"/>
                <w:kern w:val="36"/>
                <w:sz w:val="24"/>
              </w:rPr>
            </w:pPr>
            <w:bookmarkStart w:id="520" w:name="_Toc18315722"/>
            <w:bookmarkStart w:id="521" w:name="_Toc20726581"/>
            <w:bookmarkStart w:id="522" w:name="_Toc20668052"/>
            <w:r>
              <w:rPr>
                <w:rFonts w:hint="eastAsia" w:eastAsia="方正仿宋_GBK"/>
                <w:color w:val="000000"/>
                <w:spacing w:val="-2"/>
                <w:kern w:val="36"/>
                <w:sz w:val="24"/>
              </w:rPr>
              <w:t>承诺人签名：</w:t>
            </w:r>
            <w:bookmarkEnd w:id="520"/>
            <w:bookmarkEnd w:id="521"/>
            <w:bookmarkEnd w:id="522"/>
          </w:p>
          <w:p>
            <w:pPr>
              <w:spacing w:line="240" w:lineRule="exact"/>
              <w:rPr>
                <w:rFonts w:eastAsia="方正仿宋_GBK"/>
                <w:color w:val="000000"/>
                <w:spacing w:val="-2"/>
                <w:kern w:val="36"/>
                <w:sz w:val="24"/>
              </w:rPr>
            </w:pPr>
            <w:r>
              <w:rPr>
                <w:rFonts w:eastAsia="方正仿宋_GBK"/>
                <w:color w:val="000000"/>
                <w:spacing w:val="-2"/>
                <w:kern w:val="36"/>
                <w:sz w:val="24"/>
              </w:rPr>
              <w:t xml:space="preserve">             </w:t>
            </w:r>
          </w:p>
          <w:p>
            <w:pPr>
              <w:spacing w:line="240" w:lineRule="exact"/>
              <w:ind w:firstLine="2478" w:firstLineChars="1050"/>
              <w:rPr>
                <w:rFonts w:eastAsia="方正仿宋_GBK"/>
                <w:color w:val="000000"/>
                <w:spacing w:val="-2"/>
                <w:kern w:val="36"/>
                <w:sz w:val="24"/>
              </w:rPr>
            </w:pPr>
            <w:r>
              <w:rPr>
                <w:rFonts w:hint="eastAsia" w:eastAsia="方正仿宋_GBK"/>
                <w:color w:val="000000"/>
                <w:spacing w:val="-2"/>
                <w:kern w:val="36"/>
                <w:sz w:val="24"/>
              </w:rPr>
              <w:t>年</w:t>
            </w:r>
            <w:r>
              <w:rPr>
                <w:rFonts w:eastAsia="方正仿宋_GBK"/>
                <w:color w:val="000000"/>
                <w:spacing w:val="-2"/>
                <w:kern w:val="36"/>
                <w:sz w:val="24"/>
              </w:rPr>
              <w:t>    </w:t>
            </w:r>
            <w:r>
              <w:rPr>
                <w:rFonts w:hint="eastAsia" w:eastAsia="方正仿宋_GBK"/>
                <w:color w:val="000000"/>
                <w:spacing w:val="-2"/>
                <w:kern w:val="36"/>
                <w:sz w:val="24"/>
              </w:rPr>
              <w:t>月</w:t>
            </w:r>
            <w:r>
              <w:rPr>
                <w:rFonts w:eastAsia="方正仿宋_GBK"/>
                <w:color w:val="000000"/>
                <w:spacing w:val="-2"/>
                <w:kern w:val="36"/>
                <w:sz w:val="24"/>
              </w:rPr>
              <w:t xml:space="preserve">    </w:t>
            </w:r>
            <w:r>
              <w:rPr>
                <w:rFonts w:hint="eastAsia" w:eastAsia="方正仿宋_GBK"/>
                <w:color w:val="000000"/>
                <w:spacing w:val="-2"/>
                <w:kern w:val="36"/>
                <w:sz w:val="24"/>
              </w:rPr>
              <w:t>日</w:t>
            </w:r>
          </w:p>
          <w:p>
            <w:pPr>
              <w:spacing w:line="240" w:lineRule="exact"/>
              <w:rPr>
                <w:rFonts w:eastAsia="方正仿宋_GBK"/>
                <w:color w:val="000000"/>
                <w:spacing w:val="-2"/>
                <w:kern w:val="36"/>
                <w:sz w:val="24"/>
              </w:rPr>
            </w:pPr>
          </w:p>
          <w:p>
            <w:pPr>
              <w:spacing w:line="240" w:lineRule="exact"/>
              <w:rPr>
                <w:rFonts w:eastAsia="方正仿宋_GBK"/>
                <w:color w:val="000000"/>
                <w:spacing w:val="-2"/>
                <w:kern w:val="0"/>
                <w:sz w:val="24"/>
              </w:rPr>
            </w:pPr>
            <w:r>
              <w:rPr>
                <w:rFonts w:hint="eastAsia" w:eastAsia="方正仿宋_GBK"/>
                <w:color w:val="000000"/>
                <w:spacing w:val="-2"/>
                <w:kern w:val="0"/>
                <w:sz w:val="24"/>
              </w:rPr>
              <w:t>单位（公章）：</w:t>
            </w:r>
          </w:p>
          <w:p>
            <w:pPr>
              <w:spacing w:line="240" w:lineRule="exact"/>
              <w:ind w:right="280"/>
              <w:jc w:val="right"/>
              <w:outlineLvl w:val="0"/>
              <w:rPr>
                <w:rFonts w:eastAsia="方正仿宋_GBK"/>
                <w:b/>
                <w:bCs/>
                <w:color w:val="000000"/>
                <w:spacing w:val="-2"/>
                <w:kern w:val="36"/>
                <w:sz w:val="24"/>
              </w:rPr>
            </w:pPr>
            <w:bookmarkStart w:id="523" w:name="_Toc18315723"/>
            <w:bookmarkStart w:id="524" w:name="_Toc20726582"/>
            <w:bookmarkStart w:id="525" w:name="_Toc20668053"/>
            <w:r>
              <w:rPr>
                <w:rFonts w:hint="eastAsia" w:eastAsia="方正仿宋_GBK"/>
                <w:color w:val="000000"/>
                <w:spacing w:val="-2"/>
                <w:kern w:val="36"/>
                <w:sz w:val="24"/>
              </w:rPr>
              <w:t>年</w:t>
            </w:r>
            <w:r>
              <w:rPr>
                <w:rFonts w:eastAsia="方正仿宋_GBK"/>
                <w:color w:val="000000"/>
                <w:spacing w:val="-2"/>
                <w:kern w:val="36"/>
                <w:sz w:val="24"/>
              </w:rPr>
              <w:t>    </w:t>
            </w:r>
            <w:r>
              <w:rPr>
                <w:rFonts w:hint="eastAsia" w:eastAsia="方正仿宋_GBK"/>
                <w:color w:val="000000"/>
                <w:spacing w:val="-2"/>
                <w:kern w:val="36"/>
                <w:sz w:val="24"/>
              </w:rPr>
              <w:t>月</w:t>
            </w:r>
            <w:r>
              <w:rPr>
                <w:rFonts w:eastAsia="方正仿宋_GBK"/>
                <w:color w:val="000000"/>
                <w:spacing w:val="-2"/>
                <w:kern w:val="36"/>
                <w:sz w:val="24"/>
              </w:rPr>
              <w:t xml:space="preserve">    </w:t>
            </w:r>
            <w:r>
              <w:rPr>
                <w:rFonts w:hint="eastAsia" w:eastAsia="方正仿宋_GBK"/>
                <w:color w:val="000000"/>
                <w:spacing w:val="-2"/>
                <w:kern w:val="36"/>
                <w:sz w:val="24"/>
              </w:rPr>
              <w:t>日</w:t>
            </w:r>
            <w:bookmarkEnd w:id="523"/>
            <w:bookmarkEnd w:id="524"/>
            <w:bookmarkEnd w:id="525"/>
          </w:p>
        </w:tc>
      </w:tr>
      <w:tr>
        <w:tblPrEx>
          <w:tblCellMar>
            <w:top w:w="0" w:type="dxa"/>
            <w:left w:w="0" w:type="dxa"/>
            <w:bottom w:w="0" w:type="dxa"/>
            <w:right w:w="0" w:type="dxa"/>
          </w:tblCellMar>
        </w:tblPrEx>
        <w:trPr>
          <w:trHeight w:val="665" w:hRule="atLeast"/>
          <w:jc w:val="center"/>
        </w:trPr>
        <w:tc>
          <w:tcPr>
            <w:tcW w:w="1767" w:type="dxa"/>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outlineLvl w:val="0"/>
              <w:rPr>
                <w:rFonts w:eastAsia="方正仿宋_GBK"/>
                <w:b/>
                <w:bCs/>
                <w:color w:val="000000"/>
                <w:spacing w:val="-2"/>
                <w:kern w:val="36"/>
                <w:sz w:val="24"/>
              </w:rPr>
            </w:pPr>
            <w:bookmarkStart w:id="526" w:name="_Toc20726583"/>
            <w:bookmarkStart w:id="527" w:name="_Toc20668054"/>
            <w:bookmarkStart w:id="528" w:name="_Toc18315724"/>
            <w:r>
              <w:rPr>
                <w:rFonts w:hint="eastAsia" w:eastAsia="方正仿宋_GBK"/>
                <w:color w:val="000000"/>
                <w:spacing w:val="-2"/>
                <w:kern w:val="36"/>
                <w:sz w:val="24"/>
              </w:rPr>
              <w:t>身份证号码</w:t>
            </w:r>
            <w:bookmarkEnd w:id="526"/>
            <w:bookmarkEnd w:id="527"/>
            <w:bookmarkEnd w:id="528"/>
          </w:p>
        </w:tc>
        <w:tc>
          <w:tcPr>
            <w:tcW w:w="2733"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outlineLvl w:val="0"/>
              <w:rPr>
                <w:rFonts w:eastAsia="方正仿宋_GBK"/>
                <w:b/>
                <w:bCs/>
                <w:color w:val="000000"/>
                <w:spacing w:val="-2"/>
                <w:kern w:val="36"/>
                <w:sz w:val="24"/>
              </w:rPr>
            </w:pPr>
            <w:r>
              <w:rPr>
                <w:rFonts w:eastAsia="方正仿宋_GBK"/>
                <w:color w:val="000000"/>
                <w:spacing w:val="-2"/>
                <w:kern w:val="36"/>
                <w:sz w:val="24"/>
              </w:rPr>
              <w:t> </w:t>
            </w:r>
          </w:p>
        </w:tc>
        <w:tc>
          <w:tcPr>
            <w:tcW w:w="3946" w:type="dxa"/>
            <w:vMerge w:val="continue"/>
            <w:tcBorders>
              <w:top w:val="single" w:color="auto" w:sz="8" w:space="0"/>
              <w:left w:val="single" w:color="auto" w:sz="4" w:space="0"/>
              <w:bottom w:val="single" w:color="auto" w:sz="8" w:space="0"/>
              <w:right w:val="single" w:color="auto" w:sz="8" w:space="0"/>
            </w:tcBorders>
            <w:noWrap w:val="0"/>
            <w:vAlign w:val="center"/>
          </w:tcPr>
          <w:p>
            <w:pPr>
              <w:widowControl/>
              <w:jc w:val="left"/>
              <w:rPr>
                <w:rFonts w:eastAsia="方正仿宋_GBK"/>
                <w:b/>
                <w:bCs/>
                <w:color w:val="000000"/>
                <w:spacing w:val="-2"/>
                <w:kern w:val="36"/>
                <w:sz w:val="24"/>
              </w:rPr>
            </w:pPr>
          </w:p>
        </w:tc>
      </w:tr>
      <w:tr>
        <w:tblPrEx>
          <w:tblCellMar>
            <w:top w:w="0" w:type="dxa"/>
            <w:left w:w="0" w:type="dxa"/>
            <w:bottom w:w="0" w:type="dxa"/>
            <w:right w:w="0" w:type="dxa"/>
          </w:tblCellMar>
        </w:tblPrEx>
        <w:trPr>
          <w:trHeight w:val="713" w:hRule="atLeast"/>
          <w:jc w:val="center"/>
        </w:trPr>
        <w:tc>
          <w:tcPr>
            <w:tcW w:w="1767" w:type="dxa"/>
            <w:tcBorders>
              <w:top w:val="single" w:color="auto" w:sz="4" w:space="0"/>
              <w:left w:val="single" w:color="auto" w:sz="8" w:space="0"/>
              <w:bottom w:val="single" w:color="auto" w:sz="8" w:space="0"/>
              <w:right w:val="single" w:color="auto" w:sz="4" w:space="0"/>
            </w:tcBorders>
            <w:noWrap w:val="0"/>
            <w:vAlign w:val="center"/>
          </w:tcPr>
          <w:p>
            <w:pPr>
              <w:spacing w:line="240" w:lineRule="exact"/>
              <w:jc w:val="center"/>
              <w:outlineLvl w:val="0"/>
              <w:rPr>
                <w:rFonts w:eastAsia="方正仿宋_GBK"/>
                <w:color w:val="000000"/>
                <w:spacing w:val="-2"/>
                <w:kern w:val="36"/>
                <w:sz w:val="24"/>
              </w:rPr>
            </w:pPr>
            <w:bookmarkStart w:id="529" w:name="_Toc20668055"/>
            <w:bookmarkStart w:id="530" w:name="_Toc20726584"/>
            <w:bookmarkStart w:id="531" w:name="_Toc18315725"/>
            <w:r>
              <w:rPr>
                <w:rFonts w:hint="eastAsia" w:eastAsia="方正仿宋_GBK"/>
                <w:color w:val="000000"/>
                <w:spacing w:val="-2"/>
                <w:kern w:val="36"/>
                <w:sz w:val="24"/>
              </w:rPr>
              <w:t>联系方式</w:t>
            </w:r>
            <w:bookmarkEnd w:id="529"/>
            <w:bookmarkEnd w:id="530"/>
            <w:bookmarkEnd w:id="531"/>
          </w:p>
        </w:tc>
        <w:tc>
          <w:tcPr>
            <w:tcW w:w="2733" w:type="dxa"/>
            <w:tcBorders>
              <w:top w:val="single" w:color="auto" w:sz="4" w:space="0"/>
              <w:left w:val="single" w:color="auto" w:sz="4" w:space="0"/>
              <w:bottom w:val="single" w:color="auto" w:sz="8" w:space="0"/>
              <w:right w:val="single" w:color="auto" w:sz="4" w:space="0"/>
            </w:tcBorders>
            <w:noWrap w:val="0"/>
            <w:vAlign w:val="center"/>
          </w:tcPr>
          <w:p>
            <w:pPr>
              <w:spacing w:line="240" w:lineRule="exact"/>
              <w:jc w:val="center"/>
              <w:outlineLvl w:val="0"/>
              <w:rPr>
                <w:rFonts w:eastAsia="方正仿宋_GBK"/>
                <w:color w:val="000000"/>
                <w:spacing w:val="-2"/>
                <w:kern w:val="36"/>
                <w:sz w:val="24"/>
              </w:rPr>
            </w:pPr>
          </w:p>
        </w:tc>
        <w:tc>
          <w:tcPr>
            <w:tcW w:w="3946" w:type="dxa"/>
            <w:vMerge w:val="continue"/>
            <w:tcBorders>
              <w:top w:val="single" w:color="auto" w:sz="8" w:space="0"/>
              <w:left w:val="single" w:color="auto" w:sz="4" w:space="0"/>
              <w:bottom w:val="single" w:color="auto" w:sz="8" w:space="0"/>
              <w:right w:val="single" w:color="auto" w:sz="8" w:space="0"/>
            </w:tcBorders>
            <w:noWrap w:val="0"/>
            <w:vAlign w:val="center"/>
          </w:tcPr>
          <w:p>
            <w:pPr>
              <w:widowControl/>
              <w:jc w:val="left"/>
              <w:rPr>
                <w:rFonts w:eastAsia="方正仿宋_GBK"/>
                <w:b/>
                <w:bCs/>
                <w:color w:val="000000"/>
                <w:spacing w:val="-2"/>
                <w:kern w:val="36"/>
                <w:sz w:val="24"/>
              </w:rPr>
            </w:pPr>
          </w:p>
        </w:tc>
      </w:tr>
    </w:tbl>
    <w:p>
      <w:pPr>
        <w:spacing w:line="360" w:lineRule="exact"/>
        <w:rPr>
          <w:rFonts w:ascii="Times New Roman" w:eastAsia="方正楷体_GBK"/>
          <w:color w:val="000000"/>
          <w:spacing w:val="-2"/>
          <w:szCs w:val="21"/>
        </w:rPr>
      </w:pPr>
      <w:r>
        <w:rPr>
          <w:rFonts w:hint="eastAsia" w:ascii="Times New Roman" w:eastAsia="方正楷体_GBK"/>
          <w:color w:val="000000"/>
          <w:spacing w:val="-2"/>
          <w:szCs w:val="21"/>
        </w:rPr>
        <w:t>注：本承诺书一式三份，一份在办理质量监督手续前，报质量监督机构备案；一份由建设单位收集管理，工程竣工验收合格后移交城建档案管理部门；一份各方责任主体留存。</w:t>
      </w:r>
    </w:p>
    <w:p>
      <w:pPr>
        <w:shd w:val="clear" w:color="auto" w:fill="FFFFFF"/>
        <w:spacing w:line="460" w:lineRule="exact"/>
        <w:jc w:val="center"/>
        <w:rPr>
          <w:rFonts w:hint="eastAsia" w:eastAsia="方正仿宋_GBK"/>
          <w:color w:val="000000"/>
          <w:spacing w:val="-2"/>
          <w:sz w:val="24"/>
        </w:rPr>
      </w:pPr>
      <w:r>
        <w:rPr>
          <w:rFonts w:hint="eastAsia" w:ascii="Times New Roman" w:eastAsia="方正楷体_GBK"/>
          <w:color w:val="000000"/>
          <w:spacing w:val="-2"/>
          <w:szCs w:val="21"/>
        </w:rPr>
        <w:br w:type="page"/>
      </w:r>
    </w:p>
    <w:p>
      <w:pPr>
        <w:shd w:val="clear" w:color="auto" w:fill="FFFFFF"/>
        <w:spacing w:line="460" w:lineRule="exact"/>
        <w:jc w:val="center"/>
        <w:rPr>
          <w:rFonts w:ascii="Times New Roman" w:eastAsia="方正黑体_GBK"/>
          <w:color w:val="000000"/>
          <w:spacing w:val="-2"/>
          <w:kern w:val="0"/>
          <w:sz w:val="28"/>
          <w:szCs w:val="28"/>
        </w:rPr>
      </w:pPr>
      <w:r>
        <w:rPr>
          <w:rFonts w:hint="eastAsia" w:ascii="Times New Roman" w:eastAsia="方正黑体_GBK"/>
          <w:color w:val="000000"/>
          <w:spacing w:val="-2"/>
          <w:kern w:val="0"/>
          <w:sz w:val="28"/>
          <w:szCs w:val="28"/>
        </w:rPr>
        <w:t>勘察单位项目负责人质量终身责任承诺书</w:t>
      </w:r>
    </w:p>
    <w:p>
      <w:pPr>
        <w:pStyle w:val="10"/>
        <w:widowControl w:val="0"/>
        <w:shd w:val="clear" w:color="auto" w:fill="FFFFFF"/>
        <w:spacing w:before="0" w:beforeAutospacing="0" w:after="0" w:afterAutospacing="0" w:line="460" w:lineRule="exact"/>
        <w:jc w:val="center"/>
        <w:rPr>
          <w:rFonts w:hint="eastAsia" w:ascii="Times New Roman" w:hAnsi="Times New Roman" w:eastAsia="方正仿宋_GBK"/>
          <w:bCs/>
          <w:color w:val="000000"/>
          <w:spacing w:val="-2"/>
        </w:rPr>
      </w:pPr>
    </w:p>
    <w:p>
      <w:pPr>
        <w:shd w:val="clear" w:color="auto" w:fill="FFFFFF"/>
        <w:spacing w:line="460" w:lineRule="exact"/>
        <w:jc w:val="left"/>
        <w:rPr>
          <w:rFonts w:eastAsia="方正仿宋_GBK"/>
          <w:color w:val="000000"/>
          <w:spacing w:val="-2"/>
          <w:kern w:val="0"/>
          <w:sz w:val="24"/>
          <w:u w:val="single"/>
        </w:rPr>
      </w:pPr>
      <w:r>
        <w:rPr>
          <w:rFonts w:eastAsia="方正仿宋_GBK"/>
          <w:b/>
          <w:color w:val="000000"/>
          <w:spacing w:val="-2"/>
          <w:kern w:val="0"/>
          <w:sz w:val="24"/>
        </w:rPr>
        <w:t xml:space="preserve">    </w:t>
      </w:r>
      <w:r>
        <w:rPr>
          <w:rFonts w:hint="eastAsia" w:eastAsia="方正仿宋_GBK"/>
          <w:b/>
          <w:color w:val="000000"/>
          <w:spacing w:val="-2"/>
          <w:kern w:val="0"/>
          <w:sz w:val="24"/>
        </w:rPr>
        <w:t>本人承诺：</w:t>
      </w:r>
      <w:r>
        <w:rPr>
          <w:rFonts w:hint="eastAsia" w:eastAsia="方正仿宋_GBK"/>
          <w:color w:val="000000"/>
          <w:spacing w:val="-2"/>
          <w:kern w:val="0"/>
          <w:sz w:val="24"/>
        </w:rPr>
        <w:t>在</w:t>
      </w:r>
      <w:r>
        <w:rPr>
          <w:rFonts w:eastAsia="方正仿宋_GBK"/>
          <w:color w:val="000000"/>
          <w:spacing w:val="-2"/>
          <w:kern w:val="0"/>
          <w:sz w:val="24"/>
        </w:rPr>
        <w:t xml:space="preserve"> </w:t>
      </w:r>
      <w:r>
        <w:rPr>
          <w:rFonts w:eastAsia="方正仿宋_GBK"/>
          <w:color w:val="000000"/>
          <w:spacing w:val="-2"/>
          <w:kern w:val="0"/>
          <w:sz w:val="24"/>
          <w:u w:val="single"/>
        </w:rPr>
        <w:t xml:space="preserve">                                    </w:t>
      </w:r>
      <w:r>
        <w:rPr>
          <w:rFonts w:hint="eastAsia" w:eastAsia="方正仿宋_GBK"/>
          <w:color w:val="000000"/>
          <w:spacing w:val="-2"/>
          <w:kern w:val="0"/>
          <w:sz w:val="24"/>
        </w:rPr>
        <w:t>工程建设过程中认真履行下列职责，并承担相应终身质量责任。</w:t>
      </w:r>
    </w:p>
    <w:p>
      <w:pPr>
        <w:shd w:val="clear" w:color="auto" w:fill="FFFFFF"/>
        <w:spacing w:line="460" w:lineRule="exact"/>
        <w:ind w:firstLine="472" w:firstLineChars="200"/>
        <w:jc w:val="left"/>
        <w:rPr>
          <w:rFonts w:eastAsia="方正仿宋_GBK"/>
          <w:color w:val="000000"/>
          <w:spacing w:val="-2"/>
          <w:kern w:val="0"/>
          <w:sz w:val="24"/>
        </w:rPr>
      </w:pPr>
      <w:r>
        <w:rPr>
          <w:rFonts w:eastAsia="方正仿宋_GBK"/>
          <w:color w:val="000000"/>
          <w:spacing w:val="-2"/>
          <w:kern w:val="0"/>
          <w:sz w:val="24"/>
        </w:rPr>
        <w:t>1</w:t>
      </w:r>
      <w:r>
        <w:rPr>
          <w:rFonts w:hint="eastAsia" w:eastAsia="方正仿宋_GBK"/>
          <w:color w:val="000000"/>
          <w:spacing w:val="-2"/>
          <w:kern w:val="0"/>
          <w:sz w:val="24"/>
        </w:rPr>
        <w:t>、严格按照本单位核定的工程勘察资质等级和业务范围开展勘察业务，无越级和超范围勘察或以其他工程勘察单位的名义承揽勘察业务，未转包或违法分包所承揽的勘察业务。依法签订工程勘察业务合同，自觉执行国家规定的工程勘察收费标准，无恶性压价竞争情况。</w:t>
      </w:r>
    </w:p>
    <w:p>
      <w:pPr>
        <w:shd w:val="clear" w:color="auto" w:fill="FFFFFF"/>
        <w:spacing w:line="460" w:lineRule="exact"/>
        <w:ind w:firstLine="472" w:firstLineChars="200"/>
        <w:jc w:val="left"/>
        <w:rPr>
          <w:rFonts w:eastAsia="方正仿宋_GBK"/>
          <w:color w:val="000000"/>
          <w:spacing w:val="-8"/>
          <w:kern w:val="0"/>
          <w:sz w:val="24"/>
        </w:rPr>
      </w:pPr>
      <w:r>
        <w:rPr>
          <w:rFonts w:eastAsia="方正仿宋_GBK"/>
          <w:color w:val="000000"/>
          <w:spacing w:val="-2"/>
          <w:kern w:val="0"/>
          <w:sz w:val="24"/>
        </w:rPr>
        <w:t>2</w:t>
      </w:r>
      <w:r>
        <w:rPr>
          <w:rFonts w:hint="eastAsia" w:eastAsia="方正仿宋_GBK"/>
          <w:color w:val="000000"/>
          <w:spacing w:val="-2"/>
          <w:kern w:val="0"/>
          <w:sz w:val="24"/>
        </w:rPr>
        <w:t>、</w:t>
      </w:r>
      <w:r>
        <w:rPr>
          <w:rFonts w:hint="eastAsia" w:eastAsia="方正仿宋_GBK"/>
          <w:color w:val="000000"/>
          <w:spacing w:val="-8"/>
          <w:kern w:val="0"/>
          <w:sz w:val="24"/>
        </w:rPr>
        <w:t>严格执行工程建设强制性标准，坚决杜绝弄虚作假，不提供虚假的勘察成果资料。</w:t>
      </w:r>
    </w:p>
    <w:p>
      <w:pPr>
        <w:shd w:val="clear" w:color="auto" w:fill="FFFFFF"/>
        <w:spacing w:line="460" w:lineRule="exact"/>
        <w:ind w:firstLine="472" w:firstLineChars="200"/>
        <w:jc w:val="left"/>
        <w:rPr>
          <w:rFonts w:eastAsia="方正仿宋_GBK"/>
          <w:color w:val="000000"/>
          <w:spacing w:val="-2"/>
          <w:kern w:val="0"/>
          <w:sz w:val="24"/>
        </w:rPr>
      </w:pPr>
      <w:r>
        <w:rPr>
          <w:rFonts w:eastAsia="方正仿宋_GBK"/>
          <w:color w:val="000000"/>
          <w:spacing w:val="-2"/>
          <w:kern w:val="0"/>
          <w:sz w:val="24"/>
        </w:rPr>
        <w:t>3</w:t>
      </w:r>
      <w:r>
        <w:rPr>
          <w:rFonts w:hint="eastAsia" w:eastAsia="方正仿宋_GBK"/>
          <w:color w:val="000000"/>
          <w:spacing w:val="-2"/>
          <w:kern w:val="0"/>
          <w:sz w:val="24"/>
        </w:rPr>
        <w:t>、在勘察过程中及时整理、核对工程勘察工作的原始记录，确保取样、记录的真实、准确，无离开现场追记或者补记情况。室内试验符合有关规范、规程的要求。</w:t>
      </w:r>
    </w:p>
    <w:p>
      <w:pPr>
        <w:shd w:val="clear" w:color="auto" w:fill="FFFFFF"/>
        <w:spacing w:line="460" w:lineRule="exact"/>
        <w:ind w:firstLine="472" w:firstLineChars="200"/>
        <w:jc w:val="left"/>
        <w:rPr>
          <w:rFonts w:eastAsia="方正仿宋_GBK"/>
          <w:color w:val="000000"/>
          <w:spacing w:val="-2"/>
          <w:kern w:val="0"/>
          <w:sz w:val="24"/>
        </w:rPr>
      </w:pPr>
      <w:r>
        <w:rPr>
          <w:rFonts w:eastAsia="方正仿宋_GBK"/>
          <w:color w:val="000000"/>
          <w:spacing w:val="-2"/>
          <w:kern w:val="0"/>
          <w:sz w:val="24"/>
        </w:rPr>
        <w:t>4</w:t>
      </w:r>
      <w:r>
        <w:rPr>
          <w:rFonts w:hint="eastAsia" w:eastAsia="方正仿宋_GBK"/>
          <w:color w:val="000000"/>
          <w:spacing w:val="-2"/>
          <w:kern w:val="0"/>
          <w:sz w:val="24"/>
        </w:rPr>
        <w:t>、确保本单位向业主提供的勘察文件真实、准确，相关的签字、盖章手续齐全，符合国家规定的勘察文件编制深度要求。</w:t>
      </w:r>
    </w:p>
    <w:p>
      <w:pPr>
        <w:shd w:val="clear" w:color="auto" w:fill="FFFFFF"/>
        <w:spacing w:line="460" w:lineRule="exact"/>
        <w:ind w:firstLine="472" w:firstLineChars="200"/>
        <w:jc w:val="left"/>
        <w:rPr>
          <w:rFonts w:eastAsia="方正仿宋_GBK"/>
          <w:color w:val="000000"/>
          <w:spacing w:val="-2"/>
          <w:kern w:val="0"/>
          <w:sz w:val="24"/>
        </w:rPr>
      </w:pPr>
      <w:r>
        <w:rPr>
          <w:rFonts w:eastAsia="方正仿宋_GBK"/>
          <w:color w:val="000000"/>
          <w:spacing w:val="-2"/>
          <w:kern w:val="0"/>
          <w:sz w:val="24"/>
        </w:rPr>
        <w:t>5</w:t>
      </w:r>
      <w:r>
        <w:rPr>
          <w:rFonts w:hint="eastAsia" w:eastAsia="方正仿宋_GBK"/>
          <w:color w:val="000000"/>
          <w:spacing w:val="-2"/>
          <w:kern w:val="0"/>
          <w:sz w:val="24"/>
        </w:rPr>
        <w:t>、及时将勘察报告及相关原始资料归档保存。</w:t>
      </w:r>
    </w:p>
    <w:p>
      <w:pPr>
        <w:shd w:val="clear" w:color="auto" w:fill="FFFFFF"/>
        <w:spacing w:line="460" w:lineRule="exact"/>
        <w:ind w:firstLine="472" w:firstLineChars="200"/>
        <w:jc w:val="left"/>
        <w:rPr>
          <w:rFonts w:eastAsia="方正仿宋_GBK"/>
          <w:color w:val="000000"/>
          <w:spacing w:val="-2"/>
          <w:kern w:val="0"/>
          <w:sz w:val="24"/>
        </w:rPr>
      </w:pPr>
      <w:r>
        <w:rPr>
          <w:rFonts w:eastAsia="方正仿宋_GBK"/>
          <w:color w:val="000000"/>
          <w:spacing w:val="-2"/>
          <w:kern w:val="0"/>
          <w:sz w:val="24"/>
        </w:rPr>
        <w:t>6</w:t>
      </w:r>
      <w:r>
        <w:rPr>
          <w:rFonts w:hint="eastAsia" w:eastAsia="方正仿宋_GBK"/>
          <w:color w:val="000000"/>
          <w:spacing w:val="-2"/>
          <w:kern w:val="0"/>
          <w:sz w:val="24"/>
        </w:rPr>
        <w:t>、参与施工验槽，及时解决工程设计和施工中与勘察工作有关的问题。</w:t>
      </w:r>
    </w:p>
    <w:p>
      <w:pPr>
        <w:shd w:val="clear" w:color="auto" w:fill="FFFFFF"/>
        <w:spacing w:line="460" w:lineRule="exact"/>
        <w:ind w:firstLine="472" w:firstLineChars="200"/>
        <w:jc w:val="left"/>
        <w:rPr>
          <w:rFonts w:eastAsia="方正仿宋_GBK"/>
          <w:color w:val="000000"/>
          <w:spacing w:val="-2"/>
          <w:kern w:val="0"/>
          <w:sz w:val="24"/>
        </w:rPr>
      </w:pPr>
      <w:r>
        <w:rPr>
          <w:rFonts w:eastAsia="方正仿宋_GBK"/>
          <w:color w:val="000000"/>
          <w:spacing w:val="-2"/>
          <w:kern w:val="0"/>
          <w:sz w:val="24"/>
        </w:rPr>
        <w:t>7</w:t>
      </w:r>
      <w:r>
        <w:rPr>
          <w:rFonts w:hint="eastAsia" w:eastAsia="方正仿宋_GBK"/>
          <w:color w:val="000000"/>
          <w:spacing w:val="-2"/>
          <w:kern w:val="0"/>
          <w:sz w:val="24"/>
        </w:rPr>
        <w:t>、法律法规及标准规范规定的其他质量责任。</w:t>
      </w:r>
    </w:p>
    <w:p>
      <w:pPr>
        <w:shd w:val="clear" w:color="auto" w:fill="FFFFFF"/>
        <w:spacing w:line="460" w:lineRule="exact"/>
        <w:ind w:firstLine="472" w:firstLineChars="200"/>
        <w:jc w:val="left"/>
        <w:rPr>
          <w:rFonts w:eastAsia="方正仿宋_GBK"/>
          <w:color w:val="000000"/>
          <w:spacing w:val="-2"/>
          <w:kern w:val="0"/>
          <w:sz w:val="24"/>
          <w:u w:val="single"/>
        </w:rPr>
      </w:pPr>
      <w:r>
        <w:rPr>
          <w:rFonts w:eastAsia="方正仿宋_GBK"/>
          <w:color w:val="000000"/>
          <w:spacing w:val="-2"/>
          <w:kern w:val="0"/>
          <w:sz w:val="24"/>
        </w:rPr>
        <w:t>8</w:t>
      </w:r>
      <w:r>
        <w:rPr>
          <w:rFonts w:hint="eastAsia" w:eastAsia="方正仿宋_GBK"/>
          <w:color w:val="000000"/>
          <w:spacing w:val="-2"/>
          <w:kern w:val="0"/>
          <w:sz w:val="24"/>
        </w:rPr>
        <w:t>、本单位在本工程项目承担下列勘察业务：</w:t>
      </w:r>
      <w:r>
        <w:rPr>
          <w:rFonts w:hint="eastAsia" w:eastAsia="方正仿宋_GBK"/>
          <w:color w:val="000000"/>
          <w:spacing w:val="-2"/>
          <w:kern w:val="0"/>
          <w:sz w:val="24"/>
          <w:u w:val="single"/>
        </w:rPr>
        <w:t>（附合同复印件）</w:t>
      </w:r>
      <w:r>
        <w:rPr>
          <w:rFonts w:eastAsia="方正仿宋_GBK"/>
          <w:color w:val="000000"/>
          <w:spacing w:val="-2"/>
          <w:kern w:val="0"/>
          <w:sz w:val="24"/>
          <w:u w:val="single"/>
        </w:rPr>
        <w:t xml:space="preserve">                                                   </w:t>
      </w:r>
    </w:p>
    <w:p>
      <w:pPr>
        <w:shd w:val="clear" w:color="auto" w:fill="FFFFFF"/>
        <w:spacing w:line="460" w:lineRule="exact"/>
        <w:jc w:val="left"/>
        <w:rPr>
          <w:rFonts w:eastAsia="方正仿宋_GBK"/>
          <w:color w:val="000000"/>
          <w:spacing w:val="-2"/>
          <w:kern w:val="0"/>
          <w:sz w:val="24"/>
          <w:u w:val="single"/>
        </w:rPr>
      </w:pPr>
      <w:r>
        <w:rPr>
          <w:rFonts w:eastAsia="方正仿宋_GBK"/>
          <w:color w:val="000000"/>
          <w:spacing w:val="-2"/>
          <w:kern w:val="0"/>
          <w:sz w:val="24"/>
          <w:u w:val="single"/>
        </w:rPr>
        <w:t xml:space="preserve">                                                                           </w:t>
      </w:r>
    </w:p>
    <w:p>
      <w:pPr>
        <w:shd w:val="clear" w:color="auto" w:fill="FFFFFF"/>
        <w:spacing w:line="460" w:lineRule="exact"/>
        <w:jc w:val="left"/>
        <w:rPr>
          <w:rFonts w:eastAsia="方正仿宋_GBK"/>
          <w:color w:val="000000"/>
          <w:spacing w:val="-2"/>
          <w:kern w:val="0"/>
          <w:sz w:val="24"/>
          <w:u w:val="single"/>
        </w:rPr>
      </w:pPr>
      <w:r>
        <w:rPr>
          <w:rFonts w:eastAsia="方正仿宋_GBK"/>
          <w:color w:val="000000"/>
          <w:spacing w:val="-2"/>
          <w:kern w:val="0"/>
          <w:sz w:val="24"/>
          <w:u w:val="single"/>
        </w:rPr>
        <w:t xml:space="preserve">                                                                           </w:t>
      </w:r>
    </w:p>
    <w:p>
      <w:pPr>
        <w:shd w:val="clear" w:color="auto" w:fill="FFFFFF"/>
        <w:spacing w:line="460" w:lineRule="exact"/>
        <w:jc w:val="left"/>
        <w:rPr>
          <w:rFonts w:eastAsia="方正仿宋_GBK"/>
          <w:color w:val="000000"/>
          <w:spacing w:val="-2"/>
          <w:kern w:val="0"/>
          <w:sz w:val="24"/>
        </w:rPr>
      </w:pPr>
      <w:r>
        <w:rPr>
          <w:rFonts w:eastAsia="方正仿宋_GBK"/>
          <w:color w:val="000000"/>
          <w:spacing w:val="-2"/>
          <w:kern w:val="0"/>
          <w:sz w:val="24"/>
          <w:u w:val="single"/>
        </w:rPr>
        <w:t xml:space="preserve">                                                                         </w:t>
      </w:r>
      <w:r>
        <w:rPr>
          <w:rFonts w:eastAsia="方正仿宋_GBK"/>
          <w:color w:val="000000"/>
          <w:spacing w:val="-2"/>
          <w:kern w:val="0"/>
          <w:sz w:val="24"/>
        </w:rPr>
        <w:t xml:space="preserve"> </w:t>
      </w:r>
      <w:r>
        <w:rPr>
          <w:rFonts w:hint="eastAsia" w:eastAsia="方正仿宋_GBK"/>
          <w:color w:val="000000"/>
          <w:spacing w:val="-2"/>
          <w:kern w:val="0"/>
          <w:sz w:val="24"/>
        </w:rPr>
        <w:t>。</w:t>
      </w:r>
    </w:p>
    <w:p>
      <w:pPr>
        <w:shd w:val="clear" w:color="auto" w:fill="FFFFFF"/>
        <w:spacing w:line="20" w:lineRule="exact"/>
        <w:jc w:val="left"/>
        <w:rPr>
          <w:rFonts w:eastAsia="方正仿宋_GBK"/>
          <w:color w:val="000000"/>
          <w:spacing w:val="-2"/>
          <w:kern w:val="0"/>
          <w:sz w:val="24"/>
        </w:rPr>
      </w:pPr>
    </w:p>
    <w:tbl>
      <w:tblPr>
        <w:tblStyle w:val="12"/>
        <w:tblW w:w="0" w:type="auto"/>
        <w:jc w:val="center"/>
        <w:tblLayout w:type="fixed"/>
        <w:tblCellMar>
          <w:top w:w="0" w:type="dxa"/>
          <w:left w:w="0" w:type="dxa"/>
          <w:bottom w:w="0" w:type="dxa"/>
          <w:right w:w="0" w:type="dxa"/>
        </w:tblCellMar>
      </w:tblPr>
      <w:tblGrid>
        <w:gridCol w:w="1767"/>
        <w:gridCol w:w="3027"/>
        <w:gridCol w:w="3956"/>
      </w:tblGrid>
      <w:tr>
        <w:tblPrEx>
          <w:tblCellMar>
            <w:top w:w="0" w:type="dxa"/>
            <w:left w:w="0" w:type="dxa"/>
            <w:bottom w:w="0" w:type="dxa"/>
            <w:right w:w="0" w:type="dxa"/>
          </w:tblCellMar>
        </w:tblPrEx>
        <w:trPr>
          <w:trHeight w:val="624" w:hRule="atLeast"/>
          <w:jc w:val="center"/>
        </w:trPr>
        <w:tc>
          <w:tcPr>
            <w:tcW w:w="1767" w:type="dxa"/>
            <w:tcBorders>
              <w:top w:val="single" w:color="auto" w:sz="8" w:space="0"/>
              <w:left w:val="single" w:color="auto" w:sz="8" w:space="0"/>
              <w:bottom w:val="single" w:color="auto" w:sz="4" w:space="0"/>
              <w:right w:val="single" w:color="auto" w:sz="4" w:space="0"/>
            </w:tcBorders>
            <w:noWrap w:val="0"/>
            <w:vAlign w:val="center"/>
          </w:tcPr>
          <w:p>
            <w:pPr>
              <w:spacing w:line="460" w:lineRule="exact"/>
              <w:jc w:val="center"/>
              <w:outlineLvl w:val="0"/>
              <w:rPr>
                <w:rFonts w:eastAsia="方正仿宋_GBK"/>
                <w:b/>
                <w:bCs/>
                <w:color w:val="000000"/>
                <w:spacing w:val="-2"/>
                <w:kern w:val="36"/>
                <w:sz w:val="24"/>
              </w:rPr>
            </w:pPr>
            <w:bookmarkStart w:id="532" w:name="_Toc18315726"/>
            <w:bookmarkStart w:id="533" w:name="_Toc20668056"/>
            <w:bookmarkStart w:id="534" w:name="_Toc20726585"/>
            <w:r>
              <w:rPr>
                <w:rFonts w:hint="eastAsia" w:eastAsia="方正仿宋_GBK"/>
                <w:color w:val="000000"/>
                <w:spacing w:val="-2"/>
                <w:kern w:val="36"/>
                <w:sz w:val="24"/>
              </w:rPr>
              <w:t>项目负责人</w:t>
            </w:r>
            <w:bookmarkEnd w:id="532"/>
            <w:bookmarkEnd w:id="533"/>
            <w:bookmarkEnd w:id="534"/>
          </w:p>
        </w:tc>
        <w:tc>
          <w:tcPr>
            <w:tcW w:w="3027" w:type="dxa"/>
            <w:tcBorders>
              <w:top w:val="single" w:color="auto" w:sz="8" w:space="0"/>
              <w:left w:val="single" w:color="auto" w:sz="4" w:space="0"/>
              <w:bottom w:val="single" w:color="auto" w:sz="4" w:space="0"/>
              <w:right w:val="single" w:color="auto" w:sz="4" w:space="0"/>
            </w:tcBorders>
            <w:noWrap w:val="0"/>
            <w:vAlign w:val="center"/>
          </w:tcPr>
          <w:p>
            <w:pPr>
              <w:spacing w:line="460" w:lineRule="exact"/>
              <w:jc w:val="center"/>
              <w:outlineLvl w:val="0"/>
              <w:rPr>
                <w:rFonts w:eastAsia="方正仿宋_GBK"/>
                <w:b/>
                <w:bCs/>
                <w:color w:val="000000"/>
                <w:spacing w:val="-2"/>
                <w:kern w:val="36"/>
                <w:sz w:val="24"/>
              </w:rPr>
            </w:pPr>
            <w:r>
              <w:rPr>
                <w:rFonts w:eastAsia="方正仿宋_GBK"/>
                <w:color w:val="000000"/>
                <w:spacing w:val="-2"/>
                <w:kern w:val="36"/>
                <w:sz w:val="24"/>
              </w:rPr>
              <w:t> </w:t>
            </w:r>
          </w:p>
        </w:tc>
        <w:tc>
          <w:tcPr>
            <w:tcW w:w="3956" w:type="dxa"/>
            <w:vMerge w:val="restart"/>
            <w:tcBorders>
              <w:top w:val="single" w:color="auto" w:sz="8" w:space="0"/>
              <w:left w:val="single" w:color="auto" w:sz="4" w:space="0"/>
              <w:bottom w:val="single" w:color="auto" w:sz="8" w:space="0"/>
              <w:right w:val="single" w:color="auto" w:sz="8" w:space="0"/>
            </w:tcBorders>
            <w:noWrap w:val="0"/>
            <w:vAlign w:val="center"/>
          </w:tcPr>
          <w:p>
            <w:pPr>
              <w:spacing w:line="340" w:lineRule="exact"/>
              <w:jc w:val="left"/>
              <w:outlineLvl w:val="0"/>
              <w:rPr>
                <w:rFonts w:eastAsia="方正仿宋_GBK"/>
                <w:b/>
                <w:bCs/>
                <w:color w:val="000000"/>
                <w:spacing w:val="-2"/>
                <w:kern w:val="36"/>
                <w:sz w:val="24"/>
              </w:rPr>
            </w:pPr>
            <w:bookmarkStart w:id="535" w:name="_Toc18315727"/>
            <w:bookmarkStart w:id="536" w:name="_Toc20726586"/>
            <w:bookmarkStart w:id="537" w:name="_Toc20668057"/>
            <w:r>
              <w:rPr>
                <w:rFonts w:hint="eastAsia" w:eastAsia="方正仿宋_GBK"/>
                <w:color w:val="000000"/>
                <w:spacing w:val="-2"/>
                <w:kern w:val="36"/>
                <w:sz w:val="24"/>
              </w:rPr>
              <w:t>承诺人签名：</w:t>
            </w:r>
            <w:bookmarkEnd w:id="535"/>
            <w:bookmarkEnd w:id="536"/>
            <w:bookmarkEnd w:id="537"/>
          </w:p>
          <w:p>
            <w:pPr>
              <w:spacing w:line="340" w:lineRule="exact"/>
              <w:jc w:val="right"/>
              <w:rPr>
                <w:rFonts w:eastAsia="方正仿宋_GBK"/>
                <w:color w:val="000000"/>
                <w:spacing w:val="-2"/>
                <w:kern w:val="36"/>
                <w:sz w:val="24"/>
              </w:rPr>
            </w:pPr>
            <w:r>
              <w:rPr>
                <w:rFonts w:eastAsia="方正仿宋_GBK"/>
                <w:color w:val="000000"/>
                <w:spacing w:val="-2"/>
                <w:kern w:val="36"/>
                <w:sz w:val="24"/>
              </w:rPr>
              <w:t xml:space="preserve">             </w:t>
            </w:r>
            <w:r>
              <w:rPr>
                <w:rFonts w:hint="eastAsia" w:eastAsia="方正仿宋_GBK"/>
                <w:color w:val="000000"/>
                <w:spacing w:val="-2"/>
                <w:kern w:val="36"/>
                <w:sz w:val="24"/>
              </w:rPr>
              <w:t>年</w:t>
            </w:r>
            <w:r>
              <w:rPr>
                <w:rFonts w:eastAsia="方正仿宋_GBK"/>
                <w:color w:val="000000"/>
                <w:spacing w:val="-2"/>
                <w:kern w:val="36"/>
                <w:sz w:val="24"/>
              </w:rPr>
              <w:t>    </w:t>
            </w:r>
            <w:r>
              <w:rPr>
                <w:rFonts w:hint="eastAsia" w:eastAsia="方正仿宋_GBK"/>
                <w:color w:val="000000"/>
                <w:spacing w:val="-2"/>
                <w:kern w:val="36"/>
                <w:sz w:val="24"/>
              </w:rPr>
              <w:t>月</w:t>
            </w:r>
            <w:r>
              <w:rPr>
                <w:rFonts w:eastAsia="方正仿宋_GBK"/>
                <w:color w:val="000000"/>
                <w:spacing w:val="-2"/>
                <w:kern w:val="36"/>
                <w:sz w:val="24"/>
              </w:rPr>
              <w:t xml:space="preserve">    </w:t>
            </w:r>
            <w:r>
              <w:rPr>
                <w:rFonts w:hint="eastAsia" w:eastAsia="方正仿宋_GBK"/>
                <w:color w:val="000000"/>
                <w:spacing w:val="-2"/>
                <w:kern w:val="36"/>
                <w:sz w:val="24"/>
              </w:rPr>
              <w:t>日</w:t>
            </w:r>
          </w:p>
          <w:p>
            <w:pPr>
              <w:spacing w:line="340" w:lineRule="exact"/>
              <w:rPr>
                <w:rFonts w:eastAsia="方正仿宋_GBK"/>
                <w:color w:val="000000"/>
                <w:spacing w:val="-2"/>
                <w:kern w:val="36"/>
                <w:sz w:val="24"/>
              </w:rPr>
            </w:pPr>
          </w:p>
          <w:p>
            <w:pPr>
              <w:spacing w:line="340" w:lineRule="exact"/>
              <w:rPr>
                <w:rFonts w:eastAsia="方正仿宋_GBK"/>
                <w:color w:val="000000"/>
                <w:spacing w:val="-2"/>
                <w:kern w:val="0"/>
                <w:sz w:val="24"/>
              </w:rPr>
            </w:pPr>
            <w:r>
              <w:rPr>
                <w:rFonts w:hint="eastAsia" w:eastAsia="方正仿宋_GBK"/>
                <w:color w:val="000000"/>
                <w:spacing w:val="-2"/>
                <w:kern w:val="0"/>
                <w:sz w:val="24"/>
              </w:rPr>
              <w:t>单位（公章）：</w:t>
            </w:r>
          </w:p>
          <w:p>
            <w:pPr>
              <w:spacing w:line="340" w:lineRule="exact"/>
              <w:ind w:right="44"/>
              <w:jc w:val="right"/>
              <w:outlineLvl w:val="0"/>
              <w:rPr>
                <w:rFonts w:eastAsia="方正仿宋_GBK"/>
                <w:b/>
                <w:bCs/>
                <w:color w:val="000000"/>
                <w:spacing w:val="-2"/>
                <w:kern w:val="36"/>
                <w:sz w:val="24"/>
              </w:rPr>
            </w:pPr>
            <w:bookmarkStart w:id="538" w:name="_Toc18315728"/>
            <w:bookmarkStart w:id="539" w:name="_Toc20668058"/>
            <w:bookmarkStart w:id="540" w:name="_Toc20726587"/>
            <w:r>
              <w:rPr>
                <w:rFonts w:hint="eastAsia" w:eastAsia="方正仿宋_GBK"/>
                <w:color w:val="000000"/>
                <w:spacing w:val="-2"/>
                <w:kern w:val="36"/>
                <w:sz w:val="24"/>
              </w:rPr>
              <w:t>年</w:t>
            </w:r>
            <w:r>
              <w:rPr>
                <w:rFonts w:eastAsia="方正仿宋_GBK"/>
                <w:color w:val="000000"/>
                <w:spacing w:val="-2"/>
                <w:kern w:val="36"/>
                <w:sz w:val="24"/>
              </w:rPr>
              <w:t>    </w:t>
            </w:r>
            <w:r>
              <w:rPr>
                <w:rFonts w:hint="eastAsia" w:eastAsia="方正仿宋_GBK"/>
                <w:color w:val="000000"/>
                <w:spacing w:val="-2"/>
                <w:kern w:val="36"/>
                <w:sz w:val="24"/>
              </w:rPr>
              <w:t>月</w:t>
            </w:r>
            <w:r>
              <w:rPr>
                <w:rFonts w:eastAsia="方正仿宋_GBK"/>
                <w:color w:val="000000"/>
                <w:spacing w:val="-2"/>
                <w:kern w:val="36"/>
                <w:sz w:val="24"/>
              </w:rPr>
              <w:t xml:space="preserve">    </w:t>
            </w:r>
            <w:r>
              <w:rPr>
                <w:rFonts w:hint="eastAsia" w:eastAsia="方正仿宋_GBK"/>
                <w:color w:val="000000"/>
                <w:spacing w:val="-2"/>
                <w:kern w:val="36"/>
                <w:sz w:val="24"/>
              </w:rPr>
              <w:t>日</w:t>
            </w:r>
            <w:bookmarkEnd w:id="538"/>
            <w:bookmarkEnd w:id="539"/>
            <w:bookmarkEnd w:id="540"/>
          </w:p>
        </w:tc>
      </w:tr>
      <w:tr>
        <w:tblPrEx>
          <w:tblCellMar>
            <w:top w:w="0" w:type="dxa"/>
            <w:left w:w="0" w:type="dxa"/>
            <w:bottom w:w="0" w:type="dxa"/>
            <w:right w:w="0" w:type="dxa"/>
          </w:tblCellMar>
        </w:tblPrEx>
        <w:trPr>
          <w:trHeight w:val="624" w:hRule="exact"/>
          <w:jc w:val="center"/>
        </w:trPr>
        <w:tc>
          <w:tcPr>
            <w:tcW w:w="1767" w:type="dxa"/>
            <w:tcBorders>
              <w:top w:val="single" w:color="auto" w:sz="4" w:space="0"/>
              <w:left w:val="single" w:color="auto" w:sz="8" w:space="0"/>
              <w:bottom w:val="single" w:color="auto" w:sz="4" w:space="0"/>
              <w:right w:val="single" w:color="auto" w:sz="4" w:space="0"/>
            </w:tcBorders>
            <w:noWrap w:val="0"/>
            <w:vAlign w:val="center"/>
          </w:tcPr>
          <w:p>
            <w:pPr>
              <w:spacing w:line="460" w:lineRule="exact"/>
              <w:jc w:val="center"/>
              <w:outlineLvl w:val="0"/>
              <w:rPr>
                <w:rFonts w:eastAsia="方正仿宋_GBK"/>
                <w:b/>
                <w:bCs/>
                <w:color w:val="000000"/>
                <w:spacing w:val="-2"/>
                <w:kern w:val="36"/>
                <w:sz w:val="24"/>
              </w:rPr>
            </w:pPr>
            <w:bookmarkStart w:id="541" w:name="_Toc18315729"/>
            <w:bookmarkStart w:id="542" w:name="_Toc20668059"/>
            <w:bookmarkStart w:id="543" w:name="_Toc20726588"/>
            <w:r>
              <w:rPr>
                <w:rFonts w:hint="eastAsia" w:eastAsia="方正仿宋_GBK"/>
                <w:color w:val="000000"/>
                <w:spacing w:val="-2"/>
                <w:kern w:val="36"/>
                <w:sz w:val="24"/>
              </w:rPr>
              <w:t>身份证号码</w:t>
            </w:r>
            <w:bookmarkEnd w:id="541"/>
            <w:bookmarkEnd w:id="542"/>
            <w:bookmarkEnd w:id="543"/>
          </w:p>
        </w:tc>
        <w:tc>
          <w:tcPr>
            <w:tcW w:w="3027"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outlineLvl w:val="0"/>
              <w:rPr>
                <w:rFonts w:eastAsia="方正仿宋_GBK"/>
                <w:b/>
                <w:bCs/>
                <w:color w:val="000000"/>
                <w:spacing w:val="-2"/>
                <w:kern w:val="36"/>
                <w:sz w:val="24"/>
              </w:rPr>
            </w:pPr>
            <w:r>
              <w:rPr>
                <w:rFonts w:eastAsia="方正仿宋_GBK"/>
                <w:color w:val="000000"/>
                <w:spacing w:val="-2"/>
                <w:kern w:val="36"/>
                <w:sz w:val="24"/>
              </w:rPr>
              <w:t> </w:t>
            </w:r>
          </w:p>
        </w:tc>
        <w:tc>
          <w:tcPr>
            <w:tcW w:w="3956" w:type="dxa"/>
            <w:vMerge w:val="continue"/>
            <w:tcBorders>
              <w:top w:val="single" w:color="auto" w:sz="8" w:space="0"/>
              <w:left w:val="single" w:color="auto" w:sz="4" w:space="0"/>
              <w:bottom w:val="single" w:color="auto" w:sz="8" w:space="0"/>
              <w:right w:val="single" w:color="auto" w:sz="8" w:space="0"/>
            </w:tcBorders>
            <w:noWrap w:val="0"/>
            <w:vAlign w:val="center"/>
          </w:tcPr>
          <w:p>
            <w:pPr>
              <w:widowControl/>
              <w:jc w:val="left"/>
              <w:rPr>
                <w:rFonts w:eastAsia="方正仿宋_GBK"/>
                <w:b/>
                <w:bCs/>
                <w:color w:val="000000"/>
                <w:spacing w:val="-2"/>
                <w:kern w:val="36"/>
                <w:sz w:val="24"/>
              </w:rPr>
            </w:pPr>
          </w:p>
        </w:tc>
      </w:tr>
      <w:tr>
        <w:tblPrEx>
          <w:tblCellMar>
            <w:top w:w="0" w:type="dxa"/>
            <w:left w:w="0" w:type="dxa"/>
            <w:bottom w:w="0" w:type="dxa"/>
            <w:right w:w="0" w:type="dxa"/>
          </w:tblCellMar>
        </w:tblPrEx>
        <w:trPr>
          <w:trHeight w:val="624" w:hRule="exact"/>
          <w:jc w:val="center"/>
        </w:trPr>
        <w:tc>
          <w:tcPr>
            <w:tcW w:w="1767" w:type="dxa"/>
            <w:tcBorders>
              <w:top w:val="single" w:color="auto" w:sz="4" w:space="0"/>
              <w:left w:val="single" w:color="auto" w:sz="8" w:space="0"/>
              <w:bottom w:val="single" w:color="auto" w:sz="4" w:space="0"/>
              <w:right w:val="single" w:color="auto" w:sz="4" w:space="0"/>
            </w:tcBorders>
            <w:noWrap w:val="0"/>
            <w:vAlign w:val="center"/>
          </w:tcPr>
          <w:p>
            <w:pPr>
              <w:spacing w:line="460" w:lineRule="exact"/>
              <w:jc w:val="center"/>
              <w:outlineLvl w:val="0"/>
              <w:rPr>
                <w:rFonts w:eastAsia="方正仿宋_GBK"/>
                <w:b/>
                <w:bCs/>
                <w:color w:val="000000"/>
                <w:spacing w:val="-2"/>
                <w:kern w:val="36"/>
                <w:sz w:val="24"/>
              </w:rPr>
            </w:pPr>
            <w:bookmarkStart w:id="544" w:name="_Toc18315730"/>
            <w:bookmarkStart w:id="545" w:name="_Toc20668060"/>
            <w:bookmarkStart w:id="546" w:name="_Toc20726589"/>
            <w:r>
              <w:rPr>
                <w:rFonts w:hint="eastAsia" w:eastAsia="方正仿宋_GBK"/>
                <w:color w:val="000000"/>
                <w:spacing w:val="-2"/>
                <w:kern w:val="36"/>
                <w:sz w:val="24"/>
              </w:rPr>
              <w:t>执业资格证号</w:t>
            </w:r>
            <w:bookmarkEnd w:id="544"/>
            <w:bookmarkEnd w:id="545"/>
            <w:bookmarkEnd w:id="546"/>
          </w:p>
        </w:tc>
        <w:tc>
          <w:tcPr>
            <w:tcW w:w="3027"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outlineLvl w:val="0"/>
              <w:rPr>
                <w:rFonts w:eastAsia="方正仿宋_GBK"/>
                <w:b/>
                <w:bCs/>
                <w:color w:val="000000"/>
                <w:spacing w:val="-2"/>
                <w:kern w:val="36"/>
                <w:sz w:val="24"/>
              </w:rPr>
            </w:pPr>
            <w:r>
              <w:rPr>
                <w:rFonts w:eastAsia="方正仿宋_GBK"/>
                <w:color w:val="000000"/>
                <w:spacing w:val="-2"/>
                <w:kern w:val="36"/>
                <w:sz w:val="24"/>
              </w:rPr>
              <w:t> </w:t>
            </w:r>
          </w:p>
        </w:tc>
        <w:tc>
          <w:tcPr>
            <w:tcW w:w="3956" w:type="dxa"/>
            <w:vMerge w:val="continue"/>
            <w:tcBorders>
              <w:top w:val="single" w:color="auto" w:sz="8" w:space="0"/>
              <w:left w:val="single" w:color="auto" w:sz="4" w:space="0"/>
              <w:bottom w:val="single" w:color="auto" w:sz="8" w:space="0"/>
              <w:right w:val="single" w:color="auto" w:sz="8" w:space="0"/>
            </w:tcBorders>
            <w:noWrap w:val="0"/>
            <w:vAlign w:val="center"/>
          </w:tcPr>
          <w:p>
            <w:pPr>
              <w:widowControl/>
              <w:jc w:val="left"/>
              <w:rPr>
                <w:rFonts w:eastAsia="方正仿宋_GBK"/>
                <w:b/>
                <w:bCs/>
                <w:color w:val="000000"/>
                <w:spacing w:val="-2"/>
                <w:kern w:val="36"/>
                <w:sz w:val="24"/>
              </w:rPr>
            </w:pPr>
          </w:p>
        </w:tc>
      </w:tr>
      <w:tr>
        <w:tblPrEx>
          <w:tblCellMar>
            <w:top w:w="0" w:type="dxa"/>
            <w:left w:w="0" w:type="dxa"/>
            <w:bottom w:w="0" w:type="dxa"/>
            <w:right w:w="0" w:type="dxa"/>
          </w:tblCellMar>
        </w:tblPrEx>
        <w:trPr>
          <w:trHeight w:val="624" w:hRule="exact"/>
          <w:jc w:val="center"/>
        </w:trPr>
        <w:tc>
          <w:tcPr>
            <w:tcW w:w="1767" w:type="dxa"/>
            <w:tcBorders>
              <w:top w:val="single" w:color="auto" w:sz="4" w:space="0"/>
              <w:left w:val="single" w:color="auto" w:sz="8" w:space="0"/>
              <w:bottom w:val="single" w:color="auto" w:sz="8" w:space="0"/>
              <w:right w:val="single" w:color="auto" w:sz="4" w:space="0"/>
            </w:tcBorders>
            <w:noWrap w:val="0"/>
            <w:vAlign w:val="center"/>
          </w:tcPr>
          <w:p>
            <w:pPr>
              <w:spacing w:line="460" w:lineRule="exact"/>
              <w:jc w:val="center"/>
              <w:outlineLvl w:val="0"/>
              <w:rPr>
                <w:rFonts w:eastAsia="方正仿宋_GBK"/>
                <w:color w:val="000000"/>
                <w:spacing w:val="-2"/>
                <w:kern w:val="36"/>
                <w:sz w:val="24"/>
              </w:rPr>
            </w:pPr>
            <w:bookmarkStart w:id="547" w:name="_Toc18315731"/>
            <w:bookmarkStart w:id="548" w:name="_Toc20668061"/>
            <w:bookmarkStart w:id="549" w:name="_Toc20726590"/>
            <w:r>
              <w:rPr>
                <w:rFonts w:hint="eastAsia" w:eastAsia="方正仿宋_GBK"/>
                <w:color w:val="000000"/>
                <w:spacing w:val="-2"/>
                <w:kern w:val="36"/>
                <w:sz w:val="24"/>
              </w:rPr>
              <w:t>联系方式</w:t>
            </w:r>
            <w:bookmarkEnd w:id="547"/>
            <w:bookmarkEnd w:id="548"/>
            <w:bookmarkEnd w:id="549"/>
          </w:p>
        </w:tc>
        <w:tc>
          <w:tcPr>
            <w:tcW w:w="3027" w:type="dxa"/>
            <w:tcBorders>
              <w:top w:val="single" w:color="auto" w:sz="4" w:space="0"/>
              <w:left w:val="single" w:color="auto" w:sz="4" w:space="0"/>
              <w:bottom w:val="single" w:color="auto" w:sz="8" w:space="0"/>
              <w:right w:val="single" w:color="auto" w:sz="4" w:space="0"/>
            </w:tcBorders>
            <w:noWrap w:val="0"/>
            <w:vAlign w:val="center"/>
          </w:tcPr>
          <w:p>
            <w:pPr>
              <w:spacing w:line="460" w:lineRule="exact"/>
              <w:jc w:val="center"/>
              <w:outlineLvl w:val="0"/>
              <w:rPr>
                <w:rFonts w:eastAsia="方正仿宋_GBK"/>
                <w:color w:val="000000"/>
                <w:spacing w:val="-2"/>
                <w:kern w:val="36"/>
                <w:sz w:val="24"/>
              </w:rPr>
            </w:pPr>
          </w:p>
        </w:tc>
        <w:tc>
          <w:tcPr>
            <w:tcW w:w="3956" w:type="dxa"/>
            <w:vMerge w:val="continue"/>
            <w:tcBorders>
              <w:top w:val="single" w:color="auto" w:sz="8" w:space="0"/>
              <w:left w:val="single" w:color="auto" w:sz="4" w:space="0"/>
              <w:bottom w:val="single" w:color="auto" w:sz="8" w:space="0"/>
              <w:right w:val="single" w:color="auto" w:sz="8" w:space="0"/>
            </w:tcBorders>
            <w:noWrap w:val="0"/>
            <w:vAlign w:val="center"/>
          </w:tcPr>
          <w:p>
            <w:pPr>
              <w:widowControl/>
              <w:jc w:val="left"/>
              <w:rPr>
                <w:rFonts w:eastAsia="方正仿宋_GBK"/>
                <w:b/>
                <w:bCs/>
                <w:color w:val="000000"/>
                <w:spacing w:val="-2"/>
                <w:kern w:val="36"/>
                <w:sz w:val="24"/>
              </w:rPr>
            </w:pPr>
          </w:p>
        </w:tc>
      </w:tr>
    </w:tbl>
    <w:p>
      <w:pPr>
        <w:spacing w:line="360" w:lineRule="exact"/>
        <w:rPr>
          <w:rFonts w:ascii="Times New Roman" w:eastAsia="方正楷体_GBK"/>
          <w:color w:val="000000"/>
          <w:spacing w:val="-2"/>
          <w:szCs w:val="21"/>
        </w:rPr>
      </w:pPr>
      <w:r>
        <w:rPr>
          <w:rFonts w:hint="eastAsia" w:ascii="Times New Roman" w:eastAsia="方正楷体_GBK"/>
          <w:color w:val="000000"/>
          <w:spacing w:val="-2"/>
          <w:szCs w:val="21"/>
        </w:rPr>
        <w:t>注：本承诺书一式三份，一份在办理质量监督手续前，报质量监督机构备案；一份由建设单位收集管理，工程竣工验收合格后移交城建档案管理部门；一份各方责任主体留存。</w:t>
      </w:r>
    </w:p>
    <w:p>
      <w:pPr>
        <w:shd w:val="clear" w:color="auto" w:fill="FFFFFF"/>
        <w:spacing w:line="460" w:lineRule="exact"/>
        <w:jc w:val="left"/>
        <w:rPr>
          <w:rFonts w:hint="eastAsia" w:eastAsia="方正仿宋_GBK"/>
          <w:color w:val="000000"/>
          <w:spacing w:val="-2"/>
          <w:kern w:val="0"/>
          <w:sz w:val="24"/>
        </w:rPr>
      </w:pPr>
    </w:p>
    <w:p>
      <w:pPr>
        <w:shd w:val="clear" w:color="auto" w:fill="FFFFFF"/>
        <w:spacing w:line="460" w:lineRule="exact"/>
        <w:jc w:val="center"/>
        <w:rPr>
          <w:rFonts w:eastAsia="方正仿宋_GBK"/>
          <w:color w:val="000000"/>
          <w:spacing w:val="-2"/>
          <w:sz w:val="24"/>
        </w:rPr>
      </w:pPr>
      <w:r>
        <w:rPr>
          <w:rFonts w:eastAsia="方正仿宋_GBK"/>
          <w:color w:val="000000"/>
          <w:spacing w:val="-2"/>
          <w:sz w:val="24"/>
        </w:rPr>
        <w:br w:type="page"/>
      </w:r>
    </w:p>
    <w:p>
      <w:pPr>
        <w:shd w:val="clear" w:color="auto" w:fill="FFFFFF"/>
        <w:spacing w:line="460" w:lineRule="exact"/>
        <w:jc w:val="center"/>
        <w:rPr>
          <w:rFonts w:ascii="Times New Roman" w:eastAsia="方正黑体_GBK"/>
          <w:color w:val="000000"/>
          <w:spacing w:val="-2"/>
          <w:kern w:val="0"/>
          <w:sz w:val="28"/>
          <w:szCs w:val="28"/>
        </w:rPr>
      </w:pPr>
      <w:r>
        <w:rPr>
          <w:rFonts w:hint="eastAsia" w:ascii="Times New Roman" w:eastAsia="方正黑体_GBK"/>
          <w:color w:val="000000"/>
          <w:spacing w:val="-2"/>
          <w:kern w:val="0"/>
          <w:sz w:val="28"/>
          <w:szCs w:val="28"/>
        </w:rPr>
        <w:t>设计单位项目负责人质量终身责任承诺书</w:t>
      </w:r>
    </w:p>
    <w:p>
      <w:pPr>
        <w:shd w:val="clear" w:color="auto" w:fill="FFFFFF"/>
        <w:spacing w:line="460" w:lineRule="exact"/>
        <w:ind w:firstLine="472" w:firstLineChars="200"/>
        <w:jc w:val="left"/>
        <w:rPr>
          <w:rFonts w:hint="eastAsia" w:eastAsia="方正仿宋_GBK"/>
          <w:color w:val="000000"/>
          <w:spacing w:val="-2"/>
          <w:kern w:val="0"/>
          <w:sz w:val="24"/>
        </w:rPr>
      </w:pPr>
    </w:p>
    <w:p>
      <w:pPr>
        <w:shd w:val="clear" w:color="auto" w:fill="FFFFFF"/>
        <w:spacing w:line="420" w:lineRule="exact"/>
        <w:jc w:val="left"/>
        <w:rPr>
          <w:rFonts w:eastAsia="方正仿宋_GBK"/>
          <w:color w:val="000000"/>
          <w:spacing w:val="-2"/>
          <w:kern w:val="0"/>
          <w:sz w:val="24"/>
          <w:u w:val="single"/>
        </w:rPr>
      </w:pPr>
      <w:r>
        <w:rPr>
          <w:rFonts w:eastAsia="方正仿宋_GBK"/>
          <w:b/>
          <w:color w:val="000000"/>
          <w:spacing w:val="-2"/>
          <w:kern w:val="0"/>
          <w:sz w:val="24"/>
        </w:rPr>
        <w:t xml:space="preserve">    </w:t>
      </w:r>
      <w:r>
        <w:rPr>
          <w:rFonts w:hint="eastAsia" w:eastAsia="方正仿宋_GBK"/>
          <w:b/>
          <w:color w:val="000000"/>
          <w:spacing w:val="-2"/>
          <w:kern w:val="0"/>
          <w:sz w:val="24"/>
        </w:rPr>
        <w:t>本人承诺：</w:t>
      </w:r>
      <w:r>
        <w:rPr>
          <w:rFonts w:hint="eastAsia" w:eastAsia="方正仿宋_GBK"/>
          <w:color w:val="000000"/>
          <w:spacing w:val="-2"/>
          <w:kern w:val="0"/>
          <w:sz w:val="24"/>
        </w:rPr>
        <w:t>在</w:t>
      </w:r>
      <w:r>
        <w:rPr>
          <w:rFonts w:eastAsia="方正仿宋_GBK"/>
          <w:color w:val="000000"/>
          <w:spacing w:val="-2"/>
          <w:kern w:val="0"/>
          <w:sz w:val="24"/>
        </w:rPr>
        <w:t xml:space="preserve"> </w:t>
      </w:r>
      <w:r>
        <w:rPr>
          <w:rFonts w:eastAsia="方正仿宋_GBK"/>
          <w:color w:val="000000"/>
          <w:spacing w:val="-2"/>
          <w:kern w:val="0"/>
          <w:sz w:val="24"/>
          <w:u w:val="single"/>
        </w:rPr>
        <w:t xml:space="preserve">                                    </w:t>
      </w:r>
      <w:r>
        <w:rPr>
          <w:rFonts w:hint="eastAsia" w:eastAsia="方正仿宋_GBK"/>
          <w:color w:val="000000"/>
          <w:spacing w:val="-2"/>
          <w:kern w:val="0"/>
          <w:sz w:val="24"/>
        </w:rPr>
        <w:t>工程建设过程中认真履行下列职责，并承担相应终身质量责任。</w:t>
      </w:r>
    </w:p>
    <w:p>
      <w:pPr>
        <w:shd w:val="clear" w:color="auto" w:fill="FFFFFF"/>
        <w:spacing w:line="420" w:lineRule="exact"/>
        <w:ind w:firstLine="472" w:firstLineChars="200"/>
        <w:jc w:val="left"/>
        <w:rPr>
          <w:rFonts w:eastAsia="方正仿宋_GBK"/>
          <w:color w:val="000000"/>
          <w:spacing w:val="-2"/>
          <w:kern w:val="0"/>
          <w:sz w:val="24"/>
        </w:rPr>
      </w:pPr>
      <w:r>
        <w:rPr>
          <w:rFonts w:eastAsia="方正仿宋_GBK"/>
          <w:color w:val="000000"/>
          <w:spacing w:val="-2"/>
          <w:kern w:val="0"/>
          <w:sz w:val="24"/>
        </w:rPr>
        <w:t>1</w:t>
      </w:r>
      <w:r>
        <w:rPr>
          <w:rFonts w:hint="eastAsia" w:eastAsia="方正仿宋_GBK"/>
          <w:color w:val="000000"/>
          <w:spacing w:val="-2"/>
          <w:kern w:val="0"/>
          <w:sz w:val="24"/>
        </w:rPr>
        <w:t>、严格按照本单位核定的工程设计资质等级和业务范围开展设计业务，不越级和超范围设计或以其他工程设计单位的名义承揽设计业务，依法签订工程设计业务合同，不转包或违法分包所承揽的设计业务。自觉执行国家规定的工程设计收费标准，不恶性压价竞争。</w:t>
      </w:r>
    </w:p>
    <w:p>
      <w:pPr>
        <w:shd w:val="clear" w:color="auto" w:fill="FFFFFF"/>
        <w:spacing w:line="420" w:lineRule="exact"/>
        <w:ind w:firstLine="472" w:firstLineChars="200"/>
        <w:jc w:val="left"/>
        <w:rPr>
          <w:rFonts w:eastAsia="方正仿宋_GBK"/>
          <w:color w:val="000000"/>
          <w:spacing w:val="-2"/>
          <w:kern w:val="0"/>
          <w:sz w:val="24"/>
        </w:rPr>
      </w:pPr>
      <w:r>
        <w:rPr>
          <w:rFonts w:eastAsia="方正仿宋_GBK"/>
          <w:color w:val="000000"/>
          <w:spacing w:val="-2"/>
          <w:kern w:val="0"/>
          <w:sz w:val="24"/>
        </w:rPr>
        <w:t>2</w:t>
      </w:r>
      <w:r>
        <w:rPr>
          <w:rFonts w:hint="eastAsia" w:eastAsia="方正仿宋_GBK"/>
          <w:color w:val="000000"/>
          <w:spacing w:val="-2"/>
          <w:kern w:val="0"/>
          <w:sz w:val="24"/>
        </w:rPr>
        <w:t>、严格执行工程建设强制性标准，根据勘察成果文件进行设计。</w:t>
      </w:r>
    </w:p>
    <w:p>
      <w:pPr>
        <w:shd w:val="clear" w:color="auto" w:fill="FFFFFF"/>
        <w:spacing w:line="420" w:lineRule="exact"/>
        <w:ind w:firstLine="472" w:firstLineChars="200"/>
        <w:jc w:val="left"/>
        <w:rPr>
          <w:rFonts w:eastAsia="方正仿宋_GBK"/>
          <w:color w:val="000000"/>
          <w:spacing w:val="-2"/>
          <w:kern w:val="0"/>
          <w:sz w:val="24"/>
        </w:rPr>
      </w:pPr>
      <w:r>
        <w:rPr>
          <w:rFonts w:eastAsia="方正仿宋_GBK"/>
          <w:color w:val="000000"/>
          <w:spacing w:val="-2"/>
          <w:kern w:val="0"/>
          <w:sz w:val="24"/>
        </w:rPr>
        <w:t>3</w:t>
      </w:r>
      <w:r>
        <w:rPr>
          <w:rFonts w:hint="eastAsia" w:eastAsia="方正仿宋_GBK"/>
          <w:color w:val="000000"/>
          <w:spacing w:val="-2"/>
          <w:kern w:val="0"/>
          <w:sz w:val="24"/>
        </w:rPr>
        <w:t>、确保提供的设计文件经过严格的内部校对审核程序，相关的签字、盖章手续齐全，符合国家规定的文件编制深度要求。</w:t>
      </w:r>
    </w:p>
    <w:p>
      <w:pPr>
        <w:shd w:val="clear" w:color="auto" w:fill="FFFFFF"/>
        <w:spacing w:line="420" w:lineRule="exact"/>
        <w:ind w:firstLine="472" w:firstLineChars="200"/>
        <w:jc w:val="left"/>
        <w:rPr>
          <w:rFonts w:eastAsia="方正仿宋_GBK"/>
          <w:color w:val="000000"/>
          <w:spacing w:val="-2"/>
          <w:kern w:val="0"/>
          <w:sz w:val="24"/>
        </w:rPr>
      </w:pPr>
      <w:r>
        <w:rPr>
          <w:rFonts w:eastAsia="方正仿宋_GBK"/>
          <w:color w:val="000000"/>
          <w:spacing w:val="-2"/>
          <w:kern w:val="0"/>
          <w:sz w:val="24"/>
        </w:rPr>
        <w:t>4</w:t>
      </w:r>
      <w:r>
        <w:rPr>
          <w:rFonts w:hint="eastAsia" w:eastAsia="方正仿宋_GBK"/>
          <w:color w:val="000000"/>
          <w:spacing w:val="-2"/>
          <w:kern w:val="0"/>
          <w:sz w:val="24"/>
        </w:rPr>
        <w:t>、向建设单位提供加盖有设计单位出图专用章、执业人员印章的施工图设计文件，并确保提供的设计文件真实、准确。</w:t>
      </w:r>
    </w:p>
    <w:p>
      <w:pPr>
        <w:shd w:val="clear" w:color="auto" w:fill="FFFFFF"/>
        <w:spacing w:line="420" w:lineRule="exact"/>
        <w:ind w:firstLine="472" w:firstLineChars="200"/>
        <w:jc w:val="left"/>
        <w:rPr>
          <w:rFonts w:eastAsia="方正仿宋_GBK"/>
          <w:color w:val="000000"/>
          <w:spacing w:val="-2"/>
          <w:kern w:val="0"/>
          <w:sz w:val="24"/>
        </w:rPr>
      </w:pPr>
      <w:r>
        <w:rPr>
          <w:rFonts w:eastAsia="方正仿宋_GBK"/>
          <w:color w:val="000000"/>
          <w:spacing w:val="-2"/>
          <w:kern w:val="0"/>
          <w:sz w:val="24"/>
        </w:rPr>
        <w:t>5</w:t>
      </w:r>
      <w:r>
        <w:rPr>
          <w:rFonts w:hint="eastAsia" w:eastAsia="方正仿宋_GBK"/>
          <w:color w:val="000000"/>
          <w:spacing w:val="-2"/>
          <w:kern w:val="0"/>
          <w:sz w:val="24"/>
        </w:rPr>
        <w:t>、按规定向施工单位和监理单位做好设计交底；及时处理施工中出现的与设计有关的技术问题。</w:t>
      </w:r>
    </w:p>
    <w:p>
      <w:pPr>
        <w:shd w:val="clear" w:color="auto" w:fill="FFFFFF"/>
        <w:spacing w:line="420" w:lineRule="exact"/>
        <w:ind w:firstLine="472" w:firstLineChars="200"/>
        <w:jc w:val="left"/>
        <w:rPr>
          <w:rFonts w:eastAsia="方正仿宋_GBK"/>
          <w:color w:val="000000"/>
          <w:spacing w:val="-2"/>
          <w:kern w:val="0"/>
          <w:sz w:val="24"/>
        </w:rPr>
      </w:pPr>
      <w:r>
        <w:rPr>
          <w:rFonts w:eastAsia="方正仿宋_GBK"/>
          <w:color w:val="000000"/>
          <w:spacing w:val="-2"/>
          <w:kern w:val="0"/>
          <w:sz w:val="24"/>
        </w:rPr>
        <w:t>6</w:t>
      </w:r>
      <w:r>
        <w:rPr>
          <w:rFonts w:hint="eastAsia" w:eastAsia="方正仿宋_GBK"/>
          <w:color w:val="000000"/>
          <w:spacing w:val="-2"/>
          <w:kern w:val="0"/>
          <w:sz w:val="24"/>
        </w:rPr>
        <w:t>、严格按照相关规定进行设计变更。涉及到建设规模、工艺流程等重大变更，均由建设单位报原审批机关批准后才进行设计变更修改。</w:t>
      </w:r>
    </w:p>
    <w:p>
      <w:pPr>
        <w:shd w:val="clear" w:color="auto" w:fill="FFFFFF"/>
        <w:spacing w:line="420" w:lineRule="exact"/>
        <w:ind w:firstLine="472" w:firstLineChars="200"/>
        <w:jc w:val="left"/>
        <w:rPr>
          <w:rFonts w:eastAsia="方正仿宋_GBK"/>
          <w:color w:val="000000"/>
          <w:spacing w:val="-2"/>
          <w:kern w:val="0"/>
          <w:sz w:val="24"/>
        </w:rPr>
      </w:pPr>
      <w:r>
        <w:rPr>
          <w:rFonts w:eastAsia="方正仿宋_GBK"/>
          <w:color w:val="000000"/>
          <w:spacing w:val="-2"/>
          <w:kern w:val="0"/>
          <w:sz w:val="24"/>
        </w:rPr>
        <w:t>7</w:t>
      </w:r>
      <w:r>
        <w:rPr>
          <w:rFonts w:hint="eastAsia" w:eastAsia="方正仿宋_GBK"/>
          <w:color w:val="000000"/>
          <w:spacing w:val="-2"/>
          <w:kern w:val="0"/>
          <w:sz w:val="24"/>
        </w:rPr>
        <w:t>、及时将设计图纸及相关原始资料归档保存。</w:t>
      </w:r>
    </w:p>
    <w:p>
      <w:pPr>
        <w:shd w:val="clear" w:color="auto" w:fill="FFFFFF"/>
        <w:spacing w:line="420" w:lineRule="exact"/>
        <w:ind w:firstLine="472" w:firstLineChars="200"/>
        <w:jc w:val="left"/>
        <w:rPr>
          <w:rFonts w:eastAsia="方正仿宋_GBK"/>
          <w:color w:val="000000"/>
          <w:spacing w:val="-2"/>
          <w:kern w:val="0"/>
          <w:sz w:val="24"/>
        </w:rPr>
      </w:pPr>
      <w:r>
        <w:rPr>
          <w:rFonts w:eastAsia="方正仿宋_GBK"/>
          <w:color w:val="000000"/>
          <w:spacing w:val="-2"/>
          <w:kern w:val="0"/>
          <w:sz w:val="24"/>
        </w:rPr>
        <w:t>8</w:t>
      </w:r>
      <w:r>
        <w:rPr>
          <w:rFonts w:hint="eastAsia" w:eastAsia="方正仿宋_GBK"/>
          <w:color w:val="000000"/>
          <w:spacing w:val="-2"/>
          <w:kern w:val="0"/>
          <w:sz w:val="24"/>
        </w:rPr>
        <w:t>、其他法律法规规定的职责。</w:t>
      </w:r>
    </w:p>
    <w:p>
      <w:pPr>
        <w:shd w:val="clear" w:color="auto" w:fill="FFFFFF"/>
        <w:spacing w:line="420" w:lineRule="exact"/>
        <w:ind w:firstLine="472" w:firstLineChars="200"/>
        <w:jc w:val="left"/>
        <w:rPr>
          <w:rFonts w:eastAsia="方正仿宋_GBK"/>
          <w:color w:val="000000"/>
          <w:spacing w:val="-2"/>
          <w:kern w:val="0"/>
          <w:sz w:val="24"/>
          <w:u w:val="single"/>
        </w:rPr>
      </w:pPr>
      <w:r>
        <w:rPr>
          <w:rFonts w:eastAsia="方正仿宋_GBK"/>
          <w:color w:val="000000"/>
          <w:spacing w:val="-2"/>
          <w:kern w:val="0"/>
          <w:sz w:val="24"/>
        </w:rPr>
        <w:t>9</w:t>
      </w:r>
      <w:r>
        <w:rPr>
          <w:rFonts w:hint="eastAsia" w:eastAsia="方正仿宋_GBK"/>
          <w:color w:val="000000"/>
          <w:spacing w:val="-2"/>
          <w:kern w:val="0"/>
          <w:sz w:val="24"/>
        </w:rPr>
        <w:t>、本单位在本工程项目承担下列设计业务：</w:t>
      </w:r>
      <w:r>
        <w:rPr>
          <w:rFonts w:hint="eastAsia" w:eastAsia="方正仿宋_GBK"/>
          <w:color w:val="000000"/>
          <w:spacing w:val="-2"/>
          <w:kern w:val="0"/>
          <w:sz w:val="24"/>
          <w:u w:val="single"/>
        </w:rPr>
        <w:t>（附合同复印件）</w:t>
      </w:r>
      <w:r>
        <w:rPr>
          <w:rFonts w:eastAsia="方正仿宋_GBK"/>
          <w:color w:val="000000"/>
          <w:spacing w:val="-2"/>
          <w:kern w:val="0"/>
          <w:sz w:val="24"/>
          <w:u w:val="single"/>
        </w:rPr>
        <w:t xml:space="preserve">                                                   </w:t>
      </w:r>
    </w:p>
    <w:p>
      <w:pPr>
        <w:shd w:val="clear" w:color="auto" w:fill="FFFFFF"/>
        <w:spacing w:line="460" w:lineRule="exact"/>
        <w:jc w:val="left"/>
        <w:rPr>
          <w:rFonts w:eastAsia="方正仿宋_GBK"/>
          <w:color w:val="000000"/>
          <w:spacing w:val="-2"/>
          <w:kern w:val="0"/>
          <w:sz w:val="24"/>
          <w:u w:val="single"/>
        </w:rPr>
      </w:pPr>
      <w:r>
        <w:rPr>
          <w:rFonts w:eastAsia="方正仿宋_GBK"/>
          <w:color w:val="000000"/>
          <w:spacing w:val="-2"/>
          <w:kern w:val="0"/>
          <w:sz w:val="24"/>
          <w:u w:val="single"/>
        </w:rPr>
        <w:t xml:space="preserve">                                                                           </w:t>
      </w:r>
    </w:p>
    <w:p>
      <w:pPr>
        <w:shd w:val="clear" w:color="auto" w:fill="FFFFFF"/>
        <w:spacing w:line="460" w:lineRule="exact"/>
        <w:jc w:val="left"/>
        <w:rPr>
          <w:rFonts w:eastAsia="方正仿宋_GBK"/>
          <w:color w:val="000000"/>
          <w:spacing w:val="-2"/>
          <w:kern w:val="0"/>
          <w:sz w:val="24"/>
          <w:u w:val="single"/>
        </w:rPr>
      </w:pPr>
      <w:r>
        <w:rPr>
          <w:rFonts w:eastAsia="方正仿宋_GBK"/>
          <w:color w:val="000000"/>
          <w:spacing w:val="-2"/>
          <w:kern w:val="0"/>
          <w:sz w:val="24"/>
          <w:u w:val="single"/>
        </w:rPr>
        <w:t xml:space="preserve">                                                                           </w:t>
      </w:r>
    </w:p>
    <w:p>
      <w:pPr>
        <w:shd w:val="clear" w:color="auto" w:fill="FFFFFF"/>
        <w:spacing w:line="460" w:lineRule="exact"/>
        <w:jc w:val="left"/>
        <w:rPr>
          <w:rFonts w:eastAsia="方正仿宋_GBK"/>
          <w:color w:val="000000"/>
          <w:spacing w:val="-2"/>
          <w:kern w:val="0"/>
          <w:sz w:val="24"/>
        </w:rPr>
      </w:pPr>
      <w:r>
        <w:rPr>
          <w:rFonts w:eastAsia="方正仿宋_GBK"/>
          <w:color w:val="000000"/>
          <w:spacing w:val="-2"/>
          <w:kern w:val="0"/>
          <w:sz w:val="24"/>
          <w:u w:val="single"/>
        </w:rPr>
        <w:t xml:space="preserve">                                                                         </w:t>
      </w:r>
      <w:r>
        <w:rPr>
          <w:rFonts w:eastAsia="方正仿宋_GBK"/>
          <w:color w:val="000000"/>
          <w:spacing w:val="-2"/>
          <w:kern w:val="0"/>
          <w:sz w:val="24"/>
        </w:rPr>
        <w:t xml:space="preserve"> </w:t>
      </w:r>
      <w:r>
        <w:rPr>
          <w:rFonts w:hint="eastAsia" w:eastAsia="方正仿宋_GBK"/>
          <w:color w:val="000000"/>
          <w:spacing w:val="-2"/>
          <w:kern w:val="0"/>
          <w:sz w:val="24"/>
        </w:rPr>
        <w:t>。</w:t>
      </w:r>
    </w:p>
    <w:p>
      <w:pPr>
        <w:shd w:val="clear" w:color="auto" w:fill="FFFFFF"/>
        <w:spacing w:line="20" w:lineRule="exact"/>
        <w:ind w:firstLine="472" w:firstLineChars="200"/>
        <w:jc w:val="left"/>
        <w:rPr>
          <w:rFonts w:eastAsia="方正仿宋_GBK"/>
          <w:color w:val="000000"/>
          <w:spacing w:val="-2"/>
          <w:kern w:val="0"/>
          <w:sz w:val="24"/>
        </w:rPr>
      </w:pPr>
    </w:p>
    <w:tbl>
      <w:tblPr>
        <w:tblStyle w:val="12"/>
        <w:tblW w:w="0" w:type="auto"/>
        <w:tblInd w:w="-10" w:type="dxa"/>
        <w:tblLayout w:type="fixed"/>
        <w:tblCellMar>
          <w:top w:w="0" w:type="dxa"/>
          <w:left w:w="0" w:type="dxa"/>
          <w:bottom w:w="0" w:type="dxa"/>
          <w:right w:w="0" w:type="dxa"/>
        </w:tblCellMar>
      </w:tblPr>
      <w:tblGrid>
        <w:gridCol w:w="1767"/>
        <w:gridCol w:w="3027"/>
        <w:gridCol w:w="3956"/>
      </w:tblGrid>
      <w:tr>
        <w:tblPrEx>
          <w:tblCellMar>
            <w:top w:w="0" w:type="dxa"/>
            <w:left w:w="0" w:type="dxa"/>
            <w:bottom w:w="0" w:type="dxa"/>
            <w:right w:w="0" w:type="dxa"/>
          </w:tblCellMar>
        </w:tblPrEx>
        <w:trPr>
          <w:trHeight w:val="510" w:hRule="atLeast"/>
        </w:trPr>
        <w:tc>
          <w:tcPr>
            <w:tcW w:w="1767" w:type="dxa"/>
            <w:tcBorders>
              <w:top w:val="single" w:color="auto" w:sz="8" w:space="0"/>
              <w:left w:val="single" w:color="auto" w:sz="8" w:space="0"/>
              <w:bottom w:val="single" w:color="auto" w:sz="4" w:space="0"/>
              <w:right w:val="single" w:color="auto" w:sz="4" w:space="0"/>
            </w:tcBorders>
            <w:noWrap w:val="0"/>
            <w:vAlign w:val="center"/>
          </w:tcPr>
          <w:p>
            <w:pPr>
              <w:spacing w:line="460" w:lineRule="exact"/>
              <w:jc w:val="center"/>
              <w:outlineLvl w:val="0"/>
              <w:rPr>
                <w:rFonts w:eastAsia="方正仿宋_GBK"/>
                <w:b/>
                <w:bCs/>
                <w:color w:val="000000"/>
                <w:spacing w:val="-2"/>
                <w:kern w:val="36"/>
                <w:sz w:val="24"/>
              </w:rPr>
            </w:pPr>
            <w:bookmarkStart w:id="550" w:name="_Toc20726591"/>
            <w:bookmarkStart w:id="551" w:name="_Toc20668062"/>
            <w:bookmarkStart w:id="552" w:name="_Toc18315732"/>
            <w:r>
              <w:rPr>
                <w:rFonts w:hint="eastAsia" w:eastAsia="方正仿宋_GBK"/>
                <w:color w:val="000000"/>
                <w:spacing w:val="-2"/>
                <w:kern w:val="36"/>
                <w:sz w:val="24"/>
              </w:rPr>
              <w:t>项目负责人</w:t>
            </w:r>
            <w:bookmarkEnd w:id="550"/>
            <w:bookmarkEnd w:id="551"/>
            <w:bookmarkEnd w:id="552"/>
          </w:p>
        </w:tc>
        <w:tc>
          <w:tcPr>
            <w:tcW w:w="3027" w:type="dxa"/>
            <w:tcBorders>
              <w:top w:val="single" w:color="auto" w:sz="8" w:space="0"/>
              <w:left w:val="single" w:color="auto" w:sz="4" w:space="0"/>
              <w:bottom w:val="single" w:color="auto" w:sz="4" w:space="0"/>
              <w:right w:val="single" w:color="auto" w:sz="4" w:space="0"/>
            </w:tcBorders>
            <w:noWrap w:val="0"/>
            <w:vAlign w:val="center"/>
          </w:tcPr>
          <w:p>
            <w:pPr>
              <w:spacing w:line="460" w:lineRule="exact"/>
              <w:jc w:val="center"/>
              <w:outlineLvl w:val="0"/>
              <w:rPr>
                <w:rFonts w:eastAsia="方正仿宋_GBK"/>
                <w:b/>
                <w:bCs/>
                <w:color w:val="000000"/>
                <w:spacing w:val="-2"/>
                <w:kern w:val="36"/>
                <w:sz w:val="24"/>
              </w:rPr>
            </w:pPr>
            <w:r>
              <w:rPr>
                <w:rFonts w:eastAsia="方正仿宋_GBK"/>
                <w:color w:val="000000"/>
                <w:spacing w:val="-2"/>
                <w:kern w:val="36"/>
                <w:sz w:val="24"/>
              </w:rPr>
              <w:t> </w:t>
            </w:r>
          </w:p>
        </w:tc>
        <w:tc>
          <w:tcPr>
            <w:tcW w:w="3956" w:type="dxa"/>
            <w:vMerge w:val="restart"/>
            <w:tcBorders>
              <w:top w:val="single" w:color="auto" w:sz="8" w:space="0"/>
              <w:left w:val="single" w:color="auto" w:sz="4" w:space="0"/>
              <w:bottom w:val="single" w:color="auto" w:sz="8" w:space="0"/>
              <w:right w:val="single" w:color="auto" w:sz="8" w:space="0"/>
            </w:tcBorders>
            <w:noWrap w:val="0"/>
            <w:vAlign w:val="center"/>
          </w:tcPr>
          <w:p>
            <w:pPr>
              <w:spacing w:line="360" w:lineRule="exact"/>
              <w:jc w:val="left"/>
              <w:outlineLvl w:val="0"/>
              <w:rPr>
                <w:rFonts w:eastAsia="方正仿宋_GBK"/>
                <w:b/>
                <w:bCs/>
                <w:color w:val="000000"/>
                <w:spacing w:val="-2"/>
                <w:kern w:val="36"/>
                <w:sz w:val="24"/>
              </w:rPr>
            </w:pPr>
            <w:bookmarkStart w:id="553" w:name="_Toc18315733"/>
            <w:bookmarkStart w:id="554" w:name="_Toc20726592"/>
            <w:bookmarkStart w:id="555" w:name="_Toc20668063"/>
            <w:r>
              <w:rPr>
                <w:rFonts w:hint="eastAsia" w:eastAsia="方正仿宋_GBK"/>
                <w:color w:val="000000"/>
                <w:spacing w:val="-2"/>
                <w:kern w:val="36"/>
                <w:sz w:val="24"/>
              </w:rPr>
              <w:t>承诺人签名：</w:t>
            </w:r>
            <w:bookmarkEnd w:id="553"/>
            <w:bookmarkEnd w:id="554"/>
            <w:bookmarkEnd w:id="555"/>
          </w:p>
          <w:p>
            <w:pPr>
              <w:spacing w:line="360" w:lineRule="exact"/>
              <w:jc w:val="right"/>
              <w:rPr>
                <w:rFonts w:eastAsia="方正仿宋_GBK"/>
                <w:color w:val="000000"/>
                <w:spacing w:val="-2"/>
                <w:kern w:val="36"/>
                <w:sz w:val="24"/>
              </w:rPr>
            </w:pPr>
            <w:r>
              <w:rPr>
                <w:rFonts w:eastAsia="方正仿宋_GBK"/>
                <w:color w:val="000000"/>
                <w:spacing w:val="-2"/>
                <w:kern w:val="36"/>
                <w:sz w:val="24"/>
              </w:rPr>
              <w:t xml:space="preserve">             </w:t>
            </w:r>
            <w:r>
              <w:rPr>
                <w:rFonts w:hint="eastAsia" w:eastAsia="方正仿宋_GBK"/>
                <w:color w:val="000000"/>
                <w:spacing w:val="-2"/>
                <w:kern w:val="36"/>
                <w:sz w:val="24"/>
              </w:rPr>
              <w:t>年</w:t>
            </w:r>
            <w:r>
              <w:rPr>
                <w:rFonts w:eastAsia="方正仿宋_GBK"/>
                <w:color w:val="000000"/>
                <w:spacing w:val="-2"/>
                <w:kern w:val="36"/>
                <w:sz w:val="24"/>
              </w:rPr>
              <w:t>    </w:t>
            </w:r>
            <w:r>
              <w:rPr>
                <w:rFonts w:hint="eastAsia" w:eastAsia="方正仿宋_GBK"/>
                <w:color w:val="000000"/>
                <w:spacing w:val="-2"/>
                <w:kern w:val="36"/>
                <w:sz w:val="24"/>
              </w:rPr>
              <w:t>月</w:t>
            </w:r>
            <w:r>
              <w:rPr>
                <w:rFonts w:eastAsia="方正仿宋_GBK"/>
                <w:color w:val="000000"/>
                <w:spacing w:val="-2"/>
                <w:kern w:val="36"/>
                <w:sz w:val="24"/>
              </w:rPr>
              <w:t xml:space="preserve">    </w:t>
            </w:r>
            <w:r>
              <w:rPr>
                <w:rFonts w:hint="eastAsia" w:eastAsia="方正仿宋_GBK"/>
                <w:color w:val="000000"/>
                <w:spacing w:val="-2"/>
                <w:kern w:val="36"/>
                <w:sz w:val="24"/>
              </w:rPr>
              <w:t>日</w:t>
            </w:r>
          </w:p>
          <w:p>
            <w:pPr>
              <w:spacing w:line="360" w:lineRule="exact"/>
              <w:rPr>
                <w:rFonts w:eastAsia="方正仿宋_GBK"/>
                <w:color w:val="000000"/>
                <w:spacing w:val="-2"/>
                <w:kern w:val="0"/>
                <w:sz w:val="24"/>
              </w:rPr>
            </w:pPr>
            <w:r>
              <w:rPr>
                <w:rFonts w:hint="eastAsia" w:eastAsia="方正仿宋_GBK"/>
                <w:color w:val="000000"/>
                <w:spacing w:val="-2"/>
                <w:kern w:val="0"/>
                <w:sz w:val="24"/>
              </w:rPr>
              <w:t>单位（公章）：</w:t>
            </w:r>
          </w:p>
          <w:p>
            <w:pPr>
              <w:spacing w:line="360" w:lineRule="exact"/>
              <w:ind w:right="44"/>
              <w:jc w:val="right"/>
              <w:outlineLvl w:val="0"/>
              <w:rPr>
                <w:rFonts w:eastAsia="方正仿宋_GBK"/>
                <w:b/>
                <w:bCs/>
                <w:color w:val="000000"/>
                <w:spacing w:val="-2"/>
                <w:kern w:val="36"/>
                <w:sz w:val="24"/>
              </w:rPr>
            </w:pPr>
            <w:bookmarkStart w:id="556" w:name="_Toc20668064"/>
            <w:bookmarkStart w:id="557" w:name="_Toc18315734"/>
            <w:bookmarkStart w:id="558" w:name="_Toc20726593"/>
            <w:r>
              <w:rPr>
                <w:rFonts w:hint="eastAsia" w:eastAsia="方正仿宋_GBK"/>
                <w:color w:val="000000"/>
                <w:spacing w:val="-2"/>
                <w:kern w:val="36"/>
                <w:sz w:val="24"/>
              </w:rPr>
              <w:t>年</w:t>
            </w:r>
            <w:r>
              <w:rPr>
                <w:rFonts w:eastAsia="方正仿宋_GBK"/>
                <w:color w:val="000000"/>
                <w:spacing w:val="-2"/>
                <w:kern w:val="36"/>
                <w:sz w:val="24"/>
              </w:rPr>
              <w:t>    </w:t>
            </w:r>
            <w:r>
              <w:rPr>
                <w:rFonts w:hint="eastAsia" w:eastAsia="方正仿宋_GBK"/>
                <w:color w:val="000000"/>
                <w:spacing w:val="-2"/>
                <w:kern w:val="36"/>
                <w:sz w:val="24"/>
              </w:rPr>
              <w:t>月</w:t>
            </w:r>
            <w:r>
              <w:rPr>
                <w:rFonts w:eastAsia="方正仿宋_GBK"/>
                <w:color w:val="000000"/>
                <w:spacing w:val="-2"/>
                <w:kern w:val="36"/>
                <w:sz w:val="24"/>
              </w:rPr>
              <w:t xml:space="preserve">    </w:t>
            </w:r>
            <w:r>
              <w:rPr>
                <w:rFonts w:hint="eastAsia" w:eastAsia="方正仿宋_GBK"/>
                <w:color w:val="000000"/>
                <w:spacing w:val="-2"/>
                <w:kern w:val="36"/>
                <w:sz w:val="24"/>
              </w:rPr>
              <w:t>日</w:t>
            </w:r>
            <w:bookmarkEnd w:id="556"/>
            <w:bookmarkEnd w:id="557"/>
            <w:bookmarkEnd w:id="558"/>
          </w:p>
        </w:tc>
      </w:tr>
      <w:tr>
        <w:tblPrEx>
          <w:tblCellMar>
            <w:top w:w="0" w:type="dxa"/>
            <w:left w:w="0" w:type="dxa"/>
            <w:bottom w:w="0" w:type="dxa"/>
            <w:right w:w="0" w:type="dxa"/>
          </w:tblCellMar>
        </w:tblPrEx>
        <w:trPr>
          <w:trHeight w:val="510" w:hRule="exact"/>
        </w:trPr>
        <w:tc>
          <w:tcPr>
            <w:tcW w:w="1767" w:type="dxa"/>
            <w:tcBorders>
              <w:top w:val="single" w:color="auto" w:sz="4" w:space="0"/>
              <w:left w:val="single" w:color="auto" w:sz="8" w:space="0"/>
              <w:bottom w:val="single" w:color="auto" w:sz="4" w:space="0"/>
              <w:right w:val="single" w:color="auto" w:sz="4" w:space="0"/>
            </w:tcBorders>
            <w:noWrap w:val="0"/>
            <w:vAlign w:val="center"/>
          </w:tcPr>
          <w:p>
            <w:pPr>
              <w:spacing w:line="460" w:lineRule="exact"/>
              <w:jc w:val="center"/>
              <w:outlineLvl w:val="0"/>
              <w:rPr>
                <w:rFonts w:eastAsia="方正仿宋_GBK"/>
                <w:b/>
                <w:bCs/>
                <w:color w:val="000000"/>
                <w:spacing w:val="-2"/>
                <w:kern w:val="36"/>
                <w:sz w:val="24"/>
              </w:rPr>
            </w:pPr>
            <w:bookmarkStart w:id="559" w:name="_Toc18315735"/>
            <w:bookmarkStart w:id="560" w:name="_Toc20726594"/>
            <w:bookmarkStart w:id="561" w:name="_Toc20668065"/>
            <w:r>
              <w:rPr>
                <w:rFonts w:hint="eastAsia" w:eastAsia="方正仿宋_GBK"/>
                <w:color w:val="000000"/>
                <w:spacing w:val="-2"/>
                <w:kern w:val="36"/>
                <w:sz w:val="24"/>
              </w:rPr>
              <w:t>身份证号码</w:t>
            </w:r>
            <w:bookmarkEnd w:id="559"/>
            <w:bookmarkEnd w:id="560"/>
            <w:bookmarkEnd w:id="561"/>
          </w:p>
        </w:tc>
        <w:tc>
          <w:tcPr>
            <w:tcW w:w="3027"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outlineLvl w:val="0"/>
              <w:rPr>
                <w:rFonts w:eastAsia="方正仿宋_GBK"/>
                <w:b/>
                <w:bCs/>
                <w:color w:val="000000"/>
                <w:spacing w:val="-2"/>
                <w:kern w:val="36"/>
                <w:sz w:val="24"/>
              </w:rPr>
            </w:pPr>
            <w:r>
              <w:rPr>
                <w:rFonts w:eastAsia="方正仿宋_GBK"/>
                <w:color w:val="000000"/>
                <w:spacing w:val="-2"/>
                <w:kern w:val="36"/>
                <w:sz w:val="24"/>
              </w:rPr>
              <w:t> </w:t>
            </w:r>
          </w:p>
        </w:tc>
        <w:tc>
          <w:tcPr>
            <w:tcW w:w="3956" w:type="dxa"/>
            <w:vMerge w:val="continue"/>
            <w:tcBorders>
              <w:top w:val="single" w:color="auto" w:sz="8" w:space="0"/>
              <w:left w:val="single" w:color="auto" w:sz="4" w:space="0"/>
              <w:bottom w:val="single" w:color="auto" w:sz="8" w:space="0"/>
              <w:right w:val="single" w:color="auto" w:sz="8" w:space="0"/>
            </w:tcBorders>
            <w:noWrap w:val="0"/>
            <w:vAlign w:val="center"/>
          </w:tcPr>
          <w:p>
            <w:pPr>
              <w:widowControl/>
              <w:jc w:val="left"/>
              <w:rPr>
                <w:rFonts w:eastAsia="方正仿宋_GBK"/>
                <w:b/>
                <w:bCs/>
                <w:color w:val="000000"/>
                <w:spacing w:val="-2"/>
                <w:kern w:val="36"/>
                <w:sz w:val="24"/>
              </w:rPr>
            </w:pPr>
          </w:p>
        </w:tc>
      </w:tr>
      <w:tr>
        <w:tblPrEx>
          <w:tblCellMar>
            <w:top w:w="0" w:type="dxa"/>
            <w:left w:w="0" w:type="dxa"/>
            <w:bottom w:w="0" w:type="dxa"/>
            <w:right w:w="0" w:type="dxa"/>
          </w:tblCellMar>
        </w:tblPrEx>
        <w:trPr>
          <w:trHeight w:val="510" w:hRule="exact"/>
        </w:trPr>
        <w:tc>
          <w:tcPr>
            <w:tcW w:w="1767" w:type="dxa"/>
            <w:tcBorders>
              <w:top w:val="single" w:color="auto" w:sz="4" w:space="0"/>
              <w:left w:val="single" w:color="auto" w:sz="8" w:space="0"/>
              <w:bottom w:val="single" w:color="auto" w:sz="4" w:space="0"/>
              <w:right w:val="single" w:color="auto" w:sz="4" w:space="0"/>
            </w:tcBorders>
            <w:noWrap w:val="0"/>
            <w:vAlign w:val="center"/>
          </w:tcPr>
          <w:p>
            <w:pPr>
              <w:spacing w:line="460" w:lineRule="exact"/>
              <w:jc w:val="center"/>
              <w:outlineLvl w:val="0"/>
              <w:rPr>
                <w:rFonts w:eastAsia="方正仿宋_GBK"/>
                <w:b/>
                <w:bCs/>
                <w:color w:val="000000"/>
                <w:spacing w:val="-2"/>
                <w:kern w:val="36"/>
                <w:sz w:val="24"/>
              </w:rPr>
            </w:pPr>
            <w:bookmarkStart w:id="562" w:name="_Toc20726595"/>
            <w:bookmarkStart w:id="563" w:name="_Toc20668066"/>
            <w:bookmarkStart w:id="564" w:name="_Toc18315736"/>
            <w:r>
              <w:rPr>
                <w:rFonts w:hint="eastAsia" w:eastAsia="方正仿宋_GBK"/>
                <w:color w:val="000000"/>
                <w:spacing w:val="-2"/>
                <w:kern w:val="36"/>
                <w:sz w:val="24"/>
              </w:rPr>
              <w:t>执业资格证号</w:t>
            </w:r>
            <w:bookmarkEnd w:id="562"/>
            <w:bookmarkEnd w:id="563"/>
            <w:bookmarkEnd w:id="564"/>
          </w:p>
        </w:tc>
        <w:tc>
          <w:tcPr>
            <w:tcW w:w="3027"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outlineLvl w:val="0"/>
              <w:rPr>
                <w:rFonts w:eastAsia="方正仿宋_GBK"/>
                <w:b/>
                <w:bCs/>
                <w:color w:val="000000"/>
                <w:spacing w:val="-2"/>
                <w:kern w:val="36"/>
                <w:sz w:val="24"/>
              </w:rPr>
            </w:pPr>
            <w:r>
              <w:rPr>
                <w:rFonts w:eastAsia="方正仿宋_GBK"/>
                <w:color w:val="000000"/>
                <w:spacing w:val="-2"/>
                <w:kern w:val="36"/>
                <w:sz w:val="24"/>
              </w:rPr>
              <w:t> </w:t>
            </w:r>
          </w:p>
        </w:tc>
        <w:tc>
          <w:tcPr>
            <w:tcW w:w="3956" w:type="dxa"/>
            <w:vMerge w:val="continue"/>
            <w:tcBorders>
              <w:top w:val="single" w:color="auto" w:sz="8" w:space="0"/>
              <w:left w:val="single" w:color="auto" w:sz="4" w:space="0"/>
              <w:bottom w:val="single" w:color="auto" w:sz="8" w:space="0"/>
              <w:right w:val="single" w:color="auto" w:sz="8" w:space="0"/>
            </w:tcBorders>
            <w:noWrap w:val="0"/>
            <w:vAlign w:val="center"/>
          </w:tcPr>
          <w:p>
            <w:pPr>
              <w:widowControl/>
              <w:jc w:val="left"/>
              <w:rPr>
                <w:rFonts w:eastAsia="方正仿宋_GBK"/>
                <w:b/>
                <w:bCs/>
                <w:color w:val="000000"/>
                <w:spacing w:val="-2"/>
                <w:kern w:val="36"/>
                <w:sz w:val="24"/>
              </w:rPr>
            </w:pPr>
          </w:p>
        </w:tc>
      </w:tr>
      <w:tr>
        <w:tblPrEx>
          <w:tblCellMar>
            <w:top w:w="0" w:type="dxa"/>
            <w:left w:w="0" w:type="dxa"/>
            <w:bottom w:w="0" w:type="dxa"/>
            <w:right w:w="0" w:type="dxa"/>
          </w:tblCellMar>
        </w:tblPrEx>
        <w:trPr>
          <w:trHeight w:val="510" w:hRule="exact"/>
        </w:trPr>
        <w:tc>
          <w:tcPr>
            <w:tcW w:w="1767" w:type="dxa"/>
            <w:tcBorders>
              <w:top w:val="single" w:color="auto" w:sz="4" w:space="0"/>
              <w:left w:val="single" w:color="auto" w:sz="8" w:space="0"/>
              <w:bottom w:val="single" w:color="auto" w:sz="8" w:space="0"/>
              <w:right w:val="single" w:color="auto" w:sz="4" w:space="0"/>
            </w:tcBorders>
            <w:noWrap w:val="0"/>
            <w:vAlign w:val="center"/>
          </w:tcPr>
          <w:p>
            <w:pPr>
              <w:spacing w:line="460" w:lineRule="exact"/>
              <w:jc w:val="center"/>
              <w:outlineLvl w:val="0"/>
              <w:rPr>
                <w:rFonts w:eastAsia="方正仿宋_GBK"/>
                <w:color w:val="000000"/>
                <w:spacing w:val="-2"/>
                <w:kern w:val="36"/>
                <w:sz w:val="24"/>
              </w:rPr>
            </w:pPr>
            <w:bookmarkStart w:id="565" w:name="_Toc18315737"/>
            <w:bookmarkStart w:id="566" w:name="_Toc20668067"/>
            <w:bookmarkStart w:id="567" w:name="_Toc20726596"/>
            <w:r>
              <w:rPr>
                <w:rFonts w:hint="eastAsia" w:eastAsia="方正仿宋_GBK"/>
                <w:color w:val="000000"/>
                <w:spacing w:val="-2"/>
                <w:kern w:val="36"/>
                <w:sz w:val="24"/>
              </w:rPr>
              <w:t>联系方式</w:t>
            </w:r>
            <w:bookmarkEnd w:id="565"/>
            <w:bookmarkEnd w:id="566"/>
            <w:bookmarkEnd w:id="567"/>
          </w:p>
        </w:tc>
        <w:tc>
          <w:tcPr>
            <w:tcW w:w="3027" w:type="dxa"/>
            <w:tcBorders>
              <w:top w:val="single" w:color="auto" w:sz="4" w:space="0"/>
              <w:left w:val="single" w:color="auto" w:sz="4" w:space="0"/>
              <w:bottom w:val="single" w:color="auto" w:sz="8" w:space="0"/>
              <w:right w:val="single" w:color="auto" w:sz="4" w:space="0"/>
            </w:tcBorders>
            <w:noWrap w:val="0"/>
            <w:vAlign w:val="center"/>
          </w:tcPr>
          <w:p>
            <w:pPr>
              <w:spacing w:line="460" w:lineRule="exact"/>
              <w:jc w:val="center"/>
              <w:outlineLvl w:val="0"/>
              <w:rPr>
                <w:rFonts w:eastAsia="方正仿宋_GBK"/>
                <w:color w:val="000000"/>
                <w:spacing w:val="-2"/>
                <w:kern w:val="36"/>
                <w:sz w:val="24"/>
              </w:rPr>
            </w:pPr>
          </w:p>
        </w:tc>
        <w:tc>
          <w:tcPr>
            <w:tcW w:w="3956" w:type="dxa"/>
            <w:vMerge w:val="continue"/>
            <w:tcBorders>
              <w:top w:val="single" w:color="auto" w:sz="8" w:space="0"/>
              <w:left w:val="single" w:color="auto" w:sz="4" w:space="0"/>
              <w:bottom w:val="single" w:color="auto" w:sz="8" w:space="0"/>
              <w:right w:val="single" w:color="auto" w:sz="8" w:space="0"/>
            </w:tcBorders>
            <w:noWrap w:val="0"/>
            <w:vAlign w:val="center"/>
          </w:tcPr>
          <w:p>
            <w:pPr>
              <w:widowControl/>
              <w:jc w:val="left"/>
              <w:rPr>
                <w:rFonts w:eastAsia="方正仿宋_GBK"/>
                <w:b/>
                <w:bCs/>
                <w:color w:val="000000"/>
                <w:spacing w:val="-2"/>
                <w:kern w:val="36"/>
                <w:sz w:val="24"/>
              </w:rPr>
            </w:pPr>
          </w:p>
        </w:tc>
      </w:tr>
    </w:tbl>
    <w:p>
      <w:pPr>
        <w:spacing w:line="360" w:lineRule="exact"/>
        <w:rPr>
          <w:rFonts w:ascii="Times New Roman" w:eastAsia="方正楷体_GBK"/>
          <w:color w:val="000000"/>
          <w:spacing w:val="-2"/>
          <w:szCs w:val="21"/>
        </w:rPr>
      </w:pPr>
      <w:r>
        <w:rPr>
          <w:rFonts w:hint="eastAsia" w:ascii="Times New Roman" w:eastAsia="方正楷体_GBK"/>
          <w:color w:val="000000"/>
          <w:spacing w:val="-2"/>
          <w:szCs w:val="21"/>
        </w:rPr>
        <w:t>注：本承诺书一式三份，一份在办理质量监督手续前，报质量监督机构备案；一份由建设单位收集管理，工程竣工验收合格后移交城建档案管理部门；一份各方责任主体留存。</w:t>
      </w:r>
    </w:p>
    <w:p>
      <w:pPr>
        <w:shd w:val="clear" w:color="auto" w:fill="FFFFFF"/>
        <w:spacing w:line="460" w:lineRule="exact"/>
        <w:jc w:val="center"/>
        <w:rPr>
          <w:rFonts w:hint="eastAsia" w:ascii="Times New Roman" w:eastAsia="方正黑体_GBK"/>
          <w:color w:val="000000"/>
          <w:spacing w:val="-2"/>
          <w:kern w:val="0"/>
          <w:sz w:val="28"/>
          <w:szCs w:val="28"/>
        </w:rPr>
      </w:pPr>
      <w:r>
        <w:rPr>
          <w:rFonts w:eastAsia="方正仿宋_GBK"/>
          <w:color w:val="000000"/>
          <w:spacing w:val="-2"/>
          <w:sz w:val="24"/>
        </w:rPr>
        <w:br w:type="page"/>
      </w:r>
      <w:r>
        <w:rPr>
          <w:rFonts w:hint="eastAsia" w:ascii="Times New Roman" w:eastAsia="方正黑体_GBK"/>
          <w:color w:val="000000"/>
          <w:spacing w:val="-2"/>
          <w:kern w:val="0"/>
          <w:sz w:val="28"/>
          <w:szCs w:val="28"/>
        </w:rPr>
        <w:t>施工单位项目负责人质量终身责任承诺书</w:t>
      </w:r>
    </w:p>
    <w:p>
      <w:pPr>
        <w:shd w:val="clear" w:color="auto" w:fill="FFFFFF"/>
        <w:spacing w:line="460" w:lineRule="exact"/>
        <w:ind w:firstLine="472" w:firstLineChars="200"/>
        <w:jc w:val="left"/>
        <w:rPr>
          <w:rFonts w:hint="eastAsia" w:eastAsia="方正仿宋_GBK"/>
          <w:color w:val="000000"/>
          <w:spacing w:val="-2"/>
          <w:kern w:val="0"/>
          <w:sz w:val="24"/>
        </w:rPr>
      </w:pPr>
    </w:p>
    <w:p>
      <w:pPr>
        <w:shd w:val="clear" w:color="auto" w:fill="FFFFFF"/>
        <w:spacing w:line="420" w:lineRule="exact"/>
        <w:ind w:firstLine="474" w:firstLineChars="200"/>
        <w:jc w:val="left"/>
        <w:rPr>
          <w:rFonts w:eastAsia="方正仿宋_GBK"/>
          <w:color w:val="000000"/>
          <w:spacing w:val="-2"/>
          <w:kern w:val="0"/>
          <w:sz w:val="24"/>
        </w:rPr>
      </w:pPr>
      <w:r>
        <w:rPr>
          <w:rFonts w:hint="eastAsia" w:eastAsia="方正仿宋_GBK"/>
          <w:b/>
          <w:color w:val="000000"/>
          <w:spacing w:val="-2"/>
          <w:kern w:val="0"/>
          <w:sz w:val="24"/>
        </w:rPr>
        <w:t>本人承诺：</w:t>
      </w:r>
      <w:r>
        <w:rPr>
          <w:rFonts w:hint="eastAsia" w:eastAsia="方正仿宋_GBK"/>
          <w:color w:val="000000"/>
          <w:spacing w:val="-2"/>
          <w:kern w:val="0"/>
          <w:sz w:val="24"/>
        </w:rPr>
        <w:t>在</w:t>
      </w:r>
      <w:r>
        <w:rPr>
          <w:rFonts w:eastAsia="方正仿宋_GBK"/>
          <w:color w:val="000000"/>
          <w:spacing w:val="-2"/>
          <w:kern w:val="0"/>
          <w:sz w:val="24"/>
        </w:rPr>
        <w:t xml:space="preserve"> </w:t>
      </w:r>
      <w:r>
        <w:rPr>
          <w:rFonts w:eastAsia="方正仿宋_GBK"/>
          <w:color w:val="000000"/>
          <w:spacing w:val="-2"/>
          <w:kern w:val="0"/>
          <w:sz w:val="24"/>
          <w:u w:val="single"/>
        </w:rPr>
        <w:t xml:space="preserve">                                    </w:t>
      </w:r>
      <w:r>
        <w:rPr>
          <w:rFonts w:hint="eastAsia" w:eastAsia="方正仿宋_GBK"/>
          <w:color w:val="000000"/>
          <w:spacing w:val="-2"/>
          <w:kern w:val="0"/>
          <w:sz w:val="24"/>
        </w:rPr>
        <w:t>工程建设过程中认真履行下列职责，并承担相应终身质量责任。</w:t>
      </w:r>
    </w:p>
    <w:p>
      <w:pPr>
        <w:shd w:val="clear" w:color="auto" w:fill="FFFFFF"/>
        <w:spacing w:line="420" w:lineRule="exact"/>
        <w:ind w:firstLine="472" w:firstLineChars="200"/>
        <w:jc w:val="left"/>
        <w:rPr>
          <w:rFonts w:eastAsia="方正仿宋_GBK"/>
          <w:color w:val="000000"/>
          <w:spacing w:val="-2"/>
          <w:kern w:val="0"/>
          <w:sz w:val="24"/>
        </w:rPr>
      </w:pPr>
      <w:r>
        <w:rPr>
          <w:rFonts w:eastAsia="方正仿宋_GBK"/>
          <w:color w:val="000000"/>
          <w:spacing w:val="-2"/>
          <w:kern w:val="0"/>
          <w:sz w:val="24"/>
        </w:rPr>
        <w:t>1</w:t>
      </w:r>
      <w:r>
        <w:rPr>
          <w:rFonts w:hint="eastAsia" w:eastAsia="方正仿宋_GBK"/>
          <w:color w:val="000000"/>
          <w:spacing w:val="-2"/>
          <w:kern w:val="0"/>
          <w:sz w:val="24"/>
        </w:rPr>
        <w:t>、在资质等级许可的业务范围承揽工程，承揽工程后依法签订承包合同，在领取施工许可证后，方进行施工。</w:t>
      </w:r>
    </w:p>
    <w:p>
      <w:pPr>
        <w:shd w:val="clear" w:color="auto" w:fill="FFFFFF"/>
        <w:spacing w:line="420" w:lineRule="exact"/>
        <w:ind w:firstLine="472" w:firstLineChars="200"/>
        <w:jc w:val="left"/>
        <w:rPr>
          <w:rFonts w:eastAsia="方正仿宋_GBK"/>
          <w:color w:val="000000"/>
          <w:spacing w:val="-2"/>
          <w:kern w:val="0"/>
          <w:sz w:val="24"/>
        </w:rPr>
      </w:pPr>
      <w:r>
        <w:rPr>
          <w:rFonts w:eastAsia="方正仿宋_GBK"/>
          <w:color w:val="000000"/>
          <w:spacing w:val="-2"/>
          <w:kern w:val="0"/>
          <w:sz w:val="24"/>
        </w:rPr>
        <w:t>2</w:t>
      </w:r>
      <w:r>
        <w:rPr>
          <w:rFonts w:hint="eastAsia" w:eastAsia="方正仿宋_GBK"/>
          <w:color w:val="000000"/>
          <w:spacing w:val="-2"/>
          <w:kern w:val="0"/>
          <w:sz w:val="24"/>
        </w:rPr>
        <w:t>、严格按规定配备施工项目部关键岗位人员，所有人员均到岗履职。</w:t>
      </w:r>
    </w:p>
    <w:p>
      <w:pPr>
        <w:shd w:val="clear" w:color="auto" w:fill="FFFFFF"/>
        <w:spacing w:line="420" w:lineRule="exact"/>
        <w:ind w:firstLine="472" w:firstLineChars="200"/>
        <w:jc w:val="left"/>
        <w:rPr>
          <w:rFonts w:eastAsia="方正仿宋_GBK"/>
          <w:color w:val="000000"/>
          <w:spacing w:val="-2"/>
          <w:kern w:val="0"/>
          <w:sz w:val="24"/>
        </w:rPr>
      </w:pPr>
      <w:r>
        <w:rPr>
          <w:rFonts w:eastAsia="方正仿宋_GBK"/>
          <w:color w:val="000000"/>
          <w:spacing w:val="-2"/>
          <w:kern w:val="0"/>
          <w:sz w:val="24"/>
        </w:rPr>
        <w:t>3</w:t>
      </w:r>
      <w:r>
        <w:rPr>
          <w:rFonts w:hint="eastAsia" w:eastAsia="方正仿宋_GBK"/>
          <w:color w:val="000000"/>
          <w:spacing w:val="-2"/>
          <w:kern w:val="0"/>
          <w:sz w:val="24"/>
        </w:rPr>
        <w:t>、严格按照经施工图审查机构审查合格并加盖专用章的工程设计文件以及施工技术标准和合同约定的质量标准精心组织施工，不擅自修改工程设计，不偷工减料。对施工中采用的建筑材料、建筑构配件、设备和商品混凝土、预拌砂浆严格按规定进行见证取样检验，并有书面记录，签字齐全；未经检验或者检验不合格的，均不使用于工程。</w:t>
      </w:r>
    </w:p>
    <w:p>
      <w:pPr>
        <w:shd w:val="clear" w:color="auto" w:fill="FFFFFF"/>
        <w:spacing w:line="420" w:lineRule="exact"/>
        <w:ind w:firstLine="472" w:firstLineChars="200"/>
        <w:jc w:val="left"/>
        <w:rPr>
          <w:rFonts w:eastAsia="方正仿宋_GBK"/>
          <w:color w:val="000000"/>
          <w:spacing w:val="-2"/>
          <w:kern w:val="0"/>
          <w:sz w:val="24"/>
        </w:rPr>
      </w:pPr>
      <w:r>
        <w:rPr>
          <w:rFonts w:eastAsia="方正仿宋_GBK"/>
          <w:color w:val="000000"/>
          <w:spacing w:val="-2"/>
          <w:kern w:val="0"/>
          <w:sz w:val="24"/>
        </w:rPr>
        <w:t>5</w:t>
      </w:r>
      <w:r>
        <w:rPr>
          <w:rFonts w:hint="eastAsia" w:eastAsia="方正仿宋_GBK"/>
          <w:color w:val="000000"/>
          <w:spacing w:val="-2"/>
          <w:kern w:val="0"/>
          <w:sz w:val="24"/>
        </w:rPr>
        <w:t>、严格执行质量检查验收制度，严格工序管理。隐蔽工程在隐蔽前，及时通知建设、监理单位检查验收。分项、分部、竣工验收均符合要求。所有工程质量保证资料真实、准确，与工程实体情况一致。</w:t>
      </w:r>
    </w:p>
    <w:p>
      <w:pPr>
        <w:shd w:val="clear" w:color="auto" w:fill="FFFFFF"/>
        <w:spacing w:line="420" w:lineRule="exact"/>
        <w:ind w:firstLine="472" w:firstLineChars="200"/>
        <w:jc w:val="left"/>
        <w:rPr>
          <w:rFonts w:eastAsia="方正仿宋_GBK"/>
          <w:color w:val="000000"/>
          <w:spacing w:val="-2"/>
          <w:kern w:val="0"/>
          <w:sz w:val="24"/>
        </w:rPr>
      </w:pPr>
      <w:r>
        <w:rPr>
          <w:rFonts w:eastAsia="方正仿宋_GBK"/>
          <w:color w:val="000000"/>
          <w:spacing w:val="-2"/>
          <w:kern w:val="0"/>
          <w:sz w:val="24"/>
        </w:rPr>
        <w:t>6</w:t>
      </w:r>
      <w:r>
        <w:rPr>
          <w:rFonts w:hint="eastAsia" w:eastAsia="方正仿宋_GBK"/>
          <w:color w:val="000000"/>
          <w:spacing w:val="-2"/>
          <w:kern w:val="0"/>
          <w:sz w:val="24"/>
        </w:rPr>
        <w:t>、对施工中出现的质量问题进行返修。向建设单位出具质量保修书，保修书中明确建设工程的保修范围、保修期限和保修责任等。建设工程在保修范围和期限内发生质量问题，将严格依法依规履行保修义务，并对造成的损失承担赔偿责任。</w:t>
      </w:r>
    </w:p>
    <w:p>
      <w:pPr>
        <w:shd w:val="clear" w:color="auto" w:fill="FFFFFF"/>
        <w:spacing w:line="420" w:lineRule="exact"/>
        <w:ind w:firstLine="472" w:firstLineChars="200"/>
        <w:jc w:val="left"/>
        <w:rPr>
          <w:rFonts w:eastAsia="方正仿宋_GBK"/>
          <w:color w:val="000000"/>
          <w:spacing w:val="-2"/>
          <w:kern w:val="0"/>
          <w:sz w:val="24"/>
        </w:rPr>
      </w:pPr>
      <w:r>
        <w:rPr>
          <w:rFonts w:eastAsia="方正仿宋_GBK"/>
          <w:color w:val="000000"/>
          <w:spacing w:val="-2"/>
          <w:kern w:val="0"/>
          <w:sz w:val="24"/>
        </w:rPr>
        <w:t>7</w:t>
      </w:r>
      <w:r>
        <w:rPr>
          <w:rFonts w:hint="eastAsia" w:eastAsia="方正仿宋_GBK"/>
          <w:color w:val="000000"/>
          <w:spacing w:val="-2"/>
          <w:kern w:val="0"/>
          <w:sz w:val="24"/>
        </w:rPr>
        <w:t>、确保本工程资料收集真实、准确完整，签章手续齐全，及时整理移交建设单位归档。</w:t>
      </w:r>
    </w:p>
    <w:p>
      <w:pPr>
        <w:shd w:val="clear" w:color="auto" w:fill="FFFFFF"/>
        <w:spacing w:line="420" w:lineRule="exact"/>
        <w:ind w:firstLine="472" w:firstLineChars="200"/>
        <w:jc w:val="left"/>
        <w:rPr>
          <w:rFonts w:eastAsia="方正仿宋_GBK"/>
          <w:color w:val="000000"/>
          <w:spacing w:val="-2"/>
          <w:kern w:val="0"/>
          <w:sz w:val="24"/>
        </w:rPr>
      </w:pPr>
      <w:r>
        <w:rPr>
          <w:rFonts w:eastAsia="方正仿宋_GBK"/>
          <w:color w:val="000000"/>
          <w:spacing w:val="-2"/>
          <w:kern w:val="0"/>
          <w:sz w:val="24"/>
        </w:rPr>
        <w:t>8</w:t>
      </w:r>
      <w:r>
        <w:rPr>
          <w:rFonts w:hint="eastAsia" w:eastAsia="方正仿宋_GBK"/>
          <w:color w:val="000000"/>
          <w:spacing w:val="-2"/>
          <w:kern w:val="0"/>
          <w:sz w:val="24"/>
        </w:rPr>
        <w:t>、其他法律法规规定的职责。</w:t>
      </w:r>
    </w:p>
    <w:p>
      <w:pPr>
        <w:shd w:val="clear" w:color="auto" w:fill="FFFFFF"/>
        <w:spacing w:line="420" w:lineRule="exact"/>
        <w:ind w:firstLine="472" w:firstLineChars="200"/>
        <w:jc w:val="left"/>
        <w:rPr>
          <w:rFonts w:eastAsia="方正仿宋_GBK"/>
          <w:color w:val="000000"/>
          <w:spacing w:val="-2"/>
          <w:kern w:val="0"/>
          <w:sz w:val="24"/>
          <w:u w:val="single"/>
        </w:rPr>
      </w:pPr>
      <w:r>
        <w:rPr>
          <w:rFonts w:eastAsia="方正仿宋_GBK"/>
          <w:color w:val="000000"/>
          <w:spacing w:val="-2"/>
          <w:kern w:val="0"/>
          <w:sz w:val="24"/>
        </w:rPr>
        <w:t>9</w:t>
      </w:r>
      <w:r>
        <w:rPr>
          <w:rFonts w:hint="eastAsia" w:eastAsia="方正仿宋_GBK"/>
          <w:color w:val="000000"/>
          <w:spacing w:val="-2"/>
          <w:kern w:val="0"/>
          <w:sz w:val="24"/>
        </w:rPr>
        <w:t>、本单位在本工程项目承担下列施工业务：</w:t>
      </w:r>
      <w:r>
        <w:rPr>
          <w:rFonts w:hint="eastAsia" w:eastAsia="方正仿宋_GBK"/>
          <w:color w:val="000000"/>
          <w:spacing w:val="-2"/>
          <w:kern w:val="0"/>
          <w:sz w:val="24"/>
          <w:u w:val="single"/>
        </w:rPr>
        <w:t>（附合同复印件）</w:t>
      </w:r>
      <w:r>
        <w:rPr>
          <w:rFonts w:eastAsia="方正仿宋_GBK"/>
          <w:color w:val="000000"/>
          <w:spacing w:val="-2"/>
          <w:kern w:val="0"/>
          <w:sz w:val="24"/>
          <w:u w:val="single"/>
        </w:rPr>
        <w:t xml:space="preserve">                                                </w:t>
      </w:r>
    </w:p>
    <w:p>
      <w:pPr>
        <w:shd w:val="clear" w:color="auto" w:fill="FFFFFF"/>
        <w:spacing w:line="460" w:lineRule="exact"/>
        <w:jc w:val="left"/>
        <w:rPr>
          <w:rFonts w:eastAsia="方正仿宋_GBK"/>
          <w:color w:val="000000"/>
          <w:spacing w:val="-2"/>
          <w:kern w:val="0"/>
          <w:sz w:val="24"/>
          <w:u w:val="single"/>
        </w:rPr>
      </w:pPr>
      <w:r>
        <w:rPr>
          <w:rFonts w:eastAsia="方正仿宋_GBK"/>
          <w:color w:val="000000"/>
          <w:spacing w:val="-2"/>
          <w:kern w:val="0"/>
          <w:sz w:val="24"/>
          <w:u w:val="single"/>
        </w:rPr>
        <w:t xml:space="preserve">                                                                           </w:t>
      </w:r>
    </w:p>
    <w:p>
      <w:pPr>
        <w:shd w:val="clear" w:color="auto" w:fill="FFFFFF"/>
        <w:spacing w:line="460" w:lineRule="exact"/>
        <w:ind w:firstLine="480"/>
        <w:jc w:val="left"/>
        <w:rPr>
          <w:rFonts w:eastAsia="方正仿宋_GBK"/>
          <w:color w:val="000000"/>
          <w:spacing w:val="-2"/>
          <w:kern w:val="0"/>
          <w:sz w:val="24"/>
        </w:rPr>
      </w:pPr>
    </w:p>
    <w:tbl>
      <w:tblPr>
        <w:tblStyle w:val="12"/>
        <w:tblW w:w="0" w:type="auto"/>
        <w:tblInd w:w="-10" w:type="dxa"/>
        <w:tblLayout w:type="fixed"/>
        <w:tblCellMar>
          <w:top w:w="0" w:type="dxa"/>
          <w:left w:w="0" w:type="dxa"/>
          <w:bottom w:w="0" w:type="dxa"/>
          <w:right w:w="0" w:type="dxa"/>
        </w:tblCellMar>
      </w:tblPr>
      <w:tblGrid>
        <w:gridCol w:w="1767"/>
        <w:gridCol w:w="3027"/>
        <w:gridCol w:w="3976"/>
      </w:tblGrid>
      <w:tr>
        <w:tblPrEx>
          <w:tblCellMar>
            <w:top w:w="0" w:type="dxa"/>
            <w:left w:w="0" w:type="dxa"/>
            <w:bottom w:w="0" w:type="dxa"/>
            <w:right w:w="0" w:type="dxa"/>
          </w:tblCellMar>
        </w:tblPrEx>
        <w:trPr>
          <w:trHeight w:val="510" w:hRule="atLeast"/>
        </w:trPr>
        <w:tc>
          <w:tcPr>
            <w:tcW w:w="1767" w:type="dxa"/>
            <w:tcBorders>
              <w:top w:val="single" w:color="auto" w:sz="8" w:space="0"/>
              <w:left w:val="single" w:color="auto" w:sz="8" w:space="0"/>
              <w:bottom w:val="single" w:color="auto" w:sz="4" w:space="0"/>
              <w:right w:val="single" w:color="auto" w:sz="4" w:space="0"/>
            </w:tcBorders>
            <w:noWrap w:val="0"/>
            <w:vAlign w:val="center"/>
          </w:tcPr>
          <w:p>
            <w:pPr>
              <w:spacing w:line="460" w:lineRule="exact"/>
              <w:jc w:val="center"/>
              <w:outlineLvl w:val="0"/>
              <w:rPr>
                <w:rFonts w:eastAsia="方正仿宋_GBK"/>
                <w:b/>
                <w:bCs/>
                <w:color w:val="000000"/>
                <w:spacing w:val="-2"/>
                <w:kern w:val="36"/>
                <w:sz w:val="24"/>
              </w:rPr>
            </w:pPr>
            <w:bookmarkStart w:id="568" w:name="_Toc18315738"/>
            <w:bookmarkStart w:id="569" w:name="_Toc20668068"/>
            <w:bookmarkStart w:id="570" w:name="_Toc20726597"/>
            <w:r>
              <w:rPr>
                <w:rFonts w:hint="eastAsia" w:eastAsia="方正仿宋_GBK"/>
                <w:color w:val="000000"/>
                <w:spacing w:val="-2"/>
                <w:kern w:val="36"/>
                <w:sz w:val="24"/>
              </w:rPr>
              <w:t>项目负责人</w:t>
            </w:r>
            <w:bookmarkEnd w:id="568"/>
            <w:bookmarkEnd w:id="569"/>
            <w:bookmarkEnd w:id="570"/>
          </w:p>
        </w:tc>
        <w:tc>
          <w:tcPr>
            <w:tcW w:w="3027" w:type="dxa"/>
            <w:tcBorders>
              <w:top w:val="single" w:color="auto" w:sz="8" w:space="0"/>
              <w:left w:val="single" w:color="auto" w:sz="4" w:space="0"/>
              <w:bottom w:val="single" w:color="auto" w:sz="4" w:space="0"/>
              <w:right w:val="single" w:color="auto" w:sz="4" w:space="0"/>
            </w:tcBorders>
            <w:noWrap w:val="0"/>
            <w:vAlign w:val="center"/>
          </w:tcPr>
          <w:p>
            <w:pPr>
              <w:spacing w:line="460" w:lineRule="exact"/>
              <w:jc w:val="center"/>
              <w:outlineLvl w:val="0"/>
              <w:rPr>
                <w:rFonts w:eastAsia="方正仿宋_GBK"/>
                <w:b/>
                <w:bCs/>
                <w:color w:val="000000"/>
                <w:spacing w:val="-2"/>
                <w:kern w:val="36"/>
                <w:sz w:val="24"/>
              </w:rPr>
            </w:pPr>
            <w:r>
              <w:rPr>
                <w:rFonts w:eastAsia="方正仿宋_GBK"/>
                <w:color w:val="000000"/>
                <w:spacing w:val="-2"/>
                <w:kern w:val="36"/>
                <w:sz w:val="24"/>
              </w:rPr>
              <w:t> </w:t>
            </w:r>
          </w:p>
        </w:tc>
        <w:tc>
          <w:tcPr>
            <w:tcW w:w="3976" w:type="dxa"/>
            <w:vMerge w:val="restart"/>
            <w:tcBorders>
              <w:top w:val="single" w:color="auto" w:sz="8" w:space="0"/>
              <w:left w:val="single" w:color="auto" w:sz="4" w:space="0"/>
              <w:bottom w:val="single" w:color="auto" w:sz="8" w:space="0"/>
              <w:right w:val="single" w:color="auto" w:sz="8" w:space="0"/>
            </w:tcBorders>
            <w:noWrap w:val="0"/>
            <w:vAlign w:val="center"/>
          </w:tcPr>
          <w:p>
            <w:pPr>
              <w:spacing w:line="360" w:lineRule="exact"/>
              <w:jc w:val="left"/>
              <w:outlineLvl w:val="0"/>
              <w:rPr>
                <w:rFonts w:eastAsia="方正仿宋_GBK"/>
                <w:b/>
                <w:bCs/>
                <w:color w:val="000000"/>
                <w:spacing w:val="-2"/>
                <w:kern w:val="36"/>
                <w:sz w:val="24"/>
              </w:rPr>
            </w:pPr>
            <w:bookmarkStart w:id="571" w:name="_Toc18315739"/>
            <w:bookmarkStart w:id="572" w:name="_Toc20726598"/>
            <w:bookmarkStart w:id="573" w:name="_Toc20668069"/>
            <w:r>
              <w:rPr>
                <w:rFonts w:hint="eastAsia" w:eastAsia="方正仿宋_GBK"/>
                <w:color w:val="000000"/>
                <w:spacing w:val="-2"/>
                <w:kern w:val="36"/>
                <w:sz w:val="24"/>
              </w:rPr>
              <w:t>承诺人签名：</w:t>
            </w:r>
            <w:bookmarkEnd w:id="571"/>
            <w:bookmarkEnd w:id="572"/>
            <w:bookmarkEnd w:id="573"/>
          </w:p>
          <w:p>
            <w:pPr>
              <w:spacing w:line="360" w:lineRule="exact"/>
              <w:jc w:val="right"/>
              <w:rPr>
                <w:rFonts w:eastAsia="方正仿宋_GBK"/>
                <w:color w:val="000000"/>
                <w:spacing w:val="-2"/>
                <w:kern w:val="36"/>
                <w:sz w:val="24"/>
              </w:rPr>
            </w:pPr>
            <w:r>
              <w:rPr>
                <w:rFonts w:eastAsia="方正仿宋_GBK"/>
                <w:color w:val="000000"/>
                <w:spacing w:val="-2"/>
                <w:kern w:val="36"/>
                <w:sz w:val="24"/>
              </w:rPr>
              <w:t xml:space="preserve">             </w:t>
            </w:r>
            <w:r>
              <w:rPr>
                <w:rFonts w:hint="eastAsia" w:eastAsia="方正仿宋_GBK"/>
                <w:color w:val="000000"/>
                <w:spacing w:val="-2"/>
                <w:kern w:val="36"/>
                <w:sz w:val="24"/>
              </w:rPr>
              <w:t>年</w:t>
            </w:r>
            <w:r>
              <w:rPr>
                <w:rFonts w:eastAsia="方正仿宋_GBK"/>
                <w:color w:val="000000"/>
                <w:spacing w:val="-2"/>
                <w:kern w:val="36"/>
                <w:sz w:val="24"/>
              </w:rPr>
              <w:t>    </w:t>
            </w:r>
            <w:r>
              <w:rPr>
                <w:rFonts w:hint="eastAsia" w:eastAsia="方正仿宋_GBK"/>
                <w:color w:val="000000"/>
                <w:spacing w:val="-2"/>
                <w:kern w:val="36"/>
                <w:sz w:val="24"/>
              </w:rPr>
              <w:t>月</w:t>
            </w:r>
            <w:r>
              <w:rPr>
                <w:rFonts w:eastAsia="方正仿宋_GBK"/>
                <w:color w:val="000000"/>
                <w:spacing w:val="-2"/>
                <w:kern w:val="36"/>
                <w:sz w:val="24"/>
              </w:rPr>
              <w:t xml:space="preserve">    </w:t>
            </w:r>
            <w:r>
              <w:rPr>
                <w:rFonts w:hint="eastAsia" w:eastAsia="方正仿宋_GBK"/>
                <w:color w:val="000000"/>
                <w:spacing w:val="-2"/>
                <w:kern w:val="36"/>
                <w:sz w:val="24"/>
              </w:rPr>
              <w:t>日</w:t>
            </w:r>
          </w:p>
          <w:p>
            <w:pPr>
              <w:spacing w:line="360" w:lineRule="exact"/>
              <w:rPr>
                <w:rFonts w:eastAsia="方正仿宋_GBK"/>
                <w:color w:val="000000"/>
                <w:spacing w:val="-2"/>
                <w:kern w:val="36"/>
                <w:sz w:val="24"/>
              </w:rPr>
            </w:pPr>
          </w:p>
          <w:p>
            <w:pPr>
              <w:spacing w:line="360" w:lineRule="exact"/>
              <w:rPr>
                <w:rFonts w:eastAsia="方正仿宋_GBK"/>
                <w:color w:val="000000"/>
                <w:spacing w:val="-2"/>
                <w:kern w:val="0"/>
                <w:sz w:val="24"/>
              </w:rPr>
            </w:pPr>
            <w:r>
              <w:rPr>
                <w:rFonts w:hint="eastAsia" w:eastAsia="方正仿宋_GBK"/>
                <w:color w:val="000000"/>
                <w:spacing w:val="-2"/>
                <w:kern w:val="0"/>
                <w:sz w:val="24"/>
              </w:rPr>
              <w:t>单位（公章）：</w:t>
            </w:r>
          </w:p>
          <w:p>
            <w:pPr>
              <w:spacing w:line="360" w:lineRule="exact"/>
              <w:ind w:right="44"/>
              <w:jc w:val="right"/>
              <w:outlineLvl w:val="0"/>
              <w:rPr>
                <w:rFonts w:eastAsia="方正仿宋_GBK"/>
                <w:b/>
                <w:bCs/>
                <w:color w:val="000000"/>
                <w:spacing w:val="-2"/>
                <w:kern w:val="36"/>
                <w:sz w:val="24"/>
              </w:rPr>
            </w:pPr>
            <w:bookmarkStart w:id="574" w:name="_Toc20726599"/>
            <w:bookmarkStart w:id="575" w:name="_Toc20668070"/>
            <w:bookmarkStart w:id="576" w:name="_Toc18315740"/>
            <w:r>
              <w:rPr>
                <w:rFonts w:hint="eastAsia" w:eastAsia="方正仿宋_GBK"/>
                <w:color w:val="000000"/>
                <w:spacing w:val="-2"/>
                <w:kern w:val="36"/>
                <w:sz w:val="24"/>
              </w:rPr>
              <w:t>年</w:t>
            </w:r>
            <w:r>
              <w:rPr>
                <w:rFonts w:eastAsia="方正仿宋_GBK"/>
                <w:color w:val="000000"/>
                <w:spacing w:val="-2"/>
                <w:kern w:val="36"/>
                <w:sz w:val="24"/>
              </w:rPr>
              <w:t>    </w:t>
            </w:r>
            <w:r>
              <w:rPr>
                <w:rFonts w:hint="eastAsia" w:eastAsia="方正仿宋_GBK"/>
                <w:color w:val="000000"/>
                <w:spacing w:val="-2"/>
                <w:kern w:val="36"/>
                <w:sz w:val="24"/>
              </w:rPr>
              <w:t>月</w:t>
            </w:r>
            <w:r>
              <w:rPr>
                <w:rFonts w:eastAsia="方正仿宋_GBK"/>
                <w:color w:val="000000"/>
                <w:spacing w:val="-2"/>
                <w:kern w:val="36"/>
                <w:sz w:val="24"/>
              </w:rPr>
              <w:t xml:space="preserve">    </w:t>
            </w:r>
            <w:r>
              <w:rPr>
                <w:rFonts w:hint="eastAsia" w:eastAsia="方正仿宋_GBK"/>
                <w:color w:val="000000"/>
                <w:spacing w:val="-2"/>
                <w:kern w:val="36"/>
                <w:sz w:val="24"/>
              </w:rPr>
              <w:t>日</w:t>
            </w:r>
            <w:bookmarkEnd w:id="574"/>
            <w:bookmarkEnd w:id="575"/>
            <w:bookmarkEnd w:id="576"/>
          </w:p>
        </w:tc>
      </w:tr>
      <w:tr>
        <w:tblPrEx>
          <w:tblCellMar>
            <w:top w:w="0" w:type="dxa"/>
            <w:left w:w="0" w:type="dxa"/>
            <w:bottom w:w="0" w:type="dxa"/>
            <w:right w:w="0" w:type="dxa"/>
          </w:tblCellMar>
        </w:tblPrEx>
        <w:trPr>
          <w:trHeight w:val="510" w:hRule="atLeast"/>
        </w:trPr>
        <w:tc>
          <w:tcPr>
            <w:tcW w:w="1767" w:type="dxa"/>
            <w:tcBorders>
              <w:top w:val="single" w:color="auto" w:sz="4" w:space="0"/>
              <w:left w:val="single" w:color="auto" w:sz="8" w:space="0"/>
              <w:bottom w:val="single" w:color="auto" w:sz="4" w:space="0"/>
              <w:right w:val="single" w:color="auto" w:sz="4" w:space="0"/>
            </w:tcBorders>
            <w:noWrap w:val="0"/>
            <w:vAlign w:val="center"/>
          </w:tcPr>
          <w:p>
            <w:pPr>
              <w:spacing w:line="460" w:lineRule="exact"/>
              <w:jc w:val="center"/>
              <w:outlineLvl w:val="0"/>
              <w:rPr>
                <w:rFonts w:eastAsia="方正仿宋_GBK"/>
                <w:b/>
                <w:bCs/>
                <w:color w:val="000000"/>
                <w:spacing w:val="-2"/>
                <w:kern w:val="36"/>
                <w:sz w:val="24"/>
              </w:rPr>
            </w:pPr>
            <w:bookmarkStart w:id="577" w:name="_Toc20668071"/>
            <w:bookmarkStart w:id="578" w:name="_Toc18315741"/>
            <w:bookmarkStart w:id="579" w:name="_Toc20726600"/>
            <w:r>
              <w:rPr>
                <w:rFonts w:hint="eastAsia" w:eastAsia="方正仿宋_GBK"/>
                <w:color w:val="000000"/>
                <w:spacing w:val="-2"/>
                <w:kern w:val="36"/>
                <w:sz w:val="24"/>
              </w:rPr>
              <w:t>身份证号码</w:t>
            </w:r>
            <w:bookmarkEnd w:id="577"/>
            <w:bookmarkEnd w:id="578"/>
            <w:bookmarkEnd w:id="579"/>
          </w:p>
        </w:tc>
        <w:tc>
          <w:tcPr>
            <w:tcW w:w="3027"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outlineLvl w:val="0"/>
              <w:rPr>
                <w:rFonts w:eastAsia="方正仿宋_GBK"/>
                <w:b/>
                <w:bCs/>
                <w:color w:val="000000"/>
                <w:spacing w:val="-2"/>
                <w:kern w:val="36"/>
                <w:sz w:val="24"/>
              </w:rPr>
            </w:pPr>
            <w:r>
              <w:rPr>
                <w:rFonts w:eastAsia="方正仿宋_GBK"/>
                <w:color w:val="000000"/>
                <w:spacing w:val="-2"/>
                <w:kern w:val="36"/>
                <w:sz w:val="24"/>
              </w:rPr>
              <w:t> </w:t>
            </w:r>
          </w:p>
        </w:tc>
        <w:tc>
          <w:tcPr>
            <w:tcW w:w="3976" w:type="dxa"/>
            <w:vMerge w:val="continue"/>
            <w:tcBorders>
              <w:top w:val="single" w:color="auto" w:sz="8" w:space="0"/>
              <w:left w:val="single" w:color="auto" w:sz="4" w:space="0"/>
              <w:bottom w:val="single" w:color="auto" w:sz="8" w:space="0"/>
              <w:right w:val="single" w:color="auto" w:sz="8" w:space="0"/>
            </w:tcBorders>
            <w:noWrap w:val="0"/>
            <w:vAlign w:val="center"/>
          </w:tcPr>
          <w:p>
            <w:pPr>
              <w:widowControl/>
              <w:jc w:val="left"/>
              <w:rPr>
                <w:rFonts w:eastAsia="方正仿宋_GBK"/>
                <w:b/>
                <w:bCs/>
                <w:color w:val="000000"/>
                <w:spacing w:val="-2"/>
                <w:kern w:val="36"/>
                <w:sz w:val="24"/>
              </w:rPr>
            </w:pPr>
          </w:p>
        </w:tc>
      </w:tr>
      <w:tr>
        <w:tblPrEx>
          <w:tblCellMar>
            <w:top w:w="0" w:type="dxa"/>
            <w:left w:w="0" w:type="dxa"/>
            <w:bottom w:w="0" w:type="dxa"/>
            <w:right w:w="0" w:type="dxa"/>
          </w:tblCellMar>
        </w:tblPrEx>
        <w:trPr>
          <w:trHeight w:val="510" w:hRule="atLeast"/>
        </w:trPr>
        <w:tc>
          <w:tcPr>
            <w:tcW w:w="1767" w:type="dxa"/>
            <w:tcBorders>
              <w:top w:val="single" w:color="auto" w:sz="4" w:space="0"/>
              <w:left w:val="single" w:color="auto" w:sz="8" w:space="0"/>
              <w:bottom w:val="single" w:color="auto" w:sz="4" w:space="0"/>
              <w:right w:val="single" w:color="auto" w:sz="4" w:space="0"/>
            </w:tcBorders>
            <w:noWrap w:val="0"/>
            <w:vAlign w:val="center"/>
          </w:tcPr>
          <w:p>
            <w:pPr>
              <w:spacing w:line="460" w:lineRule="exact"/>
              <w:jc w:val="center"/>
              <w:outlineLvl w:val="0"/>
              <w:rPr>
                <w:rFonts w:eastAsia="方正仿宋_GBK"/>
                <w:b/>
                <w:bCs/>
                <w:color w:val="000000"/>
                <w:spacing w:val="-2"/>
                <w:kern w:val="36"/>
                <w:sz w:val="24"/>
              </w:rPr>
            </w:pPr>
            <w:bookmarkStart w:id="580" w:name="_Toc20726601"/>
            <w:bookmarkStart w:id="581" w:name="_Toc20668072"/>
            <w:bookmarkStart w:id="582" w:name="_Toc18315742"/>
            <w:r>
              <w:rPr>
                <w:rFonts w:hint="eastAsia" w:eastAsia="方正仿宋_GBK"/>
                <w:color w:val="000000"/>
                <w:spacing w:val="-2"/>
                <w:kern w:val="36"/>
                <w:sz w:val="24"/>
              </w:rPr>
              <w:t>执业资格证号</w:t>
            </w:r>
            <w:bookmarkEnd w:id="580"/>
            <w:bookmarkEnd w:id="581"/>
            <w:bookmarkEnd w:id="582"/>
          </w:p>
        </w:tc>
        <w:tc>
          <w:tcPr>
            <w:tcW w:w="3027"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outlineLvl w:val="0"/>
              <w:rPr>
                <w:rFonts w:eastAsia="方正仿宋_GBK"/>
                <w:b/>
                <w:bCs/>
                <w:color w:val="000000"/>
                <w:spacing w:val="-2"/>
                <w:kern w:val="36"/>
                <w:sz w:val="24"/>
              </w:rPr>
            </w:pPr>
            <w:r>
              <w:rPr>
                <w:rFonts w:eastAsia="方正仿宋_GBK"/>
                <w:color w:val="000000"/>
                <w:spacing w:val="-2"/>
                <w:kern w:val="36"/>
                <w:sz w:val="24"/>
              </w:rPr>
              <w:t> </w:t>
            </w:r>
          </w:p>
        </w:tc>
        <w:tc>
          <w:tcPr>
            <w:tcW w:w="3976" w:type="dxa"/>
            <w:vMerge w:val="continue"/>
            <w:tcBorders>
              <w:top w:val="single" w:color="auto" w:sz="8" w:space="0"/>
              <w:left w:val="single" w:color="auto" w:sz="4" w:space="0"/>
              <w:bottom w:val="single" w:color="auto" w:sz="8" w:space="0"/>
              <w:right w:val="single" w:color="auto" w:sz="8" w:space="0"/>
            </w:tcBorders>
            <w:noWrap w:val="0"/>
            <w:vAlign w:val="center"/>
          </w:tcPr>
          <w:p>
            <w:pPr>
              <w:widowControl/>
              <w:jc w:val="left"/>
              <w:rPr>
                <w:rFonts w:eastAsia="方正仿宋_GBK"/>
                <w:b/>
                <w:bCs/>
                <w:color w:val="000000"/>
                <w:spacing w:val="-2"/>
                <w:kern w:val="36"/>
                <w:sz w:val="24"/>
              </w:rPr>
            </w:pPr>
          </w:p>
        </w:tc>
      </w:tr>
      <w:tr>
        <w:tblPrEx>
          <w:tblCellMar>
            <w:top w:w="0" w:type="dxa"/>
            <w:left w:w="0" w:type="dxa"/>
            <w:bottom w:w="0" w:type="dxa"/>
            <w:right w:w="0" w:type="dxa"/>
          </w:tblCellMar>
        </w:tblPrEx>
        <w:trPr>
          <w:trHeight w:val="510" w:hRule="atLeast"/>
        </w:trPr>
        <w:tc>
          <w:tcPr>
            <w:tcW w:w="1767" w:type="dxa"/>
            <w:tcBorders>
              <w:top w:val="single" w:color="auto" w:sz="4" w:space="0"/>
              <w:left w:val="single" w:color="auto" w:sz="8" w:space="0"/>
              <w:bottom w:val="single" w:color="auto" w:sz="8" w:space="0"/>
              <w:right w:val="single" w:color="auto" w:sz="4" w:space="0"/>
            </w:tcBorders>
            <w:noWrap w:val="0"/>
            <w:vAlign w:val="center"/>
          </w:tcPr>
          <w:p>
            <w:pPr>
              <w:spacing w:line="460" w:lineRule="exact"/>
              <w:jc w:val="center"/>
              <w:outlineLvl w:val="0"/>
              <w:rPr>
                <w:rFonts w:eastAsia="方正仿宋_GBK"/>
                <w:color w:val="000000"/>
                <w:spacing w:val="-2"/>
                <w:kern w:val="36"/>
                <w:sz w:val="24"/>
              </w:rPr>
            </w:pPr>
            <w:bookmarkStart w:id="583" w:name="_Toc18315743"/>
            <w:bookmarkStart w:id="584" w:name="_Toc20726602"/>
            <w:bookmarkStart w:id="585" w:name="_Toc20668073"/>
            <w:r>
              <w:rPr>
                <w:rFonts w:hint="eastAsia" w:eastAsia="方正仿宋_GBK"/>
                <w:color w:val="000000"/>
                <w:spacing w:val="-2"/>
                <w:kern w:val="36"/>
                <w:sz w:val="24"/>
              </w:rPr>
              <w:t>联系方式</w:t>
            </w:r>
            <w:bookmarkEnd w:id="583"/>
            <w:bookmarkEnd w:id="584"/>
            <w:bookmarkEnd w:id="585"/>
          </w:p>
        </w:tc>
        <w:tc>
          <w:tcPr>
            <w:tcW w:w="3027" w:type="dxa"/>
            <w:tcBorders>
              <w:top w:val="single" w:color="auto" w:sz="4" w:space="0"/>
              <w:left w:val="single" w:color="auto" w:sz="4" w:space="0"/>
              <w:bottom w:val="single" w:color="auto" w:sz="8" w:space="0"/>
              <w:right w:val="single" w:color="auto" w:sz="4" w:space="0"/>
            </w:tcBorders>
            <w:noWrap w:val="0"/>
            <w:vAlign w:val="center"/>
          </w:tcPr>
          <w:p>
            <w:pPr>
              <w:spacing w:line="460" w:lineRule="exact"/>
              <w:jc w:val="center"/>
              <w:outlineLvl w:val="0"/>
              <w:rPr>
                <w:rFonts w:eastAsia="方正仿宋_GBK"/>
                <w:color w:val="000000"/>
                <w:spacing w:val="-2"/>
                <w:kern w:val="36"/>
                <w:sz w:val="24"/>
              </w:rPr>
            </w:pPr>
          </w:p>
        </w:tc>
        <w:tc>
          <w:tcPr>
            <w:tcW w:w="3976" w:type="dxa"/>
            <w:vMerge w:val="continue"/>
            <w:tcBorders>
              <w:top w:val="single" w:color="auto" w:sz="8" w:space="0"/>
              <w:left w:val="single" w:color="auto" w:sz="4" w:space="0"/>
              <w:bottom w:val="single" w:color="auto" w:sz="8" w:space="0"/>
              <w:right w:val="single" w:color="auto" w:sz="8" w:space="0"/>
            </w:tcBorders>
            <w:noWrap w:val="0"/>
            <w:vAlign w:val="center"/>
          </w:tcPr>
          <w:p>
            <w:pPr>
              <w:widowControl/>
              <w:jc w:val="left"/>
              <w:rPr>
                <w:rFonts w:eastAsia="方正仿宋_GBK"/>
                <w:b/>
                <w:bCs/>
                <w:color w:val="000000"/>
                <w:spacing w:val="-2"/>
                <w:kern w:val="36"/>
                <w:sz w:val="24"/>
              </w:rPr>
            </w:pPr>
          </w:p>
        </w:tc>
      </w:tr>
    </w:tbl>
    <w:p>
      <w:pPr>
        <w:spacing w:line="360" w:lineRule="exact"/>
        <w:rPr>
          <w:rFonts w:ascii="Times New Roman" w:eastAsia="方正楷体_GBK"/>
          <w:color w:val="000000"/>
          <w:spacing w:val="-2"/>
          <w:szCs w:val="21"/>
        </w:rPr>
      </w:pPr>
      <w:r>
        <w:rPr>
          <w:rFonts w:hint="eastAsia" w:ascii="Times New Roman" w:eastAsia="方正楷体_GBK"/>
          <w:color w:val="000000"/>
          <w:spacing w:val="-2"/>
          <w:szCs w:val="21"/>
        </w:rPr>
        <w:t>注：本承诺书一式三份，一份在办理质量监督手续前，报质量监督机构备案；一份由建设单位收集管理，工程竣工验收合格后移交城建档案管理部门；一份各方责任主体留存。</w:t>
      </w:r>
    </w:p>
    <w:p>
      <w:pPr>
        <w:shd w:val="clear" w:color="auto" w:fill="FFFFFF"/>
        <w:spacing w:line="460" w:lineRule="exact"/>
        <w:jc w:val="center"/>
        <w:rPr>
          <w:rFonts w:hint="eastAsia" w:eastAsia="方正仿宋_GBK"/>
          <w:color w:val="000000"/>
          <w:spacing w:val="-2"/>
          <w:sz w:val="24"/>
        </w:rPr>
      </w:pPr>
      <w:r>
        <w:rPr>
          <w:rFonts w:eastAsia="方正仿宋_GBK"/>
          <w:color w:val="000000"/>
          <w:spacing w:val="-2"/>
          <w:sz w:val="24"/>
        </w:rPr>
        <w:br w:type="page"/>
      </w:r>
    </w:p>
    <w:p>
      <w:pPr>
        <w:shd w:val="clear" w:color="auto" w:fill="FFFFFF"/>
        <w:spacing w:line="460" w:lineRule="exact"/>
        <w:jc w:val="center"/>
        <w:rPr>
          <w:rFonts w:ascii="Times New Roman" w:eastAsia="方正黑体_GBK"/>
          <w:color w:val="000000"/>
          <w:spacing w:val="-2"/>
          <w:kern w:val="0"/>
          <w:sz w:val="28"/>
          <w:szCs w:val="28"/>
        </w:rPr>
      </w:pPr>
      <w:r>
        <w:rPr>
          <w:rFonts w:hint="eastAsia" w:ascii="Times New Roman" w:eastAsia="方正黑体_GBK"/>
          <w:color w:val="000000"/>
          <w:spacing w:val="-2"/>
          <w:kern w:val="0"/>
          <w:sz w:val="28"/>
          <w:szCs w:val="28"/>
        </w:rPr>
        <w:t>监理单位总监理工程师质量终身责任承诺书</w:t>
      </w:r>
    </w:p>
    <w:p>
      <w:pPr>
        <w:shd w:val="clear" w:color="auto" w:fill="FFFFFF"/>
        <w:spacing w:line="460" w:lineRule="exact"/>
        <w:jc w:val="center"/>
        <w:rPr>
          <w:rFonts w:hint="eastAsia" w:eastAsia="方正仿宋_GBK"/>
          <w:color w:val="000000"/>
          <w:spacing w:val="-2"/>
          <w:kern w:val="0"/>
          <w:sz w:val="24"/>
        </w:rPr>
      </w:pPr>
    </w:p>
    <w:p>
      <w:pPr>
        <w:shd w:val="clear" w:color="auto" w:fill="FFFFFF"/>
        <w:spacing w:line="460" w:lineRule="exact"/>
        <w:ind w:firstLine="474" w:firstLineChars="200"/>
        <w:jc w:val="left"/>
        <w:rPr>
          <w:rFonts w:eastAsia="方正仿宋_GBK"/>
          <w:color w:val="000000"/>
          <w:spacing w:val="-2"/>
          <w:kern w:val="0"/>
          <w:sz w:val="24"/>
        </w:rPr>
      </w:pPr>
      <w:r>
        <w:rPr>
          <w:rFonts w:hint="eastAsia" w:eastAsia="方正仿宋_GBK"/>
          <w:b/>
          <w:color w:val="000000"/>
          <w:spacing w:val="-2"/>
          <w:kern w:val="0"/>
          <w:sz w:val="24"/>
        </w:rPr>
        <w:t>本人承诺：</w:t>
      </w:r>
      <w:r>
        <w:rPr>
          <w:rFonts w:hint="eastAsia" w:eastAsia="方正仿宋_GBK"/>
          <w:color w:val="000000"/>
          <w:spacing w:val="-2"/>
          <w:kern w:val="0"/>
          <w:sz w:val="24"/>
        </w:rPr>
        <w:t>在</w:t>
      </w:r>
      <w:r>
        <w:rPr>
          <w:rFonts w:eastAsia="方正仿宋_GBK"/>
          <w:color w:val="000000"/>
          <w:spacing w:val="-2"/>
          <w:kern w:val="0"/>
          <w:sz w:val="24"/>
        </w:rPr>
        <w:t xml:space="preserve"> </w:t>
      </w:r>
      <w:r>
        <w:rPr>
          <w:rFonts w:eastAsia="方正仿宋_GBK"/>
          <w:color w:val="000000"/>
          <w:spacing w:val="-2"/>
          <w:kern w:val="0"/>
          <w:sz w:val="24"/>
          <w:u w:val="single"/>
        </w:rPr>
        <w:t xml:space="preserve">                                    </w:t>
      </w:r>
      <w:r>
        <w:rPr>
          <w:rFonts w:hint="eastAsia" w:eastAsia="方正仿宋_GBK"/>
          <w:color w:val="000000"/>
          <w:spacing w:val="-2"/>
          <w:kern w:val="0"/>
          <w:sz w:val="24"/>
        </w:rPr>
        <w:t>工程建设过程中认真履行下列职责，并承担相应终身质量责任。</w:t>
      </w:r>
    </w:p>
    <w:p>
      <w:pPr>
        <w:shd w:val="clear" w:color="auto" w:fill="FFFFFF"/>
        <w:spacing w:line="460" w:lineRule="exact"/>
        <w:ind w:firstLine="472" w:firstLineChars="200"/>
        <w:jc w:val="left"/>
        <w:rPr>
          <w:rFonts w:eastAsia="方正仿宋_GBK"/>
          <w:color w:val="000000"/>
          <w:spacing w:val="-2"/>
          <w:kern w:val="0"/>
          <w:sz w:val="24"/>
        </w:rPr>
      </w:pPr>
      <w:r>
        <w:rPr>
          <w:rFonts w:eastAsia="方正仿宋_GBK"/>
          <w:color w:val="000000"/>
          <w:spacing w:val="-2"/>
          <w:kern w:val="0"/>
          <w:sz w:val="24"/>
        </w:rPr>
        <w:t>1</w:t>
      </w:r>
      <w:r>
        <w:rPr>
          <w:rFonts w:hint="eastAsia" w:eastAsia="方正仿宋_GBK"/>
          <w:color w:val="000000"/>
          <w:spacing w:val="-2"/>
          <w:kern w:val="0"/>
          <w:sz w:val="24"/>
        </w:rPr>
        <w:t>、严格按照资质等级和业务范围承担监理任务，与本工程施工单位以及建筑材料、建筑构配件和设备供应单位无隶属关系或其他利害关系。</w:t>
      </w:r>
    </w:p>
    <w:p>
      <w:pPr>
        <w:shd w:val="clear" w:color="auto" w:fill="FFFFFF"/>
        <w:spacing w:line="460" w:lineRule="exact"/>
        <w:ind w:firstLine="472" w:firstLineChars="200"/>
        <w:jc w:val="left"/>
        <w:rPr>
          <w:rFonts w:eastAsia="方正仿宋_GBK"/>
          <w:color w:val="000000"/>
          <w:spacing w:val="-2"/>
          <w:kern w:val="0"/>
          <w:sz w:val="24"/>
        </w:rPr>
      </w:pPr>
      <w:r>
        <w:rPr>
          <w:rFonts w:eastAsia="方正仿宋_GBK"/>
          <w:color w:val="000000"/>
          <w:spacing w:val="-2"/>
          <w:kern w:val="0"/>
          <w:sz w:val="24"/>
        </w:rPr>
        <w:t>2</w:t>
      </w:r>
      <w:r>
        <w:rPr>
          <w:rFonts w:hint="eastAsia" w:eastAsia="方正仿宋_GBK"/>
          <w:color w:val="000000"/>
          <w:spacing w:val="-2"/>
          <w:kern w:val="0"/>
          <w:sz w:val="24"/>
        </w:rPr>
        <w:t>、严格按规定配备现场监理部关键岗位人员，所有人员均到岗履职。</w:t>
      </w:r>
    </w:p>
    <w:p>
      <w:pPr>
        <w:shd w:val="clear" w:color="auto" w:fill="FFFFFF"/>
        <w:spacing w:line="460" w:lineRule="exact"/>
        <w:ind w:firstLine="472" w:firstLineChars="200"/>
        <w:jc w:val="left"/>
        <w:rPr>
          <w:rFonts w:eastAsia="方正仿宋_GBK"/>
          <w:color w:val="000000"/>
          <w:spacing w:val="-2"/>
          <w:kern w:val="0"/>
          <w:sz w:val="24"/>
        </w:rPr>
      </w:pPr>
      <w:r>
        <w:rPr>
          <w:rFonts w:eastAsia="方正仿宋_GBK"/>
          <w:color w:val="000000"/>
          <w:spacing w:val="-2"/>
          <w:kern w:val="0"/>
          <w:sz w:val="24"/>
        </w:rPr>
        <w:t>3</w:t>
      </w:r>
      <w:r>
        <w:rPr>
          <w:rFonts w:hint="eastAsia" w:eastAsia="方正仿宋_GBK"/>
          <w:color w:val="000000"/>
          <w:spacing w:val="-2"/>
          <w:kern w:val="0"/>
          <w:sz w:val="24"/>
        </w:rPr>
        <w:t>、认真编制监理方案，明确质量要求和标准。认真审查施工单位的质量保证技术措施。</w:t>
      </w:r>
    </w:p>
    <w:p>
      <w:pPr>
        <w:shd w:val="clear" w:color="auto" w:fill="FFFFFF"/>
        <w:spacing w:line="460" w:lineRule="exact"/>
        <w:ind w:firstLine="472" w:firstLineChars="200"/>
        <w:jc w:val="left"/>
        <w:rPr>
          <w:rFonts w:eastAsia="方正仿宋_GBK"/>
          <w:color w:val="000000"/>
          <w:spacing w:val="-2"/>
          <w:kern w:val="0"/>
          <w:sz w:val="24"/>
        </w:rPr>
      </w:pPr>
      <w:r>
        <w:rPr>
          <w:rFonts w:eastAsia="方正仿宋_GBK"/>
          <w:color w:val="000000"/>
          <w:spacing w:val="-2"/>
          <w:kern w:val="0"/>
          <w:sz w:val="24"/>
        </w:rPr>
        <w:t>4</w:t>
      </w:r>
      <w:r>
        <w:rPr>
          <w:rFonts w:hint="eastAsia" w:eastAsia="方正仿宋_GBK"/>
          <w:color w:val="000000"/>
          <w:spacing w:val="-2"/>
          <w:kern w:val="0"/>
          <w:sz w:val="24"/>
        </w:rPr>
        <w:t>、严格依照法律、法规以及有关技术标准、经施工图审查机构审查合格并加盖专用章的设计文件和监理合同约定对施工质量实施监理，承担质量监理责任。协助业主做好图纸会审、竣工验收和资料归档等工作。</w:t>
      </w:r>
    </w:p>
    <w:p>
      <w:pPr>
        <w:shd w:val="clear" w:color="auto" w:fill="FFFFFF"/>
        <w:spacing w:line="460" w:lineRule="exact"/>
        <w:ind w:firstLine="472" w:firstLineChars="200"/>
        <w:jc w:val="left"/>
        <w:rPr>
          <w:rFonts w:eastAsia="方正仿宋_GBK"/>
          <w:color w:val="000000"/>
          <w:spacing w:val="-2"/>
          <w:kern w:val="0"/>
          <w:sz w:val="24"/>
        </w:rPr>
      </w:pPr>
      <w:r>
        <w:rPr>
          <w:rFonts w:eastAsia="方正仿宋_GBK"/>
          <w:color w:val="000000"/>
          <w:spacing w:val="-2"/>
          <w:kern w:val="0"/>
          <w:sz w:val="24"/>
        </w:rPr>
        <w:t>5</w:t>
      </w:r>
      <w:r>
        <w:rPr>
          <w:rFonts w:hint="eastAsia" w:eastAsia="方正仿宋_GBK"/>
          <w:color w:val="000000"/>
          <w:spacing w:val="-2"/>
          <w:kern w:val="0"/>
          <w:sz w:val="24"/>
        </w:rPr>
        <w:t>、采取旁站、巡视和平行检验等形式对施工全过程质量进行严格监督检查，对工程的建设过程进行监理，并确保所有质量签证及时、真实、准确。</w:t>
      </w:r>
    </w:p>
    <w:p>
      <w:pPr>
        <w:shd w:val="clear" w:color="auto" w:fill="FFFFFF"/>
        <w:spacing w:line="460" w:lineRule="exact"/>
        <w:ind w:firstLine="472" w:firstLineChars="200"/>
        <w:jc w:val="left"/>
        <w:rPr>
          <w:rFonts w:eastAsia="方正仿宋_GBK"/>
          <w:color w:val="000000"/>
          <w:spacing w:val="-2"/>
          <w:kern w:val="0"/>
          <w:sz w:val="24"/>
        </w:rPr>
      </w:pPr>
      <w:r>
        <w:rPr>
          <w:rFonts w:eastAsia="方正仿宋_GBK"/>
          <w:color w:val="000000"/>
          <w:spacing w:val="-2"/>
          <w:kern w:val="0"/>
          <w:sz w:val="24"/>
        </w:rPr>
        <w:t>6</w:t>
      </w:r>
      <w:r>
        <w:rPr>
          <w:rFonts w:hint="eastAsia" w:eastAsia="方正仿宋_GBK"/>
          <w:color w:val="000000"/>
          <w:spacing w:val="-2"/>
          <w:kern w:val="0"/>
          <w:sz w:val="24"/>
        </w:rPr>
        <w:t>、对施工过程参与工程建设各方责任主体违法违规和违反工程建设强制性标准行为及时制止，并报告住房城乡建设主管部门及其工程质量监督机构。</w:t>
      </w:r>
    </w:p>
    <w:p>
      <w:pPr>
        <w:shd w:val="clear" w:color="auto" w:fill="FFFFFF"/>
        <w:spacing w:line="460" w:lineRule="exact"/>
        <w:ind w:firstLine="472" w:firstLineChars="200"/>
        <w:jc w:val="left"/>
        <w:rPr>
          <w:rFonts w:eastAsia="方正仿宋_GBK"/>
          <w:color w:val="000000"/>
          <w:spacing w:val="-2"/>
          <w:kern w:val="0"/>
          <w:sz w:val="24"/>
        </w:rPr>
      </w:pPr>
      <w:r>
        <w:rPr>
          <w:rFonts w:eastAsia="方正仿宋_GBK"/>
          <w:color w:val="000000"/>
          <w:spacing w:val="-2"/>
          <w:kern w:val="0"/>
          <w:sz w:val="24"/>
        </w:rPr>
        <w:t>6</w:t>
      </w:r>
      <w:r>
        <w:rPr>
          <w:rFonts w:hint="eastAsia" w:eastAsia="方正仿宋_GBK"/>
          <w:color w:val="000000"/>
          <w:spacing w:val="-2"/>
          <w:kern w:val="0"/>
          <w:sz w:val="24"/>
        </w:rPr>
        <w:t>、确保本工程资料收集真实、准确完整，签章手续齐全，及时整理移交建设单位归档。</w:t>
      </w:r>
    </w:p>
    <w:p>
      <w:pPr>
        <w:shd w:val="clear" w:color="auto" w:fill="FFFFFF"/>
        <w:spacing w:line="460" w:lineRule="exact"/>
        <w:ind w:firstLine="472" w:firstLineChars="200"/>
        <w:jc w:val="left"/>
        <w:rPr>
          <w:rFonts w:eastAsia="方正仿宋_GBK"/>
          <w:color w:val="000000"/>
          <w:spacing w:val="-2"/>
          <w:kern w:val="0"/>
          <w:sz w:val="24"/>
        </w:rPr>
      </w:pPr>
      <w:r>
        <w:rPr>
          <w:rFonts w:eastAsia="方正仿宋_GBK"/>
          <w:color w:val="000000"/>
          <w:spacing w:val="-2"/>
          <w:kern w:val="0"/>
          <w:sz w:val="24"/>
        </w:rPr>
        <w:t>7</w:t>
      </w:r>
      <w:r>
        <w:rPr>
          <w:rFonts w:hint="eastAsia" w:eastAsia="方正仿宋_GBK"/>
          <w:color w:val="000000"/>
          <w:spacing w:val="-2"/>
          <w:kern w:val="0"/>
          <w:sz w:val="24"/>
        </w:rPr>
        <w:t>、其他法律法规规定的职责。</w:t>
      </w:r>
    </w:p>
    <w:p>
      <w:pPr>
        <w:shd w:val="clear" w:color="auto" w:fill="FFFFFF"/>
        <w:spacing w:line="460" w:lineRule="exact"/>
        <w:ind w:firstLine="472" w:firstLineChars="200"/>
        <w:jc w:val="left"/>
        <w:rPr>
          <w:rFonts w:eastAsia="方正仿宋_GBK"/>
          <w:color w:val="000000"/>
          <w:spacing w:val="-2"/>
          <w:kern w:val="0"/>
          <w:sz w:val="24"/>
        </w:rPr>
      </w:pPr>
      <w:r>
        <w:rPr>
          <w:rFonts w:eastAsia="方正仿宋_GBK"/>
          <w:color w:val="000000"/>
          <w:spacing w:val="-2"/>
          <w:kern w:val="0"/>
          <w:sz w:val="24"/>
        </w:rPr>
        <w:t>8</w:t>
      </w:r>
      <w:r>
        <w:rPr>
          <w:rFonts w:hint="eastAsia" w:eastAsia="方正仿宋_GBK"/>
          <w:color w:val="000000"/>
          <w:spacing w:val="-2"/>
          <w:kern w:val="0"/>
          <w:sz w:val="24"/>
        </w:rPr>
        <w:t>、本单位在本工程项目承担下列监理业务：</w:t>
      </w:r>
      <w:r>
        <w:rPr>
          <w:rFonts w:hint="eastAsia" w:eastAsia="方正仿宋_GBK"/>
          <w:color w:val="000000"/>
          <w:spacing w:val="-2"/>
          <w:kern w:val="0"/>
          <w:sz w:val="24"/>
          <w:u w:val="single"/>
        </w:rPr>
        <w:t>（附合同复印件）</w:t>
      </w:r>
      <w:r>
        <w:rPr>
          <w:rFonts w:eastAsia="方正仿宋_GBK"/>
          <w:color w:val="000000"/>
          <w:spacing w:val="-2"/>
          <w:kern w:val="0"/>
          <w:sz w:val="24"/>
          <w:u w:val="single"/>
        </w:rPr>
        <w:t xml:space="preserve">                                                   </w:t>
      </w:r>
    </w:p>
    <w:p>
      <w:pPr>
        <w:shd w:val="clear" w:color="auto" w:fill="FFFFFF"/>
        <w:spacing w:line="460" w:lineRule="exact"/>
        <w:jc w:val="left"/>
        <w:rPr>
          <w:rFonts w:eastAsia="方正仿宋_GBK"/>
          <w:color w:val="000000"/>
          <w:spacing w:val="-2"/>
          <w:kern w:val="0"/>
          <w:sz w:val="24"/>
          <w:u w:val="single"/>
        </w:rPr>
      </w:pPr>
      <w:r>
        <w:rPr>
          <w:rFonts w:eastAsia="方正仿宋_GBK"/>
          <w:color w:val="000000"/>
          <w:spacing w:val="-2"/>
          <w:kern w:val="0"/>
          <w:sz w:val="24"/>
          <w:u w:val="single"/>
        </w:rPr>
        <w:t xml:space="preserve">                                                                           </w:t>
      </w:r>
    </w:p>
    <w:p>
      <w:pPr>
        <w:shd w:val="clear" w:color="auto" w:fill="FFFFFF"/>
        <w:spacing w:line="460" w:lineRule="exact"/>
        <w:jc w:val="left"/>
        <w:rPr>
          <w:rFonts w:eastAsia="方正仿宋_GBK"/>
          <w:color w:val="000000"/>
          <w:spacing w:val="-2"/>
          <w:kern w:val="0"/>
          <w:sz w:val="24"/>
          <w:u w:val="single"/>
        </w:rPr>
      </w:pPr>
      <w:r>
        <w:rPr>
          <w:rFonts w:eastAsia="方正仿宋_GBK"/>
          <w:color w:val="000000"/>
          <w:spacing w:val="-2"/>
          <w:kern w:val="0"/>
          <w:sz w:val="24"/>
          <w:u w:val="single"/>
        </w:rPr>
        <w:t xml:space="preserve">                                                                           </w:t>
      </w:r>
    </w:p>
    <w:p>
      <w:pPr>
        <w:shd w:val="clear" w:color="auto" w:fill="FFFFFF"/>
        <w:spacing w:line="20" w:lineRule="exact"/>
        <w:ind w:firstLine="472" w:firstLineChars="200"/>
        <w:jc w:val="left"/>
        <w:rPr>
          <w:rFonts w:eastAsia="方正仿宋_GBK"/>
          <w:color w:val="000000"/>
          <w:spacing w:val="-2"/>
          <w:kern w:val="0"/>
          <w:sz w:val="24"/>
        </w:rPr>
      </w:pPr>
    </w:p>
    <w:tbl>
      <w:tblPr>
        <w:tblStyle w:val="12"/>
        <w:tblW w:w="0" w:type="auto"/>
        <w:tblInd w:w="-10" w:type="dxa"/>
        <w:tblLayout w:type="fixed"/>
        <w:tblCellMar>
          <w:top w:w="0" w:type="dxa"/>
          <w:left w:w="0" w:type="dxa"/>
          <w:bottom w:w="0" w:type="dxa"/>
          <w:right w:w="0" w:type="dxa"/>
        </w:tblCellMar>
      </w:tblPr>
      <w:tblGrid>
        <w:gridCol w:w="1767"/>
        <w:gridCol w:w="3027"/>
        <w:gridCol w:w="3976"/>
      </w:tblGrid>
      <w:tr>
        <w:tblPrEx>
          <w:tblCellMar>
            <w:top w:w="0" w:type="dxa"/>
            <w:left w:w="0" w:type="dxa"/>
            <w:bottom w:w="0" w:type="dxa"/>
            <w:right w:w="0" w:type="dxa"/>
          </w:tblCellMar>
        </w:tblPrEx>
        <w:trPr>
          <w:trHeight w:val="510" w:hRule="atLeast"/>
        </w:trPr>
        <w:tc>
          <w:tcPr>
            <w:tcW w:w="1767" w:type="dxa"/>
            <w:tcBorders>
              <w:top w:val="single" w:color="auto" w:sz="8" w:space="0"/>
              <w:left w:val="single" w:color="auto" w:sz="8" w:space="0"/>
              <w:bottom w:val="single" w:color="auto" w:sz="4" w:space="0"/>
              <w:right w:val="single" w:color="auto" w:sz="4" w:space="0"/>
            </w:tcBorders>
            <w:noWrap w:val="0"/>
            <w:vAlign w:val="center"/>
          </w:tcPr>
          <w:p>
            <w:pPr>
              <w:spacing w:line="460" w:lineRule="exact"/>
              <w:jc w:val="center"/>
              <w:outlineLvl w:val="0"/>
              <w:rPr>
                <w:rFonts w:eastAsia="方正仿宋_GBK"/>
                <w:b/>
                <w:bCs/>
                <w:color w:val="000000"/>
                <w:spacing w:val="-2"/>
                <w:kern w:val="36"/>
                <w:sz w:val="24"/>
              </w:rPr>
            </w:pPr>
            <w:bookmarkStart w:id="586" w:name="_Toc20726603"/>
            <w:bookmarkStart w:id="587" w:name="_Toc20668074"/>
            <w:bookmarkStart w:id="588" w:name="_Toc18315744"/>
            <w:r>
              <w:rPr>
                <w:rFonts w:hint="eastAsia" w:eastAsia="方正仿宋_GBK"/>
                <w:color w:val="000000"/>
                <w:spacing w:val="-2"/>
                <w:kern w:val="36"/>
                <w:sz w:val="24"/>
              </w:rPr>
              <w:t>项目负责人</w:t>
            </w:r>
            <w:bookmarkEnd w:id="586"/>
            <w:bookmarkEnd w:id="587"/>
            <w:bookmarkEnd w:id="588"/>
          </w:p>
        </w:tc>
        <w:tc>
          <w:tcPr>
            <w:tcW w:w="3027" w:type="dxa"/>
            <w:tcBorders>
              <w:top w:val="single" w:color="auto" w:sz="8" w:space="0"/>
              <w:left w:val="single" w:color="auto" w:sz="4" w:space="0"/>
              <w:bottom w:val="single" w:color="auto" w:sz="4" w:space="0"/>
              <w:right w:val="single" w:color="auto" w:sz="4" w:space="0"/>
            </w:tcBorders>
            <w:noWrap w:val="0"/>
            <w:vAlign w:val="center"/>
          </w:tcPr>
          <w:p>
            <w:pPr>
              <w:spacing w:line="460" w:lineRule="exact"/>
              <w:jc w:val="center"/>
              <w:outlineLvl w:val="0"/>
              <w:rPr>
                <w:rFonts w:eastAsia="方正仿宋_GBK"/>
                <w:b/>
                <w:bCs/>
                <w:color w:val="000000"/>
                <w:spacing w:val="-2"/>
                <w:kern w:val="36"/>
                <w:sz w:val="24"/>
              </w:rPr>
            </w:pPr>
            <w:r>
              <w:rPr>
                <w:rFonts w:eastAsia="方正仿宋_GBK"/>
                <w:color w:val="000000"/>
                <w:spacing w:val="-2"/>
                <w:kern w:val="36"/>
                <w:sz w:val="24"/>
              </w:rPr>
              <w:t> </w:t>
            </w:r>
          </w:p>
        </w:tc>
        <w:tc>
          <w:tcPr>
            <w:tcW w:w="3976" w:type="dxa"/>
            <w:vMerge w:val="restart"/>
            <w:tcBorders>
              <w:top w:val="single" w:color="auto" w:sz="8" w:space="0"/>
              <w:left w:val="single" w:color="auto" w:sz="4" w:space="0"/>
              <w:bottom w:val="single" w:color="auto" w:sz="8" w:space="0"/>
              <w:right w:val="single" w:color="auto" w:sz="8" w:space="0"/>
            </w:tcBorders>
            <w:noWrap w:val="0"/>
            <w:vAlign w:val="center"/>
          </w:tcPr>
          <w:p>
            <w:pPr>
              <w:spacing w:line="280" w:lineRule="exact"/>
              <w:jc w:val="left"/>
              <w:outlineLvl w:val="0"/>
              <w:rPr>
                <w:rFonts w:eastAsia="方正仿宋_GBK"/>
                <w:b/>
                <w:bCs/>
                <w:color w:val="000000"/>
                <w:spacing w:val="-2"/>
                <w:kern w:val="36"/>
                <w:sz w:val="24"/>
              </w:rPr>
            </w:pPr>
            <w:bookmarkStart w:id="589" w:name="_Toc20726604"/>
            <w:bookmarkStart w:id="590" w:name="_Toc18315745"/>
            <w:bookmarkStart w:id="591" w:name="_Toc20668075"/>
            <w:r>
              <w:rPr>
                <w:rFonts w:hint="eastAsia" w:eastAsia="方正仿宋_GBK"/>
                <w:color w:val="000000"/>
                <w:spacing w:val="-2"/>
                <w:kern w:val="36"/>
                <w:sz w:val="24"/>
              </w:rPr>
              <w:t>承诺人签名：</w:t>
            </w:r>
            <w:bookmarkEnd w:id="589"/>
            <w:bookmarkEnd w:id="590"/>
            <w:bookmarkEnd w:id="591"/>
          </w:p>
          <w:p>
            <w:pPr>
              <w:spacing w:line="280" w:lineRule="exact"/>
              <w:rPr>
                <w:rFonts w:eastAsia="方正仿宋_GBK"/>
                <w:color w:val="000000"/>
                <w:spacing w:val="-2"/>
                <w:kern w:val="36"/>
                <w:sz w:val="24"/>
              </w:rPr>
            </w:pPr>
            <w:r>
              <w:rPr>
                <w:rFonts w:eastAsia="方正仿宋_GBK"/>
                <w:color w:val="000000"/>
                <w:spacing w:val="-2"/>
                <w:kern w:val="36"/>
                <w:sz w:val="24"/>
              </w:rPr>
              <w:t xml:space="preserve">             </w:t>
            </w:r>
            <w:r>
              <w:rPr>
                <w:rFonts w:hint="eastAsia" w:eastAsia="方正仿宋_GBK"/>
                <w:color w:val="000000"/>
                <w:spacing w:val="-2"/>
                <w:kern w:val="36"/>
                <w:sz w:val="24"/>
              </w:rPr>
              <w:t>年</w:t>
            </w:r>
            <w:r>
              <w:rPr>
                <w:rFonts w:eastAsia="方正仿宋_GBK"/>
                <w:color w:val="000000"/>
                <w:spacing w:val="-2"/>
                <w:kern w:val="36"/>
                <w:sz w:val="24"/>
              </w:rPr>
              <w:t>    </w:t>
            </w:r>
            <w:r>
              <w:rPr>
                <w:rFonts w:hint="eastAsia" w:eastAsia="方正仿宋_GBK"/>
                <w:color w:val="000000"/>
                <w:spacing w:val="-2"/>
                <w:kern w:val="36"/>
                <w:sz w:val="24"/>
              </w:rPr>
              <w:t>月</w:t>
            </w:r>
            <w:r>
              <w:rPr>
                <w:rFonts w:eastAsia="方正仿宋_GBK"/>
                <w:color w:val="000000"/>
                <w:spacing w:val="-2"/>
                <w:kern w:val="36"/>
                <w:sz w:val="24"/>
              </w:rPr>
              <w:t xml:space="preserve">    </w:t>
            </w:r>
            <w:r>
              <w:rPr>
                <w:rFonts w:hint="eastAsia" w:eastAsia="方正仿宋_GBK"/>
                <w:color w:val="000000"/>
                <w:spacing w:val="-2"/>
                <w:kern w:val="36"/>
                <w:sz w:val="24"/>
              </w:rPr>
              <w:t>日</w:t>
            </w:r>
          </w:p>
          <w:p>
            <w:pPr>
              <w:spacing w:line="280" w:lineRule="exact"/>
              <w:rPr>
                <w:rFonts w:eastAsia="方正仿宋_GBK"/>
                <w:color w:val="000000"/>
                <w:spacing w:val="-2"/>
                <w:kern w:val="36"/>
                <w:sz w:val="24"/>
              </w:rPr>
            </w:pPr>
          </w:p>
          <w:p>
            <w:pPr>
              <w:spacing w:line="280" w:lineRule="exact"/>
              <w:rPr>
                <w:rFonts w:eastAsia="方正仿宋_GBK"/>
                <w:color w:val="000000"/>
                <w:spacing w:val="-2"/>
                <w:kern w:val="36"/>
                <w:sz w:val="24"/>
              </w:rPr>
            </w:pPr>
          </w:p>
          <w:p>
            <w:pPr>
              <w:spacing w:line="280" w:lineRule="exact"/>
              <w:rPr>
                <w:rFonts w:eastAsia="方正仿宋_GBK"/>
                <w:color w:val="000000"/>
                <w:spacing w:val="-2"/>
                <w:kern w:val="36"/>
                <w:sz w:val="24"/>
              </w:rPr>
            </w:pPr>
          </w:p>
          <w:p>
            <w:pPr>
              <w:spacing w:line="280" w:lineRule="exact"/>
              <w:rPr>
                <w:rFonts w:eastAsia="方正仿宋_GBK"/>
                <w:color w:val="000000"/>
                <w:spacing w:val="-2"/>
                <w:kern w:val="0"/>
                <w:sz w:val="24"/>
              </w:rPr>
            </w:pPr>
            <w:r>
              <w:rPr>
                <w:rFonts w:hint="eastAsia" w:eastAsia="方正仿宋_GBK"/>
                <w:color w:val="000000"/>
                <w:spacing w:val="-2"/>
                <w:kern w:val="0"/>
                <w:sz w:val="24"/>
              </w:rPr>
              <w:t>单位（公章）：</w:t>
            </w:r>
          </w:p>
          <w:p>
            <w:pPr>
              <w:spacing w:line="280" w:lineRule="exact"/>
              <w:ind w:right="280"/>
              <w:jc w:val="right"/>
              <w:outlineLvl w:val="0"/>
              <w:rPr>
                <w:rFonts w:eastAsia="方正仿宋_GBK"/>
                <w:b/>
                <w:bCs/>
                <w:color w:val="000000"/>
                <w:spacing w:val="-2"/>
                <w:kern w:val="36"/>
                <w:sz w:val="24"/>
              </w:rPr>
            </w:pPr>
            <w:bookmarkStart w:id="592" w:name="_Toc20668076"/>
            <w:bookmarkStart w:id="593" w:name="_Toc18315746"/>
            <w:bookmarkStart w:id="594" w:name="_Toc20726605"/>
            <w:r>
              <w:rPr>
                <w:rFonts w:hint="eastAsia" w:eastAsia="方正仿宋_GBK"/>
                <w:color w:val="000000"/>
                <w:spacing w:val="-2"/>
                <w:kern w:val="36"/>
                <w:sz w:val="24"/>
              </w:rPr>
              <w:t>年</w:t>
            </w:r>
            <w:r>
              <w:rPr>
                <w:rFonts w:eastAsia="方正仿宋_GBK"/>
                <w:color w:val="000000"/>
                <w:spacing w:val="-2"/>
                <w:kern w:val="36"/>
                <w:sz w:val="24"/>
              </w:rPr>
              <w:t>    </w:t>
            </w:r>
            <w:r>
              <w:rPr>
                <w:rFonts w:hint="eastAsia" w:eastAsia="方正仿宋_GBK"/>
                <w:color w:val="000000"/>
                <w:spacing w:val="-2"/>
                <w:kern w:val="36"/>
                <w:sz w:val="24"/>
              </w:rPr>
              <w:t>月</w:t>
            </w:r>
            <w:r>
              <w:rPr>
                <w:rFonts w:eastAsia="方正仿宋_GBK"/>
                <w:color w:val="000000"/>
                <w:spacing w:val="-2"/>
                <w:kern w:val="36"/>
                <w:sz w:val="24"/>
              </w:rPr>
              <w:t xml:space="preserve">    </w:t>
            </w:r>
            <w:r>
              <w:rPr>
                <w:rFonts w:hint="eastAsia" w:eastAsia="方正仿宋_GBK"/>
                <w:color w:val="000000"/>
                <w:spacing w:val="-2"/>
                <w:kern w:val="36"/>
                <w:sz w:val="24"/>
              </w:rPr>
              <w:t>日</w:t>
            </w:r>
            <w:bookmarkEnd w:id="592"/>
            <w:bookmarkEnd w:id="593"/>
            <w:bookmarkEnd w:id="594"/>
          </w:p>
        </w:tc>
      </w:tr>
      <w:tr>
        <w:tblPrEx>
          <w:tblCellMar>
            <w:top w:w="0" w:type="dxa"/>
            <w:left w:w="0" w:type="dxa"/>
            <w:bottom w:w="0" w:type="dxa"/>
            <w:right w:w="0" w:type="dxa"/>
          </w:tblCellMar>
        </w:tblPrEx>
        <w:trPr>
          <w:trHeight w:val="510" w:hRule="atLeast"/>
        </w:trPr>
        <w:tc>
          <w:tcPr>
            <w:tcW w:w="1767" w:type="dxa"/>
            <w:tcBorders>
              <w:top w:val="single" w:color="auto" w:sz="4" w:space="0"/>
              <w:left w:val="single" w:color="auto" w:sz="8" w:space="0"/>
              <w:bottom w:val="single" w:color="auto" w:sz="4" w:space="0"/>
              <w:right w:val="single" w:color="auto" w:sz="4" w:space="0"/>
            </w:tcBorders>
            <w:noWrap w:val="0"/>
            <w:vAlign w:val="center"/>
          </w:tcPr>
          <w:p>
            <w:pPr>
              <w:spacing w:line="460" w:lineRule="exact"/>
              <w:jc w:val="center"/>
              <w:outlineLvl w:val="0"/>
              <w:rPr>
                <w:rFonts w:eastAsia="方正仿宋_GBK"/>
                <w:b/>
                <w:bCs/>
                <w:color w:val="000000"/>
                <w:spacing w:val="-2"/>
                <w:kern w:val="36"/>
                <w:sz w:val="24"/>
              </w:rPr>
            </w:pPr>
            <w:bookmarkStart w:id="595" w:name="_Toc20726606"/>
            <w:bookmarkStart w:id="596" w:name="_Toc20668077"/>
            <w:bookmarkStart w:id="597" w:name="_Toc18315747"/>
            <w:r>
              <w:rPr>
                <w:rFonts w:hint="eastAsia" w:eastAsia="方正仿宋_GBK"/>
                <w:color w:val="000000"/>
                <w:spacing w:val="-2"/>
                <w:kern w:val="36"/>
                <w:sz w:val="24"/>
              </w:rPr>
              <w:t>身份证号码</w:t>
            </w:r>
            <w:bookmarkEnd w:id="595"/>
            <w:bookmarkEnd w:id="596"/>
            <w:bookmarkEnd w:id="597"/>
          </w:p>
        </w:tc>
        <w:tc>
          <w:tcPr>
            <w:tcW w:w="3027"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outlineLvl w:val="0"/>
              <w:rPr>
                <w:rFonts w:eastAsia="方正仿宋_GBK"/>
                <w:b/>
                <w:bCs/>
                <w:color w:val="000000"/>
                <w:spacing w:val="-2"/>
                <w:kern w:val="36"/>
                <w:sz w:val="24"/>
              </w:rPr>
            </w:pPr>
            <w:r>
              <w:rPr>
                <w:rFonts w:eastAsia="方正仿宋_GBK"/>
                <w:color w:val="000000"/>
                <w:spacing w:val="-2"/>
                <w:kern w:val="36"/>
                <w:sz w:val="24"/>
              </w:rPr>
              <w:t> </w:t>
            </w:r>
          </w:p>
        </w:tc>
        <w:tc>
          <w:tcPr>
            <w:tcW w:w="3976" w:type="dxa"/>
            <w:vMerge w:val="continue"/>
            <w:tcBorders>
              <w:top w:val="single" w:color="auto" w:sz="8" w:space="0"/>
              <w:left w:val="single" w:color="auto" w:sz="4" w:space="0"/>
              <w:bottom w:val="single" w:color="auto" w:sz="8" w:space="0"/>
              <w:right w:val="single" w:color="auto" w:sz="8" w:space="0"/>
            </w:tcBorders>
            <w:noWrap w:val="0"/>
            <w:vAlign w:val="center"/>
          </w:tcPr>
          <w:p>
            <w:pPr>
              <w:widowControl/>
              <w:jc w:val="left"/>
              <w:rPr>
                <w:rFonts w:eastAsia="方正仿宋_GBK"/>
                <w:b/>
                <w:bCs/>
                <w:color w:val="000000"/>
                <w:spacing w:val="-2"/>
                <w:kern w:val="36"/>
                <w:sz w:val="24"/>
              </w:rPr>
            </w:pPr>
          </w:p>
        </w:tc>
      </w:tr>
      <w:tr>
        <w:tblPrEx>
          <w:tblCellMar>
            <w:top w:w="0" w:type="dxa"/>
            <w:left w:w="0" w:type="dxa"/>
            <w:bottom w:w="0" w:type="dxa"/>
            <w:right w:w="0" w:type="dxa"/>
          </w:tblCellMar>
        </w:tblPrEx>
        <w:trPr>
          <w:trHeight w:val="510" w:hRule="atLeast"/>
        </w:trPr>
        <w:tc>
          <w:tcPr>
            <w:tcW w:w="1767" w:type="dxa"/>
            <w:tcBorders>
              <w:top w:val="single" w:color="auto" w:sz="4" w:space="0"/>
              <w:left w:val="single" w:color="auto" w:sz="8" w:space="0"/>
              <w:bottom w:val="single" w:color="auto" w:sz="4" w:space="0"/>
              <w:right w:val="single" w:color="auto" w:sz="4" w:space="0"/>
            </w:tcBorders>
            <w:noWrap w:val="0"/>
            <w:vAlign w:val="center"/>
          </w:tcPr>
          <w:p>
            <w:pPr>
              <w:spacing w:line="460" w:lineRule="exact"/>
              <w:jc w:val="center"/>
              <w:outlineLvl w:val="0"/>
              <w:rPr>
                <w:rFonts w:eastAsia="方正仿宋_GBK"/>
                <w:b/>
                <w:bCs/>
                <w:color w:val="000000"/>
                <w:spacing w:val="-2"/>
                <w:kern w:val="36"/>
                <w:sz w:val="24"/>
              </w:rPr>
            </w:pPr>
            <w:bookmarkStart w:id="598" w:name="_Toc20668078"/>
            <w:bookmarkStart w:id="599" w:name="_Toc18315748"/>
            <w:bookmarkStart w:id="600" w:name="_Toc20726607"/>
            <w:r>
              <w:rPr>
                <w:rFonts w:hint="eastAsia" w:eastAsia="方正仿宋_GBK"/>
                <w:color w:val="000000"/>
                <w:spacing w:val="-2"/>
                <w:kern w:val="36"/>
                <w:sz w:val="24"/>
              </w:rPr>
              <w:t>执业资格证号</w:t>
            </w:r>
            <w:bookmarkEnd w:id="598"/>
            <w:bookmarkEnd w:id="599"/>
            <w:bookmarkEnd w:id="600"/>
          </w:p>
        </w:tc>
        <w:tc>
          <w:tcPr>
            <w:tcW w:w="3027" w:type="dxa"/>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outlineLvl w:val="0"/>
              <w:rPr>
                <w:rFonts w:eastAsia="方正仿宋_GBK"/>
                <w:b/>
                <w:bCs/>
                <w:color w:val="000000"/>
                <w:spacing w:val="-2"/>
                <w:kern w:val="36"/>
                <w:sz w:val="24"/>
              </w:rPr>
            </w:pPr>
            <w:r>
              <w:rPr>
                <w:rFonts w:eastAsia="方正仿宋_GBK"/>
                <w:color w:val="000000"/>
                <w:spacing w:val="-2"/>
                <w:kern w:val="36"/>
                <w:sz w:val="24"/>
              </w:rPr>
              <w:t> </w:t>
            </w:r>
          </w:p>
        </w:tc>
        <w:tc>
          <w:tcPr>
            <w:tcW w:w="3976" w:type="dxa"/>
            <w:vMerge w:val="continue"/>
            <w:tcBorders>
              <w:top w:val="single" w:color="auto" w:sz="8" w:space="0"/>
              <w:left w:val="single" w:color="auto" w:sz="4" w:space="0"/>
              <w:bottom w:val="single" w:color="auto" w:sz="8" w:space="0"/>
              <w:right w:val="single" w:color="auto" w:sz="8" w:space="0"/>
            </w:tcBorders>
            <w:noWrap w:val="0"/>
            <w:vAlign w:val="center"/>
          </w:tcPr>
          <w:p>
            <w:pPr>
              <w:widowControl/>
              <w:jc w:val="left"/>
              <w:rPr>
                <w:rFonts w:eastAsia="方正仿宋_GBK"/>
                <w:b/>
                <w:bCs/>
                <w:color w:val="000000"/>
                <w:spacing w:val="-2"/>
                <w:kern w:val="36"/>
                <w:sz w:val="24"/>
              </w:rPr>
            </w:pPr>
          </w:p>
        </w:tc>
      </w:tr>
      <w:tr>
        <w:tblPrEx>
          <w:tblCellMar>
            <w:top w:w="0" w:type="dxa"/>
            <w:left w:w="0" w:type="dxa"/>
            <w:bottom w:w="0" w:type="dxa"/>
            <w:right w:w="0" w:type="dxa"/>
          </w:tblCellMar>
        </w:tblPrEx>
        <w:trPr>
          <w:trHeight w:val="510" w:hRule="atLeast"/>
        </w:trPr>
        <w:tc>
          <w:tcPr>
            <w:tcW w:w="1767" w:type="dxa"/>
            <w:tcBorders>
              <w:top w:val="single" w:color="auto" w:sz="4" w:space="0"/>
              <w:left w:val="single" w:color="auto" w:sz="8" w:space="0"/>
              <w:bottom w:val="single" w:color="auto" w:sz="8" w:space="0"/>
              <w:right w:val="single" w:color="auto" w:sz="4" w:space="0"/>
            </w:tcBorders>
            <w:noWrap w:val="0"/>
            <w:vAlign w:val="center"/>
          </w:tcPr>
          <w:p>
            <w:pPr>
              <w:spacing w:line="460" w:lineRule="exact"/>
              <w:jc w:val="center"/>
              <w:outlineLvl w:val="0"/>
              <w:rPr>
                <w:rFonts w:eastAsia="方正仿宋_GBK"/>
                <w:color w:val="000000"/>
                <w:spacing w:val="-2"/>
                <w:kern w:val="36"/>
                <w:sz w:val="24"/>
              </w:rPr>
            </w:pPr>
            <w:bookmarkStart w:id="601" w:name="_Toc20726608"/>
            <w:bookmarkStart w:id="602" w:name="_Toc18315749"/>
            <w:bookmarkStart w:id="603" w:name="_Toc20668079"/>
            <w:r>
              <w:rPr>
                <w:rFonts w:hint="eastAsia" w:eastAsia="方正仿宋_GBK"/>
                <w:color w:val="000000"/>
                <w:spacing w:val="-2"/>
                <w:kern w:val="36"/>
                <w:sz w:val="24"/>
              </w:rPr>
              <w:t>联系方式</w:t>
            </w:r>
            <w:bookmarkEnd w:id="601"/>
            <w:bookmarkEnd w:id="602"/>
            <w:bookmarkEnd w:id="603"/>
          </w:p>
        </w:tc>
        <w:tc>
          <w:tcPr>
            <w:tcW w:w="3027" w:type="dxa"/>
            <w:tcBorders>
              <w:top w:val="single" w:color="auto" w:sz="4" w:space="0"/>
              <w:left w:val="single" w:color="auto" w:sz="4" w:space="0"/>
              <w:bottom w:val="single" w:color="auto" w:sz="8" w:space="0"/>
              <w:right w:val="single" w:color="auto" w:sz="4" w:space="0"/>
            </w:tcBorders>
            <w:noWrap w:val="0"/>
            <w:vAlign w:val="center"/>
          </w:tcPr>
          <w:p>
            <w:pPr>
              <w:spacing w:line="460" w:lineRule="exact"/>
              <w:jc w:val="center"/>
              <w:outlineLvl w:val="0"/>
              <w:rPr>
                <w:rFonts w:eastAsia="方正仿宋_GBK"/>
                <w:color w:val="000000"/>
                <w:spacing w:val="-2"/>
                <w:kern w:val="36"/>
                <w:sz w:val="24"/>
              </w:rPr>
            </w:pPr>
          </w:p>
        </w:tc>
        <w:tc>
          <w:tcPr>
            <w:tcW w:w="3976" w:type="dxa"/>
            <w:vMerge w:val="continue"/>
            <w:tcBorders>
              <w:top w:val="single" w:color="auto" w:sz="8" w:space="0"/>
              <w:left w:val="single" w:color="auto" w:sz="4" w:space="0"/>
              <w:bottom w:val="single" w:color="auto" w:sz="8" w:space="0"/>
              <w:right w:val="single" w:color="auto" w:sz="8" w:space="0"/>
            </w:tcBorders>
            <w:noWrap w:val="0"/>
            <w:vAlign w:val="center"/>
          </w:tcPr>
          <w:p>
            <w:pPr>
              <w:widowControl/>
              <w:jc w:val="left"/>
              <w:rPr>
                <w:rFonts w:eastAsia="方正仿宋_GBK"/>
                <w:b/>
                <w:bCs/>
                <w:color w:val="000000"/>
                <w:spacing w:val="-2"/>
                <w:kern w:val="36"/>
                <w:sz w:val="24"/>
              </w:rPr>
            </w:pPr>
          </w:p>
        </w:tc>
      </w:tr>
    </w:tbl>
    <w:p>
      <w:pPr>
        <w:spacing w:line="360" w:lineRule="exact"/>
        <w:rPr>
          <w:rFonts w:ascii="Times New Roman" w:eastAsia="方正楷体_GBK"/>
          <w:color w:val="000000"/>
          <w:spacing w:val="-2"/>
          <w:szCs w:val="21"/>
        </w:rPr>
      </w:pPr>
      <w:r>
        <w:rPr>
          <w:rFonts w:hint="eastAsia" w:ascii="Times New Roman" w:eastAsia="方正楷体_GBK"/>
          <w:color w:val="000000"/>
          <w:spacing w:val="-2"/>
          <w:szCs w:val="21"/>
        </w:rPr>
        <w:t>注：本承诺书一式三份，一份在办理质量监督手续前，报质量监督机构备案；一份由建设单位收集管理，工程竣工验收合格后移交城建档案管理部门；一份各方责任主体留存。</w:t>
      </w:r>
    </w:p>
    <w:p>
      <w:pPr>
        <w:rPr>
          <w:rFonts w:hint="eastAsia" w:eastAsia="方正黑体_GBK"/>
          <w:color w:val="000000"/>
          <w:spacing w:val="-2"/>
          <w:sz w:val="36"/>
          <w:szCs w:val="36"/>
        </w:rPr>
      </w:pPr>
      <w:r>
        <w:rPr>
          <w:rFonts w:eastAsia="方正黑体_GBK"/>
          <w:color w:val="000000"/>
          <w:spacing w:val="-2"/>
          <w:sz w:val="36"/>
          <w:szCs w:val="36"/>
        </w:rPr>
        <w:br w:type="column"/>
      </w:r>
      <w:r>
        <w:rPr>
          <w:rFonts w:hint="eastAsia" w:eastAsia="方正黑体_GBK"/>
          <w:color w:val="000000"/>
          <w:spacing w:val="-2"/>
          <w:sz w:val="36"/>
          <w:szCs w:val="36"/>
        </w:rPr>
        <w:t>第</w:t>
      </w:r>
      <w:r>
        <w:rPr>
          <w:rFonts w:eastAsia="方正黑体_GBK"/>
          <w:color w:val="000000"/>
          <w:spacing w:val="-2"/>
          <w:sz w:val="36"/>
          <w:szCs w:val="36"/>
        </w:rPr>
        <w:t>4</w:t>
      </w:r>
      <w:r>
        <w:rPr>
          <w:rFonts w:hint="eastAsia" w:eastAsia="方正黑体_GBK"/>
          <w:color w:val="000000"/>
          <w:spacing w:val="-2"/>
          <w:sz w:val="36"/>
          <w:szCs w:val="36"/>
        </w:rPr>
        <w:t>部分：</w:t>
      </w:r>
    </w:p>
    <w:p>
      <w:pPr>
        <w:rPr>
          <w:color w:val="000000"/>
          <w:spacing w:val="-2"/>
        </w:rPr>
      </w:pPr>
    </w:p>
    <w:p>
      <w:pPr>
        <w:rPr>
          <w:color w:val="000000"/>
          <w:spacing w:val="-2"/>
        </w:rPr>
      </w:pPr>
    </w:p>
    <w:p>
      <w:pPr>
        <w:rPr>
          <w:color w:val="000000"/>
          <w:spacing w:val="-2"/>
        </w:rPr>
      </w:pPr>
    </w:p>
    <w:p>
      <w:pPr>
        <w:rPr>
          <w:color w:val="000000"/>
          <w:spacing w:val="-2"/>
        </w:rPr>
      </w:pPr>
    </w:p>
    <w:p>
      <w:pPr>
        <w:rPr>
          <w:color w:val="000000"/>
          <w:spacing w:val="-2"/>
        </w:rPr>
      </w:pPr>
    </w:p>
    <w:p>
      <w:pPr>
        <w:rPr>
          <w:color w:val="000000"/>
          <w:spacing w:val="-2"/>
        </w:rPr>
      </w:pPr>
    </w:p>
    <w:p>
      <w:pPr>
        <w:rPr>
          <w:color w:val="000000"/>
          <w:spacing w:val="-2"/>
        </w:rPr>
      </w:pPr>
    </w:p>
    <w:p>
      <w:pPr>
        <w:rPr>
          <w:color w:val="000000"/>
          <w:spacing w:val="-2"/>
        </w:rPr>
      </w:pPr>
    </w:p>
    <w:p>
      <w:pPr>
        <w:rPr>
          <w:color w:val="000000"/>
          <w:spacing w:val="-2"/>
        </w:rPr>
      </w:pPr>
    </w:p>
    <w:p>
      <w:pPr>
        <w:rPr>
          <w:color w:val="000000"/>
          <w:spacing w:val="-2"/>
        </w:rPr>
      </w:pPr>
    </w:p>
    <w:p>
      <w:pPr>
        <w:rPr>
          <w:color w:val="000000"/>
          <w:spacing w:val="-2"/>
        </w:rPr>
      </w:pPr>
    </w:p>
    <w:p>
      <w:pPr>
        <w:jc w:val="center"/>
        <w:rPr>
          <w:rFonts w:ascii="Times New Roman" w:eastAsia="方正小标宋简体"/>
          <w:bCs/>
          <w:color w:val="000000"/>
          <w:spacing w:val="-2"/>
          <w:sz w:val="52"/>
          <w:szCs w:val="52"/>
        </w:rPr>
      </w:pPr>
      <w:r>
        <w:rPr>
          <w:rFonts w:hint="eastAsia" w:ascii="Times New Roman" w:eastAsia="方正小标宋简体"/>
          <w:bCs/>
          <w:color w:val="000000"/>
          <w:spacing w:val="-2"/>
          <w:sz w:val="52"/>
          <w:szCs w:val="52"/>
        </w:rPr>
        <w:t>法定代表人授权书</w:t>
      </w:r>
    </w:p>
    <w:p>
      <w:pPr>
        <w:jc w:val="center"/>
        <w:rPr>
          <w:rFonts w:hint="eastAsia"/>
          <w:b/>
          <w:bCs/>
          <w:color w:val="000000"/>
          <w:spacing w:val="-2"/>
          <w:sz w:val="72"/>
          <w:szCs w:val="72"/>
        </w:rPr>
      </w:pPr>
    </w:p>
    <w:p>
      <w:pPr>
        <w:jc w:val="center"/>
        <w:rPr>
          <w:b/>
          <w:bCs/>
          <w:color w:val="000000"/>
          <w:spacing w:val="-2"/>
          <w:sz w:val="72"/>
          <w:szCs w:val="72"/>
        </w:rPr>
      </w:pPr>
    </w:p>
    <w:p>
      <w:pPr>
        <w:jc w:val="center"/>
        <w:rPr>
          <w:b/>
          <w:bCs/>
          <w:color w:val="000000"/>
          <w:spacing w:val="-2"/>
          <w:sz w:val="72"/>
          <w:szCs w:val="72"/>
        </w:rPr>
      </w:pPr>
    </w:p>
    <w:p>
      <w:pPr>
        <w:jc w:val="center"/>
        <w:rPr>
          <w:b/>
          <w:bCs/>
          <w:color w:val="000000"/>
          <w:spacing w:val="-2"/>
          <w:sz w:val="72"/>
          <w:szCs w:val="72"/>
        </w:rPr>
      </w:pPr>
    </w:p>
    <w:p>
      <w:pPr>
        <w:jc w:val="center"/>
        <w:rPr>
          <w:b/>
          <w:bCs/>
          <w:color w:val="000000"/>
          <w:spacing w:val="-2"/>
          <w:sz w:val="72"/>
          <w:szCs w:val="72"/>
        </w:rPr>
      </w:pPr>
    </w:p>
    <w:p>
      <w:pPr>
        <w:jc w:val="center"/>
        <w:rPr>
          <w:b/>
          <w:bCs/>
          <w:color w:val="000000"/>
          <w:spacing w:val="-2"/>
          <w:sz w:val="72"/>
          <w:szCs w:val="72"/>
        </w:rPr>
      </w:pPr>
    </w:p>
    <w:p>
      <w:pPr>
        <w:jc w:val="center"/>
        <w:rPr>
          <w:b/>
          <w:bCs/>
          <w:color w:val="000000"/>
          <w:spacing w:val="-2"/>
          <w:sz w:val="72"/>
          <w:szCs w:val="72"/>
        </w:rPr>
      </w:pPr>
    </w:p>
    <w:p>
      <w:pPr>
        <w:jc w:val="center"/>
        <w:rPr>
          <w:b/>
          <w:bCs/>
          <w:color w:val="000000"/>
          <w:spacing w:val="-2"/>
          <w:sz w:val="72"/>
          <w:szCs w:val="72"/>
        </w:rPr>
      </w:pPr>
    </w:p>
    <w:p>
      <w:pPr>
        <w:jc w:val="right"/>
        <w:rPr>
          <w:b/>
          <w:bCs/>
          <w:color w:val="000000"/>
          <w:spacing w:val="-2"/>
          <w:sz w:val="36"/>
          <w:szCs w:val="36"/>
        </w:rPr>
      </w:pPr>
      <w:r>
        <w:rPr>
          <w:b/>
          <w:bCs/>
          <w:color w:val="000000"/>
          <w:spacing w:val="-2"/>
          <w:sz w:val="36"/>
          <w:szCs w:val="36"/>
        </w:rPr>
        <w:t xml:space="preserve">   </w:t>
      </w:r>
    </w:p>
    <w:p>
      <w:pPr>
        <w:rPr>
          <w:b/>
          <w:bCs/>
          <w:color w:val="000000"/>
          <w:spacing w:val="-2"/>
          <w:sz w:val="36"/>
          <w:szCs w:val="36"/>
        </w:rPr>
      </w:pPr>
    </w:p>
    <w:p>
      <w:pPr>
        <w:ind w:firstLine="4635" w:firstLineChars="2250"/>
        <w:rPr>
          <w:b/>
          <w:bCs/>
          <w:color w:val="000000"/>
          <w:spacing w:val="-2"/>
          <w:sz w:val="44"/>
          <w:szCs w:val="44"/>
        </w:rPr>
      </w:pPr>
      <w:r>
        <w:rPr>
          <w:color w:val="000000"/>
          <w:spacing w:val="-2"/>
        </w:rPr>
        <w:t xml:space="preserve">    </w:t>
      </w:r>
    </w:p>
    <w:p>
      <w:pPr>
        <w:pStyle w:val="29"/>
        <w:widowControl w:val="0"/>
        <w:shd w:val="clear" w:color="auto" w:fill="FFFFFF"/>
        <w:spacing w:before="0" w:beforeAutospacing="0" w:after="0" w:afterAutospacing="0" w:line="560" w:lineRule="exact"/>
        <w:jc w:val="center"/>
        <w:rPr>
          <w:rFonts w:ascii="Times New Roman" w:hAnsi="Times New Roman"/>
          <w:b/>
          <w:bCs/>
          <w:color w:val="000000"/>
          <w:spacing w:val="-2"/>
          <w:sz w:val="44"/>
          <w:szCs w:val="44"/>
        </w:rPr>
      </w:pPr>
      <w:r>
        <w:rPr>
          <w:rFonts w:hint="eastAsia" w:ascii="Times New Roman" w:hAnsi="Times New Roman"/>
          <w:b/>
          <w:bCs/>
          <w:color w:val="000000"/>
          <w:spacing w:val="-2"/>
          <w:sz w:val="44"/>
          <w:szCs w:val="44"/>
        </w:rPr>
        <w:br w:type="column"/>
      </w:r>
    </w:p>
    <w:p>
      <w:pPr>
        <w:pStyle w:val="29"/>
        <w:widowControl w:val="0"/>
        <w:shd w:val="clear" w:color="auto" w:fill="FFFFFF"/>
        <w:spacing w:before="0" w:beforeAutospacing="0" w:after="0" w:afterAutospacing="0" w:line="560" w:lineRule="exact"/>
        <w:jc w:val="center"/>
        <w:rPr>
          <w:rFonts w:hint="eastAsia" w:ascii="Times New Roman" w:hAnsi="Times New Roman" w:eastAsia="方正黑体_GBK" w:cs="Times New Roman"/>
          <w:bCs/>
          <w:color w:val="000000"/>
          <w:spacing w:val="-2"/>
          <w:sz w:val="36"/>
          <w:szCs w:val="36"/>
        </w:rPr>
      </w:pPr>
      <w:r>
        <w:rPr>
          <w:rFonts w:hint="eastAsia" w:ascii="Times New Roman" w:hAnsi="Times New Roman" w:eastAsia="方正黑体_GBK" w:cs="Times New Roman"/>
          <w:bCs/>
          <w:color w:val="000000"/>
          <w:spacing w:val="-2"/>
          <w:sz w:val="36"/>
          <w:szCs w:val="36"/>
        </w:rPr>
        <w:t>法定代表人授权书</w:t>
      </w:r>
    </w:p>
    <w:p>
      <w:pPr>
        <w:pStyle w:val="29"/>
        <w:widowControl w:val="0"/>
        <w:shd w:val="clear" w:color="auto" w:fill="FFFFFF"/>
        <w:spacing w:before="0" w:beforeAutospacing="0" w:after="0" w:afterAutospacing="0" w:line="560" w:lineRule="exact"/>
        <w:rPr>
          <w:rFonts w:hint="eastAsia" w:ascii="Times New Roman" w:hAnsi="Times New Roman" w:eastAsia="方正仿宋_GBK" w:cs="Times New Roman"/>
          <w:color w:val="000000"/>
          <w:spacing w:val="-2"/>
        </w:rPr>
      </w:pPr>
      <w:r>
        <w:rPr>
          <w:rFonts w:ascii="Times New Roman" w:hAnsi="Times New Roman" w:eastAsia="方正仿宋_GBK" w:cs="Times New Roman"/>
          <w:color w:val="000000"/>
          <w:spacing w:val="-2"/>
        </w:rPr>
        <w:t> </w:t>
      </w:r>
    </w:p>
    <w:p>
      <w:pPr>
        <w:pStyle w:val="29"/>
        <w:widowControl w:val="0"/>
        <w:shd w:val="clear" w:color="auto" w:fill="FFFFFF"/>
        <w:spacing w:before="0" w:beforeAutospacing="0" w:after="0" w:afterAutospacing="0" w:line="560" w:lineRule="exact"/>
        <w:ind w:firstLine="630"/>
        <w:rPr>
          <w:rFonts w:ascii="Times New Roman" w:hAnsi="Times New Roman" w:eastAsia="方正仿宋_GBK" w:cs="Times New Roman"/>
          <w:color w:val="000000"/>
          <w:spacing w:val="-2"/>
          <w:u w:val="single"/>
        </w:rPr>
      </w:pPr>
      <w:r>
        <w:rPr>
          <w:rFonts w:hint="eastAsia" w:ascii="Times New Roman" w:hAnsi="Times New Roman" w:eastAsia="方正仿宋_GBK" w:cs="Times New Roman"/>
          <w:color w:val="000000"/>
          <w:spacing w:val="-2"/>
        </w:rPr>
        <w:t>兹授权我单位</w:t>
      </w:r>
      <w:r>
        <w:rPr>
          <w:rFonts w:ascii="Times New Roman" w:hAnsi="Times New Roman" w:eastAsia="方正仿宋_GBK" w:cs="Times New Roman"/>
          <w:color w:val="000000"/>
          <w:spacing w:val="-2"/>
          <w:u w:val="single"/>
        </w:rPr>
        <w:t xml:space="preserve">       </w:t>
      </w:r>
      <w:r>
        <w:rPr>
          <w:rFonts w:hint="eastAsia" w:ascii="Times New Roman" w:hAnsi="Times New Roman" w:eastAsia="方正仿宋_GBK" w:cs="Times New Roman"/>
          <w:color w:val="000000"/>
          <w:spacing w:val="-2"/>
        </w:rPr>
        <w:t>同志为</w:t>
      </w:r>
      <w:r>
        <w:rPr>
          <w:rFonts w:ascii="Times New Roman" w:hAnsi="Times New Roman" w:eastAsia="方正仿宋_GBK" w:cs="Times New Roman"/>
          <w:color w:val="000000"/>
          <w:spacing w:val="-2"/>
          <w:u w:val="single"/>
        </w:rPr>
        <w:t xml:space="preserve">                         </w:t>
      </w:r>
      <w:r>
        <w:rPr>
          <w:rFonts w:hint="eastAsia" w:ascii="Times New Roman" w:hAnsi="Times New Roman" w:eastAsia="方正仿宋_GBK" w:cs="Times New Roman"/>
          <w:color w:val="000000"/>
          <w:spacing w:val="-2"/>
        </w:rPr>
        <w:t>工程项目负责人。其权是</w:t>
      </w:r>
      <w:r>
        <w:rPr>
          <w:rFonts w:ascii="Times New Roman" w:hAnsi="Times New Roman" w:eastAsia="方正仿宋_GBK" w:cs="Times New Roman"/>
          <w:color w:val="000000"/>
          <w:spacing w:val="-2"/>
          <w:u w:val="single"/>
        </w:rPr>
        <w:t xml:space="preserve">                              </w:t>
      </w:r>
    </w:p>
    <w:p>
      <w:pPr>
        <w:pStyle w:val="29"/>
        <w:widowControl w:val="0"/>
        <w:shd w:val="clear" w:color="auto" w:fill="FFFFFF"/>
        <w:spacing w:before="0" w:beforeAutospacing="0" w:after="0" w:afterAutospacing="0" w:line="560" w:lineRule="exact"/>
        <w:rPr>
          <w:rFonts w:ascii="Times New Roman" w:hAnsi="Times New Roman" w:eastAsia="方正仿宋_GBK" w:cs="Times New Roman"/>
          <w:color w:val="000000"/>
          <w:spacing w:val="-2"/>
        </w:rPr>
      </w:pPr>
      <w:r>
        <w:rPr>
          <w:rFonts w:ascii="Times New Roman" w:hAnsi="Times New Roman" w:eastAsia="方正仿宋_GBK" w:cs="Times New Roman"/>
          <w:color w:val="000000"/>
          <w:spacing w:val="-2"/>
          <w:u w:val="single"/>
        </w:rPr>
        <w:t xml:space="preserve">                                                  </w:t>
      </w:r>
      <w:r>
        <w:rPr>
          <w:rFonts w:hint="eastAsia" w:ascii="Times New Roman" w:hAnsi="Times New Roman" w:eastAsia="方正仿宋_GBK" w:cs="Times New Roman"/>
          <w:color w:val="000000"/>
          <w:spacing w:val="-2"/>
        </w:rPr>
        <w:t>。本授权自签发之日起生效。</w:t>
      </w:r>
    </w:p>
    <w:p>
      <w:pPr>
        <w:pStyle w:val="29"/>
        <w:widowControl w:val="0"/>
        <w:shd w:val="clear" w:color="auto" w:fill="FFFFFF"/>
        <w:snapToGrid w:val="0"/>
        <w:spacing w:before="0" w:beforeAutospacing="0" w:after="0" w:afterAutospacing="0" w:line="560" w:lineRule="exact"/>
        <w:rPr>
          <w:rFonts w:ascii="Times New Roman" w:hAnsi="Times New Roman" w:eastAsia="方正仿宋_GBK" w:cs="Times New Roman"/>
          <w:color w:val="000000"/>
          <w:spacing w:val="-2"/>
        </w:rPr>
      </w:pPr>
      <w:r>
        <w:rPr>
          <w:rFonts w:ascii="Times New Roman" w:hAnsi="Times New Roman" w:eastAsia="方正仿宋_GBK" w:cs="Times New Roman"/>
          <w:color w:val="000000"/>
          <w:spacing w:val="-2"/>
        </w:rPr>
        <w:t> </w:t>
      </w:r>
    </w:p>
    <w:p>
      <w:pPr>
        <w:pStyle w:val="29"/>
        <w:widowControl w:val="0"/>
        <w:shd w:val="clear" w:color="auto" w:fill="FFFFFF"/>
        <w:snapToGrid w:val="0"/>
        <w:spacing w:before="0" w:beforeAutospacing="0" w:after="0" w:afterAutospacing="0" w:line="560" w:lineRule="exact"/>
        <w:rPr>
          <w:rFonts w:ascii="Times New Roman" w:hAnsi="Times New Roman" w:eastAsia="方正仿宋_GBK" w:cs="Times New Roman"/>
          <w:color w:val="000000"/>
          <w:spacing w:val="-2"/>
        </w:rPr>
      </w:pPr>
    </w:p>
    <w:p>
      <w:pPr>
        <w:pStyle w:val="29"/>
        <w:widowControl w:val="0"/>
        <w:shd w:val="clear" w:color="auto" w:fill="FFFFFF"/>
        <w:snapToGrid w:val="0"/>
        <w:spacing w:before="0" w:beforeAutospacing="0" w:after="0" w:afterAutospacing="0" w:line="560" w:lineRule="exact"/>
        <w:jc w:val="center"/>
        <w:rPr>
          <w:rFonts w:ascii="Times New Roman" w:hAnsi="Times New Roman" w:eastAsia="方正仿宋_GBK" w:cs="Times New Roman"/>
          <w:color w:val="000000"/>
          <w:spacing w:val="-2"/>
        </w:rPr>
      </w:pPr>
      <w:r>
        <w:rPr>
          <w:rFonts w:hint="eastAsia" w:ascii="Times New Roman" w:hAnsi="Times New Roman" w:eastAsia="方正仿宋_GBK" w:cs="Times New Roman"/>
          <w:color w:val="000000"/>
          <w:spacing w:val="-2"/>
        </w:rPr>
        <w:t>授权单位</w:t>
      </w:r>
      <w:r>
        <w:rPr>
          <w:rFonts w:ascii="Times New Roman" w:hAnsi="Times New Roman" w:eastAsia="方正仿宋_GBK" w:cs="Times New Roman"/>
          <w:color w:val="000000"/>
          <w:spacing w:val="-2"/>
        </w:rPr>
        <w:t>:</w:t>
      </w:r>
      <w:r>
        <w:rPr>
          <w:rFonts w:hint="eastAsia" w:ascii="Times New Roman" w:hAnsi="Times New Roman" w:eastAsia="方正仿宋_GBK" w:cs="Times New Roman"/>
          <w:color w:val="000000"/>
          <w:spacing w:val="-2"/>
        </w:rPr>
        <w:t>（盖章）</w:t>
      </w:r>
      <w:r>
        <w:rPr>
          <w:rFonts w:ascii="Times New Roman" w:hAnsi="Times New Roman" w:eastAsia="方正仿宋_GBK" w:cs="Times New Roman"/>
          <w:color w:val="000000"/>
          <w:spacing w:val="-2"/>
        </w:rPr>
        <w:t xml:space="preserve">                      </w:t>
      </w:r>
      <w:r>
        <w:rPr>
          <w:rFonts w:hint="eastAsia" w:ascii="Times New Roman" w:hAnsi="Times New Roman" w:eastAsia="方正仿宋_GBK" w:cs="Times New Roman"/>
          <w:color w:val="000000"/>
          <w:spacing w:val="-2"/>
        </w:rPr>
        <w:t>法定代表人</w:t>
      </w:r>
      <w:r>
        <w:rPr>
          <w:rFonts w:ascii="Times New Roman" w:hAnsi="Times New Roman" w:eastAsia="方正仿宋_GBK" w:cs="Times New Roman"/>
          <w:color w:val="000000"/>
          <w:spacing w:val="-2"/>
        </w:rPr>
        <w:t>:</w:t>
      </w:r>
      <w:r>
        <w:rPr>
          <w:rFonts w:hint="eastAsia" w:ascii="Times New Roman" w:hAnsi="Times New Roman" w:eastAsia="方正仿宋_GBK" w:cs="Times New Roman"/>
          <w:color w:val="000000"/>
          <w:spacing w:val="-2"/>
        </w:rPr>
        <w:t>（签名）</w:t>
      </w:r>
    </w:p>
    <w:p>
      <w:pPr>
        <w:pStyle w:val="29"/>
        <w:widowControl w:val="0"/>
        <w:shd w:val="clear" w:color="auto" w:fill="FFFFFF"/>
        <w:snapToGrid w:val="0"/>
        <w:spacing w:before="0" w:beforeAutospacing="0" w:after="0" w:afterAutospacing="0" w:line="560" w:lineRule="exact"/>
        <w:rPr>
          <w:rFonts w:ascii="Times New Roman" w:hAnsi="Times New Roman" w:eastAsia="方正仿宋_GBK" w:cs="Times New Roman"/>
          <w:color w:val="000000"/>
          <w:spacing w:val="-2"/>
        </w:rPr>
      </w:pPr>
      <w:r>
        <w:rPr>
          <w:rFonts w:ascii="Times New Roman" w:hAnsi="Times New Roman" w:eastAsia="方正仿宋_GBK" w:cs="Times New Roman"/>
          <w:color w:val="000000"/>
          <w:spacing w:val="-2"/>
        </w:rPr>
        <w:t> </w:t>
      </w:r>
    </w:p>
    <w:p>
      <w:pPr>
        <w:pStyle w:val="29"/>
        <w:widowControl w:val="0"/>
        <w:shd w:val="clear" w:color="auto" w:fill="FFFFFF"/>
        <w:snapToGrid w:val="0"/>
        <w:spacing w:before="0" w:beforeAutospacing="0" w:after="0" w:afterAutospacing="0" w:line="560" w:lineRule="exact"/>
        <w:ind w:firstLine="951" w:firstLineChars="403"/>
        <w:rPr>
          <w:rFonts w:ascii="Times New Roman" w:hAnsi="Times New Roman" w:eastAsia="方正仿宋_GBK" w:cs="Times New Roman"/>
          <w:color w:val="000000"/>
          <w:spacing w:val="-2"/>
        </w:rPr>
      </w:pPr>
      <w:r>
        <w:rPr>
          <w:rFonts w:hint="eastAsia" w:ascii="Times New Roman" w:hAnsi="Times New Roman" w:eastAsia="方正仿宋_GBK" w:cs="Times New Roman"/>
          <w:color w:val="000000"/>
          <w:spacing w:val="-2"/>
        </w:rPr>
        <w:t>签发日期</w:t>
      </w:r>
      <w:r>
        <w:rPr>
          <w:rFonts w:ascii="Times New Roman" w:hAnsi="Times New Roman" w:eastAsia="方正仿宋_GBK" w:cs="Times New Roman"/>
          <w:color w:val="000000"/>
          <w:spacing w:val="-2"/>
        </w:rPr>
        <w:t xml:space="preserve">:   </w:t>
      </w:r>
      <w:r>
        <w:rPr>
          <w:rFonts w:hint="eastAsia" w:ascii="Times New Roman" w:hAnsi="Times New Roman" w:eastAsia="方正仿宋_GBK" w:cs="Times New Roman"/>
          <w:color w:val="000000"/>
          <w:spacing w:val="-2"/>
        </w:rPr>
        <w:t>年</w:t>
      </w:r>
      <w:r>
        <w:rPr>
          <w:rFonts w:ascii="Times New Roman" w:hAnsi="Times New Roman" w:eastAsia="方正仿宋_GBK" w:cs="Times New Roman"/>
          <w:color w:val="000000"/>
          <w:spacing w:val="-2"/>
        </w:rPr>
        <w:t xml:space="preserve">   </w:t>
      </w:r>
      <w:r>
        <w:rPr>
          <w:rFonts w:hint="eastAsia" w:ascii="Times New Roman" w:hAnsi="Times New Roman" w:eastAsia="方正仿宋_GBK" w:cs="Times New Roman"/>
          <w:color w:val="000000"/>
          <w:spacing w:val="-2"/>
        </w:rPr>
        <w:t>月</w:t>
      </w:r>
      <w:r>
        <w:rPr>
          <w:rFonts w:ascii="Times New Roman" w:hAnsi="Times New Roman" w:eastAsia="方正仿宋_GBK" w:cs="Times New Roman"/>
          <w:color w:val="000000"/>
          <w:spacing w:val="-2"/>
        </w:rPr>
        <w:t xml:space="preserve">   </w:t>
      </w:r>
      <w:r>
        <w:rPr>
          <w:rFonts w:hint="eastAsia" w:ascii="Times New Roman" w:hAnsi="Times New Roman" w:eastAsia="方正仿宋_GBK" w:cs="Times New Roman"/>
          <w:color w:val="000000"/>
          <w:spacing w:val="-2"/>
        </w:rPr>
        <w:t>日</w:t>
      </w:r>
      <w:r>
        <w:rPr>
          <w:rFonts w:ascii="Times New Roman" w:hAnsi="Times New Roman" w:eastAsia="方正仿宋_GBK" w:cs="Times New Roman"/>
          <w:color w:val="000000"/>
          <w:spacing w:val="-2"/>
        </w:rPr>
        <w:t xml:space="preserve"> </w:t>
      </w:r>
    </w:p>
    <w:p>
      <w:pPr>
        <w:pStyle w:val="29"/>
        <w:widowControl w:val="0"/>
        <w:shd w:val="clear" w:color="auto" w:fill="FFFFFF"/>
        <w:snapToGrid w:val="0"/>
        <w:spacing w:before="0" w:beforeAutospacing="0" w:after="0" w:afterAutospacing="0" w:line="560" w:lineRule="exact"/>
        <w:rPr>
          <w:rFonts w:ascii="Times New Roman" w:hAnsi="Times New Roman" w:eastAsia="方正仿宋_GBK" w:cs="Times New Roman"/>
          <w:color w:val="000000"/>
          <w:spacing w:val="-2"/>
        </w:rPr>
      </w:pPr>
      <w:r>
        <w:rPr>
          <w:rFonts w:ascii="Times New Roman" w:hAnsi="Times New Roman" w:eastAsia="方正仿宋_GBK" w:cs="Times New Roman"/>
          <w:color w:val="000000"/>
          <w:spacing w:val="-2"/>
        </w:rPr>
        <w:t> </w:t>
      </w:r>
    </w:p>
    <w:p>
      <w:pPr>
        <w:pStyle w:val="29"/>
        <w:widowControl w:val="0"/>
        <w:shd w:val="clear" w:color="auto" w:fill="FFFFFF"/>
        <w:snapToGrid w:val="0"/>
        <w:spacing w:before="0" w:beforeAutospacing="0" w:after="0" w:afterAutospacing="0" w:line="560" w:lineRule="exact"/>
        <w:rPr>
          <w:rFonts w:ascii="Times New Roman" w:hAnsi="Times New Roman" w:eastAsia="方正仿宋_GBK" w:cs="Times New Roman"/>
          <w:color w:val="000000"/>
          <w:spacing w:val="-2"/>
        </w:rPr>
      </w:pPr>
      <w:r>
        <w:rPr>
          <w:rFonts w:ascii="Times New Roman" w:hAnsi="Times New Roman" w:eastAsia="方正仿宋_GBK" w:cs="Times New Roman"/>
          <w:color w:val="000000"/>
          <w:spacing w:val="-2"/>
        </w:rPr>
        <w:t xml:space="preserve">        </w:t>
      </w:r>
      <w:r>
        <w:rPr>
          <w:rFonts w:hint="eastAsia" w:ascii="Times New Roman" w:hAnsi="Times New Roman" w:eastAsia="方正仿宋_GBK" w:cs="Times New Roman"/>
          <w:color w:val="000000"/>
          <w:spacing w:val="-2"/>
        </w:rPr>
        <w:t>项目负责人姓名：</w:t>
      </w:r>
      <w:r>
        <w:rPr>
          <w:rFonts w:ascii="Times New Roman" w:hAnsi="Times New Roman" w:eastAsia="方正仿宋_GBK" w:cs="Times New Roman"/>
          <w:color w:val="000000"/>
          <w:spacing w:val="-2"/>
          <w:u w:val="single"/>
        </w:rPr>
        <w:t xml:space="preserve">          </w:t>
      </w:r>
      <w:r>
        <w:rPr>
          <w:rFonts w:ascii="Times New Roman" w:hAnsi="Times New Roman" w:eastAsia="方正仿宋_GBK" w:cs="Times New Roman"/>
          <w:color w:val="000000"/>
          <w:spacing w:val="-2"/>
        </w:rPr>
        <w:t> </w:t>
      </w:r>
      <w:r>
        <w:rPr>
          <w:rFonts w:hint="eastAsia" w:ascii="Times New Roman" w:hAnsi="Times New Roman" w:eastAsia="方正仿宋_GBK" w:cs="Times New Roman"/>
          <w:color w:val="000000"/>
          <w:spacing w:val="-2"/>
        </w:rPr>
        <w:t>性别：</w:t>
      </w:r>
      <w:r>
        <w:rPr>
          <w:rFonts w:ascii="Times New Roman" w:hAnsi="Times New Roman" w:eastAsia="方正仿宋_GBK" w:cs="Times New Roman"/>
          <w:color w:val="000000"/>
          <w:spacing w:val="-2"/>
          <w:u w:val="single"/>
        </w:rPr>
        <w:t xml:space="preserve">     </w:t>
      </w:r>
      <w:r>
        <w:rPr>
          <w:rFonts w:ascii="Times New Roman" w:hAnsi="Times New Roman" w:eastAsia="方正仿宋_GBK" w:cs="Times New Roman"/>
          <w:color w:val="000000"/>
          <w:spacing w:val="-2"/>
        </w:rPr>
        <w:t> </w:t>
      </w:r>
    </w:p>
    <w:p>
      <w:pPr>
        <w:pStyle w:val="29"/>
        <w:widowControl w:val="0"/>
        <w:shd w:val="clear" w:color="auto" w:fill="FFFFFF"/>
        <w:snapToGrid w:val="0"/>
        <w:spacing w:before="0" w:beforeAutospacing="0" w:after="0" w:afterAutospacing="0" w:line="560" w:lineRule="exact"/>
        <w:rPr>
          <w:rFonts w:ascii="Times New Roman" w:hAnsi="Times New Roman" w:eastAsia="方正仿宋_GBK" w:cs="Times New Roman"/>
          <w:color w:val="000000"/>
          <w:spacing w:val="-2"/>
          <w:u w:val="single"/>
        </w:rPr>
      </w:pPr>
      <w:r>
        <w:rPr>
          <w:rFonts w:ascii="Times New Roman" w:hAnsi="Times New Roman" w:eastAsia="方正仿宋_GBK" w:cs="Times New Roman"/>
          <w:color w:val="000000"/>
          <w:spacing w:val="-2"/>
        </w:rPr>
        <w:t xml:space="preserve">        </w:t>
      </w:r>
      <w:r>
        <w:rPr>
          <w:rFonts w:hint="eastAsia" w:ascii="Times New Roman" w:hAnsi="Times New Roman" w:eastAsia="方正仿宋_GBK" w:cs="Times New Roman"/>
          <w:color w:val="000000"/>
          <w:spacing w:val="-2"/>
        </w:rPr>
        <w:t>身份证号码：</w:t>
      </w:r>
      <w:r>
        <w:rPr>
          <w:rFonts w:ascii="Times New Roman" w:hAnsi="Times New Roman" w:eastAsia="方正仿宋_GBK" w:cs="Times New Roman"/>
          <w:color w:val="000000"/>
          <w:spacing w:val="-2"/>
          <w:u w:val="single"/>
        </w:rPr>
        <w:t xml:space="preserve">                            </w:t>
      </w:r>
    </w:p>
    <w:p>
      <w:pPr>
        <w:pStyle w:val="29"/>
        <w:widowControl w:val="0"/>
        <w:shd w:val="clear" w:color="auto" w:fill="FFFFFF"/>
        <w:snapToGrid w:val="0"/>
        <w:spacing w:before="0" w:beforeAutospacing="0" w:after="0" w:afterAutospacing="0" w:line="560" w:lineRule="exact"/>
        <w:rPr>
          <w:rFonts w:ascii="Times New Roman" w:hAnsi="Times New Roman" w:eastAsia="方正仿宋_GBK" w:cs="Times New Roman"/>
          <w:color w:val="000000"/>
          <w:spacing w:val="-2"/>
          <w:u w:val="single"/>
        </w:rPr>
      </w:pPr>
      <w:r>
        <w:rPr>
          <w:rFonts w:ascii="Times New Roman" w:hAnsi="Times New Roman" w:eastAsia="方正仿宋_GBK" w:cs="Times New Roman"/>
          <w:color w:val="000000"/>
          <w:spacing w:val="-2"/>
        </w:rPr>
        <w:t xml:space="preserve">        </w:t>
      </w:r>
      <w:r>
        <w:rPr>
          <w:rFonts w:hint="eastAsia" w:ascii="Times New Roman" w:hAnsi="Times New Roman" w:eastAsia="方正仿宋_GBK" w:cs="Times New Roman"/>
          <w:color w:val="000000"/>
          <w:spacing w:val="-2"/>
        </w:rPr>
        <w:t>执业资格证号</w:t>
      </w:r>
      <w:r>
        <w:rPr>
          <w:rFonts w:ascii="Times New Roman" w:hAnsi="Times New Roman" w:eastAsia="方正仿宋_GBK" w:cs="Times New Roman"/>
          <w:color w:val="000000"/>
          <w:spacing w:val="-2"/>
        </w:rPr>
        <w:t>:</w:t>
      </w:r>
      <w:r>
        <w:rPr>
          <w:rFonts w:ascii="Times New Roman" w:hAnsi="Times New Roman" w:eastAsia="方正仿宋_GBK" w:cs="Times New Roman"/>
          <w:color w:val="000000"/>
          <w:spacing w:val="-2"/>
          <w:u w:val="single"/>
        </w:rPr>
        <w:t xml:space="preserve">                          </w:t>
      </w:r>
    </w:p>
    <w:p>
      <w:pPr>
        <w:jc w:val="left"/>
        <w:rPr>
          <w:rFonts w:eastAsia="方正仿宋_GBK"/>
          <w:color w:val="000000"/>
          <w:spacing w:val="-2"/>
          <w:sz w:val="24"/>
        </w:rPr>
      </w:pPr>
    </w:p>
    <w:p>
      <w:pPr>
        <w:jc w:val="left"/>
        <w:rPr>
          <w:rFonts w:eastAsia="方正仿宋_GBK"/>
          <w:color w:val="000000"/>
          <w:spacing w:val="-2"/>
          <w:sz w:val="24"/>
        </w:rPr>
      </w:pPr>
    </w:p>
    <w:p>
      <w:pPr>
        <w:jc w:val="left"/>
        <w:rPr>
          <w:rFonts w:eastAsia="方正仿宋_GBK"/>
          <w:color w:val="000000"/>
          <w:spacing w:val="-2"/>
          <w:sz w:val="24"/>
        </w:rPr>
      </w:pPr>
    </w:p>
    <w:p>
      <w:pPr>
        <w:jc w:val="left"/>
        <w:rPr>
          <w:rFonts w:eastAsia="方正仿宋_GBK"/>
          <w:color w:val="000000"/>
          <w:spacing w:val="-2"/>
          <w:sz w:val="24"/>
        </w:rPr>
      </w:pPr>
    </w:p>
    <w:p>
      <w:pPr>
        <w:jc w:val="left"/>
        <w:rPr>
          <w:rFonts w:eastAsia="方正仿宋_GBK"/>
          <w:color w:val="000000"/>
          <w:spacing w:val="-2"/>
          <w:sz w:val="24"/>
        </w:rPr>
      </w:pPr>
    </w:p>
    <w:p>
      <w:pPr>
        <w:jc w:val="left"/>
        <w:rPr>
          <w:rFonts w:eastAsia="方正仿宋_GBK"/>
          <w:color w:val="000000"/>
          <w:spacing w:val="-2"/>
          <w:sz w:val="24"/>
        </w:rPr>
      </w:pPr>
    </w:p>
    <w:p>
      <w:pPr>
        <w:jc w:val="left"/>
        <w:rPr>
          <w:rFonts w:eastAsia="方正仿宋_GBK"/>
          <w:color w:val="000000"/>
          <w:spacing w:val="-2"/>
          <w:sz w:val="24"/>
        </w:rPr>
      </w:pPr>
    </w:p>
    <w:p>
      <w:pPr>
        <w:jc w:val="left"/>
        <w:rPr>
          <w:rFonts w:eastAsia="方正仿宋_GBK"/>
          <w:color w:val="000000"/>
          <w:spacing w:val="-2"/>
          <w:sz w:val="24"/>
        </w:rPr>
      </w:pPr>
    </w:p>
    <w:p>
      <w:pPr>
        <w:jc w:val="left"/>
        <w:rPr>
          <w:rFonts w:eastAsia="方正仿宋_GBK"/>
          <w:color w:val="000000"/>
          <w:spacing w:val="-2"/>
          <w:sz w:val="24"/>
        </w:rPr>
      </w:pPr>
    </w:p>
    <w:p>
      <w:pPr>
        <w:jc w:val="left"/>
        <w:rPr>
          <w:rFonts w:eastAsia="方正仿宋_GBK"/>
          <w:color w:val="000000"/>
          <w:spacing w:val="-2"/>
          <w:sz w:val="24"/>
        </w:rPr>
      </w:pPr>
    </w:p>
    <w:p>
      <w:pPr>
        <w:spacing w:line="400" w:lineRule="exact"/>
        <w:jc w:val="left"/>
        <w:rPr>
          <w:rFonts w:eastAsia="方正仿宋_GBK"/>
          <w:color w:val="000000"/>
          <w:spacing w:val="-2"/>
          <w:szCs w:val="21"/>
        </w:rPr>
      </w:pPr>
      <w:r>
        <w:rPr>
          <w:rFonts w:hint="eastAsia" w:eastAsia="方正仿宋_GBK"/>
          <w:color w:val="000000"/>
          <w:spacing w:val="-2"/>
          <w:szCs w:val="21"/>
        </w:rPr>
        <w:t>注：</w:t>
      </w:r>
      <w:r>
        <w:rPr>
          <w:rFonts w:eastAsia="方正仿宋_GBK"/>
          <w:color w:val="000000"/>
          <w:spacing w:val="-2"/>
          <w:szCs w:val="21"/>
        </w:rPr>
        <w:t>1</w:t>
      </w:r>
      <w:r>
        <w:rPr>
          <w:rFonts w:hint="eastAsia" w:eastAsia="方正仿宋_GBK"/>
          <w:color w:val="000000"/>
          <w:spacing w:val="-2"/>
          <w:szCs w:val="21"/>
        </w:rPr>
        <w:t>、需附项目负责人执业资格证书、身份证以及法人代表身份证复印件。</w:t>
      </w:r>
    </w:p>
    <w:p>
      <w:pPr>
        <w:spacing w:line="400" w:lineRule="exact"/>
        <w:ind w:firstLine="412" w:firstLineChars="200"/>
        <w:jc w:val="left"/>
        <w:rPr>
          <w:rFonts w:ascii="Times New Roman" w:hAnsi="Times New Roman" w:eastAsia="仿宋_GB2312"/>
          <w:color w:val="000000"/>
          <w:spacing w:val="-2"/>
          <w:sz w:val="28"/>
          <w:szCs w:val="28"/>
        </w:rPr>
      </w:pPr>
      <w:r>
        <w:rPr>
          <w:rFonts w:eastAsia="方正仿宋_GBK"/>
          <w:color w:val="000000"/>
          <w:spacing w:val="-2"/>
          <w:szCs w:val="21"/>
        </w:rPr>
        <w:t>2</w:t>
      </w:r>
      <w:r>
        <w:rPr>
          <w:rFonts w:hint="eastAsia" w:eastAsia="方正仿宋_GBK"/>
          <w:color w:val="000000"/>
          <w:spacing w:val="-2"/>
          <w:szCs w:val="21"/>
        </w:rPr>
        <w:t>、本授权书一式三份，一份在办理质量监督手续前，报质量监督机构备案；一份由建设单位收集管理，工程竣工验收合格后移交城建档案管理部门；一份各方责任主体留存。</w:t>
      </w:r>
    </w:p>
    <w:p>
      <w:pPr>
        <w:spacing w:line="400" w:lineRule="exact"/>
        <w:jc w:val="left"/>
        <w:rPr>
          <w:rFonts w:hint="eastAsia" w:ascii="Times New Roman" w:eastAsia="方正黑体_GBK"/>
          <w:color w:val="000000"/>
          <w:spacing w:val="-2"/>
          <w:sz w:val="28"/>
          <w:szCs w:val="28"/>
        </w:rPr>
      </w:pPr>
      <w:r>
        <w:rPr>
          <w:rFonts w:hint="eastAsia" w:ascii="Times New Roman" w:eastAsia="黑体"/>
          <w:color w:val="000000"/>
          <w:spacing w:val="-2"/>
          <w:sz w:val="32"/>
          <w:szCs w:val="32"/>
        </w:rPr>
        <w:br w:type="column"/>
      </w:r>
      <w:r>
        <w:rPr>
          <w:rFonts w:hint="eastAsia" w:ascii="Times New Roman" w:eastAsia="方正黑体_GBK"/>
          <w:color w:val="000000"/>
          <w:spacing w:val="-2"/>
          <w:sz w:val="28"/>
          <w:szCs w:val="28"/>
        </w:rPr>
        <w:t>附件3：</w:t>
      </w:r>
    </w:p>
    <w:p>
      <w:pPr>
        <w:spacing w:line="360" w:lineRule="auto"/>
        <w:rPr>
          <w:rFonts w:hint="eastAsia"/>
          <w:b/>
          <w:color w:val="000000"/>
          <w:spacing w:val="-2"/>
          <w:sz w:val="32"/>
          <w:szCs w:val="32"/>
        </w:rPr>
      </w:pPr>
    </w:p>
    <w:p>
      <w:pPr>
        <w:spacing w:line="360" w:lineRule="auto"/>
        <w:jc w:val="center"/>
        <w:rPr>
          <w:rFonts w:ascii="Times New Roman" w:eastAsia="方正黑体_GBK"/>
          <w:color w:val="000000"/>
          <w:spacing w:val="-2"/>
          <w:sz w:val="28"/>
          <w:szCs w:val="28"/>
        </w:rPr>
      </w:pPr>
      <w:r>
        <w:rPr>
          <w:rFonts w:hint="eastAsia" w:ascii="Times New Roman" w:hAnsi="Times New Roman" w:eastAsia="方正黑体_GBK"/>
          <w:color w:val="000000"/>
          <w:spacing w:val="-2"/>
          <w:sz w:val="28"/>
          <w:szCs w:val="28"/>
        </w:rPr>
        <w:t>永久性责任标牌式样</w:t>
      </w:r>
    </w:p>
    <w:p>
      <w:pPr>
        <w:spacing w:line="360" w:lineRule="auto"/>
        <w:jc w:val="center"/>
        <w:rPr>
          <w:rFonts w:hint="eastAsia" w:eastAsia="黑体"/>
          <w:b/>
          <w:color w:val="000000"/>
          <w:spacing w:val="-2"/>
          <w:sz w:val="32"/>
          <w:szCs w:val="32"/>
        </w:rPr>
      </w:pPr>
    </w:p>
    <w:tbl>
      <w:tblPr>
        <w:tblStyle w:val="12"/>
        <w:tblW w:w="0" w:type="auto"/>
        <w:tblCellSpacing w:w="0" w:type="dxa"/>
        <w:tblInd w:w="50"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0" w:type="dxa"/>
          <w:bottom w:w="0" w:type="dxa"/>
          <w:right w:w="0" w:type="dxa"/>
        </w:tblCellMar>
      </w:tblPr>
      <w:tblGrid>
        <w:gridCol w:w="8740"/>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0" w:type="dxa"/>
            <w:bottom w:w="0" w:type="dxa"/>
            <w:right w:w="0" w:type="dxa"/>
          </w:tblCellMar>
        </w:tblPrEx>
        <w:trPr>
          <w:trHeight w:val="4200" w:hRule="atLeast"/>
          <w:tblCellSpacing w:w="0" w:type="dxa"/>
        </w:trPr>
        <w:tc>
          <w:tcPr>
            <w:tcW w:w="8740" w:type="dxa"/>
            <w:tcBorders>
              <w:top w:val="nil"/>
              <w:left w:val="nil"/>
              <w:bottom w:val="nil"/>
              <w:right w:val="nil"/>
            </w:tcBorders>
            <w:noWrap w:val="0"/>
            <w:vAlign w:val="top"/>
          </w:tcPr>
          <w:p>
            <w:pPr>
              <w:spacing w:before="120" w:beforeLines="50"/>
              <w:ind w:firstLine="346" w:firstLineChars="147"/>
              <w:rPr>
                <w:rFonts w:ascii="Times New Roman" w:hAnsi="Times New Roman"/>
                <w:color w:val="000000"/>
                <w:spacing w:val="-2"/>
                <w:sz w:val="24"/>
              </w:rPr>
            </w:pPr>
            <w:r>
              <w:rPr>
                <w:rFonts w:hint="eastAsia" w:eastAsia="方正仿宋_GBK"/>
                <w:color w:val="000000"/>
                <w:spacing w:val="-2"/>
                <w:sz w:val="24"/>
              </w:rPr>
              <w:t>工程名称</w:t>
            </w:r>
            <w:r>
              <w:rPr>
                <w:rFonts w:eastAsia="方正仿宋_GBK"/>
                <w:color w:val="000000"/>
                <w:spacing w:val="-2"/>
                <w:sz w:val="24"/>
              </w:rPr>
              <w:t xml:space="preserve">  </w:t>
            </w:r>
            <w:r>
              <w:rPr>
                <w:rFonts w:hint="eastAsia" w:ascii="Times New Roman" w:hAnsi="Times New Roman"/>
                <w:color w:val="000000"/>
                <w:spacing w:val="-2"/>
                <w:sz w:val="24"/>
              </w:rPr>
              <w:t xml:space="preserve"> ×××××××××</w:t>
            </w:r>
          </w:p>
          <w:p>
            <w:pPr>
              <w:spacing w:before="120" w:beforeLines="50"/>
              <w:ind w:firstLine="346" w:firstLineChars="147"/>
              <w:jc w:val="left"/>
              <w:rPr>
                <w:rFonts w:hint="eastAsia" w:eastAsia="方正仿宋_GBK"/>
                <w:color w:val="000000"/>
                <w:spacing w:val="-2"/>
                <w:sz w:val="24"/>
              </w:rPr>
            </w:pPr>
            <w:r>
              <w:rPr>
                <w:rFonts w:hint="eastAsia" w:eastAsia="方正仿宋_GBK"/>
                <w:color w:val="000000"/>
                <w:spacing w:val="-2"/>
                <w:sz w:val="24"/>
              </w:rPr>
              <w:t>开工日期</w:t>
            </w:r>
            <w:r>
              <w:rPr>
                <w:rFonts w:eastAsia="方正仿宋_GBK"/>
                <w:color w:val="000000"/>
                <w:spacing w:val="-2"/>
                <w:sz w:val="24"/>
              </w:rPr>
              <w:t xml:space="preserve">  </w:t>
            </w:r>
            <w:r>
              <w:rPr>
                <w:rFonts w:hint="eastAsia" w:ascii="Times New Roman" w:hAnsi="Times New Roman"/>
                <w:color w:val="000000"/>
                <w:spacing w:val="-2"/>
                <w:sz w:val="24"/>
              </w:rPr>
              <w:t>××××</w:t>
            </w:r>
            <w:r>
              <w:rPr>
                <w:rFonts w:hint="eastAsia" w:eastAsia="方正仿宋_GBK"/>
                <w:color w:val="000000"/>
                <w:spacing w:val="-2"/>
                <w:sz w:val="24"/>
              </w:rPr>
              <w:t>年</w:t>
            </w:r>
            <w:r>
              <w:rPr>
                <w:rFonts w:hint="eastAsia" w:ascii="Times New Roman" w:hAnsi="Times New Roman"/>
                <w:color w:val="000000"/>
                <w:spacing w:val="-2"/>
                <w:sz w:val="24"/>
              </w:rPr>
              <w:t>××</w:t>
            </w:r>
            <w:r>
              <w:rPr>
                <w:rFonts w:hint="eastAsia" w:eastAsia="方正仿宋_GBK"/>
                <w:color w:val="000000"/>
                <w:spacing w:val="-2"/>
                <w:sz w:val="24"/>
              </w:rPr>
              <w:t>月</w:t>
            </w:r>
            <w:r>
              <w:rPr>
                <w:rFonts w:hint="eastAsia" w:ascii="Times New Roman" w:hAnsi="Times New Roman"/>
                <w:color w:val="000000"/>
                <w:spacing w:val="-2"/>
                <w:sz w:val="24"/>
              </w:rPr>
              <w:t>××</w:t>
            </w:r>
            <w:r>
              <w:rPr>
                <w:rFonts w:hint="eastAsia" w:eastAsia="方正仿宋_GBK"/>
                <w:color w:val="000000"/>
                <w:spacing w:val="-2"/>
                <w:sz w:val="24"/>
              </w:rPr>
              <w:t>日</w:t>
            </w:r>
          </w:p>
          <w:p>
            <w:pPr>
              <w:spacing w:before="120" w:beforeLines="50"/>
              <w:ind w:firstLine="346" w:firstLineChars="147"/>
              <w:jc w:val="left"/>
              <w:rPr>
                <w:rFonts w:eastAsia="方正仿宋_GBK"/>
                <w:color w:val="000000"/>
                <w:spacing w:val="-2"/>
                <w:sz w:val="24"/>
              </w:rPr>
            </w:pPr>
            <w:r>
              <w:rPr>
                <w:rFonts w:hint="eastAsia" w:eastAsia="方正仿宋_GBK"/>
                <w:color w:val="000000"/>
                <w:spacing w:val="-2"/>
                <w:sz w:val="24"/>
              </w:rPr>
              <w:t>竣工日期</w:t>
            </w:r>
            <w:r>
              <w:rPr>
                <w:rFonts w:eastAsia="方正仿宋_GBK"/>
                <w:color w:val="000000"/>
                <w:spacing w:val="-2"/>
                <w:sz w:val="24"/>
              </w:rPr>
              <w:t xml:space="preserve">  </w:t>
            </w:r>
            <w:r>
              <w:rPr>
                <w:rFonts w:hint="eastAsia" w:ascii="Times New Roman" w:hAnsi="Times New Roman"/>
                <w:color w:val="000000"/>
                <w:spacing w:val="-2"/>
                <w:sz w:val="24"/>
              </w:rPr>
              <w:t>××××</w:t>
            </w:r>
            <w:r>
              <w:rPr>
                <w:rFonts w:hint="eastAsia" w:eastAsia="方正仿宋_GBK"/>
                <w:color w:val="000000"/>
                <w:spacing w:val="-2"/>
                <w:sz w:val="24"/>
              </w:rPr>
              <w:t>年</w:t>
            </w:r>
            <w:r>
              <w:rPr>
                <w:rFonts w:hint="eastAsia" w:ascii="Times New Roman" w:hAnsi="Times New Roman"/>
                <w:color w:val="000000"/>
                <w:spacing w:val="-2"/>
                <w:sz w:val="24"/>
              </w:rPr>
              <w:t>××</w:t>
            </w:r>
            <w:r>
              <w:rPr>
                <w:rFonts w:hint="eastAsia" w:eastAsia="方正仿宋_GBK"/>
                <w:color w:val="000000"/>
                <w:spacing w:val="-2"/>
                <w:sz w:val="24"/>
              </w:rPr>
              <w:t>月</w:t>
            </w:r>
            <w:r>
              <w:rPr>
                <w:rFonts w:hint="eastAsia" w:ascii="Times New Roman" w:hAnsi="Times New Roman"/>
                <w:color w:val="000000"/>
                <w:spacing w:val="-2"/>
                <w:sz w:val="24"/>
              </w:rPr>
              <w:t>××</w:t>
            </w:r>
            <w:r>
              <w:rPr>
                <w:rFonts w:hint="eastAsia" w:eastAsia="方正仿宋_GBK"/>
                <w:color w:val="000000"/>
                <w:spacing w:val="-2"/>
                <w:sz w:val="24"/>
              </w:rPr>
              <w:t>日</w:t>
            </w:r>
          </w:p>
          <w:p>
            <w:pPr>
              <w:spacing w:before="120" w:beforeLines="50"/>
              <w:ind w:firstLine="346" w:firstLineChars="147"/>
              <w:jc w:val="left"/>
              <w:rPr>
                <w:rFonts w:eastAsia="方正仿宋_GBK"/>
                <w:color w:val="000000"/>
                <w:spacing w:val="-2"/>
                <w:sz w:val="24"/>
              </w:rPr>
            </w:pPr>
            <w:r>
              <w:rPr>
                <w:rFonts w:hint="eastAsia" w:eastAsia="方正仿宋_GBK"/>
                <w:color w:val="000000"/>
                <w:spacing w:val="-2"/>
                <w:sz w:val="24"/>
              </w:rPr>
              <w:t>建设单位</w:t>
            </w:r>
            <w:r>
              <w:rPr>
                <w:rFonts w:eastAsia="方正仿宋_GBK"/>
                <w:color w:val="000000"/>
                <w:spacing w:val="-2"/>
                <w:sz w:val="24"/>
              </w:rPr>
              <w:t xml:space="preserve">   </w:t>
            </w:r>
            <w:r>
              <w:rPr>
                <w:rFonts w:hint="eastAsia" w:ascii="Times New Roman" w:hAnsi="Times New Roman"/>
                <w:color w:val="000000"/>
                <w:spacing w:val="-2"/>
                <w:sz w:val="24"/>
              </w:rPr>
              <w:t>×××××××××</w:t>
            </w:r>
            <w:r>
              <w:rPr>
                <w:rFonts w:eastAsia="方正仿宋_GBK"/>
                <w:color w:val="000000"/>
                <w:spacing w:val="-2"/>
                <w:sz w:val="24"/>
              </w:rPr>
              <w:t xml:space="preserve"> </w:t>
            </w:r>
            <w:r>
              <w:rPr>
                <w:rFonts w:hint="eastAsia" w:eastAsia="方正仿宋_GBK"/>
                <w:color w:val="000000"/>
                <w:spacing w:val="91"/>
                <w:kern w:val="0"/>
                <w:sz w:val="24"/>
              </w:rPr>
              <w:t>项目负责</w:t>
            </w:r>
            <w:r>
              <w:rPr>
                <w:rFonts w:hint="eastAsia" w:eastAsia="方正仿宋_GBK"/>
                <w:color w:val="000000"/>
                <w:spacing w:val="-1"/>
                <w:kern w:val="0"/>
                <w:sz w:val="24"/>
              </w:rPr>
              <w:t>人</w:t>
            </w:r>
            <w:r>
              <w:rPr>
                <w:rFonts w:eastAsia="方正仿宋_GBK"/>
                <w:color w:val="000000"/>
                <w:spacing w:val="-2"/>
                <w:sz w:val="24"/>
              </w:rPr>
              <w:t xml:space="preserve">  </w:t>
            </w:r>
            <w:r>
              <w:rPr>
                <w:rFonts w:hint="eastAsia" w:ascii="Times New Roman" w:hAnsi="Times New Roman"/>
                <w:color w:val="000000"/>
                <w:spacing w:val="-2"/>
                <w:sz w:val="24"/>
              </w:rPr>
              <w:t>×××</w:t>
            </w:r>
          </w:p>
          <w:p>
            <w:pPr>
              <w:spacing w:before="120" w:beforeLines="50"/>
              <w:ind w:firstLine="346" w:firstLineChars="147"/>
              <w:jc w:val="left"/>
              <w:rPr>
                <w:rFonts w:eastAsia="方正仿宋_GBK"/>
                <w:color w:val="000000"/>
                <w:spacing w:val="-2"/>
                <w:sz w:val="24"/>
              </w:rPr>
            </w:pPr>
            <w:r>
              <w:rPr>
                <w:rFonts w:hint="eastAsia" w:eastAsia="方正仿宋_GBK"/>
                <w:color w:val="000000"/>
                <w:spacing w:val="-2"/>
                <w:sz w:val="24"/>
              </w:rPr>
              <w:t>勘察单位</w:t>
            </w:r>
            <w:r>
              <w:rPr>
                <w:rFonts w:eastAsia="方正仿宋_GBK"/>
                <w:color w:val="000000"/>
                <w:spacing w:val="-2"/>
                <w:sz w:val="24"/>
              </w:rPr>
              <w:t xml:space="preserve">   </w:t>
            </w:r>
            <w:r>
              <w:rPr>
                <w:rFonts w:hint="eastAsia" w:ascii="Times New Roman" w:hAnsi="Times New Roman"/>
                <w:color w:val="000000"/>
                <w:spacing w:val="-2"/>
                <w:sz w:val="24"/>
              </w:rPr>
              <w:t>×××××××××</w:t>
            </w:r>
            <w:r>
              <w:rPr>
                <w:rFonts w:eastAsia="方正仿宋_GBK"/>
                <w:color w:val="000000"/>
                <w:spacing w:val="-2"/>
                <w:sz w:val="24"/>
              </w:rPr>
              <w:t xml:space="preserve"> </w:t>
            </w:r>
            <w:r>
              <w:rPr>
                <w:rFonts w:hint="eastAsia" w:eastAsia="方正仿宋_GBK"/>
                <w:color w:val="000000"/>
                <w:spacing w:val="91"/>
                <w:kern w:val="0"/>
                <w:sz w:val="24"/>
              </w:rPr>
              <w:t>项目负责</w:t>
            </w:r>
            <w:r>
              <w:rPr>
                <w:rFonts w:hint="eastAsia" w:eastAsia="方正仿宋_GBK"/>
                <w:color w:val="000000"/>
                <w:spacing w:val="-1"/>
                <w:kern w:val="0"/>
                <w:sz w:val="24"/>
              </w:rPr>
              <w:t>人</w:t>
            </w:r>
            <w:r>
              <w:rPr>
                <w:rFonts w:eastAsia="方正仿宋_GBK"/>
                <w:color w:val="000000"/>
                <w:spacing w:val="-2"/>
                <w:sz w:val="24"/>
              </w:rPr>
              <w:t xml:space="preserve">  </w:t>
            </w:r>
            <w:r>
              <w:rPr>
                <w:rFonts w:hint="eastAsia" w:ascii="Times New Roman" w:hAnsi="Times New Roman"/>
                <w:color w:val="000000"/>
                <w:spacing w:val="-2"/>
                <w:sz w:val="24"/>
              </w:rPr>
              <w:t>×××</w:t>
            </w:r>
          </w:p>
          <w:p>
            <w:pPr>
              <w:spacing w:before="120" w:beforeLines="50"/>
              <w:ind w:firstLine="346" w:firstLineChars="147"/>
              <w:jc w:val="left"/>
              <w:rPr>
                <w:rFonts w:eastAsia="方正仿宋_GBK"/>
                <w:color w:val="000000"/>
                <w:spacing w:val="-2"/>
                <w:sz w:val="24"/>
              </w:rPr>
            </w:pPr>
            <w:r>
              <w:rPr>
                <w:rFonts w:hint="eastAsia" w:eastAsia="方正仿宋_GBK"/>
                <w:color w:val="000000"/>
                <w:spacing w:val="-2"/>
                <w:sz w:val="24"/>
              </w:rPr>
              <w:t>设计单位</w:t>
            </w:r>
            <w:r>
              <w:rPr>
                <w:rFonts w:eastAsia="方正仿宋_GBK"/>
                <w:color w:val="000000"/>
                <w:spacing w:val="-2"/>
                <w:sz w:val="24"/>
              </w:rPr>
              <w:t xml:space="preserve">   </w:t>
            </w:r>
            <w:r>
              <w:rPr>
                <w:rFonts w:hint="eastAsia" w:ascii="Times New Roman" w:hAnsi="Times New Roman"/>
                <w:color w:val="000000"/>
                <w:spacing w:val="-2"/>
                <w:sz w:val="24"/>
              </w:rPr>
              <w:t>×××××××××</w:t>
            </w:r>
            <w:r>
              <w:rPr>
                <w:rFonts w:eastAsia="方正仿宋_GBK"/>
                <w:color w:val="000000"/>
                <w:spacing w:val="-2"/>
                <w:sz w:val="24"/>
              </w:rPr>
              <w:t xml:space="preserve"> </w:t>
            </w:r>
            <w:r>
              <w:rPr>
                <w:rFonts w:hint="eastAsia" w:eastAsia="方正仿宋_GBK"/>
                <w:color w:val="000000"/>
                <w:spacing w:val="91"/>
                <w:kern w:val="0"/>
                <w:sz w:val="24"/>
              </w:rPr>
              <w:t>项目负责</w:t>
            </w:r>
            <w:r>
              <w:rPr>
                <w:rFonts w:hint="eastAsia" w:eastAsia="方正仿宋_GBK"/>
                <w:color w:val="000000"/>
                <w:spacing w:val="-1"/>
                <w:kern w:val="0"/>
                <w:sz w:val="24"/>
              </w:rPr>
              <w:t>人</w:t>
            </w:r>
            <w:r>
              <w:rPr>
                <w:rFonts w:eastAsia="方正仿宋_GBK"/>
                <w:color w:val="000000"/>
                <w:spacing w:val="-2"/>
                <w:sz w:val="24"/>
              </w:rPr>
              <w:t xml:space="preserve">  </w:t>
            </w:r>
            <w:r>
              <w:rPr>
                <w:rFonts w:hint="eastAsia" w:ascii="Times New Roman" w:hAnsi="Times New Roman"/>
                <w:color w:val="000000"/>
                <w:spacing w:val="-2"/>
                <w:sz w:val="24"/>
              </w:rPr>
              <w:t>×××</w:t>
            </w:r>
          </w:p>
          <w:p>
            <w:pPr>
              <w:spacing w:before="120" w:beforeLines="50"/>
              <w:ind w:firstLine="346" w:firstLineChars="147"/>
              <w:jc w:val="left"/>
              <w:rPr>
                <w:rFonts w:eastAsia="方正仿宋_GBK"/>
                <w:color w:val="000000"/>
                <w:spacing w:val="-2"/>
                <w:sz w:val="24"/>
              </w:rPr>
            </w:pPr>
            <w:r>
              <w:rPr>
                <w:rFonts w:hint="eastAsia" w:eastAsia="方正仿宋_GBK"/>
                <w:color w:val="000000"/>
                <w:spacing w:val="-2"/>
                <w:sz w:val="24"/>
              </w:rPr>
              <w:t>施工单位</w:t>
            </w:r>
            <w:r>
              <w:rPr>
                <w:rFonts w:eastAsia="方正仿宋_GBK"/>
                <w:color w:val="000000"/>
                <w:spacing w:val="-2"/>
                <w:sz w:val="24"/>
              </w:rPr>
              <w:t xml:space="preserve">   </w:t>
            </w:r>
            <w:r>
              <w:rPr>
                <w:rFonts w:hint="eastAsia" w:ascii="Times New Roman" w:hAnsi="Times New Roman"/>
                <w:color w:val="000000"/>
                <w:spacing w:val="-2"/>
                <w:sz w:val="24"/>
              </w:rPr>
              <w:t>×××××××××</w:t>
            </w:r>
            <w:r>
              <w:rPr>
                <w:rFonts w:eastAsia="方正仿宋_GBK"/>
                <w:color w:val="000000"/>
                <w:spacing w:val="-2"/>
                <w:sz w:val="24"/>
              </w:rPr>
              <w:t xml:space="preserve"> </w:t>
            </w:r>
            <w:r>
              <w:rPr>
                <w:rFonts w:hint="eastAsia" w:eastAsia="方正仿宋_GBK"/>
                <w:color w:val="000000"/>
                <w:spacing w:val="91"/>
                <w:kern w:val="0"/>
                <w:sz w:val="24"/>
              </w:rPr>
              <w:t>项目负责</w:t>
            </w:r>
            <w:r>
              <w:rPr>
                <w:rFonts w:hint="eastAsia" w:eastAsia="方正仿宋_GBK"/>
                <w:color w:val="000000"/>
                <w:spacing w:val="-1"/>
                <w:kern w:val="0"/>
                <w:sz w:val="24"/>
              </w:rPr>
              <w:t>人</w:t>
            </w:r>
            <w:r>
              <w:rPr>
                <w:rFonts w:eastAsia="方正仿宋_GBK"/>
                <w:color w:val="000000"/>
                <w:spacing w:val="-2"/>
                <w:sz w:val="24"/>
              </w:rPr>
              <w:t xml:space="preserve">  </w:t>
            </w:r>
            <w:r>
              <w:rPr>
                <w:rFonts w:hint="eastAsia" w:ascii="Times New Roman" w:hAnsi="Times New Roman"/>
                <w:color w:val="000000"/>
                <w:spacing w:val="-2"/>
                <w:sz w:val="24"/>
              </w:rPr>
              <w:t>×××</w:t>
            </w:r>
          </w:p>
          <w:p>
            <w:pPr>
              <w:spacing w:before="120" w:beforeLines="50"/>
              <w:ind w:firstLine="346" w:firstLineChars="147"/>
              <w:jc w:val="left"/>
              <w:rPr>
                <w:rFonts w:eastAsia="方正仿宋_GBK"/>
                <w:color w:val="000000"/>
                <w:spacing w:val="-2"/>
                <w:sz w:val="24"/>
              </w:rPr>
            </w:pPr>
            <w:r>
              <w:rPr>
                <w:rFonts w:hint="eastAsia" w:eastAsia="方正仿宋_GBK"/>
                <w:color w:val="000000"/>
                <w:spacing w:val="-2"/>
                <w:sz w:val="24"/>
              </w:rPr>
              <w:t>监理单位</w:t>
            </w:r>
            <w:r>
              <w:rPr>
                <w:rFonts w:eastAsia="方正仿宋_GBK"/>
                <w:color w:val="000000"/>
                <w:spacing w:val="-2"/>
                <w:sz w:val="24"/>
              </w:rPr>
              <w:t xml:space="preserve">   </w:t>
            </w:r>
            <w:r>
              <w:rPr>
                <w:rFonts w:hint="eastAsia" w:ascii="Times New Roman" w:hAnsi="Times New Roman"/>
                <w:color w:val="000000"/>
                <w:spacing w:val="-2"/>
                <w:sz w:val="24"/>
              </w:rPr>
              <w:t>×××××××××</w:t>
            </w:r>
            <w:r>
              <w:rPr>
                <w:rFonts w:eastAsia="方正仿宋_GBK"/>
                <w:color w:val="000000"/>
                <w:spacing w:val="-2"/>
                <w:sz w:val="24"/>
              </w:rPr>
              <w:t xml:space="preserve"> </w:t>
            </w:r>
            <w:r>
              <w:rPr>
                <w:rFonts w:hint="eastAsia" w:eastAsia="方正仿宋_GBK"/>
                <w:color w:val="000000"/>
                <w:spacing w:val="-2"/>
                <w:sz w:val="24"/>
              </w:rPr>
              <w:t>总监理工程师</w:t>
            </w:r>
            <w:r>
              <w:rPr>
                <w:rFonts w:eastAsia="方正仿宋_GBK"/>
                <w:color w:val="000000"/>
                <w:spacing w:val="-2"/>
                <w:sz w:val="24"/>
              </w:rPr>
              <w:t xml:space="preserve">  </w:t>
            </w:r>
            <w:r>
              <w:rPr>
                <w:rFonts w:hint="eastAsia" w:ascii="Times New Roman" w:hAnsi="Times New Roman"/>
                <w:color w:val="000000"/>
                <w:spacing w:val="-2"/>
                <w:sz w:val="24"/>
              </w:rPr>
              <w:t>×××</w:t>
            </w:r>
          </w:p>
        </w:tc>
      </w:tr>
    </w:tbl>
    <w:p>
      <w:pPr>
        <w:rPr>
          <w:color w:val="000000"/>
          <w:spacing w:val="-2"/>
          <w:sz w:val="32"/>
          <w:szCs w:val="32"/>
        </w:rPr>
      </w:pPr>
    </w:p>
    <w:p>
      <w:pPr>
        <w:spacing w:line="460" w:lineRule="exact"/>
        <w:rPr>
          <w:rFonts w:eastAsia="方正仿宋_GBK"/>
          <w:color w:val="000000"/>
          <w:spacing w:val="-2"/>
          <w:sz w:val="24"/>
        </w:rPr>
      </w:pPr>
    </w:p>
    <w:p>
      <w:pPr>
        <w:spacing w:line="460" w:lineRule="exact"/>
        <w:rPr>
          <w:rFonts w:eastAsia="方正仿宋_GBK"/>
          <w:color w:val="000000"/>
          <w:spacing w:val="-2"/>
          <w:sz w:val="24"/>
        </w:rPr>
      </w:pPr>
    </w:p>
    <w:p/>
    <w:p/>
    <w:p/>
    <w:p/>
    <w:p/>
    <w:p/>
    <w:p/>
    <w:p/>
    <w:p/>
    <w:p/>
    <w:p/>
    <w:p/>
    <w:p/>
    <w:p/>
    <w:p>
      <w:pPr>
        <w:pStyle w:val="2"/>
        <w:spacing w:before="240" w:beforeLines="100" w:after="240" w:afterLines="100" w:line="240" w:lineRule="auto"/>
        <w:jc w:val="center"/>
        <w:rPr>
          <w:rFonts w:ascii="Times New Roman" w:eastAsia="方正小标宋_GBK"/>
          <w:b w:val="0"/>
          <w:sz w:val="36"/>
          <w:szCs w:val="36"/>
        </w:rPr>
      </w:pPr>
      <w:bookmarkStart w:id="604" w:name="_Toc18315750"/>
      <w:bookmarkStart w:id="605" w:name="_Toc20726609"/>
      <w:r>
        <w:rPr>
          <w:rFonts w:hint="eastAsia" w:ascii="Times New Roman" w:eastAsia="方正小标宋_GBK"/>
          <w:b w:val="0"/>
          <w:sz w:val="36"/>
          <w:szCs w:val="36"/>
        </w:rPr>
        <w:t>省住房城乡建设厅关于印发《江苏省优质工程奖“扬子杯”评选办法》的通知</w:t>
      </w:r>
      <w:bookmarkEnd w:id="604"/>
      <w:bookmarkEnd w:id="605"/>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606" w:name="_Toc20726610"/>
      <w:bookmarkStart w:id="607" w:name="_Toc18315751"/>
      <w:r>
        <w:rPr>
          <w:rFonts w:hint="eastAsia" w:ascii="Times New Roman" w:hAnsi="Times New Roman" w:eastAsia="方正楷体_GBK"/>
          <w:b w:val="0"/>
          <w:sz w:val="24"/>
          <w:szCs w:val="24"/>
        </w:rPr>
        <w:t>苏建规字〔</w:t>
      </w:r>
      <w:r>
        <w:rPr>
          <w:rFonts w:ascii="Times New Roman" w:hAnsi="Times New Roman" w:eastAsia="方正楷体_GBK"/>
          <w:b w:val="0"/>
          <w:sz w:val="24"/>
          <w:szCs w:val="24"/>
        </w:rPr>
        <w:t>2015</w:t>
      </w:r>
      <w:r>
        <w:rPr>
          <w:rFonts w:hint="eastAsia" w:ascii="Times New Roman" w:hAnsi="Times New Roman" w:eastAsia="方正楷体_GBK"/>
          <w:b w:val="0"/>
          <w:sz w:val="24"/>
          <w:szCs w:val="24"/>
        </w:rPr>
        <w:t>〕</w:t>
      </w:r>
      <w:r>
        <w:rPr>
          <w:rFonts w:ascii="Times New Roman" w:hAnsi="Times New Roman" w:eastAsia="方正楷体_GBK"/>
          <w:b w:val="0"/>
          <w:sz w:val="24"/>
          <w:szCs w:val="24"/>
        </w:rPr>
        <w:t>2</w:t>
      </w:r>
      <w:r>
        <w:rPr>
          <w:rFonts w:hint="eastAsia" w:ascii="Times New Roman" w:hAnsi="Times New Roman" w:eastAsia="方正楷体_GBK"/>
          <w:b w:val="0"/>
          <w:sz w:val="24"/>
          <w:szCs w:val="24"/>
        </w:rPr>
        <w:t>号</w:t>
      </w:r>
      <w:bookmarkEnd w:id="606"/>
      <w:bookmarkEnd w:id="607"/>
    </w:p>
    <w:p>
      <w:pPr>
        <w:spacing w:line="460" w:lineRule="exact"/>
        <w:rPr>
          <w:rFonts w:eastAsia="方正仿宋_GBK"/>
          <w:color w:val="000000"/>
          <w:spacing w:val="-2"/>
          <w:sz w:val="24"/>
        </w:rPr>
      </w:pPr>
      <w:r>
        <w:rPr>
          <w:rFonts w:hint="eastAsia" w:eastAsia="方正仿宋_GBK"/>
          <w:color w:val="000000"/>
          <w:spacing w:val="-2"/>
          <w:sz w:val="24"/>
        </w:rPr>
        <w:t>各省辖市建设局（委）、市政公用局、园林局、城管局，省有关部门：</w:t>
      </w:r>
    </w:p>
    <w:p>
      <w:pPr>
        <w:spacing w:line="460" w:lineRule="exact"/>
        <w:ind w:firstLine="462" w:firstLineChars="196"/>
        <w:rPr>
          <w:rFonts w:eastAsia="方正仿宋_GBK"/>
          <w:color w:val="000000"/>
          <w:spacing w:val="-2"/>
          <w:sz w:val="24"/>
        </w:rPr>
      </w:pPr>
      <w:r>
        <w:rPr>
          <w:rFonts w:hint="eastAsia" w:eastAsia="方正仿宋_GBK"/>
          <w:color w:val="000000"/>
          <w:spacing w:val="-2"/>
          <w:sz w:val="24"/>
        </w:rPr>
        <w:t>江苏省优质工程奖为江苏省人民政府确定的行政奖励。为规范评审工作，现将《江苏省优质工程奖</w:t>
      </w:r>
      <w:r>
        <w:rPr>
          <w:rFonts w:eastAsia="方正仿宋_GBK"/>
          <w:color w:val="000000"/>
          <w:spacing w:val="-2"/>
          <w:sz w:val="24"/>
        </w:rPr>
        <w:t>“</w:t>
      </w:r>
      <w:r>
        <w:rPr>
          <w:rFonts w:hint="eastAsia" w:eastAsia="方正仿宋_GBK"/>
          <w:color w:val="000000"/>
          <w:spacing w:val="-2"/>
          <w:sz w:val="24"/>
        </w:rPr>
        <w:t>扬子杯</w:t>
      </w:r>
      <w:r>
        <w:rPr>
          <w:rFonts w:eastAsia="方正仿宋_GBK"/>
          <w:color w:val="000000"/>
          <w:spacing w:val="-2"/>
          <w:sz w:val="24"/>
        </w:rPr>
        <w:t>”</w:t>
      </w:r>
      <w:r>
        <w:rPr>
          <w:rFonts w:hint="eastAsia" w:eastAsia="方正仿宋_GBK"/>
          <w:color w:val="000000"/>
          <w:spacing w:val="-2"/>
          <w:sz w:val="24"/>
        </w:rPr>
        <w:t>评选办法》印发给你们，请遵照执行。</w:t>
      </w:r>
    </w:p>
    <w:p>
      <w:pPr>
        <w:spacing w:line="460" w:lineRule="exact"/>
        <w:ind w:firstLine="462" w:firstLineChars="196"/>
        <w:rPr>
          <w:rFonts w:eastAsia="方正仿宋_GBK"/>
          <w:color w:val="000000"/>
          <w:spacing w:val="-2"/>
          <w:sz w:val="24"/>
        </w:rPr>
      </w:pPr>
    </w:p>
    <w:p>
      <w:pPr>
        <w:autoSpaceDE w:val="0"/>
        <w:autoSpaceDN w:val="0"/>
        <w:snapToGrid w:val="0"/>
        <w:spacing w:line="460" w:lineRule="exact"/>
        <w:ind w:firstLine="624"/>
        <w:rPr>
          <w:rFonts w:eastAsia="方正仿宋_GBK"/>
          <w:color w:val="000000"/>
          <w:spacing w:val="-2"/>
          <w:sz w:val="24"/>
        </w:rPr>
      </w:pPr>
      <w:r>
        <w:rPr>
          <w:rFonts w:hint="eastAsia" w:eastAsia="方正仿宋_GBK"/>
          <w:color w:val="000000"/>
          <w:spacing w:val="-2"/>
          <w:sz w:val="24"/>
        </w:rPr>
        <w:t>附件：《江苏省优质工程奖</w:t>
      </w:r>
      <w:r>
        <w:rPr>
          <w:rFonts w:eastAsia="方正仿宋_GBK"/>
          <w:color w:val="000000"/>
          <w:spacing w:val="-2"/>
          <w:sz w:val="24"/>
        </w:rPr>
        <w:t>“</w:t>
      </w:r>
      <w:r>
        <w:rPr>
          <w:rFonts w:hint="eastAsia" w:eastAsia="方正仿宋_GBK"/>
          <w:color w:val="000000"/>
          <w:spacing w:val="-2"/>
          <w:sz w:val="24"/>
        </w:rPr>
        <w:t>扬子杯</w:t>
      </w:r>
      <w:r>
        <w:rPr>
          <w:rFonts w:eastAsia="方正仿宋_GBK"/>
          <w:color w:val="000000"/>
          <w:spacing w:val="-2"/>
          <w:sz w:val="24"/>
        </w:rPr>
        <w:t>”</w:t>
      </w:r>
      <w:r>
        <w:rPr>
          <w:rFonts w:hint="eastAsia" w:eastAsia="方正仿宋_GBK"/>
          <w:color w:val="000000"/>
          <w:spacing w:val="-2"/>
          <w:sz w:val="24"/>
        </w:rPr>
        <w:t>评选办法》</w:t>
      </w:r>
    </w:p>
    <w:p>
      <w:pPr>
        <w:autoSpaceDE w:val="0"/>
        <w:autoSpaceDN w:val="0"/>
        <w:snapToGrid w:val="0"/>
        <w:spacing w:line="460" w:lineRule="exact"/>
        <w:ind w:firstLine="624"/>
        <w:rPr>
          <w:rFonts w:eastAsia="方正仿宋_GBK"/>
          <w:snapToGrid w:val="0"/>
          <w:color w:val="000000"/>
          <w:spacing w:val="-2"/>
          <w:kern w:val="0"/>
          <w:sz w:val="24"/>
        </w:rPr>
      </w:pPr>
    </w:p>
    <w:p>
      <w:pPr>
        <w:tabs>
          <w:tab w:val="left" w:pos="1442"/>
        </w:tabs>
        <w:autoSpaceDE w:val="0"/>
        <w:autoSpaceDN w:val="0"/>
        <w:adjustRightInd w:val="0"/>
        <w:snapToGrid w:val="0"/>
        <w:spacing w:line="460" w:lineRule="exact"/>
        <w:ind w:left="3045" w:leftChars="1450" w:right="498" w:rightChars="237" w:firstLine="1387" w:firstLineChars="588"/>
        <w:jc w:val="right"/>
        <w:rPr>
          <w:rFonts w:eastAsia="方正仿宋_GBK"/>
          <w:color w:val="000000"/>
          <w:spacing w:val="-2"/>
          <w:sz w:val="24"/>
        </w:rPr>
      </w:pPr>
      <w:r>
        <w:rPr>
          <w:rFonts w:hint="eastAsia" w:eastAsia="方正仿宋_GBK"/>
          <w:color w:val="000000"/>
          <w:spacing w:val="-2"/>
          <w:sz w:val="24"/>
        </w:rPr>
        <w:t>江苏省住房和城乡建设厅</w:t>
      </w:r>
      <w:r>
        <w:rPr>
          <w:rFonts w:eastAsia="方正仿宋_GBK"/>
          <w:color w:val="000000"/>
          <w:spacing w:val="-2"/>
          <w:sz w:val="24"/>
        </w:rPr>
        <w:t xml:space="preserve">    </w:t>
      </w:r>
    </w:p>
    <w:p>
      <w:pPr>
        <w:autoSpaceDE w:val="0"/>
        <w:autoSpaceDN w:val="0"/>
        <w:adjustRightInd w:val="0"/>
        <w:snapToGrid w:val="0"/>
        <w:spacing w:line="460" w:lineRule="exact"/>
        <w:ind w:left="3045" w:leftChars="1450" w:right="958" w:rightChars="456"/>
        <w:jc w:val="right"/>
        <w:rPr>
          <w:rFonts w:eastAsia="方正仿宋_GBK"/>
          <w:color w:val="000000"/>
          <w:spacing w:val="-2"/>
          <w:sz w:val="24"/>
        </w:rPr>
      </w:pPr>
      <w:r>
        <w:rPr>
          <w:rFonts w:eastAsia="方正仿宋_GBK"/>
          <w:color w:val="000000"/>
          <w:spacing w:val="-2"/>
          <w:sz w:val="24"/>
        </w:rPr>
        <w:t xml:space="preserve">        2015</w:t>
      </w:r>
      <w:r>
        <w:rPr>
          <w:rFonts w:hint="eastAsia" w:eastAsia="方正仿宋_GBK"/>
          <w:color w:val="000000"/>
          <w:spacing w:val="-2"/>
          <w:sz w:val="24"/>
        </w:rPr>
        <w:t>年</w:t>
      </w:r>
      <w:r>
        <w:rPr>
          <w:rFonts w:eastAsia="方正仿宋_GBK"/>
          <w:color w:val="000000"/>
          <w:spacing w:val="-2"/>
          <w:sz w:val="24"/>
        </w:rPr>
        <w:t>8</w:t>
      </w:r>
      <w:r>
        <w:rPr>
          <w:rFonts w:hint="eastAsia" w:eastAsia="方正仿宋_GBK"/>
          <w:color w:val="000000"/>
          <w:spacing w:val="-2"/>
          <w:sz w:val="24"/>
        </w:rPr>
        <w:t>月</w:t>
      </w:r>
      <w:r>
        <w:rPr>
          <w:rFonts w:eastAsia="方正仿宋_GBK"/>
          <w:color w:val="000000"/>
          <w:spacing w:val="-2"/>
          <w:sz w:val="24"/>
        </w:rPr>
        <w:t>13</w:t>
      </w:r>
      <w:r>
        <w:rPr>
          <w:rFonts w:hint="eastAsia" w:eastAsia="方正仿宋_GBK"/>
          <w:color w:val="000000"/>
          <w:spacing w:val="-2"/>
          <w:sz w:val="24"/>
        </w:rPr>
        <w:t>日</w:t>
      </w:r>
      <w:r>
        <w:rPr>
          <w:rFonts w:eastAsia="方正仿宋_GBK"/>
          <w:color w:val="000000"/>
          <w:spacing w:val="-2"/>
          <w:sz w:val="24"/>
        </w:rPr>
        <w:t xml:space="preserve">       </w:t>
      </w:r>
    </w:p>
    <w:p>
      <w:pPr>
        <w:spacing w:line="460" w:lineRule="exact"/>
        <w:rPr>
          <w:rFonts w:eastAsia="方正仿宋_GBK"/>
          <w:color w:val="000000"/>
          <w:spacing w:val="-2"/>
          <w:sz w:val="24"/>
        </w:rPr>
      </w:pPr>
    </w:p>
    <w:p>
      <w:pPr>
        <w:spacing w:line="460" w:lineRule="exact"/>
        <w:rPr>
          <w:rFonts w:eastAsia="方正仿宋_GBK"/>
          <w:color w:val="000000"/>
          <w:spacing w:val="-2"/>
          <w:sz w:val="24"/>
        </w:rPr>
      </w:pPr>
    </w:p>
    <w:p>
      <w:pPr>
        <w:spacing w:line="460" w:lineRule="exact"/>
        <w:jc w:val="center"/>
        <w:rPr>
          <w:rFonts w:ascii="Times New Roman" w:eastAsia="方正黑体_GBK"/>
          <w:color w:val="000000"/>
          <w:spacing w:val="-2"/>
          <w:sz w:val="36"/>
          <w:szCs w:val="36"/>
        </w:rPr>
      </w:pPr>
      <w:r>
        <w:rPr>
          <w:rFonts w:hint="eastAsia" w:ascii="Times New Roman" w:eastAsia="方正黑体_GBK"/>
          <w:color w:val="000000"/>
          <w:spacing w:val="-2"/>
          <w:sz w:val="36"/>
          <w:szCs w:val="36"/>
        </w:rPr>
        <w:t>江苏省优质工程奖“扬子杯”评选办法</w:t>
      </w:r>
    </w:p>
    <w:p>
      <w:pPr>
        <w:spacing w:line="460" w:lineRule="exact"/>
        <w:rPr>
          <w:rFonts w:hint="eastAsia" w:eastAsia="方正仿宋_GBK"/>
          <w:b/>
          <w:color w:val="000000"/>
          <w:spacing w:val="-2"/>
          <w:sz w:val="24"/>
        </w:rPr>
      </w:pPr>
    </w:p>
    <w:p>
      <w:pPr>
        <w:spacing w:line="460" w:lineRule="exact"/>
        <w:jc w:val="center"/>
        <w:rPr>
          <w:rFonts w:ascii="Times New Roman" w:eastAsia="方正黑体_GBK"/>
          <w:color w:val="000000"/>
          <w:spacing w:val="-2"/>
          <w:sz w:val="24"/>
        </w:rPr>
      </w:pPr>
      <w:r>
        <w:rPr>
          <w:rFonts w:hint="eastAsia" w:ascii="Times New Roman" w:eastAsia="方正黑体_GBK"/>
          <w:color w:val="000000"/>
          <w:spacing w:val="-2"/>
          <w:sz w:val="24"/>
        </w:rPr>
        <w:t>第一章  总 则</w:t>
      </w:r>
    </w:p>
    <w:p>
      <w:pPr>
        <w:spacing w:line="460" w:lineRule="exact"/>
        <w:ind w:firstLine="464" w:firstLineChars="196"/>
        <w:rPr>
          <w:rFonts w:hint="eastAsia" w:eastAsia="方正仿宋_GBK"/>
          <w:b/>
          <w:color w:val="000000"/>
          <w:spacing w:val="-2"/>
          <w:sz w:val="24"/>
        </w:rPr>
      </w:pPr>
    </w:p>
    <w:p>
      <w:pPr>
        <w:spacing w:line="460" w:lineRule="exact"/>
        <w:ind w:firstLine="462" w:firstLineChars="196"/>
        <w:rPr>
          <w:rFonts w:eastAsia="方正仿宋_GBK"/>
          <w:color w:val="000000"/>
          <w:spacing w:val="-2"/>
          <w:sz w:val="24"/>
        </w:rPr>
      </w:pPr>
      <w:r>
        <w:rPr>
          <w:rFonts w:hint="eastAsia" w:ascii="Times New Roman" w:eastAsia="方正黑体_GBK"/>
          <w:color w:val="000000"/>
          <w:spacing w:val="-2"/>
          <w:sz w:val="24"/>
        </w:rPr>
        <w:t>第一条</w:t>
      </w:r>
      <w:r>
        <w:rPr>
          <w:rFonts w:eastAsia="方正仿宋_GBK"/>
          <w:b/>
          <w:color w:val="000000"/>
          <w:spacing w:val="-2"/>
          <w:sz w:val="24"/>
        </w:rPr>
        <w:t xml:space="preserve">  </w:t>
      </w:r>
      <w:r>
        <w:rPr>
          <w:rFonts w:hint="eastAsia" w:eastAsia="方正仿宋_GBK"/>
          <w:color w:val="000000"/>
          <w:spacing w:val="-2"/>
          <w:sz w:val="24"/>
        </w:rPr>
        <w:t>为推动建设工程质量水平提升，促进建设行业科技进步，规范江苏省优质工程奖</w:t>
      </w:r>
      <w:r>
        <w:rPr>
          <w:rFonts w:eastAsia="方正仿宋_GBK"/>
          <w:color w:val="000000"/>
          <w:spacing w:val="-2"/>
          <w:sz w:val="24"/>
        </w:rPr>
        <w:t>“</w:t>
      </w:r>
      <w:r>
        <w:rPr>
          <w:rFonts w:hint="eastAsia" w:eastAsia="方正仿宋_GBK"/>
          <w:color w:val="000000"/>
          <w:spacing w:val="-2"/>
          <w:sz w:val="24"/>
        </w:rPr>
        <w:t>扬子杯</w:t>
      </w:r>
      <w:r>
        <w:rPr>
          <w:rFonts w:eastAsia="方正仿宋_GBK"/>
          <w:color w:val="000000"/>
          <w:spacing w:val="-2"/>
          <w:sz w:val="24"/>
        </w:rPr>
        <w:t>”</w:t>
      </w:r>
      <w:r>
        <w:rPr>
          <w:rFonts w:hint="eastAsia" w:eastAsia="方正仿宋_GBK"/>
          <w:color w:val="000000"/>
          <w:spacing w:val="-2"/>
          <w:sz w:val="24"/>
        </w:rPr>
        <w:t>评选活动，制定本办法。</w:t>
      </w:r>
    </w:p>
    <w:p>
      <w:pPr>
        <w:spacing w:line="460" w:lineRule="exact"/>
        <w:ind w:firstLine="462" w:firstLineChars="196"/>
        <w:rPr>
          <w:rFonts w:eastAsia="方正仿宋_GBK"/>
          <w:color w:val="000000"/>
          <w:spacing w:val="-2"/>
          <w:sz w:val="24"/>
        </w:rPr>
      </w:pPr>
      <w:r>
        <w:rPr>
          <w:rFonts w:hint="eastAsia" w:ascii="Times New Roman" w:eastAsia="方正黑体_GBK"/>
          <w:color w:val="000000"/>
          <w:spacing w:val="-2"/>
          <w:sz w:val="24"/>
        </w:rPr>
        <w:t>第二条</w:t>
      </w:r>
      <w:r>
        <w:rPr>
          <w:rFonts w:eastAsia="方正仿宋_GBK"/>
          <w:color w:val="000000"/>
          <w:spacing w:val="-2"/>
          <w:sz w:val="24"/>
        </w:rPr>
        <w:t xml:space="preserve">  </w:t>
      </w:r>
      <w:r>
        <w:rPr>
          <w:rFonts w:hint="eastAsia" w:eastAsia="方正仿宋_GBK"/>
          <w:color w:val="000000"/>
          <w:spacing w:val="-2"/>
          <w:sz w:val="24"/>
        </w:rPr>
        <w:t>江苏省优质工程奖</w:t>
      </w:r>
      <w:r>
        <w:rPr>
          <w:rFonts w:eastAsia="方正仿宋_GBK"/>
          <w:color w:val="000000"/>
          <w:spacing w:val="-2"/>
          <w:sz w:val="24"/>
        </w:rPr>
        <w:t>“</w:t>
      </w:r>
      <w:r>
        <w:rPr>
          <w:rFonts w:hint="eastAsia" w:eastAsia="方正仿宋_GBK"/>
          <w:color w:val="000000"/>
          <w:spacing w:val="-2"/>
          <w:sz w:val="24"/>
        </w:rPr>
        <w:t>扬子杯</w:t>
      </w:r>
      <w:r>
        <w:rPr>
          <w:rFonts w:eastAsia="方正仿宋_GBK"/>
          <w:color w:val="000000"/>
          <w:spacing w:val="-2"/>
          <w:sz w:val="24"/>
        </w:rPr>
        <w:t>”</w:t>
      </w:r>
      <w:r>
        <w:rPr>
          <w:rFonts w:hint="eastAsia" w:eastAsia="方正仿宋_GBK"/>
          <w:color w:val="000000"/>
          <w:spacing w:val="-2"/>
          <w:sz w:val="24"/>
        </w:rPr>
        <w:t>（以下简称扬子杯）是江苏省建设工程质量最高奖。</w:t>
      </w:r>
    </w:p>
    <w:p>
      <w:pPr>
        <w:spacing w:line="460" w:lineRule="exact"/>
        <w:ind w:firstLine="462" w:firstLineChars="196"/>
        <w:rPr>
          <w:rFonts w:eastAsia="方正仿宋_GBK"/>
          <w:color w:val="000000"/>
          <w:spacing w:val="-2"/>
          <w:sz w:val="24"/>
        </w:rPr>
      </w:pPr>
      <w:r>
        <w:rPr>
          <w:rFonts w:hint="eastAsia" w:ascii="Times New Roman" w:eastAsia="方正黑体_GBK"/>
          <w:color w:val="000000"/>
          <w:spacing w:val="-2"/>
          <w:sz w:val="24"/>
        </w:rPr>
        <w:t>第三条</w:t>
      </w:r>
      <w:r>
        <w:rPr>
          <w:rFonts w:eastAsia="方正仿宋_GBK"/>
          <w:b/>
          <w:color w:val="000000"/>
          <w:spacing w:val="-2"/>
          <w:sz w:val="24"/>
        </w:rPr>
        <w:t xml:space="preserve">  </w:t>
      </w:r>
      <w:r>
        <w:rPr>
          <w:rFonts w:hint="eastAsia" w:eastAsia="方正仿宋_GBK"/>
          <w:color w:val="000000"/>
          <w:spacing w:val="-2"/>
          <w:sz w:val="24"/>
        </w:rPr>
        <w:t>扬子杯的评选范围为本省行政区域内完成竣工验收并交付使用一年以上的房屋建筑、市政、园林、城市轨道交通、交通、水利、电力、通信等建设工程项目（以下简称</w:t>
      </w:r>
      <w:r>
        <w:rPr>
          <w:rFonts w:eastAsia="方正仿宋_GBK"/>
          <w:color w:val="000000"/>
          <w:spacing w:val="-2"/>
          <w:sz w:val="24"/>
        </w:rPr>
        <w:t>“</w:t>
      </w:r>
      <w:r>
        <w:rPr>
          <w:rFonts w:hint="eastAsia" w:eastAsia="方正仿宋_GBK"/>
          <w:color w:val="000000"/>
          <w:spacing w:val="-2"/>
          <w:sz w:val="24"/>
        </w:rPr>
        <w:t>建设工程项目</w:t>
      </w:r>
      <w:r>
        <w:rPr>
          <w:rFonts w:eastAsia="方正仿宋_GBK"/>
          <w:color w:val="000000"/>
          <w:spacing w:val="-2"/>
          <w:sz w:val="24"/>
        </w:rPr>
        <w:t>”</w:t>
      </w:r>
      <w:r>
        <w:rPr>
          <w:rFonts w:hint="eastAsia" w:eastAsia="方正仿宋_GBK"/>
          <w:color w:val="000000"/>
          <w:spacing w:val="-2"/>
          <w:sz w:val="24"/>
        </w:rPr>
        <w:t>）以及装饰、安装、钢结构等专业工程项目（以下简称</w:t>
      </w:r>
      <w:r>
        <w:rPr>
          <w:rFonts w:eastAsia="方正仿宋_GBK"/>
          <w:color w:val="000000"/>
          <w:spacing w:val="-2"/>
          <w:sz w:val="24"/>
        </w:rPr>
        <w:t>“</w:t>
      </w:r>
      <w:r>
        <w:rPr>
          <w:rFonts w:hint="eastAsia" w:eastAsia="方正仿宋_GBK"/>
          <w:color w:val="000000"/>
          <w:spacing w:val="-2"/>
          <w:sz w:val="24"/>
        </w:rPr>
        <w:t>专业工程项目</w:t>
      </w:r>
      <w:r>
        <w:rPr>
          <w:rFonts w:eastAsia="方正仿宋_GBK"/>
          <w:color w:val="000000"/>
          <w:spacing w:val="-2"/>
          <w:sz w:val="24"/>
        </w:rPr>
        <w:t>”</w:t>
      </w:r>
      <w:r>
        <w:rPr>
          <w:rFonts w:hint="eastAsia" w:eastAsia="方正仿宋_GBK"/>
          <w:color w:val="000000"/>
          <w:spacing w:val="-2"/>
          <w:sz w:val="24"/>
        </w:rPr>
        <w:t>）。</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已获得扬子杯的建设工程项目，其所属专业工程项目不再另行奖励。</w:t>
      </w:r>
    </w:p>
    <w:p>
      <w:pPr>
        <w:shd w:val="clear" w:color="auto" w:fill="FFFFFF"/>
        <w:spacing w:line="460" w:lineRule="exact"/>
        <w:ind w:firstLine="472" w:firstLineChars="200"/>
        <w:jc w:val="left"/>
        <w:rPr>
          <w:rFonts w:eastAsia="方正仿宋_GBK"/>
          <w:color w:val="000000"/>
          <w:spacing w:val="-2"/>
          <w:sz w:val="24"/>
        </w:rPr>
      </w:pPr>
      <w:r>
        <w:rPr>
          <w:rFonts w:hint="eastAsia" w:ascii="Times New Roman" w:eastAsia="方正黑体_GBK"/>
          <w:color w:val="000000"/>
          <w:spacing w:val="-2"/>
          <w:sz w:val="24"/>
        </w:rPr>
        <w:t>第四条</w:t>
      </w:r>
      <w:r>
        <w:rPr>
          <w:rFonts w:eastAsia="方正仿宋_GBK"/>
          <w:color w:val="000000"/>
          <w:spacing w:val="-2"/>
          <w:sz w:val="24"/>
        </w:rPr>
        <w:t xml:space="preserve">  </w:t>
      </w:r>
      <w:r>
        <w:rPr>
          <w:rFonts w:hint="eastAsia" w:eastAsia="方正仿宋_GBK"/>
          <w:color w:val="000000"/>
          <w:spacing w:val="-2"/>
          <w:sz w:val="24"/>
        </w:rPr>
        <w:t>扬子杯评选遵循公开、公正和质量第一、优中选优的原则，优先授予绿色建筑以及实施绿色施工、建筑产业现代化、有重要技术创新的项目。</w:t>
      </w:r>
    </w:p>
    <w:p>
      <w:pPr>
        <w:spacing w:line="460" w:lineRule="exact"/>
        <w:ind w:firstLine="462" w:firstLineChars="196"/>
        <w:rPr>
          <w:rFonts w:eastAsia="方正仿宋_GBK"/>
          <w:color w:val="000000"/>
          <w:spacing w:val="-2"/>
          <w:sz w:val="24"/>
        </w:rPr>
      </w:pPr>
      <w:r>
        <w:rPr>
          <w:rFonts w:hint="eastAsia" w:ascii="Times New Roman" w:eastAsia="方正黑体_GBK"/>
          <w:color w:val="000000"/>
          <w:spacing w:val="-2"/>
          <w:sz w:val="24"/>
        </w:rPr>
        <w:t>第五条</w:t>
      </w:r>
      <w:r>
        <w:rPr>
          <w:rFonts w:eastAsia="方正仿宋_GBK"/>
          <w:color w:val="000000"/>
          <w:spacing w:val="-2"/>
          <w:sz w:val="24"/>
        </w:rPr>
        <w:t xml:space="preserve">  </w:t>
      </w:r>
      <w:r>
        <w:rPr>
          <w:rFonts w:hint="eastAsia" w:eastAsia="方正仿宋_GBK"/>
          <w:color w:val="000000"/>
          <w:spacing w:val="-2"/>
          <w:sz w:val="24"/>
        </w:rPr>
        <w:t>扬子杯每年评审一次，实行获奖项目总量控制。当年建设工程项目获奖总量不得超过上一年度竣工验收建设工程项目数量的百分之一；专业工程项目获奖总量不得超过建设工程项目获奖总量的百分之五十。</w:t>
      </w:r>
    </w:p>
    <w:p>
      <w:pPr>
        <w:shd w:val="clear" w:color="auto" w:fill="FFFFFF"/>
        <w:spacing w:line="460" w:lineRule="exact"/>
        <w:ind w:firstLine="472" w:firstLineChars="200"/>
        <w:jc w:val="left"/>
        <w:rPr>
          <w:rFonts w:eastAsia="方正仿宋_GBK"/>
          <w:color w:val="000000"/>
          <w:spacing w:val="-2"/>
          <w:sz w:val="24"/>
        </w:rPr>
      </w:pPr>
      <w:r>
        <w:rPr>
          <w:rFonts w:hint="eastAsia" w:ascii="Times New Roman" w:eastAsia="方正黑体_GBK"/>
          <w:color w:val="000000"/>
          <w:spacing w:val="-2"/>
          <w:sz w:val="24"/>
        </w:rPr>
        <w:t>第六条</w:t>
      </w:r>
      <w:r>
        <w:rPr>
          <w:rFonts w:eastAsia="方正仿宋_GBK"/>
          <w:b/>
          <w:color w:val="000000"/>
          <w:spacing w:val="-2"/>
          <w:sz w:val="24"/>
        </w:rPr>
        <w:t xml:space="preserve">  </w:t>
      </w:r>
      <w:r>
        <w:rPr>
          <w:rFonts w:hint="eastAsia" w:eastAsia="方正仿宋_GBK"/>
          <w:color w:val="000000"/>
          <w:spacing w:val="-2"/>
          <w:sz w:val="24"/>
        </w:rPr>
        <w:t>扬子杯奖励对象为获奖项目，以及获奖项目建设单位责任人、施工单位项目经理、监理单位总监理工程师等主要参与人员。</w:t>
      </w:r>
    </w:p>
    <w:p>
      <w:pPr>
        <w:spacing w:line="460" w:lineRule="exact"/>
        <w:ind w:firstLine="645"/>
        <w:rPr>
          <w:rFonts w:eastAsia="方正仿宋_GBK"/>
          <w:color w:val="000000"/>
          <w:spacing w:val="-2"/>
          <w:sz w:val="24"/>
        </w:rPr>
      </w:pPr>
      <w:r>
        <w:rPr>
          <w:rFonts w:hint="eastAsia" w:ascii="Times New Roman" w:eastAsia="方正黑体_GBK"/>
          <w:color w:val="000000"/>
          <w:spacing w:val="-2"/>
          <w:sz w:val="24"/>
        </w:rPr>
        <w:t>第七条</w:t>
      </w:r>
      <w:r>
        <w:rPr>
          <w:rFonts w:eastAsia="方正仿宋_GBK"/>
          <w:b/>
          <w:color w:val="000000"/>
          <w:spacing w:val="-2"/>
          <w:sz w:val="24"/>
        </w:rPr>
        <w:t xml:space="preserve">  </w:t>
      </w:r>
      <w:r>
        <w:rPr>
          <w:rFonts w:hint="eastAsia" w:eastAsia="方正仿宋_GBK"/>
          <w:color w:val="000000"/>
          <w:spacing w:val="-2"/>
          <w:sz w:val="24"/>
        </w:rPr>
        <w:t>扬子杯评选不收取任何费用。</w:t>
      </w:r>
    </w:p>
    <w:p>
      <w:pPr>
        <w:shd w:val="clear" w:color="auto" w:fill="FFFFFF"/>
        <w:spacing w:line="460" w:lineRule="exact"/>
        <w:ind w:firstLine="472" w:firstLineChars="200"/>
        <w:jc w:val="left"/>
        <w:rPr>
          <w:rFonts w:eastAsia="方正仿宋_GBK"/>
          <w:color w:val="000000"/>
          <w:spacing w:val="-2"/>
          <w:kern w:val="0"/>
          <w:sz w:val="24"/>
        </w:rPr>
      </w:pPr>
      <w:r>
        <w:rPr>
          <w:rFonts w:hint="eastAsia" w:eastAsia="方正仿宋_GBK"/>
          <w:color w:val="000000"/>
          <w:spacing w:val="-2"/>
          <w:kern w:val="0"/>
          <w:sz w:val="24"/>
        </w:rPr>
        <w:t>除本办法规定的现场查验外，任何单位和个人不得以扬子杯评选的名义对项目申报企业或项目现场进行检查。</w:t>
      </w:r>
    </w:p>
    <w:p>
      <w:pPr>
        <w:spacing w:line="460" w:lineRule="exact"/>
        <w:ind w:firstLine="462" w:firstLineChars="196"/>
        <w:rPr>
          <w:rFonts w:eastAsia="方正仿宋_GBK"/>
          <w:color w:val="000000"/>
          <w:spacing w:val="-2"/>
          <w:sz w:val="24"/>
        </w:rPr>
      </w:pPr>
      <w:r>
        <w:rPr>
          <w:rFonts w:hint="eastAsia" w:ascii="Times New Roman" w:eastAsia="方正黑体_GBK"/>
          <w:color w:val="000000"/>
          <w:spacing w:val="-2"/>
          <w:sz w:val="24"/>
        </w:rPr>
        <w:t>第八条</w:t>
      </w:r>
      <w:r>
        <w:rPr>
          <w:rFonts w:eastAsia="方正仿宋_GBK"/>
          <w:b/>
          <w:color w:val="000000"/>
          <w:spacing w:val="-2"/>
          <w:sz w:val="24"/>
        </w:rPr>
        <w:t xml:space="preserve">  </w:t>
      </w:r>
      <w:r>
        <w:rPr>
          <w:rFonts w:hint="eastAsia" w:eastAsia="方正仿宋_GBK"/>
          <w:color w:val="000000"/>
          <w:spacing w:val="-2"/>
          <w:sz w:val="24"/>
        </w:rPr>
        <w:t>扬子杯评选工作接受党委、政府、人大、政协以及社会各界的监督。</w:t>
      </w:r>
    </w:p>
    <w:p>
      <w:pPr>
        <w:spacing w:line="460" w:lineRule="exact"/>
        <w:ind w:firstLine="645"/>
        <w:rPr>
          <w:rFonts w:eastAsia="方正仿宋_GBK"/>
          <w:color w:val="000000"/>
          <w:spacing w:val="-2"/>
          <w:sz w:val="24"/>
        </w:rPr>
      </w:pPr>
    </w:p>
    <w:p>
      <w:pPr>
        <w:spacing w:line="460" w:lineRule="exact"/>
        <w:jc w:val="center"/>
        <w:rPr>
          <w:rFonts w:ascii="Times New Roman" w:eastAsia="方正黑体_GBK"/>
          <w:color w:val="000000"/>
          <w:spacing w:val="-2"/>
          <w:sz w:val="24"/>
        </w:rPr>
      </w:pPr>
      <w:r>
        <w:rPr>
          <w:rFonts w:hint="eastAsia" w:ascii="Times New Roman" w:eastAsia="方正黑体_GBK"/>
          <w:color w:val="000000"/>
          <w:spacing w:val="-2"/>
          <w:sz w:val="24"/>
        </w:rPr>
        <w:t>第二章  评选组织管理</w:t>
      </w:r>
    </w:p>
    <w:p>
      <w:pPr>
        <w:spacing w:line="460" w:lineRule="exact"/>
        <w:ind w:firstLine="462" w:firstLineChars="196"/>
        <w:rPr>
          <w:rFonts w:hint="eastAsia" w:eastAsia="方正仿宋_GBK"/>
          <w:color w:val="000000"/>
          <w:spacing w:val="-2"/>
          <w:sz w:val="24"/>
        </w:rPr>
      </w:pPr>
    </w:p>
    <w:p>
      <w:pPr>
        <w:spacing w:line="460" w:lineRule="exact"/>
        <w:ind w:firstLine="462" w:firstLineChars="196"/>
        <w:rPr>
          <w:rFonts w:eastAsia="方正仿宋_GBK"/>
          <w:color w:val="000000"/>
          <w:spacing w:val="-2"/>
          <w:sz w:val="24"/>
        </w:rPr>
      </w:pPr>
      <w:r>
        <w:rPr>
          <w:rFonts w:hint="eastAsia" w:ascii="Times New Roman" w:eastAsia="方正黑体_GBK"/>
          <w:color w:val="000000"/>
          <w:spacing w:val="-2"/>
          <w:sz w:val="24"/>
        </w:rPr>
        <w:t>第九条</w:t>
      </w:r>
      <w:r>
        <w:rPr>
          <w:rFonts w:eastAsia="方正仿宋_GBK"/>
          <w:b/>
          <w:color w:val="000000"/>
          <w:spacing w:val="-2"/>
          <w:sz w:val="24"/>
        </w:rPr>
        <w:t xml:space="preserve">  </w:t>
      </w:r>
      <w:r>
        <w:rPr>
          <w:rFonts w:hint="eastAsia" w:eastAsia="方正仿宋_GBK"/>
          <w:color w:val="000000"/>
          <w:spacing w:val="-2"/>
          <w:sz w:val="24"/>
        </w:rPr>
        <w:t>省住房城乡建设厅负责扬子杯的评选管理工作。具体工作由省住房城乡建设厅扬子杯评选委员会负责。评选委员会下设办公室，负责扬子杯评选组织工作。</w:t>
      </w:r>
    </w:p>
    <w:p>
      <w:pPr>
        <w:spacing w:line="460" w:lineRule="exact"/>
        <w:ind w:firstLine="462" w:firstLineChars="196"/>
        <w:rPr>
          <w:rFonts w:eastAsia="方正仿宋_GBK"/>
          <w:color w:val="000000"/>
          <w:spacing w:val="-2"/>
          <w:sz w:val="24"/>
        </w:rPr>
      </w:pPr>
      <w:r>
        <w:rPr>
          <w:rFonts w:hint="eastAsia" w:ascii="Times New Roman" w:eastAsia="方正黑体_GBK"/>
          <w:color w:val="000000"/>
          <w:spacing w:val="-2"/>
          <w:sz w:val="24"/>
        </w:rPr>
        <w:t>第十条</w:t>
      </w:r>
      <w:r>
        <w:rPr>
          <w:rFonts w:eastAsia="方正仿宋_GBK"/>
          <w:b/>
          <w:color w:val="000000"/>
          <w:spacing w:val="-2"/>
          <w:sz w:val="24"/>
        </w:rPr>
        <w:t xml:space="preserve">  </w:t>
      </w:r>
      <w:r>
        <w:rPr>
          <w:rFonts w:hint="eastAsia" w:eastAsia="方正仿宋_GBK"/>
          <w:color w:val="000000"/>
          <w:spacing w:val="-2"/>
          <w:sz w:val="24"/>
        </w:rPr>
        <w:t>扬子杯评选实行专业技术专家审查制度，参与专业技术审查活动的专家从厅扬子杯专家库中随机抽取。</w:t>
      </w:r>
    </w:p>
    <w:p>
      <w:pPr>
        <w:spacing w:line="460" w:lineRule="exact"/>
        <w:rPr>
          <w:rFonts w:eastAsia="方正仿宋_GBK"/>
          <w:color w:val="000000"/>
          <w:spacing w:val="-2"/>
          <w:sz w:val="24"/>
        </w:rPr>
      </w:pPr>
    </w:p>
    <w:p>
      <w:pPr>
        <w:spacing w:line="460" w:lineRule="exact"/>
        <w:jc w:val="center"/>
        <w:rPr>
          <w:rFonts w:ascii="Times New Roman" w:eastAsia="方正黑体_GBK"/>
          <w:color w:val="000000"/>
          <w:spacing w:val="-2"/>
          <w:sz w:val="24"/>
        </w:rPr>
      </w:pPr>
      <w:r>
        <w:rPr>
          <w:rFonts w:hint="eastAsia" w:ascii="Times New Roman" w:eastAsia="方正黑体_GBK"/>
          <w:color w:val="000000"/>
          <w:spacing w:val="-2"/>
          <w:sz w:val="24"/>
        </w:rPr>
        <w:t>第三章  申报条件</w:t>
      </w:r>
    </w:p>
    <w:p>
      <w:pPr>
        <w:spacing w:line="460" w:lineRule="exact"/>
        <w:ind w:firstLine="462" w:firstLineChars="196"/>
        <w:rPr>
          <w:rFonts w:hint="eastAsia" w:eastAsia="方正仿宋_GBK"/>
          <w:color w:val="000000"/>
          <w:spacing w:val="-2"/>
          <w:sz w:val="24"/>
        </w:rPr>
      </w:pPr>
    </w:p>
    <w:p>
      <w:pPr>
        <w:spacing w:line="460" w:lineRule="exact"/>
        <w:ind w:firstLine="462" w:firstLineChars="196"/>
        <w:rPr>
          <w:rFonts w:eastAsia="方正仿宋_GBK"/>
          <w:color w:val="000000"/>
          <w:spacing w:val="-2"/>
          <w:sz w:val="24"/>
        </w:rPr>
      </w:pPr>
      <w:r>
        <w:rPr>
          <w:rFonts w:hint="eastAsia" w:ascii="Times New Roman" w:eastAsia="方正黑体_GBK"/>
          <w:color w:val="000000"/>
          <w:spacing w:val="-2"/>
          <w:sz w:val="24"/>
        </w:rPr>
        <w:t>第十一条</w:t>
      </w:r>
      <w:r>
        <w:rPr>
          <w:rFonts w:eastAsia="方正仿宋_GBK"/>
          <w:color w:val="000000"/>
          <w:spacing w:val="-2"/>
          <w:sz w:val="24"/>
        </w:rPr>
        <w:t xml:space="preserve">  </w:t>
      </w:r>
      <w:r>
        <w:rPr>
          <w:rFonts w:hint="eastAsia" w:eastAsia="方正仿宋_GBK"/>
          <w:color w:val="000000"/>
          <w:spacing w:val="-2"/>
          <w:sz w:val="24"/>
        </w:rPr>
        <w:t>申报扬子杯的项目应当符合以下条件：</w:t>
      </w:r>
    </w:p>
    <w:p>
      <w:pPr>
        <w:spacing w:line="460" w:lineRule="exact"/>
        <w:ind w:firstLine="472" w:firstLineChars="200"/>
        <w:rPr>
          <w:rFonts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．符合法律法规要求，符合工程建设程序；</w:t>
      </w:r>
    </w:p>
    <w:p>
      <w:pPr>
        <w:spacing w:line="460" w:lineRule="exact"/>
        <w:ind w:firstLine="472" w:firstLineChars="200"/>
        <w:rPr>
          <w:rFonts w:eastAsia="方正仿宋_GBK"/>
          <w:color w:val="000000"/>
          <w:spacing w:val="-2"/>
          <w:kern w:val="0"/>
          <w:sz w:val="24"/>
        </w:rPr>
      </w:pPr>
      <w:r>
        <w:rPr>
          <w:rFonts w:eastAsia="方正仿宋_GBK"/>
          <w:color w:val="000000"/>
          <w:spacing w:val="-2"/>
          <w:sz w:val="24"/>
        </w:rPr>
        <w:t>2</w:t>
      </w:r>
      <w:r>
        <w:rPr>
          <w:rFonts w:hint="eastAsia" w:eastAsia="方正仿宋_GBK"/>
          <w:color w:val="000000"/>
          <w:spacing w:val="-2"/>
          <w:sz w:val="24"/>
        </w:rPr>
        <w:t>．工程设计符合国家强制性标准和行业技术标准、规范；凡</w:t>
      </w:r>
      <w:r>
        <w:rPr>
          <w:rFonts w:hint="eastAsia" w:eastAsia="方正仿宋_GBK"/>
          <w:color w:val="000000"/>
          <w:spacing w:val="-2"/>
          <w:kern w:val="0"/>
          <w:sz w:val="24"/>
        </w:rPr>
        <w:t>列入江苏省优秀勘察设计奖评选范围的房屋建筑、市政、园林等建设工程项目</w:t>
      </w:r>
      <w:r>
        <w:rPr>
          <w:rFonts w:hint="eastAsia" w:eastAsia="方正仿宋_GBK"/>
          <w:color w:val="000000"/>
          <w:spacing w:val="-2"/>
          <w:sz w:val="24"/>
        </w:rPr>
        <w:t>应获得省城乡建设系统优秀勘察设计以上奖励；</w:t>
      </w:r>
      <w:r>
        <w:rPr>
          <w:rFonts w:hint="eastAsia" w:eastAsia="方正仿宋_GBK"/>
          <w:color w:val="000000"/>
          <w:spacing w:val="-2"/>
          <w:kern w:val="0"/>
          <w:sz w:val="24"/>
        </w:rPr>
        <w:t>交通、水利等建设工程项目</w:t>
      </w:r>
      <w:r>
        <w:rPr>
          <w:rFonts w:hint="eastAsia" w:eastAsia="方正仿宋_GBK"/>
          <w:color w:val="000000"/>
          <w:spacing w:val="-2"/>
          <w:sz w:val="24"/>
        </w:rPr>
        <w:t>应获得省（部）级及以上优秀勘察设计奖。</w:t>
      </w:r>
    </w:p>
    <w:p>
      <w:pPr>
        <w:spacing w:line="460" w:lineRule="exact"/>
        <w:ind w:firstLine="472" w:firstLineChars="200"/>
        <w:rPr>
          <w:rFonts w:eastAsia="方正仿宋_GBK"/>
          <w:color w:val="000000"/>
          <w:spacing w:val="-2"/>
          <w:sz w:val="24"/>
        </w:rPr>
      </w:pPr>
      <w:r>
        <w:rPr>
          <w:rFonts w:eastAsia="方正仿宋_GBK"/>
          <w:color w:val="000000"/>
          <w:spacing w:val="-2"/>
          <w:sz w:val="24"/>
        </w:rPr>
        <w:t>3</w:t>
      </w:r>
      <w:r>
        <w:rPr>
          <w:rFonts w:hint="eastAsia" w:eastAsia="方正仿宋_GBK"/>
          <w:color w:val="000000"/>
          <w:spacing w:val="-2"/>
          <w:sz w:val="24"/>
        </w:rPr>
        <w:t>．工程施工工艺和技术措施先进合理，质量优良；交通、水利等行业项目应获得省（部）级行业优质工程奖；</w:t>
      </w:r>
    </w:p>
    <w:p>
      <w:pPr>
        <w:spacing w:line="460" w:lineRule="exact"/>
        <w:ind w:firstLine="472" w:firstLineChars="200"/>
        <w:rPr>
          <w:rFonts w:eastAsia="方正仿宋_GBK"/>
          <w:color w:val="000000"/>
          <w:spacing w:val="-2"/>
          <w:sz w:val="24"/>
        </w:rPr>
      </w:pPr>
      <w:r>
        <w:rPr>
          <w:rFonts w:eastAsia="方正仿宋_GBK"/>
          <w:color w:val="000000"/>
          <w:spacing w:val="-2"/>
          <w:sz w:val="24"/>
        </w:rPr>
        <w:t>4</w:t>
      </w:r>
      <w:r>
        <w:rPr>
          <w:rFonts w:hint="eastAsia" w:eastAsia="方正仿宋_GBK"/>
          <w:color w:val="000000"/>
          <w:spacing w:val="-2"/>
          <w:sz w:val="24"/>
        </w:rPr>
        <w:t>．工程技术档案资料（含隐蔽工程部位的施工过程影像资料）完整；</w:t>
      </w:r>
    </w:p>
    <w:p>
      <w:pPr>
        <w:spacing w:line="460" w:lineRule="exact"/>
        <w:ind w:firstLine="472" w:firstLineChars="200"/>
        <w:rPr>
          <w:rFonts w:eastAsia="方正仿宋_GBK"/>
          <w:color w:val="000000"/>
          <w:spacing w:val="-2"/>
          <w:sz w:val="24"/>
        </w:rPr>
      </w:pPr>
      <w:r>
        <w:rPr>
          <w:rFonts w:eastAsia="方正仿宋_GBK"/>
          <w:color w:val="000000"/>
          <w:spacing w:val="-2"/>
          <w:sz w:val="24"/>
        </w:rPr>
        <w:t>5</w:t>
      </w:r>
      <w:r>
        <w:rPr>
          <w:rFonts w:hint="eastAsia" w:eastAsia="方正仿宋_GBK"/>
          <w:color w:val="000000"/>
          <w:spacing w:val="-2"/>
          <w:sz w:val="24"/>
        </w:rPr>
        <w:t>．申报的工程在施工中未发生质量安全事故；</w:t>
      </w:r>
    </w:p>
    <w:p>
      <w:pPr>
        <w:spacing w:line="460" w:lineRule="exact"/>
        <w:ind w:firstLine="472" w:firstLineChars="200"/>
        <w:rPr>
          <w:rFonts w:eastAsia="方正仿宋_GBK"/>
          <w:color w:val="000000"/>
          <w:spacing w:val="-2"/>
          <w:sz w:val="24"/>
        </w:rPr>
      </w:pPr>
      <w:r>
        <w:rPr>
          <w:rFonts w:eastAsia="方正仿宋_GBK"/>
          <w:color w:val="000000"/>
          <w:spacing w:val="-2"/>
          <w:sz w:val="24"/>
        </w:rPr>
        <w:t>6</w:t>
      </w:r>
      <w:r>
        <w:rPr>
          <w:rFonts w:hint="eastAsia" w:eastAsia="方正仿宋_GBK"/>
          <w:color w:val="000000"/>
          <w:spacing w:val="-2"/>
          <w:sz w:val="24"/>
        </w:rPr>
        <w:t>．申报企业没有因受到行政主管部门行政处理而被限制市场准入的情形。</w:t>
      </w:r>
    </w:p>
    <w:p>
      <w:pPr>
        <w:spacing w:line="460" w:lineRule="exact"/>
        <w:rPr>
          <w:rFonts w:eastAsia="方正仿宋_GBK"/>
          <w:color w:val="000000"/>
          <w:spacing w:val="-2"/>
          <w:sz w:val="24"/>
        </w:rPr>
      </w:pPr>
    </w:p>
    <w:p>
      <w:pPr>
        <w:spacing w:line="460" w:lineRule="exact"/>
        <w:jc w:val="center"/>
        <w:rPr>
          <w:rFonts w:ascii="Times New Roman" w:eastAsia="方正黑体_GBK"/>
          <w:color w:val="000000"/>
          <w:spacing w:val="-2"/>
          <w:sz w:val="24"/>
        </w:rPr>
      </w:pPr>
      <w:r>
        <w:rPr>
          <w:rFonts w:hint="eastAsia" w:ascii="Times New Roman" w:eastAsia="方正黑体_GBK"/>
          <w:color w:val="000000"/>
          <w:spacing w:val="-2"/>
          <w:sz w:val="24"/>
        </w:rPr>
        <w:t>第四章  评选程序</w:t>
      </w:r>
    </w:p>
    <w:p>
      <w:pPr>
        <w:spacing w:line="460" w:lineRule="exact"/>
        <w:ind w:firstLine="462" w:firstLineChars="196"/>
        <w:rPr>
          <w:rFonts w:hint="eastAsia" w:eastAsia="方正仿宋_GBK"/>
          <w:color w:val="000000"/>
          <w:spacing w:val="-2"/>
          <w:sz w:val="24"/>
        </w:rPr>
      </w:pPr>
    </w:p>
    <w:p>
      <w:pPr>
        <w:spacing w:line="460" w:lineRule="exact"/>
        <w:ind w:firstLine="462" w:firstLineChars="196"/>
        <w:rPr>
          <w:rFonts w:eastAsia="方正仿宋_GBK"/>
          <w:color w:val="000000"/>
          <w:spacing w:val="-2"/>
          <w:sz w:val="24"/>
        </w:rPr>
      </w:pPr>
      <w:r>
        <w:rPr>
          <w:rFonts w:hint="eastAsia" w:ascii="Times New Roman" w:eastAsia="方正黑体_GBK"/>
          <w:color w:val="000000"/>
          <w:spacing w:val="-2"/>
          <w:sz w:val="24"/>
        </w:rPr>
        <w:t>第十二条</w:t>
      </w:r>
      <w:r>
        <w:rPr>
          <w:rFonts w:eastAsia="方正仿宋_GBK"/>
          <w:b/>
          <w:color w:val="000000"/>
          <w:spacing w:val="-2"/>
          <w:sz w:val="24"/>
        </w:rPr>
        <w:t xml:space="preserve">  </w:t>
      </w:r>
      <w:r>
        <w:rPr>
          <w:rFonts w:hint="eastAsia" w:eastAsia="方正仿宋_GBK"/>
          <w:color w:val="000000"/>
          <w:spacing w:val="-2"/>
          <w:sz w:val="24"/>
        </w:rPr>
        <w:t>扬子杯年度组织申报文件由省住房城乡建设厅统一下发。</w:t>
      </w:r>
    </w:p>
    <w:p>
      <w:pPr>
        <w:spacing w:line="460" w:lineRule="exact"/>
        <w:ind w:firstLine="462" w:firstLineChars="196"/>
        <w:rPr>
          <w:rFonts w:eastAsia="方正仿宋_GBK"/>
          <w:color w:val="000000"/>
          <w:spacing w:val="-2"/>
          <w:sz w:val="24"/>
        </w:rPr>
      </w:pPr>
      <w:r>
        <w:rPr>
          <w:rFonts w:hint="eastAsia" w:ascii="Times New Roman" w:eastAsia="方正黑体_GBK"/>
          <w:color w:val="000000"/>
          <w:spacing w:val="-2"/>
          <w:sz w:val="24"/>
        </w:rPr>
        <w:t>第十三条</w:t>
      </w:r>
      <w:r>
        <w:rPr>
          <w:rFonts w:eastAsia="方正仿宋_GBK"/>
          <w:b/>
          <w:color w:val="000000"/>
          <w:spacing w:val="-2"/>
          <w:sz w:val="24"/>
        </w:rPr>
        <w:t xml:space="preserve">  </w:t>
      </w:r>
      <w:r>
        <w:rPr>
          <w:rFonts w:hint="eastAsia" w:eastAsia="方正仿宋_GBK"/>
          <w:color w:val="000000"/>
          <w:spacing w:val="-2"/>
          <w:sz w:val="24"/>
        </w:rPr>
        <w:t>建设、施工单位自愿申报扬子杯的，应当在规定期限内向项目所在地省辖市行政主管部门提出申请。省辖市行政主管部门对申请项目进行初审，对照扬子杯评选要求，结合日常监管工作情况，择优推荐评选项目，加盖公章后报省扬子杯评选委员会办公室。</w:t>
      </w:r>
    </w:p>
    <w:p>
      <w:pPr>
        <w:spacing w:line="460" w:lineRule="exact"/>
        <w:ind w:firstLine="462" w:firstLineChars="196"/>
        <w:rPr>
          <w:rFonts w:eastAsia="方正仿宋_GBK"/>
          <w:color w:val="000000"/>
          <w:spacing w:val="-2"/>
          <w:sz w:val="24"/>
        </w:rPr>
      </w:pPr>
      <w:r>
        <w:rPr>
          <w:rFonts w:hint="eastAsia" w:ascii="Times New Roman" w:eastAsia="方正黑体_GBK"/>
          <w:color w:val="000000"/>
          <w:spacing w:val="-2"/>
          <w:sz w:val="24"/>
        </w:rPr>
        <w:t>第十四条</w:t>
      </w:r>
      <w:r>
        <w:rPr>
          <w:rFonts w:eastAsia="方正仿宋_GBK"/>
          <w:b/>
          <w:color w:val="000000"/>
          <w:spacing w:val="-2"/>
          <w:sz w:val="24"/>
        </w:rPr>
        <w:t xml:space="preserve">  </w:t>
      </w:r>
      <w:r>
        <w:rPr>
          <w:rFonts w:hint="eastAsia" w:eastAsia="方正仿宋_GBK"/>
          <w:color w:val="000000"/>
          <w:spacing w:val="-2"/>
          <w:sz w:val="24"/>
        </w:rPr>
        <w:t>省扬子杯评选委员会委托相关行业协会（学会）组织专家进行项目资料复核和现场查验。专家应从厅扬子杯专家库中随机抽取。</w:t>
      </w:r>
    </w:p>
    <w:p>
      <w:pPr>
        <w:spacing w:line="460" w:lineRule="exact"/>
        <w:ind w:firstLine="462" w:firstLineChars="196"/>
        <w:rPr>
          <w:rFonts w:eastAsia="方正仿宋_GBK"/>
          <w:color w:val="000000"/>
          <w:spacing w:val="-2"/>
          <w:sz w:val="24"/>
        </w:rPr>
      </w:pPr>
      <w:r>
        <w:rPr>
          <w:rFonts w:hint="eastAsia" w:eastAsia="方正仿宋_GBK"/>
          <w:color w:val="000000"/>
          <w:spacing w:val="-2"/>
          <w:sz w:val="24"/>
        </w:rPr>
        <w:t>相关行业协会（学会）根据资料复核和现场查验情况，按照优中选优的原则，提交符合评选办法的项目推荐名单。</w:t>
      </w:r>
    </w:p>
    <w:p>
      <w:pPr>
        <w:spacing w:line="460" w:lineRule="exact"/>
        <w:ind w:firstLine="462" w:firstLineChars="196"/>
        <w:rPr>
          <w:rFonts w:eastAsia="方正仿宋_GBK"/>
          <w:color w:val="000000"/>
          <w:spacing w:val="-2"/>
          <w:sz w:val="24"/>
        </w:rPr>
      </w:pPr>
      <w:r>
        <w:rPr>
          <w:rFonts w:hint="eastAsia" w:ascii="Times New Roman" w:eastAsia="方正黑体_GBK"/>
          <w:color w:val="000000"/>
          <w:spacing w:val="-2"/>
          <w:sz w:val="24"/>
        </w:rPr>
        <w:t>第十五条</w:t>
      </w:r>
      <w:r>
        <w:rPr>
          <w:rFonts w:eastAsia="方正仿宋_GBK"/>
          <w:b/>
          <w:color w:val="000000"/>
          <w:spacing w:val="-2"/>
          <w:sz w:val="24"/>
        </w:rPr>
        <w:t xml:space="preserve">  </w:t>
      </w:r>
      <w:r>
        <w:rPr>
          <w:rFonts w:hint="eastAsia" w:eastAsia="方正仿宋_GBK"/>
          <w:color w:val="000000"/>
          <w:spacing w:val="-2"/>
          <w:sz w:val="24"/>
        </w:rPr>
        <w:t>省扬子杯评选委员会办公室按照本办法规定，组织专家对行业协会（学会）的推荐项目进行技术审查，专家组负责专业技术审查和把关，研究确定扬子杯获奖项目专家建议名单。</w:t>
      </w:r>
    </w:p>
    <w:p>
      <w:pPr>
        <w:spacing w:line="460" w:lineRule="exact"/>
        <w:ind w:firstLine="462" w:firstLineChars="196"/>
        <w:rPr>
          <w:rFonts w:eastAsia="方正仿宋_GBK"/>
          <w:color w:val="000000"/>
          <w:spacing w:val="-2"/>
          <w:sz w:val="24"/>
        </w:rPr>
      </w:pPr>
      <w:r>
        <w:rPr>
          <w:rFonts w:hint="eastAsia" w:ascii="Times New Roman" w:eastAsia="方正黑体_GBK"/>
          <w:color w:val="000000"/>
          <w:spacing w:val="-2"/>
          <w:sz w:val="24"/>
        </w:rPr>
        <w:t>第十六条</w:t>
      </w:r>
      <w:r>
        <w:rPr>
          <w:rFonts w:eastAsia="方正仿宋_GBK"/>
          <w:b/>
          <w:color w:val="000000"/>
          <w:spacing w:val="-2"/>
          <w:sz w:val="24"/>
        </w:rPr>
        <w:t xml:space="preserve">  </w:t>
      </w:r>
      <w:r>
        <w:rPr>
          <w:rFonts w:hint="eastAsia" w:eastAsia="方正仿宋_GBK"/>
          <w:color w:val="000000"/>
          <w:spacing w:val="-2"/>
          <w:sz w:val="24"/>
        </w:rPr>
        <w:t>扬子杯获奖项目专家建议名单在省住房和城乡建设厅门户网站向社会公示十个工作日。</w:t>
      </w:r>
    </w:p>
    <w:p>
      <w:pPr>
        <w:spacing w:line="460" w:lineRule="exact"/>
        <w:ind w:firstLine="462" w:firstLineChars="196"/>
        <w:rPr>
          <w:rFonts w:eastAsia="方正仿宋_GBK"/>
          <w:color w:val="000000"/>
          <w:spacing w:val="-2"/>
          <w:sz w:val="24"/>
        </w:rPr>
      </w:pPr>
      <w:r>
        <w:rPr>
          <w:rFonts w:hint="eastAsia" w:eastAsia="方正仿宋_GBK"/>
          <w:color w:val="000000"/>
          <w:spacing w:val="-2"/>
          <w:sz w:val="24"/>
        </w:rPr>
        <w:t>公示期间有投诉的，省扬子杯评选委员会办公室应组织专家进行核查，并将核查情况报评选委员会。</w:t>
      </w:r>
    </w:p>
    <w:p>
      <w:pPr>
        <w:pStyle w:val="10"/>
        <w:widowControl w:val="0"/>
        <w:spacing w:before="0" w:beforeAutospacing="0" w:after="0" w:afterAutospacing="0" w:line="460" w:lineRule="exact"/>
        <w:ind w:firstLine="472" w:firstLineChars="200"/>
        <w:rPr>
          <w:rFonts w:ascii="Times New Roman" w:hAnsi="Times New Roman" w:eastAsia="方正仿宋_GBK"/>
          <w:color w:val="000000"/>
          <w:spacing w:val="-2"/>
        </w:rPr>
      </w:pPr>
      <w:r>
        <w:rPr>
          <w:rFonts w:hint="eastAsia" w:ascii="Times New Roman" w:hAnsi="Times New Roman" w:eastAsia="方正黑体_GBK"/>
          <w:color w:val="000000"/>
          <w:spacing w:val="-2"/>
          <w:kern w:val="2"/>
        </w:rPr>
        <w:t>第十七条</w:t>
      </w:r>
      <w:r>
        <w:rPr>
          <w:rFonts w:ascii="Times New Roman" w:hAnsi="Times New Roman" w:eastAsia="方正仿宋_GBK"/>
          <w:b/>
          <w:color w:val="000000"/>
          <w:spacing w:val="-2"/>
        </w:rPr>
        <w:t xml:space="preserve">  </w:t>
      </w:r>
      <w:r>
        <w:rPr>
          <w:rFonts w:hint="eastAsia" w:ascii="Times New Roman" w:hAnsi="Times New Roman" w:eastAsia="方正仿宋_GBK"/>
          <w:color w:val="000000"/>
          <w:spacing w:val="-2"/>
        </w:rPr>
        <w:t>省扬子杯评选委员会在专家技术审查意见和社会公示意见基础上，结合日常监管和企业信用情况，以及省辖市行政主管部门意见、行业协会（学会）推荐意见进行综合审定，确定最终获奖项目名单。</w:t>
      </w:r>
    </w:p>
    <w:p>
      <w:pPr>
        <w:tabs>
          <w:tab w:val="left" w:pos="993"/>
        </w:tabs>
        <w:spacing w:line="460" w:lineRule="exact"/>
        <w:ind w:firstLine="630"/>
        <w:rPr>
          <w:rFonts w:eastAsia="方正仿宋_GBK"/>
          <w:color w:val="000000"/>
          <w:spacing w:val="-2"/>
          <w:sz w:val="24"/>
        </w:rPr>
      </w:pPr>
    </w:p>
    <w:p>
      <w:pPr>
        <w:spacing w:line="460" w:lineRule="exact"/>
        <w:jc w:val="center"/>
        <w:rPr>
          <w:rFonts w:ascii="Times New Roman" w:eastAsia="方正黑体_GBK"/>
          <w:color w:val="000000"/>
          <w:spacing w:val="-2"/>
          <w:sz w:val="24"/>
        </w:rPr>
      </w:pPr>
      <w:r>
        <w:rPr>
          <w:rFonts w:hint="eastAsia" w:ascii="Times New Roman" w:eastAsia="方正黑体_GBK"/>
          <w:color w:val="000000"/>
          <w:spacing w:val="-2"/>
          <w:sz w:val="24"/>
        </w:rPr>
        <w:t>第五章  奖励及惩罚</w:t>
      </w:r>
    </w:p>
    <w:p>
      <w:pPr>
        <w:spacing w:line="460" w:lineRule="exact"/>
        <w:ind w:firstLine="462" w:firstLineChars="196"/>
        <w:rPr>
          <w:rFonts w:hint="eastAsia" w:eastAsia="方正仿宋_GBK"/>
          <w:color w:val="000000"/>
          <w:spacing w:val="-2"/>
          <w:sz w:val="24"/>
        </w:rPr>
      </w:pPr>
    </w:p>
    <w:p>
      <w:pPr>
        <w:spacing w:line="460" w:lineRule="exact"/>
        <w:ind w:firstLine="462" w:firstLineChars="196"/>
        <w:rPr>
          <w:rFonts w:eastAsia="方正仿宋_GBK"/>
          <w:color w:val="000000"/>
          <w:spacing w:val="-2"/>
          <w:sz w:val="24"/>
        </w:rPr>
      </w:pPr>
      <w:r>
        <w:rPr>
          <w:rFonts w:hint="eastAsia" w:ascii="Times New Roman" w:eastAsia="方正黑体_GBK"/>
          <w:color w:val="000000"/>
          <w:spacing w:val="-2"/>
          <w:sz w:val="24"/>
        </w:rPr>
        <w:t>第十八条</w:t>
      </w:r>
      <w:r>
        <w:rPr>
          <w:rFonts w:eastAsia="方正仿宋_GBK"/>
          <w:b/>
          <w:color w:val="000000"/>
          <w:spacing w:val="-2"/>
          <w:sz w:val="24"/>
        </w:rPr>
        <w:t xml:space="preserve">  </w:t>
      </w:r>
      <w:r>
        <w:rPr>
          <w:rFonts w:hint="eastAsia" w:eastAsia="方正仿宋_GBK"/>
          <w:color w:val="000000"/>
          <w:spacing w:val="-2"/>
          <w:sz w:val="24"/>
        </w:rPr>
        <w:t>省住房城乡建设厅颁发表彰文件，公布扬子杯获奖名单。</w:t>
      </w:r>
    </w:p>
    <w:p>
      <w:pPr>
        <w:spacing w:line="460" w:lineRule="exact"/>
        <w:ind w:firstLine="462" w:firstLineChars="196"/>
        <w:rPr>
          <w:rFonts w:eastAsia="方正仿宋_GBK"/>
          <w:color w:val="000000"/>
          <w:spacing w:val="-2"/>
          <w:sz w:val="24"/>
        </w:rPr>
      </w:pPr>
      <w:r>
        <w:rPr>
          <w:rFonts w:hint="eastAsia" w:ascii="Times New Roman" w:eastAsia="方正黑体_GBK"/>
          <w:color w:val="000000"/>
          <w:spacing w:val="-2"/>
          <w:sz w:val="24"/>
        </w:rPr>
        <w:t>第十九条</w:t>
      </w:r>
      <w:r>
        <w:rPr>
          <w:rFonts w:eastAsia="方正仿宋_GBK"/>
          <w:color w:val="000000"/>
          <w:spacing w:val="-2"/>
          <w:sz w:val="24"/>
        </w:rPr>
        <w:t xml:space="preserve">  </w:t>
      </w:r>
      <w:r>
        <w:rPr>
          <w:rFonts w:hint="eastAsia" w:eastAsia="方正仿宋_GBK"/>
          <w:color w:val="000000"/>
          <w:spacing w:val="-2"/>
          <w:sz w:val="24"/>
        </w:rPr>
        <w:t>在本省行政区域内申报国家级优质工程奖的项目，应首先获得扬子杯。</w:t>
      </w:r>
    </w:p>
    <w:p>
      <w:pPr>
        <w:spacing w:line="460" w:lineRule="exact"/>
        <w:ind w:firstLine="462" w:firstLineChars="196"/>
        <w:rPr>
          <w:rFonts w:eastAsia="方正仿宋_GBK"/>
          <w:color w:val="000000"/>
          <w:spacing w:val="-2"/>
          <w:sz w:val="24"/>
        </w:rPr>
      </w:pPr>
      <w:r>
        <w:rPr>
          <w:rFonts w:hint="eastAsia" w:ascii="Times New Roman" w:eastAsia="方正黑体_GBK"/>
          <w:color w:val="000000"/>
          <w:spacing w:val="-2"/>
          <w:sz w:val="24"/>
        </w:rPr>
        <w:t>第二十条</w:t>
      </w:r>
      <w:r>
        <w:rPr>
          <w:rFonts w:eastAsia="方正仿宋_GBK"/>
          <w:b/>
          <w:color w:val="000000"/>
          <w:spacing w:val="-2"/>
          <w:sz w:val="24"/>
        </w:rPr>
        <w:t xml:space="preserve">  </w:t>
      </w:r>
      <w:r>
        <w:rPr>
          <w:rFonts w:hint="eastAsia" w:eastAsia="方正仿宋_GBK"/>
          <w:color w:val="000000"/>
          <w:spacing w:val="-2"/>
          <w:sz w:val="24"/>
        </w:rPr>
        <w:t>建设工程项目、专业工程项目、建设单位、施工单位等主要参与人员在申报、评选过程中弄虚</w:t>
      </w:r>
      <w:r>
        <w:rPr>
          <w:rFonts w:hint="eastAsia" w:eastAsia="方正仿宋_GBK"/>
          <w:color w:val="000000"/>
          <w:spacing w:val="-2"/>
          <w:kern w:val="0"/>
          <w:sz w:val="24"/>
        </w:rPr>
        <w:t>作假的，经查实，</w:t>
      </w:r>
      <w:r>
        <w:rPr>
          <w:rFonts w:hint="eastAsia" w:eastAsia="方正仿宋_GBK"/>
          <w:color w:val="000000"/>
          <w:spacing w:val="-2"/>
          <w:sz w:val="24"/>
        </w:rPr>
        <w:t>取消获奖，并计入信用档案。</w:t>
      </w:r>
    </w:p>
    <w:p>
      <w:pPr>
        <w:spacing w:line="460" w:lineRule="exact"/>
        <w:ind w:firstLine="462" w:firstLineChars="196"/>
        <w:rPr>
          <w:rFonts w:eastAsia="方正仿宋_GBK"/>
          <w:color w:val="000000"/>
          <w:spacing w:val="-2"/>
          <w:sz w:val="24"/>
        </w:rPr>
      </w:pPr>
      <w:r>
        <w:rPr>
          <w:rFonts w:hint="eastAsia" w:ascii="Times New Roman" w:eastAsia="方正黑体_GBK"/>
          <w:color w:val="000000"/>
          <w:spacing w:val="-2"/>
          <w:sz w:val="24"/>
        </w:rPr>
        <w:t>第二十一条</w:t>
      </w:r>
      <w:r>
        <w:rPr>
          <w:rFonts w:eastAsia="方正仿宋_GBK"/>
          <w:color w:val="000000"/>
          <w:spacing w:val="-2"/>
          <w:sz w:val="24"/>
        </w:rPr>
        <w:t xml:space="preserve">  </w:t>
      </w:r>
      <w:r>
        <w:rPr>
          <w:rFonts w:hint="eastAsia" w:eastAsia="方正仿宋_GBK"/>
          <w:color w:val="000000"/>
          <w:spacing w:val="-2"/>
          <w:sz w:val="24"/>
        </w:rPr>
        <w:t>参与扬子杯评选工作的评选委员会及其办公室成员、省辖市行政主管部门、行业协会（学会）的工作人员以及参与专业技术审查的专家，应当严格遵守法律法规和廉洁自律的规定。驻厅纪检监察室对扬子杯评选过程实行全程监督。</w:t>
      </w:r>
    </w:p>
    <w:p>
      <w:pPr>
        <w:spacing w:line="460" w:lineRule="exact"/>
        <w:rPr>
          <w:rFonts w:eastAsia="方正仿宋_GBK"/>
          <w:color w:val="000000"/>
          <w:spacing w:val="-2"/>
          <w:sz w:val="24"/>
        </w:rPr>
      </w:pPr>
    </w:p>
    <w:p>
      <w:pPr>
        <w:spacing w:line="460" w:lineRule="exact"/>
        <w:jc w:val="center"/>
        <w:rPr>
          <w:rFonts w:ascii="Times New Roman" w:eastAsia="方正黑体_GBK"/>
          <w:color w:val="000000"/>
          <w:spacing w:val="-2"/>
          <w:sz w:val="24"/>
        </w:rPr>
      </w:pPr>
      <w:r>
        <w:rPr>
          <w:rFonts w:hint="eastAsia" w:ascii="Times New Roman" w:eastAsia="方正黑体_GBK"/>
          <w:color w:val="000000"/>
          <w:spacing w:val="-2"/>
          <w:sz w:val="24"/>
        </w:rPr>
        <w:t>第六章  附   则</w:t>
      </w:r>
    </w:p>
    <w:p>
      <w:pPr>
        <w:spacing w:line="460" w:lineRule="exact"/>
        <w:ind w:firstLine="462" w:firstLineChars="196"/>
        <w:rPr>
          <w:rFonts w:hint="eastAsia" w:eastAsia="方正仿宋_GBK"/>
          <w:color w:val="000000"/>
          <w:spacing w:val="-2"/>
          <w:sz w:val="24"/>
        </w:rPr>
      </w:pPr>
    </w:p>
    <w:p>
      <w:pPr>
        <w:spacing w:line="460" w:lineRule="exact"/>
        <w:ind w:firstLine="462" w:firstLineChars="196"/>
        <w:rPr>
          <w:rFonts w:eastAsia="方正仿宋_GBK"/>
          <w:color w:val="000000"/>
          <w:spacing w:val="-2"/>
          <w:sz w:val="24"/>
        </w:rPr>
      </w:pPr>
      <w:r>
        <w:rPr>
          <w:rFonts w:hint="eastAsia" w:ascii="Times New Roman" w:eastAsia="方正黑体_GBK"/>
          <w:color w:val="000000"/>
          <w:spacing w:val="-2"/>
          <w:sz w:val="24"/>
        </w:rPr>
        <w:t>第二十二条</w:t>
      </w:r>
      <w:r>
        <w:rPr>
          <w:rFonts w:eastAsia="方正仿宋_GBK"/>
          <w:b/>
          <w:color w:val="000000"/>
          <w:spacing w:val="-2"/>
          <w:sz w:val="24"/>
        </w:rPr>
        <w:t xml:space="preserve">  </w:t>
      </w:r>
      <w:r>
        <w:rPr>
          <w:rFonts w:hint="eastAsia" w:eastAsia="方正仿宋_GBK"/>
          <w:color w:val="000000"/>
          <w:spacing w:val="-2"/>
          <w:sz w:val="24"/>
        </w:rPr>
        <w:t>本办法自发布之日起施行。省住房城乡建设厅以及省建筑工程管理局在本办法颁布之日前颁发的与江苏省优质工程奖评选相关的文件同时废止。</w:t>
      </w:r>
    </w:p>
    <w:p>
      <w:pPr>
        <w:spacing w:line="460" w:lineRule="exact"/>
        <w:ind w:firstLine="462" w:firstLineChars="196"/>
        <w:rPr>
          <w:rFonts w:eastAsia="方正仿宋_GBK"/>
          <w:color w:val="000000"/>
          <w:spacing w:val="-2"/>
          <w:kern w:val="0"/>
          <w:sz w:val="24"/>
        </w:rPr>
      </w:pPr>
    </w:p>
    <w:p>
      <w:pPr>
        <w:spacing w:line="460" w:lineRule="exact"/>
        <w:ind w:firstLine="472" w:firstLineChars="200"/>
        <w:rPr>
          <w:rFonts w:eastAsia="方正仿宋_GBK"/>
          <w:color w:val="000000"/>
          <w:spacing w:val="-2"/>
          <w:sz w:val="24"/>
        </w:rPr>
      </w:pPr>
    </w:p>
    <w:p>
      <w:pPr>
        <w:pStyle w:val="2"/>
        <w:spacing w:before="240" w:beforeLines="100" w:after="240" w:afterLines="100" w:line="240" w:lineRule="auto"/>
        <w:jc w:val="center"/>
        <w:rPr>
          <w:rFonts w:eastAsia="方正仿宋_GBK"/>
          <w:color w:val="000000"/>
          <w:spacing w:val="-2"/>
          <w:sz w:val="24"/>
        </w:rPr>
      </w:pPr>
    </w:p>
    <w:p/>
    <w:p/>
    <w:p/>
    <w:p/>
    <w:p/>
    <w:p/>
    <w:p/>
    <w:p/>
    <w:p/>
    <w:p/>
    <w:p/>
    <w:p/>
    <w:p/>
    <w:p/>
    <w:p/>
    <w:p/>
    <w:p/>
    <w:p/>
    <w:p/>
    <w:p/>
    <w:p/>
    <w:p/>
    <w:p/>
    <w:p/>
    <w:p/>
    <w:p/>
    <w:p/>
    <w:p/>
    <w:p/>
    <w:p/>
    <w:p/>
    <w:p/>
    <w:p/>
    <w:p/>
    <w:p/>
    <w:p/>
    <w:p/>
    <w:p/>
    <w:p/>
    <w:p/>
    <w:p/>
    <w:p>
      <w:pPr>
        <w:pStyle w:val="2"/>
        <w:spacing w:before="240" w:beforeLines="100" w:after="240" w:afterLines="100" w:line="240" w:lineRule="auto"/>
        <w:jc w:val="center"/>
        <w:rPr>
          <w:rFonts w:ascii="Times New Roman" w:eastAsia="方正小标宋_GBK"/>
          <w:b w:val="0"/>
          <w:sz w:val="36"/>
          <w:szCs w:val="36"/>
        </w:rPr>
      </w:pPr>
      <w:bookmarkStart w:id="608" w:name="_Toc20726611"/>
      <w:bookmarkStart w:id="609" w:name="_Toc18315752"/>
      <w:r>
        <w:rPr>
          <w:rFonts w:hint="eastAsia" w:ascii="Times New Roman" w:eastAsia="方正小标宋_GBK"/>
          <w:b w:val="0"/>
          <w:sz w:val="36"/>
          <w:szCs w:val="36"/>
        </w:rPr>
        <w:t>关于加强建筑施工企业主要负责人、项目负责人和专职安全生产管理人员安全生产考核合格证书管理工作   的通知</w:t>
      </w:r>
      <w:bookmarkEnd w:id="608"/>
      <w:bookmarkEnd w:id="609"/>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610" w:name="_Toc20726612"/>
      <w:bookmarkStart w:id="611" w:name="_Toc18315753"/>
      <w:r>
        <w:rPr>
          <w:rFonts w:hint="eastAsia" w:ascii="Times New Roman" w:hAnsi="Times New Roman" w:eastAsia="方正楷体_GBK"/>
          <w:b w:val="0"/>
          <w:sz w:val="24"/>
          <w:szCs w:val="24"/>
        </w:rPr>
        <w:t>苏建质安〔</w:t>
      </w:r>
      <w:r>
        <w:rPr>
          <w:rFonts w:ascii="Times New Roman" w:hAnsi="Times New Roman" w:eastAsia="方正楷体_GBK"/>
          <w:b w:val="0"/>
          <w:sz w:val="24"/>
          <w:szCs w:val="24"/>
        </w:rPr>
        <w:t>2016</w:t>
      </w:r>
      <w:r>
        <w:rPr>
          <w:rFonts w:hint="eastAsia" w:ascii="Times New Roman" w:hAnsi="Times New Roman" w:eastAsia="方正楷体_GBK"/>
          <w:b w:val="0"/>
          <w:sz w:val="24"/>
          <w:szCs w:val="24"/>
        </w:rPr>
        <w:t>〕</w:t>
      </w:r>
      <w:r>
        <w:rPr>
          <w:rFonts w:ascii="Times New Roman" w:hAnsi="Times New Roman" w:eastAsia="方正楷体_GBK"/>
          <w:b w:val="0"/>
          <w:sz w:val="24"/>
          <w:szCs w:val="24"/>
        </w:rPr>
        <w:t>389</w:t>
      </w:r>
      <w:r>
        <w:rPr>
          <w:rFonts w:hint="eastAsia" w:ascii="Times New Roman" w:hAnsi="Times New Roman" w:eastAsia="方正楷体_GBK"/>
          <w:b w:val="0"/>
          <w:sz w:val="24"/>
          <w:szCs w:val="24"/>
        </w:rPr>
        <w:t>号</w:t>
      </w:r>
      <w:bookmarkEnd w:id="610"/>
      <w:bookmarkEnd w:id="611"/>
    </w:p>
    <w:p>
      <w:pPr>
        <w:spacing w:line="460" w:lineRule="exact"/>
        <w:jc w:val="left"/>
        <w:rPr>
          <w:rFonts w:ascii="Times New Roman" w:hAnsi="Times New Roman" w:eastAsia="方正仿宋_GBK" w:cs="方正仿宋_GBK"/>
          <w:color w:val="000000"/>
          <w:sz w:val="24"/>
        </w:rPr>
      </w:pPr>
      <w:r>
        <w:rPr>
          <w:rFonts w:hint="eastAsia" w:ascii="Times New Roman" w:hAnsi="Times New Roman" w:eastAsia="方正仿宋_GBK" w:cs="方正仿宋_GBK"/>
          <w:color w:val="000000"/>
          <w:sz w:val="24"/>
        </w:rPr>
        <w:t>各设区市建设局（委），泰州市建工局，苏州工业园区规划建设局、张家港保税区规划建设局，昆山市、泰兴市、沭阳县建设局：</w:t>
      </w:r>
    </w:p>
    <w:p>
      <w:pPr>
        <w:spacing w:line="460" w:lineRule="exact"/>
        <w:ind w:firstLine="470" w:firstLineChars="196"/>
        <w:rPr>
          <w:rFonts w:hint="eastAsia" w:ascii="Times New Roman" w:hAnsi="Times New Roman" w:eastAsia="方正仿宋_GBK" w:cs="方正仿宋_GBK"/>
          <w:color w:val="000000"/>
          <w:sz w:val="24"/>
        </w:rPr>
      </w:pPr>
      <w:r>
        <w:rPr>
          <w:rFonts w:hint="eastAsia" w:ascii="Times New Roman" w:hAnsi="Times New Roman" w:eastAsia="方正仿宋_GBK" w:cs="方正仿宋_GBK"/>
          <w:color w:val="000000"/>
          <w:sz w:val="24"/>
        </w:rPr>
        <w:t>为加强建筑施工企业主要负责人、项目负责人和专职安全生产管理人员（以下简称“安管人员”）证书管理工作，根据《</w:t>
      </w:r>
      <w:r>
        <w:rPr>
          <w:rFonts w:hint="eastAsia" w:ascii="Times New Roman" w:hAnsi="Times New Roman" w:eastAsia="方正仿宋_GBK" w:cs="方正仿宋_GBK"/>
          <w:color w:val="000000"/>
          <w:kern w:val="0"/>
          <w:sz w:val="24"/>
        </w:rPr>
        <w:t>中华人民共和国</w:t>
      </w:r>
      <w:r>
        <w:rPr>
          <w:rFonts w:hint="eastAsia" w:ascii="Times New Roman" w:hAnsi="Times New Roman" w:eastAsia="方正仿宋_GBK" w:cs="方正仿宋_GBK"/>
          <w:color w:val="000000"/>
          <w:sz w:val="24"/>
        </w:rPr>
        <w:t>安全生产法》、《建筑施工企业主要负责人、项目负责人和专职安全生产管理人员安全生产管理规定》（住房城乡建设部令第17号）、《住房城乡建设部关于印发建筑施工企业主要负责人、项目负责人和专职安全生产管理人员安全生产管理规定实施意见的通知》（建质〔2015〕206号，以下简称《通知》）等文件规定，结合我省实际，对“安管人员”安全生产考核合格证书管理工作提出如下意见：</w:t>
      </w:r>
    </w:p>
    <w:p>
      <w:pPr>
        <w:spacing w:line="460" w:lineRule="exact"/>
        <w:rPr>
          <w:rFonts w:hint="eastAsia" w:ascii="Times New Roman" w:hAnsi="Times New Roman" w:eastAsia="方正仿宋_GBK" w:cs="方正仿宋_GBK"/>
          <w:color w:val="000000"/>
          <w:sz w:val="24"/>
        </w:rPr>
      </w:pPr>
      <w:r>
        <w:rPr>
          <w:rFonts w:hint="eastAsia" w:ascii="Times New Roman" w:hAnsi="Times New Roman" w:eastAsia="方正仿宋_GBK" w:cs="方正仿宋_GBK"/>
          <w:color w:val="000000"/>
          <w:sz w:val="24"/>
        </w:rPr>
        <w:t xml:space="preserve">    一、发证和延续</w:t>
      </w:r>
    </w:p>
    <w:p>
      <w:pPr>
        <w:widowControl/>
        <w:spacing w:line="460" w:lineRule="exact"/>
        <w:jc w:val="left"/>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 xml:space="preserve">    （一）发证。</w:t>
      </w:r>
      <w:r>
        <w:rPr>
          <w:rFonts w:hint="eastAsia" w:ascii="Times New Roman" w:hAnsi="Times New Roman" w:eastAsia="方正仿宋_GBK" w:cs="方正仿宋_GBK"/>
          <w:color w:val="000000"/>
          <w:sz w:val="24"/>
        </w:rPr>
        <w:t>专职安全生产管理人员的培训考核和人员配备有关工作</w:t>
      </w:r>
      <w:r>
        <w:rPr>
          <w:rFonts w:hint="eastAsia" w:ascii="Times New Roman" w:hAnsi="Times New Roman" w:eastAsia="方正仿宋_GBK" w:cs="方正仿宋_GBK"/>
          <w:color w:val="000000"/>
          <w:kern w:val="0"/>
          <w:sz w:val="24"/>
        </w:rPr>
        <w:t>根据</w:t>
      </w:r>
      <w:r>
        <w:rPr>
          <w:rFonts w:hint="eastAsia" w:ascii="Times New Roman" w:hAnsi="Times New Roman" w:eastAsia="方正仿宋_GBK" w:cs="方正仿宋_GBK"/>
          <w:color w:val="000000"/>
          <w:sz w:val="24"/>
        </w:rPr>
        <w:t>《通知》规定，将按机械、土建、综合三类（即C1、C2、C3，相关证书简称为“</w:t>
      </w:r>
      <w:r>
        <w:rPr>
          <w:rFonts w:hint="eastAsia" w:ascii="Times New Roman" w:hAnsi="Times New Roman" w:eastAsia="方正仿宋_GBK" w:cs="方正仿宋_GBK"/>
          <w:color w:val="000000"/>
          <w:kern w:val="0"/>
          <w:sz w:val="24"/>
        </w:rPr>
        <w:t>新版C类证书</w:t>
      </w:r>
      <w:r>
        <w:rPr>
          <w:rFonts w:hint="eastAsia" w:ascii="Times New Roman" w:hAnsi="Times New Roman" w:eastAsia="方正仿宋_GBK" w:cs="方正仿宋_GBK"/>
          <w:color w:val="000000"/>
          <w:sz w:val="24"/>
        </w:rPr>
        <w:t>”）进行管理。</w:t>
      </w:r>
      <w:r>
        <w:rPr>
          <w:rFonts w:hint="eastAsia" w:ascii="Times New Roman" w:hAnsi="Times New Roman" w:eastAsia="方正仿宋_GBK" w:cs="方正仿宋_GBK"/>
          <w:color w:val="000000"/>
          <w:kern w:val="0"/>
          <w:sz w:val="24"/>
        </w:rPr>
        <w:t>为保证相关工作平稳有序推进，我省设定3年过渡期。过渡期内，对持有效期内原版C类证书的人员将按有关规定逐步开展新版C类证书换发工作，并适时推开</w:t>
      </w:r>
      <w:r>
        <w:rPr>
          <w:rFonts w:hint="eastAsia" w:ascii="Times New Roman" w:hAnsi="Times New Roman" w:eastAsia="方正仿宋_GBK" w:cs="方正仿宋_GBK"/>
          <w:color w:val="000000"/>
          <w:sz w:val="24"/>
        </w:rPr>
        <w:t>C1、C2、C3培训</w:t>
      </w:r>
      <w:r>
        <w:rPr>
          <w:rFonts w:hint="eastAsia" w:ascii="Times New Roman" w:hAnsi="Times New Roman" w:eastAsia="方正仿宋_GBK" w:cs="方正仿宋_GBK"/>
          <w:color w:val="000000"/>
          <w:kern w:val="0"/>
          <w:sz w:val="24"/>
        </w:rPr>
        <w:t>考核工作。过渡期内，新版C类证书和原版C类证书并行有效，过渡期满后将按照新版C类证书有关管理要求执行。</w:t>
      </w:r>
    </w:p>
    <w:p>
      <w:pPr>
        <w:spacing w:line="460" w:lineRule="exact"/>
        <w:ind w:firstLine="424" w:firstLineChars="177"/>
        <w:rPr>
          <w:rFonts w:hint="eastAsia" w:ascii="Times New Roman" w:hAnsi="Times New Roman" w:eastAsia="方正仿宋_GBK" w:cs="方正仿宋_GBK"/>
          <w:color w:val="000000"/>
          <w:sz w:val="24"/>
        </w:rPr>
      </w:pPr>
      <w:r>
        <w:rPr>
          <w:rFonts w:hint="eastAsia" w:ascii="Times New Roman" w:hAnsi="Times New Roman" w:eastAsia="方正仿宋_GBK" w:cs="方正仿宋_GBK"/>
          <w:color w:val="000000"/>
          <w:sz w:val="24"/>
        </w:rPr>
        <w:t>（二）延续。“安管人员”安全生产考核合格证书延续工作按照</w:t>
      </w:r>
      <w:r>
        <w:rPr>
          <w:rFonts w:hint="eastAsia" w:ascii="Times New Roman" w:hAnsi="Times New Roman" w:eastAsia="方正仿宋_GBK" w:cs="方正仿宋_GBK"/>
          <w:color w:val="000000"/>
          <w:kern w:val="0"/>
          <w:sz w:val="24"/>
        </w:rPr>
        <w:t>《通知》</w:t>
      </w:r>
      <w:r>
        <w:rPr>
          <w:rFonts w:hint="eastAsia" w:ascii="Times New Roman" w:hAnsi="Times New Roman" w:eastAsia="方正仿宋_GBK" w:cs="方正仿宋_GBK"/>
          <w:color w:val="000000"/>
          <w:sz w:val="24"/>
        </w:rPr>
        <w:t>规定</w:t>
      </w:r>
      <w:r>
        <w:rPr>
          <w:rFonts w:hint="eastAsia" w:ascii="Times New Roman" w:hAnsi="Times New Roman" w:eastAsia="方正仿宋_GBK" w:cs="方正仿宋_GBK"/>
          <w:color w:val="000000"/>
          <w:kern w:val="0"/>
          <w:sz w:val="24"/>
        </w:rPr>
        <w:t>执行。证书</w:t>
      </w:r>
      <w:r>
        <w:rPr>
          <w:rFonts w:hint="eastAsia" w:ascii="Times New Roman" w:hAnsi="Times New Roman" w:eastAsia="方正仿宋_GBK" w:cs="方正仿宋_GBK"/>
          <w:color w:val="000000"/>
          <w:sz w:val="24"/>
        </w:rPr>
        <w:t>有效期为3年，有效期期满前3个月内，由企业申请证书延续。延期申请经</w:t>
      </w:r>
      <w:r>
        <w:rPr>
          <w:rFonts w:hint="eastAsia" w:ascii="Times New Roman" w:hAnsi="Times New Roman" w:eastAsia="方正仿宋_GBK" w:cs="方正仿宋_GBK"/>
          <w:snapToGrid w:val="0"/>
          <w:color w:val="000000"/>
          <w:kern w:val="32"/>
          <w:sz w:val="24"/>
        </w:rPr>
        <w:t>所在地市、县（市）住房城乡建设行政主管部门进行初审，对</w:t>
      </w:r>
      <w:r>
        <w:rPr>
          <w:rFonts w:hint="eastAsia" w:ascii="Times New Roman" w:hAnsi="Times New Roman" w:eastAsia="方正仿宋_GBK" w:cs="方正仿宋_GBK"/>
          <w:color w:val="000000"/>
          <w:sz w:val="24"/>
        </w:rPr>
        <w:t>符合证书延续条件的，由发证机关准予证书延续；对不符合证书延续条件的，发证机关不准予证书延续，相关人员应重新申请参加考核。对于证书到期未准予延续或未在规定时间内办理延续手续的，证书一律无效，并</w:t>
      </w:r>
      <w:r>
        <w:rPr>
          <w:rFonts w:hint="eastAsia" w:ascii="Times New Roman" w:hAnsi="Times New Roman" w:eastAsia="方正仿宋_GBK" w:cs="方正仿宋_GBK"/>
          <w:color w:val="000000"/>
          <w:kern w:val="0"/>
          <w:sz w:val="24"/>
        </w:rPr>
        <w:t>自</w:t>
      </w:r>
      <w:r>
        <w:rPr>
          <w:rFonts w:hint="eastAsia" w:ascii="Times New Roman" w:hAnsi="Times New Roman" w:eastAsia="方正仿宋_GBK" w:cs="方正仿宋_GBK"/>
          <w:color w:val="000000"/>
          <w:sz w:val="24"/>
        </w:rPr>
        <w:t>2017年1月1日起，由管理信息系统自动注销。</w:t>
      </w:r>
    </w:p>
    <w:p>
      <w:pPr>
        <w:spacing w:line="460" w:lineRule="exact"/>
        <w:ind w:firstLine="470" w:firstLineChars="196"/>
        <w:rPr>
          <w:rFonts w:hint="eastAsia" w:ascii="Times New Roman" w:hAnsi="Times New Roman" w:eastAsia="方正仿宋_GBK" w:cs="方正仿宋_GBK"/>
          <w:color w:val="000000"/>
          <w:sz w:val="24"/>
        </w:rPr>
      </w:pPr>
      <w:r>
        <w:rPr>
          <w:rFonts w:hint="eastAsia" w:ascii="Times New Roman" w:hAnsi="Times New Roman" w:eastAsia="方正仿宋_GBK" w:cs="方正仿宋_GBK"/>
          <w:color w:val="000000"/>
          <w:sz w:val="24"/>
        </w:rPr>
        <w:t>（三）继续教育。各地住房城乡建设行政主管部门应按照我厅要求，组织好本地区“安管人员”继续教育工作。继续教育可采取集中培训、远程教育的方式进行，省建筑安全与设备管理协会已开通“安管人员”远程教育平台，各地可自行确定采用远程教育平台或其他模式开展继续教育工作。鼓励有条件的地区创新培训模式。</w:t>
      </w:r>
    </w:p>
    <w:p>
      <w:pPr>
        <w:spacing w:line="460" w:lineRule="exact"/>
        <w:ind w:firstLine="566"/>
        <w:rPr>
          <w:rFonts w:hint="eastAsia" w:ascii="Times New Roman" w:hAnsi="Times New Roman" w:eastAsia="方正仿宋_GBK" w:cs="方正仿宋_GBK"/>
          <w:color w:val="000000"/>
          <w:sz w:val="24"/>
        </w:rPr>
      </w:pPr>
      <w:r>
        <w:rPr>
          <w:rFonts w:hint="eastAsia" w:ascii="Times New Roman" w:hAnsi="Times New Roman" w:eastAsia="方正仿宋_GBK" w:cs="方正仿宋_GBK"/>
          <w:color w:val="000000"/>
          <w:sz w:val="24"/>
        </w:rPr>
        <w:t>二、证书变更</w:t>
      </w:r>
    </w:p>
    <w:p>
      <w:pPr>
        <w:spacing w:line="460" w:lineRule="exact"/>
        <w:ind w:firstLine="424" w:firstLineChars="177"/>
        <w:rPr>
          <w:rFonts w:hint="eastAsia" w:ascii="Times New Roman" w:hAnsi="Times New Roman" w:eastAsia="方正仿宋_GBK" w:cs="方正仿宋_GBK"/>
          <w:snapToGrid w:val="0"/>
          <w:color w:val="000000"/>
          <w:kern w:val="32"/>
          <w:sz w:val="24"/>
        </w:rPr>
      </w:pPr>
      <w:r>
        <w:rPr>
          <w:rFonts w:hint="eastAsia" w:ascii="Times New Roman" w:hAnsi="Times New Roman" w:eastAsia="方正仿宋_GBK" w:cs="方正仿宋_GBK"/>
          <w:snapToGrid w:val="0"/>
          <w:color w:val="000000"/>
          <w:kern w:val="32"/>
          <w:sz w:val="24"/>
        </w:rPr>
        <w:t>（一）受聘企业变更</w:t>
      </w:r>
    </w:p>
    <w:p>
      <w:pPr>
        <w:spacing w:line="460" w:lineRule="exact"/>
        <w:ind w:firstLine="470" w:firstLineChars="196"/>
        <w:rPr>
          <w:rFonts w:hint="eastAsia" w:ascii="Times New Roman" w:hAnsi="Times New Roman" w:eastAsia="方正仿宋_GBK" w:cs="方正仿宋_GBK"/>
          <w:snapToGrid w:val="0"/>
          <w:color w:val="000000"/>
          <w:kern w:val="32"/>
          <w:sz w:val="24"/>
        </w:rPr>
      </w:pPr>
      <w:r>
        <w:rPr>
          <w:rFonts w:hint="eastAsia" w:ascii="Times New Roman" w:hAnsi="Times New Roman" w:eastAsia="方正仿宋_GBK" w:cs="方正仿宋_GBK"/>
          <w:snapToGrid w:val="0"/>
          <w:color w:val="000000"/>
          <w:kern w:val="32"/>
          <w:sz w:val="24"/>
        </w:rPr>
        <w:t>1、“安管人员”考试取得安全生产考核合格证书后首次变更不受时限限制。</w:t>
      </w:r>
    </w:p>
    <w:p>
      <w:pPr>
        <w:spacing w:line="460" w:lineRule="exact"/>
        <w:ind w:firstLine="470" w:firstLineChars="196"/>
        <w:rPr>
          <w:rFonts w:hint="eastAsia" w:ascii="Times New Roman" w:hAnsi="Times New Roman" w:eastAsia="方正仿宋_GBK" w:cs="方正仿宋_GBK"/>
          <w:snapToGrid w:val="0"/>
          <w:color w:val="000000"/>
          <w:kern w:val="32"/>
          <w:sz w:val="24"/>
        </w:rPr>
      </w:pPr>
      <w:r>
        <w:rPr>
          <w:rFonts w:hint="eastAsia" w:ascii="Times New Roman" w:hAnsi="Times New Roman" w:eastAsia="方正仿宋_GBK" w:cs="方正仿宋_GBK"/>
          <w:snapToGrid w:val="0"/>
          <w:color w:val="000000"/>
          <w:kern w:val="32"/>
          <w:sz w:val="24"/>
        </w:rPr>
        <w:t>2、“安管人员”变更工作单位办理不受原所在企业“安全生产许可证”配备人数标准的限制。</w:t>
      </w:r>
    </w:p>
    <w:p>
      <w:pPr>
        <w:autoSpaceDE w:val="0"/>
        <w:autoSpaceDN w:val="0"/>
        <w:snapToGrid w:val="0"/>
        <w:spacing w:line="460" w:lineRule="exact"/>
        <w:ind w:firstLine="470" w:firstLineChars="196"/>
        <w:rPr>
          <w:rFonts w:hint="eastAsia" w:ascii="Times New Roman" w:hAnsi="Times New Roman" w:eastAsia="方正仿宋_GBK" w:cs="方正仿宋_GBK"/>
          <w:snapToGrid w:val="0"/>
          <w:color w:val="000000"/>
          <w:kern w:val="32"/>
          <w:sz w:val="24"/>
        </w:rPr>
      </w:pPr>
      <w:r>
        <w:rPr>
          <w:rFonts w:hint="eastAsia" w:ascii="Times New Roman" w:hAnsi="Times New Roman" w:eastAsia="方正仿宋_GBK" w:cs="方正仿宋_GBK"/>
          <w:snapToGrid w:val="0"/>
          <w:color w:val="000000"/>
          <w:kern w:val="32"/>
          <w:sz w:val="24"/>
        </w:rPr>
        <w:t>3、为确保数据的安全有效性，已在江苏住建系统一体化信用管理服务平台中采集过二代身份证信息或已变更过个人身份信息的“安管人员”不予信息变更。</w:t>
      </w:r>
    </w:p>
    <w:p>
      <w:pPr>
        <w:spacing w:line="460" w:lineRule="exact"/>
        <w:ind w:firstLine="424" w:firstLineChars="177"/>
        <w:rPr>
          <w:rFonts w:hint="eastAsia" w:ascii="Times New Roman" w:hAnsi="Times New Roman" w:eastAsia="方正仿宋_GBK" w:cs="方正仿宋_GBK"/>
          <w:snapToGrid w:val="0"/>
          <w:color w:val="000000"/>
          <w:kern w:val="32"/>
          <w:sz w:val="24"/>
        </w:rPr>
      </w:pPr>
      <w:r>
        <w:rPr>
          <w:rFonts w:hint="eastAsia" w:ascii="Times New Roman" w:hAnsi="Times New Roman" w:eastAsia="方正仿宋_GBK" w:cs="方正仿宋_GBK"/>
          <w:snapToGrid w:val="0"/>
          <w:color w:val="000000"/>
          <w:kern w:val="32"/>
          <w:sz w:val="24"/>
        </w:rPr>
        <w:t>（二）出省变更</w:t>
      </w:r>
    </w:p>
    <w:p>
      <w:pPr>
        <w:autoSpaceDE w:val="0"/>
        <w:autoSpaceDN w:val="0"/>
        <w:snapToGrid w:val="0"/>
        <w:spacing w:line="460" w:lineRule="exact"/>
        <w:ind w:firstLine="624"/>
        <w:rPr>
          <w:rFonts w:hint="eastAsia" w:ascii="Times New Roman" w:hAnsi="Times New Roman" w:eastAsia="方正仿宋_GBK" w:cs="方正仿宋_GBK"/>
          <w:snapToGrid w:val="0"/>
          <w:color w:val="000000"/>
          <w:kern w:val="32"/>
          <w:sz w:val="24"/>
        </w:rPr>
      </w:pPr>
      <w:r>
        <w:rPr>
          <w:rFonts w:hint="eastAsia" w:ascii="Times New Roman" w:hAnsi="Times New Roman" w:eastAsia="方正仿宋_GBK" w:cs="方正仿宋_GBK"/>
          <w:snapToGrid w:val="0"/>
          <w:color w:val="000000"/>
          <w:kern w:val="32"/>
          <w:sz w:val="24"/>
        </w:rPr>
        <w:t>自2016年9月1日起，企业可在江苏住建系统一体化信用管理服务平台申请办理出省变更事项，具体流程如下：</w:t>
      </w:r>
    </w:p>
    <w:p>
      <w:pPr>
        <w:autoSpaceDE w:val="0"/>
        <w:autoSpaceDN w:val="0"/>
        <w:snapToGrid w:val="0"/>
        <w:spacing w:line="460" w:lineRule="exact"/>
        <w:ind w:firstLine="470" w:firstLineChars="196"/>
        <w:rPr>
          <w:rFonts w:hint="eastAsia" w:ascii="Times New Roman" w:hAnsi="Times New Roman" w:eastAsia="方正仿宋_GBK" w:cs="方正仿宋_GBK"/>
          <w:snapToGrid w:val="0"/>
          <w:color w:val="000000"/>
          <w:kern w:val="32"/>
          <w:sz w:val="24"/>
        </w:rPr>
      </w:pPr>
      <w:r>
        <w:rPr>
          <w:rFonts w:hint="eastAsia" w:ascii="Times New Roman" w:hAnsi="Times New Roman" w:eastAsia="方正仿宋_GBK" w:cs="方正仿宋_GBK"/>
          <w:snapToGrid w:val="0"/>
          <w:color w:val="000000"/>
          <w:kern w:val="32"/>
          <w:sz w:val="24"/>
        </w:rPr>
        <w:t>1、企业通过江苏住建系统一体化信用管理服务平台提交变更申请。</w:t>
      </w:r>
    </w:p>
    <w:p>
      <w:pPr>
        <w:autoSpaceDE w:val="0"/>
        <w:autoSpaceDN w:val="0"/>
        <w:snapToGrid w:val="0"/>
        <w:spacing w:line="460" w:lineRule="exact"/>
        <w:ind w:firstLine="624"/>
        <w:rPr>
          <w:rFonts w:hint="eastAsia" w:ascii="Times New Roman" w:hAnsi="Times New Roman" w:eastAsia="方正仿宋_GBK" w:cs="方正仿宋_GBK"/>
          <w:snapToGrid w:val="0"/>
          <w:color w:val="000000"/>
          <w:kern w:val="32"/>
          <w:sz w:val="24"/>
        </w:rPr>
      </w:pPr>
      <w:r>
        <w:rPr>
          <w:rFonts w:hint="eastAsia" w:ascii="Times New Roman" w:hAnsi="Times New Roman" w:eastAsia="方正仿宋_GBK" w:cs="方正仿宋_GBK"/>
          <w:snapToGrid w:val="0"/>
          <w:color w:val="000000"/>
          <w:kern w:val="32"/>
          <w:sz w:val="24"/>
        </w:rPr>
        <w:t>2、企业所在地市、县（市）住房城乡建设行政主管部门进行初审，并在证书照片页加盖“已转出”印章。</w:t>
      </w:r>
    </w:p>
    <w:p>
      <w:pPr>
        <w:autoSpaceDE w:val="0"/>
        <w:autoSpaceDN w:val="0"/>
        <w:snapToGrid w:val="0"/>
        <w:spacing w:line="460" w:lineRule="exact"/>
        <w:ind w:firstLine="624"/>
        <w:rPr>
          <w:rFonts w:hint="eastAsia" w:ascii="Times New Roman" w:hAnsi="Times New Roman" w:eastAsia="方正仿宋_GBK" w:cs="方正仿宋_GBK"/>
          <w:snapToGrid w:val="0"/>
          <w:color w:val="000000"/>
          <w:kern w:val="32"/>
          <w:sz w:val="24"/>
        </w:rPr>
      </w:pPr>
      <w:r>
        <w:rPr>
          <w:rFonts w:hint="eastAsia" w:ascii="Times New Roman" w:hAnsi="Times New Roman" w:eastAsia="方正仿宋_GBK" w:cs="方正仿宋_GBK"/>
          <w:snapToGrid w:val="0"/>
          <w:color w:val="000000"/>
          <w:kern w:val="32"/>
          <w:sz w:val="24"/>
        </w:rPr>
        <w:t>3、厅便民服务中心“安全窗口”进行网上审核。</w:t>
      </w:r>
    </w:p>
    <w:p>
      <w:pPr>
        <w:spacing w:line="460" w:lineRule="exact"/>
        <w:ind w:firstLine="470" w:firstLineChars="196"/>
        <w:rPr>
          <w:rFonts w:hint="eastAsia" w:ascii="Times New Roman" w:hAnsi="Times New Roman" w:eastAsia="方正仿宋_GBK" w:cs="方正仿宋_GBK"/>
          <w:snapToGrid w:val="0"/>
          <w:color w:val="000000"/>
          <w:kern w:val="32"/>
          <w:sz w:val="24"/>
        </w:rPr>
      </w:pPr>
      <w:r>
        <w:rPr>
          <w:rFonts w:hint="eastAsia" w:ascii="Times New Roman" w:hAnsi="Times New Roman" w:eastAsia="方正仿宋_GBK" w:cs="方正仿宋_GBK"/>
          <w:snapToGrid w:val="0"/>
          <w:color w:val="000000"/>
          <w:kern w:val="32"/>
          <w:sz w:val="24"/>
        </w:rPr>
        <w:t>4、申请人打印《出省变更申请表》，并持该表和加盖“已转出”印章的证书等资料，至外省有关部门办理转入手续。</w:t>
      </w:r>
    </w:p>
    <w:p>
      <w:pPr>
        <w:spacing w:line="460" w:lineRule="exact"/>
        <w:ind w:firstLine="424" w:firstLineChars="177"/>
        <w:rPr>
          <w:rFonts w:hint="eastAsia" w:ascii="Times New Roman" w:hAnsi="Times New Roman" w:eastAsia="方正仿宋_GBK" w:cs="方正仿宋_GBK"/>
          <w:snapToGrid w:val="0"/>
          <w:color w:val="000000"/>
          <w:kern w:val="32"/>
          <w:sz w:val="24"/>
        </w:rPr>
      </w:pPr>
      <w:r>
        <w:rPr>
          <w:rFonts w:hint="eastAsia" w:ascii="Times New Roman" w:hAnsi="Times New Roman" w:eastAsia="方正仿宋_GBK" w:cs="方正仿宋_GBK"/>
          <w:snapToGrid w:val="0"/>
          <w:color w:val="000000"/>
          <w:kern w:val="32"/>
          <w:sz w:val="24"/>
        </w:rPr>
        <w:t>（三）进省变更</w:t>
      </w:r>
    </w:p>
    <w:p>
      <w:pPr>
        <w:autoSpaceDE w:val="0"/>
        <w:autoSpaceDN w:val="0"/>
        <w:snapToGrid w:val="0"/>
        <w:spacing w:line="460" w:lineRule="exact"/>
        <w:ind w:firstLine="470" w:firstLineChars="196"/>
        <w:rPr>
          <w:rFonts w:hint="eastAsia" w:ascii="Times New Roman" w:hAnsi="Times New Roman" w:eastAsia="方正仿宋_GBK" w:cs="方正仿宋_GBK"/>
          <w:snapToGrid w:val="0"/>
          <w:color w:val="000000"/>
          <w:kern w:val="32"/>
          <w:sz w:val="24"/>
        </w:rPr>
      </w:pPr>
      <w:r>
        <w:rPr>
          <w:rFonts w:hint="eastAsia" w:ascii="Times New Roman" w:hAnsi="Times New Roman" w:eastAsia="方正仿宋_GBK" w:cs="方正仿宋_GBK"/>
          <w:snapToGrid w:val="0"/>
          <w:color w:val="000000"/>
          <w:kern w:val="32"/>
          <w:sz w:val="24"/>
        </w:rPr>
        <w:t>自2016年9月30日起，企业可在江苏住建系统一体化信用管理服务平台申请办理进变更事项，具体流程如下：</w:t>
      </w:r>
    </w:p>
    <w:p>
      <w:pPr>
        <w:autoSpaceDE w:val="0"/>
        <w:autoSpaceDN w:val="0"/>
        <w:snapToGrid w:val="0"/>
        <w:spacing w:line="460" w:lineRule="exact"/>
        <w:ind w:firstLine="624"/>
        <w:rPr>
          <w:rFonts w:hint="eastAsia" w:ascii="Times New Roman" w:hAnsi="Times New Roman" w:eastAsia="方正仿宋_GBK" w:cs="方正仿宋_GBK"/>
          <w:snapToGrid w:val="0"/>
          <w:color w:val="000000"/>
          <w:kern w:val="32"/>
          <w:sz w:val="24"/>
        </w:rPr>
      </w:pPr>
      <w:r>
        <w:rPr>
          <w:rFonts w:hint="eastAsia" w:ascii="Times New Roman" w:hAnsi="Times New Roman" w:eastAsia="方正仿宋_GBK" w:cs="方正仿宋_GBK"/>
          <w:snapToGrid w:val="0"/>
          <w:color w:val="000000"/>
          <w:kern w:val="32"/>
          <w:sz w:val="24"/>
        </w:rPr>
        <w:t>1、企业通过江苏住建系统一体化信用管理服务平台提交变更申请，并上传以下材料扫描件：由原聘用企业所在省级主管部门签署同意转出意见的《变更申请表》、原聘用企业解聘合同、现聘用企业的劳动合同、“安管人员”</w:t>
      </w:r>
      <w:r>
        <w:rPr>
          <w:rFonts w:hint="eastAsia" w:ascii="Times New Roman" w:hAnsi="Times New Roman" w:eastAsia="方正仿宋_GBK" w:cs="方正仿宋_GBK"/>
          <w:color w:val="000000"/>
          <w:sz w:val="24"/>
        </w:rPr>
        <w:t>安全生产考核合格证书</w:t>
      </w:r>
      <w:r>
        <w:rPr>
          <w:rFonts w:hint="eastAsia" w:ascii="Times New Roman" w:hAnsi="Times New Roman" w:eastAsia="方正仿宋_GBK" w:cs="方正仿宋_GBK"/>
          <w:snapToGrid w:val="0"/>
          <w:color w:val="000000"/>
          <w:kern w:val="32"/>
          <w:sz w:val="24"/>
        </w:rPr>
        <w:t>、身份证。</w:t>
      </w:r>
    </w:p>
    <w:p>
      <w:pPr>
        <w:autoSpaceDE w:val="0"/>
        <w:autoSpaceDN w:val="0"/>
        <w:snapToGrid w:val="0"/>
        <w:spacing w:line="460" w:lineRule="exact"/>
        <w:ind w:firstLine="624"/>
        <w:rPr>
          <w:rFonts w:hint="eastAsia" w:ascii="Times New Roman" w:hAnsi="Times New Roman" w:eastAsia="方正仿宋_GBK" w:cs="方正仿宋_GBK"/>
          <w:snapToGrid w:val="0"/>
          <w:color w:val="000000"/>
          <w:kern w:val="32"/>
          <w:sz w:val="24"/>
        </w:rPr>
      </w:pPr>
      <w:r>
        <w:rPr>
          <w:rFonts w:hint="eastAsia" w:ascii="Times New Roman" w:hAnsi="Times New Roman" w:eastAsia="方正仿宋_GBK" w:cs="方正仿宋_GBK"/>
          <w:snapToGrid w:val="0"/>
          <w:color w:val="000000"/>
          <w:kern w:val="32"/>
          <w:sz w:val="24"/>
        </w:rPr>
        <w:t>2、企业所在地市、县（市）住房城乡建设行政主管部门进行初审，提出初审意见。</w:t>
      </w:r>
    </w:p>
    <w:p>
      <w:pPr>
        <w:autoSpaceDE w:val="0"/>
        <w:autoSpaceDN w:val="0"/>
        <w:snapToGrid w:val="0"/>
        <w:spacing w:line="460" w:lineRule="exact"/>
        <w:ind w:firstLine="624"/>
        <w:rPr>
          <w:rFonts w:hint="eastAsia" w:ascii="Times New Roman" w:hAnsi="Times New Roman" w:eastAsia="方正仿宋_GBK" w:cs="方正仿宋_GBK"/>
          <w:snapToGrid w:val="0"/>
          <w:color w:val="000000"/>
          <w:kern w:val="32"/>
          <w:sz w:val="24"/>
        </w:rPr>
      </w:pPr>
      <w:r>
        <w:rPr>
          <w:rFonts w:hint="eastAsia" w:ascii="Times New Roman" w:hAnsi="Times New Roman" w:eastAsia="方正仿宋_GBK" w:cs="方正仿宋_GBK"/>
          <w:snapToGrid w:val="0"/>
          <w:color w:val="000000"/>
          <w:kern w:val="32"/>
          <w:sz w:val="24"/>
        </w:rPr>
        <w:t>3、厅便民服务中心“安全窗口”进行网上审核。</w:t>
      </w:r>
    </w:p>
    <w:p>
      <w:pPr>
        <w:spacing w:line="460" w:lineRule="exact"/>
        <w:ind w:firstLine="470" w:firstLineChars="196"/>
        <w:rPr>
          <w:rFonts w:hint="eastAsia" w:ascii="Times New Roman" w:hAnsi="Times New Roman" w:eastAsia="方正仿宋_GBK" w:cs="方正仿宋_GBK"/>
          <w:color w:val="000000"/>
          <w:sz w:val="24"/>
        </w:rPr>
      </w:pPr>
      <w:r>
        <w:rPr>
          <w:rFonts w:hint="eastAsia" w:ascii="Times New Roman" w:hAnsi="Times New Roman" w:eastAsia="方正仿宋_GBK" w:cs="方正仿宋_GBK"/>
          <w:snapToGrid w:val="0"/>
          <w:color w:val="000000"/>
          <w:kern w:val="32"/>
          <w:sz w:val="24"/>
        </w:rPr>
        <w:t>4、申请人企业所在地市、县（市）住房城乡建设行政主管部门打印“安管人员”</w:t>
      </w:r>
      <w:r>
        <w:rPr>
          <w:rFonts w:hint="eastAsia" w:ascii="Times New Roman" w:hAnsi="Times New Roman" w:eastAsia="方正仿宋_GBK" w:cs="方正仿宋_GBK"/>
          <w:color w:val="000000"/>
          <w:sz w:val="24"/>
        </w:rPr>
        <w:t>安全生产考核合格证书</w:t>
      </w:r>
      <w:r>
        <w:rPr>
          <w:rFonts w:hint="eastAsia" w:ascii="Times New Roman" w:hAnsi="Times New Roman" w:eastAsia="方正仿宋_GBK" w:cs="方正仿宋_GBK"/>
          <w:snapToGrid w:val="0"/>
          <w:color w:val="000000"/>
          <w:kern w:val="32"/>
          <w:sz w:val="24"/>
        </w:rPr>
        <w:t>。</w:t>
      </w:r>
    </w:p>
    <w:p>
      <w:pPr>
        <w:spacing w:line="460" w:lineRule="exact"/>
        <w:ind w:firstLine="470" w:firstLineChars="196"/>
        <w:rPr>
          <w:rFonts w:hint="eastAsia" w:ascii="Times New Roman" w:hAnsi="Times New Roman" w:eastAsia="方正仿宋_GBK" w:cs="方正仿宋_GBK"/>
          <w:color w:val="000000"/>
          <w:sz w:val="24"/>
        </w:rPr>
      </w:pPr>
      <w:r>
        <w:rPr>
          <w:rFonts w:hint="eastAsia" w:ascii="Times New Roman" w:hAnsi="Times New Roman" w:eastAsia="方正仿宋_GBK" w:cs="方正仿宋_GBK"/>
          <w:color w:val="000000"/>
          <w:sz w:val="24"/>
        </w:rPr>
        <w:t>三、证书暂扣或吊销</w:t>
      </w:r>
    </w:p>
    <w:p>
      <w:pPr>
        <w:spacing w:line="460" w:lineRule="exact"/>
        <w:ind w:firstLine="470" w:firstLineChars="196"/>
        <w:rPr>
          <w:rFonts w:hint="eastAsia" w:ascii="Times New Roman" w:hAnsi="Times New Roman" w:eastAsia="方正仿宋_GBK" w:cs="方正仿宋_GBK"/>
          <w:color w:val="000000"/>
          <w:sz w:val="24"/>
        </w:rPr>
      </w:pPr>
      <w:r>
        <w:rPr>
          <w:rFonts w:hint="eastAsia" w:ascii="Times New Roman" w:hAnsi="Times New Roman" w:eastAsia="方正仿宋_GBK" w:cs="方正仿宋_GBK"/>
          <w:color w:val="000000"/>
          <w:sz w:val="24"/>
        </w:rPr>
        <w:t>（一）建筑施工企业专职安全生产管理人员未按规定履行安全生产管理职责，造成生产安全事故或其他严重后果的，按照《生产安全事故报告和调查处理条例》等有关规定，依法暂扣或吊销其安全生产考核合格证书。事故责任人在处罚期满后，需参加省住房城乡建设厅组织的事故企业人员培训考核，考核合格的恢复证书有效状态。</w:t>
      </w:r>
    </w:p>
    <w:p>
      <w:pPr>
        <w:spacing w:line="460" w:lineRule="exact"/>
        <w:ind w:firstLine="470" w:firstLineChars="196"/>
        <w:rPr>
          <w:rFonts w:hint="eastAsia" w:ascii="Times New Roman" w:hAnsi="Times New Roman" w:eastAsia="方正仿宋_GBK" w:cs="方正仿宋_GBK"/>
          <w:color w:val="000000"/>
          <w:sz w:val="24"/>
        </w:rPr>
      </w:pPr>
      <w:r>
        <w:rPr>
          <w:rFonts w:hint="eastAsia" w:ascii="Times New Roman" w:hAnsi="Times New Roman" w:eastAsia="方正仿宋_GBK" w:cs="方正仿宋_GBK"/>
          <w:color w:val="000000"/>
          <w:sz w:val="24"/>
        </w:rPr>
        <w:t>（二）事故责任人员行政处罚告知书、决定书通过江苏住建系统一体化信用管理服务平台送达。</w:t>
      </w:r>
    </w:p>
    <w:p>
      <w:pPr>
        <w:spacing w:line="460" w:lineRule="exact"/>
        <w:ind w:firstLine="470" w:firstLineChars="196"/>
        <w:rPr>
          <w:rFonts w:hint="eastAsia" w:ascii="Times New Roman" w:hAnsi="Times New Roman" w:eastAsia="方正仿宋_GBK" w:cs="方正仿宋_GBK"/>
          <w:color w:val="000000"/>
          <w:sz w:val="24"/>
        </w:rPr>
      </w:pPr>
      <w:r>
        <w:rPr>
          <w:rFonts w:hint="eastAsia" w:ascii="Times New Roman" w:hAnsi="Times New Roman" w:eastAsia="方正仿宋_GBK" w:cs="方正仿宋_GBK"/>
          <w:color w:val="000000"/>
          <w:sz w:val="24"/>
        </w:rPr>
        <w:t>请各地住房城乡建设行政主管部门和建筑业施工企业、人员严格按照本《通知》规定执行，如有问题请与省住房城乡建设厅质安处和考试注册中心联系。</w:t>
      </w:r>
    </w:p>
    <w:p>
      <w:pPr>
        <w:spacing w:line="460" w:lineRule="exact"/>
        <w:ind w:firstLine="424" w:firstLineChars="177"/>
        <w:rPr>
          <w:rFonts w:hint="eastAsia" w:ascii="Times New Roman" w:hAnsi="Times New Roman" w:eastAsia="方正仿宋_GBK" w:cs="方正仿宋_GBK"/>
          <w:color w:val="000000"/>
          <w:sz w:val="24"/>
        </w:rPr>
      </w:pPr>
      <w:r>
        <w:rPr>
          <w:rFonts w:hint="eastAsia" w:ascii="Times New Roman" w:hAnsi="Times New Roman" w:eastAsia="方正仿宋_GBK" w:cs="方正仿宋_GBK"/>
          <w:color w:val="000000"/>
          <w:sz w:val="24"/>
        </w:rPr>
        <w:t>联系人：厅质安处，罗捷，联系电话：025-51868638；厅考试注册中心，金传春，联系电话：025-51868922</w:t>
      </w:r>
    </w:p>
    <w:p>
      <w:pPr>
        <w:spacing w:line="460" w:lineRule="exact"/>
        <w:rPr>
          <w:rFonts w:hint="eastAsia" w:eastAsia="方正仿宋_GBK"/>
          <w:color w:val="000000"/>
          <w:spacing w:val="-2"/>
          <w:sz w:val="24"/>
        </w:rPr>
      </w:pPr>
      <w:r>
        <w:rPr>
          <w:rFonts w:hint="eastAsia" w:ascii="Times New Roman" w:hAnsi="Times New Roman" w:eastAsia="方正仿宋_GBK" w:cs="方正仿宋_GBK"/>
          <w:color w:val="000000"/>
          <w:sz w:val="24"/>
        </w:rPr>
        <w:t xml:space="preserve">  江苏省住房和城乡建设厅2016年8月  日</w:t>
      </w:r>
    </w:p>
    <w:p>
      <w:pPr>
        <w:pStyle w:val="2"/>
        <w:spacing w:before="240" w:beforeLines="100" w:after="240" w:afterLines="100" w:line="240" w:lineRule="auto"/>
        <w:jc w:val="center"/>
        <w:rPr>
          <w:rFonts w:eastAsia="方正仿宋_GBK"/>
          <w:color w:val="000000"/>
          <w:spacing w:val="-2"/>
          <w:kern w:val="0"/>
          <w:sz w:val="24"/>
        </w:rPr>
      </w:pPr>
      <w:r>
        <w:rPr>
          <w:rFonts w:eastAsia="方正仿宋_GBK"/>
          <w:b w:val="0"/>
          <w:color w:val="000000"/>
          <w:spacing w:val="-2"/>
          <w:sz w:val="24"/>
        </w:rPr>
        <w:br w:type="column"/>
      </w:r>
    </w:p>
    <w:p>
      <w:pPr>
        <w:spacing w:line="460" w:lineRule="exact"/>
        <w:outlineLvl w:val="0"/>
        <w:rPr>
          <w:rFonts w:eastAsia="方正仿宋_GBK"/>
          <w:color w:val="000000"/>
          <w:spacing w:val="-2"/>
          <w:kern w:val="0"/>
          <w:sz w:val="24"/>
        </w:rPr>
      </w:pPr>
    </w:p>
    <w:p/>
    <w:p/>
    <w:p/>
    <w:p/>
    <w:p/>
    <w:p/>
    <w:p>
      <w:pPr>
        <w:pStyle w:val="2"/>
        <w:spacing w:before="240" w:beforeLines="100" w:after="240" w:afterLines="100" w:line="240" w:lineRule="auto"/>
        <w:jc w:val="center"/>
        <w:rPr>
          <w:rFonts w:ascii="Times New Roman" w:eastAsia="方正小标宋_GBK"/>
          <w:b w:val="0"/>
          <w:sz w:val="36"/>
          <w:szCs w:val="36"/>
        </w:rPr>
      </w:pPr>
      <w:r>
        <w:rPr>
          <w:b w:val="0"/>
        </w:rPr>
        <w:br w:type="column"/>
      </w:r>
      <w:bookmarkStart w:id="612" w:name="_Toc20726674"/>
      <w:bookmarkStart w:id="613" w:name="_Toc18315811"/>
      <w:r>
        <w:rPr>
          <w:rFonts w:hint="eastAsia" w:ascii="Times New Roman" w:eastAsia="方正小标宋_GBK"/>
          <w:b w:val="0"/>
          <w:sz w:val="36"/>
          <w:szCs w:val="36"/>
        </w:rPr>
        <w:t>江苏省房地产业企业行政许可电子化工作实施细则  （试行）</w:t>
      </w:r>
      <w:bookmarkEnd w:id="612"/>
      <w:bookmarkEnd w:id="613"/>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614" w:name="_Toc18315812"/>
      <w:bookmarkStart w:id="615" w:name="_Toc20726675"/>
      <w:r>
        <w:rPr>
          <w:rFonts w:hint="eastAsia" w:ascii="Times New Roman" w:hAnsi="Times New Roman" w:eastAsia="方正楷体_GBK"/>
          <w:b w:val="0"/>
          <w:sz w:val="24"/>
          <w:szCs w:val="24"/>
        </w:rPr>
        <w:t>苏建审批〔</w:t>
      </w:r>
      <w:r>
        <w:rPr>
          <w:rFonts w:ascii="Times New Roman" w:hAnsi="Times New Roman" w:eastAsia="方正楷体_GBK"/>
          <w:b w:val="0"/>
          <w:sz w:val="24"/>
          <w:szCs w:val="24"/>
        </w:rPr>
        <w:t>2008</w:t>
      </w:r>
      <w:r>
        <w:rPr>
          <w:rFonts w:hint="eastAsia" w:ascii="Times New Roman" w:hAnsi="Times New Roman" w:eastAsia="方正楷体_GBK"/>
          <w:b w:val="0"/>
          <w:sz w:val="24"/>
          <w:szCs w:val="24"/>
        </w:rPr>
        <w:t>〕</w:t>
      </w:r>
      <w:r>
        <w:rPr>
          <w:rFonts w:ascii="Times New Roman" w:hAnsi="Times New Roman" w:eastAsia="方正楷体_GBK"/>
          <w:b w:val="0"/>
          <w:sz w:val="24"/>
          <w:szCs w:val="24"/>
        </w:rPr>
        <w:t>271</w:t>
      </w:r>
      <w:r>
        <w:rPr>
          <w:rFonts w:hint="eastAsia" w:ascii="Times New Roman" w:hAnsi="Times New Roman" w:eastAsia="方正楷体_GBK"/>
          <w:b w:val="0"/>
          <w:sz w:val="24"/>
          <w:szCs w:val="24"/>
        </w:rPr>
        <w:t>号</w:t>
      </w:r>
      <w:bookmarkEnd w:id="614"/>
      <w:bookmarkEnd w:id="615"/>
    </w:p>
    <w:p>
      <w:pPr>
        <w:shd w:val="clear" w:color="auto" w:fill="FFFFFF"/>
        <w:spacing w:line="460" w:lineRule="exact"/>
        <w:ind w:firstLine="482" w:firstLineChars="200"/>
        <w:jc w:val="center"/>
        <w:textAlignment w:val="baseline"/>
        <w:rPr>
          <w:rFonts w:eastAsia="方正仿宋_GBK"/>
          <w:b/>
          <w:bCs/>
          <w:color w:val="000000"/>
          <w:kern w:val="0"/>
          <w:sz w:val="24"/>
        </w:rPr>
      </w:pPr>
    </w:p>
    <w:p>
      <w:pPr>
        <w:shd w:val="clear" w:color="auto" w:fill="FFFFFF"/>
        <w:spacing w:line="460" w:lineRule="exact"/>
        <w:jc w:val="center"/>
        <w:textAlignment w:val="baseline"/>
        <w:rPr>
          <w:rFonts w:ascii="Times New Roman" w:eastAsia="黑体"/>
          <w:color w:val="000000"/>
          <w:kern w:val="0"/>
          <w:sz w:val="24"/>
        </w:rPr>
      </w:pPr>
      <w:r>
        <w:rPr>
          <w:rFonts w:hint="eastAsia" w:ascii="Times New Roman" w:eastAsia="黑体"/>
          <w:bCs/>
          <w:color w:val="000000"/>
          <w:kern w:val="0"/>
          <w:sz w:val="24"/>
        </w:rPr>
        <w:t>一、总则</w:t>
      </w:r>
    </w:p>
    <w:p>
      <w:pPr>
        <w:shd w:val="clear" w:color="auto" w:fill="FFFFFF"/>
        <w:spacing w:line="460" w:lineRule="exact"/>
        <w:ind w:firstLine="480" w:firstLineChars="200"/>
        <w:jc w:val="left"/>
        <w:textAlignment w:val="baseline"/>
        <w:rPr>
          <w:rFonts w:hint="eastAsia" w:eastAsia="方正仿宋_GBK"/>
          <w:color w:val="000000"/>
          <w:kern w:val="0"/>
          <w:sz w:val="24"/>
        </w:rPr>
      </w:pPr>
      <w:r>
        <w:rPr>
          <w:rFonts w:hint="eastAsia" w:ascii="Times New Roman" w:eastAsia="黑体"/>
          <w:bCs/>
          <w:color w:val="000000"/>
          <w:kern w:val="0"/>
          <w:sz w:val="24"/>
        </w:rPr>
        <w:t>第一条</w:t>
      </w:r>
      <w:r>
        <w:rPr>
          <w:rFonts w:eastAsia="方正仿宋_GBK"/>
          <w:color w:val="000000"/>
          <w:kern w:val="0"/>
          <w:sz w:val="24"/>
        </w:rPr>
        <w:t xml:space="preserve">  </w:t>
      </w:r>
      <w:r>
        <w:rPr>
          <w:rFonts w:hint="eastAsia" w:eastAsia="方正仿宋_GBK"/>
          <w:color w:val="000000"/>
          <w:kern w:val="0"/>
          <w:sz w:val="24"/>
        </w:rPr>
        <w:t>为规范全省房地产业企业行政许可电子化工作，根据《省政府办公厅关于开展行政权力网上公开透明运行工作的意见》</w:t>
      </w:r>
      <w:r>
        <w:rPr>
          <w:rFonts w:eastAsia="方正仿宋_GBK"/>
          <w:color w:val="000000"/>
          <w:kern w:val="0"/>
          <w:sz w:val="24"/>
        </w:rPr>
        <w:t>(</w:t>
      </w:r>
      <w:r>
        <w:rPr>
          <w:rFonts w:hint="eastAsia" w:eastAsia="方正仿宋_GBK"/>
          <w:color w:val="000000"/>
          <w:kern w:val="0"/>
          <w:sz w:val="24"/>
        </w:rPr>
        <w:t>苏政办发〔</w:t>
      </w:r>
      <w:r>
        <w:rPr>
          <w:rFonts w:eastAsia="方正仿宋_GBK"/>
          <w:color w:val="000000"/>
          <w:kern w:val="0"/>
          <w:sz w:val="24"/>
        </w:rPr>
        <w:t>2008</w:t>
      </w:r>
      <w:r>
        <w:rPr>
          <w:rFonts w:hint="eastAsia" w:eastAsia="方正仿宋_GBK"/>
          <w:color w:val="000000"/>
          <w:kern w:val="0"/>
          <w:sz w:val="24"/>
        </w:rPr>
        <w:t>〕</w:t>
      </w:r>
      <w:r>
        <w:rPr>
          <w:rFonts w:eastAsia="方正仿宋_GBK"/>
          <w:color w:val="000000"/>
          <w:kern w:val="0"/>
          <w:sz w:val="24"/>
        </w:rPr>
        <w:t>50</w:t>
      </w:r>
      <w:r>
        <w:rPr>
          <w:rFonts w:hint="eastAsia" w:eastAsia="方正仿宋_GBK"/>
          <w:color w:val="000000"/>
          <w:kern w:val="0"/>
          <w:sz w:val="24"/>
        </w:rPr>
        <w:t>号</w:t>
      </w:r>
      <w:r>
        <w:rPr>
          <w:rFonts w:eastAsia="方正仿宋_GBK"/>
          <w:color w:val="000000"/>
          <w:kern w:val="0"/>
          <w:sz w:val="24"/>
        </w:rPr>
        <w:t>)</w:t>
      </w:r>
      <w:r>
        <w:rPr>
          <w:rFonts w:hint="eastAsia" w:eastAsia="方正仿宋_GBK"/>
          <w:color w:val="000000"/>
          <w:kern w:val="0"/>
          <w:sz w:val="24"/>
        </w:rPr>
        <w:t>有关精神，制定本细则。</w:t>
      </w:r>
    </w:p>
    <w:p>
      <w:pPr>
        <w:shd w:val="clear" w:color="auto" w:fill="FFFFFF"/>
        <w:spacing w:line="460" w:lineRule="exact"/>
        <w:ind w:firstLine="480" w:firstLineChars="200"/>
        <w:jc w:val="left"/>
        <w:textAlignment w:val="baseline"/>
        <w:rPr>
          <w:rFonts w:eastAsia="方正仿宋_GBK"/>
          <w:color w:val="000000"/>
          <w:kern w:val="0"/>
          <w:sz w:val="24"/>
        </w:rPr>
      </w:pPr>
      <w:r>
        <w:rPr>
          <w:rFonts w:hint="eastAsia" w:ascii="Times New Roman" w:eastAsia="黑体"/>
          <w:bCs/>
          <w:color w:val="000000"/>
          <w:kern w:val="0"/>
          <w:sz w:val="24"/>
        </w:rPr>
        <w:t>第二条</w:t>
      </w:r>
      <w:r>
        <w:rPr>
          <w:rFonts w:eastAsia="方正仿宋_GBK"/>
          <w:color w:val="000000"/>
          <w:kern w:val="0"/>
          <w:sz w:val="24"/>
        </w:rPr>
        <w:t xml:space="preserve">   “</w:t>
      </w:r>
      <w:r>
        <w:rPr>
          <w:rFonts w:hint="eastAsia" w:eastAsia="方正仿宋_GBK"/>
          <w:color w:val="000000"/>
          <w:kern w:val="0"/>
          <w:sz w:val="24"/>
        </w:rPr>
        <w:t>江苏省房地产行政许可综合服务系统</w:t>
      </w:r>
      <w:r>
        <w:rPr>
          <w:rFonts w:eastAsia="方正仿宋_GBK"/>
          <w:color w:val="000000"/>
          <w:kern w:val="0"/>
          <w:sz w:val="24"/>
        </w:rPr>
        <w:t>”</w:t>
      </w:r>
      <w:r>
        <w:rPr>
          <w:rFonts w:hint="eastAsia" w:eastAsia="方正仿宋_GBK"/>
          <w:color w:val="000000"/>
          <w:kern w:val="0"/>
          <w:sz w:val="24"/>
        </w:rPr>
        <w:t>为江苏省房地产业企业行政许可电子化工作平台。</w:t>
      </w:r>
    </w:p>
    <w:p>
      <w:pPr>
        <w:shd w:val="clear" w:color="auto" w:fill="FFFFFF"/>
        <w:spacing w:line="460" w:lineRule="exact"/>
        <w:ind w:firstLine="480" w:firstLineChars="200"/>
        <w:jc w:val="left"/>
        <w:textAlignment w:val="baseline"/>
        <w:rPr>
          <w:rFonts w:eastAsia="方正仿宋_GBK"/>
          <w:color w:val="000000"/>
          <w:kern w:val="0"/>
          <w:sz w:val="24"/>
        </w:rPr>
      </w:pPr>
      <w:r>
        <w:rPr>
          <w:rFonts w:hint="eastAsia" w:ascii="Times New Roman" w:eastAsia="黑体"/>
          <w:bCs/>
          <w:color w:val="000000"/>
          <w:kern w:val="0"/>
          <w:sz w:val="24"/>
        </w:rPr>
        <w:t>第三条</w:t>
      </w:r>
      <w:r>
        <w:rPr>
          <w:rFonts w:eastAsia="方正仿宋_GBK"/>
          <w:color w:val="000000"/>
          <w:kern w:val="0"/>
          <w:sz w:val="24"/>
        </w:rPr>
        <w:t xml:space="preserve">  </w:t>
      </w:r>
      <w:r>
        <w:rPr>
          <w:rFonts w:hint="eastAsia" w:eastAsia="方正仿宋_GBK"/>
          <w:color w:val="000000"/>
          <w:kern w:val="0"/>
          <w:sz w:val="24"/>
        </w:rPr>
        <w:t>厅信息化领导小组办公室负责全省房地产业企业行政许可电子化工作的指导与协调。</w:t>
      </w:r>
    </w:p>
    <w:p>
      <w:pPr>
        <w:shd w:val="clear" w:color="auto" w:fill="FFFFFF"/>
        <w:spacing w:line="460" w:lineRule="exact"/>
        <w:ind w:firstLine="480" w:firstLineChars="200"/>
        <w:jc w:val="left"/>
        <w:textAlignment w:val="baseline"/>
        <w:rPr>
          <w:rFonts w:eastAsia="方正仿宋_GBK"/>
          <w:color w:val="000000"/>
          <w:kern w:val="0"/>
          <w:sz w:val="24"/>
        </w:rPr>
      </w:pPr>
      <w:r>
        <w:rPr>
          <w:rFonts w:hint="eastAsia" w:ascii="Times New Roman" w:eastAsia="黑体"/>
          <w:bCs/>
          <w:color w:val="000000"/>
          <w:kern w:val="0"/>
          <w:sz w:val="24"/>
        </w:rPr>
        <w:t>第四条</w:t>
      </w:r>
      <w:r>
        <w:rPr>
          <w:rFonts w:eastAsia="方正仿宋_GBK"/>
          <w:color w:val="000000"/>
          <w:kern w:val="0"/>
          <w:sz w:val="24"/>
        </w:rPr>
        <w:t xml:space="preserve">  </w:t>
      </w:r>
      <w:r>
        <w:rPr>
          <w:rFonts w:hint="eastAsia" w:eastAsia="方正仿宋_GBK"/>
          <w:color w:val="000000"/>
          <w:kern w:val="0"/>
          <w:sz w:val="24"/>
        </w:rPr>
        <w:t>厅行政审批办公室为全省房地产业企业行政许可电子化工作实施部门，并负责指导、监督市县房地产业主管部门行政许可电子化工作。</w:t>
      </w:r>
    </w:p>
    <w:p>
      <w:pPr>
        <w:shd w:val="clear" w:color="auto" w:fill="FFFFFF"/>
        <w:spacing w:line="460" w:lineRule="exact"/>
        <w:ind w:firstLine="480" w:firstLineChars="200"/>
        <w:jc w:val="left"/>
        <w:textAlignment w:val="baseline"/>
        <w:rPr>
          <w:rFonts w:eastAsia="方正仿宋_GBK"/>
          <w:color w:val="000000"/>
          <w:kern w:val="0"/>
          <w:sz w:val="24"/>
        </w:rPr>
      </w:pPr>
      <w:r>
        <w:rPr>
          <w:rFonts w:hint="eastAsia" w:ascii="Times New Roman" w:eastAsia="黑体"/>
          <w:bCs/>
          <w:color w:val="000000"/>
          <w:kern w:val="0"/>
          <w:sz w:val="24"/>
        </w:rPr>
        <w:t>第五条</w:t>
      </w:r>
      <w:r>
        <w:rPr>
          <w:rFonts w:eastAsia="方正仿宋_GBK"/>
          <w:color w:val="000000"/>
          <w:kern w:val="0"/>
          <w:sz w:val="24"/>
        </w:rPr>
        <w:t xml:space="preserve">  </w:t>
      </w:r>
      <w:r>
        <w:rPr>
          <w:rFonts w:hint="eastAsia" w:eastAsia="方正仿宋_GBK"/>
          <w:color w:val="000000"/>
          <w:kern w:val="0"/>
          <w:sz w:val="24"/>
        </w:rPr>
        <w:t>本细则适用于全省房地产开发企业的行政许可事项。</w:t>
      </w:r>
    </w:p>
    <w:p>
      <w:pPr>
        <w:shd w:val="clear" w:color="auto" w:fill="FFFFFF"/>
        <w:spacing w:line="460" w:lineRule="exact"/>
        <w:jc w:val="center"/>
        <w:textAlignment w:val="baseline"/>
        <w:rPr>
          <w:rFonts w:ascii="Times New Roman" w:eastAsia="黑体"/>
          <w:bCs/>
          <w:color w:val="000000"/>
          <w:kern w:val="0"/>
          <w:sz w:val="24"/>
        </w:rPr>
      </w:pPr>
      <w:r>
        <w:rPr>
          <w:rFonts w:hint="eastAsia" w:ascii="Times New Roman" w:eastAsia="黑体"/>
          <w:bCs/>
          <w:color w:val="000000"/>
          <w:kern w:val="0"/>
          <w:sz w:val="24"/>
        </w:rPr>
        <w:t>二、一般规定</w:t>
      </w:r>
    </w:p>
    <w:p>
      <w:pPr>
        <w:shd w:val="clear" w:color="auto" w:fill="FFFFFF"/>
        <w:spacing w:line="460" w:lineRule="exact"/>
        <w:ind w:firstLine="480" w:firstLineChars="200"/>
        <w:jc w:val="left"/>
        <w:textAlignment w:val="baseline"/>
        <w:rPr>
          <w:rFonts w:hint="eastAsia" w:eastAsia="方正仿宋_GBK"/>
          <w:color w:val="000000"/>
          <w:kern w:val="0"/>
          <w:sz w:val="24"/>
        </w:rPr>
      </w:pPr>
      <w:r>
        <w:rPr>
          <w:rFonts w:hint="eastAsia" w:ascii="Times New Roman" w:eastAsia="黑体"/>
          <w:bCs/>
          <w:color w:val="000000"/>
          <w:kern w:val="0"/>
          <w:sz w:val="24"/>
        </w:rPr>
        <w:t>第六条</w:t>
      </w:r>
      <w:r>
        <w:rPr>
          <w:rFonts w:eastAsia="方正仿宋_GBK"/>
          <w:color w:val="000000"/>
          <w:kern w:val="0"/>
          <w:sz w:val="24"/>
        </w:rPr>
        <w:t xml:space="preserve">  </w:t>
      </w:r>
      <w:r>
        <w:rPr>
          <w:rFonts w:hint="eastAsia" w:eastAsia="方正仿宋_GBK"/>
          <w:color w:val="000000"/>
          <w:kern w:val="0"/>
          <w:sz w:val="24"/>
        </w:rPr>
        <w:t>全省各房地产业主管部门应当通过</w:t>
      </w:r>
      <w:r>
        <w:rPr>
          <w:rFonts w:eastAsia="方正仿宋_GBK"/>
          <w:color w:val="000000"/>
          <w:kern w:val="0"/>
          <w:sz w:val="24"/>
        </w:rPr>
        <w:t>“</w:t>
      </w:r>
      <w:r>
        <w:rPr>
          <w:rFonts w:hint="eastAsia" w:eastAsia="方正仿宋_GBK"/>
          <w:color w:val="000000"/>
          <w:kern w:val="0"/>
          <w:sz w:val="24"/>
        </w:rPr>
        <w:t>江苏省房地产行政许可综合服务系统</w:t>
      </w:r>
      <w:r>
        <w:rPr>
          <w:rFonts w:eastAsia="方正仿宋_GBK"/>
          <w:color w:val="000000"/>
          <w:kern w:val="0"/>
          <w:sz w:val="24"/>
        </w:rPr>
        <w:t>”</w:t>
      </w:r>
      <w:r>
        <w:rPr>
          <w:rFonts w:hint="eastAsia" w:eastAsia="方正仿宋_GBK"/>
          <w:color w:val="000000"/>
          <w:kern w:val="0"/>
          <w:sz w:val="24"/>
        </w:rPr>
        <w:t>，对所辖房地产业企业实施行政许可事项的核准和监管。</w:t>
      </w:r>
    </w:p>
    <w:p>
      <w:pPr>
        <w:shd w:val="clear" w:color="auto" w:fill="FFFFFF"/>
        <w:spacing w:line="460" w:lineRule="exact"/>
        <w:ind w:firstLine="480" w:firstLineChars="200"/>
        <w:jc w:val="left"/>
        <w:textAlignment w:val="baseline"/>
        <w:rPr>
          <w:rFonts w:eastAsia="方正仿宋_GBK"/>
          <w:color w:val="000000"/>
          <w:kern w:val="0"/>
          <w:sz w:val="24"/>
        </w:rPr>
      </w:pPr>
      <w:r>
        <w:rPr>
          <w:rFonts w:hint="eastAsia" w:ascii="Times New Roman" w:eastAsia="黑体"/>
          <w:bCs/>
          <w:color w:val="000000"/>
          <w:kern w:val="0"/>
          <w:sz w:val="24"/>
        </w:rPr>
        <w:t>第七条</w:t>
      </w:r>
      <w:r>
        <w:rPr>
          <w:rFonts w:eastAsia="方正仿宋_GBK"/>
          <w:color w:val="000000"/>
          <w:kern w:val="0"/>
          <w:sz w:val="24"/>
        </w:rPr>
        <w:t xml:space="preserve">  </w:t>
      </w:r>
      <w:r>
        <w:rPr>
          <w:rFonts w:hint="eastAsia" w:eastAsia="方正仿宋_GBK"/>
          <w:color w:val="000000"/>
          <w:kern w:val="0"/>
          <w:sz w:val="24"/>
        </w:rPr>
        <w:t>全省各房地产业企业提出行政许可申请一般通过</w:t>
      </w:r>
      <w:r>
        <w:rPr>
          <w:rFonts w:eastAsia="方正仿宋_GBK"/>
          <w:color w:val="000000"/>
          <w:kern w:val="0"/>
          <w:sz w:val="24"/>
        </w:rPr>
        <w:t>“</w:t>
      </w:r>
      <w:r>
        <w:rPr>
          <w:rFonts w:hint="eastAsia" w:eastAsia="方正仿宋_GBK"/>
          <w:color w:val="000000"/>
          <w:kern w:val="0"/>
          <w:sz w:val="24"/>
        </w:rPr>
        <w:t>江苏省房地产行政许可综合服务系统</w:t>
      </w:r>
      <w:r>
        <w:rPr>
          <w:rFonts w:eastAsia="方正仿宋_GBK"/>
          <w:color w:val="000000"/>
          <w:kern w:val="0"/>
          <w:sz w:val="24"/>
        </w:rPr>
        <w:t>”</w:t>
      </w:r>
      <w:r>
        <w:rPr>
          <w:rFonts w:hint="eastAsia" w:eastAsia="方正仿宋_GBK"/>
          <w:color w:val="000000"/>
          <w:kern w:val="0"/>
          <w:sz w:val="24"/>
        </w:rPr>
        <w:t>进行。同时按月填报生产经营活动的相关信息，作为今后实施行政许可时自动统计生产经营业绩的依据。</w:t>
      </w:r>
    </w:p>
    <w:p>
      <w:pPr>
        <w:shd w:val="clear" w:color="auto" w:fill="FFFFFF"/>
        <w:spacing w:line="460" w:lineRule="exact"/>
        <w:ind w:firstLine="480" w:firstLineChars="200"/>
        <w:jc w:val="left"/>
        <w:textAlignment w:val="baseline"/>
        <w:rPr>
          <w:rFonts w:eastAsia="方正仿宋_GBK"/>
          <w:color w:val="000000"/>
          <w:kern w:val="0"/>
          <w:sz w:val="24"/>
        </w:rPr>
      </w:pPr>
      <w:r>
        <w:rPr>
          <w:rFonts w:hint="eastAsia" w:ascii="Times New Roman" w:eastAsia="黑体"/>
          <w:bCs/>
          <w:color w:val="000000"/>
          <w:kern w:val="0"/>
          <w:sz w:val="24"/>
        </w:rPr>
        <w:t>第八条</w:t>
      </w:r>
      <w:r>
        <w:rPr>
          <w:rFonts w:eastAsia="方正仿宋_GBK"/>
          <w:color w:val="000000"/>
          <w:kern w:val="0"/>
          <w:sz w:val="24"/>
        </w:rPr>
        <w:t xml:space="preserve">  </w:t>
      </w:r>
      <w:r>
        <w:rPr>
          <w:rFonts w:hint="eastAsia" w:eastAsia="方正仿宋_GBK"/>
          <w:color w:val="000000"/>
          <w:kern w:val="0"/>
          <w:sz w:val="24"/>
        </w:rPr>
        <w:t>企业通过</w:t>
      </w:r>
      <w:r>
        <w:rPr>
          <w:rFonts w:eastAsia="方正仿宋_GBK"/>
          <w:color w:val="000000"/>
          <w:kern w:val="0"/>
          <w:sz w:val="24"/>
        </w:rPr>
        <w:t>“</w:t>
      </w:r>
      <w:r>
        <w:rPr>
          <w:rFonts w:hint="eastAsia" w:eastAsia="方正仿宋_GBK"/>
          <w:color w:val="000000"/>
          <w:kern w:val="0"/>
          <w:sz w:val="24"/>
        </w:rPr>
        <w:t>江苏省房地产行政许可综合服务系统</w:t>
      </w:r>
      <w:r>
        <w:rPr>
          <w:rFonts w:eastAsia="方正仿宋_GBK"/>
          <w:color w:val="000000"/>
          <w:kern w:val="0"/>
          <w:sz w:val="24"/>
        </w:rPr>
        <w:t>”</w:t>
      </w:r>
      <w:r>
        <w:rPr>
          <w:rFonts w:hint="eastAsia" w:eastAsia="方正仿宋_GBK"/>
          <w:color w:val="000000"/>
          <w:kern w:val="0"/>
          <w:sz w:val="24"/>
        </w:rPr>
        <w:t>提出行政许可申请时，需提供的材料目录按相关资质管理规定执行。对电子申报材料的真实性、合法性、有效性负责。</w:t>
      </w:r>
    </w:p>
    <w:p>
      <w:pPr>
        <w:shd w:val="clear" w:color="auto" w:fill="FFFFFF"/>
        <w:spacing w:line="460" w:lineRule="exact"/>
        <w:ind w:firstLine="480" w:firstLineChars="200"/>
        <w:jc w:val="left"/>
        <w:textAlignment w:val="baseline"/>
        <w:rPr>
          <w:rFonts w:eastAsia="方正仿宋_GBK"/>
          <w:color w:val="000000"/>
          <w:kern w:val="0"/>
          <w:sz w:val="24"/>
        </w:rPr>
      </w:pPr>
      <w:r>
        <w:rPr>
          <w:rFonts w:hint="eastAsia" w:ascii="Times New Roman" w:eastAsia="黑体"/>
          <w:bCs/>
          <w:color w:val="000000"/>
          <w:kern w:val="0"/>
          <w:sz w:val="24"/>
        </w:rPr>
        <w:t>第九条</w:t>
      </w:r>
      <w:bookmarkStart w:id="616" w:name="OLE_LINK1"/>
      <w:r>
        <w:rPr>
          <w:rFonts w:eastAsia="方正仿宋_GBK"/>
          <w:color w:val="000000"/>
          <w:kern w:val="0"/>
          <w:sz w:val="24"/>
        </w:rPr>
        <w:t xml:space="preserve">  </w:t>
      </w:r>
      <w:bookmarkEnd w:id="616"/>
      <w:r>
        <w:rPr>
          <w:rFonts w:hint="eastAsia" w:eastAsia="方正仿宋_GBK"/>
          <w:color w:val="000000"/>
          <w:kern w:val="0"/>
          <w:sz w:val="24"/>
        </w:rPr>
        <w:t>企业通过</w:t>
      </w:r>
      <w:r>
        <w:rPr>
          <w:rFonts w:eastAsia="方正仿宋_GBK"/>
          <w:color w:val="000000"/>
          <w:kern w:val="0"/>
          <w:sz w:val="24"/>
        </w:rPr>
        <w:t>“</w:t>
      </w:r>
      <w:r>
        <w:rPr>
          <w:rFonts w:hint="eastAsia" w:eastAsia="方正仿宋_GBK"/>
          <w:color w:val="000000"/>
          <w:kern w:val="0"/>
          <w:sz w:val="24"/>
        </w:rPr>
        <w:t>江苏省房地产行政许可综合服务系统</w:t>
      </w:r>
      <w:r>
        <w:rPr>
          <w:rFonts w:eastAsia="方正仿宋_GBK"/>
          <w:color w:val="000000"/>
          <w:kern w:val="0"/>
          <w:sz w:val="24"/>
        </w:rPr>
        <w:t>”</w:t>
      </w:r>
      <w:r>
        <w:rPr>
          <w:rFonts w:hint="eastAsia" w:eastAsia="方正仿宋_GBK"/>
          <w:color w:val="000000"/>
          <w:kern w:val="0"/>
          <w:sz w:val="24"/>
        </w:rPr>
        <w:t>提出行政许可申请，采取账号或密码登录。</w:t>
      </w:r>
      <w:r>
        <w:rPr>
          <w:rFonts w:eastAsia="方正仿宋_GBK"/>
          <w:color w:val="000000"/>
          <w:kern w:val="0"/>
          <w:sz w:val="24"/>
        </w:rPr>
        <w:t xml:space="preserve"> </w:t>
      </w:r>
    </w:p>
    <w:p>
      <w:pPr>
        <w:shd w:val="clear" w:color="auto" w:fill="FFFFFF"/>
        <w:spacing w:line="460" w:lineRule="exact"/>
        <w:ind w:firstLine="480" w:firstLineChars="200"/>
        <w:jc w:val="left"/>
        <w:textAlignment w:val="baseline"/>
        <w:rPr>
          <w:rFonts w:eastAsia="方正仿宋_GBK"/>
          <w:color w:val="000000"/>
          <w:kern w:val="0"/>
          <w:sz w:val="24"/>
        </w:rPr>
      </w:pPr>
      <w:r>
        <w:rPr>
          <w:rFonts w:hint="eastAsia" w:ascii="Times New Roman" w:eastAsia="黑体"/>
          <w:bCs/>
          <w:color w:val="000000"/>
          <w:kern w:val="0"/>
          <w:sz w:val="24"/>
        </w:rPr>
        <w:t>第十条</w:t>
      </w:r>
      <w:r>
        <w:rPr>
          <w:rFonts w:eastAsia="方正仿宋_GBK"/>
          <w:color w:val="000000"/>
          <w:kern w:val="0"/>
          <w:sz w:val="24"/>
        </w:rPr>
        <w:t xml:space="preserve">  </w:t>
      </w:r>
      <w:r>
        <w:rPr>
          <w:rFonts w:hint="eastAsia" w:eastAsia="方正仿宋_GBK"/>
          <w:color w:val="000000"/>
          <w:kern w:val="0"/>
          <w:sz w:val="24"/>
        </w:rPr>
        <w:t>企业通过</w:t>
      </w:r>
      <w:r>
        <w:rPr>
          <w:rFonts w:eastAsia="方正仿宋_GBK"/>
          <w:color w:val="000000"/>
          <w:kern w:val="0"/>
          <w:sz w:val="24"/>
        </w:rPr>
        <w:t>“</w:t>
      </w:r>
      <w:r>
        <w:rPr>
          <w:rFonts w:hint="eastAsia" w:eastAsia="方正仿宋_GBK"/>
          <w:color w:val="000000"/>
          <w:kern w:val="0"/>
          <w:sz w:val="24"/>
        </w:rPr>
        <w:t>江苏省房地产行政许可综合服务系统</w:t>
      </w:r>
      <w:r>
        <w:rPr>
          <w:rFonts w:eastAsia="方正仿宋_GBK"/>
          <w:color w:val="000000"/>
          <w:kern w:val="0"/>
          <w:sz w:val="24"/>
        </w:rPr>
        <w:t>”</w:t>
      </w:r>
      <w:r>
        <w:rPr>
          <w:rFonts w:hint="eastAsia" w:eastAsia="方正仿宋_GBK"/>
          <w:color w:val="000000"/>
          <w:kern w:val="0"/>
          <w:sz w:val="24"/>
        </w:rPr>
        <w:t>提出行政许可申请后，主管部门认为需核验原件的，企业应携带相关材料原件至主管部门核验。</w:t>
      </w:r>
    </w:p>
    <w:p>
      <w:pPr>
        <w:shd w:val="clear" w:color="auto" w:fill="FFFFFF"/>
        <w:spacing w:line="460" w:lineRule="exact"/>
        <w:ind w:firstLine="480" w:firstLineChars="200"/>
        <w:jc w:val="left"/>
        <w:textAlignment w:val="baseline"/>
        <w:rPr>
          <w:rFonts w:eastAsia="方正仿宋_GBK"/>
          <w:color w:val="000000"/>
          <w:kern w:val="0"/>
          <w:sz w:val="24"/>
        </w:rPr>
      </w:pPr>
      <w:r>
        <w:rPr>
          <w:rFonts w:hint="eastAsia" w:eastAsia="方正仿宋_GBK"/>
          <w:color w:val="000000"/>
          <w:kern w:val="0"/>
          <w:sz w:val="24"/>
        </w:rPr>
        <w:t>市县主管部门和</w:t>
      </w:r>
      <w:r>
        <w:rPr>
          <w:rFonts w:hint="eastAsia" w:eastAsia="方正仿宋_GBK"/>
          <w:b/>
          <w:color w:val="000000"/>
          <w:kern w:val="0"/>
          <w:sz w:val="24"/>
        </w:rPr>
        <w:t>厅</w:t>
      </w:r>
      <w:r>
        <w:rPr>
          <w:rFonts w:hint="eastAsia" w:eastAsia="方正仿宋_GBK"/>
          <w:color w:val="000000"/>
          <w:kern w:val="0"/>
          <w:sz w:val="24"/>
        </w:rPr>
        <w:t>行政审批办公室负责核验原件的人员，核验原件后，应在</w:t>
      </w:r>
      <w:r>
        <w:rPr>
          <w:rFonts w:eastAsia="方正仿宋_GBK"/>
          <w:color w:val="000000"/>
          <w:kern w:val="0"/>
          <w:sz w:val="24"/>
        </w:rPr>
        <w:t>“</w:t>
      </w:r>
      <w:r>
        <w:rPr>
          <w:rFonts w:hint="eastAsia" w:eastAsia="方正仿宋_GBK"/>
          <w:color w:val="000000"/>
          <w:kern w:val="0"/>
          <w:sz w:val="24"/>
        </w:rPr>
        <w:t>江苏省房地产行政许可综合服务系统</w:t>
      </w:r>
      <w:r>
        <w:rPr>
          <w:rFonts w:eastAsia="方正仿宋_GBK"/>
          <w:color w:val="000000"/>
          <w:kern w:val="0"/>
          <w:sz w:val="24"/>
        </w:rPr>
        <w:t>”</w:t>
      </w:r>
      <w:r>
        <w:rPr>
          <w:rFonts w:hint="eastAsia" w:eastAsia="方正仿宋_GBK"/>
          <w:color w:val="000000"/>
          <w:kern w:val="0"/>
          <w:sz w:val="24"/>
        </w:rPr>
        <w:t>签名备查。</w:t>
      </w:r>
    </w:p>
    <w:p>
      <w:pPr>
        <w:shd w:val="clear" w:color="auto" w:fill="FFFFFF"/>
        <w:spacing w:line="460" w:lineRule="exact"/>
        <w:ind w:firstLine="480" w:firstLineChars="200"/>
        <w:jc w:val="left"/>
        <w:textAlignment w:val="baseline"/>
        <w:rPr>
          <w:rFonts w:eastAsia="方正仿宋_GBK"/>
          <w:color w:val="000000"/>
          <w:kern w:val="0"/>
          <w:sz w:val="24"/>
        </w:rPr>
      </w:pPr>
      <w:r>
        <w:rPr>
          <w:rFonts w:hint="eastAsia" w:ascii="Times New Roman" w:eastAsia="黑体"/>
          <w:bCs/>
          <w:color w:val="000000"/>
          <w:kern w:val="0"/>
          <w:sz w:val="24"/>
        </w:rPr>
        <w:t>第十一条</w:t>
      </w:r>
      <w:r>
        <w:rPr>
          <w:rFonts w:eastAsia="方正仿宋_GBK"/>
          <w:color w:val="000000"/>
          <w:kern w:val="0"/>
          <w:sz w:val="24"/>
        </w:rPr>
        <w:t xml:space="preserve">  </w:t>
      </w:r>
      <w:r>
        <w:rPr>
          <w:rFonts w:hint="eastAsia" w:eastAsia="方正仿宋_GBK"/>
          <w:color w:val="000000"/>
          <w:kern w:val="0"/>
          <w:sz w:val="24"/>
        </w:rPr>
        <w:t>暂定二级及二级申请资质延期、延续、重新核定等级、变更登记事项的企业，省直企业和南京市企业自行交还省住房和城乡建设厅。其余市县的企业，原资质证书正副本原件由所在地主管部门收回，集中交省住房和城乡建设厅。</w:t>
      </w:r>
    </w:p>
    <w:p>
      <w:pPr>
        <w:shd w:val="clear" w:color="auto" w:fill="FFFFFF"/>
        <w:spacing w:line="460" w:lineRule="exact"/>
        <w:ind w:firstLine="480" w:firstLineChars="200"/>
        <w:jc w:val="left"/>
        <w:textAlignment w:val="baseline"/>
        <w:rPr>
          <w:rFonts w:eastAsia="方正仿宋_GBK"/>
          <w:color w:val="000000"/>
          <w:kern w:val="0"/>
          <w:sz w:val="24"/>
        </w:rPr>
      </w:pPr>
      <w:r>
        <w:rPr>
          <w:rFonts w:hint="eastAsia" w:ascii="Times New Roman" w:eastAsia="黑体"/>
          <w:bCs/>
          <w:color w:val="000000"/>
          <w:kern w:val="0"/>
          <w:sz w:val="24"/>
        </w:rPr>
        <w:t>第十二条</w:t>
      </w:r>
      <w:r>
        <w:rPr>
          <w:rFonts w:eastAsia="方正仿宋_GBK"/>
          <w:color w:val="000000"/>
          <w:kern w:val="0"/>
          <w:sz w:val="24"/>
        </w:rPr>
        <w:t xml:space="preserve">  </w:t>
      </w:r>
      <w:r>
        <w:rPr>
          <w:rFonts w:hint="eastAsia" w:eastAsia="方正仿宋_GBK"/>
          <w:color w:val="000000"/>
          <w:kern w:val="0"/>
          <w:sz w:val="24"/>
        </w:rPr>
        <w:t>报住房和城乡建设部核准资质的企业，应当同时上报电子材料和纸质材料。经部核准后，企业应当及时通过</w:t>
      </w:r>
      <w:r>
        <w:rPr>
          <w:rFonts w:eastAsia="方正仿宋_GBK"/>
          <w:color w:val="000000"/>
          <w:kern w:val="0"/>
          <w:sz w:val="24"/>
        </w:rPr>
        <w:t>“</w:t>
      </w:r>
      <w:r>
        <w:rPr>
          <w:rFonts w:hint="eastAsia" w:eastAsia="方正仿宋_GBK"/>
          <w:color w:val="000000"/>
          <w:kern w:val="0"/>
          <w:sz w:val="24"/>
        </w:rPr>
        <w:t>江苏省房地产行政许可综合服务系统</w:t>
      </w:r>
      <w:r>
        <w:rPr>
          <w:rFonts w:eastAsia="方正仿宋_GBK"/>
          <w:color w:val="000000"/>
          <w:kern w:val="0"/>
          <w:sz w:val="24"/>
        </w:rPr>
        <w:t>”</w:t>
      </w:r>
      <w:r>
        <w:rPr>
          <w:rFonts w:hint="eastAsia" w:eastAsia="方正仿宋_GBK"/>
          <w:color w:val="000000"/>
          <w:kern w:val="0"/>
          <w:sz w:val="24"/>
        </w:rPr>
        <w:t>向省住房和城乡建设厅备案后领证。</w:t>
      </w:r>
    </w:p>
    <w:p>
      <w:pPr>
        <w:shd w:val="clear" w:color="auto" w:fill="FFFFFF"/>
        <w:spacing w:line="460" w:lineRule="exact"/>
        <w:ind w:firstLine="480" w:firstLineChars="200"/>
        <w:jc w:val="left"/>
        <w:textAlignment w:val="baseline"/>
        <w:rPr>
          <w:rFonts w:eastAsia="方正仿宋_GBK"/>
          <w:color w:val="000000"/>
          <w:kern w:val="0"/>
          <w:sz w:val="24"/>
        </w:rPr>
      </w:pPr>
      <w:r>
        <w:rPr>
          <w:rFonts w:hint="eastAsia" w:ascii="Times New Roman" w:eastAsia="黑体"/>
          <w:bCs/>
          <w:color w:val="000000"/>
          <w:kern w:val="0"/>
          <w:sz w:val="24"/>
        </w:rPr>
        <w:t>第十三条</w:t>
      </w:r>
      <w:r>
        <w:rPr>
          <w:rFonts w:eastAsia="方正仿宋_GBK"/>
          <w:color w:val="000000"/>
          <w:kern w:val="0"/>
          <w:sz w:val="24"/>
        </w:rPr>
        <w:t xml:space="preserve">  </w:t>
      </w:r>
      <w:r>
        <w:rPr>
          <w:rFonts w:hint="eastAsia" w:eastAsia="方正仿宋_GBK"/>
          <w:color w:val="000000"/>
          <w:kern w:val="0"/>
          <w:sz w:val="24"/>
        </w:rPr>
        <w:t>由设区市核准的资质审批事项，企业通过</w:t>
      </w:r>
      <w:r>
        <w:rPr>
          <w:rFonts w:eastAsia="方正仿宋_GBK"/>
          <w:color w:val="000000"/>
          <w:kern w:val="0"/>
          <w:sz w:val="24"/>
        </w:rPr>
        <w:t>“</w:t>
      </w:r>
      <w:r>
        <w:rPr>
          <w:rFonts w:hint="eastAsia" w:eastAsia="方正仿宋_GBK"/>
          <w:color w:val="000000"/>
          <w:kern w:val="0"/>
          <w:sz w:val="24"/>
        </w:rPr>
        <w:t>江苏省房地产行政许可综合服务系统</w:t>
      </w:r>
      <w:r>
        <w:rPr>
          <w:rFonts w:eastAsia="方正仿宋_GBK"/>
          <w:color w:val="000000"/>
          <w:kern w:val="0"/>
          <w:sz w:val="24"/>
        </w:rPr>
        <w:t>”</w:t>
      </w:r>
      <w:r>
        <w:rPr>
          <w:rFonts w:hint="eastAsia" w:eastAsia="方正仿宋_GBK"/>
          <w:color w:val="000000"/>
          <w:kern w:val="0"/>
          <w:sz w:val="24"/>
        </w:rPr>
        <w:t>提出申请，主管部门通过</w:t>
      </w:r>
      <w:r>
        <w:rPr>
          <w:rFonts w:eastAsia="方正仿宋_GBK"/>
          <w:color w:val="000000"/>
          <w:kern w:val="0"/>
          <w:sz w:val="24"/>
        </w:rPr>
        <w:t>“</w:t>
      </w:r>
      <w:r>
        <w:rPr>
          <w:rFonts w:hint="eastAsia" w:eastAsia="方正仿宋_GBK"/>
          <w:color w:val="000000"/>
          <w:kern w:val="0"/>
          <w:sz w:val="24"/>
        </w:rPr>
        <w:t>江苏省房地产行政许可综合服务系统</w:t>
      </w:r>
      <w:r>
        <w:rPr>
          <w:rFonts w:eastAsia="方正仿宋_GBK"/>
          <w:color w:val="000000"/>
          <w:kern w:val="0"/>
          <w:sz w:val="24"/>
        </w:rPr>
        <w:t>”</w:t>
      </w:r>
      <w:r>
        <w:rPr>
          <w:rFonts w:hint="eastAsia" w:eastAsia="方正仿宋_GBK"/>
          <w:color w:val="000000"/>
          <w:kern w:val="0"/>
          <w:sz w:val="24"/>
        </w:rPr>
        <w:t>进行审核，并将核准的企业通过该系统报省住房和城乡建设厅备案。</w:t>
      </w:r>
    </w:p>
    <w:p>
      <w:pPr>
        <w:shd w:val="clear" w:color="auto" w:fill="FFFFFF"/>
        <w:spacing w:line="460" w:lineRule="exact"/>
        <w:jc w:val="center"/>
        <w:textAlignment w:val="baseline"/>
        <w:rPr>
          <w:rFonts w:ascii="Times New Roman" w:eastAsia="黑体"/>
          <w:bCs/>
          <w:color w:val="000000"/>
          <w:kern w:val="0"/>
          <w:sz w:val="24"/>
        </w:rPr>
      </w:pPr>
      <w:r>
        <w:rPr>
          <w:rFonts w:hint="eastAsia" w:ascii="Times New Roman" w:eastAsia="黑体"/>
          <w:bCs/>
          <w:color w:val="000000"/>
          <w:kern w:val="0"/>
          <w:sz w:val="24"/>
        </w:rPr>
        <w:t>三、工作流程</w:t>
      </w:r>
    </w:p>
    <w:p>
      <w:pPr>
        <w:shd w:val="clear" w:color="auto" w:fill="FFFFFF"/>
        <w:spacing w:line="460" w:lineRule="exact"/>
        <w:ind w:firstLine="480" w:firstLineChars="200"/>
        <w:jc w:val="left"/>
        <w:textAlignment w:val="baseline"/>
        <w:rPr>
          <w:rFonts w:hint="eastAsia" w:eastAsia="方正仿宋_GBK"/>
          <w:color w:val="000000"/>
          <w:kern w:val="0"/>
          <w:sz w:val="24"/>
        </w:rPr>
      </w:pPr>
      <w:r>
        <w:rPr>
          <w:rFonts w:hint="eastAsia" w:ascii="Times New Roman" w:eastAsia="黑体"/>
          <w:bCs/>
          <w:color w:val="000000"/>
          <w:kern w:val="0"/>
          <w:sz w:val="24"/>
        </w:rPr>
        <w:t>第十四条</w:t>
      </w:r>
      <w:r>
        <w:rPr>
          <w:rFonts w:eastAsia="方正仿宋_GBK"/>
          <w:b/>
          <w:bCs/>
          <w:color w:val="000000"/>
          <w:kern w:val="0"/>
          <w:sz w:val="24"/>
        </w:rPr>
        <w:t xml:space="preserve">  </w:t>
      </w:r>
      <w:r>
        <w:rPr>
          <w:rFonts w:hint="eastAsia" w:eastAsia="方正仿宋_GBK"/>
          <w:color w:val="000000"/>
          <w:kern w:val="0"/>
          <w:sz w:val="24"/>
        </w:rPr>
        <w:t>厅行政审批办公室受理行政许可申请后，在</w:t>
      </w:r>
      <w:r>
        <w:rPr>
          <w:rFonts w:eastAsia="方正仿宋_GBK"/>
          <w:color w:val="000000"/>
          <w:kern w:val="0"/>
          <w:sz w:val="24"/>
        </w:rPr>
        <w:t>20</w:t>
      </w:r>
      <w:r>
        <w:rPr>
          <w:rFonts w:hint="eastAsia" w:eastAsia="方正仿宋_GBK"/>
          <w:color w:val="000000"/>
          <w:kern w:val="0"/>
          <w:sz w:val="24"/>
        </w:rPr>
        <w:t>个工作日内办结。</w:t>
      </w:r>
    </w:p>
    <w:p>
      <w:pPr>
        <w:shd w:val="clear" w:color="auto" w:fill="FFFFFF"/>
        <w:spacing w:line="460" w:lineRule="exact"/>
        <w:ind w:firstLine="480" w:firstLineChars="200"/>
        <w:jc w:val="left"/>
        <w:textAlignment w:val="baseline"/>
        <w:rPr>
          <w:rFonts w:eastAsia="方正仿宋_GBK"/>
          <w:color w:val="000000"/>
          <w:kern w:val="0"/>
          <w:sz w:val="24"/>
        </w:rPr>
      </w:pPr>
      <w:r>
        <w:rPr>
          <w:rFonts w:hint="eastAsia" w:ascii="Times New Roman" w:eastAsia="黑体"/>
          <w:bCs/>
          <w:color w:val="000000"/>
          <w:kern w:val="0"/>
          <w:sz w:val="24"/>
        </w:rPr>
        <w:t>第十五条</w:t>
      </w:r>
      <w:r>
        <w:rPr>
          <w:rFonts w:eastAsia="方正仿宋_GBK"/>
          <w:color w:val="000000"/>
          <w:kern w:val="0"/>
          <w:sz w:val="24"/>
        </w:rPr>
        <w:t xml:space="preserve">  </w:t>
      </w:r>
      <w:r>
        <w:rPr>
          <w:rFonts w:hint="eastAsia" w:eastAsia="方正仿宋_GBK"/>
          <w:color w:val="000000"/>
          <w:kern w:val="0"/>
          <w:sz w:val="24"/>
        </w:rPr>
        <w:t>通过电子平台受理的行政许可申请，受理通知书、材料补正通知书、行政许可决定书等均以电子文书形式通过</w:t>
      </w:r>
      <w:r>
        <w:rPr>
          <w:rFonts w:eastAsia="方正仿宋_GBK"/>
          <w:color w:val="000000"/>
          <w:kern w:val="0"/>
          <w:sz w:val="24"/>
        </w:rPr>
        <w:t>“</w:t>
      </w:r>
      <w:r>
        <w:rPr>
          <w:rFonts w:hint="eastAsia" w:eastAsia="方正仿宋_GBK"/>
          <w:color w:val="000000"/>
          <w:kern w:val="0"/>
          <w:sz w:val="24"/>
        </w:rPr>
        <w:t>江苏省房地产行政许可综合服务系统</w:t>
      </w:r>
      <w:r>
        <w:rPr>
          <w:rFonts w:eastAsia="方正仿宋_GBK"/>
          <w:color w:val="000000"/>
          <w:kern w:val="0"/>
          <w:sz w:val="24"/>
        </w:rPr>
        <w:t>”</w:t>
      </w:r>
      <w:r>
        <w:rPr>
          <w:rFonts w:hint="eastAsia" w:eastAsia="方正仿宋_GBK"/>
          <w:color w:val="000000"/>
          <w:kern w:val="0"/>
          <w:sz w:val="24"/>
        </w:rPr>
        <w:t>送达。</w:t>
      </w:r>
    </w:p>
    <w:p>
      <w:pPr>
        <w:shd w:val="clear" w:color="auto" w:fill="FFFFFF"/>
        <w:spacing w:line="460" w:lineRule="exact"/>
        <w:ind w:firstLine="480" w:firstLineChars="200"/>
        <w:jc w:val="left"/>
        <w:textAlignment w:val="baseline"/>
        <w:rPr>
          <w:rFonts w:eastAsia="方正仿宋_GBK"/>
          <w:color w:val="000000"/>
          <w:kern w:val="0"/>
          <w:sz w:val="24"/>
        </w:rPr>
      </w:pPr>
      <w:r>
        <w:rPr>
          <w:rFonts w:hint="eastAsia" w:ascii="Times New Roman" w:eastAsia="黑体"/>
          <w:bCs/>
          <w:color w:val="000000"/>
          <w:kern w:val="0"/>
          <w:sz w:val="24"/>
        </w:rPr>
        <w:t>第十六条</w:t>
      </w:r>
      <w:r>
        <w:rPr>
          <w:rFonts w:eastAsia="方正仿宋_GBK"/>
          <w:color w:val="000000"/>
          <w:kern w:val="0"/>
          <w:sz w:val="24"/>
        </w:rPr>
        <w:t xml:space="preserve">  </w:t>
      </w:r>
      <w:r>
        <w:rPr>
          <w:rFonts w:hint="eastAsia" w:eastAsia="方正仿宋_GBK"/>
          <w:color w:val="000000"/>
          <w:kern w:val="0"/>
          <w:sz w:val="24"/>
        </w:rPr>
        <w:t>房地产开发企业三、四级资质（含暂定三级、暂定四级）的证书由设区市主管部门打印并送达。</w:t>
      </w:r>
    </w:p>
    <w:p>
      <w:pPr>
        <w:shd w:val="clear" w:color="auto" w:fill="FFFFFF"/>
        <w:spacing w:line="460" w:lineRule="exact"/>
        <w:jc w:val="center"/>
        <w:textAlignment w:val="baseline"/>
        <w:rPr>
          <w:rFonts w:ascii="Times New Roman" w:eastAsia="黑体"/>
          <w:bCs/>
          <w:color w:val="000000"/>
          <w:kern w:val="0"/>
          <w:sz w:val="24"/>
        </w:rPr>
      </w:pPr>
      <w:r>
        <w:rPr>
          <w:rFonts w:hint="eastAsia" w:ascii="Times New Roman" w:eastAsia="黑体"/>
          <w:bCs/>
          <w:color w:val="000000"/>
          <w:kern w:val="0"/>
          <w:sz w:val="24"/>
        </w:rPr>
        <w:t>四、监督保障</w:t>
      </w:r>
    </w:p>
    <w:p>
      <w:pPr>
        <w:shd w:val="clear" w:color="auto" w:fill="FFFFFF"/>
        <w:spacing w:line="460" w:lineRule="exact"/>
        <w:ind w:firstLine="480" w:firstLineChars="200"/>
        <w:jc w:val="left"/>
        <w:textAlignment w:val="baseline"/>
        <w:rPr>
          <w:rFonts w:hint="eastAsia" w:eastAsia="方正仿宋_GBK"/>
          <w:color w:val="000000"/>
          <w:kern w:val="0"/>
          <w:sz w:val="24"/>
        </w:rPr>
      </w:pPr>
      <w:r>
        <w:rPr>
          <w:rFonts w:hint="eastAsia" w:ascii="Times New Roman" w:eastAsia="黑体"/>
          <w:bCs/>
          <w:color w:val="000000"/>
          <w:kern w:val="0"/>
          <w:sz w:val="24"/>
        </w:rPr>
        <w:t>第十七条</w:t>
      </w:r>
      <w:r>
        <w:rPr>
          <w:rFonts w:eastAsia="方正仿宋_GBK"/>
          <w:color w:val="000000"/>
          <w:kern w:val="0"/>
          <w:sz w:val="24"/>
        </w:rPr>
        <w:t xml:space="preserve">  </w:t>
      </w:r>
      <w:r>
        <w:rPr>
          <w:rFonts w:hint="eastAsia" w:eastAsia="方正仿宋_GBK"/>
          <w:color w:val="000000"/>
          <w:kern w:val="0"/>
          <w:sz w:val="24"/>
        </w:rPr>
        <w:t>厅行政审批办公室采取定期或者不定期的方式，对市县主管部门的工作质量和服务效能进行现场检查。</w:t>
      </w:r>
    </w:p>
    <w:p>
      <w:pPr>
        <w:shd w:val="clear" w:color="auto" w:fill="FFFFFF"/>
        <w:spacing w:line="460" w:lineRule="exact"/>
        <w:ind w:firstLine="480" w:firstLineChars="200"/>
        <w:jc w:val="left"/>
        <w:textAlignment w:val="baseline"/>
        <w:rPr>
          <w:rFonts w:eastAsia="方正仿宋_GBK"/>
          <w:color w:val="000000"/>
          <w:kern w:val="0"/>
          <w:sz w:val="24"/>
        </w:rPr>
      </w:pPr>
      <w:r>
        <w:rPr>
          <w:rFonts w:hint="eastAsia" w:ascii="Times New Roman" w:eastAsia="黑体"/>
          <w:bCs/>
          <w:color w:val="000000"/>
          <w:kern w:val="0"/>
          <w:sz w:val="24"/>
        </w:rPr>
        <w:t>第十八条</w:t>
      </w:r>
      <w:r>
        <w:rPr>
          <w:rFonts w:eastAsia="方正仿宋_GBK"/>
          <w:color w:val="000000"/>
          <w:kern w:val="0"/>
          <w:sz w:val="24"/>
        </w:rPr>
        <w:t xml:space="preserve">  </w:t>
      </w:r>
      <w:r>
        <w:rPr>
          <w:rFonts w:hint="eastAsia" w:eastAsia="方正仿宋_GBK"/>
          <w:color w:val="000000"/>
          <w:kern w:val="0"/>
          <w:sz w:val="24"/>
        </w:rPr>
        <w:t>厅纪检、监察部门通过</w:t>
      </w:r>
      <w:r>
        <w:rPr>
          <w:rFonts w:eastAsia="方正仿宋_GBK"/>
          <w:color w:val="000000"/>
          <w:kern w:val="0"/>
          <w:sz w:val="24"/>
        </w:rPr>
        <w:t>“</w:t>
      </w:r>
      <w:r>
        <w:rPr>
          <w:rFonts w:hint="eastAsia" w:eastAsia="方正仿宋_GBK"/>
          <w:color w:val="000000"/>
          <w:kern w:val="0"/>
          <w:sz w:val="24"/>
        </w:rPr>
        <w:t>江苏省房地产行政许可综合服务系统</w:t>
      </w:r>
      <w:r>
        <w:rPr>
          <w:rFonts w:eastAsia="方正仿宋_GBK"/>
          <w:color w:val="000000"/>
          <w:kern w:val="0"/>
          <w:sz w:val="24"/>
        </w:rPr>
        <w:t>”</w:t>
      </w:r>
      <w:r>
        <w:rPr>
          <w:rFonts w:hint="eastAsia" w:eastAsia="方正仿宋_GBK"/>
          <w:color w:val="000000"/>
          <w:kern w:val="0"/>
          <w:sz w:val="24"/>
        </w:rPr>
        <w:t>对房地产业行政许可工作实施监督。</w:t>
      </w:r>
    </w:p>
    <w:p>
      <w:pPr>
        <w:shd w:val="clear" w:color="auto" w:fill="FFFFFF"/>
        <w:spacing w:line="460" w:lineRule="exact"/>
        <w:ind w:firstLine="480" w:firstLineChars="200"/>
        <w:jc w:val="left"/>
        <w:textAlignment w:val="baseline"/>
        <w:rPr>
          <w:rFonts w:eastAsia="方正仿宋_GBK"/>
          <w:color w:val="000000"/>
          <w:kern w:val="0"/>
          <w:sz w:val="24"/>
        </w:rPr>
      </w:pPr>
      <w:r>
        <w:rPr>
          <w:rFonts w:hint="eastAsia" w:ascii="Times New Roman" w:eastAsia="黑体"/>
          <w:bCs/>
          <w:color w:val="000000"/>
          <w:kern w:val="0"/>
          <w:sz w:val="24"/>
        </w:rPr>
        <w:t>第十九条</w:t>
      </w:r>
      <w:r>
        <w:rPr>
          <w:rFonts w:eastAsia="方正仿宋_GBK"/>
          <w:color w:val="000000"/>
          <w:kern w:val="0"/>
          <w:sz w:val="24"/>
        </w:rPr>
        <w:t xml:space="preserve">  </w:t>
      </w:r>
      <w:r>
        <w:rPr>
          <w:rFonts w:hint="eastAsia" w:eastAsia="方正仿宋_GBK"/>
          <w:color w:val="000000"/>
          <w:kern w:val="0"/>
          <w:sz w:val="24"/>
        </w:rPr>
        <w:t>各市县主管部门要选准配强</w:t>
      </w:r>
      <w:r>
        <w:rPr>
          <w:rFonts w:eastAsia="方正仿宋_GBK"/>
          <w:color w:val="000000"/>
          <w:kern w:val="0"/>
          <w:sz w:val="24"/>
        </w:rPr>
        <w:t>“</w:t>
      </w:r>
      <w:r>
        <w:rPr>
          <w:rFonts w:hint="eastAsia" w:eastAsia="方正仿宋_GBK"/>
          <w:color w:val="000000"/>
          <w:kern w:val="0"/>
          <w:sz w:val="24"/>
        </w:rPr>
        <w:t>江苏省房地产行政许可综合服务系统</w:t>
      </w:r>
      <w:r>
        <w:rPr>
          <w:rFonts w:eastAsia="方正仿宋_GBK"/>
          <w:color w:val="000000"/>
          <w:kern w:val="0"/>
          <w:sz w:val="24"/>
        </w:rPr>
        <w:t>”</w:t>
      </w:r>
      <w:r>
        <w:rPr>
          <w:rFonts w:hint="eastAsia" w:eastAsia="方正仿宋_GBK"/>
          <w:color w:val="000000"/>
          <w:kern w:val="0"/>
          <w:sz w:val="24"/>
        </w:rPr>
        <w:t>工作人员。人员调整时，应当先培训后上岗，并提前报省住房和城乡建设厅备案授权。</w:t>
      </w:r>
    </w:p>
    <w:p>
      <w:pPr>
        <w:spacing w:line="460" w:lineRule="exact"/>
        <w:ind w:firstLine="482" w:firstLineChars="200"/>
        <w:jc w:val="center"/>
        <w:rPr>
          <w:rFonts w:eastAsia="方正仿宋_GBK"/>
          <w:b/>
          <w:bCs/>
          <w:color w:val="000000"/>
          <w:kern w:val="0"/>
          <w:sz w:val="24"/>
        </w:rPr>
      </w:pPr>
    </w:p>
    <w:p>
      <w:pPr>
        <w:rPr>
          <w:rFonts w:eastAsia="方正仿宋_GBK"/>
          <w:sz w:val="24"/>
        </w:rPr>
      </w:pPr>
    </w:p>
    <w:p>
      <w:pPr>
        <w:rPr>
          <w:rFonts w:eastAsia="方正仿宋_GBK"/>
          <w:sz w:val="24"/>
        </w:rPr>
      </w:pPr>
    </w:p>
    <w:p>
      <w:pPr>
        <w:pStyle w:val="2"/>
        <w:spacing w:before="240" w:beforeLines="100" w:after="240" w:afterLines="100" w:line="240" w:lineRule="auto"/>
        <w:jc w:val="center"/>
        <w:rPr>
          <w:rFonts w:ascii="Times New Roman" w:eastAsia="方正小标宋_GBK"/>
          <w:b w:val="0"/>
          <w:sz w:val="36"/>
          <w:szCs w:val="36"/>
        </w:rPr>
      </w:pPr>
      <w:bookmarkStart w:id="617" w:name="_Toc20726658"/>
      <w:bookmarkStart w:id="618" w:name="_Toc18315799"/>
      <w:r>
        <w:rPr>
          <w:rFonts w:hint="eastAsia" w:ascii="Times New Roman" w:eastAsia="方正小标宋_GBK"/>
          <w:b w:val="0"/>
          <w:sz w:val="36"/>
          <w:szCs w:val="36"/>
        </w:rPr>
        <w:t>关于印发《江苏省二级注册建造师继续教育管理办法》的通知</w:t>
      </w:r>
      <w:bookmarkEnd w:id="617"/>
      <w:bookmarkEnd w:id="618"/>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619" w:name="_Toc18315800"/>
      <w:bookmarkStart w:id="620" w:name="_Toc20726659"/>
      <w:r>
        <w:rPr>
          <w:rFonts w:hint="eastAsia" w:ascii="Times New Roman" w:hAnsi="Times New Roman" w:eastAsia="方正楷体_GBK"/>
          <w:b w:val="0"/>
          <w:sz w:val="24"/>
          <w:szCs w:val="24"/>
        </w:rPr>
        <w:t>苏建规字〔</w:t>
      </w:r>
      <w:r>
        <w:rPr>
          <w:rFonts w:ascii="Times New Roman" w:hAnsi="Times New Roman" w:eastAsia="方正楷体_GBK"/>
          <w:b w:val="0"/>
          <w:sz w:val="24"/>
          <w:szCs w:val="24"/>
        </w:rPr>
        <w:t>2010</w:t>
      </w:r>
      <w:r>
        <w:rPr>
          <w:rFonts w:hint="eastAsia" w:ascii="Times New Roman" w:hAnsi="Times New Roman" w:eastAsia="方正楷体_GBK"/>
          <w:b w:val="0"/>
          <w:sz w:val="24"/>
          <w:szCs w:val="24"/>
        </w:rPr>
        <w:t>〕</w:t>
      </w:r>
      <w:r>
        <w:rPr>
          <w:rFonts w:ascii="Times New Roman" w:hAnsi="Times New Roman" w:eastAsia="方正楷体_GBK"/>
          <w:b w:val="0"/>
          <w:sz w:val="24"/>
          <w:szCs w:val="24"/>
        </w:rPr>
        <w:t>8</w:t>
      </w:r>
      <w:r>
        <w:rPr>
          <w:rFonts w:hint="eastAsia" w:ascii="Times New Roman" w:hAnsi="Times New Roman" w:eastAsia="方正楷体_GBK"/>
          <w:b w:val="0"/>
          <w:sz w:val="24"/>
          <w:szCs w:val="24"/>
        </w:rPr>
        <w:t>号</w:t>
      </w:r>
      <w:bookmarkEnd w:id="619"/>
      <w:bookmarkEnd w:id="620"/>
    </w:p>
    <w:p>
      <w:pPr>
        <w:spacing w:line="460" w:lineRule="exact"/>
        <w:rPr>
          <w:rFonts w:eastAsia="方正仿宋_GBK"/>
          <w:color w:val="000000"/>
          <w:spacing w:val="-2"/>
          <w:kern w:val="0"/>
          <w:sz w:val="24"/>
        </w:rPr>
      </w:pPr>
      <w:r>
        <w:rPr>
          <w:rFonts w:hint="eastAsia" w:eastAsia="方正仿宋_GBK"/>
          <w:color w:val="000000"/>
          <w:spacing w:val="-2"/>
          <w:kern w:val="0"/>
          <w:sz w:val="24"/>
        </w:rPr>
        <w:t>各市建设局（委），各有关单位：</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为进一步提高我省二级注册建造师的执业能力，促进建设工程项目管理水平的提高，我厅制定了《江苏省二级注册建造师继续教育管理办法》，现印发你们，请遵照执行。在执行过程中如有问题，请与厅建筑市场监管处联系。</w:t>
      </w:r>
    </w:p>
    <w:p>
      <w:pPr>
        <w:spacing w:line="460" w:lineRule="exact"/>
        <w:ind w:firstLine="472" w:firstLineChars="200"/>
        <w:rPr>
          <w:rFonts w:eastAsia="方正仿宋_GBK"/>
          <w:color w:val="000000"/>
          <w:spacing w:val="-2"/>
          <w:kern w:val="0"/>
          <w:sz w:val="24"/>
        </w:rPr>
      </w:pP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附件：《江苏省二级注册建造师继续教育管理办法》</w:t>
      </w:r>
    </w:p>
    <w:p>
      <w:pPr>
        <w:spacing w:line="460" w:lineRule="exact"/>
        <w:ind w:firstLine="472" w:firstLineChars="200"/>
        <w:rPr>
          <w:rFonts w:eastAsia="方正仿宋_GBK"/>
          <w:color w:val="000000"/>
          <w:spacing w:val="-2"/>
          <w:kern w:val="0"/>
          <w:sz w:val="24"/>
        </w:rPr>
      </w:pPr>
    </w:p>
    <w:p>
      <w:pPr>
        <w:spacing w:line="460" w:lineRule="exact"/>
        <w:ind w:firstLine="5609" w:firstLineChars="2377"/>
        <w:jc w:val="left"/>
        <w:rPr>
          <w:rFonts w:eastAsia="方正仿宋_GBK"/>
          <w:color w:val="000000"/>
          <w:spacing w:val="-2"/>
          <w:kern w:val="0"/>
          <w:sz w:val="24"/>
        </w:rPr>
      </w:pPr>
      <w:r>
        <w:rPr>
          <w:rFonts w:hint="eastAsia" w:eastAsia="方正仿宋_GBK"/>
          <w:color w:val="000000"/>
          <w:spacing w:val="-2"/>
          <w:kern w:val="0"/>
          <w:sz w:val="24"/>
        </w:rPr>
        <w:t>江苏省住房和城乡建设厅</w:t>
      </w:r>
      <w:r>
        <w:rPr>
          <w:rFonts w:eastAsia="方正仿宋_GBK"/>
          <w:color w:val="000000"/>
          <w:spacing w:val="-2"/>
          <w:kern w:val="0"/>
          <w:sz w:val="24"/>
        </w:rPr>
        <w:t xml:space="preserve">    </w:t>
      </w:r>
    </w:p>
    <w:p>
      <w:pPr>
        <w:spacing w:line="460" w:lineRule="exact"/>
        <w:ind w:right="418" w:rightChars="199"/>
        <w:jc w:val="right"/>
        <w:rPr>
          <w:rFonts w:eastAsia="方正仿宋_GBK"/>
          <w:color w:val="000000"/>
          <w:spacing w:val="-2"/>
          <w:kern w:val="0"/>
          <w:sz w:val="24"/>
        </w:rPr>
      </w:pPr>
      <w:r>
        <w:rPr>
          <w:rFonts w:eastAsia="方正仿宋_GBK"/>
          <w:color w:val="000000"/>
          <w:spacing w:val="-2"/>
          <w:kern w:val="0"/>
          <w:sz w:val="24"/>
        </w:rPr>
        <w:t xml:space="preserve">   </w:t>
      </w:r>
      <w:r>
        <w:rPr>
          <w:rFonts w:hint="eastAsia" w:eastAsia="方正仿宋_GBK"/>
          <w:color w:val="000000"/>
          <w:spacing w:val="-2"/>
          <w:kern w:val="0"/>
          <w:sz w:val="24"/>
        </w:rPr>
        <w:t>二〇一〇年十二月二十七日</w:t>
      </w:r>
      <w:r>
        <w:rPr>
          <w:rFonts w:eastAsia="方正仿宋_GBK"/>
          <w:color w:val="000000"/>
          <w:spacing w:val="-2"/>
          <w:kern w:val="0"/>
          <w:sz w:val="24"/>
        </w:rPr>
        <w:t xml:space="preserve">   </w:t>
      </w:r>
    </w:p>
    <w:p>
      <w:pPr>
        <w:spacing w:line="460" w:lineRule="exact"/>
        <w:rPr>
          <w:rFonts w:eastAsia="方正仿宋_GBK"/>
          <w:bCs/>
          <w:color w:val="000000"/>
          <w:spacing w:val="-2"/>
          <w:kern w:val="0"/>
          <w:sz w:val="24"/>
        </w:rPr>
      </w:pPr>
    </w:p>
    <w:p>
      <w:pPr>
        <w:spacing w:line="460" w:lineRule="exact"/>
        <w:rPr>
          <w:rFonts w:eastAsia="方正仿宋_GBK"/>
          <w:bCs/>
          <w:color w:val="000000"/>
          <w:spacing w:val="-2"/>
          <w:kern w:val="0"/>
          <w:sz w:val="24"/>
        </w:rPr>
      </w:pPr>
    </w:p>
    <w:p>
      <w:pPr>
        <w:spacing w:line="460" w:lineRule="exact"/>
        <w:jc w:val="center"/>
        <w:rPr>
          <w:rFonts w:eastAsia="方正黑体_GBK"/>
          <w:bCs/>
          <w:color w:val="000000"/>
          <w:spacing w:val="-2"/>
          <w:kern w:val="0"/>
          <w:sz w:val="36"/>
          <w:szCs w:val="36"/>
        </w:rPr>
      </w:pPr>
      <w:r>
        <w:rPr>
          <w:rFonts w:hint="eastAsia" w:eastAsia="方正黑体_GBK"/>
          <w:bCs/>
          <w:color w:val="000000"/>
          <w:spacing w:val="-2"/>
          <w:kern w:val="0"/>
          <w:sz w:val="36"/>
          <w:szCs w:val="36"/>
        </w:rPr>
        <w:t>江苏省二级注册建造师继续教育管理办法</w:t>
      </w:r>
    </w:p>
    <w:p>
      <w:pPr>
        <w:spacing w:line="460" w:lineRule="exact"/>
        <w:ind w:firstLine="472" w:firstLineChars="200"/>
        <w:rPr>
          <w:rFonts w:eastAsia="方正仿宋_GBK"/>
          <w:color w:val="000000"/>
          <w:spacing w:val="-2"/>
          <w:kern w:val="0"/>
          <w:sz w:val="24"/>
        </w:rPr>
      </w:pPr>
    </w:p>
    <w:p>
      <w:pPr>
        <w:spacing w:line="460" w:lineRule="exact"/>
        <w:ind w:firstLine="472" w:firstLineChars="200"/>
        <w:rPr>
          <w:rFonts w:eastAsia="方正仿宋_GBK"/>
          <w:color w:val="000000"/>
          <w:spacing w:val="-2"/>
          <w:kern w:val="0"/>
          <w:sz w:val="24"/>
        </w:rPr>
      </w:pPr>
      <w:r>
        <w:rPr>
          <w:rFonts w:hint="eastAsia" w:eastAsia="方正黑体_GBK"/>
          <w:color w:val="000000"/>
          <w:spacing w:val="-2"/>
          <w:kern w:val="0"/>
          <w:sz w:val="24"/>
        </w:rPr>
        <w:t>第一条</w:t>
      </w:r>
      <w:r>
        <w:rPr>
          <w:rFonts w:eastAsia="方正仿宋_GBK"/>
          <w:color w:val="000000"/>
          <w:spacing w:val="-2"/>
          <w:kern w:val="0"/>
          <w:sz w:val="24"/>
        </w:rPr>
        <w:t xml:space="preserve">  </w:t>
      </w:r>
      <w:r>
        <w:rPr>
          <w:rFonts w:hint="eastAsia" w:eastAsia="方正仿宋_GBK"/>
          <w:color w:val="000000"/>
          <w:spacing w:val="-2"/>
          <w:kern w:val="0"/>
          <w:sz w:val="24"/>
        </w:rPr>
        <w:t>为进一步提高我省二级注册建造师的执业能力，促进建设工程项目管理水平的提高，根据《注册建造师管理规定》（</w:t>
      </w:r>
      <w:r>
        <w:rPr>
          <w:rFonts w:hint="eastAsia" w:eastAsia="方正仿宋_GBK"/>
          <w:bCs/>
          <w:color w:val="000000"/>
          <w:spacing w:val="-2"/>
          <w:kern w:val="0"/>
          <w:sz w:val="24"/>
        </w:rPr>
        <w:t>建设部令第</w:t>
      </w:r>
      <w:r>
        <w:rPr>
          <w:rFonts w:eastAsia="方正仿宋_GBK"/>
          <w:bCs/>
          <w:color w:val="000000"/>
          <w:spacing w:val="-2"/>
          <w:kern w:val="0"/>
          <w:sz w:val="24"/>
        </w:rPr>
        <w:t>153</w:t>
      </w:r>
      <w:r>
        <w:rPr>
          <w:rFonts w:hint="eastAsia" w:eastAsia="方正仿宋_GBK"/>
          <w:bCs/>
          <w:color w:val="000000"/>
          <w:spacing w:val="-2"/>
          <w:kern w:val="0"/>
          <w:sz w:val="24"/>
        </w:rPr>
        <w:t>号）</w:t>
      </w:r>
      <w:r>
        <w:rPr>
          <w:rFonts w:hint="eastAsia" w:eastAsia="方正仿宋_GBK"/>
          <w:color w:val="000000"/>
          <w:spacing w:val="-2"/>
          <w:kern w:val="0"/>
          <w:sz w:val="24"/>
        </w:rPr>
        <w:t>、住房和城乡建设部《关于印发</w:t>
      </w:r>
      <w:r>
        <w:rPr>
          <w:rFonts w:eastAsia="方正仿宋_GBK"/>
          <w:color w:val="000000"/>
          <w:spacing w:val="-2"/>
          <w:kern w:val="0"/>
          <w:sz w:val="24"/>
        </w:rPr>
        <w:t>&lt;</w:t>
      </w:r>
      <w:r>
        <w:rPr>
          <w:rFonts w:hint="eastAsia" w:eastAsia="方正仿宋_GBK"/>
          <w:color w:val="000000"/>
          <w:spacing w:val="-2"/>
          <w:kern w:val="0"/>
          <w:sz w:val="24"/>
        </w:rPr>
        <w:t>注册建造师继续教育管理暂行办法</w:t>
      </w:r>
      <w:r>
        <w:rPr>
          <w:rFonts w:eastAsia="方正仿宋_GBK"/>
          <w:color w:val="000000"/>
          <w:spacing w:val="-2"/>
          <w:kern w:val="0"/>
          <w:sz w:val="24"/>
        </w:rPr>
        <w:t>&gt;</w:t>
      </w:r>
      <w:r>
        <w:rPr>
          <w:rFonts w:hint="eastAsia" w:eastAsia="方正仿宋_GBK"/>
          <w:color w:val="000000"/>
          <w:spacing w:val="-2"/>
          <w:kern w:val="0"/>
          <w:sz w:val="24"/>
        </w:rPr>
        <w:t>的通知》（建市</w:t>
      </w:r>
      <w:r>
        <w:rPr>
          <w:rFonts w:hint="eastAsia" w:eastAsia="方正仿宋_GBK"/>
          <w:bCs/>
          <w:color w:val="000000"/>
          <w:spacing w:val="-2"/>
          <w:kern w:val="0"/>
          <w:sz w:val="24"/>
        </w:rPr>
        <w:t>〔</w:t>
      </w:r>
      <w:r>
        <w:rPr>
          <w:rFonts w:eastAsia="方正仿宋_GBK"/>
          <w:bCs/>
          <w:color w:val="000000"/>
          <w:spacing w:val="-2"/>
          <w:kern w:val="0"/>
          <w:sz w:val="24"/>
        </w:rPr>
        <w:t>2010</w:t>
      </w:r>
      <w:r>
        <w:rPr>
          <w:rFonts w:hint="eastAsia" w:eastAsia="方正仿宋_GBK"/>
          <w:bCs/>
          <w:color w:val="000000"/>
          <w:spacing w:val="-2"/>
          <w:kern w:val="0"/>
          <w:sz w:val="24"/>
        </w:rPr>
        <w:t>〕</w:t>
      </w:r>
      <w:r>
        <w:rPr>
          <w:rFonts w:eastAsia="方正仿宋_GBK"/>
          <w:color w:val="000000"/>
          <w:spacing w:val="-2"/>
          <w:kern w:val="0"/>
          <w:sz w:val="24"/>
        </w:rPr>
        <w:t>192</w:t>
      </w:r>
      <w:r>
        <w:rPr>
          <w:rFonts w:hint="eastAsia" w:eastAsia="方正仿宋_GBK"/>
          <w:color w:val="000000"/>
          <w:spacing w:val="-2"/>
          <w:kern w:val="0"/>
          <w:sz w:val="24"/>
        </w:rPr>
        <w:t>号），制定本办法。</w:t>
      </w:r>
    </w:p>
    <w:p>
      <w:pPr>
        <w:spacing w:line="460" w:lineRule="exact"/>
        <w:ind w:firstLine="472" w:firstLineChars="200"/>
        <w:rPr>
          <w:rFonts w:eastAsia="方正仿宋_GBK"/>
          <w:color w:val="000000"/>
          <w:spacing w:val="-2"/>
          <w:kern w:val="0"/>
          <w:sz w:val="24"/>
        </w:rPr>
      </w:pPr>
      <w:r>
        <w:rPr>
          <w:rFonts w:hint="eastAsia" w:eastAsia="方正黑体_GBK"/>
          <w:color w:val="000000"/>
          <w:spacing w:val="-2"/>
          <w:kern w:val="0"/>
          <w:sz w:val="24"/>
        </w:rPr>
        <w:t>第二条</w:t>
      </w:r>
      <w:r>
        <w:rPr>
          <w:rFonts w:eastAsia="方正仿宋_GBK"/>
          <w:color w:val="000000"/>
          <w:spacing w:val="-2"/>
          <w:kern w:val="0"/>
          <w:sz w:val="24"/>
        </w:rPr>
        <w:t xml:space="preserve">  </w:t>
      </w:r>
      <w:r>
        <w:rPr>
          <w:rFonts w:hint="eastAsia" w:eastAsia="方正仿宋_GBK"/>
          <w:color w:val="000000"/>
          <w:spacing w:val="-2"/>
          <w:kern w:val="0"/>
          <w:sz w:val="24"/>
        </w:rPr>
        <w:t>二级注册建造师通过继续教育，应及时掌握新出台的工程建设有关法律法规、标准规范，熟悉工程建设项目管理新理论、新方法、新技术、新材料、新设备、新工艺，切实增强职业道德和社会责任感，不断提高综合素质和执业能力。</w:t>
      </w:r>
    </w:p>
    <w:p>
      <w:pPr>
        <w:spacing w:line="460" w:lineRule="exact"/>
        <w:ind w:firstLine="472" w:firstLineChars="200"/>
        <w:rPr>
          <w:rFonts w:eastAsia="方正仿宋_GBK"/>
          <w:color w:val="000000"/>
          <w:spacing w:val="-2"/>
          <w:kern w:val="0"/>
          <w:sz w:val="24"/>
        </w:rPr>
      </w:pPr>
      <w:r>
        <w:rPr>
          <w:rFonts w:hint="eastAsia" w:eastAsia="方正黑体_GBK"/>
          <w:color w:val="000000"/>
          <w:spacing w:val="-2"/>
          <w:kern w:val="0"/>
          <w:sz w:val="24"/>
        </w:rPr>
        <w:t>第三条</w:t>
      </w:r>
      <w:r>
        <w:rPr>
          <w:rFonts w:eastAsia="方正仿宋_GBK"/>
          <w:color w:val="000000"/>
          <w:spacing w:val="-2"/>
          <w:kern w:val="0"/>
          <w:sz w:val="24"/>
        </w:rPr>
        <w:t xml:space="preserve">  </w:t>
      </w:r>
      <w:r>
        <w:rPr>
          <w:rFonts w:hint="eastAsia" w:eastAsia="方正仿宋_GBK"/>
          <w:color w:val="000000"/>
          <w:spacing w:val="-2"/>
          <w:kern w:val="0"/>
          <w:sz w:val="24"/>
        </w:rPr>
        <w:t>二级注册建造师继续教育分为必修课和选修课。必修课以集中辅导为主，选修课采用网络教学等方式开展。</w:t>
      </w:r>
    </w:p>
    <w:p>
      <w:pPr>
        <w:spacing w:line="460" w:lineRule="exact"/>
        <w:ind w:firstLine="472" w:firstLineChars="200"/>
        <w:rPr>
          <w:rFonts w:eastAsia="方正仿宋_GBK"/>
          <w:color w:val="000000"/>
          <w:spacing w:val="-2"/>
          <w:kern w:val="0"/>
          <w:sz w:val="24"/>
        </w:rPr>
      </w:pPr>
      <w:r>
        <w:rPr>
          <w:rFonts w:hint="eastAsia" w:eastAsia="方正黑体_GBK"/>
          <w:color w:val="000000"/>
          <w:spacing w:val="-2"/>
          <w:kern w:val="0"/>
          <w:sz w:val="24"/>
        </w:rPr>
        <w:t>第四条</w:t>
      </w:r>
      <w:r>
        <w:rPr>
          <w:rFonts w:eastAsia="方正仿宋_GBK"/>
          <w:color w:val="000000"/>
          <w:spacing w:val="-2"/>
          <w:kern w:val="0"/>
          <w:sz w:val="24"/>
        </w:rPr>
        <w:t xml:space="preserve">  </w:t>
      </w:r>
      <w:r>
        <w:rPr>
          <w:rFonts w:hint="eastAsia" w:eastAsia="方正仿宋_GBK"/>
          <w:color w:val="000000"/>
          <w:spacing w:val="-2"/>
          <w:kern w:val="0"/>
          <w:sz w:val="24"/>
        </w:rPr>
        <w:t>省住房和城乡建设厅负责全省二级注册建造师继续教育的组织实施和管理，编制和发布继续教育规划及计划，审定继续教育教材，监督管理各单位继续教育开展情况。</w:t>
      </w:r>
    </w:p>
    <w:p>
      <w:pPr>
        <w:spacing w:line="460" w:lineRule="exact"/>
        <w:ind w:firstLine="472" w:firstLineChars="200"/>
        <w:rPr>
          <w:rFonts w:eastAsia="方正仿宋_GBK"/>
          <w:color w:val="000000"/>
          <w:spacing w:val="-2"/>
          <w:kern w:val="0"/>
          <w:sz w:val="24"/>
        </w:rPr>
      </w:pPr>
      <w:r>
        <w:rPr>
          <w:rFonts w:hint="eastAsia" w:eastAsia="方正黑体_GBK"/>
          <w:color w:val="000000"/>
          <w:spacing w:val="-2"/>
          <w:kern w:val="0"/>
          <w:sz w:val="24"/>
        </w:rPr>
        <w:t>第五条</w:t>
      </w:r>
      <w:r>
        <w:rPr>
          <w:rFonts w:eastAsia="方正仿宋_GBK"/>
          <w:color w:val="000000"/>
          <w:spacing w:val="-2"/>
          <w:kern w:val="0"/>
          <w:sz w:val="24"/>
        </w:rPr>
        <w:t xml:space="preserve">  </w:t>
      </w:r>
      <w:r>
        <w:rPr>
          <w:rFonts w:hint="eastAsia" w:eastAsia="方正仿宋_GBK"/>
          <w:color w:val="000000"/>
          <w:spacing w:val="-2"/>
          <w:kern w:val="0"/>
          <w:sz w:val="24"/>
        </w:rPr>
        <w:t>有关行业协会在省住房和城乡建设厅的指导下，协助做好二级注册建造师继续教育教材的编写。</w:t>
      </w:r>
    </w:p>
    <w:p>
      <w:pPr>
        <w:spacing w:line="460" w:lineRule="exact"/>
        <w:ind w:firstLine="472" w:firstLineChars="200"/>
        <w:rPr>
          <w:rFonts w:eastAsia="方正仿宋_GBK"/>
          <w:color w:val="000000"/>
          <w:spacing w:val="-2"/>
          <w:kern w:val="0"/>
          <w:sz w:val="24"/>
        </w:rPr>
      </w:pPr>
      <w:r>
        <w:rPr>
          <w:rFonts w:hint="eastAsia" w:eastAsia="方正黑体_GBK"/>
          <w:color w:val="000000"/>
          <w:spacing w:val="-2"/>
          <w:kern w:val="0"/>
          <w:sz w:val="24"/>
        </w:rPr>
        <w:t>第六条</w:t>
      </w:r>
      <w:r>
        <w:rPr>
          <w:rFonts w:eastAsia="方正仿宋_GBK"/>
          <w:color w:val="000000"/>
          <w:spacing w:val="-2"/>
          <w:kern w:val="0"/>
          <w:sz w:val="24"/>
        </w:rPr>
        <w:t xml:space="preserve">  </w:t>
      </w:r>
      <w:r>
        <w:rPr>
          <w:rFonts w:hint="eastAsia" w:eastAsia="方正仿宋_GBK"/>
          <w:color w:val="000000"/>
          <w:spacing w:val="-2"/>
          <w:kern w:val="0"/>
          <w:sz w:val="24"/>
        </w:rPr>
        <w:t>全省二级注册建造师继续教育由培训机构组织培训，也可以由企业自行组织培训，培训师资应具有较高理论水平或具有丰富实践经验的教师、专家承担。</w:t>
      </w:r>
    </w:p>
    <w:p>
      <w:pPr>
        <w:spacing w:line="460" w:lineRule="exact"/>
        <w:ind w:firstLine="472" w:firstLineChars="200"/>
        <w:rPr>
          <w:rFonts w:eastAsia="方正仿宋_GBK"/>
          <w:color w:val="000000"/>
          <w:spacing w:val="-2"/>
          <w:kern w:val="0"/>
          <w:sz w:val="24"/>
        </w:rPr>
      </w:pPr>
      <w:r>
        <w:rPr>
          <w:rFonts w:hint="eastAsia" w:eastAsia="方正黑体_GBK"/>
          <w:color w:val="000000"/>
          <w:spacing w:val="-2"/>
          <w:kern w:val="0"/>
          <w:sz w:val="24"/>
        </w:rPr>
        <w:t>第七条</w:t>
      </w:r>
      <w:r>
        <w:rPr>
          <w:rFonts w:eastAsia="方正仿宋_GBK"/>
          <w:color w:val="000000"/>
          <w:spacing w:val="-2"/>
          <w:kern w:val="0"/>
          <w:sz w:val="24"/>
        </w:rPr>
        <w:t xml:space="preserve">  </w:t>
      </w:r>
      <w:r>
        <w:rPr>
          <w:rFonts w:hint="eastAsia" w:eastAsia="方正仿宋_GBK"/>
          <w:color w:val="000000"/>
          <w:spacing w:val="-2"/>
          <w:kern w:val="0"/>
          <w:sz w:val="24"/>
        </w:rPr>
        <w:t>培训机构和企业应当按照省厅二级注册建造师继续教育计划组织培训，抓好教学管理各个环节，努力提高培训质量。注册建造师参加培训机构培训或企业自行组织培训的具体实施办法另行规定。</w:t>
      </w:r>
    </w:p>
    <w:p>
      <w:pPr>
        <w:spacing w:line="460" w:lineRule="exact"/>
        <w:ind w:firstLine="474" w:firstLineChars="200"/>
        <w:rPr>
          <w:rFonts w:eastAsia="方正仿宋_GBK"/>
          <w:color w:val="000000"/>
          <w:spacing w:val="-2"/>
          <w:kern w:val="0"/>
          <w:sz w:val="24"/>
        </w:rPr>
      </w:pPr>
      <w:r>
        <w:rPr>
          <w:rFonts w:hint="eastAsia" w:eastAsia="方正仿宋_GBK"/>
          <w:b/>
          <w:bCs/>
          <w:color w:val="000000"/>
          <w:spacing w:val="-2"/>
          <w:kern w:val="0"/>
          <w:sz w:val="24"/>
        </w:rPr>
        <w:t>第八条</w:t>
      </w:r>
      <w:r>
        <w:rPr>
          <w:rFonts w:eastAsia="方正仿宋_GBK"/>
          <w:b/>
          <w:bCs/>
          <w:color w:val="000000"/>
          <w:spacing w:val="-2"/>
          <w:kern w:val="0"/>
          <w:sz w:val="24"/>
        </w:rPr>
        <w:t xml:space="preserve"> </w:t>
      </w:r>
      <w:r>
        <w:rPr>
          <w:rFonts w:eastAsia="方正仿宋_GBK"/>
          <w:color w:val="000000"/>
          <w:spacing w:val="-2"/>
          <w:kern w:val="0"/>
          <w:sz w:val="24"/>
        </w:rPr>
        <w:t xml:space="preserve"> </w:t>
      </w:r>
      <w:r>
        <w:rPr>
          <w:rFonts w:hint="eastAsia" w:eastAsia="方正仿宋_GBK"/>
          <w:color w:val="000000"/>
          <w:spacing w:val="-2"/>
          <w:kern w:val="0"/>
          <w:sz w:val="24"/>
        </w:rPr>
        <w:t>二级注册建造师参加培训机构或企业自行组织培训结束后应组织培训情况测试，测试的具体内容、方式由省住房和城乡建设厅确定，测试合格的方可办理有关注册手续。</w:t>
      </w:r>
    </w:p>
    <w:p>
      <w:pPr>
        <w:spacing w:line="460" w:lineRule="exact"/>
        <w:ind w:firstLine="472" w:firstLineChars="200"/>
        <w:rPr>
          <w:rFonts w:eastAsia="方正仿宋_GBK"/>
          <w:color w:val="000000"/>
          <w:spacing w:val="-2"/>
          <w:kern w:val="0"/>
          <w:sz w:val="24"/>
        </w:rPr>
      </w:pPr>
      <w:r>
        <w:rPr>
          <w:rFonts w:hint="eastAsia" w:eastAsia="方正黑体_GBK"/>
          <w:color w:val="000000"/>
          <w:spacing w:val="-2"/>
          <w:kern w:val="0"/>
          <w:sz w:val="24"/>
        </w:rPr>
        <w:t>第九条</w:t>
      </w:r>
      <w:r>
        <w:rPr>
          <w:rFonts w:eastAsia="方正仿宋_GBK"/>
          <w:color w:val="000000"/>
          <w:spacing w:val="-2"/>
          <w:kern w:val="0"/>
          <w:sz w:val="24"/>
        </w:rPr>
        <w:t xml:space="preserve">  </w:t>
      </w:r>
      <w:r>
        <w:rPr>
          <w:rFonts w:hint="eastAsia" w:eastAsia="方正仿宋_GBK"/>
          <w:color w:val="000000"/>
          <w:spacing w:val="-2"/>
          <w:kern w:val="0"/>
          <w:sz w:val="24"/>
        </w:rPr>
        <w:t>培训单位应积极探索并开展现场观摩会、研讨会、交流会等多样化教学方式，切实提高教学质量和教学效果。</w:t>
      </w:r>
    </w:p>
    <w:p>
      <w:pPr>
        <w:spacing w:line="460" w:lineRule="exact"/>
        <w:ind w:firstLine="472" w:firstLineChars="200"/>
        <w:rPr>
          <w:rFonts w:eastAsia="方正仿宋_GBK"/>
          <w:color w:val="000000"/>
          <w:spacing w:val="-2"/>
          <w:kern w:val="0"/>
          <w:sz w:val="24"/>
        </w:rPr>
      </w:pPr>
      <w:r>
        <w:rPr>
          <w:rFonts w:hint="eastAsia" w:eastAsia="方正黑体_GBK"/>
          <w:color w:val="000000"/>
          <w:spacing w:val="-2"/>
          <w:kern w:val="0"/>
          <w:sz w:val="24"/>
        </w:rPr>
        <w:t>第十条</w:t>
      </w:r>
      <w:r>
        <w:rPr>
          <w:rFonts w:eastAsia="方正仿宋_GBK"/>
          <w:color w:val="000000"/>
          <w:spacing w:val="-2"/>
          <w:kern w:val="0"/>
          <w:sz w:val="24"/>
        </w:rPr>
        <w:t xml:space="preserve">  </w:t>
      </w:r>
      <w:r>
        <w:rPr>
          <w:rFonts w:hint="eastAsia" w:eastAsia="方正仿宋_GBK"/>
          <w:color w:val="000000"/>
          <w:spacing w:val="-2"/>
          <w:kern w:val="0"/>
          <w:sz w:val="24"/>
        </w:rPr>
        <w:t>二级注册建造师可以根据工作需要集中或分年度安排继续教育的学时，在每一注册有效期内接受</w:t>
      </w:r>
      <w:r>
        <w:rPr>
          <w:rFonts w:eastAsia="方正仿宋_GBK"/>
          <w:color w:val="000000"/>
          <w:spacing w:val="-2"/>
          <w:kern w:val="0"/>
          <w:sz w:val="24"/>
        </w:rPr>
        <w:t>120</w:t>
      </w:r>
      <w:r>
        <w:rPr>
          <w:rFonts w:hint="eastAsia" w:eastAsia="方正仿宋_GBK"/>
          <w:color w:val="000000"/>
          <w:spacing w:val="-2"/>
          <w:kern w:val="0"/>
          <w:sz w:val="24"/>
        </w:rPr>
        <w:t>学时继续教育，必修课和选修课各为</w:t>
      </w:r>
      <w:r>
        <w:rPr>
          <w:rFonts w:eastAsia="方正仿宋_GBK"/>
          <w:color w:val="000000"/>
          <w:spacing w:val="-2"/>
          <w:kern w:val="0"/>
          <w:sz w:val="24"/>
        </w:rPr>
        <w:t>60</w:t>
      </w:r>
      <w:r>
        <w:rPr>
          <w:rFonts w:hint="eastAsia" w:eastAsia="方正仿宋_GBK"/>
          <w:color w:val="000000"/>
          <w:spacing w:val="-2"/>
          <w:kern w:val="0"/>
          <w:sz w:val="24"/>
        </w:rPr>
        <w:t>学时。注册两个及以上专业的，每增加一个专业还应参加所增加专业</w:t>
      </w:r>
      <w:r>
        <w:rPr>
          <w:rFonts w:eastAsia="方正仿宋_GBK"/>
          <w:color w:val="000000"/>
          <w:spacing w:val="-2"/>
          <w:kern w:val="0"/>
          <w:sz w:val="24"/>
        </w:rPr>
        <w:t>60</w:t>
      </w:r>
      <w:r>
        <w:rPr>
          <w:rFonts w:hint="eastAsia" w:eastAsia="方正仿宋_GBK"/>
          <w:color w:val="000000"/>
          <w:spacing w:val="-2"/>
          <w:kern w:val="0"/>
          <w:sz w:val="24"/>
        </w:rPr>
        <w:t>学时的继续教育，其中必修课</w:t>
      </w:r>
      <w:r>
        <w:rPr>
          <w:rFonts w:eastAsia="方正仿宋_GBK"/>
          <w:color w:val="000000"/>
          <w:spacing w:val="-2"/>
          <w:kern w:val="0"/>
          <w:sz w:val="24"/>
        </w:rPr>
        <w:t>30</w:t>
      </w:r>
      <w:r>
        <w:rPr>
          <w:rFonts w:hint="eastAsia" w:eastAsia="方正仿宋_GBK"/>
          <w:color w:val="000000"/>
          <w:spacing w:val="-2"/>
          <w:kern w:val="0"/>
          <w:sz w:val="24"/>
        </w:rPr>
        <w:t>学时，选修课</w:t>
      </w:r>
      <w:r>
        <w:rPr>
          <w:rFonts w:eastAsia="方正仿宋_GBK"/>
          <w:color w:val="000000"/>
          <w:spacing w:val="-2"/>
          <w:kern w:val="0"/>
          <w:sz w:val="24"/>
        </w:rPr>
        <w:t>30</w:t>
      </w:r>
      <w:r>
        <w:rPr>
          <w:rFonts w:hint="eastAsia" w:eastAsia="方正仿宋_GBK"/>
          <w:color w:val="000000"/>
          <w:spacing w:val="-2"/>
          <w:kern w:val="0"/>
          <w:sz w:val="24"/>
        </w:rPr>
        <w:t>学时。</w:t>
      </w:r>
    </w:p>
    <w:p>
      <w:pPr>
        <w:spacing w:line="460" w:lineRule="exact"/>
        <w:ind w:firstLine="472" w:firstLineChars="200"/>
        <w:rPr>
          <w:rFonts w:eastAsia="方正仿宋_GBK"/>
          <w:color w:val="000000"/>
          <w:spacing w:val="-2"/>
          <w:kern w:val="0"/>
          <w:sz w:val="24"/>
        </w:rPr>
      </w:pPr>
      <w:r>
        <w:rPr>
          <w:rFonts w:hint="eastAsia" w:eastAsia="方正黑体_GBK"/>
          <w:color w:val="000000"/>
          <w:spacing w:val="-2"/>
          <w:kern w:val="0"/>
          <w:sz w:val="24"/>
        </w:rPr>
        <w:t>第十一条</w:t>
      </w:r>
      <w:r>
        <w:rPr>
          <w:rFonts w:eastAsia="方正仿宋_GBK"/>
          <w:color w:val="000000"/>
          <w:spacing w:val="-2"/>
          <w:kern w:val="0"/>
          <w:sz w:val="24"/>
        </w:rPr>
        <w:t xml:space="preserve">  </w:t>
      </w:r>
      <w:r>
        <w:rPr>
          <w:rFonts w:hint="eastAsia" w:eastAsia="方正仿宋_GBK"/>
          <w:color w:val="000000"/>
          <w:spacing w:val="-2"/>
          <w:kern w:val="0"/>
          <w:sz w:val="24"/>
        </w:rPr>
        <w:t>二级注册建造师在每一注册有效期内从事以下工作并取得相应证明的，可充抵继续教育选修课的学时：</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（一）参加全国建造师执业资格考试大纲编写及命题工作，每次计</w:t>
      </w:r>
      <w:r>
        <w:rPr>
          <w:rFonts w:eastAsia="方正仿宋_GBK"/>
          <w:color w:val="000000"/>
          <w:spacing w:val="-2"/>
          <w:kern w:val="0"/>
          <w:sz w:val="24"/>
        </w:rPr>
        <w:t>20</w:t>
      </w:r>
      <w:r>
        <w:rPr>
          <w:rFonts w:hint="eastAsia" w:eastAsia="方正仿宋_GBK"/>
          <w:color w:val="000000"/>
          <w:spacing w:val="-2"/>
          <w:kern w:val="0"/>
          <w:sz w:val="24"/>
        </w:rPr>
        <w:t>学时；</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（二）从事注册建造师继续教育教材编写工作，每次计</w:t>
      </w:r>
      <w:r>
        <w:rPr>
          <w:rFonts w:eastAsia="方正仿宋_GBK"/>
          <w:color w:val="000000"/>
          <w:spacing w:val="-2"/>
          <w:kern w:val="0"/>
          <w:sz w:val="24"/>
        </w:rPr>
        <w:t>20</w:t>
      </w:r>
      <w:r>
        <w:rPr>
          <w:rFonts w:hint="eastAsia" w:eastAsia="方正仿宋_GBK"/>
          <w:color w:val="000000"/>
          <w:spacing w:val="-2"/>
          <w:kern w:val="0"/>
          <w:sz w:val="24"/>
        </w:rPr>
        <w:t>学时；</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（三）在公开发行的省部级期刊上发表有关建设工程项目管理的学术论文的，第一作者每篇计</w:t>
      </w:r>
      <w:r>
        <w:rPr>
          <w:rFonts w:eastAsia="方正仿宋_GBK"/>
          <w:color w:val="000000"/>
          <w:spacing w:val="-2"/>
          <w:kern w:val="0"/>
          <w:sz w:val="24"/>
        </w:rPr>
        <w:t>10</w:t>
      </w:r>
      <w:r>
        <w:rPr>
          <w:rFonts w:hint="eastAsia" w:eastAsia="方正仿宋_GBK"/>
          <w:color w:val="000000"/>
          <w:spacing w:val="-2"/>
          <w:kern w:val="0"/>
          <w:sz w:val="24"/>
        </w:rPr>
        <w:t>学时；公开出版</w:t>
      </w:r>
      <w:r>
        <w:rPr>
          <w:rFonts w:eastAsia="方正仿宋_GBK"/>
          <w:color w:val="000000"/>
          <w:spacing w:val="-2"/>
          <w:kern w:val="0"/>
          <w:sz w:val="24"/>
        </w:rPr>
        <w:t>5</w:t>
      </w:r>
      <w:r>
        <w:rPr>
          <w:rFonts w:hint="eastAsia" w:eastAsia="方正仿宋_GBK"/>
          <w:color w:val="000000"/>
          <w:spacing w:val="-2"/>
          <w:kern w:val="0"/>
          <w:sz w:val="24"/>
        </w:rPr>
        <w:t>万字以上专著、教材的，第一、二作者每人计</w:t>
      </w:r>
      <w:r>
        <w:rPr>
          <w:rFonts w:eastAsia="方正仿宋_GBK"/>
          <w:color w:val="000000"/>
          <w:spacing w:val="-2"/>
          <w:kern w:val="0"/>
          <w:sz w:val="24"/>
        </w:rPr>
        <w:t>20</w:t>
      </w:r>
      <w:r>
        <w:rPr>
          <w:rFonts w:hint="eastAsia" w:eastAsia="方正仿宋_GBK"/>
          <w:color w:val="000000"/>
          <w:spacing w:val="-2"/>
          <w:kern w:val="0"/>
          <w:sz w:val="24"/>
        </w:rPr>
        <w:t>学时；</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（四）参加建造师继续教育授课工作的按授课学时计算。</w:t>
      </w:r>
    </w:p>
    <w:p>
      <w:pPr>
        <w:spacing w:line="460" w:lineRule="exact"/>
        <w:ind w:firstLine="472" w:firstLineChars="200"/>
        <w:rPr>
          <w:rFonts w:eastAsia="方正仿宋_GBK"/>
          <w:color w:val="000000"/>
          <w:spacing w:val="-2"/>
          <w:kern w:val="0"/>
          <w:sz w:val="24"/>
        </w:rPr>
      </w:pPr>
      <w:r>
        <w:rPr>
          <w:rFonts w:hint="eastAsia" w:eastAsia="方正黑体_GBK"/>
          <w:color w:val="000000"/>
          <w:spacing w:val="-2"/>
          <w:kern w:val="0"/>
          <w:sz w:val="24"/>
        </w:rPr>
        <w:t>第十二条</w:t>
      </w:r>
      <w:r>
        <w:rPr>
          <w:rFonts w:eastAsia="方正仿宋_GBK"/>
          <w:color w:val="000000"/>
          <w:spacing w:val="-2"/>
          <w:kern w:val="0"/>
          <w:sz w:val="24"/>
        </w:rPr>
        <w:t xml:space="preserve">  </w:t>
      </w:r>
      <w:r>
        <w:rPr>
          <w:rFonts w:hint="eastAsia" w:eastAsia="方正仿宋_GBK"/>
          <w:color w:val="000000"/>
          <w:spacing w:val="-2"/>
          <w:kern w:val="0"/>
          <w:sz w:val="24"/>
        </w:rPr>
        <w:t>二级注册建造师在每一注册有效期内担任过施工现场项目经理职务，所负责的工程项目获得以下奖项并取得相应证明的，可充抵继续教育的学时：</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（一）所承担工程项目获得国家级优质工程奖项的，可充抵继续教育必修课和选修课全部学时；</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（二）所承担工程项目获得省级优质工程奖项的，可充抵选修课全部学时；</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（三）经省住房和城乡建设厅认定可以充抵课时的其他有关业绩。</w:t>
      </w:r>
    </w:p>
    <w:p>
      <w:pPr>
        <w:spacing w:line="460" w:lineRule="exact"/>
        <w:ind w:firstLine="472" w:firstLineChars="200"/>
        <w:rPr>
          <w:rFonts w:eastAsia="方正仿宋_GBK"/>
          <w:color w:val="000000"/>
          <w:spacing w:val="-2"/>
          <w:kern w:val="0"/>
          <w:sz w:val="24"/>
        </w:rPr>
      </w:pPr>
      <w:r>
        <w:rPr>
          <w:rFonts w:hint="eastAsia" w:eastAsia="方正黑体_GBK"/>
          <w:color w:val="000000"/>
          <w:spacing w:val="-2"/>
          <w:kern w:val="0"/>
          <w:sz w:val="24"/>
        </w:rPr>
        <w:t>第十三条</w:t>
      </w:r>
      <w:r>
        <w:rPr>
          <w:rFonts w:eastAsia="方正仿宋_GBK"/>
          <w:color w:val="000000"/>
          <w:spacing w:val="-2"/>
          <w:kern w:val="0"/>
          <w:sz w:val="24"/>
        </w:rPr>
        <w:t xml:space="preserve">  </w:t>
      </w:r>
      <w:r>
        <w:rPr>
          <w:rFonts w:hint="eastAsia" w:eastAsia="方正仿宋_GBK"/>
          <w:color w:val="000000"/>
          <w:spacing w:val="-2"/>
          <w:kern w:val="0"/>
          <w:sz w:val="24"/>
        </w:rPr>
        <w:t>继续教育学时充抵材料，由各省辖市建设主管部门和省有关厅局初审后报省住房和城乡建设厅认定。</w:t>
      </w:r>
    </w:p>
    <w:p>
      <w:pPr>
        <w:spacing w:line="460" w:lineRule="exact"/>
        <w:ind w:firstLine="472" w:firstLineChars="200"/>
        <w:rPr>
          <w:rFonts w:eastAsia="方正仿宋_GBK"/>
          <w:color w:val="000000"/>
          <w:spacing w:val="-2"/>
          <w:kern w:val="0"/>
          <w:sz w:val="24"/>
        </w:rPr>
      </w:pPr>
      <w:r>
        <w:rPr>
          <w:rFonts w:hint="eastAsia" w:eastAsia="方正黑体_GBK"/>
          <w:color w:val="000000"/>
          <w:spacing w:val="-2"/>
          <w:kern w:val="0"/>
          <w:sz w:val="24"/>
        </w:rPr>
        <w:t>第十四条</w:t>
      </w:r>
      <w:r>
        <w:rPr>
          <w:rFonts w:eastAsia="方正仿宋_GBK"/>
          <w:color w:val="000000"/>
          <w:spacing w:val="-2"/>
          <w:kern w:val="0"/>
          <w:sz w:val="24"/>
        </w:rPr>
        <w:t xml:space="preserve">  </w:t>
      </w:r>
      <w:r>
        <w:rPr>
          <w:rFonts w:hint="eastAsia" w:eastAsia="方正仿宋_GBK"/>
          <w:color w:val="000000"/>
          <w:spacing w:val="-2"/>
          <w:kern w:val="0"/>
          <w:sz w:val="24"/>
        </w:rPr>
        <w:t>二级注册建造师应按期接受继续教育，所在单位应当为其接受继续教育提供必要条件。二级注册建造师在参加继续教育期间享有国家规定的工资、保险、福利待遇。</w:t>
      </w:r>
    </w:p>
    <w:p>
      <w:pPr>
        <w:spacing w:line="460" w:lineRule="exact"/>
        <w:ind w:firstLine="472" w:firstLineChars="200"/>
        <w:rPr>
          <w:rFonts w:eastAsia="方正仿宋_GBK"/>
          <w:color w:val="000000"/>
          <w:spacing w:val="-2"/>
          <w:kern w:val="0"/>
          <w:sz w:val="24"/>
        </w:rPr>
      </w:pPr>
      <w:r>
        <w:rPr>
          <w:rFonts w:hint="eastAsia" w:eastAsia="方正黑体_GBK"/>
          <w:color w:val="000000"/>
          <w:spacing w:val="-2"/>
          <w:kern w:val="0"/>
          <w:sz w:val="24"/>
        </w:rPr>
        <w:t>第十五条</w:t>
      </w:r>
      <w:r>
        <w:rPr>
          <w:rFonts w:eastAsia="方正仿宋_GBK"/>
          <w:color w:val="000000"/>
          <w:spacing w:val="-2"/>
          <w:kern w:val="0"/>
          <w:sz w:val="24"/>
        </w:rPr>
        <w:t xml:space="preserve">  </w:t>
      </w:r>
      <w:r>
        <w:rPr>
          <w:rFonts w:hint="eastAsia" w:eastAsia="方正仿宋_GBK"/>
          <w:color w:val="000000"/>
          <w:spacing w:val="-2"/>
          <w:kern w:val="0"/>
          <w:sz w:val="24"/>
        </w:rPr>
        <w:t>本办法由省住房和城乡建设厅负责解释。</w:t>
      </w:r>
    </w:p>
    <w:p>
      <w:pPr>
        <w:spacing w:line="460" w:lineRule="exact"/>
        <w:ind w:firstLine="479" w:firstLineChars="203"/>
        <w:rPr>
          <w:rFonts w:eastAsia="方正仿宋_GBK"/>
          <w:color w:val="000000"/>
          <w:spacing w:val="-2"/>
          <w:kern w:val="0"/>
          <w:sz w:val="24"/>
        </w:rPr>
      </w:pPr>
      <w:r>
        <w:rPr>
          <w:rFonts w:hint="eastAsia" w:eastAsia="方正黑体_GBK"/>
          <w:color w:val="000000"/>
          <w:spacing w:val="-2"/>
          <w:kern w:val="0"/>
          <w:sz w:val="24"/>
        </w:rPr>
        <w:t>第十六条</w:t>
      </w:r>
      <w:r>
        <w:rPr>
          <w:rFonts w:eastAsia="方正仿宋_GBK"/>
          <w:color w:val="000000"/>
          <w:spacing w:val="-2"/>
          <w:kern w:val="0"/>
          <w:sz w:val="24"/>
        </w:rPr>
        <w:t xml:space="preserve">  </w:t>
      </w:r>
      <w:r>
        <w:rPr>
          <w:rFonts w:hint="eastAsia" w:eastAsia="方正仿宋_GBK"/>
          <w:color w:val="000000"/>
          <w:spacing w:val="-2"/>
          <w:kern w:val="0"/>
          <w:sz w:val="24"/>
        </w:rPr>
        <w:t>本办法自</w:t>
      </w:r>
      <w:r>
        <w:rPr>
          <w:rFonts w:eastAsia="方正仿宋_GBK"/>
          <w:color w:val="000000"/>
          <w:spacing w:val="-2"/>
          <w:kern w:val="0"/>
          <w:sz w:val="24"/>
        </w:rPr>
        <w:t>2018</w:t>
      </w:r>
      <w:r>
        <w:rPr>
          <w:rFonts w:hint="eastAsia" w:eastAsia="方正仿宋_GBK"/>
          <w:color w:val="000000"/>
          <w:spacing w:val="-2"/>
          <w:kern w:val="0"/>
          <w:sz w:val="24"/>
        </w:rPr>
        <w:t>年</w:t>
      </w:r>
      <w:r>
        <w:rPr>
          <w:rFonts w:eastAsia="方正仿宋_GBK"/>
          <w:color w:val="000000"/>
          <w:spacing w:val="-2"/>
          <w:kern w:val="0"/>
          <w:sz w:val="24"/>
        </w:rPr>
        <w:t>1</w:t>
      </w:r>
      <w:r>
        <w:rPr>
          <w:rFonts w:hint="eastAsia" w:eastAsia="方正仿宋_GBK"/>
          <w:color w:val="000000"/>
          <w:spacing w:val="-2"/>
          <w:kern w:val="0"/>
          <w:sz w:val="24"/>
        </w:rPr>
        <w:t>月</w:t>
      </w:r>
      <w:r>
        <w:rPr>
          <w:rFonts w:eastAsia="方正仿宋_GBK"/>
          <w:color w:val="000000"/>
          <w:spacing w:val="-2"/>
          <w:kern w:val="0"/>
          <w:sz w:val="24"/>
        </w:rPr>
        <w:t>1</w:t>
      </w:r>
      <w:r>
        <w:rPr>
          <w:rFonts w:hint="eastAsia" w:eastAsia="方正仿宋_GBK"/>
          <w:color w:val="000000"/>
          <w:spacing w:val="-2"/>
          <w:kern w:val="0"/>
          <w:sz w:val="24"/>
        </w:rPr>
        <w:t>日起施行。</w:t>
      </w:r>
    </w:p>
    <w:p>
      <w:pPr>
        <w:spacing w:line="460" w:lineRule="exact"/>
        <w:rPr>
          <w:rFonts w:eastAsia="方正仿宋_GBK"/>
          <w:color w:val="000000"/>
          <w:spacing w:val="-2"/>
          <w:sz w:val="24"/>
        </w:rPr>
      </w:pPr>
    </w:p>
    <w:p>
      <w:pPr>
        <w:rPr>
          <w:rFonts w:eastAsia="方正仿宋_GBK"/>
          <w:sz w:val="24"/>
        </w:rPr>
      </w:pPr>
      <w:r>
        <w:rPr>
          <w:rFonts w:eastAsia="方正仿宋_GBK"/>
          <w:color w:val="000000"/>
          <w:spacing w:val="-2"/>
          <w:kern w:val="0"/>
          <w:sz w:val="24"/>
        </w:rPr>
        <w:br w:type="column"/>
      </w:r>
    </w:p>
    <w:p>
      <w:pPr>
        <w:rPr>
          <w:rFonts w:eastAsia="方正仿宋_GBK"/>
          <w:sz w:val="24"/>
        </w:rPr>
      </w:pPr>
    </w:p>
    <w:p>
      <w:pPr>
        <w:widowControl/>
        <w:jc w:val="left"/>
        <w:rPr>
          <w:rFonts w:eastAsia="方正仿宋_GBK"/>
          <w:sz w:val="24"/>
        </w:rPr>
        <w:sectPr>
          <w:pgSz w:w="11905" w:h="16838"/>
          <w:pgMar w:top="1701" w:right="1587" w:bottom="1701" w:left="1587" w:header="850" w:footer="1361" w:gutter="0"/>
          <w:paperSrc w:first="4" w:other="4"/>
          <w:cols w:space="720" w:num="1"/>
        </w:sectPr>
      </w:pPr>
    </w:p>
    <w:p>
      <w:pPr>
        <w:pStyle w:val="2"/>
        <w:spacing w:before="240" w:beforeLines="100" w:after="240" w:afterLines="100" w:line="240" w:lineRule="auto"/>
        <w:jc w:val="center"/>
        <w:rPr>
          <w:rFonts w:ascii="Times New Roman" w:eastAsia="方正小标宋_GBK"/>
          <w:b w:val="0"/>
          <w:sz w:val="36"/>
          <w:szCs w:val="36"/>
        </w:rPr>
      </w:pPr>
      <w:bookmarkStart w:id="621" w:name="_Toc20726660"/>
      <w:bookmarkStart w:id="622" w:name="_Toc18315801"/>
      <w:r>
        <w:rPr>
          <w:rFonts w:hint="eastAsia" w:ascii="Times New Roman" w:eastAsia="方正小标宋_GBK"/>
          <w:b w:val="0"/>
          <w:sz w:val="36"/>
          <w:szCs w:val="36"/>
        </w:rPr>
        <w:t>省住房城乡建设厅关于做好全省建筑施工现场管理   人员、技术工人证书信息采集工作的通知</w:t>
      </w:r>
      <w:bookmarkEnd w:id="621"/>
      <w:bookmarkEnd w:id="622"/>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623" w:name="_Toc20726661"/>
      <w:bookmarkStart w:id="624" w:name="_Toc18315802"/>
      <w:r>
        <w:rPr>
          <w:rFonts w:hint="eastAsia" w:ascii="Times New Roman" w:hAnsi="Times New Roman" w:eastAsia="方正楷体_GBK"/>
          <w:b w:val="0"/>
          <w:sz w:val="24"/>
          <w:szCs w:val="24"/>
        </w:rPr>
        <w:t>苏建函教〔</w:t>
      </w:r>
      <w:r>
        <w:rPr>
          <w:rFonts w:ascii="Times New Roman" w:hAnsi="Times New Roman" w:eastAsia="方正楷体_GBK"/>
          <w:b w:val="0"/>
          <w:sz w:val="24"/>
          <w:szCs w:val="24"/>
        </w:rPr>
        <w:t>2015</w:t>
      </w:r>
      <w:r>
        <w:rPr>
          <w:rFonts w:hint="eastAsia" w:ascii="Times New Roman" w:hAnsi="Times New Roman" w:eastAsia="方正楷体_GBK"/>
          <w:b w:val="0"/>
          <w:sz w:val="24"/>
          <w:szCs w:val="24"/>
        </w:rPr>
        <w:t>〕</w:t>
      </w:r>
      <w:r>
        <w:rPr>
          <w:rFonts w:ascii="Times New Roman" w:hAnsi="Times New Roman" w:eastAsia="方正楷体_GBK"/>
          <w:b w:val="0"/>
          <w:sz w:val="24"/>
          <w:szCs w:val="24"/>
        </w:rPr>
        <w:t>528</w:t>
      </w:r>
      <w:r>
        <w:rPr>
          <w:rFonts w:hint="eastAsia" w:ascii="Times New Roman" w:hAnsi="Times New Roman" w:eastAsia="方正楷体_GBK"/>
          <w:b w:val="0"/>
          <w:sz w:val="24"/>
          <w:szCs w:val="24"/>
        </w:rPr>
        <w:t>号</w:t>
      </w:r>
      <w:bookmarkEnd w:id="623"/>
      <w:bookmarkEnd w:id="624"/>
    </w:p>
    <w:p>
      <w:pPr>
        <w:spacing w:line="460" w:lineRule="exact"/>
        <w:rPr>
          <w:rFonts w:eastAsia="方正仿宋_GBK"/>
          <w:color w:val="000000"/>
          <w:spacing w:val="-2"/>
          <w:sz w:val="24"/>
        </w:rPr>
      </w:pPr>
      <w:r>
        <w:rPr>
          <w:rFonts w:hint="eastAsia" w:eastAsia="方正仿宋_GBK"/>
          <w:color w:val="000000"/>
          <w:spacing w:val="-2"/>
          <w:sz w:val="24"/>
        </w:rPr>
        <w:t>各省辖市建设局（委），泰州建工局，苏州工业园区规划局，张家港保税区规划建设局，昆山市、泰兴市、沭阳县建设局：</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根据住房城乡建设部</w:t>
      </w:r>
      <w:r>
        <w:rPr>
          <w:rFonts w:hint="eastAsia" w:eastAsia="方正仿宋_GBK"/>
          <w:color w:val="000000"/>
          <w:spacing w:val="-2"/>
          <w:sz w:val="24"/>
          <w:shd w:val="clear" w:color="auto" w:fill="FFFFFF"/>
        </w:rPr>
        <w:t>《建筑业企业资质管理规定和资质标准实施意见》（</w:t>
      </w:r>
      <w:r>
        <w:rPr>
          <w:rFonts w:hint="eastAsia" w:eastAsia="方正仿宋_GBK"/>
          <w:color w:val="000000"/>
          <w:spacing w:val="-2"/>
          <w:sz w:val="24"/>
        </w:rPr>
        <w:t>建市〔</w:t>
      </w:r>
      <w:r>
        <w:rPr>
          <w:rFonts w:eastAsia="方正仿宋_GBK"/>
          <w:color w:val="000000"/>
          <w:spacing w:val="-2"/>
          <w:sz w:val="24"/>
        </w:rPr>
        <w:t>2015</w:t>
      </w:r>
      <w:r>
        <w:rPr>
          <w:rFonts w:hint="eastAsia" w:eastAsia="方正仿宋_GBK"/>
          <w:color w:val="000000"/>
          <w:spacing w:val="-2"/>
          <w:sz w:val="24"/>
        </w:rPr>
        <w:t>〕</w:t>
      </w:r>
      <w:r>
        <w:rPr>
          <w:rFonts w:eastAsia="方正仿宋_GBK"/>
          <w:color w:val="000000"/>
          <w:spacing w:val="-2"/>
          <w:sz w:val="24"/>
        </w:rPr>
        <w:t>20</w:t>
      </w:r>
      <w:r>
        <w:rPr>
          <w:rFonts w:hint="eastAsia" w:eastAsia="方正仿宋_GBK"/>
          <w:color w:val="000000"/>
          <w:spacing w:val="-2"/>
          <w:sz w:val="24"/>
        </w:rPr>
        <w:t>号</w:t>
      </w:r>
      <w:r>
        <w:rPr>
          <w:rFonts w:hint="eastAsia" w:eastAsia="方正仿宋_GBK"/>
          <w:color w:val="000000"/>
          <w:spacing w:val="-2"/>
          <w:sz w:val="24"/>
          <w:shd w:val="clear" w:color="auto" w:fill="FFFFFF"/>
        </w:rPr>
        <w:t>）</w:t>
      </w:r>
      <w:r>
        <w:rPr>
          <w:rFonts w:hint="eastAsia" w:eastAsia="方正仿宋_GBK"/>
          <w:color w:val="000000"/>
          <w:spacing w:val="-2"/>
          <w:sz w:val="24"/>
        </w:rPr>
        <w:t>、省住房城乡建设厅《关于做好建筑业企业资质管理中主要人员信息采集工作的通知》</w:t>
      </w:r>
      <w:r>
        <w:rPr>
          <w:rFonts w:eastAsia="方正仿宋_GBK"/>
          <w:color w:val="000000"/>
          <w:spacing w:val="-2"/>
          <w:sz w:val="24"/>
        </w:rPr>
        <w:t>(</w:t>
      </w:r>
      <w:r>
        <w:rPr>
          <w:rFonts w:hint="eastAsia" w:eastAsia="方正仿宋_GBK"/>
          <w:color w:val="000000"/>
          <w:spacing w:val="-2"/>
          <w:sz w:val="24"/>
        </w:rPr>
        <w:t>苏建建管〔</w:t>
      </w:r>
      <w:r>
        <w:rPr>
          <w:rFonts w:eastAsia="方正仿宋_GBK"/>
          <w:color w:val="000000"/>
          <w:spacing w:val="-2"/>
          <w:sz w:val="24"/>
        </w:rPr>
        <w:t>2015</w:t>
      </w:r>
      <w:r>
        <w:rPr>
          <w:rFonts w:hint="eastAsia" w:eastAsia="方正仿宋_GBK"/>
          <w:color w:val="000000"/>
          <w:spacing w:val="-2"/>
          <w:sz w:val="24"/>
        </w:rPr>
        <w:t>〕</w:t>
      </w:r>
      <w:r>
        <w:rPr>
          <w:rFonts w:eastAsia="方正仿宋_GBK"/>
          <w:color w:val="000000"/>
          <w:spacing w:val="-2"/>
          <w:sz w:val="24"/>
        </w:rPr>
        <w:t>230</w:t>
      </w:r>
      <w:r>
        <w:rPr>
          <w:rFonts w:hint="eastAsia" w:eastAsia="方正仿宋_GBK"/>
          <w:color w:val="000000"/>
          <w:spacing w:val="-2"/>
          <w:sz w:val="24"/>
        </w:rPr>
        <w:t>号</w:t>
      </w:r>
      <w:r>
        <w:rPr>
          <w:rFonts w:eastAsia="方正仿宋_GBK"/>
          <w:color w:val="000000"/>
          <w:spacing w:val="-2"/>
          <w:sz w:val="24"/>
        </w:rPr>
        <w:t>)</w:t>
      </w:r>
      <w:r>
        <w:rPr>
          <w:rFonts w:hint="eastAsia" w:eastAsia="方正仿宋_GBK"/>
          <w:color w:val="000000"/>
          <w:spacing w:val="-2"/>
          <w:sz w:val="24"/>
        </w:rPr>
        <w:t>文件精神，为加强全省建筑施工企业现场管理人员、技术工人管理，确保建筑业企业资质就位及企业主要人员信息采集相关工作的顺利实施，定于</w:t>
      </w:r>
      <w:r>
        <w:rPr>
          <w:rFonts w:eastAsia="方正仿宋_GBK"/>
          <w:color w:val="000000"/>
          <w:spacing w:val="-2"/>
          <w:sz w:val="24"/>
        </w:rPr>
        <w:t>8</w:t>
      </w:r>
      <w:r>
        <w:rPr>
          <w:rFonts w:hint="eastAsia" w:eastAsia="方正仿宋_GBK"/>
          <w:color w:val="000000"/>
          <w:spacing w:val="-2"/>
          <w:sz w:val="24"/>
        </w:rPr>
        <w:t>月起开展全省建筑施工企业现场管理人员、技术工人证书信息采集工作。现将有关事项通知如下：</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一、职责分工</w:t>
      </w:r>
    </w:p>
    <w:p>
      <w:pPr>
        <w:spacing w:line="460" w:lineRule="exact"/>
        <w:ind w:firstLine="472" w:firstLineChars="200"/>
        <w:rPr>
          <w:rFonts w:hint="eastAsia" w:eastAsia="方正仿宋_GBK"/>
          <w:color w:val="000000"/>
          <w:spacing w:val="-2"/>
          <w:sz w:val="24"/>
        </w:rPr>
      </w:pPr>
      <w:r>
        <w:rPr>
          <w:rFonts w:eastAsia="方正仿宋_GBK"/>
          <w:color w:val="000000"/>
          <w:spacing w:val="-2"/>
          <w:sz w:val="24"/>
        </w:rPr>
        <w:t>1. </w:t>
      </w:r>
      <w:r>
        <w:rPr>
          <w:rFonts w:hint="eastAsia" w:eastAsia="方正仿宋_GBK"/>
          <w:color w:val="000000"/>
          <w:spacing w:val="-2"/>
          <w:sz w:val="24"/>
        </w:rPr>
        <w:t>证书信息采集工作由厅人事教育处会同建筑市场监管处统一组织。具体工作由厅执业资格考试与注册中心负责。</w:t>
      </w:r>
    </w:p>
    <w:p>
      <w:pPr>
        <w:spacing w:line="460" w:lineRule="exact"/>
        <w:ind w:firstLine="472" w:firstLineChars="200"/>
        <w:rPr>
          <w:rFonts w:eastAsia="方正仿宋_GBK"/>
          <w:color w:val="000000"/>
          <w:spacing w:val="-2"/>
          <w:sz w:val="24"/>
        </w:rPr>
      </w:pPr>
      <w:r>
        <w:rPr>
          <w:rFonts w:eastAsia="方正仿宋_GBK"/>
          <w:color w:val="000000"/>
          <w:spacing w:val="-2"/>
          <w:sz w:val="24"/>
        </w:rPr>
        <w:t>2. </w:t>
      </w:r>
      <w:r>
        <w:rPr>
          <w:rFonts w:hint="eastAsia" w:eastAsia="方正仿宋_GBK"/>
          <w:color w:val="000000"/>
          <w:spacing w:val="-2"/>
          <w:sz w:val="24"/>
        </w:rPr>
        <w:t>各省辖市（含省管县）建设局（委）负责本地区相关人员证书信息采集的组织协调和现场采集服务工作。</w:t>
      </w:r>
    </w:p>
    <w:p>
      <w:pPr>
        <w:spacing w:line="460" w:lineRule="exact"/>
        <w:ind w:firstLine="472" w:firstLineChars="200"/>
        <w:rPr>
          <w:rFonts w:eastAsia="方正仿宋_GBK"/>
          <w:color w:val="000000"/>
          <w:spacing w:val="-2"/>
          <w:sz w:val="24"/>
        </w:rPr>
      </w:pPr>
      <w:r>
        <w:rPr>
          <w:rFonts w:eastAsia="方正仿宋_GBK"/>
          <w:color w:val="000000"/>
          <w:spacing w:val="-2"/>
          <w:sz w:val="24"/>
        </w:rPr>
        <w:t>3. </w:t>
      </w:r>
      <w:r>
        <w:rPr>
          <w:rFonts w:hint="eastAsia" w:eastAsia="方正仿宋_GBK"/>
          <w:color w:val="000000"/>
          <w:spacing w:val="-2"/>
          <w:sz w:val="24"/>
        </w:rPr>
        <w:t>各相关企业负责本企业持证人员证书信息采集工作。</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二、采集对象</w:t>
      </w:r>
    </w:p>
    <w:p>
      <w:pPr>
        <w:spacing w:line="460" w:lineRule="exact"/>
        <w:ind w:firstLine="472" w:firstLineChars="200"/>
        <w:rPr>
          <w:rFonts w:hint="eastAsia" w:eastAsia="方正仿宋_GBK"/>
          <w:color w:val="000000"/>
          <w:spacing w:val="-2"/>
          <w:sz w:val="24"/>
        </w:rPr>
      </w:pPr>
      <w:r>
        <w:rPr>
          <w:rFonts w:hint="eastAsia" w:eastAsia="方正仿宋_GBK"/>
          <w:color w:val="000000"/>
          <w:spacing w:val="-2"/>
          <w:sz w:val="24"/>
        </w:rPr>
        <w:t>主要包含以下</w:t>
      </w:r>
      <w:r>
        <w:rPr>
          <w:rFonts w:eastAsia="方正仿宋_GBK"/>
          <w:color w:val="000000"/>
          <w:spacing w:val="-2"/>
          <w:sz w:val="24"/>
        </w:rPr>
        <w:t>2</w:t>
      </w:r>
      <w:r>
        <w:rPr>
          <w:rFonts w:hint="eastAsia" w:eastAsia="方正仿宋_GBK"/>
          <w:color w:val="000000"/>
          <w:spacing w:val="-2"/>
          <w:sz w:val="24"/>
        </w:rPr>
        <w:t>项</w:t>
      </w:r>
      <w:r>
        <w:rPr>
          <w:rFonts w:eastAsia="方正仿宋_GBK"/>
          <w:color w:val="000000"/>
          <w:spacing w:val="-2"/>
          <w:sz w:val="24"/>
        </w:rPr>
        <w:t>8</w:t>
      </w:r>
      <w:r>
        <w:rPr>
          <w:rFonts w:hint="eastAsia" w:eastAsia="方正仿宋_GBK"/>
          <w:color w:val="000000"/>
          <w:spacing w:val="-2"/>
          <w:sz w:val="24"/>
        </w:rPr>
        <w:t>类：</w:t>
      </w:r>
    </w:p>
    <w:p>
      <w:pPr>
        <w:spacing w:line="460" w:lineRule="exact"/>
        <w:ind w:firstLine="472" w:firstLineChars="200"/>
        <w:rPr>
          <w:rFonts w:ascii="Times New Roman" w:eastAsia="方正楷体_GBK"/>
          <w:color w:val="000000"/>
          <w:spacing w:val="-2"/>
          <w:sz w:val="24"/>
        </w:rPr>
      </w:pPr>
      <w:r>
        <w:rPr>
          <w:rFonts w:hint="eastAsia" w:ascii="Times New Roman" w:eastAsia="方正楷体_GBK"/>
          <w:color w:val="000000"/>
          <w:spacing w:val="-2"/>
          <w:sz w:val="24"/>
        </w:rPr>
        <w:t>(一)现场管理人员</w:t>
      </w:r>
    </w:p>
    <w:p>
      <w:pPr>
        <w:spacing w:line="460" w:lineRule="exact"/>
        <w:ind w:firstLine="472" w:firstLineChars="200"/>
        <w:rPr>
          <w:rFonts w:hint="eastAsia" w:eastAsia="方正仿宋_GBK"/>
          <w:color w:val="000000"/>
          <w:spacing w:val="-2"/>
          <w:sz w:val="24"/>
        </w:rPr>
      </w:pPr>
      <w:r>
        <w:rPr>
          <w:rFonts w:eastAsia="方正仿宋_GBK"/>
          <w:color w:val="000000"/>
          <w:spacing w:val="-2"/>
          <w:sz w:val="24"/>
        </w:rPr>
        <w:t>1. </w:t>
      </w:r>
      <w:r>
        <w:rPr>
          <w:rFonts w:hint="eastAsia" w:eastAsia="方正仿宋_GBK"/>
          <w:color w:val="000000"/>
          <w:spacing w:val="-2"/>
          <w:sz w:val="24"/>
        </w:rPr>
        <w:t>持江苏省建设行政主管部门颁发的《建设（建筑）企业专业管理人员岗位证书》、《住房和城乡建设领域专业人员岗位培训考核合格证书》人员。</w:t>
      </w:r>
    </w:p>
    <w:p>
      <w:pPr>
        <w:spacing w:line="460" w:lineRule="exact"/>
        <w:ind w:firstLine="472" w:firstLineChars="200"/>
        <w:rPr>
          <w:rFonts w:eastAsia="方正仿宋_GBK"/>
          <w:color w:val="000000"/>
          <w:spacing w:val="-2"/>
          <w:sz w:val="24"/>
        </w:rPr>
      </w:pPr>
      <w:r>
        <w:rPr>
          <w:rFonts w:eastAsia="方正仿宋_GBK"/>
          <w:color w:val="000000"/>
          <w:spacing w:val="-2"/>
          <w:sz w:val="24"/>
        </w:rPr>
        <w:t>2. </w:t>
      </w:r>
      <w:r>
        <w:rPr>
          <w:rFonts w:hint="eastAsia" w:eastAsia="方正仿宋_GBK"/>
          <w:color w:val="000000"/>
          <w:spacing w:val="-2"/>
          <w:sz w:val="24"/>
          <w:shd w:val="clear" w:color="auto" w:fill="FFFFFF"/>
        </w:rPr>
        <w:t>持江苏省</w:t>
      </w:r>
      <w:r>
        <w:rPr>
          <w:rFonts w:hint="eastAsia" w:eastAsia="方正仿宋_GBK"/>
          <w:color w:val="000000"/>
          <w:spacing w:val="-2"/>
          <w:sz w:val="24"/>
        </w:rPr>
        <w:t>建设行政主管部门颁发</w:t>
      </w:r>
      <w:r>
        <w:rPr>
          <w:rFonts w:hint="eastAsia" w:eastAsia="方正仿宋_GBK"/>
          <w:color w:val="000000"/>
          <w:spacing w:val="-2"/>
          <w:sz w:val="24"/>
          <w:shd w:val="clear" w:color="auto" w:fill="FFFFFF"/>
        </w:rPr>
        <w:t>的《专职安全生产管理人员安全生产考核合格证书（</w:t>
      </w:r>
      <w:r>
        <w:rPr>
          <w:rFonts w:eastAsia="方正仿宋_GBK"/>
          <w:color w:val="000000"/>
          <w:spacing w:val="-2"/>
          <w:sz w:val="24"/>
          <w:shd w:val="clear" w:color="auto" w:fill="FFFFFF"/>
        </w:rPr>
        <w:t>A</w:t>
      </w:r>
      <w:r>
        <w:rPr>
          <w:rFonts w:hint="eastAsia" w:eastAsia="方正仿宋_GBK"/>
          <w:color w:val="000000"/>
          <w:spacing w:val="-2"/>
          <w:sz w:val="24"/>
          <w:shd w:val="clear" w:color="auto" w:fill="FFFFFF"/>
        </w:rPr>
        <w:t>、</w:t>
      </w:r>
      <w:r>
        <w:rPr>
          <w:rFonts w:eastAsia="方正仿宋_GBK"/>
          <w:color w:val="000000"/>
          <w:spacing w:val="-2"/>
          <w:sz w:val="24"/>
          <w:shd w:val="clear" w:color="auto" w:fill="FFFFFF"/>
        </w:rPr>
        <w:t>B</w:t>
      </w:r>
      <w:r>
        <w:rPr>
          <w:rFonts w:hint="eastAsia" w:eastAsia="方正仿宋_GBK"/>
          <w:color w:val="000000"/>
          <w:spacing w:val="-2"/>
          <w:sz w:val="24"/>
          <w:shd w:val="clear" w:color="auto" w:fill="FFFFFF"/>
        </w:rPr>
        <w:t>、</w:t>
      </w:r>
      <w:r>
        <w:rPr>
          <w:rFonts w:eastAsia="方正仿宋_GBK"/>
          <w:color w:val="000000"/>
          <w:spacing w:val="-2"/>
          <w:sz w:val="24"/>
          <w:shd w:val="clear" w:color="auto" w:fill="FFFFFF"/>
        </w:rPr>
        <w:t>C</w:t>
      </w:r>
      <w:r>
        <w:rPr>
          <w:rFonts w:hint="eastAsia" w:eastAsia="方正仿宋_GBK"/>
          <w:color w:val="000000"/>
          <w:spacing w:val="-2"/>
          <w:sz w:val="24"/>
          <w:shd w:val="clear" w:color="auto" w:fill="FFFFFF"/>
        </w:rPr>
        <w:t>证）》人员。</w:t>
      </w:r>
    </w:p>
    <w:p>
      <w:pPr>
        <w:spacing w:line="460" w:lineRule="exact"/>
        <w:ind w:firstLine="472" w:firstLineChars="200"/>
        <w:rPr>
          <w:rFonts w:eastAsia="方正仿宋_GBK"/>
          <w:color w:val="000000"/>
          <w:spacing w:val="-2"/>
          <w:sz w:val="24"/>
        </w:rPr>
      </w:pPr>
      <w:r>
        <w:rPr>
          <w:rFonts w:eastAsia="方正仿宋_GBK"/>
          <w:color w:val="000000"/>
          <w:spacing w:val="-2"/>
          <w:sz w:val="24"/>
        </w:rPr>
        <w:t>3. </w:t>
      </w:r>
      <w:r>
        <w:rPr>
          <w:rFonts w:hint="eastAsia" w:eastAsia="方正仿宋_GBK"/>
          <w:color w:val="000000"/>
          <w:spacing w:val="-2"/>
          <w:sz w:val="24"/>
        </w:rPr>
        <w:t>持江苏省建设行政主管部门颁发的《全国建设工程造价员资格证书》人员。</w:t>
      </w:r>
    </w:p>
    <w:p>
      <w:pPr>
        <w:spacing w:line="460" w:lineRule="exact"/>
        <w:ind w:firstLine="472" w:firstLineChars="200"/>
        <w:rPr>
          <w:rFonts w:eastAsia="方正仿宋_GBK"/>
          <w:color w:val="000000"/>
          <w:spacing w:val="-2"/>
          <w:sz w:val="24"/>
        </w:rPr>
      </w:pPr>
      <w:r>
        <w:rPr>
          <w:rFonts w:eastAsia="方正仿宋_GBK"/>
          <w:color w:val="000000"/>
          <w:spacing w:val="-2"/>
          <w:sz w:val="24"/>
        </w:rPr>
        <w:t>4. </w:t>
      </w:r>
      <w:r>
        <w:rPr>
          <w:rFonts w:hint="eastAsia" w:eastAsia="方正仿宋_GBK"/>
          <w:color w:val="000000"/>
          <w:spacing w:val="-2"/>
          <w:sz w:val="24"/>
        </w:rPr>
        <w:t>持《全国建设工程造价员资格证书》</w:t>
      </w:r>
      <w:r>
        <w:rPr>
          <w:rFonts w:eastAsia="方正仿宋_GBK"/>
          <w:color w:val="000000"/>
          <w:spacing w:val="-2"/>
          <w:sz w:val="24"/>
        </w:rPr>
        <w:t>(</w:t>
      </w:r>
      <w:r>
        <w:rPr>
          <w:rFonts w:hint="eastAsia" w:eastAsia="方正仿宋_GBK"/>
          <w:color w:val="000000"/>
          <w:spacing w:val="-2"/>
          <w:sz w:val="24"/>
        </w:rPr>
        <w:t>中国建设工程造价管理协会监制</w:t>
      </w:r>
      <w:r>
        <w:rPr>
          <w:rFonts w:eastAsia="方正仿宋_GBK"/>
          <w:color w:val="000000"/>
          <w:spacing w:val="-2"/>
          <w:sz w:val="24"/>
        </w:rPr>
        <w:t>)</w:t>
      </w:r>
      <w:r>
        <w:rPr>
          <w:rFonts w:hint="eastAsia" w:eastAsia="方正仿宋_GBK"/>
          <w:color w:val="000000"/>
          <w:spacing w:val="-2"/>
          <w:sz w:val="24"/>
        </w:rPr>
        <w:t>人员。</w:t>
      </w:r>
    </w:p>
    <w:p>
      <w:pPr>
        <w:spacing w:line="460" w:lineRule="exact"/>
        <w:ind w:firstLine="472" w:firstLineChars="200"/>
        <w:rPr>
          <w:rFonts w:ascii="Times New Roman" w:eastAsia="方正楷体_GBK"/>
          <w:color w:val="000000"/>
          <w:spacing w:val="-2"/>
          <w:sz w:val="24"/>
        </w:rPr>
      </w:pPr>
      <w:r>
        <w:rPr>
          <w:rFonts w:hint="eastAsia" w:ascii="Times New Roman" w:eastAsia="方正楷体_GBK"/>
          <w:color w:val="000000"/>
          <w:spacing w:val="-2"/>
          <w:sz w:val="24"/>
        </w:rPr>
        <w:t>(二)技术工人</w:t>
      </w:r>
    </w:p>
    <w:p>
      <w:pPr>
        <w:spacing w:line="460" w:lineRule="exact"/>
        <w:ind w:firstLine="472" w:firstLineChars="200"/>
        <w:rPr>
          <w:rFonts w:hint="eastAsia" w:eastAsia="方正仿宋_GBK"/>
          <w:color w:val="000000"/>
          <w:spacing w:val="-2"/>
          <w:sz w:val="24"/>
        </w:rPr>
      </w:pPr>
      <w:r>
        <w:rPr>
          <w:rFonts w:eastAsia="方正仿宋_GBK"/>
          <w:color w:val="000000"/>
          <w:spacing w:val="-2"/>
          <w:sz w:val="24"/>
        </w:rPr>
        <w:t>1. </w:t>
      </w:r>
      <w:r>
        <w:rPr>
          <w:rFonts w:hint="eastAsia" w:eastAsia="方正仿宋_GBK"/>
          <w:color w:val="000000"/>
          <w:spacing w:val="-2"/>
          <w:sz w:val="24"/>
        </w:rPr>
        <w:t>持江苏省人力资源和社会保障部门及其授权机构颁发的《职业资格证书》（人力资源和社会保障部统一印制）人员。</w:t>
      </w:r>
    </w:p>
    <w:p>
      <w:pPr>
        <w:spacing w:line="460" w:lineRule="exact"/>
        <w:ind w:firstLine="472" w:firstLineChars="200"/>
        <w:rPr>
          <w:rFonts w:eastAsia="方正仿宋_GBK"/>
          <w:color w:val="000000"/>
          <w:spacing w:val="-2"/>
          <w:sz w:val="24"/>
        </w:rPr>
      </w:pPr>
      <w:r>
        <w:rPr>
          <w:rFonts w:eastAsia="方正仿宋_GBK"/>
          <w:color w:val="000000"/>
          <w:spacing w:val="-2"/>
          <w:sz w:val="24"/>
        </w:rPr>
        <w:t>2. </w:t>
      </w:r>
      <w:r>
        <w:rPr>
          <w:rFonts w:hint="eastAsia" w:eastAsia="方正仿宋_GBK"/>
          <w:color w:val="000000"/>
          <w:spacing w:val="-2"/>
          <w:sz w:val="24"/>
        </w:rPr>
        <w:t>持江苏省建设行政主管部门颁发的《建筑施工特种作业操作资格证书》人员。</w:t>
      </w:r>
    </w:p>
    <w:p>
      <w:pPr>
        <w:spacing w:line="460" w:lineRule="exact"/>
        <w:ind w:firstLine="472" w:firstLineChars="200"/>
        <w:rPr>
          <w:rFonts w:eastAsia="方正仿宋_GBK"/>
          <w:color w:val="000000"/>
          <w:spacing w:val="-2"/>
          <w:sz w:val="24"/>
        </w:rPr>
      </w:pPr>
      <w:r>
        <w:rPr>
          <w:rFonts w:eastAsia="方正仿宋_GBK"/>
          <w:color w:val="000000"/>
          <w:spacing w:val="-2"/>
          <w:sz w:val="24"/>
        </w:rPr>
        <w:t>3. </w:t>
      </w:r>
      <w:r>
        <w:rPr>
          <w:rFonts w:hint="eastAsia" w:eastAsia="方正仿宋_GBK"/>
          <w:color w:val="000000"/>
          <w:spacing w:val="-2"/>
          <w:sz w:val="24"/>
        </w:rPr>
        <w:t>持江苏省（市）建设行政主管部门颁发的《职业技能岗位证书》（原建设部统一印制）人员。主要包含砖瓦工、抹灰工、混凝土工、木工、钢筋工、架子工、油漆工、防水工、测量工、试验工、管道工、通风工、安装起重工等相关工种。</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三、采集方式</w:t>
      </w:r>
    </w:p>
    <w:p>
      <w:pPr>
        <w:spacing w:line="460" w:lineRule="exact"/>
        <w:ind w:firstLine="472" w:firstLineChars="200"/>
        <w:rPr>
          <w:rFonts w:hint="eastAsia" w:eastAsia="方正仿宋_GBK"/>
          <w:color w:val="000000"/>
          <w:spacing w:val="-2"/>
          <w:sz w:val="24"/>
        </w:rPr>
      </w:pPr>
      <w:r>
        <w:rPr>
          <w:rFonts w:hint="eastAsia" w:eastAsia="方正仿宋_GBK"/>
          <w:color w:val="000000"/>
          <w:spacing w:val="-2"/>
          <w:sz w:val="24"/>
        </w:rPr>
        <w:t>按照</w:t>
      </w:r>
      <w:r>
        <w:rPr>
          <w:rFonts w:eastAsia="方正仿宋_GBK"/>
          <w:color w:val="000000"/>
          <w:spacing w:val="-2"/>
          <w:sz w:val="24"/>
        </w:rPr>
        <w:t>“</w:t>
      </w:r>
      <w:r>
        <w:rPr>
          <w:rFonts w:hint="eastAsia" w:eastAsia="方正仿宋_GBK"/>
          <w:color w:val="000000"/>
          <w:spacing w:val="-2"/>
          <w:sz w:val="24"/>
        </w:rPr>
        <w:t>企业主体、网上采集、诚信管理</w:t>
      </w:r>
      <w:r>
        <w:rPr>
          <w:rFonts w:eastAsia="方正仿宋_GBK"/>
          <w:color w:val="000000"/>
          <w:spacing w:val="-2"/>
          <w:sz w:val="24"/>
        </w:rPr>
        <w:t>”</w:t>
      </w:r>
      <w:r>
        <w:rPr>
          <w:rFonts w:hint="eastAsia" w:eastAsia="方正仿宋_GBK"/>
          <w:color w:val="000000"/>
          <w:spacing w:val="-2"/>
          <w:sz w:val="24"/>
        </w:rPr>
        <w:t>的原则，现场管理人员、技术工人证书信息采集主要采取以企业采集为主，各地采集点采集为辅的方式进行，企业可自愿选择通过登录相关系统按要求统一对本企业持证人员进行证书信息采集（企业需自行配备二代身份证读卡器）或按要求持相关人员二代身份证原件等资料至各地建筑业企业资质管理处室、各省辖市造价管理机构、信息采集点（名单见附件）进行证书信息采集。</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四、采集程序</w:t>
      </w:r>
    </w:p>
    <w:p>
      <w:pPr>
        <w:spacing w:line="460" w:lineRule="exact"/>
        <w:ind w:firstLine="472" w:firstLineChars="200"/>
        <w:rPr>
          <w:rFonts w:hint="eastAsia" w:eastAsia="方正仿宋_GBK"/>
          <w:color w:val="000000"/>
          <w:spacing w:val="-2"/>
          <w:sz w:val="24"/>
        </w:rPr>
      </w:pPr>
      <w:r>
        <w:rPr>
          <w:rFonts w:hint="eastAsia" w:eastAsia="方正仿宋_GBK"/>
          <w:color w:val="000000"/>
          <w:spacing w:val="-2"/>
          <w:sz w:val="24"/>
        </w:rPr>
        <w:t>信息采集内容包含持证人员证书、二代身份证、所在企业名称等信息。具体采集程序如下：</w:t>
      </w:r>
    </w:p>
    <w:p>
      <w:pPr>
        <w:spacing w:line="460" w:lineRule="exact"/>
        <w:ind w:firstLine="354" w:firstLineChars="150"/>
        <w:rPr>
          <w:rFonts w:ascii="Times New Roman" w:eastAsia="方正楷体_GBK"/>
          <w:b/>
          <w:color w:val="000000"/>
          <w:spacing w:val="-2"/>
          <w:sz w:val="24"/>
        </w:rPr>
      </w:pPr>
      <w:r>
        <w:rPr>
          <w:rFonts w:hint="eastAsia" w:ascii="Times New Roman" w:eastAsia="方正楷体_GBK"/>
          <w:color w:val="000000"/>
          <w:spacing w:val="-2"/>
          <w:sz w:val="24"/>
        </w:rPr>
        <w:t>（一）账号注册。各类持证人员证书信息账号注册方法如下：</w:t>
      </w:r>
      <w:r>
        <w:rPr>
          <w:rFonts w:hint="eastAsia" w:ascii="Times New Roman" w:eastAsia="方正楷体_GBK"/>
          <w:b/>
          <w:color w:val="000000"/>
          <w:spacing w:val="-2"/>
          <w:sz w:val="24"/>
        </w:rPr>
        <w:t xml:space="preserve"> </w:t>
      </w:r>
    </w:p>
    <w:p>
      <w:pPr>
        <w:spacing w:line="460" w:lineRule="exact"/>
        <w:ind w:firstLine="472" w:firstLineChars="200"/>
        <w:rPr>
          <w:rFonts w:hint="eastAsia" w:eastAsia="方正仿宋_GBK"/>
          <w:color w:val="000000"/>
          <w:spacing w:val="-2"/>
          <w:sz w:val="24"/>
        </w:rPr>
      </w:pPr>
      <w:r>
        <w:rPr>
          <w:rFonts w:eastAsia="方正仿宋_GBK"/>
          <w:color w:val="000000"/>
          <w:spacing w:val="-2"/>
          <w:sz w:val="24"/>
        </w:rPr>
        <w:t>1. </w:t>
      </w:r>
      <w:r>
        <w:rPr>
          <w:rFonts w:hint="eastAsia" w:eastAsia="方正仿宋_GBK"/>
          <w:color w:val="000000"/>
          <w:spacing w:val="-2"/>
          <w:sz w:val="24"/>
        </w:rPr>
        <w:t>持《建设（建筑）企业专业管理人员岗位证书》、《住房和城乡建设领域专业人员岗位培训考核合格证书》、《江苏省住房和城乡建设领域专业人员岗位培训考核合格证书》、《职业资格证书》、《职业技能岗位证书》人员。持证人员所在企业须在江苏省建设培训考试信息管理系统（以下简称</w:t>
      </w:r>
      <w:r>
        <w:rPr>
          <w:rFonts w:eastAsia="方正仿宋_GBK"/>
          <w:color w:val="000000"/>
          <w:spacing w:val="-2"/>
          <w:sz w:val="24"/>
        </w:rPr>
        <w:t>“</w:t>
      </w:r>
      <w:r>
        <w:rPr>
          <w:rFonts w:hint="eastAsia" w:eastAsia="方正仿宋_GBK"/>
          <w:color w:val="000000"/>
          <w:spacing w:val="-2"/>
          <w:sz w:val="24"/>
        </w:rPr>
        <w:t>省考试培训系统</w:t>
      </w:r>
      <w:r>
        <w:rPr>
          <w:rFonts w:eastAsia="方正仿宋_GBK"/>
          <w:color w:val="000000"/>
          <w:spacing w:val="-2"/>
          <w:sz w:val="24"/>
        </w:rPr>
        <w:t>”</w:t>
      </w:r>
      <w:r>
        <w:rPr>
          <w:rFonts w:hint="eastAsia" w:eastAsia="方正仿宋_GBK"/>
          <w:color w:val="000000"/>
          <w:spacing w:val="-2"/>
          <w:sz w:val="24"/>
        </w:rPr>
        <w:t>）注册企业账号后，方可登录省考试培训系统进行信息采集。已在江苏省建筑业监管信息平台（以下简称</w:t>
      </w:r>
      <w:r>
        <w:rPr>
          <w:rFonts w:eastAsia="方正仿宋_GBK"/>
          <w:color w:val="000000"/>
          <w:spacing w:val="-2"/>
          <w:sz w:val="24"/>
        </w:rPr>
        <w:t>“</w:t>
      </w:r>
      <w:r>
        <w:rPr>
          <w:rFonts w:hint="eastAsia" w:eastAsia="方正仿宋_GBK"/>
          <w:color w:val="000000"/>
          <w:spacing w:val="-2"/>
          <w:sz w:val="24"/>
        </w:rPr>
        <w:t>省监管平台</w:t>
      </w:r>
      <w:r>
        <w:rPr>
          <w:rFonts w:eastAsia="方正仿宋_GBK"/>
          <w:color w:val="000000"/>
          <w:spacing w:val="-2"/>
          <w:sz w:val="24"/>
        </w:rPr>
        <w:t>”</w:t>
      </w:r>
      <w:r>
        <w:rPr>
          <w:rFonts w:hint="eastAsia" w:eastAsia="方正仿宋_GBK"/>
          <w:color w:val="000000"/>
          <w:spacing w:val="-2"/>
          <w:sz w:val="24"/>
        </w:rPr>
        <w:t>）注册账户的企业，可凭该账户直接登录省考试培训系统进行信息采集。</w:t>
      </w:r>
    </w:p>
    <w:p>
      <w:pPr>
        <w:spacing w:line="460" w:lineRule="exact"/>
        <w:ind w:firstLine="472" w:firstLineChars="200"/>
        <w:rPr>
          <w:rFonts w:eastAsia="方正仿宋_GBK"/>
          <w:color w:val="000000"/>
          <w:spacing w:val="-2"/>
          <w:sz w:val="24"/>
        </w:rPr>
      </w:pPr>
      <w:r>
        <w:rPr>
          <w:rFonts w:eastAsia="方正仿宋_GBK"/>
          <w:color w:val="000000"/>
          <w:spacing w:val="-2"/>
          <w:sz w:val="24"/>
        </w:rPr>
        <w:t>2. </w:t>
      </w:r>
      <w:r>
        <w:rPr>
          <w:rFonts w:hint="eastAsia" w:eastAsia="方正仿宋_GBK"/>
          <w:color w:val="000000"/>
          <w:spacing w:val="-2"/>
          <w:sz w:val="24"/>
        </w:rPr>
        <w:t>持江苏省颁发的《专职安全生产管理人员安全生产考核合格证书（</w:t>
      </w:r>
      <w:r>
        <w:rPr>
          <w:rFonts w:eastAsia="方正仿宋_GBK"/>
          <w:color w:val="000000"/>
          <w:spacing w:val="-2"/>
          <w:sz w:val="24"/>
        </w:rPr>
        <w:t>A</w:t>
      </w:r>
      <w:r>
        <w:rPr>
          <w:rFonts w:hint="eastAsia" w:eastAsia="方正仿宋_GBK"/>
          <w:color w:val="000000"/>
          <w:spacing w:val="-2"/>
          <w:sz w:val="24"/>
        </w:rPr>
        <w:t>、</w:t>
      </w:r>
      <w:r>
        <w:rPr>
          <w:rFonts w:eastAsia="方正仿宋_GBK"/>
          <w:color w:val="000000"/>
          <w:spacing w:val="-2"/>
          <w:sz w:val="24"/>
        </w:rPr>
        <w:t>B</w:t>
      </w:r>
      <w:r>
        <w:rPr>
          <w:rFonts w:hint="eastAsia" w:eastAsia="方正仿宋_GBK"/>
          <w:color w:val="000000"/>
          <w:spacing w:val="-2"/>
          <w:sz w:val="24"/>
        </w:rPr>
        <w:t>、</w:t>
      </w:r>
      <w:r>
        <w:rPr>
          <w:rFonts w:eastAsia="方正仿宋_GBK"/>
          <w:color w:val="000000"/>
          <w:spacing w:val="-2"/>
          <w:sz w:val="24"/>
        </w:rPr>
        <w:t>C</w:t>
      </w:r>
      <w:r>
        <w:rPr>
          <w:rFonts w:hint="eastAsia" w:eastAsia="方正仿宋_GBK"/>
          <w:color w:val="000000"/>
          <w:spacing w:val="-2"/>
          <w:sz w:val="24"/>
        </w:rPr>
        <w:t>证）》、《建筑施工特种作业操作资格证书》人员。持证人员所在企业使用企业账户直接登录省监管平台或江苏省建筑业企业资质管理系统（下简称</w:t>
      </w:r>
      <w:r>
        <w:rPr>
          <w:rFonts w:eastAsia="方正仿宋_GBK"/>
          <w:color w:val="000000"/>
          <w:spacing w:val="-2"/>
          <w:sz w:val="24"/>
        </w:rPr>
        <w:t>“</w:t>
      </w:r>
      <w:r>
        <w:rPr>
          <w:rFonts w:hint="eastAsia" w:eastAsia="方正仿宋_GBK"/>
          <w:color w:val="000000"/>
          <w:spacing w:val="-2"/>
          <w:sz w:val="24"/>
        </w:rPr>
        <w:t>省资质管理系统</w:t>
      </w:r>
      <w:r>
        <w:rPr>
          <w:rFonts w:eastAsia="方正仿宋_GBK"/>
          <w:color w:val="000000"/>
          <w:spacing w:val="-2"/>
          <w:sz w:val="24"/>
        </w:rPr>
        <w:t>”</w:t>
      </w:r>
      <w:r>
        <w:rPr>
          <w:rFonts w:hint="eastAsia" w:eastAsia="方正仿宋_GBK"/>
          <w:color w:val="000000"/>
          <w:spacing w:val="-2"/>
          <w:sz w:val="24"/>
        </w:rPr>
        <w:t>）进行信息采集。</w:t>
      </w:r>
    </w:p>
    <w:p>
      <w:pPr>
        <w:spacing w:line="460" w:lineRule="exact"/>
        <w:ind w:firstLine="462" w:firstLineChars="196"/>
        <w:rPr>
          <w:rFonts w:eastAsia="方正仿宋_GBK"/>
          <w:color w:val="000000"/>
          <w:spacing w:val="-2"/>
          <w:sz w:val="24"/>
          <w:u w:val="single"/>
        </w:rPr>
      </w:pPr>
      <w:r>
        <w:rPr>
          <w:rFonts w:eastAsia="方正仿宋_GBK"/>
          <w:color w:val="000000"/>
          <w:spacing w:val="-2"/>
          <w:sz w:val="24"/>
        </w:rPr>
        <w:t>3. </w:t>
      </w:r>
      <w:r>
        <w:rPr>
          <w:rFonts w:hint="eastAsia" w:eastAsia="方正仿宋_GBK"/>
          <w:color w:val="000000"/>
          <w:spacing w:val="-2"/>
          <w:sz w:val="24"/>
        </w:rPr>
        <w:t>持《全国建设工程造价员资格证书》人员。持证人员使用个人账号直接登录</w:t>
      </w:r>
      <w:r>
        <w:rPr>
          <w:rFonts w:eastAsia="方正仿宋_GBK"/>
          <w:color w:val="000000"/>
          <w:spacing w:val="-2"/>
          <w:sz w:val="24"/>
        </w:rPr>
        <w:t>“</w:t>
      </w:r>
      <w:r>
        <w:rPr>
          <w:rFonts w:hint="eastAsia" w:eastAsia="方正仿宋_GBK"/>
          <w:color w:val="000000"/>
          <w:spacing w:val="-2"/>
          <w:sz w:val="24"/>
        </w:rPr>
        <w:t>江苏工程造价信息网</w:t>
      </w:r>
      <w:r>
        <w:rPr>
          <w:rFonts w:eastAsia="方正仿宋_GBK"/>
          <w:color w:val="000000"/>
          <w:spacing w:val="-2"/>
          <w:sz w:val="24"/>
        </w:rPr>
        <w:t>”</w:t>
      </w:r>
      <w:r>
        <w:rPr>
          <w:rFonts w:hint="eastAsia" w:eastAsia="方正仿宋_GBK"/>
          <w:color w:val="000000"/>
          <w:spacing w:val="-2"/>
          <w:sz w:val="24"/>
        </w:rPr>
        <w:t>（以下简称</w:t>
      </w:r>
      <w:r>
        <w:rPr>
          <w:rFonts w:eastAsia="方正仿宋_GBK"/>
          <w:color w:val="000000"/>
          <w:spacing w:val="-2"/>
          <w:sz w:val="24"/>
        </w:rPr>
        <w:t>“</w:t>
      </w:r>
      <w:r>
        <w:rPr>
          <w:rFonts w:hint="eastAsia" w:eastAsia="方正仿宋_GBK"/>
          <w:color w:val="000000"/>
          <w:spacing w:val="-2"/>
          <w:sz w:val="24"/>
        </w:rPr>
        <w:t>省造价信息网</w:t>
      </w:r>
      <w:r>
        <w:rPr>
          <w:rFonts w:eastAsia="方正仿宋_GBK"/>
          <w:color w:val="000000"/>
          <w:spacing w:val="-2"/>
          <w:sz w:val="24"/>
        </w:rPr>
        <w:t>”</w:t>
      </w:r>
      <w:r>
        <w:rPr>
          <w:rFonts w:hint="eastAsia" w:eastAsia="方正仿宋_GBK"/>
          <w:color w:val="000000"/>
          <w:spacing w:val="-2"/>
          <w:sz w:val="24"/>
        </w:rPr>
        <w:t>）进行信息采集。</w:t>
      </w:r>
    </w:p>
    <w:p>
      <w:pPr>
        <w:spacing w:line="460" w:lineRule="exact"/>
        <w:ind w:firstLine="354" w:firstLineChars="150"/>
        <w:rPr>
          <w:rFonts w:ascii="Times New Roman" w:eastAsia="方正楷体_GBK"/>
          <w:color w:val="000000"/>
          <w:spacing w:val="-2"/>
          <w:sz w:val="24"/>
        </w:rPr>
      </w:pPr>
      <w:r>
        <w:rPr>
          <w:rFonts w:hint="eastAsia" w:ascii="Times New Roman" w:eastAsia="方正楷体_GBK"/>
          <w:color w:val="000000"/>
          <w:spacing w:val="-2"/>
          <w:sz w:val="24"/>
        </w:rPr>
        <w:t>（二）信息采集。各类持证人员证书信息采集方法如下：</w:t>
      </w:r>
    </w:p>
    <w:p>
      <w:pPr>
        <w:spacing w:line="460" w:lineRule="exact"/>
        <w:ind w:firstLine="472" w:firstLineChars="200"/>
        <w:rPr>
          <w:rFonts w:hint="eastAsia" w:eastAsia="方正仿宋_GBK"/>
          <w:color w:val="000000"/>
          <w:spacing w:val="-2"/>
          <w:sz w:val="24"/>
        </w:rPr>
      </w:pPr>
      <w:r>
        <w:rPr>
          <w:rFonts w:eastAsia="方正仿宋_GBK"/>
          <w:color w:val="000000"/>
          <w:spacing w:val="-2"/>
          <w:sz w:val="24"/>
        </w:rPr>
        <w:t>1. </w:t>
      </w:r>
      <w:r>
        <w:rPr>
          <w:rFonts w:hint="eastAsia" w:eastAsia="方正仿宋_GBK"/>
          <w:color w:val="000000"/>
          <w:spacing w:val="-2"/>
          <w:sz w:val="24"/>
        </w:rPr>
        <w:t>现场管理人员</w:t>
      </w:r>
    </w:p>
    <w:p>
      <w:pPr>
        <w:spacing w:line="460" w:lineRule="exact"/>
        <w:ind w:firstLine="472" w:firstLineChars="200"/>
        <w:rPr>
          <w:rFonts w:eastAsia="方正仿宋_GBK"/>
          <w:b/>
          <w:color w:val="000000"/>
          <w:spacing w:val="-2"/>
          <w:sz w:val="24"/>
        </w:rPr>
      </w:pPr>
      <w:r>
        <w:rPr>
          <w:rFonts w:hint="eastAsia" w:eastAsia="方正仿宋_GBK"/>
          <w:color w:val="000000"/>
          <w:spacing w:val="-2"/>
          <w:sz w:val="24"/>
        </w:rPr>
        <w:t>（</w:t>
      </w:r>
      <w:r>
        <w:rPr>
          <w:rFonts w:eastAsia="方正仿宋_GBK"/>
          <w:color w:val="000000"/>
          <w:spacing w:val="-2"/>
          <w:sz w:val="24"/>
        </w:rPr>
        <w:t>1</w:t>
      </w:r>
      <w:r>
        <w:rPr>
          <w:rFonts w:hint="eastAsia" w:eastAsia="方正仿宋_GBK"/>
          <w:color w:val="000000"/>
          <w:spacing w:val="-2"/>
          <w:sz w:val="24"/>
        </w:rPr>
        <w:t>）持江苏省颁发的《建设（建筑）企业专业管理人员岗位证书》、《住房和城乡建设领域专业人员岗位培训考核合格证书》、《江苏省住房和城乡建设领域专业人员岗位培训考核合格证书》人员。持证人员所在企业直接登录省考试培训系统，按要求读取二代身份证信息后，完成信息采集，或携相关人员二代身份证至本地区信息采集点进行信息采集。</w:t>
      </w:r>
    </w:p>
    <w:p>
      <w:pPr>
        <w:spacing w:line="460" w:lineRule="exact"/>
        <w:ind w:firstLine="462" w:firstLineChars="196"/>
        <w:rPr>
          <w:rFonts w:eastAsia="方正仿宋_GBK"/>
          <w:color w:val="000000"/>
          <w:spacing w:val="-2"/>
          <w:sz w:val="24"/>
        </w:rPr>
      </w:pPr>
      <w:r>
        <w:rPr>
          <w:rFonts w:hint="eastAsia" w:eastAsia="方正仿宋_GBK"/>
          <w:color w:val="000000"/>
          <w:spacing w:val="-2"/>
          <w:sz w:val="24"/>
        </w:rPr>
        <w:t>（</w:t>
      </w:r>
      <w:r>
        <w:rPr>
          <w:rFonts w:eastAsia="方正仿宋_GBK"/>
          <w:color w:val="000000"/>
          <w:spacing w:val="-2"/>
          <w:sz w:val="24"/>
        </w:rPr>
        <w:t>2</w:t>
      </w:r>
      <w:r>
        <w:rPr>
          <w:rFonts w:hint="eastAsia" w:eastAsia="方正仿宋_GBK"/>
          <w:color w:val="000000"/>
          <w:spacing w:val="-2"/>
          <w:sz w:val="24"/>
        </w:rPr>
        <w:t>）持江苏省颁发的《专职安全生产管理人员安全生产考核合格证书（</w:t>
      </w:r>
      <w:r>
        <w:rPr>
          <w:rFonts w:eastAsia="方正仿宋_GBK"/>
          <w:color w:val="000000"/>
          <w:spacing w:val="-2"/>
          <w:sz w:val="24"/>
        </w:rPr>
        <w:t>A</w:t>
      </w:r>
      <w:r>
        <w:rPr>
          <w:rFonts w:hint="eastAsia" w:eastAsia="方正仿宋_GBK"/>
          <w:color w:val="000000"/>
          <w:spacing w:val="-2"/>
          <w:sz w:val="24"/>
        </w:rPr>
        <w:t>、</w:t>
      </w:r>
      <w:r>
        <w:rPr>
          <w:rFonts w:eastAsia="方正仿宋_GBK"/>
          <w:color w:val="000000"/>
          <w:spacing w:val="-2"/>
          <w:sz w:val="24"/>
        </w:rPr>
        <w:t>B</w:t>
      </w:r>
      <w:r>
        <w:rPr>
          <w:rFonts w:hint="eastAsia" w:eastAsia="方正仿宋_GBK"/>
          <w:color w:val="000000"/>
          <w:spacing w:val="-2"/>
          <w:sz w:val="24"/>
        </w:rPr>
        <w:t>、</w:t>
      </w:r>
      <w:r>
        <w:rPr>
          <w:rFonts w:eastAsia="方正仿宋_GBK"/>
          <w:color w:val="000000"/>
          <w:spacing w:val="-2"/>
          <w:sz w:val="24"/>
        </w:rPr>
        <w:t>C</w:t>
      </w:r>
      <w:r>
        <w:rPr>
          <w:rFonts w:hint="eastAsia" w:eastAsia="方正仿宋_GBK"/>
          <w:color w:val="000000"/>
          <w:spacing w:val="-2"/>
          <w:sz w:val="24"/>
        </w:rPr>
        <w:t>证）》人员。持证人员所在企业直接登录省监管平台，按要求读取二代身份证信息后，完成信息采集，或携相关人员二代身份证至本地区建筑业企业资质管理处室进行信息采集。</w:t>
      </w:r>
    </w:p>
    <w:p>
      <w:pPr>
        <w:spacing w:line="460" w:lineRule="exact"/>
        <w:ind w:firstLine="462" w:firstLineChars="196"/>
        <w:rPr>
          <w:rFonts w:eastAsia="方正仿宋_GBK"/>
          <w:color w:val="000000"/>
          <w:spacing w:val="-2"/>
          <w:sz w:val="24"/>
        </w:rPr>
      </w:pPr>
      <w:r>
        <w:rPr>
          <w:rFonts w:hint="eastAsia" w:eastAsia="方正仿宋_GBK"/>
          <w:color w:val="000000"/>
          <w:spacing w:val="-2"/>
          <w:sz w:val="24"/>
        </w:rPr>
        <w:t>（</w:t>
      </w:r>
      <w:r>
        <w:rPr>
          <w:rFonts w:eastAsia="方正仿宋_GBK"/>
          <w:color w:val="000000"/>
          <w:spacing w:val="-2"/>
          <w:sz w:val="24"/>
        </w:rPr>
        <w:t>3</w:t>
      </w:r>
      <w:r>
        <w:rPr>
          <w:rFonts w:hint="eastAsia" w:eastAsia="方正仿宋_GBK"/>
          <w:color w:val="000000"/>
          <w:spacing w:val="-2"/>
          <w:sz w:val="24"/>
        </w:rPr>
        <w:t>）持江苏省颁发的《全国建设工程造价员资格证书》人员。持证人员登录省造价信息网</w:t>
      </w:r>
      <w:r>
        <w:rPr>
          <w:rFonts w:eastAsia="方正仿宋_GBK"/>
          <w:color w:val="000000"/>
          <w:spacing w:val="-2"/>
          <w:sz w:val="24"/>
        </w:rPr>
        <w:t>“</w:t>
      </w:r>
      <w:r>
        <w:rPr>
          <w:rFonts w:hint="eastAsia" w:eastAsia="方正仿宋_GBK"/>
          <w:color w:val="000000"/>
          <w:spacing w:val="-2"/>
          <w:sz w:val="24"/>
        </w:rPr>
        <w:t>造价员管理系统</w:t>
      </w:r>
      <w:r>
        <w:rPr>
          <w:rFonts w:eastAsia="方正仿宋_GBK"/>
          <w:color w:val="000000"/>
          <w:spacing w:val="-2"/>
          <w:sz w:val="24"/>
        </w:rPr>
        <w:t>”</w:t>
      </w:r>
      <w:r>
        <w:rPr>
          <w:rFonts w:hint="eastAsia" w:eastAsia="方正仿宋_GBK"/>
          <w:color w:val="000000"/>
          <w:spacing w:val="-2"/>
          <w:sz w:val="24"/>
        </w:rPr>
        <w:t>，按要求上传二代身份证扫描件后，经各省辖市造价管理机构信息核验（具体要求详见造价信息网）后，完成信息采集。</w:t>
      </w:r>
    </w:p>
    <w:p>
      <w:pPr>
        <w:spacing w:line="460" w:lineRule="exact"/>
        <w:ind w:firstLine="462" w:firstLineChars="196"/>
        <w:rPr>
          <w:rFonts w:eastAsia="方正仿宋_GBK"/>
          <w:color w:val="000000"/>
          <w:spacing w:val="-2"/>
          <w:sz w:val="24"/>
        </w:rPr>
      </w:pPr>
      <w:r>
        <w:rPr>
          <w:rFonts w:hint="eastAsia" w:eastAsia="方正仿宋_GBK"/>
          <w:color w:val="000000"/>
          <w:spacing w:val="-2"/>
          <w:sz w:val="24"/>
        </w:rPr>
        <w:t>（</w:t>
      </w:r>
      <w:r>
        <w:rPr>
          <w:rFonts w:eastAsia="方正仿宋_GBK"/>
          <w:color w:val="000000"/>
          <w:spacing w:val="-2"/>
          <w:sz w:val="24"/>
        </w:rPr>
        <w:t>4</w:t>
      </w:r>
      <w:r>
        <w:rPr>
          <w:rFonts w:hint="eastAsia" w:eastAsia="方正仿宋_GBK"/>
          <w:color w:val="000000"/>
          <w:spacing w:val="-2"/>
          <w:sz w:val="24"/>
        </w:rPr>
        <w:t>）持非江苏省颁发的《全国建设工程造价员资格证书》人员。持证人员须按照《江苏省</w:t>
      </w:r>
      <w:r>
        <w:rPr>
          <w:rFonts w:eastAsia="方正仿宋_GBK"/>
          <w:color w:val="000000"/>
          <w:spacing w:val="-2"/>
          <w:sz w:val="24"/>
        </w:rPr>
        <w:t>&lt;</w:t>
      </w:r>
      <w:r>
        <w:rPr>
          <w:rFonts w:hint="eastAsia" w:eastAsia="方正仿宋_GBK"/>
          <w:color w:val="000000"/>
          <w:spacing w:val="-2"/>
          <w:sz w:val="24"/>
        </w:rPr>
        <w:t>全国建设工程造价管理暂行管理办法</w:t>
      </w:r>
      <w:r>
        <w:rPr>
          <w:rFonts w:eastAsia="方正仿宋_GBK"/>
          <w:color w:val="000000"/>
          <w:spacing w:val="-2"/>
          <w:sz w:val="24"/>
        </w:rPr>
        <w:t>&gt;</w:t>
      </w:r>
      <w:r>
        <w:rPr>
          <w:rFonts w:hint="eastAsia" w:eastAsia="方正仿宋_GBK"/>
          <w:color w:val="000000"/>
          <w:spacing w:val="-2"/>
          <w:sz w:val="24"/>
        </w:rPr>
        <w:t>实施细则》办理外省转入手续后，方可进行信息采集。</w:t>
      </w:r>
    </w:p>
    <w:p>
      <w:pPr>
        <w:spacing w:line="460" w:lineRule="exact"/>
        <w:ind w:firstLine="472" w:firstLineChars="200"/>
        <w:rPr>
          <w:rFonts w:eastAsia="方正仿宋_GBK"/>
          <w:color w:val="000000"/>
          <w:spacing w:val="-2"/>
          <w:sz w:val="24"/>
        </w:rPr>
      </w:pPr>
      <w:r>
        <w:rPr>
          <w:rFonts w:eastAsia="方正仿宋_GBK"/>
          <w:color w:val="000000"/>
          <w:spacing w:val="-2"/>
          <w:sz w:val="24"/>
        </w:rPr>
        <w:t>2. </w:t>
      </w:r>
      <w:r>
        <w:rPr>
          <w:rFonts w:hint="eastAsia" w:eastAsia="方正仿宋_GBK"/>
          <w:color w:val="000000"/>
          <w:spacing w:val="-2"/>
          <w:sz w:val="24"/>
        </w:rPr>
        <w:t>技术工人</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w:t>
      </w:r>
      <w:r>
        <w:rPr>
          <w:rFonts w:eastAsia="方正仿宋_GBK"/>
          <w:color w:val="000000"/>
          <w:spacing w:val="-2"/>
          <w:sz w:val="24"/>
        </w:rPr>
        <w:t>1</w:t>
      </w:r>
      <w:r>
        <w:rPr>
          <w:rFonts w:hint="eastAsia" w:eastAsia="方正仿宋_GBK"/>
          <w:color w:val="000000"/>
          <w:spacing w:val="-2"/>
          <w:sz w:val="24"/>
        </w:rPr>
        <w:t>）持江苏省颁发的《职业资格证书》人员。持证人员所在企业通过企业账号登录省考试培训系统，按要求读取二代身份证信息、查询相关证书信息，并与企业进行关联后，完成信息采集，或携相关人员二代身份证至本地区信息采集点进行信息采集。</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w:t>
      </w:r>
      <w:r>
        <w:rPr>
          <w:rFonts w:eastAsia="方正仿宋_GBK"/>
          <w:color w:val="000000"/>
          <w:spacing w:val="-2"/>
          <w:sz w:val="24"/>
        </w:rPr>
        <w:t>2</w:t>
      </w:r>
      <w:r>
        <w:rPr>
          <w:rFonts w:hint="eastAsia" w:eastAsia="方正仿宋_GBK"/>
          <w:color w:val="000000"/>
          <w:spacing w:val="-2"/>
          <w:sz w:val="24"/>
        </w:rPr>
        <w:t>）持江苏省颁发的《建筑施工特种作业操作资格证书》人员。持证人员所在企业直接登录资质管理系统，按要求读取二代身份证信息，完成信息采集</w:t>
      </w:r>
      <w:r>
        <w:rPr>
          <w:rFonts w:eastAsia="方正仿宋_GBK"/>
          <w:color w:val="000000"/>
          <w:spacing w:val="-2"/>
          <w:sz w:val="24"/>
        </w:rPr>
        <w:t>,</w:t>
      </w:r>
      <w:r>
        <w:rPr>
          <w:rFonts w:hint="eastAsia" w:eastAsia="方正仿宋_GBK"/>
          <w:color w:val="000000"/>
          <w:spacing w:val="-2"/>
          <w:sz w:val="24"/>
        </w:rPr>
        <w:t>或携相关人员二代身份证至本地区建筑业企业资质管理处室进行信息采集。</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w:t>
      </w:r>
      <w:r>
        <w:rPr>
          <w:rFonts w:eastAsia="方正仿宋_GBK"/>
          <w:color w:val="000000"/>
          <w:spacing w:val="-2"/>
          <w:sz w:val="24"/>
        </w:rPr>
        <w:t>3</w:t>
      </w:r>
      <w:r>
        <w:rPr>
          <w:rFonts w:hint="eastAsia" w:eastAsia="方正仿宋_GBK"/>
          <w:color w:val="000000"/>
          <w:spacing w:val="-2"/>
          <w:sz w:val="24"/>
        </w:rPr>
        <w:t>）持《职业技能岗位证书》人员。持证人员所在企业通过企业账号登录省考试培训系统，按要求依次完成诚信承诺签署、证书信息填报、证书扫描件上传、二代身份证采集，经省辖市建设行政主管部门进行信息核验后，完成信息采集，或携相关材料至本地区信息采集点进行信息采集。</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三）信息不符或缺失的处理。因持证人员所持二代身份证与系统中原有身份信息数据不符，或因系统中原有证书信息数据缺失导致信息采集不成功的，持证人员需先至证书发证机关完成相关信息变更后，方可进行信息采集。</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五、工作要求</w:t>
      </w:r>
    </w:p>
    <w:p>
      <w:pPr>
        <w:spacing w:line="460" w:lineRule="exact"/>
        <w:ind w:firstLine="472" w:firstLineChars="200"/>
        <w:rPr>
          <w:rFonts w:hint="eastAsia" w:eastAsia="方正仿宋_GBK"/>
          <w:color w:val="000000"/>
          <w:spacing w:val="-2"/>
          <w:sz w:val="24"/>
        </w:rPr>
      </w:pPr>
      <w:r>
        <w:rPr>
          <w:rFonts w:eastAsia="方正仿宋_GBK"/>
          <w:color w:val="000000"/>
          <w:spacing w:val="-2"/>
          <w:sz w:val="24"/>
        </w:rPr>
        <w:t>1. </w:t>
      </w:r>
      <w:r>
        <w:rPr>
          <w:rFonts w:hint="eastAsia" w:eastAsia="方正仿宋_GBK"/>
          <w:color w:val="000000"/>
          <w:spacing w:val="-2"/>
          <w:sz w:val="24"/>
        </w:rPr>
        <w:t>现场管理人员、技术工人证书信息采集工作是我省建筑业企业资质管理的重要组成部分，时间紧、任务重、要求高，直接关系到我省建筑业企业资质就位工作的有序推进，请各省辖市建设行政主管部门高度重视，健全机制、明确职责、落实专人、制定措施、加强监管，同时，注意做好信息公开、咨询、现场采集服务等各项工作，确保相关工作顺利开展。</w:t>
      </w:r>
    </w:p>
    <w:p>
      <w:pPr>
        <w:spacing w:line="460" w:lineRule="exact"/>
        <w:ind w:firstLine="472" w:firstLineChars="200"/>
        <w:rPr>
          <w:rFonts w:eastAsia="方正仿宋_GBK"/>
          <w:color w:val="000000"/>
          <w:spacing w:val="-2"/>
          <w:sz w:val="24"/>
        </w:rPr>
      </w:pPr>
      <w:r>
        <w:rPr>
          <w:rFonts w:eastAsia="方正仿宋_GBK"/>
          <w:color w:val="000000"/>
          <w:spacing w:val="-2"/>
          <w:sz w:val="24"/>
        </w:rPr>
        <w:t>2. </w:t>
      </w:r>
      <w:r>
        <w:rPr>
          <w:rFonts w:hint="eastAsia" w:eastAsia="方正仿宋_GBK"/>
          <w:color w:val="000000"/>
          <w:spacing w:val="-2"/>
          <w:sz w:val="24"/>
        </w:rPr>
        <w:t>各相关企业对所提供持证人员原件材料和相关信息的真实性负责，对于经抽查或被举报查实弄虚作假的企业，将按《建筑业企业资质管理规定》第三十五条规定处理，并根据《江苏省个人信用征信管理暂行办法》、《江苏省自然人失信惩戒办法》的规定，记入企业失信档案。</w:t>
      </w:r>
    </w:p>
    <w:p>
      <w:pPr>
        <w:spacing w:line="460" w:lineRule="exact"/>
        <w:ind w:firstLine="472" w:firstLineChars="200"/>
        <w:rPr>
          <w:rFonts w:ascii="Times New Roman" w:eastAsia="方正黑体_GBK"/>
          <w:color w:val="000000"/>
          <w:spacing w:val="-2"/>
          <w:sz w:val="24"/>
        </w:rPr>
      </w:pPr>
      <w:r>
        <w:rPr>
          <w:rFonts w:hint="eastAsia" w:ascii="Times New Roman" w:eastAsia="方正黑体_GBK"/>
          <w:color w:val="000000"/>
          <w:spacing w:val="-2"/>
          <w:sz w:val="24"/>
        </w:rPr>
        <w:t>六、联系方式</w:t>
      </w:r>
    </w:p>
    <w:p>
      <w:pPr>
        <w:spacing w:line="460" w:lineRule="exact"/>
        <w:ind w:firstLine="472" w:firstLineChars="200"/>
        <w:rPr>
          <w:rFonts w:hint="eastAsia" w:eastAsia="方正仿宋_GBK"/>
          <w:color w:val="000000"/>
          <w:spacing w:val="-2"/>
          <w:sz w:val="24"/>
        </w:rPr>
      </w:pPr>
      <w:r>
        <w:rPr>
          <w:rFonts w:eastAsia="方正仿宋_GBK"/>
          <w:color w:val="000000"/>
          <w:spacing w:val="-2"/>
          <w:sz w:val="24"/>
        </w:rPr>
        <w:t>1. </w:t>
      </w:r>
      <w:r>
        <w:rPr>
          <w:rFonts w:hint="eastAsia" w:eastAsia="方正仿宋_GBK"/>
          <w:color w:val="000000"/>
          <w:spacing w:val="-2"/>
          <w:sz w:val="24"/>
        </w:rPr>
        <w:t>信息采集联系人：</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金</w:t>
      </w:r>
      <w:r>
        <w:rPr>
          <w:rFonts w:eastAsia="方正仿宋_GBK"/>
          <w:color w:val="000000"/>
          <w:spacing w:val="-2"/>
          <w:sz w:val="24"/>
        </w:rPr>
        <w:t xml:space="preserve">  </w:t>
      </w:r>
      <w:r>
        <w:rPr>
          <w:rFonts w:hint="eastAsia" w:eastAsia="方正仿宋_GBK"/>
          <w:color w:val="000000"/>
          <w:spacing w:val="-2"/>
          <w:sz w:val="24"/>
        </w:rPr>
        <w:t>强、刘钦燕（现场管理人员、技术工人）</w:t>
      </w:r>
      <w:r>
        <w:rPr>
          <w:rFonts w:eastAsia="方正仿宋_GBK"/>
          <w:color w:val="000000"/>
          <w:spacing w:val="-2"/>
          <w:sz w:val="24"/>
        </w:rPr>
        <w:t>025-51868680</w:t>
      </w:r>
      <w:r>
        <w:rPr>
          <w:rFonts w:hint="eastAsia" w:eastAsia="方正仿宋_GBK"/>
          <w:color w:val="000000"/>
          <w:spacing w:val="-2"/>
          <w:sz w:val="24"/>
        </w:rPr>
        <w:t>；</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朱德雯（安管人员、特种作业人员）</w:t>
      </w:r>
      <w:r>
        <w:rPr>
          <w:rFonts w:eastAsia="方正仿宋_GBK"/>
          <w:color w:val="000000"/>
          <w:spacing w:val="-2"/>
          <w:sz w:val="24"/>
        </w:rPr>
        <w:t>025-51868272</w:t>
      </w:r>
      <w:r>
        <w:rPr>
          <w:rFonts w:hint="eastAsia" w:eastAsia="方正仿宋_GBK"/>
          <w:color w:val="000000"/>
          <w:spacing w:val="-2"/>
          <w:sz w:val="24"/>
        </w:rPr>
        <w:t>；</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李</w:t>
      </w:r>
      <w:r>
        <w:rPr>
          <w:rFonts w:eastAsia="方正仿宋_GBK"/>
          <w:color w:val="000000"/>
          <w:spacing w:val="-2"/>
          <w:sz w:val="24"/>
        </w:rPr>
        <w:t xml:space="preserve">  </w:t>
      </w:r>
      <w:r>
        <w:rPr>
          <w:rFonts w:hint="eastAsia" w:eastAsia="方正仿宋_GBK"/>
          <w:color w:val="000000"/>
          <w:spacing w:val="-2"/>
          <w:sz w:val="24"/>
        </w:rPr>
        <w:t>静（造价员）</w:t>
      </w:r>
      <w:r>
        <w:rPr>
          <w:rFonts w:eastAsia="方正仿宋_GBK"/>
          <w:color w:val="000000"/>
          <w:spacing w:val="-2"/>
          <w:sz w:val="24"/>
        </w:rPr>
        <w:t>025-51868989</w:t>
      </w:r>
      <w:r>
        <w:rPr>
          <w:rFonts w:hint="eastAsia" w:eastAsia="方正仿宋_GBK"/>
          <w:color w:val="000000"/>
          <w:spacing w:val="-2"/>
          <w:sz w:val="24"/>
        </w:rPr>
        <w:t>。</w:t>
      </w:r>
    </w:p>
    <w:p>
      <w:pPr>
        <w:spacing w:line="460" w:lineRule="exact"/>
        <w:ind w:firstLine="472" w:firstLineChars="200"/>
        <w:rPr>
          <w:rFonts w:eastAsia="方正仿宋_GBK"/>
          <w:color w:val="000000"/>
          <w:spacing w:val="-2"/>
          <w:sz w:val="24"/>
        </w:rPr>
      </w:pPr>
      <w:r>
        <w:rPr>
          <w:rFonts w:eastAsia="方正仿宋_GBK"/>
          <w:color w:val="000000"/>
          <w:spacing w:val="-2"/>
          <w:sz w:val="24"/>
        </w:rPr>
        <w:t>2. </w:t>
      </w:r>
      <w:r>
        <w:rPr>
          <w:rFonts w:hint="eastAsia" w:eastAsia="方正仿宋_GBK"/>
          <w:color w:val="000000"/>
          <w:spacing w:val="-2"/>
          <w:sz w:val="24"/>
        </w:rPr>
        <w:t>系统技术问题联系人：</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汪崇石</w:t>
      </w:r>
      <w:r>
        <w:rPr>
          <w:rFonts w:eastAsia="方正仿宋_GBK"/>
          <w:color w:val="000000"/>
          <w:spacing w:val="-2"/>
          <w:sz w:val="24"/>
        </w:rPr>
        <w:t xml:space="preserve"> 025-51868280</w:t>
      </w:r>
      <w:r>
        <w:rPr>
          <w:rFonts w:hint="eastAsia" w:eastAsia="方正仿宋_GBK"/>
          <w:color w:val="000000"/>
          <w:spacing w:val="-2"/>
          <w:sz w:val="24"/>
        </w:rPr>
        <w:t>。</w:t>
      </w:r>
    </w:p>
    <w:p>
      <w:pPr>
        <w:spacing w:line="460" w:lineRule="exact"/>
        <w:ind w:firstLine="645"/>
        <w:rPr>
          <w:rFonts w:eastAsia="方正仿宋_GBK"/>
          <w:color w:val="000000"/>
          <w:spacing w:val="-2"/>
          <w:sz w:val="24"/>
        </w:rPr>
      </w:pPr>
    </w:p>
    <w:p>
      <w:pPr>
        <w:spacing w:line="460" w:lineRule="exact"/>
        <w:ind w:firstLine="645"/>
        <w:rPr>
          <w:rFonts w:eastAsia="方正仿宋_GBK"/>
          <w:color w:val="000000"/>
          <w:spacing w:val="-2"/>
          <w:sz w:val="24"/>
        </w:rPr>
      </w:pPr>
      <w:r>
        <w:rPr>
          <w:rFonts w:hint="eastAsia" w:eastAsia="方正仿宋_GBK"/>
          <w:color w:val="000000"/>
          <w:spacing w:val="-2"/>
          <w:sz w:val="24"/>
        </w:rPr>
        <w:t>附件：各省辖市（省直管县）证书信息采集点一览表</w:t>
      </w:r>
    </w:p>
    <w:p>
      <w:pPr>
        <w:spacing w:line="460" w:lineRule="exact"/>
        <w:ind w:firstLine="645"/>
        <w:rPr>
          <w:rFonts w:eastAsia="方正仿宋_GBK"/>
          <w:color w:val="000000"/>
          <w:spacing w:val="-2"/>
          <w:sz w:val="24"/>
        </w:rPr>
      </w:pPr>
    </w:p>
    <w:p>
      <w:pPr>
        <w:spacing w:line="460" w:lineRule="exact"/>
        <w:ind w:right="477" w:rightChars="227" w:firstLine="645"/>
        <w:jc w:val="right"/>
        <w:rPr>
          <w:rFonts w:eastAsia="方正仿宋_GBK"/>
          <w:color w:val="000000"/>
          <w:spacing w:val="-2"/>
          <w:sz w:val="24"/>
        </w:rPr>
      </w:pPr>
      <w:r>
        <w:rPr>
          <w:rFonts w:eastAsia="方正仿宋_GBK"/>
          <w:color w:val="000000"/>
          <w:spacing w:val="-2"/>
          <w:sz w:val="24"/>
        </w:rPr>
        <w:t xml:space="preserve">                         </w:t>
      </w:r>
      <w:r>
        <w:rPr>
          <w:rFonts w:hint="eastAsia" w:eastAsia="方正仿宋_GBK"/>
          <w:color w:val="000000"/>
          <w:spacing w:val="-2"/>
          <w:sz w:val="24"/>
        </w:rPr>
        <w:t>江苏省住房和城乡建设厅</w:t>
      </w:r>
      <w:r>
        <w:rPr>
          <w:rFonts w:eastAsia="方正仿宋_GBK"/>
          <w:color w:val="000000"/>
          <w:spacing w:val="-2"/>
          <w:sz w:val="24"/>
        </w:rPr>
        <w:t xml:space="preserve">    </w:t>
      </w:r>
    </w:p>
    <w:p>
      <w:pPr>
        <w:spacing w:line="460" w:lineRule="exact"/>
        <w:ind w:right="897" w:rightChars="427"/>
        <w:jc w:val="right"/>
        <w:rPr>
          <w:rFonts w:eastAsia="方正仿宋_GBK"/>
          <w:color w:val="000000"/>
          <w:spacing w:val="-2"/>
          <w:sz w:val="24"/>
        </w:rPr>
      </w:pPr>
      <w:r>
        <w:rPr>
          <w:rFonts w:eastAsia="方正仿宋_GBK"/>
          <w:color w:val="000000"/>
          <w:spacing w:val="-2"/>
          <w:sz w:val="24"/>
        </w:rPr>
        <w:t xml:space="preserve">                                 2015</w:t>
      </w:r>
      <w:r>
        <w:rPr>
          <w:rFonts w:hint="eastAsia" w:eastAsia="方正仿宋_GBK"/>
          <w:color w:val="000000"/>
          <w:spacing w:val="-2"/>
          <w:sz w:val="24"/>
        </w:rPr>
        <w:t>年</w:t>
      </w:r>
      <w:r>
        <w:rPr>
          <w:rFonts w:eastAsia="方正仿宋_GBK"/>
          <w:color w:val="000000"/>
          <w:spacing w:val="-2"/>
          <w:sz w:val="24"/>
        </w:rPr>
        <w:t>7</w:t>
      </w:r>
      <w:r>
        <w:rPr>
          <w:rFonts w:hint="eastAsia" w:eastAsia="方正仿宋_GBK"/>
          <w:color w:val="000000"/>
          <w:spacing w:val="-2"/>
          <w:sz w:val="24"/>
        </w:rPr>
        <w:t>月</w:t>
      </w:r>
      <w:r>
        <w:rPr>
          <w:rFonts w:eastAsia="方正仿宋_GBK"/>
          <w:color w:val="000000"/>
          <w:spacing w:val="-2"/>
          <w:sz w:val="24"/>
        </w:rPr>
        <w:t>28</w:t>
      </w:r>
      <w:r>
        <w:rPr>
          <w:rFonts w:hint="eastAsia" w:eastAsia="方正仿宋_GBK"/>
          <w:color w:val="000000"/>
          <w:spacing w:val="-2"/>
          <w:sz w:val="24"/>
        </w:rPr>
        <w:t>日</w:t>
      </w:r>
      <w:r>
        <w:rPr>
          <w:rFonts w:eastAsia="方正仿宋_GBK"/>
          <w:color w:val="000000"/>
          <w:spacing w:val="-2"/>
          <w:sz w:val="24"/>
        </w:rPr>
        <w:t xml:space="preserve">       </w:t>
      </w:r>
    </w:p>
    <w:p>
      <w:pPr>
        <w:spacing w:line="460" w:lineRule="exact"/>
        <w:jc w:val="right"/>
        <w:rPr>
          <w:rFonts w:eastAsia="方正仿宋_GBK"/>
          <w:color w:val="000000"/>
          <w:spacing w:val="-2"/>
          <w:sz w:val="24"/>
        </w:rPr>
      </w:pPr>
    </w:p>
    <w:p>
      <w:pPr>
        <w:spacing w:line="460" w:lineRule="exact"/>
        <w:jc w:val="right"/>
        <w:rPr>
          <w:rFonts w:eastAsia="方正仿宋_GBK"/>
          <w:color w:val="000000"/>
          <w:spacing w:val="-2"/>
          <w:sz w:val="24"/>
        </w:rPr>
      </w:pPr>
    </w:p>
    <w:p>
      <w:pPr>
        <w:ind w:left="-8" w:leftChars="-4" w:firstLine="6" w:firstLineChars="2"/>
        <w:jc w:val="left"/>
        <w:rPr>
          <w:rFonts w:ascii="Times New Roman" w:eastAsia="黑体"/>
          <w:color w:val="000000"/>
          <w:spacing w:val="-2"/>
          <w:sz w:val="28"/>
          <w:szCs w:val="28"/>
        </w:rPr>
      </w:pPr>
      <w:r>
        <w:rPr>
          <w:rFonts w:hint="eastAsia" w:ascii="Times New Roman" w:eastAsia="黑体"/>
          <w:color w:val="000000"/>
          <w:spacing w:val="-2"/>
          <w:sz w:val="32"/>
          <w:szCs w:val="32"/>
        </w:rPr>
        <w:br w:type="column"/>
      </w:r>
      <w:r>
        <w:rPr>
          <w:rFonts w:hint="eastAsia" w:ascii="Times New Roman" w:eastAsia="黑体"/>
          <w:color w:val="000000"/>
          <w:spacing w:val="-2"/>
          <w:sz w:val="28"/>
          <w:szCs w:val="28"/>
        </w:rPr>
        <w:t>附件：</w:t>
      </w:r>
    </w:p>
    <w:p>
      <w:pPr>
        <w:jc w:val="center"/>
        <w:rPr>
          <w:rFonts w:hint="eastAsia" w:eastAsia="方正小标宋简体"/>
          <w:color w:val="000000"/>
          <w:spacing w:val="-2"/>
          <w:sz w:val="32"/>
          <w:szCs w:val="32"/>
        </w:rPr>
      </w:pPr>
      <w:r>
        <w:rPr>
          <w:rFonts w:hint="eastAsia" w:eastAsia="方正小标宋简体"/>
          <w:color w:val="000000"/>
          <w:spacing w:val="-2"/>
          <w:sz w:val="32"/>
          <w:szCs w:val="32"/>
        </w:rPr>
        <w:t>各省辖市（省直管县）证书信息采集点一览表</w:t>
      </w:r>
    </w:p>
    <w:tbl>
      <w:tblPr>
        <w:tblStyle w:val="12"/>
        <w:tblW w:w="0" w:type="auto"/>
        <w:jc w:val="center"/>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
      <w:tblGrid>
        <w:gridCol w:w="647"/>
        <w:gridCol w:w="859"/>
        <w:gridCol w:w="2466"/>
        <w:gridCol w:w="2838"/>
        <w:gridCol w:w="764"/>
        <w:gridCol w:w="1467"/>
      </w:tblGrid>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trHeight w:val="422" w:hRule="atLeast"/>
          <w:tblHeader/>
          <w:jc w:val="center"/>
        </w:trPr>
        <w:tc>
          <w:tcPr>
            <w:tcW w:w="647" w:type="dxa"/>
            <w:tcBorders>
              <w:top w:val="single" w:color="auto" w:sz="8" w:space="0"/>
              <w:left w:val="single" w:color="auto" w:sz="8" w:space="0"/>
              <w:bottom w:val="single" w:color="000000" w:sz="4" w:space="0"/>
              <w:right w:val="single" w:color="000000" w:sz="4" w:space="0"/>
            </w:tcBorders>
            <w:noWrap w:val="0"/>
            <w:vAlign w:val="center"/>
          </w:tcPr>
          <w:p>
            <w:pPr>
              <w:ind w:left="-63" w:leftChars="-30" w:right="-63" w:rightChars="-30"/>
              <w:jc w:val="center"/>
              <w:rPr>
                <w:rFonts w:eastAsia="黑体"/>
                <w:color w:val="000000"/>
                <w:spacing w:val="-2"/>
                <w:szCs w:val="21"/>
              </w:rPr>
            </w:pPr>
            <w:r>
              <w:rPr>
                <w:rFonts w:hint="eastAsia" w:hAnsi="Times New Roman" w:eastAsia="黑体"/>
                <w:color w:val="000000"/>
                <w:spacing w:val="-2"/>
                <w:szCs w:val="21"/>
              </w:rPr>
              <w:t>序号</w:t>
            </w:r>
          </w:p>
        </w:tc>
        <w:tc>
          <w:tcPr>
            <w:tcW w:w="859" w:type="dxa"/>
            <w:tcBorders>
              <w:top w:val="single" w:color="auto" w:sz="8"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黑体"/>
                <w:color w:val="000000"/>
                <w:spacing w:val="-2"/>
                <w:szCs w:val="21"/>
              </w:rPr>
            </w:pPr>
            <w:r>
              <w:rPr>
                <w:rFonts w:hint="eastAsia" w:hAnsi="Times New Roman" w:eastAsia="黑体"/>
                <w:color w:val="000000"/>
                <w:spacing w:val="-2"/>
                <w:szCs w:val="21"/>
              </w:rPr>
              <w:t>市别</w:t>
            </w:r>
          </w:p>
        </w:tc>
        <w:tc>
          <w:tcPr>
            <w:tcW w:w="5304" w:type="dxa"/>
            <w:gridSpan w:val="2"/>
            <w:tcBorders>
              <w:top w:val="single" w:color="auto" w:sz="8" w:space="0"/>
              <w:left w:val="single" w:color="000000" w:sz="4" w:space="0"/>
              <w:bottom w:val="single" w:color="000000" w:sz="4" w:space="0"/>
              <w:right w:val="single" w:color="000000" w:sz="4" w:space="0"/>
            </w:tcBorders>
            <w:noWrap w:val="0"/>
            <w:vAlign w:val="center"/>
          </w:tcPr>
          <w:p>
            <w:pPr>
              <w:ind w:left="-63" w:leftChars="-30" w:right="-63" w:rightChars="-30" w:firstLine="298" w:firstLineChars="145"/>
              <w:jc w:val="center"/>
              <w:rPr>
                <w:rFonts w:eastAsia="黑体"/>
                <w:color w:val="000000"/>
                <w:spacing w:val="-2"/>
                <w:szCs w:val="21"/>
              </w:rPr>
            </w:pPr>
            <w:r>
              <w:rPr>
                <w:rFonts w:hint="eastAsia" w:hAnsi="Times New Roman" w:eastAsia="黑体"/>
                <w:color w:val="000000"/>
                <w:spacing w:val="-2"/>
                <w:szCs w:val="21"/>
              </w:rPr>
              <w:t>采集地址</w:t>
            </w:r>
          </w:p>
        </w:tc>
        <w:tc>
          <w:tcPr>
            <w:tcW w:w="764" w:type="dxa"/>
            <w:tcBorders>
              <w:top w:val="single" w:color="auto" w:sz="8"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黑体"/>
                <w:color w:val="000000"/>
                <w:spacing w:val="-2"/>
                <w:szCs w:val="21"/>
              </w:rPr>
            </w:pPr>
            <w:r>
              <w:rPr>
                <w:rFonts w:hint="eastAsia" w:hAnsi="Times New Roman" w:eastAsia="黑体"/>
                <w:color w:val="000000"/>
                <w:spacing w:val="-2"/>
                <w:szCs w:val="21"/>
              </w:rPr>
              <w:t>联系人</w:t>
            </w:r>
          </w:p>
        </w:tc>
        <w:tc>
          <w:tcPr>
            <w:tcW w:w="1467" w:type="dxa"/>
            <w:tcBorders>
              <w:top w:val="single" w:color="auto" w:sz="8"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黑体"/>
                <w:color w:val="000000"/>
                <w:spacing w:val="-2"/>
                <w:szCs w:val="21"/>
              </w:rPr>
            </w:pPr>
            <w:r>
              <w:rPr>
                <w:rFonts w:hint="eastAsia" w:hAnsi="Times New Roman" w:eastAsia="黑体"/>
                <w:color w:val="000000"/>
                <w:spacing w:val="-2"/>
                <w:szCs w:val="21"/>
              </w:rPr>
              <w:t>联系电话</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restart"/>
            <w:tcBorders>
              <w:top w:val="single" w:color="000000" w:sz="4" w:space="0"/>
              <w:left w:val="single" w:color="auto" w:sz="8"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1</w:t>
            </w:r>
          </w:p>
        </w:tc>
        <w:tc>
          <w:tcPr>
            <w:tcW w:w="859" w:type="dxa"/>
            <w:vMerge w:val="restart"/>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南京市</w:t>
            </w:r>
          </w:p>
        </w:tc>
        <w:tc>
          <w:tcPr>
            <w:tcW w:w="2466" w:type="dxa"/>
            <w:vMerge w:val="restart"/>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南京市住房和城乡建设委员会宣教处</w:t>
            </w:r>
          </w:p>
          <w:p>
            <w:pPr>
              <w:ind w:left="-63" w:leftChars="-30" w:right="-63" w:rightChars="-30"/>
              <w:rPr>
                <w:rFonts w:eastAsia="仿宋_GB2312"/>
                <w:color w:val="000000"/>
                <w:spacing w:val="-2"/>
                <w:szCs w:val="21"/>
              </w:rPr>
            </w:pPr>
            <w:r>
              <w:rPr>
                <w:rFonts w:eastAsia="仿宋_GB2312"/>
                <w:color w:val="000000"/>
                <w:spacing w:val="-2"/>
                <w:szCs w:val="21"/>
              </w:rPr>
              <w:t>(</w:t>
            </w:r>
            <w:r>
              <w:rPr>
                <w:rFonts w:hint="eastAsia" w:eastAsia="仿宋_GB2312"/>
                <w:color w:val="000000"/>
                <w:spacing w:val="-2"/>
                <w:szCs w:val="21"/>
              </w:rPr>
              <w:t>联系人：王小丹，</w:t>
            </w:r>
          </w:p>
          <w:p>
            <w:pPr>
              <w:ind w:left="-63" w:leftChars="-30" w:right="-63" w:rightChars="-30"/>
              <w:rPr>
                <w:rFonts w:eastAsia="仿宋_GB2312"/>
                <w:color w:val="000000"/>
                <w:spacing w:val="-2"/>
                <w:szCs w:val="21"/>
              </w:rPr>
            </w:pPr>
            <w:r>
              <w:rPr>
                <w:rFonts w:eastAsia="仿宋_GB2312"/>
                <w:color w:val="000000"/>
                <w:spacing w:val="-2"/>
                <w:szCs w:val="21"/>
              </w:rPr>
              <w:t xml:space="preserve"> </w:t>
            </w:r>
            <w:r>
              <w:rPr>
                <w:rFonts w:hint="eastAsia" w:eastAsia="仿宋_GB2312"/>
                <w:color w:val="000000"/>
                <w:spacing w:val="-2"/>
                <w:szCs w:val="21"/>
              </w:rPr>
              <w:t>联系电话：</w:t>
            </w:r>
            <w:r>
              <w:rPr>
                <w:rFonts w:eastAsia="仿宋_GB2312"/>
                <w:color w:val="000000"/>
                <w:spacing w:val="-2"/>
                <w:szCs w:val="21"/>
              </w:rPr>
              <w:t>025-83753556)</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南京市龙蟠路</w:t>
            </w:r>
            <w:r>
              <w:rPr>
                <w:rFonts w:eastAsia="仿宋_GB2312"/>
                <w:color w:val="000000"/>
                <w:spacing w:val="-2"/>
                <w:szCs w:val="21"/>
              </w:rPr>
              <w:t>163</w:t>
            </w:r>
            <w:r>
              <w:rPr>
                <w:rFonts w:hint="eastAsia" w:eastAsia="仿宋_GB2312"/>
                <w:color w:val="000000"/>
                <w:spacing w:val="-2"/>
                <w:szCs w:val="21"/>
              </w:rPr>
              <w:t>号</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周</w:t>
            </w:r>
            <w:r>
              <w:rPr>
                <w:rFonts w:eastAsia="仿宋_GB2312"/>
                <w:color w:val="000000"/>
                <w:spacing w:val="-2"/>
                <w:szCs w:val="21"/>
              </w:rPr>
              <w:t xml:space="preserve">  </w:t>
            </w:r>
            <w:r>
              <w:rPr>
                <w:rFonts w:hint="eastAsia" w:eastAsia="仿宋_GB2312"/>
                <w:color w:val="000000"/>
                <w:spacing w:val="-2"/>
                <w:szCs w:val="21"/>
              </w:rPr>
              <w:t>磊</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025-85404458</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南京市解放路</w:t>
            </w:r>
            <w:r>
              <w:rPr>
                <w:rFonts w:eastAsia="仿宋_GB2312"/>
                <w:color w:val="000000"/>
                <w:spacing w:val="-2"/>
                <w:szCs w:val="21"/>
              </w:rPr>
              <w:t>38</w:t>
            </w:r>
            <w:r>
              <w:rPr>
                <w:rFonts w:hint="eastAsia" w:eastAsia="仿宋_GB2312"/>
                <w:color w:val="000000"/>
                <w:spacing w:val="-2"/>
                <w:szCs w:val="21"/>
              </w:rPr>
              <w:t>号</w:t>
            </w:r>
            <w:r>
              <w:rPr>
                <w:rFonts w:eastAsia="仿宋_GB2312"/>
                <w:color w:val="000000"/>
                <w:spacing w:val="-2"/>
                <w:szCs w:val="21"/>
              </w:rPr>
              <w:t>6</w:t>
            </w:r>
            <w:r>
              <w:rPr>
                <w:rFonts w:hint="eastAsia" w:eastAsia="仿宋_GB2312"/>
                <w:color w:val="000000"/>
                <w:spacing w:val="-2"/>
                <w:szCs w:val="21"/>
              </w:rPr>
              <w:t>楼</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刘长秀</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025-58714070</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南京市中华路</w:t>
            </w:r>
            <w:r>
              <w:rPr>
                <w:rFonts w:eastAsia="仿宋_GB2312"/>
                <w:color w:val="000000"/>
                <w:spacing w:val="-2"/>
                <w:szCs w:val="21"/>
              </w:rPr>
              <w:t>110</w:t>
            </w:r>
            <w:r>
              <w:rPr>
                <w:rFonts w:hint="eastAsia" w:eastAsia="仿宋_GB2312"/>
                <w:color w:val="000000"/>
                <w:spacing w:val="-2"/>
                <w:szCs w:val="21"/>
              </w:rPr>
              <w:t>号</w:t>
            </w:r>
            <w:r>
              <w:rPr>
                <w:rFonts w:eastAsia="仿宋_GB2312"/>
                <w:color w:val="000000"/>
                <w:spacing w:val="-2"/>
                <w:szCs w:val="21"/>
              </w:rPr>
              <w:t>3</w:t>
            </w:r>
            <w:r>
              <w:rPr>
                <w:rFonts w:hint="eastAsia" w:eastAsia="仿宋_GB2312"/>
                <w:color w:val="000000"/>
                <w:spacing w:val="-2"/>
                <w:szCs w:val="21"/>
              </w:rPr>
              <w:t>楼</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冷</w:t>
            </w:r>
            <w:r>
              <w:rPr>
                <w:rFonts w:eastAsia="仿宋_GB2312"/>
                <w:color w:val="000000"/>
                <w:spacing w:val="-2"/>
                <w:szCs w:val="21"/>
              </w:rPr>
              <w:t xml:space="preserve">  </w:t>
            </w:r>
            <w:r>
              <w:rPr>
                <w:rFonts w:hint="eastAsia" w:eastAsia="仿宋_GB2312"/>
                <w:color w:val="000000"/>
                <w:spacing w:val="-2"/>
                <w:szCs w:val="21"/>
              </w:rPr>
              <w:t>勇</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025-52333431</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南京市黄山路</w:t>
            </w:r>
            <w:r>
              <w:rPr>
                <w:rFonts w:eastAsia="仿宋_GB2312"/>
                <w:color w:val="000000"/>
                <w:spacing w:val="-2"/>
                <w:szCs w:val="21"/>
              </w:rPr>
              <w:t>58</w:t>
            </w:r>
            <w:r>
              <w:rPr>
                <w:rFonts w:hint="eastAsia" w:eastAsia="仿宋_GB2312"/>
                <w:color w:val="000000"/>
                <w:spacing w:val="-2"/>
                <w:szCs w:val="21"/>
              </w:rPr>
              <w:t>号</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周明璐</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025-86479373</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tcBorders>
              <w:top w:val="single" w:color="000000" w:sz="4" w:space="0"/>
              <w:left w:val="single" w:color="auto" w:sz="8"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2</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无锡市</w:t>
            </w: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无锡市建设局教育培训领导小组办公室</w:t>
            </w:r>
            <w:r>
              <w:rPr>
                <w:rFonts w:eastAsia="仿宋_GB2312"/>
                <w:color w:val="000000"/>
                <w:spacing w:val="-2"/>
                <w:szCs w:val="21"/>
              </w:rPr>
              <w:t>(</w:t>
            </w:r>
            <w:r>
              <w:rPr>
                <w:rFonts w:hint="eastAsia" w:eastAsia="仿宋_GB2312"/>
                <w:color w:val="000000"/>
                <w:spacing w:val="-2"/>
                <w:szCs w:val="21"/>
              </w:rPr>
              <w:t>无锡市建设培训中心</w:t>
            </w:r>
            <w:r>
              <w:rPr>
                <w:rFonts w:eastAsia="仿宋_GB2312"/>
                <w:color w:val="000000"/>
                <w:spacing w:val="-2"/>
                <w:szCs w:val="21"/>
              </w:rPr>
              <w:t>)</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无锡市西新街</w:t>
            </w:r>
            <w:r>
              <w:rPr>
                <w:rFonts w:eastAsia="仿宋_GB2312"/>
                <w:color w:val="000000"/>
                <w:spacing w:val="-2"/>
                <w:szCs w:val="21"/>
              </w:rPr>
              <w:t>8</w:t>
            </w:r>
            <w:r>
              <w:rPr>
                <w:rFonts w:hint="eastAsia" w:eastAsia="仿宋_GB2312"/>
                <w:color w:val="000000"/>
                <w:spacing w:val="-2"/>
                <w:szCs w:val="21"/>
              </w:rPr>
              <w:t>号建设发展大厦</w:t>
            </w:r>
            <w:r>
              <w:rPr>
                <w:rFonts w:eastAsia="仿宋_GB2312"/>
                <w:color w:val="000000"/>
                <w:spacing w:val="-2"/>
                <w:szCs w:val="21"/>
              </w:rPr>
              <w:t>2</w:t>
            </w:r>
            <w:r>
              <w:rPr>
                <w:rFonts w:hint="eastAsia" w:eastAsia="仿宋_GB2312"/>
                <w:color w:val="000000"/>
                <w:spacing w:val="-2"/>
                <w:szCs w:val="21"/>
              </w:rPr>
              <w:t>楼</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徐晓春</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0510-68780909</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tcBorders>
              <w:top w:val="single" w:color="000000" w:sz="4" w:space="0"/>
              <w:left w:val="single" w:color="auto" w:sz="8"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3</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徐州市</w:t>
            </w: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徐州市城乡建设局人事教育处</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徐州市二环北路空军后勤学院蓝天桥西</w:t>
            </w:r>
            <w:r>
              <w:rPr>
                <w:rFonts w:eastAsia="仿宋_GB2312"/>
                <w:color w:val="000000"/>
                <w:spacing w:val="-2"/>
                <w:szCs w:val="21"/>
              </w:rPr>
              <w:t>50</w:t>
            </w:r>
            <w:r>
              <w:rPr>
                <w:rFonts w:hint="eastAsia" w:eastAsia="仿宋_GB2312"/>
                <w:color w:val="000000"/>
                <w:spacing w:val="-2"/>
                <w:szCs w:val="21"/>
              </w:rPr>
              <w:t>米路南</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刘艳霞</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0516-66998557</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tcBorders>
              <w:top w:val="single" w:color="000000" w:sz="4" w:space="0"/>
              <w:left w:val="single" w:color="auto" w:sz="8"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4</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常州市</w:t>
            </w: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常州市城乡建设局宣教处</w:t>
            </w:r>
            <w:r>
              <w:rPr>
                <w:rFonts w:eastAsia="仿宋_GB2312"/>
                <w:color w:val="000000"/>
                <w:spacing w:val="-2"/>
                <w:szCs w:val="21"/>
              </w:rPr>
              <w:t>(</w:t>
            </w:r>
            <w:r>
              <w:rPr>
                <w:rFonts w:hint="eastAsia" w:eastAsia="仿宋_GB2312"/>
                <w:color w:val="000000"/>
                <w:spacing w:val="-2"/>
                <w:szCs w:val="21"/>
              </w:rPr>
              <w:t>常州市建设教育培训中心</w:t>
            </w:r>
            <w:r>
              <w:rPr>
                <w:rFonts w:eastAsia="仿宋_GB2312"/>
                <w:color w:val="000000"/>
                <w:spacing w:val="-2"/>
                <w:szCs w:val="21"/>
              </w:rPr>
              <w:t>)</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常州市钟楼区木梳路</w:t>
            </w:r>
            <w:r>
              <w:rPr>
                <w:rFonts w:eastAsia="仿宋_GB2312"/>
                <w:color w:val="000000"/>
                <w:spacing w:val="-2"/>
                <w:szCs w:val="21"/>
              </w:rPr>
              <w:t>12</w:t>
            </w:r>
            <w:r>
              <w:rPr>
                <w:rFonts w:hint="eastAsia" w:eastAsia="仿宋_GB2312"/>
                <w:color w:val="000000"/>
                <w:spacing w:val="-2"/>
                <w:szCs w:val="21"/>
              </w:rPr>
              <w:t>号</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宋</w:t>
            </w:r>
            <w:r>
              <w:rPr>
                <w:rFonts w:eastAsia="仿宋_GB2312"/>
                <w:color w:val="000000"/>
                <w:spacing w:val="-2"/>
                <w:szCs w:val="21"/>
              </w:rPr>
              <w:t xml:space="preserve">  </w:t>
            </w:r>
            <w:r>
              <w:rPr>
                <w:rFonts w:hint="eastAsia" w:eastAsia="仿宋_GB2312"/>
                <w:color w:val="000000"/>
                <w:spacing w:val="-2"/>
                <w:szCs w:val="21"/>
              </w:rPr>
              <w:t>凯</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0519-86960324</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restart"/>
            <w:tcBorders>
              <w:top w:val="single" w:color="000000" w:sz="4" w:space="0"/>
              <w:left w:val="single" w:color="auto" w:sz="8"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5</w:t>
            </w:r>
          </w:p>
        </w:tc>
        <w:tc>
          <w:tcPr>
            <w:tcW w:w="859" w:type="dxa"/>
            <w:vMerge w:val="restart"/>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苏州市</w:t>
            </w: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苏州市住建局建管处</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苏州市锦帆路</w:t>
            </w:r>
            <w:r>
              <w:rPr>
                <w:rFonts w:eastAsia="仿宋_GB2312"/>
                <w:color w:val="000000"/>
                <w:spacing w:val="-2"/>
                <w:szCs w:val="21"/>
              </w:rPr>
              <w:t>55</w:t>
            </w:r>
            <w:r>
              <w:rPr>
                <w:rFonts w:hint="eastAsia" w:eastAsia="仿宋_GB2312"/>
                <w:color w:val="000000"/>
                <w:spacing w:val="-2"/>
                <w:szCs w:val="21"/>
              </w:rPr>
              <w:t>号</w:t>
            </w:r>
            <w:r>
              <w:rPr>
                <w:rFonts w:eastAsia="仿宋_GB2312"/>
                <w:color w:val="000000"/>
                <w:spacing w:val="-2"/>
                <w:szCs w:val="21"/>
              </w:rPr>
              <w:t>507</w:t>
            </w:r>
            <w:r>
              <w:rPr>
                <w:rFonts w:hint="eastAsia" w:eastAsia="仿宋_GB2312"/>
                <w:color w:val="000000"/>
                <w:spacing w:val="-2"/>
                <w:szCs w:val="21"/>
              </w:rPr>
              <w:t>室</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黄伟康</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0512-65237809</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trHeight w:val="633" w:hRule="atLeas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苏州市住建局城建处</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苏州市锦帆路</w:t>
            </w:r>
            <w:r>
              <w:rPr>
                <w:rFonts w:eastAsia="仿宋_GB2312"/>
                <w:color w:val="000000"/>
                <w:spacing w:val="-2"/>
                <w:szCs w:val="21"/>
              </w:rPr>
              <w:t>211</w:t>
            </w:r>
            <w:r>
              <w:rPr>
                <w:rFonts w:hint="eastAsia" w:eastAsia="仿宋_GB2312"/>
                <w:color w:val="000000"/>
                <w:spacing w:val="-2"/>
                <w:szCs w:val="21"/>
              </w:rPr>
              <w:t>号</w:t>
            </w:r>
            <w:r>
              <w:rPr>
                <w:rFonts w:eastAsia="仿宋_GB2312"/>
                <w:color w:val="000000"/>
                <w:spacing w:val="-2"/>
                <w:szCs w:val="21"/>
              </w:rPr>
              <w:t>308</w:t>
            </w:r>
            <w:r>
              <w:rPr>
                <w:rFonts w:hint="eastAsia" w:eastAsia="仿宋_GB2312"/>
                <w:color w:val="000000"/>
                <w:spacing w:val="-2"/>
                <w:szCs w:val="21"/>
              </w:rPr>
              <w:t>室</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吴</w:t>
            </w:r>
            <w:r>
              <w:rPr>
                <w:rFonts w:eastAsia="仿宋_GB2312"/>
                <w:color w:val="000000"/>
                <w:spacing w:val="-2"/>
                <w:szCs w:val="21"/>
              </w:rPr>
              <w:t xml:space="preserve">  </w:t>
            </w:r>
            <w:r>
              <w:rPr>
                <w:rFonts w:hint="eastAsia" w:eastAsia="仿宋_GB2312"/>
                <w:color w:val="000000"/>
                <w:spacing w:val="-2"/>
                <w:szCs w:val="21"/>
              </w:rPr>
              <w:t>超</w:t>
            </w:r>
          </w:p>
          <w:p>
            <w:pPr>
              <w:ind w:left="-63" w:leftChars="-30" w:right="-63" w:rightChars="-30"/>
              <w:jc w:val="center"/>
              <w:rPr>
                <w:rFonts w:eastAsia="仿宋_GB2312"/>
                <w:color w:val="000000"/>
                <w:spacing w:val="-2"/>
                <w:szCs w:val="21"/>
              </w:rPr>
            </w:pPr>
            <w:r>
              <w:rPr>
                <w:rFonts w:hint="eastAsia" w:eastAsia="仿宋_GB2312"/>
                <w:color w:val="000000"/>
                <w:spacing w:val="-2"/>
                <w:szCs w:val="21"/>
              </w:rPr>
              <w:t>韩炳国</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0512-65113992</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相城区住建局建管处</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苏州市阳澄湖东路</w:t>
            </w:r>
            <w:r>
              <w:rPr>
                <w:rFonts w:eastAsia="仿宋_GB2312"/>
                <w:color w:val="000000"/>
                <w:spacing w:val="-2"/>
                <w:szCs w:val="21"/>
              </w:rPr>
              <w:t>8</w:t>
            </w:r>
            <w:r>
              <w:rPr>
                <w:rFonts w:hint="eastAsia" w:eastAsia="仿宋_GB2312"/>
                <w:color w:val="000000"/>
                <w:spacing w:val="-2"/>
                <w:szCs w:val="21"/>
              </w:rPr>
              <w:t>号相城区行政中心</w:t>
            </w:r>
            <w:r>
              <w:rPr>
                <w:rFonts w:eastAsia="仿宋_GB2312"/>
                <w:color w:val="000000"/>
                <w:spacing w:val="-2"/>
                <w:szCs w:val="21"/>
              </w:rPr>
              <w:t>6</w:t>
            </w:r>
            <w:r>
              <w:rPr>
                <w:rFonts w:hint="eastAsia" w:eastAsia="仿宋_GB2312"/>
                <w:color w:val="000000"/>
                <w:spacing w:val="-2"/>
                <w:szCs w:val="21"/>
              </w:rPr>
              <w:t>号楼</w:t>
            </w:r>
            <w:r>
              <w:rPr>
                <w:rFonts w:eastAsia="仿宋_GB2312"/>
                <w:color w:val="000000"/>
                <w:spacing w:val="-2"/>
                <w:szCs w:val="21"/>
              </w:rPr>
              <w:t>1</w:t>
            </w:r>
            <w:r>
              <w:rPr>
                <w:rFonts w:hint="eastAsia" w:eastAsia="仿宋_GB2312"/>
                <w:color w:val="000000"/>
                <w:spacing w:val="-2"/>
                <w:szCs w:val="21"/>
              </w:rPr>
              <w:t>楼</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濮晓华</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0512-85182390</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相城区住建局城市建设科</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苏州市阳澄湖东路</w:t>
            </w:r>
            <w:r>
              <w:rPr>
                <w:rFonts w:eastAsia="仿宋_GB2312"/>
                <w:color w:val="000000"/>
                <w:spacing w:val="-2"/>
                <w:szCs w:val="21"/>
              </w:rPr>
              <w:t>8</w:t>
            </w:r>
            <w:r>
              <w:rPr>
                <w:rFonts w:hint="eastAsia" w:eastAsia="仿宋_GB2312"/>
                <w:color w:val="000000"/>
                <w:spacing w:val="-2"/>
                <w:szCs w:val="21"/>
              </w:rPr>
              <w:t>号相城区行政中心</w:t>
            </w:r>
            <w:r>
              <w:rPr>
                <w:rFonts w:eastAsia="仿宋_GB2312"/>
                <w:color w:val="000000"/>
                <w:spacing w:val="-2"/>
                <w:szCs w:val="21"/>
              </w:rPr>
              <w:t>6</w:t>
            </w:r>
            <w:r>
              <w:rPr>
                <w:rFonts w:hint="eastAsia" w:eastAsia="仿宋_GB2312"/>
                <w:color w:val="000000"/>
                <w:spacing w:val="-2"/>
                <w:szCs w:val="21"/>
              </w:rPr>
              <w:t>号楼</w:t>
            </w:r>
            <w:r>
              <w:rPr>
                <w:rFonts w:eastAsia="仿宋_GB2312"/>
                <w:color w:val="000000"/>
                <w:spacing w:val="-2"/>
                <w:szCs w:val="21"/>
              </w:rPr>
              <w:t>2</w:t>
            </w:r>
            <w:r>
              <w:rPr>
                <w:rFonts w:hint="eastAsia" w:eastAsia="仿宋_GB2312"/>
                <w:color w:val="000000"/>
                <w:spacing w:val="-2"/>
                <w:szCs w:val="21"/>
              </w:rPr>
              <w:t>楼</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陆品辉</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13962172825</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吴中区住建局建筑业管理科</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苏州市吴中东路</w:t>
            </w:r>
            <w:r>
              <w:rPr>
                <w:rFonts w:eastAsia="仿宋_GB2312"/>
                <w:color w:val="000000"/>
                <w:spacing w:val="-2"/>
                <w:szCs w:val="21"/>
              </w:rPr>
              <w:t>169</w:t>
            </w:r>
            <w:r>
              <w:rPr>
                <w:rFonts w:hint="eastAsia" w:eastAsia="仿宋_GB2312"/>
                <w:color w:val="000000"/>
                <w:spacing w:val="-2"/>
                <w:szCs w:val="21"/>
              </w:rPr>
              <w:t>号建设大厦</w:t>
            </w:r>
            <w:r>
              <w:rPr>
                <w:rFonts w:eastAsia="仿宋_GB2312"/>
                <w:color w:val="000000"/>
                <w:spacing w:val="-2"/>
                <w:szCs w:val="21"/>
              </w:rPr>
              <w:t>602</w:t>
            </w:r>
            <w:r>
              <w:rPr>
                <w:rFonts w:hint="eastAsia" w:eastAsia="仿宋_GB2312"/>
                <w:color w:val="000000"/>
                <w:spacing w:val="-2"/>
                <w:szCs w:val="21"/>
              </w:rPr>
              <w:t>室</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秦</w:t>
            </w:r>
            <w:r>
              <w:rPr>
                <w:rFonts w:eastAsia="仿宋_GB2312"/>
                <w:color w:val="000000"/>
                <w:spacing w:val="-2"/>
                <w:szCs w:val="21"/>
              </w:rPr>
              <w:t xml:space="preserve">  </w:t>
            </w:r>
            <w:r>
              <w:rPr>
                <w:rFonts w:hint="eastAsia" w:eastAsia="仿宋_GB2312"/>
                <w:color w:val="000000"/>
                <w:spacing w:val="-2"/>
                <w:szCs w:val="21"/>
              </w:rPr>
              <w:t>麟</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0512-65286570</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姑苏区住建局建管处</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苏州市平川路</w:t>
            </w:r>
            <w:r>
              <w:rPr>
                <w:rFonts w:eastAsia="仿宋_GB2312"/>
                <w:color w:val="000000"/>
                <w:spacing w:val="-2"/>
                <w:szCs w:val="21"/>
              </w:rPr>
              <w:t>510</w:t>
            </w:r>
            <w:r>
              <w:rPr>
                <w:rFonts w:hint="eastAsia" w:eastAsia="仿宋_GB2312"/>
                <w:color w:val="000000"/>
                <w:spacing w:val="-2"/>
                <w:szCs w:val="21"/>
              </w:rPr>
              <w:t>号</w:t>
            </w:r>
            <w:r>
              <w:rPr>
                <w:rFonts w:eastAsia="仿宋_GB2312"/>
                <w:color w:val="000000"/>
                <w:spacing w:val="-2"/>
                <w:szCs w:val="21"/>
              </w:rPr>
              <w:t>3</w:t>
            </w:r>
            <w:r>
              <w:rPr>
                <w:rFonts w:hint="eastAsia" w:eastAsia="仿宋_GB2312"/>
                <w:color w:val="000000"/>
                <w:spacing w:val="-2"/>
                <w:szCs w:val="21"/>
              </w:rPr>
              <w:t>号楼</w:t>
            </w:r>
            <w:r>
              <w:rPr>
                <w:rFonts w:eastAsia="仿宋_GB2312"/>
                <w:color w:val="000000"/>
                <w:spacing w:val="-2"/>
                <w:szCs w:val="21"/>
              </w:rPr>
              <w:t>504</w:t>
            </w:r>
            <w:r>
              <w:rPr>
                <w:rFonts w:hint="eastAsia" w:eastAsia="仿宋_GB2312"/>
                <w:color w:val="000000"/>
                <w:spacing w:val="-2"/>
                <w:szCs w:val="21"/>
              </w:rPr>
              <w:t>室</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仇</w:t>
            </w:r>
            <w:r>
              <w:rPr>
                <w:rFonts w:eastAsia="仿宋_GB2312"/>
                <w:color w:val="000000"/>
                <w:spacing w:val="-2"/>
                <w:szCs w:val="21"/>
              </w:rPr>
              <w:t xml:space="preserve">  </w:t>
            </w:r>
            <w:r>
              <w:rPr>
                <w:rFonts w:hint="eastAsia" w:eastAsia="仿宋_GB2312"/>
                <w:color w:val="000000"/>
                <w:spacing w:val="-2"/>
                <w:szCs w:val="21"/>
              </w:rPr>
              <w:t>宁</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0512-65340527</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高新区住建局建管处</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苏州高新区科技城科普路</w:t>
            </w:r>
            <w:r>
              <w:rPr>
                <w:rFonts w:eastAsia="仿宋_GB2312"/>
                <w:color w:val="000000"/>
                <w:spacing w:val="-2"/>
                <w:szCs w:val="21"/>
              </w:rPr>
              <w:t>58</w:t>
            </w:r>
            <w:r>
              <w:rPr>
                <w:rFonts w:hint="eastAsia" w:eastAsia="仿宋_GB2312"/>
                <w:color w:val="000000"/>
                <w:spacing w:val="-2"/>
                <w:szCs w:val="21"/>
              </w:rPr>
              <w:t>号（新区管委会）</w:t>
            </w:r>
            <w:r>
              <w:rPr>
                <w:rFonts w:eastAsia="仿宋_GB2312"/>
                <w:color w:val="000000"/>
                <w:spacing w:val="-2"/>
                <w:szCs w:val="21"/>
              </w:rPr>
              <w:t>504</w:t>
            </w:r>
            <w:r>
              <w:rPr>
                <w:rFonts w:hint="eastAsia" w:eastAsia="仿宋_GB2312"/>
                <w:color w:val="000000"/>
                <w:spacing w:val="-2"/>
                <w:szCs w:val="21"/>
              </w:rPr>
              <w:t>室</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李</w:t>
            </w:r>
            <w:r>
              <w:rPr>
                <w:rFonts w:eastAsia="仿宋_GB2312"/>
                <w:color w:val="000000"/>
                <w:spacing w:val="-2"/>
                <w:szCs w:val="21"/>
              </w:rPr>
              <w:t xml:space="preserve">  </w:t>
            </w:r>
            <w:r>
              <w:rPr>
                <w:rFonts w:hint="eastAsia" w:eastAsia="仿宋_GB2312"/>
                <w:color w:val="000000"/>
                <w:spacing w:val="-2"/>
                <w:szCs w:val="21"/>
              </w:rPr>
              <w:t>成</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0512-68750572</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常熟市住建局建筑管理处建筑管理科</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常熟市黄河路</w:t>
            </w:r>
            <w:r>
              <w:rPr>
                <w:rFonts w:eastAsia="仿宋_GB2312"/>
                <w:color w:val="000000"/>
                <w:spacing w:val="-2"/>
                <w:szCs w:val="21"/>
              </w:rPr>
              <w:t>219-1</w:t>
            </w:r>
            <w:r>
              <w:rPr>
                <w:rFonts w:hint="eastAsia" w:eastAsia="仿宋_GB2312"/>
                <w:color w:val="000000"/>
                <w:spacing w:val="-2"/>
                <w:szCs w:val="21"/>
              </w:rPr>
              <w:t>号</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徐俊彦</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0512-52882544</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常熟市住建局市政公用事业管理处</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常熟市环城东路</w:t>
            </w:r>
            <w:r>
              <w:rPr>
                <w:rFonts w:eastAsia="仿宋_GB2312"/>
                <w:color w:val="000000"/>
                <w:spacing w:val="-2"/>
                <w:szCs w:val="21"/>
              </w:rPr>
              <w:t>42</w:t>
            </w:r>
            <w:r>
              <w:rPr>
                <w:rFonts w:hint="eastAsia" w:eastAsia="仿宋_GB2312"/>
                <w:color w:val="000000"/>
                <w:spacing w:val="-2"/>
                <w:szCs w:val="21"/>
              </w:rPr>
              <w:t>号工程科</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顾</w:t>
            </w:r>
            <w:r>
              <w:rPr>
                <w:rFonts w:eastAsia="仿宋_GB2312"/>
                <w:color w:val="000000"/>
                <w:spacing w:val="-2"/>
                <w:szCs w:val="21"/>
              </w:rPr>
              <w:t xml:space="preserve">  </w:t>
            </w:r>
            <w:r>
              <w:rPr>
                <w:rFonts w:hint="eastAsia" w:eastAsia="仿宋_GB2312"/>
                <w:color w:val="000000"/>
                <w:spacing w:val="-2"/>
                <w:szCs w:val="21"/>
              </w:rPr>
              <w:t>尧</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13862253211</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张家港市住建局人事教育科（张家港市建筑教育培训中心）</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张家港市北二环路（国泰路东</w:t>
            </w:r>
            <w:r>
              <w:rPr>
                <w:rFonts w:eastAsia="仿宋_GB2312"/>
                <w:color w:val="000000"/>
                <w:spacing w:val="-2"/>
                <w:szCs w:val="21"/>
              </w:rPr>
              <w:t>20M</w:t>
            </w:r>
            <w:r>
              <w:rPr>
                <w:rFonts w:hint="eastAsia" w:eastAsia="仿宋_GB2312"/>
                <w:color w:val="000000"/>
                <w:spacing w:val="-2"/>
                <w:szCs w:val="21"/>
              </w:rPr>
              <w:t>）</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钱</w:t>
            </w:r>
            <w:r>
              <w:rPr>
                <w:rFonts w:eastAsia="仿宋_GB2312"/>
                <w:color w:val="000000"/>
                <w:spacing w:val="-2"/>
                <w:szCs w:val="21"/>
              </w:rPr>
              <w:t xml:space="preserve">  </w:t>
            </w:r>
            <w:r>
              <w:rPr>
                <w:rFonts w:hint="eastAsia" w:eastAsia="仿宋_GB2312"/>
                <w:color w:val="000000"/>
                <w:spacing w:val="-2"/>
                <w:szCs w:val="21"/>
              </w:rPr>
              <w:t>荔</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0512-82598055</w:t>
            </w:r>
          </w:p>
          <w:p>
            <w:pPr>
              <w:ind w:left="-63" w:leftChars="-30" w:right="-63" w:rightChars="-30"/>
              <w:jc w:val="center"/>
              <w:rPr>
                <w:rFonts w:eastAsia="仿宋_GB2312"/>
                <w:color w:val="000000"/>
                <w:spacing w:val="-2"/>
                <w:szCs w:val="21"/>
              </w:rPr>
            </w:pPr>
            <w:r>
              <w:rPr>
                <w:rFonts w:eastAsia="仿宋_GB2312"/>
                <w:color w:val="000000"/>
                <w:spacing w:val="-2"/>
                <w:szCs w:val="21"/>
              </w:rPr>
              <w:t>13952449909</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太仓市住建局建管科</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太仓市郑和西路</w:t>
            </w:r>
            <w:r>
              <w:rPr>
                <w:rFonts w:eastAsia="仿宋_GB2312"/>
                <w:color w:val="000000"/>
                <w:spacing w:val="-2"/>
                <w:szCs w:val="21"/>
              </w:rPr>
              <w:t>29</w:t>
            </w:r>
            <w:r>
              <w:rPr>
                <w:rFonts w:hint="eastAsia" w:eastAsia="仿宋_GB2312"/>
                <w:color w:val="000000"/>
                <w:spacing w:val="-2"/>
                <w:szCs w:val="21"/>
              </w:rPr>
              <w:t>号</w:t>
            </w:r>
            <w:r>
              <w:rPr>
                <w:rFonts w:eastAsia="仿宋_GB2312"/>
                <w:color w:val="000000"/>
                <w:spacing w:val="-2"/>
                <w:szCs w:val="21"/>
              </w:rPr>
              <w:t>207</w:t>
            </w:r>
            <w:r>
              <w:rPr>
                <w:rFonts w:hint="eastAsia" w:eastAsia="仿宋_GB2312"/>
                <w:color w:val="000000"/>
                <w:spacing w:val="-2"/>
                <w:szCs w:val="21"/>
              </w:rPr>
              <w:t>室</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芮</w:t>
            </w:r>
            <w:r>
              <w:rPr>
                <w:rFonts w:eastAsia="仿宋_GB2312"/>
                <w:color w:val="000000"/>
                <w:spacing w:val="-2"/>
                <w:szCs w:val="21"/>
              </w:rPr>
              <w:t xml:space="preserve">  </w:t>
            </w:r>
            <w:r>
              <w:rPr>
                <w:rFonts w:hint="eastAsia" w:eastAsia="仿宋_GB2312"/>
                <w:color w:val="000000"/>
                <w:spacing w:val="-2"/>
                <w:szCs w:val="21"/>
              </w:rPr>
              <w:t>枫</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0512-53522704</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太仓市住建局市政科</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太仓市郑和西路</w:t>
            </w:r>
            <w:r>
              <w:rPr>
                <w:rFonts w:eastAsia="仿宋_GB2312"/>
                <w:color w:val="000000"/>
                <w:spacing w:val="-2"/>
                <w:szCs w:val="21"/>
              </w:rPr>
              <w:t>29</w:t>
            </w:r>
            <w:r>
              <w:rPr>
                <w:rFonts w:hint="eastAsia" w:eastAsia="仿宋_GB2312"/>
                <w:color w:val="000000"/>
                <w:spacing w:val="-2"/>
                <w:szCs w:val="21"/>
              </w:rPr>
              <w:t>号</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马雪峰</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13952422190</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吴江区住建局工程建设科</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苏州市吴江区松陵镇笠泽路</w:t>
            </w:r>
            <w:r>
              <w:rPr>
                <w:rFonts w:eastAsia="仿宋_GB2312"/>
                <w:color w:val="000000"/>
                <w:spacing w:val="-2"/>
                <w:szCs w:val="21"/>
              </w:rPr>
              <w:t>551</w:t>
            </w:r>
            <w:r>
              <w:rPr>
                <w:rFonts w:hint="eastAsia" w:eastAsia="仿宋_GB2312"/>
                <w:color w:val="000000"/>
                <w:spacing w:val="-2"/>
                <w:szCs w:val="21"/>
              </w:rPr>
              <w:t>号</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徐国华</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0512-63485845</w:t>
            </w:r>
          </w:p>
          <w:p>
            <w:pPr>
              <w:ind w:left="-63" w:leftChars="-30" w:right="-63" w:rightChars="-30"/>
              <w:jc w:val="center"/>
              <w:rPr>
                <w:rFonts w:eastAsia="仿宋_GB2312"/>
                <w:color w:val="000000"/>
                <w:spacing w:val="-2"/>
                <w:szCs w:val="21"/>
              </w:rPr>
            </w:pPr>
            <w:r>
              <w:rPr>
                <w:rFonts w:eastAsia="仿宋_GB2312"/>
                <w:color w:val="000000"/>
                <w:spacing w:val="-2"/>
                <w:szCs w:val="21"/>
              </w:rPr>
              <w:t>13862191999</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吴江区住建局市政处</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苏州市吴江区松陵镇笠泽路</w:t>
            </w:r>
            <w:r>
              <w:rPr>
                <w:rFonts w:eastAsia="仿宋_GB2312"/>
                <w:color w:val="000000"/>
                <w:spacing w:val="-2"/>
                <w:szCs w:val="21"/>
              </w:rPr>
              <w:t>552</w:t>
            </w:r>
            <w:r>
              <w:rPr>
                <w:rFonts w:hint="eastAsia" w:eastAsia="仿宋_GB2312"/>
                <w:color w:val="000000"/>
                <w:spacing w:val="-2"/>
                <w:szCs w:val="21"/>
              </w:rPr>
              <w:t>号</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叶卫强</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15906228889</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trHeight w:val="764" w:hRule="atLeas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苏州工业园区规划建设局</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苏州市现代大道</w:t>
            </w:r>
            <w:r>
              <w:rPr>
                <w:rFonts w:eastAsia="仿宋_GB2312"/>
                <w:color w:val="000000"/>
                <w:spacing w:val="-2"/>
                <w:szCs w:val="21"/>
              </w:rPr>
              <w:t>999</w:t>
            </w:r>
            <w:r>
              <w:rPr>
                <w:rFonts w:hint="eastAsia" w:eastAsia="仿宋_GB2312"/>
                <w:color w:val="000000"/>
                <w:spacing w:val="-2"/>
                <w:szCs w:val="21"/>
              </w:rPr>
              <w:t>号工业园区一站式服务中心建设窗口</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潘海权</w:t>
            </w:r>
          </w:p>
          <w:p>
            <w:pPr>
              <w:ind w:left="-63" w:leftChars="-30" w:right="-63" w:rightChars="-30"/>
              <w:jc w:val="center"/>
              <w:rPr>
                <w:rFonts w:eastAsia="仿宋_GB2312"/>
                <w:color w:val="000000"/>
                <w:spacing w:val="-2"/>
                <w:szCs w:val="21"/>
              </w:rPr>
            </w:pPr>
            <w:r>
              <w:rPr>
                <w:rFonts w:hint="eastAsia" w:eastAsia="仿宋_GB2312"/>
                <w:color w:val="000000"/>
                <w:spacing w:val="-2"/>
                <w:szCs w:val="21"/>
              </w:rPr>
              <w:t>钟</w:t>
            </w:r>
            <w:r>
              <w:rPr>
                <w:rFonts w:eastAsia="仿宋_GB2312"/>
                <w:color w:val="000000"/>
                <w:spacing w:val="-2"/>
                <w:szCs w:val="21"/>
              </w:rPr>
              <w:t xml:space="preserve">  </w:t>
            </w:r>
            <w:r>
              <w:rPr>
                <w:rFonts w:hint="eastAsia" w:eastAsia="仿宋_GB2312"/>
                <w:color w:val="000000"/>
                <w:spacing w:val="-2"/>
                <w:szCs w:val="21"/>
              </w:rPr>
              <w:t>锐</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0512-66680723</w:t>
            </w:r>
          </w:p>
          <w:p>
            <w:pPr>
              <w:ind w:left="-63" w:leftChars="-30" w:right="-63" w:rightChars="-30"/>
              <w:jc w:val="center"/>
              <w:rPr>
                <w:rFonts w:eastAsia="仿宋_GB2312"/>
                <w:color w:val="000000"/>
                <w:spacing w:val="-2"/>
                <w:szCs w:val="21"/>
              </w:rPr>
            </w:pPr>
            <w:r>
              <w:rPr>
                <w:rFonts w:eastAsia="仿宋_GB2312"/>
                <w:color w:val="000000"/>
                <w:spacing w:val="-2"/>
                <w:szCs w:val="21"/>
              </w:rPr>
              <w:t>0512-66680733</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trHeight w:val="593" w:hRule="atLeas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张家港保税区住建局建筑业管理处</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张家港保税区长江大厦</w:t>
            </w:r>
            <w:r>
              <w:rPr>
                <w:rFonts w:eastAsia="仿宋_GB2312"/>
                <w:color w:val="000000"/>
                <w:spacing w:val="-2"/>
                <w:szCs w:val="21"/>
              </w:rPr>
              <w:t>1202</w:t>
            </w:r>
            <w:r>
              <w:rPr>
                <w:rFonts w:hint="eastAsia" w:eastAsia="仿宋_GB2312"/>
                <w:color w:val="000000"/>
                <w:spacing w:val="-2"/>
                <w:szCs w:val="21"/>
              </w:rPr>
              <w:t>室</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袁</w:t>
            </w:r>
            <w:r>
              <w:rPr>
                <w:rFonts w:eastAsia="仿宋_GB2312"/>
                <w:color w:val="000000"/>
                <w:spacing w:val="-2"/>
                <w:szCs w:val="21"/>
              </w:rPr>
              <w:t xml:space="preserve">  </w:t>
            </w:r>
            <w:r>
              <w:rPr>
                <w:rFonts w:hint="eastAsia" w:eastAsia="仿宋_GB2312"/>
                <w:color w:val="000000"/>
                <w:spacing w:val="-2"/>
                <w:szCs w:val="21"/>
              </w:rPr>
              <w:t>涛</w:t>
            </w:r>
          </w:p>
          <w:p>
            <w:pPr>
              <w:ind w:left="-63" w:leftChars="-30" w:right="-63" w:rightChars="-30"/>
              <w:jc w:val="center"/>
              <w:rPr>
                <w:rFonts w:eastAsia="仿宋_GB2312"/>
                <w:color w:val="000000"/>
                <w:spacing w:val="-2"/>
                <w:szCs w:val="21"/>
              </w:rPr>
            </w:pPr>
            <w:r>
              <w:rPr>
                <w:rFonts w:hint="eastAsia" w:eastAsia="仿宋_GB2312"/>
                <w:color w:val="000000"/>
                <w:spacing w:val="-2"/>
                <w:szCs w:val="21"/>
              </w:rPr>
              <w:t>陈忠保</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0512-58320311</w:t>
            </w:r>
          </w:p>
          <w:p>
            <w:pPr>
              <w:ind w:left="-63" w:leftChars="-30" w:right="-63" w:rightChars="-30"/>
              <w:jc w:val="center"/>
              <w:rPr>
                <w:rFonts w:eastAsia="仿宋_GB2312"/>
                <w:color w:val="000000"/>
                <w:spacing w:val="-2"/>
                <w:szCs w:val="21"/>
              </w:rPr>
            </w:pPr>
            <w:r>
              <w:rPr>
                <w:rFonts w:eastAsia="仿宋_GB2312"/>
                <w:color w:val="000000"/>
                <w:spacing w:val="-2"/>
                <w:szCs w:val="21"/>
              </w:rPr>
              <w:t>0512-58320096</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restart"/>
            <w:tcBorders>
              <w:top w:val="single" w:color="000000" w:sz="4" w:space="0"/>
              <w:left w:val="single" w:color="auto" w:sz="8"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6</w:t>
            </w:r>
          </w:p>
        </w:tc>
        <w:tc>
          <w:tcPr>
            <w:tcW w:w="859" w:type="dxa"/>
            <w:vMerge w:val="restart"/>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南通市</w:t>
            </w: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南通市建设执业资格注册中心</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南通市中远路</w:t>
            </w:r>
            <w:r>
              <w:rPr>
                <w:rFonts w:eastAsia="仿宋_GB2312"/>
                <w:color w:val="000000"/>
                <w:spacing w:val="-2"/>
                <w:szCs w:val="21"/>
              </w:rPr>
              <w:t>99</w:t>
            </w:r>
            <w:r>
              <w:rPr>
                <w:rFonts w:hint="eastAsia" w:eastAsia="仿宋_GB2312"/>
                <w:color w:val="000000"/>
                <w:spacing w:val="-2"/>
                <w:szCs w:val="21"/>
              </w:rPr>
              <w:t>号</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李婷婷</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0513-83503761</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通州区建筑工程管理局</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通州区金通路</w:t>
            </w:r>
            <w:r>
              <w:rPr>
                <w:rFonts w:eastAsia="仿宋_GB2312"/>
                <w:color w:val="000000"/>
                <w:spacing w:val="-2"/>
                <w:szCs w:val="21"/>
              </w:rPr>
              <w:t>71</w:t>
            </w:r>
            <w:r>
              <w:rPr>
                <w:rFonts w:hint="eastAsia" w:eastAsia="仿宋_GB2312"/>
                <w:color w:val="000000"/>
                <w:spacing w:val="-2"/>
                <w:szCs w:val="21"/>
              </w:rPr>
              <w:t>号</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季建文</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0513-86512960</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如东县建筑工程管理局</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如东县掘港镇建设大厦</w:t>
            </w:r>
            <w:r>
              <w:rPr>
                <w:rFonts w:eastAsia="仿宋_GB2312"/>
                <w:color w:val="000000"/>
                <w:spacing w:val="-2"/>
                <w:szCs w:val="21"/>
              </w:rPr>
              <w:t>709</w:t>
            </w:r>
            <w:r>
              <w:rPr>
                <w:rFonts w:hint="eastAsia" w:eastAsia="仿宋_GB2312"/>
                <w:color w:val="000000"/>
                <w:spacing w:val="-2"/>
                <w:szCs w:val="21"/>
              </w:rPr>
              <w:t>室</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顾</w:t>
            </w:r>
            <w:r>
              <w:rPr>
                <w:rFonts w:eastAsia="仿宋_GB2312"/>
                <w:color w:val="000000"/>
                <w:spacing w:val="-2"/>
                <w:szCs w:val="21"/>
              </w:rPr>
              <w:t xml:space="preserve">  </w:t>
            </w:r>
            <w:r>
              <w:rPr>
                <w:rFonts w:hint="eastAsia" w:eastAsia="仿宋_GB2312"/>
                <w:color w:val="000000"/>
                <w:spacing w:val="-2"/>
                <w:szCs w:val="21"/>
              </w:rPr>
              <w:t>晶</w:t>
            </w:r>
          </w:p>
          <w:p>
            <w:pPr>
              <w:ind w:left="-63" w:leftChars="-30" w:right="-63" w:rightChars="-30"/>
              <w:jc w:val="center"/>
              <w:rPr>
                <w:rFonts w:eastAsia="仿宋_GB2312"/>
                <w:color w:val="000000"/>
                <w:spacing w:val="-2"/>
                <w:szCs w:val="21"/>
              </w:rPr>
            </w:pPr>
            <w:r>
              <w:rPr>
                <w:rFonts w:hint="eastAsia" w:eastAsia="仿宋_GB2312"/>
                <w:color w:val="000000"/>
                <w:spacing w:val="-2"/>
                <w:szCs w:val="21"/>
              </w:rPr>
              <w:t>陈雪琴</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0513-88155252</w:t>
            </w:r>
          </w:p>
          <w:p>
            <w:pPr>
              <w:ind w:left="-63" w:leftChars="-30" w:right="-63" w:rightChars="-30"/>
              <w:jc w:val="center"/>
              <w:rPr>
                <w:rFonts w:eastAsia="仿宋_GB2312"/>
                <w:color w:val="000000"/>
                <w:spacing w:val="-2"/>
                <w:szCs w:val="21"/>
              </w:rPr>
            </w:pPr>
            <w:r>
              <w:rPr>
                <w:rFonts w:eastAsia="仿宋_GB2312"/>
                <w:color w:val="000000"/>
                <w:spacing w:val="-2"/>
                <w:szCs w:val="21"/>
              </w:rPr>
              <w:t>0513-88155251</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海安县建筑工程管理局</w:t>
            </w:r>
          </w:p>
          <w:p>
            <w:pPr>
              <w:ind w:left="-63" w:leftChars="-30" w:right="-63" w:rightChars="-30"/>
              <w:rPr>
                <w:rFonts w:eastAsia="仿宋_GB2312"/>
                <w:color w:val="000000"/>
                <w:spacing w:val="-2"/>
                <w:szCs w:val="21"/>
              </w:rPr>
            </w:pP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海安镇中坝南路</w:t>
            </w:r>
            <w:r>
              <w:rPr>
                <w:rFonts w:eastAsia="仿宋_GB2312"/>
                <w:color w:val="000000"/>
                <w:spacing w:val="-2"/>
                <w:szCs w:val="21"/>
              </w:rPr>
              <w:t>18</w:t>
            </w:r>
            <w:r>
              <w:rPr>
                <w:rFonts w:hint="eastAsia" w:eastAsia="仿宋_GB2312"/>
                <w:color w:val="000000"/>
                <w:spacing w:val="-2"/>
                <w:szCs w:val="21"/>
              </w:rPr>
              <w:t>号</w:t>
            </w:r>
            <w:r>
              <w:rPr>
                <w:rFonts w:eastAsia="仿宋_GB2312"/>
                <w:color w:val="000000"/>
                <w:spacing w:val="-2"/>
                <w:szCs w:val="21"/>
              </w:rPr>
              <w:t>25</w:t>
            </w:r>
            <w:r>
              <w:rPr>
                <w:rFonts w:hint="eastAsia" w:eastAsia="仿宋_GB2312"/>
                <w:color w:val="000000"/>
                <w:spacing w:val="-2"/>
                <w:szCs w:val="21"/>
              </w:rPr>
              <w:t>层</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王</w:t>
            </w:r>
            <w:r>
              <w:rPr>
                <w:rFonts w:eastAsia="仿宋_GB2312"/>
                <w:color w:val="000000"/>
                <w:spacing w:val="-2"/>
                <w:szCs w:val="21"/>
              </w:rPr>
              <w:t xml:space="preserve">  </w:t>
            </w:r>
            <w:r>
              <w:rPr>
                <w:rFonts w:hint="eastAsia" w:eastAsia="仿宋_GB2312"/>
                <w:color w:val="000000"/>
                <w:spacing w:val="-2"/>
                <w:szCs w:val="21"/>
              </w:rPr>
              <w:t>红</w:t>
            </w:r>
          </w:p>
          <w:p>
            <w:pPr>
              <w:ind w:left="-63" w:leftChars="-30" w:right="-63" w:rightChars="-30"/>
              <w:jc w:val="center"/>
              <w:rPr>
                <w:rFonts w:eastAsia="仿宋_GB2312"/>
                <w:color w:val="000000"/>
                <w:spacing w:val="-2"/>
                <w:szCs w:val="21"/>
              </w:rPr>
            </w:pPr>
            <w:r>
              <w:rPr>
                <w:rFonts w:hint="eastAsia" w:eastAsia="仿宋_GB2312"/>
                <w:color w:val="000000"/>
                <w:spacing w:val="-2"/>
                <w:szCs w:val="21"/>
              </w:rPr>
              <w:t>薛</w:t>
            </w:r>
            <w:r>
              <w:rPr>
                <w:rFonts w:eastAsia="仿宋_GB2312"/>
                <w:color w:val="000000"/>
                <w:spacing w:val="-2"/>
                <w:szCs w:val="21"/>
              </w:rPr>
              <w:t xml:space="preserve">  </w:t>
            </w:r>
            <w:r>
              <w:rPr>
                <w:rFonts w:hint="eastAsia" w:eastAsia="仿宋_GB2312"/>
                <w:color w:val="000000"/>
                <w:spacing w:val="-2"/>
                <w:szCs w:val="21"/>
              </w:rPr>
              <w:t>峰</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0513-88826149</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海门市建筑工程管理局行管科</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海门市北京中路</w:t>
            </w:r>
            <w:r>
              <w:rPr>
                <w:rFonts w:eastAsia="仿宋_GB2312"/>
                <w:color w:val="000000"/>
                <w:spacing w:val="-2"/>
                <w:szCs w:val="21"/>
              </w:rPr>
              <w:t>600</w:t>
            </w:r>
            <w:r>
              <w:rPr>
                <w:rFonts w:hint="eastAsia" w:eastAsia="仿宋_GB2312"/>
                <w:color w:val="000000"/>
                <w:spacing w:val="-2"/>
                <w:szCs w:val="21"/>
              </w:rPr>
              <w:t>号</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吴桠铭</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0513-68908029</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如皋市建筑工程管理局</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如皋市市民服务中心一楼建工局窗口</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王胡祥</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0513-87289310</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如皋市建筑工程管理局行管科</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如皋市行政中心</w:t>
            </w:r>
            <w:r>
              <w:rPr>
                <w:rFonts w:eastAsia="仿宋_GB2312"/>
                <w:color w:val="000000"/>
                <w:spacing w:val="-2"/>
                <w:szCs w:val="21"/>
              </w:rPr>
              <w:t>B</w:t>
            </w:r>
            <w:r>
              <w:rPr>
                <w:rFonts w:hint="eastAsia" w:eastAsia="仿宋_GB2312"/>
                <w:color w:val="000000"/>
                <w:spacing w:val="-2"/>
                <w:szCs w:val="21"/>
              </w:rPr>
              <w:t>座</w:t>
            </w:r>
            <w:r>
              <w:rPr>
                <w:rFonts w:eastAsia="仿宋_GB2312"/>
                <w:color w:val="000000"/>
                <w:spacing w:val="-2"/>
                <w:szCs w:val="21"/>
              </w:rPr>
              <w:t>5</w:t>
            </w:r>
            <w:r>
              <w:rPr>
                <w:rFonts w:hint="eastAsia" w:eastAsia="仿宋_GB2312"/>
                <w:color w:val="000000"/>
                <w:spacing w:val="-2"/>
                <w:szCs w:val="21"/>
              </w:rPr>
              <w:t>楼</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陈</w:t>
            </w:r>
            <w:r>
              <w:rPr>
                <w:rFonts w:eastAsia="仿宋_GB2312"/>
                <w:color w:val="000000"/>
                <w:spacing w:val="-2"/>
                <w:szCs w:val="21"/>
              </w:rPr>
              <w:t xml:space="preserve">  </w:t>
            </w:r>
            <w:r>
              <w:rPr>
                <w:rFonts w:hint="eastAsia" w:eastAsia="仿宋_GB2312"/>
                <w:color w:val="000000"/>
                <w:spacing w:val="-2"/>
                <w:szCs w:val="21"/>
              </w:rPr>
              <w:t>骏</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0513-87288806</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启东市住建局教育培训科</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启东市公园中路</w:t>
            </w:r>
            <w:r>
              <w:rPr>
                <w:rFonts w:eastAsia="仿宋_GB2312"/>
                <w:color w:val="000000"/>
                <w:spacing w:val="-2"/>
                <w:szCs w:val="21"/>
              </w:rPr>
              <w:t>842</w:t>
            </w:r>
            <w:r>
              <w:rPr>
                <w:rFonts w:hint="eastAsia" w:eastAsia="仿宋_GB2312"/>
                <w:color w:val="000000"/>
                <w:spacing w:val="-2"/>
                <w:szCs w:val="21"/>
              </w:rPr>
              <w:t>号</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沈瑾瑜</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0513-83316682</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tcBorders>
              <w:top w:val="single" w:color="000000" w:sz="4" w:space="0"/>
              <w:left w:val="single" w:color="auto" w:sz="8"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7</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连云港市</w:t>
            </w: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连云港市建设培训中心</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连云港市海州区朝阳东路凤凰大道</w:t>
            </w:r>
            <w:r>
              <w:rPr>
                <w:rFonts w:eastAsia="仿宋_GB2312"/>
                <w:color w:val="000000"/>
                <w:spacing w:val="-2"/>
                <w:szCs w:val="21"/>
              </w:rPr>
              <w:t>1</w:t>
            </w:r>
            <w:r>
              <w:rPr>
                <w:rFonts w:hint="eastAsia" w:eastAsia="仿宋_GB2312"/>
                <w:color w:val="000000"/>
                <w:spacing w:val="-2"/>
                <w:szCs w:val="21"/>
              </w:rPr>
              <w:t>号港城新世界</w:t>
            </w:r>
            <w:r>
              <w:rPr>
                <w:rFonts w:eastAsia="仿宋_GB2312"/>
                <w:color w:val="000000"/>
                <w:spacing w:val="-2"/>
                <w:szCs w:val="21"/>
              </w:rPr>
              <w:t>3</w:t>
            </w:r>
            <w:r>
              <w:rPr>
                <w:rFonts w:hint="eastAsia" w:eastAsia="仿宋_GB2312"/>
                <w:color w:val="000000"/>
                <w:spacing w:val="-2"/>
                <w:szCs w:val="21"/>
              </w:rPr>
              <w:t>号楼</w:t>
            </w:r>
            <w:r>
              <w:rPr>
                <w:rFonts w:eastAsia="仿宋_GB2312"/>
                <w:color w:val="000000"/>
                <w:spacing w:val="-2"/>
                <w:szCs w:val="21"/>
              </w:rPr>
              <w:t xml:space="preserve"> 219</w:t>
            </w:r>
            <w:r>
              <w:rPr>
                <w:rFonts w:hint="eastAsia" w:eastAsia="仿宋_GB2312"/>
                <w:color w:val="000000"/>
                <w:spacing w:val="-2"/>
                <w:szCs w:val="21"/>
              </w:rPr>
              <w:t>室</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周同柱</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0518-85516163</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tcBorders>
              <w:top w:val="single" w:color="000000" w:sz="4" w:space="0"/>
              <w:left w:val="single" w:color="auto" w:sz="8"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8</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淮安市</w:t>
            </w: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淮安市住房城乡建设局宣教中心</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淮安市北京北路</w:t>
            </w:r>
            <w:r>
              <w:rPr>
                <w:rFonts w:eastAsia="仿宋_GB2312"/>
                <w:color w:val="000000"/>
                <w:spacing w:val="-2"/>
                <w:szCs w:val="21"/>
              </w:rPr>
              <w:t>112</w:t>
            </w:r>
            <w:r>
              <w:rPr>
                <w:rFonts w:hint="eastAsia" w:eastAsia="仿宋_GB2312"/>
                <w:color w:val="000000"/>
                <w:spacing w:val="-2"/>
                <w:szCs w:val="21"/>
              </w:rPr>
              <w:t>号建设大厦</w:t>
            </w:r>
            <w:r>
              <w:rPr>
                <w:rFonts w:eastAsia="仿宋_GB2312"/>
                <w:color w:val="000000"/>
                <w:spacing w:val="-2"/>
                <w:szCs w:val="21"/>
              </w:rPr>
              <w:t>501</w:t>
            </w:r>
            <w:r>
              <w:rPr>
                <w:rFonts w:hint="eastAsia" w:eastAsia="仿宋_GB2312"/>
                <w:color w:val="000000"/>
                <w:spacing w:val="-2"/>
                <w:szCs w:val="21"/>
              </w:rPr>
              <w:t>、</w:t>
            </w:r>
            <w:r>
              <w:rPr>
                <w:rFonts w:eastAsia="仿宋_GB2312"/>
                <w:color w:val="000000"/>
                <w:spacing w:val="-2"/>
                <w:szCs w:val="21"/>
              </w:rPr>
              <w:t>503</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张正芹</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0517-83661643</w:t>
            </w:r>
          </w:p>
          <w:p>
            <w:pPr>
              <w:ind w:left="-63" w:leftChars="-30" w:right="-63" w:rightChars="-30"/>
              <w:jc w:val="center"/>
              <w:rPr>
                <w:rFonts w:eastAsia="仿宋_GB2312"/>
                <w:color w:val="000000"/>
                <w:spacing w:val="-2"/>
                <w:szCs w:val="21"/>
              </w:rPr>
            </w:pPr>
            <w:r>
              <w:rPr>
                <w:rFonts w:eastAsia="仿宋_GB2312"/>
                <w:color w:val="000000"/>
                <w:spacing w:val="-2"/>
                <w:szCs w:val="21"/>
              </w:rPr>
              <w:t>0517-83662603</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restart"/>
            <w:tcBorders>
              <w:top w:val="single" w:color="000000" w:sz="4" w:space="0"/>
              <w:left w:val="single" w:color="auto" w:sz="8"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9</w:t>
            </w:r>
          </w:p>
        </w:tc>
        <w:tc>
          <w:tcPr>
            <w:tcW w:w="859" w:type="dxa"/>
            <w:vMerge w:val="restart"/>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盐城市</w:t>
            </w: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tabs>
                <w:tab w:val="left" w:pos="765"/>
              </w:tabs>
              <w:ind w:left="-63" w:leftChars="-30" w:right="-63" w:rightChars="-30"/>
              <w:rPr>
                <w:rFonts w:eastAsia="仿宋_GB2312"/>
                <w:color w:val="000000"/>
                <w:spacing w:val="-2"/>
                <w:szCs w:val="21"/>
              </w:rPr>
            </w:pPr>
            <w:r>
              <w:rPr>
                <w:rFonts w:hint="eastAsia" w:eastAsia="仿宋_GB2312"/>
                <w:color w:val="000000"/>
                <w:spacing w:val="-2"/>
                <w:szCs w:val="21"/>
              </w:rPr>
              <w:t>盐城市城乡建设局建设职工教育培训办公室</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盐城市高职园区西环路与蓝海路交界处盐城建筑工程学校内</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顾庆荣</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0515-89966505</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东台市住建局建工科</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东台市广场路</w:t>
            </w:r>
            <w:r>
              <w:rPr>
                <w:rFonts w:eastAsia="仿宋_GB2312"/>
                <w:color w:val="000000"/>
                <w:spacing w:val="-2"/>
                <w:szCs w:val="21"/>
              </w:rPr>
              <w:t>8</w:t>
            </w:r>
            <w:r>
              <w:rPr>
                <w:rFonts w:hint="eastAsia" w:eastAsia="仿宋_GB2312"/>
                <w:color w:val="000000"/>
                <w:spacing w:val="-2"/>
                <w:szCs w:val="21"/>
              </w:rPr>
              <w:t>号（</w:t>
            </w:r>
            <w:r>
              <w:rPr>
                <w:rFonts w:eastAsia="仿宋_GB2312"/>
                <w:color w:val="000000"/>
                <w:spacing w:val="-2"/>
                <w:szCs w:val="21"/>
              </w:rPr>
              <w:t>0815</w:t>
            </w:r>
            <w:r>
              <w:rPr>
                <w:rFonts w:hint="eastAsia" w:eastAsia="仿宋_GB2312"/>
                <w:color w:val="000000"/>
                <w:spacing w:val="-2"/>
                <w:szCs w:val="21"/>
              </w:rPr>
              <w:t>室）</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周颖淑</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0515-85212508</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大丰市住建局建筑业科</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大丰市健康东路</w:t>
            </w:r>
            <w:r>
              <w:rPr>
                <w:rFonts w:eastAsia="仿宋_GB2312"/>
                <w:color w:val="000000"/>
                <w:spacing w:val="-2"/>
                <w:szCs w:val="21"/>
              </w:rPr>
              <w:t>82</w:t>
            </w:r>
            <w:r>
              <w:rPr>
                <w:rFonts w:hint="eastAsia" w:eastAsia="仿宋_GB2312"/>
                <w:color w:val="000000"/>
                <w:spacing w:val="-2"/>
                <w:szCs w:val="21"/>
              </w:rPr>
              <w:t>号</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徐远峨</w:t>
            </w:r>
            <w:r>
              <w:rPr>
                <w:rFonts w:eastAsia="仿宋_GB2312"/>
                <w:color w:val="000000"/>
                <w:spacing w:val="-2"/>
                <w:szCs w:val="21"/>
              </w:rPr>
              <w:t xml:space="preserve"> </w:t>
            </w:r>
            <w:r>
              <w:rPr>
                <w:rFonts w:hint="eastAsia" w:eastAsia="仿宋_GB2312"/>
                <w:color w:val="000000"/>
                <w:spacing w:val="-2"/>
                <w:szCs w:val="21"/>
              </w:rPr>
              <w:t>陈</w:t>
            </w:r>
            <w:r>
              <w:rPr>
                <w:rFonts w:eastAsia="仿宋_GB2312"/>
                <w:color w:val="000000"/>
                <w:spacing w:val="-2"/>
                <w:szCs w:val="21"/>
              </w:rPr>
              <w:t xml:space="preserve">  </w:t>
            </w:r>
            <w:r>
              <w:rPr>
                <w:rFonts w:hint="eastAsia" w:eastAsia="仿宋_GB2312"/>
                <w:color w:val="000000"/>
                <w:spacing w:val="-2"/>
                <w:szCs w:val="21"/>
              </w:rPr>
              <w:t>炎</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0515-83535962</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射阳县住建局建工科</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射阳县人民西路</w:t>
            </w:r>
            <w:r>
              <w:rPr>
                <w:rFonts w:eastAsia="仿宋_GB2312"/>
                <w:color w:val="000000"/>
                <w:spacing w:val="-2"/>
                <w:szCs w:val="21"/>
              </w:rPr>
              <w:t>66</w:t>
            </w:r>
            <w:r>
              <w:rPr>
                <w:rFonts w:hint="eastAsia" w:eastAsia="仿宋_GB2312"/>
                <w:color w:val="000000"/>
                <w:spacing w:val="-2"/>
                <w:szCs w:val="21"/>
              </w:rPr>
              <w:t>号</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夏明健</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0515-69923521</w:t>
            </w:r>
          </w:p>
          <w:p>
            <w:pPr>
              <w:ind w:left="-63" w:leftChars="-30" w:right="-63" w:rightChars="-30"/>
              <w:jc w:val="center"/>
              <w:rPr>
                <w:rFonts w:eastAsia="仿宋_GB2312"/>
                <w:color w:val="000000"/>
                <w:spacing w:val="-2"/>
                <w:szCs w:val="21"/>
              </w:rPr>
            </w:pPr>
            <w:r>
              <w:rPr>
                <w:rFonts w:eastAsia="仿宋_GB2312"/>
                <w:color w:val="000000"/>
                <w:spacing w:val="-2"/>
                <w:szCs w:val="21"/>
              </w:rPr>
              <w:t>18751456786</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滨海县住建局建工科</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滨海县迎宾路</w:t>
            </w:r>
            <w:r>
              <w:rPr>
                <w:rFonts w:eastAsia="仿宋_GB2312"/>
                <w:color w:val="000000"/>
                <w:spacing w:val="-2"/>
                <w:szCs w:val="21"/>
              </w:rPr>
              <w:t>88</w:t>
            </w:r>
            <w:r>
              <w:rPr>
                <w:rFonts w:hint="eastAsia" w:eastAsia="仿宋_GB2312"/>
                <w:color w:val="000000"/>
                <w:spacing w:val="-2"/>
                <w:szCs w:val="21"/>
              </w:rPr>
              <w:t>号</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刘</w:t>
            </w:r>
            <w:r>
              <w:rPr>
                <w:rFonts w:eastAsia="仿宋_GB2312"/>
                <w:color w:val="000000"/>
                <w:spacing w:val="-2"/>
                <w:szCs w:val="21"/>
              </w:rPr>
              <w:t xml:space="preserve">  </w:t>
            </w:r>
            <w:r>
              <w:rPr>
                <w:rFonts w:hint="eastAsia" w:eastAsia="仿宋_GB2312"/>
                <w:color w:val="000000"/>
                <w:spacing w:val="-2"/>
                <w:szCs w:val="21"/>
              </w:rPr>
              <w:t>宝</w:t>
            </w:r>
            <w:r>
              <w:rPr>
                <w:rFonts w:eastAsia="仿宋_GB2312"/>
                <w:color w:val="000000"/>
                <w:spacing w:val="-2"/>
                <w:szCs w:val="21"/>
              </w:rPr>
              <w:t xml:space="preserve"> </w:t>
            </w:r>
          </w:p>
          <w:p>
            <w:pPr>
              <w:ind w:left="-63" w:leftChars="-30" w:right="-63" w:rightChars="-30"/>
              <w:jc w:val="center"/>
              <w:rPr>
                <w:rFonts w:eastAsia="仿宋_GB2312"/>
                <w:color w:val="000000"/>
                <w:spacing w:val="-2"/>
                <w:szCs w:val="21"/>
              </w:rPr>
            </w:pPr>
            <w:r>
              <w:rPr>
                <w:rFonts w:hint="eastAsia" w:eastAsia="仿宋_GB2312"/>
                <w:color w:val="000000"/>
                <w:spacing w:val="-2"/>
                <w:szCs w:val="21"/>
              </w:rPr>
              <w:t>李明杰</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13605118068</w:t>
            </w:r>
          </w:p>
          <w:p>
            <w:pPr>
              <w:ind w:left="-63" w:leftChars="-30" w:right="-63" w:rightChars="-30"/>
              <w:jc w:val="center"/>
              <w:rPr>
                <w:rFonts w:eastAsia="仿宋_GB2312"/>
                <w:color w:val="000000"/>
                <w:spacing w:val="-2"/>
                <w:szCs w:val="21"/>
              </w:rPr>
            </w:pPr>
            <w:r>
              <w:rPr>
                <w:rFonts w:eastAsia="仿宋_GB2312"/>
                <w:color w:val="000000"/>
                <w:spacing w:val="-2"/>
                <w:szCs w:val="21"/>
              </w:rPr>
              <w:t>15961912587</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响水县住建局</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响水县城双园中路</w:t>
            </w:r>
            <w:r>
              <w:rPr>
                <w:rFonts w:eastAsia="仿宋_GB2312"/>
                <w:color w:val="000000"/>
                <w:spacing w:val="-2"/>
                <w:szCs w:val="21"/>
              </w:rPr>
              <w:t>156#</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施</w:t>
            </w:r>
            <w:r>
              <w:rPr>
                <w:rFonts w:eastAsia="仿宋_GB2312"/>
                <w:color w:val="000000"/>
                <w:spacing w:val="-2"/>
                <w:szCs w:val="21"/>
              </w:rPr>
              <w:t xml:space="preserve">  </w:t>
            </w:r>
            <w:r>
              <w:rPr>
                <w:rFonts w:hint="eastAsia" w:eastAsia="仿宋_GB2312"/>
                <w:color w:val="000000"/>
                <w:spacing w:val="-2"/>
                <w:szCs w:val="21"/>
              </w:rPr>
              <w:t>琪</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0515-69816112</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阜宁县住建局工程建设科</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阜宁县城南大厦</w:t>
            </w:r>
            <w:r>
              <w:rPr>
                <w:rFonts w:eastAsia="仿宋_GB2312"/>
                <w:color w:val="000000"/>
                <w:spacing w:val="-2"/>
                <w:szCs w:val="21"/>
              </w:rPr>
              <w:t>A</w:t>
            </w:r>
            <w:r>
              <w:rPr>
                <w:rFonts w:hint="eastAsia" w:eastAsia="仿宋_GB2312"/>
                <w:color w:val="000000"/>
                <w:spacing w:val="-2"/>
                <w:szCs w:val="21"/>
              </w:rPr>
              <w:t>座</w:t>
            </w:r>
            <w:r>
              <w:rPr>
                <w:rFonts w:eastAsia="仿宋_GB2312"/>
                <w:color w:val="000000"/>
                <w:spacing w:val="-2"/>
                <w:szCs w:val="21"/>
              </w:rPr>
              <w:t>1502</w:t>
            </w:r>
            <w:r>
              <w:rPr>
                <w:rFonts w:hint="eastAsia" w:eastAsia="仿宋_GB2312"/>
                <w:color w:val="000000"/>
                <w:spacing w:val="-2"/>
                <w:szCs w:val="21"/>
              </w:rPr>
              <w:t>室</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周鑫洋</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0515-68691505</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建湖县住建局</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建湖县公安路</w:t>
            </w:r>
            <w:r>
              <w:rPr>
                <w:rFonts w:eastAsia="仿宋_GB2312"/>
                <w:color w:val="000000"/>
                <w:spacing w:val="-2"/>
                <w:szCs w:val="21"/>
              </w:rPr>
              <w:t>3</w:t>
            </w:r>
            <w:r>
              <w:rPr>
                <w:rFonts w:hint="eastAsia" w:eastAsia="仿宋_GB2312"/>
                <w:color w:val="000000"/>
                <w:spacing w:val="-2"/>
                <w:szCs w:val="21"/>
              </w:rPr>
              <w:t>号</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杨</w:t>
            </w:r>
            <w:r>
              <w:rPr>
                <w:rFonts w:eastAsia="仿宋_GB2312"/>
                <w:color w:val="000000"/>
                <w:spacing w:val="-2"/>
                <w:szCs w:val="21"/>
              </w:rPr>
              <w:t xml:space="preserve">  </w:t>
            </w:r>
            <w:r>
              <w:rPr>
                <w:rFonts w:hint="eastAsia" w:eastAsia="仿宋_GB2312"/>
                <w:color w:val="000000"/>
                <w:spacing w:val="-2"/>
                <w:szCs w:val="21"/>
              </w:rPr>
              <w:t>艳</w:t>
            </w:r>
          </w:p>
          <w:p>
            <w:pPr>
              <w:ind w:left="-63" w:leftChars="-30" w:right="-63" w:rightChars="-30"/>
              <w:jc w:val="center"/>
              <w:rPr>
                <w:rFonts w:eastAsia="仿宋_GB2312"/>
                <w:color w:val="000000"/>
                <w:spacing w:val="-2"/>
                <w:szCs w:val="21"/>
              </w:rPr>
            </w:pPr>
            <w:r>
              <w:rPr>
                <w:rFonts w:hint="eastAsia" w:eastAsia="仿宋_GB2312"/>
                <w:color w:val="000000"/>
                <w:spacing w:val="-2"/>
                <w:szCs w:val="21"/>
              </w:rPr>
              <w:t>朱</w:t>
            </w:r>
            <w:r>
              <w:rPr>
                <w:rFonts w:eastAsia="仿宋_GB2312"/>
                <w:color w:val="000000"/>
                <w:spacing w:val="-2"/>
                <w:szCs w:val="21"/>
              </w:rPr>
              <w:t xml:space="preserve">  </w:t>
            </w:r>
            <w:r>
              <w:rPr>
                <w:rFonts w:hint="eastAsia" w:eastAsia="仿宋_GB2312"/>
                <w:color w:val="000000"/>
                <w:spacing w:val="-2"/>
                <w:szCs w:val="21"/>
              </w:rPr>
              <w:t>叶</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0515-80601863</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盐都区住建局</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盐都区新都路住建大厦</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李婷婷</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0515-88429579</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trHeight w:val="70" w:hRule="atLeas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亭湖区住建局</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亭湖区行政服务中心住建局窗口（盐城市青年东路</w:t>
            </w:r>
            <w:r>
              <w:rPr>
                <w:rFonts w:eastAsia="仿宋_GB2312"/>
                <w:color w:val="000000"/>
                <w:spacing w:val="-2"/>
                <w:szCs w:val="21"/>
              </w:rPr>
              <w:t>53</w:t>
            </w:r>
            <w:r>
              <w:rPr>
                <w:rFonts w:hint="eastAsia" w:eastAsia="仿宋_GB2312"/>
                <w:color w:val="000000"/>
                <w:spacing w:val="-2"/>
                <w:szCs w:val="21"/>
              </w:rPr>
              <w:t>号东亭国际大厦二楼），</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顾</w:t>
            </w:r>
            <w:r>
              <w:rPr>
                <w:rFonts w:eastAsia="仿宋_GB2312"/>
                <w:color w:val="000000"/>
                <w:spacing w:val="-2"/>
                <w:szCs w:val="21"/>
              </w:rPr>
              <w:t xml:space="preserve">  </w:t>
            </w:r>
            <w:r>
              <w:rPr>
                <w:rFonts w:hint="eastAsia" w:eastAsia="仿宋_GB2312"/>
                <w:color w:val="000000"/>
                <w:spacing w:val="-2"/>
                <w:szCs w:val="21"/>
              </w:rPr>
              <w:t>翠</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0515-89802682</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经济开发区建管处</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盐城市松江路</w:t>
            </w:r>
            <w:r>
              <w:rPr>
                <w:rFonts w:eastAsia="仿宋_GB2312"/>
                <w:color w:val="000000"/>
                <w:spacing w:val="-2"/>
                <w:szCs w:val="21"/>
              </w:rPr>
              <w:t>18</w:t>
            </w:r>
            <w:r>
              <w:rPr>
                <w:rFonts w:hint="eastAsia" w:eastAsia="仿宋_GB2312"/>
                <w:color w:val="000000"/>
                <w:spacing w:val="-2"/>
                <w:szCs w:val="21"/>
              </w:rPr>
              <w:t>号</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孟</w:t>
            </w:r>
            <w:r>
              <w:rPr>
                <w:rFonts w:eastAsia="仿宋_GB2312"/>
                <w:color w:val="000000"/>
                <w:spacing w:val="-2"/>
                <w:szCs w:val="21"/>
              </w:rPr>
              <w:t xml:space="preserve">  </w:t>
            </w:r>
            <w:r>
              <w:rPr>
                <w:rFonts w:hint="eastAsia" w:eastAsia="仿宋_GB2312"/>
                <w:color w:val="000000"/>
                <w:spacing w:val="-2"/>
                <w:szCs w:val="21"/>
              </w:rPr>
              <w:t>慧</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0515-68820138</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restart"/>
            <w:tcBorders>
              <w:top w:val="single" w:color="000000" w:sz="4" w:space="0"/>
              <w:left w:val="single" w:color="auto" w:sz="8"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10</w:t>
            </w:r>
          </w:p>
        </w:tc>
        <w:tc>
          <w:tcPr>
            <w:tcW w:w="859" w:type="dxa"/>
            <w:vMerge w:val="restart"/>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扬州市</w:t>
            </w: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扬州市建设执业资格考试与注册中心</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扬州市文昌中路</w:t>
            </w:r>
            <w:r>
              <w:rPr>
                <w:rFonts w:eastAsia="仿宋_GB2312"/>
                <w:color w:val="000000"/>
                <w:spacing w:val="-2"/>
                <w:szCs w:val="21"/>
              </w:rPr>
              <w:t>20</w:t>
            </w:r>
            <w:r>
              <w:rPr>
                <w:rFonts w:hint="eastAsia" w:eastAsia="仿宋_GB2312"/>
                <w:color w:val="000000"/>
                <w:spacing w:val="-2"/>
                <w:szCs w:val="21"/>
              </w:rPr>
              <w:t>号文昌国际大厦</w:t>
            </w:r>
            <w:r>
              <w:rPr>
                <w:rFonts w:eastAsia="仿宋_GB2312"/>
                <w:color w:val="000000"/>
                <w:spacing w:val="-2"/>
                <w:szCs w:val="21"/>
              </w:rPr>
              <w:t>403</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王生荣</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0514-87343467</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邗江区城乡建设局</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兴城西路</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王</w:t>
            </w:r>
            <w:r>
              <w:rPr>
                <w:rFonts w:eastAsia="仿宋_GB2312"/>
                <w:color w:val="000000"/>
                <w:spacing w:val="-2"/>
                <w:szCs w:val="21"/>
              </w:rPr>
              <w:t xml:space="preserve">  </w:t>
            </w:r>
            <w:r>
              <w:rPr>
                <w:rFonts w:hint="eastAsia" w:eastAsia="仿宋_GB2312"/>
                <w:color w:val="000000"/>
                <w:spacing w:val="-2"/>
                <w:szCs w:val="21"/>
              </w:rPr>
              <w:t>虹</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0514-87953530</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广陵区建筑工程管理处</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广陵路</w:t>
            </w:r>
            <w:r>
              <w:rPr>
                <w:rFonts w:eastAsia="仿宋_GB2312"/>
                <w:color w:val="000000"/>
                <w:spacing w:val="-2"/>
                <w:szCs w:val="21"/>
              </w:rPr>
              <w:t>334</w:t>
            </w:r>
            <w:r>
              <w:rPr>
                <w:rFonts w:hint="eastAsia" w:eastAsia="仿宋_GB2312"/>
                <w:color w:val="000000"/>
                <w:spacing w:val="-2"/>
                <w:szCs w:val="21"/>
              </w:rPr>
              <w:t>号</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马</w:t>
            </w:r>
            <w:r>
              <w:rPr>
                <w:rFonts w:eastAsia="仿宋_GB2312"/>
                <w:color w:val="000000"/>
                <w:spacing w:val="-2"/>
                <w:szCs w:val="21"/>
              </w:rPr>
              <w:t xml:space="preserve">  </w:t>
            </w:r>
            <w:r>
              <w:rPr>
                <w:rFonts w:hint="eastAsia" w:eastAsia="仿宋_GB2312"/>
                <w:color w:val="000000"/>
                <w:spacing w:val="-2"/>
                <w:szCs w:val="21"/>
              </w:rPr>
              <w:t>列</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0514-87215003</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开发区建设局</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维扬路</w:t>
            </w:r>
            <w:r>
              <w:rPr>
                <w:rFonts w:eastAsia="仿宋_GB2312"/>
                <w:color w:val="000000"/>
                <w:spacing w:val="-2"/>
                <w:szCs w:val="21"/>
              </w:rPr>
              <w:t>108</w:t>
            </w:r>
            <w:r>
              <w:rPr>
                <w:rFonts w:hint="eastAsia" w:eastAsia="仿宋_GB2312"/>
                <w:color w:val="000000"/>
                <w:spacing w:val="-2"/>
                <w:szCs w:val="21"/>
              </w:rPr>
              <w:t>号开发大厦</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刘春香</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0514-87862935</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江都区建管局行业管理科</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文昌东路</w:t>
            </w:r>
            <w:r>
              <w:rPr>
                <w:rFonts w:eastAsia="仿宋_GB2312"/>
                <w:color w:val="000000"/>
                <w:spacing w:val="-2"/>
                <w:szCs w:val="21"/>
              </w:rPr>
              <w:t>200</w:t>
            </w:r>
            <w:r>
              <w:rPr>
                <w:rFonts w:hint="eastAsia" w:eastAsia="仿宋_GB2312"/>
                <w:color w:val="000000"/>
                <w:spacing w:val="-2"/>
                <w:szCs w:val="21"/>
              </w:rPr>
              <w:t>号</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周兆晟</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0514-86977182</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仪征市建筑科技教育中心</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仪征市鼓楼东路</w:t>
            </w:r>
            <w:r>
              <w:rPr>
                <w:rFonts w:eastAsia="仿宋_GB2312"/>
                <w:color w:val="000000"/>
                <w:spacing w:val="-2"/>
                <w:szCs w:val="21"/>
              </w:rPr>
              <w:t>288-64</w:t>
            </w:r>
            <w:r>
              <w:rPr>
                <w:rFonts w:hint="eastAsia" w:eastAsia="仿宋_GB2312"/>
                <w:color w:val="000000"/>
                <w:spacing w:val="-2"/>
                <w:szCs w:val="21"/>
              </w:rPr>
              <w:t>号</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金春燕</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15062888835</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宝应县建筑工程管理局</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宝应县叶挺东路</w:t>
            </w:r>
            <w:r>
              <w:rPr>
                <w:rFonts w:eastAsia="仿宋_GB2312"/>
                <w:color w:val="000000"/>
                <w:spacing w:val="-2"/>
                <w:szCs w:val="21"/>
              </w:rPr>
              <w:t>72</w:t>
            </w:r>
            <w:r>
              <w:rPr>
                <w:rFonts w:hint="eastAsia" w:eastAsia="仿宋_GB2312"/>
                <w:color w:val="000000"/>
                <w:spacing w:val="-2"/>
                <w:szCs w:val="21"/>
              </w:rPr>
              <w:t>号</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朱</w:t>
            </w:r>
            <w:r>
              <w:rPr>
                <w:rFonts w:eastAsia="仿宋_GB2312"/>
                <w:color w:val="000000"/>
                <w:spacing w:val="-2"/>
                <w:szCs w:val="21"/>
              </w:rPr>
              <w:t xml:space="preserve">  </w:t>
            </w:r>
            <w:r>
              <w:rPr>
                <w:rFonts w:hint="eastAsia" w:eastAsia="仿宋_GB2312"/>
                <w:color w:val="000000"/>
                <w:spacing w:val="-2"/>
                <w:szCs w:val="21"/>
              </w:rPr>
              <w:t>霞</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0514-88992852</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高邮市建筑工程学校</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高邮市邓桥路</w:t>
            </w:r>
            <w:r>
              <w:rPr>
                <w:rFonts w:eastAsia="仿宋_GB2312"/>
                <w:color w:val="000000"/>
                <w:spacing w:val="-2"/>
                <w:szCs w:val="21"/>
              </w:rPr>
              <w:t>14</w:t>
            </w:r>
            <w:r>
              <w:rPr>
                <w:rFonts w:hint="eastAsia" w:eastAsia="仿宋_GB2312"/>
                <w:color w:val="000000"/>
                <w:spacing w:val="-2"/>
                <w:szCs w:val="21"/>
              </w:rPr>
              <w:t>号</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李</w:t>
            </w:r>
            <w:r>
              <w:rPr>
                <w:rFonts w:eastAsia="仿宋_GB2312"/>
                <w:color w:val="000000"/>
                <w:spacing w:val="-2"/>
                <w:szCs w:val="21"/>
              </w:rPr>
              <w:t xml:space="preserve">  </w:t>
            </w:r>
            <w:r>
              <w:rPr>
                <w:rFonts w:hint="eastAsia" w:eastAsia="仿宋_GB2312"/>
                <w:color w:val="000000"/>
                <w:spacing w:val="-2"/>
                <w:szCs w:val="21"/>
              </w:rPr>
              <w:t>靖</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0514-84613715</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restart"/>
            <w:tcBorders>
              <w:top w:val="single" w:color="000000" w:sz="4" w:space="0"/>
              <w:left w:val="single" w:color="auto" w:sz="8"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11</w:t>
            </w:r>
          </w:p>
        </w:tc>
        <w:tc>
          <w:tcPr>
            <w:tcW w:w="859" w:type="dxa"/>
            <w:vMerge w:val="restart"/>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镇江市</w:t>
            </w: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镇江市住建局建管处</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桃花坞路</w:t>
            </w:r>
            <w:r>
              <w:rPr>
                <w:rFonts w:eastAsia="仿宋_GB2312"/>
                <w:color w:val="000000"/>
                <w:spacing w:val="-2"/>
                <w:szCs w:val="21"/>
              </w:rPr>
              <w:t>255</w:t>
            </w:r>
            <w:r>
              <w:rPr>
                <w:rFonts w:hint="eastAsia" w:eastAsia="仿宋_GB2312"/>
                <w:color w:val="000000"/>
                <w:spacing w:val="-2"/>
                <w:szCs w:val="21"/>
              </w:rPr>
              <w:t>号</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应志明</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0511-86090003</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丹阳市住建局建管处</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丹阳市华阳路</w:t>
            </w:r>
            <w:r>
              <w:rPr>
                <w:rFonts w:eastAsia="仿宋_GB2312"/>
                <w:color w:val="000000"/>
                <w:spacing w:val="-2"/>
                <w:szCs w:val="21"/>
              </w:rPr>
              <w:t>88</w:t>
            </w:r>
            <w:r>
              <w:rPr>
                <w:rFonts w:hint="eastAsia" w:eastAsia="仿宋_GB2312"/>
                <w:color w:val="000000"/>
                <w:spacing w:val="-2"/>
                <w:szCs w:val="21"/>
              </w:rPr>
              <w:t>号</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陆国宝</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0511-86569590</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句容市住建局建管处</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句容市华阳东路</w:t>
            </w:r>
            <w:r>
              <w:rPr>
                <w:rFonts w:eastAsia="仿宋_GB2312"/>
                <w:color w:val="000000"/>
                <w:spacing w:val="-2"/>
                <w:szCs w:val="21"/>
              </w:rPr>
              <w:t>2</w:t>
            </w:r>
            <w:r>
              <w:rPr>
                <w:rFonts w:hint="eastAsia" w:eastAsia="仿宋_GB2312"/>
                <w:color w:val="000000"/>
                <w:spacing w:val="-2"/>
                <w:szCs w:val="21"/>
              </w:rPr>
              <w:t>号</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常凌云</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0511-85090078</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扬中市住建局建工科</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扬中市金苇西路</w:t>
            </w:r>
            <w:r>
              <w:rPr>
                <w:rFonts w:eastAsia="仿宋_GB2312"/>
                <w:color w:val="000000"/>
                <w:spacing w:val="-2"/>
                <w:szCs w:val="21"/>
              </w:rPr>
              <w:t>168</w:t>
            </w:r>
            <w:r>
              <w:rPr>
                <w:rFonts w:hint="eastAsia" w:eastAsia="仿宋_GB2312"/>
                <w:color w:val="000000"/>
                <w:spacing w:val="-2"/>
                <w:szCs w:val="21"/>
              </w:rPr>
              <w:t>号</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张译文</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0511-88323549</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restart"/>
            <w:tcBorders>
              <w:top w:val="single" w:color="000000" w:sz="4" w:space="0"/>
              <w:left w:val="single" w:color="auto" w:sz="8"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12</w:t>
            </w:r>
          </w:p>
        </w:tc>
        <w:tc>
          <w:tcPr>
            <w:tcW w:w="859" w:type="dxa"/>
            <w:vMerge w:val="restart"/>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泰州市</w:t>
            </w: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泰州市住房城乡建设局执业（职业）资格考试注册管理工作领导小组办公室</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泰州市海陵区海陵南路</w:t>
            </w:r>
            <w:r>
              <w:rPr>
                <w:rFonts w:eastAsia="仿宋_GB2312"/>
                <w:color w:val="000000"/>
                <w:spacing w:val="-2"/>
                <w:szCs w:val="21"/>
              </w:rPr>
              <w:t>308</w:t>
            </w:r>
            <w:r>
              <w:rPr>
                <w:rFonts w:hint="eastAsia" w:eastAsia="仿宋_GB2312"/>
                <w:color w:val="000000"/>
                <w:spacing w:val="-2"/>
                <w:szCs w:val="21"/>
              </w:rPr>
              <w:t>号</w:t>
            </w:r>
            <w:r>
              <w:rPr>
                <w:rFonts w:eastAsia="仿宋_GB2312"/>
                <w:color w:val="000000"/>
                <w:spacing w:val="-2"/>
                <w:szCs w:val="21"/>
              </w:rPr>
              <w:t>9028</w:t>
            </w:r>
            <w:r>
              <w:rPr>
                <w:rFonts w:hint="eastAsia" w:eastAsia="仿宋_GB2312"/>
                <w:color w:val="000000"/>
                <w:spacing w:val="-2"/>
                <w:szCs w:val="21"/>
              </w:rPr>
              <w:t>室</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陈</w:t>
            </w:r>
            <w:r>
              <w:rPr>
                <w:rFonts w:eastAsia="仿宋_GB2312"/>
                <w:color w:val="000000"/>
                <w:spacing w:val="-2"/>
                <w:szCs w:val="21"/>
              </w:rPr>
              <w:t xml:space="preserve">  </w:t>
            </w:r>
            <w:r>
              <w:rPr>
                <w:rFonts w:hint="eastAsia" w:eastAsia="仿宋_GB2312"/>
                <w:color w:val="000000"/>
                <w:spacing w:val="-2"/>
                <w:szCs w:val="21"/>
              </w:rPr>
              <w:t>肖</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0523-86882776</w:t>
            </w:r>
          </w:p>
          <w:p>
            <w:pPr>
              <w:ind w:left="-63" w:leftChars="-30" w:right="-63" w:rightChars="-30"/>
              <w:jc w:val="center"/>
              <w:rPr>
                <w:rFonts w:eastAsia="仿宋_GB2312"/>
                <w:color w:val="000000"/>
                <w:spacing w:val="-2"/>
                <w:szCs w:val="21"/>
              </w:rPr>
            </w:pPr>
            <w:r>
              <w:rPr>
                <w:rFonts w:eastAsia="仿宋_GB2312"/>
                <w:color w:val="000000"/>
                <w:spacing w:val="-2"/>
                <w:szCs w:val="21"/>
              </w:rPr>
              <w:t>0523-86882681</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泰州政务服务中心建工局窗口</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泰州市海陵区海陵南路</w:t>
            </w:r>
            <w:r>
              <w:rPr>
                <w:rFonts w:eastAsia="仿宋_GB2312"/>
                <w:color w:val="000000"/>
                <w:spacing w:val="-2"/>
                <w:szCs w:val="21"/>
              </w:rPr>
              <w:t>306</w:t>
            </w:r>
            <w:r>
              <w:rPr>
                <w:rFonts w:hint="eastAsia" w:eastAsia="仿宋_GB2312"/>
                <w:color w:val="000000"/>
                <w:spacing w:val="-2"/>
                <w:szCs w:val="21"/>
              </w:rPr>
              <w:t>号政务服务中心</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高圣春</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0523-86897106</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restart"/>
            <w:tcBorders>
              <w:top w:val="single" w:color="000000" w:sz="4" w:space="0"/>
              <w:left w:val="single" w:color="auto" w:sz="8"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13</w:t>
            </w:r>
          </w:p>
        </w:tc>
        <w:tc>
          <w:tcPr>
            <w:tcW w:w="859" w:type="dxa"/>
            <w:vMerge w:val="restart"/>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宿迁市</w:t>
            </w: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宿迁市建管处</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宿迁洪泽湖路</w:t>
            </w:r>
            <w:r>
              <w:rPr>
                <w:rFonts w:eastAsia="仿宋_GB2312"/>
                <w:color w:val="000000"/>
                <w:spacing w:val="-2"/>
                <w:szCs w:val="21"/>
              </w:rPr>
              <w:t>140</w:t>
            </w:r>
            <w:r>
              <w:rPr>
                <w:rFonts w:hint="eastAsia" w:eastAsia="仿宋_GB2312"/>
                <w:color w:val="000000"/>
                <w:spacing w:val="-2"/>
                <w:szCs w:val="21"/>
              </w:rPr>
              <w:t>号建设大厦</w:t>
            </w:r>
            <w:r>
              <w:rPr>
                <w:rFonts w:eastAsia="仿宋_GB2312"/>
                <w:color w:val="000000"/>
                <w:spacing w:val="-2"/>
                <w:szCs w:val="21"/>
              </w:rPr>
              <w:t>9</w:t>
            </w:r>
            <w:r>
              <w:rPr>
                <w:rFonts w:hint="eastAsia" w:eastAsia="仿宋_GB2312"/>
                <w:color w:val="000000"/>
                <w:spacing w:val="-2"/>
                <w:szCs w:val="21"/>
              </w:rPr>
              <w:t>楼</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孙</w:t>
            </w:r>
            <w:r>
              <w:rPr>
                <w:rFonts w:eastAsia="仿宋_GB2312"/>
                <w:color w:val="000000"/>
                <w:spacing w:val="-2"/>
                <w:szCs w:val="21"/>
              </w:rPr>
              <w:t xml:space="preserve">  </w:t>
            </w:r>
            <w:r>
              <w:rPr>
                <w:rFonts w:hint="eastAsia" w:eastAsia="仿宋_GB2312"/>
                <w:color w:val="000000"/>
                <w:spacing w:val="-2"/>
                <w:szCs w:val="21"/>
              </w:rPr>
              <w:t>浪</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0527-84387321</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宿城区建管处</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宿城新区商务大厦</w:t>
            </w:r>
            <w:r>
              <w:rPr>
                <w:rFonts w:eastAsia="仿宋_GB2312"/>
                <w:color w:val="000000"/>
                <w:spacing w:val="-2"/>
                <w:szCs w:val="21"/>
              </w:rPr>
              <w:t>1217</w:t>
            </w:r>
            <w:r>
              <w:rPr>
                <w:rFonts w:hint="eastAsia" w:eastAsia="仿宋_GB2312"/>
                <w:color w:val="000000"/>
                <w:spacing w:val="-2"/>
                <w:szCs w:val="21"/>
              </w:rPr>
              <w:t>房间</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王晓云</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0527-82960906</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泗洪县建管处</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泗洪县长江东路</w:t>
            </w:r>
            <w:r>
              <w:rPr>
                <w:rFonts w:eastAsia="仿宋_GB2312"/>
                <w:color w:val="000000"/>
                <w:spacing w:val="-2"/>
                <w:szCs w:val="21"/>
              </w:rPr>
              <w:t>13</w:t>
            </w:r>
            <w:r>
              <w:rPr>
                <w:rFonts w:hint="eastAsia" w:eastAsia="仿宋_GB2312"/>
                <w:color w:val="000000"/>
                <w:spacing w:val="-2"/>
                <w:szCs w:val="21"/>
              </w:rPr>
              <w:t>号</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尹修东</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0527-86243330</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泗阳县建管处</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泗阳县住房和城乡建设局</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8" w:leftChars="-30" w:right="-63" w:rightChars="-30" w:hanging="55" w:hangingChars="27"/>
              <w:jc w:val="center"/>
              <w:rPr>
                <w:rFonts w:eastAsia="仿宋_GB2312"/>
                <w:color w:val="000000"/>
                <w:spacing w:val="-2"/>
                <w:szCs w:val="21"/>
              </w:rPr>
            </w:pPr>
            <w:r>
              <w:rPr>
                <w:rFonts w:hint="eastAsia" w:eastAsia="仿宋_GB2312"/>
                <w:color w:val="000000"/>
                <w:spacing w:val="-2"/>
                <w:szCs w:val="21"/>
              </w:rPr>
              <w:t>徐</w:t>
            </w:r>
            <w:r>
              <w:rPr>
                <w:rFonts w:eastAsia="仿宋_GB2312"/>
                <w:color w:val="000000"/>
                <w:spacing w:val="-2"/>
                <w:szCs w:val="21"/>
              </w:rPr>
              <w:t xml:space="preserve">  </w:t>
            </w:r>
            <w:r>
              <w:rPr>
                <w:rFonts w:hint="eastAsia" w:eastAsia="仿宋_GB2312"/>
                <w:color w:val="000000"/>
                <w:spacing w:val="-2"/>
                <w:szCs w:val="21"/>
              </w:rPr>
              <w:t>翔</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0527-85252749</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宿豫区建管处</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宿豫区韶山路</w:t>
            </w:r>
            <w:r>
              <w:rPr>
                <w:rFonts w:eastAsia="仿宋_GB2312"/>
                <w:color w:val="000000"/>
                <w:spacing w:val="-2"/>
                <w:szCs w:val="21"/>
              </w:rPr>
              <w:t>2</w:t>
            </w:r>
            <w:r>
              <w:rPr>
                <w:rFonts w:hint="eastAsia" w:eastAsia="仿宋_GB2312"/>
                <w:color w:val="000000"/>
                <w:spacing w:val="-2"/>
                <w:szCs w:val="21"/>
              </w:rPr>
              <w:t>号</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赵明军</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0527-84465267</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restart"/>
            <w:tcBorders>
              <w:top w:val="single" w:color="000000" w:sz="4" w:space="0"/>
              <w:left w:val="single" w:color="auto" w:sz="8"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14</w:t>
            </w:r>
          </w:p>
        </w:tc>
        <w:tc>
          <w:tcPr>
            <w:tcW w:w="859" w:type="dxa"/>
            <w:vMerge w:val="restart"/>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昆山市</w:t>
            </w: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昆山市住建局人事科</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昆山市同丰西路</w:t>
            </w:r>
            <w:r>
              <w:rPr>
                <w:rFonts w:eastAsia="仿宋_GB2312"/>
                <w:color w:val="000000"/>
                <w:spacing w:val="-2"/>
                <w:szCs w:val="21"/>
              </w:rPr>
              <w:t>598</w:t>
            </w:r>
            <w:r>
              <w:rPr>
                <w:rFonts w:hint="eastAsia" w:eastAsia="仿宋_GB2312"/>
                <w:color w:val="000000"/>
                <w:spacing w:val="-2"/>
                <w:szCs w:val="21"/>
              </w:rPr>
              <w:t>号</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吴国元</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0512-57363906</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8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eastAsia="仿宋_GB2312"/>
                <w:color w:val="000000"/>
                <w:spacing w:val="-2"/>
                <w:szCs w:val="21"/>
              </w:rPr>
            </w:pP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昆山市住建局市政科</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昆山市同丰西路</w:t>
            </w:r>
            <w:r>
              <w:rPr>
                <w:rFonts w:eastAsia="仿宋_GB2312"/>
                <w:color w:val="000000"/>
                <w:spacing w:val="-2"/>
                <w:szCs w:val="21"/>
              </w:rPr>
              <w:t>598</w:t>
            </w:r>
            <w:r>
              <w:rPr>
                <w:rFonts w:hint="eastAsia" w:eastAsia="仿宋_GB2312"/>
                <w:color w:val="000000"/>
                <w:spacing w:val="-2"/>
                <w:szCs w:val="21"/>
              </w:rPr>
              <w:t>号</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王雪娟</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0512-57363112</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tcBorders>
              <w:top w:val="single" w:color="000000" w:sz="4" w:space="0"/>
              <w:left w:val="single" w:color="auto" w:sz="8"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15</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泰兴市</w:t>
            </w:r>
          </w:p>
        </w:tc>
        <w:tc>
          <w:tcPr>
            <w:tcW w:w="2466"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泰兴市住建局建筑业发展科</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泰兴市曾涛路</w:t>
            </w:r>
            <w:r>
              <w:rPr>
                <w:rFonts w:eastAsia="仿宋_GB2312"/>
                <w:color w:val="000000"/>
                <w:spacing w:val="-2"/>
                <w:szCs w:val="21"/>
              </w:rPr>
              <w:t>162</w:t>
            </w:r>
            <w:r>
              <w:rPr>
                <w:rFonts w:hint="eastAsia" w:eastAsia="仿宋_GB2312"/>
                <w:color w:val="000000"/>
                <w:spacing w:val="-2"/>
                <w:szCs w:val="21"/>
              </w:rPr>
              <w:t>号</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殷</w:t>
            </w:r>
            <w:r>
              <w:rPr>
                <w:rFonts w:eastAsia="仿宋_GB2312"/>
                <w:color w:val="000000"/>
                <w:spacing w:val="-2"/>
                <w:szCs w:val="21"/>
              </w:rPr>
              <w:t xml:space="preserve">  </w:t>
            </w:r>
            <w:r>
              <w:rPr>
                <w:rFonts w:hint="eastAsia" w:eastAsia="仿宋_GB2312"/>
                <w:color w:val="000000"/>
                <w:spacing w:val="-2"/>
                <w:szCs w:val="21"/>
              </w:rPr>
              <w:t>伟</w:t>
            </w:r>
          </w:p>
        </w:tc>
        <w:tc>
          <w:tcPr>
            <w:tcW w:w="1467" w:type="dxa"/>
            <w:tcBorders>
              <w:top w:val="single" w:color="000000" w:sz="4" w:space="0"/>
              <w:left w:val="single" w:color="000000" w:sz="4" w:space="0"/>
              <w:bottom w:val="single" w:color="000000" w:sz="4"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0523-87633096</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647" w:type="dxa"/>
            <w:tcBorders>
              <w:top w:val="single" w:color="000000" w:sz="4" w:space="0"/>
              <w:left w:val="single" w:color="auto" w:sz="8" w:space="0"/>
              <w:bottom w:val="single" w:color="auto" w:sz="8"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16</w:t>
            </w:r>
          </w:p>
        </w:tc>
        <w:tc>
          <w:tcPr>
            <w:tcW w:w="859" w:type="dxa"/>
            <w:tcBorders>
              <w:top w:val="single" w:color="000000" w:sz="4" w:space="0"/>
              <w:left w:val="single" w:color="000000" w:sz="4" w:space="0"/>
              <w:bottom w:val="single" w:color="auto" w:sz="8"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沭阳县</w:t>
            </w:r>
          </w:p>
        </w:tc>
        <w:tc>
          <w:tcPr>
            <w:tcW w:w="2466" w:type="dxa"/>
            <w:tcBorders>
              <w:top w:val="single" w:color="000000" w:sz="4" w:space="0"/>
              <w:left w:val="single" w:color="000000" w:sz="4" w:space="0"/>
              <w:bottom w:val="single" w:color="auto" w:sz="8"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沭阳县建管处</w:t>
            </w:r>
          </w:p>
        </w:tc>
        <w:tc>
          <w:tcPr>
            <w:tcW w:w="2838" w:type="dxa"/>
            <w:tcBorders>
              <w:top w:val="single" w:color="000000" w:sz="4" w:space="0"/>
              <w:left w:val="single" w:color="000000" w:sz="4" w:space="0"/>
              <w:bottom w:val="single" w:color="auto" w:sz="8" w:space="0"/>
              <w:right w:val="single" w:color="000000" w:sz="4" w:space="0"/>
            </w:tcBorders>
            <w:noWrap w:val="0"/>
            <w:vAlign w:val="center"/>
          </w:tcPr>
          <w:p>
            <w:pPr>
              <w:ind w:left="-63" w:leftChars="-30" w:right="-63" w:rightChars="-30"/>
              <w:rPr>
                <w:rFonts w:eastAsia="仿宋_GB2312"/>
                <w:color w:val="000000"/>
                <w:spacing w:val="-2"/>
                <w:szCs w:val="21"/>
              </w:rPr>
            </w:pPr>
            <w:r>
              <w:rPr>
                <w:rFonts w:hint="eastAsia" w:eastAsia="仿宋_GB2312"/>
                <w:color w:val="000000"/>
                <w:spacing w:val="-2"/>
                <w:szCs w:val="21"/>
              </w:rPr>
              <w:t>沭阳县康平路</w:t>
            </w:r>
            <w:r>
              <w:rPr>
                <w:rFonts w:eastAsia="仿宋_GB2312"/>
                <w:color w:val="000000"/>
                <w:spacing w:val="-2"/>
                <w:szCs w:val="21"/>
              </w:rPr>
              <w:t>2</w:t>
            </w:r>
            <w:r>
              <w:rPr>
                <w:rFonts w:hint="eastAsia" w:eastAsia="仿宋_GB2312"/>
                <w:color w:val="000000"/>
                <w:spacing w:val="-2"/>
                <w:szCs w:val="21"/>
              </w:rPr>
              <w:t>号建设大厦</w:t>
            </w:r>
            <w:r>
              <w:rPr>
                <w:rFonts w:eastAsia="仿宋_GB2312"/>
                <w:color w:val="000000"/>
                <w:spacing w:val="-2"/>
                <w:szCs w:val="21"/>
              </w:rPr>
              <w:t>15</w:t>
            </w:r>
            <w:r>
              <w:rPr>
                <w:rFonts w:hint="eastAsia" w:eastAsia="仿宋_GB2312"/>
                <w:color w:val="000000"/>
                <w:spacing w:val="-2"/>
                <w:szCs w:val="21"/>
              </w:rPr>
              <w:t>楼</w:t>
            </w:r>
          </w:p>
        </w:tc>
        <w:tc>
          <w:tcPr>
            <w:tcW w:w="764" w:type="dxa"/>
            <w:tcBorders>
              <w:top w:val="single" w:color="000000" w:sz="4" w:space="0"/>
              <w:left w:val="single" w:color="000000" w:sz="4" w:space="0"/>
              <w:bottom w:val="single" w:color="auto" w:sz="8" w:space="0"/>
              <w:right w:val="single" w:color="000000" w:sz="4" w:space="0"/>
            </w:tcBorders>
            <w:noWrap w:val="0"/>
            <w:vAlign w:val="center"/>
          </w:tcPr>
          <w:p>
            <w:pPr>
              <w:ind w:left="-63" w:leftChars="-30" w:right="-63" w:rightChars="-30"/>
              <w:jc w:val="center"/>
              <w:rPr>
                <w:rFonts w:eastAsia="仿宋_GB2312"/>
                <w:color w:val="000000"/>
                <w:spacing w:val="-2"/>
                <w:szCs w:val="21"/>
              </w:rPr>
            </w:pPr>
            <w:r>
              <w:rPr>
                <w:rFonts w:hint="eastAsia" w:eastAsia="仿宋_GB2312"/>
                <w:color w:val="000000"/>
                <w:spacing w:val="-2"/>
                <w:szCs w:val="21"/>
              </w:rPr>
              <w:t>陈金霞</w:t>
            </w:r>
          </w:p>
        </w:tc>
        <w:tc>
          <w:tcPr>
            <w:tcW w:w="1467" w:type="dxa"/>
            <w:tcBorders>
              <w:top w:val="single" w:color="000000" w:sz="4" w:space="0"/>
              <w:left w:val="single" w:color="000000" w:sz="4" w:space="0"/>
              <w:bottom w:val="single" w:color="auto" w:sz="8" w:space="0"/>
              <w:right w:val="single" w:color="auto" w:sz="8" w:space="0"/>
            </w:tcBorders>
            <w:noWrap w:val="0"/>
            <w:vAlign w:val="center"/>
          </w:tcPr>
          <w:p>
            <w:pPr>
              <w:ind w:left="-63" w:leftChars="-30" w:right="-63" w:rightChars="-30"/>
              <w:jc w:val="center"/>
              <w:rPr>
                <w:rFonts w:eastAsia="仿宋_GB2312"/>
                <w:color w:val="000000"/>
                <w:spacing w:val="-2"/>
                <w:szCs w:val="21"/>
              </w:rPr>
            </w:pPr>
            <w:r>
              <w:rPr>
                <w:rFonts w:eastAsia="仿宋_GB2312"/>
                <w:color w:val="000000"/>
                <w:spacing w:val="-2"/>
                <w:szCs w:val="21"/>
              </w:rPr>
              <w:t>0527-80818033</w:t>
            </w:r>
          </w:p>
        </w:tc>
      </w:tr>
    </w:tbl>
    <w:p>
      <w:pPr>
        <w:pStyle w:val="2"/>
        <w:spacing w:before="240" w:beforeLines="100" w:after="240" w:afterLines="100" w:line="240" w:lineRule="auto"/>
        <w:rPr>
          <w:rFonts w:eastAsia="方正仿宋_GBK"/>
          <w:b w:val="0"/>
          <w:bCs/>
          <w:color w:val="000000"/>
          <w:spacing w:val="-2"/>
          <w:kern w:val="0"/>
          <w:sz w:val="24"/>
        </w:rPr>
      </w:pPr>
      <w:bookmarkStart w:id="625" w:name="_Toc20726662"/>
      <w:bookmarkStart w:id="626" w:name="_Toc18315803"/>
    </w:p>
    <w:p/>
    <w:p/>
    <w:p/>
    <w:p/>
    <w:p/>
    <w:p/>
    <w:p/>
    <w:p/>
    <w:p/>
    <w:p/>
    <w:p/>
    <w:p/>
    <w:p/>
    <w:p/>
    <w:p/>
    <w:p/>
    <w:p>
      <w:pPr>
        <w:pStyle w:val="2"/>
        <w:spacing w:before="240" w:beforeLines="100" w:after="240" w:afterLines="100" w:line="240" w:lineRule="auto"/>
        <w:jc w:val="center"/>
        <w:rPr>
          <w:rFonts w:ascii="Times New Roman" w:eastAsia="方正小标宋_GBK"/>
          <w:b w:val="0"/>
          <w:sz w:val="36"/>
          <w:szCs w:val="36"/>
        </w:rPr>
      </w:pPr>
    </w:p>
    <w:p>
      <w:pPr>
        <w:pStyle w:val="2"/>
        <w:spacing w:before="240" w:beforeLines="100" w:after="240" w:afterLines="100" w:line="240" w:lineRule="auto"/>
        <w:jc w:val="center"/>
        <w:rPr>
          <w:rFonts w:hint="eastAsia" w:ascii="Times New Roman" w:eastAsia="方正小标宋_GBK"/>
          <w:b w:val="0"/>
          <w:sz w:val="36"/>
          <w:szCs w:val="36"/>
        </w:rPr>
      </w:pPr>
      <w:r>
        <w:rPr>
          <w:rFonts w:hint="eastAsia" w:ascii="Times New Roman" w:eastAsia="方正小标宋_GBK"/>
          <w:b w:val="0"/>
          <w:sz w:val="36"/>
          <w:szCs w:val="36"/>
        </w:rPr>
        <w:t>省住房和城乡建设厅关于开展二级注册结构工程师注册电子化审批工作的通知</w:t>
      </w:r>
      <w:bookmarkEnd w:id="625"/>
      <w:bookmarkEnd w:id="626"/>
    </w:p>
    <w:p>
      <w:pPr>
        <w:pStyle w:val="3"/>
        <w:spacing w:before="0" w:after="0" w:line="240" w:lineRule="auto"/>
        <w:jc w:val="center"/>
        <w:rPr>
          <w:rFonts w:hint="eastAsia" w:ascii="Times New Roman" w:hAnsi="Times New Roman" w:eastAsia="方正楷体_GBK"/>
          <w:b w:val="0"/>
          <w:sz w:val="24"/>
          <w:szCs w:val="24"/>
        </w:rPr>
      </w:pPr>
      <w:bookmarkStart w:id="627" w:name="_Toc20726663"/>
      <w:bookmarkStart w:id="628" w:name="_Toc18315804"/>
      <w:r>
        <w:rPr>
          <w:rFonts w:hint="eastAsia" w:ascii="Times New Roman" w:hAnsi="Times New Roman" w:eastAsia="方正楷体_GBK"/>
          <w:b w:val="0"/>
          <w:sz w:val="24"/>
          <w:szCs w:val="24"/>
        </w:rPr>
        <w:t>苏建函注册〔</w:t>
      </w:r>
      <w:r>
        <w:rPr>
          <w:rFonts w:ascii="Times New Roman" w:hAnsi="Times New Roman" w:eastAsia="方正楷体_GBK"/>
          <w:b w:val="0"/>
          <w:sz w:val="24"/>
          <w:szCs w:val="24"/>
        </w:rPr>
        <w:t>2016</w:t>
      </w:r>
      <w:r>
        <w:rPr>
          <w:rFonts w:hint="eastAsia" w:ascii="Times New Roman" w:hAnsi="Times New Roman" w:eastAsia="方正楷体_GBK"/>
          <w:b w:val="0"/>
          <w:sz w:val="24"/>
          <w:szCs w:val="24"/>
        </w:rPr>
        <w:t>〕</w:t>
      </w:r>
      <w:r>
        <w:rPr>
          <w:rFonts w:ascii="Times New Roman" w:hAnsi="Times New Roman" w:eastAsia="方正楷体_GBK"/>
          <w:b w:val="0"/>
          <w:sz w:val="24"/>
          <w:szCs w:val="24"/>
        </w:rPr>
        <w:t>385</w:t>
      </w:r>
      <w:r>
        <w:rPr>
          <w:rFonts w:hint="eastAsia" w:ascii="Times New Roman" w:hAnsi="Times New Roman" w:eastAsia="方正楷体_GBK"/>
          <w:b w:val="0"/>
          <w:sz w:val="24"/>
          <w:szCs w:val="24"/>
        </w:rPr>
        <w:t>号</w:t>
      </w:r>
      <w:bookmarkEnd w:id="627"/>
      <w:bookmarkEnd w:id="628"/>
    </w:p>
    <w:p>
      <w:pPr>
        <w:autoSpaceDE w:val="0"/>
        <w:autoSpaceDN w:val="0"/>
        <w:snapToGrid w:val="0"/>
        <w:spacing w:line="440" w:lineRule="exact"/>
        <w:rPr>
          <w:rFonts w:eastAsia="方正仿宋_GBK"/>
          <w:snapToGrid w:val="0"/>
          <w:color w:val="000000"/>
          <w:kern w:val="0"/>
          <w:sz w:val="24"/>
        </w:rPr>
      </w:pPr>
      <w:r>
        <w:rPr>
          <w:rFonts w:hint="eastAsia" w:eastAsia="方正仿宋_GBK"/>
          <w:snapToGrid w:val="0"/>
          <w:color w:val="000000"/>
          <w:kern w:val="0"/>
          <w:sz w:val="24"/>
        </w:rPr>
        <w:t>各市建设局</w:t>
      </w:r>
      <w:r>
        <w:rPr>
          <w:rFonts w:eastAsia="方正仿宋_GBK"/>
          <w:snapToGrid w:val="0"/>
          <w:color w:val="000000"/>
          <w:kern w:val="0"/>
          <w:sz w:val="24"/>
        </w:rPr>
        <w:t>(</w:t>
      </w:r>
      <w:r>
        <w:rPr>
          <w:rFonts w:hint="eastAsia" w:eastAsia="方正仿宋_GBK"/>
          <w:snapToGrid w:val="0"/>
          <w:color w:val="000000"/>
          <w:kern w:val="0"/>
          <w:sz w:val="24"/>
        </w:rPr>
        <w:t>委</w:t>
      </w:r>
      <w:r>
        <w:rPr>
          <w:rFonts w:eastAsia="方正仿宋_GBK"/>
          <w:snapToGrid w:val="0"/>
          <w:color w:val="000000"/>
          <w:kern w:val="0"/>
          <w:sz w:val="24"/>
        </w:rPr>
        <w:t>)</w:t>
      </w:r>
      <w:r>
        <w:rPr>
          <w:rFonts w:hint="eastAsia" w:eastAsia="方正仿宋_GBK"/>
          <w:snapToGrid w:val="0"/>
          <w:color w:val="000000"/>
          <w:kern w:val="0"/>
          <w:sz w:val="24"/>
        </w:rPr>
        <w:t>：</w:t>
      </w:r>
    </w:p>
    <w:p>
      <w:pPr>
        <w:spacing w:line="440" w:lineRule="exact"/>
        <w:jc w:val="left"/>
        <w:rPr>
          <w:rFonts w:eastAsia="方正仿宋_GBK"/>
          <w:snapToGrid w:val="0"/>
          <w:color w:val="000000"/>
          <w:kern w:val="0"/>
          <w:sz w:val="24"/>
        </w:rPr>
      </w:pPr>
      <w:r>
        <w:rPr>
          <w:rFonts w:eastAsia="方正仿宋_GBK"/>
          <w:snapToGrid w:val="0"/>
          <w:color w:val="000000"/>
          <w:kern w:val="0"/>
          <w:sz w:val="24"/>
        </w:rPr>
        <w:t xml:space="preserve">    </w:t>
      </w:r>
      <w:r>
        <w:rPr>
          <w:rFonts w:hint="eastAsia" w:eastAsia="方正仿宋_GBK"/>
          <w:snapToGrid w:val="0"/>
          <w:color w:val="000000"/>
          <w:kern w:val="0"/>
          <w:sz w:val="24"/>
        </w:rPr>
        <w:t>为贯彻落实国务院行政审批改革精神，按照便民、利民、高效的原则，我省定于今年</w:t>
      </w:r>
      <w:r>
        <w:rPr>
          <w:rFonts w:eastAsia="方正仿宋_GBK"/>
          <w:snapToGrid w:val="0"/>
          <w:color w:val="000000"/>
          <w:kern w:val="0"/>
          <w:sz w:val="24"/>
        </w:rPr>
        <w:t>7</w:t>
      </w:r>
      <w:r>
        <w:rPr>
          <w:rFonts w:hint="eastAsia" w:eastAsia="方正仿宋_GBK"/>
          <w:snapToGrid w:val="0"/>
          <w:color w:val="000000"/>
          <w:kern w:val="0"/>
          <w:sz w:val="24"/>
        </w:rPr>
        <w:t>月开展二级注册结构工程师注册电子化审批工作。现将有关情况通知如下：</w:t>
      </w:r>
    </w:p>
    <w:p>
      <w:pPr>
        <w:spacing w:line="440" w:lineRule="exact"/>
        <w:ind w:firstLine="480" w:firstLineChars="200"/>
        <w:rPr>
          <w:rFonts w:ascii="Times New Roman" w:eastAsia="黑体"/>
          <w:snapToGrid w:val="0"/>
          <w:color w:val="000000"/>
          <w:kern w:val="32"/>
          <w:sz w:val="24"/>
        </w:rPr>
      </w:pPr>
      <w:r>
        <w:rPr>
          <w:rFonts w:hint="eastAsia" w:ascii="Times New Roman" w:eastAsia="黑体"/>
          <w:snapToGrid w:val="0"/>
          <w:color w:val="000000"/>
          <w:kern w:val="32"/>
          <w:sz w:val="24"/>
        </w:rPr>
        <w:t>一、开始时间</w:t>
      </w:r>
    </w:p>
    <w:p>
      <w:pPr>
        <w:spacing w:line="440" w:lineRule="exact"/>
        <w:ind w:firstLine="480" w:firstLineChars="200"/>
        <w:rPr>
          <w:rFonts w:hint="eastAsia" w:eastAsia="方正仿宋_GBK"/>
          <w:snapToGrid w:val="0"/>
          <w:color w:val="000000"/>
          <w:kern w:val="0"/>
          <w:sz w:val="24"/>
        </w:rPr>
      </w:pPr>
      <w:r>
        <w:rPr>
          <w:rFonts w:eastAsia="方正仿宋_GBK"/>
          <w:snapToGrid w:val="0"/>
          <w:color w:val="000000"/>
          <w:kern w:val="0"/>
          <w:sz w:val="24"/>
        </w:rPr>
        <w:t>2016</w:t>
      </w:r>
      <w:r>
        <w:rPr>
          <w:rFonts w:hint="eastAsia" w:eastAsia="方正仿宋_GBK"/>
          <w:snapToGrid w:val="0"/>
          <w:color w:val="000000"/>
          <w:kern w:val="0"/>
          <w:sz w:val="24"/>
        </w:rPr>
        <w:t>年</w:t>
      </w:r>
      <w:r>
        <w:rPr>
          <w:rFonts w:eastAsia="方正仿宋_GBK"/>
          <w:snapToGrid w:val="0"/>
          <w:color w:val="000000"/>
          <w:kern w:val="0"/>
          <w:sz w:val="24"/>
        </w:rPr>
        <w:t>7</w:t>
      </w:r>
      <w:r>
        <w:rPr>
          <w:rFonts w:hint="eastAsia" w:eastAsia="方正仿宋_GBK"/>
          <w:snapToGrid w:val="0"/>
          <w:color w:val="000000"/>
          <w:kern w:val="0"/>
          <w:sz w:val="24"/>
        </w:rPr>
        <w:t>月</w:t>
      </w:r>
      <w:r>
        <w:rPr>
          <w:rFonts w:eastAsia="方正仿宋_GBK"/>
          <w:snapToGrid w:val="0"/>
          <w:color w:val="000000"/>
          <w:kern w:val="0"/>
          <w:sz w:val="24"/>
        </w:rPr>
        <w:t>1</w:t>
      </w:r>
      <w:r>
        <w:rPr>
          <w:rFonts w:hint="eastAsia" w:eastAsia="方正仿宋_GBK"/>
          <w:snapToGrid w:val="0"/>
          <w:color w:val="000000"/>
          <w:kern w:val="0"/>
          <w:sz w:val="24"/>
        </w:rPr>
        <w:t>日起，我省二级注册结构工程师注册实行电子化审批。</w:t>
      </w:r>
    </w:p>
    <w:p>
      <w:pPr>
        <w:spacing w:line="440" w:lineRule="exact"/>
        <w:ind w:firstLine="480" w:firstLineChars="200"/>
        <w:rPr>
          <w:rFonts w:ascii="Times New Roman" w:eastAsia="黑体"/>
          <w:snapToGrid w:val="0"/>
          <w:color w:val="000000"/>
          <w:kern w:val="32"/>
          <w:sz w:val="24"/>
        </w:rPr>
      </w:pPr>
      <w:r>
        <w:rPr>
          <w:rFonts w:hint="eastAsia" w:ascii="Times New Roman" w:eastAsia="黑体"/>
          <w:snapToGrid w:val="0"/>
          <w:color w:val="000000"/>
          <w:kern w:val="32"/>
          <w:sz w:val="24"/>
        </w:rPr>
        <w:t>二、申报审核流程</w:t>
      </w:r>
    </w:p>
    <w:p>
      <w:pPr>
        <w:spacing w:line="440" w:lineRule="exact"/>
        <w:ind w:firstLine="482" w:firstLineChars="200"/>
        <w:rPr>
          <w:rFonts w:hint="eastAsia" w:eastAsia="方正仿宋_GBK"/>
          <w:snapToGrid w:val="0"/>
          <w:color w:val="000000"/>
          <w:kern w:val="0"/>
          <w:sz w:val="24"/>
        </w:rPr>
      </w:pPr>
      <w:r>
        <w:rPr>
          <w:rFonts w:eastAsia="方正仿宋_GBK"/>
          <w:b/>
          <w:snapToGrid w:val="0"/>
          <w:color w:val="000000"/>
          <w:kern w:val="0"/>
          <w:sz w:val="24"/>
        </w:rPr>
        <w:t xml:space="preserve">1. </w:t>
      </w:r>
      <w:r>
        <w:rPr>
          <w:rFonts w:hint="eastAsia" w:eastAsia="方正仿宋_GBK"/>
          <w:b/>
          <w:snapToGrid w:val="0"/>
          <w:color w:val="000000"/>
          <w:kern w:val="0"/>
          <w:sz w:val="24"/>
        </w:rPr>
        <w:t>网上申请。</w:t>
      </w:r>
      <w:r>
        <w:rPr>
          <w:rFonts w:hint="eastAsia" w:eastAsia="方正仿宋_GBK"/>
          <w:snapToGrid w:val="0"/>
          <w:color w:val="000000"/>
          <w:kern w:val="0"/>
          <w:sz w:val="24"/>
        </w:rPr>
        <w:t>申请人在</w:t>
      </w:r>
      <w:r>
        <w:rPr>
          <w:rFonts w:eastAsia="方正仿宋_GBK"/>
          <w:snapToGrid w:val="0"/>
          <w:color w:val="000000"/>
          <w:kern w:val="0"/>
          <w:sz w:val="24"/>
        </w:rPr>
        <w:t>“</w:t>
      </w:r>
      <w:r>
        <w:rPr>
          <w:rFonts w:hint="eastAsia" w:eastAsia="方正仿宋_GBK"/>
          <w:snapToGrid w:val="0"/>
          <w:color w:val="000000"/>
          <w:kern w:val="0"/>
          <w:sz w:val="24"/>
        </w:rPr>
        <w:t>江苏省建设执业资格注册管理系统</w:t>
      </w:r>
      <w:r>
        <w:rPr>
          <w:rFonts w:eastAsia="方正仿宋_GBK"/>
          <w:snapToGrid w:val="0"/>
          <w:color w:val="000000"/>
          <w:kern w:val="0"/>
          <w:sz w:val="24"/>
        </w:rPr>
        <w:t>”</w:t>
      </w:r>
      <w:r>
        <w:rPr>
          <w:rFonts w:hint="eastAsia" w:eastAsia="方正仿宋_GBK"/>
          <w:snapToGrid w:val="0"/>
          <w:color w:val="000000"/>
          <w:kern w:val="0"/>
          <w:sz w:val="24"/>
        </w:rPr>
        <w:t>（以下简称</w:t>
      </w:r>
      <w:r>
        <w:rPr>
          <w:rFonts w:eastAsia="方正仿宋_GBK"/>
          <w:snapToGrid w:val="0"/>
          <w:color w:val="000000"/>
          <w:kern w:val="0"/>
          <w:sz w:val="24"/>
        </w:rPr>
        <w:t>“</w:t>
      </w:r>
      <w:r>
        <w:rPr>
          <w:rFonts w:hint="eastAsia" w:eastAsia="方正仿宋_GBK"/>
          <w:snapToGrid w:val="0"/>
          <w:color w:val="000000"/>
          <w:kern w:val="0"/>
          <w:sz w:val="24"/>
        </w:rPr>
        <w:t>省注册系统</w:t>
      </w:r>
      <w:r>
        <w:rPr>
          <w:rFonts w:eastAsia="方正仿宋_GBK"/>
          <w:snapToGrid w:val="0"/>
          <w:color w:val="000000"/>
          <w:kern w:val="0"/>
          <w:sz w:val="24"/>
        </w:rPr>
        <w:t>”</w:t>
      </w:r>
      <w:r>
        <w:rPr>
          <w:rFonts w:hint="eastAsia" w:eastAsia="方正仿宋_GBK"/>
          <w:snapToGrid w:val="0"/>
          <w:color w:val="000000"/>
          <w:kern w:val="0"/>
          <w:sz w:val="24"/>
        </w:rPr>
        <w:t>）填写注册申请表并上传相应电子扫描件，提交单位管理员审核。</w:t>
      </w:r>
    </w:p>
    <w:p>
      <w:pPr>
        <w:spacing w:line="440" w:lineRule="exact"/>
        <w:ind w:firstLine="482" w:firstLineChars="200"/>
        <w:rPr>
          <w:rFonts w:eastAsia="方正仿宋_GBK"/>
          <w:color w:val="000000"/>
          <w:sz w:val="24"/>
        </w:rPr>
      </w:pPr>
      <w:r>
        <w:rPr>
          <w:rFonts w:eastAsia="方正仿宋_GBK"/>
          <w:b/>
          <w:snapToGrid w:val="0"/>
          <w:color w:val="000000"/>
          <w:kern w:val="0"/>
          <w:sz w:val="24"/>
        </w:rPr>
        <w:t xml:space="preserve">2. </w:t>
      </w:r>
      <w:r>
        <w:rPr>
          <w:rFonts w:hint="eastAsia" w:eastAsia="方正仿宋_GBK"/>
          <w:b/>
          <w:snapToGrid w:val="0"/>
          <w:color w:val="000000"/>
          <w:kern w:val="0"/>
          <w:sz w:val="24"/>
        </w:rPr>
        <w:t>省级核准。</w:t>
      </w:r>
      <w:r>
        <w:rPr>
          <w:rFonts w:hint="eastAsia" w:eastAsia="方正仿宋_GBK"/>
          <w:color w:val="000000"/>
          <w:sz w:val="24"/>
        </w:rPr>
        <w:t>省住房和城乡建设厅对二级注册结构工程师核准后，省注册系统自动生成证书，企业可进入系统自行打印证书。初始、变更、延续、更改补办注册的执业印章由注册本人按《关于停止收取注册和印章收费有关问题的通知》中印模样式（二级结构注册工程师参照一级注册结构工程师）自行制作。</w:t>
      </w:r>
    </w:p>
    <w:p>
      <w:pPr>
        <w:spacing w:line="440" w:lineRule="exact"/>
        <w:ind w:firstLine="480" w:firstLineChars="200"/>
        <w:rPr>
          <w:rFonts w:ascii="Times New Roman" w:eastAsia="黑体"/>
          <w:snapToGrid w:val="0"/>
          <w:color w:val="000000"/>
          <w:kern w:val="32"/>
          <w:sz w:val="24"/>
        </w:rPr>
      </w:pPr>
      <w:r>
        <w:rPr>
          <w:rFonts w:hint="eastAsia" w:ascii="Times New Roman" w:eastAsia="黑体"/>
          <w:snapToGrid w:val="0"/>
          <w:color w:val="000000"/>
          <w:kern w:val="32"/>
          <w:sz w:val="24"/>
        </w:rPr>
        <w:t>三、其他事项</w:t>
      </w:r>
    </w:p>
    <w:p>
      <w:pPr>
        <w:spacing w:line="440" w:lineRule="exact"/>
        <w:ind w:firstLine="482" w:firstLineChars="200"/>
        <w:rPr>
          <w:rFonts w:hint="eastAsia" w:eastAsia="方正仿宋_GBK"/>
          <w:color w:val="000000"/>
          <w:spacing w:val="-6"/>
          <w:sz w:val="24"/>
        </w:rPr>
      </w:pPr>
      <w:r>
        <w:rPr>
          <w:rFonts w:eastAsia="方正仿宋_GBK"/>
          <w:b/>
          <w:snapToGrid w:val="0"/>
          <w:color w:val="000000"/>
          <w:kern w:val="0"/>
          <w:sz w:val="24"/>
        </w:rPr>
        <w:t xml:space="preserve">1. </w:t>
      </w:r>
      <w:r>
        <w:rPr>
          <w:rFonts w:hint="eastAsia" w:eastAsia="方正仿宋_GBK"/>
          <w:b/>
          <w:snapToGrid w:val="0"/>
          <w:color w:val="000000"/>
          <w:spacing w:val="-6"/>
          <w:kern w:val="0"/>
          <w:sz w:val="24"/>
        </w:rPr>
        <w:t>注册证书注销。</w:t>
      </w:r>
      <w:r>
        <w:rPr>
          <w:rFonts w:hint="eastAsia" w:eastAsia="方正仿宋_GBK"/>
          <w:color w:val="000000"/>
          <w:spacing w:val="-6"/>
          <w:sz w:val="24"/>
        </w:rPr>
        <w:t>注销注册的证书，由申请人将证书邮寄到江苏省住房和城乡建设厅便民服务中心注册材料接收窗口</w:t>
      </w:r>
      <w:r>
        <w:rPr>
          <w:rFonts w:eastAsia="方正仿宋_GBK"/>
          <w:color w:val="000000"/>
          <w:spacing w:val="-6"/>
          <w:sz w:val="24"/>
        </w:rPr>
        <w:t>,</w:t>
      </w:r>
      <w:r>
        <w:rPr>
          <w:rFonts w:hint="eastAsia" w:eastAsia="方正仿宋_GBK"/>
          <w:color w:val="000000"/>
          <w:spacing w:val="-6"/>
          <w:sz w:val="24"/>
        </w:rPr>
        <w:t>窗口收到证书并审核相关数据后，完成注销流程。</w:t>
      </w:r>
    </w:p>
    <w:p>
      <w:pPr>
        <w:spacing w:line="440" w:lineRule="exact"/>
        <w:ind w:firstLine="482" w:firstLineChars="200"/>
        <w:rPr>
          <w:rFonts w:eastAsia="方正仿宋_GBK"/>
          <w:color w:val="000000"/>
          <w:sz w:val="24"/>
        </w:rPr>
      </w:pPr>
      <w:r>
        <w:rPr>
          <w:rFonts w:eastAsia="方正仿宋_GBK"/>
          <w:b/>
          <w:snapToGrid w:val="0"/>
          <w:color w:val="000000"/>
          <w:kern w:val="0"/>
          <w:sz w:val="24"/>
        </w:rPr>
        <w:t xml:space="preserve">2. </w:t>
      </w:r>
      <w:r>
        <w:rPr>
          <w:rFonts w:hint="eastAsia" w:eastAsia="方正仿宋_GBK"/>
          <w:b/>
          <w:snapToGrid w:val="0"/>
          <w:color w:val="000000"/>
          <w:kern w:val="0"/>
          <w:sz w:val="24"/>
        </w:rPr>
        <w:t>出省变更办理。</w:t>
      </w:r>
      <w:r>
        <w:rPr>
          <w:rFonts w:hint="eastAsia" w:eastAsia="方正仿宋_GBK"/>
          <w:color w:val="000000"/>
          <w:sz w:val="24"/>
        </w:rPr>
        <w:t>变更到外省的注册申请，申请人在省注册系统中提交相关业务，省住房和城乡建设厅审核通过后，申请人方可打印出申请表，经新聘企业盖章确认后，由申请人将证书交至江苏省政务服务中心住房和城乡建设厅注册中心窗口，注册窗口将申请表盖好章邮寄给申请人。</w:t>
      </w:r>
    </w:p>
    <w:p>
      <w:pPr>
        <w:spacing w:line="440" w:lineRule="exact"/>
        <w:ind w:firstLine="480" w:firstLineChars="200"/>
        <w:rPr>
          <w:rFonts w:ascii="Times New Roman" w:eastAsia="黑体"/>
          <w:snapToGrid w:val="0"/>
          <w:color w:val="000000"/>
          <w:kern w:val="32"/>
          <w:sz w:val="24"/>
        </w:rPr>
      </w:pPr>
      <w:r>
        <w:rPr>
          <w:rFonts w:hint="eastAsia" w:ascii="Times New Roman" w:eastAsia="黑体"/>
          <w:snapToGrid w:val="0"/>
          <w:color w:val="000000"/>
          <w:kern w:val="32"/>
          <w:sz w:val="24"/>
        </w:rPr>
        <w:t>四、联系方式</w:t>
      </w:r>
    </w:p>
    <w:p>
      <w:pPr>
        <w:spacing w:line="440" w:lineRule="exact"/>
        <w:ind w:firstLine="480" w:firstLineChars="200"/>
        <w:jc w:val="left"/>
        <w:rPr>
          <w:rFonts w:hint="eastAsia" w:eastAsia="方正仿宋_GBK"/>
          <w:snapToGrid w:val="0"/>
          <w:color w:val="000000"/>
          <w:kern w:val="0"/>
          <w:sz w:val="24"/>
        </w:rPr>
      </w:pPr>
      <w:r>
        <w:rPr>
          <w:rFonts w:hint="eastAsia" w:eastAsia="方正仿宋_GBK"/>
          <w:snapToGrid w:val="0"/>
          <w:color w:val="000000"/>
          <w:kern w:val="0"/>
          <w:sz w:val="24"/>
        </w:rPr>
        <w:t>联系人：任银天</w:t>
      </w:r>
      <w:r>
        <w:rPr>
          <w:rFonts w:eastAsia="方正仿宋_GBK"/>
          <w:snapToGrid w:val="0"/>
          <w:color w:val="000000"/>
          <w:kern w:val="0"/>
          <w:sz w:val="24"/>
        </w:rPr>
        <w:t xml:space="preserve">    </w:t>
      </w:r>
      <w:r>
        <w:rPr>
          <w:rFonts w:hint="eastAsia" w:eastAsia="方正仿宋_GBK"/>
          <w:snapToGrid w:val="0"/>
          <w:color w:val="000000"/>
          <w:kern w:val="0"/>
          <w:sz w:val="24"/>
        </w:rPr>
        <w:t>联系电话：</w:t>
      </w:r>
      <w:r>
        <w:rPr>
          <w:rFonts w:eastAsia="方正仿宋_GBK"/>
          <w:snapToGrid w:val="0"/>
          <w:color w:val="000000"/>
          <w:kern w:val="0"/>
          <w:sz w:val="24"/>
        </w:rPr>
        <w:t>025-83666746</w:t>
      </w:r>
    </w:p>
    <w:p>
      <w:pPr>
        <w:spacing w:line="440" w:lineRule="exact"/>
        <w:ind w:firstLine="480" w:firstLineChars="200"/>
        <w:rPr>
          <w:rFonts w:eastAsia="方正仿宋_GBK"/>
          <w:snapToGrid w:val="0"/>
          <w:color w:val="000000"/>
          <w:kern w:val="0"/>
          <w:sz w:val="24"/>
        </w:rPr>
      </w:pPr>
      <w:r>
        <w:rPr>
          <w:rFonts w:hint="eastAsia" w:eastAsia="方正仿宋_GBK"/>
          <w:snapToGrid w:val="0"/>
          <w:color w:val="000000"/>
          <w:kern w:val="0"/>
          <w:sz w:val="24"/>
        </w:rPr>
        <w:t>系统技术支持电话：</w:t>
      </w:r>
      <w:r>
        <w:rPr>
          <w:rFonts w:eastAsia="方正仿宋_GBK"/>
          <w:snapToGrid w:val="0"/>
          <w:color w:val="000000"/>
          <w:kern w:val="0"/>
          <w:sz w:val="24"/>
        </w:rPr>
        <w:t>025-51868276</w:t>
      </w:r>
    </w:p>
    <w:p>
      <w:pPr>
        <w:spacing w:line="440" w:lineRule="exact"/>
        <w:ind w:firstLine="6031" w:firstLineChars="2513"/>
        <w:rPr>
          <w:rFonts w:eastAsia="仿宋"/>
          <w:snapToGrid w:val="0"/>
          <w:color w:val="000000"/>
          <w:kern w:val="0"/>
          <w:sz w:val="32"/>
        </w:rPr>
      </w:pPr>
      <w:r>
        <w:rPr>
          <w:rFonts w:hint="eastAsia" w:eastAsia="方正仿宋_GBK"/>
          <w:snapToGrid w:val="0"/>
          <w:color w:val="000000"/>
          <w:kern w:val="0"/>
          <w:sz w:val="24"/>
        </w:rPr>
        <w:t>江苏省住房和城乡建设厅</w:t>
      </w:r>
    </w:p>
    <w:p>
      <w:pPr>
        <w:spacing w:line="460" w:lineRule="exact"/>
        <w:ind w:firstLine="480" w:firstLineChars="200"/>
        <w:outlineLvl w:val="0"/>
        <w:rPr>
          <w:rFonts w:eastAsia="方正仿宋_GBK"/>
          <w:color w:val="000000"/>
          <w:spacing w:val="-2"/>
          <w:kern w:val="0"/>
          <w:sz w:val="24"/>
        </w:rPr>
      </w:pPr>
      <w:r>
        <w:rPr>
          <w:rFonts w:eastAsia="方正仿宋_GBK"/>
          <w:snapToGrid w:val="0"/>
          <w:color w:val="000000"/>
          <w:kern w:val="0"/>
          <w:sz w:val="24"/>
        </w:rPr>
        <w:t xml:space="preserve">                                                      </w:t>
      </w:r>
      <w:bookmarkStart w:id="629" w:name="_Toc20668135"/>
      <w:bookmarkStart w:id="630" w:name="_Toc20726664"/>
      <w:r>
        <w:rPr>
          <w:rFonts w:eastAsia="方正仿宋_GBK"/>
          <w:snapToGrid w:val="0"/>
          <w:color w:val="000000"/>
          <w:kern w:val="0"/>
          <w:sz w:val="24"/>
        </w:rPr>
        <w:t>2016</w:t>
      </w:r>
      <w:r>
        <w:rPr>
          <w:rFonts w:hint="eastAsia" w:eastAsia="方正仿宋_GBK"/>
          <w:snapToGrid w:val="0"/>
          <w:color w:val="000000"/>
          <w:kern w:val="0"/>
          <w:sz w:val="24"/>
        </w:rPr>
        <w:t>年</w:t>
      </w:r>
      <w:r>
        <w:rPr>
          <w:rFonts w:eastAsia="方正仿宋_GBK"/>
          <w:snapToGrid w:val="0"/>
          <w:color w:val="000000"/>
          <w:kern w:val="0"/>
          <w:sz w:val="24"/>
        </w:rPr>
        <w:t>6</w:t>
      </w:r>
      <w:r>
        <w:rPr>
          <w:rFonts w:hint="eastAsia" w:eastAsia="方正仿宋_GBK"/>
          <w:snapToGrid w:val="0"/>
          <w:color w:val="000000"/>
          <w:kern w:val="0"/>
          <w:sz w:val="24"/>
        </w:rPr>
        <w:t>月</w:t>
      </w:r>
      <w:r>
        <w:rPr>
          <w:rFonts w:eastAsia="方正仿宋_GBK"/>
          <w:snapToGrid w:val="0"/>
          <w:color w:val="000000"/>
          <w:kern w:val="0"/>
          <w:sz w:val="24"/>
        </w:rPr>
        <w:t>20</w:t>
      </w:r>
      <w:r>
        <w:rPr>
          <w:rFonts w:hint="eastAsia" w:eastAsia="方正仿宋_GBK"/>
          <w:snapToGrid w:val="0"/>
          <w:color w:val="000000"/>
          <w:kern w:val="0"/>
          <w:sz w:val="24"/>
        </w:rPr>
        <w:t>日</w:t>
      </w:r>
      <w:bookmarkEnd w:id="629"/>
      <w:bookmarkEnd w:id="630"/>
    </w:p>
    <w:p>
      <w:pPr>
        <w:pStyle w:val="2"/>
        <w:spacing w:before="240" w:beforeLines="100" w:after="240" w:afterLines="100" w:line="240" w:lineRule="auto"/>
        <w:jc w:val="center"/>
        <w:rPr>
          <w:rFonts w:eastAsia="方正仿宋_GBK"/>
          <w:color w:val="000000"/>
          <w:spacing w:val="-2"/>
          <w:kern w:val="0"/>
          <w:sz w:val="24"/>
        </w:rPr>
      </w:pPr>
    </w:p>
    <w:p>
      <w:pPr>
        <w:pStyle w:val="2"/>
        <w:spacing w:before="240" w:beforeLines="100" w:after="240" w:afterLines="100" w:line="240" w:lineRule="auto"/>
        <w:jc w:val="center"/>
        <w:rPr>
          <w:rFonts w:eastAsia="方正仿宋_GBK"/>
          <w:color w:val="000000"/>
          <w:spacing w:val="-2"/>
          <w:kern w:val="0"/>
          <w:sz w:val="24"/>
        </w:rPr>
      </w:pPr>
    </w:p>
    <w:p>
      <w:pPr>
        <w:pStyle w:val="2"/>
        <w:spacing w:before="240" w:beforeLines="100" w:after="240" w:afterLines="100" w:line="240" w:lineRule="auto"/>
        <w:jc w:val="center"/>
        <w:rPr>
          <w:rFonts w:eastAsia="方正仿宋_GBK"/>
          <w:color w:val="000000"/>
          <w:spacing w:val="-2"/>
          <w:kern w:val="0"/>
          <w:sz w:val="24"/>
        </w:rPr>
      </w:pPr>
    </w:p>
    <w:p>
      <w:pPr>
        <w:pStyle w:val="2"/>
        <w:spacing w:before="240" w:beforeLines="100" w:after="240" w:afterLines="100" w:line="240" w:lineRule="auto"/>
        <w:jc w:val="center"/>
        <w:rPr>
          <w:rFonts w:eastAsia="方正仿宋_GBK"/>
          <w:color w:val="000000"/>
          <w:spacing w:val="-2"/>
          <w:kern w:val="0"/>
          <w:sz w:val="24"/>
        </w:rPr>
      </w:pPr>
    </w:p>
    <w:p>
      <w:pPr>
        <w:pStyle w:val="2"/>
        <w:spacing w:before="240" w:beforeLines="100" w:after="240" w:afterLines="100" w:line="240" w:lineRule="auto"/>
        <w:jc w:val="center"/>
        <w:rPr>
          <w:rFonts w:eastAsia="方正仿宋_GBK"/>
          <w:color w:val="000000"/>
          <w:spacing w:val="-2"/>
          <w:kern w:val="0"/>
          <w:sz w:val="24"/>
        </w:rPr>
      </w:pPr>
    </w:p>
    <w:p>
      <w:pPr>
        <w:pStyle w:val="2"/>
        <w:spacing w:before="240" w:beforeLines="100" w:after="240" w:afterLines="100" w:line="240" w:lineRule="auto"/>
        <w:jc w:val="center"/>
        <w:rPr>
          <w:rFonts w:eastAsia="方正仿宋_GBK"/>
          <w:color w:val="000000"/>
          <w:spacing w:val="-2"/>
          <w:kern w:val="0"/>
          <w:sz w:val="24"/>
        </w:rPr>
      </w:pPr>
    </w:p>
    <w:p>
      <w:pPr>
        <w:pStyle w:val="2"/>
        <w:spacing w:before="240" w:beforeLines="100" w:after="240" w:afterLines="100" w:line="240" w:lineRule="auto"/>
        <w:jc w:val="center"/>
        <w:rPr>
          <w:rFonts w:eastAsia="方正仿宋_GBK"/>
          <w:color w:val="000000"/>
          <w:spacing w:val="-2"/>
          <w:kern w:val="0"/>
          <w:sz w:val="24"/>
        </w:rPr>
      </w:pPr>
    </w:p>
    <w:p>
      <w:pPr>
        <w:pStyle w:val="2"/>
        <w:spacing w:before="240" w:beforeLines="100" w:after="240" w:afterLines="100" w:line="240" w:lineRule="auto"/>
        <w:jc w:val="center"/>
        <w:rPr>
          <w:rFonts w:eastAsia="方正仿宋_GBK"/>
          <w:color w:val="000000"/>
          <w:spacing w:val="-2"/>
          <w:kern w:val="0"/>
          <w:sz w:val="24"/>
        </w:rPr>
      </w:pPr>
    </w:p>
    <w:p>
      <w:pPr>
        <w:pStyle w:val="2"/>
        <w:spacing w:before="240" w:beforeLines="100" w:after="240" w:afterLines="100" w:line="240" w:lineRule="auto"/>
        <w:jc w:val="center"/>
        <w:rPr>
          <w:rFonts w:eastAsia="方正仿宋_GBK"/>
          <w:color w:val="000000"/>
          <w:spacing w:val="-2"/>
          <w:kern w:val="0"/>
          <w:sz w:val="24"/>
        </w:rPr>
      </w:pPr>
    </w:p>
    <w:p>
      <w:pPr>
        <w:pStyle w:val="2"/>
        <w:spacing w:before="240" w:beforeLines="100" w:after="240" w:afterLines="100" w:line="240" w:lineRule="auto"/>
        <w:jc w:val="center"/>
        <w:rPr>
          <w:rFonts w:eastAsia="方正仿宋_GBK"/>
          <w:color w:val="000000"/>
          <w:spacing w:val="-2"/>
          <w:kern w:val="0"/>
          <w:sz w:val="24"/>
        </w:rPr>
      </w:pPr>
    </w:p>
    <w:p>
      <w:pPr>
        <w:pStyle w:val="2"/>
        <w:spacing w:before="240" w:beforeLines="100" w:after="240" w:afterLines="100" w:line="240" w:lineRule="auto"/>
        <w:jc w:val="center"/>
        <w:rPr>
          <w:rFonts w:eastAsia="方正仿宋_GBK"/>
          <w:color w:val="000000"/>
          <w:spacing w:val="-2"/>
          <w:kern w:val="0"/>
          <w:sz w:val="24"/>
        </w:rPr>
      </w:pPr>
    </w:p>
    <w:p>
      <w:pPr>
        <w:pStyle w:val="2"/>
        <w:spacing w:before="240" w:beforeLines="100" w:after="240" w:afterLines="100" w:line="240" w:lineRule="auto"/>
        <w:jc w:val="center"/>
        <w:rPr>
          <w:rFonts w:eastAsia="方正仿宋_GBK"/>
          <w:color w:val="000000"/>
          <w:spacing w:val="-2"/>
          <w:kern w:val="0"/>
          <w:sz w:val="24"/>
        </w:rPr>
      </w:pPr>
    </w:p>
    <w:p>
      <w:pPr>
        <w:pStyle w:val="2"/>
        <w:spacing w:before="240" w:beforeLines="100" w:after="240" w:afterLines="100" w:line="240" w:lineRule="auto"/>
        <w:jc w:val="center"/>
        <w:rPr>
          <w:rFonts w:eastAsia="方正仿宋_GBK"/>
          <w:color w:val="000000"/>
          <w:spacing w:val="-2"/>
          <w:kern w:val="0"/>
          <w:sz w:val="24"/>
        </w:rPr>
      </w:pPr>
    </w:p>
    <w:p>
      <w:pPr>
        <w:pStyle w:val="2"/>
        <w:spacing w:before="240" w:beforeLines="100" w:after="240" w:afterLines="100" w:line="240" w:lineRule="auto"/>
        <w:jc w:val="center"/>
        <w:rPr>
          <w:rFonts w:ascii="Times New Roman" w:eastAsia="方正小标宋_GBK"/>
          <w:b w:val="0"/>
          <w:sz w:val="36"/>
          <w:szCs w:val="36"/>
        </w:rPr>
      </w:pPr>
      <w:r>
        <w:rPr>
          <w:rFonts w:eastAsia="方正仿宋_GBK"/>
          <w:b w:val="0"/>
          <w:color w:val="000000"/>
          <w:spacing w:val="-2"/>
          <w:kern w:val="0"/>
          <w:sz w:val="24"/>
        </w:rPr>
        <w:br w:type="column"/>
      </w:r>
      <w:bookmarkStart w:id="631" w:name="_Toc20726650"/>
      <w:bookmarkStart w:id="632" w:name="_Toc18315791"/>
      <w:r>
        <w:rPr>
          <w:rFonts w:hint="eastAsia" w:ascii="Times New Roman" w:eastAsia="方正小标宋_GBK"/>
          <w:b w:val="0"/>
          <w:sz w:val="36"/>
          <w:szCs w:val="36"/>
        </w:rPr>
        <w:t>省住房城乡建设厅关于开展燃气经营企业从业人员     专业培训考核的通知</w:t>
      </w:r>
      <w:bookmarkEnd w:id="631"/>
      <w:bookmarkEnd w:id="632"/>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633" w:name="_Toc20726651"/>
      <w:bookmarkStart w:id="634" w:name="_Toc18315792"/>
      <w:r>
        <w:rPr>
          <w:rFonts w:hint="eastAsia" w:ascii="Times New Roman" w:hAnsi="Times New Roman" w:eastAsia="方正楷体_GBK"/>
          <w:b w:val="0"/>
          <w:sz w:val="24"/>
          <w:szCs w:val="24"/>
        </w:rPr>
        <w:t>苏建教〔</w:t>
      </w:r>
      <w:r>
        <w:rPr>
          <w:rFonts w:ascii="Times New Roman" w:hAnsi="Times New Roman" w:eastAsia="方正楷体_GBK"/>
          <w:b w:val="0"/>
          <w:sz w:val="24"/>
          <w:szCs w:val="24"/>
        </w:rPr>
        <w:t>2017</w:t>
      </w:r>
      <w:r>
        <w:rPr>
          <w:rFonts w:hint="eastAsia" w:ascii="Times New Roman" w:hAnsi="Times New Roman" w:eastAsia="方正楷体_GBK"/>
          <w:b w:val="0"/>
          <w:sz w:val="24"/>
          <w:szCs w:val="24"/>
        </w:rPr>
        <w:t>〕</w:t>
      </w:r>
      <w:r>
        <w:rPr>
          <w:rFonts w:ascii="Times New Roman" w:hAnsi="Times New Roman" w:eastAsia="方正楷体_GBK"/>
          <w:b w:val="0"/>
          <w:sz w:val="24"/>
          <w:szCs w:val="24"/>
        </w:rPr>
        <w:t>16</w:t>
      </w:r>
      <w:r>
        <w:rPr>
          <w:rFonts w:hint="eastAsia" w:ascii="Times New Roman" w:hAnsi="Times New Roman" w:eastAsia="方正楷体_GBK"/>
          <w:b w:val="0"/>
          <w:sz w:val="24"/>
          <w:szCs w:val="24"/>
        </w:rPr>
        <w:t>号</w:t>
      </w:r>
      <w:bookmarkEnd w:id="633"/>
      <w:bookmarkEnd w:id="634"/>
    </w:p>
    <w:p>
      <w:pPr>
        <w:spacing w:line="460" w:lineRule="exact"/>
        <w:jc w:val="left"/>
        <w:rPr>
          <w:rFonts w:eastAsia="方正仿宋_GBK"/>
          <w:color w:val="000000"/>
          <w:sz w:val="24"/>
        </w:rPr>
      </w:pPr>
      <w:r>
        <w:rPr>
          <w:rFonts w:hint="eastAsia" w:eastAsia="方正仿宋_GBK"/>
          <w:color w:val="000000"/>
          <w:sz w:val="24"/>
        </w:rPr>
        <w:t>各设区市建设局（委）、无锡市政园林局，昆山、泰兴、沭阳县（市）建设局：</w:t>
      </w:r>
    </w:p>
    <w:p>
      <w:pPr>
        <w:spacing w:line="460" w:lineRule="exact"/>
        <w:ind w:firstLine="480" w:firstLineChars="200"/>
        <w:rPr>
          <w:rFonts w:eastAsia="方正仿宋_GBK"/>
          <w:color w:val="000000"/>
          <w:sz w:val="24"/>
        </w:rPr>
      </w:pPr>
      <w:r>
        <w:rPr>
          <w:rFonts w:hint="eastAsia" w:eastAsia="方正仿宋_GBK"/>
          <w:color w:val="000000"/>
          <w:sz w:val="24"/>
        </w:rPr>
        <w:t>根据住房城乡建设部</w:t>
      </w:r>
      <w:r>
        <w:rPr>
          <w:rFonts w:hint="eastAsia" w:eastAsia="方正仿宋_GBK"/>
          <w:bCs/>
          <w:color w:val="000000"/>
          <w:sz w:val="24"/>
        </w:rPr>
        <w:t>《关于印发</w:t>
      </w:r>
      <w:r>
        <w:rPr>
          <w:rFonts w:hint="eastAsia" w:ascii="Times New Roman" w:hAnsi="Times New Roman"/>
          <w:bCs/>
          <w:color w:val="000000"/>
          <w:sz w:val="24"/>
        </w:rPr>
        <w:t>&lt;</w:t>
      </w:r>
      <w:r>
        <w:rPr>
          <w:rFonts w:hint="eastAsia" w:eastAsia="方正仿宋_GBK"/>
          <w:bCs/>
          <w:color w:val="000000"/>
          <w:sz w:val="24"/>
        </w:rPr>
        <w:t>燃气经营许可管理办法</w:t>
      </w:r>
      <w:r>
        <w:rPr>
          <w:rFonts w:eastAsia="方正仿宋_GBK"/>
          <w:bCs/>
          <w:color w:val="000000"/>
          <w:sz w:val="24"/>
        </w:rPr>
        <w:t>&gt;</w:t>
      </w:r>
      <w:r>
        <w:rPr>
          <w:rFonts w:hint="eastAsia" w:eastAsia="方正仿宋_GBK"/>
          <w:bCs/>
          <w:color w:val="000000"/>
          <w:sz w:val="24"/>
        </w:rPr>
        <w:t>和</w:t>
      </w:r>
      <w:r>
        <w:rPr>
          <w:rFonts w:eastAsia="方正仿宋_GBK"/>
          <w:bCs/>
          <w:color w:val="000000"/>
          <w:sz w:val="24"/>
        </w:rPr>
        <w:t>&lt;</w:t>
      </w:r>
      <w:r>
        <w:rPr>
          <w:rFonts w:hint="eastAsia" w:eastAsia="方正仿宋_GBK"/>
          <w:bCs/>
          <w:color w:val="000000"/>
          <w:sz w:val="24"/>
        </w:rPr>
        <w:t>燃气经营企业从业人员专业培训考核管理办法</w:t>
      </w:r>
      <w:r>
        <w:rPr>
          <w:rFonts w:hint="eastAsia" w:ascii="Times New Roman" w:hAnsi="Times New Roman"/>
          <w:bCs/>
          <w:color w:val="000000"/>
          <w:sz w:val="24"/>
        </w:rPr>
        <w:t>&gt;</w:t>
      </w:r>
      <w:r>
        <w:rPr>
          <w:rFonts w:hint="eastAsia" w:eastAsia="方正仿宋_GBK"/>
          <w:bCs/>
          <w:color w:val="000000"/>
          <w:sz w:val="24"/>
        </w:rPr>
        <w:t>的通知》（</w:t>
      </w:r>
      <w:r>
        <w:rPr>
          <w:rFonts w:hint="eastAsia" w:eastAsia="方正仿宋_GBK"/>
          <w:color w:val="000000"/>
          <w:sz w:val="24"/>
        </w:rPr>
        <w:t>建城〔</w:t>
      </w:r>
      <w:r>
        <w:rPr>
          <w:rFonts w:eastAsia="方正仿宋_GBK"/>
          <w:color w:val="000000"/>
          <w:sz w:val="24"/>
        </w:rPr>
        <w:t>2014</w:t>
      </w:r>
      <w:r>
        <w:rPr>
          <w:rFonts w:hint="eastAsia" w:eastAsia="方正仿宋_GBK"/>
          <w:color w:val="000000"/>
          <w:sz w:val="24"/>
        </w:rPr>
        <w:t>〕</w:t>
      </w:r>
      <w:r>
        <w:rPr>
          <w:rFonts w:eastAsia="方正仿宋_GBK"/>
          <w:color w:val="000000"/>
          <w:sz w:val="24"/>
        </w:rPr>
        <w:t>167</w:t>
      </w:r>
      <w:r>
        <w:rPr>
          <w:rFonts w:hint="eastAsia" w:eastAsia="方正仿宋_GBK"/>
          <w:color w:val="000000"/>
          <w:sz w:val="24"/>
        </w:rPr>
        <w:t>号）</w:t>
      </w:r>
      <w:r>
        <w:rPr>
          <w:rFonts w:hint="eastAsia" w:eastAsia="方正仿宋_GBK"/>
          <w:bCs/>
          <w:color w:val="000000"/>
          <w:sz w:val="24"/>
        </w:rPr>
        <w:t>要求，为加强燃气经营许可管理，保障燃气经营生产安全，切实提高燃气经营企业从业人员整体素质，自</w:t>
      </w:r>
      <w:r>
        <w:rPr>
          <w:rFonts w:eastAsia="方正仿宋_GBK"/>
          <w:bCs/>
          <w:color w:val="000000"/>
          <w:sz w:val="24"/>
        </w:rPr>
        <w:t>2017</w:t>
      </w:r>
      <w:r>
        <w:rPr>
          <w:rFonts w:hint="eastAsia" w:eastAsia="方正仿宋_GBK"/>
          <w:bCs/>
          <w:color w:val="000000"/>
          <w:sz w:val="24"/>
        </w:rPr>
        <w:t>年起，我省将开展</w:t>
      </w:r>
      <w:r>
        <w:rPr>
          <w:rFonts w:hint="eastAsia" w:eastAsia="方正仿宋_GBK"/>
          <w:color w:val="000000"/>
          <w:sz w:val="24"/>
        </w:rPr>
        <w:t>燃气经营企业从业人员专业培训考核工作。现将有关事项通知如下：</w:t>
      </w:r>
    </w:p>
    <w:p>
      <w:pPr>
        <w:spacing w:line="460" w:lineRule="exact"/>
        <w:ind w:firstLine="480" w:firstLineChars="200"/>
        <w:rPr>
          <w:rFonts w:ascii="Times New Roman" w:eastAsia="黑体"/>
          <w:color w:val="000000"/>
          <w:sz w:val="24"/>
        </w:rPr>
      </w:pPr>
      <w:r>
        <w:rPr>
          <w:rFonts w:hint="eastAsia" w:ascii="Times New Roman" w:eastAsia="黑体"/>
          <w:color w:val="000000"/>
          <w:sz w:val="24"/>
        </w:rPr>
        <w:t>一、组织领导</w:t>
      </w:r>
    </w:p>
    <w:p>
      <w:pPr>
        <w:snapToGrid w:val="0"/>
        <w:spacing w:line="460" w:lineRule="exact"/>
        <w:ind w:firstLine="480" w:firstLineChars="200"/>
        <w:rPr>
          <w:rFonts w:hint="eastAsia" w:eastAsia="方正仿宋_GBK"/>
          <w:color w:val="000000"/>
          <w:sz w:val="24"/>
        </w:rPr>
      </w:pPr>
      <w:r>
        <w:rPr>
          <w:rFonts w:eastAsia="方正仿宋_GBK"/>
          <w:color w:val="000000"/>
          <w:sz w:val="24"/>
          <w:shd w:val="clear" w:color="auto" w:fill="FFFFFF"/>
        </w:rPr>
        <w:t>1. </w:t>
      </w:r>
      <w:r>
        <w:rPr>
          <w:rFonts w:hint="eastAsia" w:eastAsia="方正仿宋_GBK"/>
          <w:color w:val="000000"/>
          <w:sz w:val="24"/>
          <w:shd w:val="clear" w:color="auto" w:fill="FFFFFF"/>
        </w:rPr>
        <w:t>培训</w:t>
      </w:r>
      <w:r>
        <w:rPr>
          <w:rFonts w:hint="eastAsia" w:eastAsia="方正仿宋_GBK"/>
          <w:color w:val="000000"/>
          <w:sz w:val="24"/>
        </w:rPr>
        <w:t>考核工作由省住房城乡建设厅人事教育处会同城市建设处统一组织，具体考务工作由厅执业资格考试与注册中心负责。</w:t>
      </w:r>
    </w:p>
    <w:p>
      <w:pPr>
        <w:snapToGrid w:val="0"/>
        <w:spacing w:line="460" w:lineRule="exact"/>
        <w:ind w:firstLine="480" w:firstLineChars="200"/>
        <w:rPr>
          <w:rFonts w:eastAsia="方正仿宋_GBK"/>
          <w:color w:val="000000"/>
          <w:sz w:val="24"/>
        </w:rPr>
      </w:pPr>
      <w:r>
        <w:rPr>
          <w:rFonts w:eastAsia="方正仿宋_GBK"/>
          <w:color w:val="000000"/>
          <w:sz w:val="24"/>
        </w:rPr>
        <w:t>2. </w:t>
      </w:r>
      <w:r>
        <w:rPr>
          <w:rFonts w:hint="eastAsia" w:eastAsia="方正仿宋_GBK"/>
          <w:color w:val="000000"/>
          <w:sz w:val="24"/>
        </w:rPr>
        <w:t>各设区市燃气主管部门负责本地区培训、考务组织实施等相关具体工作。</w:t>
      </w:r>
    </w:p>
    <w:p>
      <w:pPr>
        <w:spacing w:line="460" w:lineRule="exact"/>
        <w:ind w:firstLine="480" w:firstLineChars="200"/>
        <w:rPr>
          <w:rFonts w:ascii="Times New Roman" w:eastAsia="黑体"/>
          <w:color w:val="000000"/>
          <w:sz w:val="24"/>
        </w:rPr>
      </w:pPr>
      <w:r>
        <w:rPr>
          <w:rFonts w:hint="eastAsia" w:ascii="Times New Roman" w:eastAsia="黑体"/>
          <w:color w:val="000000"/>
          <w:sz w:val="24"/>
        </w:rPr>
        <w:t>二、培训考核对象</w:t>
      </w:r>
    </w:p>
    <w:p>
      <w:pPr>
        <w:snapToGrid w:val="0"/>
        <w:spacing w:line="460" w:lineRule="exact"/>
        <w:ind w:firstLine="480" w:firstLineChars="200"/>
        <w:rPr>
          <w:rFonts w:hint="eastAsia" w:eastAsia="方正仿宋_GBK"/>
          <w:color w:val="000000"/>
          <w:sz w:val="24"/>
          <w:shd w:val="clear" w:color="auto" w:fill="FFFFFF"/>
        </w:rPr>
      </w:pPr>
      <w:r>
        <w:rPr>
          <w:rFonts w:hint="eastAsia" w:eastAsia="方正仿宋_GBK"/>
          <w:color w:val="000000"/>
          <w:sz w:val="24"/>
          <w:shd w:val="clear" w:color="auto" w:fill="FFFFFF"/>
        </w:rPr>
        <w:t>培训考核对象为本省行政区域内燃气经营企业从业人员，具体分为以下</w:t>
      </w:r>
      <w:r>
        <w:rPr>
          <w:rFonts w:eastAsia="方正仿宋_GBK"/>
          <w:color w:val="000000"/>
          <w:sz w:val="24"/>
          <w:shd w:val="clear" w:color="auto" w:fill="FFFFFF"/>
        </w:rPr>
        <w:t>3</w:t>
      </w:r>
      <w:r>
        <w:rPr>
          <w:rFonts w:hint="eastAsia" w:eastAsia="方正仿宋_GBK"/>
          <w:color w:val="000000"/>
          <w:sz w:val="24"/>
          <w:shd w:val="clear" w:color="auto" w:fill="FFFFFF"/>
        </w:rPr>
        <w:t>类：</w:t>
      </w:r>
    </w:p>
    <w:p>
      <w:pPr>
        <w:snapToGrid w:val="0"/>
        <w:spacing w:line="460" w:lineRule="exact"/>
        <w:ind w:firstLine="480" w:firstLineChars="200"/>
        <w:rPr>
          <w:rFonts w:eastAsia="方正仿宋_GBK"/>
          <w:color w:val="000000"/>
          <w:sz w:val="24"/>
          <w:shd w:val="clear" w:color="auto" w:fill="FFFFFF"/>
        </w:rPr>
      </w:pPr>
      <w:r>
        <w:rPr>
          <w:rFonts w:eastAsia="方正仿宋_GBK"/>
          <w:color w:val="000000"/>
          <w:sz w:val="24"/>
          <w:shd w:val="clear" w:color="auto" w:fill="FFFFFF"/>
        </w:rPr>
        <w:t>1. </w:t>
      </w:r>
      <w:r>
        <w:rPr>
          <w:rFonts w:hint="eastAsia" w:eastAsia="方正仿宋_GBK"/>
          <w:b/>
          <w:color w:val="000000"/>
          <w:sz w:val="24"/>
          <w:shd w:val="clear" w:color="auto" w:fill="FFFFFF"/>
        </w:rPr>
        <w:t>企业主要负责人。</w:t>
      </w:r>
      <w:r>
        <w:rPr>
          <w:rFonts w:hint="eastAsia" w:eastAsia="方正仿宋_GBK"/>
          <w:color w:val="000000"/>
          <w:sz w:val="24"/>
          <w:shd w:val="clear" w:color="auto" w:fill="FFFFFF"/>
        </w:rPr>
        <w:t>是指企业法人代表（董事长）、企业总经理（总裁）。</w:t>
      </w:r>
    </w:p>
    <w:p>
      <w:pPr>
        <w:snapToGrid w:val="0"/>
        <w:spacing w:line="460" w:lineRule="exact"/>
        <w:ind w:firstLine="480" w:firstLineChars="200"/>
        <w:rPr>
          <w:rFonts w:eastAsia="方正仿宋_GBK"/>
          <w:color w:val="000000"/>
          <w:sz w:val="24"/>
          <w:shd w:val="clear" w:color="auto" w:fill="FFFFFF"/>
        </w:rPr>
      </w:pPr>
      <w:r>
        <w:rPr>
          <w:rFonts w:eastAsia="方正仿宋_GBK"/>
          <w:color w:val="000000"/>
          <w:sz w:val="24"/>
          <w:shd w:val="clear" w:color="auto" w:fill="FFFFFF"/>
        </w:rPr>
        <w:t>2. </w:t>
      </w:r>
      <w:r>
        <w:rPr>
          <w:rFonts w:hint="eastAsia" w:eastAsia="方正仿宋_GBK"/>
          <w:b/>
          <w:color w:val="000000"/>
          <w:sz w:val="24"/>
          <w:shd w:val="clear" w:color="auto" w:fill="FFFFFF"/>
        </w:rPr>
        <w:t>安全生产管理人员。</w:t>
      </w:r>
      <w:r>
        <w:rPr>
          <w:rFonts w:hint="eastAsia" w:eastAsia="方正仿宋_GBK"/>
          <w:color w:val="000000"/>
          <w:sz w:val="24"/>
          <w:shd w:val="clear" w:color="auto" w:fill="FFFFFF"/>
        </w:rPr>
        <w:t>是指企业负责安全运行的副总经理（副总裁），企业生产、安全管理部门负责人，企业生产和销售分支机构的负责人以及企业专职安全员。</w:t>
      </w:r>
    </w:p>
    <w:p>
      <w:pPr>
        <w:snapToGrid w:val="0"/>
        <w:spacing w:line="460" w:lineRule="exact"/>
        <w:ind w:firstLine="480" w:firstLineChars="200"/>
        <w:rPr>
          <w:rFonts w:eastAsia="方正仿宋_GBK"/>
          <w:color w:val="000000"/>
          <w:sz w:val="24"/>
        </w:rPr>
      </w:pPr>
      <w:r>
        <w:rPr>
          <w:rFonts w:eastAsia="方正仿宋_GBK"/>
          <w:color w:val="000000"/>
          <w:sz w:val="24"/>
          <w:shd w:val="clear" w:color="auto" w:fill="FFFFFF"/>
        </w:rPr>
        <w:t>3. </w:t>
      </w:r>
      <w:r>
        <w:rPr>
          <w:rFonts w:hint="eastAsia" w:eastAsia="方正仿宋_GBK"/>
          <w:b/>
          <w:color w:val="000000"/>
          <w:sz w:val="24"/>
          <w:shd w:val="clear" w:color="auto" w:fill="FFFFFF"/>
        </w:rPr>
        <w:t>运行、维护和抢修人员。</w:t>
      </w:r>
      <w:r>
        <w:rPr>
          <w:rFonts w:hint="eastAsia" w:eastAsia="方正仿宋_GBK"/>
          <w:color w:val="000000"/>
          <w:sz w:val="24"/>
          <w:shd w:val="clear" w:color="auto" w:fill="FFFFFF"/>
        </w:rPr>
        <w:t>是指负责燃气设施设备运行、维护和事故抢险抢修的操作人员。首期开展燃气输配场站工、液化石油气库站工、压缩天然气场站工、液化天然气储运工、汽车加气站操作工、燃气管网工、燃气用户检修工</w:t>
      </w:r>
      <w:r>
        <w:rPr>
          <w:rFonts w:eastAsia="方正仿宋_GBK"/>
          <w:color w:val="000000"/>
          <w:sz w:val="24"/>
          <w:shd w:val="clear" w:color="auto" w:fill="FFFFFF"/>
        </w:rPr>
        <w:t>7</w:t>
      </w:r>
      <w:r>
        <w:rPr>
          <w:rFonts w:hint="eastAsia" w:eastAsia="方正仿宋_GBK"/>
          <w:color w:val="000000"/>
          <w:sz w:val="24"/>
          <w:shd w:val="clear" w:color="auto" w:fill="FFFFFF"/>
        </w:rPr>
        <w:t>个专业的考核工作；其他专业的运行、维护和抢修人员考核待配套机制完善后逐步开展。</w:t>
      </w:r>
    </w:p>
    <w:p>
      <w:pPr>
        <w:spacing w:line="460" w:lineRule="exact"/>
        <w:ind w:firstLine="480" w:firstLineChars="200"/>
        <w:rPr>
          <w:rFonts w:ascii="Times New Roman" w:eastAsia="黑体"/>
          <w:color w:val="000000"/>
          <w:sz w:val="24"/>
        </w:rPr>
      </w:pPr>
      <w:r>
        <w:rPr>
          <w:rFonts w:hint="eastAsia" w:ascii="Times New Roman" w:eastAsia="黑体"/>
          <w:color w:val="000000"/>
          <w:sz w:val="24"/>
        </w:rPr>
        <w:t xml:space="preserve">三、培训组织 </w:t>
      </w:r>
    </w:p>
    <w:p>
      <w:pPr>
        <w:spacing w:line="460" w:lineRule="exact"/>
        <w:ind w:firstLine="480" w:firstLineChars="200"/>
        <w:rPr>
          <w:rFonts w:hint="eastAsia" w:eastAsia="方正仿宋_GBK"/>
          <w:color w:val="000000"/>
          <w:sz w:val="24"/>
        </w:rPr>
      </w:pPr>
      <w:r>
        <w:rPr>
          <w:rFonts w:eastAsia="方正仿宋_GBK"/>
          <w:color w:val="000000"/>
          <w:sz w:val="24"/>
        </w:rPr>
        <w:t>1. </w:t>
      </w:r>
      <w:r>
        <w:rPr>
          <w:rFonts w:hint="eastAsia" w:eastAsia="方正仿宋_GBK"/>
          <w:color w:val="000000"/>
          <w:sz w:val="24"/>
        </w:rPr>
        <w:t>燃气经营企业从业人员考核前须经过专业培训，从业人员必须参加培训并达到培训时间和培训要求方可参加考核。</w:t>
      </w:r>
    </w:p>
    <w:p>
      <w:pPr>
        <w:spacing w:line="460" w:lineRule="exact"/>
        <w:ind w:firstLine="480" w:firstLineChars="200"/>
        <w:rPr>
          <w:rFonts w:eastAsia="方正仿宋_GBK"/>
          <w:color w:val="000000"/>
          <w:sz w:val="24"/>
        </w:rPr>
      </w:pPr>
      <w:r>
        <w:rPr>
          <w:rFonts w:eastAsia="方正仿宋_GBK"/>
          <w:color w:val="000000"/>
          <w:sz w:val="24"/>
        </w:rPr>
        <w:t>2. </w:t>
      </w:r>
      <w:r>
        <w:rPr>
          <w:rFonts w:hint="eastAsia" w:eastAsia="方正仿宋_GBK"/>
          <w:color w:val="000000"/>
          <w:sz w:val="24"/>
        </w:rPr>
        <w:t>培训采取集中面授方式，使用全省统一的培训大纲和教材。培训由具备必要的燃气专业培训能力的燃气企业或社会培训机构（单位）承办。</w:t>
      </w:r>
    </w:p>
    <w:p>
      <w:pPr>
        <w:spacing w:line="460" w:lineRule="exact"/>
        <w:ind w:firstLine="480" w:firstLineChars="200"/>
        <w:rPr>
          <w:rFonts w:eastAsia="方正仿宋_GBK"/>
          <w:color w:val="000000"/>
          <w:sz w:val="24"/>
        </w:rPr>
      </w:pPr>
      <w:r>
        <w:rPr>
          <w:rFonts w:eastAsia="方正仿宋_GBK"/>
          <w:color w:val="000000"/>
          <w:sz w:val="24"/>
        </w:rPr>
        <w:t>3. </w:t>
      </w:r>
      <w:r>
        <w:rPr>
          <w:rFonts w:hint="eastAsia" w:eastAsia="方正仿宋_GBK"/>
          <w:color w:val="000000"/>
          <w:sz w:val="24"/>
        </w:rPr>
        <w:t>各地开展培训工作时，如遇师资等培训困难，可委托省燃气行业协会承办。</w:t>
      </w:r>
    </w:p>
    <w:p>
      <w:pPr>
        <w:spacing w:line="460" w:lineRule="exact"/>
        <w:ind w:firstLine="480" w:firstLineChars="200"/>
        <w:rPr>
          <w:rFonts w:ascii="Times New Roman" w:eastAsia="黑体"/>
          <w:color w:val="000000"/>
          <w:sz w:val="24"/>
        </w:rPr>
      </w:pPr>
      <w:r>
        <w:rPr>
          <w:rFonts w:hint="eastAsia" w:ascii="Times New Roman" w:eastAsia="黑体"/>
          <w:color w:val="000000"/>
          <w:sz w:val="24"/>
        </w:rPr>
        <w:t>四、考核组织</w:t>
      </w:r>
    </w:p>
    <w:p>
      <w:pPr>
        <w:spacing w:line="460" w:lineRule="exact"/>
        <w:ind w:firstLine="480" w:firstLineChars="200"/>
        <w:rPr>
          <w:rFonts w:hint="eastAsia" w:ascii="Times New Roman" w:eastAsia="楷体_GB2312"/>
          <w:color w:val="000000"/>
          <w:sz w:val="24"/>
          <w:shd w:val="clear" w:color="auto" w:fill="FFFFFF"/>
        </w:rPr>
      </w:pPr>
      <w:r>
        <w:rPr>
          <w:rFonts w:hint="eastAsia" w:ascii="Times New Roman" w:eastAsia="楷体_GB2312"/>
          <w:color w:val="000000"/>
          <w:sz w:val="24"/>
          <w:shd w:val="clear" w:color="auto" w:fill="FFFFFF"/>
        </w:rPr>
        <w:t xml:space="preserve">（一）考核方式 </w:t>
      </w:r>
    </w:p>
    <w:p>
      <w:pPr>
        <w:autoSpaceDE w:val="0"/>
        <w:autoSpaceDN w:val="0"/>
        <w:adjustRightInd w:val="0"/>
        <w:spacing w:line="460" w:lineRule="exact"/>
        <w:ind w:firstLine="480" w:firstLineChars="200"/>
        <w:jc w:val="left"/>
        <w:rPr>
          <w:rFonts w:hint="eastAsia" w:eastAsia="方正仿宋_GBK"/>
          <w:color w:val="000000"/>
          <w:sz w:val="24"/>
        </w:rPr>
      </w:pPr>
      <w:r>
        <w:rPr>
          <w:rFonts w:hint="eastAsia" w:eastAsia="方正仿宋_GBK"/>
          <w:color w:val="000000"/>
          <w:sz w:val="24"/>
        </w:rPr>
        <w:t>燃气从业人员专业考核实行全省统一组织、统一题库、统一考核的方式，分类别分专业进行。考核科目设《专业基础知识》和《专业管理实务》两个部分，采取笔试作答方式（具备条件后，逐步采用无纸化考核方式）。考核试题为客观题，在答题卡上作答（答题卡必须用</w:t>
      </w:r>
      <w:r>
        <w:rPr>
          <w:rFonts w:eastAsia="方正仿宋_GBK"/>
          <w:color w:val="000000"/>
          <w:sz w:val="24"/>
        </w:rPr>
        <w:t>2B</w:t>
      </w:r>
      <w:r>
        <w:rPr>
          <w:rFonts w:hint="eastAsia" w:eastAsia="方正仿宋_GBK"/>
          <w:color w:val="000000"/>
          <w:sz w:val="24"/>
        </w:rPr>
        <w:t>铅笔填涂）。</w:t>
      </w:r>
    </w:p>
    <w:p>
      <w:pPr>
        <w:spacing w:line="460" w:lineRule="exact"/>
        <w:ind w:firstLine="480" w:firstLineChars="200"/>
        <w:rPr>
          <w:rFonts w:ascii="Times New Roman" w:eastAsia="楷体_GB2312"/>
          <w:color w:val="000000"/>
          <w:sz w:val="24"/>
          <w:shd w:val="clear" w:color="auto" w:fill="FFFFFF"/>
        </w:rPr>
      </w:pPr>
      <w:r>
        <w:rPr>
          <w:rFonts w:hint="eastAsia" w:ascii="Times New Roman" w:eastAsia="楷体_GB2312"/>
          <w:color w:val="000000"/>
          <w:sz w:val="24"/>
          <w:shd w:val="clear" w:color="auto" w:fill="FFFFFF"/>
        </w:rPr>
        <w:t>（二）考核时间</w:t>
      </w:r>
    </w:p>
    <w:p>
      <w:pPr>
        <w:spacing w:line="460" w:lineRule="exact"/>
        <w:ind w:firstLine="480" w:firstLineChars="200"/>
        <w:rPr>
          <w:rFonts w:hint="eastAsia" w:eastAsia="方正仿宋_GBK"/>
          <w:color w:val="000000"/>
          <w:sz w:val="24"/>
        </w:rPr>
      </w:pPr>
      <w:r>
        <w:rPr>
          <w:rFonts w:hint="eastAsia" w:eastAsia="方正仿宋_GBK"/>
          <w:color w:val="000000"/>
          <w:sz w:val="24"/>
        </w:rPr>
        <w:t>结合行业需求，考核原则上每季度组织</w:t>
      </w:r>
      <w:r>
        <w:rPr>
          <w:rFonts w:eastAsia="方正仿宋_GBK"/>
          <w:color w:val="000000"/>
          <w:sz w:val="24"/>
        </w:rPr>
        <w:t>1</w:t>
      </w:r>
      <w:r>
        <w:rPr>
          <w:rFonts w:hint="eastAsia" w:eastAsia="方正仿宋_GBK"/>
          <w:color w:val="000000"/>
          <w:sz w:val="24"/>
        </w:rPr>
        <w:t>次。</w:t>
      </w:r>
      <w:r>
        <w:rPr>
          <w:rFonts w:eastAsia="方正仿宋_GBK"/>
          <w:color w:val="000000"/>
          <w:sz w:val="24"/>
        </w:rPr>
        <w:t>2017</w:t>
      </w:r>
      <w:r>
        <w:rPr>
          <w:rFonts w:hint="eastAsia" w:eastAsia="方正仿宋_GBK"/>
          <w:color w:val="000000"/>
          <w:sz w:val="24"/>
        </w:rPr>
        <w:t>年考试第一季度时间安排为：</w:t>
      </w:r>
      <w:r>
        <w:rPr>
          <w:rFonts w:eastAsia="方正仿宋_GBK"/>
          <w:color w:val="000000"/>
          <w:sz w:val="24"/>
        </w:rPr>
        <w:t xml:space="preserve"> 3</w:t>
      </w:r>
      <w:r>
        <w:rPr>
          <w:rFonts w:hint="eastAsia" w:eastAsia="方正仿宋_GBK"/>
          <w:color w:val="000000"/>
          <w:sz w:val="24"/>
        </w:rPr>
        <w:t>月</w:t>
      </w:r>
      <w:r>
        <w:rPr>
          <w:rFonts w:eastAsia="方正仿宋_GBK"/>
          <w:color w:val="000000"/>
          <w:sz w:val="24"/>
        </w:rPr>
        <w:t>18</w:t>
      </w:r>
      <w:r>
        <w:rPr>
          <w:rFonts w:hint="eastAsia" w:eastAsia="方正仿宋_GBK"/>
          <w:color w:val="000000"/>
          <w:sz w:val="24"/>
        </w:rPr>
        <w:t>日。实行无纸化考核后，时间随机安排。</w:t>
      </w:r>
    </w:p>
    <w:p>
      <w:pPr>
        <w:spacing w:line="460" w:lineRule="exact"/>
        <w:ind w:firstLine="480" w:firstLineChars="200"/>
        <w:rPr>
          <w:rFonts w:ascii="Times New Roman" w:eastAsia="楷体_GB2312"/>
          <w:color w:val="000000"/>
          <w:sz w:val="24"/>
          <w:shd w:val="clear" w:color="auto" w:fill="FFFFFF"/>
        </w:rPr>
      </w:pPr>
      <w:r>
        <w:rPr>
          <w:rFonts w:hint="eastAsia" w:ascii="Times New Roman" w:eastAsia="楷体_GB2312"/>
          <w:color w:val="000000"/>
          <w:sz w:val="24"/>
          <w:shd w:val="clear" w:color="auto" w:fill="FFFFFF"/>
        </w:rPr>
        <w:t>（三）考点设置</w:t>
      </w:r>
    </w:p>
    <w:p>
      <w:pPr>
        <w:spacing w:line="460" w:lineRule="exact"/>
        <w:ind w:firstLine="480" w:firstLineChars="200"/>
        <w:rPr>
          <w:rFonts w:hint="eastAsia" w:eastAsia="方正仿宋_GBK"/>
          <w:color w:val="000000"/>
          <w:sz w:val="24"/>
        </w:rPr>
      </w:pPr>
      <w:r>
        <w:rPr>
          <w:rFonts w:hint="eastAsia" w:eastAsia="方正仿宋_GBK"/>
          <w:color w:val="000000"/>
          <w:sz w:val="24"/>
        </w:rPr>
        <w:t>考核考点设置在各设区市所在地，且每一地区原则上只设置</w:t>
      </w:r>
      <w:r>
        <w:rPr>
          <w:rFonts w:eastAsia="方正仿宋_GBK"/>
          <w:color w:val="000000"/>
          <w:sz w:val="24"/>
        </w:rPr>
        <w:t>1</w:t>
      </w:r>
      <w:r>
        <w:rPr>
          <w:rFonts w:hint="eastAsia" w:eastAsia="方正仿宋_GBK"/>
          <w:color w:val="000000"/>
          <w:sz w:val="24"/>
        </w:rPr>
        <w:t>个考点。考点应符合岗位考试的有关要求。具体要求另行通知。</w:t>
      </w:r>
    </w:p>
    <w:p>
      <w:pPr>
        <w:spacing w:line="460" w:lineRule="exact"/>
        <w:ind w:firstLine="480" w:firstLineChars="200"/>
        <w:rPr>
          <w:rFonts w:ascii="Times New Roman" w:eastAsia="楷体_GB2312"/>
          <w:color w:val="000000"/>
          <w:sz w:val="24"/>
          <w:shd w:val="clear" w:color="auto" w:fill="FFFFFF"/>
        </w:rPr>
      </w:pPr>
      <w:r>
        <w:rPr>
          <w:rFonts w:hint="eastAsia" w:ascii="Times New Roman" w:eastAsia="楷体_GB2312"/>
          <w:color w:val="000000"/>
          <w:sz w:val="24"/>
          <w:shd w:val="clear" w:color="auto" w:fill="FFFFFF"/>
        </w:rPr>
        <w:t>（四）报名组织</w:t>
      </w:r>
    </w:p>
    <w:p>
      <w:pPr>
        <w:spacing w:line="460" w:lineRule="exact"/>
        <w:ind w:firstLine="480" w:firstLineChars="200"/>
        <w:rPr>
          <w:rFonts w:hint="eastAsia" w:eastAsia="方正仿宋_GBK"/>
          <w:color w:val="000000"/>
          <w:sz w:val="24"/>
          <w:shd w:val="clear" w:color="auto" w:fill="FFFFFF"/>
        </w:rPr>
      </w:pPr>
      <w:r>
        <w:rPr>
          <w:rFonts w:eastAsia="方正仿宋_GBK"/>
          <w:color w:val="000000"/>
          <w:sz w:val="24"/>
        </w:rPr>
        <w:t>1. </w:t>
      </w:r>
      <w:r>
        <w:rPr>
          <w:rFonts w:hint="eastAsia" w:eastAsia="方正仿宋_GBK"/>
          <w:color w:val="000000"/>
          <w:sz w:val="24"/>
        </w:rPr>
        <w:t>报名条件。</w:t>
      </w:r>
      <w:r>
        <w:rPr>
          <w:rFonts w:hint="eastAsia" w:eastAsia="方正仿宋_GBK"/>
          <w:color w:val="000000"/>
          <w:sz w:val="24"/>
          <w:shd w:val="clear" w:color="auto" w:fill="FFFFFF"/>
        </w:rPr>
        <w:t>燃气经营企业从业人员按照岗位实际情况申报考核。</w:t>
      </w:r>
    </w:p>
    <w:p>
      <w:pPr>
        <w:spacing w:line="460" w:lineRule="exact"/>
        <w:ind w:firstLine="480" w:firstLineChars="200"/>
        <w:rPr>
          <w:rFonts w:eastAsia="方正仿宋_GBK"/>
          <w:color w:val="000000"/>
          <w:sz w:val="24"/>
          <w:shd w:val="clear" w:color="auto" w:fill="FFFFFF"/>
        </w:rPr>
      </w:pPr>
      <w:r>
        <w:rPr>
          <w:rFonts w:eastAsia="方正仿宋_GBK"/>
          <w:color w:val="000000"/>
          <w:sz w:val="24"/>
          <w:shd w:val="clear" w:color="auto" w:fill="FFFFFF"/>
        </w:rPr>
        <w:t>2. </w:t>
      </w:r>
      <w:r>
        <w:rPr>
          <w:rFonts w:hint="eastAsia" w:eastAsia="方正仿宋_GBK"/>
          <w:color w:val="000000"/>
          <w:sz w:val="24"/>
          <w:shd w:val="clear" w:color="auto" w:fill="FFFFFF"/>
        </w:rPr>
        <w:t>报名方式。</w:t>
      </w:r>
      <w:r>
        <w:rPr>
          <w:rFonts w:hint="eastAsia" w:eastAsia="方正仿宋_GBK"/>
          <w:color w:val="000000"/>
          <w:sz w:val="24"/>
        </w:rPr>
        <w:t>考核工作采取网上报名的方式进行。凡参加考核的</w:t>
      </w:r>
      <w:r>
        <w:rPr>
          <w:rFonts w:hint="eastAsia" w:eastAsia="方正仿宋_GBK"/>
          <w:color w:val="000000"/>
          <w:sz w:val="24"/>
          <w:shd w:val="clear" w:color="auto" w:fill="FFFFFF"/>
        </w:rPr>
        <w:t>从业人员由所在企业登录</w:t>
      </w:r>
      <w:r>
        <w:rPr>
          <w:rFonts w:eastAsia="方正仿宋_GBK"/>
          <w:color w:val="000000"/>
          <w:sz w:val="24"/>
          <w:shd w:val="clear" w:color="auto" w:fill="FFFFFF"/>
        </w:rPr>
        <w:t>“</w:t>
      </w:r>
      <w:r>
        <w:rPr>
          <w:rFonts w:hint="eastAsia" w:eastAsia="方正仿宋_GBK"/>
          <w:color w:val="000000"/>
          <w:sz w:val="24"/>
          <w:shd w:val="clear" w:color="auto" w:fill="FFFFFF"/>
        </w:rPr>
        <w:t>江苏建设人才</w:t>
      </w:r>
      <w:r>
        <w:rPr>
          <w:rFonts w:eastAsia="方正仿宋_GBK"/>
          <w:color w:val="000000"/>
          <w:sz w:val="24"/>
          <w:shd w:val="clear" w:color="auto" w:fill="FFFFFF"/>
        </w:rPr>
        <w:t>”</w:t>
      </w:r>
      <w:r>
        <w:rPr>
          <w:rFonts w:hint="eastAsia" w:eastAsia="方正仿宋_GBK"/>
          <w:color w:val="000000"/>
          <w:sz w:val="24"/>
          <w:shd w:val="clear" w:color="auto" w:fill="FFFFFF"/>
        </w:rPr>
        <w:t>网（</w:t>
      </w:r>
      <w:r>
        <w:rPr>
          <w:rFonts w:eastAsia="方正仿宋_GBK"/>
          <w:color w:val="000000"/>
          <w:sz w:val="24"/>
          <w:shd w:val="clear" w:color="auto" w:fill="FFFFFF"/>
        </w:rPr>
        <w:t>http://hr.jscin.gov.cn/swhyFront/default.aspx</w:t>
      </w:r>
      <w:r>
        <w:rPr>
          <w:rFonts w:hint="eastAsia" w:eastAsia="方正仿宋_GBK"/>
          <w:color w:val="000000"/>
          <w:sz w:val="24"/>
          <w:shd w:val="clear" w:color="auto" w:fill="FFFFFF"/>
        </w:rPr>
        <w:t>）</w:t>
      </w:r>
      <w:r>
        <w:rPr>
          <w:rFonts w:eastAsia="方正仿宋_GBK"/>
          <w:color w:val="000000"/>
          <w:sz w:val="24"/>
          <w:shd w:val="clear" w:color="auto" w:fill="FFFFFF"/>
        </w:rPr>
        <w:t>,</w:t>
      </w:r>
      <w:r>
        <w:rPr>
          <w:rFonts w:hint="eastAsia" w:eastAsia="方正仿宋_GBK"/>
          <w:color w:val="000000"/>
          <w:sz w:val="24"/>
          <w:shd w:val="clear" w:color="auto" w:fill="FFFFFF"/>
        </w:rPr>
        <w:t>通过</w:t>
      </w:r>
      <w:r>
        <w:rPr>
          <w:rFonts w:eastAsia="方正仿宋_GBK"/>
          <w:color w:val="000000"/>
          <w:sz w:val="24"/>
          <w:shd w:val="clear" w:color="auto" w:fill="FFFFFF"/>
        </w:rPr>
        <w:t>“</w:t>
      </w:r>
      <w:r>
        <w:rPr>
          <w:rFonts w:hint="eastAsia" w:eastAsia="方正仿宋_GBK"/>
          <w:color w:val="000000"/>
          <w:sz w:val="24"/>
          <w:shd w:val="clear" w:color="auto" w:fill="FFFFFF"/>
        </w:rPr>
        <w:t>江苏省建设培训考试管理系统</w:t>
      </w:r>
      <w:r>
        <w:rPr>
          <w:rFonts w:eastAsia="方正仿宋_GBK"/>
          <w:color w:val="000000"/>
          <w:sz w:val="24"/>
          <w:shd w:val="clear" w:color="auto" w:fill="FFFFFF"/>
        </w:rPr>
        <w:t>”</w:t>
      </w:r>
      <w:r>
        <w:rPr>
          <w:rFonts w:hint="eastAsia" w:eastAsia="方正仿宋_GBK"/>
          <w:color w:val="000000"/>
          <w:sz w:val="24"/>
          <w:shd w:val="clear" w:color="auto" w:fill="FFFFFF"/>
        </w:rPr>
        <w:t>（以下简称</w:t>
      </w:r>
      <w:r>
        <w:rPr>
          <w:rFonts w:eastAsia="方正仿宋_GBK"/>
          <w:color w:val="000000"/>
          <w:sz w:val="24"/>
          <w:shd w:val="clear" w:color="auto" w:fill="FFFFFF"/>
        </w:rPr>
        <w:t>“</w:t>
      </w:r>
      <w:r>
        <w:rPr>
          <w:rFonts w:hint="eastAsia" w:eastAsia="方正仿宋_GBK"/>
          <w:color w:val="000000"/>
          <w:sz w:val="24"/>
          <w:shd w:val="clear" w:color="auto" w:fill="FFFFFF"/>
        </w:rPr>
        <w:t>管理系统</w:t>
      </w:r>
      <w:r>
        <w:rPr>
          <w:rFonts w:eastAsia="方正仿宋_GBK"/>
          <w:color w:val="000000"/>
          <w:sz w:val="24"/>
          <w:shd w:val="clear" w:color="auto" w:fill="FFFFFF"/>
        </w:rPr>
        <w:t>”</w:t>
      </w:r>
      <w:r>
        <w:rPr>
          <w:rFonts w:hint="eastAsia" w:eastAsia="方正仿宋_GBK"/>
          <w:color w:val="000000"/>
          <w:sz w:val="24"/>
          <w:shd w:val="clear" w:color="auto" w:fill="FFFFFF"/>
        </w:rPr>
        <w:t>）向企业注册所在地设区</w:t>
      </w:r>
      <w:r>
        <w:rPr>
          <w:rFonts w:hint="eastAsia" w:eastAsia="方正仿宋_GBK"/>
          <w:color w:val="000000"/>
          <w:sz w:val="24"/>
        </w:rPr>
        <w:t>市燃气主管部门</w:t>
      </w:r>
      <w:r>
        <w:rPr>
          <w:rFonts w:hint="eastAsia" w:eastAsia="方正仿宋_GBK"/>
          <w:color w:val="000000"/>
          <w:sz w:val="24"/>
          <w:shd w:val="clear" w:color="auto" w:fill="FFFFFF"/>
        </w:rPr>
        <w:t>提出报名申请，具体操作步骤详见</w:t>
      </w:r>
      <w:r>
        <w:rPr>
          <w:rFonts w:eastAsia="方正仿宋_GBK"/>
          <w:color w:val="000000"/>
          <w:sz w:val="24"/>
          <w:shd w:val="clear" w:color="auto" w:fill="FFFFFF"/>
        </w:rPr>
        <w:t>“</w:t>
      </w:r>
      <w:r>
        <w:rPr>
          <w:rFonts w:hint="eastAsia" w:eastAsia="方正仿宋_GBK"/>
          <w:color w:val="000000"/>
          <w:sz w:val="24"/>
          <w:shd w:val="clear" w:color="auto" w:fill="FFFFFF"/>
        </w:rPr>
        <w:t>下载中心</w:t>
      </w:r>
      <w:r>
        <w:rPr>
          <w:rFonts w:eastAsia="方正仿宋_GBK"/>
          <w:color w:val="000000"/>
          <w:sz w:val="24"/>
          <w:shd w:val="clear" w:color="auto" w:fill="FFFFFF"/>
        </w:rPr>
        <w:t>”</w:t>
      </w:r>
      <w:r>
        <w:rPr>
          <w:rFonts w:hint="eastAsia" w:eastAsia="方正仿宋_GBK"/>
          <w:color w:val="000000"/>
          <w:sz w:val="24"/>
          <w:shd w:val="clear" w:color="auto" w:fill="FFFFFF"/>
        </w:rPr>
        <w:t>。</w:t>
      </w:r>
    </w:p>
    <w:p>
      <w:pPr>
        <w:spacing w:line="460" w:lineRule="exact"/>
        <w:ind w:firstLine="480" w:firstLineChars="200"/>
        <w:rPr>
          <w:rFonts w:eastAsia="方正仿宋_GBK"/>
          <w:color w:val="000000"/>
          <w:sz w:val="24"/>
          <w:shd w:val="clear" w:color="auto" w:fill="FFFFFF"/>
        </w:rPr>
      </w:pPr>
      <w:r>
        <w:rPr>
          <w:rFonts w:eastAsia="方正仿宋_GBK"/>
          <w:color w:val="000000"/>
          <w:sz w:val="24"/>
          <w:shd w:val="clear" w:color="auto" w:fill="FFFFFF"/>
        </w:rPr>
        <w:t>3. </w:t>
      </w:r>
      <w:r>
        <w:rPr>
          <w:rFonts w:hint="eastAsia" w:eastAsia="方正仿宋_GBK"/>
          <w:color w:val="000000"/>
          <w:sz w:val="24"/>
          <w:shd w:val="clear" w:color="auto" w:fill="FFFFFF"/>
        </w:rPr>
        <w:t>报名时间。</w:t>
      </w:r>
      <w:r>
        <w:rPr>
          <w:rFonts w:eastAsia="方正仿宋_GBK"/>
          <w:color w:val="000000"/>
          <w:sz w:val="24"/>
          <w:shd w:val="clear" w:color="auto" w:fill="FFFFFF"/>
        </w:rPr>
        <w:t>2017</w:t>
      </w:r>
      <w:r>
        <w:rPr>
          <w:rFonts w:hint="eastAsia" w:eastAsia="方正仿宋_GBK"/>
          <w:color w:val="000000"/>
          <w:sz w:val="24"/>
          <w:shd w:val="clear" w:color="auto" w:fill="FFFFFF"/>
        </w:rPr>
        <w:t>年度第一季度</w:t>
      </w:r>
      <w:r>
        <w:rPr>
          <w:rFonts w:hint="eastAsia" w:eastAsia="方正仿宋_GBK"/>
          <w:color w:val="000000"/>
          <w:sz w:val="24"/>
        </w:rPr>
        <w:t>网上报名时间：</w:t>
      </w:r>
      <w:r>
        <w:rPr>
          <w:rFonts w:eastAsia="方正仿宋_GBK"/>
          <w:color w:val="000000"/>
          <w:sz w:val="24"/>
        </w:rPr>
        <w:t>2</w:t>
      </w:r>
      <w:r>
        <w:rPr>
          <w:rFonts w:hint="eastAsia" w:eastAsia="方正仿宋_GBK"/>
          <w:color w:val="000000"/>
          <w:sz w:val="24"/>
        </w:rPr>
        <w:t>月</w:t>
      </w:r>
      <w:r>
        <w:rPr>
          <w:rFonts w:eastAsia="方正仿宋_GBK"/>
          <w:color w:val="000000"/>
          <w:sz w:val="24"/>
        </w:rPr>
        <w:t>13</w:t>
      </w:r>
      <w:r>
        <w:rPr>
          <w:rFonts w:hint="eastAsia" w:eastAsia="方正仿宋_GBK"/>
          <w:color w:val="000000"/>
          <w:sz w:val="24"/>
        </w:rPr>
        <w:t>日至</w:t>
      </w:r>
      <w:r>
        <w:rPr>
          <w:rFonts w:eastAsia="方正仿宋_GBK"/>
          <w:color w:val="000000"/>
          <w:sz w:val="24"/>
        </w:rPr>
        <w:t>3</w:t>
      </w:r>
      <w:r>
        <w:rPr>
          <w:rFonts w:hint="eastAsia" w:eastAsia="方正仿宋_GBK"/>
          <w:color w:val="000000"/>
          <w:sz w:val="24"/>
        </w:rPr>
        <w:t>月</w:t>
      </w:r>
      <w:r>
        <w:rPr>
          <w:rFonts w:eastAsia="方正仿宋_GBK"/>
          <w:color w:val="000000"/>
          <w:sz w:val="24"/>
        </w:rPr>
        <w:t>3</w:t>
      </w:r>
      <w:r>
        <w:rPr>
          <w:rFonts w:hint="eastAsia" w:eastAsia="方正仿宋_GBK"/>
          <w:color w:val="000000"/>
          <w:sz w:val="24"/>
        </w:rPr>
        <w:t>日。</w:t>
      </w:r>
    </w:p>
    <w:p>
      <w:pPr>
        <w:spacing w:line="460" w:lineRule="exact"/>
        <w:ind w:firstLine="480" w:firstLineChars="200"/>
        <w:rPr>
          <w:rFonts w:eastAsia="方正仿宋_GBK"/>
          <w:color w:val="000000"/>
          <w:sz w:val="24"/>
        </w:rPr>
      </w:pPr>
      <w:r>
        <w:rPr>
          <w:rFonts w:eastAsia="方正仿宋_GBK"/>
          <w:color w:val="000000"/>
          <w:sz w:val="24"/>
        </w:rPr>
        <w:t>4. </w:t>
      </w:r>
      <w:r>
        <w:rPr>
          <w:rFonts w:hint="eastAsia" w:eastAsia="方正仿宋_GBK"/>
          <w:color w:val="000000"/>
          <w:sz w:val="24"/>
        </w:rPr>
        <w:t>信息采集</w:t>
      </w:r>
      <w:r>
        <w:rPr>
          <w:rFonts w:hint="eastAsia" w:eastAsia="方正仿宋_GBK"/>
          <w:color w:val="000000"/>
          <w:sz w:val="24"/>
          <w:shd w:val="clear" w:color="auto" w:fill="FFFFFF"/>
        </w:rPr>
        <w:t>。</w:t>
      </w:r>
      <w:r>
        <w:rPr>
          <w:rFonts w:hint="eastAsia" w:eastAsia="方正仿宋_GBK"/>
          <w:color w:val="000000"/>
          <w:sz w:val="24"/>
        </w:rPr>
        <w:t>报名将采用二代身份证读卡器采集报考人员身份证信息，企业也可自行购置身份证读卡器完成身份证信息采集。</w:t>
      </w:r>
    </w:p>
    <w:p>
      <w:pPr>
        <w:spacing w:line="460" w:lineRule="exact"/>
        <w:ind w:firstLine="480" w:firstLineChars="200"/>
        <w:rPr>
          <w:rFonts w:eastAsia="方正仿宋_GBK"/>
          <w:color w:val="000000"/>
          <w:sz w:val="24"/>
        </w:rPr>
      </w:pPr>
      <w:r>
        <w:rPr>
          <w:rFonts w:eastAsia="方正仿宋_GBK"/>
          <w:color w:val="000000"/>
          <w:sz w:val="24"/>
        </w:rPr>
        <w:t>5.</w:t>
      </w:r>
      <w:r>
        <w:rPr>
          <w:rFonts w:hint="eastAsia" w:eastAsia="方正仿宋_GBK"/>
          <w:color w:val="000000"/>
          <w:sz w:val="24"/>
        </w:rPr>
        <w:t>报名资料。申报企业主要负责人、安全生产管理人员考核的报考人员须在</w:t>
      </w:r>
      <w:r>
        <w:rPr>
          <w:rFonts w:eastAsia="方正仿宋_GBK"/>
          <w:color w:val="000000"/>
          <w:sz w:val="24"/>
        </w:rPr>
        <w:t>“</w:t>
      </w:r>
      <w:r>
        <w:rPr>
          <w:rFonts w:hint="eastAsia" w:eastAsia="方正仿宋_GBK"/>
          <w:color w:val="000000"/>
          <w:sz w:val="24"/>
        </w:rPr>
        <w:t>管理系统</w:t>
      </w:r>
      <w:r>
        <w:rPr>
          <w:rFonts w:eastAsia="方正仿宋_GBK"/>
          <w:color w:val="000000"/>
          <w:sz w:val="24"/>
        </w:rPr>
        <w:t>”</w:t>
      </w:r>
      <w:r>
        <w:rPr>
          <w:rFonts w:hint="eastAsia" w:eastAsia="方正仿宋_GBK"/>
          <w:color w:val="000000"/>
          <w:sz w:val="24"/>
        </w:rPr>
        <w:t>内上传相关材料扫描件。</w:t>
      </w:r>
    </w:p>
    <w:p>
      <w:pPr>
        <w:spacing w:line="460" w:lineRule="exact"/>
        <w:ind w:firstLine="480" w:firstLineChars="200"/>
        <w:rPr>
          <w:rFonts w:eastAsia="方正仿宋_GBK"/>
          <w:color w:val="000000"/>
          <w:sz w:val="24"/>
          <w:shd w:val="clear" w:color="auto" w:fill="FFFFFF"/>
        </w:rPr>
      </w:pPr>
      <w:r>
        <w:rPr>
          <w:rFonts w:hint="eastAsia" w:eastAsia="方正仿宋_GBK"/>
          <w:color w:val="000000"/>
          <w:sz w:val="24"/>
        </w:rPr>
        <w:t>（</w:t>
      </w:r>
      <w:r>
        <w:rPr>
          <w:rFonts w:eastAsia="方正仿宋_GBK"/>
          <w:color w:val="000000"/>
          <w:sz w:val="24"/>
        </w:rPr>
        <w:t>1</w:t>
      </w:r>
      <w:r>
        <w:rPr>
          <w:rFonts w:hint="eastAsia" w:eastAsia="方正仿宋_GBK"/>
          <w:color w:val="000000"/>
          <w:sz w:val="24"/>
        </w:rPr>
        <w:t>）</w:t>
      </w:r>
      <w:r>
        <w:rPr>
          <w:rFonts w:hint="eastAsia" w:eastAsia="方正仿宋_GBK"/>
          <w:color w:val="000000"/>
          <w:sz w:val="24"/>
          <w:shd w:val="clear" w:color="auto" w:fill="FFFFFF"/>
        </w:rPr>
        <w:t>企业主要负责人。企业法人代表（董事长）须上传企业营业执照扫描件，企业总经理（总裁）须上传企业任命书或劳动合同扫描件。</w:t>
      </w:r>
    </w:p>
    <w:p>
      <w:pPr>
        <w:spacing w:line="460" w:lineRule="exact"/>
        <w:ind w:firstLine="480" w:firstLineChars="200"/>
        <w:rPr>
          <w:rFonts w:eastAsia="方正仿宋_GBK"/>
          <w:color w:val="000000"/>
          <w:sz w:val="24"/>
        </w:rPr>
      </w:pPr>
      <w:r>
        <w:rPr>
          <w:rFonts w:hint="eastAsia" w:eastAsia="方正仿宋_GBK"/>
          <w:color w:val="000000"/>
          <w:sz w:val="24"/>
        </w:rPr>
        <w:t>（</w:t>
      </w:r>
      <w:r>
        <w:rPr>
          <w:rFonts w:eastAsia="方正仿宋_GBK"/>
          <w:color w:val="000000"/>
          <w:sz w:val="24"/>
        </w:rPr>
        <w:t>2</w:t>
      </w:r>
      <w:r>
        <w:rPr>
          <w:rFonts w:hint="eastAsia" w:eastAsia="方正仿宋_GBK"/>
          <w:color w:val="000000"/>
          <w:sz w:val="24"/>
        </w:rPr>
        <w:t>）</w:t>
      </w:r>
      <w:r>
        <w:rPr>
          <w:rFonts w:hint="eastAsia" w:eastAsia="方正仿宋_GBK"/>
          <w:color w:val="000000"/>
          <w:sz w:val="24"/>
          <w:shd w:val="clear" w:color="auto" w:fill="FFFFFF"/>
        </w:rPr>
        <w:t>安全生产管理人员。须上传企业任命书或劳动合同扫描件。</w:t>
      </w:r>
    </w:p>
    <w:p>
      <w:pPr>
        <w:spacing w:line="460" w:lineRule="exact"/>
        <w:ind w:firstLine="480" w:firstLineChars="200"/>
        <w:rPr>
          <w:rFonts w:eastAsia="方正仿宋_GBK"/>
          <w:color w:val="000000"/>
          <w:sz w:val="24"/>
        </w:rPr>
      </w:pPr>
      <w:r>
        <w:rPr>
          <w:rFonts w:hint="eastAsia" w:eastAsia="方正仿宋_GBK"/>
          <w:color w:val="000000"/>
          <w:sz w:val="24"/>
        </w:rPr>
        <w:t>各地燃气主管部门通过管理系统进行核验，发现问题及时纠正，确保报考人员数据准确有效。</w:t>
      </w:r>
    </w:p>
    <w:p>
      <w:pPr>
        <w:spacing w:line="460" w:lineRule="exact"/>
        <w:ind w:firstLine="480" w:firstLineChars="200"/>
        <w:rPr>
          <w:rFonts w:eastAsia="方正仿宋_GBK"/>
          <w:color w:val="000000"/>
          <w:sz w:val="24"/>
          <w:shd w:val="clear" w:color="auto" w:fill="FFFFFF"/>
        </w:rPr>
      </w:pPr>
      <w:r>
        <w:rPr>
          <w:rFonts w:eastAsia="方正仿宋_GBK"/>
          <w:color w:val="000000"/>
          <w:sz w:val="24"/>
        </w:rPr>
        <w:t>6. </w:t>
      </w:r>
      <w:r>
        <w:rPr>
          <w:rFonts w:hint="eastAsia" w:eastAsia="方正仿宋_GBK"/>
          <w:color w:val="000000"/>
          <w:sz w:val="24"/>
        </w:rPr>
        <w:t>准考证打印。审核通过的报考人员，原则上可于考前</w:t>
      </w:r>
      <w:r>
        <w:rPr>
          <w:rFonts w:eastAsia="方正仿宋_GBK"/>
          <w:color w:val="000000"/>
          <w:sz w:val="24"/>
        </w:rPr>
        <w:t>5</w:t>
      </w:r>
      <w:r>
        <w:rPr>
          <w:rFonts w:hint="eastAsia" w:eastAsia="方正仿宋_GBK"/>
          <w:color w:val="000000"/>
          <w:sz w:val="24"/>
        </w:rPr>
        <w:t>个工作日内登录</w:t>
      </w:r>
      <w:r>
        <w:rPr>
          <w:rFonts w:eastAsia="方正仿宋_GBK"/>
          <w:color w:val="000000"/>
          <w:sz w:val="24"/>
          <w:shd w:val="clear" w:color="auto" w:fill="FFFFFF"/>
        </w:rPr>
        <w:t>“</w:t>
      </w:r>
      <w:r>
        <w:rPr>
          <w:rFonts w:hint="eastAsia" w:eastAsia="方正仿宋_GBK"/>
          <w:color w:val="000000"/>
          <w:sz w:val="24"/>
          <w:shd w:val="clear" w:color="auto" w:fill="FFFFFF"/>
        </w:rPr>
        <w:t>管理系统</w:t>
      </w:r>
      <w:r>
        <w:rPr>
          <w:rFonts w:eastAsia="方正仿宋_GBK"/>
          <w:color w:val="000000"/>
          <w:sz w:val="24"/>
          <w:shd w:val="clear" w:color="auto" w:fill="FFFFFF"/>
        </w:rPr>
        <w:t>”</w:t>
      </w:r>
      <w:r>
        <w:rPr>
          <w:rFonts w:hint="eastAsia" w:eastAsia="方正仿宋_GBK"/>
          <w:color w:val="000000"/>
          <w:sz w:val="24"/>
          <w:shd w:val="clear" w:color="auto" w:fill="FFFFFF"/>
        </w:rPr>
        <w:t>打印准考证。</w:t>
      </w:r>
    </w:p>
    <w:p>
      <w:pPr>
        <w:spacing w:line="460" w:lineRule="exact"/>
        <w:ind w:firstLine="480" w:firstLineChars="200"/>
        <w:rPr>
          <w:rFonts w:ascii="Times New Roman" w:eastAsia="黑体"/>
          <w:color w:val="000000"/>
          <w:sz w:val="24"/>
        </w:rPr>
      </w:pPr>
      <w:r>
        <w:rPr>
          <w:rFonts w:hint="eastAsia" w:ascii="Times New Roman" w:eastAsia="黑体"/>
          <w:color w:val="000000"/>
          <w:sz w:val="24"/>
        </w:rPr>
        <w:t>五、证书管理</w:t>
      </w:r>
    </w:p>
    <w:p>
      <w:pPr>
        <w:spacing w:line="460" w:lineRule="exact"/>
        <w:ind w:firstLine="482" w:firstLineChars="200"/>
        <w:rPr>
          <w:rFonts w:hint="eastAsia" w:eastAsia="方正仿宋_GBK"/>
          <w:b/>
          <w:color w:val="000000"/>
          <w:sz w:val="24"/>
        </w:rPr>
      </w:pPr>
      <w:r>
        <w:rPr>
          <w:rFonts w:eastAsia="方正仿宋_GBK"/>
          <w:b/>
          <w:color w:val="000000"/>
          <w:sz w:val="24"/>
        </w:rPr>
        <w:t>1.</w:t>
      </w:r>
      <w:r>
        <w:rPr>
          <w:rFonts w:hint="cs" w:eastAsia="方正仿宋_GBK"/>
          <w:b/>
          <w:color w:val="000000"/>
          <w:sz w:val="24"/>
          <w:cs/>
        </w:rPr>
        <w:t> </w:t>
      </w:r>
      <w:r>
        <w:rPr>
          <w:rFonts w:hint="eastAsia" w:eastAsia="方正仿宋_GBK"/>
          <w:b/>
          <w:color w:val="000000"/>
          <w:sz w:val="24"/>
        </w:rPr>
        <w:t>证书核发</w:t>
      </w:r>
    </w:p>
    <w:p>
      <w:pPr>
        <w:spacing w:line="460" w:lineRule="exact"/>
        <w:ind w:firstLine="480" w:firstLineChars="200"/>
        <w:rPr>
          <w:rFonts w:eastAsia="方正仿宋_GBK"/>
          <w:color w:val="000000"/>
          <w:sz w:val="24"/>
        </w:rPr>
      </w:pPr>
      <w:r>
        <w:rPr>
          <w:rFonts w:hint="eastAsia" w:eastAsia="方正仿宋_GBK"/>
          <w:color w:val="000000"/>
          <w:sz w:val="24"/>
        </w:rPr>
        <w:t>对于考核合格者，由省住房城乡建设厅核发住房城乡建设部监制的《燃气从业人员专业培训考核合格证书》，证书统一编码，全国通用。待条件具备后，将推行燃气从业人员专业培训考核合格电子证书。</w:t>
      </w:r>
    </w:p>
    <w:p>
      <w:pPr>
        <w:spacing w:line="460" w:lineRule="exact"/>
        <w:ind w:firstLine="482" w:firstLineChars="200"/>
        <w:rPr>
          <w:rFonts w:eastAsia="方正仿宋_GBK"/>
          <w:b/>
          <w:color w:val="000000"/>
          <w:sz w:val="24"/>
        </w:rPr>
      </w:pPr>
      <w:r>
        <w:rPr>
          <w:rFonts w:eastAsia="方正仿宋_GBK"/>
          <w:b/>
          <w:color w:val="000000"/>
          <w:sz w:val="24"/>
        </w:rPr>
        <w:t>2.</w:t>
      </w:r>
      <w:r>
        <w:rPr>
          <w:rFonts w:hint="cs" w:eastAsia="方正仿宋_GBK"/>
          <w:b/>
          <w:color w:val="000000"/>
          <w:sz w:val="24"/>
          <w:cs/>
        </w:rPr>
        <w:t> </w:t>
      </w:r>
      <w:r>
        <w:rPr>
          <w:rFonts w:hint="eastAsia" w:eastAsia="方正仿宋_GBK"/>
          <w:b/>
          <w:color w:val="000000"/>
          <w:sz w:val="24"/>
        </w:rPr>
        <w:t>证书复检</w:t>
      </w:r>
    </w:p>
    <w:p>
      <w:pPr>
        <w:spacing w:line="460" w:lineRule="exact"/>
        <w:ind w:firstLine="480" w:firstLineChars="200"/>
        <w:rPr>
          <w:rFonts w:eastAsia="方正仿宋_GBK"/>
          <w:color w:val="000000"/>
          <w:sz w:val="24"/>
        </w:rPr>
      </w:pPr>
      <w:r>
        <w:rPr>
          <w:rFonts w:hint="eastAsia" w:eastAsia="方正仿宋_GBK"/>
          <w:color w:val="000000"/>
          <w:sz w:val="24"/>
        </w:rPr>
        <w:t>证书每</w:t>
      </w:r>
      <w:r>
        <w:rPr>
          <w:rFonts w:eastAsia="方正仿宋_GBK"/>
          <w:color w:val="000000"/>
          <w:sz w:val="24"/>
        </w:rPr>
        <w:t>5</w:t>
      </w:r>
      <w:r>
        <w:rPr>
          <w:rFonts w:hint="eastAsia" w:eastAsia="方正仿宋_GBK"/>
          <w:color w:val="000000"/>
          <w:sz w:val="24"/>
        </w:rPr>
        <w:t>年复检一次，持证人员在岗履职情况较好，履职期间未导致安全责任事故且无违法记录，并参加继续教育不少于</w:t>
      </w:r>
      <w:r>
        <w:rPr>
          <w:rFonts w:eastAsia="方正仿宋_GBK"/>
          <w:color w:val="000000"/>
          <w:sz w:val="24"/>
        </w:rPr>
        <w:t>30</w:t>
      </w:r>
      <w:r>
        <w:rPr>
          <w:rFonts w:hint="eastAsia" w:eastAsia="方正仿宋_GBK"/>
          <w:color w:val="000000"/>
          <w:sz w:val="24"/>
        </w:rPr>
        <w:t>学时，可于专业培训考核合格证书复检日期前</w:t>
      </w:r>
      <w:r>
        <w:rPr>
          <w:rFonts w:eastAsia="方正仿宋_GBK"/>
          <w:color w:val="000000"/>
          <w:sz w:val="24"/>
        </w:rPr>
        <w:t>60</w:t>
      </w:r>
      <w:r>
        <w:rPr>
          <w:rFonts w:hint="eastAsia" w:eastAsia="方正仿宋_GBK"/>
          <w:color w:val="000000"/>
          <w:sz w:val="24"/>
        </w:rPr>
        <w:t>个工作日内，由所在企业通过</w:t>
      </w:r>
      <w:r>
        <w:rPr>
          <w:rFonts w:eastAsia="方正仿宋_GBK"/>
          <w:color w:val="000000"/>
          <w:sz w:val="24"/>
        </w:rPr>
        <w:t>“</w:t>
      </w:r>
      <w:r>
        <w:rPr>
          <w:rFonts w:hint="eastAsia" w:eastAsia="方正仿宋_GBK"/>
          <w:color w:val="000000"/>
          <w:sz w:val="24"/>
        </w:rPr>
        <w:t>管理系统</w:t>
      </w:r>
      <w:r>
        <w:rPr>
          <w:rFonts w:eastAsia="方正仿宋_GBK"/>
          <w:color w:val="000000"/>
          <w:sz w:val="24"/>
        </w:rPr>
        <w:t>”</w:t>
      </w:r>
      <w:r>
        <w:rPr>
          <w:rFonts w:hint="eastAsia" w:eastAsia="方正仿宋_GBK"/>
          <w:color w:val="000000"/>
          <w:sz w:val="24"/>
        </w:rPr>
        <w:t>向</w:t>
      </w:r>
      <w:r>
        <w:rPr>
          <w:rFonts w:hint="eastAsia" w:eastAsia="方正仿宋_GBK"/>
          <w:color w:val="000000"/>
          <w:sz w:val="24"/>
          <w:shd w:val="clear" w:color="auto" w:fill="FFFFFF"/>
        </w:rPr>
        <w:t>省级</w:t>
      </w:r>
      <w:r>
        <w:rPr>
          <w:rFonts w:hint="eastAsia" w:eastAsia="方正仿宋_GBK"/>
          <w:color w:val="000000"/>
          <w:sz w:val="24"/>
        </w:rPr>
        <w:t>燃气主管部门提出申请，省级燃气主管部门应在收到核验申请</w:t>
      </w:r>
      <w:r>
        <w:rPr>
          <w:rFonts w:eastAsia="方正仿宋_GBK"/>
          <w:color w:val="000000"/>
          <w:sz w:val="24"/>
        </w:rPr>
        <w:t>30</w:t>
      </w:r>
      <w:r>
        <w:rPr>
          <w:rFonts w:hint="eastAsia" w:eastAsia="方正仿宋_GBK"/>
          <w:color w:val="000000"/>
          <w:sz w:val="24"/>
        </w:rPr>
        <w:t>个工作日内作出核验意见。未经复检或核验不合格者，将被标注</w:t>
      </w:r>
      <w:r>
        <w:rPr>
          <w:rFonts w:eastAsia="方正仿宋_GBK"/>
          <w:color w:val="000000"/>
          <w:sz w:val="24"/>
        </w:rPr>
        <w:t>“</w:t>
      </w:r>
      <w:r>
        <w:rPr>
          <w:rFonts w:hint="eastAsia" w:eastAsia="方正仿宋_GBK"/>
          <w:color w:val="000000"/>
          <w:sz w:val="24"/>
        </w:rPr>
        <w:t>失效</w:t>
      </w:r>
      <w:r>
        <w:rPr>
          <w:rFonts w:eastAsia="方正仿宋_GBK"/>
          <w:color w:val="000000"/>
          <w:sz w:val="24"/>
        </w:rPr>
        <w:t>”</w:t>
      </w:r>
      <w:r>
        <w:rPr>
          <w:rFonts w:hint="eastAsia" w:eastAsia="方正仿宋_GBK"/>
          <w:color w:val="000000"/>
          <w:sz w:val="24"/>
        </w:rPr>
        <w:t>，相关证书信息可通过</w:t>
      </w:r>
      <w:r>
        <w:rPr>
          <w:rFonts w:eastAsia="方正仿宋_GBK"/>
          <w:color w:val="000000"/>
          <w:sz w:val="24"/>
        </w:rPr>
        <w:t>“</w:t>
      </w:r>
      <w:r>
        <w:rPr>
          <w:rFonts w:hint="eastAsia" w:eastAsia="方正仿宋_GBK"/>
          <w:color w:val="000000"/>
          <w:sz w:val="24"/>
        </w:rPr>
        <w:t>管理系统</w:t>
      </w:r>
      <w:r>
        <w:rPr>
          <w:rFonts w:eastAsia="方正仿宋_GBK"/>
          <w:color w:val="000000"/>
          <w:sz w:val="24"/>
        </w:rPr>
        <w:t>”</w:t>
      </w:r>
      <w:r>
        <w:rPr>
          <w:rFonts w:hint="eastAsia" w:eastAsia="方正仿宋_GBK"/>
          <w:color w:val="000000"/>
          <w:sz w:val="24"/>
        </w:rPr>
        <w:t>查询。</w:t>
      </w:r>
    </w:p>
    <w:p>
      <w:pPr>
        <w:tabs>
          <w:tab w:val="left" w:pos="1080"/>
        </w:tabs>
        <w:spacing w:line="460" w:lineRule="exact"/>
        <w:ind w:firstLine="482" w:firstLineChars="200"/>
        <w:rPr>
          <w:rFonts w:eastAsia="方正仿宋_GBK"/>
          <w:b/>
          <w:color w:val="000000"/>
          <w:sz w:val="24"/>
        </w:rPr>
      </w:pPr>
      <w:r>
        <w:rPr>
          <w:rFonts w:eastAsia="方正仿宋_GBK"/>
          <w:b/>
          <w:color w:val="000000"/>
          <w:sz w:val="24"/>
        </w:rPr>
        <w:t>3.</w:t>
      </w:r>
      <w:r>
        <w:rPr>
          <w:rFonts w:hint="cs" w:eastAsia="方正仿宋_GBK"/>
          <w:b/>
          <w:color w:val="000000"/>
          <w:sz w:val="24"/>
          <w:cs/>
        </w:rPr>
        <w:t> </w:t>
      </w:r>
      <w:r>
        <w:rPr>
          <w:rFonts w:hint="eastAsia" w:eastAsia="方正仿宋_GBK"/>
          <w:b/>
          <w:color w:val="000000"/>
          <w:sz w:val="24"/>
        </w:rPr>
        <w:t>证书变更</w:t>
      </w:r>
    </w:p>
    <w:p>
      <w:pPr>
        <w:tabs>
          <w:tab w:val="left" w:pos="1080"/>
        </w:tabs>
        <w:spacing w:line="460" w:lineRule="exact"/>
        <w:ind w:firstLine="480" w:firstLineChars="200"/>
        <w:rPr>
          <w:rFonts w:eastAsia="方正仿宋_GBK"/>
          <w:color w:val="000000"/>
          <w:sz w:val="24"/>
        </w:rPr>
      </w:pPr>
      <w:r>
        <w:rPr>
          <w:rFonts w:hint="eastAsia" w:eastAsia="方正仿宋_GBK"/>
          <w:color w:val="000000"/>
          <w:sz w:val="24"/>
        </w:rPr>
        <w:t>（</w:t>
      </w:r>
      <w:r>
        <w:rPr>
          <w:rFonts w:eastAsia="方正仿宋_GBK"/>
          <w:color w:val="000000"/>
          <w:sz w:val="24"/>
        </w:rPr>
        <w:t>1</w:t>
      </w:r>
      <w:r>
        <w:rPr>
          <w:rFonts w:hint="eastAsia" w:eastAsia="方正仿宋_GBK"/>
          <w:color w:val="000000"/>
          <w:sz w:val="24"/>
        </w:rPr>
        <w:t>）网上申报。由所在企业登录</w:t>
      </w:r>
      <w:r>
        <w:rPr>
          <w:rFonts w:eastAsia="方正仿宋_GBK"/>
          <w:color w:val="000000"/>
          <w:sz w:val="24"/>
        </w:rPr>
        <w:t>“</w:t>
      </w:r>
      <w:r>
        <w:rPr>
          <w:rFonts w:hint="eastAsia" w:eastAsia="方正仿宋_GBK"/>
          <w:color w:val="000000"/>
          <w:sz w:val="24"/>
        </w:rPr>
        <w:t>管理系统</w:t>
      </w:r>
      <w:r>
        <w:rPr>
          <w:rFonts w:eastAsia="方正仿宋_GBK"/>
          <w:color w:val="000000"/>
          <w:sz w:val="24"/>
        </w:rPr>
        <w:t>”</w:t>
      </w:r>
      <w:r>
        <w:rPr>
          <w:rFonts w:hint="eastAsia" w:eastAsia="方正仿宋_GBK"/>
          <w:color w:val="000000"/>
          <w:sz w:val="24"/>
        </w:rPr>
        <w:t>进行申请并完成相关资料上传。</w:t>
      </w:r>
    </w:p>
    <w:p>
      <w:pPr>
        <w:tabs>
          <w:tab w:val="left" w:pos="1080"/>
        </w:tabs>
        <w:spacing w:line="460" w:lineRule="exact"/>
        <w:ind w:firstLine="480" w:firstLineChars="200"/>
        <w:rPr>
          <w:rFonts w:eastAsia="方正仿宋_GBK"/>
          <w:color w:val="000000"/>
          <w:sz w:val="24"/>
        </w:rPr>
      </w:pPr>
      <w:r>
        <w:rPr>
          <w:rFonts w:hint="eastAsia" w:ascii="Times New Roman" w:hAnsi="Times New Roman" w:cs="宋体"/>
          <w:color w:val="000000"/>
          <w:sz w:val="24"/>
        </w:rPr>
        <w:t>①</w:t>
      </w:r>
      <w:r>
        <w:rPr>
          <w:rFonts w:hint="eastAsia" w:eastAsia="方正仿宋_GBK"/>
          <w:color w:val="000000"/>
          <w:sz w:val="24"/>
        </w:rPr>
        <w:t>单位变更。上传身份证（正反）、与原企业解除劳动关系的证明、与新企业签订的聘用劳动合同等原件扫描件，并上报数据。</w:t>
      </w:r>
    </w:p>
    <w:p>
      <w:pPr>
        <w:tabs>
          <w:tab w:val="left" w:pos="1080"/>
        </w:tabs>
        <w:spacing w:line="460" w:lineRule="exact"/>
        <w:ind w:firstLine="480" w:firstLineChars="200"/>
        <w:rPr>
          <w:rFonts w:eastAsia="方正仿宋_GBK"/>
          <w:color w:val="000000"/>
          <w:sz w:val="24"/>
        </w:rPr>
      </w:pPr>
      <w:r>
        <w:rPr>
          <w:rFonts w:hint="eastAsia" w:ascii="Times New Roman" w:hAnsi="Times New Roman" w:cs="宋体"/>
          <w:color w:val="000000"/>
          <w:sz w:val="24"/>
        </w:rPr>
        <w:t>②</w:t>
      </w:r>
      <w:r>
        <w:rPr>
          <w:rFonts w:hint="eastAsia" w:eastAsia="方正仿宋_GBK"/>
          <w:color w:val="000000"/>
          <w:sz w:val="24"/>
        </w:rPr>
        <w:t>企业名称变更。上传企业的工商更名通知单或者营业执照原件扫描件，并上报数据。</w:t>
      </w:r>
    </w:p>
    <w:p>
      <w:pPr>
        <w:tabs>
          <w:tab w:val="left" w:pos="1080"/>
        </w:tabs>
        <w:spacing w:line="460" w:lineRule="exact"/>
        <w:ind w:firstLine="480" w:firstLineChars="200"/>
        <w:rPr>
          <w:rFonts w:eastAsia="方正仿宋_GBK"/>
          <w:color w:val="000000"/>
          <w:sz w:val="24"/>
        </w:rPr>
      </w:pPr>
      <w:r>
        <w:rPr>
          <w:rFonts w:hint="eastAsia" w:ascii="Times New Roman" w:hAnsi="Times New Roman" w:cs="宋体"/>
          <w:color w:val="000000"/>
          <w:sz w:val="24"/>
        </w:rPr>
        <w:t>③</w:t>
      </w:r>
      <w:r>
        <w:rPr>
          <w:rFonts w:hint="eastAsia" w:eastAsia="方正仿宋_GBK"/>
          <w:color w:val="000000"/>
          <w:sz w:val="24"/>
        </w:rPr>
        <w:t>自然情况变更。上传从业人员变更后的身份证明或其他有效证明材料原件扫描件，并上报数据。</w:t>
      </w:r>
    </w:p>
    <w:p>
      <w:pPr>
        <w:tabs>
          <w:tab w:val="left" w:pos="1080"/>
        </w:tabs>
        <w:spacing w:line="460" w:lineRule="exact"/>
        <w:ind w:firstLine="480" w:firstLineChars="200"/>
        <w:rPr>
          <w:rFonts w:eastAsia="方正仿宋_GBK"/>
          <w:color w:val="000000"/>
          <w:sz w:val="24"/>
        </w:rPr>
      </w:pPr>
      <w:r>
        <w:rPr>
          <w:rFonts w:hint="eastAsia" w:eastAsia="方正仿宋_GBK"/>
          <w:color w:val="000000"/>
          <w:sz w:val="24"/>
        </w:rPr>
        <w:t>（</w:t>
      </w:r>
      <w:r>
        <w:rPr>
          <w:rFonts w:eastAsia="方正仿宋_GBK"/>
          <w:color w:val="000000"/>
          <w:sz w:val="24"/>
        </w:rPr>
        <w:t>2</w:t>
      </w:r>
      <w:r>
        <w:rPr>
          <w:rFonts w:hint="eastAsia" w:eastAsia="方正仿宋_GBK"/>
          <w:color w:val="000000"/>
          <w:sz w:val="24"/>
        </w:rPr>
        <w:t>）省级校验。</w:t>
      </w:r>
      <w:r>
        <w:rPr>
          <w:rFonts w:hint="eastAsia" w:eastAsia="方正仿宋_GBK"/>
          <w:color w:val="000000"/>
          <w:sz w:val="24"/>
          <w:shd w:val="clear" w:color="auto" w:fill="FFFFFF"/>
        </w:rPr>
        <w:t>省级</w:t>
      </w:r>
      <w:r>
        <w:rPr>
          <w:rFonts w:hint="eastAsia" w:eastAsia="方正仿宋_GBK"/>
          <w:color w:val="000000"/>
          <w:sz w:val="24"/>
        </w:rPr>
        <w:t>燃气主管部门在规定的时效内，在</w:t>
      </w:r>
      <w:r>
        <w:rPr>
          <w:rFonts w:eastAsia="方正仿宋_GBK"/>
          <w:color w:val="000000"/>
          <w:sz w:val="24"/>
        </w:rPr>
        <w:t>“</w:t>
      </w:r>
      <w:r>
        <w:rPr>
          <w:rFonts w:hint="eastAsia" w:eastAsia="方正仿宋_GBK"/>
          <w:color w:val="000000"/>
          <w:sz w:val="24"/>
        </w:rPr>
        <w:t>管理系统</w:t>
      </w:r>
      <w:r>
        <w:rPr>
          <w:rFonts w:eastAsia="方正仿宋_GBK"/>
          <w:color w:val="000000"/>
          <w:sz w:val="24"/>
        </w:rPr>
        <w:t>”</w:t>
      </w:r>
      <w:r>
        <w:rPr>
          <w:rFonts w:hint="eastAsia" w:eastAsia="方正仿宋_GBK"/>
          <w:color w:val="000000"/>
          <w:sz w:val="24"/>
        </w:rPr>
        <w:t>对符合变更要求的申请人数据进行校验。</w:t>
      </w:r>
    </w:p>
    <w:p>
      <w:pPr>
        <w:spacing w:line="460" w:lineRule="exact"/>
        <w:ind w:firstLine="482" w:firstLineChars="200"/>
        <w:rPr>
          <w:rFonts w:eastAsia="方正仿宋_GBK"/>
          <w:b/>
          <w:color w:val="000000"/>
          <w:sz w:val="24"/>
        </w:rPr>
      </w:pPr>
      <w:r>
        <w:rPr>
          <w:rFonts w:eastAsia="方正仿宋_GBK"/>
          <w:b/>
          <w:color w:val="000000"/>
          <w:sz w:val="24"/>
        </w:rPr>
        <w:t>4.</w:t>
      </w:r>
      <w:r>
        <w:rPr>
          <w:rFonts w:hint="cs" w:eastAsia="方正仿宋_GBK"/>
          <w:b/>
          <w:color w:val="000000"/>
          <w:sz w:val="24"/>
          <w:cs/>
        </w:rPr>
        <w:t> </w:t>
      </w:r>
      <w:r>
        <w:rPr>
          <w:rFonts w:hint="eastAsia" w:eastAsia="方正仿宋_GBK"/>
          <w:b/>
          <w:color w:val="000000"/>
          <w:sz w:val="24"/>
        </w:rPr>
        <w:t>证书撤销</w:t>
      </w:r>
    </w:p>
    <w:p>
      <w:pPr>
        <w:spacing w:line="460" w:lineRule="exact"/>
        <w:ind w:firstLine="480" w:firstLineChars="200"/>
        <w:rPr>
          <w:rFonts w:eastAsia="方正仿宋_GBK"/>
          <w:color w:val="000000"/>
          <w:sz w:val="24"/>
        </w:rPr>
      </w:pPr>
      <w:r>
        <w:rPr>
          <w:rFonts w:hint="eastAsia" w:eastAsia="方正仿宋_GBK"/>
          <w:color w:val="000000"/>
          <w:sz w:val="24"/>
        </w:rPr>
        <w:t>经核实，有以下情形之一的，</w:t>
      </w:r>
      <w:r>
        <w:rPr>
          <w:rFonts w:hint="eastAsia" w:eastAsia="方正仿宋_GBK"/>
          <w:color w:val="000000"/>
          <w:sz w:val="24"/>
          <w:shd w:val="clear" w:color="auto" w:fill="FFFFFF"/>
        </w:rPr>
        <w:t>省级</w:t>
      </w:r>
      <w:r>
        <w:rPr>
          <w:rFonts w:hint="eastAsia" w:eastAsia="方正仿宋_GBK"/>
          <w:color w:val="000000"/>
          <w:sz w:val="24"/>
        </w:rPr>
        <w:t>燃气主管部门在</w:t>
      </w:r>
      <w:r>
        <w:rPr>
          <w:rFonts w:eastAsia="方正仿宋_GBK"/>
          <w:color w:val="000000"/>
          <w:sz w:val="24"/>
        </w:rPr>
        <w:t>“</w:t>
      </w:r>
      <w:r>
        <w:rPr>
          <w:rFonts w:hint="eastAsia" w:eastAsia="方正仿宋_GBK"/>
          <w:color w:val="000000"/>
          <w:sz w:val="24"/>
          <w:shd w:val="clear" w:color="auto" w:fill="FFFFFF"/>
        </w:rPr>
        <w:t>管理系统</w:t>
      </w:r>
      <w:r>
        <w:rPr>
          <w:rFonts w:eastAsia="方正仿宋_GBK"/>
          <w:color w:val="000000"/>
          <w:sz w:val="24"/>
        </w:rPr>
        <w:t>”</w:t>
      </w:r>
      <w:r>
        <w:rPr>
          <w:rFonts w:hint="eastAsia" w:eastAsia="方正仿宋_GBK"/>
          <w:color w:val="000000"/>
          <w:sz w:val="24"/>
        </w:rPr>
        <w:t>内撤销其信息并回收证书。</w:t>
      </w:r>
    </w:p>
    <w:p>
      <w:pPr>
        <w:spacing w:line="460" w:lineRule="exact"/>
        <w:ind w:firstLine="480" w:firstLineChars="200"/>
        <w:rPr>
          <w:rFonts w:eastAsia="方正仿宋_GBK"/>
          <w:color w:val="000000"/>
          <w:sz w:val="24"/>
        </w:rPr>
      </w:pPr>
      <w:r>
        <w:rPr>
          <w:rFonts w:hint="eastAsia" w:eastAsia="方正仿宋_GBK"/>
          <w:color w:val="000000"/>
          <w:sz w:val="24"/>
        </w:rPr>
        <w:t>（</w:t>
      </w:r>
      <w:r>
        <w:rPr>
          <w:rFonts w:eastAsia="方正仿宋_GBK"/>
          <w:color w:val="000000"/>
          <w:sz w:val="24"/>
        </w:rPr>
        <w:t>1</w:t>
      </w:r>
      <w:r>
        <w:rPr>
          <w:rFonts w:hint="eastAsia" w:eastAsia="方正仿宋_GBK"/>
          <w:color w:val="000000"/>
          <w:sz w:val="24"/>
        </w:rPr>
        <w:t>）通过不正当手段获得证书；</w:t>
      </w:r>
    </w:p>
    <w:p>
      <w:pPr>
        <w:spacing w:line="460" w:lineRule="exact"/>
        <w:ind w:firstLine="480" w:firstLineChars="200"/>
        <w:rPr>
          <w:rFonts w:eastAsia="方正仿宋_GBK"/>
          <w:color w:val="000000"/>
          <w:sz w:val="24"/>
        </w:rPr>
      </w:pPr>
      <w:r>
        <w:rPr>
          <w:rFonts w:hint="eastAsia" w:eastAsia="方正仿宋_GBK"/>
          <w:color w:val="000000"/>
          <w:sz w:val="24"/>
        </w:rPr>
        <w:t>（</w:t>
      </w:r>
      <w:r>
        <w:rPr>
          <w:rFonts w:eastAsia="方正仿宋_GBK"/>
          <w:color w:val="000000"/>
          <w:sz w:val="24"/>
        </w:rPr>
        <w:t>2</w:t>
      </w:r>
      <w:r>
        <w:rPr>
          <w:rFonts w:hint="eastAsia" w:eastAsia="方正仿宋_GBK"/>
          <w:color w:val="000000"/>
          <w:sz w:val="24"/>
        </w:rPr>
        <w:t>）发生重大安全责任事故；</w:t>
      </w:r>
    </w:p>
    <w:p>
      <w:pPr>
        <w:spacing w:line="460" w:lineRule="exact"/>
        <w:ind w:firstLine="480" w:firstLineChars="200"/>
        <w:rPr>
          <w:rFonts w:eastAsia="方正仿宋_GBK"/>
          <w:color w:val="000000"/>
          <w:sz w:val="24"/>
        </w:rPr>
      </w:pPr>
      <w:r>
        <w:rPr>
          <w:rFonts w:hint="eastAsia" w:eastAsia="方正仿宋_GBK"/>
          <w:color w:val="000000"/>
          <w:sz w:val="24"/>
        </w:rPr>
        <w:t>（</w:t>
      </w:r>
      <w:r>
        <w:rPr>
          <w:rFonts w:eastAsia="方正仿宋_GBK"/>
          <w:color w:val="000000"/>
          <w:sz w:val="24"/>
        </w:rPr>
        <w:t>3</w:t>
      </w:r>
      <w:r>
        <w:rPr>
          <w:rFonts w:hint="eastAsia" w:eastAsia="方正仿宋_GBK"/>
          <w:color w:val="000000"/>
          <w:sz w:val="24"/>
        </w:rPr>
        <w:t>）受刑事处罚或严重违反职业道德造成恶劣影响的。</w:t>
      </w:r>
    </w:p>
    <w:p>
      <w:pPr>
        <w:spacing w:line="460" w:lineRule="exact"/>
        <w:ind w:firstLine="480" w:firstLineChars="200"/>
        <w:rPr>
          <w:rFonts w:eastAsia="方正仿宋_GBK"/>
          <w:b/>
          <w:color w:val="000000"/>
          <w:sz w:val="24"/>
        </w:rPr>
      </w:pPr>
      <w:r>
        <w:rPr>
          <w:rFonts w:eastAsia="方正仿宋_GBK"/>
          <w:color w:val="000000"/>
          <w:sz w:val="24"/>
        </w:rPr>
        <w:t>5</w:t>
      </w:r>
      <w:r>
        <w:rPr>
          <w:rFonts w:eastAsia="方正仿宋_GBK"/>
          <w:b/>
          <w:color w:val="000000"/>
          <w:sz w:val="24"/>
        </w:rPr>
        <w:t>.</w:t>
      </w:r>
      <w:r>
        <w:rPr>
          <w:rFonts w:hint="cs" w:eastAsia="方正仿宋_GBK"/>
          <w:b/>
          <w:color w:val="000000"/>
          <w:sz w:val="24"/>
          <w:cs/>
        </w:rPr>
        <w:t> </w:t>
      </w:r>
      <w:r>
        <w:rPr>
          <w:rFonts w:hint="eastAsia" w:eastAsia="方正仿宋_GBK"/>
          <w:b/>
          <w:color w:val="000000"/>
          <w:sz w:val="24"/>
        </w:rPr>
        <w:t>证书注销</w:t>
      </w:r>
    </w:p>
    <w:p>
      <w:pPr>
        <w:spacing w:line="460" w:lineRule="exact"/>
        <w:ind w:firstLine="480" w:firstLineChars="200"/>
        <w:rPr>
          <w:rFonts w:eastAsia="方正仿宋_GBK"/>
          <w:color w:val="000000"/>
          <w:sz w:val="24"/>
        </w:rPr>
      </w:pPr>
      <w:r>
        <w:rPr>
          <w:rFonts w:hint="eastAsia" w:eastAsia="方正仿宋_GBK"/>
          <w:color w:val="000000"/>
          <w:sz w:val="24"/>
        </w:rPr>
        <w:t>经核实，有以下情形之一的，由所在企业在</w:t>
      </w:r>
      <w:r>
        <w:rPr>
          <w:rFonts w:eastAsia="方正仿宋_GBK"/>
          <w:color w:val="000000"/>
          <w:sz w:val="24"/>
        </w:rPr>
        <w:t>‘</w:t>
      </w:r>
      <w:r>
        <w:rPr>
          <w:rFonts w:hint="eastAsia" w:eastAsia="方正仿宋_GBK"/>
          <w:color w:val="000000"/>
          <w:sz w:val="24"/>
          <w:shd w:val="clear" w:color="auto" w:fill="FFFFFF"/>
        </w:rPr>
        <w:t>管理系统</w:t>
      </w:r>
      <w:r>
        <w:rPr>
          <w:rFonts w:eastAsia="方正仿宋_GBK"/>
          <w:color w:val="000000"/>
          <w:sz w:val="24"/>
        </w:rPr>
        <w:t>’</w:t>
      </w:r>
      <w:r>
        <w:rPr>
          <w:rFonts w:hint="eastAsia" w:eastAsia="方正仿宋_GBK"/>
          <w:color w:val="000000"/>
          <w:sz w:val="24"/>
        </w:rPr>
        <w:t>内提出申请，经</w:t>
      </w:r>
      <w:r>
        <w:rPr>
          <w:rFonts w:hint="eastAsia" w:eastAsia="方正仿宋_GBK"/>
          <w:color w:val="000000"/>
          <w:sz w:val="24"/>
          <w:shd w:val="clear" w:color="auto" w:fill="FFFFFF"/>
        </w:rPr>
        <w:t>省级</w:t>
      </w:r>
      <w:r>
        <w:rPr>
          <w:rFonts w:hint="eastAsia" w:eastAsia="方正仿宋_GBK"/>
          <w:color w:val="000000"/>
          <w:sz w:val="24"/>
        </w:rPr>
        <w:t>燃气主管部门核准。</w:t>
      </w:r>
    </w:p>
    <w:p>
      <w:pPr>
        <w:spacing w:line="460" w:lineRule="exact"/>
        <w:ind w:firstLine="480" w:firstLineChars="200"/>
        <w:rPr>
          <w:rFonts w:eastAsia="方正仿宋_GBK"/>
          <w:color w:val="000000"/>
          <w:sz w:val="24"/>
        </w:rPr>
      </w:pPr>
      <w:r>
        <w:rPr>
          <w:rFonts w:hint="eastAsia" w:eastAsia="方正仿宋_GBK"/>
          <w:color w:val="000000"/>
          <w:sz w:val="24"/>
        </w:rPr>
        <w:t>（</w:t>
      </w:r>
      <w:r>
        <w:rPr>
          <w:rFonts w:eastAsia="方正仿宋_GBK"/>
          <w:color w:val="000000"/>
          <w:sz w:val="24"/>
        </w:rPr>
        <w:t>1</w:t>
      </w:r>
      <w:r>
        <w:rPr>
          <w:rFonts w:hint="eastAsia" w:eastAsia="方正仿宋_GBK"/>
          <w:color w:val="000000"/>
          <w:sz w:val="24"/>
        </w:rPr>
        <w:t>）持证人主动要求注销的；</w:t>
      </w:r>
    </w:p>
    <w:p>
      <w:pPr>
        <w:spacing w:line="460" w:lineRule="exact"/>
        <w:ind w:firstLine="480" w:firstLineChars="200"/>
        <w:rPr>
          <w:rFonts w:eastAsia="方正仿宋_GBK"/>
          <w:color w:val="000000"/>
          <w:sz w:val="24"/>
        </w:rPr>
      </w:pPr>
      <w:r>
        <w:rPr>
          <w:rFonts w:hint="eastAsia" w:eastAsia="方正仿宋_GBK"/>
          <w:color w:val="000000"/>
          <w:sz w:val="24"/>
        </w:rPr>
        <w:t>（</w:t>
      </w:r>
      <w:r>
        <w:rPr>
          <w:rFonts w:eastAsia="方正仿宋_GBK"/>
          <w:color w:val="000000"/>
          <w:sz w:val="24"/>
        </w:rPr>
        <w:t>2</w:t>
      </w:r>
      <w:r>
        <w:rPr>
          <w:rFonts w:hint="eastAsia" w:eastAsia="方正仿宋_GBK"/>
          <w:color w:val="000000"/>
          <w:sz w:val="24"/>
        </w:rPr>
        <w:t>）证书依法吊销、被撤销的；</w:t>
      </w:r>
    </w:p>
    <w:p>
      <w:pPr>
        <w:spacing w:line="460" w:lineRule="exact"/>
        <w:ind w:firstLine="480" w:firstLineChars="200"/>
        <w:rPr>
          <w:rFonts w:eastAsia="方正仿宋_GBK"/>
          <w:color w:val="000000"/>
          <w:sz w:val="24"/>
        </w:rPr>
      </w:pPr>
      <w:r>
        <w:rPr>
          <w:rFonts w:hint="eastAsia" w:eastAsia="方正仿宋_GBK"/>
          <w:color w:val="000000"/>
          <w:sz w:val="24"/>
        </w:rPr>
        <w:t>（</w:t>
      </w:r>
      <w:r>
        <w:rPr>
          <w:rFonts w:eastAsia="方正仿宋_GBK"/>
          <w:color w:val="000000"/>
          <w:sz w:val="24"/>
        </w:rPr>
        <w:t>3</w:t>
      </w:r>
      <w:r>
        <w:rPr>
          <w:rFonts w:hint="eastAsia" w:eastAsia="方正仿宋_GBK"/>
          <w:color w:val="000000"/>
          <w:sz w:val="24"/>
        </w:rPr>
        <w:t>）法律、法规规定应当注销的其他情形。</w:t>
      </w:r>
    </w:p>
    <w:p>
      <w:pPr>
        <w:spacing w:line="460" w:lineRule="exact"/>
        <w:ind w:firstLine="482" w:firstLineChars="200"/>
        <w:rPr>
          <w:rFonts w:eastAsia="方正仿宋_GBK"/>
          <w:b/>
          <w:color w:val="000000"/>
          <w:sz w:val="24"/>
        </w:rPr>
      </w:pPr>
      <w:r>
        <w:rPr>
          <w:rFonts w:eastAsia="方正仿宋_GBK"/>
          <w:b/>
          <w:color w:val="000000"/>
          <w:sz w:val="24"/>
        </w:rPr>
        <w:t>6.</w:t>
      </w:r>
      <w:r>
        <w:rPr>
          <w:rFonts w:hint="cs" w:eastAsia="方正仿宋_GBK"/>
          <w:b/>
          <w:color w:val="000000"/>
          <w:sz w:val="24"/>
          <w:cs/>
        </w:rPr>
        <w:t> </w:t>
      </w:r>
      <w:r>
        <w:rPr>
          <w:rFonts w:hint="eastAsia" w:eastAsia="方正仿宋_GBK"/>
          <w:b/>
          <w:color w:val="000000"/>
          <w:sz w:val="24"/>
        </w:rPr>
        <w:t>证书补办</w:t>
      </w:r>
    </w:p>
    <w:p>
      <w:pPr>
        <w:spacing w:line="460" w:lineRule="exact"/>
        <w:ind w:firstLine="480" w:firstLineChars="200"/>
        <w:rPr>
          <w:rFonts w:eastAsia="方正仿宋_GBK"/>
          <w:color w:val="000000"/>
          <w:sz w:val="24"/>
        </w:rPr>
      </w:pPr>
      <w:r>
        <w:rPr>
          <w:rFonts w:hint="eastAsia" w:eastAsia="方正仿宋_GBK"/>
          <w:color w:val="000000"/>
          <w:sz w:val="24"/>
        </w:rPr>
        <w:t>因遗失证书的，通过</w:t>
      </w:r>
      <w:r>
        <w:rPr>
          <w:rFonts w:eastAsia="方正仿宋_GBK"/>
          <w:color w:val="000000"/>
          <w:sz w:val="24"/>
        </w:rPr>
        <w:t>“</w:t>
      </w:r>
      <w:r>
        <w:rPr>
          <w:rFonts w:hint="eastAsia" w:eastAsia="方正仿宋_GBK"/>
          <w:color w:val="000000"/>
          <w:sz w:val="24"/>
        </w:rPr>
        <w:t>管理系统</w:t>
      </w:r>
      <w:r>
        <w:rPr>
          <w:rFonts w:eastAsia="方正仿宋_GBK"/>
          <w:color w:val="000000"/>
          <w:sz w:val="24"/>
        </w:rPr>
        <w:t>”</w:t>
      </w:r>
      <w:r>
        <w:rPr>
          <w:rFonts w:hint="eastAsia" w:eastAsia="方正仿宋_GBK"/>
          <w:color w:val="000000"/>
          <w:sz w:val="24"/>
        </w:rPr>
        <w:t>扫描上传市级以上报纸刊登的遗失声明原件扫描件，</w:t>
      </w:r>
      <w:r>
        <w:rPr>
          <w:rFonts w:hint="eastAsia" w:eastAsia="方正仿宋_GBK"/>
          <w:color w:val="000000"/>
          <w:sz w:val="24"/>
          <w:shd w:val="clear" w:color="auto" w:fill="FFFFFF"/>
        </w:rPr>
        <w:t>省级</w:t>
      </w:r>
      <w:r>
        <w:rPr>
          <w:rFonts w:hint="eastAsia" w:eastAsia="方正仿宋_GBK"/>
          <w:color w:val="000000"/>
          <w:sz w:val="24"/>
        </w:rPr>
        <w:t>燃气主管部门在规定的时效内对数据进行校验。</w:t>
      </w:r>
    </w:p>
    <w:p>
      <w:pPr>
        <w:spacing w:line="460" w:lineRule="exact"/>
        <w:ind w:firstLine="480" w:firstLineChars="200"/>
        <w:rPr>
          <w:rFonts w:ascii="Times New Roman" w:eastAsia="黑体"/>
          <w:color w:val="000000"/>
          <w:sz w:val="24"/>
        </w:rPr>
      </w:pPr>
      <w:r>
        <w:rPr>
          <w:rFonts w:hint="eastAsia" w:ascii="Times New Roman" w:eastAsia="黑体"/>
          <w:color w:val="000000"/>
          <w:sz w:val="24"/>
        </w:rPr>
        <w:t>六、有关收费</w:t>
      </w:r>
    </w:p>
    <w:p>
      <w:pPr>
        <w:autoSpaceDE w:val="0"/>
        <w:autoSpaceDN w:val="0"/>
        <w:adjustRightInd w:val="0"/>
        <w:spacing w:line="460" w:lineRule="exact"/>
        <w:ind w:firstLine="480" w:firstLineChars="200"/>
        <w:jc w:val="left"/>
        <w:rPr>
          <w:rFonts w:hint="eastAsia" w:eastAsia="方正仿宋_GBK"/>
          <w:color w:val="000000"/>
          <w:kern w:val="0"/>
          <w:sz w:val="24"/>
        </w:rPr>
      </w:pPr>
      <w:r>
        <w:rPr>
          <w:rFonts w:hint="eastAsia" w:eastAsia="方正仿宋_GBK"/>
          <w:color w:val="000000"/>
          <w:kern w:val="0"/>
          <w:sz w:val="24"/>
        </w:rPr>
        <w:t>各地结合本地区的实际，根据实际培训学时数，合理确定收费标准并报当地物价部门备案。</w:t>
      </w:r>
    </w:p>
    <w:p>
      <w:pPr>
        <w:spacing w:line="460" w:lineRule="exact"/>
        <w:ind w:firstLine="480" w:firstLineChars="200"/>
        <w:rPr>
          <w:rFonts w:ascii="Times New Roman" w:eastAsia="黑体"/>
          <w:color w:val="000000"/>
          <w:sz w:val="24"/>
        </w:rPr>
      </w:pPr>
      <w:r>
        <w:rPr>
          <w:rFonts w:hint="eastAsia" w:ascii="Times New Roman" w:eastAsia="黑体"/>
          <w:color w:val="000000"/>
          <w:sz w:val="24"/>
        </w:rPr>
        <w:t>七、工作要求</w:t>
      </w:r>
    </w:p>
    <w:p>
      <w:pPr>
        <w:spacing w:line="460" w:lineRule="exact"/>
        <w:ind w:firstLine="480" w:firstLineChars="200"/>
        <w:rPr>
          <w:rFonts w:hint="eastAsia" w:eastAsia="方正仿宋_GBK"/>
          <w:color w:val="000000"/>
          <w:sz w:val="24"/>
        </w:rPr>
      </w:pPr>
      <w:r>
        <w:rPr>
          <w:rFonts w:eastAsia="方正仿宋_GBK"/>
          <w:color w:val="000000"/>
          <w:sz w:val="24"/>
        </w:rPr>
        <w:t>1. </w:t>
      </w:r>
      <w:r>
        <w:rPr>
          <w:rFonts w:hint="eastAsia" w:eastAsia="方正仿宋_GBK"/>
          <w:color w:val="000000"/>
          <w:sz w:val="24"/>
        </w:rPr>
        <w:t>燃气经营企业从业人员培训考核工作，事关</w:t>
      </w:r>
      <w:r>
        <w:rPr>
          <w:rFonts w:hint="eastAsia" w:eastAsia="方正仿宋_GBK"/>
          <w:bCs/>
          <w:color w:val="000000"/>
          <w:sz w:val="24"/>
        </w:rPr>
        <w:t>燃气行业健康发展，事关</w:t>
      </w:r>
      <w:r>
        <w:rPr>
          <w:rFonts w:hint="eastAsia" w:eastAsia="方正仿宋_GBK"/>
          <w:color w:val="000000"/>
          <w:sz w:val="24"/>
          <w:shd w:val="clear" w:color="auto" w:fill="FFFFFF"/>
        </w:rPr>
        <w:t>公民生命、财产安全和公共安全</w:t>
      </w:r>
      <w:r>
        <w:rPr>
          <w:rFonts w:hint="eastAsia" w:eastAsia="方正仿宋_GBK"/>
          <w:color w:val="000000"/>
          <w:sz w:val="24"/>
        </w:rPr>
        <w:t>，各地应高度重视，扎实推进。建立有效监督检查机制，强化关键事项、关键环节事中事后监管，将提高培训质量、严格考核管理等重点任务落实到位。</w:t>
      </w:r>
    </w:p>
    <w:p>
      <w:pPr>
        <w:spacing w:line="460" w:lineRule="exact"/>
        <w:ind w:firstLine="480" w:firstLineChars="200"/>
        <w:rPr>
          <w:rFonts w:eastAsia="方正仿宋_GBK"/>
          <w:color w:val="000000"/>
          <w:sz w:val="24"/>
        </w:rPr>
      </w:pPr>
      <w:r>
        <w:rPr>
          <w:rFonts w:eastAsia="方正仿宋_GBK"/>
          <w:color w:val="000000"/>
          <w:sz w:val="24"/>
        </w:rPr>
        <w:t>2. </w:t>
      </w:r>
      <w:r>
        <w:rPr>
          <w:rFonts w:hint="eastAsia" w:eastAsia="方正仿宋_GBK"/>
          <w:color w:val="000000"/>
          <w:sz w:val="24"/>
        </w:rPr>
        <w:t>承担培训任务的企业、社会培训机构（单位）在当地燃气主管部门指导、监督下，自觉提高自律意识和责任意识，健全内部管理制度，按照培训工作要求，规范培训行为，切实保障培训质量。</w:t>
      </w:r>
    </w:p>
    <w:p>
      <w:pPr>
        <w:autoSpaceDE w:val="0"/>
        <w:autoSpaceDN w:val="0"/>
        <w:adjustRightInd w:val="0"/>
        <w:spacing w:line="460" w:lineRule="exact"/>
        <w:ind w:firstLine="480" w:firstLineChars="200"/>
        <w:jc w:val="left"/>
        <w:rPr>
          <w:rFonts w:eastAsia="方正仿宋_GBK"/>
          <w:color w:val="000000"/>
          <w:kern w:val="0"/>
          <w:sz w:val="24"/>
        </w:rPr>
      </w:pPr>
      <w:r>
        <w:rPr>
          <w:rFonts w:eastAsia="方正仿宋_GBK"/>
          <w:color w:val="000000"/>
          <w:sz w:val="24"/>
        </w:rPr>
        <w:t xml:space="preserve">   </w:t>
      </w:r>
      <w:r>
        <w:rPr>
          <w:rFonts w:eastAsia="方正仿宋_GBK"/>
          <w:color w:val="000000"/>
          <w:kern w:val="0"/>
          <w:sz w:val="24"/>
        </w:rPr>
        <w:t xml:space="preserve">                      </w:t>
      </w:r>
    </w:p>
    <w:p>
      <w:pPr>
        <w:autoSpaceDE w:val="0"/>
        <w:autoSpaceDN w:val="0"/>
        <w:adjustRightInd w:val="0"/>
        <w:spacing w:line="460" w:lineRule="exact"/>
        <w:ind w:firstLine="480" w:firstLineChars="200"/>
        <w:jc w:val="right"/>
        <w:rPr>
          <w:rFonts w:eastAsia="方正仿宋_GBK"/>
          <w:color w:val="000000"/>
          <w:kern w:val="0"/>
          <w:sz w:val="24"/>
        </w:rPr>
      </w:pPr>
      <w:r>
        <w:rPr>
          <w:rFonts w:eastAsia="方正仿宋_GBK"/>
          <w:color w:val="000000"/>
          <w:kern w:val="0"/>
          <w:sz w:val="24"/>
        </w:rPr>
        <w:t xml:space="preserve">  </w:t>
      </w:r>
      <w:r>
        <w:rPr>
          <w:rFonts w:hint="eastAsia" w:eastAsia="方正仿宋_GBK"/>
          <w:color w:val="000000"/>
          <w:kern w:val="0"/>
          <w:sz w:val="24"/>
        </w:rPr>
        <w:t>江苏省住房和城乡建设厅</w:t>
      </w:r>
    </w:p>
    <w:p>
      <w:pPr>
        <w:spacing w:line="460" w:lineRule="exact"/>
        <w:ind w:firstLine="6600" w:firstLineChars="2750"/>
        <w:rPr>
          <w:rFonts w:eastAsia="方正仿宋_GBK"/>
          <w:color w:val="000000"/>
          <w:kern w:val="0"/>
          <w:sz w:val="24"/>
        </w:rPr>
      </w:pPr>
      <w:r>
        <w:rPr>
          <w:rFonts w:eastAsia="方正仿宋_GBK"/>
          <w:color w:val="000000"/>
          <w:kern w:val="0"/>
          <w:sz w:val="24"/>
        </w:rPr>
        <w:t>2017</w:t>
      </w:r>
      <w:r>
        <w:rPr>
          <w:rFonts w:hint="eastAsia" w:eastAsia="方正仿宋_GBK"/>
          <w:color w:val="000000"/>
          <w:kern w:val="0"/>
          <w:sz w:val="24"/>
        </w:rPr>
        <w:t>年</w:t>
      </w:r>
      <w:r>
        <w:rPr>
          <w:rFonts w:eastAsia="方正仿宋_GBK"/>
          <w:color w:val="000000"/>
          <w:kern w:val="0"/>
          <w:sz w:val="24"/>
        </w:rPr>
        <w:t>1</w:t>
      </w:r>
      <w:r>
        <w:rPr>
          <w:rFonts w:hint="eastAsia" w:eastAsia="方正仿宋_GBK"/>
          <w:color w:val="000000"/>
          <w:kern w:val="0"/>
          <w:sz w:val="24"/>
        </w:rPr>
        <w:t>月</w:t>
      </w:r>
      <w:r>
        <w:rPr>
          <w:rFonts w:eastAsia="方正仿宋_GBK"/>
          <w:color w:val="000000"/>
          <w:kern w:val="0"/>
          <w:sz w:val="24"/>
        </w:rPr>
        <w:t>22</w:t>
      </w:r>
      <w:r>
        <w:rPr>
          <w:rFonts w:hint="eastAsia" w:eastAsia="方正仿宋_GBK"/>
          <w:color w:val="000000"/>
          <w:kern w:val="0"/>
          <w:sz w:val="24"/>
        </w:rPr>
        <w:t>日</w:t>
      </w:r>
    </w:p>
    <w:p>
      <w:pPr>
        <w:spacing w:line="460" w:lineRule="exact"/>
        <w:ind w:firstLine="480" w:firstLineChars="200"/>
        <w:jc w:val="left"/>
        <w:rPr>
          <w:rFonts w:eastAsia="方正仿宋_GBK"/>
          <w:color w:val="000000"/>
          <w:kern w:val="0"/>
          <w:sz w:val="24"/>
        </w:rPr>
      </w:pPr>
      <w:r>
        <w:rPr>
          <w:rFonts w:hint="eastAsia" w:eastAsia="方正仿宋_GBK"/>
          <w:color w:val="000000"/>
          <w:sz w:val="24"/>
        </w:rPr>
        <w:t>（此件公开发布）</w:t>
      </w:r>
      <w:r>
        <w:rPr>
          <w:rFonts w:eastAsia="方正仿宋_GBK"/>
          <w:color w:val="000000"/>
          <w:sz w:val="24"/>
        </w:rPr>
        <w:t xml:space="preserve"> </w:t>
      </w:r>
    </w:p>
    <w:p>
      <w:pPr>
        <w:spacing w:line="460" w:lineRule="exact"/>
        <w:ind w:firstLine="480" w:firstLineChars="200"/>
        <w:rPr>
          <w:rFonts w:eastAsia="方正仿宋_GBK"/>
          <w:color w:val="000000"/>
          <w:sz w:val="24"/>
        </w:rPr>
      </w:pPr>
    </w:p>
    <w:p/>
    <w:p/>
    <w:p/>
    <w:p>
      <w:pPr>
        <w:pStyle w:val="2"/>
        <w:spacing w:before="240" w:beforeLines="100" w:after="240" w:afterLines="100" w:line="240" w:lineRule="auto"/>
        <w:jc w:val="center"/>
        <w:rPr>
          <w:rFonts w:ascii="Times New Roman" w:eastAsia="方正小标宋_GBK"/>
          <w:b w:val="0"/>
          <w:sz w:val="36"/>
          <w:szCs w:val="36"/>
        </w:rPr>
      </w:pPr>
      <w:bookmarkStart w:id="635" w:name="_Toc20726652"/>
      <w:bookmarkStart w:id="636" w:name="_Toc18315793"/>
      <w:r>
        <w:rPr>
          <w:rFonts w:hint="eastAsia" w:ascii="Times New Roman" w:eastAsia="方正小标宋_GBK"/>
          <w:b w:val="0"/>
          <w:sz w:val="36"/>
          <w:szCs w:val="36"/>
        </w:rPr>
        <w:t>省住房城乡建设厅关于进一步完善我省建筑施工企业 主要负责人、项目负责人和专职安全生产管理人员    安全生产知识考核管理工作的通知</w:t>
      </w:r>
      <w:bookmarkEnd w:id="635"/>
      <w:bookmarkEnd w:id="636"/>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637" w:name="_Toc20726653"/>
      <w:bookmarkStart w:id="638" w:name="_Toc18315794"/>
      <w:r>
        <w:rPr>
          <w:rFonts w:hint="eastAsia" w:ascii="Times New Roman" w:hAnsi="Times New Roman" w:eastAsia="方正楷体_GBK"/>
          <w:b w:val="0"/>
          <w:sz w:val="24"/>
          <w:szCs w:val="24"/>
        </w:rPr>
        <w:t>苏建教〔</w:t>
      </w:r>
      <w:r>
        <w:rPr>
          <w:rFonts w:ascii="Times New Roman" w:hAnsi="Times New Roman" w:eastAsia="方正楷体_GBK"/>
          <w:b w:val="0"/>
          <w:sz w:val="24"/>
          <w:szCs w:val="24"/>
        </w:rPr>
        <w:t>2017</w:t>
      </w:r>
      <w:r>
        <w:rPr>
          <w:rFonts w:hint="eastAsia" w:ascii="Times New Roman" w:hAnsi="Times New Roman" w:eastAsia="方正楷体_GBK"/>
          <w:b w:val="0"/>
          <w:sz w:val="24"/>
          <w:szCs w:val="24"/>
        </w:rPr>
        <w:t>〕</w:t>
      </w:r>
      <w:r>
        <w:rPr>
          <w:rFonts w:ascii="Times New Roman" w:hAnsi="Times New Roman" w:eastAsia="方正楷体_GBK"/>
          <w:b w:val="0"/>
          <w:sz w:val="24"/>
          <w:szCs w:val="24"/>
        </w:rPr>
        <w:t>440</w:t>
      </w:r>
      <w:r>
        <w:rPr>
          <w:rFonts w:hint="eastAsia" w:ascii="Times New Roman" w:hAnsi="Times New Roman" w:eastAsia="方正楷体_GBK"/>
          <w:b w:val="0"/>
          <w:sz w:val="24"/>
          <w:szCs w:val="24"/>
        </w:rPr>
        <w:t>号</w:t>
      </w:r>
      <w:bookmarkEnd w:id="637"/>
      <w:bookmarkEnd w:id="638"/>
    </w:p>
    <w:p>
      <w:pPr>
        <w:shd w:val="clear" w:color="auto" w:fill="FFFFFF"/>
        <w:spacing w:line="460" w:lineRule="exact"/>
        <w:jc w:val="left"/>
        <w:rPr>
          <w:rFonts w:eastAsia="方正仿宋_GBK"/>
          <w:color w:val="000000"/>
          <w:kern w:val="0"/>
          <w:sz w:val="24"/>
        </w:rPr>
      </w:pPr>
      <w:r>
        <w:rPr>
          <w:rFonts w:hint="eastAsia" w:eastAsia="方正仿宋_GBK"/>
          <w:color w:val="000000"/>
          <w:kern w:val="0"/>
          <w:sz w:val="24"/>
        </w:rPr>
        <w:t>各设区市建设局（委）、泰州市建工局，昆山市、泰兴市、沭阳县建设局，各县建设局，有关单位：</w:t>
      </w:r>
    </w:p>
    <w:p>
      <w:pPr>
        <w:shd w:val="clear" w:color="auto" w:fill="FFFFFF"/>
        <w:spacing w:line="460" w:lineRule="exact"/>
        <w:ind w:firstLine="480" w:firstLineChars="200"/>
        <w:jc w:val="left"/>
        <w:rPr>
          <w:rFonts w:eastAsia="方正仿宋_GBK"/>
          <w:color w:val="000000"/>
          <w:kern w:val="0"/>
          <w:sz w:val="24"/>
        </w:rPr>
      </w:pPr>
      <w:r>
        <w:rPr>
          <w:rFonts w:hint="eastAsia" w:eastAsia="方正仿宋_GBK"/>
          <w:color w:val="000000"/>
          <w:kern w:val="0"/>
          <w:sz w:val="24"/>
        </w:rPr>
        <w:t>为贯彻落实住房城乡建设部《建筑施工企业主要负责人、项目负责人和专职安全生产管理人员安全生产管理规定实施意见》（建质〔</w:t>
      </w:r>
      <w:r>
        <w:rPr>
          <w:rFonts w:eastAsia="方正仿宋_GBK"/>
          <w:color w:val="000000"/>
          <w:kern w:val="0"/>
          <w:sz w:val="24"/>
        </w:rPr>
        <w:t>2015</w:t>
      </w:r>
      <w:r>
        <w:rPr>
          <w:rFonts w:hint="eastAsia" w:eastAsia="方正仿宋_GBK"/>
          <w:color w:val="000000"/>
          <w:kern w:val="0"/>
          <w:sz w:val="24"/>
        </w:rPr>
        <w:t>〕</w:t>
      </w:r>
      <w:r>
        <w:rPr>
          <w:rFonts w:eastAsia="方正仿宋_GBK"/>
          <w:color w:val="000000"/>
          <w:kern w:val="0"/>
          <w:sz w:val="24"/>
        </w:rPr>
        <w:t>206</w:t>
      </w:r>
      <w:r>
        <w:rPr>
          <w:rFonts w:hint="eastAsia" w:eastAsia="方正仿宋_GBK"/>
          <w:color w:val="000000"/>
          <w:kern w:val="0"/>
          <w:sz w:val="24"/>
        </w:rPr>
        <w:t>号）文件精神，结合我省实际，切实做好建筑施工企业主要负责人、项目负责人和专职安全生产管理人员（以下简称</w:t>
      </w:r>
      <w:r>
        <w:rPr>
          <w:rFonts w:eastAsia="方正仿宋_GBK"/>
          <w:color w:val="000000"/>
          <w:kern w:val="0"/>
          <w:sz w:val="24"/>
        </w:rPr>
        <w:t>“</w:t>
      </w:r>
      <w:r>
        <w:rPr>
          <w:rFonts w:hint="eastAsia" w:eastAsia="方正仿宋_GBK"/>
          <w:color w:val="000000"/>
          <w:kern w:val="0"/>
          <w:sz w:val="24"/>
        </w:rPr>
        <w:t>安管人员</w:t>
      </w:r>
      <w:r>
        <w:rPr>
          <w:rFonts w:eastAsia="方正仿宋_GBK"/>
          <w:color w:val="000000"/>
          <w:kern w:val="0"/>
          <w:sz w:val="24"/>
        </w:rPr>
        <w:t>”</w:t>
      </w:r>
      <w:r>
        <w:rPr>
          <w:rFonts w:hint="eastAsia" w:eastAsia="方正仿宋_GBK"/>
          <w:color w:val="000000"/>
          <w:kern w:val="0"/>
          <w:sz w:val="24"/>
        </w:rPr>
        <w:t>）安全生产知识考核（以下简称“考核”）管理工作，现将有关事项通知如下：</w:t>
      </w:r>
    </w:p>
    <w:p>
      <w:pPr>
        <w:shd w:val="clear" w:color="auto" w:fill="FFFFFF"/>
        <w:spacing w:line="460" w:lineRule="exact"/>
        <w:ind w:firstLine="480" w:firstLineChars="200"/>
        <w:jc w:val="left"/>
        <w:rPr>
          <w:rFonts w:eastAsia="方正仿宋_GBK"/>
          <w:color w:val="000000"/>
          <w:kern w:val="0"/>
          <w:sz w:val="24"/>
        </w:rPr>
      </w:pPr>
      <w:r>
        <w:rPr>
          <w:rFonts w:hint="eastAsia" w:eastAsia="方正仿宋_GBK"/>
          <w:color w:val="000000"/>
          <w:kern w:val="0"/>
          <w:sz w:val="24"/>
        </w:rPr>
        <w:t>一、组织分工</w:t>
      </w:r>
    </w:p>
    <w:p>
      <w:pPr>
        <w:shd w:val="clear" w:color="auto" w:fill="FFFFFF"/>
        <w:spacing w:line="460" w:lineRule="exact"/>
        <w:ind w:firstLine="480" w:firstLineChars="200"/>
        <w:jc w:val="left"/>
        <w:rPr>
          <w:rFonts w:eastAsia="方正仿宋_GBK"/>
          <w:color w:val="000000"/>
          <w:kern w:val="0"/>
          <w:sz w:val="24"/>
        </w:rPr>
      </w:pPr>
      <w:r>
        <w:rPr>
          <w:rFonts w:hint="eastAsia" w:eastAsia="方正仿宋_GBK"/>
          <w:color w:val="000000"/>
          <w:kern w:val="0"/>
          <w:sz w:val="24"/>
        </w:rPr>
        <w:t>考核考务管理工作由省住房城乡建设厅执业资格考试与注册中心负责。各设区市、县建设行政主管部门受省住房城乡建设厅委托负责本行政区域内建筑施工企业安全生产考核考务相关工作。</w:t>
      </w:r>
    </w:p>
    <w:p>
      <w:pPr>
        <w:shd w:val="clear" w:color="auto" w:fill="FFFFFF"/>
        <w:spacing w:line="460" w:lineRule="exact"/>
        <w:ind w:firstLine="480" w:firstLineChars="200"/>
        <w:jc w:val="left"/>
        <w:rPr>
          <w:rFonts w:eastAsia="方正仿宋_GBK"/>
          <w:color w:val="000000"/>
          <w:kern w:val="0"/>
          <w:sz w:val="24"/>
        </w:rPr>
      </w:pPr>
      <w:r>
        <w:rPr>
          <w:rFonts w:hint="eastAsia" w:eastAsia="方正仿宋_GBK"/>
          <w:color w:val="000000"/>
          <w:kern w:val="0"/>
          <w:sz w:val="24"/>
        </w:rPr>
        <w:t>二、考核分类</w:t>
      </w:r>
    </w:p>
    <w:p>
      <w:pPr>
        <w:shd w:val="clear" w:color="auto" w:fill="FFFFFF"/>
        <w:spacing w:line="460" w:lineRule="exact"/>
        <w:ind w:firstLine="448" w:firstLineChars="200"/>
        <w:jc w:val="left"/>
        <w:rPr>
          <w:rFonts w:eastAsia="方正仿宋_GBK"/>
          <w:color w:val="000000"/>
          <w:spacing w:val="-8"/>
          <w:kern w:val="0"/>
          <w:sz w:val="24"/>
        </w:rPr>
      </w:pPr>
      <w:r>
        <w:rPr>
          <w:rFonts w:hint="eastAsia" w:eastAsia="方正仿宋_GBK"/>
          <w:color w:val="000000"/>
          <w:spacing w:val="-8"/>
          <w:kern w:val="0"/>
          <w:sz w:val="24"/>
        </w:rPr>
        <w:t>在我省从事房屋建筑和市政基础设施工程施工活动的建筑施工企业的</w:t>
      </w:r>
      <w:r>
        <w:rPr>
          <w:rFonts w:eastAsia="方正仿宋_GBK"/>
          <w:color w:val="000000"/>
          <w:spacing w:val="-8"/>
          <w:kern w:val="0"/>
          <w:sz w:val="24"/>
        </w:rPr>
        <w:t>“</w:t>
      </w:r>
      <w:r>
        <w:rPr>
          <w:rFonts w:hint="eastAsia" w:eastAsia="方正仿宋_GBK"/>
          <w:color w:val="000000"/>
          <w:spacing w:val="-8"/>
          <w:kern w:val="0"/>
          <w:sz w:val="24"/>
        </w:rPr>
        <w:t>安管人员</w:t>
      </w:r>
      <w:r>
        <w:rPr>
          <w:rFonts w:eastAsia="方正仿宋_GBK"/>
          <w:color w:val="000000"/>
          <w:spacing w:val="-8"/>
          <w:kern w:val="0"/>
          <w:sz w:val="24"/>
        </w:rPr>
        <w:t>”</w:t>
      </w:r>
      <w:r>
        <w:rPr>
          <w:rFonts w:hint="eastAsia" w:eastAsia="方正仿宋_GBK"/>
          <w:color w:val="000000"/>
          <w:spacing w:val="-8"/>
          <w:kern w:val="0"/>
          <w:sz w:val="24"/>
        </w:rPr>
        <w:t>：</w:t>
      </w:r>
    </w:p>
    <w:p>
      <w:pPr>
        <w:shd w:val="clear" w:color="auto" w:fill="FFFFFF"/>
        <w:spacing w:line="460" w:lineRule="exact"/>
        <w:ind w:firstLine="480" w:firstLineChars="200"/>
        <w:jc w:val="left"/>
        <w:rPr>
          <w:rFonts w:eastAsia="方正仿宋_GBK"/>
          <w:color w:val="000000"/>
          <w:kern w:val="0"/>
          <w:sz w:val="24"/>
        </w:rPr>
      </w:pPr>
      <w:r>
        <w:rPr>
          <w:rFonts w:hint="eastAsia" w:eastAsia="方正仿宋_GBK"/>
          <w:color w:val="000000"/>
          <w:kern w:val="0"/>
          <w:sz w:val="24"/>
        </w:rPr>
        <w:t>（一）企业主要负责人（</w:t>
      </w:r>
      <w:r>
        <w:rPr>
          <w:rFonts w:eastAsia="方正仿宋_GBK"/>
          <w:color w:val="000000"/>
          <w:kern w:val="0"/>
          <w:sz w:val="24"/>
        </w:rPr>
        <w:t>A</w:t>
      </w:r>
      <w:r>
        <w:rPr>
          <w:rFonts w:hint="eastAsia" w:eastAsia="方正仿宋_GBK"/>
          <w:color w:val="000000"/>
          <w:kern w:val="0"/>
          <w:sz w:val="24"/>
        </w:rPr>
        <w:t>类）；</w:t>
      </w:r>
    </w:p>
    <w:p>
      <w:pPr>
        <w:shd w:val="clear" w:color="auto" w:fill="FFFFFF"/>
        <w:spacing w:line="460" w:lineRule="exact"/>
        <w:ind w:firstLine="480" w:firstLineChars="200"/>
        <w:jc w:val="left"/>
        <w:rPr>
          <w:rFonts w:eastAsia="方正仿宋_GBK"/>
          <w:color w:val="000000"/>
          <w:kern w:val="0"/>
          <w:sz w:val="24"/>
        </w:rPr>
      </w:pPr>
      <w:r>
        <w:rPr>
          <w:rFonts w:hint="eastAsia" w:eastAsia="方正仿宋_GBK"/>
          <w:color w:val="000000"/>
          <w:kern w:val="0"/>
          <w:sz w:val="24"/>
        </w:rPr>
        <w:t>（二）项目负责人（</w:t>
      </w:r>
      <w:r>
        <w:rPr>
          <w:rFonts w:eastAsia="方正仿宋_GBK"/>
          <w:color w:val="000000"/>
          <w:kern w:val="0"/>
          <w:sz w:val="24"/>
        </w:rPr>
        <w:t>B</w:t>
      </w:r>
      <w:r>
        <w:rPr>
          <w:rFonts w:hint="eastAsia" w:eastAsia="方正仿宋_GBK"/>
          <w:color w:val="000000"/>
          <w:kern w:val="0"/>
          <w:sz w:val="24"/>
        </w:rPr>
        <w:t>类）；</w:t>
      </w:r>
    </w:p>
    <w:p>
      <w:pPr>
        <w:shd w:val="clear" w:color="auto" w:fill="FFFFFF"/>
        <w:spacing w:line="460" w:lineRule="exact"/>
        <w:ind w:firstLine="480" w:firstLineChars="200"/>
        <w:jc w:val="left"/>
        <w:rPr>
          <w:rFonts w:eastAsia="方正仿宋_GBK"/>
          <w:color w:val="000000"/>
          <w:kern w:val="0"/>
          <w:sz w:val="24"/>
        </w:rPr>
      </w:pPr>
      <w:r>
        <w:rPr>
          <w:rFonts w:hint="eastAsia" w:eastAsia="方正仿宋_GBK"/>
          <w:color w:val="000000"/>
          <w:kern w:val="0"/>
          <w:sz w:val="24"/>
        </w:rPr>
        <w:t>（三）专职安全生产管理人员（</w:t>
      </w:r>
      <w:r>
        <w:rPr>
          <w:rFonts w:eastAsia="方正仿宋_GBK"/>
          <w:color w:val="000000"/>
          <w:kern w:val="0"/>
          <w:sz w:val="24"/>
        </w:rPr>
        <w:t>C</w:t>
      </w:r>
      <w:r>
        <w:rPr>
          <w:rFonts w:hint="eastAsia" w:eastAsia="方正仿宋_GBK"/>
          <w:color w:val="000000"/>
          <w:kern w:val="0"/>
          <w:sz w:val="24"/>
        </w:rPr>
        <w:t>类）。</w:t>
      </w:r>
    </w:p>
    <w:p>
      <w:pPr>
        <w:shd w:val="clear" w:color="auto" w:fill="FFFFFF"/>
        <w:spacing w:line="460" w:lineRule="exact"/>
        <w:ind w:firstLine="480" w:firstLineChars="200"/>
        <w:jc w:val="left"/>
        <w:rPr>
          <w:rFonts w:eastAsia="方正仿宋_GBK"/>
          <w:color w:val="000000"/>
          <w:kern w:val="0"/>
          <w:sz w:val="24"/>
        </w:rPr>
      </w:pPr>
      <w:r>
        <w:rPr>
          <w:rFonts w:hint="eastAsia" w:eastAsia="方正仿宋_GBK"/>
          <w:color w:val="000000"/>
          <w:kern w:val="0"/>
          <w:sz w:val="24"/>
        </w:rPr>
        <w:t>专职安全生产管理人员（</w:t>
      </w:r>
      <w:r>
        <w:rPr>
          <w:rFonts w:eastAsia="方正仿宋_GBK"/>
          <w:color w:val="000000"/>
          <w:kern w:val="0"/>
          <w:sz w:val="24"/>
        </w:rPr>
        <w:t>C</w:t>
      </w:r>
      <w:r>
        <w:rPr>
          <w:rFonts w:hint="eastAsia" w:eastAsia="方正仿宋_GBK"/>
          <w:color w:val="000000"/>
          <w:kern w:val="0"/>
          <w:sz w:val="24"/>
        </w:rPr>
        <w:t>类）分为机械（</w:t>
      </w:r>
      <w:r>
        <w:rPr>
          <w:rFonts w:eastAsia="方正仿宋_GBK"/>
          <w:color w:val="000000"/>
          <w:kern w:val="0"/>
          <w:sz w:val="24"/>
        </w:rPr>
        <w:t>C1</w:t>
      </w:r>
      <w:r>
        <w:rPr>
          <w:rFonts w:hint="eastAsia" w:eastAsia="方正仿宋_GBK"/>
          <w:color w:val="000000"/>
          <w:kern w:val="0"/>
          <w:sz w:val="24"/>
        </w:rPr>
        <w:t>类）、土建（</w:t>
      </w:r>
      <w:r>
        <w:rPr>
          <w:rFonts w:eastAsia="方正仿宋_GBK"/>
          <w:color w:val="000000"/>
          <w:kern w:val="0"/>
          <w:sz w:val="24"/>
        </w:rPr>
        <w:t>C2</w:t>
      </w:r>
      <w:r>
        <w:rPr>
          <w:rFonts w:hint="eastAsia" w:eastAsia="方正仿宋_GBK"/>
          <w:color w:val="000000"/>
          <w:kern w:val="0"/>
          <w:sz w:val="24"/>
        </w:rPr>
        <w:t>类）、综合（</w:t>
      </w:r>
      <w:r>
        <w:rPr>
          <w:rFonts w:eastAsia="方正仿宋_GBK"/>
          <w:color w:val="000000"/>
          <w:kern w:val="0"/>
          <w:sz w:val="24"/>
        </w:rPr>
        <w:t>C3</w:t>
      </w:r>
      <w:r>
        <w:rPr>
          <w:rFonts w:hint="eastAsia" w:eastAsia="方正仿宋_GBK"/>
          <w:color w:val="000000"/>
          <w:kern w:val="0"/>
          <w:sz w:val="24"/>
        </w:rPr>
        <w:t>类）三类。机械类专职安全生产管理人员（</w:t>
      </w:r>
      <w:r>
        <w:rPr>
          <w:rFonts w:eastAsia="方正仿宋_GBK"/>
          <w:color w:val="000000"/>
          <w:kern w:val="0"/>
          <w:sz w:val="24"/>
        </w:rPr>
        <w:t>C1</w:t>
      </w:r>
      <w:r>
        <w:rPr>
          <w:rFonts w:hint="eastAsia" w:eastAsia="方正仿宋_GBK"/>
          <w:color w:val="000000"/>
          <w:kern w:val="0"/>
          <w:sz w:val="24"/>
        </w:rPr>
        <w:t>类）可以从事起重机械、土石方机械、桩工机械等安全生产管理工作；土建类专职安全生产管理人员（</w:t>
      </w:r>
      <w:r>
        <w:rPr>
          <w:rFonts w:eastAsia="方正仿宋_GBK"/>
          <w:color w:val="000000"/>
          <w:kern w:val="0"/>
          <w:sz w:val="24"/>
        </w:rPr>
        <w:t>C2</w:t>
      </w:r>
      <w:r>
        <w:rPr>
          <w:rFonts w:hint="eastAsia" w:eastAsia="方正仿宋_GBK"/>
          <w:color w:val="000000"/>
          <w:kern w:val="0"/>
          <w:sz w:val="24"/>
        </w:rPr>
        <w:t>类）可以从事除起重机械、土石方机械、桩工机械等安全生产管理工作以外的安全生产管理工作；综合类专职安全生产管理人员（</w:t>
      </w:r>
      <w:r>
        <w:rPr>
          <w:rFonts w:eastAsia="方正仿宋_GBK"/>
          <w:color w:val="000000"/>
          <w:kern w:val="0"/>
          <w:sz w:val="24"/>
        </w:rPr>
        <w:t>C3</w:t>
      </w:r>
      <w:r>
        <w:rPr>
          <w:rFonts w:hint="eastAsia" w:eastAsia="方正仿宋_GBK"/>
          <w:color w:val="000000"/>
          <w:kern w:val="0"/>
          <w:sz w:val="24"/>
        </w:rPr>
        <w:t>类）可以从事全部安全生产管理工作。</w:t>
      </w:r>
    </w:p>
    <w:p>
      <w:pPr>
        <w:shd w:val="clear" w:color="auto" w:fill="FFFFFF"/>
        <w:spacing w:line="460" w:lineRule="exact"/>
        <w:ind w:firstLine="480" w:firstLineChars="200"/>
        <w:jc w:val="left"/>
        <w:rPr>
          <w:rFonts w:eastAsia="方正仿宋_GBK"/>
          <w:color w:val="000000"/>
          <w:kern w:val="0"/>
          <w:sz w:val="24"/>
        </w:rPr>
      </w:pPr>
      <w:r>
        <w:rPr>
          <w:rFonts w:hint="eastAsia" w:eastAsia="方正仿宋_GBK"/>
          <w:color w:val="000000"/>
          <w:kern w:val="0"/>
          <w:sz w:val="24"/>
        </w:rPr>
        <w:t>三、考核组织</w:t>
      </w:r>
    </w:p>
    <w:p>
      <w:pPr>
        <w:shd w:val="clear" w:color="auto" w:fill="FFFFFF"/>
        <w:spacing w:line="460" w:lineRule="exact"/>
        <w:ind w:firstLine="480" w:firstLineChars="200"/>
        <w:jc w:val="left"/>
        <w:rPr>
          <w:rFonts w:eastAsia="方正仿宋_GBK"/>
          <w:color w:val="000000"/>
          <w:kern w:val="0"/>
          <w:sz w:val="24"/>
        </w:rPr>
      </w:pPr>
      <w:r>
        <w:rPr>
          <w:rFonts w:hint="eastAsia" w:eastAsia="方正仿宋_GBK"/>
          <w:color w:val="000000"/>
          <w:kern w:val="0"/>
          <w:sz w:val="24"/>
        </w:rPr>
        <w:t>考核实行全省统一组织、统一标准、分级管理，分类别分专业进行。自</w:t>
      </w:r>
      <w:r>
        <w:rPr>
          <w:rFonts w:eastAsia="方正仿宋_GBK"/>
          <w:color w:val="000000"/>
          <w:kern w:val="0"/>
          <w:sz w:val="24"/>
        </w:rPr>
        <w:t>2017</w:t>
      </w:r>
      <w:r>
        <w:rPr>
          <w:rFonts w:hint="eastAsia" w:eastAsia="方正仿宋_GBK"/>
          <w:color w:val="000000"/>
          <w:kern w:val="0"/>
          <w:sz w:val="24"/>
        </w:rPr>
        <w:t>年</w:t>
      </w:r>
      <w:r>
        <w:rPr>
          <w:rFonts w:eastAsia="方正仿宋_GBK"/>
          <w:color w:val="000000"/>
          <w:kern w:val="0"/>
          <w:sz w:val="24"/>
        </w:rPr>
        <w:t>10</w:t>
      </w:r>
      <w:r>
        <w:rPr>
          <w:rFonts w:hint="eastAsia" w:eastAsia="方正仿宋_GBK"/>
          <w:color w:val="000000"/>
          <w:kern w:val="0"/>
          <w:sz w:val="24"/>
        </w:rPr>
        <w:t>月份起，我省</w:t>
      </w:r>
      <w:r>
        <w:rPr>
          <w:rFonts w:eastAsia="方正仿宋_GBK"/>
          <w:color w:val="000000"/>
          <w:kern w:val="0"/>
          <w:sz w:val="24"/>
        </w:rPr>
        <w:t>“</w:t>
      </w:r>
      <w:r>
        <w:rPr>
          <w:rFonts w:hint="eastAsia" w:eastAsia="方正仿宋_GBK"/>
          <w:color w:val="000000"/>
          <w:kern w:val="0"/>
          <w:sz w:val="24"/>
        </w:rPr>
        <w:t>安管人员</w:t>
      </w:r>
      <w:r>
        <w:rPr>
          <w:rFonts w:eastAsia="方正仿宋_GBK"/>
          <w:color w:val="000000"/>
          <w:kern w:val="0"/>
          <w:sz w:val="24"/>
        </w:rPr>
        <w:t>”</w:t>
      </w:r>
      <w:r>
        <w:rPr>
          <w:rFonts w:hint="eastAsia" w:eastAsia="方正仿宋_GBK"/>
          <w:color w:val="000000"/>
          <w:kern w:val="0"/>
          <w:sz w:val="24"/>
        </w:rPr>
        <w:t>考核将启用新考核大纲及题库，原考核大纲及题库停止使用。</w:t>
      </w:r>
    </w:p>
    <w:p>
      <w:pPr>
        <w:shd w:val="clear" w:color="auto" w:fill="FFFFFF"/>
        <w:spacing w:line="460" w:lineRule="exact"/>
        <w:ind w:firstLine="480" w:firstLineChars="200"/>
        <w:jc w:val="left"/>
        <w:rPr>
          <w:rFonts w:eastAsia="方正仿宋_GBK"/>
          <w:color w:val="000000"/>
          <w:kern w:val="0"/>
          <w:sz w:val="24"/>
        </w:rPr>
      </w:pPr>
      <w:r>
        <w:rPr>
          <w:rFonts w:eastAsia="方正仿宋_GBK"/>
          <w:color w:val="000000"/>
          <w:kern w:val="0"/>
          <w:sz w:val="24"/>
        </w:rPr>
        <w:t>1. A</w:t>
      </w:r>
      <w:r>
        <w:rPr>
          <w:rFonts w:hint="eastAsia" w:eastAsia="方正仿宋_GBK"/>
          <w:color w:val="000000"/>
          <w:kern w:val="0"/>
          <w:sz w:val="24"/>
        </w:rPr>
        <w:t>类考核全面实施无纸化考核方式。</w:t>
      </w:r>
    </w:p>
    <w:p>
      <w:pPr>
        <w:shd w:val="clear" w:color="auto" w:fill="FFFFFF"/>
        <w:spacing w:line="460" w:lineRule="exact"/>
        <w:ind w:firstLine="480" w:firstLineChars="200"/>
        <w:jc w:val="left"/>
        <w:rPr>
          <w:rFonts w:eastAsia="方正仿宋_GBK"/>
          <w:color w:val="000000"/>
          <w:kern w:val="0"/>
          <w:sz w:val="24"/>
        </w:rPr>
      </w:pPr>
      <w:r>
        <w:rPr>
          <w:rFonts w:eastAsia="方正仿宋_GBK"/>
          <w:color w:val="000000"/>
          <w:kern w:val="0"/>
          <w:sz w:val="24"/>
        </w:rPr>
        <w:t>2. B</w:t>
      </w:r>
      <w:r>
        <w:rPr>
          <w:rFonts w:hint="eastAsia" w:eastAsia="方正仿宋_GBK"/>
          <w:color w:val="000000"/>
          <w:kern w:val="0"/>
          <w:sz w:val="24"/>
        </w:rPr>
        <w:t>类、</w:t>
      </w:r>
      <w:r>
        <w:rPr>
          <w:rFonts w:eastAsia="方正仿宋_GBK"/>
          <w:color w:val="000000"/>
          <w:kern w:val="0"/>
          <w:sz w:val="24"/>
        </w:rPr>
        <w:t>C1</w:t>
      </w:r>
      <w:r>
        <w:rPr>
          <w:rFonts w:hint="eastAsia" w:eastAsia="方正仿宋_GBK"/>
          <w:color w:val="000000"/>
          <w:kern w:val="0"/>
          <w:sz w:val="24"/>
        </w:rPr>
        <w:t>类、</w:t>
      </w:r>
      <w:r>
        <w:rPr>
          <w:rFonts w:eastAsia="方正仿宋_GBK"/>
          <w:color w:val="000000"/>
          <w:kern w:val="0"/>
          <w:sz w:val="24"/>
        </w:rPr>
        <w:t>C2</w:t>
      </w:r>
      <w:r>
        <w:rPr>
          <w:rFonts w:hint="eastAsia" w:eastAsia="方正仿宋_GBK"/>
          <w:color w:val="000000"/>
          <w:kern w:val="0"/>
          <w:sz w:val="24"/>
        </w:rPr>
        <w:t>类考核自</w:t>
      </w:r>
      <w:r>
        <w:rPr>
          <w:rFonts w:eastAsia="方正仿宋_GBK"/>
          <w:color w:val="000000"/>
          <w:kern w:val="0"/>
          <w:sz w:val="24"/>
        </w:rPr>
        <w:t>2018</w:t>
      </w:r>
      <w:r>
        <w:rPr>
          <w:rFonts w:hint="eastAsia" w:eastAsia="方正仿宋_GBK"/>
          <w:color w:val="000000"/>
          <w:kern w:val="0"/>
          <w:sz w:val="24"/>
        </w:rPr>
        <w:t>年</w:t>
      </w:r>
      <w:r>
        <w:rPr>
          <w:rFonts w:eastAsia="方正仿宋_GBK"/>
          <w:color w:val="000000"/>
          <w:kern w:val="0"/>
          <w:sz w:val="24"/>
        </w:rPr>
        <w:t>1</w:t>
      </w:r>
      <w:r>
        <w:rPr>
          <w:rFonts w:hint="eastAsia" w:eastAsia="方正仿宋_GBK"/>
          <w:color w:val="000000"/>
          <w:kern w:val="0"/>
          <w:sz w:val="24"/>
        </w:rPr>
        <w:t>月起全面采用无纸化考核方式。</w:t>
      </w:r>
    </w:p>
    <w:p>
      <w:pPr>
        <w:shd w:val="clear" w:color="auto" w:fill="FFFFFF"/>
        <w:spacing w:line="460" w:lineRule="exact"/>
        <w:ind w:firstLine="480" w:firstLineChars="200"/>
        <w:jc w:val="left"/>
        <w:rPr>
          <w:rFonts w:eastAsia="方正仿宋_GBK"/>
          <w:color w:val="000000"/>
          <w:kern w:val="0"/>
          <w:sz w:val="24"/>
        </w:rPr>
      </w:pPr>
      <w:r>
        <w:rPr>
          <w:rFonts w:hint="eastAsia" w:eastAsia="方正仿宋_GBK"/>
          <w:color w:val="000000"/>
          <w:kern w:val="0"/>
          <w:sz w:val="24"/>
        </w:rPr>
        <w:t>四、报名组织</w:t>
      </w:r>
    </w:p>
    <w:p>
      <w:pPr>
        <w:shd w:val="clear" w:color="auto" w:fill="FFFFFF"/>
        <w:spacing w:line="460" w:lineRule="exact"/>
        <w:ind w:firstLine="480" w:firstLineChars="200"/>
        <w:jc w:val="left"/>
        <w:rPr>
          <w:rFonts w:eastAsia="方正仿宋_GBK"/>
          <w:color w:val="000000"/>
          <w:kern w:val="0"/>
          <w:sz w:val="24"/>
        </w:rPr>
      </w:pPr>
      <w:r>
        <w:rPr>
          <w:rFonts w:hint="eastAsia" w:eastAsia="方正仿宋_GBK"/>
          <w:color w:val="000000"/>
          <w:kern w:val="0"/>
          <w:sz w:val="24"/>
        </w:rPr>
        <w:t>（一）报名系统</w:t>
      </w:r>
    </w:p>
    <w:p>
      <w:pPr>
        <w:shd w:val="clear" w:color="auto" w:fill="FFFFFF"/>
        <w:spacing w:line="460" w:lineRule="exact"/>
        <w:ind w:firstLine="480" w:firstLineChars="200"/>
        <w:jc w:val="left"/>
        <w:rPr>
          <w:rFonts w:eastAsia="方正仿宋_GBK"/>
          <w:color w:val="000000"/>
          <w:kern w:val="0"/>
          <w:sz w:val="24"/>
        </w:rPr>
      </w:pPr>
      <w:r>
        <w:rPr>
          <w:rFonts w:eastAsia="方正仿宋_GBK"/>
          <w:color w:val="000000"/>
          <w:kern w:val="0"/>
          <w:sz w:val="24"/>
        </w:rPr>
        <w:t xml:space="preserve"> “</w:t>
      </w:r>
      <w:r>
        <w:rPr>
          <w:rFonts w:hint="eastAsia" w:eastAsia="方正仿宋_GBK"/>
          <w:color w:val="000000"/>
          <w:kern w:val="0"/>
          <w:sz w:val="24"/>
        </w:rPr>
        <w:t>江苏省建筑业监管信息平台</w:t>
      </w:r>
      <w:r>
        <w:rPr>
          <w:rFonts w:eastAsia="方正仿宋_GBK"/>
          <w:color w:val="000000"/>
          <w:kern w:val="0"/>
          <w:sz w:val="24"/>
        </w:rPr>
        <w:t>”</w:t>
      </w:r>
      <w:r>
        <w:rPr>
          <w:rFonts w:hint="eastAsia" w:eastAsia="方正仿宋_GBK"/>
          <w:color w:val="000000"/>
          <w:kern w:val="0"/>
          <w:sz w:val="24"/>
        </w:rPr>
        <w:t>（</w:t>
      </w:r>
      <w:r>
        <w:fldChar w:fldCharType="begin"/>
      </w:r>
      <w:r>
        <w:instrText xml:space="preserve"> </w:instrText>
      </w:r>
      <w:r>
        <w:rPr>
          <w:rFonts w:hint="eastAsia"/>
        </w:rPr>
        <w:instrText xml:space="preserve">HYPERLINK "http://221.226.118.168:7080/jscbmis/）己升级为"</w:instrText>
      </w:r>
      <w:r>
        <w:instrText xml:space="preserve"> </w:instrText>
      </w:r>
      <w:r>
        <w:fldChar w:fldCharType="separate"/>
      </w:r>
      <w:r>
        <w:rPr>
          <w:rStyle w:val="16"/>
          <w:rFonts w:eastAsia="方正仿宋_GBK"/>
          <w:kern w:val="0"/>
          <w:sz w:val="24"/>
        </w:rPr>
        <w:t>http</w:t>
      </w:r>
      <w:r>
        <w:rPr>
          <w:rStyle w:val="16"/>
          <w:rFonts w:hint="eastAsia" w:eastAsia="方正仿宋_GBK"/>
          <w:kern w:val="0"/>
          <w:sz w:val="24"/>
        </w:rPr>
        <w:t>：</w:t>
      </w:r>
      <w:r>
        <w:rPr>
          <w:rStyle w:val="16"/>
          <w:rFonts w:eastAsia="方正仿宋_GBK"/>
          <w:kern w:val="0"/>
          <w:sz w:val="24"/>
        </w:rPr>
        <w:t>//221.226.118.168</w:t>
      </w:r>
      <w:r>
        <w:rPr>
          <w:rStyle w:val="16"/>
          <w:rFonts w:hint="eastAsia" w:eastAsia="方正仿宋_GBK"/>
          <w:kern w:val="0"/>
          <w:sz w:val="24"/>
        </w:rPr>
        <w:t>：</w:t>
      </w:r>
      <w:r>
        <w:rPr>
          <w:rStyle w:val="16"/>
          <w:rFonts w:eastAsia="方正仿宋_GBK"/>
          <w:kern w:val="0"/>
          <w:sz w:val="24"/>
        </w:rPr>
        <w:t>7080/jscbmis/</w:t>
      </w:r>
      <w:r>
        <w:rPr>
          <w:rStyle w:val="16"/>
          <w:rFonts w:hint="eastAsia" w:eastAsia="方正仿宋_GBK"/>
          <w:kern w:val="0"/>
          <w:sz w:val="24"/>
        </w:rPr>
        <w:t>）己升级为</w:t>
      </w:r>
      <w:r>
        <w:rPr>
          <w:rStyle w:val="16"/>
          <w:rFonts w:eastAsia="方正仿宋_GBK"/>
          <w:kern w:val="0"/>
          <w:sz w:val="24"/>
        </w:rPr>
        <w:t>“</w:t>
      </w:r>
      <w:r>
        <w:rPr>
          <w:rStyle w:val="16"/>
          <w:rFonts w:hint="eastAsia" w:eastAsia="方正仿宋_GBK"/>
          <w:kern w:val="0"/>
          <w:sz w:val="24"/>
        </w:rPr>
        <w:t>江苏省建筑业监管信息平台</w:t>
      </w:r>
      <w:r>
        <w:rPr>
          <w:rStyle w:val="16"/>
          <w:rFonts w:eastAsia="方正仿宋_GBK"/>
          <w:kern w:val="0"/>
          <w:sz w:val="24"/>
        </w:rPr>
        <w:t>2.0”(http</w:t>
      </w:r>
      <w:r>
        <w:rPr>
          <w:rStyle w:val="16"/>
          <w:rFonts w:hint="eastAsia" w:eastAsia="方正仿宋_GBK"/>
          <w:kern w:val="0"/>
          <w:sz w:val="24"/>
        </w:rPr>
        <w:t>：</w:t>
      </w:r>
      <w:r>
        <w:rPr>
          <w:rStyle w:val="16"/>
          <w:rFonts w:eastAsia="方正仿宋_GBK"/>
          <w:kern w:val="0"/>
          <w:sz w:val="24"/>
        </w:rPr>
        <w:t>//221.226.118.170</w:t>
      </w:r>
      <w:r>
        <w:rPr>
          <w:rStyle w:val="16"/>
          <w:rFonts w:hint="eastAsia" w:eastAsia="方正仿宋_GBK"/>
          <w:kern w:val="0"/>
          <w:sz w:val="24"/>
        </w:rPr>
        <w:t>：</w:t>
      </w:r>
      <w:r>
        <w:rPr>
          <w:rStyle w:val="16"/>
          <w:rFonts w:eastAsia="方正仿宋_GBK"/>
          <w:kern w:val="0"/>
          <w:sz w:val="24"/>
        </w:rPr>
        <w:t>8080/login)</w:t>
      </w:r>
      <w:r>
        <w:rPr>
          <w:rStyle w:val="16"/>
          <w:rFonts w:hint="eastAsia" w:eastAsia="方正仿宋_GBK"/>
          <w:kern w:val="0"/>
          <w:sz w:val="24"/>
        </w:rPr>
        <w:t>（以下简称</w:t>
      </w:r>
      <w:r>
        <w:rPr>
          <w:rStyle w:val="16"/>
          <w:rFonts w:eastAsia="方正仿宋_GBK"/>
          <w:kern w:val="0"/>
          <w:sz w:val="24"/>
        </w:rPr>
        <w:t>“</w:t>
      </w:r>
      <w:r>
        <w:rPr>
          <w:rStyle w:val="16"/>
          <w:rFonts w:hint="eastAsia" w:eastAsia="方正仿宋_GBK"/>
          <w:kern w:val="0"/>
          <w:sz w:val="24"/>
        </w:rPr>
        <w:t>监管平台</w:t>
      </w:r>
      <w:r>
        <w:rPr>
          <w:rStyle w:val="16"/>
          <w:rFonts w:eastAsia="方正仿宋_GBK"/>
          <w:kern w:val="0"/>
          <w:sz w:val="24"/>
        </w:rPr>
        <w:t>2.0”</w:t>
      </w:r>
      <w:r>
        <w:rPr>
          <w:rStyle w:val="16"/>
          <w:rFonts w:hint="eastAsia" w:eastAsia="方正仿宋_GBK"/>
          <w:kern w:val="0"/>
          <w:sz w:val="24"/>
        </w:rPr>
        <w:t>）。自</w:t>
      </w:r>
      <w:r>
        <w:rPr>
          <w:rStyle w:val="16"/>
          <w:rFonts w:eastAsia="方正仿宋_GBK"/>
          <w:kern w:val="0"/>
          <w:sz w:val="24"/>
        </w:rPr>
        <w:t>2017</w:t>
      </w:r>
      <w:r>
        <w:rPr>
          <w:rStyle w:val="16"/>
          <w:rFonts w:hint="eastAsia" w:eastAsia="方正仿宋_GBK"/>
          <w:kern w:val="0"/>
          <w:sz w:val="24"/>
        </w:rPr>
        <w:t>年</w:t>
      </w:r>
      <w:r>
        <w:rPr>
          <w:rStyle w:val="16"/>
          <w:rFonts w:eastAsia="方正仿宋_GBK"/>
          <w:kern w:val="0"/>
          <w:sz w:val="24"/>
        </w:rPr>
        <w:t>9</w:t>
      </w:r>
      <w:r>
        <w:rPr>
          <w:rStyle w:val="16"/>
          <w:rFonts w:hint="eastAsia" w:eastAsia="方正仿宋_GBK"/>
          <w:kern w:val="0"/>
          <w:sz w:val="24"/>
        </w:rPr>
        <w:t>月</w:t>
      </w:r>
      <w:r>
        <w:fldChar w:fldCharType="end"/>
      </w:r>
      <w:r>
        <w:rPr>
          <w:rFonts w:eastAsia="方正仿宋_GBK"/>
          <w:color w:val="000000"/>
          <w:kern w:val="0"/>
          <w:sz w:val="24"/>
        </w:rPr>
        <w:t>15</w:t>
      </w:r>
      <w:r>
        <w:rPr>
          <w:rFonts w:hint="eastAsia" w:eastAsia="方正仿宋_GBK"/>
          <w:color w:val="000000"/>
          <w:kern w:val="0"/>
          <w:sz w:val="24"/>
        </w:rPr>
        <w:t>日起，“江苏省建筑业监管信息平台</w:t>
      </w:r>
      <w:r>
        <w:rPr>
          <w:rFonts w:eastAsia="方正仿宋_GBK"/>
          <w:color w:val="000000"/>
          <w:kern w:val="0"/>
          <w:sz w:val="24"/>
        </w:rPr>
        <w:t xml:space="preserve"> </w:t>
      </w:r>
      <w:r>
        <w:rPr>
          <w:rFonts w:hint="eastAsia" w:eastAsia="方正仿宋_GBK"/>
          <w:color w:val="000000"/>
          <w:kern w:val="0"/>
          <w:sz w:val="24"/>
        </w:rPr>
        <w:t>”停止使用。</w:t>
      </w:r>
    </w:p>
    <w:p>
      <w:pPr>
        <w:shd w:val="clear" w:color="auto" w:fill="FFFFFF"/>
        <w:spacing w:line="460" w:lineRule="exact"/>
        <w:ind w:firstLine="480" w:firstLineChars="200"/>
        <w:jc w:val="left"/>
        <w:rPr>
          <w:rFonts w:eastAsia="方正仿宋_GBK"/>
          <w:color w:val="000000"/>
          <w:kern w:val="0"/>
          <w:sz w:val="24"/>
        </w:rPr>
      </w:pPr>
      <w:r>
        <w:rPr>
          <w:rFonts w:hint="eastAsia" w:eastAsia="方正仿宋_GBK"/>
          <w:color w:val="000000"/>
          <w:kern w:val="0"/>
          <w:sz w:val="24"/>
        </w:rPr>
        <w:t>（二）报名方式</w:t>
      </w:r>
    </w:p>
    <w:p>
      <w:pPr>
        <w:shd w:val="clear" w:color="auto" w:fill="FFFFFF"/>
        <w:spacing w:line="460" w:lineRule="exact"/>
        <w:ind w:firstLine="480" w:firstLineChars="200"/>
        <w:jc w:val="left"/>
        <w:rPr>
          <w:rFonts w:eastAsia="方正仿宋_GBK"/>
          <w:color w:val="000000"/>
          <w:kern w:val="0"/>
          <w:sz w:val="24"/>
        </w:rPr>
      </w:pPr>
      <w:r>
        <w:rPr>
          <w:rFonts w:eastAsia="方正仿宋_GBK"/>
          <w:color w:val="000000"/>
          <w:kern w:val="0"/>
          <w:sz w:val="24"/>
        </w:rPr>
        <w:t>A</w:t>
      </w:r>
      <w:r>
        <w:rPr>
          <w:rFonts w:hint="eastAsia" w:eastAsia="方正仿宋_GBK"/>
          <w:color w:val="000000"/>
          <w:kern w:val="0"/>
          <w:sz w:val="24"/>
        </w:rPr>
        <w:t>类、</w:t>
      </w:r>
      <w:r>
        <w:rPr>
          <w:rFonts w:eastAsia="方正仿宋_GBK"/>
          <w:color w:val="000000"/>
          <w:kern w:val="0"/>
          <w:sz w:val="24"/>
        </w:rPr>
        <w:t>B</w:t>
      </w:r>
      <w:r>
        <w:rPr>
          <w:rFonts w:hint="eastAsia" w:eastAsia="方正仿宋_GBK"/>
          <w:color w:val="000000"/>
          <w:kern w:val="0"/>
          <w:sz w:val="24"/>
        </w:rPr>
        <w:t>类、</w:t>
      </w:r>
      <w:r>
        <w:rPr>
          <w:rFonts w:eastAsia="方正仿宋_GBK"/>
          <w:color w:val="000000"/>
          <w:kern w:val="0"/>
          <w:sz w:val="24"/>
        </w:rPr>
        <w:t>C1</w:t>
      </w:r>
      <w:r>
        <w:rPr>
          <w:rFonts w:hint="eastAsia" w:eastAsia="方正仿宋_GBK"/>
          <w:color w:val="000000"/>
          <w:kern w:val="0"/>
          <w:sz w:val="24"/>
        </w:rPr>
        <w:t>类、</w:t>
      </w:r>
      <w:r>
        <w:rPr>
          <w:rFonts w:eastAsia="方正仿宋_GBK"/>
          <w:color w:val="000000"/>
          <w:kern w:val="0"/>
          <w:sz w:val="24"/>
        </w:rPr>
        <w:t>C2</w:t>
      </w:r>
      <w:r>
        <w:rPr>
          <w:rFonts w:hint="eastAsia" w:eastAsia="方正仿宋_GBK"/>
          <w:color w:val="000000"/>
          <w:kern w:val="0"/>
          <w:sz w:val="24"/>
        </w:rPr>
        <w:t>类考核报名采取网上申请、网上核验的全流程在线方式进行。报考人员通过“监管平台</w:t>
      </w:r>
      <w:r>
        <w:rPr>
          <w:rFonts w:eastAsia="方正仿宋_GBK"/>
          <w:color w:val="000000"/>
          <w:kern w:val="0"/>
          <w:sz w:val="24"/>
        </w:rPr>
        <w:t>2.0</w:t>
      </w:r>
      <w:r>
        <w:rPr>
          <w:rFonts w:hint="eastAsia" w:eastAsia="方正仿宋_GBK"/>
          <w:color w:val="000000"/>
          <w:kern w:val="0"/>
          <w:sz w:val="24"/>
        </w:rPr>
        <w:t>”填报信息并上传所需材料。</w:t>
      </w:r>
    </w:p>
    <w:p>
      <w:pPr>
        <w:shd w:val="clear" w:color="auto" w:fill="FFFFFF"/>
        <w:spacing w:line="460" w:lineRule="exact"/>
        <w:ind w:firstLine="480" w:firstLineChars="200"/>
        <w:jc w:val="left"/>
        <w:rPr>
          <w:rFonts w:eastAsia="方正仿宋_GBK"/>
          <w:color w:val="000000"/>
          <w:kern w:val="0"/>
          <w:sz w:val="24"/>
        </w:rPr>
      </w:pPr>
      <w:r>
        <w:rPr>
          <w:rFonts w:eastAsia="方正仿宋_GBK"/>
          <w:color w:val="000000"/>
          <w:kern w:val="0"/>
          <w:sz w:val="24"/>
        </w:rPr>
        <w:t>1. A</w:t>
      </w:r>
      <w:r>
        <w:rPr>
          <w:rFonts w:hint="eastAsia" w:eastAsia="方正仿宋_GBK"/>
          <w:color w:val="000000"/>
          <w:kern w:val="0"/>
          <w:sz w:val="24"/>
        </w:rPr>
        <w:t>类报考人员经网上填报系统核验后，自主选择考试场次，参加无纸化考核。无纸化考核信息在“江苏省建设考试培训网”（</w:t>
      </w:r>
      <w:r>
        <w:rPr>
          <w:rFonts w:eastAsia="方正仿宋_GBK"/>
          <w:color w:val="000000"/>
          <w:kern w:val="0"/>
          <w:sz w:val="24"/>
        </w:rPr>
        <w:t>http</w:t>
      </w:r>
      <w:r>
        <w:rPr>
          <w:rFonts w:hint="eastAsia" w:eastAsia="方正仿宋_GBK"/>
          <w:color w:val="000000"/>
          <w:kern w:val="0"/>
          <w:sz w:val="24"/>
        </w:rPr>
        <w:t>：</w:t>
      </w:r>
      <w:r>
        <w:rPr>
          <w:rFonts w:eastAsia="方正仿宋_GBK"/>
          <w:color w:val="000000"/>
          <w:kern w:val="0"/>
          <w:sz w:val="24"/>
        </w:rPr>
        <w:t>//www.jscin.gov.cn/web/kspxw/</w:t>
      </w:r>
      <w:r>
        <w:rPr>
          <w:rFonts w:hint="eastAsia" w:eastAsia="方正仿宋_GBK"/>
          <w:color w:val="000000"/>
          <w:kern w:val="0"/>
          <w:sz w:val="24"/>
        </w:rPr>
        <w:t>）实行动态公布，通过市级行政主管部门转批至省级相关部门，由南京无纸化考核考点承担考核考务工作。</w:t>
      </w:r>
    </w:p>
    <w:p>
      <w:pPr>
        <w:shd w:val="clear" w:color="auto" w:fill="FFFFFF"/>
        <w:spacing w:line="460" w:lineRule="exact"/>
        <w:ind w:firstLine="480" w:firstLineChars="200"/>
        <w:jc w:val="left"/>
        <w:rPr>
          <w:rFonts w:eastAsia="方正仿宋_GBK"/>
          <w:color w:val="000000"/>
          <w:kern w:val="0"/>
          <w:sz w:val="24"/>
        </w:rPr>
      </w:pPr>
      <w:r>
        <w:rPr>
          <w:rFonts w:eastAsia="方正仿宋_GBK"/>
          <w:color w:val="000000"/>
          <w:kern w:val="0"/>
          <w:sz w:val="24"/>
        </w:rPr>
        <w:t>2. B</w:t>
      </w:r>
      <w:r>
        <w:rPr>
          <w:rFonts w:hint="eastAsia" w:eastAsia="方正仿宋_GBK"/>
          <w:color w:val="000000"/>
          <w:kern w:val="0"/>
          <w:sz w:val="24"/>
        </w:rPr>
        <w:t>类、</w:t>
      </w:r>
      <w:r>
        <w:rPr>
          <w:rFonts w:eastAsia="方正仿宋_GBK"/>
          <w:color w:val="000000"/>
          <w:kern w:val="0"/>
          <w:sz w:val="24"/>
        </w:rPr>
        <w:t>C1</w:t>
      </w:r>
      <w:r>
        <w:rPr>
          <w:rFonts w:hint="eastAsia" w:eastAsia="方正仿宋_GBK"/>
          <w:color w:val="000000"/>
          <w:kern w:val="0"/>
          <w:sz w:val="24"/>
        </w:rPr>
        <w:t>类、</w:t>
      </w:r>
      <w:r>
        <w:rPr>
          <w:rFonts w:eastAsia="方正仿宋_GBK"/>
          <w:color w:val="000000"/>
          <w:kern w:val="0"/>
          <w:sz w:val="24"/>
        </w:rPr>
        <w:t>C2</w:t>
      </w:r>
      <w:r>
        <w:rPr>
          <w:rFonts w:hint="eastAsia" w:eastAsia="方正仿宋_GBK"/>
          <w:color w:val="000000"/>
          <w:kern w:val="0"/>
          <w:sz w:val="24"/>
        </w:rPr>
        <w:t>类报考人员经网上填报系统核验后，通过系统安排考场，参加考核。考点、考核批次将在“江苏省建设考试培训网”（</w:t>
      </w:r>
      <w:r>
        <w:rPr>
          <w:rFonts w:eastAsia="方正仿宋_GBK"/>
          <w:color w:val="000000"/>
          <w:kern w:val="0"/>
          <w:sz w:val="24"/>
        </w:rPr>
        <w:t>http</w:t>
      </w:r>
      <w:r>
        <w:rPr>
          <w:rFonts w:hint="eastAsia" w:eastAsia="方正仿宋_GBK"/>
          <w:color w:val="000000"/>
          <w:kern w:val="0"/>
          <w:sz w:val="24"/>
        </w:rPr>
        <w:t>：</w:t>
      </w:r>
      <w:r>
        <w:rPr>
          <w:rFonts w:eastAsia="方正仿宋_GBK"/>
          <w:color w:val="000000"/>
          <w:kern w:val="0"/>
          <w:sz w:val="24"/>
        </w:rPr>
        <w:t>//www.jscin.gov.cn/web/kspxw/</w:t>
      </w:r>
      <w:r>
        <w:rPr>
          <w:rFonts w:hint="eastAsia" w:eastAsia="方正仿宋_GBK"/>
          <w:color w:val="000000"/>
          <w:kern w:val="0"/>
          <w:sz w:val="24"/>
        </w:rPr>
        <w:t>）公布。</w:t>
      </w:r>
      <w:r>
        <w:rPr>
          <w:rFonts w:eastAsia="方正仿宋_GBK"/>
          <w:color w:val="000000"/>
          <w:kern w:val="0"/>
          <w:sz w:val="24"/>
        </w:rPr>
        <w:t>C1</w:t>
      </w:r>
      <w:r>
        <w:rPr>
          <w:rFonts w:hint="eastAsia" w:eastAsia="方正仿宋_GBK"/>
          <w:color w:val="000000"/>
          <w:kern w:val="0"/>
          <w:sz w:val="24"/>
        </w:rPr>
        <w:t>类和</w:t>
      </w:r>
      <w:r>
        <w:rPr>
          <w:rFonts w:eastAsia="方正仿宋_GBK"/>
          <w:color w:val="000000"/>
          <w:kern w:val="0"/>
          <w:sz w:val="24"/>
        </w:rPr>
        <w:t>C2</w:t>
      </w:r>
      <w:r>
        <w:rPr>
          <w:rFonts w:hint="eastAsia" w:eastAsia="方正仿宋_GBK"/>
          <w:color w:val="000000"/>
          <w:kern w:val="0"/>
          <w:sz w:val="24"/>
        </w:rPr>
        <w:t>类仅可选择其中一类进行报考。</w:t>
      </w:r>
    </w:p>
    <w:p>
      <w:pPr>
        <w:shd w:val="clear" w:color="auto" w:fill="FFFFFF"/>
        <w:spacing w:line="460" w:lineRule="exact"/>
        <w:ind w:firstLine="480" w:firstLineChars="200"/>
        <w:jc w:val="left"/>
        <w:rPr>
          <w:rFonts w:eastAsia="方正仿宋_GBK"/>
          <w:color w:val="000000"/>
          <w:kern w:val="0"/>
          <w:sz w:val="24"/>
        </w:rPr>
      </w:pPr>
      <w:r>
        <w:rPr>
          <w:rFonts w:eastAsia="方正仿宋_GBK"/>
          <w:color w:val="000000"/>
          <w:kern w:val="0"/>
          <w:sz w:val="24"/>
        </w:rPr>
        <w:t>3.</w:t>
      </w:r>
      <w:r>
        <w:rPr>
          <w:rFonts w:hint="eastAsia" w:eastAsia="方正仿宋_GBK"/>
          <w:color w:val="000000"/>
          <w:kern w:val="0"/>
          <w:sz w:val="24"/>
        </w:rPr>
        <w:t>在“江苏省建筑业监管信息平台”中申请过但未参加考核的，以及新申请参加考核的报考人员，均向企业所在地建设行政主管部门提出报名申请。</w:t>
      </w:r>
    </w:p>
    <w:p>
      <w:pPr>
        <w:shd w:val="clear" w:color="auto" w:fill="FFFFFF"/>
        <w:spacing w:line="460" w:lineRule="exact"/>
        <w:ind w:firstLine="480" w:firstLineChars="200"/>
        <w:jc w:val="left"/>
        <w:rPr>
          <w:rFonts w:eastAsia="方正仿宋_GBK"/>
          <w:color w:val="000000"/>
          <w:kern w:val="0"/>
          <w:sz w:val="24"/>
        </w:rPr>
      </w:pPr>
      <w:r>
        <w:rPr>
          <w:rFonts w:hint="eastAsia" w:eastAsia="方正仿宋_GBK"/>
          <w:color w:val="000000"/>
          <w:kern w:val="0"/>
          <w:sz w:val="24"/>
        </w:rPr>
        <w:t>（三）报名条件</w:t>
      </w:r>
    </w:p>
    <w:p>
      <w:pPr>
        <w:shd w:val="clear" w:color="auto" w:fill="FFFFFF"/>
        <w:spacing w:line="460" w:lineRule="exact"/>
        <w:ind w:firstLine="480" w:firstLineChars="200"/>
        <w:jc w:val="left"/>
        <w:rPr>
          <w:rFonts w:eastAsia="方正仿宋_GBK"/>
          <w:color w:val="000000"/>
          <w:kern w:val="0"/>
          <w:sz w:val="24"/>
        </w:rPr>
      </w:pPr>
      <w:r>
        <w:rPr>
          <w:rFonts w:hint="eastAsia" w:eastAsia="方正仿宋_GBK"/>
          <w:color w:val="000000"/>
          <w:kern w:val="0"/>
          <w:sz w:val="24"/>
        </w:rPr>
        <w:t>申请建筑施工企业“安管人员”应当具备以下基本条件：</w:t>
      </w:r>
    </w:p>
    <w:p>
      <w:pPr>
        <w:shd w:val="clear" w:color="auto" w:fill="FFFFFF"/>
        <w:spacing w:line="460" w:lineRule="exact"/>
        <w:ind w:firstLine="480" w:firstLineChars="200"/>
        <w:jc w:val="left"/>
        <w:rPr>
          <w:rFonts w:eastAsia="方正仿宋_GBK"/>
          <w:color w:val="000000"/>
          <w:kern w:val="0"/>
          <w:sz w:val="24"/>
        </w:rPr>
      </w:pPr>
      <w:r>
        <w:rPr>
          <w:rFonts w:eastAsia="方正仿宋_GBK"/>
          <w:color w:val="000000"/>
          <w:kern w:val="0"/>
          <w:sz w:val="24"/>
        </w:rPr>
        <w:t xml:space="preserve">1. </w:t>
      </w:r>
      <w:r>
        <w:rPr>
          <w:rFonts w:hint="eastAsia" w:eastAsia="方正仿宋_GBK"/>
          <w:color w:val="000000"/>
          <w:kern w:val="0"/>
          <w:sz w:val="24"/>
        </w:rPr>
        <w:t>从事管理工作的在职人员；</w:t>
      </w:r>
    </w:p>
    <w:p>
      <w:pPr>
        <w:shd w:val="clear" w:color="auto" w:fill="FFFFFF"/>
        <w:spacing w:line="460" w:lineRule="exact"/>
        <w:ind w:firstLine="480" w:firstLineChars="200"/>
        <w:jc w:val="left"/>
        <w:rPr>
          <w:rFonts w:eastAsia="方正仿宋_GBK"/>
          <w:color w:val="000000"/>
          <w:kern w:val="0"/>
          <w:sz w:val="24"/>
        </w:rPr>
      </w:pPr>
      <w:r>
        <w:rPr>
          <w:rFonts w:eastAsia="方正仿宋_GBK"/>
          <w:color w:val="000000"/>
          <w:kern w:val="0"/>
          <w:sz w:val="24"/>
        </w:rPr>
        <w:t xml:space="preserve">2. </w:t>
      </w:r>
      <w:r>
        <w:rPr>
          <w:rFonts w:hint="eastAsia" w:eastAsia="方正仿宋_GBK"/>
          <w:color w:val="000000"/>
          <w:kern w:val="0"/>
          <w:sz w:val="24"/>
        </w:rPr>
        <w:t>与所在企业确立劳动关系；</w:t>
      </w:r>
    </w:p>
    <w:p>
      <w:pPr>
        <w:shd w:val="clear" w:color="auto" w:fill="FFFFFF"/>
        <w:spacing w:line="460" w:lineRule="exact"/>
        <w:ind w:firstLine="480" w:firstLineChars="200"/>
        <w:jc w:val="left"/>
        <w:rPr>
          <w:rFonts w:eastAsia="方正仿宋_GBK"/>
          <w:color w:val="000000"/>
          <w:kern w:val="0"/>
          <w:sz w:val="24"/>
        </w:rPr>
      </w:pPr>
      <w:r>
        <w:rPr>
          <w:rFonts w:eastAsia="方正仿宋_GBK"/>
          <w:color w:val="000000"/>
          <w:kern w:val="0"/>
          <w:sz w:val="24"/>
        </w:rPr>
        <w:t xml:space="preserve">3. </w:t>
      </w:r>
      <w:r>
        <w:rPr>
          <w:rFonts w:hint="eastAsia" w:eastAsia="方正仿宋_GBK"/>
          <w:color w:val="000000"/>
          <w:kern w:val="0"/>
          <w:sz w:val="24"/>
        </w:rPr>
        <w:t>经所在企业年度安全生产教育培训合格；</w:t>
      </w:r>
    </w:p>
    <w:p>
      <w:pPr>
        <w:shd w:val="clear" w:color="auto" w:fill="FFFFFF"/>
        <w:spacing w:line="460" w:lineRule="exact"/>
        <w:ind w:firstLine="480" w:firstLineChars="200"/>
        <w:jc w:val="left"/>
        <w:rPr>
          <w:rFonts w:eastAsia="方正仿宋_GBK"/>
          <w:color w:val="000000"/>
          <w:kern w:val="0"/>
          <w:sz w:val="24"/>
        </w:rPr>
      </w:pPr>
      <w:r>
        <w:rPr>
          <w:rFonts w:eastAsia="方正仿宋_GBK"/>
          <w:color w:val="000000"/>
          <w:kern w:val="0"/>
          <w:sz w:val="24"/>
        </w:rPr>
        <w:t xml:space="preserve">4. </w:t>
      </w:r>
      <w:r>
        <w:rPr>
          <w:rFonts w:hint="eastAsia" w:eastAsia="方正仿宋_GBK"/>
          <w:color w:val="000000"/>
          <w:kern w:val="0"/>
          <w:sz w:val="24"/>
        </w:rPr>
        <w:t>具备下列相应的文化程度、职称、执业资格等条件。</w:t>
      </w:r>
    </w:p>
    <w:p>
      <w:pPr>
        <w:shd w:val="clear" w:color="auto" w:fill="FFFFFF"/>
        <w:spacing w:line="460" w:lineRule="exact"/>
        <w:ind w:firstLine="480" w:firstLineChars="200"/>
        <w:jc w:val="left"/>
        <w:rPr>
          <w:rFonts w:eastAsia="方正仿宋_GBK"/>
          <w:color w:val="000000"/>
          <w:kern w:val="0"/>
          <w:sz w:val="24"/>
        </w:rPr>
      </w:pPr>
      <w:r>
        <w:rPr>
          <w:rFonts w:hint="eastAsia" w:eastAsia="方正仿宋_GBK"/>
          <w:color w:val="000000"/>
          <w:kern w:val="0"/>
          <w:sz w:val="24"/>
        </w:rPr>
        <w:t>（</w:t>
      </w:r>
      <w:r>
        <w:rPr>
          <w:rFonts w:eastAsia="方正仿宋_GBK"/>
          <w:color w:val="000000"/>
          <w:kern w:val="0"/>
          <w:sz w:val="24"/>
        </w:rPr>
        <w:t>1</w:t>
      </w:r>
      <w:r>
        <w:rPr>
          <w:rFonts w:hint="eastAsia" w:eastAsia="方正仿宋_GBK"/>
          <w:color w:val="000000"/>
          <w:kern w:val="0"/>
          <w:sz w:val="24"/>
        </w:rPr>
        <w:t>）主要负责人（</w:t>
      </w:r>
      <w:r>
        <w:rPr>
          <w:rFonts w:eastAsia="方正仿宋_GBK"/>
          <w:color w:val="000000"/>
          <w:kern w:val="0"/>
          <w:sz w:val="24"/>
        </w:rPr>
        <w:t>A</w:t>
      </w:r>
      <w:r>
        <w:rPr>
          <w:rFonts w:hint="eastAsia" w:eastAsia="方正仿宋_GBK"/>
          <w:color w:val="000000"/>
          <w:kern w:val="0"/>
          <w:sz w:val="24"/>
        </w:rPr>
        <w:t>类）</w:t>
      </w:r>
    </w:p>
    <w:p>
      <w:pPr>
        <w:shd w:val="clear" w:color="auto" w:fill="FFFFFF"/>
        <w:spacing w:line="460" w:lineRule="exact"/>
        <w:ind w:firstLine="480" w:firstLineChars="200"/>
        <w:jc w:val="left"/>
        <w:rPr>
          <w:rFonts w:eastAsia="方正仿宋_GBK"/>
          <w:color w:val="000000"/>
          <w:kern w:val="0"/>
          <w:sz w:val="24"/>
        </w:rPr>
      </w:pPr>
      <w:r>
        <w:rPr>
          <w:rFonts w:hint="eastAsia" w:eastAsia="方正仿宋_GBK"/>
          <w:color w:val="000000"/>
          <w:kern w:val="0"/>
          <w:sz w:val="24"/>
        </w:rPr>
        <w:t>①具有相应的文化程度（法定代表人除外）；</w:t>
      </w:r>
    </w:p>
    <w:p>
      <w:pPr>
        <w:shd w:val="clear" w:color="auto" w:fill="FFFFFF"/>
        <w:spacing w:line="460" w:lineRule="exact"/>
        <w:ind w:firstLine="480" w:firstLineChars="200"/>
        <w:jc w:val="left"/>
        <w:rPr>
          <w:rFonts w:eastAsia="方正仿宋_GBK"/>
          <w:color w:val="000000"/>
          <w:kern w:val="0"/>
          <w:sz w:val="24"/>
        </w:rPr>
      </w:pPr>
      <w:r>
        <w:rPr>
          <w:rFonts w:hint="eastAsia" w:eastAsia="方正仿宋_GBK"/>
          <w:color w:val="000000"/>
          <w:kern w:val="0"/>
          <w:sz w:val="24"/>
        </w:rPr>
        <w:t>②具有相应的专业技术职称（法定代表人除外）。</w:t>
      </w:r>
    </w:p>
    <w:p>
      <w:pPr>
        <w:shd w:val="clear" w:color="auto" w:fill="FFFFFF"/>
        <w:spacing w:line="460" w:lineRule="exact"/>
        <w:ind w:firstLine="480" w:firstLineChars="200"/>
        <w:jc w:val="left"/>
        <w:rPr>
          <w:rFonts w:eastAsia="方正仿宋_GBK"/>
          <w:color w:val="000000"/>
          <w:kern w:val="0"/>
          <w:sz w:val="24"/>
        </w:rPr>
      </w:pPr>
      <w:r>
        <w:rPr>
          <w:rFonts w:hint="eastAsia" w:eastAsia="方正仿宋_GBK"/>
          <w:color w:val="000000"/>
          <w:kern w:val="0"/>
          <w:sz w:val="24"/>
        </w:rPr>
        <w:t>（</w:t>
      </w:r>
      <w:r>
        <w:rPr>
          <w:rFonts w:eastAsia="方正仿宋_GBK"/>
          <w:color w:val="000000"/>
          <w:kern w:val="0"/>
          <w:sz w:val="24"/>
        </w:rPr>
        <w:t>2</w:t>
      </w:r>
      <w:r>
        <w:rPr>
          <w:rFonts w:hint="eastAsia" w:eastAsia="方正仿宋_GBK"/>
          <w:color w:val="000000"/>
          <w:kern w:val="0"/>
          <w:sz w:val="24"/>
        </w:rPr>
        <w:t>）项目负责人（</w:t>
      </w:r>
      <w:r>
        <w:rPr>
          <w:rFonts w:eastAsia="方正仿宋_GBK"/>
          <w:color w:val="000000"/>
          <w:kern w:val="0"/>
          <w:sz w:val="24"/>
        </w:rPr>
        <w:t>B</w:t>
      </w:r>
      <w:r>
        <w:rPr>
          <w:rFonts w:hint="eastAsia" w:eastAsia="方正仿宋_GBK"/>
          <w:color w:val="000000"/>
          <w:kern w:val="0"/>
          <w:sz w:val="24"/>
        </w:rPr>
        <w:t>类）</w:t>
      </w:r>
    </w:p>
    <w:p>
      <w:pPr>
        <w:shd w:val="clear" w:color="auto" w:fill="FFFFFF"/>
        <w:spacing w:line="460" w:lineRule="exact"/>
        <w:ind w:firstLine="480" w:firstLineChars="200"/>
        <w:jc w:val="left"/>
        <w:rPr>
          <w:rFonts w:eastAsia="方正仿宋_GBK"/>
          <w:color w:val="000000"/>
          <w:kern w:val="0"/>
          <w:sz w:val="24"/>
        </w:rPr>
      </w:pPr>
      <w:r>
        <w:rPr>
          <w:rFonts w:hint="eastAsia" w:eastAsia="方正仿宋_GBK"/>
          <w:color w:val="000000"/>
          <w:kern w:val="0"/>
          <w:sz w:val="24"/>
        </w:rPr>
        <w:t>取得二级及以上建造师注册执业资格。</w:t>
      </w:r>
    </w:p>
    <w:p>
      <w:pPr>
        <w:shd w:val="clear" w:color="auto" w:fill="FFFFFF"/>
        <w:spacing w:line="460" w:lineRule="exact"/>
        <w:ind w:firstLine="480" w:firstLineChars="200"/>
        <w:jc w:val="left"/>
        <w:rPr>
          <w:rFonts w:eastAsia="方正仿宋_GBK"/>
          <w:color w:val="000000"/>
          <w:kern w:val="0"/>
          <w:sz w:val="24"/>
        </w:rPr>
      </w:pPr>
      <w:r>
        <w:rPr>
          <w:rFonts w:hint="eastAsia" w:eastAsia="方正仿宋_GBK"/>
          <w:color w:val="000000"/>
          <w:kern w:val="0"/>
          <w:sz w:val="24"/>
        </w:rPr>
        <w:t>（</w:t>
      </w:r>
      <w:r>
        <w:rPr>
          <w:rFonts w:eastAsia="方正仿宋_GBK"/>
          <w:color w:val="000000"/>
          <w:kern w:val="0"/>
          <w:sz w:val="24"/>
        </w:rPr>
        <w:t>3</w:t>
      </w:r>
      <w:r>
        <w:rPr>
          <w:rFonts w:hint="eastAsia" w:eastAsia="方正仿宋_GBK"/>
          <w:color w:val="000000"/>
          <w:kern w:val="0"/>
          <w:sz w:val="24"/>
        </w:rPr>
        <w:t>）专职安全生产管理人员（</w:t>
      </w:r>
      <w:r>
        <w:rPr>
          <w:rFonts w:eastAsia="方正仿宋_GBK"/>
          <w:color w:val="000000"/>
          <w:kern w:val="0"/>
          <w:sz w:val="24"/>
        </w:rPr>
        <w:t>C1</w:t>
      </w:r>
      <w:r>
        <w:rPr>
          <w:rFonts w:hint="eastAsia" w:eastAsia="方正仿宋_GBK"/>
          <w:color w:val="000000"/>
          <w:kern w:val="0"/>
          <w:sz w:val="24"/>
        </w:rPr>
        <w:t>类、</w:t>
      </w:r>
      <w:r>
        <w:rPr>
          <w:rFonts w:eastAsia="方正仿宋_GBK"/>
          <w:color w:val="000000"/>
          <w:kern w:val="0"/>
          <w:sz w:val="24"/>
        </w:rPr>
        <w:t>C2</w:t>
      </w:r>
      <w:r>
        <w:rPr>
          <w:rFonts w:hint="eastAsia" w:eastAsia="方正仿宋_GBK"/>
          <w:color w:val="000000"/>
          <w:kern w:val="0"/>
          <w:sz w:val="24"/>
        </w:rPr>
        <w:t>类）</w:t>
      </w:r>
    </w:p>
    <w:p>
      <w:pPr>
        <w:shd w:val="clear" w:color="auto" w:fill="FFFFFF"/>
        <w:spacing w:line="460" w:lineRule="exact"/>
        <w:ind w:firstLine="480" w:firstLineChars="200"/>
        <w:jc w:val="left"/>
        <w:rPr>
          <w:rFonts w:eastAsia="方正仿宋_GBK"/>
          <w:color w:val="000000"/>
          <w:kern w:val="0"/>
          <w:sz w:val="24"/>
        </w:rPr>
      </w:pPr>
      <w:r>
        <w:rPr>
          <w:rFonts w:hint="eastAsia" w:eastAsia="方正仿宋_GBK"/>
          <w:color w:val="000000"/>
          <w:kern w:val="0"/>
          <w:sz w:val="24"/>
        </w:rPr>
        <w:t>①年满</w:t>
      </w:r>
      <w:r>
        <w:rPr>
          <w:rFonts w:eastAsia="方正仿宋_GBK"/>
          <w:color w:val="000000"/>
          <w:kern w:val="0"/>
          <w:sz w:val="24"/>
        </w:rPr>
        <w:t>18</w:t>
      </w:r>
      <w:r>
        <w:rPr>
          <w:rFonts w:hint="eastAsia" w:eastAsia="方正仿宋_GBK"/>
          <w:color w:val="000000"/>
          <w:kern w:val="0"/>
          <w:sz w:val="24"/>
        </w:rPr>
        <w:t>周岁未满</w:t>
      </w:r>
      <w:r>
        <w:rPr>
          <w:rFonts w:eastAsia="方正仿宋_GBK"/>
          <w:color w:val="000000"/>
          <w:kern w:val="0"/>
          <w:sz w:val="24"/>
        </w:rPr>
        <w:t>60</w:t>
      </w:r>
      <w:r>
        <w:rPr>
          <w:rFonts w:hint="eastAsia" w:eastAsia="方正仿宋_GBK"/>
          <w:color w:val="000000"/>
          <w:kern w:val="0"/>
          <w:sz w:val="24"/>
        </w:rPr>
        <w:t>周岁，身体健康；</w:t>
      </w:r>
    </w:p>
    <w:p>
      <w:pPr>
        <w:shd w:val="clear" w:color="auto" w:fill="FFFFFF"/>
        <w:spacing w:line="460" w:lineRule="exact"/>
        <w:ind w:firstLine="480" w:firstLineChars="200"/>
        <w:jc w:val="left"/>
        <w:rPr>
          <w:rFonts w:eastAsia="方正仿宋_GBK"/>
          <w:color w:val="000000"/>
          <w:kern w:val="0"/>
          <w:sz w:val="24"/>
        </w:rPr>
      </w:pPr>
      <w:r>
        <w:rPr>
          <w:rFonts w:hint="eastAsia" w:eastAsia="方正仿宋_GBK"/>
          <w:color w:val="000000"/>
          <w:kern w:val="0"/>
          <w:sz w:val="24"/>
        </w:rPr>
        <w:t>②具有中专（含高中、中技、职高）及以上文化程度或初级及以上技术职称；</w:t>
      </w:r>
    </w:p>
    <w:p>
      <w:pPr>
        <w:shd w:val="clear" w:color="auto" w:fill="FFFFFF"/>
        <w:spacing w:line="460" w:lineRule="exact"/>
        <w:ind w:firstLine="480" w:firstLineChars="200"/>
        <w:jc w:val="left"/>
        <w:rPr>
          <w:rFonts w:eastAsia="方正仿宋_GBK"/>
          <w:color w:val="000000"/>
          <w:kern w:val="0"/>
          <w:sz w:val="24"/>
        </w:rPr>
      </w:pPr>
      <w:r>
        <w:rPr>
          <w:rFonts w:hint="eastAsia" w:eastAsia="方正仿宋_GBK"/>
          <w:color w:val="000000"/>
          <w:kern w:val="0"/>
          <w:sz w:val="24"/>
        </w:rPr>
        <w:t>③从事施工管理工作两年以上。</w:t>
      </w:r>
    </w:p>
    <w:p>
      <w:pPr>
        <w:shd w:val="clear" w:color="auto" w:fill="FFFFFF"/>
        <w:spacing w:line="460" w:lineRule="exact"/>
        <w:ind w:firstLine="480" w:firstLineChars="200"/>
        <w:jc w:val="left"/>
        <w:rPr>
          <w:rFonts w:eastAsia="方正仿宋_GBK"/>
          <w:color w:val="000000"/>
          <w:kern w:val="0"/>
          <w:sz w:val="24"/>
        </w:rPr>
      </w:pPr>
      <w:r>
        <w:rPr>
          <w:rFonts w:hint="eastAsia" w:eastAsia="方正仿宋_GBK"/>
          <w:color w:val="000000"/>
          <w:kern w:val="0"/>
          <w:sz w:val="24"/>
        </w:rPr>
        <w:t>（四）报名资料</w:t>
      </w:r>
    </w:p>
    <w:p>
      <w:pPr>
        <w:shd w:val="clear" w:color="auto" w:fill="FFFFFF"/>
        <w:spacing w:line="460" w:lineRule="exact"/>
        <w:ind w:firstLine="480" w:firstLineChars="200"/>
        <w:jc w:val="left"/>
        <w:rPr>
          <w:rFonts w:eastAsia="方正仿宋_GBK"/>
          <w:color w:val="000000"/>
          <w:kern w:val="0"/>
          <w:sz w:val="24"/>
        </w:rPr>
      </w:pPr>
      <w:r>
        <w:rPr>
          <w:rFonts w:hint="eastAsia" w:eastAsia="方正仿宋_GBK"/>
          <w:color w:val="000000"/>
          <w:kern w:val="0"/>
          <w:sz w:val="24"/>
        </w:rPr>
        <w:t>报考人员须在</w:t>
      </w:r>
      <w:r>
        <w:rPr>
          <w:rFonts w:eastAsia="方正仿宋_GBK"/>
          <w:color w:val="000000"/>
          <w:kern w:val="0"/>
          <w:sz w:val="24"/>
        </w:rPr>
        <w:t>“</w:t>
      </w:r>
      <w:r>
        <w:rPr>
          <w:rFonts w:hint="eastAsia" w:eastAsia="方正仿宋_GBK"/>
          <w:color w:val="000000"/>
          <w:kern w:val="0"/>
          <w:sz w:val="24"/>
        </w:rPr>
        <w:t>监管平台</w:t>
      </w:r>
      <w:r>
        <w:rPr>
          <w:rFonts w:eastAsia="方正仿宋_GBK"/>
          <w:color w:val="000000"/>
          <w:kern w:val="0"/>
          <w:sz w:val="24"/>
        </w:rPr>
        <w:t>2.0”</w:t>
      </w:r>
      <w:r>
        <w:rPr>
          <w:rFonts w:hint="eastAsia" w:eastAsia="方正仿宋_GBK"/>
          <w:color w:val="000000"/>
          <w:kern w:val="0"/>
          <w:sz w:val="24"/>
        </w:rPr>
        <w:t>内上传以下资料原件扫描件，并签署诚信承诺书，经企业所在地建设行政主管部门网上核验：</w:t>
      </w:r>
    </w:p>
    <w:p>
      <w:pPr>
        <w:shd w:val="clear" w:color="auto" w:fill="FFFFFF"/>
        <w:spacing w:line="460" w:lineRule="exact"/>
        <w:ind w:firstLine="480" w:firstLineChars="200"/>
        <w:jc w:val="left"/>
        <w:rPr>
          <w:rFonts w:eastAsia="方正仿宋_GBK"/>
          <w:color w:val="000000"/>
          <w:kern w:val="0"/>
          <w:sz w:val="24"/>
        </w:rPr>
      </w:pPr>
      <w:r>
        <w:rPr>
          <w:rFonts w:hint="eastAsia" w:eastAsia="方正仿宋_GBK"/>
          <w:color w:val="000000"/>
          <w:kern w:val="0"/>
          <w:sz w:val="24"/>
        </w:rPr>
        <w:t>（</w:t>
      </w:r>
      <w:r>
        <w:rPr>
          <w:rFonts w:eastAsia="方正仿宋_GBK"/>
          <w:color w:val="000000"/>
          <w:kern w:val="0"/>
          <w:sz w:val="24"/>
        </w:rPr>
        <w:t>1</w:t>
      </w:r>
      <w:r>
        <w:rPr>
          <w:rFonts w:hint="eastAsia" w:eastAsia="方正仿宋_GBK"/>
          <w:color w:val="000000"/>
          <w:kern w:val="0"/>
          <w:sz w:val="24"/>
        </w:rPr>
        <w:t>）主要负责人。学历、专业技术职称证、劳动合同、聘用企业安全教育培训合格证明。</w:t>
      </w:r>
    </w:p>
    <w:p>
      <w:pPr>
        <w:shd w:val="clear" w:color="auto" w:fill="FFFFFF"/>
        <w:spacing w:line="460" w:lineRule="exact"/>
        <w:ind w:firstLine="480" w:firstLineChars="200"/>
        <w:jc w:val="left"/>
        <w:rPr>
          <w:rFonts w:eastAsia="方正仿宋_GBK"/>
          <w:color w:val="000000"/>
          <w:kern w:val="0"/>
          <w:sz w:val="24"/>
        </w:rPr>
      </w:pPr>
      <w:r>
        <w:rPr>
          <w:rFonts w:hint="eastAsia" w:eastAsia="方正仿宋_GBK"/>
          <w:color w:val="000000"/>
          <w:kern w:val="0"/>
          <w:sz w:val="24"/>
        </w:rPr>
        <w:t>（</w:t>
      </w:r>
      <w:r>
        <w:rPr>
          <w:rFonts w:eastAsia="方正仿宋_GBK"/>
          <w:color w:val="000000"/>
          <w:kern w:val="0"/>
          <w:sz w:val="24"/>
        </w:rPr>
        <w:t>2</w:t>
      </w:r>
      <w:r>
        <w:rPr>
          <w:rFonts w:hint="eastAsia" w:eastAsia="方正仿宋_GBK"/>
          <w:color w:val="000000"/>
          <w:kern w:val="0"/>
          <w:sz w:val="24"/>
        </w:rPr>
        <w:t>）项目负责人。二级及以上建造师注册证、劳动合同、聘用企业安全教育培训合格证明。</w:t>
      </w:r>
    </w:p>
    <w:p>
      <w:pPr>
        <w:shd w:val="clear" w:color="auto" w:fill="FFFFFF"/>
        <w:spacing w:line="460" w:lineRule="exact"/>
        <w:ind w:firstLine="480" w:firstLineChars="200"/>
        <w:jc w:val="left"/>
        <w:rPr>
          <w:rFonts w:eastAsia="方正仿宋_GBK"/>
          <w:color w:val="000000"/>
          <w:kern w:val="0"/>
          <w:sz w:val="24"/>
        </w:rPr>
      </w:pPr>
      <w:r>
        <w:rPr>
          <w:rFonts w:hint="eastAsia" w:eastAsia="方正仿宋_GBK"/>
          <w:color w:val="000000"/>
          <w:kern w:val="0"/>
          <w:sz w:val="24"/>
        </w:rPr>
        <w:t>（</w:t>
      </w:r>
      <w:r>
        <w:rPr>
          <w:rFonts w:eastAsia="方正仿宋_GBK"/>
          <w:color w:val="000000"/>
          <w:kern w:val="0"/>
          <w:sz w:val="24"/>
        </w:rPr>
        <w:t>3</w:t>
      </w:r>
      <w:r>
        <w:rPr>
          <w:rFonts w:hint="eastAsia" w:eastAsia="方正仿宋_GBK"/>
          <w:color w:val="000000"/>
          <w:kern w:val="0"/>
          <w:sz w:val="24"/>
        </w:rPr>
        <w:t>）安全生产管理人员。学历或初级及以上职称、劳动合同、从事工作年限证明、聘用企业安全教育培训合格证明。</w:t>
      </w:r>
    </w:p>
    <w:p>
      <w:pPr>
        <w:shd w:val="clear" w:color="auto" w:fill="FFFFFF"/>
        <w:spacing w:line="460" w:lineRule="exact"/>
        <w:ind w:firstLine="480" w:firstLineChars="200"/>
        <w:jc w:val="left"/>
        <w:rPr>
          <w:rFonts w:eastAsia="方正仿宋_GBK"/>
          <w:color w:val="000000"/>
          <w:kern w:val="0"/>
          <w:sz w:val="24"/>
        </w:rPr>
      </w:pPr>
      <w:r>
        <w:rPr>
          <w:rFonts w:hint="eastAsia" w:eastAsia="方正仿宋_GBK"/>
          <w:color w:val="000000"/>
          <w:kern w:val="0"/>
          <w:sz w:val="24"/>
        </w:rPr>
        <w:t>各地建设行政主管部门通过管理系统进行核验，发现问题及时纠正，确保报考人员数据准确有效。</w:t>
      </w:r>
    </w:p>
    <w:p>
      <w:pPr>
        <w:shd w:val="clear" w:color="auto" w:fill="FFFFFF"/>
        <w:spacing w:line="460" w:lineRule="exact"/>
        <w:ind w:firstLine="480" w:firstLineChars="200"/>
        <w:jc w:val="left"/>
        <w:rPr>
          <w:rFonts w:eastAsia="方正仿宋_GBK"/>
          <w:color w:val="000000"/>
          <w:kern w:val="0"/>
          <w:sz w:val="24"/>
        </w:rPr>
      </w:pPr>
      <w:r>
        <w:rPr>
          <w:rFonts w:hint="eastAsia" w:eastAsia="方正仿宋_GBK"/>
          <w:color w:val="000000"/>
          <w:kern w:val="0"/>
          <w:sz w:val="24"/>
        </w:rPr>
        <w:t>（五）二代身份证信息采集</w:t>
      </w:r>
    </w:p>
    <w:p>
      <w:pPr>
        <w:shd w:val="clear" w:color="auto" w:fill="FFFFFF"/>
        <w:spacing w:line="460" w:lineRule="exact"/>
        <w:ind w:firstLine="480" w:firstLineChars="200"/>
        <w:jc w:val="left"/>
        <w:rPr>
          <w:rFonts w:eastAsia="方正仿宋_GBK"/>
          <w:color w:val="000000"/>
          <w:kern w:val="0"/>
          <w:sz w:val="24"/>
        </w:rPr>
      </w:pPr>
      <w:r>
        <w:rPr>
          <w:rFonts w:hint="eastAsia" w:eastAsia="方正仿宋_GBK"/>
          <w:color w:val="000000"/>
          <w:kern w:val="0"/>
          <w:sz w:val="24"/>
        </w:rPr>
        <w:t>考核报名采用二代身份证识别技术采集报考人员身份证信息。报考人员可登录</w:t>
      </w:r>
      <w:r>
        <w:rPr>
          <w:rFonts w:eastAsia="方正仿宋_GBK"/>
          <w:color w:val="000000"/>
          <w:kern w:val="0"/>
          <w:sz w:val="24"/>
        </w:rPr>
        <w:t>“</w:t>
      </w:r>
      <w:r>
        <w:rPr>
          <w:rFonts w:hint="eastAsia" w:eastAsia="方正仿宋_GBK"/>
          <w:color w:val="000000"/>
          <w:kern w:val="0"/>
          <w:sz w:val="24"/>
        </w:rPr>
        <w:t>监管平台</w:t>
      </w:r>
      <w:r>
        <w:rPr>
          <w:rFonts w:eastAsia="方正仿宋_GBK"/>
          <w:color w:val="000000"/>
          <w:kern w:val="0"/>
          <w:sz w:val="24"/>
        </w:rPr>
        <w:t>2.0”</w:t>
      </w:r>
      <w:r>
        <w:rPr>
          <w:rFonts w:hint="eastAsia" w:eastAsia="方正仿宋_GBK"/>
          <w:color w:val="000000"/>
          <w:kern w:val="0"/>
          <w:sz w:val="24"/>
        </w:rPr>
        <w:t>，自行通过身份证读卡器扫描完成二代身份证信息采集，也可持二代身份证原件至企业所在地建设行政主管部门进行身份证采集。</w:t>
      </w:r>
    </w:p>
    <w:p>
      <w:pPr>
        <w:shd w:val="clear" w:color="auto" w:fill="FFFFFF"/>
        <w:spacing w:line="460" w:lineRule="exact"/>
        <w:ind w:firstLine="480" w:firstLineChars="200"/>
        <w:jc w:val="left"/>
        <w:rPr>
          <w:rFonts w:eastAsia="方正仿宋_GBK"/>
          <w:color w:val="000000"/>
          <w:kern w:val="0"/>
          <w:sz w:val="24"/>
        </w:rPr>
      </w:pPr>
      <w:r>
        <w:rPr>
          <w:rFonts w:hint="eastAsia" w:eastAsia="方正仿宋_GBK"/>
          <w:color w:val="000000"/>
          <w:kern w:val="0"/>
          <w:sz w:val="24"/>
        </w:rPr>
        <w:t>（六）准考证打印</w:t>
      </w:r>
    </w:p>
    <w:p>
      <w:pPr>
        <w:shd w:val="clear" w:color="auto" w:fill="FFFFFF"/>
        <w:spacing w:line="460" w:lineRule="exact"/>
        <w:ind w:firstLine="480" w:firstLineChars="200"/>
        <w:jc w:val="left"/>
        <w:rPr>
          <w:rFonts w:eastAsia="方正仿宋_GBK"/>
          <w:color w:val="000000"/>
          <w:kern w:val="0"/>
          <w:sz w:val="24"/>
        </w:rPr>
      </w:pPr>
      <w:r>
        <w:rPr>
          <w:rFonts w:eastAsia="方正仿宋_GBK"/>
          <w:color w:val="000000"/>
          <w:kern w:val="0"/>
          <w:sz w:val="24"/>
        </w:rPr>
        <w:t>A</w:t>
      </w:r>
      <w:r>
        <w:rPr>
          <w:rFonts w:hint="eastAsia" w:eastAsia="方正仿宋_GBK"/>
          <w:color w:val="000000"/>
          <w:kern w:val="0"/>
          <w:sz w:val="24"/>
        </w:rPr>
        <w:t>类报考人员，于考前</w:t>
      </w:r>
      <w:r>
        <w:rPr>
          <w:rFonts w:eastAsia="方正仿宋_GBK"/>
          <w:color w:val="000000"/>
          <w:kern w:val="0"/>
          <w:sz w:val="24"/>
        </w:rPr>
        <w:t>3</w:t>
      </w:r>
      <w:r>
        <w:rPr>
          <w:rFonts w:hint="eastAsia" w:eastAsia="方正仿宋_GBK"/>
          <w:color w:val="000000"/>
          <w:kern w:val="0"/>
          <w:sz w:val="24"/>
        </w:rPr>
        <w:t>个工作日内打印准考证；</w:t>
      </w:r>
      <w:r>
        <w:rPr>
          <w:rFonts w:eastAsia="方正仿宋_GBK"/>
          <w:color w:val="000000"/>
          <w:kern w:val="0"/>
          <w:sz w:val="24"/>
        </w:rPr>
        <w:t>B</w:t>
      </w:r>
      <w:r>
        <w:rPr>
          <w:rFonts w:hint="eastAsia" w:eastAsia="方正仿宋_GBK"/>
          <w:color w:val="000000"/>
          <w:kern w:val="0"/>
          <w:sz w:val="24"/>
        </w:rPr>
        <w:t>类、</w:t>
      </w:r>
      <w:r>
        <w:rPr>
          <w:rFonts w:eastAsia="方正仿宋_GBK"/>
          <w:color w:val="000000"/>
          <w:kern w:val="0"/>
          <w:sz w:val="24"/>
        </w:rPr>
        <w:t>C1</w:t>
      </w:r>
      <w:r>
        <w:rPr>
          <w:rFonts w:hint="eastAsia" w:eastAsia="方正仿宋_GBK"/>
          <w:color w:val="000000"/>
          <w:kern w:val="0"/>
          <w:sz w:val="24"/>
        </w:rPr>
        <w:t>类、</w:t>
      </w:r>
      <w:r>
        <w:rPr>
          <w:rFonts w:eastAsia="方正仿宋_GBK"/>
          <w:color w:val="000000"/>
          <w:kern w:val="0"/>
          <w:sz w:val="24"/>
        </w:rPr>
        <w:t>C2</w:t>
      </w:r>
      <w:r>
        <w:rPr>
          <w:rFonts w:hint="eastAsia" w:eastAsia="方正仿宋_GBK"/>
          <w:color w:val="000000"/>
          <w:kern w:val="0"/>
          <w:sz w:val="24"/>
        </w:rPr>
        <w:t>类报考人员，于考前</w:t>
      </w:r>
      <w:r>
        <w:rPr>
          <w:rFonts w:eastAsia="方正仿宋_GBK"/>
          <w:color w:val="000000"/>
          <w:kern w:val="0"/>
          <w:sz w:val="24"/>
        </w:rPr>
        <w:t>5</w:t>
      </w:r>
      <w:r>
        <w:rPr>
          <w:rFonts w:hint="eastAsia" w:eastAsia="方正仿宋_GBK"/>
          <w:color w:val="000000"/>
          <w:kern w:val="0"/>
          <w:sz w:val="24"/>
        </w:rPr>
        <w:t>个工作日内打印准考证。</w:t>
      </w:r>
    </w:p>
    <w:p>
      <w:pPr>
        <w:shd w:val="clear" w:color="auto" w:fill="FFFFFF"/>
        <w:spacing w:line="460" w:lineRule="exact"/>
        <w:ind w:firstLine="480" w:firstLineChars="200"/>
        <w:jc w:val="left"/>
        <w:rPr>
          <w:rFonts w:eastAsia="方正仿宋_GBK"/>
          <w:color w:val="000000"/>
          <w:kern w:val="0"/>
          <w:sz w:val="24"/>
        </w:rPr>
      </w:pPr>
      <w:r>
        <w:rPr>
          <w:rFonts w:hint="eastAsia" w:eastAsia="方正仿宋_GBK"/>
          <w:color w:val="000000"/>
          <w:kern w:val="0"/>
          <w:sz w:val="24"/>
        </w:rPr>
        <w:t>五、证书管理</w:t>
      </w:r>
    </w:p>
    <w:p>
      <w:pPr>
        <w:shd w:val="clear" w:color="auto" w:fill="FFFFFF"/>
        <w:spacing w:line="460" w:lineRule="exact"/>
        <w:ind w:firstLine="480" w:firstLineChars="200"/>
        <w:jc w:val="left"/>
        <w:rPr>
          <w:rFonts w:eastAsia="方正仿宋_GBK"/>
          <w:color w:val="000000"/>
          <w:kern w:val="0"/>
          <w:sz w:val="24"/>
        </w:rPr>
      </w:pPr>
      <w:r>
        <w:rPr>
          <w:rFonts w:hint="eastAsia" w:eastAsia="方正仿宋_GBK"/>
          <w:color w:val="000000"/>
          <w:kern w:val="0"/>
          <w:sz w:val="24"/>
        </w:rPr>
        <w:t>根据住房城乡建设部办公厅《关于同意在江苏省内开展从业人员有关证书电子化试点的复函》（建办人函〔</w:t>
      </w:r>
      <w:r>
        <w:rPr>
          <w:rFonts w:eastAsia="方正仿宋_GBK"/>
          <w:color w:val="000000"/>
          <w:kern w:val="0"/>
          <w:sz w:val="24"/>
        </w:rPr>
        <w:t>2017</w:t>
      </w:r>
      <w:r>
        <w:rPr>
          <w:rFonts w:hint="eastAsia" w:eastAsia="方正仿宋_GBK"/>
          <w:color w:val="000000"/>
          <w:kern w:val="0"/>
          <w:sz w:val="24"/>
        </w:rPr>
        <w:t>〕</w:t>
      </w:r>
      <w:r>
        <w:rPr>
          <w:rFonts w:eastAsia="方正仿宋_GBK"/>
          <w:color w:val="000000"/>
          <w:kern w:val="0"/>
          <w:sz w:val="24"/>
        </w:rPr>
        <w:t>470</w:t>
      </w:r>
      <w:r>
        <w:rPr>
          <w:rFonts w:hint="eastAsia" w:eastAsia="方正仿宋_GBK"/>
          <w:color w:val="000000"/>
          <w:kern w:val="0"/>
          <w:sz w:val="24"/>
        </w:rPr>
        <w:t>号）文件精神，我省将逐步推行“安管人员”电子证书。</w:t>
      </w:r>
    </w:p>
    <w:p>
      <w:pPr>
        <w:shd w:val="clear" w:color="auto" w:fill="FFFFFF"/>
        <w:spacing w:line="460" w:lineRule="exact"/>
        <w:ind w:firstLine="480" w:firstLineChars="200"/>
        <w:jc w:val="left"/>
        <w:rPr>
          <w:rFonts w:eastAsia="方正仿宋_GBK"/>
          <w:color w:val="000000"/>
          <w:kern w:val="0"/>
          <w:sz w:val="24"/>
        </w:rPr>
      </w:pPr>
      <w:r>
        <w:rPr>
          <w:rFonts w:eastAsia="方正仿宋_GBK"/>
          <w:color w:val="000000"/>
          <w:kern w:val="0"/>
          <w:sz w:val="24"/>
        </w:rPr>
        <w:t>(</w:t>
      </w:r>
      <w:r>
        <w:rPr>
          <w:rFonts w:hint="eastAsia" w:eastAsia="方正仿宋_GBK"/>
          <w:color w:val="000000"/>
          <w:kern w:val="0"/>
          <w:sz w:val="24"/>
        </w:rPr>
        <w:t>一</w:t>
      </w:r>
      <w:r>
        <w:rPr>
          <w:rFonts w:eastAsia="方正仿宋_GBK"/>
          <w:color w:val="000000"/>
          <w:kern w:val="0"/>
          <w:sz w:val="24"/>
        </w:rPr>
        <w:t>)</w:t>
      </w:r>
      <w:r>
        <w:rPr>
          <w:rFonts w:hint="eastAsia" w:eastAsia="方正仿宋_GBK"/>
          <w:color w:val="000000"/>
          <w:kern w:val="0"/>
          <w:sz w:val="24"/>
        </w:rPr>
        <w:t>启用电子证书</w:t>
      </w:r>
    </w:p>
    <w:p>
      <w:pPr>
        <w:shd w:val="clear" w:color="auto" w:fill="FFFFFF"/>
        <w:spacing w:line="460" w:lineRule="exact"/>
        <w:ind w:firstLine="480" w:firstLineChars="200"/>
        <w:jc w:val="left"/>
        <w:rPr>
          <w:rFonts w:eastAsia="方正仿宋_GBK"/>
          <w:color w:val="000000"/>
          <w:kern w:val="0"/>
          <w:sz w:val="24"/>
        </w:rPr>
      </w:pPr>
      <w:r>
        <w:rPr>
          <w:rFonts w:eastAsia="方正仿宋_GBK"/>
          <w:color w:val="000000"/>
          <w:kern w:val="0"/>
          <w:sz w:val="24"/>
        </w:rPr>
        <w:t xml:space="preserve">1. </w:t>
      </w:r>
      <w:r>
        <w:rPr>
          <w:rFonts w:hint="eastAsia" w:eastAsia="方正仿宋_GBK"/>
          <w:color w:val="000000"/>
          <w:kern w:val="0"/>
          <w:sz w:val="24"/>
        </w:rPr>
        <w:t>自我省正式推行“安管人员”电子证书起，对于考核合格者，启用“建筑施工企业主要负责人安全生产考核合格证书”</w:t>
      </w:r>
      <w:r>
        <w:rPr>
          <w:rFonts w:eastAsia="方正仿宋_GBK"/>
          <w:color w:val="000000"/>
          <w:kern w:val="0"/>
          <w:sz w:val="24"/>
        </w:rPr>
        <w:t xml:space="preserve"> </w:t>
      </w:r>
      <w:r>
        <w:rPr>
          <w:rFonts w:hint="eastAsia" w:eastAsia="方正仿宋_GBK"/>
          <w:color w:val="000000"/>
          <w:kern w:val="0"/>
          <w:sz w:val="24"/>
        </w:rPr>
        <w:t>“建筑施工企业项目负责人安全生产考核合格证书”和“建筑施工企业专职安全生产管理人员安全生产考核合格证书”电子证书，不再发放纸质证书（与原纸质证书有同等效能）。对于持有原纸质证书办理变更、延续业务的，不再在原证书上打印相关信息，相关信息在电子证书上显示。</w:t>
      </w:r>
    </w:p>
    <w:p>
      <w:pPr>
        <w:shd w:val="clear" w:color="auto" w:fill="FFFFFF"/>
        <w:spacing w:line="460" w:lineRule="exact"/>
        <w:ind w:firstLine="480" w:firstLineChars="200"/>
        <w:jc w:val="left"/>
        <w:rPr>
          <w:rFonts w:eastAsia="方正仿宋_GBK"/>
          <w:color w:val="000000"/>
          <w:kern w:val="0"/>
          <w:sz w:val="24"/>
        </w:rPr>
      </w:pPr>
      <w:r>
        <w:rPr>
          <w:rFonts w:eastAsia="方正仿宋_GBK"/>
          <w:color w:val="000000"/>
          <w:kern w:val="0"/>
          <w:sz w:val="24"/>
        </w:rPr>
        <w:t xml:space="preserve">2. </w:t>
      </w:r>
      <w:r>
        <w:rPr>
          <w:rFonts w:hint="eastAsia" w:eastAsia="方正仿宋_GBK"/>
          <w:color w:val="000000"/>
          <w:kern w:val="0"/>
          <w:sz w:val="24"/>
        </w:rPr>
        <w:t>在我省正式推行“安管人员”电子证书前，已取得的纸质“安全生产考核合格证书”统一生成电子证书。</w:t>
      </w:r>
    </w:p>
    <w:p>
      <w:pPr>
        <w:shd w:val="clear" w:color="auto" w:fill="FFFFFF"/>
        <w:spacing w:line="460" w:lineRule="exact"/>
        <w:ind w:firstLine="480" w:firstLineChars="200"/>
        <w:jc w:val="left"/>
        <w:rPr>
          <w:rFonts w:eastAsia="方正仿宋_GBK"/>
          <w:color w:val="000000"/>
          <w:kern w:val="0"/>
          <w:sz w:val="24"/>
        </w:rPr>
      </w:pPr>
      <w:r>
        <w:rPr>
          <w:rFonts w:eastAsia="方正仿宋_GBK"/>
          <w:color w:val="000000"/>
          <w:kern w:val="0"/>
          <w:sz w:val="24"/>
        </w:rPr>
        <w:t xml:space="preserve">3. </w:t>
      </w:r>
      <w:r>
        <w:rPr>
          <w:rFonts w:hint="eastAsia" w:eastAsia="方正仿宋_GBK"/>
          <w:color w:val="000000"/>
          <w:kern w:val="0"/>
          <w:sz w:val="24"/>
        </w:rPr>
        <w:t>启用电子证书后，取消证书遗失补办业务。</w:t>
      </w:r>
    </w:p>
    <w:p>
      <w:pPr>
        <w:shd w:val="clear" w:color="auto" w:fill="FFFFFF"/>
        <w:spacing w:line="460" w:lineRule="exact"/>
        <w:ind w:firstLine="480" w:firstLineChars="200"/>
        <w:jc w:val="left"/>
        <w:rPr>
          <w:rFonts w:eastAsia="方正仿宋_GBK"/>
          <w:color w:val="000000"/>
          <w:kern w:val="0"/>
          <w:sz w:val="24"/>
        </w:rPr>
      </w:pPr>
      <w:r>
        <w:rPr>
          <w:rFonts w:hint="eastAsia" w:eastAsia="方正仿宋_GBK"/>
          <w:color w:val="000000"/>
          <w:kern w:val="0"/>
          <w:sz w:val="24"/>
        </w:rPr>
        <w:t>（二）证书换发</w:t>
      </w:r>
    </w:p>
    <w:p>
      <w:pPr>
        <w:shd w:val="clear" w:color="auto" w:fill="FFFFFF"/>
        <w:spacing w:line="460" w:lineRule="exact"/>
        <w:ind w:firstLine="480" w:firstLineChars="200"/>
        <w:jc w:val="left"/>
        <w:rPr>
          <w:rFonts w:eastAsia="方正仿宋_GBK"/>
          <w:color w:val="000000"/>
          <w:kern w:val="0"/>
          <w:sz w:val="24"/>
        </w:rPr>
      </w:pPr>
      <w:r>
        <w:rPr>
          <w:rFonts w:hint="eastAsia" w:eastAsia="方正仿宋_GBK"/>
          <w:color w:val="000000"/>
          <w:kern w:val="0"/>
          <w:sz w:val="24"/>
        </w:rPr>
        <w:t>自我省正式推行“安管人员”电子证书起，原</w:t>
      </w:r>
      <w:r>
        <w:rPr>
          <w:rFonts w:eastAsia="方正仿宋_GBK"/>
          <w:color w:val="000000"/>
          <w:kern w:val="0"/>
          <w:sz w:val="24"/>
        </w:rPr>
        <w:t>C</w:t>
      </w:r>
      <w:r>
        <w:rPr>
          <w:rFonts w:hint="eastAsia" w:eastAsia="方正仿宋_GBK"/>
          <w:color w:val="000000"/>
          <w:kern w:val="0"/>
          <w:sz w:val="24"/>
        </w:rPr>
        <w:t>类证书持证人员按自愿原则可一次性换发</w:t>
      </w:r>
      <w:r>
        <w:rPr>
          <w:rFonts w:eastAsia="方正仿宋_GBK"/>
          <w:color w:val="000000"/>
          <w:kern w:val="0"/>
          <w:sz w:val="24"/>
        </w:rPr>
        <w:t>C1</w:t>
      </w:r>
      <w:r>
        <w:rPr>
          <w:rFonts w:hint="eastAsia" w:eastAsia="方正仿宋_GBK"/>
          <w:color w:val="000000"/>
          <w:kern w:val="0"/>
          <w:sz w:val="24"/>
        </w:rPr>
        <w:t>类或</w:t>
      </w:r>
      <w:r>
        <w:rPr>
          <w:rFonts w:eastAsia="方正仿宋_GBK"/>
          <w:color w:val="000000"/>
          <w:kern w:val="0"/>
          <w:sz w:val="24"/>
        </w:rPr>
        <w:t>C2</w:t>
      </w:r>
      <w:r>
        <w:rPr>
          <w:rFonts w:hint="eastAsia" w:eastAsia="方正仿宋_GBK"/>
          <w:color w:val="000000"/>
          <w:kern w:val="0"/>
          <w:sz w:val="24"/>
        </w:rPr>
        <w:t>类电子证书。持证人员在</w:t>
      </w:r>
      <w:r>
        <w:rPr>
          <w:rFonts w:eastAsia="方正仿宋_GBK"/>
          <w:color w:val="000000"/>
          <w:kern w:val="0"/>
          <w:sz w:val="24"/>
        </w:rPr>
        <w:t>“</w:t>
      </w:r>
      <w:r>
        <w:rPr>
          <w:rFonts w:hint="eastAsia" w:eastAsia="方正仿宋_GBK"/>
          <w:color w:val="000000"/>
          <w:kern w:val="0"/>
          <w:sz w:val="24"/>
        </w:rPr>
        <w:t>监管平台</w:t>
      </w:r>
      <w:r>
        <w:rPr>
          <w:rFonts w:eastAsia="方正仿宋_GBK"/>
          <w:color w:val="000000"/>
          <w:kern w:val="0"/>
          <w:sz w:val="24"/>
        </w:rPr>
        <w:t>2.0”</w:t>
      </w:r>
      <w:r>
        <w:rPr>
          <w:rFonts w:hint="eastAsia" w:eastAsia="方正仿宋_GBK"/>
          <w:color w:val="000000"/>
          <w:kern w:val="0"/>
          <w:sz w:val="24"/>
        </w:rPr>
        <w:t>内上传“安管人员”证书换发申请，上传申请表、诚信承诺书（本人签名），经省级行政主管部门核验通过后，自动生成电子证书。换证申请截止日期为</w:t>
      </w:r>
      <w:r>
        <w:rPr>
          <w:rFonts w:eastAsia="方正仿宋_GBK"/>
          <w:color w:val="000000"/>
          <w:kern w:val="0"/>
          <w:sz w:val="24"/>
        </w:rPr>
        <w:t>2019</w:t>
      </w:r>
      <w:r>
        <w:rPr>
          <w:rFonts w:hint="eastAsia" w:eastAsia="方正仿宋_GBK"/>
          <w:color w:val="000000"/>
          <w:kern w:val="0"/>
          <w:sz w:val="24"/>
        </w:rPr>
        <w:t>年</w:t>
      </w:r>
      <w:r>
        <w:rPr>
          <w:rFonts w:eastAsia="方正仿宋_GBK"/>
          <w:color w:val="000000"/>
          <w:kern w:val="0"/>
          <w:sz w:val="24"/>
        </w:rPr>
        <w:t>12</w:t>
      </w:r>
      <w:r>
        <w:rPr>
          <w:rFonts w:hint="eastAsia" w:eastAsia="方正仿宋_GBK"/>
          <w:color w:val="000000"/>
          <w:kern w:val="0"/>
          <w:sz w:val="24"/>
        </w:rPr>
        <w:t>月</w:t>
      </w:r>
      <w:r>
        <w:rPr>
          <w:rFonts w:eastAsia="方正仿宋_GBK"/>
          <w:color w:val="000000"/>
          <w:kern w:val="0"/>
          <w:sz w:val="24"/>
        </w:rPr>
        <w:t>31</w:t>
      </w:r>
      <w:r>
        <w:rPr>
          <w:rFonts w:hint="eastAsia" w:eastAsia="方正仿宋_GBK"/>
          <w:color w:val="000000"/>
          <w:kern w:val="0"/>
          <w:sz w:val="24"/>
        </w:rPr>
        <w:t>日。</w:t>
      </w:r>
    </w:p>
    <w:p>
      <w:pPr>
        <w:shd w:val="clear" w:color="auto" w:fill="FFFFFF"/>
        <w:spacing w:line="460" w:lineRule="exact"/>
        <w:ind w:firstLine="480" w:firstLineChars="200"/>
        <w:jc w:val="left"/>
        <w:rPr>
          <w:rFonts w:eastAsia="方正仿宋_GBK"/>
          <w:color w:val="000000"/>
          <w:kern w:val="0"/>
          <w:sz w:val="24"/>
        </w:rPr>
      </w:pPr>
      <w:r>
        <w:rPr>
          <w:rFonts w:hint="eastAsia" w:eastAsia="方正仿宋_GBK"/>
          <w:color w:val="000000"/>
          <w:kern w:val="0"/>
          <w:sz w:val="24"/>
        </w:rPr>
        <w:t>（三）业务办理流程</w:t>
      </w:r>
    </w:p>
    <w:p>
      <w:pPr>
        <w:shd w:val="clear" w:color="auto" w:fill="FFFFFF"/>
        <w:spacing w:line="460" w:lineRule="exact"/>
        <w:ind w:firstLine="480" w:firstLineChars="200"/>
        <w:jc w:val="left"/>
        <w:rPr>
          <w:rFonts w:eastAsia="方正仿宋_GBK"/>
          <w:color w:val="000000"/>
          <w:kern w:val="0"/>
          <w:sz w:val="24"/>
        </w:rPr>
      </w:pPr>
      <w:r>
        <w:rPr>
          <w:rFonts w:hint="eastAsia" w:eastAsia="方正仿宋_GBK"/>
          <w:color w:val="000000"/>
          <w:kern w:val="0"/>
          <w:sz w:val="24"/>
        </w:rPr>
        <w:t>“安管人员”的变更、延续、注销等业务，企业须通过“监管平台</w:t>
      </w:r>
      <w:r>
        <w:rPr>
          <w:rFonts w:eastAsia="方正仿宋_GBK"/>
          <w:color w:val="000000"/>
          <w:kern w:val="0"/>
          <w:sz w:val="24"/>
        </w:rPr>
        <w:t>2.0</w:t>
      </w:r>
      <w:r>
        <w:rPr>
          <w:rFonts w:hint="eastAsia" w:eastAsia="方正仿宋_GBK"/>
          <w:color w:val="000000"/>
          <w:kern w:val="0"/>
          <w:sz w:val="24"/>
        </w:rPr>
        <w:t>”申请，具体事项另行通知。</w:t>
      </w:r>
    </w:p>
    <w:p>
      <w:pPr>
        <w:shd w:val="clear" w:color="auto" w:fill="FFFFFF"/>
        <w:spacing w:line="460" w:lineRule="exact"/>
        <w:ind w:firstLine="480" w:firstLineChars="200"/>
        <w:jc w:val="left"/>
        <w:rPr>
          <w:rFonts w:eastAsia="方正仿宋_GBK"/>
          <w:color w:val="000000"/>
          <w:kern w:val="0"/>
          <w:sz w:val="24"/>
        </w:rPr>
      </w:pPr>
      <w:r>
        <w:rPr>
          <w:rFonts w:hint="eastAsia" w:eastAsia="方正仿宋_GBK"/>
          <w:color w:val="000000"/>
          <w:kern w:val="0"/>
          <w:sz w:val="24"/>
        </w:rPr>
        <w:t>六、工作要求</w:t>
      </w:r>
    </w:p>
    <w:p>
      <w:pPr>
        <w:shd w:val="clear" w:color="auto" w:fill="FFFFFF"/>
        <w:spacing w:line="460" w:lineRule="exact"/>
        <w:ind w:firstLine="480" w:firstLineChars="200"/>
        <w:jc w:val="left"/>
        <w:rPr>
          <w:rFonts w:eastAsia="方正仿宋_GBK"/>
          <w:color w:val="000000"/>
          <w:kern w:val="0"/>
          <w:sz w:val="24"/>
        </w:rPr>
      </w:pPr>
      <w:r>
        <w:rPr>
          <w:rFonts w:hint="eastAsia" w:eastAsia="方正仿宋_GBK"/>
          <w:color w:val="000000"/>
          <w:kern w:val="0"/>
          <w:sz w:val="24"/>
        </w:rPr>
        <w:t>“安管人员”考核管理工作，事关我省建筑施工安全管人员队伍建设及行业健康发展，各地应高度重视，按照考核管理及“放管服”各项工作要求，快速掌握新流程、新标准，有效加强监督检查机制，强化重点事项、关键环节事中事后监管，各地应将提高报名服务质量、严格考风考纪管理、强化证书事项办理等重点任务落实到位。</w:t>
      </w:r>
    </w:p>
    <w:p>
      <w:pPr>
        <w:shd w:val="clear" w:color="auto" w:fill="FFFFFF"/>
        <w:spacing w:line="460" w:lineRule="exact"/>
        <w:ind w:firstLine="480" w:firstLineChars="200"/>
        <w:jc w:val="left"/>
        <w:rPr>
          <w:rFonts w:eastAsia="方正仿宋_GBK"/>
          <w:color w:val="000000"/>
          <w:kern w:val="0"/>
          <w:sz w:val="24"/>
        </w:rPr>
      </w:pPr>
      <w:r>
        <w:rPr>
          <w:rFonts w:hint="eastAsia" w:eastAsia="方正仿宋_GBK"/>
          <w:color w:val="000000"/>
          <w:kern w:val="0"/>
          <w:sz w:val="24"/>
        </w:rPr>
        <w:t>联系方式</w:t>
      </w:r>
    </w:p>
    <w:p>
      <w:pPr>
        <w:shd w:val="clear" w:color="auto" w:fill="FFFFFF"/>
        <w:spacing w:line="460" w:lineRule="exact"/>
        <w:ind w:firstLine="480" w:firstLineChars="200"/>
        <w:jc w:val="left"/>
        <w:rPr>
          <w:rFonts w:eastAsia="方正仿宋_GBK"/>
          <w:color w:val="000000"/>
          <w:kern w:val="0"/>
          <w:sz w:val="24"/>
        </w:rPr>
      </w:pPr>
      <w:r>
        <w:rPr>
          <w:rFonts w:eastAsia="方正仿宋_GBK"/>
          <w:color w:val="000000"/>
          <w:kern w:val="0"/>
          <w:sz w:val="24"/>
        </w:rPr>
        <w:t xml:space="preserve">1. </w:t>
      </w:r>
      <w:r>
        <w:rPr>
          <w:rFonts w:hint="eastAsia" w:eastAsia="方正仿宋_GBK"/>
          <w:color w:val="000000"/>
          <w:kern w:val="0"/>
          <w:sz w:val="24"/>
        </w:rPr>
        <w:t>考核申请联系方式</w:t>
      </w:r>
      <w:r>
        <w:rPr>
          <w:rFonts w:eastAsia="方正仿宋_GBK"/>
          <w:color w:val="000000"/>
          <w:kern w:val="0"/>
          <w:sz w:val="24"/>
        </w:rPr>
        <w:t xml:space="preserve">   </w:t>
      </w:r>
      <w:r>
        <w:rPr>
          <w:rFonts w:hint="eastAsia" w:eastAsia="方正仿宋_GBK"/>
          <w:color w:val="000000"/>
          <w:kern w:val="0"/>
          <w:sz w:val="24"/>
        </w:rPr>
        <w:t>徐锋</w:t>
      </w:r>
      <w:r>
        <w:rPr>
          <w:rFonts w:eastAsia="方正仿宋_GBK"/>
          <w:color w:val="000000"/>
          <w:kern w:val="0"/>
          <w:sz w:val="24"/>
        </w:rPr>
        <w:t xml:space="preserve">  025-51868676</w:t>
      </w:r>
    </w:p>
    <w:p>
      <w:pPr>
        <w:shd w:val="clear" w:color="auto" w:fill="FFFFFF"/>
        <w:spacing w:line="460" w:lineRule="exact"/>
        <w:ind w:firstLine="480" w:firstLineChars="200"/>
        <w:jc w:val="left"/>
        <w:rPr>
          <w:rFonts w:eastAsia="方正仿宋_GBK"/>
          <w:color w:val="000000"/>
          <w:kern w:val="0"/>
          <w:sz w:val="24"/>
        </w:rPr>
      </w:pPr>
      <w:r>
        <w:rPr>
          <w:rFonts w:eastAsia="方正仿宋_GBK"/>
          <w:color w:val="000000"/>
          <w:kern w:val="0"/>
          <w:sz w:val="24"/>
        </w:rPr>
        <w:t xml:space="preserve">2. </w:t>
      </w:r>
      <w:r>
        <w:rPr>
          <w:rFonts w:hint="eastAsia" w:eastAsia="方正仿宋_GBK"/>
          <w:color w:val="000000"/>
          <w:kern w:val="0"/>
          <w:sz w:val="24"/>
        </w:rPr>
        <w:t>证书管理联系方式</w:t>
      </w:r>
      <w:r>
        <w:rPr>
          <w:rFonts w:eastAsia="方正仿宋_GBK"/>
          <w:color w:val="000000"/>
          <w:kern w:val="0"/>
          <w:sz w:val="24"/>
        </w:rPr>
        <w:t xml:space="preserve">   </w:t>
      </w:r>
      <w:r>
        <w:rPr>
          <w:rFonts w:hint="eastAsia" w:eastAsia="方正仿宋_GBK"/>
          <w:color w:val="000000"/>
          <w:kern w:val="0"/>
          <w:sz w:val="24"/>
        </w:rPr>
        <w:t>蒋衍</w:t>
      </w:r>
      <w:r>
        <w:rPr>
          <w:rFonts w:eastAsia="方正仿宋_GBK"/>
          <w:color w:val="000000"/>
          <w:kern w:val="0"/>
          <w:sz w:val="24"/>
        </w:rPr>
        <w:t xml:space="preserve">  025-51868235</w:t>
      </w:r>
    </w:p>
    <w:p>
      <w:pPr>
        <w:shd w:val="clear" w:color="auto" w:fill="FFFFFF"/>
        <w:spacing w:line="460" w:lineRule="exact"/>
        <w:ind w:firstLine="480" w:firstLineChars="200"/>
        <w:jc w:val="right"/>
        <w:rPr>
          <w:rFonts w:eastAsia="方正仿宋_GBK"/>
          <w:color w:val="000000"/>
          <w:kern w:val="0"/>
          <w:sz w:val="24"/>
        </w:rPr>
      </w:pPr>
      <w:r>
        <w:rPr>
          <w:rFonts w:hint="eastAsia" w:eastAsia="方正仿宋_GBK"/>
          <w:color w:val="000000"/>
          <w:kern w:val="0"/>
          <w:sz w:val="24"/>
        </w:rPr>
        <w:t>江苏省住房和城乡建设厅</w:t>
      </w:r>
    </w:p>
    <w:p>
      <w:pPr>
        <w:spacing w:line="460" w:lineRule="exact"/>
        <w:rPr>
          <w:rFonts w:eastAsia="方正仿宋_GBK"/>
          <w:color w:val="000000"/>
          <w:spacing w:val="-2"/>
          <w:sz w:val="24"/>
        </w:rPr>
      </w:pPr>
      <w:r>
        <w:rPr>
          <w:rFonts w:eastAsia="方正仿宋_GBK"/>
          <w:color w:val="000000"/>
          <w:kern w:val="0"/>
          <w:sz w:val="24"/>
        </w:rPr>
        <w:t xml:space="preserve">                                                     2017</w:t>
      </w:r>
      <w:r>
        <w:rPr>
          <w:rFonts w:hint="eastAsia" w:eastAsia="方正仿宋_GBK"/>
          <w:color w:val="000000"/>
          <w:kern w:val="0"/>
          <w:sz w:val="24"/>
        </w:rPr>
        <w:t>年</w:t>
      </w:r>
      <w:r>
        <w:rPr>
          <w:rFonts w:eastAsia="方正仿宋_GBK"/>
          <w:color w:val="000000"/>
          <w:kern w:val="0"/>
          <w:sz w:val="24"/>
        </w:rPr>
        <w:t>9</w:t>
      </w:r>
      <w:r>
        <w:rPr>
          <w:rFonts w:hint="eastAsia" w:eastAsia="方正仿宋_GBK"/>
          <w:color w:val="000000"/>
          <w:kern w:val="0"/>
          <w:sz w:val="24"/>
        </w:rPr>
        <w:t>月</w:t>
      </w:r>
      <w:r>
        <w:rPr>
          <w:rFonts w:eastAsia="方正仿宋_GBK"/>
          <w:color w:val="000000"/>
          <w:kern w:val="0"/>
          <w:sz w:val="24"/>
        </w:rPr>
        <w:t>11</w:t>
      </w:r>
      <w:r>
        <w:rPr>
          <w:rFonts w:hint="eastAsia" w:eastAsia="方正仿宋_GBK"/>
          <w:color w:val="000000"/>
          <w:kern w:val="0"/>
          <w:sz w:val="24"/>
        </w:rPr>
        <w:t>日</w:t>
      </w:r>
    </w:p>
    <w:p>
      <w:pPr>
        <w:pStyle w:val="2"/>
        <w:spacing w:before="240" w:beforeLines="100" w:after="240" w:afterLines="100" w:line="240" w:lineRule="auto"/>
        <w:jc w:val="center"/>
        <w:rPr>
          <w:rFonts w:ascii="Times New Roman" w:eastAsia="方正小标宋_GBK"/>
          <w:b w:val="0"/>
          <w:sz w:val="36"/>
          <w:szCs w:val="36"/>
        </w:rPr>
      </w:pPr>
      <w:bookmarkStart w:id="639" w:name="_Toc20726665"/>
      <w:bookmarkStart w:id="640" w:name="_Toc18315805"/>
      <w:bookmarkStart w:id="641" w:name="_Toc20726676"/>
      <w:bookmarkStart w:id="642" w:name="_Toc18315813"/>
      <w:r>
        <w:rPr>
          <w:rFonts w:hint="eastAsia" w:ascii="Times New Roman" w:eastAsia="方正小标宋_GBK"/>
          <w:b w:val="0"/>
          <w:sz w:val="36"/>
          <w:szCs w:val="36"/>
        </w:rPr>
        <w:t>江苏省住房和城乡建设厅关于试行调整部分</w:t>
      </w:r>
      <w:bookmarkEnd w:id="639"/>
      <w:bookmarkEnd w:id="640"/>
      <w:bookmarkStart w:id="643" w:name="_Toc18315806"/>
      <w:bookmarkStart w:id="644" w:name="_Toc20726666"/>
      <w:r>
        <w:rPr>
          <w:rFonts w:hint="eastAsia" w:ascii="Times New Roman" w:eastAsia="方正小标宋_GBK"/>
          <w:b w:val="0"/>
          <w:sz w:val="36"/>
          <w:szCs w:val="36"/>
        </w:rPr>
        <w:t>江苏省二级造价工程师职业资格</w:t>
      </w:r>
      <w:bookmarkEnd w:id="643"/>
      <w:bookmarkEnd w:id="644"/>
      <w:bookmarkStart w:id="645" w:name="_Toc20726667"/>
      <w:bookmarkStart w:id="646" w:name="_Toc18315807"/>
      <w:r>
        <w:rPr>
          <w:rFonts w:hint="eastAsia" w:ascii="Times New Roman" w:eastAsia="方正小标宋_GBK"/>
          <w:b w:val="0"/>
          <w:sz w:val="36"/>
          <w:szCs w:val="36"/>
        </w:rPr>
        <w:t>考试实施办法(试行)</w:t>
      </w:r>
      <w:bookmarkEnd w:id="645"/>
      <w:bookmarkEnd w:id="646"/>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647" w:name="_Toc18315808"/>
      <w:bookmarkStart w:id="648" w:name="_Toc20726668"/>
      <w:r>
        <w:rPr>
          <w:rFonts w:hint="eastAsia" w:ascii="Times New Roman" w:hAnsi="Times New Roman" w:eastAsia="方正楷体_GBK"/>
          <w:b w:val="0"/>
          <w:sz w:val="24"/>
          <w:szCs w:val="24"/>
        </w:rPr>
        <w:t>苏建规字〔</w:t>
      </w:r>
      <w:r>
        <w:rPr>
          <w:rFonts w:ascii="Times New Roman" w:hAnsi="Times New Roman" w:eastAsia="方正楷体_GBK"/>
          <w:b w:val="0"/>
          <w:sz w:val="24"/>
          <w:szCs w:val="24"/>
        </w:rPr>
        <w:t>2019</w:t>
      </w:r>
      <w:r>
        <w:rPr>
          <w:rFonts w:hint="eastAsia" w:ascii="Times New Roman" w:hAnsi="Times New Roman" w:eastAsia="方正楷体_GBK"/>
          <w:b w:val="0"/>
          <w:sz w:val="24"/>
          <w:szCs w:val="24"/>
        </w:rPr>
        <w:t>〕</w:t>
      </w:r>
      <w:r>
        <w:rPr>
          <w:rFonts w:ascii="Times New Roman" w:hAnsi="Times New Roman" w:eastAsia="方正楷体_GBK"/>
          <w:b w:val="0"/>
          <w:sz w:val="24"/>
          <w:szCs w:val="24"/>
        </w:rPr>
        <w:t>3</w:t>
      </w:r>
      <w:r>
        <w:rPr>
          <w:rFonts w:hint="eastAsia" w:ascii="Times New Roman" w:hAnsi="Times New Roman" w:eastAsia="方正楷体_GBK"/>
          <w:b w:val="0"/>
          <w:sz w:val="24"/>
          <w:szCs w:val="24"/>
        </w:rPr>
        <w:t>号</w:t>
      </w:r>
      <w:bookmarkEnd w:id="647"/>
      <w:bookmarkEnd w:id="648"/>
    </w:p>
    <w:p>
      <w:pPr>
        <w:spacing w:line="460" w:lineRule="exact"/>
        <w:ind w:firstLine="480" w:firstLineChars="200"/>
        <w:rPr>
          <w:rFonts w:eastAsia="方正仿宋_GBK" w:cs="仿宋_GB2312"/>
          <w:color w:val="000000"/>
          <w:sz w:val="24"/>
        </w:rPr>
      </w:pPr>
      <w:r>
        <w:rPr>
          <w:rFonts w:hint="eastAsia" w:ascii="Times New Roman" w:hAnsi="Times New Roman" w:eastAsia="黑体" w:cs="仿宋_GB2312"/>
          <w:color w:val="000000"/>
          <w:sz w:val="24"/>
        </w:rPr>
        <w:t xml:space="preserve">第一条  </w:t>
      </w:r>
      <w:r>
        <w:rPr>
          <w:rFonts w:hint="eastAsia" w:eastAsia="方正仿宋_GBK" w:cs="仿宋_GB2312"/>
          <w:color w:val="000000"/>
          <w:sz w:val="24"/>
        </w:rPr>
        <w:t>根据住房城乡建设部、交通运输部、水利部、人力资源社会保障部《造价工程师职业资格制度规定》和《造价工程师职业资格考试实施办法》有关规定，为做好我省二级造价工程师职业资格考试工作，制定本办法。</w:t>
      </w:r>
    </w:p>
    <w:p>
      <w:pPr>
        <w:spacing w:line="460" w:lineRule="exact"/>
        <w:ind w:firstLine="660"/>
        <w:rPr>
          <w:rFonts w:eastAsia="方正仿宋_GBK" w:cs="仿宋_GB2312"/>
          <w:color w:val="000000"/>
          <w:sz w:val="24"/>
        </w:rPr>
      </w:pPr>
      <w:r>
        <w:rPr>
          <w:rFonts w:hint="eastAsia" w:ascii="Times New Roman" w:hAnsi="Times New Roman" w:eastAsia="黑体" w:cs="仿宋_GB2312"/>
          <w:color w:val="000000"/>
          <w:sz w:val="24"/>
        </w:rPr>
        <w:t xml:space="preserve">第二条  </w:t>
      </w:r>
      <w:r>
        <w:rPr>
          <w:rFonts w:hint="eastAsia" w:eastAsia="方正仿宋_GBK" w:cs="仿宋_GB2312"/>
          <w:color w:val="000000"/>
          <w:sz w:val="24"/>
        </w:rPr>
        <w:t>省住房城乡建设厅、省交通运输厅、省水利厅、省人力资源社会保障厅按照职责分工负责实施与监管我省二级造价工程师职业资格考试。</w:t>
      </w:r>
    </w:p>
    <w:p>
      <w:pPr>
        <w:spacing w:line="460" w:lineRule="exact"/>
        <w:ind w:firstLine="645"/>
        <w:rPr>
          <w:rFonts w:eastAsia="方正仿宋_GBK" w:cs="仿宋_GB2312"/>
          <w:color w:val="000000"/>
          <w:sz w:val="24"/>
        </w:rPr>
      </w:pPr>
      <w:r>
        <w:rPr>
          <w:rFonts w:hint="eastAsia" w:eastAsia="方正仿宋_GBK" w:cs="仿宋_GB2312"/>
          <w:color w:val="000000"/>
          <w:sz w:val="24"/>
        </w:rPr>
        <w:t>省住房城乡建设厅、省交通运输厅、省水利厅共同负责二级造价工程师职业资格考试的命审题、阅卷等工作。省住房城乡建设厅负责基础科目和各专业科目的命审题组织及管理工作。省交通运输厅和省水利厅分别负责交通运输工程专业、水利工程专业命题专家的选派工作。省人力资源社会保障厅会同省住房城乡建设厅、省交通运输厅、省水利厅确定合格标准、公布考试结果、核发合格证书。</w:t>
      </w:r>
    </w:p>
    <w:p>
      <w:pPr>
        <w:spacing w:line="460" w:lineRule="exact"/>
        <w:ind w:firstLine="645"/>
        <w:rPr>
          <w:rFonts w:eastAsia="方正仿宋_GBK" w:cs="仿宋_GB2312"/>
          <w:color w:val="000000"/>
          <w:sz w:val="24"/>
        </w:rPr>
      </w:pPr>
      <w:r>
        <w:rPr>
          <w:rFonts w:hint="eastAsia" w:eastAsia="方正仿宋_GBK" w:cs="仿宋_GB2312"/>
          <w:color w:val="000000"/>
          <w:sz w:val="24"/>
        </w:rPr>
        <w:t>二级造价工程师资格考试具体命题、考务工作委托省住房城乡建设厅执业资格考试与注册中心承担，省人事考试中心参与。</w:t>
      </w:r>
    </w:p>
    <w:p>
      <w:pPr>
        <w:spacing w:line="460" w:lineRule="exact"/>
        <w:ind w:firstLine="480" w:firstLineChars="200"/>
        <w:rPr>
          <w:rFonts w:eastAsia="方正仿宋_GBK" w:cs="仿宋_GB2312"/>
          <w:color w:val="000000"/>
          <w:sz w:val="24"/>
        </w:rPr>
      </w:pPr>
      <w:r>
        <w:rPr>
          <w:rFonts w:hint="eastAsia" w:ascii="Times New Roman" w:hAnsi="Times New Roman" w:eastAsia="黑体" w:cs="仿宋_GB2312"/>
          <w:color w:val="000000"/>
          <w:sz w:val="24"/>
        </w:rPr>
        <w:t>第三条</w:t>
      </w:r>
      <w:r>
        <w:rPr>
          <w:rFonts w:eastAsia="方正仿宋_GBK" w:cs="仿宋_GB2312"/>
          <w:color w:val="000000"/>
          <w:sz w:val="24"/>
        </w:rPr>
        <w:t xml:space="preserve">  </w:t>
      </w:r>
      <w:r>
        <w:rPr>
          <w:rFonts w:hint="eastAsia" w:eastAsia="方正仿宋_GBK" w:cs="仿宋_GB2312"/>
          <w:color w:val="000000"/>
          <w:sz w:val="24"/>
        </w:rPr>
        <w:t>二级造价工程师职业资格考试设《建设工程造价管理基础知识》和《建设工程计量与计价实务》</w:t>
      </w:r>
      <w:r>
        <w:rPr>
          <w:rFonts w:eastAsia="方正仿宋_GBK" w:cs="仿宋_GB2312"/>
          <w:color w:val="000000"/>
          <w:sz w:val="24"/>
        </w:rPr>
        <w:t>2</w:t>
      </w:r>
      <w:r>
        <w:rPr>
          <w:rFonts w:hint="eastAsia" w:eastAsia="方正仿宋_GBK" w:cs="仿宋_GB2312"/>
          <w:color w:val="000000"/>
          <w:sz w:val="24"/>
        </w:rPr>
        <w:t>个科目。考试分</w:t>
      </w:r>
      <w:r>
        <w:rPr>
          <w:rFonts w:eastAsia="方正仿宋_GBK" w:cs="仿宋_GB2312"/>
          <w:color w:val="000000"/>
          <w:sz w:val="24"/>
        </w:rPr>
        <w:t>2</w:t>
      </w:r>
      <w:r>
        <w:rPr>
          <w:rFonts w:hint="eastAsia" w:eastAsia="方正仿宋_GBK" w:cs="仿宋_GB2312"/>
          <w:color w:val="000000"/>
          <w:sz w:val="24"/>
        </w:rPr>
        <w:t>个半天。其中，《建设工程造价管理基础知识》为基础科目，考试时间为</w:t>
      </w:r>
      <w:r>
        <w:rPr>
          <w:rFonts w:eastAsia="方正仿宋_GBK" w:cs="仿宋_GB2312"/>
          <w:color w:val="000000"/>
          <w:sz w:val="24"/>
        </w:rPr>
        <w:t>2.5</w:t>
      </w:r>
      <w:r>
        <w:rPr>
          <w:rFonts w:hint="eastAsia" w:eastAsia="方正仿宋_GBK" w:cs="仿宋_GB2312"/>
          <w:color w:val="000000"/>
          <w:sz w:val="24"/>
        </w:rPr>
        <w:t>小时；《建设工程计量与计价实务》为专业科目，考试时间为</w:t>
      </w:r>
      <w:r>
        <w:rPr>
          <w:rFonts w:eastAsia="方正仿宋_GBK" w:cs="仿宋_GB2312"/>
          <w:color w:val="000000"/>
          <w:sz w:val="24"/>
        </w:rPr>
        <w:t>3</w:t>
      </w:r>
      <w:r>
        <w:rPr>
          <w:rFonts w:hint="eastAsia" w:eastAsia="方正仿宋_GBK" w:cs="仿宋_GB2312"/>
          <w:color w:val="000000"/>
          <w:sz w:val="24"/>
        </w:rPr>
        <w:t>小时。</w:t>
      </w:r>
      <w:r>
        <w:rPr>
          <w:rFonts w:eastAsia="方正仿宋_GBK" w:cs="仿宋_GB2312"/>
          <w:color w:val="000000"/>
          <w:sz w:val="24"/>
        </w:rPr>
        <w:t xml:space="preserve"> </w:t>
      </w:r>
    </w:p>
    <w:p>
      <w:pPr>
        <w:spacing w:line="460" w:lineRule="exact"/>
        <w:ind w:firstLine="480" w:firstLineChars="200"/>
        <w:rPr>
          <w:rFonts w:eastAsia="方正仿宋_GBK" w:cs="仿宋_GB2312"/>
          <w:color w:val="000000"/>
          <w:sz w:val="24"/>
        </w:rPr>
      </w:pPr>
      <w:r>
        <w:rPr>
          <w:rFonts w:hint="eastAsia" w:ascii="Times New Roman" w:hAnsi="Times New Roman" w:eastAsia="黑体" w:cs="仿宋_GB2312"/>
          <w:color w:val="000000"/>
          <w:sz w:val="24"/>
        </w:rPr>
        <w:t xml:space="preserve">第四条  </w:t>
      </w:r>
      <w:r>
        <w:rPr>
          <w:rFonts w:hint="eastAsia" w:eastAsia="方正仿宋_GBK" w:cs="仿宋_GB2312"/>
          <w:color w:val="000000"/>
          <w:sz w:val="24"/>
        </w:rPr>
        <w:t>二级造价工程师职业资格考试专业科目分土木建筑工程、交通运输工程、水利水电工程和安装工程</w:t>
      </w:r>
      <w:r>
        <w:rPr>
          <w:rFonts w:eastAsia="方正仿宋_GBK" w:cs="仿宋_GB2312"/>
          <w:color w:val="000000"/>
          <w:sz w:val="24"/>
        </w:rPr>
        <w:t>4</w:t>
      </w:r>
      <w:r>
        <w:rPr>
          <w:rFonts w:hint="eastAsia" w:eastAsia="方正仿宋_GBK" w:cs="仿宋_GB2312"/>
          <w:color w:val="000000"/>
          <w:sz w:val="24"/>
        </w:rPr>
        <w:t>个专业类别，考生在报名时可根据实际工作需要选择其一。其中，土木建筑工程、安装工程专业由省住房城乡建设厅负责；交通运输工程专业由省交通运输厅负责；水利工程专业由省水利厅负责。</w:t>
      </w:r>
      <w:r>
        <w:rPr>
          <w:rFonts w:eastAsia="方正仿宋_GBK" w:cs="仿宋_GB2312"/>
          <w:color w:val="000000"/>
          <w:sz w:val="24"/>
        </w:rPr>
        <w:t xml:space="preserve">  </w:t>
      </w:r>
    </w:p>
    <w:p>
      <w:pPr>
        <w:spacing w:line="460" w:lineRule="exact"/>
        <w:ind w:firstLine="630"/>
        <w:rPr>
          <w:rFonts w:eastAsia="方正仿宋_GBK" w:cs="仿宋_GB2312"/>
          <w:color w:val="000000"/>
          <w:sz w:val="24"/>
        </w:rPr>
      </w:pPr>
      <w:r>
        <w:rPr>
          <w:rFonts w:hint="eastAsia" w:ascii="Times New Roman" w:hAnsi="Times New Roman" w:eastAsia="黑体" w:cs="仿宋_GB2312"/>
          <w:color w:val="000000"/>
          <w:sz w:val="24"/>
        </w:rPr>
        <w:t>第五条</w:t>
      </w:r>
      <w:r>
        <w:rPr>
          <w:rFonts w:eastAsia="方正仿宋_GBK" w:cs="仿宋_GB2312"/>
          <w:color w:val="000000"/>
          <w:sz w:val="24"/>
        </w:rPr>
        <w:t xml:space="preserve">  </w:t>
      </w:r>
      <w:r>
        <w:rPr>
          <w:rFonts w:hint="eastAsia" w:eastAsia="方正仿宋_GBK" w:cs="仿宋_GB2312"/>
          <w:color w:val="000000"/>
          <w:sz w:val="24"/>
        </w:rPr>
        <w:t>二级造价工程师职业资格考试根据全国统一考试大纲，结合我省特点自主命题并组织实施。原则上每年举行</w:t>
      </w:r>
      <w:r>
        <w:rPr>
          <w:rFonts w:eastAsia="方正仿宋_GBK" w:cs="仿宋_GB2312"/>
          <w:color w:val="000000"/>
          <w:sz w:val="24"/>
        </w:rPr>
        <w:t>1</w:t>
      </w:r>
      <w:r>
        <w:rPr>
          <w:rFonts w:hint="eastAsia" w:eastAsia="方正仿宋_GBK" w:cs="仿宋_GB2312"/>
          <w:color w:val="000000"/>
          <w:sz w:val="24"/>
        </w:rPr>
        <w:t>次考试，具体考试日期由省住房城乡建设厅、省交通运输厅、省水利厅会同省人力资源社会保障厅确定并提前向社会公布。</w:t>
      </w:r>
    </w:p>
    <w:p>
      <w:pPr>
        <w:spacing w:line="460" w:lineRule="exact"/>
        <w:ind w:firstLine="480" w:firstLineChars="200"/>
        <w:rPr>
          <w:rFonts w:eastAsia="方正仿宋_GBK" w:cs="仿宋_GB2312"/>
          <w:color w:val="000000"/>
          <w:sz w:val="24"/>
        </w:rPr>
      </w:pPr>
      <w:r>
        <w:rPr>
          <w:rFonts w:hint="eastAsia" w:ascii="Times New Roman" w:hAnsi="Times New Roman" w:eastAsia="黑体" w:cs="仿宋_GB2312"/>
          <w:color w:val="000000"/>
          <w:sz w:val="24"/>
        </w:rPr>
        <w:t>第六条</w:t>
      </w:r>
      <w:r>
        <w:rPr>
          <w:rFonts w:eastAsia="方正仿宋_GBK" w:cs="仿宋_GB2312"/>
          <w:color w:val="000000"/>
          <w:sz w:val="24"/>
        </w:rPr>
        <w:t xml:space="preserve">  </w:t>
      </w:r>
      <w:r>
        <w:rPr>
          <w:rFonts w:hint="eastAsia" w:eastAsia="方正仿宋_GBK" w:cs="仿宋_GB2312"/>
          <w:color w:val="000000"/>
          <w:sz w:val="24"/>
        </w:rPr>
        <w:t>考点原则上设在设区市的标准化考点学校，若应试人员数量较少时可统一设在省会城市。</w:t>
      </w:r>
    </w:p>
    <w:p>
      <w:pPr>
        <w:spacing w:line="460" w:lineRule="exact"/>
        <w:ind w:firstLine="630"/>
        <w:rPr>
          <w:rFonts w:eastAsia="方正仿宋_GBK" w:cs="仿宋_GB2312"/>
          <w:color w:val="000000"/>
          <w:sz w:val="24"/>
        </w:rPr>
      </w:pPr>
      <w:r>
        <w:rPr>
          <w:rFonts w:hint="eastAsia" w:ascii="Times New Roman" w:hAnsi="Times New Roman" w:eastAsia="黑体" w:cs="仿宋_GB2312"/>
          <w:color w:val="000000"/>
          <w:sz w:val="24"/>
        </w:rPr>
        <w:t xml:space="preserve">第七条 </w:t>
      </w:r>
      <w:r>
        <w:rPr>
          <w:rFonts w:eastAsia="方正仿宋_GBK" w:cs="仿宋_GB2312"/>
          <w:color w:val="000000"/>
          <w:sz w:val="24"/>
        </w:rPr>
        <w:t xml:space="preserve"> </w:t>
      </w:r>
      <w:r>
        <w:rPr>
          <w:rFonts w:hint="eastAsia" w:eastAsia="方正仿宋_GBK" w:cs="仿宋_GB2312"/>
          <w:color w:val="000000"/>
          <w:sz w:val="24"/>
        </w:rPr>
        <w:t>报考及免试部分科目条件分别按照住房城乡建设部、交通运输部、水利部、人力资源社会保障部《造价工程师职业资格制度规定》第十三条和《造价工程师职业资格考试实施办法》第九条规定执行。</w:t>
      </w:r>
    </w:p>
    <w:p>
      <w:pPr>
        <w:spacing w:line="460" w:lineRule="exact"/>
        <w:ind w:firstLine="480" w:firstLineChars="200"/>
        <w:rPr>
          <w:rFonts w:eastAsia="方正仿宋_GBK" w:cs="仿宋_GB2312"/>
          <w:color w:val="000000"/>
          <w:sz w:val="24"/>
        </w:rPr>
      </w:pPr>
      <w:r>
        <w:rPr>
          <w:rFonts w:hint="eastAsia" w:ascii="Times New Roman" w:hAnsi="Times New Roman" w:eastAsia="黑体" w:cs="仿宋_GB2312"/>
          <w:color w:val="000000"/>
          <w:sz w:val="24"/>
        </w:rPr>
        <w:t xml:space="preserve">第八条  </w:t>
      </w:r>
      <w:r>
        <w:rPr>
          <w:rFonts w:hint="eastAsia" w:eastAsia="方正仿宋_GBK" w:cs="仿宋_GB2312"/>
          <w:color w:val="000000"/>
          <w:sz w:val="24"/>
        </w:rPr>
        <w:t>已取得二级造价工程师一个专业职业资格证书的人员，报名参加其他专业科目考试的，可免考基础科目。考试合格后，核发省人力资源社会保障厅统一印制的相应专业考试合格证明。该证明做为注册时增加执业专业类别的依据。</w:t>
      </w:r>
    </w:p>
    <w:p>
      <w:pPr>
        <w:spacing w:line="460" w:lineRule="exact"/>
        <w:rPr>
          <w:rFonts w:eastAsia="方正仿宋_GBK" w:cs="仿宋_GB2312"/>
          <w:color w:val="000000"/>
          <w:sz w:val="24"/>
        </w:rPr>
      </w:pPr>
      <w:r>
        <w:rPr>
          <w:rFonts w:eastAsia="方正仿宋_GBK" w:cs="仿宋_GB2312"/>
          <w:color w:val="000000"/>
          <w:sz w:val="24"/>
        </w:rPr>
        <w:t xml:space="preserve">    </w:t>
      </w:r>
      <w:r>
        <w:rPr>
          <w:rFonts w:hint="eastAsia" w:ascii="Times New Roman" w:hAnsi="Times New Roman" w:eastAsia="黑体" w:cs="仿宋_GB2312"/>
          <w:color w:val="000000"/>
          <w:sz w:val="24"/>
        </w:rPr>
        <w:t>第九条</w:t>
      </w:r>
      <w:r>
        <w:rPr>
          <w:rFonts w:eastAsia="方正仿宋_GBK" w:cs="仿宋_GB2312"/>
          <w:color w:val="000000"/>
          <w:sz w:val="24"/>
        </w:rPr>
        <w:t xml:space="preserve">  </w:t>
      </w:r>
      <w:r>
        <w:rPr>
          <w:rFonts w:hint="eastAsia" w:eastAsia="方正仿宋_GBK" w:cs="仿宋_GB2312"/>
          <w:color w:val="000000"/>
          <w:sz w:val="24"/>
        </w:rPr>
        <w:t>二级造价工程师职业资格考试成绩实行</w:t>
      </w:r>
      <w:r>
        <w:rPr>
          <w:rFonts w:eastAsia="方正仿宋_GBK" w:cs="仿宋_GB2312"/>
          <w:color w:val="000000"/>
          <w:sz w:val="24"/>
        </w:rPr>
        <w:t>2</w:t>
      </w:r>
      <w:r>
        <w:rPr>
          <w:rFonts w:hint="eastAsia" w:eastAsia="方正仿宋_GBK" w:cs="仿宋_GB2312"/>
          <w:color w:val="000000"/>
          <w:sz w:val="24"/>
        </w:rPr>
        <w:t>年为一个周期的滚动管理办法，参加全部</w:t>
      </w:r>
      <w:r>
        <w:rPr>
          <w:rFonts w:eastAsia="方正仿宋_GBK" w:cs="仿宋_GB2312"/>
          <w:color w:val="000000"/>
          <w:sz w:val="24"/>
        </w:rPr>
        <w:t>2</w:t>
      </w:r>
      <w:r>
        <w:rPr>
          <w:rFonts w:hint="eastAsia" w:eastAsia="方正仿宋_GBK" w:cs="仿宋_GB2312"/>
          <w:color w:val="000000"/>
          <w:sz w:val="24"/>
        </w:rPr>
        <w:t>个科目考试的人员必须在连续的</w:t>
      </w:r>
      <w:r>
        <w:rPr>
          <w:rFonts w:eastAsia="方正仿宋_GBK" w:cs="仿宋_GB2312"/>
          <w:color w:val="000000"/>
          <w:sz w:val="24"/>
        </w:rPr>
        <w:t>2</w:t>
      </w:r>
      <w:r>
        <w:rPr>
          <w:rFonts w:hint="eastAsia" w:eastAsia="方正仿宋_GBK" w:cs="仿宋_GB2312"/>
          <w:color w:val="000000"/>
          <w:sz w:val="24"/>
        </w:rPr>
        <w:t>个考试年度内通过全部科目，方可取得二级造价工程师职业资格证书。</w:t>
      </w:r>
    </w:p>
    <w:p>
      <w:pPr>
        <w:spacing w:line="460" w:lineRule="exact"/>
        <w:ind w:firstLine="630"/>
        <w:rPr>
          <w:rFonts w:eastAsia="方正仿宋_GBK" w:cs="仿宋_GB2312"/>
          <w:color w:val="000000"/>
          <w:sz w:val="24"/>
        </w:rPr>
      </w:pPr>
      <w:r>
        <w:rPr>
          <w:rFonts w:hint="eastAsia" w:ascii="Times New Roman" w:hAnsi="Times New Roman" w:eastAsia="黑体" w:cs="仿宋_GB2312"/>
          <w:color w:val="000000"/>
          <w:sz w:val="24"/>
        </w:rPr>
        <w:t>第十条</w:t>
      </w:r>
      <w:r>
        <w:rPr>
          <w:rFonts w:eastAsia="方正仿宋_GBK" w:cs="仿宋_GB2312"/>
          <w:color w:val="000000"/>
          <w:sz w:val="24"/>
        </w:rPr>
        <w:t xml:space="preserve">  </w:t>
      </w:r>
      <w:r>
        <w:rPr>
          <w:rFonts w:hint="eastAsia" w:eastAsia="方正仿宋_GBK" w:cs="仿宋_GB2312"/>
          <w:color w:val="000000"/>
          <w:sz w:val="24"/>
        </w:rPr>
        <w:t>二级造价工程师职业资格考试合格者，由省人力资源社会保障厅颁发中华人民共和国二级造价工程师职业资格证书。该证书由省住房城乡建设厅、交通运输厅、水利厅按专业类别分别与省人力资源社会保障厅用印。</w:t>
      </w:r>
    </w:p>
    <w:p>
      <w:pPr>
        <w:spacing w:line="460" w:lineRule="exact"/>
        <w:ind w:firstLine="630"/>
        <w:rPr>
          <w:rFonts w:eastAsia="方正仿宋_GBK" w:cs="仿宋_GB2312"/>
          <w:color w:val="000000"/>
          <w:sz w:val="24"/>
        </w:rPr>
      </w:pPr>
      <w:r>
        <w:rPr>
          <w:rFonts w:hint="eastAsia" w:ascii="Times New Roman" w:hAnsi="Times New Roman" w:eastAsia="黑体" w:cs="仿宋_GB2312"/>
          <w:color w:val="000000"/>
          <w:sz w:val="24"/>
        </w:rPr>
        <w:t xml:space="preserve">第十一条 </w:t>
      </w:r>
      <w:r>
        <w:rPr>
          <w:rFonts w:eastAsia="方正仿宋_GBK" w:cs="仿宋_GB2312"/>
          <w:color w:val="000000"/>
          <w:sz w:val="24"/>
        </w:rPr>
        <w:t xml:space="preserve"> </w:t>
      </w:r>
      <w:r>
        <w:rPr>
          <w:rFonts w:hint="eastAsia" w:eastAsia="方正仿宋_GBK" w:cs="仿宋_GB2312"/>
          <w:color w:val="000000"/>
          <w:sz w:val="24"/>
        </w:rPr>
        <w:t>二级造价工程师职业资格考试按照我省专业技术资格考试资格审查要求，实行考前资格抽查和考后资格审查相结合的模式。应试人员在报名时应承诺报考信息真实且符合报考资格，不得提供虚假信息。</w:t>
      </w:r>
    </w:p>
    <w:p>
      <w:pPr>
        <w:spacing w:line="460" w:lineRule="exact"/>
        <w:ind w:firstLine="630"/>
        <w:rPr>
          <w:rFonts w:eastAsia="方正仿宋_GBK" w:cs="仿宋_GB2312"/>
          <w:color w:val="000000"/>
          <w:sz w:val="24"/>
        </w:rPr>
      </w:pPr>
      <w:r>
        <w:rPr>
          <w:rFonts w:hint="eastAsia" w:eastAsia="方正仿宋_GBK" w:cs="仿宋_GB2312"/>
          <w:color w:val="000000"/>
          <w:sz w:val="24"/>
        </w:rPr>
        <w:t>资格审查部门应加强对学历、从业经历等考试资格条件的审核。对以不正当手段取得造价工程师职业资格证书的，按照国家专业技术人员资格考试有关规定处理。</w:t>
      </w:r>
    </w:p>
    <w:p>
      <w:pPr>
        <w:spacing w:line="460" w:lineRule="exact"/>
        <w:ind w:firstLine="630"/>
        <w:rPr>
          <w:rFonts w:eastAsia="方正仿宋_GBK" w:cs="仿宋_GB2312"/>
          <w:color w:val="000000"/>
          <w:sz w:val="24"/>
        </w:rPr>
      </w:pPr>
      <w:r>
        <w:rPr>
          <w:rFonts w:hint="eastAsia" w:ascii="Times New Roman" w:hAnsi="Times New Roman" w:eastAsia="黑体" w:cs="仿宋_GB2312"/>
          <w:color w:val="000000"/>
          <w:sz w:val="24"/>
        </w:rPr>
        <w:t>第十二条</w:t>
      </w:r>
      <w:r>
        <w:rPr>
          <w:rFonts w:eastAsia="方正仿宋_GBK" w:cs="仿宋_GB2312"/>
          <w:color w:val="000000"/>
          <w:sz w:val="24"/>
        </w:rPr>
        <w:t xml:space="preserve">  </w:t>
      </w:r>
      <w:r>
        <w:rPr>
          <w:rFonts w:hint="eastAsia" w:eastAsia="方正仿宋_GBK" w:cs="仿宋_GB2312"/>
          <w:color w:val="000000"/>
          <w:sz w:val="24"/>
        </w:rPr>
        <w:t>二级造价工程师职业资格考试的收费标准须经发改、财政等行政部门批准后，向社会公布，接受群众监督。</w:t>
      </w:r>
    </w:p>
    <w:p>
      <w:pPr>
        <w:spacing w:line="460" w:lineRule="exact"/>
        <w:ind w:firstLine="630"/>
        <w:rPr>
          <w:rFonts w:eastAsia="方正仿宋_GBK" w:cs="仿宋_GB2312"/>
          <w:color w:val="000000"/>
          <w:sz w:val="24"/>
        </w:rPr>
      </w:pPr>
      <w:r>
        <w:rPr>
          <w:rFonts w:hint="eastAsia" w:ascii="Times New Roman" w:hAnsi="Times New Roman" w:eastAsia="黑体" w:cs="仿宋_GB2312"/>
          <w:color w:val="000000"/>
          <w:sz w:val="24"/>
        </w:rPr>
        <w:t>第十三条</w:t>
      </w:r>
      <w:r>
        <w:rPr>
          <w:rFonts w:eastAsia="方正仿宋_GBK" w:cs="仿宋_GB2312"/>
          <w:color w:val="000000"/>
          <w:sz w:val="24"/>
        </w:rPr>
        <w:t xml:space="preserve">  </w:t>
      </w:r>
      <w:r>
        <w:rPr>
          <w:rFonts w:hint="eastAsia" w:eastAsia="方正仿宋_GBK" w:cs="仿宋_GB2312"/>
          <w:color w:val="000000"/>
          <w:sz w:val="24"/>
        </w:rPr>
        <w:t>坚持考试与培训分开的原则。凡参与考试工作（包括命题、审题与组织管理等）的人员，不得参加考试，也不得参加或者举办与考试内容相关的培训工作。应试人员参加相关培训坚持自愿的原则。</w:t>
      </w:r>
    </w:p>
    <w:p>
      <w:pPr>
        <w:spacing w:line="460" w:lineRule="exact"/>
        <w:ind w:firstLine="480" w:firstLineChars="200"/>
        <w:rPr>
          <w:rFonts w:eastAsia="方正仿宋_GBK" w:cs="仿宋_GB2312"/>
          <w:color w:val="000000"/>
          <w:sz w:val="24"/>
        </w:rPr>
      </w:pPr>
      <w:r>
        <w:rPr>
          <w:rFonts w:hint="eastAsia" w:ascii="Times New Roman" w:hAnsi="Times New Roman" w:eastAsia="黑体" w:cs="仿宋_GB2312"/>
          <w:color w:val="000000"/>
          <w:sz w:val="24"/>
        </w:rPr>
        <w:t>第十四条</w:t>
      </w:r>
      <w:r>
        <w:rPr>
          <w:rFonts w:eastAsia="方正仿宋_GBK" w:cs="仿宋_GB2312"/>
          <w:color w:val="000000"/>
          <w:sz w:val="24"/>
        </w:rPr>
        <w:t xml:space="preserve">  </w:t>
      </w:r>
      <w:r>
        <w:rPr>
          <w:rFonts w:hint="eastAsia" w:eastAsia="方正仿宋_GBK" w:cs="仿宋_GB2312"/>
          <w:color w:val="000000"/>
          <w:sz w:val="24"/>
        </w:rPr>
        <w:t>考试实施机构及其工作人员，应当严格执行国家人事考试工作人员纪律规定和考试工作有关规章制度，遵守考试工作纪律，切实做好从考试试题的命制到使用等各环节的保密工作，严防泄密。</w:t>
      </w:r>
    </w:p>
    <w:p>
      <w:pPr>
        <w:spacing w:line="460" w:lineRule="exact"/>
        <w:ind w:firstLine="630"/>
        <w:rPr>
          <w:rFonts w:eastAsia="方正仿宋_GBK" w:cs="仿宋_GB2312"/>
          <w:color w:val="000000"/>
          <w:sz w:val="24"/>
        </w:rPr>
      </w:pPr>
      <w:r>
        <w:rPr>
          <w:rFonts w:hint="eastAsia" w:eastAsia="方正仿宋_GBK" w:cs="仿宋_GB2312"/>
          <w:color w:val="000000"/>
          <w:sz w:val="24"/>
        </w:rPr>
        <w:t>对违反考试纪律和有关规定行为的人员，按照国家专业技术人员资格考试违纪违规行为处理规定处理。</w:t>
      </w:r>
    </w:p>
    <w:p>
      <w:pPr>
        <w:spacing w:line="460" w:lineRule="exact"/>
        <w:ind w:firstLine="480" w:firstLineChars="200"/>
        <w:outlineLvl w:val="0"/>
        <w:rPr>
          <w:rFonts w:eastAsia="方正仿宋_GBK"/>
          <w:color w:val="000000"/>
          <w:spacing w:val="-2"/>
          <w:kern w:val="0"/>
          <w:sz w:val="24"/>
        </w:rPr>
      </w:pPr>
      <w:bookmarkStart w:id="649" w:name="_Toc20726669"/>
      <w:bookmarkStart w:id="650" w:name="_Toc20668140"/>
      <w:r>
        <w:rPr>
          <w:rFonts w:hint="eastAsia" w:ascii="Times New Roman" w:hAnsi="Times New Roman" w:eastAsia="黑体" w:cs="仿宋_GB2312"/>
          <w:color w:val="000000"/>
          <w:sz w:val="24"/>
        </w:rPr>
        <w:t>第十五条</w:t>
      </w:r>
      <w:r>
        <w:rPr>
          <w:rFonts w:eastAsia="方正仿宋_GBK" w:cs="仿宋_GB2312"/>
          <w:color w:val="000000"/>
          <w:sz w:val="24"/>
        </w:rPr>
        <w:t xml:space="preserve">  </w:t>
      </w:r>
      <w:r>
        <w:rPr>
          <w:rFonts w:hint="eastAsia" w:eastAsia="方正仿宋_GBK" w:cs="仿宋_GB2312"/>
          <w:color w:val="000000"/>
          <w:sz w:val="24"/>
        </w:rPr>
        <w:t>本办法自</w:t>
      </w:r>
      <w:r>
        <w:rPr>
          <w:rFonts w:eastAsia="方正仿宋_GBK" w:cs="仿宋_GB2312"/>
          <w:color w:val="000000"/>
          <w:sz w:val="24"/>
        </w:rPr>
        <w:t>2019</w:t>
      </w:r>
      <w:r>
        <w:rPr>
          <w:rFonts w:hint="eastAsia" w:eastAsia="方正仿宋_GBK" w:cs="仿宋_GB2312"/>
          <w:color w:val="000000"/>
          <w:sz w:val="24"/>
        </w:rPr>
        <w:t>年</w:t>
      </w:r>
      <w:r>
        <w:rPr>
          <w:rFonts w:eastAsia="方正仿宋_GBK" w:cs="仿宋_GB2312"/>
          <w:color w:val="000000"/>
          <w:sz w:val="24"/>
        </w:rPr>
        <w:t>6</w:t>
      </w:r>
      <w:r>
        <w:rPr>
          <w:rFonts w:hint="eastAsia" w:eastAsia="方正仿宋_GBK" w:cs="仿宋_GB2312"/>
          <w:color w:val="000000"/>
          <w:sz w:val="24"/>
        </w:rPr>
        <w:t>月</w:t>
      </w:r>
      <w:r>
        <w:rPr>
          <w:rFonts w:eastAsia="方正仿宋_GBK" w:cs="仿宋_GB2312"/>
          <w:color w:val="000000"/>
          <w:sz w:val="24"/>
        </w:rPr>
        <w:t>14</w:t>
      </w:r>
      <w:r>
        <w:rPr>
          <w:rFonts w:hint="eastAsia" w:eastAsia="方正仿宋_GBK" w:cs="仿宋_GB2312"/>
          <w:color w:val="000000"/>
          <w:sz w:val="24"/>
        </w:rPr>
        <w:t>日起施行。</w:t>
      </w:r>
      <w:bookmarkEnd w:id="649"/>
      <w:bookmarkEnd w:id="650"/>
    </w:p>
    <w:p>
      <w:pPr>
        <w:pStyle w:val="2"/>
        <w:spacing w:before="240" w:beforeLines="100" w:after="240" w:afterLines="100" w:line="240" w:lineRule="auto"/>
        <w:jc w:val="center"/>
        <w:rPr>
          <w:rFonts w:ascii="Times New Roman" w:eastAsia="方正小标宋_GBK"/>
          <w:b w:val="0"/>
          <w:sz w:val="36"/>
          <w:szCs w:val="36"/>
        </w:rPr>
      </w:pPr>
    </w:p>
    <w:p>
      <w:pPr>
        <w:pStyle w:val="2"/>
        <w:spacing w:before="240" w:beforeLines="100" w:after="240" w:afterLines="100" w:line="240" w:lineRule="auto"/>
        <w:jc w:val="center"/>
        <w:rPr>
          <w:rFonts w:hint="eastAsia" w:ascii="Times New Roman" w:eastAsia="方正小标宋_GBK"/>
          <w:b w:val="0"/>
          <w:sz w:val="36"/>
          <w:szCs w:val="36"/>
        </w:rPr>
      </w:pPr>
      <w:r>
        <w:rPr>
          <w:rFonts w:hint="eastAsia" w:ascii="Times New Roman" w:eastAsia="方正小标宋_GBK"/>
          <w:b w:val="0"/>
          <w:sz w:val="36"/>
          <w:szCs w:val="36"/>
        </w:rPr>
        <w:t>关于印发《江苏省建设工程计价解释与争议调解规定》的通知</w:t>
      </w:r>
      <w:bookmarkEnd w:id="641"/>
      <w:bookmarkEnd w:id="642"/>
    </w:p>
    <w:p>
      <w:pPr>
        <w:pStyle w:val="3"/>
        <w:spacing w:before="240" w:beforeLines="100" w:after="240" w:afterLines="100" w:line="240" w:lineRule="auto"/>
        <w:jc w:val="center"/>
        <w:rPr>
          <w:rFonts w:hint="eastAsia" w:ascii="Times New Roman" w:hAnsi="Times New Roman" w:eastAsia="方正楷体_GBK"/>
          <w:b w:val="0"/>
          <w:sz w:val="24"/>
          <w:szCs w:val="24"/>
        </w:rPr>
      </w:pPr>
      <w:bookmarkStart w:id="651" w:name="_Toc20726677"/>
      <w:bookmarkStart w:id="652" w:name="_Toc18315814"/>
      <w:r>
        <w:rPr>
          <w:rFonts w:hint="eastAsia" w:ascii="Times New Roman" w:hAnsi="Times New Roman" w:eastAsia="方正楷体_GBK"/>
          <w:b w:val="0"/>
          <w:sz w:val="24"/>
          <w:szCs w:val="24"/>
        </w:rPr>
        <w:t>苏建价〔</w:t>
      </w:r>
      <w:r>
        <w:rPr>
          <w:rFonts w:ascii="Times New Roman" w:hAnsi="Times New Roman" w:eastAsia="方正楷体_GBK"/>
          <w:b w:val="0"/>
          <w:sz w:val="24"/>
          <w:szCs w:val="24"/>
        </w:rPr>
        <w:t>2006</w:t>
      </w:r>
      <w:r>
        <w:rPr>
          <w:rFonts w:hint="eastAsia" w:ascii="Times New Roman" w:hAnsi="Times New Roman" w:eastAsia="方正楷体_GBK"/>
          <w:b w:val="0"/>
          <w:sz w:val="24"/>
          <w:szCs w:val="24"/>
        </w:rPr>
        <w:t>〕</w:t>
      </w:r>
      <w:r>
        <w:rPr>
          <w:rFonts w:ascii="Times New Roman" w:hAnsi="Times New Roman" w:eastAsia="方正楷体_GBK"/>
          <w:b w:val="0"/>
          <w:sz w:val="24"/>
          <w:szCs w:val="24"/>
        </w:rPr>
        <w:t>383</w:t>
      </w:r>
      <w:r>
        <w:rPr>
          <w:rFonts w:hint="eastAsia" w:ascii="Times New Roman" w:hAnsi="Times New Roman" w:eastAsia="方正楷体_GBK"/>
          <w:b w:val="0"/>
          <w:sz w:val="24"/>
          <w:szCs w:val="24"/>
        </w:rPr>
        <w:t>号</w:t>
      </w:r>
      <w:bookmarkEnd w:id="651"/>
      <w:bookmarkEnd w:id="652"/>
    </w:p>
    <w:p>
      <w:pPr>
        <w:spacing w:line="460" w:lineRule="exact"/>
        <w:rPr>
          <w:rFonts w:eastAsia="方正仿宋_GBK"/>
          <w:color w:val="000000"/>
          <w:spacing w:val="-2"/>
          <w:kern w:val="0"/>
          <w:sz w:val="24"/>
        </w:rPr>
      </w:pPr>
      <w:r>
        <w:rPr>
          <w:rFonts w:hint="eastAsia" w:eastAsia="方正仿宋_GBK"/>
          <w:color w:val="000000"/>
          <w:spacing w:val="-2"/>
          <w:kern w:val="0"/>
          <w:sz w:val="24"/>
        </w:rPr>
        <w:t>各市建设局（建委）：</w:t>
      </w: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为规范建设工程计价解释与争议调解工作，提高建设工程计价管理工作效率，切实维护工程建设各方主体的合法权益，我们根据国家有关法律法规，制定了《江苏省建设工程计价解释与争议调解规定》，现印发给你们。请结合当地实际情况，建立和完善计价解释与争议调解制度，落实责任部门和人员。</w:t>
      </w:r>
      <w:r>
        <w:rPr>
          <w:rFonts w:eastAsia="方正仿宋_GBK"/>
          <w:color w:val="000000"/>
          <w:spacing w:val="-2"/>
          <w:kern w:val="0"/>
          <w:sz w:val="24"/>
        </w:rPr>
        <w:t> </w:t>
      </w:r>
    </w:p>
    <w:p>
      <w:pPr>
        <w:spacing w:line="460" w:lineRule="exact"/>
        <w:ind w:firstLine="472" w:firstLineChars="200"/>
        <w:rPr>
          <w:rFonts w:eastAsia="方正仿宋_GBK"/>
          <w:color w:val="000000"/>
          <w:spacing w:val="-2"/>
          <w:kern w:val="0"/>
          <w:sz w:val="24"/>
        </w:rPr>
      </w:pPr>
    </w:p>
    <w:p>
      <w:pPr>
        <w:spacing w:line="460" w:lineRule="exact"/>
        <w:ind w:firstLine="472" w:firstLineChars="200"/>
        <w:rPr>
          <w:rFonts w:eastAsia="方正仿宋_GBK"/>
          <w:color w:val="000000"/>
          <w:spacing w:val="-2"/>
          <w:kern w:val="0"/>
          <w:sz w:val="24"/>
        </w:rPr>
      </w:pPr>
      <w:r>
        <w:rPr>
          <w:rFonts w:hint="eastAsia" w:eastAsia="方正仿宋_GBK"/>
          <w:color w:val="000000"/>
          <w:spacing w:val="-2"/>
          <w:kern w:val="0"/>
          <w:sz w:val="24"/>
        </w:rPr>
        <w:t>附件：《江苏省建设工程计价解释与争议调解规定》</w:t>
      </w:r>
    </w:p>
    <w:p>
      <w:pPr>
        <w:spacing w:line="460" w:lineRule="exact"/>
        <w:jc w:val="right"/>
        <w:rPr>
          <w:rFonts w:eastAsia="方正仿宋_GBK"/>
          <w:color w:val="000000"/>
          <w:spacing w:val="-2"/>
          <w:kern w:val="0"/>
          <w:sz w:val="24"/>
        </w:rPr>
      </w:pPr>
      <w:r>
        <w:rPr>
          <w:rFonts w:eastAsia="方正仿宋_GBK"/>
          <w:color w:val="000000"/>
          <w:spacing w:val="-2"/>
          <w:kern w:val="0"/>
          <w:sz w:val="24"/>
        </w:rPr>
        <w:t>                                </w:t>
      </w:r>
    </w:p>
    <w:p>
      <w:pPr>
        <w:spacing w:line="460" w:lineRule="exact"/>
        <w:ind w:right="878" w:rightChars="418" w:firstLine="472" w:firstLineChars="200"/>
        <w:jc w:val="right"/>
        <w:rPr>
          <w:rFonts w:eastAsia="方正仿宋_GBK"/>
          <w:color w:val="000000"/>
          <w:spacing w:val="-2"/>
          <w:kern w:val="0"/>
          <w:sz w:val="24"/>
        </w:rPr>
      </w:pPr>
      <w:r>
        <w:rPr>
          <w:rFonts w:hint="eastAsia" w:eastAsia="方正仿宋_GBK"/>
          <w:color w:val="000000"/>
          <w:spacing w:val="-2"/>
          <w:kern w:val="0"/>
          <w:sz w:val="24"/>
        </w:rPr>
        <w:t>江苏省建设厅</w:t>
      </w:r>
      <w:r>
        <w:rPr>
          <w:rFonts w:eastAsia="方正仿宋_GBK"/>
          <w:color w:val="000000"/>
          <w:spacing w:val="-2"/>
          <w:kern w:val="0"/>
          <w:sz w:val="24"/>
        </w:rPr>
        <w:t xml:space="preserve">      </w:t>
      </w:r>
    </w:p>
    <w:p>
      <w:pPr>
        <w:spacing w:line="460" w:lineRule="exact"/>
        <w:ind w:right="437" w:rightChars="208"/>
        <w:jc w:val="right"/>
        <w:rPr>
          <w:rFonts w:eastAsia="方正仿宋_GBK"/>
          <w:color w:val="000000"/>
          <w:spacing w:val="-2"/>
          <w:kern w:val="0"/>
          <w:sz w:val="24"/>
        </w:rPr>
      </w:pPr>
      <w:r>
        <w:rPr>
          <w:rFonts w:hint="eastAsia" w:eastAsia="方正仿宋_GBK"/>
          <w:color w:val="000000"/>
          <w:spacing w:val="-2"/>
          <w:kern w:val="0"/>
          <w:sz w:val="24"/>
        </w:rPr>
        <w:t>二</w:t>
      </w:r>
      <w:r>
        <w:rPr>
          <w:rFonts w:hint="eastAsia" w:eastAsia="方正仿宋_GBK"/>
          <w:color w:val="000000"/>
          <w:spacing w:val="-2"/>
          <w:sz w:val="24"/>
        </w:rPr>
        <w:t>〇〇</w:t>
      </w:r>
      <w:r>
        <w:rPr>
          <w:rFonts w:hint="eastAsia" w:eastAsia="方正仿宋_GBK"/>
          <w:color w:val="000000"/>
          <w:spacing w:val="-2"/>
          <w:kern w:val="0"/>
          <w:sz w:val="24"/>
        </w:rPr>
        <w:t>六年九月五日</w:t>
      </w:r>
      <w:r>
        <w:rPr>
          <w:rFonts w:eastAsia="方正仿宋_GBK"/>
          <w:color w:val="000000"/>
          <w:spacing w:val="-2"/>
          <w:kern w:val="0"/>
          <w:sz w:val="24"/>
        </w:rPr>
        <w:t xml:space="preserve">    </w:t>
      </w:r>
    </w:p>
    <w:p>
      <w:pPr>
        <w:spacing w:line="460" w:lineRule="exact"/>
        <w:rPr>
          <w:rFonts w:eastAsia="方正仿宋_GBK"/>
          <w:color w:val="000000"/>
          <w:spacing w:val="-2"/>
          <w:kern w:val="0"/>
          <w:sz w:val="24"/>
        </w:rPr>
      </w:pPr>
    </w:p>
    <w:p>
      <w:pPr>
        <w:spacing w:line="460" w:lineRule="exact"/>
        <w:jc w:val="center"/>
        <w:rPr>
          <w:rFonts w:eastAsia="方正仿宋_GBK"/>
          <w:color w:val="000000"/>
          <w:spacing w:val="-2"/>
          <w:sz w:val="24"/>
        </w:rPr>
      </w:pPr>
    </w:p>
    <w:p>
      <w:pPr>
        <w:spacing w:line="460" w:lineRule="exact"/>
        <w:jc w:val="center"/>
        <w:rPr>
          <w:rFonts w:ascii="Times New Roman" w:eastAsia="方正黑体_GBK"/>
          <w:color w:val="000000"/>
          <w:spacing w:val="-2"/>
          <w:sz w:val="36"/>
          <w:szCs w:val="36"/>
        </w:rPr>
      </w:pPr>
      <w:r>
        <w:rPr>
          <w:rFonts w:hint="eastAsia" w:ascii="Times New Roman" w:eastAsia="方正黑体_GBK"/>
          <w:color w:val="000000"/>
          <w:spacing w:val="-2"/>
          <w:sz w:val="36"/>
          <w:szCs w:val="36"/>
        </w:rPr>
        <w:t>江苏省建设工程计价解释与争议调解规定</w:t>
      </w:r>
    </w:p>
    <w:p>
      <w:pPr>
        <w:spacing w:line="460" w:lineRule="exact"/>
        <w:jc w:val="center"/>
        <w:rPr>
          <w:rFonts w:hint="eastAsia" w:eastAsia="方正仿宋_GBK"/>
          <w:b/>
          <w:color w:val="000000"/>
          <w:spacing w:val="-2"/>
          <w:sz w:val="24"/>
        </w:rPr>
      </w:pPr>
    </w:p>
    <w:p>
      <w:pPr>
        <w:spacing w:line="460" w:lineRule="exact"/>
        <w:jc w:val="center"/>
        <w:rPr>
          <w:rFonts w:ascii="Times New Roman" w:eastAsia="方正黑体_GBK"/>
          <w:color w:val="000000"/>
          <w:spacing w:val="-2"/>
          <w:sz w:val="24"/>
        </w:rPr>
      </w:pPr>
      <w:r>
        <w:rPr>
          <w:rFonts w:hint="eastAsia" w:ascii="Times New Roman" w:eastAsia="方正黑体_GBK"/>
          <w:color w:val="000000"/>
          <w:spacing w:val="-2"/>
          <w:sz w:val="24"/>
        </w:rPr>
        <w:t>第一章  总    则</w:t>
      </w:r>
    </w:p>
    <w:p>
      <w:pPr>
        <w:spacing w:line="460" w:lineRule="exact"/>
        <w:ind w:firstLine="474" w:firstLineChars="200"/>
        <w:rPr>
          <w:rFonts w:hint="eastAsia" w:eastAsia="方正仿宋_GBK"/>
          <w:b/>
          <w:color w:val="000000"/>
          <w:spacing w:val="-2"/>
          <w:sz w:val="24"/>
        </w:rPr>
      </w:pPr>
    </w:p>
    <w:p>
      <w:pPr>
        <w:spacing w:line="460" w:lineRule="exact"/>
        <w:ind w:firstLine="472" w:firstLineChars="200"/>
        <w:rPr>
          <w:rFonts w:eastAsia="方正仿宋_GBK"/>
          <w:color w:val="000000"/>
          <w:spacing w:val="-6"/>
          <w:sz w:val="24"/>
        </w:rPr>
      </w:pPr>
      <w:r>
        <w:rPr>
          <w:rFonts w:hint="eastAsia" w:ascii="Times New Roman" w:eastAsia="方正黑体_GBK"/>
          <w:color w:val="000000"/>
          <w:spacing w:val="-2"/>
          <w:sz w:val="24"/>
        </w:rPr>
        <w:t>第一条</w:t>
      </w:r>
      <w:r>
        <w:rPr>
          <w:rFonts w:eastAsia="方正仿宋_GBK"/>
          <w:color w:val="000000"/>
          <w:spacing w:val="-2"/>
          <w:sz w:val="24"/>
        </w:rPr>
        <w:t xml:space="preserve">  </w:t>
      </w:r>
      <w:r>
        <w:rPr>
          <w:rFonts w:hint="eastAsia" w:eastAsia="方正仿宋_GBK"/>
          <w:color w:val="000000"/>
          <w:spacing w:val="-6"/>
          <w:sz w:val="24"/>
        </w:rPr>
        <w:t>为规范建设工程计价解释与争议调解工作，提高建设工程计价管理工作效率，切实维护工程建设各方主体的合法权益，根据国家有关法律法规，特制定本规定。</w:t>
      </w:r>
      <w:r>
        <w:rPr>
          <w:rFonts w:eastAsia="方正仿宋_GBK"/>
          <w:color w:val="000000"/>
          <w:spacing w:val="-6"/>
          <w:sz w:val="24"/>
        </w:rPr>
        <w:t xml:space="preserve"> </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第二条</w:t>
      </w:r>
      <w:r>
        <w:rPr>
          <w:rFonts w:eastAsia="方正仿宋_GBK"/>
          <w:color w:val="000000"/>
          <w:spacing w:val="-2"/>
          <w:sz w:val="24"/>
        </w:rPr>
        <w:t xml:space="preserve">  </w:t>
      </w:r>
      <w:r>
        <w:rPr>
          <w:rFonts w:hint="eastAsia" w:eastAsia="方正仿宋_GBK"/>
          <w:color w:val="000000"/>
          <w:spacing w:val="-2"/>
          <w:sz w:val="24"/>
        </w:rPr>
        <w:t>本规定适用于我省行政区域内的房屋建筑和市政基础设施工程的计价解释与争议调解活动。</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第三条</w:t>
      </w:r>
      <w:r>
        <w:rPr>
          <w:rFonts w:eastAsia="方正仿宋_GBK"/>
          <w:color w:val="000000"/>
          <w:spacing w:val="-2"/>
          <w:sz w:val="24"/>
        </w:rPr>
        <w:t xml:space="preserve">  </w:t>
      </w:r>
      <w:r>
        <w:rPr>
          <w:rFonts w:hint="eastAsia" w:eastAsia="方正仿宋_GBK"/>
          <w:color w:val="000000"/>
          <w:spacing w:val="-2"/>
          <w:sz w:val="24"/>
        </w:rPr>
        <w:t>计价解释是指对我省发布的有关计价依据进行答疑与补充说明，提供计价表（定额）缺项项目的一次性补充定额。</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争议调解是指对工程建设各方主体在执行我省发布的计价依据时发生的分歧或矛盾进行协调解决。</w:t>
      </w:r>
    </w:p>
    <w:p>
      <w:pPr>
        <w:spacing w:line="460" w:lineRule="exact"/>
        <w:ind w:firstLine="456" w:firstLineChars="200"/>
        <w:rPr>
          <w:rFonts w:eastAsia="方正仿宋_GBK"/>
          <w:color w:val="000000"/>
          <w:spacing w:val="-6"/>
          <w:sz w:val="24"/>
        </w:rPr>
      </w:pPr>
      <w:r>
        <w:rPr>
          <w:rFonts w:hint="eastAsia" w:eastAsia="方正仿宋_GBK"/>
          <w:color w:val="000000"/>
          <w:spacing w:val="-6"/>
          <w:sz w:val="24"/>
        </w:rPr>
        <w:t>计价依据是指我省颁发的各专业工程计价表（定额）和有关工程造价计价管理文件。</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第四条</w:t>
      </w:r>
      <w:r>
        <w:rPr>
          <w:rFonts w:eastAsia="方正仿宋_GBK"/>
          <w:color w:val="000000"/>
          <w:spacing w:val="-2"/>
          <w:sz w:val="24"/>
        </w:rPr>
        <w:t xml:space="preserve">  </w:t>
      </w:r>
      <w:r>
        <w:rPr>
          <w:rFonts w:hint="eastAsia" w:eastAsia="方正仿宋_GBK"/>
          <w:color w:val="000000"/>
          <w:spacing w:val="-2"/>
          <w:sz w:val="24"/>
        </w:rPr>
        <w:t>计价解释和争议调解应当严格遵守国家法律、法规和我省计价依据，坚持客观公正的原则。</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第五条</w:t>
      </w:r>
      <w:r>
        <w:rPr>
          <w:rFonts w:eastAsia="方正仿宋_GBK"/>
          <w:color w:val="000000"/>
          <w:spacing w:val="-2"/>
          <w:sz w:val="24"/>
        </w:rPr>
        <w:t xml:space="preserve">  </w:t>
      </w:r>
      <w:r>
        <w:rPr>
          <w:rFonts w:hint="eastAsia" w:eastAsia="方正仿宋_GBK"/>
          <w:color w:val="000000"/>
          <w:spacing w:val="-2"/>
          <w:sz w:val="24"/>
        </w:rPr>
        <w:t>省建设工程造价管理总站（以下简称</w:t>
      </w:r>
      <w:r>
        <w:rPr>
          <w:rFonts w:eastAsia="方正仿宋_GBK"/>
          <w:color w:val="000000"/>
          <w:spacing w:val="-2"/>
          <w:sz w:val="24"/>
        </w:rPr>
        <w:t>“</w:t>
      </w:r>
      <w:r>
        <w:rPr>
          <w:rFonts w:hint="eastAsia" w:eastAsia="方正仿宋_GBK"/>
          <w:color w:val="000000"/>
          <w:spacing w:val="-2"/>
          <w:sz w:val="24"/>
        </w:rPr>
        <w:t>省站</w:t>
      </w:r>
      <w:r>
        <w:rPr>
          <w:rFonts w:eastAsia="方正仿宋_GBK"/>
          <w:color w:val="000000"/>
          <w:spacing w:val="-2"/>
          <w:sz w:val="24"/>
        </w:rPr>
        <w:t>”</w:t>
      </w:r>
      <w:r>
        <w:rPr>
          <w:rFonts w:hint="eastAsia" w:eastAsia="方正仿宋_GBK"/>
          <w:color w:val="000000"/>
          <w:spacing w:val="-2"/>
          <w:sz w:val="24"/>
        </w:rPr>
        <w:t>）受省建设厅委托，负责全省建设工程计价解释与争议调解工作。</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各市县造价管理机构受所在地建设行政主管部门委托，负责本地区计价解释与争议调解的相关管理工作。</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计价解释与争议调解，一般先由工程所在地市县造价管理机构受理，市县造价管理机构难于答复或工程建设当事人对答复有异议时，报送上一级造价管理机构处理。</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第六条</w:t>
      </w:r>
      <w:r>
        <w:rPr>
          <w:rFonts w:eastAsia="方正仿宋_GBK"/>
          <w:color w:val="000000"/>
          <w:spacing w:val="-2"/>
          <w:sz w:val="24"/>
        </w:rPr>
        <w:t xml:space="preserve">  </w:t>
      </w:r>
      <w:r>
        <w:rPr>
          <w:rFonts w:hint="eastAsia" w:eastAsia="方正仿宋_GBK"/>
          <w:color w:val="000000"/>
          <w:spacing w:val="-2"/>
          <w:sz w:val="24"/>
        </w:rPr>
        <w:t>各级造价管理机构应当设立负责计价解释与争议调解工作的部门，配备具有专业资格的人员，并向社会公布联系方式和办事程序。</w:t>
      </w:r>
    </w:p>
    <w:p>
      <w:pPr>
        <w:spacing w:line="460" w:lineRule="exact"/>
        <w:ind w:firstLine="472" w:firstLineChars="200"/>
        <w:rPr>
          <w:rFonts w:eastAsia="方正仿宋_GBK"/>
          <w:color w:val="000000"/>
          <w:spacing w:val="-2"/>
          <w:sz w:val="24"/>
        </w:rPr>
      </w:pPr>
    </w:p>
    <w:p>
      <w:pPr>
        <w:spacing w:line="460" w:lineRule="exact"/>
        <w:jc w:val="center"/>
        <w:rPr>
          <w:rFonts w:ascii="Times New Roman" w:eastAsia="方正黑体_GBK"/>
          <w:color w:val="000000"/>
          <w:spacing w:val="-2"/>
          <w:sz w:val="24"/>
        </w:rPr>
      </w:pPr>
      <w:r>
        <w:rPr>
          <w:rFonts w:hint="eastAsia" w:ascii="Times New Roman" w:eastAsia="方正黑体_GBK"/>
          <w:color w:val="000000"/>
          <w:spacing w:val="-2"/>
          <w:sz w:val="24"/>
        </w:rPr>
        <w:t>第二章  计价解释</w:t>
      </w:r>
    </w:p>
    <w:p>
      <w:pPr>
        <w:spacing w:line="460" w:lineRule="exact"/>
        <w:ind w:firstLine="472" w:firstLineChars="200"/>
        <w:rPr>
          <w:rFonts w:hint="eastAsia" w:ascii="Times New Roman" w:eastAsia="方正黑体_GBK"/>
          <w:color w:val="000000"/>
          <w:spacing w:val="-2"/>
          <w:sz w:val="24"/>
        </w:rPr>
      </w:pPr>
    </w:p>
    <w:p>
      <w:pPr>
        <w:spacing w:line="460" w:lineRule="exact"/>
        <w:ind w:firstLine="472" w:firstLineChars="200"/>
        <w:rPr>
          <w:rFonts w:hint="eastAsia" w:eastAsia="方正仿宋_GBK"/>
          <w:color w:val="000000"/>
          <w:spacing w:val="-2"/>
          <w:sz w:val="24"/>
        </w:rPr>
      </w:pPr>
      <w:r>
        <w:rPr>
          <w:rFonts w:hint="eastAsia" w:ascii="Times New Roman" w:eastAsia="方正黑体_GBK"/>
          <w:color w:val="000000"/>
          <w:spacing w:val="-2"/>
          <w:sz w:val="24"/>
        </w:rPr>
        <w:t>第七条</w:t>
      </w:r>
      <w:r>
        <w:rPr>
          <w:rFonts w:eastAsia="方正仿宋_GBK"/>
          <w:color w:val="000000"/>
          <w:spacing w:val="-2"/>
          <w:sz w:val="24"/>
        </w:rPr>
        <w:t xml:space="preserve">  </w:t>
      </w:r>
      <w:r>
        <w:rPr>
          <w:rFonts w:hint="eastAsia" w:eastAsia="方正仿宋_GBK"/>
          <w:color w:val="000000"/>
          <w:spacing w:val="-2"/>
          <w:sz w:val="24"/>
        </w:rPr>
        <w:t>工程建设各方主体及相关人员均可向造价管理机构提出计价咨询。</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第八条</w:t>
      </w:r>
      <w:r>
        <w:rPr>
          <w:rFonts w:eastAsia="方正仿宋_GBK"/>
          <w:color w:val="000000"/>
          <w:spacing w:val="-2"/>
          <w:sz w:val="24"/>
        </w:rPr>
        <w:t xml:space="preserve">  </w:t>
      </w:r>
      <w:r>
        <w:rPr>
          <w:rFonts w:hint="eastAsia" w:eastAsia="方正仿宋_GBK"/>
          <w:color w:val="000000"/>
          <w:spacing w:val="-2"/>
          <w:sz w:val="24"/>
        </w:rPr>
        <w:t>对于来电咨询，计价解释人员应即时口头答复，填写《计价解释来电咨询记录单》（详见附件一），常识性问题可以不填写记录单。如不能即时答复，应告知咨询人答复时限。因来电咨询的局限性，电话答复不作为最终有效答复。</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对于来函、来人咨询，计价解释人员应按《计价解释来人、来函咨询记录单》（详见附件二）进行登记。可以口头答复的当日答复，需要书面答复的，咨询人应提交有单位盖章的书面申请和相关工程资料，由计价解释人员在</w:t>
      </w:r>
      <w:r>
        <w:rPr>
          <w:rFonts w:eastAsia="方正仿宋_GBK"/>
          <w:color w:val="000000"/>
          <w:spacing w:val="-2"/>
          <w:sz w:val="24"/>
        </w:rPr>
        <w:t>5</w:t>
      </w:r>
      <w:r>
        <w:rPr>
          <w:rFonts w:hint="eastAsia" w:eastAsia="方正仿宋_GBK"/>
          <w:color w:val="000000"/>
          <w:spacing w:val="-2"/>
          <w:sz w:val="24"/>
        </w:rPr>
        <w:t>个工作日内答复（情况复杂的除外）。</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书面答复需报站（处）领导审核签字，正式行文回复。</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第九条</w:t>
      </w:r>
      <w:r>
        <w:rPr>
          <w:rFonts w:eastAsia="方正仿宋_GBK"/>
          <w:color w:val="000000"/>
          <w:spacing w:val="-2"/>
          <w:sz w:val="24"/>
        </w:rPr>
        <w:t xml:space="preserve">  </w:t>
      </w:r>
      <w:r>
        <w:rPr>
          <w:rFonts w:hint="eastAsia" w:eastAsia="方正仿宋_GBK"/>
          <w:color w:val="000000"/>
          <w:spacing w:val="-2"/>
          <w:sz w:val="24"/>
        </w:rPr>
        <w:t>对于特殊或疑难问题，计价解释人员应到施工现场了解相关情况，组织专业人员（专家组）讨论后再作出答复。</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对于我省计价表（定额）和有关执行文件上已说明清楚的，或超出建设工程计价解释范围的问题，计价解释人员可以不予答复。</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第十条</w:t>
      </w:r>
      <w:r>
        <w:rPr>
          <w:rFonts w:eastAsia="方正仿宋_GBK"/>
          <w:color w:val="000000"/>
          <w:spacing w:val="-2"/>
          <w:sz w:val="24"/>
        </w:rPr>
        <w:t xml:space="preserve">  </w:t>
      </w:r>
      <w:r>
        <w:rPr>
          <w:rFonts w:hint="eastAsia" w:eastAsia="方正仿宋_GBK"/>
          <w:color w:val="000000"/>
          <w:spacing w:val="-2"/>
          <w:sz w:val="24"/>
        </w:rPr>
        <w:t>各级造价管理部门的书面答复意见应及时在工程造价信息网</w:t>
      </w:r>
      <w:r>
        <w:rPr>
          <w:rFonts w:eastAsia="方正仿宋_GBK"/>
          <w:color w:val="000000"/>
          <w:spacing w:val="-2"/>
          <w:sz w:val="24"/>
        </w:rPr>
        <w:t>“</w:t>
      </w:r>
      <w:r>
        <w:rPr>
          <w:rFonts w:hint="eastAsia" w:eastAsia="方正仿宋_GBK"/>
          <w:color w:val="000000"/>
          <w:spacing w:val="-2"/>
          <w:sz w:val="24"/>
        </w:rPr>
        <w:t>计价解释</w:t>
      </w:r>
      <w:r>
        <w:rPr>
          <w:rFonts w:eastAsia="方正仿宋_GBK"/>
          <w:color w:val="000000"/>
          <w:spacing w:val="-2"/>
          <w:sz w:val="24"/>
        </w:rPr>
        <w:t>”</w:t>
      </w:r>
      <w:r>
        <w:rPr>
          <w:rFonts w:hint="eastAsia" w:eastAsia="方正仿宋_GBK"/>
          <w:color w:val="000000"/>
          <w:spacing w:val="-2"/>
          <w:sz w:val="24"/>
        </w:rPr>
        <w:t>栏目上发布；口头答复过程中出现较多的、共性的问题应及时记录、整理，在造价信息杂志和工程造价信息网上按月发布。</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第十一条</w:t>
      </w:r>
      <w:r>
        <w:rPr>
          <w:rFonts w:eastAsia="方正仿宋_GBK"/>
          <w:color w:val="000000"/>
          <w:spacing w:val="-2"/>
          <w:sz w:val="24"/>
        </w:rPr>
        <w:t xml:space="preserve"> </w:t>
      </w:r>
      <w:r>
        <w:rPr>
          <w:rFonts w:hint="eastAsia" w:eastAsia="方正仿宋_GBK"/>
          <w:color w:val="000000"/>
          <w:spacing w:val="-2"/>
          <w:sz w:val="24"/>
        </w:rPr>
        <w:t>各级造价管理机构应鼓励和推行在江苏工程造价信息网上交流解答计价咨询。注册为会员的咨询人在工程造价信息网</w:t>
      </w:r>
      <w:r>
        <w:rPr>
          <w:rFonts w:eastAsia="方正仿宋_GBK"/>
          <w:color w:val="000000"/>
          <w:spacing w:val="-2"/>
          <w:sz w:val="24"/>
        </w:rPr>
        <w:t>“</w:t>
      </w:r>
      <w:r>
        <w:rPr>
          <w:rFonts w:hint="eastAsia" w:eastAsia="方正仿宋_GBK"/>
          <w:color w:val="000000"/>
          <w:spacing w:val="-2"/>
          <w:sz w:val="24"/>
        </w:rPr>
        <w:t>造价论坛</w:t>
      </w:r>
      <w:r>
        <w:rPr>
          <w:rFonts w:eastAsia="方正仿宋_GBK"/>
          <w:color w:val="000000"/>
          <w:spacing w:val="-2"/>
          <w:sz w:val="24"/>
        </w:rPr>
        <w:t>”</w:t>
      </w:r>
      <w:r>
        <w:rPr>
          <w:rFonts w:hint="eastAsia" w:eastAsia="方正仿宋_GBK"/>
          <w:color w:val="000000"/>
          <w:spacing w:val="-2"/>
          <w:sz w:val="24"/>
        </w:rPr>
        <w:t>栏目上提出咨询问题，由专职计价解释人员定期在网上统一答复，网上答复与书面答复具有同等效力。</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第十二条</w:t>
      </w:r>
      <w:r>
        <w:rPr>
          <w:rFonts w:eastAsia="方正仿宋_GBK"/>
          <w:color w:val="000000"/>
          <w:spacing w:val="-2"/>
          <w:sz w:val="24"/>
        </w:rPr>
        <w:t xml:space="preserve">  </w:t>
      </w:r>
      <w:r>
        <w:rPr>
          <w:rFonts w:hint="eastAsia" w:eastAsia="方正仿宋_GBK"/>
          <w:color w:val="000000"/>
          <w:spacing w:val="-2"/>
          <w:sz w:val="24"/>
        </w:rPr>
        <w:t>对于采用新材料、新技术、新工艺，需编制一次性补充定额的项目，发承包双方应于项目施工前到工程所在地造价管理机构提出申请，在造价管理机构的指导下进行数据测算工作，经造价管理机构审核认可。</w:t>
      </w:r>
    </w:p>
    <w:p>
      <w:pPr>
        <w:spacing w:line="460" w:lineRule="exact"/>
        <w:jc w:val="center"/>
        <w:rPr>
          <w:rFonts w:ascii="Times New Roman" w:eastAsia="方正黑体_GBK"/>
          <w:color w:val="000000"/>
          <w:spacing w:val="-2"/>
          <w:sz w:val="24"/>
        </w:rPr>
      </w:pPr>
      <w:r>
        <w:rPr>
          <w:rFonts w:hint="eastAsia" w:ascii="Times New Roman" w:eastAsia="方正黑体_GBK"/>
          <w:color w:val="000000"/>
          <w:spacing w:val="-2"/>
          <w:sz w:val="24"/>
        </w:rPr>
        <w:t>第三章  计价争议调解</w:t>
      </w:r>
    </w:p>
    <w:p>
      <w:pPr>
        <w:spacing w:line="460" w:lineRule="exact"/>
        <w:ind w:firstLine="472" w:firstLineChars="200"/>
        <w:rPr>
          <w:rFonts w:hint="eastAsia" w:ascii="Times New Roman" w:eastAsia="方正黑体_GBK"/>
          <w:color w:val="000000"/>
          <w:spacing w:val="-2"/>
          <w:sz w:val="24"/>
        </w:rPr>
      </w:pPr>
    </w:p>
    <w:p>
      <w:pPr>
        <w:spacing w:line="460" w:lineRule="exact"/>
        <w:ind w:firstLine="472" w:firstLineChars="200"/>
        <w:rPr>
          <w:rFonts w:hint="eastAsia" w:eastAsia="方正仿宋_GBK"/>
          <w:color w:val="000000"/>
          <w:spacing w:val="-2"/>
          <w:sz w:val="24"/>
        </w:rPr>
      </w:pPr>
      <w:r>
        <w:rPr>
          <w:rFonts w:hint="eastAsia" w:ascii="Times New Roman" w:eastAsia="方正黑体_GBK"/>
          <w:color w:val="000000"/>
          <w:spacing w:val="-2"/>
          <w:sz w:val="24"/>
        </w:rPr>
        <w:t>第十三条</w:t>
      </w:r>
      <w:r>
        <w:rPr>
          <w:rFonts w:eastAsia="方正仿宋_GBK"/>
          <w:color w:val="000000"/>
          <w:spacing w:val="-2"/>
          <w:sz w:val="24"/>
        </w:rPr>
        <w:t xml:space="preserve">  </w:t>
      </w:r>
      <w:r>
        <w:rPr>
          <w:rFonts w:hint="eastAsia" w:eastAsia="方正仿宋_GBK"/>
          <w:color w:val="000000"/>
          <w:spacing w:val="-2"/>
          <w:sz w:val="24"/>
        </w:rPr>
        <w:t>工程建设各方主体发生工程计价争议时，各方当事人可向工程所在地造价管理机构申请调解。</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第十四条</w:t>
      </w:r>
      <w:r>
        <w:rPr>
          <w:rFonts w:eastAsia="方正仿宋_GBK"/>
          <w:color w:val="000000"/>
          <w:spacing w:val="-2"/>
          <w:sz w:val="24"/>
        </w:rPr>
        <w:t xml:space="preserve">  </w:t>
      </w:r>
      <w:r>
        <w:rPr>
          <w:rFonts w:hint="eastAsia" w:eastAsia="方正仿宋_GBK"/>
          <w:color w:val="000000"/>
          <w:spacing w:val="-2"/>
          <w:sz w:val="24"/>
        </w:rPr>
        <w:t>计价争议调解时，争议各方当事人都应当到场，受委托对该项目提供咨询服务的工程造价咨询单位应同时参加调解。</w:t>
      </w:r>
    </w:p>
    <w:p>
      <w:pPr>
        <w:spacing w:line="460" w:lineRule="exact"/>
        <w:ind w:firstLine="555"/>
        <w:rPr>
          <w:rFonts w:eastAsia="方正仿宋_GBK"/>
          <w:color w:val="000000"/>
          <w:spacing w:val="-2"/>
          <w:sz w:val="24"/>
        </w:rPr>
      </w:pPr>
      <w:r>
        <w:rPr>
          <w:rFonts w:hint="eastAsia" w:ascii="Times New Roman" w:eastAsia="方正黑体_GBK"/>
          <w:color w:val="000000"/>
          <w:spacing w:val="-2"/>
          <w:sz w:val="24"/>
        </w:rPr>
        <w:t>第十五条</w:t>
      </w:r>
      <w:r>
        <w:rPr>
          <w:rFonts w:eastAsia="方正仿宋_GBK"/>
          <w:color w:val="000000"/>
          <w:spacing w:val="-2"/>
          <w:sz w:val="24"/>
        </w:rPr>
        <w:t xml:space="preserve">  </w:t>
      </w:r>
      <w:r>
        <w:rPr>
          <w:rFonts w:hint="eastAsia" w:eastAsia="方正仿宋_GBK"/>
          <w:color w:val="000000"/>
          <w:spacing w:val="-2"/>
          <w:sz w:val="24"/>
        </w:rPr>
        <w:t>申请计价争议调解应提供下述资料：</w:t>
      </w:r>
    </w:p>
    <w:p>
      <w:pPr>
        <w:spacing w:line="460" w:lineRule="exact"/>
        <w:ind w:firstLine="555"/>
        <w:rPr>
          <w:rFonts w:eastAsia="方正仿宋_GBK"/>
          <w:color w:val="000000"/>
          <w:spacing w:val="-2"/>
          <w:sz w:val="24"/>
        </w:rPr>
      </w:pPr>
      <w:r>
        <w:rPr>
          <w:rFonts w:hint="eastAsia" w:eastAsia="方正仿宋_GBK"/>
          <w:color w:val="000000"/>
          <w:spacing w:val="-2"/>
          <w:sz w:val="24"/>
        </w:rPr>
        <w:t>（一）争议各方当事人联合盖章的争议调解申请单（详见附件三）。</w:t>
      </w:r>
    </w:p>
    <w:p>
      <w:pPr>
        <w:spacing w:line="460" w:lineRule="exact"/>
        <w:ind w:firstLine="555"/>
        <w:rPr>
          <w:rFonts w:eastAsia="方正仿宋_GBK"/>
          <w:color w:val="000000"/>
          <w:spacing w:val="-2"/>
          <w:sz w:val="24"/>
        </w:rPr>
      </w:pPr>
      <w:r>
        <w:rPr>
          <w:rFonts w:hint="eastAsia" w:eastAsia="方正仿宋_GBK"/>
          <w:color w:val="000000"/>
          <w:spacing w:val="-2"/>
          <w:sz w:val="24"/>
        </w:rPr>
        <w:t>（二）施工图与施工组织方案；</w:t>
      </w:r>
    </w:p>
    <w:p>
      <w:pPr>
        <w:spacing w:line="460" w:lineRule="exact"/>
        <w:ind w:firstLine="555"/>
        <w:rPr>
          <w:rFonts w:eastAsia="方正仿宋_GBK"/>
          <w:color w:val="000000"/>
          <w:spacing w:val="-2"/>
          <w:sz w:val="24"/>
        </w:rPr>
      </w:pPr>
      <w:r>
        <w:rPr>
          <w:rFonts w:hint="eastAsia" w:eastAsia="方正仿宋_GBK"/>
          <w:color w:val="000000"/>
          <w:spacing w:val="-2"/>
          <w:sz w:val="24"/>
        </w:rPr>
        <w:t>（三）施工合同、补充协议与招投标文件；</w:t>
      </w:r>
    </w:p>
    <w:p>
      <w:pPr>
        <w:spacing w:line="460" w:lineRule="exact"/>
        <w:ind w:firstLine="555"/>
        <w:rPr>
          <w:rFonts w:eastAsia="方正仿宋_GBK"/>
          <w:color w:val="000000"/>
          <w:spacing w:val="-2"/>
          <w:sz w:val="24"/>
        </w:rPr>
      </w:pPr>
      <w:r>
        <w:rPr>
          <w:rFonts w:hint="eastAsia" w:eastAsia="方正仿宋_GBK"/>
          <w:color w:val="000000"/>
          <w:spacing w:val="-2"/>
          <w:sz w:val="24"/>
        </w:rPr>
        <w:t>（四）现场设计变更与签证资料；</w:t>
      </w:r>
    </w:p>
    <w:p>
      <w:pPr>
        <w:spacing w:line="460" w:lineRule="exact"/>
        <w:ind w:firstLine="555"/>
        <w:rPr>
          <w:rFonts w:eastAsia="方正仿宋_GBK"/>
          <w:color w:val="000000"/>
          <w:spacing w:val="-2"/>
          <w:sz w:val="24"/>
        </w:rPr>
      </w:pPr>
      <w:r>
        <w:rPr>
          <w:rFonts w:hint="eastAsia" w:eastAsia="方正仿宋_GBK"/>
          <w:color w:val="000000"/>
          <w:spacing w:val="-2"/>
          <w:sz w:val="24"/>
        </w:rPr>
        <w:t>（五）与工程有关的其它资料。</w:t>
      </w:r>
    </w:p>
    <w:p>
      <w:pPr>
        <w:spacing w:line="460" w:lineRule="exact"/>
        <w:ind w:firstLine="555"/>
        <w:rPr>
          <w:rFonts w:eastAsia="方正仿宋_GBK"/>
          <w:color w:val="000000"/>
          <w:spacing w:val="-2"/>
          <w:sz w:val="24"/>
        </w:rPr>
      </w:pPr>
      <w:r>
        <w:rPr>
          <w:rFonts w:hint="eastAsia" w:eastAsia="方正仿宋_GBK"/>
          <w:color w:val="000000"/>
          <w:spacing w:val="-2"/>
          <w:sz w:val="24"/>
        </w:rPr>
        <w:t>资料提供人应对所提供资料的真实有效性负责。</w:t>
      </w:r>
    </w:p>
    <w:p>
      <w:pPr>
        <w:spacing w:line="460" w:lineRule="exact"/>
        <w:ind w:firstLine="555"/>
        <w:rPr>
          <w:rFonts w:eastAsia="方正仿宋_GBK"/>
          <w:color w:val="000000"/>
          <w:spacing w:val="-2"/>
          <w:sz w:val="24"/>
        </w:rPr>
      </w:pPr>
      <w:r>
        <w:rPr>
          <w:rFonts w:hint="eastAsia" w:ascii="Times New Roman" w:eastAsia="方正黑体_GBK"/>
          <w:color w:val="000000"/>
          <w:spacing w:val="-2"/>
          <w:sz w:val="24"/>
        </w:rPr>
        <w:t>第十六条</w:t>
      </w:r>
      <w:r>
        <w:rPr>
          <w:rFonts w:eastAsia="方正仿宋_GBK"/>
          <w:color w:val="000000"/>
          <w:spacing w:val="-2"/>
          <w:sz w:val="24"/>
        </w:rPr>
        <w:t xml:space="preserve">  </w:t>
      </w:r>
      <w:r>
        <w:rPr>
          <w:rFonts w:hint="eastAsia" w:eastAsia="方正仿宋_GBK"/>
          <w:color w:val="000000"/>
          <w:spacing w:val="-2"/>
          <w:sz w:val="24"/>
        </w:rPr>
        <w:t>有下列情况之一的计价争议调解申请，造价管理机构可以不予受理：</w:t>
      </w:r>
    </w:p>
    <w:p>
      <w:pPr>
        <w:spacing w:line="460" w:lineRule="exact"/>
        <w:ind w:firstLine="555"/>
        <w:rPr>
          <w:rFonts w:eastAsia="方正仿宋_GBK"/>
          <w:color w:val="000000"/>
          <w:spacing w:val="-2"/>
          <w:sz w:val="24"/>
        </w:rPr>
      </w:pPr>
      <w:r>
        <w:rPr>
          <w:rFonts w:hint="eastAsia" w:eastAsia="方正仿宋_GBK"/>
          <w:color w:val="000000"/>
          <w:spacing w:val="-2"/>
          <w:sz w:val="24"/>
        </w:rPr>
        <w:t>（一）未按上述第十五条规定提供资料的；</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（二）造价管理机构已作出计价争议调解决定，并且争议调解的申请人未再提出新的证据；</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（三）上级造价管理机构已作出计价争议调解决定的；</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（四）已向仲裁机构申请仲裁的；</w:t>
      </w:r>
    </w:p>
    <w:p>
      <w:pPr>
        <w:spacing w:line="460" w:lineRule="exact"/>
        <w:ind w:firstLine="472" w:firstLineChars="200"/>
        <w:rPr>
          <w:rFonts w:eastAsia="方正仿宋_GBK"/>
          <w:color w:val="000000"/>
          <w:spacing w:val="-2"/>
          <w:sz w:val="24"/>
        </w:rPr>
      </w:pPr>
      <w:r>
        <w:rPr>
          <w:rFonts w:hint="eastAsia" w:eastAsia="方正仿宋_GBK"/>
          <w:color w:val="000000"/>
          <w:spacing w:val="-2"/>
          <w:sz w:val="24"/>
        </w:rPr>
        <w:t>（五）已向人民法院提请诉讼的；</w:t>
      </w:r>
    </w:p>
    <w:p>
      <w:pPr>
        <w:spacing w:line="460" w:lineRule="exact"/>
        <w:ind w:firstLine="555"/>
        <w:rPr>
          <w:rFonts w:eastAsia="方正仿宋_GBK"/>
          <w:color w:val="000000"/>
          <w:spacing w:val="-2"/>
          <w:sz w:val="24"/>
        </w:rPr>
      </w:pPr>
      <w:r>
        <w:rPr>
          <w:rFonts w:hint="eastAsia" w:eastAsia="方正仿宋_GBK"/>
          <w:color w:val="000000"/>
          <w:spacing w:val="-2"/>
          <w:sz w:val="24"/>
        </w:rPr>
        <w:t>（六）当事双方参与争议调解人员不是</w:t>
      </w:r>
      <w:r>
        <w:rPr>
          <w:rFonts w:eastAsia="方正仿宋_GBK"/>
          <w:color w:val="000000"/>
          <w:spacing w:val="-2"/>
          <w:sz w:val="24"/>
        </w:rPr>
        <w:t>“</w:t>
      </w:r>
      <w:r>
        <w:rPr>
          <w:rFonts w:hint="eastAsia" w:eastAsia="方正仿宋_GBK"/>
          <w:color w:val="000000"/>
          <w:spacing w:val="-2"/>
          <w:sz w:val="24"/>
        </w:rPr>
        <w:t>造价工程师注册资格证书</w:t>
      </w:r>
      <w:r>
        <w:rPr>
          <w:rFonts w:eastAsia="方正仿宋_GBK"/>
          <w:color w:val="000000"/>
          <w:spacing w:val="-2"/>
          <w:sz w:val="24"/>
        </w:rPr>
        <w:t>”</w:t>
      </w:r>
      <w:r>
        <w:rPr>
          <w:rFonts w:hint="eastAsia" w:eastAsia="方正仿宋_GBK"/>
          <w:color w:val="000000"/>
          <w:spacing w:val="-2"/>
          <w:sz w:val="24"/>
        </w:rPr>
        <w:t>或</w:t>
      </w:r>
      <w:r>
        <w:rPr>
          <w:rFonts w:eastAsia="方正仿宋_GBK"/>
          <w:color w:val="000000"/>
          <w:spacing w:val="-2"/>
          <w:sz w:val="24"/>
        </w:rPr>
        <w:t>“</w:t>
      </w:r>
      <w:r>
        <w:rPr>
          <w:rFonts w:hint="eastAsia" w:eastAsia="方正仿宋_GBK"/>
          <w:color w:val="000000"/>
          <w:spacing w:val="-2"/>
          <w:sz w:val="24"/>
        </w:rPr>
        <w:t>造价员证书</w:t>
      </w:r>
      <w:r>
        <w:rPr>
          <w:rFonts w:eastAsia="方正仿宋_GBK"/>
          <w:color w:val="000000"/>
          <w:spacing w:val="-2"/>
          <w:sz w:val="24"/>
        </w:rPr>
        <w:t>”</w:t>
      </w:r>
      <w:r>
        <w:rPr>
          <w:rFonts w:hint="eastAsia" w:eastAsia="方正仿宋_GBK"/>
          <w:color w:val="000000"/>
          <w:spacing w:val="-2"/>
          <w:sz w:val="24"/>
        </w:rPr>
        <w:t>持有者。</w:t>
      </w:r>
    </w:p>
    <w:p>
      <w:pPr>
        <w:spacing w:line="460" w:lineRule="exact"/>
        <w:ind w:firstLine="555"/>
        <w:rPr>
          <w:rFonts w:eastAsia="方正仿宋_GBK"/>
          <w:color w:val="000000"/>
          <w:spacing w:val="-2"/>
          <w:sz w:val="24"/>
        </w:rPr>
      </w:pPr>
      <w:r>
        <w:rPr>
          <w:rFonts w:hint="eastAsia" w:ascii="Times New Roman" w:eastAsia="方正黑体_GBK"/>
          <w:color w:val="000000"/>
          <w:spacing w:val="-2"/>
          <w:sz w:val="24"/>
        </w:rPr>
        <w:t>第十七条</w:t>
      </w:r>
      <w:r>
        <w:rPr>
          <w:rFonts w:eastAsia="方正仿宋_GBK"/>
          <w:color w:val="000000"/>
          <w:spacing w:val="-2"/>
          <w:sz w:val="24"/>
        </w:rPr>
        <w:t xml:space="preserve">  </w:t>
      </w:r>
      <w:r>
        <w:rPr>
          <w:rFonts w:hint="eastAsia" w:eastAsia="方正仿宋_GBK"/>
          <w:color w:val="000000"/>
          <w:spacing w:val="-2"/>
          <w:sz w:val="24"/>
        </w:rPr>
        <w:t>造价管理机构受理争议调解申请单后，应指定相关专业人员为争议调解人。争议调解人应仔细听取各方当事人的陈述，结合查看申请人提供的资料，核实有关情况，及时提出意见。对较复杂的问题，可由造价管理机构负责成立专家组，协调处理。</w:t>
      </w:r>
    </w:p>
    <w:p>
      <w:pPr>
        <w:spacing w:line="460" w:lineRule="exact"/>
        <w:ind w:firstLine="555"/>
        <w:rPr>
          <w:rFonts w:eastAsia="方正仿宋_GBK"/>
          <w:color w:val="000000"/>
          <w:spacing w:val="-2"/>
          <w:sz w:val="24"/>
        </w:rPr>
      </w:pPr>
      <w:r>
        <w:rPr>
          <w:rFonts w:hint="eastAsia" w:ascii="Times New Roman" w:eastAsia="方正黑体_GBK"/>
          <w:color w:val="000000"/>
          <w:spacing w:val="-2"/>
          <w:sz w:val="24"/>
        </w:rPr>
        <w:t>第十八条</w:t>
      </w:r>
      <w:r>
        <w:rPr>
          <w:rFonts w:eastAsia="方正仿宋_GBK"/>
          <w:color w:val="000000"/>
          <w:spacing w:val="-2"/>
          <w:sz w:val="24"/>
        </w:rPr>
        <w:t xml:space="preserve">  </w:t>
      </w:r>
      <w:r>
        <w:rPr>
          <w:rFonts w:hint="eastAsia" w:eastAsia="方正仿宋_GBK"/>
          <w:color w:val="000000"/>
          <w:spacing w:val="-2"/>
          <w:sz w:val="24"/>
        </w:rPr>
        <w:t>争议调解人应详细填写《造价争议调解记录单》（详见附件四），并将争议调解有关资料登记归档，重要资料复印后留存。</w:t>
      </w:r>
    </w:p>
    <w:p>
      <w:pPr>
        <w:spacing w:line="460" w:lineRule="exact"/>
        <w:ind w:firstLine="555"/>
        <w:rPr>
          <w:rFonts w:eastAsia="方正仿宋_GBK"/>
          <w:color w:val="000000"/>
          <w:spacing w:val="-2"/>
          <w:sz w:val="24"/>
        </w:rPr>
      </w:pPr>
      <w:r>
        <w:rPr>
          <w:rFonts w:hint="eastAsia" w:eastAsia="方正仿宋_GBK"/>
          <w:color w:val="000000"/>
          <w:spacing w:val="-2"/>
          <w:sz w:val="24"/>
        </w:rPr>
        <w:t>各方当事人达成一致意见，不需要书面答复时，造价管理机构可以不出具书面答复；需要书面答复的，应在</w:t>
      </w:r>
      <w:r>
        <w:rPr>
          <w:rFonts w:eastAsia="方正仿宋_GBK"/>
          <w:color w:val="000000"/>
          <w:spacing w:val="-2"/>
          <w:sz w:val="24"/>
        </w:rPr>
        <w:t>7</w:t>
      </w:r>
      <w:r>
        <w:rPr>
          <w:rFonts w:hint="eastAsia" w:eastAsia="方正仿宋_GBK"/>
          <w:color w:val="000000"/>
          <w:spacing w:val="-2"/>
          <w:sz w:val="24"/>
        </w:rPr>
        <w:t>个工作日内给予答复（特殊工程除外）。各方当事人对调解不能达成一致意见时，可根据合同约定提请仲裁或人民法院裁决。</w:t>
      </w:r>
    </w:p>
    <w:p>
      <w:pPr>
        <w:spacing w:line="460" w:lineRule="exact"/>
        <w:ind w:firstLine="555"/>
        <w:rPr>
          <w:rFonts w:eastAsia="方正仿宋_GBK"/>
          <w:color w:val="000000"/>
          <w:spacing w:val="-2"/>
          <w:sz w:val="24"/>
        </w:rPr>
      </w:pPr>
      <w:r>
        <w:rPr>
          <w:rFonts w:hint="eastAsia" w:eastAsia="方正仿宋_GBK"/>
          <w:color w:val="000000"/>
          <w:spacing w:val="-2"/>
          <w:sz w:val="24"/>
        </w:rPr>
        <w:t>书面答复需报站（处）领导审核签字，正式行文回复。</w:t>
      </w:r>
    </w:p>
    <w:p>
      <w:pPr>
        <w:spacing w:line="460" w:lineRule="exact"/>
        <w:ind w:firstLine="555"/>
        <w:rPr>
          <w:rFonts w:eastAsia="方正仿宋_GBK"/>
          <w:color w:val="000000"/>
          <w:spacing w:val="-2"/>
          <w:sz w:val="24"/>
        </w:rPr>
      </w:pPr>
    </w:p>
    <w:p>
      <w:pPr>
        <w:spacing w:line="460" w:lineRule="exact"/>
        <w:jc w:val="center"/>
        <w:rPr>
          <w:rFonts w:ascii="Times New Roman" w:eastAsia="方正黑体_GBK"/>
          <w:color w:val="000000"/>
          <w:spacing w:val="-2"/>
          <w:sz w:val="24"/>
        </w:rPr>
      </w:pPr>
      <w:r>
        <w:rPr>
          <w:rFonts w:hint="eastAsia" w:ascii="Times New Roman" w:eastAsia="方正黑体_GBK"/>
          <w:color w:val="000000"/>
          <w:spacing w:val="-2"/>
          <w:sz w:val="24"/>
        </w:rPr>
        <w:t>第四章  附    则</w:t>
      </w:r>
    </w:p>
    <w:p>
      <w:pPr>
        <w:spacing w:line="460" w:lineRule="exact"/>
        <w:ind w:firstLine="555"/>
        <w:rPr>
          <w:rFonts w:hint="eastAsia" w:ascii="Times New Roman" w:eastAsia="方正黑体_GBK"/>
          <w:color w:val="000000"/>
          <w:spacing w:val="-2"/>
          <w:sz w:val="24"/>
        </w:rPr>
      </w:pPr>
    </w:p>
    <w:p>
      <w:pPr>
        <w:spacing w:line="460" w:lineRule="exact"/>
        <w:ind w:firstLine="555"/>
        <w:rPr>
          <w:rFonts w:hint="eastAsia" w:eastAsia="方正仿宋_GBK"/>
          <w:color w:val="000000"/>
          <w:spacing w:val="-2"/>
          <w:sz w:val="24"/>
        </w:rPr>
      </w:pPr>
      <w:r>
        <w:rPr>
          <w:rFonts w:hint="eastAsia" w:ascii="Times New Roman" w:eastAsia="方正黑体_GBK"/>
          <w:color w:val="000000"/>
          <w:spacing w:val="-2"/>
          <w:sz w:val="24"/>
        </w:rPr>
        <w:t>第十九条</w:t>
      </w:r>
      <w:r>
        <w:rPr>
          <w:rFonts w:eastAsia="方正仿宋_GBK"/>
          <w:color w:val="000000"/>
          <w:spacing w:val="-2"/>
          <w:sz w:val="24"/>
        </w:rPr>
        <w:t xml:space="preserve">  </w:t>
      </w:r>
      <w:r>
        <w:rPr>
          <w:rFonts w:hint="eastAsia" w:eastAsia="方正仿宋_GBK"/>
          <w:color w:val="000000"/>
          <w:spacing w:val="-2"/>
          <w:sz w:val="24"/>
        </w:rPr>
        <w:t>各市造价管理机构每半年将计价解释和争议调解的实例汇总上报省站。省站将及时整理成册，印发市县造价管理机构交流。</w:t>
      </w:r>
    </w:p>
    <w:p>
      <w:pPr>
        <w:spacing w:line="460" w:lineRule="exact"/>
        <w:ind w:firstLine="555"/>
        <w:rPr>
          <w:rFonts w:eastAsia="方正仿宋_GBK"/>
          <w:color w:val="000000"/>
          <w:spacing w:val="-2"/>
          <w:sz w:val="24"/>
        </w:rPr>
      </w:pPr>
      <w:r>
        <w:rPr>
          <w:rFonts w:hint="eastAsia" w:ascii="Times New Roman" w:eastAsia="方正黑体_GBK"/>
          <w:color w:val="000000"/>
          <w:spacing w:val="-2"/>
          <w:sz w:val="24"/>
        </w:rPr>
        <w:t>第二十条</w:t>
      </w:r>
      <w:r>
        <w:rPr>
          <w:rFonts w:eastAsia="方正仿宋_GBK"/>
          <w:color w:val="000000"/>
          <w:spacing w:val="-2"/>
          <w:sz w:val="24"/>
        </w:rPr>
        <w:t xml:space="preserve">  </w:t>
      </w:r>
      <w:r>
        <w:rPr>
          <w:rFonts w:hint="eastAsia" w:eastAsia="方正仿宋_GBK"/>
          <w:color w:val="000000"/>
          <w:spacing w:val="-2"/>
          <w:sz w:val="24"/>
        </w:rPr>
        <w:t>对履行职责过程中存在滥用职权、故意偏袒、弄虚作假、敷衍塞责等行为，造成工程建设各方主体合法权益受到损害或造成不良社会影响的责任人员，各级造价管理机构应按照有关规定和管理权限，及时追究，严肃处理。</w:t>
      </w:r>
    </w:p>
    <w:p>
      <w:pPr>
        <w:spacing w:line="460" w:lineRule="exact"/>
        <w:ind w:firstLine="472" w:firstLineChars="200"/>
        <w:rPr>
          <w:rFonts w:eastAsia="方正仿宋_GBK"/>
          <w:color w:val="000000"/>
          <w:spacing w:val="-2"/>
          <w:sz w:val="24"/>
        </w:rPr>
      </w:pPr>
      <w:r>
        <w:rPr>
          <w:rFonts w:hint="eastAsia" w:ascii="Times New Roman" w:eastAsia="方正黑体_GBK"/>
          <w:color w:val="000000"/>
          <w:spacing w:val="-2"/>
          <w:sz w:val="24"/>
        </w:rPr>
        <w:t>第二十一条</w:t>
      </w:r>
      <w:r>
        <w:rPr>
          <w:rFonts w:eastAsia="方正仿宋_GBK"/>
          <w:color w:val="000000"/>
          <w:spacing w:val="-2"/>
          <w:sz w:val="24"/>
        </w:rPr>
        <w:t xml:space="preserve">  </w:t>
      </w:r>
      <w:r>
        <w:rPr>
          <w:rFonts w:hint="eastAsia" w:eastAsia="方正仿宋_GBK"/>
          <w:color w:val="000000"/>
          <w:spacing w:val="-2"/>
          <w:sz w:val="24"/>
        </w:rPr>
        <w:t>本规定于二〇〇六年十月一日起施行，由省站负责解释。</w:t>
      </w:r>
    </w:p>
    <w:p>
      <w:pPr>
        <w:spacing w:line="460" w:lineRule="exact"/>
        <w:ind w:firstLine="472" w:firstLineChars="200"/>
        <w:rPr>
          <w:rFonts w:eastAsia="仿宋_GB2312"/>
          <w:color w:val="000000"/>
          <w:spacing w:val="-2"/>
          <w:sz w:val="28"/>
          <w:szCs w:val="28"/>
        </w:rPr>
      </w:pPr>
      <w:r>
        <w:rPr>
          <w:rFonts w:hint="eastAsia" w:ascii="Times New Roman" w:eastAsia="方正黑体_GBK"/>
          <w:color w:val="000000"/>
          <w:spacing w:val="-2"/>
          <w:sz w:val="24"/>
        </w:rPr>
        <w:t>第二十二条</w:t>
      </w:r>
      <w:r>
        <w:rPr>
          <w:rFonts w:eastAsia="方正仿宋_GBK"/>
          <w:color w:val="000000"/>
          <w:spacing w:val="-2"/>
          <w:sz w:val="24"/>
        </w:rPr>
        <w:t xml:space="preserve">  </w:t>
      </w:r>
      <w:r>
        <w:rPr>
          <w:rFonts w:hint="eastAsia" w:eastAsia="方正仿宋_GBK"/>
          <w:color w:val="000000"/>
          <w:spacing w:val="-2"/>
          <w:sz w:val="24"/>
        </w:rPr>
        <w:t>各市县工程造价管理机构可根据本规定制定实施细则。</w:t>
      </w:r>
    </w:p>
    <w:p>
      <w:pPr>
        <w:widowControl/>
        <w:spacing w:line="360" w:lineRule="auto"/>
        <w:jc w:val="left"/>
        <w:rPr>
          <w:rFonts w:eastAsia="仿宋_GB2312"/>
          <w:color w:val="000000"/>
          <w:spacing w:val="-2"/>
          <w:sz w:val="28"/>
          <w:szCs w:val="28"/>
        </w:rPr>
        <w:sectPr>
          <w:pgSz w:w="11905" w:h="16838"/>
          <w:pgMar w:top="1701" w:right="1587" w:bottom="1701" w:left="1587" w:header="850" w:footer="1361" w:gutter="0"/>
          <w:paperSrc w:first="4" w:other="4"/>
          <w:cols w:space="720" w:num="1"/>
        </w:sectPr>
      </w:pPr>
    </w:p>
    <w:p>
      <w:pPr>
        <w:spacing w:line="460" w:lineRule="exact"/>
        <w:rPr>
          <w:rFonts w:ascii="Times New Roman" w:eastAsia="方正黑体_GBK"/>
          <w:color w:val="000000"/>
          <w:spacing w:val="-2"/>
          <w:sz w:val="28"/>
          <w:szCs w:val="28"/>
        </w:rPr>
      </w:pPr>
      <w:r>
        <w:rPr>
          <w:rFonts w:hint="eastAsia" w:ascii="Times New Roman" w:eastAsia="方正黑体_GBK"/>
          <w:color w:val="000000"/>
          <w:spacing w:val="-2"/>
          <w:sz w:val="28"/>
          <w:szCs w:val="28"/>
        </w:rPr>
        <w:t>附件一：</w:t>
      </w:r>
    </w:p>
    <w:p>
      <w:pPr>
        <w:spacing w:line="460" w:lineRule="exact"/>
        <w:rPr>
          <w:rFonts w:hint="eastAsia" w:eastAsia="方正仿宋_GBK"/>
          <w:color w:val="000000"/>
          <w:spacing w:val="-2"/>
          <w:sz w:val="24"/>
        </w:rPr>
      </w:pPr>
    </w:p>
    <w:p>
      <w:pPr>
        <w:spacing w:line="360" w:lineRule="auto"/>
        <w:jc w:val="center"/>
        <w:rPr>
          <w:rFonts w:ascii="Times New Roman" w:eastAsia="方正黑体_GBK"/>
          <w:color w:val="000000"/>
          <w:spacing w:val="-2"/>
          <w:sz w:val="28"/>
          <w:szCs w:val="28"/>
        </w:rPr>
      </w:pPr>
      <w:r>
        <w:rPr>
          <w:rFonts w:hint="eastAsia" w:ascii="Times New Roman" w:eastAsia="方正黑体_GBK"/>
          <w:color w:val="000000"/>
          <w:spacing w:val="-2"/>
          <w:sz w:val="28"/>
          <w:szCs w:val="28"/>
        </w:rPr>
        <w:t>计价解释来电咨询记录单</w:t>
      </w:r>
    </w:p>
    <w:p>
      <w:pPr>
        <w:spacing w:line="360" w:lineRule="auto"/>
        <w:jc w:val="center"/>
        <w:rPr>
          <w:rFonts w:hint="eastAsia" w:ascii="Times New Roman" w:eastAsia="方正黑体_GBK"/>
          <w:color w:val="000000"/>
          <w:spacing w:val="-2"/>
          <w:sz w:val="28"/>
          <w:szCs w:val="28"/>
        </w:rPr>
      </w:pPr>
    </w:p>
    <w:tbl>
      <w:tblPr>
        <w:tblStyle w:val="12"/>
        <w:tblW w:w="0" w:type="auto"/>
        <w:tblInd w:w="14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25"/>
        <w:gridCol w:w="750"/>
        <w:gridCol w:w="750"/>
        <w:gridCol w:w="749"/>
        <w:gridCol w:w="928"/>
        <w:gridCol w:w="1398"/>
        <w:gridCol w:w="1740"/>
        <w:gridCol w:w="940"/>
        <w:gridCol w:w="84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25" w:type="dxa"/>
            <w:tcBorders>
              <w:top w:val="single" w:color="auto" w:sz="8" w:space="0"/>
              <w:left w:val="single" w:color="auto" w:sz="8" w:space="0"/>
              <w:bottom w:val="single" w:color="auto" w:sz="4" w:space="0"/>
              <w:right w:val="single" w:color="auto" w:sz="4" w:space="0"/>
            </w:tcBorders>
            <w:noWrap w:val="0"/>
            <w:vAlign w:val="center"/>
          </w:tcPr>
          <w:p>
            <w:pPr>
              <w:ind w:left="-103" w:leftChars="-50" w:right="-103" w:rightChars="-50"/>
              <w:jc w:val="center"/>
              <w:rPr>
                <w:rFonts w:ascii="Times New Roman" w:eastAsia="方正黑体_GBK"/>
                <w:color w:val="000000"/>
                <w:spacing w:val="-2"/>
                <w:szCs w:val="21"/>
              </w:rPr>
            </w:pPr>
            <w:r>
              <w:rPr>
                <w:rFonts w:hint="eastAsia" w:ascii="Times New Roman" w:eastAsia="方正黑体_GBK"/>
                <w:color w:val="000000"/>
                <w:spacing w:val="-2"/>
                <w:szCs w:val="21"/>
              </w:rPr>
              <w:t>序号</w:t>
            </w:r>
          </w:p>
        </w:tc>
        <w:tc>
          <w:tcPr>
            <w:tcW w:w="750" w:type="dxa"/>
            <w:tcBorders>
              <w:top w:val="single" w:color="auto" w:sz="8" w:space="0"/>
              <w:left w:val="single" w:color="auto" w:sz="4" w:space="0"/>
              <w:bottom w:val="single" w:color="auto" w:sz="4" w:space="0"/>
              <w:right w:val="single" w:color="auto" w:sz="4" w:space="0"/>
            </w:tcBorders>
            <w:noWrap w:val="0"/>
            <w:vAlign w:val="center"/>
          </w:tcPr>
          <w:p>
            <w:pPr>
              <w:ind w:left="-103" w:leftChars="-50" w:right="-103" w:rightChars="-50"/>
              <w:jc w:val="center"/>
              <w:rPr>
                <w:rFonts w:ascii="Times New Roman" w:eastAsia="方正黑体_GBK"/>
                <w:color w:val="000000"/>
                <w:spacing w:val="-2"/>
                <w:szCs w:val="21"/>
              </w:rPr>
            </w:pPr>
            <w:r>
              <w:rPr>
                <w:rFonts w:hint="eastAsia" w:ascii="Times New Roman" w:eastAsia="方正黑体_GBK"/>
                <w:color w:val="000000"/>
                <w:spacing w:val="-2"/>
                <w:szCs w:val="21"/>
              </w:rPr>
              <w:t>时间</w:t>
            </w:r>
          </w:p>
        </w:tc>
        <w:tc>
          <w:tcPr>
            <w:tcW w:w="750" w:type="dxa"/>
            <w:tcBorders>
              <w:top w:val="single" w:color="auto" w:sz="8" w:space="0"/>
              <w:left w:val="single" w:color="auto" w:sz="4" w:space="0"/>
              <w:bottom w:val="single" w:color="auto" w:sz="4" w:space="0"/>
              <w:right w:val="single" w:color="auto" w:sz="4" w:space="0"/>
            </w:tcBorders>
            <w:noWrap w:val="0"/>
            <w:vAlign w:val="center"/>
          </w:tcPr>
          <w:p>
            <w:pPr>
              <w:ind w:left="-103" w:leftChars="-50" w:right="-103" w:rightChars="-50"/>
              <w:jc w:val="center"/>
              <w:rPr>
                <w:rFonts w:ascii="Times New Roman" w:eastAsia="方正黑体_GBK"/>
                <w:color w:val="000000"/>
                <w:spacing w:val="-2"/>
                <w:szCs w:val="21"/>
              </w:rPr>
            </w:pPr>
            <w:r>
              <w:rPr>
                <w:rFonts w:hint="eastAsia" w:ascii="Times New Roman" w:eastAsia="方正黑体_GBK"/>
                <w:color w:val="000000"/>
                <w:spacing w:val="-2"/>
                <w:szCs w:val="21"/>
              </w:rPr>
              <w:t>专业</w:t>
            </w:r>
          </w:p>
        </w:tc>
        <w:tc>
          <w:tcPr>
            <w:tcW w:w="749" w:type="dxa"/>
            <w:tcBorders>
              <w:top w:val="single" w:color="auto" w:sz="8" w:space="0"/>
              <w:left w:val="single" w:color="auto" w:sz="4" w:space="0"/>
              <w:bottom w:val="single" w:color="auto" w:sz="4" w:space="0"/>
              <w:right w:val="single" w:color="auto" w:sz="4" w:space="0"/>
            </w:tcBorders>
            <w:noWrap w:val="0"/>
            <w:vAlign w:val="center"/>
          </w:tcPr>
          <w:p>
            <w:pPr>
              <w:ind w:left="-103" w:leftChars="-50" w:right="-103" w:rightChars="-50"/>
              <w:jc w:val="center"/>
              <w:rPr>
                <w:rFonts w:ascii="Times New Roman" w:eastAsia="方正黑体_GBK"/>
                <w:color w:val="000000"/>
                <w:spacing w:val="-2"/>
                <w:szCs w:val="21"/>
              </w:rPr>
            </w:pPr>
            <w:r>
              <w:rPr>
                <w:rFonts w:hint="eastAsia" w:ascii="Times New Roman" w:eastAsia="方正黑体_GBK"/>
                <w:color w:val="000000"/>
                <w:spacing w:val="-2"/>
                <w:szCs w:val="21"/>
              </w:rPr>
              <w:t>咨询人</w:t>
            </w:r>
          </w:p>
        </w:tc>
        <w:tc>
          <w:tcPr>
            <w:tcW w:w="928" w:type="dxa"/>
            <w:tcBorders>
              <w:top w:val="single" w:color="auto" w:sz="8" w:space="0"/>
              <w:left w:val="single" w:color="auto" w:sz="4" w:space="0"/>
              <w:bottom w:val="single" w:color="auto" w:sz="4" w:space="0"/>
              <w:right w:val="single" w:color="auto" w:sz="4" w:space="0"/>
            </w:tcBorders>
            <w:noWrap w:val="0"/>
            <w:vAlign w:val="center"/>
          </w:tcPr>
          <w:p>
            <w:pPr>
              <w:ind w:left="-103" w:leftChars="-50" w:right="-103" w:rightChars="-50"/>
              <w:jc w:val="center"/>
              <w:rPr>
                <w:rFonts w:ascii="Times New Roman" w:eastAsia="方正黑体_GBK"/>
                <w:color w:val="000000"/>
                <w:spacing w:val="-2"/>
                <w:szCs w:val="21"/>
              </w:rPr>
            </w:pPr>
            <w:r>
              <w:rPr>
                <w:rFonts w:hint="eastAsia" w:ascii="Times New Roman" w:eastAsia="方正黑体_GBK"/>
                <w:color w:val="000000"/>
                <w:spacing w:val="-2"/>
                <w:szCs w:val="21"/>
              </w:rPr>
              <w:t>联系电话</w:t>
            </w:r>
          </w:p>
        </w:tc>
        <w:tc>
          <w:tcPr>
            <w:tcW w:w="1398" w:type="dxa"/>
            <w:tcBorders>
              <w:top w:val="single" w:color="auto" w:sz="8" w:space="0"/>
              <w:left w:val="single" w:color="auto" w:sz="4" w:space="0"/>
              <w:bottom w:val="single" w:color="auto" w:sz="4" w:space="0"/>
              <w:right w:val="single" w:color="auto" w:sz="4" w:space="0"/>
            </w:tcBorders>
            <w:noWrap w:val="0"/>
            <w:vAlign w:val="center"/>
          </w:tcPr>
          <w:p>
            <w:pPr>
              <w:ind w:left="-103" w:leftChars="-50" w:right="-103" w:rightChars="-50"/>
              <w:jc w:val="center"/>
              <w:rPr>
                <w:rFonts w:ascii="Times New Roman" w:eastAsia="方正黑体_GBK"/>
                <w:color w:val="000000"/>
                <w:spacing w:val="-2"/>
                <w:szCs w:val="21"/>
                <w:highlight w:val="lightGray"/>
              </w:rPr>
            </w:pPr>
            <w:r>
              <w:rPr>
                <w:rFonts w:hint="eastAsia" w:ascii="Times New Roman" w:eastAsia="方正黑体_GBK"/>
                <w:color w:val="000000"/>
                <w:spacing w:val="-2"/>
                <w:szCs w:val="21"/>
              </w:rPr>
              <w:t>咨询内容</w:t>
            </w:r>
          </w:p>
        </w:tc>
        <w:tc>
          <w:tcPr>
            <w:tcW w:w="1740" w:type="dxa"/>
            <w:tcBorders>
              <w:top w:val="single" w:color="auto" w:sz="8" w:space="0"/>
              <w:left w:val="single" w:color="auto" w:sz="4" w:space="0"/>
              <w:bottom w:val="single" w:color="auto" w:sz="4" w:space="0"/>
              <w:right w:val="single" w:color="auto" w:sz="4" w:space="0"/>
            </w:tcBorders>
            <w:noWrap w:val="0"/>
            <w:vAlign w:val="center"/>
          </w:tcPr>
          <w:p>
            <w:pPr>
              <w:ind w:left="-103" w:leftChars="-50" w:right="-103" w:rightChars="-50"/>
              <w:jc w:val="center"/>
              <w:rPr>
                <w:rFonts w:ascii="Times New Roman" w:eastAsia="方正黑体_GBK"/>
                <w:color w:val="000000"/>
                <w:spacing w:val="-2"/>
                <w:szCs w:val="21"/>
              </w:rPr>
            </w:pPr>
            <w:r>
              <w:rPr>
                <w:rFonts w:hint="eastAsia" w:ascii="Times New Roman" w:eastAsia="方正黑体_GBK"/>
                <w:color w:val="000000"/>
                <w:spacing w:val="-2"/>
                <w:szCs w:val="21"/>
              </w:rPr>
              <w:t>答复内容</w:t>
            </w:r>
          </w:p>
        </w:tc>
        <w:tc>
          <w:tcPr>
            <w:tcW w:w="940" w:type="dxa"/>
            <w:tcBorders>
              <w:top w:val="single" w:color="auto" w:sz="8" w:space="0"/>
              <w:left w:val="single" w:color="auto" w:sz="4" w:space="0"/>
              <w:bottom w:val="single" w:color="auto" w:sz="4" w:space="0"/>
              <w:right w:val="single" w:color="auto" w:sz="4" w:space="0"/>
            </w:tcBorders>
            <w:noWrap w:val="0"/>
            <w:vAlign w:val="center"/>
          </w:tcPr>
          <w:p>
            <w:pPr>
              <w:ind w:left="-103" w:leftChars="-50" w:right="-103" w:rightChars="-50"/>
              <w:jc w:val="center"/>
              <w:rPr>
                <w:rFonts w:ascii="Times New Roman" w:eastAsia="方正黑体_GBK"/>
                <w:color w:val="000000"/>
                <w:spacing w:val="-2"/>
                <w:szCs w:val="21"/>
              </w:rPr>
            </w:pPr>
            <w:r>
              <w:rPr>
                <w:rFonts w:hint="eastAsia" w:ascii="Times New Roman" w:eastAsia="方正黑体_GBK"/>
                <w:color w:val="000000"/>
                <w:spacing w:val="-2"/>
                <w:szCs w:val="21"/>
              </w:rPr>
              <w:t>答复人</w:t>
            </w:r>
          </w:p>
        </w:tc>
        <w:tc>
          <w:tcPr>
            <w:tcW w:w="840" w:type="dxa"/>
            <w:tcBorders>
              <w:top w:val="single" w:color="auto" w:sz="8" w:space="0"/>
              <w:left w:val="single" w:color="auto" w:sz="4" w:space="0"/>
              <w:bottom w:val="single" w:color="auto" w:sz="4" w:space="0"/>
              <w:right w:val="single" w:color="auto" w:sz="8" w:space="0"/>
            </w:tcBorders>
            <w:noWrap w:val="0"/>
            <w:vAlign w:val="center"/>
          </w:tcPr>
          <w:p>
            <w:pPr>
              <w:ind w:left="-103" w:leftChars="-50" w:right="-103" w:rightChars="-50"/>
              <w:jc w:val="center"/>
              <w:rPr>
                <w:rFonts w:ascii="Times New Roman" w:eastAsia="方正黑体_GBK"/>
                <w:color w:val="000000"/>
                <w:spacing w:val="-2"/>
                <w:szCs w:val="21"/>
              </w:rPr>
            </w:pPr>
            <w:r>
              <w:rPr>
                <w:rFonts w:hint="eastAsia" w:ascii="Times New Roman" w:eastAsia="方正黑体_GBK"/>
                <w:color w:val="000000"/>
                <w:spacing w:val="-2"/>
                <w:szCs w:val="21"/>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625" w:type="dxa"/>
            <w:tcBorders>
              <w:top w:val="single" w:color="auto" w:sz="4" w:space="0"/>
              <w:left w:val="single" w:color="auto" w:sz="8"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7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7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749"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9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139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9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840" w:type="dxa"/>
            <w:tcBorders>
              <w:top w:val="single" w:color="auto" w:sz="4" w:space="0"/>
              <w:left w:val="single" w:color="auto" w:sz="4" w:space="0"/>
              <w:bottom w:val="single" w:color="auto" w:sz="4" w:space="0"/>
              <w:right w:val="single" w:color="auto" w:sz="8"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625" w:type="dxa"/>
            <w:tcBorders>
              <w:top w:val="single" w:color="auto" w:sz="4" w:space="0"/>
              <w:left w:val="single" w:color="auto" w:sz="8"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7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7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749"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9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139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9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840" w:type="dxa"/>
            <w:tcBorders>
              <w:top w:val="single" w:color="auto" w:sz="4" w:space="0"/>
              <w:left w:val="single" w:color="auto" w:sz="4" w:space="0"/>
              <w:bottom w:val="single" w:color="auto" w:sz="4" w:space="0"/>
              <w:right w:val="single" w:color="auto" w:sz="8"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625" w:type="dxa"/>
            <w:tcBorders>
              <w:top w:val="single" w:color="auto" w:sz="4" w:space="0"/>
              <w:left w:val="single" w:color="auto" w:sz="8"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7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7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749"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9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139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9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840" w:type="dxa"/>
            <w:tcBorders>
              <w:top w:val="single" w:color="auto" w:sz="4" w:space="0"/>
              <w:left w:val="single" w:color="auto" w:sz="4" w:space="0"/>
              <w:bottom w:val="single" w:color="auto" w:sz="4" w:space="0"/>
              <w:right w:val="single" w:color="auto" w:sz="8"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625" w:type="dxa"/>
            <w:tcBorders>
              <w:top w:val="single" w:color="auto" w:sz="4" w:space="0"/>
              <w:left w:val="single" w:color="auto" w:sz="8"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7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7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749"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9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139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9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840" w:type="dxa"/>
            <w:tcBorders>
              <w:top w:val="single" w:color="auto" w:sz="4" w:space="0"/>
              <w:left w:val="single" w:color="auto" w:sz="4" w:space="0"/>
              <w:bottom w:val="single" w:color="auto" w:sz="4" w:space="0"/>
              <w:right w:val="single" w:color="auto" w:sz="8"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625" w:type="dxa"/>
            <w:tcBorders>
              <w:top w:val="single" w:color="auto" w:sz="4" w:space="0"/>
              <w:left w:val="single" w:color="auto" w:sz="8"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7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7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749"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9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139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9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840" w:type="dxa"/>
            <w:tcBorders>
              <w:top w:val="single" w:color="auto" w:sz="4" w:space="0"/>
              <w:left w:val="single" w:color="auto" w:sz="4" w:space="0"/>
              <w:bottom w:val="single" w:color="auto" w:sz="4" w:space="0"/>
              <w:right w:val="single" w:color="auto" w:sz="8"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625" w:type="dxa"/>
            <w:tcBorders>
              <w:top w:val="single" w:color="auto" w:sz="4" w:space="0"/>
              <w:left w:val="single" w:color="auto" w:sz="8"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7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7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749"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9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139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9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840" w:type="dxa"/>
            <w:tcBorders>
              <w:top w:val="single" w:color="auto" w:sz="4" w:space="0"/>
              <w:left w:val="single" w:color="auto" w:sz="4" w:space="0"/>
              <w:bottom w:val="single" w:color="auto" w:sz="4" w:space="0"/>
              <w:right w:val="single" w:color="auto" w:sz="8"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625" w:type="dxa"/>
            <w:tcBorders>
              <w:top w:val="single" w:color="auto" w:sz="4" w:space="0"/>
              <w:left w:val="single" w:color="auto" w:sz="8"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7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7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749"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9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139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9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840" w:type="dxa"/>
            <w:tcBorders>
              <w:top w:val="single" w:color="auto" w:sz="4" w:space="0"/>
              <w:left w:val="single" w:color="auto" w:sz="4" w:space="0"/>
              <w:bottom w:val="single" w:color="auto" w:sz="4" w:space="0"/>
              <w:right w:val="single" w:color="auto" w:sz="8"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625" w:type="dxa"/>
            <w:tcBorders>
              <w:top w:val="single" w:color="auto" w:sz="4" w:space="0"/>
              <w:left w:val="single" w:color="auto" w:sz="8" w:space="0"/>
              <w:bottom w:val="single" w:color="auto" w:sz="8"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750" w:type="dxa"/>
            <w:tcBorders>
              <w:top w:val="single" w:color="auto" w:sz="4" w:space="0"/>
              <w:left w:val="single" w:color="auto" w:sz="4" w:space="0"/>
              <w:bottom w:val="single" w:color="auto" w:sz="8"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750" w:type="dxa"/>
            <w:tcBorders>
              <w:top w:val="single" w:color="auto" w:sz="4" w:space="0"/>
              <w:left w:val="single" w:color="auto" w:sz="4" w:space="0"/>
              <w:bottom w:val="single" w:color="auto" w:sz="8"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749" w:type="dxa"/>
            <w:tcBorders>
              <w:top w:val="single" w:color="auto" w:sz="4" w:space="0"/>
              <w:left w:val="single" w:color="auto" w:sz="4" w:space="0"/>
              <w:bottom w:val="single" w:color="auto" w:sz="8"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928" w:type="dxa"/>
            <w:tcBorders>
              <w:top w:val="single" w:color="auto" w:sz="4" w:space="0"/>
              <w:left w:val="single" w:color="auto" w:sz="4" w:space="0"/>
              <w:bottom w:val="single" w:color="auto" w:sz="8"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1398" w:type="dxa"/>
            <w:tcBorders>
              <w:top w:val="single" w:color="auto" w:sz="4" w:space="0"/>
              <w:left w:val="single" w:color="auto" w:sz="4" w:space="0"/>
              <w:bottom w:val="single" w:color="auto" w:sz="8"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1740" w:type="dxa"/>
            <w:tcBorders>
              <w:top w:val="single" w:color="auto" w:sz="4" w:space="0"/>
              <w:left w:val="single" w:color="auto" w:sz="4" w:space="0"/>
              <w:bottom w:val="single" w:color="auto" w:sz="8"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940" w:type="dxa"/>
            <w:tcBorders>
              <w:top w:val="single" w:color="auto" w:sz="4" w:space="0"/>
              <w:left w:val="single" w:color="auto" w:sz="4" w:space="0"/>
              <w:bottom w:val="single" w:color="auto" w:sz="8" w:space="0"/>
              <w:right w:val="single" w:color="auto" w:sz="4"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c>
          <w:tcPr>
            <w:tcW w:w="840" w:type="dxa"/>
            <w:tcBorders>
              <w:top w:val="single" w:color="auto" w:sz="4" w:space="0"/>
              <w:left w:val="single" w:color="auto" w:sz="4" w:space="0"/>
              <w:bottom w:val="single" w:color="auto" w:sz="8" w:space="0"/>
              <w:right w:val="single" w:color="auto" w:sz="8" w:space="0"/>
            </w:tcBorders>
            <w:noWrap w:val="0"/>
            <w:vAlign w:val="center"/>
          </w:tcPr>
          <w:p>
            <w:pPr>
              <w:spacing w:line="360" w:lineRule="auto"/>
              <w:ind w:left="-103" w:leftChars="-50" w:right="-103" w:rightChars="-50"/>
              <w:jc w:val="center"/>
              <w:rPr>
                <w:rFonts w:ascii="Times New Roman" w:eastAsia="方正仿宋_GBK"/>
                <w:color w:val="000000"/>
                <w:spacing w:val="-2"/>
                <w:szCs w:val="21"/>
              </w:rPr>
            </w:pPr>
          </w:p>
        </w:tc>
      </w:tr>
    </w:tbl>
    <w:p>
      <w:pPr>
        <w:spacing w:line="360" w:lineRule="auto"/>
        <w:jc w:val="center"/>
        <w:rPr>
          <w:rFonts w:hint="eastAsia"/>
          <w:color w:val="000000"/>
          <w:spacing w:val="-2"/>
        </w:rPr>
      </w:pPr>
    </w:p>
    <w:p>
      <w:pPr>
        <w:spacing w:line="460" w:lineRule="exact"/>
        <w:rPr>
          <w:rFonts w:ascii="Times New Roman" w:eastAsia="方正黑体_GBK"/>
          <w:color w:val="000000"/>
          <w:spacing w:val="-2"/>
          <w:sz w:val="28"/>
          <w:szCs w:val="28"/>
        </w:rPr>
      </w:pPr>
      <w:r>
        <w:rPr>
          <w:rFonts w:hint="eastAsia" w:ascii="Times New Roman" w:eastAsia="方正黑体_GBK"/>
          <w:color w:val="000000"/>
          <w:spacing w:val="-2"/>
          <w:sz w:val="28"/>
          <w:szCs w:val="28"/>
        </w:rPr>
        <w:t>附件二：</w:t>
      </w:r>
    </w:p>
    <w:p>
      <w:pPr>
        <w:spacing w:line="460" w:lineRule="exact"/>
        <w:rPr>
          <w:rFonts w:hint="eastAsia" w:eastAsia="方正仿宋_GBK"/>
          <w:color w:val="000000"/>
          <w:spacing w:val="-2"/>
          <w:sz w:val="24"/>
        </w:rPr>
      </w:pPr>
    </w:p>
    <w:p>
      <w:pPr>
        <w:spacing w:line="360" w:lineRule="auto"/>
        <w:jc w:val="center"/>
        <w:rPr>
          <w:rFonts w:ascii="Times New Roman" w:eastAsia="方正黑体_GBK"/>
          <w:color w:val="000000"/>
          <w:spacing w:val="-2"/>
          <w:sz w:val="28"/>
          <w:szCs w:val="28"/>
        </w:rPr>
      </w:pPr>
      <w:r>
        <w:rPr>
          <w:rFonts w:hint="eastAsia" w:ascii="Times New Roman" w:eastAsia="方正黑体_GBK"/>
          <w:color w:val="000000"/>
          <w:spacing w:val="-2"/>
          <w:sz w:val="28"/>
          <w:szCs w:val="28"/>
        </w:rPr>
        <w:t>计价解释来人、来函咨询记录单</w:t>
      </w:r>
    </w:p>
    <w:p>
      <w:pPr>
        <w:spacing w:line="360" w:lineRule="auto"/>
        <w:ind w:firstLine="7070" w:firstLineChars="3500"/>
        <w:rPr>
          <w:rFonts w:hint="eastAsia" w:eastAsia="方正仿宋_GBK"/>
          <w:color w:val="000000"/>
          <w:spacing w:val="-2"/>
          <w:szCs w:val="21"/>
          <w:u w:val="single"/>
        </w:rPr>
      </w:pPr>
      <w:r>
        <w:rPr>
          <w:rFonts w:hint="eastAsia" w:eastAsia="方正仿宋_GBK"/>
          <w:color w:val="000000"/>
          <w:spacing w:val="-2"/>
          <w:szCs w:val="21"/>
        </w:rPr>
        <w:t>编号</w:t>
      </w:r>
      <w:r>
        <w:rPr>
          <w:rFonts w:eastAsia="方正仿宋_GBK"/>
          <w:color w:val="000000"/>
          <w:spacing w:val="-2"/>
          <w:szCs w:val="21"/>
          <w:u w:val="single"/>
        </w:rPr>
        <w:t xml:space="preserve">         </w:t>
      </w:r>
    </w:p>
    <w:tbl>
      <w:tblPr>
        <w:tblStyle w:val="12"/>
        <w:tblW w:w="0" w:type="auto"/>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90"/>
        <w:gridCol w:w="458"/>
        <w:gridCol w:w="678"/>
        <w:gridCol w:w="217"/>
        <w:gridCol w:w="1136"/>
        <w:gridCol w:w="61"/>
        <w:gridCol w:w="784"/>
        <w:gridCol w:w="451"/>
        <w:gridCol w:w="747"/>
        <w:gridCol w:w="281"/>
        <w:gridCol w:w="386"/>
        <w:gridCol w:w="418"/>
        <w:gridCol w:w="593"/>
        <w:gridCol w:w="140"/>
        <w:gridCol w:w="9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390" w:type="dxa"/>
            <w:vMerge w:val="restart"/>
            <w:tcBorders>
              <w:top w:val="single" w:color="auto" w:sz="8"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咨询人情况</w:t>
            </w:r>
          </w:p>
        </w:tc>
        <w:tc>
          <w:tcPr>
            <w:tcW w:w="1136" w:type="dxa"/>
            <w:gridSpan w:val="2"/>
            <w:tcBorders>
              <w:top w:val="single" w:color="auto" w:sz="8"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姓名</w:t>
            </w:r>
          </w:p>
        </w:tc>
        <w:tc>
          <w:tcPr>
            <w:tcW w:w="1353" w:type="dxa"/>
            <w:gridSpan w:val="2"/>
            <w:tcBorders>
              <w:top w:val="single" w:color="auto" w:sz="8"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845" w:type="dxa"/>
            <w:gridSpan w:val="2"/>
            <w:tcBorders>
              <w:top w:val="single" w:color="auto" w:sz="8"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联系</w:t>
            </w:r>
          </w:p>
          <w:p>
            <w:pPr>
              <w:jc w:val="center"/>
              <w:rPr>
                <w:rFonts w:eastAsia="方正仿宋_GBK"/>
                <w:color w:val="000000"/>
                <w:spacing w:val="-2"/>
                <w:szCs w:val="21"/>
              </w:rPr>
            </w:pPr>
            <w:r>
              <w:rPr>
                <w:rFonts w:hint="eastAsia" w:eastAsia="方正仿宋_GBK"/>
                <w:color w:val="000000"/>
                <w:spacing w:val="-2"/>
                <w:szCs w:val="21"/>
              </w:rPr>
              <w:t>电话</w:t>
            </w:r>
          </w:p>
        </w:tc>
        <w:tc>
          <w:tcPr>
            <w:tcW w:w="1198" w:type="dxa"/>
            <w:gridSpan w:val="2"/>
            <w:tcBorders>
              <w:top w:val="single" w:color="auto" w:sz="8"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1085" w:type="dxa"/>
            <w:gridSpan w:val="3"/>
            <w:tcBorders>
              <w:top w:val="single" w:color="auto" w:sz="8"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联系地址</w:t>
            </w:r>
          </w:p>
        </w:tc>
        <w:tc>
          <w:tcPr>
            <w:tcW w:w="1713" w:type="dxa"/>
            <w:gridSpan w:val="3"/>
            <w:tcBorders>
              <w:top w:val="single" w:color="auto" w:sz="8"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390" w:type="dxa"/>
            <w:vMerge w:val="continue"/>
            <w:tcBorders>
              <w:top w:val="single" w:color="auto" w:sz="8"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13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工作单位</w:t>
            </w:r>
          </w:p>
        </w:tc>
        <w:tc>
          <w:tcPr>
            <w:tcW w:w="4063" w:type="dxa"/>
            <w:gridSpan w:val="8"/>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101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咨询</w:t>
            </w:r>
          </w:p>
          <w:p>
            <w:pPr>
              <w:jc w:val="center"/>
              <w:rPr>
                <w:rFonts w:eastAsia="方正仿宋_GBK"/>
                <w:color w:val="000000"/>
                <w:spacing w:val="-2"/>
                <w:szCs w:val="21"/>
              </w:rPr>
            </w:pPr>
            <w:r>
              <w:rPr>
                <w:rFonts w:hint="eastAsia" w:eastAsia="方正仿宋_GBK"/>
                <w:color w:val="000000"/>
                <w:spacing w:val="-2"/>
                <w:szCs w:val="21"/>
              </w:rPr>
              <w:t>时间</w:t>
            </w:r>
          </w:p>
        </w:tc>
        <w:tc>
          <w:tcPr>
            <w:tcW w:w="1120" w:type="dxa"/>
            <w:gridSpan w:val="2"/>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390" w:type="dxa"/>
            <w:vMerge w:val="restart"/>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咨询人提供资料情况</w:t>
            </w:r>
          </w:p>
          <w:p>
            <w:pPr>
              <w:jc w:val="center"/>
              <w:rPr>
                <w:rFonts w:eastAsia="方正仿宋_GBK"/>
                <w:color w:val="000000"/>
                <w:spacing w:val="-2"/>
                <w:szCs w:val="21"/>
              </w:rPr>
            </w:pPr>
            <w:r>
              <w:rPr>
                <w:rFonts w:hint="eastAsia" w:eastAsia="方正仿宋_GBK"/>
                <w:color w:val="000000"/>
                <w:spacing w:val="-2"/>
                <w:szCs w:val="21"/>
              </w:rPr>
              <w:t>（请打</w:t>
            </w:r>
            <w:r>
              <w:rPr>
                <w:rFonts w:eastAsia="方正仿宋_GBK"/>
                <w:color w:val="000000"/>
                <w:spacing w:val="-2"/>
                <w:szCs w:val="21"/>
              </w:rPr>
              <w:t>“√”</w:t>
            </w:r>
            <w:r>
              <w:rPr>
                <w:rFonts w:hint="eastAsia" w:eastAsia="方正仿宋_GBK"/>
                <w:color w:val="000000"/>
                <w:spacing w:val="-2"/>
                <w:szCs w:val="21"/>
              </w:rPr>
              <w:t>选择）</w:t>
            </w:r>
          </w:p>
        </w:tc>
        <w:tc>
          <w:tcPr>
            <w:tcW w:w="45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1</w:t>
            </w:r>
          </w:p>
        </w:tc>
        <w:tc>
          <w:tcPr>
            <w:tcW w:w="2092"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书面申请报告</w:t>
            </w:r>
          </w:p>
        </w:tc>
        <w:tc>
          <w:tcPr>
            <w:tcW w:w="784"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451"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2</w:t>
            </w:r>
          </w:p>
        </w:tc>
        <w:tc>
          <w:tcPr>
            <w:tcW w:w="2565" w:type="dxa"/>
            <w:gridSpan w:val="6"/>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施工合同</w:t>
            </w:r>
          </w:p>
        </w:tc>
        <w:tc>
          <w:tcPr>
            <w:tcW w:w="980"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39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45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3</w:t>
            </w:r>
          </w:p>
        </w:tc>
        <w:tc>
          <w:tcPr>
            <w:tcW w:w="2092"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补充协议</w:t>
            </w:r>
          </w:p>
        </w:tc>
        <w:tc>
          <w:tcPr>
            <w:tcW w:w="784"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451"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4</w:t>
            </w:r>
          </w:p>
        </w:tc>
        <w:tc>
          <w:tcPr>
            <w:tcW w:w="2565" w:type="dxa"/>
            <w:gridSpan w:val="6"/>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招投标文件</w:t>
            </w:r>
          </w:p>
        </w:tc>
        <w:tc>
          <w:tcPr>
            <w:tcW w:w="980"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39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45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5</w:t>
            </w:r>
          </w:p>
        </w:tc>
        <w:tc>
          <w:tcPr>
            <w:tcW w:w="2092"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施工图纸</w:t>
            </w:r>
          </w:p>
        </w:tc>
        <w:tc>
          <w:tcPr>
            <w:tcW w:w="784"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451"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6</w:t>
            </w:r>
          </w:p>
        </w:tc>
        <w:tc>
          <w:tcPr>
            <w:tcW w:w="2565" w:type="dxa"/>
            <w:gridSpan w:val="6"/>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现场设计变更与签证资料</w:t>
            </w:r>
          </w:p>
        </w:tc>
        <w:tc>
          <w:tcPr>
            <w:tcW w:w="980"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390"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45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7</w:t>
            </w:r>
          </w:p>
        </w:tc>
        <w:tc>
          <w:tcPr>
            <w:tcW w:w="2092"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施工组织设计方案</w:t>
            </w:r>
          </w:p>
        </w:tc>
        <w:tc>
          <w:tcPr>
            <w:tcW w:w="784"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451"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8</w:t>
            </w:r>
          </w:p>
        </w:tc>
        <w:tc>
          <w:tcPr>
            <w:tcW w:w="2565" w:type="dxa"/>
            <w:gridSpan w:val="6"/>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其它</w:t>
            </w:r>
          </w:p>
        </w:tc>
        <w:tc>
          <w:tcPr>
            <w:tcW w:w="980"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20" w:hRule="atLeast"/>
        </w:trPr>
        <w:tc>
          <w:tcPr>
            <w:tcW w:w="1390"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咨询内容</w:t>
            </w:r>
          </w:p>
        </w:tc>
        <w:tc>
          <w:tcPr>
            <w:tcW w:w="7330" w:type="dxa"/>
            <w:gridSpan w:val="14"/>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20" w:hRule="atLeast"/>
        </w:trPr>
        <w:tc>
          <w:tcPr>
            <w:tcW w:w="1390"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答复内容</w:t>
            </w:r>
          </w:p>
        </w:tc>
        <w:tc>
          <w:tcPr>
            <w:tcW w:w="7330" w:type="dxa"/>
            <w:gridSpan w:val="14"/>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1390"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答复人</w:t>
            </w:r>
          </w:p>
        </w:tc>
        <w:tc>
          <w:tcPr>
            <w:tcW w:w="1353"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1136"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审核人</w:t>
            </w:r>
          </w:p>
        </w:tc>
        <w:tc>
          <w:tcPr>
            <w:tcW w:w="1296"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1028"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答复时间</w:t>
            </w:r>
          </w:p>
        </w:tc>
        <w:tc>
          <w:tcPr>
            <w:tcW w:w="2517" w:type="dxa"/>
            <w:gridSpan w:val="5"/>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1390"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答复形式</w:t>
            </w:r>
          </w:p>
        </w:tc>
        <w:tc>
          <w:tcPr>
            <w:tcW w:w="2489"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1</w:t>
            </w:r>
            <w:r>
              <w:rPr>
                <w:rFonts w:hint="eastAsia" w:eastAsia="方正仿宋_GBK"/>
                <w:color w:val="000000"/>
                <w:spacing w:val="-2"/>
                <w:szCs w:val="21"/>
              </w:rPr>
              <w:t>、书面</w:t>
            </w:r>
            <w:r>
              <w:rPr>
                <w:rFonts w:eastAsia="方正仿宋_GBK"/>
                <w:color w:val="000000"/>
                <w:spacing w:val="-2"/>
                <w:szCs w:val="21"/>
              </w:rPr>
              <w:t xml:space="preserve">   2</w:t>
            </w:r>
            <w:r>
              <w:rPr>
                <w:rFonts w:hint="eastAsia" w:eastAsia="方正仿宋_GBK"/>
                <w:color w:val="000000"/>
                <w:spacing w:val="-2"/>
                <w:szCs w:val="21"/>
              </w:rPr>
              <w:t>、口头</w:t>
            </w:r>
          </w:p>
        </w:tc>
        <w:tc>
          <w:tcPr>
            <w:tcW w:w="1296"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书面答复</w:t>
            </w:r>
          </w:p>
          <w:p>
            <w:pPr>
              <w:jc w:val="center"/>
              <w:rPr>
                <w:rFonts w:eastAsia="方正仿宋_GBK"/>
                <w:color w:val="000000"/>
                <w:spacing w:val="-2"/>
                <w:szCs w:val="21"/>
              </w:rPr>
            </w:pPr>
            <w:r>
              <w:rPr>
                <w:rFonts w:hint="eastAsia" w:eastAsia="方正仿宋_GBK"/>
                <w:color w:val="000000"/>
                <w:spacing w:val="-2"/>
                <w:szCs w:val="21"/>
              </w:rPr>
              <w:t>名称</w:t>
            </w:r>
          </w:p>
        </w:tc>
        <w:tc>
          <w:tcPr>
            <w:tcW w:w="3545" w:type="dxa"/>
            <w:gridSpan w:val="7"/>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4" w:hRule="atLeast"/>
        </w:trPr>
        <w:tc>
          <w:tcPr>
            <w:tcW w:w="1390" w:type="dxa"/>
            <w:tcBorders>
              <w:top w:val="single" w:color="auto" w:sz="4" w:space="0"/>
              <w:left w:val="single" w:color="auto" w:sz="8" w:space="0"/>
              <w:bottom w:val="single" w:color="auto" w:sz="8"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备注</w:t>
            </w:r>
          </w:p>
        </w:tc>
        <w:tc>
          <w:tcPr>
            <w:tcW w:w="7330" w:type="dxa"/>
            <w:gridSpan w:val="14"/>
            <w:tcBorders>
              <w:top w:val="single" w:color="auto" w:sz="4" w:space="0"/>
              <w:left w:val="single" w:color="auto" w:sz="4" w:space="0"/>
              <w:bottom w:val="single" w:color="auto" w:sz="8" w:space="0"/>
              <w:right w:val="single" w:color="auto" w:sz="8" w:space="0"/>
            </w:tcBorders>
            <w:noWrap w:val="0"/>
            <w:vAlign w:val="center"/>
          </w:tcPr>
          <w:p>
            <w:pPr>
              <w:jc w:val="center"/>
              <w:rPr>
                <w:rFonts w:eastAsia="方正仿宋_GBK"/>
                <w:color w:val="000000"/>
                <w:spacing w:val="-2"/>
                <w:szCs w:val="21"/>
              </w:rPr>
            </w:pPr>
          </w:p>
        </w:tc>
      </w:tr>
    </w:tbl>
    <w:p>
      <w:pPr>
        <w:spacing w:line="460" w:lineRule="exact"/>
        <w:rPr>
          <w:rFonts w:ascii="Times New Roman" w:eastAsia="方正黑体_GBK"/>
          <w:color w:val="000000"/>
          <w:spacing w:val="-2"/>
          <w:sz w:val="28"/>
          <w:szCs w:val="28"/>
        </w:rPr>
      </w:pPr>
      <w:r>
        <w:rPr>
          <w:rFonts w:hint="eastAsia" w:ascii="Times New Roman" w:eastAsia="方正黑体_GBK"/>
          <w:color w:val="000000"/>
          <w:spacing w:val="-2"/>
          <w:sz w:val="28"/>
          <w:szCs w:val="28"/>
        </w:rPr>
        <w:t>附件三：</w:t>
      </w:r>
    </w:p>
    <w:p>
      <w:pPr>
        <w:spacing w:line="460" w:lineRule="exact"/>
        <w:rPr>
          <w:rFonts w:hint="eastAsia" w:eastAsia="方正仿宋_GBK"/>
          <w:color w:val="000000"/>
          <w:spacing w:val="-2"/>
          <w:sz w:val="24"/>
        </w:rPr>
      </w:pPr>
    </w:p>
    <w:p>
      <w:pPr>
        <w:spacing w:line="360" w:lineRule="auto"/>
        <w:jc w:val="center"/>
        <w:rPr>
          <w:rFonts w:ascii="Times New Roman" w:eastAsia="方正黑体_GBK"/>
          <w:color w:val="000000"/>
          <w:spacing w:val="-2"/>
          <w:sz w:val="28"/>
          <w:szCs w:val="28"/>
        </w:rPr>
      </w:pPr>
      <w:r>
        <w:rPr>
          <w:rFonts w:hint="eastAsia" w:ascii="Times New Roman" w:eastAsia="方正黑体_GBK"/>
          <w:color w:val="000000"/>
          <w:spacing w:val="-2"/>
          <w:sz w:val="28"/>
          <w:szCs w:val="28"/>
        </w:rPr>
        <w:t>计价争议调解申请单</w:t>
      </w:r>
    </w:p>
    <w:p>
      <w:pPr>
        <w:spacing w:line="360" w:lineRule="auto"/>
        <w:ind w:firstLine="7171" w:firstLineChars="3550"/>
        <w:rPr>
          <w:rFonts w:hint="eastAsia" w:eastAsia="方正仿宋_GBK"/>
          <w:color w:val="000000"/>
          <w:spacing w:val="-2"/>
          <w:szCs w:val="21"/>
          <w:u w:val="single"/>
        </w:rPr>
      </w:pPr>
      <w:r>
        <w:rPr>
          <w:rFonts w:hint="eastAsia" w:eastAsia="方正仿宋_GBK"/>
          <w:color w:val="000000"/>
          <w:spacing w:val="-2"/>
          <w:szCs w:val="21"/>
        </w:rPr>
        <w:t>编号</w:t>
      </w:r>
      <w:r>
        <w:rPr>
          <w:rFonts w:eastAsia="方正仿宋_GBK"/>
          <w:color w:val="000000"/>
          <w:spacing w:val="-2"/>
          <w:szCs w:val="21"/>
          <w:u w:val="single"/>
        </w:rPr>
        <w:t xml:space="preserve">         </w:t>
      </w:r>
    </w:p>
    <w:tbl>
      <w:tblPr>
        <w:tblStyle w:val="12"/>
        <w:tblW w:w="0" w:type="auto"/>
        <w:tblInd w:w="8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484"/>
        <w:gridCol w:w="3313"/>
        <w:gridCol w:w="381"/>
        <w:gridCol w:w="1586"/>
        <w:gridCol w:w="18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60" w:type="dxa"/>
            <w:gridSpan w:val="2"/>
            <w:tcBorders>
              <w:top w:val="single" w:color="auto" w:sz="8"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项目名称</w:t>
            </w:r>
          </w:p>
        </w:tc>
        <w:tc>
          <w:tcPr>
            <w:tcW w:w="3694" w:type="dxa"/>
            <w:gridSpan w:val="2"/>
            <w:tcBorders>
              <w:top w:val="single" w:color="auto" w:sz="8"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1586" w:type="dxa"/>
            <w:tcBorders>
              <w:top w:val="single" w:color="auto" w:sz="8"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预约时间</w:t>
            </w:r>
          </w:p>
        </w:tc>
        <w:tc>
          <w:tcPr>
            <w:tcW w:w="1860" w:type="dxa"/>
            <w:tcBorders>
              <w:top w:val="single" w:color="auto" w:sz="8"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60" w:type="dxa"/>
            <w:gridSpan w:val="2"/>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申请内容</w:t>
            </w:r>
          </w:p>
        </w:tc>
        <w:tc>
          <w:tcPr>
            <w:tcW w:w="369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1586"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来访时间</w:t>
            </w:r>
          </w:p>
        </w:tc>
        <w:tc>
          <w:tcPr>
            <w:tcW w:w="1860"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96" w:hRule="atLeast"/>
        </w:trPr>
        <w:tc>
          <w:tcPr>
            <w:tcW w:w="4973" w:type="dxa"/>
            <w:gridSpan w:val="3"/>
            <w:tcBorders>
              <w:top w:val="single" w:color="auto" w:sz="4" w:space="0"/>
              <w:left w:val="single" w:color="auto" w:sz="8" w:space="0"/>
              <w:bottom w:val="single" w:color="auto" w:sz="4" w:space="0"/>
              <w:right w:val="single" w:color="auto" w:sz="4" w:space="0"/>
            </w:tcBorders>
            <w:noWrap w:val="0"/>
            <w:vAlign w:val="top"/>
          </w:tcPr>
          <w:p>
            <w:pPr>
              <w:rPr>
                <w:rFonts w:eastAsia="方正仿宋_GBK"/>
                <w:color w:val="000000"/>
                <w:spacing w:val="-2"/>
                <w:szCs w:val="21"/>
              </w:rPr>
            </w:pPr>
          </w:p>
          <w:p>
            <w:pPr>
              <w:rPr>
                <w:rFonts w:eastAsia="方正仿宋_GBK"/>
                <w:color w:val="000000"/>
                <w:spacing w:val="-2"/>
                <w:szCs w:val="21"/>
              </w:rPr>
            </w:pPr>
            <w:r>
              <w:rPr>
                <w:rFonts w:hint="eastAsia" w:eastAsia="方正仿宋_GBK"/>
                <w:color w:val="000000"/>
                <w:spacing w:val="-2"/>
                <w:szCs w:val="21"/>
              </w:rPr>
              <w:t>甲方意见</w:t>
            </w:r>
          </w:p>
        </w:tc>
        <w:tc>
          <w:tcPr>
            <w:tcW w:w="3827" w:type="dxa"/>
            <w:gridSpan w:val="3"/>
            <w:tcBorders>
              <w:top w:val="single" w:color="auto" w:sz="4" w:space="0"/>
              <w:left w:val="single" w:color="auto" w:sz="4" w:space="0"/>
              <w:bottom w:val="single" w:color="auto" w:sz="4" w:space="0"/>
              <w:right w:val="single" w:color="auto" w:sz="8" w:space="0"/>
            </w:tcBorders>
            <w:noWrap w:val="0"/>
            <w:vAlign w:val="top"/>
          </w:tcPr>
          <w:p>
            <w:pPr>
              <w:rPr>
                <w:rFonts w:eastAsia="方正仿宋_GBK"/>
                <w:color w:val="000000"/>
                <w:spacing w:val="-2"/>
                <w:szCs w:val="21"/>
              </w:rPr>
            </w:pPr>
          </w:p>
          <w:p>
            <w:pPr>
              <w:rPr>
                <w:rFonts w:eastAsia="方正仿宋_GBK"/>
                <w:color w:val="000000"/>
                <w:spacing w:val="-2"/>
                <w:szCs w:val="21"/>
              </w:rPr>
            </w:pPr>
            <w:r>
              <w:rPr>
                <w:rFonts w:hint="eastAsia" w:eastAsia="方正仿宋_GBK"/>
                <w:color w:val="000000"/>
                <w:spacing w:val="-2"/>
                <w:szCs w:val="21"/>
              </w:rPr>
              <w:t>乙方意见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15" w:hRule="atLeast"/>
        </w:trPr>
        <w:tc>
          <w:tcPr>
            <w:tcW w:w="4973" w:type="dxa"/>
            <w:gridSpan w:val="3"/>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p>
          <w:p>
            <w:pPr>
              <w:jc w:val="center"/>
              <w:rPr>
                <w:rFonts w:eastAsia="方正仿宋_GBK"/>
                <w:color w:val="000000"/>
                <w:spacing w:val="-2"/>
                <w:szCs w:val="21"/>
              </w:rPr>
            </w:pPr>
          </w:p>
          <w:p>
            <w:pPr>
              <w:jc w:val="center"/>
              <w:rPr>
                <w:rFonts w:eastAsia="方正仿宋_GBK"/>
                <w:color w:val="000000"/>
                <w:spacing w:val="-2"/>
                <w:szCs w:val="21"/>
              </w:rPr>
            </w:pPr>
          </w:p>
          <w:p>
            <w:pPr>
              <w:jc w:val="center"/>
              <w:rPr>
                <w:rFonts w:eastAsia="方正仿宋_GBK"/>
                <w:color w:val="000000"/>
                <w:spacing w:val="-2"/>
                <w:szCs w:val="21"/>
              </w:rPr>
            </w:pPr>
          </w:p>
          <w:p>
            <w:pPr>
              <w:jc w:val="center"/>
              <w:rPr>
                <w:rFonts w:eastAsia="方正仿宋_GBK"/>
                <w:color w:val="000000"/>
                <w:spacing w:val="-2"/>
                <w:szCs w:val="21"/>
              </w:rPr>
            </w:pPr>
          </w:p>
          <w:p>
            <w:pPr>
              <w:jc w:val="center"/>
              <w:rPr>
                <w:rFonts w:eastAsia="方正仿宋_GBK"/>
                <w:color w:val="000000"/>
                <w:spacing w:val="-2"/>
                <w:szCs w:val="21"/>
              </w:rPr>
            </w:pPr>
            <w:r>
              <w:rPr>
                <w:rFonts w:hint="eastAsia" w:eastAsia="方正仿宋_GBK"/>
                <w:color w:val="000000"/>
                <w:spacing w:val="-2"/>
                <w:szCs w:val="21"/>
              </w:rPr>
              <w:t>（单位盖章）</w:t>
            </w:r>
          </w:p>
        </w:tc>
        <w:tc>
          <w:tcPr>
            <w:tcW w:w="3827" w:type="dxa"/>
            <w:gridSpan w:val="3"/>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p>
            <w:pPr>
              <w:jc w:val="center"/>
              <w:rPr>
                <w:rFonts w:eastAsia="方正仿宋_GBK"/>
                <w:color w:val="000000"/>
                <w:spacing w:val="-2"/>
                <w:szCs w:val="21"/>
              </w:rPr>
            </w:pPr>
          </w:p>
          <w:p>
            <w:pPr>
              <w:jc w:val="center"/>
              <w:rPr>
                <w:rFonts w:eastAsia="方正仿宋_GBK"/>
                <w:color w:val="000000"/>
                <w:spacing w:val="-2"/>
                <w:szCs w:val="21"/>
              </w:rPr>
            </w:pPr>
          </w:p>
          <w:p>
            <w:pPr>
              <w:jc w:val="center"/>
              <w:rPr>
                <w:rFonts w:eastAsia="方正仿宋_GBK"/>
                <w:color w:val="000000"/>
                <w:spacing w:val="-2"/>
                <w:szCs w:val="21"/>
              </w:rPr>
            </w:pPr>
          </w:p>
          <w:p>
            <w:pPr>
              <w:jc w:val="center"/>
              <w:rPr>
                <w:rFonts w:eastAsia="方正仿宋_GBK"/>
                <w:color w:val="000000"/>
                <w:spacing w:val="-2"/>
                <w:szCs w:val="21"/>
              </w:rPr>
            </w:pPr>
          </w:p>
          <w:p>
            <w:pPr>
              <w:jc w:val="center"/>
              <w:rPr>
                <w:rFonts w:eastAsia="方正仿宋_GBK"/>
                <w:color w:val="000000"/>
                <w:spacing w:val="-2"/>
                <w:szCs w:val="21"/>
              </w:rPr>
            </w:pPr>
            <w:r>
              <w:rPr>
                <w:rFonts w:hint="eastAsia" w:eastAsia="方正仿宋_GBK"/>
                <w:color w:val="000000"/>
                <w:spacing w:val="-2"/>
                <w:szCs w:val="21"/>
              </w:rPr>
              <w:t>（单位盖章）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47" w:hRule="atLeast"/>
        </w:trPr>
        <w:tc>
          <w:tcPr>
            <w:tcW w:w="1176" w:type="dxa"/>
            <w:tcBorders>
              <w:top w:val="single" w:color="auto" w:sz="4" w:space="0"/>
              <w:left w:val="single" w:color="auto" w:sz="8" w:space="0"/>
              <w:bottom w:val="single" w:color="auto" w:sz="8"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备注</w:t>
            </w:r>
          </w:p>
        </w:tc>
        <w:tc>
          <w:tcPr>
            <w:tcW w:w="7624" w:type="dxa"/>
            <w:gridSpan w:val="5"/>
            <w:tcBorders>
              <w:top w:val="single" w:color="auto" w:sz="4" w:space="0"/>
              <w:left w:val="single" w:color="auto" w:sz="4" w:space="0"/>
              <w:bottom w:val="single" w:color="auto" w:sz="8" w:space="0"/>
              <w:right w:val="single" w:color="auto" w:sz="8" w:space="0"/>
            </w:tcBorders>
            <w:noWrap w:val="0"/>
            <w:vAlign w:val="center"/>
          </w:tcPr>
          <w:p>
            <w:pPr>
              <w:jc w:val="center"/>
              <w:rPr>
                <w:rFonts w:eastAsia="方正仿宋_GBK"/>
                <w:color w:val="000000"/>
                <w:spacing w:val="-2"/>
                <w:szCs w:val="21"/>
              </w:rPr>
            </w:pPr>
          </w:p>
        </w:tc>
      </w:tr>
    </w:tbl>
    <w:p>
      <w:pPr>
        <w:rPr>
          <w:rFonts w:eastAsia="方正仿宋_GBK"/>
          <w:color w:val="000000"/>
          <w:spacing w:val="-2"/>
          <w:szCs w:val="21"/>
        </w:rPr>
      </w:pPr>
    </w:p>
    <w:p>
      <w:pPr>
        <w:spacing w:line="460" w:lineRule="exact"/>
        <w:rPr>
          <w:rFonts w:ascii="Times New Roman" w:eastAsia="方正黑体_GBK"/>
          <w:color w:val="000000"/>
          <w:spacing w:val="-2"/>
          <w:sz w:val="28"/>
          <w:szCs w:val="28"/>
        </w:rPr>
      </w:pPr>
      <w:r>
        <w:rPr>
          <w:rFonts w:eastAsia="方正仿宋_GBK"/>
          <w:color w:val="000000"/>
          <w:spacing w:val="-2"/>
          <w:szCs w:val="21"/>
        </w:rPr>
        <w:br w:type="column"/>
      </w:r>
      <w:r>
        <w:rPr>
          <w:rFonts w:hint="eastAsia" w:ascii="Times New Roman" w:eastAsia="方正黑体_GBK"/>
          <w:color w:val="000000"/>
          <w:spacing w:val="-2"/>
          <w:sz w:val="28"/>
          <w:szCs w:val="28"/>
        </w:rPr>
        <w:t>附件四：</w:t>
      </w:r>
    </w:p>
    <w:p>
      <w:pPr>
        <w:spacing w:line="460" w:lineRule="exact"/>
        <w:rPr>
          <w:rFonts w:hint="eastAsia" w:eastAsia="方正仿宋_GBK"/>
          <w:color w:val="000000"/>
          <w:spacing w:val="-2"/>
          <w:sz w:val="24"/>
        </w:rPr>
      </w:pPr>
    </w:p>
    <w:p>
      <w:pPr>
        <w:spacing w:line="360" w:lineRule="auto"/>
        <w:jc w:val="center"/>
        <w:rPr>
          <w:rFonts w:ascii="Times New Roman" w:eastAsia="方正黑体_GBK"/>
          <w:color w:val="000000"/>
          <w:spacing w:val="-2"/>
          <w:sz w:val="28"/>
          <w:szCs w:val="28"/>
        </w:rPr>
      </w:pPr>
      <w:r>
        <w:rPr>
          <w:rFonts w:hint="eastAsia" w:ascii="Times New Roman" w:eastAsia="方正黑体_GBK"/>
          <w:color w:val="000000"/>
          <w:spacing w:val="-2"/>
          <w:sz w:val="28"/>
          <w:szCs w:val="28"/>
        </w:rPr>
        <w:t>计价争议调解记录单</w:t>
      </w:r>
    </w:p>
    <w:p>
      <w:pPr>
        <w:spacing w:line="360" w:lineRule="auto"/>
        <w:ind w:firstLine="7171" w:firstLineChars="3550"/>
        <w:rPr>
          <w:rFonts w:hint="eastAsia" w:eastAsia="方正仿宋_GBK"/>
          <w:color w:val="000000"/>
          <w:spacing w:val="-2"/>
          <w:szCs w:val="21"/>
        </w:rPr>
      </w:pPr>
      <w:r>
        <w:rPr>
          <w:rFonts w:hint="eastAsia" w:eastAsia="方正仿宋_GBK"/>
          <w:color w:val="000000"/>
          <w:spacing w:val="-2"/>
          <w:szCs w:val="21"/>
        </w:rPr>
        <w:t>编号</w:t>
      </w:r>
      <w:r>
        <w:rPr>
          <w:rFonts w:eastAsia="方正仿宋_GBK"/>
          <w:color w:val="000000"/>
          <w:spacing w:val="-2"/>
          <w:szCs w:val="21"/>
          <w:u w:val="single"/>
        </w:rPr>
        <w:t xml:space="preserve">         </w:t>
      </w:r>
    </w:p>
    <w:tbl>
      <w:tblPr>
        <w:tblStyle w:val="12"/>
        <w:tblW w:w="0" w:type="auto"/>
        <w:tblInd w:w="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8"/>
        <w:gridCol w:w="465"/>
        <w:gridCol w:w="245"/>
        <w:gridCol w:w="540"/>
        <w:gridCol w:w="175"/>
        <w:gridCol w:w="742"/>
        <w:gridCol w:w="405"/>
        <w:gridCol w:w="119"/>
        <w:gridCol w:w="568"/>
        <w:gridCol w:w="450"/>
        <w:gridCol w:w="286"/>
        <w:gridCol w:w="427"/>
        <w:gridCol w:w="597"/>
        <w:gridCol w:w="55"/>
        <w:gridCol w:w="687"/>
        <w:gridCol w:w="701"/>
        <w:gridCol w:w="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598" w:type="dxa"/>
            <w:vMerge w:val="restart"/>
            <w:tcBorders>
              <w:top w:val="single" w:color="auto" w:sz="8"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争议当事人</w:t>
            </w:r>
          </w:p>
          <w:p>
            <w:pPr>
              <w:jc w:val="center"/>
              <w:rPr>
                <w:rFonts w:eastAsia="方正仿宋_GBK"/>
                <w:color w:val="000000"/>
                <w:spacing w:val="-2"/>
                <w:szCs w:val="21"/>
              </w:rPr>
            </w:pPr>
            <w:r>
              <w:rPr>
                <w:rFonts w:hint="eastAsia" w:eastAsia="方正仿宋_GBK"/>
                <w:color w:val="000000"/>
                <w:spacing w:val="-2"/>
                <w:szCs w:val="21"/>
              </w:rPr>
              <w:t>情况</w:t>
            </w:r>
          </w:p>
        </w:tc>
        <w:tc>
          <w:tcPr>
            <w:tcW w:w="710" w:type="dxa"/>
            <w:gridSpan w:val="2"/>
            <w:tcBorders>
              <w:top w:val="single" w:color="auto" w:sz="8"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甲方</w:t>
            </w:r>
          </w:p>
        </w:tc>
        <w:tc>
          <w:tcPr>
            <w:tcW w:w="1862" w:type="dxa"/>
            <w:gridSpan w:val="4"/>
            <w:tcBorders>
              <w:top w:val="single" w:color="auto" w:sz="8" w:space="0"/>
              <w:left w:val="single" w:color="auto" w:sz="4" w:space="0"/>
              <w:bottom w:val="single" w:color="auto" w:sz="4" w:space="0"/>
              <w:right w:val="single" w:color="auto" w:sz="4" w:space="0"/>
            </w:tcBorders>
            <w:noWrap w:val="0"/>
            <w:vAlign w:val="top"/>
          </w:tcPr>
          <w:p>
            <w:pPr>
              <w:jc w:val="center"/>
              <w:rPr>
                <w:rFonts w:eastAsia="方正仿宋_GBK"/>
                <w:color w:val="000000"/>
                <w:spacing w:val="-2"/>
                <w:szCs w:val="21"/>
              </w:rPr>
            </w:pPr>
          </w:p>
        </w:tc>
        <w:tc>
          <w:tcPr>
            <w:tcW w:w="687" w:type="dxa"/>
            <w:gridSpan w:val="2"/>
            <w:vMerge w:val="restart"/>
            <w:tcBorders>
              <w:top w:val="single" w:color="auto" w:sz="8"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联系人</w:t>
            </w:r>
          </w:p>
        </w:tc>
        <w:tc>
          <w:tcPr>
            <w:tcW w:w="1815" w:type="dxa"/>
            <w:gridSpan w:val="5"/>
            <w:tcBorders>
              <w:top w:val="single" w:color="auto" w:sz="8" w:space="0"/>
              <w:left w:val="single" w:color="auto" w:sz="4" w:space="0"/>
              <w:bottom w:val="single" w:color="auto" w:sz="4" w:space="0"/>
              <w:right w:val="single" w:color="auto" w:sz="4" w:space="0"/>
            </w:tcBorders>
            <w:noWrap w:val="0"/>
            <w:vAlign w:val="top"/>
          </w:tcPr>
          <w:p>
            <w:pPr>
              <w:jc w:val="center"/>
              <w:rPr>
                <w:rFonts w:eastAsia="方正仿宋_GBK"/>
                <w:color w:val="000000"/>
                <w:spacing w:val="-2"/>
                <w:szCs w:val="21"/>
              </w:rPr>
            </w:pPr>
          </w:p>
        </w:tc>
        <w:tc>
          <w:tcPr>
            <w:tcW w:w="687" w:type="dxa"/>
            <w:vMerge w:val="restart"/>
            <w:tcBorders>
              <w:top w:val="single" w:color="auto" w:sz="8"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联系电话</w:t>
            </w:r>
          </w:p>
        </w:tc>
        <w:tc>
          <w:tcPr>
            <w:tcW w:w="1436" w:type="dxa"/>
            <w:gridSpan w:val="2"/>
            <w:tcBorders>
              <w:top w:val="single" w:color="auto" w:sz="8" w:space="0"/>
              <w:left w:val="single" w:color="auto" w:sz="4" w:space="0"/>
              <w:bottom w:val="single" w:color="auto" w:sz="4" w:space="0"/>
              <w:right w:val="single" w:color="auto" w:sz="8" w:space="0"/>
            </w:tcBorders>
            <w:noWrap w:val="0"/>
            <w:vAlign w:val="top"/>
          </w:tcPr>
          <w:p>
            <w:pPr>
              <w:jc w:val="center"/>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98" w:type="dxa"/>
            <w:vMerge w:val="continue"/>
            <w:tcBorders>
              <w:top w:val="single" w:color="auto" w:sz="8"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71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乙方</w:t>
            </w:r>
          </w:p>
        </w:tc>
        <w:tc>
          <w:tcPr>
            <w:tcW w:w="1862" w:type="dxa"/>
            <w:gridSpan w:val="4"/>
            <w:tcBorders>
              <w:top w:val="single" w:color="auto" w:sz="4" w:space="0"/>
              <w:left w:val="single" w:color="auto" w:sz="4" w:space="0"/>
              <w:bottom w:val="single" w:color="auto" w:sz="4" w:space="0"/>
              <w:right w:val="single" w:color="auto" w:sz="4" w:space="0"/>
            </w:tcBorders>
            <w:noWrap w:val="0"/>
            <w:vAlign w:val="top"/>
          </w:tcPr>
          <w:p>
            <w:pPr>
              <w:rPr>
                <w:rFonts w:eastAsia="方正仿宋_GBK"/>
                <w:color w:val="000000"/>
                <w:spacing w:val="-2"/>
                <w:szCs w:val="21"/>
              </w:rPr>
            </w:pPr>
          </w:p>
        </w:tc>
        <w:tc>
          <w:tcPr>
            <w:tcW w:w="687" w:type="dxa"/>
            <w:gridSpan w:val="2"/>
            <w:vMerge w:val="continue"/>
            <w:tcBorders>
              <w:top w:val="single" w:color="auto" w:sz="8"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815" w:type="dxa"/>
            <w:gridSpan w:val="5"/>
            <w:tcBorders>
              <w:top w:val="single" w:color="auto" w:sz="4" w:space="0"/>
              <w:left w:val="single" w:color="auto" w:sz="4" w:space="0"/>
              <w:bottom w:val="single" w:color="auto" w:sz="4" w:space="0"/>
              <w:right w:val="single" w:color="auto" w:sz="4" w:space="0"/>
            </w:tcBorders>
            <w:noWrap w:val="0"/>
            <w:vAlign w:val="top"/>
          </w:tcPr>
          <w:p>
            <w:pPr>
              <w:rPr>
                <w:rFonts w:eastAsia="方正仿宋_GBK"/>
                <w:color w:val="000000"/>
                <w:spacing w:val="-2"/>
                <w:szCs w:val="21"/>
              </w:rPr>
            </w:pPr>
          </w:p>
        </w:tc>
        <w:tc>
          <w:tcPr>
            <w:tcW w:w="687" w:type="dxa"/>
            <w:vMerge w:val="continue"/>
            <w:tcBorders>
              <w:top w:val="single" w:color="auto" w:sz="8" w:space="0"/>
              <w:left w:val="single" w:color="auto" w:sz="4"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1436" w:type="dxa"/>
            <w:gridSpan w:val="2"/>
            <w:tcBorders>
              <w:top w:val="single" w:color="auto" w:sz="4" w:space="0"/>
              <w:left w:val="single" w:color="auto" w:sz="4" w:space="0"/>
              <w:bottom w:val="single" w:color="auto" w:sz="4" w:space="0"/>
              <w:right w:val="single" w:color="auto" w:sz="8" w:space="0"/>
            </w:tcBorders>
            <w:noWrap w:val="0"/>
            <w:vAlign w:val="top"/>
          </w:tcPr>
          <w:p>
            <w:pPr>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598" w:type="dxa"/>
            <w:vMerge w:val="restart"/>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当事人提供资料情况（请打</w:t>
            </w:r>
            <w:r>
              <w:rPr>
                <w:rFonts w:eastAsia="方正仿宋_GBK"/>
                <w:color w:val="000000"/>
                <w:spacing w:val="-2"/>
                <w:szCs w:val="21"/>
              </w:rPr>
              <w:t>“√”</w:t>
            </w:r>
            <w:r>
              <w:rPr>
                <w:rFonts w:hint="eastAsia" w:eastAsia="方正仿宋_GBK"/>
                <w:color w:val="000000"/>
                <w:spacing w:val="-2"/>
                <w:szCs w:val="21"/>
              </w:rPr>
              <w:t>选择）</w:t>
            </w:r>
          </w:p>
        </w:tc>
        <w:tc>
          <w:tcPr>
            <w:tcW w:w="465"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1</w:t>
            </w:r>
          </w:p>
        </w:tc>
        <w:tc>
          <w:tcPr>
            <w:tcW w:w="2107" w:type="dxa"/>
            <w:gridSpan w:val="5"/>
            <w:tcBorders>
              <w:top w:val="nil"/>
              <w:left w:val="single" w:color="auto" w:sz="4" w:space="0"/>
              <w:bottom w:val="single" w:color="auto" w:sz="4" w:space="0"/>
              <w:right w:val="single" w:color="auto" w:sz="4" w:space="0"/>
            </w:tcBorders>
            <w:noWrap w:val="0"/>
            <w:vAlign w:val="center"/>
          </w:tcPr>
          <w:p>
            <w:pPr>
              <w:rPr>
                <w:rFonts w:eastAsia="方正仿宋_GBK"/>
                <w:color w:val="000000"/>
                <w:spacing w:val="-2"/>
                <w:szCs w:val="21"/>
              </w:rPr>
            </w:pPr>
            <w:r>
              <w:rPr>
                <w:rFonts w:hint="eastAsia" w:eastAsia="方正仿宋_GBK"/>
                <w:color w:val="000000"/>
                <w:spacing w:val="-2"/>
                <w:szCs w:val="21"/>
              </w:rPr>
              <w:t>书面申请报告</w:t>
            </w:r>
          </w:p>
        </w:tc>
        <w:tc>
          <w:tcPr>
            <w:tcW w:w="687" w:type="dxa"/>
            <w:gridSpan w:val="2"/>
            <w:tcBorders>
              <w:top w:val="single" w:color="auto" w:sz="4" w:space="0"/>
              <w:left w:val="single" w:color="auto" w:sz="4" w:space="0"/>
              <w:bottom w:val="nil"/>
              <w:right w:val="single" w:color="auto" w:sz="4" w:space="0"/>
            </w:tcBorders>
            <w:noWrap w:val="0"/>
            <w:vAlign w:val="center"/>
          </w:tcPr>
          <w:p>
            <w:pPr>
              <w:rPr>
                <w:rFonts w:eastAsia="方正仿宋_GBK"/>
                <w:color w:val="000000"/>
                <w:spacing w:val="-2"/>
                <w:szCs w:val="21"/>
              </w:rPr>
            </w:pPr>
          </w:p>
        </w:tc>
        <w:tc>
          <w:tcPr>
            <w:tcW w:w="450" w:type="dxa"/>
            <w:tcBorders>
              <w:top w:val="single" w:color="auto" w:sz="4" w:space="0"/>
              <w:left w:val="single" w:color="auto" w:sz="4" w:space="0"/>
              <w:bottom w:val="nil"/>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2</w:t>
            </w:r>
          </w:p>
        </w:tc>
        <w:tc>
          <w:tcPr>
            <w:tcW w:w="2753" w:type="dxa"/>
            <w:gridSpan w:val="6"/>
            <w:tcBorders>
              <w:top w:val="single" w:color="auto" w:sz="4" w:space="0"/>
              <w:left w:val="single" w:color="auto" w:sz="4" w:space="0"/>
              <w:bottom w:val="nil"/>
              <w:right w:val="single" w:color="auto" w:sz="4" w:space="0"/>
            </w:tcBorders>
            <w:noWrap w:val="0"/>
            <w:vAlign w:val="center"/>
          </w:tcPr>
          <w:p>
            <w:pPr>
              <w:rPr>
                <w:rFonts w:eastAsia="方正仿宋_GBK"/>
                <w:color w:val="000000"/>
                <w:spacing w:val="-2"/>
                <w:szCs w:val="21"/>
              </w:rPr>
            </w:pPr>
            <w:r>
              <w:rPr>
                <w:rFonts w:hint="eastAsia" w:eastAsia="方正仿宋_GBK"/>
                <w:color w:val="000000"/>
                <w:spacing w:val="-2"/>
                <w:szCs w:val="21"/>
              </w:rPr>
              <w:t>施工合同</w:t>
            </w:r>
          </w:p>
        </w:tc>
        <w:tc>
          <w:tcPr>
            <w:tcW w:w="735" w:type="dxa"/>
            <w:tcBorders>
              <w:top w:val="single" w:color="auto" w:sz="4" w:space="0"/>
              <w:left w:val="single" w:color="auto" w:sz="4" w:space="0"/>
              <w:bottom w:val="single" w:color="auto" w:sz="4" w:space="0"/>
              <w:right w:val="single" w:color="auto" w:sz="8" w:space="0"/>
            </w:tcBorders>
            <w:noWrap w:val="0"/>
            <w:vAlign w:val="center"/>
          </w:tcPr>
          <w:p>
            <w:pPr>
              <w:jc w:val="left"/>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598"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465"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3</w:t>
            </w:r>
          </w:p>
        </w:tc>
        <w:tc>
          <w:tcPr>
            <w:tcW w:w="2107" w:type="dxa"/>
            <w:gridSpan w:val="5"/>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szCs w:val="21"/>
              </w:rPr>
            </w:pPr>
            <w:r>
              <w:rPr>
                <w:rFonts w:hint="eastAsia" w:eastAsia="方正仿宋_GBK"/>
                <w:color w:val="000000"/>
                <w:spacing w:val="-2"/>
                <w:szCs w:val="21"/>
              </w:rPr>
              <w:t>补充协议</w:t>
            </w:r>
          </w:p>
        </w:tc>
        <w:tc>
          <w:tcPr>
            <w:tcW w:w="687" w:type="dxa"/>
            <w:gridSpan w:val="2"/>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szCs w:val="21"/>
              </w:rPr>
            </w:pPr>
          </w:p>
        </w:tc>
        <w:tc>
          <w:tcPr>
            <w:tcW w:w="45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4</w:t>
            </w:r>
          </w:p>
        </w:tc>
        <w:tc>
          <w:tcPr>
            <w:tcW w:w="2753" w:type="dxa"/>
            <w:gridSpan w:val="6"/>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szCs w:val="21"/>
              </w:rPr>
            </w:pPr>
            <w:r>
              <w:rPr>
                <w:rFonts w:hint="eastAsia" w:eastAsia="方正仿宋_GBK"/>
                <w:color w:val="000000"/>
                <w:spacing w:val="-2"/>
                <w:szCs w:val="21"/>
              </w:rPr>
              <w:t>招投标文件</w:t>
            </w:r>
          </w:p>
        </w:tc>
        <w:tc>
          <w:tcPr>
            <w:tcW w:w="735" w:type="dxa"/>
            <w:tcBorders>
              <w:top w:val="single" w:color="auto" w:sz="4" w:space="0"/>
              <w:left w:val="single" w:color="auto" w:sz="4" w:space="0"/>
              <w:bottom w:val="single" w:color="auto" w:sz="4" w:space="0"/>
              <w:right w:val="single" w:color="auto" w:sz="8" w:space="0"/>
            </w:tcBorders>
            <w:noWrap w:val="0"/>
            <w:vAlign w:val="center"/>
          </w:tcPr>
          <w:p>
            <w:pPr>
              <w:jc w:val="left"/>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598"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465"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5</w:t>
            </w:r>
          </w:p>
        </w:tc>
        <w:tc>
          <w:tcPr>
            <w:tcW w:w="2107" w:type="dxa"/>
            <w:gridSpan w:val="5"/>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szCs w:val="21"/>
              </w:rPr>
            </w:pPr>
            <w:r>
              <w:rPr>
                <w:rFonts w:hint="eastAsia" w:eastAsia="方正仿宋_GBK"/>
                <w:color w:val="000000"/>
                <w:spacing w:val="-2"/>
                <w:szCs w:val="21"/>
              </w:rPr>
              <w:t>施工图纸</w:t>
            </w:r>
          </w:p>
        </w:tc>
        <w:tc>
          <w:tcPr>
            <w:tcW w:w="687" w:type="dxa"/>
            <w:gridSpan w:val="2"/>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szCs w:val="21"/>
              </w:rPr>
            </w:pPr>
          </w:p>
        </w:tc>
        <w:tc>
          <w:tcPr>
            <w:tcW w:w="45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6</w:t>
            </w:r>
          </w:p>
        </w:tc>
        <w:tc>
          <w:tcPr>
            <w:tcW w:w="2753" w:type="dxa"/>
            <w:gridSpan w:val="6"/>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szCs w:val="21"/>
              </w:rPr>
            </w:pPr>
            <w:r>
              <w:rPr>
                <w:rFonts w:hint="eastAsia" w:eastAsia="方正仿宋_GBK"/>
                <w:color w:val="000000"/>
                <w:spacing w:val="-2"/>
                <w:szCs w:val="21"/>
              </w:rPr>
              <w:t>现场设计变更与签证资料</w:t>
            </w:r>
          </w:p>
        </w:tc>
        <w:tc>
          <w:tcPr>
            <w:tcW w:w="735" w:type="dxa"/>
            <w:tcBorders>
              <w:top w:val="single" w:color="auto" w:sz="4" w:space="0"/>
              <w:left w:val="single" w:color="auto" w:sz="4" w:space="0"/>
              <w:bottom w:val="single" w:color="auto" w:sz="4" w:space="0"/>
              <w:right w:val="single" w:color="auto" w:sz="8" w:space="0"/>
            </w:tcBorders>
            <w:noWrap w:val="0"/>
            <w:vAlign w:val="center"/>
          </w:tcPr>
          <w:p>
            <w:pPr>
              <w:jc w:val="left"/>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598" w:type="dxa"/>
            <w:vMerge w:val="continue"/>
            <w:tcBorders>
              <w:top w:val="single" w:color="auto" w:sz="4" w:space="0"/>
              <w:left w:val="single" w:color="auto" w:sz="8" w:space="0"/>
              <w:bottom w:val="single" w:color="auto" w:sz="4" w:space="0"/>
              <w:right w:val="single" w:color="auto" w:sz="4" w:space="0"/>
            </w:tcBorders>
            <w:noWrap w:val="0"/>
            <w:vAlign w:val="center"/>
          </w:tcPr>
          <w:p>
            <w:pPr>
              <w:widowControl/>
              <w:jc w:val="left"/>
              <w:rPr>
                <w:rFonts w:eastAsia="方正仿宋_GBK"/>
                <w:color w:val="000000"/>
                <w:spacing w:val="-2"/>
                <w:szCs w:val="21"/>
              </w:rPr>
            </w:pPr>
          </w:p>
        </w:tc>
        <w:tc>
          <w:tcPr>
            <w:tcW w:w="465"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7</w:t>
            </w:r>
          </w:p>
        </w:tc>
        <w:tc>
          <w:tcPr>
            <w:tcW w:w="2107" w:type="dxa"/>
            <w:gridSpan w:val="5"/>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szCs w:val="21"/>
              </w:rPr>
            </w:pPr>
            <w:r>
              <w:rPr>
                <w:rFonts w:hint="eastAsia" w:eastAsia="方正仿宋_GBK"/>
                <w:color w:val="000000"/>
                <w:spacing w:val="-2"/>
                <w:szCs w:val="21"/>
              </w:rPr>
              <w:t>施工组织设计方案</w:t>
            </w:r>
          </w:p>
        </w:tc>
        <w:tc>
          <w:tcPr>
            <w:tcW w:w="687" w:type="dxa"/>
            <w:gridSpan w:val="2"/>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szCs w:val="21"/>
              </w:rPr>
            </w:pPr>
          </w:p>
        </w:tc>
        <w:tc>
          <w:tcPr>
            <w:tcW w:w="45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8</w:t>
            </w:r>
          </w:p>
        </w:tc>
        <w:tc>
          <w:tcPr>
            <w:tcW w:w="2753" w:type="dxa"/>
            <w:gridSpan w:val="6"/>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szCs w:val="21"/>
              </w:rPr>
            </w:pPr>
            <w:r>
              <w:rPr>
                <w:rFonts w:hint="eastAsia" w:eastAsia="方正仿宋_GBK"/>
                <w:color w:val="000000"/>
                <w:spacing w:val="-2"/>
                <w:szCs w:val="21"/>
              </w:rPr>
              <w:t>其它</w:t>
            </w:r>
          </w:p>
        </w:tc>
        <w:tc>
          <w:tcPr>
            <w:tcW w:w="735" w:type="dxa"/>
            <w:tcBorders>
              <w:top w:val="single" w:color="auto" w:sz="4" w:space="0"/>
              <w:left w:val="single" w:color="auto" w:sz="4" w:space="0"/>
              <w:bottom w:val="single" w:color="auto" w:sz="4" w:space="0"/>
              <w:right w:val="single" w:color="auto" w:sz="8" w:space="0"/>
            </w:tcBorders>
            <w:noWrap w:val="0"/>
            <w:vAlign w:val="center"/>
          </w:tcPr>
          <w:p>
            <w:pPr>
              <w:jc w:val="left"/>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trPr>
        <w:tc>
          <w:tcPr>
            <w:tcW w:w="1598"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争议内容</w:t>
            </w:r>
          </w:p>
        </w:tc>
        <w:tc>
          <w:tcPr>
            <w:tcW w:w="7197" w:type="dxa"/>
            <w:gridSpan w:val="16"/>
            <w:tcBorders>
              <w:top w:val="single" w:color="auto" w:sz="4" w:space="0"/>
              <w:left w:val="single" w:color="auto" w:sz="4" w:space="0"/>
              <w:bottom w:val="single" w:color="auto" w:sz="4" w:space="0"/>
              <w:right w:val="single" w:color="auto" w:sz="8" w:space="0"/>
            </w:tcBorders>
            <w:noWrap w:val="0"/>
            <w:vAlign w:val="top"/>
          </w:tcPr>
          <w:p>
            <w:pPr>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trPr>
        <w:tc>
          <w:tcPr>
            <w:tcW w:w="1598"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调解决定</w:t>
            </w:r>
          </w:p>
        </w:tc>
        <w:tc>
          <w:tcPr>
            <w:tcW w:w="7197" w:type="dxa"/>
            <w:gridSpan w:val="16"/>
            <w:tcBorders>
              <w:top w:val="single" w:color="auto" w:sz="4" w:space="0"/>
              <w:left w:val="single" w:color="auto" w:sz="4" w:space="0"/>
              <w:bottom w:val="single" w:color="auto" w:sz="4" w:space="0"/>
              <w:right w:val="single" w:color="auto" w:sz="8" w:space="0"/>
            </w:tcBorders>
            <w:noWrap w:val="0"/>
            <w:vAlign w:val="top"/>
          </w:tcPr>
          <w:p>
            <w:pPr>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trPr>
        <w:tc>
          <w:tcPr>
            <w:tcW w:w="1598"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调解人</w:t>
            </w:r>
          </w:p>
        </w:tc>
        <w:tc>
          <w:tcPr>
            <w:tcW w:w="1250" w:type="dxa"/>
            <w:gridSpan w:val="3"/>
            <w:tcBorders>
              <w:top w:val="single" w:color="auto" w:sz="4" w:space="0"/>
              <w:left w:val="single" w:color="auto" w:sz="4" w:space="0"/>
              <w:bottom w:val="single" w:color="auto" w:sz="4" w:space="0"/>
              <w:right w:val="single" w:color="auto" w:sz="4" w:space="0"/>
            </w:tcBorders>
            <w:noWrap w:val="0"/>
            <w:vAlign w:val="top"/>
          </w:tcPr>
          <w:p>
            <w:pPr>
              <w:rPr>
                <w:rFonts w:eastAsia="方正仿宋_GBK"/>
                <w:color w:val="000000"/>
                <w:spacing w:val="-2"/>
                <w:szCs w:val="21"/>
              </w:rPr>
            </w:pPr>
          </w:p>
        </w:tc>
        <w:tc>
          <w:tcPr>
            <w:tcW w:w="91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审核人</w:t>
            </w:r>
          </w:p>
        </w:tc>
        <w:tc>
          <w:tcPr>
            <w:tcW w:w="1828" w:type="dxa"/>
            <w:gridSpan w:val="5"/>
            <w:tcBorders>
              <w:top w:val="single" w:color="auto" w:sz="4" w:space="0"/>
              <w:left w:val="single" w:color="auto" w:sz="4" w:space="0"/>
              <w:bottom w:val="single" w:color="auto" w:sz="4" w:space="0"/>
              <w:right w:val="single" w:color="auto" w:sz="4" w:space="0"/>
            </w:tcBorders>
            <w:noWrap w:val="0"/>
            <w:vAlign w:val="top"/>
          </w:tcPr>
          <w:p>
            <w:pPr>
              <w:rPr>
                <w:rFonts w:eastAsia="方正仿宋_GBK"/>
                <w:color w:val="000000"/>
                <w:spacing w:val="-2"/>
                <w:szCs w:val="21"/>
              </w:rPr>
            </w:pPr>
          </w:p>
        </w:tc>
        <w:tc>
          <w:tcPr>
            <w:tcW w:w="102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答复</w:t>
            </w:r>
          </w:p>
          <w:p>
            <w:pPr>
              <w:jc w:val="center"/>
              <w:rPr>
                <w:rFonts w:eastAsia="方正仿宋_GBK"/>
                <w:color w:val="000000"/>
                <w:spacing w:val="-2"/>
                <w:szCs w:val="21"/>
              </w:rPr>
            </w:pPr>
            <w:r>
              <w:rPr>
                <w:rFonts w:hint="eastAsia" w:eastAsia="方正仿宋_GBK"/>
                <w:color w:val="000000"/>
                <w:spacing w:val="-2"/>
                <w:szCs w:val="21"/>
              </w:rPr>
              <w:t>时间</w:t>
            </w:r>
          </w:p>
        </w:tc>
        <w:tc>
          <w:tcPr>
            <w:tcW w:w="2178" w:type="dxa"/>
            <w:gridSpan w:val="4"/>
            <w:tcBorders>
              <w:top w:val="single" w:color="auto" w:sz="4" w:space="0"/>
              <w:left w:val="single" w:color="auto" w:sz="4" w:space="0"/>
              <w:bottom w:val="single" w:color="auto" w:sz="4" w:space="0"/>
              <w:right w:val="single" w:color="auto" w:sz="8" w:space="0"/>
            </w:tcBorders>
            <w:noWrap w:val="0"/>
            <w:vAlign w:val="top"/>
          </w:tcPr>
          <w:p>
            <w:pPr>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1598"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答复形式</w:t>
            </w:r>
          </w:p>
        </w:tc>
        <w:tc>
          <w:tcPr>
            <w:tcW w:w="2167" w:type="dxa"/>
            <w:gridSpan w:val="5"/>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eastAsia="方正仿宋_GBK"/>
                <w:color w:val="000000"/>
                <w:spacing w:val="-2"/>
                <w:szCs w:val="21"/>
              </w:rPr>
              <w:t>1</w:t>
            </w:r>
            <w:r>
              <w:rPr>
                <w:rFonts w:hint="eastAsia" w:eastAsia="方正仿宋_GBK"/>
                <w:color w:val="000000"/>
                <w:spacing w:val="-2"/>
                <w:szCs w:val="21"/>
              </w:rPr>
              <w:t>、书面</w:t>
            </w:r>
            <w:r>
              <w:rPr>
                <w:rFonts w:eastAsia="方正仿宋_GBK"/>
                <w:color w:val="000000"/>
                <w:spacing w:val="-2"/>
                <w:szCs w:val="21"/>
              </w:rPr>
              <w:t xml:space="preserve">   2</w:t>
            </w:r>
            <w:r>
              <w:rPr>
                <w:rFonts w:hint="eastAsia" w:eastAsia="方正仿宋_GBK"/>
                <w:color w:val="000000"/>
                <w:spacing w:val="-2"/>
                <w:szCs w:val="21"/>
              </w:rPr>
              <w:t>、口头</w:t>
            </w:r>
          </w:p>
        </w:tc>
        <w:tc>
          <w:tcPr>
            <w:tcW w:w="1828" w:type="dxa"/>
            <w:gridSpan w:val="5"/>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书面答复名称</w:t>
            </w:r>
          </w:p>
        </w:tc>
        <w:tc>
          <w:tcPr>
            <w:tcW w:w="3202" w:type="dxa"/>
            <w:gridSpan w:val="6"/>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3023" w:type="dxa"/>
            <w:gridSpan w:val="5"/>
            <w:tcBorders>
              <w:top w:val="single" w:color="auto" w:sz="4" w:space="0"/>
              <w:left w:val="single" w:color="auto" w:sz="8" w:space="0"/>
              <w:bottom w:val="single" w:color="auto" w:sz="8"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争议当事人同意以上调解决定</w:t>
            </w:r>
          </w:p>
        </w:tc>
        <w:tc>
          <w:tcPr>
            <w:tcW w:w="1266" w:type="dxa"/>
            <w:gridSpan w:val="3"/>
            <w:tcBorders>
              <w:top w:val="nil"/>
              <w:left w:val="single" w:color="auto" w:sz="4" w:space="0"/>
              <w:bottom w:val="single" w:color="auto" w:sz="8"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甲方签字</w:t>
            </w:r>
          </w:p>
        </w:tc>
        <w:tc>
          <w:tcPr>
            <w:tcW w:w="1731" w:type="dxa"/>
            <w:gridSpan w:val="4"/>
            <w:tcBorders>
              <w:top w:val="nil"/>
              <w:left w:val="single" w:color="auto" w:sz="4" w:space="0"/>
              <w:bottom w:val="single" w:color="auto" w:sz="8" w:space="0"/>
              <w:right w:val="single" w:color="auto" w:sz="4" w:space="0"/>
            </w:tcBorders>
            <w:noWrap w:val="0"/>
            <w:vAlign w:val="center"/>
          </w:tcPr>
          <w:p>
            <w:pPr>
              <w:jc w:val="center"/>
              <w:rPr>
                <w:rFonts w:eastAsia="方正仿宋_GBK"/>
                <w:color w:val="000000"/>
                <w:spacing w:val="-2"/>
                <w:szCs w:val="21"/>
              </w:rPr>
            </w:pPr>
          </w:p>
        </w:tc>
        <w:tc>
          <w:tcPr>
            <w:tcW w:w="1339" w:type="dxa"/>
            <w:gridSpan w:val="3"/>
            <w:tcBorders>
              <w:top w:val="nil"/>
              <w:left w:val="single" w:color="auto" w:sz="4" w:space="0"/>
              <w:bottom w:val="single" w:color="auto" w:sz="8"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乙方签字</w:t>
            </w:r>
          </w:p>
        </w:tc>
        <w:tc>
          <w:tcPr>
            <w:tcW w:w="1436" w:type="dxa"/>
            <w:gridSpan w:val="2"/>
            <w:tcBorders>
              <w:top w:val="nil"/>
              <w:left w:val="single" w:color="auto" w:sz="4" w:space="0"/>
              <w:bottom w:val="single" w:color="auto" w:sz="8" w:space="0"/>
              <w:right w:val="single" w:color="auto" w:sz="8" w:space="0"/>
            </w:tcBorders>
            <w:noWrap w:val="0"/>
            <w:vAlign w:val="center"/>
          </w:tcPr>
          <w:p>
            <w:pPr>
              <w:jc w:val="center"/>
              <w:rPr>
                <w:rFonts w:eastAsia="方正仿宋_GBK"/>
                <w:color w:val="000000"/>
                <w:spacing w:val="-2"/>
                <w:szCs w:val="21"/>
                <w:highlight w:val="lightGray"/>
              </w:rPr>
            </w:pPr>
          </w:p>
        </w:tc>
      </w:tr>
    </w:tbl>
    <w:p/>
    <w:p/>
    <w:p/>
    <w:p/>
    <w:p/>
    <w:p/>
    <w:p/>
    <w:p/>
    <w:p/>
    <w:p/>
    <w:p/>
    <w:p/>
    <w:p/>
    <w:p>
      <w:pPr>
        <w:pStyle w:val="2"/>
        <w:spacing w:before="590" w:beforeLines="100" w:after="590" w:afterLines="100" w:line="240" w:lineRule="auto"/>
        <w:jc w:val="center"/>
        <w:rPr>
          <w:rFonts w:ascii="Times New Roman" w:eastAsia="方正小标宋_GBK"/>
          <w:b w:val="0"/>
          <w:sz w:val="36"/>
          <w:szCs w:val="36"/>
        </w:rPr>
      </w:pPr>
      <w:bookmarkStart w:id="653" w:name="_Toc20726678"/>
      <w:bookmarkStart w:id="654" w:name="_Toc18315815"/>
      <w:r>
        <w:rPr>
          <w:rFonts w:hint="eastAsia" w:ascii="Times New Roman" w:eastAsia="方正小标宋_GBK"/>
          <w:b w:val="0"/>
          <w:sz w:val="36"/>
          <w:szCs w:val="36"/>
        </w:rPr>
        <w:t>关于印发《江苏省〈工程造价咨询企业管理办法〉实施细则》的通知</w:t>
      </w:r>
      <w:bookmarkEnd w:id="653"/>
      <w:bookmarkEnd w:id="654"/>
      <w:bookmarkStart w:id="655" w:name="_Toc18315816"/>
      <w:bookmarkStart w:id="656" w:name="_Toc20726679"/>
    </w:p>
    <w:p>
      <w:pPr>
        <w:pStyle w:val="2"/>
        <w:spacing w:before="590" w:beforeLines="100" w:after="590" w:afterLines="100" w:line="240" w:lineRule="auto"/>
        <w:jc w:val="center"/>
        <w:rPr>
          <w:rFonts w:hint="eastAsia" w:ascii="Times New Roman" w:eastAsia="方正小标宋_GBK"/>
          <w:b w:val="0"/>
          <w:sz w:val="36"/>
          <w:szCs w:val="36"/>
        </w:rPr>
      </w:pPr>
      <w:r>
        <w:rPr>
          <w:rFonts w:hint="eastAsia" w:eastAsia="方正楷体_GBK"/>
          <w:b w:val="0"/>
          <w:sz w:val="24"/>
        </w:rPr>
        <w:t>苏建价〔</w:t>
      </w:r>
      <w:r>
        <w:rPr>
          <w:rFonts w:eastAsia="方正楷体_GBK"/>
          <w:b w:val="0"/>
          <w:sz w:val="24"/>
        </w:rPr>
        <w:t>2006</w:t>
      </w:r>
      <w:r>
        <w:rPr>
          <w:rFonts w:hint="eastAsia" w:eastAsia="方正楷体_GBK"/>
          <w:b w:val="0"/>
          <w:sz w:val="24"/>
        </w:rPr>
        <w:t>〕</w:t>
      </w:r>
      <w:r>
        <w:rPr>
          <w:rFonts w:eastAsia="方正楷体_GBK"/>
          <w:b w:val="0"/>
          <w:sz w:val="24"/>
        </w:rPr>
        <w:t>433</w:t>
      </w:r>
      <w:r>
        <w:rPr>
          <w:rFonts w:hint="eastAsia" w:eastAsia="方正楷体_GBK"/>
          <w:b w:val="0"/>
          <w:sz w:val="24"/>
        </w:rPr>
        <w:t>号</w:t>
      </w:r>
      <w:bookmarkEnd w:id="655"/>
      <w:bookmarkEnd w:id="656"/>
    </w:p>
    <w:p>
      <w:pPr>
        <w:spacing w:line="460" w:lineRule="exact"/>
        <w:rPr>
          <w:rFonts w:hint="eastAsia" w:eastAsia="方正仿宋_GBK"/>
          <w:color w:val="000000"/>
          <w:spacing w:val="-2"/>
          <w:kern w:val="0"/>
          <w:sz w:val="24"/>
        </w:rPr>
      </w:pPr>
      <w:r>
        <w:rPr>
          <w:rFonts w:hint="eastAsia" w:eastAsia="方正仿宋_GBK"/>
          <w:color w:val="000000"/>
          <w:spacing w:val="-2"/>
          <w:kern w:val="0"/>
          <w:sz w:val="24"/>
        </w:rPr>
        <w:t>各市建设局（建委）：</w:t>
      </w:r>
    </w:p>
    <w:p>
      <w:pPr>
        <w:spacing w:line="460" w:lineRule="exact"/>
        <w:ind w:firstLine="435"/>
        <w:rPr>
          <w:rFonts w:eastAsia="方正仿宋_GBK"/>
          <w:color w:val="000000"/>
          <w:spacing w:val="-2"/>
          <w:kern w:val="0"/>
          <w:sz w:val="24"/>
        </w:rPr>
      </w:pPr>
      <w:r>
        <w:rPr>
          <w:rFonts w:hint="eastAsia" w:eastAsia="方正仿宋_GBK"/>
          <w:color w:val="000000"/>
          <w:spacing w:val="-2"/>
          <w:kern w:val="0"/>
          <w:sz w:val="24"/>
        </w:rPr>
        <w:t>为加强全省工程造价咨询企业的管理，规范造价咨询企业执业行为，维护建设市场秩序和社会公共利益，根据有关法律、法规、规章的规定，结合本省实际，制定了《江苏省〈工程造价咨询企业管理办法〉实施细则》。现予印发，请认真遵照执行。</w:t>
      </w:r>
    </w:p>
    <w:p>
      <w:pPr>
        <w:spacing w:line="460" w:lineRule="exact"/>
        <w:ind w:firstLine="435"/>
        <w:rPr>
          <w:rFonts w:eastAsia="方正仿宋_GBK"/>
          <w:color w:val="000000"/>
          <w:spacing w:val="-2"/>
          <w:kern w:val="0"/>
          <w:sz w:val="24"/>
        </w:rPr>
      </w:pPr>
    </w:p>
    <w:p>
      <w:pPr>
        <w:spacing w:line="460" w:lineRule="exact"/>
        <w:ind w:right="861" w:rightChars="418" w:firstLine="435"/>
        <w:jc w:val="right"/>
        <w:rPr>
          <w:rFonts w:eastAsia="方正仿宋_GBK"/>
          <w:color w:val="000000"/>
          <w:spacing w:val="-2"/>
          <w:kern w:val="0"/>
          <w:sz w:val="24"/>
        </w:rPr>
      </w:pPr>
      <w:r>
        <w:rPr>
          <w:rFonts w:hint="eastAsia" w:eastAsia="方正仿宋_GBK"/>
          <w:color w:val="000000"/>
          <w:spacing w:val="-2"/>
          <w:kern w:val="0"/>
          <w:sz w:val="24"/>
        </w:rPr>
        <w:t>江苏省住建厅</w:t>
      </w:r>
      <w:r>
        <w:rPr>
          <w:rFonts w:eastAsia="方正仿宋_GBK"/>
          <w:color w:val="000000"/>
          <w:spacing w:val="-2"/>
          <w:kern w:val="0"/>
          <w:sz w:val="24"/>
        </w:rPr>
        <w:t xml:space="preserve">       </w:t>
      </w:r>
    </w:p>
    <w:p>
      <w:pPr>
        <w:spacing w:line="460" w:lineRule="exact"/>
        <w:ind w:right="409" w:rightChars="199" w:firstLine="435"/>
        <w:jc w:val="right"/>
        <w:rPr>
          <w:rFonts w:eastAsia="方正仿宋_GBK"/>
          <w:color w:val="000000"/>
          <w:spacing w:val="-2"/>
          <w:kern w:val="0"/>
          <w:sz w:val="24"/>
        </w:rPr>
      </w:pPr>
      <w:r>
        <w:rPr>
          <w:rFonts w:hint="eastAsia" w:eastAsia="方正仿宋_GBK"/>
          <w:color w:val="000000"/>
          <w:spacing w:val="-2"/>
          <w:kern w:val="0"/>
          <w:sz w:val="24"/>
        </w:rPr>
        <w:t>二</w:t>
      </w:r>
      <w:r>
        <w:rPr>
          <w:rFonts w:hint="eastAsia" w:ascii="Times New Roman" w:hAnsi="Times New Roman"/>
          <w:bCs/>
          <w:snapToGrid w:val="0"/>
          <w:color w:val="000000"/>
          <w:spacing w:val="-2"/>
          <w:kern w:val="0"/>
          <w:sz w:val="24"/>
        </w:rPr>
        <w:t>○○</w:t>
      </w:r>
      <w:r>
        <w:rPr>
          <w:rFonts w:hint="eastAsia" w:eastAsia="方正仿宋_GBK"/>
          <w:color w:val="000000"/>
          <w:spacing w:val="-2"/>
          <w:kern w:val="0"/>
          <w:sz w:val="24"/>
        </w:rPr>
        <w:t>六年十月八日</w:t>
      </w:r>
      <w:r>
        <w:rPr>
          <w:rFonts w:eastAsia="方正仿宋_GBK"/>
          <w:color w:val="000000"/>
          <w:spacing w:val="-2"/>
          <w:kern w:val="0"/>
          <w:sz w:val="24"/>
        </w:rPr>
        <w:t xml:space="preserve">    </w:t>
      </w:r>
    </w:p>
    <w:p>
      <w:pPr>
        <w:spacing w:line="460" w:lineRule="exact"/>
        <w:rPr>
          <w:rFonts w:eastAsia="方正仿宋_GBK"/>
          <w:color w:val="000000"/>
          <w:spacing w:val="-2"/>
          <w:kern w:val="0"/>
          <w:sz w:val="24"/>
        </w:rPr>
      </w:pPr>
    </w:p>
    <w:p>
      <w:pPr>
        <w:spacing w:line="460" w:lineRule="exact"/>
        <w:rPr>
          <w:rFonts w:eastAsia="方正仿宋_GBK"/>
          <w:bCs/>
          <w:color w:val="000000"/>
          <w:spacing w:val="-2"/>
          <w:kern w:val="0"/>
          <w:sz w:val="24"/>
        </w:rPr>
      </w:pPr>
    </w:p>
    <w:p>
      <w:pPr>
        <w:spacing w:line="460" w:lineRule="exact"/>
        <w:jc w:val="center"/>
        <w:rPr>
          <w:rFonts w:eastAsia="方正黑体_GBK"/>
          <w:bCs/>
          <w:color w:val="000000"/>
          <w:spacing w:val="-2"/>
          <w:kern w:val="0"/>
          <w:sz w:val="36"/>
          <w:szCs w:val="36"/>
        </w:rPr>
      </w:pPr>
      <w:r>
        <w:rPr>
          <w:rFonts w:hint="eastAsia" w:eastAsia="方正黑体_GBK"/>
          <w:bCs/>
          <w:color w:val="000000"/>
          <w:spacing w:val="-2"/>
          <w:kern w:val="0"/>
          <w:sz w:val="36"/>
          <w:szCs w:val="36"/>
        </w:rPr>
        <w:t>江苏省《工程造价咨询企业管理办法》实施细则</w:t>
      </w:r>
    </w:p>
    <w:p>
      <w:pPr>
        <w:spacing w:line="460" w:lineRule="exact"/>
        <w:rPr>
          <w:rFonts w:eastAsia="方正仿宋_GBK"/>
          <w:bCs/>
          <w:color w:val="000000"/>
          <w:spacing w:val="-2"/>
          <w:kern w:val="0"/>
          <w:sz w:val="24"/>
        </w:rPr>
      </w:pPr>
    </w:p>
    <w:p>
      <w:pPr>
        <w:spacing w:line="460" w:lineRule="exact"/>
        <w:jc w:val="center"/>
        <w:rPr>
          <w:rFonts w:eastAsia="方正黑体_GBK"/>
          <w:bCs/>
          <w:color w:val="000000"/>
          <w:spacing w:val="-2"/>
          <w:kern w:val="0"/>
          <w:sz w:val="24"/>
        </w:rPr>
      </w:pPr>
      <w:r>
        <w:rPr>
          <w:rFonts w:hint="eastAsia" w:eastAsia="方正黑体_GBK"/>
          <w:bCs/>
          <w:color w:val="000000"/>
          <w:spacing w:val="-2"/>
          <w:kern w:val="0"/>
          <w:sz w:val="24"/>
        </w:rPr>
        <w:t>第一章　总则</w:t>
      </w:r>
    </w:p>
    <w:p>
      <w:pPr>
        <w:spacing w:line="460" w:lineRule="exact"/>
        <w:rPr>
          <w:rFonts w:eastAsia="方正仿宋_GBK"/>
          <w:color w:val="000000"/>
          <w:spacing w:val="-2"/>
          <w:kern w:val="0"/>
          <w:sz w:val="24"/>
        </w:rPr>
      </w:pPr>
    </w:p>
    <w:p>
      <w:pPr>
        <w:spacing w:line="460" w:lineRule="exact"/>
        <w:ind w:firstLine="464" w:firstLineChars="200"/>
        <w:rPr>
          <w:rFonts w:eastAsia="方正仿宋_GBK"/>
          <w:color w:val="000000"/>
          <w:spacing w:val="-2"/>
          <w:kern w:val="0"/>
          <w:sz w:val="24"/>
        </w:rPr>
      </w:pPr>
      <w:r>
        <w:rPr>
          <w:rFonts w:hint="eastAsia" w:eastAsia="方正黑体_GBK"/>
          <w:color w:val="000000"/>
          <w:spacing w:val="-2"/>
          <w:kern w:val="0"/>
          <w:sz w:val="24"/>
        </w:rPr>
        <w:t>第一条</w:t>
      </w:r>
      <w:r>
        <w:rPr>
          <w:rFonts w:hint="eastAsia" w:eastAsia="方正仿宋_GBK"/>
          <w:color w:val="000000"/>
          <w:spacing w:val="-2"/>
          <w:kern w:val="0"/>
          <w:sz w:val="24"/>
        </w:rPr>
        <w:t>　为加强全省工程造价咨询企业的管理，规范造价咨询企业执业行为，维护建设市场秩序和社会公共利益，依据《中华人民共和国建筑法》、《江苏省建筑市场管理条例》和住建部《工程造价咨询企业管理办法》（</w:t>
      </w:r>
      <w:r>
        <w:rPr>
          <w:rFonts w:eastAsia="方正仿宋_GBK"/>
          <w:color w:val="000000"/>
          <w:spacing w:val="-2"/>
          <w:kern w:val="0"/>
          <w:sz w:val="24"/>
        </w:rPr>
        <w:t>149</w:t>
      </w:r>
      <w:r>
        <w:rPr>
          <w:rFonts w:hint="eastAsia" w:eastAsia="方正仿宋_GBK"/>
          <w:color w:val="000000"/>
          <w:spacing w:val="-2"/>
          <w:kern w:val="0"/>
          <w:sz w:val="24"/>
        </w:rPr>
        <w:t>号部令），结合本省实际，制定本细则。</w:t>
      </w:r>
    </w:p>
    <w:p>
      <w:pPr>
        <w:spacing w:line="460" w:lineRule="exact"/>
        <w:ind w:firstLine="464" w:firstLineChars="200"/>
        <w:rPr>
          <w:rFonts w:eastAsia="方正黑体_GBK"/>
          <w:color w:val="000000"/>
          <w:spacing w:val="-2"/>
          <w:kern w:val="0"/>
          <w:sz w:val="24"/>
        </w:rPr>
      </w:pPr>
      <w:r>
        <w:rPr>
          <w:rFonts w:hint="eastAsia" w:eastAsia="方正黑体_GBK"/>
          <w:color w:val="000000"/>
          <w:spacing w:val="-2"/>
          <w:kern w:val="0"/>
          <w:sz w:val="24"/>
        </w:rPr>
        <w:t>第二条　</w:t>
      </w:r>
      <w:r>
        <w:rPr>
          <w:rFonts w:hint="eastAsia" w:eastAsia="方正仿宋_GBK"/>
          <w:color w:val="000000"/>
          <w:spacing w:val="-2"/>
          <w:kern w:val="0"/>
          <w:sz w:val="24"/>
        </w:rPr>
        <w:t>凡在本省行政区域内从事工程造价咨询活动和实施对工程造价咨询企业的监督管理，应当遵守本细则。</w:t>
      </w:r>
    </w:p>
    <w:p>
      <w:pPr>
        <w:spacing w:line="460" w:lineRule="exact"/>
        <w:ind w:firstLine="464" w:firstLineChars="200"/>
        <w:rPr>
          <w:rFonts w:eastAsia="方正仿宋_GBK"/>
          <w:color w:val="000000"/>
          <w:spacing w:val="-2"/>
          <w:kern w:val="0"/>
          <w:sz w:val="24"/>
        </w:rPr>
      </w:pPr>
      <w:r>
        <w:rPr>
          <w:rFonts w:hint="eastAsia" w:eastAsia="方正黑体_GBK"/>
          <w:color w:val="000000"/>
          <w:spacing w:val="-2"/>
          <w:kern w:val="0"/>
          <w:sz w:val="24"/>
        </w:rPr>
        <w:t>第三条</w:t>
      </w:r>
      <w:r>
        <w:rPr>
          <w:rFonts w:hint="eastAsia" w:eastAsia="方正仿宋_GBK"/>
          <w:color w:val="000000"/>
          <w:spacing w:val="-2"/>
          <w:kern w:val="0"/>
          <w:sz w:val="24"/>
        </w:rPr>
        <w:t>　本细则所称工程造价咨询企业是指接受委托，对建设项目投资、工程造价的确定与控制提供专业咨询服务出具工程造价成果文件的企业。</w:t>
      </w:r>
    </w:p>
    <w:p>
      <w:pPr>
        <w:spacing w:line="460" w:lineRule="exact"/>
        <w:ind w:firstLine="464" w:firstLineChars="200"/>
        <w:rPr>
          <w:rFonts w:eastAsia="方正仿宋_GBK"/>
          <w:color w:val="000000"/>
          <w:spacing w:val="-2"/>
          <w:kern w:val="0"/>
          <w:sz w:val="24"/>
        </w:rPr>
      </w:pPr>
      <w:r>
        <w:rPr>
          <w:rFonts w:hint="eastAsia" w:eastAsia="方正黑体_GBK"/>
          <w:color w:val="000000"/>
          <w:spacing w:val="-2"/>
          <w:kern w:val="0"/>
          <w:sz w:val="24"/>
        </w:rPr>
        <w:t>第四条</w:t>
      </w:r>
      <w:r>
        <w:rPr>
          <w:rFonts w:eastAsia="方正仿宋_GBK"/>
          <w:color w:val="000000"/>
          <w:spacing w:val="-2"/>
          <w:kern w:val="0"/>
          <w:sz w:val="24"/>
        </w:rPr>
        <w:t xml:space="preserve">  </w:t>
      </w:r>
      <w:r>
        <w:rPr>
          <w:rFonts w:hint="eastAsia" w:eastAsia="方正仿宋_GBK"/>
          <w:color w:val="000000"/>
          <w:spacing w:val="-2"/>
          <w:kern w:val="0"/>
          <w:sz w:val="24"/>
        </w:rPr>
        <w:t>工程造价咨询企业从事工程造价咨询活动，应当遵循独立、客观、公正、诚实信用的原则，不得损害社会公共利益和他人的合法权益。</w:t>
      </w:r>
    </w:p>
    <w:p>
      <w:pPr>
        <w:spacing w:line="460" w:lineRule="exact"/>
        <w:ind w:firstLine="455" w:firstLineChars="196"/>
        <w:rPr>
          <w:rFonts w:eastAsia="方正仿宋_GBK"/>
          <w:color w:val="000000"/>
          <w:spacing w:val="-2"/>
          <w:kern w:val="0"/>
          <w:sz w:val="24"/>
        </w:rPr>
      </w:pPr>
      <w:r>
        <w:rPr>
          <w:rFonts w:hint="eastAsia" w:eastAsia="方正黑体_GBK"/>
          <w:color w:val="000000"/>
          <w:spacing w:val="-2"/>
          <w:kern w:val="0"/>
          <w:sz w:val="24"/>
        </w:rPr>
        <w:t>第五条　</w:t>
      </w:r>
      <w:r>
        <w:rPr>
          <w:rFonts w:hint="eastAsia" w:eastAsia="方正仿宋_GBK"/>
          <w:color w:val="000000"/>
          <w:spacing w:val="-2"/>
          <w:kern w:val="0"/>
          <w:sz w:val="24"/>
        </w:rPr>
        <w:t>省建设行政主管部门（以下简称江苏省住建厅）负责全省工程造价咨询企业及其活动的监督管理。省建设工程造价管理总站</w:t>
      </w:r>
      <w:r>
        <w:rPr>
          <w:rFonts w:eastAsia="方正仿宋_GBK"/>
          <w:color w:val="000000"/>
          <w:spacing w:val="-2"/>
          <w:kern w:val="0"/>
          <w:sz w:val="24"/>
        </w:rPr>
        <w:t>(</w:t>
      </w:r>
      <w:r>
        <w:rPr>
          <w:rFonts w:hint="eastAsia" w:eastAsia="方正仿宋_GBK"/>
          <w:color w:val="000000"/>
          <w:spacing w:val="-2"/>
          <w:kern w:val="0"/>
          <w:sz w:val="24"/>
        </w:rPr>
        <w:t>以下简称省造价总站</w:t>
      </w:r>
      <w:r>
        <w:rPr>
          <w:rFonts w:eastAsia="方正仿宋_GBK"/>
          <w:color w:val="000000"/>
          <w:spacing w:val="-2"/>
          <w:kern w:val="0"/>
          <w:sz w:val="24"/>
        </w:rPr>
        <w:t>)</w:t>
      </w:r>
      <w:r>
        <w:rPr>
          <w:rFonts w:hint="eastAsia" w:eastAsia="方正仿宋_GBK"/>
          <w:color w:val="000000"/>
          <w:spacing w:val="-2"/>
          <w:kern w:val="0"/>
          <w:sz w:val="24"/>
        </w:rPr>
        <w:t>受江苏省住建厅委托具体实施全省工程造价咨询活动的监督检查和日常管理工作。</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县级以上住房和城乡建设行政主管部门负责本行政区域内工程造价咨询活动的监督管理，县级以上造价管理机构负责本行政区域内工程造价咨询活动监督检查和日常管理工作。</w:t>
      </w:r>
    </w:p>
    <w:p>
      <w:pPr>
        <w:spacing w:line="460" w:lineRule="exact"/>
        <w:ind w:firstLine="464" w:firstLineChars="200"/>
        <w:rPr>
          <w:rFonts w:eastAsia="方正仿宋_GBK"/>
          <w:color w:val="000000"/>
          <w:spacing w:val="-2"/>
          <w:kern w:val="0"/>
          <w:sz w:val="24"/>
        </w:rPr>
      </w:pPr>
      <w:r>
        <w:rPr>
          <w:rFonts w:hint="eastAsia" w:eastAsia="方正黑体_GBK"/>
          <w:color w:val="000000"/>
          <w:spacing w:val="-2"/>
          <w:kern w:val="0"/>
          <w:sz w:val="24"/>
        </w:rPr>
        <w:t>第六条</w:t>
      </w:r>
      <w:r>
        <w:rPr>
          <w:rFonts w:eastAsia="方正仿宋_GBK"/>
          <w:color w:val="000000"/>
          <w:spacing w:val="-2"/>
          <w:kern w:val="0"/>
          <w:sz w:val="24"/>
        </w:rPr>
        <w:t xml:space="preserve">  </w:t>
      </w:r>
      <w:r>
        <w:rPr>
          <w:rFonts w:hint="eastAsia" w:eastAsia="方正仿宋_GBK"/>
          <w:color w:val="000000"/>
          <w:spacing w:val="-2"/>
          <w:kern w:val="0"/>
          <w:sz w:val="24"/>
        </w:rPr>
        <w:t>工程造价咨询企业应当接受行业组织的自律管理，提高自我约束和相互监督水平。</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工程造价行业协会要充分发挥行业自律管理作用，协助住房和城乡建设行政主管部门做好造价市场监督管理工作。</w:t>
      </w:r>
    </w:p>
    <w:p>
      <w:pPr>
        <w:spacing w:line="460" w:lineRule="exact"/>
        <w:rPr>
          <w:rFonts w:eastAsia="方正仿宋_GBK"/>
          <w:color w:val="000000"/>
          <w:spacing w:val="-2"/>
          <w:kern w:val="0"/>
          <w:sz w:val="24"/>
        </w:rPr>
      </w:pPr>
    </w:p>
    <w:p>
      <w:pPr>
        <w:spacing w:line="460" w:lineRule="exact"/>
        <w:jc w:val="center"/>
        <w:rPr>
          <w:rFonts w:eastAsia="方正黑体_GBK"/>
          <w:bCs/>
          <w:color w:val="000000"/>
          <w:spacing w:val="-2"/>
          <w:kern w:val="0"/>
          <w:sz w:val="24"/>
        </w:rPr>
      </w:pPr>
      <w:r>
        <w:rPr>
          <w:rFonts w:hint="eastAsia" w:eastAsia="方正黑体_GBK"/>
          <w:bCs/>
          <w:color w:val="000000"/>
          <w:spacing w:val="-2"/>
          <w:kern w:val="0"/>
          <w:sz w:val="24"/>
        </w:rPr>
        <w:t>第二章　资质许可</w:t>
      </w:r>
    </w:p>
    <w:p>
      <w:pPr>
        <w:spacing w:line="460" w:lineRule="exact"/>
        <w:ind w:firstLine="464" w:firstLineChars="200"/>
        <w:rPr>
          <w:rFonts w:eastAsia="方正黑体_GBK"/>
          <w:color w:val="000000"/>
          <w:spacing w:val="-2"/>
          <w:kern w:val="0"/>
          <w:sz w:val="24"/>
        </w:rPr>
      </w:pPr>
    </w:p>
    <w:p>
      <w:pPr>
        <w:spacing w:line="460" w:lineRule="exact"/>
        <w:ind w:firstLine="464" w:firstLineChars="200"/>
        <w:rPr>
          <w:rFonts w:eastAsia="方正仿宋_GBK"/>
          <w:color w:val="000000"/>
          <w:spacing w:val="-2"/>
          <w:kern w:val="0"/>
          <w:sz w:val="24"/>
        </w:rPr>
      </w:pPr>
      <w:r>
        <w:rPr>
          <w:rFonts w:hint="eastAsia" w:eastAsia="方正黑体_GBK"/>
          <w:color w:val="000000"/>
          <w:spacing w:val="-2"/>
          <w:kern w:val="0"/>
          <w:sz w:val="24"/>
        </w:rPr>
        <w:t>第七条</w:t>
      </w:r>
      <w:r>
        <w:rPr>
          <w:rFonts w:eastAsia="方正仿宋_GBK"/>
          <w:color w:val="000000"/>
          <w:spacing w:val="-2"/>
          <w:kern w:val="0"/>
          <w:sz w:val="24"/>
        </w:rPr>
        <w:t xml:space="preserve">  </w:t>
      </w:r>
      <w:r>
        <w:rPr>
          <w:rFonts w:hint="eastAsia" w:eastAsia="方正仿宋_GBK"/>
          <w:color w:val="000000"/>
          <w:spacing w:val="-2"/>
          <w:kern w:val="0"/>
          <w:sz w:val="24"/>
        </w:rPr>
        <w:t>工程造价咨询企业资质等级分为甲级、乙级，其资质标准执行建设部</w:t>
      </w:r>
      <w:r>
        <w:rPr>
          <w:rFonts w:eastAsia="方正仿宋_GBK"/>
          <w:color w:val="000000"/>
          <w:spacing w:val="-2"/>
          <w:kern w:val="0"/>
          <w:sz w:val="24"/>
        </w:rPr>
        <w:t>149</w:t>
      </w:r>
      <w:r>
        <w:rPr>
          <w:rFonts w:hint="eastAsia" w:eastAsia="方正仿宋_GBK"/>
          <w:color w:val="000000"/>
          <w:spacing w:val="-2"/>
          <w:kern w:val="0"/>
          <w:sz w:val="24"/>
        </w:rPr>
        <w:t>号令的规定。</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工程造价咨询企业不得与行政机关和其他国家机关存在隶属关系或者其他利益关系。</w:t>
      </w:r>
    </w:p>
    <w:p>
      <w:pPr>
        <w:spacing w:line="460" w:lineRule="exact"/>
        <w:ind w:firstLine="464" w:firstLineChars="200"/>
        <w:rPr>
          <w:rFonts w:eastAsia="方正仿宋_GBK"/>
          <w:color w:val="000000"/>
          <w:spacing w:val="-2"/>
          <w:kern w:val="0"/>
          <w:sz w:val="24"/>
        </w:rPr>
      </w:pPr>
      <w:r>
        <w:rPr>
          <w:rFonts w:hint="eastAsia" w:eastAsia="方正黑体_GBK"/>
          <w:color w:val="000000"/>
          <w:spacing w:val="-2"/>
          <w:kern w:val="0"/>
          <w:sz w:val="24"/>
        </w:rPr>
        <w:t>第八条</w:t>
      </w:r>
      <w:r>
        <w:rPr>
          <w:rFonts w:eastAsia="方正仿宋_GBK"/>
          <w:color w:val="000000"/>
          <w:spacing w:val="-2"/>
          <w:kern w:val="0"/>
          <w:sz w:val="24"/>
        </w:rPr>
        <w:t xml:space="preserve">  </w:t>
      </w:r>
      <w:r>
        <w:rPr>
          <w:rFonts w:hint="eastAsia" w:eastAsia="方正仿宋_GBK"/>
          <w:color w:val="000000"/>
          <w:spacing w:val="-2"/>
          <w:kern w:val="0"/>
          <w:sz w:val="24"/>
        </w:rPr>
        <w:t>申请甲级工程造价咨询企业资质的程序：</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（一）申请人登录</w:t>
      </w:r>
      <w:r>
        <w:rPr>
          <w:rFonts w:eastAsia="方正仿宋_GBK"/>
          <w:color w:val="000000"/>
          <w:spacing w:val="-2"/>
          <w:kern w:val="0"/>
          <w:sz w:val="24"/>
        </w:rPr>
        <w:t>“</w:t>
      </w:r>
      <w:r>
        <w:rPr>
          <w:rFonts w:hint="eastAsia" w:eastAsia="方正仿宋_GBK"/>
          <w:color w:val="000000"/>
          <w:spacing w:val="-2"/>
          <w:kern w:val="0"/>
          <w:sz w:val="24"/>
        </w:rPr>
        <w:t>中国建设工程造价信息网</w:t>
      </w:r>
      <w:r>
        <w:rPr>
          <w:rFonts w:eastAsia="方正仿宋_GBK"/>
          <w:color w:val="000000"/>
          <w:spacing w:val="-2"/>
          <w:kern w:val="0"/>
          <w:sz w:val="24"/>
        </w:rPr>
        <w:t>”</w:t>
      </w:r>
      <w:r>
        <w:rPr>
          <w:rFonts w:hint="eastAsia" w:eastAsia="方正仿宋_GBK"/>
          <w:color w:val="000000"/>
          <w:spacing w:val="-2"/>
          <w:kern w:val="0"/>
          <w:sz w:val="24"/>
        </w:rPr>
        <w:t>工程造价咨询企业管理系统进行网上申请，填报申请表和扫描相关证明材料，同时登录</w:t>
      </w:r>
      <w:r>
        <w:rPr>
          <w:rFonts w:eastAsia="方正仿宋_GBK"/>
          <w:color w:val="000000"/>
          <w:spacing w:val="-2"/>
          <w:kern w:val="0"/>
          <w:sz w:val="24"/>
        </w:rPr>
        <w:t>“</w:t>
      </w:r>
      <w:r>
        <w:rPr>
          <w:rFonts w:hint="eastAsia" w:eastAsia="方正仿宋_GBK"/>
          <w:color w:val="000000"/>
          <w:spacing w:val="-2"/>
          <w:kern w:val="0"/>
          <w:sz w:val="24"/>
        </w:rPr>
        <w:t>江苏省住房和城乡建设厅行政权力公开透明运行系统</w:t>
      </w:r>
      <w:r>
        <w:rPr>
          <w:rFonts w:eastAsia="方正仿宋_GBK"/>
          <w:color w:val="000000"/>
          <w:spacing w:val="-2"/>
          <w:kern w:val="0"/>
          <w:sz w:val="24"/>
        </w:rPr>
        <w:t>”</w:t>
      </w:r>
      <w:r>
        <w:rPr>
          <w:rFonts w:hint="eastAsia" w:eastAsia="方正仿宋_GBK"/>
          <w:color w:val="000000"/>
          <w:spacing w:val="-2"/>
          <w:kern w:val="0"/>
          <w:sz w:val="24"/>
        </w:rPr>
        <w:t>提交申请材料。（二）江苏省住房和城乡建设厅审批中心（以下简称审批中心）对工程造价咨询企业甲级资质延续的申请材料进行网上审查。对于申请材料不齐全或不符合法定形式的，一次性告知申请人需要补正的材料。自受理申报材料之日起</w:t>
      </w:r>
      <w:r>
        <w:rPr>
          <w:rFonts w:eastAsia="方正仿宋_GBK"/>
          <w:color w:val="000000"/>
          <w:spacing w:val="-2"/>
          <w:kern w:val="0"/>
          <w:sz w:val="24"/>
        </w:rPr>
        <w:t>20</w:t>
      </w:r>
      <w:r>
        <w:rPr>
          <w:rFonts w:hint="eastAsia" w:eastAsia="方正仿宋_GBK"/>
          <w:color w:val="000000"/>
          <w:spacing w:val="-2"/>
          <w:kern w:val="0"/>
          <w:sz w:val="24"/>
        </w:rPr>
        <w:t>个工作日内，办理完毕并将全部申请材料及审核结果报国务院建设主管部门（以下简称住建部）；对工程造价咨询企业晋升甲级资质的不进行初审，将全部申请材料报住建部审批。</w:t>
      </w:r>
    </w:p>
    <w:p>
      <w:pPr>
        <w:spacing w:line="460" w:lineRule="exact"/>
        <w:ind w:firstLine="464" w:firstLineChars="200"/>
        <w:rPr>
          <w:rFonts w:eastAsia="方正仿宋_GBK"/>
          <w:color w:val="000000"/>
          <w:spacing w:val="-2"/>
          <w:kern w:val="0"/>
          <w:sz w:val="24"/>
        </w:rPr>
      </w:pPr>
      <w:r>
        <w:rPr>
          <w:rFonts w:hint="eastAsia" w:eastAsia="方正黑体_GBK"/>
          <w:color w:val="000000"/>
          <w:spacing w:val="-2"/>
          <w:kern w:val="0"/>
          <w:sz w:val="24"/>
        </w:rPr>
        <w:t>第九条</w:t>
      </w:r>
      <w:r>
        <w:rPr>
          <w:rFonts w:eastAsia="方正仿宋_GBK"/>
          <w:color w:val="000000"/>
          <w:spacing w:val="-2"/>
          <w:kern w:val="0"/>
          <w:sz w:val="24"/>
        </w:rPr>
        <w:t xml:space="preserve">  </w:t>
      </w:r>
      <w:r>
        <w:rPr>
          <w:rFonts w:hint="eastAsia" w:eastAsia="方正仿宋_GBK"/>
          <w:bCs/>
          <w:color w:val="000000"/>
          <w:spacing w:val="-2"/>
          <w:kern w:val="0"/>
          <w:sz w:val="24"/>
        </w:rPr>
        <w:t>申请乙级工程造价咨询企业资质的程序</w:t>
      </w:r>
      <w:r>
        <w:rPr>
          <w:rFonts w:hint="eastAsia" w:eastAsia="方正仿宋_GBK"/>
          <w:color w:val="000000"/>
          <w:spacing w:val="-2"/>
          <w:kern w:val="0"/>
          <w:sz w:val="24"/>
        </w:rPr>
        <w:t>：</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（一）申请人登录</w:t>
      </w:r>
      <w:r>
        <w:rPr>
          <w:rFonts w:eastAsia="方正仿宋_GBK"/>
          <w:color w:val="000000"/>
          <w:spacing w:val="-2"/>
          <w:kern w:val="0"/>
          <w:sz w:val="24"/>
        </w:rPr>
        <w:t>“</w:t>
      </w:r>
      <w:r>
        <w:rPr>
          <w:rFonts w:hint="eastAsia" w:eastAsia="方正仿宋_GBK"/>
          <w:color w:val="000000"/>
          <w:spacing w:val="-2"/>
          <w:kern w:val="0"/>
          <w:sz w:val="24"/>
        </w:rPr>
        <w:t>江苏省住房和城乡建设厅行政权力公开透明运行系统</w:t>
      </w:r>
      <w:r>
        <w:rPr>
          <w:rFonts w:eastAsia="方正仿宋_GBK"/>
          <w:color w:val="000000"/>
          <w:spacing w:val="-2"/>
          <w:kern w:val="0"/>
          <w:sz w:val="24"/>
        </w:rPr>
        <w:t>”</w:t>
      </w:r>
      <w:r>
        <w:rPr>
          <w:rFonts w:hint="eastAsia" w:eastAsia="方正仿宋_GBK"/>
          <w:color w:val="000000"/>
          <w:spacing w:val="-2"/>
          <w:kern w:val="0"/>
          <w:sz w:val="24"/>
        </w:rPr>
        <w:t>进行网上资质申请，填报资质申请书和扫描相关材料。</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（二）审批中心对申报材料进行网上审查。对于申请材料不齐全或不符合法定形式的，一次性告知申请人需要补正的材料。</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（三）审批中心自受理申报材料之日起</w:t>
      </w:r>
      <w:r>
        <w:rPr>
          <w:rFonts w:eastAsia="方正仿宋_GBK"/>
          <w:color w:val="000000"/>
          <w:spacing w:val="-2"/>
          <w:kern w:val="0"/>
          <w:sz w:val="24"/>
        </w:rPr>
        <w:t>20</w:t>
      </w:r>
      <w:r>
        <w:rPr>
          <w:rFonts w:hint="eastAsia" w:eastAsia="方正仿宋_GBK"/>
          <w:color w:val="000000"/>
          <w:spacing w:val="-2"/>
          <w:kern w:val="0"/>
          <w:sz w:val="24"/>
        </w:rPr>
        <w:t>个工作日内，办理完毕并作出行政许可决定。</w:t>
      </w:r>
      <w:r>
        <w:rPr>
          <w:rFonts w:eastAsia="方正仿宋_GBK"/>
          <w:color w:val="000000"/>
          <w:spacing w:val="-2"/>
          <w:kern w:val="0"/>
          <w:sz w:val="24"/>
        </w:rPr>
        <w:t xml:space="preserve"> </w:t>
      </w:r>
    </w:p>
    <w:p>
      <w:pPr>
        <w:spacing w:line="460" w:lineRule="exact"/>
        <w:ind w:firstLine="570"/>
        <w:rPr>
          <w:rFonts w:eastAsia="方正仿宋_GBK"/>
          <w:color w:val="000000"/>
          <w:spacing w:val="-2"/>
          <w:kern w:val="0"/>
          <w:sz w:val="24"/>
        </w:rPr>
      </w:pPr>
      <w:r>
        <w:rPr>
          <w:rFonts w:hint="eastAsia" w:eastAsia="方正仿宋_GBK"/>
          <w:color w:val="000000"/>
          <w:spacing w:val="-2"/>
          <w:kern w:val="0"/>
          <w:sz w:val="24"/>
        </w:rPr>
        <w:t>（四）审批中心对准予许可的，在</w:t>
      </w:r>
      <w:r>
        <w:rPr>
          <w:rFonts w:eastAsia="方正仿宋_GBK"/>
          <w:color w:val="000000"/>
          <w:spacing w:val="-2"/>
          <w:kern w:val="0"/>
          <w:sz w:val="24"/>
        </w:rPr>
        <w:t>“</w:t>
      </w:r>
      <w:r>
        <w:rPr>
          <w:rFonts w:hint="eastAsia" w:eastAsia="方正仿宋_GBK"/>
          <w:color w:val="000000"/>
          <w:spacing w:val="-2"/>
          <w:kern w:val="0"/>
          <w:sz w:val="24"/>
        </w:rPr>
        <w:t>江苏省住房和城乡建设厅</w:t>
      </w:r>
      <w:r>
        <w:rPr>
          <w:rFonts w:eastAsia="方正仿宋_GBK"/>
          <w:color w:val="000000"/>
          <w:spacing w:val="-2"/>
          <w:kern w:val="0"/>
          <w:sz w:val="24"/>
        </w:rPr>
        <w:t>”</w:t>
      </w:r>
      <w:r>
        <w:rPr>
          <w:rFonts w:hint="eastAsia" w:eastAsia="方正仿宋_GBK"/>
          <w:color w:val="000000"/>
          <w:spacing w:val="-2"/>
          <w:kern w:val="0"/>
          <w:sz w:val="24"/>
        </w:rPr>
        <w:t>官网公告许可决定及通知领取资质证书；对不予许可的，作出不予行政许可决定，并将原因告知申请当事人。</w:t>
      </w:r>
    </w:p>
    <w:p>
      <w:pPr>
        <w:spacing w:line="460" w:lineRule="exact"/>
        <w:ind w:firstLine="464" w:firstLineChars="200"/>
        <w:rPr>
          <w:rFonts w:eastAsia="方正仿宋_GBK"/>
          <w:color w:val="000000"/>
          <w:spacing w:val="-2"/>
          <w:kern w:val="0"/>
          <w:sz w:val="24"/>
        </w:rPr>
      </w:pPr>
      <w:r>
        <w:rPr>
          <w:rFonts w:hint="eastAsia" w:eastAsia="方正黑体_GBK"/>
          <w:color w:val="000000"/>
          <w:spacing w:val="-2"/>
          <w:kern w:val="0"/>
          <w:sz w:val="24"/>
        </w:rPr>
        <w:t>第十条</w:t>
      </w:r>
      <w:r>
        <w:rPr>
          <w:rFonts w:eastAsia="方正仿宋_GBK"/>
          <w:color w:val="000000"/>
          <w:spacing w:val="-2"/>
          <w:kern w:val="0"/>
          <w:sz w:val="24"/>
        </w:rPr>
        <w:t xml:space="preserve">  </w:t>
      </w:r>
      <w:r>
        <w:rPr>
          <w:rFonts w:hint="eastAsia" w:eastAsia="方正仿宋_GBK"/>
          <w:color w:val="000000"/>
          <w:spacing w:val="-2"/>
          <w:kern w:val="0"/>
          <w:sz w:val="24"/>
        </w:rPr>
        <w:t>申请工程造价咨询资质的企业应当提交下列由法定代表人对其真实性声明的申请材料：</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（一）工程造价咨询企业资质申请书（含企业法定代表人承诺书）；</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（二）企业营业执照；</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（三）</w:t>
      </w:r>
      <w:r>
        <w:rPr>
          <w:rFonts w:eastAsia="方正仿宋_GBK"/>
          <w:color w:val="000000"/>
          <w:spacing w:val="-2"/>
          <w:kern w:val="0"/>
          <w:sz w:val="24"/>
        </w:rPr>
        <w:t xml:space="preserve"> </w:t>
      </w:r>
      <w:r>
        <w:rPr>
          <w:rFonts w:hint="eastAsia" w:eastAsia="方正仿宋_GBK"/>
          <w:color w:val="000000"/>
          <w:spacing w:val="-2"/>
          <w:kern w:val="0"/>
          <w:sz w:val="24"/>
        </w:rPr>
        <w:t>工程造价咨询企业资质证书（新申请工程造价咨询企业资质的，不需提供）；</w:t>
      </w:r>
    </w:p>
    <w:p>
      <w:pPr>
        <w:spacing w:line="460" w:lineRule="exact"/>
        <w:ind w:firstLine="464" w:firstLineChars="200"/>
        <w:rPr>
          <w:rFonts w:eastAsia="方正仿宋_GBK"/>
          <w:color w:val="000000"/>
          <w:spacing w:val="-8"/>
          <w:kern w:val="0"/>
          <w:sz w:val="24"/>
        </w:rPr>
      </w:pPr>
      <w:r>
        <w:rPr>
          <w:rFonts w:hint="eastAsia" w:eastAsia="方正仿宋_GBK"/>
          <w:color w:val="000000"/>
          <w:spacing w:val="-2"/>
          <w:kern w:val="0"/>
          <w:sz w:val="24"/>
        </w:rPr>
        <w:t>（四）</w:t>
      </w:r>
      <w:r>
        <w:rPr>
          <w:rFonts w:hint="eastAsia" w:eastAsia="方正仿宋_GBK"/>
          <w:color w:val="000000"/>
          <w:spacing w:val="-8"/>
          <w:kern w:val="0"/>
          <w:sz w:val="24"/>
        </w:rPr>
        <w:t>工商部门备案的企业章程：查询日期在近三个月内，能够体现股东出资情况；</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股东出资人中，专职注册造价师人数不低于出资总人数的</w:t>
      </w:r>
      <w:r>
        <w:rPr>
          <w:rFonts w:eastAsia="方正仿宋_GBK"/>
          <w:color w:val="000000"/>
          <w:spacing w:val="-2"/>
          <w:kern w:val="0"/>
          <w:sz w:val="24"/>
        </w:rPr>
        <w:t>60%</w:t>
      </w:r>
      <w:r>
        <w:rPr>
          <w:rFonts w:hint="eastAsia" w:eastAsia="方正仿宋_GBK"/>
          <w:color w:val="000000"/>
          <w:spacing w:val="-2"/>
          <w:kern w:val="0"/>
          <w:sz w:val="24"/>
        </w:rPr>
        <w:t>，且其出资额不低于企业资本总额的</w:t>
      </w:r>
      <w:r>
        <w:rPr>
          <w:rFonts w:eastAsia="方正仿宋_GBK"/>
          <w:color w:val="000000"/>
          <w:spacing w:val="-2"/>
          <w:kern w:val="0"/>
          <w:sz w:val="24"/>
        </w:rPr>
        <w:t>60%</w:t>
      </w:r>
      <w:r>
        <w:rPr>
          <w:rFonts w:hint="eastAsia" w:eastAsia="方正仿宋_GBK"/>
          <w:color w:val="000000"/>
          <w:spacing w:val="-2"/>
          <w:kern w:val="0"/>
          <w:sz w:val="24"/>
        </w:rPr>
        <w:t>。</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（五）注册造价师监管平台的注册情况截图；</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（六）专职专业人员（含技术负责人）的身份证和中级及以上专业技术职称证书；</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专职专业人员是指与申报企业建立劳动合同关系，由申报单位办理人事代理合同和交纳的社会基本养老保险费用（向主管部门作出书面承诺），注册在申报企业的造价工程师及其他人员。专职专业人员要符合国家规定的职业年龄（统一按男、女</w:t>
      </w:r>
      <w:r>
        <w:rPr>
          <w:rFonts w:eastAsia="方正仿宋_GBK"/>
          <w:color w:val="000000"/>
          <w:spacing w:val="-2"/>
          <w:kern w:val="0"/>
          <w:sz w:val="24"/>
        </w:rPr>
        <w:t>60</w:t>
      </w:r>
      <w:r>
        <w:rPr>
          <w:rFonts w:hint="eastAsia" w:eastAsia="方正仿宋_GBK"/>
          <w:color w:val="000000"/>
          <w:spacing w:val="-2"/>
          <w:kern w:val="0"/>
          <w:sz w:val="24"/>
        </w:rPr>
        <w:t>周岁计算）。内退人员和退休人员比例不得超过专职专业人员总人数的</w:t>
      </w:r>
      <w:r>
        <w:rPr>
          <w:rFonts w:eastAsia="方正仿宋_GBK"/>
          <w:color w:val="000000"/>
          <w:spacing w:val="-2"/>
          <w:kern w:val="0"/>
          <w:sz w:val="24"/>
        </w:rPr>
        <w:t>30%</w:t>
      </w:r>
      <w:r>
        <w:rPr>
          <w:rFonts w:hint="eastAsia" w:eastAsia="方正仿宋_GBK"/>
          <w:color w:val="000000"/>
          <w:spacing w:val="-2"/>
          <w:kern w:val="0"/>
          <w:sz w:val="24"/>
        </w:rPr>
        <w:t>。</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中级职称是指工程师、经济师、审计师、会计师、工程或经济系列教授等。已取得造价师注册证书、并有本企业中级职称聘书的可认定为中级职称。</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（七）企业缴纳社保证明：由人力资源社会保障部门出具并盖章的企业员工缴纳社保情况表（退休人员提供退休证）；</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（八）营业收入证明：企业开具的工程造价咨询营业收入发票和对应的工程造价咨询合同（新申请工程造价咨询企业资质的，不需提供）。</w:t>
      </w:r>
    </w:p>
    <w:p>
      <w:pPr>
        <w:spacing w:line="460" w:lineRule="exact"/>
        <w:ind w:firstLine="464" w:firstLineChars="200"/>
        <w:rPr>
          <w:rFonts w:eastAsia="方正仿宋_GBK"/>
          <w:color w:val="000000"/>
          <w:spacing w:val="-2"/>
          <w:kern w:val="0"/>
          <w:sz w:val="24"/>
        </w:rPr>
      </w:pPr>
      <w:r>
        <w:rPr>
          <w:rFonts w:hint="eastAsia" w:eastAsia="方正黑体_GBK"/>
          <w:color w:val="000000"/>
          <w:spacing w:val="-2"/>
          <w:kern w:val="0"/>
          <w:sz w:val="24"/>
        </w:rPr>
        <w:t>第十一条　</w:t>
      </w:r>
      <w:r>
        <w:rPr>
          <w:rFonts w:hint="eastAsia" w:eastAsia="方正仿宋_GBK"/>
          <w:color w:val="000000"/>
          <w:spacing w:val="-2"/>
          <w:kern w:val="0"/>
          <w:sz w:val="24"/>
        </w:rPr>
        <w:t>新设立的工程造价咨询企业无工作业绩，按照建设部第</w:t>
      </w:r>
      <w:r>
        <w:rPr>
          <w:rFonts w:eastAsia="方正仿宋_GBK"/>
          <w:color w:val="000000"/>
          <w:spacing w:val="-2"/>
          <w:kern w:val="0"/>
          <w:sz w:val="24"/>
        </w:rPr>
        <w:t>149</w:t>
      </w:r>
      <w:r>
        <w:rPr>
          <w:rFonts w:hint="eastAsia" w:eastAsia="方正仿宋_GBK"/>
          <w:color w:val="000000"/>
          <w:spacing w:val="-2"/>
          <w:kern w:val="0"/>
          <w:sz w:val="24"/>
        </w:rPr>
        <w:t>号令中乙级资质标准核定为乙级，暂定资质期限为一年。一年暂定期满需继续从事工程造价咨询活动的，应当在暂定期届满</w:t>
      </w:r>
      <w:r>
        <w:rPr>
          <w:rFonts w:eastAsia="方正仿宋_GBK"/>
          <w:color w:val="000000"/>
          <w:spacing w:val="-2"/>
          <w:kern w:val="0"/>
          <w:sz w:val="24"/>
        </w:rPr>
        <w:t>30</w:t>
      </w:r>
      <w:r>
        <w:rPr>
          <w:rFonts w:hint="eastAsia" w:eastAsia="方正仿宋_GBK"/>
          <w:color w:val="000000"/>
          <w:spacing w:val="-2"/>
          <w:kern w:val="0"/>
          <w:sz w:val="24"/>
        </w:rPr>
        <w:t>日前，向审批中心申请换发资质证书。暂定期满达不到乙级资质条件及逾期不提出申请的，由省住建厅注销其资质证书。</w:t>
      </w:r>
    </w:p>
    <w:p>
      <w:pPr>
        <w:spacing w:line="460" w:lineRule="exact"/>
        <w:ind w:firstLine="464" w:firstLineChars="200"/>
        <w:rPr>
          <w:rFonts w:eastAsia="方正仿宋_GBK"/>
          <w:color w:val="000000"/>
          <w:spacing w:val="-2"/>
          <w:kern w:val="0"/>
          <w:sz w:val="24"/>
        </w:rPr>
      </w:pPr>
      <w:r>
        <w:rPr>
          <w:rFonts w:hint="eastAsia" w:eastAsia="方正黑体_GBK"/>
          <w:color w:val="000000"/>
          <w:spacing w:val="-2"/>
          <w:kern w:val="0"/>
          <w:sz w:val="24"/>
        </w:rPr>
        <w:t>第十二条　</w:t>
      </w:r>
      <w:r>
        <w:rPr>
          <w:rFonts w:hint="eastAsia" w:eastAsia="方正仿宋_GBK"/>
          <w:color w:val="000000"/>
          <w:spacing w:val="-2"/>
          <w:kern w:val="0"/>
          <w:sz w:val="24"/>
        </w:rPr>
        <w:t>准予资质许可的，住建部或省住建厅向申请人颁发工程造价咨询企业资质证书和执业印章。工程造价咨询企业资质证书分正本和副本。正本和副本具有同等法律效力。</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工程造价咨询企业资质证书遗失补办的，由申请人告知资质许可机关，许可机关在官网上发布信息。</w:t>
      </w:r>
    </w:p>
    <w:p>
      <w:pPr>
        <w:spacing w:line="460" w:lineRule="exact"/>
        <w:ind w:firstLine="464" w:firstLineChars="200"/>
        <w:rPr>
          <w:rFonts w:eastAsia="方正仿宋_GBK"/>
          <w:color w:val="000000"/>
          <w:spacing w:val="-2"/>
          <w:kern w:val="0"/>
          <w:sz w:val="24"/>
        </w:rPr>
      </w:pPr>
      <w:r>
        <w:rPr>
          <w:rFonts w:hint="eastAsia" w:eastAsia="方正黑体_GBK"/>
          <w:color w:val="000000"/>
          <w:spacing w:val="-2"/>
          <w:kern w:val="0"/>
          <w:sz w:val="24"/>
        </w:rPr>
        <w:t>第十三条</w:t>
      </w:r>
      <w:r>
        <w:rPr>
          <w:rFonts w:eastAsia="方正仿宋_GBK"/>
          <w:color w:val="000000"/>
          <w:spacing w:val="-2"/>
          <w:kern w:val="0"/>
          <w:sz w:val="24"/>
        </w:rPr>
        <w:t xml:space="preserve">  </w:t>
      </w:r>
      <w:r>
        <w:rPr>
          <w:rFonts w:hint="eastAsia" w:eastAsia="方正仿宋_GBK"/>
          <w:color w:val="000000"/>
          <w:spacing w:val="-2"/>
          <w:kern w:val="0"/>
          <w:sz w:val="24"/>
        </w:rPr>
        <w:t>新设立的暂定乙级造价咨询企业应及时做好</w:t>
      </w:r>
      <w:r>
        <w:rPr>
          <w:rFonts w:eastAsia="方正仿宋_GBK"/>
          <w:color w:val="000000"/>
          <w:spacing w:val="-2"/>
          <w:kern w:val="0"/>
          <w:sz w:val="24"/>
        </w:rPr>
        <w:t>“</w:t>
      </w:r>
      <w:r>
        <w:rPr>
          <w:rFonts w:hint="eastAsia" w:eastAsia="方正仿宋_GBK"/>
          <w:color w:val="000000"/>
          <w:spacing w:val="-2"/>
          <w:kern w:val="0"/>
          <w:sz w:val="24"/>
        </w:rPr>
        <w:t>江苏省工程造价信息网</w:t>
      </w:r>
      <w:r>
        <w:rPr>
          <w:rFonts w:eastAsia="方正仿宋_GBK"/>
          <w:color w:val="000000"/>
          <w:spacing w:val="-2"/>
          <w:kern w:val="0"/>
          <w:sz w:val="24"/>
        </w:rPr>
        <w:t>”</w:t>
      </w:r>
      <w:r>
        <w:rPr>
          <w:rFonts w:hint="eastAsia" w:eastAsia="方正仿宋_GBK"/>
          <w:color w:val="000000"/>
          <w:spacing w:val="-2"/>
          <w:kern w:val="0"/>
          <w:sz w:val="24"/>
        </w:rPr>
        <w:t>的初始化维护工作。</w:t>
      </w:r>
    </w:p>
    <w:p>
      <w:pPr>
        <w:spacing w:line="460" w:lineRule="exact"/>
        <w:ind w:firstLine="464" w:firstLineChars="200"/>
        <w:rPr>
          <w:rFonts w:eastAsia="方正仿宋_GBK"/>
          <w:color w:val="000000"/>
          <w:spacing w:val="-2"/>
          <w:kern w:val="0"/>
          <w:sz w:val="24"/>
        </w:rPr>
      </w:pPr>
      <w:r>
        <w:rPr>
          <w:rFonts w:hint="eastAsia" w:eastAsia="方正黑体_GBK"/>
          <w:color w:val="000000"/>
          <w:spacing w:val="-2"/>
          <w:kern w:val="0"/>
          <w:sz w:val="24"/>
        </w:rPr>
        <w:t>第十四条　</w:t>
      </w:r>
      <w:r>
        <w:rPr>
          <w:rFonts w:hint="eastAsia" w:eastAsia="方正仿宋_GBK"/>
          <w:color w:val="000000"/>
          <w:spacing w:val="-2"/>
          <w:kern w:val="0"/>
          <w:sz w:val="24"/>
        </w:rPr>
        <w:t>工程造价咨询企业资质有效期为</w:t>
      </w:r>
      <w:r>
        <w:rPr>
          <w:rFonts w:eastAsia="方正仿宋_GBK"/>
          <w:color w:val="000000"/>
          <w:spacing w:val="-2"/>
          <w:kern w:val="0"/>
          <w:sz w:val="24"/>
        </w:rPr>
        <w:t>3</w:t>
      </w:r>
      <w:r>
        <w:rPr>
          <w:rFonts w:hint="eastAsia" w:eastAsia="方正仿宋_GBK"/>
          <w:color w:val="000000"/>
          <w:spacing w:val="-2"/>
          <w:kern w:val="0"/>
          <w:sz w:val="24"/>
        </w:rPr>
        <w:t>年。有效期满，需要继续从事工程造价咨询活动的，应当在资质有效期满</w:t>
      </w:r>
      <w:r>
        <w:rPr>
          <w:rFonts w:eastAsia="方正仿宋_GBK"/>
          <w:color w:val="000000"/>
          <w:spacing w:val="-2"/>
          <w:kern w:val="0"/>
          <w:sz w:val="24"/>
        </w:rPr>
        <w:t>30</w:t>
      </w:r>
      <w:r>
        <w:rPr>
          <w:rFonts w:hint="eastAsia" w:eastAsia="方正仿宋_GBK"/>
          <w:color w:val="000000"/>
          <w:spacing w:val="-2"/>
          <w:kern w:val="0"/>
          <w:sz w:val="24"/>
        </w:rPr>
        <w:t>日前向审批中心提出资质延续申请。准予延续的，资质有效期延续</w:t>
      </w:r>
      <w:r>
        <w:rPr>
          <w:rFonts w:eastAsia="方正仿宋_GBK"/>
          <w:color w:val="000000"/>
          <w:spacing w:val="-2"/>
          <w:kern w:val="0"/>
          <w:sz w:val="24"/>
        </w:rPr>
        <w:t>3</w:t>
      </w:r>
      <w:r>
        <w:rPr>
          <w:rFonts w:hint="eastAsia" w:eastAsia="方正仿宋_GBK"/>
          <w:color w:val="000000"/>
          <w:spacing w:val="-2"/>
          <w:kern w:val="0"/>
          <w:sz w:val="24"/>
        </w:rPr>
        <w:t>年。</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资质延续申请按照本细则第七、八、九、十条规定的程序和申请材料内容上报。</w:t>
      </w:r>
    </w:p>
    <w:p>
      <w:pPr>
        <w:spacing w:line="460" w:lineRule="exact"/>
        <w:ind w:firstLine="464" w:firstLineChars="200"/>
        <w:rPr>
          <w:rFonts w:eastAsia="方正仿宋_GBK"/>
          <w:color w:val="000000"/>
          <w:spacing w:val="-2"/>
          <w:kern w:val="0"/>
          <w:sz w:val="24"/>
        </w:rPr>
      </w:pPr>
      <w:r>
        <w:rPr>
          <w:rFonts w:hint="eastAsia" w:eastAsia="方正黑体_GBK"/>
          <w:color w:val="000000"/>
          <w:spacing w:val="-2"/>
          <w:kern w:val="0"/>
          <w:sz w:val="24"/>
        </w:rPr>
        <w:t>第十五条　</w:t>
      </w:r>
      <w:r>
        <w:rPr>
          <w:rFonts w:hint="eastAsia" w:eastAsia="方正仿宋_GBK"/>
          <w:color w:val="000000"/>
          <w:spacing w:val="-2"/>
          <w:kern w:val="0"/>
          <w:sz w:val="24"/>
        </w:rPr>
        <w:t>工程造价咨询企业的名称、组织形式、认缴资本、注册地、企业的住所、法定代表人、技术负责人等发生变化的，应当自变更确立之日起</w:t>
      </w:r>
      <w:r>
        <w:rPr>
          <w:rFonts w:eastAsia="方正仿宋_GBK"/>
          <w:color w:val="000000"/>
          <w:spacing w:val="-2"/>
          <w:kern w:val="0"/>
          <w:sz w:val="24"/>
        </w:rPr>
        <w:t>30</w:t>
      </w:r>
      <w:r>
        <w:rPr>
          <w:rFonts w:hint="eastAsia" w:eastAsia="方正仿宋_GBK"/>
          <w:color w:val="000000"/>
          <w:spacing w:val="-2"/>
          <w:kern w:val="0"/>
          <w:sz w:val="24"/>
        </w:rPr>
        <w:t>日内，登录</w:t>
      </w:r>
      <w:r>
        <w:rPr>
          <w:rFonts w:eastAsia="方正仿宋_GBK"/>
          <w:color w:val="000000"/>
          <w:spacing w:val="-2"/>
          <w:kern w:val="0"/>
          <w:sz w:val="24"/>
        </w:rPr>
        <w:t>“</w:t>
      </w:r>
      <w:r>
        <w:rPr>
          <w:rFonts w:hint="eastAsia" w:eastAsia="方正仿宋_GBK"/>
          <w:color w:val="000000"/>
          <w:spacing w:val="-2"/>
          <w:kern w:val="0"/>
          <w:sz w:val="24"/>
        </w:rPr>
        <w:t>江苏省住房和城乡建设厅行政权力公开透明运行系统</w:t>
      </w:r>
      <w:r>
        <w:rPr>
          <w:rFonts w:eastAsia="方正仿宋_GBK"/>
          <w:color w:val="000000"/>
          <w:spacing w:val="-2"/>
          <w:kern w:val="0"/>
          <w:sz w:val="24"/>
        </w:rPr>
        <w:t>”</w:t>
      </w:r>
      <w:r>
        <w:rPr>
          <w:rFonts w:hint="eastAsia" w:eastAsia="方正仿宋_GBK"/>
          <w:color w:val="000000"/>
          <w:spacing w:val="-2"/>
          <w:kern w:val="0"/>
          <w:sz w:val="24"/>
        </w:rPr>
        <w:t>提交申请材料（甲级工程造价咨询企业变更的需同时在</w:t>
      </w:r>
      <w:r>
        <w:rPr>
          <w:rFonts w:eastAsia="方正仿宋_GBK"/>
          <w:color w:val="000000"/>
          <w:spacing w:val="-2"/>
          <w:kern w:val="0"/>
          <w:sz w:val="24"/>
        </w:rPr>
        <w:t>“</w:t>
      </w:r>
      <w:r>
        <w:rPr>
          <w:rFonts w:hint="eastAsia" w:eastAsia="方正仿宋_GBK"/>
          <w:color w:val="000000"/>
          <w:spacing w:val="-2"/>
          <w:kern w:val="0"/>
          <w:sz w:val="24"/>
        </w:rPr>
        <w:t>中国建设工程造价信息网</w:t>
      </w:r>
      <w:r>
        <w:rPr>
          <w:rFonts w:eastAsia="方正仿宋_GBK"/>
          <w:color w:val="000000"/>
          <w:spacing w:val="-2"/>
          <w:kern w:val="0"/>
          <w:sz w:val="24"/>
        </w:rPr>
        <w:t>”</w:t>
      </w:r>
      <w:r>
        <w:rPr>
          <w:rFonts w:hint="eastAsia" w:eastAsia="方正仿宋_GBK"/>
          <w:color w:val="000000"/>
          <w:spacing w:val="-2"/>
          <w:kern w:val="0"/>
          <w:sz w:val="24"/>
        </w:rPr>
        <w:t>工程造价咨询企业管理系统进行网上申请）。</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企业注册地跨省级区域变更的，需经原企业工商注册所在地省级住房和建设行政主管部门同意，再由新工商注册所在地省级建设行政主管部门对企业资质证书变更审核表及相关材料进行审核，审核合格后，将变更审核表及相关材料报住建部办理变更。</w:t>
      </w:r>
    </w:p>
    <w:p>
      <w:pPr>
        <w:spacing w:line="460" w:lineRule="exact"/>
        <w:ind w:firstLine="464" w:firstLineChars="200"/>
        <w:rPr>
          <w:rFonts w:eastAsia="方正仿宋_GBK"/>
          <w:color w:val="000000"/>
          <w:spacing w:val="-2"/>
          <w:kern w:val="0"/>
          <w:sz w:val="24"/>
        </w:rPr>
      </w:pPr>
      <w:r>
        <w:rPr>
          <w:rFonts w:hint="eastAsia" w:eastAsia="方正黑体_GBK"/>
          <w:color w:val="000000"/>
          <w:spacing w:val="-2"/>
          <w:kern w:val="0"/>
          <w:sz w:val="24"/>
        </w:rPr>
        <w:t>第十六条</w:t>
      </w:r>
      <w:r>
        <w:rPr>
          <w:rFonts w:eastAsia="方正仿宋_GBK"/>
          <w:color w:val="000000"/>
          <w:spacing w:val="-2"/>
          <w:kern w:val="0"/>
          <w:sz w:val="24"/>
        </w:rPr>
        <w:t xml:space="preserve">  </w:t>
      </w:r>
      <w:r>
        <w:rPr>
          <w:rFonts w:hint="eastAsia" w:eastAsia="方正仿宋_GBK"/>
          <w:color w:val="000000"/>
          <w:spacing w:val="-2"/>
          <w:kern w:val="0"/>
          <w:sz w:val="24"/>
        </w:rPr>
        <w:t>造价咨询企业申请变更需提交的材料：</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（一）单位名称变更：</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《工程造价咨询企业资质证书变更审核表》；变更后的营业执照或名称预核准通知书；原资质证书正、副本。</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（二）法定代表人变更：</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《工程造价咨询企业资质证书变更审核表》；法定代表人任职文件或股东会会议纪要、身份证；变更后的营业执照；资质证书。</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（三）技术负责人变更：</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《工程造价咨询企业资质证书变更审核表》；技术负责人任职文件、工作简历、身份证、专业技术职务证书、造价工程师注册证书、聘用合同、人事档案关系证明及社会养老保险证明等；资质证书。</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（四）经营地址变更：</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《工程造价咨询企业资质证书变更审核表》；变更后的详细地址、邮编、电话号码及传真号码、联系人（在变更报告中注明）；办公场所产权证明或租赁合同；资质证书。</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（五）认缴资金及股东变更：</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工程造价咨询企业资质证书变更审核表》；验资报告复印件；变更后营业执照；变更后的公司章程；工商出具的股东变更核准通知书；新增专职造价工程师股东身份证、专业技术职务证书、造价工程师注册证书、人事档案关系证明和社会养老保险证明；资质证书。</w:t>
      </w:r>
    </w:p>
    <w:p>
      <w:pPr>
        <w:spacing w:line="460" w:lineRule="exact"/>
        <w:ind w:firstLine="464" w:firstLineChars="200"/>
        <w:rPr>
          <w:rFonts w:eastAsia="方正仿宋_GBK"/>
          <w:color w:val="000000"/>
          <w:spacing w:val="-2"/>
          <w:kern w:val="0"/>
          <w:sz w:val="24"/>
        </w:rPr>
      </w:pPr>
      <w:r>
        <w:rPr>
          <w:rFonts w:hint="eastAsia" w:eastAsia="方正黑体_GBK"/>
          <w:color w:val="000000"/>
          <w:spacing w:val="-2"/>
          <w:kern w:val="0"/>
          <w:sz w:val="24"/>
        </w:rPr>
        <w:t>第十七条　</w:t>
      </w:r>
      <w:r>
        <w:rPr>
          <w:rFonts w:hint="eastAsia" w:eastAsia="方正仿宋_GBK"/>
          <w:color w:val="000000"/>
          <w:spacing w:val="-2"/>
          <w:kern w:val="0"/>
          <w:sz w:val="24"/>
        </w:rPr>
        <w:t>工程造价咨询企业合并的（含两个企业的造价咨询部门合并），合并后存续或者新设立的工程造价咨询企业可以承继合并前各方中较高的资质等级，但应当符合相应的资质等级条件；合并后的企业工作业绩可以承继两个合并企业的原有工作业绩总和；合并后企业取得资质时间按照原合并的两个企业中取得资质时间较长的一方计算。</w:t>
      </w:r>
    </w:p>
    <w:p>
      <w:pPr>
        <w:spacing w:line="460" w:lineRule="exact"/>
        <w:ind w:firstLine="570"/>
        <w:rPr>
          <w:rFonts w:eastAsia="方正仿宋_GBK"/>
          <w:color w:val="000000"/>
          <w:spacing w:val="-2"/>
          <w:kern w:val="0"/>
          <w:sz w:val="24"/>
        </w:rPr>
      </w:pPr>
      <w:r>
        <w:rPr>
          <w:rFonts w:hint="eastAsia" w:eastAsia="方正仿宋_GBK"/>
          <w:color w:val="000000"/>
          <w:spacing w:val="-2"/>
          <w:kern w:val="0"/>
          <w:sz w:val="24"/>
        </w:rPr>
        <w:t>工程造价咨询企业分立的，只能由分立后的一方承继原工程造价咨询企业资质，但应当符合原工程造价咨询企业资质等级条件。</w:t>
      </w:r>
    </w:p>
    <w:p>
      <w:pPr>
        <w:spacing w:line="460" w:lineRule="exact"/>
        <w:ind w:firstLine="464" w:firstLineChars="200"/>
        <w:rPr>
          <w:rFonts w:eastAsia="方正仿宋_GBK"/>
          <w:color w:val="000000"/>
          <w:spacing w:val="-2"/>
          <w:kern w:val="0"/>
          <w:sz w:val="24"/>
        </w:rPr>
      </w:pPr>
      <w:r>
        <w:rPr>
          <w:rFonts w:hint="eastAsia" w:eastAsia="方正黑体_GBK"/>
          <w:color w:val="000000"/>
          <w:spacing w:val="-2"/>
          <w:kern w:val="0"/>
          <w:sz w:val="24"/>
        </w:rPr>
        <w:t>第十八条</w:t>
      </w:r>
      <w:r>
        <w:rPr>
          <w:rFonts w:eastAsia="方正仿宋_GBK"/>
          <w:color w:val="000000"/>
          <w:spacing w:val="-2"/>
          <w:kern w:val="0"/>
          <w:sz w:val="24"/>
        </w:rPr>
        <w:t xml:space="preserve">   </w:t>
      </w:r>
      <w:r>
        <w:rPr>
          <w:rFonts w:hint="eastAsia" w:eastAsia="方正仿宋_GBK"/>
          <w:color w:val="000000"/>
          <w:spacing w:val="-2"/>
          <w:kern w:val="0"/>
          <w:sz w:val="24"/>
        </w:rPr>
        <w:t>工程造价咨询企业合并（或者分立）手续完成后</w:t>
      </w:r>
      <w:r>
        <w:rPr>
          <w:rFonts w:eastAsia="方正仿宋_GBK"/>
          <w:color w:val="000000"/>
          <w:spacing w:val="-2"/>
          <w:kern w:val="0"/>
          <w:sz w:val="24"/>
        </w:rPr>
        <w:t>30</w:t>
      </w:r>
      <w:r>
        <w:rPr>
          <w:rFonts w:hint="eastAsia" w:eastAsia="方正仿宋_GBK"/>
          <w:color w:val="000000"/>
          <w:spacing w:val="-2"/>
          <w:kern w:val="0"/>
          <w:sz w:val="24"/>
        </w:rPr>
        <w:t>日内，需向审批中心提交下列材料办理企业名称变更：</w:t>
      </w:r>
    </w:p>
    <w:p>
      <w:pPr>
        <w:spacing w:line="460" w:lineRule="exact"/>
        <w:ind w:firstLine="570"/>
        <w:rPr>
          <w:rFonts w:eastAsia="方正仿宋_GBK"/>
          <w:color w:val="000000"/>
          <w:spacing w:val="-2"/>
          <w:kern w:val="0"/>
          <w:sz w:val="24"/>
        </w:rPr>
      </w:pPr>
      <w:r>
        <w:rPr>
          <w:rFonts w:hint="eastAsia" w:eastAsia="方正仿宋_GBK"/>
          <w:color w:val="000000"/>
          <w:spacing w:val="-2"/>
          <w:kern w:val="0"/>
          <w:sz w:val="24"/>
        </w:rPr>
        <w:t>（一）各合并（分立）企业的合并（分立）协议；</w:t>
      </w:r>
    </w:p>
    <w:p>
      <w:pPr>
        <w:spacing w:line="460" w:lineRule="exact"/>
        <w:ind w:firstLine="570"/>
        <w:rPr>
          <w:rFonts w:eastAsia="方正仿宋_GBK"/>
          <w:color w:val="000000"/>
          <w:spacing w:val="-2"/>
          <w:kern w:val="0"/>
          <w:sz w:val="24"/>
        </w:rPr>
      </w:pPr>
      <w:r>
        <w:rPr>
          <w:rFonts w:hint="eastAsia" w:eastAsia="方正仿宋_GBK"/>
          <w:color w:val="000000"/>
          <w:spacing w:val="-2"/>
          <w:kern w:val="0"/>
          <w:sz w:val="24"/>
        </w:rPr>
        <w:t>（二）各合并（分立）企业同意合并（分立）的股东会决议；</w:t>
      </w:r>
    </w:p>
    <w:p>
      <w:pPr>
        <w:spacing w:line="460" w:lineRule="exact"/>
        <w:ind w:firstLine="570"/>
        <w:rPr>
          <w:rFonts w:eastAsia="方正仿宋_GBK"/>
          <w:color w:val="000000"/>
          <w:spacing w:val="-2"/>
          <w:kern w:val="0"/>
          <w:sz w:val="24"/>
        </w:rPr>
      </w:pPr>
      <w:r>
        <w:rPr>
          <w:rFonts w:hint="eastAsia" w:eastAsia="方正仿宋_GBK"/>
          <w:color w:val="000000"/>
          <w:spacing w:val="-2"/>
          <w:kern w:val="0"/>
          <w:sz w:val="24"/>
        </w:rPr>
        <w:t>（三）合并（分立）后企业的章程和出资人协议；</w:t>
      </w:r>
    </w:p>
    <w:p>
      <w:pPr>
        <w:spacing w:line="460" w:lineRule="exact"/>
        <w:ind w:firstLine="570"/>
        <w:rPr>
          <w:rFonts w:eastAsia="方正仿宋_GBK"/>
          <w:color w:val="000000"/>
          <w:spacing w:val="-2"/>
          <w:kern w:val="0"/>
          <w:sz w:val="24"/>
        </w:rPr>
      </w:pPr>
      <w:r>
        <w:rPr>
          <w:rFonts w:hint="eastAsia" w:eastAsia="方正仿宋_GBK"/>
          <w:color w:val="000000"/>
          <w:spacing w:val="-2"/>
          <w:kern w:val="0"/>
          <w:sz w:val="24"/>
        </w:rPr>
        <w:t>（四）合并（分立）后企业的工商出资证明；</w:t>
      </w:r>
    </w:p>
    <w:p>
      <w:pPr>
        <w:spacing w:line="460" w:lineRule="exact"/>
        <w:ind w:firstLine="570"/>
        <w:rPr>
          <w:rFonts w:eastAsia="方正仿宋_GBK"/>
          <w:color w:val="000000"/>
          <w:spacing w:val="-2"/>
          <w:kern w:val="0"/>
          <w:sz w:val="24"/>
        </w:rPr>
      </w:pPr>
      <w:r>
        <w:rPr>
          <w:rFonts w:hint="eastAsia" w:eastAsia="方正仿宋_GBK"/>
          <w:color w:val="000000"/>
          <w:spacing w:val="-2"/>
          <w:kern w:val="0"/>
          <w:sz w:val="24"/>
        </w:rPr>
        <w:t>（五）合并（分立）后企业需变更企业名称的按第十六条规定提供相关材料。</w:t>
      </w:r>
    </w:p>
    <w:p>
      <w:pPr>
        <w:spacing w:line="460" w:lineRule="exact"/>
        <w:ind w:firstLine="464" w:firstLineChars="200"/>
        <w:rPr>
          <w:rFonts w:eastAsia="方正黑体_GBK"/>
          <w:color w:val="000000"/>
          <w:spacing w:val="-2"/>
          <w:kern w:val="0"/>
          <w:sz w:val="24"/>
        </w:rPr>
      </w:pPr>
    </w:p>
    <w:p>
      <w:pPr>
        <w:spacing w:line="460" w:lineRule="exact"/>
        <w:jc w:val="center"/>
        <w:rPr>
          <w:rFonts w:eastAsia="方正黑体_GBK"/>
          <w:bCs/>
          <w:color w:val="000000"/>
          <w:spacing w:val="-2"/>
          <w:kern w:val="0"/>
          <w:sz w:val="24"/>
        </w:rPr>
      </w:pPr>
      <w:r>
        <w:rPr>
          <w:rFonts w:hint="eastAsia" w:eastAsia="方正黑体_GBK"/>
          <w:bCs/>
          <w:color w:val="000000"/>
          <w:spacing w:val="-2"/>
          <w:kern w:val="0"/>
          <w:sz w:val="24"/>
        </w:rPr>
        <w:t>第三章</w:t>
      </w:r>
      <w:r>
        <w:rPr>
          <w:rFonts w:eastAsia="方正黑体_GBK"/>
          <w:bCs/>
          <w:color w:val="000000"/>
          <w:spacing w:val="-2"/>
          <w:kern w:val="0"/>
          <w:sz w:val="24"/>
        </w:rPr>
        <w:t xml:space="preserve">  </w:t>
      </w:r>
      <w:r>
        <w:rPr>
          <w:rFonts w:hint="eastAsia" w:eastAsia="方正黑体_GBK"/>
          <w:bCs/>
          <w:color w:val="000000"/>
          <w:spacing w:val="-2"/>
          <w:kern w:val="0"/>
          <w:sz w:val="24"/>
        </w:rPr>
        <w:t>业务承接</w:t>
      </w:r>
    </w:p>
    <w:p>
      <w:pPr>
        <w:spacing w:line="460" w:lineRule="exact"/>
        <w:rPr>
          <w:rFonts w:eastAsia="方正仿宋_GBK"/>
          <w:b/>
          <w:color w:val="000000"/>
          <w:spacing w:val="-2"/>
          <w:kern w:val="0"/>
          <w:sz w:val="24"/>
        </w:rPr>
      </w:pPr>
      <w:r>
        <w:rPr>
          <w:rFonts w:eastAsia="方正仿宋_GBK"/>
          <w:color w:val="000000"/>
          <w:spacing w:val="-2"/>
          <w:kern w:val="0"/>
          <w:sz w:val="24"/>
        </w:rPr>
        <w:t xml:space="preserve">  </w:t>
      </w:r>
      <w:r>
        <w:rPr>
          <w:rFonts w:eastAsia="方正仿宋_GBK"/>
          <w:b/>
          <w:color w:val="000000"/>
          <w:spacing w:val="-2"/>
          <w:kern w:val="0"/>
          <w:sz w:val="24"/>
        </w:rPr>
        <w:t xml:space="preserve">  </w:t>
      </w:r>
    </w:p>
    <w:p>
      <w:pPr>
        <w:spacing w:line="460" w:lineRule="exact"/>
        <w:ind w:left="412" w:leftChars="200"/>
        <w:rPr>
          <w:rFonts w:eastAsia="方正仿宋_GBK"/>
          <w:color w:val="000000"/>
          <w:spacing w:val="-2"/>
          <w:kern w:val="0"/>
          <w:sz w:val="24"/>
        </w:rPr>
      </w:pPr>
      <w:r>
        <w:rPr>
          <w:rFonts w:hint="eastAsia" w:eastAsia="方正黑体_GBK"/>
          <w:color w:val="000000"/>
          <w:spacing w:val="-2"/>
          <w:kern w:val="0"/>
          <w:sz w:val="24"/>
        </w:rPr>
        <w:t>第十九条</w:t>
      </w:r>
      <w:r>
        <w:rPr>
          <w:rFonts w:eastAsia="方正仿宋_GBK"/>
          <w:color w:val="000000"/>
          <w:spacing w:val="-2"/>
          <w:kern w:val="0"/>
          <w:sz w:val="24"/>
        </w:rPr>
        <w:t xml:space="preserve">  </w:t>
      </w:r>
      <w:r>
        <w:rPr>
          <w:rFonts w:hint="eastAsia" w:eastAsia="方正仿宋_GBK"/>
          <w:color w:val="000000"/>
          <w:spacing w:val="-2"/>
          <w:kern w:val="0"/>
          <w:sz w:val="24"/>
        </w:rPr>
        <w:t>工程造价咨询企业依法从事工程造价咨询活动，不受行政区域限制。甲级工程造价咨询企业可以从事各类建设项目的工程造价咨询业务。</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乙级工程造价咨询企业可以从事工程造价</w:t>
      </w:r>
      <w:r>
        <w:rPr>
          <w:rFonts w:eastAsia="方正仿宋_GBK"/>
          <w:color w:val="000000"/>
          <w:spacing w:val="-2"/>
          <w:kern w:val="0"/>
          <w:sz w:val="24"/>
        </w:rPr>
        <w:t>5000</w:t>
      </w:r>
      <w:r>
        <w:rPr>
          <w:rFonts w:hint="eastAsia" w:eastAsia="方正仿宋_GBK"/>
          <w:color w:val="000000"/>
          <w:spacing w:val="-2"/>
          <w:kern w:val="0"/>
          <w:sz w:val="24"/>
        </w:rPr>
        <w:t>万元人民币以下的各类建设项目的工程造价咨询业务。</w:t>
      </w:r>
    </w:p>
    <w:p>
      <w:pPr>
        <w:spacing w:line="460" w:lineRule="exact"/>
        <w:ind w:firstLine="464" w:firstLineChars="200"/>
        <w:rPr>
          <w:rFonts w:eastAsia="方正仿宋_GBK"/>
          <w:color w:val="000000"/>
          <w:spacing w:val="-2"/>
          <w:kern w:val="0"/>
          <w:sz w:val="24"/>
        </w:rPr>
      </w:pPr>
      <w:r>
        <w:rPr>
          <w:rFonts w:hint="eastAsia" w:eastAsia="方正黑体_GBK"/>
          <w:color w:val="000000"/>
          <w:spacing w:val="-2"/>
          <w:kern w:val="0"/>
          <w:sz w:val="24"/>
        </w:rPr>
        <w:t>第二十条</w:t>
      </w:r>
      <w:r>
        <w:rPr>
          <w:rFonts w:eastAsia="方正仿宋_GBK"/>
          <w:color w:val="000000"/>
          <w:spacing w:val="-2"/>
          <w:kern w:val="0"/>
          <w:sz w:val="24"/>
        </w:rPr>
        <w:t xml:space="preserve">  </w:t>
      </w:r>
      <w:r>
        <w:rPr>
          <w:rFonts w:hint="eastAsia" w:eastAsia="方正仿宋_GBK"/>
          <w:color w:val="000000"/>
          <w:spacing w:val="-2"/>
          <w:kern w:val="0"/>
          <w:sz w:val="24"/>
        </w:rPr>
        <w:t>工程造价咨询业务范围包括：</w:t>
      </w:r>
    </w:p>
    <w:p>
      <w:pPr>
        <w:spacing w:line="460" w:lineRule="exact"/>
        <w:rPr>
          <w:rFonts w:eastAsia="方正仿宋_GBK"/>
          <w:color w:val="000000"/>
          <w:spacing w:val="-2"/>
          <w:kern w:val="0"/>
          <w:sz w:val="24"/>
        </w:rPr>
      </w:pPr>
      <w:r>
        <w:rPr>
          <w:rFonts w:eastAsia="方正仿宋_GBK"/>
          <w:color w:val="000000"/>
          <w:spacing w:val="-2"/>
          <w:kern w:val="0"/>
          <w:sz w:val="24"/>
        </w:rPr>
        <w:t xml:space="preserve">    </w:t>
      </w:r>
      <w:r>
        <w:rPr>
          <w:rFonts w:hint="eastAsia" w:eastAsia="方正仿宋_GBK"/>
          <w:color w:val="000000"/>
          <w:spacing w:val="-2"/>
          <w:kern w:val="0"/>
          <w:sz w:val="24"/>
        </w:rPr>
        <w:t>（一）建设项目建议书及可行性研究投资估算、项目经济评价报告的编制和审核；</w:t>
      </w:r>
    </w:p>
    <w:p>
      <w:pPr>
        <w:spacing w:line="460" w:lineRule="exact"/>
        <w:rPr>
          <w:rFonts w:eastAsia="方正仿宋_GBK"/>
          <w:color w:val="000000"/>
          <w:spacing w:val="-2"/>
          <w:kern w:val="0"/>
          <w:sz w:val="24"/>
        </w:rPr>
      </w:pPr>
      <w:r>
        <w:rPr>
          <w:rFonts w:eastAsia="方正仿宋_GBK"/>
          <w:color w:val="000000"/>
          <w:spacing w:val="-2"/>
          <w:kern w:val="0"/>
          <w:sz w:val="24"/>
        </w:rPr>
        <w:t xml:space="preserve">    </w:t>
      </w:r>
      <w:r>
        <w:rPr>
          <w:rFonts w:hint="eastAsia" w:eastAsia="方正仿宋_GBK"/>
          <w:color w:val="000000"/>
          <w:spacing w:val="-2"/>
          <w:kern w:val="0"/>
          <w:sz w:val="24"/>
        </w:rPr>
        <w:t>（二）建设项目概预算的编制与审核，并配合设计方案比选、优化设计、限额设计等工作进行工程造价分析与控制；</w:t>
      </w:r>
    </w:p>
    <w:p>
      <w:pPr>
        <w:spacing w:line="460" w:lineRule="exact"/>
        <w:rPr>
          <w:rFonts w:eastAsia="方正仿宋_GBK"/>
          <w:color w:val="000000"/>
          <w:spacing w:val="-2"/>
          <w:kern w:val="0"/>
          <w:sz w:val="24"/>
        </w:rPr>
      </w:pPr>
      <w:r>
        <w:rPr>
          <w:rFonts w:eastAsia="方正仿宋_GBK"/>
          <w:color w:val="000000"/>
          <w:spacing w:val="-2"/>
          <w:kern w:val="0"/>
          <w:sz w:val="24"/>
        </w:rPr>
        <w:t xml:space="preserve">    </w:t>
      </w:r>
      <w:r>
        <w:rPr>
          <w:rFonts w:hint="eastAsia" w:eastAsia="方正仿宋_GBK"/>
          <w:color w:val="000000"/>
          <w:spacing w:val="-2"/>
          <w:kern w:val="0"/>
          <w:sz w:val="24"/>
        </w:rPr>
        <w:t>（三）建设项目合同价款的确定（包括招标工程工程量清单和标底、投标报价的编制和审核）；合同价款的签订与调整（包括工程变更、工程洽商和索赔费用的计算）及工程款支付，工程结算及竣工结（决）算报告的编制与审核等；</w:t>
      </w:r>
    </w:p>
    <w:p>
      <w:pPr>
        <w:spacing w:line="460" w:lineRule="exact"/>
        <w:ind w:firstLine="420"/>
        <w:rPr>
          <w:rFonts w:eastAsia="方正仿宋_GBK"/>
          <w:color w:val="000000"/>
          <w:spacing w:val="-2"/>
          <w:kern w:val="0"/>
          <w:sz w:val="24"/>
        </w:rPr>
      </w:pPr>
      <w:r>
        <w:rPr>
          <w:rFonts w:hint="eastAsia" w:eastAsia="方正仿宋_GBK"/>
          <w:color w:val="000000"/>
          <w:spacing w:val="-2"/>
          <w:kern w:val="0"/>
          <w:sz w:val="24"/>
        </w:rPr>
        <w:t>（四）工程造价经济纠纷的鉴定和仲裁的咨询；</w:t>
      </w:r>
    </w:p>
    <w:p>
      <w:pPr>
        <w:spacing w:line="460" w:lineRule="exact"/>
        <w:ind w:firstLine="420"/>
        <w:rPr>
          <w:rFonts w:eastAsia="方正仿宋_GBK"/>
          <w:color w:val="000000"/>
          <w:spacing w:val="-2"/>
          <w:kern w:val="0"/>
          <w:sz w:val="24"/>
        </w:rPr>
      </w:pPr>
      <w:r>
        <w:rPr>
          <w:rFonts w:hint="eastAsia" w:eastAsia="方正仿宋_GBK"/>
          <w:color w:val="000000"/>
          <w:spacing w:val="-2"/>
          <w:kern w:val="0"/>
          <w:sz w:val="24"/>
        </w:rPr>
        <w:t>（五）提供工程造价信息服务等；</w:t>
      </w:r>
    </w:p>
    <w:p>
      <w:pPr>
        <w:spacing w:line="460" w:lineRule="exact"/>
        <w:ind w:firstLine="420"/>
        <w:rPr>
          <w:rFonts w:eastAsia="方正仿宋_GBK"/>
          <w:color w:val="000000"/>
          <w:spacing w:val="-2"/>
          <w:kern w:val="0"/>
          <w:sz w:val="24"/>
        </w:rPr>
      </w:pPr>
      <w:r>
        <w:rPr>
          <w:rFonts w:hint="eastAsia" w:eastAsia="方正仿宋_GBK"/>
          <w:color w:val="000000"/>
          <w:spacing w:val="-2"/>
          <w:kern w:val="0"/>
          <w:sz w:val="24"/>
        </w:rPr>
        <w:t>（六）实施建设项目全过程（若干阶段）的造价管理和服务。</w:t>
      </w:r>
    </w:p>
    <w:p>
      <w:pPr>
        <w:spacing w:line="460" w:lineRule="exact"/>
        <w:ind w:firstLine="455" w:firstLineChars="196"/>
        <w:rPr>
          <w:rFonts w:eastAsia="方正仿宋_GBK"/>
          <w:color w:val="000000"/>
          <w:spacing w:val="-2"/>
          <w:kern w:val="0"/>
          <w:sz w:val="24"/>
        </w:rPr>
      </w:pPr>
      <w:r>
        <w:rPr>
          <w:rFonts w:hint="eastAsia" w:eastAsia="方正黑体_GBK"/>
          <w:color w:val="000000"/>
          <w:spacing w:val="-2"/>
          <w:kern w:val="0"/>
          <w:sz w:val="24"/>
        </w:rPr>
        <w:t>第二十一条</w:t>
      </w:r>
      <w:r>
        <w:rPr>
          <w:rFonts w:eastAsia="方正仿宋_GBK"/>
          <w:color w:val="000000"/>
          <w:spacing w:val="-2"/>
          <w:kern w:val="0"/>
          <w:sz w:val="24"/>
        </w:rPr>
        <w:t xml:space="preserve"> </w:t>
      </w:r>
      <w:r>
        <w:rPr>
          <w:rFonts w:hint="eastAsia" w:eastAsia="方正仿宋_GBK"/>
          <w:color w:val="000000"/>
          <w:spacing w:val="-2"/>
          <w:kern w:val="0"/>
          <w:sz w:val="24"/>
        </w:rPr>
        <w:t>工程造价咨询企业承接工程造价咨询业务时，可以按照国家或省制定的《建设工程造价咨询合同》（示范文本）与委托单位签订工程造价咨询合同，并明确风险和违约责任。</w:t>
      </w:r>
    </w:p>
    <w:p>
      <w:pPr>
        <w:spacing w:line="460" w:lineRule="exact"/>
        <w:ind w:firstLine="464" w:firstLineChars="200"/>
        <w:rPr>
          <w:rFonts w:eastAsia="方正仿宋_GBK"/>
          <w:color w:val="000000"/>
          <w:spacing w:val="-2"/>
          <w:kern w:val="0"/>
          <w:sz w:val="24"/>
        </w:rPr>
      </w:pPr>
      <w:r>
        <w:rPr>
          <w:rFonts w:hint="eastAsia" w:eastAsia="方正黑体_GBK"/>
          <w:color w:val="000000"/>
          <w:spacing w:val="-2"/>
          <w:kern w:val="0"/>
          <w:sz w:val="24"/>
        </w:rPr>
        <w:t>第二十二条</w:t>
      </w:r>
      <w:r>
        <w:rPr>
          <w:rFonts w:eastAsia="方正仿宋_GBK"/>
          <w:color w:val="000000"/>
          <w:spacing w:val="-2"/>
          <w:kern w:val="0"/>
          <w:sz w:val="24"/>
        </w:rPr>
        <w:t xml:space="preserve"> </w:t>
      </w:r>
      <w:r>
        <w:rPr>
          <w:rFonts w:hint="eastAsia" w:eastAsia="方正仿宋_GBK"/>
          <w:color w:val="000000"/>
          <w:spacing w:val="-2"/>
          <w:kern w:val="0"/>
          <w:sz w:val="24"/>
        </w:rPr>
        <w:t>从事工程造价咨询活动应当依据工程造价咨询服务内容、成本、服务质量和市场供求状况，通过和委托方协商，在造价咨询合同中约定收费标准。</w:t>
      </w:r>
    </w:p>
    <w:p>
      <w:pPr>
        <w:spacing w:line="460" w:lineRule="exact"/>
        <w:ind w:firstLine="455" w:firstLineChars="196"/>
        <w:rPr>
          <w:rFonts w:eastAsia="方正仿宋_GBK"/>
          <w:color w:val="000000"/>
          <w:spacing w:val="-2"/>
          <w:kern w:val="0"/>
          <w:sz w:val="24"/>
        </w:rPr>
      </w:pPr>
      <w:r>
        <w:rPr>
          <w:rFonts w:hint="eastAsia" w:eastAsia="方正黑体_GBK"/>
          <w:color w:val="000000"/>
          <w:spacing w:val="-2"/>
          <w:kern w:val="0"/>
          <w:sz w:val="24"/>
        </w:rPr>
        <w:t>第二十三条</w:t>
      </w:r>
      <w:r>
        <w:rPr>
          <w:rFonts w:eastAsia="方正仿宋_GBK"/>
          <w:color w:val="000000"/>
          <w:spacing w:val="-2"/>
          <w:kern w:val="0"/>
          <w:sz w:val="24"/>
        </w:rPr>
        <w:t xml:space="preserve">  </w:t>
      </w:r>
      <w:r>
        <w:rPr>
          <w:rFonts w:hint="eastAsia" w:eastAsia="方正仿宋_GBK"/>
          <w:color w:val="000000"/>
          <w:spacing w:val="-2"/>
          <w:kern w:val="0"/>
          <w:sz w:val="24"/>
        </w:rPr>
        <w:t>工程造价咨询企业从事工程造价咨询业务，应执行《江苏省工程造价咨询业务指导规程》，出具工程造价咨询成果文件。工程造价成果文件应当由工程造价咨询企业加盖有企业名称、资质等级及证书编号的执业印章。</w:t>
      </w:r>
    </w:p>
    <w:p>
      <w:pPr>
        <w:spacing w:line="460" w:lineRule="exact"/>
        <w:ind w:firstLine="455" w:firstLineChars="196"/>
        <w:rPr>
          <w:rFonts w:eastAsia="方正仿宋_GBK"/>
          <w:color w:val="000000"/>
          <w:spacing w:val="-2"/>
          <w:kern w:val="0"/>
          <w:sz w:val="24"/>
        </w:rPr>
      </w:pPr>
      <w:r>
        <w:rPr>
          <w:rFonts w:hint="eastAsia" w:eastAsia="方正黑体_GBK"/>
          <w:color w:val="000000"/>
          <w:spacing w:val="-2"/>
          <w:kern w:val="0"/>
          <w:sz w:val="24"/>
        </w:rPr>
        <w:t>第二十四条</w:t>
      </w:r>
      <w:r>
        <w:rPr>
          <w:rFonts w:eastAsia="方正仿宋_GBK"/>
          <w:color w:val="000000"/>
          <w:spacing w:val="-2"/>
          <w:kern w:val="0"/>
          <w:sz w:val="24"/>
        </w:rPr>
        <w:t xml:space="preserve">  </w:t>
      </w:r>
      <w:r>
        <w:rPr>
          <w:rFonts w:hint="eastAsia" w:eastAsia="方正仿宋_GBK"/>
          <w:color w:val="000000"/>
          <w:spacing w:val="-2"/>
          <w:kern w:val="0"/>
          <w:sz w:val="24"/>
        </w:rPr>
        <w:t>工程造价咨询业绩实行网上报告制度。工程造价咨询企业应在出具造价咨询成果报告后</w:t>
      </w:r>
      <w:r>
        <w:rPr>
          <w:rFonts w:eastAsia="方正仿宋_GBK"/>
          <w:color w:val="000000"/>
          <w:spacing w:val="-2"/>
          <w:kern w:val="0"/>
          <w:sz w:val="24"/>
        </w:rPr>
        <w:t>40</w:t>
      </w:r>
      <w:r>
        <w:rPr>
          <w:rFonts w:hint="eastAsia" w:eastAsia="方正仿宋_GBK"/>
          <w:color w:val="000000"/>
          <w:spacing w:val="-2"/>
          <w:kern w:val="0"/>
          <w:sz w:val="24"/>
        </w:rPr>
        <w:t>日内，在</w:t>
      </w:r>
      <w:r>
        <w:rPr>
          <w:rFonts w:eastAsia="方正仿宋_GBK"/>
          <w:color w:val="000000"/>
          <w:spacing w:val="-2"/>
          <w:kern w:val="0"/>
          <w:sz w:val="24"/>
        </w:rPr>
        <w:t>“</w:t>
      </w:r>
      <w:r>
        <w:rPr>
          <w:rFonts w:hint="eastAsia" w:eastAsia="方正仿宋_GBK"/>
          <w:color w:val="000000"/>
          <w:spacing w:val="-2"/>
          <w:kern w:val="0"/>
          <w:sz w:val="24"/>
        </w:rPr>
        <w:t>江苏工程造价信息网</w:t>
      </w:r>
      <w:r>
        <w:rPr>
          <w:rFonts w:eastAsia="方正仿宋_GBK"/>
          <w:color w:val="000000"/>
          <w:spacing w:val="-2"/>
          <w:kern w:val="0"/>
          <w:sz w:val="24"/>
        </w:rPr>
        <w:t>”</w:t>
      </w:r>
      <w:r>
        <w:rPr>
          <w:rFonts w:hint="eastAsia" w:eastAsia="方正仿宋_GBK"/>
          <w:color w:val="000000"/>
          <w:spacing w:val="-2"/>
          <w:kern w:val="0"/>
          <w:sz w:val="24"/>
        </w:rPr>
        <w:t>咨询企业管理系统填报咨询成果主要信息。</w:t>
      </w:r>
    </w:p>
    <w:p>
      <w:pPr>
        <w:spacing w:line="460" w:lineRule="exact"/>
        <w:ind w:firstLine="455" w:firstLineChars="196"/>
        <w:rPr>
          <w:rFonts w:eastAsia="方正仿宋_GBK"/>
          <w:color w:val="000000"/>
          <w:spacing w:val="-2"/>
          <w:kern w:val="0"/>
          <w:sz w:val="24"/>
        </w:rPr>
      </w:pPr>
      <w:r>
        <w:rPr>
          <w:rFonts w:hint="eastAsia" w:eastAsia="方正黑体_GBK"/>
          <w:color w:val="000000"/>
          <w:spacing w:val="-2"/>
          <w:kern w:val="0"/>
          <w:sz w:val="24"/>
        </w:rPr>
        <w:t>第二十五条　</w:t>
      </w:r>
      <w:r>
        <w:rPr>
          <w:rFonts w:hint="eastAsia" w:eastAsia="方正仿宋_GBK"/>
          <w:color w:val="000000"/>
          <w:spacing w:val="-2"/>
          <w:kern w:val="0"/>
          <w:sz w:val="24"/>
        </w:rPr>
        <w:t>省外工程造价咨询企业进入本省行政区域内承接工程造价咨询业务的，应当自承接业务之日起</w:t>
      </w:r>
      <w:r>
        <w:rPr>
          <w:rFonts w:eastAsia="方正仿宋_GBK"/>
          <w:color w:val="000000"/>
          <w:spacing w:val="-2"/>
          <w:kern w:val="0"/>
          <w:sz w:val="24"/>
        </w:rPr>
        <w:t>30</w:t>
      </w:r>
      <w:r>
        <w:rPr>
          <w:rFonts w:hint="eastAsia" w:eastAsia="方正仿宋_GBK"/>
          <w:color w:val="000000"/>
          <w:spacing w:val="-2"/>
          <w:kern w:val="0"/>
          <w:sz w:val="24"/>
        </w:rPr>
        <w:t>日内将下列材料的扫描件传输到建设工程所在地的建设行政主管部门办理单项业务告知性备案：</w:t>
      </w:r>
    </w:p>
    <w:p>
      <w:pPr>
        <w:spacing w:line="460" w:lineRule="exact"/>
        <w:ind w:left="120" w:firstLine="420"/>
        <w:rPr>
          <w:rFonts w:eastAsia="方正仿宋_GBK"/>
          <w:color w:val="000000"/>
          <w:spacing w:val="-2"/>
          <w:kern w:val="0"/>
          <w:sz w:val="24"/>
        </w:rPr>
      </w:pPr>
      <w:r>
        <w:rPr>
          <w:rFonts w:hint="eastAsia" w:eastAsia="方正仿宋_GBK"/>
          <w:color w:val="000000"/>
          <w:spacing w:val="-2"/>
          <w:kern w:val="0"/>
          <w:sz w:val="24"/>
        </w:rPr>
        <w:t>（一）《工程造价咨询企业跨地区承接业务单项业务备案表》扫描件；</w:t>
      </w:r>
    </w:p>
    <w:p>
      <w:pPr>
        <w:spacing w:line="460" w:lineRule="exact"/>
        <w:ind w:left="120" w:firstLine="420"/>
        <w:rPr>
          <w:rFonts w:eastAsia="方正仿宋_GBK"/>
          <w:color w:val="000000"/>
          <w:spacing w:val="-2"/>
          <w:kern w:val="0"/>
          <w:sz w:val="24"/>
        </w:rPr>
      </w:pPr>
      <w:r>
        <w:rPr>
          <w:rFonts w:hint="eastAsia" w:eastAsia="方正仿宋_GBK"/>
          <w:color w:val="000000"/>
          <w:spacing w:val="-2"/>
          <w:kern w:val="0"/>
          <w:sz w:val="24"/>
        </w:rPr>
        <w:t>（二）工程造价咨询企业资质证书扫描件；</w:t>
      </w:r>
    </w:p>
    <w:p>
      <w:pPr>
        <w:spacing w:line="460" w:lineRule="exact"/>
        <w:ind w:left="120" w:firstLine="420"/>
        <w:rPr>
          <w:rFonts w:eastAsia="方正仿宋_GBK"/>
          <w:color w:val="000000"/>
          <w:spacing w:val="-2"/>
          <w:kern w:val="0"/>
          <w:sz w:val="24"/>
        </w:rPr>
      </w:pPr>
      <w:r>
        <w:rPr>
          <w:rFonts w:hint="eastAsia" w:eastAsia="方正仿宋_GBK"/>
          <w:color w:val="000000"/>
          <w:spacing w:val="-2"/>
          <w:kern w:val="0"/>
          <w:sz w:val="24"/>
        </w:rPr>
        <w:t>（三）与委托方签订的工程造价咨询业务合同扫描件；</w:t>
      </w:r>
    </w:p>
    <w:p>
      <w:pPr>
        <w:spacing w:line="460" w:lineRule="exact"/>
        <w:ind w:left="120" w:firstLine="420"/>
        <w:rPr>
          <w:rFonts w:eastAsia="方正仿宋_GBK"/>
          <w:color w:val="000000"/>
          <w:spacing w:val="-2"/>
          <w:kern w:val="0"/>
          <w:sz w:val="24"/>
        </w:rPr>
      </w:pPr>
      <w:r>
        <w:rPr>
          <w:rFonts w:hint="eastAsia" w:eastAsia="方正仿宋_GBK"/>
          <w:color w:val="000000"/>
          <w:spacing w:val="-2"/>
          <w:kern w:val="0"/>
          <w:sz w:val="24"/>
        </w:rPr>
        <w:t>（四）在本省境内执业的造价工程师的注册证书扫描件。</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本省工程造价咨询企业在本省行政区域内跨设区的市承接工程造价咨询业务的，应当自承接业务之日起</w:t>
      </w:r>
      <w:r>
        <w:rPr>
          <w:rFonts w:eastAsia="方正仿宋_GBK"/>
          <w:color w:val="000000"/>
          <w:spacing w:val="-2"/>
          <w:kern w:val="0"/>
          <w:sz w:val="24"/>
        </w:rPr>
        <w:t>30</w:t>
      </w:r>
      <w:r>
        <w:rPr>
          <w:rFonts w:hint="eastAsia" w:eastAsia="方正仿宋_GBK"/>
          <w:color w:val="000000"/>
          <w:spacing w:val="-2"/>
          <w:kern w:val="0"/>
          <w:sz w:val="24"/>
        </w:rPr>
        <w:t>日内将上述材料扫描件传输到项目所在地的设区的市造价管理机构办理单项业务告知性备案。</w:t>
      </w:r>
    </w:p>
    <w:p>
      <w:pPr>
        <w:spacing w:line="460" w:lineRule="exact"/>
        <w:ind w:firstLine="455" w:firstLineChars="196"/>
        <w:rPr>
          <w:rFonts w:eastAsia="方正仿宋_GBK"/>
          <w:color w:val="000000"/>
          <w:spacing w:val="-2"/>
          <w:kern w:val="0"/>
          <w:sz w:val="24"/>
        </w:rPr>
      </w:pPr>
      <w:r>
        <w:rPr>
          <w:rFonts w:hint="eastAsia" w:eastAsia="方正黑体_GBK"/>
          <w:color w:val="000000"/>
          <w:spacing w:val="-2"/>
          <w:kern w:val="0"/>
          <w:sz w:val="24"/>
        </w:rPr>
        <w:t>第二十六条</w:t>
      </w:r>
      <w:r>
        <w:rPr>
          <w:rFonts w:eastAsia="方正仿宋_GBK"/>
          <w:color w:val="000000"/>
          <w:spacing w:val="-2"/>
          <w:kern w:val="0"/>
          <w:sz w:val="24"/>
        </w:rPr>
        <w:t xml:space="preserve">  </w:t>
      </w:r>
      <w:r>
        <w:rPr>
          <w:rFonts w:hint="eastAsia" w:eastAsia="方正仿宋_GBK"/>
          <w:color w:val="000000"/>
          <w:spacing w:val="-2"/>
          <w:kern w:val="0"/>
          <w:sz w:val="24"/>
        </w:rPr>
        <w:t>省外（内）工程造价咨询企业设立分支机构的，应当自领取分支机构营业执照之日起</w:t>
      </w:r>
      <w:r>
        <w:rPr>
          <w:rFonts w:eastAsia="方正仿宋_GBK"/>
          <w:color w:val="000000"/>
          <w:spacing w:val="-2"/>
          <w:kern w:val="0"/>
          <w:sz w:val="24"/>
        </w:rPr>
        <w:t>30</w:t>
      </w:r>
      <w:r>
        <w:rPr>
          <w:rFonts w:hint="eastAsia" w:eastAsia="方正仿宋_GBK"/>
          <w:color w:val="000000"/>
          <w:spacing w:val="-2"/>
          <w:kern w:val="0"/>
          <w:sz w:val="24"/>
        </w:rPr>
        <w:t>日内，将下列资料的扫描件传输到分支机构工商注册所在地的建设行政主管部门办理告知性备案：</w:t>
      </w:r>
    </w:p>
    <w:p>
      <w:pPr>
        <w:spacing w:line="460" w:lineRule="exact"/>
        <w:ind w:firstLine="600"/>
        <w:rPr>
          <w:rFonts w:eastAsia="方正仿宋_GBK"/>
          <w:color w:val="000000"/>
          <w:spacing w:val="-2"/>
          <w:kern w:val="0"/>
          <w:sz w:val="24"/>
        </w:rPr>
      </w:pPr>
      <w:r>
        <w:rPr>
          <w:rFonts w:hint="eastAsia" w:eastAsia="方正仿宋_GBK"/>
          <w:color w:val="000000"/>
          <w:spacing w:val="-2"/>
          <w:kern w:val="0"/>
          <w:sz w:val="24"/>
        </w:rPr>
        <w:t>（一）《工程造价咨询企业设立分支机构备案表》扫描件；</w:t>
      </w:r>
    </w:p>
    <w:p>
      <w:pPr>
        <w:spacing w:line="460" w:lineRule="exact"/>
        <w:ind w:firstLine="600"/>
        <w:rPr>
          <w:rFonts w:eastAsia="方正仿宋_GBK"/>
          <w:color w:val="000000"/>
          <w:spacing w:val="-2"/>
          <w:kern w:val="0"/>
          <w:sz w:val="24"/>
        </w:rPr>
      </w:pPr>
      <w:r>
        <w:rPr>
          <w:rFonts w:hint="eastAsia" w:eastAsia="方正仿宋_GBK"/>
          <w:color w:val="000000"/>
          <w:spacing w:val="-2"/>
          <w:kern w:val="0"/>
          <w:sz w:val="24"/>
        </w:rPr>
        <w:t>（二）工程造价咨询企业和其设立的分支机构的营业执照扫描件；</w:t>
      </w:r>
    </w:p>
    <w:p>
      <w:pPr>
        <w:spacing w:line="460" w:lineRule="exact"/>
        <w:ind w:firstLine="600"/>
        <w:rPr>
          <w:rFonts w:eastAsia="方正仿宋_GBK"/>
          <w:color w:val="000000"/>
          <w:spacing w:val="-2"/>
          <w:kern w:val="0"/>
          <w:sz w:val="24"/>
        </w:rPr>
      </w:pPr>
      <w:r>
        <w:rPr>
          <w:rFonts w:hint="eastAsia" w:eastAsia="方正仿宋_GBK"/>
          <w:color w:val="000000"/>
          <w:spacing w:val="-2"/>
          <w:kern w:val="0"/>
          <w:sz w:val="24"/>
        </w:rPr>
        <w:t>（三）分支机构固定办公场所的租赁合同或产权证明扫描件。</w:t>
      </w:r>
    </w:p>
    <w:p>
      <w:pPr>
        <w:spacing w:line="460" w:lineRule="exact"/>
        <w:ind w:firstLine="455" w:firstLineChars="196"/>
        <w:rPr>
          <w:rFonts w:eastAsia="方正仿宋_GBK"/>
          <w:color w:val="000000"/>
          <w:spacing w:val="-2"/>
          <w:kern w:val="0"/>
          <w:sz w:val="24"/>
        </w:rPr>
      </w:pPr>
      <w:r>
        <w:rPr>
          <w:rFonts w:hint="eastAsia" w:eastAsia="方正黑体_GBK"/>
          <w:color w:val="000000"/>
          <w:spacing w:val="-2"/>
          <w:kern w:val="0"/>
          <w:sz w:val="24"/>
        </w:rPr>
        <w:t>第二十七条</w:t>
      </w:r>
      <w:r>
        <w:rPr>
          <w:rFonts w:eastAsia="方正黑体_GBK"/>
          <w:color w:val="000000"/>
          <w:spacing w:val="-2"/>
          <w:kern w:val="0"/>
          <w:sz w:val="24"/>
        </w:rPr>
        <w:t xml:space="preserve"> </w:t>
      </w:r>
      <w:r>
        <w:rPr>
          <w:rFonts w:eastAsia="方正仿宋_GBK"/>
          <w:color w:val="000000"/>
          <w:spacing w:val="-2"/>
          <w:kern w:val="0"/>
          <w:sz w:val="24"/>
        </w:rPr>
        <w:t xml:space="preserve"> </w:t>
      </w:r>
      <w:r>
        <w:rPr>
          <w:rFonts w:hint="eastAsia" w:eastAsia="方正仿宋_GBK"/>
          <w:color w:val="000000"/>
          <w:spacing w:val="-2"/>
          <w:kern w:val="0"/>
          <w:sz w:val="24"/>
        </w:rPr>
        <w:t>分支机构常驻专职人员的人数应满足下列条件：</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（一）工程造价咨询企业设立的分支机构应具有从事工程造价专业工作的注册造价工程师不少于</w:t>
      </w:r>
      <w:r>
        <w:rPr>
          <w:rFonts w:eastAsia="方正仿宋_GBK"/>
          <w:color w:val="000000"/>
          <w:spacing w:val="-2"/>
          <w:kern w:val="0"/>
          <w:sz w:val="24"/>
        </w:rPr>
        <w:t>3</w:t>
      </w:r>
      <w:r>
        <w:rPr>
          <w:rFonts w:hint="eastAsia" w:eastAsia="方正仿宋_GBK"/>
          <w:color w:val="000000"/>
          <w:spacing w:val="-2"/>
          <w:kern w:val="0"/>
          <w:sz w:val="24"/>
        </w:rPr>
        <w:t>人。</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（二）分支机构专职人员的人事代理合同、聘用合同、交纳养老保险的凭证必须齐全；</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（三）在分支机构执业的专职人员应注册在分支机所在地，并不作为核定总公司资质的人数。</w:t>
      </w:r>
    </w:p>
    <w:p>
      <w:pPr>
        <w:spacing w:line="460" w:lineRule="exact"/>
        <w:ind w:firstLine="455" w:firstLineChars="196"/>
        <w:rPr>
          <w:rFonts w:eastAsia="方正仿宋_GBK"/>
          <w:color w:val="000000"/>
          <w:spacing w:val="-10"/>
          <w:kern w:val="0"/>
          <w:sz w:val="24"/>
        </w:rPr>
      </w:pPr>
      <w:r>
        <w:rPr>
          <w:rFonts w:hint="eastAsia" w:eastAsia="方正黑体_GBK"/>
          <w:color w:val="000000"/>
          <w:spacing w:val="-2"/>
          <w:kern w:val="0"/>
          <w:sz w:val="24"/>
        </w:rPr>
        <w:t>第二十八条　</w:t>
      </w:r>
      <w:r>
        <w:rPr>
          <w:rFonts w:hint="eastAsia" w:eastAsia="方正仿宋_GBK"/>
          <w:color w:val="000000"/>
          <w:spacing w:val="-10"/>
          <w:kern w:val="0"/>
          <w:sz w:val="24"/>
        </w:rPr>
        <w:t>分支机构从事工程造价咨询业务，应当由设立该分支机构的工程造价咨询企业负责承接工程造价咨询业务、订立工程造价咨询合同、出具工程造价成果文件。</w:t>
      </w:r>
    </w:p>
    <w:p>
      <w:pPr>
        <w:spacing w:line="460" w:lineRule="exact"/>
        <w:ind w:firstLine="455" w:firstLineChars="196"/>
        <w:rPr>
          <w:rFonts w:eastAsia="方正仿宋_GBK"/>
          <w:color w:val="000000"/>
          <w:spacing w:val="-2"/>
          <w:kern w:val="0"/>
          <w:sz w:val="24"/>
        </w:rPr>
      </w:pPr>
      <w:r>
        <w:rPr>
          <w:rFonts w:hint="eastAsia" w:eastAsia="方正黑体_GBK"/>
          <w:color w:val="000000"/>
          <w:spacing w:val="-2"/>
          <w:kern w:val="0"/>
          <w:sz w:val="24"/>
        </w:rPr>
        <w:t>第二十九条</w:t>
      </w:r>
      <w:r>
        <w:rPr>
          <w:rFonts w:eastAsia="方正仿宋_GBK"/>
          <w:color w:val="000000"/>
          <w:spacing w:val="-2"/>
          <w:kern w:val="0"/>
          <w:sz w:val="24"/>
        </w:rPr>
        <w:t xml:space="preserve">  </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分支机构及从业人员应接受所在地造价管理机构的监督管理。</w:t>
      </w:r>
    </w:p>
    <w:p>
      <w:pPr>
        <w:spacing w:line="460" w:lineRule="exact"/>
        <w:ind w:firstLine="464" w:firstLineChars="200"/>
        <w:rPr>
          <w:rFonts w:eastAsia="方正仿宋_GBK"/>
          <w:color w:val="000000"/>
          <w:spacing w:val="-2"/>
          <w:kern w:val="0"/>
          <w:sz w:val="24"/>
        </w:rPr>
      </w:pPr>
    </w:p>
    <w:p>
      <w:pPr>
        <w:spacing w:line="460" w:lineRule="exact"/>
        <w:jc w:val="center"/>
        <w:rPr>
          <w:rFonts w:eastAsia="方正黑体_GBK"/>
          <w:bCs/>
          <w:color w:val="000000"/>
          <w:spacing w:val="-2"/>
          <w:kern w:val="0"/>
          <w:sz w:val="24"/>
        </w:rPr>
      </w:pPr>
      <w:r>
        <w:rPr>
          <w:rFonts w:hint="eastAsia" w:eastAsia="方正黑体_GBK"/>
          <w:bCs/>
          <w:color w:val="000000"/>
          <w:spacing w:val="-2"/>
          <w:kern w:val="0"/>
          <w:sz w:val="24"/>
        </w:rPr>
        <w:t>第四章　监督管理</w:t>
      </w:r>
    </w:p>
    <w:p>
      <w:pPr>
        <w:spacing w:line="460" w:lineRule="exact"/>
        <w:ind w:firstLine="464" w:firstLineChars="200"/>
        <w:rPr>
          <w:rFonts w:eastAsia="方正仿宋_GBK"/>
          <w:b/>
          <w:color w:val="000000"/>
          <w:spacing w:val="-2"/>
          <w:kern w:val="0"/>
          <w:sz w:val="24"/>
        </w:rPr>
      </w:pPr>
    </w:p>
    <w:p>
      <w:pPr>
        <w:spacing w:line="460" w:lineRule="exact"/>
        <w:ind w:firstLine="455" w:firstLineChars="196"/>
        <w:rPr>
          <w:rFonts w:eastAsia="方正仿宋_GBK"/>
          <w:color w:val="000000"/>
          <w:spacing w:val="-2"/>
          <w:kern w:val="0"/>
          <w:sz w:val="24"/>
        </w:rPr>
      </w:pPr>
      <w:r>
        <w:rPr>
          <w:rFonts w:hint="eastAsia" w:eastAsia="方正黑体_GBK"/>
          <w:color w:val="000000"/>
          <w:spacing w:val="-2"/>
          <w:kern w:val="0"/>
          <w:sz w:val="24"/>
        </w:rPr>
        <w:t>第三十条</w:t>
      </w:r>
      <w:r>
        <w:rPr>
          <w:rFonts w:eastAsia="方正仿宋_GBK"/>
          <w:color w:val="000000"/>
          <w:spacing w:val="-2"/>
          <w:kern w:val="0"/>
          <w:sz w:val="24"/>
        </w:rPr>
        <w:t xml:space="preserve">  </w:t>
      </w:r>
      <w:r>
        <w:rPr>
          <w:rFonts w:hint="eastAsia" w:eastAsia="方正仿宋_GBK"/>
          <w:color w:val="000000"/>
          <w:spacing w:val="-2"/>
          <w:kern w:val="0"/>
          <w:sz w:val="24"/>
        </w:rPr>
        <w:t>工程造价咨询企业不得有下列行为：</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（一）涂改、倒卖、出租、出借资质证书，或者以其他形式非法转让资质证书；</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（二）超越资质等级业务范围承接工程造价咨询业务；</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（三）同时接受招标人和投标人或两个以上投标人对同一工程项目的工程造价咨询业务；</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（四）以商业贿赂、恶意压低收费等方式进行不正当竞争；</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（五）转包承接的工程造价咨询业务；</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（六）除法律、法规另有规定外，未经委托人书面同意，工程造价咨询企业不得对外提供工程造价咨询服务过程中获知的当事人的商业秘密和业务资料；</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（七）法律、法规禁止的其他行为。</w:t>
      </w:r>
    </w:p>
    <w:p>
      <w:pPr>
        <w:spacing w:line="460" w:lineRule="exact"/>
        <w:ind w:firstLine="455" w:firstLineChars="196"/>
        <w:rPr>
          <w:rFonts w:eastAsia="方正仿宋_GBK"/>
          <w:color w:val="000000"/>
          <w:spacing w:val="-2"/>
          <w:kern w:val="0"/>
          <w:sz w:val="24"/>
        </w:rPr>
      </w:pPr>
      <w:r>
        <w:rPr>
          <w:rFonts w:hint="eastAsia" w:eastAsia="方正黑体_GBK"/>
          <w:color w:val="000000"/>
          <w:spacing w:val="-2"/>
          <w:kern w:val="0"/>
          <w:sz w:val="24"/>
        </w:rPr>
        <w:t>第三十一条</w:t>
      </w:r>
      <w:r>
        <w:rPr>
          <w:rFonts w:eastAsia="方正仿宋_GBK"/>
          <w:color w:val="000000"/>
          <w:spacing w:val="-2"/>
          <w:kern w:val="0"/>
          <w:sz w:val="24"/>
        </w:rPr>
        <w:t xml:space="preserve">  </w:t>
      </w:r>
      <w:r>
        <w:rPr>
          <w:rFonts w:hint="eastAsia" w:eastAsia="方正仿宋_GBK"/>
          <w:color w:val="000000"/>
          <w:spacing w:val="-2"/>
          <w:kern w:val="0"/>
          <w:sz w:val="24"/>
        </w:rPr>
        <w:t>县级以上地方人民政府住房和城乡建设行政主管部门应当依照有关法律、法规和本细则的规定，对工程造价咨询企业从事工程造价咨询业务的活动实施监督检查。</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监督检查可采取定期检查、受理社会各界的举报和投诉、不定期检查等方式进行。</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监督检查内容：</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（一）企业经营活动是否遵循独立、客观、公正、公平和诚实守信的原则；</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（二）企业的质量保证体系和咨询成果质量；</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（三）企业的执业行为、职业道德是否规范和符合行业指导规程；</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（四）企业咨询合同的规范性和履约情况，企业咨询项目的统计和备案情况；</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（五）工程造价咨询企业资质许可条件；</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（六）实施企业信用档案管理制度和不良行为公示制度；</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（七）咨询企业执业中是否存在违法违规行为。</w:t>
      </w:r>
    </w:p>
    <w:p>
      <w:pPr>
        <w:spacing w:line="460" w:lineRule="exact"/>
        <w:ind w:firstLine="464" w:firstLineChars="200"/>
        <w:rPr>
          <w:rFonts w:eastAsia="方正仿宋_GBK"/>
          <w:color w:val="000000"/>
          <w:spacing w:val="-2"/>
          <w:kern w:val="0"/>
          <w:sz w:val="24"/>
        </w:rPr>
      </w:pPr>
      <w:r>
        <w:rPr>
          <w:rFonts w:hint="eastAsia" w:eastAsia="方正黑体_GBK"/>
          <w:color w:val="000000"/>
          <w:spacing w:val="-2"/>
          <w:kern w:val="0"/>
          <w:sz w:val="24"/>
        </w:rPr>
        <w:t>第三十二条　</w:t>
      </w:r>
      <w:r>
        <w:rPr>
          <w:rFonts w:hint="eastAsia" w:eastAsia="方正仿宋_GBK"/>
          <w:color w:val="000000"/>
          <w:spacing w:val="-2"/>
          <w:kern w:val="0"/>
          <w:sz w:val="24"/>
        </w:rPr>
        <w:t>监督检查机关履行监督检查职责时，有权采取下列措施：</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（一）要求被检查单位提供工程造价咨询企业资质证书、造价工程师注册证书，有关工程造价咨询业务的文档，有关技术档案管理制度、质量控制制度、财务管理制度的文件；</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（二）进入被检查单位进行检查，查阅工程造价咨询成果文件以及工程造价咨询合同等相关资料；</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（三）责成企业纠正违反有关法律、法规和本细则及执业规程规定的行为。</w:t>
      </w:r>
    </w:p>
    <w:p>
      <w:pPr>
        <w:spacing w:line="460" w:lineRule="exact"/>
        <w:ind w:firstLine="464" w:firstLineChars="200"/>
        <w:rPr>
          <w:rFonts w:eastAsia="方正仿宋_GBK"/>
          <w:color w:val="000000"/>
          <w:spacing w:val="-2"/>
          <w:kern w:val="0"/>
          <w:sz w:val="24"/>
        </w:rPr>
      </w:pPr>
      <w:r>
        <w:rPr>
          <w:rFonts w:hint="eastAsia" w:eastAsia="方正黑体_GBK"/>
          <w:color w:val="000000"/>
          <w:spacing w:val="-2"/>
          <w:kern w:val="0"/>
          <w:sz w:val="24"/>
        </w:rPr>
        <w:t>第三十三条　</w:t>
      </w:r>
      <w:r>
        <w:rPr>
          <w:rFonts w:hint="eastAsia" w:eastAsia="方正仿宋_GBK"/>
          <w:color w:val="000000"/>
          <w:spacing w:val="-2"/>
          <w:kern w:val="0"/>
          <w:sz w:val="24"/>
        </w:rPr>
        <w:t>监督检查机关进行监督检查时，应当有两名以上监督检查人员参加，并出示执法证件，不得妨碍被检查单位的正常经营活动，不得索取或者收受财物、谋取其他利益。</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有关单位和个人对依法进行的监督检查应当协助与配合，不得拒绝或者阻挠。</w:t>
      </w:r>
    </w:p>
    <w:p>
      <w:pPr>
        <w:spacing w:line="460" w:lineRule="exact"/>
        <w:ind w:firstLine="464" w:firstLineChars="200"/>
        <w:rPr>
          <w:rFonts w:eastAsia="方正仿宋_GBK"/>
          <w:color w:val="000000"/>
          <w:spacing w:val="-2"/>
          <w:kern w:val="0"/>
          <w:sz w:val="24"/>
        </w:rPr>
      </w:pPr>
      <w:r>
        <w:rPr>
          <w:rFonts w:hint="eastAsia" w:eastAsia="方正黑体_GBK"/>
          <w:color w:val="000000"/>
          <w:spacing w:val="-2"/>
          <w:kern w:val="0"/>
          <w:sz w:val="24"/>
        </w:rPr>
        <w:t>第三十四条　</w:t>
      </w:r>
      <w:r>
        <w:rPr>
          <w:rFonts w:hint="eastAsia" w:eastAsia="方正仿宋_GBK"/>
          <w:color w:val="000000"/>
          <w:spacing w:val="-2"/>
          <w:kern w:val="0"/>
          <w:sz w:val="24"/>
        </w:rPr>
        <w:t>有下列情形之一的，住建部或江苏省住建厅根据利害关系人的请求或者依据职权，可以撤销工程造价咨询企业资质：</w:t>
      </w:r>
      <w:r>
        <w:rPr>
          <w:rFonts w:eastAsia="方正仿宋_GBK"/>
          <w:color w:val="000000"/>
          <w:spacing w:val="-2"/>
          <w:kern w:val="0"/>
          <w:sz w:val="24"/>
        </w:rPr>
        <w:t xml:space="preserve"> </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（一）工作人员滥用职权、玩忽职守作出准予工程造价咨询企业资质许可的；</w:t>
      </w:r>
      <w:r>
        <w:rPr>
          <w:rFonts w:eastAsia="方正仿宋_GBK"/>
          <w:color w:val="000000"/>
          <w:spacing w:val="-2"/>
          <w:kern w:val="0"/>
          <w:sz w:val="24"/>
        </w:rPr>
        <w:t xml:space="preserve"> </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（二）超越法定职权作出准予工程造价咨询企业资质许可的；</w:t>
      </w:r>
      <w:r>
        <w:rPr>
          <w:rFonts w:eastAsia="方正仿宋_GBK"/>
          <w:color w:val="000000"/>
          <w:spacing w:val="-2"/>
          <w:kern w:val="0"/>
          <w:sz w:val="24"/>
        </w:rPr>
        <w:t xml:space="preserve"> </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（三）违反法定程序作出准予工程造价咨询企业资质许可的；</w:t>
      </w:r>
      <w:r>
        <w:rPr>
          <w:rFonts w:eastAsia="方正仿宋_GBK"/>
          <w:color w:val="000000"/>
          <w:spacing w:val="-2"/>
          <w:kern w:val="0"/>
          <w:sz w:val="24"/>
        </w:rPr>
        <w:t xml:space="preserve"> </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（四）对不具备行政许可条件的申请人作出准予工程造价咨询企业资质许可的；</w:t>
      </w:r>
      <w:r>
        <w:rPr>
          <w:rFonts w:eastAsia="方正仿宋_GBK"/>
          <w:color w:val="000000"/>
          <w:spacing w:val="-2"/>
          <w:kern w:val="0"/>
          <w:sz w:val="24"/>
        </w:rPr>
        <w:t xml:space="preserve"> </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（五）工程造价咨询企业以欺骗、贿赂等不正当手段取得工程造价咨询企业资质的；</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（六）依法可以撤销工程造价咨询企业资质的其他情形。</w:t>
      </w:r>
      <w:r>
        <w:rPr>
          <w:rFonts w:eastAsia="方正仿宋_GBK"/>
          <w:color w:val="000000"/>
          <w:spacing w:val="-2"/>
          <w:kern w:val="0"/>
          <w:sz w:val="24"/>
        </w:rPr>
        <w:t xml:space="preserve"> </w:t>
      </w:r>
    </w:p>
    <w:p>
      <w:pPr>
        <w:spacing w:line="460" w:lineRule="exact"/>
        <w:ind w:firstLine="455" w:firstLineChars="196"/>
        <w:rPr>
          <w:rFonts w:eastAsia="方正仿宋_GBK"/>
          <w:color w:val="000000"/>
          <w:spacing w:val="-2"/>
          <w:kern w:val="0"/>
          <w:sz w:val="24"/>
        </w:rPr>
      </w:pPr>
      <w:r>
        <w:rPr>
          <w:rFonts w:hint="eastAsia" w:eastAsia="方正黑体_GBK"/>
          <w:color w:val="000000"/>
          <w:spacing w:val="-2"/>
          <w:kern w:val="0"/>
          <w:sz w:val="24"/>
        </w:rPr>
        <w:t>第三十五条　</w:t>
      </w:r>
      <w:r>
        <w:rPr>
          <w:rFonts w:hint="eastAsia" w:eastAsia="方正仿宋_GBK"/>
          <w:color w:val="000000"/>
          <w:spacing w:val="-2"/>
          <w:kern w:val="0"/>
          <w:sz w:val="24"/>
        </w:rPr>
        <w:t>工程造价咨询企业取得工程造价咨询企业资质后，不再符合相应资质条件的，住建部或江苏省住建厅根据利害关系人的请求或者依据职权，可以责令其限期改正；逾期不改的，可以撤回其资质。</w:t>
      </w:r>
      <w:r>
        <w:rPr>
          <w:rFonts w:eastAsia="方正仿宋_GBK"/>
          <w:color w:val="000000"/>
          <w:spacing w:val="-2"/>
          <w:kern w:val="0"/>
          <w:sz w:val="24"/>
        </w:rPr>
        <w:t xml:space="preserve"> </w:t>
      </w:r>
    </w:p>
    <w:p>
      <w:pPr>
        <w:spacing w:line="460" w:lineRule="exact"/>
        <w:ind w:firstLine="455" w:firstLineChars="196"/>
        <w:rPr>
          <w:rFonts w:eastAsia="方正仿宋_GBK"/>
          <w:color w:val="000000"/>
          <w:spacing w:val="-2"/>
          <w:kern w:val="0"/>
          <w:sz w:val="24"/>
        </w:rPr>
      </w:pPr>
      <w:r>
        <w:rPr>
          <w:rFonts w:hint="eastAsia" w:eastAsia="方正黑体_GBK"/>
          <w:color w:val="000000"/>
          <w:spacing w:val="-2"/>
          <w:kern w:val="0"/>
          <w:sz w:val="24"/>
        </w:rPr>
        <w:t>第三十六条　</w:t>
      </w:r>
      <w:r>
        <w:rPr>
          <w:rFonts w:hint="eastAsia" w:eastAsia="方正仿宋_GBK"/>
          <w:color w:val="000000"/>
          <w:spacing w:val="-2"/>
          <w:kern w:val="0"/>
          <w:sz w:val="24"/>
        </w:rPr>
        <w:t>有下列情形之一的，住建部或江苏省住建厅应当依法注销工程造价咨询企业资质：</w:t>
      </w:r>
      <w:r>
        <w:rPr>
          <w:rFonts w:eastAsia="方正仿宋_GBK"/>
          <w:color w:val="000000"/>
          <w:spacing w:val="-2"/>
          <w:kern w:val="0"/>
          <w:sz w:val="24"/>
        </w:rPr>
        <w:t xml:space="preserve"> </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（一）工程造价咨询企业资质有效期满，未申请延续的；</w:t>
      </w:r>
      <w:r>
        <w:rPr>
          <w:rFonts w:eastAsia="方正仿宋_GBK"/>
          <w:color w:val="000000"/>
          <w:spacing w:val="-2"/>
          <w:kern w:val="0"/>
          <w:sz w:val="24"/>
        </w:rPr>
        <w:t xml:space="preserve"> </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（二）工程造价咨询企业资质被撤销、撤回的；</w:t>
      </w:r>
      <w:r>
        <w:rPr>
          <w:rFonts w:eastAsia="方正仿宋_GBK"/>
          <w:color w:val="000000"/>
          <w:spacing w:val="-2"/>
          <w:kern w:val="0"/>
          <w:sz w:val="24"/>
        </w:rPr>
        <w:t xml:space="preserve"> </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（三）工程造价咨询企业依法终止的；</w:t>
      </w:r>
      <w:r>
        <w:rPr>
          <w:rFonts w:eastAsia="方正仿宋_GBK"/>
          <w:color w:val="000000"/>
          <w:spacing w:val="-2"/>
          <w:kern w:val="0"/>
          <w:sz w:val="24"/>
        </w:rPr>
        <w:t xml:space="preserve"> </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（四）法律、法规规定的应当注销工程造价咨询企业资质的其他情形。</w:t>
      </w:r>
      <w:r>
        <w:rPr>
          <w:rFonts w:eastAsia="方正仿宋_GBK"/>
          <w:color w:val="000000"/>
          <w:spacing w:val="-2"/>
          <w:kern w:val="0"/>
          <w:sz w:val="24"/>
        </w:rPr>
        <w:t xml:space="preserve"> </w:t>
      </w:r>
    </w:p>
    <w:p>
      <w:pPr>
        <w:spacing w:line="460" w:lineRule="exact"/>
        <w:ind w:firstLine="464" w:firstLineChars="200"/>
        <w:rPr>
          <w:rFonts w:eastAsia="方正仿宋_GBK"/>
          <w:color w:val="000000"/>
          <w:spacing w:val="-2"/>
          <w:kern w:val="0"/>
          <w:sz w:val="24"/>
        </w:rPr>
      </w:pPr>
      <w:r>
        <w:rPr>
          <w:rFonts w:hint="eastAsia" w:eastAsia="方正黑体_GBK"/>
          <w:color w:val="000000"/>
          <w:spacing w:val="-2"/>
          <w:kern w:val="0"/>
          <w:sz w:val="24"/>
        </w:rPr>
        <w:t>第三十七条</w:t>
      </w:r>
      <w:r>
        <w:rPr>
          <w:rFonts w:eastAsia="方正仿宋_GBK"/>
          <w:color w:val="000000"/>
          <w:spacing w:val="-2"/>
          <w:kern w:val="0"/>
          <w:sz w:val="24"/>
        </w:rPr>
        <w:t xml:space="preserve">  </w:t>
      </w:r>
      <w:r>
        <w:rPr>
          <w:rFonts w:hint="eastAsia" w:eastAsia="方正仿宋_GBK"/>
          <w:color w:val="000000"/>
          <w:spacing w:val="-2"/>
          <w:kern w:val="0"/>
          <w:sz w:val="24"/>
        </w:rPr>
        <w:t>工程造价咨询企业实行信用档案管理制度。信用档案管理采用网上电子信用档案方式。工程造价咨询企业信用档案应当包括工程造价咨询企业的基本情况、业绩、优良记录、不良记录等内容。任何单位和个人有权查阅信用档案。</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咨询企业的优良记录包括：</w:t>
      </w:r>
    </w:p>
    <w:p>
      <w:pPr>
        <w:spacing w:line="460" w:lineRule="exact"/>
        <w:ind w:left="560"/>
        <w:rPr>
          <w:rFonts w:eastAsia="方正仿宋_GBK"/>
          <w:color w:val="000000"/>
          <w:spacing w:val="-2"/>
          <w:kern w:val="0"/>
          <w:sz w:val="24"/>
        </w:rPr>
      </w:pPr>
      <w:r>
        <w:rPr>
          <w:rFonts w:hint="eastAsia" w:eastAsia="方正仿宋_GBK"/>
          <w:color w:val="000000"/>
          <w:spacing w:val="-2"/>
          <w:kern w:val="0"/>
          <w:sz w:val="24"/>
        </w:rPr>
        <w:t>（一）获得市级以上有关管理部门的表彰和奖励；</w:t>
      </w:r>
    </w:p>
    <w:p>
      <w:pPr>
        <w:spacing w:line="460" w:lineRule="exact"/>
        <w:ind w:left="560"/>
        <w:rPr>
          <w:rFonts w:eastAsia="方正仿宋_GBK"/>
          <w:color w:val="000000"/>
          <w:spacing w:val="-2"/>
          <w:kern w:val="0"/>
          <w:sz w:val="24"/>
        </w:rPr>
      </w:pPr>
      <w:r>
        <w:rPr>
          <w:rFonts w:hint="eastAsia" w:eastAsia="方正仿宋_GBK"/>
          <w:color w:val="000000"/>
          <w:spacing w:val="-2"/>
          <w:kern w:val="0"/>
          <w:sz w:val="24"/>
        </w:rPr>
        <w:t>（二）咨询成果质量检查评为优良；</w:t>
      </w:r>
    </w:p>
    <w:p>
      <w:pPr>
        <w:spacing w:line="460" w:lineRule="exact"/>
        <w:ind w:left="560"/>
        <w:rPr>
          <w:rFonts w:eastAsia="方正仿宋_GBK"/>
          <w:color w:val="000000"/>
          <w:spacing w:val="-2"/>
          <w:kern w:val="0"/>
          <w:sz w:val="24"/>
        </w:rPr>
      </w:pPr>
      <w:r>
        <w:rPr>
          <w:rFonts w:hint="eastAsia" w:eastAsia="方正仿宋_GBK"/>
          <w:color w:val="000000"/>
          <w:spacing w:val="-2"/>
          <w:kern w:val="0"/>
          <w:sz w:val="24"/>
        </w:rPr>
        <w:t>（三）获奖的课题研究成果；</w:t>
      </w:r>
    </w:p>
    <w:p>
      <w:pPr>
        <w:spacing w:line="460" w:lineRule="exact"/>
        <w:ind w:left="560"/>
        <w:rPr>
          <w:rFonts w:eastAsia="方正仿宋_GBK"/>
          <w:color w:val="000000"/>
          <w:spacing w:val="-2"/>
          <w:kern w:val="0"/>
          <w:sz w:val="24"/>
        </w:rPr>
      </w:pPr>
      <w:r>
        <w:rPr>
          <w:rFonts w:hint="eastAsia" w:eastAsia="方正仿宋_GBK"/>
          <w:color w:val="000000"/>
          <w:spacing w:val="-2"/>
          <w:kern w:val="0"/>
          <w:sz w:val="24"/>
        </w:rPr>
        <w:t>（四）有权部门认定的其他优良业绩。</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咨询企业的不良记录包括：</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（一）本细则第三十条规定的禁止行为；</w:t>
      </w:r>
    </w:p>
    <w:p>
      <w:pPr>
        <w:spacing w:line="460" w:lineRule="exact"/>
        <w:ind w:left="-12" w:leftChars="-6" w:firstLine="464" w:firstLineChars="200"/>
        <w:rPr>
          <w:rFonts w:eastAsia="方正仿宋_GBK"/>
          <w:color w:val="000000"/>
          <w:spacing w:val="-6"/>
          <w:kern w:val="0"/>
          <w:sz w:val="24"/>
        </w:rPr>
      </w:pPr>
      <w:r>
        <w:rPr>
          <w:rFonts w:hint="eastAsia" w:eastAsia="方正仿宋_GBK"/>
          <w:color w:val="000000"/>
          <w:spacing w:val="-2"/>
          <w:kern w:val="0"/>
          <w:sz w:val="24"/>
        </w:rPr>
        <w:t>（二）</w:t>
      </w:r>
      <w:r>
        <w:rPr>
          <w:rFonts w:hint="eastAsia" w:eastAsia="方正仿宋_GBK"/>
          <w:color w:val="000000"/>
          <w:spacing w:val="-6"/>
          <w:kern w:val="0"/>
          <w:sz w:val="24"/>
        </w:rPr>
        <w:t>省内外工程造价咨询单位设立分支机构和跨地区经营，未按规定办理备案的；</w:t>
      </w:r>
    </w:p>
    <w:p>
      <w:pPr>
        <w:spacing w:line="460" w:lineRule="exact"/>
        <w:ind w:left="-12" w:leftChars="-6" w:firstLine="464" w:firstLineChars="200"/>
        <w:rPr>
          <w:rFonts w:eastAsia="方正仿宋_GBK"/>
          <w:color w:val="000000"/>
          <w:spacing w:val="-2"/>
          <w:kern w:val="0"/>
          <w:sz w:val="24"/>
        </w:rPr>
      </w:pPr>
      <w:r>
        <w:rPr>
          <w:rFonts w:hint="eastAsia" w:eastAsia="方正仿宋_GBK"/>
          <w:color w:val="000000"/>
          <w:spacing w:val="-2"/>
          <w:kern w:val="0"/>
          <w:sz w:val="24"/>
        </w:rPr>
        <w:t>（三）违背</w:t>
      </w:r>
      <w:r>
        <w:rPr>
          <w:rFonts w:eastAsia="方正仿宋_GBK"/>
          <w:color w:val="000000"/>
          <w:spacing w:val="-2"/>
          <w:kern w:val="0"/>
          <w:sz w:val="24"/>
        </w:rPr>
        <w:t>“</w:t>
      </w:r>
      <w:r>
        <w:rPr>
          <w:rFonts w:hint="eastAsia" w:eastAsia="方正仿宋_GBK"/>
          <w:color w:val="000000"/>
          <w:spacing w:val="-2"/>
          <w:kern w:val="0"/>
          <w:sz w:val="24"/>
        </w:rPr>
        <w:t>独立、客观、公正</w:t>
      </w:r>
      <w:r>
        <w:rPr>
          <w:rFonts w:eastAsia="方正仿宋_GBK"/>
          <w:color w:val="000000"/>
          <w:spacing w:val="-2"/>
          <w:kern w:val="0"/>
          <w:sz w:val="24"/>
        </w:rPr>
        <w:t>”</w:t>
      </w:r>
      <w:r>
        <w:rPr>
          <w:rFonts w:hint="eastAsia" w:eastAsia="方正仿宋_GBK"/>
          <w:color w:val="000000"/>
          <w:spacing w:val="-2"/>
          <w:kern w:val="0"/>
          <w:sz w:val="24"/>
        </w:rPr>
        <w:t>的原则，出具虚假造价文件，或与建设项目市场主体任何一方串通作弊，故意抬高或压低工程造价；</w:t>
      </w:r>
    </w:p>
    <w:p>
      <w:pPr>
        <w:spacing w:line="460" w:lineRule="exact"/>
        <w:ind w:left="123" w:leftChars="60" w:firstLine="348" w:firstLineChars="150"/>
        <w:rPr>
          <w:rFonts w:eastAsia="方正仿宋_GBK"/>
          <w:color w:val="000000"/>
          <w:spacing w:val="-2"/>
          <w:kern w:val="0"/>
          <w:sz w:val="24"/>
        </w:rPr>
      </w:pPr>
      <w:r>
        <w:rPr>
          <w:rFonts w:hint="eastAsia" w:eastAsia="方正仿宋_GBK"/>
          <w:color w:val="000000"/>
          <w:spacing w:val="-2"/>
          <w:kern w:val="0"/>
          <w:sz w:val="24"/>
        </w:rPr>
        <w:t>（四）成果文件无注册造价师签名盖章的，无咨询企业执业印章的；</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（五）故意泄露当事人商业秘密和技术秘密的；</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（六）由于咨询企业行为过错给当事人造成重大经济损失的；</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（七）拒绝接受造价管理机构的监督检查及提供反映活动情况真实材料的；</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（八）法律、法规、规章规定的其他违法违规行为。</w:t>
      </w:r>
    </w:p>
    <w:p>
      <w:pPr>
        <w:spacing w:line="460" w:lineRule="exact"/>
        <w:ind w:firstLine="464" w:firstLineChars="200"/>
        <w:rPr>
          <w:rFonts w:eastAsia="方正仿宋_GBK"/>
          <w:color w:val="000000"/>
          <w:spacing w:val="-2"/>
          <w:kern w:val="0"/>
          <w:sz w:val="24"/>
        </w:rPr>
      </w:pPr>
    </w:p>
    <w:p>
      <w:pPr>
        <w:spacing w:line="460" w:lineRule="exact"/>
        <w:jc w:val="center"/>
        <w:rPr>
          <w:rFonts w:eastAsia="方正黑体_GBK"/>
          <w:bCs/>
          <w:color w:val="000000"/>
          <w:spacing w:val="-2"/>
          <w:kern w:val="0"/>
          <w:sz w:val="24"/>
        </w:rPr>
      </w:pPr>
      <w:r>
        <w:rPr>
          <w:rFonts w:hint="eastAsia" w:eastAsia="方正黑体_GBK"/>
          <w:bCs/>
          <w:color w:val="000000"/>
          <w:spacing w:val="-2"/>
          <w:kern w:val="0"/>
          <w:sz w:val="24"/>
        </w:rPr>
        <w:t>第五章　附则</w:t>
      </w:r>
    </w:p>
    <w:p>
      <w:pPr>
        <w:spacing w:line="460" w:lineRule="exact"/>
        <w:rPr>
          <w:rFonts w:eastAsia="方正仿宋_GBK"/>
          <w:b/>
          <w:color w:val="000000"/>
          <w:spacing w:val="-2"/>
          <w:kern w:val="0"/>
          <w:sz w:val="24"/>
        </w:rPr>
      </w:pPr>
      <w:r>
        <w:rPr>
          <w:rFonts w:eastAsia="方正仿宋_GBK"/>
          <w:b/>
          <w:bCs/>
          <w:color w:val="000000"/>
          <w:spacing w:val="-2"/>
          <w:kern w:val="0"/>
          <w:sz w:val="24"/>
        </w:rPr>
        <w:t xml:space="preserve">   </w:t>
      </w:r>
      <w:r>
        <w:rPr>
          <w:rFonts w:eastAsia="方正仿宋_GBK"/>
          <w:b/>
          <w:color w:val="000000"/>
          <w:spacing w:val="-2"/>
          <w:kern w:val="0"/>
          <w:sz w:val="24"/>
        </w:rPr>
        <w:t xml:space="preserve"> </w:t>
      </w:r>
    </w:p>
    <w:p>
      <w:pPr>
        <w:spacing w:line="460" w:lineRule="exact"/>
        <w:ind w:firstLine="455" w:firstLineChars="196"/>
        <w:rPr>
          <w:rFonts w:eastAsia="方正仿宋_GBK"/>
          <w:b/>
          <w:bCs/>
          <w:color w:val="000000"/>
          <w:spacing w:val="-2"/>
          <w:kern w:val="0"/>
          <w:sz w:val="24"/>
        </w:rPr>
      </w:pPr>
      <w:r>
        <w:rPr>
          <w:rFonts w:hint="eastAsia" w:eastAsia="方正黑体_GBK"/>
          <w:color w:val="000000"/>
          <w:spacing w:val="-2"/>
          <w:kern w:val="0"/>
          <w:sz w:val="24"/>
        </w:rPr>
        <w:t>第三十八条</w:t>
      </w:r>
      <w:r>
        <w:rPr>
          <w:rFonts w:eastAsia="方正仿宋_GBK"/>
          <w:color w:val="000000"/>
          <w:spacing w:val="-2"/>
          <w:kern w:val="0"/>
          <w:sz w:val="24"/>
        </w:rPr>
        <w:t xml:space="preserve">  </w:t>
      </w:r>
      <w:r>
        <w:rPr>
          <w:rFonts w:hint="eastAsia" w:eastAsia="方正仿宋_GBK"/>
          <w:color w:val="000000"/>
          <w:spacing w:val="-2"/>
          <w:kern w:val="0"/>
          <w:sz w:val="24"/>
        </w:rPr>
        <w:t>在工程造价咨询企业资质申报、工程造价咨询企业经营活动和对工程造价咨询企业监督管理过程中，工程造价咨询企业资质申请人、工程造价咨询企业、住房和城乡建设行政主管部门、及相关工作人员违反本细则的相关规定，依据住建部《工程造价咨询企业管理办法》（</w:t>
      </w:r>
      <w:r>
        <w:rPr>
          <w:rFonts w:eastAsia="方正仿宋_GBK"/>
          <w:color w:val="000000"/>
          <w:spacing w:val="-2"/>
          <w:kern w:val="0"/>
          <w:sz w:val="24"/>
        </w:rPr>
        <w:t>149</w:t>
      </w:r>
      <w:r>
        <w:rPr>
          <w:rFonts w:hint="eastAsia" w:eastAsia="方正仿宋_GBK"/>
          <w:color w:val="000000"/>
          <w:spacing w:val="-2"/>
          <w:kern w:val="0"/>
          <w:sz w:val="24"/>
        </w:rPr>
        <w:t>号部令）的相关罚则进行处罚。</w:t>
      </w:r>
    </w:p>
    <w:p>
      <w:pPr>
        <w:spacing w:line="460" w:lineRule="exact"/>
        <w:ind w:firstLine="464" w:firstLineChars="200"/>
        <w:rPr>
          <w:rFonts w:eastAsia="方正仿宋_GBK"/>
          <w:color w:val="000000"/>
          <w:spacing w:val="-2"/>
          <w:kern w:val="0"/>
          <w:sz w:val="24"/>
        </w:rPr>
      </w:pPr>
      <w:r>
        <w:rPr>
          <w:rFonts w:hint="eastAsia" w:eastAsia="方正黑体_GBK"/>
          <w:color w:val="000000"/>
          <w:spacing w:val="-2"/>
          <w:kern w:val="0"/>
          <w:sz w:val="24"/>
        </w:rPr>
        <w:t>第三十九条</w:t>
      </w:r>
      <w:r>
        <w:rPr>
          <w:rFonts w:hint="eastAsia" w:eastAsia="方正仿宋_GBK"/>
          <w:color w:val="000000"/>
          <w:spacing w:val="-2"/>
          <w:kern w:val="0"/>
          <w:sz w:val="24"/>
        </w:rPr>
        <w:t>　本细则自</w:t>
      </w:r>
      <w:r>
        <w:rPr>
          <w:rFonts w:eastAsia="方正仿宋_GBK"/>
          <w:color w:val="000000"/>
          <w:spacing w:val="-2"/>
          <w:kern w:val="0"/>
          <w:sz w:val="24"/>
        </w:rPr>
        <w:t>2007</w:t>
      </w:r>
      <w:r>
        <w:rPr>
          <w:rFonts w:hint="eastAsia" w:eastAsia="方正仿宋_GBK"/>
          <w:color w:val="000000"/>
          <w:spacing w:val="-2"/>
          <w:kern w:val="0"/>
          <w:sz w:val="24"/>
        </w:rPr>
        <w:t>年</w:t>
      </w:r>
      <w:r>
        <w:rPr>
          <w:rFonts w:eastAsia="方正仿宋_GBK"/>
          <w:color w:val="000000"/>
          <w:spacing w:val="-2"/>
          <w:kern w:val="0"/>
          <w:sz w:val="24"/>
        </w:rPr>
        <w:t>1</w:t>
      </w:r>
      <w:r>
        <w:rPr>
          <w:rFonts w:hint="eastAsia" w:eastAsia="方正仿宋_GBK"/>
          <w:color w:val="000000"/>
          <w:spacing w:val="-2"/>
          <w:kern w:val="0"/>
          <w:sz w:val="24"/>
        </w:rPr>
        <w:t>月</w:t>
      </w:r>
      <w:r>
        <w:rPr>
          <w:rFonts w:eastAsia="方正仿宋_GBK"/>
          <w:color w:val="000000"/>
          <w:spacing w:val="-2"/>
          <w:kern w:val="0"/>
          <w:sz w:val="24"/>
        </w:rPr>
        <w:t>1</w:t>
      </w:r>
      <w:r>
        <w:rPr>
          <w:rFonts w:hint="eastAsia" w:eastAsia="方正仿宋_GBK"/>
          <w:color w:val="000000"/>
          <w:spacing w:val="-2"/>
          <w:kern w:val="0"/>
          <w:sz w:val="24"/>
        </w:rPr>
        <w:t>日起施行。本细则施行前我省制定的有关工程造价咨询管理的规定与本细则不符的，以本细则为准。</w:t>
      </w:r>
    </w:p>
    <w:p>
      <w:pPr>
        <w:spacing w:line="460" w:lineRule="exact"/>
        <w:ind w:firstLine="464" w:firstLineChars="200"/>
        <w:rPr>
          <w:rFonts w:eastAsia="方正仿宋_GBK"/>
          <w:color w:val="000000"/>
          <w:spacing w:val="-2"/>
          <w:kern w:val="0"/>
          <w:sz w:val="24"/>
        </w:rPr>
      </w:pPr>
      <w:r>
        <w:rPr>
          <w:rFonts w:hint="eastAsia" w:eastAsia="方正黑体_GBK"/>
          <w:color w:val="000000"/>
          <w:spacing w:val="-2"/>
          <w:kern w:val="0"/>
          <w:sz w:val="24"/>
        </w:rPr>
        <w:t>第四十条</w:t>
      </w:r>
      <w:r>
        <w:rPr>
          <w:rFonts w:eastAsia="方正黑体_GBK"/>
          <w:color w:val="000000"/>
          <w:spacing w:val="-2"/>
          <w:kern w:val="0"/>
          <w:sz w:val="24"/>
        </w:rPr>
        <w:t xml:space="preserve"> </w:t>
      </w:r>
      <w:r>
        <w:rPr>
          <w:rFonts w:eastAsia="方正仿宋_GBK"/>
          <w:color w:val="000000"/>
          <w:spacing w:val="-2"/>
          <w:kern w:val="0"/>
          <w:sz w:val="24"/>
        </w:rPr>
        <w:t xml:space="preserve"> </w:t>
      </w:r>
      <w:r>
        <w:rPr>
          <w:rFonts w:hint="eastAsia" w:eastAsia="方正仿宋_GBK"/>
          <w:color w:val="000000"/>
          <w:spacing w:val="-2"/>
          <w:kern w:val="0"/>
          <w:sz w:val="24"/>
        </w:rPr>
        <w:t>本细则由江苏省住建厅负责解释。</w:t>
      </w:r>
    </w:p>
    <w:p>
      <w:pPr>
        <w:pStyle w:val="2"/>
        <w:spacing w:before="590" w:beforeLines="100" w:after="590" w:afterLines="100" w:line="240" w:lineRule="auto"/>
        <w:jc w:val="center"/>
        <w:rPr>
          <w:rFonts w:ascii="Times New Roman" w:eastAsia="方正小标宋_GBK"/>
          <w:b w:val="0"/>
          <w:sz w:val="36"/>
          <w:szCs w:val="36"/>
        </w:rPr>
      </w:pPr>
      <w:r>
        <w:rPr>
          <w:b w:val="0"/>
          <w:color w:val="000000"/>
          <w:kern w:val="0"/>
          <w:szCs w:val="21"/>
        </w:rPr>
        <w:br w:type="page"/>
      </w:r>
      <w:bookmarkStart w:id="657" w:name="_Toc20726680"/>
      <w:bookmarkStart w:id="658" w:name="_Toc18315817"/>
      <w:r>
        <w:rPr>
          <w:rFonts w:hint="eastAsia" w:ascii="Times New Roman" w:eastAsia="方正小标宋_GBK"/>
          <w:b w:val="0"/>
          <w:sz w:val="36"/>
          <w:szCs w:val="36"/>
        </w:rPr>
        <w:t>关于贯彻实施《江苏省仿古建筑与园林工程计价表》   的通知</w:t>
      </w:r>
      <w:bookmarkEnd w:id="657"/>
      <w:bookmarkEnd w:id="658"/>
    </w:p>
    <w:p>
      <w:pPr>
        <w:pStyle w:val="3"/>
        <w:spacing w:before="590" w:beforeLines="100" w:after="590" w:afterLines="100" w:line="240" w:lineRule="auto"/>
        <w:jc w:val="center"/>
        <w:rPr>
          <w:rFonts w:hint="eastAsia" w:ascii="Times New Roman" w:hAnsi="Times New Roman" w:eastAsia="方正楷体_GBK"/>
          <w:b w:val="0"/>
          <w:sz w:val="24"/>
          <w:szCs w:val="24"/>
        </w:rPr>
      </w:pPr>
      <w:bookmarkStart w:id="659" w:name="_Toc18315818"/>
      <w:bookmarkStart w:id="660" w:name="_Toc20726681"/>
      <w:r>
        <w:rPr>
          <w:rFonts w:hint="eastAsia" w:ascii="Times New Roman" w:hAnsi="Times New Roman" w:eastAsia="方正楷体_GBK"/>
          <w:b w:val="0"/>
          <w:sz w:val="24"/>
          <w:szCs w:val="24"/>
        </w:rPr>
        <w:t>苏建价〔</w:t>
      </w:r>
      <w:r>
        <w:rPr>
          <w:rFonts w:ascii="Times New Roman" w:hAnsi="Times New Roman" w:eastAsia="方正楷体_GBK"/>
          <w:b w:val="0"/>
          <w:sz w:val="24"/>
          <w:szCs w:val="24"/>
        </w:rPr>
        <w:t>2007</w:t>
      </w:r>
      <w:r>
        <w:rPr>
          <w:rFonts w:hint="eastAsia" w:ascii="Times New Roman" w:hAnsi="Times New Roman" w:eastAsia="方正楷体_GBK"/>
          <w:b w:val="0"/>
          <w:sz w:val="24"/>
          <w:szCs w:val="24"/>
        </w:rPr>
        <w:t>〕</w:t>
      </w:r>
      <w:r>
        <w:rPr>
          <w:rFonts w:ascii="Times New Roman" w:hAnsi="Times New Roman" w:eastAsia="方正楷体_GBK"/>
          <w:b w:val="0"/>
          <w:sz w:val="24"/>
          <w:szCs w:val="24"/>
        </w:rPr>
        <w:t>355</w:t>
      </w:r>
      <w:r>
        <w:rPr>
          <w:rFonts w:hint="eastAsia" w:ascii="Times New Roman" w:hAnsi="Times New Roman" w:eastAsia="方正楷体_GBK"/>
          <w:b w:val="0"/>
          <w:sz w:val="24"/>
          <w:szCs w:val="24"/>
        </w:rPr>
        <w:t>号</w:t>
      </w:r>
      <w:bookmarkEnd w:id="659"/>
      <w:bookmarkEnd w:id="660"/>
    </w:p>
    <w:p>
      <w:pPr>
        <w:spacing w:line="460" w:lineRule="exact"/>
        <w:rPr>
          <w:rFonts w:eastAsia="方正仿宋_GBK"/>
          <w:color w:val="000000"/>
          <w:spacing w:val="-2"/>
          <w:kern w:val="0"/>
          <w:sz w:val="24"/>
        </w:rPr>
      </w:pPr>
      <w:r>
        <w:rPr>
          <w:rFonts w:hint="eastAsia" w:eastAsia="方正仿宋_GBK"/>
          <w:color w:val="000000"/>
          <w:spacing w:val="-2"/>
          <w:kern w:val="0"/>
          <w:sz w:val="24"/>
        </w:rPr>
        <w:t>各市建设局（建委）：</w:t>
      </w:r>
    </w:p>
    <w:p>
      <w:pPr>
        <w:spacing w:line="460" w:lineRule="exact"/>
        <w:ind w:firstLine="440" w:firstLineChars="200"/>
        <w:rPr>
          <w:rFonts w:eastAsia="方正仿宋_GBK"/>
          <w:color w:val="000000"/>
          <w:spacing w:val="-8"/>
          <w:kern w:val="0"/>
          <w:sz w:val="24"/>
        </w:rPr>
      </w:pPr>
      <w:r>
        <w:rPr>
          <w:rFonts w:hint="eastAsia" w:eastAsia="方正仿宋_GBK"/>
          <w:color w:val="000000"/>
          <w:spacing w:val="-8"/>
          <w:kern w:val="0"/>
          <w:sz w:val="24"/>
        </w:rPr>
        <w:t>我厅已颁发了《江苏省仿古建筑与园林工程计价表（</w:t>
      </w:r>
      <w:r>
        <w:rPr>
          <w:rFonts w:eastAsia="方正仿宋_GBK"/>
          <w:color w:val="000000"/>
          <w:spacing w:val="-8"/>
          <w:kern w:val="0"/>
          <w:sz w:val="24"/>
        </w:rPr>
        <w:t>2007</w:t>
      </w:r>
      <w:r>
        <w:rPr>
          <w:rFonts w:hint="eastAsia" w:eastAsia="方正仿宋_GBK"/>
          <w:color w:val="000000"/>
          <w:spacing w:val="-8"/>
          <w:kern w:val="0"/>
          <w:sz w:val="24"/>
        </w:rPr>
        <w:t>年版）》（苏建价〔</w:t>
      </w:r>
      <w:r>
        <w:rPr>
          <w:rFonts w:eastAsia="方正仿宋_GBK"/>
          <w:color w:val="000000"/>
          <w:spacing w:val="-8"/>
          <w:kern w:val="0"/>
          <w:sz w:val="24"/>
        </w:rPr>
        <w:t>2007</w:t>
      </w:r>
      <w:r>
        <w:rPr>
          <w:rFonts w:hint="eastAsia" w:eastAsia="方正仿宋_GBK"/>
          <w:color w:val="000000"/>
          <w:spacing w:val="-8"/>
          <w:kern w:val="0"/>
          <w:sz w:val="24"/>
        </w:rPr>
        <w:t>〕</w:t>
      </w:r>
      <w:r>
        <w:rPr>
          <w:rFonts w:eastAsia="方正仿宋_GBK"/>
          <w:color w:val="000000"/>
          <w:spacing w:val="-8"/>
          <w:kern w:val="0"/>
          <w:sz w:val="24"/>
        </w:rPr>
        <w:t>247</w:t>
      </w:r>
      <w:r>
        <w:rPr>
          <w:rFonts w:hint="eastAsia" w:eastAsia="方正仿宋_GBK"/>
          <w:color w:val="000000"/>
          <w:spacing w:val="-8"/>
          <w:kern w:val="0"/>
          <w:sz w:val="24"/>
        </w:rPr>
        <w:t>号）。为推动该计价表在全省顺利贯彻实施，现将有关事项通知如下，请遵照执行。</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一、本计价表于</w:t>
      </w:r>
      <w:r>
        <w:rPr>
          <w:rFonts w:eastAsia="方正仿宋_GBK"/>
          <w:color w:val="000000"/>
          <w:spacing w:val="-2"/>
          <w:kern w:val="0"/>
          <w:sz w:val="24"/>
        </w:rPr>
        <w:t>2007</w:t>
      </w:r>
      <w:r>
        <w:rPr>
          <w:rFonts w:hint="eastAsia" w:eastAsia="方正仿宋_GBK"/>
          <w:color w:val="000000"/>
          <w:spacing w:val="-2"/>
          <w:kern w:val="0"/>
          <w:sz w:val="24"/>
        </w:rPr>
        <w:t>年</w:t>
      </w:r>
      <w:r>
        <w:rPr>
          <w:rFonts w:eastAsia="方正仿宋_GBK"/>
          <w:color w:val="000000"/>
          <w:spacing w:val="-2"/>
          <w:kern w:val="0"/>
          <w:sz w:val="24"/>
        </w:rPr>
        <w:t>12</w:t>
      </w:r>
      <w:r>
        <w:rPr>
          <w:rFonts w:hint="eastAsia" w:eastAsia="方正仿宋_GBK"/>
          <w:color w:val="000000"/>
          <w:spacing w:val="-2"/>
          <w:kern w:val="0"/>
          <w:sz w:val="24"/>
        </w:rPr>
        <w:t>月</w:t>
      </w:r>
      <w:r>
        <w:rPr>
          <w:rFonts w:eastAsia="方正仿宋_GBK"/>
          <w:color w:val="000000"/>
          <w:spacing w:val="-2"/>
          <w:kern w:val="0"/>
          <w:sz w:val="24"/>
        </w:rPr>
        <w:t>1</w:t>
      </w:r>
      <w:r>
        <w:rPr>
          <w:rFonts w:hint="eastAsia" w:eastAsia="方正仿宋_GBK"/>
          <w:color w:val="000000"/>
          <w:spacing w:val="-2"/>
          <w:kern w:val="0"/>
          <w:sz w:val="24"/>
        </w:rPr>
        <w:t>日开始实施。</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二、本计价表适用于我省行政区域范围内新建、扩建的仿古建筑及园林工程，同时也适用于市政工程中的景观绿化工程。</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三、施工费用计取规则按照《江苏省仿古建筑与园林工程计价表》上卷卷首</w:t>
      </w:r>
      <w:r>
        <w:rPr>
          <w:rFonts w:eastAsia="方正仿宋_GBK"/>
          <w:color w:val="000000"/>
          <w:spacing w:val="-2"/>
          <w:kern w:val="0"/>
          <w:sz w:val="24"/>
        </w:rPr>
        <w:t>“</w:t>
      </w:r>
      <w:r>
        <w:rPr>
          <w:rFonts w:hint="eastAsia" w:eastAsia="方正仿宋_GBK"/>
          <w:color w:val="000000"/>
          <w:spacing w:val="-2"/>
          <w:kern w:val="0"/>
          <w:sz w:val="24"/>
        </w:rPr>
        <w:t>江苏省仿古建筑与园林工程费用计算规则</w:t>
      </w:r>
      <w:r>
        <w:rPr>
          <w:rFonts w:eastAsia="方正仿宋_GBK"/>
          <w:color w:val="000000"/>
          <w:spacing w:val="-2"/>
          <w:kern w:val="0"/>
          <w:sz w:val="24"/>
        </w:rPr>
        <w:t>”</w:t>
      </w:r>
      <w:r>
        <w:rPr>
          <w:rFonts w:hint="eastAsia" w:eastAsia="方正仿宋_GBK"/>
          <w:color w:val="000000"/>
          <w:spacing w:val="-2"/>
          <w:kern w:val="0"/>
          <w:sz w:val="24"/>
        </w:rPr>
        <w:t>执行。</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四、仿古建筑与园林工程不实行行业劳保统筹。</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五、各市在执行过程中，如有问题和意见，请及时联系省住建厅建设工程造价管理总站。</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 xml:space="preserve"> </w:t>
      </w:r>
    </w:p>
    <w:p>
      <w:pPr>
        <w:spacing w:line="460" w:lineRule="exact"/>
        <w:ind w:firstLine="6728" w:firstLineChars="2900"/>
        <w:rPr>
          <w:rFonts w:eastAsia="方正仿宋_GBK"/>
          <w:color w:val="000000"/>
          <w:spacing w:val="-2"/>
          <w:sz w:val="24"/>
        </w:rPr>
      </w:pPr>
      <w:r>
        <w:rPr>
          <w:rFonts w:hint="eastAsia" w:eastAsia="方正仿宋_GBK"/>
          <w:color w:val="000000"/>
          <w:spacing w:val="-2"/>
          <w:sz w:val="24"/>
        </w:rPr>
        <w:t>江苏省住建厅</w:t>
      </w:r>
    </w:p>
    <w:p>
      <w:pPr>
        <w:spacing w:line="460" w:lineRule="exact"/>
        <w:ind w:firstLine="464" w:firstLineChars="200"/>
        <w:jc w:val="right"/>
        <w:rPr>
          <w:rFonts w:eastAsia="方正仿宋_GBK"/>
          <w:color w:val="000000"/>
          <w:spacing w:val="-2"/>
          <w:kern w:val="0"/>
          <w:sz w:val="24"/>
        </w:rPr>
      </w:pPr>
      <w:r>
        <w:rPr>
          <w:rFonts w:hint="eastAsia" w:eastAsia="方正仿宋_GBK"/>
          <w:color w:val="000000"/>
          <w:spacing w:val="-2"/>
          <w:kern w:val="0"/>
          <w:sz w:val="24"/>
        </w:rPr>
        <w:t>二</w:t>
      </w:r>
      <w:r>
        <w:rPr>
          <w:rFonts w:hint="eastAsia" w:ascii="Times New Roman" w:hAnsi="Times New Roman"/>
          <w:bCs/>
          <w:snapToGrid w:val="0"/>
          <w:color w:val="000000"/>
          <w:spacing w:val="-2"/>
          <w:kern w:val="0"/>
          <w:sz w:val="24"/>
        </w:rPr>
        <w:t>○○</w:t>
      </w:r>
      <w:r>
        <w:rPr>
          <w:rFonts w:hint="eastAsia" w:eastAsia="方正仿宋_GBK"/>
          <w:color w:val="000000"/>
          <w:spacing w:val="-2"/>
          <w:kern w:val="0"/>
          <w:sz w:val="24"/>
        </w:rPr>
        <w:t>七年十一月二日</w:t>
      </w:r>
      <w:r>
        <w:rPr>
          <w:rFonts w:eastAsia="方正仿宋_GBK"/>
          <w:color w:val="000000"/>
          <w:spacing w:val="-2"/>
          <w:kern w:val="0"/>
          <w:sz w:val="24"/>
        </w:rPr>
        <w:t xml:space="preserve">    </w:t>
      </w:r>
    </w:p>
    <w:p>
      <w:pPr>
        <w:shd w:val="clear" w:color="auto" w:fill="FFFFFF"/>
        <w:spacing w:line="440" w:lineRule="atLeast"/>
        <w:jc w:val="left"/>
        <w:rPr>
          <w:rFonts w:eastAsia="方正仿宋_GBK"/>
          <w:color w:val="000000"/>
          <w:spacing w:val="-2"/>
          <w:sz w:val="24"/>
        </w:rPr>
      </w:pPr>
    </w:p>
    <w:p>
      <w:pPr>
        <w:shd w:val="clear" w:color="auto" w:fill="FFFFFF"/>
        <w:spacing w:line="440" w:lineRule="atLeast"/>
        <w:jc w:val="left"/>
        <w:rPr>
          <w:color w:val="000000"/>
          <w:kern w:val="0"/>
          <w:szCs w:val="21"/>
        </w:rPr>
      </w:pPr>
    </w:p>
    <w:p/>
    <w:p/>
    <w:p/>
    <w:p/>
    <w:p/>
    <w:p/>
    <w:p/>
    <w:p/>
    <w:p/>
    <w:p/>
    <w:p>
      <w:pPr>
        <w:pStyle w:val="2"/>
        <w:spacing w:before="590" w:beforeLines="100" w:after="590" w:afterLines="100" w:line="240" w:lineRule="auto"/>
        <w:jc w:val="center"/>
        <w:rPr>
          <w:rFonts w:ascii="Times New Roman" w:eastAsia="方正小标宋_GBK"/>
          <w:b w:val="0"/>
          <w:sz w:val="36"/>
          <w:szCs w:val="36"/>
        </w:rPr>
      </w:pPr>
      <w:bookmarkStart w:id="661" w:name="_Toc20726682"/>
      <w:bookmarkStart w:id="662" w:name="_Toc18315819"/>
      <w:r>
        <w:rPr>
          <w:rFonts w:hint="eastAsia" w:ascii="Times New Roman" w:eastAsia="方正小标宋_GBK"/>
          <w:b w:val="0"/>
          <w:sz w:val="36"/>
          <w:szCs w:val="36"/>
        </w:rPr>
        <w:t>省住房和城乡建设厅关于对建设工程关于加强       建筑材料价格风险控制的指导意见</w:t>
      </w:r>
      <w:bookmarkEnd w:id="661"/>
      <w:bookmarkEnd w:id="662"/>
    </w:p>
    <w:p>
      <w:pPr>
        <w:pStyle w:val="3"/>
        <w:spacing w:before="590" w:beforeLines="100" w:after="590" w:afterLines="100" w:line="240" w:lineRule="auto"/>
        <w:jc w:val="center"/>
        <w:rPr>
          <w:rFonts w:hint="eastAsia" w:ascii="Times New Roman" w:hAnsi="Times New Roman" w:eastAsia="方正楷体_GBK"/>
          <w:b w:val="0"/>
          <w:sz w:val="24"/>
          <w:szCs w:val="24"/>
        </w:rPr>
      </w:pPr>
      <w:bookmarkStart w:id="663" w:name="_Toc18315820"/>
      <w:bookmarkStart w:id="664" w:name="_Toc20726683"/>
      <w:r>
        <w:rPr>
          <w:rFonts w:hint="eastAsia" w:ascii="Times New Roman" w:hAnsi="Times New Roman" w:eastAsia="方正楷体_GBK"/>
          <w:b w:val="0"/>
          <w:sz w:val="24"/>
          <w:szCs w:val="24"/>
        </w:rPr>
        <w:t>苏建价〔</w:t>
      </w:r>
      <w:r>
        <w:rPr>
          <w:rFonts w:ascii="Times New Roman" w:hAnsi="Times New Roman" w:eastAsia="方正楷体_GBK"/>
          <w:b w:val="0"/>
          <w:sz w:val="24"/>
          <w:szCs w:val="24"/>
        </w:rPr>
        <w:t>2008</w:t>
      </w:r>
      <w:r>
        <w:rPr>
          <w:rFonts w:hint="eastAsia" w:ascii="Times New Roman" w:hAnsi="Times New Roman" w:eastAsia="方正楷体_GBK"/>
          <w:b w:val="0"/>
          <w:sz w:val="24"/>
          <w:szCs w:val="24"/>
        </w:rPr>
        <w:t>〕</w:t>
      </w:r>
      <w:r>
        <w:rPr>
          <w:rFonts w:ascii="Times New Roman" w:hAnsi="Times New Roman" w:eastAsia="方正楷体_GBK"/>
          <w:b w:val="0"/>
          <w:sz w:val="24"/>
          <w:szCs w:val="24"/>
        </w:rPr>
        <w:t>67</w:t>
      </w:r>
      <w:r>
        <w:rPr>
          <w:rFonts w:hint="eastAsia" w:ascii="Times New Roman" w:hAnsi="Times New Roman" w:eastAsia="方正楷体_GBK"/>
          <w:b w:val="0"/>
          <w:sz w:val="24"/>
          <w:szCs w:val="24"/>
        </w:rPr>
        <w:t>号</w:t>
      </w:r>
      <w:bookmarkEnd w:id="663"/>
      <w:bookmarkEnd w:id="664"/>
    </w:p>
    <w:p>
      <w:pPr>
        <w:snapToGrid w:val="0"/>
        <w:spacing w:line="460" w:lineRule="exact"/>
        <w:ind w:right="-150" w:rightChars="-73"/>
        <w:rPr>
          <w:rFonts w:eastAsia="方正仿宋_GBK"/>
          <w:color w:val="000000"/>
          <w:spacing w:val="-2"/>
          <w:kern w:val="0"/>
          <w:sz w:val="24"/>
        </w:rPr>
      </w:pPr>
      <w:r>
        <w:rPr>
          <w:rFonts w:hint="eastAsia" w:eastAsia="方正仿宋_GBK"/>
          <w:color w:val="000000"/>
          <w:spacing w:val="-2"/>
          <w:kern w:val="0"/>
          <w:sz w:val="24"/>
        </w:rPr>
        <w:t>各市建设局（建委），省各有关委、办、厅、局：</w:t>
      </w:r>
    </w:p>
    <w:p>
      <w:pPr>
        <w:snapToGrid w:val="0"/>
        <w:spacing w:line="460" w:lineRule="exact"/>
        <w:ind w:right="-150" w:rightChars="-73" w:firstLine="448" w:firstLineChars="200"/>
        <w:rPr>
          <w:rFonts w:eastAsia="方正仿宋_GBK"/>
          <w:color w:val="000000"/>
          <w:spacing w:val="-6"/>
          <w:kern w:val="0"/>
          <w:sz w:val="24"/>
        </w:rPr>
      </w:pPr>
      <w:r>
        <w:rPr>
          <w:rFonts w:hint="eastAsia" w:eastAsia="方正仿宋_GBK"/>
          <w:color w:val="000000"/>
          <w:spacing w:val="-6"/>
          <w:kern w:val="0"/>
          <w:sz w:val="24"/>
        </w:rPr>
        <w:t>为稳定建筑市场秩序，降低建筑材料价格波动的风险，维护建设工程发承包双方的合法权益，根据有关法律、法规，按照发承包双方合理分担建筑材料价格风险的原则，现就加强建筑材料价格风险控制提出如下指导意见，请各市结合本地具体情况贯彻实施。</w:t>
      </w:r>
    </w:p>
    <w:p>
      <w:pPr>
        <w:snapToGrid w:val="0"/>
        <w:spacing w:line="460" w:lineRule="exact"/>
        <w:ind w:right="-150" w:rightChars="-73"/>
        <w:rPr>
          <w:rFonts w:eastAsia="方正仿宋_GBK"/>
          <w:color w:val="000000"/>
          <w:spacing w:val="-2"/>
          <w:kern w:val="0"/>
          <w:sz w:val="24"/>
        </w:rPr>
      </w:pPr>
      <w:r>
        <w:rPr>
          <w:rFonts w:eastAsia="方正仿宋_GBK"/>
          <w:color w:val="000000"/>
          <w:spacing w:val="-2"/>
          <w:kern w:val="0"/>
          <w:sz w:val="24"/>
        </w:rPr>
        <w:t xml:space="preserve">    </w:t>
      </w:r>
      <w:r>
        <w:rPr>
          <w:rFonts w:hint="eastAsia" w:eastAsia="方正仿宋_GBK"/>
          <w:b/>
          <w:color w:val="000000"/>
          <w:spacing w:val="-2"/>
          <w:kern w:val="0"/>
          <w:sz w:val="24"/>
        </w:rPr>
        <w:t>一</w:t>
      </w:r>
      <w:r>
        <w:rPr>
          <w:rFonts w:hint="eastAsia" w:eastAsia="方正仿宋_GBK"/>
          <w:color w:val="000000"/>
          <w:spacing w:val="-2"/>
          <w:kern w:val="0"/>
          <w:sz w:val="24"/>
        </w:rPr>
        <w:t>、建筑材料价格的大幅波动将严重影响发承包双方对施工合同的正常履行，给工程施工带来潜在的质量安全隐患。工程施工发承包双方在招投标和施工合同签订过程中，应增强风险防范意识，签订合理的材料价格风险控制条款，明确各方承担风险影响的原则，切实保障建设工程的顺利实施。</w:t>
      </w:r>
    </w:p>
    <w:p>
      <w:pPr>
        <w:snapToGrid w:val="0"/>
        <w:spacing w:line="460" w:lineRule="exact"/>
        <w:ind w:right="-150" w:rightChars="-73"/>
        <w:rPr>
          <w:rFonts w:eastAsia="方正仿宋_GBK"/>
          <w:color w:val="000000"/>
          <w:spacing w:val="-2"/>
          <w:kern w:val="0"/>
          <w:sz w:val="24"/>
        </w:rPr>
      </w:pPr>
      <w:r>
        <w:rPr>
          <w:rFonts w:eastAsia="方正仿宋_GBK"/>
          <w:color w:val="000000"/>
          <w:spacing w:val="-2"/>
          <w:kern w:val="0"/>
          <w:sz w:val="24"/>
        </w:rPr>
        <w:t xml:space="preserve">   </w:t>
      </w:r>
      <w:r>
        <w:rPr>
          <w:rFonts w:eastAsia="方正仿宋_GBK"/>
          <w:b/>
          <w:color w:val="000000"/>
          <w:spacing w:val="-2"/>
          <w:kern w:val="0"/>
          <w:sz w:val="24"/>
        </w:rPr>
        <w:t xml:space="preserve"> </w:t>
      </w:r>
      <w:r>
        <w:rPr>
          <w:rFonts w:hint="eastAsia" w:eastAsia="方正仿宋_GBK"/>
          <w:b/>
          <w:color w:val="000000"/>
          <w:spacing w:val="-2"/>
          <w:kern w:val="0"/>
          <w:sz w:val="24"/>
        </w:rPr>
        <w:t>二</w:t>
      </w:r>
      <w:r>
        <w:rPr>
          <w:rFonts w:hint="eastAsia" w:eastAsia="方正仿宋_GBK"/>
          <w:color w:val="000000"/>
          <w:spacing w:val="-2"/>
          <w:kern w:val="0"/>
          <w:sz w:val="24"/>
        </w:rPr>
        <w:t>、依法必须招标的房屋建筑及市政基础设施工程，招标人应在招标文件中明确工程计价中的风险范围、控制和处理原则。发承包双方应当在施工合同中约定：</w:t>
      </w:r>
    </w:p>
    <w:p>
      <w:pPr>
        <w:snapToGrid w:val="0"/>
        <w:spacing w:line="460" w:lineRule="exact"/>
        <w:ind w:right="-150" w:rightChars="-73"/>
        <w:rPr>
          <w:rFonts w:eastAsia="方正仿宋_GBK"/>
          <w:color w:val="000000"/>
          <w:spacing w:val="-2"/>
          <w:kern w:val="0"/>
          <w:sz w:val="24"/>
        </w:rPr>
      </w:pPr>
      <w:r>
        <w:rPr>
          <w:rFonts w:eastAsia="方正仿宋_GBK"/>
          <w:color w:val="000000"/>
          <w:spacing w:val="-2"/>
          <w:kern w:val="0"/>
          <w:sz w:val="24"/>
        </w:rPr>
        <w:t xml:space="preserve">    1</w:t>
      </w:r>
      <w:r>
        <w:rPr>
          <w:rFonts w:hint="eastAsia" w:eastAsia="方正仿宋_GBK"/>
          <w:color w:val="000000"/>
          <w:spacing w:val="-2"/>
          <w:kern w:val="0"/>
          <w:sz w:val="24"/>
        </w:rPr>
        <w:t>、工程主要建筑材料包含的材料范围；</w:t>
      </w:r>
    </w:p>
    <w:p>
      <w:pPr>
        <w:snapToGrid w:val="0"/>
        <w:spacing w:line="460" w:lineRule="exact"/>
        <w:ind w:right="-150" w:rightChars="-73"/>
        <w:rPr>
          <w:rFonts w:eastAsia="方正仿宋_GBK"/>
          <w:color w:val="000000"/>
          <w:spacing w:val="-2"/>
          <w:kern w:val="0"/>
          <w:sz w:val="24"/>
        </w:rPr>
      </w:pPr>
      <w:r>
        <w:rPr>
          <w:rFonts w:eastAsia="方正仿宋_GBK"/>
          <w:color w:val="000000"/>
          <w:spacing w:val="-2"/>
          <w:kern w:val="0"/>
          <w:sz w:val="24"/>
        </w:rPr>
        <w:t xml:space="preserve">    2</w:t>
      </w:r>
      <w:r>
        <w:rPr>
          <w:rFonts w:hint="eastAsia" w:eastAsia="方正仿宋_GBK"/>
          <w:color w:val="000000"/>
          <w:spacing w:val="-2"/>
          <w:kern w:val="0"/>
          <w:sz w:val="24"/>
        </w:rPr>
        <w:t>、承包方的投标价格中包含的材料价格风险的幅度（一般风险包干幅度不应大于</w:t>
      </w:r>
      <w:r>
        <w:rPr>
          <w:rFonts w:eastAsia="方正仿宋_GBK"/>
          <w:color w:val="000000"/>
          <w:spacing w:val="-2"/>
          <w:kern w:val="0"/>
          <w:sz w:val="24"/>
        </w:rPr>
        <w:t>10%</w:t>
      </w:r>
      <w:r>
        <w:rPr>
          <w:rFonts w:hint="eastAsia" w:eastAsia="方正仿宋_GBK"/>
          <w:color w:val="000000"/>
          <w:spacing w:val="-2"/>
          <w:kern w:val="0"/>
          <w:sz w:val="24"/>
        </w:rPr>
        <w:t>）；</w:t>
      </w:r>
    </w:p>
    <w:p>
      <w:pPr>
        <w:snapToGrid w:val="0"/>
        <w:spacing w:line="460" w:lineRule="exact"/>
        <w:ind w:right="-150" w:rightChars="-73"/>
        <w:rPr>
          <w:rFonts w:eastAsia="方正仿宋_GBK"/>
          <w:color w:val="000000"/>
          <w:spacing w:val="-2"/>
          <w:kern w:val="0"/>
          <w:sz w:val="24"/>
        </w:rPr>
      </w:pPr>
      <w:r>
        <w:rPr>
          <w:rFonts w:eastAsia="方正仿宋_GBK"/>
          <w:color w:val="000000"/>
          <w:spacing w:val="-2"/>
          <w:kern w:val="0"/>
          <w:sz w:val="24"/>
        </w:rPr>
        <w:t xml:space="preserve">    3</w:t>
      </w:r>
      <w:r>
        <w:rPr>
          <w:rFonts w:hint="eastAsia" w:eastAsia="方正仿宋_GBK"/>
          <w:color w:val="000000"/>
          <w:spacing w:val="-2"/>
          <w:kern w:val="0"/>
          <w:sz w:val="24"/>
        </w:rPr>
        <w:t>、当主要建筑材料的价格波动超过投标价格中的风险幅度时的材料价格调整办法。</w:t>
      </w:r>
    </w:p>
    <w:p>
      <w:pPr>
        <w:snapToGrid w:val="0"/>
        <w:spacing w:line="460" w:lineRule="exact"/>
        <w:ind w:right="-150" w:rightChars="-73" w:firstLine="464" w:firstLineChars="200"/>
        <w:rPr>
          <w:rFonts w:eastAsia="方正仿宋_GBK"/>
          <w:color w:val="000000"/>
          <w:spacing w:val="-2"/>
          <w:kern w:val="0"/>
          <w:sz w:val="24"/>
        </w:rPr>
      </w:pPr>
      <w:r>
        <w:rPr>
          <w:rFonts w:hint="eastAsia" w:eastAsia="方正仿宋_GBK"/>
          <w:color w:val="000000"/>
          <w:spacing w:val="-2"/>
          <w:kern w:val="0"/>
          <w:sz w:val="24"/>
        </w:rPr>
        <w:t>主要建筑材料是指用量较大，占工程造价比重较高的常用材料，其价格波动对工程造价影响明显。如发承包双方无约定时，是否为主要建筑材料可按照单位工程投标文件中材料费占单位工程费的百分比来划分：材料费占单位工程费</w:t>
      </w:r>
      <w:r>
        <w:rPr>
          <w:rFonts w:eastAsia="方正仿宋_GBK"/>
          <w:color w:val="000000"/>
          <w:spacing w:val="-2"/>
          <w:kern w:val="0"/>
          <w:sz w:val="24"/>
        </w:rPr>
        <w:t>2%</w:t>
      </w:r>
      <w:r>
        <w:rPr>
          <w:rFonts w:hint="eastAsia" w:eastAsia="方正仿宋_GBK"/>
          <w:color w:val="000000"/>
          <w:spacing w:val="-2"/>
          <w:kern w:val="0"/>
          <w:sz w:val="24"/>
        </w:rPr>
        <w:t>以下的各类材料为非主要建筑材料；材料费占单位工程费</w:t>
      </w:r>
      <w:r>
        <w:rPr>
          <w:rFonts w:eastAsia="方正仿宋_GBK"/>
          <w:color w:val="000000"/>
          <w:spacing w:val="-2"/>
          <w:kern w:val="0"/>
          <w:sz w:val="24"/>
        </w:rPr>
        <w:t>2%</w:t>
      </w:r>
      <w:r>
        <w:rPr>
          <w:rFonts w:hint="eastAsia" w:eastAsia="方正仿宋_GBK"/>
          <w:color w:val="000000"/>
          <w:spacing w:val="-2"/>
          <w:kern w:val="0"/>
          <w:sz w:val="24"/>
        </w:rPr>
        <w:t>以上，</w:t>
      </w:r>
      <w:r>
        <w:rPr>
          <w:rFonts w:eastAsia="方正仿宋_GBK"/>
          <w:color w:val="000000"/>
          <w:spacing w:val="-2"/>
          <w:kern w:val="0"/>
          <w:sz w:val="24"/>
        </w:rPr>
        <w:t>10%</w:t>
      </w:r>
      <w:r>
        <w:rPr>
          <w:rFonts w:hint="eastAsia" w:eastAsia="方正仿宋_GBK"/>
          <w:color w:val="000000"/>
          <w:spacing w:val="-2"/>
          <w:kern w:val="0"/>
          <w:sz w:val="24"/>
        </w:rPr>
        <w:t>以内的各类材料为第一类主要建筑材料；材料费占单位工程费</w:t>
      </w:r>
      <w:r>
        <w:rPr>
          <w:rFonts w:eastAsia="方正仿宋_GBK"/>
          <w:color w:val="000000"/>
          <w:spacing w:val="-2"/>
          <w:kern w:val="0"/>
          <w:sz w:val="24"/>
        </w:rPr>
        <w:t>10%</w:t>
      </w:r>
      <w:r>
        <w:rPr>
          <w:rFonts w:hint="eastAsia" w:eastAsia="方正仿宋_GBK"/>
          <w:color w:val="000000"/>
          <w:spacing w:val="-2"/>
          <w:kern w:val="0"/>
          <w:sz w:val="24"/>
        </w:rPr>
        <w:t>以上的各类材料为第二类主要建筑材料。</w:t>
      </w:r>
    </w:p>
    <w:p>
      <w:pPr>
        <w:snapToGrid w:val="0"/>
        <w:spacing w:line="460" w:lineRule="exact"/>
        <w:ind w:right="-150" w:rightChars="-73" w:firstLine="464" w:firstLineChars="200"/>
        <w:rPr>
          <w:rFonts w:eastAsia="方正仿宋_GBK"/>
          <w:color w:val="000000"/>
          <w:spacing w:val="-2"/>
          <w:kern w:val="0"/>
          <w:sz w:val="24"/>
        </w:rPr>
      </w:pPr>
      <w:r>
        <w:rPr>
          <w:rFonts w:hint="eastAsia" w:eastAsia="方正仿宋_GBK"/>
          <w:b/>
          <w:color w:val="000000"/>
          <w:spacing w:val="-2"/>
          <w:kern w:val="0"/>
          <w:sz w:val="24"/>
        </w:rPr>
        <w:t>三</w:t>
      </w:r>
      <w:r>
        <w:rPr>
          <w:rFonts w:hint="eastAsia" w:eastAsia="方正仿宋_GBK"/>
          <w:color w:val="000000"/>
          <w:spacing w:val="-2"/>
          <w:kern w:val="0"/>
          <w:sz w:val="24"/>
        </w:rPr>
        <w:t>、本意见发布前已经签订固定价格施工合同（包括固定总价与固定单价合同），尚未完成工程竣工结算的招投标工程，如果合同中未约定材料价格风险控制条款的，经发承包双方协商一致，可按下述原则签订补充协议，到工程所在地建设行政主管部门备案后调整工程造价。</w:t>
      </w:r>
    </w:p>
    <w:p>
      <w:pPr>
        <w:snapToGrid w:val="0"/>
        <w:spacing w:line="460" w:lineRule="exact"/>
        <w:ind w:right="-150" w:rightChars="-73"/>
        <w:rPr>
          <w:rFonts w:eastAsia="方正仿宋_GBK"/>
          <w:color w:val="000000"/>
          <w:spacing w:val="-2"/>
          <w:kern w:val="0"/>
          <w:sz w:val="24"/>
        </w:rPr>
      </w:pPr>
      <w:r>
        <w:rPr>
          <w:rFonts w:eastAsia="方正仿宋_GBK"/>
          <w:color w:val="000000"/>
          <w:spacing w:val="-2"/>
          <w:kern w:val="0"/>
          <w:sz w:val="24"/>
        </w:rPr>
        <w:t xml:space="preserve">    1</w:t>
      </w:r>
      <w:r>
        <w:rPr>
          <w:rFonts w:hint="eastAsia" w:eastAsia="方正仿宋_GBK"/>
          <w:color w:val="000000"/>
          <w:spacing w:val="-2"/>
          <w:kern w:val="0"/>
          <w:sz w:val="24"/>
        </w:rPr>
        <w:t>、采用固定价格合同形式的：当工程施工期间非主要建筑材料价格上涨或下降的，其差价均由承包人承担或收益；当工程施工期间第一类主要建筑材料价格上涨或下降幅度在</w:t>
      </w:r>
      <w:r>
        <w:rPr>
          <w:rFonts w:eastAsia="方正仿宋_GBK"/>
          <w:color w:val="000000"/>
          <w:spacing w:val="-2"/>
          <w:kern w:val="0"/>
          <w:sz w:val="24"/>
        </w:rPr>
        <w:t>10%</w:t>
      </w:r>
      <w:r>
        <w:rPr>
          <w:rFonts w:hint="eastAsia" w:eastAsia="方正仿宋_GBK"/>
          <w:color w:val="000000"/>
          <w:spacing w:val="-2"/>
          <w:kern w:val="0"/>
          <w:sz w:val="24"/>
        </w:rPr>
        <w:t>以内的，其差价由承包人承担或受益，超过</w:t>
      </w:r>
      <w:r>
        <w:rPr>
          <w:rFonts w:eastAsia="方正仿宋_GBK"/>
          <w:color w:val="000000"/>
          <w:spacing w:val="-2"/>
          <w:kern w:val="0"/>
          <w:sz w:val="24"/>
        </w:rPr>
        <w:t>10%</w:t>
      </w:r>
      <w:r>
        <w:rPr>
          <w:rFonts w:hint="eastAsia" w:eastAsia="方正仿宋_GBK"/>
          <w:color w:val="000000"/>
          <w:spacing w:val="-2"/>
          <w:kern w:val="0"/>
          <w:sz w:val="24"/>
        </w:rPr>
        <w:t>的部分由发包人承担或受益；当工程施工期间第二类主要建筑材料价格上涨或下降幅度在</w:t>
      </w:r>
      <w:r>
        <w:rPr>
          <w:rFonts w:eastAsia="方正仿宋_GBK"/>
          <w:color w:val="000000"/>
          <w:spacing w:val="-2"/>
          <w:kern w:val="0"/>
          <w:sz w:val="24"/>
        </w:rPr>
        <w:t>5%</w:t>
      </w:r>
      <w:r>
        <w:rPr>
          <w:rFonts w:hint="eastAsia" w:eastAsia="方正仿宋_GBK"/>
          <w:color w:val="000000"/>
          <w:spacing w:val="-2"/>
          <w:kern w:val="0"/>
          <w:sz w:val="24"/>
        </w:rPr>
        <w:t>以内的，其差价由承包人承担或受益，超过</w:t>
      </w:r>
      <w:r>
        <w:rPr>
          <w:rFonts w:eastAsia="方正仿宋_GBK"/>
          <w:color w:val="000000"/>
          <w:spacing w:val="-2"/>
          <w:kern w:val="0"/>
          <w:sz w:val="24"/>
        </w:rPr>
        <w:t>5%</w:t>
      </w:r>
      <w:r>
        <w:rPr>
          <w:rFonts w:hint="eastAsia" w:eastAsia="方正仿宋_GBK"/>
          <w:color w:val="000000"/>
          <w:spacing w:val="-2"/>
          <w:kern w:val="0"/>
          <w:sz w:val="24"/>
        </w:rPr>
        <w:t>的部分由发包人承担或受益。</w:t>
      </w:r>
    </w:p>
    <w:p>
      <w:pPr>
        <w:snapToGrid w:val="0"/>
        <w:spacing w:line="460" w:lineRule="exact"/>
        <w:ind w:right="-150" w:rightChars="-73"/>
        <w:rPr>
          <w:rFonts w:eastAsia="方正仿宋_GBK"/>
          <w:color w:val="000000"/>
          <w:spacing w:val="-2"/>
          <w:kern w:val="0"/>
          <w:sz w:val="24"/>
        </w:rPr>
      </w:pPr>
      <w:r>
        <w:rPr>
          <w:rFonts w:eastAsia="方正仿宋_GBK"/>
          <w:color w:val="000000"/>
          <w:spacing w:val="-2"/>
          <w:kern w:val="0"/>
          <w:sz w:val="24"/>
        </w:rPr>
        <w:t xml:space="preserve">    2</w:t>
      </w:r>
      <w:r>
        <w:rPr>
          <w:rFonts w:hint="eastAsia" w:eastAsia="方正仿宋_GBK"/>
          <w:color w:val="000000"/>
          <w:spacing w:val="-2"/>
          <w:kern w:val="0"/>
          <w:sz w:val="24"/>
        </w:rPr>
        <w:t>、主要建筑材料差价的取定：应以工程所在地造价管理部门发布的材料指导价格为基准（缺指导价的材料以双方确认的市场信息价为准），差价为施工期同类材料加权平均指导价格与合同工程基准期（招标工程为递交投标文件截止日期前</w:t>
      </w:r>
      <w:r>
        <w:rPr>
          <w:rFonts w:eastAsia="方正仿宋_GBK"/>
          <w:color w:val="000000"/>
          <w:spacing w:val="-2"/>
          <w:kern w:val="0"/>
          <w:sz w:val="24"/>
        </w:rPr>
        <w:t>28</w:t>
      </w:r>
      <w:r>
        <w:rPr>
          <w:rFonts w:hint="eastAsia" w:eastAsia="方正仿宋_GBK"/>
          <w:color w:val="000000"/>
          <w:spacing w:val="-2"/>
          <w:kern w:val="0"/>
          <w:sz w:val="24"/>
        </w:rPr>
        <w:t>天）当月的材料指导价格的差额。</w:t>
      </w:r>
    </w:p>
    <w:p>
      <w:pPr>
        <w:snapToGrid w:val="0"/>
        <w:spacing w:line="460" w:lineRule="exact"/>
        <w:ind w:right="-150" w:rightChars="-73" w:firstLine="570"/>
        <w:rPr>
          <w:rFonts w:eastAsia="方正仿宋_GBK"/>
          <w:dstrike/>
          <w:color w:val="000000"/>
          <w:spacing w:val="-2"/>
          <w:kern w:val="0"/>
          <w:sz w:val="24"/>
        </w:rPr>
      </w:pPr>
      <w:r>
        <w:rPr>
          <w:rFonts w:hint="eastAsia" w:eastAsia="方正仿宋_GBK"/>
          <w:color w:val="000000"/>
          <w:spacing w:val="-2"/>
          <w:kern w:val="0"/>
          <w:sz w:val="24"/>
        </w:rPr>
        <w:t>施工期材料加权平均指导价按下列公式计算：</w:t>
      </w:r>
    </w:p>
    <w:p>
      <w:pPr>
        <w:snapToGrid w:val="0"/>
        <w:spacing w:line="460" w:lineRule="exact"/>
        <w:ind w:right="-150" w:rightChars="-73" w:firstLine="570"/>
        <w:rPr>
          <w:rFonts w:eastAsia="方正仿宋_GBK"/>
          <w:color w:val="000000"/>
          <w:spacing w:val="-10"/>
          <w:kern w:val="0"/>
          <w:sz w:val="24"/>
        </w:rPr>
      </w:pPr>
      <w:r>
        <w:rPr>
          <w:rFonts w:hint="eastAsia" w:eastAsia="方正仿宋_GBK"/>
          <w:color w:val="000000"/>
          <w:spacing w:val="-10"/>
          <w:kern w:val="0"/>
          <w:sz w:val="24"/>
        </w:rPr>
        <w:t>施工期材料加权平均指导价</w:t>
      </w:r>
      <w:r>
        <w:rPr>
          <w:rFonts w:eastAsia="方正仿宋_GBK"/>
          <w:color w:val="000000"/>
          <w:spacing w:val="-10"/>
          <w:kern w:val="0"/>
          <w:sz w:val="24"/>
        </w:rPr>
        <w:t>=Σ</w:t>
      </w:r>
      <w:r>
        <w:rPr>
          <w:rFonts w:hint="eastAsia" w:eastAsia="方正仿宋_GBK"/>
          <w:color w:val="000000"/>
          <w:spacing w:val="-10"/>
          <w:kern w:val="0"/>
          <w:sz w:val="24"/>
        </w:rPr>
        <w:t>（每月实际使用量</w:t>
      </w:r>
      <w:r>
        <w:rPr>
          <w:rFonts w:eastAsia="方正仿宋_GBK"/>
          <w:color w:val="000000"/>
          <w:spacing w:val="-10"/>
          <w:kern w:val="0"/>
          <w:sz w:val="24"/>
        </w:rPr>
        <w:t>×</w:t>
      </w:r>
      <w:r>
        <w:rPr>
          <w:rFonts w:hint="eastAsia" w:eastAsia="方正仿宋_GBK"/>
          <w:color w:val="000000"/>
          <w:spacing w:val="-10"/>
          <w:kern w:val="0"/>
          <w:sz w:val="24"/>
        </w:rPr>
        <w:t>当月材料指导价）</w:t>
      </w:r>
      <w:r>
        <w:rPr>
          <w:rFonts w:eastAsia="方正仿宋_GBK"/>
          <w:color w:val="000000"/>
          <w:spacing w:val="-10"/>
          <w:kern w:val="0"/>
          <w:sz w:val="24"/>
        </w:rPr>
        <w:t>/</w:t>
      </w:r>
      <w:r>
        <w:rPr>
          <w:rFonts w:hint="eastAsia" w:eastAsia="方正仿宋_GBK"/>
          <w:color w:val="000000"/>
          <w:spacing w:val="-10"/>
          <w:kern w:val="0"/>
          <w:sz w:val="24"/>
        </w:rPr>
        <w:t>同类材料总用量</w:t>
      </w:r>
    </w:p>
    <w:p>
      <w:pPr>
        <w:snapToGrid w:val="0"/>
        <w:spacing w:line="460" w:lineRule="exact"/>
        <w:ind w:right="-150" w:rightChars="-73"/>
        <w:rPr>
          <w:rFonts w:eastAsia="方正仿宋_GBK"/>
          <w:color w:val="000000"/>
          <w:spacing w:val="-2"/>
          <w:kern w:val="0"/>
          <w:sz w:val="24"/>
        </w:rPr>
      </w:pPr>
      <w:r>
        <w:rPr>
          <w:rFonts w:eastAsia="方正仿宋_GBK"/>
          <w:color w:val="000000"/>
          <w:spacing w:val="-2"/>
          <w:kern w:val="0"/>
          <w:sz w:val="24"/>
        </w:rPr>
        <w:t xml:space="preserve">    3</w:t>
      </w:r>
      <w:r>
        <w:rPr>
          <w:rFonts w:hint="eastAsia" w:eastAsia="方正仿宋_GBK"/>
          <w:color w:val="000000"/>
          <w:spacing w:val="-2"/>
          <w:kern w:val="0"/>
          <w:sz w:val="24"/>
        </w:rPr>
        <w:t>、因发包人原因造成工期延误的，延误期间发生的材料价格上涨差额由发包人承担；因承包人原因造成工期延误的，延误期间发生的材料价格上涨差额由承包人承担。</w:t>
      </w:r>
    </w:p>
    <w:p>
      <w:pPr>
        <w:snapToGrid w:val="0"/>
        <w:spacing w:line="460" w:lineRule="exact"/>
        <w:ind w:right="-150" w:rightChars="-73"/>
        <w:rPr>
          <w:rFonts w:eastAsia="方正仿宋_GBK"/>
          <w:color w:val="000000"/>
          <w:spacing w:val="-2"/>
          <w:kern w:val="0"/>
          <w:sz w:val="24"/>
        </w:rPr>
      </w:pPr>
      <w:r>
        <w:rPr>
          <w:rFonts w:eastAsia="方正仿宋_GBK"/>
          <w:color w:val="000000"/>
          <w:spacing w:val="-2"/>
          <w:kern w:val="0"/>
          <w:sz w:val="24"/>
        </w:rPr>
        <w:t xml:space="preserve">    </w:t>
      </w:r>
      <w:r>
        <w:rPr>
          <w:rFonts w:hint="eastAsia" w:eastAsia="方正仿宋_GBK"/>
          <w:b/>
          <w:color w:val="000000"/>
          <w:spacing w:val="-2"/>
          <w:kern w:val="0"/>
          <w:sz w:val="24"/>
        </w:rPr>
        <w:t>四</w:t>
      </w:r>
      <w:r>
        <w:rPr>
          <w:rFonts w:hint="eastAsia" w:eastAsia="方正仿宋_GBK"/>
          <w:color w:val="000000"/>
          <w:spacing w:val="-2"/>
          <w:kern w:val="0"/>
          <w:sz w:val="24"/>
        </w:rPr>
        <w:t>、各市工程造价管理部门应加强主要建筑材料价格的动态管理，在价格波动较大时及时发布预警信息并增加价格信息发布频次和范围，有条件的市可通过</w:t>
      </w:r>
      <w:r>
        <w:rPr>
          <w:rFonts w:eastAsia="方正仿宋_GBK"/>
          <w:color w:val="000000"/>
          <w:spacing w:val="-2"/>
          <w:kern w:val="0"/>
          <w:sz w:val="24"/>
        </w:rPr>
        <w:t>“</w:t>
      </w:r>
      <w:r>
        <w:rPr>
          <w:rFonts w:hint="eastAsia" w:eastAsia="方正仿宋_GBK"/>
          <w:color w:val="000000"/>
          <w:spacing w:val="-2"/>
          <w:kern w:val="0"/>
          <w:sz w:val="24"/>
        </w:rPr>
        <w:t>工程造价信息网</w:t>
      </w:r>
      <w:r>
        <w:rPr>
          <w:rFonts w:eastAsia="方正仿宋_GBK"/>
          <w:color w:val="000000"/>
          <w:spacing w:val="-2"/>
          <w:kern w:val="0"/>
          <w:sz w:val="24"/>
        </w:rPr>
        <w:t>”</w:t>
      </w:r>
      <w:r>
        <w:rPr>
          <w:rFonts w:hint="eastAsia" w:eastAsia="方正仿宋_GBK"/>
          <w:color w:val="000000"/>
          <w:spacing w:val="-2"/>
          <w:kern w:val="0"/>
          <w:sz w:val="24"/>
        </w:rPr>
        <w:t>动态发布价格信息，正确引导发承包双方合理确定和有效控制工程造价。</w:t>
      </w:r>
    </w:p>
    <w:p>
      <w:pPr>
        <w:snapToGrid w:val="0"/>
        <w:spacing w:line="460" w:lineRule="exact"/>
        <w:ind w:right="-150" w:rightChars="-73"/>
        <w:rPr>
          <w:rFonts w:eastAsia="方正仿宋_GBK"/>
          <w:color w:val="000000"/>
          <w:spacing w:val="-2"/>
          <w:kern w:val="0"/>
          <w:sz w:val="24"/>
        </w:rPr>
      </w:pPr>
      <w:r>
        <w:rPr>
          <w:rFonts w:eastAsia="方正仿宋_GBK"/>
          <w:color w:val="000000"/>
          <w:spacing w:val="-2"/>
          <w:kern w:val="0"/>
          <w:sz w:val="24"/>
        </w:rPr>
        <w:t xml:space="preserve">  </w:t>
      </w:r>
      <w:r>
        <w:rPr>
          <w:rFonts w:eastAsia="方正仿宋_GBK"/>
          <w:b/>
          <w:color w:val="000000"/>
          <w:spacing w:val="-2"/>
          <w:kern w:val="0"/>
          <w:sz w:val="24"/>
        </w:rPr>
        <w:t xml:space="preserve">  </w:t>
      </w:r>
      <w:r>
        <w:rPr>
          <w:rFonts w:hint="eastAsia" w:eastAsia="方正仿宋_GBK"/>
          <w:b/>
          <w:color w:val="000000"/>
          <w:spacing w:val="-2"/>
          <w:kern w:val="0"/>
          <w:sz w:val="24"/>
        </w:rPr>
        <w:t>五</w:t>
      </w:r>
      <w:r>
        <w:rPr>
          <w:rFonts w:hint="eastAsia" w:eastAsia="方正仿宋_GBK"/>
          <w:color w:val="000000"/>
          <w:spacing w:val="-2"/>
          <w:kern w:val="0"/>
          <w:sz w:val="24"/>
        </w:rPr>
        <w:t>、各级建设行政主管部门应做好对招标文件和施工合同中材料价格风险控制条款的审查工作。当招标文件中无相关条款时，应要求招标方补充材料价格风险控制条款。当施工合同中无相关条款时，应要求发承包双方签订补充协议，增加材料价格风险控制条款，否则不予以合同备案。</w:t>
      </w:r>
    </w:p>
    <w:p>
      <w:pPr>
        <w:snapToGrid w:val="0"/>
        <w:spacing w:line="460" w:lineRule="exact"/>
        <w:ind w:right="-150" w:rightChars="-73" w:firstLine="600"/>
        <w:rPr>
          <w:rFonts w:eastAsia="方正仿宋_GBK"/>
          <w:color w:val="000000"/>
          <w:spacing w:val="-2"/>
          <w:kern w:val="0"/>
          <w:sz w:val="24"/>
        </w:rPr>
      </w:pPr>
      <w:r>
        <w:rPr>
          <w:rFonts w:hint="eastAsia" w:eastAsia="方正仿宋_GBK"/>
          <w:b/>
          <w:color w:val="000000"/>
          <w:spacing w:val="-2"/>
          <w:kern w:val="0"/>
          <w:sz w:val="24"/>
        </w:rPr>
        <w:t>六</w:t>
      </w:r>
      <w:r>
        <w:rPr>
          <w:rFonts w:hint="eastAsia" w:eastAsia="方正仿宋_GBK"/>
          <w:color w:val="000000"/>
          <w:spacing w:val="-2"/>
          <w:kern w:val="0"/>
          <w:sz w:val="24"/>
        </w:rPr>
        <w:t>、依法不招标的建设工程，可参照本意见执行。</w:t>
      </w:r>
    </w:p>
    <w:p>
      <w:pPr>
        <w:snapToGrid w:val="0"/>
        <w:spacing w:line="460" w:lineRule="exact"/>
        <w:ind w:right="-150" w:rightChars="-73" w:firstLine="600"/>
        <w:rPr>
          <w:rFonts w:eastAsia="方正仿宋_GBK"/>
          <w:color w:val="000000"/>
          <w:spacing w:val="-2"/>
          <w:kern w:val="0"/>
          <w:sz w:val="24"/>
        </w:rPr>
      </w:pPr>
      <w:r>
        <w:rPr>
          <w:rFonts w:hint="eastAsia" w:eastAsia="方正仿宋_GBK"/>
          <w:b/>
          <w:color w:val="000000"/>
          <w:spacing w:val="-2"/>
          <w:kern w:val="0"/>
          <w:sz w:val="24"/>
        </w:rPr>
        <w:t>七</w:t>
      </w:r>
      <w:r>
        <w:rPr>
          <w:rFonts w:hint="eastAsia" w:eastAsia="方正仿宋_GBK"/>
          <w:color w:val="000000"/>
          <w:spacing w:val="-2"/>
          <w:kern w:val="0"/>
          <w:sz w:val="24"/>
        </w:rPr>
        <w:t>、各级建设工程造价管理机构在进行计价解释与争议调解时，应将本意见作为处理材料价格调整问题的依据。</w:t>
      </w:r>
    </w:p>
    <w:p>
      <w:pPr>
        <w:snapToGrid w:val="0"/>
        <w:spacing w:line="460" w:lineRule="exact"/>
        <w:ind w:right="-150" w:rightChars="-73" w:firstLine="600"/>
        <w:rPr>
          <w:rFonts w:eastAsia="方正仿宋_GBK"/>
          <w:color w:val="000000"/>
          <w:spacing w:val="-2"/>
          <w:kern w:val="0"/>
          <w:sz w:val="24"/>
        </w:rPr>
      </w:pPr>
      <w:r>
        <w:rPr>
          <w:rFonts w:hint="eastAsia" w:eastAsia="方正仿宋_GBK"/>
          <w:b/>
          <w:color w:val="000000"/>
          <w:spacing w:val="-2"/>
          <w:kern w:val="0"/>
          <w:sz w:val="24"/>
        </w:rPr>
        <w:t>八</w:t>
      </w:r>
      <w:r>
        <w:rPr>
          <w:rFonts w:hint="eastAsia" w:eastAsia="方正仿宋_GBK"/>
          <w:color w:val="000000"/>
          <w:spacing w:val="-2"/>
          <w:kern w:val="0"/>
          <w:sz w:val="24"/>
        </w:rPr>
        <w:t>、本意见自</w:t>
      </w:r>
      <w:r>
        <w:rPr>
          <w:rFonts w:eastAsia="方正仿宋_GBK"/>
          <w:color w:val="000000"/>
          <w:spacing w:val="-2"/>
          <w:kern w:val="0"/>
          <w:sz w:val="24"/>
        </w:rPr>
        <w:t>2008</w:t>
      </w:r>
      <w:r>
        <w:rPr>
          <w:rFonts w:hint="eastAsia" w:eastAsia="方正仿宋_GBK"/>
          <w:color w:val="000000"/>
          <w:spacing w:val="-2"/>
          <w:kern w:val="0"/>
          <w:sz w:val="24"/>
        </w:rPr>
        <w:t>年</w:t>
      </w:r>
      <w:r>
        <w:rPr>
          <w:rFonts w:eastAsia="方正仿宋_GBK"/>
          <w:color w:val="000000"/>
          <w:spacing w:val="-2"/>
          <w:kern w:val="0"/>
          <w:sz w:val="24"/>
        </w:rPr>
        <w:t>4</w:t>
      </w:r>
      <w:r>
        <w:rPr>
          <w:rFonts w:hint="eastAsia" w:eastAsia="方正仿宋_GBK"/>
          <w:color w:val="000000"/>
          <w:spacing w:val="-2"/>
          <w:kern w:val="0"/>
          <w:sz w:val="24"/>
        </w:rPr>
        <w:t>月</w:t>
      </w:r>
      <w:r>
        <w:rPr>
          <w:rFonts w:eastAsia="方正仿宋_GBK"/>
          <w:color w:val="000000"/>
          <w:spacing w:val="-2"/>
          <w:kern w:val="0"/>
          <w:sz w:val="24"/>
        </w:rPr>
        <w:t>1</w:t>
      </w:r>
      <w:r>
        <w:rPr>
          <w:rFonts w:hint="eastAsia" w:eastAsia="方正仿宋_GBK"/>
          <w:color w:val="000000"/>
          <w:spacing w:val="-2"/>
          <w:kern w:val="0"/>
          <w:sz w:val="24"/>
        </w:rPr>
        <w:t>日起施行。已完成竣工结算的工程，不再执行本意见。原有关文件中规定与本意见不一致的，按本意见执行。</w:t>
      </w:r>
    </w:p>
    <w:p>
      <w:pPr>
        <w:snapToGrid w:val="0"/>
        <w:spacing w:line="460" w:lineRule="exact"/>
        <w:ind w:right="782" w:rightChars="380"/>
        <w:jc w:val="right"/>
        <w:rPr>
          <w:rFonts w:eastAsia="方正仿宋_GBK"/>
          <w:color w:val="000000"/>
          <w:spacing w:val="-2"/>
          <w:kern w:val="0"/>
          <w:sz w:val="24"/>
        </w:rPr>
      </w:pPr>
      <w:r>
        <w:rPr>
          <w:rFonts w:eastAsia="方正仿宋_GBK"/>
          <w:color w:val="000000"/>
          <w:spacing w:val="-2"/>
          <w:kern w:val="0"/>
          <w:sz w:val="24"/>
        </w:rPr>
        <w:t xml:space="preserve">                     </w:t>
      </w:r>
      <w:r>
        <w:rPr>
          <w:rFonts w:hint="eastAsia" w:eastAsia="方正仿宋_GBK"/>
          <w:color w:val="000000"/>
          <w:spacing w:val="-2"/>
          <w:kern w:val="0"/>
          <w:sz w:val="24"/>
        </w:rPr>
        <w:t>江苏省建设厅</w:t>
      </w:r>
      <w:r>
        <w:rPr>
          <w:rFonts w:eastAsia="方正仿宋_GBK"/>
          <w:color w:val="000000"/>
          <w:spacing w:val="-2"/>
          <w:kern w:val="0"/>
          <w:sz w:val="24"/>
        </w:rPr>
        <w:t xml:space="preserve">      </w:t>
      </w:r>
    </w:p>
    <w:p>
      <w:pPr>
        <w:spacing w:line="440" w:lineRule="exact"/>
        <w:ind w:right="472"/>
        <w:jc w:val="right"/>
        <w:rPr>
          <w:rFonts w:eastAsia="方正仿宋_GBK"/>
          <w:color w:val="000000"/>
          <w:spacing w:val="-2"/>
          <w:kern w:val="0"/>
          <w:sz w:val="24"/>
        </w:rPr>
      </w:pPr>
      <w:r>
        <w:rPr>
          <w:rFonts w:hint="eastAsia" w:eastAsia="方正仿宋_GBK"/>
          <w:color w:val="000000"/>
          <w:spacing w:val="-2"/>
          <w:kern w:val="0"/>
          <w:sz w:val="24"/>
        </w:rPr>
        <w:t>二</w:t>
      </w:r>
      <w:r>
        <w:rPr>
          <w:rFonts w:hint="eastAsia" w:eastAsia="方正仿宋_GBK"/>
          <w:bCs/>
          <w:snapToGrid w:val="0"/>
          <w:color w:val="000000"/>
          <w:spacing w:val="-2"/>
          <w:kern w:val="0"/>
          <w:sz w:val="24"/>
        </w:rPr>
        <w:t>○○</w:t>
      </w:r>
      <w:r>
        <w:rPr>
          <w:rFonts w:hint="eastAsia" w:eastAsia="方正仿宋_GBK"/>
          <w:color w:val="000000"/>
          <w:spacing w:val="-2"/>
          <w:kern w:val="0"/>
          <w:sz w:val="24"/>
        </w:rPr>
        <w:t>八年三月五日</w:t>
      </w:r>
      <w:r>
        <w:rPr>
          <w:rFonts w:eastAsia="方正仿宋_GBK"/>
          <w:color w:val="000000"/>
          <w:spacing w:val="-2"/>
          <w:kern w:val="0"/>
          <w:sz w:val="24"/>
        </w:rPr>
        <w:t xml:space="preserve">    </w:t>
      </w:r>
    </w:p>
    <w:p/>
    <w:p/>
    <w:p/>
    <w:p/>
    <w:p/>
    <w:p/>
    <w:p/>
    <w:p/>
    <w:p/>
    <w:p/>
    <w:p/>
    <w:p/>
    <w:p/>
    <w:p/>
    <w:p/>
    <w:p/>
    <w:p/>
    <w:p/>
    <w:p/>
    <w:p/>
    <w:p/>
    <w:p/>
    <w:p/>
    <w:p/>
    <w:p/>
    <w:p/>
    <w:p/>
    <w:p/>
    <w:p/>
    <w:p/>
    <w:p/>
    <w:p/>
    <w:p/>
    <w:p/>
    <w:p/>
    <w:p/>
    <w:p/>
    <w:p/>
    <w:p/>
    <w:p/>
    <w:p/>
    <w:p>
      <w:pPr>
        <w:pStyle w:val="3"/>
        <w:spacing w:before="590" w:beforeLines="100" w:after="590" w:afterLines="100" w:line="240" w:lineRule="auto"/>
        <w:jc w:val="center"/>
        <w:rPr>
          <w:rFonts w:ascii="Times New Roman" w:hAnsi="Times New Roman" w:eastAsia="方正小标宋_GBK"/>
          <w:b w:val="0"/>
          <w:kern w:val="44"/>
          <w:sz w:val="36"/>
          <w:szCs w:val="36"/>
        </w:rPr>
      </w:pPr>
      <w:bookmarkStart w:id="665" w:name="_Toc18315824"/>
      <w:bookmarkStart w:id="666" w:name="_Toc20726687"/>
      <w:r>
        <w:rPr>
          <w:rFonts w:hint="eastAsia" w:ascii="Times New Roman" w:hAnsi="Times New Roman" w:eastAsia="方正小标宋_GBK"/>
          <w:b w:val="0"/>
          <w:kern w:val="44"/>
          <w:sz w:val="36"/>
          <w:szCs w:val="36"/>
        </w:rPr>
        <w:t>省住房和城乡建设厅关于对建设工程人工工资单价实行动态管理的通知</w:t>
      </w:r>
    </w:p>
    <w:p>
      <w:pPr>
        <w:pStyle w:val="3"/>
        <w:spacing w:before="590" w:beforeLines="100" w:after="590" w:afterLines="100" w:line="240" w:lineRule="auto"/>
        <w:jc w:val="center"/>
        <w:rPr>
          <w:rFonts w:hint="eastAsia" w:ascii="Times New Roman" w:hAnsi="Times New Roman" w:eastAsia="方正楷体_GBK"/>
          <w:b w:val="0"/>
          <w:sz w:val="24"/>
          <w:szCs w:val="24"/>
        </w:rPr>
      </w:pPr>
      <w:r>
        <w:rPr>
          <w:rFonts w:hint="eastAsia" w:ascii="Times New Roman" w:hAnsi="Times New Roman" w:eastAsia="方正楷体_GBK"/>
          <w:b w:val="0"/>
          <w:sz w:val="24"/>
          <w:szCs w:val="24"/>
        </w:rPr>
        <w:t>苏建价〔</w:t>
      </w:r>
      <w:r>
        <w:rPr>
          <w:rFonts w:ascii="Times New Roman" w:hAnsi="Times New Roman" w:eastAsia="方正楷体_GBK"/>
          <w:b w:val="0"/>
          <w:sz w:val="24"/>
          <w:szCs w:val="24"/>
        </w:rPr>
        <w:t>2012</w:t>
      </w:r>
      <w:r>
        <w:rPr>
          <w:rFonts w:hint="eastAsia" w:ascii="Times New Roman" w:hAnsi="Times New Roman" w:eastAsia="方正楷体_GBK"/>
          <w:b w:val="0"/>
          <w:sz w:val="24"/>
          <w:szCs w:val="24"/>
        </w:rPr>
        <w:t>〕</w:t>
      </w:r>
      <w:r>
        <w:rPr>
          <w:rFonts w:ascii="Times New Roman" w:hAnsi="Times New Roman" w:eastAsia="方正楷体_GBK"/>
          <w:b w:val="0"/>
          <w:sz w:val="24"/>
          <w:szCs w:val="24"/>
        </w:rPr>
        <w:t>633</w:t>
      </w:r>
      <w:r>
        <w:rPr>
          <w:rFonts w:hint="eastAsia" w:ascii="Times New Roman" w:hAnsi="Times New Roman" w:eastAsia="方正楷体_GBK"/>
          <w:b w:val="0"/>
          <w:sz w:val="24"/>
          <w:szCs w:val="24"/>
        </w:rPr>
        <w:t>号</w:t>
      </w:r>
      <w:bookmarkEnd w:id="665"/>
      <w:bookmarkEnd w:id="666"/>
    </w:p>
    <w:p>
      <w:pPr>
        <w:spacing w:line="460" w:lineRule="exact"/>
        <w:rPr>
          <w:rFonts w:eastAsia="方正仿宋_GBK"/>
          <w:color w:val="000000"/>
          <w:spacing w:val="-2"/>
          <w:kern w:val="0"/>
          <w:sz w:val="24"/>
        </w:rPr>
      </w:pPr>
      <w:r>
        <w:rPr>
          <w:rFonts w:hint="eastAsia" w:eastAsia="方正仿宋_GBK"/>
          <w:color w:val="000000"/>
          <w:spacing w:val="-2"/>
          <w:kern w:val="0"/>
          <w:sz w:val="24"/>
        </w:rPr>
        <w:t>各省辖市住建局（委）：</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为切实保障建设工程施工人员的合法权益，有效控制和合理确定建设工程造价</w:t>
      </w:r>
      <w:r>
        <w:rPr>
          <w:rFonts w:eastAsia="方正仿宋_GBK"/>
          <w:color w:val="000000"/>
          <w:spacing w:val="-2"/>
          <w:kern w:val="0"/>
          <w:sz w:val="24"/>
        </w:rPr>
        <w:t>,</w:t>
      </w:r>
      <w:r>
        <w:rPr>
          <w:rFonts w:hint="eastAsia" w:eastAsia="方正仿宋_GBK"/>
          <w:color w:val="000000"/>
          <w:spacing w:val="-2"/>
          <w:kern w:val="0"/>
          <w:sz w:val="24"/>
        </w:rPr>
        <w:t>促进我省建筑业健康稳定发展，根据《建设工程工程量清单计价规范》的相关规定及我省建筑市场实际用工情况，经征求有关部门意见，决定对我省建设工程人工工资单价实行动态管理。现将有关事项通知如下：</w:t>
      </w:r>
      <w:r>
        <w:rPr>
          <w:rFonts w:eastAsia="方正仿宋_GBK"/>
          <w:color w:val="000000"/>
          <w:spacing w:val="-2"/>
          <w:kern w:val="0"/>
          <w:sz w:val="24"/>
        </w:rPr>
        <w:t xml:space="preserve"> </w:t>
      </w:r>
    </w:p>
    <w:p>
      <w:pPr>
        <w:tabs>
          <w:tab w:val="left" w:pos="0"/>
        </w:tabs>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一、我省建设工程人工工资单价发布分为预算人工工资单价与人工工资指导价两种形式。</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预算人工工资单价作为建设工程费用定额测算的依据，根据建筑市场用工成本变化适时调整，由省住房和城乡建设厅征求相关部门意见后作为政策性调整文件发布。</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人工工资指导价由各省辖市造价管理机构根据当地市场实际情况测算，报省建设工程造价管理总站审核，由省住房和城乡建设厅统一发布各市人工工资指导价。一般每年发布两次，执行时间分别是</w:t>
      </w:r>
      <w:r>
        <w:rPr>
          <w:rFonts w:eastAsia="方正仿宋_GBK"/>
          <w:color w:val="000000"/>
          <w:spacing w:val="-2"/>
          <w:kern w:val="0"/>
          <w:sz w:val="24"/>
        </w:rPr>
        <w:t>3</w:t>
      </w:r>
      <w:r>
        <w:rPr>
          <w:rFonts w:hint="eastAsia" w:eastAsia="方正仿宋_GBK"/>
          <w:color w:val="000000"/>
          <w:spacing w:val="-2"/>
          <w:kern w:val="0"/>
          <w:sz w:val="24"/>
        </w:rPr>
        <w:t>月</w:t>
      </w:r>
      <w:r>
        <w:rPr>
          <w:rFonts w:eastAsia="方正仿宋_GBK"/>
          <w:color w:val="000000"/>
          <w:spacing w:val="-2"/>
          <w:kern w:val="0"/>
          <w:sz w:val="24"/>
        </w:rPr>
        <w:t>1</w:t>
      </w:r>
      <w:r>
        <w:rPr>
          <w:rFonts w:hint="eastAsia" w:eastAsia="方正仿宋_GBK"/>
          <w:color w:val="000000"/>
          <w:spacing w:val="-2"/>
          <w:kern w:val="0"/>
          <w:sz w:val="24"/>
        </w:rPr>
        <w:t>日、</w:t>
      </w:r>
      <w:r>
        <w:rPr>
          <w:rFonts w:eastAsia="方正仿宋_GBK"/>
          <w:color w:val="000000"/>
          <w:spacing w:val="-2"/>
          <w:kern w:val="0"/>
          <w:sz w:val="24"/>
        </w:rPr>
        <w:t>9</w:t>
      </w:r>
      <w:r>
        <w:rPr>
          <w:rFonts w:hint="eastAsia" w:eastAsia="方正仿宋_GBK"/>
          <w:color w:val="000000"/>
          <w:spacing w:val="-2"/>
          <w:kern w:val="0"/>
          <w:sz w:val="24"/>
        </w:rPr>
        <w:t>月</w:t>
      </w:r>
      <w:r>
        <w:rPr>
          <w:rFonts w:eastAsia="方正仿宋_GBK"/>
          <w:color w:val="000000"/>
          <w:spacing w:val="-2"/>
          <w:kern w:val="0"/>
          <w:sz w:val="24"/>
        </w:rPr>
        <w:t>1</w:t>
      </w:r>
      <w:r>
        <w:rPr>
          <w:rFonts w:hint="eastAsia" w:eastAsia="方正仿宋_GBK"/>
          <w:color w:val="000000"/>
          <w:spacing w:val="-2"/>
          <w:kern w:val="0"/>
          <w:sz w:val="24"/>
        </w:rPr>
        <w:t>日。当建筑市场用工发生大幅波动时，应适时发布人工工资指导价。</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二、人工工资指导价是建设工程编制概预算、招标控制价（最高限价）的依据，是施工企业投标报价的参考。</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建设单位应在招标文件中考虑人工工资指导价调整因素，原则上不得限制人工费用的合理调整。发承包双方应在施工合同中明确约定人工费调整方法。施工合同没有约定时，人工单价按照施工期间对应的人工工资指导价进行调整，并扣除原投标报价中人工单价相对于基准日人工工资指导价的让利部分。</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三、人工工资指导价作为动态反映市场用工成本变化的价格要素，计入定额基价，并计取相关费用。</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四、人工工资指导价主要依据建筑市场用工成本变化情况进行调整，同时应综合考虑当地居民消费价格指数、最低工资标准以及企业工资指导线等因素。</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五、人工工资指导价发布应按照现行定额人工分类。各市工程造价管理机构应与本地区有代表性的施工企业和建筑劳务公司合作，建立市场劳务用工成本测报机制。要求各市每个工种固定测报点不得少于</w:t>
      </w:r>
      <w:r>
        <w:rPr>
          <w:rFonts w:eastAsia="方正仿宋_GBK"/>
          <w:color w:val="000000"/>
          <w:spacing w:val="-2"/>
          <w:kern w:val="0"/>
          <w:sz w:val="24"/>
        </w:rPr>
        <w:t>5</w:t>
      </w:r>
      <w:r>
        <w:rPr>
          <w:rFonts w:hint="eastAsia" w:eastAsia="方正仿宋_GBK"/>
          <w:color w:val="000000"/>
          <w:spacing w:val="-2"/>
          <w:kern w:val="0"/>
          <w:sz w:val="24"/>
        </w:rPr>
        <w:t>个。具体测报办法另行发文。</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六、测算人工工资指导价应统一按职工每日工作</w:t>
      </w:r>
      <w:r>
        <w:rPr>
          <w:rFonts w:eastAsia="方正仿宋_GBK"/>
          <w:color w:val="000000"/>
          <w:spacing w:val="-2"/>
          <w:kern w:val="0"/>
          <w:sz w:val="24"/>
        </w:rPr>
        <w:t>8</w:t>
      </w:r>
      <w:r>
        <w:rPr>
          <w:rFonts w:hint="eastAsia" w:eastAsia="方正仿宋_GBK"/>
          <w:color w:val="000000"/>
          <w:spacing w:val="-2"/>
          <w:kern w:val="0"/>
          <w:sz w:val="24"/>
        </w:rPr>
        <w:t>小时计算，人工工资指导价是指直接支付给从事建设工程施工的生产职工的工资，其主要构成如下：</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1</w:t>
      </w:r>
      <w:r>
        <w:rPr>
          <w:rFonts w:hint="eastAsia" w:eastAsia="方正仿宋_GBK"/>
          <w:color w:val="000000"/>
          <w:spacing w:val="-2"/>
          <w:kern w:val="0"/>
          <w:sz w:val="24"/>
        </w:rPr>
        <w:t>．计时工资：按计时工资标准和工作时间支付给个人的劳动报酬。</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2</w:t>
      </w:r>
      <w:r>
        <w:rPr>
          <w:rFonts w:hint="eastAsia" w:eastAsia="方正仿宋_GBK"/>
          <w:color w:val="000000"/>
          <w:spacing w:val="-2"/>
          <w:kern w:val="0"/>
          <w:sz w:val="24"/>
        </w:rPr>
        <w:t>．计件工资：对已做工作按计件单价支付的劳动报酬。</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3</w:t>
      </w:r>
      <w:r>
        <w:rPr>
          <w:rFonts w:hint="eastAsia" w:eastAsia="方正仿宋_GBK"/>
          <w:color w:val="000000"/>
          <w:spacing w:val="-2"/>
          <w:kern w:val="0"/>
          <w:sz w:val="24"/>
        </w:rPr>
        <w:t>．奖金：支付给职工的超额劳动报酬和增收节支的劳动报酬。</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4</w:t>
      </w:r>
      <w:r>
        <w:rPr>
          <w:rFonts w:hint="eastAsia" w:eastAsia="方正仿宋_GBK"/>
          <w:color w:val="000000"/>
          <w:spacing w:val="-2"/>
          <w:kern w:val="0"/>
          <w:sz w:val="24"/>
        </w:rPr>
        <w:t>．津贴和补贴：为了补偿职工特殊或额外的劳动消耗和因其他特殊原因支付给职工的津贴，以及为了保证职工工资水平不受物价影响支付给职工的物价补贴。</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5</w:t>
      </w:r>
      <w:r>
        <w:rPr>
          <w:rFonts w:hint="eastAsia" w:eastAsia="方正仿宋_GBK"/>
          <w:color w:val="000000"/>
          <w:spacing w:val="-2"/>
          <w:kern w:val="0"/>
          <w:sz w:val="24"/>
        </w:rPr>
        <w:t>．特殊情况下支付的工资：根据国家法律、法规和政策规定，因病、工伤、产假、计划生育假、婚丧假、事假、探亲假、定期休假、停工学习、执行国家或社会义务等原因按计时工资标准或计件工资标准的一定比例支付的工资。</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上述构成中不包含社会保障费和公积金中企业应为职工缴纳部分。</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七、本通知从</w:t>
      </w:r>
      <w:r>
        <w:rPr>
          <w:rFonts w:eastAsia="方正仿宋_GBK"/>
          <w:color w:val="000000"/>
          <w:spacing w:val="-2"/>
          <w:kern w:val="0"/>
          <w:sz w:val="24"/>
        </w:rPr>
        <w:t>2012</w:t>
      </w:r>
      <w:r>
        <w:rPr>
          <w:rFonts w:hint="eastAsia" w:eastAsia="方正仿宋_GBK"/>
          <w:color w:val="000000"/>
          <w:spacing w:val="-2"/>
          <w:kern w:val="0"/>
          <w:sz w:val="24"/>
        </w:rPr>
        <w:t>年</w:t>
      </w:r>
      <w:r>
        <w:rPr>
          <w:rFonts w:eastAsia="方正仿宋_GBK"/>
          <w:color w:val="000000"/>
          <w:spacing w:val="-2"/>
          <w:kern w:val="0"/>
          <w:sz w:val="24"/>
        </w:rPr>
        <w:t>12</w:t>
      </w:r>
      <w:r>
        <w:rPr>
          <w:rFonts w:hint="eastAsia" w:eastAsia="方正仿宋_GBK"/>
          <w:color w:val="000000"/>
          <w:spacing w:val="-2"/>
          <w:kern w:val="0"/>
          <w:sz w:val="24"/>
        </w:rPr>
        <w:t>月</w:t>
      </w:r>
      <w:r>
        <w:rPr>
          <w:rFonts w:eastAsia="方正仿宋_GBK"/>
          <w:color w:val="000000"/>
          <w:spacing w:val="-2"/>
          <w:kern w:val="0"/>
          <w:sz w:val="24"/>
        </w:rPr>
        <w:t>1</w:t>
      </w:r>
      <w:r>
        <w:rPr>
          <w:rFonts w:hint="eastAsia" w:eastAsia="方正仿宋_GBK"/>
          <w:color w:val="000000"/>
          <w:spacing w:val="-2"/>
          <w:kern w:val="0"/>
          <w:sz w:val="24"/>
        </w:rPr>
        <w:t>日起实施。各市应认真拟定措施，尽快实施到位，安排专人负责人工工资指导价的测报工作。</w:t>
      </w:r>
    </w:p>
    <w:p>
      <w:pPr>
        <w:spacing w:line="460" w:lineRule="exact"/>
        <w:ind w:firstLine="464" w:firstLineChars="200"/>
        <w:jc w:val="center"/>
        <w:rPr>
          <w:rFonts w:eastAsia="方正仿宋_GBK"/>
          <w:color w:val="000000"/>
          <w:spacing w:val="-2"/>
          <w:kern w:val="0"/>
          <w:sz w:val="24"/>
        </w:rPr>
      </w:pPr>
      <w:r>
        <w:rPr>
          <w:rFonts w:eastAsia="方正仿宋_GBK"/>
          <w:color w:val="000000"/>
          <w:spacing w:val="-2"/>
          <w:kern w:val="0"/>
          <w:sz w:val="24"/>
        </w:rPr>
        <w:t xml:space="preserve">                         </w:t>
      </w:r>
    </w:p>
    <w:p>
      <w:pPr>
        <w:spacing w:line="460" w:lineRule="exact"/>
        <w:ind w:right="391" w:rightChars="190"/>
        <w:jc w:val="right"/>
        <w:rPr>
          <w:rFonts w:eastAsia="方正仿宋_GBK"/>
          <w:color w:val="000000"/>
          <w:spacing w:val="-2"/>
          <w:kern w:val="0"/>
          <w:sz w:val="24"/>
        </w:rPr>
      </w:pPr>
      <w:r>
        <w:rPr>
          <w:rFonts w:hint="eastAsia" w:eastAsia="方正仿宋_GBK"/>
          <w:color w:val="000000"/>
          <w:spacing w:val="-2"/>
          <w:kern w:val="0"/>
          <w:sz w:val="24"/>
        </w:rPr>
        <w:t>江苏省住房和城乡建设厅</w:t>
      </w:r>
      <w:r>
        <w:rPr>
          <w:rFonts w:eastAsia="方正仿宋_GBK"/>
          <w:color w:val="000000"/>
          <w:spacing w:val="-2"/>
          <w:kern w:val="0"/>
          <w:sz w:val="24"/>
        </w:rPr>
        <w:t xml:space="preserve">    </w:t>
      </w:r>
    </w:p>
    <w:p>
      <w:pPr>
        <w:spacing w:line="460" w:lineRule="exact"/>
        <w:ind w:right="723" w:rightChars="351" w:firstLine="464" w:firstLineChars="200"/>
        <w:jc w:val="right"/>
        <w:rPr>
          <w:rFonts w:eastAsia="方正仿宋_GBK"/>
          <w:color w:val="000000"/>
          <w:spacing w:val="-2"/>
          <w:kern w:val="0"/>
          <w:sz w:val="24"/>
        </w:rPr>
      </w:pPr>
      <w:r>
        <w:rPr>
          <w:rFonts w:eastAsia="方正仿宋_GBK"/>
          <w:color w:val="000000"/>
          <w:spacing w:val="-2"/>
          <w:kern w:val="0"/>
          <w:sz w:val="24"/>
        </w:rPr>
        <w:t xml:space="preserve">                                  2012</w:t>
      </w:r>
      <w:r>
        <w:rPr>
          <w:rFonts w:hint="eastAsia" w:eastAsia="方正仿宋_GBK"/>
          <w:color w:val="000000"/>
          <w:spacing w:val="-2"/>
          <w:kern w:val="0"/>
          <w:sz w:val="24"/>
        </w:rPr>
        <w:t>年</w:t>
      </w:r>
      <w:r>
        <w:rPr>
          <w:rFonts w:eastAsia="方正仿宋_GBK"/>
          <w:color w:val="000000"/>
          <w:spacing w:val="-2"/>
          <w:kern w:val="0"/>
          <w:sz w:val="24"/>
        </w:rPr>
        <w:t>11</w:t>
      </w:r>
      <w:r>
        <w:rPr>
          <w:rFonts w:hint="eastAsia" w:eastAsia="方正仿宋_GBK"/>
          <w:color w:val="000000"/>
          <w:spacing w:val="-2"/>
          <w:kern w:val="0"/>
          <w:sz w:val="24"/>
        </w:rPr>
        <w:t>月</w:t>
      </w:r>
      <w:r>
        <w:rPr>
          <w:rFonts w:eastAsia="方正仿宋_GBK"/>
          <w:color w:val="000000"/>
          <w:spacing w:val="-2"/>
          <w:kern w:val="0"/>
          <w:sz w:val="24"/>
        </w:rPr>
        <w:t>12</w:t>
      </w:r>
      <w:r>
        <w:rPr>
          <w:rFonts w:hint="eastAsia" w:eastAsia="方正仿宋_GBK"/>
          <w:color w:val="000000"/>
          <w:spacing w:val="-2"/>
          <w:kern w:val="0"/>
          <w:sz w:val="24"/>
        </w:rPr>
        <w:t>日</w:t>
      </w:r>
      <w:r>
        <w:rPr>
          <w:rFonts w:eastAsia="方正仿宋_GBK"/>
          <w:color w:val="000000"/>
          <w:spacing w:val="-2"/>
          <w:kern w:val="0"/>
          <w:sz w:val="24"/>
        </w:rPr>
        <w:t xml:space="preserve">  </w:t>
      </w:r>
    </w:p>
    <w:p>
      <w:pPr>
        <w:spacing w:line="460" w:lineRule="exact"/>
        <w:rPr>
          <w:rFonts w:eastAsia="方正仿宋_GBK"/>
          <w:color w:val="000000"/>
          <w:spacing w:val="-2"/>
          <w:kern w:val="0"/>
          <w:sz w:val="24"/>
        </w:rPr>
      </w:pPr>
    </w:p>
    <w:p/>
    <w:p/>
    <w:p/>
    <w:p/>
    <w:p/>
    <w:p/>
    <w:p/>
    <w:p/>
    <w:p/>
    <w:p/>
    <w:p/>
    <w:p/>
    <w:p/>
    <w:p/>
    <w:p/>
    <w:p>
      <w:pPr>
        <w:pStyle w:val="2"/>
        <w:spacing w:before="590" w:beforeLines="100" w:after="590" w:afterLines="100" w:line="240" w:lineRule="auto"/>
        <w:jc w:val="center"/>
        <w:rPr>
          <w:rFonts w:ascii="Times New Roman" w:eastAsia="方正小标宋_GBK"/>
          <w:b w:val="0"/>
          <w:sz w:val="36"/>
          <w:szCs w:val="36"/>
        </w:rPr>
      </w:pPr>
      <w:bookmarkStart w:id="667" w:name="_Toc20726688"/>
      <w:bookmarkStart w:id="668" w:name="_Toc18315825"/>
      <w:r>
        <w:rPr>
          <w:rFonts w:hint="eastAsia" w:ascii="Times New Roman" w:eastAsia="方正小标宋_GBK"/>
          <w:b w:val="0"/>
          <w:sz w:val="36"/>
          <w:szCs w:val="36"/>
        </w:rPr>
        <w:t>省住房城乡建设厅关于简化工程造价咨询企业       设立分支机构备案程序等事项的通知</w:t>
      </w:r>
      <w:bookmarkEnd w:id="667"/>
      <w:bookmarkEnd w:id="668"/>
    </w:p>
    <w:p>
      <w:pPr>
        <w:pStyle w:val="3"/>
        <w:spacing w:before="590" w:beforeLines="100" w:after="590" w:afterLines="100" w:line="240" w:lineRule="auto"/>
        <w:jc w:val="center"/>
        <w:rPr>
          <w:rFonts w:hint="eastAsia" w:ascii="Times New Roman" w:hAnsi="Times New Roman" w:eastAsia="方正楷体_GBK"/>
          <w:b w:val="0"/>
          <w:sz w:val="24"/>
          <w:szCs w:val="24"/>
        </w:rPr>
      </w:pPr>
      <w:bookmarkStart w:id="669" w:name="_Toc20726689"/>
      <w:bookmarkStart w:id="670" w:name="_Toc18315826"/>
      <w:r>
        <w:rPr>
          <w:rFonts w:hint="eastAsia" w:ascii="Times New Roman" w:hAnsi="Times New Roman" w:eastAsia="方正楷体_GBK"/>
          <w:b w:val="0"/>
          <w:sz w:val="24"/>
          <w:szCs w:val="24"/>
        </w:rPr>
        <w:t>苏建价〔</w:t>
      </w:r>
      <w:r>
        <w:rPr>
          <w:rFonts w:ascii="Times New Roman" w:hAnsi="Times New Roman" w:eastAsia="方正楷体_GBK"/>
          <w:b w:val="0"/>
          <w:sz w:val="24"/>
          <w:szCs w:val="24"/>
        </w:rPr>
        <w:t>2013</w:t>
      </w:r>
      <w:r>
        <w:rPr>
          <w:rFonts w:hint="eastAsia" w:ascii="Times New Roman" w:hAnsi="Times New Roman" w:eastAsia="方正楷体_GBK"/>
          <w:b w:val="0"/>
          <w:sz w:val="24"/>
          <w:szCs w:val="24"/>
        </w:rPr>
        <w:t>〕</w:t>
      </w:r>
      <w:r>
        <w:rPr>
          <w:rFonts w:ascii="Times New Roman" w:hAnsi="Times New Roman" w:eastAsia="方正楷体_GBK"/>
          <w:b w:val="0"/>
          <w:sz w:val="24"/>
          <w:szCs w:val="24"/>
        </w:rPr>
        <w:t>501</w:t>
      </w:r>
      <w:r>
        <w:rPr>
          <w:rFonts w:hint="eastAsia" w:ascii="Times New Roman" w:hAnsi="Times New Roman" w:eastAsia="方正楷体_GBK"/>
          <w:b w:val="0"/>
          <w:sz w:val="24"/>
          <w:szCs w:val="24"/>
        </w:rPr>
        <w:t>号</w:t>
      </w:r>
      <w:bookmarkEnd w:id="669"/>
      <w:bookmarkEnd w:id="670"/>
    </w:p>
    <w:p>
      <w:pPr>
        <w:spacing w:line="460" w:lineRule="exact"/>
        <w:rPr>
          <w:rFonts w:eastAsia="方正仿宋_GBK"/>
          <w:color w:val="000000"/>
          <w:spacing w:val="-2"/>
          <w:kern w:val="0"/>
          <w:sz w:val="24"/>
        </w:rPr>
      </w:pPr>
      <w:r>
        <w:rPr>
          <w:rFonts w:eastAsia="方正仿宋_GBK"/>
          <w:color w:val="000000"/>
          <w:spacing w:val="-2"/>
          <w:kern w:val="0"/>
          <w:sz w:val="24"/>
        </w:rPr>
        <w:t> </w:t>
      </w:r>
      <w:r>
        <w:rPr>
          <w:rFonts w:hint="eastAsia" w:eastAsia="方正仿宋_GBK"/>
          <w:color w:val="000000"/>
          <w:spacing w:val="-2"/>
          <w:kern w:val="0"/>
          <w:sz w:val="24"/>
        </w:rPr>
        <w:t>各省辖市建设局（委），昆山市、泰兴市、沭阳县建设局：</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为贯彻落实国务院、省政府关于进一步简政放权、推进政府职能转变的要求，提高办事效率，做好服务工作，经研究，决定简化工程造价咨询企业设立分支机构备案程序等事项，具体事项通知如下：</w:t>
      </w:r>
    </w:p>
    <w:p>
      <w:pPr>
        <w:spacing w:line="460" w:lineRule="exact"/>
        <w:ind w:firstLine="464" w:firstLineChars="200"/>
        <w:rPr>
          <w:rFonts w:eastAsia="方正黑体_GBK"/>
          <w:color w:val="000000"/>
          <w:spacing w:val="-2"/>
          <w:kern w:val="0"/>
          <w:sz w:val="24"/>
        </w:rPr>
      </w:pPr>
      <w:r>
        <w:rPr>
          <w:rFonts w:hint="eastAsia" w:eastAsia="方正黑体_GBK"/>
          <w:color w:val="000000"/>
          <w:spacing w:val="-2"/>
          <w:kern w:val="0"/>
          <w:sz w:val="24"/>
        </w:rPr>
        <w:t>一、精简工程造价咨询企业设立分支机构备案程序</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 xml:space="preserve">1. </w:t>
      </w:r>
      <w:r>
        <w:rPr>
          <w:rFonts w:hint="eastAsia" w:eastAsia="方正仿宋_GBK"/>
          <w:color w:val="000000"/>
          <w:spacing w:val="-2"/>
          <w:kern w:val="0"/>
          <w:sz w:val="24"/>
        </w:rPr>
        <w:t>外省造价咨询企业设立的分支机构所在地省辖市（含省管县，以下同）造价管理机构，将外省造价咨询企业（如系统中已有，则不录入）、分支机构基本信息录入管理系统单位库，通知省造价管理总站开通用户登录系统权限。</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 xml:space="preserve">2. </w:t>
      </w:r>
      <w:r>
        <w:rPr>
          <w:rFonts w:hint="eastAsia" w:eastAsia="方正仿宋_GBK"/>
          <w:color w:val="000000"/>
          <w:spacing w:val="-2"/>
          <w:kern w:val="0"/>
          <w:sz w:val="24"/>
        </w:rPr>
        <w:t>外省企业登录系统填报母公司信息，并赋予分公司登陆系统密码，分公司登陆系统填报备案信息，并将备案材料扫描件传输至省辖市造价管理机构初审。</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 xml:space="preserve">3. </w:t>
      </w:r>
      <w:r>
        <w:rPr>
          <w:rFonts w:hint="eastAsia" w:eastAsia="方正仿宋_GBK"/>
          <w:color w:val="000000"/>
          <w:spacing w:val="-2"/>
          <w:kern w:val="0"/>
          <w:sz w:val="24"/>
        </w:rPr>
        <w:t>市造价管理机构初审同意后，网上提交到省造价管理总站复核，复核同意的，省造价管理总站在网上发布备案公告。</w:t>
      </w:r>
    </w:p>
    <w:p>
      <w:pPr>
        <w:spacing w:line="460" w:lineRule="exact"/>
        <w:ind w:firstLine="464" w:firstLineChars="200"/>
        <w:rPr>
          <w:rFonts w:eastAsia="方正黑体_GBK"/>
          <w:color w:val="000000"/>
          <w:spacing w:val="-2"/>
          <w:kern w:val="0"/>
          <w:sz w:val="24"/>
        </w:rPr>
      </w:pPr>
      <w:r>
        <w:rPr>
          <w:rFonts w:hint="eastAsia" w:eastAsia="方正黑体_GBK"/>
          <w:color w:val="000000"/>
          <w:spacing w:val="-2"/>
          <w:kern w:val="0"/>
          <w:sz w:val="24"/>
        </w:rPr>
        <w:t>二、下放工程造价咨询企业在我省承接业务备案权限</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1</w:t>
      </w:r>
      <w:r>
        <w:rPr>
          <w:rFonts w:hint="eastAsia" w:eastAsia="方正仿宋_GBK"/>
          <w:color w:val="000000"/>
          <w:spacing w:val="-2"/>
          <w:kern w:val="0"/>
          <w:sz w:val="24"/>
        </w:rPr>
        <w:t>．企业登录系统填报咨询项目备案信息，并网上提交到项目所在地省辖市造价管理机构（属省外企业首次在江苏承接业务的，还需省辖市造价管理机构将其核验其企业资质，录入管理系统单位库，还需省造价管理总站开通用户登录系统权限）。</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2</w:t>
      </w:r>
      <w:r>
        <w:rPr>
          <w:rFonts w:hint="eastAsia" w:eastAsia="方正仿宋_GBK"/>
          <w:color w:val="000000"/>
          <w:spacing w:val="-2"/>
          <w:kern w:val="0"/>
          <w:sz w:val="24"/>
        </w:rPr>
        <w:t>．省辖市造价管理机构在网上对备案项目信息进行核查，符合要求的在网上公布备案信息。</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以上工作调整自</w:t>
      </w:r>
      <w:r>
        <w:rPr>
          <w:rFonts w:eastAsia="方正仿宋_GBK"/>
          <w:color w:val="000000"/>
          <w:spacing w:val="-2"/>
          <w:kern w:val="0"/>
          <w:sz w:val="24"/>
        </w:rPr>
        <w:t>2013</w:t>
      </w:r>
      <w:r>
        <w:rPr>
          <w:rFonts w:hint="eastAsia" w:eastAsia="方正仿宋_GBK"/>
          <w:color w:val="000000"/>
          <w:spacing w:val="-2"/>
          <w:kern w:val="0"/>
          <w:sz w:val="24"/>
        </w:rPr>
        <w:t>年</w:t>
      </w:r>
      <w:r>
        <w:rPr>
          <w:rFonts w:eastAsia="方正仿宋_GBK"/>
          <w:color w:val="000000"/>
          <w:spacing w:val="-2"/>
          <w:kern w:val="0"/>
          <w:sz w:val="24"/>
        </w:rPr>
        <w:t>10</w:t>
      </w:r>
      <w:r>
        <w:rPr>
          <w:rFonts w:hint="eastAsia" w:eastAsia="方正仿宋_GBK"/>
          <w:color w:val="000000"/>
          <w:spacing w:val="-2"/>
          <w:kern w:val="0"/>
          <w:sz w:val="24"/>
        </w:rPr>
        <w:t>月</w:t>
      </w:r>
      <w:r>
        <w:rPr>
          <w:rFonts w:eastAsia="方正仿宋_GBK"/>
          <w:color w:val="000000"/>
          <w:spacing w:val="-2"/>
          <w:kern w:val="0"/>
          <w:sz w:val="24"/>
        </w:rPr>
        <w:t>15</w:t>
      </w:r>
      <w:r>
        <w:rPr>
          <w:rFonts w:hint="eastAsia" w:eastAsia="方正仿宋_GBK"/>
          <w:color w:val="000000"/>
          <w:spacing w:val="-2"/>
          <w:kern w:val="0"/>
          <w:sz w:val="24"/>
        </w:rPr>
        <w:t>日起执行。</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  </w:t>
      </w:r>
    </w:p>
    <w:p>
      <w:pPr>
        <w:spacing w:line="460" w:lineRule="exact"/>
        <w:ind w:right="430" w:rightChars="209" w:firstLine="464" w:firstLineChars="200"/>
        <w:jc w:val="right"/>
        <w:rPr>
          <w:rFonts w:eastAsia="方正仿宋_GBK"/>
          <w:color w:val="000000"/>
          <w:spacing w:val="-2"/>
          <w:kern w:val="0"/>
          <w:sz w:val="24"/>
        </w:rPr>
      </w:pPr>
      <w:r>
        <w:rPr>
          <w:rFonts w:hint="eastAsia" w:eastAsia="方正仿宋_GBK"/>
          <w:color w:val="000000"/>
          <w:spacing w:val="-2"/>
          <w:kern w:val="0"/>
          <w:sz w:val="24"/>
        </w:rPr>
        <w:t>江苏省住房和城乡建设厅</w:t>
      </w:r>
      <w:r>
        <w:rPr>
          <w:rFonts w:eastAsia="方正仿宋_GBK"/>
          <w:color w:val="000000"/>
          <w:spacing w:val="-2"/>
          <w:kern w:val="0"/>
          <w:sz w:val="24"/>
        </w:rPr>
        <w:t xml:space="preserve">    </w:t>
      </w:r>
    </w:p>
    <w:p>
      <w:pPr>
        <w:ind w:right="472" w:firstLine="5568" w:firstLineChars="2400"/>
      </w:pPr>
      <w:r>
        <w:rPr>
          <w:rFonts w:eastAsia="方正仿宋_GBK"/>
          <w:color w:val="000000"/>
          <w:spacing w:val="-2"/>
          <w:kern w:val="0"/>
          <w:sz w:val="24"/>
        </w:rPr>
        <w:t>2013</w:t>
      </w:r>
      <w:r>
        <w:rPr>
          <w:rFonts w:hint="eastAsia" w:eastAsia="方正仿宋_GBK"/>
          <w:color w:val="000000"/>
          <w:spacing w:val="-2"/>
          <w:kern w:val="0"/>
          <w:sz w:val="24"/>
        </w:rPr>
        <w:t>年</w:t>
      </w:r>
      <w:r>
        <w:rPr>
          <w:rFonts w:eastAsia="方正仿宋_GBK"/>
          <w:color w:val="000000"/>
          <w:spacing w:val="-2"/>
          <w:kern w:val="0"/>
          <w:sz w:val="24"/>
        </w:rPr>
        <w:t>10</w:t>
      </w:r>
      <w:r>
        <w:rPr>
          <w:rFonts w:hint="eastAsia" w:eastAsia="方正仿宋_GBK"/>
          <w:color w:val="000000"/>
          <w:spacing w:val="-2"/>
          <w:kern w:val="0"/>
          <w:sz w:val="24"/>
        </w:rPr>
        <w:t>月</w:t>
      </w:r>
      <w:r>
        <w:rPr>
          <w:rFonts w:eastAsia="方正仿宋_GBK"/>
          <w:color w:val="000000"/>
          <w:spacing w:val="-2"/>
          <w:kern w:val="0"/>
          <w:sz w:val="24"/>
        </w:rPr>
        <w:t>08</w:t>
      </w:r>
      <w:r>
        <w:rPr>
          <w:rFonts w:hint="eastAsia" w:eastAsia="方正仿宋_GBK"/>
          <w:color w:val="000000"/>
          <w:spacing w:val="-2"/>
          <w:kern w:val="0"/>
          <w:sz w:val="24"/>
        </w:rPr>
        <w:t>日</w:t>
      </w:r>
      <w:r>
        <w:rPr>
          <w:rFonts w:eastAsia="方正仿宋_GBK"/>
          <w:color w:val="000000"/>
          <w:spacing w:val="-2"/>
          <w:kern w:val="0"/>
          <w:sz w:val="24"/>
        </w:rPr>
        <w:t xml:space="preserve">       </w:t>
      </w:r>
    </w:p>
    <w:p/>
    <w:p/>
    <w:p>
      <w:pPr>
        <w:pStyle w:val="2"/>
        <w:spacing w:before="590" w:beforeLines="100" w:after="590" w:afterLines="100" w:line="240" w:lineRule="auto"/>
        <w:jc w:val="center"/>
        <w:rPr>
          <w:rFonts w:ascii="Times New Roman" w:eastAsia="方正小标宋_GBK"/>
          <w:b w:val="0"/>
          <w:sz w:val="36"/>
          <w:szCs w:val="36"/>
        </w:rPr>
      </w:pPr>
      <w:bookmarkStart w:id="671" w:name="_Toc18315827"/>
      <w:bookmarkStart w:id="672" w:name="_Toc20726690"/>
      <w:r>
        <w:rPr>
          <w:rFonts w:hint="eastAsia" w:ascii="Times New Roman" w:eastAsia="方正小标宋_GBK"/>
          <w:b w:val="0"/>
          <w:sz w:val="36"/>
          <w:szCs w:val="36"/>
        </w:rPr>
        <w:t>省住房城乡建设厅关于《建设工程工程量清单计价规范》（GB50500</w:t>
      </w:r>
      <w:r>
        <w:rPr>
          <w:rFonts w:ascii="Times New Roman" w:eastAsia="方正小标宋_GBK"/>
          <w:b w:val="0"/>
          <w:sz w:val="36"/>
          <w:szCs w:val="36"/>
        </w:rPr>
        <w:t>—</w:t>
      </w:r>
      <w:r>
        <w:rPr>
          <w:rFonts w:hint="eastAsia" w:ascii="Times New Roman" w:eastAsia="方正小标宋_GBK"/>
          <w:b w:val="0"/>
          <w:sz w:val="36"/>
          <w:szCs w:val="36"/>
        </w:rPr>
        <w:t>2013）及其9本工程量计算规范的       贯彻意见</w:t>
      </w:r>
      <w:bookmarkEnd w:id="671"/>
      <w:bookmarkEnd w:id="672"/>
    </w:p>
    <w:p>
      <w:pPr>
        <w:pStyle w:val="3"/>
        <w:spacing w:before="590" w:beforeLines="100" w:after="590" w:afterLines="100" w:line="240" w:lineRule="auto"/>
        <w:jc w:val="center"/>
        <w:rPr>
          <w:rFonts w:hint="eastAsia" w:ascii="Times New Roman" w:hAnsi="Times New Roman" w:eastAsia="方正楷体_GBK"/>
          <w:b w:val="0"/>
          <w:sz w:val="24"/>
          <w:szCs w:val="24"/>
        </w:rPr>
      </w:pPr>
      <w:bookmarkStart w:id="673" w:name="_Toc18315828"/>
      <w:bookmarkStart w:id="674" w:name="_Toc20726691"/>
      <w:r>
        <w:rPr>
          <w:rFonts w:hint="eastAsia" w:ascii="Times New Roman" w:hAnsi="Times New Roman" w:eastAsia="方正楷体_GBK"/>
          <w:b w:val="0"/>
          <w:sz w:val="24"/>
          <w:szCs w:val="24"/>
        </w:rPr>
        <w:t>苏建价〔</w:t>
      </w:r>
      <w:r>
        <w:rPr>
          <w:rFonts w:ascii="Times New Roman" w:hAnsi="Times New Roman" w:eastAsia="方正楷体_GBK"/>
          <w:b w:val="0"/>
          <w:sz w:val="24"/>
          <w:szCs w:val="24"/>
        </w:rPr>
        <w:t>2014</w:t>
      </w:r>
      <w:r>
        <w:rPr>
          <w:rFonts w:hint="eastAsia" w:ascii="Times New Roman" w:hAnsi="Times New Roman" w:eastAsia="方正楷体_GBK"/>
          <w:b w:val="0"/>
          <w:sz w:val="24"/>
          <w:szCs w:val="24"/>
        </w:rPr>
        <w:t>〕</w:t>
      </w:r>
      <w:r>
        <w:rPr>
          <w:rFonts w:ascii="Times New Roman" w:hAnsi="Times New Roman" w:eastAsia="方正楷体_GBK"/>
          <w:b w:val="0"/>
          <w:sz w:val="24"/>
          <w:szCs w:val="24"/>
        </w:rPr>
        <w:t>448</w:t>
      </w:r>
      <w:r>
        <w:rPr>
          <w:rFonts w:hint="eastAsia" w:ascii="Times New Roman" w:hAnsi="Times New Roman" w:eastAsia="方正楷体_GBK"/>
          <w:b w:val="0"/>
          <w:sz w:val="24"/>
          <w:szCs w:val="24"/>
        </w:rPr>
        <w:t>号</w:t>
      </w:r>
      <w:bookmarkEnd w:id="673"/>
      <w:bookmarkEnd w:id="674"/>
    </w:p>
    <w:p>
      <w:pPr>
        <w:spacing w:line="460" w:lineRule="exact"/>
        <w:jc w:val="left"/>
        <w:rPr>
          <w:rFonts w:eastAsia="方正仿宋_GBK"/>
          <w:color w:val="000000"/>
          <w:spacing w:val="-2"/>
          <w:kern w:val="0"/>
          <w:sz w:val="24"/>
        </w:rPr>
      </w:pPr>
      <w:r>
        <w:rPr>
          <w:rFonts w:eastAsia="方正仿宋_GBK"/>
          <w:color w:val="000000"/>
          <w:spacing w:val="-2"/>
          <w:kern w:val="0"/>
          <w:sz w:val="24"/>
        </w:rPr>
        <w:t> </w:t>
      </w:r>
      <w:r>
        <w:rPr>
          <w:rFonts w:hint="eastAsia" w:eastAsia="方正仿宋_GBK"/>
          <w:color w:val="000000"/>
          <w:spacing w:val="-2"/>
          <w:kern w:val="0"/>
          <w:sz w:val="24"/>
        </w:rPr>
        <w:t>各省辖市建设局（建委），省各有关厅（局），各有关单位：</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为贯彻执行《建设工程工程量清单计价规范》（</w:t>
      </w:r>
      <w:r>
        <w:rPr>
          <w:rFonts w:eastAsia="方正仿宋_GBK"/>
          <w:color w:val="000000"/>
          <w:spacing w:val="-2"/>
          <w:kern w:val="0"/>
          <w:sz w:val="24"/>
        </w:rPr>
        <w:t>GB50500—2013</w:t>
      </w:r>
      <w:r>
        <w:rPr>
          <w:rFonts w:hint="eastAsia" w:eastAsia="方正仿宋_GBK"/>
          <w:color w:val="000000"/>
          <w:spacing w:val="-2"/>
          <w:kern w:val="0"/>
          <w:sz w:val="24"/>
        </w:rPr>
        <w:t>）（以下简称</w:t>
      </w:r>
      <w:r>
        <w:rPr>
          <w:rFonts w:eastAsia="方正仿宋_GBK"/>
          <w:color w:val="000000"/>
          <w:spacing w:val="-2"/>
          <w:kern w:val="0"/>
          <w:sz w:val="24"/>
        </w:rPr>
        <w:t>“2013</w:t>
      </w:r>
      <w:r>
        <w:rPr>
          <w:rFonts w:hint="eastAsia" w:eastAsia="方正仿宋_GBK"/>
          <w:color w:val="000000"/>
          <w:spacing w:val="-2"/>
          <w:kern w:val="0"/>
          <w:sz w:val="24"/>
        </w:rPr>
        <w:t>版计价规范</w:t>
      </w:r>
      <w:r>
        <w:rPr>
          <w:rFonts w:eastAsia="方正仿宋_GBK"/>
          <w:color w:val="000000"/>
          <w:spacing w:val="-2"/>
          <w:kern w:val="0"/>
          <w:sz w:val="24"/>
        </w:rPr>
        <w:t>”</w:t>
      </w:r>
      <w:r>
        <w:rPr>
          <w:rFonts w:hint="eastAsia" w:eastAsia="方正仿宋_GBK"/>
          <w:color w:val="000000"/>
          <w:spacing w:val="-2"/>
          <w:kern w:val="0"/>
          <w:sz w:val="24"/>
        </w:rPr>
        <w:t>）及《房屋建筑与装饰工程工程量计算规范》（</w:t>
      </w:r>
      <w:r>
        <w:rPr>
          <w:rFonts w:eastAsia="方正仿宋_GBK"/>
          <w:color w:val="000000"/>
          <w:spacing w:val="-2"/>
          <w:kern w:val="0"/>
          <w:sz w:val="24"/>
        </w:rPr>
        <w:t>GB50854-2013</w:t>
      </w:r>
      <w:r>
        <w:rPr>
          <w:rFonts w:hint="eastAsia" w:eastAsia="方正仿宋_GBK"/>
          <w:color w:val="000000"/>
          <w:spacing w:val="-2"/>
          <w:kern w:val="0"/>
          <w:sz w:val="24"/>
        </w:rPr>
        <w:t>）等</w:t>
      </w:r>
      <w:r>
        <w:rPr>
          <w:rFonts w:eastAsia="方正仿宋_GBK"/>
          <w:color w:val="000000"/>
          <w:spacing w:val="-2"/>
          <w:kern w:val="0"/>
          <w:sz w:val="24"/>
        </w:rPr>
        <w:t>9</w:t>
      </w:r>
      <w:r>
        <w:rPr>
          <w:rFonts w:hint="eastAsia" w:eastAsia="方正仿宋_GBK"/>
          <w:color w:val="000000"/>
          <w:spacing w:val="-2"/>
          <w:kern w:val="0"/>
          <w:sz w:val="24"/>
        </w:rPr>
        <w:t>本工程量计算规范（以下简称</w:t>
      </w:r>
      <w:r>
        <w:rPr>
          <w:rFonts w:eastAsia="方正仿宋_GBK"/>
          <w:color w:val="000000"/>
          <w:spacing w:val="-2"/>
          <w:kern w:val="0"/>
          <w:sz w:val="24"/>
        </w:rPr>
        <w:t>“2013</w:t>
      </w:r>
      <w:r>
        <w:rPr>
          <w:rFonts w:hint="eastAsia" w:eastAsia="方正仿宋_GBK"/>
          <w:color w:val="000000"/>
          <w:spacing w:val="-2"/>
          <w:kern w:val="0"/>
          <w:sz w:val="24"/>
        </w:rPr>
        <w:t>版计算规范</w:t>
      </w:r>
      <w:r>
        <w:rPr>
          <w:rFonts w:eastAsia="方正仿宋_GBK"/>
          <w:color w:val="000000"/>
          <w:spacing w:val="-2"/>
          <w:kern w:val="0"/>
          <w:sz w:val="24"/>
        </w:rPr>
        <w:t>”</w:t>
      </w:r>
      <w:r>
        <w:rPr>
          <w:rFonts w:hint="eastAsia" w:eastAsia="方正仿宋_GBK"/>
          <w:color w:val="000000"/>
          <w:spacing w:val="-2"/>
          <w:kern w:val="0"/>
          <w:sz w:val="24"/>
        </w:rPr>
        <w:t>），现结合我省实际情况，就执行</w:t>
      </w:r>
      <w:r>
        <w:rPr>
          <w:rFonts w:eastAsia="方正仿宋_GBK"/>
          <w:color w:val="000000"/>
          <w:spacing w:val="-2"/>
          <w:kern w:val="0"/>
          <w:sz w:val="24"/>
        </w:rPr>
        <w:t>2013</w:t>
      </w:r>
      <w:r>
        <w:rPr>
          <w:rFonts w:hint="eastAsia" w:eastAsia="方正仿宋_GBK"/>
          <w:color w:val="000000"/>
          <w:spacing w:val="-2"/>
          <w:kern w:val="0"/>
          <w:sz w:val="24"/>
        </w:rPr>
        <w:t>版计价规范和计算规范的有关问题提出如下意见，请遵照执行。</w:t>
      </w:r>
    </w:p>
    <w:p>
      <w:pPr>
        <w:spacing w:line="460" w:lineRule="exact"/>
        <w:ind w:firstLine="464" w:firstLineChars="200"/>
        <w:rPr>
          <w:rFonts w:ascii="Times New Roman" w:eastAsia="方正黑体_GBK"/>
          <w:color w:val="000000"/>
          <w:spacing w:val="-2"/>
          <w:kern w:val="0"/>
          <w:sz w:val="24"/>
        </w:rPr>
      </w:pPr>
      <w:r>
        <w:rPr>
          <w:rFonts w:hint="eastAsia" w:ascii="Times New Roman" w:eastAsia="方正黑体_GBK"/>
          <w:color w:val="000000"/>
          <w:spacing w:val="-2"/>
          <w:kern w:val="0"/>
          <w:sz w:val="24"/>
        </w:rPr>
        <w:t>一、严格执行2013版计价规范和计算规范</w:t>
      </w:r>
    </w:p>
    <w:p>
      <w:pPr>
        <w:spacing w:line="460" w:lineRule="exact"/>
        <w:ind w:firstLine="464" w:firstLineChars="200"/>
        <w:rPr>
          <w:rFonts w:hint="eastAsia" w:eastAsia="方正仿宋_GBK"/>
          <w:color w:val="000000"/>
          <w:spacing w:val="-2"/>
          <w:kern w:val="0"/>
          <w:sz w:val="24"/>
        </w:rPr>
      </w:pPr>
      <w:r>
        <w:rPr>
          <w:rFonts w:eastAsia="方正仿宋_GBK"/>
          <w:color w:val="000000"/>
          <w:spacing w:val="-2"/>
          <w:kern w:val="0"/>
          <w:sz w:val="24"/>
        </w:rPr>
        <w:t>1</w:t>
      </w:r>
      <w:r>
        <w:rPr>
          <w:rFonts w:hint="eastAsia" w:eastAsia="方正仿宋_GBK"/>
          <w:color w:val="000000"/>
          <w:spacing w:val="-2"/>
          <w:kern w:val="0"/>
          <w:sz w:val="24"/>
        </w:rPr>
        <w:t>、</w:t>
      </w:r>
      <w:r>
        <w:rPr>
          <w:rFonts w:eastAsia="方正仿宋_GBK"/>
          <w:color w:val="000000"/>
          <w:spacing w:val="-2"/>
          <w:kern w:val="0"/>
          <w:sz w:val="24"/>
        </w:rPr>
        <w:t>2013</w:t>
      </w:r>
      <w:r>
        <w:rPr>
          <w:rFonts w:hint="eastAsia" w:eastAsia="方正仿宋_GBK"/>
          <w:color w:val="000000"/>
          <w:spacing w:val="-2"/>
          <w:kern w:val="0"/>
          <w:sz w:val="24"/>
        </w:rPr>
        <w:t>版计价规范和计算规范作为国家标准，规范了工程建设各方的计价行为，统一了建设工程计价文件的编制原则和计价方法。工程建设各方在建设工程计价管理活动中应严格执行</w:t>
      </w:r>
      <w:r>
        <w:rPr>
          <w:rFonts w:eastAsia="方正仿宋_GBK"/>
          <w:color w:val="000000"/>
          <w:spacing w:val="-2"/>
          <w:kern w:val="0"/>
          <w:sz w:val="24"/>
        </w:rPr>
        <w:t>2013</w:t>
      </w:r>
      <w:r>
        <w:rPr>
          <w:rFonts w:hint="eastAsia" w:eastAsia="方正仿宋_GBK"/>
          <w:color w:val="000000"/>
          <w:spacing w:val="-2"/>
          <w:kern w:val="0"/>
          <w:sz w:val="24"/>
        </w:rPr>
        <w:t>版计价规范和计算规范。</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2</w:t>
      </w:r>
      <w:r>
        <w:rPr>
          <w:rFonts w:hint="eastAsia" w:eastAsia="方正仿宋_GBK"/>
          <w:color w:val="000000"/>
          <w:spacing w:val="-2"/>
          <w:kern w:val="0"/>
          <w:sz w:val="24"/>
        </w:rPr>
        <w:t>、国有资金投资的建设工程项目以及依法必须招标的非国有资金投资建设工程项目，必须采用工程量清单计价，严格执行</w:t>
      </w:r>
      <w:r>
        <w:rPr>
          <w:rFonts w:eastAsia="方正仿宋_GBK"/>
          <w:color w:val="000000"/>
          <w:spacing w:val="-2"/>
          <w:kern w:val="0"/>
          <w:sz w:val="24"/>
        </w:rPr>
        <w:t>2013</w:t>
      </w:r>
      <w:r>
        <w:rPr>
          <w:rFonts w:hint="eastAsia" w:eastAsia="方正仿宋_GBK"/>
          <w:color w:val="000000"/>
          <w:spacing w:val="-2"/>
          <w:kern w:val="0"/>
          <w:sz w:val="24"/>
        </w:rPr>
        <w:t>版计价规范和计算规范。</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3</w:t>
      </w:r>
      <w:r>
        <w:rPr>
          <w:rFonts w:hint="eastAsia" w:eastAsia="方正仿宋_GBK"/>
          <w:color w:val="000000"/>
          <w:spacing w:val="-2"/>
          <w:kern w:val="0"/>
          <w:sz w:val="24"/>
        </w:rPr>
        <w:t>、工程造价文件的编制与审核（核对）应由具有相应资格的工程造价专业人员承担。接受委托从事建设工程造价咨询活动的企业应具有相应的工程造价咨询资质。招标代理机构可以从事其代理招标的建设工程项目的工程量清单与招标控制价的编制工作。</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4</w:t>
      </w:r>
      <w:r>
        <w:rPr>
          <w:rFonts w:hint="eastAsia" w:eastAsia="方正仿宋_GBK"/>
          <w:color w:val="000000"/>
          <w:spacing w:val="-2"/>
          <w:kern w:val="0"/>
          <w:sz w:val="24"/>
        </w:rPr>
        <w:t>、国有资金投资的建设工程招标，招标人必须编制招标控制价。招标控制价作为最高投标限价，应按照</w:t>
      </w:r>
      <w:r>
        <w:rPr>
          <w:rFonts w:eastAsia="方正仿宋_GBK"/>
          <w:color w:val="000000"/>
          <w:spacing w:val="-2"/>
          <w:kern w:val="0"/>
          <w:sz w:val="24"/>
        </w:rPr>
        <w:t>2013</w:t>
      </w:r>
      <w:r>
        <w:rPr>
          <w:rFonts w:hint="eastAsia" w:eastAsia="方正仿宋_GBK"/>
          <w:color w:val="000000"/>
          <w:spacing w:val="-2"/>
          <w:kern w:val="0"/>
          <w:sz w:val="24"/>
        </w:rPr>
        <w:t>版计价规范和计算规范的规定编制，不应上调或下浮。各市不再发布招标控制价调整系数。</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招标人应在发布招标文件时公布招标控制价，同时应将招标控制价及有关资料报工程所在地工程造价管理机构备案。公布的招标控制价文件应包括</w:t>
      </w:r>
      <w:r>
        <w:rPr>
          <w:rFonts w:eastAsia="方正仿宋_GBK"/>
          <w:color w:val="000000"/>
          <w:spacing w:val="-2"/>
          <w:kern w:val="0"/>
          <w:sz w:val="24"/>
        </w:rPr>
        <w:t>2013</w:t>
      </w:r>
      <w:r>
        <w:rPr>
          <w:rFonts w:hint="eastAsia" w:eastAsia="方正仿宋_GBK"/>
          <w:color w:val="000000"/>
          <w:spacing w:val="-2"/>
          <w:kern w:val="0"/>
          <w:sz w:val="24"/>
        </w:rPr>
        <w:t>版计价规范规定的除表</w:t>
      </w:r>
      <w:r>
        <w:rPr>
          <w:rFonts w:eastAsia="方正仿宋_GBK"/>
          <w:color w:val="000000"/>
          <w:spacing w:val="-2"/>
          <w:kern w:val="0"/>
          <w:sz w:val="24"/>
        </w:rPr>
        <w:t>-09“</w:t>
      </w:r>
      <w:r>
        <w:rPr>
          <w:rFonts w:hint="eastAsia" w:eastAsia="方正仿宋_GBK"/>
          <w:color w:val="000000"/>
          <w:spacing w:val="-2"/>
          <w:kern w:val="0"/>
          <w:sz w:val="24"/>
        </w:rPr>
        <w:t>综合单价分析表</w:t>
      </w:r>
      <w:r>
        <w:rPr>
          <w:rFonts w:eastAsia="方正仿宋_GBK"/>
          <w:color w:val="000000"/>
          <w:spacing w:val="-2"/>
          <w:kern w:val="0"/>
          <w:sz w:val="24"/>
        </w:rPr>
        <w:t>”</w:t>
      </w:r>
      <w:r>
        <w:rPr>
          <w:rFonts w:hint="eastAsia" w:eastAsia="方正仿宋_GBK"/>
          <w:color w:val="000000"/>
          <w:spacing w:val="-2"/>
          <w:kern w:val="0"/>
          <w:sz w:val="24"/>
        </w:rPr>
        <w:t>以外的所有招标控制价使用表格。投标人对招标控制价有异议的，应向招标人提出；招标人不答复或对招标人答复不满意时，投标人可按规定程序向工程所在地造价管理机构投诉。</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5</w:t>
      </w:r>
      <w:r>
        <w:rPr>
          <w:rFonts w:hint="eastAsia" w:eastAsia="方正仿宋_GBK"/>
          <w:color w:val="000000"/>
          <w:spacing w:val="-2"/>
          <w:kern w:val="0"/>
          <w:sz w:val="24"/>
        </w:rPr>
        <w:t>、建设工程发承包，招标文件、施工合同中有关工程计价的条款应根据</w:t>
      </w:r>
      <w:r>
        <w:rPr>
          <w:rFonts w:eastAsia="方正仿宋_GBK"/>
          <w:color w:val="000000"/>
          <w:spacing w:val="-2"/>
          <w:kern w:val="0"/>
          <w:sz w:val="24"/>
        </w:rPr>
        <w:t>2013</w:t>
      </w:r>
      <w:r>
        <w:rPr>
          <w:rFonts w:hint="eastAsia" w:eastAsia="方正仿宋_GBK"/>
          <w:color w:val="000000"/>
          <w:spacing w:val="-2"/>
          <w:kern w:val="0"/>
          <w:sz w:val="24"/>
        </w:rPr>
        <w:t>版计价规范的要求制定。实行工程量清单计价的建设项目应采用单价合同。</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招标文件、施工合同必须明确计价中的风险内容及其范围，不得采用无限风险、所有风险或类似语句规定计价中的风险内容及其范围。在风险因素中，国家法律、法规、规章和政策变化，省级建设行政主管部门发布的建设工程人工工资指导价调整，实行政府定价管理的水、电、燃油、燃气价格调整，应由发包人承担。在招标文件备案时，招投标监管机构发现风险条款设置不合理的，应责令修改。</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6</w:t>
      </w:r>
      <w:r>
        <w:rPr>
          <w:rFonts w:hint="eastAsia" w:eastAsia="方正仿宋_GBK"/>
          <w:color w:val="000000"/>
          <w:spacing w:val="-2"/>
          <w:kern w:val="0"/>
          <w:sz w:val="24"/>
        </w:rPr>
        <w:t>、在办理施工合同备案时，建设行政主管部门发现施工合同中合同形式、风险范围、价款调整等条款与招标文件不一致时，应责令改正。</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7</w:t>
      </w:r>
      <w:r>
        <w:rPr>
          <w:rFonts w:hint="eastAsia" w:eastAsia="方正仿宋_GBK"/>
          <w:color w:val="000000"/>
          <w:spacing w:val="-2"/>
          <w:kern w:val="0"/>
          <w:sz w:val="24"/>
        </w:rPr>
        <w:t>、</w:t>
      </w:r>
      <w:r>
        <w:rPr>
          <w:rFonts w:eastAsia="方正仿宋_GBK"/>
          <w:color w:val="000000"/>
          <w:spacing w:val="-2"/>
          <w:kern w:val="0"/>
          <w:sz w:val="24"/>
        </w:rPr>
        <w:t>2013</w:t>
      </w:r>
      <w:r>
        <w:rPr>
          <w:rFonts w:hint="eastAsia" w:eastAsia="方正仿宋_GBK"/>
          <w:color w:val="000000"/>
          <w:spacing w:val="-2"/>
          <w:kern w:val="0"/>
          <w:sz w:val="24"/>
        </w:rPr>
        <w:t>版计价规范和计算规范中以黑体字标志的强制性条文必须严格执行。</w:t>
      </w:r>
    </w:p>
    <w:p>
      <w:pPr>
        <w:spacing w:line="460" w:lineRule="exact"/>
        <w:ind w:firstLine="464" w:firstLineChars="200"/>
        <w:rPr>
          <w:rFonts w:ascii="Times New Roman" w:eastAsia="方正黑体_GBK"/>
          <w:color w:val="000000"/>
          <w:spacing w:val="-2"/>
          <w:kern w:val="0"/>
          <w:sz w:val="24"/>
        </w:rPr>
      </w:pPr>
      <w:r>
        <w:rPr>
          <w:rFonts w:hint="eastAsia" w:ascii="Times New Roman" w:eastAsia="方正黑体_GBK"/>
          <w:color w:val="000000"/>
          <w:spacing w:val="-2"/>
          <w:kern w:val="0"/>
          <w:sz w:val="24"/>
        </w:rPr>
        <w:t>二、对2013版计价规范和计算规范中有关内容的明确和调整</w:t>
      </w:r>
    </w:p>
    <w:p>
      <w:pPr>
        <w:spacing w:line="460" w:lineRule="exact"/>
        <w:ind w:firstLine="464" w:firstLineChars="200"/>
        <w:rPr>
          <w:rFonts w:hint="eastAsia" w:ascii="Times New Roman" w:eastAsia="方正楷体_GBK"/>
          <w:color w:val="000000"/>
          <w:spacing w:val="-2"/>
          <w:kern w:val="0"/>
          <w:sz w:val="24"/>
        </w:rPr>
      </w:pPr>
      <w:r>
        <w:rPr>
          <w:rFonts w:hint="eastAsia" w:ascii="Times New Roman" w:eastAsia="方正楷体_GBK"/>
          <w:color w:val="000000"/>
          <w:spacing w:val="-2"/>
          <w:kern w:val="0"/>
          <w:sz w:val="24"/>
        </w:rPr>
        <w:t>（一）2013版计价规范</w:t>
      </w:r>
    </w:p>
    <w:p>
      <w:pPr>
        <w:spacing w:line="460" w:lineRule="exact"/>
        <w:ind w:firstLine="464" w:firstLineChars="200"/>
        <w:rPr>
          <w:rFonts w:hint="eastAsia" w:eastAsia="方正仿宋_GBK"/>
          <w:color w:val="000000"/>
          <w:spacing w:val="-2"/>
          <w:kern w:val="0"/>
          <w:sz w:val="24"/>
        </w:rPr>
      </w:pPr>
      <w:r>
        <w:rPr>
          <w:rFonts w:eastAsia="方正仿宋_GBK"/>
          <w:color w:val="000000"/>
          <w:spacing w:val="-2"/>
          <w:kern w:val="0"/>
          <w:sz w:val="24"/>
        </w:rPr>
        <w:t>1</w:t>
      </w:r>
      <w:r>
        <w:rPr>
          <w:rFonts w:hint="eastAsia" w:eastAsia="方正仿宋_GBK"/>
          <w:color w:val="000000"/>
          <w:spacing w:val="-2"/>
          <w:kern w:val="0"/>
          <w:sz w:val="24"/>
        </w:rPr>
        <w:t>、发包人提供的材料和工程设备（以下简称甲供材料）应在招标文件中按照</w:t>
      </w:r>
      <w:r>
        <w:rPr>
          <w:rFonts w:eastAsia="方正仿宋_GBK"/>
          <w:color w:val="000000"/>
          <w:spacing w:val="-2"/>
          <w:kern w:val="0"/>
          <w:sz w:val="24"/>
        </w:rPr>
        <w:t>2013</w:t>
      </w:r>
      <w:r>
        <w:rPr>
          <w:rFonts w:hint="eastAsia" w:eastAsia="方正仿宋_GBK"/>
          <w:color w:val="000000"/>
          <w:spacing w:val="-2"/>
          <w:kern w:val="0"/>
          <w:sz w:val="24"/>
        </w:rPr>
        <w:t>版计价规范附录</w:t>
      </w:r>
      <w:r>
        <w:rPr>
          <w:rFonts w:eastAsia="方正仿宋_GBK"/>
          <w:color w:val="000000"/>
          <w:spacing w:val="-2"/>
          <w:kern w:val="0"/>
          <w:sz w:val="24"/>
        </w:rPr>
        <w:t>L.1</w:t>
      </w:r>
      <w:r>
        <w:rPr>
          <w:rFonts w:hint="eastAsia" w:eastAsia="方正仿宋_GBK"/>
          <w:color w:val="000000"/>
          <w:spacing w:val="-2"/>
          <w:kern w:val="0"/>
          <w:sz w:val="24"/>
        </w:rPr>
        <w:t>的规定填写《发包人提供材料和设备一览表》，写明甲供材料的名称、规格、单价、交货方式、交货地点等。未写明交货方式和交货地点的，视为甲供材料运送至施工现场指定地点并由发包人承担甲供材料的卸力费用。</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投标人投标时，甲供材料的名称、规格、单价、交货方式、交货地点等必须与招标工程量清单一致。甲供材料价格应计入相应项目的综合单价中，数量由投标人根据自身的施工技术和管理水平自主确定。</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2</w:t>
      </w:r>
      <w:r>
        <w:rPr>
          <w:rFonts w:hint="eastAsia" w:eastAsia="方正仿宋_GBK"/>
          <w:color w:val="000000"/>
          <w:spacing w:val="-2"/>
          <w:kern w:val="0"/>
          <w:sz w:val="24"/>
        </w:rPr>
        <w:t>、发承包双方应在施工合同专用条款中约定甲供材料价款扣除的价格、时间以及领料量超出或少于所报数量时价款的处理办法。没有约定时，按下述原则执行：</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w:t>
      </w:r>
      <w:r>
        <w:rPr>
          <w:rFonts w:eastAsia="方正仿宋_GBK"/>
          <w:color w:val="000000"/>
          <w:spacing w:val="-2"/>
          <w:kern w:val="0"/>
          <w:sz w:val="24"/>
        </w:rPr>
        <w:t>1</w:t>
      </w:r>
      <w:r>
        <w:rPr>
          <w:rFonts w:hint="eastAsia" w:eastAsia="方正仿宋_GBK"/>
          <w:color w:val="000000"/>
          <w:spacing w:val="-2"/>
          <w:kern w:val="0"/>
          <w:sz w:val="24"/>
        </w:rPr>
        <w:t>）结算时甲供材料应按发包人采购材料的加权平均价格（含采购保管费）计入相应项目的综合单价中。承包人退还甲供材料价款时，应按甲供材料实际采购价格（含采购保管费）除以</w:t>
      </w:r>
      <w:r>
        <w:rPr>
          <w:rFonts w:eastAsia="方正仿宋_GBK"/>
          <w:color w:val="000000"/>
          <w:spacing w:val="-2"/>
          <w:kern w:val="0"/>
          <w:sz w:val="24"/>
        </w:rPr>
        <w:t>1.01</w:t>
      </w:r>
      <w:r>
        <w:rPr>
          <w:rFonts w:hint="eastAsia" w:eastAsia="方正仿宋_GBK"/>
          <w:color w:val="000000"/>
          <w:spacing w:val="-2"/>
          <w:kern w:val="0"/>
          <w:sz w:val="24"/>
        </w:rPr>
        <w:t>，退给发包人（</w:t>
      </w:r>
      <w:r>
        <w:rPr>
          <w:rFonts w:eastAsia="方正仿宋_GBK"/>
          <w:color w:val="000000"/>
          <w:spacing w:val="-2"/>
          <w:kern w:val="0"/>
          <w:sz w:val="24"/>
        </w:rPr>
        <w:t>1%</w:t>
      </w:r>
      <w:r>
        <w:rPr>
          <w:rFonts w:hint="eastAsia" w:eastAsia="方正仿宋_GBK"/>
          <w:color w:val="000000"/>
          <w:spacing w:val="-2"/>
          <w:kern w:val="0"/>
          <w:sz w:val="24"/>
        </w:rPr>
        <w:t>作为承包人的现场保管费）。</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w:t>
      </w:r>
      <w:r>
        <w:rPr>
          <w:rFonts w:eastAsia="方正仿宋_GBK"/>
          <w:color w:val="000000"/>
          <w:spacing w:val="-2"/>
          <w:kern w:val="0"/>
          <w:sz w:val="24"/>
        </w:rPr>
        <w:t>2</w:t>
      </w:r>
      <w:r>
        <w:rPr>
          <w:rFonts w:hint="eastAsia" w:eastAsia="方正仿宋_GBK"/>
          <w:color w:val="000000"/>
          <w:spacing w:val="-2"/>
          <w:kern w:val="0"/>
          <w:sz w:val="24"/>
        </w:rPr>
        <w:t>）领料量超出承包人在投标文件中所报数量时，超出部分的甲供材料由承包人按照发包人采购材料的加权平均价格支付给发包人；领料量少于承包人在投标文件中所报数量时，节余部分的甲供材料归承包人。</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3</w:t>
      </w:r>
      <w:r>
        <w:rPr>
          <w:rFonts w:hint="eastAsia" w:eastAsia="方正仿宋_GBK"/>
          <w:color w:val="000000"/>
          <w:spacing w:val="-2"/>
          <w:kern w:val="0"/>
          <w:sz w:val="24"/>
        </w:rPr>
        <w:t>、对</w:t>
      </w:r>
      <w:r>
        <w:rPr>
          <w:rFonts w:eastAsia="方正仿宋_GBK"/>
          <w:color w:val="000000"/>
          <w:spacing w:val="-2"/>
          <w:kern w:val="0"/>
          <w:sz w:val="24"/>
        </w:rPr>
        <w:t>2013</w:t>
      </w:r>
      <w:r>
        <w:rPr>
          <w:rFonts w:hint="eastAsia" w:eastAsia="方正仿宋_GBK"/>
          <w:color w:val="000000"/>
          <w:spacing w:val="-2"/>
          <w:kern w:val="0"/>
          <w:sz w:val="24"/>
        </w:rPr>
        <w:t>版计算规范中未列的措施项目，招标人可根据建设工程实际情况进行补充。对招标人所列的措施项目，投标人可根据工程实际与施工组织设计进行增补，但不应更改招标人已列措施项目。结算时，除工程变更引起施工方案改变外，承包人不得以招标工程措施项目清单缺项为由要求新增措施项目。</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4</w:t>
      </w:r>
      <w:r>
        <w:rPr>
          <w:rFonts w:hint="eastAsia" w:eastAsia="方正仿宋_GBK"/>
          <w:color w:val="000000"/>
          <w:spacing w:val="-2"/>
          <w:kern w:val="0"/>
          <w:sz w:val="24"/>
        </w:rPr>
        <w:t>、因工程变更造成施工方案变更，引起措施项目发生变化时，措施项目费的调整，合同有约定的，按合同执行。合同中没有约定的按下列原则调整：单价措施项目变更原则同分部分项工程；总价措施项目中以费率报价的，费率不变；总价项目中以费用报价的，按投标时口径折算成费率调整；原措施费中没有的措施项目，由承包人提出适当的措施费变更要求，经发包人确认后调整。</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5</w:t>
      </w:r>
      <w:r>
        <w:rPr>
          <w:rFonts w:hint="eastAsia" w:eastAsia="方正仿宋_GBK"/>
          <w:color w:val="000000"/>
          <w:spacing w:val="-2"/>
          <w:kern w:val="0"/>
          <w:sz w:val="24"/>
        </w:rPr>
        <w:t>、暂列金额不宜超过分部分项工程费的</w:t>
      </w:r>
      <w:r>
        <w:rPr>
          <w:rFonts w:eastAsia="方正仿宋_GBK"/>
          <w:color w:val="000000"/>
          <w:spacing w:val="-2"/>
          <w:kern w:val="0"/>
          <w:sz w:val="24"/>
        </w:rPr>
        <w:t>10%</w:t>
      </w:r>
      <w:r>
        <w:rPr>
          <w:rFonts w:hint="eastAsia" w:eastAsia="方正仿宋_GBK"/>
          <w:color w:val="000000"/>
          <w:spacing w:val="-2"/>
          <w:kern w:val="0"/>
          <w:sz w:val="24"/>
        </w:rPr>
        <w:t>。招标工程量清单中暂估价材料的单价由招标人给定，材料单价中应包括场外运输与采购保管费。</w:t>
      </w:r>
      <w:r>
        <w:rPr>
          <w:rFonts w:eastAsia="方正仿宋_GBK"/>
          <w:color w:val="000000"/>
          <w:spacing w:val="-2"/>
          <w:kern w:val="0"/>
          <w:sz w:val="24"/>
        </w:rPr>
        <w:t>“</w:t>
      </w:r>
      <w:r>
        <w:rPr>
          <w:rFonts w:hint="eastAsia" w:eastAsia="方正仿宋_GBK"/>
          <w:color w:val="000000"/>
          <w:spacing w:val="-2"/>
          <w:kern w:val="0"/>
          <w:sz w:val="24"/>
        </w:rPr>
        <w:t>专业工程暂估价</w:t>
      </w:r>
      <w:r>
        <w:rPr>
          <w:rFonts w:eastAsia="方正仿宋_GBK"/>
          <w:color w:val="000000"/>
          <w:spacing w:val="-2"/>
          <w:kern w:val="0"/>
          <w:sz w:val="24"/>
        </w:rPr>
        <w:t>”</w:t>
      </w:r>
      <w:r>
        <w:rPr>
          <w:rFonts w:hint="eastAsia" w:eastAsia="方正仿宋_GBK"/>
          <w:color w:val="000000"/>
          <w:spacing w:val="-2"/>
          <w:kern w:val="0"/>
          <w:sz w:val="24"/>
        </w:rPr>
        <w:t>中不包含规费和税金。暂估价的专业工程达到依法必须招标的标准时，须通过招标确定承包人。</w:t>
      </w:r>
    </w:p>
    <w:p>
      <w:pPr>
        <w:spacing w:line="460" w:lineRule="exact"/>
        <w:ind w:firstLine="464" w:firstLineChars="200"/>
        <w:rPr>
          <w:rFonts w:ascii="Times New Roman" w:eastAsia="方正楷体_GBK"/>
          <w:color w:val="000000"/>
          <w:spacing w:val="-2"/>
          <w:kern w:val="0"/>
          <w:sz w:val="24"/>
        </w:rPr>
      </w:pPr>
      <w:r>
        <w:rPr>
          <w:rFonts w:hint="eastAsia" w:ascii="Times New Roman" w:eastAsia="方正楷体_GBK"/>
          <w:color w:val="000000"/>
          <w:spacing w:val="-2"/>
          <w:kern w:val="0"/>
          <w:sz w:val="24"/>
        </w:rPr>
        <w:t>（二）2013版计算规范</w:t>
      </w:r>
    </w:p>
    <w:p>
      <w:pPr>
        <w:spacing w:line="460" w:lineRule="exact"/>
        <w:ind w:firstLine="464" w:firstLineChars="200"/>
        <w:rPr>
          <w:rFonts w:hint="eastAsia" w:eastAsia="方正仿宋_GBK"/>
          <w:color w:val="000000"/>
          <w:spacing w:val="-2"/>
          <w:kern w:val="0"/>
          <w:sz w:val="24"/>
        </w:rPr>
      </w:pPr>
      <w:r>
        <w:rPr>
          <w:rFonts w:eastAsia="方正仿宋_GBK"/>
          <w:color w:val="000000"/>
          <w:spacing w:val="-2"/>
          <w:kern w:val="0"/>
          <w:sz w:val="24"/>
        </w:rPr>
        <w:t>1</w:t>
      </w:r>
      <w:r>
        <w:rPr>
          <w:rFonts w:hint="eastAsia" w:eastAsia="方正仿宋_GBK"/>
          <w:color w:val="000000"/>
          <w:spacing w:val="-2"/>
          <w:kern w:val="0"/>
          <w:sz w:val="24"/>
        </w:rPr>
        <w:t>、各专业计算规范的共性规定</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w:t>
      </w:r>
      <w:r>
        <w:rPr>
          <w:rFonts w:eastAsia="方正仿宋_GBK"/>
          <w:color w:val="000000"/>
          <w:spacing w:val="-2"/>
          <w:kern w:val="0"/>
          <w:sz w:val="24"/>
        </w:rPr>
        <w:t>1</w:t>
      </w:r>
      <w:r>
        <w:rPr>
          <w:rFonts w:hint="eastAsia" w:eastAsia="方正仿宋_GBK"/>
          <w:color w:val="000000"/>
          <w:spacing w:val="-2"/>
          <w:kern w:val="0"/>
          <w:sz w:val="24"/>
        </w:rPr>
        <w:t>）由于实际招标工程形式多样，为了便于操作，同一单位工程的项目编码不得有重复，不强制要求同一招标工程的项目编码不得重复。</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w:t>
      </w:r>
      <w:r>
        <w:rPr>
          <w:rFonts w:eastAsia="方正仿宋_GBK"/>
          <w:color w:val="000000"/>
          <w:spacing w:val="-2"/>
          <w:kern w:val="0"/>
          <w:sz w:val="24"/>
        </w:rPr>
        <w:t>2</w:t>
      </w:r>
      <w:r>
        <w:rPr>
          <w:rFonts w:hint="eastAsia" w:eastAsia="方正仿宋_GBK"/>
          <w:color w:val="000000"/>
          <w:spacing w:val="-2"/>
          <w:kern w:val="0"/>
          <w:sz w:val="24"/>
        </w:rPr>
        <w:t>）计算规范中工程量计算规则表述不明确时，可以参照江苏省各专业计价定额的工程量计算规则，并且应在工程量清单编制总说明中明确。</w:t>
      </w:r>
    </w:p>
    <w:p>
      <w:pPr>
        <w:spacing w:line="460" w:lineRule="exact"/>
        <w:ind w:firstLine="464" w:firstLineChars="200"/>
        <w:rPr>
          <w:rFonts w:eastAsia="方正仿宋_GBK"/>
          <w:color w:val="000000"/>
          <w:spacing w:val="-6"/>
          <w:kern w:val="0"/>
          <w:sz w:val="24"/>
        </w:rPr>
      </w:pPr>
      <w:r>
        <w:rPr>
          <w:rFonts w:hint="eastAsia" w:eastAsia="方正仿宋_GBK"/>
          <w:color w:val="000000"/>
          <w:spacing w:val="-2"/>
          <w:kern w:val="0"/>
          <w:sz w:val="24"/>
        </w:rPr>
        <w:t>（</w:t>
      </w:r>
      <w:r>
        <w:rPr>
          <w:rFonts w:eastAsia="方正仿宋_GBK"/>
          <w:color w:val="000000"/>
          <w:spacing w:val="-2"/>
          <w:kern w:val="0"/>
          <w:sz w:val="24"/>
        </w:rPr>
        <w:t>3</w:t>
      </w:r>
      <w:r>
        <w:rPr>
          <w:rFonts w:hint="eastAsia" w:eastAsia="方正仿宋_GBK"/>
          <w:color w:val="000000"/>
          <w:spacing w:val="-2"/>
          <w:kern w:val="0"/>
          <w:sz w:val="24"/>
        </w:rPr>
        <w:t>）</w:t>
      </w:r>
      <w:r>
        <w:rPr>
          <w:rFonts w:hint="eastAsia" w:eastAsia="方正仿宋_GBK"/>
          <w:color w:val="000000"/>
          <w:spacing w:val="-6"/>
          <w:kern w:val="0"/>
          <w:sz w:val="24"/>
        </w:rPr>
        <w:t>挖沟槽、基坑、一般土方因工作面和放坡增加的工程量并入各土方工程量中。</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w:t>
      </w:r>
      <w:r>
        <w:rPr>
          <w:rFonts w:eastAsia="方正仿宋_GBK"/>
          <w:color w:val="000000"/>
          <w:spacing w:val="-2"/>
          <w:kern w:val="0"/>
          <w:sz w:val="24"/>
        </w:rPr>
        <w:t>4</w:t>
      </w:r>
      <w:r>
        <w:rPr>
          <w:rFonts w:hint="eastAsia" w:eastAsia="方正仿宋_GBK"/>
          <w:color w:val="000000"/>
          <w:spacing w:val="-2"/>
          <w:kern w:val="0"/>
          <w:sz w:val="24"/>
        </w:rPr>
        <w:t>）采用预拌混凝土（包括屋面、地面细石混凝土）及预拌砂浆时，应在项目特征中描述或在清单编制说明中明确。</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w:t>
      </w:r>
      <w:r>
        <w:rPr>
          <w:rFonts w:eastAsia="方正仿宋_GBK"/>
          <w:color w:val="000000"/>
          <w:spacing w:val="-2"/>
          <w:kern w:val="0"/>
          <w:sz w:val="24"/>
        </w:rPr>
        <w:t>5</w:t>
      </w:r>
      <w:r>
        <w:rPr>
          <w:rFonts w:hint="eastAsia" w:eastAsia="方正仿宋_GBK"/>
          <w:color w:val="000000"/>
          <w:spacing w:val="-2"/>
          <w:kern w:val="0"/>
          <w:sz w:val="24"/>
        </w:rPr>
        <w:t>）除市政工程外，现浇混凝土模板不与混凝土合并，在措施项目中列项。市政工程现浇混凝土模板包含在相应的混凝土的项目中。</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预制混凝土的模板包含在相应预制混凝土的项目中。</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w:t>
      </w:r>
      <w:r>
        <w:rPr>
          <w:rFonts w:eastAsia="方正仿宋_GBK"/>
          <w:color w:val="000000"/>
          <w:spacing w:val="-2"/>
          <w:kern w:val="0"/>
          <w:sz w:val="24"/>
        </w:rPr>
        <w:t>6</w:t>
      </w:r>
      <w:r>
        <w:rPr>
          <w:rFonts w:hint="eastAsia" w:eastAsia="方正仿宋_GBK"/>
          <w:color w:val="000000"/>
          <w:spacing w:val="-2"/>
          <w:kern w:val="0"/>
          <w:sz w:val="24"/>
        </w:rPr>
        <w:t>）单价措施项目中，大型机械设备进出场及安拆计量单位调整为项，项目特征可不描述。</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2</w:t>
      </w:r>
      <w:r>
        <w:rPr>
          <w:rFonts w:hint="eastAsia" w:eastAsia="方正仿宋_GBK"/>
          <w:color w:val="000000"/>
          <w:spacing w:val="-2"/>
          <w:kern w:val="0"/>
          <w:sz w:val="24"/>
        </w:rPr>
        <w:t>、各专业计算规范分部分项工程部分</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w:t>
      </w:r>
      <w:r>
        <w:rPr>
          <w:rFonts w:eastAsia="方正仿宋_GBK"/>
          <w:color w:val="000000"/>
          <w:spacing w:val="-2"/>
          <w:kern w:val="0"/>
          <w:sz w:val="24"/>
        </w:rPr>
        <w:t>1</w:t>
      </w:r>
      <w:r>
        <w:rPr>
          <w:rFonts w:hint="eastAsia" w:eastAsia="方正仿宋_GBK"/>
          <w:color w:val="000000"/>
          <w:spacing w:val="-2"/>
          <w:kern w:val="0"/>
          <w:sz w:val="24"/>
        </w:rPr>
        <w:t>）建筑与装饰工程</w:t>
      </w:r>
    </w:p>
    <w:p>
      <w:pPr>
        <w:spacing w:line="460" w:lineRule="exact"/>
        <w:ind w:firstLine="464" w:firstLineChars="200"/>
        <w:rPr>
          <w:rFonts w:eastAsia="方正仿宋_GBK"/>
          <w:color w:val="000000"/>
          <w:spacing w:val="-2"/>
          <w:kern w:val="0"/>
          <w:sz w:val="24"/>
        </w:rPr>
      </w:pPr>
      <w:r>
        <w:rPr>
          <w:rFonts w:hint="eastAsia" w:ascii="Times New Roman" w:hAnsi="Times New Roman" w:cs="宋体"/>
          <w:color w:val="000000"/>
          <w:spacing w:val="-2"/>
          <w:kern w:val="0"/>
          <w:sz w:val="24"/>
        </w:rPr>
        <w:t>①</w:t>
      </w:r>
      <w:r>
        <w:rPr>
          <w:rFonts w:eastAsia="方正仿宋_GBK"/>
          <w:color w:val="000000"/>
          <w:spacing w:val="-2"/>
          <w:kern w:val="0"/>
          <w:sz w:val="24"/>
        </w:rPr>
        <w:t>010401003</w:t>
      </w:r>
      <w:r>
        <w:rPr>
          <w:rFonts w:hint="eastAsia" w:eastAsia="方正仿宋_GBK"/>
          <w:color w:val="000000"/>
          <w:spacing w:val="-2"/>
          <w:kern w:val="0"/>
          <w:sz w:val="24"/>
        </w:rPr>
        <w:t>实心砖墙、</w:t>
      </w:r>
      <w:r>
        <w:rPr>
          <w:rFonts w:eastAsia="方正仿宋_GBK"/>
          <w:color w:val="000000"/>
          <w:spacing w:val="-2"/>
          <w:kern w:val="0"/>
          <w:sz w:val="24"/>
        </w:rPr>
        <w:t>010401004</w:t>
      </w:r>
      <w:r>
        <w:rPr>
          <w:rFonts w:hint="eastAsia" w:eastAsia="方正仿宋_GBK"/>
          <w:color w:val="000000"/>
          <w:spacing w:val="-2"/>
          <w:kern w:val="0"/>
          <w:sz w:val="24"/>
        </w:rPr>
        <w:t>多孔砖墙、</w:t>
      </w:r>
      <w:r>
        <w:rPr>
          <w:rFonts w:eastAsia="方正仿宋_GBK"/>
          <w:color w:val="000000"/>
          <w:spacing w:val="-2"/>
          <w:kern w:val="0"/>
          <w:sz w:val="24"/>
        </w:rPr>
        <w:t>010401005</w:t>
      </w:r>
      <w:r>
        <w:rPr>
          <w:rFonts w:hint="eastAsia" w:eastAsia="方正仿宋_GBK"/>
          <w:color w:val="000000"/>
          <w:spacing w:val="-2"/>
          <w:kern w:val="0"/>
          <w:sz w:val="24"/>
        </w:rPr>
        <w:t>空心砖墙、</w:t>
      </w:r>
      <w:r>
        <w:rPr>
          <w:rFonts w:eastAsia="方正仿宋_GBK"/>
          <w:color w:val="000000"/>
          <w:spacing w:val="-2"/>
          <w:kern w:val="0"/>
          <w:sz w:val="24"/>
        </w:rPr>
        <w:t>010402001</w:t>
      </w:r>
      <w:r>
        <w:rPr>
          <w:rFonts w:hint="eastAsia" w:eastAsia="方正仿宋_GBK"/>
          <w:color w:val="000000"/>
          <w:spacing w:val="-2"/>
          <w:kern w:val="0"/>
          <w:sz w:val="24"/>
        </w:rPr>
        <w:t>砌块墙、</w:t>
      </w:r>
      <w:r>
        <w:rPr>
          <w:rFonts w:eastAsia="方正仿宋_GBK"/>
          <w:color w:val="000000"/>
          <w:spacing w:val="-2"/>
          <w:kern w:val="0"/>
          <w:sz w:val="24"/>
        </w:rPr>
        <w:t>010403003</w:t>
      </w:r>
      <w:r>
        <w:rPr>
          <w:rFonts w:hint="eastAsia" w:eastAsia="方正仿宋_GBK"/>
          <w:color w:val="000000"/>
          <w:spacing w:val="-2"/>
          <w:kern w:val="0"/>
          <w:sz w:val="24"/>
        </w:rPr>
        <w:t>石墙项目工程量计算规则中</w:t>
      </w:r>
      <w:r>
        <w:rPr>
          <w:rFonts w:eastAsia="方正仿宋_GBK"/>
          <w:color w:val="000000"/>
          <w:spacing w:val="-2"/>
          <w:kern w:val="0"/>
          <w:sz w:val="24"/>
        </w:rPr>
        <w:t>“</w:t>
      </w:r>
      <w:r>
        <w:rPr>
          <w:rFonts w:hint="eastAsia" w:eastAsia="方正仿宋_GBK"/>
          <w:color w:val="000000"/>
          <w:spacing w:val="-2"/>
          <w:kern w:val="0"/>
          <w:sz w:val="24"/>
        </w:rPr>
        <w:t>（</w:t>
      </w:r>
      <w:r>
        <w:rPr>
          <w:rFonts w:eastAsia="方正仿宋_GBK"/>
          <w:color w:val="000000"/>
          <w:spacing w:val="-2"/>
          <w:kern w:val="0"/>
          <w:sz w:val="24"/>
        </w:rPr>
        <w:t>2</w:t>
      </w:r>
      <w:r>
        <w:rPr>
          <w:rFonts w:hint="eastAsia" w:eastAsia="方正仿宋_GBK"/>
          <w:color w:val="000000"/>
          <w:spacing w:val="-2"/>
          <w:kern w:val="0"/>
          <w:sz w:val="24"/>
        </w:rPr>
        <w:t>）内墙：</w:t>
      </w:r>
      <w:r>
        <w:rPr>
          <w:rFonts w:hint="eastAsia" w:ascii="Times New Roman" w:hAnsi="Times New Roman"/>
          <w:color w:val="000000"/>
          <w:spacing w:val="-2"/>
          <w:kern w:val="0"/>
          <w:sz w:val="24"/>
        </w:rPr>
        <w:t>……</w:t>
      </w:r>
      <w:r>
        <w:rPr>
          <w:rFonts w:hint="eastAsia" w:eastAsia="方正仿宋_GBK"/>
          <w:color w:val="000000"/>
          <w:spacing w:val="-2"/>
          <w:kern w:val="0"/>
          <w:sz w:val="24"/>
        </w:rPr>
        <w:t>算至楼板顶；有框架梁时算至梁底</w:t>
      </w:r>
      <w:r>
        <w:rPr>
          <w:rFonts w:eastAsia="方正仿宋_GBK"/>
          <w:color w:val="000000"/>
          <w:spacing w:val="-2"/>
          <w:kern w:val="0"/>
          <w:sz w:val="24"/>
        </w:rPr>
        <w:t>”</w:t>
      </w:r>
      <w:r>
        <w:rPr>
          <w:rFonts w:hint="eastAsia" w:eastAsia="方正仿宋_GBK"/>
          <w:color w:val="000000"/>
          <w:spacing w:val="-2"/>
          <w:kern w:val="0"/>
          <w:sz w:val="24"/>
        </w:rPr>
        <w:t>调整为</w:t>
      </w:r>
      <w:r>
        <w:rPr>
          <w:rFonts w:eastAsia="方正仿宋_GBK"/>
          <w:color w:val="000000"/>
          <w:spacing w:val="-2"/>
          <w:kern w:val="0"/>
          <w:sz w:val="24"/>
        </w:rPr>
        <w:t>“</w:t>
      </w:r>
      <w:r>
        <w:rPr>
          <w:rFonts w:hint="eastAsia" w:eastAsia="方正仿宋_GBK"/>
          <w:color w:val="000000"/>
          <w:spacing w:val="-2"/>
          <w:kern w:val="0"/>
          <w:sz w:val="24"/>
        </w:rPr>
        <w:t>（</w:t>
      </w:r>
      <w:r>
        <w:rPr>
          <w:rFonts w:eastAsia="方正仿宋_GBK"/>
          <w:color w:val="000000"/>
          <w:spacing w:val="-2"/>
          <w:kern w:val="0"/>
          <w:sz w:val="24"/>
        </w:rPr>
        <w:t>2</w:t>
      </w:r>
      <w:r>
        <w:rPr>
          <w:rFonts w:hint="eastAsia" w:eastAsia="方正仿宋_GBK"/>
          <w:color w:val="000000"/>
          <w:spacing w:val="-2"/>
          <w:kern w:val="0"/>
          <w:sz w:val="24"/>
        </w:rPr>
        <w:t>）内墙：</w:t>
      </w:r>
      <w:r>
        <w:rPr>
          <w:rFonts w:hint="eastAsia" w:ascii="Times New Roman" w:hAnsi="Times New Roman"/>
          <w:color w:val="000000"/>
          <w:spacing w:val="-2"/>
          <w:kern w:val="0"/>
          <w:sz w:val="24"/>
        </w:rPr>
        <w:t>……</w:t>
      </w:r>
      <w:r>
        <w:rPr>
          <w:rFonts w:hint="eastAsia" w:eastAsia="方正仿宋_GBK"/>
          <w:color w:val="000000"/>
          <w:spacing w:val="-2"/>
          <w:kern w:val="0"/>
          <w:sz w:val="24"/>
        </w:rPr>
        <w:t>算至楼板底；有框架梁时算至梁底</w:t>
      </w:r>
      <w:r>
        <w:rPr>
          <w:rFonts w:eastAsia="方正仿宋_GBK"/>
          <w:color w:val="000000"/>
          <w:spacing w:val="-2"/>
          <w:kern w:val="0"/>
          <w:sz w:val="24"/>
        </w:rPr>
        <w:t>”</w:t>
      </w:r>
      <w:r>
        <w:rPr>
          <w:rFonts w:hint="eastAsia" w:eastAsia="方正仿宋_GBK"/>
          <w:color w:val="000000"/>
          <w:spacing w:val="-2"/>
          <w:kern w:val="0"/>
          <w:sz w:val="24"/>
        </w:rPr>
        <w:t>。</w:t>
      </w:r>
    </w:p>
    <w:p>
      <w:pPr>
        <w:spacing w:line="460" w:lineRule="exact"/>
        <w:ind w:firstLine="464" w:firstLineChars="200"/>
        <w:rPr>
          <w:rFonts w:eastAsia="方正仿宋_GBK"/>
          <w:color w:val="000000"/>
          <w:spacing w:val="-2"/>
          <w:kern w:val="0"/>
          <w:sz w:val="24"/>
        </w:rPr>
      </w:pPr>
      <w:r>
        <w:rPr>
          <w:rFonts w:hint="eastAsia" w:ascii="Times New Roman" w:hAnsi="Times New Roman" w:cs="宋体"/>
          <w:color w:val="000000"/>
          <w:spacing w:val="-2"/>
          <w:kern w:val="0"/>
          <w:sz w:val="24"/>
        </w:rPr>
        <w:t>②</w:t>
      </w:r>
      <w:r>
        <w:rPr>
          <w:rFonts w:hint="eastAsia" w:eastAsia="方正仿宋_GBK"/>
          <w:color w:val="000000"/>
          <w:spacing w:val="-2"/>
          <w:kern w:val="0"/>
          <w:sz w:val="24"/>
        </w:rPr>
        <w:t>桩的工程量计算规则中，桩长不包含超灌部分长度，超灌在清单综合单价中考虑。</w:t>
      </w:r>
    </w:p>
    <w:p>
      <w:pPr>
        <w:spacing w:line="460" w:lineRule="exact"/>
        <w:ind w:firstLine="464" w:firstLineChars="200"/>
        <w:rPr>
          <w:rFonts w:eastAsia="方正仿宋_GBK"/>
          <w:color w:val="000000"/>
          <w:spacing w:val="-2"/>
          <w:kern w:val="0"/>
          <w:sz w:val="24"/>
        </w:rPr>
      </w:pPr>
      <w:r>
        <w:rPr>
          <w:rFonts w:hint="eastAsia" w:ascii="Times New Roman" w:hAnsi="Times New Roman" w:cs="宋体"/>
          <w:color w:val="000000"/>
          <w:spacing w:val="-2"/>
          <w:kern w:val="0"/>
          <w:sz w:val="24"/>
        </w:rPr>
        <w:t>③</w:t>
      </w:r>
      <w:r>
        <w:rPr>
          <w:rFonts w:eastAsia="方正仿宋_GBK"/>
          <w:color w:val="000000"/>
          <w:spacing w:val="-2"/>
          <w:kern w:val="0"/>
          <w:sz w:val="24"/>
        </w:rPr>
        <w:t>010404001</w:t>
      </w:r>
      <w:r>
        <w:rPr>
          <w:rFonts w:hint="eastAsia" w:eastAsia="方正仿宋_GBK"/>
          <w:color w:val="000000"/>
          <w:spacing w:val="-2"/>
          <w:kern w:val="0"/>
          <w:sz w:val="24"/>
        </w:rPr>
        <w:t>、</w:t>
      </w:r>
      <w:r>
        <w:rPr>
          <w:rFonts w:eastAsia="方正仿宋_GBK"/>
          <w:color w:val="000000"/>
          <w:spacing w:val="-2"/>
          <w:kern w:val="0"/>
          <w:sz w:val="24"/>
        </w:rPr>
        <w:t>010501001</w:t>
      </w:r>
      <w:r>
        <w:rPr>
          <w:rFonts w:hint="eastAsia" w:eastAsia="方正仿宋_GBK"/>
          <w:color w:val="000000"/>
          <w:spacing w:val="-2"/>
          <w:kern w:val="0"/>
          <w:sz w:val="24"/>
        </w:rPr>
        <w:t>垫层工程量计算规则中增加：</w:t>
      </w:r>
      <w:r>
        <w:rPr>
          <w:rFonts w:eastAsia="方正仿宋_GBK"/>
          <w:color w:val="000000"/>
          <w:spacing w:val="-2"/>
          <w:kern w:val="0"/>
          <w:sz w:val="24"/>
        </w:rPr>
        <w:t>“</w:t>
      </w:r>
      <w:r>
        <w:rPr>
          <w:rFonts w:hint="eastAsia" w:eastAsia="方正仿宋_GBK"/>
          <w:color w:val="000000"/>
          <w:spacing w:val="-2"/>
          <w:kern w:val="0"/>
          <w:sz w:val="24"/>
        </w:rPr>
        <w:t>其中外墙基础垫层长度按外墙中心线长度计算，内墙基础垫层长度按内墙基础垫层净长计算。</w:t>
      </w:r>
      <w:r>
        <w:rPr>
          <w:rFonts w:eastAsia="方正仿宋_GBK"/>
          <w:color w:val="000000"/>
          <w:spacing w:val="-2"/>
          <w:kern w:val="0"/>
          <w:sz w:val="24"/>
        </w:rPr>
        <w:t>”</w:t>
      </w:r>
    </w:p>
    <w:p>
      <w:pPr>
        <w:spacing w:line="460" w:lineRule="exact"/>
        <w:ind w:firstLine="464" w:firstLineChars="200"/>
        <w:rPr>
          <w:rFonts w:eastAsia="方正仿宋_GBK"/>
          <w:color w:val="000000"/>
          <w:spacing w:val="-2"/>
          <w:kern w:val="0"/>
          <w:sz w:val="24"/>
        </w:rPr>
      </w:pPr>
      <w:r>
        <w:rPr>
          <w:rFonts w:hint="eastAsia" w:ascii="Times New Roman" w:hAnsi="Times New Roman" w:cs="宋体"/>
          <w:color w:val="000000"/>
          <w:spacing w:val="-2"/>
          <w:kern w:val="0"/>
          <w:sz w:val="24"/>
        </w:rPr>
        <w:t>④</w:t>
      </w:r>
      <w:r>
        <w:rPr>
          <w:rFonts w:hint="eastAsia" w:eastAsia="方正仿宋_GBK"/>
          <w:color w:val="000000"/>
          <w:spacing w:val="-2"/>
          <w:kern w:val="0"/>
          <w:sz w:val="24"/>
        </w:rPr>
        <w:t>钢筋连接除机械连接、电渣压力焊接头单独列清单外，其他连接接头费用不单独列清单，在钢筋清单综合单价中考虑。钢筋搭接、锚固长度按照按满足设计图示（规范）的最小值计入钢筋清单工程量中。</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增补</w:t>
      </w:r>
      <w:r>
        <w:rPr>
          <w:rFonts w:eastAsia="方正仿宋_GBK"/>
          <w:color w:val="000000"/>
          <w:spacing w:val="-2"/>
          <w:kern w:val="0"/>
          <w:sz w:val="24"/>
        </w:rPr>
        <w:t>010516004</w:t>
      </w:r>
      <w:r>
        <w:rPr>
          <w:rFonts w:hint="eastAsia" w:eastAsia="方正仿宋_GBK"/>
          <w:color w:val="000000"/>
          <w:spacing w:val="-2"/>
          <w:kern w:val="0"/>
          <w:sz w:val="24"/>
        </w:rPr>
        <w:t>钢筋电渣压力焊接头：</w:t>
      </w:r>
    </w:p>
    <w:tbl>
      <w:tblPr>
        <w:tblStyle w:val="12"/>
        <w:tblW w:w="0" w:type="auto"/>
        <w:jc w:val="center"/>
        <w:tblBorders>
          <w:top w:val="single" w:color="auto" w:sz="8" w:space="0"/>
          <w:left w:val="single" w:color="auto" w:sz="8" w:space="0"/>
          <w:bottom w:val="single" w:color="auto" w:sz="8" w:space="0"/>
          <w:right w:val="single" w:color="auto" w:sz="8" w:space="0"/>
          <w:insideH w:val="outset" w:color="000000" w:sz="6" w:space="0"/>
          <w:insideV w:val="outset" w:color="000000" w:sz="6" w:space="0"/>
        </w:tblBorders>
        <w:tblLayout w:type="fixed"/>
        <w:tblCellMar>
          <w:top w:w="0" w:type="dxa"/>
          <w:left w:w="0" w:type="dxa"/>
          <w:bottom w:w="0" w:type="dxa"/>
          <w:right w:w="0" w:type="dxa"/>
        </w:tblCellMar>
      </w:tblPr>
      <w:tblGrid>
        <w:gridCol w:w="1154"/>
        <w:gridCol w:w="1421"/>
        <w:gridCol w:w="1540"/>
        <w:gridCol w:w="887"/>
        <w:gridCol w:w="1754"/>
        <w:gridCol w:w="1554"/>
      </w:tblGrid>
      <w:tr>
        <w:tblPrEx>
          <w:tblBorders>
            <w:top w:val="single" w:color="auto" w:sz="8" w:space="0"/>
            <w:left w:val="single" w:color="auto" w:sz="8" w:space="0"/>
            <w:bottom w:val="single" w:color="auto" w:sz="8" w:space="0"/>
            <w:right w:val="single" w:color="auto" w:sz="8" w:space="0"/>
            <w:insideH w:val="outset" w:color="000000" w:sz="6" w:space="0"/>
            <w:insideV w:val="outset" w:color="000000" w:sz="6" w:space="0"/>
          </w:tblBorders>
        </w:tblPrEx>
        <w:trPr>
          <w:trHeight w:val="742" w:hRule="atLeast"/>
          <w:jc w:val="center"/>
        </w:trPr>
        <w:tc>
          <w:tcPr>
            <w:tcW w:w="1154" w:type="dxa"/>
            <w:tcBorders>
              <w:top w:val="single" w:color="auto" w:sz="8" w:space="0"/>
              <w:left w:val="single" w:color="auto" w:sz="8" w:space="0"/>
              <w:bottom w:val="outset" w:color="000000" w:sz="6" w:space="0"/>
              <w:right w:val="outset" w:color="000000" w:sz="6" w:space="0"/>
            </w:tcBorders>
            <w:noWrap w:val="0"/>
            <w:vAlign w:val="center"/>
          </w:tcPr>
          <w:p>
            <w:pPr>
              <w:spacing w:line="240" w:lineRule="exact"/>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项目编码</w:t>
            </w:r>
          </w:p>
        </w:tc>
        <w:tc>
          <w:tcPr>
            <w:tcW w:w="1421" w:type="dxa"/>
            <w:tcBorders>
              <w:top w:val="single" w:color="auto" w:sz="8" w:space="0"/>
              <w:left w:val="outset" w:color="000000" w:sz="6" w:space="0"/>
              <w:bottom w:val="outset" w:color="000000" w:sz="6" w:space="0"/>
              <w:right w:val="outset" w:color="000000" w:sz="6" w:space="0"/>
            </w:tcBorders>
            <w:noWrap w:val="0"/>
            <w:vAlign w:val="center"/>
          </w:tcPr>
          <w:p>
            <w:pPr>
              <w:spacing w:line="240" w:lineRule="exact"/>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项目名称</w:t>
            </w:r>
          </w:p>
        </w:tc>
        <w:tc>
          <w:tcPr>
            <w:tcW w:w="1540" w:type="dxa"/>
            <w:tcBorders>
              <w:top w:val="single" w:color="auto" w:sz="8" w:space="0"/>
              <w:left w:val="outset" w:color="000000" w:sz="6" w:space="0"/>
              <w:bottom w:val="outset" w:color="000000" w:sz="6" w:space="0"/>
              <w:right w:val="outset" w:color="000000" w:sz="6" w:space="0"/>
            </w:tcBorders>
            <w:noWrap w:val="0"/>
            <w:vAlign w:val="center"/>
          </w:tcPr>
          <w:p>
            <w:pPr>
              <w:spacing w:line="240" w:lineRule="exact"/>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项目特征</w:t>
            </w:r>
          </w:p>
        </w:tc>
        <w:tc>
          <w:tcPr>
            <w:tcW w:w="887" w:type="dxa"/>
            <w:tcBorders>
              <w:top w:val="single" w:color="auto" w:sz="8" w:space="0"/>
              <w:left w:val="outset" w:color="000000" w:sz="6" w:space="0"/>
              <w:bottom w:val="outset" w:color="000000" w:sz="6" w:space="0"/>
              <w:right w:val="outset" w:color="000000" w:sz="6" w:space="0"/>
            </w:tcBorders>
            <w:noWrap w:val="0"/>
            <w:vAlign w:val="center"/>
          </w:tcPr>
          <w:p>
            <w:pPr>
              <w:spacing w:line="240" w:lineRule="exact"/>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计量</w:t>
            </w:r>
          </w:p>
          <w:p>
            <w:pPr>
              <w:spacing w:line="240" w:lineRule="exact"/>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单位</w:t>
            </w:r>
          </w:p>
        </w:tc>
        <w:tc>
          <w:tcPr>
            <w:tcW w:w="1754" w:type="dxa"/>
            <w:tcBorders>
              <w:top w:val="single" w:color="auto" w:sz="8" w:space="0"/>
              <w:left w:val="outset" w:color="000000" w:sz="6" w:space="0"/>
              <w:bottom w:val="outset" w:color="000000" w:sz="6" w:space="0"/>
              <w:right w:val="outset" w:color="000000" w:sz="6" w:space="0"/>
            </w:tcBorders>
            <w:noWrap w:val="0"/>
            <w:vAlign w:val="center"/>
          </w:tcPr>
          <w:p>
            <w:pPr>
              <w:spacing w:line="240" w:lineRule="exact"/>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工程量计算规则</w:t>
            </w:r>
          </w:p>
        </w:tc>
        <w:tc>
          <w:tcPr>
            <w:tcW w:w="1554" w:type="dxa"/>
            <w:tcBorders>
              <w:top w:val="single" w:color="auto" w:sz="8" w:space="0"/>
              <w:left w:val="outset" w:color="000000" w:sz="6" w:space="0"/>
              <w:bottom w:val="outset" w:color="000000" w:sz="6" w:space="0"/>
              <w:right w:val="single" w:color="auto" w:sz="8" w:space="0"/>
            </w:tcBorders>
            <w:noWrap w:val="0"/>
            <w:vAlign w:val="center"/>
          </w:tcPr>
          <w:p>
            <w:pPr>
              <w:spacing w:line="240" w:lineRule="exact"/>
              <w:jc w:val="center"/>
              <w:rPr>
                <w:rFonts w:ascii="Times New Roman" w:eastAsia="方正黑体_GBK"/>
                <w:color w:val="000000"/>
                <w:spacing w:val="-2"/>
                <w:kern w:val="0"/>
                <w:szCs w:val="21"/>
              </w:rPr>
            </w:pPr>
            <w:r>
              <w:rPr>
                <w:rFonts w:hint="eastAsia" w:ascii="Times New Roman" w:eastAsia="方正黑体_GBK"/>
                <w:color w:val="000000"/>
                <w:spacing w:val="-2"/>
                <w:kern w:val="0"/>
                <w:szCs w:val="21"/>
              </w:rPr>
              <w:t>工作内容</w:t>
            </w:r>
          </w:p>
        </w:tc>
      </w:tr>
      <w:tr>
        <w:tblPrEx>
          <w:tblBorders>
            <w:top w:val="single" w:color="auto" w:sz="8" w:space="0"/>
            <w:left w:val="single" w:color="auto" w:sz="8" w:space="0"/>
            <w:bottom w:val="single" w:color="auto" w:sz="8" w:space="0"/>
            <w:right w:val="single" w:color="auto" w:sz="8" w:space="0"/>
            <w:insideH w:val="outset" w:color="000000" w:sz="6" w:space="0"/>
            <w:insideV w:val="outset" w:color="000000" w:sz="6" w:space="0"/>
          </w:tblBorders>
          <w:tblCellMar>
            <w:top w:w="0" w:type="dxa"/>
            <w:left w:w="0" w:type="dxa"/>
            <w:bottom w:w="0" w:type="dxa"/>
            <w:right w:w="0" w:type="dxa"/>
          </w:tblCellMar>
        </w:tblPrEx>
        <w:trPr>
          <w:trHeight w:val="764" w:hRule="atLeast"/>
          <w:jc w:val="center"/>
        </w:trPr>
        <w:tc>
          <w:tcPr>
            <w:tcW w:w="1154" w:type="dxa"/>
            <w:tcBorders>
              <w:top w:val="outset" w:color="000000" w:sz="6" w:space="0"/>
              <w:left w:val="single" w:color="auto" w:sz="8" w:space="0"/>
              <w:bottom w:val="single" w:color="auto" w:sz="8" w:space="0"/>
              <w:right w:val="outset" w:color="000000" w:sz="6" w:space="0"/>
            </w:tcBorders>
            <w:noWrap w:val="0"/>
            <w:vAlign w:val="center"/>
          </w:tcPr>
          <w:p>
            <w:pPr>
              <w:spacing w:line="240" w:lineRule="exact"/>
              <w:jc w:val="center"/>
              <w:rPr>
                <w:rFonts w:eastAsia="方正仿宋_GBK"/>
                <w:color w:val="000000"/>
                <w:spacing w:val="-2"/>
                <w:kern w:val="0"/>
                <w:szCs w:val="21"/>
              </w:rPr>
            </w:pPr>
            <w:r>
              <w:rPr>
                <w:rFonts w:eastAsia="方正仿宋_GBK"/>
                <w:color w:val="000000"/>
                <w:spacing w:val="-2"/>
                <w:kern w:val="0"/>
                <w:szCs w:val="21"/>
              </w:rPr>
              <w:t>010516004</w:t>
            </w:r>
          </w:p>
        </w:tc>
        <w:tc>
          <w:tcPr>
            <w:tcW w:w="1421" w:type="dxa"/>
            <w:tcBorders>
              <w:top w:val="outset" w:color="000000" w:sz="6" w:space="0"/>
              <w:left w:val="outset" w:color="000000" w:sz="6" w:space="0"/>
              <w:bottom w:val="single" w:color="auto" w:sz="8" w:space="0"/>
              <w:right w:val="outset" w:color="000000" w:sz="6" w:space="0"/>
            </w:tcBorders>
            <w:noWrap w:val="0"/>
            <w:vAlign w:val="center"/>
          </w:tcPr>
          <w:p>
            <w:pPr>
              <w:spacing w:line="240" w:lineRule="exact"/>
              <w:jc w:val="center"/>
              <w:rPr>
                <w:rFonts w:eastAsia="方正仿宋_GBK"/>
                <w:color w:val="000000"/>
                <w:spacing w:val="-2"/>
                <w:kern w:val="0"/>
                <w:szCs w:val="21"/>
              </w:rPr>
            </w:pPr>
            <w:r>
              <w:rPr>
                <w:rFonts w:hint="eastAsia" w:eastAsia="方正仿宋_GBK"/>
                <w:color w:val="000000"/>
                <w:spacing w:val="-2"/>
                <w:kern w:val="0"/>
                <w:szCs w:val="21"/>
              </w:rPr>
              <w:t>钢筋电渣压力焊接头</w:t>
            </w:r>
          </w:p>
        </w:tc>
        <w:tc>
          <w:tcPr>
            <w:tcW w:w="1540" w:type="dxa"/>
            <w:tcBorders>
              <w:top w:val="outset" w:color="000000" w:sz="6" w:space="0"/>
              <w:left w:val="outset" w:color="000000" w:sz="6" w:space="0"/>
              <w:bottom w:val="single" w:color="auto" w:sz="8" w:space="0"/>
              <w:right w:val="outset" w:color="000000" w:sz="6" w:space="0"/>
            </w:tcBorders>
            <w:noWrap w:val="0"/>
            <w:vAlign w:val="center"/>
          </w:tcPr>
          <w:p>
            <w:pPr>
              <w:spacing w:line="240" w:lineRule="exact"/>
              <w:jc w:val="center"/>
              <w:rPr>
                <w:rFonts w:eastAsia="方正仿宋_GBK"/>
                <w:color w:val="000000"/>
                <w:spacing w:val="-2"/>
                <w:kern w:val="0"/>
                <w:szCs w:val="21"/>
              </w:rPr>
            </w:pPr>
            <w:r>
              <w:rPr>
                <w:rFonts w:hint="eastAsia" w:eastAsia="方正仿宋_GBK"/>
                <w:color w:val="000000"/>
                <w:spacing w:val="-2"/>
                <w:kern w:val="0"/>
                <w:szCs w:val="21"/>
              </w:rPr>
              <w:t>钢筋种类、规格</w:t>
            </w:r>
          </w:p>
        </w:tc>
        <w:tc>
          <w:tcPr>
            <w:tcW w:w="887" w:type="dxa"/>
            <w:tcBorders>
              <w:top w:val="outset" w:color="000000" w:sz="6" w:space="0"/>
              <w:left w:val="outset" w:color="000000" w:sz="6" w:space="0"/>
              <w:bottom w:val="single" w:color="auto" w:sz="8" w:space="0"/>
              <w:right w:val="outset" w:color="000000" w:sz="6" w:space="0"/>
            </w:tcBorders>
            <w:noWrap w:val="0"/>
            <w:vAlign w:val="center"/>
          </w:tcPr>
          <w:p>
            <w:pPr>
              <w:spacing w:line="240" w:lineRule="exact"/>
              <w:jc w:val="center"/>
              <w:rPr>
                <w:rFonts w:eastAsia="方正仿宋_GBK"/>
                <w:color w:val="000000"/>
                <w:spacing w:val="-2"/>
                <w:kern w:val="0"/>
                <w:szCs w:val="21"/>
              </w:rPr>
            </w:pPr>
            <w:r>
              <w:rPr>
                <w:rFonts w:hint="eastAsia" w:eastAsia="方正仿宋_GBK"/>
                <w:color w:val="000000"/>
                <w:spacing w:val="-2"/>
                <w:kern w:val="0"/>
                <w:szCs w:val="21"/>
              </w:rPr>
              <w:t>个</w:t>
            </w:r>
          </w:p>
        </w:tc>
        <w:tc>
          <w:tcPr>
            <w:tcW w:w="1754" w:type="dxa"/>
            <w:tcBorders>
              <w:top w:val="outset" w:color="000000" w:sz="6" w:space="0"/>
              <w:left w:val="outset" w:color="000000" w:sz="6" w:space="0"/>
              <w:bottom w:val="single" w:color="auto" w:sz="8" w:space="0"/>
              <w:right w:val="outset" w:color="000000" w:sz="6" w:space="0"/>
            </w:tcBorders>
            <w:noWrap w:val="0"/>
            <w:vAlign w:val="center"/>
          </w:tcPr>
          <w:p>
            <w:pPr>
              <w:spacing w:line="240" w:lineRule="exact"/>
              <w:jc w:val="center"/>
              <w:rPr>
                <w:rFonts w:eastAsia="方正仿宋_GBK"/>
                <w:color w:val="000000"/>
                <w:spacing w:val="-2"/>
                <w:kern w:val="0"/>
                <w:szCs w:val="21"/>
              </w:rPr>
            </w:pPr>
            <w:r>
              <w:rPr>
                <w:rFonts w:hint="eastAsia" w:eastAsia="方正仿宋_GBK"/>
                <w:color w:val="000000"/>
                <w:spacing w:val="-2"/>
                <w:kern w:val="0"/>
                <w:szCs w:val="21"/>
              </w:rPr>
              <w:t>按数量计算</w:t>
            </w:r>
          </w:p>
        </w:tc>
        <w:tc>
          <w:tcPr>
            <w:tcW w:w="1554" w:type="dxa"/>
            <w:tcBorders>
              <w:top w:val="outset" w:color="000000" w:sz="6" w:space="0"/>
              <w:left w:val="outset" w:color="000000" w:sz="6" w:space="0"/>
              <w:bottom w:val="single" w:color="auto" w:sz="8" w:space="0"/>
              <w:right w:val="single" w:color="auto" w:sz="8" w:space="0"/>
            </w:tcBorders>
            <w:noWrap w:val="0"/>
            <w:vAlign w:val="center"/>
          </w:tcPr>
          <w:p>
            <w:pPr>
              <w:spacing w:line="240" w:lineRule="exact"/>
              <w:jc w:val="center"/>
              <w:rPr>
                <w:rFonts w:eastAsia="方正仿宋_GBK"/>
                <w:color w:val="000000"/>
                <w:spacing w:val="-2"/>
                <w:kern w:val="0"/>
                <w:szCs w:val="21"/>
              </w:rPr>
            </w:pPr>
            <w:r>
              <w:rPr>
                <w:rFonts w:eastAsia="方正仿宋_GBK"/>
                <w:color w:val="000000"/>
                <w:spacing w:val="-2"/>
                <w:kern w:val="0"/>
                <w:szCs w:val="21"/>
              </w:rPr>
              <w:t>1.</w:t>
            </w:r>
            <w:r>
              <w:rPr>
                <w:rFonts w:hint="eastAsia" w:eastAsia="方正仿宋_GBK"/>
                <w:color w:val="000000"/>
                <w:spacing w:val="-2"/>
                <w:kern w:val="0"/>
                <w:szCs w:val="21"/>
              </w:rPr>
              <w:t>接头清理</w:t>
            </w:r>
          </w:p>
          <w:p>
            <w:pPr>
              <w:spacing w:line="240" w:lineRule="exact"/>
              <w:jc w:val="center"/>
              <w:rPr>
                <w:rFonts w:eastAsia="方正仿宋_GBK"/>
                <w:color w:val="000000"/>
                <w:spacing w:val="-2"/>
                <w:kern w:val="0"/>
                <w:szCs w:val="21"/>
              </w:rPr>
            </w:pPr>
            <w:r>
              <w:rPr>
                <w:rFonts w:eastAsia="方正仿宋_GBK"/>
                <w:color w:val="000000"/>
                <w:spacing w:val="-2"/>
                <w:kern w:val="0"/>
                <w:szCs w:val="21"/>
              </w:rPr>
              <w:t>2.</w:t>
            </w:r>
            <w:r>
              <w:rPr>
                <w:rFonts w:hint="eastAsia" w:eastAsia="方正仿宋_GBK"/>
                <w:color w:val="000000"/>
                <w:spacing w:val="-2"/>
                <w:kern w:val="0"/>
                <w:szCs w:val="21"/>
              </w:rPr>
              <w:t>焊接固定。</w:t>
            </w:r>
          </w:p>
        </w:tc>
      </w:tr>
    </w:tbl>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w:t>
      </w:r>
      <w:r>
        <w:rPr>
          <w:rFonts w:eastAsia="方正仿宋_GBK"/>
          <w:color w:val="000000"/>
          <w:spacing w:val="-2"/>
          <w:kern w:val="0"/>
          <w:sz w:val="24"/>
        </w:rPr>
        <w:t>2</w:t>
      </w:r>
      <w:r>
        <w:rPr>
          <w:rFonts w:hint="eastAsia" w:eastAsia="方正仿宋_GBK"/>
          <w:color w:val="000000"/>
          <w:spacing w:val="-2"/>
          <w:kern w:val="0"/>
          <w:sz w:val="24"/>
        </w:rPr>
        <w:t>）市政工程</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挖沟槽、基坑、一般石方因超挖量、工作面和放坡增加的工程量并入各石方工程量中。</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3</w:t>
      </w:r>
      <w:r>
        <w:rPr>
          <w:rFonts w:hint="eastAsia" w:eastAsia="方正仿宋_GBK"/>
          <w:color w:val="000000"/>
          <w:spacing w:val="-2"/>
          <w:kern w:val="0"/>
          <w:sz w:val="24"/>
        </w:rPr>
        <w:t>、各专业计算规范措施项目部分具体调整见附件一。</w:t>
      </w:r>
    </w:p>
    <w:p>
      <w:pPr>
        <w:spacing w:line="460" w:lineRule="exact"/>
        <w:ind w:firstLine="464" w:firstLineChars="200"/>
        <w:rPr>
          <w:rFonts w:ascii="Times New Roman" w:eastAsia="方正楷体_GBK"/>
          <w:color w:val="000000"/>
          <w:spacing w:val="-2"/>
          <w:kern w:val="0"/>
          <w:sz w:val="24"/>
        </w:rPr>
      </w:pPr>
      <w:r>
        <w:rPr>
          <w:rFonts w:hint="eastAsia" w:ascii="Times New Roman" w:eastAsia="方正楷体_GBK"/>
          <w:color w:val="000000"/>
          <w:spacing w:val="-2"/>
          <w:kern w:val="0"/>
          <w:sz w:val="24"/>
        </w:rPr>
        <w:t>（三）工程量清单计价表格调整</w:t>
      </w:r>
    </w:p>
    <w:p>
      <w:pPr>
        <w:spacing w:line="460" w:lineRule="exact"/>
        <w:ind w:firstLine="464" w:firstLineChars="200"/>
        <w:rPr>
          <w:rFonts w:hint="eastAsia" w:eastAsia="方正仿宋_GBK"/>
          <w:color w:val="000000"/>
          <w:spacing w:val="-2"/>
          <w:kern w:val="0"/>
          <w:sz w:val="24"/>
        </w:rPr>
      </w:pPr>
      <w:r>
        <w:rPr>
          <w:rFonts w:eastAsia="方正仿宋_GBK"/>
          <w:color w:val="000000"/>
          <w:spacing w:val="-2"/>
          <w:kern w:val="0"/>
          <w:sz w:val="24"/>
        </w:rPr>
        <w:t>1</w:t>
      </w:r>
      <w:r>
        <w:rPr>
          <w:rFonts w:hint="eastAsia" w:eastAsia="方正仿宋_GBK"/>
          <w:color w:val="000000"/>
          <w:spacing w:val="-2"/>
          <w:kern w:val="0"/>
          <w:sz w:val="24"/>
        </w:rPr>
        <w:t>、</w:t>
      </w:r>
      <w:r>
        <w:rPr>
          <w:rFonts w:eastAsia="方正仿宋_GBK"/>
          <w:color w:val="000000"/>
          <w:spacing w:val="-2"/>
          <w:kern w:val="0"/>
          <w:sz w:val="24"/>
        </w:rPr>
        <w:t>2013</w:t>
      </w:r>
      <w:r>
        <w:rPr>
          <w:rFonts w:hint="eastAsia" w:eastAsia="方正仿宋_GBK"/>
          <w:color w:val="000000"/>
          <w:spacing w:val="-2"/>
          <w:kern w:val="0"/>
          <w:sz w:val="24"/>
        </w:rPr>
        <w:t>版计价规范中表</w:t>
      </w:r>
      <w:r>
        <w:rPr>
          <w:rFonts w:eastAsia="方正仿宋_GBK"/>
          <w:color w:val="000000"/>
          <w:spacing w:val="-2"/>
          <w:kern w:val="0"/>
          <w:sz w:val="24"/>
        </w:rPr>
        <w:t>-11“</w:t>
      </w:r>
      <w:r>
        <w:rPr>
          <w:rFonts w:hint="eastAsia" w:eastAsia="方正仿宋_GBK"/>
          <w:color w:val="000000"/>
          <w:spacing w:val="-2"/>
          <w:kern w:val="0"/>
          <w:sz w:val="24"/>
        </w:rPr>
        <w:t>总价措施项目清单与计价表</w:t>
      </w:r>
      <w:r>
        <w:rPr>
          <w:rFonts w:eastAsia="方正仿宋_GBK"/>
          <w:color w:val="000000"/>
          <w:spacing w:val="-2"/>
          <w:kern w:val="0"/>
          <w:sz w:val="24"/>
        </w:rPr>
        <w:t>”</w:t>
      </w:r>
      <w:r>
        <w:rPr>
          <w:rFonts w:hint="eastAsia" w:eastAsia="方正仿宋_GBK"/>
          <w:color w:val="000000"/>
          <w:spacing w:val="-2"/>
          <w:kern w:val="0"/>
          <w:sz w:val="24"/>
        </w:rPr>
        <w:t>的总价措施项目根据</w:t>
      </w:r>
      <w:r>
        <w:rPr>
          <w:rFonts w:eastAsia="方正仿宋_GBK"/>
          <w:color w:val="000000"/>
          <w:spacing w:val="-2"/>
          <w:kern w:val="0"/>
          <w:sz w:val="24"/>
        </w:rPr>
        <w:t>2013</w:t>
      </w:r>
      <w:r>
        <w:rPr>
          <w:rFonts w:hint="eastAsia" w:eastAsia="方正仿宋_GBK"/>
          <w:color w:val="000000"/>
          <w:spacing w:val="-2"/>
          <w:kern w:val="0"/>
          <w:sz w:val="24"/>
        </w:rPr>
        <w:t>版计算规范和我省规定列项。表中注</w:t>
      </w:r>
      <w:r>
        <w:rPr>
          <w:rFonts w:eastAsia="方正仿宋_GBK"/>
          <w:color w:val="000000"/>
          <w:spacing w:val="-2"/>
          <w:kern w:val="0"/>
          <w:sz w:val="24"/>
        </w:rPr>
        <w:t>1</w:t>
      </w:r>
      <w:r>
        <w:rPr>
          <w:rFonts w:hint="eastAsia" w:eastAsia="方正仿宋_GBK"/>
          <w:color w:val="000000"/>
          <w:spacing w:val="-2"/>
          <w:kern w:val="0"/>
          <w:sz w:val="24"/>
        </w:rPr>
        <w:t>取消，</w:t>
      </w:r>
      <w:r>
        <w:rPr>
          <w:rFonts w:eastAsia="方正仿宋_GBK"/>
          <w:color w:val="000000"/>
          <w:spacing w:val="-2"/>
          <w:kern w:val="0"/>
          <w:sz w:val="24"/>
        </w:rPr>
        <w:t>“</w:t>
      </w:r>
      <w:r>
        <w:rPr>
          <w:rFonts w:hint="eastAsia" w:eastAsia="方正仿宋_GBK"/>
          <w:color w:val="000000"/>
          <w:spacing w:val="-2"/>
          <w:kern w:val="0"/>
          <w:sz w:val="24"/>
        </w:rPr>
        <w:t>注</w:t>
      </w:r>
      <w:r>
        <w:rPr>
          <w:rFonts w:eastAsia="方正仿宋_GBK"/>
          <w:color w:val="000000"/>
          <w:spacing w:val="-2"/>
          <w:kern w:val="0"/>
          <w:sz w:val="24"/>
        </w:rPr>
        <w:t>2”</w:t>
      </w:r>
      <w:r>
        <w:rPr>
          <w:rFonts w:hint="eastAsia" w:eastAsia="方正仿宋_GBK"/>
          <w:color w:val="000000"/>
          <w:spacing w:val="-2"/>
          <w:kern w:val="0"/>
          <w:sz w:val="24"/>
        </w:rPr>
        <w:t>改为</w:t>
      </w:r>
      <w:r>
        <w:rPr>
          <w:rFonts w:eastAsia="方正仿宋_GBK"/>
          <w:color w:val="000000"/>
          <w:spacing w:val="-2"/>
          <w:kern w:val="0"/>
          <w:sz w:val="24"/>
        </w:rPr>
        <w:t>“</w:t>
      </w:r>
      <w:r>
        <w:rPr>
          <w:rFonts w:hint="eastAsia" w:eastAsia="方正仿宋_GBK"/>
          <w:color w:val="000000"/>
          <w:spacing w:val="-2"/>
          <w:kern w:val="0"/>
          <w:sz w:val="24"/>
        </w:rPr>
        <w:t>注</w:t>
      </w:r>
      <w:r>
        <w:rPr>
          <w:rFonts w:eastAsia="方正仿宋_GBK"/>
          <w:color w:val="000000"/>
          <w:spacing w:val="-2"/>
          <w:kern w:val="0"/>
          <w:sz w:val="24"/>
        </w:rPr>
        <w:t>”</w:t>
      </w:r>
      <w:r>
        <w:rPr>
          <w:rFonts w:hint="eastAsia" w:eastAsia="方正仿宋_GBK"/>
          <w:color w:val="000000"/>
          <w:spacing w:val="-2"/>
          <w:kern w:val="0"/>
          <w:sz w:val="24"/>
        </w:rPr>
        <w:t>。</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2</w:t>
      </w:r>
      <w:r>
        <w:rPr>
          <w:rFonts w:hint="eastAsia" w:eastAsia="方正仿宋_GBK"/>
          <w:color w:val="000000"/>
          <w:spacing w:val="-2"/>
          <w:kern w:val="0"/>
          <w:sz w:val="24"/>
        </w:rPr>
        <w:t>、其他表格具体调整见附件二。</w:t>
      </w:r>
    </w:p>
    <w:p>
      <w:pPr>
        <w:spacing w:line="460" w:lineRule="exact"/>
        <w:ind w:firstLine="464" w:firstLineChars="200"/>
        <w:rPr>
          <w:rFonts w:ascii="Times New Roman" w:eastAsia="方正黑体_GBK"/>
          <w:color w:val="000000"/>
          <w:spacing w:val="-2"/>
          <w:kern w:val="0"/>
          <w:sz w:val="24"/>
        </w:rPr>
      </w:pPr>
      <w:r>
        <w:rPr>
          <w:rFonts w:hint="eastAsia" w:ascii="Times New Roman" w:eastAsia="方正黑体_GBK"/>
          <w:color w:val="000000"/>
          <w:spacing w:val="-2"/>
          <w:kern w:val="0"/>
          <w:sz w:val="24"/>
        </w:rPr>
        <w:t>三、执行时间与要求</w:t>
      </w:r>
    </w:p>
    <w:p>
      <w:pPr>
        <w:spacing w:line="460" w:lineRule="exact"/>
        <w:ind w:firstLine="464" w:firstLineChars="200"/>
        <w:rPr>
          <w:rFonts w:hint="eastAsia" w:eastAsia="方正仿宋_GBK"/>
          <w:color w:val="000000"/>
          <w:spacing w:val="-2"/>
          <w:kern w:val="0"/>
          <w:sz w:val="24"/>
        </w:rPr>
      </w:pPr>
      <w:r>
        <w:rPr>
          <w:rFonts w:eastAsia="方正仿宋_GBK"/>
          <w:color w:val="000000"/>
          <w:spacing w:val="-2"/>
          <w:kern w:val="0"/>
          <w:sz w:val="24"/>
        </w:rPr>
        <w:t>1</w:t>
      </w:r>
      <w:r>
        <w:rPr>
          <w:rFonts w:hint="eastAsia" w:eastAsia="方正仿宋_GBK"/>
          <w:color w:val="000000"/>
          <w:spacing w:val="-2"/>
          <w:kern w:val="0"/>
          <w:sz w:val="24"/>
        </w:rPr>
        <w:t>、</w:t>
      </w:r>
      <w:r>
        <w:rPr>
          <w:rFonts w:eastAsia="方正仿宋_GBK"/>
          <w:color w:val="000000"/>
          <w:spacing w:val="-2"/>
          <w:kern w:val="0"/>
          <w:sz w:val="24"/>
        </w:rPr>
        <w:t>2014</w:t>
      </w:r>
      <w:r>
        <w:rPr>
          <w:rFonts w:hint="eastAsia" w:eastAsia="方正仿宋_GBK"/>
          <w:color w:val="000000"/>
          <w:spacing w:val="-2"/>
          <w:kern w:val="0"/>
          <w:sz w:val="24"/>
        </w:rPr>
        <w:t>年</w:t>
      </w:r>
      <w:r>
        <w:rPr>
          <w:rFonts w:eastAsia="方正仿宋_GBK"/>
          <w:color w:val="000000"/>
          <w:spacing w:val="-2"/>
          <w:kern w:val="0"/>
          <w:sz w:val="24"/>
        </w:rPr>
        <w:t>10</w:t>
      </w:r>
      <w:r>
        <w:rPr>
          <w:rFonts w:hint="eastAsia" w:eastAsia="方正仿宋_GBK"/>
          <w:color w:val="000000"/>
          <w:spacing w:val="-2"/>
          <w:kern w:val="0"/>
          <w:sz w:val="24"/>
        </w:rPr>
        <w:t>月</w:t>
      </w:r>
      <w:r>
        <w:rPr>
          <w:rFonts w:eastAsia="方正仿宋_GBK"/>
          <w:color w:val="000000"/>
          <w:spacing w:val="-2"/>
          <w:kern w:val="0"/>
          <w:sz w:val="24"/>
        </w:rPr>
        <w:t>1</w:t>
      </w:r>
      <w:r>
        <w:rPr>
          <w:rFonts w:hint="eastAsia" w:eastAsia="方正仿宋_GBK"/>
          <w:color w:val="000000"/>
          <w:spacing w:val="-2"/>
          <w:kern w:val="0"/>
          <w:sz w:val="24"/>
        </w:rPr>
        <w:t>日起发布招标文件的招投标工程以及签订施工合同的非招投标工程，应执行</w:t>
      </w:r>
      <w:r>
        <w:rPr>
          <w:rFonts w:eastAsia="方正仿宋_GBK"/>
          <w:color w:val="000000"/>
          <w:spacing w:val="-2"/>
          <w:kern w:val="0"/>
          <w:sz w:val="24"/>
        </w:rPr>
        <w:t>2013</w:t>
      </w:r>
      <w:r>
        <w:rPr>
          <w:rFonts w:hint="eastAsia" w:eastAsia="方正仿宋_GBK"/>
          <w:color w:val="000000"/>
          <w:spacing w:val="-2"/>
          <w:kern w:val="0"/>
          <w:sz w:val="24"/>
        </w:rPr>
        <w:t>版计价规范和计算规范。《江苏省建设工程费用定额》（</w:t>
      </w:r>
      <w:r>
        <w:rPr>
          <w:rFonts w:eastAsia="方正仿宋_GBK"/>
          <w:color w:val="000000"/>
          <w:spacing w:val="-2"/>
          <w:kern w:val="0"/>
          <w:sz w:val="24"/>
        </w:rPr>
        <w:t>2014</w:t>
      </w:r>
      <w:r>
        <w:rPr>
          <w:rFonts w:hint="eastAsia" w:eastAsia="方正仿宋_GBK"/>
          <w:color w:val="000000"/>
          <w:spacing w:val="-2"/>
          <w:kern w:val="0"/>
          <w:sz w:val="24"/>
        </w:rPr>
        <w:t>版）、《江苏省建筑与装饰工程计价定额》（</w:t>
      </w:r>
      <w:r>
        <w:rPr>
          <w:rFonts w:eastAsia="方正仿宋_GBK"/>
          <w:color w:val="000000"/>
          <w:spacing w:val="-2"/>
          <w:kern w:val="0"/>
          <w:sz w:val="24"/>
        </w:rPr>
        <w:t>2014</w:t>
      </w:r>
      <w:r>
        <w:rPr>
          <w:rFonts w:hint="eastAsia" w:eastAsia="方正仿宋_GBK"/>
          <w:color w:val="000000"/>
          <w:spacing w:val="-2"/>
          <w:kern w:val="0"/>
          <w:sz w:val="24"/>
        </w:rPr>
        <w:t>版）、《江苏省安装工程计价定额》（</w:t>
      </w:r>
      <w:r>
        <w:rPr>
          <w:rFonts w:eastAsia="方正仿宋_GBK"/>
          <w:color w:val="000000"/>
          <w:spacing w:val="-2"/>
          <w:kern w:val="0"/>
          <w:sz w:val="24"/>
        </w:rPr>
        <w:t>2014</w:t>
      </w:r>
      <w:r>
        <w:rPr>
          <w:rFonts w:hint="eastAsia" w:eastAsia="方正仿宋_GBK"/>
          <w:color w:val="000000"/>
          <w:spacing w:val="-2"/>
          <w:kern w:val="0"/>
          <w:sz w:val="24"/>
        </w:rPr>
        <w:t>版）、《江苏省市政工程计价定额》（</w:t>
      </w:r>
      <w:r>
        <w:rPr>
          <w:rFonts w:eastAsia="方正仿宋_GBK"/>
          <w:color w:val="000000"/>
          <w:spacing w:val="-2"/>
          <w:kern w:val="0"/>
          <w:sz w:val="24"/>
        </w:rPr>
        <w:t>2014</w:t>
      </w:r>
      <w:r>
        <w:rPr>
          <w:rFonts w:hint="eastAsia" w:eastAsia="方正仿宋_GBK"/>
          <w:color w:val="000000"/>
          <w:spacing w:val="-2"/>
          <w:kern w:val="0"/>
          <w:sz w:val="24"/>
        </w:rPr>
        <w:t>版）、《建筑工程建筑面积计算规范》（</w:t>
      </w:r>
      <w:r>
        <w:rPr>
          <w:rFonts w:eastAsia="方正仿宋_GBK"/>
          <w:color w:val="000000"/>
          <w:spacing w:val="-2"/>
          <w:kern w:val="0"/>
          <w:sz w:val="24"/>
        </w:rPr>
        <w:t>GB/T 50353 -2013</w:t>
      </w:r>
      <w:r>
        <w:rPr>
          <w:rFonts w:hint="eastAsia" w:eastAsia="方正仿宋_GBK"/>
          <w:color w:val="000000"/>
          <w:spacing w:val="-2"/>
          <w:kern w:val="0"/>
          <w:sz w:val="24"/>
        </w:rPr>
        <w:t>）与</w:t>
      </w:r>
      <w:r>
        <w:rPr>
          <w:rFonts w:eastAsia="方正仿宋_GBK"/>
          <w:color w:val="000000"/>
          <w:spacing w:val="-2"/>
          <w:kern w:val="0"/>
          <w:sz w:val="24"/>
        </w:rPr>
        <w:t>2013</w:t>
      </w:r>
      <w:r>
        <w:rPr>
          <w:rFonts w:hint="eastAsia" w:eastAsia="方正仿宋_GBK"/>
          <w:color w:val="000000"/>
          <w:spacing w:val="-2"/>
          <w:kern w:val="0"/>
          <w:sz w:val="24"/>
        </w:rPr>
        <w:t>版计价规范和计算规范同时配套执行。</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2</w:t>
      </w:r>
      <w:r>
        <w:rPr>
          <w:rFonts w:hint="eastAsia" w:eastAsia="方正仿宋_GBK"/>
          <w:color w:val="000000"/>
          <w:spacing w:val="-2"/>
          <w:kern w:val="0"/>
          <w:sz w:val="24"/>
        </w:rPr>
        <w:t>、凡依据江苏省</w:t>
      </w:r>
      <w:r>
        <w:rPr>
          <w:rFonts w:eastAsia="方正仿宋_GBK"/>
          <w:color w:val="000000"/>
          <w:spacing w:val="-2"/>
          <w:kern w:val="0"/>
          <w:sz w:val="24"/>
        </w:rPr>
        <w:t>2014</w:t>
      </w:r>
      <w:r>
        <w:rPr>
          <w:rFonts w:hint="eastAsia" w:eastAsia="方正仿宋_GBK"/>
          <w:color w:val="000000"/>
          <w:spacing w:val="-2"/>
          <w:kern w:val="0"/>
          <w:sz w:val="24"/>
        </w:rPr>
        <w:t>版计价定额开发并合法销售的计价软件，其定额和工料机数据库、计价程序、计价功能、成果文件均应符合我省的规定和要求。江苏省建设工程造价管理总站为申请企业提供技术测评服务。</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3</w:t>
      </w:r>
      <w:r>
        <w:rPr>
          <w:rFonts w:hint="eastAsia" w:eastAsia="方正仿宋_GBK"/>
          <w:color w:val="000000"/>
          <w:spacing w:val="-2"/>
          <w:kern w:val="0"/>
          <w:sz w:val="24"/>
        </w:rPr>
        <w:t>、各级造价管理机构要做好</w:t>
      </w:r>
      <w:r>
        <w:rPr>
          <w:rFonts w:eastAsia="方正仿宋_GBK"/>
          <w:color w:val="000000"/>
          <w:spacing w:val="-2"/>
          <w:kern w:val="0"/>
          <w:sz w:val="24"/>
        </w:rPr>
        <w:t>2013</w:t>
      </w:r>
      <w:r>
        <w:rPr>
          <w:rFonts w:hint="eastAsia" w:eastAsia="方正仿宋_GBK"/>
          <w:color w:val="000000"/>
          <w:spacing w:val="-2"/>
          <w:kern w:val="0"/>
          <w:sz w:val="24"/>
        </w:rPr>
        <w:t>版计价规范和计算规范及其配套实施文件的宣贯工作，招投标监管机构应及时调整相应的电子评标系统。</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4</w:t>
      </w:r>
      <w:r>
        <w:rPr>
          <w:rFonts w:hint="eastAsia" w:eastAsia="方正仿宋_GBK"/>
          <w:color w:val="000000"/>
          <w:spacing w:val="-2"/>
          <w:kern w:val="0"/>
          <w:sz w:val="24"/>
        </w:rPr>
        <w:t>、既往有关规定与本贯彻意见不符的，按本贯彻意见执行。</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5</w:t>
      </w:r>
      <w:r>
        <w:rPr>
          <w:rFonts w:hint="eastAsia" w:eastAsia="方正仿宋_GBK"/>
          <w:color w:val="000000"/>
          <w:spacing w:val="-2"/>
          <w:kern w:val="0"/>
          <w:sz w:val="24"/>
        </w:rPr>
        <w:t>、执行中如遇问题请及时反映给江苏省建设工程造价管理总站。</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 </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附件：</w:t>
      </w:r>
      <w:r>
        <w:rPr>
          <w:rFonts w:eastAsia="方正仿宋_GBK"/>
          <w:color w:val="000000"/>
          <w:spacing w:val="-2"/>
          <w:kern w:val="0"/>
          <w:sz w:val="24"/>
        </w:rPr>
        <w:t>1.</w:t>
      </w:r>
      <w:r>
        <w:rPr>
          <w:rFonts w:hint="cs" w:eastAsia="方正仿宋_GBK"/>
          <w:color w:val="000000"/>
          <w:spacing w:val="-2"/>
          <w:kern w:val="0"/>
          <w:sz w:val="24"/>
          <w:cs/>
        </w:rPr>
        <w:t> </w:t>
      </w:r>
      <w:r>
        <w:rPr>
          <w:rFonts w:hint="eastAsia" w:eastAsia="方正仿宋_GBK"/>
          <w:color w:val="000000"/>
          <w:spacing w:val="-2"/>
          <w:kern w:val="0"/>
          <w:sz w:val="24"/>
        </w:rPr>
        <w:t>措施项目清单调整和增加</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       2.</w:t>
      </w:r>
      <w:r>
        <w:rPr>
          <w:rFonts w:hint="cs" w:eastAsia="方正仿宋_GBK"/>
          <w:color w:val="000000"/>
          <w:spacing w:val="-2"/>
          <w:kern w:val="0"/>
          <w:sz w:val="24"/>
          <w:cs/>
        </w:rPr>
        <w:t> </w:t>
      </w:r>
      <w:r>
        <w:rPr>
          <w:rFonts w:hint="eastAsia" w:eastAsia="方正仿宋_GBK"/>
          <w:color w:val="000000"/>
          <w:spacing w:val="-2"/>
          <w:kern w:val="0"/>
          <w:sz w:val="24"/>
        </w:rPr>
        <w:t>工程量清单计价表格调整部分（共</w:t>
      </w:r>
      <w:r>
        <w:rPr>
          <w:rFonts w:eastAsia="方正仿宋_GBK"/>
          <w:color w:val="000000"/>
          <w:spacing w:val="-2"/>
          <w:kern w:val="0"/>
          <w:sz w:val="24"/>
        </w:rPr>
        <w:t>5</w:t>
      </w:r>
      <w:r>
        <w:rPr>
          <w:rFonts w:hint="eastAsia" w:eastAsia="方正仿宋_GBK"/>
          <w:color w:val="000000"/>
          <w:spacing w:val="-2"/>
          <w:kern w:val="0"/>
          <w:sz w:val="24"/>
        </w:rPr>
        <w:t>张表）</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 xml:space="preserve">    </w:t>
      </w:r>
    </w:p>
    <w:p>
      <w:pPr>
        <w:spacing w:line="460" w:lineRule="exact"/>
        <w:ind w:right="409" w:rightChars="199" w:firstLine="464" w:firstLineChars="200"/>
        <w:jc w:val="right"/>
        <w:rPr>
          <w:rFonts w:eastAsia="方正仿宋_GBK"/>
          <w:color w:val="000000"/>
          <w:spacing w:val="-2"/>
          <w:kern w:val="0"/>
          <w:sz w:val="24"/>
        </w:rPr>
      </w:pPr>
      <w:r>
        <w:rPr>
          <w:rFonts w:hint="eastAsia" w:eastAsia="方正仿宋_GBK"/>
          <w:color w:val="000000"/>
          <w:spacing w:val="-2"/>
          <w:kern w:val="0"/>
          <w:sz w:val="24"/>
        </w:rPr>
        <w:t>江苏省住房和城乡建设厅</w:t>
      </w:r>
      <w:r>
        <w:rPr>
          <w:rFonts w:eastAsia="方正仿宋_GBK"/>
          <w:color w:val="000000"/>
          <w:spacing w:val="-2"/>
          <w:kern w:val="0"/>
          <w:sz w:val="24"/>
        </w:rPr>
        <w:t xml:space="preserve">    </w:t>
      </w:r>
    </w:p>
    <w:p>
      <w:pPr>
        <w:spacing w:line="460" w:lineRule="exact"/>
        <w:ind w:right="881" w:rightChars="428" w:firstLine="4060" w:firstLineChars="1750"/>
        <w:jc w:val="right"/>
        <w:rPr>
          <w:rFonts w:eastAsia="方正仿宋_GBK"/>
          <w:color w:val="000000"/>
          <w:spacing w:val="-2"/>
          <w:kern w:val="0"/>
          <w:sz w:val="24"/>
        </w:rPr>
      </w:pPr>
      <w:r>
        <w:rPr>
          <w:rFonts w:eastAsia="方正仿宋_GBK"/>
          <w:color w:val="000000"/>
          <w:spacing w:val="-2"/>
          <w:kern w:val="0"/>
          <w:sz w:val="24"/>
        </w:rPr>
        <w:t xml:space="preserve"> 2014</w:t>
      </w:r>
      <w:r>
        <w:rPr>
          <w:rFonts w:hint="eastAsia" w:eastAsia="方正仿宋_GBK"/>
          <w:color w:val="000000"/>
          <w:spacing w:val="-2"/>
          <w:kern w:val="0"/>
          <w:sz w:val="24"/>
        </w:rPr>
        <w:t>年</w:t>
      </w:r>
      <w:r>
        <w:rPr>
          <w:rFonts w:eastAsia="方正仿宋_GBK"/>
          <w:color w:val="000000"/>
          <w:spacing w:val="-2"/>
          <w:kern w:val="0"/>
          <w:sz w:val="24"/>
        </w:rPr>
        <w:t>9</w:t>
      </w:r>
      <w:r>
        <w:rPr>
          <w:rFonts w:hint="eastAsia" w:eastAsia="方正仿宋_GBK"/>
          <w:color w:val="000000"/>
          <w:spacing w:val="-2"/>
          <w:kern w:val="0"/>
          <w:sz w:val="24"/>
        </w:rPr>
        <w:t>月</w:t>
      </w:r>
      <w:r>
        <w:rPr>
          <w:rFonts w:eastAsia="方正仿宋_GBK"/>
          <w:color w:val="000000"/>
          <w:spacing w:val="-2"/>
          <w:kern w:val="0"/>
          <w:sz w:val="24"/>
        </w:rPr>
        <w:t>3</w:t>
      </w:r>
      <w:r>
        <w:rPr>
          <w:rFonts w:hint="eastAsia" w:eastAsia="方正仿宋_GBK"/>
          <w:color w:val="000000"/>
          <w:spacing w:val="-2"/>
          <w:kern w:val="0"/>
          <w:sz w:val="24"/>
        </w:rPr>
        <w:t>日</w:t>
      </w:r>
      <w:r>
        <w:rPr>
          <w:rFonts w:eastAsia="方正仿宋_GBK"/>
          <w:color w:val="000000"/>
          <w:spacing w:val="-2"/>
          <w:kern w:val="0"/>
          <w:sz w:val="24"/>
        </w:rPr>
        <w:t xml:space="preserve">        </w:t>
      </w:r>
    </w:p>
    <w:p>
      <w:pPr>
        <w:spacing w:line="460" w:lineRule="exact"/>
        <w:ind w:firstLine="232" w:firstLineChars="100"/>
        <w:rPr>
          <w:rFonts w:eastAsia="方正仿宋_GBK"/>
          <w:color w:val="000000"/>
          <w:spacing w:val="-2"/>
          <w:kern w:val="0"/>
          <w:sz w:val="24"/>
        </w:rPr>
      </w:pPr>
      <w:r>
        <w:rPr>
          <w:rFonts w:eastAsia="方正仿宋_GBK"/>
          <w:color w:val="000000"/>
          <w:spacing w:val="-2"/>
          <w:kern w:val="0"/>
          <w:sz w:val="24"/>
        </w:rPr>
        <w:t> </w:t>
      </w:r>
    </w:p>
    <w:p>
      <w:pPr>
        <w:spacing w:line="460" w:lineRule="exact"/>
        <w:rPr>
          <w:rFonts w:ascii="Times New Roman" w:eastAsia="方正黑体_GBK" w:cs="宋体"/>
          <w:color w:val="000000"/>
          <w:spacing w:val="-2"/>
          <w:kern w:val="0"/>
          <w:sz w:val="28"/>
          <w:szCs w:val="28"/>
        </w:rPr>
      </w:pPr>
      <w:r>
        <w:rPr>
          <w:rFonts w:eastAsia="方正仿宋_GBK"/>
          <w:color w:val="000000"/>
          <w:spacing w:val="-2"/>
          <w:kern w:val="0"/>
          <w:sz w:val="24"/>
        </w:rPr>
        <w:br w:type="page"/>
      </w:r>
      <w:r>
        <w:rPr>
          <w:rFonts w:hint="eastAsia" w:ascii="Times New Roman" w:eastAsia="方正黑体_GBK"/>
          <w:color w:val="000000"/>
          <w:spacing w:val="-2"/>
          <w:kern w:val="0"/>
          <w:sz w:val="28"/>
          <w:szCs w:val="28"/>
        </w:rPr>
        <w:t>附件一：</w:t>
      </w:r>
    </w:p>
    <w:p>
      <w:pPr>
        <w:snapToGrid w:val="0"/>
        <w:spacing w:line="570" w:lineRule="exact"/>
        <w:jc w:val="center"/>
        <w:rPr>
          <w:rFonts w:hint="eastAsia" w:ascii="Times New Roman" w:eastAsia="方正黑体_GBK" w:cs="宋体"/>
          <w:color w:val="000000"/>
          <w:spacing w:val="-2"/>
          <w:kern w:val="0"/>
          <w:sz w:val="28"/>
          <w:szCs w:val="28"/>
        </w:rPr>
      </w:pPr>
      <w:r>
        <w:rPr>
          <w:rFonts w:hint="eastAsia" w:ascii="Times New Roman" w:hAnsi="Times New Roman" w:eastAsia="方正黑体_GBK" w:cs="宋体"/>
          <w:color w:val="000000"/>
          <w:spacing w:val="-2"/>
          <w:kern w:val="0"/>
          <w:sz w:val="28"/>
          <w:szCs w:val="28"/>
        </w:rPr>
        <w:t>措施项目清单调整和增加</w:t>
      </w:r>
    </w:p>
    <w:p>
      <w:pPr>
        <w:snapToGrid w:val="0"/>
        <w:spacing w:line="240" w:lineRule="exact"/>
        <w:ind w:firstLine="204" w:firstLineChars="200"/>
        <w:rPr>
          <w:rFonts w:hint="eastAsia" w:cs="宋体"/>
          <w:b/>
          <w:color w:val="000000"/>
          <w:spacing w:val="-2"/>
          <w:kern w:val="0"/>
          <w:sz w:val="11"/>
          <w:szCs w:val="11"/>
        </w:rPr>
      </w:pPr>
    </w:p>
    <w:p>
      <w:pPr>
        <w:snapToGrid w:val="0"/>
        <w:spacing w:line="460" w:lineRule="exact"/>
        <w:ind w:firstLine="464" w:firstLineChars="200"/>
        <w:rPr>
          <w:rFonts w:ascii="Times New Roman" w:eastAsia="方正黑体_GBK" w:cs="宋体"/>
          <w:color w:val="000000"/>
          <w:spacing w:val="-2"/>
          <w:kern w:val="0"/>
          <w:sz w:val="24"/>
        </w:rPr>
      </w:pPr>
      <w:r>
        <w:rPr>
          <w:rFonts w:hint="eastAsia" w:ascii="Times New Roman" w:hAnsi="Times New Roman" w:eastAsia="方正黑体_GBK" w:cs="宋体"/>
          <w:color w:val="000000"/>
          <w:spacing w:val="-2"/>
          <w:kern w:val="0"/>
          <w:sz w:val="24"/>
        </w:rPr>
        <w:t>一、单价措施项目：</w:t>
      </w:r>
    </w:p>
    <w:p>
      <w:pPr>
        <w:snapToGrid w:val="0"/>
        <w:spacing w:line="570" w:lineRule="exact"/>
        <w:ind w:firstLine="464" w:firstLineChars="200"/>
        <w:rPr>
          <w:rFonts w:hint="eastAsia" w:eastAsia="方正仿宋_GBK"/>
          <w:color w:val="000000"/>
          <w:spacing w:val="-2"/>
          <w:kern w:val="0"/>
          <w:sz w:val="24"/>
        </w:rPr>
      </w:pPr>
      <w:r>
        <w:rPr>
          <w:rFonts w:eastAsia="方正仿宋_GBK"/>
          <w:color w:val="000000"/>
          <w:spacing w:val="-2"/>
          <w:kern w:val="0"/>
          <w:sz w:val="24"/>
        </w:rPr>
        <w:t>1</w:t>
      </w:r>
      <w:r>
        <w:rPr>
          <w:rFonts w:hint="eastAsia" w:eastAsia="方正仿宋_GBK"/>
          <w:color w:val="000000"/>
          <w:spacing w:val="-2"/>
          <w:kern w:val="0"/>
          <w:sz w:val="24"/>
        </w:rPr>
        <w:t>、房屋建筑与装饰工程中增补电梯井脚手架。</w:t>
      </w:r>
    </w:p>
    <w:p>
      <w:pPr>
        <w:snapToGrid w:val="0"/>
        <w:spacing w:line="240" w:lineRule="exact"/>
        <w:rPr>
          <w:rFonts w:cs="宋体"/>
          <w:color w:val="000000"/>
          <w:spacing w:val="-2"/>
          <w:kern w:val="0"/>
          <w:sz w:val="10"/>
          <w:szCs w:val="10"/>
        </w:rPr>
      </w:pPr>
    </w:p>
    <w:tbl>
      <w:tblPr>
        <w:tblStyle w:val="12"/>
        <w:tblW w:w="0" w:type="auto"/>
        <w:jc w:val="center"/>
        <w:tblBorders>
          <w:top w:val="single" w:color="auto" w:sz="8" w:space="0"/>
          <w:left w:val="single" w:color="auto" w:sz="8" w:space="0"/>
          <w:bottom w:val="single" w:color="auto" w:sz="8" w:space="0"/>
          <w:right w:val="single" w:color="auto" w:sz="8" w:space="0"/>
          <w:insideH w:val="single" w:color="000000" w:sz="6" w:space="0"/>
          <w:insideV w:val="single" w:color="000000" w:sz="2" w:space="0"/>
        </w:tblBorders>
        <w:tblLayout w:type="fixed"/>
        <w:tblCellMar>
          <w:top w:w="0" w:type="dxa"/>
          <w:left w:w="108" w:type="dxa"/>
          <w:bottom w:w="0" w:type="dxa"/>
          <w:right w:w="108" w:type="dxa"/>
        </w:tblCellMar>
      </w:tblPr>
      <w:tblGrid>
        <w:gridCol w:w="1206"/>
        <w:gridCol w:w="925"/>
        <w:gridCol w:w="1296"/>
        <w:gridCol w:w="939"/>
        <w:gridCol w:w="1537"/>
        <w:gridCol w:w="2673"/>
      </w:tblGrid>
      <w:tr>
        <w:tblPrEx>
          <w:tblBorders>
            <w:top w:val="single" w:color="auto" w:sz="8" w:space="0"/>
            <w:left w:val="single" w:color="auto" w:sz="8" w:space="0"/>
            <w:bottom w:val="single" w:color="auto" w:sz="8" w:space="0"/>
            <w:right w:val="single" w:color="auto" w:sz="8" w:space="0"/>
            <w:insideH w:val="single" w:color="000000" w:sz="6" w:space="0"/>
            <w:insideV w:val="single" w:color="000000" w:sz="2" w:space="0"/>
          </w:tblBorders>
          <w:tblCellMar>
            <w:top w:w="0" w:type="dxa"/>
            <w:left w:w="108" w:type="dxa"/>
            <w:bottom w:w="0" w:type="dxa"/>
            <w:right w:w="108" w:type="dxa"/>
          </w:tblCellMar>
        </w:tblPrEx>
        <w:trPr>
          <w:trHeight w:val="536" w:hRule="atLeast"/>
          <w:jc w:val="center"/>
        </w:trPr>
        <w:tc>
          <w:tcPr>
            <w:tcW w:w="1206" w:type="dxa"/>
            <w:tcBorders>
              <w:top w:val="single" w:color="auto" w:sz="8" w:space="0"/>
              <w:left w:val="single" w:color="auto" w:sz="8" w:space="0"/>
              <w:bottom w:val="single" w:color="000000" w:sz="6" w:space="0"/>
              <w:right w:val="single" w:color="000000" w:sz="2" w:space="0"/>
            </w:tcBorders>
            <w:noWrap w:val="0"/>
            <w:tcMar>
              <w:top w:w="108" w:type="dxa"/>
              <w:left w:w="108" w:type="dxa"/>
              <w:bottom w:w="108" w:type="dxa"/>
              <w:right w:w="108" w:type="dxa"/>
            </w:tcMar>
            <w:vAlign w:val="center"/>
          </w:tcPr>
          <w:p>
            <w:pPr>
              <w:jc w:val="center"/>
              <w:rPr>
                <w:rFonts w:ascii="Times New Roman" w:eastAsia="方正黑体_GBK"/>
                <w:color w:val="000000"/>
                <w:spacing w:val="-2"/>
                <w:kern w:val="0"/>
                <w:sz w:val="18"/>
                <w:szCs w:val="18"/>
              </w:rPr>
            </w:pPr>
            <w:r>
              <w:rPr>
                <w:rFonts w:hint="eastAsia" w:ascii="Times New Roman" w:hAnsi="Times New Roman" w:eastAsia="方正黑体_GBK"/>
                <w:color w:val="000000"/>
                <w:spacing w:val="-2"/>
                <w:kern w:val="0"/>
                <w:sz w:val="18"/>
                <w:szCs w:val="18"/>
              </w:rPr>
              <w:t>项目编码</w:t>
            </w:r>
          </w:p>
        </w:tc>
        <w:tc>
          <w:tcPr>
            <w:tcW w:w="925" w:type="dxa"/>
            <w:tcBorders>
              <w:top w:val="single" w:color="auto" w:sz="8" w:space="0"/>
              <w:left w:val="single" w:color="000000" w:sz="2" w:space="0"/>
              <w:bottom w:val="single" w:color="000000" w:sz="6" w:space="0"/>
              <w:right w:val="single" w:color="000000" w:sz="2" w:space="0"/>
            </w:tcBorders>
            <w:noWrap w:val="0"/>
            <w:tcMar>
              <w:top w:w="108" w:type="dxa"/>
              <w:left w:w="108" w:type="dxa"/>
              <w:bottom w:w="108" w:type="dxa"/>
              <w:right w:w="108" w:type="dxa"/>
            </w:tcMar>
            <w:vAlign w:val="center"/>
          </w:tcPr>
          <w:p>
            <w:pPr>
              <w:jc w:val="center"/>
              <w:rPr>
                <w:rFonts w:ascii="Times New Roman" w:eastAsia="方正黑体_GBK"/>
                <w:color w:val="000000"/>
                <w:spacing w:val="-2"/>
                <w:kern w:val="0"/>
                <w:sz w:val="18"/>
                <w:szCs w:val="18"/>
              </w:rPr>
            </w:pPr>
            <w:r>
              <w:rPr>
                <w:rFonts w:hint="eastAsia" w:ascii="Times New Roman" w:hAnsi="Times New Roman" w:eastAsia="方正黑体_GBK"/>
                <w:color w:val="000000"/>
                <w:spacing w:val="-2"/>
                <w:kern w:val="0"/>
                <w:sz w:val="18"/>
                <w:szCs w:val="18"/>
              </w:rPr>
              <w:t>项目</w:t>
            </w:r>
          </w:p>
          <w:p>
            <w:pPr>
              <w:jc w:val="center"/>
              <w:rPr>
                <w:rFonts w:ascii="Times New Roman" w:eastAsia="方正黑体_GBK"/>
                <w:color w:val="000000"/>
                <w:spacing w:val="-2"/>
                <w:kern w:val="0"/>
                <w:sz w:val="18"/>
                <w:szCs w:val="18"/>
              </w:rPr>
            </w:pPr>
            <w:r>
              <w:rPr>
                <w:rFonts w:hint="eastAsia" w:ascii="Times New Roman" w:hAnsi="Times New Roman" w:eastAsia="方正黑体_GBK"/>
                <w:color w:val="000000"/>
                <w:spacing w:val="-2"/>
                <w:kern w:val="0"/>
                <w:sz w:val="18"/>
                <w:szCs w:val="18"/>
              </w:rPr>
              <w:t>名称</w:t>
            </w:r>
          </w:p>
        </w:tc>
        <w:tc>
          <w:tcPr>
            <w:tcW w:w="1296" w:type="dxa"/>
            <w:tcBorders>
              <w:top w:val="single" w:color="auto" w:sz="8" w:space="0"/>
              <w:left w:val="single" w:color="000000" w:sz="2" w:space="0"/>
              <w:bottom w:val="single" w:color="000000" w:sz="6" w:space="0"/>
              <w:right w:val="single" w:color="000000" w:sz="2" w:space="0"/>
            </w:tcBorders>
            <w:noWrap w:val="0"/>
            <w:tcMar>
              <w:top w:w="108" w:type="dxa"/>
              <w:left w:w="108" w:type="dxa"/>
              <w:bottom w:w="108" w:type="dxa"/>
              <w:right w:w="108" w:type="dxa"/>
            </w:tcMar>
            <w:vAlign w:val="center"/>
          </w:tcPr>
          <w:p>
            <w:pPr>
              <w:jc w:val="center"/>
              <w:rPr>
                <w:rFonts w:ascii="Times New Roman" w:eastAsia="方正黑体_GBK"/>
                <w:color w:val="000000"/>
                <w:spacing w:val="-2"/>
                <w:kern w:val="0"/>
                <w:sz w:val="18"/>
                <w:szCs w:val="18"/>
              </w:rPr>
            </w:pPr>
            <w:r>
              <w:rPr>
                <w:rFonts w:hint="eastAsia" w:ascii="Times New Roman" w:hAnsi="Times New Roman" w:eastAsia="方正黑体_GBK"/>
                <w:color w:val="000000"/>
                <w:spacing w:val="-2"/>
                <w:kern w:val="0"/>
                <w:sz w:val="18"/>
                <w:szCs w:val="18"/>
              </w:rPr>
              <w:t>项目特征</w:t>
            </w:r>
          </w:p>
        </w:tc>
        <w:tc>
          <w:tcPr>
            <w:tcW w:w="939" w:type="dxa"/>
            <w:tcBorders>
              <w:top w:val="single" w:color="auto" w:sz="8" w:space="0"/>
              <w:left w:val="single" w:color="000000" w:sz="2" w:space="0"/>
              <w:bottom w:val="single" w:color="000000" w:sz="6" w:space="0"/>
              <w:right w:val="single" w:color="000000" w:sz="2" w:space="0"/>
            </w:tcBorders>
            <w:noWrap w:val="0"/>
            <w:tcMar>
              <w:top w:w="108" w:type="dxa"/>
              <w:left w:w="108" w:type="dxa"/>
              <w:bottom w:w="108" w:type="dxa"/>
              <w:right w:w="108" w:type="dxa"/>
            </w:tcMar>
            <w:vAlign w:val="center"/>
          </w:tcPr>
          <w:p>
            <w:pPr>
              <w:jc w:val="center"/>
              <w:rPr>
                <w:rFonts w:ascii="Times New Roman" w:eastAsia="方正黑体_GBK"/>
                <w:color w:val="000000"/>
                <w:spacing w:val="-2"/>
                <w:kern w:val="0"/>
                <w:sz w:val="18"/>
                <w:szCs w:val="18"/>
              </w:rPr>
            </w:pPr>
            <w:r>
              <w:rPr>
                <w:rFonts w:hint="eastAsia" w:ascii="Times New Roman" w:hAnsi="Times New Roman" w:eastAsia="方正黑体_GBK"/>
                <w:color w:val="000000"/>
                <w:spacing w:val="-2"/>
                <w:kern w:val="0"/>
                <w:sz w:val="18"/>
                <w:szCs w:val="18"/>
              </w:rPr>
              <w:t>计量</w:t>
            </w:r>
          </w:p>
          <w:p>
            <w:pPr>
              <w:jc w:val="center"/>
              <w:rPr>
                <w:rFonts w:ascii="Times New Roman" w:eastAsia="方正黑体_GBK"/>
                <w:color w:val="000000"/>
                <w:spacing w:val="-2"/>
                <w:kern w:val="0"/>
                <w:sz w:val="18"/>
                <w:szCs w:val="18"/>
              </w:rPr>
            </w:pPr>
            <w:r>
              <w:rPr>
                <w:rFonts w:hint="eastAsia" w:ascii="Times New Roman" w:hAnsi="Times New Roman" w:eastAsia="方正黑体_GBK"/>
                <w:color w:val="000000"/>
                <w:spacing w:val="-2"/>
                <w:kern w:val="0"/>
                <w:sz w:val="18"/>
                <w:szCs w:val="18"/>
              </w:rPr>
              <w:t>单位</w:t>
            </w:r>
          </w:p>
        </w:tc>
        <w:tc>
          <w:tcPr>
            <w:tcW w:w="1537" w:type="dxa"/>
            <w:tcBorders>
              <w:top w:val="single" w:color="auto" w:sz="8" w:space="0"/>
              <w:left w:val="single" w:color="000000" w:sz="2" w:space="0"/>
              <w:bottom w:val="single" w:color="000000" w:sz="6" w:space="0"/>
              <w:right w:val="single" w:color="000000" w:sz="2" w:space="0"/>
            </w:tcBorders>
            <w:noWrap w:val="0"/>
            <w:tcMar>
              <w:top w:w="108" w:type="dxa"/>
              <w:left w:w="108" w:type="dxa"/>
              <w:bottom w:w="108" w:type="dxa"/>
              <w:right w:w="108" w:type="dxa"/>
            </w:tcMar>
            <w:vAlign w:val="center"/>
          </w:tcPr>
          <w:p>
            <w:pPr>
              <w:jc w:val="center"/>
              <w:rPr>
                <w:rFonts w:ascii="Times New Roman" w:eastAsia="方正黑体_GBK"/>
                <w:color w:val="000000"/>
                <w:spacing w:val="-2"/>
                <w:kern w:val="0"/>
                <w:sz w:val="18"/>
                <w:szCs w:val="18"/>
              </w:rPr>
            </w:pPr>
            <w:r>
              <w:rPr>
                <w:rFonts w:hint="eastAsia" w:ascii="Times New Roman" w:hAnsi="Times New Roman" w:eastAsia="方正黑体_GBK"/>
                <w:color w:val="000000"/>
                <w:spacing w:val="-2"/>
                <w:kern w:val="0"/>
                <w:sz w:val="18"/>
                <w:szCs w:val="18"/>
              </w:rPr>
              <w:t>工程量计算</w:t>
            </w:r>
          </w:p>
          <w:p>
            <w:pPr>
              <w:jc w:val="center"/>
              <w:rPr>
                <w:rFonts w:ascii="Times New Roman" w:eastAsia="方正黑体_GBK"/>
                <w:color w:val="000000"/>
                <w:spacing w:val="-2"/>
                <w:kern w:val="0"/>
                <w:sz w:val="18"/>
                <w:szCs w:val="18"/>
              </w:rPr>
            </w:pPr>
            <w:r>
              <w:rPr>
                <w:rFonts w:hint="eastAsia" w:ascii="Times New Roman" w:hAnsi="Times New Roman" w:eastAsia="方正黑体_GBK"/>
                <w:color w:val="000000"/>
                <w:spacing w:val="-2"/>
                <w:kern w:val="0"/>
                <w:sz w:val="18"/>
                <w:szCs w:val="18"/>
              </w:rPr>
              <w:t>规则</w:t>
            </w:r>
          </w:p>
        </w:tc>
        <w:tc>
          <w:tcPr>
            <w:tcW w:w="2673" w:type="dxa"/>
            <w:tcBorders>
              <w:top w:val="single" w:color="auto" w:sz="8" w:space="0"/>
              <w:left w:val="single" w:color="000000" w:sz="2" w:space="0"/>
              <w:bottom w:val="single" w:color="000000" w:sz="6" w:space="0"/>
              <w:right w:val="single" w:color="auto" w:sz="8" w:space="0"/>
            </w:tcBorders>
            <w:noWrap w:val="0"/>
            <w:tcMar>
              <w:top w:w="108" w:type="dxa"/>
              <w:left w:w="108" w:type="dxa"/>
              <w:bottom w:w="108" w:type="dxa"/>
              <w:right w:w="108" w:type="dxa"/>
            </w:tcMar>
            <w:vAlign w:val="center"/>
          </w:tcPr>
          <w:p>
            <w:pPr>
              <w:jc w:val="center"/>
              <w:rPr>
                <w:rFonts w:ascii="Times New Roman" w:eastAsia="方正黑体_GBK"/>
                <w:color w:val="000000"/>
                <w:spacing w:val="-2"/>
                <w:kern w:val="0"/>
                <w:sz w:val="18"/>
                <w:szCs w:val="18"/>
              </w:rPr>
            </w:pPr>
            <w:r>
              <w:rPr>
                <w:rFonts w:hint="eastAsia" w:ascii="Times New Roman" w:hAnsi="Times New Roman" w:eastAsia="方正黑体_GBK"/>
                <w:color w:val="000000"/>
                <w:spacing w:val="-2"/>
                <w:kern w:val="0"/>
                <w:sz w:val="18"/>
                <w:szCs w:val="18"/>
              </w:rPr>
              <w:t>工作内容</w:t>
            </w:r>
          </w:p>
        </w:tc>
      </w:tr>
      <w:tr>
        <w:tblPrEx>
          <w:tblBorders>
            <w:top w:val="single" w:color="auto" w:sz="8" w:space="0"/>
            <w:left w:val="single" w:color="auto" w:sz="8" w:space="0"/>
            <w:bottom w:val="single" w:color="auto" w:sz="8" w:space="0"/>
            <w:right w:val="single" w:color="auto" w:sz="8" w:space="0"/>
            <w:insideH w:val="single" w:color="000000" w:sz="6" w:space="0"/>
            <w:insideV w:val="single" w:color="000000" w:sz="2" w:space="0"/>
          </w:tblBorders>
          <w:tblCellMar>
            <w:top w:w="0" w:type="dxa"/>
            <w:left w:w="108" w:type="dxa"/>
            <w:bottom w:w="0" w:type="dxa"/>
            <w:right w:w="108" w:type="dxa"/>
          </w:tblCellMar>
        </w:tblPrEx>
        <w:trPr>
          <w:trHeight w:val="502" w:hRule="atLeast"/>
          <w:jc w:val="center"/>
        </w:trPr>
        <w:tc>
          <w:tcPr>
            <w:tcW w:w="1206" w:type="dxa"/>
            <w:tcBorders>
              <w:top w:val="single" w:color="000000" w:sz="6" w:space="0"/>
              <w:left w:val="single" w:color="auto" w:sz="8" w:space="0"/>
              <w:bottom w:val="single" w:color="auto" w:sz="8" w:space="0"/>
              <w:right w:val="single" w:color="000000" w:sz="2" w:space="0"/>
            </w:tcBorders>
            <w:noWrap w:val="0"/>
            <w:tcMar>
              <w:top w:w="108" w:type="dxa"/>
              <w:left w:w="108" w:type="dxa"/>
              <w:bottom w:w="108" w:type="dxa"/>
              <w:right w:w="108" w:type="dxa"/>
            </w:tcMar>
            <w:vAlign w:val="center"/>
          </w:tcPr>
          <w:p>
            <w:pPr>
              <w:jc w:val="center"/>
              <w:rPr>
                <w:color w:val="000000"/>
                <w:spacing w:val="-2"/>
                <w:kern w:val="0"/>
                <w:sz w:val="18"/>
                <w:szCs w:val="18"/>
              </w:rPr>
            </w:pPr>
            <w:r>
              <w:rPr>
                <w:color w:val="000000"/>
                <w:spacing w:val="-2"/>
                <w:kern w:val="0"/>
                <w:sz w:val="18"/>
                <w:szCs w:val="18"/>
              </w:rPr>
              <w:t>011701009</w:t>
            </w:r>
          </w:p>
        </w:tc>
        <w:tc>
          <w:tcPr>
            <w:tcW w:w="925" w:type="dxa"/>
            <w:tcBorders>
              <w:top w:val="single" w:color="000000" w:sz="6" w:space="0"/>
              <w:left w:val="single" w:color="000000" w:sz="2" w:space="0"/>
              <w:bottom w:val="single" w:color="auto" w:sz="8" w:space="0"/>
              <w:right w:val="single" w:color="000000" w:sz="2" w:space="0"/>
            </w:tcBorders>
            <w:noWrap w:val="0"/>
            <w:tcMar>
              <w:top w:w="108" w:type="dxa"/>
              <w:left w:w="108" w:type="dxa"/>
              <w:bottom w:w="108" w:type="dxa"/>
              <w:right w:w="108" w:type="dxa"/>
            </w:tcMar>
            <w:vAlign w:val="center"/>
          </w:tcPr>
          <w:p>
            <w:pPr>
              <w:jc w:val="center"/>
              <w:rPr>
                <w:color w:val="000000"/>
                <w:spacing w:val="-2"/>
                <w:kern w:val="0"/>
                <w:sz w:val="18"/>
                <w:szCs w:val="18"/>
              </w:rPr>
            </w:pPr>
            <w:r>
              <w:rPr>
                <w:rFonts w:hint="eastAsia" w:hAnsi="Times New Roman"/>
                <w:color w:val="000000"/>
                <w:spacing w:val="-2"/>
                <w:kern w:val="0"/>
                <w:sz w:val="18"/>
                <w:szCs w:val="18"/>
              </w:rPr>
              <w:t>电梯井脚手架</w:t>
            </w:r>
          </w:p>
        </w:tc>
        <w:tc>
          <w:tcPr>
            <w:tcW w:w="1296" w:type="dxa"/>
            <w:tcBorders>
              <w:top w:val="single" w:color="000000" w:sz="6" w:space="0"/>
              <w:left w:val="single" w:color="000000" w:sz="2" w:space="0"/>
              <w:bottom w:val="single" w:color="auto" w:sz="8" w:space="0"/>
              <w:right w:val="single" w:color="000000" w:sz="2" w:space="0"/>
            </w:tcBorders>
            <w:noWrap w:val="0"/>
            <w:tcMar>
              <w:top w:w="108" w:type="dxa"/>
              <w:left w:w="108" w:type="dxa"/>
              <w:bottom w:w="108" w:type="dxa"/>
              <w:right w:w="108" w:type="dxa"/>
            </w:tcMar>
            <w:vAlign w:val="center"/>
          </w:tcPr>
          <w:p>
            <w:pPr>
              <w:jc w:val="center"/>
              <w:rPr>
                <w:color w:val="000000"/>
                <w:spacing w:val="-2"/>
                <w:kern w:val="0"/>
                <w:sz w:val="18"/>
                <w:szCs w:val="18"/>
              </w:rPr>
            </w:pPr>
            <w:r>
              <w:rPr>
                <w:rFonts w:hint="eastAsia" w:hAnsi="Times New Roman"/>
                <w:color w:val="000000"/>
                <w:spacing w:val="-2"/>
                <w:kern w:val="0"/>
                <w:sz w:val="18"/>
                <w:szCs w:val="18"/>
              </w:rPr>
              <w:t>电梯井高度</w:t>
            </w:r>
          </w:p>
        </w:tc>
        <w:tc>
          <w:tcPr>
            <w:tcW w:w="939" w:type="dxa"/>
            <w:tcBorders>
              <w:top w:val="single" w:color="000000" w:sz="6" w:space="0"/>
              <w:left w:val="single" w:color="000000" w:sz="2" w:space="0"/>
              <w:bottom w:val="single" w:color="auto" w:sz="8" w:space="0"/>
              <w:right w:val="single" w:color="000000" w:sz="2" w:space="0"/>
            </w:tcBorders>
            <w:noWrap w:val="0"/>
            <w:tcMar>
              <w:top w:w="108" w:type="dxa"/>
              <w:left w:w="108" w:type="dxa"/>
              <w:bottom w:w="108" w:type="dxa"/>
              <w:right w:w="108" w:type="dxa"/>
            </w:tcMar>
            <w:vAlign w:val="center"/>
          </w:tcPr>
          <w:p>
            <w:pPr>
              <w:jc w:val="center"/>
              <w:rPr>
                <w:color w:val="000000"/>
                <w:spacing w:val="-2"/>
                <w:kern w:val="0"/>
                <w:sz w:val="18"/>
                <w:szCs w:val="18"/>
              </w:rPr>
            </w:pPr>
            <w:r>
              <w:rPr>
                <w:rFonts w:hint="eastAsia" w:hAnsi="Times New Roman"/>
                <w:color w:val="000000"/>
                <w:spacing w:val="-2"/>
                <w:kern w:val="0"/>
                <w:sz w:val="18"/>
                <w:szCs w:val="18"/>
              </w:rPr>
              <w:t>座</w:t>
            </w:r>
          </w:p>
        </w:tc>
        <w:tc>
          <w:tcPr>
            <w:tcW w:w="1537" w:type="dxa"/>
            <w:tcBorders>
              <w:top w:val="single" w:color="000000" w:sz="6" w:space="0"/>
              <w:left w:val="single" w:color="000000" w:sz="2" w:space="0"/>
              <w:bottom w:val="single" w:color="auto" w:sz="8" w:space="0"/>
              <w:right w:val="single" w:color="000000" w:sz="2" w:space="0"/>
            </w:tcBorders>
            <w:noWrap w:val="0"/>
            <w:tcMar>
              <w:top w:w="108" w:type="dxa"/>
              <w:left w:w="108" w:type="dxa"/>
              <w:bottom w:w="108" w:type="dxa"/>
              <w:right w:w="108" w:type="dxa"/>
            </w:tcMar>
            <w:vAlign w:val="center"/>
          </w:tcPr>
          <w:p>
            <w:pPr>
              <w:jc w:val="center"/>
              <w:rPr>
                <w:color w:val="000000"/>
                <w:spacing w:val="-2"/>
                <w:kern w:val="0"/>
                <w:sz w:val="18"/>
                <w:szCs w:val="18"/>
              </w:rPr>
            </w:pPr>
            <w:r>
              <w:rPr>
                <w:rFonts w:hint="eastAsia" w:hAnsi="Times New Roman"/>
                <w:color w:val="000000"/>
                <w:spacing w:val="-2"/>
                <w:kern w:val="0"/>
                <w:sz w:val="18"/>
                <w:szCs w:val="18"/>
              </w:rPr>
              <w:t>按设计图示</w:t>
            </w:r>
          </w:p>
          <w:p>
            <w:pPr>
              <w:jc w:val="center"/>
              <w:rPr>
                <w:color w:val="000000"/>
                <w:spacing w:val="-2"/>
                <w:kern w:val="0"/>
                <w:sz w:val="18"/>
                <w:szCs w:val="18"/>
              </w:rPr>
            </w:pPr>
            <w:r>
              <w:rPr>
                <w:rFonts w:hint="eastAsia" w:hAnsi="Times New Roman"/>
                <w:color w:val="000000"/>
                <w:spacing w:val="-2"/>
                <w:kern w:val="0"/>
                <w:sz w:val="18"/>
                <w:szCs w:val="18"/>
              </w:rPr>
              <w:t>数量计算</w:t>
            </w:r>
          </w:p>
        </w:tc>
        <w:tc>
          <w:tcPr>
            <w:tcW w:w="2673" w:type="dxa"/>
            <w:tcBorders>
              <w:top w:val="single" w:color="000000" w:sz="6" w:space="0"/>
              <w:left w:val="single" w:color="000000" w:sz="2" w:space="0"/>
              <w:bottom w:val="single" w:color="auto" w:sz="8" w:space="0"/>
              <w:right w:val="single" w:color="auto" w:sz="8" w:space="0"/>
            </w:tcBorders>
            <w:noWrap w:val="0"/>
            <w:tcMar>
              <w:top w:w="108" w:type="dxa"/>
              <w:left w:w="108" w:type="dxa"/>
              <w:bottom w:w="108" w:type="dxa"/>
              <w:right w:w="108" w:type="dxa"/>
            </w:tcMar>
            <w:vAlign w:val="center"/>
          </w:tcPr>
          <w:p>
            <w:pPr>
              <w:rPr>
                <w:color w:val="000000"/>
                <w:spacing w:val="-2"/>
                <w:kern w:val="0"/>
                <w:sz w:val="18"/>
                <w:szCs w:val="18"/>
              </w:rPr>
            </w:pPr>
            <w:r>
              <w:rPr>
                <w:color w:val="000000"/>
                <w:spacing w:val="-2"/>
                <w:kern w:val="0"/>
                <w:sz w:val="18"/>
                <w:szCs w:val="18"/>
              </w:rPr>
              <w:t>1.</w:t>
            </w:r>
            <w:r>
              <w:rPr>
                <w:rFonts w:hint="eastAsia" w:hAnsi="Times New Roman"/>
                <w:color w:val="000000"/>
                <w:spacing w:val="-2"/>
                <w:kern w:val="0"/>
                <w:sz w:val="18"/>
                <w:szCs w:val="18"/>
              </w:rPr>
              <w:t>搭设拆除脚手架、安全网</w:t>
            </w:r>
          </w:p>
          <w:p>
            <w:pPr>
              <w:rPr>
                <w:color w:val="000000"/>
                <w:spacing w:val="-2"/>
                <w:kern w:val="0"/>
                <w:sz w:val="18"/>
                <w:szCs w:val="18"/>
              </w:rPr>
            </w:pPr>
            <w:r>
              <w:rPr>
                <w:color w:val="000000"/>
                <w:spacing w:val="-2"/>
                <w:kern w:val="0"/>
                <w:sz w:val="18"/>
                <w:szCs w:val="18"/>
              </w:rPr>
              <w:t>2.</w:t>
            </w:r>
            <w:r>
              <w:rPr>
                <w:rFonts w:hint="eastAsia" w:hAnsi="Times New Roman"/>
                <w:color w:val="000000"/>
                <w:spacing w:val="-2"/>
                <w:kern w:val="0"/>
                <w:sz w:val="18"/>
                <w:szCs w:val="18"/>
              </w:rPr>
              <w:t>铺、翻脚手板</w:t>
            </w:r>
          </w:p>
        </w:tc>
      </w:tr>
    </w:tbl>
    <w:p>
      <w:pPr>
        <w:snapToGrid w:val="0"/>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2</w:t>
      </w:r>
      <w:r>
        <w:rPr>
          <w:rFonts w:hint="eastAsia" w:eastAsia="方正仿宋_GBK"/>
          <w:color w:val="000000"/>
          <w:spacing w:val="-2"/>
          <w:kern w:val="0"/>
          <w:sz w:val="24"/>
        </w:rPr>
        <w:t>、</w:t>
      </w:r>
      <w:r>
        <w:rPr>
          <w:rFonts w:eastAsia="方正仿宋_GBK"/>
          <w:color w:val="000000"/>
          <w:spacing w:val="-2"/>
          <w:kern w:val="0"/>
          <w:sz w:val="24"/>
        </w:rPr>
        <w:t>011702003</w:t>
      </w:r>
      <w:r>
        <w:rPr>
          <w:rFonts w:hint="eastAsia" w:eastAsia="方正仿宋_GBK"/>
          <w:color w:val="000000"/>
          <w:spacing w:val="-2"/>
          <w:kern w:val="0"/>
          <w:sz w:val="24"/>
        </w:rPr>
        <w:t>构造柱模板工程量计算规则调整为：按图示外露部分计算面积（锯齿形按锯齿形最宽面计算模板宽度）。</w:t>
      </w:r>
    </w:p>
    <w:p>
      <w:pPr>
        <w:snapToGrid w:val="0"/>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3</w:t>
      </w:r>
      <w:r>
        <w:rPr>
          <w:rFonts w:hint="eastAsia" w:eastAsia="方正仿宋_GBK"/>
          <w:color w:val="000000"/>
          <w:spacing w:val="-2"/>
          <w:kern w:val="0"/>
          <w:sz w:val="24"/>
        </w:rPr>
        <w:t>、</w:t>
      </w:r>
      <w:r>
        <w:rPr>
          <w:rFonts w:eastAsia="方正仿宋_GBK"/>
          <w:color w:val="000000"/>
          <w:spacing w:val="-2"/>
          <w:kern w:val="0"/>
          <w:sz w:val="24"/>
        </w:rPr>
        <w:t>011703001</w:t>
      </w:r>
      <w:r>
        <w:rPr>
          <w:rFonts w:hint="eastAsia" w:eastAsia="方正仿宋_GBK"/>
          <w:color w:val="000000"/>
          <w:spacing w:val="-2"/>
          <w:kern w:val="0"/>
          <w:sz w:val="24"/>
        </w:rPr>
        <w:t>工程量计算规则中的</w:t>
      </w:r>
      <w:r>
        <w:rPr>
          <w:rFonts w:eastAsia="方正仿宋_GBK"/>
          <w:color w:val="000000"/>
          <w:spacing w:val="-2"/>
          <w:kern w:val="0"/>
          <w:sz w:val="24"/>
        </w:rPr>
        <w:t>“</w:t>
      </w:r>
      <w:r>
        <w:rPr>
          <w:rFonts w:hint="eastAsia" w:eastAsia="方正仿宋_GBK"/>
          <w:color w:val="000000"/>
          <w:spacing w:val="-2"/>
          <w:kern w:val="0"/>
          <w:sz w:val="24"/>
        </w:rPr>
        <w:t>施工工期日历天</w:t>
      </w:r>
      <w:r>
        <w:rPr>
          <w:rFonts w:eastAsia="方正仿宋_GBK"/>
          <w:color w:val="000000"/>
          <w:spacing w:val="-2"/>
          <w:kern w:val="0"/>
          <w:sz w:val="24"/>
        </w:rPr>
        <w:t>”</w:t>
      </w:r>
      <w:r>
        <w:rPr>
          <w:rFonts w:hint="eastAsia" w:eastAsia="方正仿宋_GBK"/>
          <w:color w:val="000000"/>
          <w:spacing w:val="-2"/>
          <w:kern w:val="0"/>
          <w:sz w:val="24"/>
        </w:rPr>
        <w:t>为定额工期。</w:t>
      </w:r>
    </w:p>
    <w:p>
      <w:pPr>
        <w:snapToGrid w:val="0"/>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4</w:t>
      </w:r>
      <w:r>
        <w:rPr>
          <w:rFonts w:hint="eastAsia" w:eastAsia="方正仿宋_GBK"/>
          <w:color w:val="000000"/>
          <w:spacing w:val="-2"/>
          <w:kern w:val="0"/>
          <w:sz w:val="24"/>
        </w:rPr>
        <w:t>、</w:t>
      </w:r>
      <w:r>
        <w:rPr>
          <w:rFonts w:eastAsia="方正仿宋_GBK"/>
          <w:color w:val="000000"/>
          <w:spacing w:val="-2"/>
          <w:kern w:val="0"/>
          <w:sz w:val="24"/>
        </w:rPr>
        <w:t>011704001</w:t>
      </w:r>
      <w:r>
        <w:rPr>
          <w:rFonts w:hint="eastAsia" w:eastAsia="方正仿宋_GBK"/>
          <w:color w:val="000000"/>
          <w:spacing w:val="-2"/>
          <w:kern w:val="0"/>
          <w:sz w:val="24"/>
        </w:rPr>
        <w:t>超高施工增加注</w:t>
      </w:r>
      <w:r>
        <w:rPr>
          <w:rFonts w:eastAsia="方正仿宋_GBK"/>
          <w:color w:val="000000"/>
          <w:spacing w:val="-2"/>
          <w:kern w:val="0"/>
          <w:sz w:val="24"/>
        </w:rPr>
        <w:t>1</w:t>
      </w:r>
      <w:r>
        <w:rPr>
          <w:rFonts w:hint="eastAsia" w:eastAsia="方正仿宋_GBK"/>
          <w:color w:val="000000"/>
          <w:spacing w:val="-2"/>
          <w:kern w:val="0"/>
          <w:sz w:val="24"/>
        </w:rPr>
        <w:t>调整为：超高施工增加适用于建筑物檐口高度超过</w:t>
      </w:r>
      <w:r>
        <w:rPr>
          <w:rFonts w:eastAsia="方正仿宋_GBK"/>
          <w:color w:val="000000"/>
          <w:spacing w:val="-2"/>
          <w:kern w:val="0"/>
          <w:sz w:val="24"/>
        </w:rPr>
        <w:t>20m</w:t>
      </w:r>
      <w:r>
        <w:rPr>
          <w:rFonts w:hint="eastAsia" w:eastAsia="方正仿宋_GBK"/>
          <w:color w:val="000000"/>
          <w:spacing w:val="-2"/>
          <w:kern w:val="0"/>
          <w:sz w:val="24"/>
        </w:rPr>
        <w:t>或层数超过</w:t>
      </w:r>
      <w:r>
        <w:rPr>
          <w:rFonts w:eastAsia="方正仿宋_GBK"/>
          <w:color w:val="000000"/>
          <w:spacing w:val="-2"/>
          <w:kern w:val="0"/>
          <w:sz w:val="24"/>
        </w:rPr>
        <w:t>6</w:t>
      </w:r>
      <w:r>
        <w:rPr>
          <w:rFonts w:hint="eastAsia" w:eastAsia="方正仿宋_GBK"/>
          <w:color w:val="000000"/>
          <w:spacing w:val="-2"/>
          <w:kern w:val="0"/>
          <w:sz w:val="24"/>
        </w:rPr>
        <w:t>层时。工程量按超过</w:t>
      </w:r>
      <w:r>
        <w:rPr>
          <w:rFonts w:eastAsia="方正仿宋_GBK"/>
          <w:color w:val="000000"/>
          <w:spacing w:val="-2"/>
          <w:kern w:val="0"/>
          <w:sz w:val="24"/>
        </w:rPr>
        <w:t>20m</w:t>
      </w:r>
      <w:r>
        <w:rPr>
          <w:rFonts w:hint="eastAsia" w:eastAsia="方正仿宋_GBK"/>
          <w:color w:val="000000"/>
          <w:spacing w:val="-2"/>
          <w:kern w:val="0"/>
          <w:sz w:val="24"/>
        </w:rPr>
        <w:t>部分与超过</w:t>
      </w:r>
      <w:r>
        <w:rPr>
          <w:rFonts w:eastAsia="方正仿宋_GBK"/>
          <w:color w:val="000000"/>
          <w:spacing w:val="-2"/>
          <w:kern w:val="0"/>
          <w:sz w:val="24"/>
        </w:rPr>
        <w:t>6</w:t>
      </w:r>
      <w:r>
        <w:rPr>
          <w:rFonts w:hint="eastAsia" w:eastAsia="方正仿宋_GBK"/>
          <w:color w:val="000000"/>
          <w:spacing w:val="-2"/>
          <w:kern w:val="0"/>
          <w:sz w:val="24"/>
        </w:rPr>
        <w:t>层部分建筑面积中的较大值计算。地下室不计算层数。</w:t>
      </w:r>
    </w:p>
    <w:p>
      <w:pPr>
        <w:snapToGrid w:val="0"/>
        <w:spacing w:line="460" w:lineRule="exact"/>
        <w:ind w:firstLine="464" w:firstLineChars="200"/>
        <w:rPr>
          <w:rFonts w:ascii="Times New Roman" w:hAnsi="Times New Roman" w:eastAsia="方正黑体_GBK" w:cs="宋体"/>
          <w:color w:val="000000"/>
          <w:spacing w:val="-2"/>
          <w:kern w:val="0"/>
          <w:sz w:val="24"/>
        </w:rPr>
      </w:pPr>
      <w:r>
        <w:rPr>
          <w:rFonts w:hint="eastAsia" w:ascii="Times New Roman" w:hAnsi="Times New Roman" w:eastAsia="方正黑体_GBK" w:cs="宋体"/>
          <w:color w:val="000000"/>
          <w:spacing w:val="-2"/>
          <w:kern w:val="0"/>
          <w:sz w:val="24"/>
        </w:rPr>
        <w:t>二、总价措施项目调整和增加如下：</w:t>
      </w:r>
    </w:p>
    <w:tbl>
      <w:tblPr>
        <w:tblStyle w:val="1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200"/>
        <w:gridCol w:w="660"/>
        <w:gridCol w:w="9"/>
        <w:gridCol w:w="6383"/>
        <w:gridCol w:w="8"/>
        <w:gridCol w:w="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2"/>
          <w:wAfter w:w="14" w:type="dxa"/>
          <w:trHeight w:val="588" w:hRule="atLeast"/>
          <w:tblHeader/>
        </w:trPr>
        <w:tc>
          <w:tcPr>
            <w:tcW w:w="788" w:type="dxa"/>
            <w:tcBorders>
              <w:top w:val="single" w:color="auto" w:sz="8" w:space="0"/>
              <w:left w:val="single" w:color="auto" w:sz="8" w:space="0"/>
              <w:bottom w:val="single" w:color="auto" w:sz="4" w:space="0"/>
              <w:right w:val="single" w:color="auto" w:sz="4" w:space="0"/>
            </w:tcBorders>
            <w:noWrap w:val="0"/>
            <w:vAlign w:val="center"/>
          </w:tcPr>
          <w:p>
            <w:pPr>
              <w:spacing w:line="280" w:lineRule="exact"/>
              <w:jc w:val="center"/>
              <w:rPr>
                <w:rFonts w:ascii="Times New Roman" w:hAnsi="Times New Roman" w:eastAsia="方正黑体_GBK" w:cs="宋体"/>
                <w:color w:val="000000"/>
                <w:spacing w:val="-2"/>
                <w:sz w:val="18"/>
                <w:szCs w:val="18"/>
              </w:rPr>
            </w:pPr>
            <w:r>
              <w:rPr>
                <w:rFonts w:hint="eastAsia" w:ascii="Times New Roman" w:hAnsi="Times New Roman" w:eastAsia="方正黑体_GBK" w:cs="宋体"/>
                <w:color w:val="000000"/>
                <w:spacing w:val="-2"/>
                <w:sz w:val="18"/>
                <w:szCs w:val="18"/>
              </w:rPr>
              <w:t>工程</w:t>
            </w:r>
          </w:p>
          <w:p>
            <w:pPr>
              <w:spacing w:line="280" w:lineRule="exact"/>
              <w:jc w:val="center"/>
              <w:rPr>
                <w:rFonts w:ascii="Times New Roman" w:hAnsi="Times New Roman" w:eastAsia="方正黑体_GBK" w:cs="宋体"/>
                <w:color w:val="000000"/>
                <w:spacing w:val="-2"/>
                <w:sz w:val="18"/>
                <w:szCs w:val="18"/>
              </w:rPr>
            </w:pPr>
            <w:r>
              <w:rPr>
                <w:rFonts w:hint="eastAsia" w:ascii="Times New Roman" w:hAnsi="Times New Roman" w:eastAsia="方正黑体_GBK" w:cs="宋体"/>
                <w:color w:val="000000"/>
                <w:spacing w:val="-2"/>
                <w:sz w:val="18"/>
                <w:szCs w:val="18"/>
              </w:rPr>
              <w:t>类型</w:t>
            </w:r>
          </w:p>
        </w:tc>
        <w:tc>
          <w:tcPr>
            <w:tcW w:w="1200" w:type="dxa"/>
            <w:tcBorders>
              <w:top w:val="single" w:color="auto" w:sz="8" w:space="0"/>
              <w:left w:val="single" w:color="auto" w:sz="4" w:space="0"/>
              <w:bottom w:val="single" w:color="auto" w:sz="4" w:space="0"/>
              <w:right w:val="single" w:color="auto" w:sz="4" w:space="0"/>
            </w:tcBorders>
            <w:noWrap w:val="0"/>
            <w:vAlign w:val="center"/>
          </w:tcPr>
          <w:p>
            <w:pPr>
              <w:spacing w:line="280" w:lineRule="exact"/>
              <w:jc w:val="center"/>
              <w:rPr>
                <w:rFonts w:ascii="Times New Roman" w:hAnsi="Times New Roman" w:eastAsia="方正黑体_GBK" w:cs="宋体"/>
                <w:color w:val="000000"/>
                <w:spacing w:val="-2"/>
                <w:sz w:val="18"/>
                <w:szCs w:val="18"/>
              </w:rPr>
            </w:pPr>
            <w:r>
              <w:rPr>
                <w:rFonts w:hint="eastAsia" w:ascii="Times New Roman" w:hAnsi="Times New Roman" w:eastAsia="方正黑体_GBK" w:cs="宋体"/>
                <w:color w:val="000000"/>
                <w:spacing w:val="-2"/>
                <w:sz w:val="18"/>
                <w:szCs w:val="18"/>
              </w:rPr>
              <w:t>项目编码</w:t>
            </w:r>
          </w:p>
        </w:tc>
        <w:tc>
          <w:tcPr>
            <w:tcW w:w="669" w:type="dxa"/>
            <w:gridSpan w:val="2"/>
            <w:tcBorders>
              <w:top w:val="single" w:color="auto" w:sz="8" w:space="0"/>
              <w:left w:val="single" w:color="auto" w:sz="4" w:space="0"/>
              <w:bottom w:val="single" w:color="auto" w:sz="4" w:space="0"/>
              <w:right w:val="single" w:color="auto" w:sz="4" w:space="0"/>
            </w:tcBorders>
            <w:noWrap w:val="0"/>
            <w:vAlign w:val="center"/>
          </w:tcPr>
          <w:p>
            <w:pPr>
              <w:spacing w:line="280" w:lineRule="exact"/>
              <w:jc w:val="center"/>
              <w:rPr>
                <w:rFonts w:ascii="Times New Roman" w:hAnsi="Times New Roman" w:eastAsia="方正黑体_GBK" w:cs="宋体"/>
                <w:color w:val="000000"/>
                <w:spacing w:val="-2"/>
                <w:sz w:val="18"/>
                <w:szCs w:val="18"/>
              </w:rPr>
            </w:pPr>
            <w:r>
              <w:rPr>
                <w:rFonts w:hint="eastAsia" w:ascii="Times New Roman" w:hAnsi="Times New Roman" w:eastAsia="方正黑体_GBK" w:cs="宋体"/>
                <w:color w:val="000000"/>
                <w:spacing w:val="-2"/>
                <w:sz w:val="18"/>
                <w:szCs w:val="18"/>
              </w:rPr>
              <w:t>项目</w:t>
            </w:r>
          </w:p>
          <w:p>
            <w:pPr>
              <w:spacing w:line="280" w:lineRule="exact"/>
              <w:jc w:val="center"/>
              <w:rPr>
                <w:rFonts w:ascii="Times New Roman" w:hAnsi="Times New Roman" w:eastAsia="方正黑体_GBK" w:cs="宋体"/>
                <w:color w:val="000000"/>
                <w:spacing w:val="-2"/>
                <w:sz w:val="18"/>
                <w:szCs w:val="18"/>
              </w:rPr>
            </w:pPr>
            <w:r>
              <w:rPr>
                <w:rFonts w:hint="eastAsia" w:ascii="Times New Roman" w:hAnsi="Times New Roman" w:eastAsia="方正黑体_GBK" w:cs="宋体"/>
                <w:color w:val="000000"/>
                <w:spacing w:val="-2"/>
                <w:sz w:val="18"/>
                <w:szCs w:val="18"/>
              </w:rPr>
              <w:t>名称</w:t>
            </w:r>
          </w:p>
        </w:tc>
        <w:tc>
          <w:tcPr>
            <w:tcW w:w="6383" w:type="dxa"/>
            <w:tcBorders>
              <w:top w:val="single" w:color="auto" w:sz="8" w:space="0"/>
              <w:left w:val="single" w:color="auto" w:sz="4" w:space="0"/>
              <w:bottom w:val="single" w:color="auto" w:sz="4" w:space="0"/>
              <w:right w:val="single" w:color="auto" w:sz="8" w:space="0"/>
            </w:tcBorders>
            <w:noWrap w:val="0"/>
            <w:vAlign w:val="center"/>
          </w:tcPr>
          <w:p>
            <w:pPr>
              <w:spacing w:line="280" w:lineRule="exact"/>
              <w:jc w:val="center"/>
              <w:rPr>
                <w:rFonts w:ascii="Times New Roman" w:hAnsi="Times New Roman" w:eastAsia="方正黑体_GBK" w:cs="宋体"/>
                <w:color w:val="000000"/>
                <w:spacing w:val="-2"/>
                <w:sz w:val="18"/>
                <w:szCs w:val="18"/>
              </w:rPr>
            </w:pPr>
            <w:r>
              <w:rPr>
                <w:rFonts w:hint="eastAsia" w:ascii="Times New Roman" w:hAnsi="Times New Roman" w:eastAsia="方正黑体_GBK" w:cs="宋体"/>
                <w:color w:val="000000"/>
                <w:spacing w:val="-2"/>
                <w:sz w:val="18"/>
                <w:szCs w:val="18"/>
              </w:rPr>
              <w:t>工作内容及包含范围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2"/>
          <w:wAfter w:w="14" w:type="dxa"/>
          <w:trHeight w:val="1388" w:hRule="atLeast"/>
        </w:trPr>
        <w:tc>
          <w:tcPr>
            <w:tcW w:w="788" w:type="dxa"/>
            <w:tcBorders>
              <w:top w:val="single" w:color="auto" w:sz="4" w:space="0"/>
              <w:left w:val="single" w:color="auto" w:sz="8" w:space="0"/>
              <w:bottom w:val="single" w:color="auto" w:sz="4" w:space="0"/>
              <w:right w:val="single" w:color="auto" w:sz="4" w:space="0"/>
            </w:tcBorders>
            <w:noWrap w:val="0"/>
            <w:vAlign w:val="center"/>
          </w:tcPr>
          <w:p>
            <w:pPr>
              <w:spacing w:line="280" w:lineRule="exact"/>
              <w:jc w:val="center"/>
              <w:rPr>
                <w:rFonts w:ascii="Times New Roman" w:hAnsi="Times New Roman" w:cs="宋体"/>
                <w:color w:val="000000"/>
                <w:spacing w:val="-2"/>
                <w:sz w:val="18"/>
                <w:szCs w:val="18"/>
              </w:rPr>
            </w:pPr>
            <w:r>
              <w:rPr>
                <w:rFonts w:hint="eastAsia" w:ascii="Times New Roman" w:hAnsi="Times New Roman" w:cs="宋体"/>
                <w:color w:val="000000"/>
                <w:spacing w:val="-2"/>
                <w:sz w:val="18"/>
                <w:szCs w:val="18"/>
              </w:rPr>
              <w:t>房屋建筑与装饰工程</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Times New Roman" w:hAnsi="Times New Roman" w:cs="宋体"/>
                <w:color w:val="000000"/>
                <w:spacing w:val="-2"/>
                <w:sz w:val="18"/>
                <w:szCs w:val="18"/>
              </w:rPr>
            </w:pPr>
            <w:r>
              <w:rPr>
                <w:rFonts w:ascii="Times New Roman" w:hAnsi="Times New Roman" w:cs="宋体"/>
                <w:color w:val="000000"/>
                <w:spacing w:val="-2"/>
                <w:sz w:val="18"/>
                <w:szCs w:val="18"/>
              </w:rPr>
              <w:t>011707001</w:t>
            </w:r>
          </w:p>
        </w:tc>
        <w:tc>
          <w:tcPr>
            <w:tcW w:w="669"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Times New Roman" w:hAnsi="Times New Roman" w:cs="宋体"/>
                <w:color w:val="000000"/>
                <w:spacing w:val="-2"/>
                <w:sz w:val="18"/>
                <w:szCs w:val="18"/>
              </w:rPr>
            </w:pPr>
            <w:r>
              <w:rPr>
                <w:rFonts w:hint="eastAsia" w:ascii="Times New Roman" w:hAnsi="Times New Roman" w:cs="宋体"/>
                <w:color w:val="000000"/>
                <w:spacing w:val="-2"/>
                <w:sz w:val="18"/>
                <w:szCs w:val="18"/>
              </w:rPr>
              <w:t>安全文明施工</w:t>
            </w:r>
          </w:p>
        </w:tc>
        <w:tc>
          <w:tcPr>
            <w:tcW w:w="6383" w:type="dxa"/>
            <w:vMerge w:val="restart"/>
            <w:tcBorders>
              <w:top w:val="single" w:color="auto" w:sz="4" w:space="0"/>
              <w:left w:val="single" w:color="auto" w:sz="4" w:space="0"/>
              <w:bottom w:val="single" w:color="auto" w:sz="4" w:space="0"/>
              <w:right w:val="single" w:color="auto" w:sz="8" w:space="0"/>
            </w:tcBorders>
            <w:noWrap w:val="0"/>
            <w:vAlign w:val="center"/>
          </w:tcPr>
          <w:p>
            <w:pPr>
              <w:spacing w:line="260" w:lineRule="exact"/>
              <w:ind w:firstLine="344" w:firstLineChars="200"/>
              <w:rPr>
                <w:rFonts w:ascii="Times New Roman" w:hAnsi="Times New Roman"/>
                <w:color w:val="000000"/>
                <w:spacing w:val="-2"/>
                <w:sz w:val="18"/>
                <w:szCs w:val="18"/>
              </w:rPr>
            </w:pPr>
            <w:r>
              <w:rPr>
                <w:rFonts w:ascii="Times New Roman" w:hAnsi="Times New Roman"/>
                <w:color w:val="000000"/>
                <w:spacing w:val="-2"/>
                <w:sz w:val="18"/>
                <w:szCs w:val="18"/>
              </w:rPr>
              <w:t>1.</w:t>
            </w:r>
            <w:r>
              <w:rPr>
                <w:rFonts w:hint="eastAsia" w:ascii="Times New Roman" w:hAnsi="Times New Roman"/>
                <w:color w:val="000000"/>
                <w:spacing w:val="-2"/>
                <w:sz w:val="18"/>
                <w:szCs w:val="18"/>
              </w:rPr>
              <w:t>环境保护：现场施工机械设备降低噪音、防扰民措施费用；水泥和其他易飞扬细颗粒建筑材料密闭存放或采取覆盖措施等费用；工程防扬尘洒水费用；土石方、建渣外运车辆冲洗、防洒漏等费用；现场污染源的控制、生活垃圾清理外运、场地排水排污措施的费用；其他环境保护措施费用。</w:t>
            </w:r>
          </w:p>
          <w:p>
            <w:pPr>
              <w:spacing w:line="260" w:lineRule="exact"/>
              <w:ind w:firstLine="344" w:firstLineChars="200"/>
              <w:rPr>
                <w:rFonts w:ascii="Times New Roman" w:hAnsi="Times New Roman"/>
                <w:color w:val="000000"/>
                <w:spacing w:val="-2"/>
                <w:sz w:val="18"/>
                <w:szCs w:val="18"/>
              </w:rPr>
            </w:pPr>
            <w:r>
              <w:rPr>
                <w:rFonts w:ascii="Times New Roman" w:hAnsi="Times New Roman"/>
                <w:color w:val="000000"/>
                <w:spacing w:val="-2"/>
                <w:sz w:val="18"/>
                <w:szCs w:val="18"/>
              </w:rPr>
              <w:t>2.</w:t>
            </w:r>
            <w:r>
              <w:rPr>
                <w:rFonts w:hint="eastAsia" w:ascii="Times New Roman" w:hAnsi="Times New Roman"/>
                <w:color w:val="000000"/>
                <w:spacing w:val="-2"/>
                <w:sz w:val="18"/>
                <w:szCs w:val="18"/>
              </w:rPr>
              <w:t>文明施工：“五牌一图”的费用；现场围挡的墙面美化（包括内外粉刷、刷白、标语等）、压顶装饰费用；现场厕所便槽刷白、贴面砖</w:t>
            </w:r>
            <w:r>
              <w:rPr>
                <w:rFonts w:ascii="Times New Roman" w:hAnsi="Times New Roman"/>
                <w:color w:val="000000"/>
                <w:spacing w:val="-2"/>
                <w:sz w:val="18"/>
                <w:szCs w:val="18"/>
              </w:rPr>
              <w:t>,</w:t>
            </w:r>
            <w:r>
              <w:rPr>
                <w:rFonts w:hint="eastAsia" w:ascii="Times New Roman" w:hAnsi="Times New Roman"/>
                <w:color w:val="000000"/>
                <w:spacing w:val="-2"/>
                <w:sz w:val="18"/>
                <w:szCs w:val="18"/>
              </w:rPr>
              <w:t>水泥砂浆地面或地砖费用，建筑物内临时便溺设施费用；其他施工现场临时设施的装饰装修、美化措施费用；现场生活卫生设施费用；符合卫生要求的饮水设备、淋浴、消毒等设施费用；生活用洁净燃料费用；防煤气中毒、防蚊虫叮咬等措施费用；施工现场操作场地的硬化费用；现场绿化费用、治安综合治理费用、现场电子监控设备费用；现场配备医药保健器材、物品费用和急救人员培训费用；用于现场工人的防暑降温费、电风扇、空调等设备及用电费用；其他文明施工措施费用。</w:t>
            </w:r>
          </w:p>
          <w:p>
            <w:pPr>
              <w:spacing w:line="260" w:lineRule="exact"/>
              <w:ind w:firstLine="344" w:firstLineChars="200"/>
              <w:rPr>
                <w:rFonts w:ascii="Times New Roman" w:hAnsi="Times New Roman" w:cs="宋体"/>
                <w:color w:val="000000"/>
                <w:spacing w:val="-2"/>
                <w:sz w:val="18"/>
                <w:szCs w:val="18"/>
              </w:rPr>
            </w:pPr>
            <w:r>
              <w:rPr>
                <w:rFonts w:ascii="Times New Roman" w:hAnsi="Times New Roman"/>
                <w:color w:val="000000"/>
                <w:spacing w:val="-2"/>
                <w:sz w:val="18"/>
                <w:szCs w:val="18"/>
              </w:rPr>
              <w:t>3.</w:t>
            </w:r>
            <w:r>
              <w:rPr>
                <w:rFonts w:hint="eastAsia" w:ascii="Times New Roman" w:hAnsi="Times New Roman"/>
                <w:color w:val="000000"/>
                <w:spacing w:val="-2"/>
                <w:sz w:val="18"/>
                <w:szCs w:val="18"/>
              </w:rPr>
              <w:t>安全施工：安全资料、特殊作业专项方案的编制，安全施工标志的购置及安全宣传的费用；“三宝”（安全帽、安全带、安全网），“四口”（楼梯口、电梯井口、通道口、预留洞口），</w:t>
            </w:r>
            <w:r>
              <w:rPr>
                <w:rFonts w:ascii="Times New Roman" w:hAnsi="Times New Roman"/>
                <w:color w:val="000000"/>
                <w:spacing w:val="-2"/>
                <w:sz w:val="18"/>
                <w:szCs w:val="18"/>
              </w:rPr>
              <w:t>“</w:t>
            </w:r>
            <w:r>
              <w:rPr>
                <w:rFonts w:hint="eastAsia" w:ascii="Times New Roman" w:hAnsi="Times New Roman"/>
                <w:color w:val="000000"/>
                <w:spacing w:val="-2"/>
                <w:sz w:val="18"/>
                <w:szCs w:val="18"/>
              </w:rPr>
              <w:t>五临边</w:t>
            </w:r>
            <w:r>
              <w:rPr>
                <w:rFonts w:ascii="Times New Roman" w:hAnsi="Times New Roman"/>
                <w:color w:val="000000"/>
                <w:spacing w:val="-2"/>
                <w:sz w:val="18"/>
                <w:szCs w:val="18"/>
              </w:rPr>
              <w:t>”</w:t>
            </w:r>
            <w:r>
              <w:rPr>
                <w:rFonts w:hint="eastAsia" w:ascii="Times New Roman" w:hAnsi="Times New Roman"/>
                <w:color w:val="000000"/>
                <w:spacing w:val="-2"/>
                <w:sz w:val="18"/>
                <w:szCs w:val="18"/>
              </w:rPr>
              <w:t>（阳台围边、楼板围边、屋面围边、槽坑围边、卸料平台两侧）；水平防护架、垂直防护架、外架封闭等防护的费用；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2"/>
          <w:wAfter w:w="14" w:type="dxa"/>
          <w:trHeight w:val="751" w:hRule="atLeast"/>
        </w:trPr>
        <w:tc>
          <w:tcPr>
            <w:tcW w:w="788" w:type="dxa"/>
            <w:tcBorders>
              <w:top w:val="single" w:color="auto" w:sz="4" w:space="0"/>
              <w:left w:val="single" w:color="auto" w:sz="8" w:space="0"/>
              <w:bottom w:val="single" w:color="auto" w:sz="4" w:space="0"/>
              <w:right w:val="single" w:color="auto" w:sz="4" w:space="0"/>
            </w:tcBorders>
            <w:noWrap w:val="0"/>
            <w:vAlign w:val="center"/>
          </w:tcPr>
          <w:p>
            <w:pPr>
              <w:spacing w:line="280" w:lineRule="exact"/>
              <w:jc w:val="center"/>
              <w:rPr>
                <w:rFonts w:ascii="Times New Roman" w:hAnsi="Times New Roman" w:cs="宋体"/>
                <w:color w:val="000000"/>
                <w:spacing w:val="-2"/>
                <w:sz w:val="18"/>
                <w:szCs w:val="18"/>
              </w:rPr>
            </w:pPr>
            <w:r>
              <w:rPr>
                <w:rFonts w:hint="eastAsia" w:ascii="Times New Roman" w:hAnsi="Times New Roman" w:cs="宋体"/>
                <w:color w:val="000000"/>
                <w:spacing w:val="-2"/>
                <w:sz w:val="18"/>
                <w:szCs w:val="18"/>
              </w:rPr>
              <w:t>仿古建筑工程</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Times New Roman" w:hAnsi="Times New Roman" w:cs="宋体"/>
                <w:color w:val="000000"/>
                <w:spacing w:val="-2"/>
                <w:szCs w:val="21"/>
              </w:rPr>
            </w:pPr>
            <w:r>
              <w:rPr>
                <w:rFonts w:ascii="Times New Roman" w:hAnsi="Times New Roman" w:cs="宋体"/>
                <w:color w:val="000000"/>
                <w:spacing w:val="-2"/>
                <w:szCs w:val="21"/>
              </w:rPr>
              <w:t>021007001</w:t>
            </w:r>
          </w:p>
        </w:tc>
        <w:tc>
          <w:tcPr>
            <w:tcW w:w="66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cs="宋体"/>
                <w:color w:val="000000"/>
                <w:spacing w:val="-2"/>
                <w:sz w:val="18"/>
                <w:szCs w:val="18"/>
              </w:rPr>
            </w:pPr>
          </w:p>
        </w:tc>
        <w:tc>
          <w:tcPr>
            <w:tcW w:w="6383" w:type="dxa"/>
            <w:vMerge w:val="continue"/>
            <w:tcBorders>
              <w:top w:val="single" w:color="auto" w:sz="4" w:space="0"/>
              <w:left w:val="single" w:color="auto" w:sz="4" w:space="0"/>
              <w:bottom w:val="single" w:color="auto" w:sz="4" w:space="0"/>
              <w:right w:val="single" w:color="auto" w:sz="8" w:space="0"/>
            </w:tcBorders>
            <w:noWrap w:val="0"/>
            <w:vAlign w:val="center"/>
          </w:tcPr>
          <w:p>
            <w:pPr>
              <w:widowControl/>
              <w:jc w:val="left"/>
              <w:rPr>
                <w:rFonts w:ascii="Times New Roman" w:hAnsi="Times New Roman" w:cs="宋体"/>
                <w:color w:val="000000"/>
                <w:spacing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2"/>
          <w:wAfter w:w="14" w:type="dxa"/>
          <w:trHeight w:val="896" w:hRule="atLeast"/>
        </w:trPr>
        <w:tc>
          <w:tcPr>
            <w:tcW w:w="788" w:type="dxa"/>
            <w:tcBorders>
              <w:top w:val="single" w:color="auto" w:sz="4" w:space="0"/>
              <w:left w:val="single" w:color="auto" w:sz="8" w:space="0"/>
              <w:bottom w:val="single" w:color="auto" w:sz="4" w:space="0"/>
              <w:right w:val="single" w:color="auto" w:sz="4" w:space="0"/>
            </w:tcBorders>
            <w:noWrap w:val="0"/>
            <w:vAlign w:val="center"/>
          </w:tcPr>
          <w:p>
            <w:pPr>
              <w:spacing w:line="280" w:lineRule="exact"/>
              <w:jc w:val="center"/>
              <w:rPr>
                <w:rFonts w:ascii="Times New Roman" w:hAnsi="Times New Roman" w:cs="宋体"/>
                <w:color w:val="000000"/>
                <w:spacing w:val="-2"/>
                <w:sz w:val="18"/>
                <w:szCs w:val="18"/>
              </w:rPr>
            </w:pPr>
            <w:r>
              <w:rPr>
                <w:rFonts w:hint="eastAsia" w:ascii="Times New Roman" w:hAnsi="Times New Roman" w:cs="宋体"/>
                <w:color w:val="000000"/>
                <w:spacing w:val="-2"/>
                <w:sz w:val="18"/>
                <w:szCs w:val="18"/>
              </w:rPr>
              <w:t>通用安装工程</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Times New Roman" w:hAnsi="Times New Roman" w:cs="宋体"/>
                <w:color w:val="000000"/>
                <w:spacing w:val="-2"/>
                <w:szCs w:val="21"/>
              </w:rPr>
            </w:pPr>
            <w:r>
              <w:rPr>
                <w:rFonts w:ascii="Times New Roman" w:hAnsi="Times New Roman" w:cs="宋体"/>
                <w:color w:val="000000"/>
                <w:spacing w:val="-2"/>
                <w:szCs w:val="21"/>
              </w:rPr>
              <w:t>031302001</w:t>
            </w:r>
          </w:p>
        </w:tc>
        <w:tc>
          <w:tcPr>
            <w:tcW w:w="66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cs="宋体"/>
                <w:color w:val="000000"/>
                <w:spacing w:val="-2"/>
                <w:sz w:val="18"/>
                <w:szCs w:val="18"/>
              </w:rPr>
            </w:pPr>
          </w:p>
        </w:tc>
        <w:tc>
          <w:tcPr>
            <w:tcW w:w="6383" w:type="dxa"/>
            <w:vMerge w:val="continue"/>
            <w:tcBorders>
              <w:top w:val="single" w:color="auto" w:sz="4" w:space="0"/>
              <w:left w:val="single" w:color="auto" w:sz="4" w:space="0"/>
              <w:bottom w:val="single" w:color="auto" w:sz="4" w:space="0"/>
              <w:right w:val="single" w:color="auto" w:sz="8" w:space="0"/>
            </w:tcBorders>
            <w:noWrap w:val="0"/>
            <w:vAlign w:val="center"/>
          </w:tcPr>
          <w:p>
            <w:pPr>
              <w:widowControl/>
              <w:jc w:val="left"/>
              <w:rPr>
                <w:rFonts w:ascii="Times New Roman" w:hAnsi="Times New Roman" w:cs="宋体"/>
                <w:color w:val="000000"/>
                <w:spacing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2"/>
          <w:wAfter w:w="14" w:type="dxa"/>
          <w:trHeight w:val="1777" w:hRule="atLeast"/>
        </w:trPr>
        <w:tc>
          <w:tcPr>
            <w:tcW w:w="788" w:type="dxa"/>
            <w:tcBorders>
              <w:top w:val="single" w:color="auto" w:sz="4" w:space="0"/>
              <w:left w:val="single" w:color="auto" w:sz="8" w:space="0"/>
              <w:bottom w:val="single" w:color="auto" w:sz="4" w:space="0"/>
              <w:right w:val="single" w:color="auto" w:sz="4" w:space="0"/>
            </w:tcBorders>
            <w:noWrap w:val="0"/>
            <w:vAlign w:val="center"/>
          </w:tcPr>
          <w:p>
            <w:pPr>
              <w:spacing w:line="280" w:lineRule="exact"/>
              <w:jc w:val="center"/>
              <w:rPr>
                <w:rFonts w:ascii="Times New Roman" w:hAnsi="Times New Roman" w:cs="宋体"/>
                <w:color w:val="000000"/>
                <w:spacing w:val="-2"/>
                <w:sz w:val="18"/>
                <w:szCs w:val="18"/>
              </w:rPr>
            </w:pPr>
            <w:r>
              <w:rPr>
                <w:rFonts w:hint="eastAsia" w:ascii="Times New Roman" w:hAnsi="Times New Roman" w:cs="宋体"/>
                <w:color w:val="000000"/>
                <w:spacing w:val="-2"/>
                <w:sz w:val="18"/>
                <w:szCs w:val="18"/>
              </w:rPr>
              <w:t>市政</w:t>
            </w:r>
          </w:p>
          <w:p>
            <w:pPr>
              <w:spacing w:line="280" w:lineRule="exact"/>
              <w:jc w:val="center"/>
              <w:rPr>
                <w:rFonts w:ascii="Times New Roman" w:hAnsi="Times New Roman" w:cs="宋体"/>
                <w:color w:val="000000"/>
                <w:spacing w:val="-2"/>
                <w:sz w:val="18"/>
                <w:szCs w:val="18"/>
              </w:rPr>
            </w:pPr>
            <w:r>
              <w:rPr>
                <w:rFonts w:hint="eastAsia" w:ascii="Times New Roman" w:hAnsi="Times New Roman" w:cs="宋体"/>
                <w:color w:val="000000"/>
                <w:spacing w:val="-2"/>
                <w:sz w:val="18"/>
                <w:szCs w:val="18"/>
              </w:rPr>
              <w:t>工程</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Times New Roman" w:hAnsi="Times New Roman" w:cs="宋体"/>
                <w:color w:val="000000"/>
                <w:spacing w:val="-2"/>
                <w:szCs w:val="21"/>
              </w:rPr>
            </w:pPr>
            <w:r>
              <w:rPr>
                <w:rFonts w:ascii="Times New Roman" w:hAnsi="Times New Roman" w:cs="宋体"/>
                <w:color w:val="000000"/>
                <w:spacing w:val="-2"/>
                <w:szCs w:val="21"/>
              </w:rPr>
              <w:t>041109001</w:t>
            </w:r>
          </w:p>
        </w:tc>
        <w:tc>
          <w:tcPr>
            <w:tcW w:w="66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cs="宋体"/>
                <w:color w:val="000000"/>
                <w:spacing w:val="-2"/>
                <w:sz w:val="18"/>
                <w:szCs w:val="18"/>
              </w:rPr>
            </w:pPr>
          </w:p>
        </w:tc>
        <w:tc>
          <w:tcPr>
            <w:tcW w:w="6383" w:type="dxa"/>
            <w:vMerge w:val="continue"/>
            <w:tcBorders>
              <w:top w:val="single" w:color="auto" w:sz="4" w:space="0"/>
              <w:left w:val="single" w:color="auto" w:sz="4" w:space="0"/>
              <w:bottom w:val="single" w:color="auto" w:sz="4" w:space="0"/>
              <w:right w:val="single" w:color="auto" w:sz="8" w:space="0"/>
            </w:tcBorders>
            <w:noWrap w:val="0"/>
            <w:vAlign w:val="center"/>
          </w:tcPr>
          <w:p>
            <w:pPr>
              <w:widowControl/>
              <w:jc w:val="left"/>
              <w:rPr>
                <w:rFonts w:ascii="Times New Roman" w:hAnsi="Times New Roman" w:cs="宋体"/>
                <w:color w:val="000000"/>
                <w:spacing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2"/>
          <w:wAfter w:w="14" w:type="dxa"/>
          <w:trHeight w:val="2974" w:hRule="atLeast"/>
        </w:trPr>
        <w:tc>
          <w:tcPr>
            <w:tcW w:w="788" w:type="dxa"/>
            <w:tcBorders>
              <w:top w:val="single" w:color="auto" w:sz="4" w:space="0"/>
              <w:left w:val="single" w:color="auto" w:sz="8" w:space="0"/>
              <w:bottom w:val="single" w:color="auto" w:sz="4" w:space="0"/>
              <w:right w:val="single" w:color="auto" w:sz="4" w:space="0"/>
            </w:tcBorders>
            <w:noWrap w:val="0"/>
            <w:vAlign w:val="center"/>
          </w:tcPr>
          <w:p>
            <w:pPr>
              <w:spacing w:line="280" w:lineRule="exact"/>
              <w:jc w:val="center"/>
              <w:rPr>
                <w:rFonts w:ascii="Times New Roman" w:hAnsi="Times New Roman" w:cs="宋体"/>
                <w:color w:val="000000"/>
                <w:spacing w:val="-2"/>
                <w:sz w:val="18"/>
                <w:szCs w:val="18"/>
              </w:rPr>
            </w:pPr>
            <w:r>
              <w:rPr>
                <w:rFonts w:hint="eastAsia" w:ascii="Times New Roman" w:hAnsi="Times New Roman" w:cs="宋体"/>
                <w:color w:val="000000"/>
                <w:spacing w:val="-2"/>
                <w:sz w:val="18"/>
                <w:szCs w:val="18"/>
              </w:rPr>
              <w:t>园林绿化工程</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Times New Roman" w:hAnsi="Times New Roman" w:cs="宋体"/>
                <w:color w:val="000000"/>
                <w:spacing w:val="-2"/>
                <w:szCs w:val="21"/>
              </w:rPr>
            </w:pPr>
            <w:r>
              <w:rPr>
                <w:rFonts w:ascii="Times New Roman" w:hAnsi="Times New Roman" w:cs="宋体"/>
                <w:color w:val="000000"/>
                <w:spacing w:val="-2"/>
                <w:szCs w:val="21"/>
              </w:rPr>
              <w:t>050405001</w:t>
            </w:r>
          </w:p>
        </w:tc>
        <w:tc>
          <w:tcPr>
            <w:tcW w:w="669"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Times New Roman" w:hAnsi="Times New Roman" w:cs="宋体"/>
                <w:color w:val="000000"/>
                <w:spacing w:val="-2"/>
                <w:szCs w:val="21"/>
              </w:rPr>
            </w:pPr>
            <w:r>
              <w:rPr>
                <w:rFonts w:hint="eastAsia" w:ascii="Times New Roman" w:hAnsi="Times New Roman" w:cs="宋体"/>
                <w:color w:val="000000"/>
                <w:spacing w:val="-2"/>
                <w:sz w:val="18"/>
                <w:szCs w:val="18"/>
              </w:rPr>
              <w:t>安全文明施工</w:t>
            </w:r>
          </w:p>
        </w:tc>
        <w:tc>
          <w:tcPr>
            <w:tcW w:w="6383" w:type="dxa"/>
            <w:vMerge w:val="restart"/>
            <w:tcBorders>
              <w:top w:val="single" w:color="auto" w:sz="4" w:space="0"/>
              <w:left w:val="single" w:color="auto" w:sz="4" w:space="0"/>
              <w:bottom w:val="single" w:color="auto" w:sz="4" w:space="0"/>
              <w:right w:val="single" w:color="auto" w:sz="8" w:space="0"/>
            </w:tcBorders>
            <w:noWrap w:val="0"/>
            <w:vAlign w:val="center"/>
          </w:tcPr>
          <w:p>
            <w:pPr>
              <w:spacing w:line="280" w:lineRule="exact"/>
              <w:ind w:left="1" w:leftChars="-16" w:hanging="33" w:hangingChars="19"/>
              <w:rPr>
                <w:rFonts w:ascii="Times New Roman" w:hAnsi="Times New Roman"/>
                <w:color w:val="000000"/>
                <w:spacing w:val="-2"/>
                <w:sz w:val="18"/>
                <w:szCs w:val="18"/>
              </w:rPr>
            </w:pPr>
            <w:r>
              <w:rPr>
                <w:rFonts w:hint="eastAsia" w:ascii="Times New Roman" w:hAnsi="Times New Roman"/>
                <w:color w:val="000000"/>
                <w:spacing w:val="-2"/>
                <w:sz w:val="18"/>
                <w:szCs w:val="18"/>
              </w:rPr>
              <w:t>施工安全用电的费用，包括配电箱三级配电、两级保护装置要求、外电防护措施；起重机、塔吊等起重设备（含井架、门架）及外用电梯的安全防护措施（含警示标志）费用及卸料平台的临边防护、层间安全门、防护棚等设施费用；建筑工地起重机械的检验检测费用；施工机具防护棚及其围栏的安全保护设施费用；施工安全防护通道的费用；工人的安全防护用品、用具购置费用；消防设施与消防器材的配置费用；电气保护、安全照明设施费；其他安全防护措施费用。</w:t>
            </w:r>
          </w:p>
          <w:p>
            <w:pPr>
              <w:spacing w:line="280" w:lineRule="exact"/>
              <w:ind w:firstLine="344" w:firstLineChars="200"/>
              <w:rPr>
                <w:rFonts w:ascii="Times New Roman" w:hAnsi="Times New Roman" w:cs="宋体"/>
                <w:color w:val="000000"/>
                <w:spacing w:val="-2"/>
                <w:szCs w:val="21"/>
              </w:rPr>
            </w:pPr>
            <w:r>
              <w:rPr>
                <w:rFonts w:ascii="Times New Roman" w:hAnsi="Times New Roman"/>
                <w:color w:val="000000"/>
                <w:spacing w:val="-2"/>
                <w:sz w:val="18"/>
                <w:szCs w:val="18"/>
              </w:rPr>
              <w:t>4.</w:t>
            </w:r>
            <w:r>
              <w:rPr>
                <w:rFonts w:hint="eastAsia" w:ascii="Times New Roman" w:hAnsi="Times New Roman"/>
                <w:color w:val="000000"/>
                <w:spacing w:val="-2"/>
                <w:sz w:val="18"/>
                <w:szCs w:val="18"/>
              </w:rPr>
              <w:t>绿色施工：建筑垃圾分类收集及回收利用费用；夜间焊接作业及大型照明灯具的挡光措施费用；施工现场办公区、生活区使用节水器具及节能灯具增加费用；施工现场基坑降水储存使用、雨水收集系统、冲洗设备用水回收利用设施增加费用；施工现场生活区厕所化粪池、厨房隔油池设置及清理费用；从事有毒、有害、有刺激性气味和强光、噪音施工人员的防护器具；现场危险设备、地段、有毒物品存放地安全标识和防护措施；厕所、卫生设施、排水沟、阴暗潮湿地带定期消毒费用；保障现场施工人员劳动强度和工作时间符合国家标准《体力劳动强度分级》</w:t>
            </w:r>
            <w:r>
              <w:rPr>
                <w:rFonts w:ascii="Times New Roman" w:hAnsi="Times New Roman"/>
                <w:color w:val="000000"/>
                <w:spacing w:val="-2"/>
                <w:sz w:val="18"/>
                <w:szCs w:val="18"/>
              </w:rPr>
              <w:t>GB3869</w:t>
            </w:r>
            <w:r>
              <w:rPr>
                <w:rFonts w:hint="eastAsia" w:ascii="Times New Roman" w:hAnsi="Times New Roman"/>
                <w:color w:val="000000"/>
                <w:spacing w:val="-2"/>
                <w:sz w:val="18"/>
                <w:szCs w:val="18"/>
              </w:rPr>
              <w:t>的增加费用等。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2"/>
          <w:wAfter w:w="14" w:type="dxa"/>
        </w:trPr>
        <w:tc>
          <w:tcPr>
            <w:tcW w:w="788" w:type="dxa"/>
            <w:tcBorders>
              <w:top w:val="single" w:color="auto" w:sz="4" w:space="0"/>
              <w:left w:val="single" w:color="auto" w:sz="8" w:space="0"/>
              <w:bottom w:val="single" w:color="auto" w:sz="4" w:space="0"/>
              <w:right w:val="single" w:color="auto" w:sz="4" w:space="0"/>
            </w:tcBorders>
            <w:noWrap w:val="0"/>
            <w:vAlign w:val="center"/>
          </w:tcPr>
          <w:p>
            <w:pPr>
              <w:spacing w:line="280" w:lineRule="exact"/>
              <w:jc w:val="center"/>
              <w:rPr>
                <w:rFonts w:ascii="Times New Roman" w:hAnsi="Times New Roman" w:cs="宋体"/>
                <w:color w:val="000000"/>
                <w:spacing w:val="-2"/>
                <w:sz w:val="18"/>
                <w:szCs w:val="18"/>
              </w:rPr>
            </w:pPr>
            <w:r>
              <w:rPr>
                <w:rFonts w:hint="eastAsia" w:ascii="Times New Roman" w:hAnsi="Times New Roman" w:cs="宋体"/>
                <w:color w:val="000000"/>
                <w:spacing w:val="-2"/>
                <w:sz w:val="18"/>
                <w:szCs w:val="18"/>
              </w:rPr>
              <w:t>构筑物工程</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rPr>
                <w:rFonts w:ascii="Times New Roman" w:hAnsi="Times New Roman" w:cs="宋体"/>
                <w:color w:val="000000"/>
                <w:spacing w:val="-2"/>
                <w:szCs w:val="21"/>
              </w:rPr>
            </w:pPr>
            <w:r>
              <w:rPr>
                <w:rFonts w:ascii="Times New Roman" w:hAnsi="Times New Roman" w:cs="宋体"/>
                <w:color w:val="000000"/>
                <w:spacing w:val="-2"/>
                <w:szCs w:val="21"/>
              </w:rPr>
              <w:t>070306001</w:t>
            </w:r>
          </w:p>
        </w:tc>
        <w:tc>
          <w:tcPr>
            <w:tcW w:w="66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cs="宋体"/>
                <w:color w:val="000000"/>
                <w:spacing w:val="-2"/>
                <w:szCs w:val="21"/>
              </w:rPr>
            </w:pPr>
          </w:p>
        </w:tc>
        <w:tc>
          <w:tcPr>
            <w:tcW w:w="6383" w:type="dxa"/>
            <w:vMerge w:val="continue"/>
            <w:tcBorders>
              <w:top w:val="single" w:color="auto" w:sz="4" w:space="0"/>
              <w:left w:val="single" w:color="auto" w:sz="4" w:space="0"/>
              <w:bottom w:val="single" w:color="auto" w:sz="4" w:space="0"/>
              <w:right w:val="single" w:color="auto" w:sz="8" w:space="0"/>
            </w:tcBorders>
            <w:noWrap w:val="0"/>
            <w:vAlign w:val="center"/>
          </w:tcPr>
          <w:p>
            <w:pPr>
              <w:widowControl/>
              <w:jc w:val="left"/>
              <w:rPr>
                <w:rFonts w:ascii="Times New Roman" w:hAnsi="Times New Roman" w:cs="宋体"/>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2"/>
          <w:wAfter w:w="14" w:type="dxa"/>
        </w:trPr>
        <w:tc>
          <w:tcPr>
            <w:tcW w:w="788" w:type="dxa"/>
            <w:tcBorders>
              <w:top w:val="single" w:color="auto" w:sz="4" w:space="0"/>
              <w:left w:val="single" w:color="auto" w:sz="8" w:space="0"/>
              <w:bottom w:val="single" w:color="auto" w:sz="4" w:space="0"/>
              <w:right w:val="single" w:color="auto" w:sz="4" w:space="0"/>
            </w:tcBorders>
            <w:noWrap w:val="0"/>
            <w:vAlign w:val="center"/>
          </w:tcPr>
          <w:p>
            <w:pPr>
              <w:spacing w:line="280" w:lineRule="exact"/>
              <w:jc w:val="center"/>
              <w:rPr>
                <w:rFonts w:ascii="Times New Roman" w:hAnsi="Times New Roman" w:cs="宋体"/>
                <w:color w:val="000000"/>
                <w:spacing w:val="-2"/>
                <w:sz w:val="18"/>
                <w:szCs w:val="18"/>
              </w:rPr>
            </w:pPr>
            <w:r>
              <w:rPr>
                <w:rFonts w:hint="eastAsia" w:ascii="Times New Roman" w:hAnsi="Times New Roman" w:cs="宋体"/>
                <w:color w:val="000000"/>
                <w:spacing w:val="-2"/>
                <w:sz w:val="18"/>
                <w:szCs w:val="18"/>
              </w:rPr>
              <w:t>城市轨道交通工程</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spacing w:line="280" w:lineRule="exact"/>
              <w:rPr>
                <w:rFonts w:ascii="Times New Roman" w:hAnsi="Times New Roman" w:cs="宋体"/>
                <w:color w:val="000000"/>
                <w:spacing w:val="-2"/>
                <w:szCs w:val="21"/>
              </w:rPr>
            </w:pPr>
            <w:r>
              <w:rPr>
                <w:rFonts w:ascii="Times New Roman" w:hAnsi="Times New Roman" w:cs="宋体"/>
                <w:color w:val="000000"/>
                <w:spacing w:val="-2"/>
                <w:szCs w:val="21"/>
              </w:rPr>
              <w:t>081311001</w:t>
            </w:r>
          </w:p>
        </w:tc>
        <w:tc>
          <w:tcPr>
            <w:tcW w:w="66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cs="宋体"/>
                <w:color w:val="000000"/>
                <w:spacing w:val="-2"/>
                <w:szCs w:val="21"/>
              </w:rPr>
            </w:pPr>
          </w:p>
        </w:tc>
        <w:tc>
          <w:tcPr>
            <w:tcW w:w="6383" w:type="dxa"/>
            <w:vMerge w:val="continue"/>
            <w:tcBorders>
              <w:top w:val="single" w:color="auto" w:sz="4" w:space="0"/>
              <w:left w:val="single" w:color="auto" w:sz="4" w:space="0"/>
              <w:bottom w:val="single" w:color="auto" w:sz="4" w:space="0"/>
              <w:right w:val="single" w:color="auto" w:sz="8" w:space="0"/>
            </w:tcBorders>
            <w:noWrap w:val="0"/>
            <w:vAlign w:val="center"/>
          </w:tcPr>
          <w:p>
            <w:pPr>
              <w:widowControl/>
              <w:jc w:val="left"/>
              <w:rPr>
                <w:rFonts w:ascii="Times New Roman" w:hAnsi="Times New Roman" w:cs="宋体"/>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788" w:type="dxa"/>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rPr>
                <w:rFonts w:ascii="Times New Roman" w:hAnsi="Times New Roman" w:cs="宋体"/>
                <w:color w:val="000000"/>
                <w:spacing w:val="-2"/>
                <w:sz w:val="18"/>
                <w:szCs w:val="18"/>
              </w:rPr>
            </w:pPr>
            <w:r>
              <w:rPr>
                <w:rFonts w:hint="eastAsia" w:ascii="Times New Roman" w:hAnsi="Times New Roman" w:cs="宋体"/>
                <w:color w:val="000000"/>
                <w:spacing w:val="-2"/>
                <w:sz w:val="18"/>
                <w:szCs w:val="18"/>
              </w:rPr>
              <w:t>房屋建筑与装饰工程</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hAnsi="Times New Roman" w:cs="宋体"/>
                <w:color w:val="000000"/>
                <w:spacing w:val="-2"/>
                <w:sz w:val="18"/>
                <w:szCs w:val="18"/>
              </w:rPr>
            </w:pPr>
            <w:r>
              <w:rPr>
                <w:rFonts w:ascii="Times New Roman" w:hAnsi="Times New Roman" w:cs="宋体"/>
                <w:color w:val="000000"/>
                <w:spacing w:val="-2"/>
                <w:sz w:val="18"/>
                <w:szCs w:val="18"/>
              </w:rPr>
              <w:t>011707008</w:t>
            </w:r>
          </w:p>
        </w:tc>
        <w:tc>
          <w:tcPr>
            <w:tcW w:w="660" w:type="dxa"/>
            <w:vMerge w:val="restart"/>
            <w:tcBorders>
              <w:top w:val="single" w:color="auto" w:sz="4" w:space="0"/>
              <w:left w:val="single" w:color="auto" w:sz="4" w:space="0"/>
              <w:bottom w:val="single" w:color="auto" w:sz="4" w:space="0"/>
              <w:right w:val="single" w:color="auto" w:sz="4" w:space="0"/>
            </w:tcBorders>
            <w:noWrap w:val="0"/>
            <w:vAlign w:val="center"/>
          </w:tcPr>
          <w:p>
            <w:pPr>
              <w:spacing w:line="420" w:lineRule="atLeast"/>
              <w:jc w:val="center"/>
              <w:rPr>
                <w:rFonts w:ascii="Times New Roman" w:hAnsi="Times New Roman" w:cs="宋体"/>
                <w:color w:val="000000"/>
                <w:spacing w:val="-2"/>
                <w:sz w:val="18"/>
                <w:szCs w:val="18"/>
              </w:rPr>
            </w:pPr>
            <w:r>
              <w:rPr>
                <w:rFonts w:hint="eastAsia" w:ascii="Times New Roman" w:hAnsi="Times New Roman" w:cs="宋体"/>
                <w:color w:val="000000"/>
                <w:spacing w:val="-2"/>
                <w:sz w:val="18"/>
                <w:szCs w:val="18"/>
              </w:rPr>
              <w:t>临时设施</w:t>
            </w:r>
          </w:p>
        </w:tc>
        <w:tc>
          <w:tcPr>
            <w:tcW w:w="6406" w:type="dxa"/>
            <w:gridSpan w:val="4"/>
            <w:vMerge w:val="restart"/>
            <w:tcBorders>
              <w:top w:val="single" w:color="auto" w:sz="4" w:space="0"/>
              <w:left w:val="single" w:color="auto" w:sz="4" w:space="0"/>
              <w:bottom w:val="single" w:color="auto" w:sz="4" w:space="0"/>
              <w:right w:val="single" w:color="auto" w:sz="8" w:space="0"/>
            </w:tcBorders>
            <w:noWrap w:val="0"/>
            <w:vAlign w:val="center"/>
          </w:tcPr>
          <w:p>
            <w:pPr>
              <w:spacing w:line="240" w:lineRule="exact"/>
              <w:ind w:firstLine="344" w:firstLineChars="200"/>
              <w:rPr>
                <w:rFonts w:ascii="Times New Roman" w:hAnsi="Times New Roman"/>
                <w:color w:val="000000"/>
                <w:spacing w:val="-2"/>
                <w:sz w:val="18"/>
                <w:szCs w:val="18"/>
              </w:rPr>
            </w:pPr>
            <w:r>
              <w:rPr>
                <w:rFonts w:hint="eastAsia" w:ascii="Times New Roman" w:hAnsi="Times New Roman"/>
                <w:color w:val="000000"/>
                <w:spacing w:val="-2"/>
                <w:sz w:val="18"/>
                <w:szCs w:val="18"/>
              </w:rPr>
              <w:t>临时设施包括施工所必须搭设的生活和生产用的临时建筑物、构筑物和其他临时设施的费用等。包括施工现场临时宿舍、文化福利及公用事业房屋与构筑物、仓库、办公室、加工厂、工地实验室以及规定范围内的道路、水、电、管线等临时设施和小型临时设施等的搭设、维修、拆除、周转或摊销等费用。</w:t>
            </w:r>
          </w:p>
          <w:p>
            <w:pPr>
              <w:spacing w:line="240" w:lineRule="exact"/>
              <w:ind w:firstLine="344" w:firstLineChars="200"/>
              <w:rPr>
                <w:rFonts w:ascii="Times New Roman" w:hAnsi="Times New Roman"/>
                <w:color w:val="000000"/>
                <w:spacing w:val="-2"/>
                <w:sz w:val="18"/>
                <w:szCs w:val="18"/>
              </w:rPr>
            </w:pPr>
            <w:r>
              <w:rPr>
                <w:rFonts w:hint="eastAsia" w:ascii="Times New Roman" w:hAnsi="Times New Roman"/>
                <w:color w:val="000000"/>
                <w:spacing w:val="-2"/>
                <w:sz w:val="18"/>
                <w:szCs w:val="18"/>
              </w:rPr>
              <w:t>建筑、装饰、安装、修缮、古建园林工程规定范围内是指建筑物沿边起</w:t>
            </w:r>
            <w:r>
              <w:rPr>
                <w:rFonts w:ascii="Times New Roman" w:hAnsi="Times New Roman"/>
                <w:color w:val="000000"/>
                <w:spacing w:val="-2"/>
                <w:sz w:val="18"/>
                <w:szCs w:val="18"/>
              </w:rPr>
              <w:t>50</w:t>
            </w:r>
            <w:r>
              <w:rPr>
                <w:rFonts w:hint="eastAsia" w:ascii="Times New Roman" w:hAnsi="Times New Roman"/>
                <w:color w:val="000000"/>
                <w:spacing w:val="-2"/>
                <w:sz w:val="18"/>
                <w:szCs w:val="18"/>
              </w:rPr>
              <w:t>米以内，多幢建筑两幢间隔</w:t>
            </w:r>
            <w:r>
              <w:rPr>
                <w:rFonts w:ascii="Times New Roman" w:hAnsi="Times New Roman"/>
                <w:color w:val="000000"/>
                <w:spacing w:val="-2"/>
                <w:sz w:val="18"/>
                <w:szCs w:val="18"/>
              </w:rPr>
              <w:t>50</w:t>
            </w:r>
            <w:r>
              <w:rPr>
                <w:rFonts w:hint="eastAsia" w:ascii="Times New Roman" w:hAnsi="Times New Roman"/>
                <w:color w:val="000000"/>
                <w:spacing w:val="-2"/>
                <w:sz w:val="18"/>
                <w:szCs w:val="18"/>
              </w:rPr>
              <w:t>米内。</w:t>
            </w:r>
          </w:p>
          <w:p>
            <w:pPr>
              <w:spacing w:line="240" w:lineRule="exact"/>
              <w:ind w:firstLine="344" w:firstLineChars="200"/>
              <w:rPr>
                <w:rFonts w:ascii="Times New Roman" w:hAnsi="Times New Roman" w:cs="宋体"/>
                <w:color w:val="000000"/>
                <w:spacing w:val="-2"/>
                <w:sz w:val="18"/>
                <w:szCs w:val="18"/>
              </w:rPr>
            </w:pPr>
            <w:r>
              <w:rPr>
                <w:rFonts w:hint="eastAsia" w:ascii="Times New Roman" w:hAnsi="Times New Roman"/>
                <w:color w:val="000000"/>
                <w:spacing w:val="-2"/>
                <w:sz w:val="18"/>
                <w:szCs w:val="18"/>
              </w:rPr>
              <w:t>市政工程规定范围是指定额基本运距范围内的临时给水、排水、供电、供热线路（不包括变压器、锅炉等设备）、临时道路。不包括交通疏解分流通道、现场与公路（市政道路）的连接道路、道路工程的护栏（围挡），也不包括单独的管道工程或单独的驳岸工程施工需要的沿线简易道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788" w:type="dxa"/>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rPr>
                <w:rFonts w:ascii="Times New Roman" w:hAnsi="Times New Roman" w:cs="宋体"/>
                <w:color w:val="000000"/>
                <w:spacing w:val="-2"/>
                <w:sz w:val="18"/>
                <w:szCs w:val="18"/>
              </w:rPr>
            </w:pPr>
            <w:r>
              <w:rPr>
                <w:rFonts w:hint="eastAsia" w:ascii="Times New Roman" w:hAnsi="Times New Roman" w:cs="宋体"/>
                <w:color w:val="000000"/>
                <w:spacing w:val="-2"/>
                <w:sz w:val="18"/>
                <w:szCs w:val="18"/>
              </w:rPr>
              <w:t>仿古建筑工程</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hAnsi="Times New Roman" w:cs="宋体"/>
                <w:color w:val="000000"/>
                <w:spacing w:val="-2"/>
                <w:sz w:val="18"/>
                <w:szCs w:val="18"/>
              </w:rPr>
            </w:pPr>
            <w:r>
              <w:rPr>
                <w:rFonts w:ascii="Times New Roman" w:hAnsi="Times New Roman" w:cs="宋体"/>
                <w:color w:val="000000"/>
                <w:spacing w:val="-2"/>
                <w:sz w:val="18"/>
                <w:szCs w:val="18"/>
              </w:rPr>
              <w:t>021007008</w:t>
            </w:r>
          </w:p>
        </w:tc>
        <w:tc>
          <w:tcPr>
            <w:tcW w:w="66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cs="宋体"/>
                <w:color w:val="000000"/>
                <w:spacing w:val="-2"/>
                <w:sz w:val="18"/>
                <w:szCs w:val="18"/>
              </w:rPr>
            </w:pPr>
          </w:p>
        </w:tc>
        <w:tc>
          <w:tcPr>
            <w:tcW w:w="6406" w:type="dxa"/>
            <w:gridSpan w:val="4"/>
            <w:vMerge w:val="continue"/>
            <w:tcBorders>
              <w:top w:val="single" w:color="auto" w:sz="4" w:space="0"/>
              <w:left w:val="single" w:color="auto" w:sz="4" w:space="0"/>
              <w:bottom w:val="single" w:color="auto" w:sz="4" w:space="0"/>
              <w:right w:val="single" w:color="auto" w:sz="8" w:space="0"/>
            </w:tcBorders>
            <w:noWrap w:val="0"/>
            <w:vAlign w:val="center"/>
          </w:tcPr>
          <w:p>
            <w:pPr>
              <w:widowControl/>
              <w:jc w:val="left"/>
              <w:rPr>
                <w:rFonts w:ascii="Times New Roman" w:hAnsi="Times New Roman" w:cs="宋体"/>
                <w:color w:val="000000"/>
                <w:spacing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788" w:type="dxa"/>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rPr>
                <w:rFonts w:ascii="Times New Roman" w:hAnsi="Times New Roman" w:cs="宋体"/>
                <w:color w:val="000000"/>
                <w:spacing w:val="-2"/>
                <w:sz w:val="18"/>
                <w:szCs w:val="18"/>
              </w:rPr>
            </w:pPr>
            <w:r>
              <w:rPr>
                <w:rFonts w:hint="eastAsia" w:ascii="Times New Roman" w:hAnsi="Times New Roman" w:cs="宋体"/>
                <w:color w:val="000000"/>
                <w:spacing w:val="-2"/>
                <w:sz w:val="18"/>
                <w:szCs w:val="18"/>
              </w:rPr>
              <w:t>通用安装工程</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hAnsi="Times New Roman" w:cs="宋体"/>
                <w:color w:val="000000"/>
                <w:spacing w:val="-2"/>
                <w:sz w:val="18"/>
                <w:szCs w:val="18"/>
              </w:rPr>
            </w:pPr>
            <w:r>
              <w:rPr>
                <w:rFonts w:ascii="Times New Roman" w:hAnsi="Times New Roman" w:cs="宋体"/>
                <w:color w:val="000000"/>
                <w:spacing w:val="-2"/>
                <w:sz w:val="18"/>
                <w:szCs w:val="18"/>
              </w:rPr>
              <w:t>031302008</w:t>
            </w:r>
          </w:p>
        </w:tc>
        <w:tc>
          <w:tcPr>
            <w:tcW w:w="66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cs="宋体"/>
                <w:color w:val="000000"/>
                <w:spacing w:val="-2"/>
                <w:sz w:val="18"/>
                <w:szCs w:val="18"/>
              </w:rPr>
            </w:pPr>
          </w:p>
        </w:tc>
        <w:tc>
          <w:tcPr>
            <w:tcW w:w="6406" w:type="dxa"/>
            <w:gridSpan w:val="4"/>
            <w:vMerge w:val="continue"/>
            <w:tcBorders>
              <w:top w:val="single" w:color="auto" w:sz="4" w:space="0"/>
              <w:left w:val="single" w:color="auto" w:sz="4" w:space="0"/>
              <w:bottom w:val="single" w:color="auto" w:sz="4" w:space="0"/>
              <w:right w:val="single" w:color="auto" w:sz="8" w:space="0"/>
            </w:tcBorders>
            <w:noWrap w:val="0"/>
            <w:vAlign w:val="center"/>
          </w:tcPr>
          <w:p>
            <w:pPr>
              <w:widowControl/>
              <w:jc w:val="left"/>
              <w:rPr>
                <w:rFonts w:ascii="Times New Roman" w:hAnsi="Times New Roman" w:cs="宋体"/>
                <w:color w:val="000000"/>
                <w:spacing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788" w:type="dxa"/>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rPr>
                <w:rFonts w:ascii="Times New Roman" w:hAnsi="Times New Roman" w:cs="宋体"/>
                <w:color w:val="000000"/>
                <w:spacing w:val="-2"/>
                <w:sz w:val="18"/>
                <w:szCs w:val="18"/>
              </w:rPr>
            </w:pPr>
            <w:r>
              <w:rPr>
                <w:rFonts w:hint="eastAsia" w:ascii="Times New Roman" w:hAnsi="Times New Roman" w:cs="宋体"/>
                <w:color w:val="000000"/>
                <w:spacing w:val="-2"/>
                <w:sz w:val="18"/>
                <w:szCs w:val="18"/>
              </w:rPr>
              <w:t>市政工程</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hAnsi="Times New Roman" w:cs="宋体"/>
                <w:color w:val="000000"/>
                <w:spacing w:val="-2"/>
                <w:sz w:val="18"/>
                <w:szCs w:val="18"/>
              </w:rPr>
            </w:pPr>
            <w:r>
              <w:rPr>
                <w:rFonts w:ascii="Times New Roman" w:hAnsi="Times New Roman" w:cs="宋体"/>
                <w:color w:val="000000"/>
                <w:spacing w:val="-2"/>
                <w:sz w:val="18"/>
                <w:szCs w:val="18"/>
              </w:rPr>
              <w:t>041109008</w:t>
            </w:r>
          </w:p>
        </w:tc>
        <w:tc>
          <w:tcPr>
            <w:tcW w:w="66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cs="宋体"/>
                <w:color w:val="000000"/>
                <w:spacing w:val="-2"/>
                <w:sz w:val="18"/>
                <w:szCs w:val="18"/>
              </w:rPr>
            </w:pPr>
          </w:p>
        </w:tc>
        <w:tc>
          <w:tcPr>
            <w:tcW w:w="6406" w:type="dxa"/>
            <w:gridSpan w:val="4"/>
            <w:vMerge w:val="continue"/>
            <w:tcBorders>
              <w:top w:val="single" w:color="auto" w:sz="4" w:space="0"/>
              <w:left w:val="single" w:color="auto" w:sz="4" w:space="0"/>
              <w:bottom w:val="single" w:color="auto" w:sz="4" w:space="0"/>
              <w:right w:val="single" w:color="auto" w:sz="8" w:space="0"/>
            </w:tcBorders>
            <w:noWrap w:val="0"/>
            <w:vAlign w:val="center"/>
          </w:tcPr>
          <w:p>
            <w:pPr>
              <w:widowControl/>
              <w:jc w:val="left"/>
              <w:rPr>
                <w:rFonts w:ascii="Times New Roman" w:hAnsi="Times New Roman" w:cs="宋体"/>
                <w:color w:val="000000"/>
                <w:spacing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788" w:type="dxa"/>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rPr>
                <w:rFonts w:ascii="Times New Roman" w:hAnsi="Times New Roman" w:cs="宋体"/>
                <w:color w:val="000000"/>
                <w:spacing w:val="-2"/>
                <w:sz w:val="18"/>
                <w:szCs w:val="18"/>
              </w:rPr>
            </w:pPr>
            <w:r>
              <w:rPr>
                <w:rFonts w:hint="eastAsia" w:ascii="Times New Roman" w:hAnsi="Times New Roman" w:cs="宋体"/>
                <w:color w:val="000000"/>
                <w:spacing w:val="-2"/>
                <w:sz w:val="18"/>
                <w:szCs w:val="18"/>
              </w:rPr>
              <w:t>园林绿化工程</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hAnsi="Times New Roman" w:cs="宋体"/>
                <w:color w:val="000000"/>
                <w:spacing w:val="-2"/>
                <w:sz w:val="18"/>
                <w:szCs w:val="18"/>
              </w:rPr>
            </w:pPr>
            <w:r>
              <w:rPr>
                <w:rFonts w:ascii="Times New Roman" w:hAnsi="Times New Roman" w:cs="宋体"/>
                <w:color w:val="000000"/>
                <w:spacing w:val="-2"/>
                <w:sz w:val="18"/>
                <w:szCs w:val="18"/>
              </w:rPr>
              <w:t>050405009</w:t>
            </w:r>
          </w:p>
        </w:tc>
        <w:tc>
          <w:tcPr>
            <w:tcW w:w="66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cs="宋体"/>
                <w:color w:val="000000"/>
                <w:spacing w:val="-2"/>
                <w:sz w:val="18"/>
                <w:szCs w:val="18"/>
              </w:rPr>
            </w:pPr>
          </w:p>
        </w:tc>
        <w:tc>
          <w:tcPr>
            <w:tcW w:w="6406" w:type="dxa"/>
            <w:gridSpan w:val="4"/>
            <w:vMerge w:val="continue"/>
            <w:tcBorders>
              <w:top w:val="single" w:color="auto" w:sz="4" w:space="0"/>
              <w:left w:val="single" w:color="auto" w:sz="4" w:space="0"/>
              <w:bottom w:val="single" w:color="auto" w:sz="4" w:space="0"/>
              <w:right w:val="single" w:color="auto" w:sz="8" w:space="0"/>
            </w:tcBorders>
            <w:noWrap w:val="0"/>
            <w:vAlign w:val="center"/>
          </w:tcPr>
          <w:p>
            <w:pPr>
              <w:widowControl/>
              <w:jc w:val="left"/>
              <w:rPr>
                <w:rFonts w:ascii="Times New Roman" w:hAnsi="Times New Roman" w:cs="宋体"/>
                <w:color w:val="000000"/>
                <w:spacing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788" w:type="dxa"/>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rPr>
                <w:rFonts w:ascii="Times New Roman" w:hAnsi="Times New Roman" w:cs="宋体"/>
                <w:color w:val="000000"/>
                <w:spacing w:val="-2"/>
                <w:sz w:val="18"/>
                <w:szCs w:val="18"/>
              </w:rPr>
            </w:pPr>
            <w:r>
              <w:rPr>
                <w:rFonts w:hint="eastAsia" w:ascii="Times New Roman" w:hAnsi="Times New Roman" w:cs="宋体"/>
                <w:color w:val="000000"/>
                <w:spacing w:val="-2"/>
                <w:sz w:val="18"/>
                <w:szCs w:val="18"/>
              </w:rPr>
              <w:t>构筑物工程</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hAnsi="Times New Roman" w:cs="宋体"/>
                <w:color w:val="000000"/>
                <w:spacing w:val="-2"/>
                <w:sz w:val="18"/>
                <w:szCs w:val="18"/>
              </w:rPr>
            </w:pPr>
            <w:r>
              <w:rPr>
                <w:rFonts w:ascii="Times New Roman" w:hAnsi="Times New Roman" w:cs="宋体"/>
                <w:color w:val="000000"/>
                <w:spacing w:val="-2"/>
                <w:sz w:val="18"/>
                <w:szCs w:val="18"/>
              </w:rPr>
              <w:t>070306009</w:t>
            </w:r>
          </w:p>
        </w:tc>
        <w:tc>
          <w:tcPr>
            <w:tcW w:w="66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cs="宋体"/>
                <w:color w:val="000000"/>
                <w:spacing w:val="-2"/>
                <w:sz w:val="18"/>
                <w:szCs w:val="18"/>
              </w:rPr>
            </w:pPr>
          </w:p>
        </w:tc>
        <w:tc>
          <w:tcPr>
            <w:tcW w:w="6406" w:type="dxa"/>
            <w:gridSpan w:val="4"/>
            <w:vMerge w:val="continue"/>
            <w:tcBorders>
              <w:top w:val="single" w:color="auto" w:sz="4" w:space="0"/>
              <w:left w:val="single" w:color="auto" w:sz="4" w:space="0"/>
              <w:bottom w:val="single" w:color="auto" w:sz="4" w:space="0"/>
              <w:right w:val="single" w:color="auto" w:sz="8" w:space="0"/>
            </w:tcBorders>
            <w:noWrap w:val="0"/>
            <w:vAlign w:val="center"/>
          </w:tcPr>
          <w:p>
            <w:pPr>
              <w:widowControl/>
              <w:jc w:val="left"/>
              <w:rPr>
                <w:rFonts w:ascii="Times New Roman" w:hAnsi="Times New Roman" w:cs="宋体"/>
                <w:color w:val="000000"/>
                <w:spacing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88" w:type="dxa"/>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rPr>
                <w:rFonts w:ascii="Times New Roman" w:hAnsi="Times New Roman" w:cs="宋体"/>
                <w:color w:val="000000"/>
                <w:spacing w:val="-2"/>
                <w:sz w:val="18"/>
                <w:szCs w:val="18"/>
              </w:rPr>
            </w:pPr>
            <w:r>
              <w:rPr>
                <w:rFonts w:hint="eastAsia" w:ascii="Times New Roman" w:hAnsi="Times New Roman" w:cs="宋体"/>
                <w:color w:val="000000"/>
                <w:spacing w:val="-2"/>
                <w:sz w:val="18"/>
                <w:szCs w:val="18"/>
              </w:rPr>
              <w:t>城市轨道交通工程</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hAnsi="Times New Roman" w:cs="宋体"/>
                <w:color w:val="000000"/>
                <w:spacing w:val="-2"/>
                <w:sz w:val="18"/>
                <w:szCs w:val="18"/>
              </w:rPr>
            </w:pPr>
            <w:r>
              <w:rPr>
                <w:rFonts w:ascii="Times New Roman" w:hAnsi="Times New Roman" w:cs="宋体"/>
                <w:color w:val="000000"/>
                <w:spacing w:val="-2"/>
                <w:sz w:val="18"/>
                <w:szCs w:val="18"/>
              </w:rPr>
              <w:t>081311007</w:t>
            </w:r>
          </w:p>
        </w:tc>
        <w:tc>
          <w:tcPr>
            <w:tcW w:w="66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cs="宋体"/>
                <w:color w:val="000000"/>
                <w:spacing w:val="-2"/>
                <w:sz w:val="18"/>
                <w:szCs w:val="18"/>
              </w:rPr>
            </w:pPr>
          </w:p>
        </w:tc>
        <w:tc>
          <w:tcPr>
            <w:tcW w:w="6406" w:type="dxa"/>
            <w:gridSpan w:val="4"/>
            <w:vMerge w:val="continue"/>
            <w:tcBorders>
              <w:top w:val="single" w:color="auto" w:sz="4" w:space="0"/>
              <w:left w:val="single" w:color="auto" w:sz="4" w:space="0"/>
              <w:bottom w:val="single" w:color="auto" w:sz="4" w:space="0"/>
              <w:right w:val="single" w:color="auto" w:sz="8" w:space="0"/>
            </w:tcBorders>
            <w:noWrap w:val="0"/>
            <w:vAlign w:val="center"/>
          </w:tcPr>
          <w:p>
            <w:pPr>
              <w:widowControl/>
              <w:jc w:val="left"/>
              <w:rPr>
                <w:rFonts w:ascii="Times New Roman" w:hAnsi="Times New Roman" w:cs="宋体"/>
                <w:color w:val="000000"/>
                <w:spacing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788" w:type="dxa"/>
            <w:tcBorders>
              <w:top w:val="single" w:color="auto" w:sz="4" w:space="0"/>
              <w:left w:val="single" w:color="auto" w:sz="8" w:space="0"/>
              <w:bottom w:val="single" w:color="auto" w:sz="4" w:space="0"/>
              <w:right w:val="single" w:color="auto" w:sz="4" w:space="0"/>
            </w:tcBorders>
            <w:noWrap w:val="0"/>
            <w:vAlign w:val="top"/>
          </w:tcPr>
          <w:p>
            <w:pPr>
              <w:spacing w:line="260" w:lineRule="exact"/>
              <w:jc w:val="center"/>
              <w:rPr>
                <w:rFonts w:ascii="Times New Roman" w:hAnsi="Times New Roman" w:cs="宋体"/>
                <w:color w:val="000000"/>
                <w:spacing w:val="-2"/>
                <w:sz w:val="18"/>
                <w:szCs w:val="18"/>
              </w:rPr>
            </w:pPr>
            <w:r>
              <w:rPr>
                <w:rFonts w:hint="eastAsia" w:ascii="Times New Roman" w:hAnsi="Times New Roman" w:cs="宋体"/>
                <w:color w:val="000000"/>
                <w:spacing w:val="-2"/>
                <w:sz w:val="18"/>
                <w:szCs w:val="18"/>
              </w:rPr>
              <w:t>房屋建筑与装饰工程</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rFonts w:ascii="Times New Roman" w:hAnsi="Times New Roman" w:cs="宋体"/>
                <w:color w:val="000000"/>
                <w:spacing w:val="-2"/>
                <w:sz w:val="18"/>
                <w:szCs w:val="18"/>
              </w:rPr>
            </w:pPr>
            <w:r>
              <w:rPr>
                <w:rFonts w:ascii="Times New Roman" w:hAnsi="Times New Roman" w:cs="宋体"/>
                <w:color w:val="000000"/>
                <w:spacing w:val="-2"/>
                <w:sz w:val="18"/>
                <w:szCs w:val="18"/>
              </w:rPr>
              <w:t>011707009</w:t>
            </w:r>
          </w:p>
        </w:tc>
        <w:tc>
          <w:tcPr>
            <w:tcW w:w="660" w:type="dxa"/>
            <w:vMerge w:val="restart"/>
            <w:tcBorders>
              <w:top w:val="single" w:color="auto" w:sz="4" w:space="0"/>
              <w:left w:val="single" w:color="auto" w:sz="4" w:space="0"/>
              <w:bottom w:val="single" w:color="auto" w:sz="8" w:space="0"/>
              <w:right w:val="single" w:color="auto" w:sz="4" w:space="0"/>
            </w:tcBorders>
            <w:noWrap w:val="0"/>
            <w:vAlign w:val="center"/>
          </w:tcPr>
          <w:p>
            <w:pPr>
              <w:spacing w:line="260" w:lineRule="exact"/>
              <w:jc w:val="center"/>
              <w:rPr>
                <w:rFonts w:ascii="Times New Roman" w:hAnsi="Times New Roman" w:cs="宋体"/>
                <w:color w:val="000000"/>
                <w:spacing w:val="-2"/>
                <w:sz w:val="18"/>
                <w:szCs w:val="18"/>
              </w:rPr>
            </w:pPr>
            <w:r>
              <w:rPr>
                <w:rFonts w:hint="eastAsia" w:ascii="Times New Roman" w:hAnsi="Times New Roman" w:cs="宋体"/>
                <w:color w:val="000000"/>
                <w:spacing w:val="-2"/>
                <w:sz w:val="18"/>
                <w:szCs w:val="18"/>
              </w:rPr>
              <w:t>赶工</w:t>
            </w:r>
          </w:p>
          <w:p>
            <w:pPr>
              <w:spacing w:line="260" w:lineRule="exact"/>
              <w:jc w:val="center"/>
              <w:rPr>
                <w:rFonts w:ascii="Times New Roman" w:hAnsi="Times New Roman" w:cs="宋体"/>
                <w:color w:val="000000"/>
                <w:spacing w:val="-2"/>
                <w:sz w:val="18"/>
                <w:szCs w:val="18"/>
              </w:rPr>
            </w:pPr>
            <w:r>
              <w:rPr>
                <w:rFonts w:hint="eastAsia" w:ascii="Times New Roman" w:hAnsi="Times New Roman" w:cs="宋体"/>
                <w:color w:val="000000"/>
                <w:spacing w:val="-2"/>
                <w:sz w:val="18"/>
                <w:szCs w:val="18"/>
              </w:rPr>
              <w:t>措施</w:t>
            </w:r>
          </w:p>
        </w:tc>
        <w:tc>
          <w:tcPr>
            <w:tcW w:w="6400" w:type="dxa"/>
            <w:gridSpan w:val="3"/>
            <w:vMerge w:val="restart"/>
            <w:tcBorders>
              <w:top w:val="single" w:color="auto" w:sz="4" w:space="0"/>
              <w:left w:val="single" w:color="auto" w:sz="4" w:space="0"/>
              <w:bottom w:val="single" w:color="auto" w:sz="8" w:space="0"/>
              <w:right w:val="single" w:color="auto" w:sz="8" w:space="0"/>
            </w:tcBorders>
            <w:noWrap w:val="0"/>
            <w:vAlign w:val="center"/>
          </w:tcPr>
          <w:p>
            <w:pPr>
              <w:spacing w:line="260" w:lineRule="exact"/>
              <w:ind w:firstLine="344" w:firstLineChars="200"/>
              <w:rPr>
                <w:rFonts w:ascii="Times New Roman" w:hAnsi="Times New Roman" w:cs="宋体"/>
                <w:color w:val="000000"/>
                <w:spacing w:val="-2"/>
                <w:sz w:val="18"/>
                <w:szCs w:val="18"/>
              </w:rPr>
            </w:pPr>
            <w:r>
              <w:rPr>
                <w:rFonts w:hint="eastAsia" w:ascii="Times New Roman" w:hAnsi="Times New Roman"/>
                <w:color w:val="000000"/>
                <w:spacing w:val="-2"/>
                <w:sz w:val="18"/>
                <w:szCs w:val="18"/>
              </w:rPr>
              <w:t>施工合同约定工期比我省现行工期定额提前，施工企业为缩短工期所发生的费用。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788" w:type="dxa"/>
            <w:tcBorders>
              <w:top w:val="single" w:color="auto" w:sz="4" w:space="0"/>
              <w:left w:val="single" w:color="auto" w:sz="8" w:space="0"/>
              <w:bottom w:val="single" w:color="auto" w:sz="4" w:space="0"/>
              <w:right w:val="single" w:color="auto" w:sz="4" w:space="0"/>
            </w:tcBorders>
            <w:noWrap w:val="0"/>
            <w:vAlign w:val="top"/>
          </w:tcPr>
          <w:p>
            <w:pPr>
              <w:spacing w:line="260" w:lineRule="exact"/>
              <w:jc w:val="center"/>
              <w:rPr>
                <w:rFonts w:ascii="Times New Roman" w:hAnsi="Times New Roman" w:cs="宋体"/>
                <w:color w:val="000000"/>
                <w:spacing w:val="-2"/>
                <w:sz w:val="18"/>
                <w:szCs w:val="18"/>
              </w:rPr>
            </w:pPr>
            <w:r>
              <w:rPr>
                <w:rFonts w:hint="eastAsia" w:ascii="Times New Roman" w:hAnsi="Times New Roman" w:cs="宋体"/>
                <w:color w:val="000000"/>
                <w:spacing w:val="-2"/>
                <w:sz w:val="18"/>
                <w:szCs w:val="18"/>
              </w:rPr>
              <w:t>仿古建筑工程</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rFonts w:ascii="Times New Roman" w:hAnsi="Times New Roman" w:cs="宋体"/>
                <w:color w:val="000000"/>
                <w:spacing w:val="-2"/>
                <w:sz w:val="18"/>
                <w:szCs w:val="18"/>
              </w:rPr>
            </w:pPr>
            <w:r>
              <w:rPr>
                <w:rFonts w:ascii="Times New Roman" w:hAnsi="Times New Roman" w:cs="宋体"/>
                <w:color w:val="000000"/>
                <w:spacing w:val="-2"/>
                <w:sz w:val="18"/>
                <w:szCs w:val="18"/>
              </w:rPr>
              <w:t>021007009</w:t>
            </w:r>
          </w:p>
        </w:tc>
        <w:tc>
          <w:tcPr>
            <w:tcW w:w="660" w:type="dxa"/>
            <w:vMerge w:val="continue"/>
            <w:tcBorders>
              <w:top w:val="single" w:color="auto" w:sz="4" w:space="0"/>
              <w:left w:val="single" w:color="auto" w:sz="4" w:space="0"/>
              <w:bottom w:val="single" w:color="auto" w:sz="8" w:space="0"/>
              <w:right w:val="single" w:color="auto" w:sz="4" w:space="0"/>
            </w:tcBorders>
            <w:noWrap w:val="0"/>
            <w:vAlign w:val="center"/>
          </w:tcPr>
          <w:p>
            <w:pPr>
              <w:widowControl/>
              <w:jc w:val="left"/>
              <w:rPr>
                <w:rFonts w:ascii="Times New Roman" w:hAnsi="Times New Roman" w:cs="宋体"/>
                <w:color w:val="000000"/>
                <w:spacing w:val="-2"/>
                <w:sz w:val="18"/>
                <w:szCs w:val="18"/>
              </w:rPr>
            </w:pPr>
          </w:p>
        </w:tc>
        <w:tc>
          <w:tcPr>
            <w:tcW w:w="6400" w:type="dxa"/>
            <w:gridSpan w:val="3"/>
            <w:vMerge w:val="continue"/>
            <w:tcBorders>
              <w:top w:val="single" w:color="auto" w:sz="4" w:space="0"/>
              <w:left w:val="single" w:color="auto" w:sz="4" w:space="0"/>
              <w:bottom w:val="single" w:color="auto" w:sz="8" w:space="0"/>
              <w:right w:val="single" w:color="auto" w:sz="8" w:space="0"/>
            </w:tcBorders>
            <w:noWrap w:val="0"/>
            <w:vAlign w:val="center"/>
          </w:tcPr>
          <w:p>
            <w:pPr>
              <w:widowControl/>
              <w:jc w:val="left"/>
              <w:rPr>
                <w:rFonts w:ascii="Times New Roman" w:hAnsi="Times New Roman" w:cs="宋体"/>
                <w:color w:val="000000"/>
                <w:spacing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788" w:type="dxa"/>
            <w:tcBorders>
              <w:top w:val="single" w:color="auto" w:sz="4" w:space="0"/>
              <w:left w:val="single" w:color="auto" w:sz="8" w:space="0"/>
              <w:bottom w:val="single" w:color="auto" w:sz="4" w:space="0"/>
              <w:right w:val="single" w:color="auto" w:sz="4" w:space="0"/>
            </w:tcBorders>
            <w:noWrap w:val="0"/>
            <w:vAlign w:val="top"/>
          </w:tcPr>
          <w:p>
            <w:pPr>
              <w:spacing w:line="260" w:lineRule="exact"/>
              <w:jc w:val="center"/>
              <w:rPr>
                <w:rFonts w:ascii="Times New Roman" w:hAnsi="Times New Roman" w:cs="宋体"/>
                <w:color w:val="000000"/>
                <w:spacing w:val="-2"/>
                <w:sz w:val="18"/>
                <w:szCs w:val="18"/>
              </w:rPr>
            </w:pPr>
            <w:r>
              <w:rPr>
                <w:rFonts w:hint="eastAsia" w:ascii="Times New Roman" w:hAnsi="Times New Roman" w:cs="宋体"/>
                <w:color w:val="000000"/>
                <w:spacing w:val="-2"/>
                <w:sz w:val="18"/>
                <w:szCs w:val="18"/>
              </w:rPr>
              <w:t>通用安装工程</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rFonts w:ascii="Times New Roman" w:hAnsi="Times New Roman" w:cs="宋体"/>
                <w:color w:val="000000"/>
                <w:spacing w:val="-2"/>
                <w:sz w:val="18"/>
                <w:szCs w:val="18"/>
              </w:rPr>
            </w:pPr>
            <w:r>
              <w:rPr>
                <w:rFonts w:ascii="Times New Roman" w:hAnsi="Times New Roman" w:cs="宋体"/>
                <w:color w:val="000000"/>
                <w:spacing w:val="-2"/>
                <w:sz w:val="18"/>
                <w:szCs w:val="18"/>
              </w:rPr>
              <w:t>031302009</w:t>
            </w:r>
          </w:p>
        </w:tc>
        <w:tc>
          <w:tcPr>
            <w:tcW w:w="660" w:type="dxa"/>
            <w:vMerge w:val="continue"/>
            <w:tcBorders>
              <w:top w:val="single" w:color="auto" w:sz="4" w:space="0"/>
              <w:left w:val="single" w:color="auto" w:sz="4" w:space="0"/>
              <w:bottom w:val="single" w:color="auto" w:sz="8" w:space="0"/>
              <w:right w:val="single" w:color="auto" w:sz="4" w:space="0"/>
            </w:tcBorders>
            <w:noWrap w:val="0"/>
            <w:vAlign w:val="center"/>
          </w:tcPr>
          <w:p>
            <w:pPr>
              <w:widowControl/>
              <w:jc w:val="left"/>
              <w:rPr>
                <w:rFonts w:ascii="Times New Roman" w:hAnsi="Times New Roman" w:cs="宋体"/>
                <w:color w:val="000000"/>
                <w:spacing w:val="-2"/>
                <w:sz w:val="18"/>
                <w:szCs w:val="18"/>
              </w:rPr>
            </w:pPr>
          </w:p>
        </w:tc>
        <w:tc>
          <w:tcPr>
            <w:tcW w:w="6400" w:type="dxa"/>
            <w:gridSpan w:val="3"/>
            <w:vMerge w:val="continue"/>
            <w:tcBorders>
              <w:top w:val="single" w:color="auto" w:sz="4" w:space="0"/>
              <w:left w:val="single" w:color="auto" w:sz="4" w:space="0"/>
              <w:bottom w:val="single" w:color="auto" w:sz="8" w:space="0"/>
              <w:right w:val="single" w:color="auto" w:sz="8" w:space="0"/>
            </w:tcBorders>
            <w:noWrap w:val="0"/>
            <w:vAlign w:val="center"/>
          </w:tcPr>
          <w:p>
            <w:pPr>
              <w:widowControl/>
              <w:jc w:val="left"/>
              <w:rPr>
                <w:rFonts w:ascii="Times New Roman" w:hAnsi="Times New Roman" w:cs="宋体"/>
                <w:color w:val="000000"/>
                <w:spacing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788" w:type="dxa"/>
            <w:tcBorders>
              <w:top w:val="single" w:color="auto" w:sz="4" w:space="0"/>
              <w:left w:val="single" w:color="auto" w:sz="8" w:space="0"/>
              <w:bottom w:val="single" w:color="auto" w:sz="4" w:space="0"/>
              <w:right w:val="single" w:color="auto" w:sz="4" w:space="0"/>
            </w:tcBorders>
            <w:noWrap w:val="0"/>
            <w:vAlign w:val="top"/>
          </w:tcPr>
          <w:p>
            <w:pPr>
              <w:spacing w:line="260" w:lineRule="exact"/>
              <w:jc w:val="center"/>
              <w:rPr>
                <w:rFonts w:ascii="Times New Roman" w:hAnsi="Times New Roman" w:cs="宋体"/>
                <w:color w:val="000000"/>
                <w:spacing w:val="-2"/>
                <w:sz w:val="18"/>
                <w:szCs w:val="18"/>
              </w:rPr>
            </w:pPr>
            <w:r>
              <w:rPr>
                <w:rFonts w:hint="eastAsia" w:ascii="Times New Roman" w:hAnsi="Times New Roman" w:cs="宋体"/>
                <w:color w:val="000000"/>
                <w:spacing w:val="-2"/>
                <w:sz w:val="18"/>
                <w:szCs w:val="18"/>
              </w:rPr>
              <w:t>市政工程</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rFonts w:ascii="Times New Roman" w:hAnsi="Times New Roman" w:cs="宋体"/>
                <w:color w:val="000000"/>
                <w:spacing w:val="-2"/>
                <w:sz w:val="18"/>
                <w:szCs w:val="18"/>
              </w:rPr>
            </w:pPr>
            <w:r>
              <w:rPr>
                <w:rFonts w:ascii="Times New Roman" w:hAnsi="Times New Roman" w:cs="宋体"/>
                <w:color w:val="000000"/>
                <w:spacing w:val="-2"/>
                <w:sz w:val="18"/>
                <w:szCs w:val="18"/>
              </w:rPr>
              <w:t>041109009</w:t>
            </w:r>
          </w:p>
        </w:tc>
        <w:tc>
          <w:tcPr>
            <w:tcW w:w="660" w:type="dxa"/>
            <w:vMerge w:val="continue"/>
            <w:tcBorders>
              <w:top w:val="single" w:color="auto" w:sz="4" w:space="0"/>
              <w:left w:val="single" w:color="auto" w:sz="4" w:space="0"/>
              <w:bottom w:val="single" w:color="auto" w:sz="8" w:space="0"/>
              <w:right w:val="single" w:color="auto" w:sz="4" w:space="0"/>
            </w:tcBorders>
            <w:noWrap w:val="0"/>
            <w:vAlign w:val="center"/>
          </w:tcPr>
          <w:p>
            <w:pPr>
              <w:widowControl/>
              <w:jc w:val="left"/>
              <w:rPr>
                <w:rFonts w:ascii="Times New Roman" w:hAnsi="Times New Roman" w:cs="宋体"/>
                <w:color w:val="000000"/>
                <w:spacing w:val="-2"/>
                <w:sz w:val="18"/>
                <w:szCs w:val="18"/>
              </w:rPr>
            </w:pPr>
          </w:p>
        </w:tc>
        <w:tc>
          <w:tcPr>
            <w:tcW w:w="6400" w:type="dxa"/>
            <w:gridSpan w:val="3"/>
            <w:vMerge w:val="continue"/>
            <w:tcBorders>
              <w:top w:val="single" w:color="auto" w:sz="4" w:space="0"/>
              <w:left w:val="single" w:color="auto" w:sz="4" w:space="0"/>
              <w:bottom w:val="single" w:color="auto" w:sz="8" w:space="0"/>
              <w:right w:val="single" w:color="auto" w:sz="8" w:space="0"/>
            </w:tcBorders>
            <w:noWrap w:val="0"/>
            <w:vAlign w:val="center"/>
          </w:tcPr>
          <w:p>
            <w:pPr>
              <w:widowControl/>
              <w:jc w:val="left"/>
              <w:rPr>
                <w:rFonts w:ascii="Times New Roman" w:hAnsi="Times New Roman" w:cs="宋体"/>
                <w:color w:val="000000"/>
                <w:spacing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788" w:type="dxa"/>
            <w:tcBorders>
              <w:top w:val="single" w:color="auto" w:sz="4" w:space="0"/>
              <w:left w:val="single" w:color="auto" w:sz="8" w:space="0"/>
              <w:bottom w:val="single" w:color="auto" w:sz="4" w:space="0"/>
              <w:right w:val="single" w:color="auto" w:sz="4" w:space="0"/>
            </w:tcBorders>
            <w:noWrap w:val="0"/>
            <w:vAlign w:val="top"/>
          </w:tcPr>
          <w:p>
            <w:pPr>
              <w:spacing w:line="260" w:lineRule="exact"/>
              <w:jc w:val="center"/>
              <w:rPr>
                <w:rFonts w:ascii="Times New Roman" w:hAnsi="Times New Roman" w:cs="宋体"/>
                <w:color w:val="000000"/>
                <w:spacing w:val="-2"/>
                <w:sz w:val="18"/>
                <w:szCs w:val="18"/>
              </w:rPr>
            </w:pPr>
            <w:r>
              <w:rPr>
                <w:rFonts w:hint="eastAsia" w:ascii="Times New Roman" w:hAnsi="Times New Roman" w:cs="宋体"/>
                <w:color w:val="000000"/>
                <w:spacing w:val="-2"/>
                <w:sz w:val="18"/>
                <w:szCs w:val="18"/>
              </w:rPr>
              <w:t>园林绿化工程</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rFonts w:ascii="Times New Roman" w:hAnsi="Times New Roman" w:cs="宋体"/>
                <w:color w:val="000000"/>
                <w:spacing w:val="-2"/>
                <w:sz w:val="18"/>
                <w:szCs w:val="18"/>
              </w:rPr>
            </w:pPr>
            <w:r>
              <w:rPr>
                <w:rFonts w:ascii="Times New Roman" w:hAnsi="Times New Roman" w:cs="宋体"/>
                <w:color w:val="000000"/>
                <w:spacing w:val="-2"/>
                <w:sz w:val="18"/>
                <w:szCs w:val="18"/>
              </w:rPr>
              <w:t>050405010</w:t>
            </w:r>
          </w:p>
        </w:tc>
        <w:tc>
          <w:tcPr>
            <w:tcW w:w="660" w:type="dxa"/>
            <w:vMerge w:val="continue"/>
            <w:tcBorders>
              <w:top w:val="single" w:color="auto" w:sz="4" w:space="0"/>
              <w:left w:val="single" w:color="auto" w:sz="4" w:space="0"/>
              <w:bottom w:val="single" w:color="auto" w:sz="8" w:space="0"/>
              <w:right w:val="single" w:color="auto" w:sz="4" w:space="0"/>
            </w:tcBorders>
            <w:noWrap w:val="0"/>
            <w:vAlign w:val="center"/>
          </w:tcPr>
          <w:p>
            <w:pPr>
              <w:widowControl/>
              <w:jc w:val="left"/>
              <w:rPr>
                <w:rFonts w:ascii="Times New Roman" w:hAnsi="Times New Roman" w:cs="宋体"/>
                <w:color w:val="000000"/>
                <w:spacing w:val="-2"/>
                <w:sz w:val="18"/>
                <w:szCs w:val="18"/>
              </w:rPr>
            </w:pPr>
          </w:p>
        </w:tc>
        <w:tc>
          <w:tcPr>
            <w:tcW w:w="6400" w:type="dxa"/>
            <w:gridSpan w:val="3"/>
            <w:vMerge w:val="continue"/>
            <w:tcBorders>
              <w:top w:val="single" w:color="auto" w:sz="4" w:space="0"/>
              <w:left w:val="single" w:color="auto" w:sz="4" w:space="0"/>
              <w:bottom w:val="single" w:color="auto" w:sz="8" w:space="0"/>
              <w:right w:val="single" w:color="auto" w:sz="8" w:space="0"/>
            </w:tcBorders>
            <w:noWrap w:val="0"/>
            <w:vAlign w:val="center"/>
          </w:tcPr>
          <w:p>
            <w:pPr>
              <w:widowControl/>
              <w:jc w:val="left"/>
              <w:rPr>
                <w:rFonts w:ascii="Times New Roman" w:hAnsi="Times New Roman" w:cs="宋体"/>
                <w:color w:val="000000"/>
                <w:spacing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788" w:type="dxa"/>
            <w:tcBorders>
              <w:top w:val="single" w:color="auto" w:sz="4" w:space="0"/>
              <w:left w:val="single" w:color="auto" w:sz="8" w:space="0"/>
              <w:bottom w:val="single" w:color="auto" w:sz="4" w:space="0"/>
              <w:right w:val="single" w:color="auto" w:sz="4" w:space="0"/>
            </w:tcBorders>
            <w:noWrap w:val="0"/>
            <w:vAlign w:val="top"/>
          </w:tcPr>
          <w:p>
            <w:pPr>
              <w:spacing w:line="260" w:lineRule="exact"/>
              <w:jc w:val="center"/>
              <w:rPr>
                <w:rFonts w:ascii="Times New Roman" w:hAnsi="Times New Roman" w:cs="宋体"/>
                <w:color w:val="000000"/>
                <w:spacing w:val="-2"/>
                <w:sz w:val="18"/>
                <w:szCs w:val="18"/>
              </w:rPr>
            </w:pPr>
            <w:r>
              <w:rPr>
                <w:rFonts w:hint="eastAsia" w:ascii="Times New Roman" w:hAnsi="Times New Roman" w:cs="宋体"/>
                <w:color w:val="000000"/>
                <w:spacing w:val="-2"/>
                <w:sz w:val="18"/>
                <w:szCs w:val="18"/>
              </w:rPr>
              <w:t>构筑物工程</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rFonts w:ascii="Times New Roman" w:hAnsi="Times New Roman" w:cs="宋体"/>
                <w:color w:val="000000"/>
                <w:spacing w:val="-2"/>
                <w:sz w:val="18"/>
                <w:szCs w:val="18"/>
              </w:rPr>
            </w:pPr>
            <w:r>
              <w:rPr>
                <w:rFonts w:ascii="Times New Roman" w:hAnsi="Times New Roman" w:cs="宋体"/>
                <w:color w:val="000000"/>
                <w:spacing w:val="-2"/>
                <w:sz w:val="18"/>
                <w:szCs w:val="18"/>
              </w:rPr>
              <w:t>070306010</w:t>
            </w:r>
          </w:p>
        </w:tc>
        <w:tc>
          <w:tcPr>
            <w:tcW w:w="660" w:type="dxa"/>
            <w:vMerge w:val="continue"/>
            <w:tcBorders>
              <w:top w:val="single" w:color="auto" w:sz="4" w:space="0"/>
              <w:left w:val="single" w:color="auto" w:sz="4" w:space="0"/>
              <w:bottom w:val="single" w:color="auto" w:sz="8" w:space="0"/>
              <w:right w:val="single" w:color="auto" w:sz="4" w:space="0"/>
            </w:tcBorders>
            <w:noWrap w:val="0"/>
            <w:vAlign w:val="center"/>
          </w:tcPr>
          <w:p>
            <w:pPr>
              <w:widowControl/>
              <w:jc w:val="left"/>
              <w:rPr>
                <w:rFonts w:ascii="Times New Roman" w:hAnsi="Times New Roman" w:cs="宋体"/>
                <w:color w:val="000000"/>
                <w:spacing w:val="-2"/>
                <w:sz w:val="18"/>
                <w:szCs w:val="18"/>
              </w:rPr>
            </w:pPr>
          </w:p>
        </w:tc>
        <w:tc>
          <w:tcPr>
            <w:tcW w:w="6400" w:type="dxa"/>
            <w:gridSpan w:val="3"/>
            <w:vMerge w:val="continue"/>
            <w:tcBorders>
              <w:top w:val="single" w:color="auto" w:sz="4" w:space="0"/>
              <w:left w:val="single" w:color="auto" w:sz="4" w:space="0"/>
              <w:bottom w:val="single" w:color="auto" w:sz="8" w:space="0"/>
              <w:right w:val="single" w:color="auto" w:sz="8" w:space="0"/>
            </w:tcBorders>
            <w:noWrap w:val="0"/>
            <w:vAlign w:val="center"/>
          </w:tcPr>
          <w:p>
            <w:pPr>
              <w:widowControl/>
              <w:jc w:val="left"/>
              <w:rPr>
                <w:rFonts w:ascii="Times New Roman" w:hAnsi="Times New Roman" w:cs="宋体"/>
                <w:color w:val="000000"/>
                <w:spacing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788" w:type="dxa"/>
            <w:tcBorders>
              <w:top w:val="single" w:color="auto" w:sz="4" w:space="0"/>
              <w:left w:val="single" w:color="auto" w:sz="8" w:space="0"/>
              <w:bottom w:val="single" w:color="auto" w:sz="8" w:space="0"/>
              <w:right w:val="single" w:color="auto" w:sz="4" w:space="0"/>
            </w:tcBorders>
            <w:noWrap w:val="0"/>
            <w:vAlign w:val="top"/>
          </w:tcPr>
          <w:p>
            <w:pPr>
              <w:spacing w:line="260" w:lineRule="exact"/>
              <w:jc w:val="center"/>
              <w:rPr>
                <w:rFonts w:ascii="Times New Roman" w:hAnsi="Times New Roman" w:cs="宋体"/>
                <w:color w:val="000000"/>
                <w:spacing w:val="-2"/>
                <w:sz w:val="18"/>
                <w:szCs w:val="18"/>
              </w:rPr>
            </w:pPr>
            <w:r>
              <w:rPr>
                <w:rFonts w:hint="eastAsia" w:ascii="Times New Roman" w:hAnsi="Times New Roman" w:cs="宋体"/>
                <w:color w:val="000000"/>
                <w:spacing w:val="-2"/>
                <w:sz w:val="18"/>
                <w:szCs w:val="18"/>
              </w:rPr>
              <w:t>城市轨道交通工程</w:t>
            </w:r>
          </w:p>
        </w:tc>
        <w:tc>
          <w:tcPr>
            <w:tcW w:w="1200" w:type="dxa"/>
            <w:tcBorders>
              <w:top w:val="single" w:color="auto" w:sz="4" w:space="0"/>
              <w:left w:val="single" w:color="auto" w:sz="4" w:space="0"/>
              <w:bottom w:val="single" w:color="auto" w:sz="8" w:space="0"/>
              <w:right w:val="single" w:color="auto" w:sz="4" w:space="0"/>
            </w:tcBorders>
            <w:noWrap w:val="0"/>
            <w:vAlign w:val="center"/>
          </w:tcPr>
          <w:p>
            <w:pPr>
              <w:spacing w:line="260" w:lineRule="exact"/>
              <w:jc w:val="center"/>
              <w:rPr>
                <w:rFonts w:ascii="Times New Roman" w:hAnsi="Times New Roman" w:cs="宋体"/>
                <w:color w:val="000000"/>
                <w:spacing w:val="-2"/>
                <w:sz w:val="18"/>
                <w:szCs w:val="18"/>
              </w:rPr>
            </w:pPr>
            <w:r>
              <w:rPr>
                <w:rFonts w:ascii="Times New Roman" w:hAnsi="Times New Roman" w:cs="宋体"/>
                <w:color w:val="000000"/>
                <w:spacing w:val="-2"/>
                <w:sz w:val="18"/>
                <w:szCs w:val="18"/>
              </w:rPr>
              <w:t>081311008</w:t>
            </w:r>
          </w:p>
        </w:tc>
        <w:tc>
          <w:tcPr>
            <w:tcW w:w="660" w:type="dxa"/>
            <w:vMerge w:val="continue"/>
            <w:tcBorders>
              <w:top w:val="single" w:color="auto" w:sz="4" w:space="0"/>
              <w:left w:val="single" w:color="auto" w:sz="4" w:space="0"/>
              <w:bottom w:val="single" w:color="auto" w:sz="8" w:space="0"/>
              <w:right w:val="single" w:color="auto" w:sz="4" w:space="0"/>
            </w:tcBorders>
            <w:noWrap w:val="0"/>
            <w:vAlign w:val="center"/>
          </w:tcPr>
          <w:p>
            <w:pPr>
              <w:widowControl/>
              <w:jc w:val="left"/>
              <w:rPr>
                <w:rFonts w:ascii="Times New Roman" w:hAnsi="Times New Roman" w:cs="宋体"/>
                <w:color w:val="000000"/>
                <w:spacing w:val="-2"/>
                <w:sz w:val="18"/>
                <w:szCs w:val="18"/>
              </w:rPr>
            </w:pPr>
          </w:p>
        </w:tc>
        <w:tc>
          <w:tcPr>
            <w:tcW w:w="6400" w:type="dxa"/>
            <w:gridSpan w:val="3"/>
            <w:vMerge w:val="continue"/>
            <w:tcBorders>
              <w:top w:val="single" w:color="auto" w:sz="4" w:space="0"/>
              <w:left w:val="single" w:color="auto" w:sz="4" w:space="0"/>
              <w:bottom w:val="single" w:color="auto" w:sz="8" w:space="0"/>
              <w:right w:val="single" w:color="auto" w:sz="8" w:space="0"/>
            </w:tcBorders>
            <w:noWrap w:val="0"/>
            <w:vAlign w:val="center"/>
          </w:tcPr>
          <w:p>
            <w:pPr>
              <w:widowControl/>
              <w:jc w:val="left"/>
              <w:rPr>
                <w:rFonts w:ascii="Times New Roman" w:hAnsi="Times New Roman" w:cs="宋体"/>
                <w:color w:val="000000"/>
                <w:spacing w:val="-2"/>
                <w:sz w:val="18"/>
                <w:szCs w:val="18"/>
              </w:rPr>
            </w:pPr>
          </w:p>
        </w:tc>
      </w:tr>
    </w:tbl>
    <w:p>
      <w:pPr>
        <w:spacing w:line="420" w:lineRule="atLeast"/>
        <w:ind w:firstLine="344" w:firstLineChars="200"/>
        <w:rPr>
          <w:rFonts w:hint="eastAsia" w:cs="宋体"/>
          <w:color w:val="000000"/>
          <w:spacing w:val="-2"/>
          <w:kern w:val="0"/>
          <w:sz w:val="18"/>
          <w:szCs w:val="18"/>
        </w:rPr>
      </w:pP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091"/>
        <w:gridCol w:w="1470"/>
        <w:gridCol w:w="1438"/>
        <w:gridCol w:w="8"/>
        <w:gridCol w:w="35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2091" w:type="dxa"/>
            <w:tcBorders>
              <w:top w:val="single" w:color="auto" w:sz="8" w:space="0"/>
              <w:left w:val="single" w:color="auto" w:sz="8" w:space="0"/>
              <w:bottom w:val="single" w:color="auto" w:sz="4" w:space="0"/>
              <w:right w:val="single" w:color="auto" w:sz="4" w:space="0"/>
            </w:tcBorders>
            <w:noWrap w:val="0"/>
            <w:vAlign w:val="center"/>
          </w:tcPr>
          <w:p>
            <w:pPr>
              <w:spacing w:line="240" w:lineRule="exact"/>
              <w:jc w:val="center"/>
              <w:rPr>
                <w:rFonts w:ascii="Times New Roman" w:hAnsi="Times New Roman" w:cs="宋体"/>
                <w:color w:val="000000"/>
                <w:spacing w:val="-2"/>
                <w:sz w:val="18"/>
                <w:szCs w:val="18"/>
              </w:rPr>
            </w:pPr>
            <w:r>
              <w:rPr>
                <w:rFonts w:hint="eastAsia" w:ascii="Times New Roman" w:hAnsi="Times New Roman" w:cs="宋体"/>
                <w:color w:val="000000"/>
                <w:spacing w:val="-2"/>
                <w:sz w:val="18"/>
                <w:szCs w:val="18"/>
              </w:rPr>
              <w:t>工程类型</w:t>
            </w:r>
          </w:p>
        </w:tc>
        <w:tc>
          <w:tcPr>
            <w:tcW w:w="1470" w:type="dxa"/>
            <w:tcBorders>
              <w:top w:val="single" w:color="auto" w:sz="8" w:space="0"/>
              <w:left w:val="single" w:color="auto" w:sz="4" w:space="0"/>
              <w:bottom w:val="single" w:color="auto" w:sz="4" w:space="0"/>
              <w:right w:val="single" w:color="auto" w:sz="4" w:space="0"/>
            </w:tcBorders>
            <w:noWrap w:val="0"/>
            <w:vAlign w:val="center"/>
          </w:tcPr>
          <w:p>
            <w:pPr>
              <w:spacing w:line="240" w:lineRule="exact"/>
              <w:jc w:val="center"/>
              <w:rPr>
                <w:rFonts w:ascii="Times New Roman" w:hAnsi="Times New Roman" w:cs="宋体"/>
                <w:color w:val="000000"/>
                <w:spacing w:val="-2"/>
                <w:sz w:val="18"/>
                <w:szCs w:val="18"/>
              </w:rPr>
            </w:pPr>
            <w:r>
              <w:rPr>
                <w:rFonts w:hint="eastAsia" w:ascii="Times New Roman" w:hAnsi="Times New Roman" w:cs="宋体"/>
                <w:color w:val="000000"/>
                <w:spacing w:val="-2"/>
                <w:sz w:val="18"/>
                <w:szCs w:val="18"/>
              </w:rPr>
              <w:t>项目编码</w:t>
            </w:r>
          </w:p>
        </w:tc>
        <w:tc>
          <w:tcPr>
            <w:tcW w:w="1446" w:type="dxa"/>
            <w:gridSpan w:val="2"/>
            <w:tcBorders>
              <w:top w:val="single" w:color="auto" w:sz="8" w:space="0"/>
              <w:left w:val="single" w:color="auto" w:sz="4" w:space="0"/>
              <w:bottom w:val="single" w:color="auto" w:sz="4" w:space="0"/>
              <w:right w:val="single" w:color="auto" w:sz="4" w:space="0"/>
            </w:tcBorders>
            <w:noWrap w:val="0"/>
            <w:vAlign w:val="center"/>
          </w:tcPr>
          <w:p>
            <w:pPr>
              <w:spacing w:line="240" w:lineRule="exact"/>
              <w:jc w:val="center"/>
              <w:rPr>
                <w:rFonts w:ascii="Times New Roman" w:hAnsi="Times New Roman" w:cs="宋体"/>
                <w:color w:val="000000"/>
                <w:spacing w:val="-2"/>
                <w:sz w:val="18"/>
                <w:szCs w:val="18"/>
              </w:rPr>
            </w:pPr>
            <w:r>
              <w:rPr>
                <w:rFonts w:hint="eastAsia" w:ascii="Times New Roman" w:hAnsi="Times New Roman" w:cs="宋体"/>
                <w:color w:val="000000"/>
                <w:spacing w:val="-2"/>
                <w:sz w:val="18"/>
                <w:szCs w:val="18"/>
              </w:rPr>
              <w:t>项目名称</w:t>
            </w:r>
          </w:p>
        </w:tc>
        <w:tc>
          <w:tcPr>
            <w:tcW w:w="3594" w:type="dxa"/>
            <w:tcBorders>
              <w:top w:val="single" w:color="auto" w:sz="8" w:space="0"/>
              <w:left w:val="single" w:color="auto" w:sz="4" w:space="0"/>
              <w:bottom w:val="single" w:color="auto" w:sz="4" w:space="0"/>
              <w:right w:val="single" w:color="auto" w:sz="8" w:space="0"/>
            </w:tcBorders>
            <w:noWrap w:val="0"/>
            <w:vAlign w:val="center"/>
          </w:tcPr>
          <w:p>
            <w:pPr>
              <w:spacing w:line="240" w:lineRule="exact"/>
              <w:jc w:val="center"/>
              <w:rPr>
                <w:rFonts w:ascii="Times New Roman" w:hAnsi="Times New Roman" w:cs="宋体"/>
                <w:color w:val="000000"/>
                <w:spacing w:val="-2"/>
                <w:sz w:val="18"/>
                <w:szCs w:val="18"/>
              </w:rPr>
            </w:pPr>
            <w:r>
              <w:rPr>
                <w:rFonts w:hint="eastAsia" w:ascii="Times New Roman" w:hAnsi="Times New Roman" w:cs="宋体"/>
                <w:color w:val="000000"/>
                <w:spacing w:val="-2"/>
                <w:sz w:val="18"/>
                <w:szCs w:val="18"/>
              </w:rPr>
              <w:t>工作内容及包含范围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2091" w:type="dxa"/>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rPr>
                <w:rFonts w:ascii="Times New Roman" w:hAnsi="Times New Roman" w:cs="宋体"/>
                <w:color w:val="000000"/>
                <w:spacing w:val="-2"/>
                <w:sz w:val="18"/>
                <w:szCs w:val="18"/>
              </w:rPr>
            </w:pPr>
            <w:r>
              <w:rPr>
                <w:rFonts w:hint="eastAsia" w:ascii="Times New Roman" w:hAnsi="Times New Roman" w:cs="宋体"/>
                <w:color w:val="000000"/>
                <w:spacing w:val="-2"/>
                <w:sz w:val="18"/>
                <w:szCs w:val="18"/>
              </w:rPr>
              <w:t>房屋建筑与装饰工程</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hAnsi="Times New Roman" w:cs="宋体"/>
                <w:color w:val="000000"/>
                <w:spacing w:val="-2"/>
                <w:sz w:val="18"/>
                <w:szCs w:val="18"/>
              </w:rPr>
            </w:pPr>
            <w:r>
              <w:rPr>
                <w:rFonts w:ascii="Times New Roman" w:hAnsi="Times New Roman" w:cs="宋体"/>
                <w:color w:val="000000"/>
                <w:spacing w:val="-2"/>
                <w:sz w:val="18"/>
                <w:szCs w:val="18"/>
              </w:rPr>
              <w:t>011707010</w:t>
            </w:r>
          </w:p>
        </w:tc>
        <w:tc>
          <w:tcPr>
            <w:tcW w:w="1446"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spacing w:line="420" w:lineRule="atLeast"/>
              <w:jc w:val="center"/>
              <w:rPr>
                <w:rFonts w:ascii="Times New Roman" w:hAnsi="Times New Roman" w:cs="宋体"/>
                <w:color w:val="000000"/>
                <w:spacing w:val="-2"/>
                <w:sz w:val="18"/>
                <w:szCs w:val="18"/>
              </w:rPr>
            </w:pPr>
            <w:r>
              <w:rPr>
                <w:rFonts w:hint="eastAsia" w:ascii="Times New Roman" w:hAnsi="Times New Roman" w:cs="宋体"/>
                <w:color w:val="000000"/>
                <w:spacing w:val="-2"/>
                <w:sz w:val="18"/>
                <w:szCs w:val="18"/>
              </w:rPr>
              <w:t>工程按质论价</w:t>
            </w:r>
          </w:p>
        </w:tc>
        <w:tc>
          <w:tcPr>
            <w:tcW w:w="3594" w:type="dxa"/>
            <w:vMerge w:val="restart"/>
            <w:tcBorders>
              <w:top w:val="single" w:color="auto" w:sz="4" w:space="0"/>
              <w:left w:val="single" w:color="auto" w:sz="4" w:space="0"/>
              <w:bottom w:val="single" w:color="auto" w:sz="4" w:space="0"/>
              <w:right w:val="single" w:color="auto" w:sz="8" w:space="0"/>
            </w:tcBorders>
            <w:noWrap w:val="0"/>
            <w:vAlign w:val="center"/>
          </w:tcPr>
          <w:p>
            <w:pPr>
              <w:spacing w:line="240" w:lineRule="exact"/>
              <w:ind w:firstLine="344" w:firstLineChars="200"/>
              <w:jc w:val="left"/>
              <w:rPr>
                <w:rFonts w:ascii="Times New Roman" w:hAnsi="Times New Roman" w:cs="宋体"/>
                <w:color w:val="000000"/>
                <w:spacing w:val="-2"/>
                <w:sz w:val="18"/>
                <w:szCs w:val="18"/>
              </w:rPr>
            </w:pPr>
            <w:r>
              <w:rPr>
                <w:rFonts w:hint="eastAsia" w:ascii="Times New Roman" w:hAnsi="Times New Roman"/>
                <w:color w:val="000000"/>
                <w:spacing w:val="-2"/>
                <w:sz w:val="18"/>
                <w:szCs w:val="18"/>
              </w:rPr>
              <w:t>施工合同约定质量标准超过国家规定，施工企业完成工程质量达到经有权部门鉴定或评定为优质工程（包括优质结构工程）所必须增加的施工成本费。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2091" w:type="dxa"/>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rPr>
                <w:rFonts w:ascii="Times New Roman" w:hAnsi="Times New Roman" w:cs="宋体"/>
                <w:color w:val="000000"/>
                <w:spacing w:val="-2"/>
                <w:sz w:val="18"/>
                <w:szCs w:val="18"/>
              </w:rPr>
            </w:pPr>
            <w:r>
              <w:rPr>
                <w:rFonts w:hint="eastAsia" w:ascii="Times New Roman" w:hAnsi="Times New Roman" w:cs="宋体"/>
                <w:color w:val="000000"/>
                <w:spacing w:val="-2"/>
                <w:sz w:val="18"/>
                <w:szCs w:val="18"/>
              </w:rPr>
              <w:t>仿古建筑工程</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hAnsi="Times New Roman" w:cs="宋体"/>
                <w:color w:val="000000"/>
                <w:spacing w:val="-2"/>
                <w:sz w:val="18"/>
                <w:szCs w:val="18"/>
              </w:rPr>
            </w:pPr>
            <w:r>
              <w:rPr>
                <w:rFonts w:ascii="Times New Roman" w:hAnsi="Times New Roman" w:cs="宋体"/>
                <w:color w:val="000000"/>
                <w:spacing w:val="-2"/>
                <w:sz w:val="18"/>
                <w:szCs w:val="18"/>
              </w:rPr>
              <w:t>021007010</w:t>
            </w:r>
          </w:p>
        </w:tc>
        <w:tc>
          <w:tcPr>
            <w:tcW w:w="144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cs="宋体"/>
                <w:color w:val="000000"/>
                <w:spacing w:val="-2"/>
                <w:sz w:val="18"/>
                <w:szCs w:val="18"/>
              </w:rPr>
            </w:pPr>
          </w:p>
        </w:tc>
        <w:tc>
          <w:tcPr>
            <w:tcW w:w="3594" w:type="dxa"/>
            <w:vMerge w:val="continue"/>
            <w:tcBorders>
              <w:top w:val="single" w:color="auto" w:sz="4" w:space="0"/>
              <w:left w:val="single" w:color="auto" w:sz="4" w:space="0"/>
              <w:bottom w:val="single" w:color="auto" w:sz="4" w:space="0"/>
              <w:right w:val="single" w:color="auto" w:sz="8" w:space="0"/>
            </w:tcBorders>
            <w:noWrap w:val="0"/>
            <w:vAlign w:val="center"/>
          </w:tcPr>
          <w:p>
            <w:pPr>
              <w:widowControl/>
              <w:jc w:val="left"/>
              <w:rPr>
                <w:rFonts w:ascii="Times New Roman" w:hAnsi="Times New Roman" w:cs="宋体"/>
                <w:color w:val="000000"/>
                <w:spacing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2091" w:type="dxa"/>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rPr>
                <w:rFonts w:ascii="Times New Roman" w:hAnsi="Times New Roman" w:cs="宋体"/>
                <w:color w:val="000000"/>
                <w:spacing w:val="-2"/>
                <w:sz w:val="18"/>
                <w:szCs w:val="18"/>
              </w:rPr>
            </w:pPr>
            <w:r>
              <w:rPr>
                <w:rFonts w:hint="eastAsia" w:ascii="Times New Roman" w:hAnsi="Times New Roman" w:cs="宋体"/>
                <w:color w:val="000000"/>
                <w:spacing w:val="-2"/>
                <w:sz w:val="18"/>
                <w:szCs w:val="18"/>
              </w:rPr>
              <w:t>通用安装工程</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hAnsi="Times New Roman" w:cs="宋体"/>
                <w:color w:val="000000"/>
                <w:spacing w:val="-2"/>
                <w:sz w:val="18"/>
                <w:szCs w:val="18"/>
              </w:rPr>
            </w:pPr>
            <w:r>
              <w:rPr>
                <w:rFonts w:ascii="Times New Roman" w:hAnsi="Times New Roman" w:cs="宋体"/>
                <w:color w:val="000000"/>
                <w:spacing w:val="-2"/>
                <w:sz w:val="18"/>
                <w:szCs w:val="18"/>
              </w:rPr>
              <w:t>031302010</w:t>
            </w:r>
          </w:p>
        </w:tc>
        <w:tc>
          <w:tcPr>
            <w:tcW w:w="144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cs="宋体"/>
                <w:color w:val="000000"/>
                <w:spacing w:val="-2"/>
                <w:sz w:val="18"/>
                <w:szCs w:val="18"/>
              </w:rPr>
            </w:pPr>
          </w:p>
        </w:tc>
        <w:tc>
          <w:tcPr>
            <w:tcW w:w="3594" w:type="dxa"/>
            <w:vMerge w:val="continue"/>
            <w:tcBorders>
              <w:top w:val="single" w:color="auto" w:sz="4" w:space="0"/>
              <w:left w:val="single" w:color="auto" w:sz="4" w:space="0"/>
              <w:bottom w:val="single" w:color="auto" w:sz="4" w:space="0"/>
              <w:right w:val="single" w:color="auto" w:sz="8" w:space="0"/>
            </w:tcBorders>
            <w:noWrap w:val="0"/>
            <w:vAlign w:val="center"/>
          </w:tcPr>
          <w:p>
            <w:pPr>
              <w:widowControl/>
              <w:jc w:val="left"/>
              <w:rPr>
                <w:rFonts w:ascii="Times New Roman" w:hAnsi="Times New Roman" w:cs="宋体"/>
                <w:color w:val="000000"/>
                <w:spacing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2091" w:type="dxa"/>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rPr>
                <w:rFonts w:ascii="Times New Roman" w:hAnsi="Times New Roman" w:cs="宋体"/>
                <w:color w:val="000000"/>
                <w:spacing w:val="-2"/>
                <w:sz w:val="18"/>
                <w:szCs w:val="18"/>
              </w:rPr>
            </w:pPr>
            <w:r>
              <w:rPr>
                <w:rFonts w:hint="eastAsia" w:ascii="Times New Roman" w:hAnsi="Times New Roman" w:cs="宋体"/>
                <w:color w:val="000000"/>
                <w:spacing w:val="-2"/>
                <w:sz w:val="18"/>
                <w:szCs w:val="18"/>
              </w:rPr>
              <w:t>市政工程</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hAnsi="Times New Roman" w:cs="宋体"/>
                <w:color w:val="000000"/>
                <w:spacing w:val="-2"/>
                <w:sz w:val="18"/>
                <w:szCs w:val="18"/>
              </w:rPr>
            </w:pPr>
            <w:r>
              <w:rPr>
                <w:rFonts w:ascii="Times New Roman" w:hAnsi="Times New Roman" w:cs="宋体"/>
                <w:color w:val="000000"/>
                <w:spacing w:val="-2"/>
                <w:sz w:val="18"/>
                <w:szCs w:val="18"/>
              </w:rPr>
              <w:t>041109010</w:t>
            </w:r>
          </w:p>
        </w:tc>
        <w:tc>
          <w:tcPr>
            <w:tcW w:w="144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cs="宋体"/>
                <w:color w:val="000000"/>
                <w:spacing w:val="-2"/>
                <w:sz w:val="18"/>
                <w:szCs w:val="18"/>
              </w:rPr>
            </w:pPr>
          </w:p>
        </w:tc>
        <w:tc>
          <w:tcPr>
            <w:tcW w:w="3594" w:type="dxa"/>
            <w:vMerge w:val="continue"/>
            <w:tcBorders>
              <w:top w:val="single" w:color="auto" w:sz="4" w:space="0"/>
              <w:left w:val="single" w:color="auto" w:sz="4" w:space="0"/>
              <w:bottom w:val="single" w:color="auto" w:sz="4" w:space="0"/>
              <w:right w:val="single" w:color="auto" w:sz="8" w:space="0"/>
            </w:tcBorders>
            <w:noWrap w:val="0"/>
            <w:vAlign w:val="center"/>
          </w:tcPr>
          <w:p>
            <w:pPr>
              <w:widowControl/>
              <w:jc w:val="left"/>
              <w:rPr>
                <w:rFonts w:ascii="Times New Roman" w:hAnsi="Times New Roman" w:cs="宋体"/>
                <w:color w:val="000000"/>
                <w:spacing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2091" w:type="dxa"/>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rPr>
                <w:rFonts w:ascii="Times New Roman" w:hAnsi="Times New Roman" w:cs="宋体"/>
                <w:color w:val="000000"/>
                <w:spacing w:val="-2"/>
                <w:sz w:val="18"/>
                <w:szCs w:val="18"/>
              </w:rPr>
            </w:pPr>
            <w:r>
              <w:rPr>
                <w:rFonts w:hint="eastAsia" w:ascii="Times New Roman" w:hAnsi="Times New Roman" w:cs="宋体"/>
                <w:color w:val="000000"/>
                <w:spacing w:val="-2"/>
                <w:sz w:val="18"/>
                <w:szCs w:val="18"/>
              </w:rPr>
              <w:t>园林绿化工程</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hAnsi="Times New Roman" w:cs="宋体"/>
                <w:color w:val="000000"/>
                <w:spacing w:val="-2"/>
                <w:sz w:val="18"/>
                <w:szCs w:val="18"/>
              </w:rPr>
            </w:pPr>
            <w:r>
              <w:rPr>
                <w:rFonts w:ascii="Times New Roman" w:hAnsi="Times New Roman" w:cs="宋体"/>
                <w:color w:val="000000"/>
                <w:spacing w:val="-2"/>
                <w:sz w:val="18"/>
                <w:szCs w:val="18"/>
              </w:rPr>
              <w:t>050405011</w:t>
            </w:r>
          </w:p>
        </w:tc>
        <w:tc>
          <w:tcPr>
            <w:tcW w:w="144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cs="宋体"/>
                <w:color w:val="000000"/>
                <w:spacing w:val="-2"/>
                <w:sz w:val="18"/>
                <w:szCs w:val="18"/>
              </w:rPr>
            </w:pPr>
          </w:p>
        </w:tc>
        <w:tc>
          <w:tcPr>
            <w:tcW w:w="3594" w:type="dxa"/>
            <w:vMerge w:val="continue"/>
            <w:tcBorders>
              <w:top w:val="single" w:color="auto" w:sz="4" w:space="0"/>
              <w:left w:val="single" w:color="auto" w:sz="4" w:space="0"/>
              <w:bottom w:val="single" w:color="auto" w:sz="4" w:space="0"/>
              <w:right w:val="single" w:color="auto" w:sz="8" w:space="0"/>
            </w:tcBorders>
            <w:noWrap w:val="0"/>
            <w:vAlign w:val="center"/>
          </w:tcPr>
          <w:p>
            <w:pPr>
              <w:widowControl/>
              <w:jc w:val="left"/>
              <w:rPr>
                <w:rFonts w:ascii="Times New Roman" w:hAnsi="Times New Roman" w:cs="宋体"/>
                <w:color w:val="000000"/>
                <w:spacing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2091" w:type="dxa"/>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rPr>
                <w:rFonts w:ascii="Times New Roman" w:hAnsi="Times New Roman" w:cs="宋体"/>
                <w:color w:val="000000"/>
                <w:spacing w:val="-2"/>
                <w:sz w:val="18"/>
                <w:szCs w:val="18"/>
              </w:rPr>
            </w:pPr>
            <w:r>
              <w:rPr>
                <w:rFonts w:hint="eastAsia" w:ascii="Times New Roman" w:hAnsi="Times New Roman" w:cs="宋体"/>
                <w:color w:val="000000"/>
                <w:spacing w:val="-2"/>
                <w:sz w:val="18"/>
                <w:szCs w:val="18"/>
              </w:rPr>
              <w:t>构筑物工程</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hAnsi="Times New Roman" w:cs="宋体"/>
                <w:color w:val="000000"/>
                <w:spacing w:val="-2"/>
                <w:sz w:val="18"/>
                <w:szCs w:val="18"/>
              </w:rPr>
            </w:pPr>
            <w:r>
              <w:rPr>
                <w:rFonts w:ascii="Times New Roman" w:hAnsi="Times New Roman" w:cs="宋体"/>
                <w:color w:val="000000"/>
                <w:spacing w:val="-2"/>
                <w:sz w:val="18"/>
                <w:szCs w:val="18"/>
              </w:rPr>
              <w:t>070306011</w:t>
            </w:r>
          </w:p>
        </w:tc>
        <w:tc>
          <w:tcPr>
            <w:tcW w:w="144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cs="宋体"/>
                <w:color w:val="000000"/>
                <w:spacing w:val="-2"/>
                <w:sz w:val="18"/>
                <w:szCs w:val="18"/>
              </w:rPr>
            </w:pPr>
          </w:p>
        </w:tc>
        <w:tc>
          <w:tcPr>
            <w:tcW w:w="3594" w:type="dxa"/>
            <w:vMerge w:val="continue"/>
            <w:tcBorders>
              <w:top w:val="single" w:color="auto" w:sz="4" w:space="0"/>
              <w:left w:val="single" w:color="auto" w:sz="4" w:space="0"/>
              <w:bottom w:val="single" w:color="auto" w:sz="4" w:space="0"/>
              <w:right w:val="single" w:color="auto" w:sz="8" w:space="0"/>
            </w:tcBorders>
            <w:noWrap w:val="0"/>
            <w:vAlign w:val="center"/>
          </w:tcPr>
          <w:p>
            <w:pPr>
              <w:widowControl/>
              <w:jc w:val="left"/>
              <w:rPr>
                <w:rFonts w:ascii="Times New Roman" w:hAnsi="Times New Roman" w:cs="宋体"/>
                <w:color w:val="000000"/>
                <w:spacing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2091" w:type="dxa"/>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rPr>
                <w:rFonts w:ascii="Times New Roman" w:hAnsi="Times New Roman" w:cs="宋体"/>
                <w:color w:val="000000"/>
                <w:spacing w:val="-2"/>
                <w:sz w:val="18"/>
                <w:szCs w:val="18"/>
              </w:rPr>
            </w:pPr>
            <w:r>
              <w:rPr>
                <w:rFonts w:hint="eastAsia" w:ascii="Times New Roman" w:hAnsi="Times New Roman" w:cs="宋体"/>
                <w:color w:val="000000"/>
                <w:spacing w:val="-2"/>
                <w:sz w:val="18"/>
                <w:szCs w:val="18"/>
              </w:rPr>
              <w:t>城市轨道交通工程</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hAnsi="Times New Roman" w:cs="宋体"/>
                <w:color w:val="000000"/>
                <w:spacing w:val="-2"/>
                <w:sz w:val="18"/>
                <w:szCs w:val="18"/>
              </w:rPr>
            </w:pPr>
            <w:r>
              <w:rPr>
                <w:rFonts w:ascii="Times New Roman" w:hAnsi="Times New Roman" w:cs="宋体"/>
                <w:color w:val="000000"/>
                <w:spacing w:val="-2"/>
                <w:sz w:val="18"/>
                <w:szCs w:val="18"/>
              </w:rPr>
              <w:t>081311009</w:t>
            </w:r>
          </w:p>
        </w:tc>
        <w:tc>
          <w:tcPr>
            <w:tcW w:w="144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cs="宋体"/>
                <w:color w:val="000000"/>
                <w:spacing w:val="-2"/>
                <w:sz w:val="18"/>
                <w:szCs w:val="18"/>
              </w:rPr>
            </w:pPr>
          </w:p>
        </w:tc>
        <w:tc>
          <w:tcPr>
            <w:tcW w:w="3594" w:type="dxa"/>
            <w:vMerge w:val="continue"/>
            <w:tcBorders>
              <w:top w:val="single" w:color="auto" w:sz="4" w:space="0"/>
              <w:left w:val="single" w:color="auto" w:sz="4" w:space="0"/>
              <w:bottom w:val="single" w:color="auto" w:sz="4" w:space="0"/>
              <w:right w:val="single" w:color="auto" w:sz="8" w:space="0"/>
            </w:tcBorders>
            <w:noWrap w:val="0"/>
            <w:vAlign w:val="center"/>
          </w:tcPr>
          <w:p>
            <w:pPr>
              <w:widowControl/>
              <w:jc w:val="left"/>
              <w:rPr>
                <w:rFonts w:ascii="Times New Roman" w:hAnsi="Times New Roman" w:cs="宋体"/>
                <w:color w:val="000000"/>
                <w:spacing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2091" w:type="dxa"/>
            <w:tcBorders>
              <w:top w:val="single" w:color="auto" w:sz="4" w:space="0"/>
              <w:left w:val="single" w:color="auto" w:sz="8" w:space="0"/>
              <w:bottom w:val="single" w:color="auto" w:sz="4" w:space="0"/>
              <w:right w:val="single" w:color="auto" w:sz="4" w:space="0"/>
            </w:tcBorders>
            <w:noWrap w:val="0"/>
            <w:vAlign w:val="center"/>
          </w:tcPr>
          <w:p>
            <w:pPr>
              <w:spacing w:line="240" w:lineRule="exact"/>
              <w:jc w:val="center"/>
              <w:rPr>
                <w:rFonts w:ascii="Times New Roman" w:hAnsi="Times New Roman" w:cs="宋体"/>
                <w:color w:val="000000"/>
                <w:spacing w:val="-2"/>
                <w:sz w:val="18"/>
                <w:szCs w:val="18"/>
              </w:rPr>
            </w:pPr>
            <w:r>
              <w:rPr>
                <w:rFonts w:hint="eastAsia" w:ascii="Times New Roman" w:hAnsi="Times New Roman" w:cs="宋体"/>
                <w:color w:val="000000"/>
                <w:spacing w:val="-2"/>
                <w:sz w:val="18"/>
                <w:szCs w:val="18"/>
              </w:rPr>
              <w:t>房屋建筑与装饰工程</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hAnsi="Times New Roman" w:cs="宋体"/>
                <w:color w:val="000000"/>
                <w:spacing w:val="-2"/>
                <w:sz w:val="18"/>
                <w:szCs w:val="18"/>
              </w:rPr>
            </w:pPr>
            <w:r>
              <w:rPr>
                <w:rFonts w:ascii="Times New Roman" w:hAnsi="Times New Roman" w:cs="宋体"/>
                <w:color w:val="000000"/>
                <w:spacing w:val="-2"/>
                <w:sz w:val="18"/>
                <w:szCs w:val="18"/>
              </w:rPr>
              <w:t>011707011</w:t>
            </w:r>
          </w:p>
        </w:tc>
        <w:tc>
          <w:tcPr>
            <w:tcW w:w="1438" w:type="dxa"/>
            <w:vMerge w:val="restart"/>
            <w:tcBorders>
              <w:top w:val="single" w:color="auto" w:sz="4" w:space="0"/>
              <w:left w:val="single" w:color="auto" w:sz="4" w:space="0"/>
              <w:bottom w:val="single" w:color="auto" w:sz="8" w:space="0"/>
              <w:right w:val="single" w:color="auto" w:sz="4" w:space="0"/>
            </w:tcBorders>
            <w:noWrap w:val="0"/>
            <w:vAlign w:val="center"/>
          </w:tcPr>
          <w:p>
            <w:pPr>
              <w:spacing w:line="240" w:lineRule="exact"/>
              <w:jc w:val="center"/>
              <w:rPr>
                <w:rFonts w:ascii="Times New Roman" w:hAnsi="Times New Roman" w:cs="宋体"/>
                <w:color w:val="000000"/>
                <w:spacing w:val="-2"/>
                <w:sz w:val="18"/>
                <w:szCs w:val="18"/>
              </w:rPr>
            </w:pPr>
            <w:r>
              <w:rPr>
                <w:rFonts w:hint="eastAsia" w:ascii="Times New Roman" w:hAnsi="Times New Roman" w:cs="宋体"/>
                <w:color w:val="000000"/>
                <w:spacing w:val="-2"/>
                <w:sz w:val="18"/>
                <w:szCs w:val="18"/>
              </w:rPr>
              <w:t>住宅分户</w:t>
            </w:r>
          </w:p>
          <w:p>
            <w:pPr>
              <w:spacing w:line="240" w:lineRule="exact"/>
              <w:jc w:val="center"/>
              <w:rPr>
                <w:rFonts w:ascii="Times New Roman" w:hAnsi="Times New Roman" w:cs="宋体"/>
                <w:color w:val="000000"/>
                <w:spacing w:val="-2"/>
                <w:sz w:val="18"/>
                <w:szCs w:val="18"/>
              </w:rPr>
            </w:pPr>
            <w:r>
              <w:rPr>
                <w:rFonts w:hint="eastAsia" w:ascii="Times New Roman" w:hAnsi="Times New Roman" w:cs="宋体"/>
                <w:color w:val="000000"/>
                <w:spacing w:val="-2"/>
                <w:sz w:val="18"/>
                <w:szCs w:val="18"/>
              </w:rPr>
              <w:t>验收</w:t>
            </w:r>
          </w:p>
        </w:tc>
        <w:tc>
          <w:tcPr>
            <w:tcW w:w="3602" w:type="dxa"/>
            <w:gridSpan w:val="2"/>
            <w:vMerge w:val="restart"/>
            <w:tcBorders>
              <w:top w:val="single" w:color="auto" w:sz="4" w:space="0"/>
              <w:left w:val="single" w:color="auto" w:sz="4" w:space="0"/>
              <w:bottom w:val="single" w:color="auto" w:sz="8" w:space="0"/>
              <w:right w:val="single" w:color="auto" w:sz="8" w:space="0"/>
            </w:tcBorders>
            <w:noWrap w:val="0"/>
            <w:vAlign w:val="center"/>
          </w:tcPr>
          <w:p>
            <w:pPr>
              <w:spacing w:line="240" w:lineRule="exact"/>
              <w:ind w:firstLine="344" w:firstLineChars="200"/>
              <w:jc w:val="left"/>
              <w:rPr>
                <w:rFonts w:ascii="Times New Roman" w:hAnsi="Times New Roman" w:cs="宋体"/>
                <w:color w:val="000000"/>
                <w:spacing w:val="-2"/>
                <w:sz w:val="18"/>
                <w:szCs w:val="18"/>
              </w:rPr>
            </w:pPr>
            <w:r>
              <w:rPr>
                <w:rFonts w:hint="eastAsia" w:ascii="Times New Roman" w:hAnsi="Times New Roman"/>
                <w:color w:val="000000"/>
                <w:spacing w:val="-2"/>
                <w:sz w:val="18"/>
                <w:szCs w:val="18"/>
              </w:rPr>
              <w:t>按《住宅工程质量分户验收规程》（</w:t>
            </w:r>
            <w:r>
              <w:rPr>
                <w:rFonts w:ascii="Times New Roman" w:hAnsi="Times New Roman"/>
                <w:color w:val="000000"/>
                <w:spacing w:val="-2"/>
                <w:sz w:val="18"/>
                <w:szCs w:val="18"/>
              </w:rPr>
              <w:t>DGJ32/TJ103-2010</w:t>
            </w:r>
            <w:r>
              <w:rPr>
                <w:rFonts w:hint="eastAsia" w:ascii="Times New Roman" w:hAnsi="Times New Roman"/>
                <w:color w:val="000000"/>
                <w:spacing w:val="-2"/>
                <w:sz w:val="18"/>
                <w:szCs w:val="18"/>
              </w:rPr>
              <w:t>）的要求对住宅工程进行专门验收（包括蓄水、门窗淋水等）发生的费用。不包含室内空气污染测试费用。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2091" w:type="dxa"/>
            <w:tcBorders>
              <w:top w:val="single" w:color="auto" w:sz="4" w:space="0"/>
              <w:left w:val="single" w:color="auto" w:sz="8" w:space="0"/>
              <w:bottom w:val="single" w:color="auto" w:sz="8" w:space="0"/>
              <w:right w:val="single" w:color="auto" w:sz="4" w:space="0"/>
            </w:tcBorders>
            <w:noWrap w:val="0"/>
            <w:vAlign w:val="center"/>
          </w:tcPr>
          <w:p>
            <w:pPr>
              <w:spacing w:line="240" w:lineRule="exact"/>
              <w:jc w:val="center"/>
              <w:rPr>
                <w:rFonts w:ascii="Times New Roman" w:hAnsi="Times New Roman" w:cs="宋体"/>
                <w:color w:val="000000"/>
                <w:spacing w:val="-2"/>
                <w:sz w:val="18"/>
                <w:szCs w:val="18"/>
              </w:rPr>
            </w:pPr>
            <w:r>
              <w:rPr>
                <w:rFonts w:hint="eastAsia" w:ascii="Times New Roman" w:hAnsi="Times New Roman" w:cs="宋体"/>
                <w:color w:val="000000"/>
                <w:spacing w:val="-2"/>
                <w:sz w:val="18"/>
                <w:szCs w:val="18"/>
              </w:rPr>
              <w:t>通用安装工程</w:t>
            </w:r>
          </w:p>
        </w:tc>
        <w:tc>
          <w:tcPr>
            <w:tcW w:w="1470" w:type="dxa"/>
            <w:tcBorders>
              <w:top w:val="single" w:color="auto" w:sz="4" w:space="0"/>
              <w:left w:val="single" w:color="auto" w:sz="4" w:space="0"/>
              <w:bottom w:val="single" w:color="auto" w:sz="8" w:space="0"/>
              <w:right w:val="single" w:color="auto" w:sz="4" w:space="0"/>
            </w:tcBorders>
            <w:noWrap w:val="0"/>
            <w:vAlign w:val="center"/>
          </w:tcPr>
          <w:p>
            <w:pPr>
              <w:spacing w:line="240" w:lineRule="exact"/>
              <w:jc w:val="center"/>
              <w:rPr>
                <w:rFonts w:ascii="Times New Roman" w:hAnsi="Times New Roman" w:cs="宋体"/>
                <w:color w:val="000000"/>
                <w:spacing w:val="-2"/>
                <w:sz w:val="18"/>
                <w:szCs w:val="18"/>
              </w:rPr>
            </w:pPr>
            <w:r>
              <w:rPr>
                <w:rFonts w:ascii="Times New Roman" w:hAnsi="Times New Roman" w:cs="宋体"/>
                <w:color w:val="000000"/>
                <w:spacing w:val="-2"/>
                <w:sz w:val="18"/>
                <w:szCs w:val="18"/>
              </w:rPr>
              <w:t>031302011</w:t>
            </w:r>
          </w:p>
        </w:tc>
        <w:tc>
          <w:tcPr>
            <w:tcW w:w="1438" w:type="dxa"/>
            <w:vMerge w:val="continue"/>
            <w:tcBorders>
              <w:top w:val="single" w:color="auto" w:sz="4" w:space="0"/>
              <w:left w:val="single" w:color="auto" w:sz="4" w:space="0"/>
              <w:bottom w:val="single" w:color="auto" w:sz="8" w:space="0"/>
              <w:right w:val="single" w:color="auto" w:sz="4" w:space="0"/>
            </w:tcBorders>
            <w:noWrap w:val="0"/>
            <w:vAlign w:val="center"/>
          </w:tcPr>
          <w:p>
            <w:pPr>
              <w:widowControl/>
              <w:jc w:val="left"/>
              <w:rPr>
                <w:rFonts w:ascii="Times New Roman" w:hAnsi="Times New Roman" w:cs="宋体"/>
                <w:color w:val="000000"/>
                <w:spacing w:val="-2"/>
                <w:sz w:val="18"/>
                <w:szCs w:val="18"/>
              </w:rPr>
            </w:pPr>
          </w:p>
        </w:tc>
        <w:tc>
          <w:tcPr>
            <w:tcW w:w="3602" w:type="dxa"/>
            <w:gridSpan w:val="2"/>
            <w:vMerge w:val="continue"/>
            <w:tcBorders>
              <w:top w:val="single" w:color="auto" w:sz="4" w:space="0"/>
              <w:left w:val="single" w:color="auto" w:sz="4" w:space="0"/>
              <w:bottom w:val="single" w:color="auto" w:sz="8" w:space="0"/>
              <w:right w:val="single" w:color="auto" w:sz="8" w:space="0"/>
            </w:tcBorders>
            <w:noWrap w:val="0"/>
            <w:vAlign w:val="center"/>
          </w:tcPr>
          <w:p>
            <w:pPr>
              <w:widowControl/>
              <w:jc w:val="left"/>
              <w:rPr>
                <w:rFonts w:ascii="Times New Roman" w:hAnsi="Times New Roman" w:cs="宋体"/>
                <w:color w:val="000000"/>
                <w:spacing w:val="-2"/>
                <w:sz w:val="18"/>
                <w:szCs w:val="18"/>
              </w:rPr>
            </w:pPr>
          </w:p>
        </w:tc>
      </w:tr>
    </w:tbl>
    <w:p>
      <w:pPr>
        <w:spacing w:line="460" w:lineRule="exact"/>
        <w:rPr>
          <w:rFonts w:ascii="Times New Roman" w:eastAsia="方正黑体_GBK"/>
          <w:color w:val="000000"/>
          <w:spacing w:val="-2"/>
          <w:kern w:val="0"/>
          <w:sz w:val="28"/>
          <w:szCs w:val="28"/>
        </w:rPr>
      </w:pPr>
      <w:r>
        <w:rPr>
          <w:color w:val="000000"/>
          <w:spacing w:val="-2"/>
          <w:sz w:val="28"/>
          <w:szCs w:val="28"/>
        </w:rPr>
        <w:br w:type="page"/>
      </w:r>
      <w:r>
        <w:rPr>
          <w:rFonts w:hint="eastAsia" w:ascii="Times New Roman" w:eastAsia="方正黑体_GBK"/>
          <w:color w:val="000000"/>
          <w:spacing w:val="-2"/>
          <w:kern w:val="0"/>
          <w:sz w:val="28"/>
          <w:szCs w:val="28"/>
        </w:rPr>
        <w:t>附件二：</w:t>
      </w:r>
    </w:p>
    <w:p>
      <w:pPr>
        <w:tabs>
          <w:tab w:val="left" w:pos="707"/>
        </w:tabs>
        <w:jc w:val="center"/>
        <w:outlineLvl w:val="2"/>
        <w:rPr>
          <w:rFonts w:hint="eastAsia" w:ascii="Times New Roman" w:eastAsia="方正黑体_GBK" w:cs="宋体"/>
          <w:color w:val="000000"/>
          <w:spacing w:val="-2"/>
          <w:kern w:val="0"/>
          <w:sz w:val="24"/>
        </w:rPr>
      </w:pPr>
      <w:bookmarkStart w:id="675" w:name="_Toc359843982"/>
      <w:bookmarkStart w:id="676" w:name="_Toc359930015"/>
      <w:bookmarkStart w:id="677" w:name="_Toc359843523"/>
      <w:bookmarkStart w:id="678" w:name="_Toc359843988"/>
      <w:bookmarkStart w:id="679" w:name="_Toc359843529"/>
      <w:bookmarkStart w:id="680" w:name="_Toc359930021"/>
      <w:bookmarkStart w:id="681" w:name="_Toc359843995"/>
      <w:bookmarkStart w:id="682" w:name="_Toc359930028"/>
      <w:bookmarkStart w:id="683" w:name="_Toc359843536"/>
      <w:bookmarkStart w:id="684" w:name="_Toc359843545"/>
      <w:bookmarkStart w:id="685" w:name="_Toc359930037"/>
      <w:bookmarkStart w:id="686" w:name="_Toc359844004"/>
      <w:r>
        <w:rPr>
          <w:rFonts w:hint="eastAsia" w:ascii="Times New Roman" w:eastAsia="方正黑体_GBK" w:cs="宋体"/>
          <w:color w:val="000000"/>
          <w:spacing w:val="-2"/>
          <w:kern w:val="0"/>
          <w:sz w:val="24"/>
        </w:rPr>
        <w:t>F.2</w:t>
      </w:r>
      <w:r>
        <w:rPr>
          <w:rFonts w:hint="eastAsia" w:ascii="Times New Roman" w:eastAsia="方正黑体_GBK"/>
          <w:color w:val="000000"/>
          <w:spacing w:val="-2"/>
          <w:kern w:val="0"/>
          <w:sz w:val="24"/>
        </w:rPr>
        <w:tab/>
      </w:r>
      <w:r>
        <w:rPr>
          <w:rFonts w:hint="eastAsia" w:ascii="Times New Roman" w:hAnsi="Times New Roman" w:eastAsia="方正黑体_GBK" w:cs="宋体"/>
          <w:color w:val="000000"/>
          <w:spacing w:val="-2"/>
          <w:kern w:val="0"/>
          <w:sz w:val="24"/>
        </w:rPr>
        <w:t>综合单价分析表</w:t>
      </w:r>
      <w:bookmarkEnd w:id="675"/>
      <w:bookmarkEnd w:id="676"/>
      <w:bookmarkEnd w:id="677"/>
    </w:p>
    <w:p>
      <w:pPr>
        <w:tabs>
          <w:tab w:val="left" w:pos="6420"/>
          <w:tab w:val="left" w:pos="7890"/>
          <w:tab w:val="left" w:pos="8416"/>
          <w:tab w:val="left" w:pos="9047"/>
        </w:tabs>
        <w:spacing w:line="240" w:lineRule="exact"/>
        <w:ind w:firstLine="202" w:firstLineChars="100"/>
        <w:rPr>
          <w:rFonts w:hint="eastAsia" w:ascii="Times New Roman" w:eastAsia="方正仿宋_GBK"/>
          <w:color w:val="000000"/>
          <w:spacing w:val="-2"/>
        </w:rPr>
      </w:pPr>
      <w:r>
        <w:rPr>
          <w:rFonts w:hint="eastAsia" w:ascii="Times New Roman" w:eastAsia="方正仿宋_GBK"/>
          <w:color w:val="000000"/>
          <w:spacing w:val="-2"/>
        </w:rPr>
        <w:t>工程名称：</w:t>
      </w:r>
      <w:r>
        <w:rPr>
          <w:rFonts w:hint="eastAsia" w:ascii="Times New Roman" w:eastAsia="方正仿宋_GBK"/>
          <w:color w:val="000000"/>
          <w:spacing w:val="-2"/>
        </w:rPr>
        <w:tab/>
      </w:r>
      <w:r>
        <w:rPr>
          <w:rFonts w:hint="eastAsia" w:ascii="Times New Roman" w:eastAsia="方正仿宋_GBK"/>
          <w:color w:val="000000"/>
          <w:spacing w:val="-2"/>
        </w:rPr>
        <w:t>标段： 第  页  共  页</w:t>
      </w:r>
    </w:p>
    <w:p>
      <w:pPr>
        <w:spacing w:before="9" w:line="40" w:lineRule="exact"/>
        <w:rPr>
          <w:rFonts w:hint="eastAsia"/>
          <w:color w:val="000000"/>
          <w:spacing w:val="-2"/>
          <w:sz w:val="4"/>
          <w:szCs w:val="4"/>
        </w:rPr>
      </w:pPr>
    </w:p>
    <w:tbl>
      <w:tblPr>
        <w:tblStyle w:val="12"/>
        <w:tblW w:w="0" w:type="auto"/>
        <w:jc w:val="center"/>
        <w:tblLayout w:type="fixed"/>
        <w:tblCellMar>
          <w:top w:w="0" w:type="dxa"/>
          <w:left w:w="0" w:type="dxa"/>
          <w:bottom w:w="0" w:type="dxa"/>
          <w:right w:w="0" w:type="dxa"/>
        </w:tblCellMar>
      </w:tblPr>
      <w:tblGrid>
        <w:gridCol w:w="540"/>
        <w:gridCol w:w="180"/>
        <w:gridCol w:w="318"/>
        <w:gridCol w:w="402"/>
        <w:gridCol w:w="540"/>
        <w:gridCol w:w="555"/>
        <w:gridCol w:w="29"/>
        <w:gridCol w:w="639"/>
        <w:gridCol w:w="200"/>
        <w:gridCol w:w="404"/>
        <w:gridCol w:w="630"/>
        <w:gridCol w:w="663"/>
        <w:gridCol w:w="529"/>
        <w:gridCol w:w="12"/>
        <w:gridCol w:w="600"/>
        <w:gridCol w:w="143"/>
        <w:gridCol w:w="551"/>
        <w:gridCol w:w="283"/>
        <w:gridCol w:w="405"/>
        <w:gridCol w:w="87"/>
        <w:gridCol w:w="244"/>
        <w:gridCol w:w="309"/>
        <w:gridCol w:w="677"/>
      </w:tblGrid>
      <w:tr>
        <w:tblPrEx>
          <w:tblCellMar>
            <w:top w:w="0" w:type="dxa"/>
            <w:left w:w="0" w:type="dxa"/>
            <w:bottom w:w="0" w:type="dxa"/>
            <w:right w:w="0" w:type="dxa"/>
          </w:tblCellMar>
        </w:tblPrEx>
        <w:trPr>
          <w:trHeight w:val="576" w:hRule="exact"/>
          <w:jc w:val="center"/>
        </w:trPr>
        <w:tc>
          <w:tcPr>
            <w:tcW w:w="1038" w:type="dxa"/>
            <w:gridSpan w:val="3"/>
            <w:tcBorders>
              <w:top w:val="single" w:color="auto" w:sz="8" w:space="0"/>
              <w:left w:val="single" w:color="auto" w:sz="8" w:space="0"/>
              <w:bottom w:val="single" w:color="000000" w:sz="4" w:space="0"/>
              <w:right w:val="single" w:color="000000" w:sz="4" w:space="0"/>
            </w:tcBorders>
            <w:noWrap w:val="0"/>
            <w:vAlign w:val="center"/>
          </w:tcPr>
          <w:p>
            <w:pPr>
              <w:jc w:val="center"/>
              <w:rPr>
                <w:color w:val="000000"/>
                <w:spacing w:val="-2"/>
                <w:kern w:val="0"/>
                <w:sz w:val="18"/>
                <w:szCs w:val="18"/>
              </w:rPr>
            </w:pPr>
            <w:r>
              <w:rPr>
                <w:rFonts w:hint="eastAsia" w:hAnsi="Times New Roman" w:cs="宋体"/>
                <w:color w:val="000000"/>
                <w:spacing w:val="-2"/>
                <w:kern w:val="0"/>
                <w:sz w:val="18"/>
                <w:szCs w:val="18"/>
              </w:rPr>
              <w:t>项目编码</w:t>
            </w:r>
          </w:p>
        </w:tc>
        <w:tc>
          <w:tcPr>
            <w:tcW w:w="1497" w:type="dxa"/>
            <w:gridSpan w:val="3"/>
            <w:tcBorders>
              <w:top w:val="single" w:color="auto" w:sz="8" w:space="0"/>
              <w:left w:val="single" w:color="000000" w:sz="4" w:space="0"/>
              <w:bottom w:val="single" w:color="000000" w:sz="4" w:space="0"/>
              <w:right w:val="single" w:color="auto" w:sz="4" w:space="0"/>
            </w:tcBorders>
            <w:noWrap w:val="0"/>
            <w:vAlign w:val="center"/>
          </w:tcPr>
          <w:p>
            <w:pPr>
              <w:jc w:val="center"/>
              <w:rPr>
                <w:color w:val="000000"/>
                <w:spacing w:val="-2"/>
                <w:kern w:val="0"/>
                <w:sz w:val="18"/>
                <w:szCs w:val="18"/>
              </w:rPr>
            </w:pPr>
          </w:p>
        </w:tc>
        <w:tc>
          <w:tcPr>
            <w:tcW w:w="868" w:type="dxa"/>
            <w:gridSpan w:val="3"/>
            <w:tcBorders>
              <w:top w:val="single" w:color="auto" w:sz="8" w:space="0"/>
              <w:left w:val="single" w:color="auto" w:sz="4" w:space="0"/>
              <w:bottom w:val="single" w:color="000000" w:sz="4" w:space="0"/>
              <w:right w:val="single" w:color="auto" w:sz="4" w:space="0"/>
            </w:tcBorders>
            <w:noWrap w:val="0"/>
            <w:vAlign w:val="center"/>
          </w:tcPr>
          <w:p>
            <w:pPr>
              <w:jc w:val="center"/>
              <w:rPr>
                <w:color w:val="000000"/>
                <w:spacing w:val="-2"/>
                <w:sz w:val="18"/>
                <w:szCs w:val="18"/>
              </w:rPr>
            </w:pPr>
            <w:r>
              <w:rPr>
                <w:rFonts w:hint="eastAsia" w:hAnsi="Times New Roman" w:cs="宋体"/>
                <w:color w:val="000000"/>
                <w:spacing w:val="-2"/>
                <w:sz w:val="18"/>
                <w:szCs w:val="18"/>
              </w:rPr>
              <w:t>项目名称</w:t>
            </w:r>
          </w:p>
        </w:tc>
        <w:tc>
          <w:tcPr>
            <w:tcW w:w="2226" w:type="dxa"/>
            <w:gridSpan w:val="4"/>
            <w:tcBorders>
              <w:top w:val="single" w:color="auto" w:sz="8" w:space="0"/>
              <w:left w:val="single" w:color="000000" w:sz="4" w:space="0"/>
              <w:bottom w:val="single" w:color="000000" w:sz="4" w:space="0"/>
              <w:right w:val="single" w:color="auto" w:sz="4" w:space="0"/>
            </w:tcBorders>
            <w:noWrap w:val="0"/>
            <w:vAlign w:val="center"/>
          </w:tcPr>
          <w:p>
            <w:pPr>
              <w:rPr>
                <w:color w:val="000000"/>
                <w:spacing w:val="-2"/>
                <w:sz w:val="18"/>
                <w:szCs w:val="18"/>
              </w:rPr>
            </w:pPr>
          </w:p>
        </w:tc>
        <w:tc>
          <w:tcPr>
            <w:tcW w:w="755" w:type="dxa"/>
            <w:gridSpan w:val="3"/>
            <w:tcBorders>
              <w:top w:val="single" w:color="auto" w:sz="8" w:space="0"/>
              <w:left w:val="single" w:color="auto" w:sz="4" w:space="0"/>
              <w:bottom w:val="single" w:color="000000" w:sz="4" w:space="0"/>
              <w:right w:val="single" w:color="auto" w:sz="2" w:space="0"/>
            </w:tcBorders>
            <w:noWrap w:val="0"/>
            <w:vAlign w:val="center"/>
          </w:tcPr>
          <w:p>
            <w:pPr>
              <w:jc w:val="center"/>
              <w:rPr>
                <w:color w:val="000000"/>
                <w:spacing w:val="-2"/>
                <w:sz w:val="18"/>
                <w:szCs w:val="18"/>
              </w:rPr>
            </w:pPr>
            <w:r>
              <w:rPr>
                <w:rFonts w:hint="eastAsia" w:hAnsi="Times New Roman" w:cs="宋体"/>
                <w:color w:val="000000"/>
                <w:spacing w:val="-2"/>
                <w:sz w:val="18"/>
                <w:szCs w:val="18"/>
              </w:rPr>
              <w:t>计量单位</w:t>
            </w:r>
          </w:p>
        </w:tc>
        <w:tc>
          <w:tcPr>
            <w:tcW w:w="834" w:type="dxa"/>
            <w:gridSpan w:val="2"/>
            <w:tcBorders>
              <w:top w:val="single" w:color="auto" w:sz="8" w:space="0"/>
              <w:left w:val="single" w:color="auto" w:sz="4" w:space="0"/>
              <w:bottom w:val="single" w:color="000000" w:sz="4" w:space="0"/>
              <w:right w:val="single" w:color="auto" w:sz="2" w:space="0"/>
            </w:tcBorders>
            <w:noWrap w:val="0"/>
            <w:vAlign w:val="center"/>
          </w:tcPr>
          <w:p>
            <w:pPr>
              <w:jc w:val="center"/>
              <w:rPr>
                <w:color w:val="000000"/>
                <w:spacing w:val="-2"/>
                <w:sz w:val="18"/>
                <w:szCs w:val="18"/>
              </w:rPr>
            </w:pPr>
          </w:p>
        </w:tc>
        <w:tc>
          <w:tcPr>
            <w:tcW w:w="736" w:type="dxa"/>
            <w:gridSpan w:val="3"/>
            <w:tcBorders>
              <w:top w:val="single" w:color="auto" w:sz="8" w:space="0"/>
              <w:left w:val="single" w:color="auto" w:sz="2" w:space="0"/>
              <w:bottom w:val="single" w:color="000000" w:sz="4" w:space="0"/>
              <w:right w:val="single" w:color="auto" w:sz="4" w:space="0"/>
            </w:tcBorders>
            <w:noWrap w:val="0"/>
            <w:vAlign w:val="center"/>
          </w:tcPr>
          <w:p>
            <w:pPr>
              <w:jc w:val="center"/>
              <w:rPr>
                <w:color w:val="000000"/>
                <w:spacing w:val="-2"/>
              </w:rPr>
            </w:pPr>
            <w:r>
              <w:rPr>
                <w:rFonts w:hint="eastAsia" w:hAnsi="Times New Roman" w:cs="宋体"/>
                <w:color w:val="000000"/>
                <w:spacing w:val="-2"/>
                <w:sz w:val="18"/>
                <w:szCs w:val="18"/>
              </w:rPr>
              <w:t>工程量</w:t>
            </w:r>
          </w:p>
        </w:tc>
        <w:tc>
          <w:tcPr>
            <w:tcW w:w="986" w:type="dxa"/>
            <w:gridSpan w:val="2"/>
            <w:tcBorders>
              <w:top w:val="single" w:color="auto" w:sz="8" w:space="0"/>
              <w:left w:val="single" w:color="auto" w:sz="4" w:space="0"/>
              <w:bottom w:val="single" w:color="000000" w:sz="4" w:space="0"/>
              <w:right w:val="single" w:color="auto" w:sz="8" w:space="0"/>
            </w:tcBorders>
            <w:noWrap w:val="0"/>
            <w:vAlign w:val="center"/>
          </w:tcPr>
          <w:p>
            <w:pPr>
              <w:jc w:val="center"/>
              <w:rPr>
                <w:color w:val="000000"/>
                <w:spacing w:val="-2"/>
              </w:rPr>
            </w:pPr>
          </w:p>
        </w:tc>
      </w:tr>
      <w:tr>
        <w:tblPrEx>
          <w:tblCellMar>
            <w:top w:w="0" w:type="dxa"/>
            <w:left w:w="0" w:type="dxa"/>
            <w:bottom w:w="0" w:type="dxa"/>
            <w:right w:w="0" w:type="dxa"/>
          </w:tblCellMar>
        </w:tblPrEx>
        <w:trPr>
          <w:trHeight w:val="576" w:hRule="atLeast"/>
          <w:jc w:val="center"/>
        </w:trPr>
        <w:tc>
          <w:tcPr>
            <w:tcW w:w="8940" w:type="dxa"/>
            <w:gridSpan w:val="23"/>
            <w:tcBorders>
              <w:top w:val="single" w:color="000000" w:sz="4" w:space="0"/>
              <w:left w:val="single" w:color="auto" w:sz="8" w:space="0"/>
              <w:bottom w:val="single" w:color="000000" w:sz="4" w:space="0"/>
              <w:right w:val="single" w:color="auto" w:sz="8" w:space="0"/>
            </w:tcBorders>
            <w:noWrap w:val="0"/>
            <w:vAlign w:val="center"/>
          </w:tcPr>
          <w:p>
            <w:pPr>
              <w:jc w:val="center"/>
              <w:rPr>
                <w:color w:val="000000"/>
                <w:spacing w:val="-2"/>
                <w:kern w:val="0"/>
                <w:sz w:val="18"/>
                <w:szCs w:val="18"/>
              </w:rPr>
            </w:pPr>
            <w:r>
              <w:rPr>
                <w:rFonts w:hint="eastAsia" w:hAnsi="Times New Roman" w:cs="宋体"/>
                <w:color w:val="000000"/>
                <w:spacing w:val="-2"/>
                <w:kern w:val="0"/>
                <w:sz w:val="18"/>
                <w:szCs w:val="18"/>
              </w:rPr>
              <w:t>清单综合单价组成明细</w:t>
            </w:r>
          </w:p>
        </w:tc>
      </w:tr>
      <w:tr>
        <w:tblPrEx>
          <w:tblCellMar>
            <w:top w:w="0" w:type="dxa"/>
            <w:left w:w="0" w:type="dxa"/>
            <w:bottom w:w="0" w:type="dxa"/>
            <w:right w:w="0" w:type="dxa"/>
          </w:tblCellMar>
        </w:tblPrEx>
        <w:trPr>
          <w:trHeight w:val="578" w:hRule="exact"/>
          <w:jc w:val="center"/>
        </w:trPr>
        <w:tc>
          <w:tcPr>
            <w:tcW w:w="540" w:type="dxa"/>
            <w:vMerge w:val="restart"/>
            <w:tcBorders>
              <w:top w:val="single" w:color="000000" w:sz="4" w:space="0"/>
              <w:left w:val="single" w:color="auto" w:sz="8" w:space="0"/>
              <w:bottom w:val="single" w:color="000000" w:sz="4" w:space="0"/>
              <w:right w:val="single" w:color="000000" w:sz="4" w:space="0"/>
            </w:tcBorders>
            <w:noWrap w:val="0"/>
            <w:vAlign w:val="center"/>
          </w:tcPr>
          <w:p>
            <w:pPr>
              <w:spacing w:line="360" w:lineRule="auto"/>
              <w:jc w:val="center"/>
              <w:rPr>
                <w:rFonts w:cs="宋体"/>
                <w:color w:val="000000"/>
                <w:spacing w:val="-2"/>
                <w:kern w:val="0"/>
                <w:sz w:val="18"/>
                <w:szCs w:val="18"/>
              </w:rPr>
            </w:pPr>
            <w:r>
              <w:rPr>
                <w:rFonts w:hint="eastAsia" w:hAnsi="Times New Roman" w:cs="宋体"/>
                <w:color w:val="000000"/>
                <w:spacing w:val="-2"/>
                <w:kern w:val="0"/>
                <w:sz w:val="18"/>
                <w:szCs w:val="18"/>
              </w:rPr>
              <w:t>定额</w:t>
            </w:r>
          </w:p>
          <w:p>
            <w:pPr>
              <w:spacing w:line="360" w:lineRule="auto"/>
              <w:jc w:val="center"/>
              <w:rPr>
                <w:color w:val="000000"/>
                <w:spacing w:val="-2"/>
                <w:kern w:val="0"/>
                <w:sz w:val="18"/>
                <w:szCs w:val="18"/>
              </w:rPr>
            </w:pPr>
            <w:r>
              <w:rPr>
                <w:rFonts w:hint="eastAsia" w:hAnsi="Times New Roman" w:cs="宋体"/>
                <w:color w:val="000000"/>
                <w:spacing w:val="-2"/>
                <w:kern w:val="0"/>
                <w:sz w:val="18"/>
                <w:szCs w:val="18"/>
              </w:rPr>
              <w:t>编号</w:t>
            </w:r>
          </w:p>
        </w:tc>
        <w:tc>
          <w:tcPr>
            <w:tcW w:w="900" w:type="dxa"/>
            <w:gridSpan w:val="3"/>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cs="宋体"/>
                <w:color w:val="000000"/>
                <w:spacing w:val="-2"/>
                <w:kern w:val="0"/>
                <w:sz w:val="18"/>
                <w:szCs w:val="18"/>
              </w:rPr>
            </w:pPr>
            <w:r>
              <w:rPr>
                <w:rFonts w:hint="eastAsia" w:hAnsi="Times New Roman" w:cs="宋体"/>
                <w:color w:val="000000"/>
                <w:spacing w:val="-2"/>
                <w:kern w:val="0"/>
                <w:sz w:val="18"/>
                <w:szCs w:val="18"/>
              </w:rPr>
              <w:t>定额项目</w:t>
            </w:r>
          </w:p>
          <w:p>
            <w:pPr>
              <w:jc w:val="center"/>
              <w:rPr>
                <w:color w:val="000000"/>
                <w:spacing w:val="-2"/>
                <w:kern w:val="0"/>
                <w:sz w:val="18"/>
                <w:szCs w:val="18"/>
              </w:rPr>
            </w:pPr>
            <w:r>
              <w:rPr>
                <w:rFonts w:hint="eastAsia" w:hAnsi="Times New Roman" w:cs="宋体"/>
                <w:color w:val="000000"/>
                <w:spacing w:val="-2"/>
                <w:kern w:val="0"/>
                <w:sz w:val="18"/>
                <w:szCs w:val="18"/>
              </w:rPr>
              <w:t>名称</w:t>
            </w:r>
          </w:p>
        </w:tc>
        <w:tc>
          <w:tcPr>
            <w:tcW w:w="540" w:type="dxa"/>
            <w:vMerge w:val="restart"/>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cs="宋体"/>
                <w:color w:val="000000"/>
                <w:spacing w:val="-2"/>
                <w:kern w:val="0"/>
                <w:sz w:val="18"/>
                <w:szCs w:val="18"/>
              </w:rPr>
            </w:pPr>
            <w:r>
              <w:rPr>
                <w:rFonts w:hint="eastAsia" w:hAnsi="Times New Roman" w:cs="宋体"/>
                <w:color w:val="000000"/>
                <w:spacing w:val="-2"/>
                <w:kern w:val="0"/>
                <w:sz w:val="18"/>
                <w:szCs w:val="18"/>
              </w:rPr>
              <w:t>定额</w:t>
            </w:r>
          </w:p>
          <w:p>
            <w:pPr>
              <w:spacing w:line="360" w:lineRule="auto"/>
              <w:jc w:val="center"/>
              <w:rPr>
                <w:color w:val="000000"/>
                <w:spacing w:val="-2"/>
                <w:kern w:val="0"/>
                <w:sz w:val="18"/>
                <w:szCs w:val="18"/>
              </w:rPr>
            </w:pPr>
            <w:r>
              <w:rPr>
                <w:rFonts w:hint="eastAsia" w:hAnsi="Times New Roman" w:cs="宋体"/>
                <w:color w:val="000000"/>
                <w:spacing w:val="-2"/>
                <w:kern w:val="0"/>
                <w:sz w:val="18"/>
                <w:szCs w:val="18"/>
              </w:rPr>
              <w:t>单位</w:t>
            </w:r>
          </w:p>
        </w:tc>
        <w:tc>
          <w:tcPr>
            <w:tcW w:w="584"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kern w:val="0"/>
                <w:sz w:val="18"/>
                <w:szCs w:val="18"/>
              </w:rPr>
            </w:pPr>
            <w:r>
              <w:rPr>
                <w:rFonts w:hint="eastAsia" w:hAnsi="Times New Roman" w:cs="宋体"/>
                <w:color w:val="000000"/>
                <w:spacing w:val="-2"/>
                <w:kern w:val="0"/>
                <w:sz w:val="18"/>
                <w:szCs w:val="18"/>
              </w:rPr>
              <w:t>数量</w:t>
            </w:r>
          </w:p>
        </w:tc>
        <w:tc>
          <w:tcPr>
            <w:tcW w:w="3077" w:type="dxa"/>
            <w:gridSpan w:val="7"/>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kern w:val="0"/>
                <w:sz w:val="18"/>
                <w:szCs w:val="18"/>
              </w:rPr>
            </w:pPr>
            <w:r>
              <w:rPr>
                <w:rFonts w:hint="eastAsia" w:hAnsi="Times New Roman" w:cs="宋体"/>
                <w:color w:val="000000"/>
                <w:spacing w:val="-2"/>
                <w:kern w:val="0"/>
                <w:sz w:val="18"/>
                <w:szCs w:val="18"/>
              </w:rPr>
              <w:t>单价</w:t>
            </w:r>
          </w:p>
        </w:tc>
        <w:tc>
          <w:tcPr>
            <w:tcW w:w="3299" w:type="dxa"/>
            <w:gridSpan w:val="9"/>
            <w:tcBorders>
              <w:top w:val="single" w:color="000000" w:sz="4" w:space="0"/>
              <w:left w:val="single" w:color="000000" w:sz="4" w:space="0"/>
              <w:bottom w:val="single" w:color="000000" w:sz="4" w:space="0"/>
              <w:right w:val="single" w:color="auto" w:sz="8" w:space="0"/>
            </w:tcBorders>
            <w:noWrap w:val="0"/>
            <w:vAlign w:val="center"/>
          </w:tcPr>
          <w:p>
            <w:pPr>
              <w:jc w:val="center"/>
              <w:rPr>
                <w:color w:val="000000"/>
                <w:spacing w:val="-2"/>
                <w:kern w:val="0"/>
                <w:sz w:val="18"/>
                <w:szCs w:val="18"/>
              </w:rPr>
            </w:pPr>
            <w:r>
              <w:rPr>
                <w:rFonts w:hint="eastAsia" w:hAnsi="Times New Roman" w:cs="宋体"/>
                <w:color w:val="000000"/>
                <w:spacing w:val="-2"/>
                <w:kern w:val="0"/>
                <w:sz w:val="18"/>
                <w:szCs w:val="18"/>
              </w:rPr>
              <w:t>合价</w:t>
            </w:r>
          </w:p>
        </w:tc>
      </w:tr>
      <w:tr>
        <w:tblPrEx>
          <w:tblCellMar>
            <w:top w:w="0" w:type="dxa"/>
            <w:left w:w="0" w:type="dxa"/>
            <w:bottom w:w="0" w:type="dxa"/>
            <w:right w:w="0" w:type="dxa"/>
          </w:tblCellMar>
        </w:tblPrEx>
        <w:trPr>
          <w:trHeight w:val="809" w:hRule="exact"/>
          <w:jc w:val="center"/>
        </w:trPr>
        <w:tc>
          <w:tcPr>
            <w:tcW w:w="540" w:type="dxa"/>
            <w:vMerge w:val="continue"/>
            <w:tcBorders>
              <w:top w:val="single" w:color="000000" w:sz="4" w:space="0"/>
              <w:left w:val="single" w:color="auto" w:sz="8" w:space="0"/>
              <w:bottom w:val="single" w:color="000000" w:sz="4" w:space="0"/>
              <w:right w:val="single" w:color="000000" w:sz="4" w:space="0"/>
            </w:tcBorders>
            <w:noWrap w:val="0"/>
            <w:vAlign w:val="center"/>
          </w:tcPr>
          <w:p>
            <w:pPr>
              <w:widowControl/>
              <w:jc w:val="left"/>
              <w:rPr>
                <w:color w:val="000000"/>
                <w:spacing w:val="-2"/>
                <w:kern w:val="0"/>
                <w:sz w:val="18"/>
                <w:szCs w:val="18"/>
              </w:rPr>
            </w:pPr>
          </w:p>
        </w:tc>
        <w:tc>
          <w:tcPr>
            <w:tcW w:w="900"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color w:val="000000"/>
                <w:spacing w:val="-2"/>
                <w:kern w:val="0"/>
                <w:sz w:val="18"/>
                <w:szCs w:val="18"/>
              </w:rPr>
            </w:pPr>
          </w:p>
        </w:tc>
        <w:tc>
          <w:tcPr>
            <w:tcW w:w="54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color w:val="000000"/>
                <w:spacing w:val="-2"/>
                <w:kern w:val="0"/>
                <w:sz w:val="18"/>
                <w:szCs w:val="18"/>
              </w:rPr>
            </w:pPr>
          </w:p>
        </w:tc>
        <w:tc>
          <w:tcPr>
            <w:tcW w:w="584"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color w:val="000000"/>
                <w:spacing w:val="-2"/>
                <w:kern w:val="0"/>
                <w:sz w:val="18"/>
                <w:szCs w:val="18"/>
              </w:rPr>
            </w:pPr>
          </w:p>
        </w:tc>
        <w:tc>
          <w:tcPr>
            <w:tcW w:w="639"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kern w:val="0"/>
                <w:sz w:val="18"/>
                <w:szCs w:val="18"/>
              </w:rPr>
            </w:pPr>
            <w:r>
              <w:rPr>
                <w:rFonts w:hint="eastAsia" w:hAnsi="Times New Roman" w:cs="宋体"/>
                <w:color w:val="000000"/>
                <w:spacing w:val="-2"/>
                <w:kern w:val="0"/>
                <w:sz w:val="18"/>
                <w:szCs w:val="18"/>
              </w:rPr>
              <w:t>人工费</w:t>
            </w:r>
          </w:p>
        </w:tc>
        <w:tc>
          <w:tcPr>
            <w:tcW w:w="604"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kern w:val="0"/>
                <w:sz w:val="18"/>
                <w:szCs w:val="18"/>
              </w:rPr>
            </w:pPr>
            <w:r>
              <w:rPr>
                <w:rFonts w:hint="eastAsia" w:hAnsi="Times New Roman" w:cs="宋体"/>
                <w:color w:val="000000"/>
                <w:spacing w:val="-2"/>
                <w:kern w:val="0"/>
                <w:sz w:val="18"/>
                <w:szCs w:val="18"/>
              </w:rPr>
              <w:t>材料费</w:t>
            </w:r>
          </w:p>
        </w:tc>
        <w:tc>
          <w:tcPr>
            <w:tcW w:w="630"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kern w:val="0"/>
                <w:sz w:val="18"/>
                <w:szCs w:val="18"/>
              </w:rPr>
            </w:pPr>
            <w:r>
              <w:rPr>
                <w:rFonts w:hint="eastAsia" w:hAnsi="Times New Roman" w:cs="宋体"/>
                <w:color w:val="000000"/>
                <w:spacing w:val="-2"/>
                <w:kern w:val="0"/>
                <w:sz w:val="18"/>
                <w:szCs w:val="18"/>
              </w:rPr>
              <w:t>机械费</w:t>
            </w:r>
          </w:p>
        </w:tc>
        <w:tc>
          <w:tcPr>
            <w:tcW w:w="663" w:type="dxa"/>
            <w:tcBorders>
              <w:top w:val="single" w:color="000000" w:sz="4" w:space="0"/>
              <w:left w:val="single" w:color="000000" w:sz="4" w:space="0"/>
              <w:bottom w:val="single" w:color="000000" w:sz="4" w:space="0"/>
              <w:right w:val="single" w:color="auto" w:sz="4" w:space="0"/>
            </w:tcBorders>
            <w:noWrap w:val="0"/>
            <w:vAlign w:val="center"/>
          </w:tcPr>
          <w:p>
            <w:pPr>
              <w:jc w:val="center"/>
              <w:rPr>
                <w:rFonts w:cs="宋体"/>
                <w:color w:val="000000"/>
                <w:spacing w:val="-2"/>
                <w:kern w:val="0"/>
                <w:sz w:val="18"/>
                <w:szCs w:val="18"/>
              </w:rPr>
            </w:pPr>
            <w:r>
              <w:rPr>
                <w:rFonts w:hint="eastAsia" w:hAnsi="Times New Roman" w:cs="宋体"/>
                <w:color w:val="000000"/>
                <w:spacing w:val="-2"/>
                <w:kern w:val="0"/>
                <w:sz w:val="18"/>
                <w:szCs w:val="18"/>
              </w:rPr>
              <w:t>管理费</w:t>
            </w:r>
          </w:p>
        </w:tc>
        <w:tc>
          <w:tcPr>
            <w:tcW w:w="541" w:type="dxa"/>
            <w:gridSpan w:val="2"/>
            <w:tcBorders>
              <w:top w:val="single" w:color="000000" w:sz="4" w:space="0"/>
              <w:left w:val="single" w:color="auto" w:sz="4" w:space="0"/>
              <w:bottom w:val="single" w:color="000000" w:sz="4" w:space="0"/>
              <w:right w:val="single" w:color="000000" w:sz="4" w:space="0"/>
            </w:tcBorders>
            <w:noWrap w:val="0"/>
            <w:vAlign w:val="center"/>
          </w:tcPr>
          <w:p>
            <w:pPr>
              <w:jc w:val="center"/>
              <w:rPr>
                <w:rFonts w:cs="宋体"/>
                <w:color w:val="000000"/>
                <w:spacing w:val="-2"/>
                <w:kern w:val="0"/>
                <w:sz w:val="18"/>
                <w:szCs w:val="18"/>
              </w:rPr>
            </w:pPr>
            <w:r>
              <w:rPr>
                <w:rFonts w:hint="eastAsia" w:hAnsi="Times New Roman" w:cs="宋体"/>
                <w:color w:val="000000"/>
                <w:spacing w:val="-2"/>
                <w:kern w:val="0"/>
                <w:sz w:val="18"/>
                <w:szCs w:val="18"/>
              </w:rPr>
              <w:t>利润</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kern w:val="0"/>
                <w:sz w:val="18"/>
                <w:szCs w:val="18"/>
              </w:rPr>
            </w:pPr>
            <w:r>
              <w:rPr>
                <w:rFonts w:hint="eastAsia" w:hAnsi="Times New Roman" w:cs="宋体"/>
                <w:color w:val="000000"/>
                <w:spacing w:val="-2"/>
                <w:kern w:val="0"/>
                <w:sz w:val="18"/>
                <w:szCs w:val="18"/>
              </w:rPr>
              <w:t>人工费</w:t>
            </w:r>
          </w:p>
        </w:tc>
        <w:tc>
          <w:tcPr>
            <w:tcW w:w="694"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kern w:val="0"/>
                <w:sz w:val="18"/>
                <w:szCs w:val="18"/>
              </w:rPr>
            </w:pPr>
            <w:r>
              <w:rPr>
                <w:rFonts w:hint="eastAsia" w:hAnsi="Times New Roman" w:cs="宋体"/>
                <w:color w:val="000000"/>
                <w:spacing w:val="-2"/>
                <w:kern w:val="0"/>
                <w:sz w:val="18"/>
                <w:szCs w:val="18"/>
              </w:rPr>
              <w:t>材料费</w:t>
            </w:r>
          </w:p>
        </w:tc>
        <w:tc>
          <w:tcPr>
            <w:tcW w:w="688"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kern w:val="0"/>
                <w:sz w:val="18"/>
                <w:szCs w:val="18"/>
              </w:rPr>
            </w:pPr>
            <w:r>
              <w:rPr>
                <w:rFonts w:hint="eastAsia" w:hAnsi="Times New Roman" w:cs="宋体"/>
                <w:color w:val="000000"/>
                <w:spacing w:val="-2"/>
                <w:kern w:val="0"/>
                <w:sz w:val="18"/>
                <w:szCs w:val="18"/>
              </w:rPr>
              <w:t>机械费</w:t>
            </w:r>
          </w:p>
        </w:tc>
        <w:tc>
          <w:tcPr>
            <w:tcW w:w="640" w:type="dxa"/>
            <w:gridSpan w:val="3"/>
            <w:tcBorders>
              <w:top w:val="single" w:color="000000" w:sz="4" w:space="0"/>
              <w:left w:val="single" w:color="000000" w:sz="4" w:space="0"/>
              <w:bottom w:val="single" w:color="000000" w:sz="4" w:space="0"/>
              <w:right w:val="single" w:color="auto" w:sz="4" w:space="0"/>
            </w:tcBorders>
            <w:noWrap w:val="0"/>
            <w:vAlign w:val="center"/>
          </w:tcPr>
          <w:p>
            <w:pPr>
              <w:jc w:val="center"/>
              <w:rPr>
                <w:color w:val="000000"/>
                <w:spacing w:val="-2"/>
                <w:kern w:val="0"/>
                <w:sz w:val="18"/>
                <w:szCs w:val="18"/>
              </w:rPr>
            </w:pPr>
            <w:r>
              <w:rPr>
                <w:rFonts w:hint="eastAsia" w:hAnsi="Times New Roman" w:cs="宋体"/>
                <w:color w:val="000000"/>
                <w:spacing w:val="-2"/>
                <w:kern w:val="0"/>
                <w:sz w:val="18"/>
                <w:szCs w:val="18"/>
              </w:rPr>
              <w:t>管理费</w:t>
            </w:r>
          </w:p>
        </w:tc>
        <w:tc>
          <w:tcPr>
            <w:tcW w:w="677" w:type="dxa"/>
            <w:tcBorders>
              <w:top w:val="single" w:color="000000" w:sz="4" w:space="0"/>
              <w:left w:val="single" w:color="auto" w:sz="4" w:space="0"/>
              <w:bottom w:val="single" w:color="000000" w:sz="4" w:space="0"/>
              <w:right w:val="single" w:color="auto" w:sz="8" w:space="0"/>
            </w:tcBorders>
            <w:noWrap w:val="0"/>
            <w:vAlign w:val="center"/>
          </w:tcPr>
          <w:p>
            <w:pPr>
              <w:jc w:val="center"/>
              <w:rPr>
                <w:rFonts w:cs="宋体"/>
                <w:color w:val="000000"/>
                <w:spacing w:val="-2"/>
                <w:kern w:val="0"/>
                <w:sz w:val="18"/>
                <w:szCs w:val="18"/>
              </w:rPr>
            </w:pPr>
            <w:r>
              <w:rPr>
                <w:rFonts w:hint="eastAsia" w:hAnsi="Times New Roman" w:cs="宋体"/>
                <w:color w:val="000000"/>
                <w:spacing w:val="-2"/>
                <w:kern w:val="0"/>
                <w:sz w:val="18"/>
                <w:szCs w:val="18"/>
              </w:rPr>
              <w:t>利润</w:t>
            </w:r>
          </w:p>
        </w:tc>
      </w:tr>
      <w:tr>
        <w:tblPrEx>
          <w:tblCellMar>
            <w:top w:w="0" w:type="dxa"/>
            <w:left w:w="0" w:type="dxa"/>
            <w:bottom w:w="0" w:type="dxa"/>
            <w:right w:w="0" w:type="dxa"/>
          </w:tblCellMar>
        </w:tblPrEx>
        <w:trPr>
          <w:trHeight w:val="521" w:hRule="exact"/>
          <w:jc w:val="center"/>
        </w:trPr>
        <w:tc>
          <w:tcPr>
            <w:tcW w:w="540" w:type="dxa"/>
            <w:tcBorders>
              <w:top w:val="single" w:color="000000" w:sz="4" w:space="0"/>
              <w:left w:val="single" w:color="auto" w:sz="8" w:space="0"/>
              <w:bottom w:val="single" w:color="000000" w:sz="4" w:space="0"/>
              <w:right w:val="single" w:color="000000" w:sz="4" w:space="0"/>
            </w:tcBorders>
            <w:noWrap w:val="0"/>
            <w:vAlign w:val="center"/>
          </w:tcPr>
          <w:p>
            <w:pPr>
              <w:jc w:val="center"/>
              <w:rPr>
                <w:color w:val="000000"/>
                <w:spacing w:val="-2"/>
              </w:rPr>
            </w:pPr>
          </w:p>
        </w:tc>
        <w:tc>
          <w:tcPr>
            <w:tcW w:w="900"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540"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584"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39"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04"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30"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63" w:type="dxa"/>
            <w:tcBorders>
              <w:top w:val="single" w:color="000000" w:sz="4" w:space="0"/>
              <w:left w:val="single" w:color="000000" w:sz="4" w:space="0"/>
              <w:bottom w:val="single" w:color="000000" w:sz="4" w:space="0"/>
              <w:right w:val="single" w:color="auto" w:sz="4" w:space="0"/>
            </w:tcBorders>
            <w:noWrap w:val="0"/>
            <w:vAlign w:val="center"/>
          </w:tcPr>
          <w:p>
            <w:pPr>
              <w:jc w:val="center"/>
              <w:rPr>
                <w:color w:val="000000"/>
                <w:spacing w:val="-2"/>
              </w:rPr>
            </w:pPr>
          </w:p>
        </w:tc>
        <w:tc>
          <w:tcPr>
            <w:tcW w:w="541" w:type="dxa"/>
            <w:gridSpan w:val="2"/>
            <w:tcBorders>
              <w:top w:val="single" w:color="000000" w:sz="4" w:space="0"/>
              <w:left w:val="single" w:color="auto" w:sz="4" w:space="0"/>
              <w:bottom w:val="single" w:color="000000" w:sz="4" w:space="0"/>
              <w:right w:val="single" w:color="000000" w:sz="4" w:space="0"/>
            </w:tcBorders>
            <w:noWrap w:val="0"/>
            <w:vAlign w:val="center"/>
          </w:tcPr>
          <w:p>
            <w:pPr>
              <w:jc w:val="center"/>
              <w:rPr>
                <w:color w:val="000000"/>
                <w:spacing w:val="-2"/>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94"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88"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40" w:type="dxa"/>
            <w:gridSpan w:val="3"/>
            <w:tcBorders>
              <w:top w:val="single" w:color="000000" w:sz="4" w:space="0"/>
              <w:left w:val="single" w:color="000000" w:sz="4" w:space="0"/>
              <w:bottom w:val="single" w:color="000000" w:sz="4" w:space="0"/>
              <w:right w:val="single" w:color="auto" w:sz="4" w:space="0"/>
            </w:tcBorders>
            <w:noWrap w:val="0"/>
            <w:vAlign w:val="center"/>
          </w:tcPr>
          <w:p>
            <w:pPr>
              <w:jc w:val="center"/>
              <w:rPr>
                <w:color w:val="000000"/>
                <w:spacing w:val="-2"/>
              </w:rPr>
            </w:pPr>
          </w:p>
        </w:tc>
        <w:tc>
          <w:tcPr>
            <w:tcW w:w="677" w:type="dxa"/>
            <w:tcBorders>
              <w:top w:val="single" w:color="000000" w:sz="4" w:space="0"/>
              <w:left w:val="single" w:color="auto" w:sz="4" w:space="0"/>
              <w:bottom w:val="single" w:color="000000" w:sz="4" w:space="0"/>
              <w:right w:val="single" w:color="auto" w:sz="8" w:space="0"/>
            </w:tcBorders>
            <w:noWrap w:val="0"/>
            <w:vAlign w:val="center"/>
          </w:tcPr>
          <w:p>
            <w:pPr>
              <w:jc w:val="center"/>
              <w:rPr>
                <w:color w:val="000000"/>
                <w:spacing w:val="-2"/>
              </w:rPr>
            </w:pPr>
          </w:p>
        </w:tc>
      </w:tr>
      <w:tr>
        <w:tblPrEx>
          <w:tblCellMar>
            <w:top w:w="0" w:type="dxa"/>
            <w:left w:w="0" w:type="dxa"/>
            <w:bottom w:w="0" w:type="dxa"/>
            <w:right w:w="0" w:type="dxa"/>
          </w:tblCellMar>
        </w:tblPrEx>
        <w:trPr>
          <w:trHeight w:val="521" w:hRule="exact"/>
          <w:jc w:val="center"/>
        </w:trPr>
        <w:tc>
          <w:tcPr>
            <w:tcW w:w="540" w:type="dxa"/>
            <w:tcBorders>
              <w:top w:val="single" w:color="000000" w:sz="4" w:space="0"/>
              <w:left w:val="single" w:color="auto" w:sz="8" w:space="0"/>
              <w:bottom w:val="single" w:color="000000" w:sz="4" w:space="0"/>
              <w:right w:val="single" w:color="000000" w:sz="4" w:space="0"/>
            </w:tcBorders>
            <w:noWrap w:val="0"/>
            <w:vAlign w:val="center"/>
          </w:tcPr>
          <w:p>
            <w:pPr>
              <w:jc w:val="center"/>
              <w:rPr>
                <w:color w:val="000000"/>
                <w:spacing w:val="-2"/>
              </w:rPr>
            </w:pPr>
          </w:p>
        </w:tc>
        <w:tc>
          <w:tcPr>
            <w:tcW w:w="900"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540"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584"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39"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04"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30"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63" w:type="dxa"/>
            <w:tcBorders>
              <w:top w:val="single" w:color="000000" w:sz="4" w:space="0"/>
              <w:left w:val="single" w:color="000000" w:sz="4" w:space="0"/>
              <w:bottom w:val="single" w:color="000000" w:sz="4" w:space="0"/>
              <w:right w:val="single" w:color="auto" w:sz="4" w:space="0"/>
            </w:tcBorders>
            <w:noWrap w:val="0"/>
            <w:vAlign w:val="center"/>
          </w:tcPr>
          <w:p>
            <w:pPr>
              <w:jc w:val="center"/>
              <w:rPr>
                <w:color w:val="000000"/>
                <w:spacing w:val="-2"/>
              </w:rPr>
            </w:pPr>
          </w:p>
        </w:tc>
        <w:tc>
          <w:tcPr>
            <w:tcW w:w="541" w:type="dxa"/>
            <w:gridSpan w:val="2"/>
            <w:tcBorders>
              <w:top w:val="single" w:color="000000" w:sz="4" w:space="0"/>
              <w:left w:val="single" w:color="auto" w:sz="4" w:space="0"/>
              <w:bottom w:val="single" w:color="000000" w:sz="4" w:space="0"/>
              <w:right w:val="single" w:color="000000" w:sz="4" w:space="0"/>
            </w:tcBorders>
            <w:noWrap w:val="0"/>
            <w:vAlign w:val="center"/>
          </w:tcPr>
          <w:p>
            <w:pPr>
              <w:jc w:val="center"/>
              <w:rPr>
                <w:color w:val="000000"/>
                <w:spacing w:val="-2"/>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94"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88"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40" w:type="dxa"/>
            <w:gridSpan w:val="3"/>
            <w:tcBorders>
              <w:top w:val="single" w:color="000000" w:sz="4" w:space="0"/>
              <w:left w:val="single" w:color="000000" w:sz="4" w:space="0"/>
              <w:bottom w:val="single" w:color="000000" w:sz="4" w:space="0"/>
              <w:right w:val="single" w:color="auto" w:sz="4" w:space="0"/>
            </w:tcBorders>
            <w:noWrap w:val="0"/>
            <w:vAlign w:val="center"/>
          </w:tcPr>
          <w:p>
            <w:pPr>
              <w:jc w:val="center"/>
              <w:rPr>
                <w:color w:val="000000"/>
                <w:spacing w:val="-2"/>
              </w:rPr>
            </w:pPr>
          </w:p>
        </w:tc>
        <w:tc>
          <w:tcPr>
            <w:tcW w:w="677" w:type="dxa"/>
            <w:tcBorders>
              <w:top w:val="single" w:color="000000" w:sz="4" w:space="0"/>
              <w:left w:val="single" w:color="auto" w:sz="4" w:space="0"/>
              <w:bottom w:val="single" w:color="000000" w:sz="4" w:space="0"/>
              <w:right w:val="single" w:color="auto" w:sz="8" w:space="0"/>
            </w:tcBorders>
            <w:noWrap w:val="0"/>
            <w:vAlign w:val="center"/>
          </w:tcPr>
          <w:p>
            <w:pPr>
              <w:jc w:val="center"/>
              <w:rPr>
                <w:color w:val="000000"/>
                <w:spacing w:val="-2"/>
              </w:rPr>
            </w:pPr>
          </w:p>
        </w:tc>
      </w:tr>
      <w:tr>
        <w:tblPrEx>
          <w:tblCellMar>
            <w:top w:w="0" w:type="dxa"/>
            <w:left w:w="0" w:type="dxa"/>
            <w:bottom w:w="0" w:type="dxa"/>
            <w:right w:w="0" w:type="dxa"/>
          </w:tblCellMar>
        </w:tblPrEx>
        <w:trPr>
          <w:trHeight w:val="518" w:hRule="exact"/>
          <w:jc w:val="center"/>
        </w:trPr>
        <w:tc>
          <w:tcPr>
            <w:tcW w:w="540" w:type="dxa"/>
            <w:tcBorders>
              <w:top w:val="single" w:color="000000" w:sz="4" w:space="0"/>
              <w:left w:val="single" w:color="auto" w:sz="8" w:space="0"/>
              <w:bottom w:val="single" w:color="000000" w:sz="4" w:space="0"/>
              <w:right w:val="single" w:color="000000" w:sz="4" w:space="0"/>
            </w:tcBorders>
            <w:noWrap w:val="0"/>
            <w:vAlign w:val="center"/>
          </w:tcPr>
          <w:p>
            <w:pPr>
              <w:jc w:val="center"/>
              <w:rPr>
                <w:color w:val="000000"/>
                <w:spacing w:val="-2"/>
              </w:rPr>
            </w:pPr>
          </w:p>
        </w:tc>
        <w:tc>
          <w:tcPr>
            <w:tcW w:w="900"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540"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584"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39"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04"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30"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63" w:type="dxa"/>
            <w:tcBorders>
              <w:top w:val="single" w:color="000000" w:sz="4" w:space="0"/>
              <w:left w:val="single" w:color="000000" w:sz="4" w:space="0"/>
              <w:bottom w:val="single" w:color="000000" w:sz="4" w:space="0"/>
              <w:right w:val="single" w:color="auto" w:sz="4" w:space="0"/>
            </w:tcBorders>
            <w:noWrap w:val="0"/>
            <w:vAlign w:val="center"/>
          </w:tcPr>
          <w:p>
            <w:pPr>
              <w:jc w:val="center"/>
              <w:rPr>
                <w:color w:val="000000"/>
                <w:spacing w:val="-2"/>
              </w:rPr>
            </w:pPr>
          </w:p>
        </w:tc>
        <w:tc>
          <w:tcPr>
            <w:tcW w:w="541" w:type="dxa"/>
            <w:gridSpan w:val="2"/>
            <w:tcBorders>
              <w:top w:val="single" w:color="000000" w:sz="4" w:space="0"/>
              <w:left w:val="single" w:color="auto" w:sz="4" w:space="0"/>
              <w:bottom w:val="single" w:color="000000" w:sz="4" w:space="0"/>
              <w:right w:val="single" w:color="000000" w:sz="4" w:space="0"/>
            </w:tcBorders>
            <w:noWrap w:val="0"/>
            <w:vAlign w:val="center"/>
          </w:tcPr>
          <w:p>
            <w:pPr>
              <w:jc w:val="center"/>
              <w:rPr>
                <w:color w:val="000000"/>
                <w:spacing w:val="-2"/>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94"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88"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40" w:type="dxa"/>
            <w:gridSpan w:val="3"/>
            <w:tcBorders>
              <w:top w:val="single" w:color="000000" w:sz="4" w:space="0"/>
              <w:left w:val="single" w:color="000000" w:sz="4" w:space="0"/>
              <w:bottom w:val="single" w:color="000000" w:sz="4" w:space="0"/>
              <w:right w:val="single" w:color="auto" w:sz="4" w:space="0"/>
            </w:tcBorders>
            <w:noWrap w:val="0"/>
            <w:vAlign w:val="center"/>
          </w:tcPr>
          <w:p>
            <w:pPr>
              <w:jc w:val="center"/>
              <w:rPr>
                <w:color w:val="000000"/>
                <w:spacing w:val="-2"/>
              </w:rPr>
            </w:pPr>
          </w:p>
        </w:tc>
        <w:tc>
          <w:tcPr>
            <w:tcW w:w="677" w:type="dxa"/>
            <w:tcBorders>
              <w:top w:val="single" w:color="000000" w:sz="4" w:space="0"/>
              <w:left w:val="single" w:color="auto" w:sz="4" w:space="0"/>
              <w:bottom w:val="single" w:color="000000" w:sz="4" w:space="0"/>
              <w:right w:val="single" w:color="auto" w:sz="8" w:space="0"/>
            </w:tcBorders>
            <w:noWrap w:val="0"/>
            <w:vAlign w:val="center"/>
          </w:tcPr>
          <w:p>
            <w:pPr>
              <w:jc w:val="center"/>
              <w:rPr>
                <w:color w:val="000000"/>
                <w:spacing w:val="-2"/>
              </w:rPr>
            </w:pPr>
          </w:p>
        </w:tc>
      </w:tr>
      <w:tr>
        <w:tblPrEx>
          <w:tblCellMar>
            <w:top w:w="0" w:type="dxa"/>
            <w:left w:w="0" w:type="dxa"/>
            <w:bottom w:w="0" w:type="dxa"/>
            <w:right w:w="0" w:type="dxa"/>
          </w:tblCellMar>
        </w:tblPrEx>
        <w:trPr>
          <w:trHeight w:val="521" w:hRule="exact"/>
          <w:jc w:val="center"/>
        </w:trPr>
        <w:tc>
          <w:tcPr>
            <w:tcW w:w="540" w:type="dxa"/>
            <w:tcBorders>
              <w:top w:val="single" w:color="000000" w:sz="4" w:space="0"/>
              <w:left w:val="single" w:color="auto" w:sz="8" w:space="0"/>
              <w:bottom w:val="single" w:color="000000" w:sz="4" w:space="0"/>
              <w:right w:val="single" w:color="000000" w:sz="4" w:space="0"/>
            </w:tcBorders>
            <w:noWrap w:val="0"/>
            <w:vAlign w:val="center"/>
          </w:tcPr>
          <w:p>
            <w:pPr>
              <w:jc w:val="center"/>
              <w:rPr>
                <w:color w:val="000000"/>
                <w:spacing w:val="-2"/>
              </w:rPr>
            </w:pPr>
          </w:p>
        </w:tc>
        <w:tc>
          <w:tcPr>
            <w:tcW w:w="900"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540"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584"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39"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04"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30"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63" w:type="dxa"/>
            <w:tcBorders>
              <w:top w:val="single" w:color="000000" w:sz="4" w:space="0"/>
              <w:left w:val="single" w:color="000000" w:sz="4" w:space="0"/>
              <w:bottom w:val="single" w:color="000000" w:sz="4" w:space="0"/>
              <w:right w:val="single" w:color="auto" w:sz="4" w:space="0"/>
            </w:tcBorders>
            <w:noWrap w:val="0"/>
            <w:vAlign w:val="center"/>
          </w:tcPr>
          <w:p>
            <w:pPr>
              <w:jc w:val="center"/>
              <w:rPr>
                <w:color w:val="000000"/>
                <w:spacing w:val="-2"/>
              </w:rPr>
            </w:pPr>
          </w:p>
        </w:tc>
        <w:tc>
          <w:tcPr>
            <w:tcW w:w="541" w:type="dxa"/>
            <w:gridSpan w:val="2"/>
            <w:tcBorders>
              <w:top w:val="single" w:color="000000" w:sz="4" w:space="0"/>
              <w:left w:val="single" w:color="auto" w:sz="4" w:space="0"/>
              <w:bottom w:val="single" w:color="000000" w:sz="4" w:space="0"/>
              <w:right w:val="single" w:color="000000" w:sz="4" w:space="0"/>
            </w:tcBorders>
            <w:noWrap w:val="0"/>
            <w:vAlign w:val="center"/>
          </w:tcPr>
          <w:p>
            <w:pPr>
              <w:jc w:val="center"/>
              <w:rPr>
                <w:color w:val="000000"/>
                <w:spacing w:val="-2"/>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94"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88"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40" w:type="dxa"/>
            <w:gridSpan w:val="3"/>
            <w:tcBorders>
              <w:top w:val="single" w:color="000000" w:sz="4" w:space="0"/>
              <w:left w:val="single" w:color="000000" w:sz="4" w:space="0"/>
              <w:bottom w:val="single" w:color="000000" w:sz="4" w:space="0"/>
              <w:right w:val="single" w:color="auto" w:sz="4" w:space="0"/>
            </w:tcBorders>
            <w:noWrap w:val="0"/>
            <w:vAlign w:val="center"/>
          </w:tcPr>
          <w:p>
            <w:pPr>
              <w:jc w:val="center"/>
              <w:rPr>
                <w:color w:val="000000"/>
                <w:spacing w:val="-2"/>
              </w:rPr>
            </w:pPr>
          </w:p>
        </w:tc>
        <w:tc>
          <w:tcPr>
            <w:tcW w:w="677" w:type="dxa"/>
            <w:tcBorders>
              <w:top w:val="single" w:color="000000" w:sz="4" w:space="0"/>
              <w:left w:val="single" w:color="auto" w:sz="4" w:space="0"/>
              <w:bottom w:val="single" w:color="000000" w:sz="4" w:space="0"/>
              <w:right w:val="single" w:color="auto" w:sz="8" w:space="0"/>
            </w:tcBorders>
            <w:noWrap w:val="0"/>
            <w:vAlign w:val="center"/>
          </w:tcPr>
          <w:p>
            <w:pPr>
              <w:jc w:val="center"/>
              <w:rPr>
                <w:color w:val="000000"/>
                <w:spacing w:val="-2"/>
              </w:rPr>
            </w:pPr>
          </w:p>
        </w:tc>
      </w:tr>
      <w:tr>
        <w:tblPrEx>
          <w:tblCellMar>
            <w:top w:w="0" w:type="dxa"/>
            <w:left w:w="0" w:type="dxa"/>
            <w:bottom w:w="0" w:type="dxa"/>
            <w:right w:w="0" w:type="dxa"/>
          </w:tblCellMar>
        </w:tblPrEx>
        <w:trPr>
          <w:trHeight w:val="521" w:hRule="exact"/>
          <w:jc w:val="center"/>
        </w:trPr>
        <w:tc>
          <w:tcPr>
            <w:tcW w:w="540" w:type="dxa"/>
            <w:tcBorders>
              <w:top w:val="single" w:color="000000" w:sz="4" w:space="0"/>
              <w:left w:val="single" w:color="auto" w:sz="8" w:space="0"/>
              <w:bottom w:val="single" w:color="000000" w:sz="4" w:space="0"/>
              <w:right w:val="single" w:color="000000" w:sz="4" w:space="0"/>
            </w:tcBorders>
            <w:noWrap w:val="0"/>
            <w:vAlign w:val="center"/>
          </w:tcPr>
          <w:p>
            <w:pPr>
              <w:jc w:val="center"/>
              <w:rPr>
                <w:color w:val="000000"/>
                <w:spacing w:val="-2"/>
              </w:rPr>
            </w:pPr>
          </w:p>
        </w:tc>
        <w:tc>
          <w:tcPr>
            <w:tcW w:w="900"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540"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584"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39"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04"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30"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63" w:type="dxa"/>
            <w:tcBorders>
              <w:top w:val="single" w:color="000000" w:sz="4" w:space="0"/>
              <w:left w:val="single" w:color="000000" w:sz="4" w:space="0"/>
              <w:bottom w:val="single" w:color="000000" w:sz="4" w:space="0"/>
              <w:right w:val="single" w:color="auto" w:sz="4" w:space="0"/>
            </w:tcBorders>
            <w:noWrap w:val="0"/>
            <w:vAlign w:val="center"/>
          </w:tcPr>
          <w:p>
            <w:pPr>
              <w:jc w:val="center"/>
              <w:rPr>
                <w:color w:val="000000"/>
                <w:spacing w:val="-2"/>
              </w:rPr>
            </w:pPr>
          </w:p>
        </w:tc>
        <w:tc>
          <w:tcPr>
            <w:tcW w:w="541" w:type="dxa"/>
            <w:gridSpan w:val="2"/>
            <w:tcBorders>
              <w:top w:val="single" w:color="000000" w:sz="4" w:space="0"/>
              <w:left w:val="single" w:color="auto" w:sz="4" w:space="0"/>
              <w:bottom w:val="single" w:color="000000" w:sz="4" w:space="0"/>
              <w:right w:val="single" w:color="000000" w:sz="4" w:space="0"/>
            </w:tcBorders>
            <w:noWrap w:val="0"/>
            <w:vAlign w:val="center"/>
          </w:tcPr>
          <w:p>
            <w:pPr>
              <w:jc w:val="center"/>
              <w:rPr>
                <w:color w:val="000000"/>
                <w:spacing w:val="-2"/>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94"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88"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40" w:type="dxa"/>
            <w:gridSpan w:val="3"/>
            <w:tcBorders>
              <w:top w:val="single" w:color="000000" w:sz="4" w:space="0"/>
              <w:left w:val="single" w:color="000000" w:sz="4" w:space="0"/>
              <w:bottom w:val="single" w:color="000000" w:sz="4" w:space="0"/>
              <w:right w:val="single" w:color="auto" w:sz="4" w:space="0"/>
            </w:tcBorders>
            <w:noWrap w:val="0"/>
            <w:vAlign w:val="center"/>
          </w:tcPr>
          <w:p>
            <w:pPr>
              <w:jc w:val="center"/>
              <w:rPr>
                <w:color w:val="000000"/>
                <w:spacing w:val="-2"/>
              </w:rPr>
            </w:pPr>
          </w:p>
        </w:tc>
        <w:tc>
          <w:tcPr>
            <w:tcW w:w="677" w:type="dxa"/>
            <w:tcBorders>
              <w:top w:val="single" w:color="000000" w:sz="4" w:space="0"/>
              <w:left w:val="single" w:color="auto" w:sz="4" w:space="0"/>
              <w:bottom w:val="single" w:color="000000" w:sz="4" w:space="0"/>
              <w:right w:val="single" w:color="auto" w:sz="8" w:space="0"/>
            </w:tcBorders>
            <w:noWrap w:val="0"/>
            <w:vAlign w:val="center"/>
          </w:tcPr>
          <w:p>
            <w:pPr>
              <w:jc w:val="center"/>
              <w:rPr>
                <w:color w:val="000000"/>
                <w:spacing w:val="-2"/>
              </w:rPr>
            </w:pPr>
          </w:p>
        </w:tc>
      </w:tr>
      <w:tr>
        <w:tblPrEx>
          <w:tblCellMar>
            <w:top w:w="0" w:type="dxa"/>
            <w:left w:w="0" w:type="dxa"/>
            <w:bottom w:w="0" w:type="dxa"/>
            <w:right w:w="0" w:type="dxa"/>
          </w:tblCellMar>
        </w:tblPrEx>
        <w:trPr>
          <w:trHeight w:val="518" w:hRule="exact"/>
          <w:jc w:val="center"/>
        </w:trPr>
        <w:tc>
          <w:tcPr>
            <w:tcW w:w="1440" w:type="dxa"/>
            <w:gridSpan w:val="4"/>
            <w:tcBorders>
              <w:top w:val="single" w:color="000000" w:sz="4" w:space="0"/>
              <w:left w:val="single" w:color="auto" w:sz="8" w:space="0"/>
              <w:bottom w:val="single" w:color="000000" w:sz="4" w:space="0"/>
              <w:right w:val="single" w:color="000000" w:sz="4" w:space="0"/>
            </w:tcBorders>
            <w:noWrap w:val="0"/>
            <w:vAlign w:val="center"/>
          </w:tcPr>
          <w:p>
            <w:pPr>
              <w:jc w:val="center"/>
              <w:rPr>
                <w:color w:val="000000"/>
                <w:spacing w:val="-2"/>
                <w:kern w:val="0"/>
                <w:sz w:val="18"/>
                <w:szCs w:val="18"/>
              </w:rPr>
            </w:pPr>
            <w:r>
              <w:rPr>
                <w:rFonts w:hint="eastAsia" w:hAnsi="Times New Roman" w:cs="宋体"/>
                <w:color w:val="000000"/>
                <w:spacing w:val="-2"/>
                <w:kern w:val="0"/>
                <w:sz w:val="18"/>
                <w:szCs w:val="18"/>
              </w:rPr>
              <w:t>综合人工工日</w:t>
            </w:r>
          </w:p>
        </w:tc>
        <w:tc>
          <w:tcPr>
            <w:tcW w:w="4201" w:type="dxa"/>
            <w:gridSpan w:val="10"/>
            <w:tcBorders>
              <w:top w:val="single" w:color="000000" w:sz="4" w:space="0"/>
              <w:left w:val="single" w:color="000000" w:sz="4" w:space="0"/>
              <w:bottom w:val="single" w:color="000000" w:sz="4" w:space="0"/>
              <w:right w:val="single" w:color="000000" w:sz="4" w:space="0"/>
            </w:tcBorders>
            <w:noWrap w:val="0"/>
            <w:vAlign w:val="center"/>
          </w:tcPr>
          <w:p>
            <w:pPr>
              <w:tabs>
                <w:tab w:val="left" w:pos="542"/>
              </w:tabs>
              <w:jc w:val="center"/>
              <w:rPr>
                <w:color w:val="000000"/>
                <w:spacing w:val="-2"/>
                <w:kern w:val="0"/>
                <w:sz w:val="18"/>
                <w:szCs w:val="18"/>
                <w:lang w:eastAsia="en-US"/>
              </w:rPr>
            </w:pPr>
            <w:r>
              <w:rPr>
                <w:rFonts w:hint="eastAsia" w:hAnsi="Times New Roman" w:cs="宋体"/>
                <w:color w:val="000000"/>
                <w:spacing w:val="-2"/>
                <w:kern w:val="0"/>
                <w:sz w:val="18"/>
                <w:szCs w:val="18"/>
                <w:lang w:eastAsia="en-US"/>
              </w:rPr>
              <w:t>小</w:t>
            </w:r>
            <w:r>
              <w:rPr>
                <w:color w:val="000000"/>
                <w:spacing w:val="-2"/>
                <w:kern w:val="0"/>
                <w:sz w:val="18"/>
                <w:szCs w:val="18"/>
                <w:lang w:eastAsia="en-US"/>
              </w:rPr>
              <w:tab/>
            </w:r>
            <w:r>
              <w:rPr>
                <w:rFonts w:hint="eastAsia" w:hAnsi="Times New Roman" w:cs="宋体"/>
                <w:color w:val="000000"/>
                <w:spacing w:val="-2"/>
                <w:kern w:val="0"/>
                <w:sz w:val="18"/>
                <w:szCs w:val="18"/>
                <w:lang w:eastAsia="en-US"/>
              </w:rPr>
              <w:t>计</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94"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88"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40" w:type="dxa"/>
            <w:gridSpan w:val="3"/>
            <w:tcBorders>
              <w:top w:val="single" w:color="000000" w:sz="4" w:space="0"/>
              <w:left w:val="single" w:color="000000" w:sz="4" w:space="0"/>
              <w:bottom w:val="single" w:color="000000" w:sz="4" w:space="0"/>
              <w:right w:val="single" w:color="auto" w:sz="4" w:space="0"/>
            </w:tcBorders>
            <w:noWrap w:val="0"/>
            <w:vAlign w:val="center"/>
          </w:tcPr>
          <w:p>
            <w:pPr>
              <w:jc w:val="center"/>
              <w:rPr>
                <w:color w:val="000000"/>
                <w:spacing w:val="-2"/>
              </w:rPr>
            </w:pPr>
          </w:p>
        </w:tc>
        <w:tc>
          <w:tcPr>
            <w:tcW w:w="677" w:type="dxa"/>
            <w:tcBorders>
              <w:top w:val="single" w:color="000000" w:sz="4" w:space="0"/>
              <w:left w:val="single" w:color="auto" w:sz="4" w:space="0"/>
              <w:bottom w:val="single" w:color="000000" w:sz="4" w:space="0"/>
              <w:right w:val="single" w:color="auto" w:sz="8" w:space="0"/>
            </w:tcBorders>
            <w:noWrap w:val="0"/>
            <w:vAlign w:val="center"/>
          </w:tcPr>
          <w:p>
            <w:pPr>
              <w:jc w:val="center"/>
              <w:rPr>
                <w:color w:val="000000"/>
                <w:spacing w:val="-2"/>
              </w:rPr>
            </w:pPr>
          </w:p>
        </w:tc>
      </w:tr>
      <w:tr>
        <w:tblPrEx>
          <w:tblCellMar>
            <w:top w:w="0" w:type="dxa"/>
            <w:left w:w="0" w:type="dxa"/>
            <w:bottom w:w="0" w:type="dxa"/>
            <w:right w:w="0" w:type="dxa"/>
          </w:tblCellMar>
        </w:tblPrEx>
        <w:trPr>
          <w:trHeight w:val="521" w:hRule="exact"/>
          <w:jc w:val="center"/>
        </w:trPr>
        <w:tc>
          <w:tcPr>
            <w:tcW w:w="1440" w:type="dxa"/>
            <w:gridSpan w:val="4"/>
            <w:tcBorders>
              <w:top w:val="single" w:color="000000" w:sz="4" w:space="0"/>
              <w:left w:val="single" w:color="auto" w:sz="8" w:space="0"/>
              <w:bottom w:val="single" w:color="000000" w:sz="4" w:space="0"/>
              <w:right w:val="single" w:color="000000" w:sz="4" w:space="0"/>
            </w:tcBorders>
            <w:noWrap w:val="0"/>
            <w:vAlign w:val="center"/>
          </w:tcPr>
          <w:p>
            <w:pPr>
              <w:jc w:val="right"/>
              <w:rPr>
                <w:color w:val="000000"/>
                <w:spacing w:val="-2"/>
                <w:kern w:val="0"/>
                <w:sz w:val="18"/>
                <w:szCs w:val="18"/>
                <w:lang w:eastAsia="en-US"/>
              </w:rPr>
            </w:pPr>
            <w:r>
              <w:rPr>
                <w:rFonts w:hint="eastAsia" w:hAnsi="Times New Roman" w:cs="宋体"/>
                <w:color w:val="000000"/>
                <w:spacing w:val="-2"/>
                <w:kern w:val="0"/>
                <w:sz w:val="18"/>
                <w:szCs w:val="18"/>
                <w:lang w:eastAsia="en-US"/>
              </w:rPr>
              <w:t>工日</w:t>
            </w:r>
          </w:p>
        </w:tc>
        <w:tc>
          <w:tcPr>
            <w:tcW w:w="4201" w:type="dxa"/>
            <w:gridSpan w:val="10"/>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kern w:val="0"/>
                <w:sz w:val="18"/>
                <w:szCs w:val="18"/>
                <w:lang w:eastAsia="en-US"/>
              </w:rPr>
            </w:pPr>
            <w:r>
              <w:rPr>
                <w:rFonts w:hint="eastAsia" w:hAnsi="Times New Roman" w:cs="宋体"/>
                <w:color w:val="000000"/>
                <w:spacing w:val="-2"/>
                <w:kern w:val="0"/>
                <w:sz w:val="18"/>
                <w:szCs w:val="18"/>
                <w:lang w:eastAsia="en-US"/>
              </w:rPr>
              <w:t>未计价材料费</w:t>
            </w:r>
          </w:p>
        </w:tc>
        <w:tc>
          <w:tcPr>
            <w:tcW w:w="3299" w:type="dxa"/>
            <w:gridSpan w:val="9"/>
            <w:tcBorders>
              <w:top w:val="single" w:color="000000" w:sz="4" w:space="0"/>
              <w:left w:val="single" w:color="000000" w:sz="4" w:space="0"/>
              <w:bottom w:val="single" w:color="000000" w:sz="4" w:space="0"/>
              <w:right w:val="single" w:color="auto" w:sz="8" w:space="0"/>
            </w:tcBorders>
            <w:noWrap w:val="0"/>
            <w:vAlign w:val="center"/>
          </w:tcPr>
          <w:p>
            <w:pPr>
              <w:jc w:val="center"/>
              <w:rPr>
                <w:color w:val="000000"/>
                <w:spacing w:val="-2"/>
              </w:rPr>
            </w:pPr>
          </w:p>
        </w:tc>
      </w:tr>
      <w:tr>
        <w:tblPrEx>
          <w:tblCellMar>
            <w:top w:w="0" w:type="dxa"/>
            <w:left w:w="0" w:type="dxa"/>
            <w:bottom w:w="0" w:type="dxa"/>
            <w:right w:w="0" w:type="dxa"/>
          </w:tblCellMar>
        </w:tblPrEx>
        <w:trPr>
          <w:trHeight w:val="521" w:hRule="exact"/>
          <w:jc w:val="center"/>
        </w:trPr>
        <w:tc>
          <w:tcPr>
            <w:tcW w:w="5641" w:type="dxa"/>
            <w:gridSpan w:val="14"/>
            <w:tcBorders>
              <w:top w:val="single" w:color="000000" w:sz="4" w:space="0"/>
              <w:left w:val="single" w:color="auto" w:sz="8" w:space="0"/>
              <w:bottom w:val="single" w:color="000000" w:sz="4" w:space="0"/>
              <w:right w:val="single" w:color="000000" w:sz="4" w:space="0"/>
            </w:tcBorders>
            <w:noWrap w:val="0"/>
            <w:vAlign w:val="center"/>
          </w:tcPr>
          <w:p>
            <w:pPr>
              <w:jc w:val="center"/>
              <w:rPr>
                <w:color w:val="000000"/>
                <w:spacing w:val="-2"/>
                <w:kern w:val="0"/>
                <w:sz w:val="18"/>
                <w:szCs w:val="18"/>
                <w:lang w:eastAsia="en-US"/>
              </w:rPr>
            </w:pPr>
            <w:r>
              <w:rPr>
                <w:rFonts w:hint="eastAsia" w:hAnsi="Times New Roman" w:cs="宋体"/>
                <w:color w:val="000000"/>
                <w:spacing w:val="-2"/>
                <w:kern w:val="0"/>
                <w:sz w:val="18"/>
                <w:szCs w:val="18"/>
                <w:lang w:eastAsia="en-US"/>
              </w:rPr>
              <w:t>清单项目综合单价</w:t>
            </w:r>
          </w:p>
        </w:tc>
        <w:tc>
          <w:tcPr>
            <w:tcW w:w="3299" w:type="dxa"/>
            <w:gridSpan w:val="9"/>
            <w:tcBorders>
              <w:top w:val="single" w:color="000000" w:sz="4" w:space="0"/>
              <w:left w:val="single" w:color="000000" w:sz="4" w:space="0"/>
              <w:bottom w:val="single" w:color="000000" w:sz="4" w:space="0"/>
              <w:right w:val="single" w:color="auto" w:sz="8" w:space="0"/>
            </w:tcBorders>
            <w:noWrap w:val="0"/>
            <w:vAlign w:val="center"/>
          </w:tcPr>
          <w:p>
            <w:pPr>
              <w:jc w:val="center"/>
              <w:rPr>
                <w:color w:val="000000"/>
                <w:spacing w:val="-2"/>
              </w:rPr>
            </w:pPr>
          </w:p>
        </w:tc>
      </w:tr>
      <w:tr>
        <w:tblPrEx>
          <w:tblCellMar>
            <w:top w:w="0" w:type="dxa"/>
            <w:left w:w="0" w:type="dxa"/>
            <w:bottom w:w="0" w:type="dxa"/>
            <w:right w:w="0" w:type="dxa"/>
          </w:tblCellMar>
        </w:tblPrEx>
        <w:trPr>
          <w:trHeight w:val="512" w:hRule="exact"/>
          <w:jc w:val="center"/>
        </w:trPr>
        <w:tc>
          <w:tcPr>
            <w:tcW w:w="720" w:type="dxa"/>
            <w:gridSpan w:val="2"/>
            <w:vMerge w:val="restart"/>
            <w:tcBorders>
              <w:top w:val="single" w:color="000000" w:sz="4" w:space="0"/>
              <w:left w:val="single" w:color="auto" w:sz="8" w:space="0"/>
              <w:bottom w:val="single" w:color="auto" w:sz="8" w:space="0"/>
              <w:right w:val="single" w:color="000000" w:sz="4" w:space="0"/>
            </w:tcBorders>
            <w:noWrap w:val="0"/>
            <w:vAlign w:val="center"/>
          </w:tcPr>
          <w:p>
            <w:pPr>
              <w:spacing w:line="360" w:lineRule="auto"/>
              <w:jc w:val="center"/>
              <w:rPr>
                <w:color w:val="000000"/>
                <w:spacing w:val="-2"/>
                <w:kern w:val="0"/>
                <w:sz w:val="18"/>
                <w:szCs w:val="18"/>
                <w:lang w:eastAsia="en-US"/>
              </w:rPr>
            </w:pPr>
            <w:r>
              <w:rPr>
                <w:rFonts w:hint="eastAsia" w:hAnsi="Times New Roman" w:cs="宋体"/>
                <w:color w:val="000000"/>
                <w:spacing w:val="-2"/>
                <w:kern w:val="0"/>
                <w:sz w:val="18"/>
                <w:szCs w:val="18"/>
                <w:lang w:eastAsia="en-US"/>
              </w:rPr>
              <w:t>材料费明细</w:t>
            </w:r>
          </w:p>
        </w:tc>
        <w:tc>
          <w:tcPr>
            <w:tcW w:w="3087"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kern w:val="0"/>
                <w:sz w:val="18"/>
                <w:szCs w:val="18"/>
              </w:rPr>
            </w:pPr>
            <w:r>
              <w:rPr>
                <w:rFonts w:hint="eastAsia" w:hAnsi="Times New Roman" w:cs="宋体"/>
                <w:color w:val="000000"/>
                <w:spacing w:val="-2"/>
                <w:kern w:val="0"/>
                <w:sz w:val="18"/>
                <w:szCs w:val="18"/>
              </w:rPr>
              <w:t>主要材料名称、规格、型号</w:t>
            </w:r>
          </w:p>
        </w:tc>
        <w:tc>
          <w:tcPr>
            <w:tcW w:w="630"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kern w:val="0"/>
                <w:sz w:val="18"/>
                <w:szCs w:val="18"/>
                <w:lang w:eastAsia="en-US"/>
              </w:rPr>
            </w:pPr>
            <w:r>
              <w:rPr>
                <w:rFonts w:hint="eastAsia" w:hAnsi="Times New Roman" w:cs="宋体"/>
                <w:color w:val="000000"/>
                <w:spacing w:val="-2"/>
                <w:kern w:val="0"/>
                <w:sz w:val="18"/>
                <w:szCs w:val="18"/>
                <w:lang w:eastAsia="en-US"/>
              </w:rPr>
              <w:t>单位</w:t>
            </w:r>
          </w:p>
        </w:tc>
        <w:tc>
          <w:tcPr>
            <w:tcW w:w="120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kern w:val="0"/>
                <w:sz w:val="18"/>
                <w:szCs w:val="18"/>
                <w:lang w:eastAsia="en-US"/>
              </w:rPr>
            </w:pPr>
            <w:r>
              <w:rPr>
                <w:rFonts w:hint="eastAsia" w:hAnsi="Times New Roman" w:cs="宋体"/>
                <w:color w:val="000000"/>
                <w:spacing w:val="-2"/>
                <w:kern w:val="0"/>
                <w:sz w:val="18"/>
                <w:szCs w:val="18"/>
                <w:lang w:eastAsia="en-US"/>
              </w:rPr>
              <w:t>数量</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spacing w:before="78"/>
              <w:jc w:val="center"/>
              <w:rPr>
                <w:color w:val="000000"/>
                <w:spacing w:val="-2"/>
                <w:kern w:val="0"/>
                <w:sz w:val="18"/>
                <w:szCs w:val="18"/>
                <w:lang w:eastAsia="en-US"/>
              </w:rPr>
            </w:pPr>
            <w:r>
              <w:rPr>
                <w:rFonts w:hint="eastAsia" w:hAnsi="Times New Roman" w:cs="宋体"/>
                <w:color w:val="000000"/>
                <w:spacing w:val="-2"/>
                <w:kern w:val="0"/>
                <w:sz w:val="18"/>
                <w:szCs w:val="18"/>
                <w:lang w:eastAsia="en-US"/>
              </w:rPr>
              <w:t>单价（元）</w:t>
            </w:r>
          </w:p>
        </w:tc>
        <w:tc>
          <w:tcPr>
            <w:tcW w:w="694" w:type="dxa"/>
            <w:gridSpan w:val="2"/>
            <w:tcBorders>
              <w:top w:val="single" w:color="000000" w:sz="4" w:space="0"/>
              <w:left w:val="single" w:color="000000" w:sz="4" w:space="0"/>
              <w:bottom w:val="single" w:color="000000" w:sz="4" w:space="0"/>
              <w:right w:val="single" w:color="000000" w:sz="4" w:space="0"/>
            </w:tcBorders>
            <w:noWrap w:val="0"/>
            <w:vAlign w:val="center"/>
          </w:tcPr>
          <w:p>
            <w:pPr>
              <w:spacing w:before="78"/>
              <w:jc w:val="center"/>
              <w:rPr>
                <w:color w:val="000000"/>
                <w:spacing w:val="-2"/>
                <w:kern w:val="0"/>
                <w:sz w:val="18"/>
                <w:szCs w:val="18"/>
                <w:lang w:eastAsia="en-US"/>
              </w:rPr>
            </w:pPr>
            <w:r>
              <w:rPr>
                <w:rFonts w:hint="eastAsia" w:hAnsi="Times New Roman" w:cs="宋体"/>
                <w:color w:val="000000"/>
                <w:spacing w:val="-2"/>
                <w:kern w:val="0"/>
                <w:sz w:val="18"/>
                <w:szCs w:val="18"/>
                <w:lang w:eastAsia="en-US"/>
              </w:rPr>
              <w:t>合价（元）</w:t>
            </w:r>
          </w:p>
        </w:tc>
        <w:tc>
          <w:tcPr>
            <w:tcW w:w="775" w:type="dxa"/>
            <w:gridSpan w:val="3"/>
            <w:tcBorders>
              <w:top w:val="single" w:color="000000" w:sz="4" w:space="0"/>
              <w:left w:val="single" w:color="000000" w:sz="4" w:space="0"/>
              <w:bottom w:val="single" w:color="000000" w:sz="4" w:space="0"/>
              <w:right w:val="single" w:color="000000" w:sz="4" w:space="0"/>
            </w:tcBorders>
            <w:noWrap w:val="0"/>
            <w:vAlign w:val="center"/>
          </w:tcPr>
          <w:p>
            <w:pPr>
              <w:spacing w:before="78"/>
              <w:jc w:val="center"/>
              <w:rPr>
                <w:color w:val="000000"/>
                <w:spacing w:val="-2"/>
                <w:kern w:val="0"/>
                <w:sz w:val="18"/>
                <w:szCs w:val="18"/>
                <w:lang w:eastAsia="en-US"/>
              </w:rPr>
            </w:pPr>
            <w:r>
              <w:rPr>
                <w:rFonts w:hint="eastAsia" w:hAnsi="Times New Roman" w:cs="宋体"/>
                <w:color w:val="000000"/>
                <w:spacing w:val="-2"/>
                <w:kern w:val="0"/>
                <w:sz w:val="18"/>
                <w:szCs w:val="18"/>
                <w:lang w:eastAsia="en-US"/>
              </w:rPr>
              <w:t>暂估单价</w:t>
            </w:r>
            <w:r>
              <w:rPr>
                <w:rFonts w:cs="宋体"/>
                <w:color w:val="000000"/>
                <w:spacing w:val="-2"/>
                <w:kern w:val="0"/>
                <w:sz w:val="18"/>
                <w:szCs w:val="18"/>
                <w:lang w:eastAsia="en-US"/>
              </w:rPr>
              <w:t>(</w:t>
            </w:r>
            <w:r>
              <w:rPr>
                <w:rFonts w:hint="eastAsia" w:hAnsi="Times New Roman" w:cs="宋体"/>
                <w:color w:val="000000"/>
                <w:spacing w:val="-2"/>
                <w:kern w:val="0"/>
                <w:sz w:val="18"/>
                <w:szCs w:val="18"/>
                <w:lang w:eastAsia="en-US"/>
              </w:rPr>
              <w:t>元</w:t>
            </w:r>
            <w:r>
              <w:rPr>
                <w:rFonts w:cs="宋体"/>
                <w:color w:val="000000"/>
                <w:spacing w:val="-2"/>
                <w:kern w:val="0"/>
                <w:sz w:val="18"/>
                <w:szCs w:val="18"/>
                <w:lang w:eastAsia="en-US"/>
              </w:rPr>
              <w:t>)</w:t>
            </w:r>
          </w:p>
        </w:tc>
        <w:tc>
          <w:tcPr>
            <w:tcW w:w="1230" w:type="dxa"/>
            <w:gridSpan w:val="3"/>
            <w:tcBorders>
              <w:top w:val="single" w:color="000000" w:sz="4" w:space="0"/>
              <w:left w:val="single" w:color="000000" w:sz="4" w:space="0"/>
              <w:bottom w:val="single" w:color="000000" w:sz="4" w:space="0"/>
              <w:right w:val="single" w:color="auto" w:sz="8" w:space="0"/>
            </w:tcBorders>
            <w:noWrap w:val="0"/>
            <w:vAlign w:val="center"/>
          </w:tcPr>
          <w:p>
            <w:pPr>
              <w:spacing w:before="78"/>
              <w:jc w:val="center"/>
              <w:rPr>
                <w:color w:val="000000"/>
                <w:spacing w:val="-2"/>
                <w:kern w:val="0"/>
                <w:sz w:val="18"/>
                <w:szCs w:val="18"/>
                <w:lang w:eastAsia="en-US"/>
              </w:rPr>
            </w:pPr>
            <w:r>
              <w:rPr>
                <w:rFonts w:hint="eastAsia" w:hAnsi="Times New Roman" w:cs="宋体"/>
                <w:color w:val="000000"/>
                <w:spacing w:val="-2"/>
                <w:kern w:val="0"/>
                <w:sz w:val="18"/>
                <w:szCs w:val="18"/>
                <w:lang w:eastAsia="en-US"/>
              </w:rPr>
              <w:t>暂估合价（元）</w:t>
            </w:r>
          </w:p>
        </w:tc>
      </w:tr>
      <w:tr>
        <w:tblPrEx>
          <w:tblCellMar>
            <w:top w:w="0" w:type="dxa"/>
            <w:left w:w="0" w:type="dxa"/>
            <w:bottom w:w="0" w:type="dxa"/>
            <w:right w:w="0" w:type="dxa"/>
          </w:tblCellMar>
        </w:tblPrEx>
        <w:trPr>
          <w:trHeight w:val="521" w:hRule="exact"/>
          <w:jc w:val="center"/>
        </w:trPr>
        <w:tc>
          <w:tcPr>
            <w:tcW w:w="720" w:type="dxa"/>
            <w:gridSpan w:val="2"/>
            <w:vMerge w:val="continue"/>
            <w:tcBorders>
              <w:top w:val="single" w:color="000000" w:sz="4" w:space="0"/>
              <w:left w:val="single" w:color="auto" w:sz="8" w:space="0"/>
              <w:bottom w:val="single" w:color="auto" w:sz="8" w:space="0"/>
              <w:right w:val="single" w:color="000000" w:sz="4" w:space="0"/>
            </w:tcBorders>
            <w:noWrap w:val="0"/>
            <w:vAlign w:val="center"/>
          </w:tcPr>
          <w:p>
            <w:pPr>
              <w:widowControl/>
              <w:jc w:val="left"/>
              <w:rPr>
                <w:color w:val="000000"/>
                <w:spacing w:val="-2"/>
                <w:kern w:val="0"/>
                <w:sz w:val="18"/>
                <w:szCs w:val="18"/>
                <w:lang w:eastAsia="en-US"/>
              </w:rPr>
            </w:pPr>
          </w:p>
        </w:tc>
        <w:tc>
          <w:tcPr>
            <w:tcW w:w="3087"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30"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120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94"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775"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1230" w:type="dxa"/>
            <w:gridSpan w:val="3"/>
            <w:tcBorders>
              <w:top w:val="single" w:color="000000" w:sz="4" w:space="0"/>
              <w:left w:val="single" w:color="000000" w:sz="4" w:space="0"/>
              <w:bottom w:val="single" w:color="000000" w:sz="4" w:space="0"/>
              <w:right w:val="single" w:color="auto" w:sz="8" w:space="0"/>
            </w:tcBorders>
            <w:noWrap w:val="0"/>
            <w:vAlign w:val="center"/>
          </w:tcPr>
          <w:p>
            <w:pPr>
              <w:jc w:val="center"/>
              <w:rPr>
                <w:color w:val="000000"/>
                <w:spacing w:val="-2"/>
              </w:rPr>
            </w:pPr>
          </w:p>
        </w:tc>
      </w:tr>
      <w:tr>
        <w:tblPrEx>
          <w:tblCellMar>
            <w:top w:w="0" w:type="dxa"/>
            <w:left w:w="0" w:type="dxa"/>
            <w:bottom w:w="0" w:type="dxa"/>
            <w:right w:w="0" w:type="dxa"/>
          </w:tblCellMar>
        </w:tblPrEx>
        <w:trPr>
          <w:trHeight w:val="521" w:hRule="exact"/>
          <w:jc w:val="center"/>
        </w:trPr>
        <w:tc>
          <w:tcPr>
            <w:tcW w:w="720" w:type="dxa"/>
            <w:gridSpan w:val="2"/>
            <w:vMerge w:val="continue"/>
            <w:tcBorders>
              <w:top w:val="single" w:color="000000" w:sz="4" w:space="0"/>
              <w:left w:val="single" w:color="auto" w:sz="8" w:space="0"/>
              <w:bottom w:val="single" w:color="auto" w:sz="8" w:space="0"/>
              <w:right w:val="single" w:color="000000" w:sz="4" w:space="0"/>
            </w:tcBorders>
            <w:noWrap w:val="0"/>
            <w:vAlign w:val="center"/>
          </w:tcPr>
          <w:p>
            <w:pPr>
              <w:widowControl/>
              <w:jc w:val="left"/>
              <w:rPr>
                <w:color w:val="000000"/>
                <w:spacing w:val="-2"/>
                <w:kern w:val="0"/>
                <w:sz w:val="18"/>
                <w:szCs w:val="18"/>
                <w:lang w:eastAsia="en-US"/>
              </w:rPr>
            </w:pPr>
          </w:p>
        </w:tc>
        <w:tc>
          <w:tcPr>
            <w:tcW w:w="3087"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30"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120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94"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775"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1230" w:type="dxa"/>
            <w:gridSpan w:val="3"/>
            <w:tcBorders>
              <w:top w:val="single" w:color="000000" w:sz="4" w:space="0"/>
              <w:left w:val="single" w:color="000000" w:sz="4" w:space="0"/>
              <w:bottom w:val="single" w:color="000000" w:sz="4" w:space="0"/>
              <w:right w:val="single" w:color="auto" w:sz="8" w:space="0"/>
            </w:tcBorders>
            <w:noWrap w:val="0"/>
            <w:vAlign w:val="center"/>
          </w:tcPr>
          <w:p>
            <w:pPr>
              <w:jc w:val="center"/>
              <w:rPr>
                <w:color w:val="000000"/>
                <w:spacing w:val="-2"/>
              </w:rPr>
            </w:pPr>
          </w:p>
        </w:tc>
      </w:tr>
      <w:tr>
        <w:tblPrEx>
          <w:tblCellMar>
            <w:top w:w="0" w:type="dxa"/>
            <w:left w:w="0" w:type="dxa"/>
            <w:bottom w:w="0" w:type="dxa"/>
            <w:right w:w="0" w:type="dxa"/>
          </w:tblCellMar>
        </w:tblPrEx>
        <w:trPr>
          <w:trHeight w:val="518" w:hRule="exact"/>
          <w:jc w:val="center"/>
        </w:trPr>
        <w:tc>
          <w:tcPr>
            <w:tcW w:w="720" w:type="dxa"/>
            <w:gridSpan w:val="2"/>
            <w:vMerge w:val="continue"/>
            <w:tcBorders>
              <w:top w:val="single" w:color="000000" w:sz="4" w:space="0"/>
              <w:left w:val="single" w:color="auto" w:sz="8" w:space="0"/>
              <w:bottom w:val="single" w:color="auto" w:sz="8" w:space="0"/>
              <w:right w:val="single" w:color="000000" w:sz="4" w:space="0"/>
            </w:tcBorders>
            <w:noWrap w:val="0"/>
            <w:vAlign w:val="center"/>
          </w:tcPr>
          <w:p>
            <w:pPr>
              <w:widowControl/>
              <w:jc w:val="left"/>
              <w:rPr>
                <w:color w:val="000000"/>
                <w:spacing w:val="-2"/>
                <w:kern w:val="0"/>
                <w:sz w:val="18"/>
                <w:szCs w:val="18"/>
                <w:lang w:eastAsia="en-US"/>
              </w:rPr>
            </w:pPr>
          </w:p>
        </w:tc>
        <w:tc>
          <w:tcPr>
            <w:tcW w:w="3087"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30"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120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94"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775"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1230" w:type="dxa"/>
            <w:gridSpan w:val="3"/>
            <w:tcBorders>
              <w:top w:val="single" w:color="000000" w:sz="4" w:space="0"/>
              <w:left w:val="single" w:color="000000" w:sz="4" w:space="0"/>
              <w:bottom w:val="single" w:color="000000" w:sz="4" w:space="0"/>
              <w:right w:val="single" w:color="auto" w:sz="8" w:space="0"/>
            </w:tcBorders>
            <w:noWrap w:val="0"/>
            <w:vAlign w:val="center"/>
          </w:tcPr>
          <w:p>
            <w:pPr>
              <w:jc w:val="center"/>
              <w:rPr>
                <w:color w:val="000000"/>
                <w:spacing w:val="-2"/>
              </w:rPr>
            </w:pPr>
          </w:p>
        </w:tc>
      </w:tr>
      <w:tr>
        <w:tblPrEx>
          <w:tblCellMar>
            <w:top w:w="0" w:type="dxa"/>
            <w:left w:w="0" w:type="dxa"/>
            <w:bottom w:w="0" w:type="dxa"/>
            <w:right w:w="0" w:type="dxa"/>
          </w:tblCellMar>
        </w:tblPrEx>
        <w:trPr>
          <w:trHeight w:val="521" w:hRule="exact"/>
          <w:jc w:val="center"/>
        </w:trPr>
        <w:tc>
          <w:tcPr>
            <w:tcW w:w="720" w:type="dxa"/>
            <w:gridSpan w:val="2"/>
            <w:vMerge w:val="continue"/>
            <w:tcBorders>
              <w:top w:val="single" w:color="000000" w:sz="4" w:space="0"/>
              <w:left w:val="single" w:color="auto" w:sz="8" w:space="0"/>
              <w:bottom w:val="single" w:color="auto" w:sz="8" w:space="0"/>
              <w:right w:val="single" w:color="000000" w:sz="4" w:space="0"/>
            </w:tcBorders>
            <w:noWrap w:val="0"/>
            <w:vAlign w:val="center"/>
          </w:tcPr>
          <w:p>
            <w:pPr>
              <w:widowControl/>
              <w:jc w:val="left"/>
              <w:rPr>
                <w:color w:val="000000"/>
                <w:spacing w:val="-2"/>
                <w:kern w:val="0"/>
                <w:sz w:val="18"/>
                <w:szCs w:val="18"/>
                <w:lang w:eastAsia="en-US"/>
              </w:rPr>
            </w:pPr>
          </w:p>
        </w:tc>
        <w:tc>
          <w:tcPr>
            <w:tcW w:w="3087"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30"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120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94"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775"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1230" w:type="dxa"/>
            <w:gridSpan w:val="3"/>
            <w:tcBorders>
              <w:top w:val="single" w:color="000000" w:sz="4" w:space="0"/>
              <w:left w:val="single" w:color="000000" w:sz="4" w:space="0"/>
              <w:bottom w:val="single" w:color="000000" w:sz="4" w:space="0"/>
              <w:right w:val="single" w:color="auto" w:sz="8" w:space="0"/>
            </w:tcBorders>
            <w:noWrap w:val="0"/>
            <w:vAlign w:val="center"/>
          </w:tcPr>
          <w:p>
            <w:pPr>
              <w:jc w:val="center"/>
              <w:rPr>
                <w:color w:val="000000"/>
                <w:spacing w:val="-2"/>
              </w:rPr>
            </w:pPr>
          </w:p>
        </w:tc>
      </w:tr>
      <w:tr>
        <w:tblPrEx>
          <w:tblCellMar>
            <w:top w:w="0" w:type="dxa"/>
            <w:left w:w="0" w:type="dxa"/>
            <w:bottom w:w="0" w:type="dxa"/>
            <w:right w:w="0" w:type="dxa"/>
          </w:tblCellMar>
        </w:tblPrEx>
        <w:trPr>
          <w:trHeight w:val="518" w:hRule="exact"/>
          <w:jc w:val="center"/>
        </w:trPr>
        <w:tc>
          <w:tcPr>
            <w:tcW w:w="720" w:type="dxa"/>
            <w:gridSpan w:val="2"/>
            <w:vMerge w:val="continue"/>
            <w:tcBorders>
              <w:top w:val="single" w:color="000000" w:sz="4" w:space="0"/>
              <w:left w:val="single" w:color="auto" w:sz="8" w:space="0"/>
              <w:bottom w:val="single" w:color="auto" w:sz="8" w:space="0"/>
              <w:right w:val="single" w:color="000000" w:sz="4" w:space="0"/>
            </w:tcBorders>
            <w:noWrap w:val="0"/>
            <w:vAlign w:val="center"/>
          </w:tcPr>
          <w:p>
            <w:pPr>
              <w:widowControl/>
              <w:jc w:val="left"/>
              <w:rPr>
                <w:color w:val="000000"/>
                <w:spacing w:val="-2"/>
                <w:kern w:val="0"/>
                <w:sz w:val="18"/>
                <w:szCs w:val="18"/>
                <w:lang w:eastAsia="en-US"/>
              </w:rPr>
            </w:pPr>
          </w:p>
        </w:tc>
        <w:tc>
          <w:tcPr>
            <w:tcW w:w="3087"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30"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120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694"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775"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1230" w:type="dxa"/>
            <w:gridSpan w:val="3"/>
            <w:tcBorders>
              <w:top w:val="single" w:color="000000" w:sz="4" w:space="0"/>
              <w:left w:val="single" w:color="000000" w:sz="4" w:space="0"/>
              <w:bottom w:val="single" w:color="000000" w:sz="4" w:space="0"/>
              <w:right w:val="single" w:color="auto" w:sz="8" w:space="0"/>
            </w:tcBorders>
            <w:noWrap w:val="0"/>
            <w:vAlign w:val="center"/>
          </w:tcPr>
          <w:p>
            <w:pPr>
              <w:jc w:val="center"/>
              <w:rPr>
                <w:color w:val="000000"/>
                <w:spacing w:val="-2"/>
              </w:rPr>
            </w:pPr>
          </w:p>
        </w:tc>
      </w:tr>
      <w:tr>
        <w:tblPrEx>
          <w:tblCellMar>
            <w:top w:w="0" w:type="dxa"/>
            <w:left w:w="0" w:type="dxa"/>
            <w:bottom w:w="0" w:type="dxa"/>
            <w:right w:w="0" w:type="dxa"/>
          </w:tblCellMar>
        </w:tblPrEx>
        <w:trPr>
          <w:trHeight w:val="521" w:hRule="exact"/>
          <w:jc w:val="center"/>
        </w:trPr>
        <w:tc>
          <w:tcPr>
            <w:tcW w:w="720" w:type="dxa"/>
            <w:gridSpan w:val="2"/>
            <w:vMerge w:val="continue"/>
            <w:tcBorders>
              <w:top w:val="single" w:color="000000" w:sz="4" w:space="0"/>
              <w:left w:val="single" w:color="auto" w:sz="8" w:space="0"/>
              <w:bottom w:val="single" w:color="auto" w:sz="8" w:space="0"/>
              <w:right w:val="single" w:color="000000" w:sz="4" w:space="0"/>
            </w:tcBorders>
            <w:noWrap w:val="0"/>
            <w:vAlign w:val="center"/>
          </w:tcPr>
          <w:p>
            <w:pPr>
              <w:widowControl/>
              <w:jc w:val="left"/>
              <w:rPr>
                <w:color w:val="000000"/>
                <w:spacing w:val="-2"/>
                <w:kern w:val="0"/>
                <w:sz w:val="18"/>
                <w:szCs w:val="18"/>
                <w:lang w:eastAsia="en-US"/>
              </w:rPr>
            </w:pPr>
          </w:p>
        </w:tc>
        <w:tc>
          <w:tcPr>
            <w:tcW w:w="4921" w:type="dxa"/>
            <w:gridSpan w:val="12"/>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kern w:val="0"/>
                <w:sz w:val="18"/>
                <w:szCs w:val="18"/>
                <w:lang w:eastAsia="en-US"/>
              </w:rPr>
            </w:pPr>
            <w:r>
              <w:rPr>
                <w:rFonts w:hint="eastAsia" w:hAnsi="Times New Roman" w:cs="宋体"/>
                <w:color w:val="000000"/>
                <w:spacing w:val="-2"/>
                <w:kern w:val="0"/>
                <w:sz w:val="18"/>
                <w:szCs w:val="18"/>
                <w:lang w:eastAsia="en-US"/>
              </w:rPr>
              <w:t>其他材料费</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cs="宋体"/>
                <w:color w:val="000000"/>
                <w:spacing w:val="-2"/>
                <w:kern w:val="0"/>
                <w:sz w:val="18"/>
                <w:szCs w:val="18"/>
              </w:rPr>
            </w:pPr>
            <w:r>
              <w:rPr>
                <w:rFonts w:hint="eastAsia" w:cs="宋体"/>
                <w:color w:val="000000"/>
                <w:spacing w:val="-2"/>
                <w:kern w:val="0"/>
                <w:sz w:val="18"/>
                <w:szCs w:val="18"/>
              </w:rPr>
              <w:t>—</w:t>
            </w:r>
          </w:p>
        </w:tc>
        <w:tc>
          <w:tcPr>
            <w:tcW w:w="694"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rPr>
            </w:pPr>
          </w:p>
        </w:tc>
        <w:tc>
          <w:tcPr>
            <w:tcW w:w="775"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cs="宋体"/>
                <w:color w:val="000000"/>
                <w:spacing w:val="-2"/>
                <w:kern w:val="0"/>
                <w:sz w:val="18"/>
                <w:szCs w:val="18"/>
              </w:rPr>
            </w:pPr>
            <w:r>
              <w:rPr>
                <w:rFonts w:hint="eastAsia" w:cs="宋体"/>
                <w:color w:val="000000"/>
                <w:spacing w:val="-2"/>
                <w:kern w:val="0"/>
                <w:sz w:val="18"/>
                <w:szCs w:val="18"/>
              </w:rPr>
              <w:t>—</w:t>
            </w:r>
          </w:p>
        </w:tc>
        <w:tc>
          <w:tcPr>
            <w:tcW w:w="1230" w:type="dxa"/>
            <w:gridSpan w:val="3"/>
            <w:tcBorders>
              <w:top w:val="single" w:color="000000" w:sz="4" w:space="0"/>
              <w:left w:val="single" w:color="000000" w:sz="4" w:space="0"/>
              <w:bottom w:val="single" w:color="000000" w:sz="4" w:space="0"/>
              <w:right w:val="single" w:color="auto" w:sz="8" w:space="0"/>
            </w:tcBorders>
            <w:noWrap w:val="0"/>
            <w:vAlign w:val="center"/>
          </w:tcPr>
          <w:p>
            <w:pPr>
              <w:jc w:val="center"/>
              <w:rPr>
                <w:color w:val="000000"/>
                <w:spacing w:val="-2"/>
              </w:rPr>
            </w:pPr>
          </w:p>
        </w:tc>
      </w:tr>
      <w:tr>
        <w:tblPrEx>
          <w:tblCellMar>
            <w:top w:w="0" w:type="dxa"/>
            <w:left w:w="0" w:type="dxa"/>
            <w:bottom w:w="0" w:type="dxa"/>
            <w:right w:w="0" w:type="dxa"/>
          </w:tblCellMar>
        </w:tblPrEx>
        <w:trPr>
          <w:trHeight w:val="521" w:hRule="exact"/>
          <w:jc w:val="center"/>
        </w:trPr>
        <w:tc>
          <w:tcPr>
            <w:tcW w:w="720" w:type="dxa"/>
            <w:gridSpan w:val="2"/>
            <w:vMerge w:val="continue"/>
            <w:tcBorders>
              <w:top w:val="single" w:color="000000" w:sz="4" w:space="0"/>
              <w:left w:val="single" w:color="auto" w:sz="8" w:space="0"/>
              <w:bottom w:val="single" w:color="auto" w:sz="8" w:space="0"/>
              <w:right w:val="single" w:color="000000" w:sz="4" w:space="0"/>
            </w:tcBorders>
            <w:noWrap w:val="0"/>
            <w:vAlign w:val="center"/>
          </w:tcPr>
          <w:p>
            <w:pPr>
              <w:widowControl/>
              <w:jc w:val="left"/>
              <w:rPr>
                <w:color w:val="000000"/>
                <w:spacing w:val="-2"/>
                <w:kern w:val="0"/>
                <w:sz w:val="18"/>
                <w:szCs w:val="18"/>
                <w:lang w:eastAsia="en-US"/>
              </w:rPr>
            </w:pPr>
          </w:p>
        </w:tc>
        <w:tc>
          <w:tcPr>
            <w:tcW w:w="4921" w:type="dxa"/>
            <w:gridSpan w:val="12"/>
            <w:tcBorders>
              <w:top w:val="single" w:color="000000" w:sz="4" w:space="0"/>
              <w:left w:val="single" w:color="000000" w:sz="4" w:space="0"/>
              <w:bottom w:val="single" w:color="auto" w:sz="8" w:space="0"/>
              <w:right w:val="single" w:color="000000" w:sz="4" w:space="0"/>
            </w:tcBorders>
            <w:noWrap w:val="0"/>
            <w:vAlign w:val="center"/>
          </w:tcPr>
          <w:p>
            <w:pPr>
              <w:jc w:val="center"/>
              <w:rPr>
                <w:color w:val="000000"/>
                <w:spacing w:val="-2"/>
                <w:kern w:val="0"/>
                <w:sz w:val="18"/>
                <w:szCs w:val="18"/>
                <w:lang w:eastAsia="en-US"/>
              </w:rPr>
            </w:pPr>
            <w:r>
              <w:rPr>
                <w:rFonts w:hint="eastAsia" w:hAnsi="Times New Roman" w:cs="宋体"/>
                <w:color w:val="000000"/>
                <w:spacing w:val="-2"/>
                <w:kern w:val="0"/>
                <w:sz w:val="18"/>
                <w:szCs w:val="18"/>
                <w:lang w:eastAsia="en-US"/>
              </w:rPr>
              <w:t>材料费小计</w:t>
            </w:r>
          </w:p>
        </w:tc>
        <w:tc>
          <w:tcPr>
            <w:tcW w:w="600" w:type="dxa"/>
            <w:tcBorders>
              <w:top w:val="single" w:color="000000" w:sz="4" w:space="0"/>
              <w:left w:val="single" w:color="000000" w:sz="4" w:space="0"/>
              <w:bottom w:val="single" w:color="auto" w:sz="8" w:space="0"/>
              <w:right w:val="single" w:color="000000" w:sz="4" w:space="0"/>
            </w:tcBorders>
            <w:noWrap w:val="0"/>
            <w:vAlign w:val="center"/>
          </w:tcPr>
          <w:p>
            <w:pPr>
              <w:jc w:val="center"/>
              <w:rPr>
                <w:rFonts w:cs="宋体"/>
                <w:color w:val="000000"/>
                <w:spacing w:val="-2"/>
                <w:kern w:val="0"/>
                <w:sz w:val="18"/>
                <w:szCs w:val="18"/>
              </w:rPr>
            </w:pPr>
            <w:r>
              <w:rPr>
                <w:rFonts w:hint="eastAsia" w:cs="宋体"/>
                <w:color w:val="000000"/>
                <w:spacing w:val="-2"/>
                <w:kern w:val="0"/>
                <w:sz w:val="18"/>
                <w:szCs w:val="18"/>
              </w:rPr>
              <w:t>—</w:t>
            </w:r>
          </w:p>
        </w:tc>
        <w:tc>
          <w:tcPr>
            <w:tcW w:w="694" w:type="dxa"/>
            <w:gridSpan w:val="2"/>
            <w:tcBorders>
              <w:top w:val="single" w:color="000000" w:sz="4" w:space="0"/>
              <w:left w:val="single" w:color="000000" w:sz="4" w:space="0"/>
              <w:bottom w:val="single" w:color="auto" w:sz="8" w:space="0"/>
              <w:right w:val="single" w:color="000000" w:sz="4" w:space="0"/>
            </w:tcBorders>
            <w:noWrap w:val="0"/>
            <w:vAlign w:val="center"/>
          </w:tcPr>
          <w:p>
            <w:pPr>
              <w:jc w:val="center"/>
              <w:rPr>
                <w:color w:val="000000"/>
                <w:spacing w:val="-2"/>
              </w:rPr>
            </w:pPr>
          </w:p>
        </w:tc>
        <w:tc>
          <w:tcPr>
            <w:tcW w:w="775" w:type="dxa"/>
            <w:gridSpan w:val="3"/>
            <w:tcBorders>
              <w:top w:val="single" w:color="000000" w:sz="4" w:space="0"/>
              <w:left w:val="single" w:color="000000" w:sz="4" w:space="0"/>
              <w:bottom w:val="single" w:color="auto" w:sz="8" w:space="0"/>
              <w:right w:val="single" w:color="000000" w:sz="4" w:space="0"/>
            </w:tcBorders>
            <w:noWrap w:val="0"/>
            <w:vAlign w:val="center"/>
          </w:tcPr>
          <w:p>
            <w:pPr>
              <w:jc w:val="center"/>
              <w:rPr>
                <w:rFonts w:cs="宋体"/>
                <w:color w:val="000000"/>
                <w:spacing w:val="-2"/>
                <w:kern w:val="0"/>
                <w:sz w:val="18"/>
                <w:szCs w:val="18"/>
              </w:rPr>
            </w:pPr>
            <w:r>
              <w:rPr>
                <w:rFonts w:hint="eastAsia" w:cs="宋体"/>
                <w:color w:val="000000"/>
                <w:spacing w:val="-2"/>
                <w:kern w:val="0"/>
                <w:sz w:val="18"/>
                <w:szCs w:val="18"/>
              </w:rPr>
              <w:t>—</w:t>
            </w:r>
          </w:p>
        </w:tc>
        <w:tc>
          <w:tcPr>
            <w:tcW w:w="1230" w:type="dxa"/>
            <w:gridSpan w:val="3"/>
            <w:tcBorders>
              <w:top w:val="single" w:color="000000" w:sz="4" w:space="0"/>
              <w:left w:val="single" w:color="000000" w:sz="4" w:space="0"/>
              <w:bottom w:val="single" w:color="auto" w:sz="8" w:space="0"/>
              <w:right w:val="single" w:color="auto" w:sz="8" w:space="0"/>
            </w:tcBorders>
            <w:noWrap w:val="0"/>
            <w:vAlign w:val="center"/>
          </w:tcPr>
          <w:p>
            <w:pPr>
              <w:jc w:val="center"/>
              <w:rPr>
                <w:color w:val="000000"/>
                <w:spacing w:val="-2"/>
              </w:rPr>
            </w:pPr>
          </w:p>
        </w:tc>
      </w:tr>
    </w:tbl>
    <w:p>
      <w:pPr>
        <w:spacing w:line="243" w:lineRule="exact"/>
        <w:rPr>
          <w:color w:val="000000"/>
          <w:spacing w:val="-2"/>
          <w:sz w:val="18"/>
          <w:szCs w:val="18"/>
        </w:rPr>
      </w:pPr>
      <w:r>
        <w:rPr>
          <w:rFonts w:hint="eastAsia" w:hAnsi="Times New Roman" w:cs="宋体"/>
          <w:color w:val="000000"/>
          <w:spacing w:val="-2"/>
          <w:sz w:val="18"/>
          <w:szCs w:val="18"/>
        </w:rPr>
        <w:t>注：</w:t>
      </w:r>
      <w:r>
        <w:rPr>
          <w:rFonts w:cs="宋体"/>
          <w:color w:val="000000"/>
          <w:spacing w:val="-2"/>
          <w:sz w:val="18"/>
          <w:szCs w:val="18"/>
        </w:rPr>
        <w:t>1</w:t>
      </w:r>
      <w:r>
        <w:rPr>
          <w:rFonts w:hint="eastAsia" w:hAnsi="Times New Roman" w:cs="宋体"/>
          <w:color w:val="000000"/>
          <w:spacing w:val="-2"/>
          <w:sz w:val="18"/>
          <w:szCs w:val="18"/>
        </w:rPr>
        <w:t>如不使用省级或行业建设主管部门发布的计价依据，可不填定额编号、名称等。</w:t>
      </w:r>
    </w:p>
    <w:p>
      <w:pPr>
        <w:spacing w:before="46"/>
        <w:ind w:firstLine="336" w:firstLineChars="195"/>
        <w:rPr>
          <w:rFonts w:hAnsi="Times New Roman" w:cs="宋体"/>
          <w:color w:val="000000"/>
          <w:spacing w:val="-2"/>
          <w:sz w:val="18"/>
          <w:szCs w:val="18"/>
        </w:rPr>
      </w:pPr>
      <w:r>
        <w:rPr>
          <w:rFonts w:cs="宋体"/>
          <w:color w:val="000000"/>
          <w:spacing w:val="-2"/>
          <w:sz w:val="18"/>
          <w:szCs w:val="18"/>
        </w:rPr>
        <w:t>2</w:t>
      </w:r>
      <w:r>
        <w:rPr>
          <w:rFonts w:hint="eastAsia" w:hAnsi="Times New Roman" w:cs="宋体"/>
          <w:color w:val="000000"/>
          <w:spacing w:val="-2"/>
          <w:sz w:val="18"/>
          <w:szCs w:val="18"/>
        </w:rPr>
        <w:t>招标文件提供了暂估单价的材料，按暂估的单价填入表内</w:t>
      </w:r>
      <w:r>
        <w:rPr>
          <w:rFonts w:hint="eastAsia" w:cs="宋体"/>
          <w:color w:val="000000"/>
          <w:spacing w:val="-2"/>
          <w:sz w:val="18"/>
          <w:szCs w:val="18"/>
        </w:rPr>
        <w:t>“</w:t>
      </w:r>
      <w:r>
        <w:rPr>
          <w:rFonts w:hint="eastAsia" w:hAnsi="Times New Roman" w:cs="宋体"/>
          <w:color w:val="000000"/>
          <w:spacing w:val="-2"/>
          <w:sz w:val="18"/>
          <w:szCs w:val="18"/>
        </w:rPr>
        <w:t>暂估单价</w:t>
      </w:r>
      <w:r>
        <w:rPr>
          <w:rFonts w:hint="eastAsia" w:cs="宋体"/>
          <w:color w:val="000000"/>
          <w:spacing w:val="-2"/>
          <w:sz w:val="18"/>
          <w:szCs w:val="18"/>
        </w:rPr>
        <w:t>”</w:t>
      </w:r>
      <w:r>
        <w:rPr>
          <w:rFonts w:hint="eastAsia" w:hAnsi="Times New Roman" w:cs="宋体"/>
          <w:color w:val="000000"/>
          <w:spacing w:val="-2"/>
          <w:sz w:val="18"/>
          <w:szCs w:val="18"/>
        </w:rPr>
        <w:t>栏及</w:t>
      </w:r>
      <w:r>
        <w:rPr>
          <w:rFonts w:hint="eastAsia" w:cs="宋体"/>
          <w:color w:val="000000"/>
          <w:spacing w:val="-2"/>
          <w:sz w:val="18"/>
          <w:szCs w:val="18"/>
        </w:rPr>
        <w:t>“</w:t>
      </w:r>
      <w:r>
        <w:rPr>
          <w:rFonts w:hint="eastAsia" w:hAnsi="Times New Roman" w:cs="宋体"/>
          <w:color w:val="000000"/>
          <w:spacing w:val="-2"/>
          <w:sz w:val="18"/>
          <w:szCs w:val="18"/>
        </w:rPr>
        <w:t>暂估合价</w:t>
      </w:r>
      <w:r>
        <w:rPr>
          <w:rFonts w:hint="eastAsia" w:cs="宋体"/>
          <w:color w:val="000000"/>
          <w:spacing w:val="-2"/>
          <w:sz w:val="18"/>
          <w:szCs w:val="18"/>
        </w:rPr>
        <w:t>”</w:t>
      </w:r>
      <w:r>
        <w:rPr>
          <w:rFonts w:hint="eastAsia" w:hAnsi="Times New Roman" w:cs="宋体"/>
          <w:color w:val="000000"/>
          <w:spacing w:val="-2"/>
          <w:sz w:val="18"/>
          <w:szCs w:val="18"/>
        </w:rPr>
        <w:t>栏。</w:t>
      </w:r>
    </w:p>
    <w:p>
      <w:pPr>
        <w:spacing w:before="46"/>
        <w:ind w:firstLine="336" w:firstLineChars="195"/>
        <w:jc w:val="right"/>
        <w:rPr>
          <w:color w:val="000000"/>
          <w:spacing w:val="-2"/>
          <w:sz w:val="18"/>
          <w:szCs w:val="18"/>
        </w:rPr>
      </w:pPr>
      <w:r>
        <w:rPr>
          <w:rFonts w:hint="eastAsia" w:hAnsi="Times New Roman" w:cs="宋体"/>
          <w:color w:val="000000"/>
          <w:spacing w:val="-2"/>
          <w:sz w:val="18"/>
          <w:szCs w:val="18"/>
        </w:rPr>
        <w:t>表</w:t>
      </w:r>
      <w:r>
        <w:rPr>
          <w:rFonts w:cs="宋体"/>
          <w:color w:val="000000"/>
          <w:spacing w:val="-2"/>
          <w:sz w:val="18"/>
          <w:szCs w:val="18"/>
        </w:rPr>
        <w:t>-09</w:t>
      </w:r>
    </w:p>
    <w:p>
      <w:pPr>
        <w:tabs>
          <w:tab w:val="left" w:pos="707"/>
        </w:tabs>
        <w:jc w:val="center"/>
        <w:outlineLvl w:val="2"/>
        <w:rPr>
          <w:rFonts w:ascii="Times New Roman" w:eastAsia="方正黑体_GBK" w:cs="宋体"/>
          <w:color w:val="000000"/>
          <w:spacing w:val="-2"/>
          <w:kern w:val="0"/>
          <w:sz w:val="24"/>
        </w:rPr>
      </w:pPr>
      <w:r>
        <w:rPr>
          <w:rFonts w:hint="eastAsia" w:ascii="Times New Roman" w:hAnsi="Times New Roman" w:cs="宋体"/>
          <w:color w:val="000000"/>
          <w:kern w:val="0"/>
          <w:sz w:val="18"/>
          <w:szCs w:val="18"/>
        </w:rPr>
        <w:br w:type="column"/>
      </w:r>
      <w:r>
        <w:rPr>
          <w:rFonts w:hint="eastAsia" w:ascii="Times New Roman" w:eastAsia="方正黑体_GBK" w:cs="宋体"/>
          <w:color w:val="000000"/>
          <w:spacing w:val="-2"/>
          <w:kern w:val="0"/>
          <w:sz w:val="24"/>
        </w:rPr>
        <w:t>G.3</w:t>
      </w:r>
      <w:r>
        <w:rPr>
          <w:rFonts w:hint="eastAsia" w:ascii="Times New Roman" w:eastAsia="方正黑体_GBK" w:cs="宋体"/>
          <w:color w:val="000000"/>
          <w:spacing w:val="-2"/>
          <w:kern w:val="0"/>
          <w:sz w:val="24"/>
        </w:rPr>
        <w:tab/>
      </w:r>
      <w:r>
        <w:rPr>
          <w:rFonts w:hint="eastAsia" w:ascii="Times New Roman" w:eastAsia="方正黑体_GBK" w:cs="宋体"/>
          <w:color w:val="000000"/>
          <w:spacing w:val="-2"/>
          <w:kern w:val="0"/>
          <w:sz w:val="24"/>
        </w:rPr>
        <w:t>材料（工程设备）暂估单价及调整表</w:t>
      </w:r>
      <w:bookmarkEnd w:id="678"/>
      <w:bookmarkEnd w:id="679"/>
      <w:bookmarkEnd w:id="680"/>
    </w:p>
    <w:p>
      <w:pPr>
        <w:spacing w:before="19" w:line="200" w:lineRule="exact"/>
        <w:rPr>
          <w:rFonts w:hint="eastAsia"/>
          <w:color w:val="000000"/>
          <w:spacing w:val="-2"/>
          <w:sz w:val="20"/>
        </w:rPr>
      </w:pPr>
    </w:p>
    <w:p>
      <w:pPr>
        <w:tabs>
          <w:tab w:val="left" w:pos="4529"/>
          <w:tab w:val="left" w:pos="7890"/>
          <w:tab w:val="left" w:pos="8416"/>
          <w:tab w:val="left" w:pos="9047"/>
        </w:tabs>
        <w:spacing w:after="120"/>
        <w:ind w:firstLine="202" w:firstLineChars="100"/>
        <w:rPr>
          <w:rFonts w:ascii="Times New Roman" w:eastAsia="方正仿宋_GBK"/>
          <w:color w:val="000000"/>
          <w:spacing w:val="-2"/>
        </w:rPr>
      </w:pPr>
      <w:r>
        <w:rPr>
          <w:rFonts w:hint="eastAsia" w:ascii="Times New Roman" w:eastAsia="方正仿宋_GBK"/>
          <w:color w:val="000000"/>
          <w:spacing w:val="-2"/>
        </w:rPr>
        <w:t>工程名称：</w:t>
      </w:r>
      <w:r>
        <w:rPr>
          <w:rFonts w:hint="eastAsia" w:ascii="Times New Roman" w:eastAsia="方正仿宋_GBK"/>
          <w:color w:val="000000"/>
          <w:spacing w:val="-2"/>
        </w:rPr>
        <w:tab/>
      </w:r>
      <w:r>
        <w:rPr>
          <w:rFonts w:hint="eastAsia" w:ascii="Times New Roman" w:eastAsia="方正仿宋_GBK"/>
          <w:color w:val="000000"/>
          <w:spacing w:val="-2"/>
        </w:rPr>
        <w:t>标段：                      第  页  共  页</w:t>
      </w:r>
    </w:p>
    <w:p>
      <w:pPr>
        <w:spacing w:before="9" w:line="40" w:lineRule="exact"/>
        <w:rPr>
          <w:rFonts w:hint="eastAsia"/>
          <w:color w:val="000000"/>
          <w:spacing w:val="-2"/>
          <w:sz w:val="4"/>
          <w:szCs w:val="4"/>
        </w:rPr>
      </w:pPr>
    </w:p>
    <w:tbl>
      <w:tblPr>
        <w:tblStyle w:val="12"/>
        <w:tblW w:w="0" w:type="auto"/>
        <w:jc w:val="center"/>
        <w:tblLayout w:type="fixed"/>
        <w:tblCellMar>
          <w:top w:w="0" w:type="dxa"/>
          <w:left w:w="0" w:type="dxa"/>
          <w:bottom w:w="0" w:type="dxa"/>
          <w:right w:w="0" w:type="dxa"/>
        </w:tblCellMar>
      </w:tblPr>
      <w:tblGrid>
        <w:gridCol w:w="648"/>
        <w:gridCol w:w="1060"/>
        <w:gridCol w:w="1787"/>
        <w:gridCol w:w="566"/>
        <w:gridCol w:w="659"/>
        <w:gridCol w:w="630"/>
        <w:gridCol w:w="574"/>
        <w:gridCol w:w="525"/>
        <w:gridCol w:w="549"/>
        <w:gridCol w:w="485"/>
        <w:gridCol w:w="525"/>
        <w:gridCol w:w="525"/>
        <w:gridCol w:w="696"/>
      </w:tblGrid>
      <w:tr>
        <w:tblPrEx>
          <w:tblCellMar>
            <w:top w:w="0" w:type="dxa"/>
            <w:left w:w="0" w:type="dxa"/>
            <w:bottom w:w="0" w:type="dxa"/>
            <w:right w:w="0" w:type="dxa"/>
          </w:tblCellMar>
        </w:tblPrEx>
        <w:trPr>
          <w:trHeight w:val="424" w:hRule="atLeast"/>
          <w:jc w:val="center"/>
        </w:trPr>
        <w:tc>
          <w:tcPr>
            <w:tcW w:w="648" w:type="dxa"/>
            <w:vMerge w:val="restart"/>
            <w:tcBorders>
              <w:top w:val="single" w:color="auto" w:sz="8" w:space="0"/>
              <w:left w:val="single" w:color="auto" w:sz="8" w:space="0"/>
              <w:bottom w:val="single" w:color="000000" w:sz="4" w:space="0"/>
              <w:right w:val="single" w:color="000000" w:sz="4" w:space="0"/>
            </w:tcBorders>
            <w:noWrap w:val="0"/>
            <w:tcMar>
              <w:top w:w="28" w:type="dxa"/>
              <w:left w:w="28" w:type="dxa"/>
              <w:bottom w:w="28" w:type="dxa"/>
              <w:right w:w="28" w:type="dxa"/>
            </w:tcMar>
            <w:vAlign w:val="center"/>
          </w:tcPr>
          <w:p>
            <w:pPr>
              <w:spacing w:line="300" w:lineRule="exact"/>
              <w:jc w:val="center"/>
              <w:rPr>
                <w:rFonts w:ascii="Times New Roman" w:eastAsia="方正黑体_GBK"/>
                <w:color w:val="000000"/>
                <w:spacing w:val="-2"/>
                <w:kern w:val="0"/>
                <w:sz w:val="18"/>
                <w:szCs w:val="18"/>
                <w:lang w:eastAsia="en-US"/>
              </w:rPr>
            </w:pPr>
            <w:r>
              <w:rPr>
                <w:rFonts w:hint="eastAsia" w:ascii="Times New Roman" w:hAnsi="Times New Roman" w:eastAsia="方正黑体_GBK" w:cs="宋体"/>
                <w:color w:val="000000"/>
                <w:spacing w:val="-2"/>
                <w:kern w:val="0"/>
                <w:sz w:val="18"/>
                <w:szCs w:val="18"/>
                <w:lang w:eastAsia="en-US"/>
              </w:rPr>
              <w:t>序号</w:t>
            </w:r>
          </w:p>
        </w:tc>
        <w:tc>
          <w:tcPr>
            <w:tcW w:w="1060" w:type="dxa"/>
            <w:vMerge w:val="restart"/>
            <w:tcBorders>
              <w:top w:val="single" w:color="auto" w:sz="8" w:space="0"/>
              <w:left w:val="single" w:color="000000" w:sz="4" w:space="0"/>
              <w:bottom w:val="single" w:color="000000" w:sz="4" w:space="0"/>
              <w:right w:val="single" w:color="000000" w:sz="4" w:space="0"/>
            </w:tcBorders>
            <w:noWrap w:val="0"/>
            <w:tcMar>
              <w:top w:w="28" w:type="dxa"/>
              <w:left w:w="28" w:type="dxa"/>
              <w:bottom w:w="28" w:type="dxa"/>
              <w:right w:w="28" w:type="dxa"/>
            </w:tcMar>
            <w:vAlign w:val="center"/>
          </w:tcPr>
          <w:p>
            <w:pPr>
              <w:spacing w:line="300" w:lineRule="exact"/>
              <w:jc w:val="center"/>
              <w:rPr>
                <w:rFonts w:ascii="Times New Roman" w:eastAsia="方正黑体_GBK" w:cs="宋体"/>
                <w:color w:val="000000"/>
                <w:spacing w:val="-2"/>
                <w:kern w:val="0"/>
                <w:sz w:val="18"/>
                <w:szCs w:val="18"/>
              </w:rPr>
            </w:pPr>
            <w:r>
              <w:rPr>
                <w:rFonts w:hint="eastAsia" w:ascii="Times New Roman" w:hAnsi="Times New Roman" w:eastAsia="方正黑体_GBK" w:cs="宋体"/>
                <w:color w:val="000000"/>
                <w:spacing w:val="-2"/>
                <w:kern w:val="0"/>
                <w:sz w:val="18"/>
                <w:szCs w:val="18"/>
              </w:rPr>
              <w:t>材料编码</w:t>
            </w:r>
          </w:p>
        </w:tc>
        <w:tc>
          <w:tcPr>
            <w:tcW w:w="1787" w:type="dxa"/>
            <w:vMerge w:val="restart"/>
            <w:tcBorders>
              <w:top w:val="single" w:color="auto" w:sz="8" w:space="0"/>
              <w:left w:val="single" w:color="000000" w:sz="4" w:space="0"/>
              <w:bottom w:val="single" w:color="000000" w:sz="4" w:space="0"/>
              <w:right w:val="single" w:color="000000" w:sz="4" w:space="0"/>
            </w:tcBorders>
            <w:noWrap w:val="0"/>
            <w:tcMar>
              <w:top w:w="28" w:type="dxa"/>
              <w:left w:w="28" w:type="dxa"/>
              <w:bottom w:w="28" w:type="dxa"/>
              <w:right w:w="28" w:type="dxa"/>
            </w:tcMar>
            <w:vAlign w:val="center"/>
          </w:tcPr>
          <w:p>
            <w:pPr>
              <w:spacing w:line="300" w:lineRule="exact"/>
              <w:jc w:val="center"/>
              <w:rPr>
                <w:rFonts w:ascii="Times New Roman" w:eastAsia="方正黑体_GBK"/>
                <w:color w:val="000000"/>
                <w:spacing w:val="-2"/>
                <w:kern w:val="0"/>
                <w:sz w:val="18"/>
                <w:szCs w:val="18"/>
              </w:rPr>
            </w:pPr>
            <w:r>
              <w:rPr>
                <w:rFonts w:hint="eastAsia" w:ascii="Times New Roman" w:hAnsi="Times New Roman" w:eastAsia="方正黑体_GBK" w:cs="宋体"/>
                <w:color w:val="000000"/>
                <w:spacing w:val="-2"/>
                <w:kern w:val="0"/>
                <w:sz w:val="18"/>
                <w:szCs w:val="18"/>
              </w:rPr>
              <w:t>材料（工程设备）名称、规格、型号</w:t>
            </w:r>
          </w:p>
        </w:tc>
        <w:tc>
          <w:tcPr>
            <w:tcW w:w="566" w:type="dxa"/>
            <w:vMerge w:val="restart"/>
            <w:tcBorders>
              <w:top w:val="single" w:color="auto" w:sz="8" w:space="0"/>
              <w:left w:val="single" w:color="000000" w:sz="4" w:space="0"/>
              <w:bottom w:val="single" w:color="000000" w:sz="4" w:space="0"/>
              <w:right w:val="single" w:color="000000" w:sz="4" w:space="0"/>
            </w:tcBorders>
            <w:noWrap w:val="0"/>
            <w:tcMar>
              <w:top w:w="28" w:type="dxa"/>
              <w:left w:w="28" w:type="dxa"/>
              <w:bottom w:w="28" w:type="dxa"/>
              <w:right w:w="28" w:type="dxa"/>
            </w:tcMar>
            <w:vAlign w:val="center"/>
          </w:tcPr>
          <w:p>
            <w:pPr>
              <w:spacing w:line="300" w:lineRule="exact"/>
              <w:jc w:val="center"/>
              <w:rPr>
                <w:rFonts w:ascii="Times New Roman" w:eastAsia="方正黑体_GBK"/>
                <w:color w:val="000000"/>
                <w:spacing w:val="-2"/>
                <w:kern w:val="0"/>
                <w:sz w:val="18"/>
                <w:szCs w:val="18"/>
                <w:lang w:eastAsia="en-US"/>
              </w:rPr>
            </w:pPr>
            <w:r>
              <w:rPr>
                <w:rFonts w:hint="eastAsia" w:ascii="Times New Roman" w:hAnsi="Times New Roman" w:eastAsia="方正黑体_GBK" w:cs="宋体"/>
                <w:color w:val="000000"/>
                <w:spacing w:val="-2"/>
                <w:kern w:val="0"/>
                <w:sz w:val="18"/>
                <w:szCs w:val="18"/>
                <w:lang w:eastAsia="en-US"/>
              </w:rPr>
              <w:t>计量单位</w:t>
            </w:r>
          </w:p>
        </w:tc>
        <w:tc>
          <w:tcPr>
            <w:tcW w:w="1289" w:type="dxa"/>
            <w:gridSpan w:val="2"/>
            <w:tcBorders>
              <w:top w:val="single" w:color="auto" w:sz="8" w:space="0"/>
              <w:left w:val="single" w:color="000000" w:sz="4" w:space="0"/>
              <w:bottom w:val="single" w:color="auto" w:sz="4" w:space="0"/>
              <w:right w:val="single" w:color="auto" w:sz="4" w:space="0"/>
            </w:tcBorders>
            <w:noWrap w:val="0"/>
            <w:tcMar>
              <w:top w:w="28" w:type="dxa"/>
              <w:left w:w="28" w:type="dxa"/>
              <w:bottom w:w="28" w:type="dxa"/>
              <w:right w:w="28" w:type="dxa"/>
            </w:tcMar>
            <w:vAlign w:val="center"/>
          </w:tcPr>
          <w:p>
            <w:pPr>
              <w:spacing w:line="300" w:lineRule="exact"/>
              <w:jc w:val="center"/>
              <w:rPr>
                <w:rFonts w:ascii="Times New Roman" w:eastAsia="方正黑体_GBK"/>
                <w:color w:val="000000"/>
                <w:spacing w:val="-2"/>
                <w:kern w:val="0"/>
                <w:sz w:val="18"/>
                <w:szCs w:val="18"/>
              </w:rPr>
            </w:pPr>
            <w:r>
              <w:rPr>
                <w:rFonts w:hint="eastAsia" w:ascii="Times New Roman" w:hAnsi="Times New Roman" w:eastAsia="方正黑体_GBK" w:cs="宋体"/>
                <w:color w:val="000000"/>
                <w:spacing w:val="-2"/>
                <w:kern w:val="0"/>
                <w:sz w:val="18"/>
                <w:szCs w:val="18"/>
              </w:rPr>
              <w:t>数量</w:t>
            </w:r>
          </w:p>
        </w:tc>
        <w:tc>
          <w:tcPr>
            <w:tcW w:w="1099" w:type="dxa"/>
            <w:gridSpan w:val="2"/>
            <w:tcBorders>
              <w:top w:val="single" w:color="auto" w:sz="8" w:space="0"/>
              <w:left w:val="single" w:color="auto" w:sz="4" w:space="0"/>
              <w:bottom w:val="single" w:color="auto" w:sz="4" w:space="0"/>
              <w:right w:val="single" w:color="auto" w:sz="4" w:space="0"/>
            </w:tcBorders>
            <w:noWrap w:val="0"/>
            <w:tcMar>
              <w:top w:w="28" w:type="dxa"/>
              <w:left w:w="28" w:type="dxa"/>
              <w:bottom w:w="28" w:type="dxa"/>
              <w:right w:w="28" w:type="dxa"/>
            </w:tcMar>
            <w:vAlign w:val="center"/>
          </w:tcPr>
          <w:p>
            <w:pPr>
              <w:spacing w:line="300" w:lineRule="exact"/>
              <w:jc w:val="center"/>
              <w:rPr>
                <w:rFonts w:ascii="Times New Roman" w:eastAsia="方正黑体_GBK"/>
                <w:color w:val="000000"/>
                <w:spacing w:val="-2"/>
                <w:kern w:val="0"/>
                <w:sz w:val="18"/>
                <w:szCs w:val="18"/>
                <w:lang w:eastAsia="en-US"/>
              </w:rPr>
            </w:pPr>
            <w:r>
              <w:rPr>
                <w:rFonts w:hint="eastAsia" w:ascii="Times New Roman" w:hAnsi="Times New Roman" w:eastAsia="方正黑体_GBK" w:cs="宋体"/>
                <w:color w:val="000000"/>
                <w:spacing w:val="-2"/>
                <w:kern w:val="0"/>
                <w:sz w:val="18"/>
                <w:szCs w:val="18"/>
              </w:rPr>
              <w:t>暂估</w:t>
            </w:r>
            <w:r>
              <w:rPr>
                <w:rFonts w:hint="eastAsia" w:ascii="Times New Roman" w:hAnsi="Times New Roman" w:eastAsia="方正黑体_GBK" w:cs="宋体"/>
                <w:color w:val="000000"/>
                <w:spacing w:val="-2"/>
                <w:kern w:val="0"/>
                <w:sz w:val="18"/>
                <w:szCs w:val="18"/>
                <w:lang w:eastAsia="en-US"/>
              </w:rPr>
              <w:t>（元）</w:t>
            </w:r>
          </w:p>
        </w:tc>
        <w:tc>
          <w:tcPr>
            <w:tcW w:w="1034" w:type="dxa"/>
            <w:gridSpan w:val="2"/>
            <w:tcBorders>
              <w:top w:val="single" w:color="auto" w:sz="8" w:space="0"/>
              <w:left w:val="single" w:color="auto" w:sz="4" w:space="0"/>
              <w:bottom w:val="single" w:color="auto" w:sz="4" w:space="0"/>
              <w:right w:val="single" w:color="000000" w:sz="4" w:space="0"/>
            </w:tcBorders>
            <w:noWrap w:val="0"/>
            <w:tcMar>
              <w:top w:w="28" w:type="dxa"/>
              <w:left w:w="28" w:type="dxa"/>
              <w:bottom w:w="28" w:type="dxa"/>
              <w:right w:w="28" w:type="dxa"/>
            </w:tcMar>
            <w:vAlign w:val="center"/>
          </w:tcPr>
          <w:p>
            <w:pPr>
              <w:spacing w:line="300" w:lineRule="exact"/>
              <w:jc w:val="center"/>
              <w:rPr>
                <w:rFonts w:ascii="Times New Roman" w:eastAsia="方正黑体_GBK"/>
                <w:color w:val="000000"/>
                <w:spacing w:val="-2"/>
                <w:kern w:val="0"/>
                <w:sz w:val="18"/>
                <w:szCs w:val="18"/>
                <w:lang w:eastAsia="en-US"/>
              </w:rPr>
            </w:pPr>
            <w:r>
              <w:rPr>
                <w:rFonts w:hint="eastAsia" w:ascii="Times New Roman" w:hAnsi="Times New Roman" w:eastAsia="方正黑体_GBK" w:cs="宋体"/>
                <w:color w:val="000000"/>
                <w:spacing w:val="-2"/>
                <w:kern w:val="0"/>
                <w:sz w:val="18"/>
                <w:szCs w:val="18"/>
              </w:rPr>
              <w:t>确认</w:t>
            </w:r>
            <w:r>
              <w:rPr>
                <w:rFonts w:hint="eastAsia" w:ascii="Times New Roman" w:hAnsi="Times New Roman" w:eastAsia="方正黑体_GBK" w:cs="宋体"/>
                <w:color w:val="000000"/>
                <w:spacing w:val="-2"/>
                <w:kern w:val="0"/>
                <w:sz w:val="18"/>
                <w:szCs w:val="18"/>
                <w:lang w:eastAsia="en-US"/>
              </w:rPr>
              <w:t>（元）</w:t>
            </w:r>
          </w:p>
        </w:tc>
        <w:tc>
          <w:tcPr>
            <w:tcW w:w="1050" w:type="dxa"/>
            <w:gridSpan w:val="2"/>
            <w:tcBorders>
              <w:top w:val="single" w:color="auto" w:sz="8" w:space="0"/>
              <w:left w:val="single" w:color="000000" w:sz="4" w:space="0"/>
              <w:bottom w:val="single" w:color="auto" w:sz="4" w:space="0"/>
              <w:right w:val="single" w:color="auto" w:sz="4" w:space="0"/>
            </w:tcBorders>
            <w:noWrap w:val="0"/>
            <w:tcMar>
              <w:top w:w="28" w:type="dxa"/>
              <w:left w:w="28" w:type="dxa"/>
              <w:bottom w:w="28" w:type="dxa"/>
              <w:right w:w="28" w:type="dxa"/>
            </w:tcMar>
            <w:vAlign w:val="center"/>
          </w:tcPr>
          <w:p>
            <w:pPr>
              <w:spacing w:line="300" w:lineRule="exact"/>
              <w:jc w:val="center"/>
              <w:rPr>
                <w:rFonts w:ascii="Times New Roman" w:eastAsia="方正黑体_GBK"/>
                <w:color w:val="000000"/>
                <w:spacing w:val="-2"/>
                <w:kern w:val="0"/>
                <w:sz w:val="18"/>
                <w:szCs w:val="18"/>
                <w:lang w:eastAsia="en-US"/>
              </w:rPr>
            </w:pPr>
            <w:r>
              <w:rPr>
                <w:rFonts w:hint="eastAsia" w:ascii="Times New Roman" w:hAnsi="Times New Roman" w:eastAsia="方正黑体_GBK" w:cs="宋体"/>
                <w:color w:val="000000"/>
                <w:spacing w:val="-2"/>
                <w:kern w:val="0"/>
                <w:sz w:val="18"/>
                <w:szCs w:val="18"/>
              </w:rPr>
              <w:t>差额</w:t>
            </w:r>
            <w:r>
              <w:rPr>
                <w:rFonts w:hint="eastAsia" w:ascii="Times New Roman" w:eastAsia="方正黑体_GBK" w:cs="宋体"/>
                <w:color w:val="000000"/>
                <w:spacing w:val="-2"/>
                <w:kern w:val="0"/>
                <w:sz w:val="18"/>
                <w:szCs w:val="18"/>
              </w:rPr>
              <w:t>±</w:t>
            </w:r>
            <w:r>
              <w:rPr>
                <w:rFonts w:hint="eastAsia" w:ascii="Times New Roman" w:hAnsi="Times New Roman" w:eastAsia="方正黑体_GBK" w:cs="宋体"/>
                <w:color w:val="000000"/>
                <w:spacing w:val="-2"/>
                <w:kern w:val="0"/>
                <w:sz w:val="18"/>
                <w:szCs w:val="18"/>
                <w:lang w:eastAsia="en-US"/>
              </w:rPr>
              <w:t>（元）</w:t>
            </w:r>
          </w:p>
        </w:tc>
        <w:tc>
          <w:tcPr>
            <w:tcW w:w="696" w:type="dxa"/>
            <w:vMerge w:val="restart"/>
            <w:tcBorders>
              <w:top w:val="single" w:color="auto" w:sz="8" w:space="0"/>
              <w:left w:val="single" w:color="auto" w:sz="4" w:space="0"/>
              <w:bottom w:val="single" w:color="000000" w:sz="4" w:space="0"/>
              <w:right w:val="single" w:color="auto" w:sz="8" w:space="0"/>
            </w:tcBorders>
            <w:noWrap w:val="0"/>
            <w:tcMar>
              <w:top w:w="28" w:type="dxa"/>
              <w:left w:w="28" w:type="dxa"/>
              <w:bottom w:w="28" w:type="dxa"/>
              <w:right w:w="28" w:type="dxa"/>
            </w:tcMar>
            <w:vAlign w:val="center"/>
          </w:tcPr>
          <w:p>
            <w:pPr>
              <w:spacing w:line="300" w:lineRule="exact"/>
              <w:jc w:val="center"/>
              <w:rPr>
                <w:rFonts w:ascii="Times New Roman" w:eastAsia="方正黑体_GBK"/>
                <w:color w:val="000000"/>
                <w:spacing w:val="-2"/>
                <w:kern w:val="0"/>
                <w:sz w:val="18"/>
                <w:szCs w:val="18"/>
                <w:lang w:eastAsia="en-US"/>
              </w:rPr>
            </w:pPr>
            <w:r>
              <w:rPr>
                <w:rFonts w:hint="eastAsia" w:ascii="Times New Roman" w:hAnsi="Times New Roman" w:eastAsia="方正黑体_GBK" w:cs="宋体"/>
                <w:color w:val="000000"/>
                <w:spacing w:val="-2"/>
                <w:kern w:val="0"/>
                <w:sz w:val="18"/>
                <w:szCs w:val="18"/>
                <w:lang w:eastAsia="en-US"/>
              </w:rPr>
              <w:t>备注</w:t>
            </w:r>
          </w:p>
        </w:tc>
      </w:tr>
      <w:tr>
        <w:tblPrEx>
          <w:tblCellMar>
            <w:top w:w="0" w:type="dxa"/>
            <w:left w:w="0" w:type="dxa"/>
            <w:bottom w:w="0" w:type="dxa"/>
            <w:right w:w="0" w:type="dxa"/>
          </w:tblCellMar>
        </w:tblPrEx>
        <w:trPr>
          <w:trHeight w:val="438" w:hRule="exact"/>
          <w:jc w:val="center"/>
        </w:trPr>
        <w:tc>
          <w:tcPr>
            <w:tcW w:w="648" w:type="dxa"/>
            <w:vMerge w:val="continue"/>
            <w:tcBorders>
              <w:top w:val="single" w:color="auto" w:sz="8" w:space="0"/>
              <w:left w:val="single" w:color="auto" w:sz="8" w:space="0"/>
              <w:bottom w:val="single" w:color="000000" w:sz="4" w:space="0"/>
              <w:right w:val="single" w:color="000000" w:sz="4" w:space="0"/>
            </w:tcBorders>
            <w:noWrap w:val="0"/>
            <w:vAlign w:val="center"/>
          </w:tcPr>
          <w:p>
            <w:pPr>
              <w:widowControl/>
              <w:jc w:val="left"/>
              <w:rPr>
                <w:rFonts w:ascii="Times New Roman" w:eastAsia="方正黑体_GBK"/>
                <w:color w:val="000000"/>
                <w:spacing w:val="-2"/>
                <w:kern w:val="0"/>
                <w:sz w:val="18"/>
                <w:szCs w:val="18"/>
                <w:lang w:eastAsia="en-US"/>
              </w:rPr>
            </w:pPr>
          </w:p>
        </w:tc>
        <w:tc>
          <w:tcPr>
            <w:tcW w:w="1060" w:type="dxa"/>
            <w:vMerge w:val="continue"/>
            <w:tcBorders>
              <w:top w:val="single" w:color="auto" w:sz="8" w:space="0"/>
              <w:left w:val="single" w:color="000000" w:sz="4" w:space="0"/>
              <w:bottom w:val="single" w:color="000000" w:sz="4" w:space="0"/>
              <w:right w:val="single" w:color="000000" w:sz="4" w:space="0"/>
            </w:tcBorders>
            <w:noWrap w:val="0"/>
            <w:vAlign w:val="center"/>
          </w:tcPr>
          <w:p>
            <w:pPr>
              <w:widowControl/>
              <w:jc w:val="left"/>
              <w:rPr>
                <w:rFonts w:ascii="Times New Roman" w:eastAsia="方正黑体_GBK" w:cs="宋体"/>
                <w:color w:val="000000"/>
                <w:spacing w:val="-2"/>
                <w:kern w:val="0"/>
                <w:sz w:val="18"/>
                <w:szCs w:val="18"/>
              </w:rPr>
            </w:pPr>
          </w:p>
        </w:tc>
        <w:tc>
          <w:tcPr>
            <w:tcW w:w="1787" w:type="dxa"/>
            <w:vMerge w:val="continue"/>
            <w:tcBorders>
              <w:top w:val="single" w:color="auto" w:sz="8" w:space="0"/>
              <w:left w:val="single" w:color="000000" w:sz="4" w:space="0"/>
              <w:bottom w:val="single" w:color="000000" w:sz="4" w:space="0"/>
              <w:right w:val="single" w:color="000000" w:sz="4" w:space="0"/>
            </w:tcBorders>
            <w:noWrap w:val="0"/>
            <w:vAlign w:val="center"/>
          </w:tcPr>
          <w:p>
            <w:pPr>
              <w:widowControl/>
              <w:jc w:val="left"/>
              <w:rPr>
                <w:rFonts w:ascii="Times New Roman" w:eastAsia="方正黑体_GBK"/>
                <w:color w:val="000000"/>
                <w:spacing w:val="-2"/>
                <w:kern w:val="0"/>
                <w:sz w:val="18"/>
                <w:szCs w:val="18"/>
              </w:rPr>
            </w:pPr>
          </w:p>
        </w:tc>
        <w:tc>
          <w:tcPr>
            <w:tcW w:w="566" w:type="dxa"/>
            <w:vMerge w:val="continue"/>
            <w:tcBorders>
              <w:top w:val="single" w:color="auto" w:sz="8" w:space="0"/>
              <w:left w:val="single" w:color="000000" w:sz="4" w:space="0"/>
              <w:bottom w:val="single" w:color="000000" w:sz="4" w:space="0"/>
              <w:right w:val="single" w:color="000000" w:sz="4" w:space="0"/>
            </w:tcBorders>
            <w:noWrap w:val="0"/>
            <w:vAlign w:val="center"/>
          </w:tcPr>
          <w:p>
            <w:pPr>
              <w:widowControl/>
              <w:jc w:val="left"/>
              <w:rPr>
                <w:rFonts w:ascii="Times New Roman" w:eastAsia="方正黑体_GBK"/>
                <w:color w:val="000000"/>
                <w:spacing w:val="-2"/>
                <w:kern w:val="0"/>
                <w:sz w:val="18"/>
                <w:szCs w:val="18"/>
                <w:lang w:eastAsia="en-US"/>
              </w:rPr>
            </w:pPr>
          </w:p>
        </w:tc>
        <w:tc>
          <w:tcPr>
            <w:tcW w:w="659" w:type="dxa"/>
            <w:tcBorders>
              <w:top w:val="single" w:color="auto" w:sz="4" w:space="0"/>
              <w:left w:val="single" w:color="000000" w:sz="4" w:space="0"/>
              <w:bottom w:val="single" w:color="000000" w:sz="4" w:space="0"/>
              <w:right w:val="single" w:color="auto" w:sz="4" w:space="0"/>
            </w:tcBorders>
            <w:noWrap w:val="0"/>
            <w:tcMar>
              <w:top w:w="28" w:type="dxa"/>
              <w:left w:w="28" w:type="dxa"/>
              <w:bottom w:w="28" w:type="dxa"/>
              <w:right w:w="28" w:type="dxa"/>
            </w:tcMar>
            <w:vAlign w:val="center"/>
          </w:tcPr>
          <w:p>
            <w:pPr>
              <w:spacing w:line="300" w:lineRule="exact"/>
              <w:jc w:val="center"/>
              <w:rPr>
                <w:rFonts w:ascii="Times New Roman" w:eastAsia="方正黑体_GBK"/>
                <w:color w:val="000000"/>
                <w:spacing w:val="-2"/>
                <w:kern w:val="0"/>
                <w:sz w:val="18"/>
                <w:szCs w:val="18"/>
              </w:rPr>
            </w:pPr>
            <w:r>
              <w:rPr>
                <w:rFonts w:hint="eastAsia" w:ascii="Times New Roman" w:hAnsi="Times New Roman" w:eastAsia="方正黑体_GBK" w:cs="宋体"/>
                <w:color w:val="000000"/>
                <w:spacing w:val="-2"/>
                <w:kern w:val="0"/>
                <w:sz w:val="18"/>
                <w:szCs w:val="18"/>
              </w:rPr>
              <w:t>投标</w:t>
            </w:r>
          </w:p>
        </w:tc>
        <w:tc>
          <w:tcPr>
            <w:tcW w:w="630" w:type="dxa"/>
            <w:tcBorders>
              <w:top w:val="single" w:color="auto" w:sz="4" w:space="0"/>
              <w:left w:val="single" w:color="auto" w:sz="4" w:space="0"/>
              <w:bottom w:val="single" w:color="000000" w:sz="4" w:space="0"/>
              <w:right w:val="single" w:color="auto" w:sz="4" w:space="0"/>
            </w:tcBorders>
            <w:noWrap w:val="0"/>
            <w:tcMar>
              <w:top w:w="28" w:type="dxa"/>
              <w:left w:w="28" w:type="dxa"/>
              <w:bottom w:w="28" w:type="dxa"/>
              <w:right w:w="28" w:type="dxa"/>
            </w:tcMar>
            <w:vAlign w:val="center"/>
          </w:tcPr>
          <w:p>
            <w:pPr>
              <w:spacing w:line="300" w:lineRule="exact"/>
              <w:jc w:val="center"/>
              <w:rPr>
                <w:rFonts w:ascii="Times New Roman" w:eastAsia="方正黑体_GBK"/>
                <w:color w:val="000000"/>
                <w:spacing w:val="-2"/>
                <w:kern w:val="0"/>
                <w:sz w:val="18"/>
                <w:szCs w:val="18"/>
              </w:rPr>
            </w:pPr>
            <w:r>
              <w:rPr>
                <w:rFonts w:hint="eastAsia" w:ascii="Times New Roman" w:hAnsi="Times New Roman" w:eastAsia="方正黑体_GBK" w:cs="宋体"/>
                <w:color w:val="000000"/>
                <w:spacing w:val="-2"/>
                <w:kern w:val="0"/>
                <w:sz w:val="18"/>
                <w:szCs w:val="18"/>
              </w:rPr>
              <w:t>确认</w:t>
            </w:r>
          </w:p>
        </w:tc>
        <w:tc>
          <w:tcPr>
            <w:tcW w:w="574" w:type="dxa"/>
            <w:tcBorders>
              <w:top w:val="single" w:color="auto" w:sz="4" w:space="0"/>
              <w:left w:val="single" w:color="auto" w:sz="4" w:space="0"/>
              <w:bottom w:val="single" w:color="000000" w:sz="4" w:space="0"/>
              <w:right w:val="single" w:color="auto" w:sz="4" w:space="0"/>
            </w:tcBorders>
            <w:noWrap w:val="0"/>
            <w:tcMar>
              <w:top w:w="28" w:type="dxa"/>
              <w:left w:w="28" w:type="dxa"/>
              <w:bottom w:w="28" w:type="dxa"/>
              <w:right w:w="28" w:type="dxa"/>
            </w:tcMar>
            <w:vAlign w:val="center"/>
          </w:tcPr>
          <w:p>
            <w:pPr>
              <w:spacing w:line="300" w:lineRule="exact"/>
              <w:jc w:val="center"/>
              <w:rPr>
                <w:rFonts w:ascii="Times New Roman" w:eastAsia="方正黑体_GBK"/>
                <w:color w:val="000000"/>
                <w:spacing w:val="-2"/>
                <w:kern w:val="0"/>
                <w:sz w:val="18"/>
                <w:szCs w:val="18"/>
              </w:rPr>
            </w:pPr>
            <w:r>
              <w:rPr>
                <w:rFonts w:hint="eastAsia" w:ascii="Times New Roman" w:hAnsi="Times New Roman" w:eastAsia="方正黑体_GBK" w:cs="宋体"/>
                <w:color w:val="000000"/>
                <w:spacing w:val="-2"/>
                <w:kern w:val="0"/>
                <w:sz w:val="18"/>
                <w:szCs w:val="18"/>
              </w:rPr>
              <w:t>单价</w:t>
            </w:r>
          </w:p>
        </w:tc>
        <w:tc>
          <w:tcPr>
            <w:tcW w:w="525" w:type="dxa"/>
            <w:tcBorders>
              <w:top w:val="single" w:color="auto" w:sz="4" w:space="0"/>
              <w:left w:val="single" w:color="auto" w:sz="4" w:space="0"/>
              <w:bottom w:val="single" w:color="000000" w:sz="4" w:space="0"/>
              <w:right w:val="single" w:color="auto" w:sz="4" w:space="0"/>
            </w:tcBorders>
            <w:noWrap w:val="0"/>
            <w:tcMar>
              <w:top w:w="28" w:type="dxa"/>
              <w:left w:w="28" w:type="dxa"/>
              <w:bottom w:w="28" w:type="dxa"/>
              <w:right w:w="28" w:type="dxa"/>
            </w:tcMar>
            <w:vAlign w:val="center"/>
          </w:tcPr>
          <w:p>
            <w:pPr>
              <w:spacing w:line="300" w:lineRule="exact"/>
              <w:jc w:val="center"/>
              <w:rPr>
                <w:rFonts w:ascii="Times New Roman" w:eastAsia="方正黑体_GBK"/>
                <w:color w:val="000000"/>
                <w:spacing w:val="-2"/>
                <w:kern w:val="0"/>
                <w:sz w:val="18"/>
                <w:szCs w:val="18"/>
              </w:rPr>
            </w:pPr>
            <w:r>
              <w:rPr>
                <w:rFonts w:hint="eastAsia" w:ascii="Times New Roman" w:hAnsi="Times New Roman" w:eastAsia="方正黑体_GBK" w:cs="宋体"/>
                <w:color w:val="000000"/>
                <w:spacing w:val="-2"/>
                <w:kern w:val="0"/>
                <w:sz w:val="18"/>
                <w:szCs w:val="18"/>
              </w:rPr>
              <w:t>合价</w:t>
            </w:r>
          </w:p>
        </w:tc>
        <w:tc>
          <w:tcPr>
            <w:tcW w:w="549" w:type="dxa"/>
            <w:tcBorders>
              <w:top w:val="single" w:color="auto" w:sz="4" w:space="0"/>
              <w:left w:val="single" w:color="auto" w:sz="4" w:space="0"/>
              <w:bottom w:val="single" w:color="000000" w:sz="4" w:space="0"/>
              <w:right w:val="single" w:color="auto" w:sz="4" w:space="0"/>
            </w:tcBorders>
            <w:noWrap w:val="0"/>
            <w:tcMar>
              <w:top w:w="28" w:type="dxa"/>
              <w:left w:w="28" w:type="dxa"/>
              <w:bottom w:w="28" w:type="dxa"/>
              <w:right w:w="28" w:type="dxa"/>
            </w:tcMar>
            <w:vAlign w:val="center"/>
          </w:tcPr>
          <w:p>
            <w:pPr>
              <w:spacing w:line="300" w:lineRule="exact"/>
              <w:jc w:val="center"/>
              <w:rPr>
                <w:rFonts w:ascii="Times New Roman" w:eastAsia="方正黑体_GBK"/>
                <w:color w:val="000000"/>
                <w:spacing w:val="-2"/>
                <w:kern w:val="0"/>
                <w:sz w:val="18"/>
                <w:szCs w:val="18"/>
              </w:rPr>
            </w:pPr>
            <w:r>
              <w:rPr>
                <w:rFonts w:hint="eastAsia" w:ascii="Times New Roman" w:hAnsi="Times New Roman" w:eastAsia="方正黑体_GBK" w:cs="宋体"/>
                <w:color w:val="000000"/>
                <w:spacing w:val="-2"/>
                <w:kern w:val="0"/>
                <w:sz w:val="18"/>
                <w:szCs w:val="18"/>
              </w:rPr>
              <w:t>单价</w:t>
            </w:r>
          </w:p>
        </w:tc>
        <w:tc>
          <w:tcPr>
            <w:tcW w:w="485" w:type="dxa"/>
            <w:tcBorders>
              <w:top w:val="single" w:color="auto" w:sz="4" w:space="0"/>
              <w:left w:val="single" w:color="auto" w:sz="4" w:space="0"/>
              <w:bottom w:val="single" w:color="000000" w:sz="4" w:space="0"/>
              <w:right w:val="single" w:color="000000" w:sz="4" w:space="0"/>
            </w:tcBorders>
            <w:noWrap w:val="0"/>
            <w:tcMar>
              <w:top w:w="28" w:type="dxa"/>
              <w:left w:w="28" w:type="dxa"/>
              <w:bottom w:w="28" w:type="dxa"/>
              <w:right w:w="28" w:type="dxa"/>
            </w:tcMar>
            <w:vAlign w:val="center"/>
          </w:tcPr>
          <w:p>
            <w:pPr>
              <w:spacing w:line="300" w:lineRule="exact"/>
              <w:jc w:val="center"/>
              <w:rPr>
                <w:rFonts w:ascii="Times New Roman" w:eastAsia="方正黑体_GBK"/>
                <w:color w:val="000000"/>
                <w:spacing w:val="-2"/>
                <w:kern w:val="0"/>
                <w:sz w:val="18"/>
                <w:szCs w:val="18"/>
              </w:rPr>
            </w:pPr>
            <w:r>
              <w:rPr>
                <w:rFonts w:hint="eastAsia" w:ascii="Times New Roman" w:hAnsi="Times New Roman" w:eastAsia="方正黑体_GBK" w:cs="宋体"/>
                <w:color w:val="000000"/>
                <w:spacing w:val="-2"/>
                <w:kern w:val="0"/>
                <w:sz w:val="18"/>
                <w:szCs w:val="18"/>
              </w:rPr>
              <w:t>合价</w:t>
            </w:r>
          </w:p>
        </w:tc>
        <w:tc>
          <w:tcPr>
            <w:tcW w:w="525" w:type="dxa"/>
            <w:tcBorders>
              <w:top w:val="single" w:color="auto" w:sz="4" w:space="0"/>
              <w:left w:val="single" w:color="000000" w:sz="4" w:space="0"/>
              <w:bottom w:val="single" w:color="000000" w:sz="4" w:space="0"/>
              <w:right w:val="single" w:color="auto" w:sz="4" w:space="0"/>
            </w:tcBorders>
            <w:noWrap w:val="0"/>
            <w:tcMar>
              <w:top w:w="28" w:type="dxa"/>
              <w:left w:w="28" w:type="dxa"/>
              <w:bottom w:w="28" w:type="dxa"/>
              <w:right w:w="28" w:type="dxa"/>
            </w:tcMar>
            <w:vAlign w:val="center"/>
          </w:tcPr>
          <w:p>
            <w:pPr>
              <w:spacing w:line="300" w:lineRule="exact"/>
              <w:jc w:val="center"/>
              <w:rPr>
                <w:rFonts w:ascii="Times New Roman" w:eastAsia="方正黑体_GBK"/>
                <w:color w:val="000000"/>
                <w:spacing w:val="-2"/>
                <w:kern w:val="0"/>
                <w:sz w:val="18"/>
                <w:szCs w:val="18"/>
              </w:rPr>
            </w:pPr>
            <w:r>
              <w:rPr>
                <w:rFonts w:hint="eastAsia" w:ascii="Times New Roman" w:hAnsi="Times New Roman" w:eastAsia="方正黑体_GBK" w:cs="宋体"/>
                <w:color w:val="000000"/>
                <w:spacing w:val="-2"/>
                <w:kern w:val="0"/>
                <w:sz w:val="18"/>
                <w:szCs w:val="18"/>
              </w:rPr>
              <w:t>单价</w:t>
            </w:r>
          </w:p>
        </w:tc>
        <w:tc>
          <w:tcPr>
            <w:tcW w:w="525" w:type="dxa"/>
            <w:tcBorders>
              <w:top w:val="single" w:color="auto" w:sz="4" w:space="0"/>
              <w:left w:val="single" w:color="auto" w:sz="4" w:space="0"/>
              <w:bottom w:val="single" w:color="000000" w:sz="4" w:space="0"/>
              <w:right w:val="single" w:color="auto" w:sz="4" w:space="0"/>
            </w:tcBorders>
            <w:noWrap w:val="0"/>
            <w:tcMar>
              <w:top w:w="28" w:type="dxa"/>
              <w:left w:w="28" w:type="dxa"/>
              <w:bottom w:w="28" w:type="dxa"/>
              <w:right w:w="28" w:type="dxa"/>
            </w:tcMar>
            <w:vAlign w:val="center"/>
          </w:tcPr>
          <w:p>
            <w:pPr>
              <w:spacing w:line="300" w:lineRule="exact"/>
              <w:jc w:val="center"/>
              <w:rPr>
                <w:rFonts w:ascii="Times New Roman" w:eastAsia="方正黑体_GBK"/>
                <w:color w:val="000000"/>
                <w:spacing w:val="-2"/>
                <w:kern w:val="0"/>
                <w:sz w:val="18"/>
                <w:szCs w:val="18"/>
              </w:rPr>
            </w:pPr>
            <w:r>
              <w:rPr>
                <w:rFonts w:hint="eastAsia" w:ascii="Times New Roman" w:hAnsi="Times New Roman" w:eastAsia="方正黑体_GBK" w:cs="宋体"/>
                <w:color w:val="000000"/>
                <w:spacing w:val="-2"/>
                <w:kern w:val="0"/>
                <w:sz w:val="18"/>
                <w:szCs w:val="18"/>
              </w:rPr>
              <w:t>合价</w:t>
            </w:r>
          </w:p>
        </w:tc>
        <w:tc>
          <w:tcPr>
            <w:tcW w:w="696" w:type="dxa"/>
            <w:vMerge w:val="continue"/>
            <w:tcBorders>
              <w:top w:val="single" w:color="auto" w:sz="8" w:space="0"/>
              <w:left w:val="single" w:color="auto" w:sz="4" w:space="0"/>
              <w:bottom w:val="single" w:color="000000" w:sz="4" w:space="0"/>
              <w:right w:val="single" w:color="auto" w:sz="8" w:space="0"/>
            </w:tcBorders>
            <w:noWrap w:val="0"/>
            <w:vAlign w:val="center"/>
          </w:tcPr>
          <w:p>
            <w:pPr>
              <w:widowControl/>
              <w:jc w:val="left"/>
              <w:rPr>
                <w:rFonts w:ascii="Times New Roman" w:eastAsia="方正黑体_GBK"/>
                <w:color w:val="000000"/>
                <w:spacing w:val="-2"/>
                <w:kern w:val="0"/>
                <w:sz w:val="18"/>
                <w:szCs w:val="18"/>
                <w:lang w:eastAsia="en-US"/>
              </w:rPr>
            </w:pPr>
          </w:p>
        </w:tc>
      </w:tr>
      <w:tr>
        <w:tblPrEx>
          <w:tblCellMar>
            <w:top w:w="0" w:type="dxa"/>
            <w:left w:w="0" w:type="dxa"/>
            <w:bottom w:w="0" w:type="dxa"/>
            <w:right w:w="0" w:type="dxa"/>
          </w:tblCellMar>
        </w:tblPrEx>
        <w:trPr>
          <w:trHeight w:val="775" w:hRule="exact"/>
          <w:jc w:val="center"/>
        </w:trPr>
        <w:tc>
          <w:tcPr>
            <w:tcW w:w="648" w:type="dxa"/>
            <w:tcBorders>
              <w:top w:val="single" w:color="000000" w:sz="4" w:space="0"/>
              <w:left w:val="single" w:color="auto" w:sz="8" w:space="0"/>
              <w:bottom w:val="single" w:color="000000" w:sz="4" w:space="0"/>
              <w:right w:val="single" w:color="000000" w:sz="4" w:space="0"/>
            </w:tcBorders>
            <w:noWrap w:val="0"/>
            <w:tcMar>
              <w:top w:w="28" w:type="dxa"/>
              <w:left w:w="28" w:type="dxa"/>
              <w:bottom w:w="28" w:type="dxa"/>
              <w:right w:w="28" w:type="dxa"/>
            </w:tcMar>
            <w:vAlign w:val="center"/>
          </w:tcPr>
          <w:p>
            <w:pPr>
              <w:spacing w:line="300" w:lineRule="exact"/>
              <w:rPr>
                <w:color w:val="000000"/>
                <w:spacing w:val="-2"/>
              </w:rPr>
            </w:pPr>
          </w:p>
        </w:tc>
        <w:tc>
          <w:tcPr>
            <w:tcW w:w="1060" w:type="dxa"/>
            <w:tcBorders>
              <w:top w:val="single" w:color="000000" w:sz="4" w:space="0"/>
              <w:left w:val="single" w:color="000000" w:sz="4" w:space="0"/>
              <w:bottom w:val="single" w:color="000000" w:sz="4" w:space="0"/>
              <w:right w:val="single" w:color="000000" w:sz="4" w:space="0"/>
            </w:tcBorders>
            <w:noWrap w:val="0"/>
            <w:tcMar>
              <w:top w:w="28" w:type="dxa"/>
              <w:left w:w="28" w:type="dxa"/>
              <w:bottom w:w="28" w:type="dxa"/>
              <w:right w:w="28" w:type="dxa"/>
            </w:tcMar>
            <w:vAlign w:val="top"/>
          </w:tcPr>
          <w:p>
            <w:pPr>
              <w:spacing w:line="300" w:lineRule="exact"/>
              <w:rPr>
                <w:color w:val="000000"/>
                <w:spacing w:val="-2"/>
              </w:rPr>
            </w:pPr>
          </w:p>
        </w:tc>
        <w:tc>
          <w:tcPr>
            <w:tcW w:w="1787" w:type="dxa"/>
            <w:tcBorders>
              <w:top w:val="single" w:color="000000" w:sz="4" w:space="0"/>
              <w:left w:val="single" w:color="000000" w:sz="4" w:space="0"/>
              <w:bottom w:val="single" w:color="000000" w:sz="4" w:space="0"/>
              <w:right w:val="single" w:color="000000" w:sz="4" w:space="0"/>
            </w:tcBorders>
            <w:noWrap w:val="0"/>
            <w:tcMar>
              <w:top w:w="28" w:type="dxa"/>
              <w:left w:w="28" w:type="dxa"/>
              <w:bottom w:w="28" w:type="dxa"/>
              <w:right w:w="28" w:type="dxa"/>
            </w:tcMar>
            <w:vAlign w:val="center"/>
          </w:tcPr>
          <w:p>
            <w:pPr>
              <w:spacing w:line="300" w:lineRule="exact"/>
              <w:rPr>
                <w:color w:val="000000"/>
                <w:spacing w:val="-2"/>
              </w:rPr>
            </w:pPr>
          </w:p>
        </w:tc>
        <w:tc>
          <w:tcPr>
            <w:tcW w:w="566" w:type="dxa"/>
            <w:tcBorders>
              <w:top w:val="single" w:color="000000" w:sz="4" w:space="0"/>
              <w:left w:val="single" w:color="000000" w:sz="4" w:space="0"/>
              <w:bottom w:val="single" w:color="000000" w:sz="4" w:space="0"/>
              <w:right w:val="single" w:color="000000" w:sz="4" w:space="0"/>
            </w:tcBorders>
            <w:noWrap w:val="0"/>
            <w:tcMar>
              <w:top w:w="28" w:type="dxa"/>
              <w:left w:w="28" w:type="dxa"/>
              <w:bottom w:w="28" w:type="dxa"/>
              <w:right w:w="28" w:type="dxa"/>
            </w:tcMar>
            <w:vAlign w:val="center"/>
          </w:tcPr>
          <w:p>
            <w:pPr>
              <w:spacing w:line="300" w:lineRule="exact"/>
              <w:rPr>
                <w:color w:val="000000"/>
                <w:spacing w:val="-2"/>
              </w:rPr>
            </w:pPr>
          </w:p>
        </w:tc>
        <w:tc>
          <w:tcPr>
            <w:tcW w:w="659" w:type="dxa"/>
            <w:tcBorders>
              <w:top w:val="single" w:color="000000" w:sz="4" w:space="0"/>
              <w:left w:val="single" w:color="000000" w:sz="4" w:space="0"/>
              <w:bottom w:val="single" w:color="000000" w:sz="4" w:space="0"/>
              <w:right w:val="single" w:color="auto" w:sz="4" w:space="0"/>
            </w:tcBorders>
            <w:noWrap w:val="0"/>
            <w:tcMar>
              <w:top w:w="28" w:type="dxa"/>
              <w:left w:w="28" w:type="dxa"/>
              <w:bottom w:w="28" w:type="dxa"/>
              <w:right w:w="28" w:type="dxa"/>
            </w:tcMar>
            <w:vAlign w:val="center"/>
          </w:tcPr>
          <w:p>
            <w:pPr>
              <w:spacing w:line="300" w:lineRule="exact"/>
              <w:rPr>
                <w:color w:val="000000"/>
                <w:spacing w:val="-2"/>
              </w:rPr>
            </w:pPr>
          </w:p>
        </w:tc>
        <w:tc>
          <w:tcPr>
            <w:tcW w:w="630" w:type="dxa"/>
            <w:tcBorders>
              <w:top w:val="single" w:color="000000" w:sz="4" w:space="0"/>
              <w:left w:val="single" w:color="auto" w:sz="4" w:space="0"/>
              <w:bottom w:val="single" w:color="000000" w:sz="4" w:space="0"/>
              <w:right w:val="single" w:color="auto" w:sz="4" w:space="0"/>
            </w:tcBorders>
            <w:noWrap w:val="0"/>
            <w:tcMar>
              <w:top w:w="28" w:type="dxa"/>
              <w:left w:w="28" w:type="dxa"/>
              <w:bottom w:w="28" w:type="dxa"/>
              <w:right w:w="28" w:type="dxa"/>
            </w:tcMar>
            <w:vAlign w:val="center"/>
          </w:tcPr>
          <w:p>
            <w:pPr>
              <w:spacing w:line="300" w:lineRule="exact"/>
              <w:rPr>
                <w:color w:val="000000"/>
                <w:spacing w:val="-2"/>
              </w:rPr>
            </w:pPr>
          </w:p>
        </w:tc>
        <w:tc>
          <w:tcPr>
            <w:tcW w:w="574" w:type="dxa"/>
            <w:tcBorders>
              <w:top w:val="single" w:color="000000" w:sz="4" w:space="0"/>
              <w:left w:val="single" w:color="auto" w:sz="4" w:space="0"/>
              <w:bottom w:val="single" w:color="000000" w:sz="4" w:space="0"/>
              <w:right w:val="single" w:color="auto" w:sz="4" w:space="0"/>
            </w:tcBorders>
            <w:noWrap w:val="0"/>
            <w:tcMar>
              <w:top w:w="28" w:type="dxa"/>
              <w:left w:w="28" w:type="dxa"/>
              <w:bottom w:w="28" w:type="dxa"/>
              <w:right w:w="28" w:type="dxa"/>
            </w:tcMar>
            <w:vAlign w:val="center"/>
          </w:tcPr>
          <w:p>
            <w:pPr>
              <w:spacing w:line="300" w:lineRule="exact"/>
              <w:rPr>
                <w:color w:val="000000"/>
                <w:spacing w:val="-2"/>
              </w:rPr>
            </w:pPr>
          </w:p>
        </w:tc>
        <w:tc>
          <w:tcPr>
            <w:tcW w:w="525" w:type="dxa"/>
            <w:tcBorders>
              <w:top w:val="single" w:color="000000" w:sz="4" w:space="0"/>
              <w:left w:val="single" w:color="auto" w:sz="4" w:space="0"/>
              <w:bottom w:val="single" w:color="000000" w:sz="4" w:space="0"/>
              <w:right w:val="single" w:color="auto" w:sz="4" w:space="0"/>
            </w:tcBorders>
            <w:noWrap w:val="0"/>
            <w:tcMar>
              <w:top w:w="28" w:type="dxa"/>
              <w:left w:w="28" w:type="dxa"/>
              <w:bottom w:w="28" w:type="dxa"/>
              <w:right w:w="28" w:type="dxa"/>
            </w:tcMar>
            <w:vAlign w:val="center"/>
          </w:tcPr>
          <w:p>
            <w:pPr>
              <w:spacing w:line="300" w:lineRule="exact"/>
              <w:rPr>
                <w:color w:val="000000"/>
                <w:spacing w:val="-2"/>
              </w:rPr>
            </w:pPr>
          </w:p>
        </w:tc>
        <w:tc>
          <w:tcPr>
            <w:tcW w:w="549" w:type="dxa"/>
            <w:tcBorders>
              <w:top w:val="single" w:color="000000" w:sz="4" w:space="0"/>
              <w:left w:val="single" w:color="auto" w:sz="4" w:space="0"/>
              <w:bottom w:val="single" w:color="000000" w:sz="4" w:space="0"/>
              <w:right w:val="single" w:color="auto" w:sz="4" w:space="0"/>
            </w:tcBorders>
            <w:noWrap w:val="0"/>
            <w:tcMar>
              <w:top w:w="28" w:type="dxa"/>
              <w:left w:w="28" w:type="dxa"/>
              <w:bottom w:w="28" w:type="dxa"/>
              <w:right w:w="28" w:type="dxa"/>
            </w:tcMar>
            <w:vAlign w:val="center"/>
          </w:tcPr>
          <w:p>
            <w:pPr>
              <w:spacing w:line="300" w:lineRule="exact"/>
              <w:rPr>
                <w:color w:val="000000"/>
                <w:spacing w:val="-2"/>
              </w:rPr>
            </w:pPr>
          </w:p>
        </w:tc>
        <w:tc>
          <w:tcPr>
            <w:tcW w:w="485" w:type="dxa"/>
            <w:tcBorders>
              <w:top w:val="single" w:color="000000" w:sz="4" w:space="0"/>
              <w:left w:val="single" w:color="auto" w:sz="4" w:space="0"/>
              <w:bottom w:val="single" w:color="000000" w:sz="4" w:space="0"/>
              <w:right w:val="single" w:color="000000" w:sz="4" w:space="0"/>
            </w:tcBorders>
            <w:noWrap w:val="0"/>
            <w:tcMar>
              <w:top w:w="28" w:type="dxa"/>
              <w:left w:w="28" w:type="dxa"/>
              <w:bottom w:w="28" w:type="dxa"/>
              <w:right w:w="28" w:type="dxa"/>
            </w:tcMar>
            <w:vAlign w:val="center"/>
          </w:tcPr>
          <w:p>
            <w:pPr>
              <w:spacing w:line="300" w:lineRule="exact"/>
              <w:rPr>
                <w:color w:val="000000"/>
                <w:spacing w:val="-2"/>
              </w:rPr>
            </w:pPr>
          </w:p>
        </w:tc>
        <w:tc>
          <w:tcPr>
            <w:tcW w:w="525" w:type="dxa"/>
            <w:tcBorders>
              <w:top w:val="single" w:color="000000" w:sz="4" w:space="0"/>
              <w:left w:val="single" w:color="000000" w:sz="4" w:space="0"/>
              <w:bottom w:val="single" w:color="000000" w:sz="4" w:space="0"/>
              <w:right w:val="single" w:color="auto" w:sz="4" w:space="0"/>
            </w:tcBorders>
            <w:noWrap w:val="0"/>
            <w:tcMar>
              <w:top w:w="28" w:type="dxa"/>
              <w:left w:w="28" w:type="dxa"/>
              <w:bottom w:w="28" w:type="dxa"/>
              <w:right w:w="28" w:type="dxa"/>
            </w:tcMar>
            <w:vAlign w:val="center"/>
          </w:tcPr>
          <w:p>
            <w:pPr>
              <w:spacing w:line="300" w:lineRule="exact"/>
              <w:rPr>
                <w:color w:val="000000"/>
                <w:spacing w:val="-2"/>
              </w:rPr>
            </w:pPr>
          </w:p>
        </w:tc>
        <w:tc>
          <w:tcPr>
            <w:tcW w:w="525" w:type="dxa"/>
            <w:tcBorders>
              <w:top w:val="single" w:color="000000" w:sz="4" w:space="0"/>
              <w:left w:val="single" w:color="auto" w:sz="4" w:space="0"/>
              <w:bottom w:val="single" w:color="000000" w:sz="4" w:space="0"/>
              <w:right w:val="single" w:color="auto" w:sz="4" w:space="0"/>
            </w:tcBorders>
            <w:noWrap w:val="0"/>
            <w:tcMar>
              <w:top w:w="28" w:type="dxa"/>
              <w:left w:w="28" w:type="dxa"/>
              <w:bottom w:w="28" w:type="dxa"/>
              <w:right w:w="28" w:type="dxa"/>
            </w:tcMar>
            <w:vAlign w:val="center"/>
          </w:tcPr>
          <w:p>
            <w:pPr>
              <w:spacing w:line="300" w:lineRule="exact"/>
              <w:rPr>
                <w:color w:val="000000"/>
                <w:spacing w:val="-2"/>
              </w:rPr>
            </w:pPr>
          </w:p>
        </w:tc>
        <w:tc>
          <w:tcPr>
            <w:tcW w:w="696" w:type="dxa"/>
            <w:tcBorders>
              <w:top w:val="single" w:color="000000" w:sz="4" w:space="0"/>
              <w:left w:val="single" w:color="auto" w:sz="4" w:space="0"/>
              <w:bottom w:val="single" w:color="000000" w:sz="4" w:space="0"/>
              <w:right w:val="single" w:color="auto" w:sz="8" w:space="0"/>
            </w:tcBorders>
            <w:noWrap w:val="0"/>
            <w:tcMar>
              <w:top w:w="28" w:type="dxa"/>
              <w:left w:w="28" w:type="dxa"/>
              <w:bottom w:w="28" w:type="dxa"/>
              <w:right w:w="28" w:type="dxa"/>
            </w:tcMar>
            <w:vAlign w:val="center"/>
          </w:tcPr>
          <w:p>
            <w:pPr>
              <w:spacing w:line="300" w:lineRule="exact"/>
              <w:rPr>
                <w:color w:val="000000"/>
                <w:spacing w:val="-2"/>
              </w:rPr>
            </w:pPr>
          </w:p>
        </w:tc>
      </w:tr>
      <w:tr>
        <w:tblPrEx>
          <w:tblCellMar>
            <w:top w:w="0" w:type="dxa"/>
            <w:left w:w="0" w:type="dxa"/>
            <w:bottom w:w="0" w:type="dxa"/>
            <w:right w:w="0" w:type="dxa"/>
          </w:tblCellMar>
        </w:tblPrEx>
        <w:trPr>
          <w:trHeight w:val="775" w:hRule="exact"/>
          <w:jc w:val="center"/>
        </w:trPr>
        <w:tc>
          <w:tcPr>
            <w:tcW w:w="648" w:type="dxa"/>
            <w:tcBorders>
              <w:top w:val="single" w:color="000000" w:sz="4" w:space="0"/>
              <w:left w:val="single" w:color="auto" w:sz="8" w:space="0"/>
              <w:bottom w:val="single" w:color="000000" w:sz="4" w:space="0"/>
              <w:right w:val="single" w:color="000000" w:sz="4" w:space="0"/>
            </w:tcBorders>
            <w:noWrap w:val="0"/>
            <w:vAlign w:val="center"/>
          </w:tcPr>
          <w:p>
            <w:pPr>
              <w:rPr>
                <w:color w:val="000000"/>
                <w:spacing w:val="-2"/>
              </w:rPr>
            </w:pPr>
          </w:p>
        </w:tc>
        <w:tc>
          <w:tcPr>
            <w:tcW w:w="1060" w:type="dxa"/>
            <w:tcBorders>
              <w:top w:val="single" w:color="000000" w:sz="4" w:space="0"/>
              <w:left w:val="single" w:color="000000" w:sz="4" w:space="0"/>
              <w:bottom w:val="single" w:color="000000" w:sz="4" w:space="0"/>
              <w:right w:val="single" w:color="000000" w:sz="4" w:space="0"/>
            </w:tcBorders>
            <w:noWrap w:val="0"/>
            <w:vAlign w:val="top"/>
          </w:tcPr>
          <w:p>
            <w:pPr>
              <w:rPr>
                <w:color w:val="000000"/>
                <w:spacing w:val="-2"/>
              </w:rPr>
            </w:pPr>
          </w:p>
        </w:tc>
        <w:tc>
          <w:tcPr>
            <w:tcW w:w="1787"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566"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659" w:type="dxa"/>
            <w:tcBorders>
              <w:top w:val="single" w:color="000000" w:sz="4" w:space="0"/>
              <w:left w:val="single" w:color="000000" w:sz="4" w:space="0"/>
              <w:bottom w:val="single" w:color="000000" w:sz="4" w:space="0"/>
              <w:right w:val="single" w:color="auto" w:sz="4" w:space="0"/>
            </w:tcBorders>
            <w:noWrap w:val="0"/>
            <w:vAlign w:val="center"/>
          </w:tcPr>
          <w:p>
            <w:pPr>
              <w:rPr>
                <w:color w:val="000000"/>
                <w:spacing w:val="-2"/>
              </w:rPr>
            </w:pPr>
          </w:p>
        </w:tc>
        <w:tc>
          <w:tcPr>
            <w:tcW w:w="630"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574"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525"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549"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485" w:type="dxa"/>
            <w:tcBorders>
              <w:top w:val="single" w:color="000000" w:sz="4" w:space="0"/>
              <w:left w:val="single" w:color="auto" w:sz="4" w:space="0"/>
              <w:bottom w:val="single" w:color="000000" w:sz="4" w:space="0"/>
              <w:right w:val="single" w:color="000000" w:sz="4" w:space="0"/>
            </w:tcBorders>
            <w:noWrap w:val="0"/>
            <w:vAlign w:val="center"/>
          </w:tcPr>
          <w:p>
            <w:pPr>
              <w:rPr>
                <w:color w:val="000000"/>
                <w:spacing w:val="-2"/>
              </w:rPr>
            </w:pPr>
          </w:p>
        </w:tc>
        <w:tc>
          <w:tcPr>
            <w:tcW w:w="525" w:type="dxa"/>
            <w:tcBorders>
              <w:top w:val="single" w:color="000000" w:sz="4" w:space="0"/>
              <w:left w:val="single" w:color="000000" w:sz="4" w:space="0"/>
              <w:bottom w:val="single" w:color="000000" w:sz="4" w:space="0"/>
              <w:right w:val="single" w:color="auto" w:sz="4" w:space="0"/>
            </w:tcBorders>
            <w:noWrap w:val="0"/>
            <w:vAlign w:val="center"/>
          </w:tcPr>
          <w:p>
            <w:pPr>
              <w:rPr>
                <w:color w:val="000000"/>
                <w:spacing w:val="-2"/>
              </w:rPr>
            </w:pPr>
          </w:p>
        </w:tc>
        <w:tc>
          <w:tcPr>
            <w:tcW w:w="525"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696" w:type="dxa"/>
            <w:tcBorders>
              <w:top w:val="single" w:color="000000" w:sz="4" w:space="0"/>
              <w:left w:val="single" w:color="auto" w:sz="4" w:space="0"/>
              <w:bottom w:val="single" w:color="000000" w:sz="4" w:space="0"/>
              <w:right w:val="single" w:color="auto" w:sz="8" w:space="0"/>
            </w:tcBorders>
            <w:noWrap w:val="0"/>
            <w:vAlign w:val="center"/>
          </w:tcPr>
          <w:p>
            <w:pPr>
              <w:rPr>
                <w:color w:val="000000"/>
                <w:spacing w:val="-2"/>
              </w:rPr>
            </w:pPr>
          </w:p>
        </w:tc>
      </w:tr>
      <w:tr>
        <w:tblPrEx>
          <w:tblCellMar>
            <w:top w:w="0" w:type="dxa"/>
            <w:left w:w="0" w:type="dxa"/>
            <w:bottom w:w="0" w:type="dxa"/>
            <w:right w:w="0" w:type="dxa"/>
          </w:tblCellMar>
        </w:tblPrEx>
        <w:trPr>
          <w:trHeight w:val="776" w:hRule="exact"/>
          <w:jc w:val="center"/>
        </w:trPr>
        <w:tc>
          <w:tcPr>
            <w:tcW w:w="648" w:type="dxa"/>
            <w:tcBorders>
              <w:top w:val="single" w:color="000000" w:sz="4" w:space="0"/>
              <w:left w:val="single" w:color="auto" w:sz="8" w:space="0"/>
              <w:bottom w:val="single" w:color="000000" w:sz="4" w:space="0"/>
              <w:right w:val="single" w:color="000000" w:sz="4" w:space="0"/>
            </w:tcBorders>
            <w:noWrap w:val="0"/>
            <w:vAlign w:val="center"/>
          </w:tcPr>
          <w:p>
            <w:pPr>
              <w:rPr>
                <w:color w:val="000000"/>
                <w:spacing w:val="-2"/>
              </w:rPr>
            </w:pPr>
          </w:p>
        </w:tc>
        <w:tc>
          <w:tcPr>
            <w:tcW w:w="1060" w:type="dxa"/>
            <w:tcBorders>
              <w:top w:val="single" w:color="000000" w:sz="4" w:space="0"/>
              <w:left w:val="single" w:color="000000" w:sz="4" w:space="0"/>
              <w:bottom w:val="single" w:color="000000" w:sz="4" w:space="0"/>
              <w:right w:val="single" w:color="000000" w:sz="4" w:space="0"/>
            </w:tcBorders>
            <w:noWrap w:val="0"/>
            <w:vAlign w:val="top"/>
          </w:tcPr>
          <w:p>
            <w:pPr>
              <w:rPr>
                <w:color w:val="000000"/>
                <w:spacing w:val="-2"/>
              </w:rPr>
            </w:pPr>
          </w:p>
        </w:tc>
        <w:tc>
          <w:tcPr>
            <w:tcW w:w="1787"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566"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659" w:type="dxa"/>
            <w:tcBorders>
              <w:top w:val="single" w:color="000000" w:sz="4" w:space="0"/>
              <w:left w:val="single" w:color="000000" w:sz="4" w:space="0"/>
              <w:bottom w:val="single" w:color="000000" w:sz="4" w:space="0"/>
              <w:right w:val="single" w:color="auto" w:sz="4" w:space="0"/>
            </w:tcBorders>
            <w:noWrap w:val="0"/>
            <w:vAlign w:val="center"/>
          </w:tcPr>
          <w:p>
            <w:pPr>
              <w:rPr>
                <w:color w:val="000000"/>
                <w:spacing w:val="-2"/>
              </w:rPr>
            </w:pPr>
          </w:p>
        </w:tc>
        <w:tc>
          <w:tcPr>
            <w:tcW w:w="630"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574"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525"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549"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485" w:type="dxa"/>
            <w:tcBorders>
              <w:top w:val="single" w:color="000000" w:sz="4" w:space="0"/>
              <w:left w:val="single" w:color="auto" w:sz="4" w:space="0"/>
              <w:bottom w:val="single" w:color="000000" w:sz="4" w:space="0"/>
              <w:right w:val="single" w:color="000000" w:sz="4" w:space="0"/>
            </w:tcBorders>
            <w:noWrap w:val="0"/>
            <w:vAlign w:val="center"/>
          </w:tcPr>
          <w:p>
            <w:pPr>
              <w:rPr>
                <w:color w:val="000000"/>
                <w:spacing w:val="-2"/>
              </w:rPr>
            </w:pPr>
          </w:p>
        </w:tc>
        <w:tc>
          <w:tcPr>
            <w:tcW w:w="525" w:type="dxa"/>
            <w:tcBorders>
              <w:top w:val="single" w:color="000000" w:sz="4" w:space="0"/>
              <w:left w:val="single" w:color="000000" w:sz="4" w:space="0"/>
              <w:bottom w:val="single" w:color="000000" w:sz="4" w:space="0"/>
              <w:right w:val="single" w:color="auto" w:sz="4" w:space="0"/>
            </w:tcBorders>
            <w:noWrap w:val="0"/>
            <w:vAlign w:val="center"/>
          </w:tcPr>
          <w:p>
            <w:pPr>
              <w:rPr>
                <w:color w:val="000000"/>
                <w:spacing w:val="-2"/>
              </w:rPr>
            </w:pPr>
          </w:p>
        </w:tc>
        <w:tc>
          <w:tcPr>
            <w:tcW w:w="525"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696" w:type="dxa"/>
            <w:tcBorders>
              <w:top w:val="single" w:color="000000" w:sz="4" w:space="0"/>
              <w:left w:val="single" w:color="auto" w:sz="4" w:space="0"/>
              <w:bottom w:val="single" w:color="000000" w:sz="4" w:space="0"/>
              <w:right w:val="single" w:color="auto" w:sz="8" w:space="0"/>
            </w:tcBorders>
            <w:noWrap w:val="0"/>
            <w:vAlign w:val="center"/>
          </w:tcPr>
          <w:p>
            <w:pPr>
              <w:rPr>
                <w:color w:val="000000"/>
                <w:spacing w:val="-2"/>
              </w:rPr>
            </w:pPr>
          </w:p>
        </w:tc>
      </w:tr>
      <w:tr>
        <w:tblPrEx>
          <w:tblCellMar>
            <w:top w:w="0" w:type="dxa"/>
            <w:left w:w="0" w:type="dxa"/>
            <w:bottom w:w="0" w:type="dxa"/>
            <w:right w:w="0" w:type="dxa"/>
          </w:tblCellMar>
        </w:tblPrEx>
        <w:trPr>
          <w:trHeight w:val="775" w:hRule="exact"/>
          <w:jc w:val="center"/>
        </w:trPr>
        <w:tc>
          <w:tcPr>
            <w:tcW w:w="648" w:type="dxa"/>
            <w:tcBorders>
              <w:top w:val="single" w:color="000000" w:sz="4" w:space="0"/>
              <w:left w:val="single" w:color="auto" w:sz="8" w:space="0"/>
              <w:bottom w:val="single" w:color="000000" w:sz="4" w:space="0"/>
              <w:right w:val="single" w:color="000000" w:sz="4" w:space="0"/>
            </w:tcBorders>
            <w:noWrap w:val="0"/>
            <w:vAlign w:val="center"/>
          </w:tcPr>
          <w:p>
            <w:pPr>
              <w:rPr>
                <w:color w:val="000000"/>
                <w:spacing w:val="-2"/>
              </w:rPr>
            </w:pPr>
          </w:p>
        </w:tc>
        <w:tc>
          <w:tcPr>
            <w:tcW w:w="1060" w:type="dxa"/>
            <w:tcBorders>
              <w:top w:val="single" w:color="000000" w:sz="4" w:space="0"/>
              <w:left w:val="single" w:color="000000" w:sz="4" w:space="0"/>
              <w:bottom w:val="single" w:color="000000" w:sz="4" w:space="0"/>
              <w:right w:val="single" w:color="000000" w:sz="4" w:space="0"/>
            </w:tcBorders>
            <w:noWrap w:val="0"/>
            <w:vAlign w:val="top"/>
          </w:tcPr>
          <w:p>
            <w:pPr>
              <w:rPr>
                <w:color w:val="000000"/>
                <w:spacing w:val="-2"/>
              </w:rPr>
            </w:pPr>
          </w:p>
        </w:tc>
        <w:tc>
          <w:tcPr>
            <w:tcW w:w="1787"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566"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659" w:type="dxa"/>
            <w:tcBorders>
              <w:top w:val="single" w:color="000000" w:sz="4" w:space="0"/>
              <w:left w:val="single" w:color="000000" w:sz="4" w:space="0"/>
              <w:bottom w:val="single" w:color="000000" w:sz="4" w:space="0"/>
              <w:right w:val="single" w:color="auto" w:sz="4" w:space="0"/>
            </w:tcBorders>
            <w:noWrap w:val="0"/>
            <w:vAlign w:val="center"/>
          </w:tcPr>
          <w:p>
            <w:pPr>
              <w:rPr>
                <w:color w:val="000000"/>
                <w:spacing w:val="-2"/>
              </w:rPr>
            </w:pPr>
          </w:p>
        </w:tc>
        <w:tc>
          <w:tcPr>
            <w:tcW w:w="630"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574"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525"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549"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485" w:type="dxa"/>
            <w:tcBorders>
              <w:top w:val="single" w:color="000000" w:sz="4" w:space="0"/>
              <w:left w:val="single" w:color="auto" w:sz="4" w:space="0"/>
              <w:bottom w:val="single" w:color="000000" w:sz="4" w:space="0"/>
              <w:right w:val="single" w:color="000000" w:sz="4" w:space="0"/>
            </w:tcBorders>
            <w:noWrap w:val="0"/>
            <w:vAlign w:val="center"/>
          </w:tcPr>
          <w:p>
            <w:pPr>
              <w:rPr>
                <w:color w:val="000000"/>
                <w:spacing w:val="-2"/>
              </w:rPr>
            </w:pPr>
          </w:p>
        </w:tc>
        <w:tc>
          <w:tcPr>
            <w:tcW w:w="525" w:type="dxa"/>
            <w:tcBorders>
              <w:top w:val="single" w:color="000000" w:sz="4" w:space="0"/>
              <w:left w:val="single" w:color="000000" w:sz="4" w:space="0"/>
              <w:bottom w:val="single" w:color="000000" w:sz="4" w:space="0"/>
              <w:right w:val="single" w:color="auto" w:sz="4" w:space="0"/>
            </w:tcBorders>
            <w:noWrap w:val="0"/>
            <w:vAlign w:val="center"/>
          </w:tcPr>
          <w:p>
            <w:pPr>
              <w:rPr>
                <w:color w:val="000000"/>
                <w:spacing w:val="-2"/>
              </w:rPr>
            </w:pPr>
          </w:p>
        </w:tc>
        <w:tc>
          <w:tcPr>
            <w:tcW w:w="525"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696" w:type="dxa"/>
            <w:tcBorders>
              <w:top w:val="single" w:color="000000" w:sz="4" w:space="0"/>
              <w:left w:val="single" w:color="auto" w:sz="4" w:space="0"/>
              <w:bottom w:val="single" w:color="000000" w:sz="4" w:space="0"/>
              <w:right w:val="single" w:color="auto" w:sz="8" w:space="0"/>
            </w:tcBorders>
            <w:noWrap w:val="0"/>
            <w:vAlign w:val="center"/>
          </w:tcPr>
          <w:p>
            <w:pPr>
              <w:rPr>
                <w:color w:val="000000"/>
                <w:spacing w:val="-2"/>
              </w:rPr>
            </w:pPr>
          </w:p>
        </w:tc>
      </w:tr>
      <w:tr>
        <w:tblPrEx>
          <w:tblCellMar>
            <w:top w:w="0" w:type="dxa"/>
            <w:left w:w="0" w:type="dxa"/>
            <w:bottom w:w="0" w:type="dxa"/>
            <w:right w:w="0" w:type="dxa"/>
          </w:tblCellMar>
        </w:tblPrEx>
        <w:trPr>
          <w:trHeight w:val="775" w:hRule="exact"/>
          <w:jc w:val="center"/>
        </w:trPr>
        <w:tc>
          <w:tcPr>
            <w:tcW w:w="648" w:type="dxa"/>
            <w:tcBorders>
              <w:top w:val="single" w:color="000000" w:sz="4" w:space="0"/>
              <w:left w:val="single" w:color="auto" w:sz="8" w:space="0"/>
              <w:bottom w:val="single" w:color="000000" w:sz="4" w:space="0"/>
              <w:right w:val="single" w:color="000000" w:sz="4" w:space="0"/>
            </w:tcBorders>
            <w:noWrap w:val="0"/>
            <w:vAlign w:val="center"/>
          </w:tcPr>
          <w:p>
            <w:pPr>
              <w:rPr>
                <w:color w:val="000000"/>
                <w:spacing w:val="-2"/>
              </w:rPr>
            </w:pPr>
          </w:p>
        </w:tc>
        <w:tc>
          <w:tcPr>
            <w:tcW w:w="1060" w:type="dxa"/>
            <w:tcBorders>
              <w:top w:val="single" w:color="000000" w:sz="4" w:space="0"/>
              <w:left w:val="single" w:color="000000" w:sz="4" w:space="0"/>
              <w:bottom w:val="single" w:color="000000" w:sz="4" w:space="0"/>
              <w:right w:val="single" w:color="000000" w:sz="4" w:space="0"/>
            </w:tcBorders>
            <w:noWrap w:val="0"/>
            <w:vAlign w:val="top"/>
          </w:tcPr>
          <w:p>
            <w:pPr>
              <w:rPr>
                <w:color w:val="000000"/>
                <w:spacing w:val="-2"/>
              </w:rPr>
            </w:pPr>
          </w:p>
        </w:tc>
        <w:tc>
          <w:tcPr>
            <w:tcW w:w="1787"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566"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659" w:type="dxa"/>
            <w:tcBorders>
              <w:top w:val="single" w:color="000000" w:sz="4" w:space="0"/>
              <w:left w:val="single" w:color="000000" w:sz="4" w:space="0"/>
              <w:bottom w:val="single" w:color="000000" w:sz="4" w:space="0"/>
              <w:right w:val="single" w:color="auto" w:sz="4" w:space="0"/>
            </w:tcBorders>
            <w:noWrap w:val="0"/>
            <w:vAlign w:val="center"/>
          </w:tcPr>
          <w:p>
            <w:pPr>
              <w:rPr>
                <w:color w:val="000000"/>
                <w:spacing w:val="-2"/>
              </w:rPr>
            </w:pPr>
          </w:p>
        </w:tc>
        <w:tc>
          <w:tcPr>
            <w:tcW w:w="630"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574"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525"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549"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485" w:type="dxa"/>
            <w:tcBorders>
              <w:top w:val="single" w:color="000000" w:sz="4" w:space="0"/>
              <w:left w:val="single" w:color="auto" w:sz="4" w:space="0"/>
              <w:bottom w:val="single" w:color="000000" w:sz="4" w:space="0"/>
              <w:right w:val="single" w:color="000000" w:sz="4" w:space="0"/>
            </w:tcBorders>
            <w:noWrap w:val="0"/>
            <w:vAlign w:val="center"/>
          </w:tcPr>
          <w:p>
            <w:pPr>
              <w:rPr>
                <w:color w:val="000000"/>
                <w:spacing w:val="-2"/>
              </w:rPr>
            </w:pPr>
          </w:p>
        </w:tc>
        <w:tc>
          <w:tcPr>
            <w:tcW w:w="525" w:type="dxa"/>
            <w:tcBorders>
              <w:top w:val="single" w:color="000000" w:sz="4" w:space="0"/>
              <w:left w:val="single" w:color="000000" w:sz="4" w:space="0"/>
              <w:bottom w:val="single" w:color="000000" w:sz="4" w:space="0"/>
              <w:right w:val="single" w:color="auto" w:sz="4" w:space="0"/>
            </w:tcBorders>
            <w:noWrap w:val="0"/>
            <w:vAlign w:val="center"/>
          </w:tcPr>
          <w:p>
            <w:pPr>
              <w:rPr>
                <w:color w:val="000000"/>
                <w:spacing w:val="-2"/>
              </w:rPr>
            </w:pPr>
          </w:p>
        </w:tc>
        <w:tc>
          <w:tcPr>
            <w:tcW w:w="525"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696" w:type="dxa"/>
            <w:tcBorders>
              <w:top w:val="single" w:color="000000" w:sz="4" w:space="0"/>
              <w:left w:val="single" w:color="auto" w:sz="4" w:space="0"/>
              <w:bottom w:val="single" w:color="000000" w:sz="4" w:space="0"/>
              <w:right w:val="single" w:color="auto" w:sz="8" w:space="0"/>
            </w:tcBorders>
            <w:noWrap w:val="0"/>
            <w:vAlign w:val="center"/>
          </w:tcPr>
          <w:p>
            <w:pPr>
              <w:rPr>
                <w:color w:val="000000"/>
                <w:spacing w:val="-2"/>
              </w:rPr>
            </w:pPr>
          </w:p>
        </w:tc>
      </w:tr>
      <w:tr>
        <w:tblPrEx>
          <w:tblCellMar>
            <w:top w:w="0" w:type="dxa"/>
            <w:left w:w="0" w:type="dxa"/>
            <w:bottom w:w="0" w:type="dxa"/>
            <w:right w:w="0" w:type="dxa"/>
          </w:tblCellMar>
        </w:tblPrEx>
        <w:trPr>
          <w:trHeight w:val="773" w:hRule="exact"/>
          <w:jc w:val="center"/>
        </w:trPr>
        <w:tc>
          <w:tcPr>
            <w:tcW w:w="648" w:type="dxa"/>
            <w:tcBorders>
              <w:top w:val="single" w:color="000000" w:sz="4" w:space="0"/>
              <w:left w:val="single" w:color="auto" w:sz="8" w:space="0"/>
              <w:bottom w:val="single" w:color="000000" w:sz="4" w:space="0"/>
              <w:right w:val="single" w:color="000000" w:sz="4" w:space="0"/>
            </w:tcBorders>
            <w:noWrap w:val="0"/>
            <w:vAlign w:val="center"/>
          </w:tcPr>
          <w:p>
            <w:pPr>
              <w:rPr>
                <w:color w:val="000000"/>
                <w:spacing w:val="-2"/>
              </w:rPr>
            </w:pPr>
          </w:p>
        </w:tc>
        <w:tc>
          <w:tcPr>
            <w:tcW w:w="1060" w:type="dxa"/>
            <w:tcBorders>
              <w:top w:val="single" w:color="000000" w:sz="4" w:space="0"/>
              <w:left w:val="single" w:color="000000" w:sz="4" w:space="0"/>
              <w:bottom w:val="single" w:color="000000" w:sz="4" w:space="0"/>
              <w:right w:val="single" w:color="000000" w:sz="4" w:space="0"/>
            </w:tcBorders>
            <w:noWrap w:val="0"/>
            <w:vAlign w:val="top"/>
          </w:tcPr>
          <w:p>
            <w:pPr>
              <w:rPr>
                <w:color w:val="000000"/>
                <w:spacing w:val="-2"/>
              </w:rPr>
            </w:pPr>
          </w:p>
        </w:tc>
        <w:tc>
          <w:tcPr>
            <w:tcW w:w="1787"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566"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659" w:type="dxa"/>
            <w:tcBorders>
              <w:top w:val="single" w:color="000000" w:sz="4" w:space="0"/>
              <w:left w:val="single" w:color="000000" w:sz="4" w:space="0"/>
              <w:bottom w:val="single" w:color="000000" w:sz="4" w:space="0"/>
              <w:right w:val="single" w:color="auto" w:sz="4" w:space="0"/>
            </w:tcBorders>
            <w:noWrap w:val="0"/>
            <w:vAlign w:val="center"/>
          </w:tcPr>
          <w:p>
            <w:pPr>
              <w:rPr>
                <w:color w:val="000000"/>
                <w:spacing w:val="-2"/>
              </w:rPr>
            </w:pPr>
          </w:p>
        </w:tc>
        <w:tc>
          <w:tcPr>
            <w:tcW w:w="630"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574"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525"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549"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485" w:type="dxa"/>
            <w:tcBorders>
              <w:top w:val="single" w:color="000000" w:sz="4" w:space="0"/>
              <w:left w:val="single" w:color="auto" w:sz="4" w:space="0"/>
              <w:bottom w:val="single" w:color="000000" w:sz="4" w:space="0"/>
              <w:right w:val="single" w:color="000000" w:sz="4" w:space="0"/>
            </w:tcBorders>
            <w:noWrap w:val="0"/>
            <w:vAlign w:val="center"/>
          </w:tcPr>
          <w:p>
            <w:pPr>
              <w:rPr>
                <w:color w:val="000000"/>
                <w:spacing w:val="-2"/>
              </w:rPr>
            </w:pPr>
          </w:p>
        </w:tc>
        <w:tc>
          <w:tcPr>
            <w:tcW w:w="525" w:type="dxa"/>
            <w:tcBorders>
              <w:top w:val="single" w:color="000000" w:sz="4" w:space="0"/>
              <w:left w:val="single" w:color="000000" w:sz="4" w:space="0"/>
              <w:bottom w:val="single" w:color="000000" w:sz="4" w:space="0"/>
              <w:right w:val="single" w:color="auto" w:sz="4" w:space="0"/>
            </w:tcBorders>
            <w:noWrap w:val="0"/>
            <w:vAlign w:val="center"/>
          </w:tcPr>
          <w:p>
            <w:pPr>
              <w:rPr>
                <w:color w:val="000000"/>
                <w:spacing w:val="-2"/>
              </w:rPr>
            </w:pPr>
          </w:p>
        </w:tc>
        <w:tc>
          <w:tcPr>
            <w:tcW w:w="525"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696" w:type="dxa"/>
            <w:tcBorders>
              <w:top w:val="single" w:color="000000" w:sz="4" w:space="0"/>
              <w:left w:val="single" w:color="auto" w:sz="4" w:space="0"/>
              <w:bottom w:val="single" w:color="000000" w:sz="4" w:space="0"/>
              <w:right w:val="single" w:color="auto" w:sz="8" w:space="0"/>
            </w:tcBorders>
            <w:noWrap w:val="0"/>
            <w:vAlign w:val="center"/>
          </w:tcPr>
          <w:p>
            <w:pPr>
              <w:rPr>
                <w:color w:val="000000"/>
                <w:spacing w:val="-2"/>
              </w:rPr>
            </w:pPr>
          </w:p>
        </w:tc>
      </w:tr>
      <w:tr>
        <w:tblPrEx>
          <w:tblCellMar>
            <w:top w:w="0" w:type="dxa"/>
            <w:left w:w="0" w:type="dxa"/>
            <w:bottom w:w="0" w:type="dxa"/>
            <w:right w:w="0" w:type="dxa"/>
          </w:tblCellMar>
        </w:tblPrEx>
        <w:trPr>
          <w:trHeight w:val="775" w:hRule="exact"/>
          <w:jc w:val="center"/>
        </w:trPr>
        <w:tc>
          <w:tcPr>
            <w:tcW w:w="648" w:type="dxa"/>
            <w:tcBorders>
              <w:top w:val="single" w:color="000000" w:sz="4" w:space="0"/>
              <w:left w:val="single" w:color="auto" w:sz="8" w:space="0"/>
              <w:bottom w:val="single" w:color="000000" w:sz="4" w:space="0"/>
              <w:right w:val="single" w:color="000000" w:sz="4" w:space="0"/>
            </w:tcBorders>
            <w:noWrap w:val="0"/>
            <w:vAlign w:val="center"/>
          </w:tcPr>
          <w:p>
            <w:pPr>
              <w:rPr>
                <w:color w:val="000000"/>
                <w:spacing w:val="-2"/>
              </w:rPr>
            </w:pPr>
          </w:p>
        </w:tc>
        <w:tc>
          <w:tcPr>
            <w:tcW w:w="1060" w:type="dxa"/>
            <w:tcBorders>
              <w:top w:val="single" w:color="000000" w:sz="4" w:space="0"/>
              <w:left w:val="single" w:color="000000" w:sz="4" w:space="0"/>
              <w:bottom w:val="single" w:color="000000" w:sz="4" w:space="0"/>
              <w:right w:val="single" w:color="000000" w:sz="4" w:space="0"/>
            </w:tcBorders>
            <w:noWrap w:val="0"/>
            <w:vAlign w:val="top"/>
          </w:tcPr>
          <w:p>
            <w:pPr>
              <w:rPr>
                <w:color w:val="000000"/>
                <w:spacing w:val="-2"/>
              </w:rPr>
            </w:pPr>
          </w:p>
        </w:tc>
        <w:tc>
          <w:tcPr>
            <w:tcW w:w="1787"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566"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659" w:type="dxa"/>
            <w:tcBorders>
              <w:top w:val="single" w:color="000000" w:sz="4" w:space="0"/>
              <w:left w:val="single" w:color="000000" w:sz="4" w:space="0"/>
              <w:bottom w:val="single" w:color="000000" w:sz="4" w:space="0"/>
              <w:right w:val="single" w:color="auto" w:sz="4" w:space="0"/>
            </w:tcBorders>
            <w:noWrap w:val="0"/>
            <w:vAlign w:val="center"/>
          </w:tcPr>
          <w:p>
            <w:pPr>
              <w:rPr>
                <w:color w:val="000000"/>
                <w:spacing w:val="-2"/>
              </w:rPr>
            </w:pPr>
          </w:p>
        </w:tc>
        <w:tc>
          <w:tcPr>
            <w:tcW w:w="630"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574"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525"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549"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485" w:type="dxa"/>
            <w:tcBorders>
              <w:top w:val="single" w:color="000000" w:sz="4" w:space="0"/>
              <w:left w:val="single" w:color="auto" w:sz="4" w:space="0"/>
              <w:bottom w:val="single" w:color="000000" w:sz="4" w:space="0"/>
              <w:right w:val="single" w:color="000000" w:sz="4" w:space="0"/>
            </w:tcBorders>
            <w:noWrap w:val="0"/>
            <w:vAlign w:val="center"/>
          </w:tcPr>
          <w:p>
            <w:pPr>
              <w:rPr>
                <w:color w:val="000000"/>
                <w:spacing w:val="-2"/>
              </w:rPr>
            </w:pPr>
          </w:p>
        </w:tc>
        <w:tc>
          <w:tcPr>
            <w:tcW w:w="525" w:type="dxa"/>
            <w:tcBorders>
              <w:top w:val="single" w:color="000000" w:sz="4" w:space="0"/>
              <w:left w:val="single" w:color="000000" w:sz="4" w:space="0"/>
              <w:bottom w:val="single" w:color="000000" w:sz="4" w:space="0"/>
              <w:right w:val="single" w:color="auto" w:sz="4" w:space="0"/>
            </w:tcBorders>
            <w:noWrap w:val="0"/>
            <w:vAlign w:val="center"/>
          </w:tcPr>
          <w:p>
            <w:pPr>
              <w:rPr>
                <w:color w:val="000000"/>
                <w:spacing w:val="-2"/>
              </w:rPr>
            </w:pPr>
          </w:p>
        </w:tc>
        <w:tc>
          <w:tcPr>
            <w:tcW w:w="525"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696" w:type="dxa"/>
            <w:tcBorders>
              <w:top w:val="single" w:color="000000" w:sz="4" w:space="0"/>
              <w:left w:val="single" w:color="auto" w:sz="4" w:space="0"/>
              <w:bottom w:val="single" w:color="000000" w:sz="4" w:space="0"/>
              <w:right w:val="single" w:color="auto" w:sz="8" w:space="0"/>
            </w:tcBorders>
            <w:noWrap w:val="0"/>
            <w:vAlign w:val="center"/>
          </w:tcPr>
          <w:p>
            <w:pPr>
              <w:rPr>
                <w:color w:val="000000"/>
                <w:spacing w:val="-2"/>
              </w:rPr>
            </w:pPr>
          </w:p>
        </w:tc>
      </w:tr>
      <w:tr>
        <w:tblPrEx>
          <w:tblCellMar>
            <w:top w:w="0" w:type="dxa"/>
            <w:left w:w="0" w:type="dxa"/>
            <w:bottom w:w="0" w:type="dxa"/>
            <w:right w:w="0" w:type="dxa"/>
          </w:tblCellMar>
        </w:tblPrEx>
        <w:trPr>
          <w:trHeight w:val="776" w:hRule="exact"/>
          <w:jc w:val="center"/>
        </w:trPr>
        <w:tc>
          <w:tcPr>
            <w:tcW w:w="648" w:type="dxa"/>
            <w:tcBorders>
              <w:top w:val="single" w:color="000000" w:sz="4" w:space="0"/>
              <w:left w:val="single" w:color="auto" w:sz="8" w:space="0"/>
              <w:bottom w:val="single" w:color="000000" w:sz="4" w:space="0"/>
              <w:right w:val="single" w:color="000000" w:sz="4" w:space="0"/>
            </w:tcBorders>
            <w:noWrap w:val="0"/>
            <w:vAlign w:val="center"/>
          </w:tcPr>
          <w:p>
            <w:pPr>
              <w:rPr>
                <w:color w:val="000000"/>
                <w:spacing w:val="-2"/>
              </w:rPr>
            </w:pPr>
          </w:p>
        </w:tc>
        <w:tc>
          <w:tcPr>
            <w:tcW w:w="1060" w:type="dxa"/>
            <w:tcBorders>
              <w:top w:val="single" w:color="000000" w:sz="4" w:space="0"/>
              <w:left w:val="single" w:color="000000" w:sz="4" w:space="0"/>
              <w:bottom w:val="single" w:color="000000" w:sz="4" w:space="0"/>
              <w:right w:val="single" w:color="000000" w:sz="4" w:space="0"/>
            </w:tcBorders>
            <w:noWrap w:val="0"/>
            <w:vAlign w:val="top"/>
          </w:tcPr>
          <w:p>
            <w:pPr>
              <w:rPr>
                <w:color w:val="000000"/>
                <w:spacing w:val="-2"/>
              </w:rPr>
            </w:pPr>
          </w:p>
        </w:tc>
        <w:tc>
          <w:tcPr>
            <w:tcW w:w="1787"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566"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659" w:type="dxa"/>
            <w:tcBorders>
              <w:top w:val="single" w:color="000000" w:sz="4" w:space="0"/>
              <w:left w:val="single" w:color="000000" w:sz="4" w:space="0"/>
              <w:bottom w:val="single" w:color="000000" w:sz="4" w:space="0"/>
              <w:right w:val="single" w:color="auto" w:sz="4" w:space="0"/>
            </w:tcBorders>
            <w:noWrap w:val="0"/>
            <w:vAlign w:val="center"/>
          </w:tcPr>
          <w:p>
            <w:pPr>
              <w:rPr>
                <w:color w:val="000000"/>
                <w:spacing w:val="-2"/>
              </w:rPr>
            </w:pPr>
          </w:p>
        </w:tc>
        <w:tc>
          <w:tcPr>
            <w:tcW w:w="630"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574"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525"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549"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485" w:type="dxa"/>
            <w:tcBorders>
              <w:top w:val="single" w:color="000000" w:sz="4" w:space="0"/>
              <w:left w:val="single" w:color="auto" w:sz="4" w:space="0"/>
              <w:bottom w:val="single" w:color="000000" w:sz="4" w:space="0"/>
              <w:right w:val="single" w:color="000000" w:sz="4" w:space="0"/>
            </w:tcBorders>
            <w:noWrap w:val="0"/>
            <w:vAlign w:val="center"/>
          </w:tcPr>
          <w:p>
            <w:pPr>
              <w:rPr>
                <w:color w:val="000000"/>
                <w:spacing w:val="-2"/>
              </w:rPr>
            </w:pPr>
          </w:p>
        </w:tc>
        <w:tc>
          <w:tcPr>
            <w:tcW w:w="525" w:type="dxa"/>
            <w:tcBorders>
              <w:top w:val="single" w:color="000000" w:sz="4" w:space="0"/>
              <w:left w:val="single" w:color="000000" w:sz="4" w:space="0"/>
              <w:bottom w:val="single" w:color="000000" w:sz="4" w:space="0"/>
              <w:right w:val="single" w:color="auto" w:sz="4" w:space="0"/>
            </w:tcBorders>
            <w:noWrap w:val="0"/>
            <w:vAlign w:val="center"/>
          </w:tcPr>
          <w:p>
            <w:pPr>
              <w:rPr>
                <w:color w:val="000000"/>
                <w:spacing w:val="-2"/>
              </w:rPr>
            </w:pPr>
          </w:p>
        </w:tc>
        <w:tc>
          <w:tcPr>
            <w:tcW w:w="525"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696" w:type="dxa"/>
            <w:tcBorders>
              <w:top w:val="single" w:color="000000" w:sz="4" w:space="0"/>
              <w:left w:val="single" w:color="auto" w:sz="4" w:space="0"/>
              <w:bottom w:val="single" w:color="000000" w:sz="4" w:space="0"/>
              <w:right w:val="single" w:color="auto" w:sz="8" w:space="0"/>
            </w:tcBorders>
            <w:noWrap w:val="0"/>
            <w:vAlign w:val="center"/>
          </w:tcPr>
          <w:p>
            <w:pPr>
              <w:rPr>
                <w:color w:val="000000"/>
                <w:spacing w:val="-2"/>
              </w:rPr>
            </w:pPr>
          </w:p>
        </w:tc>
      </w:tr>
      <w:tr>
        <w:tblPrEx>
          <w:tblCellMar>
            <w:top w:w="0" w:type="dxa"/>
            <w:left w:w="0" w:type="dxa"/>
            <w:bottom w:w="0" w:type="dxa"/>
            <w:right w:w="0" w:type="dxa"/>
          </w:tblCellMar>
        </w:tblPrEx>
        <w:trPr>
          <w:trHeight w:val="775" w:hRule="exact"/>
          <w:jc w:val="center"/>
        </w:trPr>
        <w:tc>
          <w:tcPr>
            <w:tcW w:w="648" w:type="dxa"/>
            <w:tcBorders>
              <w:top w:val="single" w:color="000000" w:sz="4" w:space="0"/>
              <w:left w:val="single" w:color="auto" w:sz="8" w:space="0"/>
              <w:bottom w:val="single" w:color="000000" w:sz="4" w:space="0"/>
              <w:right w:val="single" w:color="000000" w:sz="4" w:space="0"/>
            </w:tcBorders>
            <w:noWrap w:val="0"/>
            <w:vAlign w:val="center"/>
          </w:tcPr>
          <w:p>
            <w:pPr>
              <w:rPr>
                <w:color w:val="000000"/>
                <w:spacing w:val="-2"/>
              </w:rPr>
            </w:pPr>
          </w:p>
        </w:tc>
        <w:tc>
          <w:tcPr>
            <w:tcW w:w="1060" w:type="dxa"/>
            <w:tcBorders>
              <w:top w:val="single" w:color="000000" w:sz="4" w:space="0"/>
              <w:left w:val="single" w:color="000000" w:sz="4" w:space="0"/>
              <w:bottom w:val="single" w:color="000000" w:sz="4" w:space="0"/>
              <w:right w:val="single" w:color="000000" w:sz="4" w:space="0"/>
            </w:tcBorders>
            <w:noWrap w:val="0"/>
            <w:vAlign w:val="top"/>
          </w:tcPr>
          <w:p>
            <w:pPr>
              <w:rPr>
                <w:color w:val="000000"/>
                <w:spacing w:val="-2"/>
              </w:rPr>
            </w:pPr>
          </w:p>
        </w:tc>
        <w:tc>
          <w:tcPr>
            <w:tcW w:w="1787"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566"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659" w:type="dxa"/>
            <w:tcBorders>
              <w:top w:val="single" w:color="000000" w:sz="4" w:space="0"/>
              <w:left w:val="single" w:color="000000" w:sz="4" w:space="0"/>
              <w:bottom w:val="single" w:color="000000" w:sz="4" w:space="0"/>
              <w:right w:val="single" w:color="auto" w:sz="4" w:space="0"/>
            </w:tcBorders>
            <w:noWrap w:val="0"/>
            <w:vAlign w:val="center"/>
          </w:tcPr>
          <w:p>
            <w:pPr>
              <w:rPr>
                <w:color w:val="000000"/>
                <w:spacing w:val="-2"/>
              </w:rPr>
            </w:pPr>
          </w:p>
        </w:tc>
        <w:tc>
          <w:tcPr>
            <w:tcW w:w="630"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574"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525"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549"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485" w:type="dxa"/>
            <w:tcBorders>
              <w:top w:val="single" w:color="000000" w:sz="4" w:space="0"/>
              <w:left w:val="single" w:color="auto" w:sz="4" w:space="0"/>
              <w:bottom w:val="single" w:color="000000" w:sz="4" w:space="0"/>
              <w:right w:val="single" w:color="000000" w:sz="4" w:space="0"/>
            </w:tcBorders>
            <w:noWrap w:val="0"/>
            <w:vAlign w:val="center"/>
          </w:tcPr>
          <w:p>
            <w:pPr>
              <w:rPr>
                <w:color w:val="000000"/>
                <w:spacing w:val="-2"/>
              </w:rPr>
            </w:pPr>
          </w:p>
        </w:tc>
        <w:tc>
          <w:tcPr>
            <w:tcW w:w="525" w:type="dxa"/>
            <w:tcBorders>
              <w:top w:val="single" w:color="000000" w:sz="4" w:space="0"/>
              <w:left w:val="single" w:color="000000" w:sz="4" w:space="0"/>
              <w:bottom w:val="single" w:color="000000" w:sz="4" w:space="0"/>
              <w:right w:val="single" w:color="auto" w:sz="4" w:space="0"/>
            </w:tcBorders>
            <w:noWrap w:val="0"/>
            <w:vAlign w:val="center"/>
          </w:tcPr>
          <w:p>
            <w:pPr>
              <w:rPr>
                <w:color w:val="000000"/>
                <w:spacing w:val="-2"/>
              </w:rPr>
            </w:pPr>
          </w:p>
        </w:tc>
        <w:tc>
          <w:tcPr>
            <w:tcW w:w="525"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696" w:type="dxa"/>
            <w:tcBorders>
              <w:top w:val="single" w:color="000000" w:sz="4" w:space="0"/>
              <w:left w:val="single" w:color="auto" w:sz="4" w:space="0"/>
              <w:bottom w:val="single" w:color="000000" w:sz="4" w:space="0"/>
              <w:right w:val="single" w:color="auto" w:sz="8" w:space="0"/>
            </w:tcBorders>
            <w:noWrap w:val="0"/>
            <w:vAlign w:val="center"/>
          </w:tcPr>
          <w:p>
            <w:pPr>
              <w:rPr>
                <w:color w:val="000000"/>
                <w:spacing w:val="-2"/>
              </w:rPr>
            </w:pPr>
          </w:p>
        </w:tc>
      </w:tr>
      <w:tr>
        <w:tblPrEx>
          <w:tblCellMar>
            <w:top w:w="0" w:type="dxa"/>
            <w:left w:w="0" w:type="dxa"/>
            <w:bottom w:w="0" w:type="dxa"/>
            <w:right w:w="0" w:type="dxa"/>
          </w:tblCellMar>
        </w:tblPrEx>
        <w:trPr>
          <w:trHeight w:val="775" w:hRule="exact"/>
          <w:jc w:val="center"/>
        </w:trPr>
        <w:tc>
          <w:tcPr>
            <w:tcW w:w="648" w:type="dxa"/>
            <w:tcBorders>
              <w:top w:val="single" w:color="000000" w:sz="4" w:space="0"/>
              <w:left w:val="single" w:color="auto" w:sz="8" w:space="0"/>
              <w:bottom w:val="single" w:color="000000" w:sz="4" w:space="0"/>
              <w:right w:val="single" w:color="000000" w:sz="4" w:space="0"/>
            </w:tcBorders>
            <w:noWrap w:val="0"/>
            <w:vAlign w:val="center"/>
          </w:tcPr>
          <w:p>
            <w:pPr>
              <w:rPr>
                <w:color w:val="000000"/>
                <w:spacing w:val="-2"/>
              </w:rPr>
            </w:pPr>
          </w:p>
        </w:tc>
        <w:tc>
          <w:tcPr>
            <w:tcW w:w="1060" w:type="dxa"/>
            <w:tcBorders>
              <w:top w:val="single" w:color="000000" w:sz="4" w:space="0"/>
              <w:left w:val="single" w:color="000000" w:sz="4" w:space="0"/>
              <w:bottom w:val="single" w:color="000000" w:sz="4" w:space="0"/>
              <w:right w:val="single" w:color="000000" w:sz="4" w:space="0"/>
            </w:tcBorders>
            <w:noWrap w:val="0"/>
            <w:vAlign w:val="top"/>
          </w:tcPr>
          <w:p>
            <w:pPr>
              <w:rPr>
                <w:color w:val="000000"/>
                <w:spacing w:val="-2"/>
              </w:rPr>
            </w:pPr>
          </w:p>
        </w:tc>
        <w:tc>
          <w:tcPr>
            <w:tcW w:w="1787"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566"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659" w:type="dxa"/>
            <w:tcBorders>
              <w:top w:val="single" w:color="000000" w:sz="4" w:space="0"/>
              <w:left w:val="single" w:color="000000" w:sz="4" w:space="0"/>
              <w:bottom w:val="single" w:color="000000" w:sz="4" w:space="0"/>
              <w:right w:val="single" w:color="auto" w:sz="4" w:space="0"/>
            </w:tcBorders>
            <w:noWrap w:val="0"/>
            <w:vAlign w:val="center"/>
          </w:tcPr>
          <w:p>
            <w:pPr>
              <w:rPr>
                <w:color w:val="000000"/>
                <w:spacing w:val="-2"/>
              </w:rPr>
            </w:pPr>
          </w:p>
        </w:tc>
        <w:tc>
          <w:tcPr>
            <w:tcW w:w="630"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574"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525"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549"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485" w:type="dxa"/>
            <w:tcBorders>
              <w:top w:val="single" w:color="000000" w:sz="4" w:space="0"/>
              <w:left w:val="single" w:color="auto" w:sz="4" w:space="0"/>
              <w:bottom w:val="single" w:color="000000" w:sz="4" w:space="0"/>
              <w:right w:val="single" w:color="000000" w:sz="4" w:space="0"/>
            </w:tcBorders>
            <w:noWrap w:val="0"/>
            <w:vAlign w:val="center"/>
          </w:tcPr>
          <w:p>
            <w:pPr>
              <w:rPr>
                <w:color w:val="000000"/>
                <w:spacing w:val="-2"/>
              </w:rPr>
            </w:pPr>
          </w:p>
        </w:tc>
        <w:tc>
          <w:tcPr>
            <w:tcW w:w="525" w:type="dxa"/>
            <w:tcBorders>
              <w:top w:val="single" w:color="000000" w:sz="4" w:space="0"/>
              <w:left w:val="single" w:color="000000" w:sz="4" w:space="0"/>
              <w:bottom w:val="single" w:color="000000" w:sz="4" w:space="0"/>
              <w:right w:val="single" w:color="auto" w:sz="4" w:space="0"/>
            </w:tcBorders>
            <w:noWrap w:val="0"/>
            <w:vAlign w:val="center"/>
          </w:tcPr>
          <w:p>
            <w:pPr>
              <w:rPr>
                <w:color w:val="000000"/>
                <w:spacing w:val="-2"/>
              </w:rPr>
            </w:pPr>
          </w:p>
        </w:tc>
        <w:tc>
          <w:tcPr>
            <w:tcW w:w="525"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696" w:type="dxa"/>
            <w:tcBorders>
              <w:top w:val="single" w:color="000000" w:sz="4" w:space="0"/>
              <w:left w:val="single" w:color="auto" w:sz="4" w:space="0"/>
              <w:bottom w:val="single" w:color="000000" w:sz="4" w:space="0"/>
              <w:right w:val="single" w:color="auto" w:sz="8" w:space="0"/>
            </w:tcBorders>
            <w:noWrap w:val="0"/>
            <w:vAlign w:val="center"/>
          </w:tcPr>
          <w:p>
            <w:pPr>
              <w:rPr>
                <w:color w:val="000000"/>
                <w:spacing w:val="-2"/>
              </w:rPr>
            </w:pPr>
          </w:p>
        </w:tc>
      </w:tr>
      <w:tr>
        <w:tblPrEx>
          <w:tblCellMar>
            <w:top w:w="0" w:type="dxa"/>
            <w:left w:w="0" w:type="dxa"/>
            <w:bottom w:w="0" w:type="dxa"/>
            <w:right w:w="0" w:type="dxa"/>
          </w:tblCellMar>
        </w:tblPrEx>
        <w:trPr>
          <w:trHeight w:val="775" w:hRule="exact"/>
          <w:jc w:val="center"/>
        </w:trPr>
        <w:tc>
          <w:tcPr>
            <w:tcW w:w="648" w:type="dxa"/>
            <w:tcBorders>
              <w:top w:val="single" w:color="000000" w:sz="4" w:space="0"/>
              <w:left w:val="single" w:color="auto" w:sz="8" w:space="0"/>
              <w:bottom w:val="single" w:color="000000" w:sz="4" w:space="0"/>
              <w:right w:val="single" w:color="000000" w:sz="4" w:space="0"/>
            </w:tcBorders>
            <w:noWrap w:val="0"/>
            <w:vAlign w:val="center"/>
          </w:tcPr>
          <w:p>
            <w:pPr>
              <w:rPr>
                <w:color w:val="000000"/>
                <w:spacing w:val="-2"/>
              </w:rPr>
            </w:pPr>
          </w:p>
        </w:tc>
        <w:tc>
          <w:tcPr>
            <w:tcW w:w="1060" w:type="dxa"/>
            <w:tcBorders>
              <w:top w:val="single" w:color="000000" w:sz="4" w:space="0"/>
              <w:left w:val="single" w:color="000000" w:sz="4" w:space="0"/>
              <w:bottom w:val="single" w:color="000000" w:sz="4" w:space="0"/>
              <w:right w:val="single" w:color="000000" w:sz="4" w:space="0"/>
            </w:tcBorders>
            <w:noWrap w:val="0"/>
            <w:vAlign w:val="top"/>
          </w:tcPr>
          <w:p>
            <w:pPr>
              <w:rPr>
                <w:color w:val="000000"/>
                <w:spacing w:val="-2"/>
              </w:rPr>
            </w:pPr>
          </w:p>
        </w:tc>
        <w:tc>
          <w:tcPr>
            <w:tcW w:w="1787"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566"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659" w:type="dxa"/>
            <w:tcBorders>
              <w:top w:val="single" w:color="000000" w:sz="4" w:space="0"/>
              <w:left w:val="single" w:color="000000" w:sz="4" w:space="0"/>
              <w:bottom w:val="single" w:color="000000" w:sz="4" w:space="0"/>
              <w:right w:val="single" w:color="auto" w:sz="4" w:space="0"/>
            </w:tcBorders>
            <w:noWrap w:val="0"/>
            <w:vAlign w:val="center"/>
          </w:tcPr>
          <w:p>
            <w:pPr>
              <w:rPr>
                <w:color w:val="000000"/>
                <w:spacing w:val="-2"/>
              </w:rPr>
            </w:pPr>
          </w:p>
        </w:tc>
        <w:tc>
          <w:tcPr>
            <w:tcW w:w="630"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574"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525"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549"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485" w:type="dxa"/>
            <w:tcBorders>
              <w:top w:val="single" w:color="000000" w:sz="4" w:space="0"/>
              <w:left w:val="single" w:color="auto" w:sz="4" w:space="0"/>
              <w:bottom w:val="single" w:color="000000" w:sz="4" w:space="0"/>
              <w:right w:val="single" w:color="000000" w:sz="4" w:space="0"/>
            </w:tcBorders>
            <w:noWrap w:val="0"/>
            <w:vAlign w:val="center"/>
          </w:tcPr>
          <w:p>
            <w:pPr>
              <w:rPr>
                <w:color w:val="000000"/>
                <w:spacing w:val="-2"/>
              </w:rPr>
            </w:pPr>
          </w:p>
        </w:tc>
        <w:tc>
          <w:tcPr>
            <w:tcW w:w="525" w:type="dxa"/>
            <w:tcBorders>
              <w:top w:val="single" w:color="000000" w:sz="4" w:space="0"/>
              <w:left w:val="single" w:color="000000" w:sz="4" w:space="0"/>
              <w:bottom w:val="single" w:color="000000" w:sz="4" w:space="0"/>
              <w:right w:val="single" w:color="auto" w:sz="4" w:space="0"/>
            </w:tcBorders>
            <w:noWrap w:val="0"/>
            <w:vAlign w:val="center"/>
          </w:tcPr>
          <w:p>
            <w:pPr>
              <w:rPr>
                <w:color w:val="000000"/>
                <w:spacing w:val="-2"/>
              </w:rPr>
            </w:pPr>
          </w:p>
        </w:tc>
        <w:tc>
          <w:tcPr>
            <w:tcW w:w="525" w:type="dxa"/>
            <w:tcBorders>
              <w:top w:val="single" w:color="000000" w:sz="4" w:space="0"/>
              <w:left w:val="single" w:color="auto" w:sz="4" w:space="0"/>
              <w:bottom w:val="single" w:color="000000" w:sz="4" w:space="0"/>
              <w:right w:val="single" w:color="auto" w:sz="4" w:space="0"/>
            </w:tcBorders>
            <w:noWrap w:val="0"/>
            <w:vAlign w:val="center"/>
          </w:tcPr>
          <w:p>
            <w:pPr>
              <w:rPr>
                <w:color w:val="000000"/>
                <w:spacing w:val="-2"/>
              </w:rPr>
            </w:pPr>
          </w:p>
        </w:tc>
        <w:tc>
          <w:tcPr>
            <w:tcW w:w="696" w:type="dxa"/>
            <w:tcBorders>
              <w:top w:val="single" w:color="000000" w:sz="4" w:space="0"/>
              <w:left w:val="single" w:color="auto" w:sz="4" w:space="0"/>
              <w:bottom w:val="single" w:color="000000" w:sz="4" w:space="0"/>
              <w:right w:val="single" w:color="auto" w:sz="8" w:space="0"/>
            </w:tcBorders>
            <w:noWrap w:val="0"/>
            <w:vAlign w:val="center"/>
          </w:tcPr>
          <w:p>
            <w:pPr>
              <w:rPr>
                <w:color w:val="000000"/>
                <w:spacing w:val="-2"/>
              </w:rPr>
            </w:pPr>
          </w:p>
        </w:tc>
      </w:tr>
      <w:tr>
        <w:tblPrEx>
          <w:tblCellMar>
            <w:top w:w="0" w:type="dxa"/>
            <w:left w:w="0" w:type="dxa"/>
            <w:bottom w:w="0" w:type="dxa"/>
            <w:right w:w="0" w:type="dxa"/>
          </w:tblCellMar>
        </w:tblPrEx>
        <w:trPr>
          <w:trHeight w:val="577" w:hRule="exact"/>
          <w:jc w:val="center"/>
        </w:trPr>
        <w:tc>
          <w:tcPr>
            <w:tcW w:w="5350" w:type="dxa"/>
            <w:gridSpan w:val="6"/>
            <w:tcBorders>
              <w:top w:val="single" w:color="000000" w:sz="4" w:space="0"/>
              <w:left w:val="single" w:color="auto" w:sz="8" w:space="0"/>
              <w:bottom w:val="single" w:color="auto" w:sz="8" w:space="0"/>
              <w:right w:val="single" w:color="auto" w:sz="4" w:space="0"/>
            </w:tcBorders>
            <w:noWrap w:val="0"/>
            <w:vAlign w:val="center"/>
          </w:tcPr>
          <w:p>
            <w:pPr>
              <w:jc w:val="center"/>
              <w:rPr>
                <w:color w:val="000000"/>
                <w:spacing w:val="-2"/>
              </w:rPr>
            </w:pPr>
            <w:r>
              <w:rPr>
                <w:rFonts w:hint="eastAsia"/>
                <w:color w:val="000000"/>
                <w:spacing w:val="-2"/>
              </w:rPr>
              <w:t>合计</w:t>
            </w:r>
          </w:p>
        </w:tc>
        <w:tc>
          <w:tcPr>
            <w:tcW w:w="1099" w:type="dxa"/>
            <w:gridSpan w:val="2"/>
            <w:tcBorders>
              <w:top w:val="single" w:color="000000" w:sz="4" w:space="0"/>
              <w:left w:val="single" w:color="auto" w:sz="4" w:space="0"/>
              <w:bottom w:val="single" w:color="auto" w:sz="8" w:space="0"/>
              <w:right w:val="single" w:color="auto" w:sz="4" w:space="0"/>
            </w:tcBorders>
            <w:noWrap w:val="0"/>
            <w:vAlign w:val="center"/>
          </w:tcPr>
          <w:p>
            <w:pPr>
              <w:rPr>
                <w:color w:val="000000"/>
                <w:spacing w:val="-2"/>
              </w:rPr>
            </w:pPr>
          </w:p>
        </w:tc>
        <w:tc>
          <w:tcPr>
            <w:tcW w:w="1034" w:type="dxa"/>
            <w:gridSpan w:val="2"/>
            <w:tcBorders>
              <w:top w:val="single" w:color="000000" w:sz="4" w:space="0"/>
              <w:left w:val="single" w:color="auto" w:sz="4" w:space="0"/>
              <w:bottom w:val="single" w:color="auto" w:sz="8" w:space="0"/>
              <w:right w:val="single" w:color="000000" w:sz="4" w:space="0"/>
            </w:tcBorders>
            <w:noWrap w:val="0"/>
            <w:vAlign w:val="center"/>
          </w:tcPr>
          <w:p>
            <w:pPr>
              <w:rPr>
                <w:color w:val="000000"/>
                <w:spacing w:val="-2"/>
              </w:rPr>
            </w:pPr>
          </w:p>
        </w:tc>
        <w:tc>
          <w:tcPr>
            <w:tcW w:w="1050" w:type="dxa"/>
            <w:gridSpan w:val="2"/>
            <w:tcBorders>
              <w:top w:val="single" w:color="000000" w:sz="4" w:space="0"/>
              <w:left w:val="single" w:color="000000" w:sz="4" w:space="0"/>
              <w:bottom w:val="single" w:color="auto" w:sz="8" w:space="0"/>
              <w:right w:val="single" w:color="auto" w:sz="4" w:space="0"/>
            </w:tcBorders>
            <w:noWrap w:val="0"/>
            <w:vAlign w:val="center"/>
          </w:tcPr>
          <w:p>
            <w:pPr>
              <w:rPr>
                <w:color w:val="000000"/>
                <w:spacing w:val="-2"/>
              </w:rPr>
            </w:pPr>
          </w:p>
        </w:tc>
        <w:tc>
          <w:tcPr>
            <w:tcW w:w="696" w:type="dxa"/>
            <w:tcBorders>
              <w:top w:val="single" w:color="000000" w:sz="4" w:space="0"/>
              <w:left w:val="single" w:color="auto" w:sz="4" w:space="0"/>
              <w:bottom w:val="single" w:color="auto" w:sz="8" w:space="0"/>
              <w:right w:val="single" w:color="auto" w:sz="8" w:space="0"/>
            </w:tcBorders>
            <w:noWrap w:val="0"/>
            <w:vAlign w:val="center"/>
          </w:tcPr>
          <w:p>
            <w:pPr>
              <w:rPr>
                <w:color w:val="000000"/>
                <w:spacing w:val="-2"/>
              </w:rPr>
            </w:pPr>
          </w:p>
        </w:tc>
      </w:tr>
    </w:tbl>
    <w:p>
      <w:pPr>
        <w:spacing w:line="243" w:lineRule="exact"/>
        <w:ind w:firstLine="258" w:firstLineChars="150"/>
        <w:rPr>
          <w:rFonts w:hAnsi="Times New Roman" w:cs="宋体"/>
          <w:color w:val="000000"/>
          <w:spacing w:val="-2"/>
          <w:sz w:val="18"/>
          <w:szCs w:val="18"/>
        </w:rPr>
      </w:pPr>
    </w:p>
    <w:p>
      <w:pPr>
        <w:spacing w:line="243" w:lineRule="exact"/>
        <w:ind w:firstLine="258" w:firstLineChars="150"/>
        <w:rPr>
          <w:rFonts w:cs="宋体"/>
          <w:color w:val="000000"/>
          <w:spacing w:val="-2"/>
          <w:sz w:val="18"/>
          <w:szCs w:val="18"/>
        </w:rPr>
      </w:pPr>
      <w:r>
        <w:rPr>
          <w:rFonts w:hint="eastAsia" w:hAnsi="Times New Roman" w:cs="宋体"/>
          <w:color w:val="000000"/>
          <w:spacing w:val="-2"/>
          <w:sz w:val="18"/>
          <w:szCs w:val="18"/>
        </w:rPr>
        <w:t>注：</w:t>
      </w:r>
      <w:r>
        <w:rPr>
          <w:rFonts w:cs="宋体"/>
          <w:color w:val="000000"/>
          <w:spacing w:val="-2"/>
          <w:sz w:val="18"/>
          <w:szCs w:val="18"/>
        </w:rPr>
        <w:t>1</w:t>
      </w:r>
      <w:r>
        <w:rPr>
          <w:rFonts w:hint="eastAsia" w:hAnsi="Times New Roman" w:cs="宋体"/>
          <w:color w:val="000000"/>
          <w:spacing w:val="-2"/>
          <w:sz w:val="18"/>
          <w:szCs w:val="18"/>
        </w:rPr>
        <w:t>、此表由招标人填写</w:t>
      </w:r>
      <w:r>
        <w:rPr>
          <w:rFonts w:hint="eastAsia" w:cs="宋体"/>
          <w:color w:val="000000"/>
          <w:spacing w:val="-2"/>
          <w:sz w:val="18"/>
          <w:szCs w:val="18"/>
        </w:rPr>
        <w:t>“</w:t>
      </w:r>
      <w:r>
        <w:rPr>
          <w:rFonts w:hint="eastAsia" w:hAnsi="Times New Roman" w:cs="宋体"/>
          <w:color w:val="000000"/>
          <w:spacing w:val="-2"/>
          <w:sz w:val="18"/>
          <w:szCs w:val="18"/>
        </w:rPr>
        <w:t>材料编码</w:t>
      </w:r>
      <w:r>
        <w:rPr>
          <w:rFonts w:hint="eastAsia" w:cs="宋体"/>
          <w:color w:val="000000"/>
          <w:spacing w:val="-2"/>
          <w:sz w:val="18"/>
          <w:szCs w:val="18"/>
        </w:rPr>
        <w:t>”</w:t>
      </w:r>
      <w:r>
        <w:rPr>
          <w:rFonts w:hint="eastAsia" w:hAnsi="Times New Roman" w:cs="宋体"/>
          <w:color w:val="000000"/>
          <w:spacing w:val="-2"/>
          <w:sz w:val="18"/>
          <w:szCs w:val="18"/>
        </w:rPr>
        <w:t>、</w:t>
      </w:r>
      <w:r>
        <w:rPr>
          <w:rFonts w:hint="eastAsia" w:cs="宋体"/>
          <w:color w:val="000000"/>
          <w:spacing w:val="-2"/>
          <w:sz w:val="18"/>
          <w:szCs w:val="18"/>
        </w:rPr>
        <w:t>“</w:t>
      </w:r>
      <w:r>
        <w:rPr>
          <w:rFonts w:hint="eastAsia" w:hAnsi="Times New Roman" w:cs="宋体"/>
          <w:color w:val="000000"/>
          <w:spacing w:val="-2"/>
          <w:sz w:val="18"/>
          <w:szCs w:val="18"/>
        </w:rPr>
        <w:t>材料（工程设备）名称、规格、型号</w:t>
      </w:r>
      <w:r>
        <w:rPr>
          <w:rFonts w:hint="eastAsia" w:cs="宋体"/>
          <w:color w:val="000000"/>
          <w:spacing w:val="-2"/>
          <w:sz w:val="18"/>
          <w:szCs w:val="18"/>
        </w:rPr>
        <w:t>”</w:t>
      </w:r>
      <w:r>
        <w:rPr>
          <w:rFonts w:hint="eastAsia" w:hAnsi="Times New Roman" w:cs="宋体"/>
          <w:color w:val="000000"/>
          <w:spacing w:val="-2"/>
          <w:sz w:val="18"/>
          <w:szCs w:val="18"/>
        </w:rPr>
        <w:t>、</w:t>
      </w:r>
      <w:r>
        <w:rPr>
          <w:rFonts w:hint="eastAsia" w:cs="宋体"/>
          <w:color w:val="000000"/>
          <w:spacing w:val="-2"/>
          <w:sz w:val="18"/>
          <w:szCs w:val="18"/>
        </w:rPr>
        <w:t>“</w:t>
      </w:r>
      <w:r>
        <w:rPr>
          <w:rFonts w:hint="eastAsia" w:hAnsi="Times New Roman" w:cs="宋体"/>
          <w:color w:val="000000"/>
          <w:spacing w:val="-2"/>
          <w:sz w:val="18"/>
          <w:szCs w:val="18"/>
        </w:rPr>
        <w:t>计量单位</w:t>
      </w:r>
      <w:r>
        <w:rPr>
          <w:rFonts w:hint="eastAsia" w:cs="宋体"/>
          <w:color w:val="000000"/>
          <w:spacing w:val="-2"/>
          <w:sz w:val="18"/>
          <w:szCs w:val="18"/>
        </w:rPr>
        <w:t>”</w:t>
      </w:r>
      <w:r>
        <w:rPr>
          <w:rFonts w:hint="eastAsia" w:hAnsi="Times New Roman" w:cs="宋体"/>
          <w:color w:val="000000"/>
          <w:spacing w:val="-2"/>
          <w:sz w:val="18"/>
          <w:szCs w:val="18"/>
        </w:rPr>
        <w:t>、</w:t>
      </w:r>
      <w:r>
        <w:rPr>
          <w:rFonts w:hint="eastAsia" w:cs="宋体"/>
          <w:color w:val="000000"/>
          <w:spacing w:val="-2"/>
          <w:sz w:val="18"/>
          <w:szCs w:val="18"/>
        </w:rPr>
        <w:t>“</w:t>
      </w:r>
      <w:r>
        <w:rPr>
          <w:rFonts w:hint="eastAsia" w:hAnsi="Times New Roman" w:cs="宋体"/>
          <w:color w:val="000000"/>
          <w:spacing w:val="-2"/>
          <w:sz w:val="18"/>
          <w:szCs w:val="18"/>
        </w:rPr>
        <w:t>暂估单价</w:t>
      </w:r>
      <w:r>
        <w:rPr>
          <w:rFonts w:hint="eastAsia" w:cs="宋体"/>
          <w:color w:val="000000"/>
          <w:spacing w:val="-2"/>
          <w:sz w:val="18"/>
          <w:szCs w:val="18"/>
        </w:rPr>
        <w:t>”</w:t>
      </w:r>
      <w:r>
        <w:rPr>
          <w:rFonts w:hint="eastAsia" w:hAnsi="Times New Roman" w:cs="宋体"/>
          <w:color w:val="000000"/>
          <w:spacing w:val="-2"/>
          <w:sz w:val="18"/>
          <w:szCs w:val="18"/>
        </w:rPr>
        <w:t>，并在备注栏说明暂估价的材料、工程设备拟用在那些清单项目上，投标人应将上述材料、工程设备暂估单价计入工程量清单综合单价报价中，并填写</w:t>
      </w:r>
      <w:r>
        <w:rPr>
          <w:rFonts w:hint="eastAsia" w:cs="宋体"/>
          <w:color w:val="000000"/>
          <w:spacing w:val="-2"/>
          <w:sz w:val="18"/>
          <w:szCs w:val="18"/>
        </w:rPr>
        <w:t>“</w:t>
      </w:r>
      <w:r>
        <w:rPr>
          <w:rFonts w:hint="eastAsia" w:hAnsi="Times New Roman" w:cs="宋体"/>
          <w:color w:val="000000"/>
          <w:spacing w:val="-2"/>
          <w:sz w:val="18"/>
          <w:szCs w:val="18"/>
        </w:rPr>
        <w:t>数量</w:t>
      </w:r>
      <w:r>
        <w:rPr>
          <w:rFonts w:hint="eastAsia" w:cs="宋体"/>
          <w:color w:val="000000"/>
          <w:spacing w:val="-2"/>
          <w:sz w:val="18"/>
          <w:szCs w:val="18"/>
        </w:rPr>
        <w:t>”</w:t>
      </w:r>
      <w:r>
        <w:rPr>
          <w:rFonts w:hint="eastAsia" w:hAnsi="Times New Roman" w:cs="宋体"/>
          <w:color w:val="000000"/>
          <w:spacing w:val="-2"/>
          <w:sz w:val="18"/>
          <w:szCs w:val="18"/>
        </w:rPr>
        <w:t>中的</w:t>
      </w:r>
      <w:r>
        <w:rPr>
          <w:rFonts w:hint="eastAsia" w:cs="宋体"/>
          <w:color w:val="000000"/>
          <w:spacing w:val="-2"/>
          <w:sz w:val="18"/>
          <w:szCs w:val="18"/>
        </w:rPr>
        <w:t>“</w:t>
      </w:r>
      <w:r>
        <w:rPr>
          <w:rFonts w:hint="eastAsia" w:hAnsi="Times New Roman" w:cs="宋体"/>
          <w:color w:val="000000"/>
          <w:spacing w:val="-2"/>
          <w:sz w:val="18"/>
          <w:szCs w:val="18"/>
        </w:rPr>
        <w:t>投标</w:t>
      </w:r>
      <w:r>
        <w:rPr>
          <w:rFonts w:hint="eastAsia" w:cs="宋体"/>
          <w:color w:val="000000"/>
          <w:spacing w:val="-2"/>
          <w:sz w:val="18"/>
          <w:szCs w:val="18"/>
        </w:rPr>
        <w:t>”</w:t>
      </w:r>
      <w:r>
        <w:rPr>
          <w:rFonts w:hint="eastAsia" w:hAnsi="Times New Roman" w:cs="宋体"/>
          <w:color w:val="000000"/>
          <w:spacing w:val="-2"/>
          <w:sz w:val="18"/>
          <w:szCs w:val="18"/>
        </w:rPr>
        <w:t>和</w:t>
      </w:r>
      <w:r>
        <w:rPr>
          <w:rFonts w:hint="eastAsia" w:cs="宋体"/>
          <w:color w:val="000000"/>
          <w:spacing w:val="-2"/>
          <w:sz w:val="18"/>
          <w:szCs w:val="18"/>
        </w:rPr>
        <w:t>“</w:t>
      </w:r>
      <w:r>
        <w:rPr>
          <w:rFonts w:hint="eastAsia" w:hAnsi="Times New Roman" w:cs="宋体"/>
          <w:color w:val="000000"/>
          <w:spacing w:val="-2"/>
          <w:sz w:val="18"/>
          <w:szCs w:val="18"/>
        </w:rPr>
        <w:t>暂估合价</w:t>
      </w:r>
      <w:r>
        <w:rPr>
          <w:rFonts w:hint="eastAsia" w:cs="宋体"/>
          <w:color w:val="000000"/>
          <w:spacing w:val="-2"/>
          <w:sz w:val="18"/>
          <w:szCs w:val="18"/>
        </w:rPr>
        <w:t>”</w:t>
      </w:r>
      <w:r>
        <w:rPr>
          <w:rFonts w:cs="宋体"/>
          <w:color w:val="000000"/>
          <w:spacing w:val="-2"/>
          <w:sz w:val="18"/>
          <w:szCs w:val="18"/>
        </w:rPr>
        <w:t xml:space="preserve"> </w:t>
      </w:r>
      <w:r>
        <w:rPr>
          <w:rFonts w:hint="eastAsia" w:hAnsi="Times New Roman" w:cs="宋体"/>
          <w:color w:val="000000"/>
          <w:spacing w:val="-2"/>
          <w:sz w:val="18"/>
          <w:szCs w:val="18"/>
        </w:rPr>
        <w:t>列。</w:t>
      </w:r>
    </w:p>
    <w:p>
      <w:pPr>
        <w:spacing w:line="243" w:lineRule="exact"/>
        <w:ind w:firstLine="258" w:firstLineChars="150"/>
        <w:rPr>
          <w:color w:val="000000"/>
          <w:spacing w:val="-2"/>
          <w:sz w:val="18"/>
          <w:szCs w:val="18"/>
        </w:rPr>
      </w:pPr>
      <w:r>
        <w:rPr>
          <w:rFonts w:cs="宋体"/>
          <w:color w:val="000000"/>
          <w:spacing w:val="-2"/>
          <w:sz w:val="18"/>
          <w:szCs w:val="18"/>
        </w:rPr>
        <w:t>2</w:t>
      </w:r>
      <w:r>
        <w:rPr>
          <w:rFonts w:hint="eastAsia" w:hAnsi="Times New Roman" w:cs="宋体"/>
          <w:color w:val="000000"/>
          <w:spacing w:val="-2"/>
          <w:sz w:val="18"/>
          <w:szCs w:val="18"/>
        </w:rPr>
        <w:t>、此表中所列暂估材料（工程设备）为暂时不能确定价格的材料（工程设备），不包含发包人供应材料（工程设备）。</w:t>
      </w:r>
    </w:p>
    <w:p>
      <w:pPr>
        <w:spacing w:line="243" w:lineRule="exact"/>
        <w:jc w:val="right"/>
        <w:rPr>
          <w:rFonts w:cs="宋体"/>
          <w:color w:val="000000"/>
          <w:spacing w:val="-2"/>
          <w:sz w:val="18"/>
          <w:szCs w:val="18"/>
        </w:rPr>
      </w:pPr>
      <w:r>
        <w:rPr>
          <w:rFonts w:hint="eastAsia" w:hAnsi="Times New Roman" w:cs="宋体"/>
          <w:color w:val="000000"/>
          <w:spacing w:val="-2"/>
          <w:sz w:val="18"/>
          <w:szCs w:val="18"/>
        </w:rPr>
        <w:t>表</w:t>
      </w:r>
      <w:r>
        <w:rPr>
          <w:color w:val="000000"/>
          <w:spacing w:val="-2"/>
          <w:sz w:val="18"/>
          <w:szCs w:val="18"/>
        </w:rPr>
        <w:t>-12-2</w:t>
      </w:r>
    </w:p>
    <w:p>
      <w:pPr>
        <w:spacing w:line="243" w:lineRule="exact"/>
        <w:jc w:val="center"/>
        <w:rPr>
          <w:rFonts w:ascii="Times New Roman" w:eastAsia="方正黑体_GBK" w:cs="宋体"/>
          <w:color w:val="000000"/>
          <w:spacing w:val="-2"/>
          <w:kern w:val="0"/>
          <w:sz w:val="24"/>
        </w:rPr>
      </w:pPr>
    </w:p>
    <w:p>
      <w:pPr>
        <w:spacing w:line="243" w:lineRule="exact"/>
        <w:jc w:val="center"/>
        <w:rPr>
          <w:rFonts w:hint="eastAsia" w:ascii="Times New Roman" w:eastAsia="方正黑体_GBK" w:cs="宋体"/>
          <w:color w:val="000000"/>
          <w:spacing w:val="-2"/>
          <w:kern w:val="0"/>
          <w:sz w:val="24"/>
        </w:rPr>
      </w:pPr>
    </w:p>
    <w:p>
      <w:pPr>
        <w:spacing w:line="243" w:lineRule="exact"/>
        <w:jc w:val="center"/>
        <w:rPr>
          <w:rFonts w:hint="eastAsia" w:ascii="Times New Roman" w:eastAsia="方正黑体_GBK" w:cs="宋体"/>
          <w:color w:val="000000"/>
          <w:spacing w:val="-2"/>
          <w:kern w:val="0"/>
          <w:sz w:val="24"/>
        </w:rPr>
      </w:pPr>
      <w:r>
        <w:rPr>
          <w:rFonts w:hint="eastAsia" w:ascii="Times New Roman" w:eastAsia="方正黑体_GBK" w:cs="宋体"/>
          <w:color w:val="000000"/>
          <w:spacing w:val="-2"/>
          <w:kern w:val="0"/>
          <w:sz w:val="24"/>
        </w:rPr>
        <w:t>附录H</w:t>
      </w:r>
      <w:r>
        <w:rPr>
          <w:rFonts w:hint="eastAsia" w:ascii="Times New Roman" w:eastAsia="方正黑体_GBK" w:cs="宋体"/>
          <w:color w:val="000000"/>
          <w:spacing w:val="-2"/>
          <w:kern w:val="0"/>
          <w:sz w:val="24"/>
        </w:rPr>
        <w:tab/>
      </w:r>
      <w:r>
        <w:rPr>
          <w:rFonts w:hint="eastAsia" w:ascii="Times New Roman" w:eastAsia="方正黑体_GBK" w:cs="宋体"/>
          <w:color w:val="000000"/>
          <w:spacing w:val="-2"/>
          <w:kern w:val="0"/>
          <w:sz w:val="24"/>
        </w:rPr>
        <w:t>规费、税金项目计价表</w:t>
      </w:r>
      <w:bookmarkEnd w:id="681"/>
      <w:bookmarkEnd w:id="682"/>
      <w:bookmarkEnd w:id="683"/>
    </w:p>
    <w:p>
      <w:pPr>
        <w:spacing w:before="19" w:line="200" w:lineRule="exact"/>
        <w:rPr>
          <w:rFonts w:hint="eastAsia"/>
          <w:color w:val="000000"/>
          <w:spacing w:val="-2"/>
          <w:sz w:val="20"/>
        </w:rPr>
      </w:pPr>
    </w:p>
    <w:p>
      <w:pPr>
        <w:tabs>
          <w:tab w:val="left" w:pos="4094"/>
          <w:tab w:val="left" w:pos="7455"/>
          <w:tab w:val="left" w:pos="7981"/>
          <w:tab w:val="left" w:pos="8715"/>
        </w:tabs>
        <w:spacing w:after="120"/>
        <w:ind w:firstLine="101" w:firstLineChars="50"/>
        <w:rPr>
          <w:rFonts w:ascii="Times New Roman" w:eastAsia="方正仿宋_GBK"/>
          <w:color w:val="000000"/>
          <w:spacing w:val="-2"/>
        </w:rPr>
      </w:pPr>
      <w:r>
        <w:rPr>
          <w:rFonts w:hint="eastAsia" w:ascii="Times New Roman" w:eastAsia="方正仿宋_GBK"/>
          <w:color w:val="000000"/>
          <w:spacing w:val="-2"/>
        </w:rPr>
        <w:t>工程名称：                               标段：                        第  页  共  页</w:t>
      </w:r>
    </w:p>
    <w:p>
      <w:pPr>
        <w:spacing w:before="9" w:line="40" w:lineRule="exact"/>
        <w:rPr>
          <w:rFonts w:hint="eastAsia"/>
          <w:color w:val="000000"/>
          <w:spacing w:val="-2"/>
          <w:sz w:val="4"/>
          <w:szCs w:val="4"/>
        </w:rPr>
      </w:pPr>
    </w:p>
    <w:tbl>
      <w:tblPr>
        <w:tblStyle w:val="12"/>
        <w:tblW w:w="0" w:type="auto"/>
        <w:jc w:val="center"/>
        <w:tblLayout w:type="fixed"/>
        <w:tblCellMar>
          <w:top w:w="0" w:type="dxa"/>
          <w:left w:w="0" w:type="dxa"/>
          <w:bottom w:w="0" w:type="dxa"/>
          <w:right w:w="0" w:type="dxa"/>
        </w:tblCellMar>
      </w:tblPr>
      <w:tblGrid>
        <w:gridCol w:w="740"/>
        <w:gridCol w:w="2458"/>
        <w:gridCol w:w="2211"/>
        <w:gridCol w:w="1134"/>
        <w:gridCol w:w="1134"/>
        <w:gridCol w:w="1042"/>
      </w:tblGrid>
      <w:tr>
        <w:tblPrEx>
          <w:tblCellMar>
            <w:top w:w="0" w:type="dxa"/>
            <w:left w:w="0" w:type="dxa"/>
            <w:bottom w:w="0" w:type="dxa"/>
            <w:right w:w="0" w:type="dxa"/>
          </w:tblCellMar>
        </w:tblPrEx>
        <w:trPr>
          <w:trHeight w:val="888" w:hRule="exact"/>
          <w:jc w:val="center"/>
        </w:trPr>
        <w:tc>
          <w:tcPr>
            <w:tcW w:w="740" w:type="dxa"/>
            <w:tcBorders>
              <w:top w:val="single" w:color="auto" w:sz="8" w:space="0"/>
              <w:left w:val="single" w:color="auto" w:sz="8" w:space="0"/>
              <w:bottom w:val="single" w:color="000000" w:sz="4" w:space="0"/>
              <w:right w:val="single" w:color="000000" w:sz="4" w:space="0"/>
            </w:tcBorders>
            <w:noWrap w:val="0"/>
            <w:tcMar>
              <w:top w:w="108" w:type="dxa"/>
              <w:left w:w="108" w:type="dxa"/>
              <w:bottom w:w="108" w:type="dxa"/>
              <w:right w:w="108" w:type="dxa"/>
            </w:tcMar>
            <w:vAlign w:val="center"/>
          </w:tcPr>
          <w:p>
            <w:pPr>
              <w:jc w:val="center"/>
              <w:rPr>
                <w:rFonts w:ascii="Times New Roman" w:eastAsia="方正黑体_GBK"/>
                <w:color w:val="000000"/>
                <w:spacing w:val="-2"/>
                <w:kern w:val="0"/>
                <w:sz w:val="18"/>
                <w:szCs w:val="18"/>
                <w:lang w:eastAsia="en-US"/>
              </w:rPr>
            </w:pPr>
            <w:r>
              <w:rPr>
                <w:rFonts w:hint="eastAsia" w:ascii="Times New Roman" w:hAnsi="Times New Roman" w:eastAsia="方正黑体_GBK" w:cs="宋体"/>
                <w:color w:val="000000"/>
                <w:spacing w:val="-2"/>
                <w:kern w:val="0"/>
                <w:sz w:val="18"/>
                <w:szCs w:val="18"/>
                <w:lang w:eastAsia="en-US"/>
              </w:rPr>
              <w:t>序号</w:t>
            </w:r>
          </w:p>
        </w:tc>
        <w:tc>
          <w:tcPr>
            <w:tcW w:w="2458" w:type="dxa"/>
            <w:tcBorders>
              <w:top w:val="single" w:color="auto" w:sz="8" w:space="0"/>
              <w:left w:val="single" w:color="000000" w:sz="4" w:space="0"/>
              <w:bottom w:val="single" w:color="000000" w:sz="4" w:space="0"/>
              <w:right w:val="single" w:color="000000" w:sz="4" w:space="0"/>
            </w:tcBorders>
            <w:noWrap w:val="0"/>
            <w:tcMar>
              <w:top w:w="108" w:type="dxa"/>
              <w:left w:w="108" w:type="dxa"/>
              <w:bottom w:w="108" w:type="dxa"/>
              <w:right w:w="108" w:type="dxa"/>
            </w:tcMar>
            <w:vAlign w:val="center"/>
          </w:tcPr>
          <w:p>
            <w:pPr>
              <w:jc w:val="center"/>
              <w:rPr>
                <w:rFonts w:ascii="Times New Roman" w:eastAsia="方正黑体_GBK"/>
                <w:color w:val="000000"/>
                <w:spacing w:val="-2"/>
                <w:kern w:val="0"/>
                <w:sz w:val="18"/>
                <w:szCs w:val="18"/>
                <w:lang w:eastAsia="en-US"/>
              </w:rPr>
            </w:pPr>
            <w:r>
              <w:rPr>
                <w:rFonts w:hint="eastAsia" w:ascii="Times New Roman" w:hAnsi="Times New Roman" w:eastAsia="方正黑体_GBK" w:cs="宋体"/>
                <w:color w:val="000000"/>
                <w:spacing w:val="-2"/>
                <w:kern w:val="0"/>
                <w:sz w:val="18"/>
                <w:szCs w:val="18"/>
                <w:lang w:eastAsia="en-US"/>
              </w:rPr>
              <w:t>项目名称</w:t>
            </w:r>
          </w:p>
        </w:tc>
        <w:tc>
          <w:tcPr>
            <w:tcW w:w="2211" w:type="dxa"/>
            <w:tcBorders>
              <w:top w:val="single" w:color="auto" w:sz="8" w:space="0"/>
              <w:left w:val="single" w:color="000000" w:sz="4" w:space="0"/>
              <w:bottom w:val="single" w:color="000000" w:sz="4" w:space="0"/>
              <w:right w:val="single" w:color="000000" w:sz="4" w:space="0"/>
            </w:tcBorders>
            <w:noWrap w:val="0"/>
            <w:tcMar>
              <w:top w:w="108" w:type="dxa"/>
              <w:left w:w="108" w:type="dxa"/>
              <w:bottom w:w="108" w:type="dxa"/>
              <w:right w:w="108" w:type="dxa"/>
            </w:tcMar>
            <w:vAlign w:val="center"/>
          </w:tcPr>
          <w:p>
            <w:pPr>
              <w:jc w:val="center"/>
              <w:rPr>
                <w:rFonts w:ascii="Times New Roman" w:eastAsia="方正黑体_GBK"/>
                <w:color w:val="000000"/>
                <w:spacing w:val="-2"/>
                <w:kern w:val="0"/>
                <w:sz w:val="18"/>
                <w:szCs w:val="18"/>
                <w:lang w:eastAsia="en-US"/>
              </w:rPr>
            </w:pPr>
            <w:r>
              <w:rPr>
                <w:rFonts w:hint="eastAsia" w:ascii="Times New Roman" w:hAnsi="Times New Roman" w:eastAsia="方正黑体_GBK" w:cs="宋体"/>
                <w:color w:val="000000"/>
                <w:spacing w:val="-2"/>
                <w:kern w:val="0"/>
                <w:sz w:val="18"/>
                <w:szCs w:val="18"/>
                <w:lang w:eastAsia="en-US"/>
              </w:rPr>
              <w:t>计算基础</w:t>
            </w:r>
          </w:p>
        </w:tc>
        <w:tc>
          <w:tcPr>
            <w:tcW w:w="1134" w:type="dxa"/>
            <w:tcBorders>
              <w:top w:val="single" w:color="auto" w:sz="8" w:space="0"/>
              <w:left w:val="single" w:color="000000" w:sz="4" w:space="0"/>
              <w:bottom w:val="single" w:color="000000" w:sz="4" w:space="0"/>
              <w:right w:val="single" w:color="000000" w:sz="6" w:space="0"/>
            </w:tcBorders>
            <w:noWrap w:val="0"/>
            <w:tcMar>
              <w:top w:w="108" w:type="dxa"/>
              <w:left w:w="108" w:type="dxa"/>
              <w:bottom w:w="108" w:type="dxa"/>
              <w:right w:w="108" w:type="dxa"/>
            </w:tcMar>
            <w:vAlign w:val="center"/>
          </w:tcPr>
          <w:p>
            <w:pPr>
              <w:jc w:val="center"/>
              <w:rPr>
                <w:rFonts w:ascii="Times New Roman" w:eastAsia="方正黑体_GBK" w:cs="宋体"/>
                <w:color w:val="000000"/>
                <w:spacing w:val="-2"/>
                <w:kern w:val="0"/>
                <w:sz w:val="18"/>
                <w:szCs w:val="18"/>
              </w:rPr>
            </w:pPr>
            <w:r>
              <w:rPr>
                <w:rFonts w:hint="eastAsia" w:ascii="Times New Roman" w:hAnsi="Times New Roman" w:eastAsia="方正黑体_GBK" w:cs="宋体"/>
                <w:color w:val="000000"/>
                <w:spacing w:val="-2"/>
                <w:kern w:val="0"/>
                <w:sz w:val="18"/>
                <w:szCs w:val="18"/>
              </w:rPr>
              <w:t>计算基数</w:t>
            </w:r>
          </w:p>
          <w:p>
            <w:pPr>
              <w:jc w:val="center"/>
              <w:rPr>
                <w:rFonts w:ascii="Times New Roman" w:eastAsia="方正黑体_GBK"/>
                <w:color w:val="000000"/>
                <w:spacing w:val="-2"/>
                <w:kern w:val="0"/>
                <w:sz w:val="18"/>
                <w:szCs w:val="18"/>
              </w:rPr>
            </w:pPr>
            <w:r>
              <w:rPr>
                <w:rFonts w:hint="eastAsia" w:ascii="Times New Roman" w:hAnsi="Times New Roman" w:eastAsia="方正黑体_GBK" w:cs="宋体"/>
                <w:color w:val="000000"/>
                <w:spacing w:val="-2"/>
                <w:kern w:val="0"/>
                <w:sz w:val="18"/>
                <w:szCs w:val="18"/>
              </w:rPr>
              <w:t>（元）</w:t>
            </w:r>
          </w:p>
        </w:tc>
        <w:tc>
          <w:tcPr>
            <w:tcW w:w="1134" w:type="dxa"/>
            <w:tcBorders>
              <w:top w:val="single" w:color="auto" w:sz="8" w:space="0"/>
              <w:left w:val="single" w:color="000000" w:sz="6" w:space="0"/>
              <w:bottom w:val="single" w:color="000000" w:sz="4" w:space="0"/>
              <w:right w:val="single" w:color="000000" w:sz="4" w:space="0"/>
            </w:tcBorders>
            <w:noWrap w:val="0"/>
            <w:tcMar>
              <w:top w:w="108" w:type="dxa"/>
              <w:left w:w="108" w:type="dxa"/>
              <w:bottom w:w="108" w:type="dxa"/>
              <w:right w:w="108" w:type="dxa"/>
            </w:tcMar>
            <w:vAlign w:val="center"/>
          </w:tcPr>
          <w:p>
            <w:pPr>
              <w:jc w:val="center"/>
              <w:rPr>
                <w:rFonts w:ascii="Times New Roman" w:eastAsia="方正黑体_GBK"/>
                <w:color w:val="000000"/>
                <w:spacing w:val="-2"/>
                <w:kern w:val="0"/>
                <w:sz w:val="18"/>
                <w:szCs w:val="18"/>
                <w:lang w:eastAsia="en-US"/>
              </w:rPr>
            </w:pPr>
            <w:r>
              <w:rPr>
                <w:rFonts w:hint="eastAsia" w:ascii="Times New Roman" w:hAnsi="Times New Roman" w:eastAsia="方正黑体_GBK" w:cs="宋体"/>
                <w:color w:val="000000"/>
                <w:spacing w:val="-2"/>
                <w:kern w:val="0"/>
                <w:sz w:val="18"/>
                <w:szCs w:val="18"/>
              </w:rPr>
              <w:t>计算</w:t>
            </w:r>
            <w:r>
              <w:rPr>
                <w:rFonts w:hint="eastAsia" w:ascii="Times New Roman" w:hAnsi="Times New Roman" w:eastAsia="方正黑体_GBK" w:cs="宋体"/>
                <w:color w:val="000000"/>
                <w:spacing w:val="-2"/>
                <w:kern w:val="0"/>
                <w:sz w:val="18"/>
                <w:szCs w:val="18"/>
                <w:lang w:eastAsia="en-US"/>
              </w:rPr>
              <w:t>费率（</w:t>
            </w:r>
            <w:r>
              <w:rPr>
                <w:rFonts w:hint="eastAsia" w:ascii="Times New Roman" w:eastAsia="方正黑体_GBK" w:cs="宋体"/>
                <w:color w:val="000000"/>
                <w:spacing w:val="-2"/>
                <w:kern w:val="0"/>
                <w:sz w:val="18"/>
                <w:szCs w:val="18"/>
                <w:lang w:eastAsia="en-US"/>
              </w:rPr>
              <w:t>%</w:t>
            </w:r>
            <w:r>
              <w:rPr>
                <w:rFonts w:hint="eastAsia" w:ascii="Times New Roman" w:hAnsi="Times New Roman" w:eastAsia="方正黑体_GBK" w:cs="宋体"/>
                <w:color w:val="000000"/>
                <w:spacing w:val="-2"/>
                <w:kern w:val="0"/>
                <w:sz w:val="18"/>
                <w:szCs w:val="18"/>
                <w:lang w:eastAsia="en-US"/>
              </w:rPr>
              <w:t>）</w:t>
            </w:r>
          </w:p>
        </w:tc>
        <w:tc>
          <w:tcPr>
            <w:tcW w:w="1042" w:type="dxa"/>
            <w:tcBorders>
              <w:top w:val="single" w:color="auto" w:sz="8" w:space="0"/>
              <w:left w:val="single" w:color="000000" w:sz="4" w:space="0"/>
              <w:bottom w:val="single" w:color="000000" w:sz="4" w:space="0"/>
              <w:right w:val="single" w:color="auto" w:sz="8" w:space="0"/>
            </w:tcBorders>
            <w:noWrap w:val="0"/>
            <w:tcMar>
              <w:top w:w="108" w:type="dxa"/>
              <w:left w:w="108" w:type="dxa"/>
              <w:bottom w:w="108" w:type="dxa"/>
              <w:right w:w="108" w:type="dxa"/>
            </w:tcMar>
            <w:vAlign w:val="center"/>
          </w:tcPr>
          <w:p>
            <w:pPr>
              <w:jc w:val="center"/>
              <w:rPr>
                <w:rFonts w:ascii="Times New Roman" w:eastAsia="方正黑体_GBK"/>
                <w:color w:val="000000"/>
                <w:spacing w:val="-2"/>
                <w:kern w:val="0"/>
                <w:sz w:val="18"/>
                <w:szCs w:val="18"/>
                <w:lang w:eastAsia="en-US"/>
              </w:rPr>
            </w:pPr>
            <w:r>
              <w:rPr>
                <w:rFonts w:hint="eastAsia" w:ascii="Times New Roman" w:hAnsi="Times New Roman" w:eastAsia="方正黑体_GBK" w:cs="宋体"/>
                <w:color w:val="000000"/>
                <w:spacing w:val="-2"/>
                <w:kern w:val="0"/>
                <w:sz w:val="18"/>
                <w:szCs w:val="18"/>
                <w:lang w:eastAsia="en-US"/>
              </w:rPr>
              <w:t>金额（元）</w:t>
            </w:r>
          </w:p>
        </w:tc>
      </w:tr>
      <w:tr>
        <w:tblPrEx>
          <w:tblCellMar>
            <w:top w:w="0" w:type="dxa"/>
            <w:left w:w="0" w:type="dxa"/>
            <w:bottom w:w="0" w:type="dxa"/>
            <w:right w:w="0" w:type="dxa"/>
          </w:tblCellMar>
        </w:tblPrEx>
        <w:trPr>
          <w:trHeight w:val="1166" w:hRule="exact"/>
          <w:jc w:val="center"/>
        </w:trPr>
        <w:tc>
          <w:tcPr>
            <w:tcW w:w="740" w:type="dxa"/>
            <w:tcBorders>
              <w:top w:val="single" w:color="000000" w:sz="4" w:space="0"/>
              <w:left w:val="single" w:color="auto" w:sz="8" w:space="0"/>
              <w:bottom w:val="single" w:color="000000" w:sz="4" w:space="0"/>
              <w:right w:val="single" w:color="000000" w:sz="4" w:space="0"/>
            </w:tcBorders>
            <w:noWrap w:val="0"/>
            <w:tcMar>
              <w:top w:w="108" w:type="dxa"/>
              <w:left w:w="108" w:type="dxa"/>
              <w:bottom w:w="108" w:type="dxa"/>
              <w:right w:w="108" w:type="dxa"/>
            </w:tcMar>
            <w:vAlign w:val="center"/>
          </w:tcPr>
          <w:p>
            <w:pPr>
              <w:jc w:val="center"/>
              <w:rPr>
                <w:rFonts w:cs="宋体"/>
                <w:color w:val="000000"/>
                <w:spacing w:val="-2"/>
                <w:kern w:val="0"/>
                <w:sz w:val="18"/>
                <w:szCs w:val="18"/>
                <w:lang w:eastAsia="en-US"/>
              </w:rPr>
            </w:pPr>
            <w:r>
              <w:rPr>
                <w:rFonts w:cs="宋体"/>
                <w:color w:val="000000"/>
                <w:spacing w:val="-2"/>
                <w:kern w:val="0"/>
                <w:sz w:val="18"/>
                <w:szCs w:val="18"/>
                <w:lang w:eastAsia="en-US"/>
              </w:rPr>
              <w:t>1</w:t>
            </w:r>
          </w:p>
        </w:tc>
        <w:tc>
          <w:tcPr>
            <w:tcW w:w="2458" w:type="dxa"/>
            <w:tcBorders>
              <w:top w:val="single" w:color="000000" w:sz="4" w:space="0"/>
              <w:left w:val="single" w:color="000000" w:sz="4" w:space="0"/>
              <w:bottom w:val="single" w:color="000000" w:sz="4" w:space="0"/>
              <w:right w:val="single" w:color="000000" w:sz="4" w:space="0"/>
            </w:tcBorders>
            <w:noWrap w:val="0"/>
            <w:tcMar>
              <w:top w:w="108" w:type="dxa"/>
              <w:left w:w="108" w:type="dxa"/>
              <w:bottom w:w="108" w:type="dxa"/>
              <w:right w:w="108" w:type="dxa"/>
            </w:tcMar>
            <w:vAlign w:val="center"/>
          </w:tcPr>
          <w:p>
            <w:pPr>
              <w:jc w:val="center"/>
              <w:rPr>
                <w:color w:val="000000"/>
                <w:spacing w:val="-2"/>
                <w:kern w:val="0"/>
                <w:sz w:val="18"/>
                <w:szCs w:val="18"/>
                <w:lang w:eastAsia="en-US"/>
              </w:rPr>
            </w:pPr>
            <w:r>
              <w:rPr>
                <w:rFonts w:hint="eastAsia" w:hAnsi="Times New Roman" w:cs="宋体"/>
                <w:color w:val="000000"/>
                <w:spacing w:val="-2"/>
                <w:kern w:val="0"/>
                <w:sz w:val="18"/>
                <w:szCs w:val="18"/>
                <w:lang w:eastAsia="en-US"/>
              </w:rPr>
              <w:t>规费</w:t>
            </w:r>
          </w:p>
        </w:tc>
        <w:tc>
          <w:tcPr>
            <w:tcW w:w="2211" w:type="dxa"/>
            <w:vMerge w:val="restart"/>
            <w:tcBorders>
              <w:top w:val="single" w:color="000000" w:sz="4" w:space="0"/>
              <w:left w:val="single" w:color="000000" w:sz="4" w:space="0"/>
              <w:bottom w:val="single" w:color="000000" w:sz="6" w:space="0"/>
              <w:right w:val="single" w:color="000000" w:sz="4" w:space="0"/>
            </w:tcBorders>
            <w:noWrap w:val="0"/>
            <w:tcMar>
              <w:top w:w="108" w:type="dxa"/>
              <w:left w:w="108" w:type="dxa"/>
              <w:bottom w:w="108" w:type="dxa"/>
              <w:right w:w="108" w:type="dxa"/>
            </w:tcMar>
            <w:vAlign w:val="center"/>
          </w:tcPr>
          <w:p>
            <w:pPr>
              <w:ind w:firstLine="172" w:firstLineChars="100"/>
              <w:jc w:val="center"/>
              <w:rPr>
                <w:rFonts w:cs="宋体"/>
                <w:color w:val="000000"/>
                <w:spacing w:val="-2"/>
                <w:sz w:val="18"/>
                <w:szCs w:val="18"/>
              </w:rPr>
            </w:pPr>
            <w:r>
              <w:rPr>
                <w:rFonts w:hint="eastAsia" w:hAnsi="Times New Roman" w:cs="宋体"/>
                <w:color w:val="000000"/>
                <w:spacing w:val="-2"/>
                <w:sz w:val="18"/>
                <w:szCs w:val="18"/>
              </w:rPr>
              <w:t>分部分项工程费</w:t>
            </w:r>
            <w:r>
              <w:rPr>
                <w:rFonts w:cs="宋体"/>
                <w:color w:val="000000"/>
                <w:spacing w:val="-2"/>
                <w:sz w:val="18"/>
                <w:szCs w:val="18"/>
              </w:rPr>
              <w:t>+</w:t>
            </w:r>
            <w:r>
              <w:rPr>
                <w:rFonts w:hint="eastAsia" w:hAnsi="Times New Roman" w:cs="宋体"/>
                <w:color w:val="000000"/>
                <w:spacing w:val="-2"/>
                <w:sz w:val="18"/>
                <w:szCs w:val="18"/>
              </w:rPr>
              <w:t>措施项目费</w:t>
            </w:r>
            <w:r>
              <w:rPr>
                <w:rFonts w:cs="宋体"/>
                <w:color w:val="000000"/>
                <w:spacing w:val="-2"/>
                <w:sz w:val="18"/>
                <w:szCs w:val="18"/>
              </w:rPr>
              <w:t>+</w:t>
            </w:r>
            <w:r>
              <w:rPr>
                <w:rFonts w:hint="eastAsia" w:hAnsi="Times New Roman" w:cs="宋体"/>
                <w:color w:val="000000"/>
                <w:spacing w:val="-2"/>
                <w:sz w:val="18"/>
                <w:szCs w:val="18"/>
              </w:rPr>
              <w:t>其他项目费</w:t>
            </w:r>
          </w:p>
          <w:p>
            <w:pPr>
              <w:ind w:firstLine="172" w:firstLineChars="100"/>
              <w:jc w:val="center"/>
              <w:rPr>
                <w:color w:val="000000"/>
                <w:spacing w:val="-2"/>
              </w:rPr>
            </w:pPr>
            <w:r>
              <w:rPr>
                <w:rFonts w:cs="宋体"/>
                <w:color w:val="000000"/>
                <w:spacing w:val="-2"/>
                <w:sz w:val="18"/>
                <w:szCs w:val="18"/>
              </w:rPr>
              <w:t>-</w:t>
            </w:r>
            <w:r>
              <w:rPr>
                <w:rFonts w:hint="eastAsia" w:hAnsi="Times New Roman" w:cs="宋体"/>
                <w:color w:val="000000"/>
                <w:spacing w:val="-2"/>
                <w:sz w:val="18"/>
                <w:szCs w:val="18"/>
              </w:rPr>
              <w:t>工程设备费</w:t>
            </w:r>
          </w:p>
        </w:tc>
        <w:tc>
          <w:tcPr>
            <w:tcW w:w="1134" w:type="dxa"/>
            <w:tcBorders>
              <w:top w:val="single" w:color="000000" w:sz="4" w:space="0"/>
              <w:left w:val="single" w:color="000000" w:sz="4" w:space="0"/>
              <w:bottom w:val="single" w:color="000000" w:sz="4" w:space="0"/>
              <w:right w:val="single" w:color="000000" w:sz="6" w:space="0"/>
            </w:tcBorders>
            <w:noWrap w:val="0"/>
            <w:tcMar>
              <w:top w:w="108" w:type="dxa"/>
              <w:left w:w="108" w:type="dxa"/>
              <w:bottom w:w="108" w:type="dxa"/>
              <w:right w:w="108" w:type="dxa"/>
            </w:tcMar>
            <w:vAlign w:val="center"/>
          </w:tcPr>
          <w:p>
            <w:pPr>
              <w:rPr>
                <w:color w:val="000000"/>
                <w:spacing w:val="-2"/>
              </w:rPr>
            </w:pPr>
          </w:p>
        </w:tc>
        <w:tc>
          <w:tcPr>
            <w:tcW w:w="1134" w:type="dxa"/>
            <w:tcBorders>
              <w:top w:val="single" w:color="000000" w:sz="4" w:space="0"/>
              <w:left w:val="single" w:color="000000" w:sz="6" w:space="0"/>
              <w:bottom w:val="single" w:color="000000" w:sz="4" w:space="0"/>
              <w:right w:val="single" w:color="000000" w:sz="4" w:space="0"/>
            </w:tcBorders>
            <w:noWrap w:val="0"/>
            <w:tcMar>
              <w:top w:w="108" w:type="dxa"/>
              <w:left w:w="108" w:type="dxa"/>
              <w:bottom w:w="108" w:type="dxa"/>
              <w:right w:w="108" w:type="dxa"/>
            </w:tcMar>
            <w:vAlign w:val="center"/>
          </w:tcPr>
          <w:p>
            <w:pPr>
              <w:rPr>
                <w:color w:val="000000"/>
                <w:spacing w:val="-2"/>
              </w:rPr>
            </w:pPr>
          </w:p>
        </w:tc>
        <w:tc>
          <w:tcPr>
            <w:tcW w:w="1042" w:type="dxa"/>
            <w:tcBorders>
              <w:top w:val="single" w:color="000000" w:sz="4" w:space="0"/>
              <w:left w:val="single" w:color="000000" w:sz="4" w:space="0"/>
              <w:bottom w:val="single" w:color="000000" w:sz="4" w:space="0"/>
              <w:right w:val="single" w:color="auto" w:sz="8" w:space="0"/>
            </w:tcBorders>
            <w:noWrap w:val="0"/>
            <w:tcMar>
              <w:top w:w="108" w:type="dxa"/>
              <w:left w:w="108" w:type="dxa"/>
              <w:bottom w:w="108" w:type="dxa"/>
              <w:right w:w="108" w:type="dxa"/>
            </w:tcMar>
            <w:vAlign w:val="center"/>
          </w:tcPr>
          <w:p>
            <w:pPr>
              <w:rPr>
                <w:color w:val="000000"/>
                <w:spacing w:val="-2"/>
              </w:rPr>
            </w:pPr>
          </w:p>
        </w:tc>
      </w:tr>
      <w:tr>
        <w:tblPrEx>
          <w:tblCellMar>
            <w:top w:w="0" w:type="dxa"/>
            <w:left w:w="0" w:type="dxa"/>
            <w:bottom w:w="0" w:type="dxa"/>
            <w:right w:w="0" w:type="dxa"/>
          </w:tblCellMar>
        </w:tblPrEx>
        <w:trPr>
          <w:trHeight w:val="1607" w:hRule="exact"/>
          <w:jc w:val="center"/>
        </w:trPr>
        <w:tc>
          <w:tcPr>
            <w:tcW w:w="740" w:type="dxa"/>
            <w:tcBorders>
              <w:top w:val="single" w:color="000000" w:sz="4" w:space="0"/>
              <w:left w:val="single" w:color="auto" w:sz="8" w:space="0"/>
              <w:bottom w:val="single" w:color="000000" w:sz="4" w:space="0"/>
              <w:right w:val="single" w:color="000000" w:sz="4" w:space="0"/>
            </w:tcBorders>
            <w:noWrap w:val="0"/>
            <w:tcMar>
              <w:top w:w="108" w:type="dxa"/>
              <w:left w:w="108" w:type="dxa"/>
              <w:bottom w:w="108" w:type="dxa"/>
              <w:right w:w="108" w:type="dxa"/>
            </w:tcMar>
            <w:vAlign w:val="center"/>
          </w:tcPr>
          <w:p>
            <w:pPr>
              <w:jc w:val="center"/>
              <w:rPr>
                <w:color w:val="000000"/>
                <w:spacing w:val="-2"/>
                <w:kern w:val="0"/>
                <w:sz w:val="18"/>
                <w:szCs w:val="18"/>
                <w:lang w:eastAsia="en-US"/>
              </w:rPr>
            </w:pPr>
            <w:r>
              <w:rPr>
                <w:rFonts w:cs="宋体"/>
                <w:color w:val="000000"/>
                <w:spacing w:val="-2"/>
                <w:kern w:val="0"/>
                <w:sz w:val="18"/>
                <w:szCs w:val="18"/>
                <w:lang w:eastAsia="en-US"/>
              </w:rPr>
              <w:t>1.1</w:t>
            </w:r>
          </w:p>
        </w:tc>
        <w:tc>
          <w:tcPr>
            <w:tcW w:w="2458" w:type="dxa"/>
            <w:tcBorders>
              <w:top w:val="single" w:color="000000" w:sz="4" w:space="0"/>
              <w:left w:val="single" w:color="000000" w:sz="4" w:space="0"/>
              <w:bottom w:val="single" w:color="000000" w:sz="4" w:space="0"/>
              <w:right w:val="single" w:color="000000" w:sz="4" w:space="0"/>
            </w:tcBorders>
            <w:noWrap w:val="0"/>
            <w:tcMar>
              <w:top w:w="108" w:type="dxa"/>
              <w:left w:w="108" w:type="dxa"/>
              <w:bottom w:w="108" w:type="dxa"/>
              <w:right w:w="108" w:type="dxa"/>
            </w:tcMar>
            <w:vAlign w:val="center"/>
          </w:tcPr>
          <w:p>
            <w:pPr>
              <w:jc w:val="center"/>
              <w:rPr>
                <w:color w:val="000000"/>
                <w:spacing w:val="-2"/>
                <w:kern w:val="0"/>
                <w:sz w:val="18"/>
                <w:szCs w:val="18"/>
                <w:lang w:eastAsia="en-US"/>
              </w:rPr>
            </w:pPr>
            <w:r>
              <w:rPr>
                <w:rFonts w:hint="eastAsia" w:hAnsi="Times New Roman" w:cs="宋体"/>
                <w:color w:val="000000"/>
                <w:spacing w:val="-2"/>
                <w:kern w:val="0"/>
                <w:sz w:val="18"/>
                <w:szCs w:val="18"/>
              </w:rPr>
              <w:t>社会保险费</w:t>
            </w:r>
          </w:p>
        </w:tc>
        <w:tc>
          <w:tcPr>
            <w:tcW w:w="2211" w:type="dxa"/>
            <w:vMerge w:val="continue"/>
            <w:tcBorders>
              <w:top w:val="single" w:color="000000" w:sz="4" w:space="0"/>
              <w:left w:val="single" w:color="000000" w:sz="4" w:space="0"/>
              <w:bottom w:val="single" w:color="000000" w:sz="6" w:space="0"/>
              <w:right w:val="single" w:color="000000" w:sz="4" w:space="0"/>
            </w:tcBorders>
            <w:noWrap w:val="0"/>
            <w:tcMar>
              <w:top w:w="108" w:type="dxa"/>
              <w:left w:w="108" w:type="dxa"/>
              <w:bottom w:w="108" w:type="dxa"/>
              <w:right w:w="108" w:type="dxa"/>
            </w:tcMar>
            <w:vAlign w:val="center"/>
          </w:tcPr>
          <w:p>
            <w:pPr>
              <w:widowControl/>
              <w:jc w:val="left"/>
              <w:rPr>
                <w:color w:val="000000"/>
                <w:spacing w:val="-2"/>
              </w:rPr>
            </w:pPr>
          </w:p>
        </w:tc>
        <w:tc>
          <w:tcPr>
            <w:tcW w:w="1134" w:type="dxa"/>
            <w:tcBorders>
              <w:top w:val="single" w:color="000000" w:sz="4" w:space="0"/>
              <w:left w:val="single" w:color="000000" w:sz="4" w:space="0"/>
              <w:bottom w:val="single" w:color="000000" w:sz="4" w:space="0"/>
              <w:right w:val="single" w:color="000000" w:sz="6" w:space="0"/>
            </w:tcBorders>
            <w:noWrap w:val="0"/>
            <w:tcMar>
              <w:top w:w="108" w:type="dxa"/>
              <w:left w:w="108" w:type="dxa"/>
              <w:bottom w:w="108" w:type="dxa"/>
              <w:right w:w="108" w:type="dxa"/>
            </w:tcMar>
            <w:vAlign w:val="center"/>
          </w:tcPr>
          <w:p>
            <w:pPr>
              <w:rPr>
                <w:color w:val="000000"/>
                <w:spacing w:val="-2"/>
              </w:rPr>
            </w:pPr>
          </w:p>
        </w:tc>
        <w:tc>
          <w:tcPr>
            <w:tcW w:w="1134" w:type="dxa"/>
            <w:tcBorders>
              <w:top w:val="single" w:color="000000" w:sz="4" w:space="0"/>
              <w:left w:val="single" w:color="000000" w:sz="6" w:space="0"/>
              <w:bottom w:val="single" w:color="000000" w:sz="4" w:space="0"/>
              <w:right w:val="single" w:color="000000" w:sz="4" w:space="0"/>
            </w:tcBorders>
            <w:noWrap w:val="0"/>
            <w:tcMar>
              <w:top w:w="108" w:type="dxa"/>
              <w:left w:w="108" w:type="dxa"/>
              <w:bottom w:w="108" w:type="dxa"/>
              <w:right w:w="108" w:type="dxa"/>
            </w:tcMar>
            <w:vAlign w:val="center"/>
          </w:tcPr>
          <w:p>
            <w:pPr>
              <w:rPr>
                <w:color w:val="000000"/>
                <w:spacing w:val="-2"/>
              </w:rPr>
            </w:pPr>
          </w:p>
        </w:tc>
        <w:tc>
          <w:tcPr>
            <w:tcW w:w="1042" w:type="dxa"/>
            <w:tcBorders>
              <w:top w:val="single" w:color="000000" w:sz="4" w:space="0"/>
              <w:left w:val="single" w:color="000000" w:sz="4" w:space="0"/>
              <w:bottom w:val="single" w:color="000000" w:sz="4" w:space="0"/>
              <w:right w:val="single" w:color="auto" w:sz="8" w:space="0"/>
            </w:tcBorders>
            <w:noWrap w:val="0"/>
            <w:tcMar>
              <w:top w:w="108" w:type="dxa"/>
              <w:left w:w="108" w:type="dxa"/>
              <w:bottom w:w="108" w:type="dxa"/>
              <w:right w:w="108" w:type="dxa"/>
            </w:tcMar>
            <w:vAlign w:val="center"/>
          </w:tcPr>
          <w:p>
            <w:pPr>
              <w:rPr>
                <w:color w:val="000000"/>
                <w:spacing w:val="-2"/>
              </w:rPr>
            </w:pPr>
          </w:p>
        </w:tc>
      </w:tr>
      <w:tr>
        <w:tblPrEx>
          <w:tblCellMar>
            <w:top w:w="0" w:type="dxa"/>
            <w:left w:w="0" w:type="dxa"/>
            <w:bottom w:w="0" w:type="dxa"/>
            <w:right w:w="0" w:type="dxa"/>
          </w:tblCellMar>
        </w:tblPrEx>
        <w:trPr>
          <w:trHeight w:val="1771" w:hRule="exact"/>
          <w:jc w:val="center"/>
        </w:trPr>
        <w:tc>
          <w:tcPr>
            <w:tcW w:w="740" w:type="dxa"/>
            <w:tcBorders>
              <w:top w:val="single" w:color="000000" w:sz="4" w:space="0"/>
              <w:left w:val="single" w:color="auto" w:sz="8" w:space="0"/>
              <w:bottom w:val="single" w:color="000000" w:sz="4" w:space="0"/>
              <w:right w:val="single" w:color="000000" w:sz="4" w:space="0"/>
            </w:tcBorders>
            <w:noWrap w:val="0"/>
            <w:tcMar>
              <w:top w:w="108" w:type="dxa"/>
              <w:left w:w="108" w:type="dxa"/>
              <w:bottom w:w="108" w:type="dxa"/>
              <w:right w:w="108" w:type="dxa"/>
            </w:tcMar>
            <w:vAlign w:val="center"/>
          </w:tcPr>
          <w:p>
            <w:pPr>
              <w:jc w:val="center"/>
              <w:rPr>
                <w:color w:val="000000"/>
                <w:spacing w:val="-2"/>
                <w:kern w:val="0"/>
                <w:sz w:val="18"/>
                <w:szCs w:val="18"/>
              </w:rPr>
            </w:pPr>
            <w:r>
              <w:rPr>
                <w:rFonts w:cs="宋体"/>
                <w:color w:val="000000"/>
                <w:spacing w:val="-2"/>
                <w:kern w:val="0"/>
                <w:sz w:val="18"/>
                <w:szCs w:val="18"/>
                <w:lang w:eastAsia="en-US"/>
              </w:rPr>
              <w:t>1.</w:t>
            </w:r>
            <w:r>
              <w:rPr>
                <w:rFonts w:cs="宋体"/>
                <w:color w:val="000000"/>
                <w:spacing w:val="-2"/>
                <w:kern w:val="0"/>
                <w:sz w:val="18"/>
                <w:szCs w:val="18"/>
              </w:rPr>
              <w:t>2</w:t>
            </w:r>
          </w:p>
        </w:tc>
        <w:tc>
          <w:tcPr>
            <w:tcW w:w="2458" w:type="dxa"/>
            <w:tcBorders>
              <w:top w:val="single" w:color="000000" w:sz="4" w:space="0"/>
              <w:left w:val="single" w:color="000000" w:sz="4" w:space="0"/>
              <w:bottom w:val="single" w:color="000000" w:sz="4" w:space="0"/>
              <w:right w:val="single" w:color="000000" w:sz="4" w:space="0"/>
            </w:tcBorders>
            <w:noWrap w:val="0"/>
            <w:tcMar>
              <w:top w:w="108" w:type="dxa"/>
              <w:left w:w="108" w:type="dxa"/>
              <w:bottom w:w="108" w:type="dxa"/>
              <w:right w:w="108" w:type="dxa"/>
            </w:tcMar>
            <w:vAlign w:val="center"/>
          </w:tcPr>
          <w:p>
            <w:pPr>
              <w:jc w:val="center"/>
              <w:rPr>
                <w:rFonts w:cs="宋体"/>
                <w:color w:val="000000"/>
                <w:spacing w:val="-2"/>
                <w:kern w:val="0"/>
                <w:sz w:val="18"/>
                <w:szCs w:val="18"/>
              </w:rPr>
            </w:pPr>
            <w:r>
              <w:rPr>
                <w:rFonts w:hint="eastAsia" w:hAnsi="Times New Roman" w:cs="宋体"/>
                <w:color w:val="000000"/>
                <w:spacing w:val="-2"/>
                <w:kern w:val="0"/>
                <w:sz w:val="18"/>
                <w:szCs w:val="18"/>
              </w:rPr>
              <w:t>住房公积金</w:t>
            </w:r>
          </w:p>
        </w:tc>
        <w:tc>
          <w:tcPr>
            <w:tcW w:w="2211" w:type="dxa"/>
            <w:vMerge w:val="continue"/>
            <w:tcBorders>
              <w:top w:val="single" w:color="000000" w:sz="4" w:space="0"/>
              <w:left w:val="single" w:color="000000" w:sz="4" w:space="0"/>
              <w:bottom w:val="single" w:color="000000" w:sz="6" w:space="0"/>
              <w:right w:val="single" w:color="000000" w:sz="4" w:space="0"/>
            </w:tcBorders>
            <w:noWrap w:val="0"/>
            <w:tcMar>
              <w:top w:w="108" w:type="dxa"/>
              <w:left w:w="108" w:type="dxa"/>
              <w:bottom w:w="108" w:type="dxa"/>
              <w:right w:w="108" w:type="dxa"/>
            </w:tcMar>
            <w:vAlign w:val="center"/>
          </w:tcPr>
          <w:p>
            <w:pPr>
              <w:widowControl/>
              <w:jc w:val="left"/>
              <w:rPr>
                <w:color w:val="000000"/>
                <w:spacing w:val="-2"/>
              </w:rPr>
            </w:pPr>
          </w:p>
        </w:tc>
        <w:tc>
          <w:tcPr>
            <w:tcW w:w="1134" w:type="dxa"/>
            <w:tcBorders>
              <w:top w:val="single" w:color="000000" w:sz="4" w:space="0"/>
              <w:left w:val="single" w:color="000000" w:sz="4" w:space="0"/>
              <w:bottom w:val="single" w:color="000000" w:sz="4" w:space="0"/>
              <w:right w:val="single" w:color="000000" w:sz="6" w:space="0"/>
            </w:tcBorders>
            <w:noWrap w:val="0"/>
            <w:tcMar>
              <w:top w:w="108" w:type="dxa"/>
              <w:left w:w="108" w:type="dxa"/>
              <w:bottom w:w="108" w:type="dxa"/>
              <w:right w:w="108" w:type="dxa"/>
            </w:tcMar>
            <w:vAlign w:val="center"/>
          </w:tcPr>
          <w:p>
            <w:pPr>
              <w:rPr>
                <w:color w:val="000000"/>
                <w:spacing w:val="-2"/>
              </w:rPr>
            </w:pPr>
          </w:p>
        </w:tc>
        <w:tc>
          <w:tcPr>
            <w:tcW w:w="1134" w:type="dxa"/>
            <w:tcBorders>
              <w:top w:val="single" w:color="000000" w:sz="4" w:space="0"/>
              <w:left w:val="single" w:color="000000" w:sz="6" w:space="0"/>
              <w:bottom w:val="single" w:color="000000" w:sz="4" w:space="0"/>
              <w:right w:val="single" w:color="000000" w:sz="4" w:space="0"/>
            </w:tcBorders>
            <w:noWrap w:val="0"/>
            <w:tcMar>
              <w:top w:w="108" w:type="dxa"/>
              <w:left w:w="108" w:type="dxa"/>
              <w:bottom w:w="108" w:type="dxa"/>
              <w:right w:w="108" w:type="dxa"/>
            </w:tcMar>
            <w:vAlign w:val="center"/>
          </w:tcPr>
          <w:p>
            <w:pPr>
              <w:rPr>
                <w:color w:val="000000"/>
                <w:spacing w:val="-2"/>
              </w:rPr>
            </w:pPr>
          </w:p>
        </w:tc>
        <w:tc>
          <w:tcPr>
            <w:tcW w:w="1042" w:type="dxa"/>
            <w:tcBorders>
              <w:top w:val="single" w:color="000000" w:sz="4" w:space="0"/>
              <w:left w:val="single" w:color="000000" w:sz="4" w:space="0"/>
              <w:bottom w:val="single" w:color="000000" w:sz="4" w:space="0"/>
              <w:right w:val="single" w:color="auto" w:sz="8" w:space="0"/>
            </w:tcBorders>
            <w:noWrap w:val="0"/>
            <w:tcMar>
              <w:top w:w="108" w:type="dxa"/>
              <w:left w:w="108" w:type="dxa"/>
              <w:bottom w:w="108" w:type="dxa"/>
              <w:right w:w="108" w:type="dxa"/>
            </w:tcMar>
            <w:vAlign w:val="center"/>
          </w:tcPr>
          <w:p>
            <w:pPr>
              <w:rPr>
                <w:color w:val="000000"/>
                <w:spacing w:val="-2"/>
              </w:rPr>
            </w:pPr>
          </w:p>
        </w:tc>
      </w:tr>
      <w:tr>
        <w:tblPrEx>
          <w:tblCellMar>
            <w:top w:w="0" w:type="dxa"/>
            <w:left w:w="0" w:type="dxa"/>
            <w:bottom w:w="0" w:type="dxa"/>
            <w:right w:w="0" w:type="dxa"/>
          </w:tblCellMar>
        </w:tblPrEx>
        <w:trPr>
          <w:trHeight w:val="1542" w:hRule="exact"/>
          <w:jc w:val="center"/>
        </w:trPr>
        <w:tc>
          <w:tcPr>
            <w:tcW w:w="740" w:type="dxa"/>
            <w:tcBorders>
              <w:top w:val="single" w:color="000000" w:sz="4" w:space="0"/>
              <w:left w:val="single" w:color="auto" w:sz="8" w:space="0"/>
              <w:bottom w:val="single" w:color="000000" w:sz="6" w:space="0"/>
              <w:right w:val="single" w:color="000000" w:sz="4" w:space="0"/>
            </w:tcBorders>
            <w:noWrap w:val="0"/>
            <w:tcMar>
              <w:top w:w="108" w:type="dxa"/>
              <w:left w:w="108" w:type="dxa"/>
              <w:bottom w:w="108" w:type="dxa"/>
              <w:right w:w="108" w:type="dxa"/>
            </w:tcMar>
            <w:vAlign w:val="center"/>
          </w:tcPr>
          <w:p>
            <w:pPr>
              <w:jc w:val="center"/>
              <w:rPr>
                <w:color w:val="000000"/>
                <w:spacing w:val="-2"/>
              </w:rPr>
            </w:pPr>
            <w:r>
              <w:rPr>
                <w:rFonts w:cs="宋体"/>
                <w:color w:val="000000"/>
                <w:spacing w:val="-2"/>
                <w:sz w:val="18"/>
                <w:szCs w:val="18"/>
              </w:rPr>
              <w:t>1.3</w:t>
            </w:r>
          </w:p>
        </w:tc>
        <w:tc>
          <w:tcPr>
            <w:tcW w:w="2458" w:type="dxa"/>
            <w:tcBorders>
              <w:top w:val="single" w:color="000000" w:sz="4" w:space="0"/>
              <w:left w:val="single" w:color="000000" w:sz="4" w:space="0"/>
              <w:bottom w:val="single" w:color="000000" w:sz="6" w:space="0"/>
              <w:right w:val="single" w:color="000000" w:sz="4" w:space="0"/>
            </w:tcBorders>
            <w:noWrap w:val="0"/>
            <w:tcMar>
              <w:top w:w="108" w:type="dxa"/>
              <w:left w:w="108" w:type="dxa"/>
              <w:bottom w:w="108" w:type="dxa"/>
              <w:right w:w="108" w:type="dxa"/>
            </w:tcMar>
            <w:vAlign w:val="center"/>
          </w:tcPr>
          <w:p>
            <w:pPr>
              <w:jc w:val="center"/>
              <w:rPr>
                <w:rFonts w:cs="宋体"/>
                <w:color w:val="000000"/>
                <w:spacing w:val="-2"/>
                <w:kern w:val="0"/>
                <w:sz w:val="18"/>
                <w:szCs w:val="18"/>
              </w:rPr>
            </w:pPr>
            <w:r>
              <w:rPr>
                <w:rFonts w:hint="eastAsia" w:hAnsi="Times New Roman" w:cs="宋体"/>
                <w:color w:val="000000"/>
                <w:spacing w:val="-2"/>
                <w:kern w:val="0"/>
                <w:sz w:val="18"/>
                <w:szCs w:val="18"/>
              </w:rPr>
              <w:t>工程排污费</w:t>
            </w:r>
          </w:p>
        </w:tc>
        <w:tc>
          <w:tcPr>
            <w:tcW w:w="2211" w:type="dxa"/>
            <w:vMerge w:val="continue"/>
            <w:tcBorders>
              <w:top w:val="single" w:color="000000" w:sz="4" w:space="0"/>
              <w:left w:val="single" w:color="000000" w:sz="4" w:space="0"/>
              <w:bottom w:val="single" w:color="000000" w:sz="6" w:space="0"/>
              <w:right w:val="single" w:color="000000" w:sz="4" w:space="0"/>
            </w:tcBorders>
            <w:noWrap w:val="0"/>
            <w:tcMar>
              <w:top w:w="108" w:type="dxa"/>
              <w:left w:w="108" w:type="dxa"/>
              <w:bottom w:w="108" w:type="dxa"/>
              <w:right w:w="108" w:type="dxa"/>
            </w:tcMar>
            <w:vAlign w:val="center"/>
          </w:tcPr>
          <w:p>
            <w:pPr>
              <w:widowControl/>
              <w:jc w:val="left"/>
              <w:rPr>
                <w:color w:val="000000"/>
                <w:spacing w:val="-2"/>
              </w:rPr>
            </w:pPr>
          </w:p>
        </w:tc>
        <w:tc>
          <w:tcPr>
            <w:tcW w:w="1134" w:type="dxa"/>
            <w:tcBorders>
              <w:top w:val="single" w:color="000000" w:sz="4" w:space="0"/>
              <w:left w:val="single" w:color="000000" w:sz="4" w:space="0"/>
              <w:bottom w:val="single" w:color="000000" w:sz="6" w:space="0"/>
              <w:right w:val="single" w:color="000000" w:sz="6" w:space="0"/>
            </w:tcBorders>
            <w:noWrap w:val="0"/>
            <w:tcMar>
              <w:top w:w="108" w:type="dxa"/>
              <w:left w:w="108" w:type="dxa"/>
              <w:bottom w:w="108" w:type="dxa"/>
              <w:right w:w="108" w:type="dxa"/>
            </w:tcMar>
            <w:vAlign w:val="center"/>
          </w:tcPr>
          <w:p>
            <w:pPr>
              <w:rPr>
                <w:color w:val="000000"/>
                <w:spacing w:val="-2"/>
              </w:rPr>
            </w:pPr>
          </w:p>
        </w:tc>
        <w:tc>
          <w:tcPr>
            <w:tcW w:w="1134" w:type="dxa"/>
            <w:tcBorders>
              <w:top w:val="single" w:color="000000" w:sz="4" w:space="0"/>
              <w:left w:val="single" w:color="000000" w:sz="6" w:space="0"/>
              <w:bottom w:val="single" w:color="000000" w:sz="6" w:space="0"/>
              <w:right w:val="single" w:color="000000" w:sz="4" w:space="0"/>
            </w:tcBorders>
            <w:noWrap w:val="0"/>
            <w:tcMar>
              <w:top w:w="108" w:type="dxa"/>
              <w:left w:w="108" w:type="dxa"/>
              <w:bottom w:w="108" w:type="dxa"/>
              <w:right w:w="108" w:type="dxa"/>
            </w:tcMar>
            <w:vAlign w:val="center"/>
          </w:tcPr>
          <w:p>
            <w:pPr>
              <w:rPr>
                <w:color w:val="000000"/>
                <w:spacing w:val="-2"/>
              </w:rPr>
            </w:pPr>
          </w:p>
        </w:tc>
        <w:tc>
          <w:tcPr>
            <w:tcW w:w="1042" w:type="dxa"/>
            <w:tcBorders>
              <w:top w:val="single" w:color="000000" w:sz="4" w:space="0"/>
              <w:left w:val="single" w:color="000000" w:sz="4" w:space="0"/>
              <w:bottom w:val="single" w:color="000000" w:sz="6" w:space="0"/>
              <w:right w:val="single" w:color="auto" w:sz="8" w:space="0"/>
            </w:tcBorders>
            <w:noWrap w:val="0"/>
            <w:tcMar>
              <w:top w:w="108" w:type="dxa"/>
              <w:left w:w="108" w:type="dxa"/>
              <w:bottom w:w="108" w:type="dxa"/>
              <w:right w:w="108" w:type="dxa"/>
            </w:tcMar>
            <w:vAlign w:val="center"/>
          </w:tcPr>
          <w:p>
            <w:pPr>
              <w:rPr>
                <w:color w:val="000000"/>
                <w:spacing w:val="-2"/>
              </w:rPr>
            </w:pPr>
          </w:p>
        </w:tc>
      </w:tr>
      <w:tr>
        <w:tblPrEx>
          <w:tblCellMar>
            <w:top w:w="0" w:type="dxa"/>
            <w:left w:w="0" w:type="dxa"/>
            <w:bottom w:w="0" w:type="dxa"/>
            <w:right w:w="0" w:type="dxa"/>
          </w:tblCellMar>
        </w:tblPrEx>
        <w:trPr>
          <w:trHeight w:val="1723" w:hRule="exact"/>
          <w:jc w:val="center"/>
        </w:trPr>
        <w:tc>
          <w:tcPr>
            <w:tcW w:w="740" w:type="dxa"/>
            <w:tcBorders>
              <w:top w:val="single" w:color="000000" w:sz="4" w:space="0"/>
              <w:left w:val="single" w:color="auto" w:sz="8" w:space="0"/>
              <w:bottom w:val="single" w:color="000000" w:sz="4" w:space="0"/>
              <w:right w:val="single" w:color="000000" w:sz="4" w:space="0"/>
            </w:tcBorders>
            <w:noWrap w:val="0"/>
            <w:tcMar>
              <w:top w:w="108" w:type="dxa"/>
              <w:left w:w="108" w:type="dxa"/>
              <w:bottom w:w="108" w:type="dxa"/>
              <w:right w:w="108" w:type="dxa"/>
            </w:tcMar>
            <w:vAlign w:val="center"/>
          </w:tcPr>
          <w:p>
            <w:pPr>
              <w:jc w:val="center"/>
              <w:rPr>
                <w:rFonts w:cs="宋体"/>
                <w:color w:val="000000"/>
                <w:spacing w:val="-2"/>
                <w:kern w:val="0"/>
                <w:sz w:val="18"/>
                <w:szCs w:val="18"/>
                <w:lang w:eastAsia="en-US"/>
              </w:rPr>
            </w:pPr>
            <w:r>
              <w:rPr>
                <w:rFonts w:cs="宋体"/>
                <w:color w:val="000000"/>
                <w:spacing w:val="-2"/>
                <w:kern w:val="0"/>
                <w:sz w:val="18"/>
                <w:szCs w:val="18"/>
                <w:lang w:eastAsia="en-US"/>
              </w:rPr>
              <w:t>2</w:t>
            </w:r>
          </w:p>
        </w:tc>
        <w:tc>
          <w:tcPr>
            <w:tcW w:w="2458" w:type="dxa"/>
            <w:tcBorders>
              <w:top w:val="single" w:color="000000" w:sz="4" w:space="0"/>
              <w:left w:val="single" w:color="000000" w:sz="4" w:space="0"/>
              <w:bottom w:val="single" w:color="000000" w:sz="4" w:space="0"/>
              <w:right w:val="single" w:color="000000" w:sz="4" w:space="0"/>
            </w:tcBorders>
            <w:noWrap w:val="0"/>
            <w:tcMar>
              <w:top w:w="108" w:type="dxa"/>
              <w:left w:w="108" w:type="dxa"/>
              <w:bottom w:w="108" w:type="dxa"/>
              <w:right w:w="108" w:type="dxa"/>
            </w:tcMar>
            <w:vAlign w:val="center"/>
          </w:tcPr>
          <w:p>
            <w:pPr>
              <w:jc w:val="center"/>
              <w:rPr>
                <w:color w:val="000000"/>
                <w:spacing w:val="-2"/>
                <w:kern w:val="0"/>
                <w:sz w:val="18"/>
                <w:szCs w:val="18"/>
                <w:lang w:eastAsia="en-US"/>
              </w:rPr>
            </w:pPr>
            <w:r>
              <w:rPr>
                <w:rFonts w:hint="eastAsia" w:hAnsi="Times New Roman" w:cs="宋体"/>
                <w:color w:val="000000"/>
                <w:spacing w:val="-2"/>
                <w:kern w:val="0"/>
                <w:sz w:val="18"/>
                <w:szCs w:val="18"/>
                <w:lang w:eastAsia="en-US"/>
              </w:rPr>
              <w:t>税金</w:t>
            </w:r>
          </w:p>
        </w:tc>
        <w:tc>
          <w:tcPr>
            <w:tcW w:w="2211" w:type="dxa"/>
            <w:tcBorders>
              <w:top w:val="single" w:color="000000" w:sz="4" w:space="0"/>
              <w:left w:val="single" w:color="000000" w:sz="4" w:space="0"/>
              <w:bottom w:val="single" w:color="000000" w:sz="4" w:space="0"/>
              <w:right w:val="single" w:color="000000" w:sz="4" w:space="0"/>
            </w:tcBorders>
            <w:noWrap w:val="0"/>
            <w:tcMar>
              <w:top w:w="108" w:type="dxa"/>
              <w:left w:w="108" w:type="dxa"/>
              <w:bottom w:w="108" w:type="dxa"/>
              <w:right w:w="108" w:type="dxa"/>
            </w:tcMar>
            <w:vAlign w:val="center"/>
          </w:tcPr>
          <w:p>
            <w:pPr>
              <w:spacing w:line="360" w:lineRule="auto"/>
              <w:ind w:firstLine="172" w:firstLineChars="100"/>
              <w:jc w:val="center"/>
              <w:rPr>
                <w:color w:val="000000"/>
                <w:spacing w:val="-2"/>
                <w:kern w:val="0"/>
                <w:sz w:val="18"/>
                <w:szCs w:val="18"/>
              </w:rPr>
            </w:pPr>
            <w:r>
              <w:rPr>
                <w:rFonts w:hint="eastAsia" w:hAnsi="Times New Roman" w:cs="宋体"/>
                <w:color w:val="000000"/>
                <w:spacing w:val="-2"/>
                <w:kern w:val="0"/>
                <w:sz w:val="18"/>
                <w:szCs w:val="18"/>
              </w:rPr>
              <w:t>分部分项工程费</w:t>
            </w:r>
            <w:r>
              <w:rPr>
                <w:rFonts w:cs="宋体"/>
                <w:color w:val="000000"/>
                <w:spacing w:val="-2"/>
                <w:kern w:val="0"/>
                <w:sz w:val="18"/>
                <w:szCs w:val="18"/>
              </w:rPr>
              <w:t>+</w:t>
            </w:r>
            <w:r>
              <w:rPr>
                <w:rFonts w:hint="eastAsia" w:hAnsi="Times New Roman" w:cs="宋体"/>
                <w:color w:val="000000"/>
                <w:spacing w:val="-2"/>
                <w:kern w:val="0"/>
                <w:sz w:val="18"/>
                <w:szCs w:val="18"/>
              </w:rPr>
              <w:t>措施项目费</w:t>
            </w:r>
            <w:r>
              <w:rPr>
                <w:rFonts w:cs="宋体"/>
                <w:color w:val="000000"/>
                <w:spacing w:val="-2"/>
                <w:kern w:val="0"/>
                <w:sz w:val="18"/>
                <w:szCs w:val="18"/>
              </w:rPr>
              <w:t>+</w:t>
            </w:r>
            <w:r>
              <w:rPr>
                <w:rFonts w:hint="eastAsia" w:hAnsi="Times New Roman" w:cs="宋体"/>
                <w:color w:val="000000"/>
                <w:spacing w:val="-2"/>
                <w:kern w:val="0"/>
                <w:sz w:val="18"/>
                <w:szCs w:val="18"/>
              </w:rPr>
              <w:t>其他项目费</w:t>
            </w:r>
            <w:r>
              <w:rPr>
                <w:rFonts w:cs="宋体"/>
                <w:color w:val="000000"/>
                <w:spacing w:val="-2"/>
                <w:kern w:val="0"/>
                <w:sz w:val="18"/>
                <w:szCs w:val="18"/>
              </w:rPr>
              <w:t>+</w:t>
            </w:r>
            <w:r>
              <w:rPr>
                <w:rFonts w:hint="eastAsia" w:hAnsi="Times New Roman" w:cs="宋体"/>
                <w:color w:val="000000"/>
                <w:spacing w:val="-2"/>
                <w:kern w:val="0"/>
                <w:sz w:val="18"/>
                <w:szCs w:val="18"/>
              </w:rPr>
              <w:t>规费</w:t>
            </w:r>
            <w:r>
              <w:rPr>
                <w:rFonts w:cs="宋体"/>
                <w:color w:val="000000"/>
                <w:spacing w:val="-2"/>
                <w:kern w:val="0"/>
                <w:sz w:val="18"/>
                <w:szCs w:val="18"/>
              </w:rPr>
              <w:t>-</w:t>
            </w:r>
            <w:r>
              <w:rPr>
                <w:rFonts w:hint="eastAsia" w:hAnsi="Times New Roman" w:cs="宋体"/>
                <w:color w:val="000000"/>
                <w:spacing w:val="-2"/>
                <w:kern w:val="0"/>
                <w:sz w:val="18"/>
                <w:szCs w:val="18"/>
              </w:rPr>
              <w:t>按规定不计税的工程设备金额</w:t>
            </w:r>
          </w:p>
        </w:tc>
        <w:tc>
          <w:tcPr>
            <w:tcW w:w="1134" w:type="dxa"/>
            <w:tcBorders>
              <w:top w:val="single" w:color="000000" w:sz="4" w:space="0"/>
              <w:left w:val="single" w:color="000000" w:sz="4" w:space="0"/>
              <w:bottom w:val="single" w:color="000000" w:sz="4" w:space="0"/>
              <w:right w:val="single" w:color="000000" w:sz="6" w:space="0"/>
            </w:tcBorders>
            <w:noWrap w:val="0"/>
            <w:tcMar>
              <w:top w:w="108" w:type="dxa"/>
              <w:left w:w="108" w:type="dxa"/>
              <w:bottom w:w="108" w:type="dxa"/>
              <w:right w:w="108" w:type="dxa"/>
            </w:tcMar>
            <w:vAlign w:val="center"/>
          </w:tcPr>
          <w:p>
            <w:pPr>
              <w:rPr>
                <w:color w:val="000000"/>
                <w:spacing w:val="-2"/>
              </w:rPr>
            </w:pPr>
          </w:p>
        </w:tc>
        <w:tc>
          <w:tcPr>
            <w:tcW w:w="1134" w:type="dxa"/>
            <w:tcBorders>
              <w:top w:val="single" w:color="000000" w:sz="4" w:space="0"/>
              <w:left w:val="single" w:color="000000" w:sz="6" w:space="0"/>
              <w:bottom w:val="single" w:color="000000" w:sz="4" w:space="0"/>
              <w:right w:val="single" w:color="000000" w:sz="4" w:space="0"/>
            </w:tcBorders>
            <w:noWrap w:val="0"/>
            <w:tcMar>
              <w:top w:w="108" w:type="dxa"/>
              <w:left w:w="108" w:type="dxa"/>
              <w:bottom w:w="108" w:type="dxa"/>
              <w:right w:w="108" w:type="dxa"/>
            </w:tcMar>
            <w:vAlign w:val="center"/>
          </w:tcPr>
          <w:p>
            <w:pPr>
              <w:rPr>
                <w:color w:val="000000"/>
                <w:spacing w:val="-2"/>
              </w:rPr>
            </w:pPr>
          </w:p>
        </w:tc>
        <w:tc>
          <w:tcPr>
            <w:tcW w:w="1042" w:type="dxa"/>
            <w:tcBorders>
              <w:top w:val="single" w:color="000000" w:sz="4" w:space="0"/>
              <w:left w:val="single" w:color="000000" w:sz="4" w:space="0"/>
              <w:bottom w:val="single" w:color="000000" w:sz="4" w:space="0"/>
              <w:right w:val="single" w:color="auto" w:sz="8" w:space="0"/>
            </w:tcBorders>
            <w:noWrap w:val="0"/>
            <w:tcMar>
              <w:top w:w="108" w:type="dxa"/>
              <w:left w:w="108" w:type="dxa"/>
              <w:bottom w:w="108" w:type="dxa"/>
              <w:right w:w="108" w:type="dxa"/>
            </w:tcMar>
            <w:vAlign w:val="center"/>
          </w:tcPr>
          <w:p>
            <w:pPr>
              <w:rPr>
                <w:color w:val="000000"/>
                <w:spacing w:val="-2"/>
              </w:rPr>
            </w:pPr>
          </w:p>
        </w:tc>
      </w:tr>
      <w:tr>
        <w:tblPrEx>
          <w:tblCellMar>
            <w:top w:w="0" w:type="dxa"/>
            <w:left w:w="0" w:type="dxa"/>
            <w:bottom w:w="0" w:type="dxa"/>
            <w:right w:w="0" w:type="dxa"/>
          </w:tblCellMar>
        </w:tblPrEx>
        <w:trPr>
          <w:trHeight w:val="896" w:hRule="exact"/>
          <w:jc w:val="center"/>
        </w:trPr>
        <w:tc>
          <w:tcPr>
            <w:tcW w:w="3198" w:type="dxa"/>
            <w:gridSpan w:val="2"/>
            <w:tcBorders>
              <w:top w:val="single" w:color="000000" w:sz="4" w:space="0"/>
              <w:left w:val="single" w:color="auto" w:sz="8" w:space="0"/>
              <w:bottom w:val="single" w:color="auto" w:sz="8" w:space="0"/>
              <w:right w:val="single" w:color="auto" w:sz="4" w:space="0"/>
            </w:tcBorders>
            <w:noWrap w:val="0"/>
            <w:tcMar>
              <w:top w:w="108" w:type="dxa"/>
              <w:left w:w="108" w:type="dxa"/>
              <w:bottom w:w="108" w:type="dxa"/>
              <w:right w:w="108" w:type="dxa"/>
            </w:tcMar>
            <w:vAlign w:val="center"/>
          </w:tcPr>
          <w:p>
            <w:pPr>
              <w:jc w:val="center"/>
              <w:rPr>
                <w:color w:val="000000"/>
                <w:spacing w:val="-2"/>
              </w:rPr>
            </w:pPr>
            <w:r>
              <w:rPr>
                <w:rFonts w:hint="eastAsia" w:hAnsi="Times New Roman" w:cs="宋体"/>
                <w:color w:val="000000"/>
                <w:spacing w:val="-2"/>
                <w:sz w:val="18"/>
                <w:szCs w:val="18"/>
              </w:rPr>
              <w:t>合</w:t>
            </w:r>
            <w:r>
              <w:rPr>
                <w:rFonts w:cs="宋体"/>
                <w:color w:val="000000"/>
                <w:spacing w:val="-2"/>
                <w:sz w:val="18"/>
                <w:szCs w:val="18"/>
              </w:rPr>
              <w:t xml:space="preserve">  </w:t>
            </w:r>
            <w:r>
              <w:rPr>
                <w:rFonts w:hint="eastAsia" w:hAnsi="Times New Roman" w:cs="宋体"/>
                <w:color w:val="000000"/>
                <w:spacing w:val="-2"/>
                <w:sz w:val="18"/>
                <w:szCs w:val="18"/>
              </w:rPr>
              <w:t>计</w:t>
            </w:r>
          </w:p>
        </w:tc>
        <w:tc>
          <w:tcPr>
            <w:tcW w:w="5521" w:type="dxa"/>
            <w:gridSpan w:val="4"/>
            <w:tcBorders>
              <w:top w:val="single" w:color="000000" w:sz="4" w:space="0"/>
              <w:left w:val="single" w:color="auto" w:sz="4" w:space="0"/>
              <w:bottom w:val="single" w:color="auto" w:sz="8" w:space="0"/>
              <w:right w:val="single" w:color="auto" w:sz="8" w:space="0"/>
            </w:tcBorders>
            <w:noWrap w:val="0"/>
            <w:tcMar>
              <w:top w:w="108" w:type="dxa"/>
              <w:left w:w="108" w:type="dxa"/>
              <w:bottom w:w="108" w:type="dxa"/>
              <w:right w:w="108" w:type="dxa"/>
            </w:tcMar>
            <w:vAlign w:val="center"/>
          </w:tcPr>
          <w:p>
            <w:pPr>
              <w:rPr>
                <w:color w:val="000000"/>
                <w:spacing w:val="-2"/>
              </w:rPr>
            </w:pPr>
          </w:p>
        </w:tc>
      </w:tr>
    </w:tbl>
    <w:p>
      <w:pPr>
        <w:tabs>
          <w:tab w:val="left" w:pos="4935"/>
          <w:tab w:val="left" w:pos="7455"/>
          <w:tab w:val="left" w:pos="7981"/>
          <w:tab w:val="left" w:pos="8715"/>
        </w:tabs>
        <w:spacing w:after="120"/>
        <w:ind w:firstLine="86" w:firstLineChars="50"/>
        <w:rPr>
          <w:color w:val="000000"/>
          <w:spacing w:val="-2"/>
        </w:rPr>
      </w:pPr>
      <w:r>
        <w:rPr>
          <w:rFonts w:hint="eastAsia"/>
          <w:color w:val="000000"/>
          <w:spacing w:val="-2"/>
          <w:sz w:val="18"/>
          <w:szCs w:val="18"/>
        </w:rPr>
        <w:t>注：工程排污费费率在招标时暂按</w:t>
      </w:r>
      <w:r>
        <w:rPr>
          <w:color w:val="000000"/>
          <w:spacing w:val="-2"/>
          <w:sz w:val="18"/>
          <w:szCs w:val="18"/>
        </w:rPr>
        <w:t>0.1%</w:t>
      </w:r>
      <w:r>
        <w:rPr>
          <w:rFonts w:hint="eastAsia"/>
          <w:color w:val="000000"/>
          <w:spacing w:val="-2"/>
          <w:sz w:val="18"/>
          <w:szCs w:val="18"/>
        </w:rPr>
        <w:t>计入，结算时按工程所在地环境保护部门收取标准，按实计入。</w:t>
      </w:r>
    </w:p>
    <w:p>
      <w:pPr>
        <w:tabs>
          <w:tab w:val="left" w:pos="5250"/>
          <w:tab w:val="left" w:pos="7455"/>
          <w:tab w:val="left" w:pos="7981"/>
          <w:tab w:val="left" w:pos="8715"/>
        </w:tabs>
        <w:spacing w:after="120"/>
        <w:ind w:firstLine="303" w:firstLineChars="150"/>
        <w:rPr>
          <w:color w:val="000000"/>
          <w:spacing w:val="-2"/>
        </w:rPr>
      </w:pPr>
    </w:p>
    <w:p>
      <w:pPr>
        <w:tabs>
          <w:tab w:val="left" w:pos="5250"/>
          <w:tab w:val="left" w:pos="7455"/>
          <w:tab w:val="left" w:pos="7981"/>
          <w:tab w:val="left" w:pos="8715"/>
        </w:tabs>
        <w:spacing w:after="120"/>
        <w:ind w:firstLine="303" w:firstLineChars="150"/>
        <w:rPr>
          <w:color w:val="000000"/>
          <w:spacing w:val="-2"/>
        </w:rPr>
      </w:pPr>
      <w:r>
        <w:rPr>
          <w:rFonts w:hint="eastAsia"/>
          <w:color w:val="000000"/>
          <w:spacing w:val="-2"/>
        </w:rPr>
        <w:t>编制人</w:t>
      </w:r>
      <w:r>
        <w:rPr>
          <w:color w:val="000000"/>
          <w:spacing w:val="-2"/>
        </w:rPr>
        <w:t>(</w:t>
      </w:r>
      <w:r>
        <w:rPr>
          <w:rFonts w:hint="eastAsia"/>
          <w:color w:val="000000"/>
          <w:spacing w:val="-2"/>
        </w:rPr>
        <w:t>造价人员</w:t>
      </w:r>
      <w:r>
        <w:rPr>
          <w:color w:val="000000"/>
          <w:spacing w:val="-2"/>
        </w:rPr>
        <w:t>)</w:t>
      </w:r>
      <w:r>
        <w:rPr>
          <w:rFonts w:hint="eastAsia"/>
          <w:color w:val="000000"/>
          <w:spacing w:val="-2"/>
        </w:rPr>
        <w:t>：</w:t>
      </w:r>
      <w:r>
        <w:rPr>
          <w:color w:val="000000"/>
          <w:spacing w:val="-2"/>
        </w:rPr>
        <w:tab/>
      </w:r>
      <w:r>
        <w:rPr>
          <w:rFonts w:hint="eastAsia"/>
          <w:color w:val="000000"/>
          <w:spacing w:val="-2"/>
        </w:rPr>
        <w:t>复核人</w:t>
      </w:r>
      <w:r>
        <w:rPr>
          <w:color w:val="000000"/>
          <w:spacing w:val="-2"/>
        </w:rPr>
        <w:t>(</w:t>
      </w:r>
      <w:r>
        <w:rPr>
          <w:rFonts w:hint="eastAsia"/>
          <w:color w:val="000000"/>
          <w:spacing w:val="-2"/>
        </w:rPr>
        <w:t>造价工程师</w:t>
      </w:r>
      <w:r>
        <w:rPr>
          <w:color w:val="000000"/>
          <w:spacing w:val="-2"/>
        </w:rPr>
        <w:t>)</w:t>
      </w:r>
      <w:r>
        <w:rPr>
          <w:rFonts w:hint="eastAsia"/>
          <w:color w:val="000000"/>
          <w:spacing w:val="-2"/>
        </w:rPr>
        <w:t>：</w:t>
      </w:r>
    </w:p>
    <w:p>
      <w:pPr>
        <w:spacing w:before="21" w:after="120"/>
        <w:jc w:val="right"/>
        <w:rPr>
          <w:color w:val="000000"/>
          <w:spacing w:val="-2"/>
          <w:sz w:val="18"/>
          <w:szCs w:val="18"/>
        </w:rPr>
      </w:pPr>
      <w:r>
        <w:rPr>
          <w:rFonts w:hint="eastAsia"/>
          <w:color w:val="000000"/>
          <w:spacing w:val="-2"/>
          <w:sz w:val="18"/>
          <w:szCs w:val="18"/>
        </w:rPr>
        <w:t>表</w:t>
      </w:r>
      <w:r>
        <w:rPr>
          <w:color w:val="000000"/>
          <w:spacing w:val="-2"/>
          <w:sz w:val="18"/>
          <w:szCs w:val="18"/>
        </w:rPr>
        <w:t>-13</w:t>
      </w:r>
    </w:p>
    <w:p>
      <w:pPr>
        <w:tabs>
          <w:tab w:val="left" w:pos="707"/>
        </w:tabs>
        <w:jc w:val="center"/>
        <w:outlineLvl w:val="2"/>
        <w:rPr>
          <w:rFonts w:ascii="Times New Roman" w:eastAsia="方正黑体_GBK" w:cs="宋体"/>
          <w:color w:val="000000"/>
          <w:spacing w:val="-2"/>
          <w:kern w:val="0"/>
          <w:sz w:val="24"/>
        </w:rPr>
      </w:pPr>
      <w:r>
        <w:rPr>
          <w:rFonts w:hint="eastAsia" w:ascii="Times New Roman" w:hAnsi="Times New Roman" w:cs="宋体"/>
          <w:color w:val="000000"/>
          <w:kern w:val="0"/>
          <w:sz w:val="18"/>
          <w:szCs w:val="18"/>
        </w:rPr>
        <w:br w:type="column"/>
      </w:r>
      <w:r>
        <w:rPr>
          <w:rFonts w:hint="eastAsia" w:ascii="Times New Roman" w:eastAsia="方正黑体_GBK" w:cs="宋体"/>
          <w:color w:val="000000"/>
          <w:spacing w:val="-2"/>
          <w:kern w:val="0"/>
          <w:sz w:val="24"/>
        </w:rPr>
        <w:t>L.1</w:t>
      </w:r>
      <w:r>
        <w:rPr>
          <w:rFonts w:hint="eastAsia" w:ascii="Times New Roman" w:eastAsia="方正黑体_GBK" w:cs="宋体"/>
          <w:color w:val="000000"/>
          <w:spacing w:val="-2"/>
          <w:kern w:val="0"/>
          <w:sz w:val="24"/>
        </w:rPr>
        <w:tab/>
      </w:r>
      <w:r>
        <w:rPr>
          <w:rFonts w:hint="eastAsia" w:ascii="Times New Roman" w:eastAsia="方正黑体_GBK" w:cs="宋体"/>
          <w:color w:val="000000"/>
          <w:spacing w:val="-2"/>
          <w:kern w:val="0"/>
          <w:sz w:val="24"/>
        </w:rPr>
        <w:t>发包人提供材料和工程设备一览表</w:t>
      </w:r>
      <w:bookmarkEnd w:id="684"/>
      <w:bookmarkEnd w:id="685"/>
      <w:bookmarkEnd w:id="686"/>
    </w:p>
    <w:p>
      <w:pPr>
        <w:spacing w:before="19" w:line="200" w:lineRule="exact"/>
        <w:rPr>
          <w:rFonts w:hint="eastAsia"/>
          <w:color w:val="000000"/>
          <w:spacing w:val="-2"/>
          <w:sz w:val="28"/>
          <w:szCs w:val="28"/>
        </w:rPr>
      </w:pPr>
    </w:p>
    <w:p>
      <w:pPr>
        <w:tabs>
          <w:tab w:val="left" w:pos="4095"/>
          <w:tab w:val="left" w:pos="7770"/>
          <w:tab w:val="left" w:pos="8819"/>
        </w:tabs>
        <w:spacing w:after="120"/>
        <w:rPr>
          <w:rFonts w:ascii="Times New Roman" w:eastAsia="方正仿宋_GBK"/>
          <w:color w:val="000000"/>
          <w:spacing w:val="-2"/>
        </w:rPr>
      </w:pPr>
      <w:r>
        <w:rPr>
          <w:rFonts w:hint="eastAsia" w:ascii="Times New Roman" w:eastAsia="方正仿宋_GBK"/>
          <w:color w:val="000000"/>
          <w:spacing w:val="-2"/>
        </w:rPr>
        <w:t>工程名称：</w:t>
      </w:r>
      <w:r>
        <w:rPr>
          <w:rFonts w:hint="eastAsia" w:ascii="Times New Roman" w:eastAsia="方正仿宋_GBK"/>
          <w:color w:val="000000"/>
          <w:spacing w:val="-2"/>
        </w:rPr>
        <w:tab/>
      </w:r>
      <w:r>
        <w:rPr>
          <w:rFonts w:hint="eastAsia" w:ascii="Times New Roman" w:eastAsia="方正仿宋_GBK"/>
          <w:color w:val="000000"/>
          <w:spacing w:val="-2"/>
        </w:rPr>
        <w:t>标段:                           第   页共   页</w:t>
      </w:r>
    </w:p>
    <w:p>
      <w:pPr>
        <w:spacing w:before="9" w:line="40" w:lineRule="exact"/>
        <w:rPr>
          <w:rFonts w:hint="eastAsia"/>
          <w:color w:val="000000"/>
          <w:spacing w:val="-2"/>
          <w:sz w:val="28"/>
          <w:szCs w:val="28"/>
        </w:rPr>
      </w:pPr>
    </w:p>
    <w:tbl>
      <w:tblPr>
        <w:tblStyle w:val="12"/>
        <w:tblW w:w="0" w:type="auto"/>
        <w:jc w:val="center"/>
        <w:tblLayout w:type="fixed"/>
        <w:tblCellMar>
          <w:top w:w="0" w:type="dxa"/>
          <w:left w:w="0" w:type="dxa"/>
          <w:bottom w:w="0" w:type="dxa"/>
          <w:right w:w="0" w:type="dxa"/>
        </w:tblCellMar>
      </w:tblPr>
      <w:tblGrid>
        <w:gridCol w:w="600"/>
        <w:gridCol w:w="1077"/>
        <w:gridCol w:w="2005"/>
        <w:gridCol w:w="735"/>
        <w:gridCol w:w="600"/>
        <w:gridCol w:w="757"/>
        <w:gridCol w:w="735"/>
        <w:gridCol w:w="795"/>
        <w:gridCol w:w="765"/>
        <w:gridCol w:w="630"/>
      </w:tblGrid>
      <w:tr>
        <w:tblPrEx>
          <w:tblCellMar>
            <w:top w:w="0" w:type="dxa"/>
            <w:left w:w="0" w:type="dxa"/>
            <w:bottom w:w="0" w:type="dxa"/>
            <w:right w:w="0" w:type="dxa"/>
          </w:tblCellMar>
        </w:tblPrEx>
        <w:trPr>
          <w:trHeight w:val="1072" w:hRule="exact"/>
          <w:jc w:val="center"/>
        </w:trPr>
        <w:tc>
          <w:tcPr>
            <w:tcW w:w="600" w:type="dxa"/>
            <w:tcBorders>
              <w:top w:val="single" w:color="auto" w:sz="8" w:space="0"/>
              <w:left w:val="single" w:color="auto" w:sz="8" w:space="0"/>
              <w:bottom w:val="single" w:color="000000" w:sz="4" w:space="0"/>
              <w:right w:val="single" w:color="000000" w:sz="4" w:space="0"/>
            </w:tcBorders>
            <w:noWrap w:val="0"/>
            <w:vAlign w:val="center"/>
          </w:tcPr>
          <w:p>
            <w:pPr>
              <w:jc w:val="center"/>
              <w:rPr>
                <w:rFonts w:ascii="Times New Roman" w:eastAsia="方正黑体_GBK"/>
                <w:color w:val="000000"/>
                <w:spacing w:val="-2"/>
                <w:kern w:val="0"/>
                <w:sz w:val="18"/>
                <w:szCs w:val="18"/>
              </w:rPr>
            </w:pPr>
            <w:r>
              <w:rPr>
                <w:rFonts w:hint="eastAsia" w:ascii="Times New Roman" w:hAnsi="Times New Roman" w:eastAsia="方正黑体_GBK" w:cs="宋体"/>
                <w:color w:val="000000"/>
                <w:spacing w:val="-2"/>
                <w:kern w:val="0"/>
                <w:sz w:val="18"/>
                <w:szCs w:val="18"/>
              </w:rPr>
              <w:t>序号</w:t>
            </w:r>
          </w:p>
        </w:tc>
        <w:tc>
          <w:tcPr>
            <w:tcW w:w="1077" w:type="dxa"/>
            <w:tcBorders>
              <w:top w:val="single" w:color="auto" w:sz="8" w:space="0"/>
              <w:left w:val="single" w:color="000000" w:sz="4" w:space="0"/>
              <w:bottom w:val="single" w:color="000000" w:sz="4" w:space="0"/>
              <w:right w:val="single" w:color="000000" w:sz="4" w:space="0"/>
            </w:tcBorders>
            <w:noWrap w:val="0"/>
            <w:vAlign w:val="center"/>
          </w:tcPr>
          <w:p>
            <w:pPr>
              <w:jc w:val="center"/>
              <w:rPr>
                <w:rFonts w:ascii="Times New Roman" w:eastAsia="方正黑体_GBK" w:cs="宋体"/>
                <w:color w:val="000000"/>
                <w:spacing w:val="-2"/>
                <w:kern w:val="0"/>
                <w:sz w:val="18"/>
                <w:szCs w:val="18"/>
              </w:rPr>
            </w:pPr>
            <w:r>
              <w:rPr>
                <w:rFonts w:hint="eastAsia" w:ascii="Times New Roman" w:hAnsi="Times New Roman" w:eastAsia="方正黑体_GBK" w:cs="宋体"/>
                <w:color w:val="000000"/>
                <w:spacing w:val="-2"/>
                <w:kern w:val="0"/>
                <w:sz w:val="18"/>
                <w:szCs w:val="18"/>
              </w:rPr>
              <w:t>材料编码</w:t>
            </w:r>
          </w:p>
        </w:tc>
        <w:tc>
          <w:tcPr>
            <w:tcW w:w="2005" w:type="dxa"/>
            <w:tcBorders>
              <w:top w:val="single" w:color="auto" w:sz="8" w:space="0"/>
              <w:left w:val="single" w:color="000000" w:sz="4" w:space="0"/>
              <w:bottom w:val="single" w:color="000000" w:sz="4" w:space="0"/>
              <w:right w:val="single" w:color="000000" w:sz="6" w:space="0"/>
            </w:tcBorders>
            <w:noWrap w:val="0"/>
            <w:vAlign w:val="center"/>
          </w:tcPr>
          <w:p>
            <w:pPr>
              <w:jc w:val="center"/>
              <w:rPr>
                <w:rFonts w:ascii="Times New Roman" w:eastAsia="方正黑体_GBK" w:cs="宋体"/>
                <w:color w:val="000000"/>
                <w:spacing w:val="-2"/>
                <w:kern w:val="0"/>
                <w:sz w:val="18"/>
                <w:szCs w:val="18"/>
              </w:rPr>
            </w:pPr>
            <w:r>
              <w:rPr>
                <w:rFonts w:hint="eastAsia" w:ascii="Times New Roman" w:hAnsi="Times New Roman" w:eastAsia="方正黑体_GBK" w:cs="宋体"/>
                <w:color w:val="000000"/>
                <w:spacing w:val="-2"/>
                <w:kern w:val="0"/>
                <w:sz w:val="18"/>
                <w:szCs w:val="18"/>
              </w:rPr>
              <w:t>材料</w:t>
            </w:r>
            <w:r>
              <w:rPr>
                <w:rFonts w:hint="eastAsia" w:ascii="Times New Roman" w:eastAsia="方正黑体_GBK" w:cs="宋体"/>
                <w:color w:val="000000"/>
                <w:spacing w:val="-2"/>
                <w:kern w:val="0"/>
                <w:sz w:val="18"/>
                <w:szCs w:val="18"/>
              </w:rPr>
              <w:t>(</w:t>
            </w:r>
            <w:r>
              <w:rPr>
                <w:rFonts w:hint="eastAsia" w:ascii="Times New Roman" w:hAnsi="Times New Roman" w:eastAsia="方正黑体_GBK" w:cs="宋体"/>
                <w:color w:val="000000"/>
                <w:spacing w:val="-2"/>
                <w:kern w:val="0"/>
                <w:sz w:val="18"/>
                <w:szCs w:val="18"/>
              </w:rPr>
              <w:t>工程设备</w:t>
            </w:r>
            <w:r>
              <w:rPr>
                <w:rFonts w:hint="eastAsia" w:ascii="Times New Roman" w:eastAsia="方正黑体_GBK" w:cs="宋体"/>
                <w:color w:val="000000"/>
                <w:spacing w:val="-2"/>
                <w:kern w:val="0"/>
                <w:sz w:val="18"/>
                <w:szCs w:val="18"/>
              </w:rPr>
              <w:t>)</w:t>
            </w:r>
          </w:p>
          <w:p>
            <w:pPr>
              <w:jc w:val="center"/>
              <w:rPr>
                <w:rFonts w:ascii="Times New Roman" w:eastAsia="方正黑体_GBK"/>
                <w:color w:val="000000"/>
                <w:spacing w:val="-2"/>
                <w:kern w:val="0"/>
                <w:sz w:val="18"/>
                <w:szCs w:val="18"/>
              </w:rPr>
            </w:pPr>
            <w:r>
              <w:rPr>
                <w:rFonts w:hint="eastAsia" w:ascii="Times New Roman" w:hAnsi="Times New Roman" w:eastAsia="方正黑体_GBK" w:cs="宋体"/>
                <w:color w:val="000000"/>
                <w:spacing w:val="-2"/>
                <w:kern w:val="0"/>
                <w:sz w:val="18"/>
                <w:szCs w:val="18"/>
              </w:rPr>
              <w:t>名称、规格、型号</w:t>
            </w:r>
          </w:p>
        </w:tc>
        <w:tc>
          <w:tcPr>
            <w:tcW w:w="735" w:type="dxa"/>
            <w:tcBorders>
              <w:top w:val="single" w:color="auto" w:sz="8" w:space="0"/>
              <w:left w:val="single" w:color="000000" w:sz="4" w:space="0"/>
              <w:bottom w:val="single" w:color="000000" w:sz="4" w:space="0"/>
              <w:right w:val="single" w:color="000000" w:sz="6" w:space="0"/>
            </w:tcBorders>
            <w:noWrap w:val="0"/>
            <w:vAlign w:val="center"/>
          </w:tcPr>
          <w:p>
            <w:pPr>
              <w:jc w:val="center"/>
              <w:rPr>
                <w:rFonts w:ascii="Times New Roman" w:eastAsia="方正黑体_GBK"/>
                <w:color w:val="000000"/>
                <w:spacing w:val="-2"/>
                <w:kern w:val="0"/>
                <w:sz w:val="18"/>
                <w:szCs w:val="18"/>
              </w:rPr>
            </w:pPr>
            <w:r>
              <w:rPr>
                <w:rFonts w:hint="eastAsia" w:ascii="Times New Roman" w:hAnsi="Times New Roman" w:eastAsia="方正黑体_GBK" w:cs="宋体"/>
                <w:color w:val="000000"/>
                <w:spacing w:val="-2"/>
                <w:kern w:val="0"/>
                <w:sz w:val="18"/>
                <w:szCs w:val="18"/>
              </w:rPr>
              <w:t>单位</w:t>
            </w:r>
          </w:p>
        </w:tc>
        <w:tc>
          <w:tcPr>
            <w:tcW w:w="600" w:type="dxa"/>
            <w:tcBorders>
              <w:top w:val="single" w:color="auto" w:sz="8" w:space="0"/>
              <w:left w:val="single" w:color="000000" w:sz="6" w:space="0"/>
              <w:bottom w:val="single" w:color="000000" w:sz="4" w:space="0"/>
              <w:right w:val="single" w:color="000000" w:sz="4" w:space="0"/>
            </w:tcBorders>
            <w:noWrap w:val="0"/>
            <w:vAlign w:val="center"/>
          </w:tcPr>
          <w:p>
            <w:pPr>
              <w:jc w:val="center"/>
              <w:rPr>
                <w:rFonts w:ascii="Times New Roman" w:eastAsia="方正黑体_GBK"/>
                <w:color w:val="000000"/>
                <w:spacing w:val="-2"/>
                <w:kern w:val="0"/>
                <w:sz w:val="18"/>
                <w:szCs w:val="18"/>
              </w:rPr>
            </w:pPr>
            <w:r>
              <w:rPr>
                <w:rFonts w:hint="eastAsia" w:ascii="Times New Roman" w:hAnsi="Times New Roman" w:eastAsia="方正黑体_GBK" w:cs="宋体"/>
                <w:color w:val="000000"/>
                <w:spacing w:val="-2"/>
                <w:kern w:val="0"/>
                <w:sz w:val="18"/>
                <w:szCs w:val="18"/>
              </w:rPr>
              <w:t>数量</w:t>
            </w:r>
          </w:p>
        </w:tc>
        <w:tc>
          <w:tcPr>
            <w:tcW w:w="757" w:type="dxa"/>
            <w:tcBorders>
              <w:top w:val="single" w:color="auto" w:sz="8" w:space="0"/>
              <w:left w:val="single" w:color="000000" w:sz="4" w:space="0"/>
              <w:bottom w:val="single" w:color="000000" w:sz="4" w:space="0"/>
              <w:right w:val="single" w:color="000000" w:sz="4" w:space="0"/>
            </w:tcBorders>
            <w:noWrap w:val="0"/>
            <w:vAlign w:val="center"/>
          </w:tcPr>
          <w:p>
            <w:pPr>
              <w:jc w:val="center"/>
              <w:rPr>
                <w:rFonts w:ascii="Times New Roman" w:eastAsia="方正黑体_GBK" w:cs="宋体"/>
                <w:color w:val="000000"/>
                <w:spacing w:val="-2"/>
                <w:kern w:val="0"/>
                <w:sz w:val="18"/>
                <w:szCs w:val="18"/>
              </w:rPr>
            </w:pPr>
            <w:r>
              <w:rPr>
                <w:rFonts w:hint="eastAsia" w:ascii="Times New Roman" w:hAnsi="Times New Roman" w:eastAsia="方正黑体_GBK" w:cs="宋体"/>
                <w:color w:val="000000"/>
                <w:spacing w:val="-2"/>
                <w:kern w:val="0"/>
                <w:sz w:val="18"/>
                <w:szCs w:val="18"/>
              </w:rPr>
              <w:t>单价</w:t>
            </w:r>
          </w:p>
          <w:p>
            <w:pPr>
              <w:jc w:val="center"/>
              <w:rPr>
                <w:rFonts w:ascii="Times New Roman" w:eastAsia="方正黑体_GBK"/>
                <w:color w:val="000000"/>
                <w:spacing w:val="-2"/>
                <w:kern w:val="0"/>
                <w:sz w:val="18"/>
                <w:szCs w:val="18"/>
              </w:rPr>
            </w:pPr>
            <w:r>
              <w:rPr>
                <w:rFonts w:hint="eastAsia" w:ascii="Times New Roman" w:hAnsi="Times New Roman" w:eastAsia="方正黑体_GBK" w:cs="宋体"/>
                <w:color w:val="000000"/>
                <w:spacing w:val="-2"/>
                <w:kern w:val="0"/>
                <w:sz w:val="18"/>
                <w:szCs w:val="18"/>
              </w:rPr>
              <w:t>（元）</w:t>
            </w:r>
          </w:p>
        </w:tc>
        <w:tc>
          <w:tcPr>
            <w:tcW w:w="735" w:type="dxa"/>
            <w:tcBorders>
              <w:top w:val="single" w:color="auto" w:sz="8" w:space="0"/>
              <w:left w:val="single" w:color="000000" w:sz="4" w:space="0"/>
              <w:bottom w:val="single" w:color="000000" w:sz="4" w:space="0"/>
              <w:right w:val="single" w:color="000000" w:sz="4" w:space="0"/>
            </w:tcBorders>
            <w:noWrap w:val="0"/>
            <w:vAlign w:val="center"/>
          </w:tcPr>
          <w:p>
            <w:pPr>
              <w:spacing w:before="78"/>
              <w:jc w:val="center"/>
              <w:rPr>
                <w:rFonts w:ascii="Times New Roman" w:eastAsia="方正黑体_GBK" w:cs="宋体"/>
                <w:color w:val="000000"/>
                <w:spacing w:val="-2"/>
                <w:kern w:val="0"/>
                <w:sz w:val="18"/>
                <w:szCs w:val="18"/>
              </w:rPr>
            </w:pPr>
            <w:r>
              <w:rPr>
                <w:rFonts w:hint="eastAsia" w:ascii="Times New Roman" w:hAnsi="Times New Roman" w:eastAsia="方正黑体_GBK" w:cs="宋体"/>
                <w:color w:val="000000"/>
                <w:spacing w:val="-2"/>
                <w:kern w:val="0"/>
                <w:sz w:val="18"/>
                <w:szCs w:val="18"/>
              </w:rPr>
              <w:t>合价</w:t>
            </w:r>
          </w:p>
          <w:p>
            <w:pPr>
              <w:spacing w:before="78"/>
              <w:jc w:val="center"/>
              <w:rPr>
                <w:rFonts w:ascii="Times New Roman" w:eastAsia="方正黑体_GBK" w:cs="宋体"/>
                <w:color w:val="000000"/>
                <w:spacing w:val="-2"/>
                <w:kern w:val="0"/>
                <w:sz w:val="18"/>
                <w:szCs w:val="18"/>
              </w:rPr>
            </w:pPr>
            <w:r>
              <w:rPr>
                <w:rFonts w:hint="eastAsia" w:ascii="Times New Roman" w:hAnsi="Times New Roman" w:eastAsia="方正黑体_GBK" w:cs="宋体"/>
                <w:color w:val="000000"/>
                <w:spacing w:val="-2"/>
                <w:kern w:val="0"/>
                <w:sz w:val="18"/>
                <w:szCs w:val="18"/>
              </w:rPr>
              <w:t>（元）</w:t>
            </w:r>
          </w:p>
        </w:tc>
        <w:tc>
          <w:tcPr>
            <w:tcW w:w="795" w:type="dxa"/>
            <w:tcBorders>
              <w:top w:val="single" w:color="auto" w:sz="8" w:space="0"/>
              <w:left w:val="single" w:color="000000" w:sz="4" w:space="0"/>
              <w:bottom w:val="single" w:color="000000" w:sz="4" w:space="0"/>
              <w:right w:val="single" w:color="000000" w:sz="4" w:space="0"/>
            </w:tcBorders>
            <w:noWrap w:val="0"/>
            <w:tcMar>
              <w:top w:w="28" w:type="dxa"/>
              <w:left w:w="28" w:type="dxa"/>
              <w:bottom w:w="28" w:type="dxa"/>
              <w:right w:w="28" w:type="dxa"/>
            </w:tcMar>
            <w:vAlign w:val="center"/>
          </w:tcPr>
          <w:p>
            <w:pPr>
              <w:spacing w:before="78"/>
              <w:jc w:val="center"/>
              <w:rPr>
                <w:rFonts w:ascii="Times New Roman" w:eastAsia="方正黑体_GBK" w:cs="宋体"/>
                <w:color w:val="000000"/>
                <w:spacing w:val="-2"/>
                <w:kern w:val="0"/>
                <w:sz w:val="18"/>
                <w:szCs w:val="18"/>
              </w:rPr>
            </w:pPr>
            <w:r>
              <w:rPr>
                <w:rFonts w:hint="eastAsia" w:ascii="Times New Roman" w:hAnsi="Times New Roman" w:eastAsia="方正黑体_GBK" w:cs="宋体"/>
                <w:color w:val="000000"/>
                <w:spacing w:val="-2"/>
                <w:kern w:val="0"/>
                <w:sz w:val="18"/>
                <w:szCs w:val="18"/>
              </w:rPr>
              <w:t>交货</w:t>
            </w:r>
          </w:p>
          <w:p>
            <w:pPr>
              <w:spacing w:before="78"/>
              <w:jc w:val="center"/>
              <w:rPr>
                <w:rFonts w:ascii="Times New Roman" w:eastAsia="方正黑体_GBK"/>
                <w:color w:val="000000"/>
                <w:spacing w:val="-2"/>
                <w:kern w:val="0"/>
                <w:sz w:val="18"/>
                <w:szCs w:val="18"/>
              </w:rPr>
            </w:pPr>
            <w:r>
              <w:rPr>
                <w:rFonts w:hint="eastAsia" w:ascii="Times New Roman" w:hAnsi="Times New Roman" w:eastAsia="方正黑体_GBK" w:cs="宋体"/>
                <w:color w:val="000000"/>
                <w:spacing w:val="-2"/>
                <w:kern w:val="0"/>
                <w:sz w:val="18"/>
                <w:szCs w:val="18"/>
              </w:rPr>
              <w:t>方式</w:t>
            </w:r>
          </w:p>
        </w:tc>
        <w:tc>
          <w:tcPr>
            <w:tcW w:w="765" w:type="dxa"/>
            <w:tcBorders>
              <w:top w:val="single" w:color="auto" w:sz="8" w:space="0"/>
              <w:left w:val="single" w:color="000000" w:sz="4" w:space="0"/>
              <w:bottom w:val="single" w:color="000000" w:sz="4" w:space="0"/>
              <w:right w:val="single" w:color="000000" w:sz="6" w:space="0"/>
            </w:tcBorders>
            <w:noWrap w:val="0"/>
            <w:tcMar>
              <w:top w:w="28" w:type="dxa"/>
              <w:left w:w="28" w:type="dxa"/>
              <w:bottom w:w="28" w:type="dxa"/>
              <w:right w:w="28" w:type="dxa"/>
            </w:tcMar>
            <w:vAlign w:val="center"/>
          </w:tcPr>
          <w:p>
            <w:pPr>
              <w:jc w:val="center"/>
              <w:rPr>
                <w:rFonts w:ascii="Times New Roman" w:eastAsia="方正黑体_GBK" w:cs="宋体"/>
                <w:color w:val="000000"/>
                <w:spacing w:val="-2"/>
                <w:kern w:val="0"/>
                <w:sz w:val="18"/>
                <w:szCs w:val="18"/>
              </w:rPr>
            </w:pPr>
            <w:r>
              <w:rPr>
                <w:rFonts w:hint="eastAsia" w:ascii="Times New Roman" w:hAnsi="Times New Roman" w:eastAsia="方正黑体_GBK" w:cs="宋体"/>
                <w:color w:val="000000"/>
                <w:spacing w:val="-2"/>
                <w:kern w:val="0"/>
                <w:sz w:val="18"/>
                <w:szCs w:val="18"/>
              </w:rPr>
              <w:t>送达</w:t>
            </w:r>
          </w:p>
          <w:p>
            <w:pPr>
              <w:jc w:val="center"/>
              <w:rPr>
                <w:rFonts w:ascii="Times New Roman" w:eastAsia="方正黑体_GBK"/>
                <w:color w:val="000000"/>
                <w:spacing w:val="-2"/>
                <w:kern w:val="0"/>
                <w:sz w:val="18"/>
                <w:szCs w:val="18"/>
              </w:rPr>
            </w:pPr>
            <w:r>
              <w:rPr>
                <w:rFonts w:hint="eastAsia" w:ascii="Times New Roman" w:hAnsi="Times New Roman" w:eastAsia="方正黑体_GBK" w:cs="宋体"/>
                <w:color w:val="000000"/>
                <w:spacing w:val="-2"/>
                <w:kern w:val="0"/>
                <w:sz w:val="18"/>
                <w:szCs w:val="18"/>
              </w:rPr>
              <w:t>地点</w:t>
            </w:r>
          </w:p>
        </w:tc>
        <w:tc>
          <w:tcPr>
            <w:tcW w:w="630" w:type="dxa"/>
            <w:tcBorders>
              <w:top w:val="single" w:color="auto" w:sz="8" w:space="0"/>
              <w:left w:val="single" w:color="000000" w:sz="6" w:space="0"/>
              <w:bottom w:val="single" w:color="000000" w:sz="4" w:space="0"/>
              <w:right w:val="single" w:color="auto" w:sz="8" w:space="0"/>
            </w:tcBorders>
            <w:noWrap w:val="0"/>
            <w:tcMar>
              <w:top w:w="28" w:type="dxa"/>
              <w:left w:w="28" w:type="dxa"/>
              <w:bottom w:w="28" w:type="dxa"/>
              <w:right w:w="28" w:type="dxa"/>
            </w:tcMar>
            <w:vAlign w:val="center"/>
          </w:tcPr>
          <w:p>
            <w:pPr>
              <w:jc w:val="center"/>
              <w:rPr>
                <w:rFonts w:ascii="Times New Roman" w:eastAsia="方正黑体_GBK"/>
                <w:color w:val="000000"/>
                <w:spacing w:val="-2"/>
                <w:kern w:val="0"/>
                <w:sz w:val="18"/>
                <w:szCs w:val="18"/>
                <w:lang w:eastAsia="en-US"/>
              </w:rPr>
            </w:pPr>
            <w:r>
              <w:rPr>
                <w:rFonts w:hint="eastAsia" w:ascii="Times New Roman" w:hAnsi="Times New Roman" w:eastAsia="方正黑体_GBK" w:cs="宋体"/>
                <w:color w:val="000000"/>
                <w:spacing w:val="-2"/>
                <w:kern w:val="0"/>
                <w:sz w:val="18"/>
                <w:szCs w:val="18"/>
                <w:lang w:eastAsia="en-US"/>
              </w:rPr>
              <w:t>备注</w:t>
            </w:r>
          </w:p>
        </w:tc>
      </w:tr>
      <w:tr>
        <w:tblPrEx>
          <w:tblCellMar>
            <w:top w:w="0" w:type="dxa"/>
            <w:left w:w="0" w:type="dxa"/>
            <w:bottom w:w="0" w:type="dxa"/>
            <w:right w:w="0" w:type="dxa"/>
          </w:tblCellMar>
        </w:tblPrEx>
        <w:trPr>
          <w:trHeight w:val="680" w:hRule="exact"/>
          <w:jc w:val="center"/>
        </w:trPr>
        <w:tc>
          <w:tcPr>
            <w:tcW w:w="600" w:type="dxa"/>
            <w:tcBorders>
              <w:top w:val="single" w:color="000000" w:sz="4" w:space="0"/>
              <w:left w:val="single" w:color="auto" w:sz="8" w:space="0"/>
              <w:bottom w:val="single" w:color="000000" w:sz="4" w:space="0"/>
              <w:right w:val="single" w:color="000000" w:sz="4" w:space="0"/>
            </w:tcBorders>
            <w:noWrap w:val="0"/>
            <w:vAlign w:val="center"/>
          </w:tcPr>
          <w:p>
            <w:pPr>
              <w:rPr>
                <w:color w:val="000000"/>
                <w:spacing w:val="-2"/>
                <w:kern w:val="0"/>
                <w:sz w:val="28"/>
                <w:szCs w:val="28"/>
                <w:lang w:eastAsia="en-US"/>
              </w:rPr>
            </w:pPr>
          </w:p>
        </w:tc>
        <w:tc>
          <w:tcPr>
            <w:tcW w:w="1077" w:type="dxa"/>
            <w:tcBorders>
              <w:top w:val="single" w:color="000000" w:sz="4" w:space="0"/>
              <w:left w:val="single" w:color="000000" w:sz="4" w:space="0"/>
              <w:bottom w:val="single" w:color="000000" w:sz="4" w:space="0"/>
              <w:right w:val="single" w:color="000000" w:sz="4" w:space="0"/>
            </w:tcBorders>
            <w:noWrap w:val="0"/>
            <w:vAlign w:val="top"/>
          </w:tcPr>
          <w:p>
            <w:pPr>
              <w:rPr>
                <w:color w:val="000000"/>
                <w:spacing w:val="-2"/>
                <w:kern w:val="0"/>
                <w:sz w:val="28"/>
                <w:szCs w:val="28"/>
                <w:lang w:eastAsia="en-US"/>
              </w:rPr>
            </w:pPr>
          </w:p>
        </w:tc>
        <w:tc>
          <w:tcPr>
            <w:tcW w:w="2005" w:type="dxa"/>
            <w:tcBorders>
              <w:top w:val="single" w:color="000000" w:sz="4" w:space="0"/>
              <w:left w:val="single" w:color="000000" w:sz="4" w:space="0"/>
              <w:bottom w:val="single" w:color="000000" w:sz="4" w:space="0"/>
              <w:right w:val="single" w:color="000000" w:sz="6" w:space="0"/>
            </w:tcBorders>
            <w:noWrap w:val="0"/>
            <w:vAlign w:val="center"/>
          </w:tcPr>
          <w:p>
            <w:pPr>
              <w:rPr>
                <w:color w:val="000000"/>
                <w:spacing w:val="-2"/>
                <w:kern w:val="0"/>
                <w:sz w:val="28"/>
                <w:szCs w:val="28"/>
                <w:lang w:eastAsia="en-US"/>
              </w:rPr>
            </w:pPr>
          </w:p>
        </w:tc>
        <w:tc>
          <w:tcPr>
            <w:tcW w:w="735" w:type="dxa"/>
            <w:tcBorders>
              <w:top w:val="single" w:color="000000" w:sz="4" w:space="0"/>
              <w:left w:val="single" w:color="000000" w:sz="4" w:space="0"/>
              <w:bottom w:val="single" w:color="000000" w:sz="4" w:space="0"/>
              <w:right w:val="single" w:color="000000" w:sz="6" w:space="0"/>
            </w:tcBorders>
            <w:noWrap w:val="0"/>
            <w:vAlign w:val="center"/>
          </w:tcPr>
          <w:p>
            <w:pPr>
              <w:rPr>
                <w:color w:val="000000"/>
                <w:spacing w:val="-2"/>
                <w:kern w:val="0"/>
                <w:sz w:val="28"/>
                <w:szCs w:val="28"/>
                <w:lang w:eastAsia="en-US"/>
              </w:rPr>
            </w:pPr>
          </w:p>
        </w:tc>
        <w:tc>
          <w:tcPr>
            <w:tcW w:w="600" w:type="dxa"/>
            <w:tcBorders>
              <w:top w:val="single" w:color="000000" w:sz="4" w:space="0"/>
              <w:left w:val="single" w:color="000000" w:sz="6" w:space="0"/>
              <w:bottom w:val="single" w:color="000000" w:sz="4" w:space="0"/>
              <w:right w:val="single" w:color="000000" w:sz="4" w:space="0"/>
            </w:tcBorders>
            <w:noWrap w:val="0"/>
            <w:vAlign w:val="center"/>
          </w:tcPr>
          <w:p>
            <w:pPr>
              <w:rPr>
                <w:color w:val="000000"/>
                <w:spacing w:val="-2"/>
                <w:kern w:val="0"/>
                <w:sz w:val="28"/>
                <w:szCs w:val="28"/>
                <w:lang w:eastAsia="en-US"/>
              </w:rPr>
            </w:pPr>
          </w:p>
        </w:tc>
        <w:tc>
          <w:tcPr>
            <w:tcW w:w="757"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kern w:val="0"/>
                <w:sz w:val="28"/>
                <w:szCs w:val="28"/>
                <w:lang w:eastAsia="en-US"/>
              </w:rPr>
            </w:pPr>
          </w:p>
        </w:tc>
        <w:tc>
          <w:tcPr>
            <w:tcW w:w="735" w:type="dxa"/>
            <w:tcBorders>
              <w:top w:val="single" w:color="000000" w:sz="4" w:space="0"/>
              <w:left w:val="single" w:color="000000" w:sz="4" w:space="0"/>
              <w:bottom w:val="single" w:color="000000" w:sz="4" w:space="0"/>
              <w:right w:val="single" w:color="000000" w:sz="4" w:space="0"/>
            </w:tcBorders>
            <w:noWrap w:val="0"/>
            <w:vAlign w:val="top"/>
          </w:tcPr>
          <w:p>
            <w:pPr>
              <w:rPr>
                <w:color w:val="000000"/>
                <w:spacing w:val="-2"/>
                <w:sz w:val="28"/>
                <w:szCs w:val="28"/>
              </w:rPr>
            </w:pP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sz w:val="28"/>
                <w:szCs w:val="28"/>
              </w:rPr>
            </w:pPr>
          </w:p>
        </w:tc>
        <w:tc>
          <w:tcPr>
            <w:tcW w:w="765" w:type="dxa"/>
            <w:tcBorders>
              <w:top w:val="single" w:color="000000" w:sz="4" w:space="0"/>
              <w:left w:val="single" w:color="000000" w:sz="4" w:space="0"/>
              <w:bottom w:val="single" w:color="000000" w:sz="4" w:space="0"/>
              <w:right w:val="single" w:color="000000" w:sz="6" w:space="0"/>
            </w:tcBorders>
            <w:noWrap w:val="0"/>
            <w:vAlign w:val="center"/>
          </w:tcPr>
          <w:p>
            <w:pPr>
              <w:rPr>
                <w:color w:val="000000"/>
                <w:spacing w:val="-2"/>
                <w:kern w:val="0"/>
                <w:sz w:val="28"/>
                <w:szCs w:val="28"/>
                <w:lang w:eastAsia="en-US"/>
              </w:rPr>
            </w:pPr>
          </w:p>
        </w:tc>
        <w:tc>
          <w:tcPr>
            <w:tcW w:w="630" w:type="dxa"/>
            <w:tcBorders>
              <w:top w:val="single" w:color="000000" w:sz="4" w:space="0"/>
              <w:left w:val="single" w:color="000000" w:sz="6" w:space="0"/>
              <w:bottom w:val="single" w:color="000000" w:sz="4" w:space="0"/>
              <w:right w:val="single" w:color="auto" w:sz="8" w:space="0"/>
            </w:tcBorders>
            <w:noWrap w:val="0"/>
            <w:vAlign w:val="center"/>
          </w:tcPr>
          <w:p>
            <w:pPr>
              <w:rPr>
                <w:color w:val="000000"/>
                <w:spacing w:val="-2"/>
                <w:kern w:val="0"/>
                <w:sz w:val="28"/>
                <w:szCs w:val="28"/>
                <w:lang w:eastAsia="en-US"/>
              </w:rPr>
            </w:pPr>
          </w:p>
        </w:tc>
      </w:tr>
      <w:tr>
        <w:tblPrEx>
          <w:tblCellMar>
            <w:top w:w="0" w:type="dxa"/>
            <w:left w:w="0" w:type="dxa"/>
            <w:bottom w:w="0" w:type="dxa"/>
            <w:right w:w="0" w:type="dxa"/>
          </w:tblCellMar>
        </w:tblPrEx>
        <w:trPr>
          <w:trHeight w:val="680" w:hRule="exact"/>
          <w:jc w:val="center"/>
        </w:trPr>
        <w:tc>
          <w:tcPr>
            <w:tcW w:w="600" w:type="dxa"/>
            <w:tcBorders>
              <w:top w:val="single" w:color="000000" w:sz="4" w:space="0"/>
              <w:left w:val="single" w:color="auto" w:sz="8" w:space="0"/>
              <w:bottom w:val="single" w:color="000000" w:sz="4" w:space="0"/>
              <w:right w:val="single" w:color="000000" w:sz="4" w:space="0"/>
            </w:tcBorders>
            <w:noWrap w:val="0"/>
            <w:vAlign w:val="center"/>
          </w:tcPr>
          <w:p>
            <w:pPr>
              <w:rPr>
                <w:color w:val="000000"/>
                <w:spacing w:val="-2"/>
                <w:kern w:val="0"/>
                <w:sz w:val="28"/>
                <w:szCs w:val="28"/>
                <w:lang w:eastAsia="en-US"/>
              </w:rPr>
            </w:pPr>
          </w:p>
        </w:tc>
        <w:tc>
          <w:tcPr>
            <w:tcW w:w="1077" w:type="dxa"/>
            <w:tcBorders>
              <w:top w:val="single" w:color="000000" w:sz="4" w:space="0"/>
              <w:left w:val="single" w:color="000000" w:sz="4" w:space="0"/>
              <w:bottom w:val="single" w:color="000000" w:sz="4" w:space="0"/>
              <w:right w:val="single" w:color="000000" w:sz="4" w:space="0"/>
            </w:tcBorders>
            <w:noWrap w:val="0"/>
            <w:vAlign w:val="top"/>
          </w:tcPr>
          <w:p>
            <w:pPr>
              <w:rPr>
                <w:color w:val="000000"/>
                <w:spacing w:val="-2"/>
                <w:kern w:val="0"/>
                <w:sz w:val="28"/>
                <w:szCs w:val="28"/>
                <w:lang w:eastAsia="en-US"/>
              </w:rPr>
            </w:pPr>
          </w:p>
        </w:tc>
        <w:tc>
          <w:tcPr>
            <w:tcW w:w="2005" w:type="dxa"/>
            <w:tcBorders>
              <w:top w:val="single" w:color="000000" w:sz="4" w:space="0"/>
              <w:left w:val="single" w:color="000000" w:sz="4" w:space="0"/>
              <w:bottom w:val="single" w:color="000000" w:sz="4" w:space="0"/>
              <w:right w:val="single" w:color="000000" w:sz="6" w:space="0"/>
            </w:tcBorders>
            <w:noWrap w:val="0"/>
            <w:vAlign w:val="center"/>
          </w:tcPr>
          <w:p>
            <w:pPr>
              <w:rPr>
                <w:color w:val="000000"/>
                <w:spacing w:val="-2"/>
                <w:kern w:val="0"/>
                <w:sz w:val="28"/>
                <w:szCs w:val="28"/>
                <w:lang w:eastAsia="en-US"/>
              </w:rPr>
            </w:pPr>
          </w:p>
        </w:tc>
        <w:tc>
          <w:tcPr>
            <w:tcW w:w="735" w:type="dxa"/>
            <w:tcBorders>
              <w:top w:val="single" w:color="000000" w:sz="4" w:space="0"/>
              <w:left w:val="single" w:color="000000" w:sz="4" w:space="0"/>
              <w:bottom w:val="single" w:color="000000" w:sz="4" w:space="0"/>
              <w:right w:val="single" w:color="000000" w:sz="6" w:space="0"/>
            </w:tcBorders>
            <w:noWrap w:val="0"/>
            <w:vAlign w:val="center"/>
          </w:tcPr>
          <w:p>
            <w:pPr>
              <w:rPr>
                <w:color w:val="000000"/>
                <w:spacing w:val="-2"/>
                <w:kern w:val="0"/>
                <w:sz w:val="28"/>
                <w:szCs w:val="28"/>
                <w:lang w:eastAsia="en-US"/>
              </w:rPr>
            </w:pPr>
          </w:p>
        </w:tc>
        <w:tc>
          <w:tcPr>
            <w:tcW w:w="600" w:type="dxa"/>
            <w:tcBorders>
              <w:top w:val="single" w:color="000000" w:sz="4" w:space="0"/>
              <w:left w:val="single" w:color="000000" w:sz="6" w:space="0"/>
              <w:bottom w:val="single" w:color="000000" w:sz="4" w:space="0"/>
              <w:right w:val="single" w:color="000000" w:sz="4" w:space="0"/>
            </w:tcBorders>
            <w:noWrap w:val="0"/>
            <w:vAlign w:val="center"/>
          </w:tcPr>
          <w:p>
            <w:pPr>
              <w:rPr>
                <w:color w:val="000000"/>
                <w:spacing w:val="-2"/>
                <w:kern w:val="0"/>
                <w:sz w:val="28"/>
                <w:szCs w:val="28"/>
                <w:lang w:eastAsia="en-US"/>
              </w:rPr>
            </w:pPr>
          </w:p>
        </w:tc>
        <w:tc>
          <w:tcPr>
            <w:tcW w:w="757"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kern w:val="0"/>
                <w:sz w:val="28"/>
                <w:szCs w:val="28"/>
                <w:lang w:eastAsia="en-US"/>
              </w:rPr>
            </w:pPr>
          </w:p>
        </w:tc>
        <w:tc>
          <w:tcPr>
            <w:tcW w:w="735" w:type="dxa"/>
            <w:tcBorders>
              <w:top w:val="single" w:color="000000" w:sz="4" w:space="0"/>
              <w:left w:val="single" w:color="000000" w:sz="4" w:space="0"/>
              <w:bottom w:val="single" w:color="000000" w:sz="4" w:space="0"/>
              <w:right w:val="single" w:color="000000" w:sz="4" w:space="0"/>
            </w:tcBorders>
            <w:noWrap w:val="0"/>
            <w:vAlign w:val="top"/>
          </w:tcPr>
          <w:p>
            <w:pPr>
              <w:rPr>
                <w:color w:val="000000"/>
                <w:spacing w:val="-2"/>
                <w:sz w:val="28"/>
                <w:szCs w:val="28"/>
              </w:rPr>
            </w:pP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sz w:val="28"/>
                <w:szCs w:val="28"/>
              </w:rPr>
            </w:pPr>
          </w:p>
        </w:tc>
        <w:tc>
          <w:tcPr>
            <w:tcW w:w="765" w:type="dxa"/>
            <w:tcBorders>
              <w:top w:val="single" w:color="000000" w:sz="4" w:space="0"/>
              <w:left w:val="single" w:color="000000" w:sz="4" w:space="0"/>
              <w:bottom w:val="single" w:color="000000" w:sz="4" w:space="0"/>
              <w:right w:val="single" w:color="000000" w:sz="6" w:space="0"/>
            </w:tcBorders>
            <w:noWrap w:val="0"/>
            <w:vAlign w:val="center"/>
          </w:tcPr>
          <w:p>
            <w:pPr>
              <w:rPr>
                <w:color w:val="000000"/>
                <w:spacing w:val="-2"/>
                <w:kern w:val="0"/>
                <w:sz w:val="28"/>
                <w:szCs w:val="28"/>
                <w:lang w:eastAsia="en-US"/>
              </w:rPr>
            </w:pPr>
          </w:p>
        </w:tc>
        <w:tc>
          <w:tcPr>
            <w:tcW w:w="630" w:type="dxa"/>
            <w:tcBorders>
              <w:top w:val="single" w:color="000000" w:sz="4" w:space="0"/>
              <w:left w:val="single" w:color="000000" w:sz="6" w:space="0"/>
              <w:bottom w:val="single" w:color="000000" w:sz="4" w:space="0"/>
              <w:right w:val="single" w:color="auto" w:sz="8" w:space="0"/>
            </w:tcBorders>
            <w:noWrap w:val="0"/>
            <w:vAlign w:val="center"/>
          </w:tcPr>
          <w:p>
            <w:pPr>
              <w:rPr>
                <w:color w:val="000000"/>
                <w:spacing w:val="-2"/>
                <w:kern w:val="0"/>
                <w:sz w:val="28"/>
                <w:szCs w:val="28"/>
                <w:lang w:eastAsia="en-US"/>
              </w:rPr>
            </w:pPr>
          </w:p>
        </w:tc>
      </w:tr>
      <w:tr>
        <w:tblPrEx>
          <w:tblCellMar>
            <w:top w:w="0" w:type="dxa"/>
            <w:left w:w="0" w:type="dxa"/>
            <w:bottom w:w="0" w:type="dxa"/>
            <w:right w:w="0" w:type="dxa"/>
          </w:tblCellMar>
        </w:tblPrEx>
        <w:trPr>
          <w:trHeight w:val="680" w:hRule="exact"/>
          <w:jc w:val="center"/>
        </w:trPr>
        <w:tc>
          <w:tcPr>
            <w:tcW w:w="600" w:type="dxa"/>
            <w:tcBorders>
              <w:top w:val="single" w:color="000000" w:sz="4" w:space="0"/>
              <w:left w:val="single" w:color="auto" w:sz="8" w:space="0"/>
              <w:bottom w:val="single" w:color="000000" w:sz="4" w:space="0"/>
              <w:right w:val="single" w:color="000000" w:sz="4" w:space="0"/>
            </w:tcBorders>
            <w:noWrap w:val="0"/>
            <w:vAlign w:val="center"/>
          </w:tcPr>
          <w:p>
            <w:pPr>
              <w:rPr>
                <w:color w:val="000000"/>
                <w:spacing w:val="-2"/>
                <w:kern w:val="0"/>
                <w:sz w:val="28"/>
                <w:szCs w:val="28"/>
                <w:lang w:eastAsia="en-US"/>
              </w:rPr>
            </w:pPr>
          </w:p>
        </w:tc>
        <w:tc>
          <w:tcPr>
            <w:tcW w:w="1077" w:type="dxa"/>
            <w:tcBorders>
              <w:top w:val="single" w:color="000000" w:sz="4" w:space="0"/>
              <w:left w:val="single" w:color="000000" w:sz="4" w:space="0"/>
              <w:bottom w:val="single" w:color="000000" w:sz="4" w:space="0"/>
              <w:right w:val="single" w:color="000000" w:sz="4" w:space="0"/>
            </w:tcBorders>
            <w:noWrap w:val="0"/>
            <w:vAlign w:val="top"/>
          </w:tcPr>
          <w:p>
            <w:pPr>
              <w:rPr>
                <w:color w:val="000000"/>
                <w:spacing w:val="-2"/>
                <w:kern w:val="0"/>
                <w:sz w:val="28"/>
                <w:szCs w:val="28"/>
              </w:rPr>
            </w:pPr>
          </w:p>
        </w:tc>
        <w:tc>
          <w:tcPr>
            <w:tcW w:w="2005" w:type="dxa"/>
            <w:tcBorders>
              <w:top w:val="single" w:color="000000" w:sz="4" w:space="0"/>
              <w:left w:val="single" w:color="000000" w:sz="4" w:space="0"/>
              <w:bottom w:val="single" w:color="000000" w:sz="4" w:space="0"/>
              <w:right w:val="single" w:color="000000" w:sz="6" w:space="0"/>
            </w:tcBorders>
            <w:noWrap w:val="0"/>
            <w:vAlign w:val="center"/>
          </w:tcPr>
          <w:p>
            <w:pPr>
              <w:rPr>
                <w:color w:val="000000"/>
                <w:spacing w:val="-2"/>
                <w:kern w:val="0"/>
                <w:sz w:val="28"/>
                <w:szCs w:val="28"/>
              </w:rPr>
            </w:pPr>
          </w:p>
        </w:tc>
        <w:tc>
          <w:tcPr>
            <w:tcW w:w="735" w:type="dxa"/>
            <w:tcBorders>
              <w:top w:val="single" w:color="000000" w:sz="4" w:space="0"/>
              <w:left w:val="single" w:color="000000" w:sz="4" w:space="0"/>
              <w:bottom w:val="single" w:color="000000" w:sz="4" w:space="0"/>
              <w:right w:val="single" w:color="000000" w:sz="6" w:space="0"/>
            </w:tcBorders>
            <w:noWrap w:val="0"/>
            <w:vAlign w:val="center"/>
          </w:tcPr>
          <w:p>
            <w:pPr>
              <w:rPr>
                <w:color w:val="000000"/>
                <w:spacing w:val="-2"/>
                <w:kern w:val="0"/>
                <w:sz w:val="28"/>
                <w:szCs w:val="28"/>
              </w:rPr>
            </w:pPr>
          </w:p>
        </w:tc>
        <w:tc>
          <w:tcPr>
            <w:tcW w:w="600" w:type="dxa"/>
            <w:tcBorders>
              <w:top w:val="single" w:color="000000" w:sz="4" w:space="0"/>
              <w:left w:val="single" w:color="000000" w:sz="6" w:space="0"/>
              <w:bottom w:val="single" w:color="000000" w:sz="4" w:space="0"/>
              <w:right w:val="single" w:color="000000" w:sz="4" w:space="0"/>
            </w:tcBorders>
            <w:noWrap w:val="0"/>
            <w:vAlign w:val="center"/>
          </w:tcPr>
          <w:p>
            <w:pPr>
              <w:rPr>
                <w:color w:val="000000"/>
                <w:spacing w:val="-2"/>
                <w:kern w:val="0"/>
                <w:sz w:val="28"/>
                <w:szCs w:val="28"/>
              </w:rPr>
            </w:pPr>
          </w:p>
        </w:tc>
        <w:tc>
          <w:tcPr>
            <w:tcW w:w="757"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sz w:val="28"/>
                <w:szCs w:val="28"/>
              </w:rPr>
            </w:pPr>
          </w:p>
        </w:tc>
        <w:tc>
          <w:tcPr>
            <w:tcW w:w="735" w:type="dxa"/>
            <w:tcBorders>
              <w:top w:val="single" w:color="000000" w:sz="4" w:space="0"/>
              <w:left w:val="single" w:color="000000" w:sz="4" w:space="0"/>
              <w:bottom w:val="single" w:color="000000" w:sz="4" w:space="0"/>
              <w:right w:val="single" w:color="000000" w:sz="4" w:space="0"/>
            </w:tcBorders>
            <w:noWrap w:val="0"/>
            <w:vAlign w:val="top"/>
          </w:tcPr>
          <w:p>
            <w:pPr>
              <w:rPr>
                <w:color w:val="000000"/>
                <w:spacing w:val="-2"/>
                <w:kern w:val="0"/>
                <w:sz w:val="28"/>
                <w:szCs w:val="28"/>
                <w:lang w:eastAsia="en-US"/>
              </w:rPr>
            </w:pP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kern w:val="0"/>
                <w:sz w:val="28"/>
                <w:szCs w:val="28"/>
                <w:lang w:eastAsia="en-US"/>
              </w:rPr>
            </w:pPr>
          </w:p>
        </w:tc>
        <w:tc>
          <w:tcPr>
            <w:tcW w:w="765" w:type="dxa"/>
            <w:tcBorders>
              <w:top w:val="single" w:color="000000" w:sz="4" w:space="0"/>
              <w:left w:val="single" w:color="000000" w:sz="4" w:space="0"/>
              <w:bottom w:val="single" w:color="000000" w:sz="4" w:space="0"/>
              <w:right w:val="single" w:color="000000" w:sz="6" w:space="0"/>
            </w:tcBorders>
            <w:noWrap w:val="0"/>
            <w:vAlign w:val="center"/>
          </w:tcPr>
          <w:p>
            <w:pPr>
              <w:rPr>
                <w:color w:val="000000"/>
                <w:spacing w:val="-2"/>
                <w:kern w:val="0"/>
                <w:sz w:val="28"/>
                <w:szCs w:val="28"/>
                <w:lang w:eastAsia="en-US"/>
              </w:rPr>
            </w:pPr>
          </w:p>
        </w:tc>
        <w:tc>
          <w:tcPr>
            <w:tcW w:w="630" w:type="dxa"/>
            <w:tcBorders>
              <w:top w:val="single" w:color="000000" w:sz="4" w:space="0"/>
              <w:left w:val="single" w:color="000000" w:sz="6" w:space="0"/>
              <w:bottom w:val="single" w:color="000000" w:sz="4" w:space="0"/>
              <w:right w:val="single" w:color="auto" w:sz="8" w:space="0"/>
            </w:tcBorders>
            <w:noWrap w:val="0"/>
            <w:vAlign w:val="center"/>
          </w:tcPr>
          <w:p>
            <w:pPr>
              <w:rPr>
                <w:color w:val="000000"/>
                <w:spacing w:val="-2"/>
                <w:kern w:val="0"/>
                <w:sz w:val="28"/>
                <w:szCs w:val="28"/>
                <w:lang w:eastAsia="en-US"/>
              </w:rPr>
            </w:pPr>
          </w:p>
        </w:tc>
      </w:tr>
      <w:tr>
        <w:tblPrEx>
          <w:tblCellMar>
            <w:top w:w="0" w:type="dxa"/>
            <w:left w:w="0" w:type="dxa"/>
            <w:bottom w:w="0" w:type="dxa"/>
            <w:right w:w="0" w:type="dxa"/>
          </w:tblCellMar>
        </w:tblPrEx>
        <w:trPr>
          <w:trHeight w:val="680" w:hRule="exact"/>
          <w:jc w:val="center"/>
        </w:trPr>
        <w:tc>
          <w:tcPr>
            <w:tcW w:w="600" w:type="dxa"/>
            <w:tcBorders>
              <w:top w:val="single" w:color="000000" w:sz="4" w:space="0"/>
              <w:left w:val="single" w:color="auto" w:sz="8" w:space="0"/>
              <w:bottom w:val="single" w:color="000000" w:sz="4" w:space="0"/>
              <w:right w:val="single" w:color="000000" w:sz="4" w:space="0"/>
            </w:tcBorders>
            <w:noWrap w:val="0"/>
            <w:vAlign w:val="center"/>
          </w:tcPr>
          <w:p>
            <w:pPr>
              <w:rPr>
                <w:color w:val="000000"/>
                <w:spacing w:val="-2"/>
                <w:kern w:val="0"/>
                <w:sz w:val="28"/>
                <w:szCs w:val="28"/>
                <w:lang w:eastAsia="en-US"/>
              </w:rPr>
            </w:pPr>
          </w:p>
        </w:tc>
        <w:tc>
          <w:tcPr>
            <w:tcW w:w="1077" w:type="dxa"/>
            <w:tcBorders>
              <w:top w:val="single" w:color="000000" w:sz="4" w:space="0"/>
              <w:left w:val="single" w:color="000000" w:sz="4" w:space="0"/>
              <w:bottom w:val="single" w:color="000000" w:sz="4" w:space="0"/>
              <w:right w:val="single" w:color="000000" w:sz="4" w:space="0"/>
            </w:tcBorders>
            <w:noWrap w:val="0"/>
            <w:vAlign w:val="top"/>
          </w:tcPr>
          <w:p>
            <w:pPr>
              <w:rPr>
                <w:color w:val="000000"/>
                <w:spacing w:val="-2"/>
                <w:kern w:val="0"/>
                <w:sz w:val="28"/>
                <w:szCs w:val="28"/>
              </w:rPr>
            </w:pPr>
          </w:p>
        </w:tc>
        <w:tc>
          <w:tcPr>
            <w:tcW w:w="2005" w:type="dxa"/>
            <w:tcBorders>
              <w:top w:val="single" w:color="000000" w:sz="4" w:space="0"/>
              <w:left w:val="single" w:color="000000" w:sz="4" w:space="0"/>
              <w:bottom w:val="single" w:color="000000" w:sz="4" w:space="0"/>
              <w:right w:val="single" w:color="000000" w:sz="6" w:space="0"/>
            </w:tcBorders>
            <w:noWrap w:val="0"/>
            <w:vAlign w:val="center"/>
          </w:tcPr>
          <w:p>
            <w:pPr>
              <w:rPr>
                <w:color w:val="000000"/>
                <w:spacing w:val="-2"/>
                <w:kern w:val="0"/>
                <w:sz w:val="28"/>
                <w:szCs w:val="28"/>
              </w:rPr>
            </w:pPr>
          </w:p>
        </w:tc>
        <w:tc>
          <w:tcPr>
            <w:tcW w:w="735" w:type="dxa"/>
            <w:tcBorders>
              <w:top w:val="single" w:color="000000" w:sz="4" w:space="0"/>
              <w:left w:val="single" w:color="000000" w:sz="4" w:space="0"/>
              <w:bottom w:val="single" w:color="000000" w:sz="4" w:space="0"/>
              <w:right w:val="single" w:color="000000" w:sz="6" w:space="0"/>
            </w:tcBorders>
            <w:noWrap w:val="0"/>
            <w:vAlign w:val="center"/>
          </w:tcPr>
          <w:p>
            <w:pPr>
              <w:rPr>
                <w:color w:val="000000"/>
                <w:spacing w:val="-2"/>
                <w:kern w:val="0"/>
                <w:sz w:val="28"/>
                <w:szCs w:val="28"/>
              </w:rPr>
            </w:pPr>
          </w:p>
        </w:tc>
        <w:tc>
          <w:tcPr>
            <w:tcW w:w="600" w:type="dxa"/>
            <w:tcBorders>
              <w:top w:val="single" w:color="000000" w:sz="4" w:space="0"/>
              <w:left w:val="single" w:color="000000" w:sz="6" w:space="0"/>
              <w:bottom w:val="single" w:color="000000" w:sz="4" w:space="0"/>
              <w:right w:val="single" w:color="000000" w:sz="4" w:space="0"/>
            </w:tcBorders>
            <w:noWrap w:val="0"/>
            <w:vAlign w:val="center"/>
          </w:tcPr>
          <w:p>
            <w:pPr>
              <w:rPr>
                <w:color w:val="000000"/>
                <w:spacing w:val="-2"/>
                <w:kern w:val="0"/>
                <w:sz w:val="28"/>
                <w:szCs w:val="28"/>
              </w:rPr>
            </w:pPr>
          </w:p>
        </w:tc>
        <w:tc>
          <w:tcPr>
            <w:tcW w:w="757"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kern w:val="0"/>
                <w:sz w:val="28"/>
                <w:szCs w:val="28"/>
              </w:rPr>
            </w:pPr>
          </w:p>
        </w:tc>
        <w:tc>
          <w:tcPr>
            <w:tcW w:w="735" w:type="dxa"/>
            <w:tcBorders>
              <w:top w:val="single" w:color="000000" w:sz="4" w:space="0"/>
              <w:left w:val="single" w:color="000000" w:sz="4" w:space="0"/>
              <w:bottom w:val="single" w:color="000000" w:sz="4" w:space="0"/>
              <w:right w:val="single" w:color="000000" w:sz="4" w:space="0"/>
            </w:tcBorders>
            <w:noWrap w:val="0"/>
            <w:vAlign w:val="top"/>
          </w:tcPr>
          <w:p>
            <w:pPr>
              <w:rPr>
                <w:color w:val="000000"/>
                <w:spacing w:val="-2"/>
                <w:sz w:val="28"/>
                <w:szCs w:val="28"/>
              </w:rPr>
            </w:pP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sz w:val="28"/>
                <w:szCs w:val="28"/>
              </w:rPr>
            </w:pPr>
          </w:p>
        </w:tc>
        <w:tc>
          <w:tcPr>
            <w:tcW w:w="765" w:type="dxa"/>
            <w:tcBorders>
              <w:top w:val="single" w:color="000000" w:sz="4" w:space="0"/>
              <w:left w:val="single" w:color="000000" w:sz="4" w:space="0"/>
              <w:bottom w:val="single" w:color="000000" w:sz="4" w:space="0"/>
              <w:right w:val="single" w:color="000000" w:sz="6" w:space="0"/>
            </w:tcBorders>
            <w:noWrap w:val="0"/>
            <w:vAlign w:val="center"/>
          </w:tcPr>
          <w:p>
            <w:pPr>
              <w:rPr>
                <w:color w:val="000000"/>
                <w:spacing w:val="-2"/>
                <w:kern w:val="0"/>
                <w:sz w:val="28"/>
                <w:szCs w:val="28"/>
                <w:lang w:eastAsia="en-US"/>
              </w:rPr>
            </w:pPr>
          </w:p>
        </w:tc>
        <w:tc>
          <w:tcPr>
            <w:tcW w:w="630" w:type="dxa"/>
            <w:tcBorders>
              <w:top w:val="single" w:color="000000" w:sz="4" w:space="0"/>
              <w:left w:val="single" w:color="000000" w:sz="6" w:space="0"/>
              <w:bottom w:val="single" w:color="000000" w:sz="4" w:space="0"/>
              <w:right w:val="single" w:color="auto" w:sz="8" w:space="0"/>
            </w:tcBorders>
            <w:noWrap w:val="0"/>
            <w:vAlign w:val="center"/>
          </w:tcPr>
          <w:p>
            <w:pPr>
              <w:rPr>
                <w:color w:val="000000"/>
                <w:spacing w:val="-2"/>
                <w:kern w:val="0"/>
                <w:sz w:val="28"/>
                <w:szCs w:val="28"/>
                <w:lang w:eastAsia="en-US"/>
              </w:rPr>
            </w:pPr>
          </w:p>
        </w:tc>
      </w:tr>
      <w:tr>
        <w:tblPrEx>
          <w:tblCellMar>
            <w:top w:w="0" w:type="dxa"/>
            <w:left w:w="0" w:type="dxa"/>
            <w:bottom w:w="0" w:type="dxa"/>
            <w:right w:w="0" w:type="dxa"/>
          </w:tblCellMar>
        </w:tblPrEx>
        <w:trPr>
          <w:trHeight w:val="680" w:hRule="exact"/>
          <w:jc w:val="center"/>
        </w:trPr>
        <w:tc>
          <w:tcPr>
            <w:tcW w:w="600" w:type="dxa"/>
            <w:tcBorders>
              <w:top w:val="single" w:color="000000" w:sz="4" w:space="0"/>
              <w:left w:val="single" w:color="auto" w:sz="8" w:space="0"/>
              <w:bottom w:val="single" w:color="000000" w:sz="4" w:space="0"/>
              <w:right w:val="single" w:color="000000" w:sz="4" w:space="0"/>
            </w:tcBorders>
            <w:noWrap w:val="0"/>
            <w:vAlign w:val="center"/>
          </w:tcPr>
          <w:p>
            <w:pPr>
              <w:rPr>
                <w:color w:val="000000"/>
                <w:spacing w:val="-2"/>
                <w:kern w:val="0"/>
                <w:sz w:val="28"/>
                <w:szCs w:val="28"/>
                <w:lang w:eastAsia="en-US"/>
              </w:rPr>
            </w:pPr>
          </w:p>
        </w:tc>
        <w:tc>
          <w:tcPr>
            <w:tcW w:w="1077" w:type="dxa"/>
            <w:tcBorders>
              <w:top w:val="single" w:color="000000" w:sz="4" w:space="0"/>
              <w:left w:val="single" w:color="000000" w:sz="4" w:space="0"/>
              <w:bottom w:val="single" w:color="000000" w:sz="4" w:space="0"/>
              <w:right w:val="single" w:color="000000" w:sz="4" w:space="0"/>
            </w:tcBorders>
            <w:noWrap w:val="0"/>
            <w:vAlign w:val="top"/>
          </w:tcPr>
          <w:p>
            <w:pPr>
              <w:rPr>
                <w:color w:val="000000"/>
                <w:spacing w:val="-2"/>
                <w:kern w:val="0"/>
                <w:sz w:val="28"/>
                <w:szCs w:val="28"/>
                <w:lang w:eastAsia="en-US"/>
              </w:rPr>
            </w:pPr>
          </w:p>
        </w:tc>
        <w:tc>
          <w:tcPr>
            <w:tcW w:w="2005" w:type="dxa"/>
            <w:tcBorders>
              <w:top w:val="single" w:color="000000" w:sz="4" w:space="0"/>
              <w:left w:val="single" w:color="000000" w:sz="4" w:space="0"/>
              <w:bottom w:val="single" w:color="000000" w:sz="4" w:space="0"/>
              <w:right w:val="single" w:color="000000" w:sz="6" w:space="0"/>
            </w:tcBorders>
            <w:noWrap w:val="0"/>
            <w:vAlign w:val="center"/>
          </w:tcPr>
          <w:p>
            <w:pPr>
              <w:rPr>
                <w:color w:val="000000"/>
                <w:spacing w:val="-2"/>
                <w:kern w:val="0"/>
                <w:sz w:val="28"/>
                <w:szCs w:val="28"/>
                <w:lang w:eastAsia="en-US"/>
              </w:rPr>
            </w:pPr>
          </w:p>
        </w:tc>
        <w:tc>
          <w:tcPr>
            <w:tcW w:w="735" w:type="dxa"/>
            <w:tcBorders>
              <w:top w:val="single" w:color="000000" w:sz="4" w:space="0"/>
              <w:left w:val="single" w:color="000000" w:sz="4" w:space="0"/>
              <w:bottom w:val="single" w:color="000000" w:sz="4" w:space="0"/>
              <w:right w:val="single" w:color="000000" w:sz="6" w:space="0"/>
            </w:tcBorders>
            <w:noWrap w:val="0"/>
            <w:vAlign w:val="center"/>
          </w:tcPr>
          <w:p>
            <w:pPr>
              <w:rPr>
                <w:color w:val="000000"/>
                <w:spacing w:val="-2"/>
                <w:kern w:val="0"/>
                <w:sz w:val="28"/>
                <w:szCs w:val="28"/>
                <w:lang w:eastAsia="en-US"/>
              </w:rPr>
            </w:pPr>
          </w:p>
        </w:tc>
        <w:tc>
          <w:tcPr>
            <w:tcW w:w="600" w:type="dxa"/>
            <w:tcBorders>
              <w:top w:val="single" w:color="000000" w:sz="4" w:space="0"/>
              <w:left w:val="single" w:color="000000" w:sz="6" w:space="0"/>
              <w:bottom w:val="single" w:color="000000" w:sz="4" w:space="0"/>
              <w:right w:val="single" w:color="000000" w:sz="4" w:space="0"/>
            </w:tcBorders>
            <w:noWrap w:val="0"/>
            <w:vAlign w:val="center"/>
          </w:tcPr>
          <w:p>
            <w:pPr>
              <w:rPr>
                <w:color w:val="000000"/>
                <w:spacing w:val="-2"/>
                <w:kern w:val="0"/>
                <w:sz w:val="28"/>
                <w:szCs w:val="28"/>
                <w:lang w:eastAsia="en-US"/>
              </w:rPr>
            </w:pPr>
          </w:p>
        </w:tc>
        <w:tc>
          <w:tcPr>
            <w:tcW w:w="757"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kern w:val="0"/>
                <w:sz w:val="28"/>
                <w:szCs w:val="28"/>
                <w:lang w:eastAsia="en-US"/>
              </w:rPr>
            </w:pPr>
          </w:p>
        </w:tc>
        <w:tc>
          <w:tcPr>
            <w:tcW w:w="735" w:type="dxa"/>
            <w:tcBorders>
              <w:top w:val="single" w:color="000000" w:sz="4" w:space="0"/>
              <w:left w:val="single" w:color="000000" w:sz="4" w:space="0"/>
              <w:bottom w:val="single" w:color="000000" w:sz="4" w:space="0"/>
              <w:right w:val="single" w:color="000000" w:sz="4" w:space="0"/>
            </w:tcBorders>
            <w:noWrap w:val="0"/>
            <w:vAlign w:val="top"/>
          </w:tcPr>
          <w:p>
            <w:pPr>
              <w:rPr>
                <w:color w:val="000000"/>
                <w:spacing w:val="-2"/>
                <w:sz w:val="28"/>
                <w:szCs w:val="28"/>
              </w:rPr>
            </w:pP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sz w:val="28"/>
                <w:szCs w:val="28"/>
              </w:rPr>
            </w:pPr>
          </w:p>
        </w:tc>
        <w:tc>
          <w:tcPr>
            <w:tcW w:w="765" w:type="dxa"/>
            <w:tcBorders>
              <w:top w:val="single" w:color="000000" w:sz="4" w:space="0"/>
              <w:left w:val="single" w:color="000000" w:sz="4" w:space="0"/>
              <w:bottom w:val="single" w:color="000000" w:sz="4" w:space="0"/>
              <w:right w:val="single" w:color="000000" w:sz="6" w:space="0"/>
            </w:tcBorders>
            <w:noWrap w:val="0"/>
            <w:vAlign w:val="center"/>
          </w:tcPr>
          <w:p>
            <w:pPr>
              <w:rPr>
                <w:color w:val="000000"/>
                <w:spacing w:val="-2"/>
                <w:kern w:val="0"/>
                <w:sz w:val="28"/>
                <w:szCs w:val="28"/>
                <w:lang w:eastAsia="en-US"/>
              </w:rPr>
            </w:pPr>
          </w:p>
        </w:tc>
        <w:tc>
          <w:tcPr>
            <w:tcW w:w="630" w:type="dxa"/>
            <w:tcBorders>
              <w:top w:val="single" w:color="000000" w:sz="4" w:space="0"/>
              <w:left w:val="single" w:color="000000" w:sz="6" w:space="0"/>
              <w:bottom w:val="single" w:color="000000" w:sz="4" w:space="0"/>
              <w:right w:val="single" w:color="auto" w:sz="8" w:space="0"/>
            </w:tcBorders>
            <w:noWrap w:val="0"/>
            <w:vAlign w:val="center"/>
          </w:tcPr>
          <w:p>
            <w:pPr>
              <w:rPr>
                <w:color w:val="000000"/>
                <w:spacing w:val="-2"/>
                <w:kern w:val="0"/>
                <w:sz w:val="28"/>
                <w:szCs w:val="28"/>
                <w:lang w:eastAsia="en-US"/>
              </w:rPr>
            </w:pPr>
          </w:p>
        </w:tc>
      </w:tr>
      <w:tr>
        <w:tblPrEx>
          <w:tblCellMar>
            <w:top w:w="0" w:type="dxa"/>
            <w:left w:w="0" w:type="dxa"/>
            <w:bottom w:w="0" w:type="dxa"/>
            <w:right w:w="0" w:type="dxa"/>
          </w:tblCellMar>
        </w:tblPrEx>
        <w:trPr>
          <w:trHeight w:val="680" w:hRule="exact"/>
          <w:jc w:val="center"/>
        </w:trPr>
        <w:tc>
          <w:tcPr>
            <w:tcW w:w="600" w:type="dxa"/>
            <w:tcBorders>
              <w:top w:val="single" w:color="000000" w:sz="4" w:space="0"/>
              <w:left w:val="single" w:color="auto" w:sz="8" w:space="0"/>
              <w:bottom w:val="single" w:color="000000" w:sz="4" w:space="0"/>
              <w:right w:val="single" w:color="000000" w:sz="4" w:space="0"/>
            </w:tcBorders>
            <w:noWrap w:val="0"/>
            <w:vAlign w:val="center"/>
          </w:tcPr>
          <w:p>
            <w:pPr>
              <w:rPr>
                <w:color w:val="000000"/>
                <w:spacing w:val="-2"/>
                <w:kern w:val="0"/>
                <w:sz w:val="28"/>
                <w:szCs w:val="28"/>
                <w:lang w:eastAsia="en-US"/>
              </w:rPr>
            </w:pPr>
          </w:p>
        </w:tc>
        <w:tc>
          <w:tcPr>
            <w:tcW w:w="1077" w:type="dxa"/>
            <w:tcBorders>
              <w:top w:val="single" w:color="000000" w:sz="4" w:space="0"/>
              <w:left w:val="single" w:color="000000" w:sz="4" w:space="0"/>
              <w:bottom w:val="single" w:color="000000" w:sz="4" w:space="0"/>
              <w:right w:val="single" w:color="000000" w:sz="4" w:space="0"/>
            </w:tcBorders>
            <w:noWrap w:val="0"/>
            <w:vAlign w:val="top"/>
          </w:tcPr>
          <w:p>
            <w:pPr>
              <w:rPr>
                <w:color w:val="000000"/>
                <w:spacing w:val="-2"/>
                <w:kern w:val="0"/>
                <w:sz w:val="28"/>
                <w:szCs w:val="28"/>
                <w:lang w:eastAsia="en-US"/>
              </w:rPr>
            </w:pPr>
          </w:p>
        </w:tc>
        <w:tc>
          <w:tcPr>
            <w:tcW w:w="2005" w:type="dxa"/>
            <w:tcBorders>
              <w:top w:val="single" w:color="000000" w:sz="4" w:space="0"/>
              <w:left w:val="single" w:color="000000" w:sz="4" w:space="0"/>
              <w:bottom w:val="single" w:color="000000" w:sz="4" w:space="0"/>
              <w:right w:val="single" w:color="000000" w:sz="6" w:space="0"/>
            </w:tcBorders>
            <w:noWrap w:val="0"/>
            <w:vAlign w:val="center"/>
          </w:tcPr>
          <w:p>
            <w:pPr>
              <w:rPr>
                <w:color w:val="000000"/>
                <w:spacing w:val="-2"/>
                <w:kern w:val="0"/>
                <w:sz w:val="28"/>
                <w:szCs w:val="28"/>
                <w:lang w:eastAsia="en-US"/>
              </w:rPr>
            </w:pPr>
          </w:p>
        </w:tc>
        <w:tc>
          <w:tcPr>
            <w:tcW w:w="735" w:type="dxa"/>
            <w:tcBorders>
              <w:top w:val="single" w:color="000000" w:sz="4" w:space="0"/>
              <w:left w:val="single" w:color="000000" w:sz="4" w:space="0"/>
              <w:bottom w:val="single" w:color="000000" w:sz="4" w:space="0"/>
              <w:right w:val="single" w:color="000000" w:sz="6" w:space="0"/>
            </w:tcBorders>
            <w:noWrap w:val="0"/>
            <w:vAlign w:val="center"/>
          </w:tcPr>
          <w:p>
            <w:pPr>
              <w:rPr>
                <w:color w:val="000000"/>
                <w:spacing w:val="-2"/>
                <w:kern w:val="0"/>
                <w:sz w:val="28"/>
                <w:szCs w:val="28"/>
                <w:lang w:eastAsia="en-US"/>
              </w:rPr>
            </w:pPr>
          </w:p>
        </w:tc>
        <w:tc>
          <w:tcPr>
            <w:tcW w:w="600" w:type="dxa"/>
            <w:tcBorders>
              <w:top w:val="single" w:color="000000" w:sz="4" w:space="0"/>
              <w:left w:val="single" w:color="000000" w:sz="6" w:space="0"/>
              <w:bottom w:val="single" w:color="000000" w:sz="4" w:space="0"/>
              <w:right w:val="single" w:color="000000" w:sz="4" w:space="0"/>
            </w:tcBorders>
            <w:noWrap w:val="0"/>
            <w:vAlign w:val="center"/>
          </w:tcPr>
          <w:p>
            <w:pPr>
              <w:rPr>
                <w:color w:val="000000"/>
                <w:spacing w:val="-2"/>
                <w:kern w:val="0"/>
                <w:sz w:val="28"/>
                <w:szCs w:val="28"/>
                <w:lang w:eastAsia="en-US"/>
              </w:rPr>
            </w:pPr>
          </w:p>
        </w:tc>
        <w:tc>
          <w:tcPr>
            <w:tcW w:w="757"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kern w:val="0"/>
                <w:sz w:val="28"/>
                <w:szCs w:val="28"/>
                <w:lang w:eastAsia="en-US"/>
              </w:rPr>
            </w:pPr>
          </w:p>
        </w:tc>
        <w:tc>
          <w:tcPr>
            <w:tcW w:w="735" w:type="dxa"/>
            <w:tcBorders>
              <w:top w:val="single" w:color="000000" w:sz="4" w:space="0"/>
              <w:left w:val="single" w:color="000000" w:sz="4" w:space="0"/>
              <w:bottom w:val="single" w:color="000000" w:sz="4" w:space="0"/>
              <w:right w:val="single" w:color="000000" w:sz="4" w:space="0"/>
            </w:tcBorders>
            <w:noWrap w:val="0"/>
            <w:vAlign w:val="top"/>
          </w:tcPr>
          <w:p>
            <w:pPr>
              <w:rPr>
                <w:color w:val="000000"/>
                <w:spacing w:val="-2"/>
                <w:sz w:val="28"/>
                <w:szCs w:val="28"/>
              </w:rPr>
            </w:pP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sz w:val="28"/>
                <w:szCs w:val="28"/>
              </w:rPr>
            </w:pPr>
          </w:p>
        </w:tc>
        <w:tc>
          <w:tcPr>
            <w:tcW w:w="765" w:type="dxa"/>
            <w:tcBorders>
              <w:top w:val="single" w:color="000000" w:sz="4" w:space="0"/>
              <w:left w:val="single" w:color="000000" w:sz="4" w:space="0"/>
              <w:bottom w:val="single" w:color="000000" w:sz="4" w:space="0"/>
              <w:right w:val="single" w:color="000000" w:sz="6" w:space="0"/>
            </w:tcBorders>
            <w:noWrap w:val="0"/>
            <w:vAlign w:val="center"/>
          </w:tcPr>
          <w:p>
            <w:pPr>
              <w:rPr>
                <w:color w:val="000000"/>
                <w:spacing w:val="-2"/>
                <w:kern w:val="0"/>
                <w:sz w:val="28"/>
                <w:szCs w:val="28"/>
                <w:lang w:eastAsia="en-US"/>
              </w:rPr>
            </w:pPr>
          </w:p>
        </w:tc>
        <w:tc>
          <w:tcPr>
            <w:tcW w:w="630" w:type="dxa"/>
            <w:tcBorders>
              <w:top w:val="single" w:color="000000" w:sz="4" w:space="0"/>
              <w:left w:val="single" w:color="000000" w:sz="4" w:space="0"/>
              <w:bottom w:val="single" w:color="000000" w:sz="4" w:space="0"/>
              <w:right w:val="single" w:color="auto" w:sz="8" w:space="0"/>
            </w:tcBorders>
            <w:noWrap w:val="0"/>
            <w:vAlign w:val="center"/>
          </w:tcPr>
          <w:p>
            <w:pPr>
              <w:rPr>
                <w:color w:val="000000"/>
                <w:spacing w:val="-2"/>
                <w:kern w:val="0"/>
                <w:sz w:val="28"/>
                <w:szCs w:val="28"/>
                <w:lang w:eastAsia="en-US"/>
              </w:rPr>
            </w:pPr>
          </w:p>
        </w:tc>
      </w:tr>
      <w:tr>
        <w:tblPrEx>
          <w:tblCellMar>
            <w:top w:w="0" w:type="dxa"/>
            <w:left w:w="0" w:type="dxa"/>
            <w:bottom w:w="0" w:type="dxa"/>
            <w:right w:w="0" w:type="dxa"/>
          </w:tblCellMar>
        </w:tblPrEx>
        <w:trPr>
          <w:trHeight w:val="680" w:hRule="exact"/>
          <w:jc w:val="center"/>
        </w:trPr>
        <w:tc>
          <w:tcPr>
            <w:tcW w:w="600" w:type="dxa"/>
            <w:tcBorders>
              <w:top w:val="single" w:color="000000" w:sz="4" w:space="0"/>
              <w:left w:val="single" w:color="auto" w:sz="8" w:space="0"/>
              <w:bottom w:val="single" w:color="000000" w:sz="4" w:space="0"/>
              <w:right w:val="single" w:color="000000" w:sz="4" w:space="0"/>
            </w:tcBorders>
            <w:noWrap w:val="0"/>
            <w:vAlign w:val="center"/>
          </w:tcPr>
          <w:p>
            <w:pPr>
              <w:rPr>
                <w:color w:val="000000"/>
                <w:spacing w:val="-2"/>
                <w:kern w:val="0"/>
                <w:sz w:val="28"/>
                <w:szCs w:val="28"/>
                <w:lang w:eastAsia="en-US"/>
              </w:rPr>
            </w:pPr>
          </w:p>
        </w:tc>
        <w:tc>
          <w:tcPr>
            <w:tcW w:w="1077" w:type="dxa"/>
            <w:tcBorders>
              <w:top w:val="single" w:color="000000" w:sz="4" w:space="0"/>
              <w:left w:val="single" w:color="000000" w:sz="4" w:space="0"/>
              <w:bottom w:val="single" w:color="000000" w:sz="4" w:space="0"/>
              <w:right w:val="single" w:color="000000" w:sz="4" w:space="0"/>
            </w:tcBorders>
            <w:noWrap w:val="0"/>
            <w:vAlign w:val="top"/>
          </w:tcPr>
          <w:p>
            <w:pPr>
              <w:rPr>
                <w:color w:val="000000"/>
                <w:spacing w:val="-2"/>
                <w:sz w:val="28"/>
                <w:szCs w:val="28"/>
              </w:rPr>
            </w:pPr>
          </w:p>
        </w:tc>
        <w:tc>
          <w:tcPr>
            <w:tcW w:w="2005" w:type="dxa"/>
            <w:tcBorders>
              <w:top w:val="single" w:color="000000" w:sz="4" w:space="0"/>
              <w:left w:val="single" w:color="000000" w:sz="4" w:space="0"/>
              <w:bottom w:val="single" w:color="000000" w:sz="4" w:space="0"/>
              <w:right w:val="single" w:color="000000" w:sz="6" w:space="0"/>
            </w:tcBorders>
            <w:noWrap w:val="0"/>
            <w:vAlign w:val="center"/>
          </w:tcPr>
          <w:p>
            <w:pPr>
              <w:rPr>
                <w:color w:val="000000"/>
                <w:spacing w:val="-2"/>
                <w:sz w:val="28"/>
                <w:szCs w:val="28"/>
              </w:rPr>
            </w:pPr>
          </w:p>
        </w:tc>
        <w:tc>
          <w:tcPr>
            <w:tcW w:w="735" w:type="dxa"/>
            <w:tcBorders>
              <w:top w:val="single" w:color="000000" w:sz="4" w:space="0"/>
              <w:left w:val="single" w:color="000000" w:sz="4" w:space="0"/>
              <w:bottom w:val="single" w:color="000000" w:sz="4" w:space="0"/>
              <w:right w:val="single" w:color="000000" w:sz="6" w:space="0"/>
            </w:tcBorders>
            <w:noWrap w:val="0"/>
            <w:vAlign w:val="center"/>
          </w:tcPr>
          <w:p>
            <w:pPr>
              <w:rPr>
                <w:color w:val="000000"/>
                <w:spacing w:val="-2"/>
                <w:sz w:val="28"/>
                <w:szCs w:val="28"/>
              </w:rPr>
            </w:pPr>
          </w:p>
        </w:tc>
        <w:tc>
          <w:tcPr>
            <w:tcW w:w="600" w:type="dxa"/>
            <w:tcBorders>
              <w:top w:val="single" w:color="000000" w:sz="4" w:space="0"/>
              <w:left w:val="single" w:color="000000" w:sz="6" w:space="0"/>
              <w:bottom w:val="single" w:color="000000" w:sz="4" w:space="0"/>
              <w:right w:val="single" w:color="000000" w:sz="4" w:space="0"/>
            </w:tcBorders>
            <w:noWrap w:val="0"/>
            <w:vAlign w:val="center"/>
          </w:tcPr>
          <w:p>
            <w:pPr>
              <w:rPr>
                <w:color w:val="000000"/>
                <w:spacing w:val="-2"/>
                <w:sz w:val="28"/>
                <w:szCs w:val="28"/>
              </w:rPr>
            </w:pPr>
          </w:p>
        </w:tc>
        <w:tc>
          <w:tcPr>
            <w:tcW w:w="757"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sz w:val="28"/>
                <w:szCs w:val="28"/>
              </w:rPr>
            </w:pPr>
          </w:p>
        </w:tc>
        <w:tc>
          <w:tcPr>
            <w:tcW w:w="735" w:type="dxa"/>
            <w:tcBorders>
              <w:top w:val="single" w:color="000000" w:sz="4" w:space="0"/>
              <w:left w:val="single" w:color="000000" w:sz="4" w:space="0"/>
              <w:bottom w:val="single" w:color="000000" w:sz="4" w:space="0"/>
              <w:right w:val="single" w:color="000000" w:sz="4" w:space="0"/>
            </w:tcBorders>
            <w:noWrap w:val="0"/>
            <w:vAlign w:val="top"/>
          </w:tcPr>
          <w:p>
            <w:pPr>
              <w:rPr>
                <w:color w:val="000000"/>
                <w:spacing w:val="-2"/>
                <w:sz w:val="28"/>
                <w:szCs w:val="28"/>
              </w:rPr>
            </w:pP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sz w:val="28"/>
                <w:szCs w:val="28"/>
              </w:rPr>
            </w:pPr>
          </w:p>
        </w:tc>
        <w:tc>
          <w:tcPr>
            <w:tcW w:w="765" w:type="dxa"/>
            <w:tcBorders>
              <w:top w:val="single" w:color="000000" w:sz="4" w:space="0"/>
              <w:left w:val="single" w:color="000000" w:sz="4" w:space="0"/>
              <w:bottom w:val="single" w:color="000000" w:sz="4" w:space="0"/>
              <w:right w:val="single" w:color="000000" w:sz="6" w:space="0"/>
            </w:tcBorders>
            <w:noWrap w:val="0"/>
            <w:vAlign w:val="center"/>
          </w:tcPr>
          <w:p>
            <w:pPr>
              <w:rPr>
                <w:color w:val="000000"/>
                <w:spacing w:val="-2"/>
                <w:kern w:val="0"/>
                <w:sz w:val="28"/>
                <w:szCs w:val="28"/>
                <w:lang w:eastAsia="en-US"/>
              </w:rPr>
            </w:pPr>
          </w:p>
        </w:tc>
        <w:tc>
          <w:tcPr>
            <w:tcW w:w="630" w:type="dxa"/>
            <w:tcBorders>
              <w:top w:val="single" w:color="000000" w:sz="4" w:space="0"/>
              <w:left w:val="single" w:color="000000" w:sz="4" w:space="0"/>
              <w:bottom w:val="single" w:color="000000" w:sz="4" w:space="0"/>
              <w:right w:val="single" w:color="auto" w:sz="8" w:space="0"/>
            </w:tcBorders>
            <w:noWrap w:val="0"/>
            <w:vAlign w:val="center"/>
          </w:tcPr>
          <w:p>
            <w:pPr>
              <w:rPr>
                <w:color w:val="000000"/>
                <w:spacing w:val="-2"/>
                <w:kern w:val="0"/>
                <w:sz w:val="28"/>
                <w:szCs w:val="28"/>
                <w:lang w:eastAsia="en-US"/>
              </w:rPr>
            </w:pPr>
          </w:p>
        </w:tc>
      </w:tr>
      <w:tr>
        <w:tblPrEx>
          <w:tblCellMar>
            <w:top w:w="0" w:type="dxa"/>
            <w:left w:w="0" w:type="dxa"/>
            <w:bottom w:w="0" w:type="dxa"/>
            <w:right w:w="0" w:type="dxa"/>
          </w:tblCellMar>
        </w:tblPrEx>
        <w:trPr>
          <w:trHeight w:val="680" w:hRule="exact"/>
          <w:jc w:val="center"/>
        </w:trPr>
        <w:tc>
          <w:tcPr>
            <w:tcW w:w="600" w:type="dxa"/>
            <w:tcBorders>
              <w:top w:val="single" w:color="000000" w:sz="4" w:space="0"/>
              <w:left w:val="single" w:color="auto" w:sz="8" w:space="0"/>
              <w:bottom w:val="single" w:color="000000" w:sz="4" w:space="0"/>
              <w:right w:val="single" w:color="000000" w:sz="4" w:space="0"/>
            </w:tcBorders>
            <w:noWrap w:val="0"/>
            <w:vAlign w:val="center"/>
          </w:tcPr>
          <w:p>
            <w:pPr>
              <w:rPr>
                <w:color w:val="000000"/>
                <w:spacing w:val="-2"/>
                <w:sz w:val="28"/>
                <w:szCs w:val="28"/>
              </w:rPr>
            </w:pPr>
          </w:p>
        </w:tc>
        <w:tc>
          <w:tcPr>
            <w:tcW w:w="1077" w:type="dxa"/>
            <w:tcBorders>
              <w:top w:val="single" w:color="000000" w:sz="4" w:space="0"/>
              <w:left w:val="single" w:color="000000" w:sz="4" w:space="0"/>
              <w:bottom w:val="single" w:color="000000" w:sz="4" w:space="0"/>
              <w:right w:val="single" w:color="000000" w:sz="4" w:space="0"/>
            </w:tcBorders>
            <w:noWrap w:val="0"/>
            <w:vAlign w:val="top"/>
          </w:tcPr>
          <w:p>
            <w:pPr>
              <w:rPr>
                <w:color w:val="000000"/>
                <w:spacing w:val="-2"/>
                <w:sz w:val="28"/>
                <w:szCs w:val="28"/>
              </w:rPr>
            </w:pPr>
          </w:p>
        </w:tc>
        <w:tc>
          <w:tcPr>
            <w:tcW w:w="2005" w:type="dxa"/>
            <w:tcBorders>
              <w:top w:val="single" w:color="000000" w:sz="4" w:space="0"/>
              <w:left w:val="single" w:color="000000" w:sz="4" w:space="0"/>
              <w:bottom w:val="single" w:color="000000" w:sz="4" w:space="0"/>
              <w:right w:val="single" w:color="000000" w:sz="6" w:space="0"/>
            </w:tcBorders>
            <w:noWrap w:val="0"/>
            <w:vAlign w:val="center"/>
          </w:tcPr>
          <w:p>
            <w:pPr>
              <w:rPr>
                <w:color w:val="000000"/>
                <w:spacing w:val="-2"/>
                <w:sz w:val="28"/>
                <w:szCs w:val="28"/>
              </w:rPr>
            </w:pPr>
          </w:p>
        </w:tc>
        <w:tc>
          <w:tcPr>
            <w:tcW w:w="735" w:type="dxa"/>
            <w:tcBorders>
              <w:top w:val="single" w:color="000000" w:sz="4" w:space="0"/>
              <w:left w:val="single" w:color="000000" w:sz="4" w:space="0"/>
              <w:bottom w:val="single" w:color="000000" w:sz="4" w:space="0"/>
              <w:right w:val="single" w:color="000000" w:sz="6" w:space="0"/>
            </w:tcBorders>
            <w:noWrap w:val="0"/>
            <w:vAlign w:val="center"/>
          </w:tcPr>
          <w:p>
            <w:pPr>
              <w:ind w:left="-238" w:leftChars="-116"/>
              <w:rPr>
                <w:color w:val="000000"/>
                <w:spacing w:val="-2"/>
                <w:sz w:val="28"/>
                <w:szCs w:val="28"/>
              </w:rPr>
            </w:pPr>
          </w:p>
        </w:tc>
        <w:tc>
          <w:tcPr>
            <w:tcW w:w="600" w:type="dxa"/>
            <w:tcBorders>
              <w:top w:val="single" w:color="000000" w:sz="4" w:space="0"/>
              <w:left w:val="single" w:color="000000" w:sz="4" w:space="0"/>
              <w:bottom w:val="single" w:color="000000" w:sz="4" w:space="0"/>
              <w:right w:val="single" w:color="000000" w:sz="6" w:space="0"/>
            </w:tcBorders>
            <w:noWrap w:val="0"/>
            <w:vAlign w:val="center"/>
          </w:tcPr>
          <w:p>
            <w:pPr>
              <w:rPr>
                <w:color w:val="000000"/>
                <w:spacing w:val="-2"/>
                <w:sz w:val="28"/>
                <w:szCs w:val="28"/>
              </w:rPr>
            </w:pPr>
          </w:p>
        </w:tc>
        <w:tc>
          <w:tcPr>
            <w:tcW w:w="757" w:type="dxa"/>
            <w:tcBorders>
              <w:top w:val="single" w:color="000000" w:sz="4" w:space="0"/>
              <w:left w:val="single" w:color="000000" w:sz="6" w:space="0"/>
              <w:bottom w:val="single" w:color="000000" w:sz="4" w:space="0"/>
              <w:right w:val="single" w:color="000000" w:sz="4" w:space="0"/>
            </w:tcBorders>
            <w:noWrap w:val="0"/>
            <w:vAlign w:val="center"/>
          </w:tcPr>
          <w:p>
            <w:pPr>
              <w:rPr>
                <w:color w:val="000000"/>
                <w:spacing w:val="-2"/>
                <w:sz w:val="28"/>
                <w:szCs w:val="28"/>
              </w:rPr>
            </w:pPr>
          </w:p>
        </w:tc>
        <w:tc>
          <w:tcPr>
            <w:tcW w:w="735" w:type="dxa"/>
            <w:tcBorders>
              <w:top w:val="single" w:color="000000" w:sz="4" w:space="0"/>
              <w:left w:val="single" w:color="000000" w:sz="4" w:space="0"/>
              <w:bottom w:val="single" w:color="000000" w:sz="4" w:space="0"/>
              <w:right w:val="single" w:color="000000" w:sz="4" w:space="0"/>
            </w:tcBorders>
            <w:noWrap w:val="0"/>
            <w:vAlign w:val="top"/>
          </w:tcPr>
          <w:p>
            <w:pPr>
              <w:rPr>
                <w:color w:val="000000"/>
                <w:spacing w:val="-2"/>
                <w:sz w:val="28"/>
                <w:szCs w:val="28"/>
              </w:rPr>
            </w:pP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sz w:val="28"/>
                <w:szCs w:val="28"/>
              </w:rPr>
            </w:pPr>
          </w:p>
        </w:tc>
        <w:tc>
          <w:tcPr>
            <w:tcW w:w="765" w:type="dxa"/>
            <w:tcBorders>
              <w:top w:val="single" w:color="000000" w:sz="4" w:space="0"/>
              <w:left w:val="single" w:color="000000" w:sz="4" w:space="0"/>
              <w:bottom w:val="single" w:color="000000" w:sz="4" w:space="0"/>
              <w:right w:val="single" w:color="000000" w:sz="6" w:space="0"/>
            </w:tcBorders>
            <w:noWrap w:val="0"/>
            <w:vAlign w:val="center"/>
          </w:tcPr>
          <w:p>
            <w:pPr>
              <w:rPr>
                <w:color w:val="000000"/>
                <w:spacing w:val="-2"/>
                <w:kern w:val="0"/>
                <w:sz w:val="28"/>
                <w:szCs w:val="28"/>
                <w:lang w:eastAsia="en-US"/>
              </w:rPr>
            </w:pPr>
          </w:p>
        </w:tc>
        <w:tc>
          <w:tcPr>
            <w:tcW w:w="630" w:type="dxa"/>
            <w:tcBorders>
              <w:top w:val="single" w:color="000000" w:sz="4" w:space="0"/>
              <w:left w:val="single" w:color="000000" w:sz="4" w:space="0"/>
              <w:bottom w:val="single" w:color="000000" w:sz="4" w:space="0"/>
              <w:right w:val="single" w:color="auto" w:sz="8" w:space="0"/>
            </w:tcBorders>
            <w:noWrap w:val="0"/>
            <w:vAlign w:val="center"/>
          </w:tcPr>
          <w:p>
            <w:pPr>
              <w:rPr>
                <w:color w:val="000000"/>
                <w:spacing w:val="-2"/>
                <w:kern w:val="0"/>
                <w:sz w:val="28"/>
                <w:szCs w:val="28"/>
                <w:lang w:eastAsia="en-US"/>
              </w:rPr>
            </w:pPr>
          </w:p>
        </w:tc>
      </w:tr>
      <w:tr>
        <w:tblPrEx>
          <w:tblCellMar>
            <w:top w:w="0" w:type="dxa"/>
            <w:left w:w="0" w:type="dxa"/>
            <w:bottom w:w="0" w:type="dxa"/>
            <w:right w:w="0" w:type="dxa"/>
          </w:tblCellMar>
        </w:tblPrEx>
        <w:trPr>
          <w:trHeight w:val="680" w:hRule="exact"/>
          <w:jc w:val="center"/>
        </w:trPr>
        <w:tc>
          <w:tcPr>
            <w:tcW w:w="600" w:type="dxa"/>
            <w:tcBorders>
              <w:top w:val="single" w:color="000000" w:sz="4" w:space="0"/>
              <w:left w:val="single" w:color="auto" w:sz="8" w:space="0"/>
              <w:bottom w:val="single" w:color="000000" w:sz="4" w:space="0"/>
              <w:right w:val="single" w:color="000000" w:sz="4" w:space="0"/>
            </w:tcBorders>
            <w:noWrap w:val="0"/>
            <w:vAlign w:val="center"/>
          </w:tcPr>
          <w:p>
            <w:pPr>
              <w:rPr>
                <w:color w:val="000000"/>
                <w:spacing w:val="-2"/>
                <w:sz w:val="28"/>
                <w:szCs w:val="28"/>
              </w:rPr>
            </w:pPr>
          </w:p>
        </w:tc>
        <w:tc>
          <w:tcPr>
            <w:tcW w:w="1077" w:type="dxa"/>
            <w:tcBorders>
              <w:top w:val="single" w:color="000000" w:sz="4" w:space="0"/>
              <w:left w:val="single" w:color="000000" w:sz="4" w:space="0"/>
              <w:bottom w:val="single" w:color="000000" w:sz="4" w:space="0"/>
              <w:right w:val="single" w:color="000000" w:sz="4" w:space="0"/>
            </w:tcBorders>
            <w:noWrap w:val="0"/>
            <w:vAlign w:val="top"/>
          </w:tcPr>
          <w:p>
            <w:pPr>
              <w:rPr>
                <w:color w:val="000000"/>
                <w:spacing w:val="-2"/>
                <w:sz w:val="28"/>
                <w:szCs w:val="28"/>
              </w:rPr>
            </w:pPr>
          </w:p>
        </w:tc>
        <w:tc>
          <w:tcPr>
            <w:tcW w:w="2005" w:type="dxa"/>
            <w:tcBorders>
              <w:top w:val="single" w:color="000000" w:sz="4" w:space="0"/>
              <w:left w:val="single" w:color="000000" w:sz="4" w:space="0"/>
              <w:bottom w:val="single" w:color="000000" w:sz="4" w:space="0"/>
              <w:right w:val="single" w:color="000000" w:sz="6" w:space="0"/>
            </w:tcBorders>
            <w:noWrap w:val="0"/>
            <w:vAlign w:val="center"/>
          </w:tcPr>
          <w:p>
            <w:pPr>
              <w:rPr>
                <w:color w:val="000000"/>
                <w:spacing w:val="-2"/>
                <w:sz w:val="28"/>
                <w:szCs w:val="28"/>
              </w:rPr>
            </w:pPr>
          </w:p>
        </w:tc>
        <w:tc>
          <w:tcPr>
            <w:tcW w:w="735" w:type="dxa"/>
            <w:tcBorders>
              <w:top w:val="single" w:color="000000" w:sz="4" w:space="0"/>
              <w:left w:val="single" w:color="000000" w:sz="4" w:space="0"/>
              <w:bottom w:val="single" w:color="000000" w:sz="4" w:space="0"/>
              <w:right w:val="single" w:color="000000" w:sz="6" w:space="0"/>
            </w:tcBorders>
            <w:noWrap w:val="0"/>
            <w:vAlign w:val="center"/>
          </w:tcPr>
          <w:p>
            <w:pPr>
              <w:rPr>
                <w:color w:val="000000"/>
                <w:spacing w:val="-2"/>
                <w:sz w:val="28"/>
                <w:szCs w:val="28"/>
              </w:rPr>
            </w:pPr>
          </w:p>
        </w:tc>
        <w:tc>
          <w:tcPr>
            <w:tcW w:w="600" w:type="dxa"/>
            <w:tcBorders>
              <w:top w:val="single" w:color="000000" w:sz="4" w:space="0"/>
              <w:left w:val="single" w:color="000000" w:sz="4" w:space="0"/>
              <w:bottom w:val="single" w:color="000000" w:sz="4" w:space="0"/>
              <w:right w:val="single" w:color="000000" w:sz="6" w:space="0"/>
            </w:tcBorders>
            <w:noWrap w:val="0"/>
            <w:vAlign w:val="center"/>
          </w:tcPr>
          <w:p>
            <w:pPr>
              <w:rPr>
                <w:color w:val="000000"/>
                <w:spacing w:val="-2"/>
                <w:sz w:val="28"/>
                <w:szCs w:val="28"/>
              </w:rPr>
            </w:pPr>
          </w:p>
        </w:tc>
        <w:tc>
          <w:tcPr>
            <w:tcW w:w="757" w:type="dxa"/>
            <w:tcBorders>
              <w:top w:val="single" w:color="000000" w:sz="4" w:space="0"/>
              <w:left w:val="single" w:color="000000" w:sz="6" w:space="0"/>
              <w:bottom w:val="single" w:color="000000" w:sz="4" w:space="0"/>
              <w:right w:val="single" w:color="000000" w:sz="4" w:space="0"/>
            </w:tcBorders>
            <w:noWrap w:val="0"/>
            <w:vAlign w:val="center"/>
          </w:tcPr>
          <w:p>
            <w:pPr>
              <w:rPr>
                <w:color w:val="000000"/>
                <w:spacing w:val="-2"/>
                <w:sz w:val="28"/>
                <w:szCs w:val="28"/>
              </w:rPr>
            </w:pPr>
          </w:p>
        </w:tc>
        <w:tc>
          <w:tcPr>
            <w:tcW w:w="735" w:type="dxa"/>
            <w:tcBorders>
              <w:top w:val="single" w:color="000000" w:sz="4" w:space="0"/>
              <w:left w:val="single" w:color="000000" w:sz="4" w:space="0"/>
              <w:bottom w:val="single" w:color="000000" w:sz="4" w:space="0"/>
              <w:right w:val="single" w:color="000000" w:sz="4" w:space="0"/>
            </w:tcBorders>
            <w:noWrap w:val="0"/>
            <w:vAlign w:val="top"/>
          </w:tcPr>
          <w:p>
            <w:pPr>
              <w:rPr>
                <w:color w:val="000000"/>
                <w:spacing w:val="-2"/>
                <w:sz w:val="28"/>
                <w:szCs w:val="28"/>
              </w:rPr>
            </w:pP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sz w:val="28"/>
                <w:szCs w:val="28"/>
              </w:rPr>
            </w:pPr>
          </w:p>
        </w:tc>
        <w:tc>
          <w:tcPr>
            <w:tcW w:w="765" w:type="dxa"/>
            <w:tcBorders>
              <w:top w:val="single" w:color="000000" w:sz="4" w:space="0"/>
              <w:left w:val="single" w:color="000000" w:sz="4" w:space="0"/>
              <w:bottom w:val="single" w:color="000000" w:sz="4" w:space="0"/>
              <w:right w:val="single" w:color="000000" w:sz="6" w:space="0"/>
            </w:tcBorders>
            <w:noWrap w:val="0"/>
            <w:vAlign w:val="center"/>
          </w:tcPr>
          <w:p>
            <w:pPr>
              <w:rPr>
                <w:color w:val="000000"/>
                <w:spacing w:val="-2"/>
                <w:kern w:val="0"/>
                <w:sz w:val="28"/>
                <w:szCs w:val="28"/>
                <w:lang w:eastAsia="en-US"/>
              </w:rPr>
            </w:pPr>
          </w:p>
        </w:tc>
        <w:tc>
          <w:tcPr>
            <w:tcW w:w="630" w:type="dxa"/>
            <w:tcBorders>
              <w:top w:val="single" w:color="000000" w:sz="4" w:space="0"/>
              <w:left w:val="single" w:color="000000" w:sz="4" w:space="0"/>
              <w:bottom w:val="single" w:color="000000" w:sz="4" w:space="0"/>
              <w:right w:val="single" w:color="auto" w:sz="8" w:space="0"/>
            </w:tcBorders>
            <w:noWrap w:val="0"/>
            <w:vAlign w:val="center"/>
          </w:tcPr>
          <w:p>
            <w:pPr>
              <w:rPr>
                <w:color w:val="000000"/>
                <w:spacing w:val="-2"/>
                <w:kern w:val="0"/>
                <w:sz w:val="28"/>
                <w:szCs w:val="28"/>
                <w:lang w:eastAsia="en-US"/>
              </w:rPr>
            </w:pPr>
          </w:p>
        </w:tc>
      </w:tr>
      <w:tr>
        <w:tblPrEx>
          <w:tblCellMar>
            <w:top w:w="0" w:type="dxa"/>
            <w:left w:w="0" w:type="dxa"/>
            <w:bottom w:w="0" w:type="dxa"/>
            <w:right w:w="0" w:type="dxa"/>
          </w:tblCellMar>
        </w:tblPrEx>
        <w:trPr>
          <w:trHeight w:val="680" w:hRule="exact"/>
          <w:jc w:val="center"/>
        </w:trPr>
        <w:tc>
          <w:tcPr>
            <w:tcW w:w="600" w:type="dxa"/>
            <w:tcBorders>
              <w:top w:val="single" w:color="000000" w:sz="4" w:space="0"/>
              <w:left w:val="single" w:color="auto" w:sz="8" w:space="0"/>
              <w:bottom w:val="single" w:color="000000" w:sz="4" w:space="0"/>
              <w:right w:val="single" w:color="000000" w:sz="4" w:space="0"/>
            </w:tcBorders>
            <w:noWrap w:val="0"/>
            <w:vAlign w:val="center"/>
          </w:tcPr>
          <w:p>
            <w:pPr>
              <w:rPr>
                <w:color w:val="000000"/>
                <w:spacing w:val="-2"/>
                <w:sz w:val="28"/>
                <w:szCs w:val="28"/>
              </w:rPr>
            </w:pPr>
          </w:p>
        </w:tc>
        <w:tc>
          <w:tcPr>
            <w:tcW w:w="1077" w:type="dxa"/>
            <w:tcBorders>
              <w:top w:val="single" w:color="000000" w:sz="4" w:space="0"/>
              <w:left w:val="single" w:color="000000" w:sz="4" w:space="0"/>
              <w:bottom w:val="single" w:color="000000" w:sz="4" w:space="0"/>
              <w:right w:val="single" w:color="000000" w:sz="4" w:space="0"/>
            </w:tcBorders>
            <w:noWrap w:val="0"/>
            <w:vAlign w:val="top"/>
          </w:tcPr>
          <w:p>
            <w:pPr>
              <w:rPr>
                <w:color w:val="000000"/>
                <w:spacing w:val="-2"/>
                <w:sz w:val="28"/>
                <w:szCs w:val="28"/>
              </w:rPr>
            </w:pPr>
          </w:p>
        </w:tc>
        <w:tc>
          <w:tcPr>
            <w:tcW w:w="2005" w:type="dxa"/>
            <w:tcBorders>
              <w:top w:val="single" w:color="000000" w:sz="4" w:space="0"/>
              <w:left w:val="single" w:color="000000" w:sz="4" w:space="0"/>
              <w:bottom w:val="single" w:color="000000" w:sz="4" w:space="0"/>
              <w:right w:val="single" w:color="000000" w:sz="6" w:space="0"/>
            </w:tcBorders>
            <w:noWrap w:val="0"/>
            <w:vAlign w:val="center"/>
          </w:tcPr>
          <w:p>
            <w:pPr>
              <w:rPr>
                <w:color w:val="000000"/>
                <w:spacing w:val="-2"/>
                <w:sz w:val="28"/>
                <w:szCs w:val="28"/>
              </w:rPr>
            </w:pPr>
          </w:p>
        </w:tc>
        <w:tc>
          <w:tcPr>
            <w:tcW w:w="735" w:type="dxa"/>
            <w:tcBorders>
              <w:top w:val="single" w:color="000000" w:sz="4" w:space="0"/>
              <w:left w:val="single" w:color="000000" w:sz="4" w:space="0"/>
              <w:bottom w:val="single" w:color="000000" w:sz="4" w:space="0"/>
              <w:right w:val="single" w:color="000000" w:sz="6" w:space="0"/>
            </w:tcBorders>
            <w:noWrap w:val="0"/>
            <w:vAlign w:val="center"/>
          </w:tcPr>
          <w:p>
            <w:pPr>
              <w:rPr>
                <w:color w:val="000000"/>
                <w:spacing w:val="-2"/>
                <w:sz w:val="28"/>
                <w:szCs w:val="28"/>
              </w:rPr>
            </w:pPr>
          </w:p>
        </w:tc>
        <w:tc>
          <w:tcPr>
            <w:tcW w:w="600" w:type="dxa"/>
            <w:tcBorders>
              <w:top w:val="single" w:color="000000" w:sz="4" w:space="0"/>
              <w:left w:val="single" w:color="000000" w:sz="4" w:space="0"/>
              <w:bottom w:val="single" w:color="000000" w:sz="4" w:space="0"/>
              <w:right w:val="single" w:color="000000" w:sz="6" w:space="0"/>
            </w:tcBorders>
            <w:noWrap w:val="0"/>
            <w:vAlign w:val="center"/>
          </w:tcPr>
          <w:p>
            <w:pPr>
              <w:rPr>
                <w:color w:val="000000"/>
                <w:spacing w:val="-2"/>
                <w:sz w:val="28"/>
                <w:szCs w:val="28"/>
              </w:rPr>
            </w:pPr>
          </w:p>
        </w:tc>
        <w:tc>
          <w:tcPr>
            <w:tcW w:w="757" w:type="dxa"/>
            <w:tcBorders>
              <w:top w:val="single" w:color="000000" w:sz="4" w:space="0"/>
              <w:left w:val="single" w:color="000000" w:sz="6" w:space="0"/>
              <w:bottom w:val="single" w:color="000000" w:sz="4" w:space="0"/>
              <w:right w:val="single" w:color="000000" w:sz="4" w:space="0"/>
            </w:tcBorders>
            <w:noWrap w:val="0"/>
            <w:vAlign w:val="center"/>
          </w:tcPr>
          <w:p>
            <w:pPr>
              <w:rPr>
                <w:color w:val="000000"/>
                <w:spacing w:val="-2"/>
                <w:sz w:val="28"/>
                <w:szCs w:val="28"/>
              </w:rPr>
            </w:pPr>
          </w:p>
        </w:tc>
        <w:tc>
          <w:tcPr>
            <w:tcW w:w="735" w:type="dxa"/>
            <w:tcBorders>
              <w:top w:val="single" w:color="000000" w:sz="4" w:space="0"/>
              <w:left w:val="single" w:color="000000" w:sz="4" w:space="0"/>
              <w:bottom w:val="single" w:color="000000" w:sz="4" w:space="0"/>
              <w:right w:val="single" w:color="000000" w:sz="4" w:space="0"/>
            </w:tcBorders>
            <w:noWrap w:val="0"/>
            <w:vAlign w:val="top"/>
          </w:tcPr>
          <w:p>
            <w:pPr>
              <w:rPr>
                <w:color w:val="000000"/>
                <w:spacing w:val="-2"/>
                <w:sz w:val="28"/>
                <w:szCs w:val="28"/>
              </w:rPr>
            </w:pP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sz w:val="28"/>
                <w:szCs w:val="28"/>
              </w:rPr>
            </w:pPr>
          </w:p>
        </w:tc>
        <w:tc>
          <w:tcPr>
            <w:tcW w:w="765" w:type="dxa"/>
            <w:tcBorders>
              <w:top w:val="single" w:color="000000" w:sz="4" w:space="0"/>
              <w:left w:val="single" w:color="000000" w:sz="4" w:space="0"/>
              <w:bottom w:val="single" w:color="000000" w:sz="4" w:space="0"/>
              <w:right w:val="single" w:color="000000" w:sz="6" w:space="0"/>
            </w:tcBorders>
            <w:noWrap w:val="0"/>
            <w:vAlign w:val="center"/>
          </w:tcPr>
          <w:p>
            <w:pPr>
              <w:rPr>
                <w:color w:val="000000"/>
                <w:spacing w:val="-2"/>
                <w:kern w:val="0"/>
                <w:sz w:val="28"/>
                <w:szCs w:val="28"/>
                <w:lang w:eastAsia="en-US"/>
              </w:rPr>
            </w:pPr>
          </w:p>
        </w:tc>
        <w:tc>
          <w:tcPr>
            <w:tcW w:w="630" w:type="dxa"/>
            <w:tcBorders>
              <w:top w:val="single" w:color="000000" w:sz="4" w:space="0"/>
              <w:left w:val="single" w:color="000000" w:sz="4" w:space="0"/>
              <w:bottom w:val="single" w:color="000000" w:sz="4" w:space="0"/>
              <w:right w:val="single" w:color="auto" w:sz="8" w:space="0"/>
            </w:tcBorders>
            <w:noWrap w:val="0"/>
            <w:vAlign w:val="center"/>
          </w:tcPr>
          <w:p>
            <w:pPr>
              <w:rPr>
                <w:color w:val="000000"/>
                <w:spacing w:val="-2"/>
                <w:kern w:val="0"/>
                <w:sz w:val="28"/>
                <w:szCs w:val="28"/>
                <w:lang w:eastAsia="en-US"/>
              </w:rPr>
            </w:pPr>
          </w:p>
        </w:tc>
      </w:tr>
      <w:tr>
        <w:tblPrEx>
          <w:tblCellMar>
            <w:top w:w="0" w:type="dxa"/>
            <w:left w:w="0" w:type="dxa"/>
            <w:bottom w:w="0" w:type="dxa"/>
            <w:right w:w="0" w:type="dxa"/>
          </w:tblCellMar>
        </w:tblPrEx>
        <w:trPr>
          <w:trHeight w:val="680" w:hRule="exact"/>
          <w:jc w:val="center"/>
        </w:trPr>
        <w:tc>
          <w:tcPr>
            <w:tcW w:w="600" w:type="dxa"/>
            <w:tcBorders>
              <w:top w:val="single" w:color="000000" w:sz="4" w:space="0"/>
              <w:left w:val="single" w:color="auto" w:sz="8" w:space="0"/>
              <w:bottom w:val="single" w:color="000000" w:sz="4" w:space="0"/>
              <w:right w:val="single" w:color="000000" w:sz="6" w:space="0"/>
            </w:tcBorders>
            <w:noWrap w:val="0"/>
            <w:vAlign w:val="center"/>
          </w:tcPr>
          <w:p>
            <w:pPr>
              <w:rPr>
                <w:color w:val="000000"/>
                <w:spacing w:val="-2"/>
                <w:sz w:val="28"/>
                <w:szCs w:val="28"/>
              </w:rPr>
            </w:pPr>
          </w:p>
        </w:tc>
        <w:tc>
          <w:tcPr>
            <w:tcW w:w="1077" w:type="dxa"/>
            <w:tcBorders>
              <w:top w:val="single" w:color="000000" w:sz="4" w:space="0"/>
              <w:left w:val="single" w:color="000000" w:sz="6" w:space="0"/>
              <w:bottom w:val="single" w:color="000000" w:sz="4" w:space="0"/>
              <w:right w:val="single" w:color="000000" w:sz="6" w:space="0"/>
            </w:tcBorders>
            <w:noWrap w:val="0"/>
            <w:vAlign w:val="top"/>
          </w:tcPr>
          <w:p>
            <w:pPr>
              <w:rPr>
                <w:color w:val="000000"/>
                <w:spacing w:val="-2"/>
                <w:sz w:val="28"/>
                <w:szCs w:val="28"/>
              </w:rPr>
            </w:pPr>
          </w:p>
        </w:tc>
        <w:tc>
          <w:tcPr>
            <w:tcW w:w="2005" w:type="dxa"/>
            <w:tcBorders>
              <w:top w:val="single" w:color="000000" w:sz="4" w:space="0"/>
              <w:left w:val="single" w:color="000000" w:sz="6" w:space="0"/>
              <w:bottom w:val="single" w:color="000000" w:sz="4" w:space="0"/>
              <w:right w:val="single" w:color="auto" w:sz="2" w:space="0"/>
            </w:tcBorders>
            <w:noWrap w:val="0"/>
            <w:vAlign w:val="center"/>
          </w:tcPr>
          <w:p>
            <w:pPr>
              <w:rPr>
                <w:color w:val="000000"/>
                <w:spacing w:val="-2"/>
                <w:sz w:val="28"/>
                <w:szCs w:val="28"/>
              </w:rPr>
            </w:pPr>
          </w:p>
        </w:tc>
        <w:tc>
          <w:tcPr>
            <w:tcW w:w="735" w:type="dxa"/>
            <w:tcBorders>
              <w:top w:val="single" w:color="000000" w:sz="4" w:space="0"/>
              <w:left w:val="single" w:color="000000" w:sz="6" w:space="0"/>
              <w:bottom w:val="single" w:color="000000" w:sz="4" w:space="0"/>
              <w:right w:val="single" w:color="auto" w:sz="2" w:space="0"/>
            </w:tcBorders>
            <w:noWrap w:val="0"/>
            <w:vAlign w:val="center"/>
          </w:tcPr>
          <w:p>
            <w:pPr>
              <w:rPr>
                <w:color w:val="000000"/>
                <w:spacing w:val="-2"/>
                <w:sz w:val="28"/>
                <w:szCs w:val="28"/>
              </w:rPr>
            </w:pPr>
          </w:p>
        </w:tc>
        <w:tc>
          <w:tcPr>
            <w:tcW w:w="600" w:type="dxa"/>
            <w:tcBorders>
              <w:top w:val="single" w:color="000000" w:sz="4" w:space="0"/>
              <w:left w:val="single" w:color="000000" w:sz="6" w:space="0"/>
              <w:bottom w:val="single" w:color="000000" w:sz="4" w:space="0"/>
              <w:right w:val="single" w:color="auto" w:sz="2" w:space="0"/>
            </w:tcBorders>
            <w:noWrap w:val="0"/>
            <w:vAlign w:val="center"/>
          </w:tcPr>
          <w:p>
            <w:pPr>
              <w:rPr>
                <w:color w:val="000000"/>
                <w:spacing w:val="-2"/>
                <w:sz w:val="28"/>
                <w:szCs w:val="28"/>
              </w:rPr>
            </w:pPr>
          </w:p>
        </w:tc>
        <w:tc>
          <w:tcPr>
            <w:tcW w:w="757" w:type="dxa"/>
            <w:tcBorders>
              <w:top w:val="single" w:color="000000" w:sz="4" w:space="0"/>
              <w:left w:val="single" w:color="auto" w:sz="2" w:space="0"/>
              <w:bottom w:val="single" w:color="000000" w:sz="4" w:space="0"/>
              <w:right w:val="single" w:color="000000" w:sz="4" w:space="0"/>
            </w:tcBorders>
            <w:noWrap w:val="0"/>
            <w:vAlign w:val="center"/>
          </w:tcPr>
          <w:p>
            <w:pPr>
              <w:rPr>
                <w:color w:val="000000"/>
                <w:spacing w:val="-2"/>
                <w:sz w:val="28"/>
                <w:szCs w:val="28"/>
              </w:rPr>
            </w:pPr>
          </w:p>
        </w:tc>
        <w:tc>
          <w:tcPr>
            <w:tcW w:w="735" w:type="dxa"/>
            <w:tcBorders>
              <w:top w:val="single" w:color="000000" w:sz="4" w:space="0"/>
              <w:left w:val="single" w:color="000000" w:sz="4" w:space="0"/>
              <w:bottom w:val="single" w:color="000000" w:sz="4" w:space="0"/>
              <w:right w:val="single" w:color="000000" w:sz="4" w:space="0"/>
            </w:tcBorders>
            <w:noWrap w:val="0"/>
            <w:vAlign w:val="top"/>
          </w:tcPr>
          <w:p>
            <w:pPr>
              <w:rPr>
                <w:color w:val="000000"/>
                <w:spacing w:val="-2"/>
                <w:sz w:val="28"/>
                <w:szCs w:val="28"/>
              </w:rPr>
            </w:pP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sz w:val="28"/>
                <w:szCs w:val="28"/>
              </w:rPr>
            </w:pPr>
          </w:p>
        </w:tc>
        <w:tc>
          <w:tcPr>
            <w:tcW w:w="765" w:type="dxa"/>
            <w:tcBorders>
              <w:top w:val="single" w:color="000000" w:sz="4" w:space="0"/>
              <w:left w:val="single" w:color="000000" w:sz="4" w:space="0"/>
              <w:bottom w:val="single" w:color="000000" w:sz="4" w:space="0"/>
              <w:right w:val="single" w:color="000000" w:sz="6" w:space="0"/>
            </w:tcBorders>
            <w:noWrap w:val="0"/>
            <w:vAlign w:val="center"/>
          </w:tcPr>
          <w:p>
            <w:pPr>
              <w:rPr>
                <w:color w:val="000000"/>
                <w:spacing w:val="-2"/>
                <w:kern w:val="0"/>
                <w:sz w:val="28"/>
                <w:szCs w:val="28"/>
                <w:lang w:eastAsia="en-US"/>
              </w:rPr>
            </w:pPr>
          </w:p>
        </w:tc>
        <w:tc>
          <w:tcPr>
            <w:tcW w:w="630" w:type="dxa"/>
            <w:tcBorders>
              <w:top w:val="single" w:color="000000" w:sz="4" w:space="0"/>
              <w:left w:val="single" w:color="000000" w:sz="6" w:space="0"/>
              <w:bottom w:val="single" w:color="000000" w:sz="4" w:space="0"/>
              <w:right w:val="single" w:color="auto" w:sz="8" w:space="0"/>
            </w:tcBorders>
            <w:noWrap w:val="0"/>
            <w:vAlign w:val="center"/>
          </w:tcPr>
          <w:p>
            <w:pPr>
              <w:rPr>
                <w:color w:val="000000"/>
                <w:spacing w:val="-2"/>
                <w:kern w:val="0"/>
                <w:sz w:val="28"/>
                <w:szCs w:val="28"/>
                <w:lang w:eastAsia="en-US"/>
              </w:rPr>
            </w:pPr>
          </w:p>
        </w:tc>
      </w:tr>
      <w:tr>
        <w:tblPrEx>
          <w:tblCellMar>
            <w:top w:w="0" w:type="dxa"/>
            <w:left w:w="0" w:type="dxa"/>
            <w:bottom w:w="0" w:type="dxa"/>
            <w:right w:w="0" w:type="dxa"/>
          </w:tblCellMar>
        </w:tblPrEx>
        <w:trPr>
          <w:trHeight w:val="680" w:hRule="exact"/>
          <w:jc w:val="center"/>
        </w:trPr>
        <w:tc>
          <w:tcPr>
            <w:tcW w:w="600" w:type="dxa"/>
            <w:tcBorders>
              <w:top w:val="single" w:color="000000" w:sz="4" w:space="0"/>
              <w:left w:val="single" w:color="auto" w:sz="8" w:space="0"/>
              <w:bottom w:val="single" w:color="000000" w:sz="4" w:space="0"/>
              <w:right w:val="single" w:color="000000" w:sz="6" w:space="0"/>
            </w:tcBorders>
            <w:noWrap w:val="0"/>
            <w:vAlign w:val="center"/>
          </w:tcPr>
          <w:p>
            <w:pPr>
              <w:rPr>
                <w:color w:val="000000"/>
                <w:spacing w:val="-2"/>
                <w:sz w:val="28"/>
                <w:szCs w:val="28"/>
              </w:rPr>
            </w:pPr>
          </w:p>
        </w:tc>
        <w:tc>
          <w:tcPr>
            <w:tcW w:w="1077" w:type="dxa"/>
            <w:tcBorders>
              <w:top w:val="single" w:color="000000" w:sz="4" w:space="0"/>
              <w:left w:val="single" w:color="000000" w:sz="6" w:space="0"/>
              <w:bottom w:val="single" w:color="000000" w:sz="4" w:space="0"/>
              <w:right w:val="single" w:color="000000" w:sz="6" w:space="0"/>
            </w:tcBorders>
            <w:noWrap w:val="0"/>
            <w:vAlign w:val="top"/>
          </w:tcPr>
          <w:p>
            <w:pPr>
              <w:rPr>
                <w:color w:val="000000"/>
                <w:spacing w:val="-2"/>
                <w:sz w:val="28"/>
                <w:szCs w:val="28"/>
              </w:rPr>
            </w:pPr>
          </w:p>
        </w:tc>
        <w:tc>
          <w:tcPr>
            <w:tcW w:w="2005" w:type="dxa"/>
            <w:tcBorders>
              <w:top w:val="single" w:color="000000" w:sz="4" w:space="0"/>
              <w:left w:val="single" w:color="000000" w:sz="6" w:space="0"/>
              <w:bottom w:val="single" w:color="000000" w:sz="4" w:space="0"/>
              <w:right w:val="single" w:color="auto" w:sz="2" w:space="0"/>
            </w:tcBorders>
            <w:noWrap w:val="0"/>
            <w:vAlign w:val="center"/>
          </w:tcPr>
          <w:p>
            <w:pPr>
              <w:rPr>
                <w:color w:val="000000"/>
                <w:spacing w:val="-2"/>
                <w:sz w:val="28"/>
                <w:szCs w:val="28"/>
              </w:rPr>
            </w:pPr>
          </w:p>
        </w:tc>
        <w:tc>
          <w:tcPr>
            <w:tcW w:w="735" w:type="dxa"/>
            <w:tcBorders>
              <w:top w:val="single" w:color="000000" w:sz="4" w:space="0"/>
              <w:left w:val="single" w:color="000000" w:sz="6" w:space="0"/>
              <w:bottom w:val="single" w:color="000000" w:sz="4" w:space="0"/>
              <w:right w:val="single" w:color="auto" w:sz="2" w:space="0"/>
            </w:tcBorders>
            <w:noWrap w:val="0"/>
            <w:vAlign w:val="center"/>
          </w:tcPr>
          <w:p>
            <w:pPr>
              <w:rPr>
                <w:color w:val="000000"/>
                <w:spacing w:val="-2"/>
                <w:sz w:val="28"/>
                <w:szCs w:val="28"/>
              </w:rPr>
            </w:pPr>
          </w:p>
        </w:tc>
        <w:tc>
          <w:tcPr>
            <w:tcW w:w="600" w:type="dxa"/>
            <w:tcBorders>
              <w:top w:val="single" w:color="000000" w:sz="4" w:space="0"/>
              <w:left w:val="single" w:color="000000" w:sz="6" w:space="0"/>
              <w:bottom w:val="single" w:color="000000" w:sz="4" w:space="0"/>
              <w:right w:val="single" w:color="auto" w:sz="2" w:space="0"/>
            </w:tcBorders>
            <w:noWrap w:val="0"/>
            <w:vAlign w:val="center"/>
          </w:tcPr>
          <w:p>
            <w:pPr>
              <w:rPr>
                <w:color w:val="000000"/>
                <w:spacing w:val="-2"/>
                <w:sz w:val="28"/>
                <w:szCs w:val="28"/>
              </w:rPr>
            </w:pPr>
          </w:p>
        </w:tc>
        <w:tc>
          <w:tcPr>
            <w:tcW w:w="757" w:type="dxa"/>
            <w:tcBorders>
              <w:top w:val="single" w:color="000000" w:sz="4" w:space="0"/>
              <w:left w:val="single" w:color="auto" w:sz="2" w:space="0"/>
              <w:bottom w:val="single" w:color="000000" w:sz="4" w:space="0"/>
              <w:right w:val="single" w:color="000000" w:sz="4" w:space="0"/>
            </w:tcBorders>
            <w:noWrap w:val="0"/>
            <w:vAlign w:val="center"/>
          </w:tcPr>
          <w:p>
            <w:pPr>
              <w:rPr>
                <w:color w:val="000000"/>
                <w:spacing w:val="-2"/>
                <w:sz w:val="28"/>
                <w:szCs w:val="28"/>
              </w:rPr>
            </w:pPr>
          </w:p>
        </w:tc>
        <w:tc>
          <w:tcPr>
            <w:tcW w:w="735" w:type="dxa"/>
            <w:tcBorders>
              <w:top w:val="single" w:color="000000" w:sz="4" w:space="0"/>
              <w:left w:val="single" w:color="000000" w:sz="4" w:space="0"/>
              <w:bottom w:val="single" w:color="000000" w:sz="4" w:space="0"/>
              <w:right w:val="single" w:color="000000" w:sz="4" w:space="0"/>
            </w:tcBorders>
            <w:noWrap w:val="0"/>
            <w:vAlign w:val="top"/>
          </w:tcPr>
          <w:p>
            <w:pPr>
              <w:rPr>
                <w:color w:val="000000"/>
                <w:spacing w:val="-2"/>
                <w:sz w:val="28"/>
                <w:szCs w:val="28"/>
              </w:rPr>
            </w:pP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sz w:val="28"/>
                <w:szCs w:val="28"/>
              </w:rPr>
            </w:pPr>
          </w:p>
        </w:tc>
        <w:tc>
          <w:tcPr>
            <w:tcW w:w="765" w:type="dxa"/>
            <w:tcBorders>
              <w:top w:val="single" w:color="000000" w:sz="4" w:space="0"/>
              <w:left w:val="single" w:color="000000" w:sz="4" w:space="0"/>
              <w:bottom w:val="single" w:color="000000" w:sz="4" w:space="0"/>
              <w:right w:val="single" w:color="000000" w:sz="6" w:space="0"/>
            </w:tcBorders>
            <w:noWrap w:val="0"/>
            <w:vAlign w:val="center"/>
          </w:tcPr>
          <w:p>
            <w:pPr>
              <w:rPr>
                <w:color w:val="000000"/>
                <w:spacing w:val="-2"/>
                <w:kern w:val="0"/>
                <w:sz w:val="28"/>
                <w:szCs w:val="28"/>
                <w:lang w:eastAsia="en-US"/>
              </w:rPr>
            </w:pPr>
          </w:p>
        </w:tc>
        <w:tc>
          <w:tcPr>
            <w:tcW w:w="630" w:type="dxa"/>
            <w:tcBorders>
              <w:top w:val="single" w:color="000000" w:sz="4" w:space="0"/>
              <w:left w:val="single" w:color="000000" w:sz="6" w:space="0"/>
              <w:bottom w:val="single" w:color="000000" w:sz="4" w:space="0"/>
              <w:right w:val="single" w:color="auto" w:sz="8" w:space="0"/>
            </w:tcBorders>
            <w:noWrap w:val="0"/>
            <w:vAlign w:val="center"/>
          </w:tcPr>
          <w:p>
            <w:pPr>
              <w:rPr>
                <w:color w:val="000000"/>
                <w:spacing w:val="-2"/>
                <w:kern w:val="0"/>
                <w:sz w:val="28"/>
                <w:szCs w:val="28"/>
                <w:lang w:eastAsia="en-US"/>
              </w:rPr>
            </w:pPr>
          </w:p>
        </w:tc>
      </w:tr>
      <w:tr>
        <w:tblPrEx>
          <w:tblCellMar>
            <w:top w:w="0" w:type="dxa"/>
            <w:left w:w="0" w:type="dxa"/>
            <w:bottom w:w="0" w:type="dxa"/>
            <w:right w:w="0" w:type="dxa"/>
          </w:tblCellMar>
        </w:tblPrEx>
        <w:trPr>
          <w:trHeight w:val="680" w:hRule="exact"/>
          <w:jc w:val="center"/>
        </w:trPr>
        <w:tc>
          <w:tcPr>
            <w:tcW w:w="600" w:type="dxa"/>
            <w:tcBorders>
              <w:top w:val="single" w:color="000000" w:sz="4" w:space="0"/>
              <w:left w:val="single" w:color="auto" w:sz="8" w:space="0"/>
              <w:bottom w:val="single" w:color="auto" w:sz="8" w:space="0"/>
              <w:right w:val="single" w:color="000000" w:sz="6" w:space="0"/>
            </w:tcBorders>
            <w:noWrap w:val="0"/>
            <w:vAlign w:val="center"/>
          </w:tcPr>
          <w:p>
            <w:pPr>
              <w:rPr>
                <w:color w:val="000000"/>
                <w:spacing w:val="-2"/>
                <w:sz w:val="28"/>
                <w:szCs w:val="28"/>
              </w:rPr>
            </w:pPr>
          </w:p>
        </w:tc>
        <w:tc>
          <w:tcPr>
            <w:tcW w:w="1077" w:type="dxa"/>
            <w:tcBorders>
              <w:top w:val="single" w:color="000000" w:sz="4" w:space="0"/>
              <w:left w:val="single" w:color="000000" w:sz="6" w:space="0"/>
              <w:bottom w:val="single" w:color="auto" w:sz="8" w:space="0"/>
              <w:right w:val="single" w:color="000000" w:sz="6" w:space="0"/>
            </w:tcBorders>
            <w:noWrap w:val="0"/>
            <w:vAlign w:val="top"/>
          </w:tcPr>
          <w:p>
            <w:pPr>
              <w:rPr>
                <w:color w:val="000000"/>
                <w:spacing w:val="-2"/>
                <w:sz w:val="28"/>
                <w:szCs w:val="28"/>
              </w:rPr>
            </w:pPr>
          </w:p>
        </w:tc>
        <w:tc>
          <w:tcPr>
            <w:tcW w:w="2005" w:type="dxa"/>
            <w:tcBorders>
              <w:top w:val="single" w:color="000000" w:sz="4" w:space="0"/>
              <w:left w:val="single" w:color="000000" w:sz="6" w:space="0"/>
              <w:bottom w:val="single" w:color="auto" w:sz="8" w:space="0"/>
              <w:right w:val="single" w:color="auto" w:sz="2" w:space="0"/>
            </w:tcBorders>
            <w:noWrap w:val="0"/>
            <w:vAlign w:val="center"/>
          </w:tcPr>
          <w:p>
            <w:pPr>
              <w:rPr>
                <w:color w:val="000000"/>
                <w:spacing w:val="-2"/>
                <w:sz w:val="28"/>
                <w:szCs w:val="28"/>
              </w:rPr>
            </w:pPr>
          </w:p>
        </w:tc>
        <w:tc>
          <w:tcPr>
            <w:tcW w:w="735" w:type="dxa"/>
            <w:tcBorders>
              <w:top w:val="single" w:color="000000" w:sz="4" w:space="0"/>
              <w:left w:val="single" w:color="000000" w:sz="6" w:space="0"/>
              <w:bottom w:val="single" w:color="auto" w:sz="8" w:space="0"/>
              <w:right w:val="single" w:color="auto" w:sz="2" w:space="0"/>
            </w:tcBorders>
            <w:noWrap w:val="0"/>
            <w:vAlign w:val="center"/>
          </w:tcPr>
          <w:p>
            <w:pPr>
              <w:rPr>
                <w:color w:val="000000"/>
                <w:spacing w:val="-2"/>
                <w:sz w:val="28"/>
                <w:szCs w:val="28"/>
              </w:rPr>
            </w:pPr>
          </w:p>
        </w:tc>
        <w:tc>
          <w:tcPr>
            <w:tcW w:w="600" w:type="dxa"/>
            <w:tcBorders>
              <w:top w:val="single" w:color="000000" w:sz="4" w:space="0"/>
              <w:left w:val="single" w:color="000000" w:sz="6" w:space="0"/>
              <w:bottom w:val="single" w:color="auto" w:sz="8" w:space="0"/>
              <w:right w:val="single" w:color="auto" w:sz="2" w:space="0"/>
            </w:tcBorders>
            <w:noWrap w:val="0"/>
            <w:vAlign w:val="center"/>
          </w:tcPr>
          <w:p>
            <w:pPr>
              <w:rPr>
                <w:color w:val="000000"/>
                <w:spacing w:val="-2"/>
                <w:sz w:val="28"/>
                <w:szCs w:val="28"/>
              </w:rPr>
            </w:pPr>
          </w:p>
        </w:tc>
        <w:tc>
          <w:tcPr>
            <w:tcW w:w="757" w:type="dxa"/>
            <w:tcBorders>
              <w:top w:val="single" w:color="000000" w:sz="4" w:space="0"/>
              <w:left w:val="single" w:color="auto" w:sz="2" w:space="0"/>
              <w:bottom w:val="single" w:color="auto" w:sz="8" w:space="0"/>
              <w:right w:val="single" w:color="000000" w:sz="4" w:space="0"/>
            </w:tcBorders>
            <w:noWrap w:val="0"/>
            <w:vAlign w:val="center"/>
          </w:tcPr>
          <w:p>
            <w:pPr>
              <w:rPr>
                <w:color w:val="000000"/>
                <w:spacing w:val="-2"/>
                <w:sz w:val="28"/>
                <w:szCs w:val="28"/>
              </w:rPr>
            </w:pPr>
          </w:p>
        </w:tc>
        <w:tc>
          <w:tcPr>
            <w:tcW w:w="735" w:type="dxa"/>
            <w:tcBorders>
              <w:top w:val="single" w:color="000000" w:sz="4" w:space="0"/>
              <w:left w:val="single" w:color="000000" w:sz="4" w:space="0"/>
              <w:bottom w:val="single" w:color="auto" w:sz="8" w:space="0"/>
              <w:right w:val="single" w:color="000000" w:sz="4" w:space="0"/>
            </w:tcBorders>
            <w:noWrap w:val="0"/>
            <w:vAlign w:val="top"/>
          </w:tcPr>
          <w:p>
            <w:pPr>
              <w:rPr>
                <w:color w:val="000000"/>
                <w:spacing w:val="-2"/>
                <w:sz w:val="28"/>
                <w:szCs w:val="28"/>
              </w:rPr>
            </w:pPr>
          </w:p>
        </w:tc>
        <w:tc>
          <w:tcPr>
            <w:tcW w:w="795" w:type="dxa"/>
            <w:tcBorders>
              <w:top w:val="single" w:color="000000" w:sz="4" w:space="0"/>
              <w:left w:val="single" w:color="000000" w:sz="4" w:space="0"/>
              <w:bottom w:val="single" w:color="auto" w:sz="8" w:space="0"/>
              <w:right w:val="single" w:color="000000" w:sz="4" w:space="0"/>
            </w:tcBorders>
            <w:noWrap w:val="0"/>
            <w:vAlign w:val="center"/>
          </w:tcPr>
          <w:p>
            <w:pPr>
              <w:rPr>
                <w:color w:val="000000"/>
                <w:spacing w:val="-2"/>
                <w:sz w:val="28"/>
                <w:szCs w:val="28"/>
              </w:rPr>
            </w:pPr>
          </w:p>
        </w:tc>
        <w:tc>
          <w:tcPr>
            <w:tcW w:w="765" w:type="dxa"/>
            <w:tcBorders>
              <w:top w:val="single" w:color="000000" w:sz="4" w:space="0"/>
              <w:left w:val="single" w:color="000000" w:sz="4" w:space="0"/>
              <w:bottom w:val="single" w:color="auto" w:sz="8" w:space="0"/>
              <w:right w:val="single" w:color="000000" w:sz="6" w:space="0"/>
            </w:tcBorders>
            <w:noWrap w:val="0"/>
            <w:vAlign w:val="center"/>
          </w:tcPr>
          <w:p>
            <w:pPr>
              <w:rPr>
                <w:color w:val="000000"/>
                <w:spacing w:val="-2"/>
                <w:kern w:val="0"/>
                <w:sz w:val="28"/>
                <w:szCs w:val="28"/>
                <w:lang w:eastAsia="en-US"/>
              </w:rPr>
            </w:pPr>
          </w:p>
        </w:tc>
        <w:tc>
          <w:tcPr>
            <w:tcW w:w="630" w:type="dxa"/>
            <w:tcBorders>
              <w:top w:val="single" w:color="000000" w:sz="4" w:space="0"/>
              <w:left w:val="single" w:color="000000" w:sz="6" w:space="0"/>
              <w:bottom w:val="single" w:color="auto" w:sz="8" w:space="0"/>
              <w:right w:val="single" w:color="auto" w:sz="8" w:space="0"/>
            </w:tcBorders>
            <w:noWrap w:val="0"/>
            <w:vAlign w:val="center"/>
          </w:tcPr>
          <w:p>
            <w:pPr>
              <w:rPr>
                <w:color w:val="000000"/>
                <w:spacing w:val="-2"/>
                <w:kern w:val="0"/>
                <w:sz w:val="28"/>
                <w:szCs w:val="28"/>
                <w:lang w:eastAsia="en-US"/>
              </w:rPr>
            </w:pPr>
          </w:p>
        </w:tc>
      </w:tr>
    </w:tbl>
    <w:p>
      <w:pPr>
        <w:tabs>
          <w:tab w:val="left" w:pos="8826"/>
        </w:tabs>
        <w:spacing w:line="261" w:lineRule="exact"/>
        <w:rPr>
          <w:rFonts w:cs="宋体"/>
          <w:color w:val="000000"/>
          <w:spacing w:val="-2"/>
          <w:szCs w:val="21"/>
        </w:rPr>
      </w:pPr>
    </w:p>
    <w:p>
      <w:pPr>
        <w:tabs>
          <w:tab w:val="left" w:pos="8826"/>
        </w:tabs>
        <w:spacing w:line="261" w:lineRule="exact"/>
        <w:ind w:firstLine="172" w:firstLineChars="100"/>
        <w:rPr>
          <w:rFonts w:cs="宋体"/>
          <w:color w:val="000000"/>
          <w:spacing w:val="-2"/>
          <w:sz w:val="18"/>
          <w:szCs w:val="18"/>
        </w:rPr>
      </w:pPr>
      <w:r>
        <w:rPr>
          <w:rFonts w:hint="eastAsia" w:hAnsi="Times New Roman" w:cs="宋体"/>
          <w:color w:val="000000"/>
          <w:spacing w:val="-2"/>
          <w:sz w:val="18"/>
          <w:szCs w:val="18"/>
        </w:rPr>
        <w:t>注</w:t>
      </w:r>
      <w:r>
        <w:rPr>
          <w:rFonts w:cs="宋体"/>
          <w:color w:val="000000"/>
          <w:spacing w:val="-2"/>
          <w:sz w:val="18"/>
          <w:szCs w:val="18"/>
        </w:rPr>
        <w:t>:1.</w:t>
      </w:r>
      <w:r>
        <w:rPr>
          <w:rFonts w:hint="eastAsia" w:hAnsi="Times New Roman" w:cs="宋体"/>
          <w:color w:val="000000"/>
          <w:spacing w:val="-2"/>
          <w:sz w:val="18"/>
          <w:szCs w:val="18"/>
        </w:rPr>
        <w:t>此表由招标人填写除</w:t>
      </w:r>
      <w:r>
        <w:rPr>
          <w:rFonts w:hint="eastAsia" w:cs="宋体"/>
          <w:color w:val="000000"/>
          <w:spacing w:val="-2"/>
          <w:sz w:val="18"/>
          <w:szCs w:val="18"/>
        </w:rPr>
        <w:t>“</w:t>
      </w:r>
      <w:r>
        <w:rPr>
          <w:rFonts w:hint="eastAsia" w:hAnsi="Times New Roman" w:cs="宋体"/>
          <w:color w:val="000000"/>
          <w:spacing w:val="-2"/>
          <w:sz w:val="18"/>
          <w:szCs w:val="18"/>
        </w:rPr>
        <w:t>数量</w:t>
      </w:r>
      <w:r>
        <w:rPr>
          <w:rFonts w:hint="eastAsia" w:cs="宋体"/>
          <w:color w:val="000000"/>
          <w:spacing w:val="-2"/>
          <w:sz w:val="18"/>
          <w:szCs w:val="18"/>
        </w:rPr>
        <w:t>”</w:t>
      </w:r>
      <w:r>
        <w:rPr>
          <w:rFonts w:hint="eastAsia" w:hAnsi="Times New Roman" w:cs="宋体"/>
          <w:color w:val="000000"/>
          <w:spacing w:val="-2"/>
          <w:sz w:val="18"/>
          <w:szCs w:val="18"/>
        </w:rPr>
        <w:t>、</w:t>
      </w:r>
      <w:r>
        <w:rPr>
          <w:rFonts w:hint="eastAsia" w:cs="宋体"/>
          <w:color w:val="000000"/>
          <w:spacing w:val="-2"/>
          <w:sz w:val="18"/>
          <w:szCs w:val="18"/>
        </w:rPr>
        <w:t>“</w:t>
      </w:r>
      <w:r>
        <w:rPr>
          <w:rFonts w:hint="eastAsia" w:hAnsi="Times New Roman" w:cs="宋体"/>
          <w:color w:val="000000"/>
          <w:spacing w:val="-2"/>
          <w:sz w:val="18"/>
          <w:szCs w:val="18"/>
        </w:rPr>
        <w:t>合价</w:t>
      </w:r>
      <w:r>
        <w:rPr>
          <w:rFonts w:hint="eastAsia" w:cs="宋体"/>
          <w:color w:val="000000"/>
          <w:spacing w:val="-2"/>
          <w:sz w:val="18"/>
          <w:szCs w:val="18"/>
        </w:rPr>
        <w:t>”</w:t>
      </w:r>
      <w:r>
        <w:rPr>
          <w:rFonts w:hint="eastAsia" w:hAnsi="Times New Roman" w:cs="宋体"/>
          <w:color w:val="000000"/>
          <w:spacing w:val="-2"/>
          <w:sz w:val="18"/>
          <w:szCs w:val="18"/>
        </w:rPr>
        <w:t>栏之外的内容，</w:t>
      </w:r>
      <w:r>
        <w:rPr>
          <w:rFonts w:hint="eastAsia" w:cs="宋体"/>
          <w:color w:val="000000"/>
          <w:spacing w:val="-2"/>
          <w:sz w:val="18"/>
          <w:szCs w:val="18"/>
        </w:rPr>
        <w:t>“</w:t>
      </w:r>
      <w:r>
        <w:rPr>
          <w:rFonts w:hint="eastAsia" w:hAnsi="Times New Roman" w:cs="宋体"/>
          <w:color w:val="000000"/>
          <w:spacing w:val="-2"/>
          <w:sz w:val="18"/>
          <w:szCs w:val="18"/>
        </w:rPr>
        <w:t>数量</w:t>
      </w:r>
      <w:r>
        <w:rPr>
          <w:rFonts w:hint="eastAsia" w:cs="宋体"/>
          <w:color w:val="000000"/>
          <w:spacing w:val="-2"/>
          <w:sz w:val="18"/>
          <w:szCs w:val="18"/>
        </w:rPr>
        <w:t>”</w:t>
      </w:r>
      <w:r>
        <w:rPr>
          <w:rFonts w:hint="eastAsia" w:hAnsi="Times New Roman" w:cs="宋体"/>
          <w:color w:val="000000"/>
          <w:spacing w:val="-2"/>
          <w:sz w:val="18"/>
          <w:szCs w:val="18"/>
        </w:rPr>
        <w:t>、</w:t>
      </w:r>
      <w:r>
        <w:rPr>
          <w:rFonts w:hint="eastAsia" w:cs="宋体"/>
          <w:color w:val="000000"/>
          <w:spacing w:val="-2"/>
          <w:sz w:val="18"/>
          <w:szCs w:val="18"/>
        </w:rPr>
        <w:t>“</w:t>
      </w:r>
      <w:r>
        <w:rPr>
          <w:rFonts w:hint="eastAsia" w:hAnsi="Times New Roman" w:cs="宋体"/>
          <w:color w:val="000000"/>
          <w:spacing w:val="-2"/>
          <w:sz w:val="18"/>
          <w:szCs w:val="18"/>
        </w:rPr>
        <w:t>合价</w:t>
      </w:r>
      <w:r>
        <w:rPr>
          <w:rFonts w:hint="eastAsia" w:cs="宋体"/>
          <w:color w:val="000000"/>
          <w:spacing w:val="-2"/>
          <w:sz w:val="18"/>
          <w:szCs w:val="18"/>
        </w:rPr>
        <w:t>”</w:t>
      </w:r>
      <w:r>
        <w:rPr>
          <w:rFonts w:hint="eastAsia" w:hAnsi="Times New Roman" w:cs="宋体"/>
          <w:color w:val="000000"/>
          <w:spacing w:val="-2"/>
          <w:sz w:val="18"/>
          <w:szCs w:val="18"/>
        </w:rPr>
        <w:t>由投标人填写。</w:t>
      </w:r>
    </w:p>
    <w:p>
      <w:pPr>
        <w:tabs>
          <w:tab w:val="left" w:pos="8826"/>
        </w:tabs>
        <w:spacing w:line="261" w:lineRule="exact"/>
        <w:ind w:firstLine="430" w:firstLineChars="250"/>
        <w:rPr>
          <w:rFonts w:hAnsi="Times New Roman" w:cs="宋体"/>
          <w:color w:val="000000"/>
          <w:spacing w:val="-2"/>
          <w:sz w:val="18"/>
          <w:szCs w:val="18"/>
        </w:rPr>
      </w:pPr>
      <w:r>
        <w:rPr>
          <w:rFonts w:cs="宋体"/>
          <w:color w:val="000000"/>
          <w:spacing w:val="-2"/>
          <w:sz w:val="18"/>
          <w:szCs w:val="18"/>
        </w:rPr>
        <w:t>2.</w:t>
      </w:r>
      <w:r>
        <w:rPr>
          <w:rFonts w:hint="eastAsia" w:hAnsi="Times New Roman" w:cs="宋体"/>
          <w:color w:val="000000"/>
          <w:spacing w:val="-2"/>
          <w:sz w:val="18"/>
          <w:szCs w:val="18"/>
        </w:rPr>
        <w:t>结算时，</w:t>
      </w:r>
      <w:r>
        <w:rPr>
          <w:rFonts w:hint="eastAsia" w:cs="宋体"/>
          <w:color w:val="000000"/>
          <w:spacing w:val="-2"/>
          <w:sz w:val="18"/>
          <w:szCs w:val="18"/>
        </w:rPr>
        <w:t>“</w:t>
      </w:r>
      <w:r>
        <w:rPr>
          <w:rFonts w:hint="eastAsia" w:hAnsi="Times New Roman" w:cs="宋体"/>
          <w:color w:val="000000"/>
          <w:spacing w:val="-2"/>
          <w:sz w:val="18"/>
          <w:szCs w:val="18"/>
        </w:rPr>
        <w:t>单价</w:t>
      </w:r>
      <w:r>
        <w:rPr>
          <w:rFonts w:hint="eastAsia" w:cs="宋体"/>
          <w:color w:val="000000"/>
          <w:spacing w:val="-2"/>
          <w:sz w:val="18"/>
          <w:szCs w:val="18"/>
        </w:rPr>
        <w:t>”</w:t>
      </w:r>
      <w:r>
        <w:rPr>
          <w:rFonts w:hint="eastAsia" w:hAnsi="Times New Roman" w:cs="宋体"/>
          <w:color w:val="000000"/>
          <w:spacing w:val="-2"/>
          <w:sz w:val="18"/>
          <w:szCs w:val="18"/>
        </w:rPr>
        <w:t>栏按招标人实际采购价（包含采保费）列入。</w:t>
      </w:r>
    </w:p>
    <w:p>
      <w:pPr>
        <w:tabs>
          <w:tab w:val="left" w:pos="8826"/>
        </w:tabs>
        <w:spacing w:line="261" w:lineRule="exact"/>
        <w:ind w:firstLine="430" w:firstLineChars="250"/>
        <w:rPr>
          <w:rFonts w:hAnsi="Times New Roman" w:cs="宋体"/>
          <w:color w:val="000000"/>
          <w:spacing w:val="-2"/>
          <w:sz w:val="18"/>
          <w:szCs w:val="18"/>
        </w:rPr>
      </w:pPr>
    </w:p>
    <w:p>
      <w:pPr>
        <w:tabs>
          <w:tab w:val="left" w:pos="8826"/>
        </w:tabs>
        <w:spacing w:line="261" w:lineRule="exact"/>
        <w:ind w:right="352" w:firstLine="430" w:firstLineChars="250"/>
        <w:rPr>
          <w:rFonts w:cs="宋体"/>
          <w:color w:val="000000"/>
          <w:spacing w:val="-2"/>
          <w:sz w:val="18"/>
          <w:szCs w:val="18"/>
        </w:rPr>
      </w:pPr>
    </w:p>
    <w:p>
      <w:pPr>
        <w:tabs>
          <w:tab w:val="left" w:pos="707"/>
        </w:tabs>
        <w:jc w:val="center"/>
        <w:outlineLvl w:val="2"/>
        <w:rPr>
          <w:rFonts w:ascii="Times New Roman" w:eastAsia="方正黑体_GBK" w:cs="宋体"/>
          <w:color w:val="000000"/>
          <w:spacing w:val="-2"/>
          <w:kern w:val="0"/>
          <w:sz w:val="24"/>
        </w:rPr>
      </w:pPr>
      <w:bookmarkStart w:id="687" w:name="_Toc359844005"/>
      <w:bookmarkStart w:id="688" w:name="_Toc359843546"/>
      <w:bookmarkStart w:id="689" w:name="_Toc359930038"/>
      <w:r>
        <w:rPr>
          <w:rFonts w:hint="eastAsia" w:ascii="Times New Roman" w:eastAsia="方正黑体_GBK" w:cs="宋体"/>
          <w:color w:val="000000"/>
          <w:spacing w:val="-2"/>
          <w:kern w:val="0"/>
          <w:sz w:val="24"/>
        </w:rPr>
        <w:t>L.2</w:t>
      </w:r>
      <w:r>
        <w:rPr>
          <w:rFonts w:hint="eastAsia" w:ascii="Times New Roman" w:eastAsia="方正黑体_GBK" w:cs="宋体"/>
          <w:color w:val="000000"/>
          <w:spacing w:val="-2"/>
          <w:kern w:val="0"/>
          <w:sz w:val="24"/>
        </w:rPr>
        <w:tab/>
      </w:r>
      <w:r>
        <w:rPr>
          <w:rFonts w:hint="eastAsia" w:ascii="Times New Roman" w:eastAsia="方正黑体_GBK" w:cs="宋体"/>
          <w:color w:val="000000"/>
          <w:spacing w:val="-2"/>
          <w:kern w:val="0"/>
          <w:sz w:val="24"/>
        </w:rPr>
        <w:t>承包人提供主要材料和工程设备一览表</w:t>
      </w:r>
      <w:bookmarkEnd w:id="687"/>
      <w:bookmarkEnd w:id="688"/>
      <w:bookmarkEnd w:id="689"/>
    </w:p>
    <w:p>
      <w:pPr>
        <w:spacing w:before="8"/>
        <w:jc w:val="center"/>
        <w:outlineLvl w:val="4"/>
        <w:rPr>
          <w:rFonts w:hint="eastAsia"/>
          <w:color w:val="000000"/>
          <w:spacing w:val="-2"/>
          <w:kern w:val="0"/>
          <w:sz w:val="24"/>
        </w:rPr>
      </w:pPr>
      <w:r>
        <w:rPr>
          <w:rFonts w:cs="宋体"/>
          <w:color w:val="000000"/>
          <w:spacing w:val="-2"/>
          <w:kern w:val="0"/>
          <w:sz w:val="24"/>
        </w:rPr>
        <w:t>(</w:t>
      </w:r>
      <w:r>
        <w:rPr>
          <w:rFonts w:hint="eastAsia" w:hAnsi="Times New Roman" w:cs="宋体"/>
          <w:color w:val="000000"/>
          <w:spacing w:val="-2"/>
          <w:kern w:val="0"/>
          <w:sz w:val="24"/>
        </w:rPr>
        <w:t>适用于造价信息差额调整法</w:t>
      </w:r>
      <w:r>
        <w:rPr>
          <w:rFonts w:cs="宋体"/>
          <w:color w:val="000000"/>
          <w:spacing w:val="-2"/>
          <w:kern w:val="0"/>
          <w:sz w:val="24"/>
        </w:rPr>
        <w:t>)</w:t>
      </w:r>
    </w:p>
    <w:p>
      <w:pPr>
        <w:spacing w:before="19" w:line="200" w:lineRule="exact"/>
        <w:rPr>
          <w:color w:val="000000"/>
          <w:spacing w:val="-2"/>
          <w:sz w:val="20"/>
        </w:rPr>
      </w:pPr>
    </w:p>
    <w:p>
      <w:pPr>
        <w:tabs>
          <w:tab w:val="left" w:pos="4094"/>
          <w:tab w:val="left" w:pos="7455"/>
          <w:tab w:val="left" w:pos="7981"/>
          <w:tab w:val="left" w:pos="8715"/>
        </w:tabs>
        <w:spacing w:after="120"/>
        <w:rPr>
          <w:rFonts w:ascii="Times New Roman" w:eastAsia="方正仿宋_GBK"/>
          <w:color w:val="000000"/>
          <w:spacing w:val="-2"/>
        </w:rPr>
      </w:pPr>
      <w:r>
        <w:rPr>
          <w:rFonts w:hint="eastAsia" w:ascii="Times New Roman" w:eastAsia="方正仿宋_GBK"/>
          <w:color w:val="000000"/>
          <w:spacing w:val="-2"/>
        </w:rPr>
        <w:t>工程名称：                               标段：                        第   页共     页</w:t>
      </w:r>
    </w:p>
    <w:p>
      <w:pPr>
        <w:spacing w:before="9" w:line="40" w:lineRule="exact"/>
        <w:rPr>
          <w:rFonts w:hint="eastAsia"/>
          <w:color w:val="000000"/>
          <w:spacing w:val="-2"/>
          <w:sz w:val="4"/>
          <w:szCs w:val="4"/>
        </w:rPr>
      </w:pPr>
    </w:p>
    <w:tbl>
      <w:tblPr>
        <w:tblStyle w:val="12"/>
        <w:tblW w:w="0" w:type="auto"/>
        <w:jc w:val="center"/>
        <w:tblLayout w:type="fixed"/>
        <w:tblCellMar>
          <w:top w:w="0" w:type="dxa"/>
          <w:left w:w="0" w:type="dxa"/>
          <w:bottom w:w="0" w:type="dxa"/>
          <w:right w:w="0" w:type="dxa"/>
        </w:tblCellMar>
      </w:tblPr>
      <w:tblGrid>
        <w:gridCol w:w="649"/>
        <w:gridCol w:w="1072"/>
        <w:gridCol w:w="1575"/>
        <w:gridCol w:w="611"/>
        <w:gridCol w:w="758"/>
        <w:gridCol w:w="850"/>
        <w:gridCol w:w="851"/>
        <w:gridCol w:w="851"/>
        <w:gridCol w:w="851"/>
        <w:gridCol w:w="768"/>
      </w:tblGrid>
      <w:tr>
        <w:tblPrEx>
          <w:tblCellMar>
            <w:top w:w="0" w:type="dxa"/>
            <w:left w:w="0" w:type="dxa"/>
            <w:bottom w:w="0" w:type="dxa"/>
            <w:right w:w="0" w:type="dxa"/>
          </w:tblCellMar>
        </w:tblPrEx>
        <w:trPr>
          <w:trHeight w:val="1238" w:hRule="exact"/>
          <w:jc w:val="center"/>
        </w:trPr>
        <w:tc>
          <w:tcPr>
            <w:tcW w:w="649" w:type="dxa"/>
            <w:tcBorders>
              <w:top w:val="single" w:color="auto" w:sz="8" w:space="0"/>
              <w:left w:val="single" w:color="auto" w:sz="8" w:space="0"/>
              <w:bottom w:val="single" w:color="000000" w:sz="4" w:space="0"/>
              <w:right w:val="single" w:color="000000" w:sz="4" w:space="0"/>
            </w:tcBorders>
            <w:noWrap w:val="0"/>
            <w:vAlign w:val="center"/>
          </w:tcPr>
          <w:p>
            <w:pPr>
              <w:jc w:val="center"/>
              <w:rPr>
                <w:rFonts w:ascii="Times New Roman" w:eastAsia="方正黑体_GBK"/>
                <w:color w:val="000000"/>
                <w:spacing w:val="-2"/>
                <w:kern w:val="0"/>
                <w:sz w:val="18"/>
                <w:szCs w:val="18"/>
              </w:rPr>
            </w:pPr>
            <w:r>
              <w:rPr>
                <w:rFonts w:hint="eastAsia" w:ascii="Times New Roman" w:hAnsi="Times New Roman" w:eastAsia="方正黑体_GBK" w:cs="宋体"/>
                <w:color w:val="000000"/>
                <w:spacing w:val="-2"/>
                <w:kern w:val="0"/>
                <w:sz w:val="18"/>
                <w:szCs w:val="18"/>
              </w:rPr>
              <w:t>序号</w:t>
            </w:r>
          </w:p>
        </w:tc>
        <w:tc>
          <w:tcPr>
            <w:tcW w:w="1072" w:type="dxa"/>
            <w:tcBorders>
              <w:top w:val="single" w:color="auto" w:sz="8" w:space="0"/>
              <w:left w:val="single" w:color="000000" w:sz="4" w:space="0"/>
              <w:bottom w:val="single" w:color="000000" w:sz="4" w:space="0"/>
              <w:right w:val="single" w:color="000000" w:sz="4" w:space="0"/>
            </w:tcBorders>
            <w:noWrap w:val="0"/>
            <w:vAlign w:val="center"/>
          </w:tcPr>
          <w:p>
            <w:pPr>
              <w:jc w:val="center"/>
              <w:rPr>
                <w:rFonts w:ascii="Times New Roman" w:eastAsia="方正黑体_GBK" w:cs="宋体"/>
                <w:color w:val="000000"/>
                <w:spacing w:val="-2"/>
                <w:kern w:val="0"/>
                <w:sz w:val="18"/>
                <w:szCs w:val="18"/>
              </w:rPr>
            </w:pPr>
            <w:r>
              <w:rPr>
                <w:rFonts w:hint="eastAsia" w:ascii="Times New Roman" w:hAnsi="Times New Roman" w:eastAsia="方正黑体_GBK" w:cs="宋体"/>
                <w:color w:val="000000"/>
                <w:spacing w:val="-2"/>
                <w:kern w:val="0"/>
                <w:sz w:val="18"/>
                <w:szCs w:val="18"/>
              </w:rPr>
              <w:t>材料编码</w:t>
            </w:r>
          </w:p>
        </w:tc>
        <w:tc>
          <w:tcPr>
            <w:tcW w:w="1575" w:type="dxa"/>
            <w:tcBorders>
              <w:top w:val="single" w:color="auto" w:sz="8" w:space="0"/>
              <w:left w:val="single" w:color="000000" w:sz="4" w:space="0"/>
              <w:bottom w:val="single" w:color="000000" w:sz="4" w:space="0"/>
              <w:right w:val="single" w:color="000000" w:sz="4" w:space="0"/>
            </w:tcBorders>
            <w:noWrap w:val="0"/>
            <w:vAlign w:val="center"/>
          </w:tcPr>
          <w:p>
            <w:pPr>
              <w:jc w:val="center"/>
              <w:rPr>
                <w:rFonts w:ascii="Times New Roman" w:eastAsia="方正黑体_GBK"/>
                <w:color w:val="000000"/>
                <w:spacing w:val="-2"/>
                <w:kern w:val="0"/>
                <w:sz w:val="18"/>
                <w:szCs w:val="18"/>
              </w:rPr>
            </w:pPr>
            <w:r>
              <w:rPr>
                <w:rFonts w:hint="eastAsia" w:ascii="Times New Roman" w:hAnsi="Times New Roman" w:eastAsia="方正黑体_GBK" w:cs="宋体"/>
                <w:color w:val="000000"/>
                <w:spacing w:val="-2"/>
                <w:kern w:val="0"/>
                <w:sz w:val="18"/>
                <w:szCs w:val="18"/>
              </w:rPr>
              <w:t>名称、规格、型号</w:t>
            </w:r>
          </w:p>
        </w:tc>
        <w:tc>
          <w:tcPr>
            <w:tcW w:w="611" w:type="dxa"/>
            <w:tcBorders>
              <w:top w:val="single" w:color="auto" w:sz="8" w:space="0"/>
              <w:left w:val="single" w:color="000000" w:sz="4" w:space="0"/>
              <w:bottom w:val="single" w:color="000000" w:sz="4" w:space="0"/>
              <w:right w:val="single" w:color="000000" w:sz="4" w:space="0"/>
            </w:tcBorders>
            <w:noWrap w:val="0"/>
            <w:vAlign w:val="center"/>
          </w:tcPr>
          <w:p>
            <w:pPr>
              <w:spacing w:line="360" w:lineRule="auto"/>
              <w:jc w:val="center"/>
              <w:rPr>
                <w:rFonts w:ascii="Times New Roman" w:eastAsia="方正黑体_GBK"/>
                <w:color w:val="000000"/>
                <w:spacing w:val="-2"/>
                <w:kern w:val="0"/>
                <w:sz w:val="18"/>
                <w:szCs w:val="18"/>
              </w:rPr>
            </w:pPr>
            <w:r>
              <w:rPr>
                <w:rFonts w:hint="eastAsia" w:ascii="Times New Roman" w:hAnsi="Times New Roman" w:eastAsia="方正黑体_GBK" w:cs="宋体"/>
                <w:color w:val="000000"/>
                <w:spacing w:val="-2"/>
                <w:kern w:val="0"/>
                <w:sz w:val="18"/>
                <w:szCs w:val="18"/>
              </w:rPr>
              <w:t>单位</w:t>
            </w:r>
          </w:p>
        </w:tc>
        <w:tc>
          <w:tcPr>
            <w:tcW w:w="758" w:type="dxa"/>
            <w:tcBorders>
              <w:top w:val="single" w:color="auto" w:sz="8" w:space="0"/>
              <w:left w:val="single" w:color="000000" w:sz="4" w:space="0"/>
              <w:bottom w:val="single" w:color="000000" w:sz="4" w:space="0"/>
              <w:right w:val="single" w:color="000000" w:sz="4" w:space="0"/>
            </w:tcBorders>
            <w:noWrap w:val="0"/>
            <w:vAlign w:val="center"/>
          </w:tcPr>
          <w:p>
            <w:pPr>
              <w:spacing w:line="360" w:lineRule="auto"/>
              <w:jc w:val="center"/>
              <w:rPr>
                <w:rFonts w:ascii="Times New Roman" w:eastAsia="方正黑体_GBK"/>
                <w:color w:val="000000"/>
                <w:spacing w:val="-2"/>
                <w:kern w:val="0"/>
                <w:sz w:val="18"/>
                <w:szCs w:val="18"/>
              </w:rPr>
            </w:pPr>
            <w:r>
              <w:rPr>
                <w:rFonts w:hint="eastAsia" w:ascii="Times New Roman" w:hAnsi="Times New Roman" w:eastAsia="方正黑体_GBK" w:cs="宋体"/>
                <w:color w:val="000000"/>
                <w:spacing w:val="-2"/>
                <w:kern w:val="0"/>
                <w:sz w:val="18"/>
                <w:szCs w:val="18"/>
              </w:rPr>
              <w:t>数量</w:t>
            </w:r>
          </w:p>
        </w:tc>
        <w:tc>
          <w:tcPr>
            <w:tcW w:w="850" w:type="dxa"/>
            <w:tcBorders>
              <w:top w:val="single" w:color="auto" w:sz="8" w:space="0"/>
              <w:left w:val="single" w:color="000000" w:sz="4" w:space="0"/>
              <w:bottom w:val="single" w:color="000000" w:sz="4" w:space="0"/>
              <w:right w:val="single" w:color="000000" w:sz="4" w:space="0"/>
            </w:tcBorders>
            <w:noWrap w:val="0"/>
            <w:vAlign w:val="center"/>
          </w:tcPr>
          <w:p>
            <w:pPr>
              <w:jc w:val="center"/>
              <w:rPr>
                <w:rFonts w:ascii="Times New Roman" w:eastAsia="方正黑体_GBK"/>
                <w:color w:val="000000"/>
                <w:spacing w:val="-2"/>
                <w:kern w:val="0"/>
                <w:sz w:val="18"/>
                <w:szCs w:val="18"/>
              </w:rPr>
            </w:pPr>
            <w:r>
              <w:rPr>
                <w:rFonts w:hint="eastAsia" w:ascii="Times New Roman" w:hAnsi="Times New Roman" w:eastAsia="方正黑体_GBK" w:cs="宋体"/>
                <w:color w:val="000000"/>
                <w:spacing w:val="-2"/>
                <w:kern w:val="0"/>
                <w:sz w:val="18"/>
                <w:szCs w:val="18"/>
              </w:rPr>
              <w:t>风险系数</w:t>
            </w:r>
            <w:r>
              <w:rPr>
                <w:rFonts w:hint="eastAsia" w:ascii="Times New Roman" w:hAnsi="Times New Roman" w:eastAsia="方正黑体_GBK" w:cs="宋体"/>
                <w:color w:val="000000"/>
                <w:spacing w:val="-2"/>
                <w:kern w:val="0"/>
                <w:sz w:val="18"/>
                <w:szCs w:val="18"/>
                <w:lang w:eastAsia="en-US"/>
              </w:rPr>
              <w:t>（</w:t>
            </w:r>
            <w:r>
              <w:rPr>
                <w:rFonts w:hint="eastAsia" w:ascii="Times New Roman" w:eastAsia="方正黑体_GBK" w:cs="宋体"/>
                <w:color w:val="000000"/>
                <w:spacing w:val="-2"/>
                <w:kern w:val="0"/>
                <w:sz w:val="18"/>
                <w:szCs w:val="18"/>
                <w:lang w:eastAsia="en-US"/>
              </w:rPr>
              <w:t>%</w:t>
            </w:r>
            <w:r>
              <w:rPr>
                <w:rFonts w:hint="eastAsia" w:ascii="Times New Roman" w:hAnsi="Times New Roman" w:eastAsia="方正黑体_GBK" w:cs="宋体"/>
                <w:color w:val="000000"/>
                <w:spacing w:val="-2"/>
                <w:kern w:val="0"/>
                <w:sz w:val="18"/>
                <w:szCs w:val="18"/>
                <w:lang w:eastAsia="en-US"/>
              </w:rPr>
              <w:t>）</w:t>
            </w:r>
          </w:p>
        </w:tc>
        <w:tc>
          <w:tcPr>
            <w:tcW w:w="851" w:type="dxa"/>
            <w:tcBorders>
              <w:top w:val="single" w:color="auto" w:sz="8" w:space="0"/>
              <w:left w:val="single" w:color="000000" w:sz="4" w:space="0"/>
              <w:bottom w:val="single" w:color="000000" w:sz="4" w:space="0"/>
              <w:right w:val="single" w:color="000000" w:sz="4" w:space="0"/>
            </w:tcBorders>
            <w:noWrap w:val="0"/>
            <w:vAlign w:val="center"/>
          </w:tcPr>
          <w:p>
            <w:pPr>
              <w:jc w:val="center"/>
              <w:rPr>
                <w:rFonts w:ascii="Times New Roman" w:eastAsia="方正黑体_GBK"/>
                <w:color w:val="000000"/>
                <w:spacing w:val="-2"/>
                <w:kern w:val="0"/>
                <w:sz w:val="18"/>
                <w:szCs w:val="18"/>
              </w:rPr>
            </w:pPr>
            <w:r>
              <w:rPr>
                <w:rFonts w:hint="eastAsia" w:ascii="Times New Roman" w:hAnsi="Times New Roman" w:eastAsia="方正黑体_GBK" w:cs="宋体"/>
                <w:color w:val="000000"/>
                <w:spacing w:val="-2"/>
                <w:kern w:val="0"/>
                <w:sz w:val="18"/>
                <w:szCs w:val="18"/>
              </w:rPr>
              <w:t>基准单价</w:t>
            </w:r>
            <w:r>
              <w:rPr>
                <w:rFonts w:hint="eastAsia" w:ascii="Times New Roman" w:hAnsi="Times New Roman" w:eastAsia="方正黑体_GBK" w:cs="宋体"/>
                <w:color w:val="000000"/>
                <w:spacing w:val="-2"/>
                <w:kern w:val="0"/>
                <w:sz w:val="18"/>
                <w:szCs w:val="18"/>
                <w:lang w:eastAsia="en-US"/>
              </w:rPr>
              <w:t>（元）</w:t>
            </w:r>
          </w:p>
        </w:tc>
        <w:tc>
          <w:tcPr>
            <w:tcW w:w="851" w:type="dxa"/>
            <w:tcBorders>
              <w:top w:val="single" w:color="auto" w:sz="8" w:space="0"/>
              <w:left w:val="single" w:color="000000" w:sz="4" w:space="0"/>
              <w:bottom w:val="single" w:color="000000" w:sz="4" w:space="0"/>
              <w:right w:val="single" w:color="000000" w:sz="4" w:space="0"/>
            </w:tcBorders>
            <w:noWrap w:val="0"/>
            <w:vAlign w:val="center"/>
          </w:tcPr>
          <w:p>
            <w:pPr>
              <w:jc w:val="center"/>
              <w:rPr>
                <w:rFonts w:ascii="Times New Roman" w:eastAsia="方正黑体_GBK"/>
                <w:color w:val="000000"/>
                <w:spacing w:val="-2"/>
                <w:kern w:val="0"/>
                <w:sz w:val="18"/>
                <w:szCs w:val="18"/>
              </w:rPr>
            </w:pPr>
            <w:r>
              <w:rPr>
                <w:rFonts w:hint="eastAsia" w:ascii="Times New Roman" w:hAnsi="Times New Roman" w:eastAsia="方正黑体_GBK" w:cs="宋体"/>
                <w:color w:val="000000"/>
                <w:spacing w:val="-2"/>
                <w:kern w:val="0"/>
                <w:sz w:val="18"/>
                <w:szCs w:val="18"/>
              </w:rPr>
              <w:t>投标单价</w:t>
            </w:r>
            <w:r>
              <w:rPr>
                <w:rFonts w:hint="eastAsia" w:ascii="Times New Roman" w:hAnsi="Times New Roman" w:eastAsia="方正黑体_GBK" w:cs="宋体"/>
                <w:color w:val="000000"/>
                <w:spacing w:val="-2"/>
                <w:kern w:val="0"/>
                <w:sz w:val="18"/>
                <w:szCs w:val="18"/>
                <w:lang w:eastAsia="en-US"/>
              </w:rPr>
              <w:t>（元）</w:t>
            </w:r>
          </w:p>
        </w:tc>
        <w:tc>
          <w:tcPr>
            <w:tcW w:w="851" w:type="dxa"/>
            <w:tcBorders>
              <w:top w:val="single" w:color="auto" w:sz="8" w:space="0"/>
              <w:left w:val="single" w:color="000000" w:sz="4" w:space="0"/>
              <w:bottom w:val="single" w:color="000000" w:sz="4" w:space="0"/>
              <w:right w:val="single" w:color="000000" w:sz="4" w:space="0"/>
            </w:tcBorders>
            <w:noWrap w:val="0"/>
            <w:vAlign w:val="center"/>
          </w:tcPr>
          <w:p>
            <w:pPr>
              <w:jc w:val="center"/>
              <w:rPr>
                <w:rFonts w:ascii="Times New Roman" w:eastAsia="方正黑体_GBK"/>
                <w:color w:val="000000"/>
                <w:spacing w:val="-2"/>
                <w:kern w:val="0"/>
                <w:sz w:val="18"/>
                <w:szCs w:val="18"/>
              </w:rPr>
            </w:pPr>
            <w:r>
              <w:rPr>
                <w:rFonts w:hint="eastAsia" w:ascii="Times New Roman" w:hAnsi="Times New Roman" w:eastAsia="方正黑体_GBK" w:cs="宋体"/>
                <w:color w:val="000000"/>
                <w:spacing w:val="-2"/>
                <w:kern w:val="0"/>
                <w:sz w:val="18"/>
                <w:szCs w:val="18"/>
              </w:rPr>
              <w:t>发承包人确认单价（元）</w:t>
            </w:r>
          </w:p>
        </w:tc>
        <w:tc>
          <w:tcPr>
            <w:tcW w:w="768" w:type="dxa"/>
            <w:tcBorders>
              <w:top w:val="single" w:color="auto" w:sz="8" w:space="0"/>
              <w:left w:val="single" w:color="000000" w:sz="4" w:space="0"/>
              <w:bottom w:val="single" w:color="000000" w:sz="4" w:space="0"/>
              <w:right w:val="single" w:color="auto" w:sz="8" w:space="0"/>
            </w:tcBorders>
            <w:noWrap w:val="0"/>
            <w:vAlign w:val="center"/>
          </w:tcPr>
          <w:p>
            <w:pPr>
              <w:jc w:val="center"/>
              <w:rPr>
                <w:rFonts w:ascii="Times New Roman" w:eastAsia="方正黑体_GBK"/>
                <w:color w:val="000000"/>
                <w:spacing w:val="-2"/>
                <w:kern w:val="0"/>
                <w:sz w:val="18"/>
                <w:szCs w:val="18"/>
              </w:rPr>
            </w:pPr>
            <w:r>
              <w:rPr>
                <w:rFonts w:hint="eastAsia" w:ascii="Times New Roman" w:hAnsi="Times New Roman" w:eastAsia="方正黑体_GBK" w:cs="宋体"/>
                <w:color w:val="000000"/>
                <w:spacing w:val="-2"/>
                <w:kern w:val="0"/>
                <w:sz w:val="18"/>
                <w:szCs w:val="18"/>
              </w:rPr>
              <w:t>备注</w:t>
            </w:r>
          </w:p>
        </w:tc>
      </w:tr>
      <w:tr>
        <w:tblPrEx>
          <w:tblCellMar>
            <w:top w:w="0" w:type="dxa"/>
            <w:left w:w="0" w:type="dxa"/>
            <w:bottom w:w="0" w:type="dxa"/>
            <w:right w:w="0" w:type="dxa"/>
          </w:tblCellMar>
        </w:tblPrEx>
        <w:trPr>
          <w:trHeight w:val="680" w:hRule="exact"/>
          <w:jc w:val="center"/>
        </w:trPr>
        <w:tc>
          <w:tcPr>
            <w:tcW w:w="649" w:type="dxa"/>
            <w:tcBorders>
              <w:top w:val="single" w:color="000000" w:sz="4" w:space="0"/>
              <w:left w:val="single" w:color="auto" w:sz="8" w:space="0"/>
              <w:bottom w:val="single" w:color="000000" w:sz="4" w:space="0"/>
              <w:right w:val="single" w:color="000000" w:sz="4" w:space="0"/>
            </w:tcBorders>
            <w:noWrap w:val="0"/>
            <w:vAlign w:val="center"/>
          </w:tcPr>
          <w:p>
            <w:pPr>
              <w:jc w:val="center"/>
              <w:rPr>
                <w:color w:val="000000"/>
                <w:spacing w:val="-2"/>
                <w:kern w:val="0"/>
                <w:sz w:val="18"/>
                <w:szCs w:val="18"/>
              </w:rPr>
            </w:pPr>
          </w:p>
        </w:tc>
        <w:tc>
          <w:tcPr>
            <w:tcW w:w="1072" w:type="dxa"/>
            <w:tcBorders>
              <w:top w:val="single" w:color="000000" w:sz="4" w:space="0"/>
              <w:left w:val="single" w:color="000000" w:sz="4" w:space="0"/>
              <w:bottom w:val="single" w:color="000000" w:sz="4" w:space="0"/>
              <w:right w:val="single" w:color="000000" w:sz="4" w:space="0"/>
            </w:tcBorders>
            <w:noWrap w:val="0"/>
            <w:vAlign w:val="top"/>
          </w:tcPr>
          <w:p>
            <w:pPr>
              <w:rPr>
                <w:color w:val="000000"/>
                <w:spacing w:val="-2"/>
              </w:rPr>
            </w:pP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611"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758"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768" w:type="dxa"/>
            <w:tcBorders>
              <w:top w:val="single" w:color="000000" w:sz="4" w:space="0"/>
              <w:left w:val="single" w:color="000000" w:sz="4" w:space="0"/>
              <w:bottom w:val="single" w:color="000000" w:sz="4" w:space="0"/>
              <w:right w:val="single" w:color="auto" w:sz="8" w:space="0"/>
            </w:tcBorders>
            <w:noWrap w:val="0"/>
            <w:vAlign w:val="center"/>
          </w:tcPr>
          <w:p>
            <w:pPr>
              <w:rPr>
                <w:color w:val="000000"/>
                <w:spacing w:val="-2"/>
              </w:rPr>
            </w:pPr>
          </w:p>
        </w:tc>
      </w:tr>
      <w:tr>
        <w:tblPrEx>
          <w:tblCellMar>
            <w:top w:w="0" w:type="dxa"/>
            <w:left w:w="0" w:type="dxa"/>
            <w:bottom w:w="0" w:type="dxa"/>
            <w:right w:w="0" w:type="dxa"/>
          </w:tblCellMar>
        </w:tblPrEx>
        <w:trPr>
          <w:trHeight w:val="680" w:hRule="exact"/>
          <w:jc w:val="center"/>
        </w:trPr>
        <w:tc>
          <w:tcPr>
            <w:tcW w:w="649" w:type="dxa"/>
            <w:tcBorders>
              <w:top w:val="single" w:color="000000" w:sz="4" w:space="0"/>
              <w:left w:val="single" w:color="auto" w:sz="8" w:space="0"/>
              <w:bottom w:val="single" w:color="000000" w:sz="4" w:space="0"/>
              <w:right w:val="single" w:color="000000" w:sz="4" w:space="0"/>
            </w:tcBorders>
            <w:noWrap w:val="0"/>
            <w:vAlign w:val="center"/>
          </w:tcPr>
          <w:p>
            <w:pPr>
              <w:jc w:val="center"/>
              <w:rPr>
                <w:color w:val="000000"/>
                <w:spacing w:val="-2"/>
                <w:kern w:val="0"/>
                <w:sz w:val="18"/>
                <w:szCs w:val="18"/>
              </w:rPr>
            </w:pPr>
          </w:p>
        </w:tc>
        <w:tc>
          <w:tcPr>
            <w:tcW w:w="1072" w:type="dxa"/>
            <w:tcBorders>
              <w:top w:val="single" w:color="000000" w:sz="4" w:space="0"/>
              <w:left w:val="single" w:color="000000" w:sz="4" w:space="0"/>
              <w:bottom w:val="single" w:color="000000" w:sz="4" w:space="0"/>
              <w:right w:val="single" w:color="000000" w:sz="4" w:space="0"/>
            </w:tcBorders>
            <w:noWrap w:val="0"/>
            <w:vAlign w:val="top"/>
          </w:tcPr>
          <w:p>
            <w:pPr>
              <w:rPr>
                <w:color w:val="000000"/>
                <w:spacing w:val="-2"/>
              </w:rPr>
            </w:pP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611"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758"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768" w:type="dxa"/>
            <w:tcBorders>
              <w:top w:val="single" w:color="000000" w:sz="4" w:space="0"/>
              <w:left w:val="single" w:color="000000" w:sz="4" w:space="0"/>
              <w:bottom w:val="single" w:color="000000" w:sz="4" w:space="0"/>
              <w:right w:val="single" w:color="auto" w:sz="8" w:space="0"/>
            </w:tcBorders>
            <w:noWrap w:val="0"/>
            <w:vAlign w:val="center"/>
          </w:tcPr>
          <w:p>
            <w:pPr>
              <w:rPr>
                <w:color w:val="000000"/>
                <w:spacing w:val="-2"/>
              </w:rPr>
            </w:pPr>
          </w:p>
        </w:tc>
      </w:tr>
      <w:tr>
        <w:tblPrEx>
          <w:tblCellMar>
            <w:top w:w="0" w:type="dxa"/>
            <w:left w:w="0" w:type="dxa"/>
            <w:bottom w:w="0" w:type="dxa"/>
            <w:right w:w="0" w:type="dxa"/>
          </w:tblCellMar>
        </w:tblPrEx>
        <w:trPr>
          <w:trHeight w:val="680" w:hRule="exact"/>
          <w:jc w:val="center"/>
        </w:trPr>
        <w:tc>
          <w:tcPr>
            <w:tcW w:w="649" w:type="dxa"/>
            <w:tcBorders>
              <w:top w:val="single" w:color="000000" w:sz="4" w:space="0"/>
              <w:left w:val="single" w:color="auto" w:sz="8" w:space="0"/>
              <w:bottom w:val="single" w:color="000000" w:sz="4" w:space="0"/>
              <w:right w:val="single" w:color="000000" w:sz="4" w:space="0"/>
            </w:tcBorders>
            <w:noWrap w:val="0"/>
            <w:vAlign w:val="center"/>
          </w:tcPr>
          <w:p>
            <w:pPr>
              <w:jc w:val="center"/>
              <w:rPr>
                <w:color w:val="000000"/>
                <w:spacing w:val="-2"/>
                <w:kern w:val="0"/>
                <w:sz w:val="18"/>
                <w:szCs w:val="18"/>
              </w:rPr>
            </w:pPr>
          </w:p>
        </w:tc>
        <w:tc>
          <w:tcPr>
            <w:tcW w:w="1072" w:type="dxa"/>
            <w:tcBorders>
              <w:top w:val="single" w:color="000000" w:sz="4" w:space="0"/>
              <w:left w:val="single" w:color="000000" w:sz="4" w:space="0"/>
              <w:bottom w:val="single" w:color="000000" w:sz="4" w:space="0"/>
              <w:right w:val="single" w:color="000000" w:sz="4" w:space="0"/>
            </w:tcBorders>
            <w:noWrap w:val="0"/>
            <w:vAlign w:val="top"/>
          </w:tcPr>
          <w:p>
            <w:pPr>
              <w:rPr>
                <w:color w:val="000000"/>
                <w:spacing w:val="-2"/>
              </w:rPr>
            </w:pP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611"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758"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768" w:type="dxa"/>
            <w:tcBorders>
              <w:top w:val="single" w:color="000000" w:sz="4" w:space="0"/>
              <w:left w:val="single" w:color="000000" w:sz="4" w:space="0"/>
              <w:bottom w:val="single" w:color="000000" w:sz="4" w:space="0"/>
              <w:right w:val="single" w:color="auto" w:sz="8" w:space="0"/>
            </w:tcBorders>
            <w:noWrap w:val="0"/>
            <w:vAlign w:val="center"/>
          </w:tcPr>
          <w:p>
            <w:pPr>
              <w:rPr>
                <w:color w:val="000000"/>
                <w:spacing w:val="-2"/>
              </w:rPr>
            </w:pPr>
          </w:p>
        </w:tc>
      </w:tr>
      <w:tr>
        <w:tblPrEx>
          <w:tblCellMar>
            <w:top w:w="0" w:type="dxa"/>
            <w:left w:w="0" w:type="dxa"/>
            <w:bottom w:w="0" w:type="dxa"/>
            <w:right w:w="0" w:type="dxa"/>
          </w:tblCellMar>
        </w:tblPrEx>
        <w:trPr>
          <w:trHeight w:val="680" w:hRule="exact"/>
          <w:jc w:val="center"/>
        </w:trPr>
        <w:tc>
          <w:tcPr>
            <w:tcW w:w="649" w:type="dxa"/>
            <w:tcBorders>
              <w:top w:val="single" w:color="000000" w:sz="4" w:space="0"/>
              <w:left w:val="single" w:color="auto" w:sz="8" w:space="0"/>
              <w:bottom w:val="single" w:color="000000" w:sz="4" w:space="0"/>
              <w:right w:val="single" w:color="000000" w:sz="4" w:space="0"/>
            </w:tcBorders>
            <w:noWrap w:val="0"/>
            <w:vAlign w:val="center"/>
          </w:tcPr>
          <w:p>
            <w:pPr>
              <w:jc w:val="center"/>
              <w:rPr>
                <w:color w:val="000000"/>
                <w:spacing w:val="-2"/>
                <w:kern w:val="0"/>
                <w:sz w:val="18"/>
                <w:szCs w:val="18"/>
              </w:rPr>
            </w:pPr>
          </w:p>
        </w:tc>
        <w:tc>
          <w:tcPr>
            <w:tcW w:w="1072" w:type="dxa"/>
            <w:tcBorders>
              <w:top w:val="single" w:color="000000" w:sz="4" w:space="0"/>
              <w:left w:val="single" w:color="000000" w:sz="4" w:space="0"/>
              <w:bottom w:val="single" w:color="000000" w:sz="4" w:space="0"/>
              <w:right w:val="single" w:color="000000" w:sz="4" w:space="0"/>
            </w:tcBorders>
            <w:noWrap w:val="0"/>
            <w:vAlign w:val="top"/>
          </w:tcPr>
          <w:p>
            <w:pPr>
              <w:rPr>
                <w:color w:val="000000"/>
                <w:spacing w:val="-2"/>
              </w:rPr>
            </w:pP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611"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758"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768" w:type="dxa"/>
            <w:tcBorders>
              <w:top w:val="single" w:color="000000" w:sz="4" w:space="0"/>
              <w:left w:val="single" w:color="000000" w:sz="4" w:space="0"/>
              <w:bottom w:val="single" w:color="000000" w:sz="4" w:space="0"/>
              <w:right w:val="single" w:color="auto" w:sz="8" w:space="0"/>
            </w:tcBorders>
            <w:noWrap w:val="0"/>
            <w:vAlign w:val="center"/>
          </w:tcPr>
          <w:p>
            <w:pPr>
              <w:rPr>
                <w:color w:val="000000"/>
                <w:spacing w:val="-2"/>
              </w:rPr>
            </w:pPr>
          </w:p>
        </w:tc>
      </w:tr>
      <w:tr>
        <w:tblPrEx>
          <w:tblCellMar>
            <w:top w:w="0" w:type="dxa"/>
            <w:left w:w="0" w:type="dxa"/>
            <w:bottom w:w="0" w:type="dxa"/>
            <w:right w:w="0" w:type="dxa"/>
          </w:tblCellMar>
        </w:tblPrEx>
        <w:trPr>
          <w:trHeight w:val="680" w:hRule="exact"/>
          <w:jc w:val="center"/>
        </w:trPr>
        <w:tc>
          <w:tcPr>
            <w:tcW w:w="649" w:type="dxa"/>
            <w:tcBorders>
              <w:top w:val="single" w:color="000000" w:sz="4" w:space="0"/>
              <w:left w:val="single" w:color="auto" w:sz="8" w:space="0"/>
              <w:bottom w:val="single" w:color="000000" w:sz="4" w:space="0"/>
              <w:right w:val="single" w:color="000000" w:sz="4" w:space="0"/>
            </w:tcBorders>
            <w:noWrap w:val="0"/>
            <w:vAlign w:val="center"/>
          </w:tcPr>
          <w:p>
            <w:pPr>
              <w:jc w:val="center"/>
              <w:rPr>
                <w:color w:val="000000"/>
                <w:spacing w:val="-2"/>
                <w:kern w:val="0"/>
                <w:sz w:val="18"/>
                <w:szCs w:val="18"/>
              </w:rPr>
            </w:pPr>
          </w:p>
        </w:tc>
        <w:tc>
          <w:tcPr>
            <w:tcW w:w="1072" w:type="dxa"/>
            <w:tcBorders>
              <w:top w:val="single" w:color="000000" w:sz="4" w:space="0"/>
              <w:left w:val="single" w:color="000000" w:sz="4" w:space="0"/>
              <w:bottom w:val="single" w:color="000000" w:sz="4" w:space="0"/>
              <w:right w:val="single" w:color="000000" w:sz="4" w:space="0"/>
            </w:tcBorders>
            <w:noWrap w:val="0"/>
            <w:vAlign w:val="top"/>
          </w:tcPr>
          <w:p>
            <w:pPr>
              <w:rPr>
                <w:color w:val="000000"/>
                <w:spacing w:val="-2"/>
              </w:rPr>
            </w:pP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611"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758"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768" w:type="dxa"/>
            <w:tcBorders>
              <w:top w:val="single" w:color="000000" w:sz="4" w:space="0"/>
              <w:left w:val="single" w:color="000000" w:sz="4" w:space="0"/>
              <w:bottom w:val="single" w:color="000000" w:sz="4" w:space="0"/>
              <w:right w:val="single" w:color="auto" w:sz="8" w:space="0"/>
            </w:tcBorders>
            <w:noWrap w:val="0"/>
            <w:vAlign w:val="center"/>
          </w:tcPr>
          <w:p>
            <w:pPr>
              <w:rPr>
                <w:color w:val="000000"/>
                <w:spacing w:val="-2"/>
              </w:rPr>
            </w:pPr>
          </w:p>
        </w:tc>
      </w:tr>
      <w:tr>
        <w:tblPrEx>
          <w:tblCellMar>
            <w:top w:w="0" w:type="dxa"/>
            <w:left w:w="0" w:type="dxa"/>
            <w:bottom w:w="0" w:type="dxa"/>
            <w:right w:w="0" w:type="dxa"/>
          </w:tblCellMar>
        </w:tblPrEx>
        <w:trPr>
          <w:trHeight w:val="680" w:hRule="exact"/>
          <w:jc w:val="center"/>
        </w:trPr>
        <w:tc>
          <w:tcPr>
            <w:tcW w:w="649" w:type="dxa"/>
            <w:tcBorders>
              <w:top w:val="single" w:color="000000" w:sz="4" w:space="0"/>
              <w:left w:val="single" w:color="auto" w:sz="8" w:space="0"/>
              <w:bottom w:val="single" w:color="000000" w:sz="4" w:space="0"/>
              <w:right w:val="single" w:color="000000" w:sz="4" w:space="0"/>
            </w:tcBorders>
            <w:noWrap w:val="0"/>
            <w:vAlign w:val="center"/>
          </w:tcPr>
          <w:p>
            <w:pPr>
              <w:jc w:val="center"/>
              <w:rPr>
                <w:color w:val="000000"/>
                <w:spacing w:val="-2"/>
                <w:kern w:val="0"/>
                <w:sz w:val="18"/>
                <w:szCs w:val="18"/>
              </w:rPr>
            </w:pPr>
          </w:p>
        </w:tc>
        <w:tc>
          <w:tcPr>
            <w:tcW w:w="1072" w:type="dxa"/>
            <w:tcBorders>
              <w:top w:val="single" w:color="000000" w:sz="4" w:space="0"/>
              <w:left w:val="single" w:color="000000" w:sz="4" w:space="0"/>
              <w:bottom w:val="single" w:color="000000" w:sz="4" w:space="0"/>
              <w:right w:val="single" w:color="000000" w:sz="4" w:space="0"/>
            </w:tcBorders>
            <w:noWrap w:val="0"/>
            <w:vAlign w:val="top"/>
          </w:tcPr>
          <w:p>
            <w:pPr>
              <w:rPr>
                <w:color w:val="000000"/>
                <w:spacing w:val="-2"/>
              </w:rPr>
            </w:pP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611"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758"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768" w:type="dxa"/>
            <w:tcBorders>
              <w:top w:val="single" w:color="000000" w:sz="4" w:space="0"/>
              <w:left w:val="single" w:color="000000" w:sz="4" w:space="0"/>
              <w:bottom w:val="single" w:color="000000" w:sz="4" w:space="0"/>
              <w:right w:val="single" w:color="auto" w:sz="8" w:space="0"/>
            </w:tcBorders>
            <w:noWrap w:val="0"/>
            <w:vAlign w:val="center"/>
          </w:tcPr>
          <w:p>
            <w:pPr>
              <w:rPr>
                <w:color w:val="000000"/>
                <w:spacing w:val="-2"/>
              </w:rPr>
            </w:pPr>
          </w:p>
        </w:tc>
      </w:tr>
      <w:tr>
        <w:tblPrEx>
          <w:tblCellMar>
            <w:top w:w="0" w:type="dxa"/>
            <w:left w:w="0" w:type="dxa"/>
            <w:bottom w:w="0" w:type="dxa"/>
            <w:right w:w="0" w:type="dxa"/>
          </w:tblCellMar>
        </w:tblPrEx>
        <w:trPr>
          <w:trHeight w:val="680" w:hRule="exact"/>
          <w:jc w:val="center"/>
        </w:trPr>
        <w:tc>
          <w:tcPr>
            <w:tcW w:w="649" w:type="dxa"/>
            <w:tcBorders>
              <w:top w:val="single" w:color="000000" w:sz="4" w:space="0"/>
              <w:left w:val="single" w:color="auto" w:sz="8" w:space="0"/>
              <w:bottom w:val="single" w:color="000000" w:sz="4" w:space="0"/>
              <w:right w:val="single" w:color="000000" w:sz="4" w:space="0"/>
            </w:tcBorders>
            <w:noWrap w:val="0"/>
            <w:vAlign w:val="center"/>
          </w:tcPr>
          <w:p>
            <w:pPr>
              <w:jc w:val="center"/>
              <w:rPr>
                <w:color w:val="000000"/>
                <w:spacing w:val="-2"/>
                <w:kern w:val="0"/>
                <w:sz w:val="18"/>
                <w:szCs w:val="18"/>
              </w:rPr>
            </w:pPr>
          </w:p>
        </w:tc>
        <w:tc>
          <w:tcPr>
            <w:tcW w:w="1072" w:type="dxa"/>
            <w:tcBorders>
              <w:top w:val="single" w:color="000000" w:sz="4" w:space="0"/>
              <w:left w:val="single" w:color="000000" w:sz="4" w:space="0"/>
              <w:bottom w:val="single" w:color="000000" w:sz="4" w:space="0"/>
              <w:right w:val="single" w:color="000000" w:sz="4" w:space="0"/>
            </w:tcBorders>
            <w:noWrap w:val="0"/>
            <w:vAlign w:val="top"/>
          </w:tcPr>
          <w:p>
            <w:pPr>
              <w:rPr>
                <w:color w:val="000000"/>
                <w:spacing w:val="-2"/>
              </w:rPr>
            </w:pP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611"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758"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768" w:type="dxa"/>
            <w:tcBorders>
              <w:top w:val="single" w:color="000000" w:sz="4" w:space="0"/>
              <w:left w:val="single" w:color="000000" w:sz="4" w:space="0"/>
              <w:bottom w:val="single" w:color="000000" w:sz="4" w:space="0"/>
              <w:right w:val="single" w:color="auto" w:sz="8" w:space="0"/>
            </w:tcBorders>
            <w:noWrap w:val="0"/>
            <w:vAlign w:val="center"/>
          </w:tcPr>
          <w:p>
            <w:pPr>
              <w:rPr>
                <w:color w:val="000000"/>
                <w:spacing w:val="-2"/>
              </w:rPr>
            </w:pPr>
          </w:p>
        </w:tc>
      </w:tr>
      <w:tr>
        <w:tblPrEx>
          <w:tblCellMar>
            <w:top w:w="0" w:type="dxa"/>
            <w:left w:w="0" w:type="dxa"/>
            <w:bottom w:w="0" w:type="dxa"/>
            <w:right w:w="0" w:type="dxa"/>
          </w:tblCellMar>
        </w:tblPrEx>
        <w:trPr>
          <w:trHeight w:val="680" w:hRule="exact"/>
          <w:jc w:val="center"/>
        </w:trPr>
        <w:tc>
          <w:tcPr>
            <w:tcW w:w="649" w:type="dxa"/>
            <w:tcBorders>
              <w:top w:val="single" w:color="000000" w:sz="4" w:space="0"/>
              <w:left w:val="single" w:color="auto" w:sz="8" w:space="0"/>
              <w:bottom w:val="single" w:color="000000" w:sz="4" w:space="0"/>
              <w:right w:val="single" w:color="000000" w:sz="4" w:space="0"/>
            </w:tcBorders>
            <w:noWrap w:val="0"/>
            <w:vAlign w:val="center"/>
          </w:tcPr>
          <w:p>
            <w:pPr>
              <w:jc w:val="center"/>
              <w:rPr>
                <w:color w:val="000000"/>
                <w:spacing w:val="-2"/>
                <w:kern w:val="0"/>
                <w:sz w:val="18"/>
                <w:szCs w:val="18"/>
              </w:rPr>
            </w:pPr>
          </w:p>
        </w:tc>
        <w:tc>
          <w:tcPr>
            <w:tcW w:w="1072" w:type="dxa"/>
            <w:tcBorders>
              <w:top w:val="single" w:color="000000" w:sz="4" w:space="0"/>
              <w:left w:val="single" w:color="000000" w:sz="4" w:space="0"/>
              <w:bottom w:val="single" w:color="000000" w:sz="4" w:space="0"/>
              <w:right w:val="single" w:color="000000" w:sz="4" w:space="0"/>
            </w:tcBorders>
            <w:noWrap w:val="0"/>
            <w:vAlign w:val="top"/>
          </w:tcPr>
          <w:p>
            <w:pPr>
              <w:rPr>
                <w:color w:val="000000"/>
                <w:spacing w:val="-2"/>
              </w:rPr>
            </w:pP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611"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758"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768" w:type="dxa"/>
            <w:tcBorders>
              <w:top w:val="single" w:color="000000" w:sz="4" w:space="0"/>
              <w:left w:val="single" w:color="000000" w:sz="4" w:space="0"/>
              <w:bottom w:val="single" w:color="000000" w:sz="4" w:space="0"/>
              <w:right w:val="single" w:color="auto" w:sz="8" w:space="0"/>
            </w:tcBorders>
            <w:noWrap w:val="0"/>
            <w:vAlign w:val="center"/>
          </w:tcPr>
          <w:p>
            <w:pPr>
              <w:rPr>
                <w:color w:val="000000"/>
                <w:spacing w:val="-2"/>
              </w:rPr>
            </w:pPr>
          </w:p>
        </w:tc>
      </w:tr>
      <w:tr>
        <w:tblPrEx>
          <w:tblCellMar>
            <w:top w:w="0" w:type="dxa"/>
            <w:left w:w="0" w:type="dxa"/>
            <w:bottom w:w="0" w:type="dxa"/>
            <w:right w:w="0" w:type="dxa"/>
          </w:tblCellMar>
        </w:tblPrEx>
        <w:trPr>
          <w:trHeight w:val="680" w:hRule="exact"/>
          <w:jc w:val="center"/>
        </w:trPr>
        <w:tc>
          <w:tcPr>
            <w:tcW w:w="649" w:type="dxa"/>
            <w:tcBorders>
              <w:top w:val="single" w:color="000000" w:sz="4" w:space="0"/>
              <w:left w:val="single" w:color="auto" w:sz="8" w:space="0"/>
              <w:bottom w:val="single" w:color="000000" w:sz="4" w:space="0"/>
              <w:right w:val="single" w:color="000000" w:sz="4" w:space="0"/>
            </w:tcBorders>
            <w:noWrap w:val="0"/>
            <w:vAlign w:val="center"/>
          </w:tcPr>
          <w:p>
            <w:pPr>
              <w:jc w:val="center"/>
              <w:rPr>
                <w:color w:val="000000"/>
                <w:spacing w:val="-2"/>
                <w:kern w:val="0"/>
                <w:sz w:val="18"/>
                <w:szCs w:val="18"/>
              </w:rPr>
            </w:pPr>
          </w:p>
        </w:tc>
        <w:tc>
          <w:tcPr>
            <w:tcW w:w="1072" w:type="dxa"/>
            <w:tcBorders>
              <w:top w:val="single" w:color="000000" w:sz="4" w:space="0"/>
              <w:left w:val="single" w:color="000000" w:sz="4" w:space="0"/>
              <w:bottom w:val="single" w:color="000000" w:sz="4" w:space="0"/>
              <w:right w:val="single" w:color="000000" w:sz="4" w:space="0"/>
            </w:tcBorders>
            <w:noWrap w:val="0"/>
            <w:vAlign w:val="top"/>
          </w:tcPr>
          <w:p>
            <w:pPr>
              <w:rPr>
                <w:color w:val="000000"/>
                <w:spacing w:val="-2"/>
              </w:rPr>
            </w:pP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611"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758"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768" w:type="dxa"/>
            <w:tcBorders>
              <w:top w:val="single" w:color="000000" w:sz="4" w:space="0"/>
              <w:left w:val="single" w:color="000000" w:sz="4" w:space="0"/>
              <w:bottom w:val="single" w:color="000000" w:sz="4" w:space="0"/>
              <w:right w:val="single" w:color="auto" w:sz="8" w:space="0"/>
            </w:tcBorders>
            <w:noWrap w:val="0"/>
            <w:vAlign w:val="center"/>
          </w:tcPr>
          <w:p>
            <w:pPr>
              <w:rPr>
                <w:color w:val="000000"/>
                <w:spacing w:val="-2"/>
              </w:rPr>
            </w:pPr>
          </w:p>
        </w:tc>
      </w:tr>
      <w:tr>
        <w:tblPrEx>
          <w:tblCellMar>
            <w:top w:w="0" w:type="dxa"/>
            <w:left w:w="0" w:type="dxa"/>
            <w:bottom w:w="0" w:type="dxa"/>
            <w:right w:w="0" w:type="dxa"/>
          </w:tblCellMar>
        </w:tblPrEx>
        <w:trPr>
          <w:trHeight w:val="680" w:hRule="exact"/>
          <w:jc w:val="center"/>
        </w:trPr>
        <w:tc>
          <w:tcPr>
            <w:tcW w:w="649" w:type="dxa"/>
            <w:tcBorders>
              <w:top w:val="single" w:color="000000" w:sz="4" w:space="0"/>
              <w:left w:val="single" w:color="auto" w:sz="8" w:space="0"/>
              <w:bottom w:val="single" w:color="000000" w:sz="4" w:space="0"/>
              <w:right w:val="single" w:color="000000" w:sz="4" w:space="0"/>
            </w:tcBorders>
            <w:noWrap w:val="0"/>
            <w:vAlign w:val="center"/>
          </w:tcPr>
          <w:p>
            <w:pPr>
              <w:jc w:val="center"/>
              <w:rPr>
                <w:color w:val="000000"/>
                <w:spacing w:val="-2"/>
                <w:kern w:val="0"/>
                <w:sz w:val="18"/>
                <w:szCs w:val="18"/>
              </w:rPr>
            </w:pPr>
          </w:p>
        </w:tc>
        <w:tc>
          <w:tcPr>
            <w:tcW w:w="1072" w:type="dxa"/>
            <w:tcBorders>
              <w:top w:val="single" w:color="000000" w:sz="4" w:space="0"/>
              <w:left w:val="single" w:color="000000" w:sz="4" w:space="0"/>
              <w:bottom w:val="single" w:color="000000" w:sz="4" w:space="0"/>
              <w:right w:val="single" w:color="000000" w:sz="4" w:space="0"/>
            </w:tcBorders>
            <w:noWrap w:val="0"/>
            <w:vAlign w:val="top"/>
          </w:tcPr>
          <w:p>
            <w:pPr>
              <w:rPr>
                <w:color w:val="000000"/>
                <w:spacing w:val="-2"/>
              </w:rPr>
            </w:pP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611"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758"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768" w:type="dxa"/>
            <w:tcBorders>
              <w:top w:val="single" w:color="000000" w:sz="4" w:space="0"/>
              <w:left w:val="single" w:color="000000" w:sz="4" w:space="0"/>
              <w:bottom w:val="single" w:color="000000" w:sz="4" w:space="0"/>
              <w:right w:val="single" w:color="auto" w:sz="8" w:space="0"/>
            </w:tcBorders>
            <w:noWrap w:val="0"/>
            <w:vAlign w:val="center"/>
          </w:tcPr>
          <w:p>
            <w:pPr>
              <w:rPr>
                <w:color w:val="000000"/>
                <w:spacing w:val="-2"/>
              </w:rPr>
            </w:pPr>
          </w:p>
        </w:tc>
      </w:tr>
      <w:tr>
        <w:tblPrEx>
          <w:tblCellMar>
            <w:top w:w="0" w:type="dxa"/>
            <w:left w:w="0" w:type="dxa"/>
            <w:bottom w:w="0" w:type="dxa"/>
            <w:right w:w="0" w:type="dxa"/>
          </w:tblCellMar>
        </w:tblPrEx>
        <w:trPr>
          <w:trHeight w:val="680" w:hRule="exact"/>
          <w:jc w:val="center"/>
        </w:trPr>
        <w:tc>
          <w:tcPr>
            <w:tcW w:w="649" w:type="dxa"/>
            <w:tcBorders>
              <w:top w:val="single" w:color="000000" w:sz="4" w:space="0"/>
              <w:left w:val="single" w:color="auto" w:sz="8" w:space="0"/>
              <w:bottom w:val="single" w:color="000000" w:sz="4" w:space="0"/>
              <w:right w:val="single" w:color="000000" w:sz="4" w:space="0"/>
            </w:tcBorders>
            <w:noWrap w:val="0"/>
            <w:vAlign w:val="center"/>
          </w:tcPr>
          <w:p>
            <w:pPr>
              <w:jc w:val="center"/>
              <w:rPr>
                <w:color w:val="000000"/>
                <w:spacing w:val="-2"/>
                <w:kern w:val="0"/>
                <w:sz w:val="18"/>
                <w:szCs w:val="18"/>
              </w:rPr>
            </w:pPr>
          </w:p>
        </w:tc>
        <w:tc>
          <w:tcPr>
            <w:tcW w:w="1072" w:type="dxa"/>
            <w:tcBorders>
              <w:top w:val="single" w:color="000000" w:sz="4" w:space="0"/>
              <w:left w:val="single" w:color="000000" w:sz="4" w:space="0"/>
              <w:bottom w:val="single" w:color="000000" w:sz="4" w:space="0"/>
              <w:right w:val="single" w:color="000000" w:sz="4" w:space="0"/>
            </w:tcBorders>
            <w:noWrap w:val="0"/>
            <w:vAlign w:val="top"/>
          </w:tcPr>
          <w:p>
            <w:pPr>
              <w:rPr>
                <w:color w:val="000000"/>
                <w:spacing w:val="-2"/>
              </w:rPr>
            </w:pPr>
          </w:p>
        </w:tc>
        <w:tc>
          <w:tcPr>
            <w:tcW w:w="1575"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611" w:type="dxa"/>
            <w:tcBorders>
              <w:top w:val="single" w:color="000000" w:sz="4" w:space="0"/>
              <w:left w:val="single" w:color="000000" w:sz="4" w:space="0"/>
              <w:bottom w:val="single" w:color="000000" w:sz="4" w:space="0"/>
              <w:right w:val="single" w:color="000000" w:sz="6" w:space="0"/>
            </w:tcBorders>
            <w:noWrap w:val="0"/>
            <w:vAlign w:val="center"/>
          </w:tcPr>
          <w:p>
            <w:pPr>
              <w:rPr>
                <w:color w:val="000000"/>
                <w:spacing w:val="-2"/>
              </w:rPr>
            </w:pPr>
          </w:p>
        </w:tc>
        <w:tc>
          <w:tcPr>
            <w:tcW w:w="758" w:type="dxa"/>
            <w:tcBorders>
              <w:top w:val="single" w:color="000000" w:sz="4" w:space="0"/>
              <w:left w:val="single" w:color="000000" w:sz="6" w:space="0"/>
              <w:bottom w:val="single" w:color="000000" w:sz="4" w:space="0"/>
              <w:right w:val="single" w:color="000000" w:sz="4" w:space="0"/>
            </w:tcBorders>
            <w:noWrap w:val="0"/>
            <w:vAlign w:val="center"/>
          </w:tcPr>
          <w:p>
            <w:pPr>
              <w:rPr>
                <w:color w:val="000000"/>
                <w:spacing w:val="-2"/>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rPr>
                <w:color w:val="000000"/>
                <w:spacing w:val="-2"/>
              </w:rPr>
            </w:pPr>
          </w:p>
        </w:tc>
        <w:tc>
          <w:tcPr>
            <w:tcW w:w="768" w:type="dxa"/>
            <w:tcBorders>
              <w:top w:val="single" w:color="000000" w:sz="4" w:space="0"/>
              <w:left w:val="single" w:color="000000" w:sz="4" w:space="0"/>
              <w:bottom w:val="single" w:color="000000" w:sz="4" w:space="0"/>
              <w:right w:val="single" w:color="auto" w:sz="8" w:space="0"/>
            </w:tcBorders>
            <w:noWrap w:val="0"/>
            <w:vAlign w:val="center"/>
          </w:tcPr>
          <w:p>
            <w:pPr>
              <w:rPr>
                <w:color w:val="000000"/>
                <w:spacing w:val="-2"/>
              </w:rPr>
            </w:pPr>
          </w:p>
        </w:tc>
      </w:tr>
      <w:tr>
        <w:tblPrEx>
          <w:tblCellMar>
            <w:top w:w="0" w:type="dxa"/>
            <w:left w:w="0" w:type="dxa"/>
            <w:bottom w:w="0" w:type="dxa"/>
            <w:right w:w="0" w:type="dxa"/>
          </w:tblCellMar>
        </w:tblPrEx>
        <w:trPr>
          <w:trHeight w:val="680" w:hRule="exact"/>
          <w:jc w:val="center"/>
        </w:trPr>
        <w:tc>
          <w:tcPr>
            <w:tcW w:w="649" w:type="dxa"/>
            <w:tcBorders>
              <w:top w:val="single" w:color="000000" w:sz="4" w:space="0"/>
              <w:left w:val="single" w:color="auto" w:sz="8" w:space="0"/>
              <w:bottom w:val="single" w:color="000000" w:sz="4" w:space="0"/>
              <w:right w:val="single" w:color="000000" w:sz="4" w:space="0"/>
            </w:tcBorders>
            <w:noWrap w:val="0"/>
            <w:vAlign w:val="center"/>
          </w:tcPr>
          <w:p>
            <w:pPr>
              <w:spacing w:before="4" w:line="140" w:lineRule="exact"/>
              <w:jc w:val="left"/>
              <w:rPr>
                <w:color w:val="000000"/>
                <w:spacing w:val="-2"/>
                <w:kern w:val="0"/>
                <w:sz w:val="14"/>
                <w:szCs w:val="14"/>
              </w:rPr>
            </w:pPr>
          </w:p>
        </w:tc>
        <w:tc>
          <w:tcPr>
            <w:tcW w:w="1072" w:type="dxa"/>
            <w:tcBorders>
              <w:top w:val="single" w:color="000000" w:sz="4" w:space="0"/>
              <w:left w:val="single" w:color="000000" w:sz="4" w:space="0"/>
              <w:bottom w:val="single" w:color="000000" w:sz="4" w:space="0"/>
              <w:right w:val="single" w:color="000000" w:sz="4" w:space="0"/>
            </w:tcBorders>
            <w:noWrap w:val="0"/>
            <w:vAlign w:val="top"/>
          </w:tcPr>
          <w:p>
            <w:pPr>
              <w:tabs>
                <w:tab w:val="left" w:pos="542"/>
              </w:tabs>
              <w:jc w:val="center"/>
              <w:rPr>
                <w:color w:val="000000"/>
                <w:spacing w:val="-2"/>
                <w:kern w:val="0"/>
                <w:sz w:val="18"/>
                <w:szCs w:val="18"/>
              </w:rPr>
            </w:pPr>
          </w:p>
        </w:tc>
        <w:tc>
          <w:tcPr>
            <w:tcW w:w="1575" w:type="dxa"/>
            <w:tcBorders>
              <w:top w:val="single" w:color="000000" w:sz="4" w:space="0"/>
              <w:left w:val="single" w:color="000000" w:sz="4" w:space="0"/>
              <w:bottom w:val="single" w:color="000000" w:sz="4" w:space="0"/>
              <w:right w:val="single" w:color="000000" w:sz="6" w:space="0"/>
            </w:tcBorders>
            <w:noWrap w:val="0"/>
            <w:vAlign w:val="center"/>
          </w:tcPr>
          <w:p>
            <w:pPr>
              <w:tabs>
                <w:tab w:val="left" w:pos="542"/>
              </w:tabs>
              <w:jc w:val="center"/>
              <w:rPr>
                <w:color w:val="000000"/>
                <w:spacing w:val="-2"/>
                <w:kern w:val="0"/>
                <w:sz w:val="18"/>
                <w:szCs w:val="18"/>
              </w:rPr>
            </w:pPr>
          </w:p>
        </w:tc>
        <w:tc>
          <w:tcPr>
            <w:tcW w:w="611" w:type="dxa"/>
            <w:tcBorders>
              <w:top w:val="single" w:color="000000" w:sz="4" w:space="0"/>
              <w:left w:val="single" w:color="000000" w:sz="6" w:space="0"/>
              <w:bottom w:val="single" w:color="000000" w:sz="4" w:space="0"/>
              <w:right w:val="single" w:color="000000" w:sz="4" w:space="0"/>
            </w:tcBorders>
            <w:noWrap w:val="0"/>
            <w:vAlign w:val="center"/>
          </w:tcPr>
          <w:p>
            <w:pPr>
              <w:tabs>
                <w:tab w:val="left" w:pos="542"/>
              </w:tabs>
              <w:jc w:val="center"/>
              <w:rPr>
                <w:color w:val="000000"/>
                <w:spacing w:val="-2"/>
                <w:kern w:val="0"/>
                <w:sz w:val="18"/>
                <w:szCs w:val="18"/>
              </w:rPr>
            </w:pPr>
          </w:p>
        </w:tc>
        <w:tc>
          <w:tcPr>
            <w:tcW w:w="758" w:type="dxa"/>
            <w:tcBorders>
              <w:top w:val="single" w:color="000000" w:sz="4" w:space="0"/>
              <w:left w:val="single" w:color="000000" w:sz="6" w:space="0"/>
              <w:bottom w:val="single" w:color="000000" w:sz="4" w:space="0"/>
              <w:right w:val="single" w:color="000000" w:sz="4" w:space="0"/>
            </w:tcBorders>
            <w:noWrap w:val="0"/>
            <w:vAlign w:val="center"/>
          </w:tcPr>
          <w:p>
            <w:pPr>
              <w:tabs>
                <w:tab w:val="left" w:pos="542"/>
              </w:tabs>
              <w:ind w:left="199"/>
              <w:jc w:val="center"/>
              <w:rPr>
                <w:color w:val="000000"/>
                <w:spacing w:val="-2"/>
                <w:kern w:val="0"/>
                <w:sz w:val="18"/>
                <w:szCs w:val="18"/>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jc w:val="left"/>
              <w:rPr>
                <w:color w:val="000000"/>
                <w:spacing w:val="-2"/>
                <w:kern w:val="0"/>
                <w:sz w:val="22"/>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pacing w:val="-2"/>
                <w:kern w:val="0"/>
                <w:sz w:val="18"/>
                <w:szCs w:val="18"/>
                <w:lang w:eastAsia="en-US"/>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spacing w:before="4" w:line="140" w:lineRule="exact"/>
              <w:jc w:val="left"/>
              <w:rPr>
                <w:color w:val="000000"/>
                <w:spacing w:val="-2"/>
                <w:kern w:val="0"/>
                <w:sz w:val="14"/>
                <w:szCs w:val="14"/>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spacing w:before="4" w:line="140" w:lineRule="exact"/>
              <w:jc w:val="left"/>
              <w:rPr>
                <w:color w:val="000000"/>
                <w:spacing w:val="-2"/>
                <w:kern w:val="0"/>
                <w:sz w:val="14"/>
                <w:szCs w:val="14"/>
              </w:rPr>
            </w:pPr>
          </w:p>
        </w:tc>
        <w:tc>
          <w:tcPr>
            <w:tcW w:w="768" w:type="dxa"/>
            <w:tcBorders>
              <w:top w:val="single" w:color="000000" w:sz="4" w:space="0"/>
              <w:left w:val="single" w:color="000000" w:sz="4" w:space="0"/>
              <w:bottom w:val="single" w:color="000000" w:sz="4" w:space="0"/>
              <w:right w:val="single" w:color="auto" w:sz="8" w:space="0"/>
            </w:tcBorders>
            <w:noWrap w:val="0"/>
            <w:vAlign w:val="center"/>
          </w:tcPr>
          <w:p>
            <w:pPr>
              <w:spacing w:before="4" w:line="140" w:lineRule="exact"/>
              <w:jc w:val="left"/>
              <w:rPr>
                <w:color w:val="000000"/>
                <w:spacing w:val="-2"/>
                <w:kern w:val="0"/>
                <w:sz w:val="14"/>
                <w:szCs w:val="14"/>
              </w:rPr>
            </w:pPr>
          </w:p>
        </w:tc>
      </w:tr>
      <w:tr>
        <w:tblPrEx>
          <w:tblCellMar>
            <w:top w:w="0" w:type="dxa"/>
            <w:left w:w="0" w:type="dxa"/>
            <w:bottom w:w="0" w:type="dxa"/>
            <w:right w:w="0" w:type="dxa"/>
          </w:tblCellMar>
        </w:tblPrEx>
        <w:trPr>
          <w:trHeight w:val="680" w:hRule="exact"/>
          <w:jc w:val="center"/>
        </w:trPr>
        <w:tc>
          <w:tcPr>
            <w:tcW w:w="649" w:type="dxa"/>
            <w:tcBorders>
              <w:top w:val="single" w:color="000000" w:sz="4" w:space="0"/>
              <w:left w:val="single" w:color="auto" w:sz="8" w:space="0"/>
              <w:bottom w:val="single" w:color="auto" w:sz="8" w:space="0"/>
              <w:right w:val="single" w:color="000000" w:sz="4" w:space="0"/>
            </w:tcBorders>
            <w:noWrap w:val="0"/>
            <w:vAlign w:val="center"/>
          </w:tcPr>
          <w:p>
            <w:pPr>
              <w:spacing w:before="4" w:line="140" w:lineRule="exact"/>
              <w:jc w:val="left"/>
              <w:rPr>
                <w:color w:val="000000"/>
                <w:spacing w:val="-2"/>
                <w:kern w:val="0"/>
                <w:sz w:val="14"/>
                <w:szCs w:val="14"/>
              </w:rPr>
            </w:pPr>
          </w:p>
          <w:p>
            <w:pPr>
              <w:spacing w:before="4" w:line="140" w:lineRule="exact"/>
              <w:jc w:val="left"/>
              <w:rPr>
                <w:color w:val="000000"/>
                <w:spacing w:val="-2"/>
                <w:kern w:val="0"/>
                <w:sz w:val="14"/>
                <w:szCs w:val="14"/>
              </w:rPr>
            </w:pPr>
          </w:p>
        </w:tc>
        <w:tc>
          <w:tcPr>
            <w:tcW w:w="1072" w:type="dxa"/>
            <w:tcBorders>
              <w:top w:val="single" w:color="000000" w:sz="4" w:space="0"/>
              <w:left w:val="single" w:color="000000" w:sz="4" w:space="0"/>
              <w:bottom w:val="single" w:color="auto" w:sz="8" w:space="0"/>
              <w:right w:val="single" w:color="000000" w:sz="4" w:space="0"/>
            </w:tcBorders>
            <w:noWrap w:val="0"/>
            <w:vAlign w:val="top"/>
          </w:tcPr>
          <w:p>
            <w:pPr>
              <w:tabs>
                <w:tab w:val="left" w:pos="542"/>
              </w:tabs>
              <w:jc w:val="center"/>
              <w:rPr>
                <w:color w:val="000000"/>
                <w:spacing w:val="-2"/>
                <w:kern w:val="0"/>
                <w:sz w:val="18"/>
                <w:szCs w:val="18"/>
              </w:rPr>
            </w:pPr>
          </w:p>
        </w:tc>
        <w:tc>
          <w:tcPr>
            <w:tcW w:w="1575" w:type="dxa"/>
            <w:tcBorders>
              <w:top w:val="single" w:color="000000" w:sz="4" w:space="0"/>
              <w:left w:val="single" w:color="000000" w:sz="4" w:space="0"/>
              <w:bottom w:val="single" w:color="auto" w:sz="8" w:space="0"/>
              <w:right w:val="single" w:color="000000" w:sz="6" w:space="0"/>
            </w:tcBorders>
            <w:noWrap w:val="0"/>
            <w:vAlign w:val="center"/>
          </w:tcPr>
          <w:p>
            <w:pPr>
              <w:tabs>
                <w:tab w:val="left" w:pos="542"/>
              </w:tabs>
              <w:jc w:val="center"/>
              <w:rPr>
                <w:color w:val="000000"/>
                <w:spacing w:val="-2"/>
                <w:kern w:val="0"/>
                <w:sz w:val="18"/>
                <w:szCs w:val="18"/>
              </w:rPr>
            </w:pPr>
          </w:p>
        </w:tc>
        <w:tc>
          <w:tcPr>
            <w:tcW w:w="611" w:type="dxa"/>
            <w:tcBorders>
              <w:top w:val="single" w:color="000000" w:sz="4" w:space="0"/>
              <w:left w:val="single" w:color="000000" w:sz="6" w:space="0"/>
              <w:bottom w:val="single" w:color="auto" w:sz="8" w:space="0"/>
              <w:right w:val="single" w:color="000000" w:sz="4" w:space="0"/>
            </w:tcBorders>
            <w:noWrap w:val="0"/>
            <w:vAlign w:val="center"/>
          </w:tcPr>
          <w:p>
            <w:pPr>
              <w:tabs>
                <w:tab w:val="left" w:pos="542"/>
              </w:tabs>
              <w:jc w:val="center"/>
              <w:rPr>
                <w:color w:val="000000"/>
                <w:spacing w:val="-2"/>
                <w:kern w:val="0"/>
                <w:sz w:val="18"/>
                <w:szCs w:val="18"/>
              </w:rPr>
            </w:pPr>
          </w:p>
        </w:tc>
        <w:tc>
          <w:tcPr>
            <w:tcW w:w="758" w:type="dxa"/>
            <w:tcBorders>
              <w:top w:val="single" w:color="000000" w:sz="4" w:space="0"/>
              <w:left w:val="single" w:color="000000" w:sz="6" w:space="0"/>
              <w:bottom w:val="single" w:color="auto" w:sz="8" w:space="0"/>
              <w:right w:val="single" w:color="000000" w:sz="4" w:space="0"/>
            </w:tcBorders>
            <w:noWrap w:val="0"/>
            <w:vAlign w:val="center"/>
          </w:tcPr>
          <w:p>
            <w:pPr>
              <w:tabs>
                <w:tab w:val="left" w:pos="542"/>
              </w:tabs>
              <w:ind w:left="199"/>
              <w:jc w:val="center"/>
              <w:rPr>
                <w:color w:val="000000"/>
                <w:spacing w:val="-2"/>
                <w:kern w:val="0"/>
                <w:sz w:val="18"/>
                <w:szCs w:val="18"/>
              </w:rPr>
            </w:pPr>
          </w:p>
        </w:tc>
        <w:tc>
          <w:tcPr>
            <w:tcW w:w="850" w:type="dxa"/>
            <w:tcBorders>
              <w:top w:val="single" w:color="000000" w:sz="4" w:space="0"/>
              <w:left w:val="single" w:color="000000" w:sz="4" w:space="0"/>
              <w:bottom w:val="single" w:color="auto" w:sz="8" w:space="0"/>
              <w:right w:val="single" w:color="000000" w:sz="4" w:space="0"/>
            </w:tcBorders>
            <w:noWrap w:val="0"/>
            <w:vAlign w:val="center"/>
          </w:tcPr>
          <w:p>
            <w:pPr>
              <w:jc w:val="left"/>
              <w:rPr>
                <w:color w:val="000000"/>
                <w:spacing w:val="-2"/>
                <w:kern w:val="0"/>
                <w:sz w:val="22"/>
              </w:rPr>
            </w:pPr>
          </w:p>
        </w:tc>
        <w:tc>
          <w:tcPr>
            <w:tcW w:w="851" w:type="dxa"/>
            <w:tcBorders>
              <w:top w:val="single" w:color="000000" w:sz="4" w:space="0"/>
              <w:left w:val="single" w:color="000000" w:sz="4" w:space="0"/>
              <w:bottom w:val="single" w:color="auto" w:sz="8" w:space="0"/>
              <w:right w:val="single" w:color="000000" w:sz="4" w:space="0"/>
            </w:tcBorders>
            <w:noWrap w:val="0"/>
            <w:vAlign w:val="center"/>
          </w:tcPr>
          <w:p>
            <w:pPr>
              <w:jc w:val="center"/>
              <w:rPr>
                <w:color w:val="000000"/>
                <w:spacing w:val="-2"/>
                <w:kern w:val="0"/>
                <w:sz w:val="18"/>
                <w:szCs w:val="18"/>
                <w:lang w:eastAsia="en-US"/>
              </w:rPr>
            </w:pPr>
          </w:p>
        </w:tc>
        <w:tc>
          <w:tcPr>
            <w:tcW w:w="851" w:type="dxa"/>
            <w:tcBorders>
              <w:top w:val="single" w:color="000000" w:sz="4" w:space="0"/>
              <w:left w:val="single" w:color="000000" w:sz="4" w:space="0"/>
              <w:bottom w:val="single" w:color="auto" w:sz="8" w:space="0"/>
              <w:right w:val="single" w:color="000000" w:sz="4" w:space="0"/>
            </w:tcBorders>
            <w:noWrap w:val="0"/>
            <w:vAlign w:val="center"/>
          </w:tcPr>
          <w:p>
            <w:pPr>
              <w:spacing w:before="4" w:line="140" w:lineRule="exact"/>
              <w:jc w:val="left"/>
              <w:rPr>
                <w:color w:val="000000"/>
                <w:spacing w:val="-2"/>
                <w:kern w:val="0"/>
                <w:sz w:val="14"/>
                <w:szCs w:val="14"/>
              </w:rPr>
            </w:pPr>
          </w:p>
        </w:tc>
        <w:tc>
          <w:tcPr>
            <w:tcW w:w="851" w:type="dxa"/>
            <w:tcBorders>
              <w:top w:val="single" w:color="000000" w:sz="4" w:space="0"/>
              <w:left w:val="single" w:color="000000" w:sz="4" w:space="0"/>
              <w:bottom w:val="single" w:color="auto" w:sz="8" w:space="0"/>
              <w:right w:val="single" w:color="000000" w:sz="4" w:space="0"/>
            </w:tcBorders>
            <w:noWrap w:val="0"/>
            <w:vAlign w:val="center"/>
          </w:tcPr>
          <w:p>
            <w:pPr>
              <w:spacing w:before="4" w:line="140" w:lineRule="exact"/>
              <w:jc w:val="left"/>
              <w:rPr>
                <w:color w:val="000000"/>
                <w:spacing w:val="-2"/>
                <w:kern w:val="0"/>
                <w:sz w:val="14"/>
                <w:szCs w:val="14"/>
              </w:rPr>
            </w:pPr>
          </w:p>
        </w:tc>
        <w:tc>
          <w:tcPr>
            <w:tcW w:w="768" w:type="dxa"/>
            <w:tcBorders>
              <w:top w:val="single" w:color="000000" w:sz="4" w:space="0"/>
              <w:left w:val="single" w:color="000000" w:sz="4" w:space="0"/>
              <w:bottom w:val="single" w:color="auto" w:sz="8" w:space="0"/>
              <w:right w:val="single" w:color="auto" w:sz="8" w:space="0"/>
            </w:tcBorders>
            <w:noWrap w:val="0"/>
            <w:vAlign w:val="center"/>
          </w:tcPr>
          <w:p>
            <w:pPr>
              <w:spacing w:before="4" w:line="140" w:lineRule="exact"/>
              <w:jc w:val="left"/>
              <w:rPr>
                <w:color w:val="000000"/>
                <w:spacing w:val="-2"/>
                <w:kern w:val="0"/>
                <w:sz w:val="14"/>
                <w:szCs w:val="14"/>
              </w:rPr>
            </w:pPr>
          </w:p>
        </w:tc>
      </w:tr>
    </w:tbl>
    <w:p>
      <w:pPr>
        <w:spacing w:line="243" w:lineRule="exact"/>
        <w:ind w:firstLine="86" w:firstLineChars="50"/>
        <w:rPr>
          <w:color w:val="000000"/>
          <w:spacing w:val="-2"/>
          <w:sz w:val="18"/>
          <w:szCs w:val="18"/>
        </w:rPr>
      </w:pPr>
      <w:r>
        <w:rPr>
          <w:rFonts w:hint="eastAsia" w:hAnsi="Times New Roman" w:cs="宋体"/>
          <w:color w:val="000000"/>
          <w:spacing w:val="-2"/>
          <w:sz w:val="18"/>
          <w:szCs w:val="18"/>
        </w:rPr>
        <w:t>注：</w:t>
      </w:r>
      <w:r>
        <w:rPr>
          <w:rFonts w:cs="宋体"/>
          <w:color w:val="000000"/>
          <w:spacing w:val="-2"/>
          <w:sz w:val="18"/>
          <w:szCs w:val="18"/>
        </w:rPr>
        <w:t>1.</w:t>
      </w:r>
      <w:r>
        <w:rPr>
          <w:rFonts w:hint="eastAsia" w:hAnsi="Times New Roman" w:cs="宋体"/>
          <w:color w:val="000000"/>
          <w:spacing w:val="-2"/>
          <w:sz w:val="18"/>
          <w:szCs w:val="18"/>
        </w:rPr>
        <w:t>此表应由招标人填写除</w:t>
      </w:r>
      <w:r>
        <w:rPr>
          <w:rFonts w:hint="eastAsia" w:cs="宋体"/>
          <w:color w:val="000000"/>
          <w:spacing w:val="-2"/>
          <w:sz w:val="18"/>
          <w:szCs w:val="18"/>
        </w:rPr>
        <w:t>“</w:t>
      </w:r>
      <w:r>
        <w:rPr>
          <w:rFonts w:hint="eastAsia" w:hAnsi="Times New Roman" w:cs="宋体"/>
          <w:color w:val="000000"/>
          <w:spacing w:val="-2"/>
          <w:sz w:val="18"/>
          <w:szCs w:val="18"/>
        </w:rPr>
        <w:t>数量</w:t>
      </w:r>
      <w:r>
        <w:rPr>
          <w:rFonts w:hint="eastAsia" w:cs="宋体"/>
          <w:color w:val="000000"/>
          <w:spacing w:val="-2"/>
          <w:sz w:val="18"/>
          <w:szCs w:val="18"/>
        </w:rPr>
        <w:t>”</w:t>
      </w:r>
      <w:r>
        <w:rPr>
          <w:rFonts w:hint="eastAsia" w:hAnsi="Times New Roman" w:cs="宋体"/>
          <w:color w:val="000000"/>
          <w:spacing w:val="-2"/>
          <w:sz w:val="18"/>
          <w:szCs w:val="18"/>
        </w:rPr>
        <w:t>、</w:t>
      </w:r>
      <w:r>
        <w:rPr>
          <w:rFonts w:hint="eastAsia" w:cs="宋体"/>
          <w:color w:val="000000"/>
          <w:spacing w:val="-2"/>
          <w:sz w:val="18"/>
          <w:szCs w:val="18"/>
        </w:rPr>
        <w:t>“</w:t>
      </w:r>
      <w:r>
        <w:rPr>
          <w:rFonts w:hint="eastAsia" w:hAnsi="Times New Roman" w:cs="宋体"/>
          <w:color w:val="000000"/>
          <w:spacing w:val="-2"/>
          <w:sz w:val="18"/>
          <w:szCs w:val="18"/>
        </w:rPr>
        <w:t>投标单价</w:t>
      </w:r>
      <w:r>
        <w:rPr>
          <w:rFonts w:hint="eastAsia" w:cs="宋体"/>
          <w:color w:val="000000"/>
          <w:spacing w:val="-2"/>
          <w:sz w:val="18"/>
          <w:szCs w:val="18"/>
        </w:rPr>
        <w:t>”</w:t>
      </w:r>
      <w:r>
        <w:rPr>
          <w:rFonts w:hint="eastAsia" w:hAnsi="Times New Roman" w:cs="宋体"/>
          <w:color w:val="000000"/>
          <w:spacing w:val="-2"/>
          <w:sz w:val="18"/>
          <w:szCs w:val="18"/>
        </w:rPr>
        <w:t>栏之外的内容，投标人在投标时自主确定投标数量和单价。</w:t>
      </w:r>
    </w:p>
    <w:p>
      <w:pPr>
        <w:spacing w:line="243" w:lineRule="exact"/>
        <w:ind w:left="508" w:leftChars="205" w:hanging="86" w:hangingChars="50"/>
        <w:rPr>
          <w:rFonts w:cs="宋体"/>
          <w:color w:val="000000"/>
          <w:spacing w:val="-2"/>
          <w:sz w:val="18"/>
          <w:szCs w:val="18"/>
        </w:rPr>
      </w:pPr>
      <w:r>
        <w:rPr>
          <w:rFonts w:cs="宋体"/>
          <w:color w:val="000000"/>
          <w:spacing w:val="-2"/>
          <w:sz w:val="18"/>
          <w:szCs w:val="18"/>
        </w:rPr>
        <w:t>2.</w:t>
      </w:r>
      <w:r>
        <w:rPr>
          <w:rFonts w:hint="eastAsia" w:hAnsi="Times New Roman" w:cs="宋体"/>
          <w:color w:val="000000"/>
          <w:spacing w:val="-2"/>
          <w:sz w:val="18"/>
          <w:szCs w:val="18"/>
        </w:rPr>
        <w:t>招标人应优先采用工程造价管理机构发布的单价作为基准单价，未发布的，通过市场调查确定其基准单价。</w:t>
      </w:r>
    </w:p>
    <w:p>
      <w:pPr>
        <w:spacing w:line="243" w:lineRule="exact"/>
        <w:ind w:left="508" w:leftChars="205" w:hanging="86" w:hangingChars="50"/>
        <w:rPr>
          <w:color w:val="000000"/>
          <w:spacing w:val="-2"/>
          <w:sz w:val="18"/>
          <w:szCs w:val="18"/>
        </w:rPr>
      </w:pPr>
      <w:r>
        <w:rPr>
          <w:rFonts w:cs="宋体"/>
          <w:color w:val="000000"/>
          <w:spacing w:val="-2"/>
          <w:sz w:val="18"/>
          <w:szCs w:val="18"/>
        </w:rPr>
        <w:t>3.</w:t>
      </w:r>
      <w:r>
        <w:rPr>
          <w:rFonts w:hint="eastAsia" w:hAnsi="Times New Roman" w:cs="宋体"/>
          <w:color w:val="000000"/>
          <w:spacing w:val="-2"/>
          <w:sz w:val="18"/>
          <w:szCs w:val="18"/>
        </w:rPr>
        <w:t>此表中不包含暂估单价的材料（工程设备）。</w:t>
      </w:r>
    </w:p>
    <w:p>
      <w:pPr>
        <w:spacing w:after="120" w:line="299" w:lineRule="exact"/>
        <w:jc w:val="right"/>
        <w:rPr>
          <w:color w:val="000000"/>
          <w:spacing w:val="-2"/>
          <w:sz w:val="18"/>
          <w:szCs w:val="18"/>
        </w:rPr>
      </w:pPr>
      <w:r>
        <w:rPr>
          <w:rFonts w:hint="eastAsia"/>
          <w:color w:val="000000"/>
          <w:spacing w:val="-2"/>
          <w:sz w:val="18"/>
          <w:szCs w:val="18"/>
        </w:rPr>
        <w:t>表</w:t>
      </w:r>
      <w:r>
        <w:rPr>
          <w:color w:val="000000"/>
          <w:spacing w:val="-2"/>
          <w:sz w:val="18"/>
          <w:szCs w:val="18"/>
        </w:rPr>
        <w:t>-21</w:t>
      </w:r>
    </w:p>
    <w:p>
      <w:pPr>
        <w:pStyle w:val="2"/>
        <w:spacing w:before="590" w:beforeLines="100" w:after="590" w:afterLines="100" w:line="240" w:lineRule="auto"/>
        <w:jc w:val="center"/>
        <w:rPr>
          <w:rFonts w:ascii="Times New Roman" w:eastAsia="方正小标宋_GBK"/>
          <w:b w:val="0"/>
          <w:sz w:val="36"/>
          <w:szCs w:val="36"/>
        </w:rPr>
      </w:pPr>
      <w:bookmarkStart w:id="690" w:name="_Toc18315843"/>
      <w:bookmarkStart w:id="691" w:name="_Toc20726706"/>
      <w:r>
        <w:rPr>
          <w:rFonts w:hint="eastAsia" w:ascii="Times New Roman" w:eastAsia="方正小标宋_GBK"/>
          <w:b w:val="0"/>
          <w:sz w:val="36"/>
          <w:szCs w:val="36"/>
        </w:rPr>
        <w:t>省住房城乡建设厅关于印发《江苏省房屋建筑和市政基础设施工程招标投标中串通投标和弄虚作假行为认定处理办法（试行）》的通知</w:t>
      </w:r>
      <w:bookmarkEnd w:id="690"/>
      <w:bookmarkEnd w:id="691"/>
    </w:p>
    <w:p>
      <w:pPr>
        <w:pStyle w:val="3"/>
        <w:spacing w:before="590" w:beforeLines="100" w:after="590" w:afterLines="100" w:line="240" w:lineRule="auto"/>
        <w:jc w:val="center"/>
        <w:rPr>
          <w:rFonts w:hint="eastAsia" w:ascii="Times New Roman" w:hAnsi="Times New Roman" w:eastAsia="方正楷体_GBK"/>
          <w:b w:val="0"/>
          <w:sz w:val="24"/>
          <w:szCs w:val="24"/>
        </w:rPr>
      </w:pPr>
      <w:bookmarkStart w:id="692" w:name="_Toc20726707"/>
      <w:r>
        <w:rPr>
          <w:rFonts w:hint="eastAsia" w:ascii="Times New Roman" w:hAnsi="Times New Roman" w:eastAsia="方正楷体_GBK"/>
          <w:b w:val="0"/>
          <w:sz w:val="24"/>
          <w:szCs w:val="24"/>
        </w:rPr>
        <w:t>苏建规字〔</w:t>
      </w:r>
      <w:r>
        <w:rPr>
          <w:rFonts w:ascii="Times New Roman" w:hAnsi="Times New Roman" w:eastAsia="方正楷体_GBK"/>
          <w:b w:val="0"/>
          <w:sz w:val="24"/>
          <w:szCs w:val="24"/>
        </w:rPr>
        <w:t>2014</w:t>
      </w:r>
      <w:r>
        <w:rPr>
          <w:rFonts w:hint="eastAsia" w:ascii="Times New Roman" w:hAnsi="Times New Roman" w:eastAsia="方正楷体_GBK"/>
          <w:b w:val="0"/>
          <w:sz w:val="24"/>
          <w:szCs w:val="24"/>
        </w:rPr>
        <w:t>〕</w:t>
      </w:r>
      <w:r>
        <w:rPr>
          <w:rFonts w:ascii="Times New Roman" w:hAnsi="Times New Roman" w:eastAsia="方正楷体_GBK"/>
          <w:b w:val="0"/>
          <w:sz w:val="24"/>
          <w:szCs w:val="24"/>
        </w:rPr>
        <w:t>2</w:t>
      </w:r>
      <w:r>
        <w:rPr>
          <w:rFonts w:hint="eastAsia" w:ascii="Times New Roman" w:hAnsi="Times New Roman" w:eastAsia="方正楷体_GBK"/>
          <w:b w:val="0"/>
          <w:sz w:val="24"/>
          <w:szCs w:val="24"/>
        </w:rPr>
        <w:t>号</w:t>
      </w:r>
      <w:bookmarkEnd w:id="692"/>
    </w:p>
    <w:p>
      <w:pPr>
        <w:spacing w:line="460" w:lineRule="exact"/>
        <w:jc w:val="left"/>
        <w:rPr>
          <w:rFonts w:eastAsia="方正仿宋_GBK"/>
          <w:color w:val="000000"/>
          <w:spacing w:val="-2"/>
          <w:kern w:val="0"/>
          <w:sz w:val="24"/>
        </w:rPr>
      </w:pPr>
      <w:r>
        <w:rPr>
          <w:rFonts w:hint="eastAsia" w:eastAsia="方正仿宋_GBK"/>
          <w:color w:val="000000"/>
          <w:spacing w:val="-2"/>
          <w:sz w:val="24"/>
        </w:rPr>
        <w:t>各省辖市建设局（委），苏州工业园区、张家港保税区、苏州宿迁工业园区规划建设局，昆山市、泰兴市、沭阳县建设局：</w:t>
      </w:r>
    </w:p>
    <w:p>
      <w:pPr>
        <w:spacing w:line="460" w:lineRule="exact"/>
        <w:ind w:firstLine="464" w:firstLineChars="200"/>
        <w:jc w:val="left"/>
        <w:rPr>
          <w:rFonts w:eastAsia="方正仿宋_GBK"/>
          <w:color w:val="000000"/>
          <w:spacing w:val="-2"/>
          <w:kern w:val="0"/>
          <w:sz w:val="24"/>
        </w:rPr>
      </w:pPr>
      <w:r>
        <w:rPr>
          <w:rFonts w:hint="eastAsia" w:eastAsia="方正仿宋_GBK"/>
          <w:color w:val="000000"/>
          <w:spacing w:val="-2"/>
          <w:sz w:val="24"/>
        </w:rPr>
        <w:t>为进一步规范全省房屋建筑和市政基础设施工程招标投标活动，严厉打击工程建设领域串通投标和弄虚作假等违法行为，我厅制定了《江苏省房屋建筑和市政基础设施工程招标投标中串通投标和弄虚作假行为认定处理办法（试行）》，现印发给你们，请认真贯彻执行。</w:t>
      </w:r>
    </w:p>
    <w:p>
      <w:pPr>
        <w:spacing w:line="460" w:lineRule="exact"/>
        <w:ind w:firstLine="464" w:firstLineChars="200"/>
        <w:jc w:val="left"/>
        <w:rPr>
          <w:rFonts w:eastAsia="方正仿宋_GBK"/>
          <w:color w:val="000000"/>
          <w:spacing w:val="-2"/>
          <w:sz w:val="24"/>
        </w:rPr>
      </w:pPr>
    </w:p>
    <w:p>
      <w:pPr>
        <w:spacing w:line="460" w:lineRule="exact"/>
        <w:ind w:firstLine="464" w:firstLineChars="200"/>
        <w:jc w:val="left"/>
        <w:rPr>
          <w:rFonts w:eastAsia="方正仿宋_GBK"/>
          <w:color w:val="000000"/>
          <w:spacing w:val="-2"/>
          <w:sz w:val="24"/>
        </w:rPr>
      </w:pPr>
      <w:r>
        <w:rPr>
          <w:rFonts w:hint="eastAsia" w:eastAsia="方正仿宋_GBK"/>
          <w:color w:val="000000"/>
          <w:spacing w:val="-2"/>
          <w:sz w:val="24"/>
        </w:rPr>
        <w:t>附件：《江苏省房屋建筑和市政基础设施工程招标投标中串通投标和弄虚作假行</w:t>
      </w:r>
    </w:p>
    <w:p>
      <w:pPr>
        <w:spacing w:line="460" w:lineRule="exact"/>
        <w:ind w:firstLine="1269" w:firstLineChars="547"/>
        <w:jc w:val="left"/>
        <w:rPr>
          <w:rFonts w:eastAsia="方正仿宋_GBK"/>
          <w:color w:val="000000"/>
          <w:spacing w:val="-2"/>
          <w:kern w:val="0"/>
          <w:sz w:val="24"/>
        </w:rPr>
      </w:pPr>
      <w:r>
        <w:rPr>
          <w:rFonts w:hint="eastAsia" w:eastAsia="方正仿宋_GBK"/>
          <w:color w:val="000000"/>
          <w:spacing w:val="-2"/>
          <w:sz w:val="24"/>
        </w:rPr>
        <w:t>为认定处理办法（试行）》</w:t>
      </w:r>
    </w:p>
    <w:p>
      <w:pPr>
        <w:spacing w:line="460" w:lineRule="exact"/>
        <w:ind w:firstLine="464" w:firstLineChars="200"/>
        <w:jc w:val="left"/>
        <w:rPr>
          <w:rFonts w:eastAsia="方正仿宋_GBK"/>
          <w:color w:val="000000"/>
          <w:spacing w:val="-2"/>
          <w:kern w:val="0"/>
          <w:sz w:val="24"/>
        </w:rPr>
      </w:pPr>
    </w:p>
    <w:p>
      <w:pPr>
        <w:spacing w:line="460" w:lineRule="exact"/>
        <w:ind w:right="428" w:rightChars="208" w:firstLine="464" w:firstLineChars="200"/>
        <w:jc w:val="right"/>
        <w:rPr>
          <w:rFonts w:eastAsia="方正仿宋_GBK"/>
          <w:color w:val="000000"/>
          <w:spacing w:val="-2"/>
          <w:kern w:val="0"/>
          <w:sz w:val="24"/>
        </w:rPr>
      </w:pPr>
      <w:r>
        <w:rPr>
          <w:rFonts w:hint="eastAsia" w:eastAsia="方正仿宋_GBK"/>
          <w:color w:val="000000"/>
          <w:spacing w:val="-2"/>
          <w:sz w:val="24"/>
        </w:rPr>
        <w:t>江苏省住房和城乡建设厅</w:t>
      </w:r>
      <w:r>
        <w:rPr>
          <w:rFonts w:eastAsia="方正仿宋_GBK"/>
          <w:color w:val="000000"/>
          <w:spacing w:val="-2"/>
          <w:sz w:val="24"/>
        </w:rPr>
        <w:t xml:space="preserve">    </w:t>
      </w:r>
    </w:p>
    <w:p>
      <w:pPr>
        <w:spacing w:line="460" w:lineRule="exact"/>
        <w:ind w:right="741" w:rightChars="360" w:firstLine="4292" w:firstLineChars="1850"/>
        <w:jc w:val="right"/>
        <w:rPr>
          <w:rFonts w:eastAsia="方正仿宋_GBK"/>
          <w:color w:val="000000"/>
          <w:spacing w:val="-2"/>
          <w:kern w:val="0"/>
          <w:sz w:val="24"/>
        </w:rPr>
      </w:pPr>
      <w:r>
        <w:rPr>
          <w:rFonts w:eastAsia="方正仿宋_GBK"/>
          <w:color w:val="000000"/>
          <w:spacing w:val="-2"/>
          <w:sz w:val="24"/>
        </w:rPr>
        <w:t>2014</w:t>
      </w:r>
      <w:r>
        <w:rPr>
          <w:rFonts w:hint="eastAsia" w:eastAsia="方正仿宋_GBK"/>
          <w:color w:val="000000"/>
          <w:spacing w:val="-2"/>
          <w:sz w:val="24"/>
        </w:rPr>
        <w:t>年</w:t>
      </w:r>
      <w:r>
        <w:rPr>
          <w:rFonts w:eastAsia="方正仿宋_GBK"/>
          <w:color w:val="000000"/>
          <w:spacing w:val="-2"/>
          <w:sz w:val="24"/>
        </w:rPr>
        <w:t>12</w:t>
      </w:r>
      <w:r>
        <w:rPr>
          <w:rFonts w:hint="eastAsia" w:eastAsia="方正仿宋_GBK"/>
          <w:color w:val="000000"/>
          <w:spacing w:val="-2"/>
          <w:sz w:val="24"/>
        </w:rPr>
        <w:t>月</w:t>
      </w:r>
      <w:r>
        <w:rPr>
          <w:rFonts w:eastAsia="方正仿宋_GBK"/>
          <w:color w:val="000000"/>
          <w:spacing w:val="-2"/>
          <w:sz w:val="24"/>
        </w:rPr>
        <w:t>31</w:t>
      </w:r>
      <w:r>
        <w:rPr>
          <w:rFonts w:hint="eastAsia" w:eastAsia="方正仿宋_GBK"/>
          <w:color w:val="000000"/>
          <w:spacing w:val="-2"/>
          <w:sz w:val="24"/>
        </w:rPr>
        <w:t>日</w:t>
      </w:r>
      <w:r>
        <w:rPr>
          <w:rFonts w:eastAsia="方正仿宋_GBK"/>
          <w:color w:val="000000"/>
          <w:spacing w:val="-2"/>
          <w:sz w:val="24"/>
        </w:rPr>
        <w:t xml:space="preserve">      </w:t>
      </w:r>
    </w:p>
    <w:p>
      <w:pPr>
        <w:spacing w:line="460" w:lineRule="exact"/>
        <w:ind w:firstLine="464" w:firstLineChars="200"/>
        <w:jc w:val="right"/>
        <w:rPr>
          <w:rFonts w:eastAsia="方正仿宋_GBK"/>
          <w:color w:val="000000"/>
          <w:spacing w:val="-2"/>
          <w:sz w:val="24"/>
        </w:rPr>
      </w:pPr>
    </w:p>
    <w:p>
      <w:pPr>
        <w:suppressAutoHyphens/>
        <w:spacing w:line="460" w:lineRule="exact"/>
        <w:ind w:firstLine="464" w:firstLineChars="200"/>
        <w:jc w:val="center"/>
        <w:rPr>
          <w:rFonts w:eastAsia="方正仿宋_GBK"/>
          <w:b/>
          <w:bCs/>
          <w:color w:val="000000"/>
          <w:spacing w:val="-2"/>
          <w:kern w:val="0"/>
          <w:sz w:val="24"/>
        </w:rPr>
      </w:pPr>
    </w:p>
    <w:p>
      <w:pPr>
        <w:suppressAutoHyphens/>
        <w:spacing w:line="460" w:lineRule="exact"/>
        <w:jc w:val="center"/>
        <w:rPr>
          <w:rFonts w:ascii="Times New Roman" w:eastAsia="方正黑体_GBK"/>
          <w:bCs/>
          <w:color w:val="000000"/>
          <w:spacing w:val="-2"/>
          <w:kern w:val="0"/>
          <w:sz w:val="36"/>
          <w:szCs w:val="36"/>
        </w:rPr>
      </w:pPr>
      <w:r>
        <w:rPr>
          <w:rFonts w:hint="eastAsia" w:ascii="Times New Roman" w:eastAsia="方正黑体_GBK"/>
          <w:bCs/>
          <w:color w:val="000000"/>
          <w:spacing w:val="-2"/>
          <w:kern w:val="0"/>
          <w:sz w:val="36"/>
          <w:szCs w:val="36"/>
        </w:rPr>
        <w:t>江苏省房屋建筑和市政基础设施工程招标投标中</w:t>
      </w:r>
    </w:p>
    <w:p>
      <w:pPr>
        <w:suppressAutoHyphens/>
        <w:spacing w:line="460" w:lineRule="exact"/>
        <w:jc w:val="center"/>
        <w:rPr>
          <w:rFonts w:hint="eastAsia" w:ascii="Times New Roman" w:eastAsia="方正黑体_GBK"/>
          <w:color w:val="000000"/>
          <w:spacing w:val="-2"/>
          <w:sz w:val="36"/>
          <w:szCs w:val="36"/>
        </w:rPr>
      </w:pPr>
      <w:r>
        <w:rPr>
          <w:rFonts w:hint="eastAsia" w:ascii="Times New Roman" w:eastAsia="方正黑体_GBK"/>
          <w:bCs/>
          <w:color w:val="000000"/>
          <w:spacing w:val="-2"/>
          <w:kern w:val="0"/>
          <w:sz w:val="36"/>
          <w:szCs w:val="36"/>
        </w:rPr>
        <w:t>串通投标和弄虚作假行为认定处理办法（试行）</w:t>
      </w:r>
    </w:p>
    <w:p>
      <w:pPr>
        <w:suppressAutoHyphens/>
        <w:spacing w:line="460" w:lineRule="exact"/>
        <w:ind w:firstLine="464" w:firstLineChars="200"/>
        <w:jc w:val="left"/>
        <w:rPr>
          <w:rFonts w:hint="eastAsia" w:eastAsia="方正仿宋_GBK"/>
          <w:color w:val="000000"/>
          <w:spacing w:val="-2"/>
          <w:sz w:val="24"/>
        </w:rPr>
      </w:pPr>
    </w:p>
    <w:p>
      <w:pPr>
        <w:suppressAutoHyphens/>
        <w:spacing w:line="460" w:lineRule="exact"/>
        <w:ind w:firstLine="464" w:firstLineChars="200"/>
        <w:jc w:val="left"/>
        <w:rPr>
          <w:rFonts w:eastAsia="方正仿宋_GBK"/>
          <w:color w:val="000000"/>
          <w:spacing w:val="-2"/>
          <w:sz w:val="24"/>
        </w:rPr>
      </w:pPr>
      <w:r>
        <w:rPr>
          <w:rFonts w:hint="eastAsia" w:ascii="Times New Roman" w:eastAsia="方正黑体_GBK"/>
          <w:bCs/>
          <w:color w:val="000000"/>
          <w:spacing w:val="-2"/>
          <w:kern w:val="0"/>
          <w:sz w:val="24"/>
        </w:rPr>
        <w:t xml:space="preserve">第一条 </w:t>
      </w:r>
      <w:r>
        <w:rPr>
          <w:rFonts w:eastAsia="方正仿宋_GBK"/>
          <w:b/>
          <w:bCs/>
          <w:color w:val="000000"/>
          <w:spacing w:val="-2"/>
          <w:kern w:val="0"/>
          <w:sz w:val="24"/>
        </w:rPr>
        <w:t xml:space="preserve"> </w:t>
      </w:r>
      <w:r>
        <w:rPr>
          <w:rFonts w:hint="eastAsia" w:eastAsia="方正仿宋_GBK"/>
          <w:color w:val="000000"/>
          <w:spacing w:val="-2"/>
          <w:kern w:val="0"/>
          <w:sz w:val="24"/>
        </w:rPr>
        <w:t>为了进一步规范我省房屋建筑和市政基础设施工程招标投标活动，有效遏制招标投标活动中的串通投标和弄虚作假行为，依据《中华人民共和国招标投标法》、《中华人民共和国招标投标法实施条例》等有关法律法规规定，结合本省实际，制定本办法。</w:t>
      </w:r>
    </w:p>
    <w:p>
      <w:pPr>
        <w:suppressAutoHyphens/>
        <w:spacing w:line="460" w:lineRule="exact"/>
        <w:ind w:firstLine="464" w:firstLineChars="200"/>
        <w:jc w:val="left"/>
        <w:rPr>
          <w:rFonts w:eastAsia="方正仿宋_GBK"/>
          <w:color w:val="000000"/>
          <w:spacing w:val="-2"/>
          <w:sz w:val="24"/>
        </w:rPr>
      </w:pPr>
      <w:r>
        <w:rPr>
          <w:rFonts w:hint="eastAsia" w:ascii="Times New Roman" w:eastAsia="方正黑体_GBK"/>
          <w:bCs/>
          <w:color w:val="000000"/>
          <w:spacing w:val="-2"/>
          <w:kern w:val="0"/>
          <w:sz w:val="24"/>
        </w:rPr>
        <w:t>第二条</w:t>
      </w:r>
      <w:r>
        <w:rPr>
          <w:rFonts w:eastAsia="方正仿宋_GBK"/>
          <w:b/>
          <w:bCs/>
          <w:color w:val="000000"/>
          <w:spacing w:val="-2"/>
          <w:kern w:val="0"/>
          <w:sz w:val="24"/>
        </w:rPr>
        <w:t xml:space="preserve">  </w:t>
      </w:r>
      <w:r>
        <w:rPr>
          <w:rFonts w:hint="eastAsia" w:eastAsia="方正仿宋_GBK"/>
          <w:color w:val="000000"/>
          <w:spacing w:val="-2"/>
          <w:kern w:val="0"/>
          <w:sz w:val="24"/>
        </w:rPr>
        <w:t>本省行政区域内对房屋建筑和市政基础设施工程的招标投标中的串通投标和弄虚作假行为的认定和处理，适用于本办法。</w:t>
      </w:r>
    </w:p>
    <w:p>
      <w:pPr>
        <w:suppressAutoHyphens/>
        <w:spacing w:line="460" w:lineRule="exact"/>
        <w:ind w:firstLine="464" w:firstLineChars="200"/>
        <w:jc w:val="left"/>
        <w:rPr>
          <w:rFonts w:eastAsia="方正仿宋_GBK"/>
          <w:color w:val="000000"/>
          <w:spacing w:val="-2"/>
          <w:sz w:val="24"/>
        </w:rPr>
      </w:pPr>
      <w:r>
        <w:rPr>
          <w:rFonts w:hint="eastAsia" w:ascii="Times New Roman" w:eastAsia="方正黑体_GBK"/>
          <w:bCs/>
          <w:color w:val="000000"/>
          <w:spacing w:val="-2"/>
          <w:kern w:val="0"/>
          <w:sz w:val="24"/>
        </w:rPr>
        <w:t xml:space="preserve">第三条 </w:t>
      </w:r>
      <w:r>
        <w:rPr>
          <w:rFonts w:eastAsia="方正仿宋_GBK"/>
          <w:b/>
          <w:bCs/>
          <w:color w:val="000000"/>
          <w:spacing w:val="-2"/>
          <w:kern w:val="0"/>
          <w:sz w:val="24"/>
        </w:rPr>
        <w:t xml:space="preserve"> </w:t>
      </w:r>
      <w:r>
        <w:rPr>
          <w:rFonts w:hint="eastAsia" w:eastAsia="方正仿宋_GBK"/>
          <w:color w:val="000000"/>
          <w:spacing w:val="-2"/>
          <w:kern w:val="0"/>
          <w:sz w:val="24"/>
        </w:rPr>
        <w:t>本办法所称串通投标，是指参与招标投标活动的各方主体及其有关人员采用不正当手段，对招标投标事项进行串通，损害国家利益、社会公共利益或者其他当事人合法权益的行为。</w:t>
      </w:r>
    </w:p>
    <w:p>
      <w:pPr>
        <w:suppressAutoHyphens/>
        <w:spacing w:line="460" w:lineRule="exact"/>
        <w:ind w:firstLine="464" w:firstLineChars="200"/>
        <w:jc w:val="left"/>
        <w:rPr>
          <w:rFonts w:eastAsia="方正仿宋_GBK"/>
          <w:color w:val="000000"/>
          <w:spacing w:val="-2"/>
          <w:sz w:val="24"/>
        </w:rPr>
      </w:pPr>
      <w:r>
        <w:rPr>
          <w:rFonts w:hint="eastAsia" w:eastAsia="方正仿宋_GBK"/>
          <w:color w:val="000000"/>
          <w:spacing w:val="-2"/>
          <w:kern w:val="0"/>
          <w:sz w:val="24"/>
        </w:rPr>
        <w:t>本办法所称弄虚作假，是指投标人或者潜在投标人（以下统称投标人）编制虚假材料以他人名义投标或者以其他方式弄虚作假</w:t>
      </w:r>
      <w:r>
        <w:rPr>
          <w:rFonts w:eastAsia="方正仿宋_GBK"/>
          <w:color w:val="000000"/>
          <w:spacing w:val="-2"/>
          <w:kern w:val="0"/>
          <w:sz w:val="24"/>
        </w:rPr>
        <w:t>,</w:t>
      </w:r>
      <w:r>
        <w:rPr>
          <w:rFonts w:hint="eastAsia" w:eastAsia="方正仿宋_GBK"/>
          <w:color w:val="000000"/>
          <w:spacing w:val="-2"/>
          <w:kern w:val="0"/>
          <w:sz w:val="24"/>
        </w:rPr>
        <w:t>骗取中标的行为。</w:t>
      </w:r>
    </w:p>
    <w:p>
      <w:pPr>
        <w:suppressAutoHyphens/>
        <w:spacing w:line="460" w:lineRule="exact"/>
        <w:ind w:firstLine="464" w:firstLineChars="200"/>
        <w:jc w:val="left"/>
        <w:rPr>
          <w:rFonts w:eastAsia="方正仿宋_GBK"/>
          <w:color w:val="000000"/>
          <w:spacing w:val="-2"/>
          <w:sz w:val="24"/>
        </w:rPr>
      </w:pPr>
      <w:r>
        <w:rPr>
          <w:rFonts w:hint="eastAsia" w:ascii="Times New Roman" w:eastAsia="方正黑体_GBK"/>
          <w:bCs/>
          <w:color w:val="000000"/>
          <w:spacing w:val="-2"/>
          <w:kern w:val="0"/>
          <w:sz w:val="24"/>
        </w:rPr>
        <w:t>第四条</w:t>
      </w:r>
      <w:r>
        <w:rPr>
          <w:rFonts w:eastAsia="方正仿宋_GBK"/>
          <w:b/>
          <w:bCs/>
          <w:color w:val="000000"/>
          <w:spacing w:val="-2"/>
          <w:kern w:val="0"/>
          <w:sz w:val="24"/>
        </w:rPr>
        <w:t xml:space="preserve">  </w:t>
      </w:r>
      <w:r>
        <w:rPr>
          <w:rFonts w:hint="eastAsia" w:eastAsia="方正仿宋_GBK"/>
          <w:color w:val="000000"/>
          <w:spacing w:val="-2"/>
          <w:kern w:val="0"/>
          <w:sz w:val="24"/>
        </w:rPr>
        <w:t>招标人或者其委托的招标代理机构在招标过程中有下列情形之一的，属于与投标人串通投标：</w:t>
      </w:r>
    </w:p>
    <w:p>
      <w:pPr>
        <w:suppressAutoHyphens/>
        <w:spacing w:line="460" w:lineRule="exact"/>
        <w:ind w:firstLine="464" w:firstLineChars="200"/>
        <w:jc w:val="left"/>
        <w:rPr>
          <w:rFonts w:eastAsia="方正仿宋_GBK"/>
          <w:color w:val="000000"/>
          <w:spacing w:val="-2"/>
          <w:sz w:val="24"/>
        </w:rPr>
      </w:pPr>
      <w:r>
        <w:rPr>
          <w:rFonts w:hint="eastAsia" w:eastAsia="方正仿宋_GBK"/>
          <w:color w:val="000000"/>
          <w:spacing w:val="-2"/>
          <w:kern w:val="0"/>
          <w:sz w:val="24"/>
        </w:rPr>
        <w:t>（一）招标人或者招标代理机构在开标前开启投标文件并将有关信息直接或者间接泄露给其他投标人；</w:t>
      </w:r>
    </w:p>
    <w:p>
      <w:pPr>
        <w:suppressAutoHyphens/>
        <w:spacing w:line="460" w:lineRule="exact"/>
        <w:ind w:firstLine="464" w:firstLineChars="200"/>
        <w:jc w:val="left"/>
        <w:rPr>
          <w:rFonts w:eastAsia="方正仿宋_GBK"/>
          <w:color w:val="000000"/>
          <w:spacing w:val="-2"/>
          <w:sz w:val="24"/>
        </w:rPr>
      </w:pPr>
      <w:r>
        <w:rPr>
          <w:rFonts w:eastAsia="方正仿宋_GBK"/>
          <w:color w:val="000000"/>
          <w:spacing w:val="-2"/>
          <w:kern w:val="0"/>
          <w:sz w:val="24"/>
        </w:rPr>
        <w:t>(</w:t>
      </w:r>
      <w:r>
        <w:rPr>
          <w:rFonts w:hint="eastAsia" w:eastAsia="方正仿宋_GBK"/>
          <w:color w:val="000000"/>
          <w:spacing w:val="-2"/>
          <w:kern w:val="0"/>
          <w:sz w:val="24"/>
        </w:rPr>
        <w:t>二</w:t>
      </w:r>
      <w:r>
        <w:rPr>
          <w:rFonts w:eastAsia="方正仿宋_GBK"/>
          <w:color w:val="000000"/>
          <w:spacing w:val="-2"/>
          <w:kern w:val="0"/>
          <w:sz w:val="24"/>
        </w:rPr>
        <w:t>)</w:t>
      </w:r>
      <w:r>
        <w:rPr>
          <w:rFonts w:hint="eastAsia" w:eastAsia="方正仿宋_GBK"/>
          <w:color w:val="000000"/>
          <w:spacing w:val="-2"/>
          <w:kern w:val="0"/>
          <w:sz w:val="24"/>
        </w:rPr>
        <w:t>招标人或者招标代理机构直接或者间接向投标人泄露标底、评标委员会成员等信息；</w:t>
      </w:r>
    </w:p>
    <w:p>
      <w:pPr>
        <w:suppressAutoHyphens/>
        <w:spacing w:line="460" w:lineRule="exact"/>
        <w:ind w:firstLine="464" w:firstLineChars="200"/>
        <w:jc w:val="left"/>
        <w:rPr>
          <w:rFonts w:eastAsia="方正仿宋_GBK"/>
          <w:color w:val="000000"/>
          <w:spacing w:val="-2"/>
          <w:sz w:val="24"/>
        </w:rPr>
      </w:pPr>
      <w:r>
        <w:rPr>
          <w:rFonts w:eastAsia="方正仿宋_GBK"/>
          <w:color w:val="000000"/>
          <w:spacing w:val="-2"/>
          <w:kern w:val="0"/>
          <w:sz w:val="24"/>
        </w:rPr>
        <w:t>(</w:t>
      </w:r>
      <w:r>
        <w:rPr>
          <w:rFonts w:hint="eastAsia" w:eastAsia="方正仿宋_GBK"/>
          <w:color w:val="000000"/>
          <w:spacing w:val="-2"/>
          <w:kern w:val="0"/>
          <w:sz w:val="24"/>
        </w:rPr>
        <w:t>三</w:t>
      </w:r>
      <w:r>
        <w:rPr>
          <w:rFonts w:eastAsia="方正仿宋_GBK"/>
          <w:color w:val="000000"/>
          <w:spacing w:val="-2"/>
          <w:kern w:val="0"/>
          <w:sz w:val="24"/>
        </w:rPr>
        <w:t>)</w:t>
      </w:r>
      <w:r>
        <w:rPr>
          <w:rFonts w:hint="eastAsia" w:eastAsia="方正仿宋_GBK"/>
          <w:color w:val="000000"/>
          <w:spacing w:val="-2"/>
          <w:kern w:val="0"/>
          <w:sz w:val="24"/>
        </w:rPr>
        <w:t>招标人或者招标代理机构明示或者暗示投标人压低或者抬高投标报价；</w:t>
      </w:r>
    </w:p>
    <w:p>
      <w:pPr>
        <w:suppressAutoHyphens/>
        <w:spacing w:line="460" w:lineRule="exact"/>
        <w:ind w:firstLine="464" w:firstLineChars="200"/>
        <w:jc w:val="left"/>
        <w:rPr>
          <w:rFonts w:eastAsia="方正仿宋_GBK"/>
          <w:color w:val="000000"/>
          <w:spacing w:val="-2"/>
          <w:sz w:val="24"/>
        </w:rPr>
      </w:pPr>
      <w:r>
        <w:rPr>
          <w:rFonts w:eastAsia="方正仿宋_GBK"/>
          <w:color w:val="000000"/>
          <w:spacing w:val="-2"/>
          <w:kern w:val="0"/>
          <w:sz w:val="24"/>
        </w:rPr>
        <w:t>(</w:t>
      </w:r>
      <w:r>
        <w:rPr>
          <w:rFonts w:hint="eastAsia" w:eastAsia="方正仿宋_GBK"/>
          <w:color w:val="000000"/>
          <w:spacing w:val="-2"/>
          <w:kern w:val="0"/>
          <w:sz w:val="24"/>
        </w:rPr>
        <w:t>四</w:t>
      </w:r>
      <w:r>
        <w:rPr>
          <w:rFonts w:eastAsia="方正仿宋_GBK"/>
          <w:color w:val="000000"/>
          <w:spacing w:val="-2"/>
          <w:kern w:val="0"/>
          <w:sz w:val="24"/>
        </w:rPr>
        <w:t>)</w:t>
      </w:r>
      <w:r>
        <w:rPr>
          <w:rFonts w:hint="eastAsia" w:eastAsia="方正仿宋_GBK"/>
          <w:color w:val="000000"/>
          <w:spacing w:val="-2"/>
          <w:kern w:val="0"/>
          <w:sz w:val="24"/>
        </w:rPr>
        <w:t>招标人或者招标代理机构授意投标人撤换、修改投标文件；</w:t>
      </w:r>
    </w:p>
    <w:p>
      <w:pPr>
        <w:suppressAutoHyphens/>
        <w:spacing w:line="460" w:lineRule="exact"/>
        <w:ind w:firstLine="464" w:firstLineChars="200"/>
        <w:jc w:val="left"/>
        <w:rPr>
          <w:rFonts w:eastAsia="方正仿宋_GBK"/>
          <w:color w:val="000000"/>
          <w:spacing w:val="-2"/>
          <w:sz w:val="24"/>
        </w:rPr>
      </w:pPr>
      <w:r>
        <w:rPr>
          <w:rFonts w:eastAsia="方正仿宋_GBK"/>
          <w:color w:val="000000"/>
          <w:spacing w:val="-2"/>
          <w:kern w:val="0"/>
          <w:sz w:val="24"/>
        </w:rPr>
        <w:t>(</w:t>
      </w:r>
      <w:r>
        <w:rPr>
          <w:rFonts w:hint="eastAsia" w:eastAsia="方正仿宋_GBK"/>
          <w:color w:val="000000"/>
          <w:spacing w:val="-2"/>
          <w:kern w:val="0"/>
          <w:sz w:val="24"/>
        </w:rPr>
        <w:t>五</w:t>
      </w:r>
      <w:r>
        <w:rPr>
          <w:rFonts w:eastAsia="方正仿宋_GBK"/>
          <w:color w:val="000000"/>
          <w:spacing w:val="-2"/>
          <w:kern w:val="0"/>
          <w:sz w:val="24"/>
        </w:rPr>
        <w:t>)</w:t>
      </w:r>
      <w:r>
        <w:rPr>
          <w:rFonts w:hint="eastAsia" w:eastAsia="方正仿宋_GBK"/>
          <w:color w:val="000000"/>
          <w:spacing w:val="-2"/>
          <w:kern w:val="0"/>
          <w:sz w:val="24"/>
        </w:rPr>
        <w:t>招标人或者招标代理机构明示或者暗示投标人为特定投标人中标提供方便；</w:t>
      </w:r>
    </w:p>
    <w:p>
      <w:pPr>
        <w:suppressAutoHyphens/>
        <w:spacing w:line="460" w:lineRule="exact"/>
        <w:ind w:firstLine="464" w:firstLineChars="200"/>
        <w:jc w:val="left"/>
        <w:rPr>
          <w:rFonts w:eastAsia="方正仿宋_GBK"/>
          <w:color w:val="000000"/>
          <w:spacing w:val="-2"/>
          <w:sz w:val="24"/>
        </w:rPr>
      </w:pPr>
      <w:r>
        <w:rPr>
          <w:rFonts w:hint="eastAsia" w:eastAsia="方正仿宋_GBK"/>
          <w:color w:val="000000"/>
          <w:spacing w:val="-2"/>
          <w:kern w:val="0"/>
          <w:sz w:val="24"/>
        </w:rPr>
        <w:t>（六）招标人或者招标代理机构与投标人为谋求特定投标人中标而采取的其他串通行为：</w:t>
      </w:r>
    </w:p>
    <w:p>
      <w:pPr>
        <w:suppressAutoHyphens/>
        <w:spacing w:line="460" w:lineRule="exact"/>
        <w:ind w:firstLine="464" w:firstLineChars="200"/>
        <w:jc w:val="left"/>
        <w:rPr>
          <w:rFonts w:eastAsia="方正仿宋_GBK"/>
          <w:color w:val="000000"/>
          <w:spacing w:val="-2"/>
          <w:sz w:val="24"/>
        </w:rPr>
      </w:pPr>
      <w:r>
        <w:rPr>
          <w:rFonts w:eastAsia="方正仿宋_GBK"/>
          <w:color w:val="000000"/>
          <w:spacing w:val="-2"/>
          <w:kern w:val="0"/>
          <w:sz w:val="24"/>
        </w:rPr>
        <w:t>1</w:t>
      </w:r>
      <w:r>
        <w:rPr>
          <w:rFonts w:hint="eastAsia" w:eastAsia="方正仿宋_GBK"/>
          <w:color w:val="000000"/>
          <w:spacing w:val="-2"/>
          <w:kern w:val="0"/>
          <w:sz w:val="24"/>
        </w:rPr>
        <w:t>、直接或者间接向投标人泄露获取资格预审文件或者通过资格预审的投标申请人，或者已经获取招标文件的潜在投标人的名称、数量的；</w:t>
      </w:r>
    </w:p>
    <w:p>
      <w:pPr>
        <w:suppressAutoHyphens/>
        <w:spacing w:line="460" w:lineRule="exact"/>
        <w:ind w:firstLine="464" w:firstLineChars="200"/>
        <w:jc w:val="left"/>
        <w:rPr>
          <w:rFonts w:eastAsia="方正仿宋_GBK"/>
          <w:color w:val="000000"/>
          <w:spacing w:val="-2"/>
          <w:sz w:val="24"/>
        </w:rPr>
      </w:pPr>
      <w:r>
        <w:rPr>
          <w:rFonts w:eastAsia="方正仿宋_GBK"/>
          <w:color w:val="000000"/>
          <w:spacing w:val="-2"/>
          <w:kern w:val="0"/>
          <w:sz w:val="24"/>
        </w:rPr>
        <w:t>2</w:t>
      </w:r>
      <w:r>
        <w:rPr>
          <w:rFonts w:hint="eastAsia" w:eastAsia="方正仿宋_GBK"/>
          <w:color w:val="000000"/>
          <w:spacing w:val="-2"/>
          <w:kern w:val="0"/>
          <w:sz w:val="24"/>
        </w:rPr>
        <w:t>、直接或者间接向投标利害关系人泄露资格审查或者评标情况的；</w:t>
      </w:r>
    </w:p>
    <w:p>
      <w:pPr>
        <w:suppressAutoHyphens/>
        <w:spacing w:line="460" w:lineRule="exact"/>
        <w:ind w:firstLine="464" w:firstLineChars="200"/>
        <w:jc w:val="left"/>
        <w:rPr>
          <w:rFonts w:eastAsia="方正仿宋_GBK"/>
          <w:color w:val="000000"/>
          <w:spacing w:val="-2"/>
          <w:sz w:val="24"/>
        </w:rPr>
      </w:pPr>
      <w:r>
        <w:rPr>
          <w:rFonts w:eastAsia="方正仿宋_GBK"/>
          <w:color w:val="000000"/>
          <w:spacing w:val="-2"/>
          <w:kern w:val="0"/>
          <w:sz w:val="24"/>
        </w:rPr>
        <w:t>3</w:t>
      </w:r>
      <w:r>
        <w:rPr>
          <w:rFonts w:hint="eastAsia" w:eastAsia="方正仿宋_GBK"/>
          <w:color w:val="000000"/>
          <w:spacing w:val="-2"/>
          <w:kern w:val="0"/>
          <w:sz w:val="24"/>
        </w:rPr>
        <w:t>、与投标人商定压低或者抬高标价，中标后给予投标人或者招标人额外补偿的；</w:t>
      </w:r>
    </w:p>
    <w:p>
      <w:pPr>
        <w:suppressAutoHyphens/>
        <w:spacing w:line="460" w:lineRule="exact"/>
        <w:ind w:firstLine="464" w:firstLineChars="200"/>
        <w:jc w:val="left"/>
        <w:rPr>
          <w:rFonts w:eastAsia="方正仿宋_GBK"/>
          <w:color w:val="000000"/>
          <w:spacing w:val="-2"/>
          <w:sz w:val="24"/>
        </w:rPr>
      </w:pPr>
      <w:r>
        <w:rPr>
          <w:rFonts w:eastAsia="方正仿宋_GBK"/>
          <w:color w:val="000000"/>
          <w:spacing w:val="-2"/>
          <w:kern w:val="0"/>
          <w:sz w:val="24"/>
        </w:rPr>
        <w:t>4</w:t>
      </w:r>
      <w:r>
        <w:rPr>
          <w:rFonts w:hint="eastAsia" w:eastAsia="方正仿宋_GBK"/>
          <w:color w:val="000000"/>
          <w:spacing w:val="-2"/>
          <w:kern w:val="0"/>
          <w:sz w:val="24"/>
        </w:rPr>
        <w:t>、故意损毁、篡改特定投标文件内容，或者在资格预审活动中损毁、篡改特定资格预审申请人提交的资格预审申请文件；</w:t>
      </w:r>
    </w:p>
    <w:p>
      <w:pPr>
        <w:shd w:val="clear" w:color="auto" w:fill="FFFFFF"/>
        <w:spacing w:line="460" w:lineRule="exact"/>
        <w:ind w:right="103" w:rightChars="50" w:firstLine="464" w:firstLineChars="200"/>
        <w:jc w:val="left"/>
        <w:rPr>
          <w:rFonts w:eastAsia="方正仿宋_GBK"/>
          <w:color w:val="000000"/>
          <w:spacing w:val="-2"/>
          <w:sz w:val="24"/>
        </w:rPr>
      </w:pPr>
      <w:r>
        <w:rPr>
          <w:rFonts w:eastAsia="方正仿宋_GBK"/>
          <w:color w:val="000000"/>
          <w:spacing w:val="-2"/>
          <w:kern w:val="0"/>
          <w:sz w:val="24"/>
        </w:rPr>
        <w:t>5</w:t>
      </w:r>
      <w:r>
        <w:rPr>
          <w:rFonts w:hint="eastAsia" w:eastAsia="方正仿宋_GBK"/>
          <w:color w:val="000000"/>
          <w:spacing w:val="-2"/>
          <w:kern w:val="0"/>
          <w:sz w:val="24"/>
        </w:rPr>
        <w:t>、法律、法规、规章规定的其他行为。</w:t>
      </w:r>
    </w:p>
    <w:p>
      <w:pPr>
        <w:suppressAutoHyphens/>
        <w:spacing w:line="460" w:lineRule="exact"/>
        <w:ind w:firstLine="464" w:firstLineChars="200"/>
        <w:jc w:val="left"/>
        <w:rPr>
          <w:rFonts w:eastAsia="方正仿宋_GBK"/>
          <w:color w:val="000000"/>
          <w:spacing w:val="-2"/>
          <w:sz w:val="24"/>
        </w:rPr>
      </w:pPr>
      <w:r>
        <w:rPr>
          <w:rFonts w:hint="eastAsia" w:ascii="Times New Roman" w:eastAsia="方正黑体_GBK"/>
          <w:bCs/>
          <w:color w:val="000000"/>
          <w:spacing w:val="-2"/>
          <w:kern w:val="0"/>
          <w:sz w:val="24"/>
        </w:rPr>
        <w:t>第五条</w:t>
      </w:r>
      <w:r>
        <w:rPr>
          <w:rFonts w:eastAsia="方正仿宋_GBK"/>
          <w:b/>
          <w:bCs/>
          <w:color w:val="000000"/>
          <w:spacing w:val="-2"/>
          <w:kern w:val="0"/>
          <w:sz w:val="24"/>
        </w:rPr>
        <w:t xml:space="preserve">  </w:t>
      </w:r>
      <w:r>
        <w:rPr>
          <w:rFonts w:hint="eastAsia" w:eastAsia="方正仿宋_GBK"/>
          <w:color w:val="000000"/>
          <w:spacing w:val="-2"/>
          <w:kern w:val="0"/>
          <w:sz w:val="24"/>
        </w:rPr>
        <w:t>投标人在投标过程中有下列情形之一的，属于投标人相互串通投标：</w:t>
      </w:r>
    </w:p>
    <w:p>
      <w:pPr>
        <w:spacing w:line="460" w:lineRule="exact"/>
        <w:ind w:left="103" w:leftChars="50" w:firstLine="464" w:firstLineChars="200"/>
        <w:jc w:val="left"/>
        <w:rPr>
          <w:rFonts w:eastAsia="方正仿宋_GBK"/>
          <w:color w:val="000000"/>
          <w:spacing w:val="-2"/>
          <w:sz w:val="24"/>
        </w:rPr>
      </w:pPr>
      <w:r>
        <w:rPr>
          <w:rFonts w:eastAsia="方正仿宋_GBK"/>
          <w:color w:val="000000"/>
          <w:spacing w:val="-2"/>
          <w:kern w:val="0"/>
          <w:sz w:val="24"/>
        </w:rPr>
        <w:t>(</w:t>
      </w:r>
      <w:r>
        <w:rPr>
          <w:rFonts w:hint="eastAsia" w:eastAsia="方正仿宋_GBK"/>
          <w:color w:val="000000"/>
          <w:spacing w:val="-2"/>
          <w:kern w:val="0"/>
          <w:sz w:val="24"/>
        </w:rPr>
        <w:t>一</w:t>
      </w:r>
      <w:r>
        <w:rPr>
          <w:rFonts w:eastAsia="方正仿宋_GBK"/>
          <w:color w:val="000000"/>
          <w:spacing w:val="-2"/>
          <w:kern w:val="0"/>
          <w:sz w:val="24"/>
        </w:rPr>
        <w:t>)</w:t>
      </w:r>
      <w:r>
        <w:rPr>
          <w:rFonts w:hint="eastAsia" w:eastAsia="方正仿宋_GBK"/>
          <w:color w:val="000000"/>
          <w:spacing w:val="-2"/>
          <w:kern w:val="0"/>
          <w:sz w:val="24"/>
        </w:rPr>
        <w:t>投标人之间协商投标报价等投标文件的实质性内容；</w:t>
      </w:r>
    </w:p>
    <w:p>
      <w:pPr>
        <w:shd w:val="clear" w:color="auto" w:fill="FFFFFF"/>
        <w:spacing w:line="460" w:lineRule="exact"/>
        <w:ind w:left="103" w:leftChars="50" w:right="103" w:rightChars="50" w:firstLine="464" w:firstLineChars="200"/>
        <w:jc w:val="left"/>
        <w:rPr>
          <w:rFonts w:eastAsia="方正仿宋_GBK"/>
          <w:color w:val="000000"/>
          <w:spacing w:val="-2"/>
          <w:sz w:val="24"/>
        </w:rPr>
      </w:pPr>
      <w:r>
        <w:rPr>
          <w:rFonts w:eastAsia="方正仿宋_GBK"/>
          <w:color w:val="000000"/>
          <w:spacing w:val="-2"/>
          <w:kern w:val="0"/>
          <w:sz w:val="24"/>
        </w:rPr>
        <w:t>(</w:t>
      </w:r>
      <w:r>
        <w:rPr>
          <w:rFonts w:hint="eastAsia" w:eastAsia="方正仿宋_GBK"/>
          <w:color w:val="000000"/>
          <w:spacing w:val="-2"/>
          <w:kern w:val="0"/>
          <w:sz w:val="24"/>
        </w:rPr>
        <w:t>二</w:t>
      </w:r>
      <w:r>
        <w:rPr>
          <w:rFonts w:eastAsia="方正仿宋_GBK"/>
          <w:color w:val="000000"/>
          <w:spacing w:val="-2"/>
          <w:kern w:val="0"/>
          <w:sz w:val="24"/>
        </w:rPr>
        <w:t>)</w:t>
      </w:r>
      <w:r>
        <w:rPr>
          <w:rFonts w:hint="eastAsia" w:eastAsia="方正仿宋_GBK"/>
          <w:color w:val="000000"/>
          <w:spacing w:val="-2"/>
          <w:kern w:val="0"/>
          <w:sz w:val="24"/>
        </w:rPr>
        <w:t>投标人之间约定中标人；</w:t>
      </w:r>
    </w:p>
    <w:p>
      <w:pPr>
        <w:shd w:val="clear" w:color="auto" w:fill="FFFFFF"/>
        <w:spacing w:line="460" w:lineRule="exact"/>
        <w:ind w:left="103" w:leftChars="50" w:right="103" w:rightChars="50" w:firstLine="464" w:firstLineChars="200"/>
        <w:jc w:val="left"/>
        <w:rPr>
          <w:rFonts w:eastAsia="方正仿宋_GBK"/>
          <w:color w:val="000000"/>
          <w:spacing w:val="-2"/>
          <w:sz w:val="24"/>
        </w:rPr>
      </w:pPr>
      <w:r>
        <w:rPr>
          <w:rFonts w:eastAsia="方正仿宋_GBK"/>
          <w:color w:val="000000"/>
          <w:spacing w:val="-2"/>
          <w:kern w:val="0"/>
          <w:sz w:val="24"/>
        </w:rPr>
        <w:t>(</w:t>
      </w:r>
      <w:r>
        <w:rPr>
          <w:rFonts w:hint="eastAsia" w:eastAsia="方正仿宋_GBK"/>
          <w:color w:val="000000"/>
          <w:spacing w:val="-2"/>
          <w:kern w:val="0"/>
          <w:sz w:val="24"/>
        </w:rPr>
        <w:t>三</w:t>
      </w:r>
      <w:r>
        <w:rPr>
          <w:rFonts w:eastAsia="方正仿宋_GBK"/>
          <w:color w:val="000000"/>
          <w:spacing w:val="-2"/>
          <w:kern w:val="0"/>
          <w:sz w:val="24"/>
        </w:rPr>
        <w:t>)</w:t>
      </w:r>
      <w:r>
        <w:rPr>
          <w:rFonts w:hint="eastAsia" w:eastAsia="方正仿宋_GBK"/>
          <w:color w:val="000000"/>
          <w:spacing w:val="-2"/>
          <w:kern w:val="0"/>
          <w:sz w:val="24"/>
        </w:rPr>
        <w:t>投标人之间约定部分投标人放弃投标或者中标；</w:t>
      </w:r>
    </w:p>
    <w:p>
      <w:pPr>
        <w:shd w:val="clear" w:color="auto" w:fill="FFFFFF"/>
        <w:spacing w:line="460" w:lineRule="exact"/>
        <w:ind w:left="103" w:leftChars="50" w:right="103" w:rightChars="50" w:firstLine="464" w:firstLineChars="200"/>
        <w:jc w:val="left"/>
        <w:rPr>
          <w:rFonts w:eastAsia="方正仿宋_GBK"/>
          <w:color w:val="000000"/>
          <w:spacing w:val="-2"/>
          <w:sz w:val="24"/>
        </w:rPr>
      </w:pPr>
      <w:r>
        <w:rPr>
          <w:rFonts w:eastAsia="方正仿宋_GBK"/>
          <w:color w:val="000000"/>
          <w:spacing w:val="-2"/>
          <w:kern w:val="0"/>
          <w:sz w:val="24"/>
        </w:rPr>
        <w:t>(</w:t>
      </w:r>
      <w:r>
        <w:rPr>
          <w:rFonts w:hint="eastAsia" w:eastAsia="方正仿宋_GBK"/>
          <w:color w:val="000000"/>
          <w:spacing w:val="-2"/>
          <w:kern w:val="0"/>
          <w:sz w:val="24"/>
        </w:rPr>
        <w:t>四</w:t>
      </w:r>
      <w:r>
        <w:rPr>
          <w:rFonts w:eastAsia="方正仿宋_GBK"/>
          <w:color w:val="000000"/>
          <w:spacing w:val="-2"/>
          <w:kern w:val="0"/>
          <w:sz w:val="24"/>
        </w:rPr>
        <w:t>)</w:t>
      </w:r>
      <w:r>
        <w:rPr>
          <w:rFonts w:hint="eastAsia" w:eastAsia="方正仿宋_GBK"/>
          <w:color w:val="000000"/>
          <w:spacing w:val="-2"/>
          <w:kern w:val="0"/>
          <w:sz w:val="24"/>
        </w:rPr>
        <w:t>属于同一集团、协会、商会等组织成员的投标人按照该组织要求协同投标；</w:t>
      </w:r>
    </w:p>
    <w:p>
      <w:pPr>
        <w:shd w:val="clear" w:color="auto" w:fill="FFFFFF"/>
        <w:spacing w:line="460" w:lineRule="exact"/>
        <w:ind w:right="103" w:rightChars="50" w:firstLine="464" w:firstLineChars="200"/>
        <w:jc w:val="left"/>
        <w:rPr>
          <w:rFonts w:eastAsia="方正仿宋_GBK"/>
          <w:color w:val="000000"/>
          <w:spacing w:val="-2"/>
          <w:sz w:val="24"/>
        </w:rPr>
      </w:pPr>
      <w:r>
        <w:rPr>
          <w:rFonts w:eastAsia="方正仿宋_GBK"/>
          <w:color w:val="000000"/>
          <w:spacing w:val="-2"/>
          <w:kern w:val="0"/>
          <w:sz w:val="24"/>
        </w:rPr>
        <w:t>(</w:t>
      </w:r>
      <w:r>
        <w:rPr>
          <w:rFonts w:hint="eastAsia" w:eastAsia="方正仿宋_GBK"/>
          <w:color w:val="000000"/>
          <w:spacing w:val="-2"/>
          <w:kern w:val="0"/>
          <w:sz w:val="24"/>
        </w:rPr>
        <w:t>五</w:t>
      </w:r>
      <w:r>
        <w:rPr>
          <w:rFonts w:eastAsia="方正仿宋_GBK"/>
          <w:color w:val="000000"/>
          <w:spacing w:val="-2"/>
          <w:kern w:val="0"/>
          <w:sz w:val="24"/>
        </w:rPr>
        <w:t>)</w:t>
      </w:r>
      <w:r>
        <w:rPr>
          <w:rFonts w:hint="eastAsia" w:eastAsia="方正仿宋_GBK"/>
          <w:color w:val="000000"/>
          <w:spacing w:val="-2"/>
          <w:kern w:val="0"/>
          <w:sz w:val="24"/>
        </w:rPr>
        <w:t>投标人之间为谋取中标或者排斥特定投标人而采取的其他联合行动：</w:t>
      </w:r>
    </w:p>
    <w:p>
      <w:pPr>
        <w:suppressAutoHyphens/>
        <w:spacing w:line="460" w:lineRule="exact"/>
        <w:ind w:firstLine="464" w:firstLineChars="200"/>
        <w:jc w:val="left"/>
        <w:rPr>
          <w:rFonts w:eastAsia="方正仿宋_GBK"/>
          <w:color w:val="000000"/>
          <w:spacing w:val="-2"/>
          <w:sz w:val="24"/>
        </w:rPr>
      </w:pPr>
      <w:r>
        <w:rPr>
          <w:rFonts w:eastAsia="方正仿宋_GBK"/>
          <w:color w:val="000000"/>
          <w:spacing w:val="-2"/>
          <w:kern w:val="0"/>
          <w:sz w:val="24"/>
        </w:rPr>
        <w:t>1</w:t>
      </w:r>
      <w:r>
        <w:rPr>
          <w:rFonts w:hint="eastAsia" w:eastAsia="方正仿宋_GBK"/>
          <w:color w:val="000000"/>
          <w:spacing w:val="-2"/>
          <w:kern w:val="0"/>
          <w:sz w:val="24"/>
        </w:rPr>
        <w:t>、根据相互约定不按照资格预审文件要求提交资格申请文件的；</w:t>
      </w:r>
    </w:p>
    <w:p>
      <w:pPr>
        <w:shd w:val="clear" w:color="auto" w:fill="FFFFFF"/>
        <w:spacing w:line="460" w:lineRule="exact"/>
        <w:ind w:right="103" w:rightChars="50" w:firstLine="464" w:firstLineChars="200"/>
        <w:jc w:val="left"/>
        <w:rPr>
          <w:rFonts w:eastAsia="方正仿宋_GBK"/>
          <w:color w:val="000000"/>
          <w:spacing w:val="-2"/>
          <w:sz w:val="24"/>
        </w:rPr>
      </w:pPr>
      <w:r>
        <w:rPr>
          <w:rFonts w:eastAsia="方正仿宋_GBK"/>
          <w:color w:val="000000"/>
          <w:spacing w:val="-2"/>
          <w:kern w:val="0"/>
          <w:sz w:val="24"/>
        </w:rPr>
        <w:t>2</w:t>
      </w:r>
      <w:r>
        <w:rPr>
          <w:rFonts w:hint="eastAsia" w:eastAsia="方正仿宋_GBK"/>
          <w:color w:val="000000"/>
          <w:spacing w:val="-2"/>
          <w:kern w:val="0"/>
          <w:sz w:val="24"/>
        </w:rPr>
        <w:t>、根据相互约定撤回投标的；</w:t>
      </w:r>
    </w:p>
    <w:p>
      <w:pPr>
        <w:shd w:val="clear" w:color="auto" w:fill="FFFFFF"/>
        <w:spacing w:line="460" w:lineRule="exact"/>
        <w:ind w:right="103" w:rightChars="50" w:firstLine="464" w:firstLineChars="200"/>
        <w:jc w:val="left"/>
        <w:rPr>
          <w:rFonts w:eastAsia="方正仿宋_GBK"/>
          <w:color w:val="000000"/>
          <w:spacing w:val="-2"/>
          <w:sz w:val="24"/>
        </w:rPr>
      </w:pPr>
      <w:r>
        <w:rPr>
          <w:rFonts w:eastAsia="方正仿宋_GBK"/>
          <w:color w:val="000000"/>
          <w:spacing w:val="-2"/>
          <w:kern w:val="0"/>
          <w:sz w:val="24"/>
        </w:rPr>
        <w:t>3</w:t>
      </w:r>
      <w:r>
        <w:rPr>
          <w:rFonts w:hint="eastAsia" w:eastAsia="方正仿宋_GBK"/>
          <w:color w:val="000000"/>
          <w:spacing w:val="-2"/>
          <w:kern w:val="0"/>
          <w:sz w:val="24"/>
        </w:rPr>
        <w:t>、按照相互约定不实质性响应招标文件的；</w:t>
      </w:r>
    </w:p>
    <w:p>
      <w:pPr>
        <w:shd w:val="clear" w:color="auto" w:fill="FFFFFF"/>
        <w:spacing w:line="460" w:lineRule="exact"/>
        <w:ind w:right="103" w:rightChars="50" w:firstLine="464" w:firstLineChars="200"/>
        <w:jc w:val="left"/>
        <w:rPr>
          <w:rFonts w:eastAsia="方正仿宋_GBK"/>
          <w:color w:val="000000"/>
          <w:spacing w:val="-2"/>
          <w:sz w:val="24"/>
        </w:rPr>
      </w:pPr>
      <w:r>
        <w:rPr>
          <w:rFonts w:eastAsia="方正仿宋_GBK"/>
          <w:color w:val="000000"/>
          <w:spacing w:val="-2"/>
          <w:kern w:val="0"/>
          <w:sz w:val="24"/>
        </w:rPr>
        <w:t>4</w:t>
      </w:r>
      <w:r>
        <w:rPr>
          <w:rFonts w:hint="eastAsia" w:eastAsia="方正仿宋_GBK"/>
          <w:color w:val="000000"/>
          <w:spacing w:val="-2"/>
          <w:kern w:val="0"/>
          <w:sz w:val="24"/>
        </w:rPr>
        <w:t>、按照相互约定制定投标方案的；</w:t>
      </w:r>
    </w:p>
    <w:p>
      <w:pPr>
        <w:shd w:val="clear" w:color="auto" w:fill="FFFFFF"/>
        <w:spacing w:line="460" w:lineRule="exact"/>
        <w:ind w:right="103" w:rightChars="50" w:firstLine="464" w:firstLineChars="200"/>
        <w:jc w:val="left"/>
        <w:rPr>
          <w:rFonts w:eastAsia="方正仿宋_GBK"/>
          <w:color w:val="000000"/>
          <w:spacing w:val="-2"/>
          <w:sz w:val="24"/>
        </w:rPr>
      </w:pPr>
      <w:r>
        <w:rPr>
          <w:rFonts w:eastAsia="方正仿宋_GBK"/>
          <w:color w:val="000000"/>
          <w:spacing w:val="-2"/>
          <w:kern w:val="0"/>
          <w:sz w:val="24"/>
        </w:rPr>
        <w:t>5</w:t>
      </w:r>
      <w:r>
        <w:rPr>
          <w:rFonts w:hint="eastAsia" w:eastAsia="方正仿宋_GBK"/>
          <w:color w:val="000000"/>
          <w:spacing w:val="-2"/>
          <w:kern w:val="0"/>
          <w:sz w:val="24"/>
        </w:rPr>
        <w:t>、相互约定给予未中标的投标人费用补偿的。</w:t>
      </w:r>
    </w:p>
    <w:p>
      <w:pPr>
        <w:shd w:val="clear" w:color="auto" w:fill="FFFFFF"/>
        <w:spacing w:line="460" w:lineRule="exact"/>
        <w:ind w:right="103" w:rightChars="50" w:firstLine="464" w:firstLineChars="200"/>
        <w:jc w:val="left"/>
        <w:rPr>
          <w:rFonts w:eastAsia="方正仿宋_GBK"/>
          <w:color w:val="000000"/>
          <w:spacing w:val="-2"/>
          <w:sz w:val="24"/>
        </w:rPr>
      </w:pPr>
      <w:r>
        <w:rPr>
          <w:rFonts w:eastAsia="方正仿宋_GBK"/>
          <w:color w:val="000000"/>
          <w:spacing w:val="-2"/>
          <w:kern w:val="0"/>
          <w:sz w:val="24"/>
        </w:rPr>
        <w:t>6</w:t>
      </w:r>
      <w:r>
        <w:rPr>
          <w:rFonts w:hint="eastAsia" w:eastAsia="方正仿宋_GBK"/>
          <w:color w:val="000000"/>
          <w:spacing w:val="-2"/>
          <w:kern w:val="0"/>
          <w:sz w:val="24"/>
        </w:rPr>
        <w:t>、法律、法规、规章规定的其他行为。</w:t>
      </w:r>
    </w:p>
    <w:p>
      <w:pPr>
        <w:suppressAutoHyphens/>
        <w:spacing w:line="460" w:lineRule="exact"/>
        <w:ind w:firstLine="464" w:firstLineChars="200"/>
        <w:jc w:val="left"/>
        <w:rPr>
          <w:rFonts w:eastAsia="方正仿宋_GBK"/>
          <w:color w:val="000000"/>
          <w:spacing w:val="-2"/>
          <w:sz w:val="24"/>
        </w:rPr>
      </w:pPr>
      <w:r>
        <w:rPr>
          <w:rFonts w:hint="eastAsia" w:ascii="Times New Roman" w:eastAsia="方正黑体_GBK"/>
          <w:bCs/>
          <w:color w:val="000000"/>
          <w:spacing w:val="-2"/>
          <w:kern w:val="0"/>
          <w:sz w:val="24"/>
        </w:rPr>
        <w:t>第六条</w:t>
      </w:r>
      <w:r>
        <w:rPr>
          <w:rFonts w:eastAsia="方正仿宋_GBK"/>
          <w:b/>
          <w:bCs/>
          <w:color w:val="000000"/>
          <w:spacing w:val="-2"/>
          <w:kern w:val="0"/>
          <w:sz w:val="24"/>
        </w:rPr>
        <w:t xml:space="preserve">  </w:t>
      </w:r>
      <w:r>
        <w:rPr>
          <w:rFonts w:hint="eastAsia" w:eastAsia="方正仿宋_GBK"/>
          <w:color w:val="000000"/>
          <w:spacing w:val="-2"/>
          <w:kern w:val="0"/>
          <w:sz w:val="24"/>
        </w:rPr>
        <w:t>投标人在投标过程中有下列情形之一的，视为投标人相互串通投标：</w:t>
      </w:r>
    </w:p>
    <w:p>
      <w:pPr>
        <w:shd w:val="clear" w:color="auto" w:fill="FFFFFF"/>
        <w:spacing w:line="460" w:lineRule="exact"/>
        <w:ind w:right="103" w:rightChars="50" w:firstLine="464" w:firstLineChars="200"/>
        <w:jc w:val="left"/>
        <w:rPr>
          <w:rFonts w:eastAsia="方正仿宋_GBK"/>
          <w:color w:val="000000"/>
          <w:spacing w:val="-2"/>
          <w:sz w:val="24"/>
        </w:rPr>
      </w:pPr>
      <w:r>
        <w:rPr>
          <w:rFonts w:hint="eastAsia" w:eastAsia="方正仿宋_GBK"/>
          <w:color w:val="000000"/>
          <w:spacing w:val="-2"/>
          <w:kern w:val="0"/>
          <w:sz w:val="24"/>
        </w:rPr>
        <w:t>（一）不同投标人的投标文件由同一单位或者个人编制：</w:t>
      </w:r>
    </w:p>
    <w:p>
      <w:pPr>
        <w:shd w:val="clear" w:color="auto" w:fill="FFFFFF"/>
        <w:spacing w:line="460" w:lineRule="exact"/>
        <w:ind w:right="103" w:rightChars="50" w:firstLine="464" w:firstLineChars="200"/>
        <w:jc w:val="left"/>
        <w:rPr>
          <w:rFonts w:eastAsia="方正仿宋_GBK"/>
          <w:color w:val="000000"/>
          <w:spacing w:val="-2"/>
          <w:sz w:val="24"/>
        </w:rPr>
      </w:pPr>
      <w:r>
        <w:rPr>
          <w:rFonts w:eastAsia="方正仿宋_GBK"/>
          <w:color w:val="000000"/>
          <w:spacing w:val="-2"/>
          <w:kern w:val="0"/>
          <w:sz w:val="24"/>
        </w:rPr>
        <w:t>1</w:t>
      </w:r>
      <w:r>
        <w:rPr>
          <w:rFonts w:hint="eastAsia" w:eastAsia="方正仿宋_GBK"/>
          <w:color w:val="000000"/>
          <w:spacing w:val="-2"/>
          <w:kern w:val="0"/>
          <w:sz w:val="24"/>
        </w:rPr>
        <w:t>、不同投标人的电子投标文件出自同一台电脑；</w:t>
      </w:r>
    </w:p>
    <w:p>
      <w:pPr>
        <w:shd w:val="clear" w:color="auto" w:fill="FFFFFF"/>
        <w:spacing w:line="460" w:lineRule="exact"/>
        <w:ind w:right="103" w:rightChars="50" w:firstLine="464" w:firstLineChars="200"/>
        <w:jc w:val="left"/>
        <w:rPr>
          <w:rFonts w:eastAsia="方正仿宋_GBK"/>
          <w:color w:val="000000"/>
          <w:spacing w:val="-2"/>
          <w:sz w:val="24"/>
        </w:rPr>
      </w:pPr>
      <w:r>
        <w:rPr>
          <w:rFonts w:eastAsia="方正仿宋_GBK"/>
          <w:color w:val="000000"/>
          <w:spacing w:val="-2"/>
          <w:kern w:val="0"/>
          <w:sz w:val="24"/>
        </w:rPr>
        <w:t>2</w:t>
      </w:r>
      <w:r>
        <w:rPr>
          <w:rFonts w:hint="eastAsia" w:eastAsia="方正仿宋_GBK"/>
          <w:color w:val="000000"/>
          <w:spacing w:val="-2"/>
          <w:kern w:val="0"/>
          <w:sz w:val="24"/>
        </w:rPr>
        <w:t>、不同投标人的投标文件的编制者为同一人；</w:t>
      </w:r>
    </w:p>
    <w:p>
      <w:pPr>
        <w:shd w:val="clear" w:color="auto" w:fill="FFFFFF"/>
        <w:spacing w:line="460" w:lineRule="exact"/>
        <w:ind w:right="103" w:rightChars="50" w:firstLine="464" w:firstLineChars="200"/>
        <w:jc w:val="left"/>
        <w:rPr>
          <w:rFonts w:eastAsia="方正仿宋_GBK"/>
          <w:color w:val="000000"/>
          <w:spacing w:val="-2"/>
          <w:sz w:val="24"/>
        </w:rPr>
      </w:pPr>
      <w:r>
        <w:rPr>
          <w:rFonts w:eastAsia="方正仿宋_GBK"/>
          <w:color w:val="000000"/>
          <w:spacing w:val="-2"/>
          <w:kern w:val="0"/>
          <w:sz w:val="24"/>
        </w:rPr>
        <w:t>3</w:t>
      </w:r>
      <w:r>
        <w:rPr>
          <w:rFonts w:hint="eastAsia" w:eastAsia="方正仿宋_GBK"/>
          <w:color w:val="000000"/>
          <w:spacing w:val="-2"/>
          <w:kern w:val="0"/>
          <w:sz w:val="24"/>
        </w:rPr>
        <w:t>、不同投标人的投标文件由同一投标人的附属设备打印、复印的；</w:t>
      </w:r>
    </w:p>
    <w:p>
      <w:pPr>
        <w:shd w:val="clear" w:color="auto" w:fill="FFFFFF"/>
        <w:spacing w:line="460" w:lineRule="exact"/>
        <w:ind w:right="103" w:rightChars="50" w:firstLine="464" w:firstLineChars="200"/>
        <w:jc w:val="left"/>
        <w:rPr>
          <w:rFonts w:eastAsia="方正仿宋_GBK"/>
          <w:color w:val="000000"/>
          <w:spacing w:val="-2"/>
          <w:sz w:val="24"/>
        </w:rPr>
      </w:pPr>
      <w:r>
        <w:rPr>
          <w:rFonts w:eastAsia="方正仿宋_GBK"/>
          <w:color w:val="000000"/>
          <w:spacing w:val="-2"/>
          <w:kern w:val="0"/>
          <w:sz w:val="24"/>
        </w:rPr>
        <w:t>4</w:t>
      </w:r>
      <w:r>
        <w:rPr>
          <w:rFonts w:hint="eastAsia" w:eastAsia="方正仿宋_GBK"/>
          <w:color w:val="000000"/>
          <w:spacing w:val="-2"/>
          <w:kern w:val="0"/>
          <w:sz w:val="24"/>
        </w:rPr>
        <w:t>、不同投标人的投标报价用同一个预算编制软件密码锁制作或者出自同一电子文档的；</w:t>
      </w:r>
    </w:p>
    <w:p>
      <w:pPr>
        <w:suppressAutoHyphens/>
        <w:spacing w:line="460" w:lineRule="exact"/>
        <w:ind w:firstLine="464" w:firstLineChars="200"/>
        <w:jc w:val="left"/>
        <w:rPr>
          <w:rFonts w:eastAsia="方正仿宋_GBK"/>
          <w:color w:val="000000"/>
          <w:spacing w:val="-2"/>
          <w:sz w:val="24"/>
        </w:rPr>
      </w:pPr>
      <w:r>
        <w:rPr>
          <w:rFonts w:eastAsia="方正仿宋_GBK"/>
          <w:color w:val="000000"/>
          <w:spacing w:val="-2"/>
          <w:kern w:val="0"/>
          <w:sz w:val="24"/>
        </w:rPr>
        <w:t>(</w:t>
      </w:r>
      <w:r>
        <w:rPr>
          <w:rFonts w:hint="eastAsia" w:eastAsia="方正仿宋_GBK"/>
          <w:color w:val="000000"/>
          <w:spacing w:val="-2"/>
          <w:kern w:val="0"/>
          <w:sz w:val="24"/>
        </w:rPr>
        <w:t>二</w:t>
      </w:r>
      <w:r>
        <w:rPr>
          <w:rFonts w:eastAsia="方正仿宋_GBK"/>
          <w:color w:val="000000"/>
          <w:spacing w:val="-2"/>
          <w:kern w:val="0"/>
          <w:sz w:val="24"/>
        </w:rPr>
        <w:t>)</w:t>
      </w:r>
      <w:r>
        <w:rPr>
          <w:rFonts w:hint="eastAsia" w:eastAsia="方正仿宋_GBK"/>
          <w:color w:val="000000"/>
          <w:spacing w:val="-2"/>
          <w:kern w:val="0"/>
          <w:sz w:val="24"/>
        </w:rPr>
        <w:t>不同投标人委托同一单位或者个人办理投标事宜；</w:t>
      </w:r>
    </w:p>
    <w:p>
      <w:pPr>
        <w:suppressAutoHyphens/>
        <w:spacing w:line="460" w:lineRule="exact"/>
        <w:ind w:firstLine="464" w:firstLineChars="200"/>
        <w:jc w:val="left"/>
        <w:rPr>
          <w:rFonts w:eastAsia="方正仿宋_GBK"/>
          <w:color w:val="000000"/>
          <w:spacing w:val="-2"/>
          <w:sz w:val="24"/>
        </w:rPr>
      </w:pPr>
      <w:r>
        <w:rPr>
          <w:rFonts w:eastAsia="方正仿宋_GBK"/>
          <w:color w:val="000000"/>
          <w:spacing w:val="-2"/>
          <w:kern w:val="0"/>
          <w:sz w:val="24"/>
        </w:rPr>
        <w:t>(</w:t>
      </w:r>
      <w:r>
        <w:rPr>
          <w:rFonts w:hint="eastAsia" w:eastAsia="方正仿宋_GBK"/>
          <w:color w:val="000000"/>
          <w:spacing w:val="-2"/>
          <w:kern w:val="0"/>
          <w:sz w:val="24"/>
        </w:rPr>
        <w:t>三</w:t>
      </w:r>
      <w:r>
        <w:rPr>
          <w:rFonts w:eastAsia="方正仿宋_GBK"/>
          <w:color w:val="000000"/>
          <w:spacing w:val="-2"/>
          <w:kern w:val="0"/>
          <w:sz w:val="24"/>
        </w:rPr>
        <w:t>)</w:t>
      </w:r>
      <w:r>
        <w:rPr>
          <w:rFonts w:hint="eastAsia" w:eastAsia="方正仿宋_GBK"/>
          <w:color w:val="000000"/>
          <w:spacing w:val="-2"/>
          <w:kern w:val="0"/>
          <w:sz w:val="24"/>
        </w:rPr>
        <w:t>不同投标人的投标文件载明的项目管理成员为同一人或同一单位；</w:t>
      </w:r>
    </w:p>
    <w:p>
      <w:pPr>
        <w:suppressAutoHyphens/>
        <w:spacing w:line="460" w:lineRule="exact"/>
        <w:ind w:firstLine="464" w:firstLineChars="200"/>
        <w:jc w:val="left"/>
        <w:rPr>
          <w:rFonts w:eastAsia="方正仿宋_GBK"/>
          <w:color w:val="000000"/>
          <w:spacing w:val="-2"/>
          <w:sz w:val="24"/>
        </w:rPr>
      </w:pPr>
      <w:r>
        <w:rPr>
          <w:rFonts w:eastAsia="方正仿宋_GBK"/>
          <w:color w:val="000000"/>
          <w:spacing w:val="-2"/>
          <w:kern w:val="0"/>
          <w:sz w:val="24"/>
        </w:rPr>
        <w:t>(</w:t>
      </w:r>
      <w:r>
        <w:rPr>
          <w:rFonts w:hint="eastAsia" w:eastAsia="方正仿宋_GBK"/>
          <w:color w:val="000000"/>
          <w:spacing w:val="-2"/>
          <w:kern w:val="0"/>
          <w:sz w:val="24"/>
        </w:rPr>
        <w:t>四</w:t>
      </w:r>
      <w:r>
        <w:rPr>
          <w:rFonts w:eastAsia="方正仿宋_GBK"/>
          <w:color w:val="000000"/>
          <w:spacing w:val="-2"/>
          <w:kern w:val="0"/>
          <w:sz w:val="24"/>
        </w:rPr>
        <w:t>)</w:t>
      </w:r>
      <w:r>
        <w:rPr>
          <w:rFonts w:hint="eastAsia" w:eastAsia="方正仿宋_GBK"/>
          <w:color w:val="000000"/>
          <w:spacing w:val="-2"/>
          <w:kern w:val="0"/>
          <w:sz w:val="24"/>
        </w:rPr>
        <w:t>不同投标人的投标文件异常一致或者投标报价呈规律性差异；</w:t>
      </w:r>
    </w:p>
    <w:p>
      <w:pPr>
        <w:suppressAutoHyphens/>
        <w:spacing w:line="460" w:lineRule="exact"/>
        <w:ind w:firstLine="464" w:firstLineChars="200"/>
        <w:jc w:val="left"/>
        <w:rPr>
          <w:rFonts w:eastAsia="方正仿宋_GBK"/>
          <w:color w:val="000000"/>
          <w:spacing w:val="-2"/>
          <w:sz w:val="24"/>
        </w:rPr>
      </w:pPr>
      <w:r>
        <w:rPr>
          <w:rFonts w:eastAsia="方正仿宋_GBK"/>
          <w:color w:val="000000"/>
          <w:spacing w:val="-2"/>
          <w:kern w:val="0"/>
          <w:sz w:val="24"/>
        </w:rPr>
        <w:t>(</w:t>
      </w:r>
      <w:r>
        <w:rPr>
          <w:rFonts w:hint="eastAsia" w:eastAsia="方正仿宋_GBK"/>
          <w:color w:val="000000"/>
          <w:spacing w:val="-2"/>
          <w:kern w:val="0"/>
          <w:sz w:val="24"/>
        </w:rPr>
        <w:t>五</w:t>
      </w:r>
      <w:r>
        <w:rPr>
          <w:rFonts w:eastAsia="方正仿宋_GBK"/>
          <w:color w:val="000000"/>
          <w:spacing w:val="-2"/>
          <w:kern w:val="0"/>
          <w:sz w:val="24"/>
        </w:rPr>
        <w:t>)</w:t>
      </w:r>
      <w:r>
        <w:rPr>
          <w:rFonts w:hint="eastAsia" w:eastAsia="方正仿宋_GBK"/>
          <w:color w:val="000000"/>
          <w:spacing w:val="-2"/>
          <w:kern w:val="0"/>
          <w:sz w:val="24"/>
        </w:rPr>
        <w:t>不同投标人的投标文件相互混装；</w:t>
      </w:r>
    </w:p>
    <w:p>
      <w:pPr>
        <w:suppressAutoHyphens/>
        <w:spacing w:line="460" w:lineRule="exact"/>
        <w:ind w:firstLine="464" w:firstLineChars="200"/>
        <w:jc w:val="left"/>
        <w:rPr>
          <w:rFonts w:eastAsia="方正仿宋_GBK"/>
          <w:color w:val="000000"/>
          <w:spacing w:val="-2"/>
          <w:sz w:val="24"/>
        </w:rPr>
      </w:pPr>
      <w:r>
        <w:rPr>
          <w:rFonts w:eastAsia="方正仿宋_GBK"/>
          <w:color w:val="000000"/>
          <w:spacing w:val="-2"/>
          <w:kern w:val="0"/>
          <w:sz w:val="24"/>
        </w:rPr>
        <w:t>(</w:t>
      </w:r>
      <w:r>
        <w:rPr>
          <w:rFonts w:hint="eastAsia" w:eastAsia="方正仿宋_GBK"/>
          <w:color w:val="000000"/>
          <w:spacing w:val="-2"/>
          <w:kern w:val="0"/>
          <w:sz w:val="24"/>
        </w:rPr>
        <w:t>六</w:t>
      </w:r>
      <w:r>
        <w:rPr>
          <w:rFonts w:eastAsia="方正仿宋_GBK"/>
          <w:color w:val="000000"/>
          <w:spacing w:val="-2"/>
          <w:kern w:val="0"/>
          <w:sz w:val="24"/>
        </w:rPr>
        <w:t>)</w:t>
      </w:r>
      <w:r>
        <w:rPr>
          <w:rFonts w:hint="eastAsia" w:eastAsia="方正仿宋_GBK"/>
          <w:color w:val="000000"/>
          <w:spacing w:val="-2"/>
          <w:kern w:val="0"/>
          <w:sz w:val="24"/>
        </w:rPr>
        <w:t>不同投标人的投标保证金从同一单位或者个人的账户转出，或者不同投标人的投标保证金虽然经由投标人自己的基本账户转出，但所需资金均是来自同一单位或者个人的账户的。</w:t>
      </w:r>
    </w:p>
    <w:p>
      <w:pPr>
        <w:suppressAutoHyphens/>
        <w:spacing w:line="460" w:lineRule="exact"/>
        <w:ind w:firstLine="464" w:firstLineChars="200"/>
        <w:jc w:val="left"/>
        <w:rPr>
          <w:rFonts w:eastAsia="方正仿宋_GBK"/>
          <w:color w:val="000000"/>
          <w:spacing w:val="-2"/>
          <w:sz w:val="24"/>
        </w:rPr>
      </w:pPr>
      <w:r>
        <w:rPr>
          <w:rFonts w:hint="eastAsia" w:ascii="Times New Roman" w:eastAsia="方正黑体_GBK"/>
          <w:bCs/>
          <w:color w:val="000000"/>
          <w:spacing w:val="-2"/>
          <w:kern w:val="0"/>
          <w:sz w:val="24"/>
        </w:rPr>
        <w:t>第七条</w:t>
      </w:r>
      <w:r>
        <w:rPr>
          <w:rFonts w:eastAsia="方正仿宋_GBK"/>
          <w:b/>
          <w:bCs/>
          <w:color w:val="000000"/>
          <w:spacing w:val="-2"/>
          <w:kern w:val="0"/>
          <w:sz w:val="24"/>
        </w:rPr>
        <w:t xml:space="preserve">  </w:t>
      </w:r>
      <w:r>
        <w:rPr>
          <w:rFonts w:hint="eastAsia" w:eastAsia="方正仿宋_GBK"/>
          <w:color w:val="000000"/>
          <w:spacing w:val="-2"/>
          <w:kern w:val="0"/>
          <w:sz w:val="24"/>
        </w:rPr>
        <w:t>投标人有下列情形之一的，属于投标人弄虚作假骗取中标的行为：</w:t>
      </w:r>
    </w:p>
    <w:p>
      <w:pPr>
        <w:suppressAutoHyphens/>
        <w:spacing w:line="460" w:lineRule="exact"/>
        <w:ind w:firstLine="464" w:firstLineChars="200"/>
        <w:jc w:val="left"/>
        <w:rPr>
          <w:rFonts w:eastAsia="方正仿宋_GBK"/>
          <w:color w:val="000000"/>
          <w:spacing w:val="-2"/>
          <w:sz w:val="24"/>
        </w:rPr>
      </w:pPr>
      <w:r>
        <w:rPr>
          <w:rFonts w:hint="eastAsia" w:eastAsia="方正仿宋_GBK"/>
          <w:color w:val="000000"/>
          <w:spacing w:val="-2"/>
          <w:kern w:val="0"/>
          <w:sz w:val="24"/>
        </w:rPr>
        <w:t>（一）以他人名义投标的。具体情形包括：</w:t>
      </w:r>
    </w:p>
    <w:p>
      <w:pPr>
        <w:suppressAutoHyphens/>
        <w:spacing w:line="460" w:lineRule="exact"/>
        <w:ind w:firstLine="464" w:firstLineChars="200"/>
        <w:jc w:val="left"/>
        <w:rPr>
          <w:rFonts w:eastAsia="方正仿宋_GBK"/>
          <w:color w:val="000000"/>
          <w:spacing w:val="-2"/>
          <w:sz w:val="24"/>
        </w:rPr>
      </w:pPr>
      <w:r>
        <w:rPr>
          <w:rFonts w:eastAsia="方正仿宋_GBK"/>
          <w:color w:val="000000"/>
          <w:spacing w:val="-2"/>
          <w:kern w:val="0"/>
          <w:sz w:val="24"/>
        </w:rPr>
        <w:t>1</w:t>
      </w:r>
      <w:r>
        <w:rPr>
          <w:rFonts w:hint="eastAsia" w:eastAsia="方正仿宋_GBK"/>
          <w:color w:val="000000"/>
          <w:spacing w:val="-2"/>
          <w:kern w:val="0"/>
          <w:sz w:val="24"/>
        </w:rPr>
        <w:t>、通过受让或者租借等方式从其他单位获取资格或者资质证书参加投标的；</w:t>
      </w:r>
    </w:p>
    <w:p>
      <w:pPr>
        <w:suppressAutoHyphens/>
        <w:spacing w:line="460" w:lineRule="exact"/>
        <w:ind w:firstLine="464" w:firstLineChars="200"/>
        <w:jc w:val="left"/>
        <w:rPr>
          <w:rFonts w:eastAsia="方正仿宋_GBK"/>
          <w:color w:val="000000"/>
          <w:spacing w:val="-6"/>
          <w:sz w:val="24"/>
        </w:rPr>
      </w:pPr>
      <w:r>
        <w:rPr>
          <w:rFonts w:eastAsia="方正仿宋_GBK"/>
          <w:color w:val="000000"/>
          <w:spacing w:val="-2"/>
          <w:kern w:val="0"/>
          <w:sz w:val="24"/>
        </w:rPr>
        <w:t>2</w:t>
      </w:r>
      <w:r>
        <w:rPr>
          <w:rFonts w:hint="eastAsia" w:eastAsia="方正仿宋_GBK"/>
          <w:color w:val="000000"/>
          <w:spacing w:val="-2"/>
          <w:kern w:val="0"/>
          <w:sz w:val="24"/>
        </w:rPr>
        <w:t>、</w:t>
      </w:r>
      <w:r>
        <w:rPr>
          <w:rFonts w:hint="eastAsia" w:eastAsia="方正仿宋_GBK"/>
          <w:color w:val="000000"/>
          <w:spacing w:val="-6"/>
          <w:kern w:val="0"/>
          <w:sz w:val="24"/>
        </w:rPr>
        <w:t>由其他单位或者其他单位负责人在自己编制的投标文件上加盖印章或者签字的；</w:t>
      </w:r>
    </w:p>
    <w:p>
      <w:pPr>
        <w:suppressAutoHyphens/>
        <w:spacing w:line="460" w:lineRule="exact"/>
        <w:ind w:firstLine="464" w:firstLineChars="200"/>
        <w:jc w:val="left"/>
        <w:rPr>
          <w:rFonts w:eastAsia="方正仿宋_GBK"/>
          <w:color w:val="000000"/>
          <w:spacing w:val="-2"/>
          <w:sz w:val="24"/>
        </w:rPr>
      </w:pPr>
      <w:r>
        <w:rPr>
          <w:rFonts w:eastAsia="方正仿宋_GBK"/>
          <w:color w:val="000000"/>
          <w:spacing w:val="-2"/>
          <w:kern w:val="0"/>
          <w:sz w:val="24"/>
        </w:rPr>
        <w:t>3</w:t>
      </w:r>
      <w:r>
        <w:rPr>
          <w:rFonts w:hint="eastAsia" w:eastAsia="方正仿宋_GBK"/>
          <w:color w:val="000000"/>
          <w:spacing w:val="-2"/>
          <w:kern w:val="0"/>
          <w:sz w:val="24"/>
        </w:rPr>
        <w:t>、项目负责人或者主要技术人员不是本单位人员的；</w:t>
      </w:r>
    </w:p>
    <w:p>
      <w:pPr>
        <w:suppressAutoHyphens/>
        <w:spacing w:line="460" w:lineRule="exact"/>
        <w:ind w:firstLine="464" w:firstLineChars="200"/>
        <w:jc w:val="left"/>
        <w:rPr>
          <w:rFonts w:eastAsia="方正仿宋_GBK"/>
          <w:color w:val="000000"/>
          <w:spacing w:val="-2"/>
          <w:sz w:val="24"/>
        </w:rPr>
      </w:pPr>
      <w:r>
        <w:rPr>
          <w:rFonts w:eastAsia="方正仿宋_GBK"/>
          <w:color w:val="000000"/>
          <w:spacing w:val="-2"/>
          <w:kern w:val="0"/>
          <w:sz w:val="24"/>
        </w:rPr>
        <w:t>4</w:t>
      </w:r>
      <w:r>
        <w:rPr>
          <w:rFonts w:hint="eastAsia" w:eastAsia="方正仿宋_GBK"/>
          <w:color w:val="000000"/>
          <w:spacing w:val="-2"/>
          <w:kern w:val="0"/>
          <w:sz w:val="24"/>
        </w:rPr>
        <w:t>、投标保证金不是从投标人的账户缴纳的；</w:t>
      </w:r>
    </w:p>
    <w:p>
      <w:pPr>
        <w:suppressAutoHyphens/>
        <w:spacing w:line="460" w:lineRule="exact"/>
        <w:ind w:firstLine="464" w:firstLineChars="200"/>
        <w:jc w:val="left"/>
        <w:rPr>
          <w:rFonts w:eastAsia="方正仿宋_GBK"/>
          <w:color w:val="000000"/>
          <w:spacing w:val="-2"/>
          <w:sz w:val="24"/>
        </w:rPr>
      </w:pPr>
      <w:r>
        <w:rPr>
          <w:rFonts w:eastAsia="方正仿宋_GBK"/>
          <w:color w:val="000000"/>
          <w:spacing w:val="-2"/>
          <w:kern w:val="0"/>
          <w:sz w:val="24"/>
        </w:rPr>
        <w:t>5</w:t>
      </w:r>
      <w:r>
        <w:rPr>
          <w:rFonts w:hint="eastAsia" w:eastAsia="方正仿宋_GBK"/>
          <w:color w:val="000000"/>
          <w:spacing w:val="-2"/>
          <w:kern w:val="0"/>
          <w:sz w:val="24"/>
        </w:rPr>
        <w:t>、法律、法规、规章规定的以他人名义投标的其他行为。</w:t>
      </w:r>
    </w:p>
    <w:p>
      <w:pPr>
        <w:suppressAutoHyphens/>
        <w:spacing w:line="460" w:lineRule="exact"/>
        <w:ind w:firstLine="464" w:firstLineChars="200"/>
        <w:jc w:val="left"/>
        <w:rPr>
          <w:rFonts w:eastAsia="方正仿宋_GBK"/>
          <w:color w:val="000000"/>
          <w:spacing w:val="-2"/>
          <w:sz w:val="24"/>
        </w:rPr>
      </w:pPr>
      <w:r>
        <w:rPr>
          <w:rFonts w:hint="eastAsia" w:eastAsia="方正仿宋_GBK"/>
          <w:color w:val="000000"/>
          <w:spacing w:val="-2"/>
          <w:kern w:val="0"/>
          <w:sz w:val="24"/>
        </w:rPr>
        <w:t>（二）以其他方式弄虚作假的。具体情形包括：</w:t>
      </w:r>
    </w:p>
    <w:p>
      <w:pPr>
        <w:suppressAutoHyphens/>
        <w:spacing w:line="460" w:lineRule="exact"/>
        <w:ind w:firstLine="464" w:firstLineChars="200"/>
        <w:jc w:val="left"/>
        <w:rPr>
          <w:rFonts w:eastAsia="方正仿宋_GBK"/>
          <w:color w:val="000000"/>
          <w:spacing w:val="-2"/>
          <w:sz w:val="24"/>
        </w:rPr>
      </w:pPr>
      <w:r>
        <w:rPr>
          <w:rFonts w:eastAsia="方正仿宋_GBK"/>
          <w:color w:val="000000"/>
          <w:spacing w:val="-2"/>
          <w:kern w:val="0"/>
          <w:sz w:val="24"/>
        </w:rPr>
        <w:t>1</w:t>
      </w:r>
      <w:r>
        <w:rPr>
          <w:rFonts w:hint="eastAsia" w:eastAsia="方正仿宋_GBK"/>
          <w:color w:val="000000"/>
          <w:spacing w:val="-2"/>
          <w:kern w:val="0"/>
          <w:sz w:val="24"/>
        </w:rPr>
        <w:t>、使用伪造、变造的许可证件；</w:t>
      </w:r>
    </w:p>
    <w:p>
      <w:pPr>
        <w:spacing w:line="460" w:lineRule="exact"/>
        <w:ind w:firstLine="464" w:firstLineChars="200"/>
        <w:jc w:val="left"/>
        <w:rPr>
          <w:rFonts w:eastAsia="方正仿宋_GBK"/>
          <w:color w:val="000000"/>
          <w:spacing w:val="-2"/>
          <w:sz w:val="24"/>
        </w:rPr>
      </w:pPr>
      <w:r>
        <w:rPr>
          <w:rFonts w:eastAsia="方正仿宋_GBK"/>
          <w:color w:val="000000"/>
          <w:spacing w:val="-2"/>
          <w:kern w:val="0"/>
          <w:sz w:val="24"/>
        </w:rPr>
        <w:t>2</w:t>
      </w:r>
      <w:r>
        <w:rPr>
          <w:rFonts w:hint="eastAsia" w:eastAsia="方正仿宋_GBK"/>
          <w:color w:val="000000"/>
          <w:spacing w:val="-2"/>
          <w:kern w:val="0"/>
          <w:sz w:val="24"/>
        </w:rPr>
        <w:t>、提供虚假的财务状况或者业绩；</w:t>
      </w:r>
    </w:p>
    <w:p>
      <w:pPr>
        <w:spacing w:line="460" w:lineRule="exact"/>
        <w:ind w:firstLine="464" w:firstLineChars="200"/>
        <w:jc w:val="left"/>
        <w:rPr>
          <w:rFonts w:eastAsia="方正仿宋_GBK"/>
          <w:color w:val="000000"/>
          <w:spacing w:val="-2"/>
          <w:sz w:val="24"/>
        </w:rPr>
      </w:pPr>
      <w:r>
        <w:rPr>
          <w:rFonts w:eastAsia="方正仿宋_GBK"/>
          <w:color w:val="000000"/>
          <w:spacing w:val="-2"/>
          <w:kern w:val="0"/>
          <w:sz w:val="24"/>
        </w:rPr>
        <w:t>3</w:t>
      </w:r>
      <w:r>
        <w:rPr>
          <w:rFonts w:hint="eastAsia" w:eastAsia="方正仿宋_GBK"/>
          <w:color w:val="000000"/>
          <w:spacing w:val="-2"/>
          <w:kern w:val="0"/>
          <w:sz w:val="24"/>
        </w:rPr>
        <w:t>、提供虚假的项目负责人或者主要技术人员简历、劳动关系证明；</w:t>
      </w:r>
    </w:p>
    <w:p>
      <w:pPr>
        <w:spacing w:line="460" w:lineRule="exact"/>
        <w:ind w:firstLine="464" w:firstLineChars="200"/>
        <w:jc w:val="left"/>
        <w:rPr>
          <w:rFonts w:eastAsia="方正仿宋_GBK"/>
          <w:color w:val="000000"/>
          <w:spacing w:val="-2"/>
          <w:sz w:val="24"/>
        </w:rPr>
      </w:pPr>
      <w:r>
        <w:rPr>
          <w:rFonts w:eastAsia="方正仿宋_GBK"/>
          <w:color w:val="000000"/>
          <w:spacing w:val="-2"/>
          <w:kern w:val="0"/>
          <w:sz w:val="24"/>
        </w:rPr>
        <w:t>4</w:t>
      </w:r>
      <w:r>
        <w:rPr>
          <w:rFonts w:hint="eastAsia" w:eastAsia="方正仿宋_GBK"/>
          <w:color w:val="000000"/>
          <w:spacing w:val="-2"/>
          <w:kern w:val="0"/>
          <w:sz w:val="24"/>
        </w:rPr>
        <w:t>、提供虚假的信用状况；</w:t>
      </w:r>
    </w:p>
    <w:p>
      <w:pPr>
        <w:spacing w:line="460" w:lineRule="exact"/>
        <w:ind w:firstLine="464" w:firstLineChars="200"/>
        <w:jc w:val="left"/>
        <w:rPr>
          <w:rFonts w:eastAsia="方正仿宋_GBK"/>
          <w:color w:val="000000"/>
          <w:spacing w:val="-2"/>
          <w:sz w:val="24"/>
        </w:rPr>
      </w:pPr>
      <w:r>
        <w:rPr>
          <w:rFonts w:eastAsia="方正仿宋_GBK"/>
          <w:color w:val="000000"/>
          <w:spacing w:val="-2"/>
          <w:kern w:val="0"/>
          <w:sz w:val="24"/>
        </w:rPr>
        <w:t>5</w:t>
      </w:r>
      <w:r>
        <w:rPr>
          <w:rFonts w:hint="eastAsia" w:eastAsia="方正仿宋_GBK"/>
          <w:color w:val="000000"/>
          <w:spacing w:val="-2"/>
          <w:kern w:val="0"/>
          <w:sz w:val="24"/>
        </w:rPr>
        <w:t>、投标文件中有与事实不符的承诺材料；</w:t>
      </w:r>
    </w:p>
    <w:p>
      <w:pPr>
        <w:suppressAutoHyphens/>
        <w:spacing w:line="460" w:lineRule="exact"/>
        <w:ind w:firstLine="464" w:firstLineChars="200"/>
        <w:jc w:val="left"/>
        <w:rPr>
          <w:rFonts w:eastAsia="方正仿宋_GBK"/>
          <w:color w:val="000000"/>
          <w:spacing w:val="-2"/>
          <w:sz w:val="24"/>
        </w:rPr>
      </w:pPr>
      <w:r>
        <w:rPr>
          <w:rFonts w:eastAsia="方正仿宋_GBK"/>
          <w:color w:val="000000"/>
          <w:spacing w:val="-2"/>
          <w:kern w:val="0"/>
          <w:sz w:val="24"/>
        </w:rPr>
        <w:t>6</w:t>
      </w:r>
      <w:r>
        <w:rPr>
          <w:rFonts w:hint="eastAsia" w:eastAsia="方正仿宋_GBK"/>
          <w:color w:val="000000"/>
          <w:spacing w:val="-2"/>
          <w:kern w:val="0"/>
          <w:sz w:val="24"/>
        </w:rPr>
        <w:t>、隐瞒招标文件要求提供的信息，或者提供虚假、引人误解的其他信息；</w:t>
      </w:r>
    </w:p>
    <w:p>
      <w:pPr>
        <w:suppressAutoHyphens/>
        <w:spacing w:line="460" w:lineRule="exact"/>
        <w:ind w:firstLine="464" w:firstLineChars="200"/>
        <w:jc w:val="left"/>
        <w:rPr>
          <w:rFonts w:eastAsia="方正仿宋_GBK"/>
          <w:color w:val="000000"/>
          <w:spacing w:val="-2"/>
          <w:sz w:val="24"/>
        </w:rPr>
      </w:pPr>
      <w:r>
        <w:rPr>
          <w:rFonts w:eastAsia="方正仿宋_GBK"/>
          <w:color w:val="000000"/>
          <w:spacing w:val="-2"/>
          <w:kern w:val="0"/>
          <w:sz w:val="24"/>
        </w:rPr>
        <w:t>7</w:t>
      </w:r>
      <w:r>
        <w:rPr>
          <w:rFonts w:hint="eastAsia" w:eastAsia="方正仿宋_GBK"/>
          <w:color w:val="000000"/>
          <w:spacing w:val="-2"/>
          <w:kern w:val="0"/>
          <w:sz w:val="24"/>
        </w:rPr>
        <w:t>、法律、法规、规章规定的弄虚作假的其他行为。</w:t>
      </w:r>
    </w:p>
    <w:p>
      <w:pPr>
        <w:suppressAutoHyphens/>
        <w:spacing w:line="460" w:lineRule="exact"/>
        <w:ind w:firstLine="464" w:firstLineChars="200"/>
        <w:jc w:val="left"/>
        <w:rPr>
          <w:rFonts w:eastAsia="方正仿宋_GBK"/>
          <w:color w:val="000000"/>
          <w:spacing w:val="-6"/>
          <w:sz w:val="24"/>
        </w:rPr>
      </w:pPr>
      <w:r>
        <w:rPr>
          <w:rFonts w:hint="eastAsia" w:ascii="Times New Roman" w:eastAsia="方正黑体_GBK"/>
          <w:bCs/>
          <w:color w:val="000000"/>
          <w:spacing w:val="-2"/>
          <w:kern w:val="0"/>
          <w:sz w:val="24"/>
        </w:rPr>
        <w:t xml:space="preserve">第八条 </w:t>
      </w:r>
      <w:r>
        <w:rPr>
          <w:rFonts w:eastAsia="方正仿宋_GBK"/>
          <w:b/>
          <w:bCs/>
          <w:color w:val="000000"/>
          <w:spacing w:val="-2"/>
          <w:kern w:val="0"/>
          <w:sz w:val="24"/>
        </w:rPr>
        <w:t xml:space="preserve"> </w:t>
      </w:r>
      <w:r>
        <w:rPr>
          <w:rFonts w:hint="eastAsia" w:eastAsia="方正仿宋_GBK"/>
          <w:color w:val="000000"/>
          <w:spacing w:val="-6"/>
          <w:kern w:val="0"/>
          <w:sz w:val="24"/>
        </w:rPr>
        <w:t>投标人或者其他利害关系人发现招标投标活动中存在串通投标或者弄虚作假行为的，可以向招标人提出或者依法向住房和城乡建设行政主管部门提出书面投诉。</w:t>
      </w:r>
    </w:p>
    <w:p>
      <w:pPr>
        <w:suppressAutoHyphens/>
        <w:spacing w:line="460" w:lineRule="exact"/>
        <w:ind w:firstLine="464" w:firstLineChars="200"/>
        <w:jc w:val="left"/>
        <w:rPr>
          <w:rFonts w:eastAsia="方正仿宋_GBK"/>
          <w:color w:val="000000"/>
          <w:spacing w:val="-2"/>
          <w:sz w:val="24"/>
        </w:rPr>
      </w:pPr>
      <w:r>
        <w:rPr>
          <w:rFonts w:hint="eastAsia" w:ascii="Times New Roman" w:eastAsia="方正黑体_GBK"/>
          <w:bCs/>
          <w:color w:val="000000"/>
          <w:spacing w:val="-2"/>
          <w:kern w:val="0"/>
          <w:sz w:val="24"/>
        </w:rPr>
        <w:t>第九条</w:t>
      </w:r>
      <w:r>
        <w:rPr>
          <w:rFonts w:eastAsia="方正仿宋_GBK"/>
          <w:b/>
          <w:bCs/>
          <w:color w:val="000000"/>
          <w:spacing w:val="-2"/>
          <w:kern w:val="0"/>
          <w:sz w:val="24"/>
        </w:rPr>
        <w:t xml:space="preserve">  </w:t>
      </w:r>
      <w:r>
        <w:rPr>
          <w:rFonts w:hint="eastAsia" w:eastAsia="方正仿宋_GBK"/>
          <w:color w:val="000000"/>
          <w:spacing w:val="-2"/>
          <w:kern w:val="0"/>
          <w:sz w:val="24"/>
        </w:rPr>
        <w:t>评标委员会在评标时，发现有本办法第四条、第五条、第六条、第七条行为的，应当否决其投标，并向有关行政监督部门报告。</w:t>
      </w:r>
    </w:p>
    <w:p>
      <w:pPr>
        <w:suppressAutoHyphens/>
        <w:spacing w:line="460" w:lineRule="exact"/>
        <w:ind w:firstLine="464" w:firstLineChars="200"/>
        <w:jc w:val="left"/>
        <w:rPr>
          <w:rFonts w:eastAsia="方正仿宋_GBK"/>
          <w:color w:val="000000"/>
          <w:spacing w:val="-2"/>
          <w:sz w:val="24"/>
        </w:rPr>
      </w:pPr>
      <w:r>
        <w:rPr>
          <w:rFonts w:hint="eastAsia" w:ascii="Times New Roman" w:eastAsia="方正黑体_GBK"/>
          <w:bCs/>
          <w:color w:val="000000"/>
          <w:spacing w:val="-2"/>
          <w:kern w:val="0"/>
          <w:sz w:val="24"/>
        </w:rPr>
        <w:t>第十条</w:t>
      </w:r>
      <w:r>
        <w:rPr>
          <w:rFonts w:eastAsia="方正仿宋_GBK"/>
          <w:b/>
          <w:bCs/>
          <w:color w:val="000000"/>
          <w:spacing w:val="-2"/>
          <w:kern w:val="0"/>
          <w:sz w:val="24"/>
        </w:rPr>
        <w:t xml:space="preserve">  </w:t>
      </w:r>
      <w:r>
        <w:rPr>
          <w:rFonts w:hint="eastAsia" w:eastAsia="方正仿宋_GBK"/>
          <w:color w:val="000000"/>
          <w:spacing w:val="-2"/>
          <w:kern w:val="0"/>
          <w:sz w:val="24"/>
        </w:rPr>
        <w:t>招标人和投标人存在串通投标行为的，招标无效，应当依法重新招标；</w:t>
      </w:r>
    </w:p>
    <w:p>
      <w:pPr>
        <w:spacing w:line="460" w:lineRule="exact"/>
        <w:ind w:firstLine="464" w:firstLineChars="200"/>
        <w:jc w:val="left"/>
        <w:rPr>
          <w:rFonts w:eastAsia="方正仿宋_GBK"/>
          <w:color w:val="000000"/>
          <w:spacing w:val="-2"/>
          <w:sz w:val="24"/>
        </w:rPr>
      </w:pPr>
      <w:r>
        <w:rPr>
          <w:rFonts w:hint="eastAsia" w:eastAsia="方正仿宋_GBK"/>
          <w:color w:val="000000"/>
          <w:spacing w:val="-2"/>
          <w:kern w:val="0"/>
          <w:sz w:val="24"/>
        </w:rPr>
        <w:t>招标代理机构有串通投标行为的，招标人应取消其对该项目的招标代理资格，重新选择招标代理机构后重新招标；</w:t>
      </w:r>
    </w:p>
    <w:p>
      <w:pPr>
        <w:spacing w:line="460" w:lineRule="exact"/>
        <w:ind w:firstLine="464" w:firstLineChars="200"/>
        <w:jc w:val="left"/>
        <w:rPr>
          <w:rFonts w:eastAsia="方正仿宋_GBK"/>
          <w:color w:val="000000"/>
          <w:spacing w:val="-2"/>
          <w:sz w:val="24"/>
        </w:rPr>
      </w:pPr>
      <w:r>
        <w:rPr>
          <w:rFonts w:hint="eastAsia" w:eastAsia="方正仿宋_GBK"/>
          <w:color w:val="000000"/>
          <w:spacing w:val="-2"/>
          <w:kern w:val="0"/>
          <w:sz w:val="24"/>
        </w:rPr>
        <w:t>投标人有串通投标行为或者弄虚作假行为的，其投标无效，已经中标的，中标无效；</w:t>
      </w:r>
    </w:p>
    <w:p>
      <w:pPr>
        <w:spacing w:line="460" w:lineRule="exact"/>
        <w:ind w:firstLine="464" w:firstLineChars="200"/>
        <w:jc w:val="left"/>
        <w:rPr>
          <w:rFonts w:eastAsia="方正仿宋_GBK"/>
          <w:color w:val="000000"/>
          <w:spacing w:val="-2"/>
          <w:sz w:val="24"/>
        </w:rPr>
      </w:pPr>
      <w:r>
        <w:rPr>
          <w:rFonts w:hint="eastAsia" w:eastAsia="方正仿宋_GBK"/>
          <w:color w:val="000000"/>
          <w:spacing w:val="-2"/>
          <w:kern w:val="0"/>
          <w:sz w:val="24"/>
        </w:rPr>
        <w:t>因投标人串标投标或者弄虚作假行为导致重新招标的，在重新招标时不得再参加本项目投标。</w:t>
      </w:r>
    </w:p>
    <w:p>
      <w:pPr>
        <w:suppressAutoHyphens/>
        <w:spacing w:line="460" w:lineRule="exact"/>
        <w:ind w:firstLine="464" w:firstLineChars="200"/>
        <w:jc w:val="left"/>
        <w:rPr>
          <w:rFonts w:eastAsia="方正仿宋_GBK"/>
          <w:color w:val="000000"/>
          <w:spacing w:val="-2"/>
          <w:sz w:val="24"/>
        </w:rPr>
      </w:pPr>
      <w:r>
        <w:rPr>
          <w:rFonts w:hint="eastAsia" w:ascii="Times New Roman" w:eastAsia="方正黑体_GBK"/>
          <w:bCs/>
          <w:color w:val="000000"/>
          <w:spacing w:val="-2"/>
          <w:kern w:val="0"/>
          <w:sz w:val="24"/>
        </w:rPr>
        <w:t>第十一条</w:t>
      </w:r>
      <w:r>
        <w:rPr>
          <w:rFonts w:eastAsia="方正仿宋_GBK"/>
          <w:b/>
          <w:bCs/>
          <w:color w:val="000000"/>
          <w:spacing w:val="-2"/>
          <w:kern w:val="0"/>
          <w:sz w:val="24"/>
        </w:rPr>
        <w:t xml:space="preserve">  </w:t>
      </w:r>
      <w:r>
        <w:rPr>
          <w:rFonts w:hint="eastAsia" w:eastAsia="方正仿宋_GBK"/>
          <w:color w:val="000000"/>
          <w:spacing w:val="-2"/>
          <w:kern w:val="0"/>
          <w:sz w:val="24"/>
        </w:rPr>
        <w:t>各级住房和城乡建设行政主管部门在实施监督和处理投诉举报工作中，发现串通投标行为或者弄虚作假行为的，应当依法进行认定和处理。</w:t>
      </w:r>
    </w:p>
    <w:p>
      <w:pPr>
        <w:suppressAutoHyphens/>
        <w:adjustRightInd w:val="0"/>
        <w:spacing w:line="460" w:lineRule="exact"/>
        <w:ind w:firstLine="464" w:firstLineChars="200"/>
        <w:jc w:val="left"/>
        <w:rPr>
          <w:rFonts w:eastAsia="方正仿宋_GBK"/>
          <w:color w:val="000000"/>
          <w:spacing w:val="-2"/>
          <w:sz w:val="24"/>
        </w:rPr>
      </w:pPr>
      <w:r>
        <w:rPr>
          <w:rFonts w:hint="eastAsia" w:eastAsia="方正仿宋_GBK"/>
          <w:color w:val="000000"/>
          <w:spacing w:val="-2"/>
          <w:kern w:val="0"/>
          <w:sz w:val="24"/>
        </w:rPr>
        <w:t>招标人、招标代理机构和投标人有串通投标、弄虚作假行为的，由住房和城乡建设行政主管部门按《中华人民共和国招标投标法》、《中华人民共和国招标投标法实施条例》及相关法律、法规和规章予以处理；涉及国家公务员、国家行政机关任命的其他人员的，由监察机关依法予以处理；情节严重构成犯罪的，依法追究刑事责任。</w:t>
      </w:r>
    </w:p>
    <w:p>
      <w:pPr>
        <w:suppressAutoHyphens/>
        <w:spacing w:line="460" w:lineRule="exact"/>
        <w:ind w:firstLine="464" w:firstLineChars="200"/>
        <w:jc w:val="left"/>
        <w:rPr>
          <w:rFonts w:eastAsia="方正仿宋_GBK"/>
          <w:color w:val="000000"/>
          <w:spacing w:val="-2"/>
          <w:sz w:val="24"/>
        </w:rPr>
      </w:pPr>
      <w:r>
        <w:rPr>
          <w:rFonts w:hint="eastAsia" w:ascii="Times New Roman" w:eastAsia="方正黑体_GBK"/>
          <w:bCs/>
          <w:color w:val="000000"/>
          <w:spacing w:val="-2"/>
          <w:kern w:val="0"/>
          <w:sz w:val="24"/>
        </w:rPr>
        <w:t>第十二条</w:t>
      </w:r>
      <w:r>
        <w:rPr>
          <w:rFonts w:eastAsia="方正仿宋_GBK"/>
          <w:b/>
          <w:bCs/>
          <w:color w:val="000000"/>
          <w:spacing w:val="-2"/>
          <w:kern w:val="0"/>
          <w:sz w:val="24"/>
        </w:rPr>
        <w:t xml:space="preserve">  </w:t>
      </w:r>
      <w:r>
        <w:rPr>
          <w:rFonts w:hint="eastAsia" w:eastAsia="方正仿宋_GBK"/>
          <w:color w:val="000000"/>
          <w:spacing w:val="-2"/>
          <w:kern w:val="0"/>
          <w:sz w:val="24"/>
        </w:rPr>
        <w:t>电子招标投标系统运营机构或为其提供技术服务的单位及相关人员发生串通投标或者弄虚作假行为的，由住房和城乡建设行政主管部门按相关法律、法规和规章予以处理，并终止其与住房和城乡建设部门订立的委托服务合同，取消其承担电子招标投标运营机构或者提供服务的资格，构成犯罪的，依法追究刑事责任。</w:t>
      </w:r>
    </w:p>
    <w:p>
      <w:pPr>
        <w:suppressAutoHyphens/>
        <w:spacing w:line="460" w:lineRule="exact"/>
        <w:ind w:firstLine="464" w:firstLineChars="200"/>
        <w:jc w:val="left"/>
        <w:rPr>
          <w:rFonts w:eastAsia="方正仿宋_GBK"/>
          <w:color w:val="000000"/>
          <w:spacing w:val="-2"/>
          <w:sz w:val="24"/>
        </w:rPr>
      </w:pPr>
      <w:r>
        <w:rPr>
          <w:rFonts w:hint="eastAsia" w:ascii="Times New Roman" w:eastAsia="方正黑体_GBK"/>
          <w:bCs/>
          <w:color w:val="000000"/>
          <w:spacing w:val="-2"/>
          <w:kern w:val="0"/>
          <w:sz w:val="24"/>
        </w:rPr>
        <w:t>第十三条</w:t>
      </w:r>
      <w:r>
        <w:rPr>
          <w:rFonts w:eastAsia="方正仿宋_GBK"/>
          <w:b/>
          <w:bCs/>
          <w:color w:val="000000"/>
          <w:spacing w:val="-2"/>
          <w:kern w:val="0"/>
          <w:sz w:val="24"/>
        </w:rPr>
        <w:t xml:space="preserve">  </w:t>
      </w:r>
      <w:r>
        <w:rPr>
          <w:rFonts w:hint="eastAsia" w:eastAsia="方正仿宋_GBK"/>
          <w:color w:val="000000"/>
          <w:spacing w:val="-2"/>
          <w:kern w:val="0"/>
          <w:sz w:val="24"/>
        </w:rPr>
        <w:t>住房和城乡建设行政主管部门自处理串通投标和弄虚作假违法行为的决定作出之日起</w:t>
      </w:r>
      <w:r>
        <w:rPr>
          <w:rFonts w:eastAsia="方正仿宋_GBK"/>
          <w:color w:val="000000"/>
          <w:spacing w:val="-2"/>
          <w:kern w:val="0"/>
          <w:sz w:val="24"/>
        </w:rPr>
        <w:t>3</w:t>
      </w:r>
      <w:r>
        <w:rPr>
          <w:rFonts w:hint="eastAsia" w:eastAsia="方正仿宋_GBK"/>
          <w:color w:val="000000"/>
          <w:spacing w:val="-2"/>
          <w:kern w:val="0"/>
          <w:sz w:val="24"/>
        </w:rPr>
        <w:t>个工作日内，按照国家、省有关规定进行惩戒。</w:t>
      </w:r>
    </w:p>
    <w:p>
      <w:pPr>
        <w:suppressAutoHyphens/>
        <w:spacing w:line="460" w:lineRule="exact"/>
        <w:ind w:firstLine="464" w:firstLineChars="200"/>
        <w:jc w:val="left"/>
        <w:rPr>
          <w:rFonts w:eastAsia="方正仿宋_GBK"/>
          <w:color w:val="000000"/>
          <w:spacing w:val="-2"/>
          <w:sz w:val="24"/>
        </w:rPr>
      </w:pPr>
      <w:r>
        <w:rPr>
          <w:rFonts w:hint="eastAsia" w:ascii="Times New Roman" w:eastAsia="方正黑体_GBK"/>
          <w:bCs/>
          <w:color w:val="000000"/>
          <w:spacing w:val="-2"/>
          <w:kern w:val="0"/>
          <w:sz w:val="24"/>
        </w:rPr>
        <w:t>第十四条</w:t>
      </w:r>
      <w:r>
        <w:rPr>
          <w:rFonts w:eastAsia="方正仿宋_GBK"/>
          <w:b/>
          <w:bCs/>
          <w:color w:val="000000"/>
          <w:spacing w:val="-2"/>
          <w:kern w:val="0"/>
          <w:sz w:val="24"/>
        </w:rPr>
        <w:t xml:space="preserve">  </w:t>
      </w:r>
      <w:r>
        <w:rPr>
          <w:rFonts w:hint="eastAsia" w:eastAsia="方正仿宋_GBK"/>
          <w:color w:val="000000"/>
          <w:spacing w:val="-2"/>
          <w:kern w:val="0"/>
          <w:sz w:val="24"/>
        </w:rPr>
        <w:t>本办法由江苏省住房和城乡建设厅负责解释。</w:t>
      </w:r>
    </w:p>
    <w:p>
      <w:pPr>
        <w:suppressAutoHyphens/>
        <w:spacing w:line="460" w:lineRule="exact"/>
        <w:ind w:firstLine="464" w:firstLineChars="200"/>
        <w:jc w:val="left"/>
        <w:rPr>
          <w:rFonts w:eastAsia="方正仿宋_GBK"/>
          <w:color w:val="000000"/>
          <w:spacing w:val="-2"/>
          <w:sz w:val="24"/>
        </w:rPr>
      </w:pPr>
      <w:r>
        <w:rPr>
          <w:rFonts w:hint="eastAsia" w:ascii="Times New Roman" w:eastAsia="方正黑体_GBK"/>
          <w:bCs/>
          <w:color w:val="000000"/>
          <w:spacing w:val="-2"/>
          <w:kern w:val="0"/>
          <w:sz w:val="24"/>
        </w:rPr>
        <w:t xml:space="preserve">第十五条 </w:t>
      </w:r>
      <w:r>
        <w:rPr>
          <w:rFonts w:eastAsia="方正仿宋_GBK"/>
          <w:b/>
          <w:bCs/>
          <w:color w:val="000000"/>
          <w:spacing w:val="-2"/>
          <w:kern w:val="0"/>
          <w:sz w:val="24"/>
        </w:rPr>
        <w:t xml:space="preserve"> </w:t>
      </w:r>
      <w:r>
        <w:rPr>
          <w:rFonts w:hint="eastAsia" w:eastAsia="方正仿宋_GBK"/>
          <w:color w:val="000000"/>
          <w:spacing w:val="-2"/>
          <w:kern w:val="0"/>
          <w:sz w:val="24"/>
        </w:rPr>
        <w:t>本办法自</w:t>
      </w:r>
      <w:r>
        <w:rPr>
          <w:rFonts w:eastAsia="方正仿宋_GBK"/>
          <w:color w:val="000000"/>
          <w:spacing w:val="-2"/>
          <w:kern w:val="0"/>
          <w:sz w:val="24"/>
        </w:rPr>
        <w:t>2015</w:t>
      </w:r>
      <w:r>
        <w:rPr>
          <w:rFonts w:hint="eastAsia" w:eastAsia="方正仿宋_GBK"/>
          <w:color w:val="000000"/>
          <w:spacing w:val="-2"/>
          <w:kern w:val="0"/>
          <w:sz w:val="24"/>
        </w:rPr>
        <w:t>年</w:t>
      </w:r>
      <w:r>
        <w:rPr>
          <w:rFonts w:eastAsia="方正仿宋_GBK"/>
          <w:color w:val="000000"/>
          <w:spacing w:val="-2"/>
          <w:kern w:val="0"/>
          <w:sz w:val="24"/>
        </w:rPr>
        <w:t>3</w:t>
      </w:r>
      <w:r>
        <w:rPr>
          <w:rFonts w:hint="eastAsia" w:eastAsia="方正仿宋_GBK"/>
          <w:color w:val="000000"/>
          <w:spacing w:val="-2"/>
          <w:kern w:val="0"/>
          <w:sz w:val="24"/>
        </w:rPr>
        <w:t>月</w:t>
      </w:r>
      <w:r>
        <w:rPr>
          <w:rFonts w:eastAsia="方正仿宋_GBK"/>
          <w:color w:val="000000"/>
          <w:spacing w:val="-2"/>
          <w:kern w:val="0"/>
          <w:sz w:val="24"/>
        </w:rPr>
        <w:t>1</w:t>
      </w:r>
      <w:r>
        <w:rPr>
          <w:rFonts w:hint="eastAsia" w:eastAsia="方正仿宋_GBK"/>
          <w:color w:val="000000"/>
          <w:spacing w:val="-2"/>
          <w:kern w:val="0"/>
          <w:sz w:val="24"/>
        </w:rPr>
        <w:t>日起施行。</w:t>
      </w:r>
    </w:p>
    <w:p>
      <w:pPr>
        <w:spacing w:line="460" w:lineRule="exact"/>
        <w:ind w:firstLine="464" w:firstLineChars="200"/>
        <w:rPr>
          <w:rFonts w:eastAsia="方正仿宋_GBK"/>
          <w:color w:val="000000"/>
          <w:spacing w:val="-2"/>
          <w:sz w:val="24"/>
        </w:rPr>
      </w:pPr>
    </w:p>
    <w:p>
      <w:pPr>
        <w:pStyle w:val="2"/>
        <w:spacing w:before="590" w:beforeLines="100" w:after="590" w:afterLines="100" w:line="240" w:lineRule="auto"/>
        <w:jc w:val="center"/>
        <w:rPr>
          <w:rFonts w:ascii="Times New Roman" w:eastAsia="方正小标宋_GBK"/>
          <w:b w:val="0"/>
          <w:sz w:val="36"/>
          <w:szCs w:val="36"/>
        </w:rPr>
      </w:pPr>
      <w:r>
        <w:rPr>
          <w:rFonts w:eastAsia="方正仿宋_GBK"/>
          <w:b w:val="0"/>
          <w:color w:val="000000"/>
          <w:spacing w:val="-2"/>
          <w:sz w:val="24"/>
        </w:rPr>
        <w:br w:type="column"/>
      </w:r>
      <w:bookmarkStart w:id="693" w:name="_Toc18315844"/>
      <w:bookmarkStart w:id="694" w:name="_Toc20726708"/>
      <w:r>
        <w:rPr>
          <w:rFonts w:hint="eastAsia" w:ascii="Times New Roman" w:eastAsia="方正小标宋_GBK"/>
          <w:b w:val="0"/>
          <w:sz w:val="36"/>
          <w:szCs w:val="36"/>
        </w:rPr>
        <w:t>江苏省房屋建筑和市政基础设施工程评标专家管理办法</w:t>
      </w:r>
      <w:bookmarkEnd w:id="693"/>
      <w:bookmarkEnd w:id="694"/>
    </w:p>
    <w:p>
      <w:pPr>
        <w:pStyle w:val="3"/>
        <w:spacing w:before="590" w:beforeLines="100" w:after="590" w:afterLines="100" w:line="240" w:lineRule="auto"/>
        <w:jc w:val="center"/>
        <w:rPr>
          <w:rFonts w:hint="eastAsia" w:ascii="Times New Roman" w:hAnsi="Times New Roman" w:eastAsia="方正楷体_GBK"/>
          <w:b w:val="0"/>
          <w:sz w:val="24"/>
          <w:szCs w:val="24"/>
        </w:rPr>
      </w:pPr>
      <w:bookmarkStart w:id="695" w:name="_Toc18315845"/>
      <w:bookmarkStart w:id="696" w:name="_Toc20726709"/>
      <w:r>
        <w:rPr>
          <w:rFonts w:hint="eastAsia" w:ascii="Times New Roman" w:hAnsi="Times New Roman" w:eastAsia="方正楷体_GBK"/>
          <w:b w:val="0"/>
          <w:sz w:val="24"/>
          <w:szCs w:val="24"/>
        </w:rPr>
        <w:t>苏建规字〔</w:t>
      </w:r>
      <w:r>
        <w:rPr>
          <w:rFonts w:ascii="Times New Roman" w:hAnsi="Times New Roman" w:eastAsia="方正楷体_GBK"/>
          <w:b w:val="0"/>
          <w:sz w:val="24"/>
          <w:szCs w:val="24"/>
        </w:rPr>
        <w:t>2014</w:t>
      </w:r>
      <w:r>
        <w:rPr>
          <w:rFonts w:hint="eastAsia" w:ascii="Times New Roman" w:hAnsi="Times New Roman" w:eastAsia="方正楷体_GBK"/>
          <w:b w:val="0"/>
          <w:sz w:val="24"/>
          <w:szCs w:val="24"/>
        </w:rPr>
        <w:t>〕</w:t>
      </w:r>
      <w:r>
        <w:rPr>
          <w:rFonts w:ascii="Times New Roman" w:hAnsi="Times New Roman" w:eastAsia="方正楷体_GBK"/>
          <w:b w:val="0"/>
          <w:sz w:val="24"/>
          <w:szCs w:val="24"/>
        </w:rPr>
        <w:t>4</w:t>
      </w:r>
      <w:r>
        <w:rPr>
          <w:rFonts w:hint="eastAsia" w:ascii="Times New Roman" w:hAnsi="Times New Roman" w:eastAsia="方正楷体_GBK"/>
          <w:b w:val="0"/>
          <w:sz w:val="24"/>
          <w:szCs w:val="24"/>
        </w:rPr>
        <w:t>号</w:t>
      </w:r>
      <w:bookmarkEnd w:id="695"/>
      <w:bookmarkEnd w:id="696"/>
    </w:p>
    <w:p>
      <w:pPr>
        <w:shd w:val="clear" w:color="auto" w:fill="FFFFFF"/>
        <w:spacing w:line="460" w:lineRule="exact"/>
        <w:jc w:val="center"/>
        <w:outlineLvl w:val="0"/>
        <w:rPr>
          <w:rFonts w:ascii="Times New Roman" w:eastAsia="黑体"/>
          <w:color w:val="000000"/>
          <w:kern w:val="36"/>
          <w:sz w:val="24"/>
        </w:rPr>
      </w:pPr>
      <w:bookmarkStart w:id="697" w:name="_Toc20668180"/>
      <w:bookmarkStart w:id="698" w:name="_Toc18315846"/>
      <w:bookmarkStart w:id="699" w:name="_Toc20726710"/>
      <w:r>
        <w:rPr>
          <w:rFonts w:hint="eastAsia" w:ascii="Times New Roman" w:eastAsia="黑体"/>
          <w:bCs/>
          <w:color w:val="000000"/>
          <w:kern w:val="36"/>
          <w:sz w:val="24"/>
        </w:rPr>
        <w:t xml:space="preserve">第一章  </w:t>
      </w:r>
      <w:r>
        <w:rPr>
          <w:rFonts w:eastAsia="黑体"/>
          <w:bCs/>
          <w:color w:val="000000"/>
          <w:kern w:val="36"/>
          <w:sz w:val="24"/>
        </w:rPr>
        <w:t> </w:t>
      </w:r>
      <w:r>
        <w:rPr>
          <w:rFonts w:hint="eastAsia" w:ascii="Times New Roman" w:eastAsia="黑体"/>
          <w:bCs/>
          <w:color w:val="000000"/>
          <w:kern w:val="36"/>
          <w:sz w:val="24"/>
        </w:rPr>
        <w:t>总则</w:t>
      </w:r>
      <w:bookmarkEnd w:id="697"/>
      <w:bookmarkEnd w:id="698"/>
      <w:bookmarkEnd w:id="699"/>
    </w:p>
    <w:p>
      <w:pPr>
        <w:shd w:val="clear" w:color="auto" w:fill="FFFFFF"/>
        <w:spacing w:line="460" w:lineRule="exact"/>
        <w:ind w:firstLine="472" w:firstLineChars="200"/>
        <w:jc w:val="left"/>
        <w:rPr>
          <w:rFonts w:hint="eastAsia" w:ascii="Times New Roman" w:eastAsia="黑体"/>
          <w:bCs/>
          <w:color w:val="000000"/>
          <w:kern w:val="0"/>
          <w:sz w:val="24"/>
        </w:rPr>
      </w:pPr>
    </w:p>
    <w:p>
      <w:pPr>
        <w:shd w:val="clear" w:color="auto" w:fill="FFFFFF"/>
        <w:spacing w:line="460" w:lineRule="exact"/>
        <w:ind w:firstLine="472" w:firstLineChars="200"/>
        <w:jc w:val="left"/>
        <w:rPr>
          <w:rFonts w:hint="eastAsia" w:eastAsia="方正仿宋_GBK"/>
          <w:color w:val="000000"/>
          <w:kern w:val="0"/>
          <w:sz w:val="24"/>
        </w:rPr>
      </w:pPr>
      <w:r>
        <w:rPr>
          <w:rFonts w:hint="eastAsia" w:ascii="Times New Roman" w:eastAsia="黑体"/>
          <w:bCs/>
          <w:color w:val="000000"/>
          <w:kern w:val="0"/>
          <w:sz w:val="24"/>
        </w:rPr>
        <w:t>第一条</w:t>
      </w:r>
      <w:r>
        <w:rPr>
          <w:rFonts w:eastAsia="方正仿宋_GBK"/>
          <w:color w:val="000000"/>
          <w:kern w:val="0"/>
          <w:sz w:val="24"/>
        </w:rPr>
        <w:t xml:space="preserve">  </w:t>
      </w:r>
      <w:r>
        <w:rPr>
          <w:rFonts w:hint="eastAsia" w:eastAsia="方正仿宋_GBK"/>
          <w:color w:val="000000"/>
          <w:kern w:val="0"/>
          <w:sz w:val="24"/>
        </w:rPr>
        <w:t>为加强房屋建筑和市政基础设施工程评标专家（以下简称</w:t>
      </w:r>
      <w:r>
        <w:rPr>
          <w:rFonts w:eastAsia="方正仿宋_GBK"/>
          <w:color w:val="000000"/>
          <w:kern w:val="0"/>
          <w:sz w:val="24"/>
        </w:rPr>
        <w:t>“</w:t>
      </w:r>
      <w:r>
        <w:rPr>
          <w:rFonts w:hint="eastAsia" w:eastAsia="方正仿宋_GBK"/>
          <w:color w:val="000000"/>
          <w:kern w:val="0"/>
          <w:sz w:val="24"/>
        </w:rPr>
        <w:t>评标专家</w:t>
      </w:r>
      <w:r>
        <w:rPr>
          <w:rFonts w:eastAsia="方正仿宋_GBK"/>
          <w:color w:val="000000"/>
          <w:kern w:val="0"/>
          <w:sz w:val="24"/>
        </w:rPr>
        <w:t>”</w:t>
      </w:r>
      <w:r>
        <w:rPr>
          <w:rFonts w:hint="eastAsia" w:eastAsia="方正仿宋_GBK"/>
          <w:color w:val="000000"/>
          <w:kern w:val="0"/>
          <w:sz w:val="24"/>
        </w:rPr>
        <w:t>）的管理，保证评标活动公平、公正，提高评标质量，依据《中华人民共和国招标投标法》、《中华人民共和国招标投标法实施条例》、《评标委员会和评标方法暂行规定》、《评标专家和评标专家库管理暂行办法》，结合我省实际，制定本办法。</w:t>
      </w:r>
    </w:p>
    <w:p>
      <w:pPr>
        <w:shd w:val="clear" w:color="auto" w:fill="FFFFFF"/>
        <w:spacing w:line="460" w:lineRule="exact"/>
        <w:ind w:firstLine="472" w:firstLineChars="200"/>
        <w:jc w:val="left"/>
        <w:rPr>
          <w:rFonts w:eastAsia="方正仿宋_GBK"/>
          <w:color w:val="000000"/>
          <w:kern w:val="0"/>
          <w:sz w:val="24"/>
        </w:rPr>
      </w:pPr>
      <w:r>
        <w:rPr>
          <w:rFonts w:hint="eastAsia" w:ascii="Times New Roman" w:eastAsia="黑体"/>
          <w:bCs/>
          <w:color w:val="000000"/>
          <w:kern w:val="0"/>
          <w:sz w:val="24"/>
        </w:rPr>
        <w:t>第二条</w:t>
      </w:r>
      <w:r>
        <w:rPr>
          <w:rFonts w:eastAsia="方正仿宋_GBK"/>
          <w:color w:val="000000"/>
          <w:kern w:val="0"/>
          <w:sz w:val="24"/>
        </w:rPr>
        <w:t xml:space="preserve">  </w:t>
      </w:r>
      <w:r>
        <w:rPr>
          <w:rFonts w:hint="eastAsia" w:eastAsia="方正仿宋_GBK"/>
          <w:color w:val="000000"/>
          <w:kern w:val="0"/>
          <w:sz w:val="24"/>
        </w:rPr>
        <w:t>本办法所称的评标专家是指在房屋建筑和市政基础设施工程技术、经济及管理等方面有较高理论水平和丰富实践经验，符合本办法规定条件并经省住房和城乡建设厅聘用从事评标等相关工作的人员。</w:t>
      </w:r>
      <w:r>
        <w:rPr>
          <w:rFonts w:eastAsia="方正仿宋_GBK"/>
          <w:color w:val="000000"/>
          <w:kern w:val="0"/>
          <w:sz w:val="24"/>
        </w:rPr>
        <w:t> </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由上述人员组成省房屋建筑和市政基础设施工程评标专家库（以下简称</w:t>
      </w:r>
      <w:r>
        <w:rPr>
          <w:rFonts w:eastAsia="方正仿宋_GBK"/>
          <w:color w:val="000000"/>
          <w:kern w:val="0"/>
          <w:sz w:val="24"/>
        </w:rPr>
        <w:t>“</w:t>
      </w:r>
      <w:r>
        <w:rPr>
          <w:rFonts w:hint="eastAsia" w:eastAsia="方正仿宋_GBK"/>
          <w:color w:val="000000"/>
          <w:kern w:val="0"/>
          <w:sz w:val="24"/>
        </w:rPr>
        <w:t>省评标专家库</w:t>
      </w:r>
      <w:r>
        <w:rPr>
          <w:rFonts w:eastAsia="方正仿宋_GBK"/>
          <w:color w:val="000000"/>
          <w:kern w:val="0"/>
          <w:sz w:val="24"/>
        </w:rPr>
        <w:t>”</w:t>
      </w:r>
      <w:r>
        <w:rPr>
          <w:rFonts w:hint="eastAsia" w:eastAsia="方正仿宋_GBK"/>
          <w:color w:val="000000"/>
          <w:kern w:val="0"/>
          <w:sz w:val="24"/>
        </w:rPr>
        <w:t>）。省评标专家库由各市、县（市、区）分库组成，评标专家按照其工作或者住所所在地进入各市、县（市、区）分库。</w:t>
      </w:r>
    </w:p>
    <w:p>
      <w:pPr>
        <w:shd w:val="clear" w:color="auto" w:fill="FFFFFF"/>
        <w:spacing w:line="460" w:lineRule="exact"/>
        <w:ind w:firstLine="472" w:firstLineChars="200"/>
        <w:jc w:val="left"/>
        <w:rPr>
          <w:rFonts w:eastAsia="方正仿宋_GBK"/>
          <w:color w:val="000000"/>
          <w:spacing w:val="-6"/>
          <w:kern w:val="0"/>
          <w:sz w:val="24"/>
        </w:rPr>
      </w:pPr>
      <w:r>
        <w:rPr>
          <w:rFonts w:hint="eastAsia" w:ascii="Times New Roman" w:eastAsia="黑体"/>
          <w:bCs/>
          <w:color w:val="000000"/>
          <w:kern w:val="0"/>
          <w:sz w:val="24"/>
        </w:rPr>
        <w:t>第三条</w:t>
      </w:r>
      <w:r>
        <w:rPr>
          <w:rFonts w:eastAsia="方正仿宋_GBK"/>
          <w:color w:val="000000"/>
          <w:kern w:val="0"/>
          <w:sz w:val="24"/>
        </w:rPr>
        <w:t xml:space="preserve">  </w:t>
      </w:r>
      <w:r>
        <w:rPr>
          <w:rFonts w:hint="eastAsia" w:eastAsia="方正仿宋_GBK"/>
          <w:color w:val="000000"/>
          <w:spacing w:val="-6"/>
          <w:kern w:val="0"/>
          <w:sz w:val="24"/>
        </w:rPr>
        <w:t>本省评标专家的认定、动态考核及专家库的组建、使用与管理适用本办法。</w:t>
      </w:r>
    </w:p>
    <w:p>
      <w:pPr>
        <w:shd w:val="clear" w:color="auto" w:fill="FFFFFF"/>
        <w:spacing w:line="460" w:lineRule="exact"/>
        <w:ind w:firstLine="472" w:firstLineChars="200"/>
        <w:jc w:val="left"/>
        <w:rPr>
          <w:rFonts w:eastAsia="方正仿宋_GBK"/>
          <w:color w:val="000000"/>
          <w:kern w:val="0"/>
          <w:sz w:val="24"/>
        </w:rPr>
      </w:pPr>
      <w:r>
        <w:rPr>
          <w:rFonts w:hint="eastAsia" w:ascii="Times New Roman" w:eastAsia="黑体"/>
          <w:bCs/>
          <w:color w:val="000000"/>
          <w:kern w:val="0"/>
          <w:sz w:val="24"/>
        </w:rPr>
        <w:t>第四条</w:t>
      </w:r>
      <w:r>
        <w:rPr>
          <w:rFonts w:eastAsia="方正仿宋_GBK"/>
          <w:color w:val="000000"/>
          <w:kern w:val="0"/>
          <w:sz w:val="24"/>
        </w:rPr>
        <w:t xml:space="preserve">  </w:t>
      </w:r>
      <w:r>
        <w:rPr>
          <w:rFonts w:hint="eastAsia" w:eastAsia="方正仿宋_GBK"/>
          <w:color w:val="000000"/>
          <w:kern w:val="0"/>
          <w:sz w:val="24"/>
        </w:rPr>
        <w:t>省住房和城乡建设行政主管部门是全省房屋建筑和市政基础设施工程招标投标评标专家的管理部门。省招投标监管机构受省住房和城乡建设厅委托，具体负责省评标专家库的建立和评标专家的动态管理，其主要职责是：</w:t>
      </w:r>
    </w:p>
    <w:p>
      <w:pPr>
        <w:shd w:val="clear" w:color="auto" w:fill="FFFFFF"/>
        <w:spacing w:line="460" w:lineRule="exact"/>
        <w:ind w:firstLine="472" w:firstLineChars="200"/>
        <w:jc w:val="left"/>
        <w:rPr>
          <w:rFonts w:eastAsia="方正仿宋_GBK"/>
          <w:color w:val="000000"/>
          <w:spacing w:val="-6"/>
          <w:kern w:val="0"/>
          <w:sz w:val="24"/>
        </w:rPr>
      </w:pPr>
      <w:r>
        <w:rPr>
          <w:rFonts w:hint="eastAsia" w:eastAsia="方正仿宋_GBK"/>
          <w:color w:val="000000"/>
          <w:kern w:val="0"/>
          <w:sz w:val="24"/>
        </w:rPr>
        <w:t>（一）</w:t>
      </w:r>
      <w:r>
        <w:rPr>
          <w:rFonts w:hint="eastAsia" w:eastAsia="方正仿宋_GBK"/>
          <w:color w:val="000000"/>
          <w:spacing w:val="-6"/>
          <w:kern w:val="0"/>
          <w:sz w:val="24"/>
        </w:rPr>
        <w:t>负责评标专家的资格审查和选聘，指导和监督全省评标专家的培训、考核；</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（二）指导和监督市、县（市、区）评标专家分库的使用和管理；</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（三）依法查处评标专家在评标活动中的违法违规行为。</w:t>
      </w:r>
    </w:p>
    <w:p>
      <w:pPr>
        <w:shd w:val="clear" w:color="auto" w:fill="FFFFFF"/>
        <w:spacing w:line="460" w:lineRule="exact"/>
        <w:ind w:firstLine="472" w:firstLineChars="200"/>
        <w:jc w:val="left"/>
        <w:rPr>
          <w:rFonts w:eastAsia="方正仿宋_GBK"/>
          <w:color w:val="000000"/>
          <w:kern w:val="0"/>
          <w:sz w:val="24"/>
        </w:rPr>
      </w:pPr>
      <w:r>
        <w:rPr>
          <w:rFonts w:hint="eastAsia" w:ascii="Times New Roman" w:eastAsia="黑体"/>
          <w:bCs/>
          <w:color w:val="000000"/>
          <w:kern w:val="0"/>
          <w:sz w:val="24"/>
        </w:rPr>
        <w:t>第五条</w:t>
      </w:r>
      <w:r>
        <w:rPr>
          <w:rFonts w:eastAsia="方正仿宋_GBK"/>
          <w:color w:val="000000"/>
          <w:kern w:val="0"/>
          <w:sz w:val="24"/>
        </w:rPr>
        <w:t xml:space="preserve">  </w:t>
      </w:r>
      <w:r>
        <w:rPr>
          <w:rFonts w:hint="eastAsia" w:eastAsia="方正仿宋_GBK"/>
          <w:color w:val="000000"/>
          <w:kern w:val="0"/>
          <w:sz w:val="24"/>
        </w:rPr>
        <w:t>各市、县（市、区）招投标监管机构负责本地区评标专家分库的日常管理，其主要职责是：</w:t>
      </w:r>
    </w:p>
    <w:p>
      <w:pPr>
        <w:shd w:val="clear" w:color="auto" w:fill="FFFFFF"/>
        <w:spacing w:line="460" w:lineRule="exact"/>
        <w:ind w:firstLine="432" w:firstLineChars="200"/>
        <w:jc w:val="left"/>
        <w:rPr>
          <w:rFonts w:eastAsia="方正仿宋_GBK"/>
          <w:color w:val="000000"/>
          <w:spacing w:val="-10"/>
          <w:kern w:val="0"/>
          <w:sz w:val="24"/>
        </w:rPr>
      </w:pPr>
      <w:r>
        <w:rPr>
          <w:rFonts w:hint="eastAsia" w:eastAsia="方正仿宋_GBK"/>
          <w:color w:val="000000"/>
          <w:spacing w:val="-10"/>
          <w:kern w:val="0"/>
          <w:sz w:val="24"/>
        </w:rPr>
        <w:t>（一）负责本地区申报评标专家的资格初审、推荐和评标专家分库的日常维护管理；</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（二）负责监督评标专家的抽取、确定；</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（三）负责本地区评标专家的培训、考核和管理；</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（四）依法查处评标专家在评标活动中的违法违规行为。</w:t>
      </w:r>
    </w:p>
    <w:p>
      <w:pPr>
        <w:shd w:val="clear" w:color="auto" w:fill="FFFFFF"/>
        <w:spacing w:line="460" w:lineRule="exact"/>
        <w:ind w:firstLine="472" w:firstLineChars="200"/>
        <w:jc w:val="left"/>
        <w:rPr>
          <w:rFonts w:eastAsia="方正仿宋_GBK"/>
          <w:color w:val="000000"/>
          <w:kern w:val="0"/>
          <w:sz w:val="24"/>
        </w:rPr>
      </w:pPr>
      <w:r>
        <w:rPr>
          <w:rFonts w:hint="eastAsia" w:ascii="Times New Roman" w:eastAsia="黑体"/>
          <w:bCs/>
          <w:color w:val="000000"/>
          <w:kern w:val="0"/>
          <w:sz w:val="24"/>
        </w:rPr>
        <w:t>第六条</w:t>
      </w:r>
      <w:r>
        <w:rPr>
          <w:rFonts w:eastAsia="方正仿宋_GBK"/>
          <w:b/>
          <w:bCs/>
          <w:color w:val="000000"/>
          <w:kern w:val="0"/>
          <w:sz w:val="24"/>
        </w:rPr>
        <w:t xml:space="preserve">  </w:t>
      </w:r>
      <w:r>
        <w:rPr>
          <w:rFonts w:hint="eastAsia" w:eastAsia="方正仿宋_GBK"/>
          <w:color w:val="000000"/>
          <w:kern w:val="0"/>
          <w:sz w:val="24"/>
        </w:rPr>
        <w:t>评标专家享有以下权利：</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（一）接受招标人聘请，担任评标委员会成员；</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（二）依法对投标文件进行独立评审，提出评审意见，不受任何单位或者个人的干预；</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（三）接受参加评标活动的劳务报酬；</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（四）对评标专家的管理工作提出意见和建议。</w:t>
      </w:r>
    </w:p>
    <w:p>
      <w:pPr>
        <w:shd w:val="clear" w:color="auto" w:fill="FFFFFF"/>
        <w:spacing w:line="460" w:lineRule="exact"/>
        <w:ind w:firstLine="472" w:firstLineChars="200"/>
        <w:jc w:val="left"/>
        <w:rPr>
          <w:rFonts w:eastAsia="方正仿宋_GBK"/>
          <w:color w:val="000000"/>
          <w:kern w:val="0"/>
          <w:sz w:val="24"/>
        </w:rPr>
      </w:pPr>
      <w:r>
        <w:rPr>
          <w:rFonts w:hint="eastAsia" w:ascii="Times New Roman" w:eastAsia="黑体"/>
          <w:bCs/>
          <w:color w:val="000000"/>
          <w:kern w:val="0"/>
          <w:sz w:val="24"/>
        </w:rPr>
        <w:t>第七条</w:t>
      </w:r>
      <w:r>
        <w:rPr>
          <w:rFonts w:eastAsia="方正仿宋_GBK"/>
          <w:b/>
          <w:bCs/>
          <w:color w:val="000000"/>
          <w:kern w:val="0"/>
          <w:sz w:val="24"/>
        </w:rPr>
        <w:t xml:space="preserve">  </w:t>
      </w:r>
      <w:r>
        <w:rPr>
          <w:rFonts w:hint="eastAsia" w:eastAsia="方正仿宋_GBK"/>
          <w:color w:val="000000"/>
          <w:kern w:val="0"/>
          <w:sz w:val="24"/>
        </w:rPr>
        <w:t>评标专家应当履行以下义务：</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（一）符合《评标委员会和评标方法暂行规定》（七部委</w:t>
      </w:r>
      <w:r>
        <w:rPr>
          <w:rFonts w:eastAsia="方正仿宋_GBK"/>
          <w:color w:val="000000"/>
          <w:kern w:val="0"/>
          <w:sz w:val="24"/>
        </w:rPr>
        <w:t>12</w:t>
      </w:r>
      <w:r>
        <w:rPr>
          <w:rFonts w:hint="eastAsia" w:eastAsia="方正仿宋_GBK"/>
          <w:color w:val="000000"/>
          <w:kern w:val="0"/>
          <w:sz w:val="24"/>
        </w:rPr>
        <w:t>号令）第十二条规定情形之一的，应当主动提出回避；</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（二）遵守评标工作纪律，不得私下接触投标人，不得收受他人的财物或者其他好处，不得透露对投标文件的评审和比较、中标候选人的推荐情况以及与评标有关的其他情况；</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（三）客观公正地进行评标；</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（四）协助、配合有关行政监督部门的监督、检查；</w:t>
      </w:r>
    </w:p>
    <w:p>
      <w:pPr>
        <w:shd w:val="clear" w:color="auto" w:fill="FFFFFF"/>
        <w:spacing w:line="460" w:lineRule="exact"/>
        <w:ind w:firstLine="472" w:firstLineChars="200"/>
        <w:jc w:val="left"/>
        <w:rPr>
          <w:rFonts w:eastAsia="方正仿宋_GBK"/>
          <w:color w:val="000000"/>
          <w:spacing w:val="-8"/>
          <w:kern w:val="0"/>
          <w:sz w:val="24"/>
        </w:rPr>
      </w:pPr>
      <w:r>
        <w:rPr>
          <w:rFonts w:hint="eastAsia" w:eastAsia="方正仿宋_GBK"/>
          <w:color w:val="000000"/>
          <w:kern w:val="0"/>
          <w:sz w:val="24"/>
        </w:rPr>
        <w:t>（五）</w:t>
      </w:r>
      <w:r>
        <w:rPr>
          <w:rFonts w:hint="eastAsia" w:eastAsia="方正仿宋_GBK"/>
          <w:color w:val="000000"/>
          <w:spacing w:val="-8"/>
          <w:kern w:val="0"/>
          <w:sz w:val="24"/>
        </w:rPr>
        <w:t>聘用单位信息发生变化，或者个人信息等发生变化的，应及时更新个人信息；</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（六）参加招投标监管机构组织的培训；</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（七）法律、法规规定的其他义务。</w:t>
      </w:r>
    </w:p>
    <w:p>
      <w:pPr>
        <w:shd w:val="clear" w:color="auto" w:fill="FFFFFF"/>
        <w:spacing w:line="460" w:lineRule="exact"/>
        <w:ind w:firstLine="472" w:firstLineChars="200"/>
        <w:jc w:val="left"/>
        <w:rPr>
          <w:rFonts w:eastAsia="方正仿宋_GBK"/>
          <w:color w:val="000000"/>
          <w:kern w:val="0"/>
          <w:sz w:val="24"/>
        </w:rPr>
      </w:pPr>
    </w:p>
    <w:p>
      <w:pPr>
        <w:shd w:val="clear" w:color="auto" w:fill="FFFFFF"/>
        <w:spacing w:line="460" w:lineRule="exact"/>
        <w:jc w:val="center"/>
        <w:outlineLvl w:val="0"/>
        <w:rPr>
          <w:rFonts w:ascii="Times New Roman" w:eastAsia="黑体"/>
          <w:color w:val="000000"/>
          <w:kern w:val="36"/>
          <w:sz w:val="24"/>
        </w:rPr>
      </w:pPr>
      <w:bookmarkStart w:id="700" w:name="_Toc20668181"/>
      <w:bookmarkStart w:id="701" w:name="_Toc20726711"/>
      <w:bookmarkStart w:id="702" w:name="_Toc18315847"/>
      <w:r>
        <w:rPr>
          <w:rFonts w:hint="eastAsia" w:ascii="Times New Roman" w:eastAsia="黑体"/>
          <w:bCs/>
          <w:color w:val="000000"/>
          <w:kern w:val="36"/>
          <w:sz w:val="24"/>
        </w:rPr>
        <w:t>第二章  评标专家库的建立</w:t>
      </w:r>
      <w:bookmarkEnd w:id="700"/>
      <w:bookmarkEnd w:id="701"/>
      <w:bookmarkEnd w:id="702"/>
    </w:p>
    <w:p>
      <w:pPr>
        <w:shd w:val="clear" w:color="auto" w:fill="FFFFFF"/>
        <w:spacing w:line="460" w:lineRule="exact"/>
        <w:ind w:firstLine="472" w:firstLineChars="200"/>
        <w:jc w:val="left"/>
        <w:rPr>
          <w:rFonts w:hint="eastAsia" w:eastAsia="方正仿宋_GBK"/>
          <w:b/>
          <w:bCs/>
          <w:color w:val="000000"/>
          <w:kern w:val="0"/>
          <w:sz w:val="24"/>
        </w:rPr>
      </w:pPr>
    </w:p>
    <w:p>
      <w:pPr>
        <w:shd w:val="clear" w:color="auto" w:fill="FFFFFF"/>
        <w:spacing w:line="460" w:lineRule="exact"/>
        <w:ind w:firstLine="472" w:firstLineChars="200"/>
        <w:jc w:val="left"/>
        <w:rPr>
          <w:rFonts w:eastAsia="方正仿宋_GBK"/>
          <w:color w:val="000000"/>
          <w:kern w:val="0"/>
          <w:sz w:val="24"/>
        </w:rPr>
      </w:pPr>
      <w:r>
        <w:rPr>
          <w:rFonts w:hint="eastAsia" w:ascii="Times New Roman" w:eastAsia="黑体"/>
          <w:bCs/>
          <w:color w:val="000000"/>
          <w:kern w:val="0"/>
          <w:sz w:val="24"/>
        </w:rPr>
        <w:t>第八条</w:t>
      </w:r>
      <w:r>
        <w:rPr>
          <w:rFonts w:eastAsia="方正仿宋_GBK"/>
          <w:color w:val="000000"/>
          <w:kern w:val="0"/>
          <w:sz w:val="24"/>
        </w:rPr>
        <w:t xml:space="preserve">  </w:t>
      </w:r>
      <w:r>
        <w:rPr>
          <w:rFonts w:hint="eastAsia" w:eastAsia="方正仿宋_GBK"/>
          <w:color w:val="000000"/>
          <w:kern w:val="0"/>
          <w:sz w:val="24"/>
        </w:rPr>
        <w:t>全省建立统一的</w:t>
      </w:r>
      <w:r>
        <w:rPr>
          <w:rFonts w:eastAsia="方正仿宋_GBK"/>
          <w:color w:val="000000"/>
          <w:kern w:val="0"/>
          <w:sz w:val="24"/>
        </w:rPr>
        <w:t>“</w:t>
      </w:r>
      <w:r>
        <w:rPr>
          <w:rFonts w:hint="eastAsia" w:eastAsia="方正仿宋_GBK"/>
          <w:color w:val="000000"/>
          <w:kern w:val="0"/>
          <w:sz w:val="24"/>
        </w:rPr>
        <w:t>评委管理系统</w:t>
      </w:r>
      <w:r>
        <w:rPr>
          <w:rFonts w:eastAsia="方正仿宋_GBK"/>
          <w:color w:val="000000"/>
          <w:kern w:val="0"/>
          <w:sz w:val="24"/>
        </w:rPr>
        <w:t>”</w:t>
      </w:r>
      <w:r>
        <w:rPr>
          <w:rFonts w:hint="eastAsia" w:eastAsia="方正仿宋_GBK"/>
          <w:color w:val="000000"/>
          <w:kern w:val="0"/>
          <w:sz w:val="24"/>
        </w:rPr>
        <w:t>。评标专家的申报、资格审查与管理通过</w:t>
      </w:r>
      <w:r>
        <w:rPr>
          <w:rFonts w:eastAsia="方正仿宋_GBK"/>
          <w:color w:val="000000"/>
          <w:kern w:val="0"/>
          <w:sz w:val="24"/>
        </w:rPr>
        <w:t>“</w:t>
      </w:r>
      <w:r>
        <w:rPr>
          <w:rFonts w:hint="eastAsia" w:eastAsia="方正仿宋_GBK"/>
          <w:color w:val="000000"/>
          <w:kern w:val="0"/>
          <w:sz w:val="24"/>
        </w:rPr>
        <w:t>评委管理系统</w:t>
      </w:r>
      <w:r>
        <w:rPr>
          <w:rFonts w:eastAsia="方正仿宋_GBK"/>
          <w:color w:val="000000"/>
          <w:kern w:val="0"/>
          <w:sz w:val="24"/>
        </w:rPr>
        <w:t>”</w:t>
      </w:r>
      <w:r>
        <w:rPr>
          <w:rFonts w:hint="eastAsia" w:eastAsia="方正仿宋_GBK"/>
          <w:color w:val="000000"/>
          <w:kern w:val="0"/>
          <w:sz w:val="24"/>
        </w:rPr>
        <w:t>进行，评标专家及评标专家库的相关信息通过系统交换、更新和资源共享。</w:t>
      </w:r>
    </w:p>
    <w:p>
      <w:pPr>
        <w:shd w:val="clear" w:color="auto" w:fill="FFFFFF"/>
        <w:spacing w:line="460" w:lineRule="exact"/>
        <w:ind w:firstLine="472" w:firstLineChars="200"/>
        <w:jc w:val="left"/>
        <w:rPr>
          <w:rFonts w:eastAsia="方正仿宋_GBK"/>
          <w:color w:val="000000"/>
          <w:kern w:val="0"/>
          <w:sz w:val="24"/>
        </w:rPr>
      </w:pPr>
      <w:r>
        <w:rPr>
          <w:rFonts w:hint="eastAsia" w:ascii="Times New Roman" w:eastAsia="黑体"/>
          <w:bCs/>
          <w:color w:val="000000"/>
          <w:kern w:val="0"/>
          <w:sz w:val="24"/>
        </w:rPr>
        <w:t>第九条</w:t>
      </w:r>
      <w:r>
        <w:rPr>
          <w:rFonts w:eastAsia="方正仿宋_GBK"/>
          <w:b/>
          <w:bCs/>
          <w:color w:val="000000"/>
          <w:kern w:val="0"/>
          <w:sz w:val="24"/>
        </w:rPr>
        <w:t xml:space="preserve">  </w:t>
      </w:r>
      <w:r>
        <w:rPr>
          <w:rFonts w:hint="eastAsia" w:eastAsia="方正仿宋_GBK"/>
          <w:color w:val="000000"/>
          <w:kern w:val="0"/>
          <w:sz w:val="24"/>
        </w:rPr>
        <w:t>省评标专家库专业按照《江苏省房屋建筑和市政基础设施工程评标专家专业分类标准》（见附件</w:t>
      </w:r>
      <w:r>
        <w:rPr>
          <w:rFonts w:eastAsia="方正仿宋_GBK"/>
          <w:color w:val="000000"/>
          <w:kern w:val="0"/>
          <w:sz w:val="24"/>
        </w:rPr>
        <w:t>1</w:t>
      </w:r>
      <w:r>
        <w:rPr>
          <w:rFonts w:hint="eastAsia" w:eastAsia="方正仿宋_GBK"/>
          <w:color w:val="000000"/>
          <w:kern w:val="0"/>
          <w:sz w:val="24"/>
        </w:rPr>
        <w:t>）设置。</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申请人申报的专业数量，具有正高级职称的不超过</w:t>
      </w:r>
      <w:r>
        <w:rPr>
          <w:rFonts w:eastAsia="方正仿宋_GBK"/>
          <w:color w:val="000000"/>
          <w:kern w:val="0"/>
          <w:sz w:val="24"/>
        </w:rPr>
        <w:t>9</w:t>
      </w:r>
      <w:r>
        <w:rPr>
          <w:rFonts w:hint="eastAsia" w:eastAsia="方正仿宋_GBK"/>
          <w:color w:val="000000"/>
          <w:kern w:val="0"/>
          <w:sz w:val="24"/>
        </w:rPr>
        <w:t>个专业，高级职称的不超过</w:t>
      </w:r>
      <w:r>
        <w:rPr>
          <w:rFonts w:eastAsia="方正仿宋_GBK"/>
          <w:color w:val="000000"/>
          <w:kern w:val="0"/>
          <w:sz w:val="24"/>
        </w:rPr>
        <w:t>7</w:t>
      </w:r>
      <w:r>
        <w:rPr>
          <w:rFonts w:hint="eastAsia" w:eastAsia="方正仿宋_GBK"/>
          <w:color w:val="000000"/>
          <w:kern w:val="0"/>
          <w:sz w:val="24"/>
        </w:rPr>
        <w:t>个专业，中级职称的不超过</w:t>
      </w:r>
      <w:r>
        <w:rPr>
          <w:rFonts w:eastAsia="方正仿宋_GBK"/>
          <w:color w:val="000000"/>
          <w:kern w:val="0"/>
          <w:sz w:val="24"/>
        </w:rPr>
        <w:t>5</w:t>
      </w:r>
      <w:r>
        <w:rPr>
          <w:rFonts w:hint="eastAsia" w:eastAsia="方正仿宋_GBK"/>
          <w:color w:val="000000"/>
          <w:kern w:val="0"/>
          <w:sz w:val="24"/>
        </w:rPr>
        <w:t>个专业。</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申请人申报的专业应与本人所学专业、工作经历或者执业范围等相符合，且应当提供证明本人工作能力和水平的相关材料。所申报的专业两次被省招投标监管机构审查退回的，一年内不能重新申报。审查通过的专业</w:t>
      </w:r>
      <w:r>
        <w:rPr>
          <w:rFonts w:eastAsia="方正仿宋_GBK"/>
          <w:color w:val="000000"/>
          <w:kern w:val="0"/>
          <w:sz w:val="24"/>
        </w:rPr>
        <w:t>3</w:t>
      </w:r>
      <w:r>
        <w:rPr>
          <w:rFonts w:hint="eastAsia" w:eastAsia="方正仿宋_GBK"/>
          <w:color w:val="000000"/>
          <w:kern w:val="0"/>
          <w:sz w:val="24"/>
        </w:rPr>
        <w:t>年内不得变更。</w:t>
      </w:r>
    </w:p>
    <w:p>
      <w:pPr>
        <w:shd w:val="clear" w:color="auto" w:fill="FFFFFF"/>
        <w:spacing w:line="460" w:lineRule="exact"/>
        <w:ind w:firstLine="472" w:firstLineChars="200"/>
        <w:jc w:val="left"/>
        <w:rPr>
          <w:rFonts w:eastAsia="方正仿宋_GBK"/>
          <w:color w:val="000000"/>
          <w:kern w:val="0"/>
          <w:sz w:val="24"/>
        </w:rPr>
      </w:pPr>
      <w:r>
        <w:rPr>
          <w:rFonts w:hint="eastAsia" w:ascii="Times New Roman" w:eastAsia="黑体"/>
          <w:bCs/>
          <w:color w:val="000000"/>
          <w:kern w:val="0"/>
          <w:sz w:val="24"/>
        </w:rPr>
        <w:t>第十条</w:t>
      </w:r>
      <w:r>
        <w:rPr>
          <w:rFonts w:eastAsia="方正仿宋_GBK"/>
          <w:color w:val="000000"/>
          <w:kern w:val="0"/>
          <w:sz w:val="24"/>
        </w:rPr>
        <w:t xml:space="preserve">  </w:t>
      </w:r>
      <w:r>
        <w:rPr>
          <w:rFonts w:hint="eastAsia" w:eastAsia="方正仿宋_GBK"/>
          <w:color w:val="000000"/>
          <w:kern w:val="0"/>
          <w:sz w:val="24"/>
        </w:rPr>
        <w:t>申请人申报评标专家按照下列程序进行：</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（一）申请人登录“江苏建设工程招标网”“评委管理系统”进行申报；</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（二）各市、县（市、区）招投标监管机构登录“</w:t>
      </w:r>
      <w:r>
        <w:rPr>
          <w:rFonts w:eastAsia="方正仿宋_GBK"/>
          <w:color w:val="000000"/>
          <w:kern w:val="0"/>
          <w:sz w:val="24"/>
        </w:rPr>
        <w:t>“</w:t>
      </w:r>
      <w:r>
        <w:rPr>
          <w:rFonts w:hint="eastAsia" w:eastAsia="方正仿宋_GBK"/>
          <w:color w:val="000000"/>
          <w:kern w:val="0"/>
          <w:sz w:val="24"/>
        </w:rPr>
        <w:t>评委管理系统”</w:t>
      </w:r>
      <w:r>
        <w:rPr>
          <w:rFonts w:eastAsia="方正仿宋_GBK"/>
          <w:color w:val="000000"/>
          <w:kern w:val="0"/>
          <w:sz w:val="24"/>
        </w:rPr>
        <w:t>”</w:t>
      </w:r>
      <w:r>
        <w:rPr>
          <w:rFonts w:hint="eastAsia" w:eastAsia="方正仿宋_GBK"/>
          <w:color w:val="000000"/>
          <w:kern w:val="0"/>
          <w:sz w:val="24"/>
        </w:rPr>
        <w:t>对申报材料进行初审，省招投标监管机构对各地申报的材料进行审查；</w:t>
      </w:r>
    </w:p>
    <w:p>
      <w:pPr>
        <w:shd w:val="clear" w:color="auto" w:fill="FFFFFF"/>
        <w:spacing w:line="460" w:lineRule="exact"/>
        <w:ind w:firstLine="472" w:firstLineChars="200"/>
        <w:jc w:val="left"/>
        <w:rPr>
          <w:rFonts w:eastAsia="方正仿宋_GBK"/>
          <w:color w:val="000000"/>
          <w:kern w:val="0"/>
          <w:sz w:val="24"/>
        </w:rPr>
      </w:pPr>
      <w:r>
        <w:rPr>
          <w:rFonts w:eastAsia="方正仿宋_GBK"/>
          <w:color w:val="000000"/>
          <w:kern w:val="0"/>
          <w:sz w:val="24"/>
        </w:rPr>
        <w:t> </w:t>
      </w:r>
      <w:r>
        <w:rPr>
          <w:rFonts w:hint="eastAsia" w:eastAsia="方正仿宋_GBK"/>
          <w:color w:val="000000"/>
          <w:kern w:val="0"/>
          <w:sz w:val="24"/>
        </w:rPr>
        <w:t>（三）设区的市招投标监管机构组织对本地区资格审查通过的申请人进行培训考核；</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（四）经考核合格的申请人由省住房和城乡建设厅聘为评标专家，聘期为</w:t>
      </w:r>
      <w:r>
        <w:rPr>
          <w:rFonts w:eastAsia="方正仿宋_GBK"/>
          <w:color w:val="000000"/>
          <w:kern w:val="0"/>
          <w:sz w:val="24"/>
        </w:rPr>
        <w:t>3</w:t>
      </w:r>
      <w:r>
        <w:rPr>
          <w:rFonts w:hint="eastAsia" w:eastAsia="方正仿宋_GBK"/>
          <w:color w:val="000000"/>
          <w:kern w:val="0"/>
          <w:sz w:val="24"/>
        </w:rPr>
        <w:t>年；</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（五）受聘的评标专家登录</w:t>
      </w:r>
      <w:r>
        <w:rPr>
          <w:rFonts w:eastAsia="方正仿宋_GBK"/>
          <w:color w:val="000000"/>
          <w:kern w:val="0"/>
          <w:sz w:val="24"/>
        </w:rPr>
        <w:t>“</w:t>
      </w:r>
      <w:r>
        <w:rPr>
          <w:rFonts w:hint="eastAsia" w:eastAsia="方正仿宋_GBK"/>
          <w:color w:val="000000"/>
          <w:kern w:val="0"/>
          <w:sz w:val="24"/>
        </w:rPr>
        <w:t>评委管理系统</w:t>
      </w:r>
      <w:r>
        <w:rPr>
          <w:rFonts w:eastAsia="方正仿宋_GBK"/>
          <w:color w:val="000000"/>
          <w:kern w:val="0"/>
          <w:sz w:val="24"/>
        </w:rPr>
        <w:t>”</w:t>
      </w:r>
      <w:r>
        <w:rPr>
          <w:rFonts w:hint="eastAsia" w:eastAsia="方正仿宋_GBK"/>
          <w:color w:val="000000"/>
          <w:kern w:val="0"/>
          <w:sz w:val="24"/>
        </w:rPr>
        <w:t>，自行打印省住房和城乡建设厅统一制作的评标专家聘书。</w:t>
      </w:r>
    </w:p>
    <w:p>
      <w:pPr>
        <w:shd w:val="clear" w:color="auto" w:fill="FFFFFF"/>
        <w:spacing w:line="460" w:lineRule="exact"/>
        <w:ind w:firstLine="472" w:firstLineChars="200"/>
        <w:jc w:val="left"/>
        <w:rPr>
          <w:rFonts w:eastAsia="方正仿宋_GBK"/>
          <w:color w:val="000000"/>
          <w:kern w:val="0"/>
          <w:sz w:val="24"/>
        </w:rPr>
      </w:pPr>
      <w:r>
        <w:rPr>
          <w:rFonts w:hint="eastAsia" w:ascii="Times New Roman" w:eastAsia="黑体"/>
          <w:bCs/>
          <w:color w:val="000000"/>
          <w:kern w:val="0"/>
          <w:sz w:val="24"/>
        </w:rPr>
        <w:t>第十一条</w:t>
      </w:r>
      <w:r>
        <w:rPr>
          <w:rFonts w:eastAsia="方正仿宋_GBK"/>
          <w:b/>
          <w:bCs/>
          <w:color w:val="000000"/>
          <w:kern w:val="0"/>
          <w:sz w:val="24"/>
        </w:rPr>
        <w:t xml:space="preserve">  </w:t>
      </w:r>
      <w:r>
        <w:rPr>
          <w:rFonts w:hint="eastAsia" w:eastAsia="方正仿宋_GBK"/>
          <w:color w:val="000000"/>
          <w:kern w:val="0"/>
          <w:sz w:val="24"/>
        </w:rPr>
        <w:t>评标专家在聘期内应参加所在地招投标监管机构组织的不少于</w:t>
      </w:r>
      <w:r>
        <w:rPr>
          <w:rFonts w:eastAsia="方正仿宋_GBK"/>
          <w:color w:val="000000"/>
          <w:kern w:val="0"/>
          <w:sz w:val="24"/>
        </w:rPr>
        <w:t>12</w:t>
      </w:r>
      <w:r>
        <w:rPr>
          <w:rFonts w:hint="eastAsia" w:eastAsia="方正仿宋_GBK"/>
          <w:color w:val="000000"/>
          <w:kern w:val="0"/>
          <w:sz w:val="24"/>
        </w:rPr>
        <w:t>个学时的培训和考核，聘期届满且考核合格的可以申请续聘。</w:t>
      </w:r>
    </w:p>
    <w:p>
      <w:pPr>
        <w:shd w:val="clear" w:color="auto" w:fill="FFFFFF"/>
        <w:spacing w:line="460" w:lineRule="exact"/>
        <w:ind w:firstLine="472" w:firstLineChars="200"/>
        <w:jc w:val="left"/>
        <w:rPr>
          <w:rFonts w:eastAsia="方正仿宋_GBK"/>
          <w:color w:val="000000"/>
          <w:kern w:val="0"/>
          <w:sz w:val="24"/>
        </w:rPr>
      </w:pPr>
      <w:r>
        <w:rPr>
          <w:rFonts w:hint="eastAsia" w:ascii="Times New Roman" w:eastAsia="黑体"/>
          <w:bCs/>
          <w:color w:val="000000"/>
          <w:kern w:val="0"/>
          <w:sz w:val="24"/>
        </w:rPr>
        <w:t>第十二条</w:t>
      </w:r>
      <w:r>
        <w:rPr>
          <w:rFonts w:eastAsia="方正仿宋_GBK"/>
          <w:b/>
          <w:bCs/>
          <w:color w:val="000000"/>
          <w:kern w:val="0"/>
          <w:sz w:val="24"/>
        </w:rPr>
        <w:t xml:space="preserve">  </w:t>
      </w:r>
      <w:r>
        <w:rPr>
          <w:rFonts w:hint="eastAsia" w:eastAsia="方正仿宋_GBK"/>
          <w:color w:val="000000"/>
          <w:kern w:val="0"/>
          <w:sz w:val="24"/>
        </w:rPr>
        <w:t>评标专家分为普通评标专家和资深评标专家（资格条件见附件</w:t>
      </w:r>
      <w:r>
        <w:rPr>
          <w:rFonts w:eastAsia="方正仿宋_GBK"/>
          <w:color w:val="000000"/>
          <w:kern w:val="0"/>
          <w:sz w:val="24"/>
        </w:rPr>
        <w:t>2</w:t>
      </w:r>
      <w:r>
        <w:rPr>
          <w:rFonts w:hint="eastAsia" w:eastAsia="方正仿宋_GBK"/>
          <w:color w:val="000000"/>
          <w:kern w:val="0"/>
          <w:sz w:val="24"/>
        </w:rPr>
        <w:t>）。</w:t>
      </w:r>
    </w:p>
    <w:p>
      <w:pPr>
        <w:shd w:val="clear" w:color="auto" w:fill="FFFFFF"/>
        <w:spacing w:line="460" w:lineRule="exact"/>
        <w:ind w:firstLine="472" w:firstLineChars="200"/>
        <w:jc w:val="left"/>
        <w:rPr>
          <w:rFonts w:eastAsia="方正仿宋_GBK"/>
          <w:color w:val="000000"/>
          <w:kern w:val="0"/>
          <w:sz w:val="24"/>
        </w:rPr>
      </w:pPr>
      <w:r>
        <w:rPr>
          <w:rFonts w:hint="eastAsia" w:ascii="Times New Roman" w:eastAsia="黑体"/>
          <w:bCs/>
          <w:color w:val="000000"/>
          <w:kern w:val="0"/>
          <w:sz w:val="24"/>
        </w:rPr>
        <w:t>第十三条</w:t>
      </w:r>
      <w:r>
        <w:rPr>
          <w:rFonts w:eastAsia="方正仿宋_GBK"/>
          <w:color w:val="000000"/>
          <w:kern w:val="0"/>
          <w:sz w:val="24"/>
        </w:rPr>
        <w:t xml:space="preserve">  </w:t>
      </w:r>
      <w:r>
        <w:rPr>
          <w:rFonts w:hint="eastAsia" w:eastAsia="方正仿宋_GBK"/>
          <w:color w:val="000000"/>
          <w:kern w:val="0"/>
          <w:sz w:val="24"/>
        </w:rPr>
        <w:t>已受聘的评标专家可以申请应急评标专家，并应当在规定时间</w:t>
      </w:r>
      <w:r>
        <w:rPr>
          <w:rFonts w:eastAsia="方正仿宋_GBK"/>
          <w:color w:val="000000"/>
          <w:kern w:val="0"/>
          <w:sz w:val="24"/>
        </w:rPr>
        <w:t>(</w:t>
      </w:r>
      <w:r>
        <w:rPr>
          <w:rFonts w:hint="eastAsia" w:eastAsia="方正仿宋_GBK"/>
          <w:color w:val="000000"/>
          <w:kern w:val="0"/>
          <w:sz w:val="24"/>
        </w:rPr>
        <w:t>一般为半小时</w:t>
      </w:r>
      <w:r>
        <w:rPr>
          <w:rFonts w:eastAsia="方正仿宋_GBK"/>
          <w:color w:val="000000"/>
          <w:kern w:val="0"/>
          <w:sz w:val="24"/>
        </w:rPr>
        <w:t>)</w:t>
      </w:r>
      <w:r>
        <w:rPr>
          <w:rFonts w:hint="eastAsia" w:eastAsia="方正仿宋_GBK"/>
          <w:color w:val="000000"/>
          <w:kern w:val="0"/>
          <w:sz w:val="24"/>
        </w:rPr>
        <w:t>内抵达评标现场。</w:t>
      </w:r>
    </w:p>
    <w:p>
      <w:pPr>
        <w:shd w:val="clear" w:color="auto" w:fill="FFFFFF"/>
        <w:spacing w:line="460" w:lineRule="exact"/>
        <w:ind w:firstLine="472" w:firstLineChars="200"/>
        <w:jc w:val="left"/>
        <w:rPr>
          <w:rFonts w:eastAsia="方正仿宋_GBK"/>
          <w:color w:val="000000"/>
          <w:spacing w:val="-6"/>
          <w:kern w:val="0"/>
          <w:sz w:val="24"/>
        </w:rPr>
      </w:pPr>
      <w:r>
        <w:rPr>
          <w:rFonts w:hint="eastAsia" w:ascii="Times New Roman" w:eastAsia="黑体"/>
          <w:bCs/>
          <w:color w:val="000000"/>
          <w:kern w:val="0"/>
          <w:sz w:val="24"/>
        </w:rPr>
        <w:t>第十四条</w:t>
      </w:r>
      <w:r>
        <w:rPr>
          <w:rFonts w:eastAsia="方正仿宋_GBK"/>
          <w:color w:val="000000"/>
          <w:kern w:val="0"/>
          <w:sz w:val="24"/>
        </w:rPr>
        <w:t xml:space="preserve">  </w:t>
      </w:r>
      <w:r>
        <w:rPr>
          <w:rFonts w:hint="eastAsia" w:eastAsia="方正仿宋_GBK"/>
          <w:color w:val="000000"/>
          <w:spacing w:val="-6"/>
          <w:kern w:val="0"/>
          <w:sz w:val="24"/>
        </w:rPr>
        <w:t>招投标监管机构和建设工程交易中心的工作人员不得申报评标专家。</w:t>
      </w:r>
    </w:p>
    <w:p>
      <w:pPr>
        <w:shd w:val="clear" w:color="auto" w:fill="FFFFFF"/>
        <w:spacing w:line="460" w:lineRule="exact"/>
        <w:ind w:firstLine="472" w:firstLineChars="200"/>
        <w:jc w:val="left"/>
        <w:rPr>
          <w:rFonts w:eastAsia="方正仿宋_GBK"/>
          <w:color w:val="000000"/>
          <w:kern w:val="0"/>
          <w:sz w:val="24"/>
        </w:rPr>
      </w:pPr>
    </w:p>
    <w:p>
      <w:pPr>
        <w:shd w:val="clear" w:color="auto" w:fill="FFFFFF"/>
        <w:spacing w:line="460" w:lineRule="exact"/>
        <w:ind w:left="1" w:leftChars="-3" w:hanging="7" w:hangingChars="3"/>
        <w:jc w:val="center"/>
        <w:outlineLvl w:val="0"/>
        <w:rPr>
          <w:rFonts w:ascii="Times New Roman" w:eastAsia="黑体"/>
          <w:color w:val="000000"/>
          <w:kern w:val="36"/>
          <w:sz w:val="24"/>
        </w:rPr>
      </w:pPr>
      <w:bookmarkStart w:id="703" w:name="_Toc20668182"/>
      <w:bookmarkStart w:id="704" w:name="_Toc20726712"/>
      <w:bookmarkStart w:id="705" w:name="_Toc18315848"/>
      <w:r>
        <w:rPr>
          <w:rFonts w:hint="eastAsia" w:ascii="Times New Roman" w:eastAsia="黑体"/>
          <w:bCs/>
          <w:color w:val="000000"/>
          <w:kern w:val="36"/>
          <w:sz w:val="24"/>
        </w:rPr>
        <w:t xml:space="preserve">第三章 </w:t>
      </w:r>
      <w:r>
        <w:rPr>
          <w:rFonts w:eastAsia="黑体"/>
          <w:bCs/>
          <w:color w:val="000000"/>
          <w:kern w:val="36"/>
          <w:sz w:val="24"/>
        </w:rPr>
        <w:t> </w:t>
      </w:r>
      <w:r>
        <w:rPr>
          <w:rFonts w:hint="eastAsia" w:ascii="Times New Roman" w:eastAsia="黑体"/>
          <w:bCs/>
          <w:color w:val="000000"/>
          <w:kern w:val="36"/>
          <w:sz w:val="24"/>
        </w:rPr>
        <w:t>评标专家库的使用</w:t>
      </w:r>
      <w:bookmarkEnd w:id="703"/>
      <w:bookmarkEnd w:id="704"/>
      <w:bookmarkEnd w:id="705"/>
    </w:p>
    <w:p>
      <w:pPr>
        <w:shd w:val="clear" w:color="auto" w:fill="FFFFFF"/>
        <w:spacing w:line="460" w:lineRule="exact"/>
        <w:ind w:firstLine="472" w:firstLineChars="200"/>
        <w:jc w:val="left"/>
        <w:rPr>
          <w:rFonts w:hint="eastAsia" w:eastAsia="方正仿宋_GBK"/>
          <w:b/>
          <w:bCs/>
          <w:color w:val="000000"/>
          <w:kern w:val="0"/>
          <w:sz w:val="24"/>
        </w:rPr>
      </w:pPr>
    </w:p>
    <w:p>
      <w:pPr>
        <w:shd w:val="clear" w:color="auto" w:fill="FFFFFF"/>
        <w:spacing w:line="460" w:lineRule="exact"/>
        <w:ind w:firstLine="472" w:firstLineChars="200"/>
        <w:jc w:val="left"/>
        <w:rPr>
          <w:rFonts w:eastAsia="方正仿宋_GBK"/>
          <w:color w:val="000000"/>
          <w:kern w:val="0"/>
          <w:sz w:val="24"/>
        </w:rPr>
      </w:pPr>
      <w:r>
        <w:rPr>
          <w:rFonts w:hint="eastAsia" w:ascii="Times New Roman" w:eastAsia="黑体"/>
          <w:bCs/>
          <w:color w:val="000000"/>
          <w:kern w:val="0"/>
          <w:sz w:val="24"/>
        </w:rPr>
        <w:t>第十五条</w:t>
      </w:r>
      <w:r>
        <w:rPr>
          <w:rFonts w:eastAsia="方正仿宋_GBK"/>
          <w:color w:val="000000"/>
          <w:kern w:val="0"/>
          <w:sz w:val="24"/>
        </w:rPr>
        <w:t xml:space="preserve">  </w:t>
      </w:r>
      <w:r>
        <w:rPr>
          <w:rFonts w:hint="eastAsia" w:eastAsia="方正仿宋_GBK"/>
          <w:color w:val="000000"/>
          <w:kern w:val="0"/>
          <w:sz w:val="24"/>
        </w:rPr>
        <w:t>评标委员会成员原则上由招标人在评标当天通过随机抽取和语音通知系统从评标专家库中抽取通知，特殊情况可以提前半天抽取通知；远程异地评标项目提前</w:t>
      </w:r>
      <w:r>
        <w:rPr>
          <w:rFonts w:eastAsia="方正仿宋_GBK"/>
          <w:color w:val="000000"/>
          <w:kern w:val="0"/>
          <w:sz w:val="24"/>
        </w:rPr>
        <w:t>1</w:t>
      </w:r>
      <w:r>
        <w:rPr>
          <w:rFonts w:hint="eastAsia" w:eastAsia="方正仿宋_GBK"/>
          <w:color w:val="000000"/>
          <w:kern w:val="0"/>
          <w:sz w:val="24"/>
        </w:rPr>
        <w:t>天通过</w:t>
      </w:r>
      <w:r>
        <w:rPr>
          <w:rFonts w:eastAsia="方正仿宋_GBK"/>
          <w:color w:val="000000"/>
          <w:kern w:val="0"/>
          <w:sz w:val="24"/>
        </w:rPr>
        <w:t>“</w:t>
      </w:r>
      <w:r>
        <w:rPr>
          <w:rFonts w:hint="eastAsia" w:eastAsia="方正仿宋_GBK"/>
          <w:color w:val="000000"/>
          <w:kern w:val="0"/>
          <w:sz w:val="24"/>
        </w:rPr>
        <w:t>省招投标监管系统</w:t>
      </w:r>
      <w:r>
        <w:rPr>
          <w:rFonts w:eastAsia="方正仿宋_GBK"/>
          <w:color w:val="000000"/>
          <w:kern w:val="0"/>
          <w:sz w:val="24"/>
        </w:rPr>
        <w:t>”</w:t>
      </w:r>
      <w:r>
        <w:rPr>
          <w:rFonts w:hint="eastAsia" w:eastAsia="方正仿宋_GBK"/>
          <w:color w:val="000000"/>
          <w:kern w:val="0"/>
          <w:sz w:val="24"/>
        </w:rPr>
        <w:t>远程评标协调系统抽取、通知评标专家。抽取结果由招标人和监管人员签字后归入评标资料档案（含电子档案）予以保存。评标专家名单在评标开始时方可打印。</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招投标监管机构应对评标委员会成员的确定方式、抽取和通知的过程进行监督。</w:t>
      </w:r>
    </w:p>
    <w:p>
      <w:pPr>
        <w:shd w:val="clear" w:color="auto" w:fill="FFFFFF"/>
        <w:spacing w:line="460" w:lineRule="exact"/>
        <w:ind w:firstLine="472" w:firstLineChars="200"/>
        <w:jc w:val="left"/>
        <w:rPr>
          <w:rFonts w:eastAsia="方正仿宋_GBK"/>
          <w:color w:val="000000"/>
          <w:kern w:val="0"/>
          <w:sz w:val="24"/>
        </w:rPr>
      </w:pPr>
      <w:r>
        <w:rPr>
          <w:rFonts w:hint="eastAsia" w:ascii="Times New Roman" w:eastAsia="黑体"/>
          <w:bCs/>
          <w:color w:val="000000"/>
          <w:kern w:val="0"/>
          <w:sz w:val="24"/>
        </w:rPr>
        <w:t>第十六条</w:t>
      </w:r>
      <w:r>
        <w:rPr>
          <w:rFonts w:eastAsia="方正仿宋_GBK"/>
          <w:b/>
          <w:bCs/>
          <w:color w:val="000000"/>
          <w:kern w:val="0"/>
          <w:sz w:val="24"/>
        </w:rPr>
        <w:t xml:space="preserve">  </w:t>
      </w:r>
      <w:r>
        <w:rPr>
          <w:rFonts w:hint="eastAsia" w:eastAsia="方正仿宋_GBK"/>
          <w:color w:val="000000"/>
          <w:kern w:val="0"/>
          <w:sz w:val="24"/>
        </w:rPr>
        <w:t>随机抽取所需专业的评标专家人数应不少于需要抽取人数的</w:t>
      </w:r>
      <w:r>
        <w:rPr>
          <w:rFonts w:eastAsia="方正仿宋_GBK"/>
          <w:color w:val="000000"/>
          <w:kern w:val="0"/>
          <w:sz w:val="24"/>
        </w:rPr>
        <w:t>3</w:t>
      </w:r>
      <w:r>
        <w:rPr>
          <w:rFonts w:hint="eastAsia" w:eastAsia="方正仿宋_GBK"/>
          <w:color w:val="000000"/>
          <w:kern w:val="0"/>
          <w:sz w:val="24"/>
        </w:rPr>
        <w:t>倍。如果本地符合要求的评标专家人数不足需要抽取人数的</w:t>
      </w:r>
      <w:r>
        <w:rPr>
          <w:rFonts w:eastAsia="方正仿宋_GBK"/>
          <w:color w:val="000000"/>
          <w:kern w:val="0"/>
          <w:sz w:val="24"/>
        </w:rPr>
        <w:t>3</w:t>
      </w:r>
      <w:r>
        <w:rPr>
          <w:rFonts w:hint="eastAsia" w:eastAsia="方正仿宋_GBK"/>
          <w:color w:val="000000"/>
          <w:kern w:val="0"/>
          <w:sz w:val="24"/>
        </w:rPr>
        <w:t>倍时，应当通过</w:t>
      </w:r>
      <w:r>
        <w:rPr>
          <w:rFonts w:eastAsia="方正仿宋_GBK"/>
          <w:color w:val="000000"/>
          <w:kern w:val="0"/>
          <w:sz w:val="24"/>
        </w:rPr>
        <w:t>“</w:t>
      </w:r>
      <w:r>
        <w:rPr>
          <w:rFonts w:hint="eastAsia" w:eastAsia="方正仿宋_GBK"/>
          <w:color w:val="000000"/>
          <w:kern w:val="0"/>
          <w:sz w:val="24"/>
        </w:rPr>
        <w:t>省招投标监管系统</w:t>
      </w:r>
      <w:r>
        <w:rPr>
          <w:rFonts w:eastAsia="方正仿宋_GBK"/>
          <w:color w:val="000000"/>
          <w:kern w:val="0"/>
          <w:sz w:val="24"/>
        </w:rPr>
        <w:t>” </w:t>
      </w:r>
      <w:r>
        <w:rPr>
          <w:rFonts w:hint="eastAsia" w:eastAsia="方正仿宋_GBK"/>
          <w:color w:val="000000"/>
          <w:kern w:val="0"/>
          <w:sz w:val="24"/>
        </w:rPr>
        <w:t>远程评标协调系统补充抽取异地评标专家，远程异地评标。</w:t>
      </w:r>
    </w:p>
    <w:p>
      <w:pPr>
        <w:shd w:val="clear" w:color="auto" w:fill="FFFFFF"/>
        <w:spacing w:line="460" w:lineRule="exact"/>
        <w:ind w:firstLine="472" w:firstLineChars="200"/>
        <w:jc w:val="left"/>
        <w:rPr>
          <w:rFonts w:eastAsia="方正仿宋_GBK"/>
          <w:color w:val="000000"/>
          <w:kern w:val="0"/>
          <w:sz w:val="24"/>
        </w:rPr>
      </w:pPr>
      <w:r>
        <w:rPr>
          <w:rFonts w:hint="eastAsia" w:ascii="Times New Roman" w:eastAsia="黑体"/>
          <w:bCs/>
          <w:color w:val="000000"/>
          <w:kern w:val="0"/>
          <w:sz w:val="24"/>
        </w:rPr>
        <w:t>第十七条</w:t>
      </w:r>
      <w:r>
        <w:rPr>
          <w:rFonts w:eastAsia="方正仿宋_GBK"/>
          <w:b/>
          <w:bCs/>
          <w:color w:val="000000"/>
          <w:kern w:val="0"/>
          <w:sz w:val="24"/>
        </w:rPr>
        <w:t xml:space="preserve">  </w:t>
      </w:r>
      <w:r>
        <w:rPr>
          <w:rFonts w:hint="eastAsia" w:eastAsia="方正仿宋_GBK"/>
          <w:color w:val="000000"/>
          <w:kern w:val="0"/>
          <w:sz w:val="24"/>
        </w:rPr>
        <w:t>评标专家在一段时间内不能参加评标的，应当及时通过</w:t>
      </w:r>
      <w:r>
        <w:rPr>
          <w:rFonts w:eastAsia="方正仿宋_GBK"/>
          <w:color w:val="000000"/>
          <w:kern w:val="0"/>
          <w:sz w:val="24"/>
        </w:rPr>
        <w:t>“</w:t>
      </w:r>
      <w:r>
        <w:rPr>
          <w:rFonts w:hint="eastAsia" w:eastAsia="方正仿宋_GBK"/>
          <w:color w:val="000000"/>
          <w:kern w:val="0"/>
          <w:sz w:val="24"/>
        </w:rPr>
        <w:t>评委管理系统</w:t>
      </w:r>
      <w:r>
        <w:rPr>
          <w:rFonts w:eastAsia="方正仿宋_GBK"/>
          <w:color w:val="000000"/>
          <w:kern w:val="0"/>
          <w:sz w:val="24"/>
        </w:rPr>
        <w:t>”</w:t>
      </w:r>
      <w:r>
        <w:rPr>
          <w:rFonts w:hint="eastAsia" w:eastAsia="方正仿宋_GBK"/>
          <w:color w:val="000000"/>
          <w:kern w:val="0"/>
          <w:sz w:val="24"/>
        </w:rPr>
        <w:t>申请暂停评标。</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评标专家在确认参加评标后不能参加评标的，应当及时向所在地管理部门请假。</w:t>
      </w:r>
    </w:p>
    <w:p>
      <w:pPr>
        <w:shd w:val="clear" w:color="auto" w:fill="FFFFFF"/>
        <w:spacing w:line="460" w:lineRule="exact"/>
        <w:ind w:firstLine="472" w:firstLineChars="200"/>
        <w:jc w:val="left"/>
        <w:rPr>
          <w:rFonts w:eastAsia="方正仿宋_GBK"/>
          <w:color w:val="000000"/>
          <w:kern w:val="0"/>
          <w:sz w:val="24"/>
        </w:rPr>
      </w:pPr>
      <w:r>
        <w:rPr>
          <w:rFonts w:hint="eastAsia" w:ascii="Times New Roman" w:eastAsia="黑体"/>
          <w:bCs/>
          <w:color w:val="000000"/>
          <w:kern w:val="0"/>
          <w:sz w:val="24"/>
        </w:rPr>
        <w:t>第十八条</w:t>
      </w:r>
      <w:r>
        <w:rPr>
          <w:rFonts w:eastAsia="方正仿宋_GBK"/>
          <w:color w:val="000000"/>
          <w:kern w:val="0"/>
          <w:sz w:val="24"/>
        </w:rPr>
        <w:t xml:space="preserve">  </w:t>
      </w:r>
      <w:r>
        <w:rPr>
          <w:rFonts w:hint="eastAsia" w:eastAsia="方正仿宋_GBK"/>
          <w:color w:val="000000"/>
          <w:kern w:val="0"/>
          <w:sz w:val="24"/>
        </w:rPr>
        <w:t>有下列情形之一的，可以使用应急评标专家：</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（一）评标专家现场回避或者已抽取的评标专家因故不能参加评标导致原定评标专家人数不足的；</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（二）发生其它特殊情况需要补充抽取评标专家的。</w:t>
      </w:r>
    </w:p>
    <w:p>
      <w:pPr>
        <w:shd w:val="clear" w:color="auto" w:fill="FFFFFF"/>
        <w:spacing w:line="460" w:lineRule="exact"/>
        <w:ind w:firstLine="472" w:firstLineChars="200"/>
        <w:jc w:val="left"/>
        <w:rPr>
          <w:rFonts w:eastAsia="方正仿宋_GBK"/>
          <w:color w:val="000000"/>
          <w:kern w:val="0"/>
          <w:sz w:val="24"/>
        </w:rPr>
      </w:pPr>
      <w:r>
        <w:rPr>
          <w:rFonts w:hint="eastAsia" w:ascii="Times New Roman" w:eastAsia="黑体"/>
          <w:bCs/>
          <w:color w:val="000000"/>
          <w:kern w:val="0"/>
          <w:sz w:val="24"/>
        </w:rPr>
        <w:t>第十九条</w:t>
      </w:r>
      <w:r>
        <w:rPr>
          <w:rFonts w:eastAsia="方正仿宋_GBK"/>
          <w:color w:val="000000"/>
          <w:kern w:val="0"/>
          <w:sz w:val="24"/>
        </w:rPr>
        <w:t xml:space="preserve">  </w:t>
      </w:r>
      <w:r>
        <w:rPr>
          <w:rFonts w:hint="eastAsia" w:eastAsia="方正仿宋_GBK"/>
          <w:color w:val="000000"/>
          <w:kern w:val="0"/>
          <w:sz w:val="24"/>
        </w:rPr>
        <w:t>有下列情形之一的，可以使用资深评标专家：</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（一）大型工程、技术要求复杂工程的评标；</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（二）对招投标活动中存在的技术问题、争议等问题进行咨询；（三）对评标结果进行后评估；</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（三）其他招标项目的评标。</w:t>
      </w:r>
    </w:p>
    <w:p>
      <w:pPr>
        <w:shd w:val="clear" w:color="auto" w:fill="FFFFFF"/>
        <w:spacing w:line="460" w:lineRule="exact"/>
        <w:ind w:firstLine="472" w:firstLineChars="200"/>
        <w:jc w:val="left"/>
        <w:rPr>
          <w:rFonts w:eastAsia="方正仿宋_GBK"/>
          <w:color w:val="000000"/>
          <w:kern w:val="0"/>
          <w:sz w:val="24"/>
        </w:rPr>
      </w:pPr>
      <w:r>
        <w:rPr>
          <w:rFonts w:hint="eastAsia" w:ascii="Times New Roman" w:eastAsia="黑体"/>
          <w:bCs/>
          <w:color w:val="000000"/>
          <w:kern w:val="0"/>
          <w:sz w:val="24"/>
        </w:rPr>
        <w:t>第二十条</w:t>
      </w:r>
      <w:r>
        <w:rPr>
          <w:rFonts w:eastAsia="方正仿宋_GBK"/>
          <w:color w:val="000000"/>
          <w:kern w:val="0"/>
          <w:sz w:val="24"/>
        </w:rPr>
        <w:t xml:space="preserve">  </w:t>
      </w:r>
      <w:r>
        <w:rPr>
          <w:rFonts w:hint="eastAsia" w:eastAsia="方正仿宋_GBK"/>
          <w:color w:val="000000"/>
          <w:kern w:val="0"/>
          <w:sz w:val="24"/>
        </w:rPr>
        <w:t>招标人应当根据评标工作量向评标专家支付评审费。资格预审评审费标准为</w:t>
      </w:r>
      <w:r>
        <w:rPr>
          <w:rFonts w:eastAsia="方正仿宋_GBK"/>
          <w:color w:val="000000"/>
          <w:kern w:val="0"/>
          <w:sz w:val="24"/>
        </w:rPr>
        <w:t>4</w:t>
      </w:r>
      <w:r>
        <w:rPr>
          <w:rFonts w:hint="eastAsia" w:eastAsia="方正仿宋_GBK"/>
          <w:color w:val="000000"/>
          <w:kern w:val="0"/>
          <w:sz w:val="24"/>
        </w:rPr>
        <w:t>小时以内</w:t>
      </w:r>
      <w:r>
        <w:rPr>
          <w:rFonts w:eastAsia="方正仿宋_GBK"/>
          <w:color w:val="000000"/>
          <w:kern w:val="0"/>
          <w:sz w:val="24"/>
        </w:rPr>
        <w:t>200—500</w:t>
      </w:r>
      <w:r>
        <w:rPr>
          <w:rFonts w:hint="eastAsia" w:eastAsia="方正仿宋_GBK"/>
          <w:color w:val="000000"/>
          <w:kern w:val="0"/>
          <w:sz w:val="24"/>
        </w:rPr>
        <w:t>元</w:t>
      </w:r>
      <w:r>
        <w:rPr>
          <w:rFonts w:eastAsia="方正仿宋_GBK"/>
          <w:color w:val="000000"/>
          <w:kern w:val="0"/>
          <w:sz w:val="24"/>
        </w:rPr>
        <w:t>/</w:t>
      </w:r>
      <w:r>
        <w:rPr>
          <w:rFonts w:hint="eastAsia" w:eastAsia="方正仿宋_GBK"/>
          <w:color w:val="000000"/>
          <w:kern w:val="0"/>
          <w:sz w:val="24"/>
        </w:rPr>
        <w:t>人次；评标评审费标准为</w:t>
      </w:r>
      <w:r>
        <w:rPr>
          <w:rFonts w:eastAsia="方正仿宋_GBK"/>
          <w:color w:val="000000"/>
          <w:kern w:val="0"/>
          <w:sz w:val="24"/>
        </w:rPr>
        <w:t>4</w:t>
      </w:r>
      <w:r>
        <w:rPr>
          <w:rFonts w:hint="eastAsia" w:eastAsia="方正仿宋_GBK"/>
          <w:color w:val="000000"/>
          <w:kern w:val="0"/>
          <w:sz w:val="24"/>
        </w:rPr>
        <w:t>小时以内</w:t>
      </w:r>
      <w:r>
        <w:rPr>
          <w:rFonts w:eastAsia="方正仿宋_GBK"/>
          <w:color w:val="000000"/>
          <w:kern w:val="0"/>
          <w:sz w:val="24"/>
        </w:rPr>
        <w:t>300—600</w:t>
      </w:r>
      <w:r>
        <w:rPr>
          <w:rFonts w:hint="eastAsia" w:eastAsia="方正仿宋_GBK"/>
          <w:color w:val="000000"/>
          <w:kern w:val="0"/>
          <w:sz w:val="24"/>
        </w:rPr>
        <w:t>元</w:t>
      </w:r>
      <w:r>
        <w:rPr>
          <w:rFonts w:eastAsia="方正仿宋_GBK"/>
          <w:color w:val="000000"/>
          <w:kern w:val="0"/>
          <w:sz w:val="24"/>
        </w:rPr>
        <w:t>/</w:t>
      </w:r>
      <w:r>
        <w:rPr>
          <w:rFonts w:hint="eastAsia" w:eastAsia="方正仿宋_GBK"/>
          <w:color w:val="000000"/>
          <w:kern w:val="0"/>
          <w:sz w:val="24"/>
        </w:rPr>
        <w:t>人次；远程评标项目评审费为</w:t>
      </w:r>
      <w:r>
        <w:rPr>
          <w:rFonts w:eastAsia="方正仿宋_GBK"/>
          <w:color w:val="000000"/>
          <w:kern w:val="0"/>
          <w:sz w:val="24"/>
        </w:rPr>
        <w:t>4</w:t>
      </w:r>
      <w:r>
        <w:rPr>
          <w:rFonts w:hint="eastAsia" w:eastAsia="方正仿宋_GBK"/>
          <w:color w:val="000000"/>
          <w:kern w:val="0"/>
          <w:sz w:val="24"/>
        </w:rPr>
        <w:t>小时以内</w:t>
      </w:r>
      <w:r>
        <w:rPr>
          <w:rFonts w:eastAsia="方正仿宋_GBK"/>
          <w:color w:val="000000"/>
          <w:kern w:val="0"/>
          <w:sz w:val="24"/>
        </w:rPr>
        <w:t>500</w:t>
      </w:r>
      <w:r>
        <w:rPr>
          <w:rFonts w:hint="eastAsia" w:eastAsia="方正仿宋_GBK"/>
          <w:color w:val="000000"/>
          <w:kern w:val="0"/>
          <w:sz w:val="24"/>
        </w:rPr>
        <w:t>元</w:t>
      </w:r>
      <w:r>
        <w:rPr>
          <w:rFonts w:eastAsia="方正仿宋_GBK"/>
          <w:color w:val="000000"/>
          <w:kern w:val="0"/>
          <w:sz w:val="24"/>
        </w:rPr>
        <w:t>/</w:t>
      </w:r>
      <w:r>
        <w:rPr>
          <w:rFonts w:hint="eastAsia" w:eastAsia="方正仿宋_GBK"/>
          <w:color w:val="000000"/>
          <w:kern w:val="0"/>
          <w:sz w:val="24"/>
        </w:rPr>
        <w:t>人；超过</w:t>
      </w:r>
      <w:r>
        <w:rPr>
          <w:rFonts w:eastAsia="方正仿宋_GBK"/>
          <w:color w:val="000000"/>
          <w:kern w:val="0"/>
          <w:sz w:val="24"/>
        </w:rPr>
        <w:t>4</w:t>
      </w:r>
      <w:r>
        <w:rPr>
          <w:rFonts w:hint="eastAsia" w:eastAsia="方正仿宋_GBK"/>
          <w:color w:val="000000"/>
          <w:kern w:val="0"/>
          <w:sz w:val="24"/>
        </w:rPr>
        <w:t>小时每小时增加</w:t>
      </w:r>
      <w:r>
        <w:rPr>
          <w:rFonts w:eastAsia="方正仿宋_GBK"/>
          <w:color w:val="000000"/>
          <w:kern w:val="0"/>
          <w:sz w:val="24"/>
        </w:rPr>
        <w:t>100</w:t>
      </w:r>
      <w:r>
        <w:rPr>
          <w:rFonts w:hint="eastAsia" w:eastAsia="方正仿宋_GBK"/>
          <w:color w:val="000000"/>
          <w:kern w:val="0"/>
          <w:sz w:val="24"/>
        </w:rPr>
        <w:t>元。设计专业和全部使用资深评标专家的评审费可以上浮</w:t>
      </w:r>
      <w:r>
        <w:rPr>
          <w:rFonts w:eastAsia="方正仿宋_GBK"/>
          <w:color w:val="000000"/>
          <w:kern w:val="0"/>
          <w:sz w:val="24"/>
        </w:rPr>
        <w:t>50%—100%</w:t>
      </w:r>
      <w:r>
        <w:rPr>
          <w:rFonts w:hint="eastAsia" w:eastAsia="方正仿宋_GBK"/>
          <w:color w:val="000000"/>
          <w:kern w:val="0"/>
          <w:sz w:val="24"/>
        </w:rPr>
        <w:t>。对评审时间超过一天，或者在休息日的可以根据实际情况确定评审费。</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除远程评标项目外，各地可以根据当地实际情况对评审费标准进行适当调整。</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省住房和城乡建设行政主管部门将根据经济社会的发展，适时调整评审费标准。国家、省物价部门另有规定的，从其规定。</w:t>
      </w:r>
    </w:p>
    <w:p>
      <w:pPr>
        <w:shd w:val="clear" w:color="auto" w:fill="FFFFFF"/>
        <w:spacing w:line="460" w:lineRule="exact"/>
        <w:ind w:firstLine="472" w:firstLineChars="200"/>
        <w:jc w:val="left"/>
        <w:rPr>
          <w:rFonts w:eastAsia="方正仿宋_GBK"/>
          <w:color w:val="000000"/>
          <w:kern w:val="0"/>
          <w:sz w:val="24"/>
        </w:rPr>
      </w:pPr>
    </w:p>
    <w:p>
      <w:pPr>
        <w:shd w:val="clear" w:color="auto" w:fill="FFFFFF"/>
        <w:spacing w:line="460" w:lineRule="exact"/>
        <w:ind w:left="1" w:leftChars="-3" w:hanging="7" w:hangingChars="3"/>
        <w:jc w:val="center"/>
        <w:outlineLvl w:val="0"/>
        <w:rPr>
          <w:rFonts w:ascii="Times New Roman" w:eastAsia="黑体"/>
          <w:bCs/>
          <w:color w:val="000000"/>
          <w:kern w:val="36"/>
          <w:sz w:val="24"/>
        </w:rPr>
      </w:pPr>
      <w:bookmarkStart w:id="706" w:name="_Toc20668183"/>
      <w:bookmarkStart w:id="707" w:name="_Toc20726713"/>
      <w:bookmarkStart w:id="708" w:name="_Toc18315849"/>
      <w:r>
        <w:rPr>
          <w:rFonts w:hint="eastAsia" w:ascii="Times New Roman" w:eastAsia="黑体"/>
          <w:bCs/>
          <w:color w:val="000000"/>
          <w:kern w:val="36"/>
          <w:sz w:val="24"/>
        </w:rPr>
        <w:t xml:space="preserve">第四章 </w:t>
      </w:r>
      <w:r>
        <w:rPr>
          <w:rFonts w:ascii="Times New Roman" w:eastAsia="黑体"/>
          <w:bCs/>
          <w:color w:val="000000"/>
          <w:kern w:val="36"/>
          <w:sz w:val="24"/>
        </w:rPr>
        <w:t> </w:t>
      </w:r>
      <w:r>
        <w:rPr>
          <w:rFonts w:hint="eastAsia" w:ascii="Times New Roman" w:eastAsia="黑体"/>
          <w:bCs/>
          <w:color w:val="000000"/>
          <w:kern w:val="36"/>
          <w:sz w:val="24"/>
        </w:rPr>
        <w:t>评标专家的考核与管理</w:t>
      </w:r>
      <w:bookmarkEnd w:id="706"/>
      <w:bookmarkEnd w:id="707"/>
      <w:bookmarkEnd w:id="708"/>
    </w:p>
    <w:p>
      <w:pPr>
        <w:shd w:val="clear" w:color="auto" w:fill="FFFFFF"/>
        <w:spacing w:line="460" w:lineRule="exact"/>
        <w:ind w:firstLine="472" w:firstLineChars="200"/>
        <w:jc w:val="left"/>
        <w:rPr>
          <w:rFonts w:hint="eastAsia" w:eastAsia="方正仿宋_GBK"/>
          <w:b/>
          <w:bCs/>
          <w:color w:val="000000"/>
          <w:kern w:val="0"/>
          <w:sz w:val="24"/>
        </w:rPr>
      </w:pPr>
    </w:p>
    <w:p>
      <w:pPr>
        <w:shd w:val="clear" w:color="auto" w:fill="FFFFFF"/>
        <w:spacing w:line="460" w:lineRule="exact"/>
        <w:ind w:firstLine="472" w:firstLineChars="200"/>
        <w:jc w:val="left"/>
        <w:rPr>
          <w:rFonts w:eastAsia="方正仿宋_GBK"/>
          <w:color w:val="000000"/>
          <w:kern w:val="0"/>
          <w:sz w:val="24"/>
        </w:rPr>
      </w:pPr>
      <w:r>
        <w:rPr>
          <w:rFonts w:hint="eastAsia" w:ascii="Times New Roman" w:eastAsia="黑体"/>
          <w:bCs/>
          <w:color w:val="000000"/>
          <w:kern w:val="0"/>
          <w:sz w:val="24"/>
        </w:rPr>
        <w:t>第二十一条</w:t>
      </w:r>
      <w:r>
        <w:rPr>
          <w:rFonts w:eastAsia="方正仿宋_GBK"/>
          <w:color w:val="000000"/>
          <w:kern w:val="0"/>
          <w:sz w:val="24"/>
        </w:rPr>
        <w:t xml:space="preserve">  </w:t>
      </w:r>
      <w:r>
        <w:rPr>
          <w:rFonts w:hint="eastAsia" w:eastAsia="方正仿宋_GBK"/>
          <w:color w:val="000000"/>
          <w:kern w:val="0"/>
          <w:sz w:val="24"/>
        </w:rPr>
        <w:t>评标专家考核实行</w:t>
      </w:r>
      <w:r>
        <w:rPr>
          <w:rFonts w:eastAsia="方正仿宋_GBK"/>
          <w:color w:val="000000"/>
          <w:kern w:val="0"/>
          <w:sz w:val="24"/>
        </w:rPr>
        <w:t>“</w:t>
      </w:r>
      <w:r>
        <w:rPr>
          <w:rFonts w:hint="eastAsia" w:eastAsia="方正仿宋_GBK"/>
          <w:color w:val="000000"/>
          <w:kern w:val="0"/>
          <w:sz w:val="24"/>
        </w:rPr>
        <w:t>一标一评</w:t>
      </w:r>
      <w:r>
        <w:rPr>
          <w:rFonts w:eastAsia="方正仿宋_GBK"/>
          <w:color w:val="000000"/>
          <w:kern w:val="0"/>
          <w:sz w:val="24"/>
        </w:rPr>
        <w:t>”</w:t>
      </w:r>
      <w:r>
        <w:rPr>
          <w:rFonts w:hint="eastAsia" w:eastAsia="方正仿宋_GBK"/>
          <w:color w:val="000000"/>
          <w:kern w:val="0"/>
          <w:sz w:val="24"/>
        </w:rPr>
        <w:t>的日常考核与年度考核相结合的方法。日常考核在评标专家每次完成资格预审或者评标（以下简称</w:t>
      </w:r>
      <w:r>
        <w:rPr>
          <w:rFonts w:eastAsia="方正仿宋_GBK"/>
          <w:color w:val="000000"/>
          <w:kern w:val="0"/>
          <w:sz w:val="24"/>
        </w:rPr>
        <w:t>“</w:t>
      </w:r>
      <w:r>
        <w:rPr>
          <w:rFonts w:hint="eastAsia" w:eastAsia="方正仿宋_GBK"/>
          <w:color w:val="000000"/>
          <w:kern w:val="0"/>
          <w:sz w:val="24"/>
        </w:rPr>
        <w:t>评标</w:t>
      </w:r>
      <w:r>
        <w:rPr>
          <w:rFonts w:eastAsia="方正仿宋_GBK"/>
          <w:color w:val="000000"/>
          <w:kern w:val="0"/>
          <w:sz w:val="24"/>
        </w:rPr>
        <w:t>”</w:t>
      </w:r>
      <w:r>
        <w:rPr>
          <w:rFonts w:hint="eastAsia" w:eastAsia="方正仿宋_GBK"/>
          <w:color w:val="000000"/>
          <w:kern w:val="0"/>
          <w:sz w:val="24"/>
        </w:rPr>
        <w:t>）工作后由项目监管人员进行现场考核计分。如因投诉等情况经调查证实，由于评标专家自身原因影响评审结果公正的，应当追加计分。远程异地评标项目的副场评标专家考核由主场的项目监管人员与副场的现场管理人员共同考核计分。</w:t>
      </w:r>
    </w:p>
    <w:p>
      <w:pPr>
        <w:shd w:val="clear" w:color="auto" w:fill="FFFFFF"/>
        <w:spacing w:line="460" w:lineRule="exact"/>
        <w:ind w:firstLine="472" w:firstLineChars="200"/>
        <w:jc w:val="left"/>
        <w:rPr>
          <w:rFonts w:eastAsia="方正仿宋_GBK"/>
          <w:color w:val="000000"/>
          <w:kern w:val="0"/>
          <w:sz w:val="24"/>
        </w:rPr>
      </w:pPr>
      <w:r>
        <w:rPr>
          <w:rFonts w:hint="eastAsia" w:ascii="Times New Roman" w:eastAsia="黑体"/>
          <w:bCs/>
          <w:color w:val="000000"/>
          <w:kern w:val="0"/>
          <w:sz w:val="24"/>
        </w:rPr>
        <w:t>第二十二条</w:t>
      </w:r>
      <w:r>
        <w:rPr>
          <w:rFonts w:eastAsia="方正仿宋_GBK"/>
          <w:color w:val="000000"/>
          <w:kern w:val="0"/>
          <w:sz w:val="24"/>
        </w:rPr>
        <w:t xml:space="preserve">  </w:t>
      </w:r>
      <w:r>
        <w:rPr>
          <w:rFonts w:hint="eastAsia" w:eastAsia="方正仿宋_GBK"/>
          <w:color w:val="000000"/>
          <w:kern w:val="0"/>
          <w:sz w:val="24"/>
        </w:rPr>
        <w:t>评标专家发生以下情况的，每次扣</w:t>
      </w:r>
      <w:r>
        <w:rPr>
          <w:rFonts w:eastAsia="方正仿宋_GBK"/>
          <w:color w:val="000000"/>
          <w:kern w:val="0"/>
          <w:sz w:val="24"/>
        </w:rPr>
        <w:t>3</w:t>
      </w:r>
      <w:r>
        <w:rPr>
          <w:rFonts w:hint="eastAsia" w:eastAsia="方正仿宋_GBK"/>
          <w:color w:val="000000"/>
          <w:kern w:val="0"/>
          <w:sz w:val="24"/>
        </w:rPr>
        <w:t>分。</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（一）参加评标迟到的；</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（二）在电子评标过程中因不能熟练操作计算机而影响正常评标的；</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（三）个人基本信息发生变化或者不完整，未及时修改完善或者补充的。</w:t>
      </w:r>
    </w:p>
    <w:p>
      <w:pPr>
        <w:shd w:val="clear" w:color="auto" w:fill="FFFFFF"/>
        <w:spacing w:line="460" w:lineRule="exact"/>
        <w:ind w:firstLine="472" w:firstLineChars="200"/>
        <w:jc w:val="left"/>
        <w:rPr>
          <w:rFonts w:eastAsia="方正仿宋_GBK"/>
          <w:color w:val="000000"/>
          <w:kern w:val="0"/>
          <w:sz w:val="24"/>
        </w:rPr>
      </w:pPr>
      <w:r>
        <w:rPr>
          <w:rFonts w:hint="eastAsia" w:ascii="Times New Roman" w:eastAsia="黑体"/>
          <w:bCs/>
          <w:color w:val="000000"/>
          <w:kern w:val="0"/>
          <w:sz w:val="24"/>
        </w:rPr>
        <w:t>第二十三条</w:t>
      </w:r>
      <w:r>
        <w:rPr>
          <w:rFonts w:eastAsia="方正仿宋_GBK"/>
          <w:color w:val="000000"/>
          <w:kern w:val="0"/>
          <w:sz w:val="24"/>
        </w:rPr>
        <w:t xml:space="preserve">  </w:t>
      </w:r>
      <w:r>
        <w:rPr>
          <w:rFonts w:hint="eastAsia" w:eastAsia="方正仿宋_GBK"/>
          <w:color w:val="000000"/>
          <w:kern w:val="0"/>
          <w:sz w:val="24"/>
        </w:rPr>
        <w:t>评标专家发生以下情况的，每次扣</w:t>
      </w:r>
      <w:r>
        <w:rPr>
          <w:rFonts w:eastAsia="方正仿宋_GBK"/>
          <w:color w:val="000000"/>
          <w:kern w:val="0"/>
          <w:sz w:val="24"/>
        </w:rPr>
        <w:t>5</w:t>
      </w:r>
      <w:r>
        <w:rPr>
          <w:rFonts w:hint="eastAsia" w:eastAsia="方正仿宋_GBK"/>
          <w:color w:val="000000"/>
          <w:kern w:val="0"/>
          <w:sz w:val="24"/>
        </w:rPr>
        <w:t>分。</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（一）未携带有效</w:t>
      </w:r>
      <w:r>
        <w:rPr>
          <w:rFonts w:eastAsia="方正仿宋_GBK"/>
          <w:color w:val="000000"/>
          <w:kern w:val="0"/>
          <w:sz w:val="24"/>
        </w:rPr>
        <w:t>CA</w:t>
      </w:r>
      <w:r>
        <w:rPr>
          <w:rFonts w:hint="eastAsia" w:eastAsia="方正仿宋_GBK"/>
          <w:color w:val="000000"/>
          <w:kern w:val="0"/>
          <w:sz w:val="24"/>
        </w:rPr>
        <w:t>数字证书参加评标活动的；</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（二）评审前不能认真阅读招标文件或者资格预审文件文件的；</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（三）在评审过程中做与评审无关事情的；</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（四）评审过程中催促其他评委评审的；</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（五）一年内累计</w:t>
      </w:r>
      <w:r>
        <w:rPr>
          <w:rFonts w:eastAsia="方正仿宋_GBK"/>
          <w:color w:val="000000"/>
          <w:kern w:val="0"/>
          <w:sz w:val="24"/>
        </w:rPr>
        <w:t>2</w:t>
      </w:r>
      <w:r>
        <w:rPr>
          <w:rFonts w:hint="eastAsia" w:eastAsia="方正仿宋_GBK"/>
          <w:color w:val="000000"/>
          <w:kern w:val="0"/>
          <w:sz w:val="24"/>
        </w:rPr>
        <w:t>次发生评标专家的打分与其他评标专家的平均分正负偏离</w:t>
      </w:r>
      <w:r>
        <w:rPr>
          <w:rFonts w:eastAsia="方正仿宋_GBK"/>
          <w:color w:val="000000"/>
          <w:kern w:val="0"/>
          <w:sz w:val="24"/>
        </w:rPr>
        <w:t>20%</w:t>
      </w:r>
      <w:r>
        <w:rPr>
          <w:rFonts w:hint="eastAsia" w:eastAsia="方正仿宋_GBK"/>
          <w:color w:val="000000"/>
          <w:kern w:val="0"/>
          <w:sz w:val="24"/>
        </w:rPr>
        <w:t>及以上，且不能作出书面合理说明的；</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（六）一年内累计</w:t>
      </w:r>
      <w:r>
        <w:rPr>
          <w:rFonts w:eastAsia="方正仿宋_GBK"/>
          <w:color w:val="000000"/>
          <w:kern w:val="0"/>
          <w:sz w:val="24"/>
        </w:rPr>
        <w:t>12</w:t>
      </w:r>
      <w:r>
        <w:rPr>
          <w:rFonts w:hint="eastAsia" w:eastAsia="方正仿宋_GBK"/>
          <w:color w:val="000000"/>
          <w:kern w:val="0"/>
          <w:sz w:val="24"/>
        </w:rPr>
        <w:t>次拒绝参加评标的（包括电话无人接听、直接挂机的）。</w:t>
      </w:r>
    </w:p>
    <w:p>
      <w:pPr>
        <w:shd w:val="clear" w:color="auto" w:fill="FFFFFF"/>
        <w:spacing w:line="460" w:lineRule="exact"/>
        <w:ind w:firstLine="472" w:firstLineChars="200"/>
        <w:jc w:val="left"/>
        <w:rPr>
          <w:rFonts w:eastAsia="方正仿宋_GBK"/>
          <w:color w:val="000000"/>
          <w:kern w:val="0"/>
          <w:sz w:val="24"/>
        </w:rPr>
      </w:pPr>
      <w:r>
        <w:rPr>
          <w:rFonts w:hint="eastAsia" w:ascii="Times New Roman" w:eastAsia="黑体"/>
          <w:bCs/>
          <w:color w:val="000000"/>
          <w:kern w:val="0"/>
          <w:sz w:val="24"/>
        </w:rPr>
        <w:t>第二十四条</w:t>
      </w:r>
      <w:r>
        <w:rPr>
          <w:rFonts w:eastAsia="方正仿宋_GBK"/>
          <w:color w:val="000000"/>
          <w:kern w:val="0"/>
          <w:sz w:val="24"/>
        </w:rPr>
        <w:t xml:space="preserve">  </w:t>
      </w:r>
      <w:r>
        <w:rPr>
          <w:rFonts w:hint="eastAsia" w:eastAsia="方正仿宋_GBK"/>
          <w:color w:val="000000"/>
          <w:kern w:val="0"/>
          <w:sz w:val="24"/>
        </w:rPr>
        <w:t>评标专家发生以下情况的，每次扣</w:t>
      </w:r>
      <w:r>
        <w:rPr>
          <w:rFonts w:eastAsia="方正仿宋_GBK"/>
          <w:color w:val="000000"/>
          <w:kern w:val="0"/>
          <w:sz w:val="24"/>
        </w:rPr>
        <w:t>10</w:t>
      </w:r>
      <w:r>
        <w:rPr>
          <w:rFonts w:hint="eastAsia" w:eastAsia="方正仿宋_GBK"/>
          <w:color w:val="000000"/>
          <w:kern w:val="0"/>
          <w:sz w:val="24"/>
        </w:rPr>
        <w:t>分。</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（一）确认参加评标后不参加评标，且未请假或者未在评标开始时间半小时前请假的；</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（二）将个人通讯工具带入评标区的；</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（三）未经评标现场监管人员或者见证人员许可，擅自进入其他评标室、离开评标区或者早退的；</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（四）一年内累计</w:t>
      </w:r>
      <w:r>
        <w:rPr>
          <w:rFonts w:eastAsia="方正仿宋_GBK"/>
          <w:color w:val="000000"/>
          <w:kern w:val="0"/>
          <w:sz w:val="24"/>
        </w:rPr>
        <w:t>4</w:t>
      </w:r>
      <w:r>
        <w:rPr>
          <w:rFonts w:hint="eastAsia" w:eastAsia="方正仿宋_GBK"/>
          <w:color w:val="000000"/>
          <w:kern w:val="0"/>
          <w:sz w:val="24"/>
        </w:rPr>
        <w:t>次发生评标专家的打分与其他评标专家的平均分正负偏离</w:t>
      </w:r>
      <w:r>
        <w:rPr>
          <w:rFonts w:eastAsia="方正仿宋_GBK"/>
          <w:color w:val="000000"/>
          <w:kern w:val="0"/>
          <w:sz w:val="24"/>
        </w:rPr>
        <w:t>20%</w:t>
      </w:r>
      <w:r>
        <w:rPr>
          <w:rFonts w:hint="eastAsia" w:eastAsia="方正仿宋_GBK"/>
          <w:color w:val="000000"/>
          <w:kern w:val="0"/>
          <w:sz w:val="24"/>
        </w:rPr>
        <w:t>及以上，且不能作出书面合理说明的；</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（五）将有关评标材料携带出评标现场的；</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（六）未认真填写或者未完整提交评审报告，或者拒绝在评标报告上签字（签章）且无书面陈述理由的；</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（七）对按照规定发放的评审费不满，且有过激言行的；</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（八）在评标过程中因评标专家个人操作失误导致评标结果改变，或者因评标专家个人原因导致两次及以上评标复议的；</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（九）无故拒绝参加复议的；</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（十）其他不服从评标现场监督与工作人员管理的。</w:t>
      </w:r>
    </w:p>
    <w:p>
      <w:pPr>
        <w:shd w:val="clear" w:color="auto" w:fill="FFFFFF"/>
        <w:spacing w:line="460" w:lineRule="exact"/>
        <w:ind w:firstLine="472" w:firstLineChars="200"/>
        <w:jc w:val="left"/>
        <w:rPr>
          <w:rFonts w:eastAsia="方正仿宋_GBK"/>
          <w:color w:val="000000"/>
          <w:kern w:val="0"/>
          <w:sz w:val="24"/>
        </w:rPr>
      </w:pPr>
      <w:r>
        <w:rPr>
          <w:rFonts w:hint="eastAsia" w:ascii="Times New Roman" w:eastAsia="黑体"/>
          <w:bCs/>
          <w:color w:val="000000"/>
          <w:kern w:val="0"/>
          <w:sz w:val="24"/>
        </w:rPr>
        <w:t>第二十五条</w:t>
      </w:r>
      <w:r>
        <w:rPr>
          <w:rFonts w:eastAsia="方正仿宋_GBK"/>
          <w:color w:val="000000"/>
          <w:kern w:val="0"/>
          <w:sz w:val="24"/>
        </w:rPr>
        <w:t xml:space="preserve">  </w:t>
      </w:r>
      <w:r>
        <w:rPr>
          <w:rFonts w:hint="eastAsia" w:eastAsia="方正仿宋_GBK"/>
          <w:color w:val="000000"/>
          <w:kern w:val="0"/>
          <w:sz w:val="24"/>
        </w:rPr>
        <w:t>评标专家发生以下情况的，每次扣</w:t>
      </w:r>
      <w:r>
        <w:rPr>
          <w:rFonts w:eastAsia="方正仿宋_GBK"/>
          <w:color w:val="000000"/>
          <w:kern w:val="0"/>
          <w:sz w:val="24"/>
        </w:rPr>
        <w:t>20</w:t>
      </w:r>
      <w:r>
        <w:rPr>
          <w:rFonts w:hint="eastAsia" w:eastAsia="方正仿宋_GBK"/>
          <w:color w:val="000000"/>
          <w:kern w:val="0"/>
          <w:sz w:val="24"/>
        </w:rPr>
        <w:t>分。</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（一）应当回避而未回避的；</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（二）未按招标文件或者资格审查文件规定的评审标准和方法评审，导致中标结果改变的；</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（三）评标委员会成员私下接触投标人，或者向招标人征询确定中标人的意向，或者接受任何单位或者个人明示或者暗示提出的倾向或者排斥特定投标人的要求；</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（四）以明示或者暗示的方式发表诱导性意见、授意其他评标专家给特定投标人进行倾向性打分的；</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（五）委托他人代替评标或者委托他人代替在评审报告上签字（签章）的；</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（六）暗示或者诱导投标人做出澄清、说明或者接受投标人主动提出的澄清、说明，影响公正评标的；</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（七）对依法应当否决的投标不提出否决意见；</w:t>
      </w:r>
    </w:p>
    <w:p>
      <w:pPr>
        <w:shd w:val="clear" w:color="auto" w:fill="FFFFFF"/>
        <w:spacing w:line="460" w:lineRule="exact"/>
        <w:ind w:firstLine="472" w:firstLineChars="200"/>
        <w:jc w:val="left"/>
        <w:rPr>
          <w:rFonts w:eastAsia="方正仿宋_GBK"/>
          <w:color w:val="000000"/>
          <w:kern w:val="0"/>
          <w:sz w:val="24"/>
        </w:rPr>
      </w:pPr>
      <w:r>
        <w:rPr>
          <w:rFonts w:eastAsia="方正仿宋_GBK"/>
          <w:color w:val="000000"/>
          <w:kern w:val="0"/>
          <w:sz w:val="24"/>
        </w:rPr>
        <w:t> </w:t>
      </w:r>
      <w:r>
        <w:rPr>
          <w:rFonts w:hint="eastAsia" w:eastAsia="方正仿宋_GBK"/>
          <w:color w:val="000000"/>
          <w:kern w:val="0"/>
          <w:sz w:val="24"/>
        </w:rPr>
        <w:t>（八）其他不客观、不公正履行职务的行为。</w:t>
      </w:r>
    </w:p>
    <w:p>
      <w:pPr>
        <w:shd w:val="clear" w:color="auto" w:fill="FFFFFF"/>
        <w:spacing w:line="460" w:lineRule="exact"/>
        <w:ind w:firstLine="472" w:firstLineChars="200"/>
        <w:jc w:val="left"/>
        <w:rPr>
          <w:rFonts w:eastAsia="方正仿宋_GBK"/>
          <w:color w:val="000000"/>
          <w:kern w:val="0"/>
          <w:sz w:val="24"/>
        </w:rPr>
      </w:pPr>
      <w:r>
        <w:rPr>
          <w:rFonts w:hint="eastAsia" w:ascii="Times New Roman" w:eastAsia="黑体"/>
          <w:bCs/>
          <w:color w:val="000000"/>
          <w:kern w:val="0"/>
          <w:sz w:val="24"/>
        </w:rPr>
        <w:t>第二十六条</w:t>
      </w:r>
      <w:r>
        <w:rPr>
          <w:rFonts w:eastAsia="方正仿宋_GBK"/>
          <w:color w:val="000000"/>
          <w:kern w:val="0"/>
          <w:sz w:val="24"/>
        </w:rPr>
        <w:t xml:space="preserve">  </w:t>
      </w:r>
      <w:r>
        <w:rPr>
          <w:rFonts w:hint="eastAsia" w:eastAsia="方正仿宋_GBK"/>
          <w:color w:val="000000"/>
          <w:kern w:val="0"/>
          <w:sz w:val="24"/>
        </w:rPr>
        <w:t>评标专家发生以下情况的，予以加分奖励。</w:t>
      </w:r>
    </w:p>
    <w:p>
      <w:pPr>
        <w:shd w:val="clear" w:color="auto" w:fill="FFFFFF"/>
        <w:spacing w:line="460" w:lineRule="exact"/>
        <w:ind w:firstLine="472" w:firstLineChars="200"/>
        <w:jc w:val="left"/>
        <w:rPr>
          <w:rFonts w:eastAsia="方正仿宋_GBK"/>
          <w:color w:val="000000"/>
          <w:spacing w:val="-10"/>
          <w:kern w:val="0"/>
          <w:sz w:val="24"/>
        </w:rPr>
      </w:pPr>
      <w:r>
        <w:rPr>
          <w:rFonts w:hint="eastAsia" w:eastAsia="方正仿宋_GBK"/>
          <w:color w:val="000000"/>
          <w:kern w:val="0"/>
          <w:sz w:val="24"/>
        </w:rPr>
        <w:t>（一）</w:t>
      </w:r>
      <w:r>
        <w:rPr>
          <w:rFonts w:hint="eastAsia" w:eastAsia="方正仿宋_GBK"/>
          <w:color w:val="000000"/>
          <w:spacing w:val="-10"/>
          <w:kern w:val="0"/>
          <w:sz w:val="24"/>
        </w:rPr>
        <w:t>在依法必须招标的项目中，积极配合有关部门对评标情况进行调查的，加</w:t>
      </w:r>
      <w:r>
        <w:rPr>
          <w:rFonts w:eastAsia="方正仿宋_GBK"/>
          <w:color w:val="000000"/>
          <w:spacing w:val="-10"/>
          <w:kern w:val="0"/>
          <w:sz w:val="24"/>
        </w:rPr>
        <w:t>3</w:t>
      </w:r>
      <w:r>
        <w:rPr>
          <w:rFonts w:hint="eastAsia" w:eastAsia="方正仿宋_GBK"/>
          <w:color w:val="000000"/>
          <w:spacing w:val="-10"/>
          <w:kern w:val="0"/>
          <w:sz w:val="24"/>
        </w:rPr>
        <w:t>分；</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（二）向当地招投标监管机构书面提出合理化建议被采纳的，加</w:t>
      </w:r>
      <w:r>
        <w:rPr>
          <w:rFonts w:eastAsia="方正仿宋_GBK"/>
          <w:color w:val="000000"/>
          <w:kern w:val="0"/>
          <w:sz w:val="24"/>
        </w:rPr>
        <w:t>5</w:t>
      </w:r>
      <w:r>
        <w:rPr>
          <w:rFonts w:hint="eastAsia" w:eastAsia="方正仿宋_GBK"/>
          <w:color w:val="000000"/>
          <w:kern w:val="0"/>
          <w:sz w:val="24"/>
        </w:rPr>
        <w:t>分；</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（三）主动向招投标监管机构反映评标过程中的违法违规行为且被查证属实的，加</w:t>
      </w:r>
      <w:r>
        <w:rPr>
          <w:rFonts w:eastAsia="方正仿宋_GBK"/>
          <w:color w:val="000000"/>
          <w:kern w:val="0"/>
          <w:sz w:val="24"/>
        </w:rPr>
        <w:t>10</w:t>
      </w:r>
      <w:r>
        <w:rPr>
          <w:rFonts w:hint="eastAsia" w:eastAsia="方正仿宋_GBK"/>
          <w:color w:val="000000"/>
          <w:kern w:val="0"/>
          <w:sz w:val="24"/>
        </w:rPr>
        <w:t>分。</w:t>
      </w:r>
    </w:p>
    <w:p>
      <w:pPr>
        <w:shd w:val="clear" w:color="auto" w:fill="FFFFFF"/>
        <w:spacing w:line="460" w:lineRule="exact"/>
        <w:ind w:firstLine="472" w:firstLineChars="200"/>
        <w:jc w:val="left"/>
        <w:rPr>
          <w:rFonts w:eastAsia="方正仿宋_GBK"/>
          <w:color w:val="000000"/>
          <w:kern w:val="0"/>
          <w:sz w:val="24"/>
        </w:rPr>
      </w:pPr>
      <w:r>
        <w:rPr>
          <w:rFonts w:hint="eastAsia" w:ascii="Times New Roman" w:eastAsia="黑体"/>
          <w:bCs/>
          <w:color w:val="000000"/>
          <w:kern w:val="0"/>
          <w:sz w:val="24"/>
        </w:rPr>
        <w:t>第二十七条</w:t>
      </w:r>
      <w:r>
        <w:rPr>
          <w:rFonts w:eastAsia="方正仿宋_GBK"/>
          <w:color w:val="000000"/>
          <w:kern w:val="0"/>
          <w:sz w:val="24"/>
        </w:rPr>
        <w:t xml:space="preserve">  </w:t>
      </w:r>
      <w:r>
        <w:rPr>
          <w:rFonts w:hint="eastAsia" w:eastAsia="方正仿宋_GBK"/>
          <w:color w:val="000000"/>
          <w:kern w:val="0"/>
          <w:sz w:val="24"/>
        </w:rPr>
        <w:t>评标专家在一个计分周期内累计扣满</w:t>
      </w:r>
      <w:r>
        <w:rPr>
          <w:rFonts w:eastAsia="方正仿宋_GBK"/>
          <w:color w:val="000000"/>
          <w:kern w:val="0"/>
          <w:sz w:val="24"/>
        </w:rPr>
        <w:t>15</w:t>
      </w:r>
      <w:r>
        <w:rPr>
          <w:rFonts w:hint="eastAsia" w:eastAsia="方正仿宋_GBK"/>
          <w:color w:val="000000"/>
          <w:kern w:val="0"/>
          <w:sz w:val="24"/>
        </w:rPr>
        <w:t>分的，暂停</w:t>
      </w:r>
      <w:r>
        <w:rPr>
          <w:rFonts w:eastAsia="方正仿宋_GBK"/>
          <w:color w:val="000000"/>
          <w:kern w:val="0"/>
          <w:sz w:val="24"/>
        </w:rPr>
        <w:t>3</w:t>
      </w:r>
      <w:r>
        <w:rPr>
          <w:rFonts w:hint="eastAsia" w:eastAsia="方正仿宋_GBK"/>
          <w:color w:val="000000"/>
          <w:kern w:val="0"/>
          <w:sz w:val="24"/>
        </w:rPr>
        <w:t>个月评标资格；累计扣满</w:t>
      </w:r>
      <w:r>
        <w:rPr>
          <w:rFonts w:eastAsia="方正仿宋_GBK"/>
          <w:color w:val="000000"/>
          <w:kern w:val="0"/>
          <w:sz w:val="24"/>
        </w:rPr>
        <w:t>20</w:t>
      </w:r>
      <w:r>
        <w:rPr>
          <w:rFonts w:hint="eastAsia" w:eastAsia="方正仿宋_GBK"/>
          <w:color w:val="000000"/>
          <w:kern w:val="0"/>
          <w:sz w:val="24"/>
        </w:rPr>
        <w:t>分的，暂停</w:t>
      </w:r>
      <w:r>
        <w:rPr>
          <w:rFonts w:eastAsia="方正仿宋_GBK"/>
          <w:color w:val="000000"/>
          <w:kern w:val="0"/>
          <w:sz w:val="24"/>
        </w:rPr>
        <w:t>6</w:t>
      </w:r>
      <w:r>
        <w:rPr>
          <w:rFonts w:hint="eastAsia" w:eastAsia="方正仿宋_GBK"/>
          <w:color w:val="000000"/>
          <w:kern w:val="0"/>
          <w:sz w:val="24"/>
        </w:rPr>
        <w:t>个月评标资格；累计暂停</w:t>
      </w:r>
      <w:r>
        <w:rPr>
          <w:rFonts w:eastAsia="方正仿宋_GBK"/>
          <w:color w:val="000000"/>
          <w:kern w:val="0"/>
          <w:sz w:val="24"/>
        </w:rPr>
        <w:t>9</w:t>
      </w:r>
      <w:r>
        <w:rPr>
          <w:rFonts w:hint="eastAsia" w:eastAsia="方正仿宋_GBK"/>
          <w:color w:val="000000"/>
          <w:kern w:val="0"/>
          <w:sz w:val="24"/>
        </w:rPr>
        <w:t>个月及以上的，自暂停之日起三年内不得续聘评标专家资格；一次被扣</w:t>
      </w:r>
      <w:r>
        <w:rPr>
          <w:rFonts w:eastAsia="方正仿宋_GBK"/>
          <w:color w:val="000000"/>
          <w:kern w:val="0"/>
          <w:sz w:val="24"/>
        </w:rPr>
        <w:t>20</w:t>
      </w:r>
      <w:r>
        <w:rPr>
          <w:rFonts w:hint="eastAsia" w:eastAsia="方正仿宋_GBK"/>
          <w:color w:val="000000"/>
          <w:kern w:val="0"/>
          <w:sz w:val="24"/>
        </w:rPr>
        <w:t>分的，暂停</w:t>
      </w:r>
      <w:r>
        <w:rPr>
          <w:rFonts w:eastAsia="方正仿宋_GBK"/>
          <w:color w:val="000000"/>
          <w:kern w:val="0"/>
          <w:sz w:val="24"/>
        </w:rPr>
        <w:t>12</w:t>
      </w:r>
      <w:r>
        <w:rPr>
          <w:rFonts w:hint="eastAsia" w:eastAsia="方正仿宋_GBK"/>
          <w:color w:val="000000"/>
          <w:kern w:val="0"/>
          <w:sz w:val="24"/>
        </w:rPr>
        <w:t>个月评标资格或者视情节依法取消其评标专家资格。</w:t>
      </w:r>
    </w:p>
    <w:p>
      <w:pPr>
        <w:shd w:val="clear" w:color="auto" w:fill="FFFFFF"/>
        <w:spacing w:line="460" w:lineRule="exact"/>
        <w:ind w:firstLine="456" w:firstLineChars="200"/>
        <w:jc w:val="left"/>
        <w:rPr>
          <w:rFonts w:eastAsia="方正仿宋_GBK"/>
          <w:color w:val="000000"/>
          <w:spacing w:val="-4"/>
          <w:kern w:val="0"/>
          <w:sz w:val="24"/>
        </w:rPr>
      </w:pPr>
      <w:r>
        <w:rPr>
          <w:rFonts w:hint="eastAsia" w:eastAsia="方正仿宋_GBK"/>
          <w:color w:val="000000"/>
          <w:spacing w:val="-4"/>
          <w:kern w:val="0"/>
          <w:sz w:val="24"/>
        </w:rPr>
        <w:t>普通评标专家被暂停</w:t>
      </w:r>
      <w:r>
        <w:rPr>
          <w:rFonts w:eastAsia="方正仿宋_GBK"/>
          <w:color w:val="000000"/>
          <w:spacing w:val="-4"/>
          <w:kern w:val="0"/>
          <w:sz w:val="24"/>
        </w:rPr>
        <w:t>6</w:t>
      </w:r>
      <w:r>
        <w:rPr>
          <w:rFonts w:hint="eastAsia" w:eastAsia="方正仿宋_GBK"/>
          <w:color w:val="000000"/>
          <w:spacing w:val="-4"/>
          <w:kern w:val="0"/>
          <w:sz w:val="24"/>
        </w:rPr>
        <w:t>个月及以上评标资格的，三年内不得申报资深评标专家；资深评标专家被暂停</w:t>
      </w:r>
      <w:r>
        <w:rPr>
          <w:rFonts w:eastAsia="方正仿宋_GBK"/>
          <w:color w:val="000000"/>
          <w:spacing w:val="-4"/>
          <w:kern w:val="0"/>
          <w:sz w:val="24"/>
        </w:rPr>
        <w:t>6</w:t>
      </w:r>
      <w:r>
        <w:rPr>
          <w:rFonts w:hint="eastAsia" w:eastAsia="方正仿宋_GBK"/>
          <w:color w:val="000000"/>
          <w:spacing w:val="-4"/>
          <w:kern w:val="0"/>
          <w:sz w:val="24"/>
        </w:rPr>
        <w:t>个月及以上评标资格的，应降为普通评标专家且三年内不得晋升。</w:t>
      </w:r>
    </w:p>
    <w:p>
      <w:pPr>
        <w:shd w:val="clear" w:color="auto" w:fill="FFFFFF"/>
        <w:spacing w:line="460" w:lineRule="exact"/>
        <w:ind w:firstLine="472" w:firstLineChars="200"/>
        <w:jc w:val="left"/>
        <w:rPr>
          <w:rFonts w:eastAsia="方正仿宋_GBK"/>
          <w:color w:val="000000"/>
          <w:kern w:val="0"/>
          <w:sz w:val="24"/>
        </w:rPr>
      </w:pPr>
      <w:r>
        <w:rPr>
          <w:rFonts w:hint="eastAsia" w:ascii="Times New Roman" w:eastAsia="黑体"/>
          <w:bCs/>
          <w:color w:val="000000"/>
          <w:kern w:val="0"/>
          <w:sz w:val="24"/>
        </w:rPr>
        <w:t>第十二八条</w:t>
      </w:r>
      <w:r>
        <w:rPr>
          <w:rFonts w:eastAsia="方正仿宋_GBK"/>
          <w:b/>
          <w:bCs/>
          <w:color w:val="000000"/>
          <w:kern w:val="0"/>
          <w:sz w:val="24"/>
        </w:rPr>
        <w:t xml:space="preserve">  </w:t>
      </w:r>
      <w:r>
        <w:rPr>
          <w:rFonts w:hint="eastAsia" w:eastAsia="方正仿宋_GBK"/>
          <w:color w:val="000000"/>
          <w:kern w:val="0"/>
          <w:sz w:val="24"/>
        </w:rPr>
        <w:t>评标委员会成员收受投标人、其他利害关系人的财物或者者其他好处，向他人透露对投标文件的评审和比较、中标候选人的推荐以及与评标有关的其他情况的，取消其评标专家的资格。</w:t>
      </w:r>
    </w:p>
    <w:p>
      <w:pPr>
        <w:shd w:val="clear" w:color="auto" w:fill="FFFFFF"/>
        <w:spacing w:line="460" w:lineRule="exact"/>
        <w:ind w:firstLine="472" w:firstLineChars="200"/>
        <w:jc w:val="left"/>
        <w:rPr>
          <w:rFonts w:eastAsia="方正仿宋_GBK"/>
          <w:color w:val="000000"/>
          <w:kern w:val="0"/>
          <w:sz w:val="24"/>
        </w:rPr>
      </w:pPr>
      <w:r>
        <w:rPr>
          <w:rFonts w:hint="eastAsia" w:ascii="Times New Roman" w:eastAsia="黑体"/>
          <w:bCs/>
          <w:color w:val="000000"/>
          <w:kern w:val="0"/>
          <w:sz w:val="24"/>
        </w:rPr>
        <w:t>第二十九条</w:t>
      </w:r>
      <w:r>
        <w:rPr>
          <w:rFonts w:eastAsia="方正仿宋_GBK"/>
          <w:color w:val="000000"/>
          <w:kern w:val="0"/>
          <w:sz w:val="24"/>
        </w:rPr>
        <w:t xml:space="preserve">  </w:t>
      </w:r>
      <w:r>
        <w:rPr>
          <w:rFonts w:hint="eastAsia" w:eastAsia="方正仿宋_GBK"/>
          <w:color w:val="000000"/>
          <w:kern w:val="0"/>
          <w:sz w:val="24"/>
        </w:rPr>
        <w:t>评标专家实行动态管理，计分项有效期为一年，自计分之日起算，有效期满后该项计分归零。计分后符合本办法第二十七条被暂停的，暂停期满后各项计分（含加分项）归零。计分周期内奖励加分可与第二十二条、第二十三条、第二十四条规定的扣分实时冲抵。</w:t>
      </w:r>
    </w:p>
    <w:p>
      <w:pPr>
        <w:shd w:val="clear" w:color="auto" w:fill="FFFFFF"/>
        <w:spacing w:line="460" w:lineRule="exact"/>
        <w:ind w:firstLine="472" w:firstLineChars="200"/>
        <w:jc w:val="left"/>
        <w:rPr>
          <w:rFonts w:eastAsia="方正仿宋_GBK"/>
          <w:color w:val="000000"/>
          <w:kern w:val="0"/>
          <w:sz w:val="24"/>
        </w:rPr>
      </w:pPr>
      <w:r>
        <w:rPr>
          <w:rFonts w:hint="eastAsia" w:ascii="Times New Roman" w:eastAsia="黑体"/>
          <w:bCs/>
          <w:color w:val="000000"/>
          <w:kern w:val="0"/>
          <w:sz w:val="24"/>
        </w:rPr>
        <w:t>第三十条</w:t>
      </w:r>
      <w:r>
        <w:rPr>
          <w:rFonts w:eastAsia="方正仿宋_GBK"/>
          <w:color w:val="000000"/>
          <w:kern w:val="0"/>
          <w:sz w:val="24"/>
        </w:rPr>
        <w:t xml:space="preserve">  </w:t>
      </w:r>
      <w:r>
        <w:rPr>
          <w:rFonts w:hint="eastAsia" w:eastAsia="方正仿宋_GBK"/>
          <w:color w:val="000000"/>
          <w:kern w:val="0"/>
          <w:sz w:val="24"/>
        </w:rPr>
        <w:t>评标专家一次被扣</w:t>
      </w:r>
      <w:r>
        <w:rPr>
          <w:rFonts w:eastAsia="方正仿宋_GBK"/>
          <w:color w:val="000000"/>
          <w:kern w:val="0"/>
          <w:sz w:val="24"/>
        </w:rPr>
        <w:t>10</w:t>
      </w:r>
      <w:r>
        <w:rPr>
          <w:rFonts w:hint="eastAsia" w:eastAsia="方正仿宋_GBK"/>
          <w:color w:val="000000"/>
          <w:kern w:val="0"/>
          <w:sz w:val="24"/>
        </w:rPr>
        <w:t>分、</w:t>
      </w:r>
      <w:r>
        <w:rPr>
          <w:rFonts w:eastAsia="方正仿宋_GBK"/>
          <w:color w:val="000000"/>
          <w:kern w:val="0"/>
          <w:sz w:val="24"/>
        </w:rPr>
        <w:t>20</w:t>
      </w:r>
      <w:r>
        <w:rPr>
          <w:rFonts w:hint="eastAsia" w:eastAsia="方正仿宋_GBK"/>
          <w:color w:val="000000"/>
          <w:kern w:val="0"/>
          <w:sz w:val="24"/>
        </w:rPr>
        <w:t>分和奖励加分的，由项目监管人员和或者负责评标专家管理的工作人员计分后，经招投标监管机构审核后计分生效。</w:t>
      </w:r>
    </w:p>
    <w:p>
      <w:pPr>
        <w:shd w:val="clear" w:color="auto" w:fill="FFFFFF"/>
        <w:spacing w:line="460" w:lineRule="exact"/>
        <w:ind w:firstLine="472" w:firstLineChars="200"/>
        <w:jc w:val="left"/>
        <w:rPr>
          <w:rFonts w:eastAsia="方正仿宋_GBK"/>
          <w:color w:val="000000"/>
          <w:kern w:val="0"/>
          <w:sz w:val="24"/>
        </w:rPr>
      </w:pPr>
      <w:r>
        <w:rPr>
          <w:rFonts w:hint="eastAsia" w:ascii="Times New Roman" w:eastAsia="黑体"/>
          <w:bCs/>
          <w:color w:val="000000"/>
          <w:kern w:val="0"/>
          <w:sz w:val="24"/>
        </w:rPr>
        <w:t>第三十一条</w:t>
      </w:r>
      <w:r>
        <w:rPr>
          <w:rFonts w:eastAsia="方正仿宋_GBK"/>
          <w:color w:val="000000"/>
          <w:kern w:val="0"/>
          <w:sz w:val="24"/>
        </w:rPr>
        <w:t xml:space="preserve">  </w:t>
      </w:r>
      <w:r>
        <w:rPr>
          <w:rFonts w:hint="eastAsia" w:eastAsia="方正仿宋_GBK"/>
          <w:color w:val="000000"/>
          <w:kern w:val="0"/>
          <w:sz w:val="24"/>
        </w:rPr>
        <w:t>考核计分应实时同步至省</w:t>
      </w:r>
      <w:r>
        <w:rPr>
          <w:rFonts w:eastAsia="方正仿宋_GBK"/>
          <w:color w:val="000000"/>
          <w:kern w:val="0"/>
          <w:sz w:val="24"/>
        </w:rPr>
        <w:t>“</w:t>
      </w:r>
      <w:r>
        <w:rPr>
          <w:rFonts w:hint="eastAsia" w:eastAsia="方正仿宋_GBK"/>
          <w:color w:val="000000"/>
          <w:kern w:val="0"/>
          <w:sz w:val="24"/>
        </w:rPr>
        <w:t>评委管理系统</w:t>
      </w:r>
      <w:r>
        <w:rPr>
          <w:rFonts w:eastAsia="方正仿宋_GBK"/>
          <w:color w:val="000000"/>
          <w:kern w:val="0"/>
          <w:sz w:val="24"/>
        </w:rPr>
        <w:t>”</w:t>
      </w:r>
      <w:r>
        <w:rPr>
          <w:rFonts w:hint="eastAsia" w:eastAsia="方正仿宋_GBK"/>
          <w:color w:val="000000"/>
          <w:kern w:val="0"/>
          <w:sz w:val="24"/>
        </w:rPr>
        <w:t>，并实时通过短信告知评标专家，评标专家对计分结果有异议的，应当自计分之日起</w:t>
      </w:r>
      <w:r>
        <w:rPr>
          <w:rFonts w:eastAsia="方正仿宋_GBK"/>
          <w:color w:val="000000"/>
          <w:kern w:val="0"/>
          <w:sz w:val="24"/>
        </w:rPr>
        <w:t>3</w:t>
      </w:r>
      <w:r>
        <w:rPr>
          <w:rFonts w:hint="eastAsia" w:eastAsia="方正仿宋_GBK"/>
          <w:color w:val="000000"/>
          <w:kern w:val="0"/>
          <w:sz w:val="24"/>
        </w:rPr>
        <w:t>个工作日内通过</w:t>
      </w:r>
      <w:r>
        <w:rPr>
          <w:rFonts w:eastAsia="方正仿宋_GBK"/>
          <w:color w:val="000000"/>
          <w:kern w:val="0"/>
          <w:sz w:val="24"/>
        </w:rPr>
        <w:t>“</w:t>
      </w:r>
      <w:r>
        <w:rPr>
          <w:rFonts w:hint="eastAsia" w:eastAsia="方正仿宋_GBK"/>
          <w:color w:val="000000"/>
          <w:kern w:val="0"/>
          <w:sz w:val="24"/>
        </w:rPr>
        <w:t>评委管理系统</w:t>
      </w:r>
      <w:r>
        <w:rPr>
          <w:rFonts w:eastAsia="方正仿宋_GBK"/>
          <w:color w:val="000000"/>
          <w:kern w:val="0"/>
          <w:sz w:val="24"/>
        </w:rPr>
        <w:t>”</w:t>
      </w:r>
      <w:r>
        <w:rPr>
          <w:rFonts w:hint="eastAsia" w:eastAsia="方正仿宋_GBK"/>
          <w:color w:val="000000"/>
          <w:kern w:val="0"/>
          <w:sz w:val="24"/>
        </w:rPr>
        <w:t>向属地招投标监管机构提出申诉，招投标监管机构应当自收到申诉之日起</w:t>
      </w:r>
      <w:r>
        <w:rPr>
          <w:rFonts w:eastAsia="方正仿宋_GBK"/>
          <w:color w:val="000000"/>
          <w:kern w:val="0"/>
          <w:sz w:val="24"/>
        </w:rPr>
        <w:t>5</w:t>
      </w:r>
      <w:r>
        <w:rPr>
          <w:rFonts w:hint="eastAsia" w:eastAsia="方正仿宋_GBK"/>
          <w:color w:val="000000"/>
          <w:kern w:val="0"/>
          <w:sz w:val="24"/>
        </w:rPr>
        <w:t>个工作日内作出答复；对答复结果无异议的计分时间从被计分之日算起。</w:t>
      </w:r>
    </w:p>
    <w:p>
      <w:pPr>
        <w:shd w:val="clear" w:color="auto" w:fill="FFFFFF"/>
        <w:spacing w:line="460" w:lineRule="exact"/>
        <w:ind w:firstLine="472" w:firstLineChars="200"/>
        <w:jc w:val="left"/>
        <w:rPr>
          <w:rFonts w:eastAsia="方正仿宋_GBK"/>
          <w:color w:val="000000"/>
          <w:kern w:val="0"/>
          <w:sz w:val="24"/>
        </w:rPr>
      </w:pPr>
      <w:r>
        <w:rPr>
          <w:rFonts w:hint="eastAsia" w:ascii="Times New Roman" w:eastAsia="黑体"/>
          <w:bCs/>
          <w:color w:val="000000"/>
          <w:kern w:val="0"/>
          <w:sz w:val="24"/>
        </w:rPr>
        <w:t>第三十二条</w:t>
      </w:r>
      <w:r>
        <w:rPr>
          <w:rFonts w:eastAsia="方正仿宋_GBK"/>
          <w:color w:val="000000"/>
          <w:kern w:val="0"/>
          <w:sz w:val="24"/>
        </w:rPr>
        <w:t xml:space="preserve">  </w:t>
      </w:r>
      <w:r>
        <w:rPr>
          <w:rFonts w:hint="eastAsia" w:eastAsia="方正仿宋_GBK"/>
          <w:color w:val="000000"/>
          <w:kern w:val="0"/>
          <w:sz w:val="24"/>
        </w:rPr>
        <w:t>各级招投标监管机构根据本地实际，每季度或者半年公布被暂停评标专家名单；设区的市招投标监管机构每年应对本地评标专家进行一次综合考核和总结，并通报考核及管理情况。</w:t>
      </w:r>
    </w:p>
    <w:p>
      <w:pPr>
        <w:shd w:val="clear" w:color="auto" w:fill="FFFFFF"/>
        <w:spacing w:line="460" w:lineRule="exact"/>
        <w:ind w:firstLine="472" w:firstLineChars="200"/>
        <w:jc w:val="left"/>
        <w:rPr>
          <w:rFonts w:eastAsia="方正仿宋_GBK"/>
          <w:color w:val="000000"/>
          <w:kern w:val="0"/>
          <w:sz w:val="24"/>
        </w:rPr>
      </w:pPr>
    </w:p>
    <w:p>
      <w:pPr>
        <w:shd w:val="clear" w:color="auto" w:fill="FFFFFF"/>
        <w:spacing w:line="460" w:lineRule="exact"/>
        <w:ind w:left="1" w:leftChars="-3" w:hanging="7" w:hangingChars="3"/>
        <w:jc w:val="center"/>
        <w:outlineLvl w:val="0"/>
        <w:rPr>
          <w:rFonts w:ascii="Times New Roman" w:eastAsia="黑体"/>
          <w:bCs/>
          <w:color w:val="000000"/>
          <w:kern w:val="36"/>
          <w:sz w:val="24"/>
        </w:rPr>
      </w:pPr>
      <w:bookmarkStart w:id="709" w:name="_Toc20668184"/>
      <w:bookmarkStart w:id="710" w:name="_Toc18315850"/>
      <w:bookmarkStart w:id="711" w:name="_Toc20726714"/>
      <w:r>
        <w:rPr>
          <w:rFonts w:hint="eastAsia" w:ascii="Times New Roman" w:eastAsia="黑体"/>
          <w:bCs/>
          <w:color w:val="000000"/>
          <w:kern w:val="36"/>
          <w:sz w:val="24"/>
        </w:rPr>
        <w:t>第五章</w:t>
      </w:r>
      <w:r>
        <w:rPr>
          <w:rFonts w:ascii="Times New Roman" w:eastAsia="黑体"/>
          <w:bCs/>
          <w:color w:val="000000"/>
          <w:kern w:val="36"/>
          <w:sz w:val="24"/>
        </w:rPr>
        <w:t> </w:t>
      </w:r>
      <w:r>
        <w:rPr>
          <w:rFonts w:hint="eastAsia" w:ascii="Times New Roman" w:eastAsia="黑体"/>
          <w:bCs/>
          <w:color w:val="000000"/>
          <w:kern w:val="36"/>
          <w:sz w:val="24"/>
        </w:rPr>
        <w:t xml:space="preserve"> 附则</w:t>
      </w:r>
      <w:bookmarkEnd w:id="709"/>
      <w:bookmarkEnd w:id="710"/>
      <w:bookmarkEnd w:id="711"/>
    </w:p>
    <w:p>
      <w:pPr>
        <w:shd w:val="clear" w:color="auto" w:fill="FFFFFF"/>
        <w:spacing w:line="460" w:lineRule="exact"/>
        <w:ind w:left="1" w:leftChars="-3" w:hanging="7" w:hangingChars="3"/>
        <w:jc w:val="center"/>
        <w:outlineLvl w:val="0"/>
        <w:rPr>
          <w:rFonts w:hint="eastAsia" w:ascii="Times New Roman" w:eastAsia="黑体"/>
          <w:bCs/>
          <w:color w:val="000000"/>
          <w:kern w:val="36"/>
          <w:sz w:val="24"/>
        </w:rPr>
      </w:pPr>
    </w:p>
    <w:p>
      <w:pPr>
        <w:shd w:val="clear" w:color="auto" w:fill="FFFFFF"/>
        <w:spacing w:line="460" w:lineRule="exact"/>
        <w:ind w:firstLine="472" w:firstLineChars="200"/>
        <w:jc w:val="left"/>
        <w:rPr>
          <w:rFonts w:hint="eastAsia" w:eastAsia="方正仿宋_GBK"/>
          <w:color w:val="000000"/>
          <w:kern w:val="0"/>
          <w:sz w:val="24"/>
        </w:rPr>
      </w:pPr>
      <w:r>
        <w:rPr>
          <w:rFonts w:hint="eastAsia" w:ascii="Times New Roman" w:eastAsia="黑体"/>
          <w:bCs/>
          <w:color w:val="000000"/>
          <w:kern w:val="0"/>
          <w:sz w:val="24"/>
        </w:rPr>
        <w:t>第三十三条</w:t>
      </w:r>
      <w:r>
        <w:rPr>
          <w:rFonts w:eastAsia="方正仿宋_GBK"/>
          <w:color w:val="000000"/>
          <w:kern w:val="0"/>
          <w:sz w:val="24"/>
        </w:rPr>
        <w:t xml:space="preserve">  </w:t>
      </w:r>
      <w:r>
        <w:rPr>
          <w:rFonts w:hint="eastAsia" w:eastAsia="方正仿宋_GBK"/>
          <w:color w:val="000000"/>
          <w:kern w:val="0"/>
          <w:sz w:val="24"/>
        </w:rPr>
        <w:t>评标专家在评标中有违法违规行为，按《中华人民共和国招标投标法》《评标委员会和评标方法暂行规定》等法律法规的有关规定处理，触犯刑律的，依法追究刑事责任。</w:t>
      </w:r>
    </w:p>
    <w:p>
      <w:pPr>
        <w:shd w:val="clear" w:color="auto" w:fill="FFFFFF"/>
        <w:spacing w:line="460" w:lineRule="exact"/>
        <w:ind w:firstLine="472" w:firstLineChars="200"/>
        <w:jc w:val="left"/>
        <w:rPr>
          <w:rFonts w:eastAsia="方正仿宋_GBK"/>
          <w:color w:val="000000"/>
          <w:kern w:val="0"/>
          <w:sz w:val="24"/>
        </w:rPr>
      </w:pPr>
      <w:r>
        <w:rPr>
          <w:rFonts w:hint="eastAsia" w:ascii="Times New Roman" w:eastAsia="黑体"/>
          <w:bCs/>
          <w:color w:val="000000"/>
          <w:kern w:val="0"/>
          <w:sz w:val="24"/>
        </w:rPr>
        <w:t>第三十四条</w:t>
      </w:r>
      <w:r>
        <w:rPr>
          <w:rFonts w:eastAsia="方正仿宋_GBK"/>
          <w:b/>
          <w:bCs/>
          <w:color w:val="000000"/>
          <w:kern w:val="0"/>
          <w:sz w:val="24"/>
        </w:rPr>
        <w:t xml:space="preserve">  </w:t>
      </w:r>
      <w:r>
        <w:rPr>
          <w:rFonts w:hint="eastAsia" w:eastAsia="方正仿宋_GBK"/>
          <w:color w:val="000000"/>
          <w:kern w:val="0"/>
          <w:sz w:val="24"/>
        </w:rPr>
        <w:t>本办法中所称大型工程、技术要求复杂工程，执行《关于房屋建筑和市政基础设施工程贯彻招标投标法实施条例的意见》（苏建规字〔</w:t>
      </w:r>
      <w:r>
        <w:rPr>
          <w:rFonts w:eastAsia="方正仿宋_GBK"/>
          <w:color w:val="000000"/>
          <w:kern w:val="0"/>
          <w:sz w:val="24"/>
        </w:rPr>
        <w:t>2013</w:t>
      </w:r>
      <w:r>
        <w:rPr>
          <w:rFonts w:hint="eastAsia" w:eastAsia="方正仿宋_GBK"/>
          <w:color w:val="000000"/>
          <w:kern w:val="0"/>
          <w:sz w:val="24"/>
        </w:rPr>
        <w:t>〕</w:t>
      </w:r>
      <w:r>
        <w:rPr>
          <w:rFonts w:eastAsia="方正仿宋_GBK"/>
          <w:color w:val="000000"/>
          <w:kern w:val="0"/>
          <w:sz w:val="24"/>
        </w:rPr>
        <w:t>4</w:t>
      </w:r>
      <w:r>
        <w:rPr>
          <w:rFonts w:hint="eastAsia" w:eastAsia="方正仿宋_GBK"/>
          <w:color w:val="000000"/>
          <w:kern w:val="0"/>
          <w:sz w:val="24"/>
        </w:rPr>
        <w:t>号）附件</w:t>
      </w:r>
      <w:r>
        <w:rPr>
          <w:rFonts w:eastAsia="方正仿宋_GBK"/>
          <w:color w:val="000000"/>
          <w:kern w:val="0"/>
          <w:sz w:val="24"/>
        </w:rPr>
        <w:t>1</w:t>
      </w:r>
      <w:r>
        <w:rPr>
          <w:rFonts w:hint="eastAsia" w:eastAsia="方正仿宋_GBK"/>
          <w:color w:val="000000"/>
          <w:kern w:val="0"/>
          <w:sz w:val="24"/>
        </w:rPr>
        <w:t>中的标准。</w:t>
      </w: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本办法附件二中所称中型及以上工程，执行《民用建筑工程设计等级分类表》中的标准。</w:t>
      </w:r>
    </w:p>
    <w:p>
      <w:pPr>
        <w:shd w:val="clear" w:color="auto" w:fill="FFFFFF"/>
        <w:spacing w:line="460" w:lineRule="exact"/>
        <w:ind w:firstLine="472" w:firstLineChars="200"/>
        <w:jc w:val="left"/>
        <w:rPr>
          <w:rFonts w:eastAsia="方正仿宋_GBK"/>
          <w:color w:val="000000"/>
          <w:kern w:val="0"/>
          <w:sz w:val="24"/>
        </w:rPr>
      </w:pPr>
      <w:r>
        <w:rPr>
          <w:rFonts w:hint="eastAsia" w:ascii="Times New Roman" w:eastAsia="黑体"/>
          <w:bCs/>
          <w:color w:val="000000"/>
          <w:kern w:val="0"/>
          <w:sz w:val="24"/>
        </w:rPr>
        <w:t>第三十五条</w:t>
      </w:r>
      <w:r>
        <w:rPr>
          <w:rFonts w:eastAsia="方正仿宋_GBK"/>
          <w:color w:val="000000"/>
          <w:kern w:val="0"/>
          <w:sz w:val="24"/>
        </w:rPr>
        <w:t xml:space="preserve">  </w:t>
      </w:r>
      <w:r>
        <w:rPr>
          <w:rFonts w:hint="eastAsia" w:eastAsia="方正仿宋_GBK"/>
          <w:color w:val="000000"/>
          <w:kern w:val="0"/>
          <w:sz w:val="24"/>
        </w:rPr>
        <w:t>评标专家出现第二十二条、第二十三条、第二十四条、第二十五条规定情形列为失信行为的，应当按照国家、省有关规定实施失信惩戒管理。</w:t>
      </w:r>
    </w:p>
    <w:p>
      <w:pPr>
        <w:shd w:val="clear" w:color="auto" w:fill="FFFFFF"/>
        <w:spacing w:line="460" w:lineRule="exact"/>
        <w:ind w:firstLine="472" w:firstLineChars="200"/>
        <w:jc w:val="left"/>
        <w:rPr>
          <w:rFonts w:eastAsia="方正仿宋_GBK"/>
          <w:color w:val="000000"/>
          <w:kern w:val="0"/>
          <w:sz w:val="24"/>
        </w:rPr>
      </w:pPr>
      <w:r>
        <w:rPr>
          <w:rFonts w:hint="eastAsia" w:ascii="Times New Roman" w:eastAsia="黑体"/>
          <w:bCs/>
          <w:color w:val="000000"/>
          <w:kern w:val="0"/>
          <w:sz w:val="24"/>
        </w:rPr>
        <w:t>第三十六条</w:t>
      </w:r>
      <w:r>
        <w:rPr>
          <w:rFonts w:eastAsia="方正仿宋_GBK"/>
          <w:color w:val="000000"/>
          <w:kern w:val="0"/>
          <w:sz w:val="24"/>
        </w:rPr>
        <w:t xml:space="preserve">  </w:t>
      </w:r>
      <w:r>
        <w:rPr>
          <w:rFonts w:hint="eastAsia" w:eastAsia="方正仿宋_GBK"/>
          <w:color w:val="000000"/>
          <w:kern w:val="0"/>
          <w:sz w:val="24"/>
        </w:rPr>
        <w:t>本办法由省住房和城乡建设厅负责解释。</w:t>
      </w:r>
    </w:p>
    <w:p>
      <w:pPr>
        <w:shd w:val="clear" w:color="auto" w:fill="FFFFFF"/>
        <w:spacing w:line="460" w:lineRule="exact"/>
        <w:ind w:firstLine="472" w:firstLineChars="200"/>
        <w:jc w:val="left"/>
        <w:rPr>
          <w:rFonts w:eastAsia="方正仿宋_GBK"/>
          <w:color w:val="000000"/>
          <w:kern w:val="0"/>
          <w:sz w:val="24"/>
        </w:rPr>
      </w:pPr>
      <w:r>
        <w:rPr>
          <w:rFonts w:hint="eastAsia" w:ascii="Times New Roman" w:eastAsia="黑体"/>
          <w:bCs/>
          <w:color w:val="000000"/>
          <w:kern w:val="0"/>
          <w:sz w:val="24"/>
        </w:rPr>
        <w:t>第三十七条</w:t>
      </w:r>
      <w:r>
        <w:rPr>
          <w:rFonts w:eastAsia="方正仿宋_GBK"/>
          <w:color w:val="000000"/>
          <w:kern w:val="0"/>
          <w:sz w:val="24"/>
        </w:rPr>
        <w:t xml:space="preserve">  </w:t>
      </w:r>
      <w:r>
        <w:rPr>
          <w:rFonts w:hint="eastAsia" w:eastAsia="方正仿宋_GBK"/>
          <w:color w:val="000000"/>
          <w:kern w:val="0"/>
          <w:sz w:val="24"/>
        </w:rPr>
        <w:t>本办法自</w:t>
      </w:r>
      <w:r>
        <w:rPr>
          <w:rFonts w:eastAsia="方正仿宋_GBK"/>
          <w:color w:val="000000"/>
          <w:kern w:val="0"/>
          <w:sz w:val="24"/>
        </w:rPr>
        <w:t>2015</w:t>
      </w:r>
      <w:r>
        <w:rPr>
          <w:rFonts w:hint="eastAsia" w:eastAsia="方正仿宋_GBK"/>
          <w:color w:val="000000"/>
          <w:kern w:val="0"/>
          <w:sz w:val="24"/>
        </w:rPr>
        <w:t>年</w:t>
      </w:r>
      <w:r>
        <w:rPr>
          <w:rFonts w:eastAsia="方正仿宋_GBK"/>
          <w:color w:val="000000"/>
          <w:kern w:val="0"/>
          <w:sz w:val="24"/>
        </w:rPr>
        <w:t>3</w:t>
      </w:r>
      <w:r>
        <w:rPr>
          <w:rFonts w:hint="eastAsia" w:eastAsia="方正仿宋_GBK"/>
          <w:color w:val="000000"/>
          <w:kern w:val="0"/>
          <w:sz w:val="24"/>
        </w:rPr>
        <w:t>月</w:t>
      </w:r>
      <w:r>
        <w:rPr>
          <w:rFonts w:eastAsia="方正仿宋_GBK"/>
          <w:color w:val="000000"/>
          <w:kern w:val="0"/>
          <w:sz w:val="24"/>
        </w:rPr>
        <w:t>1</w:t>
      </w:r>
      <w:r>
        <w:rPr>
          <w:rFonts w:hint="eastAsia" w:eastAsia="方正仿宋_GBK"/>
          <w:color w:val="000000"/>
          <w:kern w:val="0"/>
          <w:sz w:val="24"/>
        </w:rPr>
        <w:t>日起施行，《江苏省房屋建筑和市政基础设施工程招标投标评标专家名册管理办法》（苏建招〔</w:t>
      </w:r>
      <w:r>
        <w:rPr>
          <w:rFonts w:eastAsia="方正仿宋_GBK"/>
          <w:color w:val="000000"/>
          <w:kern w:val="0"/>
          <w:sz w:val="24"/>
        </w:rPr>
        <w:t>2006</w:t>
      </w:r>
      <w:r>
        <w:rPr>
          <w:rFonts w:hint="eastAsia" w:eastAsia="方正仿宋_GBK"/>
          <w:color w:val="000000"/>
          <w:kern w:val="0"/>
          <w:sz w:val="24"/>
        </w:rPr>
        <w:t>〕</w:t>
      </w:r>
      <w:r>
        <w:rPr>
          <w:rFonts w:eastAsia="方正仿宋_GBK"/>
          <w:color w:val="000000"/>
          <w:kern w:val="0"/>
          <w:sz w:val="24"/>
        </w:rPr>
        <w:t>240</w:t>
      </w:r>
      <w:r>
        <w:rPr>
          <w:rFonts w:hint="eastAsia" w:eastAsia="方正仿宋_GBK"/>
          <w:color w:val="000000"/>
          <w:kern w:val="0"/>
          <w:sz w:val="24"/>
        </w:rPr>
        <w:t>号）同时废止。</w:t>
      </w:r>
    </w:p>
    <w:p>
      <w:pPr>
        <w:shd w:val="clear" w:color="auto" w:fill="FFFFFF"/>
        <w:spacing w:line="460" w:lineRule="exact"/>
        <w:ind w:firstLine="472" w:firstLineChars="200"/>
        <w:jc w:val="left"/>
        <w:rPr>
          <w:rFonts w:eastAsia="方正仿宋_GBK"/>
          <w:color w:val="000000"/>
          <w:kern w:val="0"/>
          <w:sz w:val="24"/>
        </w:rPr>
      </w:pPr>
    </w:p>
    <w:p>
      <w:pPr>
        <w:shd w:val="clear" w:color="auto" w:fill="FFFFFF"/>
        <w:spacing w:line="460" w:lineRule="exact"/>
        <w:ind w:firstLine="472" w:firstLineChars="200"/>
        <w:jc w:val="left"/>
        <w:rPr>
          <w:rFonts w:eastAsia="方正仿宋_GBK"/>
          <w:color w:val="000000"/>
          <w:kern w:val="0"/>
          <w:sz w:val="24"/>
        </w:rPr>
      </w:pPr>
      <w:r>
        <w:rPr>
          <w:rFonts w:hint="eastAsia" w:eastAsia="方正仿宋_GBK"/>
          <w:color w:val="000000"/>
          <w:kern w:val="0"/>
          <w:sz w:val="24"/>
        </w:rPr>
        <w:t>附件：</w:t>
      </w:r>
      <w:r>
        <w:rPr>
          <w:rFonts w:eastAsia="方正仿宋_GBK"/>
          <w:color w:val="000000"/>
          <w:kern w:val="0"/>
          <w:sz w:val="24"/>
        </w:rPr>
        <w:t>1.</w:t>
      </w:r>
      <w:r>
        <w:rPr>
          <w:rFonts w:hint="cs" w:eastAsia="方正仿宋_GBK"/>
          <w:color w:val="000000"/>
          <w:kern w:val="0"/>
          <w:sz w:val="24"/>
          <w:cs/>
        </w:rPr>
        <w:t> </w:t>
      </w:r>
      <w:r>
        <w:rPr>
          <w:rFonts w:hint="eastAsia" w:eastAsia="方正仿宋_GBK"/>
          <w:color w:val="000000"/>
          <w:kern w:val="0"/>
          <w:sz w:val="24"/>
        </w:rPr>
        <w:t>江苏省房屋建筑和市政基础设施工程评标专家专业分类标准</w:t>
      </w:r>
    </w:p>
    <w:p>
      <w:pPr>
        <w:shd w:val="clear" w:color="auto" w:fill="FFFFFF"/>
        <w:spacing w:line="460" w:lineRule="exact"/>
        <w:ind w:firstLine="1180" w:firstLineChars="500"/>
        <w:jc w:val="left"/>
        <w:rPr>
          <w:rFonts w:eastAsia="方正仿宋_GBK"/>
          <w:color w:val="000000"/>
          <w:kern w:val="0"/>
          <w:sz w:val="24"/>
        </w:rPr>
      </w:pPr>
      <w:r>
        <w:rPr>
          <w:rFonts w:eastAsia="方正仿宋_GBK"/>
          <w:color w:val="000000"/>
          <w:kern w:val="0"/>
          <w:sz w:val="24"/>
        </w:rPr>
        <w:t>2.</w:t>
      </w:r>
      <w:r>
        <w:rPr>
          <w:rFonts w:hint="cs" w:eastAsia="方正仿宋_GBK"/>
          <w:color w:val="000000"/>
          <w:kern w:val="0"/>
          <w:sz w:val="24"/>
          <w:cs/>
        </w:rPr>
        <w:t> </w:t>
      </w:r>
      <w:r>
        <w:rPr>
          <w:rFonts w:hint="eastAsia" w:eastAsia="方正仿宋_GBK"/>
          <w:color w:val="000000"/>
          <w:kern w:val="0"/>
          <w:sz w:val="24"/>
        </w:rPr>
        <w:t>评标专家资格条件</w:t>
      </w:r>
    </w:p>
    <w:p>
      <w:pPr>
        <w:shd w:val="clear" w:color="auto" w:fill="FFFFFF"/>
        <w:spacing w:line="460" w:lineRule="exact"/>
        <w:ind w:firstLine="1180" w:firstLineChars="500"/>
        <w:jc w:val="left"/>
        <w:rPr>
          <w:rFonts w:eastAsia="方正仿宋_GBK"/>
          <w:color w:val="000000"/>
          <w:kern w:val="0"/>
          <w:sz w:val="24"/>
        </w:rPr>
      </w:pPr>
    </w:p>
    <w:p>
      <w:pPr>
        <w:shd w:val="clear" w:color="auto" w:fill="FFFFFF"/>
        <w:tabs>
          <w:tab w:val="left" w:pos="5188"/>
        </w:tabs>
        <w:spacing w:line="440" w:lineRule="atLeast"/>
        <w:jc w:val="left"/>
        <w:rPr>
          <w:color w:val="000000"/>
          <w:sz w:val="24"/>
        </w:rPr>
      </w:pPr>
      <w:r>
        <w:rPr>
          <w:color w:val="000000"/>
          <w:kern w:val="0"/>
          <w:sz w:val="28"/>
          <w:szCs w:val="28"/>
        </w:rPr>
        <w:tab/>
      </w:r>
      <w:r>
        <w:rPr>
          <w:rFonts w:hint="eastAsia"/>
          <w:color w:val="000000"/>
          <w:sz w:val="24"/>
        </w:rPr>
        <w:t>江苏省住房和城乡建设厅</w:t>
      </w:r>
    </w:p>
    <w:p>
      <w:pPr>
        <w:shd w:val="clear" w:color="auto" w:fill="FFFFFF"/>
        <w:tabs>
          <w:tab w:val="left" w:pos="5216"/>
        </w:tabs>
        <w:spacing w:line="440" w:lineRule="atLeast"/>
        <w:jc w:val="left"/>
        <w:rPr>
          <w:sz w:val="24"/>
        </w:rPr>
      </w:pPr>
      <w:r>
        <w:rPr>
          <w:sz w:val="24"/>
        </w:rPr>
        <w:tab/>
      </w:r>
      <w:r>
        <w:rPr>
          <w:color w:val="000000"/>
          <w:sz w:val="24"/>
        </w:rPr>
        <w:t>2014</w:t>
      </w:r>
      <w:r>
        <w:rPr>
          <w:rFonts w:hint="eastAsia"/>
          <w:color w:val="000000"/>
          <w:sz w:val="24"/>
        </w:rPr>
        <w:t>年</w:t>
      </w:r>
      <w:r>
        <w:rPr>
          <w:color w:val="000000"/>
          <w:sz w:val="24"/>
        </w:rPr>
        <w:t>12</w:t>
      </w:r>
      <w:r>
        <w:rPr>
          <w:rFonts w:hint="eastAsia"/>
          <w:color w:val="000000"/>
          <w:sz w:val="24"/>
        </w:rPr>
        <w:t>月</w:t>
      </w:r>
      <w:r>
        <w:rPr>
          <w:color w:val="000000"/>
          <w:sz w:val="24"/>
        </w:rPr>
        <w:t>31</w:t>
      </w:r>
      <w:r>
        <w:rPr>
          <w:rFonts w:hint="eastAsia"/>
          <w:color w:val="000000"/>
          <w:sz w:val="24"/>
        </w:rPr>
        <w:t>日</w:t>
      </w:r>
    </w:p>
    <w:p>
      <w:pPr>
        <w:shd w:val="clear" w:color="auto" w:fill="FFFFFF"/>
        <w:spacing w:line="440" w:lineRule="atLeast"/>
        <w:jc w:val="left"/>
        <w:rPr>
          <w:rFonts w:ascii="Times New Roman" w:eastAsia="黑体"/>
          <w:color w:val="000000"/>
          <w:kern w:val="0"/>
          <w:sz w:val="18"/>
          <w:szCs w:val="18"/>
        </w:rPr>
      </w:pPr>
      <w:r>
        <w:rPr>
          <w:sz w:val="28"/>
          <w:szCs w:val="28"/>
        </w:rPr>
        <w:br w:type="column"/>
      </w:r>
      <w:r>
        <w:rPr>
          <w:rFonts w:hint="eastAsia" w:ascii="Times New Roman" w:eastAsia="黑体"/>
          <w:color w:val="000000"/>
          <w:kern w:val="0"/>
          <w:sz w:val="28"/>
          <w:szCs w:val="28"/>
        </w:rPr>
        <w:t>附件1∶</w:t>
      </w:r>
    </w:p>
    <w:p>
      <w:pPr>
        <w:shd w:val="clear" w:color="auto" w:fill="FFFFFF"/>
        <w:spacing w:line="440" w:lineRule="atLeast"/>
        <w:jc w:val="center"/>
        <w:rPr>
          <w:rFonts w:hint="eastAsia" w:ascii="Times New Roman" w:eastAsia="黑体"/>
          <w:color w:val="000000"/>
          <w:kern w:val="0"/>
          <w:sz w:val="24"/>
        </w:rPr>
      </w:pPr>
      <w:r>
        <w:rPr>
          <w:rFonts w:hint="eastAsia" w:ascii="Times New Roman" w:eastAsia="黑体"/>
          <w:bCs/>
          <w:color w:val="000000"/>
          <w:kern w:val="0"/>
          <w:sz w:val="24"/>
        </w:rPr>
        <w:t>江苏省房屋建筑和市政基础设施工程评标专家专业分类标准</w:t>
      </w:r>
    </w:p>
    <w:p>
      <w:pPr>
        <w:shd w:val="clear" w:color="auto" w:fill="FFFFFF"/>
        <w:spacing w:line="440" w:lineRule="atLeast"/>
        <w:jc w:val="center"/>
        <w:rPr>
          <w:rFonts w:hint="eastAsia"/>
          <w:color w:val="000000"/>
          <w:kern w:val="0"/>
          <w:sz w:val="18"/>
          <w:szCs w:val="18"/>
        </w:rPr>
      </w:pPr>
      <w:r>
        <w:rPr>
          <w:color w:val="000000"/>
          <w:kern w:val="0"/>
          <w:sz w:val="18"/>
          <w:szCs w:val="18"/>
        </w:rPr>
        <w:t>  </w:t>
      </w:r>
    </w:p>
    <w:tbl>
      <w:tblPr>
        <w:tblStyle w:val="12"/>
        <w:tblW w:w="0" w:type="auto"/>
        <w:jc w:val="center"/>
        <w:tblLayout w:type="fixed"/>
        <w:tblCellMar>
          <w:top w:w="0" w:type="dxa"/>
          <w:left w:w="0" w:type="dxa"/>
          <w:bottom w:w="0" w:type="dxa"/>
          <w:right w:w="0" w:type="dxa"/>
        </w:tblCellMar>
      </w:tblPr>
      <w:tblGrid>
        <w:gridCol w:w="1008"/>
        <w:gridCol w:w="1545"/>
        <w:gridCol w:w="1680"/>
        <w:gridCol w:w="1320"/>
        <w:gridCol w:w="3107"/>
      </w:tblGrid>
      <w:tr>
        <w:tblPrEx>
          <w:tblCellMar>
            <w:top w:w="0" w:type="dxa"/>
            <w:left w:w="0" w:type="dxa"/>
            <w:bottom w:w="0" w:type="dxa"/>
            <w:right w:w="0" w:type="dxa"/>
          </w:tblCellMar>
        </w:tblPrEx>
        <w:trPr>
          <w:trHeight w:val="340" w:hRule="exact"/>
          <w:tblHeader/>
          <w:jc w:val="center"/>
        </w:trPr>
        <w:tc>
          <w:tcPr>
            <w:tcW w:w="1008"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rFonts w:ascii="Times New Roman" w:eastAsia="黑体"/>
                <w:color w:val="000000"/>
                <w:kern w:val="0"/>
                <w:sz w:val="18"/>
                <w:szCs w:val="18"/>
              </w:rPr>
            </w:pPr>
            <w:r>
              <w:rPr>
                <w:rFonts w:hint="eastAsia" w:ascii="Times New Roman" w:eastAsia="黑体"/>
                <w:bCs/>
                <w:color w:val="000000"/>
                <w:kern w:val="0"/>
                <w:sz w:val="18"/>
                <w:szCs w:val="18"/>
              </w:rPr>
              <w:t>一级类别</w:t>
            </w:r>
          </w:p>
        </w:tc>
        <w:tc>
          <w:tcPr>
            <w:tcW w:w="1545" w:type="dxa"/>
            <w:tcBorders>
              <w:top w:val="single" w:color="auto" w:sz="4" w:space="0"/>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center"/>
              <w:rPr>
                <w:rFonts w:ascii="Times New Roman" w:eastAsia="黑体"/>
                <w:color w:val="000000"/>
                <w:kern w:val="0"/>
                <w:sz w:val="18"/>
                <w:szCs w:val="18"/>
              </w:rPr>
            </w:pPr>
            <w:r>
              <w:rPr>
                <w:rFonts w:hint="eastAsia" w:ascii="Times New Roman" w:eastAsia="黑体"/>
                <w:bCs/>
                <w:color w:val="000000"/>
                <w:kern w:val="0"/>
                <w:sz w:val="18"/>
                <w:szCs w:val="18"/>
              </w:rPr>
              <w:t>　二级类别</w:t>
            </w:r>
          </w:p>
        </w:tc>
        <w:tc>
          <w:tcPr>
            <w:tcW w:w="1680" w:type="dxa"/>
            <w:tcBorders>
              <w:top w:val="single" w:color="auto" w:sz="4" w:space="0"/>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center"/>
              <w:rPr>
                <w:rFonts w:ascii="Times New Roman" w:eastAsia="黑体"/>
                <w:color w:val="000000"/>
                <w:kern w:val="0"/>
                <w:sz w:val="18"/>
                <w:szCs w:val="18"/>
              </w:rPr>
            </w:pPr>
            <w:r>
              <w:rPr>
                <w:rFonts w:hint="eastAsia" w:ascii="Times New Roman" w:eastAsia="黑体"/>
                <w:bCs/>
                <w:color w:val="000000"/>
                <w:kern w:val="0"/>
                <w:sz w:val="18"/>
                <w:szCs w:val="18"/>
              </w:rPr>
              <w:t>三级类别</w:t>
            </w:r>
          </w:p>
        </w:tc>
        <w:tc>
          <w:tcPr>
            <w:tcW w:w="4427" w:type="dxa"/>
            <w:gridSpan w:val="2"/>
            <w:tcBorders>
              <w:top w:val="single" w:color="auto" w:sz="4" w:space="0"/>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center"/>
              <w:rPr>
                <w:rFonts w:ascii="Times New Roman" w:eastAsia="黑体"/>
                <w:color w:val="000000"/>
                <w:kern w:val="0"/>
                <w:sz w:val="18"/>
                <w:szCs w:val="18"/>
              </w:rPr>
            </w:pPr>
            <w:r>
              <w:rPr>
                <w:rFonts w:hint="eastAsia" w:ascii="Times New Roman" w:eastAsia="黑体"/>
                <w:bCs/>
                <w:color w:val="000000"/>
                <w:kern w:val="0"/>
                <w:sz w:val="18"/>
                <w:szCs w:val="18"/>
              </w:rPr>
              <w:t>专</w:t>
            </w:r>
            <w:r>
              <w:rPr>
                <w:rFonts w:eastAsia="黑体"/>
                <w:bCs/>
                <w:color w:val="000000"/>
                <w:kern w:val="0"/>
                <w:sz w:val="18"/>
                <w:szCs w:val="18"/>
              </w:rPr>
              <w:t>      </w:t>
            </w:r>
            <w:r>
              <w:rPr>
                <w:rFonts w:hint="eastAsia" w:ascii="Times New Roman" w:eastAsia="黑体"/>
                <w:bCs/>
                <w:color w:val="000000"/>
                <w:kern w:val="0"/>
                <w:sz w:val="18"/>
                <w:szCs w:val="18"/>
              </w:rPr>
              <w:t>业</w:t>
            </w:r>
          </w:p>
        </w:tc>
      </w:tr>
      <w:tr>
        <w:tblPrEx>
          <w:tblCellMar>
            <w:top w:w="0" w:type="dxa"/>
            <w:left w:w="0" w:type="dxa"/>
            <w:bottom w:w="0" w:type="dxa"/>
            <w:right w:w="0" w:type="dxa"/>
          </w:tblCellMar>
        </w:tblPrEx>
        <w:trPr>
          <w:trHeight w:val="340" w:hRule="exact"/>
          <w:jc w:val="center"/>
        </w:trPr>
        <w:tc>
          <w:tcPr>
            <w:tcW w:w="1008" w:type="dxa"/>
            <w:vMerge w:val="restart"/>
            <w:tcBorders>
              <w:top w:val="nil"/>
              <w:left w:val="single" w:color="auto" w:sz="4" w:space="0"/>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center"/>
              <w:rPr>
                <w:color w:val="000000"/>
                <w:kern w:val="0"/>
                <w:sz w:val="18"/>
                <w:szCs w:val="18"/>
              </w:rPr>
            </w:pPr>
            <w:r>
              <w:rPr>
                <w:color w:val="000000"/>
                <w:kern w:val="0"/>
                <w:sz w:val="18"/>
                <w:szCs w:val="18"/>
              </w:rPr>
              <w:t>A</w:t>
            </w:r>
            <w:r>
              <w:rPr>
                <w:rFonts w:hint="eastAsia"/>
                <w:color w:val="000000"/>
                <w:kern w:val="0"/>
                <w:sz w:val="18"/>
                <w:szCs w:val="18"/>
              </w:rPr>
              <w:t>工程</w:t>
            </w:r>
          </w:p>
        </w:tc>
        <w:tc>
          <w:tcPr>
            <w:tcW w:w="1545"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center"/>
              <w:rPr>
                <w:color w:val="000000"/>
                <w:kern w:val="0"/>
                <w:sz w:val="18"/>
                <w:szCs w:val="18"/>
              </w:rPr>
            </w:pPr>
            <w:r>
              <w:rPr>
                <w:color w:val="000000"/>
                <w:kern w:val="0"/>
                <w:sz w:val="18"/>
                <w:szCs w:val="18"/>
              </w:rPr>
              <w:t>A01</w:t>
            </w:r>
            <w:r>
              <w:rPr>
                <w:rFonts w:hint="eastAsia"/>
                <w:color w:val="000000"/>
                <w:kern w:val="0"/>
                <w:sz w:val="18"/>
                <w:szCs w:val="18"/>
              </w:rPr>
              <w:t>规划</w:t>
            </w:r>
          </w:p>
        </w:tc>
        <w:tc>
          <w:tcPr>
            <w:tcW w:w="1680"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A0101</w:t>
            </w:r>
            <w:r>
              <w:rPr>
                <w:rFonts w:hint="eastAsia"/>
                <w:color w:val="000000"/>
                <w:kern w:val="0"/>
                <w:sz w:val="18"/>
                <w:szCs w:val="18"/>
              </w:rPr>
              <w:t>国民经济和社会发展规划</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A010101 </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总体规划</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A010104</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城市轨道交通</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A010133 </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市政公用工程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A010134 </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建筑</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A010141 </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古建、风景区</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A0102 </w:t>
            </w:r>
            <w:r>
              <w:rPr>
                <w:rFonts w:hint="eastAsia"/>
                <w:color w:val="000000"/>
                <w:kern w:val="0"/>
                <w:sz w:val="18"/>
                <w:szCs w:val="18"/>
              </w:rPr>
              <w:t>城乡规划</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A010201 </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城镇体系规划</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A010202 </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城市规划</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A010203 </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镇规划</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A010204 </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乡和村庄规划</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A02</w:t>
            </w:r>
            <w:r>
              <w:rPr>
                <w:rFonts w:hint="eastAsia"/>
                <w:color w:val="000000"/>
                <w:kern w:val="0"/>
                <w:sz w:val="18"/>
                <w:szCs w:val="18"/>
              </w:rPr>
              <w:t>投资策划与决策</w:t>
            </w:r>
          </w:p>
        </w:tc>
        <w:tc>
          <w:tcPr>
            <w:tcW w:w="1680"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A0201 </w:t>
            </w:r>
            <w:r>
              <w:rPr>
                <w:rFonts w:hint="eastAsia"/>
                <w:color w:val="000000"/>
                <w:kern w:val="0"/>
                <w:sz w:val="18"/>
                <w:szCs w:val="18"/>
              </w:rPr>
              <w:t>项目建议、可行性研究、评估及后评价</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A020103 </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城市轨道交通</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A020132 </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市政公用工程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A020133 </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建筑</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A020134 </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城乡规划</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center"/>
              <w:rPr>
                <w:color w:val="000000"/>
                <w:kern w:val="0"/>
                <w:sz w:val="18"/>
                <w:szCs w:val="18"/>
              </w:rPr>
            </w:pPr>
            <w:r>
              <w:rPr>
                <w:color w:val="000000"/>
                <w:kern w:val="0"/>
                <w:sz w:val="18"/>
                <w:szCs w:val="18"/>
              </w:rPr>
              <w:t>A03</w:t>
            </w:r>
            <w:r>
              <w:rPr>
                <w:rFonts w:hint="eastAsia"/>
                <w:color w:val="000000"/>
                <w:kern w:val="0"/>
                <w:sz w:val="18"/>
                <w:szCs w:val="18"/>
              </w:rPr>
              <w:t>勘察</w:t>
            </w:r>
          </w:p>
        </w:tc>
        <w:tc>
          <w:tcPr>
            <w:tcW w:w="1680"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A0301</w:t>
            </w:r>
            <w:r>
              <w:rPr>
                <w:rFonts w:hint="eastAsia"/>
                <w:color w:val="000000"/>
                <w:kern w:val="0"/>
                <w:sz w:val="18"/>
                <w:szCs w:val="18"/>
              </w:rPr>
              <w:t>岩土工程</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A030101</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岩土工程勘察</w:t>
            </w:r>
            <w:r>
              <w:rPr>
                <w:color w:val="000000"/>
                <w:kern w:val="0"/>
                <w:sz w:val="18"/>
                <w:szCs w:val="18"/>
              </w:rPr>
              <w:t>/</w:t>
            </w:r>
            <w:r>
              <w:rPr>
                <w:rFonts w:hint="eastAsia"/>
                <w:color w:val="000000"/>
                <w:kern w:val="0"/>
                <w:sz w:val="18"/>
                <w:szCs w:val="18"/>
              </w:rPr>
              <w:t>工程地质勘察</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A030102</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岩土工程设计</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A030103</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岩土工程物探测试检测监测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center"/>
              <w:rPr>
                <w:color w:val="000000"/>
                <w:kern w:val="0"/>
                <w:sz w:val="18"/>
                <w:szCs w:val="18"/>
              </w:rPr>
            </w:pPr>
            <w:r>
              <w:rPr>
                <w:color w:val="000000"/>
                <w:kern w:val="0"/>
                <w:sz w:val="18"/>
                <w:szCs w:val="18"/>
              </w:rPr>
              <w:t>A04</w:t>
            </w:r>
            <w:r>
              <w:rPr>
                <w:rFonts w:hint="eastAsia"/>
                <w:color w:val="000000"/>
                <w:kern w:val="0"/>
                <w:sz w:val="18"/>
                <w:szCs w:val="18"/>
              </w:rPr>
              <w:t>设计</w:t>
            </w:r>
          </w:p>
        </w:tc>
        <w:tc>
          <w:tcPr>
            <w:tcW w:w="1680"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A0401</w:t>
            </w:r>
            <w:r>
              <w:rPr>
                <w:rFonts w:hint="eastAsia"/>
                <w:color w:val="000000"/>
                <w:kern w:val="0"/>
                <w:sz w:val="18"/>
                <w:szCs w:val="18"/>
              </w:rPr>
              <w:t>建筑工程</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A040101</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建筑总平面规划</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A040102</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建筑</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A040103</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结构</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A040104</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给水排水</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A040105</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暖通空调</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A040106</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电气、通信及弱电</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A040107</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装饰</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A040108</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幕墙</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A040109</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防护</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A040110</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防化</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A040111</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钢结构</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A040112</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照明</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A040113</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环保</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A040114</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消防</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A0402</w:t>
            </w:r>
            <w:r>
              <w:rPr>
                <w:rFonts w:hint="eastAsia"/>
                <w:color w:val="000000"/>
                <w:kern w:val="0"/>
                <w:sz w:val="18"/>
                <w:szCs w:val="18"/>
              </w:rPr>
              <w:t>市政工程</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A040201</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市政线路、站场</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A040202</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市政道路</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A040203</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市政桥梁</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A040204</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市政道路照明</w:t>
            </w:r>
          </w:p>
        </w:tc>
      </w:tr>
      <w:tr>
        <w:tblPrEx>
          <w:tblCellMar>
            <w:top w:w="0" w:type="dxa"/>
            <w:left w:w="0" w:type="dxa"/>
            <w:bottom w:w="0" w:type="dxa"/>
            <w:right w:w="0" w:type="dxa"/>
          </w:tblCellMar>
        </w:tblPrEx>
        <w:trPr>
          <w:trHeight w:val="397" w:hRule="exact"/>
          <w:jc w:val="center"/>
        </w:trPr>
        <w:tc>
          <w:tcPr>
            <w:tcW w:w="1008" w:type="dxa"/>
            <w:vMerge w:val="restart"/>
            <w:tcBorders>
              <w:top w:val="nil"/>
              <w:left w:val="single" w:color="auto" w:sz="4" w:space="0"/>
              <w:bottom w:val="single" w:color="auto" w:sz="4" w:space="0"/>
              <w:right w:val="single" w:color="auto" w:sz="4" w:space="0"/>
            </w:tcBorders>
            <w:shd w:val="clear" w:color="auto" w:fill="FFFFFF"/>
            <w:noWrap w:val="0"/>
            <w:vAlign w:val="center"/>
          </w:tcPr>
          <w:p>
            <w:pPr>
              <w:spacing w:line="240" w:lineRule="exact"/>
              <w:jc w:val="center"/>
              <w:rPr>
                <w:color w:val="000000"/>
                <w:kern w:val="0"/>
                <w:sz w:val="18"/>
                <w:szCs w:val="18"/>
              </w:rPr>
            </w:pPr>
            <w:r>
              <w:rPr>
                <w:color w:val="000000"/>
                <w:kern w:val="0"/>
                <w:sz w:val="18"/>
                <w:szCs w:val="18"/>
              </w:rPr>
              <w:t>A</w:t>
            </w:r>
            <w:r>
              <w:rPr>
                <w:rFonts w:hint="eastAsia"/>
                <w:color w:val="000000"/>
                <w:kern w:val="0"/>
                <w:sz w:val="18"/>
                <w:szCs w:val="18"/>
              </w:rPr>
              <w:t>工程</w:t>
            </w:r>
          </w:p>
        </w:tc>
        <w:tc>
          <w:tcPr>
            <w:tcW w:w="1545" w:type="dxa"/>
            <w:vMerge w:val="restart"/>
            <w:tcBorders>
              <w:top w:val="nil"/>
              <w:left w:val="nil"/>
              <w:bottom w:val="single" w:color="auto" w:sz="4" w:space="0"/>
              <w:right w:val="single" w:color="auto" w:sz="4" w:space="0"/>
            </w:tcBorders>
            <w:shd w:val="clear" w:color="auto" w:fill="FFFFFF"/>
            <w:noWrap w:val="0"/>
            <w:vAlign w:val="center"/>
          </w:tcPr>
          <w:p>
            <w:pPr>
              <w:spacing w:line="240" w:lineRule="exact"/>
              <w:jc w:val="center"/>
              <w:rPr>
                <w:color w:val="000000"/>
                <w:kern w:val="0"/>
                <w:sz w:val="18"/>
                <w:szCs w:val="18"/>
              </w:rPr>
            </w:pPr>
            <w:r>
              <w:rPr>
                <w:color w:val="000000"/>
                <w:kern w:val="0"/>
                <w:sz w:val="18"/>
                <w:szCs w:val="18"/>
              </w:rPr>
              <w:t>A04</w:t>
            </w:r>
            <w:r>
              <w:rPr>
                <w:rFonts w:hint="eastAsia"/>
                <w:color w:val="000000"/>
                <w:kern w:val="0"/>
                <w:sz w:val="18"/>
                <w:szCs w:val="18"/>
              </w:rPr>
              <w:t>设计</w:t>
            </w:r>
          </w:p>
        </w:tc>
        <w:tc>
          <w:tcPr>
            <w:tcW w:w="1680" w:type="dxa"/>
            <w:vMerge w:val="restart"/>
            <w:tcBorders>
              <w:top w:val="nil"/>
              <w:left w:val="nil"/>
              <w:bottom w:val="single" w:color="auto" w:sz="4" w:space="0"/>
              <w:right w:val="single" w:color="auto" w:sz="4" w:space="0"/>
            </w:tcBorders>
            <w:shd w:val="clear" w:color="auto" w:fill="FFFFFF"/>
            <w:noWrap w:val="0"/>
            <w:vAlign w:val="center"/>
          </w:tcPr>
          <w:p>
            <w:pPr>
              <w:spacing w:line="240" w:lineRule="exact"/>
              <w:jc w:val="left"/>
              <w:rPr>
                <w:color w:val="000000"/>
                <w:kern w:val="0"/>
                <w:sz w:val="18"/>
                <w:szCs w:val="18"/>
              </w:rPr>
            </w:pPr>
            <w:r>
              <w:rPr>
                <w:color w:val="000000"/>
                <w:kern w:val="0"/>
                <w:sz w:val="18"/>
                <w:szCs w:val="18"/>
              </w:rPr>
              <w:t>A0402</w:t>
            </w:r>
            <w:r>
              <w:rPr>
                <w:rFonts w:hint="eastAsia"/>
                <w:color w:val="000000"/>
                <w:kern w:val="0"/>
                <w:sz w:val="18"/>
                <w:szCs w:val="18"/>
              </w:rPr>
              <w:t>市政工程</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A040205</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市政机械</w:t>
            </w:r>
          </w:p>
        </w:tc>
      </w:tr>
      <w:tr>
        <w:tblPrEx>
          <w:tblCellMar>
            <w:top w:w="0" w:type="dxa"/>
            <w:left w:w="0" w:type="dxa"/>
            <w:bottom w:w="0" w:type="dxa"/>
            <w:right w:w="0" w:type="dxa"/>
          </w:tblCellMar>
        </w:tblPrEx>
        <w:trPr>
          <w:trHeight w:val="397"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A040206</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市政给水排水</w:t>
            </w:r>
          </w:p>
        </w:tc>
      </w:tr>
      <w:tr>
        <w:tblPrEx>
          <w:tblCellMar>
            <w:top w:w="0" w:type="dxa"/>
            <w:left w:w="0" w:type="dxa"/>
            <w:bottom w:w="0" w:type="dxa"/>
            <w:right w:w="0" w:type="dxa"/>
          </w:tblCellMar>
        </w:tblPrEx>
        <w:trPr>
          <w:trHeight w:val="397"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A040207</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市政信号与控制</w:t>
            </w:r>
          </w:p>
        </w:tc>
      </w:tr>
      <w:tr>
        <w:tblPrEx>
          <w:tblCellMar>
            <w:top w:w="0" w:type="dxa"/>
            <w:left w:w="0" w:type="dxa"/>
            <w:bottom w:w="0" w:type="dxa"/>
            <w:right w:w="0" w:type="dxa"/>
          </w:tblCellMar>
        </w:tblPrEx>
        <w:trPr>
          <w:trHeight w:val="397"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A040208</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城市燃气</w:t>
            </w:r>
          </w:p>
        </w:tc>
      </w:tr>
      <w:tr>
        <w:tblPrEx>
          <w:tblCellMar>
            <w:top w:w="0" w:type="dxa"/>
            <w:left w:w="0" w:type="dxa"/>
            <w:bottom w:w="0" w:type="dxa"/>
            <w:right w:w="0" w:type="dxa"/>
          </w:tblCellMar>
        </w:tblPrEx>
        <w:trPr>
          <w:trHeight w:val="397"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A040209</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城市热力</w:t>
            </w:r>
          </w:p>
        </w:tc>
      </w:tr>
      <w:tr>
        <w:tblPrEx>
          <w:tblCellMar>
            <w:top w:w="0" w:type="dxa"/>
            <w:left w:w="0" w:type="dxa"/>
            <w:bottom w:w="0" w:type="dxa"/>
            <w:right w:w="0" w:type="dxa"/>
          </w:tblCellMar>
        </w:tblPrEx>
        <w:trPr>
          <w:trHeight w:val="397"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A040210</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电气</w:t>
            </w:r>
          </w:p>
        </w:tc>
      </w:tr>
      <w:tr>
        <w:tblPrEx>
          <w:tblCellMar>
            <w:top w:w="0" w:type="dxa"/>
            <w:left w:w="0" w:type="dxa"/>
            <w:bottom w:w="0" w:type="dxa"/>
            <w:right w:w="0" w:type="dxa"/>
          </w:tblCellMar>
        </w:tblPrEx>
        <w:trPr>
          <w:trHeight w:val="397"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A040211</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环保</w:t>
            </w:r>
          </w:p>
        </w:tc>
      </w:tr>
      <w:tr>
        <w:tblPrEx>
          <w:tblCellMar>
            <w:top w:w="0" w:type="dxa"/>
            <w:left w:w="0" w:type="dxa"/>
            <w:bottom w:w="0" w:type="dxa"/>
            <w:right w:w="0" w:type="dxa"/>
          </w:tblCellMar>
        </w:tblPrEx>
        <w:trPr>
          <w:trHeight w:val="397"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A040212</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园林</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A0405</w:t>
            </w:r>
            <w:r>
              <w:rPr>
                <w:rFonts w:hint="eastAsia"/>
                <w:color w:val="000000"/>
                <w:kern w:val="0"/>
                <w:sz w:val="18"/>
                <w:szCs w:val="18"/>
              </w:rPr>
              <w:t>城市轨道交通工程</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A040501</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车站、区间</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A040502</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线路、轨道</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A040503</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信号</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A040504</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通信与信息</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A040505</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机车车辆</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A040506</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通风</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A040507</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防灾监控</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A040508</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暖通空调</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A040509</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给水排水</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A040510</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桥梁</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center"/>
              <w:rPr>
                <w:color w:val="000000"/>
                <w:kern w:val="0"/>
                <w:sz w:val="18"/>
                <w:szCs w:val="18"/>
              </w:rPr>
            </w:pPr>
            <w:r>
              <w:rPr>
                <w:color w:val="000000"/>
                <w:kern w:val="0"/>
                <w:sz w:val="18"/>
                <w:szCs w:val="18"/>
              </w:rPr>
              <w:t>A05</w:t>
            </w:r>
            <w:r>
              <w:rPr>
                <w:rFonts w:hint="eastAsia"/>
                <w:color w:val="000000"/>
                <w:kern w:val="0"/>
                <w:sz w:val="18"/>
                <w:szCs w:val="18"/>
              </w:rPr>
              <w:t>监理</w:t>
            </w:r>
          </w:p>
        </w:tc>
        <w:tc>
          <w:tcPr>
            <w:tcW w:w="1680"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A0501</w:t>
            </w:r>
            <w:r>
              <w:rPr>
                <w:rFonts w:hint="eastAsia"/>
                <w:color w:val="000000"/>
                <w:kern w:val="0"/>
                <w:sz w:val="18"/>
                <w:szCs w:val="18"/>
              </w:rPr>
              <w:t>建筑工程</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A050101</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建筑</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A050102</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结构</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A050103</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给水排水</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A050104</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暖通空调</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A050105</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电气</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A050106</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机电设备安装</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A050107</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装饰</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A050108</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幕墙</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A0502</w:t>
            </w:r>
            <w:r>
              <w:rPr>
                <w:rFonts w:hint="eastAsia"/>
                <w:color w:val="000000"/>
                <w:kern w:val="0"/>
                <w:sz w:val="18"/>
                <w:szCs w:val="18"/>
              </w:rPr>
              <w:t>市政工程</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A050201</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土木工程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A050202</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给水排水</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A050203</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供配电、信号</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A050204</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机电设备建议改为机电设备安装</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A050205</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园林与绿化</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A0505</w:t>
            </w:r>
            <w:r>
              <w:rPr>
                <w:rFonts w:hint="eastAsia"/>
                <w:color w:val="000000"/>
                <w:kern w:val="0"/>
                <w:sz w:val="18"/>
                <w:szCs w:val="18"/>
              </w:rPr>
              <w:t>城市轨道交通</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A050501</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土木工程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A050502</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机电安装</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A050503</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系统设备、集成</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A050504</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通风</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A050505</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通信与信息</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A0520</w:t>
            </w:r>
            <w:r>
              <w:rPr>
                <w:rFonts w:hint="eastAsia"/>
                <w:color w:val="000000"/>
                <w:kern w:val="0"/>
                <w:sz w:val="18"/>
                <w:szCs w:val="18"/>
              </w:rPr>
              <w:t>机电安装工程</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A052001</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机电安装工程</w:t>
            </w:r>
          </w:p>
        </w:tc>
      </w:tr>
      <w:tr>
        <w:tblPrEx>
          <w:tblCellMar>
            <w:top w:w="0" w:type="dxa"/>
            <w:left w:w="0" w:type="dxa"/>
            <w:bottom w:w="0" w:type="dxa"/>
            <w:right w:w="0" w:type="dxa"/>
          </w:tblCellMar>
        </w:tblPrEx>
        <w:trPr>
          <w:trHeight w:val="340" w:hRule="exact"/>
          <w:jc w:val="center"/>
        </w:trPr>
        <w:tc>
          <w:tcPr>
            <w:tcW w:w="1008" w:type="dxa"/>
            <w:vMerge w:val="restart"/>
            <w:tcBorders>
              <w:top w:val="nil"/>
              <w:left w:val="single" w:color="auto" w:sz="4" w:space="0"/>
              <w:bottom w:val="single" w:color="auto" w:sz="4" w:space="0"/>
              <w:right w:val="single" w:color="auto" w:sz="4" w:space="0"/>
            </w:tcBorders>
            <w:shd w:val="clear" w:color="auto" w:fill="FFFFFF"/>
            <w:noWrap w:val="0"/>
            <w:vAlign w:val="center"/>
          </w:tcPr>
          <w:p>
            <w:pPr>
              <w:spacing w:line="240" w:lineRule="exact"/>
              <w:jc w:val="center"/>
              <w:rPr>
                <w:color w:val="000000"/>
                <w:kern w:val="0"/>
                <w:sz w:val="18"/>
                <w:szCs w:val="18"/>
              </w:rPr>
            </w:pPr>
            <w:r>
              <w:rPr>
                <w:color w:val="000000"/>
                <w:kern w:val="0"/>
                <w:sz w:val="18"/>
                <w:szCs w:val="18"/>
              </w:rPr>
              <w:t>A</w:t>
            </w:r>
            <w:r>
              <w:rPr>
                <w:rFonts w:hint="eastAsia"/>
                <w:color w:val="000000"/>
                <w:kern w:val="0"/>
                <w:sz w:val="18"/>
                <w:szCs w:val="18"/>
              </w:rPr>
              <w:t>工程</w:t>
            </w:r>
          </w:p>
        </w:tc>
        <w:tc>
          <w:tcPr>
            <w:tcW w:w="1545"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center"/>
              <w:rPr>
                <w:color w:val="000000"/>
                <w:kern w:val="0"/>
                <w:sz w:val="18"/>
                <w:szCs w:val="18"/>
              </w:rPr>
            </w:pPr>
            <w:r>
              <w:rPr>
                <w:color w:val="000000"/>
                <w:kern w:val="0"/>
                <w:sz w:val="18"/>
                <w:szCs w:val="18"/>
              </w:rPr>
              <w:t>A06</w:t>
            </w:r>
            <w:r>
              <w:rPr>
                <w:rFonts w:hint="eastAsia"/>
                <w:color w:val="000000"/>
                <w:kern w:val="0"/>
                <w:sz w:val="18"/>
                <w:szCs w:val="18"/>
              </w:rPr>
              <w:t>工程造价</w:t>
            </w:r>
          </w:p>
        </w:tc>
        <w:tc>
          <w:tcPr>
            <w:tcW w:w="1680"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A0601</w:t>
            </w:r>
            <w:r>
              <w:rPr>
                <w:rFonts w:hint="eastAsia"/>
                <w:color w:val="000000"/>
                <w:kern w:val="0"/>
                <w:sz w:val="18"/>
                <w:szCs w:val="18"/>
              </w:rPr>
              <w:t>土建工程</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A060101</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建筑</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A060102</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市政</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A060104</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城市轨道交通</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A0602</w:t>
            </w:r>
            <w:r>
              <w:rPr>
                <w:rFonts w:hint="eastAsia"/>
                <w:color w:val="000000"/>
                <w:kern w:val="0"/>
                <w:sz w:val="18"/>
                <w:szCs w:val="18"/>
              </w:rPr>
              <w:t>安装工程</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A060201</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建筑</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A060202</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市政</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A060204</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城市轨道交通</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center"/>
              <w:rPr>
                <w:color w:val="000000"/>
                <w:kern w:val="0"/>
                <w:sz w:val="18"/>
                <w:szCs w:val="18"/>
              </w:rPr>
            </w:pPr>
            <w:r>
              <w:rPr>
                <w:color w:val="000000"/>
                <w:kern w:val="0"/>
                <w:sz w:val="18"/>
                <w:szCs w:val="18"/>
              </w:rPr>
              <w:t>A08</w:t>
            </w:r>
            <w:r>
              <w:rPr>
                <w:rFonts w:hint="eastAsia"/>
                <w:color w:val="000000"/>
                <w:kern w:val="0"/>
                <w:sz w:val="18"/>
                <w:szCs w:val="18"/>
              </w:rPr>
              <w:t>工程施工</w:t>
            </w:r>
          </w:p>
        </w:tc>
        <w:tc>
          <w:tcPr>
            <w:tcW w:w="1680"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A0801</w:t>
            </w:r>
            <w:r>
              <w:rPr>
                <w:rFonts w:hint="eastAsia"/>
                <w:color w:val="000000"/>
                <w:kern w:val="0"/>
                <w:sz w:val="18"/>
                <w:szCs w:val="18"/>
              </w:rPr>
              <w:t>建筑工程</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A080101</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土石方工程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A080102</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地基处理工程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A080103</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爆破与拆除工程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A080104</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土建工程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A080105</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电气工程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A080106</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建筑给水排水工程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A080107</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钢结构工程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A080108</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通风与空调工程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A080109</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室内装饰装修工程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A080110</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幕墙工程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A080111</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建筑智能化工程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A080112</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电梯工程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A080113</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消防设施工程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A080114</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机电设备安装工程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A080115</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动力工程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A080116</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高耸构筑物工程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A080117</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建筑防水、防腐、保温工程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A080118</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仿古建筑及修缮工程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A080119</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广播、音响和会议系统工程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A080120</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大屏幕显示系统工程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A080121</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智能灯光工程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A080122</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无损检测工程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A080123</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其他特种工程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A0802</w:t>
            </w:r>
            <w:r>
              <w:rPr>
                <w:rFonts w:hint="eastAsia"/>
                <w:color w:val="000000"/>
                <w:kern w:val="0"/>
                <w:sz w:val="18"/>
                <w:szCs w:val="18"/>
              </w:rPr>
              <w:t>市政工程</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A080201</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道路工程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A080202</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桥梁工程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A080203</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隧道工程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A080204</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给水工程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A080205</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排水工程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A080206</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防洪堤防工程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A080207</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燃气工程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A080208</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热能及供热工程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A080209</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体育场地设施工程</w:t>
            </w:r>
          </w:p>
        </w:tc>
      </w:tr>
      <w:tr>
        <w:tblPrEx>
          <w:tblCellMar>
            <w:top w:w="0" w:type="dxa"/>
            <w:left w:w="0" w:type="dxa"/>
            <w:bottom w:w="0" w:type="dxa"/>
            <w:right w:w="0" w:type="dxa"/>
          </w:tblCellMar>
        </w:tblPrEx>
        <w:trPr>
          <w:trHeight w:val="340" w:hRule="exact"/>
          <w:jc w:val="center"/>
        </w:trPr>
        <w:tc>
          <w:tcPr>
            <w:tcW w:w="1008" w:type="dxa"/>
            <w:vMerge w:val="restart"/>
            <w:tcBorders>
              <w:top w:val="nil"/>
              <w:left w:val="single" w:color="auto" w:sz="4" w:space="0"/>
              <w:bottom w:val="single" w:color="auto" w:sz="4" w:space="0"/>
              <w:right w:val="single" w:color="auto" w:sz="4" w:space="0"/>
            </w:tcBorders>
            <w:shd w:val="clear" w:color="auto" w:fill="FFFFFF"/>
            <w:noWrap w:val="0"/>
            <w:vAlign w:val="center"/>
          </w:tcPr>
          <w:p>
            <w:pPr>
              <w:spacing w:line="240" w:lineRule="exact"/>
              <w:jc w:val="center"/>
              <w:rPr>
                <w:color w:val="000000"/>
                <w:kern w:val="0"/>
                <w:sz w:val="18"/>
                <w:szCs w:val="18"/>
              </w:rPr>
            </w:pPr>
            <w:r>
              <w:rPr>
                <w:color w:val="000000"/>
                <w:kern w:val="0"/>
                <w:sz w:val="18"/>
                <w:szCs w:val="18"/>
              </w:rPr>
              <w:t>A</w:t>
            </w:r>
            <w:r>
              <w:rPr>
                <w:rFonts w:hint="eastAsia"/>
                <w:color w:val="000000"/>
                <w:kern w:val="0"/>
                <w:sz w:val="18"/>
                <w:szCs w:val="18"/>
              </w:rPr>
              <w:t>工程</w:t>
            </w:r>
          </w:p>
        </w:tc>
        <w:tc>
          <w:tcPr>
            <w:tcW w:w="1545" w:type="dxa"/>
            <w:vMerge w:val="restart"/>
            <w:tcBorders>
              <w:top w:val="nil"/>
              <w:left w:val="nil"/>
              <w:bottom w:val="single" w:color="auto" w:sz="4" w:space="0"/>
              <w:right w:val="single" w:color="auto" w:sz="4" w:space="0"/>
            </w:tcBorders>
            <w:shd w:val="clear" w:color="auto" w:fill="FFFFFF"/>
            <w:noWrap w:val="0"/>
            <w:vAlign w:val="center"/>
          </w:tcPr>
          <w:p>
            <w:pPr>
              <w:spacing w:line="240" w:lineRule="exact"/>
              <w:jc w:val="center"/>
              <w:rPr>
                <w:color w:val="000000"/>
                <w:kern w:val="0"/>
                <w:sz w:val="18"/>
                <w:szCs w:val="18"/>
              </w:rPr>
            </w:pPr>
            <w:r>
              <w:rPr>
                <w:color w:val="000000"/>
                <w:kern w:val="0"/>
                <w:sz w:val="18"/>
                <w:szCs w:val="18"/>
              </w:rPr>
              <w:t>A08</w:t>
            </w:r>
            <w:r>
              <w:rPr>
                <w:rFonts w:hint="eastAsia"/>
                <w:color w:val="000000"/>
                <w:kern w:val="0"/>
                <w:sz w:val="18"/>
                <w:szCs w:val="18"/>
              </w:rPr>
              <w:t>工程施工</w:t>
            </w:r>
          </w:p>
        </w:tc>
        <w:tc>
          <w:tcPr>
            <w:tcW w:w="1680" w:type="dxa"/>
            <w:vMerge w:val="restart"/>
            <w:tcBorders>
              <w:top w:val="nil"/>
              <w:left w:val="nil"/>
              <w:bottom w:val="single" w:color="auto" w:sz="4" w:space="0"/>
              <w:right w:val="single" w:color="auto" w:sz="4" w:space="0"/>
            </w:tcBorders>
            <w:shd w:val="clear" w:color="auto" w:fill="FFFFFF"/>
            <w:noWrap w:val="0"/>
            <w:vAlign w:val="center"/>
          </w:tcPr>
          <w:p>
            <w:pPr>
              <w:spacing w:line="240" w:lineRule="exact"/>
              <w:jc w:val="left"/>
              <w:rPr>
                <w:color w:val="000000"/>
                <w:kern w:val="0"/>
                <w:sz w:val="18"/>
                <w:szCs w:val="18"/>
              </w:rPr>
            </w:pPr>
            <w:r>
              <w:rPr>
                <w:color w:val="000000"/>
                <w:kern w:val="0"/>
                <w:sz w:val="18"/>
                <w:szCs w:val="18"/>
              </w:rPr>
              <w:t>A0802</w:t>
            </w:r>
            <w:r>
              <w:rPr>
                <w:rFonts w:hint="eastAsia"/>
                <w:color w:val="000000"/>
                <w:kern w:val="0"/>
                <w:sz w:val="18"/>
                <w:szCs w:val="18"/>
              </w:rPr>
              <w:t>市政工程</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A080210</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道路照明工程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A080211</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城市景观、户外广告工程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A080212</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垃圾处理工程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A080213</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市容环境综合整治工程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A080214</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城市公共广场工程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A0805</w:t>
            </w:r>
            <w:r>
              <w:rPr>
                <w:rFonts w:hint="eastAsia"/>
                <w:color w:val="000000"/>
                <w:kern w:val="0"/>
                <w:sz w:val="18"/>
                <w:szCs w:val="18"/>
              </w:rPr>
              <w:t>城市轨道交通工程</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A080501</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路基工程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A080502</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轨道工程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A080503</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桥涵工程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A080504</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隧道、地下结构工程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A080505</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给水排水工程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A080506</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供电工程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A080507</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智能和控制系统工程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A080508</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信号工程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A080509</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通信工程</w:t>
            </w:r>
          </w:p>
        </w:tc>
      </w:tr>
      <w:tr>
        <w:tblPrEx>
          <w:tblCellMar>
            <w:top w:w="0" w:type="dxa"/>
            <w:left w:w="0" w:type="dxa"/>
            <w:bottom w:w="0" w:type="dxa"/>
            <w:right w:w="0" w:type="dxa"/>
          </w:tblCellMar>
        </w:tblPrEx>
        <w:trPr>
          <w:trHeight w:val="679" w:hRule="atLeas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A0821 </w:t>
            </w:r>
            <w:r>
              <w:rPr>
                <w:rFonts w:hint="eastAsia"/>
                <w:color w:val="000000"/>
                <w:kern w:val="0"/>
                <w:sz w:val="18"/>
                <w:szCs w:val="18"/>
              </w:rPr>
              <w:t>电子工程</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A082110</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洁净室工程（含空调净化、洁净装修、洁净室地板）</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A0830</w:t>
            </w:r>
            <w:r>
              <w:rPr>
                <w:rFonts w:hint="eastAsia"/>
                <w:color w:val="000000"/>
                <w:kern w:val="0"/>
                <w:sz w:val="18"/>
                <w:szCs w:val="18"/>
              </w:rPr>
              <w:t>园林绿化工程</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A083001</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园林工程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A083002</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绿化工程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A0832 </w:t>
            </w:r>
            <w:r>
              <w:rPr>
                <w:rFonts w:hint="eastAsia"/>
                <w:color w:val="000000"/>
                <w:kern w:val="0"/>
                <w:sz w:val="18"/>
                <w:szCs w:val="18"/>
              </w:rPr>
              <w:t>信息工程</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A083201</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计算机信息系统集成</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A083202</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计算机网络工程</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A083203</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软件系统开发</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A083204</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信息安全系统集成</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A083205</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信息系统机房建设</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A083206</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涉密信息系统机房建设</w:t>
            </w:r>
          </w:p>
        </w:tc>
      </w:tr>
      <w:tr>
        <w:tblPrEx>
          <w:tblCellMar>
            <w:top w:w="0" w:type="dxa"/>
            <w:left w:w="0" w:type="dxa"/>
            <w:bottom w:w="0" w:type="dxa"/>
            <w:right w:w="0" w:type="dxa"/>
          </w:tblCellMar>
        </w:tblPrEx>
        <w:trPr>
          <w:trHeight w:val="369"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center"/>
              <w:rPr>
                <w:color w:val="000000"/>
                <w:kern w:val="0"/>
                <w:sz w:val="18"/>
                <w:szCs w:val="18"/>
              </w:rPr>
            </w:pPr>
            <w:r>
              <w:rPr>
                <w:color w:val="000000"/>
                <w:kern w:val="0"/>
                <w:sz w:val="18"/>
                <w:szCs w:val="18"/>
              </w:rPr>
              <w:t>A09</w:t>
            </w:r>
            <w:r>
              <w:rPr>
                <w:rFonts w:hint="eastAsia"/>
                <w:color w:val="000000"/>
                <w:kern w:val="0"/>
                <w:sz w:val="18"/>
                <w:szCs w:val="18"/>
              </w:rPr>
              <w:t>其他工程</w:t>
            </w:r>
          </w:p>
        </w:tc>
        <w:tc>
          <w:tcPr>
            <w:tcW w:w="1680"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A0902</w:t>
            </w:r>
            <w:r>
              <w:rPr>
                <w:rFonts w:hint="eastAsia"/>
                <w:color w:val="000000"/>
                <w:kern w:val="0"/>
                <w:sz w:val="18"/>
                <w:szCs w:val="18"/>
              </w:rPr>
              <w:t>节能工程</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A090207</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建筑节能工程</w:t>
            </w:r>
          </w:p>
        </w:tc>
      </w:tr>
      <w:tr>
        <w:tblPrEx>
          <w:tblCellMar>
            <w:top w:w="0" w:type="dxa"/>
            <w:left w:w="0" w:type="dxa"/>
            <w:bottom w:w="0" w:type="dxa"/>
            <w:right w:w="0" w:type="dxa"/>
          </w:tblCellMar>
        </w:tblPrEx>
        <w:trPr>
          <w:trHeight w:val="369"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A090208</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绿色照明工程</w:t>
            </w:r>
          </w:p>
        </w:tc>
      </w:tr>
      <w:tr>
        <w:tblPrEx>
          <w:tblCellMar>
            <w:top w:w="0" w:type="dxa"/>
            <w:left w:w="0" w:type="dxa"/>
            <w:bottom w:w="0" w:type="dxa"/>
            <w:right w:w="0" w:type="dxa"/>
          </w:tblCellMar>
        </w:tblPrEx>
        <w:trPr>
          <w:trHeight w:val="369"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A0906</w:t>
            </w:r>
            <w:r>
              <w:rPr>
                <w:rFonts w:hint="eastAsia"/>
                <w:color w:val="000000"/>
                <w:kern w:val="0"/>
                <w:sz w:val="18"/>
                <w:szCs w:val="18"/>
              </w:rPr>
              <w:t>文物保护工程</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A090601</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文物建筑修缮与保护</w:t>
            </w:r>
          </w:p>
        </w:tc>
      </w:tr>
      <w:tr>
        <w:tblPrEx>
          <w:tblCellMar>
            <w:top w:w="0" w:type="dxa"/>
            <w:left w:w="0" w:type="dxa"/>
            <w:bottom w:w="0" w:type="dxa"/>
            <w:right w:w="0" w:type="dxa"/>
          </w:tblCellMar>
        </w:tblPrEx>
        <w:trPr>
          <w:trHeight w:val="369"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A090602</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古遗址、古墓葬修缮与保护</w:t>
            </w:r>
          </w:p>
        </w:tc>
      </w:tr>
      <w:tr>
        <w:tblPrEx>
          <w:tblCellMar>
            <w:top w:w="0" w:type="dxa"/>
            <w:left w:w="0" w:type="dxa"/>
            <w:bottom w:w="0" w:type="dxa"/>
            <w:right w:w="0" w:type="dxa"/>
          </w:tblCellMar>
        </w:tblPrEx>
        <w:trPr>
          <w:trHeight w:val="369"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A090603</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石窟寺、石刻及壁画保护</w:t>
            </w:r>
          </w:p>
        </w:tc>
      </w:tr>
      <w:tr>
        <w:tblPrEx>
          <w:tblCellMar>
            <w:top w:w="0" w:type="dxa"/>
            <w:left w:w="0" w:type="dxa"/>
            <w:bottom w:w="0" w:type="dxa"/>
            <w:right w:w="0" w:type="dxa"/>
          </w:tblCellMar>
        </w:tblPrEx>
        <w:trPr>
          <w:trHeight w:val="369"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A090604</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文物安全消防</w:t>
            </w:r>
          </w:p>
        </w:tc>
      </w:tr>
      <w:tr>
        <w:tblPrEx>
          <w:tblCellMar>
            <w:top w:w="0" w:type="dxa"/>
            <w:left w:w="0" w:type="dxa"/>
            <w:bottom w:w="0" w:type="dxa"/>
            <w:right w:w="0" w:type="dxa"/>
          </w:tblCellMar>
        </w:tblPrEx>
        <w:trPr>
          <w:trHeight w:val="369"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A0907</w:t>
            </w:r>
            <w:r>
              <w:rPr>
                <w:rFonts w:hint="eastAsia"/>
                <w:color w:val="000000"/>
                <w:kern w:val="0"/>
                <w:sz w:val="18"/>
                <w:szCs w:val="18"/>
              </w:rPr>
              <w:t>安全防范工程</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A090701</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安全防范系统工程</w:t>
            </w:r>
          </w:p>
        </w:tc>
      </w:tr>
      <w:tr>
        <w:tblPrEx>
          <w:tblCellMar>
            <w:top w:w="0" w:type="dxa"/>
            <w:left w:w="0" w:type="dxa"/>
            <w:bottom w:w="0" w:type="dxa"/>
            <w:right w:w="0" w:type="dxa"/>
          </w:tblCellMar>
        </w:tblPrEx>
        <w:trPr>
          <w:trHeight w:val="369"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A090702</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防爆安全检查工程</w:t>
            </w:r>
          </w:p>
        </w:tc>
      </w:tr>
      <w:tr>
        <w:tblPrEx>
          <w:tblCellMar>
            <w:top w:w="0" w:type="dxa"/>
            <w:left w:w="0" w:type="dxa"/>
            <w:bottom w:w="0" w:type="dxa"/>
            <w:right w:w="0" w:type="dxa"/>
          </w:tblCellMar>
        </w:tblPrEx>
        <w:trPr>
          <w:trHeight w:val="369"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A090703</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网络安全工程</w:t>
            </w:r>
          </w:p>
        </w:tc>
      </w:tr>
      <w:tr>
        <w:tblPrEx>
          <w:tblCellMar>
            <w:top w:w="0" w:type="dxa"/>
            <w:left w:w="0" w:type="dxa"/>
            <w:bottom w:w="0" w:type="dxa"/>
            <w:right w:w="0" w:type="dxa"/>
          </w:tblCellMar>
        </w:tblPrEx>
        <w:trPr>
          <w:trHeight w:val="369"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A0908</w:t>
            </w:r>
            <w:r>
              <w:rPr>
                <w:rFonts w:hint="eastAsia"/>
                <w:color w:val="000000"/>
                <w:kern w:val="0"/>
                <w:sz w:val="18"/>
                <w:szCs w:val="18"/>
              </w:rPr>
              <w:t>展陈工程</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A090801</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文物布展陈列</w:t>
            </w:r>
          </w:p>
        </w:tc>
      </w:tr>
      <w:tr>
        <w:tblPrEx>
          <w:tblCellMar>
            <w:top w:w="0" w:type="dxa"/>
            <w:left w:w="0" w:type="dxa"/>
            <w:bottom w:w="0" w:type="dxa"/>
            <w:right w:w="0" w:type="dxa"/>
          </w:tblCellMar>
        </w:tblPrEx>
        <w:trPr>
          <w:trHeight w:val="369"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A090802</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非文物布展陈列</w:t>
            </w:r>
          </w:p>
        </w:tc>
      </w:tr>
      <w:tr>
        <w:tblPrEx>
          <w:tblCellMar>
            <w:top w:w="0" w:type="dxa"/>
            <w:left w:w="0" w:type="dxa"/>
            <w:bottom w:w="0" w:type="dxa"/>
            <w:right w:w="0" w:type="dxa"/>
          </w:tblCellMar>
        </w:tblPrEx>
        <w:trPr>
          <w:trHeight w:val="369"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A090803</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模型制作</w:t>
            </w:r>
          </w:p>
        </w:tc>
      </w:tr>
      <w:tr>
        <w:tblPrEx>
          <w:tblCellMar>
            <w:top w:w="0" w:type="dxa"/>
            <w:left w:w="0" w:type="dxa"/>
            <w:bottom w:w="0" w:type="dxa"/>
            <w:right w:w="0" w:type="dxa"/>
          </w:tblCellMar>
        </w:tblPrEx>
        <w:trPr>
          <w:trHeight w:val="397"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A090804</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声光电配置</w:t>
            </w:r>
          </w:p>
        </w:tc>
      </w:tr>
      <w:tr>
        <w:tblPrEx>
          <w:tblCellMar>
            <w:top w:w="0" w:type="dxa"/>
            <w:left w:w="0" w:type="dxa"/>
            <w:bottom w:w="0" w:type="dxa"/>
            <w:right w:w="0" w:type="dxa"/>
          </w:tblCellMar>
        </w:tblPrEx>
        <w:trPr>
          <w:trHeight w:val="340" w:hRule="exact"/>
          <w:jc w:val="center"/>
        </w:trPr>
        <w:tc>
          <w:tcPr>
            <w:tcW w:w="1008" w:type="dxa"/>
            <w:vMerge w:val="restart"/>
            <w:tcBorders>
              <w:top w:val="nil"/>
              <w:left w:val="single" w:color="auto" w:sz="4" w:space="0"/>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w:t>
            </w:r>
            <w:r>
              <w:rPr>
                <w:rFonts w:hint="eastAsia"/>
                <w:color w:val="000000"/>
                <w:kern w:val="0"/>
                <w:sz w:val="18"/>
                <w:szCs w:val="18"/>
              </w:rPr>
              <w:t>货物类</w:t>
            </w:r>
          </w:p>
        </w:tc>
        <w:tc>
          <w:tcPr>
            <w:tcW w:w="1545"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w:t>
            </w:r>
            <w:r>
              <w:rPr>
                <w:rFonts w:hint="eastAsia"/>
                <w:color w:val="000000"/>
                <w:kern w:val="0"/>
                <w:sz w:val="18"/>
                <w:szCs w:val="18"/>
              </w:rPr>
              <w:t>机械、设备类</w:t>
            </w:r>
          </w:p>
        </w:tc>
        <w:tc>
          <w:tcPr>
            <w:tcW w:w="1680"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B0102</w:t>
            </w:r>
            <w:r>
              <w:rPr>
                <w:rFonts w:hint="eastAsia"/>
                <w:color w:val="000000"/>
                <w:kern w:val="0"/>
                <w:sz w:val="18"/>
                <w:szCs w:val="18"/>
              </w:rPr>
              <w:t>城市轨道工程设备</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B010201</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通风设备</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B010202</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自动售检票</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B010203</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防灾报警设备及消防</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B010204</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屏蔽门设备</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B010205</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综合监控设备</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B010206</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车辆段设备</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B0114</w:t>
            </w:r>
            <w:r>
              <w:rPr>
                <w:rFonts w:hint="eastAsia"/>
                <w:color w:val="000000"/>
                <w:kern w:val="0"/>
                <w:sz w:val="18"/>
                <w:szCs w:val="18"/>
              </w:rPr>
              <w:t>广播、影视、舞台设备</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B011405</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灯光、音响、舞台设备</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B0117</w:t>
            </w:r>
            <w:r>
              <w:rPr>
                <w:rFonts w:hint="eastAsia"/>
                <w:color w:val="000000"/>
                <w:kern w:val="0"/>
                <w:sz w:val="18"/>
                <w:szCs w:val="18"/>
              </w:rPr>
              <w:t>锅炉</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B011702</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工业锅炉及辅机</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B0119</w:t>
            </w:r>
            <w:r>
              <w:rPr>
                <w:rFonts w:hint="eastAsia"/>
                <w:color w:val="000000"/>
                <w:kern w:val="0"/>
                <w:sz w:val="18"/>
                <w:szCs w:val="18"/>
              </w:rPr>
              <w:t>起重运输机械</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B011904</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扶梯与电梯</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B0125</w:t>
            </w:r>
            <w:r>
              <w:rPr>
                <w:rFonts w:hint="eastAsia"/>
                <w:color w:val="000000"/>
                <w:kern w:val="0"/>
                <w:sz w:val="18"/>
                <w:szCs w:val="18"/>
              </w:rPr>
              <w:t>车辆</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B012509</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城市轨道车辆</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B0130 </w:t>
            </w:r>
            <w:r>
              <w:rPr>
                <w:rFonts w:hint="eastAsia"/>
                <w:color w:val="000000"/>
                <w:kern w:val="0"/>
                <w:sz w:val="18"/>
                <w:szCs w:val="18"/>
              </w:rPr>
              <w:t>电机</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B013001 </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发电设备</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B013002</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电动机</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B0131</w:t>
            </w:r>
            <w:r>
              <w:rPr>
                <w:rFonts w:hint="eastAsia"/>
                <w:color w:val="000000"/>
                <w:kern w:val="0"/>
                <w:sz w:val="18"/>
                <w:szCs w:val="18"/>
              </w:rPr>
              <w:t>输变电设备、设施</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B013101</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变压器</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B013102</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高压开关</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B013103</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低压电器</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B013104</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换流装置</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B013105</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电线、电缆与光缆</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B013106</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电力电容器</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B013107</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电池、电源</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B013108</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绝缘产品</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B013109</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电动工具</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B013110</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电动机拖动装置</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B0132</w:t>
            </w:r>
            <w:r>
              <w:rPr>
                <w:rFonts w:hint="eastAsia"/>
                <w:color w:val="000000"/>
                <w:kern w:val="0"/>
                <w:sz w:val="18"/>
                <w:szCs w:val="18"/>
              </w:rPr>
              <w:t>计算机及网络设备</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B013202</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小型、微型计算机及工作站</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B013204</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计算机网络安全设备</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B013205</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计算机配件及外设</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B0133</w:t>
            </w:r>
            <w:r>
              <w:rPr>
                <w:rFonts w:hint="eastAsia"/>
                <w:color w:val="000000"/>
                <w:kern w:val="0"/>
                <w:sz w:val="18"/>
                <w:szCs w:val="18"/>
              </w:rPr>
              <w:t>计算机系统</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B013301</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系统软件</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B013302</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支撑软件</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B013303</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应用软件</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B0134 </w:t>
            </w:r>
            <w:r>
              <w:rPr>
                <w:rFonts w:hint="eastAsia"/>
                <w:color w:val="000000"/>
                <w:kern w:val="0"/>
                <w:sz w:val="18"/>
                <w:szCs w:val="18"/>
              </w:rPr>
              <w:t>环保设备</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B013410</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 </w:t>
            </w:r>
            <w:r>
              <w:rPr>
                <w:rFonts w:hint="eastAsia"/>
                <w:color w:val="000000"/>
                <w:kern w:val="0"/>
                <w:sz w:val="18"/>
                <w:szCs w:val="18"/>
              </w:rPr>
              <w:t>城市固体废弃物处理设备</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B013412</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 </w:t>
            </w:r>
            <w:r>
              <w:rPr>
                <w:rFonts w:hint="eastAsia"/>
                <w:color w:val="000000"/>
                <w:kern w:val="0"/>
                <w:sz w:val="18"/>
                <w:szCs w:val="18"/>
              </w:rPr>
              <w:t>水处理设备</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B013413</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 </w:t>
            </w:r>
            <w:r>
              <w:rPr>
                <w:rFonts w:hint="eastAsia"/>
                <w:color w:val="000000"/>
                <w:kern w:val="0"/>
                <w:sz w:val="18"/>
                <w:szCs w:val="18"/>
              </w:rPr>
              <w:t>污泥处理设备</w:t>
            </w:r>
          </w:p>
        </w:tc>
      </w:tr>
      <w:tr>
        <w:tblPrEx>
          <w:tblCellMar>
            <w:top w:w="0" w:type="dxa"/>
            <w:left w:w="0" w:type="dxa"/>
            <w:bottom w:w="0" w:type="dxa"/>
            <w:right w:w="0" w:type="dxa"/>
          </w:tblCellMar>
        </w:tblPrEx>
        <w:trPr>
          <w:trHeight w:val="496"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B0136</w:t>
            </w:r>
            <w:r>
              <w:rPr>
                <w:rFonts w:hint="eastAsia"/>
                <w:color w:val="000000"/>
                <w:kern w:val="0"/>
                <w:sz w:val="18"/>
                <w:szCs w:val="18"/>
              </w:rPr>
              <w:t>交通信号专用设备</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B013602</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城市轨道信号设备</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B0138</w:t>
            </w:r>
            <w:r>
              <w:rPr>
                <w:rFonts w:hint="eastAsia"/>
                <w:color w:val="000000"/>
                <w:kern w:val="0"/>
                <w:sz w:val="18"/>
                <w:szCs w:val="18"/>
              </w:rPr>
              <w:t>节能设备</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B013801</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节电器</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B013802</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变频器</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B013803</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高效节能设备（锅炉、风机、水泵、电机等）</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B013804</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余热余压利用装备</w:t>
            </w:r>
          </w:p>
        </w:tc>
      </w:tr>
      <w:tr>
        <w:tblPrEx>
          <w:tblCellMar>
            <w:top w:w="0" w:type="dxa"/>
            <w:left w:w="0" w:type="dxa"/>
            <w:bottom w:w="0" w:type="dxa"/>
            <w:right w:w="0" w:type="dxa"/>
          </w:tblCellMar>
        </w:tblPrEx>
        <w:trPr>
          <w:trHeight w:val="340"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B013805</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节油器</w:t>
            </w:r>
          </w:p>
        </w:tc>
      </w:tr>
      <w:tr>
        <w:tblPrEx>
          <w:tblCellMar>
            <w:top w:w="0" w:type="dxa"/>
            <w:left w:w="0" w:type="dxa"/>
            <w:bottom w:w="0" w:type="dxa"/>
            <w:right w:w="0" w:type="dxa"/>
          </w:tblCellMar>
        </w:tblPrEx>
        <w:trPr>
          <w:trHeight w:val="284"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B0140</w:t>
            </w:r>
            <w:r>
              <w:rPr>
                <w:rFonts w:hint="eastAsia"/>
                <w:color w:val="000000"/>
                <w:kern w:val="0"/>
                <w:sz w:val="18"/>
                <w:szCs w:val="18"/>
              </w:rPr>
              <w:t>安全技术防范设备</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B014001</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安防视频监控设备</w:t>
            </w:r>
          </w:p>
        </w:tc>
      </w:tr>
      <w:tr>
        <w:tblPrEx>
          <w:tblCellMar>
            <w:top w:w="0" w:type="dxa"/>
            <w:left w:w="0" w:type="dxa"/>
            <w:bottom w:w="0" w:type="dxa"/>
            <w:right w:w="0" w:type="dxa"/>
          </w:tblCellMar>
        </w:tblPrEx>
        <w:trPr>
          <w:trHeight w:val="284" w:hRule="exact"/>
          <w:jc w:val="center"/>
        </w:trPr>
        <w:tc>
          <w:tcPr>
            <w:tcW w:w="1008" w:type="dxa"/>
            <w:vMerge w:val="restart"/>
            <w:tcBorders>
              <w:top w:val="nil"/>
              <w:left w:val="single" w:color="auto" w:sz="4" w:space="0"/>
              <w:bottom w:val="single" w:color="auto" w:sz="4" w:space="0"/>
              <w:right w:val="single" w:color="auto" w:sz="4" w:space="0"/>
            </w:tcBorders>
            <w:shd w:val="clear" w:color="auto" w:fill="FFFFFF"/>
            <w:noWrap w:val="0"/>
            <w:vAlign w:val="center"/>
          </w:tcPr>
          <w:p>
            <w:pPr>
              <w:spacing w:line="240" w:lineRule="exact"/>
              <w:jc w:val="center"/>
              <w:rPr>
                <w:color w:val="000000"/>
                <w:kern w:val="0"/>
                <w:sz w:val="18"/>
                <w:szCs w:val="18"/>
              </w:rPr>
            </w:pPr>
            <w:r>
              <w:rPr>
                <w:color w:val="000000"/>
                <w:kern w:val="0"/>
                <w:sz w:val="18"/>
                <w:szCs w:val="18"/>
              </w:rPr>
              <w:t>B</w:t>
            </w:r>
            <w:r>
              <w:rPr>
                <w:rFonts w:hint="eastAsia"/>
                <w:color w:val="000000"/>
                <w:kern w:val="0"/>
                <w:sz w:val="18"/>
                <w:szCs w:val="18"/>
              </w:rPr>
              <w:t>货物类</w:t>
            </w:r>
          </w:p>
        </w:tc>
        <w:tc>
          <w:tcPr>
            <w:tcW w:w="1545" w:type="dxa"/>
            <w:vMerge w:val="restart"/>
            <w:tcBorders>
              <w:top w:val="nil"/>
              <w:left w:val="nil"/>
              <w:bottom w:val="single" w:color="auto" w:sz="4" w:space="0"/>
              <w:right w:val="single" w:color="auto" w:sz="4" w:space="0"/>
            </w:tcBorders>
            <w:shd w:val="clear" w:color="auto" w:fill="FFFFFF"/>
            <w:noWrap w:val="0"/>
            <w:vAlign w:val="center"/>
          </w:tcPr>
          <w:p>
            <w:pPr>
              <w:spacing w:line="240" w:lineRule="exact"/>
              <w:jc w:val="left"/>
              <w:rPr>
                <w:color w:val="000000"/>
                <w:kern w:val="0"/>
                <w:sz w:val="18"/>
                <w:szCs w:val="18"/>
              </w:rPr>
            </w:pPr>
            <w:r>
              <w:rPr>
                <w:color w:val="000000"/>
                <w:kern w:val="0"/>
                <w:sz w:val="18"/>
                <w:szCs w:val="18"/>
              </w:rPr>
              <w:t>B01</w:t>
            </w:r>
            <w:r>
              <w:rPr>
                <w:rFonts w:hint="eastAsia"/>
                <w:color w:val="000000"/>
                <w:kern w:val="0"/>
                <w:sz w:val="18"/>
                <w:szCs w:val="18"/>
              </w:rPr>
              <w:t>机械、设备类</w:t>
            </w:r>
          </w:p>
        </w:tc>
        <w:tc>
          <w:tcPr>
            <w:tcW w:w="1680" w:type="dxa"/>
            <w:vMerge w:val="restart"/>
            <w:tcBorders>
              <w:top w:val="nil"/>
              <w:left w:val="nil"/>
              <w:bottom w:val="single" w:color="auto" w:sz="4" w:space="0"/>
              <w:right w:val="single" w:color="auto" w:sz="4" w:space="0"/>
            </w:tcBorders>
            <w:shd w:val="clear" w:color="auto" w:fill="FFFFFF"/>
            <w:noWrap w:val="0"/>
            <w:vAlign w:val="center"/>
          </w:tcPr>
          <w:p>
            <w:pPr>
              <w:spacing w:line="240" w:lineRule="exact"/>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B014002</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入侵探测与防盗报警设备</w:t>
            </w:r>
          </w:p>
        </w:tc>
      </w:tr>
      <w:tr>
        <w:tblPrEx>
          <w:tblCellMar>
            <w:top w:w="0" w:type="dxa"/>
            <w:left w:w="0" w:type="dxa"/>
            <w:bottom w:w="0" w:type="dxa"/>
            <w:right w:w="0" w:type="dxa"/>
          </w:tblCellMar>
        </w:tblPrEx>
        <w:trPr>
          <w:trHeight w:val="284"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B014003</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安防出入口目标识别与控制设备</w:t>
            </w:r>
          </w:p>
        </w:tc>
      </w:tr>
      <w:tr>
        <w:tblPrEx>
          <w:tblCellMar>
            <w:top w:w="0" w:type="dxa"/>
            <w:left w:w="0" w:type="dxa"/>
            <w:bottom w:w="0" w:type="dxa"/>
            <w:right w:w="0" w:type="dxa"/>
          </w:tblCellMar>
        </w:tblPrEx>
        <w:trPr>
          <w:trHeight w:val="284"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B014004</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安防实体防护设备</w:t>
            </w:r>
          </w:p>
        </w:tc>
      </w:tr>
      <w:tr>
        <w:tblPrEx>
          <w:tblCellMar>
            <w:top w:w="0" w:type="dxa"/>
            <w:left w:w="0" w:type="dxa"/>
            <w:bottom w:w="0" w:type="dxa"/>
            <w:right w:w="0" w:type="dxa"/>
          </w:tblCellMar>
        </w:tblPrEx>
        <w:trPr>
          <w:trHeight w:val="284"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B014005</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防爆安全检查设备</w:t>
            </w:r>
          </w:p>
        </w:tc>
      </w:tr>
      <w:tr>
        <w:tblPrEx>
          <w:tblCellMar>
            <w:top w:w="0" w:type="dxa"/>
            <w:left w:w="0" w:type="dxa"/>
            <w:bottom w:w="0" w:type="dxa"/>
            <w:right w:w="0" w:type="dxa"/>
          </w:tblCellMar>
        </w:tblPrEx>
        <w:trPr>
          <w:trHeight w:val="284"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B014006</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移动目标反劫防盗设备</w:t>
            </w:r>
          </w:p>
        </w:tc>
      </w:tr>
      <w:tr>
        <w:tblPrEx>
          <w:tblCellMar>
            <w:top w:w="0" w:type="dxa"/>
            <w:left w:w="0" w:type="dxa"/>
            <w:bottom w:w="0" w:type="dxa"/>
            <w:right w:w="0" w:type="dxa"/>
          </w:tblCellMar>
        </w:tblPrEx>
        <w:trPr>
          <w:trHeight w:val="284"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B0141</w:t>
            </w:r>
            <w:r>
              <w:rPr>
                <w:rFonts w:hint="eastAsia"/>
                <w:color w:val="000000"/>
                <w:kern w:val="0"/>
                <w:sz w:val="18"/>
                <w:szCs w:val="18"/>
              </w:rPr>
              <w:t>其他专用机械</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B014114</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道路交通安全设备</w:t>
            </w:r>
          </w:p>
        </w:tc>
      </w:tr>
      <w:tr>
        <w:tblPrEx>
          <w:tblCellMar>
            <w:top w:w="0" w:type="dxa"/>
            <w:left w:w="0" w:type="dxa"/>
            <w:bottom w:w="0" w:type="dxa"/>
            <w:right w:w="0" w:type="dxa"/>
          </w:tblCellMar>
        </w:tblPrEx>
        <w:trPr>
          <w:trHeight w:val="284"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B014116 </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风机与压缩机</w:t>
            </w:r>
          </w:p>
        </w:tc>
      </w:tr>
      <w:tr>
        <w:tblPrEx>
          <w:tblCellMar>
            <w:top w:w="0" w:type="dxa"/>
            <w:left w:w="0" w:type="dxa"/>
            <w:bottom w:w="0" w:type="dxa"/>
            <w:right w:w="0" w:type="dxa"/>
          </w:tblCellMar>
        </w:tblPrEx>
        <w:trPr>
          <w:trHeight w:val="284"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B014117</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制冷与采暖空调设备</w:t>
            </w:r>
          </w:p>
        </w:tc>
      </w:tr>
      <w:tr>
        <w:tblPrEx>
          <w:tblCellMar>
            <w:top w:w="0" w:type="dxa"/>
            <w:left w:w="0" w:type="dxa"/>
            <w:bottom w:w="0" w:type="dxa"/>
            <w:right w:w="0" w:type="dxa"/>
          </w:tblCellMar>
        </w:tblPrEx>
        <w:trPr>
          <w:trHeight w:val="284"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B014119</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泵与阀门</w:t>
            </w:r>
          </w:p>
        </w:tc>
      </w:tr>
      <w:tr>
        <w:tblPrEx>
          <w:tblCellMar>
            <w:top w:w="0" w:type="dxa"/>
            <w:left w:w="0" w:type="dxa"/>
            <w:bottom w:w="0" w:type="dxa"/>
            <w:right w:w="0" w:type="dxa"/>
          </w:tblCellMar>
        </w:tblPrEx>
        <w:trPr>
          <w:trHeight w:val="284"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B014120</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消防设备</w:t>
            </w:r>
          </w:p>
        </w:tc>
      </w:tr>
      <w:tr>
        <w:tblPrEx>
          <w:tblCellMar>
            <w:top w:w="0" w:type="dxa"/>
            <w:left w:w="0" w:type="dxa"/>
            <w:bottom w:w="0" w:type="dxa"/>
            <w:right w:w="0" w:type="dxa"/>
          </w:tblCellMar>
        </w:tblPrEx>
        <w:trPr>
          <w:trHeight w:val="284"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B02 </w:t>
            </w:r>
            <w:r>
              <w:rPr>
                <w:rFonts w:hint="eastAsia"/>
                <w:color w:val="000000"/>
                <w:kern w:val="0"/>
                <w:sz w:val="18"/>
                <w:szCs w:val="18"/>
              </w:rPr>
              <w:t>医疗器械</w:t>
            </w:r>
          </w:p>
        </w:tc>
        <w:tc>
          <w:tcPr>
            <w:tcW w:w="1680"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B0201</w:t>
            </w:r>
            <w:r>
              <w:rPr>
                <w:rFonts w:hint="eastAsia"/>
                <w:color w:val="000000"/>
                <w:kern w:val="0"/>
                <w:sz w:val="18"/>
                <w:szCs w:val="18"/>
              </w:rPr>
              <w:t>医疗器械</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B020130</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医院网络设备及软件</w:t>
            </w:r>
          </w:p>
        </w:tc>
      </w:tr>
      <w:tr>
        <w:tblPrEx>
          <w:tblCellMar>
            <w:top w:w="0" w:type="dxa"/>
            <w:left w:w="0" w:type="dxa"/>
            <w:bottom w:w="0" w:type="dxa"/>
            <w:right w:w="0" w:type="dxa"/>
          </w:tblCellMar>
        </w:tblPrEx>
        <w:trPr>
          <w:trHeight w:val="284"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B020132</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医疗垃圾处理系统</w:t>
            </w:r>
          </w:p>
        </w:tc>
      </w:tr>
      <w:tr>
        <w:tblPrEx>
          <w:tblCellMar>
            <w:top w:w="0" w:type="dxa"/>
            <w:left w:w="0" w:type="dxa"/>
            <w:bottom w:w="0" w:type="dxa"/>
            <w:right w:w="0" w:type="dxa"/>
          </w:tblCellMar>
        </w:tblPrEx>
        <w:trPr>
          <w:trHeight w:val="284"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B03</w:t>
            </w:r>
            <w:r>
              <w:rPr>
                <w:rFonts w:hint="eastAsia"/>
                <w:color w:val="000000"/>
                <w:kern w:val="0"/>
                <w:sz w:val="18"/>
                <w:szCs w:val="18"/>
              </w:rPr>
              <w:t>金属材料</w:t>
            </w:r>
          </w:p>
        </w:tc>
        <w:tc>
          <w:tcPr>
            <w:tcW w:w="168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B0301</w:t>
            </w:r>
            <w:r>
              <w:rPr>
                <w:rFonts w:hint="eastAsia"/>
                <w:color w:val="000000"/>
                <w:kern w:val="0"/>
                <w:sz w:val="18"/>
                <w:szCs w:val="18"/>
              </w:rPr>
              <w:t>黑色金属</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B030102</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黑色金属产品</w:t>
            </w:r>
          </w:p>
        </w:tc>
      </w:tr>
      <w:tr>
        <w:tblPrEx>
          <w:tblCellMar>
            <w:top w:w="0" w:type="dxa"/>
            <w:left w:w="0" w:type="dxa"/>
            <w:bottom w:w="0" w:type="dxa"/>
            <w:right w:w="0" w:type="dxa"/>
          </w:tblCellMar>
        </w:tblPrEx>
        <w:trPr>
          <w:trHeight w:val="284"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B0302</w:t>
            </w:r>
            <w:r>
              <w:rPr>
                <w:rFonts w:hint="eastAsia"/>
                <w:color w:val="000000"/>
                <w:kern w:val="0"/>
                <w:sz w:val="18"/>
                <w:szCs w:val="18"/>
              </w:rPr>
              <w:t>有色金属</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B030203</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有色金属制品</w:t>
            </w:r>
          </w:p>
        </w:tc>
      </w:tr>
      <w:tr>
        <w:tblPrEx>
          <w:tblCellMar>
            <w:top w:w="0" w:type="dxa"/>
            <w:left w:w="0" w:type="dxa"/>
            <w:bottom w:w="0" w:type="dxa"/>
            <w:right w:w="0" w:type="dxa"/>
          </w:tblCellMar>
        </w:tblPrEx>
        <w:trPr>
          <w:trHeight w:val="284"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B0303</w:t>
            </w:r>
            <w:r>
              <w:rPr>
                <w:rFonts w:hint="eastAsia"/>
                <w:color w:val="000000"/>
                <w:kern w:val="0"/>
                <w:sz w:val="18"/>
                <w:szCs w:val="18"/>
              </w:rPr>
              <w:t>合金</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B030303</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合金产品</w:t>
            </w:r>
          </w:p>
        </w:tc>
      </w:tr>
      <w:tr>
        <w:tblPrEx>
          <w:tblCellMar>
            <w:top w:w="0" w:type="dxa"/>
            <w:left w:w="0" w:type="dxa"/>
            <w:bottom w:w="0" w:type="dxa"/>
            <w:right w:w="0" w:type="dxa"/>
          </w:tblCellMar>
        </w:tblPrEx>
        <w:trPr>
          <w:trHeight w:val="284"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B04</w:t>
            </w:r>
            <w:r>
              <w:rPr>
                <w:rFonts w:hint="eastAsia"/>
                <w:color w:val="000000"/>
                <w:kern w:val="0"/>
                <w:sz w:val="18"/>
                <w:szCs w:val="18"/>
              </w:rPr>
              <w:t>石油及其制品</w:t>
            </w:r>
          </w:p>
        </w:tc>
        <w:tc>
          <w:tcPr>
            <w:tcW w:w="1680"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B0403</w:t>
            </w:r>
            <w:r>
              <w:rPr>
                <w:rFonts w:hint="eastAsia"/>
                <w:color w:val="000000"/>
                <w:kern w:val="0"/>
                <w:sz w:val="18"/>
                <w:szCs w:val="18"/>
              </w:rPr>
              <w:t>石油制品</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B040301</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汽油、煤油、柴油和润滑油</w:t>
            </w:r>
          </w:p>
        </w:tc>
      </w:tr>
      <w:tr>
        <w:tblPrEx>
          <w:tblCellMar>
            <w:top w:w="0" w:type="dxa"/>
            <w:left w:w="0" w:type="dxa"/>
            <w:bottom w:w="0" w:type="dxa"/>
            <w:right w:w="0" w:type="dxa"/>
          </w:tblCellMar>
        </w:tblPrEx>
        <w:trPr>
          <w:trHeight w:val="284"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B040302</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沥青焦、石油焦</w:t>
            </w:r>
          </w:p>
        </w:tc>
      </w:tr>
      <w:tr>
        <w:tblPrEx>
          <w:tblCellMar>
            <w:top w:w="0" w:type="dxa"/>
            <w:left w:w="0" w:type="dxa"/>
            <w:bottom w:w="0" w:type="dxa"/>
            <w:right w:w="0" w:type="dxa"/>
          </w:tblCellMar>
        </w:tblPrEx>
        <w:trPr>
          <w:trHeight w:val="284"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B040304</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石蜡</w:t>
            </w:r>
          </w:p>
        </w:tc>
      </w:tr>
      <w:tr>
        <w:tblPrEx>
          <w:tblCellMar>
            <w:top w:w="0" w:type="dxa"/>
            <w:left w:w="0" w:type="dxa"/>
            <w:bottom w:w="0" w:type="dxa"/>
            <w:right w:w="0" w:type="dxa"/>
          </w:tblCellMar>
        </w:tblPrEx>
        <w:trPr>
          <w:trHeight w:val="284"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B040305</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沥青混凝土</w:t>
            </w:r>
          </w:p>
        </w:tc>
      </w:tr>
      <w:tr>
        <w:tblPrEx>
          <w:tblCellMar>
            <w:top w:w="0" w:type="dxa"/>
            <w:left w:w="0" w:type="dxa"/>
            <w:bottom w:w="0" w:type="dxa"/>
            <w:right w:w="0" w:type="dxa"/>
          </w:tblCellMar>
        </w:tblPrEx>
        <w:trPr>
          <w:trHeight w:val="284"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B06</w:t>
            </w:r>
            <w:r>
              <w:rPr>
                <w:rFonts w:hint="eastAsia"/>
                <w:color w:val="000000"/>
                <w:kern w:val="0"/>
                <w:sz w:val="18"/>
                <w:szCs w:val="18"/>
              </w:rPr>
              <w:t>化工材料及其制品</w:t>
            </w:r>
          </w:p>
        </w:tc>
        <w:tc>
          <w:tcPr>
            <w:tcW w:w="1680"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B0603</w:t>
            </w:r>
            <w:r>
              <w:rPr>
                <w:rFonts w:hint="eastAsia"/>
                <w:color w:val="000000"/>
                <w:kern w:val="0"/>
                <w:sz w:val="18"/>
                <w:szCs w:val="18"/>
              </w:rPr>
              <w:t>合成材料及专用化工品</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B060301</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防护、防腐与涂料</w:t>
            </w:r>
          </w:p>
        </w:tc>
      </w:tr>
      <w:tr>
        <w:tblPrEx>
          <w:tblCellMar>
            <w:top w:w="0" w:type="dxa"/>
            <w:left w:w="0" w:type="dxa"/>
            <w:bottom w:w="0" w:type="dxa"/>
            <w:right w:w="0" w:type="dxa"/>
          </w:tblCellMar>
        </w:tblPrEx>
        <w:trPr>
          <w:trHeight w:val="284"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B060303</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橡胶、塑料及其制品</w:t>
            </w:r>
          </w:p>
        </w:tc>
      </w:tr>
      <w:tr>
        <w:tblPrEx>
          <w:tblCellMar>
            <w:top w:w="0" w:type="dxa"/>
            <w:left w:w="0" w:type="dxa"/>
            <w:bottom w:w="0" w:type="dxa"/>
            <w:right w:w="0" w:type="dxa"/>
          </w:tblCellMar>
        </w:tblPrEx>
        <w:trPr>
          <w:trHeight w:val="284"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B060304</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玻璃及其制品</w:t>
            </w:r>
          </w:p>
        </w:tc>
      </w:tr>
      <w:tr>
        <w:tblPrEx>
          <w:tblCellMar>
            <w:top w:w="0" w:type="dxa"/>
            <w:left w:w="0" w:type="dxa"/>
            <w:bottom w:w="0" w:type="dxa"/>
            <w:right w:w="0" w:type="dxa"/>
          </w:tblCellMar>
        </w:tblPrEx>
        <w:trPr>
          <w:trHeight w:val="284"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B060305</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颜料、染料</w:t>
            </w:r>
          </w:p>
        </w:tc>
      </w:tr>
      <w:tr>
        <w:tblPrEx>
          <w:tblCellMar>
            <w:top w:w="0" w:type="dxa"/>
            <w:left w:w="0" w:type="dxa"/>
            <w:bottom w:w="0" w:type="dxa"/>
            <w:right w:w="0" w:type="dxa"/>
          </w:tblCellMar>
        </w:tblPrEx>
        <w:trPr>
          <w:trHeight w:val="284"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B07</w:t>
            </w:r>
            <w:r>
              <w:rPr>
                <w:rFonts w:hint="eastAsia"/>
                <w:color w:val="000000"/>
                <w:kern w:val="0"/>
                <w:sz w:val="18"/>
                <w:szCs w:val="18"/>
              </w:rPr>
              <w:t>建筑材料</w:t>
            </w:r>
          </w:p>
        </w:tc>
        <w:tc>
          <w:tcPr>
            <w:tcW w:w="1680"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B0701</w:t>
            </w:r>
            <w:r>
              <w:rPr>
                <w:rFonts w:hint="eastAsia"/>
                <w:color w:val="000000"/>
                <w:kern w:val="0"/>
                <w:sz w:val="18"/>
                <w:szCs w:val="18"/>
              </w:rPr>
              <w:t>水泥及水泥制品</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B070101</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水泥与水泥熟料</w:t>
            </w:r>
          </w:p>
        </w:tc>
      </w:tr>
      <w:tr>
        <w:tblPrEx>
          <w:tblCellMar>
            <w:top w:w="0" w:type="dxa"/>
            <w:left w:w="0" w:type="dxa"/>
            <w:bottom w:w="0" w:type="dxa"/>
            <w:right w:w="0" w:type="dxa"/>
          </w:tblCellMar>
        </w:tblPrEx>
        <w:trPr>
          <w:trHeight w:val="284"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B070102</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水泥制品</w:t>
            </w:r>
          </w:p>
        </w:tc>
      </w:tr>
      <w:tr>
        <w:tblPrEx>
          <w:tblCellMar>
            <w:top w:w="0" w:type="dxa"/>
            <w:left w:w="0" w:type="dxa"/>
            <w:bottom w:w="0" w:type="dxa"/>
            <w:right w:w="0" w:type="dxa"/>
          </w:tblCellMar>
        </w:tblPrEx>
        <w:trPr>
          <w:trHeight w:val="284"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B070103</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商品混凝土</w:t>
            </w:r>
          </w:p>
        </w:tc>
      </w:tr>
      <w:tr>
        <w:tblPrEx>
          <w:tblCellMar>
            <w:top w:w="0" w:type="dxa"/>
            <w:left w:w="0" w:type="dxa"/>
            <w:bottom w:w="0" w:type="dxa"/>
            <w:right w:w="0" w:type="dxa"/>
          </w:tblCellMar>
        </w:tblPrEx>
        <w:trPr>
          <w:trHeight w:val="284"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B0702</w:t>
            </w:r>
            <w:r>
              <w:rPr>
                <w:rFonts w:hint="eastAsia"/>
                <w:color w:val="000000"/>
                <w:kern w:val="0"/>
                <w:sz w:val="18"/>
                <w:szCs w:val="18"/>
              </w:rPr>
              <w:t>木材</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B070201</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原木、板方材</w:t>
            </w:r>
          </w:p>
        </w:tc>
      </w:tr>
      <w:tr>
        <w:tblPrEx>
          <w:tblCellMar>
            <w:top w:w="0" w:type="dxa"/>
            <w:left w:w="0" w:type="dxa"/>
            <w:bottom w:w="0" w:type="dxa"/>
            <w:right w:w="0" w:type="dxa"/>
          </w:tblCellMar>
        </w:tblPrEx>
        <w:trPr>
          <w:trHeight w:val="284"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B070202</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复合板材</w:t>
            </w:r>
          </w:p>
        </w:tc>
      </w:tr>
      <w:tr>
        <w:tblPrEx>
          <w:tblCellMar>
            <w:top w:w="0" w:type="dxa"/>
            <w:left w:w="0" w:type="dxa"/>
            <w:bottom w:w="0" w:type="dxa"/>
            <w:right w:w="0" w:type="dxa"/>
          </w:tblCellMar>
        </w:tblPrEx>
        <w:trPr>
          <w:trHeight w:val="284"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B0703</w:t>
            </w:r>
            <w:r>
              <w:rPr>
                <w:rFonts w:hint="eastAsia"/>
                <w:color w:val="000000"/>
                <w:kern w:val="0"/>
                <w:sz w:val="18"/>
                <w:szCs w:val="18"/>
              </w:rPr>
              <w:t>石材</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B070301</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人造石材</w:t>
            </w:r>
          </w:p>
        </w:tc>
      </w:tr>
      <w:tr>
        <w:tblPrEx>
          <w:tblCellMar>
            <w:top w:w="0" w:type="dxa"/>
            <w:left w:w="0" w:type="dxa"/>
            <w:bottom w:w="0" w:type="dxa"/>
            <w:right w:w="0" w:type="dxa"/>
          </w:tblCellMar>
        </w:tblPrEx>
        <w:trPr>
          <w:trHeight w:val="284"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B070302</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天然石材</w:t>
            </w:r>
          </w:p>
        </w:tc>
      </w:tr>
      <w:tr>
        <w:tblPrEx>
          <w:tblCellMar>
            <w:top w:w="0" w:type="dxa"/>
            <w:left w:w="0" w:type="dxa"/>
            <w:bottom w:w="0" w:type="dxa"/>
            <w:right w:w="0" w:type="dxa"/>
          </w:tblCellMar>
        </w:tblPrEx>
        <w:trPr>
          <w:trHeight w:val="284"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B0704</w:t>
            </w:r>
            <w:r>
              <w:rPr>
                <w:rFonts w:hint="eastAsia"/>
                <w:color w:val="000000"/>
                <w:kern w:val="0"/>
                <w:sz w:val="18"/>
                <w:szCs w:val="18"/>
              </w:rPr>
              <w:t>陶瓷制品</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B070401</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建筑陶瓷及制品</w:t>
            </w:r>
          </w:p>
        </w:tc>
      </w:tr>
      <w:tr>
        <w:tblPrEx>
          <w:tblCellMar>
            <w:top w:w="0" w:type="dxa"/>
            <w:left w:w="0" w:type="dxa"/>
            <w:bottom w:w="0" w:type="dxa"/>
            <w:right w:w="0" w:type="dxa"/>
          </w:tblCellMar>
        </w:tblPrEx>
        <w:trPr>
          <w:trHeight w:val="284"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B070402</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卫生陶瓷及制品</w:t>
            </w:r>
          </w:p>
        </w:tc>
      </w:tr>
      <w:tr>
        <w:tblPrEx>
          <w:tblCellMar>
            <w:top w:w="0" w:type="dxa"/>
            <w:left w:w="0" w:type="dxa"/>
            <w:bottom w:w="0" w:type="dxa"/>
            <w:right w:w="0" w:type="dxa"/>
          </w:tblCellMar>
        </w:tblPrEx>
        <w:trPr>
          <w:trHeight w:val="284"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B0705</w:t>
            </w:r>
            <w:r>
              <w:rPr>
                <w:rFonts w:hint="eastAsia"/>
                <w:color w:val="000000"/>
                <w:kern w:val="0"/>
                <w:sz w:val="18"/>
                <w:szCs w:val="18"/>
              </w:rPr>
              <w:t>其他建筑材料</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B070501</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隔热保温材料</w:t>
            </w:r>
          </w:p>
        </w:tc>
      </w:tr>
      <w:tr>
        <w:tblPrEx>
          <w:tblCellMar>
            <w:top w:w="0" w:type="dxa"/>
            <w:left w:w="0" w:type="dxa"/>
            <w:bottom w:w="0" w:type="dxa"/>
            <w:right w:w="0" w:type="dxa"/>
          </w:tblCellMar>
        </w:tblPrEx>
        <w:trPr>
          <w:trHeight w:val="284"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B070502</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防水材料、密封材料</w:t>
            </w:r>
          </w:p>
        </w:tc>
      </w:tr>
      <w:tr>
        <w:tblPrEx>
          <w:tblCellMar>
            <w:top w:w="0" w:type="dxa"/>
            <w:left w:w="0" w:type="dxa"/>
            <w:bottom w:w="0" w:type="dxa"/>
            <w:right w:w="0" w:type="dxa"/>
          </w:tblCellMar>
        </w:tblPrEx>
        <w:trPr>
          <w:trHeight w:val="284"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B070503</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电工绝缘材料</w:t>
            </w:r>
          </w:p>
        </w:tc>
      </w:tr>
      <w:tr>
        <w:tblPrEx>
          <w:tblCellMar>
            <w:top w:w="0" w:type="dxa"/>
            <w:left w:w="0" w:type="dxa"/>
            <w:bottom w:w="0" w:type="dxa"/>
            <w:right w:w="0" w:type="dxa"/>
          </w:tblCellMar>
        </w:tblPrEx>
        <w:trPr>
          <w:trHeight w:val="284"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B070504</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特种建筑材料</w:t>
            </w:r>
          </w:p>
        </w:tc>
      </w:tr>
      <w:tr>
        <w:tblPrEx>
          <w:tblCellMar>
            <w:top w:w="0" w:type="dxa"/>
            <w:left w:w="0" w:type="dxa"/>
            <w:bottom w:w="0" w:type="dxa"/>
            <w:right w:w="0" w:type="dxa"/>
          </w:tblCellMar>
        </w:tblPrEx>
        <w:trPr>
          <w:trHeight w:val="284"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B0706</w:t>
            </w:r>
            <w:r>
              <w:rPr>
                <w:rFonts w:hint="eastAsia"/>
                <w:color w:val="000000"/>
                <w:kern w:val="0"/>
                <w:sz w:val="18"/>
                <w:szCs w:val="18"/>
              </w:rPr>
              <w:t>新型材料</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B070601</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纳米技术与纳米材料</w:t>
            </w:r>
          </w:p>
        </w:tc>
      </w:tr>
      <w:tr>
        <w:tblPrEx>
          <w:tblCellMar>
            <w:top w:w="0" w:type="dxa"/>
            <w:left w:w="0" w:type="dxa"/>
            <w:bottom w:w="0" w:type="dxa"/>
            <w:right w:w="0" w:type="dxa"/>
          </w:tblCellMar>
        </w:tblPrEx>
        <w:trPr>
          <w:trHeight w:val="284"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B070602</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其他新型建筑材料</w:t>
            </w:r>
          </w:p>
        </w:tc>
      </w:tr>
      <w:tr>
        <w:tblPrEx>
          <w:tblCellMar>
            <w:top w:w="0" w:type="dxa"/>
            <w:left w:w="0" w:type="dxa"/>
            <w:bottom w:w="0" w:type="dxa"/>
            <w:right w:w="0" w:type="dxa"/>
          </w:tblCellMar>
        </w:tblPrEx>
        <w:trPr>
          <w:trHeight w:val="284"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B070603</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利废建筑材料</w:t>
            </w:r>
          </w:p>
        </w:tc>
      </w:tr>
      <w:tr>
        <w:tblPrEx>
          <w:tblCellMar>
            <w:top w:w="0" w:type="dxa"/>
            <w:left w:w="0" w:type="dxa"/>
            <w:bottom w:w="0" w:type="dxa"/>
            <w:right w:w="0" w:type="dxa"/>
          </w:tblCellMar>
        </w:tblPrEx>
        <w:trPr>
          <w:trHeight w:val="284" w:hRule="exact"/>
          <w:jc w:val="center"/>
        </w:trPr>
        <w:tc>
          <w:tcPr>
            <w:tcW w:w="1008" w:type="dxa"/>
            <w:vMerge w:val="restart"/>
            <w:tcBorders>
              <w:top w:val="nil"/>
              <w:left w:val="single" w:color="auto" w:sz="4" w:space="0"/>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C</w:t>
            </w:r>
            <w:r>
              <w:rPr>
                <w:rFonts w:hint="eastAsia"/>
                <w:color w:val="000000"/>
                <w:kern w:val="0"/>
                <w:sz w:val="18"/>
                <w:szCs w:val="18"/>
              </w:rPr>
              <w:t>服务类</w:t>
            </w:r>
          </w:p>
        </w:tc>
        <w:tc>
          <w:tcPr>
            <w:tcW w:w="1545"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C02</w:t>
            </w:r>
            <w:r>
              <w:rPr>
                <w:rFonts w:hint="eastAsia"/>
                <w:color w:val="000000"/>
                <w:kern w:val="0"/>
                <w:sz w:val="18"/>
                <w:szCs w:val="18"/>
              </w:rPr>
              <w:t>公共咨询</w:t>
            </w:r>
          </w:p>
        </w:tc>
        <w:tc>
          <w:tcPr>
            <w:tcW w:w="1680" w:type="dxa"/>
            <w:vMerge w:val="restart"/>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C0201</w:t>
            </w:r>
            <w:r>
              <w:rPr>
                <w:rFonts w:hint="eastAsia"/>
                <w:color w:val="000000"/>
                <w:kern w:val="0"/>
                <w:sz w:val="18"/>
                <w:szCs w:val="18"/>
              </w:rPr>
              <w:t>咨询服务</w:t>
            </w: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C020114</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招标投标咨询</w:t>
            </w:r>
          </w:p>
        </w:tc>
      </w:tr>
      <w:tr>
        <w:tblPrEx>
          <w:tblCellMar>
            <w:top w:w="0" w:type="dxa"/>
            <w:left w:w="0" w:type="dxa"/>
            <w:bottom w:w="0" w:type="dxa"/>
            <w:right w:w="0" w:type="dxa"/>
          </w:tblCellMar>
        </w:tblPrEx>
        <w:trPr>
          <w:trHeight w:val="284" w:hRule="exact"/>
          <w:jc w:val="center"/>
        </w:trPr>
        <w:tc>
          <w:tcPr>
            <w:tcW w:w="1008"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545"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680"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color w:val="000000"/>
                <w:kern w:val="0"/>
                <w:sz w:val="18"/>
                <w:szCs w:val="18"/>
              </w:rPr>
            </w:pPr>
          </w:p>
        </w:tc>
        <w:tc>
          <w:tcPr>
            <w:tcW w:w="1320"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color w:val="000000"/>
                <w:kern w:val="0"/>
                <w:sz w:val="18"/>
                <w:szCs w:val="18"/>
              </w:rPr>
              <w:t>C020116</w:t>
            </w:r>
          </w:p>
        </w:tc>
        <w:tc>
          <w:tcPr>
            <w:tcW w:w="3107" w:type="dxa"/>
            <w:tcBorders>
              <w:top w:val="nil"/>
              <w:left w:val="nil"/>
              <w:bottom w:val="single" w:color="auto" w:sz="4" w:space="0"/>
              <w:right w:val="single" w:color="auto" w:sz="4" w:space="0"/>
            </w:tcBorders>
            <w:shd w:val="clear" w:color="auto" w:fill="FFFFFF"/>
            <w:noWrap w:val="0"/>
            <w:tcMar>
              <w:top w:w="0" w:type="dxa"/>
              <w:left w:w="108" w:type="dxa"/>
              <w:bottom w:w="0" w:type="dxa"/>
              <w:right w:w="108" w:type="dxa"/>
            </w:tcMar>
            <w:vAlign w:val="center"/>
          </w:tcPr>
          <w:p>
            <w:pPr>
              <w:spacing w:line="240" w:lineRule="exact"/>
              <w:jc w:val="left"/>
              <w:rPr>
                <w:color w:val="000000"/>
                <w:kern w:val="0"/>
                <w:sz w:val="18"/>
                <w:szCs w:val="18"/>
              </w:rPr>
            </w:pPr>
            <w:r>
              <w:rPr>
                <w:rFonts w:hint="eastAsia"/>
                <w:color w:val="000000"/>
                <w:kern w:val="0"/>
                <w:sz w:val="18"/>
                <w:szCs w:val="18"/>
              </w:rPr>
              <w:t>拆迁评估</w:t>
            </w:r>
            <w:r>
              <w:rPr>
                <w:color w:val="000000"/>
                <w:kern w:val="0"/>
                <w:sz w:val="18"/>
                <w:szCs w:val="18"/>
              </w:rPr>
              <w:t> </w:t>
            </w:r>
          </w:p>
        </w:tc>
      </w:tr>
    </w:tbl>
    <w:p>
      <w:pPr>
        <w:shd w:val="clear" w:color="auto" w:fill="FFFFFF"/>
        <w:jc w:val="left"/>
        <w:rPr>
          <w:color w:val="000000"/>
          <w:kern w:val="0"/>
          <w:sz w:val="18"/>
          <w:szCs w:val="18"/>
        </w:rPr>
      </w:pPr>
      <w:r>
        <w:rPr>
          <w:color w:val="000000"/>
          <w:kern w:val="0"/>
          <w:sz w:val="18"/>
          <w:szCs w:val="18"/>
        </w:rPr>
        <w:t>  </w:t>
      </w:r>
    </w:p>
    <w:p>
      <w:pPr>
        <w:shd w:val="clear" w:color="auto" w:fill="FFFFFF"/>
        <w:spacing w:line="440" w:lineRule="atLeast"/>
        <w:jc w:val="left"/>
        <w:rPr>
          <w:color w:val="000000"/>
          <w:kern w:val="0"/>
          <w:sz w:val="18"/>
          <w:szCs w:val="18"/>
        </w:rPr>
      </w:pPr>
      <w:r>
        <w:rPr>
          <w:rFonts w:hint="eastAsia"/>
          <w:color w:val="000000"/>
          <w:kern w:val="0"/>
          <w:sz w:val="18"/>
          <w:szCs w:val="18"/>
        </w:rPr>
        <w:t>注：省建设行政主管部门可以根据实际情况，适时对评标专家库的专业类别设置进行调整。</w:t>
      </w:r>
    </w:p>
    <w:p>
      <w:pPr>
        <w:shd w:val="clear" w:color="auto" w:fill="FFFFFF"/>
        <w:spacing w:line="440" w:lineRule="atLeast"/>
        <w:jc w:val="left"/>
        <w:rPr>
          <w:rFonts w:ascii="Times New Roman" w:eastAsia="黑体"/>
          <w:color w:val="000000"/>
          <w:kern w:val="0"/>
          <w:szCs w:val="21"/>
        </w:rPr>
      </w:pPr>
      <w:r>
        <w:rPr>
          <w:color w:val="000000"/>
          <w:kern w:val="0"/>
          <w:szCs w:val="21"/>
        </w:rPr>
        <w:br w:type="column"/>
      </w:r>
      <w:r>
        <w:rPr>
          <w:rFonts w:hint="eastAsia" w:ascii="Times New Roman" w:eastAsia="黑体"/>
          <w:color w:val="000000"/>
          <w:kern w:val="0"/>
          <w:sz w:val="28"/>
          <w:szCs w:val="28"/>
        </w:rPr>
        <w:t>附件2:</w:t>
      </w:r>
    </w:p>
    <w:p>
      <w:pPr>
        <w:shd w:val="clear" w:color="auto" w:fill="FFFFFF"/>
        <w:jc w:val="center"/>
        <w:rPr>
          <w:rFonts w:hint="eastAsia" w:ascii="Times New Roman" w:eastAsia="方正小标宋简体"/>
          <w:color w:val="000000"/>
          <w:kern w:val="0"/>
          <w:szCs w:val="21"/>
        </w:rPr>
      </w:pPr>
      <w:r>
        <w:rPr>
          <w:rFonts w:hint="eastAsia" w:ascii="Times New Roman" w:eastAsia="方正小标宋简体"/>
          <w:bCs/>
          <w:color w:val="000000"/>
          <w:kern w:val="0"/>
          <w:sz w:val="36"/>
          <w:szCs w:val="36"/>
        </w:rPr>
        <w:t>评标专家资格条件</w:t>
      </w:r>
    </w:p>
    <w:p>
      <w:pPr>
        <w:shd w:val="clear" w:color="auto" w:fill="FFFFFF"/>
        <w:spacing w:line="460" w:lineRule="exact"/>
        <w:rPr>
          <w:rFonts w:hint="eastAsia" w:eastAsia="方正仿宋_GBK"/>
          <w:color w:val="000000"/>
          <w:kern w:val="0"/>
          <w:sz w:val="24"/>
        </w:rPr>
      </w:pPr>
      <w:r>
        <w:rPr>
          <w:color w:val="000000"/>
          <w:kern w:val="0"/>
          <w:sz w:val="24"/>
        </w:rPr>
        <w:t> </w:t>
      </w:r>
    </w:p>
    <w:p>
      <w:pPr>
        <w:shd w:val="clear" w:color="auto" w:fill="FFFFFF"/>
        <w:spacing w:line="460" w:lineRule="exact"/>
        <w:ind w:firstLine="472" w:firstLineChars="200"/>
        <w:rPr>
          <w:rFonts w:ascii="Times New Roman" w:eastAsia="黑体"/>
          <w:color w:val="000000"/>
          <w:kern w:val="0"/>
          <w:sz w:val="24"/>
        </w:rPr>
      </w:pPr>
      <w:r>
        <w:rPr>
          <w:rFonts w:eastAsia="黑体"/>
          <w:bCs/>
          <w:color w:val="000000"/>
          <w:kern w:val="0"/>
          <w:sz w:val="24"/>
        </w:rPr>
        <w:t> </w:t>
      </w:r>
      <w:r>
        <w:rPr>
          <w:rFonts w:hint="eastAsia" w:ascii="Times New Roman" w:eastAsia="黑体"/>
          <w:bCs/>
          <w:color w:val="000000"/>
          <w:kern w:val="0"/>
          <w:sz w:val="24"/>
        </w:rPr>
        <w:t>一、普通评标专家条件</w:t>
      </w:r>
    </w:p>
    <w:p>
      <w:pPr>
        <w:shd w:val="clear" w:color="auto" w:fill="FFFFFF"/>
        <w:spacing w:line="460" w:lineRule="exact"/>
        <w:ind w:firstLine="472" w:firstLineChars="200"/>
        <w:rPr>
          <w:rFonts w:hint="eastAsia" w:eastAsia="方正仿宋_GBK"/>
          <w:color w:val="000000"/>
          <w:kern w:val="0"/>
          <w:sz w:val="24"/>
        </w:rPr>
      </w:pPr>
      <w:r>
        <w:rPr>
          <w:rFonts w:hint="eastAsia" w:eastAsia="方正仿宋_GBK"/>
          <w:color w:val="000000"/>
          <w:kern w:val="0"/>
          <w:sz w:val="24"/>
        </w:rPr>
        <w:t>（一）熟悉国家、省以及当地政府制定的有关建设工程招标投标的法律、法规、规章和标准规范；</w:t>
      </w:r>
    </w:p>
    <w:p>
      <w:pPr>
        <w:shd w:val="clear" w:color="auto" w:fill="FFFFFF"/>
        <w:spacing w:line="460" w:lineRule="exact"/>
        <w:ind w:firstLine="472" w:firstLineChars="200"/>
        <w:rPr>
          <w:rFonts w:eastAsia="方正仿宋_GBK"/>
          <w:color w:val="000000"/>
          <w:kern w:val="0"/>
          <w:sz w:val="24"/>
        </w:rPr>
      </w:pPr>
      <w:r>
        <w:rPr>
          <w:rFonts w:hint="eastAsia" w:eastAsia="方正仿宋_GBK"/>
          <w:color w:val="000000"/>
          <w:kern w:val="0"/>
          <w:sz w:val="24"/>
        </w:rPr>
        <w:t>（二）能够熟练操作计算机；</w:t>
      </w:r>
    </w:p>
    <w:p>
      <w:pPr>
        <w:shd w:val="clear" w:color="auto" w:fill="FFFFFF"/>
        <w:spacing w:line="460" w:lineRule="exact"/>
        <w:ind w:firstLine="472" w:firstLineChars="200"/>
        <w:rPr>
          <w:rFonts w:eastAsia="方正仿宋_GBK"/>
          <w:color w:val="000000"/>
          <w:kern w:val="0"/>
          <w:sz w:val="24"/>
        </w:rPr>
      </w:pPr>
      <w:r>
        <w:rPr>
          <w:rFonts w:hint="eastAsia" w:eastAsia="方正仿宋_GBK"/>
          <w:color w:val="000000"/>
          <w:kern w:val="0"/>
          <w:sz w:val="24"/>
        </w:rPr>
        <w:t>（三）能够认真、公正、诚实、廉洁地履行职责；</w:t>
      </w:r>
    </w:p>
    <w:p>
      <w:pPr>
        <w:shd w:val="clear" w:color="auto" w:fill="FFFFFF"/>
        <w:spacing w:line="460" w:lineRule="exact"/>
        <w:ind w:firstLine="472" w:firstLineChars="200"/>
        <w:rPr>
          <w:rFonts w:eastAsia="方正仿宋_GBK"/>
          <w:color w:val="000000"/>
          <w:kern w:val="0"/>
          <w:sz w:val="24"/>
        </w:rPr>
      </w:pPr>
      <w:r>
        <w:rPr>
          <w:rFonts w:hint="eastAsia" w:eastAsia="方正仿宋_GBK"/>
          <w:color w:val="000000"/>
          <w:kern w:val="0"/>
          <w:sz w:val="24"/>
        </w:rPr>
        <w:t>（四）职业道德良好，遵纪守法，无不良行为记录；</w:t>
      </w:r>
    </w:p>
    <w:p>
      <w:pPr>
        <w:shd w:val="clear" w:color="auto" w:fill="FFFFFF"/>
        <w:spacing w:line="460" w:lineRule="exact"/>
        <w:ind w:firstLine="472" w:firstLineChars="200"/>
        <w:rPr>
          <w:rFonts w:eastAsia="方正仿宋_GBK"/>
          <w:color w:val="000000"/>
          <w:kern w:val="0"/>
          <w:sz w:val="24"/>
        </w:rPr>
      </w:pPr>
      <w:r>
        <w:rPr>
          <w:rFonts w:hint="eastAsia" w:eastAsia="方正仿宋_GBK"/>
          <w:color w:val="000000"/>
          <w:kern w:val="0"/>
          <w:sz w:val="24"/>
        </w:rPr>
        <w:t>（五）身体健康，能够胜任评标工作，年龄一般在</w:t>
      </w:r>
      <w:r>
        <w:rPr>
          <w:rFonts w:eastAsia="方正仿宋_GBK"/>
          <w:color w:val="000000"/>
          <w:kern w:val="0"/>
          <w:sz w:val="24"/>
        </w:rPr>
        <w:t>35</w:t>
      </w:r>
      <w:r>
        <w:rPr>
          <w:rFonts w:hint="eastAsia" w:eastAsia="方正仿宋_GBK"/>
          <w:color w:val="000000"/>
          <w:kern w:val="0"/>
          <w:sz w:val="24"/>
        </w:rPr>
        <w:t>周岁以上</w:t>
      </w:r>
      <w:r>
        <w:rPr>
          <w:rFonts w:eastAsia="方正仿宋_GBK"/>
          <w:color w:val="000000"/>
          <w:kern w:val="0"/>
          <w:sz w:val="24"/>
        </w:rPr>
        <w:t>65</w:t>
      </w:r>
      <w:r>
        <w:rPr>
          <w:rFonts w:hint="eastAsia" w:eastAsia="方正仿宋_GBK"/>
          <w:color w:val="000000"/>
          <w:kern w:val="0"/>
          <w:sz w:val="24"/>
        </w:rPr>
        <w:t>周岁以下；</w:t>
      </w:r>
    </w:p>
    <w:p>
      <w:pPr>
        <w:shd w:val="clear" w:color="auto" w:fill="FFFFFF"/>
        <w:spacing w:line="460" w:lineRule="exact"/>
        <w:ind w:firstLine="472" w:firstLineChars="200"/>
        <w:rPr>
          <w:rFonts w:eastAsia="方正仿宋_GBK"/>
          <w:color w:val="000000"/>
          <w:kern w:val="0"/>
          <w:sz w:val="24"/>
        </w:rPr>
      </w:pPr>
      <w:r>
        <w:rPr>
          <w:rFonts w:hint="eastAsia" w:eastAsia="方正仿宋_GBK"/>
          <w:color w:val="000000"/>
          <w:kern w:val="0"/>
          <w:sz w:val="24"/>
        </w:rPr>
        <w:t>（六）从事相关领域工作满</w:t>
      </w:r>
      <w:r>
        <w:rPr>
          <w:rFonts w:eastAsia="方正仿宋_GBK"/>
          <w:color w:val="000000"/>
          <w:kern w:val="0"/>
          <w:sz w:val="24"/>
        </w:rPr>
        <w:t>8</w:t>
      </w:r>
      <w:r>
        <w:rPr>
          <w:rFonts w:hint="eastAsia" w:eastAsia="方正仿宋_GBK"/>
          <w:color w:val="000000"/>
          <w:kern w:val="0"/>
          <w:sz w:val="24"/>
        </w:rPr>
        <w:t>年，担任过</w:t>
      </w:r>
      <w:r>
        <w:rPr>
          <w:rFonts w:eastAsia="方正仿宋_GBK"/>
          <w:color w:val="000000"/>
          <w:kern w:val="0"/>
          <w:sz w:val="24"/>
        </w:rPr>
        <w:t>3</w:t>
      </w:r>
      <w:r>
        <w:rPr>
          <w:rFonts w:hint="eastAsia" w:eastAsia="方正仿宋_GBK"/>
          <w:color w:val="000000"/>
          <w:kern w:val="0"/>
          <w:sz w:val="24"/>
        </w:rPr>
        <w:t>项及以上工程建设或者施工技术、经济负责人或者总监理工程师，或者在技术创新、新技术推广应用以及解决工程建设技术难题方面成效显著。具有工程类高级职称；或者取得工程类中级职称满</w:t>
      </w:r>
      <w:r>
        <w:rPr>
          <w:rFonts w:eastAsia="方正仿宋_GBK"/>
          <w:color w:val="000000"/>
          <w:kern w:val="0"/>
          <w:sz w:val="24"/>
        </w:rPr>
        <w:t>5</w:t>
      </w:r>
      <w:r>
        <w:rPr>
          <w:rFonts w:hint="eastAsia" w:eastAsia="方正仿宋_GBK"/>
          <w:color w:val="000000"/>
          <w:kern w:val="0"/>
          <w:sz w:val="24"/>
        </w:rPr>
        <w:t>年并具有国家注册的建造师、城市规划师、监理工程师、结构工程师、造价工程师、设备工程师等执业资格；或者从事相关领域工作满</w:t>
      </w:r>
      <w:r>
        <w:rPr>
          <w:rFonts w:eastAsia="方正仿宋_GBK"/>
          <w:color w:val="000000"/>
          <w:kern w:val="0"/>
          <w:sz w:val="24"/>
        </w:rPr>
        <w:t>15</w:t>
      </w:r>
      <w:r>
        <w:rPr>
          <w:rFonts w:hint="eastAsia" w:eastAsia="方正仿宋_GBK"/>
          <w:color w:val="000000"/>
          <w:kern w:val="0"/>
          <w:sz w:val="24"/>
        </w:rPr>
        <w:t>年，取得工程类中级职称满８年。</w:t>
      </w:r>
    </w:p>
    <w:p>
      <w:pPr>
        <w:shd w:val="clear" w:color="auto" w:fill="FFFFFF"/>
        <w:spacing w:line="460" w:lineRule="exact"/>
        <w:ind w:firstLine="472" w:firstLineChars="200"/>
        <w:rPr>
          <w:rFonts w:eastAsia="方正仿宋_GBK"/>
          <w:color w:val="000000"/>
          <w:kern w:val="0"/>
          <w:sz w:val="24"/>
        </w:rPr>
      </w:pPr>
      <w:r>
        <w:rPr>
          <w:rFonts w:hint="eastAsia" w:eastAsia="方正仿宋_GBK"/>
          <w:color w:val="000000"/>
          <w:kern w:val="0"/>
          <w:sz w:val="24"/>
        </w:rPr>
        <w:t>申报勘察设计专业应具备以下条件：从事勘察设计工作满</w:t>
      </w:r>
      <w:r>
        <w:rPr>
          <w:rFonts w:eastAsia="方正仿宋_GBK"/>
          <w:color w:val="000000"/>
          <w:kern w:val="0"/>
          <w:sz w:val="24"/>
        </w:rPr>
        <w:t>10</w:t>
      </w:r>
      <w:r>
        <w:rPr>
          <w:rFonts w:hint="eastAsia" w:eastAsia="方正仿宋_GBK"/>
          <w:color w:val="000000"/>
          <w:kern w:val="0"/>
          <w:sz w:val="24"/>
        </w:rPr>
        <w:t>年，作为项目负责人或者专业技术负责人完成的中型及以上工程项目不少于</w:t>
      </w:r>
      <w:r>
        <w:rPr>
          <w:rFonts w:eastAsia="方正仿宋_GBK"/>
          <w:color w:val="000000"/>
          <w:kern w:val="0"/>
          <w:sz w:val="24"/>
        </w:rPr>
        <w:t>3</w:t>
      </w:r>
      <w:r>
        <w:rPr>
          <w:rFonts w:hint="eastAsia" w:eastAsia="方正仿宋_GBK"/>
          <w:color w:val="000000"/>
          <w:kern w:val="0"/>
          <w:sz w:val="24"/>
        </w:rPr>
        <w:t>项。已实行注册执业制度的专业应具有相应专业的注册执业资格（其中建筑、结构专业应分别具有一级注册建筑师、一级注册结构工程师执业资格），并具有工程类高级职称或者取得工程类中级职称满</w:t>
      </w:r>
      <w:r>
        <w:rPr>
          <w:rFonts w:eastAsia="方正仿宋_GBK"/>
          <w:color w:val="000000"/>
          <w:kern w:val="0"/>
          <w:sz w:val="24"/>
        </w:rPr>
        <w:t>5</w:t>
      </w:r>
      <w:r>
        <w:rPr>
          <w:rFonts w:hint="eastAsia" w:eastAsia="方正仿宋_GBK"/>
          <w:color w:val="000000"/>
          <w:kern w:val="0"/>
          <w:sz w:val="24"/>
        </w:rPr>
        <w:t>年，其他勘察设计专业应具有工程类高级职称。</w:t>
      </w:r>
    </w:p>
    <w:p>
      <w:pPr>
        <w:shd w:val="clear" w:color="auto" w:fill="FFFFFF"/>
        <w:spacing w:line="460" w:lineRule="exact"/>
        <w:ind w:firstLine="472" w:firstLineChars="200"/>
        <w:rPr>
          <w:rFonts w:eastAsia="黑体"/>
          <w:bCs/>
          <w:color w:val="000000"/>
          <w:kern w:val="0"/>
          <w:sz w:val="24"/>
        </w:rPr>
      </w:pPr>
      <w:r>
        <w:rPr>
          <w:rFonts w:hint="eastAsia" w:eastAsia="黑体"/>
          <w:bCs/>
          <w:color w:val="000000"/>
          <w:kern w:val="0"/>
          <w:sz w:val="24"/>
        </w:rPr>
        <w:t>二、资深评标专家条件</w:t>
      </w:r>
    </w:p>
    <w:p>
      <w:pPr>
        <w:shd w:val="clear" w:color="auto" w:fill="FFFFFF"/>
        <w:spacing w:line="460" w:lineRule="exact"/>
        <w:ind w:firstLine="472" w:firstLineChars="200"/>
        <w:rPr>
          <w:rFonts w:eastAsia="方正仿宋_GBK"/>
          <w:color w:val="000000"/>
          <w:kern w:val="0"/>
          <w:sz w:val="24"/>
        </w:rPr>
      </w:pPr>
      <w:r>
        <w:rPr>
          <w:rFonts w:hint="eastAsia" w:eastAsia="方正仿宋_GBK"/>
          <w:color w:val="000000"/>
          <w:kern w:val="0"/>
          <w:sz w:val="24"/>
        </w:rPr>
        <w:t>资深评标专家除应满足普通评标专家（一）至（四）条件外，还应当具备以下条件：</w:t>
      </w:r>
    </w:p>
    <w:p>
      <w:pPr>
        <w:shd w:val="clear" w:color="auto" w:fill="FFFFFF"/>
        <w:spacing w:line="460" w:lineRule="exact"/>
        <w:ind w:firstLine="472" w:firstLineChars="200"/>
        <w:rPr>
          <w:rFonts w:eastAsia="方正仿宋_GBK"/>
          <w:color w:val="000000"/>
          <w:kern w:val="0"/>
          <w:sz w:val="24"/>
        </w:rPr>
      </w:pPr>
      <w:r>
        <w:rPr>
          <w:rFonts w:hint="eastAsia" w:eastAsia="方正仿宋_GBK"/>
          <w:color w:val="000000"/>
          <w:kern w:val="0"/>
          <w:sz w:val="24"/>
        </w:rPr>
        <w:t>（一）一般应有</w:t>
      </w:r>
      <w:r>
        <w:rPr>
          <w:rFonts w:eastAsia="方正仿宋_GBK"/>
          <w:color w:val="000000"/>
          <w:kern w:val="0"/>
          <w:sz w:val="24"/>
        </w:rPr>
        <w:t>8</w:t>
      </w:r>
      <w:r>
        <w:rPr>
          <w:rFonts w:hint="eastAsia" w:eastAsia="方正仿宋_GBK"/>
          <w:color w:val="000000"/>
          <w:kern w:val="0"/>
          <w:sz w:val="24"/>
        </w:rPr>
        <w:t>年以上评标专家工作经历且考核优良（特殊情况经批准可以适当放宽）；</w:t>
      </w:r>
    </w:p>
    <w:p>
      <w:pPr>
        <w:shd w:val="clear" w:color="auto" w:fill="FFFFFF"/>
        <w:spacing w:line="460" w:lineRule="exact"/>
        <w:ind w:firstLine="472" w:firstLineChars="200"/>
        <w:rPr>
          <w:rFonts w:eastAsia="方正仿宋_GBK"/>
          <w:color w:val="000000"/>
          <w:kern w:val="0"/>
          <w:sz w:val="24"/>
        </w:rPr>
      </w:pPr>
      <w:r>
        <w:rPr>
          <w:rFonts w:eastAsia="方正仿宋_GBK"/>
          <w:color w:val="000000"/>
          <w:kern w:val="0"/>
          <w:sz w:val="24"/>
        </w:rPr>
        <w:t>(</w:t>
      </w:r>
      <w:r>
        <w:rPr>
          <w:rFonts w:hint="eastAsia" w:eastAsia="方正仿宋_GBK"/>
          <w:color w:val="000000"/>
          <w:kern w:val="0"/>
          <w:sz w:val="24"/>
        </w:rPr>
        <w:t>二</w:t>
      </w:r>
      <w:r>
        <w:rPr>
          <w:rFonts w:eastAsia="方正仿宋_GBK"/>
          <w:color w:val="000000"/>
          <w:kern w:val="0"/>
          <w:sz w:val="24"/>
        </w:rPr>
        <w:t>)</w:t>
      </w:r>
      <w:r>
        <w:rPr>
          <w:rFonts w:hint="eastAsia" w:eastAsia="方正仿宋_GBK"/>
          <w:color w:val="000000"/>
          <w:kern w:val="0"/>
          <w:sz w:val="24"/>
        </w:rPr>
        <w:t>身体健康，能够胜任评标工作，年龄在</w:t>
      </w:r>
      <w:r>
        <w:rPr>
          <w:rFonts w:eastAsia="方正仿宋_GBK"/>
          <w:color w:val="000000"/>
          <w:kern w:val="0"/>
          <w:sz w:val="24"/>
        </w:rPr>
        <w:t>70</w:t>
      </w:r>
      <w:r>
        <w:rPr>
          <w:rFonts w:hint="eastAsia" w:eastAsia="方正仿宋_GBK"/>
          <w:color w:val="000000"/>
          <w:kern w:val="0"/>
          <w:sz w:val="24"/>
        </w:rPr>
        <w:t>周岁以下（全国工程勘察设计大师的年龄不受限制）；凡评标专家年龄超过</w:t>
      </w:r>
      <w:r>
        <w:rPr>
          <w:rFonts w:eastAsia="方正仿宋_GBK"/>
          <w:color w:val="000000"/>
          <w:kern w:val="0"/>
          <w:sz w:val="24"/>
        </w:rPr>
        <w:t>65</w:t>
      </w:r>
      <w:r>
        <w:rPr>
          <w:rFonts w:hint="eastAsia" w:eastAsia="方正仿宋_GBK"/>
          <w:color w:val="000000"/>
          <w:kern w:val="0"/>
          <w:sz w:val="24"/>
        </w:rPr>
        <w:t>周岁的评标专家，本人应当向属地招投标监管机构提交书面申请材料，对本人的身体状况、专业能力等方面进行说明，经属地招投标监管机构初审合格后予以推荐同意后申报</w:t>
      </w:r>
      <w:r>
        <w:rPr>
          <w:rFonts w:eastAsia="方正仿宋_GBK"/>
          <w:color w:val="000000"/>
          <w:kern w:val="0"/>
          <w:sz w:val="24"/>
        </w:rPr>
        <w:t xml:space="preserve">                                       </w:t>
      </w:r>
    </w:p>
    <w:p>
      <w:pPr>
        <w:shd w:val="clear" w:color="auto" w:fill="FFFFFF"/>
        <w:spacing w:line="460" w:lineRule="exact"/>
        <w:ind w:firstLine="472" w:firstLineChars="200"/>
        <w:rPr>
          <w:rFonts w:eastAsia="方正仿宋_GBK"/>
          <w:color w:val="000000"/>
          <w:kern w:val="0"/>
          <w:sz w:val="24"/>
        </w:rPr>
      </w:pPr>
      <w:r>
        <w:rPr>
          <w:rFonts w:hint="eastAsia" w:eastAsia="方正仿宋_GBK"/>
          <w:color w:val="000000"/>
          <w:kern w:val="0"/>
          <w:sz w:val="24"/>
        </w:rPr>
        <w:t>（三）具有工程类正高级职称，或者工程类高级职称满五年并取得国家注册的建造师、城市规划师、监理工程师、结构工程师、造价工程师、设备工程师等执业资格，有大型工程或者技术特别复杂工程建设及管理的经历，担任过</w:t>
      </w:r>
      <w:r>
        <w:rPr>
          <w:rFonts w:eastAsia="方正仿宋_GBK"/>
          <w:color w:val="000000"/>
          <w:kern w:val="0"/>
          <w:sz w:val="24"/>
        </w:rPr>
        <w:t>2</w:t>
      </w:r>
      <w:r>
        <w:rPr>
          <w:rFonts w:hint="eastAsia" w:eastAsia="方正仿宋_GBK"/>
          <w:color w:val="000000"/>
          <w:kern w:val="0"/>
          <w:sz w:val="24"/>
        </w:rPr>
        <w:t>项及以上国家、省重点工程建设或者施工技术、经济负责人或者总监理工程师，或者在技术创新、新技术推广应用以及解决重大工程建设技术难题方面成效显著，或者获省部级科技进步三等奖以上奖项的前</w:t>
      </w:r>
      <w:r>
        <w:rPr>
          <w:rFonts w:eastAsia="方正仿宋_GBK"/>
          <w:color w:val="000000"/>
          <w:kern w:val="0"/>
          <w:sz w:val="24"/>
        </w:rPr>
        <w:t>5</w:t>
      </w:r>
      <w:r>
        <w:rPr>
          <w:rFonts w:hint="eastAsia" w:eastAsia="方正仿宋_GBK"/>
          <w:color w:val="000000"/>
          <w:kern w:val="0"/>
          <w:sz w:val="24"/>
        </w:rPr>
        <w:t>位人员。</w:t>
      </w:r>
    </w:p>
    <w:p>
      <w:pPr>
        <w:shd w:val="clear" w:color="auto" w:fill="FFFFFF"/>
        <w:spacing w:line="460" w:lineRule="exact"/>
        <w:ind w:firstLine="472" w:firstLineChars="200"/>
        <w:rPr>
          <w:rFonts w:eastAsia="方正仿宋_GBK"/>
          <w:color w:val="000000"/>
          <w:kern w:val="0"/>
          <w:sz w:val="24"/>
        </w:rPr>
      </w:pPr>
      <w:r>
        <w:rPr>
          <w:rFonts w:hint="eastAsia" w:eastAsia="方正仿宋_GBK"/>
          <w:color w:val="000000"/>
          <w:kern w:val="0"/>
          <w:sz w:val="24"/>
        </w:rPr>
        <w:t>申报勘察设计专业应具备以下条件：</w:t>
      </w:r>
    </w:p>
    <w:p>
      <w:pPr>
        <w:shd w:val="clear" w:color="auto" w:fill="FFFFFF"/>
        <w:spacing w:line="460" w:lineRule="exact"/>
        <w:ind w:firstLine="472" w:firstLineChars="200"/>
        <w:rPr>
          <w:rFonts w:eastAsia="方正仿宋_GBK"/>
          <w:color w:val="000000"/>
          <w:kern w:val="0"/>
          <w:sz w:val="24"/>
        </w:rPr>
      </w:pPr>
      <w:r>
        <w:rPr>
          <w:rFonts w:eastAsia="方正仿宋_GBK"/>
          <w:color w:val="000000"/>
          <w:kern w:val="0"/>
          <w:sz w:val="24"/>
        </w:rPr>
        <w:t>1</w:t>
      </w:r>
      <w:r>
        <w:rPr>
          <w:rFonts w:hint="eastAsia" w:eastAsia="方正仿宋_GBK"/>
          <w:color w:val="000000"/>
          <w:kern w:val="0"/>
          <w:sz w:val="24"/>
        </w:rPr>
        <w:t>、获得省级及以上勘察设计大师称号，或者具有工程类正高级职称（高校人员取得高级职称满</w:t>
      </w:r>
      <w:r>
        <w:rPr>
          <w:rFonts w:eastAsia="方正仿宋_GBK"/>
          <w:color w:val="000000"/>
          <w:kern w:val="0"/>
          <w:sz w:val="24"/>
        </w:rPr>
        <w:t>5</w:t>
      </w:r>
      <w:r>
        <w:rPr>
          <w:rFonts w:hint="eastAsia" w:eastAsia="方正仿宋_GBK"/>
          <w:color w:val="000000"/>
          <w:kern w:val="0"/>
          <w:sz w:val="24"/>
        </w:rPr>
        <w:t>年），已实行注册执业制度的专业应具有相应专业的注册执业资格，其中建筑、结构专业应分别具有一级注册建筑师、一级注册结构工程师执业资格。</w:t>
      </w:r>
    </w:p>
    <w:p>
      <w:pPr>
        <w:shd w:val="clear" w:color="auto" w:fill="FFFFFF"/>
        <w:spacing w:line="460" w:lineRule="exact"/>
        <w:ind w:firstLine="472" w:firstLineChars="200"/>
        <w:rPr>
          <w:rFonts w:eastAsia="方正仿宋_GBK"/>
          <w:color w:val="000000"/>
          <w:kern w:val="0"/>
          <w:sz w:val="24"/>
        </w:rPr>
      </w:pPr>
      <w:r>
        <w:rPr>
          <w:rFonts w:eastAsia="方正仿宋_GBK"/>
          <w:color w:val="000000"/>
          <w:kern w:val="0"/>
          <w:sz w:val="24"/>
        </w:rPr>
        <w:t>2</w:t>
      </w:r>
      <w:r>
        <w:rPr>
          <w:rFonts w:hint="eastAsia" w:eastAsia="方正仿宋_GBK"/>
          <w:color w:val="000000"/>
          <w:kern w:val="0"/>
          <w:sz w:val="24"/>
        </w:rPr>
        <w:t>、自取得大学本科学历后，累计从事工程勘察设计工作（含研究生就读时间）</w:t>
      </w:r>
      <w:r>
        <w:rPr>
          <w:rFonts w:eastAsia="方正仿宋_GBK"/>
          <w:color w:val="000000"/>
          <w:kern w:val="0"/>
          <w:sz w:val="24"/>
        </w:rPr>
        <w:t>20</w:t>
      </w:r>
      <w:r>
        <w:rPr>
          <w:rFonts w:hint="eastAsia" w:eastAsia="方正仿宋_GBK"/>
          <w:color w:val="000000"/>
          <w:kern w:val="0"/>
          <w:sz w:val="24"/>
        </w:rPr>
        <w:t>年以上；</w:t>
      </w:r>
    </w:p>
    <w:p>
      <w:pPr>
        <w:shd w:val="clear" w:color="auto" w:fill="FFFFFF"/>
        <w:spacing w:line="460" w:lineRule="exact"/>
        <w:ind w:firstLine="472" w:firstLineChars="200"/>
        <w:rPr>
          <w:rFonts w:eastAsia="方正仿宋_GBK"/>
          <w:color w:val="000000"/>
          <w:spacing w:val="-2"/>
          <w:sz w:val="24"/>
        </w:rPr>
      </w:pPr>
      <w:r>
        <w:rPr>
          <w:rFonts w:eastAsia="方正仿宋_GBK"/>
          <w:color w:val="000000"/>
          <w:kern w:val="0"/>
          <w:sz w:val="24"/>
        </w:rPr>
        <w:t>3</w:t>
      </w:r>
      <w:r>
        <w:rPr>
          <w:rFonts w:hint="eastAsia" w:eastAsia="方正仿宋_GBK"/>
          <w:color w:val="000000"/>
          <w:kern w:val="0"/>
          <w:sz w:val="24"/>
        </w:rPr>
        <w:t>、在技术创新、新技术推广应用以及解决重大工程建设技术难题方面成效显著，作为项目负责人或者专业技术负责人至少获得过一项省（部）级优秀工程勘察设计二等奖以上奖项，其中建筑专业人员完成的民用建筑项目须为项目负责人。</w:t>
      </w:r>
    </w:p>
    <w:p>
      <w:pPr>
        <w:pStyle w:val="2"/>
        <w:spacing w:before="590" w:beforeLines="100" w:after="590" w:afterLines="100" w:line="240" w:lineRule="auto"/>
        <w:jc w:val="center"/>
        <w:rPr>
          <w:rFonts w:ascii="Times New Roman" w:eastAsia="方正小标宋_GBK"/>
          <w:b w:val="0"/>
          <w:sz w:val="36"/>
          <w:szCs w:val="36"/>
        </w:rPr>
      </w:pPr>
      <w:r>
        <w:rPr>
          <w:rFonts w:eastAsia="方正仿宋_GBK"/>
          <w:b w:val="0"/>
          <w:color w:val="000000"/>
          <w:spacing w:val="-2"/>
          <w:sz w:val="24"/>
        </w:rPr>
        <w:br w:type="column"/>
      </w:r>
      <w:bookmarkStart w:id="712" w:name="_Toc20726715"/>
      <w:bookmarkStart w:id="713" w:name="_Toc18315851"/>
      <w:r>
        <w:rPr>
          <w:rFonts w:hint="eastAsia" w:ascii="Times New Roman" w:eastAsia="方正小标宋_GBK"/>
          <w:b w:val="0"/>
          <w:sz w:val="36"/>
          <w:szCs w:val="36"/>
        </w:rPr>
        <w:t>江苏省住房和城乡建设厅关于明确非国有资金投资工程发包方式等有关问题的通知</w:t>
      </w:r>
      <w:bookmarkEnd w:id="712"/>
      <w:bookmarkEnd w:id="713"/>
    </w:p>
    <w:p>
      <w:pPr>
        <w:pStyle w:val="3"/>
        <w:spacing w:before="590" w:beforeLines="100" w:after="590" w:afterLines="100" w:line="240" w:lineRule="auto"/>
        <w:jc w:val="center"/>
        <w:rPr>
          <w:rFonts w:hint="eastAsia" w:ascii="Times New Roman" w:hAnsi="Times New Roman" w:eastAsia="方正楷体_GBK"/>
          <w:b w:val="0"/>
          <w:sz w:val="24"/>
          <w:szCs w:val="24"/>
        </w:rPr>
      </w:pPr>
      <w:bookmarkStart w:id="714" w:name="_Toc20726716"/>
      <w:bookmarkStart w:id="715" w:name="_Toc18315852"/>
      <w:r>
        <w:rPr>
          <w:rFonts w:hint="eastAsia" w:ascii="Times New Roman" w:hAnsi="Times New Roman" w:eastAsia="方正楷体_GBK"/>
          <w:b w:val="0"/>
          <w:sz w:val="24"/>
          <w:szCs w:val="24"/>
        </w:rPr>
        <w:t>苏建招〔</w:t>
      </w:r>
      <w:r>
        <w:rPr>
          <w:rFonts w:ascii="Times New Roman" w:hAnsi="Times New Roman" w:eastAsia="方正楷体_GBK"/>
          <w:b w:val="0"/>
          <w:sz w:val="24"/>
          <w:szCs w:val="24"/>
        </w:rPr>
        <w:t>2015</w:t>
      </w:r>
      <w:r>
        <w:rPr>
          <w:rFonts w:hint="eastAsia" w:ascii="Times New Roman" w:hAnsi="Times New Roman" w:eastAsia="方正楷体_GBK"/>
          <w:b w:val="0"/>
          <w:sz w:val="24"/>
          <w:szCs w:val="24"/>
        </w:rPr>
        <w:t>〕</w:t>
      </w:r>
      <w:r>
        <w:rPr>
          <w:rFonts w:ascii="Times New Roman" w:hAnsi="Times New Roman" w:eastAsia="方正楷体_GBK"/>
          <w:b w:val="0"/>
          <w:sz w:val="24"/>
          <w:szCs w:val="24"/>
        </w:rPr>
        <w:t>29</w:t>
      </w:r>
      <w:r>
        <w:rPr>
          <w:rFonts w:hint="eastAsia" w:ascii="Times New Roman" w:hAnsi="Times New Roman" w:eastAsia="方正楷体_GBK"/>
          <w:b w:val="0"/>
          <w:sz w:val="24"/>
          <w:szCs w:val="24"/>
        </w:rPr>
        <w:t>号</w:t>
      </w:r>
      <w:bookmarkEnd w:id="714"/>
      <w:bookmarkEnd w:id="715"/>
    </w:p>
    <w:p>
      <w:pPr>
        <w:shd w:val="clear" w:color="auto" w:fill="FFFFFF"/>
        <w:spacing w:line="460" w:lineRule="exact"/>
        <w:rPr>
          <w:rFonts w:eastAsia="方正仿宋_GBK"/>
          <w:color w:val="000000"/>
          <w:spacing w:val="-2"/>
          <w:kern w:val="0"/>
          <w:sz w:val="24"/>
        </w:rPr>
      </w:pPr>
      <w:r>
        <w:rPr>
          <w:rFonts w:hint="eastAsia" w:eastAsia="方正仿宋_GBK"/>
          <w:color w:val="000000"/>
          <w:spacing w:val="-2"/>
          <w:kern w:val="0"/>
          <w:sz w:val="24"/>
        </w:rPr>
        <w:t>各市、县</w:t>
      </w:r>
      <w:r>
        <w:rPr>
          <w:rFonts w:eastAsia="方正仿宋_GBK"/>
          <w:color w:val="000000"/>
          <w:spacing w:val="-2"/>
          <w:kern w:val="0"/>
          <w:sz w:val="24"/>
        </w:rPr>
        <w:t>(</w:t>
      </w:r>
      <w:r>
        <w:rPr>
          <w:rFonts w:hint="eastAsia" w:eastAsia="方正仿宋_GBK"/>
          <w:color w:val="000000"/>
          <w:spacing w:val="-2"/>
          <w:kern w:val="0"/>
          <w:sz w:val="24"/>
        </w:rPr>
        <w:t>市、区</w:t>
      </w:r>
      <w:r>
        <w:rPr>
          <w:rFonts w:eastAsia="方正仿宋_GBK"/>
          <w:color w:val="000000"/>
          <w:spacing w:val="-2"/>
          <w:kern w:val="0"/>
          <w:sz w:val="24"/>
        </w:rPr>
        <w:t>)</w:t>
      </w:r>
      <w:r>
        <w:rPr>
          <w:rFonts w:hint="eastAsia" w:eastAsia="方正仿宋_GBK"/>
          <w:color w:val="000000"/>
          <w:spacing w:val="-2"/>
          <w:kern w:val="0"/>
          <w:sz w:val="24"/>
        </w:rPr>
        <w:t>建设局（委），各有关单位：</w:t>
      </w:r>
    </w:p>
    <w:p>
      <w:pPr>
        <w:shd w:val="clear" w:color="auto" w:fill="FFFFFF"/>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为贯彻工程质量治理两年行动方案要求</w:t>
      </w:r>
      <w:r>
        <w:rPr>
          <w:rFonts w:eastAsia="方正仿宋_GBK"/>
          <w:color w:val="000000"/>
          <w:spacing w:val="-2"/>
          <w:kern w:val="0"/>
          <w:sz w:val="24"/>
        </w:rPr>
        <w:t>,</w:t>
      </w:r>
      <w:r>
        <w:rPr>
          <w:rFonts w:hint="eastAsia" w:eastAsia="方正仿宋_GBK"/>
          <w:color w:val="000000"/>
          <w:spacing w:val="-2"/>
          <w:kern w:val="0"/>
          <w:sz w:val="24"/>
        </w:rPr>
        <w:t>进一步规范建设市场秩序，根据住房城乡建设部《关于推进建筑业发展和改革的若干意见》（建市〔</w:t>
      </w:r>
      <w:r>
        <w:rPr>
          <w:rFonts w:eastAsia="方正仿宋_GBK"/>
          <w:color w:val="000000"/>
          <w:spacing w:val="-2"/>
          <w:kern w:val="0"/>
          <w:sz w:val="24"/>
        </w:rPr>
        <w:t>2014</w:t>
      </w:r>
      <w:r>
        <w:rPr>
          <w:rFonts w:hint="eastAsia" w:eastAsia="方正仿宋_GBK"/>
          <w:color w:val="000000"/>
          <w:spacing w:val="-2"/>
          <w:kern w:val="0"/>
          <w:sz w:val="24"/>
        </w:rPr>
        <w:t>〕</w:t>
      </w:r>
      <w:r>
        <w:rPr>
          <w:rFonts w:eastAsia="方正仿宋_GBK"/>
          <w:color w:val="000000"/>
          <w:spacing w:val="-2"/>
          <w:kern w:val="0"/>
          <w:sz w:val="24"/>
        </w:rPr>
        <w:t>92</w:t>
      </w:r>
      <w:r>
        <w:rPr>
          <w:rFonts w:hint="eastAsia" w:eastAsia="方正仿宋_GBK"/>
          <w:color w:val="000000"/>
          <w:spacing w:val="-2"/>
          <w:kern w:val="0"/>
          <w:sz w:val="24"/>
        </w:rPr>
        <w:t>号）、住房城乡建设部批复的《江苏省建筑市场监管综合试点工作方案》（建市综函〔</w:t>
      </w:r>
      <w:r>
        <w:rPr>
          <w:rFonts w:eastAsia="方正仿宋_GBK"/>
          <w:color w:val="000000"/>
          <w:spacing w:val="-2"/>
          <w:kern w:val="0"/>
          <w:sz w:val="24"/>
        </w:rPr>
        <w:t>2014)164</w:t>
      </w:r>
      <w:r>
        <w:rPr>
          <w:rFonts w:hint="eastAsia" w:eastAsia="方正仿宋_GBK"/>
          <w:color w:val="000000"/>
          <w:spacing w:val="-2"/>
          <w:kern w:val="0"/>
          <w:sz w:val="24"/>
        </w:rPr>
        <w:t>号），现就非国有资金投资工程发包管理等有关事项通知如下</w:t>
      </w:r>
      <w:r>
        <w:rPr>
          <w:rFonts w:eastAsia="方正仿宋_GBK"/>
          <w:color w:val="000000"/>
          <w:spacing w:val="-2"/>
          <w:kern w:val="0"/>
          <w:sz w:val="24"/>
        </w:rPr>
        <w:t>:</w:t>
      </w:r>
    </w:p>
    <w:p>
      <w:pPr>
        <w:shd w:val="clear" w:color="auto" w:fill="FFFFFF"/>
        <w:spacing w:line="460" w:lineRule="exact"/>
        <w:ind w:firstLine="464" w:firstLineChars="200"/>
        <w:outlineLvl w:val="2"/>
        <w:rPr>
          <w:rFonts w:ascii="Times New Roman" w:eastAsia="方正黑体_GBK"/>
          <w:bCs/>
          <w:color w:val="000000"/>
          <w:spacing w:val="-2"/>
          <w:kern w:val="0"/>
          <w:sz w:val="24"/>
        </w:rPr>
      </w:pPr>
      <w:r>
        <w:rPr>
          <w:rFonts w:hint="eastAsia" w:ascii="Times New Roman" w:eastAsia="方正黑体_GBK"/>
          <w:bCs/>
          <w:color w:val="000000"/>
          <w:spacing w:val="-2"/>
          <w:kern w:val="0"/>
          <w:sz w:val="24"/>
        </w:rPr>
        <w:t>一、调整非国有资金投资工程发包方式</w:t>
      </w:r>
    </w:p>
    <w:p>
      <w:pPr>
        <w:shd w:val="clear" w:color="auto" w:fill="FFFFFF"/>
        <w:spacing w:line="460" w:lineRule="exact"/>
        <w:ind w:firstLine="540"/>
        <w:rPr>
          <w:rFonts w:hint="eastAsia" w:eastAsia="方正仿宋_GBK"/>
          <w:color w:val="000000"/>
          <w:spacing w:val="-2"/>
          <w:kern w:val="0"/>
          <w:sz w:val="24"/>
        </w:rPr>
      </w:pPr>
      <w:r>
        <w:rPr>
          <w:rFonts w:hint="eastAsia" w:eastAsia="方正仿宋_GBK"/>
          <w:color w:val="000000"/>
          <w:spacing w:val="-2"/>
          <w:kern w:val="0"/>
          <w:sz w:val="24"/>
        </w:rPr>
        <w:t>（一）使用非国有资金投资的工业用房、商业用房和商品住宅等房屋建筑工程（包括勘察、设计、施工、监理材料设备等，下同），发包人可以自主决定采用招标发包或直接发包，以及是否进入有形市场进行交易。</w:t>
      </w:r>
    </w:p>
    <w:p>
      <w:pPr>
        <w:shd w:val="clear" w:color="auto" w:fill="FFFFFF"/>
        <w:spacing w:line="460" w:lineRule="exact"/>
        <w:ind w:firstLine="540"/>
        <w:rPr>
          <w:rFonts w:eastAsia="方正仿宋_GBK"/>
          <w:color w:val="000000"/>
          <w:spacing w:val="-2"/>
          <w:kern w:val="0"/>
          <w:sz w:val="24"/>
        </w:rPr>
      </w:pPr>
      <w:r>
        <w:rPr>
          <w:rFonts w:hint="eastAsia" w:eastAsia="方正仿宋_GBK"/>
          <w:color w:val="000000"/>
          <w:spacing w:val="-2"/>
          <w:kern w:val="0"/>
          <w:sz w:val="24"/>
        </w:rPr>
        <w:t>其他非国有资金投资的房屋建筑和市政工程是否进行招标发包，是否进入有形市场进行交易，各地按照住房城乡建设部建市〔</w:t>
      </w:r>
      <w:r>
        <w:rPr>
          <w:rFonts w:eastAsia="方正仿宋_GBK"/>
          <w:color w:val="000000"/>
          <w:spacing w:val="-2"/>
          <w:kern w:val="0"/>
          <w:sz w:val="24"/>
        </w:rPr>
        <w:t>2014</w:t>
      </w:r>
      <w:r>
        <w:rPr>
          <w:rFonts w:hint="eastAsia" w:eastAsia="方正仿宋_GBK"/>
          <w:color w:val="000000"/>
          <w:spacing w:val="-2"/>
          <w:kern w:val="0"/>
          <w:sz w:val="24"/>
        </w:rPr>
        <w:t>〕</w:t>
      </w:r>
      <w:r>
        <w:rPr>
          <w:rFonts w:eastAsia="方正仿宋_GBK"/>
          <w:color w:val="000000"/>
          <w:spacing w:val="-2"/>
          <w:kern w:val="0"/>
          <w:sz w:val="24"/>
        </w:rPr>
        <w:t>92</w:t>
      </w:r>
      <w:r>
        <w:rPr>
          <w:rFonts w:hint="eastAsia" w:eastAsia="方正仿宋_GBK"/>
          <w:color w:val="000000"/>
          <w:spacing w:val="-2"/>
          <w:kern w:val="0"/>
          <w:sz w:val="24"/>
        </w:rPr>
        <w:t>号文件要求试行。</w:t>
      </w:r>
    </w:p>
    <w:p>
      <w:pPr>
        <w:shd w:val="clear" w:color="auto" w:fill="FFFFFF"/>
        <w:spacing w:line="460" w:lineRule="exact"/>
        <w:ind w:firstLine="540"/>
        <w:rPr>
          <w:rFonts w:eastAsia="方正仿宋_GBK"/>
          <w:color w:val="000000"/>
          <w:spacing w:val="-2"/>
          <w:kern w:val="0"/>
          <w:sz w:val="24"/>
        </w:rPr>
      </w:pPr>
      <w:r>
        <w:rPr>
          <w:rFonts w:hint="eastAsia" w:eastAsia="方正仿宋_GBK"/>
          <w:color w:val="000000"/>
          <w:spacing w:val="-2"/>
          <w:kern w:val="0"/>
          <w:sz w:val="24"/>
        </w:rPr>
        <w:t>（二）非国有资金投资工程选择直接发包的，发包人应当依法将工程发包给具有相应资质的承包单位，对勘察、设计、施工、监理、材料设备供应商等单位的选择承担相应的责任。</w:t>
      </w:r>
    </w:p>
    <w:p>
      <w:pPr>
        <w:shd w:val="clear" w:color="auto" w:fill="FFFFFF"/>
        <w:spacing w:line="460" w:lineRule="exact"/>
        <w:ind w:firstLine="540"/>
        <w:rPr>
          <w:rFonts w:eastAsia="方正仿宋_GBK"/>
          <w:color w:val="000000"/>
          <w:spacing w:val="-2"/>
          <w:kern w:val="0"/>
          <w:sz w:val="24"/>
        </w:rPr>
      </w:pPr>
      <w:r>
        <w:rPr>
          <w:rFonts w:hint="eastAsia" w:eastAsia="方正仿宋_GBK"/>
          <w:color w:val="000000"/>
          <w:spacing w:val="-2"/>
          <w:kern w:val="0"/>
          <w:sz w:val="24"/>
        </w:rPr>
        <w:t>各级建设行政主管部门应加强对非国有资金投资工程的日常监管，严格履行基本建设程序，加大检查力度，防止出现无资质或超越资质承揽工程。</w:t>
      </w:r>
    </w:p>
    <w:p>
      <w:pPr>
        <w:shd w:val="clear" w:color="auto" w:fill="FFFFFF"/>
        <w:spacing w:line="460" w:lineRule="exact"/>
        <w:ind w:firstLine="464" w:firstLineChars="200"/>
        <w:outlineLvl w:val="2"/>
        <w:rPr>
          <w:rFonts w:ascii="Times New Roman" w:eastAsia="方正黑体_GBK"/>
          <w:bCs/>
          <w:color w:val="000000"/>
          <w:spacing w:val="-2"/>
          <w:kern w:val="0"/>
          <w:sz w:val="24"/>
        </w:rPr>
      </w:pPr>
      <w:r>
        <w:rPr>
          <w:rFonts w:hint="eastAsia" w:ascii="Times New Roman" w:eastAsia="方正黑体_GBK"/>
          <w:bCs/>
          <w:color w:val="000000"/>
          <w:spacing w:val="-2"/>
          <w:kern w:val="0"/>
          <w:sz w:val="24"/>
        </w:rPr>
        <w:t>二、进一步规范招投标和项目负责人变更备案</w:t>
      </w:r>
    </w:p>
    <w:p>
      <w:pPr>
        <w:shd w:val="clear" w:color="auto" w:fill="FFFFFF"/>
        <w:spacing w:line="460" w:lineRule="exact"/>
        <w:ind w:firstLine="540"/>
        <w:rPr>
          <w:rFonts w:hint="eastAsia" w:eastAsia="方正仿宋_GBK"/>
          <w:color w:val="000000"/>
          <w:spacing w:val="-2"/>
          <w:kern w:val="0"/>
          <w:sz w:val="24"/>
        </w:rPr>
      </w:pPr>
      <w:r>
        <w:rPr>
          <w:rFonts w:hint="eastAsia" w:eastAsia="方正仿宋_GBK"/>
          <w:color w:val="000000"/>
          <w:spacing w:val="-2"/>
          <w:kern w:val="0"/>
          <w:sz w:val="24"/>
        </w:rPr>
        <w:t>（一）招标项目设置的资格条件应符合国家的有关规定，并与项目的具体特点和实际需要相适应，招标人不得设置高于招标项目实际需要和脱离市场实际的不合理条件排斥或限制潜在投标人投标。招标人除应当按照苏建规字〔</w:t>
      </w:r>
      <w:r>
        <w:rPr>
          <w:rFonts w:eastAsia="方正仿宋_GBK"/>
          <w:color w:val="000000"/>
          <w:spacing w:val="-2"/>
          <w:kern w:val="0"/>
          <w:sz w:val="24"/>
        </w:rPr>
        <w:t>2013</w:t>
      </w:r>
      <w:r>
        <w:rPr>
          <w:rFonts w:hint="eastAsia" w:eastAsia="方正仿宋_GBK"/>
          <w:color w:val="000000"/>
          <w:spacing w:val="-2"/>
          <w:kern w:val="0"/>
          <w:sz w:val="24"/>
        </w:rPr>
        <w:t>〕</w:t>
      </w:r>
      <w:r>
        <w:rPr>
          <w:rFonts w:eastAsia="方正仿宋_GBK"/>
          <w:color w:val="000000"/>
          <w:spacing w:val="-2"/>
          <w:kern w:val="0"/>
          <w:sz w:val="24"/>
        </w:rPr>
        <w:t>4</w:t>
      </w:r>
      <w:r>
        <w:rPr>
          <w:rFonts w:hint="eastAsia" w:eastAsia="方正仿宋_GBK"/>
          <w:color w:val="000000"/>
          <w:spacing w:val="-2"/>
          <w:kern w:val="0"/>
          <w:sz w:val="24"/>
        </w:rPr>
        <w:t>号和苏建建管〔</w:t>
      </w:r>
      <w:r>
        <w:rPr>
          <w:rFonts w:eastAsia="方正仿宋_GBK"/>
          <w:color w:val="000000"/>
          <w:spacing w:val="-2"/>
          <w:kern w:val="0"/>
          <w:sz w:val="24"/>
        </w:rPr>
        <w:t>2013</w:t>
      </w:r>
      <w:r>
        <w:rPr>
          <w:rFonts w:hint="eastAsia" w:eastAsia="方正仿宋_GBK"/>
          <w:color w:val="000000"/>
          <w:spacing w:val="-2"/>
          <w:kern w:val="0"/>
          <w:sz w:val="24"/>
        </w:rPr>
        <w:t>〕</w:t>
      </w:r>
      <w:r>
        <w:rPr>
          <w:rFonts w:eastAsia="方正仿宋_GBK"/>
          <w:color w:val="000000"/>
          <w:spacing w:val="-2"/>
          <w:kern w:val="0"/>
          <w:sz w:val="24"/>
        </w:rPr>
        <w:t>671</w:t>
      </w:r>
      <w:r>
        <w:rPr>
          <w:rFonts w:hint="eastAsia" w:eastAsia="方正仿宋_GBK"/>
          <w:color w:val="000000"/>
          <w:spacing w:val="-2"/>
          <w:kern w:val="0"/>
          <w:sz w:val="24"/>
        </w:rPr>
        <w:t>号文件合理划分标段外，单一的房屋建筑或市政工程总承包招标时，一个招标项目（标段）不得要求投标人同时具备两个及以上类别的总承包资质。</w:t>
      </w:r>
    </w:p>
    <w:p>
      <w:pPr>
        <w:shd w:val="clear" w:color="auto" w:fill="FFFFFF"/>
        <w:spacing w:line="460" w:lineRule="exact"/>
        <w:ind w:firstLine="540"/>
        <w:rPr>
          <w:rFonts w:eastAsia="方正仿宋_GBK"/>
          <w:color w:val="000000"/>
          <w:spacing w:val="-2"/>
          <w:kern w:val="0"/>
          <w:sz w:val="24"/>
        </w:rPr>
      </w:pPr>
      <w:r>
        <w:rPr>
          <w:rFonts w:hint="eastAsia" w:eastAsia="方正仿宋_GBK"/>
          <w:color w:val="000000"/>
          <w:spacing w:val="-2"/>
          <w:kern w:val="0"/>
          <w:sz w:val="24"/>
        </w:rPr>
        <w:t>（二）依法公开招标项目的招标公告（资格预审公告）的发布时间，招标文件（资格预审文件）的发售时间，资格预审不合格申请人公示、中标候选人公示的时间均不应当包含连续</w:t>
      </w:r>
      <w:r>
        <w:rPr>
          <w:rFonts w:eastAsia="方正仿宋_GBK"/>
          <w:color w:val="000000"/>
          <w:spacing w:val="-2"/>
          <w:kern w:val="0"/>
          <w:sz w:val="24"/>
        </w:rPr>
        <w:t>3</w:t>
      </w:r>
      <w:r>
        <w:rPr>
          <w:rFonts w:hint="eastAsia" w:eastAsia="方正仿宋_GBK"/>
          <w:color w:val="000000"/>
          <w:spacing w:val="-2"/>
          <w:kern w:val="0"/>
          <w:sz w:val="24"/>
        </w:rPr>
        <w:t>日及以上的节假日时间；最后一日不是工作日的，应当顺延至工作日。</w:t>
      </w:r>
    </w:p>
    <w:p>
      <w:pPr>
        <w:shd w:val="clear" w:color="auto" w:fill="FFFFFF"/>
        <w:spacing w:line="460" w:lineRule="exact"/>
        <w:ind w:firstLine="540"/>
        <w:rPr>
          <w:rFonts w:eastAsia="方正仿宋_GBK"/>
          <w:color w:val="000000"/>
          <w:spacing w:val="-2"/>
          <w:kern w:val="0"/>
          <w:sz w:val="24"/>
        </w:rPr>
      </w:pPr>
      <w:r>
        <w:rPr>
          <w:rFonts w:hint="eastAsia" w:eastAsia="方正仿宋_GBK"/>
          <w:color w:val="000000"/>
          <w:spacing w:val="-2"/>
          <w:kern w:val="0"/>
          <w:sz w:val="24"/>
        </w:rPr>
        <w:t>（三）电子招标投标活动中的资格审查和业绩认定等以投标企业诚信库中的信息、数据为准。投标企业按诚信库要求填报相关信息、上传有关扫描件，并在项目所在地招投标网站公示，接受社会监督。企业对所填报信息的真实性负责。如有弄虚作假，经查实作为失信行为（不良行为）在全省通报，并按有关规定处理。</w:t>
      </w:r>
    </w:p>
    <w:p>
      <w:pPr>
        <w:shd w:val="clear" w:color="auto" w:fill="FFFFFF"/>
        <w:spacing w:line="460" w:lineRule="exact"/>
        <w:ind w:firstLine="540"/>
        <w:rPr>
          <w:rFonts w:eastAsia="方正仿宋_GBK"/>
          <w:color w:val="000000"/>
          <w:spacing w:val="-2"/>
          <w:kern w:val="0"/>
          <w:sz w:val="24"/>
        </w:rPr>
      </w:pPr>
      <w:r>
        <w:rPr>
          <w:rFonts w:hint="eastAsia" w:eastAsia="方正仿宋_GBK"/>
          <w:color w:val="000000"/>
          <w:spacing w:val="-2"/>
          <w:kern w:val="0"/>
          <w:sz w:val="24"/>
        </w:rPr>
        <w:t>（四）为强化两场联动，推进招投标诚信建设，除综合评估法外，采用合理低价法评标的项目增加</w:t>
      </w:r>
      <w:r>
        <w:rPr>
          <w:rFonts w:eastAsia="方正仿宋_GBK"/>
          <w:color w:val="000000"/>
          <w:spacing w:val="-2"/>
          <w:kern w:val="0"/>
          <w:sz w:val="24"/>
        </w:rPr>
        <w:t>“</w:t>
      </w:r>
      <w:r>
        <w:rPr>
          <w:rFonts w:hint="eastAsia" w:eastAsia="方正仿宋_GBK"/>
          <w:color w:val="000000"/>
          <w:spacing w:val="-2"/>
          <w:kern w:val="0"/>
          <w:sz w:val="24"/>
        </w:rPr>
        <w:t>信用评价</w:t>
      </w:r>
      <w:r>
        <w:rPr>
          <w:rFonts w:eastAsia="方正仿宋_GBK"/>
          <w:color w:val="000000"/>
          <w:spacing w:val="-2"/>
          <w:kern w:val="0"/>
          <w:sz w:val="24"/>
        </w:rPr>
        <w:t>”</w:t>
      </w:r>
      <w:r>
        <w:rPr>
          <w:rFonts w:hint="eastAsia" w:eastAsia="方正仿宋_GBK"/>
          <w:color w:val="000000"/>
          <w:spacing w:val="-2"/>
          <w:kern w:val="0"/>
          <w:sz w:val="24"/>
        </w:rPr>
        <w:t>评审因素；各市、县</w:t>
      </w:r>
      <w:r>
        <w:rPr>
          <w:rFonts w:eastAsia="方正仿宋_GBK"/>
          <w:color w:val="000000"/>
          <w:spacing w:val="-2"/>
          <w:kern w:val="0"/>
          <w:sz w:val="24"/>
        </w:rPr>
        <w:t>(</w:t>
      </w:r>
      <w:r>
        <w:rPr>
          <w:rFonts w:hint="eastAsia" w:eastAsia="方正仿宋_GBK"/>
          <w:color w:val="000000"/>
          <w:spacing w:val="-2"/>
          <w:kern w:val="0"/>
          <w:sz w:val="24"/>
        </w:rPr>
        <w:t>区</w:t>
      </w:r>
      <w:r>
        <w:rPr>
          <w:rFonts w:eastAsia="方正仿宋_GBK"/>
          <w:color w:val="000000"/>
          <w:spacing w:val="-2"/>
          <w:kern w:val="0"/>
          <w:sz w:val="24"/>
        </w:rPr>
        <w:t>)</w:t>
      </w:r>
      <w:r>
        <w:rPr>
          <w:rFonts w:hint="eastAsia" w:eastAsia="方正仿宋_GBK"/>
          <w:color w:val="000000"/>
          <w:spacing w:val="-2"/>
          <w:kern w:val="0"/>
          <w:sz w:val="24"/>
        </w:rPr>
        <w:t>可以试行对采用经评审的最低投标价法和合理价随机确定中标人法评标的项目增加</w:t>
      </w:r>
      <w:r>
        <w:rPr>
          <w:rFonts w:eastAsia="方正仿宋_GBK"/>
          <w:color w:val="000000"/>
          <w:spacing w:val="-2"/>
          <w:kern w:val="0"/>
          <w:sz w:val="24"/>
        </w:rPr>
        <w:t>“</w:t>
      </w:r>
      <w:r>
        <w:rPr>
          <w:rFonts w:hint="eastAsia" w:eastAsia="方正仿宋_GBK"/>
          <w:color w:val="000000"/>
          <w:spacing w:val="-2"/>
          <w:kern w:val="0"/>
          <w:sz w:val="24"/>
        </w:rPr>
        <w:t>信用评价</w:t>
      </w:r>
      <w:r>
        <w:rPr>
          <w:rFonts w:eastAsia="方正仿宋_GBK"/>
          <w:color w:val="000000"/>
          <w:spacing w:val="-2"/>
          <w:kern w:val="0"/>
          <w:sz w:val="24"/>
        </w:rPr>
        <w:t>”</w:t>
      </w:r>
      <w:r>
        <w:rPr>
          <w:rFonts w:hint="eastAsia" w:eastAsia="方正仿宋_GBK"/>
          <w:color w:val="000000"/>
          <w:spacing w:val="-2"/>
          <w:kern w:val="0"/>
          <w:sz w:val="24"/>
        </w:rPr>
        <w:t>评审因素。</w:t>
      </w:r>
    </w:p>
    <w:p>
      <w:pPr>
        <w:shd w:val="clear" w:color="auto" w:fill="FFFFFF"/>
        <w:spacing w:line="460" w:lineRule="exact"/>
        <w:ind w:firstLine="540"/>
        <w:rPr>
          <w:rFonts w:eastAsia="方正仿宋_GBK"/>
          <w:color w:val="000000"/>
          <w:spacing w:val="-2"/>
          <w:kern w:val="0"/>
          <w:sz w:val="24"/>
        </w:rPr>
      </w:pPr>
      <w:r>
        <w:rPr>
          <w:rFonts w:hint="eastAsia" w:eastAsia="方正仿宋_GBK"/>
          <w:color w:val="000000"/>
          <w:spacing w:val="-2"/>
          <w:kern w:val="0"/>
          <w:sz w:val="24"/>
        </w:rPr>
        <w:t>（五）项目负责人变更备案、限制原项目负责人承接工程的期限应当在江苏建设工程招标网上子以公告，备案时间或者限制原项目负责人承接工程的起止时间应当与江苏建设工程招标网上的公告时问一致，不一致的以江苏建设工程招标网上的公告时间为准。</w:t>
      </w:r>
    </w:p>
    <w:p>
      <w:pPr>
        <w:shd w:val="clear" w:color="auto" w:fill="FFFFFF"/>
        <w:spacing w:line="460" w:lineRule="exact"/>
        <w:ind w:firstLine="540"/>
        <w:rPr>
          <w:rFonts w:eastAsia="方正仿宋_GBK"/>
          <w:color w:val="000000"/>
          <w:spacing w:val="-2"/>
          <w:kern w:val="0"/>
          <w:sz w:val="24"/>
        </w:rPr>
      </w:pPr>
      <w:r>
        <w:rPr>
          <w:rFonts w:hint="eastAsia" w:eastAsia="方正仿宋_GBK"/>
          <w:color w:val="000000"/>
          <w:spacing w:val="-2"/>
          <w:kern w:val="0"/>
          <w:sz w:val="24"/>
        </w:rPr>
        <w:t>（六）调整项目停工</w:t>
      </w:r>
      <w:r>
        <w:rPr>
          <w:rFonts w:eastAsia="方正仿宋_GBK"/>
          <w:color w:val="000000"/>
          <w:spacing w:val="-2"/>
          <w:kern w:val="0"/>
          <w:sz w:val="24"/>
        </w:rPr>
        <w:t>120</w:t>
      </w:r>
      <w:r>
        <w:rPr>
          <w:rFonts w:hint="eastAsia" w:eastAsia="方正仿宋_GBK"/>
          <w:color w:val="000000"/>
          <w:spacing w:val="-2"/>
          <w:kern w:val="0"/>
          <w:sz w:val="24"/>
        </w:rPr>
        <w:t>项天目经理变更备案规定。因非承包人原因致使工程项目停工超过</w:t>
      </w:r>
      <w:r>
        <w:rPr>
          <w:rFonts w:eastAsia="方正仿宋_GBK"/>
          <w:color w:val="000000"/>
          <w:spacing w:val="-2"/>
          <w:kern w:val="0"/>
          <w:sz w:val="24"/>
        </w:rPr>
        <w:t>120</w:t>
      </w:r>
      <w:r>
        <w:rPr>
          <w:rFonts w:hint="eastAsia" w:eastAsia="方正仿宋_GBK"/>
          <w:color w:val="000000"/>
          <w:spacing w:val="-2"/>
          <w:kern w:val="0"/>
          <w:sz w:val="24"/>
        </w:rPr>
        <w:t>天（含）的，承包人可以凭发包人及其现场负责人发出的停工通知、项目所在地工程质量或者安全或者市场管理机构核实的停工证明（具体部门由各地建设行政主管部门确定），办理解除项目负责人锁定事宜；实行监理的，停工通知还应当由监理单位及总监理工程师签署意见。</w:t>
      </w:r>
    </w:p>
    <w:p>
      <w:pPr>
        <w:shd w:val="clear" w:color="auto" w:fill="FFFFFF"/>
        <w:spacing w:line="460" w:lineRule="exact"/>
        <w:ind w:firstLine="540"/>
        <w:rPr>
          <w:rFonts w:eastAsia="方正仿宋_GBK"/>
          <w:color w:val="000000"/>
          <w:spacing w:val="-2"/>
          <w:kern w:val="0"/>
          <w:sz w:val="24"/>
        </w:rPr>
      </w:pPr>
      <w:r>
        <w:rPr>
          <w:rFonts w:hint="eastAsia" w:eastAsia="方正仿宋_GBK"/>
          <w:color w:val="000000"/>
          <w:spacing w:val="-2"/>
          <w:kern w:val="0"/>
          <w:sz w:val="24"/>
        </w:rPr>
        <w:t>解除项目负责人锁定的备案事宜办理完毕后，企业可以选派被解除锁定的项目负责人担任其他工程项目的项目负责人。</w:t>
      </w:r>
    </w:p>
    <w:p>
      <w:pPr>
        <w:shd w:val="clear" w:color="auto" w:fill="FFFFFF"/>
        <w:spacing w:line="460" w:lineRule="exact"/>
        <w:ind w:firstLine="540"/>
        <w:rPr>
          <w:rFonts w:eastAsia="方正仿宋_GBK"/>
          <w:color w:val="000000"/>
          <w:spacing w:val="-2"/>
          <w:kern w:val="0"/>
          <w:sz w:val="24"/>
        </w:rPr>
      </w:pPr>
      <w:r>
        <w:rPr>
          <w:rFonts w:hint="eastAsia" w:eastAsia="方正仿宋_GBK"/>
          <w:color w:val="000000"/>
          <w:spacing w:val="-2"/>
          <w:kern w:val="0"/>
          <w:sz w:val="24"/>
        </w:rPr>
        <w:t>停工的工程项目恢复施工，被解除锁定的原项目负责人无未完工程任务的，可以恢复担任该工程项目的项目负责人；有未完工程任务的，承包人应当选派与原项目负责人资格条件相当的其他人员担任项目负责人，并应事先征得发包人同意。承包人有不低于原项目负责人资格条件的人员而不选派的，属于严重不履行合同的行为。</w:t>
      </w:r>
    </w:p>
    <w:p>
      <w:pPr>
        <w:shd w:val="clear" w:color="auto" w:fill="FFFFFF"/>
        <w:spacing w:line="460" w:lineRule="exact"/>
        <w:ind w:firstLine="464" w:firstLineChars="200"/>
        <w:outlineLvl w:val="2"/>
        <w:rPr>
          <w:rFonts w:ascii="Times New Roman" w:eastAsia="方正黑体_GBK"/>
          <w:bCs/>
          <w:color w:val="000000"/>
          <w:spacing w:val="-2"/>
          <w:kern w:val="0"/>
          <w:sz w:val="24"/>
        </w:rPr>
      </w:pPr>
      <w:r>
        <w:rPr>
          <w:rFonts w:hint="eastAsia" w:ascii="Times New Roman" w:eastAsia="方正黑体_GBK"/>
          <w:bCs/>
          <w:color w:val="000000"/>
          <w:spacing w:val="-2"/>
          <w:kern w:val="0"/>
          <w:sz w:val="24"/>
        </w:rPr>
        <w:t>三、对现行资格审查办法和评标办法的调整</w:t>
      </w:r>
    </w:p>
    <w:p>
      <w:pPr>
        <w:shd w:val="clear" w:color="auto" w:fill="FFFFFF"/>
        <w:spacing w:line="460" w:lineRule="exact"/>
        <w:ind w:firstLine="540"/>
        <w:rPr>
          <w:rFonts w:hint="eastAsia" w:eastAsia="方正仿宋_GBK"/>
          <w:color w:val="000000"/>
          <w:spacing w:val="-2"/>
          <w:kern w:val="0"/>
          <w:sz w:val="24"/>
        </w:rPr>
      </w:pPr>
      <w:r>
        <w:rPr>
          <w:rFonts w:hint="eastAsia" w:eastAsia="方正仿宋_GBK"/>
          <w:color w:val="000000"/>
          <w:spacing w:val="-2"/>
          <w:kern w:val="0"/>
          <w:sz w:val="24"/>
        </w:rPr>
        <w:t>（一）对于中型且技术复杂或者具有特殊专业技术要求的工程项目，经招投标监管机构批准，也可以采用合格制资格预审。</w:t>
      </w:r>
    </w:p>
    <w:p>
      <w:pPr>
        <w:shd w:val="clear" w:color="auto" w:fill="FFFFFF"/>
        <w:spacing w:line="460" w:lineRule="exact"/>
        <w:ind w:firstLine="540"/>
        <w:rPr>
          <w:rFonts w:eastAsia="方正仿宋_GBK"/>
          <w:color w:val="000000"/>
          <w:spacing w:val="-2"/>
          <w:kern w:val="0"/>
          <w:sz w:val="24"/>
        </w:rPr>
      </w:pPr>
      <w:r>
        <w:rPr>
          <w:rFonts w:hint="eastAsia" w:eastAsia="方正仿宋_GBK"/>
          <w:color w:val="000000"/>
          <w:spacing w:val="-2"/>
          <w:kern w:val="0"/>
          <w:sz w:val="24"/>
        </w:rPr>
        <w:t>（二）采用资格后审的工程项目，合格投标人的资格条件一般仅限于必要条件。除工程技术复杂或者具有特殊专业技术要求外，大型及以上工程项目，招标人也可以增设</w:t>
      </w:r>
      <w:r>
        <w:rPr>
          <w:rFonts w:eastAsia="方正仿宋_GBK"/>
          <w:color w:val="000000"/>
          <w:spacing w:val="-2"/>
          <w:kern w:val="0"/>
          <w:sz w:val="24"/>
        </w:rPr>
        <w:t>“</w:t>
      </w:r>
      <w:r>
        <w:rPr>
          <w:rFonts w:hint="eastAsia" w:eastAsia="方正仿宋_GBK"/>
          <w:color w:val="000000"/>
          <w:spacing w:val="-2"/>
          <w:kern w:val="0"/>
          <w:sz w:val="24"/>
        </w:rPr>
        <w:t>企业承担过类似及以上工程</w:t>
      </w:r>
      <w:r>
        <w:rPr>
          <w:rFonts w:eastAsia="方正仿宋_GBK"/>
          <w:color w:val="000000"/>
          <w:spacing w:val="-2"/>
          <w:kern w:val="0"/>
          <w:sz w:val="24"/>
        </w:rPr>
        <w:t>”</w:t>
      </w:r>
      <w:r>
        <w:rPr>
          <w:rFonts w:hint="eastAsia" w:eastAsia="方正仿宋_GBK"/>
          <w:color w:val="000000"/>
          <w:spacing w:val="-2"/>
          <w:kern w:val="0"/>
          <w:sz w:val="24"/>
        </w:rPr>
        <w:t>、</w:t>
      </w:r>
      <w:r>
        <w:rPr>
          <w:rFonts w:eastAsia="方正仿宋_GBK"/>
          <w:color w:val="000000"/>
          <w:spacing w:val="-2"/>
          <w:kern w:val="0"/>
          <w:sz w:val="24"/>
        </w:rPr>
        <w:t>“</w:t>
      </w:r>
      <w:r>
        <w:rPr>
          <w:rFonts w:hint="eastAsia" w:eastAsia="方正仿宋_GBK"/>
          <w:color w:val="000000"/>
          <w:spacing w:val="-2"/>
          <w:kern w:val="0"/>
          <w:sz w:val="24"/>
        </w:rPr>
        <w:t>项目负责人承担过类似及以上工程</w:t>
      </w:r>
      <w:r>
        <w:rPr>
          <w:rFonts w:eastAsia="方正仿宋_GBK"/>
          <w:color w:val="000000"/>
          <w:spacing w:val="-2"/>
          <w:kern w:val="0"/>
          <w:sz w:val="24"/>
        </w:rPr>
        <w:t>”</w:t>
      </w:r>
      <w:r>
        <w:rPr>
          <w:rFonts w:hint="eastAsia" w:eastAsia="方正仿宋_GBK"/>
          <w:color w:val="000000"/>
          <w:spacing w:val="-2"/>
          <w:kern w:val="0"/>
          <w:sz w:val="24"/>
        </w:rPr>
        <w:t>作为合格条件。</w:t>
      </w:r>
    </w:p>
    <w:p>
      <w:pPr>
        <w:shd w:val="clear" w:color="auto" w:fill="FFFFFF"/>
        <w:spacing w:line="460" w:lineRule="exact"/>
        <w:ind w:firstLine="540"/>
        <w:rPr>
          <w:rFonts w:eastAsia="方正仿宋_GBK"/>
          <w:color w:val="000000"/>
          <w:spacing w:val="-2"/>
          <w:kern w:val="0"/>
          <w:sz w:val="24"/>
        </w:rPr>
      </w:pPr>
      <w:r>
        <w:rPr>
          <w:rFonts w:hint="eastAsia" w:eastAsia="方正仿宋_GBK"/>
          <w:color w:val="000000"/>
          <w:spacing w:val="-2"/>
          <w:kern w:val="0"/>
          <w:sz w:val="24"/>
        </w:rPr>
        <w:t>（三）在建工程是指：处于中标人公告到合同约定的工程全部完成且验收合格期内的工程。验收合格证明是指由建设单位（或监理）组织工程建设各方验收合格，并签署单位工程质量竣工验收记录或者分部工程质量验收记录等验收证明文件。</w:t>
      </w:r>
    </w:p>
    <w:p>
      <w:pPr>
        <w:shd w:val="clear" w:color="auto" w:fill="FFFFFF"/>
        <w:spacing w:line="460" w:lineRule="exact"/>
        <w:ind w:firstLine="540"/>
        <w:rPr>
          <w:rFonts w:eastAsia="方正仿宋_GBK"/>
          <w:color w:val="000000"/>
          <w:spacing w:val="-2"/>
          <w:kern w:val="0"/>
          <w:sz w:val="24"/>
        </w:rPr>
      </w:pPr>
      <w:r>
        <w:rPr>
          <w:rFonts w:hint="eastAsia" w:eastAsia="方正仿宋_GBK"/>
          <w:color w:val="000000"/>
          <w:spacing w:val="-2"/>
          <w:kern w:val="0"/>
          <w:sz w:val="24"/>
        </w:rPr>
        <w:t>（四）投标报价的评标基准价，评标委员会在评标报告上签字后，方法一和方法二的评标基准价不因招投标当事人质疑、投诉、复议以及其它任何情形而改变，但评标过程中的计算错误可作调整。</w:t>
      </w:r>
    </w:p>
    <w:p>
      <w:pPr>
        <w:shd w:val="clear" w:color="auto" w:fill="FFFFFF"/>
        <w:spacing w:line="460" w:lineRule="exact"/>
        <w:ind w:firstLine="540"/>
        <w:rPr>
          <w:rFonts w:eastAsia="方正仿宋_GBK"/>
          <w:color w:val="000000"/>
          <w:spacing w:val="-2"/>
          <w:kern w:val="0"/>
          <w:sz w:val="24"/>
        </w:rPr>
      </w:pPr>
      <w:r>
        <w:rPr>
          <w:rFonts w:hint="eastAsia" w:eastAsia="方正仿宋_GBK"/>
          <w:color w:val="000000"/>
          <w:spacing w:val="-2"/>
          <w:kern w:val="0"/>
          <w:sz w:val="24"/>
        </w:rPr>
        <w:t>（五）在评标基准价计算方法二中，</w:t>
      </w:r>
      <w:r>
        <w:rPr>
          <w:rFonts w:eastAsia="方正仿宋_GBK"/>
          <w:color w:val="000000"/>
          <w:spacing w:val="-2"/>
          <w:kern w:val="0"/>
          <w:sz w:val="24"/>
        </w:rPr>
        <w:t>Q1</w:t>
      </w:r>
      <w:r>
        <w:rPr>
          <w:rFonts w:hint="eastAsia" w:eastAsia="方正仿宋_GBK"/>
          <w:color w:val="000000"/>
          <w:spacing w:val="-2"/>
          <w:kern w:val="0"/>
          <w:sz w:val="24"/>
        </w:rPr>
        <w:t>取值限定为</w:t>
      </w:r>
      <w:r>
        <w:rPr>
          <w:rFonts w:eastAsia="方正仿宋_GBK"/>
          <w:color w:val="000000"/>
          <w:spacing w:val="-2"/>
          <w:kern w:val="0"/>
          <w:sz w:val="24"/>
        </w:rPr>
        <w:t>50%</w:t>
      </w:r>
      <w:r>
        <w:rPr>
          <w:rFonts w:hint="eastAsia" w:eastAsia="方正仿宋_GBK"/>
          <w:color w:val="000000"/>
          <w:spacing w:val="-2"/>
          <w:kern w:val="0"/>
          <w:sz w:val="24"/>
        </w:rPr>
        <w:t>、</w:t>
      </w:r>
      <w:r>
        <w:rPr>
          <w:rFonts w:eastAsia="方正仿宋_GBK"/>
          <w:color w:val="000000"/>
          <w:spacing w:val="-2"/>
          <w:kern w:val="0"/>
          <w:sz w:val="24"/>
        </w:rPr>
        <w:t>55%</w:t>
      </w:r>
      <w:r>
        <w:rPr>
          <w:rFonts w:hint="eastAsia" w:eastAsia="方正仿宋_GBK"/>
          <w:color w:val="000000"/>
          <w:spacing w:val="-2"/>
          <w:kern w:val="0"/>
          <w:sz w:val="24"/>
        </w:rPr>
        <w:t>、</w:t>
      </w:r>
      <w:r>
        <w:rPr>
          <w:rFonts w:eastAsia="方正仿宋_GBK"/>
          <w:color w:val="000000"/>
          <w:spacing w:val="-2"/>
          <w:kern w:val="0"/>
          <w:sz w:val="24"/>
        </w:rPr>
        <w:t>60%</w:t>
      </w:r>
      <w:r>
        <w:rPr>
          <w:rFonts w:hint="eastAsia" w:eastAsia="方正仿宋_GBK"/>
          <w:color w:val="000000"/>
          <w:spacing w:val="-2"/>
          <w:kern w:val="0"/>
          <w:sz w:val="24"/>
        </w:rPr>
        <w:t>、</w:t>
      </w:r>
      <w:r>
        <w:rPr>
          <w:rFonts w:eastAsia="方正仿宋_GBK"/>
          <w:color w:val="000000"/>
          <w:spacing w:val="-2"/>
          <w:kern w:val="0"/>
          <w:sz w:val="24"/>
        </w:rPr>
        <w:t>65%</w:t>
      </w:r>
      <w:r>
        <w:rPr>
          <w:rFonts w:hint="eastAsia" w:eastAsia="方正仿宋_GBK"/>
          <w:color w:val="000000"/>
          <w:spacing w:val="-2"/>
          <w:kern w:val="0"/>
          <w:sz w:val="24"/>
        </w:rPr>
        <w:t>、</w:t>
      </w:r>
      <w:r>
        <w:rPr>
          <w:rFonts w:eastAsia="方正仿宋_GBK"/>
          <w:color w:val="000000"/>
          <w:spacing w:val="-2"/>
          <w:kern w:val="0"/>
          <w:sz w:val="24"/>
        </w:rPr>
        <w:t>70%</w:t>
      </w:r>
      <w:r>
        <w:rPr>
          <w:rFonts w:hint="eastAsia" w:eastAsia="方正仿宋_GBK"/>
          <w:color w:val="000000"/>
          <w:spacing w:val="-2"/>
          <w:kern w:val="0"/>
          <w:sz w:val="24"/>
        </w:rPr>
        <w:t>。</w:t>
      </w:r>
    </w:p>
    <w:p>
      <w:pPr>
        <w:shd w:val="clear" w:color="auto" w:fill="FFFFFF"/>
        <w:spacing w:line="460" w:lineRule="exact"/>
        <w:ind w:firstLine="540"/>
        <w:rPr>
          <w:rFonts w:eastAsia="方正仿宋_GBK"/>
          <w:color w:val="000000"/>
          <w:spacing w:val="-2"/>
          <w:kern w:val="0"/>
          <w:sz w:val="24"/>
        </w:rPr>
      </w:pPr>
      <w:r>
        <w:rPr>
          <w:rFonts w:hint="eastAsia" w:eastAsia="方正仿宋_GBK"/>
          <w:color w:val="000000"/>
          <w:spacing w:val="-2"/>
          <w:kern w:val="0"/>
          <w:sz w:val="24"/>
        </w:rPr>
        <w:t>（六）综合评估法中投标报价合理性分值调整为</w:t>
      </w:r>
      <w:r>
        <w:rPr>
          <w:rFonts w:eastAsia="方正仿宋_GBK"/>
          <w:color w:val="000000"/>
          <w:spacing w:val="-2"/>
          <w:kern w:val="0"/>
          <w:sz w:val="24"/>
        </w:rPr>
        <w:t>≤1</w:t>
      </w:r>
      <w:r>
        <w:rPr>
          <w:rFonts w:hint="eastAsia" w:eastAsia="方正仿宋_GBK"/>
          <w:color w:val="000000"/>
          <w:spacing w:val="-2"/>
          <w:kern w:val="0"/>
          <w:sz w:val="24"/>
        </w:rPr>
        <w:t>。其</w:t>
      </w:r>
      <w:r>
        <w:rPr>
          <w:rFonts w:eastAsia="方正仿宋_GBK"/>
          <w:color w:val="000000"/>
          <w:spacing w:val="-2"/>
          <w:kern w:val="0"/>
          <w:sz w:val="24"/>
        </w:rPr>
        <w:t>“2</w:t>
      </w:r>
      <w:r>
        <w:rPr>
          <w:rFonts w:hint="eastAsia" w:eastAsia="方正仿宋_GBK"/>
          <w:color w:val="000000"/>
          <w:spacing w:val="-2"/>
          <w:kern w:val="0"/>
          <w:sz w:val="24"/>
        </w:rPr>
        <w:t>、</w:t>
      </w:r>
      <w:r>
        <w:rPr>
          <w:rFonts w:eastAsia="方正仿宋_GBK"/>
          <w:color w:val="000000"/>
          <w:spacing w:val="-2"/>
          <w:kern w:val="0"/>
          <w:sz w:val="24"/>
        </w:rPr>
        <w:t>”</w:t>
      </w:r>
      <w:r>
        <w:rPr>
          <w:rFonts w:hint="eastAsia" w:eastAsia="方正仿宋_GBK"/>
          <w:color w:val="000000"/>
          <w:spacing w:val="-2"/>
          <w:kern w:val="0"/>
          <w:sz w:val="24"/>
        </w:rPr>
        <w:t>修改为</w:t>
      </w:r>
      <w:r>
        <w:rPr>
          <w:rFonts w:eastAsia="方正仿宋_GBK"/>
          <w:color w:val="000000"/>
          <w:spacing w:val="-2"/>
          <w:kern w:val="0"/>
          <w:sz w:val="24"/>
        </w:rPr>
        <w:t>“</w:t>
      </w:r>
      <w:r>
        <w:rPr>
          <w:rFonts w:hint="eastAsia" w:eastAsia="方正仿宋_GBK"/>
          <w:color w:val="000000"/>
          <w:spacing w:val="-2"/>
          <w:kern w:val="0"/>
          <w:sz w:val="24"/>
        </w:rPr>
        <w:t>将工程量清单各子目的综合单价金额与合理性分析基准值相比较，其偏差率的绝对值</w:t>
      </w:r>
      <w:r>
        <w:rPr>
          <w:rFonts w:eastAsia="方正仿宋_GBK"/>
          <w:color w:val="000000"/>
          <w:spacing w:val="-2"/>
          <w:kern w:val="0"/>
          <w:sz w:val="24"/>
        </w:rPr>
        <w:t>&gt;10%</w:t>
      </w:r>
      <w:r>
        <w:rPr>
          <w:rFonts w:hint="eastAsia" w:eastAsia="方正仿宋_GBK"/>
          <w:color w:val="000000"/>
          <w:spacing w:val="-2"/>
          <w:kern w:val="0"/>
          <w:sz w:val="24"/>
        </w:rPr>
        <w:t>且合价金额在该投标文件的评标价一定幅度</w:t>
      </w:r>
      <w:r>
        <w:rPr>
          <w:rFonts w:eastAsia="方正仿宋_GBK"/>
          <w:color w:val="000000"/>
          <w:spacing w:val="-2"/>
          <w:kern w:val="0"/>
          <w:sz w:val="24"/>
        </w:rPr>
        <w:t> (</w:t>
      </w:r>
      <w:r>
        <w:rPr>
          <w:rFonts w:hint="eastAsia" w:eastAsia="方正仿宋_GBK"/>
          <w:color w:val="000000"/>
          <w:spacing w:val="-2"/>
          <w:kern w:val="0"/>
          <w:sz w:val="24"/>
        </w:rPr>
        <w:t>一般为评标价的</w:t>
      </w:r>
      <w:r>
        <w:rPr>
          <w:rFonts w:eastAsia="方正仿宋_GBK"/>
          <w:color w:val="000000"/>
          <w:spacing w:val="-2"/>
          <w:kern w:val="0"/>
          <w:sz w:val="24"/>
        </w:rPr>
        <w:t>0.5%-1%)</w:t>
      </w:r>
      <w:r>
        <w:rPr>
          <w:rFonts w:hint="eastAsia" w:eastAsia="方正仿宋_GBK"/>
          <w:color w:val="000000"/>
          <w:spacing w:val="-2"/>
          <w:kern w:val="0"/>
          <w:sz w:val="24"/>
        </w:rPr>
        <w:t>以上的工程量清单子目，有一项扣</w:t>
      </w:r>
      <w:r>
        <w:rPr>
          <w:rFonts w:eastAsia="方正仿宋_GBK"/>
          <w:color w:val="000000"/>
          <w:spacing w:val="-2"/>
          <w:kern w:val="0"/>
          <w:sz w:val="24"/>
        </w:rPr>
        <w:t>0.1</w:t>
      </w:r>
      <w:r>
        <w:rPr>
          <w:rFonts w:hint="eastAsia" w:eastAsia="方正仿宋_GBK"/>
          <w:color w:val="000000"/>
          <w:spacing w:val="-2"/>
          <w:kern w:val="0"/>
          <w:sz w:val="24"/>
        </w:rPr>
        <w:t>分</w:t>
      </w:r>
      <w:r>
        <w:rPr>
          <w:rFonts w:eastAsia="方正仿宋_GBK"/>
          <w:color w:val="000000"/>
          <w:spacing w:val="-2"/>
          <w:kern w:val="0"/>
          <w:sz w:val="24"/>
        </w:rPr>
        <w:t>,</w:t>
      </w:r>
      <w:r>
        <w:rPr>
          <w:rFonts w:hint="eastAsia" w:eastAsia="方正仿宋_GBK"/>
          <w:color w:val="000000"/>
          <w:spacing w:val="-2"/>
          <w:kern w:val="0"/>
          <w:sz w:val="24"/>
        </w:rPr>
        <w:t>最多扣</w:t>
      </w:r>
      <w:r>
        <w:rPr>
          <w:rFonts w:eastAsia="方正仿宋_GBK"/>
          <w:color w:val="000000"/>
          <w:spacing w:val="-2"/>
          <w:kern w:val="0"/>
          <w:sz w:val="24"/>
        </w:rPr>
        <w:t>1</w:t>
      </w:r>
      <w:r>
        <w:rPr>
          <w:rFonts w:hint="eastAsia" w:eastAsia="方正仿宋_GBK"/>
          <w:color w:val="000000"/>
          <w:spacing w:val="-2"/>
          <w:kern w:val="0"/>
          <w:sz w:val="24"/>
        </w:rPr>
        <w:t>分。</w:t>
      </w:r>
      <w:r>
        <w:rPr>
          <w:rFonts w:eastAsia="方正仿宋_GBK"/>
          <w:color w:val="000000"/>
          <w:spacing w:val="-2"/>
          <w:kern w:val="0"/>
          <w:sz w:val="24"/>
        </w:rPr>
        <w:t>”</w:t>
      </w:r>
    </w:p>
    <w:p>
      <w:pPr>
        <w:shd w:val="clear" w:color="auto" w:fill="FFFFFF"/>
        <w:spacing w:line="460" w:lineRule="exact"/>
        <w:ind w:firstLine="540"/>
        <w:rPr>
          <w:rFonts w:eastAsia="方正仿宋_GBK"/>
          <w:color w:val="000000"/>
          <w:spacing w:val="-2"/>
          <w:kern w:val="0"/>
          <w:sz w:val="24"/>
        </w:rPr>
      </w:pPr>
      <w:r>
        <w:rPr>
          <w:rFonts w:hint="eastAsia" w:eastAsia="方正仿宋_GBK"/>
          <w:color w:val="000000"/>
          <w:spacing w:val="-2"/>
          <w:kern w:val="0"/>
          <w:sz w:val="24"/>
        </w:rPr>
        <w:t>（七）采用综合评估法评标，施工组织设计中除缺少相应内容的评审要点不得分外，其它各项评审要点得分不应低于该评审要点满分的</w:t>
      </w:r>
      <w:r>
        <w:rPr>
          <w:rFonts w:eastAsia="方正仿宋_GBK"/>
          <w:color w:val="000000"/>
          <w:spacing w:val="-2"/>
          <w:kern w:val="0"/>
          <w:sz w:val="24"/>
        </w:rPr>
        <w:t>70%</w:t>
      </w:r>
      <w:r>
        <w:rPr>
          <w:rFonts w:hint="eastAsia" w:eastAsia="方正仿宋_GBK"/>
          <w:color w:val="000000"/>
          <w:spacing w:val="-2"/>
          <w:kern w:val="0"/>
          <w:sz w:val="24"/>
        </w:rPr>
        <w:t>。</w:t>
      </w:r>
    </w:p>
    <w:p>
      <w:pPr>
        <w:shd w:val="clear" w:color="auto" w:fill="FFFFFF"/>
        <w:spacing w:line="460" w:lineRule="exact"/>
        <w:ind w:firstLine="540"/>
        <w:rPr>
          <w:rFonts w:eastAsia="方正仿宋_GBK"/>
          <w:color w:val="000000"/>
          <w:spacing w:val="-2"/>
          <w:kern w:val="0"/>
          <w:sz w:val="24"/>
        </w:rPr>
      </w:pPr>
      <w:r>
        <w:rPr>
          <w:rFonts w:hint="eastAsia" w:eastAsia="方正仿宋_GBK"/>
          <w:color w:val="000000"/>
          <w:spacing w:val="-2"/>
          <w:kern w:val="0"/>
          <w:sz w:val="24"/>
        </w:rPr>
        <w:t>本通知自</w:t>
      </w:r>
      <w:r>
        <w:rPr>
          <w:rFonts w:eastAsia="方正仿宋_GBK"/>
          <w:color w:val="000000"/>
          <w:spacing w:val="-2"/>
          <w:kern w:val="0"/>
          <w:sz w:val="24"/>
        </w:rPr>
        <w:t>2015</w:t>
      </w:r>
      <w:r>
        <w:rPr>
          <w:rFonts w:hint="eastAsia" w:eastAsia="方正仿宋_GBK"/>
          <w:color w:val="000000"/>
          <w:spacing w:val="-2"/>
          <w:kern w:val="0"/>
          <w:sz w:val="24"/>
        </w:rPr>
        <w:t>年</w:t>
      </w:r>
      <w:r>
        <w:rPr>
          <w:rFonts w:eastAsia="方正仿宋_GBK"/>
          <w:color w:val="000000"/>
          <w:spacing w:val="-2"/>
          <w:kern w:val="0"/>
          <w:sz w:val="24"/>
        </w:rPr>
        <w:t>3</w:t>
      </w:r>
      <w:r>
        <w:rPr>
          <w:rFonts w:hint="eastAsia" w:eastAsia="方正仿宋_GBK"/>
          <w:color w:val="000000"/>
          <w:spacing w:val="-2"/>
          <w:kern w:val="0"/>
          <w:sz w:val="24"/>
        </w:rPr>
        <w:t>月</w:t>
      </w:r>
      <w:r>
        <w:rPr>
          <w:rFonts w:eastAsia="方正仿宋_GBK"/>
          <w:color w:val="000000"/>
          <w:spacing w:val="-2"/>
          <w:kern w:val="0"/>
          <w:sz w:val="24"/>
        </w:rPr>
        <w:t>1</w:t>
      </w:r>
      <w:r>
        <w:rPr>
          <w:rFonts w:hint="eastAsia" w:eastAsia="方正仿宋_GBK"/>
          <w:color w:val="000000"/>
          <w:spacing w:val="-2"/>
          <w:kern w:val="0"/>
          <w:sz w:val="24"/>
        </w:rPr>
        <w:t>日起施行。</w:t>
      </w:r>
    </w:p>
    <w:p>
      <w:pPr>
        <w:shd w:val="clear" w:color="auto" w:fill="FFFFFF"/>
        <w:spacing w:line="460" w:lineRule="exact"/>
        <w:ind w:firstLine="540"/>
        <w:rPr>
          <w:rFonts w:eastAsia="方正仿宋_GBK"/>
          <w:color w:val="000000"/>
          <w:spacing w:val="-2"/>
          <w:kern w:val="0"/>
          <w:sz w:val="24"/>
        </w:rPr>
      </w:pPr>
    </w:p>
    <w:p>
      <w:pPr>
        <w:spacing w:line="460" w:lineRule="exact"/>
        <w:ind w:right="409" w:rightChars="199"/>
        <w:jc w:val="right"/>
        <w:rPr>
          <w:rFonts w:eastAsia="方正仿宋_GBK"/>
          <w:color w:val="000000"/>
          <w:spacing w:val="-2"/>
          <w:sz w:val="24"/>
        </w:rPr>
      </w:pPr>
      <w:r>
        <w:rPr>
          <w:rFonts w:hint="eastAsia" w:eastAsia="方正仿宋_GBK"/>
          <w:color w:val="000000"/>
          <w:spacing w:val="-2"/>
          <w:sz w:val="24"/>
        </w:rPr>
        <w:t>江苏省住房和城乡建设厅</w:t>
      </w:r>
      <w:r>
        <w:rPr>
          <w:rFonts w:eastAsia="方正仿宋_GBK"/>
          <w:color w:val="000000"/>
          <w:spacing w:val="-2"/>
          <w:sz w:val="24"/>
        </w:rPr>
        <w:t xml:space="preserve">    </w:t>
      </w:r>
    </w:p>
    <w:p>
      <w:pPr>
        <w:spacing w:line="460" w:lineRule="exact"/>
        <w:ind w:right="782" w:rightChars="380" w:firstLine="4292" w:firstLineChars="1850"/>
        <w:jc w:val="right"/>
        <w:rPr>
          <w:rFonts w:eastAsia="方正仿宋_GBK"/>
          <w:color w:val="000000"/>
          <w:spacing w:val="-2"/>
          <w:sz w:val="24"/>
        </w:rPr>
      </w:pPr>
      <w:r>
        <w:rPr>
          <w:rFonts w:eastAsia="方正仿宋_GBK"/>
          <w:color w:val="000000"/>
          <w:spacing w:val="-2"/>
          <w:sz w:val="24"/>
        </w:rPr>
        <w:t>2015</w:t>
      </w:r>
      <w:r>
        <w:rPr>
          <w:rFonts w:hint="eastAsia" w:eastAsia="方正仿宋_GBK"/>
          <w:color w:val="000000"/>
          <w:spacing w:val="-2"/>
          <w:sz w:val="24"/>
        </w:rPr>
        <w:t>年</w:t>
      </w:r>
      <w:r>
        <w:rPr>
          <w:rFonts w:eastAsia="方正仿宋_GBK"/>
          <w:color w:val="000000"/>
          <w:spacing w:val="-2"/>
          <w:sz w:val="24"/>
        </w:rPr>
        <w:t>1</w:t>
      </w:r>
      <w:r>
        <w:rPr>
          <w:rFonts w:hint="eastAsia" w:eastAsia="方正仿宋_GBK"/>
          <w:color w:val="000000"/>
          <w:spacing w:val="-2"/>
          <w:sz w:val="24"/>
        </w:rPr>
        <w:t>月</w:t>
      </w:r>
      <w:r>
        <w:rPr>
          <w:rFonts w:eastAsia="方正仿宋_GBK"/>
          <w:color w:val="000000"/>
          <w:spacing w:val="-2"/>
          <w:sz w:val="24"/>
        </w:rPr>
        <w:t>21</w:t>
      </w:r>
      <w:r>
        <w:rPr>
          <w:rFonts w:hint="eastAsia" w:eastAsia="方正仿宋_GBK"/>
          <w:color w:val="000000"/>
          <w:spacing w:val="-2"/>
          <w:sz w:val="24"/>
        </w:rPr>
        <w:t>日</w:t>
      </w:r>
      <w:r>
        <w:rPr>
          <w:rFonts w:eastAsia="方正仿宋_GBK"/>
          <w:color w:val="000000"/>
          <w:spacing w:val="-2"/>
          <w:sz w:val="24"/>
        </w:rPr>
        <w:t xml:space="preserve">       </w:t>
      </w:r>
    </w:p>
    <w:p>
      <w:pPr>
        <w:spacing w:line="460" w:lineRule="exact"/>
        <w:ind w:firstLine="4292" w:firstLineChars="1850"/>
        <w:jc w:val="left"/>
        <w:rPr>
          <w:rFonts w:eastAsia="方正仿宋_GBK"/>
          <w:color w:val="000000"/>
          <w:spacing w:val="-2"/>
          <w:sz w:val="24"/>
        </w:rPr>
      </w:pPr>
    </w:p>
    <w:p/>
    <w:p/>
    <w:p/>
    <w:p/>
    <w:p/>
    <w:p/>
    <w:p/>
    <w:p/>
    <w:p/>
    <w:p>
      <w:pPr>
        <w:pStyle w:val="2"/>
        <w:spacing w:before="590" w:beforeLines="100" w:after="590" w:afterLines="100" w:line="240" w:lineRule="auto"/>
        <w:jc w:val="center"/>
        <w:rPr>
          <w:rFonts w:ascii="Times New Roman" w:eastAsia="方正小标宋_GBK"/>
          <w:b w:val="0"/>
          <w:sz w:val="36"/>
          <w:szCs w:val="36"/>
        </w:rPr>
      </w:pPr>
      <w:bookmarkStart w:id="716" w:name="_Toc20726721"/>
      <w:bookmarkStart w:id="717" w:name="_Toc18315857"/>
      <w:r>
        <w:rPr>
          <w:rFonts w:hint="eastAsia" w:ascii="Times New Roman" w:eastAsia="方正小标宋_GBK"/>
          <w:b w:val="0"/>
          <w:sz w:val="36"/>
          <w:szCs w:val="36"/>
        </w:rPr>
        <w:t>省住房城乡建设厅关于印发《江苏省房屋建筑和市政基础设施工程招标投标活动异议与投诉处理实施办法》  的通知</w:t>
      </w:r>
      <w:bookmarkEnd w:id="716"/>
      <w:bookmarkEnd w:id="717"/>
    </w:p>
    <w:p>
      <w:pPr>
        <w:pStyle w:val="3"/>
        <w:spacing w:before="590" w:beforeLines="100" w:after="590" w:afterLines="100" w:line="240" w:lineRule="auto"/>
        <w:jc w:val="center"/>
        <w:rPr>
          <w:rFonts w:hint="eastAsia" w:ascii="Times New Roman" w:hAnsi="Times New Roman" w:eastAsia="方正楷体_GBK"/>
          <w:b w:val="0"/>
          <w:sz w:val="24"/>
          <w:szCs w:val="24"/>
        </w:rPr>
      </w:pPr>
      <w:bookmarkStart w:id="718" w:name="_Toc18315858"/>
      <w:bookmarkStart w:id="719" w:name="_Toc20726722"/>
      <w:r>
        <w:rPr>
          <w:rFonts w:hint="eastAsia" w:ascii="Times New Roman" w:hAnsi="Times New Roman" w:eastAsia="方正楷体_GBK"/>
          <w:b w:val="0"/>
          <w:sz w:val="24"/>
          <w:szCs w:val="24"/>
        </w:rPr>
        <w:t>苏建规字（</w:t>
      </w:r>
      <w:r>
        <w:rPr>
          <w:rFonts w:ascii="Times New Roman" w:hAnsi="Times New Roman" w:eastAsia="方正楷体_GBK"/>
          <w:b w:val="0"/>
          <w:sz w:val="24"/>
          <w:szCs w:val="24"/>
        </w:rPr>
        <w:t>2016</w:t>
      </w:r>
      <w:r>
        <w:rPr>
          <w:rFonts w:hint="eastAsia" w:ascii="Times New Roman" w:hAnsi="Times New Roman" w:eastAsia="方正楷体_GBK"/>
          <w:b w:val="0"/>
          <w:sz w:val="24"/>
          <w:szCs w:val="24"/>
        </w:rPr>
        <w:t>）</w:t>
      </w:r>
      <w:r>
        <w:rPr>
          <w:rFonts w:ascii="Times New Roman" w:hAnsi="Times New Roman" w:eastAsia="方正楷体_GBK"/>
          <w:b w:val="0"/>
          <w:sz w:val="24"/>
          <w:szCs w:val="24"/>
        </w:rPr>
        <w:t>4</w:t>
      </w:r>
      <w:r>
        <w:rPr>
          <w:rFonts w:hint="eastAsia" w:ascii="Times New Roman" w:hAnsi="Times New Roman" w:eastAsia="方正楷体_GBK"/>
          <w:b w:val="0"/>
          <w:sz w:val="24"/>
          <w:szCs w:val="24"/>
        </w:rPr>
        <w:t>号</w:t>
      </w:r>
      <w:bookmarkEnd w:id="718"/>
      <w:bookmarkEnd w:id="719"/>
    </w:p>
    <w:p>
      <w:pPr>
        <w:widowControl/>
        <w:spacing w:line="460" w:lineRule="exact"/>
        <w:rPr>
          <w:rFonts w:eastAsia="方正仿宋_GBK"/>
          <w:b/>
          <w:bCs/>
          <w:color w:val="000000"/>
          <w:kern w:val="0"/>
          <w:sz w:val="28"/>
          <w:szCs w:val="28"/>
        </w:rPr>
      </w:pPr>
    </w:p>
    <w:p>
      <w:pPr>
        <w:shd w:val="clear" w:color="auto" w:fill="FFFFFF"/>
        <w:spacing w:line="460" w:lineRule="exact"/>
        <w:jc w:val="center"/>
        <w:rPr>
          <w:rFonts w:ascii="Times New Roman" w:eastAsia="黑体"/>
          <w:bCs/>
          <w:color w:val="000000"/>
          <w:kern w:val="0"/>
          <w:sz w:val="32"/>
          <w:szCs w:val="32"/>
        </w:rPr>
      </w:pPr>
      <w:r>
        <w:rPr>
          <w:rFonts w:hint="eastAsia" w:ascii="Times New Roman" w:eastAsia="黑体"/>
          <w:bCs/>
          <w:color w:val="000000"/>
          <w:kern w:val="0"/>
          <w:sz w:val="32"/>
          <w:szCs w:val="32"/>
        </w:rPr>
        <w:t>江苏省房屋建筑和市政基础设施工程</w:t>
      </w:r>
    </w:p>
    <w:p>
      <w:pPr>
        <w:shd w:val="clear" w:color="auto" w:fill="FFFFFF"/>
        <w:spacing w:line="460" w:lineRule="exact"/>
        <w:jc w:val="center"/>
        <w:rPr>
          <w:rFonts w:hint="eastAsia" w:ascii="Times New Roman" w:eastAsia="黑体"/>
          <w:bCs/>
          <w:color w:val="000000"/>
          <w:kern w:val="0"/>
          <w:sz w:val="32"/>
          <w:szCs w:val="32"/>
        </w:rPr>
      </w:pPr>
      <w:r>
        <w:rPr>
          <w:rFonts w:hint="eastAsia" w:ascii="Times New Roman" w:eastAsia="黑体"/>
          <w:bCs/>
          <w:color w:val="000000"/>
          <w:kern w:val="0"/>
          <w:sz w:val="32"/>
          <w:szCs w:val="32"/>
        </w:rPr>
        <w:t>招标投标活动异议与投诉处理实施办法</w:t>
      </w:r>
    </w:p>
    <w:p>
      <w:pPr>
        <w:widowControl/>
        <w:spacing w:line="460" w:lineRule="exact"/>
        <w:rPr>
          <w:rFonts w:hint="eastAsia" w:eastAsia="方正仿宋_GBK"/>
          <w:color w:val="000000"/>
          <w:kern w:val="0"/>
          <w:sz w:val="24"/>
        </w:rPr>
      </w:pPr>
      <w:r>
        <w:rPr>
          <w:rFonts w:eastAsia="方正仿宋_GBK"/>
          <w:color w:val="000000"/>
          <w:kern w:val="0"/>
          <w:sz w:val="28"/>
          <w:szCs w:val="28"/>
        </w:rPr>
        <w:t> </w:t>
      </w:r>
    </w:p>
    <w:p>
      <w:pPr>
        <w:widowControl/>
        <w:spacing w:line="460" w:lineRule="exact"/>
        <w:jc w:val="center"/>
        <w:rPr>
          <w:rFonts w:ascii="Times New Roman" w:eastAsia="黑体"/>
          <w:color w:val="000000"/>
          <w:kern w:val="0"/>
          <w:sz w:val="24"/>
        </w:rPr>
      </w:pPr>
      <w:r>
        <w:rPr>
          <w:rFonts w:hint="eastAsia" w:ascii="Times New Roman" w:eastAsia="黑体"/>
          <w:color w:val="000000"/>
          <w:kern w:val="0"/>
          <w:sz w:val="24"/>
        </w:rPr>
        <w:t>第一章</w:t>
      </w:r>
      <w:r>
        <w:rPr>
          <w:rFonts w:eastAsia="黑体"/>
          <w:color w:val="000000"/>
          <w:kern w:val="0"/>
          <w:sz w:val="24"/>
        </w:rPr>
        <w:t>    </w:t>
      </w:r>
      <w:r>
        <w:rPr>
          <w:rFonts w:hint="eastAsia" w:ascii="Times New Roman" w:eastAsia="黑体"/>
          <w:color w:val="000000"/>
          <w:kern w:val="0"/>
          <w:sz w:val="24"/>
        </w:rPr>
        <w:t xml:space="preserve"> 总</w:t>
      </w:r>
      <w:r>
        <w:rPr>
          <w:rFonts w:eastAsia="黑体"/>
          <w:color w:val="000000"/>
          <w:kern w:val="0"/>
          <w:sz w:val="24"/>
        </w:rPr>
        <w:t> </w:t>
      </w:r>
      <w:r>
        <w:rPr>
          <w:rFonts w:hint="eastAsia" w:ascii="Times New Roman" w:eastAsia="黑体"/>
          <w:color w:val="000000"/>
          <w:kern w:val="0"/>
          <w:sz w:val="24"/>
        </w:rPr>
        <w:t xml:space="preserve"> 则</w:t>
      </w:r>
    </w:p>
    <w:p>
      <w:pPr>
        <w:widowControl/>
        <w:spacing w:line="460" w:lineRule="exact"/>
        <w:rPr>
          <w:rFonts w:hint="eastAsia" w:eastAsia="方正仿宋_GBK"/>
          <w:color w:val="000000"/>
          <w:kern w:val="0"/>
          <w:sz w:val="24"/>
        </w:rPr>
      </w:pPr>
      <w:r>
        <w:rPr>
          <w:rFonts w:eastAsia="方正仿宋_GBK"/>
          <w:color w:val="000000"/>
          <w:kern w:val="0"/>
          <w:sz w:val="24"/>
        </w:rPr>
        <w:t> </w:t>
      </w:r>
    </w:p>
    <w:p>
      <w:pPr>
        <w:widowControl/>
        <w:spacing w:line="460" w:lineRule="exact"/>
        <w:ind w:firstLine="472" w:firstLineChars="200"/>
        <w:rPr>
          <w:rFonts w:eastAsia="方正仿宋_GBK"/>
          <w:color w:val="000000"/>
          <w:kern w:val="0"/>
          <w:sz w:val="24"/>
        </w:rPr>
      </w:pPr>
      <w:r>
        <w:rPr>
          <w:rFonts w:hint="eastAsia" w:ascii="Times New Roman" w:eastAsia="黑体"/>
          <w:bCs/>
          <w:color w:val="000000"/>
          <w:kern w:val="0"/>
          <w:sz w:val="24"/>
        </w:rPr>
        <w:t>第一条</w:t>
      </w:r>
      <w:r>
        <w:rPr>
          <w:rFonts w:eastAsia="方正仿宋_GBK"/>
          <w:b/>
          <w:bCs/>
          <w:color w:val="000000"/>
          <w:kern w:val="0"/>
          <w:sz w:val="24"/>
        </w:rPr>
        <w:t xml:space="preserve"> </w:t>
      </w:r>
      <w:r>
        <w:rPr>
          <w:rFonts w:hint="eastAsia" w:eastAsia="方正仿宋_GBK"/>
          <w:color w:val="000000"/>
          <w:kern w:val="0"/>
          <w:sz w:val="24"/>
          <w:shd w:val="clear" w:color="auto" w:fill="FFFFFF"/>
        </w:rPr>
        <w:t>为维护社会公共利益和招标投标当事人合法权益，建立公平、公正、高效的招标投标活动异议和投诉处理机制，根据《中华人民共和国招标投标法》、《中华人民共和国招标投标法实施条例》、《工程建设项目招标投标活动投诉处理办法》（七部委</w:t>
      </w:r>
      <w:r>
        <w:rPr>
          <w:rFonts w:eastAsia="方正仿宋_GBK"/>
          <w:color w:val="000000"/>
          <w:kern w:val="0"/>
          <w:sz w:val="24"/>
          <w:shd w:val="clear" w:color="auto" w:fill="FFFFFF"/>
        </w:rPr>
        <w:t>11</w:t>
      </w:r>
      <w:r>
        <w:rPr>
          <w:rFonts w:hint="eastAsia" w:eastAsia="方正仿宋_GBK"/>
          <w:color w:val="000000"/>
          <w:kern w:val="0"/>
          <w:sz w:val="24"/>
          <w:shd w:val="clear" w:color="auto" w:fill="FFFFFF"/>
        </w:rPr>
        <w:t>号令）等法律、法规及有关规章规定，结合我省实际，</w:t>
      </w:r>
      <w:r>
        <w:rPr>
          <w:rFonts w:hint="eastAsia" w:eastAsia="方正仿宋_GBK"/>
          <w:color w:val="000000"/>
          <w:kern w:val="0"/>
          <w:sz w:val="24"/>
        </w:rPr>
        <w:t>制定本办法。</w:t>
      </w:r>
    </w:p>
    <w:p>
      <w:pPr>
        <w:widowControl/>
        <w:spacing w:line="460" w:lineRule="exact"/>
        <w:ind w:firstLine="472" w:firstLineChars="200"/>
        <w:rPr>
          <w:rFonts w:eastAsia="方正仿宋_GBK"/>
          <w:color w:val="000000"/>
          <w:kern w:val="0"/>
          <w:sz w:val="24"/>
        </w:rPr>
      </w:pPr>
      <w:r>
        <w:rPr>
          <w:rFonts w:hint="eastAsia" w:ascii="Times New Roman" w:eastAsia="黑体"/>
          <w:bCs/>
          <w:color w:val="000000"/>
          <w:kern w:val="0"/>
          <w:sz w:val="24"/>
        </w:rPr>
        <w:t>第二条</w:t>
      </w:r>
      <w:r>
        <w:rPr>
          <w:rFonts w:eastAsia="方正仿宋_GBK"/>
          <w:b/>
          <w:bCs/>
          <w:color w:val="000000"/>
          <w:kern w:val="0"/>
          <w:sz w:val="24"/>
        </w:rPr>
        <w:t xml:space="preserve"> </w:t>
      </w:r>
      <w:r>
        <w:rPr>
          <w:rFonts w:hint="eastAsia" w:eastAsia="方正仿宋_GBK"/>
          <w:color w:val="000000"/>
          <w:kern w:val="0"/>
          <w:sz w:val="24"/>
        </w:rPr>
        <w:t>本办法适用于本省范围内依法必须招标的房屋建筑和市政基</w:t>
      </w:r>
      <w:r>
        <w:rPr>
          <w:rFonts w:hint="eastAsia" w:eastAsia="方正仿宋_GBK"/>
          <w:color w:val="000000"/>
          <w:kern w:val="0"/>
          <w:sz w:val="24"/>
          <w:shd w:val="clear" w:color="auto" w:fill="FFFFFF"/>
        </w:rPr>
        <w:t>础设施工程招标投标活动的异议与投诉、受理与处理活动。</w:t>
      </w:r>
    </w:p>
    <w:p>
      <w:pPr>
        <w:widowControl/>
        <w:spacing w:line="460" w:lineRule="exact"/>
        <w:ind w:firstLine="472" w:firstLineChars="200"/>
        <w:rPr>
          <w:rFonts w:eastAsia="方正仿宋_GBK"/>
          <w:color w:val="000000"/>
          <w:kern w:val="0"/>
          <w:sz w:val="24"/>
        </w:rPr>
      </w:pPr>
      <w:r>
        <w:rPr>
          <w:rFonts w:hint="eastAsia" w:ascii="Times New Roman" w:eastAsia="黑体"/>
          <w:bCs/>
          <w:color w:val="000000"/>
          <w:kern w:val="0"/>
          <w:sz w:val="24"/>
        </w:rPr>
        <w:t>第三条</w:t>
      </w:r>
      <w:r>
        <w:rPr>
          <w:rFonts w:eastAsia="方正仿宋_GBK"/>
          <w:b/>
          <w:bCs/>
          <w:color w:val="000000"/>
          <w:kern w:val="0"/>
          <w:sz w:val="24"/>
        </w:rPr>
        <w:t xml:space="preserve"> </w:t>
      </w:r>
      <w:r>
        <w:rPr>
          <w:rFonts w:hint="eastAsia" w:eastAsia="方正仿宋_GBK"/>
          <w:color w:val="000000"/>
          <w:kern w:val="0"/>
          <w:sz w:val="24"/>
          <w:shd w:val="clear" w:color="auto" w:fill="FFFFFF"/>
        </w:rPr>
        <w:t>省住房和城乡建设行政主管部门负责指导监督全省</w:t>
      </w:r>
      <w:r>
        <w:rPr>
          <w:rFonts w:hint="eastAsia" w:eastAsia="方正仿宋_GBK"/>
          <w:color w:val="000000"/>
          <w:kern w:val="0"/>
          <w:sz w:val="24"/>
        </w:rPr>
        <w:t>房屋建筑和市政基</w:t>
      </w:r>
      <w:r>
        <w:rPr>
          <w:rFonts w:hint="eastAsia" w:eastAsia="方正仿宋_GBK"/>
          <w:color w:val="000000"/>
          <w:kern w:val="0"/>
          <w:sz w:val="24"/>
          <w:shd w:val="clear" w:color="auto" w:fill="FFFFFF"/>
        </w:rPr>
        <w:t>础设施工程招标投标活动异议和投诉的处理。</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shd w:val="clear" w:color="auto" w:fill="FFFFFF"/>
        </w:rPr>
        <w:t>县级以上人民政府住房和城乡建设行政主管部门（以下统称行政监督部门）按照职责分工和监管权限，受理和处理招标投标投诉，对招标投标的异议处理进行监督。县级以上人民政府对招标投标活动监督职责分工另有规定的，从其规定。</w:t>
      </w:r>
    </w:p>
    <w:p>
      <w:pPr>
        <w:widowControl/>
        <w:spacing w:line="460" w:lineRule="exact"/>
        <w:ind w:firstLine="472" w:firstLineChars="200"/>
        <w:rPr>
          <w:rFonts w:eastAsia="方正仿宋_GBK"/>
          <w:color w:val="000000"/>
          <w:kern w:val="0"/>
          <w:sz w:val="24"/>
        </w:rPr>
      </w:pPr>
      <w:r>
        <w:rPr>
          <w:rFonts w:hint="eastAsia" w:ascii="Times New Roman" w:eastAsia="黑体"/>
          <w:bCs/>
          <w:color w:val="000000"/>
          <w:kern w:val="0"/>
          <w:sz w:val="24"/>
        </w:rPr>
        <w:t>第四条</w:t>
      </w:r>
      <w:r>
        <w:rPr>
          <w:rFonts w:eastAsia="方正仿宋_GBK"/>
          <w:b/>
          <w:bCs/>
          <w:color w:val="000000"/>
          <w:kern w:val="0"/>
          <w:sz w:val="24"/>
        </w:rPr>
        <w:t xml:space="preserve"> </w:t>
      </w:r>
      <w:r>
        <w:rPr>
          <w:rFonts w:hint="eastAsia" w:eastAsia="方正仿宋_GBK"/>
          <w:color w:val="000000"/>
          <w:kern w:val="0"/>
          <w:sz w:val="24"/>
          <w:shd w:val="clear" w:color="auto" w:fill="FFFFFF"/>
        </w:rPr>
        <w:t>投标人或者其他利害关系人认为招标投标活动不符合法律、法规和规章规定的</w:t>
      </w:r>
      <w:r>
        <w:rPr>
          <w:rFonts w:eastAsia="方正仿宋_GBK"/>
          <w:color w:val="000000"/>
          <w:kern w:val="0"/>
          <w:sz w:val="24"/>
          <w:shd w:val="clear" w:color="auto" w:fill="FFFFFF"/>
        </w:rPr>
        <w:t>,</w:t>
      </w:r>
      <w:r>
        <w:rPr>
          <w:rFonts w:hint="eastAsia" w:eastAsia="方正仿宋_GBK"/>
          <w:color w:val="000000"/>
          <w:kern w:val="0"/>
          <w:sz w:val="24"/>
          <w:shd w:val="clear" w:color="auto" w:fill="FFFFFF"/>
        </w:rPr>
        <w:t>可以依法向招标人提出异议，也可以在知道或者应当知道之日起</w:t>
      </w:r>
      <w:r>
        <w:rPr>
          <w:rFonts w:eastAsia="方正仿宋_GBK"/>
          <w:color w:val="000000"/>
          <w:kern w:val="0"/>
          <w:sz w:val="24"/>
          <w:shd w:val="clear" w:color="auto" w:fill="FFFFFF"/>
        </w:rPr>
        <w:t>10</w:t>
      </w:r>
      <w:r>
        <w:rPr>
          <w:rFonts w:hint="eastAsia" w:eastAsia="方正仿宋_GBK"/>
          <w:color w:val="000000"/>
          <w:kern w:val="0"/>
          <w:sz w:val="24"/>
          <w:shd w:val="clear" w:color="auto" w:fill="FFFFFF"/>
        </w:rPr>
        <w:t>日内，向有关行政监督部门投诉，但就《中华人民共和国招标投标法实施条例》第二十二条、第四十四条、第五十四条规定事项进行投诉的，应当依法先向招标人提出异议。异议答复期间不计入投诉受理期限内。</w:t>
      </w:r>
    </w:p>
    <w:p>
      <w:pPr>
        <w:widowControl/>
        <w:spacing w:line="460" w:lineRule="exact"/>
        <w:ind w:firstLine="472" w:firstLineChars="200"/>
        <w:rPr>
          <w:rFonts w:eastAsia="方正仿宋_GBK"/>
          <w:color w:val="000000"/>
          <w:kern w:val="0"/>
          <w:sz w:val="24"/>
        </w:rPr>
      </w:pPr>
      <w:r>
        <w:rPr>
          <w:rFonts w:hint="eastAsia" w:ascii="Times New Roman" w:eastAsia="黑体"/>
          <w:bCs/>
          <w:color w:val="000000"/>
          <w:kern w:val="0"/>
          <w:sz w:val="24"/>
        </w:rPr>
        <w:t>第五条</w:t>
      </w:r>
      <w:r>
        <w:rPr>
          <w:rFonts w:eastAsia="方正仿宋_GBK"/>
          <w:color w:val="000000"/>
          <w:kern w:val="0"/>
          <w:sz w:val="24"/>
        </w:rPr>
        <w:t xml:space="preserve"> </w:t>
      </w:r>
      <w:r>
        <w:rPr>
          <w:rFonts w:hint="eastAsia" w:eastAsia="方正仿宋_GBK"/>
          <w:color w:val="000000"/>
          <w:kern w:val="0"/>
          <w:sz w:val="24"/>
        </w:rPr>
        <w:t>招标人应当在资格预审文件、招标文件中明确异议、投诉受理的机构及其电话、传真、电子信箱和通讯地址等信息。同时在招标文件中告知投标人及其他利害关系人在法定的时限内行使异议或者投诉的权利。</w:t>
      </w:r>
    </w:p>
    <w:p>
      <w:pPr>
        <w:widowControl/>
        <w:spacing w:line="460" w:lineRule="exact"/>
        <w:ind w:firstLine="472" w:firstLineChars="200"/>
        <w:rPr>
          <w:rFonts w:eastAsia="方正仿宋_GBK"/>
          <w:color w:val="000000"/>
          <w:kern w:val="0"/>
          <w:sz w:val="24"/>
        </w:rPr>
      </w:pPr>
      <w:r>
        <w:rPr>
          <w:rFonts w:hint="eastAsia" w:ascii="Times New Roman" w:eastAsia="黑体"/>
          <w:bCs/>
          <w:color w:val="000000"/>
          <w:kern w:val="0"/>
          <w:sz w:val="24"/>
        </w:rPr>
        <w:t>第六条</w:t>
      </w:r>
      <w:r>
        <w:rPr>
          <w:rFonts w:eastAsia="方正仿宋_GBK"/>
          <w:color w:val="000000"/>
          <w:kern w:val="0"/>
          <w:sz w:val="24"/>
        </w:rPr>
        <w:t xml:space="preserve"> </w:t>
      </w:r>
      <w:r>
        <w:rPr>
          <w:rFonts w:hint="eastAsia" w:eastAsia="方正仿宋_GBK"/>
          <w:color w:val="000000"/>
          <w:kern w:val="0"/>
          <w:sz w:val="24"/>
        </w:rPr>
        <w:t>异议、投诉的处理</w:t>
      </w:r>
      <w:r>
        <w:rPr>
          <w:rFonts w:hint="eastAsia" w:eastAsia="方正仿宋_GBK"/>
          <w:color w:val="000000"/>
          <w:kern w:val="0"/>
          <w:sz w:val="24"/>
          <w:shd w:val="clear" w:color="auto" w:fill="FFFFFF"/>
        </w:rPr>
        <w:t>应当坚持公平、公正、效率原则，在法定的期限内作出处理决定，维护国家利益、社会公共利益和招标投标当事人及其他利害关系人的合法权益。</w:t>
      </w:r>
    </w:p>
    <w:p>
      <w:pPr>
        <w:widowControl/>
        <w:spacing w:line="460" w:lineRule="exact"/>
        <w:ind w:firstLine="472" w:firstLineChars="200"/>
        <w:rPr>
          <w:rFonts w:eastAsia="方正仿宋_GBK"/>
          <w:color w:val="000000"/>
          <w:kern w:val="0"/>
          <w:sz w:val="24"/>
        </w:rPr>
      </w:pPr>
      <w:r>
        <w:rPr>
          <w:rFonts w:hint="eastAsia" w:ascii="Times New Roman" w:eastAsia="黑体"/>
          <w:bCs/>
          <w:color w:val="000000"/>
          <w:kern w:val="0"/>
          <w:sz w:val="24"/>
        </w:rPr>
        <w:t>第七条</w:t>
      </w:r>
      <w:r>
        <w:rPr>
          <w:rFonts w:eastAsia="方正仿宋_GBK"/>
          <w:color w:val="000000"/>
          <w:kern w:val="0"/>
          <w:sz w:val="24"/>
          <w:shd w:val="clear" w:color="auto" w:fill="FFFFFF"/>
        </w:rPr>
        <w:t xml:space="preserve"> </w:t>
      </w:r>
      <w:r>
        <w:rPr>
          <w:rFonts w:hint="eastAsia" w:eastAsia="方正仿宋_GBK"/>
          <w:color w:val="000000"/>
          <w:kern w:val="0"/>
          <w:sz w:val="24"/>
        </w:rPr>
        <w:t>房屋建筑和市政基础设施工程项目招标投标实行招标人负责制。招标人应当依法处理异议，配合行政监督部门处理投诉。</w:t>
      </w:r>
    </w:p>
    <w:p>
      <w:pPr>
        <w:widowControl/>
        <w:spacing w:line="460" w:lineRule="exact"/>
        <w:ind w:firstLine="560"/>
        <w:rPr>
          <w:rFonts w:eastAsia="方正仿宋_GBK"/>
          <w:color w:val="000000"/>
          <w:kern w:val="0"/>
          <w:sz w:val="24"/>
        </w:rPr>
      </w:pPr>
      <w:r>
        <w:rPr>
          <w:rFonts w:eastAsia="方正仿宋_GBK"/>
          <w:color w:val="000000"/>
          <w:kern w:val="0"/>
          <w:sz w:val="24"/>
        </w:rPr>
        <w:t>  </w:t>
      </w:r>
    </w:p>
    <w:p>
      <w:pPr>
        <w:widowControl/>
        <w:spacing w:line="460" w:lineRule="exact"/>
        <w:jc w:val="center"/>
        <w:rPr>
          <w:rFonts w:ascii="Times New Roman" w:eastAsia="黑体"/>
          <w:color w:val="000000"/>
          <w:kern w:val="0"/>
          <w:sz w:val="24"/>
        </w:rPr>
      </w:pPr>
      <w:r>
        <w:rPr>
          <w:rFonts w:hint="eastAsia" w:ascii="Times New Roman" w:eastAsia="黑体"/>
          <w:color w:val="000000"/>
          <w:kern w:val="0"/>
          <w:sz w:val="24"/>
        </w:rPr>
        <w:t>第二章</w:t>
      </w:r>
      <w:r>
        <w:rPr>
          <w:rFonts w:ascii="Times New Roman" w:eastAsia="黑体"/>
          <w:color w:val="000000"/>
          <w:kern w:val="0"/>
          <w:sz w:val="24"/>
        </w:rPr>
        <w:t> </w:t>
      </w:r>
      <w:r>
        <w:rPr>
          <w:rFonts w:hint="eastAsia" w:ascii="Times New Roman" w:eastAsia="黑体"/>
          <w:color w:val="000000"/>
          <w:kern w:val="0"/>
          <w:sz w:val="24"/>
        </w:rPr>
        <w:t xml:space="preserve"> 异议的提出与处理</w:t>
      </w:r>
    </w:p>
    <w:p>
      <w:pPr>
        <w:widowControl/>
        <w:spacing w:line="460" w:lineRule="exact"/>
        <w:ind w:firstLine="160"/>
        <w:rPr>
          <w:rFonts w:hint="eastAsia" w:eastAsia="方正仿宋_GBK"/>
          <w:color w:val="000000"/>
          <w:kern w:val="0"/>
          <w:sz w:val="24"/>
        </w:rPr>
      </w:pPr>
      <w:r>
        <w:rPr>
          <w:rFonts w:eastAsia="方正仿宋_GBK"/>
          <w:color w:val="000000"/>
          <w:kern w:val="0"/>
          <w:sz w:val="24"/>
        </w:rPr>
        <w:t> </w:t>
      </w:r>
    </w:p>
    <w:p>
      <w:pPr>
        <w:widowControl/>
        <w:shd w:val="clear" w:color="auto" w:fill="FFFFFF"/>
        <w:spacing w:line="460" w:lineRule="exact"/>
        <w:ind w:firstLine="472" w:firstLineChars="200"/>
        <w:rPr>
          <w:rFonts w:eastAsia="方正仿宋_GBK"/>
          <w:color w:val="000000"/>
          <w:kern w:val="0"/>
          <w:sz w:val="24"/>
        </w:rPr>
      </w:pPr>
      <w:r>
        <w:rPr>
          <w:rFonts w:hint="eastAsia" w:ascii="Times New Roman" w:eastAsia="黑体"/>
          <w:bCs/>
          <w:color w:val="000000"/>
          <w:kern w:val="0"/>
          <w:sz w:val="24"/>
        </w:rPr>
        <w:t>第八条</w:t>
      </w:r>
      <w:r>
        <w:rPr>
          <w:rFonts w:eastAsia="方正仿宋_GBK"/>
          <w:color w:val="000000"/>
          <w:kern w:val="0"/>
          <w:sz w:val="24"/>
        </w:rPr>
        <w:t xml:space="preserve"> </w:t>
      </w:r>
      <w:r>
        <w:rPr>
          <w:rFonts w:hint="eastAsia" w:eastAsia="方正仿宋_GBK"/>
          <w:color w:val="000000"/>
          <w:kern w:val="0"/>
          <w:sz w:val="24"/>
        </w:rPr>
        <w:t>异议提出的期限规定如下：</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（一）对资格预审文件有异议的，潜在投标人或者其他利害关系人应当在提交资格预审申请文件截止时间</w:t>
      </w:r>
      <w:r>
        <w:rPr>
          <w:rFonts w:eastAsia="方正仿宋_GBK"/>
          <w:color w:val="000000"/>
          <w:kern w:val="0"/>
          <w:sz w:val="24"/>
        </w:rPr>
        <w:t>2</w:t>
      </w:r>
      <w:r>
        <w:rPr>
          <w:rFonts w:hint="eastAsia" w:eastAsia="方正仿宋_GBK"/>
          <w:color w:val="000000"/>
          <w:kern w:val="0"/>
          <w:sz w:val="24"/>
        </w:rPr>
        <w:t>日前提出；</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（二）对招标文件有异议的，潜在投标人或者其他利害关系人应当在投标截止时间</w:t>
      </w:r>
      <w:r>
        <w:rPr>
          <w:rFonts w:eastAsia="方正仿宋_GBK"/>
          <w:color w:val="000000"/>
          <w:kern w:val="0"/>
          <w:sz w:val="24"/>
        </w:rPr>
        <w:t>10</w:t>
      </w:r>
      <w:r>
        <w:rPr>
          <w:rFonts w:hint="eastAsia" w:eastAsia="方正仿宋_GBK"/>
          <w:color w:val="000000"/>
          <w:kern w:val="0"/>
          <w:sz w:val="24"/>
        </w:rPr>
        <w:t>日前提出，其中对采用合理价随机确定中标人法发包的，在提交投标文件截止时间</w:t>
      </w:r>
      <w:r>
        <w:rPr>
          <w:rFonts w:eastAsia="方正仿宋_GBK"/>
          <w:color w:val="000000"/>
          <w:kern w:val="0"/>
          <w:sz w:val="24"/>
        </w:rPr>
        <w:t>1</w:t>
      </w:r>
      <w:r>
        <w:rPr>
          <w:rFonts w:hint="eastAsia" w:eastAsia="方正仿宋_GBK"/>
          <w:color w:val="000000"/>
          <w:kern w:val="0"/>
          <w:sz w:val="24"/>
        </w:rPr>
        <w:t>日前提出；</w:t>
      </w:r>
    </w:p>
    <w:p>
      <w:pPr>
        <w:widowControl/>
        <w:spacing w:line="460" w:lineRule="exact"/>
        <w:ind w:firstLine="472" w:firstLineChars="200"/>
        <w:rPr>
          <w:rFonts w:eastAsia="方正仿宋_GBK"/>
          <w:color w:val="000000"/>
          <w:spacing w:val="-6"/>
          <w:kern w:val="0"/>
          <w:sz w:val="24"/>
        </w:rPr>
      </w:pPr>
      <w:r>
        <w:rPr>
          <w:rFonts w:hint="eastAsia" w:eastAsia="方正仿宋_GBK"/>
          <w:color w:val="000000"/>
          <w:kern w:val="0"/>
          <w:sz w:val="24"/>
        </w:rPr>
        <w:t>（三）</w:t>
      </w:r>
      <w:r>
        <w:rPr>
          <w:rFonts w:hint="eastAsia" w:eastAsia="方正仿宋_GBK"/>
          <w:color w:val="000000"/>
          <w:spacing w:val="-6"/>
          <w:kern w:val="0"/>
          <w:sz w:val="24"/>
        </w:rPr>
        <w:t>对资格预审不合格结果有异议的，应在资格预审未入围结果公示期内提出；</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（四）对开标有异议的，应当在开标现场提出；</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（五）对评标结果有异议的，投标人或者其他利害关系人应当在中标候选人的公示期间提出。</w:t>
      </w:r>
    </w:p>
    <w:p>
      <w:pPr>
        <w:widowControl/>
        <w:spacing w:line="460" w:lineRule="exact"/>
        <w:ind w:firstLine="472" w:firstLineChars="200"/>
        <w:rPr>
          <w:rFonts w:eastAsia="方正仿宋_GBK"/>
          <w:color w:val="000000"/>
          <w:spacing w:val="-6"/>
          <w:kern w:val="0"/>
          <w:sz w:val="24"/>
        </w:rPr>
      </w:pPr>
      <w:r>
        <w:rPr>
          <w:rFonts w:hint="eastAsia" w:ascii="Times New Roman" w:eastAsia="黑体"/>
          <w:bCs/>
          <w:color w:val="000000"/>
          <w:kern w:val="0"/>
          <w:sz w:val="24"/>
        </w:rPr>
        <w:t>第九条</w:t>
      </w:r>
      <w:r>
        <w:rPr>
          <w:rFonts w:eastAsia="方正仿宋_GBK"/>
          <w:color w:val="000000"/>
          <w:kern w:val="0"/>
          <w:sz w:val="24"/>
        </w:rPr>
        <w:t xml:space="preserve"> </w:t>
      </w:r>
      <w:r>
        <w:rPr>
          <w:rFonts w:hint="eastAsia" w:eastAsia="方正仿宋_GBK"/>
          <w:color w:val="000000"/>
          <w:spacing w:val="-6"/>
          <w:kern w:val="0"/>
          <w:sz w:val="24"/>
        </w:rPr>
        <w:t>异议人对涉及开标事项提出异议的，应当在开标现场以书面形式提出，招标人应当当场作出答复，并制作记录。开标结束后投标人不得对开标事项再提出异议。</w:t>
      </w:r>
    </w:p>
    <w:p>
      <w:pPr>
        <w:widowControl/>
        <w:spacing w:line="460" w:lineRule="exact"/>
        <w:ind w:firstLine="472" w:firstLineChars="200"/>
        <w:rPr>
          <w:rFonts w:eastAsia="方正仿宋_GBK"/>
          <w:color w:val="000000"/>
          <w:kern w:val="0"/>
          <w:sz w:val="24"/>
        </w:rPr>
      </w:pPr>
      <w:r>
        <w:rPr>
          <w:rFonts w:hint="eastAsia" w:ascii="Times New Roman" w:eastAsia="黑体"/>
          <w:bCs/>
          <w:color w:val="000000"/>
          <w:kern w:val="0"/>
          <w:sz w:val="24"/>
        </w:rPr>
        <w:t>第十条</w:t>
      </w:r>
      <w:r>
        <w:rPr>
          <w:rFonts w:eastAsia="方正仿宋_GBK"/>
          <w:color w:val="000000"/>
          <w:kern w:val="0"/>
          <w:sz w:val="24"/>
        </w:rPr>
        <w:t xml:space="preserve"> </w:t>
      </w:r>
      <w:r>
        <w:rPr>
          <w:rFonts w:hint="eastAsia" w:eastAsia="方正仿宋_GBK"/>
          <w:color w:val="000000"/>
          <w:kern w:val="0"/>
          <w:sz w:val="24"/>
        </w:rPr>
        <w:t>异议人对除涉及开标事项提出异议的，应当向招标人提交异议书（格式见附件</w:t>
      </w:r>
      <w:r>
        <w:rPr>
          <w:rFonts w:eastAsia="方正仿宋_GBK"/>
          <w:color w:val="000000"/>
          <w:kern w:val="0"/>
          <w:sz w:val="24"/>
        </w:rPr>
        <w:t>1</w:t>
      </w:r>
      <w:r>
        <w:rPr>
          <w:rFonts w:hint="eastAsia" w:eastAsia="方正仿宋_GBK"/>
          <w:color w:val="000000"/>
          <w:kern w:val="0"/>
          <w:sz w:val="24"/>
        </w:rPr>
        <w:t>），异议书应当包括下列主要内容：</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（一）异议人名称、地址及有效联系方式；</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（二）异议的基本事实、有效线索和相关证明材料；</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（三）相关请求及主张；</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（四）异议人系其他利害关系人的相关说明。</w:t>
      </w:r>
    </w:p>
    <w:p>
      <w:pPr>
        <w:widowControl/>
        <w:spacing w:line="460" w:lineRule="exact"/>
        <w:ind w:firstLine="472" w:firstLineChars="200"/>
        <w:rPr>
          <w:rFonts w:eastAsia="方正仿宋_GBK"/>
          <w:color w:val="000000"/>
          <w:kern w:val="0"/>
          <w:sz w:val="24"/>
        </w:rPr>
      </w:pPr>
      <w:r>
        <w:rPr>
          <w:rFonts w:hint="eastAsia" w:ascii="Times New Roman" w:eastAsia="黑体"/>
          <w:bCs/>
          <w:color w:val="000000"/>
          <w:kern w:val="0"/>
          <w:sz w:val="24"/>
        </w:rPr>
        <w:t>第十一条</w:t>
      </w:r>
      <w:r>
        <w:rPr>
          <w:rFonts w:eastAsia="方正仿宋_GBK"/>
          <w:color w:val="000000"/>
          <w:kern w:val="0"/>
          <w:sz w:val="24"/>
        </w:rPr>
        <w:t xml:space="preserve"> </w:t>
      </w:r>
      <w:r>
        <w:rPr>
          <w:rFonts w:hint="eastAsia" w:eastAsia="方正仿宋_GBK"/>
          <w:color w:val="000000"/>
          <w:kern w:val="0"/>
          <w:sz w:val="24"/>
        </w:rPr>
        <w:t>异议人要求撤回异议的，应当以书面形式提出。招标人同意撤回的，异议程序终止。</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异议人撤回异议的，不得以同一理由再次提出异议和提出投诉。</w:t>
      </w:r>
    </w:p>
    <w:p>
      <w:pPr>
        <w:widowControl/>
        <w:spacing w:line="460" w:lineRule="exact"/>
        <w:ind w:firstLine="472" w:firstLineChars="200"/>
        <w:rPr>
          <w:rFonts w:eastAsia="方正仿宋_GBK"/>
          <w:color w:val="000000"/>
          <w:kern w:val="0"/>
          <w:sz w:val="24"/>
        </w:rPr>
      </w:pPr>
      <w:r>
        <w:rPr>
          <w:rFonts w:hint="eastAsia" w:ascii="Times New Roman" w:eastAsia="黑体"/>
          <w:bCs/>
          <w:color w:val="000000"/>
          <w:kern w:val="0"/>
          <w:sz w:val="24"/>
        </w:rPr>
        <w:t>第十二条</w:t>
      </w:r>
      <w:r>
        <w:rPr>
          <w:rFonts w:eastAsia="方正仿宋_GBK"/>
          <w:color w:val="000000"/>
          <w:kern w:val="0"/>
          <w:sz w:val="24"/>
        </w:rPr>
        <w:t xml:space="preserve"> </w:t>
      </w:r>
      <w:r>
        <w:rPr>
          <w:rFonts w:hint="eastAsia" w:eastAsia="方正仿宋_GBK"/>
          <w:color w:val="000000"/>
          <w:kern w:val="0"/>
          <w:sz w:val="24"/>
        </w:rPr>
        <w:t>招标人应当在法定时限内完成异议处理。对资格预审文件、招标文件、评标结果的异议，招标人应当自异议受理之日起</w:t>
      </w:r>
      <w:r>
        <w:rPr>
          <w:rFonts w:eastAsia="方正仿宋_GBK"/>
          <w:color w:val="000000"/>
          <w:kern w:val="0"/>
          <w:sz w:val="24"/>
        </w:rPr>
        <w:t>3</w:t>
      </w:r>
      <w:r>
        <w:rPr>
          <w:rFonts w:hint="eastAsia" w:eastAsia="方正仿宋_GBK"/>
          <w:color w:val="000000"/>
          <w:kern w:val="0"/>
          <w:sz w:val="24"/>
        </w:rPr>
        <w:t>日内作出书面答复（格式见附件</w:t>
      </w:r>
      <w:r>
        <w:rPr>
          <w:rFonts w:eastAsia="方正仿宋_GBK"/>
          <w:color w:val="000000"/>
          <w:kern w:val="0"/>
          <w:sz w:val="24"/>
        </w:rPr>
        <w:t>2</w:t>
      </w:r>
      <w:r>
        <w:rPr>
          <w:rFonts w:hint="eastAsia" w:eastAsia="方正仿宋_GBK"/>
          <w:color w:val="000000"/>
          <w:kern w:val="0"/>
          <w:sz w:val="24"/>
        </w:rPr>
        <w:t>），答复内容不得涉及商业秘密。未在规定时限内答复的，行政监督部门应当责令招标人依法作出答复。</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招标人处理异议需要进行检验、检测、鉴定、调查取证、组织专家评审或到外地调查的，所需时间不计入前款规定时限。</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异议答复前应当暂停招标投标活动。</w:t>
      </w:r>
    </w:p>
    <w:p>
      <w:pPr>
        <w:widowControl/>
        <w:spacing w:line="460" w:lineRule="exact"/>
        <w:ind w:firstLine="472" w:firstLineChars="200"/>
        <w:rPr>
          <w:rFonts w:eastAsia="方正仿宋_GBK"/>
          <w:color w:val="000000"/>
          <w:spacing w:val="-6"/>
          <w:kern w:val="0"/>
          <w:sz w:val="24"/>
        </w:rPr>
      </w:pPr>
      <w:r>
        <w:rPr>
          <w:rFonts w:hint="eastAsia" w:ascii="Times New Roman" w:eastAsia="黑体"/>
          <w:bCs/>
          <w:color w:val="000000"/>
          <w:kern w:val="0"/>
          <w:sz w:val="24"/>
        </w:rPr>
        <w:t>第十三条</w:t>
      </w:r>
      <w:r>
        <w:rPr>
          <w:rFonts w:eastAsia="方正仿宋_GBK"/>
          <w:color w:val="000000"/>
          <w:kern w:val="0"/>
          <w:sz w:val="24"/>
        </w:rPr>
        <w:t xml:space="preserve"> </w:t>
      </w:r>
      <w:r>
        <w:rPr>
          <w:rFonts w:hint="eastAsia" w:eastAsia="方正仿宋_GBK"/>
          <w:color w:val="000000"/>
          <w:spacing w:val="-6"/>
          <w:kern w:val="0"/>
          <w:sz w:val="24"/>
        </w:rPr>
        <w:t>招标人应当将书面答复自作出之日起</w:t>
      </w:r>
      <w:r>
        <w:rPr>
          <w:rFonts w:eastAsia="方正仿宋_GBK"/>
          <w:color w:val="000000"/>
          <w:spacing w:val="-6"/>
          <w:kern w:val="0"/>
          <w:sz w:val="24"/>
        </w:rPr>
        <w:t>2</w:t>
      </w:r>
      <w:r>
        <w:rPr>
          <w:rFonts w:hint="eastAsia" w:eastAsia="方正仿宋_GBK"/>
          <w:color w:val="000000"/>
          <w:spacing w:val="-6"/>
          <w:kern w:val="0"/>
          <w:sz w:val="24"/>
        </w:rPr>
        <w:t>个工作日内抄送行政监督部门。</w:t>
      </w:r>
    </w:p>
    <w:p>
      <w:pPr>
        <w:widowControl/>
        <w:spacing w:line="460" w:lineRule="exact"/>
        <w:ind w:firstLine="560"/>
        <w:rPr>
          <w:rFonts w:eastAsia="方正仿宋_GBK"/>
          <w:color w:val="000000"/>
          <w:kern w:val="0"/>
          <w:sz w:val="24"/>
        </w:rPr>
      </w:pPr>
      <w:r>
        <w:rPr>
          <w:rFonts w:eastAsia="方正仿宋_GBK"/>
          <w:color w:val="000000"/>
          <w:kern w:val="0"/>
          <w:sz w:val="24"/>
        </w:rPr>
        <w:t> </w:t>
      </w:r>
    </w:p>
    <w:p>
      <w:pPr>
        <w:widowControl/>
        <w:spacing w:line="460" w:lineRule="exact"/>
        <w:jc w:val="center"/>
        <w:rPr>
          <w:rFonts w:ascii="Times New Roman" w:eastAsia="黑体"/>
          <w:color w:val="000000"/>
          <w:kern w:val="0"/>
          <w:sz w:val="24"/>
        </w:rPr>
      </w:pPr>
      <w:r>
        <w:rPr>
          <w:rFonts w:hint="eastAsia" w:ascii="Times New Roman" w:eastAsia="黑体"/>
          <w:color w:val="000000"/>
          <w:kern w:val="0"/>
          <w:sz w:val="24"/>
        </w:rPr>
        <w:t>第三章</w:t>
      </w:r>
      <w:r>
        <w:rPr>
          <w:rFonts w:ascii="Times New Roman" w:eastAsia="黑体"/>
          <w:color w:val="000000"/>
          <w:kern w:val="0"/>
          <w:sz w:val="24"/>
        </w:rPr>
        <w:t> </w:t>
      </w:r>
      <w:r>
        <w:rPr>
          <w:rFonts w:hint="eastAsia" w:ascii="Times New Roman" w:eastAsia="黑体"/>
          <w:color w:val="000000"/>
          <w:kern w:val="0"/>
          <w:sz w:val="24"/>
        </w:rPr>
        <w:t xml:space="preserve"> 投诉的提出和处理</w:t>
      </w:r>
    </w:p>
    <w:p>
      <w:pPr>
        <w:widowControl/>
        <w:spacing w:line="460" w:lineRule="exact"/>
        <w:rPr>
          <w:rFonts w:hint="eastAsia" w:eastAsia="方正仿宋_GBK"/>
          <w:color w:val="000000"/>
          <w:kern w:val="0"/>
          <w:sz w:val="24"/>
        </w:rPr>
      </w:pPr>
      <w:r>
        <w:rPr>
          <w:rFonts w:eastAsia="方正仿宋_GBK"/>
          <w:color w:val="000000"/>
          <w:kern w:val="0"/>
          <w:sz w:val="24"/>
        </w:rPr>
        <w:t> </w:t>
      </w:r>
    </w:p>
    <w:p>
      <w:pPr>
        <w:widowControl/>
        <w:shd w:val="clear" w:color="auto" w:fill="FFFFFF"/>
        <w:spacing w:line="460" w:lineRule="exact"/>
        <w:ind w:firstLine="472" w:firstLineChars="200"/>
        <w:rPr>
          <w:rFonts w:eastAsia="方正仿宋_GBK"/>
          <w:color w:val="000000"/>
          <w:kern w:val="0"/>
          <w:sz w:val="24"/>
        </w:rPr>
      </w:pPr>
      <w:r>
        <w:rPr>
          <w:rFonts w:hint="eastAsia" w:ascii="Times New Roman" w:eastAsia="黑体"/>
          <w:bCs/>
          <w:color w:val="000000"/>
          <w:kern w:val="0"/>
          <w:sz w:val="24"/>
        </w:rPr>
        <w:t>第十四条</w:t>
      </w:r>
      <w:r>
        <w:rPr>
          <w:rFonts w:eastAsia="方正仿宋_GBK"/>
          <w:color w:val="000000"/>
          <w:kern w:val="0"/>
          <w:sz w:val="24"/>
        </w:rPr>
        <w:t xml:space="preserve"> </w:t>
      </w:r>
      <w:r>
        <w:rPr>
          <w:rFonts w:hint="eastAsia" w:eastAsia="方正仿宋_GBK"/>
          <w:color w:val="000000"/>
          <w:kern w:val="0"/>
          <w:sz w:val="24"/>
        </w:rPr>
        <w:t>对资格预审公告、招标公告、资格预审文件、招标文件、招标控制价、资格预审结果、评标结果提出投诉的，以其发布或者公示之日作为投诉人知道或者应当知道之日。</w:t>
      </w:r>
    </w:p>
    <w:p>
      <w:pPr>
        <w:widowControl/>
        <w:spacing w:line="460" w:lineRule="exact"/>
        <w:ind w:firstLine="472" w:firstLineChars="200"/>
        <w:rPr>
          <w:rFonts w:eastAsia="方正仿宋_GBK"/>
          <w:color w:val="000000"/>
          <w:kern w:val="0"/>
          <w:sz w:val="24"/>
        </w:rPr>
      </w:pPr>
      <w:r>
        <w:rPr>
          <w:rFonts w:hint="eastAsia" w:ascii="Times New Roman" w:eastAsia="黑体"/>
          <w:bCs/>
          <w:color w:val="000000"/>
          <w:kern w:val="0"/>
          <w:sz w:val="24"/>
        </w:rPr>
        <w:t>第十五条</w:t>
      </w:r>
      <w:r>
        <w:rPr>
          <w:rFonts w:eastAsia="方正仿宋_GBK"/>
          <w:color w:val="000000"/>
          <w:kern w:val="0"/>
          <w:sz w:val="24"/>
        </w:rPr>
        <w:t xml:space="preserve"> </w:t>
      </w:r>
      <w:r>
        <w:rPr>
          <w:rFonts w:hint="eastAsia" w:eastAsia="方正仿宋_GBK"/>
          <w:color w:val="000000"/>
          <w:kern w:val="0"/>
          <w:sz w:val="24"/>
        </w:rPr>
        <w:t>投诉人应当向项目所在地行政监督部门投诉。投诉应当提交投诉书（格式见附件</w:t>
      </w:r>
      <w:r>
        <w:rPr>
          <w:rFonts w:eastAsia="方正仿宋_GBK"/>
          <w:color w:val="000000"/>
          <w:kern w:val="0"/>
          <w:sz w:val="24"/>
        </w:rPr>
        <w:t>3</w:t>
      </w:r>
      <w:r>
        <w:rPr>
          <w:rFonts w:hint="eastAsia" w:eastAsia="方正仿宋_GBK"/>
          <w:color w:val="000000"/>
          <w:kern w:val="0"/>
          <w:sz w:val="24"/>
        </w:rPr>
        <w:t>），投诉书应当包括下列内容：</w:t>
      </w:r>
    </w:p>
    <w:p>
      <w:pPr>
        <w:widowControl/>
        <w:shd w:val="clear" w:color="auto" w:fill="FFFFFF"/>
        <w:spacing w:line="460" w:lineRule="exact"/>
        <w:ind w:firstLine="472" w:firstLineChars="200"/>
        <w:rPr>
          <w:rFonts w:eastAsia="方正仿宋_GBK"/>
          <w:color w:val="000000"/>
          <w:kern w:val="0"/>
          <w:sz w:val="24"/>
        </w:rPr>
      </w:pPr>
      <w:r>
        <w:rPr>
          <w:rFonts w:hint="eastAsia" w:eastAsia="方正仿宋_GBK"/>
          <w:color w:val="000000"/>
          <w:kern w:val="0"/>
          <w:sz w:val="24"/>
        </w:rPr>
        <w:t>（一）投诉人的名称、地址及有效联系方式；</w:t>
      </w:r>
    </w:p>
    <w:p>
      <w:pPr>
        <w:widowControl/>
        <w:shd w:val="clear" w:color="auto" w:fill="FFFFFF"/>
        <w:spacing w:line="460" w:lineRule="exact"/>
        <w:ind w:firstLine="472" w:firstLineChars="200"/>
        <w:rPr>
          <w:rFonts w:eastAsia="方正仿宋_GBK"/>
          <w:color w:val="000000"/>
          <w:kern w:val="0"/>
          <w:sz w:val="24"/>
        </w:rPr>
      </w:pPr>
      <w:r>
        <w:rPr>
          <w:rFonts w:hint="eastAsia" w:eastAsia="方正仿宋_GBK"/>
          <w:color w:val="000000"/>
          <w:kern w:val="0"/>
          <w:sz w:val="24"/>
        </w:rPr>
        <w:t>（二）被投诉人的名称、地址及有效联系方式；</w:t>
      </w:r>
      <w:r>
        <w:rPr>
          <w:rFonts w:eastAsia="方正仿宋_GBK"/>
          <w:color w:val="000000"/>
          <w:kern w:val="0"/>
          <w:sz w:val="24"/>
        </w:rPr>
        <w:t> </w:t>
      </w:r>
    </w:p>
    <w:p>
      <w:pPr>
        <w:widowControl/>
        <w:shd w:val="clear" w:color="auto" w:fill="FFFFFF"/>
        <w:spacing w:line="460" w:lineRule="exact"/>
        <w:ind w:firstLine="472" w:firstLineChars="200"/>
        <w:rPr>
          <w:rFonts w:eastAsia="方正仿宋_GBK"/>
          <w:color w:val="000000"/>
          <w:kern w:val="0"/>
          <w:sz w:val="24"/>
        </w:rPr>
      </w:pPr>
      <w:r>
        <w:rPr>
          <w:rFonts w:hint="eastAsia" w:eastAsia="方正仿宋_GBK"/>
          <w:color w:val="000000"/>
          <w:kern w:val="0"/>
          <w:sz w:val="24"/>
        </w:rPr>
        <w:t>（三）投诉事项的基本事实；</w:t>
      </w:r>
      <w:r>
        <w:rPr>
          <w:rFonts w:eastAsia="方正仿宋_GBK"/>
          <w:color w:val="000000"/>
          <w:kern w:val="0"/>
          <w:sz w:val="24"/>
        </w:rPr>
        <w:t> </w:t>
      </w:r>
    </w:p>
    <w:p>
      <w:pPr>
        <w:widowControl/>
        <w:shd w:val="clear" w:color="auto" w:fill="FFFFFF"/>
        <w:spacing w:line="460" w:lineRule="exact"/>
        <w:ind w:firstLine="472" w:firstLineChars="200"/>
        <w:rPr>
          <w:rFonts w:eastAsia="方正仿宋_GBK"/>
          <w:color w:val="000000"/>
          <w:kern w:val="0"/>
          <w:sz w:val="24"/>
        </w:rPr>
      </w:pPr>
      <w:r>
        <w:rPr>
          <w:rFonts w:hint="eastAsia" w:eastAsia="方正仿宋_GBK"/>
          <w:color w:val="000000"/>
          <w:kern w:val="0"/>
          <w:sz w:val="24"/>
        </w:rPr>
        <w:t>（四）相关请求及主张；</w:t>
      </w:r>
      <w:r>
        <w:rPr>
          <w:rFonts w:eastAsia="方正仿宋_GBK"/>
          <w:color w:val="000000"/>
          <w:kern w:val="0"/>
          <w:sz w:val="24"/>
        </w:rPr>
        <w:t> </w:t>
      </w:r>
    </w:p>
    <w:p>
      <w:pPr>
        <w:widowControl/>
        <w:shd w:val="clear" w:color="auto" w:fill="FFFFFF"/>
        <w:spacing w:line="460" w:lineRule="exact"/>
        <w:ind w:firstLine="472" w:firstLineChars="200"/>
        <w:rPr>
          <w:rFonts w:eastAsia="方正仿宋_GBK"/>
          <w:color w:val="000000"/>
          <w:kern w:val="0"/>
          <w:sz w:val="24"/>
        </w:rPr>
      </w:pPr>
      <w:r>
        <w:rPr>
          <w:rFonts w:hint="eastAsia" w:eastAsia="方正仿宋_GBK"/>
          <w:color w:val="000000"/>
          <w:kern w:val="0"/>
          <w:sz w:val="24"/>
        </w:rPr>
        <w:t>（五）有效线索和相关证明材料。</w:t>
      </w:r>
      <w:r>
        <w:rPr>
          <w:rFonts w:eastAsia="方正仿宋_GBK"/>
          <w:color w:val="000000"/>
          <w:kern w:val="0"/>
          <w:sz w:val="24"/>
        </w:rPr>
        <w:br w:type="textWrapping"/>
      </w:r>
      <w:r>
        <w:rPr>
          <w:rFonts w:hint="eastAsia" w:eastAsia="方正仿宋_GBK"/>
          <w:color w:val="000000"/>
          <w:kern w:val="0"/>
          <w:sz w:val="24"/>
        </w:rPr>
        <w:t>　　对依法应当在投诉前提出异议的事项，投诉时应当同时附上异议书和招标人异议答复函。</w:t>
      </w:r>
    </w:p>
    <w:p>
      <w:pPr>
        <w:widowControl/>
        <w:spacing w:line="460" w:lineRule="exact"/>
        <w:ind w:firstLine="472" w:firstLineChars="200"/>
        <w:rPr>
          <w:rFonts w:eastAsia="方正仿宋_GBK"/>
          <w:color w:val="000000"/>
          <w:kern w:val="0"/>
          <w:sz w:val="24"/>
        </w:rPr>
      </w:pPr>
      <w:r>
        <w:rPr>
          <w:rFonts w:hint="eastAsia" w:ascii="Times New Roman" w:eastAsia="黑体"/>
          <w:bCs/>
          <w:color w:val="000000"/>
          <w:kern w:val="0"/>
          <w:sz w:val="24"/>
        </w:rPr>
        <w:t>第十六条</w:t>
      </w:r>
      <w:r>
        <w:rPr>
          <w:rFonts w:eastAsia="方正仿宋_GBK"/>
          <w:color w:val="000000"/>
          <w:kern w:val="0"/>
          <w:sz w:val="24"/>
        </w:rPr>
        <w:t xml:space="preserve"> </w:t>
      </w:r>
      <w:r>
        <w:rPr>
          <w:rFonts w:hint="eastAsia" w:eastAsia="方正仿宋_GBK"/>
          <w:color w:val="000000"/>
          <w:kern w:val="0"/>
          <w:sz w:val="24"/>
        </w:rPr>
        <w:t>行政监督部门收到投诉书后，应当在</w:t>
      </w:r>
      <w:r>
        <w:rPr>
          <w:rFonts w:eastAsia="方正仿宋_GBK"/>
          <w:color w:val="000000"/>
          <w:kern w:val="0"/>
          <w:sz w:val="24"/>
        </w:rPr>
        <w:t>3</w:t>
      </w:r>
      <w:r>
        <w:rPr>
          <w:rFonts w:hint="eastAsia" w:eastAsia="方正仿宋_GBK"/>
          <w:color w:val="000000"/>
          <w:kern w:val="0"/>
          <w:sz w:val="24"/>
        </w:rPr>
        <w:t>个工作日内进行审查，视情况分别作出以下处理决定：</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（一）对不符合投诉处理条件的，决定不予受理，并将不予受理的理由书面（格式见附件</w:t>
      </w:r>
      <w:r>
        <w:rPr>
          <w:rFonts w:eastAsia="方正仿宋_GBK"/>
          <w:color w:val="000000"/>
          <w:kern w:val="0"/>
          <w:sz w:val="24"/>
        </w:rPr>
        <w:t>4</w:t>
      </w:r>
      <w:r>
        <w:rPr>
          <w:rFonts w:hint="eastAsia" w:eastAsia="方正仿宋_GBK"/>
          <w:color w:val="000000"/>
          <w:kern w:val="0"/>
          <w:sz w:val="24"/>
        </w:rPr>
        <w:t>）告知投诉人，其中对依法应当在投诉前提出异议且仍在异议期限内的，告知投诉人及时向招标人提出异议；</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（二）投诉事项有多项但有部分事项不符合投诉处理条件的，对其中符合投诉处理条件的事项应当予以受理，对不符合投诉处理条件的事项不予受理，并书面告知投诉人不予受理的理由</w:t>
      </w:r>
      <w:r>
        <w:rPr>
          <w:rFonts w:eastAsia="方正仿宋_GBK"/>
          <w:color w:val="000000"/>
          <w:kern w:val="0"/>
          <w:sz w:val="24"/>
        </w:rPr>
        <w:t>;</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（三）对符合投诉处理条件，但不属于本部门受理的投诉，书面告知投诉人向其他行政监督部门提出投诉；</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对于符合投诉处理条件并决定受理的，收到投诉书之日即为受理日。必要时，行政监督部门可以责令暂停招标投标活动。</w:t>
      </w:r>
    </w:p>
    <w:p>
      <w:pPr>
        <w:widowControl/>
        <w:spacing w:line="460" w:lineRule="exact"/>
        <w:ind w:firstLine="472" w:firstLineChars="200"/>
        <w:rPr>
          <w:rFonts w:eastAsia="方正仿宋_GBK"/>
          <w:color w:val="000000"/>
          <w:kern w:val="0"/>
          <w:sz w:val="24"/>
        </w:rPr>
      </w:pPr>
      <w:r>
        <w:rPr>
          <w:rFonts w:hint="eastAsia" w:ascii="Times New Roman" w:eastAsia="黑体"/>
          <w:bCs/>
          <w:color w:val="000000"/>
          <w:kern w:val="0"/>
          <w:sz w:val="24"/>
        </w:rPr>
        <w:t>第十七条</w:t>
      </w:r>
      <w:r>
        <w:rPr>
          <w:rFonts w:eastAsia="方正仿宋_GBK"/>
          <w:color w:val="000000"/>
          <w:kern w:val="0"/>
          <w:sz w:val="24"/>
        </w:rPr>
        <w:t xml:space="preserve"> </w:t>
      </w:r>
      <w:r>
        <w:rPr>
          <w:rFonts w:hint="eastAsia" w:eastAsia="方正仿宋_GBK"/>
          <w:color w:val="000000"/>
          <w:kern w:val="0"/>
          <w:sz w:val="24"/>
        </w:rPr>
        <w:t>有下列情形之一的投诉，不予受理：</w:t>
      </w:r>
    </w:p>
    <w:p>
      <w:pPr>
        <w:widowControl/>
        <w:shd w:val="clear" w:color="auto" w:fill="FFFFFF"/>
        <w:spacing w:line="460" w:lineRule="exact"/>
        <w:ind w:firstLine="472" w:firstLineChars="200"/>
        <w:rPr>
          <w:rFonts w:eastAsia="方正仿宋_GBK"/>
          <w:color w:val="000000"/>
          <w:kern w:val="0"/>
          <w:sz w:val="24"/>
        </w:rPr>
      </w:pPr>
      <w:r>
        <w:rPr>
          <w:rFonts w:hint="eastAsia" w:eastAsia="方正仿宋_GBK"/>
          <w:color w:val="000000"/>
          <w:kern w:val="0"/>
          <w:sz w:val="24"/>
        </w:rPr>
        <w:t>（一）投诉人不是所投诉招标投标活动的参与者，或者与投诉项目无任何利害关系，或者无法证明其为招投标活动的参与者或者其它利害关系的；</w:t>
      </w:r>
    </w:p>
    <w:p>
      <w:pPr>
        <w:widowControl/>
        <w:shd w:val="clear" w:color="auto" w:fill="FFFFFF"/>
        <w:spacing w:line="460" w:lineRule="exact"/>
        <w:ind w:firstLine="472" w:firstLineChars="200"/>
        <w:rPr>
          <w:rFonts w:eastAsia="方正仿宋_GBK"/>
          <w:color w:val="000000"/>
          <w:kern w:val="0"/>
          <w:sz w:val="24"/>
        </w:rPr>
      </w:pPr>
      <w:r>
        <w:rPr>
          <w:rFonts w:hint="eastAsia" w:eastAsia="方正仿宋_GBK"/>
          <w:color w:val="000000"/>
          <w:kern w:val="0"/>
          <w:sz w:val="24"/>
        </w:rPr>
        <w:t>（二）投诉事项不具体，且未提供有效线索，难以查证的；</w:t>
      </w:r>
      <w:r>
        <w:rPr>
          <w:rFonts w:eastAsia="方正仿宋_GBK"/>
          <w:color w:val="000000"/>
          <w:kern w:val="0"/>
          <w:sz w:val="24"/>
        </w:rPr>
        <w:t> </w:t>
      </w:r>
    </w:p>
    <w:p>
      <w:pPr>
        <w:widowControl/>
        <w:shd w:val="clear" w:color="auto" w:fill="FFFFFF"/>
        <w:spacing w:line="460" w:lineRule="exact"/>
        <w:ind w:firstLine="472" w:firstLineChars="200"/>
        <w:rPr>
          <w:rFonts w:eastAsia="方正仿宋_GBK"/>
          <w:color w:val="000000"/>
          <w:kern w:val="0"/>
          <w:sz w:val="24"/>
        </w:rPr>
      </w:pPr>
      <w:r>
        <w:rPr>
          <w:rFonts w:hint="eastAsia" w:eastAsia="方正仿宋_GBK"/>
          <w:color w:val="000000"/>
          <w:kern w:val="0"/>
          <w:sz w:val="24"/>
        </w:rPr>
        <w:t>（三）投诉书未署具投诉人真实姓名、签字和有效联系方式的；以法人名义投诉的，投诉书未经法定代表人或者授权委托人签字并加盖公章的；</w:t>
      </w:r>
      <w:r>
        <w:rPr>
          <w:rFonts w:eastAsia="方正仿宋_GBK"/>
          <w:color w:val="000000"/>
          <w:kern w:val="0"/>
          <w:sz w:val="24"/>
        </w:rPr>
        <w:t> </w:t>
      </w:r>
    </w:p>
    <w:p>
      <w:pPr>
        <w:widowControl/>
        <w:shd w:val="clear" w:color="auto" w:fill="FFFFFF"/>
        <w:spacing w:line="460" w:lineRule="exact"/>
        <w:ind w:firstLine="472" w:firstLineChars="200"/>
        <w:rPr>
          <w:rFonts w:eastAsia="方正仿宋_GBK"/>
          <w:color w:val="000000"/>
          <w:kern w:val="0"/>
          <w:sz w:val="24"/>
        </w:rPr>
      </w:pPr>
      <w:r>
        <w:rPr>
          <w:rFonts w:hint="eastAsia" w:eastAsia="方正仿宋_GBK"/>
          <w:color w:val="000000"/>
          <w:kern w:val="0"/>
          <w:sz w:val="24"/>
        </w:rPr>
        <w:t>（四）超过投诉时效的；</w:t>
      </w:r>
    </w:p>
    <w:p>
      <w:pPr>
        <w:widowControl/>
        <w:shd w:val="clear" w:color="auto" w:fill="FFFFFF"/>
        <w:spacing w:line="460" w:lineRule="exact"/>
        <w:ind w:firstLine="472" w:firstLineChars="200"/>
        <w:rPr>
          <w:rFonts w:eastAsia="方正仿宋_GBK"/>
          <w:color w:val="000000"/>
          <w:kern w:val="0"/>
          <w:sz w:val="24"/>
        </w:rPr>
      </w:pPr>
      <w:r>
        <w:rPr>
          <w:rFonts w:hint="eastAsia" w:eastAsia="方正仿宋_GBK"/>
          <w:color w:val="000000"/>
          <w:kern w:val="0"/>
          <w:sz w:val="24"/>
        </w:rPr>
        <w:t>（五）已经作出处理决定，并且投诉人没有提出新的证据；</w:t>
      </w:r>
      <w:r>
        <w:rPr>
          <w:rFonts w:eastAsia="方正仿宋_GBK"/>
          <w:color w:val="000000"/>
          <w:kern w:val="0"/>
          <w:sz w:val="24"/>
        </w:rPr>
        <w:t> </w:t>
      </w:r>
    </w:p>
    <w:p>
      <w:pPr>
        <w:widowControl/>
        <w:shd w:val="clear" w:color="auto" w:fill="FFFFFF"/>
        <w:spacing w:line="460" w:lineRule="exact"/>
        <w:ind w:firstLine="472" w:firstLineChars="200"/>
        <w:rPr>
          <w:rFonts w:eastAsia="方正仿宋_GBK"/>
          <w:color w:val="000000"/>
          <w:kern w:val="0"/>
          <w:sz w:val="24"/>
        </w:rPr>
      </w:pPr>
      <w:r>
        <w:rPr>
          <w:rFonts w:hint="eastAsia" w:eastAsia="方正仿宋_GBK"/>
          <w:color w:val="000000"/>
          <w:kern w:val="0"/>
          <w:sz w:val="24"/>
        </w:rPr>
        <w:t>（六）准予撤回投诉后又以同一事实和理由提出投诉的；</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（七）应先提出异议的投诉事项没有提出异议的，或者招标人已暂停招投标活动并正在对异议人提出的异议进行调查处理的；</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（八）投诉事项已进入行政复议或者行政诉讼程序的；</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（九）投诉人就同一事实和理由再提出投诉的。</w:t>
      </w:r>
      <w:r>
        <w:rPr>
          <w:rFonts w:eastAsia="方正仿宋_GBK"/>
          <w:color w:val="000000"/>
          <w:kern w:val="0"/>
          <w:sz w:val="24"/>
        </w:rPr>
        <w:t> </w:t>
      </w:r>
    </w:p>
    <w:p>
      <w:pPr>
        <w:widowControl/>
        <w:spacing w:line="460" w:lineRule="exact"/>
        <w:ind w:firstLine="472" w:firstLineChars="200"/>
        <w:rPr>
          <w:rFonts w:eastAsia="方正仿宋_GBK"/>
          <w:color w:val="000000"/>
          <w:kern w:val="0"/>
          <w:sz w:val="24"/>
        </w:rPr>
      </w:pPr>
      <w:r>
        <w:rPr>
          <w:rFonts w:hint="eastAsia" w:ascii="Times New Roman" w:eastAsia="黑体"/>
          <w:bCs/>
          <w:color w:val="000000"/>
          <w:kern w:val="0"/>
          <w:sz w:val="24"/>
        </w:rPr>
        <w:t>第十八条</w:t>
      </w:r>
      <w:r>
        <w:rPr>
          <w:rFonts w:eastAsia="方正仿宋_GBK"/>
          <w:color w:val="000000"/>
          <w:kern w:val="0"/>
          <w:sz w:val="24"/>
        </w:rPr>
        <w:t xml:space="preserve"> </w:t>
      </w:r>
      <w:r>
        <w:rPr>
          <w:rFonts w:hint="eastAsia" w:eastAsia="方正仿宋_GBK"/>
          <w:color w:val="000000"/>
          <w:kern w:val="0"/>
          <w:sz w:val="24"/>
        </w:rPr>
        <w:t>行政监督部门负责投诉处理的工作人员，有下列情形之一的，应当主动回避：</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（一）近亲属是被投诉人、投诉人，或者是被投诉人、投诉人的主要负责人；</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（二）在近三年内本人曾经在投诉人或者被投诉人单位担任高级管理职务；</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（三）与被投诉人、投诉人有其他利害关系，可能影响对投诉事项公正处理的。</w:t>
      </w:r>
    </w:p>
    <w:p>
      <w:pPr>
        <w:widowControl/>
        <w:spacing w:line="460" w:lineRule="exact"/>
        <w:ind w:firstLine="472" w:firstLineChars="200"/>
        <w:rPr>
          <w:rFonts w:eastAsia="方正仿宋_GBK"/>
          <w:color w:val="000000"/>
          <w:spacing w:val="-6"/>
          <w:kern w:val="0"/>
          <w:sz w:val="24"/>
        </w:rPr>
      </w:pPr>
      <w:r>
        <w:rPr>
          <w:rFonts w:hint="eastAsia" w:ascii="Times New Roman" w:eastAsia="黑体"/>
          <w:bCs/>
          <w:color w:val="000000"/>
          <w:kern w:val="0"/>
          <w:sz w:val="24"/>
        </w:rPr>
        <w:t>第十九条</w:t>
      </w:r>
      <w:r>
        <w:rPr>
          <w:rFonts w:eastAsia="方正仿宋_GBK"/>
          <w:color w:val="000000"/>
          <w:kern w:val="0"/>
          <w:sz w:val="24"/>
        </w:rPr>
        <w:t xml:space="preserve"> </w:t>
      </w:r>
      <w:r>
        <w:rPr>
          <w:rFonts w:hint="eastAsia" w:eastAsia="方正仿宋_GBK"/>
          <w:color w:val="000000"/>
          <w:spacing w:val="-6"/>
          <w:kern w:val="0"/>
          <w:sz w:val="24"/>
        </w:rPr>
        <w:t>行政监督部门处理投诉，有权查阅、复制有关文件、资料，调查有关情况。调查应当由两名以上行政执法人员进行。调查笔录应当交被调查人签字确认。</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对行政监督部门依法进行的调查，投诉人、被投诉人以及评标委员会成员等与投诉事项有关的当事人应当予以配合，如实提供有关资料及情况，不得拒绝、隐匿或者伪报。</w:t>
      </w:r>
    </w:p>
    <w:p>
      <w:pPr>
        <w:widowControl/>
        <w:spacing w:line="460" w:lineRule="exact"/>
        <w:ind w:firstLine="472" w:firstLineChars="200"/>
        <w:rPr>
          <w:rFonts w:eastAsia="方正仿宋_GBK"/>
          <w:color w:val="000000"/>
          <w:kern w:val="0"/>
          <w:sz w:val="24"/>
        </w:rPr>
      </w:pPr>
      <w:r>
        <w:rPr>
          <w:rFonts w:hint="eastAsia" w:ascii="Times New Roman" w:eastAsia="黑体"/>
          <w:bCs/>
          <w:color w:val="000000"/>
          <w:kern w:val="0"/>
          <w:sz w:val="24"/>
        </w:rPr>
        <w:t>第二十条</w:t>
      </w:r>
      <w:r>
        <w:rPr>
          <w:rFonts w:eastAsia="方正仿宋_GBK"/>
          <w:color w:val="000000"/>
          <w:kern w:val="0"/>
          <w:sz w:val="24"/>
        </w:rPr>
        <w:t xml:space="preserve"> </w:t>
      </w:r>
      <w:r>
        <w:rPr>
          <w:rFonts w:hint="eastAsia" w:eastAsia="方正仿宋_GBK"/>
          <w:color w:val="000000"/>
          <w:kern w:val="0"/>
          <w:sz w:val="24"/>
        </w:rPr>
        <w:t>在投诉处理过程中，行政监督部门应当听取被投诉人的陈述和申辩，必要时可通知投诉人和被投诉人按照下例程序进行质证。</w:t>
      </w:r>
    </w:p>
    <w:p>
      <w:pPr>
        <w:widowControl/>
        <w:spacing w:line="460" w:lineRule="exact"/>
        <w:ind w:firstLine="472" w:firstLineChars="200"/>
        <w:rPr>
          <w:rFonts w:eastAsia="方正仿宋_GBK"/>
          <w:color w:val="000000"/>
          <w:kern w:val="0"/>
          <w:sz w:val="24"/>
        </w:rPr>
      </w:pPr>
      <w:r>
        <w:rPr>
          <w:rFonts w:eastAsia="方正仿宋_GBK"/>
          <w:color w:val="000000"/>
          <w:kern w:val="0"/>
          <w:sz w:val="24"/>
        </w:rPr>
        <w:t>(</w:t>
      </w:r>
      <w:r>
        <w:rPr>
          <w:rFonts w:hint="eastAsia" w:eastAsia="方正仿宋_GBK"/>
          <w:color w:val="000000"/>
          <w:kern w:val="0"/>
          <w:sz w:val="24"/>
        </w:rPr>
        <w:t>一</w:t>
      </w:r>
      <w:r>
        <w:rPr>
          <w:rFonts w:eastAsia="方正仿宋_GBK"/>
          <w:color w:val="000000"/>
          <w:kern w:val="0"/>
          <w:sz w:val="24"/>
        </w:rPr>
        <w:t>)</w:t>
      </w:r>
      <w:r>
        <w:rPr>
          <w:rFonts w:hint="eastAsia" w:eastAsia="方正仿宋_GBK"/>
          <w:color w:val="000000"/>
          <w:kern w:val="0"/>
          <w:sz w:val="24"/>
        </w:rPr>
        <w:t>投诉人就提出投诉的事实、理由和主张进行陈述，并出示证据，被投诉人就投诉人提供的证据进行质证；</w:t>
      </w:r>
      <w:r>
        <w:rPr>
          <w:rFonts w:eastAsia="方正仿宋_GBK"/>
          <w:color w:val="000000"/>
          <w:kern w:val="0"/>
          <w:sz w:val="24"/>
        </w:rPr>
        <w:t xml:space="preserve"> </w:t>
      </w:r>
    </w:p>
    <w:p>
      <w:pPr>
        <w:widowControl/>
        <w:spacing w:line="460" w:lineRule="exact"/>
        <w:ind w:firstLine="472" w:firstLineChars="200"/>
        <w:rPr>
          <w:rFonts w:eastAsia="方正仿宋_GBK"/>
          <w:color w:val="000000"/>
          <w:kern w:val="0"/>
          <w:sz w:val="24"/>
        </w:rPr>
      </w:pPr>
      <w:r>
        <w:rPr>
          <w:rFonts w:eastAsia="方正仿宋_GBK"/>
          <w:color w:val="000000"/>
          <w:kern w:val="0"/>
          <w:sz w:val="24"/>
        </w:rPr>
        <w:t>(</w:t>
      </w:r>
      <w:r>
        <w:rPr>
          <w:rFonts w:hint="eastAsia" w:eastAsia="方正仿宋_GBK"/>
          <w:color w:val="000000"/>
          <w:kern w:val="0"/>
          <w:sz w:val="24"/>
        </w:rPr>
        <w:t>二</w:t>
      </w:r>
      <w:r>
        <w:rPr>
          <w:rFonts w:eastAsia="方正仿宋_GBK"/>
          <w:color w:val="000000"/>
          <w:kern w:val="0"/>
          <w:sz w:val="24"/>
        </w:rPr>
        <w:t>)</w:t>
      </w:r>
      <w:r>
        <w:rPr>
          <w:rFonts w:hint="eastAsia" w:eastAsia="方正仿宋_GBK"/>
          <w:color w:val="000000"/>
          <w:kern w:val="0"/>
          <w:sz w:val="24"/>
        </w:rPr>
        <w:t>被投诉人就提出投诉的事实、理由和主张进行答复，并出示证据，投诉人就被投诉人提供的证据进行质证；</w:t>
      </w:r>
    </w:p>
    <w:p>
      <w:pPr>
        <w:widowControl/>
        <w:spacing w:line="460" w:lineRule="exact"/>
        <w:ind w:firstLine="472" w:firstLineChars="200"/>
        <w:rPr>
          <w:rFonts w:eastAsia="方正仿宋_GBK"/>
          <w:color w:val="000000"/>
          <w:kern w:val="0"/>
          <w:sz w:val="24"/>
        </w:rPr>
      </w:pPr>
      <w:r>
        <w:rPr>
          <w:rFonts w:eastAsia="方正仿宋_GBK"/>
          <w:color w:val="000000"/>
          <w:kern w:val="0"/>
          <w:sz w:val="24"/>
        </w:rPr>
        <w:t>(</w:t>
      </w:r>
      <w:r>
        <w:rPr>
          <w:rFonts w:hint="eastAsia" w:eastAsia="方正仿宋_GBK"/>
          <w:color w:val="000000"/>
          <w:kern w:val="0"/>
          <w:sz w:val="24"/>
        </w:rPr>
        <w:t>三</w:t>
      </w:r>
      <w:r>
        <w:rPr>
          <w:rFonts w:eastAsia="方正仿宋_GBK"/>
          <w:color w:val="000000"/>
          <w:kern w:val="0"/>
          <w:sz w:val="24"/>
        </w:rPr>
        <w:t>)</w:t>
      </w:r>
      <w:r>
        <w:rPr>
          <w:rFonts w:hint="eastAsia" w:eastAsia="方正仿宋_GBK"/>
          <w:color w:val="000000"/>
          <w:kern w:val="0"/>
          <w:sz w:val="24"/>
        </w:rPr>
        <w:t>投诉人和被投诉人分别作最后陈述。</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行政监督部门调查收集的证据可在质证时出示，听取投诉人和被投诉人意见，并可就调查收集该证据情况予以说明。</w:t>
      </w:r>
      <w:r>
        <w:rPr>
          <w:rFonts w:eastAsia="方正仿宋_GBK"/>
          <w:color w:val="000000"/>
          <w:kern w:val="0"/>
          <w:sz w:val="24"/>
        </w:rPr>
        <w:t xml:space="preserve"> </w:t>
      </w:r>
    </w:p>
    <w:p>
      <w:pPr>
        <w:widowControl/>
        <w:spacing w:line="460" w:lineRule="exact"/>
        <w:ind w:firstLine="472" w:firstLineChars="200"/>
        <w:rPr>
          <w:rFonts w:eastAsia="方正仿宋_GBK"/>
          <w:color w:val="000000"/>
          <w:kern w:val="0"/>
          <w:sz w:val="24"/>
        </w:rPr>
      </w:pPr>
      <w:r>
        <w:rPr>
          <w:rFonts w:hint="eastAsia" w:ascii="Times New Roman" w:eastAsia="黑体"/>
          <w:bCs/>
          <w:color w:val="000000"/>
          <w:kern w:val="0"/>
          <w:sz w:val="24"/>
        </w:rPr>
        <w:t>第二十一条</w:t>
      </w:r>
      <w:r>
        <w:rPr>
          <w:rFonts w:eastAsia="方正仿宋_GBK"/>
          <w:color w:val="000000"/>
          <w:kern w:val="0"/>
          <w:sz w:val="24"/>
        </w:rPr>
        <w:t xml:space="preserve"> </w:t>
      </w:r>
      <w:r>
        <w:rPr>
          <w:rFonts w:hint="eastAsia" w:eastAsia="方正仿宋_GBK"/>
          <w:color w:val="000000"/>
          <w:kern w:val="0"/>
          <w:sz w:val="24"/>
        </w:rPr>
        <w:t>相关单位和人员拒不配合行政监督部门调查的，按以下规定处理：</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（一）对于投标人，行政监督部门可以驳回其投诉，记录不良行为并予以公示；</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（二）对于招标人，行政监督部门可以责令其暂停招标投标活动；</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（三）对于评标委员会成员，可以取消其列入评标专家库的资格。</w:t>
      </w:r>
    </w:p>
    <w:p>
      <w:pPr>
        <w:widowControl/>
        <w:spacing w:line="460" w:lineRule="exact"/>
        <w:ind w:firstLine="472" w:firstLineChars="200"/>
        <w:rPr>
          <w:rFonts w:eastAsia="方正仿宋_GBK"/>
          <w:color w:val="000000"/>
          <w:kern w:val="0"/>
          <w:sz w:val="24"/>
        </w:rPr>
      </w:pPr>
      <w:r>
        <w:rPr>
          <w:rFonts w:hint="eastAsia" w:eastAsia="方正仿宋_GBK"/>
          <w:b/>
          <w:bCs/>
          <w:color w:val="000000"/>
          <w:kern w:val="0"/>
          <w:sz w:val="24"/>
        </w:rPr>
        <w:t>第二</w:t>
      </w:r>
      <w:r>
        <w:rPr>
          <w:rFonts w:hint="eastAsia" w:ascii="Times New Roman" w:eastAsia="黑体"/>
          <w:bCs/>
          <w:color w:val="000000"/>
          <w:kern w:val="0"/>
          <w:sz w:val="24"/>
        </w:rPr>
        <w:t>十</w:t>
      </w:r>
      <w:r>
        <w:rPr>
          <w:rFonts w:hint="eastAsia" w:eastAsia="方正仿宋_GBK"/>
          <w:b/>
          <w:bCs/>
          <w:color w:val="000000"/>
          <w:kern w:val="0"/>
          <w:sz w:val="24"/>
        </w:rPr>
        <w:t>二条</w:t>
      </w:r>
      <w:r>
        <w:rPr>
          <w:rFonts w:eastAsia="方正仿宋_GBK"/>
          <w:color w:val="000000"/>
          <w:kern w:val="0"/>
          <w:sz w:val="24"/>
        </w:rPr>
        <w:t xml:space="preserve"> </w:t>
      </w:r>
      <w:r>
        <w:rPr>
          <w:rFonts w:hint="eastAsia" w:eastAsia="方正仿宋_GBK"/>
          <w:color w:val="000000"/>
          <w:kern w:val="0"/>
          <w:sz w:val="24"/>
        </w:rPr>
        <w:t>下列行为属于拒不配合行政监督部门调查的行为：</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（一）拒绝向行政监督部门提交相关证据或者材料的；</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（二）伪造证明或者证明材料的；</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（三）拒绝调查约谈、实地取证的；</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（四）在行政执法调查中隐瞒或者捏造事实的；</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（五）阻挠有关人员配合行政监督部门依法进行调查的。</w:t>
      </w:r>
    </w:p>
    <w:p>
      <w:pPr>
        <w:widowControl/>
        <w:spacing w:line="460" w:lineRule="exact"/>
        <w:ind w:firstLine="472" w:firstLineChars="200"/>
        <w:rPr>
          <w:rFonts w:eastAsia="方正仿宋_GBK"/>
          <w:color w:val="000000"/>
          <w:kern w:val="0"/>
          <w:sz w:val="24"/>
        </w:rPr>
      </w:pPr>
      <w:r>
        <w:rPr>
          <w:rFonts w:hint="eastAsia" w:ascii="Times New Roman" w:eastAsia="黑体"/>
          <w:bCs/>
          <w:color w:val="000000"/>
          <w:kern w:val="0"/>
          <w:sz w:val="24"/>
        </w:rPr>
        <w:t>第二十三条</w:t>
      </w:r>
      <w:r>
        <w:rPr>
          <w:rFonts w:eastAsia="方正仿宋_GBK"/>
          <w:color w:val="000000"/>
          <w:kern w:val="0"/>
          <w:sz w:val="24"/>
        </w:rPr>
        <w:t xml:space="preserve"> </w:t>
      </w:r>
      <w:r>
        <w:rPr>
          <w:rFonts w:hint="eastAsia" w:eastAsia="方正仿宋_GBK"/>
          <w:color w:val="000000"/>
          <w:kern w:val="0"/>
          <w:sz w:val="24"/>
        </w:rPr>
        <w:t>投诉涉及项目信息需要跨区进行调查的，住房城乡建设主管部门可向工程所在地住房城乡建设主管部门发函，提出协助调查要求；工程所在地住房城乡建设主管部门应当积极协助，并据实回复。</w:t>
      </w:r>
    </w:p>
    <w:p>
      <w:pPr>
        <w:widowControl/>
        <w:spacing w:line="460" w:lineRule="exact"/>
        <w:ind w:firstLine="472" w:firstLineChars="200"/>
        <w:rPr>
          <w:rFonts w:eastAsia="方正仿宋_GBK"/>
          <w:color w:val="000000"/>
          <w:kern w:val="0"/>
          <w:sz w:val="24"/>
        </w:rPr>
      </w:pPr>
      <w:r>
        <w:rPr>
          <w:rFonts w:hint="eastAsia" w:ascii="Times New Roman" w:eastAsia="黑体"/>
          <w:bCs/>
          <w:color w:val="000000"/>
          <w:kern w:val="0"/>
          <w:sz w:val="24"/>
        </w:rPr>
        <w:t>第二十四条</w:t>
      </w:r>
      <w:r>
        <w:rPr>
          <w:rFonts w:eastAsia="方正仿宋_GBK"/>
          <w:color w:val="000000"/>
          <w:kern w:val="0"/>
          <w:sz w:val="24"/>
        </w:rPr>
        <w:t xml:space="preserve"> </w:t>
      </w:r>
      <w:r>
        <w:rPr>
          <w:rFonts w:hint="eastAsia" w:eastAsia="方正仿宋_GBK"/>
          <w:color w:val="000000"/>
          <w:kern w:val="0"/>
          <w:sz w:val="24"/>
        </w:rPr>
        <w:t>投诉事项涉及专业性或者技术性问题的，下列方式得出的结论可作为行政监督部门处理投诉的依据：</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（一）原资格审查委员会或者评标委员会复核说明；</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（二）专家论证或者评议意见；</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（三）听证会意见。</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组织专家论证时，优先抽取专家库中的资深专家。</w:t>
      </w:r>
    </w:p>
    <w:p>
      <w:pPr>
        <w:widowControl/>
        <w:spacing w:line="460" w:lineRule="exact"/>
        <w:ind w:firstLine="472" w:firstLineChars="200"/>
        <w:rPr>
          <w:rFonts w:eastAsia="方正仿宋_GBK"/>
          <w:color w:val="000000"/>
          <w:kern w:val="0"/>
          <w:sz w:val="24"/>
        </w:rPr>
      </w:pPr>
      <w:r>
        <w:rPr>
          <w:rFonts w:hint="eastAsia" w:ascii="Times New Roman" w:eastAsia="黑体"/>
          <w:bCs/>
          <w:color w:val="000000"/>
          <w:kern w:val="0"/>
          <w:sz w:val="24"/>
        </w:rPr>
        <w:t>第二十五条</w:t>
      </w:r>
      <w:r>
        <w:rPr>
          <w:rFonts w:eastAsia="方正仿宋_GBK"/>
          <w:color w:val="000000"/>
          <w:kern w:val="0"/>
          <w:sz w:val="24"/>
        </w:rPr>
        <w:t xml:space="preserve"> </w:t>
      </w:r>
      <w:r>
        <w:rPr>
          <w:rFonts w:hint="eastAsia" w:eastAsia="方正仿宋_GBK"/>
          <w:color w:val="000000"/>
          <w:kern w:val="0"/>
          <w:sz w:val="24"/>
        </w:rPr>
        <w:t>投诉处理决定做出前，投诉人要求撤回投诉的，应当以书面形式提出并说明理由，由行政监督部门视以下情况，决定是否准予撤回：</w:t>
      </w:r>
      <w:r>
        <w:rPr>
          <w:rFonts w:eastAsia="方正仿宋_GBK"/>
          <w:color w:val="000000"/>
          <w:kern w:val="0"/>
          <w:sz w:val="24"/>
        </w:rPr>
        <w:t xml:space="preserve"> </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（一）已经查实有明显违法行为的，应当不准撤回，并继续调查直至做出处理决定；</w:t>
      </w:r>
      <w:r>
        <w:rPr>
          <w:rFonts w:eastAsia="方正仿宋_GBK"/>
          <w:color w:val="000000"/>
          <w:kern w:val="0"/>
          <w:sz w:val="24"/>
        </w:rPr>
        <w:t xml:space="preserve"> </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（二）撤回投诉不损害国家利益、社会公共利益或者其他当事人合法权益的，应当准予撤回，投诉处理过程终止。</w:t>
      </w:r>
    </w:p>
    <w:p>
      <w:pPr>
        <w:widowControl/>
        <w:spacing w:line="460" w:lineRule="exact"/>
        <w:ind w:firstLine="472" w:firstLineChars="200"/>
        <w:rPr>
          <w:rFonts w:eastAsia="方正仿宋_GBK"/>
          <w:color w:val="000000"/>
          <w:kern w:val="0"/>
          <w:sz w:val="24"/>
        </w:rPr>
      </w:pPr>
      <w:r>
        <w:rPr>
          <w:rFonts w:hint="eastAsia" w:ascii="Times New Roman" w:eastAsia="黑体"/>
          <w:bCs/>
          <w:color w:val="000000"/>
          <w:kern w:val="0"/>
          <w:sz w:val="24"/>
        </w:rPr>
        <w:t>第二十六条</w:t>
      </w:r>
      <w:r>
        <w:rPr>
          <w:rFonts w:eastAsia="方正仿宋_GBK"/>
          <w:color w:val="000000"/>
          <w:kern w:val="0"/>
          <w:sz w:val="24"/>
        </w:rPr>
        <w:t xml:space="preserve"> </w:t>
      </w:r>
      <w:r>
        <w:rPr>
          <w:rFonts w:hint="eastAsia" w:eastAsia="方正仿宋_GBK"/>
          <w:color w:val="000000"/>
          <w:kern w:val="0"/>
          <w:sz w:val="24"/>
        </w:rPr>
        <w:t>行政监督部门应当根据调查和取证情况，对投诉事项进行审查，按照下列规定做出处理决定：</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（一）投诉缺乏事实根据或者法律依据的，或者投诉人捏造事实、伪造材料或者以非法手段取得证明材料进行投诉的，驳回投诉；</w:t>
      </w:r>
      <w:r>
        <w:rPr>
          <w:rFonts w:eastAsia="方正仿宋_GBK"/>
          <w:color w:val="000000"/>
          <w:kern w:val="0"/>
          <w:sz w:val="24"/>
        </w:rPr>
        <w:t> </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（二）投诉情况属实，招标投标活动确实存在违法违规行为的，依据国家法律、法规和规章及本办法对相关单位或者人员予以处理，并按《中华人民共和国行政处罚法》实施行政处罚。</w:t>
      </w:r>
    </w:p>
    <w:p>
      <w:pPr>
        <w:widowControl/>
        <w:spacing w:line="460" w:lineRule="exact"/>
        <w:ind w:firstLine="472" w:firstLineChars="200"/>
        <w:rPr>
          <w:rFonts w:eastAsia="方正仿宋_GBK"/>
          <w:color w:val="000000"/>
          <w:kern w:val="0"/>
          <w:sz w:val="24"/>
        </w:rPr>
      </w:pPr>
      <w:r>
        <w:rPr>
          <w:rFonts w:hint="eastAsia" w:ascii="Times New Roman" w:eastAsia="黑体"/>
          <w:bCs/>
          <w:color w:val="000000"/>
          <w:kern w:val="0"/>
          <w:sz w:val="24"/>
        </w:rPr>
        <w:t>第二十七条</w:t>
      </w:r>
      <w:r>
        <w:rPr>
          <w:rFonts w:eastAsia="方正仿宋_GBK"/>
          <w:color w:val="000000"/>
          <w:kern w:val="0"/>
          <w:sz w:val="24"/>
        </w:rPr>
        <w:t xml:space="preserve"> </w:t>
      </w:r>
      <w:r>
        <w:rPr>
          <w:rFonts w:hint="eastAsia" w:eastAsia="方正仿宋_GBK"/>
          <w:color w:val="000000"/>
          <w:kern w:val="0"/>
          <w:sz w:val="24"/>
        </w:rPr>
        <w:t>行政监督部门应当自受理投诉之日起</w:t>
      </w:r>
      <w:r>
        <w:rPr>
          <w:rFonts w:eastAsia="方正仿宋_GBK"/>
          <w:color w:val="000000"/>
          <w:kern w:val="0"/>
          <w:sz w:val="24"/>
        </w:rPr>
        <w:t>30</w:t>
      </w:r>
      <w:r>
        <w:rPr>
          <w:rFonts w:hint="eastAsia" w:eastAsia="方正仿宋_GBK"/>
          <w:color w:val="000000"/>
          <w:kern w:val="0"/>
          <w:sz w:val="24"/>
        </w:rPr>
        <w:t>个工作日内，对投诉事项做出处理决定，并以书面形式通知投诉人、被投诉人和其他与投诉处理结果有关的当事人。需要检验、检测、鉴定、专家评审的，所需时间不计算在内。</w:t>
      </w:r>
    </w:p>
    <w:p>
      <w:pPr>
        <w:widowControl/>
        <w:spacing w:line="460" w:lineRule="exact"/>
        <w:ind w:firstLine="472" w:firstLineChars="200"/>
        <w:rPr>
          <w:rFonts w:eastAsia="方正仿宋_GBK"/>
          <w:color w:val="000000"/>
          <w:kern w:val="0"/>
          <w:sz w:val="24"/>
        </w:rPr>
      </w:pPr>
      <w:r>
        <w:rPr>
          <w:rFonts w:hint="eastAsia" w:ascii="Times New Roman" w:eastAsia="黑体"/>
          <w:bCs/>
          <w:color w:val="000000"/>
          <w:kern w:val="0"/>
          <w:sz w:val="24"/>
        </w:rPr>
        <w:t>第二十八条</w:t>
      </w:r>
      <w:r>
        <w:rPr>
          <w:rFonts w:eastAsia="方正仿宋_GBK"/>
          <w:color w:val="000000"/>
          <w:kern w:val="0"/>
          <w:sz w:val="24"/>
        </w:rPr>
        <w:t xml:space="preserve"> </w:t>
      </w:r>
      <w:r>
        <w:rPr>
          <w:rFonts w:hint="eastAsia" w:eastAsia="方正仿宋_GBK"/>
          <w:color w:val="000000"/>
          <w:kern w:val="0"/>
          <w:sz w:val="24"/>
        </w:rPr>
        <w:t>投诉处理决定书应当包括下列内容（格式见附件</w:t>
      </w:r>
      <w:r>
        <w:rPr>
          <w:rFonts w:eastAsia="方正仿宋_GBK"/>
          <w:color w:val="000000"/>
          <w:kern w:val="0"/>
          <w:sz w:val="24"/>
        </w:rPr>
        <w:t>5</w:t>
      </w:r>
      <w:r>
        <w:rPr>
          <w:rFonts w:hint="eastAsia" w:eastAsia="方正仿宋_GBK"/>
          <w:color w:val="000000"/>
          <w:kern w:val="0"/>
          <w:sz w:val="24"/>
        </w:rPr>
        <w:t>）：</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shd w:val="clear" w:color="auto" w:fill="FFFFFF"/>
        </w:rPr>
        <w:t>（一）投诉人和被投诉人的名称、住址；</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shd w:val="clear" w:color="auto" w:fill="FFFFFF"/>
        </w:rPr>
        <w:t>（二）投诉人的投诉事项及主张；</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shd w:val="clear" w:color="auto" w:fill="FFFFFF"/>
        </w:rPr>
        <w:t>（三）被投诉人的答辩及请求；</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shd w:val="clear" w:color="auto" w:fill="FFFFFF"/>
        </w:rPr>
        <w:t>（四）调查认定的基本事实；</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shd w:val="clear" w:color="auto" w:fill="FFFFFF"/>
        </w:rPr>
        <w:t>（五）行政监督部门的处理意见及依据。</w:t>
      </w:r>
      <w:r>
        <w:rPr>
          <w:rFonts w:eastAsia="方正仿宋_GBK"/>
          <w:color w:val="000000"/>
          <w:kern w:val="0"/>
          <w:sz w:val="24"/>
        </w:rPr>
        <w:t> </w:t>
      </w:r>
    </w:p>
    <w:p>
      <w:pPr>
        <w:widowControl/>
        <w:spacing w:line="460" w:lineRule="exact"/>
        <w:ind w:firstLine="472" w:firstLineChars="200"/>
        <w:rPr>
          <w:rFonts w:eastAsia="方正仿宋_GBK"/>
          <w:color w:val="000000"/>
          <w:kern w:val="0"/>
          <w:sz w:val="24"/>
        </w:rPr>
      </w:pPr>
      <w:r>
        <w:rPr>
          <w:rFonts w:hint="eastAsia" w:ascii="Times New Roman" w:eastAsia="黑体"/>
          <w:bCs/>
          <w:color w:val="000000"/>
          <w:kern w:val="0"/>
          <w:sz w:val="24"/>
        </w:rPr>
        <w:t>第二十九条</w:t>
      </w:r>
      <w:r>
        <w:rPr>
          <w:rFonts w:eastAsia="方正仿宋_GBK"/>
          <w:color w:val="000000"/>
          <w:kern w:val="0"/>
          <w:sz w:val="24"/>
        </w:rPr>
        <w:t xml:space="preserve"> </w:t>
      </w:r>
      <w:r>
        <w:rPr>
          <w:rFonts w:hint="eastAsia" w:eastAsia="方正仿宋_GBK"/>
          <w:color w:val="000000"/>
          <w:kern w:val="0"/>
          <w:sz w:val="24"/>
        </w:rPr>
        <w:t>行政监督部门应当建立投诉处理档案，并做好保存和管理工作，接受有关方面的监督检查。</w:t>
      </w:r>
    </w:p>
    <w:p>
      <w:pPr>
        <w:widowControl/>
        <w:spacing w:line="460" w:lineRule="exact"/>
        <w:rPr>
          <w:rFonts w:eastAsia="方正仿宋_GBK"/>
          <w:color w:val="000000"/>
          <w:kern w:val="0"/>
          <w:sz w:val="24"/>
        </w:rPr>
      </w:pPr>
      <w:r>
        <w:rPr>
          <w:rFonts w:eastAsia="方正仿宋_GBK"/>
          <w:color w:val="000000"/>
          <w:kern w:val="0"/>
          <w:sz w:val="24"/>
        </w:rPr>
        <w:t> </w:t>
      </w:r>
    </w:p>
    <w:p>
      <w:pPr>
        <w:widowControl/>
        <w:spacing w:line="460" w:lineRule="exact"/>
        <w:jc w:val="center"/>
        <w:rPr>
          <w:rFonts w:ascii="Times New Roman" w:eastAsia="黑体"/>
          <w:color w:val="000000"/>
          <w:kern w:val="0"/>
          <w:sz w:val="24"/>
        </w:rPr>
      </w:pPr>
      <w:r>
        <w:rPr>
          <w:rFonts w:hint="eastAsia" w:ascii="Times New Roman" w:eastAsia="黑体"/>
          <w:color w:val="000000"/>
          <w:kern w:val="0"/>
          <w:sz w:val="24"/>
        </w:rPr>
        <w:t>第四章</w:t>
      </w:r>
      <w:r>
        <w:rPr>
          <w:rFonts w:ascii="Times New Roman" w:eastAsia="黑体"/>
          <w:color w:val="000000"/>
          <w:kern w:val="0"/>
          <w:sz w:val="24"/>
        </w:rPr>
        <w:t> </w:t>
      </w:r>
      <w:r>
        <w:rPr>
          <w:rFonts w:hint="eastAsia" w:ascii="Times New Roman" w:eastAsia="黑体"/>
          <w:color w:val="000000"/>
          <w:kern w:val="0"/>
          <w:sz w:val="24"/>
        </w:rPr>
        <w:t xml:space="preserve"> 监督管理</w:t>
      </w:r>
    </w:p>
    <w:p>
      <w:pPr>
        <w:widowControl/>
        <w:spacing w:line="460" w:lineRule="exact"/>
        <w:rPr>
          <w:rFonts w:hint="eastAsia" w:eastAsia="方正仿宋_GBK"/>
          <w:color w:val="000000"/>
          <w:kern w:val="0"/>
          <w:sz w:val="24"/>
        </w:rPr>
      </w:pPr>
      <w:r>
        <w:rPr>
          <w:rFonts w:eastAsia="方正仿宋_GBK"/>
          <w:color w:val="000000"/>
          <w:kern w:val="0"/>
          <w:sz w:val="24"/>
        </w:rPr>
        <w:t> </w:t>
      </w:r>
    </w:p>
    <w:p>
      <w:pPr>
        <w:widowControl/>
        <w:spacing w:line="460" w:lineRule="exact"/>
        <w:ind w:firstLine="472" w:firstLineChars="200"/>
        <w:rPr>
          <w:rFonts w:eastAsia="方正仿宋_GBK"/>
          <w:color w:val="000000"/>
          <w:kern w:val="0"/>
          <w:sz w:val="24"/>
        </w:rPr>
      </w:pPr>
      <w:r>
        <w:rPr>
          <w:rFonts w:hint="eastAsia" w:ascii="Times New Roman" w:eastAsia="黑体"/>
          <w:bCs/>
          <w:color w:val="000000"/>
          <w:kern w:val="0"/>
          <w:sz w:val="24"/>
        </w:rPr>
        <w:t>第三十条</w:t>
      </w:r>
      <w:r>
        <w:rPr>
          <w:rFonts w:eastAsia="方正仿宋_GBK"/>
          <w:color w:val="000000"/>
          <w:kern w:val="0"/>
          <w:sz w:val="24"/>
        </w:rPr>
        <w:t xml:space="preserve"> </w:t>
      </w:r>
      <w:r>
        <w:rPr>
          <w:rFonts w:hint="eastAsia" w:eastAsia="方正仿宋_GBK"/>
          <w:color w:val="000000"/>
          <w:spacing w:val="-6"/>
          <w:kern w:val="0"/>
          <w:sz w:val="24"/>
        </w:rPr>
        <w:t>异议处理过程中发现有违纪违法的线索或者证据的，招标人应当依法移送行政监督</w:t>
      </w:r>
      <w:r>
        <w:rPr>
          <w:rFonts w:hint="eastAsia" w:eastAsia="方正仿宋_GBK"/>
          <w:color w:val="000000"/>
          <w:kern w:val="0"/>
          <w:sz w:val="24"/>
        </w:rPr>
        <w:t>部门或者监察机关、公安或者司法机关予以查处，不得隐匿或者掩盖。</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招标人不按照规定受理异议或者对异议作出答复，继续进行招标投标活动的，由有关行政监督部门责令改正。拒不改正或者不能改正并影响中标结果的，依照《中华人民共和国招标投标法实施条例》有关规定处理。</w:t>
      </w:r>
    </w:p>
    <w:p>
      <w:pPr>
        <w:widowControl/>
        <w:spacing w:line="460" w:lineRule="exact"/>
        <w:ind w:firstLine="472" w:firstLineChars="200"/>
        <w:rPr>
          <w:rFonts w:eastAsia="方正仿宋_GBK"/>
          <w:color w:val="000000"/>
          <w:kern w:val="0"/>
          <w:sz w:val="24"/>
        </w:rPr>
      </w:pPr>
      <w:r>
        <w:rPr>
          <w:rFonts w:hint="eastAsia" w:ascii="Times New Roman" w:eastAsia="黑体"/>
          <w:bCs/>
          <w:color w:val="000000"/>
          <w:kern w:val="0"/>
          <w:sz w:val="24"/>
        </w:rPr>
        <w:t>第三十一条</w:t>
      </w:r>
      <w:r>
        <w:rPr>
          <w:rFonts w:eastAsia="方正仿宋_GBK"/>
          <w:color w:val="000000"/>
          <w:kern w:val="0"/>
          <w:sz w:val="24"/>
        </w:rPr>
        <w:t xml:space="preserve"> </w:t>
      </w:r>
      <w:r>
        <w:rPr>
          <w:rFonts w:hint="eastAsia" w:eastAsia="方正仿宋_GBK"/>
          <w:color w:val="000000"/>
          <w:kern w:val="0"/>
          <w:sz w:val="24"/>
        </w:rPr>
        <w:t>在招投标异议、投诉处理过程中涉及的各方主体及其工作人员有失信行为的，按照国家、省有关规定进行信用惩戒。</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招标代理机构、评标专家有违法违规行为，依据招标投标相关法律法规规章给予处理。</w:t>
      </w:r>
    </w:p>
    <w:p>
      <w:pPr>
        <w:widowControl/>
        <w:spacing w:line="460" w:lineRule="exact"/>
        <w:ind w:firstLine="472" w:firstLineChars="200"/>
        <w:rPr>
          <w:rFonts w:eastAsia="方正仿宋_GBK"/>
          <w:color w:val="000000"/>
          <w:kern w:val="0"/>
          <w:sz w:val="24"/>
        </w:rPr>
      </w:pPr>
      <w:r>
        <w:rPr>
          <w:rFonts w:hint="eastAsia" w:ascii="Times New Roman" w:eastAsia="黑体"/>
          <w:bCs/>
          <w:color w:val="000000"/>
          <w:kern w:val="0"/>
          <w:sz w:val="24"/>
        </w:rPr>
        <w:t>第三十二条</w:t>
      </w:r>
      <w:r>
        <w:rPr>
          <w:rFonts w:eastAsia="方正仿宋_GBK"/>
          <w:color w:val="000000"/>
          <w:kern w:val="0"/>
          <w:sz w:val="24"/>
        </w:rPr>
        <w:t xml:space="preserve"> </w:t>
      </w:r>
      <w:r>
        <w:rPr>
          <w:rFonts w:hint="eastAsia" w:eastAsia="方正仿宋_GBK"/>
          <w:color w:val="000000"/>
          <w:kern w:val="0"/>
          <w:sz w:val="24"/>
        </w:rPr>
        <w:t>投诉人故意捏造事实、伪造证明材料的，或者以非法手段取得证明材料等进行恶意投诉，给他人造成损失的，依法承担赔偿责任。</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前款情形投诉的，由行政监督部门驳回投诉，对其记录不良行为并予以公示。</w:t>
      </w:r>
    </w:p>
    <w:p>
      <w:pPr>
        <w:widowControl/>
        <w:spacing w:line="460" w:lineRule="exact"/>
        <w:ind w:firstLine="472" w:firstLineChars="200"/>
        <w:rPr>
          <w:rFonts w:eastAsia="方正仿宋_GBK"/>
          <w:color w:val="000000"/>
          <w:kern w:val="0"/>
          <w:sz w:val="24"/>
        </w:rPr>
      </w:pPr>
      <w:r>
        <w:rPr>
          <w:rFonts w:hint="eastAsia" w:ascii="Times New Roman" w:eastAsia="黑体"/>
          <w:bCs/>
          <w:color w:val="000000"/>
          <w:kern w:val="0"/>
          <w:sz w:val="24"/>
        </w:rPr>
        <w:t>第三十三条</w:t>
      </w:r>
      <w:r>
        <w:rPr>
          <w:rFonts w:eastAsia="方正仿宋_GBK"/>
          <w:color w:val="000000"/>
          <w:kern w:val="0"/>
          <w:sz w:val="24"/>
        </w:rPr>
        <w:t xml:space="preserve"> </w:t>
      </w:r>
      <w:r>
        <w:rPr>
          <w:rFonts w:hint="eastAsia" w:eastAsia="方正仿宋_GBK"/>
          <w:color w:val="000000"/>
          <w:kern w:val="0"/>
          <w:sz w:val="24"/>
        </w:rPr>
        <w:t>负责投诉处理的工作人员应当严格遵守保密规定。对于在投诉处理过程中所接触到的国家秘密、商业秘密应当依法予以保密，不得将投诉事项透露给与投诉无关的其他单位和个人。</w:t>
      </w:r>
    </w:p>
    <w:p>
      <w:pPr>
        <w:widowControl/>
        <w:spacing w:line="460" w:lineRule="exact"/>
        <w:ind w:firstLine="472" w:firstLineChars="200"/>
        <w:rPr>
          <w:rFonts w:eastAsia="方正仿宋_GBK"/>
          <w:color w:val="000000"/>
          <w:kern w:val="0"/>
          <w:sz w:val="24"/>
        </w:rPr>
      </w:pPr>
      <w:r>
        <w:rPr>
          <w:rFonts w:hint="eastAsia" w:ascii="Times New Roman" w:eastAsia="黑体"/>
          <w:bCs/>
          <w:color w:val="000000"/>
          <w:kern w:val="0"/>
          <w:sz w:val="24"/>
        </w:rPr>
        <w:t>第三十四条</w:t>
      </w:r>
      <w:r>
        <w:rPr>
          <w:rFonts w:eastAsia="方正仿宋_GBK"/>
          <w:color w:val="000000"/>
          <w:kern w:val="0"/>
          <w:sz w:val="24"/>
        </w:rPr>
        <w:t xml:space="preserve"> </w:t>
      </w:r>
      <w:r>
        <w:rPr>
          <w:rFonts w:hint="eastAsia" w:eastAsia="方正仿宋_GBK"/>
          <w:color w:val="000000"/>
          <w:kern w:val="0"/>
          <w:sz w:val="24"/>
        </w:rPr>
        <w:t>受理、调查和处理投诉有关的人员必须遵守纪律、依法办事、廉洁自律，不得有以下行为：</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（一）以任何方式非法干涉投诉受理、调查、处理活动；</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（二）徇私舞弊、滥用职权或者玩忽职守；</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（三）泄露依法应当保密的资料或情况；</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（四）隐瞒、压制、截留、撤换、拖延投诉信息或者调查事实及情况；</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（五）受利害关系人委托，威胁、利诱投诉人撤诉；</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（六）索要、收受投诉人、被投诉人或者中间人的财物；</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（七）利用工作之便为自己或者他人谋取私利；</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（八）违反法律、法规、规章的其他行为。</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行政监督部门工作人员在处理投诉过程中徇私舞弊、滥用职权或者玩忽职守，对投诉人打击报复的，报有关部门依纪依法予以处理。</w:t>
      </w:r>
    </w:p>
    <w:p>
      <w:pPr>
        <w:widowControl/>
        <w:spacing w:line="460" w:lineRule="exact"/>
        <w:ind w:firstLine="472" w:firstLineChars="200"/>
        <w:rPr>
          <w:rFonts w:eastAsia="方正仿宋_GBK"/>
          <w:color w:val="000000"/>
          <w:kern w:val="0"/>
          <w:sz w:val="24"/>
        </w:rPr>
      </w:pPr>
      <w:r>
        <w:rPr>
          <w:rFonts w:hint="eastAsia" w:ascii="Times New Roman" w:eastAsia="黑体"/>
          <w:bCs/>
          <w:color w:val="000000"/>
          <w:kern w:val="0"/>
          <w:sz w:val="24"/>
        </w:rPr>
        <w:t xml:space="preserve">第三十五条 </w:t>
      </w:r>
      <w:r>
        <w:rPr>
          <w:rFonts w:hint="eastAsia" w:eastAsia="方正仿宋_GBK"/>
          <w:color w:val="000000"/>
          <w:kern w:val="0"/>
          <w:sz w:val="24"/>
        </w:rPr>
        <w:t>行政监督部门处理投诉过程中，不得向投诉人和被投诉人收取任何费用。</w:t>
      </w:r>
    </w:p>
    <w:p>
      <w:pPr>
        <w:widowControl/>
        <w:spacing w:line="460" w:lineRule="exact"/>
        <w:ind w:firstLine="560"/>
        <w:rPr>
          <w:rFonts w:ascii="Times New Roman" w:eastAsia="黑体"/>
          <w:color w:val="000000"/>
          <w:kern w:val="0"/>
          <w:sz w:val="24"/>
        </w:rPr>
      </w:pPr>
      <w:r>
        <w:rPr>
          <w:rFonts w:eastAsia="方正仿宋_GBK"/>
          <w:color w:val="000000"/>
          <w:kern w:val="0"/>
          <w:sz w:val="24"/>
        </w:rPr>
        <w:t> </w:t>
      </w:r>
      <w:r>
        <w:rPr>
          <w:rFonts w:hint="eastAsia" w:ascii="Times New Roman" w:eastAsia="黑体"/>
          <w:color w:val="000000"/>
          <w:kern w:val="0"/>
          <w:sz w:val="24"/>
        </w:rPr>
        <w:t>第五章</w:t>
      </w:r>
      <w:r>
        <w:rPr>
          <w:rFonts w:ascii="Times New Roman" w:eastAsia="黑体"/>
          <w:color w:val="000000"/>
          <w:kern w:val="0"/>
          <w:sz w:val="24"/>
        </w:rPr>
        <w:t> </w:t>
      </w:r>
      <w:r>
        <w:rPr>
          <w:rFonts w:hint="eastAsia" w:ascii="Times New Roman" w:eastAsia="黑体"/>
          <w:color w:val="000000"/>
          <w:kern w:val="0"/>
          <w:sz w:val="24"/>
        </w:rPr>
        <w:t xml:space="preserve"> 附</w:t>
      </w:r>
      <w:r>
        <w:rPr>
          <w:rFonts w:ascii="Times New Roman" w:eastAsia="黑体"/>
          <w:color w:val="000000"/>
          <w:kern w:val="0"/>
          <w:sz w:val="24"/>
        </w:rPr>
        <w:t> </w:t>
      </w:r>
      <w:r>
        <w:rPr>
          <w:rFonts w:hint="eastAsia" w:ascii="Times New Roman" w:eastAsia="黑体"/>
          <w:color w:val="000000"/>
          <w:kern w:val="0"/>
          <w:sz w:val="24"/>
        </w:rPr>
        <w:t xml:space="preserve"> 则</w:t>
      </w:r>
    </w:p>
    <w:p>
      <w:pPr>
        <w:widowControl/>
        <w:spacing w:line="460" w:lineRule="exact"/>
        <w:rPr>
          <w:rFonts w:hint="eastAsia" w:eastAsia="方正仿宋_GBK"/>
          <w:color w:val="000000"/>
          <w:kern w:val="0"/>
          <w:sz w:val="24"/>
        </w:rPr>
      </w:pPr>
      <w:r>
        <w:rPr>
          <w:rFonts w:eastAsia="方正仿宋_GBK"/>
          <w:color w:val="000000"/>
          <w:kern w:val="0"/>
          <w:sz w:val="24"/>
        </w:rPr>
        <w:t> </w:t>
      </w:r>
    </w:p>
    <w:p>
      <w:pPr>
        <w:widowControl/>
        <w:spacing w:line="460" w:lineRule="exact"/>
        <w:ind w:firstLine="472" w:firstLineChars="200"/>
        <w:rPr>
          <w:rFonts w:eastAsia="方正仿宋_GBK"/>
          <w:color w:val="000000"/>
          <w:kern w:val="0"/>
          <w:sz w:val="24"/>
        </w:rPr>
      </w:pPr>
      <w:r>
        <w:rPr>
          <w:rFonts w:hint="eastAsia" w:ascii="Times New Roman" w:eastAsia="黑体"/>
          <w:bCs/>
          <w:color w:val="000000"/>
          <w:kern w:val="0"/>
          <w:sz w:val="24"/>
        </w:rPr>
        <w:t>第三十六条</w:t>
      </w:r>
      <w:r>
        <w:rPr>
          <w:rFonts w:eastAsia="方正仿宋_GBK"/>
          <w:color w:val="000000"/>
          <w:kern w:val="0"/>
          <w:sz w:val="24"/>
        </w:rPr>
        <w:t xml:space="preserve"> </w:t>
      </w:r>
      <w:r>
        <w:rPr>
          <w:rFonts w:hint="eastAsia" w:eastAsia="方正仿宋_GBK"/>
          <w:color w:val="000000"/>
          <w:kern w:val="0"/>
          <w:sz w:val="24"/>
        </w:rPr>
        <w:t>本办法下列用语的含义是：</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（一）异议是指投标人或者其他利害关系人对资格预审文件、资格预审不合格结果、招标文件、开标或者评标结果可能存在的违反法律、法规和规章规定的问题，依法向招标人提出不同意见的行为。</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潜在投标人对资格预审文件和招标文件中可能存在的遗漏、错误、含义不清甚至相互矛盾等问题提出疑问的，不属于本办法规定的异议。疑问应当在资格预审文件或者招标文件规定的时间内提出。</w:t>
      </w:r>
    </w:p>
    <w:p>
      <w:pPr>
        <w:widowControl/>
        <w:spacing w:line="460" w:lineRule="exact"/>
        <w:ind w:firstLine="472" w:firstLineChars="200"/>
        <w:rPr>
          <w:rFonts w:eastAsia="方正仿宋_GBK"/>
          <w:color w:val="000000"/>
          <w:spacing w:val="-6"/>
          <w:kern w:val="0"/>
          <w:sz w:val="24"/>
        </w:rPr>
      </w:pPr>
      <w:r>
        <w:rPr>
          <w:rFonts w:hint="eastAsia" w:eastAsia="方正仿宋_GBK"/>
          <w:color w:val="000000"/>
          <w:kern w:val="0"/>
          <w:sz w:val="24"/>
        </w:rPr>
        <w:t>（二）</w:t>
      </w:r>
      <w:r>
        <w:rPr>
          <w:rFonts w:hint="eastAsia" w:eastAsia="方正仿宋_GBK"/>
          <w:color w:val="000000"/>
          <w:spacing w:val="-6"/>
          <w:kern w:val="0"/>
          <w:sz w:val="24"/>
        </w:rPr>
        <w:t>投诉是指投标人或者其他利害关系人认为招标投标活动不符合法律、法规和规章规定，或者其自身合法权益受到侵害，以及异议人对招标人的异议答复不服，依法在规定的期限内向行政监督部门提出要求制止违法行为或者保护其合法权益的行为。</w:t>
      </w:r>
    </w:p>
    <w:p>
      <w:pPr>
        <w:widowControl/>
        <w:spacing w:line="460" w:lineRule="exact"/>
        <w:ind w:firstLine="472" w:firstLineChars="200"/>
        <w:rPr>
          <w:rFonts w:eastAsia="方正仿宋_GBK"/>
          <w:color w:val="000000"/>
          <w:kern w:val="0"/>
          <w:sz w:val="24"/>
        </w:rPr>
      </w:pPr>
      <w:r>
        <w:rPr>
          <w:rFonts w:hint="eastAsia" w:eastAsia="方正仿宋_GBK"/>
          <w:color w:val="000000"/>
          <w:kern w:val="0"/>
          <w:sz w:val="24"/>
        </w:rPr>
        <w:t>（三）其他利害关系人是指投标人以外的，与招标项目或者招标投标活动有直接或者间接利益关系的法人、其他组织和个人，主要包括招标人、招标项目的使用人、潜在投标人、与招标项目相关的货物或者服务的特定供应商或者分包人等。</w:t>
      </w:r>
    </w:p>
    <w:p>
      <w:pPr>
        <w:widowControl/>
        <w:spacing w:line="460" w:lineRule="exact"/>
        <w:ind w:firstLine="472" w:firstLineChars="200"/>
        <w:rPr>
          <w:rFonts w:eastAsia="方正仿宋_GBK"/>
          <w:color w:val="000000"/>
          <w:kern w:val="0"/>
          <w:sz w:val="24"/>
        </w:rPr>
      </w:pPr>
      <w:r>
        <w:rPr>
          <w:rFonts w:hint="eastAsia" w:ascii="Times New Roman" w:eastAsia="黑体"/>
          <w:bCs/>
          <w:color w:val="000000"/>
          <w:kern w:val="0"/>
          <w:sz w:val="24"/>
        </w:rPr>
        <w:t>第三十七条</w:t>
      </w:r>
      <w:r>
        <w:rPr>
          <w:rFonts w:eastAsia="方正仿宋_GBK"/>
          <w:color w:val="000000"/>
          <w:kern w:val="0"/>
          <w:sz w:val="24"/>
        </w:rPr>
        <w:t xml:space="preserve"> </w:t>
      </w:r>
      <w:r>
        <w:rPr>
          <w:rFonts w:hint="eastAsia" w:eastAsia="方正仿宋_GBK"/>
          <w:color w:val="000000"/>
          <w:kern w:val="0"/>
          <w:sz w:val="24"/>
        </w:rPr>
        <w:t>本办法自</w:t>
      </w:r>
      <w:r>
        <w:rPr>
          <w:rFonts w:eastAsia="方正仿宋_GBK"/>
          <w:color w:val="000000"/>
          <w:kern w:val="0"/>
          <w:sz w:val="24"/>
        </w:rPr>
        <w:t>2016</w:t>
      </w:r>
      <w:r>
        <w:rPr>
          <w:rFonts w:hint="eastAsia" w:eastAsia="方正仿宋_GBK"/>
          <w:color w:val="000000"/>
          <w:kern w:val="0"/>
          <w:sz w:val="24"/>
        </w:rPr>
        <w:t>年</w:t>
      </w:r>
      <w:r>
        <w:rPr>
          <w:rFonts w:eastAsia="方正仿宋_GBK"/>
          <w:color w:val="000000"/>
          <w:kern w:val="0"/>
          <w:sz w:val="24"/>
        </w:rPr>
        <w:t>7</w:t>
      </w:r>
      <w:r>
        <w:rPr>
          <w:rFonts w:hint="eastAsia" w:eastAsia="方正仿宋_GBK"/>
          <w:color w:val="000000"/>
          <w:kern w:val="0"/>
          <w:sz w:val="24"/>
        </w:rPr>
        <w:t>月</w:t>
      </w:r>
      <w:r>
        <w:rPr>
          <w:rFonts w:eastAsia="方正仿宋_GBK"/>
          <w:color w:val="000000"/>
          <w:kern w:val="0"/>
          <w:sz w:val="24"/>
        </w:rPr>
        <w:t>1</w:t>
      </w:r>
      <w:r>
        <w:rPr>
          <w:rFonts w:hint="eastAsia" w:eastAsia="方正仿宋_GBK"/>
          <w:color w:val="000000"/>
          <w:kern w:val="0"/>
          <w:sz w:val="24"/>
        </w:rPr>
        <w:t>日起施行。以往颁布的其他文件与本办法不一致的，以本办法为准。</w:t>
      </w:r>
    </w:p>
    <w:p>
      <w:pPr>
        <w:widowControl/>
        <w:spacing w:line="460" w:lineRule="exact"/>
        <w:ind w:firstLine="472" w:firstLineChars="200"/>
        <w:rPr>
          <w:rFonts w:eastAsia="方正仿宋_GBK"/>
          <w:color w:val="000000"/>
          <w:kern w:val="0"/>
          <w:sz w:val="24"/>
        </w:rPr>
      </w:pPr>
      <w:r>
        <w:rPr>
          <w:rFonts w:hint="eastAsia" w:ascii="Times New Roman" w:eastAsia="黑体"/>
          <w:bCs/>
          <w:color w:val="000000"/>
          <w:kern w:val="0"/>
          <w:sz w:val="24"/>
        </w:rPr>
        <w:t>第三十八条</w:t>
      </w:r>
      <w:r>
        <w:rPr>
          <w:rFonts w:eastAsia="方正仿宋_GBK"/>
          <w:color w:val="000000"/>
          <w:kern w:val="0"/>
          <w:sz w:val="24"/>
        </w:rPr>
        <w:t xml:space="preserve"> </w:t>
      </w:r>
      <w:r>
        <w:rPr>
          <w:rFonts w:hint="eastAsia" w:eastAsia="方正仿宋_GBK"/>
          <w:color w:val="000000"/>
          <w:spacing w:val="-4"/>
          <w:kern w:val="0"/>
          <w:sz w:val="24"/>
        </w:rPr>
        <w:t>本办法由省住房和城乡建设厅负责解释。</w:t>
      </w:r>
    </w:p>
    <w:p>
      <w:pPr>
        <w:widowControl/>
        <w:spacing w:line="460" w:lineRule="exact"/>
        <w:ind w:firstLine="456" w:firstLineChars="200"/>
        <w:rPr>
          <w:rFonts w:eastAsia="方正仿宋_GBK"/>
          <w:color w:val="000000"/>
          <w:kern w:val="0"/>
          <w:sz w:val="24"/>
        </w:rPr>
      </w:pPr>
      <w:r>
        <w:rPr>
          <w:rFonts w:hint="eastAsia" w:eastAsia="方正仿宋_GBK"/>
          <w:color w:val="000000"/>
          <w:spacing w:val="-4"/>
          <w:kern w:val="0"/>
          <w:sz w:val="24"/>
        </w:rPr>
        <w:t>附件</w:t>
      </w:r>
      <w:r>
        <w:rPr>
          <w:rFonts w:eastAsia="方正仿宋_GBK"/>
          <w:color w:val="000000"/>
          <w:spacing w:val="-4"/>
          <w:kern w:val="0"/>
          <w:sz w:val="24"/>
        </w:rPr>
        <w:t>1</w:t>
      </w:r>
      <w:r>
        <w:rPr>
          <w:rFonts w:hint="eastAsia" w:eastAsia="方正仿宋_GBK"/>
          <w:color w:val="000000"/>
          <w:spacing w:val="-4"/>
          <w:kern w:val="0"/>
          <w:sz w:val="24"/>
        </w:rPr>
        <w:t>：异议书</w:t>
      </w:r>
    </w:p>
    <w:p>
      <w:pPr>
        <w:widowControl/>
        <w:spacing w:line="460" w:lineRule="exact"/>
        <w:ind w:firstLine="456" w:firstLineChars="200"/>
        <w:rPr>
          <w:rFonts w:eastAsia="方正仿宋_GBK"/>
          <w:color w:val="000000"/>
          <w:kern w:val="0"/>
          <w:sz w:val="24"/>
        </w:rPr>
      </w:pPr>
      <w:r>
        <w:rPr>
          <w:rFonts w:hint="eastAsia" w:eastAsia="方正仿宋_GBK"/>
          <w:color w:val="000000"/>
          <w:spacing w:val="-4"/>
          <w:kern w:val="0"/>
          <w:sz w:val="24"/>
        </w:rPr>
        <w:t>附件</w:t>
      </w:r>
      <w:r>
        <w:rPr>
          <w:rFonts w:eastAsia="方正仿宋_GBK"/>
          <w:color w:val="000000"/>
          <w:spacing w:val="-4"/>
          <w:kern w:val="0"/>
          <w:sz w:val="24"/>
        </w:rPr>
        <w:t>2</w:t>
      </w:r>
      <w:r>
        <w:rPr>
          <w:rFonts w:hint="eastAsia" w:eastAsia="方正仿宋_GBK"/>
          <w:color w:val="000000"/>
          <w:spacing w:val="-4"/>
          <w:kern w:val="0"/>
          <w:sz w:val="24"/>
        </w:rPr>
        <w:t>：异议答复函</w:t>
      </w:r>
    </w:p>
    <w:p>
      <w:pPr>
        <w:widowControl/>
        <w:spacing w:line="460" w:lineRule="exact"/>
        <w:ind w:firstLine="456" w:firstLineChars="200"/>
        <w:rPr>
          <w:rFonts w:eastAsia="方正仿宋_GBK"/>
          <w:color w:val="000000"/>
          <w:kern w:val="0"/>
          <w:sz w:val="24"/>
        </w:rPr>
      </w:pPr>
      <w:r>
        <w:rPr>
          <w:rFonts w:hint="eastAsia" w:eastAsia="方正仿宋_GBK"/>
          <w:color w:val="000000"/>
          <w:spacing w:val="-4"/>
          <w:kern w:val="0"/>
          <w:sz w:val="24"/>
        </w:rPr>
        <w:t>附件</w:t>
      </w:r>
      <w:r>
        <w:rPr>
          <w:rFonts w:eastAsia="方正仿宋_GBK"/>
          <w:color w:val="000000"/>
          <w:spacing w:val="-4"/>
          <w:kern w:val="0"/>
          <w:sz w:val="24"/>
        </w:rPr>
        <w:t>3</w:t>
      </w:r>
      <w:r>
        <w:rPr>
          <w:rFonts w:hint="eastAsia" w:eastAsia="方正仿宋_GBK"/>
          <w:color w:val="000000"/>
          <w:spacing w:val="-4"/>
          <w:kern w:val="0"/>
          <w:sz w:val="24"/>
        </w:rPr>
        <w:t>：项目投诉书</w:t>
      </w:r>
    </w:p>
    <w:p>
      <w:pPr>
        <w:widowControl/>
        <w:spacing w:line="460" w:lineRule="exact"/>
        <w:ind w:firstLine="456" w:firstLineChars="200"/>
        <w:rPr>
          <w:rFonts w:eastAsia="方正仿宋_GBK"/>
          <w:color w:val="000000"/>
          <w:kern w:val="0"/>
          <w:sz w:val="24"/>
        </w:rPr>
      </w:pPr>
      <w:r>
        <w:rPr>
          <w:rFonts w:hint="eastAsia" w:eastAsia="方正仿宋_GBK"/>
          <w:color w:val="000000"/>
          <w:spacing w:val="-4"/>
          <w:kern w:val="0"/>
          <w:sz w:val="24"/>
        </w:rPr>
        <w:t>附件</w:t>
      </w:r>
      <w:r>
        <w:rPr>
          <w:rFonts w:eastAsia="方正仿宋_GBK"/>
          <w:color w:val="000000"/>
          <w:spacing w:val="-4"/>
          <w:kern w:val="0"/>
          <w:sz w:val="24"/>
        </w:rPr>
        <w:t>4</w:t>
      </w:r>
      <w:r>
        <w:rPr>
          <w:rFonts w:hint="eastAsia" w:eastAsia="方正仿宋_GBK"/>
          <w:color w:val="000000"/>
          <w:spacing w:val="-4"/>
          <w:kern w:val="0"/>
          <w:sz w:val="24"/>
        </w:rPr>
        <w:t>：不予受理通知书</w:t>
      </w:r>
    </w:p>
    <w:p>
      <w:pPr>
        <w:widowControl/>
        <w:spacing w:line="460" w:lineRule="exact"/>
        <w:ind w:firstLine="456" w:firstLineChars="200"/>
        <w:rPr>
          <w:rFonts w:eastAsia="方正仿宋_GBK"/>
          <w:color w:val="000000"/>
          <w:kern w:val="0"/>
          <w:sz w:val="24"/>
        </w:rPr>
      </w:pPr>
      <w:r>
        <w:rPr>
          <w:rFonts w:hint="eastAsia" w:eastAsia="方正仿宋_GBK"/>
          <w:color w:val="000000"/>
          <w:spacing w:val="-4"/>
          <w:kern w:val="0"/>
          <w:sz w:val="24"/>
        </w:rPr>
        <w:t>附件</w:t>
      </w:r>
      <w:r>
        <w:rPr>
          <w:rFonts w:eastAsia="方正仿宋_GBK"/>
          <w:color w:val="000000"/>
          <w:spacing w:val="-4"/>
          <w:kern w:val="0"/>
          <w:sz w:val="24"/>
        </w:rPr>
        <w:t>5</w:t>
      </w:r>
      <w:r>
        <w:rPr>
          <w:rFonts w:hint="eastAsia" w:eastAsia="方正仿宋_GBK"/>
          <w:color w:val="000000"/>
          <w:spacing w:val="-4"/>
          <w:kern w:val="0"/>
          <w:sz w:val="24"/>
        </w:rPr>
        <w:t>：投诉处理决定书</w:t>
      </w:r>
    </w:p>
    <w:p>
      <w:pPr>
        <w:widowControl/>
        <w:spacing w:line="560" w:lineRule="atLeast"/>
        <w:rPr>
          <w:rFonts w:ascii="Times New Roman" w:hAnsi="Times New Roman" w:eastAsia="黑体" w:cs="Arial"/>
          <w:color w:val="000000"/>
          <w:kern w:val="0"/>
          <w:szCs w:val="21"/>
        </w:rPr>
      </w:pPr>
      <w:r>
        <w:rPr>
          <w:rFonts w:hint="eastAsia" w:ascii="Times New Roman" w:hAnsi="Times New Roman" w:eastAsia="黑体" w:cs="Arial"/>
          <w:color w:val="000000"/>
          <w:kern w:val="0"/>
          <w:sz w:val="28"/>
          <w:szCs w:val="28"/>
        </w:rPr>
        <w:t>附件1：</w:t>
      </w:r>
    </w:p>
    <w:p>
      <w:pPr>
        <w:widowControl/>
        <w:spacing w:line="560" w:lineRule="atLeast"/>
        <w:jc w:val="center"/>
        <w:rPr>
          <w:rFonts w:hint="eastAsia" w:ascii="Times New Roman" w:hAnsi="Times New Roman" w:eastAsia="黑体" w:cs="Arial"/>
          <w:color w:val="000000"/>
          <w:kern w:val="0"/>
          <w:szCs w:val="21"/>
        </w:rPr>
      </w:pPr>
      <w:r>
        <w:rPr>
          <w:rFonts w:hint="eastAsia" w:ascii="Times New Roman" w:hAnsi="Times New Roman" w:cs="Arial"/>
          <w:b/>
          <w:bCs/>
          <w:color w:val="000000"/>
          <w:kern w:val="0"/>
          <w:sz w:val="36"/>
          <w:szCs w:val="36"/>
        </w:rPr>
        <w:t>异议书（格式）</w:t>
      </w:r>
    </w:p>
    <w:p>
      <w:pPr>
        <w:widowControl/>
        <w:spacing w:line="480" w:lineRule="atLeast"/>
        <w:rPr>
          <w:rFonts w:hint="eastAsia" w:ascii="Times New Roman" w:hAnsi="Times New Roman" w:cs="Arial"/>
          <w:color w:val="000000"/>
          <w:kern w:val="0"/>
          <w:sz w:val="24"/>
        </w:rPr>
      </w:pPr>
      <w:r>
        <w:rPr>
          <w:rFonts w:ascii="Times New Roman" w:hAnsi="Times New Roman" w:cs="Arial"/>
          <w:color w:val="000000"/>
          <w:kern w:val="0"/>
          <w:szCs w:val="21"/>
        </w:rPr>
        <w:t> </w:t>
      </w:r>
    </w:p>
    <w:p>
      <w:pPr>
        <w:widowControl/>
        <w:spacing w:line="460" w:lineRule="atLeast"/>
        <w:ind w:firstLine="472" w:firstLineChars="200"/>
        <w:rPr>
          <w:rFonts w:ascii="Times New Roman" w:hAnsi="Times New Roman" w:cs="Arial"/>
          <w:color w:val="000000"/>
          <w:kern w:val="0"/>
          <w:sz w:val="24"/>
        </w:rPr>
      </w:pPr>
      <w:r>
        <w:rPr>
          <w:rFonts w:hint="eastAsia" w:ascii="Times New Roman" w:hAnsi="Times New Roman" w:eastAsia="仿宋_GB2312" w:cs="Arial"/>
          <w:color w:val="000000"/>
          <w:kern w:val="0"/>
          <w:sz w:val="24"/>
        </w:rPr>
        <w:t>项目名称：</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w:t>
      </w:r>
    </w:p>
    <w:p>
      <w:pPr>
        <w:widowControl/>
        <w:spacing w:line="460" w:lineRule="atLeast"/>
        <w:ind w:firstLine="472" w:firstLineChars="200"/>
        <w:rPr>
          <w:rFonts w:ascii="Times New Roman" w:hAnsi="Times New Roman" w:cs="Arial"/>
          <w:color w:val="000000"/>
          <w:kern w:val="0"/>
          <w:sz w:val="24"/>
        </w:rPr>
      </w:pPr>
      <w:r>
        <w:rPr>
          <w:rFonts w:hint="eastAsia" w:ascii="Times New Roman" w:hAnsi="Times New Roman" w:eastAsia="仿宋_GB2312" w:cs="Arial"/>
          <w:color w:val="000000"/>
          <w:kern w:val="0"/>
          <w:sz w:val="24"/>
        </w:rPr>
        <w:t>异议人：</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w:t>
      </w:r>
    </w:p>
    <w:p>
      <w:pPr>
        <w:widowControl/>
        <w:spacing w:line="460" w:lineRule="atLeast"/>
        <w:ind w:firstLine="472" w:firstLineChars="200"/>
        <w:rPr>
          <w:rFonts w:ascii="Times New Roman" w:hAnsi="Times New Roman" w:cs="Arial"/>
          <w:color w:val="000000"/>
          <w:kern w:val="0"/>
          <w:sz w:val="24"/>
        </w:rPr>
      </w:pPr>
      <w:r>
        <w:rPr>
          <w:rFonts w:hint="eastAsia" w:ascii="Times New Roman" w:hAnsi="Times New Roman" w:eastAsia="仿宋_GB2312" w:cs="Arial"/>
          <w:color w:val="000000"/>
          <w:kern w:val="0"/>
          <w:sz w:val="24"/>
        </w:rPr>
        <w:t>住所地：</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邮编：</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w:t>
      </w:r>
    </w:p>
    <w:p>
      <w:pPr>
        <w:widowControl/>
        <w:spacing w:line="460" w:lineRule="atLeast"/>
        <w:ind w:firstLine="472" w:firstLineChars="200"/>
        <w:rPr>
          <w:rFonts w:ascii="Times New Roman" w:hAnsi="Times New Roman" w:cs="Arial"/>
          <w:color w:val="000000"/>
          <w:kern w:val="0"/>
          <w:sz w:val="24"/>
        </w:rPr>
      </w:pPr>
      <w:r>
        <w:rPr>
          <w:rFonts w:hint="eastAsia" w:ascii="Times New Roman" w:hAnsi="Times New Roman" w:eastAsia="仿宋_GB2312" w:cs="Arial"/>
          <w:color w:val="000000"/>
          <w:kern w:val="0"/>
          <w:sz w:val="24"/>
        </w:rPr>
        <w:t>法定代表人：</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联系电话</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w:t>
      </w:r>
    </w:p>
    <w:p>
      <w:pPr>
        <w:widowControl/>
        <w:spacing w:line="460" w:lineRule="atLeast"/>
        <w:ind w:firstLine="472" w:firstLineChars="200"/>
        <w:rPr>
          <w:rFonts w:ascii="Times New Roman" w:hAnsi="Times New Roman" w:cs="Arial"/>
          <w:color w:val="000000"/>
          <w:kern w:val="0"/>
          <w:sz w:val="24"/>
        </w:rPr>
      </w:pPr>
      <w:r>
        <w:rPr>
          <w:rFonts w:hint="eastAsia" w:ascii="Times New Roman" w:hAnsi="Times New Roman" w:eastAsia="仿宋_GB2312" w:cs="Arial"/>
          <w:color w:val="000000"/>
          <w:kern w:val="0"/>
          <w:sz w:val="24"/>
        </w:rPr>
        <w:t>异议人授权代表：</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性别：</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年龄：</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w:t>
      </w:r>
    </w:p>
    <w:p>
      <w:pPr>
        <w:widowControl/>
        <w:spacing w:line="460" w:lineRule="atLeast"/>
        <w:ind w:firstLine="472" w:firstLineChars="200"/>
        <w:rPr>
          <w:rFonts w:ascii="Times New Roman" w:hAnsi="Times New Roman" w:cs="Arial"/>
          <w:color w:val="000000"/>
          <w:kern w:val="0"/>
          <w:sz w:val="24"/>
        </w:rPr>
      </w:pPr>
      <w:r>
        <w:rPr>
          <w:rFonts w:hint="eastAsia" w:ascii="Times New Roman" w:hAnsi="Times New Roman" w:eastAsia="仿宋_GB2312" w:cs="Arial"/>
          <w:color w:val="000000"/>
          <w:kern w:val="0"/>
          <w:sz w:val="24"/>
        </w:rPr>
        <w:t>住址：</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联系电话：</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w:t>
      </w:r>
    </w:p>
    <w:p>
      <w:pPr>
        <w:widowControl/>
        <w:spacing w:line="460" w:lineRule="atLeast"/>
        <w:ind w:firstLine="472" w:firstLineChars="200"/>
        <w:rPr>
          <w:rFonts w:ascii="Times New Roman" w:hAnsi="Times New Roman" w:eastAsia="仿宋_GB2312" w:cs="Arial"/>
          <w:color w:val="000000"/>
          <w:kern w:val="0"/>
          <w:sz w:val="24"/>
        </w:rPr>
      </w:pPr>
    </w:p>
    <w:p>
      <w:pPr>
        <w:widowControl/>
        <w:spacing w:line="460" w:lineRule="atLeast"/>
        <w:ind w:firstLine="472" w:firstLineChars="200"/>
        <w:rPr>
          <w:rFonts w:hint="eastAsia" w:ascii="Times New Roman" w:hAnsi="Times New Roman" w:cs="Arial"/>
          <w:color w:val="000000"/>
          <w:kern w:val="0"/>
          <w:sz w:val="24"/>
        </w:rPr>
      </w:pPr>
      <w:r>
        <w:rPr>
          <w:rFonts w:hint="eastAsia" w:ascii="Times New Roman" w:hAnsi="Times New Roman" w:eastAsia="仿宋_GB2312" w:cs="Arial"/>
          <w:color w:val="000000"/>
          <w:kern w:val="0"/>
          <w:sz w:val="24"/>
        </w:rPr>
        <w:t>提起异议事项的基本事实：</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w:t>
      </w:r>
    </w:p>
    <w:p>
      <w:pPr>
        <w:widowControl/>
        <w:spacing w:line="460" w:lineRule="atLeast"/>
        <w:ind w:firstLine="472" w:firstLineChars="200"/>
        <w:rPr>
          <w:rFonts w:ascii="Times New Roman" w:hAnsi="Times New Roman" w:cs="Arial"/>
          <w:color w:val="000000"/>
          <w:kern w:val="0"/>
          <w:sz w:val="24"/>
        </w:rPr>
      </w:pPr>
      <w:r>
        <w:rPr>
          <w:rFonts w:ascii="Times New Roman" w:hAnsi="Times New Roman" w:cs="Arial"/>
          <w:color w:val="000000"/>
          <w:kern w:val="0"/>
          <w:sz w:val="24"/>
        </w:rPr>
        <w:t>  </w:t>
      </w:r>
    </w:p>
    <w:p>
      <w:pPr>
        <w:widowControl/>
        <w:spacing w:line="460" w:lineRule="atLeast"/>
        <w:ind w:firstLine="472" w:firstLineChars="200"/>
        <w:rPr>
          <w:rFonts w:ascii="Times New Roman" w:hAnsi="Times New Roman" w:cs="Arial"/>
          <w:color w:val="000000"/>
          <w:kern w:val="0"/>
          <w:sz w:val="24"/>
        </w:rPr>
      </w:pPr>
      <w:r>
        <w:rPr>
          <w:rFonts w:hint="eastAsia" w:ascii="Times New Roman" w:hAnsi="Times New Roman" w:eastAsia="仿宋_GB2312" w:cs="Arial"/>
          <w:color w:val="000000"/>
          <w:kern w:val="0"/>
          <w:sz w:val="24"/>
        </w:rPr>
        <w:t>相关请求及主张：</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w:t>
      </w:r>
      <w:r>
        <w:rPr>
          <w:rFonts w:ascii="Times New Roman" w:hAnsi="Times New Roman" w:eastAsia="仿宋_GB2312" w:cs="Arial"/>
          <w:color w:val="000000"/>
          <w:kern w:val="0"/>
          <w:sz w:val="24"/>
        </w:rPr>
        <w:t>       </w:t>
      </w:r>
    </w:p>
    <w:p>
      <w:pPr>
        <w:widowControl/>
        <w:spacing w:line="460" w:lineRule="atLeast"/>
        <w:ind w:firstLine="472" w:firstLineChars="200"/>
        <w:rPr>
          <w:rFonts w:ascii="Times New Roman" w:hAnsi="Times New Roman" w:cs="Arial"/>
          <w:color w:val="000000"/>
          <w:kern w:val="0"/>
          <w:sz w:val="24"/>
        </w:rPr>
      </w:pPr>
      <w:r>
        <w:rPr>
          <w:rFonts w:ascii="Times New Roman" w:hAnsi="Times New Roman" w:cs="Arial"/>
          <w:color w:val="000000"/>
          <w:kern w:val="0"/>
          <w:sz w:val="24"/>
        </w:rPr>
        <w:t> </w:t>
      </w:r>
    </w:p>
    <w:p>
      <w:pPr>
        <w:widowControl/>
        <w:spacing w:line="460" w:lineRule="atLeast"/>
        <w:ind w:firstLine="472" w:firstLineChars="200"/>
        <w:rPr>
          <w:rFonts w:ascii="Times New Roman" w:hAnsi="Times New Roman" w:cs="Arial"/>
          <w:color w:val="000000"/>
          <w:kern w:val="0"/>
          <w:sz w:val="24"/>
        </w:rPr>
      </w:pPr>
      <w:r>
        <w:rPr>
          <w:rFonts w:hint="eastAsia" w:ascii="Times New Roman" w:hAnsi="Times New Roman" w:eastAsia="仿宋_GB2312" w:cs="Arial"/>
          <w:color w:val="000000"/>
          <w:kern w:val="0"/>
          <w:sz w:val="24"/>
        </w:rPr>
        <w:t>有效线索和相关证明材料：</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w:t>
      </w:r>
    </w:p>
    <w:p>
      <w:pPr>
        <w:widowControl/>
        <w:spacing w:line="460" w:lineRule="atLeast"/>
        <w:ind w:firstLine="472" w:firstLineChars="200"/>
        <w:rPr>
          <w:rFonts w:ascii="Times New Roman" w:hAnsi="Times New Roman" w:cs="Arial"/>
          <w:color w:val="000000"/>
          <w:kern w:val="0"/>
          <w:sz w:val="24"/>
        </w:rPr>
      </w:pPr>
      <w:r>
        <w:rPr>
          <w:rFonts w:ascii="Times New Roman" w:hAnsi="Times New Roman" w:cs="Arial"/>
          <w:color w:val="000000"/>
          <w:kern w:val="0"/>
          <w:sz w:val="24"/>
        </w:rPr>
        <w:t> </w:t>
      </w:r>
    </w:p>
    <w:p>
      <w:pPr>
        <w:widowControl/>
        <w:spacing w:line="460" w:lineRule="atLeast"/>
        <w:ind w:firstLine="472" w:firstLineChars="200"/>
        <w:rPr>
          <w:rFonts w:ascii="Times New Roman" w:hAnsi="Times New Roman" w:cs="Arial"/>
          <w:color w:val="000000"/>
          <w:kern w:val="0"/>
          <w:sz w:val="24"/>
        </w:rPr>
      </w:pPr>
      <w:r>
        <w:rPr>
          <w:rFonts w:hint="eastAsia" w:ascii="Times New Roman" w:hAnsi="Times New Roman" w:eastAsia="仿宋_GB2312" w:cs="Arial"/>
          <w:color w:val="000000"/>
          <w:kern w:val="0"/>
          <w:sz w:val="24"/>
        </w:rPr>
        <w:t>异议人与提起项目有利害关系的证明材料：</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w:t>
      </w:r>
    </w:p>
    <w:p>
      <w:pPr>
        <w:widowControl/>
        <w:spacing w:line="460" w:lineRule="atLeast"/>
        <w:rPr>
          <w:rFonts w:ascii="Times New Roman" w:hAnsi="Times New Roman" w:cs="Arial"/>
          <w:color w:val="000000"/>
          <w:kern w:val="0"/>
          <w:sz w:val="24"/>
        </w:rPr>
      </w:pPr>
      <w:r>
        <w:rPr>
          <w:rFonts w:ascii="Times New Roman" w:hAnsi="Times New Roman" w:cs="Arial"/>
          <w:color w:val="000000"/>
          <w:kern w:val="0"/>
          <w:sz w:val="24"/>
        </w:rPr>
        <w:t>   </w:t>
      </w:r>
    </w:p>
    <w:p>
      <w:pPr>
        <w:widowControl/>
        <w:spacing w:line="460" w:lineRule="atLeast"/>
        <w:rPr>
          <w:rFonts w:ascii="Times New Roman" w:hAnsi="Times New Roman" w:cs="Arial"/>
          <w:color w:val="000000"/>
          <w:kern w:val="0"/>
          <w:sz w:val="24"/>
        </w:rPr>
      </w:pPr>
    </w:p>
    <w:p>
      <w:pPr>
        <w:widowControl/>
        <w:spacing w:line="460" w:lineRule="atLeast"/>
        <w:jc w:val="center"/>
        <w:rPr>
          <w:rFonts w:ascii="Times New Roman" w:hAnsi="Times New Roman" w:cs="Arial"/>
          <w:color w:val="000000"/>
          <w:kern w:val="0"/>
          <w:sz w:val="24"/>
        </w:rPr>
      </w:pP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异议人（公章）：</w:t>
      </w:r>
    </w:p>
    <w:p>
      <w:pPr>
        <w:widowControl/>
        <w:spacing w:line="460" w:lineRule="atLeast"/>
        <w:jc w:val="center"/>
        <w:rPr>
          <w:rFonts w:ascii="Times New Roman" w:hAnsi="Times New Roman" w:cs="Arial"/>
          <w:color w:val="000000"/>
          <w:kern w:val="0"/>
          <w:sz w:val="24"/>
        </w:rPr>
      </w:pP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法定代表人或授权代表（签字）</w:t>
      </w:r>
    </w:p>
    <w:p>
      <w:pPr>
        <w:widowControl/>
        <w:spacing w:line="460" w:lineRule="atLeast"/>
        <w:rPr>
          <w:rFonts w:ascii="Times New Roman" w:hAnsi="Times New Roman" w:cs="Arial"/>
          <w:color w:val="000000"/>
          <w:kern w:val="0"/>
          <w:sz w:val="24"/>
        </w:rPr>
      </w:pP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年</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月</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日</w:t>
      </w:r>
    </w:p>
    <w:p>
      <w:pPr>
        <w:widowControl/>
        <w:spacing w:line="460" w:lineRule="atLeast"/>
        <w:rPr>
          <w:rFonts w:ascii="Times New Roman" w:hAnsi="Times New Roman" w:cs="Arial"/>
          <w:color w:val="000000"/>
          <w:kern w:val="0"/>
          <w:szCs w:val="21"/>
        </w:rPr>
      </w:pPr>
      <w:r>
        <w:rPr>
          <w:rFonts w:ascii="Times New Roman" w:hAnsi="Times New Roman" w:cs="Arial"/>
          <w:color w:val="000000"/>
          <w:kern w:val="0"/>
          <w:szCs w:val="21"/>
        </w:rPr>
        <w:t> </w:t>
      </w:r>
    </w:p>
    <w:p>
      <w:pPr>
        <w:widowControl/>
        <w:spacing w:line="460" w:lineRule="atLeast"/>
        <w:rPr>
          <w:rFonts w:ascii="Times New Roman" w:hAnsi="Times New Roman" w:cs="Arial"/>
          <w:color w:val="000000"/>
          <w:kern w:val="0"/>
          <w:szCs w:val="21"/>
        </w:rPr>
      </w:pPr>
      <w:r>
        <w:rPr>
          <w:rFonts w:hint="eastAsia" w:ascii="Times New Roman" w:hAnsi="Times New Roman" w:eastAsia="仿宋_GB2312" w:cs="Arial"/>
          <w:color w:val="000000"/>
          <w:kern w:val="0"/>
          <w:sz w:val="24"/>
        </w:rPr>
        <w:t>说明：</w:t>
      </w:r>
    </w:p>
    <w:p>
      <w:pPr>
        <w:widowControl/>
        <w:spacing w:line="400" w:lineRule="atLeast"/>
        <w:ind w:firstLine="472" w:firstLineChars="200"/>
        <w:rPr>
          <w:rFonts w:ascii="Times New Roman" w:hAnsi="Times New Roman" w:cs="Arial"/>
          <w:color w:val="000000"/>
          <w:kern w:val="0"/>
          <w:szCs w:val="21"/>
        </w:rPr>
      </w:pPr>
      <w:r>
        <w:rPr>
          <w:rFonts w:hint="eastAsia" w:ascii="Times New Roman" w:hAnsi="Times New Roman" w:eastAsia="仿宋_GB2312" w:cs="Arial"/>
          <w:color w:val="000000"/>
          <w:kern w:val="0"/>
          <w:sz w:val="24"/>
        </w:rPr>
        <w:t>1.异议人是法人的，异议书必须由其法定代表人或者授权代表签字并盖章。</w:t>
      </w:r>
    </w:p>
    <w:p>
      <w:pPr>
        <w:widowControl/>
        <w:spacing w:line="560" w:lineRule="atLeast"/>
        <w:ind w:firstLine="472" w:firstLineChars="200"/>
        <w:rPr>
          <w:rFonts w:ascii="Times New Roman" w:hAnsi="Times New Roman" w:cs="Arial"/>
          <w:color w:val="000000"/>
          <w:kern w:val="0"/>
          <w:szCs w:val="21"/>
        </w:rPr>
      </w:pPr>
      <w:r>
        <w:rPr>
          <w:rFonts w:hint="eastAsia" w:ascii="Times New Roman" w:hAnsi="Times New Roman" w:eastAsia="仿宋_GB2312" w:cs="Arial"/>
          <w:color w:val="000000"/>
          <w:kern w:val="0"/>
          <w:sz w:val="24"/>
        </w:rPr>
        <w:t>2.异议书有关材料是外文的，异议人应当同时提供其中文译本。</w:t>
      </w:r>
    </w:p>
    <w:p>
      <w:pPr>
        <w:widowControl/>
        <w:spacing w:line="560" w:lineRule="atLeast"/>
        <w:rPr>
          <w:rFonts w:ascii="Times New Roman" w:hAnsi="Times New Roman" w:cs="Arial"/>
          <w:color w:val="000000"/>
          <w:kern w:val="0"/>
          <w:sz w:val="28"/>
          <w:szCs w:val="28"/>
        </w:rPr>
      </w:pPr>
    </w:p>
    <w:p>
      <w:pPr>
        <w:widowControl/>
        <w:spacing w:line="560" w:lineRule="atLeast"/>
        <w:rPr>
          <w:rFonts w:hint="eastAsia" w:ascii="Times New Roman" w:hAnsi="Times New Roman" w:eastAsia="黑体" w:cs="Arial"/>
          <w:color w:val="000000"/>
          <w:kern w:val="0"/>
          <w:szCs w:val="21"/>
        </w:rPr>
      </w:pPr>
      <w:r>
        <w:rPr>
          <w:rFonts w:hint="eastAsia" w:ascii="Times New Roman" w:hAnsi="Times New Roman" w:eastAsia="黑体" w:cs="Arial"/>
          <w:color w:val="000000"/>
          <w:kern w:val="0"/>
          <w:sz w:val="28"/>
          <w:szCs w:val="28"/>
        </w:rPr>
        <w:t>附件2：</w:t>
      </w:r>
    </w:p>
    <w:p>
      <w:pPr>
        <w:widowControl/>
        <w:spacing w:line="480" w:lineRule="atLeast"/>
        <w:jc w:val="center"/>
        <w:rPr>
          <w:rFonts w:hint="eastAsia" w:ascii="Times New Roman" w:hAnsi="Times New Roman" w:cs="Arial"/>
          <w:color w:val="000000"/>
          <w:kern w:val="0"/>
          <w:szCs w:val="21"/>
        </w:rPr>
      </w:pPr>
      <w:r>
        <w:rPr>
          <w:rFonts w:ascii="Times New Roman" w:hAnsi="Times New Roman" w:cs="Arial"/>
          <w:color w:val="000000"/>
          <w:kern w:val="0"/>
          <w:szCs w:val="21"/>
        </w:rPr>
        <w:t> </w:t>
      </w:r>
    </w:p>
    <w:p>
      <w:pPr>
        <w:widowControl/>
        <w:spacing w:line="480" w:lineRule="atLeast"/>
        <w:jc w:val="center"/>
        <w:rPr>
          <w:rFonts w:ascii="Times New Roman" w:hAnsi="Times New Roman" w:cs="Arial"/>
          <w:color w:val="000000"/>
          <w:kern w:val="0"/>
          <w:szCs w:val="21"/>
        </w:rPr>
      </w:pPr>
      <w:r>
        <w:rPr>
          <w:rFonts w:hint="eastAsia" w:ascii="Times New Roman" w:hAnsi="Times New Roman" w:cs="Arial"/>
          <w:b/>
          <w:bCs/>
          <w:color w:val="000000"/>
          <w:kern w:val="0"/>
          <w:sz w:val="36"/>
          <w:szCs w:val="36"/>
        </w:rPr>
        <w:t>异议答复函（格式）</w:t>
      </w:r>
    </w:p>
    <w:p>
      <w:pPr>
        <w:widowControl/>
        <w:spacing w:line="460" w:lineRule="exact"/>
        <w:rPr>
          <w:rFonts w:ascii="Times New Roman" w:hAnsi="Times New Roman" w:cs="Arial"/>
          <w:color w:val="000000"/>
          <w:kern w:val="0"/>
          <w:sz w:val="24"/>
        </w:rPr>
      </w:pPr>
      <w:r>
        <w:rPr>
          <w:rFonts w:ascii="Times New Roman" w:hAnsi="Times New Roman" w:cs="Arial"/>
          <w:color w:val="000000"/>
          <w:kern w:val="0"/>
          <w:szCs w:val="21"/>
        </w:rPr>
        <w:t> </w:t>
      </w:r>
    </w:p>
    <w:p>
      <w:pPr>
        <w:widowControl/>
        <w:spacing w:line="460" w:lineRule="exact"/>
        <w:rPr>
          <w:rFonts w:ascii="Times New Roman" w:hAnsi="Times New Roman" w:cs="Arial"/>
          <w:color w:val="000000"/>
          <w:kern w:val="0"/>
          <w:sz w:val="24"/>
        </w:rPr>
      </w:pPr>
      <w:r>
        <w:rPr>
          <w:rFonts w:hint="eastAsia" w:ascii="Times New Roman" w:hAnsi="Times New Roman" w:eastAsia="仿宋_GB2312" w:cs="Arial"/>
          <w:color w:val="000000"/>
          <w:kern w:val="0"/>
          <w:sz w:val="24"/>
          <w:u w:val="single"/>
        </w:rPr>
        <w:t>（异议人名称）：</w:t>
      </w:r>
    </w:p>
    <w:p>
      <w:pPr>
        <w:widowControl/>
        <w:spacing w:line="460" w:lineRule="exact"/>
        <w:ind w:firstLine="560"/>
        <w:rPr>
          <w:rFonts w:ascii="Times New Roman" w:hAnsi="Times New Roman" w:cs="Arial"/>
          <w:color w:val="000000"/>
          <w:kern w:val="0"/>
          <w:sz w:val="24"/>
        </w:rPr>
      </w:pPr>
      <w:r>
        <w:rPr>
          <w:rFonts w:hint="eastAsia" w:ascii="Times New Roman" w:hAnsi="Times New Roman" w:eastAsia="仿宋_GB2312" w:cs="Arial"/>
          <w:color w:val="000000"/>
          <w:kern w:val="0"/>
          <w:sz w:val="24"/>
        </w:rPr>
        <w:t>贵单位对（招标项目名称）招标活动向本单位提出了有关异议：</w:t>
      </w:r>
    </w:p>
    <w:p>
      <w:pPr>
        <w:widowControl/>
        <w:spacing w:line="460" w:lineRule="exact"/>
        <w:ind w:firstLine="560"/>
        <w:rPr>
          <w:rFonts w:ascii="Times New Roman" w:hAnsi="Times New Roman" w:cs="Arial"/>
          <w:color w:val="000000"/>
          <w:kern w:val="0"/>
          <w:sz w:val="24"/>
        </w:rPr>
      </w:pPr>
      <w:r>
        <w:rPr>
          <w:rFonts w:hint="eastAsia" w:ascii="Times New Roman" w:hAnsi="Times New Roman" w:eastAsia="仿宋_GB2312" w:cs="Arial"/>
          <w:color w:val="000000"/>
          <w:kern w:val="0"/>
          <w:sz w:val="24"/>
        </w:rPr>
        <w:t>（一）………；</w:t>
      </w:r>
    </w:p>
    <w:p>
      <w:pPr>
        <w:widowControl/>
        <w:spacing w:line="460" w:lineRule="exact"/>
        <w:ind w:firstLine="560"/>
        <w:rPr>
          <w:rFonts w:ascii="Times New Roman" w:hAnsi="Times New Roman" w:cs="Arial"/>
          <w:color w:val="000000"/>
          <w:kern w:val="0"/>
          <w:sz w:val="24"/>
        </w:rPr>
      </w:pPr>
      <w:r>
        <w:rPr>
          <w:rFonts w:hint="eastAsia" w:ascii="Times New Roman" w:hAnsi="Times New Roman" w:eastAsia="仿宋_GB2312" w:cs="Arial"/>
          <w:color w:val="000000"/>
          <w:kern w:val="0"/>
          <w:sz w:val="24"/>
        </w:rPr>
        <w:t>（二）………；</w:t>
      </w:r>
    </w:p>
    <w:p>
      <w:pPr>
        <w:widowControl/>
        <w:spacing w:line="460" w:lineRule="exact"/>
        <w:ind w:firstLine="560"/>
        <w:rPr>
          <w:rFonts w:ascii="Times New Roman" w:hAnsi="Times New Roman" w:cs="Arial"/>
          <w:color w:val="000000"/>
          <w:kern w:val="0"/>
          <w:sz w:val="24"/>
        </w:rPr>
      </w:pPr>
      <w:r>
        <w:rPr>
          <w:rFonts w:hint="eastAsia" w:ascii="Times New Roman" w:hAnsi="Times New Roman" w:eastAsia="仿宋_GB2312" w:cs="Arial"/>
          <w:color w:val="000000"/>
          <w:kern w:val="0"/>
          <w:sz w:val="24"/>
        </w:rPr>
        <w:t>（三）………。</w:t>
      </w:r>
    </w:p>
    <w:p>
      <w:pPr>
        <w:widowControl/>
        <w:spacing w:line="460" w:lineRule="exact"/>
        <w:ind w:firstLine="560"/>
        <w:rPr>
          <w:rFonts w:ascii="Times New Roman" w:hAnsi="Times New Roman" w:cs="Arial"/>
          <w:color w:val="000000"/>
          <w:kern w:val="0"/>
          <w:sz w:val="24"/>
        </w:rPr>
      </w:pPr>
      <w:r>
        <w:rPr>
          <w:rFonts w:hint="eastAsia" w:ascii="Times New Roman" w:hAnsi="Times New Roman" w:eastAsia="仿宋_GB2312" w:cs="Arial"/>
          <w:color w:val="000000"/>
          <w:kern w:val="0"/>
          <w:sz w:val="24"/>
        </w:rPr>
        <w:t>同时提供了（相关事实和依据）的证明材料。</w:t>
      </w:r>
    </w:p>
    <w:p>
      <w:pPr>
        <w:widowControl/>
        <w:spacing w:line="460" w:lineRule="exact"/>
        <w:ind w:firstLine="560"/>
        <w:rPr>
          <w:rFonts w:ascii="Times New Roman" w:hAnsi="Times New Roman" w:cs="Arial"/>
          <w:color w:val="000000"/>
          <w:kern w:val="0"/>
          <w:sz w:val="24"/>
        </w:rPr>
      </w:pPr>
      <w:r>
        <w:rPr>
          <w:rFonts w:hint="eastAsia" w:ascii="Times New Roman" w:hAnsi="Times New Roman" w:eastAsia="仿宋_GB2312" w:cs="Arial"/>
          <w:color w:val="000000"/>
          <w:kern w:val="0"/>
          <w:sz w:val="24"/>
        </w:rPr>
        <w:t>本单位于</w:t>
      </w:r>
      <w:r>
        <w:rPr>
          <w:rFonts w:hint="eastAsia" w:ascii="Times New Roman" w:hAnsi="Times New Roman" w:cs="Arial"/>
          <w:color w:val="000000"/>
          <w:kern w:val="0"/>
          <w:sz w:val="24"/>
        </w:rPr>
        <w:t>    </w:t>
      </w:r>
      <w:r>
        <w:rPr>
          <w:rFonts w:hint="eastAsia" w:ascii="Times New Roman" w:hAnsi="Times New Roman" w:eastAsia="仿宋_GB2312" w:cs="Arial"/>
          <w:color w:val="000000"/>
          <w:kern w:val="0"/>
          <w:sz w:val="24"/>
        </w:rPr>
        <w:t>年</w:t>
      </w:r>
      <w:r>
        <w:rPr>
          <w:rFonts w:hint="eastAsia" w:ascii="Times New Roman" w:hAnsi="Times New Roman" w:cs="Arial"/>
          <w:color w:val="000000"/>
          <w:kern w:val="0"/>
          <w:sz w:val="24"/>
        </w:rPr>
        <w:t>  </w:t>
      </w:r>
      <w:r>
        <w:rPr>
          <w:rFonts w:hint="eastAsia" w:ascii="Times New Roman" w:hAnsi="Times New Roman" w:eastAsia="仿宋_GB2312" w:cs="Arial"/>
          <w:color w:val="000000"/>
          <w:kern w:val="0"/>
          <w:sz w:val="24"/>
        </w:rPr>
        <w:t>月</w:t>
      </w:r>
      <w:r>
        <w:rPr>
          <w:rFonts w:hint="eastAsia" w:ascii="Times New Roman" w:hAnsi="Times New Roman" w:cs="Arial"/>
          <w:color w:val="000000"/>
          <w:kern w:val="0"/>
          <w:sz w:val="24"/>
        </w:rPr>
        <w:t>  </w:t>
      </w:r>
      <w:r>
        <w:rPr>
          <w:rFonts w:hint="eastAsia" w:ascii="Times New Roman" w:hAnsi="Times New Roman" w:eastAsia="仿宋_GB2312" w:cs="Arial"/>
          <w:color w:val="000000"/>
          <w:kern w:val="0"/>
          <w:sz w:val="24"/>
        </w:rPr>
        <w:t>日予以受理，经对本次招标活动的相关材料进行审查，并依据（法律、法规）和本次招标文件等有关规定，现答复如下：</w:t>
      </w:r>
    </w:p>
    <w:p>
      <w:pPr>
        <w:widowControl/>
        <w:spacing w:line="460" w:lineRule="exact"/>
        <w:ind w:firstLine="560"/>
        <w:rPr>
          <w:rFonts w:ascii="Times New Roman" w:hAnsi="Times New Roman" w:cs="Arial"/>
          <w:color w:val="000000"/>
          <w:kern w:val="0"/>
          <w:sz w:val="24"/>
        </w:rPr>
      </w:pPr>
      <w:r>
        <w:rPr>
          <w:rFonts w:hint="eastAsia" w:ascii="Times New Roman" w:hAnsi="Times New Roman" w:eastAsia="仿宋_GB2312" w:cs="Arial"/>
          <w:color w:val="000000"/>
          <w:kern w:val="0"/>
          <w:sz w:val="24"/>
        </w:rPr>
        <w:t>（一）………；</w:t>
      </w:r>
    </w:p>
    <w:p>
      <w:pPr>
        <w:widowControl/>
        <w:spacing w:line="460" w:lineRule="exact"/>
        <w:ind w:firstLine="560"/>
        <w:rPr>
          <w:rFonts w:ascii="Times New Roman" w:hAnsi="Times New Roman" w:cs="Arial"/>
          <w:color w:val="000000"/>
          <w:kern w:val="0"/>
          <w:sz w:val="24"/>
        </w:rPr>
      </w:pPr>
      <w:r>
        <w:rPr>
          <w:rFonts w:hint="eastAsia" w:ascii="Times New Roman" w:hAnsi="Times New Roman" w:eastAsia="仿宋_GB2312" w:cs="Arial"/>
          <w:color w:val="000000"/>
          <w:kern w:val="0"/>
          <w:sz w:val="24"/>
        </w:rPr>
        <w:t>（二）………；</w:t>
      </w:r>
    </w:p>
    <w:p>
      <w:pPr>
        <w:widowControl/>
        <w:spacing w:line="460" w:lineRule="exact"/>
        <w:ind w:firstLine="560"/>
        <w:rPr>
          <w:rFonts w:ascii="Times New Roman" w:hAnsi="Times New Roman" w:cs="Arial"/>
          <w:color w:val="000000"/>
          <w:kern w:val="0"/>
          <w:sz w:val="24"/>
        </w:rPr>
      </w:pPr>
      <w:r>
        <w:rPr>
          <w:rFonts w:hint="eastAsia" w:ascii="Times New Roman" w:hAnsi="Times New Roman" w:eastAsia="仿宋_GB2312" w:cs="Arial"/>
          <w:color w:val="000000"/>
          <w:kern w:val="0"/>
          <w:sz w:val="24"/>
        </w:rPr>
        <w:t>（三）………。</w:t>
      </w:r>
    </w:p>
    <w:p>
      <w:pPr>
        <w:widowControl/>
        <w:spacing w:line="460" w:lineRule="exact"/>
        <w:rPr>
          <w:rFonts w:ascii="Times New Roman" w:hAnsi="Times New Roman" w:cs="Arial"/>
          <w:color w:val="000000"/>
          <w:kern w:val="0"/>
          <w:sz w:val="24"/>
        </w:rPr>
      </w:pPr>
      <w:r>
        <w:rPr>
          <w:rFonts w:hint="eastAsia" w:ascii="Times New Roman" w:hAnsi="Times New Roman" w:eastAsia="仿宋_GB2312" w:cs="Arial"/>
          <w:color w:val="000000"/>
          <w:kern w:val="0"/>
          <w:sz w:val="24"/>
        </w:rPr>
        <w:t>综上，本单位认为：</w:t>
      </w:r>
    </w:p>
    <w:p>
      <w:pPr>
        <w:widowControl/>
        <w:spacing w:line="460" w:lineRule="exact"/>
        <w:rPr>
          <w:rFonts w:ascii="Times New Roman" w:hAnsi="Times New Roman" w:cs="Arial"/>
          <w:color w:val="000000"/>
          <w:kern w:val="0"/>
          <w:sz w:val="24"/>
        </w:rPr>
      </w:pPr>
      <w:r>
        <w:rPr>
          <w:rFonts w:ascii="Times New Roman" w:hAnsi="Times New Roman" w:cs="Arial"/>
          <w:color w:val="000000"/>
          <w:kern w:val="0"/>
          <w:sz w:val="24"/>
        </w:rPr>
        <w:t> </w:t>
      </w:r>
    </w:p>
    <w:p>
      <w:pPr>
        <w:widowControl/>
        <w:spacing w:line="460" w:lineRule="exact"/>
        <w:rPr>
          <w:rFonts w:ascii="Times New Roman" w:hAnsi="Times New Roman" w:cs="Arial"/>
          <w:color w:val="000000"/>
          <w:kern w:val="0"/>
          <w:sz w:val="24"/>
        </w:rPr>
      </w:pPr>
      <w:r>
        <w:rPr>
          <w:rFonts w:hint="eastAsia" w:ascii="Times New Roman" w:hAnsi="Times New Roman" w:cs="Arial"/>
          <w:color w:val="000000"/>
          <w:kern w:val="0"/>
          <w:sz w:val="24"/>
        </w:rPr>
        <w:t>                                  </w:t>
      </w:r>
    </w:p>
    <w:p>
      <w:pPr>
        <w:widowControl/>
        <w:spacing w:line="460" w:lineRule="exact"/>
        <w:rPr>
          <w:rFonts w:ascii="Times New Roman" w:hAnsi="Times New Roman" w:cs="Arial"/>
          <w:color w:val="000000"/>
          <w:kern w:val="0"/>
          <w:sz w:val="24"/>
        </w:rPr>
      </w:pPr>
      <w:r>
        <w:rPr>
          <w:rFonts w:ascii="Times New Roman" w:hAnsi="Times New Roman" w:cs="Arial"/>
          <w:color w:val="000000"/>
          <w:kern w:val="0"/>
          <w:sz w:val="24"/>
        </w:rPr>
        <w:t> </w:t>
      </w:r>
    </w:p>
    <w:p>
      <w:pPr>
        <w:widowControl/>
        <w:spacing w:line="460" w:lineRule="exact"/>
        <w:jc w:val="left"/>
        <w:rPr>
          <w:rFonts w:ascii="Times New Roman" w:hAnsi="Times New Roman" w:cs="Arial"/>
          <w:color w:val="000000"/>
          <w:kern w:val="0"/>
          <w:sz w:val="24"/>
        </w:rPr>
      </w:pP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单位：（盖章）</w:t>
      </w:r>
    </w:p>
    <w:p>
      <w:pPr>
        <w:widowControl/>
        <w:spacing w:line="460" w:lineRule="exact"/>
        <w:jc w:val="left"/>
        <w:rPr>
          <w:rFonts w:ascii="Times New Roman" w:hAnsi="Times New Roman" w:cs="Arial"/>
          <w:color w:val="000000"/>
          <w:kern w:val="0"/>
          <w:sz w:val="24"/>
        </w:rPr>
      </w:pPr>
      <w:r>
        <w:rPr>
          <w:rFonts w:hint="eastAsia" w:ascii="Times New Roman" w:hAnsi="Times New Roman" w:cs="Arial"/>
          <w:color w:val="000000"/>
          <w:kern w:val="0"/>
          <w:sz w:val="24"/>
        </w:rPr>
        <w:t>     </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联系电话：</w:t>
      </w:r>
    </w:p>
    <w:p>
      <w:pPr>
        <w:widowControl/>
        <w:spacing w:line="460" w:lineRule="exact"/>
        <w:jc w:val="left"/>
        <w:rPr>
          <w:rFonts w:ascii="Times New Roman" w:hAnsi="Times New Roman" w:cs="Arial"/>
          <w:color w:val="000000"/>
          <w:kern w:val="0"/>
          <w:sz w:val="24"/>
        </w:rPr>
      </w:pPr>
      <w:r>
        <w:rPr>
          <w:rFonts w:hint="eastAsia" w:ascii="Times New Roman" w:hAnsi="Times New Roman" w:cs="Arial"/>
          <w:color w:val="000000"/>
          <w:kern w:val="0"/>
          <w:sz w:val="24"/>
        </w:rPr>
        <w:t>              </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w:t>
      </w:r>
      <w:r>
        <w:rPr>
          <w:rFonts w:hint="eastAsia" w:ascii="Times New Roman" w:hAnsi="Times New Roman" w:cs="Arial"/>
          <w:color w:val="000000"/>
          <w:kern w:val="0"/>
          <w:sz w:val="24"/>
        </w:rPr>
        <w:t>      </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年</w:t>
      </w:r>
      <w:r>
        <w:rPr>
          <w:rFonts w:hint="eastAsia" w:ascii="Times New Roman" w:hAnsi="Times New Roman" w:cs="Arial"/>
          <w:color w:val="000000"/>
          <w:kern w:val="0"/>
          <w:sz w:val="24"/>
        </w:rPr>
        <w:t> </w:t>
      </w:r>
      <w:r>
        <w:rPr>
          <w:rFonts w:hint="eastAsia" w:ascii="Times New Roman" w:hAnsi="Times New Roman" w:eastAsia="仿宋_GB2312" w:cs="Arial"/>
          <w:color w:val="000000"/>
          <w:kern w:val="0"/>
          <w:sz w:val="24"/>
        </w:rPr>
        <w:t xml:space="preserve"> 月 </w:t>
      </w:r>
      <w:r>
        <w:rPr>
          <w:rFonts w:hint="eastAsia" w:ascii="Times New Roman" w:hAnsi="Times New Roman" w:cs="Arial"/>
          <w:color w:val="000000"/>
          <w:kern w:val="0"/>
          <w:sz w:val="24"/>
        </w:rPr>
        <w:t> </w:t>
      </w:r>
      <w:r>
        <w:rPr>
          <w:rFonts w:hint="eastAsia" w:ascii="Times New Roman" w:hAnsi="Times New Roman" w:eastAsia="仿宋_GB2312" w:cs="Arial"/>
          <w:color w:val="000000"/>
          <w:kern w:val="0"/>
          <w:sz w:val="24"/>
        </w:rPr>
        <w:t>日</w:t>
      </w:r>
    </w:p>
    <w:p>
      <w:pPr>
        <w:widowControl/>
        <w:spacing w:line="460" w:lineRule="exact"/>
        <w:jc w:val="left"/>
        <w:rPr>
          <w:rFonts w:ascii="Times New Roman" w:hAnsi="Times New Roman" w:cs="Arial"/>
          <w:color w:val="000000"/>
          <w:kern w:val="0"/>
          <w:sz w:val="24"/>
        </w:rPr>
      </w:pPr>
      <w:r>
        <w:rPr>
          <w:rFonts w:ascii="Times New Roman" w:hAnsi="Times New Roman" w:cs="Arial"/>
          <w:color w:val="000000"/>
          <w:kern w:val="0"/>
          <w:sz w:val="24"/>
        </w:rPr>
        <w:t> </w:t>
      </w:r>
    </w:p>
    <w:p>
      <w:pPr>
        <w:widowControl/>
        <w:spacing w:line="460" w:lineRule="exact"/>
        <w:rPr>
          <w:rFonts w:ascii="Times New Roman" w:hAnsi="Times New Roman" w:cs="Arial"/>
          <w:color w:val="000000"/>
          <w:kern w:val="0"/>
          <w:sz w:val="24"/>
        </w:rPr>
      </w:pPr>
      <w:r>
        <w:rPr>
          <w:rFonts w:ascii="Times New Roman" w:hAnsi="Times New Roman" w:cs="Arial"/>
          <w:color w:val="000000"/>
          <w:kern w:val="0"/>
          <w:sz w:val="24"/>
        </w:rPr>
        <w:t> </w:t>
      </w:r>
    </w:p>
    <w:p>
      <w:pPr>
        <w:widowControl/>
        <w:spacing w:line="460" w:lineRule="exact"/>
        <w:rPr>
          <w:rFonts w:ascii="Times New Roman" w:hAnsi="Times New Roman" w:cs="Arial"/>
          <w:color w:val="000000"/>
          <w:kern w:val="0"/>
          <w:sz w:val="24"/>
        </w:rPr>
      </w:pPr>
      <w:r>
        <w:rPr>
          <w:rFonts w:ascii="Times New Roman" w:hAnsi="Times New Roman" w:cs="Arial"/>
          <w:color w:val="000000"/>
          <w:kern w:val="0"/>
          <w:sz w:val="24"/>
        </w:rPr>
        <w:t> </w:t>
      </w:r>
    </w:p>
    <w:p>
      <w:pPr>
        <w:widowControl/>
        <w:spacing w:line="460" w:lineRule="exact"/>
        <w:rPr>
          <w:rFonts w:ascii="Times New Roman" w:hAnsi="Times New Roman" w:eastAsia="黑体" w:cs="Arial"/>
          <w:color w:val="000000"/>
          <w:kern w:val="0"/>
          <w:sz w:val="28"/>
          <w:szCs w:val="28"/>
        </w:rPr>
      </w:pPr>
      <w:r>
        <w:rPr>
          <w:rFonts w:hint="eastAsia" w:ascii="Times New Roman" w:hAnsi="Times New Roman" w:cs="Arial"/>
          <w:color w:val="000000"/>
          <w:kern w:val="0"/>
          <w:sz w:val="24"/>
        </w:rPr>
        <w:br w:type="column"/>
      </w:r>
      <w:r>
        <w:rPr>
          <w:rFonts w:hint="eastAsia" w:ascii="Times New Roman" w:hAnsi="Times New Roman" w:eastAsia="黑体" w:cs="Arial"/>
          <w:color w:val="000000"/>
          <w:kern w:val="0"/>
          <w:sz w:val="28"/>
          <w:szCs w:val="28"/>
        </w:rPr>
        <w:t>附件3：</w:t>
      </w:r>
    </w:p>
    <w:p>
      <w:pPr>
        <w:widowControl/>
        <w:spacing w:line="460" w:lineRule="exact"/>
        <w:jc w:val="center"/>
        <w:rPr>
          <w:rFonts w:hint="eastAsia" w:ascii="Times New Roman" w:hAnsi="Times New Roman" w:cs="Arial"/>
          <w:b/>
          <w:bCs/>
          <w:color w:val="000000"/>
          <w:kern w:val="0"/>
          <w:sz w:val="36"/>
          <w:szCs w:val="36"/>
        </w:rPr>
      </w:pPr>
      <w:r>
        <w:rPr>
          <w:rFonts w:hint="eastAsia" w:ascii="Times New Roman" w:hAnsi="Times New Roman" w:cs="Arial"/>
          <w:b/>
          <w:bCs/>
          <w:color w:val="000000"/>
          <w:kern w:val="0"/>
          <w:sz w:val="36"/>
          <w:szCs w:val="36"/>
        </w:rPr>
        <w:t>投诉书（格式）</w:t>
      </w:r>
    </w:p>
    <w:p>
      <w:pPr>
        <w:widowControl/>
        <w:spacing w:line="460" w:lineRule="exact"/>
        <w:jc w:val="center"/>
        <w:rPr>
          <w:rFonts w:hint="eastAsia" w:ascii="Times New Roman" w:hAnsi="Times New Roman" w:cs="Arial"/>
          <w:color w:val="000000"/>
          <w:kern w:val="0"/>
          <w:sz w:val="24"/>
        </w:rPr>
      </w:pPr>
      <w:r>
        <w:rPr>
          <w:rFonts w:ascii="Times New Roman" w:hAnsi="Times New Roman" w:cs="Arial"/>
          <w:color w:val="000000"/>
          <w:kern w:val="0"/>
          <w:sz w:val="24"/>
        </w:rPr>
        <w:t> </w:t>
      </w:r>
    </w:p>
    <w:p>
      <w:pPr>
        <w:widowControl/>
        <w:spacing w:line="460" w:lineRule="exact"/>
        <w:rPr>
          <w:rFonts w:ascii="Times New Roman" w:hAnsi="Times New Roman" w:cs="Arial"/>
          <w:color w:val="000000"/>
          <w:kern w:val="0"/>
          <w:sz w:val="24"/>
        </w:rPr>
      </w:pPr>
      <w:r>
        <w:rPr>
          <w:rFonts w:hint="eastAsia" w:ascii="Times New Roman" w:hAnsi="Times New Roman" w:eastAsia="仿宋_GB2312" w:cs="Arial"/>
          <w:b/>
          <w:bCs/>
          <w:color w:val="000000"/>
          <w:kern w:val="0"/>
          <w:sz w:val="24"/>
        </w:rPr>
        <w:t>投诉人（名称）：</w:t>
      </w:r>
    </w:p>
    <w:p>
      <w:pPr>
        <w:widowControl/>
        <w:spacing w:line="460" w:lineRule="exact"/>
        <w:rPr>
          <w:rFonts w:ascii="Times New Roman" w:hAnsi="Times New Roman" w:cs="Arial"/>
          <w:color w:val="000000"/>
          <w:kern w:val="0"/>
          <w:sz w:val="24"/>
        </w:rPr>
      </w:pPr>
      <w:r>
        <w:rPr>
          <w:rFonts w:hint="eastAsia" w:ascii="Times New Roman" w:hAnsi="Times New Roman" w:eastAsia="仿宋_GB2312" w:cs="Arial"/>
          <w:color w:val="000000"/>
          <w:kern w:val="0"/>
          <w:sz w:val="24"/>
        </w:rPr>
        <w:t>住所地：</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邮编：</w:t>
      </w:r>
    </w:p>
    <w:p>
      <w:pPr>
        <w:widowControl/>
        <w:spacing w:line="460" w:lineRule="exact"/>
        <w:rPr>
          <w:rFonts w:ascii="Times New Roman" w:hAnsi="Times New Roman" w:cs="Arial"/>
          <w:color w:val="000000"/>
          <w:kern w:val="0"/>
          <w:sz w:val="24"/>
        </w:rPr>
      </w:pPr>
      <w:r>
        <w:rPr>
          <w:rFonts w:hint="eastAsia" w:ascii="Times New Roman" w:hAnsi="Times New Roman" w:eastAsia="仿宋_GB2312" w:cs="Arial"/>
          <w:color w:val="000000"/>
          <w:kern w:val="0"/>
          <w:sz w:val="24"/>
        </w:rPr>
        <w:t>联系电话：</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传真：</w:t>
      </w:r>
    </w:p>
    <w:p>
      <w:pPr>
        <w:widowControl/>
        <w:spacing w:line="460" w:lineRule="exact"/>
        <w:rPr>
          <w:rFonts w:ascii="Times New Roman" w:hAnsi="Times New Roman" w:cs="Arial"/>
          <w:color w:val="000000"/>
          <w:kern w:val="0"/>
          <w:sz w:val="24"/>
        </w:rPr>
      </w:pPr>
      <w:r>
        <w:rPr>
          <w:rFonts w:hint="eastAsia" w:ascii="Times New Roman" w:hAnsi="Times New Roman" w:eastAsia="仿宋_GB2312" w:cs="Arial"/>
          <w:color w:val="000000"/>
          <w:kern w:val="0"/>
          <w:sz w:val="24"/>
        </w:rPr>
        <w:t>法定代表人姓名：</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职务：</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电话：</w:t>
      </w:r>
    </w:p>
    <w:p>
      <w:pPr>
        <w:widowControl/>
        <w:spacing w:line="460" w:lineRule="exact"/>
        <w:ind w:left="1"/>
        <w:rPr>
          <w:rFonts w:ascii="Times New Roman" w:hAnsi="Times New Roman" w:cs="Arial"/>
          <w:color w:val="000000"/>
          <w:kern w:val="0"/>
          <w:sz w:val="24"/>
        </w:rPr>
      </w:pPr>
      <w:r>
        <w:rPr>
          <w:rFonts w:hint="eastAsia" w:ascii="Times New Roman" w:hAnsi="Times New Roman" w:eastAsia="仿宋_GB2312" w:cs="Arial"/>
          <w:color w:val="000000"/>
          <w:kern w:val="0"/>
          <w:sz w:val="24"/>
        </w:rPr>
        <w:t>授权委托人姓名（如有）：</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职务：</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电话：</w:t>
      </w:r>
    </w:p>
    <w:p>
      <w:pPr>
        <w:widowControl/>
        <w:spacing w:line="460" w:lineRule="exact"/>
        <w:ind w:left="1" w:firstLine="3972" w:firstLineChars="1683"/>
        <w:rPr>
          <w:rFonts w:ascii="Times New Roman" w:hAnsi="Times New Roman" w:cs="Arial"/>
          <w:color w:val="000000"/>
          <w:kern w:val="0"/>
          <w:sz w:val="24"/>
        </w:rPr>
      </w:pPr>
      <w:r>
        <w:rPr>
          <w:rFonts w:hint="eastAsia" w:ascii="Times New Roman" w:hAnsi="Times New Roman" w:eastAsia="仿宋_GB2312" w:cs="Arial"/>
          <w:color w:val="000000"/>
          <w:kern w:val="0"/>
          <w:sz w:val="24"/>
        </w:rPr>
        <w:t>居民身份证号码：</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w:t>
      </w:r>
    </w:p>
    <w:p>
      <w:pPr>
        <w:widowControl/>
        <w:spacing w:line="460" w:lineRule="exact"/>
        <w:rPr>
          <w:rFonts w:ascii="Times New Roman" w:hAnsi="Times New Roman" w:cs="Arial"/>
          <w:color w:val="000000"/>
          <w:kern w:val="0"/>
          <w:sz w:val="24"/>
        </w:rPr>
      </w:pPr>
      <w:r>
        <w:rPr>
          <w:rFonts w:hint="eastAsia" w:ascii="Times New Roman" w:hAnsi="Times New Roman" w:eastAsia="仿宋_GB2312" w:cs="Arial"/>
          <w:b/>
          <w:bCs/>
          <w:color w:val="000000"/>
          <w:kern w:val="0"/>
          <w:sz w:val="24"/>
        </w:rPr>
        <w:t>被投诉人（名称）</w:t>
      </w:r>
      <w:r>
        <w:rPr>
          <w:rFonts w:hint="eastAsia" w:ascii="Times New Roman" w:hAnsi="Times New Roman" w:eastAsia="仿宋_GB2312" w:cs="Arial"/>
          <w:color w:val="000000"/>
          <w:kern w:val="0"/>
          <w:sz w:val="24"/>
        </w:rPr>
        <w:t>：</w:t>
      </w:r>
    </w:p>
    <w:p>
      <w:pPr>
        <w:widowControl/>
        <w:spacing w:line="460" w:lineRule="exact"/>
        <w:rPr>
          <w:rFonts w:ascii="Times New Roman" w:hAnsi="Times New Roman" w:cs="Arial"/>
          <w:color w:val="000000"/>
          <w:kern w:val="0"/>
          <w:sz w:val="24"/>
        </w:rPr>
      </w:pPr>
      <w:r>
        <w:rPr>
          <w:rFonts w:hint="eastAsia" w:ascii="Times New Roman" w:hAnsi="Times New Roman" w:eastAsia="仿宋_GB2312" w:cs="Arial"/>
          <w:color w:val="000000"/>
          <w:kern w:val="0"/>
          <w:sz w:val="24"/>
        </w:rPr>
        <w:t>住所地：</w:t>
      </w:r>
    </w:p>
    <w:p>
      <w:pPr>
        <w:widowControl/>
        <w:spacing w:line="460" w:lineRule="exact"/>
        <w:rPr>
          <w:rFonts w:ascii="Times New Roman" w:hAnsi="Times New Roman" w:cs="Arial"/>
          <w:color w:val="000000"/>
          <w:kern w:val="0"/>
          <w:sz w:val="24"/>
        </w:rPr>
      </w:pPr>
      <w:r>
        <w:rPr>
          <w:rFonts w:hint="eastAsia" w:ascii="Times New Roman" w:hAnsi="Times New Roman" w:eastAsia="仿宋_GB2312" w:cs="Arial"/>
          <w:color w:val="000000"/>
          <w:kern w:val="0"/>
          <w:sz w:val="24"/>
        </w:rPr>
        <w:t>邮编：</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w:t>
      </w:r>
      <w:r>
        <w:rPr>
          <w:rFonts w:eastAsia="仿宋_GB2312" w:cs="Arial"/>
          <w:color w:val="000000"/>
          <w:kern w:val="0"/>
          <w:sz w:val="24"/>
        </w:rPr>
        <w:t xml:space="preserve">      </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电话：</w:t>
      </w:r>
    </w:p>
    <w:p>
      <w:pPr>
        <w:widowControl/>
        <w:spacing w:line="460" w:lineRule="exact"/>
        <w:rPr>
          <w:rFonts w:ascii="Times New Roman" w:hAnsi="Times New Roman" w:cs="Arial"/>
          <w:color w:val="000000"/>
          <w:kern w:val="0"/>
          <w:sz w:val="24"/>
        </w:rPr>
      </w:pPr>
      <w:r>
        <w:rPr>
          <w:rFonts w:hint="eastAsia" w:ascii="Times New Roman" w:hAnsi="Times New Roman" w:eastAsia="仿宋_GB2312" w:cs="Arial"/>
          <w:color w:val="000000"/>
          <w:kern w:val="0"/>
          <w:sz w:val="24"/>
        </w:rPr>
        <w:t>法定代表人姓名：</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职务：</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电话：</w:t>
      </w:r>
    </w:p>
    <w:p>
      <w:pPr>
        <w:widowControl/>
        <w:spacing w:line="460" w:lineRule="exact"/>
        <w:rPr>
          <w:rFonts w:ascii="Times New Roman" w:hAnsi="Times New Roman" w:cs="Arial"/>
          <w:color w:val="000000"/>
          <w:kern w:val="0"/>
          <w:sz w:val="24"/>
        </w:rPr>
      </w:pPr>
      <w:r>
        <w:rPr>
          <w:rFonts w:hint="eastAsia" w:ascii="Times New Roman" w:hAnsi="Times New Roman" w:eastAsia="仿宋_GB2312" w:cs="Arial"/>
          <w:b/>
          <w:bCs/>
          <w:color w:val="000000"/>
          <w:kern w:val="0"/>
          <w:sz w:val="24"/>
        </w:rPr>
        <w:t>投诉事项的基本事实：</w:t>
      </w:r>
    </w:p>
    <w:p>
      <w:pPr>
        <w:widowControl/>
        <w:spacing w:line="460" w:lineRule="exact"/>
        <w:rPr>
          <w:rFonts w:ascii="Times New Roman" w:hAnsi="Times New Roman" w:cs="Arial"/>
          <w:color w:val="000000"/>
          <w:kern w:val="0"/>
          <w:sz w:val="24"/>
        </w:rPr>
      </w:pPr>
      <w:r>
        <w:rPr>
          <w:rFonts w:ascii="Times New Roman" w:hAnsi="Times New Roman" w:cs="Arial"/>
          <w:color w:val="000000"/>
          <w:kern w:val="0"/>
          <w:sz w:val="24"/>
        </w:rPr>
        <w:t> </w:t>
      </w:r>
    </w:p>
    <w:p>
      <w:pPr>
        <w:widowControl/>
        <w:spacing w:line="460" w:lineRule="exact"/>
        <w:rPr>
          <w:rFonts w:ascii="Times New Roman" w:hAnsi="Times New Roman" w:cs="Arial"/>
          <w:color w:val="000000"/>
          <w:kern w:val="0"/>
          <w:sz w:val="24"/>
        </w:rPr>
      </w:pPr>
      <w:r>
        <w:rPr>
          <w:rFonts w:hint="eastAsia" w:ascii="Times New Roman" w:hAnsi="Times New Roman" w:eastAsia="仿宋_GB2312" w:cs="Arial"/>
          <w:b/>
          <w:bCs/>
          <w:color w:val="000000"/>
          <w:kern w:val="0"/>
          <w:sz w:val="24"/>
        </w:rPr>
        <w:t>相关请求及主张:</w:t>
      </w:r>
    </w:p>
    <w:p>
      <w:pPr>
        <w:widowControl/>
        <w:spacing w:line="460" w:lineRule="exact"/>
        <w:rPr>
          <w:rFonts w:ascii="Times New Roman" w:hAnsi="Times New Roman" w:cs="Arial"/>
          <w:color w:val="000000"/>
          <w:kern w:val="0"/>
          <w:sz w:val="24"/>
        </w:rPr>
      </w:pPr>
      <w:r>
        <w:rPr>
          <w:rFonts w:ascii="Times New Roman" w:hAnsi="Times New Roman" w:cs="Arial"/>
          <w:color w:val="000000"/>
          <w:kern w:val="0"/>
          <w:sz w:val="24"/>
        </w:rPr>
        <w:t> </w:t>
      </w:r>
    </w:p>
    <w:p>
      <w:pPr>
        <w:widowControl/>
        <w:spacing w:line="460" w:lineRule="exact"/>
        <w:rPr>
          <w:rFonts w:ascii="Times New Roman" w:hAnsi="Times New Roman" w:cs="Arial"/>
          <w:color w:val="000000"/>
          <w:kern w:val="0"/>
          <w:sz w:val="24"/>
        </w:rPr>
      </w:pPr>
      <w:r>
        <w:rPr>
          <w:rFonts w:hint="eastAsia" w:ascii="Times New Roman" w:hAnsi="Times New Roman" w:eastAsia="仿宋_GB2312" w:cs="Arial"/>
          <w:b/>
          <w:bCs/>
          <w:color w:val="000000"/>
          <w:kern w:val="0"/>
          <w:sz w:val="24"/>
        </w:rPr>
        <w:t>相关证明材料及有效线索:</w:t>
      </w:r>
    </w:p>
    <w:p>
      <w:pPr>
        <w:widowControl/>
        <w:spacing w:line="460" w:lineRule="exact"/>
        <w:rPr>
          <w:rFonts w:ascii="Times New Roman" w:hAnsi="Times New Roman" w:cs="Arial"/>
          <w:color w:val="000000"/>
          <w:kern w:val="0"/>
          <w:sz w:val="24"/>
        </w:rPr>
      </w:pPr>
      <w:r>
        <w:rPr>
          <w:rFonts w:ascii="Times New Roman" w:hAnsi="Times New Roman" w:cs="Arial"/>
          <w:color w:val="000000"/>
          <w:kern w:val="0"/>
          <w:sz w:val="24"/>
        </w:rPr>
        <w:t> </w:t>
      </w:r>
    </w:p>
    <w:p>
      <w:pPr>
        <w:widowControl/>
        <w:spacing w:line="460" w:lineRule="exact"/>
        <w:rPr>
          <w:rFonts w:ascii="Times New Roman" w:hAnsi="Times New Roman" w:cs="Arial"/>
          <w:color w:val="000000"/>
          <w:kern w:val="0"/>
          <w:sz w:val="24"/>
        </w:rPr>
      </w:pPr>
      <w:r>
        <w:rPr>
          <w:rFonts w:hint="eastAsia" w:ascii="Times New Roman" w:hAnsi="Times New Roman" w:eastAsia="仿宋_GB2312" w:cs="Arial"/>
          <w:b/>
          <w:bCs/>
          <w:color w:val="000000"/>
          <w:kern w:val="0"/>
          <w:sz w:val="24"/>
        </w:rPr>
        <w:t>投诉人与投诉项目有利害关系的证明材料:</w:t>
      </w:r>
    </w:p>
    <w:p>
      <w:pPr>
        <w:widowControl/>
        <w:spacing w:line="460" w:lineRule="exact"/>
        <w:rPr>
          <w:rFonts w:ascii="Times New Roman" w:hAnsi="Times New Roman" w:cs="Arial"/>
          <w:color w:val="000000"/>
          <w:kern w:val="0"/>
          <w:sz w:val="24"/>
        </w:rPr>
      </w:pPr>
      <w:r>
        <w:rPr>
          <w:rFonts w:ascii="Times New Roman" w:hAnsi="Times New Roman" w:cs="Arial"/>
          <w:color w:val="000000"/>
          <w:kern w:val="0"/>
          <w:sz w:val="24"/>
        </w:rPr>
        <w:t> </w:t>
      </w:r>
    </w:p>
    <w:p>
      <w:pPr>
        <w:widowControl/>
        <w:spacing w:line="460" w:lineRule="exact"/>
        <w:rPr>
          <w:rFonts w:ascii="Times New Roman" w:hAnsi="Times New Roman" w:cs="Arial"/>
          <w:color w:val="000000"/>
          <w:kern w:val="0"/>
          <w:sz w:val="24"/>
        </w:rPr>
      </w:pPr>
      <w:r>
        <w:rPr>
          <w:rFonts w:hint="eastAsia" w:ascii="Times New Roman" w:hAnsi="Times New Roman" w:eastAsia="仿宋_GB2312" w:cs="Arial"/>
          <w:b/>
          <w:bCs/>
          <w:color w:val="000000"/>
          <w:kern w:val="0"/>
          <w:sz w:val="24"/>
        </w:rPr>
        <w:t>对异议事项进行投诉的，异议的证明文件及招标人异议答复书：</w:t>
      </w:r>
    </w:p>
    <w:p>
      <w:pPr>
        <w:widowControl/>
        <w:spacing w:line="460" w:lineRule="exact"/>
        <w:rPr>
          <w:rFonts w:ascii="Times New Roman" w:hAnsi="Times New Roman" w:cs="Arial"/>
          <w:color w:val="000000"/>
          <w:kern w:val="0"/>
          <w:sz w:val="24"/>
        </w:rPr>
      </w:pPr>
      <w:r>
        <w:rPr>
          <w:rFonts w:ascii="Times New Roman" w:hAnsi="Times New Roman" w:cs="Arial"/>
          <w:color w:val="000000"/>
          <w:kern w:val="0"/>
          <w:sz w:val="24"/>
        </w:rPr>
        <w:t>  </w:t>
      </w:r>
    </w:p>
    <w:p>
      <w:pPr>
        <w:widowControl/>
        <w:spacing w:line="460" w:lineRule="exact"/>
        <w:ind w:left="99" w:firstLine="3780"/>
        <w:rPr>
          <w:rFonts w:ascii="Times New Roman" w:hAnsi="Times New Roman" w:cs="Arial"/>
          <w:color w:val="000000"/>
          <w:kern w:val="0"/>
          <w:sz w:val="24"/>
        </w:rPr>
      </w:pPr>
      <w:r>
        <w:rPr>
          <w:rFonts w:hint="eastAsia" w:ascii="Times New Roman" w:hAnsi="Times New Roman" w:eastAsia="仿宋_GB2312" w:cs="Arial"/>
          <w:color w:val="000000"/>
          <w:kern w:val="0"/>
          <w:sz w:val="24"/>
        </w:rPr>
        <w:t>投诉人（加盖公章）</w:t>
      </w:r>
    </w:p>
    <w:p>
      <w:pPr>
        <w:widowControl/>
        <w:spacing w:line="460" w:lineRule="exact"/>
        <w:ind w:left="99" w:firstLine="3780"/>
        <w:rPr>
          <w:rFonts w:ascii="Times New Roman" w:hAnsi="Times New Roman" w:cs="Arial"/>
          <w:color w:val="000000"/>
          <w:kern w:val="0"/>
          <w:sz w:val="24"/>
        </w:rPr>
      </w:pPr>
      <w:r>
        <w:rPr>
          <w:rFonts w:hint="eastAsia" w:ascii="Times New Roman" w:hAnsi="Times New Roman" w:eastAsia="仿宋_GB2312" w:cs="Arial"/>
          <w:color w:val="000000"/>
          <w:kern w:val="0"/>
          <w:sz w:val="24"/>
        </w:rPr>
        <w:t>法定代表人（签字）</w:t>
      </w:r>
    </w:p>
    <w:p>
      <w:pPr>
        <w:widowControl/>
        <w:spacing w:line="460" w:lineRule="exact"/>
        <w:ind w:left="99" w:firstLine="5600"/>
        <w:rPr>
          <w:rFonts w:ascii="Times New Roman" w:hAnsi="Times New Roman" w:cs="Arial"/>
          <w:color w:val="000000"/>
          <w:kern w:val="0"/>
          <w:sz w:val="24"/>
        </w:rPr>
      </w:pPr>
      <w:r>
        <w:rPr>
          <w:rFonts w:hint="eastAsia" w:ascii="Times New Roman" w:hAnsi="Times New Roman" w:eastAsia="仿宋_GB2312" w:cs="Arial"/>
          <w:color w:val="000000"/>
          <w:kern w:val="0"/>
          <w:sz w:val="24"/>
        </w:rPr>
        <w:t>年</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月</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日</w:t>
      </w:r>
    </w:p>
    <w:p>
      <w:pPr>
        <w:widowControl/>
        <w:spacing w:line="460" w:lineRule="exact"/>
        <w:rPr>
          <w:rFonts w:ascii="Times New Roman" w:hAnsi="Times New Roman" w:cs="Arial"/>
          <w:color w:val="000000"/>
          <w:kern w:val="0"/>
          <w:sz w:val="24"/>
        </w:rPr>
      </w:pPr>
      <w:r>
        <w:rPr>
          <w:rFonts w:ascii="Times New Roman" w:hAnsi="Times New Roman" w:cs="Arial"/>
          <w:color w:val="000000"/>
          <w:kern w:val="0"/>
          <w:sz w:val="24"/>
        </w:rPr>
        <w:t> </w:t>
      </w:r>
      <w:r>
        <w:rPr>
          <w:rFonts w:hint="eastAsia" w:ascii="Times New Roman" w:hAnsi="Times New Roman" w:eastAsia="仿宋_GB2312" w:cs="Arial"/>
          <w:color w:val="000000"/>
          <w:kern w:val="0"/>
          <w:sz w:val="24"/>
        </w:rPr>
        <w:t>说明：</w:t>
      </w:r>
    </w:p>
    <w:p>
      <w:pPr>
        <w:widowControl/>
        <w:spacing w:line="460" w:lineRule="exact"/>
        <w:ind w:firstLine="472" w:firstLineChars="200"/>
        <w:jc w:val="left"/>
        <w:rPr>
          <w:rFonts w:ascii="Times New Roman" w:hAnsi="Times New Roman" w:cs="Arial"/>
          <w:color w:val="000000"/>
          <w:kern w:val="0"/>
          <w:sz w:val="24"/>
        </w:rPr>
      </w:pPr>
      <w:r>
        <w:rPr>
          <w:rFonts w:hint="eastAsia" w:ascii="Times New Roman" w:hAnsi="Times New Roman" w:eastAsia="仿宋_GB2312" w:cs="Arial"/>
          <w:color w:val="000000"/>
          <w:kern w:val="0"/>
          <w:sz w:val="24"/>
        </w:rPr>
        <w:t>1.投诉人是法人的，投诉书必须由其法定代表人或者授权代表签字并盖章。</w:t>
      </w:r>
    </w:p>
    <w:p>
      <w:pPr>
        <w:widowControl/>
        <w:spacing w:line="460" w:lineRule="exact"/>
        <w:ind w:firstLine="472" w:firstLineChars="200"/>
        <w:rPr>
          <w:rFonts w:ascii="Times New Roman" w:hAnsi="Times New Roman" w:cs="Arial"/>
          <w:color w:val="000000"/>
          <w:kern w:val="0"/>
          <w:sz w:val="24"/>
        </w:rPr>
      </w:pPr>
      <w:r>
        <w:rPr>
          <w:rFonts w:hint="eastAsia" w:ascii="Times New Roman" w:hAnsi="Times New Roman" w:eastAsia="仿宋_GB2312" w:cs="Arial"/>
          <w:color w:val="000000"/>
          <w:kern w:val="0"/>
          <w:sz w:val="24"/>
        </w:rPr>
        <w:t>2.投诉书有关材料是外文的，投诉人应当同时提供其中文译本。</w:t>
      </w:r>
    </w:p>
    <w:p>
      <w:pPr>
        <w:widowControl/>
        <w:spacing w:line="460" w:lineRule="exact"/>
        <w:rPr>
          <w:rFonts w:ascii="Times New Roman" w:hAnsi="Times New Roman" w:eastAsia="黑体" w:cs="Arial"/>
          <w:color w:val="000000"/>
          <w:kern w:val="0"/>
          <w:sz w:val="28"/>
          <w:szCs w:val="28"/>
        </w:rPr>
      </w:pPr>
      <w:r>
        <w:rPr>
          <w:rFonts w:hint="eastAsia" w:ascii="Times New Roman" w:hAnsi="Times New Roman" w:eastAsia="黑体" w:cs="Arial"/>
          <w:color w:val="000000"/>
          <w:kern w:val="0"/>
          <w:sz w:val="28"/>
          <w:szCs w:val="28"/>
        </w:rPr>
        <w:t>附件4：</w:t>
      </w:r>
    </w:p>
    <w:p>
      <w:pPr>
        <w:widowControl/>
        <w:spacing w:line="460" w:lineRule="exact"/>
        <w:jc w:val="center"/>
        <w:rPr>
          <w:rFonts w:hint="eastAsia" w:ascii="Times New Roman" w:hAnsi="Times New Roman" w:cs="Arial"/>
          <w:color w:val="000000"/>
          <w:kern w:val="0"/>
          <w:sz w:val="24"/>
        </w:rPr>
      </w:pPr>
      <w:r>
        <w:rPr>
          <w:rFonts w:ascii="Times New Roman" w:hAnsi="Times New Roman" w:cs="Arial"/>
          <w:color w:val="000000"/>
          <w:kern w:val="0"/>
          <w:sz w:val="24"/>
        </w:rPr>
        <w:t> </w:t>
      </w:r>
    </w:p>
    <w:p>
      <w:pPr>
        <w:widowControl/>
        <w:spacing w:line="460" w:lineRule="exact"/>
        <w:jc w:val="center"/>
        <w:rPr>
          <w:rFonts w:ascii="Times New Roman" w:hAnsi="Times New Roman" w:cs="Arial"/>
          <w:b/>
          <w:bCs/>
          <w:color w:val="000000"/>
          <w:kern w:val="0"/>
          <w:sz w:val="36"/>
          <w:szCs w:val="36"/>
        </w:rPr>
      </w:pPr>
      <w:r>
        <w:rPr>
          <w:rFonts w:hint="eastAsia" w:ascii="Times New Roman" w:hAnsi="Times New Roman" w:cs="Arial"/>
          <w:b/>
          <w:bCs/>
          <w:color w:val="000000"/>
          <w:kern w:val="0"/>
          <w:sz w:val="36"/>
          <w:szCs w:val="36"/>
        </w:rPr>
        <w:t>不予受理通知书（格式）</w:t>
      </w:r>
    </w:p>
    <w:p>
      <w:pPr>
        <w:widowControl/>
        <w:spacing w:line="460" w:lineRule="exact"/>
        <w:jc w:val="center"/>
        <w:rPr>
          <w:rFonts w:hint="eastAsia" w:ascii="Times New Roman" w:hAnsi="Times New Roman" w:cs="Arial"/>
          <w:color w:val="000000"/>
          <w:kern w:val="0"/>
          <w:sz w:val="24"/>
        </w:rPr>
      </w:pPr>
      <w:r>
        <w:rPr>
          <w:rFonts w:ascii="Times New Roman" w:hAnsi="Times New Roman" w:cs="Arial"/>
          <w:color w:val="000000"/>
          <w:kern w:val="0"/>
          <w:sz w:val="24"/>
        </w:rPr>
        <w:t> </w:t>
      </w:r>
    </w:p>
    <w:p>
      <w:pPr>
        <w:widowControl/>
        <w:shd w:val="clear" w:color="auto" w:fill="FFFFFF"/>
        <w:spacing w:line="460" w:lineRule="exact"/>
        <w:jc w:val="left"/>
        <w:rPr>
          <w:rFonts w:ascii="Times New Roman" w:hAnsi="Times New Roman" w:cs="Arial"/>
          <w:color w:val="000000"/>
          <w:kern w:val="0"/>
          <w:sz w:val="24"/>
        </w:rPr>
      </w:pPr>
      <w:r>
        <w:rPr>
          <w:rFonts w:hint="eastAsia" w:ascii="Times New Roman" w:hAnsi="Times New Roman" w:eastAsia="仿宋_GB2312" w:cs="Arial"/>
          <w:color w:val="000000"/>
          <w:kern w:val="0"/>
          <w:sz w:val="24"/>
        </w:rPr>
        <w:t>编号：</w:t>
      </w:r>
    </w:p>
    <w:p>
      <w:pPr>
        <w:widowControl/>
        <w:shd w:val="clear" w:color="auto" w:fill="FFFFFF"/>
        <w:spacing w:line="460" w:lineRule="exact"/>
        <w:ind w:firstLine="4248" w:firstLineChars="1800"/>
        <w:jc w:val="left"/>
        <w:rPr>
          <w:rFonts w:ascii="Times New Roman" w:hAnsi="Times New Roman" w:cs="Arial"/>
          <w:color w:val="000000"/>
          <w:kern w:val="0"/>
          <w:sz w:val="24"/>
        </w:rPr>
      </w:pPr>
      <w:r>
        <w:rPr>
          <w:rFonts w:hint="eastAsia" w:ascii="Times New Roman" w:hAnsi="Times New Roman" w:eastAsia="仿宋_GB2312" w:cs="Arial"/>
          <w:color w:val="000000"/>
          <w:kern w:val="0"/>
          <w:sz w:val="24"/>
        </w:rPr>
        <w:t>：</w:t>
      </w:r>
    </w:p>
    <w:p>
      <w:pPr>
        <w:widowControl/>
        <w:shd w:val="clear" w:color="auto" w:fill="FFFFFF"/>
        <w:spacing w:line="460" w:lineRule="exact"/>
        <w:ind w:firstLine="472" w:firstLineChars="200"/>
        <w:jc w:val="left"/>
        <w:rPr>
          <w:rFonts w:ascii="Times New Roman" w:hAnsi="Times New Roman" w:cs="Arial"/>
          <w:color w:val="000000"/>
          <w:kern w:val="0"/>
          <w:sz w:val="24"/>
        </w:rPr>
      </w:pPr>
      <w:r>
        <w:rPr>
          <w:rFonts w:hint="eastAsia" w:ascii="Times New Roman" w:hAnsi="Times New Roman" w:eastAsia="仿宋_GB2312" w:cs="Arial"/>
          <w:color w:val="000000"/>
          <w:kern w:val="0"/>
          <w:sz w:val="24"/>
        </w:rPr>
        <w:t>你单位于</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年</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月</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日递交的对</w:t>
      </w:r>
      <w:r>
        <w:rPr>
          <w:rFonts w:ascii="Times New Roman" w:hAnsi="Times New Roman" w:eastAsia="仿宋_GB2312" w:cs="Arial"/>
          <w:color w:val="000000"/>
          <w:kern w:val="0"/>
          <w:sz w:val="24"/>
        </w:rPr>
        <w:t> </w:t>
      </w:r>
      <w:r>
        <w:rPr>
          <w:rFonts w:ascii="Times New Roman" w:hAnsi="Times New Roman" w:eastAsia="仿宋_GB2312" w:cs="Arial"/>
          <w:color w:val="000000"/>
          <w:kern w:val="0"/>
          <w:sz w:val="24"/>
          <w:u w:val="single"/>
        </w:rPr>
        <w:t>           </w:t>
      </w:r>
      <w:r>
        <w:rPr>
          <w:rFonts w:hint="eastAsia" w:ascii="Times New Roman" w:hAnsi="Times New Roman" w:eastAsia="仿宋_GB2312" w:cs="Arial"/>
          <w:color w:val="000000"/>
          <w:kern w:val="0"/>
          <w:sz w:val="24"/>
          <w:u w:val="single"/>
        </w:rPr>
        <w:t xml:space="preserve">                    </w:t>
      </w:r>
      <w:r>
        <w:rPr>
          <w:rFonts w:ascii="Times New Roman" w:hAnsi="Times New Roman" w:eastAsia="仿宋_GB2312" w:cs="Arial"/>
          <w:color w:val="000000"/>
          <w:kern w:val="0"/>
          <w:sz w:val="24"/>
          <w:u w:val="single"/>
        </w:rPr>
        <w:t>     </w:t>
      </w:r>
      <w:r>
        <w:rPr>
          <w:rFonts w:hint="eastAsia" w:ascii="Times New Roman" w:hAnsi="Times New Roman" w:eastAsia="仿宋_GB2312" w:cs="Arial"/>
          <w:color w:val="000000"/>
          <w:kern w:val="0"/>
          <w:sz w:val="24"/>
          <w:u w:val="single"/>
        </w:rPr>
        <w:t xml:space="preserve"> </w:t>
      </w:r>
      <w:r>
        <w:rPr>
          <w:rFonts w:hint="eastAsia" w:ascii="Times New Roman" w:hAnsi="Times New Roman" w:eastAsia="仿宋_GB2312" w:cs="Arial"/>
          <w:color w:val="000000"/>
          <w:kern w:val="0"/>
          <w:sz w:val="24"/>
        </w:rPr>
        <w:t>工程的投诉材料已审查结束，根据招标投标相关法律、法规和规章规定，你单位投诉存在以下问题：</w:t>
      </w:r>
    </w:p>
    <w:p>
      <w:pPr>
        <w:widowControl/>
        <w:spacing w:line="460" w:lineRule="exact"/>
        <w:ind w:firstLine="472" w:firstLineChars="200"/>
        <w:rPr>
          <w:rFonts w:ascii="Times New Roman" w:hAnsi="Times New Roman" w:cs="Arial"/>
          <w:color w:val="000000"/>
          <w:kern w:val="0"/>
          <w:sz w:val="24"/>
        </w:rPr>
      </w:pPr>
      <w:r>
        <w:rPr>
          <w:rFonts w:hint="eastAsia" w:ascii="Times New Roman" w:hAnsi="Times New Roman" w:eastAsia="仿宋_GB2312" w:cs="Arial"/>
          <w:color w:val="000000"/>
          <w:kern w:val="0"/>
          <w:sz w:val="24"/>
        </w:rPr>
        <w:t>□投诉人不是所投诉招标投标活动的参与者，或者与投诉项目无任何利害关系，或者无法证明其为招投标活动的参与者或者其它利害关系的；</w:t>
      </w:r>
    </w:p>
    <w:p>
      <w:pPr>
        <w:widowControl/>
        <w:shd w:val="clear" w:color="auto" w:fill="FFFFFF"/>
        <w:spacing w:line="460" w:lineRule="exact"/>
        <w:ind w:firstLine="472" w:firstLineChars="200"/>
        <w:jc w:val="left"/>
        <w:rPr>
          <w:rFonts w:ascii="Times New Roman" w:hAnsi="Times New Roman" w:cs="Arial"/>
          <w:color w:val="000000"/>
          <w:kern w:val="0"/>
          <w:sz w:val="24"/>
        </w:rPr>
      </w:pPr>
      <w:r>
        <w:rPr>
          <w:rFonts w:hint="eastAsia" w:ascii="Times New Roman" w:hAnsi="Times New Roman" w:eastAsia="仿宋_GB2312" w:cs="Arial"/>
          <w:color w:val="000000"/>
          <w:kern w:val="0"/>
          <w:sz w:val="24"/>
        </w:rPr>
        <w:t>□投诉事项不具体，且未提供有效线索，难以查证；</w:t>
      </w:r>
    </w:p>
    <w:p>
      <w:pPr>
        <w:widowControl/>
        <w:shd w:val="clear" w:color="auto" w:fill="FFFFFF"/>
        <w:spacing w:line="460" w:lineRule="exact"/>
        <w:ind w:firstLine="472" w:firstLineChars="200"/>
        <w:jc w:val="left"/>
        <w:rPr>
          <w:rFonts w:ascii="Times New Roman" w:hAnsi="Times New Roman" w:cs="Arial"/>
          <w:color w:val="000000"/>
          <w:kern w:val="0"/>
          <w:sz w:val="24"/>
        </w:rPr>
      </w:pPr>
      <w:r>
        <w:rPr>
          <w:rFonts w:hint="eastAsia" w:ascii="Times New Roman" w:hAnsi="Times New Roman" w:eastAsia="仿宋_GB2312" w:cs="Arial"/>
          <w:color w:val="000000"/>
          <w:kern w:val="0"/>
          <w:sz w:val="24"/>
        </w:rPr>
        <w:t>□投诉书未署具投诉人真实姓名、签字和有效联系方式的；以法人名义投诉的，投诉书未经法定代表人或授权委托人签字并加盖公章的；</w:t>
      </w:r>
    </w:p>
    <w:p>
      <w:pPr>
        <w:widowControl/>
        <w:shd w:val="clear" w:color="auto" w:fill="FFFFFF"/>
        <w:spacing w:line="460" w:lineRule="exact"/>
        <w:ind w:firstLine="472" w:firstLineChars="200"/>
        <w:jc w:val="left"/>
        <w:rPr>
          <w:rFonts w:ascii="Times New Roman" w:hAnsi="Times New Roman" w:cs="Arial"/>
          <w:color w:val="000000"/>
          <w:kern w:val="0"/>
          <w:sz w:val="24"/>
        </w:rPr>
      </w:pPr>
      <w:r>
        <w:rPr>
          <w:rFonts w:hint="eastAsia" w:ascii="Times New Roman" w:hAnsi="Times New Roman" w:eastAsia="仿宋_GB2312" w:cs="Arial"/>
          <w:color w:val="000000"/>
          <w:kern w:val="0"/>
          <w:sz w:val="24"/>
        </w:rPr>
        <w:t>□超过投诉时效；</w:t>
      </w:r>
    </w:p>
    <w:p>
      <w:pPr>
        <w:widowControl/>
        <w:shd w:val="clear" w:color="auto" w:fill="FFFFFF"/>
        <w:spacing w:line="460" w:lineRule="exact"/>
        <w:ind w:firstLine="472" w:firstLineChars="200"/>
        <w:jc w:val="left"/>
        <w:rPr>
          <w:rFonts w:ascii="Times New Roman" w:hAnsi="Times New Roman" w:cs="Arial"/>
          <w:color w:val="000000"/>
          <w:kern w:val="0"/>
          <w:sz w:val="24"/>
        </w:rPr>
      </w:pPr>
      <w:r>
        <w:rPr>
          <w:rFonts w:hint="eastAsia" w:ascii="Times New Roman" w:hAnsi="Times New Roman" w:eastAsia="仿宋_GB2312" w:cs="Arial"/>
          <w:color w:val="000000"/>
          <w:kern w:val="0"/>
          <w:sz w:val="24"/>
        </w:rPr>
        <w:t>□已经作出处理决定，并且投诉人没有提出新的证据；</w:t>
      </w:r>
    </w:p>
    <w:p>
      <w:pPr>
        <w:widowControl/>
        <w:shd w:val="clear" w:color="auto" w:fill="FFFFFF"/>
        <w:spacing w:line="460" w:lineRule="exact"/>
        <w:ind w:firstLine="472" w:firstLineChars="200"/>
        <w:jc w:val="left"/>
        <w:rPr>
          <w:rFonts w:ascii="Times New Roman" w:hAnsi="Times New Roman" w:cs="Arial"/>
          <w:color w:val="000000"/>
          <w:kern w:val="0"/>
          <w:sz w:val="24"/>
        </w:rPr>
      </w:pPr>
      <w:r>
        <w:rPr>
          <w:rFonts w:hint="eastAsia" w:ascii="Times New Roman" w:hAnsi="Times New Roman" w:eastAsia="仿宋_GB2312" w:cs="Arial"/>
          <w:color w:val="000000"/>
          <w:kern w:val="0"/>
          <w:sz w:val="24"/>
        </w:rPr>
        <w:t>□准予撤回投诉后又以同一事实和理由提出投诉；</w:t>
      </w:r>
    </w:p>
    <w:p>
      <w:pPr>
        <w:widowControl/>
        <w:shd w:val="clear" w:color="auto" w:fill="FFFFFF"/>
        <w:spacing w:line="460" w:lineRule="exact"/>
        <w:ind w:firstLine="472" w:firstLineChars="200"/>
        <w:jc w:val="left"/>
        <w:rPr>
          <w:rFonts w:ascii="Times New Roman" w:hAnsi="Times New Roman" w:cs="Arial"/>
          <w:color w:val="000000"/>
          <w:kern w:val="0"/>
          <w:sz w:val="24"/>
        </w:rPr>
      </w:pPr>
      <w:r>
        <w:rPr>
          <w:rFonts w:hint="eastAsia" w:ascii="Times New Roman" w:hAnsi="Times New Roman" w:eastAsia="仿宋_GB2312" w:cs="Arial"/>
          <w:color w:val="000000"/>
          <w:kern w:val="0"/>
          <w:sz w:val="24"/>
        </w:rPr>
        <w:t>□应先提出异议的投诉事项没有提出异议或投诉事项已进入行政复议或行政诉讼程序；或者招标人受理异议后虽未回复但已在调查处理中且已暂停招投标活动；</w:t>
      </w:r>
    </w:p>
    <w:p>
      <w:pPr>
        <w:widowControl/>
        <w:shd w:val="clear" w:color="auto" w:fill="FFFFFF"/>
        <w:spacing w:line="460" w:lineRule="exact"/>
        <w:ind w:firstLine="472" w:firstLineChars="200"/>
        <w:jc w:val="left"/>
        <w:rPr>
          <w:rFonts w:ascii="Times New Roman" w:hAnsi="Times New Roman" w:cs="Arial"/>
          <w:color w:val="000000"/>
          <w:kern w:val="0"/>
          <w:sz w:val="24"/>
        </w:rPr>
      </w:pPr>
      <w:r>
        <w:rPr>
          <w:rFonts w:hint="eastAsia" w:ascii="Times New Roman" w:hAnsi="Times New Roman" w:eastAsia="仿宋_GB2312" w:cs="Arial"/>
          <w:color w:val="000000"/>
          <w:kern w:val="0"/>
          <w:sz w:val="24"/>
        </w:rPr>
        <w:t>□投诉人就同一事实和理由再提出投诉的。</w:t>
      </w:r>
    </w:p>
    <w:p>
      <w:pPr>
        <w:widowControl/>
        <w:shd w:val="clear" w:color="auto" w:fill="FFFFFF"/>
        <w:spacing w:line="460" w:lineRule="exact"/>
        <w:ind w:firstLine="472" w:firstLineChars="200"/>
        <w:jc w:val="left"/>
        <w:rPr>
          <w:rFonts w:ascii="Times New Roman" w:hAnsi="Times New Roman" w:cs="Arial"/>
          <w:color w:val="000000"/>
          <w:kern w:val="0"/>
          <w:sz w:val="24"/>
        </w:rPr>
      </w:pPr>
      <w:r>
        <w:rPr>
          <w:rFonts w:hint="eastAsia" w:ascii="Times New Roman" w:hAnsi="Times New Roman" w:eastAsia="仿宋_GB2312" w:cs="Arial"/>
          <w:color w:val="000000"/>
          <w:kern w:val="0"/>
          <w:sz w:val="24"/>
        </w:rPr>
        <w:t>经研究，决定对你单位投诉不予受理。</w:t>
      </w:r>
    </w:p>
    <w:p>
      <w:pPr>
        <w:widowControl/>
        <w:shd w:val="clear" w:color="auto" w:fill="FFFFFF"/>
        <w:spacing w:line="460" w:lineRule="exact"/>
        <w:jc w:val="left"/>
        <w:rPr>
          <w:rFonts w:ascii="Times New Roman" w:hAnsi="Times New Roman" w:cs="Arial"/>
          <w:color w:val="000000"/>
          <w:kern w:val="0"/>
          <w:sz w:val="24"/>
        </w:rPr>
      </w:pPr>
      <w:r>
        <w:rPr>
          <w:rFonts w:ascii="Times New Roman" w:hAnsi="Times New Roman" w:cs="Arial"/>
          <w:color w:val="000000"/>
          <w:kern w:val="0"/>
          <w:sz w:val="24"/>
        </w:rPr>
        <w:t> </w:t>
      </w:r>
    </w:p>
    <w:p>
      <w:pPr>
        <w:widowControl/>
        <w:shd w:val="clear" w:color="auto" w:fill="FFFFFF"/>
        <w:spacing w:line="460" w:lineRule="exact"/>
        <w:jc w:val="left"/>
        <w:rPr>
          <w:rFonts w:ascii="Times New Roman" w:hAnsi="Times New Roman" w:cs="Arial"/>
          <w:color w:val="000000"/>
          <w:kern w:val="0"/>
          <w:sz w:val="24"/>
        </w:rPr>
      </w:pPr>
      <w:r>
        <w:rPr>
          <w:rFonts w:ascii="Times New Roman" w:hAnsi="Times New Roman" w:cs="Arial"/>
          <w:color w:val="000000"/>
          <w:kern w:val="0"/>
          <w:sz w:val="24"/>
        </w:rPr>
        <w:t> </w:t>
      </w:r>
    </w:p>
    <w:p>
      <w:pPr>
        <w:widowControl/>
        <w:shd w:val="clear" w:color="auto" w:fill="FFFFFF"/>
        <w:spacing w:line="460" w:lineRule="exact"/>
        <w:ind w:firstLine="560"/>
        <w:jc w:val="left"/>
        <w:rPr>
          <w:rFonts w:ascii="Times New Roman" w:hAnsi="Times New Roman" w:cs="Arial"/>
          <w:color w:val="000000"/>
          <w:kern w:val="0"/>
          <w:sz w:val="24"/>
        </w:rPr>
      </w:pP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招标投标行政监督部门（公章）</w:t>
      </w:r>
    </w:p>
    <w:p>
      <w:pPr>
        <w:widowControl/>
        <w:shd w:val="clear" w:color="auto" w:fill="FFFFFF"/>
        <w:spacing w:line="460" w:lineRule="exact"/>
        <w:ind w:firstLine="6018" w:firstLineChars="2550"/>
        <w:jc w:val="left"/>
        <w:rPr>
          <w:rFonts w:ascii="Times New Roman" w:hAnsi="Times New Roman" w:cs="Arial"/>
          <w:color w:val="000000"/>
          <w:kern w:val="0"/>
          <w:sz w:val="24"/>
        </w:rPr>
      </w:pPr>
      <w:r>
        <w:rPr>
          <w:rFonts w:hint="eastAsia" w:ascii="Times New Roman" w:hAnsi="Times New Roman" w:eastAsia="仿宋_GB2312" w:cs="Arial"/>
          <w:color w:val="000000"/>
          <w:kern w:val="0"/>
          <w:sz w:val="24"/>
        </w:rPr>
        <w:t>年</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月</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日</w:t>
      </w:r>
    </w:p>
    <w:p>
      <w:pPr>
        <w:widowControl/>
        <w:spacing w:line="460" w:lineRule="exact"/>
        <w:rPr>
          <w:rFonts w:ascii="Times New Roman" w:hAnsi="Times New Roman" w:eastAsia="黑体" w:cs="Arial"/>
          <w:color w:val="000000"/>
          <w:kern w:val="0"/>
          <w:sz w:val="28"/>
          <w:szCs w:val="28"/>
        </w:rPr>
      </w:pPr>
      <w:r>
        <w:rPr>
          <w:rFonts w:hint="eastAsia" w:ascii="Times New Roman" w:hAnsi="Times New Roman" w:cs="Arial"/>
          <w:color w:val="000000"/>
          <w:kern w:val="0"/>
          <w:sz w:val="24"/>
        </w:rPr>
        <w:br w:type="column"/>
      </w:r>
      <w:r>
        <w:rPr>
          <w:rFonts w:hint="eastAsia" w:ascii="Times New Roman" w:hAnsi="Times New Roman" w:eastAsia="黑体" w:cs="Arial"/>
          <w:color w:val="000000"/>
          <w:kern w:val="0"/>
          <w:sz w:val="28"/>
          <w:szCs w:val="28"/>
        </w:rPr>
        <w:t>附件5：</w:t>
      </w:r>
    </w:p>
    <w:p>
      <w:pPr>
        <w:widowControl/>
        <w:shd w:val="clear" w:color="auto" w:fill="FFFFFF"/>
        <w:spacing w:line="460" w:lineRule="exact"/>
        <w:jc w:val="center"/>
        <w:rPr>
          <w:rFonts w:hint="eastAsia" w:ascii="Times New Roman" w:hAnsi="Times New Roman" w:cs="Arial"/>
          <w:color w:val="000000"/>
          <w:kern w:val="0"/>
          <w:sz w:val="24"/>
        </w:rPr>
      </w:pPr>
      <w:r>
        <w:rPr>
          <w:rFonts w:ascii="Times New Roman" w:hAnsi="Times New Roman" w:cs="Arial"/>
          <w:color w:val="000000"/>
          <w:kern w:val="0"/>
          <w:sz w:val="24"/>
        </w:rPr>
        <w:t> </w:t>
      </w:r>
    </w:p>
    <w:p>
      <w:pPr>
        <w:widowControl/>
        <w:spacing w:line="460" w:lineRule="exact"/>
        <w:jc w:val="center"/>
        <w:rPr>
          <w:rFonts w:ascii="Times New Roman" w:hAnsi="Times New Roman" w:cs="Arial"/>
          <w:b/>
          <w:bCs/>
          <w:color w:val="000000"/>
          <w:kern w:val="0"/>
          <w:sz w:val="36"/>
          <w:szCs w:val="36"/>
        </w:rPr>
      </w:pPr>
      <w:r>
        <w:rPr>
          <w:rFonts w:hint="eastAsia" w:ascii="Times New Roman" w:hAnsi="Times New Roman" w:cs="Arial"/>
          <w:b/>
          <w:bCs/>
          <w:color w:val="000000"/>
          <w:kern w:val="0"/>
          <w:sz w:val="36"/>
          <w:szCs w:val="36"/>
        </w:rPr>
        <w:t>投诉处理决定书（格式）</w:t>
      </w:r>
    </w:p>
    <w:p>
      <w:pPr>
        <w:widowControl/>
        <w:spacing w:line="460" w:lineRule="exact"/>
        <w:jc w:val="center"/>
        <w:rPr>
          <w:rFonts w:hint="eastAsia" w:ascii="Times New Roman" w:hAnsi="Times New Roman" w:cs="Arial"/>
          <w:color w:val="000000"/>
          <w:kern w:val="0"/>
          <w:sz w:val="24"/>
        </w:rPr>
      </w:pPr>
      <w:r>
        <w:rPr>
          <w:rFonts w:ascii="Times New Roman" w:hAnsi="Times New Roman" w:cs="Arial"/>
          <w:color w:val="000000"/>
          <w:kern w:val="0"/>
          <w:sz w:val="24"/>
        </w:rPr>
        <w:t> </w:t>
      </w:r>
    </w:p>
    <w:p>
      <w:pPr>
        <w:widowControl/>
        <w:spacing w:line="460" w:lineRule="exact"/>
        <w:ind w:firstLine="472" w:firstLineChars="200"/>
        <w:rPr>
          <w:rFonts w:ascii="Times New Roman" w:hAnsi="Times New Roman" w:cs="Arial"/>
          <w:color w:val="000000"/>
          <w:kern w:val="0"/>
          <w:sz w:val="24"/>
        </w:rPr>
      </w:pPr>
      <w:r>
        <w:rPr>
          <w:rFonts w:hint="eastAsia" w:ascii="Times New Roman" w:hAnsi="Times New Roman" w:eastAsia="仿宋_GB2312" w:cs="Arial"/>
          <w:color w:val="000000"/>
          <w:kern w:val="0"/>
          <w:sz w:val="24"/>
        </w:rPr>
        <w:t xml:space="preserve">投 诉 人： </w:t>
      </w:r>
    </w:p>
    <w:p>
      <w:pPr>
        <w:widowControl/>
        <w:spacing w:line="460" w:lineRule="exact"/>
        <w:ind w:firstLine="472" w:firstLineChars="200"/>
        <w:rPr>
          <w:rFonts w:ascii="Times New Roman" w:hAnsi="Times New Roman" w:cs="Arial"/>
          <w:color w:val="000000"/>
          <w:kern w:val="0"/>
          <w:sz w:val="24"/>
        </w:rPr>
      </w:pPr>
      <w:r>
        <w:rPr>
          <w:rFonts w:hint="eastAsia" w:ascii="Times New Roman" w:hAnsi="Times New Roman" w:eastAsia="仿宋_GB2312" w:cs="Arial"/>
          <w:color w:val="000000"/>
          <w:kern w:val="0"/>
          <w:sz w:val="24"/>
        </w:rPr>
        <w:t xml:space="preserve">联系电话： </w:t>
      </w:r>
    </w:p>
    <w:p>
      <w:pPr>
        <w:widowControl/>
        <w:spacing w:line="460" w:lineRule="exact"/>
        <w:ind w:firstLine="472" w:firstLineChars="200"/>
        <w:rPr>
          <w:rFonts w:ascii="Times New Roman" w:hAnsi="Times New Roman" w:cs="Arial"/>
          <w:color w:val="000000"/>
          <w:kern w:val="0"/>
          <w:sz w:val="24"/>
        </w:rPr>
      </w:pPr>
      <w:r>
        <w:rPr>
          <w:rFonts w:hint="eastAsia" w:ascii="Times New Roman" w:hAnsi="Times New Roman" w:eastAsia="仿宋_GB2312" w:cs="Arial"/>
          <w:color w:val="000000"/>
          <w:kern w:val="0"/>
          <w:sz w:val="24"/>
        </w:rPr>
        <w:t xml:space="preserve">联系地址： </w:t>
      </w:r>
    </w:p>
    <w:p>
      <w:pPr>
        <w:widowControl/>
        <w:spacing w:line="460" w:lineRule="exact"/>
        <w:ind w:firstLine="472" w:firstLineChars="200"/>
        <w:rPr>
          <w:rFonts w:ascii="Times New Roman" w:hAnsi="Times New Roman" w:cs="Arial"/>
          <w:color w:val="000000"/>
          <w:kern w:val="0"/>
          <w:sz w:val="24"/>
        </w:rPr>
      </w:pPr>
      <w:r>
        <w:rPr>
          <w:rFonts w:hint="eastAsia" w:ascii="Times New Roman" w:hAnsi="Times New Roman" w:eastAsia="仿宋_GB2312" w:cs="Arial"/>
          <w:color w:val="000000"/>
          <w:kern w:val="0"/>
          <w:sz w:val="24"/>
        </w:rPr>
        <w:t xml:space="preserve">被投诉人： </w:t>
      </w:r>
    </w:p>
    <w:p>
      <w:pPr>
        <w:widowControl/>
        <w:spacing w:line="460" w:lineRule="exact"/>
        <w:ind w:firstLine="472" w:firstLineChars="200"/>
        <w:rPr>
          <w:rFonts w:ascii="Times New Roman" w:hAnsi="Times New Roman" w:cs="Arial"/>
          <w:color w:val="000000"/>
          <w:kern w:val="0"/>
          <w:sz w:val="24"/>
        </w:rPr>
      </w:pPr>
      <w:r>
        <w:rPr>
          <w:rFonts w:hint="eastAsia" w:ascii="Times New Roman" w:hAnsi="Times New Roman" w:eastAsia="仿宋_GB2312" w:cs="Arial"/>
          <w:color w:val="000000"/>
          <w:kern w:val="0"/>
          <w:sz w:val="24"/>
        </w:rPr>
        <w:t xml:space="preserve">联系电话： </w:t>
      </w:r>
    </w:p>
    <w:p>
      <w:pPr>
        <w:widowControl/>
        <w:spacing w:line="460" w:lineRule="exact"/>
        <w:ind w:firstLine="472" w:firstLineChars="200"/>
        <w:rPr>
          <w:rFonts w:ascii="Times New Roman" w:hAnsi="Times New Roman" w:cs="Arial"/>
          <w:color w:val="000000"/>
          <w:kern w:val="0"/>
          <w:sz w:val="24"/>
        </w:rPr>
      </w:pPr>
      <w:r>
        <w:rPr>
          <w:rFonts w:hint="eastAsia" w:ascii="Times New Roman" w:hAnsi="Times New Roman" w:eastAsia="仿宋_GB2312" w:cs="Arial"/>
          <w:color w:val="000000"/>
          <w:kern w:val="0"/>
          <w:sz w:val="24"/>
        </w:rPr>
        <w:t xml:space="preserve">联系地址： </w:t>
      </w:r>
    </w:p>
    <w:p>
      <w:pPr>
        <w:widowControl/>
        <w:spacing w:line="460" w:lineRule="exact"/>
        <w:ind w:firstLine="472" w:firstLineChars="200"/>
        <w:rPr>
          <w:rFonts w:ascii="Times New Roman" w:hAnsi="Times New Roman" w:cs="Arial"/>
          <w:color w:val="000000"/>
          <w:kern w:val="0"/>
          <w:sz w:val="24"/>
        </w:rPr>
      </w:pPr>
      <w:r>
        <w:rPr>
          <w:rFonts w:ascii="Times New Roman" w:hAnsi="Times New Roman" w:cs="Arial"/>
          <w:color w:val="000000"/>
          <w:kern w:val="0"/>
          <w:sz w:val="24"/>
        </w:rPr>
        <w:t> </w:t>
      </w:r>
    </w:p>
    <w:p>
      <w:pPr>
        <w:widowControl/>
        <w:spacing w:line="460" w:lineRule="exact"/>
        <w:ind w:firstLine="472" w:firstLineChars="200"/>
        <w:rPr>
          <w:rFonts w:ascii="Times New Roman" w:hAnsi="Times New Roman" w:cs="Arial"/>
          <w:color w:val="000000"/>
          <w:kern w:val="0"/>
          <w:sz w:val="24"/>
        </w:rPr>
      </w:pPr>
      <w:r>
        <w:rPr>
          <w:rFonts w:hint="eastAsia" w:ascii="Times New Roman" w:hAnsi="Times New Roman" w:eastAsia="仿宋_GB2312" w:cs="Arial"/>
          <w:color w:val="000000"/>
          <w:kern w:val="0"/>
          <w:sz w:val="24"/>
        </w:rPr>
        <w:t>投诉人的投诉事项及主张：</w:t>
      </w:r>
    </w:p>
    <w:p>
      <w:pPr>
        <w:widowControl/>
        <w:spacing w:line="460" w:lineRule="exact"/>
        <w:ind w:firstLine="472" w:firstLineChars="200"/>
        <w:rPr>
          <w:rFonts w:ascii="Times New Roman" w:hAnsi="Times New Roman" w:cs="Arial"/>
          <w:color w:val="000000"/>
          <w:kern w:val="0"/>
          <w:sz w:val="24"/>
        </w:rPr>
      </w:pPr>
      <w:r>
        <w:rPr>
          <w:rFonts w:ascii="Times New Roman" w:hAnsi="Times New Roman" w:cs="Arial"/>
          <w:color w:val="000000"/>
          <w:kern w:val="0"/>
          <w:sz w:val="24"/>
        </w:rPr>
        <w:t> </w:t>
      </w:r>
    </w:p>
    <w:p>
      <w:pPr>
        <w:widowControl/>
        <w:spacing w:line="460" w:lineRule="exact"/>
        <w:ind w:firstLine="472" w:firstLineChars="200"/>
        <w:rPr>
          <w:rFonts w:ascii="Times New Roman" w:hAnsi="Times New Roman" w:cs="Arial"/>
          <w:color w:val="000000"/>
          <w:kern w:val="0"/>
          <w:sz w:val="24"/>
        </w:rPr>
      </w:pPr>
      <w:r>
        <w:rPr>
          <w:rFonts w:hint="eastAsia" w:ascii="Times New Roman" w:hAnsi="Times New Roman" w:eastAsia="仿宋_GB2312" w:cs="Arial"/>
          <w:color w:val="000000"/>
          <w:kern w:val="0"/>
          <w:sz w:val="24"/>
        </w:rPr>
        <w:t>被投诉人的答辩及请求：</w:t>
      </w:r>
    </w:p>
    <w:p>
      <w:pPr>
        <w:widowControl/>
        <w:spacing w:line="460" w:lineRule="exact"/>
        <w:ind w:firstLine="472" w:firstLineChars="200"/>
        <w:rPr>
          <w:rFonts w:ascii="Times New Roman" w:hAnsi="Times New Roman" w:cs="Arial"/>
          <w:color w:val="000000"/>
          <w:kern w:val="0"/>
          <w:sz w:val="24"/>
        </w:rPr>
      </w:pPr>
      <w:r>
        <w:rPr>
          <w:rFonts w:ascii="Times New Roman" w:hAnsi="Times New Roman" w:cs="Arial"/>
          <w:color w:val="000000"/>
          <w:kern w:val="0"/>
          <w:sz w:val="24"/>
        </w:rPr>
        <w:t> </w:t>
      </w:r>
    </w:p>
    <w:p>
      <w:pPr>
        <w:widowControl/>
        <w:spacing w:line="460" w:lineRule="exact"/>
        <w:ind w:firstLine="472" w:firstLineChars="200"/>
        <w:rPr>
          <w:rFonts w:ascii="Times New Roman" w:hAnsi="Times New Roman" w:cs="Arial"/>
          <w:color w:val="000000"/>
          <w:kern w:val="0"/>
          <w:sz w:val="24"/>
        </w:rPr>
      </w:pPr>
      <w:r>
        <w:rPr>
          <w:rFonts w:hint="eastAsia" w:ascii="Times New Roman" w:hAnsi="Times New Roman" w:eastAsia="仿宋_GB2312" w:cs="Arial"/>
          <w:color w:val="000000"/>
          <w:kern w:val="0"/>
          <w:sz w:val="24"/>
        </w:rPr>
        <w:t>调查认定的基本事实：</w:t>
      </w:r>
    </w:p>
    <w:p>
      <w:pPr>
        <w:widowControl/>
        <w:spacing w:line="460" w:lineRule="exact"/>
        <w:ind w:firstLine="472" w:firstLineChars="200"/>
        <w:rPr>
          <w:rFonts w:ascii="Times New Roman" w:hAnsi="Times New Roman" w:cs="Arial"/>
          <w:color w:val="000000"/>
          <w:kern w:val="0"/>
          <w:sz w:val="24"/>
        </w:rPr>
      </w:pPr>
      <w:r>
        <w:rPr>
          <w:rFonts w:ascii="Times New Roman" w:hAnsi="Times New Roman" w:cs="Arial"/>
          <w:color w:val="000000"/>
          <w:kern w:val="0"/>
          <w:sz w:val="24"/>
        </w:rPr>
        <w:t> </w:t>
      </w:r>
    </w:p>
    <w:p>
      <w:pPr>
        <w:widowControl/>
        <w:spacing w:line="460" w:lineRule="exact"/>
        <w:ind w:firstLine="472" w:firstLineChars="200"/>
        <w:rPr>
          <w:rFonts w:ascii="Times New Roman" w:hAnsi="Times New Roman" w:cs="Arial"/>
          <w:color w:val="000000"/>
          <w:kern w:val="0"/>
          <w:sz w:val="24"/>
        </w:rPr>
      </w:pPr>
      <w:r>
        <w:rPr>
          <w:rFonts w:hint="eastAsia" w:ascii="Times New Roman" w:hAnsi="Times New Roman" w:eastAsia="仿宋_GB2312" w:cs="Arial"/>
          <w:color w:val="000000"/>
          <w:kern w:val="0"/>
          <w:sz w:val="24"/>
        </w:rPr>
        <w:t>投诉受理部门的处理意见及依据：</w:t>
      </w:r>
    </w:p>
    <w:p>
      <w:pPr>
        <w:widowControl/>
        <w:spacing w:line="460" w:lineRule="exact"/>
        <w:jc w:val="left"/>
        <w:rPr>
          <w:rFonts w:ascii="Times New Roman" w:hAnsi="Times New Roman" w:cs="Arial"/>
          <w:color w:val="000000"/>
          <w:kern w:val="0"/>
          <w:sz w:val="24"/>
        </w:rPr>
      </w:pPr>
      <w:r>
        <w:rPr>
          <w:rFonts w:ascii="Times New Roman" w:hAnsi="Times New Roman" w:cs="Arial"/>
          <w:color w:val="000000"/>
          <w:kern w:val="0"/>
          <w:sz w:val="24"/>
        </w:rPr>
        <w:t> </w:t>
      </w:r>
    </w:p>
    <w:p>
      <w:pPr>
        <w:widowControl/>
        <w:spacing w:line="460" w:lineRule="exact"/>
        <w:ind w:firstLine="560"/>
        <w:rPr>
          <w:rFonts w:ascii="Times New Roman" w:hAnsi="Times New Roman" w:cs="Arial"/>
          <w:color w:val="000000"/>
          <w:kern w:val="0"/>
          <w:sz w:val="24"/>
        </w:rPr>
      </w:pPr>
      <w:r>
        <w:rPr>
          <w:rFonts w:hint="eastAsia" w:ascii="Times New Roman" w:hAnsi="Times New Roman" w:eastAsia="仿宋_GB2312" w:cs="Arial"/>
          <w:color w:val="000000"/>
          <w:kern w:val="0"/>
          <w:sz w:val="24"/>
        </w:rPr>
        <w:t>当事人如不服本处理决定，可在收到本处理决定书之日起六十日内向申请复议或按照《中华人民共和国行政诉讼法》的规定在收到本处理决定书之日起三个月内直接向提起诉讼。</w:t>
      </w:r>
    </w:p>
    <w:p>
      <w:pPr>
        <w:widowControl/>
        <w:shd w:val="clear" w:color="auto" w:fill="FFFFFF"/>
        <w:spacing w:line="460" w:lineRule="exact"/>
        <w:ind w:left="3671" w:firstLine="384"/>
        <w:rPr>
          <w:rFonts w:ascii="Times New Roman" w:hAnsi="Times New Roman" w:cs="Arial"/>
          <w:color w:val="000000"/>
          <w:kern w:val="0"/>
          <w:sz w:val="24"/>
        </w:rPr>
      </w:pPr>
      <w:r>
        <w:rPr>
          <w:rFonts w:ascii="Times New Roman" w:hAnsi="Times New Roman" w:cs="Arial"/>
          <w:color w:val="000000"/>
          <w:kern w:val="0"/>
          <w:sz w:val="24"/>
        </w:rPr>
        <w:t> </w:t>
      </w:r>
    </w:p>
    <w:p>
      <w:pPr>
        <w:widowControl/>
        <w:shd w:val="clear" w:color="auto" w:fill="FFFFFF"/>
        <w:spacing w:line="460" w:lineRule="exact"/>
        <w:ind w:left="3671" w:firstLine="384"/>
        <w:rPr>
          <w:rFonts w:ascii="Times New Roman" w:hAnsi="Times New Roman" w:cs="Arial"/>
          <w:color w:val="000000"/>
          <w:kern w:val="0"/>
          <w:sz w:val="24"/>
        </w:rPr>
      </w:pPr>
      <w:r>
        <w:rPr>
          <w:rFonts w:ascii="Times New Roman" w:hAnsi="Times New Roman" w:cs="Arial"/>
          <w:color w:val="000000"/>
          <w:kern w:val="0"/>
          <w:sz w:val="24"/>
        </w:rPr>
        <w:t> </w:t>
      </w:r>
    </w:p>
    <w:p>
      <w:pPr>
        <w:widowControl/>
        <w:shd w:val="clear" w:color="auto" w:fill="FFFFFF"/>
        <w:spacing w:line="460" w:lineRule="exact"/>
        <w:ind w:left="3671" w:firstLine="336"/>
        <w:rPr>
          <w:rFonts w:ascii="Times New Roman" w:hAnsi="Times New Roman" w:cs="Arial"/>
          <w:color w:val="000000"/>
          <w:kern w:val="0"/>
          <w:sz w:val="24"/>
        </w:rPr>
      </w:pPr>
      <w:r>
        <w:rPr>
          <w:rFonts w:hint="eastAsia" w:ascii="Times New Roman" w:hAnsi="Times New Roman" w:eastAsia="仿宋_GB2312" w:cs="Arial"/>
          <w:color w:val="000000"/>
          <w:kern w:val="0"/>
          <w:sz w:val="24"/>
        </w:rPr>
        <w:t>招标投标行政监督部门（公章）</w:t>
      </w:r>
    </w:p>
    <w:p>
      <w:pPr>
        <w:ind w:firstLine="5074" w:firstLineChars="2150"/>
        <w:rPr>
          <w:color w:val="000000"/>
          <w:spacing w:val="-2"/>
        </w:rPr>
      </w:pPr>
      <w:r>
        <w:rPr>
          <w:rFonts w:hint="eastAsia" w:ascii="Times New Roman" w:hAnsi="Times New Roman" w:eastAsia="仿宋_GB2312" w:cs="Arial"/>
          <w:color w:val="000000"/>
          <w:kern w:val="0"/>
          <w:sz w:val="24"/>
        </w:rPr>
        <w:t>年</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月</w:t>
      </w:r>
      <w:r>
        <w:rPr>
          <w:rFonts w:ascii="Times New Roman" w:hAnsi="Times New Roman" w:eastAsia="仿宋_GB2312" w:cs="Arial"/>
          <w:color w:val="000000"/>
          <w:kern w:val="0"/>
          <w:sz w:val="24"/>
        </w:rPr>
        <w:t> </w:t>
      </w:r>
      <w:r>
        <w:rPr>
          <w:rFonts w:hint="eastAsia" w:ascii="Times New Roman" w:hAnsi="Times New Roman" w:eastAsia="仿宋_GB2312" w:cs="Arial"/>
          <w:color w:val="000000"/>
          <w:kern w:val="0"/>
          <w:sz w:val="24"/>
        </w:rPr>
        <w:t xml:space="preserve"> 日</w:t>
      </w:r>
    </w:p>
    <w:p>
      <w:pPr>
        <w:pStyle w:val="2"/>
        <w:spacing w:before="590" w:beforeLines="100" w:after="590" w:afterLines="100" w:line="240" w:lineRule="auto"/>
        <w:jc w:val="center"/>
        <w:rPr>
          <w:rFonts w:ascii="Times New Roman" w:eastAsia="方正小标宋_GBK"/>
          <w:b w:val="0"/>
          <w:sz w:val="36"/>
          <w:szCs w:val="36"/>
        </w:rPr>
      </w:pPr>
      <w:r>
        <w:rPr>
          <w:b w:val="0"/>
          <w:color w:val="000000"/>
          <w:spacing w:val="-2"/>
        </w:rPr>
        <w:br w:type="column"/>
      </w:r>
      <w:bookmarkStart w:id="720" w:name="_Toc18315859"/>
      <w:bookmarkStart w:id="721" w:name="_Toc20726723"/>
      <w:r>
        <w:rPr>
          <w:rFonts w:hint="eastAsia" w:ascii="Times New Roman" w:eastAsia="方正小标宋_GBK"/>
          <w:b w:val="0"/>
          <w:sz w:val="36"/>
          <w:szCs w:val="36"/>
        </w:rPr>
        <w:t>《关于改革和完善房屋建筑和市政基础设施工程招标投标制度的实施意见》</w:t>
      </w:r>
      <w:bookmarkEnd w:id="720"/>
      <w:bookmarkEnd w:id="721"/>
    </w:p>
    <w:p>
      <w:pPr>
        <w:pStyle w:val="3"/>
        <w:spacing w:before="590" w:beforeLines="100" w:after="590" w:afterLines="100" w:line="240" w:lineRule="auto"/>
        <w:jc w:val="center"/>
        <w:rPr>
          <w:rFonts w:hint="eastAsia" w:ascii="Times New Roman" w:hAnsi="Times New Roman" w:eastAsia="方正楷体_GBK"/>
          <w:b w:val="0"/>
          <w:sz w:val="24"/>
          <w:szCs w:val="24"/>
        </w:rPr>
      </w:pPr>
      <w:bookmarkStart w:id="722" w:name="_Toc18315860"/>
      <w:bookmarkStart w:id="723" w:name="_Toc20726724"/>
      <w:r>
        <w:rPr>
          <w:rFonts w:hint="eastAsia" w:ascii="Times New Roman" w:hAnsi="Times New Roman" w:eastAsia="方正楷体_GBK"/>
          <w:b w:val="0"/>
          <w:sz w:val="24"/>
          <w:szCs w:val="24"/>
        </w:rPr>
        <w:t>苏建规字〔</w:t>
      </w:r>
      <w:r>
        <w:rPr>
          <w:rFonts w:ascii="Times New Roman" w:hAnsi="Times New Roman" w:eastAsia="方正楷体_GBK"/>
          <w:b w:val="0"/>
          <w:sz w:val="24"/>
          <w:szCs w:val="24"/>
        </w:rPr>
        <w:t>2017</w:t>
      </w:r>
      <w:r>
        <w:rPr>
          <w:rFonts w:hint="eastAsia" w:ascii="Times New Roman" w:hAnsi="Times New Roman" w:eastAsia="方正楷体_GBK"/>
          <w:b w:val="0"/>
          <w:sz w:val="24"/>
          <w:szCs w:val="24"/>
        </w:rPr>
        <w:t>〕</w:t>
      </w:r>
      <w:r>
        <w:rPr>
          <w:rFonts w:ascii="Times New Roman" w:hAnsi="Times New Roman" w:eastAsia="方正楷体_GBK"/>
          <w:b w:val="0"/>
          <w:sz w:val="24"/>
          <w:szCs w:val="24"/>
        </w:rPr>
        <w:t>1</w:t>
      </w:r>
      <w:r>
        <w:rPr>
          <w:rFonts w:hint="eastAsia" w:ascii="Times New Roman" w:hAnsi="Times New Roman" w:eastAsia="方正楷体_GBK"/>
          <w:b w:val="0"/>
          <w:sz w:val="24"/>
          <w:szCs w:val="24"/>
        </w:rPr>
        <w:t>号</w:t>
      </w:r>
      <w:bookmarkEnd w:id="722"/>
      <w:bookmarkEnd w:id="723"/>
    </w:p>
    <w:p>
      <w:pPr>
        <w:spacing w:line="480" w:lineRule="exact"/>
        <w:ind w:firstLine="463" w:firstLineChars="196"/>
        <w:jc w:val="left"/>
        <w:rPr>
          <w:rFonts w:eastAsia="方正仿宋_GBK"/>
          <w:color w:val="000000"/>
          <w:sz w:val="24"/>
        </w:rPr>
      </w:pPr>
      <w:r>
        <w:rPr>
          <w:rFonts w:hint="eastAsia" w:eastAsia="方正仿宋_GBK"/>
          <w:color w:val="000000"/>
          <w:sz w:val="24"/>
        </w:rPr>
        <w:t>《关于改革和完善房屋建筑和市政基础设施工程招标投标制度的实施意见》已于</w:t>
      </w:r>
      <w:r>
        <w:rPr>
          <w:rFonts w:eastAsia="方正仿宋_GBK"/>
          <w:color w:val="000000"/>
          <w:sz w:val="24"/>
        </w:rPr>
        <w:t>2017</w:t>
      </w:r>
      <w:r>
        <w:rPr>
          <w:rFonts w:hint="eastAsia" w:eastAsia="方正仿宋_GBK"/>
          <w:color w:val="000000"/>
          <w:sz w:val="24"/>
        </w:rPr>
        <w:t>年</w:t>
      </w:r>
      <w:r>
        <w:rPr>
          <w:rFonts w:eastAsia="方正仿宋_GBK"/>
          <w:color w:val="000000"/>
          <w:sz w:val="24"/>
        </w:rPr>
        <w:t>7</w:t>
      </w:r>
      <w:r>
        <w:rPr>
          <w:rFonts w:hint="eastAsia" w:eastAsia="方正仿宋_GBK"/>
          <w:color w:val="000000"/>
          <w:sz w:val="24"/>
        </w:rPr>
        <w:t>月</w:t>
      </w:r>
      <w:r>
        <w:rPr>
          <w:rFonts w:eastAsia="方正仿宋_GBK"/>
          <w:color w:val="000000"/>
          <w:sz w:val="24"/>
        </w:rPr>
        <w:t>28</w:t>
      </w:r>
      <w:r>
        <w:rPr>
          <w:rFonts w:hint="eastAsia" w:eastAsia="方正仿宋_GBK"/>
          <w:color w:val="000000"/>
          <w:sz w:val="24"/>
        </w:rPr>
        <w:t>日经厅常务会议审议通过，现予印发，自</w:t>
      </w:r>
      <w:r>
        <w:rPr>
          <w:rFonts w:eastAsia="方正仿宋_GBK"/>
          <w:color w:val="000000"/>
          <w:sz w:val="24"/>
        </w:rPr>
        <w:t>2017</w:t>
      </w:r>
      <w:r>
        <w:rPr>
          <w:rFonts w:hint="eastAsia" w:eastAsia="方正仿宋_GBK"/>
          <w:color w:val="000000"/>
          <w:sz w:val="24"/>
        </w:rPr>
        <w:t>年</w:t>
      </w:r>
      <w:r>
        <w:rPr>
          <w:rFonts w:eastAsia="方正仿宋_GBK"/>
          <w:color w:val="000000"/>
          <w:sz w:val="24"/>
        </w:rPr>
        <w:t>10</w:t>
      </w:r>
      <w:r>
        <w:rPr>
          <w:rFonts w:hint="eastAsia" w:eastAsia="方正仿宋_GBK"/>
          <w:color w:val="000000"/>
          <w:sz w:val="24"/>
        </w:rPr>
        <w:t>月</w:t>
      </w:r>
      <w:r>
        <w:rPr>
          <w:rFonts w:eastAsia="方正仿宋_GBK"/>
          <w:color w:val="000000"/>
          <w:sz w:val="24"/>
        </w:rPr>
        <w:t>1</w:t>
      </w:r>
      <w:r>
        <w:rPr>
          <w:rFonts w:hint="eastAsia" w:eastAsia="方正仿宋_GBK"/>
          <w:color w:val="000000"/>
          <w:sz w:val="24"/>
        </w:rPr>
        <w:t>日起施行。</w:t>
      </w:r>
    </w:p>
    <w:p>
      <w:pPr>
        <w:autoSpaceDE w:val="0"/>
        <w:autoSpaceDN w:val="0"/>
        <w:snapToGrid w:val="0"/>
        <w:spacing w:line="480" w:lineRule="exact"/>
        <w:ind w:firstLine="624"/>
        <w:rPr>
          <w:rFonts w:eastAsia="方正仿宋_GBK"/>
          <w:snapToGrid w:val="0"/>
          <w:color w:val="000000"/>
          <w:kern w:val="0"/>
          <w:sz w:val="24"/>
        </w:rPr>
      </w:pPr>
    </w:p>
    <w:p>
      <w:pPr>
        <w:autoSpaceDE w:val="0"/>
        <w:autoSpaceDN w:val="0"/>
        <w:snapToGrid w:val="0"/>
        <w:spacing w:line="480" w:lineRule="exact"/>
        <w:ind w:right="1260" w:firstLine="1418"/>
        <w:jc w:val="right"/>
        <w:rPr>
          <w:rFonts w:eastAsia="方正仿宋_GBK"/>
          <w:snapToGrid w:val="0"/>
          <w:color w:val="000000"/>
          <w:kern w:val="0"/>
          <w:sz w:val="24"/>
        </w:rPr>
      </w:pPr>
      <w:r>
        <w:rPr>
          <w:rFonts w:eastAsia="方正仿宋_GBK"/>
          <w:snapToGrid w:val="0"/>
          <w:color w:val="000000"/>
          <w:kern w:val="0"/>
          <w:sz w:val="24"/>
        </w:rPr>
        <w:t xml:space="preserve"> </w:t>
      </w:r>
      <w:r>
        <w:rPr>
          <w:rFonts w:hint="eastAsia" w:eastAsia="方正仿宋_GBK"/>
          <w:snapToGrid w:val="0"/>
          <w:color w:val="000000"/>
          <w:kern w:val="0"/>
          <w:sz w:val="24"/>
        </w:rPr>
        <w:t>江苏省住房和城乡建设厅</w:t>
      </w:r>
    </w:p>
    <w:p>
      <w:pPr>
        <w:autoSpaceDE w:val="0"/>
        <w:autoSpaceDN w:val="0"/>
        <w:snapToGrid w:val="0"/>
        <w:spacing w:line="480" w:lineRule="exact"/>
        <w:ind w:right="1260" w:firstLine="624"/>
        <w:jc w:val="center"/>
        <w:rPr>
          <w:rFonts w:eastAsia="方正仿宋_GBK"/>
          <w:snapToGrid w:val="0"/>
          <w:color w:val="000000"/>
          <w:kern w:val="0"/>
          <w:sz w:val="24"/>
        </w:rPr>
      </w:pPr>
      <w:r>
        <w:rPr>
          <w:rFonts w:eastAsia="方正仿宋_GBK"/>
          <w:snapToGrid w:val="0"/>
          <w:color w:val="000000"/>
          <w:kern w:val="0"/>
          <w:sz w:val="24"/>
        </w:rPr>
        <w:t xml:space="preserve">                                     2017</w:t>
      </w:r>
      <w:r>
        <w:rPr>
          <w:rFonts w:hint="eastAsia" w:eastAsia="方正仿宋_GBK"/>
          <w:snapToGrid w:val="0"/>
          <w:color w:val="000000"/>
          <w:kern w:val="0"/>
          <w:sz w:val="24"/>
        </w:rPr>
        <w:t>年</w:t>
      </w:r>
      <w:r>
        <w:rPr>
          <w:rFonts w:eastAsia="方正仿宋_GBK"/>
          <w:snapToGrid w:val="0"/>
          <w:color w:val="000000"/>
          <w:kern w:val="0"/>
          <w:sz w:val="24"/>
        </w:rPr>
        <w:t xml:space="preserve">  </w:t>
      </w:r>
      <w:r>
        <w:rPr>
          <w:rFonts w:hint="eastAsia" w:eastAsia="方正仿宋_GBK"/>
          <w:snapToGrid w:val="0"/>
          <w:color w:val="000000"/>
          <w:kern w:val="0"/>
          <w:sz w:val="24"/>
        </w:rPr>
        <w:t>月</w:t>
      </w:r>
      <w:r>
        <w:rPr>
          <w:rFonts w:eastAsia="方正仿宋_GBK"/>
          <w:snapToGrid w:val="0"/>
          <w:color w:val="000000"/>
          <w:kern w:val="0"/>
          <w:sz w:val="24"/>
        </w:rPr>
        <w:t xml:space="preserve">  </w:t>
      </w:r>
      <w:r>
        <w:rPr>
          <w:rFonts w:hint="eastAsia" w:eastAsia="方正仿宋_GBK"/>
          <w:snapToGrid w:val="0"/>
          <w:color w:val="000000"/>
          <w:kern w:val="0"/>
          <w:sz w:val="24"/>
        </w:rPr>
        <w:t>日</w:t>
      </w:r>
    </w:p>
    <w:p>
      <w:pPr>
        <w:tabs>
          <w:tab w:val="left" w:pos="9193"/>
          <w:tab w:val="left" w:pos="9827"/>
        </w:tabs>
        <w:autoSpaceDE w:val="0"/>
        <w:autoSpaceDN w:val="0"/>
        <w:snapToGrid w:val="0"/>
        <w:spacing w:line="640" w:lineRule="atLeast"/>
        <w:jc w:val="center"/>
        <w:rPr>
          <w:rFonts w:eastAsia="方正小标宋_GBK"/>
          <w:snapToGrid w:val="0"/>
          <w:color w:val="000000"/>
          <w:kern w:val="0"/>
          <w:sz w:val="36"/>
          <w:szCs w:val="36"/>
        </w:rPr>
      </w:pPr>
    </w:p>
    <w:p>
      <w:pPr>
        <w:tabs>
          <w:tab w:val="left" w:pos="9193"/>
          <w:tab w:val="left" w:pos="9827"/>
        </w:tabs>
        <w:autoSpaceDE w:val="0"/>
        <w:autoSpaceDN w:val="0"/>
        <w:snapToGrid w:val="0"/>
        <w:spacing w:line="640" w:lineRule="atLeast"/>
        <w:jc w:val="center"/>
        <w:rPr>
          <w:rFonts w:eastAsia="方正小标宋_GBK"/>
          <w:snapToGrid w:val="0"/>
          <w:color w:val="000000"/>
          <w:kern w:val="0"/>
          <w:sz w:val="36"/>
          <w:szCs w:val="36"/>
        </w:rPr>
      </w:pPr>
    </w:p>
    <w:p>
      <w:pPr>
        <w:tabs>
          <w:tab w:val="left" w:pos="9193"/>
          <w:tab w:val="left" w:pos="9827"/>
        </w:tabs>
        <w:autoSpaceDE w:val="0"/>
        <w:autoSpaceDN w:val="0"/>
        <w:snapToGrid w:val="0"/>
        <w:spacing w:line="640" w:lineRule="atLeast"/>
        <w:jc w:val="center"/>
        <w:rPr>
          <w:rFonts w:ascii="Times New Roman" w:eastAsia="方正黑体_GBK"/>
          <w:snapToGrid w:val="0"/>
          <w:color w:val="000000"/>
          <w:kern w:val="0"/>
          <w:sz w:val="36"/>
          <w:szCs w:val="36"/>
        </w:rPr>
      </w:pPr>
      <w:r>
        <w:rPr>
          <w:rFonts w:hint="eastAsia" w:ascii="Times New Roman" w:eastAsia="方正黑体_GBK"/>
          <w:snapToGrid w:val="0"/>
          <w:color w:val="000000"/>
          <w:kern w:val="0"/>
          <w:sz w:val="36"/>
          <w:szCs w:val="36"/>
        </w:rPr>
        <w:t>省住房和城乡建设厅关于改革和完善房屋建筑和市政基础设施工程招标投标制度的实施意见</w:t>
      </w:r>
    </w:p>
    <w:p>
      <w:pPr>
        <w:autoSpaceDE w:val="0"/>
        <w:autoSpaceDN w:val="0"/>
        <w:snapToGrid w:val="0"/>
        <w:spacing w:line="570" w:lineRule="atLeast"/>
        <w:rPr>
          <w:rFonts w:hint="eastAsia" w:eastAsia="方正仿宋_GBK"/>
          <w:snapToGrid w:val="0"/>
          <w:color w:val="000000"/>
          <w:kern w:val="32"/>
          <w:sz w:val="32"/>
        </w:rPr>
      </w:pPr>
    </w:p>
    <w:p>
      <w:pPr>
        <w:autoSpaceDE w:val="0"/>
        <w:autoSpaceDN w:val="0"/>
        <w:snapToGrid w:val="0"/>
        <w:spacing w:line="480" w:lineRule="exact"/>
        <w:ind w:firstLine="624"/>
        <w:rPr>
          <w:rFonts w:eastAsia="方正仿宋_GBK"/>
          <w:snapToGrid w:val="0"/>
          <w:color w:val="000000"/>
          <w:kern w:val="32"/>
          <w:sz w:val="24"/>
        </w:rPr>
      </w:pPr>
      <w:r>
        <w:rPr>
          <w:rFonts w:hint="eastAsia" w:eastAsia="方正仿宋_GBK"/>
          <w:snapToGrid w:val="0"/>
          <w:color w:val="000000"/>
          <w:kern w:val="32"/>
          <w:sz w:val="24"/>
        </w:rPr>
        <w:t>根据住房城乡建设部《关于开展建筑业改革发展试点工作的通知》（建市〔</w:t>
      </w:r>
      <w:r>
        <w:rPr>
          <w:rFonts w:eastAsia="方正仿宋_GBK"/>
          <w:snapToGrid w:val="0"/>
          <w:color w:val="000000"/>
          <w:kern w:val="32"/>
          <w:sz w:val="24"/>
        </w:rPr>
        <w:t>2014</w:t>
      </w:r>
      <w:r>
        <w:rPr>
          <w:rFonts w:hint="eastAsia" w:eastAsia="方正仿宋_GBK"/>
          <w:snapToGrid w:val="0"/>
          <w:color w:val="000000"/>
          <w:kern w:val="32"/>
          <w:sz w:val="24"/>
        </w:rPr>
        <w:t>〕</w:t>
      </w:r>
      <w:r>
        <w:rPr>
          <w:rFonts w:eastAsia="方正仿宋_GBK"/>
          <w:snapToGrid w:val="0"/>
          <w:color w:val="000000"/>
          <w:kern w:val="32"/>
          <w:sz w:val="24"/>
        </w:rPr>
        <w:t>64</w:t>
      </w:r>
      <w:r>
        <w:rPr>
          <w:rFonts w:hint="eastAsia" w:eastAsia="方正仿宋_GBK"/>
          <w:snapToGrid w:val="0"/>
          <w:color w:val="000000"/>
          <w:kern w:val="32"/>
          <w:sz w:val="24"/>
        </w:rPr>
        <w:t>号）、《住房城乡建设部办公厅关于同意江苏省开展房屋市政工程领域招投标制度和工程监理制度改革试点工作的函》（建办市函〔</w:t>
      </w:r>
      <w:r>
        <w:rPr>
          <w:rFonts w:eastAsia="方正仿宋_GBK"/>
          <w:snapToGrid w:val="0"/>
          <w:color w:val="000000"/>
          <w:kern w:val="32"/>
          <w:sz w:val="24"/>
        </w:rPr>
        <w:t>2016</w:t>
      </w:r>
      <w:r>
        <w:rPr>
          <w:rFonts w:hint="eastAsia" w:eastAsia="方正仿宋_GBK"/>
          <w:snapToGrid w:val="0"/>
          <w:color w:val="000000"/>
          <w:kern w:val="32"/>
          <w:sz w:val="24"/>
        </w:rPr>
        <w:t>〕</w:t>
      </w:r>
      <w:r>
        <w:rPr>
          <w:rFonts w:eastAsia="方正仿宋_GBK"/>
          <w:snapToGrid w:val="0"/>
          <w:color w:val="000000"/>
          <w:kern w:val="32"/>
          <w:sz w:val="24"/>
        </w:rPr>
        <w:t>474</w:t>
      </w:r>
      <w:r>
        <w:rPr>
          <w:rFonts w:hint="eastAsia" w:eastAsia="方正仿宋_GBK"/>
          <w:snapToGrid w:val="0"/>
          <w:color w:val="000000"/>
          <w:kern w:val="32"/>
          <w:sz w:val="24"/>
        </w:rPr>
        <w:t>号）的精神，自</w:t>
      </w:r>
      <w:r>
        <w:rPr>
          <w:rFonts w:eastAsia="方正仿宋_GBK"/>
          <w:snapToGrid w:val="0"/>
          <w:color w:val="000000"/>
          <w:kern w:val="32"/>
          <w:sz w:val="24"/>
        </w:rPr>
        <w:t>2016</w:t>
      </w:r>
      <w:r>
        <w:rPr>
          <w:rFonts w:hint="eastAsia" w:eastAsia="方正仿宋_GBK"/>
          <w:snapToGrid w:val="0"/>
          <w:color w:val="000000"/>
          <w:kern w:val="32"/>
          <w:sz w:val="24"/>
        </w:rPr>
        <w:t>年</w:t>
      </w:r>
      <w:r>
        <w:rPr>
          <w:rFonts w:eastAsia="方正仿宋_GBK"/>
          <w:snapToGrid w:val="0"/>
          <w:color w:val="000000"/>
          <w:kern w:val="32"/>
          <w:sz w:val="24"/>
        </w:rPr>
        <w:t>7</w:t>
      </w:r>
      <w:r>
        <w:rPr>
          <w:rFonts w:hint="eastAsia" w:eastAsia="方正仿宋_GBK"/>
          <w:snapToGrid w:val="0"/>
          <w:color w:val="000000"/>
          <w:kern w:val="32"/>
          <w:sz w:val="24"/>
        </w:rPr>
        <w:t>月起，我省部分市、县（市、区）开展了房屋建筑和市政基础设施工程（以下简称建设工程）招标投标改革试点工作，在创新建设工程招投标制度方面取得了一定成效。为进一步推进我省建设工程招投标事业的改革与发展，解决当前招投标中出现的新情况、新问题，现就全面推进我省建设工程招标投标制度改革完善工作，提出如下具体意见。</w:t>
      </w:r>
    </w:p>
    <w:p>
      <w:pPr>
        <w:autoSpaceDE w:val="0"/>
        <w:autoSpaceDN w:val="0"/>
        <w:snapToGrid w:val="0"/>
        <w:spacing w:line="480" w:lineRule="exact"/>
        <w:ind w:firstLine="624"/>
        <w:rPr>
          <w:rFonts w:eastAsia="方正黑体_GBK"/>
          <w:snapToGrid w:val="0"/>
          <w:color w:val="000000"/>
          <w:kern w:val="32"/>
          <w:sz w:val="24"/>
        </w:rPr>
      </w:pPr>
      <w:r>
        <w:rPr>
          <w:rFonts w:hint="eastAsia" w:eastAsia="方正黑体_GBK"/>
          <w:snapToGrid w:val="0"/>
          <w:color w:val="000000"/>
          <w:kern w:val="32"/>
          <w:sz w:val="24"/>
        </w:rPr>
        <w:t>一、总体要求</w:t>
      </w:r>
    </w:p>
    <w:p>
      <w:pPr>
        <w:autoSpaceDE w:val="0"/>
        <w:autoSpaceDN w:val="0"/>
        <w:snapToGrid w:val="0"/>
        <w:spacing w:line="480" w:lineRule="exact"/>
        <w:ind w:firstLine="624"/>
        <w:rPr>
          <w:rFonts w:eastAsia="方正仿宋_GBK"/>
          <w:snapToGrid w:val="0"/>
          <w:color w:val="000000"/>
          <w:kern w:val="32"/>
          <w:sz w:val="24"/>
        </w:rPr>
      </w:pPr>
      <w:r>
        <w:rPr>
          <w:rFonts w:hint="eastAsia" w:eastAsia="方正仿宋_GBK"/>
          <w:snapToGrid w:val="0"/>
          <w:color w:val="000000"/>
          <w:kern w:val="32"/>
          <w:sz w:val="24"/>
        </w:rPr>
        <w:t>认真贯彻《国务院办公厅关于促进建筑业持续健康发展的意见》（国办发〔</w:t>
      </w:r>
      <w:r>
        <w:rPr>
          <w:rFonts w:eastAsia="方正仿宋_GBK"/>
          <w:snapToGrid w:val="0"/>
          <w:color w:val="000000"/>
          <w:kern w:val="32"/>
          <w:sz w:val="24"/>
        </w:rPr>
        <w:t>2017</w:t>
      </w:r>
      <w:r>
        <w:rPr>
          <w:rFonts w:hint="eastAsia" w:eastAsia="方正仿宋_GBK"/>
          <w:snapToGrid w:val="0"/>
          <w:color w:val="000000"/>
          <w:kern w:val="32"/>
          <w:sz w:val="24"/>
        </w:rPr>
        <w:t>〕</w:t>
      </w:r>
      <w:r>
        <w:rPr>
          <w:rFonts w:eastAsia="方正仿宋_GBK"/>
          <w:snapToGrid w:val="0"/>
          <w:color w:val="000000"/>
          <w:kern w:val="32"/>
          <w:sz w:val="24"/>
        </w:rPr>
        <w:t>19</w:t>
      </w:r>
      <w:r>
        <w:rPr>
          <w:rFonts w:hint="eastAsia" w:eastAsia="方正仿宋_GBK"/>
          <w:snapToGrid w:val="0"/>
          <w:color w:val="000000"/>
          <w:kern w:val="32"/>
          <w:sz w:val="24"/>
        </w:rPr>
        <w:t>号），以落实工程项目法人负责制为核心，强化主体责任，放管结合；以注重公平兼顾效率为目标，进一步简化程序，优化流程；以提高信息公开度为抓手，着力打造合法高效、阳光有序的招投标市场环境；以维护招标投标各方合法权益为根本，创新方法，强化监管。认真总结、广泛汲取省内外招投标改革的成功经验和先进做法，进一步健全完善我省建设工程招投标制度和机制，推动我省招投标事业健康有序发展。</w:t>
      </w:r>
    </w:p>
    <w:p>
      <w:pPr>
        <w:autoSpaceDE w:val="0"/>
        <w:autoSpaceDN w:val="0"/>
        <w:snapToGrid w:val="0"/>
        <w:spacing w:line="480" w:lineRule="exact"/>
        <w:ind w:firstLine="624"/>
        <w:rPr>
          <w:rFonts w:eastAsia="方正黑体_GBK"/>
          <w:snapToGrid w:val="0"/>
          <w:color w:val="000000"/>
          <w:kern w:val="32"/>
          <w:sz w:val="24"/>
        </w:rPr>
      </w:pPr>
      <w:r>
        <w:rPr>
          <w:rFonts w:hint="eastAsia" w:eastAsia="方正黑体_GBK"/>
          <w:snapToGrid w:val="0"/>
          <w:color w:val="000000"/>
          <w:kern w:val="32"/>
          <w:sz w:val="24"/>
        </w:rPr>
        <w:t>二、突出重点，放管结合</w:t>
      </w:r>
    </w:p>
    <w:p>
      <w:pPr>
        <w:autoSpaceDE w:val="0"/>
        <w:autoSpaceDN w:val="0"/>
        <w:snapToGrid w:val="0"/>
        <w:spacing w:line="480" w:lineRule="exact"/>
        <w:ind w:firstLine="624"/>
        <w:rPr>
          <w:rFonts w:eastAsia="方正仿宋_GBK"/>
          <w:snapToGrid w:val="0"/>
          <w:color w:val="000000"/>
          <w:kern w:val="32"/>
          <w:sz w:val="24"/>
        </w:rPr>
      </w:pPr>
      <w:r>
        <w:rPr>
          <w:rFonts w:hint="eastAsia" w:eastAsia="方正楷体_GBK"/>
          <w:snapToGrid w:val="0"/>
          <w:color w:val="000000"/>
          <w:kern w:val="32"/>
          <w:sz w:val="24"/>
        </w:rPr>
        <w:t>（一）</w:t>
      </w:r>
      <w:r>
        <w:rPr>
          <w:rFonts w:hint="eastAsia" w:eastAsia="方正仿宋_GBK"/>
          <w:snapToGrid w:val="0"/>
          <w:color w:val="000000"/>
          <w:kern w:val="32"/>
          <w:sz w:val="24"/>
        </w:rPr>
        <w:t>国有资金占控股或者主导地位的建设工程项目（以下简称国有资金投资项目）的施工、货物、服务，以单项合同估算价是否达到依法必须招标的规模标准确定是否必须招标发包（不受项目总投资额大小的限制）。但同一工程建设项目</w:t>
      </w:r>
      <w:r>
        <w:rPr>
          <w:rFonts w:eastAsia="方正仿宋_GBK"/>
          <w:snapToGrid w:val="0"/>
          <w:color w:val="000000"/>
          <w:kern w:val="32"/>
          <w:sz w:val="24"/>
        </w:rPr>
        <w:t>12</w:t>
      </w:r>
      <w:r>
        <w:rPr>
          <w:rFonts w:hint="eastAsia" w:eastAsia="方正仿宋_GBK"/>
          <w:snapToGrid w:val="0"/>
          <w:color w:val="000000"/>
          <w:kern w:val="32"/>
          <w:sz w:val="24"/>
        </w:rPr>
        <w:t>个月内发生的同类勘察、施工、监理以及与工程建设有关的重要设备、材料等的采购，总估算价达到规定标准的，必须进行招标。</w:t>
      </w:r>
    </w:p>
    <w:p>
      <w:pPr>
        <w:autoSpaceDE w:val="0"/>
        <w:autoSpaceDN w:val="0"/>
        <w:snapToGrid w:val="0"/>
        <w:spacing w:line="480" w:lineRule="exact"/>
        <w:ind w:firstLine="624"/>
        <w:rPr>
          <w:rFonts w:eastAsia="方正仿宋_GBK"/>
          <w:snapToGrid w:val="0"/>
          <w:color w:val="000000"/>
          <w:kern w:val="32"/>
          <w:sz w:val="24"/>
        </w:rPr>
      </w:pPr>
      <w:r>
        <w:rPr>
          <w:rFonts w:hint="eastAsia" w:eastAsia="方正楷体_GBK"/>
          <w:snapToGrid w:val="0"/>
          <w:color w:val="000000"/>
          <w:kern w:val="32"/>
          <w:sz w:val="24"/>
        </w:rPr>
        <w:t>（二）</w:t>
      </w:r>
      <w:r>
        <w:rPr>
          <w:rFonts w:hint="eastAsia" w:eastAsia="方正仿宋_GBK"/>
          <w:snapToGrid w:val="0"/>
          <w:color w:val="000000"/>
          <w:kern w:val="32"/>
          <w:sz w:val="24"/>
        </w:rPr>
        <w:t>非国有资金占控股或主导地位的工程建设项目，发包人自主决定采用招标发包或直接发包，以及是否进入公共资源交易平台进行交易。但总投资中使用财政预算资金、纳入财政管理的各种政府性专项建设基金或者行政事业性收费资金、国家融资的金额在</w:t>
      </w:r>
      <w:r>
        <w:rPr>
          <w:rFonts w:eastAsia="方正仿宋_GBK"/>
          <w:snapToGrid w:val="0"/>
          <w:color w:val="000000"/>
          <w:kern w:val="32"/>
          <w:sz w:val="24"/>
        </w:rPr>
        <w:t>100</w:t>
      </w:r>
      <w:r>
        <w:rPr>
          <w:rFonts w:hint="eastAsia" w:eastAsia="方正仿宋_GBK"/>
          <w:snapToGrid w:val="0"/>
          <w:color w:val="000000"/>
          <w:kern w:val="32"/>
          <w:sz w:val="24"/>
        </w:rPr>
        <w:t>万元人民币以上且单项合同估算价达到依法必须招标规模标准的项目除外。</w:t>
      </w:r>
    </w:p>
    <w:p>
      <w:pPr>
        <w:autoSpaceDE w:val="0"/>
        <w:autoSpaceDN w:val="0"/>
        <w:snapToGrid w:val="0"/>
        <w:spacing w:line="480" w:lineRule="exact"/>
        <w:ind w:firstLine="624"/>
        <w:rPr>
          <w:rFonts w:eastAsia="方正仿宋_GBK"/>
          <w:snapToGrid w:val="0"/>
          <w:color w:val="000000"/>
          <w:kern w:val="32"/>
          <w:sz w:val="24"/>
        </w:rPr>
      </w:pPr>
      <w:r>
        <w:rPr>
          <w:rFonts w:hint="eastAsia" w:eastAsia="方正楷体_GBK"/>
          <w:snapToGrid w:val="0"/>
          <w:color w:val="000000"/>
          <w:kern w:val="32"/>
          <w:sz w:val="24"/>
        </w:rPr>
        <w:t>（三）</w:t>
      </w:r>
      <w:r>
        <w:rPr>
          <w:rFonts w:hint="eastAsia" w:eastAsia="方正仿宋_GBK"/>
          <w:snapToGrid w:val="0"/>
          <w:color w:val="000000"/>
          <w:kern w:val="32"/>
          <w:sz w:val="24"/>
        </w:rPr>
        <w:t>使用非财政性资金建设的经营性项目（如国有企业新建、改建、扩建的生产性项目，房地产项目等），发包人有控股或被控股的企业依法能够建设、生产或者提供，发包人可以将项目的施工、货物或者服务直接发包给上述企业。</w:t>
      </w:r>
    </w:p>
    <w:p>
      <w:pPr>
        <w:autoSpaceDE w:val="0"/>
        <w:autoSpaceDN w:val="0"/>
        <w:snapToGrid w:val="0"/>
        <w:spacing w:line="480" w:lineRule="exact"/>
        <w:ind w:firstLine="624"/>
        <w:rPr>
          <w:rFonts w:eastAsia="方正仿宋_GBK"/>
          <w:snapToGrid w:val="0"/>
          <w:color w:val="000000"/>
          <w:kern w:val="32"/>
          <w:sz w:val="24"/>
        </w:rPr>
      </w:pPr>
      <w:r>
        <w:rPr>
          <w:rFonts w:hint="eastAsia" w:eastAsia="方正仿宋_GBK"/>
          <w:snapToGrid w:val="0"/>
          <w:color w:val="000000"/>
          <w:kern w:val="32"/>
          <w:sz w:val="24"/>
        </w:rPr>
        <w:t>财政性资金是指纳入各级预算管理的资金和以财政性资金作为还款来源的借贷资金。</w:t>
      </w:r>
    </w:p>
    <w:p>
      <w:pPr>
        <w:autoSpaceDE w:val="0"/>
        <w:autoSpaceDN w:val="0"/>
        <w:snapToGrid w:val="0"/>
        <w:spacing w:line="480" w:lineRule="exact"/>
        <w:ind w:firstLine="624"/>
        <w:rPr>
          <w:rFonts w:eastAsia="方正仿宋_GBK"/>
          <w:snapToGrid w:val="0"/>
          <w:color w:val="000000"/>
          <w:kern w:val="32"/>
          <w:sz w:val="24"/>
        </w:rPr>
      </w:pPr>
      <w:r>
        <w:rPr>
          <w:rFonts w:hint="eastAsia" w:eastAsia="方正楷体_GBK"/>
          <w:snapToGrid w:val="0"/>
          <w:color w:val="000000"/>
          <w:kern w:val="32"/>
          <w:sz w:val="24"/>
        </w:rPr>
        <w:t>（四）</w:t>
      </w:r>
      <w:r>
        <w:rPr>
          <w:rFonts w:hint="eastAsia" w:eastAsia="方正仿宋_GBK"/>
          <w:snapToGrid w:val="0"/>
          <w:color w:val="000000"/>
          <w:kern w:val="32"/>
          <w:sz w:val="24"/>
        </w:rPr>
        <w:t>根据我省建设工程代理市场的实际，乙级、暂定级工程招标代理机构可分别承担单个标段合同估算价</w:t>
      </w:r>
      <w:r>
        <w:rPr>
          <w:rFonts w:eastAsia="方正仿宋_GBK"/>
          <w:snapToGrid w:val="0"/>
          <w:color w:val="000000"/>
          <w:kern w:val="32"/>
          <w:sz w:val="24"/>
        </w:rPr>
        <w:t>1</w:t>
      </w:r>
      <w:r>
        <w:rPr>
          <w:rFonts w:hint="eastAsia" w:eastAsia="方正仿宋_GBK"/>
          <w:snapToGrid w:val="0"/>
          <w:color w:val="000000"/>
          <w:kern w:val="32"/>
          <w:sz w:val="24"/>
        </w:rPr>
        <w:t>亿元和</w:t>
      </w:r>
      <w:r>
        <w:rPr>
          <w:rFonts w:eastAsia="方正仿宋_GBK"/>
          <w:snapToGrid w:val="0"/>
          <w:color w:val="000000"/>
          <w:kern w:val="32"/>
          <w:sz w:val="24"/>
        </w:rPr>
        <w:t>6000</w:t>
      </w:r>
      <w:r>
        <w:rPr>
          <w:rFonts w:hint="eastAsia" w:eastAsia="方正仿宋_GBK"/>
          <w:snapToGrid w:val="0"/>
          <w:color w:val="000000"/>
          <w:kern w:val="32"/>
          <w:sz w:val="24"/>
        </w:rPr>
        <w:t>万元人民币以下的工程招标代理业务。</w:t>
      </w:r>
    </w:p>
    <w:p>
      <w:pPr>
        <w:autoSpaceDE w:val="0"/>
        <w:autoSpaceDN w:val="0"/>
        <w:snapToGrid w:val="0"/>
        <w:spacing w:line="480" w:lineRule="exact"/>
        <w:ind w:firstLine="624"/>
        <w:rPr>
          <w:rFonts w:eastAsia="方正仿宋_GBK"/>
          <w:snapToGrid w:val="0"/>
          <w:color w:val="000000"/>
          <w:kern w:val="32"/>
          <w:sz w:val="24"/>
        </w:rPr>
      </w:pPr>
      <w:r>
        <w:rPr>
          <w:rFonts w:hint="eastAsia" w:eastAsia="方正楷体_GBK"/>
          <w:snapToGrid w:val="0"/>
          <w:color w:val="000000"/>
          <w:kern w:val="32"/>
          <w:sz w:val="24"/>
        </w:rPr>
        <w:t>（五）</w:t>
      </w:r>
      <w:r>
        <w:rPr>
          <w:rFonts w:hint="eastAsia" w:eastAsia="方正仿宋_GBK"/>
          <w:snapToGrid w:val="0"/>
          <w:color w:val="000000"/>
          <w:kern w:val="32"/>
          <w:sz w:val="24"/>
        </w:rPr>
        <w:t>招标人自行决定开始招标活动，并承担因项目各种条件发生变化而导致招标失败的风险。</w:t>
      </w:r>
    </w:p>
    <w:p>
      <w:pPr>
        <w:autoSpaceDE w:val="0"/>
        <w:autoSpaceDN w:val="0"/>
        <w:snapToGrid w:val="0"/>
        <w:spacing w:line="480" w:lineRule="exact"/>
        <w:ind w:firstLine="624"/>
        <w:rPr>
          <w:rFonts w:eastAsia="方正仿宋_GBK"/>
          <w:snapToGrid w:val="0"/>
          <w:color w:val="000000"/>
          <w:kern w:val="32"/>
          <w:sz w:val="24"/>
        </w:rPr>
      </w:pPr>
      <w:r>
        <w:rPr>
          <w:rFonts w:hint="eastAsia" w:eastAsia="方正仿宋_GBK"/>
          <w:snapToGrid w:val="0"/>
          <w:color w:val="000000"/>
          <w:kern w:val="32"/>
          <w:sz w:val="24"/>
        </w:rPr>
        <w:t>建设工程施工、监理招标应当具备满足招标需要的设计文件。</w:t>
      </w:r>
    </w:p>
    <w:p>
      <w:pPr>
        <w:autoSpaceDE w:val="0"/>
        <w:autoSpaceDN w:val="0"/>
        <w:snapToGrid w:val="0"/>
        <w:spacing w:line="480" w:lineRule="exact"/>
        <w:ind w:firstLine="624"/>
        <w:rPr>
          <w:rFonts w:eastAsia="方正仿宋_GBK"/>
          <w:snapToGrid w:val="0"/>
          <w:color w:val="000000"/>
          <w:kern w:val="32"/>
          <w:sz w:val="24"/>
        </w:rPr>
      </w:pPr>
      <w:r>
        <w:rPr>
          <w:rFonts w:hint="eastAsia" w:eastAsia="方正仿宋_GBK"/>
          <w:snapToGrid w:val="0"/>
          <w:color w:val="000000"/>
          <w:kern w:val="32"/>
          <w:sz w:val="24"/>
        </w:rPr>
        <w:t>招标人自行招标的，应当在提交发包初步方案的同时，就自行招标事宜向招投标监管机构备案（格式见附件四）。</w:t>
      </w:r>
    </w:p>
    <w:p>
      <w:pPr>
        <w:autoSpaceDE w:val="0"/>
        <w:autoSpaceDN w:val="0"/>
        <w:snapToGrid w:val="0"/>
        <w:spacing w:line="480" w:lineRule="exact"/>
        <w:ind w:firstLine="624"/>
        <w:rPr>
          <w:rFonts w:eastAsia="方正仿宋_GBK"/>
          <w:snapToGrid w:val="0"/>
          <w:color w:val="000000"/>
          <w:kern w:val="32"/>
          <w:sz w:val="24"/>
        </w:rPr>
      </w:pPr>
      <w:r>
        <w:rPr>
          <w:rFonts w:hint="eastAsia" w:eastAsia="方正楷体_GBK"/>
          <w:snapToGrid w:val="0"/>
          <w:color w:val="000000"/>
          <w:kern w:val="32"/>
          <w:sz w:val="24"/>
        </w:rPr>
        <w:t>（六）</w:t>
      </w:r>
      <w:r>
        <w:rPr>
          <w:rFonts w:hint="eastAsia" w:eastAsia="方正仿宋_GBK"/>
          <w:snapToGrid w:val="0"/>
          <w:color w:val="000000"/>
          <w:kern w:val="32"/>
          <w:sz w:val="24"/>
        </w:rPr>
        <w:t>建筑设计方案招标项目、采用工程总承包的招标项目、政府集中建设的大型及以上或技术复杂项目（不含社会代建项目），可采用“评定分离”制。具体办法由省建设工程招标投标办公室另行制定。</w:t>
      </w:r>
    </w:p>
    <w:p>
      <w:pPr>
        <w:autoSpaceDE w:val="0"/>
        <w:autoSpaceDN w:val="0"/>
        <w:snapToGrid w:val="0"/>
        <w:spacing w:line="480" w:lineRule="exact"/>
        <w:ind w:firstLine="624"/>
        <w:rPr>
          <w:rFonts w:eastAsia="方正仿宋_GBK"/>
          <w:snapToGrid w:val="0"/>
          <w:color w:val="000000"/>
          <w:kern w:val="32"/>
          <w:sz w:val="24"/>
        </w:rPr>
      </w:pPr>
      <w:r>
        <w:rPr>
          <w:rFonts w:hint="eastAsia" w:eastAsia="方正楷体_GBK"/>
          <w:snapToGrid w:val="0"/>
          <w:color w:val="000000"/>
          <w:kern w:val="32"/>
          <w:sz w:val="24"/>
        </w:rPr>
        <w:t>（七）</w:t>
      </w:r>
      <w:r>
        <w:rPr>
          <w:rFonts w:hint="eastAsia" w:eastAsia="方正仿宋_GBK"/>
          <w:snapToGrid w:val="0"/>
          <w:color w:val="000000"/>
          <w:kern w:val="32"/>
          <w:sz w:val="24"/>
        </w:rPr>
        <w:t>采用经评审的最低投标价法的施工招标项目，招标公告或者招标文件中应当明确中标人向招标人提供保函形式的差额履约担保，担保金额为招标控制价和中标价的差值，但不超过中标价的</w:t>
      </w:r>
      <w:r>
        <w:rPr>
          <w:rFonts w:eastAsia="方正仿宋_GBK"/>
          <w:snapToGrid w:val="0"/>
          <w:color w:val="000000"/>
          <w:kern w:val="32"/>
          <w:sz w:val="24"/>
        </w:rPr>
        <w:t>10</w:t>
      </w:r>
      <w:r>
        <w:rPr>
          <w:rFonts w:hint="eastAsia" w:eastAsia="方正仿宋_GBK"/>
          <w:snapToGrid w:val="0"/>
          <w:color w:val="000000"/>
          <w:kern w:val="32"/>
          <w:sz w:val="24"/>
        </w:rPr>
        <w:t>％。</w:t>
      </w:r>
    </w:p>
    <w:p>
      <w:pPr>
        <w:autoSpaceDE w:val="0"/>
        <w:autoSpaceDN w:val="0"/>
        <w:snapToGrid w:val="0"/>
        <w:spacing w:line="480" w:lineRule="exact"/>
        <w:ind w:firstLine="624"/>
        <w:rPr>
          <w:rFonts w:eastAsia="方正仿宋_GBK"/>
          <w:snapToGrid w:val="0"/>
          <w:color w:val="000000"/>
          <w:kern w:val="32"/>
          <w:sz w:val="24"/>
        </w:rPr>
      </w:pPr>
      <w:r>
        <w:rPr>
          <w:rFonts w:hint="eastAsia" w:eastAsia="方正楷体_GBK"/>
          <w:snapToGrid w:val="0"/>
          <w:color w:val="000000"/>
          <w:kern w:val="32"/>
          <w:sz w:val="24"/>
        </w:rPr>
        <w:t>（八）</w:t>
      </w:r>
      <w:r>
        <w:rPr>
          <w:rFonts w:hint="eastAsia" w:eastAsia="方正仿宋_GBK"/>
          <w:snapToGrid w:val="0"/>
          <w:color w:val="000000"/>
          <w:kern w:val="32"/>
          <w:sz w:val="24"/>
        </w:rPr>
        <w:t>施工招标文件中设定的暂估价应当符合市场价格水平。以暂估价形式包括在承包范围内的工程、货物属于依法必须进行招标的项目范围且达到规定的规模标准的，应当依法进行招标。招标人在总承包招标文件中，应当明确暂估价招标的招标主体以及双方的权利义务。暂估价招标可以由发包人或者承包人组织招标，也可以由发包人和承包人共同招标。</w:t>
      </w:r>
    </w:p>
    <w:p>
      <w:pPr>
        <w:autoSpaceDE w:val="0"/>
        <w:autoSpaceDN w:val="0"/>
        <w:snapToGrid w:val="0"/>
        <w:spacing w:line="480" w:lineRule="exact"/>
        <w:ind w:firstLine="624"/>
        <w:rPr>
          <w:rFonts w:eastAsia="方正黑体_GBK"/>
          <w:snapToGrid w:val="0"/>
          <w:color w:val="000000"/>
          <w:kern w:val="32"/>
          <w:sz w:val="24"/>
        </w:rPr>
      </w:pPr>
      <w:r>
        <w:rPr>
          <w:rFonts w:hint="eastAsia" w:eastAsia="方正黑体_GBK"/>
          <w:snapToGrid w:val="0"/>
          <w:color w:val="000000"/>
          <w:kern w:val="32"/>
          <w:sz w:val="24"/>
        </w:rPr>
        <w:t>三、创新方法，提高效率</w:t>
      </w:r>
    </w:p>
    <w:p>
      <w:pPr>
        <w:autoSpaceDE w:val="0"/>
        <w:autoSpaceDN w:val="0"/>
        <w:snapToGrid w:val="0"/>
        <w:spacing w:line="480" w:lineRule="exact"/>
        <w:ind w:firstLine="624"/>
        <w:rPr>
          <w:rFonts w:eastAsia="方正仿宋_GBK"/>
          <w:snapToGrid w:val="0"/>
          <w:color w:val="000000"/>
          <w:kern w:val="32"/>
          <w:sz w:val="24"/>
        </w:rPr>
      </w:pPr>
      <w:r>
        <w:rPr>
          <w:rFonts w:hint="eastAsia" w:eastAsia="方正楷体_GBK"/>
          <w:snapToGrid w:val="0"/>
          <w:color w:val="000000"/>
          <w:kern w:val="32"/>
          <w:sz w:val="24"/>
        </w:rPr>
        <w:t>（九）</w:t>
      </w:r>
      <w:r>
        <w:rPr>
          <w:rFonts w:hint="eastAsia" w:eastAsia="方正仿宋_GBK"/>
          <w:snapToGrid w:val="0"/>
          <w:color w:val="000000"/>
          <w:kern w:val="32"/>
          <w:sz w:val="24"/>
        </w:rPr>
        <w:t>同一招标人在一定的时间段内（一般为半年至一年）同类小型、简单、通用的房屋修缮、园林绿化养护、市政设施维修或者与工程建设有关的货物、服务等，可采用“预选招标”的方式确定中标人，具体办法由省建设工程招标投标办公室另行制定。</w:t>
      </w:r>
    </w:p>
    <w:p>
      <w:pPr>
        <w:autoSpaceDE w:val="0"/>
        <w:autoSpaceDN w:val="0"/>
        <w:snapToGrid w:val="0"/>
        <w:spacing w:line="480" w:lineRule="exact"/>
        <w:ind w:firstLine="624"/>
        <w:rPr>
          <w:rFonts w:eastAsia="方正仿宋_GBK"/>
          <w:snapToGrid w:val="0"/>
          <w:color w:val="000000"/>
          <w:kern w:val="32"/>
          <w:sz w:val="24"/>
        </w:rPr>
      </w:pPr>
      <w:r>
        <w:rPr>
          <w:rFonts w:hint="eastAsia" w:eastAsia="方正楷体_GBK"/>
          <w:snapToGrid w:val="0"/>
          <w:color w:val="000000"/>
          <w:kern w:val="32"/>
          <w:sz w:val="24"/>
        </w:rPr>
        <w:t>（十）</w:t>
      </w:r>
      <w:r>
        <w:rPr>
          <w:rFonts w:hint="eastAsia" w:eastAsia="方正仿宋_GBK"/>
          <w:snapToGrid w:val="0"/>
          <w:color w:val="000000"/>
          <w:kern w:val="32"/>
          <w:sz w:val="24"/>
        </w:rPr>
        <w:t>招标人应根据招标项目特点，确定投标人编制投标文件的合理时间。招标文件中明确投标人无需编制施工组织设计、服务大纲或设备安装调试方案等技术标评审内容的，自招标文件开始发出之日起至递交投标文件截止之日止不少于</w:t>
      </w:r>
      <w:r>
        <w:rPr>
          <w:rFonts w:eastAsia="方正仿宋_GBK"/>
          <w:snapToGrid w:val="0"/>
          <w:color w:val="000000"/>
          <w:kern w:val="32"/>
          <w:sz w:val="24"/>
        </w:rPr>
        <w:t>10</w:t>
      </w:r>
      <w:r>
        <w:rPr>
          <w:rFonts w:hint="eastAsia" w:eastAsia="方正仿宋_GBK"/>
          <w:snapToGrid w:val="0"/>
          <w:color w:val="000000"/>
          <w:kern w:val="32"/>
          <w:sz w:val="24"/>
        </w:rPr>
        <w:t>日。采用合理价随机确定中标人法的，自招标文件开始发出之日起至递交投标文件截止之日止不少于</w:t>
      </w:r>
      <w:r>
        <w:rPr>
          <w:rFonts w:eastAsia="方正仿宋_GBK"/>
          <w:snapToGrid w:val="0"/>
          <w:color w:val="000000"/>
          <w:kern w:val="32"/>
          <w:sz w:val="24"/>
        </w:rPr>
        <w:t>7</w:t>
      </w:r>
      <w:r>
        <w:rPr>
          <w:rFonts w:hint="eastAsia" w:eastAsia="方正仿宋_GBK"/>
          <w:snapToGrid w:val="0"/>
          <w:color w:val="000000"/>
          <w:kern w:val="32"/>
          <w:sz w:val="24"/>
        </w:rPr>
        <w:t>日。</w:t>
      </w:r>
    </w:p>
    <w:p>
      <w:pPr>
        <w:autoSpaceDE w:val="0"/>
        <w:autoSpaceDN w:val="0"/>
        <w:snapToGrid w:val="0"/>
        <w:spacing w:line="480" w:lineRule="exact"/>
        <w:ind w:firstLine="624"/>
        <w:rPr>
          <w:rFonts w:eastAsia="方正仿宋_GBK"/>
          <w:snapToGrid w:val="0"/>
          <w:color w:val="000000"/>
          <w:kern w:val="32"/>
          <w:sz w:val="24"/>
        </w:rPr>
      </w:pPr>
      <w:r>
        <w:rPr>
          <w:rFonts w:hint="eastAsia" w:eastAsia="方正仿宋_GBK"/>
          <w:snapToGrid w:val="0"/>
          <w:color w:val="000000"/>
          <w:kern w:val="32"/>
          <w:sz w:val="24"/>
        </w:rPr>
        <w:t>招标人对已发出的招标文件进行必要的澄清或者修改，澄清或者修改的内容可能影响投标文件编制的，应当在递交投标文件截止时间至少</w:t>
      </w:r>
      <w:r>
        <w:rPr>
          <w:rFonts w:eastAsia="方正仿宋_GBK"/>
          <w:snapToGrid w:val="0"/>
          <w:color w:val="000000"/>
          <w:kern w:val="32"/>
          <w:sz w:val="24"/>
        </w:rPr>
        <w:t>3</w:t>
      </w:r>
      <w:r>
        <w:rPr>
          <w:rFonts w:hint="eastAsia" w:eastAsia="方正仿宋_GBK"/>
          <w:snapToGrid w:val="0"/>
          <w:color w:val="000000"/>
          <w:kern w:val="32"/>
          <w:sz w:val="24"/>
        </w:rPr>
        <w:t>日前（采用合理价随机确定中标人法的，应当在递交投标文件截止时间至少</w:t>
      </w:r>
      <w:r>
        <w:rPr>
          <w:rFonts w:eastAsia="方正仿宋_GBK"/>
          <w:snapToGrid w:val="0"/>
          <w:color w:val="000000"/>
          <w:kern w:val="32"/>
          <w:sz w:val="24"/>
        </w:rPr>
        <w:t>1</w:t>
      </w:r>
      <w:r>
        <w:rPr>
          <w:rFonts w:hint="eastAsia" w:eastAsia="方正仿宋_GBK"/>
          <w:snapToGrid w:val="0"/>
          <w:color w:val="000000"/>
          <w:kern w:val="32"/>
          <w:sz w:val="24"/>
        </w:rPr>
        <w:t>日前），以答疑形式告知所有已获取招标文件的潜在投标人。不足上述时限的，招标人应当顺延递交投标文件的截止时间。</w:t>
      </w:r>
    </w:p>
    <w:p>
      <w:pPr>
        <w:autoSpaceDE w:val="0"/>
        <w:autoSpaceDN w:val="0"/>
        <w:snapToGrid w:val="0"/>
        <w:spacing w:line="480" w:lineRule="exact"/>
        <w:ind w:firstLine="624"/>
        <w:rPr>
          <w:rFonts w:eastAsia="方正仿宋_GBK"/>
          <w:snapToGrid w:val="0"/>
          <w:color w:val="000000"/>
          <w:kern w:val="32"/>
          <w:sz w:val="24"/>
        </w:rPr>
      </w:pPr>
      <w:r>
        <w:rPr>
          <w:rFonts w:hint="eastAsia" w:eastAsia="方正楷体_GBK"/>
          <w:snapToGrid w:val="0"/>
          <w:color w:val="000000"/>
          <w:kern w:val="32"/>
          <w:sz w:val="24"/>
        </w:rPr>
        <w:t>（十一）</w:t>
      </w:r>
      <w:r>
        <w:rPr>
          <w:rFonts w:hint="eastAsia" w:eastAsia="方正仿宋_GBK"/>
          <w:snapToGrid w:val="0"/>
          <w:color w:val="000000"/>
          <w:kern w:val="32"/>
          <w:sz w:val="24"/>
        </w:rPr>
        <w:t>招标人根据项目实际情况组建评标委员会。评标委员会应符合以下要求：</w:t>
      </w:r>
    </w:p>
    <w:p>
      <w:pPr>
        <w:autoSpaceDE w:val="0"/>
        <w:autoSpaceDN w:val="0"/>
        <w:snapToGrid w:val="0"/>
        <w:spacing w:line="480" w:lineRule="exact"/>
        <w:ind w:firstLine="624"/>
        <w:rPr>
          <w:rFonts w:eastAsia="方正仿宋_GBK"/>
          <w:snapToGrid w:val="0"/>
          <w:color w:val="000000"/>
          <w:kern w:val="32"/>
          <w:sz w:val="24"/>
        </w:rPr>
      </w:pPr>
      <w:r>
        <w:rPr>
          <w:rFonts w:eastAsia="方正仿宋_GBK"/>
          <w:snapToGrid w:val="0"/>
          <w:color w:val="000000"/>
          <w:kern w:val="32"/>
          <w:sz w:val="24"/>
        </w:rPr>
        <w:t>1</w:t>
      </w:r>
      <w:r>
        <w:rPr>
          <w:rFonts w:hint="eastAsia" w:eastAsia="方正仿宋_GBK"/>
          <w:snapToGrid w:val="0"/>
          <w:color w:val="000000"/>
          <w:kern w:val="32"/>
          <w:sz w:val="24"/>
        </w:rPr>
        <w:t>、招标人可以委派</w:t>
      </w:r>
      <w:r>
        <w:rPr>
          <w:rFonts w:eastAsia="方正仿宋_GBK"/>
          <w:snapToGrid w:val="0"/>
          <w:color w:val="000000"/>
          <w:kern w:val="32"/>
          <w:sz w:val="24"/>
        </w:rPr>
        <w:t>1</w:t>
      </w:r>
      <w:r>
        <w:rPr>
          <w:rFonts w:hint="eastAsia" w:eastAsia="方正仿宋_GBK"/>
          <w:snapToGrid w:val="0"/>
          <w:color w:val="000000"/>
          <w:kern w:val="32"/>
          <w:sz w:val="24"/>
        </w:rPr>
        <w:t>名具备中级及以上工程类相关职称或者具有工程建设类执业资格的代表参与评标（“评定分离”项目除外）或者资格审查。招标代理机构的人员不得担任其所代理项目的评标委员会成员或者资格审查委员会成员。</w:t>
      </w:r>
    </w:p>
    <w:p>
      <w:pPr>
        <w:autoSpaceDE w:val="0"/>
        <w:autoSpaceDN w:val="0"/>
        <w:snapToGrid w:val="0"/>
        <w:spacing w:line="480" w:lineRule="exact"/>
        <w:ind w:firstLine="624"/>
        <w:rPr>
          <w:rFonts w:eastAsia="方正仿宋_GBK"/>
          <w:snapToGrid w:val="0"/>
          <w:color w:val="000000"/>
          <w:kern w:val="32"/>
          <w:sz w:val="24"/>
        </w:rPr>
      </w:pPr>
      <w:r>
        <w:rPr>
          <w:rFonts w:eastAsia="方正仿宋_GBK"/>
          <w:snapToGrid w:val="0"/>
          <w:color w:val="000000"/>
          <w:kern w:val="32"/>
          <w:sz w:val="24"/>
        </w:rPr>
        <w:t>2</w:t>
      </w:r>
      <w:r>
        <w:rPr>
          <w:rFonts w:hint="eastAsia" w:eastAsia="方正仿宋_GBK"/>
          <w:snapToGrid w:val="0"/>
          <w:color w:val="000000"/>
          <w:kern w:val="32"/>
          <w:sz w:val="24"/>
        </w:rPr>
        <w:t>、施工招标需要对施工组织设计进行评分的，评标委员会成员数量为不少于</w:t>
      </w:r>
      <w:r>
        <w:rPr>
          <w:rFonts w:eastAsia="方正仿宋_GBK"/>
          <w:snapToGrid w:val="0"/>
          <w:color w:val="000000"/>
          <w:kern w:val="32"/>
          <w:sz w:val="24"/>
        </w:rPr>
        <w:t>7</w:t>
      </w:r>
      <w:r>
        <w:rPr>
          <w:rFonts w:hint="eastAsia" w:eastAsia="方正仿宋_GBK"/>
          <w:snapToGrid w:val="0"/>
          <w:color w:val="000000"/>
          <w:kern w:val="32"/>
          <w:sz w:val="24"/>
        </w:rPr>
        <w:t>人的单数。其中，评审技术标的评委不少于</w:t>
      </w:r>
      <w:r>
        <w:rPr>
          <w:rFonts w:eastAsia="方正仿宋_GBK"/>
          <w:snapToGrid w:val="0"/>
          <w:color w:val="000000"/>
          <w:kern w:val="32"/>
          <w:sz w:val="24"/>
        </w:rPr>
        <w:t>5</w:t>
      </w:r>
      <w:r>
        <w:rPr>
          <w:rFonts w:hint="eastAsia" w:eastAsia="方正仿宋_GBK"/>
          <w:snapToGrid w:val="0"/>
          <w:color w:val="000000"/>
          <w:kern w:val="32"/>
          <w:sz w:val="24"/>
        </w:rPr>
        <w:t>人的单数。服务、货物招标需对服务大纲或设备安装调试方案进行评审的，其评标委员会成员数量为不少于</w:t>
      </w:r>
      <w:r>
        <w:rPr>
          <w:rFonts w:eastAsia="方正仿宋_GBK"/>
          <w:snapToGrid w:val="0"/>
          <w:color w:val="000000"/>
          <w:kern w:val="32"/>
          <w:sz w:val="24"/>
        </w:rPr>
        <w:t>5</w:t>
      </w:r>
      <w:r>
        <w:rPr>
          <w:rFonts w:hint="eastAsia" w:eastAsia="方正仿宋_GBK"/>
          <w:snapToGrid w:val="0"/>
          <w:color w:val="000000"/>
          <w:kern w:val="32"/>
          <w:sz w:val="24"/>
        </w:rPr>
        <w:t>人的单数。</w:t>
      </w:r>
    </w:p>
    <w:p>
      <w:pPr>
        <w:autoSpaceDE w:val="0"/>
        <w:autoSpaceDN w:val="0"/>
        <w:snapToGrid w:val="0"/>
        <w:spacing w:line="480" w:lineRule="exact"/>
        <w:ind w:firstLine="624"/>
        <w:rPr>
          <w:rFonts w:eastAsia="方正仿宋_GBK"/>
          <w:snapToGrid w:val="0"/>
          <w:color w:val="000000"/>
          <w:kern w:val="32"/>
          <w:sz w:val="24"/>
        </w:rPr>
      </w:pPr>
      <w:r>
        <w:rPr>
          <w:rFonts w:eastAsia="方正仿宋_GBK"/>
          <w:snapToGrid w:val="0"/>
          <w:color w:val="000000"/>
          <w:kern w:val="32"/>
          <w:sz w:val="24"/>
        </w:rPr>
        <w:t>3</w:t>
      </w:r>
      <w:r>
        <w:rPr>
          <w:rFonts w:hint="eastAsia" w:eastAsia="方正仿宋_GBK"/>
          <w:snapToGrid w:val="0"/>
          <w:color w:val="000000"/>
          <w:kern w:val="32"/>
          <w:sz w:val="24"/>
        </w:rPr>
        <w:t>、招标文件中明确投标人无需编制施工组织设计、服务大纲或设备安装调试方案等技术标评审内容的，评标委员会成员数量为不少于</w:t>
      </w:r>
      <w:r>
        <w:rPr>
          <w:rFonts w:eastAsia="方正仿宋_GBK"/>
          <w:snapToGrid w:val="0"/>
          <w:color w:val="000000"/>
          <w:kern w:val="32"/>
          <w:sz w:val="24"/>
        </w:rPr>
        <w:t>3</w:t>
      </w:r>
      <w:r>
        <w:rPr>
          <w:rFonts w:hint="eastAsia" w:eastAsia="方正仿宋_GBK"/>
          <w:snapToGrid w:val="0"/>
          <w:color w:val="000000"/>
          <w:kern w:val="32"/>
          <w:sz w:val="24"/>
        </w:rPr>
        <w:t>人的单数，其中经济类评委不少于</w:t>
      </w:r>
      <w:r>
        <w:rPr>
          <w:rFonts w:eastAsia="方正仿宋_GBK"/>
          <w:snapToGrid w:val="0"/>
          <w:color w:val="000000"/>
          <w:kern w:val="32"/>
          <w:sz w:val="24"/>
        </w:rPr>
        <w:t>2</w:t>
      </w:r>
      <w:r>
        <w:rPr>
          <w:rFonts w:hint="eastAsia" w:eastAsia="方正仿宋_GBK"/>
          <w:snapToGrid w:val="0"/>
          <w:color w:val="000000"/>
          <w:kern w:val="32"/>
          <w:sz w:val="24"/>
        </w:rPr>
        <w:t>人。</w:t>
      </w:r>
    </w:p>
    <w:p>
      <w:pPr>
        <w:autoSpaceDE w:val="0"/>
        <w:autoSpaceDN w:val="0"/>
        <w:snapToGrid w:val="0"/>
        <w:spacing w:line="480" w:lineRule="exact"/>
        <w:ind w:firstLine="624"/>
        <w:rPr>
          <w:rFonts w:eastAsia="方正仿宋_GBK"/>
          <w:snapToGrid w:val="0"/>
          <w:color w:val="000000"/>
          <w:kern w:val="32"/>
          <w:sz w:val="24"/>
        </w:rPr>
      </w:pPr>
      <w:r>
        <w:rPr>
          <w:rFonts w:eastAsia="方正仿宋_GBK"/>
          <w:snapToGrid w:val="0"/>
          <w:color w:val="000000"/>
          <w:kern w:val="32"/>
          <w:sz w:val="24"/>
        </w:rPr>
        <w:t>4</w:t>
      </w:r>
      <w:r>
        <w:rPr>
          <w:rFonts w:hint="eastAsia" w:eastAsia="方正仿宋_GBK"/>
          <w:snapToGrid w:val="0"/>
          <w:color w:val="000000"/>
          <w:kern w:val="32"/>
          <w:sz w:val="24"/>
        </w:rPr>
        <w:t>、资格审查委员会成员数量为不少于</w:t>
      </w:r>
      <w:r>
        <w:rPr>
          <w:rFonts w:eastAsia="方正仿宋_GBK"/>
          <w:snapToGrid w:val="0"/>
          <w:color w:val="000000"/>
          <w:kern w:val="32"/>
          <w:sz w:val="24"/>
        </w:rPr>
        <w:t>3</w:t>
      </w:r>
      <w:r>
        <w:rPr>
          <w:rFonts w:hint="eastAsia" w:eastAsia="方正仿宋_GBK"/>
          <w:snapToGrid w:val="0"/>
          <w:color w:val="000000"/>
          <w:kern w:val="32"/>
          <w:sz w:val="24"/>
        </w:rPr>
        <w:t>人的单数。</w:t>
      </w:r>
    </w:p>
    <w:p>
      <w:pPr>
        <w:autoSpaceDE w:val="0"/>
        <w:autoSpaceDN w:val="0"/>
        <w:snapToGrid w:val="0"/>
        <w:spacing w:line="480" w:lineRule="exact"/>
        <w:ind w:firstLine="624"/>
        <w:rPr>
          <w:rFonts w:eastAsia="方正仿宋_GBK"/>
          <w:snapToGrid w:val="0"/>
          <w:color w:val="000000"/>
          <w:kern w:val="32"/>
          <w:sz w:val="24"/>
        </w:rPr>
      </w:pPr>
      <w:r>
        <w:rPr>
          <w:rFonts w:eastAsia="方正仿宋_GBK"/>
          <w:snapToGrid w:val="0"/>
          <w:color w:val="000000"/>
          <w:kern w:val="32"/>
          <w:sz w:val="24"/>
        </w:rPr>
        <w:t>5</w:t>
      </w:r>
      <w:r>
        <w:rPr>
          <w:rFonts w:hint="eastAsia" w:eastAsia="方正仿宋_GBK"/>
          <w:snapToGrid w:val="0"/>
          <w:color w:val="000000"/>
          <w:kern w:val="32"/>
          <w:sz w:val="24"/>
        </w:rPr>
        <w:t>、来自同一单位的评标专家不得超过</w:t>
      </w:r>
      <w:r>
        <w:rPr>
          <w:rFonts w:eastAsia="方正仿宋_GBK"/>
          <w:snapToGrid w:val="0"/>
          <w:color w:val="000000"/>
          <w:kern w:val="32"/>
          <w:sz w:val="24"/>
        </w:rPr>
        <w:t>1</w:t>
      </w:r>
      <w:r>
        <w:rPr>
          <w:rFonts w:hint="eastAsia" w:eastAsia="方正仿宋_GBK"/>
          <w:snapToGrid w:val="0"/>
          <w:color w:val="000000"/>
          <w:kern w:val="32"/>
          <w:sz w:val="24"/>
        </w:rPr>
        <w:t>人。</w:t>
      </w:r>
    </w:p>
    <w:p>
      <w:pPr>
        <w:autoSpaceDE w:val="0"/>
        <w:autoSpaceDN w:val="0"/>
        <w:snapToGrid w:val="0"/>
        <w:spacing w:line="480" w:lineRule="exact"/>
        <w:ind w:firstLine="624"/>
        <w:rPr>
          <w:rFonts w:eastAsia="方正仿宋_GBK"/>
          <w:snapToGrid w:val="0"/>
          <w:color w:val="000000"/>
          <w:kern w:val="32"/>
          <w:sz w:val="24"/>
        </w:rPr>
      </w:pPr>
      <w:r>
        <w:rPr>
          <w:rFonts w:eastAsia="方正仿宋_GBK"/>
          <w:snapToGrid w:val="0"/>
          <w:color w:val="000000"/>
          <w:kern w:val="32"/>
          <w:sz w:val="24"/>
        </w:rPr>
        <w:t>6</w:t>
      </w:r>
      <w:r>
        <w:rPr>
          <w:rFonts w:hint="eastAsia" w:eastAsia="方正仿宋_GBK"/>
          <w:snapToGrid w:val="0"/>
          <w:color w:val="000000"/>
          <w:kern w:val="32"/>
          <w:sz w:val="24"/>
        </w:rPr>
        <w:t>、评标专家的评审费用由招标人支付。</w:t>
      </w:r>
    </w:p>
    <w:p>
      <w:pPr>
        <w:autoSpaceDE w:val="0"/>
        <w:autoSpaceDN w:val="0"/>
        <w:snapToGrid w:val="0"/>
        <w:spacing w:line="480" w:lineRule="exact"/>
        <w:ind w:firstLine="624"/>
        <w:rPr>
          <w:rFonts w:eastAsia="方正仿宋_GBK"/>
          <w:snapToGrid w:val="0"/>
          <w:color w:val="000000"/>
          <w:kern w:val="32"/>
          <w:sz w:val="24"/>
        </w:rPr>
      </w:pPr>
      <w:r>
        <w:rPr>
          <w:rFonts w:hint="eastAsia" w:eastAsia="方正楷体_GBK"/>
          <w:snapToGrid w:val="0"/>
          <w:color w:val="000000"/>
          <w:kern w:val="32"/>
          <w:sz w:val="24"/>
        </w:rPr>
        <w:t>（十二）</w:t>
      </w:r>
      <w:r>
        <w:rPr>
          <w:rFonts w:hint="eastAsia" w:eastAsia="方正仿宋_GBK"/>
          <w:snapToGrid w:val="0"/>
          <w:color w:val="000000"/>
          <w:kern w:val="32"/>
          <w:sz w:val="24"/>
        </w:rPr>
        <w:t>施工招标项目中，属于承包人自行采购的主要材料、设备，招标人可以在招标文件中提出材料、设备的技术标准或者质量要求，或者提供</w:t>
      </w:r>
      <w:r>
        <w:rPr>
          <w:rFonts w:eastAsia="方正仿宋_GBK"/>
          <w:snapToGrid w:val="0"/>
          <w:color w:val="000000"/>
          <w:kern w:val="32"/>
          <w:sz w:val="24"/>
        </w:rPr>
        <w:t>3</w:t>
      </w:r>
      <w:r>
        <w:rPr>
          <w:rFonts w:hint="eastAsia" w:eastAsia="方正仿宋_GBK"/>
          <w:snapToGrid w:val="0"/>
          <w:color w:val="000000"/>
          <w:kern w:val="32"/>
          <w:sz w:val="24"/>
        </w:rPr>
        <w:t>个以上符合要求的不同厂家品牌的同档次产品供投标人选择。投标人拟选择推荐的厂家或品牌以外的产品，应满足招标文件中提出技术标准和质量要求，并由招标人同意。</w:t>
      </w:r>
    </w:p>
    <w:p>
      <w:pPr>
        <w:autoSpaceDE w:val="0"/>
        <w:autoSpaceDN w:val="0"/>
        <w:snapToGrid w:val="0"/>
        <w:spacing w:line="480" w:lineRule="exact"/>
        <w:ind w:firstLine="624"/>
        <w:rPr>
          <w:rFonts w:eastAsia="方正仿宋_GBK"/>
          <w:snapToGrid w:val="0"/>
          <w:color w:val="000000"/>
          <w:kern w:val="32"/>
          <w:sz w:val="24"/>
        </w:rPr>
      </w:pPr>
      <w:r>
        <w:rPr>
          <w:rFonts w:hint="eastAsia" w:eastAsia="方正仿宋_GBK"/>
          <w:snapToGrid w:val="0"/>
          <w:color w:val="000000"/>
          <w:kern w:val="32"/>
          <w:sz w:val="24"/>
        </w:rPr>
        <w:t>招标人可以要求投标人在投标时明确所选的厂家品牌产品；也可以要求投标人在投标时承诺使用招标人提供的品牌，在合同履行过程中进行选择。具体要求应在招标文件中明确。</w:t>
      </w:r>
    </w:p>
    <w:p>
      <w:pPr>
        <w:autoSpaceDE w:val="0"/>
        <w:autoSpaceDN w:val="0"/>
        <w:snapToGrid w:val="0"/>
        <w:spacing w:line="480" w:lineRule="exact"/>
        <w:ind w:firstLine="624"/>
        <w:rPr>
          <w:rFonts w:eastAsia="方正仿宋_GBK"/>
          <w:snapToGrid w:val="0"/>
          <w:color w:val="000000"/>
          <w:kern w:val="32"/>
          <w:sz w:val="24"/>
        </w:rPr>
      </w:pPr>
      <w:r>
        <w:rPr>
          <w:rFonts w:hint="eastAsia" w:eastAsia="方正楷体_GBK"/>
          <w:snapToGrid w:val="0"/>
          <w:color w:val="000000"/>
          <w:kern w:val="32"/>
          <w:sz w:val="24"/>
        </w:rPr>
        <w:t>（十三）</w:t>
      </w:r>
      <w:r>
        <w:rPr>
          <w:rFonts w:hint="eastAsia" w:eastAsia="方正仿宋_GBK"/>
          <w:snapToGrid w:val="0"/>
          <w:color w:val="000000"/>
          <w:kern w:val="32"/>
          <w:sz w:val="24"/>
        </w:rPr>
        <w:t>全面实行电子招投标。施工、服务和货物除因技术等原因不能采用电子招标的以外，应当实行电子招投标。采用综合评估法且对技术标进行量化评审的施工、合同估算价</w:t>
      </w:r>
      <w:r>
        <w:rPr>
          <w:rFonts w:eastAsia="方正仿宋_GBK"/>
          <w:snapToGrid w:val="0"/>
          <w:color w:val="000000"/>
          <w:kern w:val="32"/>
          <w:sz w:val="24"/>
        </w:rPr>
        <w:t>100</w:t>
      </w:r>
      <w:r>
        <w:rPr>
          <w:rFonts w:hint="eastAsia" w:eastAsia="方正仿宋_GBK"/>
          <w:snapToGrid w:val="0"/>
          <w:color w:val="000000"/>
          <w:kern w:val="32"/>
          <w:sz w:val="24"/>
        </w:rPr>
        <w:t>万元以上的监理招标项目，必须实行远程异地评标。有条件的市、县（市、区），可以对货物、其他服务招标项目实行远程异地评标。电子招投标应当使用“江苏省建筑市场监管与诚信信息一体化平台”的信息数据。</w:t>
      </w:r>
    </w:p>
    <w:p>
      <w:pPr>
        <w:autoSpaceDE w:val="0"/>
        <w:autoSpaceDN w:val="0"/>
        <w:snapToGrid w:val="0"/>
        <w:spacing w:line="480" w:lineRule="exact"/>
        <w:ind w:firstLine="624"/>
        <w:rPr>
          <w:rFonts w:eastAsia="方正仿宋_GBK"/>
          <w:snapToGrid w:val="0"/>
          <w:color w:val="000000"/>
          <w:kern w:val="32"/>
          <w:sz w:val="24"/>
        </w:rPr>
      </w:pPr>
      <w:r>
        <w:rPr>
          <w:rFonts w:hint="eastAsia" w:eastAsia="方正仿宋_GBK"/>
          <w:snapToGrid w:val="0"/>
          <w:color w:val="000000"/>
          <w:kern w:val="32"/>
          <w:sz w:val="24"/>
        </w:rPr>
        <w:t>实行电子招投标的项目，其施工、服务、货物的技术标评审应当采用暗标和横向评审制，项目负责人答辩亦应采用暗标方式评审，具体要求在招标文件中明确。</w:t>
      </w:r>
    </w:p>
    <w:p>
      <w:pPr>
        <w:autoSpaceDE w:val="0"/>
        <w:autoSpaceDN w:val="0"/>
        <w:snapToGrid w:val="0"/>
        <w:spacing w:line="480" w:lineRule="exact"/>
        <w:ind w:firstLine="624"/>
        <w:rPr>
          <w:rFonts w:eastAsia="方正黑体_GBK"/>
          <w:snapToGrid w:val="0"/>
          <w:color w:val="000000"/>
          <w:kern w:val="32"/>
          <w:sz w:val="24"/>
        </w:rPr>
      </w:pPr>
      <w:r>
        <w:rPr>
          <w:rFonts w:hint="eastAsia" w:eastAsia="方正黑体_GBK"/>
          <w:snapToGrid w:val="0"/>
          <w:color w:val="000000"/>
          <w:kern w:val="32"/>
          <w:sz w:val="24"/>
        </w:rPr>
        <w:t>四、信息公开，阳光操作</w:t>
      </w:r>
    </w:p>
    <w:p>
      <w:pPr>
        <w:autoSpaceDE w:val="0"/>
        <w:autoSpaceDN w:val="0"/>
        <w:snapToGrid w:val="0"/>
        <w:spacing w:line="480" w:lineRule="exact"/>
        <w:ind w:firstLine="624"/>
        <w:rPr>
          <w:rFonts w:eastAsia="方正仿宋_GBK"/>
          <w:snapToGrid w:val="0"/>
          <w:color w:val="000000"/>
          <w:kern w:val="32"/>
          <w:sz w:val="24"/>
        </w:rPr>
      </w:pPr>
      <w:r>
        <w:rPr>
          <w:rFonts w:hint="eastAsia" w:eastAsia="方正楷体_GBK"/>
          <w:snapToGrid w:val="0"/>
          <w:color w:val="000000"/>
          <w:kern w:val="32"/>
          <w:sz w:val="24"/>
        </w:rPr>
        <w:t>（十四）</w:t>
      </w:r>
      <w:r>
        <w:rPr>
          <w:rFonts w:hint="eastAsia" w:eastAsia="方正仿宋_GBK"/>
          <w:snapToGrid w:val="0"/>
          <w:color w:val="000000"/>
          <w:kern w:val="32"/>
          <w:sz w:val="24"/>
        </w:rPr>
        <w:t>招标信息公开。招标公告（包括资格预审公告，下同）、开标情况、评标结果公示、中标结果公告等应当在“江苏建设工程招标网”等指定媒介上发布。</w:t>
      </w:r>
    </w:p>
    <w:p>
      <w:pPr>
        <w:autoSpaceDE w:val="0"/>
        <w:autoSpaceDN w:val="0"/>
        <w:snapToGrid w:val="0"/>
        <w:spacing w:line="480" w:lineRule="exact"/>
        <w:ind w:firstLine="624"/>
        <w:rPr>
          <w:rFonts w:eastAsia="方正仿宋_GBK"/>
          <w:snapToGrid w:val="0"/>
          <w:color w:val="000000"/>
          <w:kern w:val="32"/>
          <w:sz w:val="24"/>
        </w:rPr>
      </w:pPr>
      <w:r>
        <w:rPr>
          <w:rFonts w:hint="eastAsia" w:eastAsia="方正仿宋_GBK"/>
          <w:snapToGrid w:val="0"/>
          <w:color w:val="000000"/>
          <w:kern w:val="32"/>
          <w:sz w:val="24"/>
        </w:rPr>
        <w:t>信息发布时间和有关招标文件（资格预审文件）的发售时间不应当包含连续</w:t>
      </w:r>
      <w:r>
        <w:rPr>
          <w:rFonts w:eastAsia="方正仿宋_GBK"/>
          <w:snapToGrid w:val="0"/>
          <w:color w:val="000000"/>
          <w:kern w:val="32"/>
          <w:sz w:val="24"/>
        </w:rPr>
        <w:t>3</w:t>
      </w:r>
      <w:r>
        <w:rPr>
          <w:rFonts w:hint="eastAsia" w:eastAsia="方正仿宋_GBK"/>
          <w:snapToGrid w:val="0"/>
          <w:color w:val="000000"/>
          <w:kern w:val="32"/>
          <w:sz w:val="24"/>
        </w:rPr>
        <w:t>日及以上的节假日时间；开始时间应为工作日，结束时间不是工作日的，应当顺延至工作日。</w:t>
      </w:r>
    </w:p>
    <w:p>
      <w:pPr>
        <w:autoSpaceDE w:val="0"/>
        <w:autoSpaceDN w:val="0"/>
        <w:snapToGrid w:val="0"/>
        <w:spacing w:line="480" w:lineRule="exact"/>
        <w:ind w:firstLine="624"/>
        <w:rPr>
          <w:rFonts w:eastAsia="方正仿宋_GBK"/>
          <w:snapToGrid w:val="0"/>
          <w:color w:val="000000"/>
          <w:kern w:val="32"/>
          <w:sz w:val="24"/>
        </w:rPr>
      </w:pPr>
      <w:r>
        <w:rPr>
          <w:rFonts w:hint="eastAsia" w:eastAsia="方正仿宋_GBK"/>
          <w:snapToGrid w:val="0"/>
          <w:color w:val="000000"/>
          <w:kern w:val="32"/>
          <w:sz w:val="24"/>
        </w:rPr>
        <w:t>实行资格预审的资格预审文件或者实行资格后审的招标文件，除工程图纸外，应当与招标公告同时公布。在不同媒介发布的招标公告、招标文件（资格预审文件），以及潜在投标人（资格预审申请人）实际获取的招标文件（资格预审文件）应当一致，否则应当重新发布招标公告。</w:t>
      </w:r>
    </w:p>
    <w:p>
      <w:pPr>
        <w:autoSpaceDE w:val="0"/>
        <w:autoSpaceDN w:val="0"/>
        <w:snapToGrid w:val="0"/>
        <w:spacing w:line="480" w:lineRule="exact"/>
        <w:ind w:firstLine="624"/>
        <w:rPr>
          <w:rFonts w:eastAsia="方正仿宋_GBK"/>
          <w:snapToGrid w:val="0"/>
          <w:color w:val="000000"/>
          <w:kern w:val="32"/>
          <w:sz w:val="24"/>
        </w:rPr>
      </w:pPr>
      <w:r>
        <w:rPr>
          <w:rFonts w:hint="eastAsia" w:eastAsia="方正楷体_GBK"/>
          <w:snapToGrid w:val="0"/>
          <w:color w:val="000000"/>
          <w:kern w:val="32"/>
          <w:sz w:val="24"/>
        </w:rPr>
        <w:t>（十五）</w:t>
      </w:r>
      <w:r>
        <w:rPr>
          <w:rFonts w:hint="eastAsia" w:eastAsia="方正仿宋_GBK"/>
          <w:snapToGrid w:val="0"/>
          <w:color w:val="000000"/>
          <w:kern w:val="32"/>
          <w:sz w:val="24"/>
        </w:rPr>
        <w:t>评标结果公示。招标人在收到评标报告之日起</w:t>
      </w:r>
      <w:r>
        <w:rPr>
          <w:rFonts w:eastAsia="方正仿宋_GBK"/>
          <w:snapToGrid w:val="0"/>
          <w:color w:val="000000"/>
          <w:kern w:val="32"/>
          <w:sz w:val="24"/>
        </w:rPr>
        <w:t>3</w:t>
      </w:r>
      <w:r>
        <w:rPr>
          <w:rFonts w:hint="eastAsia" w:eastAsia="方正仿宋_GBK"/>
          <w:snapToGrid w:val="0"/>
          <w:color w:val="000000"/>
          <w:kern w:val="32"/>
          <w:sz w:val="24"/>
        </w:rPr>
        <w:t>日内应当发布评标结果公示，公示期不得少于</w:t>
      </w:r>
      <w:r>
        <w:rPr>
          <w:rFonts w:eastAsia="方正仿宋_GBK"/>
          <w:snapToGrid w:val="0"/>
          <w:color w:val="000000"/>
          <w:kern w:val="32"/>
          <w:sz w:val="24"/>
        </w:rPr>
        <w:t>3</w:t>
      </w:r>
      <w:r>
        <w:rPr>
          <w:rFonts w:hint="eastAsia" w:eastAsia="方正仿宋_GBK"/>
          <w:snapToGrid w:val="0"/>
          <w:color w:val="000000"/>
          <w:kern w:val="32"/>
          <w:sz w:val="24"/>
        </w:rPr>
        <w:t>日。采用资格预审的项目，还应当公示中标候选人资格预审的相关信息，包括企业或项目负责人奖项、业绩等；采用有限数量制资格预审的，还应公布中标候选人的资格审查得分。因招投标当事人异议、投诉改变拟中标人的，应当重新公示拟中标人，公示期不得少于</w:t>
      </w:r>
      <w:r>
        <w:rPr>
          <w:rFonts w:eastAsia="方正仿宋_GBK"/>
          <w:snapToGrid w:val="0"/>
          <w:color w:val="000000"/>
          <w:kern w:val="32"/>
          <w:sz w:val="24"/>
        </w:rPr>
        <w:t>3</w:t>
      </w:r>
      <w:r>
        <w:rPr>
          <w:rFonts w:hint="eastAsia" w:eastAsia="方正仿宋_GBK"/>
          <w:snapToGrid w:val="0"/>
          <w:color w:val="000000"/>
          <w:kern w:val="32"/>
          <w:sz w:val="24"/>
        </w:rPr>
        <w:t>日。</w:t>
      </w:r>
    </w:p>
    <w:p>
      <w:pPr>
        <w:autoSpaceDE w:val="0"/>
        <w:autoSpaceDN w:val="0"/>
        <w:snapToGrid w:val="0"/>
        <w:spacing w:line="480" w:lineRule="exact"/>
        <w:ind w:firstLine="624"/>
        <w:rPr>
          <w:rFonts w:eastAsia="方正仿宋_GBK"/>
          <w:snapToGrid w:val="0"/>
          <w:color w:val="000000"/>
          <w:kern w:val="32"/>
          <w:sz w:val="24"/>
        </w:rPr>
      </w:pPr>
      <w:r>
        <w:rPr>
          <w:rFonts w:hint="eastAsia" w:eastAsia="方正楷体_GBK"/>
          <w:snapToGrid w:val="0"/>
          <w:color w:val="000000"/>
          <w:kern w:val="32"/>
          <w:sz w:val="24"/>
        </w:rPr>
        <w:t>（十六）</w:t>
      </w:r>
      <w:r>
        <w:rPr>
          <w:rFonts w:hint="eastAsia" w:eastAsia="方正仿宋_GBK"/>
          <w:snapToGrid w:val="0"/>
          <w:color w:val="000000"/>
          <w:kern w:val="32"/>
          <w:sz w:val="24"/>
        </w:rPr>
        <w:t>中标结果公告。中标人确定后，招标人在发出中标通知书的同时，应当发布中标结果公告，内容包括：中标人名称、项目负责人姓名、中标价、中标工期、招标人定标原因及依据和评标委员会成员等。</w:t>
      </w:r>
    </w:p>
    <w:p>
      <w:pPr>
        <w:autoSpaceDE w:val="0"/>
        <w:autoSpaceDN w:val="0"/>
        <w:snapToGrid w:val="0"/>
        <w:spacing w:line="480" w:lineRule="exact"/>
        <w:ind w:firstLine="624"/>
        <w:rPr>
          <w:rFonts w:eastAsia="方正仿宋_GBK"/>
          <w:snapToGrid w:val="0"/>
          <w:color w:val="000000"/>
          <w:kern w:val="32"/>
          <w:sz w:val="24"/>
        </w:rPr>
      </w:pPr>
      <w:r>
        <w:rPr>
          <w:rFonts w:hint="eastAsia" w:eastAsia="方正楷体_GBK"/>
          <w:snapToGrid w:val="0"/>
          <w:color w:val="000000"/>
          <w:kern w:val="32"/>
          <w:sz w:val="24"/>
        </w:rPr>
        <w:t>（十七）</w:t>
      </w:r>
      <w:r>
        <w:rPr>
          <w:rFonts w:hint="eastAsia" w:eastAsia="方正仿宋_GBK"/>
          <w:snapToGrid w:val="0"/>
          <w:color w:val="000000"/>
          <w:kern w:val="32"/>
          <w:sz w:val="24"/>
        </w:rPr>
        <w:t>招投标失信行为信息公开。招投标相关单位及个人在招投标活动中存在失信行为的，招投标监管机构应当及时在“江苏建设工程招标网”等指定媒介上公示。在公示期间，投标人有下列行为的，其他国有投资项目的招标人可以在招标文件中明确拒绝其投标；评委有下列行为的，不得担任评标委员会成员；招标代理机构有下列行为的，不得承揽国有投资项目的招标代理业务。</w:t>
      </w:r>
    </w:p>
    <w:p>
      <w:pPr>
        <w:autoSpaceDE w:val="0"/>
        <w:autoSpaceDN w:val="0"/>
        <w:snapToGrid w:val="0"/>
        <w:spacing w:line="480" w:lineRule="exact"/>
        <w:ind w:firstLine="624"/>
        <w:rPr>
          <w:rFonts w:eastAsia="方正仿宋_GBK"/>
          <w:snapToGrid w:val="0"/>
          <w:color w:val="000000"/>
          <w:kern w:val="32"/>
          <w:sz w:val="24"/>
        </w:rPr>
      </w:pPr>
      <w:r>
        <w:rPr>
          <w:rFonts w:eastAsia="方正仿宋_GBK"/>
          <w:snapToGrid w:val="0"/>
          <w:color w:val="000000"/>
          <w:kern w:val="32"/>
          <w:sz w:val="24"/>
        </w:rPr>
        <w:t>1</w:t>
      </w:r>
      <w:r>
        <w:rPr>
          <w:rFonts w:hint="eastAsia" w:eastAsia="方正仿宋_GBK"/>
          <w:snapToGrid w:val="0"/>
          <w:color w:val="000000"/>
          <w:kern w:val="32"/>
          <w:sz w:val="24"/>
        </w:rPr>
        <w:t>、招投标各方主体及个人在招投标活动中违反法律法规和规章规定受到行政处罚的，公示不少于</w:t>
      </w:r>
      <w:r>
        <w:rPr>
          <w:rFonts w:eastAsia="方正仿宋_GBK"/>
          <w:snapToGrid w:val="0"/>
          <w:color w:val="000000"/>
          <w:kern w:val="32"/>
          <w:sz w:val="24"/>
        </w:rPr>
        <w:t>3</w:t>
      </w:r>
      <w:r>
        <w:rPr>
          <w:rFonts w:hint="eastAsia" w:eastAsia="方正仿宋_GBK"/>
          <w:snapToGrid w:val="0"/>
          <w:color w:val="000000"/>
          <w:kern w:val="32"/>
          <w:sz w:val="24"/>
        </w:rPr>
        <w:t>个月。</w:t>
      </w:r>
    </w:p>
    <w:p>
      <w:pPr>
        <w:autoSpaceDE w:val="0"/>
        <w:autoSpaceDN w:val="0"/>
        <w:snapToGrid w:val="0"/>
        <w:spacing w:line="480" w:lineRule="exact"/>
        <w:ind w:firstLine="624"/>
        <w:rPr>
          <w:rFonts w:eastAsia="方正仿宋_GBK"/>
          <w:snapToGrid w:val="0"/>
          <w:color w:val="000000"/>
          <w:kern w:val="32"/>
          <w:sz w:val="24"/>
        </w:rPr>
      </w:pPr>
      <w:r>
        <w:rPr>
          <w:rFonts w:eastAsia="方正仿宋_GBK"/>
          <w:snapToGrid w:val="0"/>
          <w:color w:val="000000"/>
          <w:kern w:val="32"/>
          <w:sz w:val="24"/>
        </w:rPr>
        <w:t>2</w:t>
      </w:r>
      <w:r>
        <w:rPr>
          <w:rFonts w:hint="eastAsia" w:eastAsia="方正仿宋_GBK"/>
          <w:snapToGrid w:val="0"/>
          <w:color w:val="000000"/>
          <w:kern w:val="32"/>
          <w:sz w:val="24"/>
        </w:rPr>
        <w:t>、投标人在招投标活动中出现如下失信行为，公示</w:t>
      </w:r>
      <w:r>
        <w:rPr>
          <w:rFonts w:eastAsia="方正仿宋_GBK"/>
          <w:snapToGrid w:val="0"/>
          <w:color w:val="000000"/>
          <w:kern w:val="32"/>
          <w:sz w:val="24"/>
        </w:rPr>
        <w:t>1-3</w:t>
      </w:r>
      <w:r>
        <w:rPr>
          <w:rFonts w:hint="eastAsia" w:eastAsia="方正仿宋_GBK"/>
          <w:snapToGrid w:val="0"/>
          <w:color w:val="000000"/>
          <w:kern w:val="32"/>
          <w:sz w:val="24"/>
        </w:rPr>
        <w:t>个月：</w:t>
      </w:r>
    </w:p>
    <w:p>
      <w:pPr>
        <w:autoSpaceDE w:val="0"/>
        <w:autoSpaceDN w:val="0"/>
        <w:snapToGrid w:val="0"/>
        <w:spacing w:line="480" w:lineRule="exact"/>
        <w:ind w:firstLine="624"/>
        <w:rPr>
          <w:rFonts w:eastAsia="方正仿宋_GBK"/>
          <w:snapToGrid w:val="0"/>
          <w:color w:val="000000"/>
          <w:kern w:val="32"/>
          <w:sz w:val="24"/>
        </w:rPr>
      </w:pPr>
      <w:r>
        <w:rPr>
          <w:rFonts w:hint="eastAsia" w:eastAsia="方正仿宋_GBK"/>
          <w:snapToGrid w:val="0"/>
          <w:color w:val="000000"/>
          <w:kern w:val="32"/>
          <w:sz w:val="24"/>
        </w:rPr>
        <w:t>（</w:t>
      </w:r>
      <w:r>
        <w:rPr>
          <w:rFonts w:eastAsia="方正仿宋_GBK"/>
          <w:snapToGrid w:val="0"/>
          <w:color w:val="000000"/>
          <w:kern w:val="32"/>
          <w:sz w:val="24"/>
        </w:rPr>
        <w:t>1</w:t>
      </w:r>
      <w:r>
        <w:rPr>
          <w:rFonts w:hint="eastAsia" w:eastAsia="方正仿宋_GBK"/>
          <w:snapToGrid w:val="0"/>
          <w:color w:val="000000"/>
          <w:kern w:val="32"/>
          <w:sz w:val="24"/>
        </w:rPr>
        <w:t>）除不可抗力的外，资格预审合格的投标人无故不获取招标文件或者获取招标文件后放弃投标，或者投标人在投标截止后无故撤销投标文件等，公示</w:t>
      </w:r>
      <w:r>
        <w:rPr>
          <w:rFonts w:eastAsia="方正仿宋_GBK"/>
          <w:snapToGrid w:val="0"/>
          <w:color w:val="000000"/>
          <w:kern w:val="32"/>
          <w:sz w:val="24"/>
        </w:rPr>
        <w:t>2</w:t>
      </w:r>
      <w:r>
        <w:rPr>
          <w:rFonts w:hint="eastAsia" w:eastAsia="方正仿宋_GBK"/>
          <w:snapToGrid w:val="0"/>
          <w:color w:val="000000"/>
          <w:kern w:val="32"/>
          <w:sz w:val="24"/>
        </w:rPr>
        <w:t>个月；</w:t>
      </w:r>
    </w:p>
    <w:p>
      <w:pPr>
        <w:autoSpaceDE w:val="0"/>
        <w:autoSpaceDN w:val="0"/>
        <w:snapToGrid w:val="0"/>
        <w:spacing w:line="480" w:lineRule="exact"/>
        <w:ind w:firstLine="624"/>
        <w:rPr>
          <w:rFonts w:eastAsia="方正仿宋_GBK"/>
          <w:snapToGrid w:val="0"/>
          <w:color w:val="000000"/>
          <w:kern w:val="32"/>
          <w:sz w:val="24"/>
        </w:rPr>
      </w:pPr>
      <w:r>
        <w:rPr>
          <w:rFonts w:hint="eastAsia" w:eastAsia="方正仿宋_GBK"/>
          <w:snapToGrid w:val="0"/>
          <w:color w:val="000000"/>
          <w:kern w:val="32"/>
          <w:sz w:val="24"/>
        </w:rPr>
        <w:t>（</w:t>
      </w:r>
      <w:r>
        <w:rPr>
          <w:rFonts w:eastAsia="方正仿宋_GBK"/>
          <w:snapToGrid w:val="0"/>
          <w:color w:val="000000"/>
          <w:kern w:val="32"/>
          <w:sz w:val="24"/>
        </w:rPr>
        <w:t>2</w:t>
      </w:r>
      <w:r>
        <w:rPr>
          <w:rFonts w:hint="eastAsia" w:eastAsia="方正仿宋_GBK"/>
          <w:snapToGrid w:val="0"/>
          <w:color w:val="000000"/>
          <w:kern w:val="32"/>
          <w:sz w:val="24"/>
        </w:rPr>
        <w:t>）递交无竞争力的投标文件的（无竞争力投标是指不以中标为目的的投标，包括投标报价畸高、投标文件故意漏项缺项、施工组织设计文件不符合篇幅要求、以及故意违反招标文件中已醒目标识的无效投标条款且事先未质疑等情形），公示</w:t>
      </w:r>
      <w:r>
        <w:rPr>
          <w:rFonts w:eastAsia="方正仿宋_GBK"/>
          <w:snapToGrid w:val="0"/>
          <w:color w:val="000000"/>
          <w:kern w:val="32"/>
          <w:sz w:val="24"/>
        </w:rPr>
        <w:t>1</w:t>
      </w:r>
      <w:r>
        <w:rPr>
          <w:rFonts w:hint="eastAsia" w:eastAsia="方正仿宋_GBK"/>
          <w:snapToGrid w:val="0"/>
          <w:color w:val="000000"/>
          <w:kern w:val="32"/>
          <w:sz w:val="24"/>
        </w:rPr>
        <w:t>个月；</w:t>
      </w:r>
    </w:p>
    <w:p>
      <w:pPr>
        <w:autoSpaceDE w:val="0"/>
        <w:autoSpaceDN w:val="0"/>
        <w:snapToGrid w:val="0"/>
        <w:spacing w:line="480" w:lineRule="exact"/>
        <w:ind w:firstLine="624"/>
        <w:rPr>
          <w:rFonts w:eastAsia="方正仿宋_GBK"/>
          <w:snapToGrid w:val="0"/>
          <w:color w:val="000000"/>
          <w:kern w:val="32"/>
          <w:sz w:val="24"/>
        </w:rPr>
      </w:pPr>
      <w:r>
        <w:rPr>
          <w:rFonts w:hint="eastAsia" w:eastAsia="方正仿宋_GBK"/>
          <w:snapToGrid w:val="0"/>
          <w:color w:val="000000"/>
          <w:kern w:val="32"/>
          <w:sz w:val="24"/>
        </w:rPr>
        <w:t>（</w:t>
      </w:r>
      <w:r>
        <w:rPr>
          <w:rFonts w:eastAsia="方正仿宋_GBK"/>
          <w:snapToGrid w:val="0"/>
          <w:color w:val="000000"/>
          <w:kern w:val="32"/>
          <w:sz w:val="24"/>
        </w:rPr>
        <w:t>3</w:t>
      </w:r>
      <w:r>
        <w:rPr>
          <w:rFonts w:hint="eastAsia" w:eastAsia="方正仿宋_GBK"/>
          <w:snapToGrid w:val="0"/>
          <w:color w:val="000000"/>
          <w:kern w:val="32"/>
          <w:sz w:val="24"/>
        </w:rPr>
        <w:t>）企业一年内</w:t>
      </w:r>
      <w:r>
        <w:rPr>
          <w:rFonts w:eastAsia="方正仿宋_GBK"/>
          <w:snapToGrid w:val="0"/>
          <w:color w:val="000000"/>
          <w:kern w:val="32"/>
          <w:sz w:val="24"/>
        </w:rPr>
        <w:t>4</w:t>
      </w:r>
      <w:r>
        <w:rPr>
          <w:rFonts w:hint="eastAsia" w:eastAsia="方正仿宋_GBK"/>
          <w:snapToGrid w:val="0"/>
          <w:color w:val="000000"/>
          <w:kern w:val="32"/>
          <w:sz w:val="24"/>
        </w:rPr>
        <w:t>次在全省投诉反映情况不属实，缺乏事实或法律依据的，公示</w:t>
      </w:r>
      <w:r>
        <w:rPr>
          <w:rFonts w:eastAsia="方正仿宋_GBK"/>
          <w:snapToGrid w:val="0"/>
          <w:color w:val="000000"/>
          <w:kern w:val="32"/>
          <w:sz w:val="24"/>
        </w:rPr>
        <w:t>1</w:t>
      </w:r>
      <w:r>
        <w:rPr>
          <w:rFonts w:hint="eastAsia" w:eastAsia="方正仿宋_GBK"/>
          <w:snapToGrid w:val="0"/>
          <w:color w:val="000000"/>
          <w:kern w:val="32"/>
          <w:sz w:val="24"/>
        </w:rPr>
        <w:t>个月；</w:t>
      </w:r>
    </w:p>
    <w:p>
      <w:pPr>
        <w:autoSpaceDE w:val="0"/>
        <w:autoSpaceDN w:val="0"/>
        <w:snapToGrid w:val="0"/>
        <w:spacing w:line="480" w:lineRule="exact"/>
        <w:ind w:firstLine="624"/>
        <w:rPr>
          <w:rFonts w:eastAsia="方正仿宋_GBK"/>
          <w:snapToGrid w:val="0"/>
          <w:color w:val="000000"/>
          <w:kern w:val="32"/>
          <w:sz w:val="24"/>
        </w:rPr>
      </w:pPr>
      <w:r>
        <w:rPr>
          <w:rFonts w:hint="eastAsia" w:eastAsia="方正仿宋_GBK"/>
          <w:snapToGrid w:val="0"/>
          <w:color w:val="000000"/>
          <w:kern w:val="32"/>
          <w:sz w:val="24"/>
        </w:rPr>
        <w:t>（</w:t>
      </w:r>
      <w:r>
        <w:rPr>
          <w:rFonts w:eastAsia="方正仿宋_GBK"/>
          <w:snapToGrid w:val="0"/>
          <w:color w:val="000000"/>
          <w:kern w:val="32"/>
          <w:sz w:val="24"/>
        </w:rPr>
        <w:t>4</w:t>
      </w:r>
      <w:r>
        <w:rPr>
          <w:rFonts w:hint="eastAsia" w:eastAsia="方正仿宋_GBK"/>
          <w:snapToGrid w:val="0"/>
          <w:color w:val="000000"/>
          <w:kern w:val="32"/>
          <w:sz w:val="24"/>
        </w:rPr>
        <w:t>）投诉人故意捏造事实、伪造证明材料的，或者以非法手段取得证明材料等进行恶意投诉的，公示</w:t>
      </w:r>
      <w:r>
        <w:rPr>
          <w:rFonts w:eastAsia="方正仿宋_GBK"/>
          <w:snapToGrid w:val="0"/>
          <w:color w:val="000000"/>
          <w:kern w:val="32"/>
          <w:sz w:val="24"/>
        </w:rPr>
        <w:t>3</w:t>
      </w:r>
      <w:r>
        <w:rPr>
          <w:rFonts w:hint="eastAsia" w:eastAsia="方正仿宋_GBK"/>
          <w:snapToGrid w:val="0"/>
          <w:color w:val="000000"/>
          <w:kern w:val="32"/>
          <w:sz w:val="24"/>
        </w:rPr>
        <w:t>个月。</w:t>
      </w:r>
    </w:p>
    <w:p>
      <w:pPr>
        <w:autoSpaceDE w:val="0"/>
        <w:autoSpaceDN w:val="0"/>
        <w:snapToGrid w:val="0"/>
        <w:spacing w:line="480" w:lineRule="exact"/>
        <w:ind w:firstLine="624"/>
        <w:rPr>
          <w:rFonts w:eastAsia="方正仿宋_GBK"/>
          <w:snapToGrid w:val="0"/>
          <w:color w:val="000000"/>
          <w:kern w:val="32"/>
          <w:sz w:val="24"/>
        </w:rPr>
      </w:pPr>
      <w:r>
        <w:rPr>
          <w:rFonts w:eastAsia="方正仿宋_GBK"/>
          <w:snapToGrid w:val="0"/>
          <w:color w:val="000000"/>
          <w:kern w:val="32"/>
          <w:sz w:val="24"/>
        </w:rPr>
        <w:t>3</w:t>
      </w:r>
      <w:r>
        <w:rPr>
          <w:rFonts w:hint="eastAsia" w:eastAsia="方正仿宋_GBK"/>
          <w:snapToGrid w:val="0"/>
          <w:color w:val="000000"/>
          <w:kern w:val="32"/>
          <w:sz w:val="24"/>
        </w:rPr>
        <w:t>、评委在招投标活动出现如下失信行为，公示</w:t>
      </w:r>
      <w:r>
        <w:rPr>
          <w:rFonts w:eastAsia="方正仿宋_GBK"/>
          <w:snapToGrid w:val="0"/>
          <w:color w:val="000000"/>
          <w:kern w:val="32"/>
          <w:sz w:val="24"/>
        </w:rPr>
        <w:t>3</w:t>
      </w:r>
      <w:r>
        <w:rPr>
          <w:rFonts w:hint="eastAsia" w:eastAsia="方正仿宋_GBK"/>
          <w:snapToGrid w:val="0"/>
          <w:color w:val="000000"/>
          <w:kern w:val="32"/>
          <w:sz w:val="24"/>
        </w:rPr>
        <w:t>个月：</w:t>
      </w:r>
    </w:p>
    <w:p>
      <w:pPr>
        <w:autoSpaceDE w:val="0"/>
        <w:autoSpaceDN w:val="0"/>
        <w:snapToGrid w:val="0"/>
        <w:spacing w:line="480" w:lineRule="exact"/>
        <w:ind w:firstLine="624"/>
        <w:rPr>
          <w:rFonts w:eastAsia="方正仿宋_GBK"/>
          <w:snapToGrid w:val="0"/>
          <w:color w:val="000000"/>
          <w:kern w:val="32"/>
          <w:sz w:val="24"/>
        </w:rPr>
      </w:pPr>
      <w:r>
        <w:rPr>
          <w:rFonts w:hint="eastAsia" w:eastAsia="方正仿宋_GBK"/>
          <w:snapToGrid w:val="0"/>
          <w:color w:val="000000"/>
          <w:kern w:val="32"/>
          <w:sz w:val="24"/>
        </w:rPr>
        <w:t>（</w:t>
      </w:r>
      <w:r>
        <w:rPr>
          <w:rFonts w:eastAsia="方正仿宋_GBK"/>
          <w:snapToGrid w:val="0"/>
          <w:color w:val="000000"/>
          <w:kern w:val="32"/>
          <w:sz w:val="24"/>
        </w:rPr>
        <w:t>1</w:t>
      </w:r>
      <w:r>
        <w:rPr>
          <w:rFonts w:hint="eastAsia" w:eastAsia="方正仿宋_GBK"/>
          <w:snapToGrid w:val="0"/>
          <w:color w:val="000000"/>
          <w:kern w:val="32"/>
          <w:sz w:val="24"/>
        </w:rPr>
        <w:t>）一次性被扣</w:t>
      </w:r>
      <w:r>
        <w:rPr>
          <w:rFonts w:eastAsia="方正仿宋_GBK"/>
          <w:snapToGrid w:val="0"/>
          <w:color w:val="000000"/>
          <w:kern w:val="32"/>
          <w:sz w:val="24"/>
        </w:rPr>
        <w:t>20</w:t>
      </w:r>
      <w:r>
        <w:rPr>
          <w:rFonts w:hint="eastAsia" w:eastAsia="方正仿宋_GBK"/>
          <w:snapToGrid w:val="0"/>
          <w:color w:val="000000"/>
          <w:kern w:val="32"/>
          <w:sz w:val="24"/>
        </w:rPr>
        <w:t>分的；</w:t>
      </w:r>
    </w:p>
    <w:p>
      <w:pPr>
        <w:autoSpaceDE w:val="0"/>
        <w:autoSpaceDN w:val="0"/>
        <w:snapToGrid w:val="0"/>
        <w:spacing w:line="480" w:lineRule="exact"/>
        <w:ind w:firstLine="624"/>
        <w:rPr>
          <w:rFonts w:eastAsia="方正仿宋_GBK"/>
          <w:snapToGrid w:val="0"/>
          <w:color w:val="000000"/>
          <w:kern w:val="32"/>
          <w:sz w:val="24"/>
        </w:rPr>
      </w:pPr>
      <w:r>
        <w:rPr>
          <w:rFonts w:hint="eastAsia" w:eastAsia="方正仿宋_GBK"/>
          <w:snapToGrid w:val="0"/>
          <w:color w:val="000000"/>
          <w:kern w:val="32"/>
          <w:sz w:val="24"/>
        </w:rPr>
        <w:t>（</w:t>
      </w:r>
      <w:r>
        <w:rPr>
          <w:rFonts w:eastAsia="方正仿宋_GBK"/>
          <w:snapToGrid w:val="0"/>
          <w:color w:val="000000"/>
          <w:kern w:val="32"/>
          <w:sz w:val="24"/>
        </w:rPr>
        <w:t>2</w:t>
      </w:r>
      <w:r>
        <w:rPr>
          <w:rFonts w:hint="eastAsia" w:eastAsia="方正仿宋_GBK"/>
          <w:snapToGrid w:val="0"/>
          <w:color w:val="000000"/>
          <w:kern w:val="32"/>
          <w:sz w:val="24"/>
        </w:rPr>
        <w:t>）将个人通讯工具带入评标区的；</w:t>
      </w:r>
    </w:p>
    <w:p>
      <w:pPr>
        <w:autoSpaceDE w:val="0"/>
        <w:autoSpaceDN w:val="0"/>
        <w:snapToGrid w:val="0"/>
        <w:spacing w:line="480" w:lineRule="exact"/>
        <w:ind w:firstLine="624"/>
        <w:rPr>
          <w:rFonts w:eastAsia="方正仿宋_GBK"/>
          <w:snapToGrid w:val="0"/>
          <w:color w:val="000000"/>
          <w:kern w:val="32"/>
          <w:sz w:val="24"/>
        </w:rPr>
      </w:pPr>
      <w:r>
        <w:rPr>
          <w:rFonts w:hint="eastAsia" w:eastAsia="方正仿宋_GBK"/>
          <w:snapToGrid w:val="0"/>
          <w:color w:val="000000"/>
          <w:kern w:val="32"/>
          <w:sz w:val="24"/>
        </w:rPr>
        <w:t>（</w:t>
      </w:r>
      <w:r>
        <w:rPr>
          <w:rFonts w:eastAsia="方正仿宋_GBK"/>
          <w:snapToGrid w:val="0"/>
          <w:color w:val="000000"/>
          <w:kern w:val="32"/>
          <w:sz w:val="24"/>
        </w:rPr>
        <w:t>3</w:t>
      </w:r>
      <w:r>
        <w:rPr>
          <w:rFonts w:hint="eastAsia" w:eastAsia="方正仿宋_GBK"/>
          <w:snapToGrid w:val="0"/>
          <w:color w:val="000000"/>
          <w:kern w:val="32"/>
          <w:sz w:val="24"/>
        </w:rPr>
        <w:t>）未经评标现场监管人员或者见证人员许可，擅自进入其他评标室、离开评标区或者早退，以及不服从评标现场监督与工作人员管理的；</w:t>
      </w:r>
    </w:p>
    <w:p>
      <w:pPr>
        <w:autoSpaceDE w:val="0"/>
        <w:autoSpaceDN w:val="0"/>
        <w:snapToGrid w:val="0"/>
        <w:spacing w:line="480" w:lineRule="exact"/>
        <w:ind w:firstLine="624"/>
        <w:rPr>
          <w:rFonts w:eastAsia="方正仿宋_GBK"/>
          <w:snapToGrid w:val="0"/>
          <w:color w:val="000000"/>
          <w:kern w:val="32"/>
          <w:sz w:val="24"/>
        </w:rPr>
      </w:pPr>
      <w:r>
        <w:rPr>
          <w:rFonts w:hint="eastAsia" w:eastAsia="方正仿宋_GBK"/>
          <w:snapToGrid w:val="0"/>
          <w:color w:val="000000"/>
          <w:kern w:val="32"/>
          <w:sz w:val="24"/>
        </w:rPr>
        <w:t>（</w:t>
      </w:r>
      <w:r>
        <w:rPr>
          <w:rFonts w:eastAsia="方正仿宋_GBK"/>
          <w:snapToGrid w:val="0"/>
          <w:color w:val="000000"/>
          <w:kern w:val="32"/>
          <w:sz w:val="24"/>
        </w:rPr>
        <w:t>4</w:t>
      </w:r>
      <w:r>
        <w:rPr>
          <w:rFonts w:hint="eastAsia" w:eastAsia="方正仿宋_GBK"/>
          <w:snapToGrid w:val="0"/>
          <w:color w:val="000000"/>
          <w:kern w:val="32"/>
          <w:sz w:val="24"/>
        </w:rPr>
        <w:t>）无故拒绝参加复议的。</w:t>
      </w:r>
    </w:p>
    <w:p>
      <w:pPr>
        <w:autoSpaceDE w:val="0"/>
        <w:autoSpaceDN w:val="0"/>
        <w:snapToGrid w:val="0"/>
        <w:spacing w:line="480" w:lineRule="exact"/>
        <w:ind w:firstLine="624"/>
        <w:rPr>
          <w:rFonts w:eastAsia="方正仿宋_GBK"/>
          <w:snapToGrid w:val="0"/>
          <w:color w:val="000000"/>
          <w:kern w:val="32"/>
          <w:sz w:val="24"/>
        </w:rPr>
      </w:pPr>
      <w:r>
        <w:rPr>
          <w:rFonts w:eastAsia="方正仿宋_GBK"/>
          <w:snapToGrid w:val="0"/>
          <w:color w:val="000000"/>
          <w:kern w:val="32"/>
          <w:sz w:val="24"/>
        </w:rPr>
        <w:t>4</w:t>
      </w:r>
      <w:r>
        <w:rPr>
          <w:rFonts w:hint="eastAsia" w:eastAsia="方正仿宋_GBK"/>
          <w:snapToGrid w:val="0"/>
          <w:color w:val="000000"/>
          <w:kern w:val="32"/>
          <w:sz w:val="24"/>
        </w:rPr>
        <w:t>、招标代理机构在招投标活动中出现如下失信行为，公示</w:t>
      </w:r>
      <w:r>
        <w:rPr>
          <w:rFonts w:eastAsia="方正仿宋_GBK"/>
          <w:snapToGrid w:val="0"/>
          <w:color w:val="000000"/>
          <w:kern w:val="32"/>
          <w:sz w:val="24"/>
        </w:rPr>
        <w:t>1-3</w:t>
      </w:r>
      <w:r>
        <w:rPr>
          <w:rFonts w:hint="eastAsia" w:eastAsia="方正仿宋_GBK"/>
          <w:snapToGrid w:val="0"/>
          <w:color w:val="000000"/>
          <w:kern w:val="32"/>
          <w:sz w:val="24"/>
        </w:rPr>
        <w:t>个月：</w:t>
      </w:r>
    </w:p>
    <w:p>
      <w:pPr>
        <w:autoSpaceDE w:val="0"/>
        <w:autoSpaceDN w:val="0"/>
        <w:snapToGrid w:val="0"/>
        <w:spacing w:line="480" w:lineRule="exact"/>
        <w:ind w:firstLine="624"/>
        <w:rPr>
          <w:rFonts w:eastAsia="方正仿宋_GBK"/>
          <w:snapToGrid w:val="0"/>
          <w:color w:val="000000"/>
          <w:kern w:val="32"/>
          <w:sz w:val="24"/>
        </w:rPr>
      </w:pPr>
      <w:r>
        <w:rPr>
          <w:rFonts w:hint="eastAsia" w:eastAsia="方正仿宋_GBK"/>
          <w:snapToGrid w:val="0"/>
          <w:color w:val="000000"/>
          <w:kern w:val="32"/>
          <w:sz w:val="24"/>
        </w:rPr>
        <w:t>（</w:t>
      </w:r>
      <w:r>
        <w:rPr>
          <w:rFonts w:eastAsia="方正仿宋_GBK"/>
          <w:snapToGrid w:val="0"/>
          <w:color w:val="000000"/>
          <w:kern w:val="32"/>
          <w:sz w:val="24"/>
        </w:rPr>
        <w:t>1</w:t>
      </w:r>
      <w:r>
        <w:rPr>
          <w:rFonts w:hint="eastAsia" w:eastAsia="方正仿宋_GBK"/>
          <w:snapToGrid w:val="0"/>
          <w:color w:val="000000"/>
          <w:kern w:val="32"/>
          <w:sz w:val="24"/>
        </w:rPr>
        <w:t>）出现较重失信行为的公示</w:t>
      </w:r>
      <w:r>
        <w:rPr>
          <w:rFonts w:eastAsia="方正仿宋_GBK"/>
          <w:snapToGrid w:val="0"/>
          <w:color w:val="000000"/>
          <w:kern w:val="32"/>
          <w:sz w:val="24"/>
        </w:rPr>
        <w:t>1</w:t>
      </w:r>
      <w:r>
        <w:rPr>
          <w:rFonts w:hint="eastAsia" w:eastAsia="方正仿宋_GBK"/>
          <w:snapToGrid w:val="0"/>
          <w:color w:val="000000"/>
          <w:kern w:val="32"/>
          <w:sz w:val="24"/>
        </w:rPr>
        <w:t>个月；</w:t>
      </w:r>
    </w:p>
    <w:p>
      <w:pPr>
        <w:autoSpaceDE w:val="0"/>
        <w:autoSpaceDN w:val="0"/>
        <w:snapToGrid w:val="0"/>
        <w:spacing w:line="480" w:lineRule="exact"/>
        <w:ind w:firstLine="624"/>
        <w:rPr>
          <w:rFonts w:eastAsia="方正仿宋_GBK"/>
          <w:snapToGrid w:val="0"/>
          <w:color w:val="000000"/>
          <w:kern w:val="32"/>
          <w:sz w:val="24"/>
        </w:rPr>
      </w:pPr>
      <w:r>
        <w:rPr>
          <w:rFonts w:hint="eastAsia" w:eastAsia="方正仿宋_GBK"/>
          <w:snapToGrid w:val="0"/>
          <w:color w:val="000000"/>
          <w:kern w:val="32"/>
          <w:sz w:val="24"/>
        </w:rPr>
        <w:t>（</w:t>
      </w:r>
      <w:r>
        <w:rPr>
          <w:rFonts w:eastAsia="方正仿宋_GBK"/>
          <w:snapToGrid w:val="0"/>
          <w:color w:val="000000"/>
          <w:kern w:val="32"/>
          <w:sz w:val="24"/>
        </w:rPr>
        <w:t>2</w:t>
      </w:r>
      <w:r>
        <w:rPr>
          <w:rFonts w:hint="eastAsia" w:eastAsia="方正仿宋_GBK"/>
          <w:snapToGrid w:val="0"/>
          <w:color w:val="000000"/>
          <w:kern w:val="32"/>
          <w:sz w:val="24"/>
        </w:rPr>
        <w:t>）出现严重失信行为，公示</w:t>
      </w:r>
      <w:r>
        <w:rPr>
          <w:rFonts w:eastAsia="方正仿宋_GBK"/>
          <w:snapToGrid w:val="0"/>
          <w:color w:val="000000"/>
          <w:kern w:val="32"/>
          <w:sz w:val="24"/>
        </w:rPr>
        <w:t>3</w:t>
      </w:r>
      <w:r>
        <w:rPr>
          <w:rFonts w:hint="eastAsia" w:eastAsia="方正仿宋_GBK"/>
          <w:snapToGrid w:val="0"/>
          <w:color w:val="000000"/>
          <w:kern w:val="32"/>
          <w:sz w:val="24"/>
        </w:rPr>
        <w:t>个月；</w:t>
      </w:r>
    </w:p>
    <w:p>
      <w:pPr>
        <w:autoSpaceDE w:val="0"/>
        <w:autoSpaceDN w:val="0"/>
        <w:snapToGrid w:val="0"/>
        <w:spacing w:line="480" w:lineRule="exact"/>
        <w:ind w:firstLine="624"/>
        <w:rPr>
          <w:rFonts w:eastAsia="方正仿宋_GBK"/>
          <w:snapToGrid w:val="0"/>
          <w:color w:val="000000"/>
          <w:kern w:val="32"/>
          <w:sz w:val="24"/>
        </w:rPr>
      </w:pPr>
      <w:r>
        <w:rPr>
          <w:rFonts w:hint="eastAsia" w:eastAsia="方正仿宋_GBK"/>
          <w:snapToGrid w:val="0"/>
          <w:color w:val="000000"/>
          <w:kern w:val="32"/>
          <w:sz w:val="24"/>
        </w:rPr>
        <w:t>（</w:t>
      </w:r>
      <w:r>
        <w:rPr>
          <w:rFonts w:eastAsia="方正仿宋_GBK"/>
          <w:snapToGrid w:val="0"/>
          <w:color w:val="000000"/>
          <w:kern w:val="32"/>
          <w:sz w:val="24"/>
        </w:rPr>
        <w:t>3</w:t>
      </w:r>
      <w:r>
        <w:rPr>
          <w:rFonts w:hint="eastAsia" w:eastAsia="方正仿宋_GBK"/>
          <w:snapToGrid w:val="0"/>
          <w:color w:val="000000"/>
          <w:kern w:val="32"/>
          <w:sz w:val="24"/>
        </w:rPr>
        <w:t>）单位日常行为考评一年内累计扣分达到</w:t>
      </w:r>
      <w:r>
        <w:rPr>
          <w:rFonts w:eastAsia="方正仿宋_GBK"/>
          <w:snapToGrid w:val="0"/>
          <w:color w:val="000000"/>
          <w:kern w:val="32"/>
          <w:sz w:val="24"/>
        </w:rPr>
        <w:t>8</w:t>
      </w:r>
      <w:r>
        <w:rPr>
          <w:rFonts w:hint="eastAsia" w:eastAsia="方正仿宋_GBK"/>
          <w:snapToGrid w:val="0"/>
          <w:color w:val="000000"/>
          <w:kern w:val="32"/>
          <w:sz w:val="24"/>
        </w:rPr>
        <w:t>分的，公示</w:t>
      </w:r>
      <w:r>
        <w:rPr>
          <w:rFonts w:eastAsia="方正仿宋_GBK"/>
          <w:snapToGrid w:val="0"/>
          <w:color w:val="000000"/>
          <w:kern w:val="32"/>
          <w:sz w:val="24"/>
        </w:rPr>
        <w:t>2</w:t>
      </w:r>
      <w:r>
        <w:rPr>
          <w:rFonts w:hint="eastAsia" w:eastAsia="方正仿宋_GBK"/>
          <w:snapToGrid w:val="0"/>
          <w:color w:val="000000"/>
          <w:kern w:val="32"/>
          <w:sz w:val="24"/>
        </w:rPr>
        <w:t>个月；</w:t>
      </w:r>
    </w:p>
    <w:p>
      <w:pPr>
        <w:autoSpaceDE w:val="0"/>
        <w:autoSpaceDN w:val="0"/>
        <w:snapToGrid w:val="0"/>
        <w:spacing w:line="480" w:lineRule="exact"/>
        <w:ind w:firstLine="624"/>
        <w:rPr>
          <w:rFonts w:eastAsia="方正仿宋_GBK"/>
          <w:snapToGrid w:val="0"/>
          <w:color w:val="000000"/>
          <w:kern w:val="32"/>
          <w:sz w:val="24"/>
        </w:rPr>
      </w:pPr>
      <w:r>
        <w:rPr>
          <w:rFonts w:hint="eastAsia" w:eastAsia="方正仿宋_GBK"/>
          <w:snapToGrid w:val="0"/>
          <w:color w:val="000000"/>
          <w:kern w:val="32"/>
          <w:sz w:val="24"/>
        </w:rPr>
        <w:t>（</w:t>
      </w:r>
      <w:r>
        <w:rPr>
          <w:rFonts w:eastAsia="方正仿宋_GBK"/>
          <w:snapToGrid w:val="0"/>
          <w:color w:val="000000"/>
          <w:kern w:val="32"/>
          <w:sz w:val="24"/>
        </w:rPr>
        <w:t>4</w:t>
      </w:r>
      <w:r>
        <w:rPr>
          <w:rFonts w:hint="eastAsia" w:eastAsia="方正仿宋_GBK"/>
          <w:snapToGrid w:val="0"/>
          <w:color w:val="000000"/>
          <w:kern w:val="32"/>
          <w:sz w:val="24"/>
        </w:rPr>
        <w:t>）从业人员日常行为考评一年内累计扣分达到</w:t>
      </w:r>
      <w:r>
        <w:rPr>
          <w:rFonts w:eastAsia="方正仿宋_GBK"/>
          <w:snapToGrid w:val="0"/>
          <w:color w:val="000000"/>
          <w:kern w:val="32"/>
          <w:sz w:val="24"/>
        </w:rPr>
        <w:t>3</w:t>
      </w:r>
      <w:r>
        <w:rPr>
          <w:rFonts w:hint="eastAsia" w:eastAsia="方正仿宋_GBK"/>
          <w:snapToGrid w:val="0"/>
          <w:color w:val="000000"/>
          <w:kern w:val="32"/>
          <w:sz w:val="24"/>
        </w:rPr>
        <w:t>分的，公示</w:t>
      </w:r>
      <w:r>
        <w:rPr>
          <w:rFonts w:eastAsia="方正仿宋_GBK"/>
          <w:snapToGrid w:val="0"/>
          <w:color w:val="000000"/>
          <w:kern w:val="32"/>
          <w:sz w:val="24"/>
        </w:rPr>
        <w:t>2</w:t>
      </w:r>
      <w:r>
        <w:rPr>
          <w:rFonts w:hint="eastAsia" w:eastAsia="方正仿宋_GBK"/>
          <w:snapToGrid w:val="0"/>
          <w:color w:val="000000"/>
          <w:kern w:val="32"/>
          <w:sz w:val="24"/>
        </w:rPr>
        <w:t>个月。</w:t>
      </w:r>
    </w:p>
    <w:p>
      <w:pPr>
        <w:autoSpaceDE w:val="0"/>
        <w:autoSpaceDN w:val="0"/>
        <w:snapToGrid w:val="0"/>
        <w:spacing w:line="480" w:lineRule="exact"/>
        <w:ind w:firstLine="624"/>
        <w:rPr>
          <w:rFonts w:eastAsia="方正仿宋_GBK"/>
          <w:snapToGrid w:val="0"/>
          <w:color w:val="000000"/>
          <w:kern w:val="32"/>
          <w:sz w:val="24"/>
        </w:rPr>
      </w:pPr>
      <w:r>
        <w:rPr>
          <w:rFonts w:hint="eastAsia" w:eastAsia="方正楷体_GBK"/>
          <w:snapToGrid w:val="0"/>
          <w:color w:val="000000"/>
          <w:kern w:val="32"/>
          <w:sz w:val="24"/>
        </w:rPr>
        <w:t>（十八）</w:t>
      </w:r>
      <w:r>
        <w:rPr>
          <w:rFonts w:hint="eastAsia" w:eastAsia="方正仿宋_GBK"/>
          <w:snapToGrid w:val="0"/>
          <w:color w:val="000000"/>
          <w:kern w:val="32"/>
          <w:sz w:val="24"/>
        </w:rPr>
        <w:t>其他信息公开。与招投标相关的在建工程信息、项目负责人变更信息、招标终止信息和投标保证金提交情况等均应当及时在“江苏建设工程招标网”和“江苏省建筑市场监管与诚信信息一体化平台”上发布。</w:t>
      </w:r>
    </w:p>
    <w:p>
      <w:pPr>
        <w:autoSpaceDE w:val="0"/>
        <w:autoSpaceDN w:val="0"/>
        <w:snapToGrid w:val="0"/>
        <w:spacing w:line="480" w:lineRule="exact"/>
        <w:ind w:firstLine="624"/>
        <w:rPr>
          <w:rFonts w:eastAsia="方正黑体_GBK"/>
          <w:snapToGrid w:val="0"/>
          <w:color w:val="000000"/>
          <w:kern w:val="32"/>
          <w:sz w:val="24"/>
        </w:rPr>
      </w:pPr>
      <w:r>
        <w:rPr>
          <w:rFonts w:hint="eastAsia" w:eastAsia="方正黑体_GBK"/>
          <w:snapToGrid w:val="0"/>
          <w:color w:val="000000"/>
          <w:kern w:val="32"/>
          <w:sz w:val="24"/>
        </w:rPr>
        <w:t>五、规范流程，强化监管</w:t>
      </w:r>
    </w:p>
    <w:p>
      <w:pPr>
        <w:autoSpaceDE w:val="0"/>
        <w:autoSpaceDN w:val="0"/>
        <w:snapToGrid w:val="0"/>
        <w:spacing w:line="480" w:lineRule="exact"/>
        <w:ind w:firstLine="624"/>
        <w:rPr>
          <w:rFonts w:eastAsia="方正仿宋_GBK"/>
          <w:snapToGrid w:val="0"/>
          <w:color w:val="000000"/>
          <w:kern w:val="32"/>
          <w:sz w:val="24"/>
        </w:rPr>
      </w:pPr>
      <w:r>
        <w:rPr>
          <w:rFonts w:hint="eastAsia" w:eastAsia="方正楷体_GBK"/>
          <w:snapToGrid w:val="0"/>
          <w:color w:val="000000"/>
          <w:kern w:val="32"/>
          <w:sz w:val="24"/>
        </w:rPr>
        <w:t>（十九）</w:t>
      </w:r>
      <w:r>
        <w:rPr>
          <w:rFonts w:hint="eastAsia" w:eastAsia="方正仿宋_GBK"/>
          <w:snapToGrid w:val="0"/>
          <w:color w:val="000000"/>
          <w:kern w:val="32"/>
          <w:sz w:val="24"/>
        </w:rPr>
        <w:t>招标人编制的资格预审文件和招标文件，应当使用国家、省有关部门制定的标准文本。</w:t>
      </w:r>
    </w:p>
    <w:p>
      <w:pPr>
        <w:autoSpaceDE w:val="0"/>
        <w:autoSpaceDN w:val="0"/>
        <w:snapToGrid w:val="0"/>
        <w:spacing w:line="480" w:lineRule="exact"/>
        <w:ind w:firstLine="624"/>
        <w:rPr>
          <w:rFonts w:eastAsia="方正仿宋_GBK"/>
          <w:snapToGrid w:val="0"/>
          <w:color w:val="000000"/>
          <w:kern w:val="32"/>
          <w:sz w:val="24"/>
        </w:rPr>
      </w:pPr>
      <w:r>
        <w:rPr>
          <w:rFonts w:hint="eastAsia" w:eastAsia="方正仿宋_GBK"/>
          <w:snapToGrid w:val="0"/>
          <w:color w:val="000000"/>
          <w:kern w:val="32"/>
          <w:sz w:val="24"/>
        </w:rPr>
        <w:t>施工、服务、货物和工程总承包招标，招标人应当设定招标控制价（最高投标限价）。招标控制价或者其计算方法应当在招标文件中载明。</w:t>
      </w:r>
    </w:p>
    <w:p>
      <w:pPr>
        <w:autoSpaceDE w:val="0"/>
        <w:autoSpaceDN w:val="0"/>
        <w:snapToGrid w:val="0"/>
        <w:spacing w:line="480" w:lineRule="exact"/>
        <w:ind w:firstLine="624"/>
        <w:rPr>
          <w:rFonts w:eastAsia="方正仿宋_GBK"/>
          <w:snapToGrid w:val="0"/>
          <w:color w:val="000000"/>
          <w:kern w:val="32"/>
          <w:sz w:val="24"/>
        </w:rPr>
      </w:pPr>
      <w:r>
        <w:rPr>
          <w:rFonts w:hint="eastAsia" w:eastAsia="方正仿宋_GBK"/>
          <w:snapToGrid w:val="0"/>
          <w:color w:val="000000"/>
          <w:kern w:val="32"/>
          <w:sz w:val="24"/>
        </w:rPr>
        <w:t>施工招标资格审查应当使用附件二《江苏省房屋建筑和市政基础设施工程施工招标资格审查办法》；施工招标评标应当使用附件三《江苏省房屋建筑和市政基础设施工程施工招标评标办法》。</w:t>
      </w:r>
    </w:p>
    <w:p>
      <w:pPr>
        <w:autoSpaceDE w:val="0"/>
        <w:autoSpaceDN w:val="0"/>
        <w:snapToGrid w:val="0"/>
        <w:spacing w:line="480" w:lineRule="exact"/>
        <w:ind w:firstLine="624"/>
        <w:rPr>
          <w:rFonts w:eastAsia="方正仿宋_GBK"/>
          <w:snapToGrid w:val="0"/>
          <w:color w:val="000000"/>
          <w:kern w:val="32"/>
          <w:sz w:val="24"/>
        </w:rPr>
      </w:pPr>
      <w:r>
        <w:rPr>
          <w:rFonts w:hint="eastAsia" w:eastAsia="方正楷体_GBK"/>
          <w:snapToGrid w:val="0"/>
          <w:color w:val="000000"/>
          <w:kern w:val="32"/>
          <w:sz w:val="24"/>
        </w:rPr>
        <w:t>（二十）</w:t>
      </w:r>
      <w:r>
        <w:rPr>
          <w:rFonts w:hint="eastAsia" w:eastAsia="方正仿宋_GBK"/>
          <w:snapToGrid w:val="0"/>
          <w:color w:val="000000"/>
          <w:kern w:val="32"/>
          <w:sz w:val="24"/>
        </w:rPr>
        <w:t>资格预审文件设定的资格审查合格条件和招标文件中设定的无效标条款应当清晰、明确，并集中单列。其中，无效标条款应当仅限定为本意见附件三第六条所列情形。特殊情况招标人需要另行规定无效标条款的，应当在招标文件备案时作出说明后写入招标文件。凡招标文件未集中单列的无效标条款，评标委员会不得作为否决投标、判定无效标的依据。招标人不得要求投标报价文件必须加盖造价从业人员执业章，也不得将投标人法定代表人未参加开标活动作为拒绝其投标或判断无效投标的依据。</w:t>
      </w:r>
    </w:p>
    <w:p>
      <w:pPr>
        <w:autoSpaceDE w:val="0"/>
        <w:autoSpaceDN w:val="0"/>
        <w:snapToGrid w:val="0"/>
        <w:spacing w:line="480" w:lineRule="exact"/>
        <w:ind w:firstLine="624"/>
        <w:rPr>
          <w:rFonts w:eastAsia="方正仿宋_GBK"/>
          <w:snapToGrid w:val="0"/>
          <w:color w:val="000000"/>
          <w:kern w:val="32"/>
          <w:sz w:val="24"/>
        </w:rPr>
      </w:pPr>
      <w:r>
        <w:rPr>
          <w:rFonts w:hint="eastAsia" w:eastAsia="方正仿宋_GBK"/>
          <w:snapToGrid w:val="0"/>
          <w:color w:val="000000"/>
          <w:kern w:val="32"/>
          <w:sz w:val="24"/>
        </w:rPr>
        <w:t>招标人可以对招标文件或资格预审文件进行必要的澄清或者修改。但对资格审查条件、资格审查标准和方法、评标标准和方法、以及付款方式等实质性内容进行修改，应当重新发布招标公告。</w:t>
      </w:r>
    </w:p>
    <w:p>
      <w:pPr>
        <w:autoSpaceDE w:val="0"/>
        <w:autoSpaceDN w:val="0"/>
        <w:snapToGrid w:val="0"/>
        <w:spacing w:line="480" w:lineRule="exact"/>
        <w:ind w:firstLine="624"/>
        <w:rPr>
          <w:rFonts w:eastAsia="方正仿宋_GBK"/>
          <w:snapToGrid w:val="0"/>
          <w:color w:val="000000"/>
          <w:kern w:val="32"/>
          <w:sz w:val="24"/>
        </w:rPr>
      </w:pPr>
      <w:r>
        <w:rPr>
          <w:rFonts w:hint="eastAsia" w:eastAsia="方正楷体_GBK"/>
          <w:snapToGrid w:val="0"/>
          <w:color w:val="000000"/>
          <w:kern w:val="32"/>
          <w:sz w:val="24"/>
        </w:rPr>
        <w:t>（二十一）</w:t>
      </w:r>
      <w:r>
        <w:rPr>
          <w:rFonts w:hint="eastAsia" w:eastAsia="方正仿宋_GBK"/>
          <w:snapToGrid w:val="0"/>
          <w:color w:val="000000"/>
          <w:kern w:val="32"/>
          <w:sz w:val="24"/>
        </w:rPr>
        <w:t>在评标过程中，除出现《中华人民共和国招标投标法实施条例》第二十三条情形外，评标委员会认为因招标文件缺陷无法确定中标候选人或中标人的，招标人应当重新组织招标。</w:t>
      </w:r>
    </w:p>
    <w:p>
      <w:pPr>
        <w:autoSpaceDE w:val="0"/>
        <w:autoSpaceDN w:val="0"/>
        <w:snapToGrid w:val="0"/>
        <w:spacing w:line="480" w:lineRule="exact"/>
        <w:ind w:firstLine="624"/>
        <w:rPr>
          <w:rFonts w:eastAsia="方正仿宋_GBK"/>
          <w:snapToGrid w:val="0"/>
          <w:color w:val="000000"/>
          <w:kern w:val="32"/>
          <w:sz w:val="24"/>
        </w:rPr>
      </w:pPr>
      <w:r>
        <w:rPr>
          <w:rFonts w:hint="eastAsia" w:eastAsia="方正楷体_GBK"/>
          <w:snapToGrid w:val="0"/>
          <w:color w:val="000000"/>
          <w:kern w:val="32"/>
          <w:sz w:val="24"/>
        </w:rPr>
        <w:t>（二十二）</w:t>
      </w:r>
      <w:r>
        <w:rPr>
          <w:rFonts w:hint="eastAsia" w:eastAsia="方正仿宋_GBK"/>
          <w:snapToGrid w:val="0"/>
          <w:color w:val="000000"/>
          <w:kern w:val="32"/>
          <w:sz w:val="24"/>
        </w:rPr>
        <w:t>建立专家评议制度。招标人在处理异议的过程中，或招投标监管机构在处理投诉的过程中，对于出现难以认定或解决的法律、技术问题时，可以组建争议评议专家组评议，评议意见作为异议、投诉处理的主要依据。</w:t>
      </w:r>
    </w:p>
    <w:p>
      <w:pPr>
        <w:autoSpaceDE w:val="0"/>
        <w:autoSpaceDN w:val="0"/>
        <w:snapToGrid w:val="0"/>
        <w:spacing w:line="480" w:lineRule="exact"/>
        <w:ind w:firstLine="624"/>
        <w:rPr>
          <w:rFonts w:eastAsia="方正仿宋_GBK"/>
          <w:snapToGrid w:val="0"/>
          <w:color w:val="000000"/>
          <w:kern w:val="32"/>
          <w:sz w:val="24"/>
        </w:rPr>
      </w:pPr>
      <w:r>
        <w:rPr>
          <w:rFonts w:hint="eastAsia" w:eastAsia="方正楷体_GBK"/>
          <w:snapToGrid w:val="0"/>
          <w:color w:val="000000"/>
          <w:kern w:val="32"/>
          <w:sz w:val="24"/>
        </w:rPr>
        <w:t>（二十三）</w:t>
      </w:r>
      <w:r>
        <w:rPr>
          <w:rFonts w:hint="eastAsia" w:eastAsia="方正仿宋_GBK"/>
          <w:snapToGrid w:val="0"/>
          <w:color w:val="000000"/>
          <w:kern w:val="32"/>
          <w:sz w:val="24"/>
        </w:rPr>
        <w:t>建立招投标后评估制度和招标代理机构的“双随机”检查制度。各招投标监管机构每年要组织资深评标专家对一些社会影响较大的项目、招标中存在异议和投诉的项目，以及有代表性的专业项目实施评标后评估，通过后评估规范招投标各方、特别是评标专家的行为。对代理机构的代理行为实施定期“双随机”检查，检查的内容、程序及处理结果应及时公开，并将检查的结果与代理机构信用考核挂钩。</w:t>
      </w:r>
    </w:p>
    <w:p>
      <w:pPr>
        <w:autoSpaceDE w:val="0"/>
        <w:autoSpaceDN w:val="0"/>
        <w:snapToGrid w:val="0"/>
        <w:spacing w:line="480" w:lineRule="exact"/>
        <w:ind w:firstLine="624"/>
        <w:rPr>
          <w:rFonts w:eastAsia="方正仿宋_GBK"/>
          <w:snapToGrid w:val="0"/>
          <w:color w:val="000000"/>
          <w:kern w:val="32"/>
          <w:sz w:val="24"/>
        </w:rPr>
      </w:pPr>
      <w:r>
        <w:rPr>
          <w:rFonts w:hint="eastAsia" w:eastAsia="方正楷体_GBK"/>
          <w:snapToGrid w:val="0"/>
          <w:color w:val="000000"/>
          <w:kern w:val="32"/>
          <w:sz w:val="24"/>
        </w:rPr>
        <w:t>（二十四）</w:t>
      </w:r>
      <w:r>
        <w:rPr>
          <w:rFonts w:hint="eastAsia" w:eastAsia="方正仿宋_GBK"/>
          <w:snapToGrid w:val="0"/>
          <w:color w:val="000000"/>
          <w:kern w:val="32"/>
          <w:sz w:val="24"/>
        </w:rPr>
        <w:t>异议和投诉应严格执行《江苏省房屋建筑和市政基础设施工程招标投标活动异议与投诉处理实施办法》，一般应在招投标交易、监督平台上受理和处理。招标人在异议处理过程中认为需要重新评标的，应书面报告招投标监管机构。</w:t>
      </w:r>
    </w:p>
    <w:p>
      <w:pPr>
        <w:autoSpaceDE w:val="0"/>
        <w:autoSpaceDN w:val="0"/>
        <w:snapToGrid w:val="0"/>
        <w:spacing w:line="480" w:lineRule="exact"/>
        <w:ind w:firstLine="624"/>
        <w:rPr>
          <w:rFonts w:eastAsia="方正仿宋_GBK"/>
          <w:snapToGrid w:val="0"/>
          <w:color w:val="000000"/>
          <w:kern w:val="32"/>
          <w:sz w:val="24"/>
        </w:rPr>
      </w:pPr>
      <w:r>
        <w:rPr>
          <w:rFonts w:hint="eastAsia" w:eastAsia="方正仿宋_GBK"/>
          <w:snapToGrid w:val="0"/>
          <w:color w:val="000000"/>
          <w:kern w:val="32"/>
          <w:sz w:val="24"/>
        </w:rPr>
        <w:t>采用资格预审的项目，投标人或者其他利害关系人对中标候选人的资格审查结果有异议或投诉的，应当在中标候选人公示期间提出。异议或投诉反映的内容需要重新评审的，由原评标委员会或者原资格审查委员会（在招标文件中明确）重新评审，但不因此重新确定投标人入围资格和评标基准价。</w:t>
      </w:r>
    </w:p>
    <w:p>
      <w:pPr>
        <w:autoSpaceDE w:val="0"/>
        <w:autoSpaceDN w:val="0"/>
        <w:snapToGrid w:val="0"/>
        <w:spacing w:line="480" w:lineRule="exact"/>
        <w:ind w:firstLine="624"/>
        <w:rPr>
          <w:rFonts w:eastAsia="方正黑体_GBK"/>
          <w:snapToGrid w:val="0"/>
          <w:color w:val="000000"/>
          <w:kern w:val="32"/>
          <w:sz w:val="24"/>
        </w:rPr>
      </w:pPr>
      <w:r>
        <w:rPr>
          <w:rFonts w:hint="eastAsia" w:eastAsia="方正黑体_GBK"/>
          <w:snapToGrid w:val="0"/>
          <w:color w:val="000000"/>
          <w:kern w:val="32"/>
          <w:sz w:val="24"/>
        </w:rPr>
        <w:t>六、切实加强招投标改革意见的组织实施</w:t>
      </w:r>
    </w:p>
    <w:p>
      <w:pPr>
        <w:autoSpaceDE w:val="0"/>
        <w:autoSpaceDN w:val="0"/>
        <w:snapToGrid w:val="0"/>
        <w:spacing w:line="480" w:lineRule="exact"/>
        <w:ind w:firstLine="624"/>
        <w:rPr>
          <w:rFonts w:eastAsia="方正仿宋_GBK"/>
          <w:snapToGrid w:val="0"/>
          <w:color w:val="000000"/>
          <w:kern w:val="32"/>
          <w:sz w:val="24"/>
        </w:rPr>
      </w:pPr>
      <w:r>
        <w:rPr>
          <w:rFonts w:hint="eastAsia" w:eastAsia="方正楷体_GBK"/>
          <w:snapToGrid w:val="0"/>
          <w:color w:val="000000"/>
          <w:kern w:val="32"/>
          <w:sz w:val="24"/>
        </w:rPr>
        <w:t>（二十五）</w:t>
      </w:r>
      <w:r>
        <w:rPr>
          <w:rFonts w:hint="eastAsia" w:eastAsia="方正仿宋_GBK"/>
          <w:snapToGrid w:val="0"/>
          <w:color w:val="000000"/>
          <w:kern w:val="32"/>
          <w:sz w:val="24"/>
        </w:rPr>
        <w:t>各级建设行政主管部门要高度重视建设工程招投标的改革与创新工作，加强领导、明确责任，全面贯彻各项意见和措施。要加强与纪检监察、发展改革、政务服务、公安等相关部门的沟通协调，对实施过程中遇到的困难和问题争取支持、形成合力，切实通过意见的实施，进一步健全和完善建设工程招标投标制度。</w:t>
      </w:r>
    </w:p>
    <w:p>
      <w:pPr>
        <w:autoSpaceDE w:val="0"/>
        <w:autoSpaceDN w:val="0"/>
        <w:snapToGrid w:val="0"/>
        <w:spacing w:line="480" w:lineRule="exact"/>
        <w:ind w:firstLine="624"/>
        <w:rPr>
          <w:rFonts w:eastAsia="方正仿宋_GBK"/>
          <w:snapToGrid w:val="0"/>
          <w:color w:val="000000"/>
          <w:kern w:val="32"/>
          <w:sz w:val="24"/>
        </w:rPr>
      </w:pPr>
      <w:r>
        <w:rPr>
          <w:rFonts w:hint="eastAsia" w:eastAsia="方正楷体_GBK"/>
          <w:snapToGrid w:val="0"/>
          <w:color w:val="000000"/>
          <w:kern w:val="32"/>
          <w:sz w:val="24"/>
        </w:rPr>
        <w:t>（二十六）</w:t>
      </w:r>
      <w:r>
        <w:rPr>
          <w:rFonts w:hint="eastAsia" w:eastAsia="方正仿宋_GBK"/>
          <w:snapToGrid w:val="0"/>
          <w:color w:val="000000"/>
          <w:kern w:val="32"/>
          <w:sz w:val="24"/>
        </w:rPr>
        <w:t>各级建设工程招投标监管机构要提高认识，主动作为。要坚持备案管理、过程监督、依法查处的监管方式，解放思想，勇于探索，积极创新监管模式。要切实加大对招标公告、招标文件备案</w:t>
      </w:r>
      <w:r>
        <w:rPr>
          <w:rFonts w:eastAsia="方正仿宋_GBK"/>
          <w:snapToGrid w:val="0"/>
          <w:color w:val="000000"/>
          <w:kern w:val="32"/>
          <w:sz w:val="24"/>
        </w:rPr>
        <w:t>,</w:t>
      </w:r>
      <w:r>
        <w:rPr>
          <w:rFonts w:hint="eastAsia" w:eastAsia="方正仿宋_GBK"/>
          <w:snapToGrid w:val="0"/>
          <w:color w:val="000000"/>
          <w:kern w:val="32"/>
          <w:sz w:val="24"/>
        </w:rPr>
        <w:t>资格预审、开标评标等重点环节的监管力度，及时纠正、制止招投标市场存在的违法违规行为。</w:t>
      </w:r>
    </w:p>
    <w:p>
      <w:pPr>
        <w:autoSpaceDE w:val="0"/>
        <w:autoSpaceDN w:val="0"/>
        <w:snapToGrid w:val="0"/>
        <w:spacing w:line="480" w:lineRule="exact"/>
        <w:ind w:firstLine="624"/>
        <w:rPr>
          <w:rFonts w:eastAsia="方正仿宋_GBK"/>
          <w:snapToGrid w:val="0"/>
          <w:color w:val="000000"/>
          <w:kern w:val="32"/>
          <w:sz w:val="24"/>
        </w:rPr>
      </w:pPr>
      <w:r>
        <w:rPr>
          <w:rFonts w:hint="eastAsia" w:eastAsia="方正楷体_GBK"/>
          <w:snapToGrid w:val="0"/>
          <w:color w:val="000000"/>
          <w:kern w:val="32"/>
          <w:sz w:val="24"/>
        </w:rPr>
        <w:t>（二十七）</w:t>
      </w:r>
      <w:r>
        <w:rPr>
          <w:rFonts w:hint="eastAsia" w:eastAsia="方正仿宋_GBK"/>
          <w:snapToGrid w:val="0"/>
          <w:color w:val="000000"/>
          <w:kern w:val="32"/>
          <w:sz w:val="24"/>
        </w:rPr>
        <w:t>本意见中的服务招标包括全过程工程咨询招标。单独发包的房屋建筑和市政基础设施工程设计招标执行《建筑工程设计招标投标管理办法》（住建部第</w:t>
      </w:r>
      <w:r>
        <w:rPr>
          <w:rFonts w:eastAsia="方正仿宋_GBK"/>
          <w:snapToGrid w:val="0"/>
          <w:color w:val="000000"/>
          <w:kern w:val="32"/>
          <w:sz w:val="24"/>
        </w:rPr>
        <w:t>33</w:t>
      </w:r>
      <w:r>
        <w:rPr>
          <w:rFonts w:hint="eastAsia" w:eastAsia="方正仿宋_GBK"/>
          <w:snapToGrid w:val="0"/>
          <w:color w:val="000000"/>
          <w:kern w:val="32"/>
          <w:sz w:val="24"/>
        </w:rPr>
        <w:t>号令）。</w:t>
      </w:r>
    </w:p>
    <w:p>
      <w:pPr>
        <w:autoSpaceDE w:val="0"/>
        <w:autoSpaceDN w:val="0"/>
        <w:snapToGrid w:val="0"/>
        <w:spacing w:line="480" w:lineRule="exact"/>
        <w:ind w:firstLine="624"/>
        <w:rPr>
          <w:rFonts w:eastAsia="方正仿宋_GBK"/>
          <w:snapToGrid w:val="0"/>
          <w:color w:val="000000"/>
          <w:kern w:val="32"/>
          <w:sz w:val="24"/>
        </w:rPr>
      </w:pPr>
      <w:r>
        <w:rPr>
          <w:rFonts w:hint="eastAsia" w:eastAsia="方正仿宋_GBK"/>
          <w:snapToGrid w:val="0"/>
          <w:color w:val="000000"/>
          <w:kern w:val="32"/>
          <w:sz w:val="24"/>
        </w:rPr>
        <w:t>本意见及附件由江苏省住房和城乡建设厅负责解释，自</w:t>
      </w:r>
      <w:r>
        <w:rPr>
          <w:rFonts w:eastAsia="方正仿宋_GBK"/>
          <w:snapToGrid w:val="0"/>
          <w:color w:val="000000"/>
          <w:kern w:val="32"/>
          <w:sz w:val="24"/>
        </w:rPr>
        <w:t>2017</w:t>
      </w:r>
      <w:r>
        <w:rPr>
          <w:rFonts w:hint="eastAsia" w:eastAsia="方正仿宋_GBK"/>
          <w:snapToGrid w:val="0"/>
          <w:color w:val="000000"/>
          <w:kern w:val="32"/>
          <w:sz w:val="24"/>
        </w:rPr>
        <w:t>年</w:t>
      </w:r>
      <w:r>
        <w:rPr>
          <w:rFonts w:eastAsia="方正仿宋_GBK"/>
          <w:snapToGrid w:val="0"/>
          <w:color w:val="000000"/>
          <w:kern w:val="32"/>
          <w:sz w:val="24"/>
        </w:rPr>
        <w:t>10</w:t>
      </w:r>
      <w:r>
        <w:rPr>
          <w:rFonts w:hint="eastAsia" w:eastAsia="方正仿宋_GBK"/>
          <w:snapToGrid w:val="0"/>
          <w:color w:val="000000"/>
          <w:kern w:val="32"/>
          <w:sz w:val="24"/>
        </w:rPr>
        <w:t>月</w:t>
      </w:r>
      <w:r>
        <w:rPr>
          <w:rFonts w:eastAsia="方正仿宋_GBK"/>
          <w:snapToGrid w:val="0"/>
          <w:color w:val="000000"/>
          <w:kern w:val="32"/>
          <w:sz w:val="24"/>
        </w:rPr>
        <w:t>1</w:t>
      </w:r>
      <w:r>
        <w:rPr>
          <w:rFonts w:hint="eastAsia" w:eastAsia="方正仿宋_GBK"/>
          <w:snapToGrid w:val="0"/>
          <w:color w:val="000000"/>
          <w:kern w:val="32"/>
          <w:sz w:val="24"/>
        </w:rPr>
        <w:t>日起施行。各地在执行过程中要注意分析总结，对存在的不足及应改进的地方，及时反馈到省住房城乡建设厅。</w:t>
      </w:r>
    </w:p>
    <w:p>
      <w:pPr>
        <w:autoSpaceDE w:val="0"/>
        <w:autoSpaceDN w:val="0"/>
        <w:snapToGrid w:val="0"/>
        <w:spacing w:line="480" w:lineRule="exact"/>
        <w:ind w:firstLine="624"/>
        <w:rPr>
          <w:rFonts w:eastAsia="方正仿宋_GBK"/>
          <w:snapToGrid w:val="0"/>
          <w:color w:val="000000"/>
          <w:kern w:val="32"/>
          <w:sz w:val="24"/>
        </w:rPr>
      </w:pPr>
      <w:r>
        <w:rPr>
          <w:rFonts w:hint="eastAsia" w:eastAsia="方正仿宋_GBK"/>
          <w:snapToGrid w:val="0"/>
          <w:color w:val="000000"/>
          <w:kern w:val="32"/>
          <w:sz w:val="24"/>
        </w:rPr>
        <w:t>《关于房屋建筑和市政基础设施工程贯彻招标投标法实施条例的意见》（苏建规字〔</w:t>
      </w:r>
      <w:r>
        <w:rPr>
          <w:rFonts w:eastAsia="方正仿宋_GBK"/>
          <w:snapToGrid w:val="0"/>
          <w:color w:val="000000"/>
          <w:kern w:val="32"/>
          <w:sz w:val="24"/>
        </w:rPr>
        <w:t>2013</w:t>
      </w:r>
      <w:r>
        <w:rPr>
          <w:rFonts w:hint="eastAsia" w:eastAsia="方正仿宋_GBK"/>
          <w:snapToGrid w:val="0"/>
          <w:color w:val="000000"/>
          <w:kern w:val="32"/>
          <w:sz w:val="24"/>
        </w:rPr>
        <w:t>〕</w:t>
      </w:r>
      <w:r>
        <w:rPr>
          <w:rFonts w:eastAsia="方正仿宋_GBK"/>
          <w:snapToGrid w:val="0"/>
          <w:color w:val="000000"/>
          <w:kern w:val="32"/>
          <w:sz w:val="24"/>
        </w:rPr>
        <w:t>4</w:t>
      </w:r>
      <w:r>
        <w:rPr>
          <w:rFonts w:hint="eastAsia" w:eastAsia="方正仿宋_GBK"/>
          <w:snapToGrid w:val="0"/>
          <w:color w:val="000000"/>
          <w:kern w:val="32"/>
          <w:sz w:val="24"/>
        </w:rPr>
        <w:t>号文）作废，之前文件与本意见不一致的，以本意见为准。</w:t>
      </w:r>
    </w:p>
    <w:p>
      <w:pPr>
        <w:autoSpaceDE w:val="0"/>
        <w:autoSpaceDN w:val="0"/>
        <w:snapToGrid w:val="0"/>
        <w:spacing w:line="480" w:lineRule="exact"/>
        <w:ind w:firstLine="236" w:firstLineChars="100"/>
        <w:rPr>
          <w:rFonts w:eastAsia="方正仿宋_GBK"/>
          <w:snapToGrid w:val="0"/>
          <w:color w:val="000000"/>
          <w:kern w:val="32"/>
          <w:sz w:val="24"/>
        </w:rPr>
      </w:pPr>
      <w:r>
        <w:rPr>
          <w:rFonts w:hint="eastAsia" w:eastAsia="方正仿宋_GBK"/>
          <w:snapToGrid w:val="0"/>
          <w:color w:val="000000"/>
          <w:kern w:val="32"/>
          <w:sz w:val="24"/>
        </w:rPr>
        <w:t>附件</w:t>
      </w:r>
      <w:r>
        <w:rPr>
          <w:rFonts w:eastAsia="方正仿宋_GBK"/>
          <w:snapToGrid w:val="0"/>
          <w:color w:val="000000"/>
          <w:kern w:val="32"/>
          <w:sz w:val="24"/>
        </w:rPr>
        <w:t>:  1.</w:t>
      </w:r>
      <w:r>
        <w:rPr>
          <w:rFonts w:hint="eastAsia" w:eastAsia="方正仿宋_GBK"/>
          <w:snapToGrid w:val="0"/>
          <w:color w:val="000000"/>
          <w:kern w:val="32"/>
          <w:sz w:val="24"/>
        </w:rPr>
        <w:t>相关概念定义</w:t>
      </w:r>
    </w:p>
    <w:p>
      <w:pPr>
        <w:autoSpaceDE w:val="0"/>
        <w:autoSpaceDN w:val="0"/>
        <w:snapToGrid w:val="0"/>
        <w:spacing w:line="480" w:lineRule="exact"/>
        <w:ind w:left="1926" w:leftChars="501" w:hanging="894" w:hangingChars="379"/>
        <w:rPr>
          <w:rFonts w:eastAsia="方正仿宋_GBK"/>
          <w:snapToGrid w:val="0"/>
          <w:color w:val="000000"/>
          <w:kern w:val="32"/>
          <w:sz w:val="24"/>
        </w:rPr>
      </w:pPr>
      <w:r>
        <w:rPr>
          <w:rFonts w:eastAsia="方正仿宋_GBK"/>
          <w:snapToGrid w:val="0"/>
          <w:color w:val="000000"/>
          <w:kern w:val="32"/>
          <w:sz w:val="24"/>
        </w:rPr>
        <w:t>2.</w:t>
      </w:r>
      <w:r>
        <w:rPr>
          <w:rFonts w:hint="eastAsia" w:eastAsia="方正仿宋_GBK"/>
          <w:snapToGrid w:val="0"/>
          <w:color w:val="000000"/>
          <w:kern w:val="32"/>
          <w:sz w:val="24"/>
        </w:rPr>
        <w:t>《江苏省房屋建筑和市政基础工程施工招标资格审查办法》</w:t>
      </w:r>
    </w:p>
    <w:p>
      <w:pPr>
        <w:autoSpaceDE w:val="0"/>
        <w:autoSpaceDN w:val="0"/>
        <w:snapToGrid w:val="0"/>
        <w:spacing w:line="480" w:lineRule="exact"/>
        <w:ind w:left="1926" w:leftChars="501" w:hanging="894" w:hangingChars="379"/>
        <w:rPr>
          <w:rFonts w:eastAsia="方正仿宋_GBK"/>
          <w:snapToGrid w:val="0"/>
          <w:color w:val="000000"/>
          <w:kern w:val="32"/>
          <w:sz w:val="24"/>
        </w:rPr>
      </w:pPr>
      <w:r>
        <w:rPr>
          <w:rFonts w:eastAsia="方正仿宋_GBK"/>
          <w:snapToGrid w:val="0"/>
          <w:color w:val="000000"/>
          <w:kern w:val="32"/>
          <w:sz w:val="24"/>
        </w:rPr>
        <w:t>3.</w:t>
      </w:r>
      <w:r>
        <w:rPr>
          <w:rFonts w:hint="eastAsia" w:eastAsia="方正仿宋_GBK"/>
          <w:snapToGrid w:val="0"/>
          <w:color w:val="000000"/>
          <w:kern w:val="32"/>
          <w:sz w:val="24"/>
        </w:rPr>
        <w:t>《江苏省房屋建筑和市政基础设施工程施工招标评标办法》</w:t>
      </w:r>
    </w:p>
    <w:p>
      <w:pPr>
        <w:autoSpaceDE w:val="0"/>
        <w:autoSpaceDN w:val="0"/>
        <w:snapToGrid w:val="0"/>
        <w:spacing w:line="480" w:lineRule="exact"/>
        <w:ind w:left="1926" w:leftChars="501" w:hanging="894" w:hangingChars="379"/>
        <w:rPr>
          <w:rFonts w:eastAsia="方正仿宋_GBK"/>
          <w:snapToGrid w:val="0"/>
          <w:color w:val="000000"/>
          <w:kern w:val="0"/>
          <w:sz w:val="24"/>
        </w:rPr>
      </w:pPr>
      <w:r>
        <w:rPr>
          <w:rFonts w:eastAsia="方正仿宋_GBK"/>
          <w:snapToGrid w:val="0"/>
          <w:color w:val="000000"/>
          <w:kern w:val="32"/>
          <w:sz w:val="24"/>
        </w:rPr>
        <w:t>4.</w:t>
      </w:r>
      <w:r>
        <w:rPr>
          <w:rFonts w:hint="eastAsia" w:eastAsia="方正仿宋_GBK"/>
          <w:snapToGrid w:val="0"/>
          <w:color w:val="000000"/>
          <w:kern w:val="32"/>
          <w:sz w:val="24"/>
        </w:rPr>
        <w:t>江苏省房屋建筑和市政基础设施工程施工招标投标部分用表（格式）</w:t>
      </w:r>
      <w:r>
        <w:rPr>
          <w:rFonts w:eastAsia="方正仿宋_GBK"/>
          <w:snapToGrid w:val="0"/>
          <w:color w:val="000000"/>
          <w:kern w:val="32"/>
          <w:sz w:val="24"/>
        </w:rPr>
        <w:t xml:space="preserve"> </w:t>
      </w:r>
    </w:p>
    <w:p>
      <w:pPr>
        <w:tabs>
          <w:tab w:val="left" w:pos="1442"/>
        </w:tabs>
        <w:autoSpaceDE w:val="0"/>
        <w:autoSpaceDN w:val="0"/>
        <w:adjustRightInd w:val="0"/>
        <w:snapToGrid w:val="0"/>
        <w:spacing w:line="480" w:lineRule="exact"/>
        <w:ind w:left="2987" w:leftChars="1450" w:right="103" w:rightChars="50"/>
        <w:jc w:val="center"/>
        <w:rPr>
          <w:rFonts w:eastAsia="方正仿宋_GBK"/>
          <w:snapToGrid w:val="0"/>
          <w:color w:val="000000"/>
          <w:kern w:val="0"/>
          <w:sz w:val="24"/>
        </w:rPr>
      </w:pPr>
    </w:p>
    <w:p>
      <w:pPr>
        <w:tabs>
          <w:tab w:val="left" w:pos="1442"/>
        </w:tabs>
        <w:autoSpaceDE w:val="0"/>
        <w:autoSpaceDN w:val="0"/>
        <w:adjustRightInd w:val="0"/>
        <w:snapToGrid w:val="0"/>
        <w:spacing w:line="480" w:lineRule="exact"/>
        <w:ind w:left="2987" w:leftChars="1450" w:right="103" w:rightChars="50"/>
        <w:jc w:val="center"/>
        <w:rPr>
          <w:rFonts w:eastAsia="方正仿宋_GBK"/>
          <w:snapToGrid w:val="0"/>
          <w:color w:val="000000"/>
          <w:kern w:val="0"/>
          <w:sz w:val="24"/>
        </w:rPr>
      </w:pPr>
      <w:r>
        <w:rPr>
          <w:rFonts w:hint="eastAsia" w:eastAsia="方正仿宋_GBK"/>
          <w:snapToGrid w:val="0"/>
          <w:color w:val="000000"/>
          <w:kern w:val="0"/>
          <w:sz w:val="24"/>
        </w:rPr>
        <w:t>江苏省住房和城乡建设厅</w:t>
      </w:r>
    </w:p>
    <w:p>
      <w:pPr>
        <w:autoSpaceDE w:val="0"/>
        <w:autoSpaceDN w:val="0"/>
        <w:adjustRightInd w:val="0"/>
        <w:snapToGrid w:val="0"/>
        <w:spacing w:line="480" w:lineRule="exact"/>
        <w:ind w:left="2987" w:leftChars="1450" w:right="103" w:rightChars="50"/>
        <w:jc w:val="center"/>
        <w:rPr>
          <w:rFonts w:eastAsia="方正仿宋_GBK"/>
          <w:snapToGrid w:val="0"/>
          <w:color w:val="000000"/>
          <w:kern w:val="0"/>
          <w:sz w:val="24"/>
        </w:rPr>
      </w:pPr>
      <w:r>
        <w:rPr>
          <w:rFonts w:eastAsia="方正仿宋_GBK"/>
          <w:snapToGrid w:val="0"/>
          <w:color w:val="000000"/>
          <w:kern w:val="0"/>
          <w:sz w:val="24"/>
        </w:rPr>
        <w:t>2017</w:t>
      </w:r>
      <w:r>
        <w:rPr>
          <w:rFonts w:hint="eastAsia" w:eastAsia="方正仿宋_GBK"/>
          <w:snapToGrid w:val="0"/>
          <w:color w:val="000000"/>
          <w:kern w:val="0"/>
          <w:sz w:val="24"/>
        </w:rPr>
        <w:t>年</w:t>
      </w:r>
      <w:r>
        <w:rPr>
          <w:rFonts w:eastAsia="方正仿宋_GBK"/>
          <w:snapToGrid w:val="0"/>
          <w:color w:val="000000"/>
          <w:kern w:val="0"/>
          <w:sz w:val="24"/>
        </w:rPr>
        <w:t>##</w:t>
      </w:r>
      <w:r>
        <w:rPr>
          <w:rFonts w:hint="eastAsia" w:eastAsia="方正仿宋_GBK"/>
          <w:snapToGrid w:val="0"/>
          <w:color w:val="000000"/>
          <w:kern w:val="0"/>
          <w:sz w:val="24"/>
        </w:rPr>
        <w:t>月</w:t>
      </w:r>
      <w:r>
        <w:rPr>
          <w:rFonts w:eastAsia="方正仿宋_GBK"/>
          <w:snapToGrid w:val="0"/>
          <w:color w:val="000000"/>
          <w:kern w:val="0"/>
          <w:sz w:val="24"/>
        </w:rPr>
        <w:t>##</w:t>
      </w:r>
      <w:r>
        <w:rPr>
          <w:rFonts w:hint="eastAsia" w:eastAsia="方正仿宋_GBK"/>
          <w:snapToGrid w:val="0"/>
          <w:color w:val="000000"/>
          <w:kern w:val="0"/>
          <w:sz w:val="24"/>
        </w:rPr>
        <w:t>日</w:t>
      </w:r>
    </w:p>
    <w:p>
      <w:pPr>
        <w:autoSpaceDE w:val="0"/>
        <w:autoSpaceDN w:val="0"/>
        <w:snapToGrid w:val="0"/>
        <w:spacing w:line="480" w:lineRule="exact"/>
        <w:ind w:firstLine="624"/>
        <w:rPr>
          <w:rFonts w:eastAsia="方正仿宋_GBK"/>
          <w:snapToGrid w:val="0"/>
          <w:color w:val="000000"/>
          <w:kern w:val="0"/>
          <w:sz w:val="28"/>
          <w:szCs w:val="28"/>
        </w:rPr>
      </w:pPr>
      <w:r>
        <w:rPr>
          <w:rFonts w:hint="eastAsia" w:eastAsia="方正仿宋_GBK"/>
          <w:snapToGrid w:val="0"/>
          <w:color w:val="000000"/>
          <w:kern w:val="0"/>
          <w:sz w:val="24"/>
        </w:rPr>
        <w:t>（此件公开发布）</w:t>
      </w:r>
    </w:p>
    <w:p>
      <w:pPr>
        <w:spacing w:line="570" w:lineRule="exact"/>
        <w:rPr>
          <w:rFonts w:ascii="Times New Roman" w:eastAsia="方正黑体_GBK"/>
          <w:snapToGrid w:val="0"/>
          <w:color w:val="000000"/>
          <w:kern w:val="0"/>
          <w:sz w:val="32"/>
        </w:rPr>
      </w:pPr>
    </w:p>
    <w:p>
      <w:pPr>
        <w:spacing w:line="570" w:lineRule="exact"/>
        <w:rPr>
          <w:rFonts w:hint="eastAsia" w:ascii="Times New Roman" w:eastAsia="方正黑体_GBK"/>
          <w:snapToGrid w:val="0"/>
          <w:color w:val="000000"/>
          <w:kern w:val="0"/>
          <w:sz w:val="32"/>
        </w:rPr>
      </w:pPr>
    </w:p>
    <w:p>
      <w:pPr>
        <w:spacing w:line="570" w:lineRule="exact"/>
        <w:rPr>
          <w:rFonts w:hint="eastAsia" w:ascii="Times New Roman" w:eastAsia="方正黑体_GBK"/>
          <w:snapToGrid w:val="0"/>
          <w:color w:val="000000"/>
          <w:kern w:val="0"/>
          <w:sz w:val="32"/>
        </w:rPr>
      </w:pPr>
    </w:p>
    <w:p>
      <w:pPr>
        <w:spacing w:line="570" w:lineRule="exact"/>
        <w:rPr>
          <w:rFonts w:hint="eastAsia" w:ascii="Times New Roman" w:eastAsia="方正黑体_GBK"/>
          <w:snapToGrid w:val="0"/>
          <w:color w:val="000000"/>
          <w:kern w:val="0"/>
          <w:sz w:val="32"/>
        </w:rPr>
      </w:pPr>
    </w:p>
    <w:p>
      <w:pPr>
        <w:spacing w:line="570" w:lineRule="exact"/>
        <w:rPr>
          <w:rFonts w:hint="eastAsia" w:ascii="Times New Roman" w:eastAsia="方正黑体_GBK"/>
          <w:snapToGrid w:val="0"/>
          <w:color w:val="000000"/>
          <w:kern w:val="0"/>
          <w:sz w:val="32"/>
        </w:rPr>
      </w:pPr>
    </w:p>
    <w:p>
      <w:pPr>
        <w:spacing w:line="570" w:lineRule="exact"/>
        <w:rPr>
          <w:rFonts w:hint="eastAsia" w:ascii="Times New Roman" w:eastAsia="方正黑体_GBK"/>
          <w:snapToGrid w:val="0"/>
          <w:color w:val="000000"/>
          <w:kern w:val="0"/>
          <w:sz w:val="32"/>
        </w:rPr>
      </w:pPr>
    </w:p>
    <w:p>
      <w:pPr>
        <w:spacing w:line="570" w:lineRule="exact"/>
        <w:rPr>
          <w:rFonts w:hint="eastAsia" w:ascii="Times New Roman" w:eastAsia="方正黑体_GBK"/>
          <w:snapToGrid w:val="0"/>
          <w:color w:val="000000"/>
          <w:kern w:val="0"/>
          <w:sz w:val="32"/>
        </w:rPr>
      </w:pPr>
    </w:p>
    <w:p>
      <w:pPr>
        <w:spacing w:line="570" w:lineRule="exact"/>
        <w:rPr>
          <w:rFonts w:hint="eastAsia" w:ascii="Times New Roman" w:eastAsia="方正黑体_GBK"/>
          <w:snapToGrid w:val="0"/>
          <w:color w:val="000000"/>
          <w:kern w:val="0"/>
          <w:sz w:val="32"/>
        </w:rPr>
      </w:pPr>
      <w:r>
        <w:rPr>
          <w:rFonts w:hint="eastAsia" w:ascii="Times New Roman" w:eastAsia="方正黑体_GBK"/>
          <w:snapToGrid w:val="0"/>
          <w:color w:val="000000"/>
          <w:kern w:val="0"/>
          <w:sz w:val="32"/>
        </w:rPr>
        <w:br w:type="column"/>
      </w:r>
      <w:r>
        <w:rPr>
          <w:rFonts w:hint="eastAsia" w:ascii="Times New Roman" w:eastAsia="方正黑体_GBK"/>
          <w:snapToGrid w:val="0"/>
          <w:color w:val="000000"/>
          <w:kern w:val="0"/>
          <w:sz w:val="32"/>
        </w:rPr>
        <w:t>附件1</w:t>
      </w:r>
    </w:p>
    <w:p>
      <w:pPr>
        <w:tabs>
          <w:tab w:val="left" w:pos="0"/>
        </w:tabs>
        <w:spacing w:line="540" w:lineRule="exact"/>
        <w:ind w:right="-36"/>
        <w:rPr>
          <w:rFonts w:hint="eastAsia" w:ascii="Times New Roman" w:hAnsi="Times New Roman" w:eastAsia="方正仿宋_GBK" w:cs="宋体"/>
          <w:b/>
          <w:color w:val="000000"/>
          <w:kern w:val="0"/>
          <w:sz w:val="28"/>
          <w:szCs w:val="28"/>
        </w:rPr>
      </w:pPr>
    </w:p>
    <w:p>
      <w:pPr>
        <w:spacing w:line="570" w:lineRule="exact"/>
        <w:jc w:val="center"/>
        <w:rPr>
          <w:rFonts w:hint="eastAsia" w:ascii="Times New Roman" w:eastAsia="方正小标宋_GBK"/>
          <w:snapToGrid w:val="0"/>
          <w:color w:val="000000"/>
          <w:kern w:val="0"/>
          <w:sz w:val="44"/>
          <w:szCs w:val="44"/>
        </w:rPr>
      </w:pPr>
      <w:r>
        <w:rPr>
          <w:rFonts w:hint="eastAsia" w:ascii="Times New Roman" w:eastAsia="方正小标宋_GBK"/>
          <w:snapToGrid w:val="0"/>
          <w:color w:val="000000"/>
          <w:kern w:val="0"/>
          <w:sz w:val="44"/>
          <w:szCs w:val="44"/>
        </w:rPr>
        <w:t>相关概念定义</w:t>
      </w:r>
    </w:p>
    <w:p>
      <w:pPr>
        <w:tabs>
          <w:tab w:val="left" w:pos="0"/>
        </w:tabs>
        <w:spacing w:line="540" w:lineRule="exact"/>
        <w:ind w:right="-36"/>
        <w:jc w:val="center"/>
        <w:rPr>
          <w:rFonts w:hint="eastAsia" w:eastAsia="方正仿宋_GBK"/>
          <w:snapToGrid w:val="0"/>
          <w:color w:val="000000"/>
          <w:kern w:val="32"/>
          <w:sz w:val="32"/>
        </w:rPr>
      </w:pPr>
    </w:p>
    <w:p>
      <w:pPr>
        <w:tabs>
          <w:tab w:val="left" w:pos="0"/>
        </w:tabs>
        <w:spacing w:line="480" w:lineRule="exact"/>
        <w:ind w:right="-34" w:firstLine="476" w:firstLineChars="202"/>
        <w:rPr>
          <w:rFonts w:eastAsia="方正仿宋_GBK"/>
          <w:snapToGrid w:val="0"/>
          <w:color w:val="000000"/>
          <w:kern w:val="32"/>
          <w:sz w:val="24"/>
        </w:rPr>
      </w:pPr>
      <w:r>
        <w:rPr>
          <w:rFonts w:eastAsia="方正仿宋_GBK"/>
          <w:snapToGrid w:val="0"/>
          <w:color w:val="000000"/>
          <w:kern w:val="32"/>
          <w:sz w:val="24"/>
        </w:rPr>
        <w:t>1</w:t>
      </w:r>
      <w:r>
        <w:rPr>
          <w:rFonts w:hint="eastAsia" w:eastAsia="方正仿宋_GBK"/>
          <w:snapToGrid w:val="0"/>
          <w:color w:val="000000"/>
          <w:kern w:val="32"/>
          <w:sz w:val="24"/>
        </w:rPr>
        <w:t>、工程分类</w:t>
      </w:r>
    </w:p>
    <w:p>
      <w:pPr>
        <w:tabs>
          <w:tab w:val="left" w:pos="0"/>
        </w:tabs>
        <w:spacing w:line="480" w:lineRule="exact"/>
        <w:ind w:right="-34" w:firstLine="476" w:firstLineChars="202"/>
        <w:rPr>
          <w:rFonts w:eastAsia="方正仿宋_GBK"/>
          <w:snapToGrid w:val="0"/>
          <w:color w:val="000000"/>
          <w:kern w:val="32"/>
          <w:sz w:val="24"/>
        </w:rPr>
      </w:pPr>
      <w:r>
        <w:rPr>
          <w:rFonts w:hint="eastAsia" w:eastAsia="方正仿宋_GBK"/>
          <w:snapToGrid w:val="0"/>
          <w:color w:val="000000"/>
          <w:kern w:val="32"/>
          <w:sz w:val="24"/>
        </w:rPr>
        <w:t>特大型工程是指施工单项合同估算价在</w:t>
      </w:r>
      <w:r>
        <w:rPr>
          <w:rFonts w:eastAsia="方正仿宋_GBK"/>
          <w:snapToGrid w:val="0"/>
          <w:color w:val="000000"/>
          <w:kern w:val="32"/>
          <w:sz w:val="24"/>
        </w:rPr>
        <w:t>10000</w:t>
      </w:r>
      <w:r>
        <w:rPr>
          <w:rFonts w:hint="eastAsia" w:eastAsia="方正仿宋_GBK"/>
          <w:snapToGrid w:val="0"/>
          <w:color w:val="000000"/>
          <w:kern w:val="32"/>
          <w:sz w:val="24"/>
        </w:rPr>
        <w:t>万元以上的房屋建筑和市政基础设施总承包工程，单项合同估算价在</w:t>
      </w:r>
      <w:r>
        <w:rPr>
          <w:rFonts w:eastAsia="方正仿宋_GBK"/>
          <w:snapToGrid w:val="0"/>
          <w:color w:val="000000"/>
          <w:kern w:val="32"/>
          <w:sz w:val="24"/>
        </w:rPr>
        <w:t>5000</w:t>
      </w:r>
      <w:r>
        <w:rPr>
          <w:rFonts w:hint="eastAsia" w:eastAsia="方正仿宋_GBK"/>
          <w:snapToGrid w:val="0"/>
          <w:color w:val="000000"/>
          <w:kern w:val="32"/>
          <w:sz w:val="24"/>
        </w:rPr>
        <w:t>万元以上的装饰装修、安装、钢结构、幕墙工程，单项合同估算价在</w:t>
      </w:r>
      <w:r>
        <w:rPr>
          <w:rFonts w:eastAsia="方正仿宋_GBK"/>
          <w:snapToGrid w:val="0"/>
          <w:color w:val="000000"/>
          <w:kern w:val="32"/>
          <w:sz w:val="24"/>
        </w:rPr>
        <w:t>2000</w:t>
      </w:r>
      <w:r>
        <w:rPr>
          <w:rFonts w:hint="eastAsia" w:eastAsia="方正仿宋_GBK"/>
          <w:snapToGrid w:val="0"/>
          <w:color w:val="000000"/>
          <w:kern w:val="32"/>
          <w:sz w:val="24"/>
        </w:rPr>
        <w:t>万元以上的智能化、土石方、桩基、基坑支护、园林绿化等专业工程。</w:t>
      </w:r>
    </w:p>
    <w:p>
      <w:pPr>
        <w:tabs>
          <w:tab w:val="left" w:pos="0"/>
        </w:tabs>
        <w:spacing w:line="480" w:lineRule="exact"/>
        <w:ind w:right="-34" w:firstLine="476" w:firstLineChars="202"/>
        <w:rPr>
          <w:rFonts w:eastAsia="方正仿宋_GBK"/>
          <w:snapToGrid w:val="0"/>
          <w:color w:val="000000"/>
          <w:kern w:val="32"/>
          <w:sz w:val="24"/>
        </w:rPr>
      </w:pPr>
      <w:r>
        <w:rPr>
          <w:rFonts w:hint="eastAsia" w:eastAsia="方正仿宋_GBK"/>
          <w:snapToGrid w:val="0"/>
          <w:color w:val="000000"/>
          <w:kern w:val="32"/>
          <w:sz w:val="24"/>
        </w:rPr>
        <w:t>大型工程是指施工单项合同估算价在</w:t>
      </w:r>
      <w:r>
        <w:rPr>
          <w:rFonts w:eastAsia="方正仿宋_GBK"/>
          <w:snapToGrid w:val="0"/>
          <w:color w:val="000000"/>
          <w:kern w:val="32"/>
          <w:sz w:val="24"/>
        </w:rPr>
        <w:t>5000</w:t>
      </w:r>
      <w:r>
        <w:rPr>
          <w:rFonts w:hint="eastAsia" w:eastAsia="方正仿宋_GBK"/>
          <w:snapToGrid w:val="0"/>
          <w:color w:val="000000"/>
          <w:kern w:val="32"/>
          <w:sz w:val="24"/>
        </w:rPr>
        <w:t>万元</w:t>
      </w:r>
      <w:r>
        <w:rPr>
          <w:rFonts w:eastAsia="方正仿宋_GBK"/>
          <w:snapToGrid w:val="0"/>
          <w:color w:val="000000"/>
          <w:kern w:val="32"/>
          <w:sz w:val="24"/>
        </w:rPr>
        <w:t>-10000</w:t>
      </w:r>
      <w:r>
        <w:rPr>
          <w:rFonts w:hint="eastAsia" w:eastAsia="方正仿宋_GBK"/>
          <w:snapToGrid w:val="0"/>
          <w:color w:val="000000"/>
          <w:kern w:val="32"/>
          <w:sz w:val="24"/>
        </w:rPr>
        <w:t>万元的房屋建筑和市政基础设施总承包工程，单项合同估算价在</w:t>
      </w:r>
      <w:r>
        <w:rPr>
          <w:rFonts w:eastAsia="方正仿宋_GBK"/>
          <w:snapToGrid w:val="0"/>
          <w:color w:val="000000"/>
          <w:kern w:val="32"/>
          <w:sz w:val="24"/>
        </w:rPr>
        <w:t>2000</w:t>
      </w:r>
      <w:r>
        <w:rPr>
          <w:rFonts w:hint="eastAsia" w:eastAsia="方正仿宋_GBK"/>
          <w:snapToGrid w:val="0"/>
          <w:color w:val="000000"/>
          <w:kern w:val="32"/>
          <w:sz w:val="24"/>
        </w:rPr>
        <w:t>万元</w:t>
      </w:r>
      <w:r>
        <w:rPr>
          <w:rFonts w:eastAsia="方正仿宋_GBK"/>
          <w:snapToGrid w:val="0"/>
          <w:color w:val="000000"/>
          <w:kern w:val="32"/>
          <w:sz w:val="24"/>
        </w:rPr>
        <w:t>-5000</w:t>
      </w:r>
      <w:r>
        <w:rPr>
          <w:rFonts w:hint="eastAsia" w:eastAsia="方正仿宋_GBK"/>
          <w:snapToGrid w:val="0"/>
          <w:color w:val="000000"/>
          <w:kern w:val="32"/>
          <w:sz w:val="24"/>
        </w:rPr>
        <w:t>万元的装饰装修、安装、钢结构、幕墙工程，单项合同估算价在</w:t>
      </w:r>
      <w:r>
        <w:rPr>
          <w:rFonts w:eastAsia="方正仿宋_GBK"/>
          <w:snapToGrid w:val="0"/>
          <w:color w:val="000000"/>
          <w:kern w:val="32"/>
          <w:sz w:val="24"/>
        </w:rPr>
        <w:t>1000</w:t>
      </w:r>
      <w:r>
        <w:rPr>
          <w:rFonts w:hint="eastAsia" w:eastAsia="方正仿宋_GBK"/>
          <w:snapToGrid w:val="0"/>
          <w:color w:val="000000"/>
          <w:kern w:val="32"/>
          <w:sz w:val="24"/>
        </w:rPr>
        <w:t>万元</w:t>
      </w:r>
      <w:r>
        <w:rPr>
          <w:rFonts w:eastAsia="方正仿宋_GBK"/>
          <w:snapToGrid w:val="0"/>
          <w:color w:val="000000"/>
          <w:kern w:val="32"/>
          <w:sz w:val="24"/>
        </w:rPr>
        <w:t>-2000</w:t>
      </w:r>
      <w:r>
        <w:rPr>
          <w:rFonts w:hint="eastAsia" w:eastAsia="方正仿宋_GBK"/>
          <w:snapToGrid w:val="0"/>
          <w:color w:val="000000"/>
          <w:kern w:val="32"/>
          <w:sz w:val="24"/>
        </w:rPr>
        <w:t>万元的智能化、土石方、桩基、基坑支护、园林绿化等专业工程。</w:t>
      </w:r>
    </w:p>
    <w:p>
      <w:pPr>
        <w:tabs>
          <w:tab w:val="left" w:pos="0"/>
        </w:tabs>
        <w:spacing w:line="480" w:lineRule="exact"/>
        <w:ind w:right="-34" w:firstLine="476" w:firstLineChars="202"/>
        <w:rPr>
          <w:rFonts w:eastAsia="方正仿宋_GBK"/>
          <w:snapToGrid w:val="0"/>
          <w:color w:val="000000"/>
          <w:kern w:val="32"/>
          <w:sz w:val="24"/>
        </w:rPr>
      </w:pPr>
      <w:r>
        <w:rPr>
          <w:rFonts w:hint="eastAsia" w:eastAsia="方正仿宋_GBK"/>
          <w:snapToGrid w:val="0"/>
          <w:color w:val="000000"/>
          <w:kern w:val="32"/>
          <w:sz w:val="24"/>
        </w:rPr>
        <w:t>中型工程是指施工单项合同估算价在</w:t>
      </w:r>
      <w:r>
        <w:rPr>
          <w:rFonts w:eastAsia="方正仿宋_GBK"/>
          <w:snapToGrid w:val="0"/>
          <w:color w:val="000000"/>
          <w:kern w:val="32"/>
          <w:sz w:val="24"/>
        </w:rPr>
        <w:t>1000</w:t>
      </w:r>
      <w:r>
        <w:rPr>
          <w:rFonts w:hint="eastAsia" w:eastAsia="方正仿宋_GBK"/>
          <w:snapToGrid w:val="0"/>
          <w:color w:val="000000"/>
          <w:kern w:val="32"/>
          <w:sz w:val="24"/>
        </w:rPr>
        <w:t>万元</w:t>
      </w:r>
      <w:r>
        <w:rPr>
          <w:rFonts w:eastAsia="方正仿宋_GBK"/>
          <w:snapToGrid w:val="0"/>
          <w:color w:val="000000"/>
          <w:kern w:val="32"/>
          <w:sz w:val="24"/>
        </w:rPr>
        <w:t>-5000</w:t>
      </w:r>
      <w:r>
        <w:rPr>
          <w:rFonts w:hint="eastAsia" w:eastAsia="方正仿宋_GBK"/>
          <w:snapToGrid w:val="0"/>
          <w:color w:val="000000"/>
          <w:kern w:val="32"/>
          <w:sz w:val="24"/>
        </w:rPr>
        <w:t>万元的房屋建筑和市政基础设施总承包工程，单项合同估算价在</w:t>
      </w:r>
      <w:r>
        <w:rPr>
          <w:rFonts w:eastAsia="方正仿宋_GBK"/>
          <w:snapToGrid w:val="0"/>
          <w:color w:val="000000"/>
          <w:kern w:val="32"/>
          <w:sz w:val="24"/>
        </w:rPr>
        <w:t>500</w:t>
      </w:r>
      <w:r>
        <w:rPr>
          <w:rFonts w:hint="eastAsia" w:eastAsia="方正仿宋_GBK"/>
          <w:snapToGrid w:val="0"/>
          <w:color w:val="000000"/>
          <w:kern w:val="32"/>
          <w:sz w:val="24"/>
        </w:rPr>
        <w:t>万元</w:t>
      </w:r>
      <w:r>
        <w:rPr>
          <w:rFonts w:eastAsia="方正仿宋_GBK"/>
          <w:snapToGrid w:val="0"/>
          <w:color w:val="000000"/>
          <w:kern w:val="32"/>
          <w:sz w:val="24"/>
        </w:rPr>
        <w:t>-2000</w:t>
      </w:r>
      <w:r>
        <w:rPr>
          <w:rFonts w:hint="eastAsia" w:eastAsia="方正仿宋_GBK"/>
          <w:snapToGrid w:val="0"/>
          <w:color w:val="000000"/>
          <w:kern w:val="32"/>
          <w:sz w:val="24"/>
        </w:rPr>
        <w:t>万元的装饰装修、安装、钢结构、幕墙工程，单项合同估算价在</w:t>
      </w:r>
      <w:r>
        <w:rPr>
          <w:rFonts w:eastAsia="方正仿宋_GBK"/>
          <w:snapToGrid w:val="0"/>
          <w:color w:val="000000"/>
          <w:kern w:val="32"/>
          <w:sz w:val="24"/>
        </w:rPr>
        <w:t>300</w:t>
      </w:r>
      <w:r>
        <w:rPr>
          <w:rFonts w:hint="eastAsia" w:eastAsia="方正仿宋_GBK"/>
          <w:snapToGrid w:val="0"/>
          <w:color w:val="000000"/>
          <w:kern w:val="32"/>
          <w:sz w:val="24"/>
        </w:rPr>
        <w:t>万元</w:t>
      </w:r>
      <w:r>
        <w:rPr>
          <w:rFonts w:eastAsia="方正仿宋_GBK"/>
          <w:snapToGrid w:val="0"/>
          <w:color w:val="000000"/>
          <w:kern w:val="32"/>
          <w:sz w:val="24"/>
        </w:rPr>
        <w:t>-1000</w:t>
      </w:r>
      <w:r>
        <w:rPr>
          <w:rFonts w:hint="eastAsia" w:eastAsia="方正仿宋_GBK"/>
          <w:snapToGrid w:val="0"/>
          <w:color w:val="000000"/>
          <w:kern w:val="32"/>
          <w:sz w:val="24"/>
        </w:rPr>
        <w:t>万元的智能化、土石方、桩基、基坑支护、园林绿化等专业工程。</w:t>
      </w:r>
    </w:p>
    <w:p>
      <w:pPr>
        <w:tabs>
          <w:tab w:val="left" w:pos="0"/>
        </w:tabs>
        <w:spacing w:line="480" w:lineRule="exact"/>
        <w:ind w:right="-34" w:firstLine="476" w:firstLineChars="202"/>
        <w:rPr>
          <w:rFonts w:eastAsia="方正仿宋_GBK"/>
          <w:snapToGrid w:val="0"/>
          <w:color w:val="000000"/>
          <w:kern w:val="32"/>
          <w:sz w:val="24"/>
        </w:rPr>
      </w:pPr>
      <w:r>
        <w:rPr>
          <w:rFonts w:hint="eastAsia" w:eastAsia="方正仿宋_GBK"/>
          <w:snapToGrid w:val="0"/>
          <w:color w:val="000000"/>
          <w:kern w:val="32"/>
          <w:sz w:val="24"/>
        </w:rPr>
        <w:t>小型工程是指中型规模以下工程。各省辖市建设行政主管部门可以根据当地实际，对上述规模进行适当调整。</w:t>
      </w:r>
    </w:p>
    <w:p>
      <w:pPr>
        <w:tabs>
          <w:tab w:val="left" w:pos="0"/>
        </w:tabs>
        <w:spacing w:line="480" w:lineRule="exact"/>
        <w:ind w:right="-34" w:firstLine="476" w:firstLineChars="202"/>
        <w:rPr>
          <w:rFonts w:eastAsia="方正仿宋_GBK"/>
          <w:snapToGrid w:val="0"/>
          <w:color w:val="000000"/>
          <w:kern w:val="32"/>
          <w:sz w:val="24"/>
        </w:rPr>
      </w:pPr>
      <w:r>
        <w:rPr>
          <w:rFonts w:eastAsia="方正仿宋_GBK"/>
          <w:snapToGrid w:val="0"/>
          <w:color w:val="000000"/>
          <w:kern w:val="32"/>
          <w:sz w:val="24"/>
        </w:rPr>
        <w:t>2</w:t>
      </w:r>
      <w:r>
        <w:rPr>
          <w:rFonts w:hint="eastAsia" w:eastAsia="方正仿宋_GBK"/>
          <w:snapToGrid w:val="0"/>
          <w:color w:val="000000"/>
          <w:kern w:val="32"/>
          <w:sz w:val="24"/>
        </w:rPr>
        <w:t>、技术复杂工程</w:t>
      </w:r>
    </w:p>
    <w:p>
      <w:pPr>
        <w:tabs>
          <w:tab w:val="left" w:pos="0"/>
        </w:tabs>
        <w:spacing w:line="480" w:lineRule="exact"/>
        <w:ind w:right="-34" w:firstLine="476" w:firstLineChars="202"/>
        <w:rPr>
          <w:rFonts w:eastAsia="方正仿宋_GBK"/>
          <w:snapToGrid w:val="0"/>
          <w:color w:val="000000"/>
          <w:kern w:val="32"/>
          <w:sz w:val="24"/>
        </w:rPr>
      </w:pPr>
      <w:r>
        <w:rPr>
          <w:rFonts w:hint="eastAsia" w:eastAsia="方正仿宋_GBK"/>
          <w:snapToGrid w:val="0"/>
          <w:color w:val="000000"/>
          <w:kern w:val="32"/>
          <w:sz w:val="24"/>
        </w:rPr>
        <w:t>（</w:t>
      </w:r>
      <w:r>
        <w:rPr>
          <w:rFonts w:eastAsia="方正仿宋_GBK"/>
          <w:snapToGrid w:val="0"/>
          <w:color w:val="000000"/>
          <w:kern w:val="32"/>
          <w:sz w:val="24"/>
        </w:rPr>
        <w:t>1</w:t>
      </w:r>
      <w:r>
        <w:rPr>
          <w:rFonts w:hint="eastAsia" w:eastAsia="方正仿宋_GBK"/>
          <w:snapToGrid w:val="0"/>
          <w:color w:val="000000"/>
          <w:kern w:val="32"/>
          <w:sz w:val="24"/>
        </w:rPr>
        <w:t>）房屋建筑：建筑高度</w:t>
      </w:r>
      <w:r>
        <w:rPr>
          <w:rFonts w:eastAsia="方正仿宋_GBK"/>
          <w:snapToGrid w:val="0"/>
          <w:color w:val="000000"/>
          <w:kern w:val="32"/>
          <w:sz w:val="24"/>
        </w:rPr>
        <w:t>100</w:t>
      </w:r>
      <w:r>
        <w:rPr>
          <w:rFonts w:hint="eastAsia" w:eastAsia="方正仿宋_GBK"/>
          <w:snapToGrid w:val="0"/>
          <w:color w:val="000000"/>
          <w:kern w:val="32"/>
          <w:sz w:val="24"/>
        </w:rPr>
        <w:t>米以上、单跨跨度</w:t>
      </w:r>
      <w:r>
        <w:rPr>
          <w:rFonts w:eastAsia="方正仿宋_GBK"/>
          <w:snapToGrid w:val="0"/>
          <w:color w:val="000000"/>
          <w:kern w:val="32"/>
          <w:sz w:val="24"/>
        </w:rPr>
        <w:t>39</w:t>
      </w:r>
      <w:r>
        <w:rPr>
          <w:rFonts w:hint="eastAsia" w:eastAsia="方正仿宋_GBK"/>
          <w:snapToGrid w:val="0"/>
          <w:color w:val="000000"/>
          <w:kern w:val="32"/>
          <w:sz w:val="24"/>
        </w:rPr>
        <w:t>米以上或者单体建筑面积</w:t>
      </w:r>
      <w:r>
        <w:rPr>
          <w:rFonts w:eastAsia="方正仿宋_GBK"/>
          <w:snapToGrid w:val="0"/>
          <w:color w:val="000000"/>
          <w:kern w:val="32"/>
          <w:sz w:val="24"/>
        </w:rPr>
        <w:t>10</w:t>
      </w:r>
      <w:r>
        <w:rPr>
          <w:rFonts w:hint="eastAsia" w:eastAsia="方正仿宋_GBK"/>
          <w:snapToGrid w:val="0"/>
          <w:color w:val="000000"/>
          <w:kern w:val="32"/>
          <w:sz w:val="24"/>
        </w:rPr>
        <w:t>万平米以上建筑物；</w:t>
      </w:r>
      <w:r>
        <w:rPr>
          <w:rFonts w:eastAsia="方正仿宋_GBK"/>
          <w:snapToGrid w:val="0"/>
          <w:color w:val="000000"/>
          <w:kern w:val="32"/>
          <w:sz w:val="24"/>
        </w:rPr>
        <w:t>75</w:t>
      </w:r>
      <w:r>
        <w:rPr>
          <w:rFonts w:hint="eastAsia" w:eastAsia="方正仿宋_GBK"/>
          <w:snapToGrid w:val="0"/>
          <w:color w:val="000000"/>
          <w:kern w:val="32"/>
          <w:sz w:val="24"/>
        </w:rPr>
        <w:t>米以上大跨度钢结构工程；高度</w:t>
      </w:r>
      <w:r>
        <w:rPr>
          <w:rFonts w:eastAsia="方正仿宋_GBK"/>
          <w:snapToGrid w:val="0"/>
          <w:color w:val="000000"/>
          <w:kern w:val="32"/>
          <w:sz w:val="24"/>
        </w:rPr>
        <w:t xml:space="preserve">120 </w:t>
      </w:r>
      <w:r>
        <w:rPr>
          <w:rFonts w:hint="eastAsia" w:eastAsia="方正仿宋_GBK"/>
          <w:snapToGrid w:val="0"/>
          <w:color w:val="000000"/>
          <w:kern w:val="32"/>
          <w:sz w:val="24"/>
        </w:rPr>
        <w:t>米以上的高耸构筑物；深度或者高度</w:t>
      </w:r>
      <w:r>
        <w:rPr>
          <w:rFonts w:eastAsia="方正仿宋_GBK"/>
          <w:snapToGrid w:val="0"/>
          <w:color w:val="000000"/>
          <w:kern w:val="32"/>
          <w:sz w:val="24"/>
        </w:rPr>
        <w:t>10</w:t>
      </w:r>
      <w:r>
        <w:rPr>
          <w:rFonts w:hint="eastAsia" w:eastAsia="方正仿宋_GBK"/>
          <w:snapToGrid w:val="0"/>
          <w:color w:val="000000"/>
          <w:kern w:val="32"/>
          <w:sz w:val="24"/>
        </w:rPr>
        <w:t>米以上的深基坑或者边坡支护（局部开挖面积不一致的，超过</w:t>
      </w:r>
      <w:r>
        <w:rPr>
          <w:rFonts w:eastAsia="方正仿宋_GBK"/>
          <w:snapToGrid w:val="0"/>
          <w:color w:val="000000"/>
          <w:kern w:val="32"/>
          <w:sz w:val="24"/>
        </w:rPr>
        <w:t>10</w:t>
      </w:r>
      <w:r>
        <w:rPr>
          <w:rFonts w:hint="eastAsia" w:eastAsia="方正仿宋_GBK"/>
          <w:snapToGrid w:val="0"/>
          <w:color w:val="000000"/>
          <w:kern w:val="32"/>
          <w:sz w:val="24"/>
        </w:rPr>
        <w:t>米深度的基坑面积须超过基坑总开挖面积的</w:t>
      </w:r>
      <w:r>
        <w:rPr>
          <w:rFonts w:eastAsia="方正仿宋_GBK"/>
          <w:snapToGrid w:val="0"/>
          <w:color w:val="000000"/>
          <w:kern w:val="32"/>
          <w:sz w:val="24"/>
        </w:rPr>
        <w:t>50%</w:t>
      </w:r>
      <w:r>
        <w:rPr>
          <w:rFonts w:hint="eastAsia" w:eastAsia="方正仿宋_GBK"/>
          <w:snapToGrid w:val="0"/>
          <w:color w:val="000000"/>
          <w:kern w:val="32"/>
          <w:sz w:val="24"/>
        </w:rPr>
        <w:t>以上）工程；按五星及以上标准设计的宾馆；大型仿古建筑（单体面积</w:t>
      </w:r>
      <w:r>
        <w:rPr>
          <w:rFonts w:eastAsia="方正仿宋_GBK"/>
          <w:snapToGrid w:val="0"/>
          <w:color w:val="000000"/>
          <w:kern w:val="32"/>
          <w:sz w:val="24"/>
        </w:rPr>
        <w:t>1000</w:t>
      </w:r>
      <w:r>
        <w:rPr>
          <w:rFonts w:hint="eastAsia" w:eastAsia="方正仿宋_GBK"/>
          <w:snapToGrid w:val="0"/>
          <w:color w:val="000000"/>
          <w:kern w:val="32"/>
          <w:sz w:val="24"/>
        </w:rPr>
        <w:t>平米以上）；音乐厅、博物馆、体育场馆、影剧院、候机楼、会展中心等大型公共建筑工程；采用装配式等新型技术建设的房屋建筑。</w:t>
      </w:r>
    </w:p>
    <w:p>
      <w:pPr>
        <w:tabs>
          <w:tab w:val="left" w:pos="0"/>
        </w:tabs>
        <w:spacing w:line="480" w:lineRule="exact"/>
        <w:ind w:right="-34" w:firstLine="476" w:firstLineChars="202"/>
        <w:rPr>
          <w:rFonts w:eastAsia="方正仿宋_GBK"/>
          <w:snapToGrid w:val="0"/>
          <w:color w:val="000000"/>
          <w:kern w:val="32"/>
          <w:sz w:val="24"/>
        </w:rPr>
      </w:pPr>
      <w:r>
        <w:rPr>
          <w:rFonts w:hint="eastAsia" w:eastAsia="方正仿宋_GBK"/>
          <w:snapToGrid w:val="0"/>
          <w:color w:val="000000"/>
          <w:kern w:val="32"/>
          <w:sz w:val="24"/>
        </w:rPr>
        <w:t>（</w:t>
      </w:r>
      <w:r>
        <w:rPr>
          <w:rFonts w:eastAsia="方正仿宋_GBK"/>
          <w:snapToGrid w:val="0"/>
          <w:color w:val="000000"/>
          <w:kern w:val="32"/>
          <w:sz w:val="24"/>
        </w:rPr>
        <w:t>2</w:t>
      </w:r>
      <w:r>
        <w:rPr>
          <w:rFonts w:hint="eastAsia" w:eastAsia="方正仿宋_GBK"/>
          <w:snapToGrid w:val="0"/>
          <w:color w:val="000000"/>
          <w:kern w:val="32"/>
          <w:sz w:val="24"/>
        </w:rPr>
        <w:t>）市政工程：断面面积超过</w:t>
      </w:r>
      <w:r>
        <w:rPr>
          <w:rFonts w:eastAsia="方正仿宋_GBK"/>
          <w:snapToGrid w:val="0"/>
          <w:color w:val="000000"/>
          <w:kern w:val="32"/>
          <w:sz w:val="24"/>
        </w:rPr>
        <w:t>25</w:t>
      </w:r>
      <w:r>
        <w:rPr>
          <w:rFonts w:hint="eastAsia" w:eastAsia="方正仿宋_GBK"/>
          <w:snapToGrid w:val="0"/>
          <w:color w:val="000000"/>
          <w:kern w:val="32"/>
          <w:sz w:val="24"/>
        </w:rPr>
        <w:t>平米以上或单洞长度</w:t>
      </w:r>
      <w:r>
        <w:rPr>
          <w:rFonts w:eastAsia="方正仿宋_GBK"/>
          <w:snapToGrid w:val="0"/>
          <w:color w:val="000000"/>
          <w:kern w:val="32"/>
          <w:sz w:val="24"/>
        </w:rPr>
        <w:t>1000</w:t>
      </w:r>
      <w:r>
        <w:rPr>
          <w:rFonts w:hint="eastAsia" w:eastAsia="方正仿宋_GBK"/>
          <w:snapToGrid w:val="0"/>
          <w:color w:val="000000"/>
          <w:kern w:val="32"/>
          <w:sz w:val="24"/>
        </w:rPr>
        <w:t>米以上的隧道工程、单跨</w:t>
      </w:r>
      <w:r>
        <w:rPr>
          <w:rFonts w:eastAsia="方正仿宋_GBK"/>
          <w:snapToGrid w:val="0"/>
          <w:color w:val="000000"/>
          <w:kern w:val="32"/>
          <w:sz w:val="24"/>
        </w:rPr>
        <w:t>45</w:t>
      </w:r>
      <w:r>
        <w:rPr>
          <w:rFonts w:hint="eastAsia" w:eastAsia="方正仿宋_GBK"/>
          <w:snapToGrid w:val="0"/>
          <w:color w:val="000000"/>
          <w:kern w:val="32"/>
          <w:sz w:val="24"/>
        </w:rPr>
        <w:t>米以上的城市桥梁、直径２米以上的大口径顶管工程、</w:t>
      </w:r>
      <w:r>
        <w:rPr>
          <w:rFonts w:eastAsia="方正仿宋_GBK"/>
          <w:snapToGrid w:val="0"/>
          <w:color w:val="000000"/>
          <w:kern w:val="32"/>
          <w:sz w:val="24"/>
        </w:rPr>
        <w:t>15</w:t>
      </w:r>
      <w:r>
        <w:rPr>
          <w:rFonts w:hint="eastAsia" w:eastAsia="方正仿宋_GBK"/>
          <w:snapToGrid w:val="0"/>
          <w:color w:val="000000"/>
          <w:kern w:val="32"/>
          <w:sz w:val="24"/>
        </w:rPr>
        <w:t>万吨</w:t>
      </w:r>
      <w:r>
        <w:rPr>
          <w:rFonts w:eastAsia="方正仿宋_GBK"/>
          <w:snapToGrid w:val="0"/>
          <w:color w:val="000000"/>
          <w:kern w:val="32"/>
          <w:sz w:val="24"/>
        </w:rPr>
        <w:t>/</w:t>
      </w:r>
      <w:r>
        <w:rPr>
          <w:rFonts w:hint="eastAsia" w:eastAsia="方正仿宋_GBK"/>
          <w:snapToGrid w:val="0"/>
          <w:color w:val="000000"/>
          <w:kern w:val="32"/>
          <w:sz w:val="24"/>
        </w:rPr>
        <w:t>日以上污水泵站或雨水泵站、</w:t>
      </w:r>
      <w:r>
        <w:rPr>
          <w:rFonts w:eastAsia="方正仿宋_GBK"/>
          <w:snapToGrid w:val="0"/>
          <w:color w:val="000000"/>
          <w:kern w:val="32"/>
          <w:sz w:val="24"/>
        </w:rPr>
        <w:t xml:space="preserve">25 </w:t>
      </w:r>
      <w:r>
        <w:rPr>
          <w:rFonts w:hint="eastAsia" w:eastAsia="方正仿宋_GBK"/>
          <w:snapToGrid w:val="0"/>
          <w:color w:val="000000"/>
          <w:kern w:val="32"/>
          <w:sz w:val="24"/>
        </w:rPr>
        <w:t>万吨</w:t>
      </w:r>
      <w:r>
        <w:rPr>
          <w:rFonts w:eastAsia="方正仿宋_GBK"/>
          <w:snapToGrid w:val="0"/>
          <w:color w:val="000000"/>
          <w:kern w:val="32"/>
          <w:sz w:val="24"/>
        </w:rPr>
        <w:t>/</w:t>
      </w:r>
      <w:r>
        <w:rPr>
          <w:rFonts w:hint="eastAsia" w:eastAsia="方正仿宋_GBK"/>
          <w:snapToGrid w:val="0"/>
          <w:color w:val="000000"/>
          <w:kern w:val="32"/>
          <w:sz w:val="24"/>
        </w:rPr>
        <w:t>日以上的给水泵站、垃圾处理场、高压或者次高压天然气场站及管线工程、液化天然气（</w:t>
      </w:r>
      <w:r>
        <w:rPr>
          <w:rFonts w:eastAsia="方正仿宋_GBK"/>
          <w:snapToGrid w:val="0"/>
          <w:color w:val="000000"/>
          <w:kern w:val="32"/>
          <w:sz w:val="24"/>
        </w:rPr>
        <w:t>LNG</w:t>
      </w:r>
      <w:r>
        <w:rPr>
          <w:rFonts w:hint="eastAsia" w:eastAsia="方正仿宋_GBK"/>
          <w:snapToGrid w:val="0"/>
          <w:color w:val="000000"/>
          <w:kern w:val="32"/>
          <w:sz w:val="24"/>
        </w:rPr>
        <w:t>）储罐项目、长距离输水隧洞、综合管廊、深度或者高度</w:t>
      </w:r>
      <w:r>
        <w:rPr>
          <w:rFonts w:eastAsia="方正仿宋_GBK"/>
          <w:snapToGrid w:val="0"/>
          <w:color w:val="000000"/>
          <w:kern w:val="32"/>
          <w:sz w:val="24"/>
        </w:rPr>
        <w:t>10</w:t>
      </w:r>
      <w:r>
        <w:rPr>
          <w:rFonts w:hint="eastAsia" w:eastAsia="方正仿宋_GBK"/>
          <w:snapToGrid w:val="0"/>
          <w:color w:val="000000"/>
          <w:kern w:val="32"/>
          <w:sz w:val="24"/>
        </w:rPr>
        <w:t>米以上的深基坑或者边坡支护（局部开挖面积不一致的，超过</w:t>
      </w:r>
      <w:r>
        <w:rPr>
          <w:rFonts w:eastAsia="方正仿宋_GBK"/>
          <w:snapToGrid w:val="0"/>
          <w:color w:val="000000"/>
          <w:kern w:val="32"/>
          <w:sz w:val="24"/>
        </w:rPr>
        <w:t>10</w:t>
      </w:r>
      <w:r>
        <w:rPr>
          <w:rFonts w:hint="eastAsia" w:eastAsia="方正仿宋_GBK"/>
          <w:snapToGrid w:val="0"/>
          <w:color w:val="000000"/>
          <w:kern w:val="32"/>
          <w:sz w:val="24"/>
        </w:rPr>
        <w:t>米深度的基坑面积须超过基坑总开挖面积的</w:t>
      </w:r>
      <w:r>
        <w:rPr>
          <w:rFonts w:eastAsia="方正仿宋_GBK"/>
          <w:snapToGrid w:val="0"/>
          <w:color w:val="000000"/>
          <w:kern w:val="32"/>
          <w:sz w:val="24"/>
        </w:rPr>
        <w:t>50%</w:t>
      </w:r>
      <w:r>
        <w:rPr>
          <w:rFonts w:hint="eastAsia" w:eastAsia="方正仿宋_GBK"/>
          <w:snapToGrid w:val="0"/>
          <w:color w:val="000000"/>
          <w:kern w:val="32"/>
          <w:sz w:val="24"/>
        </w:rPr>
        <w:t>以上）。</w:t>
      </w:r>
    </w:p>
    <w:p>
      <w:pPr>
        <w:tabs>
          <w:tab w:val="left" w:pos="0"/>
        </w:tabs>
        <w:spacing w:line="480" w:lineRule="exact"/>
        <w:ind w:right="-34" w:firstLine="476" w:firstLineChars="202"/>
        <w:rPr>
          <w:rFonts w:eastAsia="方正仿宋_GBK"/>
          <w:snapToGrid w:val="0"/>
          <w:color w:val="000000"/>
          <w:kern w:val="32"/>
          <w:sz w:val="24"/>
        </w:rPr>
      </w:pPr>
      <w:r>
        <w:rPr>
          <w:rFonts w:hint="eastAsia" w:eastAsia="方正仿宋_GBK"/>
          <w:snapToGrid w:val="0"/>
          <w:color w:val="000000"/>
          <w:kern w:val="32"/>
          <w:sz w:val="24"/>
        </w:rPr>
        <w:t>（</w:t>
      </w:r>
      <w:r>
        <w:rPr>
          <w:rFonts w:eastAsia="方正仿宋_GBK"/>
          <w:snapToGrid w:val="0"/>
          <w:color w:val="000000"/>
          <w:kern w:val="32"/>
          <w:sz w:val="24"/>
        </w:rPr>
        <w:t>3</w:t>
      </w:r>
      <w:r>
        <w:rPr>
          <w:rFonts w:hint="eastAsia" w:eastAsia="方正仿宋_GBK"/>
          <w:snapToGrid w:val="0"/>
          <w:color w:val="000000"/>
          <w:kern w:val="32"/>
          <w:sz w:val="24"/>
        </w:rPr>
        <w:t>）轨道交通区间车站主体、轨道铺设、监控信号安装、智能化等有特殊专业要求的工程。</w:t>
      </w:r>
    </w:p>
    <w:p>
      <w:pPr>
        <w:tabs>
          <w:tab w:val="left" w:pos="0"/>
        </w:tabs>
        <w:spacing w:line="480" w:lineRule="exact"/>
        <w:ind w:right="-34" w:firstLine="476" w:firstLineChars="202"/>
        <w:rPr>
          <w:rFonts w:eastAsia="方正仿宋_GBK"/>
          <w:snapToGrid w:val="0"/>
          <w:color w:val="000000"/>
          <w:kern w:val="32"/>
          <w:sz w:val="24"/>
        </w:rPr>
      </w:pPr>
      <w:r>
        <w:rPr>
          <w:rFonts w:hint="eastAsia" w:eastAsia="方正仿宋_GBK"/>
          <w:snapToGrid w:val="0"/>
          <w:color w:val="000000"/>
          <w:kern w:val="32"/>
          <w:sz w:val="24"/>
        </w:rPr>
        <w:t>（</w:t>
      </w:r>
      <w:r>
        <w:rPr>
          <w:rFonts w:eastAsia="方正仿宋_GBK"/>
          <w:snapToGrid w:val="0"/>
          <w:color w:val="000000"/>
          <w:kern w:val="32"/>
          <w:sz w:val="24"/>
        </w:rPr>
        <w:t>4</w:t>
      </w:r>
      <w:r>
        <w:rPr>
          <w:rFonts w:hint="eastAsia" w:eastAsia="方正仿宋_GBK"/>
          <w:snapToGrid w:val="0"/>
          <w:color w:val="000000"/>
          <w:kern w:val="32"/>
          <w:sz w:val="24"/>
        </w:rPr>
        <w:t>）施工有特殊要求或者采用新技术的各类实验（检验）室工程。</w:t>
      </w:r>
    </w:p>
    <w:p>
      <w:pPr>
        <w:tabs>
          <w:tab w:val="left" w:pos="0"/>
        </w:tabs>
        <w:spacing w:line="480" w:lineRule="exact"/>
        <w:ind w:right="-34" w:firstLine="476" w:firstLineChars="202"/>
        <w:rPr>
          <w:rFonts w:eastAsia="方正仿宋_GBK"/>
          <w:snapToGrid w:val="0"/>
          <w:color w:val="000000"/>
          <w:kern w:val="32"/>
          <w:sz w:val="24"/>
        </w:rPr>
      </w:pPr>
      <w:r>
        <w:rPr>
          <w:rFonts w:hint="eastAsia" w:eastAsia="方正仿宋_GBK"/>
          <w:snapToGrid w:val="0"/>
          <w:color w:val="000000"/>
          <w:kern w:val="32"/>
          <w:sz w:val="24"/>
        </w:rPr>
        <w:t>（</w:t>
      </w:r>
      <w:r>
        <w:rPr>
          <w:rFonts w:eastAsia="方正仿宋_GBK"/>
          <w:snapToGrid w:val="0"/>
          <w:color w:val="000000"/>
          <w:kern w:val="32"/>
          <w:sz w:val="24"/>
        </w:rPr>
        <w:t>5</w:t>
      </w:r>
      <w:r>
        <w:rPr>
          <w:rFonts w:hint="eastAsia" w:eastAsia="方正仿宋_GBK"/>
          <w:snapToGrid w:val="0"/>
          <w:color w:val="000000"/>
          <w:kern w:val="32"/>
          <w:sz w:val="24"/>
        </w:rPr>
        <w:t>）其他有特殊专业技术要求的工程。如：采用曲面幕墙、爆破拆除、建筑物平移、金库、大型建筑物的抗震加固工程、大型网架工程等，以及经</w:t>
      </w:r>
      <w:r>
        <w:rPr>
          <w:rFonts w:eastAsia="方正仿宋_GBK"/>
          <w:snapToGrid w:val="0"/>
          <w:color w:val="000000"/>
          <w:kern w:val="32"/>
          <w:sz w:val="24"/>
        </w:rPr>
        <w:t>5</w:t>
      </w:r>
      <w:r>
        <w:rPr>
          <w:rFonts w:hint="eastAsia" w:eastAsia="方正仿宋_GBK"/>
          <w:snapToGrid w:val="0"/>
          <w:color w:val="000000"/>
          <w:kern w:val="32"/>
          <w:sz w:val="24"/>
        </w:rPr>
        <w:t>名以上专家论证确定的其他有特殊专业技术要求的工程。</w:t>
      </w:r>
    </w:p>
    <w:p>
      <w:pPr>
        <w:tabs>
          <w:tab w:val="left" w:pos="0"/>
        </w:tabs>
        <w:spacing w:line="480" w:lineRule="exact"/>
        <w:ind w:right="-34" w:firstLine="476" w:firstLineChars="202"/>
        <w:rPr>
          <w:rFonts w:eastAsia="方正仿宋_GBK"/>
          <w:snapToGrid w:val="0"/>
          <w:color w:val="000000"/>
          <w:kern w:val="32"/>
          <w:sz w:val="24"/>
        </w:rPr>
      </w:pPr>
      <w:r>
        <w:rPr>
          <w:rFonts w:hint="eastAsia" w:eastAsia="方正仿宋_GBK"/>
          <w:snapToGrid w:val="0"/>
          <w:color w:val="000000"/>
          <w:kern w:val="32"/>
          <w:sz w:val="24"/>
        </w:rPr>
        <w:t>上述“工程分类”、“技术复杂工程”仅用于招投标环节，“技术复杂工程”指标段特征符合上述规定；其表述“以上”均包括本数。</w:t>
      </w:r>
    </w:p>
    <w:p>
      <w:pPr>
        <w:tabs>
          <w:tab w:val="left" w:pos="0"/>
        </w:tabs>
        <w:spacing w:line="480" w:lineRule="exact"/>
        <w:ind w:right="-34" w:firstLine="476" w:firstLineChars="202"/>
        <w:rPr>
          <w:rFonts w:eastAsia="方正仿宋_GBK"/>
          <w:snapToGrid w:val="0"/>
          <w:color w:val="000000"/>
          <w:kern w:val="32"/>
          <w:sz w:val="24"/>
        </w:rPr>
      </w:pPr>
      <w:r>
        <w:rPr>
          <w:rFonts w:eastAsia="方正仿宋_GBK"/>
          <w:snapToGrid w:val="0"/>
          <w:color w:val="000000"/>
          <w:kern w:val="32"/>
          <w:sz w:val="24"/>
        </w:rPr>
        <w:t>3</w:t>
      </w:r>
      <w:r>
        <w:rPr>
          <w:rFonts w:hint="eastAsia" w:eastAsia="方正仿宋_GBK"/>
          <w:snapToGrid w:val="0"/>
          <w:color w:val="000000"/>
          <w:kern w:val="32"/>
          <w:sz w:val="24"/>
        </w:rPr>
        <w:t>、类似工程</w:t>
      </w:r>
    </w:p>
    <w:p>
      <w:pPr>
        <w:tabs>
          <w:tab w:val="left" w:pos="0"/>
        </w:tabs>
        <w:spacing w:line="480" w:lineRule="exact"/>
        <w:ind w:right="-34" w:firstLine="476" w:firstLineChars="202"/>
        <w:rPr>
          <w:rFonts w:eastAsia="方正仿宋_GBK"/>
          <w:snapToGrid w:val="0"/>
          <w:color w:val="000000"/>
          <w:kern w:val="32"/>
          <w:sz w:val="24"/>
        </w:rPr>
      </w:pPr>
      <w:r>
        <w:rPr>
          <w:rFonts w:hint="eastAsia" w:eastAsia="方正仿宋_GBK"/>
          <w:snapToGrid w:val="0"/>
          <w:color w:val="000000"/>
          <w:kern w:val="32"/>
          <w:sz w:val="24"/>
        </w:rPr>
        <w:t>类似工程是指项目在高度、面积、造价、层次、跨度、结构形式、施工工艺、特殊施工技术等量化指标与招标工程相类似。</w:t>
      </w:r>
    </w:p>
    <w:p>
      <w:pPr>
        <w:tabs>
          <w:tab w:val="left" w:pos="0"/>
        </w:tabs>
        <w:spacing w:line="480" w:lineRule="exact"/>
        <w:ind w:right="-34" w:firstLine="476" w:firstLineChars="202"/>
        <w:rPr>
          <w:rFonts w:eastAsia="方正仿宋_GBK"/>
          <w:snapToGrid w:val="0"/>
          <w:color w:val="000000"/>
          <w:kern w:val="32"/>
          <w:sz w:val="24"/>
        </w:rPr>
      </w:pPr>
      <w:r>
        <w:rPr>
          <w:rFonts w:hint="eastAsia" w:eastAsia="方正仿宋_GBK"/>
          <w:snapToGrid w:val="0"/>
          <w:color w:val="000000"/>
          <w:kern w:val="32"/>
          <w:sz w:val="24"/>
        </w:rPr>
        <w:t>设置同类工程业绩应当符合下列规定</w:t>
      </w:r>
      <w:r>
        <w:rPr>
          <w:rFonts w:eastAsia="方正仿宋_GBK"/>
          <w:snapToGrid w:val="0"/>
          <w:color w:val="000000"/>
          <w:kern w:val="32"/>
          <w:sz w:val="24"/>
        </w:rPr>
        <w:t>:</w:t>
      </w:r>
    </w:p>
    <w:p>
      <w:pPr>
        <w:tabs>
          <w:tab w:val="left" w:pos="0"/>
        </w:tabs>
        <w:spacing w:line="480" w:lineRule="exact"/>
        <w:ind w:right="-34" w:firstLine="476" w:firstLineChars="202"/>
        <w:rPr>
          <w:rFonts w:eastAsia="方正仿宋_GBK"/>
          <w:snapToGrid w:val="0"/>
          <w:color w:val="000000"/>
          <w:kern w:val="32"/>
          <w:sz w:val="24"/>
        </w:rPr>
      </w:pPr>
      <w:r>
        <w:rPr>
          <w:rFonts w:hint="eastAsia" w:eastAsia="方正仿宋_GBK"/>
          <w:snapToGrid w:val="0"/>
          <w:color w:val="000000"/>
          <w:kern w:val="32"/>
          <w:sz w:val="24"/>
        </w:rPr>
        <w:t>（</w:t>
      </w:r>
      <w:r>
        <w:rPr>
          <w:rFonts w:eastAsia="方正仿宋_GBK"/>
          <w:snapToGrid w:val="0"/>
          <w:color w:val="000000"/>
          <w:kern w:val="32"/>
          <w:sz w:val="24"/>
        </w:rPr>
        <w:t>1</w:t>
      </w:r>
      <w:r>
        <w:rPr>
          <w:rFonts w:hint="eastAsia" w:eastAsia="方正仿宋_GBK"/>
          <w:snapToGrid w:val="0"/>
          <w:color w:val="000000"/>
          <w:kern w:val="32"/>
          <w:sz w:val="24"/>
        </w:rPr>
        <w:t>）一般只能设置不超过</w:t>
      </w:r>
      <w:r>
        <w:rPr>
          <w:rFonts w:eastAsia="方正仿宋_GBK"/>
          <w:snapToGrid w:val="0"/>
          <w:color w:val="000000"/>
          <w:kern w:val="32"/>
          <w:sz w:val="24"/>
        </w:rPr>
        <w:t>2</w:t>
      </w:r>
      <w:r>
        <w:rPr>
          <w:rFonts w:hint="eastAsia" w:eastAsia="方正仿宋_GBK"/>
          <w:snapToGrid w:val="0"/>
          <w:color w:val="000000"/>
          <w:kern w:val="32"/>
          <w:sz w:val="24"/>
        </w:rPr>
        <w:t>个量化指标。其中面积、造价量化规模指标</w:t>
      </w:r>
      <w:r>
        <w:rPr>
          <w:rFonts w:eastAsia="方正仿宋_GBK"/>
          <w:snapToGrid w:val="0"/>
          <w:color w:val="000000"/>
          <w:kern w:val="32"/>
          <w:sz w:val="24"/>
        </w:rPr>
        <w:t>,</w:t>
      </w:r>
      <w:r>
        <w:rPr>
          <w:rFonts w:hint="eastAsia" w:eastAsia="方正仿宋_GBK"/>
          <w:snapToGrid w:val="0"/>
          <w:color w:val="000000"/>
          <w:kern w:val="32"/>
          <w:sz w:val="24"/>
        </w:rPr>
        <w:t>大型及以下工程、技术复杂的特大型工程可以设置不超过招标工程相应指标的</w:t>
      </w:r>
      <w:r>
        <w:rPr>
          <w:rFonts w:eastAsia="方正仿宋_GBK"/>
          <w:snapToGrid w:val="0"/>
          <w:color w:val="000000"/>
          <w:kern w:val="32"/>
          <w:sz w:val="24"/>
        </w:rPr>
        <w:t>80%</w:t>
      </w:r>
      <w:r>
        <w:rPr>
          <w:rFonts w:hint="eastAsia" w:eastAsia="方正仿宋_GBK"/>
          <w:snapToGrid w:val="0"/>
          <w:color w:val="000000"/>
          <w:kern w:val="32"/>
          <w:sz w:val="24"/>
        </w:rPr>
        <w:t>，特大型工程不超过</w:t>
      </w:r>
      <w:r>
        <w:rPr>
          <w:rFonts w:eastAsia="方正仿宋_GBK"/>
          <w:snapToGrid w:val="0"/>
          <w:color w:val="000000"/>
          <w:kern w:val="32"/>
          <w:sz w:val="24"/>
        </w:rPr>
        <w:t>60%</w:t>
      </w:r>
      <w:r>
        <w:rPr>
          <w:rFonts w:hint="eastAsia" w:eastAsia="方正仿宋_GBK"/>
          <w:snapToGrid w:val="0"/>
          <w:color w:val="000000"/>
          <w:kern w:val="32"/>
          <w:sz w:val="24"/>
        </w:rPr>
        <w:t>。其他指标的设置不得超过招标工程相应指标。</w:t>
      </w:r>
    </w:p>
    <w:p>
      <w:pPr>
        <w:tabs>
          <w:tab w:val="left" w:pos="0"/>
        </w:tabs>
        <w:spacing w:line="480" w:lineRule="exact"/>
        <w:ind w:right="-34" w:firstLine="476" w:firstLineChars="202"/>
        <w:rPr>
          <w:rFonts w:eastAsia="方正仿宋_GBK"/>
          <w:snapToGrid w:val="0"/>
          <w:color w:val="000000"/>
          <w:kern w:val="32"/>
          <w:sz w:val="24"/>
        </w:rPr>
      </w:pPr>
      <w:r>
        <w:rPr>
          <w:rFonts w:hint="eastAsia" w:eastAsia="方正仿宋_GBK"/>
          <w:snapToGrid w:val="0"/>
          <w:color w:val="000000"/>
          <w:kern w:val="32"/>
          <w:sz w:val="24"/>
        </w:rPr>
        <w:t>（</w:t>
      </w:r>
      <w:r>
        <w:rPr>
          <w:rFonts w:eastAsia="方正仿宋_GBK"/>
          <w:snapToGrid w:val="0"/>
          <w:color w:val="000000"/>
          <w:kern w:val="32"/>
          <w:sz w:val="24"/>
        </w:rPr>
        <w:t>2</w:t>
      </w:r>
      <w:r>
        <w:rPr>
          <w:rFonts w:hint="eastAsia" w:eastAsia="方正仿宋_GBK"/>
          <w:snapToGrid w:val="0"/>
          <w:color w:val="000000"/>
          <w:kern w:val="32"/>
          <w:sz w:val="24"/>
        </w:rPr>
        <w:t>）“类似工程”期限一般不得低于</w:t>
      </w:r>
      <w:r>
        <w:rPr>
          <w:rFonts w:eastAsia="方正仿宋_GBK"/>
          <w:snapToGrid w:val="0"/>
          <w:color w:val="000000"/>
          <w:kern w:val="32"/>
          <w:sz w:val="24"/>
        </w:rPr>
        <w:t>3</w:t>
      </w:r>
      <w:r>
        <w:rPr>
          <w:rFonts w:hint="eastAsia" w:eastAsia="方正仿宋_GBK"/>
          <w:snapToGrid w:val="0"/>
          <w:color w:val="000000"/>
          <w:kern w:val="32"/>
          <w:sz w:val="24"/>
        </w:rPr>
        <w:t>年，以竣工验收时间为准。</w:t>
      </w:r>
    </w:p>
    <w:p>
      <w:pPr>
        <w:tabs>
          <w:tab w:val="left" w:pos="0"/>
        </w:tabs>
        <w:spacing w:line="480" w:lineRule="exact"/>
        <w:ind w:right="-34" w:firstLine="476" w:firstLineChars="202"/>
        <w:rPr>
          <w:rFonts w:eastAsia="方正仿宋_GBK"/>
          <w:snapToGrid w:val="0"/>
          <w:color w:val="000000"/>
          <w:kern w:val="32"/>
          <w:sz w:val="24"/>
        </w:rPr>
      </w:pPr>
      <w:r>
        <w:rPr>
          <w:rFonts w:hint="eastAsia" w:eastAsia="方正仿宋_GBK"/>
          <w:snapToGrid w:val="0"/>
          <w:color w:val="000000"/>
          <w:kern w:val="32"/>
          <w:sz w:val="24"/>
        </w:rPr>
        <w:t>“类似工程”证明材料一般为合同、竣工验收证明及招标工程的中标通知书。招标人应当根据工程项目的具体情况，在招标公告、招标文件中明确相应的量化指标及期限。</w:t>
      </w:r>
    </w:p>
    <w:p>
      <w:pPr>
        <w:tabs>
          <w:tab w:val="left" w:pos="0"/>
        </w:tabs>
        <w:spacing w:line="480" w:lineRule="exact"/>
        <w:ind w:right="-34" w:firstLine="476" w:firstLineChars="202"/>
        <w:rPr>
          <w:rFonts w:eastAsia="方正仿宋_GBK"/>
          <w:snapToGrid w:val="0"/>
          <w:color w:val="000000"/>
          <w:kern w:val="32"/>
          <w:sz w:val="24"/>
        </w:rPr>
      </w:pPr>
      <w:r>
        <w:rPr>
          <w:rFonts w:eastAsia="方正仿宋_GBK"/>
          <w:snapToGrid w:val="0"/>
          <w:color w:val="000000"/>
          <w:kern w:val="32"/>
          <w:sz w:val="24"/>
        </w:rPr>
        <w:t>4</w:t>
      </w:r>
      <w:r>
        <w:rPr>
          <w:rFonts w:hint="eastAsia" w:eastAsia="方正仿宋_GBK"/>
          <w:snapToGrid w:val="0"/>
          <w:color w:val="000000"/>
          <w:kern w:val="32"/>
          <w:sz w:val="24"/>
        </w:rPr>
        <w:t>、在建工程</w:t>
      </w:r>
    </w:p>
    <w:p>
      <w:pPr>
        <w:tabs>
          <w:tab w:val="left" w:pos="0"/>
        </w:tabs>
        <w:spacing w:line="480" w:lineRule="exact"/>
        <w:ind w:right="-34" w:firstLine="476" w:firstLineChars="202"/>
        <w:rPr>
          <w:rFonts w:eastAsia="方正仿宋_GBK"/>
          <w:snapToGrid w:val="0"/>
          <w:color w:val="000000"/>
          <w:kern w:val="32"/>
          <w:sz w:val="24"/>
        </w:rPr>
      </w:pPr>
      <w:r>
        <w:rPr>
          <w:rFonts w:hint="eastAsia" w:eastAsia="方正仿宋_GBK"/>
          <w:snapToGrid w:val="0"/>
          <w:color w:val="000000"/>
          <w:kern w:val="32"/>
          <w:sz w:val="24"/>
        </w:rPr>
        <w:t>处于中标结果公告（直接发包的项目以网上合同备案为准）到合同约定的工程全部完成且竣工验收合格期间的工程。竣工验收证明是指由建设单位（或监理）组织工程建设各方验收合格，并签署相应的单位工程质量竣工验收记录或者分部工程质量验收记录等验收文件。</w:t>
      </w:r>
    </w:p>
    <w:p>
      <w:pPr>
        <w:tabs>
          <w:tab w:val="left" w:pos="0"/>
        </w:tabs>
        <w:spacing w:line="540" w:lineRule="exact"/>
        <w:ind w:firstLine="378" w:firstLineChars="160"/>
        <w:rPr>
          <w:rFonts w:eastAsia="方正仿宋_GBK"/>
          <w:snapToGrid w:val="0"/>
          <w:color w:val="000000"/>
          <w:kern w:val="32"/>
          <w:sz w:val="24"/>
        </w:rPr>
      </w:pPr>
    </w:p>
    <w:p>
      <w:pPr>
        <w:tabs>
          <w:tab w:val="left" w:pos="0"/>
        </w:tabs>
        <w:spacing w:line="540" w:lineRule="exact"/>
        <w:ind w:firstLine="506" w:firstLineChars="160"/>
        <w:rPr>
          <w:rFonts w:eastAsia="方正仿宋_GBK"/>
          <w:snapToGrid w:val="0"/>
          <w:color w:val="000000"/>
          <w:kern w:val="32"/>
          <w:sz w:val="32"/>
        </w:rPr>
      </w:pPr>
    </w:p>
    <w:p>
      <w:pPr>
        <w:widowControl/>
        <w:spacing w:line="540" w:lineRule="exact"/>
        <w:jc w:val="left"/>
        <w:rPr>
          <w:rFonts w:ascii="Times New Roman" w:eastAsia="方正黑体_GBK"/>
          <w:snapToGrid w:val="0"/>
          <w:color w:val="000000"/>
          <w:kern w:val="0"/>
          <w:sz w:val="32"/>
        </w:rPr>
      </w:pPr>
      <w:r>
        <w:rPr>
          <w:rFonts w:hint="eastAsia" w:ascii="Times New Roman" w:eastAsia="方正黑体_GBK"/>
          <w:snapToGrid w:val="0"/>
          <w:color w:val="000000"/>
          <w:kern w:val="0"/>
          <w:sz w:val="32"/>
        </w:rPr>
        <w:br w:type="column"/>
      </w:r>
      <w:r>
        <w:rPr>
          <w:rFonts w:hint="eastAsia" w:ascii="Times New Roman" w:eastAsia="方正黑体_GBK"/>
          <w:snapToGrid w:val="0"/>
          <w:color w:val="000000"/>
          <w:kern w:val="0"/>
          <w:sz w:val="32"/>
        </w:rPr>
        <w:t>附件2</w:t>
      </w:r>
    </w:p>
    <w:p>
      <w:pPr>
        <w:tabs>
          <w:tab w:val="left" w:pos="0"/>
        </w:tabs>
        <w:spacing w:line="540" w:lineRule="exact"/>
        <w:rPr>
          <w:rFonts w:hint="eastAsia" w:eastAsia="方正仿宋_GBK"/>
          <w:snapToGrid w:val="0"/>
          <w:color w:val="000000"/>
          <w:kern w:val="32"/>
          <w:sz w:val="32"/>
        </w:rPr>
      </w:pPr>
    </w:p>
    <w:p>
      <w:pPr>
        <w:spacing w:line="570" w:lineRule="exact"/>
        <w:jc w:val="center"/>
        <w:rPr>
          <w:rFonts w:ascii="Times New Roman" w:eastAsia="方正小标宋_GBK"/>
          <w:snapToGrid w:val="0"/>
          <w:color w:val="000000"/>
          <w:kern w:val="0"/>
          <w:sz w:val="44"/>
          <w:szCs w:val="44"/>
        </w:rPr>
      </w:pPr>
      <w:r>
        <w:rPr>
          <w:rFonts w:hint="eastAsia" w:ascii="Times New Roman" w:eastAsia="方正小标宋_GBK"/>
          <w:snapToGrid w:val="0"/>
          <w:color w:val="000000"/>
          <w:kern w:val="0"/>
          <w:sz w:val="44"/>
          <w:szCs w:val="44"/>
        </w:rPr>
        <w:t>江苏省房屋建筑和市政基础设施工程</w:t>
      </w:r>
    </w:p>
    <w:p>
      <w:pPr>
        <w:spacing w:line="570" w:lineRule="exact"/>
        <w:jc w:val="center"/>
        <w:rPr>
          <w:rFonts w:hint="eastAsia" w:ascii="Times New Roman" w:eastAsia="方正小标宋_GBK"/>
          <w:snapToGrid w:val="0"/>
          <w:color w:val="000000"/>
          <w:kern w:val="0"/>
          <w:sz w:val="44"/>
          <w:szCs w:val="44"/>
        </w:rPr>
      </w:pPr>
      <w:r>
        <w:rPr>
          <w:rFonts w:hint="eastAsia" w:ascii="Times New Roman" w:eastAsia="方正小标宋_GBK"/>
          <w:snapToGrid w:val="0"/>
          <w:color w:val="000000"/>
          <w:kern w:val="0"/>
          <w:sz w:val="44"/>
          <w:szCs w:val="44"/>
        </w:rPr>
        <w:t>施工招标资格审查办法</w:t>
      </w:r>
    </w:p>
    <w:p>
      <w:pPr>
        <w:tabs>
          <w:tab w:val="left" w:pos="0"/>
        </w:tabs>
        <w:spacing w:line="540" w:lineRule="exact"/>
        <w:jc w:val="center"/>
        <w:rPr>
          <w:rFonts w:hint="eastAsia" w:eastAsia="方正仿宋_GBK"/>
          <w:snapToGrid w:val="0"/>
          <w:color w:val="000000"/>
          <w:kern w:val="32"/>
          <w:sz w:val="32"/>
        </w:rPr>
      </w:pPr>
    </w:p>
    <w:p>
      <w:pPr>
        <w:tabs>
          <w:tab w:val="left" w:pos="0"/>
        </w:tabs>
        <w:spacing w:line="480" w:lineRule="exact"/>
        <w:rPr>
          <w:rFonts w:eastAsia="方正仿宋_GBK"/>
          <w:snapToGrid w:val="0"/>
          <w:color w:val="000000"/>
          <w:kern w:val="32"/>
          <w:sz w:val="24"/>
        </w:rPr>
      </w:pPr>
      <w:r>
        <w:rPr>
          <w:rFonts w:hint="eastAsia" w:eastAsia="方正仿宋_GBK"/>
          <w:snapToGrid w:val="0"/>
          <w:color w:val="000000"/>
          <w:kern w:val="32"/>
          <w:sz w:val="24"/>
        </w:rPr>
        <w:t>第一章</w:t>
      </w:r>
      <w:r>
        <w:rPr>
          <w:rFonts w:eastAsia="方正仿宋_GBK"/>
          <w:snapToGrid w:val="0"/>
          <w:color w:val="000000"/>
          <w:kern w:val="32"/>
          <w:sz w:val="24"/>
        </w:rPr>
        <w:t xml:space="preserve"> </w:t>
      </w:r>
      <w:r>
        <w:rPr>
          <w:rFonts w:hint="eastAsia" w:eastAsia="方正仿宋_GBK"/>
          <w:snapToGrid w:val="0"/>
          <w:color w:val="000000"/>
          <w:kern w:val="32"/>
          <w:sz w:val="24"/>
        </w:rPr>
        <w:t>总则</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第一条</w:t>
      </w:r>
      <w:r>
        <w:rPr>
          <w:rFonts w:eastAsia="方正仿宋_GBK"/>
          <w:snapToGrid w:val="0"/>
          <w:color w:val="000000"/>
          <w:kern w:val="32"/>
          <w:sz w:val="24"/>
        </w:rPr>
        <w:t xml:space="preserve"> </w:t>
      </w:r>
      <w:r>
        <w:rPr>
          <w:rFonts w:hint="eastAsia" w:eastAsia="方正仿宋_GBK"/>
          <w:snapToGrid w:val="0"/>
          <w:color w:val="000000"/>
          <w:kern w:val="32"/>
          <w:sz w:val="24"/>
        </w:rPr>
        <w:t>为规范我省房屋建筑和市政基础设施工程施工招标的资格审查行为，维护招标投标当事人的合法权益，依据《中华人民共和国招标投标法》、《中华人民共和国招标投标法实施条例》等，制定本办法。</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第二条</w:t>
      </w:r>
      <w:r>
        <w:rPr>
          <w:rFonts w:eastAsia="方正仿宋_GBK"/>
          <w:snapToGrid w:val="0"/>
          <w:color w:val="000000"/>
          <w:kern w:val="32"/>
          <w:sz w:val="24"/>
        </w:rPr>
        <w:t xml:space="preserve"> </w:t>
      </w:r>
      <w:r>
        <w:rPr>
          <w:rFonts w:hint="eastAsia" w:eastAsia="方正仿宋_GBK"/>
          <w:snapToGrid w:val="0"/>
          <w:color w:val="000000"/>
          <w:kern w:val="32"/>
          <w:sz w:val="24"/>
        </w:rPr>
        <w:t>本省行政区域内，国有资金项目施工招标的资格审查活动，适用本办法。</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第三条</w:t>
      </w:r>
      <w:r>
        <w:rPr>
          <w:rFonts w:eastAsia="方正仿宋_GBK"/>
          <w:snapToGrid w:val="0"/>
          <w:color w:val="000000"/>
          <w:kern w:val="32"/>
          <w:sz w:val="24"/>
        </w:rPr>
        <w:t xml:space="preserve"> </w:t>
      </w:r>
      <w:r>
        <w:rPr>
          <w:rFonts w:hint="eastAsia" w:eastAsia="方正仿宋_GBK"/>
          <w:snapToGrid w:val="0"/>
          <w:color w:val="000000"/>
          <w:kern w:val="32"/>
          <w:sz w:val="24"/>
        </w:rPr>
        <w:t>资格审查分为资格预审和资格后审。</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资格预审是指在投标前对资格预审申请人进行的资格审查。</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资格后审是指在开标后对投标人进行的资格审查。</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第四条</w:t>
      </w:r>
      <w:r>
        <w:rPr>
          <w:rFonts w:eastAsia="方正仿宋_GBK"/>
          <w:snapToGrid w:val="0"/>
          <w:color w:val="000000"/>
          <w:kern w:val="32"/>
          <w:sz w:val="24"/>
        </w:rPr>
        <w:t xml:space="preserve"> </w:t>
      </w:r>
      <w:r>
        <w:rPr>
          <w:rFonts w:hint="eastAsia" w:eastAsia="方正仿宋_GBK"/>
          <w:snapToGrid w:val="0"/>
          <w:color w:val="000000"/>
          <w:kern w:val="32"/>
          <w:sz w:val="24"/>
        </w:rPr>
        <w:t>资格预审分为合格制和有限数量制两种方法。资格后审均采用合格制。</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合格制是指凡符合资格预审公告或者资格预审文件规定资格审查标准的申请人均通过资格审查。</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有限数量制是指对通过初步审查和详细审查的资格预审申请人进行量化打分，按得分高低顺序确定通过资格预审的申请人。</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第五条</w:t>
      </w:r>
      <w:r>
        <w:rPr>
          <w:rFonts w:eastAsia="方正仿宋_GBK"/>
          <w:snapToGrid w:val="0"/>
          <w:color w:val="000000"/>
          <w:kern w:val="32"/>
          <w:sz w:val="24"/>
        </w:rPr>
        <w:t xml:space="preserve"> </w:t>
      </w:r>
      <w:r>
        <w:rPr>
          <w:rFonts w:hint="eastAsia" w:eastAsia="方正仿宋_GBK"/>
          <w:snapToGrid w:val="0"/>
          <w:color w:val="000000"/>
          <w:kern w:val="32"/>
          <w:sz w:val="24"/>
        </w:rPr>
        <w:t>资格审查的方式选用应当符合下列规定：</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（一）对于具有通用技术标准的工程项目，一般应当采用资格后审；</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（二）对于大型且技术复杂的工程项目，可以采用合格制资格预审；</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（三）对于特大型且技术复杂的工程项目，可以选用有限数量制资格预审，对有限数量制的使用应当严格控制。</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第六条</w:t>
      </w:r>
      <w:r>
        <w:rPr>
          <w:rFonts w:eastAsia="方正仿宋_GBK"/>
          <w:snapToGrid w:val="0"/>
          <w:color w:val="000000"/>
          <w:kern w:val="32"/>
          <w:sz w:val="24"/>
        </w:rPr>
        <w:t xml:space="preserve"> </w:t>
      </w:r>
      <w:r>
        <w:rPr>
          <w:rFonts w:hint="eastAsia" w:eastAsia="方正仿宋_GBK"/>
          <w:snapToGrid w:val="0"/>
          <w:color w:val="000000"/>
          <w:kern w:val="32"/>
          <w:sz w:val="24"/>
        </w:rPr>
        <w:t>资格审查活动应当遵循公平、公正、科学、择优的原则。任何单位和个人不得以不合理的条件限制、排斥资格预审申请人或者潜在投标人，不得对资格预审申请人或者潜在投标人实行歧视待遇。</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任何单位和个人不得非法干预或者影响依法进行的资格审查活动。</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第七条</w:t>
      </w:r>
      <w:r>
        <w:rPr>
          <w:rFonts w:eastAsia="方正仿宋_GBK"/>
          <w:snapToGrid w:val="0"/>
          <w:color w:val="000000"/>
          <w:kern w:val="32"/>
          <w:sz w:val="24"/>
        </w:rPr>
        <w:t xml:space="preserve"> </w:t>
      </w:r>
      <w:r>
        <w:rPr>
          <w:rFonts w:hint="eastAsia" w:eastAsia="方正仿宋_GBK"/>
          <w:snapToGrid w:val="0"/>
          <w:color w:val="000000"/>
          <w:kern w:val="32"/>
          <w:sz w:val="24"/>
        </w:rPr>
        <w:t>资格审查实行网上电子审查，资格审查活动应当在项目所在地公共资源交易中心进行，并接受招投标监管机构依法实施的监督。</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第二章</w:t>
      </w:r>
      <w:r>
        <w:rPr>
          <w:rFonts w:eastAsia="方正仿宋_GBK"/>
          <w:snapToGrid w:val="0"/>
          <w:color w:val="000000"/>
          <w:kern w:val="32"/>
          <w:sz w:val="24"/>
        </w:rPr>
        <w:t xml:space="preserve"> </w:t>
      </w:r>
      <w:r>
        <w:rPr>
          <w:rFonts w:hint="eastAsia" w:eastAsia="方正仿宋_GBK"/>
          <w:snapToGrid w:val="0"/>
          <w:color w:val="000000"/>
          <w:kern w:val="32"/>
          <w:sz w:val="24"/>
        </w:rPr>
        <w:t>资格审查条件和要求</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第八条</w:t>
      </w:r>
      <w:r>
        <w:rPr>
          <w:rFonts w:eastAsia="方正仿宋_GBK"/>
          <w:snapToGrid w:val="0"/>
          <w:color w:val="000000"/>
          <w:kern w:val="32"/>
          <w:sz w:val="24"/>
        </w:rPr>
        <w:t xml:space="preserve"> </w:t>
      </w:r>
      <w:r>
        <w:rPr>
          <w:rFonts w:hint="eastAsia" w:eastAsia="方正仿宋_GBK"/>
          <w:snapToGrid w:val="0"/>
          <w:color w:val="000000"/>
          <w:kern w:val="32"/>
          <w:sz w:val="24"/>
        </w:rPr>
        <w:t>招标人应当根据有关法律、法规和规章的规定，结合工程项目的内容和特点，在资格预审文件、招标文件和相应的招标公告中，明确合格投标人的资格条件以及资格评审的方法、标准。</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第九条</w:t>
      </w:r>
      <w:bookmarkStart w:id="724" w:name="_Hlk485459645"/>
      <w:r>
        <w:rPr>
          <w:rFonts w:hint="eastAsia" w:eastAsia="方正仿宋_GBK"/>
          <w:snapToGrid w:val="0"/>
          <w:color w:val="000000"/>
          <w:kern w:val="32"/>
          <w:sz w:val="24"/>
        </w:rPr>
        <w:t>资格审查条件分为必要条件</w:t>
      </w:r>
      <w:bookmarkEnd w:id="724"/>
      <w:r>
        <w:rPr>
          <w:rFonts w:hint="eastAsia" w:eastAsia="方正仿宋_GBK"/>
          <w:snapToGrid w:val="0"/>
          <w:color w:val="000000"/>
          <w:kern w:val="32"/>
          <w:sz w:val="24"/>
        </w:rPr>
        <w:t>和可选条件。</w:t>
      </w:r>
    </w:p>
    <w:p>
      <w:pPr>
        <w:tabs>
          <w:tab w:val="left" w:pos="0"/>
        </w:tabs>
        <w:spacing w:line="480" w:lineRule="exact"/>
        <w:ind w:firstLine="476" w:firstLineChars="202"/>
        <w:rPr>
          <w:rFonts w:eastAsia="方正仿宋_GBK"/>
          <w:snapToGrid w:val="0"/>
          <w:color w:val="000000"/>
          <w:kern w:val="32"/>
          <w:sz w:val="24"/>
        </w:rPr>
      </w:pPr>
      <w:bookmarkStart w:id="725" w:name="_Hlk485459696"/>
      <w:r>
        <w:rPr>
          <w:rFonts w:hint="eastAsia" w:eastAsia="方正仿宋_GBK"/>
          <w:snapToGrid w:val="0"/>
          <w:color w:val="000000"/>
          <w:kern w:val="32"/>
          <w:sz w:val="24"/>
        </w:rPr>
        <w:t>资格审查必要条件即招标人在资格审查过程中必选的，资格审查合格至少应当满足的条件。</w:t>
      </w:r>
      <w:bookmarkEnd w:id="725"/>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资格审查可选条件即招标人根据项目实际可以选择全部或者部分作为资格审查的合格条件。</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资格预审和资格后审可根据招标项目需要设置资格审查必选条件和可选条件。但采用资格后审的工程项目，设置“企业或者项目负责人承担过类似工程”作为合格条件，仅限于技术复杂或者大型及以上工程项目、采用合理价随机确定中标人法的工程项目和无资质要求的专业工程项目。</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第十条</w:t>
      </w:r>
      <w:r>
        <w:rPr>
          <w:rFonts w:eastAsia="方正仿宋_GBK"/>
          <w:snapToGrid w:val="0"/>
          <w:color w:val="000000"/>
          <w:kern w:val="32"/>
          <w:sz w:val="24"/>
        </w:rPr>
        <w:t xml:space="preserve"> </w:t>
      </w:r>
      <w:r>
        <w:rPr>
          <w:rFonts w:hint="eastAsia" w:eastAsia="方正仿宋_GBK"/>
          <w:snapToGrid w:val="0"/>
          <w:color w:val="000000"/>
          <w:kern w:val="32"/>
          <w:sz w:val="24"/>
        </w:rPr>
        <w:t>以下条件属于资格审查必要条件：</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（一）有独立订立合同的能力；</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（二）企业的资质类别、等级和项目负责人注册专业、资格等级符合国家有关规定；</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（三）以联合体形式投标的，联合体的资格（资质）条件必须符合资格预审文件或招标文件要求，并附有共同投标协议；</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（四）企业具备安全生产条件，并取得安全生产许可证（相关规定不作要求的除外）；</w:t>
      </w:r>
      <w:r>
        <w:rPr>
          <w:rFonts w:eastAsia="方正仿宋_GBK"/>
          <w:snapToGrid w:val="0"/>
          <w:color w:val="000000"/>
          <w:kern w:val="32"/>
          <w:sz w:val="24"/>
        </w:rPr>
        <w:t xml:space="preserve"> </w:t>
      </w:r>
    </w:p>
    <w:p>
      <w:pPr>
        <w:pStyle w:val="10"/>
        <w:tabs>
          <w:tab w:val="left" w:pos="0"/>
        </w:tabs>
        <w:spacing w:line="480" w:lineRule="exact"/>
        <w:ind w:firstLine="476" w:firstLineChars="202"/>
        <w:jc w:val="both"/>
        <w:rPr>
          <w:rFonts w:ascii="Times New Roman" w:hAnsi="Times New Roman" w:eastAsia="方正仿宋_GBK"/>
          <w:snapToGrid w:val="0"/>
          <w:color w:val="000000"/>
          <w:kern w:val="32"/>
        </w:rPr>
      </w:pPr>
      <w:r>
        <w:rPr>
          <w:rFonts w:hint="eastAsia" w:ascii="Times New Roman" w:hAnsi="Times New Roman" w:eastAsia="方正仿宋_GBK"/>
          <w:snapToGrid w:val="0"/>
          <w:color w:val="000000"/>
          <w:kern w:val="32"/>
        </w:rPr>
        <w:t>（五）项目负责人必须满足下列条件：</w:t>
      </w:r>
    </w:p>
    <w:p>
      <w:pPr>
        <w:tabs>
          <w:tab w:val="left" w:pos="0"/>
        </w:tabs>
        <w:spacing w:line="480" w:lineRule="exact"/>
        <w:ind w:firstLine="594" w:firstLineChars="252"/>
        <w:rPr>
          <w:rFonts w:hint="eastAsia" w:eastAsia="方正仿宋_GBK"/>
          <w:snapToGrid w:val="0"/>
          <w:color w:val="000000"/>
          <w:kern w:val="32"/>
          <w:sz w:val="24"/>
        </w:rPr>
      </w:pPr>
      <w:r>
        <w:rPr>
          <w:rFonts w:eastAsia="方正仿宋_GBK"/>
          <w:snapToGrid w:val="0"/>
          <w:color w:val="000000"/>
          <w:kern w:val="32"/>
          <w:sz w:val="24"/>
        </w:rPr>
        <w:t>1.</w:t>
      </w:r>
      <w:r>
        <w:rPr>
          <w:rFonts w:hint="eastAsia" w:eastAsia="方正仿宋_GBK"/>
          <w:snapToGrid w:val="0"/>
          <w:color w:val="000000"/>
          <w:kern w:val="32"/>
          <w:sz w:val="24"/>
        </w:rPr>
        <w:t>项目负责人不得同时在两个或者两个以上单位受聘或者执业。</w:t>
      </w:r>
    </w:p>
    <w:p>
      <w:pPr>
        <w:tabs>
          <w:tab w:val="left" w:pos="0"/>
        </w:tabs>
        <w:spacing w:line="480" w:lineRule="exact"/>
        <w:ind w:firstLine="594" w:firstLineChars="252"/>
        <w:rPr>
          <w:rFonts w:eastAsia="方正仿宋_GBK"/>
          <w:snapToGrid w:val="0"/>
          <w:color w:val="000000"/>
          <w:kern w:val="32"/>
          <w:sz w:val="24"/>
        </w:rPr>
      </w:pPr>
      <w:r>
        <w:rPr>
          <w:rFonts w:eastAsia="方正仿宋_GBK"/>
          <w:snapToGrid w:val="0"/>
          <w:color w:val="000000"/>
          <w:kern w:val="32"/>
          <w:sz w:val="24"/>
        </w:rPr>
        <w:t>2.</w:t>
      </w:r>
      <w:r>
        <w:rPr>
          <w:rFonts w:hint="eastAsia" w:eastAsia="方正仿宋_GBK"/>
          <w:snapToGrid w:val="0"/>
          <w:color w:val="000000"/>
          <w:kern w:val="32"/>
          <w:sz w:val="24"/>
        </w:rPr>
        <w:t>项目负责人是非变更后无在建工程，或项目负责人是变更后无在建工程（必须原合同工期已满且变更备案之日已满</w:t>
      </w:r>
      <w:r>
        <w:rPr>
          <w:rFonts w:eastAsia="方正仿宋_GBK"/>
          <w:snapToGrid w:val="0"/>
          <w:color w:val="000000"/>
          <w:kern w:val="32"/>
          <w:sz w:val="24"/>
        </w:rPr>
        <w:t>6</w:t>
      </w:r>
      <w:r>
        <w:rPr>
          <w:rFonts w:hint="eastAsia" w:eastAsia="方正仿宋_GBK"/>
          <w:snapToGrid w:val="0"/>
          <w:color w:val="000000"/>
          <w:kern w:val="32"/>
          <w:sz w:val="24"/>
        </w:rPr>
        <w:t>个月），或因非承包方原因致使工程项目停工或因故不能按期开工、且已办理了项目负责人解锁手续，或项目负责人有在建工程，但该在建工程与本次招标的工程属于同一工程项目、同一项目批文、同一施工地点分段发包或分期施工的情况且总的工程规模在项目负责人执业范围之内。</w:t>
      </w:r>
    </w:p>
    <w:p>
      <w:pPr>
        <w:tabs>
          <w:tab w:val="left" w:pos="0"/>
        </w:tabs>
        <w:spacing w:line="480" w:lineRule="exact"/>
        <w:ind w:firstLine="594" w:firstLineChars="252"/>
        <w:rPr>
          <w:rFonts w:eastAsia="方正仿宋_GBK"/>
          <w:snapToGrid w:val="0"/>
          <w:color w:val="000000"/>
          <w:kern w:val="32"/>
          <w:sz w:val="24"/>
        </w:rPr>
      </w:pPr>
      <w:r>
        <w:rPr>
          <w:rFonts w:eastAsia="方正仿宋_GBK"/>
          <w:snapToGrid w:val="0"/>
          <w:color w:val="000000"/>
          <w:kern w:val="32"/>
          <w:sz w:val="24"/>
        </w:rPr>
        <w:t>3.</w:t>
      </w:r>
      <w:r>
        <w:rPr>
          <w:rFonts w:hint="eastAsia" w:eastAsia="方正仿宋_GBK"/>
          <w:snapToGrid w:val="0"/>
          <w:color w:val="000000"/>
          <w:kern w:val="32"/>
          <w:sz w:val="24"/>
        </w:rPr>
        <w:t>项目负责人无行贿犯罪行为记录；或者有行贿犯罪行为记录，但自记录之日起已超过</w:t>
      </w:r>
      <w:r>
        <w:rPr>
          <w:rFonts w:eastAsia="方正仿宋_GBK"/>
          <w:snapToGrid w:val="0"/>
          <w:color w:val="000000"/>
          <w:kern w:val="32"/>
          <w:sz w:val="24"/>
        </w:rPr>
        <w:t>5</w:t>
      </w:r>
      <w:r>
        <w:rPr>
          <w:rFonts w:hint="eastAsia" w:eastAsia="方正仿宋_GBK"/>
          <w:snapToGrid w:val="0"/>
          <w:color w:val="000000"/>
          <w:kern w:val="32"/>
          <w:sz w:val="24"/>
        </w:rPr>
        <w:t>年的。</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（六）资格预审申请人或者投标人不得存在下列情形之一：</w:t>
      </w:r>
    </w:p>
    <w:p>
      <w:pPr>
        <w:tabs>
          <w:tab w:val="left" w:pos="0"/>
        </w:tabs>
        <w:spacing w:line="480" w:lineRule="exact"/>
        <w:ind w:firstLine="594" w:firstLineChars="252"/>
        <w:rPr>
          <w:rFonts w:eastAsia="方正仿宋_GBK"/>
          <w:snapToGrid w:val="0"/>
          <w:color w:val="000000"/>
          <w:kern w:val="32"/>
          <w:sz w:val="24"/>
        </w:rPr>
      </w:pPr>
      <w:r>
        <w:rPr>
          <w:rFonts w:eastAsia="方正仿宋_GBK"/>
          <w:snapToGrid w:val="0"/>
          <w:color w:val="000000"/>
          <w:kern w:val="32"/>
          <w:sz w:val="24"/>
        </w:rPr>
        <w:t>1.</w:t>
      </w:r>
      <w:r>
        <w:rPr>
          <w:rFonts w:hint="eastAsia" w:eastAsia="方正仿宋_GBK"/>
          <w:snapToGrid w:val="0"/>
          <w:color w:val="000000"/>
          <w:kern w:val="32"/>
          <w:sz w:val="24"/>
        </w:rPr>
        <w:t>为招标人不具有独立法人资格的附属机构（单位）；</w:t>
      </w:r>
    </w:p>
    <w:p>
      <w:pPr>
        <w:tabs>
          <w:tab w:val="left" w:pos="0"/>
        </w:tabs>
        <w:spacing w:line="480" w:lineRule="exact"/>
        <w:ind w:firstLine="594" w:firstLineChars="252"/>
        <w:rPr>
          <w:rFonts w:eastAsia="方正仿宋_GBK"/>
          <w:snapToGrid w:val="0"/>
          <w:color w:val="000000"/>
          <w:kern w:val="32"/>
          <w:sz w:val="24"/>
        </w:rPr>
      </w:pPr>
      <w:r>
        <w:rPr>
          <w:rFonts w:eastAsia="方正仿宋_GBK"/>
          <w:snapToGrid w:val="0"/>
          <w:color w:val="000000"/>
          <w:kern w:val="32"/>
          <w:sz w:val="24"/>
        </w:rPr>
        <w:t>2.</w:t>
      </w:r>
      <w:r>
        <w:rPr>
          <w:rFonts w:hint="eastAsia" w:eastAsia="方正仿宋_GBK"/>
          <w:snapToGrid w:val="0"/>
          <w:color w:val="000000"/>
          <w:kern w:val="32"/>
          <w:sz w:val="24"/>
        </w:rPr>
        <w:t>为本招标项目的监理人、代建人、项目管理人，以及为本招标项目提供招标代理、设计服务的；</w:t>
      </w:r>
    </w:p>
    <w:p>
      <w:pPr>
        <w:tabs>
          <w:tab w:val="left" w:pos="0"/>
        </w:tabs>
        <w:spacing w:line="480" w:lineRule="exact"/>
        <w:ind w:firstLine="594" w:firstLineChars="252"/>
        <w:rPr>
          <w:rFonts w:eastAsia="方正仿宋_GBK"/>
          <w:snapToGrid w:val="0"/>
          <w:color w:val="000000"/>
          <w:kern w:val="32"/>
          <w:sz w:val="24"/>
        </w:rPr>
      </w:pPr>
      <w:r>
        <w:rPr>
          <w:rFonts w:eastAsia="方正仿宋_GBK"/>
          <w:snapToGrid w:val="0"/>
          <w:color w:val="000000"/>
          <w:kern w:val="32"/>
          <w:sz w:val="24"/>
        </w:rPr>
        <w:t>3.</w:t>
      </w:r>
      <w:r>
        <w:rPr>
          <w:rFonts w:hint="eastAsia" w:eastAsia="方正仿宋_GBK"/>
          <w:snapToGrid w:val="0"/>
          <w:color w:val="000000"/>
          <w:kern w:val="32"/>
          <w:sz w:val="24"/>
        </w:rPr>
        <w:t>与本招标项目的监理人、代建人、招标代理机构同为一个法定代表人的，或者相互控股、参股的；</w:t>
      </w:r>
    </w:p>
    <w:p>
      <w:pPr>
        <w:tabs>
          <w:tab w:val="left" w:pos="0"/>
        </w:tabs>
        <w:spacing w:line="480" w:lineRule="exact"/>
        <w:ind w:firstLine="594" w:firstLineChars="252"/>
        <w:rPr>
          <w:rFonts w:eastAsia="方正仿宋_GBK"/>
          <w:snapToGrid w:val="0"/>
          <w:color w:val="000000"/>
          <w:kern w:val="32"/>
          <w:sz w:val="24"/>
        </w:rPr>
      </w:pPr>
      <w:r>
        <w:rPr>
          <w:rFonts w:eastAsia="方正仿宋_GBK"/>
          <w:snapToGrid w:val="0"/>
          <w:color w:val="000000"/>
          <w:kern w:val="32"/>
          <w:sz w:val="24"/>
        </w:rPr>
        <w:t>4.</w:t>
      </w:r>
      <w:r>
        <w:rPr>
          <w:rFonts w:hint="eastAsia" w:eastAsia="方正仿宋_GBK"/>
          <w:snapToGrid w:val="0"/>
          <w:color w:val="000000"/>
          <w:kern w:val="32"/>
          <w:sz w:val="24"/>
        </w:rPr>
        <w:t>与招标人存在利害关系可能影响招标公正性的；</w:t>
      </w:r>
    </w:p>
    <w:p>
      <w:pPr>
        <w:tabs>
          <w:tab w:val="left" w:pos="0"/>
        </w:tabs>
        <w:spacing w:line="480" w:lineRule="exact"/>
        <w:ind w:firstLine="594" w:firstLineChars="252"/>
        <w:rPr>
          <w:rFonts w:eastAsia="方正仿宋_GBK"/>
          <w:snapToGrid w:val="0"/>
          <w:color w:val="000000"/>
          <w:kern w:val="32"/>
          <w:sz w:val="24"/>
        </w:rPr>
      </w:pPr>
      <w:r>
        <w:rPr>
          <w:rFonts w:eastAsia="方正仿宋_GBK"/>
          <w:snapToGrid w:val="0"/>
          <w:color w:val="000000"/>
          <w:kern w:val="32"/>
          <w:sz w:val="24"/>
        </w:rPr>
        <w:t>5.</w:t>
      </w:r>
      <w:r>
        <w:rPr>
          <w:rFonts w:hint="eastAsia" w:eastAsia="方正仿宋_GBK"/>
          <w:snapToGrid w:val="0"/>
          <w:color w:val="000000"/>
          <w:kern w:val="32"/>
          <w:sz w:val="24"/>
        </w:rPr>
        <w:t>单位负责人为同一人或者存在控股、管理关系的不同单位；</w:t>
      </w:r>
    </w:p>
    <w:p>
      <w:pPr>
        <w:tabs>
          <w:tab w:val="left" w:pos="0"/>
        </w:tabs>
        <w:spacing w:line="480" w:lineRule="exact"/>
        <w:ind w:firstLine="594" w:firstLineChars="252"/>
        <w:rPr>
          <w:rFonts w:eastAsia="方正仿宋_GBK"/>
          <w:snapToGrid w:val="0"/>
          <w:color w:val="000000"/>
          <w:kern w:val="32"/>
          <w:sz w:val="24"/>
        </w:rPr>
      </w:pPr>
      <w:r>
        <w:rPr>
          <w:rFonts w:eastAsia="方正仿宋_GBK"/>
          <w:snapToGrid w:val="0"/>
          <w:color w:val="000000"/>
          <w:kern w:val="32"/>
          <w:sz w:val="24"/>
        </w:rPr>
        <w:t>6.</w:t>
      </w:r>
      <w:r>
        <w:rPr>
          <w:rFonts w:hint="eastAsia" w:eastAsia="方正仿宋_GBK"/>
          <w:snapToGrid w:val="0"/>
          <w:color w:val="000000"/>
          <w:kern w:val="32"/>
          <w:sz w:val="24"/>
        </w:rPr>
        <w:t>处于被责令停业、财产被接管、冻结和破产状态，以及投标资格被取消或者被暂停且在暂停期内；</w:t>
      </w:r>
    </w:p>
    <w:p>
      <w:pPr>
        <w:tabs>
          <w:tab w:val="left" w:pos="0"/>
        </w:tabs>
        <w:spacing w:line="480" w:lineRule="exact"/>
        <w:ind w:firstLine="594" w:firstLineChars="252"/>
        <w:rPr>
          <w:rFonts w:eastAsia="方正仿宋_GBK"/>
          <w:snapToGrid w:val="0"/>
          <w:color w:val="000000"/>
          <w:kern w:val="32"/>
          <w:sz w:val="24"/>
        </w:rPr>
      </w:pPr>
      <w:r>
        <w:rPr>
          <w:rFonts w:eastAsia="方正仿宋_GBK"/>
          <w:snapToGrid w:val="0"/>
          <w:color w:val="000000"/>
          <w:kern w:val="32"/>
          <w:sz w:val="24"/>
        </w:rPr>
        <w:t>7.</w:t>
      </w:r>
      <w:r>
        <w:rPr>
          <w:rFonts w:hint="eastAsia" w:eastAsia="方正仿宋_GBK"/>
          <w:snapToGrid w:val="0"/>
          <w:color w:val="000000"/>
          <w:kern w:val="32"/>
          <w:sz w:val="24"/>
        </w:rPr>
        <w:t>因拖欠工人工资或者因发生质量安全事故被有关部门限制在招标项目所在地承接工程的；</w:t>
      </w:r>
    </w:p>
    <w:p>
      <w:pPr>
        <w:tabs>
          <w:tab w:val="left" w:pos="0"/>
        </w:tabs>
        <w:spacing w:line="480" w:lineRule="exact"/>
        <w:ind w:firstLine="594" w:firstLineChars="252"/>
        <w:rPr>
          <w:rFonts w:eastAsia="方正仿宋_GBK"/>
          <w:snapToGrid w:val="0"/>
          <w:color w:val="000000"/>
          <w:kern w:val="32"/>
          <w:sz w:val="24"/>
        </w:rPr>
      </w:pPr>
      <w:r>
        <w:rPr>
          <w:rFonts w:eastAsia="方正仿宋_GBK"/>
          <w:snapToGrid w:val="0"/>
          <w:color w:val="000000"/>
          <w:kern w:val="32"/>
          <w:sz w:val="24"/>
        </w:rPr>
        <w:t>8.</w:t>
      </w:r>
      <w:r>
        <w:rPr>
          <w:rFonts w:hint="eastAsia" w:eastAsia="方正仿宋_GBK"/>
          <w:snapToGrid w:val="0"/>
          <w:color w:val="000000"/>
          <w:kern w:val="32"/>
          <w:sz w:val="24"/>
        </w:rPr>
        <w:t>投标人近</w:t>
      </w:r>
      <w:r>
        <w:rPr>
          <w:rFonts w:eastAsia="方正仿宋_GBK"/>
          <w:snapToGrid w:val="0"/>
          <w:color w:val="000000"/>
          <w:kern w:val="32"/>
          <w:sz w:val="24"/>
        </w:rPr>
        <w:t>3</w:t>
      </w:r>
      <w:r>
        <w:rPr>
          <w:rFonts w:hint="eastAsia" w:eastAsia="方正仿宋_GBK"/>
          <w:snapToGrid w:val="0"/>
          <w:color w:val="000000"/>
          <w:kern w:val="32"/>
          <w:sz w:val="24"/>
        </w:rPr>
        <w:t>年内有行贿犯罪行为且被记录，或者法定代表人有行贿犯罪记录且自记录之日起未超过</w:t>
      </w:r>
      <w:r>
        <w:rPr>
          <w:rFonts w:eastAsia="方正仿宋_GBK"/>
          <w:snapToGrid w:val="0"/>
          <w:color w:val="000000"/>
          <w:kern w:val="32"/>
          <w:sz w:val="24"/>
        </w:rPr>
        <w:t>5</w:t>
      </w:r>
      <w:r>
        <w:rPr>
          <w:rFonts w:hint="eastAsia" w:eastAsia="方正仿宋_GBK"/>
          <w:snapToGrid w:val="0"/>
          <w:color w:val="000000"/>
          <w:kern w:val="32"/>
          <w:sz w:val="24"/>
        </w:rPr>
        <w:t>年的。</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（七）不符合法律、法规规定的其他条件。</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第十一条</w:t>
      </w:r>
      <w:r>
        <w:rPr>
          <w:rFonts w:eastAsia="方正仿宋_GBK"/>
          <w:snapToGrid w:val="0"/>
          <w:color w:val="000000"/>
          <w:kern w:val="32"/>
          <w:sz w:val="24"/>
        </w:rPr>
        <w:t xml:space="preserve"> </w:t>
      </w:r>
      <w:r>
        <w:rPr>
          <w:rFonts w:hint="eastAsia" w:eastAsia="方正仿宋_GBK"/>
          <w:snapToGrid w:val="0"/>
          <w:color w:val="000000"/>
          <w:kern w:val="32"/>
          <w:sz w:val="24"/>
        </w:rPr>
        <w:t>以下条件属于</w:t>
      </w:r>
      <w:bookmarkStart w:id="726" w:name="_Hlk485457906"/>
      <w:r>
        <w:rPr>
          <w:rFonts w:hint="eastAsia" w:eastAsia="方正仿宋_GBK"/>
          <w:snapToGrid w:val="0"/>
          <w:color w:val="000000"/>
          <w:kern w:val="32"/>
          <w:sz w:val="24"/>
        </w:rPr>
        <w:t>资格审查可选条件</w:t>
      </w:r>
      <w:bookmarkEnd w:id="726"/>
      <w:r>
        <w:rPr>
          <w:rFonts w:hint="eastAsia" w:eastAsia="方正仿宋_GBK"/>
          <w:snapToGrid w:val="0"/>
          <w:color w:val="000000"/>
          <w:kern w:val="32"/>
          <w:sz w:val="24"/>
        </w:rPr>
        <w:t>：</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（一）企业或者项目负责人承担过类似工程（</w:t>
      </w:r>
      <w:bookmarkStart w:id="727" w:name="_Hlk485468160"/>
      <w:r>
        <w:rPr>
          <w:rFonts w:hint="eastAsia" w:eastAsia="方正仿宋_GBK"/>
          <w:snapToGrid w:val="0"/>
          <w:color w:val="000000"/>
          <w:kern w:val="32"/>
          <w:sz w:val="24"/>
        </w:rPr>
        <w:t>类似工程业绩</w:t>
      </w:r>
      <w:bookmarkEnd w:id="727"/>
      <w:r>
        <w:rPr>
          <w:rFonts w:hint="eastAsia" w:eastAsia="方正仿宋_GBK"/>
          <w:snapToGrid w:val="0"/>
          <w:color w:val="000000"/>
          <w:kern w:val="32"/>
          <w:sz w:val="24"/>
        </w:rPr>
        <w:t>企业或者项目负责人仅可选</w:t>
      </w:r>
      <w:r>
        <w:rPr>
          <w:rFonts w:eastAsia="方正仿宋_GBK"/>
          <w:snapToGrid w:val="0"/>
          <w:color w:val="000000"/>
          <w:kern w:val="32"/>
          <w:sz w:val="24"/>
        </w:rPr>
        <w:t>1</w:t>
      </w:r>
      <w:r>
        <w:rPr>
          <w:rFonts w:hint="eastAsia" w:eastAsia="方正仿宋_GBK"/>
          <w:snapToGrid w:val="0"/>
          <w:color w:val="000000"/>
          <w:kern w:val="32"/>
          <w:sz w:val="24"/>
        </w:rPr>
        <w:t>个</w:t>
      </w:r>
      <w:r>
        <w:rPr>
          <w:rFonts w:eastAsia="方正仿宋_GBK"/>
          <w:snapToGrid w:val="0"/>
          <w:color w:val="000000"/>
          <w:kern w:val="32"/>
          <w:sz w:val="24"/>
        </w:rPr>
        <w:t>,</w:t>
      </w:r>
      <w:r>
        <w:rPr>
          <w:rFonts w:hint="eastAsia" w:eastAsia="方正仿宋_GBK"/>
          <w:snapToGrid w:val="0"/>
          <w:color w:val="000000"/>
          <w:kern w:val="32"/>
          <w:sz w:val="24"/>
        </w:rPr>
        <w:t>时间范围不得少于</w:t>
      </w:r>
      <w:r>
        <w:rPr>
          <w:rFonts w:eastAsia="方正仿宋_GBK"/>
          <w:snapToGrid w:val="0"/>
          <w:color w:val="000000"/>
          <w:kern w:val="32"/>
          <w:sz w:val="24"/>
        </w:rPr>
        <w:t>3</w:t>
      </w:r>
      <w:r>
        <w:rPr>
          <w:rFonts w:hint="eastAsia" w:eastAsia="方正仿宋_GBK"/>
          <w:snapToGrid w:val="0"/>
          <w:color w:val="000000"/>
          <w:kern w:val="32"/>
          <w:sz w:val="24"/>
        </w:rPr>
        <w:t>年）；</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（二）企业和拟派项目负责人近</w:t>
      </w:r>
      <w:r>
        <w:rPr>
          <w:rFonts w:eastAsia="方正仿宋_GBK"/>
          <w:snapToGrid w:val="0"/>
          <w:color w:val="000000"/>
          <w:kern w:val="32"/>
          <w:sz w:val="24"/>
        </w:rPr>
        <w:t>2</w:t>
      </w:r>
      <w:r>
        <w:rPr>
          <w:rFonts w:hint="eastAsia" w:eastAsia="方正仿宋_GBK"/>
          <w:snapToGrid w:val="0"/>
          <w:color w:val="000000"/>
          <w:kern w:val="32"/>
          <w:sz w:val="24"/>
        </w:rPr>
        <w:t>年内没有因串通投标、弄虚作假、以他人名义投标、骗取中标、转包、违法分包等违法行为受到建设等有关部门行政处罚的；</w:t>
      </w:r>
    </w:p>
    <w:p>
      <w:pPr>
        <w:tabs>
          <w:tab w:val="left" w:pos="0"/>
        </w:tabs>
        <w:spacing w:line="480" w:lineRule="exact"/>
        <w:ind w:firstLine="594" w:firstLineChars="252"/>
        <w:rPr>
          <w:rFonts w:eastAsia="方正仿宋_GBK"/>
          <w:snapToGrid w:val="0"/>
          <w:color w:val="000000"/>
          <w:kern w:val="32"/>
          <w:sz w:val="24"/>
        </w:rPr>
      </w:pPr>
      <w:r>
        <w:rPr>
          <w:rFonts w:hint="eastAsia" w:eastAsia="方正仿宋_GBK"/>
          <w:snapToGrid w:val="0"/>
          <w:color w:val="000000"/>
          <w:kern w:val="32"/>
          <w:sz w:val="24"/>
        </w:rPr>
        <w:t>（三）企业近</w:t>
      </w:r>
      <w:r>
        <w:rPr>
          <w:rFonts w:eastAsia="方正仿宋_GBK"/>
          <w:snapToGrid w:val="0"/>
          <w:color w:val="000000"/>
          <w:kern w:val="32"/>
          <w:sz w:val="24"/>
        </w:rPr>
        <w:t>1</w:t>
      </w:r>
      <w:r>
        <w:rPr>
          <w:rFonts w:hint="eastAsia" w:eastAsia="方正仿宋_GBK"/>
          <w:snapToGrid w:val="0"/>
          <w:color w:val="000000"/>
          <w:kern w:val="32"/>
          <w:sz w:val="24"/>
        </w:rPr>
        <w:t>年内没有无正当理由放弃中标资格（不含项目负责人多投多中后放弃）、不与招标人订立合同、拒不提供履约担保情形的；</w:t>
      </w:r>
    </w:p>
    <w:p>
      <w:pPr>
        <w:tabs>
          <w:tab w:val="left" w:pos="0"/>
        </w:tabs>
        <w:spacing w:line="480" w:lineRule="exact"/>
        <w:ind w:firstLine="594" w:firstLineChars="252"/>
        <w:rPr>
          <w:rFonts w:eastAsia="方正仿宋_GBK"/>
          <w:snapToGrid w:val="0"/>
          <w:color w:val="000000"/>
          <w:kern w:val="32"/>
          <w:sz w:val="24"/>
        </w:rPr>
      </w:pPr>
      <w:r>
        <w:rPr>
          <w:rFonts w:hint="eastAsia" w:eastAsia="方正仿宋_GBK"/>
          <w:snapToGrid w:val="0"/>
          <w:color w:val="000000"/>
          <w:kern w:val="32"/>
          <w:sz w:val="24"/>
        </w:rPr>
        <w:t>（四）企业近三个月内没有因拖欠工人工资被招标项目所在地省、市、县（市、区）建设行政主管部门通报批评的；</w:t>
      </w:r>
    </w:p>
    <w:p>
      <w:pPr>
        <w:tabs>
          <w:tab w:val="left" w:pos="0"/>
        </w:tabs>
        <w:spacing w:line="480" w:lineRule="exact"/>
        <w:ind w:firstLine="594" w:firstLineChars="252"/>
        <w:rPr>
          <w:rFonts w:eastAsia="方正仿宋_GBK"/>
          <w:snapToGrid w:val="0"/>
          <w:color w:val="000000"/>
          <w:kern w:val="32"/>
          <w:sz w:val="24"/>
        </w:rPr>
      </w:pPr>
      <w:r>
        <w:rPr>
          <w:rFonts w:hint="eastAsia" w:eastAsia="方正仿宋_GBK"/>
          <w:snapToGrid w:val="0"/>
          <w:color w:val="000000"/>
          <w:kern w:val="32"/>
          <w:sz w:val="24"/>
        </w:rPr>
        <w:t>（五）投标人或者拟派项目负责人近五年内在招标人之前的工程中没有履约评价不合格的</w:t>
      </w:r>
      <w:r>
        <w:rPr>
          <w:rFonts w:eastAsia="方正仿宋_GBK"/>
          <w:snapToGrid w:val="0"/>
          <w:color w:val="000000"/>
          <w:kern w:val="32"/>
          <w:sz w:val="24"/>
        </w:rPr>
        <w:t>(</w:t>
      </w:r>
      <w:r>
        <w:rPr>
          <w:rFonts w:hint="eastAsia" w:eastAsia="方正仿宋_GBK"/>
          <w:snapToGrid w:val="0"/>
          <w:color w:val="000000"/>
          <w:kern w:val="32"/>
          <w:sz w:val="24"/>
        </w:rPr>
        <w:t>履约评价不合格的名单应当在资格预审公告与招标公告中予以明示</w:t>
      </w:r>
      <w:r>
        <w:rPr>
          <w:rFonts w:eastAsia="方正仿宋_GBK"/>
          <w:snapToGrid w:val="0"/>
          <w:color w:val="000000"/>
          <w:kern w:val="32"/>
          <w:sz w:val="24"/>
        </w:rPr>
        <w:t>)</w:t>
      </w:r>
      <w:r>
        <w:rPr>
          <w:rFonts w:hint="eastAsia" w:eastAsia="方正仿宋_GBK"/>
          <w:snapToGrid w:val="0"/>
          <w:color w:val="000000"/>
          <w:kern w:val="32"/>
          <w:sz w:val="24"/>
        </w:rPr>
        <w:t>。</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第十二条</w:t>
      </w:r>
      <w:r>
        <w:rPr>
          <w:rFonts w:eastAsia="方正仿宋_GBK"/>
          <w:snapToGrid w:val="0"/>
          <w:color w:val="000000"/>
          <w:kern w:val="32"/>
          <w:sz w:val="24"/>
        </w:rPr>
        <w:t xml:space="preserve"> </w:t>
      </w:r>
      <w:r>
        <w:rPr>
          <w:rFonts w:hint="eastAsia" w:eastAsia="方正仿宋_GBK"/>
          <w:snapToGrid w:val="0"/>
          <w:color w:val="000000"/>
          <w:kern w:val="32"/>
          <w:sz w:val="24"/>
        </w:rPr>
        <w:t>采用合格制资格预审的，招标人必须邀请所有资格预审合格的申请人参加投标。</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第十三条</w:t>
      </w:r>
      <w:r>
        <w:rPr>
          <w:rFonts w:eastAsia="方正仿宋_GBK"/>
          <w:snapToGrid w:val="0"/>
          <w:color w:val="000000"/>
          <w:kern w:val="32"/>
          <w:sz w:val="24"/>
        </w:rPr>
        <w:t xml:space="preserve"> </w:t>
      </w:r>
      <w:r>
        <w:rPr>
          <w:rFonts w:hint="eastAsia" w:eastAsia="方正仿宋_GBK"/>
          <w:snapToGrid w:val="0"/>
          <w:color w:val="000000"/>
          <w:kern w:val="32"/>
          <w:sz w:val="24"/>
        </w:rPr>
        <w:t>采用有限数量制的，招标人应当制定具体的“有限数量制资格预审办法”，并在招标公告和资格预审文件中明确。可以选取以下部分或全部因素进行评价：</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（一）财务状况；</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（二）类似项目业绩：企业、项目负责人承担类似工程情况；</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（三）信誉：企业诉讼和仲裁、不良行为等情况，企业获得过“重合同、守信用”称号等；</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（四）认证体系：企业通过质量管理体系、环境管理体系、职业安全健康管理体系认证等；</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（五）信用评价；</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（六）工程奖项：企业、项目负责人承担类似工程获奖情况，</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（七）拟派项目负责人进行答辩，无论是书面答辩还是口头答辩，必须“暗标”法进行评审；</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（八）法律、法规规定的其他内容。</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各市建设行政主管部门可以结合当地实际，对有限数量制资格预审的评分内容和标准进行细化，制定有限数量制资格预审的实施细则。</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第十四条</w:t>
      </w:r>
      <w:r>
        <w:rPr>
          <w:rFonts w:eastAsia="方正仿宋_GBK"/>
          <w:snapToGrid w:val="0"/>
          <w:color w:val="000000"/>
          <w:kern w:val="32"/>
          <w:sz w:val="24"/>
        </w:rPr>
        <w:t xml:space="preserve"> </w:t>
      </w:r>
      <w:r>
        <w:rPr>
          <w:rFonts w:hint="eastAsia" w:eastAsia="方正仿宋_GBK"/>
          <w:snapToGrid w:val="0"/>
          <w:color w:val="000000"/>
          <w:kern w:val="32"/>
          <w:sz w:val="24"/>
        </w:rPr>
        <w:t>采用有限数量制资格预审的，通过资格条件审查的申请人多于</w:t>
      </w:r>
      <w:r>
        <w:rPr>
          <w:rFonts w:eastAsia="方正仿宋_GBK"/>
          <w:snapToGrid w:val="0"/>
          <w:color w:val="000000"/>
          <w:kern w:val="32"/>
          <w:sz w:val="24"/>
        </w:rPr>
        <w:t>9</w:t>
      </w:r>
      <w:r>
        <w:rPr>
          <w:rFonts w:hint="eastAsia" w:eastAsia="方正仿宋_GBK"/>
          <w:snapToGrid w:val="0"/>
          <w:color w:val="000000"/>
          <w:kern w:val="32"/>
          <w:sz w:val="24"/>
        </w:rPr>
        <w:t>家的，招标人应当按得分由高到低顺序选择不少于</w:t>
      </w:r>
      <w:r>
        <w:rPr>
          <w:rFonts w:eastAsia="方正仿宋_GBK"/>
          <w:snapToGrid w:val="0"/>
          <w:color w:val="000000"/>
          <w:kern w:val="32"/>
          <w:sz w:val="24"/>
        </w:rPr>
        <w:t>9</w:t>
      </w:r>
      <w:r>
        <w:rPr>
          <w:rFonts w:hint="eastAsia" w:eastAsia="方正仿宋_GBK"/>
          <w:snapToGrid w:val="0"/>
          <w:color w:val="000000"/>
          <w:kern w:val="32"/>
          <w:sz w:val="24"/>
        </w:rPr>
        <w:t>家通过资格预审的申请人参加投标，其通过资格预审不少于</w:t>
      </w:r>
      <w:r>
        <w:rPr>
          <w:rFonts w:eastAsia="方正仿宋_GBK"/>
          <w:snapToGrid w:val="0"/>
          <w:color w:val="000000"/>
          <w:kern w:val="32"/>
          <w:sz w:val="24"/>
        </w:rPr>
        <w:t>9</w:t>
      </w:r>
      <w:r>
        <w:rPr>
          <w:rFonts w:hint="eastAsia" w:eastAsia="方正仿宋_GBK"/>
          <w:snapToGrid w:val="0"/>
          <w:color w:val="000000"/>
          <w:kern w:val="32"/>
          <w:sz w:val="24"/>
        </w:rPr>
        <w:t>家合格投标人的数量应当在招标公告中明确。</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第十五条资格预审项目招标人未设置企业或者项目负责人承担过类似工程条件，通过资格条件审查的申请人不足</w:t>
      </w:r>
      <w:r>
        <w:rPr>
          <w:rFonts w:eastAsia="方正仿宋_GBK"/>
          <w:snapToGrid w:val="0"/>
          <w:color w:val="000000"/>
          <w:kern w:val="32"/>
          <w:sz w:val="24"/>
        </w:rPr>
        <w:t>9</w:t>
      </w:r>
      <w:r>
        <w:rPr>
          <w:rFonts w:hint="eastAsia" w:eastAsia="方正仿宋_GBK"/>
          <w:snapToGrid w:val="0"/>
          <w:color w:val="000000"/>
          <w:kern w:val="32"/>
          <w:sz w:val="24"/>
        </w:rPr>
        <w:t>家（少于</w:t>
      </w:r>
      <w:r>
        <w:rPr>
          <w:rFonts w:eastAsia="方正仿宋_GBK"/>
          <w:snapToGrid w:val="0"/>
          <w:color w:val="000000"/>
          <w:kern w:val="32"/>
          <w:sz w:val="24"/>
        </w:rPr>
        <w:t>3</w:t>
      </w:r>
      <w:r>
        <w:rPr>
          <w:rFonts w:hint="eastAsia" w:eastAsia="方正仿宋_GBK"/>
          <w:snapToGrid w:val="0"/>
          <w:color w:val="000000"/>
          <w:kern w:val="32"/>
          <w:sz w:val="24"/>
        </w:rPr>
        <w:t>家除外）的，招标人应邀请所有通过资格预审的申请人参加投标。</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第十六条</w:t>
      </w:r>
      <w:r>
        <w:rPr>
          <w:rFonts w:eastAsia="方正仿宋_GBK"/>
          <w:snapToGrid w:val="0"/>
          <w:color w:val="000000"/>
          <w:kern w:val="32"/>
          <w:sz w:val="24"/>
        </w:rPr>
        <w:t xml:space="preserve"> </w:t>
      </w:r>
      <w:r>
        <w:rPr>
          <w:rFonts w:hint="eastAsia" w:eastAsia="方正仿宋_GBK"/>
          <w:snapToGrid w:val="0"/>
          <w:color w:val="000000"/>
          <w:kern w:val="32"/>
          <w:sz w:val="24"/>
        </w:rPr>
        <w:t>资格预审项目因招标人设置企业或者项目负责人承担过类似工程业绩，导致资格预审合格的申请人不足</w:t>
      </w:r>
      <w:r>
        <w:rPr>
          <w:rFonts w:eastAsia="方正仿宋_GBK"/>
          <w:snapToGrid w:val="0"/>
          <w:color w:val="000000"/>
          <w:kern w:val="32"/>
          <w:sz w:val="24"/>
        </w:rPr>
        <w:t>9</w:t>
      </w:r>
      <w:r>
        <w:rPr>
          <w:rFonts w:hint="eastAsia" w:eastAsia="方正仿宋_GBK"/>
          <w:snapToGrid w:val="0"/>
          <w:color w:val="000000"/>
          <w:kern w:val="32"/>
          <w:sz w:val="24"/>
        </w:rPr>
        <w:t>家，招标人应当降低企业承担过类似工程业绩条件（量化指标不超过</w:t>
      </w:r>
      <w:r>
        <w:rPr>
          <w:rFonts w:eastAsia="方正仿宋_GBK"/>
          <w:snapToGrid w:val="0"/>
          <w:color w:val="000000"/>
          <w:kern w:val="32"/>
          <w:sz w:val="24"/>
        </w:rPr>
        <w:t>50%</w:t>
      </w:r>
      <w:r>
        <w:rPr>
          <w:rFonts w:hint="eastAsia" w:eastAsia="方正仿宋_GBK"/>
          <w:snapToGrid w:val="0"/>
          <w:color w:val="000000"/>
          <w:kern w:val="32"/>
          <w:sz w:val="24"/>
        </w:rPr>
        <w:t>）或者取消项目负责人承担过类似工程业绩条件，改为资格后审重新发布招标公告。</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第十七条招标人编制的资格预审文件或者招标文件不得含有以下内容：</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（一）设定与招标项目的具体特点和实际需要不相适应的资格、技术、商务条件；</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（二）以特定行政区域或者特定行业的业绩、奖项作为加分或者通过资格审查的条件；</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（三）对潜在投标人或者投标人采用不同的资格审查标准；</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（四）非法限定潜在投标人或者投标人的所有制形式或者组织形式；</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（五）以其他不合理条件限制、排斥潜在投标人或者投标人：</w:t>
      </w:r>
    </w:p>
    <w:p>
      <w:pPr>
        <w:tabs>
          <w:tab w:val="left" w:pos="0"/>
        </w:tabs>
        <w:spacing w:line="480" w:lineRule="exact"/>
        <w:ind w:firstLine="594" w:firstLineChars="252"/>
        <w:rPr>
          <w:rFonts w:eastAsia="方正仿宋_GBK"/>
          <w:snapToGrid w:val="0"/>
          <w:color w:val="000000"/>
          <w:kern w:val="32"/>
          <w:sz w:val="24"/>
        </w:rPr>
      </w:pPr>
      <w:r>
        <w:rPr>
          <w:rFonts w:eastAsia="方正仿宋_GBK"/>
          <w:snapToGrid w:val="0"/>
          <w:color w:val="000000"/>
          <w:kern w:val="32"/>
          <w:sz w:val="24"/>
        </w:rPr>
        <w:t>1.</w:t>
      </w:r>
      <w:r>
        <w:rPr>
          <w:rFonts w:hint="eastAsia" w:eastAsia="方正仿宋_GBK"/>
          <w:snapToGrid w:val="0"/>
          <w:color w:val="000000"/>
          <w:kern w:val="32"/>
          <w:sz w:val="24"/>
        </w:rPr>
        <w:t>提高潜在投标人、投标人或者项目负责人的资质（资格）等级，对企业注册地提出要求的；</w:t>
      </w:r>
    </w:p>
    <w:p>
      <w:pPr>
        <w:tabs>
          <w:tab w:val="left" w:pos="0"/>
        </w:tabs>
        <w:spacing w:line="480" w:lineRule="exact"/>
        <w:ind w:firstLine="594" w:firstLineChars="252"/>
        <w:rPr>
          <w:rFonts w:eastAsia="方正仿宋_GBK"/>
          <w:snapToGrid w:val="0"/>
          <w:color w:val="000000"/>
          <w:kern w:val="32"/>
          <w:sz w:val="24"/>
        </w:rPr>
      </w:pPr>
      <w:r>
        <w:rPr>
          <w:rFonts w:eastAsia="方正仿宋_GBK"/>
          <w:snapToGrid w:val="0"/>
          <w:color w:val="000000"/>
          <w:kern w:val="32"/>
          <w:sz w:val="24"/>
        </w:rPr>
        <w:t>2.</w:t>
      </w:r>
      <w:r>
        <w:rPr>
          <w:rFonts w:hint="eastAsia" w:eastAsia="方正仿宋_GBK"/>
          <w:snapToGrid w:val="0"/>
          <w:color w:val="000000"/>
          <w:kern w:val="32"/>
          <w:sz w:val="24"/>
        </w:rPr>
        <w:t>施工总承包项目，招标人要求投标人同时具备总承包资质承接范围内的专业承包资质的，但钢结构分部工程估算价超过总承包工程项目估算价</w:t>
      </w:r>
      <w:r>
        <w:rPr>
          <w:rFonts w:eastAsia="方正仿宋_GBK"/>
          <w:snapToGrid w:val="0"/>
          <w:color w:val="000000"/>
          <w:kern w:val="32"/>
          <w:sz w:val="24"/>
        </w:rPr>
        <w:t>50%</w:t>
      </w:r>
      <w:r>
        <w:rPr>
          <w:rFonts w:hint="eastAsia" w:eastAsia="方正仿宋_GBK"/>
          <w:snapToGrid w:val="0"/>
          <w:color w:val="000000"/>
          <w:kern w:val="32"/>
          <w:sz w:val="24"/>
        </w:rPr>
        <w:t>的除外；</w:t>
      </w:r>
    </w:p>
    <w:p>
      <w:pPr>
        <w:tabs>
          <w:tab w:val="left" w:pos="0"/>
        </w:tabs>
        <w:spacing w:line="480" w:lineRule="exact"/>
        <w:ind w:firstLine="594" w:firstLineChars="252"/>
        <w:rPr>
          <w:rFonts w:eastAsia="方正仿宋_GBK"/>
          <w:snapToGrid w:val="0"/>
          <w:color w:val="000000"/>
          <w:kern w:val="32"/>
          <w:sz w:val="24"/>
        </w:rPr>
      </w:pPr>
      <w:r>
        <w:rPr>
          <w:rFonts w:eastAsia="方正仿宋_GBK"/>
          <w:snapToGrid w:val="0"/>
          <w:color w:val="000000"/>
          <w:kern w:val="32"/>
          <w:sz w:val="24"/>
        </w:rPr>
        <w:t>3.</w:t>
      </w:r>
      <w:r>
        <w:rPr>
          <w:rFonts w:hint="eastAsia" w:eastAsia="方正仿宋_GBK"/>
          <w:snapToGrid w:val="0"/>
          <w:color w:val="000000"/>
          <w:kern w:val="32"/>
          <w:sz w:val="24"/>
        </w:rPr>
        <w:t>专业工程发包，招标人要求投标人同时具备两个及以上的专业承包资质的，不允许联合体参加投标的；</w:t>
      </w:r>
    </w:p>
    <w:p>
      <w:pPr>
        <w:tabs>
          <w:tab w:val="left" w:pos="0"/>
        </w:tabs>
        <w:spacing w:line="480" w:lineRule="exact"/>
        <w:ind w:firstLine="594" w:firstLineChars="252"/>
        <w:rPr>
          <w:rFonts w:eastAsia="方正仿宋_GBK"/>
          <w:snapToGrid w:val="0"/>
          <w:color w:val="000000"/>
          <w:kern w:val="32"/>
          <w:sz w:val="24"/>
        </w:rPr>
      </w:pPr>
      <w:r>
        <w:rPr>
          <w:rFonts w:eastAsia="方正仿宋_GBK"/>
          <w:snapToGrid w:val="0"/>
          <w:color w:val="000000"/>
          <w:kern w:val="32"/>
          <w:sz w:val="24"/>
        </w:rPr>
        <w:t>4.</w:t>
      </w:r>
      <w:r>
        <w:rPr>
          <w:rFonts w:hint="eastAsia" w:eastAsia="方正仿宋_GBK"/>
          <w:snapToGrid w:val="0"/>
          <w:color w:val="000000"/>
          <w:kern w:val="32"/>
          <w:sz w:val="24"/>
        </w:rPr>
        <w:t>单一的房屋建筑或市政工程总承包招标时</w:t>
      </w:r>
      <w:r>
        <w:rPr>
          <w:rFonts w:eastAsia="方正仿宋_GBK"/>
          <w:snapToGrid w:val="0"/>
          <w:color w:val="000000"/>
          <w:kern w:val="32"/>
          <w:sz w:val="24"/>
        </w:rPr>
        <w:t>,</w:t>
      </w:r>
      <w:r>
        <w:rPr>
          <w:rFonts w:hint="eastAsia" w:eastAsia="方正仿宋_GBK"/>
          <w:snapToGrid w:val="0"/>
          <w:color w:val="000000"/>
          <w:kern w:val="32"/>
          <w:sz w:val="24"/>
        </w:rPr>
        <w:t>一个招标项目</w:t>
      </w:r>
      <w:r>
        <w:rPr>
          <w:rFonts w:eastAsia="方正仿宋_GBK"/>
          <w:snapToGrid w:val="0"/>
          <w:color w:val="000000"/>
          <w:kern w:val="32"/>
          <w:sz w:val="24"/>
        </w:rPr>
        <w:t>(</w:t>
      </w:r>
      <w:r>
        <w:rPr>
          <w:rFonts w:hint="eastAsia" w:eastAsia="方正仿宋_GBK"/>
          <w:snapToGrid w:val="0"/>
          <w:color w:val="000000"/>
          <w:kern w:val="32"/>
          <w:sz w:val="24"/>
        </w:rPr>
        <w:t>标段</w:t>
      </w:r>
      <w:r>
        <w:rPr>
          <w:rFonts w:eastAsia="方正仿宋_GBK"/>
          <w:snapToGrid w:val="0"/>
          <w:color w:val="000000"/>
          <w:kern w:val="32"/>
          <w:sz w:val="24"/>
        </w:rPr>
        <w:t>)</w:t>
      </w:r>
      <w:r>
        <w:rPr>
          <w:rFonts w:hint="eastAsia" w:eastAsia="方正仿宋_GBK"/>
          <w:snapToGrid w:val="0"/>
          <w:color w:val="000000"/>
          <w:kern w:val="32"/>
          <w:sz w:val="24"/>
        </w:rPr>
        <w:t>要求投标人同时具备两个及以上类别的总承包资质的。</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第十八条</w:t>
      </w:r>
      <w:r>
        <w:rPr>
          <w:rFonts w:eastAsia="方正仿宋_GBK"/>
          <w:snapToGrid w:val="0"/>
          <w:color w:val="000000"/>
          <w:kern w:val="32"/>
          <w:sz w:val="24"/>
        </w:rPr>
        <w:t xml:space="preserve"> </w:t>
      </w:r>
      <w:r>
        <w:rPr>
          <w:rFonts w:hint="eastAsia" w:eastAsia="方正仿宋_GBK"/>
          <w:snapToGrid w:val="0"/>
          <w:color w:val="000000"/>
          <w:kern w:val="32"/>
          <w:sz w:val="24"/>
        </w:rPr>
        <w:t>联合体投标的，联合体各成员单位应当具备与联合体协议中约定的分工相适应的施工资质和施工能力。</w:t>
      </w:r>
    </w:p>
    <w:p>
      <w:pPr>
        <w:tabs>
          <w:tab w:val="left" w:pos="0"/>
        </w:tabs>
        <w:spacing w:line="480" w:lineRule="exact"/>
        <w:rPr>
          <w:rFonts w:eastAsia="方正仿宋_GBK"/>
          <w:snapToGrid w:val="0"/>
          <w:color w:val="000000"/>
          <w:kern w:val="32"/>
          <w:sz w:val="24"/>
        </w:rPr>
      </w:pPr>
      <w:r>
        <w:rPr>
          <w:rFonts w:hint="eastAsia" w:eastAsia="方正仿宋_GBK"/>
          <w:snapToGrid w:val="0"/>
          <w:color w:val="000000"/>
          <w:kern w:val="32"/>
          <w:sz w:val="24"/>
        </w:rPr>
        <w:t>第三章</w:t>
      </w:r>
      <w:r>
        <w:rPr>
          <w:rFonts w:eastAsia="方正仿宋_GBK"/>
          <w:snapToGrid w:val="0"/>
          <w:color w:val="000000"/>
          <w:kern w:val="32"/>
          <w:sz w:val="24"/>
        </w:rPr>
        <w:t xml:space="preserve"> </w:t>
      </w:r>
      <w:r>
        <w:rPr>
          <w:rFonts w:hint="eastAsia" w:eastAsia="方正仿宋_GBK"/>
          <w:snapToGrid w:val="0"/>
          <w:color w:val="000000"/>
          <w:kern w:val="32"/>
          <w:sz w:val="24"/>
        </w:rPr>
        <w:t>资格审查</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第十九条</w:t>
      </w:r>
      <w:r>
        <w:rPr>
          <w:rFonts w:eastAsia="方正仿宋_GBK"/>
          <w:snapToGrid w:val="0"/>
          <w:color w:val="000000"/>
          <w:kern w:val="32"/>
          <w:sz w:val="24"/>
        </w:rPr>
        <w:t xml:space="preserve"> </w:t>
      </w:r>
      <w:r>
        <w:rPr>
          <w:rFonts w:hint="eastAsia" w:eastAsia="方正仿宋_GBK"/>
          <w:snapToGrid w:val="0"/>
          <w:color w:val="000000"/>
          <w:kern w:val="32"/>
          <w:sz w:val="24"/>
        </w:rPr>
        <w:t>申请人应当按照资格预审文件要求在资格预审申请文件的截止时间前提交资格预审申请文件。资格预审开始时间与提交资格预审申请文件的截止时间一致。</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在资格预审文件要求提交资格预审申请文件的截止时间后送达的资格预审申请文件，招标人应当拒绝。</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第二十条</w:t>
      </w:r>
      <w:r>
        <w:rPr>
          <w:rFonts w:eastAsia="方正仿宋_GBK"/>
          <w:snapToGrid w:val="0"/>
          <w:color w:val="000000"/>
          <w:kern w:val="32"/>
          <w:sz w:val="24"/>
        </w:rPr>
        <w:t xml:space="preserve"> </w:t>
      </w:r>
      <w:r>
        <w:rPr>
          <w:rFonts w:hint="eastAsia" w:eastAsia="方正仿宋_GBK"/>
          <w:snapToGrid w:val="0"/>
          <w:color w:val="000000"/>
          <w:kern w:val="32"/>
          <w:sz w:val="24"/>
        </w:rPr>
        <w:t>申请人在规定的提交截止时间前，可以对已经提交的资格预审申请文件进行替换或者撤回。</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第二十一条</w:t>
      </w:r>
      <w:r>
        <w:rPr>
          <w:rFonts w:eastAsia="方正仿宋_GBK"/>
          <w:snapToGrid w:val="0"/>
          <w:color w:val="000000"/>
          <w:kern w:val="32"/>
          <w:sz w:val="24"/>
        </w:rPr>
        <w:t xml:space="preserve"> </w:t>
      </w:r>
      <w:r>
        <w:rPr>
          <w:rFonts w:hint="eastAsia" w:eastAsia="方正仿宋_GBK"/>
          <w:snapToGrid w:val="0"/>
          <w:color w:val="000000"/>
          <w:kern w:val="32"/>
          <w:sz w:val="24"/>
        </w:rPr>
        <w:t>招标人采用资格预审方式对申请人进行资格审查的，应当组建资格审查委员会。评审专家应当从省级建设行政主管部门设立的评标专家名册或公共资源综合专家库中随机抽取。资格审查委员会成员名单在评审工作结束前应当保密。</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招标人采用资格后审方式进行资格审查的，应当在开标后由评标委员会按照招标文件规定的标准和方法对投标人的资格进行审查。</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第二十二条</w:t>
      </w:r>
      <w:r>
        <w:rPr>
          <w:rFonts w:eastAsia="方正仿宋_GBK"/>
          <w:snapToGrid w:val="0"/>
          <w:color w:val="000000"/>
          <w:kern w:val="32"/>
          <w:sz w:val="24"/>
        </w:rPr>
        <w:t xml:space="preserve"> </w:t>
      </w:r>
      <w:r>
        <w:rPr>
          <w:rFonts w:hint="eastAsia" w:eastAsia="方正仿宋_GBK"/>
          <w:snapToGrid w:val="0"/>
          <w:color w:val="000000"/>
          <w:kern w:val="32"/>
          <w:sz w:val="24"/>
        </w:rPr>
        <w:t>对申请人或投标人的资格审查，应当严格按照资格预审文件或者招标文件中规定的审查标准和办法进行。资格预审文件或者招标文件中没有载明的审查标准和办法不得作为评审的依据。否则，应当责令资格审查委员会重新进行评审。</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第二十三条</w:t>
      </w:r>
      <w:r>
        <w:rPr>
          <w:rFonts w:eastAsia="方正仿宋_GBK"/>
          <w:snapToGrid w:val="0"/>
          <w:color w:val="000000"/>
          <w:kern w:val="32"/>
          <w:sz w:val="24"/>
        </w:rPr>
        <w:t xml:space="preserve"> </w:t>
      </w:r>
      <w:r>
        <w:rPr>
          <w:rFonts w:hint="eastAsia" w:eastAsia="方正仿宋_GBK"/>
          <w:snapToGrid w:val="0"/>
          <w:color w:val="000000"/>
          <w:kern w:val="32"/>
          <w:sz w:val="24"/>
        </w:rPr>
        <w:t>对资格预审申请文件中不明确的内容或者缺乏证明材料的，资格审查委员会可以要求申请人进行澄清。澄清应当采用书面形式，并不得改变资格预审申请文件的实质性内容。</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申请人澄清的内容属于资格预审申请文件的组成部分。</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资格审查委员会不接受申请人主动提出的澄清。</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第二十四条</w:t>
      </w:r>
      <w:r>
        <w:rPr>
          <w:rFonts w:eastAsia="方正仿宋_GBK"/>
          <w:snapToGrid w:val="0"/>
          <w:color w:val="000000"/>
          <w:kern w:val="32"/>
          <w:sz w:val="24"/>
        </w:rPr>
        <w:t xml:space="preserve"> </w:t>
      </w:r>
      <w:r>
        <w:rPr>
          <w:rFonts w:hint="eastAsia" w:eastAsia="方正仿宋_GBK"/>
          <w:snapToGrid w:val="0"/>
          <w:color w:val="000000"/>
          <w:kern w:val="32"/>
          <w:sz w:val="24"/>
        </w:rPr>
        <w:t>资格审查委员会在审查申请人的业绩、信誉、主要人员情况等内容时，可以对重要内容进行核实，经核实存在弄虚作假的，不予通过资格审查。</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第二十五条</w:t>
      </w:r>
      <w:r>
        <w:rPr>
          <w:rFonts w:eastAsia="方正仿宋_GBK"/>
          <w:snapToGrid w:val="0"/>
          <w:color w:val="000000"/>
          <w:kern w:val="32"/>
          <w:sz w:val="24"/>
        </w:rPr>
        <w:t xml:space="preserve"> </w:t>
      </w:r>
      <w:r>
        <w:rPr>
          <w:rFonts w:hint="eastAsia" w:eastAsia="方正仿宋_GBK"/>
          <w:snapToGrid w:val="0"/>
          <w:color w:val="000000"/>
          <w:kern w:val="32"/>
          <w:sz w:val="24"/>
        </w:rPr>
        <w:t>资格预审的评审工作结束后，由资格审查委员会编制资格评审报告，其内容包括：</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（一）资格审查基本情况；</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（二）申请人未通过资格预审的主要理由及相关证明；</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（三）采用合格制的，提供通过资格预审的申请人名单；采用有限数量制的，提供通过资格预审的申请人排序表名单；</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（四）资格审查记录表等附件。</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采用资格后审的，评标报告中应当包括对投标人进行资格审查的情况。</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第二十六条</w:t>
      </w:r>
      <w:r>
        <w:rPr>
          <w:rFonts w:eastAsia="方正仿宋_GBK"/>
          <w:snapToGrid w:val="0"/>
          <w:color w:val="000000"/>
          <w:kern w:val="32"/>
          <w:sz w:val="24"/>
        </w:rPr>
        <w:t xml:space="preserve"> </w:t>
      </w:r>
      <w:r>
        <w:rPr>
          <w:rFonts w:hint="eastAsia" w:eastAsia="方正仿宋_GBK"/>
          <w:snapToGrid w:val="0"/>
          <w:color w:val="000000"/>
          <w:kern w:val="32"/>
          <w:sz w:val="24"/>
        </w:rPr>
        <w:t>资格预审结束后，招标人应当及时向申请人发出资格预审结果通知书，并将资格预审报告抄送招投标监管机构，在</w:t>
      </w:r>
      <w:bookmarkStart w:id="728" w:name="_Hlk485482848"/>
      <w:r>
        <w:rPr>
          <w:rFonts w:hint="eastAsia" w:eastAsia="方正仿宋_GBK"/>
          <w:snapToGrid w:val="0"/>
          <w:color w:val="000000"/>
          <w:kern w:val="32"/>
          <w:sz w:val="24"/>
        </w:rPr>
        <w:t>资格预审公告发布</w:t>
      </w:r>
      <w:bookmarkEnd w:id="728"/>
      <w:r>
        <w:rPr>
          <w:rFonts w:hint="eastAsia" w:eastAsia="方正仿宋_GBK"/>
          <w:snapToGrid w:val="0"/>
          <w:color w:val="000000"/>
          <w:kern w:val="32"/>
          <w:sz w:val="24"/>
        </w:rPr>
        <w:t>媒介上公示资格预审不合格的申请人的名单和原因，公示期不少于</w:t>
      </w:r>
      <w:r>
        <w:rPr>
          <w:rFonts w:eastAsia="方正仿宋_GBK"/>
          <w:snapToGrid w:val="0"/>
          <w:color w:val="000000"/>
          <w:kern w:val="32"/>
          <w:sz w:val="24"/>
        </w:rPr>
        <w:t>3</w:t>
      </w:r>
      <w:r>
        <w:rPr>
          <w:rFonts w:hint="eastAsia" w:eastAsia="方正仿宋_GBK"/>
          <w:snapToGrid w:val="0"/>
          <w:color w:val="000000"/>
          <w:kern w:val="32"/>
          <w:sz w:val="24"/>
        </w:rPr>
        <w:t>日。</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第二十七条资格预审活动中出现下列情况之一的，招标人应当按照相关规定重新组建资格审查委员会进行评审：</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（一）使用资格预审文件未规定的评审标准和方法且拒不改正的；</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（二）应当回避担任资格审查委员会成员的人参与评审的；</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（三）资格审查委员会的组建及人员组成不符合要求的；</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（四）资格审查委员会及其成员在评审过程中有违法行为，且影响评审结果的；</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（五）法律、行政法规规定的其他情况。</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第二十八条</w:t>
      </w:r>
      <w:r>
        <w:rPr>
          <w:rFonts w:eastAsia="方正仿宋_GBK"/>
          <w:snapToGrid w:val="0"/>
          <w:color w:val="000000"/>
          <w:kern w:val="32"/>
          <w:sz w:val="24"/>
        </w:rPr>
        <w:t xml:space="preserve"> </w:t>
      </w:r>
      <w:r>
        <w:rPr>
          <w:rFonts w:hint="eastAsia" w:eastAsia="方正仿宋_GBK"/>
          <w:snapToGrid w:val="0"/>
          <w:color w:val="000000"/>
          <w:kern w:val="32"/>
          <w:sz w:val="24"/>
        </w:rPr>
        <w:t>投标文件确定的项目负责人与资格预审结果不一致的，采用有限数量制资格预审的，应当在投标文件截止时间前征得招标人书面同意（项目负责人进行答辩的不得更换），并由原资格审查委员会审查确定；采用合格制资格预审的项目，应当在投标文件截止时间前征得招标人书面同意，在评标时，由评标委员会按照资格预审文件规定的标准和方法审查确认。</w:t>
      </w:r>
    </w:p>
    <w:p>
      <w:pPr>
        <w:tabs>
          <w:tab w:val="left" w:pos="0"/>
        </w:tabs>
        <w:spacing w:line="480" w:lineRule="exact"/>
        <w:rPr>
          <w:rFonts w:eastAsia="方正仿宋_GBK"/>
          <w:snapToGrid w:val="0"/>
          <w:color w:val="000000"/>
          <w:kern w:val="32"/>
          <w:sz w:val="24"/>
        </w:rPr>
      </w:pPr>
      <w:r>
        <w:rPr>
          <w:rFonts w:hint="eastAsia" w:eastAsia="方正仿宋_GBK"/>
          <w:snapToGrid w:val="0"/>
          <w:color w:val="000000"/>
          <w:kern w:val="32"/>
          <w:sz w:val="24"/>
        </w:rPr>
        <w:t>第四章</w:t>
      </w:r>
      <w:r>
        <w:rPr>
          <w:rFonts w:eastAsia="方正仿宋_GBK"/>
          <w:snapToGrid w:val="0"/>
          <w:color w:val="000000"/>
          <w:kern w:val="32"/>
          <w:sz w:val="24"/>
        </w:rPr>
        <w:t xml:space="preserve"> </w:t>
      </w:r>
      <w:r>
        <w:rPr>
          <w:rFonts w:hint="eastAsia" w:eastAsia="方正仿宋_GBK"/>
          <w:snapToGrid w:val="0"/>
          <w:color w:val="000000"/>
          <w:kern w:val="32"/>
          <w:sz w:val="24"/>
        </w:rPr>
        <w:t>附则</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第二十九条</w:t>
      </w:r>
      <w:r>
        <w:rPr>
          <w:rFonts w:eastAsia="方正仿宋_GBK"/>
          <w:snapToGrid w:val="0"/>
          <w:color w:val="000000"/>
          <w:kern w:val="32"/>
          <w:sz w:val="24"/>
        </w:rPr>
        <w:t xml:space="preserve"> </w:t>
      </w:r>
      <w:r>
        <w:rPr>
          <w:rFonts w:hint="eastAsia" w:eastAsia="方正仿宋_GBK"/>
          <w:snapToGrid w:val="0"/>
          <w:color w:val="000000"/>
          <w:kern w:val="32"/>
          <w:sz w:val="24"/>
        </w:rPr>
        <w:t>投标人存在串通投标、以他人名义投标、弄虚作假等违法违规行为，或者无正当理由放弃投标、中标资格，造成项目招标失败的，不得参加该项目重新招标的投标。</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第三十条</w:t>
      </w:r>
      <w:r>
        <w:rPr>
          <w:rFonts w:eastAsia="方正仿宋_GBK"/>
          <w:snapToGrid w:val="0"/>
          <w:color w:val="000000"/>
          <w:kern w:val="32"/>
          <w:sz w:val="24"/>
        </w:rPr>
        <w:t xml:space="preserve"> </w:t>
      </w:r>
      <w:r>
        <w:rPr>
          <w:rFonts w:hint="eastAsia" w:eastAsia="方正仿宋_GBK"/>
          <w:snapToGrid w:val="0"/>
          <w:color w:val="000000"/>
          <w:kern w:val="32"/>
          <w:sz w:val="24"/>
        </w:rPr>
        <w:t>在资格审查活动中，有违反法律、法规、规章行为的，由建设行政主管部门依照法律、法规、规章的规定予以处理或者处罚。</w:t>
      </w:r>
    </w:p>
    <w:p>
      <w:pPr>
        <w:tabs>
          <w:tab w:val="left" w:pos="0"/>
        </w:tabs>
        <w:spacing w:line="540" w:lineRule="exact"/>
        <w:ind w:firstLine="638" w:firstLineChars="202"/>
        <w:outlineLvl w:val="0"/>
        <w:rPr>
          <w:rFonts w:eastAsia="方正仿宋_GBK"/>
          <w:snapToGrid w:val="0"/>
          <w:color w:val="000000"/>
          <w:kern w:val="32"/>
          <w:sz w:val="32"/>
        </w:rPr>
      </w:pPr>
    </w:p>
    <w:p>
      <w:pPr>
        <w:spacing w:line="570" w:lineRule="exact"/>
        <w:rPr>
          <w:rFonts w:ascii="Times New Roman" w:eastAsia="方正黑体_GBK"/>
          <w:snapToGrid w:val="0"/>
          <w:color w:val="000000"/>
          <w:kern w:val="0"/>
          <w:sz w:val="32"/>
        </w:rPr>
      </w:pPr>
      <w:r>
        <w:rPr>
          <w:rFonts w:eastAsia="方正仿宋_GBK"/>
          <w:snapToGrid w:val="0"/>
          <w:color w:val="000000"/>
          <w:kern w:val="32"/>
          <w:sz w:val="32"/>
        </w:rPr>
        <w:br w:type="page"/>
      </w:r>
      <w:r>
        <w:rPr>
          <w:rFonts w:hint="eastAsia" w:ascii="Times New Roman" w:eastAsia="方正黑体_GBK"/>
          <w:snapToGrid w:val="0"/>
          <w:color w:val="000000"/>
          <w:kern w:val="0"/>
          <w:sz w:val="32"/>
        </w:rPr>
        <w:t>附件3</w:t>
      </w:r>
    </w:p>
    <w:p>
      <w:pPr>
        <w:tabs>
          <w:tab w:val="left" w:pos="0"/>
        </w:tabs>
        <w:spacing w:line="540" w:lineRule="exact"/>
        <w:outlineLvl w:val="0"/>
        <w:rPr>
          <w:rFonts w:hint="eastAsia" w:eastAsia="方正仿宋_GBK"/>
          <w:snapToGrid w:val="0"/>
          <w:color w:val="000000"/>
          <w:kern w:val="32"/>
          <w:sz w:val="32"/>
        </w:rPr>
      </w:pPr>
    </w:p>
    <w:p>
      <w:pPr>
        <w:spacing w:line="570" w:lineRule="exact"/>
        <w:jc w:val="center"/>
        <w:rPr>
          <w:rFonts w:ascii="Times New Roman" w:eastAsia="方正小标宋_GBK"/>
          <w:snapToGrid w:val="0"/>
          <w:color w:val="000000"/>
          <w:kern w:val="0"/>
          <w:sz w:val="36"/>
          <w:szCs w:val="36"/>
        </w:rPr>
      </w:pPr>
      <w:r>
        <w:rPr>
          <w:rFonts w:hint="eastAsia" w:ascii="Times New Roman" w:eastAsia="方正小标宋_GBK"/>
          <w:snapToGrid w:val="0"/>
          <w:color w:val="000000"/>
          <w:kern w:val="0"/>
          <w:sz w:val="36"/>
          <w:szCs w:val="36"/>
        </w:rPr>
        <w:t>江苏省房屋建筑和市政基础设施工程</w:t>
      </w:r>
    </w:p>
    <w:p>
      <w:pPr>
        <w:spacing w:line="570" w:lineRule="exact"/>
        <w:jc w:val="center"/>
        <w:rPr>
          <w:rFonts w:hint="eastAsia" w:ascii="Times New Roman" w:eastAsia="方正小标宋_GBK"/>
          <w:snapToGrid w:val="0"/>
          <w:color w:val="000000"/>
          <w:kern w:val="0"/>
          <w:sz w:val="36"/>
          <w:szCs w:val="36"/>
        </w:rPr>
      </w:pPr>
      <w:r>
        <w:rPr>
          <w:rFonts w:hint="eastAsia" w:ascii="Times New Roman" w:eastAsia="方正小标宋_GBK"/>
          <w:snapToGrid w:val="0"/>
          <w:color w:val="000000"/>
          <w:kern w:val="0"/>
          <w:sz w:val="36"/>
          <w:szCs w:val="36"/>
        </w:rPr>
        <w:t>施工招标评标办法</w:t>
      </w:r>
    </w:p>
    <w:p>
      <w:pPr>
        <w:tabs>
          <w:tab w:val="left" w:pos="0"/>
        </w:tabs>
        <w:spacing w:line="540" w:lineRule="exact"/>
        <w:ind w:firstLine="559" w:firstLineChars="177"/>
        <w:jc w:val="center"/>
        <w:outlineLvl w:val="0"/>
        <w:rPr>
          <w:rFonts w:hint="eastAsia" w:eastAsia="方正仿宋_GBK"/>
          <w:snapToGrid w:val="0"/>
          <w:color w:val="000000"/>
          <w:kern w:val="32"/>
          <w:sz w:val="32"/>
        </w:rPr>
      </w:pP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第一条</w:t>
      </w:r>
      <w:r>
        <w:rPr>
          <w:rFonts w:eastAsia="方正仿宋_GBK"/>
          <w:snapToGrid w:val="0"/>
          <w:color w:val="000000"/>
          <w:kern w:val="32"/>
          <w:sz w:val="24"/>
        </w:rPr>
        <w:t xml:space="preserve"> </w:t>
      </w:r>
      <w:r>
        <w:rPr>
          <w:rFonts w:hint="eastAsia" w:eastAsia="方正仿宋_GBK"/>
          <w:snapToGrid w:val="0"/>
          <w:color w:val="000000"/>
          <w:kern w:val="32"/>
          <w:sz w:val="24"/>
        </w:rPr>
        <w:t>为进一步规范我省房屋建筑和市政基础设施工程施工招标评标活动，根据招标投标相关法律、法规、规章的规定，结合我省实际，制定本办法。</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第二条</w:t>
      </w:r>
      <w:r>
        <w:rPr>
          <w:rFonts w:eastAsia="方正仿宋_GBK"/>
          <w:snapToGrid w:val="0"/>
          <w:color w:val="000000"/>
          <w:kern w:val="32"/>
          <w:sz w:val="24"/>
        </w:rPr>
        <w:t xml:space="preserve"> </w:t>
      </w:r>
      <w:r>
        <w:rPr>
          <w:rFonts w:hint="eastAsia" w:eastAsia="方正仿宋_GBK"/>
          <w:snapToGrid w:val="0"/>
          <w:color w:val="000000"/>
          <w:kern w:val="32"/>
          <w:sz w:val="24"/>
        </w:rPr>
        <w:t>我省行政区域内，国有资金占控股或者主导地位的依法必须进行招标的施工项目的评标活动，适用本办法。</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第三条</w:t>
      </w:r>
      <w:r>
        <w:rPr>
          <w:rFonts w:eastAsia="方正仿宋_GBK"/>
          <w:snapToGrid w:val="0"/>
          <w:color w:val="000000"/>
          <w:kern w:val="32"/>
          <w:sz w:val="24"/>
        </w:rPr>
        <w:t xml:space="preserve"> </w:t>
      </w:r>
      <w:r>
        <w:rPr>
          <w:rFonts w:hint="eastAsia" w:eastAsia="方正仿宋_GBK"/>
          <w:snapToGrid w:val="0"/>
          <w:color w:val="000000"/>
          <w:kern w:val="32"/>
          <w:sz w:val="24"/>
        </w:rPr>
        <w:t>评标办法包括“综合评估法”、“经评审的最低投标价法”、“合理低价法”、“合理价随机确定中标人法”和法律、法规允许的其他方法。</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第四条</w:t>
      </w:r>
      <w:r>
        <w:rPr>
          <w:rFonts w:eastAsia="方正仿宋_GBK"/>
          <w:snapToGrid w:val="0"/>
          <w:color w:val="000000"/>
          <w:kern w:val="32"/>
          <w:sz w:val="24"/>
        </w:rPr>
        <w:t xml:space="preserve"> </w:t>
      </w:r>
      <w:r>
        <w:rPr>
          <w:rFonts w:hint="eastAsia" w:eastAsia="方正仿宋_GBK"/>
          <w:snapToGrid w:val="0"/>
          <w:color w:val="000000"/>
          <w:kern w:val="32"/>
          <w:sz w:val="24"/>
        </w:rPr>
        <w:t>经评审的最低投标价法、合理低价法、合理价随机确定中标人法，适用于具有通用技术标准或者招标人对其技术、性能没有特殊要求的工程。中、小型工程提倡采用合理价随机确定中标人法。</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综合评估法一般适用于技术复杂工程或者特大型工程。</w:t>
      </w:r>
    </w:p>
    <w:p>
      <w:pPr>
        <w:tabs>
          <w:tab w:val="left" w:pos="0"/>
        </w:tabs>
        <w:spacing w:line="480" w:lineRule="exact"/>
        <w:ind w:right="-36" w:firstLine="476" w:firstLineChars="202"/>
        <w:rPr>
          <w:rFonts w:eastAsia="方正仿宋_GBK"/>
          <w:snapToGrid w:val="0"/>
          <w:color w:val="000000"/>
          <w:kern w:val="32"/>
          <w:sz w:val="24"/>
        </w:rPr>
      </w:pPr>
      <w:r>
        <w:rPr>
          <w:rFonts w:hint="eastAsia" w:eastAsia="方正仿宋_GBK"/>
          <w:snapToGrid w:val="0"/>
          <w:color w:val="000000"/>
          <w:kern w:val="32"/>
          <w:sz w:val="24"/>
        </w:rPr>
        <w:t>第五条</w:t>
      </w:r>
      <w:r>
        <w:rPr>
          <w:rFonts w:eastAsia="方正仿宋_GBK"/>
          <w:snapToGrid w:val="0"/>
          <w:color w:val="000000"/>
          <w:kern w:val="32"/>
          <w:sz w:val="24"/>
        </w:rPr>
        <w:t xml:space="preserve"> </w:t>
      </w:r>
      <w:r>
        <w:rPr>
          <w:rFonts w:hint="eastAsia" w:eastAsia="方正仿宋_GBK"/>
          <w:snapToGrid w:val="0"/>
          <w:color w:val="000000"/>
          <w:kern w:val="32"/>
          <w:sz w:val="24"/>
        </w:rPr>
        <w:t>评标入围。招标人可以在招标文件中明确评标入围条件和评标入围方法，确定一定数量的投标人进行后续评标。</w:t>
      </w:r>
    </w:p>
    <w:p>
      <w:pPr>
        <w:tabs>
          <w:tab w:val="left" w:pos="0"/>
        </w:tabs>
        <w:spacing w:line="480" w:lineRule="exact"/>
        <w:ind w:right="-36" w:firstLine="476" w:firstLineChars="202"/>
        <w:rPr>
          <w:rFonts w:eastAsia="方正仿宋_GBK"/>
          <w:snapToGrid w:val="0"/>
          <w:color w:val="000000"/>
          <w:kern w:val="32"/>
          <w:sz w:val="24"/>
        </w:rPr>
      </w:pPr>
      <w:r>
        <w:rPr>
          <w:rFonts w:hint="eastAsia" w:eastAsia="方正仿宋_GBK"/>
          <w:snapToGrid w:val="0"/>
          <w:color w:val="000000"/>
          <w:kern w:val="32"/>
          <w:sz w:val="24"/>
        </w:rPr>
        <w:t>（一）投标文件存在下列情况之一的，不再进行后续评标：</w:t>
      </w:r>
    </w:p>
    <w:p>
      <w:pPr>
        <w:tabs>
          <w:tab w:val="left" w:pos="0"/>
        </w:tabs>
        <w:spacing w:line="480" w:lineRule="exact"/>
        <w:ind w:right="-36" w:firstLine="594" w:firstLineChars="252"/>
        <w:rPr>
          <w:rFonts w:eastAsia="方正仿宋_GBK"/>
          <w:snapToGrid w:val="0"/>
          <w:color w:val="000000"/>
          <w:kern w:val="32"/>
          <w:sz w:val="24"/>
        </w:rPr>
      </w:pPr>
      <w:r>
        <w:rPr>
          <w:rFonts w:eastAsia="方正仿宋_GBK"/>
          <w:snapToGrid w:val="0"/>
          <w:color w:val="000000"/>
          <w:kern w:val="32"/>
          <w:sz w:val="24"/>
        </w:rPr>
        <w:t>1.</w:t>
      </w:r>
      <w:r>
        <w:rPr>
          <w:rFonts w:hint="eastAsia" w:eastAsia="方正仿宋_GBK"/>
          <w:snapToGrid w:val="0"/>
          <w:color w:val="000000"/>
          <w:kern w:val="32"/>
          <w:sz w:val="24"/>
        </w:rPr>
        <w:t>至投标截止时间止，未足额递交投标保证金；</w:t>
      </w:r>
    </w:p>
    <w:p>
      <w:pPr>
        <w:tabs>
          <w:tab w:val="left" w:pos="0"/>
        </w:tabs>
        <w:spacing w:line="480" w:lineRule="exact"/>
        <w:ind w:right="-36" w:firstLine="594" w:firstLineChars="252"/>
        <w:rPr>
          <w:rFonts w:eastAsia="方正仿宋_GBK"/>
          <w:snapToGrid w:val="0"/>
          <w:color w:val="000000"/>
          <w:kern w:val="32"/>
          <w:sz w:val="24"/>
        </w:rPr>
      </w:pPr>
      <w:r>
        <w:rPr>
          <w:rFonts w:eastAsia="方正仿宋_GBK"/>
          <w:snapToGrid w:val="0"/>
          <w:color w:val="000000"/>
          <w:kern w:val="32"/>
          <w:sz w:val="24"/>
        </w:rPr>
        <w:t>2.</w:t>
      </w:r>
      <w:r>
        <w:rPr>
          <w:rFonts w:hint="eastAsia" w:eastAsia="方正仿宋_GBK"/>
          <w:snapToGrid w:val="0"/>
          <w:color w:val="000000"/>
          <w:kern w:val="32"/>
          <w:sz w:val="24"/>
        </w:rPr>
        <w:t>投标函中载明的招标项目完成期限超过招标文件规定的期限；</w:t>
      </w:r>
    </w:p>
    <w:p>
      <w:pPr>
        <w:tabs>
          <w:tab w:val="left" w:pos="0"/>
        </w:tabs>
        <w:spacing w:line="480" w:lineRule="exact"/>
        <w:ind w:right="-36" w:firstLine="594" w:firstLineChars="252"/>
        <w:rPr>
          <w:rFonts w:eastAsia="方正仿宋_GBK"/>
          <w:snapToGrid w:val="0"/>
          <w:color w:val="000000"/>
          <w:kern w:val="32"/>
          <w:sz w:val="24"/>
        </w:rPr>
      </w:pPr>
      <w:r>
        <w:rPr>
          <w:rFonts w:eastAsia="方正仿宋_GBK"/>
          <w:snapToGrid w:val="0"/>
          <w:color w:val="000000"/>
          <w:kern w:val="32"/>
          <w:sz w:val="24"/>
        </w:rPr>
        <w:t>3.</w:t>
      </w:r>
      <w:r>
        <w:rPr>
          <w:rFonts w:hint="eastAsia" w:eastAsia="方正仿宋_GBK"/>
          <w:snapToGrid w:val="0"/>
          <w:color w:val="000000"/>
          <w:kern w:val="32"/>
          <w:sz w:val="24"/>
        </w:rPr>
        <w:t>投标函中载明的投标质量标准未响应招标文件的实质性要求和条件；</w:t>
      </w:r>
    </w:p>
    <w:p>
      <w:pPr>
        <w:tabs>
          <w:tab w:val="left" w:pos="0"/>
        </w:tabs>
        <w:spacing w:line="480" w:lineRule="exact"/>
        <w:ind w:right="-36" w:firstLine="594" w:firstLineChars="252"/>
        <w:rPr>
          <w:rFonts w:eastAsia="方正仿宋_GBK"/>
          <w:snapToGrid w:val="0"/>
          <w:color w:val="000000"/>
          <w:kern w:val="32"/>
          <w:sz w:val="24"/>
        </w:rPr>
      </w:pPr>
      <w:r>
        <w:rPr>
          <w:rFonts w:eastAsia="方正仿宋_GBK"/>
          <w:snapToGrid w:val="0"/>
          <w:color w:val="000000"/>
          <w:kern w:val="32"/>
          <w:sz w:val="24"/>
        </w:rPr>
        <w:t>4.</w:t>
      </w:r>
      <w:r>
        <w:rPr>
          <w:rFonts w:hint="eastAsia" w:eastAsia="方正仿宋_GBK"/>
          <w:snapToGrid w:val="0"/>
          <w:color w:val="000000"/>
          <w:kern w:val="32"/>
          <w:sz w:val="24"/>
        </w:rPr>
        <w:t>投标函中载明的投标报价高于</w:t>
      </w:r>
      <w:r>
        <w:rPr>
          <w:rFonts w:hint="eastAsia" w:ascii="Times New Roman" w:hAnsi="Times New Roman" w:eastAsia="仿宋_GB2312"/>
          <w:color w:val="000000"/>
          <w:sz w:val="24"/>
        </w:rPr>
        <w:t>招标控制价或者招标人期望值</w:t>
      </w:r>
      <w:r>
        <w:rPr>
          <w:rFonts w:hint="eastAsia" w:eastAsia="方正仿宋_GBK"/>
          <w:snapToGrid w:val="0"/>
          <w:color w:val="000000"/>
          <w:kern w:val="32"/>
          <w:sz w:val="24"/>
        </w:rPr>
        <w:t>的（招标控制价乘以</w:t>
      </w:r>
      <w:r>
        <w:rPr>
          <w:rFonts w:eastAsia="方正仿宋_GBK"/>
          <w:snapToGrid w:val="0"/>
          <w:color w:val="000000"/>
          <w:kern w:val="32"/>
          <w:sz w:val="24"/>
        </w:rPr>
        <w:t>95%-100%</w:t>
      </w:r>
      <w:r>
        <w:rPr>
          <w:rFonts w:hint="eastAsia" w:eastAsia="方正仿宋_GBK"/>
          <w:snapToGrid w:val="0"/>
          <w:color w:val="000000"/>
          <w:kern w:val="32"/>
          <w:sz w:val="24"/>
        </w:rPr>
        <w:t>，具体数值在招标文件中明确）。</w:t>
      </w:r>
    </w:p>
    <w:p>
      <w:pPr>
        <w:tabs>
          <w:tab w:val="left" w:pos="0"/>
        </w:tabs>
        <w:spacing w:line="480" w:lineRule="exact"/>
        <w:ind w:right="-36" w:firstLine="476" w:firstLineChars="202"/>
        <w:rPr>
          <w:rFonts w:eastAsia="方正仿宋_GBK"/>
          <w:snapToGrid w:val="0"/>
          <w:color w:val="000000"/>
          <w:kern w:val="32"/>
          <w:sz w:val="24"/>
        </w:rPr>
      </w:pPr>
      <w:r>
        <w:rPr>
          <w:rFonts w:hint="eastAsia" w:eastAsia="方正仿宋_GBK"/>
          <w:snapToGrid w:val="0"/>
          <w:color w:val="000000"/>
          <w:kern w:val="32"/>
          <w:sz w:val="24"/>
        </w:rPr>
        <w:t>招标人应在招标文件中载明评标入围的合格条件，并明确开标后初步评审前，由评标委员会根据招标文件载明的评标入围合格条件，确定进入后续评标或评标入围的投标文件。</w:t>
      </w:r>
    </w:p>
    <w:p>
      <w:pPr>
        <w:tabs>
          <w:tab w:val="left" w:pos="0"/>
        </w:tabs>
        <w:spacing w:line="480" w:lineRule="exact"/>
        <w:ind w:right="-36" w:firstLine="476" w:firstLineChars="202"/>
        <w:rPr>
          <w:rFonts w:eastAsia="方正仿宋_GBK"/>
          <w:snapToGrid w:val="0"/>
          <w:color w:val="000000"/>
          <w:kern w:val="32"/>
          <w:sz w:val="24"/>
        </w:rPr>
      </w:pPr>
      <w:r>
        <w:rPr>
          <w:rFonts w:hint="eastAsia" w:eastAsia="方正仿宋_GBK"/>
          <w:snapToGrid w:val="0"/>
          <w:color w:val="000000"/>
          <w:kern w:val="32"/>
          <w:sz w:val="24"/>
        </w:rPr>
        <w:t>（二）当满足评标入围条件的投标文件超过</w:t>
      </w:r>
      <w:r>
        <w:rPr>
          <w:rFonts w:eastAsia="方正仿宋_GBK"/>
          <w:snapToGrid w:val="0"/>
          <w:color w:val="000000"/>
          <w:kern w:val="32"/>
          <w:sz w:val="24"/>
        </w:rPr>
        <w:t>20</w:t>
      </w:r>
      <w:r>
        <w:rPr>
          <w:rFonts w:hint="eastAsia" w:eastAsia="方正仿宋_GBK"/>
          <w:snapToGrid w:val="0"/>
          <w:color w:val="000000"/>
          <w:kern w:val="32"/>
          <w:sz w:val="24"/>
        </w:rPr>
        <w:t>家时，评标委员会根据招标文件规定的评标入围方法和数量，确定进入后续评标程序入围投标人。采用经评审的最低投标价法和合理低价法的，一般在评标入围评审后，确定评标入围的投标人；采用综合评估法的，可在初步评审结束后进入评标入围环节，确定评标入围的投标人。</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第六条</w:t>
      </w:r>
      <w:r>
        <w:rPr>
          <w:rFonts w:eastAsia="方正仿宋_GBK"/>
          <w:snapToGrid w:val="0"/>
          <w:color w:val="000000"/>
          <w:kern w:val="32"/>
          <w:sz w:val="24"/>
        </w:rPr>
        <w:t xml:space="preserve"> </w:t>
      </w:r>
      <w:r>
        <w:rPr>
          <w:rFonts w:hint="eastAsia" w:eastAsia="方正仿宋_GBK"/>
          <w:snapToGrid w:val="0"/>
          <w:color w:val="000000"/>
          <w:kern w:val="32"/>
          <w:sz w:val="24"/>
        </w:rPr>
        <w:t>投标文件有下列情况之一的，属于重大偏差，视为未能对招标文件作出实质性响应，应当作为无效投标予以否决：</w:t>
      </w:r>
    </w:p>
    <w:p>
      <w:pPr>
        <w:tabs>
          <w:tab w:val="left" w:pos="0"/>
        </w:tabs>
        <w:spacing w:line="480" w:lineRule="exact"/>
        <w:ind w:right="-36" w:firstLine="472" w:firstLineChars="200"/>
        <w:rPr>
          <w:rFonts w:eastAsia="方正仿宋_GBK"/>
          <w:snapToGrid w:val="0"/>
          <w:color w:val="000000"/>
          <w:kern w:val="32"/>
          <w:sz w:val="24"/>
        </w:rPr>
      </w:pPr>
      <w:r>
        <w:rPr>
          <w:rFonts w:eastAsia="方正仿宋_GBK"/>
          <w:snapToGrid w:val="0"/>
          <w:color w:val="000000"/>
          <w:kern w:val="32"/>
          <w:sz w:val="24"/>
        </w:rPr>
        <w:t>1.</w:t>
      </w:r>
      <w:r>
        <w:rPr>
          <w:rFonts w:hint="eastAsia" w:eastAsia="方正仿宋_GBK"/>
          <w:snapToGrid w:val="0"/>
          <w:color w:val="000000"/>
          <w:kern w:val="32"/>
          <w:sz w:val="24"/>
        </w:rPr>
        <w:t>投标文件中的投标函未加盖投标人的公章；</w:t>
      </w:r>
    </w:p>
    <w:p>
      <w:pPr>
        <w:tabs>
          <w:tab w:val="left" w:pos="0"/>
        </w:tabs>
        <w:spacing w:line="480" w:lineRule="exact"/>
        <w:ind w:right="-36" w:firstLine="472" w:firstLineChars="200"/>
        <w:rPr>
          <w:rFonts w:eastAsia="方正仿宋_GBK"/>
          <w:snapToGrid w:val="0"/>
          <w:color w:val="000000"/>
          <w:kern w:val="32"/>
          <w:sz w:val="24"/>
        </w:rPr>
      </w:pPr>
      <w:r>
        <w:rPr>
          <w:rFonts w:eastAsia="方正仿宋_GBK"/>
          <w:snapToGrid w:val="0"/>
          <w:color w:val="000000"/>
          <w:kern w:val="32"/>
          <w:sz w:val="24"/>
        </w:rPr>
        <w:t>2.</w:t>
      </w:r>
      <w:r>
        <w:rPr>
          <w:rFonts w:hint="eastAsia" w:eastAsia="方正仿宋_GBK"/>
          <w:snapToGrid w:val="0"/>
          <w:color w:val="000000"/>
          <w:kern w:val="32"/>
          <w:sz w:val="24"/>
        </w:rPr>
        <w:t>投标文件中的投标函未加盖企业法定代表人（或企业法定代表人委托代理人）印章（或签字）的；</w:t>
      </w:r>
    </w:p>
    <w:p>
      <w:pPr>
        <w:tabs>
          <w:tab w:val="left" w:pos="0"/>
        </w:tabs>
        <w:spacing w:line="480" w:lineRule="exact"/>
        <w:ind w:right="-36" w:firstLine="472" w:firstLineChars="200"/>
        <w:rPr>
          <w:rFonts w:eastAsia="方正仿宋_GBK"/>
          <w:snapToGrid w:val="0"/>
          <w:color w:val="000000"/>
          <w:kern w:val="32"/>
          <w:sz w:val="24"/>
        </w:rPr>
      </w:pPr>
      <w:r>
        <w:rPr>
          <w:rFonts w:eastAsia="方正仿宋_GBK"/>
          <w:snapToGrid w:val="0"/>
          <w:color w:val="000000"/>
          <w:kern w:val="32"/>
          <w:sz w:val="24"/>
        </w:rPr>
        <w:t>3.</w:t>
      </w:r>
      <w:r>
        <w:rPr>
          <w:rFonts w:hint="eastAsia" w:eastAsia="方正仿宋_GBK"/>
          <w:snapToGrid w:val="0"/>
          <w:color w:val="000000"/>
          <w:kern w:val="32"/>
          <w:sz w:val="24"/>
        </w:rPr>
        <w:t>投标函加盖企业法定代表人委托代理人印章（或签字），企业法定代表人委托代理人没有合法、有效的委托书（原件）的；</w:t>
      </w:r>
    </w:p>
    <w:p>
      <w:pPr>
        <w:tabs>
          <w:tab w:val="left" w:pos="0"/>
        </w:tabs>
        <w:spacing w:line="480" w:lineRule="exact"/>
        <w:ind w:right="-36" w:firstLine="472" w:firstLineChars="200"/>
        <w:rPr>
          <w:rFonts w:eastAsia="方正仿宋_GBK"/>
          <w:snapToGrid w:val="0"/>
          <w:color w:val="000000"/>
          <w:kern w:val="32"/>
          <w:sz w:val="24"/>
        </w:rPr>
      </w:pPr>
      <w:r>
        <w:rPr>
          <w:rFonts w:eastAsia="方正仿宋_GBK"/>
          <w:snapToGrid w:val="0"/>
          <w:color w:val="000000"/>
          <w:kern w:val="32"/>
          <w:sz w:val="24"/>
        </w:rPr>
        <w:t>4.</w:t>
      </w:r>
      <w:r>
        <w:rPr>
          <w:rFonts w:hint="eastAsia" w:eastAsia="方正仿宋_GBK"/>
          <w:snapToGrid w:val="0"/>
          <w:color w:val="000000"/>
          <w:kern w:val="32"/>
          <w:sz w:val="24"/>
        </w:rPr>
        <w:t>投标人资质条件不符合国家有关规定，或者不满足招标文件规定的资格条件的；</w:t>
      </w:r>
    </w:p>
    <w:p>
      <w:pPr>
        <w:tabs>
          <w:tab w:val="left" w:pos="0"/>
        </w:tabs>
        <w:spacing w:line="480" w:lineRule="exact"/>
        <w:ind w:right="-36" w:firstLine="472" w:firstLineChars="200"/>
        <w:rPr>
          <w:rFonts w:eastAsia="方正仿宋_GBK"/>
          <w:snapToGrid w:val="0"/>
          <w:color w:val="000000"/>
          <w:kern w:val="32"/>
          <w:sz w:val="24"/>
        </w:rPr>
      </w:pPr>
      <w:r>
        <w:rPr>
          <w:rFonts w:eastAsia="方正仿宋_GBK"/>
          <w:snapToGrid w:val="0"/>
          <w:color w:val="000000"/>
          <w:kern w:val="32"/>
          <w:sz w:val="24"/>
        </w:rPr>
        <w:t>5.</w:t>
      </w:r>
      <w:r>
        <w:rPr>
          <w:rFonts w:hint="eastAsia" w:eastAsia="方正仿宋_GBK"/>
          <w:snapToGrid w:val="0"/>
          <w:color w:val="000000"/>
          <w:kern w:val="32"/>
          <w:sz w:val="24"/>
        </w:rPr>
        <w:t>投标人名称或组织结构与资格预审时不一致的；</w:t>
      </w:r>
    </w:p>
    <w:p>
      <w:pPr>
        <w:tabs>
          <w:tab w:val="left" w:pos="0"/>
        </w:tabs>
        <w:spacing w:line="480" w:lineRule="exact"/>
        <w:ind w:right="-36" w:firstLine="472" w:firstLineChars="200"/>
        <w:rPr>
          <w:rFonts w:eastAsia="方正仿宋_GBK"/>
          <w:snapToGrid w:val="0"/>
          <w:color w:val="000000"/>
          <w:kern w:val="32"/>
          <w:sz w:val="24"/>
        </w:rPr>
      </w:pPr>
      <w:r>
        <w:rPr>
          <w:rFonts w:eastAsia="方正仿宋_GBK"/>
          <w:snapToGrid w:val="0"/>
          <w:color w:val="000000"/>
          <w:kern w:val="32"/>
          <w:sz w:val="24"/>
        </w:rPr>
        <w:t>6.</w:t>
      </w:r>
      <w:r>
        <w:rPr>
          <w:rFonts w:hint="eastAsia" w:eastAsia="方正仿宋_GBK"/>
          <w:snapToGrid w:val="0"/>
          <w:color w:val="000000"/>
          <w:kern w:val="32"/>
          <w:sz w:val="24"/>
        </w:rPr>
        <w:t>除在投标截止时间前经招标人书面同意外，项目负责人与资格预审时不一致的；</w:t>
      </w:r>
    </w:p>
    <w:p>
      <w:pPr>
        <w:tabs>
          <w:tab w:val="left" w:pos="0"/>
        </w:tabs>
        <w:spacing w:line="480" w:lineRule="exact"/>
        <w:ind w:right="-36" w:firstLine="472" w:firstLineChars="200"/>
        <w:rPr>
          <w:rFonts w:eastAsia="方正仿宋_GBK"/>
          <w:snapToGrid w:val="0"/>
          <w:color w:val="000000"/>
          <w:kern w:val="32"/>
          <w:sz w:val="24"/>
        </w:rPr>
      </w:pPr>
      <w:r>
        <w:rPr>
          <w:rFonts w:eastAsia="方正仿宋_GBK"/>
          <w:snapToGrid w:val="0"/>
          <w:color w:val="000000"/>
          <w:kern w:val="32"/>
          <w:sz w:val="24"/>
        </w:rPr>
        <w:t>7.</w:t>
      </w:r>
      <w:r>
        <w:rPr>
          <w:rFonts w:hint="eastAsia" w:eastAsia="方正仿宋_GBK"/>
          <w:snapToGrid w:val="0"/>
          <w:color w:val="000000"/>
          <w:kern w:val="32"/>
          <w:sz w:val="24"/>
        </w:rPr>
        <w:t>组成联合体投标未提供联合体各方共同投标协议的；</w:t>
      </w:r>
    </w:p>
    <w:p>
      <w:pPr>
        <w:tabs>
          <w:tab w:val="left" w:pos="0"/>
        </w:tabs>
        <w:spacing w:line="480" w:lineRule="exact"/>
        <w:ind w:right="-36" w:firstLine="472" w:firstLineChars="200"/>
        <w:rPr>
          <w:rFonts w:eastAsia="方正仿宋_GBK"/>
          <w:snapToGrid w:val="0"/>
          <w:color w:val="000000"/>
          <w:kern w:val="32"/>
          <w:sz w:val="24"/>
        </w:rPr>
      </w:pPr>
      <w:r>
        <w:rPr>
          <w:rFonts w:eastAsia="方正仿宋_GBK"/>
          <w:snapToGrid w:val="0"/>
          <w:color w:val="000000"/>
          <w:kern w:val="32"/>
          <w:sz w:val="24"/>
        </w:rPr>
        <w:t>8.</w:t>
      </w:r>
      <w:r>
        <w:rPr>
          <w:rFonts w:hint="eastAsia" w:eastAsia="方正仿宋_GBK"/>
          <w:snapToGrid w:val="0"/>
          <w:color w:val="000000"/>
          <w:kern w:val="32"/>
          <w:sz w:val="24"/>
        </w:rPr>
        <w:t>在同一招标项目中，联合体成员以自己名义单独投标或者参加其他联合体投标的；</w:t>
      </w:r>
    </w:p>
    <w:p>
      <w:pPr>
        <w:tabs>
          <w:tab w:val="left" w:pos="0"/>
        </w:tabs>
        <w:spacing w:line="480" w:lineRule="exact"/>
        <w:ind w:right="-36" w:firstLine="472" w:firstLineChars="200"/>
        <w:rPr>
          <w:rFonts w:eastAsia="方正仿宋_GBK"/>
          <w:snapToGrid w:val="0"/>
          <w:color w:val="000000"/>
          <w:kern w:val="32"/>
          <w:sz w:val="24"/>
        </w:rPr>
      </w:pPr>
      <w:r>
        <w:rPr>
          <w:rFonts w:eastAsia="方正仿宋_GBK"/>
          <w:snapToGrid w:val="0"/>
          <w:color w:val="000000"/>
          <w:kern w:val="32"/>
          <w:sz w:val="24"/>
        </w:rPr>
        <w:t>9.</w:t>
      </w:r>
      <w:r>
        <w:rPr>
          <w:rFonts w:hint="eastAsia" w:eastAsia="方正仿宋_GBK"/>
          <w:snapToGrid w:val="0"/>
          <w:color w:val="000000"/>
          <w:kern w:val="32"/>
          <w:sz w:val="24"/>
        </w:rPr>
        <w:t>联合体成员与资格预审确定的结果不一致的；</w:t>
      </w:r>
    </w:p>
    <w:p>
      <w:pPr>
        <w:tabs>
          <w:tab w:val="left" w:pos="0"/>
        </w:tabs>
        <w:spacing w:line="480" w:lineRule="exact"/>
        <w:ind w:right="-36" w:firstLine="472" w:firstLineChars="200"/>
        <w:rPr>
          <w:rFonts w:eastAsia="方正仿宋_GBK"/>
          <w:snapToGrid w:val="0"/>
          <w:color w:val="000000"/>
          <w:kern w:val="32"/>
          <w:sz w:val="24"/>
        </w:rPr>
      </w:pPr>
      <w:r>
        <w:rPr>
          <w:rFonts w:eastAsia="方正仿宋_GBK"/>
          <w:snapToGrid w:val="0"/>
          <w:color w:val="000000"/>
          <w:kern w:val="32"/>
          <w:sz w:val="24"/>
        </w:rPr>
        <w:t>10.</w:t>
      </w:r>
      <w:r>
        <w:rPr>
          <w:rFonts w:hint="eastAsia" w:eastAsia="方正仿宋_GBK"/>
          <w:snapToGrid w:val="0"/>
          <w:color w:val="000000"/>
          <w:kern w:val="32"/>
          <w:sz w:val="24"/>
        </w:rPr>
        <w:t>投标报价低于工程成本或者高于招标文件设定的招标控制价或者招标人设置的投标限价的；</w:t>
      </w:r>
    </w:p>
    <w:p>
      <w:pPr>
        <w:tabs>
          <w:tab w:val="left" w:pos="0"/>
        </w:tabs>
        <w:spacing w:line="480" w:lineRule="exact"/>
        <w:ind w:right="-36" w:firstLine="472" w:firstLineChars="200"/>
        <w:rPr>
          <w:rFonts w:eastAsia="方正仿宋_GBK"/>
          <w:snapToGrid w:val="0"/>
          <w:color w:val="000000"/>
          <w:kern w:val="32"/>
          <w:sz w:val="24"/>
        </w:rPr>
      </w:pPr>
      <w:r>
        <w:rPr>
          <w:rFonts w:eastAsia="方正仿宋_GBK"/>
          <w:snapToGrid w:val="0"/>
          <w:color w:val="000000"/>
          <w:kern w:val="32"/>
          <w:sz w:val="24"/>
        </w:rPr>
        <w:t>11.</w:t>
      </w:r>
      <w:r>
        <w:rPr>
          <w:rFonts w:hint="eastAsia" w:eastAsia="方正仿宋_GBK"/>
          <w:snapToGrid w:val="0"/>
          <w:color w:val="000000"/>
          <w:kern w:val="32"/>
          <w:sz w:val="24"/>
        </w:rPr>
        <w:t>同一投标人提交两个及以上不同的投标文件或者投标报价，但招标文件要求提交备选投标的除外；</w:t>
      </w:r>
    </w:p>
    <w:p>
      <w:pPr>
        <w:tabs>
          <w:tab w:val="left" w:pos="0"/>
        </w:tabs>
        <w:spacing w:line="480" w:lineRule="exact"/>
        <w:ind w:right="-36" w:firstLine="472" w:firstLineChars="200"/>
        <w:rPr>
          <w:rFonts w:eastAsia="方正仿宋_GBK"/>
          <w:snapToGrid w:val="0"/>
          <w:color w:val="000000"/>
          <w:kern w:val="32"/>
          <w:sz w:val="24"/>
        </w:rPr>
      </w:pPr>
      <w:r>
        <w:rPr>
          <w:rFonts w:eastAsia="方正仿宋_GBK"/>
          <w:snapToGrid w:val="0"/>
          <w:color w:val="000000"/>
          <w:kern w:val="32"/>
          <w:sz w:val="24"/>
        </w:rPr>
        <w:t>12.</w:t>
      </w:r>
      <w:r>
        <w:rPr>
          <w:rFonts w:hint="eastAsia" w:eastAsia="方正仿宋_GBK"/>
          <w:snapToGrid w:val="0"/>
          <w:color w:val="000000"/>
          <w:kern w:val="32"/>
          <w:sz w:val="24"/>
        </w:rPr>
        <w:t>投标文件中已标价工程量清单与招标文件规定的暂估价、暂列金额及甲供材料价格不一致的；</w:t>
      </w:r>
    </w:p>
    <w:p>
      <w:pPr>
        <w:tabs>
          <w:tab w:val="left" w:pos="0"/>
        </w:tabs>
        <w:spacing w:line="480" w:lineRule="exact"/>
        <w:ind w:right="-36" w:firstLine="472" w:firstLineChars="200"/>
        <w:rPr>
          <w:rFonts w:eastAsia="方正仿宋_GBK"/>
          <w:snapToGrid w:val="0"/>
          <w:color w:val="000000"/>
          <w:kern w:val="32"/>
          <w:sz w:val="24"/>
        </w:rPr>
      </w:pPr>
      <w:r>
        <w:rPr>
          <w:rFonts w:eastAsia="方正仿宋_GBK"/>
          <w:snapToGrid w:val="0"/>
          <w:color w:val="000000"/>
          <w:kern w:val="32"/>
          <w:sz w:val="24"/>
        </w:rPr>
        <w:t>13.</w:t>
      </w:r>
      <w:r>
        <w:rPr>
          <w:rFonts w:hint="eastAsia" w:eastAsia="方正仿宋_GBK"/>
          <w:snapToGrid w:val="0"/>
          <w:color w:val="000000"/>
          <w:kern w:val="32"/>
          <w:sz w:val="24"/>
        </w:rPr>
        <w:t>投标文件中已标价工程量清单与招标文件明确列出的不可竞争费用项目或费率或计算基础不一致的；</w:t>
      </w:r>
    </w:p>
    <w:p>
      <w:pPr>
        <w:tabs>
          <w:tab w:val="left" w:pos="0"/>
        </w:tabs>
        <w:spacing w:line="480" w:lineRule="exact"/>
        <w:ind w:right="-36" w:firstLine="472" w:firstLineChars="200"/>
        <w:rPr>
          <w:rFonts w:eastAsia="方正仿宋_GBK"/>
          <w:snapToGrid w:val="0"/>
          <w:color w:val="000000"/>
          <w:kern w:val="32"/>
          <w:sz w:val="24"/>
        </w:rPr>
      </w:pPr>
      <w:r>
        <w:rPr>
          <w:rFonts w:eastAsia="方正仿宋_GBK"/>
          <w:snapToGrid w:val="0"/>
          <w:color w:val="000000"/>
          <w:kern w:val="32"/>
          <w:sz w:val="24"/>
        </w:rPr>
        <w:t>14.</w:t>
      </w:r>
      <w:r>
        <w:rPr>
          <w:rFonts w:hint="eastAsia" w:eastAsia="方正仿宋_GBK"/>
          <w:snapToGrid w:val="0"/>
          <w:color w:val="000000"/>
          <w:kern w:val="32"/>
          <w:sz w:val="24"/>
        </w:rPr>
        <w:t>投标文件的已标价工程量清单与招标文件提供的工程量清单中的项目编码、项目名称、项目特征、计量单位、工程量不一致的；</w:t>
      </w:r>
    </w:p>
    <w:p>
      <w:pPr>
        <w:tabs>
          <w:tab w:val="left" w:pos="0"/>
        </w:tabs>
        <w:spacing w:line="480" w:lineRule="exact"/>
        <w:ind w:right="-36" w:firstLine="472" w:firstLineChars="200"/>
        <w:rPr>
          <w:rFonts w:eastAsia="方正仿宋_GBK"/>
          <w:snapToGrid w:val="0"/>
          <w:color w:val="000000"/>
          <w:kern w:val="32"/>
          <w:sz w:val="24"/>
        </w:rPr>
      </w:pPr>
      <w:r>
        <w:rPr>
          <w:rFonts w:eastAsia="方正仿宋_GBK"/>
          <w:snapToGrid w:val="0"/>
          <w:color w:val="000000"/>
          <w:kern w:val="32"/>
          <w:sz w:val="24"/>
        </w:rPr>
        <w:t>15.</w:t>
      </w:r>
      <w:r>
        <w:rPr>
          <w:rFonts w:hint="eastAsia" w:eastAsia="方正仿宋_GBK"/>
          <w:snapToGrid w:val="0"/>
          <w:color w:val="000000"/>
          <w:kern w:val="32"/>
          <w:sz w:val="24"/>
        </w:rPr>
        <w:t>未按招标文件要求提供投标保证金的；</w:t>
      </w:r>
    </w:p>
    <w:p>
      <w:pPr>
        <w:tabs>
          <w:tab w:val="left" w:pos="0"/>
        </w:tabs>
        <w:spacing w:line="480" w:lineRule="exact"/>
        <w:ind w:right="-36" w:firstLine="472" w:firstLineChars="200"/>
        <w:rPr>
          <w:rFonts w:eastAsia="方正仿宋_GBK"/>
          <w:snapToGrid w:val="0"/>
          <w:color w:val="000000"/>
          <w:kern w:val="32"/>
          <w:sz w:val="24"/>
        </w:rPr>
      </w:pPr>
      <w:r>
        <w:rPr>
          <w:rFonts w:eastAsia="方正仿宋_GBK"/>
          <w:snapToGrid w:val="0"/>
          <w:color w:val="000000"/>
          <w:kern w:val="32"/>
          <w:sz w:val="24"/>
        </w:rPr>
        <w:t>16.</w:t>
      </w:r>
      <w:r>
        <w:rPr>
          <w:rFonts w:hint="eastAsia" w:eastAsia="方正仿宋_GBK"/>
          <w:snapToGrid w:val="0"/>
          <w:color w:val="000000"/>
          <w:kern w:val="32"/>
          <w:sz w:val="24"/>
        </w:rPr>
        <w:t>投标文件载明的招标项目完成期限超过招标文件规定的期限的；</w:t>
      </w:r>
    </w:p>
    <w:p>
      <w:pPr>
        <w:tabs>
          <w:tab w:val="left" w:pos="0"/>
        </w:tabs>
        <w:spacing w:line="480" w:lineRule="exact"/>
        <w:ind w:right="-36" w:firstLine="472" w:firstLineChars="200"/>
        <w:rPr>
          <w:rFonts w:eastAsia="方正仿宋_GBK"/>
          <w:snapToGrid w:val="0"/>
          <w:color w:val="000000"/>
          <w:kern w:val="32"/>
          <w:sz w:val="24"/>
        </w:rPr>
      </w:pPr>
      <w:r>
        <w:rPr>
          <w:rFonts w:eastAsia="方正仿宋_GBK"/>
          <w:snapToGrid w:val="0"/>
          <w:color w:val="000000"/>
          <w:kern w:val="32"/>
          <w:sz w:val="24"/>
        </w:rPr>
        <w:t>17.</w:t>
      </w:r>
      <w:r>
        <w:rPr>
          <w:rFonts w:hint="eastAsia" w:eastAsia="方正仿宋_GBK"/>
          <w:snapToGrid w:val="0"/>
          <w:color w:val="000000"/>
          <w:kern w:val="32"/>
          <w:sz w:val="24"/>
        </w:rPr>
        <w:t>明显不符合技术规范、技术标准的要求的；</w:t>
      </w:r>
    </w:p>
    <w:p>
      <w:pPr>
        <w:tabs>
          <w:tab w:val="left" w:pos="0"/>
        </w:tabs>
        <w:spacing w:line="480" w:lineRule="exact"/>
        <w:ind w:right="-36" w:firstLine="472" w:firstLineChars="200"/>
        <w:rPr>
          <w:rFonts w:eastAsia="方正仿宋_GBK"/>
          <w:snapToGrid w:val="0"/>
          <w:color w:val="000000"/>
          <w:kern w:val="32"/>
          <w:sz w:val="24"/>
        </w:rPr>
      </w:pPr>
      <w:r>
        <w:rPr>
          <w:rFonts w:eastAsia="方正仿宋_GBK"/>
          <w:snapToGrid w:val="0"/>
          <w:color w:val="000000"/>
          <w:kern w:val="32"/>
          <w:sz w:val="24"/>
        </w:rPr>
        <w:t>18.</w:t>
      </w:r>
      <w:r>
        <w:rPr>
          <w:rFonts w:hint="eastAsia" w:eastAsia="方正仿宋_GBK"/>
          <w:snapToGrid w:val="0"/>
          <w:color w:val="000000"/>
          <w:kern w:val="32"/>
          <w:sz w:val="24"/>
        </w:rPr>
        <w:t>投标文件载明的货物包装方式、检验标准和方法等不符合招标文件的要求的；</w:t>
      </w:r>
    </w:p>
    <w:p>
      <w:pPr>
        <w:tabs>
          <w:tab w:val="left" w:pos="0"/>
        </w:tabs>
        <w:spacing w:line="480" w:lineRule="exact"/>
        <w:ind w:right="-36" w:firstLine="472" w:firstLineChars="200"/>
        <w:rPr>
          <w:rFonts w:eastAsia="方正仿宋_GBK"/>
          <w:snapToGrid w:val="0"/>
          <w:color w:val="000000"/>
          <w:kern w:val="32"/>
          <w:sz w:val="24"/>
        </w:rPr>
      </w:pPr>
      <w:r>
        <w:rPr>
          <w:rFonts w:eastAsia="方正仿宋_GBK"/>
          <w:snapToGrid w:val="0"/>
          <w:color w:val="000000"/>
          <w:kern w:val="32"/>
          <w:sz w:val="24"/>
        </w:rPr>
        <w:t>19.</w:t>
      </w:r>
      <w:r>
        <w:rPr>
          <w:rFonts w:hint="eastAsia" w:eastAsia="方正仿宋_GBK"/>
          <w:snapToGrid w:val="0"/>
          <w:color w:val="000000"/>
          <w:kern w:val="32"/>
          <w:sz w:val="24"/>
        </w:rPr>
        <w:t>投标文件提出了不能满足招标文件要求或招标人不能接受的工程验收、计量、价款结算和支付办法的；</w:t>
      </w:r>
    </w:p>
    <w:p>
      <w:pPr>
        <w:tabs>
          <w:tab w:val="left" w:pos="0"/>
        </w:tabs>
        <w:spacing w:line="480" w:lineRule="exact"/>
        <w:ind w:right="-36" w:firstLine="472" w:firstLineChars="200"/>
        <w:rPr>
          <w:rFonts w:eastAsia="方正仿宋_GBK"/>
          <w:snapToGrid w:val="0"/>
          <w:color w:val="000000"/>
          <w:kern w:val="32"/>
          <w:sz w:val="24"/>
        </w:rPr>
      </w:pPr>
      <w:r>
        <w:rPr>
          <w:rFonts w:eastAsia="方正仿宋_GBK"/>
          <w:snapToGrid w:val="0"/>
          <w:color w:val="000000"/>
          <w:kern w:val="32"/>
          <w:sz w:val="24"/>
        </w:rPr>
        <w:t>20.</w:t>
      </w:r>
      <w:r>
        <w:rPr>
          <w:rFonts w:hint="eastAsia" w:eastAsia="方正仿宋_GBK"/>
          <w:snapToGrid w:val="0"/>
          <w:color w:val="000000"/>
          <w:kern w:val="32"/>
          <w:sz w:val="24"/>
        </w:rPr>
        <w:t>未按招标文件要求提供电子投标文件，或者投标文件未能解密且按照招标文件明确的投标文件解密失败的补救方案补救不成功的；</w:t>
      </w:r>
    </w:p>
    <w:p>
      <w:pPr>
        <w:tabs>
          <w:tab w:val="left" w:pos="0"/>
        </w:tabs>
        <w:spacing w:line="480" w:lineRule="exact"/>
        <w:ind w:right="-36" w:firstLine="472" w:firstLineChars="200"/>
        <w:rPr>
          <w:rFonts w:eastAsia="方正仿宋_GBK"/>
          <w:snapToGrid w:val="0"/>
          <w:color w:val="000000"/>
          <w:kern w:val="32"/>
          <w:sz w:val="24"/>
        </w:rPr>
      </w:pPr>
      <w:r>
        <w:rPr>
          <w:rFonts w:eastAsia="方正仿宋_GBK"/>
          <w:snapToGrid w:val="0"/>
          <w:color w:val="000000"/>
          <w:kern w:val="32"/>
          <w:sz w:val="24"/>
        </w:rPr>
        <w:t>21.</w:t>
      </w:r>
      <w:r>
        <w:rPr>
          <w:rFonts w:hint="eastAsia" w:eastAsia="方正仿宋_GBK"/>
          <w:snapToGrid w:val="0"/>
          <w:color w:val="000000"/>
          <w:kern w:val="32"/>
          <w:sz w:val="24"/>
        </w:rPr>
        <w:t>不同投标人的投标文件以及投标文件制作过程出现了评标委员会认为不应当雷同的情况的；</w:t>
      </w:r>
    </w:p>
    <w:p>
      <w:pPr>
        <w:tabs>
          <w:tab w:val="left" w:pos="0"/>
        </w:tabs>
        <w:spacing w:line="480" w:lineRule="exact"/>
        <w:ind w:right="-36" w:firstLine="472" w:firstLineChars="200"/>
        <w:rPr>
          <w:rFonts w:eastAsia="方正仿宋_GBK"/>
          <w:snapToGrid w:val="0"/>
          <w:color w:val="000000"/>
          <w:kern w:val="32"/>
          <w:sz w:val="24"/>
        </w:rPr>
      </w:pPr>
      <w:r>
        <w:rPr>
          <w:rFonts w:eastAsia="方正仿宋_GBK"/>
          <w:snapToGrid w:val="0"/>
          <w:color w:val="000000"/>
          <w:kern w:val="32"/>
          <w:sz w:val="24"/>
        </w:rPr>
        <w:t>22.</w:t>
      </w:r>
      <w:r>
        <w:rPr>
          <w:rFonts w:hint="eastAsia" w:eastAsia="方正仿宋_GBK"/>
          <w:snapToGrid w:val="0"/>
          <w:color w:val="000000"/>
          <w:kern w:val="32"/>
          <w:sz w:val="24"/>
        </w:rPr>
        <w:t>以他人的名义投标、串通投标、以行贿手段谋取中标或者以其他弄虚作假方式投标的；</w:t>
      </w:r>
    </w:p>
    <w:p>
      <w:pPr>
        <w:tabs>
          <w:tab w:val="left" w:pos="0"/>
        </w:tabs>
        <w:spacing w:line="480" w:lineRule="exact"/>
        <w:ind w:right="-36" w:firstLine="472" w:firstLineChars="200"/>
        <w:rPr>
          <w:rFonts w:eastAsia="方正仿宋_GBK"/>
          <w:snapToGrid w:val="0"/>
          <w:color w:val="000000"/>
          <w:kern w:val="32"/>
          <w:sz w:val="24"/>
        </w:rPr>
      </w:pPr>
      <w:r>
        <w:rPr>
          <w:rFonts w:eastAsia="方正仿宋_GBK"/>
          <w:snapToGrid w:val="0"/>
          <w:color w:val="000000"/>
          <w:kern w:val="32"/>
          <w:sz w:val="24"/>
        </w:rPr>
        <w:t>23.</w:t>
      </w:r>
      <w:r>
        <w:rPr>
          <w:rFonts w:hint="eastAsia" w:eastAsia="方正仿宋_GBK"/>
          <w:snapToGrid w:val="0"/>
          <w:color w:val="000000"/>
          <w:kern w:val="32"/>
          <w:sz w:val="24"/>
        </w:rPr>
        <w:t>施工组织设计（施工方案）存在明显技术方案错误、或者不符合招标文件有关暗标要求的；</w:t>
      </w:r>
    </w:p>
    <w:p>
      <w:pPr>
        <w:tabs>
          <w:tab w:val="left" w:pos="0"/>
        </w:tabs>
        <w:spacing w:line="480" w:lineRule="exact"/>
        <w:ind w:right="-36" w:firstLine="472" w:firstLineChars="200"/>
        <w:rPr>
          <w:rFonts w:eastAsia="方正仿宋_GBK"/>
          <w:snapToGrid w:val="0"/>
          <w:color w:val="000000"/>
          <w:kern w:val="32"/>
          <w:sz w:val="24"/>
        </w:rPr>
      </w:pPr>
      <w:r>
        <w:rPr>
          <w:rFonts w:eastAsia="方正仿宋_GBK"/>
          <w:snapToGrid w:val="0"/>
          <w:color w:val="000000"/>
          <w:kern w:val="32"/>
          <w:sz w:val="24"/>
        </w:rPr>
        <w:t>24.</w:t>
      </w:r>
      <w:r>
        <w:rPr>
          <w:rFonts w:hint="eastAsia" w:eastAsia="方正仿宋_GBK"/>
          <w:snapToGrid w:val="0"/>
          <w:color w:val="000000"/>
          <w:kern w:val="32"/>
          <w:sz w:val="24"/>
        </w:rPr>
        <w:t>投标文件关键内容模糊、无法辨认的。</w:t>
      </w:r>
    </w:p>
    <w:p>
      <w:pPr>
        <w:tabs>
          <w:tab w:val="left" w:pos="0"/>
        </w:tabs>
        <w:spacing w:line="480" w:lineRule="exact"/>
        <w:ind w:right="-36" w:firstLine="472" w:firstLineChars="200"/>
        <w:rPr>
          <w:rFonts w:eastAsia="方正仿宋_GBK"/>
          <w:snapToGrid w:val="0"/>
          <w:color w:val="000000"/>
          <w:kern w:val="32"/>
          <w:sz w:val="24"/>
        </w:rPr>
      </w:pPr>
      <w:r>
        <w:rPr>
          <w:rFonts w:hint="eastAsia" w:eastAsia="方正仿宋_GBK"/>
          <w:snapToGrid w:val="0"/>
          <w:color w:val="000000"/>
          <w:kern w:val="32"/>
          <w:sz w:val="24"/>
        </w:rPr>
        <w:t>招标文件中的重大偏差条款应当意思表示明确、易于判断，不得含有“实质性不响应招标文件要求”“投标文件中附有招标人不可接受的条件”等评标委员会难以界定的条款。</w:t>
      </w:r>
    </w:p>
    <w:p>
      <w:pPr>
        <w:tabs>
          <w:tab w:val="left" w:pos="0"/>
        </w:tabs>
        <w:spacing w:line="480" w:lineRule="exact"/>
        <w:ind w:right="-36" w:firstLine="476" w:firstLineChars="202"/>
        <w:rPr>
          <w:rFonts w:eastAsia="方正仿宋_GBK"/>
          <w:snapToGrid w:val="0"/>
          <w:color w:val="000000"/>
          <w:kern w:val="32"/>
          <w:sz w:val="24"/>
        </w:rPr>
      </w:pPr>
      <w:r>
        <w:rPr>
          <w:rFonts w:hint="eastAsia" w:eastAsia="方正仿宋_GBK"/>
          <w:snapToGrid w:val="0"/>
          <w:color w:val="000000"/>
          <w:kern w:val="32"/>
          <w:sz w:val="24"/>
        </w:rPr>
        <w:t>第七条</w:t>
      </w:r>
      <w:r>
        <w:rPr>
          <w:rFonts w:eastAsia="方正仿宋_GBK"/>
          <w:snapToGrid w:val="0"/>
          <w:color w:val="000000"/>
          <w:kern w:val="32"/>
          <w:sz w:val="24"/>
        </w:rPr>
        <w:t xml:space="preserve"> </w:t>
      </w:r>
      <w:r>
        <w:rPr>
          <w:rFonts w:hint="eastAsia" w:eastAsia="方正仿宋_GBK"/>
          <w:snapToGrid w:val="0"/>
          <w:color w:val="000000"/>
          <w:kern w:val="32"/>
          <w:sz w:val="24"/>
        </w:rPr>
        <w:t>技术标评审。评标委员会应根据招标文件明确的评审要点、评审办法及相应要求，对施工组织设计进行独立评审。</w:t>
      </w:r>
    </w:p>
    <w:p>
      <w:pPr>
        <w:tabs>
          <w:tab w:val="left" w:pos="0"/>
        </w:tabs>
        <w:spacing w:line="480" w:lineRule="exact"/>
        <w:ind w:right="-36" w:firstLine="476" w:firstLineChars="202"/>
        <w:rPr>
          <w:rFonts w:eastAsia="方正仿宋_GBK"/>
          <w:snapToGrid w:val="0"/>
          <w:color w:val="000000"/>
          <w:kern w:val="32"/>
          <w:sz w:val="24"/>
        </w:rPr>
      </w:pPr>
      <w:r>
        <w:rPr>
          <w:rFonts w:hint="eastAsia" w:eastAsia="方正仿宋_GBK"/>
          <w:snapToGrid w:val="0"/>
          <w:color w:val="000000"/>
          <w:kern w:val="32"/>
          <w:sz w:val="24"/>
        </w:rPr>
        <w:t>（一）施工组织设计的评审分为合格制和打分制。</w:t>
      </w:r>
    </w:p>
    <w:p>
      <w:pPr>
        <w:tabs>
          <w:tab w:val="left" w:pos="0"/>
        </w:tabs>
        <w:spacing w:line="480" w:lineRule="exact"/>
        <w:ind w:right="-36" w:firstLine="594" w:firstLineChars="252"/>
        <w:rPr>
          <w:rFonts w:eastAsia="方正仿宋_GBK"/>
          <w:snapToGrid w:val="0"/>
          <w:color w:val="000000"/>
          <w:kern w:val="32"/>
          <w:sz w:val="24"/>
        </w:rPr>
      </w:pPr>
      <w:r>
        <w:rPr>
          <w:rFonts w:eastAsia="方正仿宋_GBK"/>
          <w:snapToGrid w:val="0"/>
          <w:color w:val="000000"/>
          <w:kern w:val="32"/>
          <w:sz w:val="24"/>
        </w:rPr>
        <w:t>1.</w:t>
      </w:r>
      <w:r>
        <w:rPr>
          <w:rFonts w:hint="eastAsia" w:eastAsia="方正仿宋_GBK"/>
          <w:snapToGrid w:val="0"/>
          <w:color w:val="000000"/>
          <w:kern w:val="32"/>
          <w:sz w:val="24"/>
        </w:rPr>
        <w:t>合格制。仅对施工组织设计是否满足招标项目要求进行定性判断是否合格，不合格的作无效投标处理。一般适用于经评审的最低投标价法。</w:t>
      </w:r>
    </w:p>
    <w:p>
      <w:pPr>
        <w:tabs>
          <w:tab w:val="left" w:pos="0"/>
        </w:tabs>
        <w:spacing w:line="480" w:lineRule="exact"/>
        <w:ind w:right="-36" w:firstLine="594" w:firstLineChars="252"/>
        <w:rPr>
          <w:rFonts w:eastAsia="方正仿宋_GBK"/>
          <w:snapToGrid w:val="0"/>
          <w:color w:val="000000"/>
          <w:kern w:val="32"/>
          <w:sz w:val="24"/>
        </w:rPr>
      </w:pPr>
      <w:r>
        <w:rPr>
          <w:rFonts w:eastAsia="方正仿宋_GBK"/>
          <w:snapToGrid w:val="0"/>
          <w:color w:val="000000"/>
          <w:kern w:val="32"/>
          <w:sz w:val="24"/>
        </w:rPr>
        <w:t>2.</w:t>
      </w:r>
      <w:r>
        <w:rPr>
          <w:rFonts w:hint="eastAsia" w:eastAsia="方正仿宋_GBK"/>
          <w:snapToGrid w:val="0"/>
          <w:color w:val="000000"/>
          <w:kern w:val="32"/>
          <w:sz w:val="24"/>
        </w:rPr>
        <w:t>打分制。由评标委员会对各投标人的施工组织设计进行打分，汇总后作为相应投标人施工组织设计得分。一般适用于综合评估法。</w:t>
      </w:r>
    </w:p>
    <w:p>
      <w:pPr>
        <w:tabs>
          <w:tab w:val="left" w:pos="0"/>
        </w:tabs>
        <w:spacing w:line="480" w:lineRule="exact"/>
        <w:ind w:right="-36" w:firstLine="476" w:firstLineChars="202"/>
        <w:rPr>
          <w:rFonts w:eastAsia="方正仿宋_GBK"/>
          <w:snapToGrid w:val="0"/>
          <w:color w:val="000000"/>
          <w:kern w:val="32"/>
          <w:sz w:val="24"/>
        </w:rPr>
      </w:pPr>
      <w:r>
        <w:rPr>
          <w:rFonts w:hint="eastAsia" w:eastAsia="方正仿宋_GBK"/>
          <w:snapToGrid w:val="0"/>
          <w:color w:val="000000"/>
          <w:kern w:val="32"/>
          <w:sz w:val="24"/>
        </w:rPr>
        <w:t>施工组织设计各评分点得分应当取所有技术标评委评分中分别去掉一个最高和最低评分后的平均值为最终得分。施工组织设计中除缺少相应内容的评审要点不得分外，其它各项评审要点得分不应低于该评审要点满分的</w:t>
      </w:r>
      <w:r>
        <w:rPr>
          <w:rFonts w:eastAsia="方正仿宋_GBK"/>
          <w:snapToGrid w:val="0"/>
          <w:color w:val="000000"/>
          <w:kern w:val="32"/>
          <w:sz w:val="24"/>
        </w:rPr>
        <w:t>70%</w:t>
      </w:r>
      <w:r>
        <w:rPr>
          <w:rFonts w:hint="eastAsia" w:eastAsia="方正仿宋_GBK"/>
          <w:snapToGrid w:val="0"/>
          <w:color w:val="000000"/>
          <w:kern w:val="32"/>
          <w:sz w:val="24"/>
        </w:rPr>
        <w:t>。</w:t>
      </w:r>
    </w:p>
    <w:p>
      <w:pPr>
        <w:tabs>
          <w:tab w:val="left" w:pos="0"/>
        </w:tabs>
        <w:spacing w:line="480" w:lineRule="exact"/>
        <w:ind w:right="-36" w:firstLine="476" w:firstLineChars="202"/>
        <w:rPr>
          <w:rFonts w:eastAsia="方正仿宋_GBK"/>
          <w:snapToGrid w:val="0"/>
          <w:color w:val="000000"/>
          <w:kern w:val="32"/>
          <w:sz w:val="24"/>
        </w:rPr>
      </w:pPr>
      <w:r>
        <w:rPr>
          <w:rFonts w:hint="eastAsia" w:eastAsia="方正仿宋_GBK"/>
          <w:snapToGrid w:val="0"/>
          <w:color w:val="000000"/>
          <w:kern w:val="32"/>
          <w:sz w:val="24"/>
        </w:rPr>
        <w:t>（二）招标人应根据招标项目实际，在招标文件中明确招标中施工组织设计评审要点，主要包括：</w:t>
      </w:r>
    </w:p>
    <w:p>
      <w:pPr>
        <w:tabs>
          <w:tab w:val="left" w:pos="0"/>
        </w:tabs>
        <w:spacing w:line="480" w:lineRule="exact"/>
        <w:ind w:right="-36" w:firstLine="597" w:firstLineChars="253"/>
        <w:rPr>
          <w:rFonts w:eastAsia="方正仿宋_GBK"/>
          <w:snapToGrid w:val="0"/>
          <w:color w:val="000000"/>
          <w:kern w:val="32"/>
          <w:sz w:val="24"/>
        </w:rPr>
      </w:pPr>
      <w:r>
        <w:rPr>
          <w:rFonts w:eastAsia="方正仿宋_GBK"/>
          <w:snapToGrid w:val="0"/>
          <w:color w:val="000000"/>
          <w:kern w:val="32"/>
          <w:sz w:val="24"/>
        </w:rPr>
        <w:t>1.</w:t>
      </w:r>
      <w:r>
        <w:rPr>
          <w:rFonts w:hint="eastAsia" w:eastAsia="方正仿宋_GBK"/>
          <w:snapToGrid w:val="0"/>
          <w:color w:val="000000"/>
          <w:kern w:val="32"/>
          <w:sz w:val="24"/>
        </w:rPr>
        <w:t>总体概述：施工组织总体设想、方案针对性及施工标段划分（建议页数</w:t>
      </w:r>
      <w:r>
        <w:rPr>
          <w:rFonts w:eastAsia="方正仿宋_GBK"/>
          <w:snapToGrid w:val="0"/>
          <w:color w:val="000000"/>
          <w:kern w:val="32"/>
          <w:sz w:val="24"/>
        </w:rPr>
        <w:t>2-5</w:t>
      </w:r>
      <w:r>
        <w:rPr>
          <w:rFonts w:hint="eastAsia" w:eastAsia="方正仿宋_GBK"/>
          <w:snapToGrid w:val="0"/>
          <w:color w:val="000000"/>
          <w:kern w:val="32"/>
          <w:sz w:val="24"/>
        </w:rPr>
        <w:t>页）；</w:t>
      </w:r>
    </w:p>
    <w:p>
      <w:pPr>
        <w:tabs>
          <w:tab w:val="left" w:pos="0"/>
        </w:tabs>
        <w:spacing w:line="480" w:lineRule="exact"/>
        <w:ind w:right="-36" w:firstLine="597" w:firstLineChars="253"/>
        <w:rPr>
          <w:rFonts w:eastAsia="方正仿宋_GBK"/>
          <w:snapToGrid w:val="0"/>
          <w:color w:val="000000"/>
          <w:kern w:val="32"/>
          <w:sz w:val="24"/>
        </w:rPr>
      </w:pPr>
      <w:r>
        <w:rPr>
          <w:rFonts w:eastAsia="方正仿宋_GBK"/>
          <w:snapToGrid w:val="0"/>
          <w:color w:val="000000"/>
          <w:kern w:val="32"/>
          <w:sz w:val="24"/>
        </w:rPr>
        <w:t>2.</w:t>
      </w:r>
      <w:r>
        <w:rPr>
          <w:rFonts w:hint="eastAsia" w:eastAsia="方正仿宋_GBK"/>
          <w:snapToGrid w:val="0"/>
          <w:color w:val="000000"/>
          <w:kern w:val="32"/>
          <w:sz w:val="24"/>
        </w:rPr>
        <w:t>施工现场平面布置和临时设施、临时道路布置（建议页数</w:t>
      </w:r>
      <w:r>
        <w:rPr>
          <w:rFonts w:eastAsia="方正仿宋_GBK"/>
          <w:snapToGrid w:val="0"/>
          <w:color w:val="000000"/>
          <w:kern w:val="32"/>
          <w:sz w:val="24"/>
        </w:rPr>
        <w:t>2-4</w:t>
      </w:r>
      <w:r>
        <w:rPr>
          <w:rFonts w:hint="eastAsia" w:eastAsia="方正仿宋_GBK"/>
          <w:snapToGrid w:val="0"/>
          <w:color w:val="000000"/>
          <w:kern w:val="32"/>
          <w:sz w:val="24"/>
        </w:rPr>
        <w:t>页）；</w:t>
      </w:r>
    </w:p>
    <w:p>
      <w:pPr>
        <w:tabs>
          <w:tab w:val="left" w:pos="0"/>
        </w:tabs>
        <w:spacing w:line="480" w:lineRule="exact"/>
        <w:ind w:right="-36" w:firstLine="597" w:firstLineChars="253"/>
        <w:rPr>
          <w:rFonts w:eastAsia="方正仿宋_GBK"/>
          <w:snapToGrid w:val="0"/>
          <w:color w:val="000000"/>
          <w:kern w:val="32"/>
          <w:sz w:val="24"/>
        </w:rPr>
      </w:pPr>
      <w:r>
        <w:rPr>
          <w:rFonts w:eastAsia="方正仿宋_GBK"/>
          <w:snapToGrid w:val="0"/>
          <w:color w:val="000000"/>
          <w:kern w:val="32"/>
          <w:sz w:val="24"/>
        </w:rPr>
        <w:t>3.</w:t>
      </w:r>
      <w:r>
        <w:rPr>
          <w:rFonts w:hint="eastAsia" w:eastAsia="方正仿宋_GBK"/>
          <w:snapToGrid w:val="0"/>
          <w:color w:val="000000"/>
          <w:kern w:val="32"/>
          <w:sz w:val="24"/>
        </w:rPr>
        <w:t>施工进度计划和各阶段进度的保证措施（建议页数</w:t>
      </w:r>
      <w:r>
        <w:rPr>
          <w:rFonts w:eastAsia="方正仿宋_GBK"/>
          <w:snapToGrid w:val="0"/>
          <w:color w:val="000000"/>
          <w:kern w:val="32"/>
          <w:sz w:val="24"/>
        </w:rPr>
        <w:t>5-10</w:t>
      </w:r>
      <w:r>
        <w:rPr>
          <w:rFonts w:hint="eastAsia" w:eastAsia="方正仿宋_GBK"/>
          <w:snapToGrid w:val="0"/>
          <w:color w:val="000000"/>
          <w:kern w:val="32"/>
          <w:sz w:val="24"/>
        </w:rPr>
        <w:t>页）；</w:t>
      </w:r>
    </w:p>
    <w:p>
      <w:pPr>
        <w:tabs>
          <w:tab w:val="left" w:pos="0"/>
        </w:tabs>
        <w:spacing w:line="480" w:lineRule="exact"/>
        <w:ind w:right="-36" w:firstLine="597" w:firstLineChars="253"/>
        <w:rPr>
          <w:rFonts w:eastAsia="方正仿宋_GBK"/>
          <w:snapToGrid w:val="0"/>
          <w:color w:val="000000"/>
          <w:kern w:val="32"/>
          <w:sz w:val="24"/>
        </w:rPr>
      </w:pPr>
      <w:r>
        <w:rPr>
          <w:rFonts w:eastAsia="方正仿宋_GBK"/>
          <w:snapToGrid w:val="0"/>
          <w:color w:val="000000"/>
          <w:kern w:val="32"/>
          <w:sz w:val="24"/>
        </w:rPr>
        <w:t>4.</w:t>
      </w:r>
      <w:r>
        <w:rPr>
          <w:rFonts w:hint="eastAsia" w:eastAsia="方正仿宋_GBK"/>
          <w:snapToGrid w:val="0"/>
          <w:color w:val="000000"/>
          <w:kern w:val="32"/>
          <w:sz w:val="24"/>
        </w:rPr>
        <w:t>劳动力、机械设备和材料投入计划（建议页数</w:t>
      </w:r>
      <w:r>
        <w:rPr>
          <w:rFonts w:eastAsia="方正仿宋_GBK"/>
          <w:snapToGrid w:val="0"/>
          <w:color w:val="000000"/>
          <w:kern w:val="32"/>
          <w:sz w:val="24"/>
        </w:rPr>
        <w:t>6-12</w:t>
      </w:r>
      <w:r>
        <w:rPr>
          <w:rFonts w:hint="eastAsia" w:eastAsia="方正仿宋_GBK"/>
          <w:snapToGrid w:val="0"/>
          <w:color w:val="000000"/>
          <w:kern w:val="32"/>
          <w:sz w:val="24"/>
        </w:rPr>
        <w:t>页）；</w:t>
      </w:r>
    </w:p>
    <w:p>
      <w:pPr>
        <w:tabs>
          <w:tab w:val="left" w:pos="0"/>
        </w:tabs>
        <w:spacing w:line="480" w:lineRule="exact"/>
        <w:ind w:right="-36" w:firstLine="597" w:firstLineChars="253"/>
        <w:rPr>
          <w:rFonts w:eastAsia="方正仿宋_GBK"/>
          <w:snapToGrid w:val="0"/>
          <w:color w:val="000000"/>
          <w:kern w:val="32"/>
          <w:sz w:val="24"/>
        </w:rPr>
      </w:pPr>
      <w:r>
        <w:rPr>
          <w:rFonts w:eastAsia="方正仿宋_GBK"/>
          <w:snapToGrid w:val="0"/>
          <w:color w:val="000000"/>
          <w:kern w:val="32"/>
          <w:sz w:val="24"/>
        </w:rPr>
        <w:t>5.</w:t>
      </w:r>
      <w:r>
        <w:rPr>
          <w:rFonts w:hint="eastAsia" w:eastAsia="方正仿宋_GBK"/>
          <w:snapToGrid w:val="0"/>
          <w:color w:val="000000"/>
          <w:kern w:val="32"/>
          <w:sz w:val="24"/>
        </w:rPr>
        <w:t>关键施工技术、工艺及工程项目实施的重点、难点和解决方案（建议页数</w:t>
      </w:r>
      <w:r>
        <w:rPr>
          <w:rFonts w:eastAsia="方正仿宋_GBK"/>
          <w:snapToGrid w:val="0"/>
          <w:color w:val="000000"/>
          <w:kern w:val="32"/>
          <w:sz w:val="24"/>
        </w:rPr>
        <w:t>15-28</w:t>
      </w:r>
      <w:r>
        <w:rPr>
          <w:rFonts w:hint="eastAsia" w:eastAsia="方正仿宋_GBK"/>
          <w:snapToGrid w:val="0"/>
          <w:color w:val="000000"/>
          <w:kern w:val="32"/>
          <w:sz w:val="24"/>
        </w:rPr>
        <w:t>页）；</w:t>
      </w:r>
    </w:p>
    <w:p>
      <w:pPr>
        <w:tabs>
          <w:tab w:val="left" w:pos="0"/>
        </w:tabs>
        <w:spacing w:line="480" w:lineRule="exact"/>
        <w:ind w:right="-36" w:firstLine="597" w:firstLineChars="253"/>
        <w:rPr>
          <w:rFonts w:eastAsia="方正仿宋_GBK"/>
          <w:snapToGrid w:val="0"/>
          <w:color w:val="000000"/>
          <w:kern w:val="32"/>
          <w:sz w:val="24"/>
        </w:rPr>
      </w:pPr>
      <w:r>
        <w:rPr>
          <w:rFonts w:eastAsia="方正仿宋_GBK"/>
          <w:snapToGrid w:val="0"/>
          <w:color w:val="000000"/>
          <w:kern w:val="32"/>
          <w:sz w:val="24"/>
        </w:rPr>
        <w:t>6.</w:t>
      </w:r>
      <w:r>
        <w:rPr>
          <w:rFonts w:hint="eastAsia" w:eastAsia="方正仿宋_GBK"/>
          <w:snapToGrid w:val="0"/>
          <w:color w:val="000000"/>
          <w:kern w:val="32"/>
          <w:sz w:val="24"/>
        </w:rPr>
        <w:t>新技术、新产品、新工艺、新材料应用（建议页数</w:t>
      </w:r>
      <w:r>
        <w:rPr>
          <w:rFonts w:eastAsia="方正仿宋_GBK"/>
          <w:snapToGrid w:val="0"/>
          <w:color w:val="000000"/>
          <w:kern w:val="32"/>
          <w:sz w:val="24"/>
        </w:rPr>
        <w:t>6-15</w:t>
      </w:r>
      <w:r>
        <w:rPr>
          <w:rFonts w:hint="eastAsia" w:eastAsia="方正仿宋_GBK"/>
          <w:snapToGrid w:val="0"/>
          <w:color w:val="000000"/>
          <w:kern w:val="32"/>
          <w:sz w:val="24"/>
        </w:rPr>
        <w:t>页）；</w:t>
      </w:r>
    </w:p>
    <w:p>
      <w:pPr>
        <w:tabs>
          <w:tab w:val="left" w:pos="0"/>
        </w:tabs>
        <w:spacing w:line="480" w:lineRule="exact"/>
        <w:ind w:right="-36" w:firstLine="597" w:firstLineChars="253"/>
        <w:rPr>
          <w:rFonts w:eastAsia="方正仿宋_GBK"/>
          <w:snapToGrid w:val="0"/>
          <w:color w:val="000000"/>
          <w:kern w:val="32"/>
          <w:sz w:val="24"/>
        </w:rPr>
      </w:pPr>
      <w:r>
        <w:rPr>
          <w:rFonts w:eastAsia="方正仿宋_GBK"/>
          <w:snapToGrid w:val="0"/>
          <w:color w:val="000000"/>
          <w:kern w:val="32"/>
          <w:sz w:val="24"/>
        </w:rPr>
        <w:t>7.BIM</w:t>
      </w:r>
      <w:r>
        <w:rPr>
          <w:rFonts w:hint="eastAsia" w:eastAsia="方正仿宋_GBK"/>
          <w:snapToGrid w:val="0"/>
          <w:color w:val="000000"/>
          <w:kern w:val="32"/>
          <w:sz w:val="24"/>
        </w:rPr>
        <w:t>等信息技术的使用；</w:t>
      </w:r>
    </w:p>
    <w:p>
      <w:pPr>
        <w:tabs>
          <w:tab w:val="left" w:pos="0"/>
        </w:tabs>
        <w:spacing w:line="480" w:lineRule="exact"/>
        <w:ind w:right="-36" w:firstLine="597" w:firstLineChars="253"/>
        <w:rPr>
          <w:rFonts w:eastAsia="方正仿宋_GBK"/>
          <w:snapToGrid w:val="0"/>
          <w:color w:val="000000"/>
          <w:kern w:val="32"/>
          <w:sz w:val="24"/>
        </w:rPr>
      </w:pPr>
      <w:r>
        <w:rPr>
          <w:rFonts w:eastAsia="方正仿宋_GBK"/>
          <w:snapToGrid w:val="0"/>
          <w:color w:val="000000"/>
          <w:kern w:val="32"/>
          <w:sz w:val="24"/>
        </w:rPr>
        <w:t>8.</w:t>
      </w:r>
      <w:r>
        <w:rPr>
          <w:rFonts w:hint="eastAsia" w:eastAsia="方正仿宋_GBK"/>
          <w:snapToGrid w:val="0"/>
          <w:color w:val="000000"/>
          <w:kern w:val="32"/>
          <w:sz w:val="24"/>
        </w:rPr>
        <w:t>项目负责人陈述及答辩。</w:t>
      </w:r>
    </w:p>
    <w:p>
      <w:pPr>
        <w:tabs>
          <w:tab w:val="left" w:pos="0"/>
        </w:tabs>
        <w:spacing w:line="480" w:lineRule="exact"/>
        <w:ind w:right="-36" w:firstLine="476" w:firstLineChars="202"/>
        <w:rPr>
          <w:rFonts w:eastAsia="方正仿宋_GBK"/>
          <w:snapToGrid w:val="0"/>
          <w:color w:val="000000"/>
          <w:kern w:val="32"/>
          <w:sz w:val="24"/>
        </w:rPr>
      </w:pPr>
      <w:r>
        <w:rPr>
          <w:rFonts w:hint="eastAsia" w:eastAsia="方正仿宋_GBK"/>
          <w:snapToGrid w:val="0"/>
          <w:color w:val="000000"/>
          <w:kern w:val="32"/>
          <w:sz w:val="24"/>
        </w:rPr>
        <w:t>其中评审要点</w:t>
      </w:r>
      <w:r>
        <w:rPr>
          <w:rFonts w:eastAsia="方正仿宋_GBK"/>
          <w:snapToGrid w:val="0"/>
          <w:color w:val="000000"/>
          <w:kern w:val="32"/>
          <w:sz w:val="24"/>
        </w:rPr>
        <w:t>6</w:t>
      </w:r>
      <w:r>
        <w:rPr>
          <w:rFonts w:hint="eastAsia" w:eastAsia="方正仿宋_GBK"/>
          <w:snapToGrid w:val="0"/>
          <w:color w:val="000000"/>
          <w:kern w:val="32"/>
          <w:sz w:val="24"/>
        </w:rPr>
        <w:t>至</w:t>
      </w:r>
      <w:r>
        <w:rPr>
          <w:rFonts w:eastAsia="方正仿宋_GBK"/>
          <w:snapToGrid w:val="0"/>
          <w:color w:val="000000"/>
          <w:kern w:val="32"/>
          <w:sz w:val="24"/>
        </w:rPr>
        <w:t>8</w:t>
      </w:r>
      <w:r>
        <w:rPr>
          <w:rFonts w:hint="eastAsia" w:eastAsia="方正仿宋_GBK"/>
          <w:snapToGrid w:val="0"/>
          <w:color w:val="000000"/>
          <w:kern w:val="32"/>
          <w:sz w:val="24"/>
        </w:rPr>
        <w:t>项由招标人根据工程项目的实际情况在招标文件中明确。施工组织设计总篇幅一般不超过</w:t>
      </w:r>
      <w:r>
        <w:rPr>
          <w:rFonts w:eastAsia="方正仿宋_GBK"/>
          <w:snapToGrid w:val="0"/>
          <w:color w:val="000000"/>
          <w:kern w:val="32"/>
          <w:sz w:val="24"/>
        </w:rPr>
        <w:t>80</w:t>
      </w:r>
      <w:r>
        <w:rPr>
          <w:rFonts w:hint="eastAsia" w:eastAsia="方正仿宋_GBK"/>
          <w:snapToGrid w:val="0"/>
          <w:color w:val="000000"/>
          <w:kern w:val="32"/>
          <w:sz w:val="24"/>
        </w:rPr>
        <w:t>页（技术特别复杂的工程可适当增加），具体篇幅</w:t>
      </w:r>
      <w:r>
        <w:rPr>
          <w:rFonts w:eastAsia="方正仿宋_GBK"/>
          <w:snapToGrid w:val="0"/>
          <w:color w:val="000000"/>
          <w:kern w:val="32"/>
          <w:sz w:val="24"/>
        </w:rPr>
        <w:t>(</w:t>
      </w:r>
      <w:r>
        <w:rPr>
          <w:rFonts w:hint="eastAsia" w:eastAsia="方正仿宋_GBK"/>
          <w:snapToGrid w:val="0"/>
          <w:color w:val="000000"/>
          <w:kern w:val="32"/>
          <w:sz w:val="24"/>
        </w:rPr>
        <w:t>字数</w:t>
      </w:r>
      <w:r>
        <w:rPr>
          <w:rFonts w:eastAsia="方正仿宋_GBK"/>
          <w:snapToGrid w:val="0"/>
          <w:color w:val="000000"/>
          <w:kern w:val="32"/>
          <w:sz w:val="24"/>
        </w:rPr>
        <w:t>)</w:t>
      </w:r>
      <w:r>
        <w:rPr>
          <w:rFonts w:hint="eastAsia" w:eastAsia="方正仿宋_GBK"/>
          <w:snapToGrid w:val="0"/>
          <w:color w:val="000000"/>
          <w:kern w:val="32"/>
          <w:sz w:val="24"/>
        </w:rPr>
        <w:t>要求及扣分标准，招标人应在招标文件中明确。</w:t>
      </w:r>
    </w:p>
    <w:p>
      <w:pPr>
        <w:tabs>
          <w:tab w:val="left" w:pos="0"/>
        </w:tabs>
        <w:spacing w:line="480" w:lineRule="exact"/>
        <w:ind w:right="-36" w:firstLine="476" w:firstLineChars="202"/>
        <w:rPr>
          <w:rFonts w:eastAsia="方正仿宋_GBK"/>
          <w:snapToGrid w:val="0"/>
          <w:color w:val="000000"/>
          <w:kern w:val="32"/>
          <w:sz w:val="24"/>
        </w:rPr>
      </w:pPr>
      <w:r>
        <w:rPr>
          <w:rFonts w:hint="eastAsia" w:eastAsia="方正仿宋_GBK"/>
          <w:snapToGrid w:val="0"/>
          <w:color w:val="000000"/>
          <w:kern w:val="32"/>
          <w:sz w:val="24"/>
        </w:rPr>
        <w:t>（三）采用合理低价法、合理价随机确定中标人法招标的工程均不得要求编制施工组织设计；采用经评审的最低投标价评标法，招标人要求投标人编制施工组织设计的，应在招标文件中明确。</w:t>
      </w:r>
    </w:p>
    <w:p>
      <w:pPr>
        <w:tabs>
          <w:tab w:val="left" w:pos="0"/>
        </w:tabs>
        <w:spacing w:line="480" w:lineRule="exact"/>
        <w:ind w:right="-36" w:firstLine="476" w:firstLineChars="202"/>
        <w:rPr>
          <w:rFonts w:eastAsia="方正仿宋_GBK"/>
          <w:snapToGrid w:val="0"/>
          <w:color w:val="000000"/>
          <w:kern w:val="32"/>
          <w:sz w:val="24"/>
        </w:rPr>
      </w:pPr>
      <w:r>
        <w:rPr>
          <w:rFonts w:hint="eastAsia" w:eastAsia="方正仿宋_GBK"/>
          <w:snapToGrid w:val="0"/>
          <w:color w:val="000000"/>
          <w:kern w:val="32"/>
          <w:sz w:val="24"/>
        </w:rPr>
        <w:t>第八条</w:t>
      </w:r>
      <w:r>
        <w:rPr>
          <w:rFonts w:eastAsia="方正仿宋_GBK"/>
          <w:snapToGrid w:val="0"/>
          <w:color w:val="000000"/>
          <w:kern w:val="32"/>
          <w:sz w:val="24"/>
        </w:rPr>
        <w:t xml:space="preserve"> </w:t>
      </w:r>
      <w:r>
        <w:rPr>
          <w:rFonts w:hint="eastAsia" w:eastAsia="方正仿宋_GBK"/>
          <w:snapToGrid w:val="0"/>
          <w:color w:val="000000"/>
          <w:kern w:val="32"/>
          <w:sz w:val="24"/>
        </w:rPr>
        <w:t>采用综合评估法的，评标委员会应当按照招标文件规定的各项因素进行综合评审。其评审因素和标准如下：</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（一）投标报价评审（≥</w:t>
      </w:r>
      <w:r>
        <w:rPr>
          <w:rFonts w:eastAsia="方正仿宋_GBK"/>
          <w:snapToGrid w:val="0"/>
          <w:color w:val="000000"/>
          <w:kern w:val="32"/>
          <w:sz w:val="24"/>
        </w:rPr>
        <w:t xml:space="preserve">82 </w:t>
      </w:r>
      <w:r>
        <w:rPr>
          <w:rFonts w:hint="eastAsia" w:eastAsia="方正仿宋_GBK"/>
          <w:snapToGrid w:val="0"/>
          <w:color w:val="000000"/>
          <w:kern w:val="32"/>
          <w:sz w:val="24"/>
        </w:rPr>
        <w:t>分）</w:t>
      </w:r>
    </w:p>
    <w:p>
      <w:pPr>
        <w:tabs>
          <w:tab w:val="left" w:pos="0"/>
        </w:tabs>
        <w:spacing w:line="480" w:lineRule="exact"/>
        <w:ind w:right="-36" w:firstLine="476" w:firstLineChars="202"/>
        <w:rPr>
          <w:rFonts w:eastAsia="方正仿宋_GBK"/>
          <w:snapToGrid w:val="0"/>
          <w:color w:val="000000"/>
          <w:kern w:val="32"/>
          <w:sz w:val="24"/>
        </w:rPr>
      </w:pPr>
      <w:r>
        <w:rPr>
          <w:rFonts w:hint="eastAsia" w:eastAsia="方正仿宋_GBK"/>
          <w:snapToGrid w:val="0"/>
          <w:color w:val="000000"/>
          <w:kern w:val="32"/>
          <w:sz w:val="24"/>
        </w:rPr>
        <w:t>评标委员会应根据招标文件中明确的投标报价评审方法和评分细则对进入详细评审投标报价进行评审、打分。</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（二）施工组织设计（≤</w:t>
      </w:r>
      <w:r>
        <w:rPr>
          <w:rFonts w:eastAsia="方正仿宋_GBK"/>
          <w:snapToGrid w:val="0"/>
          <w:color w:val="000000"/>
          <w:kern w:val="32"/>
          <w:sz w:val="24"/>
        </w:rPr>
        <w:t>10</w:t>
      </w:r>
      <w:r>
        <w:rPr>
          <w:rFonts w:hint="eastAsia" w:eastAsia="方正仿宋_GBK"/>
          <w:snapToGrid w:val="0"/>
          <w:color w:val="000000"/>
          <w:kern w:val="32"/>
          <w:sz w:val="24"/>
        </w:rPr>
        <w:t>分）</w:t>
      </w:r>
    </w:p>
    <w:p>
      <w:pPr>
        <w:tabs>
          <w:tab w:val="left" w:pos="0"/>
        </w:tabs>
        <w:spacing w:line="480" w:lineRule="exact"/>
        <w:ind w:right="-36" w:firstLine="476" w:firstLineChars="202"/>
        <w:rPr>
          <w:rFonts w:eastAsia="方正仿宋_GBK"/>
          <w:snapToGrid w:val="0"/>
          <w:color w:val="000000"/>
          <w:kern w:val="32"/>
          <w:sz w:val="24"/>
        </w:rPr>
      </w:pPr>
      <w:r>
        <w:rPr>
          <w:rFonts w:hint="eastAsia" w:eastAsia="方正仿宋_GBK"/>
          <w:snapToGrid w:val="0"/>
          <w:color w:val="000000"/>
          <w:kern w:val="32"/>
          <w:sz w:val="24"/>
        </w:rPr>
        <w:t>施工组织设计的评审标准和方法见第七条。招标文件中要求投标项目负责人陈述及答辩的，该项评分分值不得超过</w:t>
      </w:r>
      <w:r>
        <w:rPr>
          <w:rFonts w:eastAsia="方正仿宋_GBK"/>
          <w:snapToGrid w:val="0"/>
          <w:color w:val="000000"/>
          <w:kern w:val="32"/>
          <w:sz w:val="24"/>
        </w:rPr>
        <w:t xml:space="preserve"> 2 </w:t>
      </w:r>
      <w:r>
        <w:rPr>
          <w:rFonts w:hint="eastAsia" w:eastAsia="方正仿宋_GBK"/>
          <w:snapToGrid w:val="0"/>
          <w:color w:val="000000"/>
          <w:kern w:val="32"/>
          <w:sz w:val="24"/>
        </w:rPr>
        <w:t>分。</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（三）投标人业绩</w:t>
      </w:r>
      <w:r>
        <w:rPr>
          <w:rFonts w:eastAsia="方正仿宋_GBK"/>
          <w:snapToGrid w:val="0"/>
          <w:color w:val="000000"/>
          <w:kern w:val="32"/>
          <w:sz w:val="24"/>
        </w:rPr>
        <w:t xml:space="preserve"> </w:t>
      </w:r>
      <w:r>
        <w:rPr>
          <w:rFonts w:hint="eastAsia" w:eastAsia="方正仿宋_GBK"/>
          <w:snapToGrid w:val="0"/>
          <w:color w:val="000000"/>
          <w:kern w:val="32"/>
          <w:sz w:val="24"/>
        </w:rPr>
        <w:t>（≤</w:t>
      </w:r>
      <w:r>
        <w:rPr>
          <w:rFonts w:eastAsia="方正仿宋_GBK"/>
          <w:snapToGrid w:val="0"/>
          <w:color w:val="000000"/>
          <w:kern w:val="32"/>
          <w:sz w:val="24"/>
        </w:rPr>
        <w:t>1</w:t>
      </w:r>
      <w:r>
        <w:rPr>
          <w:rFonts w:hint="eastAsia" w:eastAsia="方正仿宋_GBK"/>
          <w:snapToGrid w:val="0"/>
          <w:color w:val="000000"/>
          <w:kern w:val="32"/>
          <w:sz w:val="24"/>
        </w:rPr>
        <w:t>分）</w:t>
      </w:r>
    </w:p>
    <w:p>
      <w:pPr>
        <w:tabs>
          <w:tab w:val="left" w:pos="0"/>
        </w:tabs>
        <w:spacing w:line="480" w:lineRule="exact"/>
        <w:ind w:right="-36" w:firstLine="476" w:firstLineChars="202"/>
        <w:rPr>
          <w:rFonts w:eastAsia="方正仿宋_GBK"/>
          <w:snapToGrid w:val="0"/>
          <w:color w:val="000000"/>
          <w:kern w:val="32"/>
          <w:sz w:val="24"/>
        </w:rPr>
      </w:pPr>
      <w:r>
        <w:rPr>
          <w:rFonts w:hint="eastAsia" w:eastAsia="方正仿宋_GBK"/>
          <w:snapToGrid w:val="0"/>
          <w:color w:val="000000"/>
          <w:kern w:val="32"/>
          <w:sz w:val="24"/>
        </w:rPr>
        <w:t>招标人可以对投标企业或项目负责人承担过类似及以上工程（其类似工程执行附件一第</w:t>
      </w:r>
      <w:r>
        <w:rPr>
          <w:rFonts w:eastAsia="方正仿宋_GBK"/>
          <w:snapToGrid w:val="0"/>
          <w:color w:val="000000"/>
          <w:kern w:val="32"/>
          <w:sz w:val="24"/>
        </w:rPr>
        <w:t>3</w:t>
      </w:r>
      <w:r>
        <w:rPr>
          <w:rFonts w:hint="eastAsia" w:eastAsia="方正仿宋_GBK"/>
          <w:snapToGrid w:val="0"/>
          <w:color w:val="000000"/>
          <w:kern w:val="32"/>
          <w:sz w:val="24"/>
        </w:rPr>
        <w:t>条的相应规定）进行加分，招标文件中应当明确投标企业或者项目负责人承担过单个类似及以上工程的分值。</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（四）投标人市场信用评价（</w:t>
      </w:r>
      <w:r>
        <w:rPr>
          <w:rFonts w:eastAsia="方正仿宋_GBK"/>
          <w:snapToGrid w:val="0"/>
          <w:color w:val="000000"/>
          <w:kern w:val="32"/>
          <w:sz w:val="24"/>
        </w:rPr>
        <w:t>2-6</w:t>
      </w:r>
      <w:r>
        <w:rPr>
          <w:rFonts w:hint="eastAsia" w:eastAsia="方正仿宋_GBK"/>
          <w:snapToGrid w:val="0"/>
          <w:color w:val="000000"/>
          <w:kern w:val="32"/>
          <w:sz w:val="24"/>
        </w:rPr>
        <w:t>分）</w:t>
      </w:r>
    </w:p>
    <w:p>
      <w:pPr>
        <w:tabs>
          <w:tab w:val="left" w:pos="0"/>
        </w:tabs>
        <w:spacing w:line="480" w:lineRule="exact"/>
        <w:ind w:right="-36" w:firstLine="476" w:firstLineChars="202"/>
        <w:rPr>
          <w:rFonts w:eastAsia="方正仿宋_GBK"/>
          <w:snapToGrid w:val="0"/>
          <w:color w:val="000000"/>
          <w:kern w:val="32"/>
          <w:sz w:val="24"/>
        </w:rPr>
      </w:pPr>
      <w:r>
        <w:rPr>
          <w:rFonts w:hint="eastAsia" w:eastAsia="方正仿宋_GBK"/>
          <w:snapToGrid w:val="0"/>
          <w:color w:val="000000"/>
          <w:kern w:val="32"/>
          <w:sz w:val="24"/>
        </w:rPr>
        <w:t>招标人选择投标人市场信用评价作为评审因素的，其评审方法应当在招标文件中明确。</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（五）投标报价合理性（≤</w:t>
      </w:r>
      <w:r>
        <w:rPr>
          <w:rFonts w:eastAsia="方正仿宋_GBK"/>
          <w:snapToGrid w:val="0"/>
          <w:color w:val="000000"/>
          <w:kern w:val="32"/>
          <w:sz w:val="24"/>
        </w:rPr>
        <w:t xml:space="preserve">1 </w:t>
      </w:r>
      <w:r>
        <w:rPr>
          <w:rFonts w:hint="eastAsia" w:eastAsia="方正仿宋_GBK"/>
          <w:snapToGrid w:val="0"/>
          <w:color w:val="000000"/>
          <w:kern w:val="32"/>
          <w:sz w:val="24"/>
        </w:rPr>
        <w:t>分）</w:t>
      </w:r>
    </w:p>
    <w:p>
      <w:pPr>
        <w:tabs>
          <w:tab w:val="left" w:pos="0"/>
        </w:tabs>
        <w:spacing w:line="480" w:lineRule="exact"/>
        <w:ind w:right="-36" w:firstLine="476" w:firstLineChars="202"/>
        <w:rPr>
          <w:rFonts w:eastAsia="方正仿宋_GBK"/>
          <w:snapToGrid w:val="0"/>
          <w:color w:val="000000"/>
          <w:kern w:val="32"/>
          <w:sz w:val="24"/>
        </w:rPr>
      </w:pPr>
      <w:r>
        <w:rPr>
          <w:rFonts w:hint="eastAsia" w:eastAsia="方正仿宋_GBK"/>
          <w:snapToGrid w:val="0"/>
          <w:color w:val="000000"/>
          <w:kern w:val="32"/>
          <w:sz w:val="24"/>
        </w:rPr>
        <w:t>投标报价合理性评审方法如下：</w:t>
      </w:r>
    </w:p>
    <w:p>
      <w:pPr>
        <w:tabs>
          <w:tab w:val="left" w:pos="0"/>
        </w:tabs>
        <w:spacing w:line="480" w:lineRule="exact"/>
        <w:ind w:right="-36" w:firstLine="594" w:firstLineChars="252"/>
        <w:rPr>
          <w:rFonts w:eastAsia="方正仿宋_GBK"/>
          <w:snapToGrid w:val="0"/>
          <w:color w:val="000000"/>
          <w:kern w:val="32"/>
          <w:sz w:val="24"/>
        </w:rPr>
      </w:pPr>
      <w:r>
        <w:rPr>
          <w:rFonts w:eastAsia="方正仿宋_GBK"/>
          <w:snapToGrid w:val="0"/>
          <w:color w:val="000000"/>
          <w:kern w:val="32"/>
          <w:sz w:val="24"/>
        </w:rPr>
        <w:t>1.</w:t>
      </w:r>
      <w:r>
        <w:rPr>
          <w:rFonts w:hint="eastAsia" w:eastAsia="方正仿宋_GBK"/>
          <w:snapToGrid w:val="0"/>
          <w:color w:val="000000"/>
          <w:kern w:val="32"/>
          <w:sz w:val="24"/>
        </w:rPr>
        <w:t>报价合理性分析基准值的确定。招标控制价各子目综合单价下浮一定比率后〔下浮比率：建筑工程一般下浮</w:t>
      </w:r>
      <w:r>
        <w:rPr>
          <w:rFonts w:eastAsia="方正仿宋_GBK"/>
          <w:snapToGrid w:val="0"/>
          <w:color w:val="000000"/>
          <w:kern w:val="32"/>
          <w:sz w:val="24"/>
        </w:rPr>
        <w:t>6</w:t>
      </w:r>
      <w:r>
        <w:rPr>
          <w:rFonts w:hint="eastAsia" w:eastAsia="方正仿宋_GBK"/>
          <w:snapToGrid w:val="0"/>
          <w:color w:val="000000"/>
          <w:kern w:val="32"/>
          <w:sz w:val="24"/>
        </w:rPr>
        <w:t>～</w:t>
      </w:r>
      <w:r>
        <w:rPr>
          <w:rFonts w:eastAsia="方正仿宋_GBK"/>
          <w:snapToGrid w:val="0"/>
          <w:color w:val="000000"/>
          <w:kern w:val="32"/>
          <w:sz w:val="24"/>
        </w:rPr>
        <w:t>10%</w:t>
      </w:r>
      <w:r>
        <w:rPr>
          <w:rFonts w:hint="eastAsia" w:eastAsia="方正仿宋_GBK"/>
          <w:snapToGrid w:val="0"/>
          <w:color w:val="000000"/>
          <w:kern w:val="32"/>
          <w:sz w:val="24"/>
        </w:rPr>
        <w:t>，安装、装饰及幕墙工程</w:t>
      </w:r>
      <w:r>
        <w:rPr>
          <w:rFonts w:eastAsia="方正仿宋_GBK"/>
          <w:snapToGrid w:val="0"/>
          <w:color w:val="000000"/>
          <w:kern w:val="32"/>
          <w:sz w:val="24"/>
        </w:rPr>
        <w:t>6</w:t>
      </w:r>
      <w:r>
        <w:rPr>
          <w:rFonts w:hint="eastAsia" w:eastAsia="方正仿宋_GBK"/>
          <w:snapToGrid w:val="0"/>
          <w:color w:val="000000"/>
          <w:kern w:val="32"/>
          <w:sz w:val="24"/>
        </w:rPr>
        <w:t>～</w:t>
      </w:r>
      <w:r>
        <w:rPr>
          <w:rFonts w:eastAsia="方正仿宋_GBK"/>
          <w:snapToGrid w:val="0"/>
          <w:color w:val="000000"/>
          <w:kern w:val="32"/>
          <w:sz w:val="24"/>
        </w:rPr>
        <w:t>16%</w:t>
      </w:r>
      <w:r>
        <w:rPr>
          <w:rFonts w:hint="eastAsia" w:eastAsia="方正仿宋_GBK"/>
          <w:snapToGrid w:val="0"/>
          <w:color w:val="000000"/>
          <w:kern w:val="32"/>
          <w:sz w:val="24"/>
        </w:rPr>
        <w:t>，桩基和基坑支护工程</w:t>
      </w:r>
      <w:r>
        <w:rPr>
          <w:rFonts w:eastAsia="方正仿宋_GBK"/>
          <w:snapToGrid w:val="0"/>
          <w:color w:val="000000"/>
          <w:kern w:val="32"/>
          <w:sz w:val="24"/>
        </w:rPr>
        <w:t>7</w:t>
      </w:r>
      <w:r>
        <w:rPr>
          <w:rFonts w:hint="eastAsia" w:eastAsia="方正仿宋_GBK"/>
          <w:snapToGrid w:val="0"/>
          <w:color w:val="000000"/>
          <w:kern w:val="32"/>
          <w:sz w:val="24"/>
        </w:rPr>
        <w:t>－</w:t>
      </w:r>
      <w:r>
        <w:rPr>
          <w:rFonts w:eastAsia="方正仿宋_GBK"/>
          <w:snapToGrid w:val="0"/>
          <w:color w:val="000000"/>
          <w:kern w:val="32"/>
          <w:sz w:val="24"/>
        </w:rPr>
        <w:t>16%</w:t>
      </w:r>
      <w:r>
        <w:rPr>
          <w:rFonts w:hint="eastAsia" w:eastAsia="方正仿宋_GBK"/>
          <w:snapToGrid w:val="0"/>
          <w:color w:val="000000"/>
          <w:kern w:val="32"/>
          <w:sz w:val="24"/>
        </w:rPr>
        <w:t>，市政工程</w:t>
      </w:r>
      <w:r>
        <w:rPr>
          <w:rFonts w:eastAsia="方正仿宋_GBK"/>
          <w:snapToGrid w:val="0"/>
          <w:color w:val="000000"/>
          <w:kern w:val="32"/>
          <w:sz w:val="24"/>
        </w:rPr>
        <w:t>7</w:t>
      </w:r>
      <w:r>
        <w:rPr>
          <w:rFonts w:hint="eastAsia" w:eastAsia="方正仿宋_GBK"/>
          <w:snapToGrid w:val="0"/>
          <w:color w:val="000000"/>
          <w:kern w:val="32"/>
          <w:sz w:val="24"/>
        </w:rPr>
        <w:t>～</w:t>
      </w:r>
      <w:r>
        <w:rPr>
          <w:rFonts w:eastAsia="方正仿宋_GBK"/>
          <w:snapToGrid w:val="0"/>
          <w:color w:val="000000"/>
          <w:kern w:val="32"/>
          <w:sz w:val="24"/>
        </w:rPr>
        <w:t>18%</w:t>
      </w:r>
      <w:r>
        <w:rPr>
          <w:rFonts w:hint="eastAsia" w:eastAsia="方正仿宋_GBK"/>
          <w:snapToGrid w:val="0"/>
          <w:color w:val="000000"/>
          <w:kern w:val="32"/>
          <w:sz w:val="24"/>
        </w:rPr>
        <w:t>，园林绿化工程</w:t>
      </w:r>
      <w:r>
        <w:rPr>
          <w:rFonts w:eastAsia="方正仿宋_GBK"/>
          <w:snapToGrid w:val="0"/>
          <w:color w:val="000000"/>
          <w:kern w:val="32"/>
          <w:sz w:val="24"/>
        </w:rPr>
        <w:t>7</w:t>
      </w:r>
      <w:r>
        <w:rPr>
          <w:rFonts w:hint="eastAsia" w:eastAsia="方正仿宋_GBK"/>
          <w:snapToGrid w:val="0"/>
          <w:color w:val="000000"/>
          <w:kern w:val="32"/>
          <w:sz w:val="24"/>
        </w:rPr>
        <w:t>～</w:t>
      </w:r>
      <w:r>
        <w:rPr>
          <w:rFonts w:eastAsia="方正仿宋_GBK"/>
          <w:snapToGrid w:val="0"/>
          <w:color w:val="000000"/>
          <w:kern w:val="32"/>
          <w:sz w:val="24"/>
        </w:rPr>
        <w:t>20%</w:t>
      </w:r>
      <w:r>
        <w:rPr>
          <w:rFonts w:hint="eastAsia" w:eastAsia="方正仿宋_GBK"/>
          <w:snapToGrid w:val="0"/>
          <w:color w:val="000000"/>
          <w:kern w:val="32"/>
          <w:sz w:val="24"/>
        </w:rPr>
        <w:t>，其他工程</w:t>
      </w:r>
      <w:r>
        <w:rPr>
          <w:rFonts w:eastAsia="方正仿宋_GBK"/>
          <w:snapToGrid w:val="0"/>
          <w:color w:val="000000"/>
          <w:kern w:val="32"/>
          <w:sz w:val="24"/>
        </w:rPr>
        <w:t>6</w:t>
      </w:r>
      <w:r>
        <w:rPr>
          <w:rFonts w:hint="eastAsia" w:eastAsia="方正仿宋_GBK"/>
          <w:snapToGrid w:val="0"/>
          <w:color w:val="000000"/>
          <w:kern w:val="32"/>
          <w:sz w:val="24"/>
        </w:rPr>
        <w:t>～</w:t>
      </w:r>
      <w:r>
        <w:rPr>
          <w:rFonts w:eastAsia="方正仿宋_GBK"/>
          <w:snapToGrid w:val="0"/>
          <w:color w:val="000000"/>
          <w:kern w:val="32"/>
          <w:sz w:val="24"/>
        </w:rPr>
        <w:t>12%</w:t>
      </w:r>
      <w:r>
        <w:rPr>
          <w:rFonts w:hint="eastAsia" w:eastAsia="方正仿宋_GBK"/>
          <w:snapToGrid w:val="0"/>
          <w:color w:val="000000"/>
          <w:kern w:val="32"/>
          <w:sz w:val="24"/>
        </w:rPr>
        <w:t>。各市、县（市、区）建设主管部门可以根据当地情况对上述下浮比率作适当动态调整〕乘以权重系数（</w:t>
      </w:r>
      <w:r>
        <w:rPr>
          <w:rFonts w:eastAsia="方正仿宋_GBK"/>
          <w:snapToGrid w:val="0"/>
          <w:color w:val="000000"/>
          <w:kern w:val="32"/>
          <w:sz w:val="24"/>
        </w:rPr>
        <w:t>50%</w:t>
      </w:r>
      <w:r>
        <w:rPr>
          <w:rFonts w:hint="eastAsia" w:eastAsia="方正仿宋_GBK"/>
          <w:snapToGrid w:val="0"/>
          <w:color w:val="000000"/>
          <w:kern w:val="32"/>
          <w:sz w:val="24"/>
        </w:rPr>
        <w:t>及以上），加所有通过评标入围的投标报价中相应子目综合单价的算术平均值（剔除超过招标控制价中相应价格正负</w:t>
      </w:r>
      <w:r>
        <w:rPr>
          <w:rFonts w:eastAsia="方正仿宋_GBK"/>
          <w:snapToGrid w:val="0"/>
          <w:color w:val="000000"/>
          <w:kern w:val="32"/>
          <w:sz w:val="24"/>
        </w:rPr>
        <w:t>20%</w:t>
      </w:r>
      <w:r>
        <w:rPr>
          <w:rFonts w:hint="eastAsia" w:eastAsia="方正仿宋_GBK"/>
          <w:snapToGrid w:val="0"/>
          <w:color w:val="000000"/>
          <w:kern w:val="32"/>
          <w:sz w:val="24"/>
        </w:rPr>
        <w:t>的综合单价）乘以权重系数（</w:t>
      </w:r>
      <w:r>
        <w:rPr>
          <w:rFonts w:eastAsia="方正仿宋_GBK"/>
          <w:snapToGrid w:val="0"/>
          <w:color w:val="000000"/>
          <w:kern w:val="32"/>
          <w:sz w:val="24"/>
        </w:rPr>
        <w:t>50%</w:t>
      </w:r>
      <w:r>
        <w:rPr>
          <w:rFonts w:hint="eastAsia" w:eastAsia="方正仿宋_GBK"/>
          <w:snapToGrid w:val="0"/>
          <w:color w:val="000000"/>
          <w:kern w:val="32"/>
          <w:sz w:val="24"/>
        </w:rPr>
        <w:t>及以下），确定报价合理性分析基准价。</w:t>
      </w:r>
    </w:p>
    <w:p>
      <w:pPr>
        <w:tabs>
          <w:tab w:val="left" w:pos="0"/>
        </w:tabs>
        <w:spacing w:line="480" w:lineRule="exact"/>
        <w:ind w:right="-36" w:firstLine="594" w:firstLineChars="252"/>
        <w:rPr>
          <w:rFonts w:eastAsia="方正仿宋_GBK"/>
          <w:snapToGrid w:val="0"/>
          <w:color w:val="000000"/>
          <w:kern w:val="32"/>
          <w:sz w:val="24"/>
        </w:rPr>
      </w:pPr>
      <w:r>
        <w:rPr>
          <w:rFonts w:eastAsia="方正仿宋_GBK"/>
          <w:snapToGrid w:val="0"/>
          <w:color w:val="000000"/>
          <w:kern w:val="32"/>
          <w:sz w:val="24"/>
        </w:rPr>
        <w:t>2.</w:t>
      </w:r>
      <w:r>
        <w:rPr>
          <w:rFonts w:hint="eastAsia" w:eastAsia="方正仿宋_GBK"/>
          <w:snapToGrid w:val="0"/>
          <w:color w:val="000000"/>
          <w:kern w:val="32"/>
          <w:sz w:val="24"/>
        </w:rPr>
        <w:t>将投标文件中工程量清单相应子目的综合单价金额与报价合理性分析基准值进行比较，其偏差率的绝对值</w:t>
      </w:r>
      <w:r>
        <w:rPr>
          <w:rFonts w:eastAsia="方正仿宋_GBK"/>
          <w:snapToGrid w:val="0"/>
          <w:color w:val="000000"/>
          <w:kern w:val="32"/>
          <w:sz w:val="24"/>
        </w:rPr>
        <w:t>&gt;10%</w:t>
      </w:r>
      <w:r>
        <w:rPr>
          <w:rFonts w:hint="eastAsia" w:eastAsia="方正仿宋_GBK"/>
          <w:snapToGrid w:val="0"/>
          <w:color w:val="000000"/>
          <w:kern w:val="32"/>
          <w:sz w:val="24"/>
        </w:rPr>
        <w:t>且该子目的合价金额超过该投标文件的评标价一定幅度</w:t>
      </w:r>
      <w:r>
        <w:rPr>
          <w:rFonts w:eastAsia="方正仿宋_GBK"/>
          <w:snapToGrid w:val="0"/>
          <w:color w:val="000000"/>
          <w:kern w:val="32"/>
          <w:sz w:val="24"/>
        </w:rPr>
        <w:t xml:space="preserve"> (</w:t>
      </w:r>
      <w:r>
        <w:rPr>
          <w:rFonts w:hint="eastAsia" w:eastAsia="方正仿宋_GBK"/>
          <w:snapToGrid w:val="0"/>
          <w:color w:val="000000"/>
          <w:kern w:val="32"/>
          <w:sz w:val="24"/>
        </w:rPr>
        <w:t>一般为评标价的</w:t>
      </w:r>
      <w:r>
        <w:rPr>
          <w:rFonts w:eastAsia="方正仿宋_GBK"/>
          <w:snapToGrid w:val="0"/>
          <w:color w:val="000000"/>
          <w:kern w:val="32"/>
          <w:sz w:val="24"/>
        </w:rPr>
        <w:t>0.5%-1%)</w:t>
      </w:r>
      <w:r>
        <w:rPr>
          <w:rFonts w:hint="eastAsia" w:eastAsia="方正仿宋_GBK"/>
          <w:snapToGrid w:val="0"/>
          <w:color w:val="000000"/>
          <w:kern w:val="32"/>
          <w:sz w:val="24"/>
        </w:rPr>
        <w:t>的，有一项扣</w:t>
      </w:r>
      <w:r>
        <w:rPr>
          <w:rFonts w:eastAsia="方正仿宋_GBK"/>
          <w:snapToGrid w:val="0"/>
          <w:color w:val="000000"/>
          <w:kern w:val="32"/>
          <w:sz w:val="24"/>
        </w:rPr>
        <w:t>0.1</w:t>
      </w:r>
      <w:r>
        <w:rPr>
          <w:rFonts w:hint="eastAsia" w:eastAsia="方正仿宋_GBK"/>
          <w:snapToGrid w:val="0"/>
          <w:color w:val="000000"/>
          <w:kern w:val="32"/>
          <w:sz w:val="24"/>
        </w:rPr>
        <w:t>分</w:t>
      </w:r>
      <w:r>
        <w:rPr>
          <w:rFonts w:eastAsia="方正仿宋_GBK"/>
          <w:snapToGrid w:val="0"/>
          <w:color w:val="000000"/>
          <w:kern w:val="32"/>
          <w:sz w:val="24"/>
        </w:rPr>
        <w:t>,</w:t>
      </w:r>
      <w:r>
        <w:rPr>
          <w:rFonts w:hint="eastAsia" w:eastAsia="方正仿宋_GBK"/>
          <w:snapToGrid w:val="0"/>
          <w:color w:val="000000"/>
          <w:kern w:val="32"/>
          <w:sz w:val="24"/>
        </w:rPr>
        <w:t>最多扣</w:t>
      </w:r>
      <w:r>
        <w:rPr>
          <w:rFonts w:eastAsia="方正仿宋_GBK"/>
          <w:snapToGrid w:val="0"/>
          <w:color w:val="000000"/>
          <w:kern w:val="32"/>
          <w:sz w:val="24"/>
        </w:rPr>
        <w:t>1</w:t>
      </w:r>
      <w:r>
        <w:rPr>
          <w:rFonts w:hint="eastAsia" w:eastAsia="方正仿宋_GBK"/>
          <w:snapToGrid w:val="0"/>
          <w:color w:val="000000"/>
          <w:kern w:val="32"/>
          <w:sz w:val="24"/>
        </w:rPr>
        <w:t>分。</w:t>
      </w:r>
    </w:p>
    <w:p>
      <w:pPr>
        <w:tabs>
          <w:tab w:val="left" w:pos="0"/>
        </w:tabs>
        <w:spacing w:line="480" w:lineRule="exact"/>
        <w:ind w:right="-36" w:firstLine="476" w:firstLineChars="202"/>
        <w:rPr>
          <w:rFonts w:eastAsia="方正仿宋_GBK"/>
          <w:snapToGrid w:val="0"/>
          <w:color w:val="000000"/>
          <w:kern w:val="32"/>
          <w:sz w:val="24"/>
        </w:rPr>
      </w:pPr>
      <w:r>
        <w:rPr>
          <w:rFonts w:hint="eastAsia" w:eastAsia="方正仿宋_GBK"/>
          <w:snapToGrid w:val="0"/>
          <w:color w:val="000000"/>
          <w:kern w:val="32"/>
          <w:sz w:val="24"/>
        </w:rPr>
        <w:t>第九条</w:t>
      </w:r>
      <w:r>
        <w:rPr>
          <w:rFonts w:eastAsia="方正仿宋_GBK"/>
          <w:snapToGrid w:val="0"/>
          <w:color w:val="000000"/>
          <w:kern w:val="32"/>
          <w:sz w:val="24"/>
        </w:rPr>
        <w:t xml:space="preserve"> </w:t>
      </w:r>
      <w:r>
        <w:rPr>
          <w:rFonts w:hint="eastAsia" w:eastAsia="方正仿宋_GBK"/>
          <w:snapToGrid w:val="0"/>
          <w:color w:val="000000"/>
          <w:kern w:val="32"/>
          <w:sz w:val="24"/>
        </w:rPr>
        <w:t>采用合理低价法和经评审的最低投标价法，一般以投标报价作为评审因素。评标委员会应根据招标文件中明确的投标报价评审方法对进入详细评审投标报价进行评审。</w:t>
      </w:r>
    </w:p>
    <w:p>
      <w:pPr>
        <w:tabs>
          <w:tab w:val="left" w:pos="0"/>
        </w:tabs>
        <w:spacing w:line="480" w:lineRule="exact"/>
        <w:ind w:right="-36" w:firstLine="476" w:firstLineChars="202"/>
        <w:rPr>
          <w:rFonts w:eastAsia="方正仿宋_GBK"/>
          <w:snapToGrid w:val="0"/>
          <w:color w:val="000000"/>
          <w:kern w:val="32"/>
          <w:sz w:val="24"/>
        </w:rPr>
      </w:pPr>
      <w:r>
        <w:rPr>
          <w:rFonts w:hint="eastAsia" w:eastAsia="方正仿宋_GBK"/>
          <w:snapToGrid w:val="0"/>
          <w:color w:val="000000"/>
          <w:kern w:val="32"/>
          <w:sz w:val="24"/>
        </w:rPr>
        <w:t>除综合评估法外，采用经评审的最低投标价法、合理低价法、合理价随机确定中标人法的，招标人也可以增加投标人市场信用评价作为评审因素，所占权重一般为</w:t>
      </w:r>
      <w:r>
        <w:rPr>
          <w:rFonts w:eastAsia="方正仿宋_GBK"/>
          <w:snapToGrid w:val="0"/>
          <w:color w:val="000000"/>
          <w:kern w:val="32"/>
          <w:sz w:val="24"/>
        </w:rPr>
        <w:t>2%-6%</w:t>
      </w:r>
      <w:r>
        <w:rPr>
          <w:rFonts w:hint="eastAsia" w:eastAsia="方正仿宋_GBK"/>
          <w:snapToGrid w:val="0"/>
          <w:color w:val="000000"/>
          <w:kern w:val="32"/>
          <w:sz w:val="24"/>
        </w:rPr>
        <w:t>，具体评审方法应当在招标文件中明确。</w:t>
      </w:r>
    </w:p>
    <w:p>
      <w:pPr>
        <w:tabs>
          <w:tab w:val="left" w:pos="0"/>
        </w:tabs>
        <w:spacing w:line="480" w:lineRule="exact"/>
        <w:ind w:right="-36" w:firstLine="476" w:firstLineChars="202"/>
        <w:rPr>
          <w:rFonts w:eastAsia="方正仿宋_GBK"/>
          <w:snapToGrid w:val="0"/>
          <w:color w:val="000000"/>
          <w:kern w:val="32"/>
          <w:sz w:val="24"/>
        </w:rPr>
      </w:pPr>
      <w:r>
        <w:rPr>
          <w:rFonts w:hint="eastAsia" w:eastAsia="方正仿宋_GBK"/>
          <w:snapToGrid w:val="0"/>
          <w:color w:val="000000"/>
          <w:kern w:val="32"/>
          <w:sz w:val="24"/>
        </w:rPr>
        <w:t>第十条</w:t>
      </w:r>
      <w:r>
        <w:rPr>
          <w:rFonts w:eastAsia="方正仿宋_GBK"/>
          <w:snapToGrid w:val="0"/>
          <w:color w:val="000000"/>
          <w:kern w:val="32"/>
          <w:sz w:val="24"/>
        </w:rPr>
        <w:t xml:space="preserve"> </w:t>
      </w:r>
      <w:r>
        <w:rPr>
          <w:rFonts w:hint="eastAsia" w:eastAsia="方正仿宋_GBK"/>
          <w:snapToGrid w:val="0"/>
          <w:color w:val="000000"/>
          <w:kern w:val="32"/>
          <w:sz w:val="24"/>
        </w:rPr>
        <w:t>采用合理价随机确定中标人法的，招标人应在招标文件中载明招标控制价及其组成、发包价及其组成或者计算方法、资格审查条件、投标承诺格式等内容。</w:t>
      </w:r>
    </w:p>
    <w:p>
      <w:pPr>
        <w:tabs>
          <w:tab w:val="left" w:pos="0"/>
        </w:tabs>
        <w:spacing w:line="480" w:lineRule="exact"/>
        <w:ind w:right="-36" w:firstLine="476" w:firstLineChars="202"/>
        <w:rPr>
          <w:rFonts w:eastAsia="方正仿宋_GBK"/>
          <w:snapToGrid w:val="0"/>
          <w:color w:val="000000"/>
          <w:kern w:val="32"/>
          <w:sz w:val="24"/>
        </w:rPr>
      </w:pPr>
      <w:r>
        <w:rPr>
          <w:rFonts w:hint="eastAsia" w:eastAsia="方正仿宋_GBK"/>
          <w:snapToGrid w:val="0"/>
          <w:color w:val="000000"/>
          <w:kern w:val="32"/>
          <w:sz w:val="24"/>
        </w:rPr>
        <w:t>发包价由招标控制价下浮一定比率计算〔下浮比率：建筑工程一般下浮</w:t>
      </w:r>
      <w:r>
        <w:rPr>
          <w:rFonts w:eastAsia="方正仿宋_GBK"/>
          <w:snapToGrid w:val="0"/>
          <w:color w:val="000000"/>
          <w:kern w:val="32"/>
          <w:sz w:val="24"/>
        </w:rPr>
        <w:t>6</w:t>
      </w:r>
      <w:r>
        <w:rPr>
          <w:rFonts w:hint="eastAsia" w:eastAsia="方正仿宋_GBK"/>
          <w:snapToGrid w:val="0"/>
          <w:color w:val="000000"/>
          <w:kern w:val="32"/>
          <w:sz w:val="24"/>
        </w:rPr>
        <w:t>～</w:t>
      </w:r>
      <w:r>
        <w:rPr>
          <w:rFonts w:eastAsia="方正仿宋_GBK"/>
          <w:snapToGrid w:val="0"/>
          <w:color w:val="000000"/>
          <w:kern w:val="32"/>
          <w:sz w:val="24"/>
        </w:rPr>
        <w:t>10%</w:t>
      </w:r>
      <w:r>
        <w:rPr>
          <w:rFonts w:hint="eastAsia" w:eastAsia="方正仿宋_GBK"/>
          <w:snapToGrid w:val="0"/>
          <w:color w:val="000000"/>
          <w:kern w:val="32"/>
          <w:sz w:val="24"/>
        </w:rPr>
        <w:t>，安装、装饰及幕墙工程</w:t>
      </w:r>
      <w:r>
        <w:rPr>
          <w:rFonts w:eastAsia="方正仿宋_GBK"/>
          <w:snapToGrid w:val="0"/>
          <w:color w:val="000000"/>
          <w:kern w:val="32"/>
          <w:sz w:val="24"/>
        </w:rPr>
        <w:t>6</w:t>
      </w:r>
      <w:r>
        <w:rPr>
          <w:rFonts w:hint="eastAsia" w:eastAsia="方正仿宋_GBK"/>
          <w:snapToGrid w:val="0"/>
          <w:color w:val="000000"/>
          <w:kern w:val="32"/>
          <w:sz w:val="24"/>
        </w:rPr>
        <w:t>～</w:t>
      </w:r>
      <w:r>
        <w:rPr>
          <w:rFonts w:eastAsia="方正仿宋_GBK"/>
          <w:snapToGrid w:val="0"/>
          <w:color w:val="000000"/>
          <w:kern w:val="32"/>
          <w:sz w:val="24"/>
        </w:rPr>
        <w:t>16%</w:t>
      </w:r>
      <w:r>
        <w:rPr>
          <w:rFonts w:hint="eastAsia" w:eastAsia="方正仿宋_GBK"/>
          <w:snapToGrid w:val="0"/>
          <w:color w:val="000000"/>
          <w:kern w:val="32"/>
          <w:sz w:val="24"/>
        </w:rPr>
        <w:t>，桩基和基坑支护工程</w:t>
      </w:r>
      <w:r>
        <w:rPr>
          <w:rFonts w:eastAsia="方正仿宋_GBK"/>
          <w:snapToGrid w:val="0"/>
          <w:color w:val="000000"/>
          <w:kern w:val="32"/>
          <w:sz w:val="24"/>
        </w:rPr>
        <w:t>7</w:t>
      </w:r>
      <w:r>
        <w:rPr>
          <w:rFonts w:hint="eastAsia" w:eastAsia="方正仿宋_GBK"/>
          <w:snapToGrid w:val="0"/>
          <w:color w:val="000000"/>
          <w:kern w:val="32"/>
          <w:sz w:val="24"/>
        </w:rPr>
        <w:t>－</w:t>
      </w:r>
      <w:r>
        <w:rPr>
          <w:rFonts w:eastAsia="方正仿宋_GBK"/>
          <w:snapToGrid w:val="0"/>
          <w:color w:val="000000"/>
          <w:kern w:val="32"/>
          <w:sz w:val="24"/>
        </w:rPr>
        <w:t>16%</w:t>
      </w:r>
      <w:r>
        <w:rPr>
          <w:rFonts w:hint="eastAsia" w:eastAsia="方正仿宋_GBK"/>
          <w:snapToGrid w:val="0"/>
          <w:color w:val="000000"/>
          <w:kern w:val="32"/>
          <w:sz w:val="24"/>
        </w:rPr>
        <w:t>，市政工程</w:t>
      </w:r>
      <w:r>
        <w:rPr>
          <w:rFonts w:eastAsia="方正仿宋_GBK"/>
          <w:snapToGrid w:val="0"/>
          <w:color w:val="000000"/>
          <w:kern w:val="32"/>
          <w:sz w:val="24"/>
        </w:rPr>
        <w:t>7</w:t>
      </w:r>
      <w:r>
        <w:rPr>
          <w:rFonts w:hint="eastAsia" w:eastAsia="方正仿宋_GBK"/>
          <w:snapToGrid w:val="0"/>
          <w:color w:val="000000"/>
          <w:kern w:val="32"/>
          <w:sz w:val="24"/>
        </w:rPr>
        <w:t>～</w:t>
      </w:r>
      <w:r>
        <w:rPr>
          <w:rFonts w:eastAsia="方正仿宋_GBK"/>
          <w:snapToGrid w:val="0"/>
          <w:color w:val="000000"/>
          <w:kern w:val="32"/>
          <w:sz w:val="24"/>
        </w:rPr>
        <w:t>18%</w:t>
      </w:r>
      <w:r>
        <w:rPr>
          <w:rFonts w:hint="eastAsia" w:eastAsia="方正仿宋_GBK"/>
          <w:snapToGrid w:val="0"/>
          <w:color w:val="000000"/>
          <w:kern w:val="32"/>
          <w:sz w:val="24"/>
        </w:rPr>
        <w:t>，园林绿化工程</w:t>
      </w:r>
      <w:r>
        <w:rPr>
          <w:rFonts w:eastAsia="方正仿宋_GBK"/>
          <w:snapToGrid w:val="0"/>
          <w:color w:val="000000"/>
          <w:kern w:val="32"/>
          <w:sz w:val="24"/>
        </w:rPr>
        <w:t>7</w:t>
      </w:r>
      <w:r>
        <w:rPr>
          <w:rFonts w:hint="eastAsia" w:eastAsia="方正仿宋_GBK"/>
          <w:snapToGrid w:val="0"/>
          <w:color w:val="000000"/>
          <w:kern w:val="32"/>
          <w:sz w:val="24"/>
        </w:rPr>
        <w:t>～</w:t>
      </w:r>
      <w:r>
        <w:rPr>
          <w:rFonts w:eastAsia="方正仿宋_GBK"/>
          <w:snapToGrid w:val="0"/>
          <w:color w:val="000000"/>
          <w:kern w:val="32"/>
          <w:sz w:val="24"/>
        </w:rPr>
        <w:t>20%</w:t>
      </w:r>
      <w:r>
        <w:rPr>
          <w:rFonts w:hint="eastAsia" w:eastAsia="方正仿宋_GBK"/>
          <w:snapToGrid w:val="0"/>
          <w:color w:val="000000"/>
          <w:kern w:val="32"/>
          <w:sz w:val="24"/>
        </w:rPr>
        <w:t>，其他工程</w:t>
      </w:r>
      <w:r>
        <w:rPr>
          <w:rFonts w:eastAsia="方正仿宋_GBK"/>
          <w:snapToGrid w:val="0"/>
          <w:color w:val="000000"/>
          <w:kern w:val="32"/>
          <w:sz w:val="24"/>
        </w:rPr>
        <w:t>6</w:t>
      </w:r>
      <w:r>
        <w:rPr>
          <w:rFonts w:hint="eastAsia" w:eastAsia="方正仿宋_GBK"/>
          <w:snapToGrid w:val="0"/>
          <w:color w:val="000000"/>
          <w:kern w:val="32"/>
          <w:sz w:val="24"/>
        </w:rPr>
        <w:t>～</w:t>
      </w:r>
      <w:r>
        <w:rPr>
          <w:rFonts w:eastAsia="方正仿宋_GBK"/>
          <w:snapToGrid w:val="0"/>
          <w:color w:val="000000"/>
          <w:kern w:val="32"/>
          <w:sz w:val="24"/>
        </w:rPr>
        <w:t>12%</w:t>
      </w:r>
      <w:r>
        <w:rPr>
          <w:rFonts w:hint="eastAsia" w:eastAsia="方正仿宋_GBK"/>
          <w:snapToGrid w:val="0"/>
          <w:color w:val="000000"/>
          <w:kern w:val="32"/>
          <w:sz w:val="24"/>
        </w:rPr>
        <w:t>。各市、县（市、区）建设主管部门可以根据当地情况对上述下浮比率作适当动态调整〕。</w:t>
      </w:r>
    </w:p>
    <w:p>
      <w:pPr>
        <w:tabs>
          <w:tab w:val="left" w:pos="0"/>
        </w:tabs>
        <w:spacing w:line="480" w:lineRule="exact"/>
        <w:ind w:right="-36" w:firstLine="476" w:firstLineChars="202"/>
        <w:rPr>
          <w:rFonts w:eastAsia="方正仿宋_GBK"/>
          <w:snapToGrid w:val="0"/>
          <w:color w:val="000000"/>
          <w:kern w:val="32"/>
          <w:sz w:val="24"/>
        </w:rPr>
      </w:pPr>
      <w:r>
        <w:rPr>
          <w:rFonts w:hint="eastAsia" w:eastAsia="方正仿宋_GBK"/>
          <w:snapToGrid w:val="0"/>
          <w:color w:val="000000"/>
          <w:kern w:val="32"/>
          <w:sz w:val="24"/>
        </w:rPr>
        <w:t>采用合理价随机确定中标人法的，招标人可以选择以下方法评审推荐中标候选人：</w:t>
      </w:r>
    </w:p>
    <w:p>
      <w:pPr>
        <w:tabs>
          <w:tab w:val="left" w:pos="0"/>
        </w:tabs>
        <w:spacing w:line="480" w:lineRule="exact"/>
        <w:ind w:right="-36" w:firstLine="476" w:firstLineChars="202"/>
        <w:rPr>
          <w:rFonts w:eastAsia="方正仿宋_GBK"/>
          <w:snapToGrid w:val="0"/>
          <w:color w:val="000000"/>
          <w:kern w:val="32"/>
          <w:sz w:val="24"/>
        </w:rPr>
      </w:pPr>
      <w:r>
        <w:rPr>
          <w:rFonts w:hint="eastAsia" w:eastAsia="方正仿宋_GBK"/>
          <w:snapToGrid w:val="0"/>
          <w:color w:val="000000"/>
          <w:kern w:val="32"/>
          <w:sz w:val="24"/>
        </w:rPr>
        <w:t>（一）评标委员会按照招标文件的规定对所有投标文件进行评审，确定符合招标文件规定的资格条件，且完全响应招标文件规定各项商务条款的投标人进入公开随机抽取中标人程序。</w:t>
      </w:r>
    </w:p>
    <w:p>
      <w:pPr>
        <w:tabs>
          <w:tab w:val="left" w:pos="0"/>
        </w:tabs>
        <w:spacing w:line="480" w:lineRule="exact"/>
        <w:ind w:right="-36" w:firstLine="476" w:firstLineChars="202"/>
        <w:rPr>
          <w:rFonts w:eastAsia="方正仿宋_GBK"/>
          <w:snapToGrid w:val="0"/>
          <w:color w:val="000000"/>
          <w:kern w:val="32"/>
          <w:sz w:val="24"/>
        </w:rPr>
      </w:pPr>
      <w:r>
        <w:rPr>
          <w:rFonts w:hint="eastAsia" w:eastAsia="方正仿宋_GBK"/>
          <w:snapToGrid w:val="0"/>
          <w:color w:val="000000"/>
          <w:kern w:val="32"/>
          <w:sz w:val="24"/>
        </w:rPr>
        <w:t>按递交投标文件的顺序，由进入公开随机抽取中标人程序的投标人的法定代表人或其授权代表公开随机抽取代表该投标人的号码，并当场公布。</w:t>
      </w:r>
    </w:p>
    <w:p>
      <w:pPr>
        <w:tabs>
          <w:tab w:val="left" w:pos="0"/>
        </w:tabs>
        <w:spacing w:line="480" w:lineRule="exact"/>
        <w:ind w:right="-36" w:firstLine="476" w:firstLineChars="202"/>
        <w:rPr>
          <w:rFonts w:eastAsia="方正仿宋_GBK"/>
          <w:snapToGrid w:val="0"/>
          <w:color w:val="000000"/>
          <w:kern w:val="32"/>
          <w:sz w:val="24"/>
        </w:rPr>
      </w:pPr>
      <w:r>
        <w:rPr>
          <w:rFonts w:hint="eastAsia" w:eastAsia="方正仿宋_GBK"/>
          <w:snapToGrid w:val="0"/>
          <w:color w:val="000000"/>
          <w:kern w:val="32"/>
          <w:sz w:val="24"/>
        </w:rPr>
        <w:t>招标人公开随机抽取其中</w:t>
      </w:r>
      <w:r>
        <w:rPr>
          <w:rFonts w:eastAsia="方正仿宋_GBK"/>
          <w:snapToGrid w:val="0"/>
          <w:color w:val="000000"/>
          <w:kern w:val="32"/>
          <w:sz w:val="24"/>
        </w:rPr>
        <w:t>3</w:t>
      </w:r>
      <w:r>
        <w:rPr>
          <w:rFonts w:hint="eastAsia" w:eastAsia="方正仿宋_GBK"/>
          <w:snapToGrid w:val="0"/>
          <w:color w:val="000000"/>
          <w:kern w:val="32"/>
          <w:sz w:val="24"/>
        </w:rPr>
        <w:t>个号码，第一个号码对应的投标人为第一中标候选人，第二个号码对应的投标人为第二中标候选人，第三个号码对应的投标人为第三中标候选人。</w:t>
      </w:r>
    </w:p>
    <w:p>
      <w:pPr>
        <w:tabs>
          <w:tab w:val="left" w:pos="0"/>
        </w:tabs>
        <w:spacing w:line="480" w:lineRule="exact"/>
        <w:ind w:right="-36" w:firstLine="476" w:firstLineChars="202"/>
        <w:rPr>
          <w:rFonts w:eastAsia="方正仿宋_GBK"/>
          <w:snapToGrid w:val="0"/>
          <w:color w:val="000000"/>
          <w:kern w:val="32"/>
          <w:sz w:val="24"/>
        </w:rPr>
      </w:pPr>
      <w:r>
        <w:rPr>
          <w:rFonts w:hint="eastAsia" w:eastAsia="方正仿宋_GBK"/>
          <w:snapToGrid w:val="0"/>
          <w:color w:val="000000"/>
          <w:kern w:val="32"/>
          <w:sz w:val="24"/>
        </w:rPr>
        <w:t>（二）当投标人较多时，招标人可以在解密投标文件前，采取随机抽取方式确定不少于一定数量的投标人进入评审程序，从评审合格的投标人中随机抽取确定</w:t>
      </w:r>
      <w:r>
        <w:rPr>
          <w:rFonts w:eastAsia="方正仿宋_GBK"/>
          <w:snapToGrid w:val="0"/>
          <w:color w:val="000000"/>
          <w:kern w:val="32"/>
          <w:sz w:val="24"/>
        </w:rPr>
        <w:t>1-3</w:t>
      </w:r>
      <w:r>
        <w:rPr>
          <w:rFonts w:hint="eastAsia" w:eastAsia="方正仿宋_GBK"/>
          <w:snapToGrid w:val="0"/>
          <w:color w:val="000000"/>
          <w:kern w:val="32"/>
          <w:sz w:val="24"/>
        </w:rPr>
        <w:t>名中标候选人；也可以在解密投标文件前，采取随机抽取的方式，产生有排序的拟中标候选人若干，再按顺序依次进行评审，剔除无效投标，直至确定</w:t>
      </w:r>
      <w:r>
        <w:rPr>
          <w:rFonts w:eastAsia="方正仿宋_GBK"/>
          <w:snapToGrid w:val="0"/>
          <w:color w:val="000000"/>
          <w:kern w:val="32"/>
          <w:sz w:val="24"/>
        </w:rPr>
        <w:t>1-3</w:t>
      </w:r>
      <w:r>
        <w:rPr>
          <w:rFonts w:hint="eastAsia" w:eastAsia="方正仿宋_GBK"/>
          <w:snapToGrid w:val="0"/>
          <w:color w:val="000000"/>
          <w:kern w:val="32"/>
          <w:sz w:val="24"/>
        </w:rPr>
        <w:t>名中标候选人。</w:t>
      </w:r>
    </w:p>
    <w:p>
      <w:pPr>
        <w:tabs>
          <w:tab w:val="left" w:pos="0"/>
        </w:tabs>
        <w:spacing w:line="480" w:lineRule="exact"/>
        <w:ind w:right="-36" w:firstLine="476" w:firstLineChars="202"/>
        <w:rPr>
          <w:rFonts w:eastAsia="方正仿宋_GBK"/>
          <w:snapToGrid w:val="0"/>
          <w:color w:val="000000"/>
          <w:kern w:val="32"/>
          <w:sz w:val="24"/>
        </w:rPr>
      </w:pPr>
      <w:r>
        <w:rPr>
          <w:rFonts w:hint="eastAsia" w:eastAsia="方正仿宋_GBK"/>
          <w:snapToGrid w:val="0"/>
          <w:color w:val="000000"/>
          <w:kern w:val="32"/>
          <w:sz w:val="24"/>
        </w:rPr>
        <w:t>（三）各地根据本地实际制定的其他方法。</w:t>
      </w:r>
    </w:p>
    <w:p>
      <w:pPr>
        <w:tabs>
          <w:tab w:val="left" w:pos="0"/>
        </w:tabs>
        <w:spacing w:line="480" w:lineRule="exact"/>
        <w:ind w:right="-36" w:firstLine="476" w:firstLineChars="202"/>
        <w:rPr>
          <w:rFonts w:eastAsia="方正仿宋_GBK"/>
          <w:snapToGrid w:val="0"/>
          <w:color w:val="000000"/>
          <w:kern w:val="32"/>
          <w:sz w:val="24"/>
        </w:rPr>
      </w:pPr>
      <w:r>
        <w:rPr>
          <w:rFonts w:hint="eastAsia" w:eastAsia="方正仿宋_GBK"/>
          <w:snapToGrid w:val="0"/>
          <w:color w:val="000000"/>
          <w:kern w:val="32"/>
          <w:sz w:val="24"/>
        </w:rPr>
        <w:t>第十一条</w:t>
      </w:r>
      <w:r>
        <w:rPr>
          <w:rFonts w:eastAsia="方正仿宋_GBK"/>
          <w:snapToGrid w:val="0"/>
          <w:color w:val="000000"/>
          <w:kern w:val="32"/>
          <w:sz w:val="24"/>
        </w:rPr>
        <w:t xml:space="preserve"> </w:t>
      </w:r>
      <w:r>
        <w:rPr>
          <w:rFonts w:hint="eastAsia" w:eastAsia="方正仿宋_GBK"/>
          <w:snapToGrid w:val="0"/>
          <w:color w:val="000000"/>
          <w:kern w:val="32"/>
          <w:sz w:val="24"/>
        </w:rPr>
        <w:t>采用综合评估法的工程，提倡实行两阶段评标。投标人按照招标文件的要求编制、递交投标文件（包括商务技术文件和报价文件两部分）。开标、评标活动分两个阶段进行：</w:t>
      </w:r>
    </w:p>
    <w:p>
      <w:pPr>
        <w:tabs>
          <w:tab w:val="left" w:pos="0"/>
        </w:tabs>
        <w:spacing w:line="480" w:lineRule="exact"/>
        <w:ind w:right="-36" w:firstLine="476" w:firstLineChars="202"/>
        <w:rPr>
          <w:rFonts w:eastAsia="方正仿宋_GBK"/>
          <w:snapToGrid w:val="0"/>
          <w:color w:val="000000"/>
          <w:kern w:val="32"/>
          <w:sz w:val="24"/>
        </w:rPr>
      </w:pPr>
      <w:r>
        <w:rPr>
          <w:rFonts w:hint="eastAsia" w:eastAsia="方正仿宋_GBK"/>
          <w:snapToGrid w:val="0"/>
          <w:color w:val="000000"/>
          <w:kern w:val="32"/>
          <w:sz w:val="24"/>
        </w:rPr>
        <w:t>第一阶段：商务技术文件开标评标。评标委员会先评审商务技术文件（包括投标项目负责人答辩）。选择商务技术文件得分汇总排前几名的投标人（具体数量在招标文件中明确，投标人超过</w:t>
      </w:r>
      <w:r>
        <w:rPr>
          <w:rFonts w:eastAsia="方正仿宋_GBK"/>
          <w:snapToGrid w:val="0"/>
          <w:color w:val="000000"/>
          <w:kern w:val="32"/>
          <w:sz w:val="24"/>
        </w:rPr>
        <w:t>12</w:t>
      </w:r>
      <w:r>
        <w:rPr>
          <w:rFonts w:hint="eastAsia" w:eastAsia="方正仿宋_GBK"/>
          <w:snapToGrid w:val="0"/>
          <w:color w:val="000000"/>
          <w:kern w:val="32"/>
          <w:sz w:val="24"/>
        </w:rPr>
        <w:t>个的，取前</w:t>
      </w:r>
      <w:r>
        <w:rPr>
          <w:rFonts w:eastAsia="方正仿宋_GBK"/>
          <w:snapToGrid w:val="0"/>
          <w:color w:val="000000"/>
          <w:kern w:val="32"/>
          <w:sz w:val="24"/>
        </w:rPr>
        <w:t>9</w:t>
      </w:r>
      <w:r>
        <w:rPr>
          <w:rFonts w:hint="eastAsia" w:eastAsia="方正仿宋_GBK"/>
          <w:snapToGrid w:val="0"/>
          <w:color w:val="000000"/>
          <w:kern w:val="32"/>
          <w:sz w:val="24"/>
        </w:rPr>
        <w:t>名；投标人为</w:t>
      </w:r>
      <w:r>
        <w:rPr>
          <w:rFonts w:eastAsia="方正仿宋_GBK"/>
          <w:snapToGrid w:val="0"/>
          <w:color w:val="000000"/>
          <w:kern w:val="32"/>
          <w:sz w:val="24"/>
        </w:rPr>
        <w:t>9-11</w:t>
      </w:r>
      <w:r>
        <w:rPr>
          <w:rFonts w:hint="eastAsia" w:eastAsia="方正仿宋_GBK"/>
          <w:snapToGrid w:val="0"/>
          <w:color w:val="000000"/>
          <w:kern w:val="32"/>
          <w:sz w:val="24"/>
        </w:rPr>
        <w:t>个的，取前</w:t>
      </w:r>
      <w:r>
        <w:rPr>
          <w:rFonts w:eastAsia="方正仿宋_GBK"/>
          <w:snapToGrid w:val="0"/>
          <w:color w:val="000000"/>
          <w:kern w:val="32"/>
          <w:sz w:val="24"/>
        </w:rPr>
        <w:t>7</w:t>
      </w:r>
      <w:r>
        <w:rPr>
          <w:rFonts w:hint="eastAsia" w:eastAsia="方正仿宋_GBK"/>
          <w:snapToGrid w:val="0"/>
          <w:color w:val="000000"/>
          <w:kern w:val="32"/>
          <w:sz w:val="24"/>
        </w:rPr>
        <w:t>名；投标人为</w:t>
      </w:r>
      <w:r>
        <w:rPr>
          <w:rFonts w:eastAsia="方正仿宋_GBK"/>
          <w:snapToGrid w:val="0"/>
          <w:color w:val="000000"/>
          <w:kern w:val="32"/>
          <w:sz w:val="24"/>
        </w:rPr>
        <w:t>8</w:t>
      </w:r>
      <w:r>
        <w:rPr>
          <w:rFonts w:hint="eastAsia" w:eastAsia="方正仿宋_GBK"/>
          <w:snapToGrid w:val="0"/>
          <w:color w:val="000000"/>
          <w:kern w:val="32"/>
          <w:sz w:val="24"/>
        </w:rPr>
        <w:t>个及以下的，取前</w:t>
      </w:r>
      <w:r>
        <w:rPr>
          <w:rFonts w:eastAsia="方正仿宋_GBK"/>
          <w:snapToGrid w:val="0"/>
          <w:color w:val="000000"/>
          <w:kern w:val="32"/>
          <w:sz w:val="24"/>
        </w:rPr>
        <w:t>5</w:t>
      </w:r>
      <w:r>
        <w:rPr>
          <w:rFonts w:hint="eastAsia" w:eastAsia="方正仿宋_GBK"/>
          <w:snapToGrid w:val="0"/>
          <w:color w:val="000000"/>
          <w:kern w:val="32"/>
          <w:sz w:val="24"/>
        </w:rPr>
        <w:t>名）才能进入第二阶段开标评标。</w:t>
      </w:r>
    </w:p>
    <w:p>
      <w:pPr>
        <w:tabs>
          <w:tab w:val="left" w:pos="0"/>
        </w:tabs>
        <w:spacing w:line="480" w:lineRule="exact"/>
        <w:ind w:right="-36" w:firstLine="476" w:firstLineChars="202"/>
        <w:rPr>
          <w:rFonts w:eastAsia="方正仿宋_GBK"/>
          <w:snapToGrid w:val="0"/>
          <w:color w:val="000000"/>
          <w:kern w:val="32"/>
          <w:sz w:val="24"/>
        </w:rPr>
      </w:pPr>
      <w:r>
        <w:rPr>
          <w:rFonts w:hint="eastAsia" w:eastAsia="方正仿宋_GBK"/>
          <w:snapToGrid w:val="0"/>
          <w:color w:val="000000"/>
          <w:kern w:val="32"/>
          <w:sz w:val="24"/>
        </w:rPr>
        <w:t>第二阶段：报价文件开标评标（仅针对进入第二阶段的投标文件进行）。商务技术标得分是否带入第二阶段，由招标人在招标文件中明确。</w:t>
      </w:r>
    </w:p>
    <w:p>
      <w:pPr>
        <w:tabs>
          <w:tab w:val="left" w:pos="0"/>
        </w:tabs>
        <w:spacing w:line="480" w:lineRule="exact"/>
        <w:ind w:right="-36" w:firstLine="476" w:firstLineChars="202"/>
        <w:rPr>
          <w:rFonts w:eastAsia="方正仿宋_GBK"/>
          <w:snapToGrid w:val="0"/>
          <w:color w:val="000000"/>
          <w:kern w:val="32"/>
          <w:sz w:val="24"/>
        </w:rPr>
      </w:pPr>
      <w:r>
        <w:rPr>
          <w:rFonts w:hint="eastAsia" w:eastAsia="方正仿宋_GBK"/>
          <w:snapToGrid w:val="0"/>
          <w:color w:val="000000"/>
          <w:kern w:val="32"/>
          <w:sz w:val="24"/>
        </w:rPr>
        <w:t>第十二条</w:t>
      </w:r>
      <w:r>
        <w:rPr>
          <w:rFonts w:eastAsia="方正仿宋_GBK"/>
          <w:snapToGrid w:val="0"/>
          <w:color w:val="000000"/>
          <w:kern w:val="32"/>
          <w:sz w:val="24"/>
        </w:rPr>
        <w:t xml:space="preserve"> </w:t>
      </w:r>
      <w:r>
        <w:rPr>
          <w:rFonts w:hint="eastAsia" w:eastAsia="方正仿宋_GBK"/>
          <w:snapToGrid w:val="0"/>
          <w:color w:val="000000"/>
          <w:kern w:val="32"/>
          <w:sz w:val="24"/>
        </w:rPr>
        <w:t>推荐中标候选人。评标委员会按照招标文件的要求推荐中标候选人。评标委员会在推荐中标候选人时，如因投标人的评标价、综合得分相同而影响排序，原则上综合得分相同的应以评标价较低的优先，评标价相同及其它情形应以抽签方式确定排序。具体要求应在招标文件中明确。</w:t>
      </w:r>
    </w:p>
    <w:p>
      <w:pPr>
        <w:tabs>
          <w:tab w:val="left" w:pos="0"/>
        </w:tabs>
        <w:spacing w:line="480" w:lineRule="exact"/>
        <w:ind w:firstLine="476" w:firstLineChars="202"/>
        <w:jc w:val="left"/>
        <w:rPr>
          <w:rFonts w:eastAsia="方正仿宋_GBK"/>
          <w:snapToGrid w:val="0"/>
          <w:color w:val="000000"/>
          <w:kern w:val="32"/>
          <w:sz w:val="24"/>
        </w:rPr>
      </w:pPr>
      <w:r>
        <w:rPr>
          <w:rFonts w:hint="eastAsia" w:eastAsia="方正仿宋_GBK"/>
          <w:snapToGrid w:val="0"/>
          <w:color w:val="000000"/>
          <w:kern w:val="32"/>
          <w:sz w:val="24"/>
        </w:rPr>
        <w:t>第十三条</w:t>
      </w:r>
      <w:r>
        <w:rPr>
          <w:rFonts w:eastAsia="方正仿宋_GBK"/>
          <w:snapToGrid w:val="0"/>
          <w:color w:val="000000"/>
          <w:kern w:val="32"/>
          <w:sz w:val="24"/>
        </w:rPr>
        <w:t xml:space="preserve"> </w:t>
      </w:r>
      <w:r>
        <w:rPr>
          <w:rFonts w:hint="eastAsia" w:eastAsia="方正仿宋_GBK"/>
          <w:snapToGrid w:val="0"/>
          <w:color w:val="000000"/>
          <w:kern w:val="32"/>
          <w:sz w:val="24"/>
        </w:rPr>
        <w:t>招标人可以采取“评定分离”方式确定中标人。</w:t>
      </w:r>
    </w:p>
    <w:p>
      <w:pPr>
        <w:tabs>
          <w:tab w:val="left" w:pos="0"/>
        </w:tabs>
        <w:spacing w:line="480" w:lineRule="exact"/>
        <w:ind w:firstLine="476" w:firstLineChars="202"/>
        <w:jc w:val="left"/>
        <w:rPr>
          <w:rFonts w:eastAsia="方正仿宋_GBK"/>
          <w:snapToGrid w:val="0"/>
          <w:color w:val="000000"/>
          <w:kern w:val="32"/>
          <w:sz w:val="24"/>
        </w:rPr>
      </w:pPr>
      <w:r>
        <w:rPr>
          <w:rFonts w:hint="eastAsia" w:eastAsia="方正仿宋_GBK"/>
          <w:snapToGrid w:val="0"/>
          <w:color w:val="000000"/>
          <w:kern w:val="32"/>
          <w:sz w:val="24"/>
        </w:rPr>
        <w:t>“评定分离”是指招标人依法组建的评标委员会对投标文件进行定性或定量评审，并向招标人推荐一定数量不排序的定标候选人，由招标人组建的定标委员会根据评标报告，结合项目规模、技术难度及其他项目关键考虑因素，采用票决法、抽签法、集体议事法或招标文件规定的其它定标方法，在定标候选人中择优确定中标人。</w:t>
      </w:r>
    </w:p>
    <w:p>
      <w:pPr>
        <w:tabs>
          <w:tab w:val="left" w:pos="0"/>
        </w:tabs>
        <w:spacing w:line="480" w:lineRule="exact"/>
        <w:ind w:left="1" w:firstLine="474" w:firstLineChars="201"/>
        <w:jc w:val="left"/>
        <w:rPr>
          <w:rFonts w:eastAsia="方正仿宋_GBK"/>
          <w:snapToGrid w:val="0"/>
          <w:color w:val="000000"/>
          <w:kern w:val="32"/>
          <w:sz w:val="24"/>
        </w:rPr>
      </w:pPr>
      <w:r>
        <w:rPr>
          <w:rFonts w:hint="eastAsia" w:eastAsia="方正仿宋_GBK"/>
          <w:snapToGrid w:val="0"/>
          <w:color w:val="000000"/>
          <w:kern w:val="32"/>
          <w:sz w:val="24"/>
        </w:rPr>
        <w:t>第十四条</w:t>
      </w:r>
      <w:r>
        <w:rPr>
          <w:rFonts w:eastAsia="方正仿宋_GBK"/>
          <w:snapToGrid w:val="0"/>
          <w:color w:val="000000"/>
          <w:kern w:val="32"/>
          <w:sz w:val="24"/>
        </w:rPr>
        <w:t xml:space="preserve"> </w:t>
      </w:r>
      <w:r>
        <w:rPr>
          <w:rFonts w:hint="eastAsia" w:eastAsia="方正仿宋_GBK"/>
          <w:snapToGrid w:val="0"/>
          <w:color w:val="000000"/>
          <w:kern w:val="32"/>
          <w:sz w:val="24"/>
        </w:rPr>
        <w:t>评标入围、投标报价和“评定分离”的评审程序及评审方法由省建设工程招标投标办公室另行制定，招标人在招标文件中明确。</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第十五条</w:t>
      </w:r>
      <w:r>
        <w:rPr>
          <w:rFonts w:eastAsia="方正仿宋_GBK"/>
          <w:snapToGrid w:val="0"/>
          <w:color w:val="000000"/>
          <w:kern w:val="32"/>
          <w:sz w:val="24"/>
        </w:rPr>
        <w:t xml:space="preserve"> </w:t>
      </w:r>
      <w:r>
        <w:rPr>
          <w:rFonts w:hint="eastAsia" w:eastAsia="方正仿宋_GBK"/>
          <w:snapToGrid w:val="0"/>
          <w:color w:val="000000"/>
          <w:kern w:val="32"/>
          <w:sz w:val="24"/>
        </w:rPr>
        <w:t>本办法所称的特大型、大型、中型、小型工程和技术复杂工程、类似工程的标准和要求见附件一的相关定义。</w:t>
      </w:r>
    </w:p>
    <w:p>
      <w:pPr>
        <w:tabs>
          <w:tab w:val="left" w:pos="0"/>
        </w:tabs>
        <w:spacing w:line="480" w:lineRule="exact"/>
        <w:ind w:firstLine="476" w:firstLineChars="202"/>
        <w:rPr>
          <w:rFonts w:eastAsia="方正仿宋_GBK"/>
          <w:snapToGrid w:val="0"/>
          <w:color w:val="000000"/>
          <w:kern w:val="32"/>
          <w:sz w:val="24"/>
        </w:rPr>
      </w:pPr>
      <w:r>
        <w:rPr>
          <w:rFonts w:hint="eastAsia" w:eastAsia="方正仿宋_GBK"/>
          <w:snapToGrid w:val="0"/>
          <w:color w:val="000000"/>
          <w:kern w:val="32"/>
          <w:sz w:val="24"/>
        </w:rPr>
        <w:t>第十六条</w:t>
      </w:r>
      <w:r>
        <w:rPr>
          <w:rFonts w:eastAsia="方正仿宋_GBK"/>
          <w:snapToGrid w:val="0"/>
          <w:color w:val="000000"/>
          <w:kern w:val="32"/>
          <w:sz w:val="24"/>
        </w:rPr>
        <w:t xml:space="preserve"> </w:t>
      </w:r>
      <w:r>
        <w:rPr>
          <w:rFonts w:hint="eastAsia" w:eastAsia="方正仿宋_GBK"/>
          <w:snapToGrid w:val="0"/>
          <w:color w:val="000000"/>
          <w:kern w:val="32"/>
          <w:sz w:val="24"/>
        </w:rPr>
        <w:t>各地可以根据本办法的有关规定，结合本地区实际情况，对评标细则进行适当调整。</w:t>
      </w:r>
    </w:p>
    <w:p>
      <w:pPr>
        <w:tabs>
          <w:tab w:val="left" w:pos="0"/>
        </w:tabs>
        <w:spacing w:line="480" w:lineRule="exact"/>
        <w:rPr>
          <w:rFonts w:eastAsia="方正仿宋_GBK"/>
          <w:snapToGrid w:val="0"/>
          <w:color w:val="000000"/>
          <w:kern w:val="32"/>
          <w:sz w:val="24"/>
        </w:rPr>
      </w:pPr>
    </w:p>
    <w:p>
      <w:pPr>
        <w:pStyle w:val="2"/>
        <w:spacing w:before="590" w:beforeLines="100" w:after="590" w:afterLines="100" w:line="240" w:lineRule="auto"/>
        <w:jc w:val="center"/>
        <w:rPr>
          <w:rFonts w:ascii="Times New Roman" w:eastAsia="方正小标宋_GBK"/>
          <w:b w:val="0"/>
          <w:sz w:val="36"/>
          <w:szCs w:val="36"/>
        </w:rPr>
      </w:pPr>
      <w:r>
        <w:rPr>
          <w:rFonts w:eastAsia="方正仿宋_GBK"/>
          <w:snapToGrid w:val="0"/>
          <w:color w:val="000000"/>
          <w:kern w:val="32"/>
          <w:sz w:val="24"/>
        </w:rPr>
        <w:br w:type="column"/>
      </w:r>
      <w:bookmarkStart w:id="729" w:name="_Toc18315835"/>
      <w:bookmarkStart w:id="730" w:name="_Toc20726698"/>
      <w:r>
        <w:rPr>
          <w:rFonts w:hint="eastAsia" w:ascii="Times New Roman" w:eastAsia="方正小标宋_GBK"/>
          <w:b w:val="0"/>
          <w:sz w:val="36"/>
          <w:szCs w:val="36"/>
        </w:rPr>
        <w:t>关于进一步加强村镇建设档案工作的通知</w:t>
      </w:r>
      <w:bookmarkEnd w:id="729"/>
      <w:bookmarkEnd w:id="730"/>
    </w:p>
    <w:p>
      <w:pPr>
        <w:pStyle w:val="3"/>
        <w:spacing w:before="590" w:beforeLines="100" w:after="590" w:afterLines="100" w:line="240" w:lineRule="auto"/>
        <w:jc w:val="center"/>
        <w:rPr>
          <w:rFonts w:hint="eastAsia" w:ascii="Times New Roman" w:hAnsi="Times New Roman" w:eastAsia="方正楷体_GBK"/>
          <w:b w:val="0"/>
          <w:sz w:val="24"/>
          <w:szCs w:val="24"/>
        </w:rPr>
      </w:pPr>
      <w:bookmarkStart w:id="731" w:name="_Toc20726699"/>
      <w:bookmarkStart w:id="732" w:name="_Toc18315836"/>
      <w:r>
        <w:rPr>
          <w:rFonts w:hint="eastAsia" w:ascii="Times New Roman" w:hAnsi="Times New Roman" w:eastAsia="方正楷体_GBK"/>
          <w:b w:val="0"/>
          <w:sz w:val="24"/>
          <w:szCs w:val="24"/>
        </w:rPr>
        <w:t>苏建档〔</w:t>
      </w:r>
      <w:r>
        <w:rPr>
          <w:rFonts w:ascii="Times New Roman" w:hAnsi="Times New Roman" w:eastAsia="方正楷体_GBK"/>
          <w:b w:val="0"/>
          <w:sz w:val="24"/>
          <w:szCs w:val="24"/>
        </w:rPr>
        <w:t>2009</w:t>
      </w:r>
      <w:r>
        <w:rPr>
          <w:rFonts w:hint="eastAsia" w:ascii="Times New Roman" w:hAnsi="Times New Roman" w:eastAsia="方正楷体_GBK"/>
          <w:b w:val="0"/>
          <w:sz w:val="24"/>
          <w:szCs w:val="24"/>
        </w:rPr>
        <w:t>〕</w:t>
      </w:r>
      <w:r>
        <w:rPr>
          <w:rFonts w:ascii="Times New Roman" w:hAnsi="Times New Roman" w:eastAsia="方正楷体_GBK"/>
          <w:b w:val="0"/>
          <w:sz w:val="24"/>
          <w:szCs w:val="24"/>
        </w:rPr>
        <w:t>262</w:t>
      </w:r>
      <w:r>
        <w:rPr>
          <w:rFonts w:hint="eastAsia" w:ascii="Times New Roman" w:hAnsi="Times New Roman" w:eastAsia="方正楷体_GBK"/>
          <w:b w:val="0"/>
          <w:sz w:val="24"/>
          <w:szCs w:val="24"/>
        </w:rPr>
        <w:t>号</w:t>
      </w:r>
      <w:bookmarkEnd w:id="731"/>
      <w:bookmarkEnd w:id="732"/>
    </w:p>
    <w:p>
      <w:pPr>
        <w:spacing w:line="380" w:lineRule="exact"/>
        <w:rPr>
          <w:rFonts w:eastAsia="方正仿宋_GBK"/>
          <w:bCs/>
          <w:color w:val="000000"/>
          <w:spacing w:val="-2"/>
          <w:kern w:val="0"/>
          <w:sz w:val="24"/>
        </w:rPr>
      </w:pPr>
      <w:r>
        <w:rPr>
          <w:rFonts w:hint="eastAsia" w:eastAsia="方正仿宋_GBK"/>
          <w:bCs/>
          <w:color w:val="000000"/>
          <w:spacing w:val="-2"/>
          <w:kern w:val="0"/>
          <w:sz w:val="24"/>
        </w:rPr>
        <w:t>各省辖市建设局、规划局：</w:t>
      </w:r>
    </w:p>
    <w:p>
      <w:pPr>
        <w:spacing w:line="380" w:lineRule="exact"/>
        <w:ind w:firstLine="464" w:firstLineChars="200"/>
        <w:rPr>
          <w:rFonts w:eastAsia="方正仿宋_GBK"/>
          <w:bCs/>
          <w:color w:val="000000"/>
          <w:spacing w:val="-2"/>
          <w:kern w:val="0"/>
          <w:sz w:val="24"/>
        </w:rPr>
      </w:pPr>
      <w:r>
        <w:rPr>
          <w:rFonts w:hint="eastAsia" w:eastAsia="方正仿宋_GBK"/>
          <w:bCs/>
          <w:color w:val="000000"/>
          <w:spacing w:val="-2"/>
          <w:kern w:val="0"/>
          <w:sz w:val="24"/>
        </w:rPr>
        <w:t>随着社会主义新农村建设和城乡一体化建设进程的加快，村镇面貌日新月异，在村镇各项建设活动过程中，形成和积累了大量的村镇建设档案。但是，由于乡镇撤并、投资主体多元化以及村镇建设管理程序中规划、房产管理权限的相对集中等新情况、新形势，部分地区和部门在村镇建设档案的形成、积累和指导服务过程中，出现了管理职能不明确、归档内容不清晰等问题，为了进一步加强和规范全省村镇建设档案管理工作，保证社会主义新农村建设持续、健康、稳步发展，现就有关工作通知如下。</w:t>
      </w:r>
    </w:p>
    <w:p>
      <w:pPr>
        <w:spacing w:line="380" w:lineRule="exact"/>
        <w:ind w:firstLine="464" w:firstLineChars="200"/>
        <w:rPr>
          <w:rFonts w:eastAsia="方正仿宋_GBK"/>
          <w:bCs/>
          <w:color w:val="000000"/>
          <w:spacing w:val="-2"/>
          <w:kern w:val="0"/>
          <w:sz w:val="24"/>
        </w:rPr>
      </w:pPr>
      <w:r>
        <w:rPr>
          <w:rFonts w:hint="eastAsia" w:eastAsia="方正仿宋_GBK"/>
          <w:bCs/>
          <w:color w:val="000000"/>
          <w:spacing w:val="-2"/>
          <w:kern w:val="0"/>
          <w:sz w:val="24"/>
        </w:rPr>
        <w:t>一、各级城建档案行政主管部门要依据《城乡规划法》、《档案法》、《建设工程质量管理条例》等城建档案管理法律法规，按照集中统一管理的原则，切实履行对辖区内村镇建设档案工作的管理和监督、指导职能，建立有效的制约措施，实现城乡建设档案管理全覆盖。</w:t>
      </w:r>
    </w:p>
    <w:p>
      <w:pPr>
        <w:spacing w:line="380" w:lineRule="exact"/>
        <w:ind w:firstLine="464" w:firstLineChars="200"/>
        <w:rPr>
          <w:rFonts w:eastAsia="方正仿宋_GBK"/>
          <w:bCs/>
          <w:color w:val="000000"/>
          <w:spacing w:val="-2"/>
          <w:kern w:val="0"/>
          <w:sz w:val="24"/>
        </w:rPr>
      </w:pPr>
      <w:r>
        <w:rPr>
          <w:rFonts w:hint="eastAsia" w:eastAsia="方正仿宋_GBK"/>
          <w:bCs/>
          <w:color w:val="000000"/>
          <w:spacing w:val="-2"/>
          <w:kern w:val="0"/>
          <w:sz w:val="24"/>
        </w:rPr>
        <w:t>二、各市、县（市）城建档案管理机构要认真贯彻落实建设部《关于加强中小城市城乡建设档案工作的意见》（建办〔</w:t>
      </w:r>
      <w:r>
        <w:rPr>
          <w:rFonts w:eastAsia="方正仿宋_GBK"/>
          <w:bCs/>
          <w:color w:val="000000"/>
          <w:spacing w:val="-2"/>
          <w:kern w:val="0"/>
          <w:sz w:val="24"/>
        </w:rPr>
        <w:t>2007</w:t>
      </w:r>
      <w:r>
        <w:rPr>
          <w:rFonts w:hint="eastAsia" w:eastAsia="方正仿宋_GBK"/>
          <w:bCs/>
          <w:color w:val="000000"/>
          <w:spacing w:val="-2"/>
          <w:kern w:val="0"/>
          <w:sz w:val="24"/>
        </w:rPr>
        <w:t>〕</w:t>
      </w:r>
      <w:r>
        <w:rPr>
          <w:rFonts w:eastAsia="方正仿宋_GBK"/>
          <w:bCs/>
          <w:color w:val="000000"/>
          <w:spacing w:val="-2"/>
          <w:kern w:val="0"/>
          <w:sz w:val="24"/>
        </w:rPr>
        <w:t>68</w:t>
      </w:r>
      <w:r>
        <w:rPr>
          <w:rFonts w:hint="eastAsia" w:eastAsia="方正仿宋_GBK"/>
          <w:bCs/>
          <w:color w:val="000000"/>
          <w:spacing w:val="-2"/>
          <w:kern w:val="0"/>
          <w:sz w:val="24"/>
        </w:rPr>
        <w:t>号），加强对本行政区域内村镇建设档案工作的业务监督和指导，接收和保管本地具有永久和长期保存价值的村镇建设档案与相关资料，并加快城建档案信息化、数字化建设步伐，建立本地区城建档案目录数据中心，积极主动为新农村建设提供优质高效的服务。</w:t>
      </w:r>
    </w:p>
    <w:p>
      <w:pPr>
        <w:spacing w:line="380" w:lineRule="exact"/>
        <w:ind w:firstLine="464" w:firstLineChars="200"/>
        <w:rPr>
          <w:rFonts w:eastAsia="方正仿宋_GBK"/>
          <w:bCs/>
          <w:color w:val="000000"/>
          <w:spacing w:val="-2"/>
          <w:kern w:val="0"/>
          <w:sz w:val="24"/>
        </w:rPr>
      </w:pPr>
      <w:r>
        <w:rPr>
          <w:rFonts w:hint="eastAsia" w:eastAsia="方正仿宋_GBK"/>
          <w:bCs/>
          <w:color w:val="000000"/>
          <w:spacing w:val="-2"/>
          <w:kern w:val="0"/>
          <w:sz w:val="24"/>
        </w:rPr>
        <w:t>三、乡（镇）人民政府村镇建设管理部门应当建立村镇建设档案室，完善村镇建设档案管理制度</w:t>
      </w:r>
      <w:r>
        <w:rPr>
          <w:rFonts w:eastAsia="方正仿宋_GBK"/>
          <w:bCs/>
          <w:color w:val="000000"/>
          <w:spacing w:val="-2"/>
          <w:kern w:val="0"/>
          <w:sz w:val="24"/>
        </w:rPr>
        <w:t>,</w:t>
      </w:r>
      <w:r>
        <w:rPr>
          <w:rFonts w:hint="eastAsia" w:eastAsia="方正仿宋_GBK"/>
          <w:bCs/>
          <w:color w:val="000000"/>
          <w:spacing w:val="-2"/>
          <w:kern w:val="0"/>
          <w:sz w:val="24"/>
        </w:rPr>
        <w:t>配备专（兼）职工作人员，安排符合规范要求的档案库房和管理用房，购置必要设备，做好村镇建设管理档案、村镇基础设施建设档案、村镇历史文化资料的收集整理和保管利用工作。当前尤其要做好撤并乡镇档案的集中统一管理工作，并按照国家规定向上级城建档案管理部门移交村镇建设档案目录以及村镇基础设施档案等重要的村镇建设档案，保证村镇建设档案得到安全保管和合理利用。</w:t>
      </w:r>
    </w:p>
    <w:p>
      <w:pPr>
        <w:spacing w:line="380" w:lineRule="exact"/>
        <w:ind w:firstLine="464" w:firstLineChars="200"/>
        <w:rPr>
          <w:rFonts w:eastAsia="方正仿宋_GBK"/>
          <w:bCs/>
          <w:color w:val="000000"/>
          <w:spacing w:val="-2"/>
          <w:kern w:val="0"/>
          <w:sz w:val="24"/>
        </w:rPr>
      </w:pPr>
      <w:r>
        <w:rPr>
          <w:rFonts w:hint="eastAsia" w:eastAsia="方正仿宋_GBK"/>
          <w:bCs/>
          <w:color w:val="000000"/>
          <w:spacing w:val="-2"/>
          <w:kern w:val="0"/>
          <w:sz w:val="24"/>
        </w:rPr>
        <w:t>四、产生村镇建设档案的建设单位要提高对村镇建设档案工作重要性的认识，认真学习和贯彻落实国家、省、市、县（市）制定的有关村镇建设档案管理的各项规定，主动接受城建档案业务部门的辅导培训，及时向城建档案管理机构或村镇建设档案室移交一套符合规范要求的村镇建设档案。</w:t>
      </w:r>
    </w:p>
    <w:p>
      <w:pPr>
        <w:spacing w:line="380" w:lineRule="exact"/>
        <w:ind w:right="900" w:rightChars="437" w:firstLine="4408" w:firstLineChars="1900"/>
        <w:jc w:val="right"/>
        <w:rPr>
          <w:rFonts w:eastAsia="方正仿宋_GBK"/>
          <w:bCs/>
          <w:color w:val="000000"/>
          <w:spacing w:val="-2"/>
          <w:kern w:val="0"/>
          <w:sz w:val="24"/>
        </w:rPr>
      </w:pPr>
      <w:r>
        <w:rPr>
          <w:rFonts w:hint="eastAsia" w:eastAsia="方正仿宋_GBK"/>
          <w:bCs/>
          <w:color w:val="000000"/>
          <w:spacing w:val="-2"/>
          <w:kern w:val="0"/>
          <w:sz w:val="24"/>
        </w:rPr>
        <w:t>江苏省建设厅</w:t>
      </w:r>
      <w:r>
        <w:rPr>
          <w:rFonts w:eastAsia="方正仿宋_GBK"/>
          <w:bCs/>
          <w:color w:val="000000"/>
          <w:spacing w:val="-2"/>
          <w:kern w:val="0"/>
          <w:sz w:val="24"/>
        </w:rPr>
        <w:t xml:space="preserve">       </w:t>
      </w:r>
    </w:p>
    <w:p>
      <w:pPr>
        <w:spacing w:line="380" w:lineRule="exact"/>
        <w:ind w:right="409" w:rightChars="199" w:firstLine="4060" w:firstLineChars="1750"/>
        <w:jc w:val="right"/>
        <w:rPr>
          <w:rFonts w:eastAsia="方正仿宋_GBK"/>
          <w:bCs/>
          <w:color w:val="000000"/>
          <w:spacing w:val="-2"/>
          <w:kern w:val="0"/>
          <w:sz w:val="24"/>
        </w:rPr>
      </w:pPr>
      <w:r>
        <w:rPr>
          <w:rFonts w:hint="eastAsia" w:eastAsia="方正仿宋_GBK"/>
          <w:bCs/>
          <w:color w:val="000000"/>
          <w:spacing w:val="-2"/>
          <w:kern w:val="0"/>
          <w:sz w:val="24"/>
        </w:rPr>
        <w:t>二</w:t>
      </w:r>
      <w:r>
        <w:rPr>
          <w:rFonts w:hint="eastAsia" w:eastAsia="方正仿宋_GBK"/>
          <w:bCs/>
          <w:snapToGrid w:val="0"/>
          <w:color w:val="000000"/>
          <w:spacing w:val="-2"/>
          <w:kern w:val="0"/>
          <w:sz w:val="24"/>
        </w:rPr>
        <w:t>○○</w:t>
      </w:r>
      <w:r>
        <w:rPr>
          <w:rFonts w:hint="eastAsia" w:eastAsia="方正仿宋_GBK"/>
          <w:bCs/>
          <w:color w:val="000000"/>
          <w:spacing w:val="-2"/>
          <w:kern w:val="0"/>
          <w:sz w:val="24"/>
        </w:rPr>
        <w:t>九年七月十六日</w:t>
      </w:r>
      <w:r>
        <w:rPr>
          <w:rFonts w:eastAsia="方正仿宋_GBK"/>
          <w:bCs/>
          <w:color w:val="000000"/>
          <w:spacing w:val="-2"/>
          <w:kern w:val="0"/>
          <w:sz w:val="24"/>
        </w:rPr>
        <w:t xml:space="preserve">    </w:t>
      </w:r>
    </w:p>
    <w:p>
      <w:pPr>
        <w:spacing w:line="460" w:lineRule="exact"/>
        <w:rPr>
          <w:rFonts w:eastAsia="方正仿宋_GBK"/>
          <w:bCs/>
          <w:color w:val="000000"/>
          <w:spacing w:val="-2"/>
          <w:kern w:val="0"/>
          <w:sz w:val="24"/>
        </w:rPr>
      </w:pPr>
    </w:p>
    <w:p>
      <w:pPr>
        <w:pStyle w:val="2"/>
        <w:spacing w:before="590" w:beforeLines="100" w:after="590" w:afterLines="100" w:line="240" w:lineRule="auto"/>
        <w:jc w:val="center"/>
        <w:rPr>
          <w:rFonts w:ascii="Times New Roman" w:eastAsia="方正小标宋_GBK"/>
          <w:b w:val="0"/>
          <w:sz w:val="36"/>
          <w:szCs w:val="36"/>
        </w:rPr>
      </w:pPr>
      <w:bookmarkStart w:id="733" w:name="_Toc18315837"/>
      <w:bookmarkStart w:id="734" w:name="_Toc20726700"/>
      <w:r>
        <w:rPr>
          <w:rFonts w:hint="eastAsia" w:ascii="Times New Roman" w:eastAsia="方正小标宋_GBK"/>
          <w:b w:val="0"/>
          <w:sz w:val="36"/>
          <w:szCs w:val="36"/>
        </w:rPr>
        <w:t>关于进一步加强开发区建设档案管理工作的通知</w:t>
      </w:r>
      <w:bookmarkEnd w:id="733"/>
      <w:bookmarkEnd w:id="734"/>
    </w:p>
    <w:p>
      <w:pPr>
        <w:pStyle w:val="3"/>
        <w:spacing w:before="590" w:beforeLines="100" w:after="590" w:afterLines="100" w:line="240" w:lineRule="auto"/>
        <w:jc w:val="center"/>
        <w:rPr>
          <w:rFonts w:hint="eastAsia" w:ascii="Times New Roman" w:hAnsi="Times New Roman" w:eastAsia="方正楷体_GBK"/>
          <w:b w:val="0"/>
          <w:sz w:val="24"/>
          <w:szCs w:val="24"/>
        </w:rPr>
      </w:pPr>
      <w:bookmarkStart w:id="735" w:name="_Toc20726701"/>
      <w:bookmarkStart w:id="736" w:name="_Toc18315838"/>
      <w:r>
        <w:rPr>
          <w:rFonts w:hint="eastAsia" w:ascii="Times New Roman" w:hAnsi="Times New Roman" w:eastAsia="方正楷体_GBK"/>
          <w:b w:val="0"/>
          <w:sz w:val="24"/>
          <w:szCs w:val="24"/>
        </w:rPr>
        <w:t>苏建档〔</w:t>
      </w:r>
      <w:r>
        <w:rPr>
          <w:rFonts w:ascii="Times New Roman" w:hAnsi="Times New Roman" w:eastAsia="方正楷体_GBK"/>
          <w:b w:val="0"/>
          <w:sz w:val="24"/>
          <w:szCs w:val="24"/>
        </w:rPr>
        <w:t>2009</w:t>
      </w:r>
      <w:r>
        <w:rPr>
          <w:rFonts w:hint="eastAsia" w:ascii="Times New Roman" w:hAnsi="Times New Roman" w:eastAsia="方正楷体_GBK"/>
          <w:b w:val="0"/>
          <w:sz w:val="24"/>
          <w:szCs w:val="24"/>
        </w:rPr>
        <w:t>〕</w:t>
      </w:r>
      <w:r>
        <w:rPr>
          <w:rFonts w:ascii="Times New Roman" w:hAnsi="Times New Roman" w:eastAsia="方正楷体_GBK"/>
          <w:b w:val="0"/>
          <w:sz w:val="24"/>
          <w:szCs w:val="24"/>
        </w:rPr>
        <w:t>285</w:t>
      </w:r>
      <w:r>
        <w:rPr>
          <w:rFonts w:hint="eastAsia" w:ascii="Times New Roman" w:hAnsi="Times New Roman" w:eastAsia="方正楷体_GBK"/>
          <w:b w:val="0"/>
          <w:sz w:val="24"/>
          <w:szCs w:val="24"/>
        </w:rPr>
        <w:t>号</w:t>
      </w:r>
      <w:bookmarkEnd w:id="735"/>
      <w:bookmarkEnd w:id="736"/>
    </w:p>
    <w:p>
      <w:pPr>
        <w:spacing w:line="420" w:lineRule="exact"/>
        <w:rPr>
          <w:rFonts w:eastAsia="方正仿宋_GBK"/>
          <w:color w:val="000000"/>
          <w:spacing w:val="-2"/>
          <w:sz w:val="24"/>
        </w:rPr>
      </w:pPr>
      <w:r>
        <w:rPr>
          <w:rFonts w:hint="eastAsia" w:eastAsia="方正仿宋_GBK"/>
          <w:color w:val="000000"/>
          <w:spacing w:val="-2"/>
          <w:sz w:val="24"/>
        </w:rPr>
        <w:t>各省辖市建设局、规划局，各级开发区管委会：</w:t>
      </w:r>
    </w:p>
    <w:p>
      <w:pPr>
        <w:spacing w:line="420" w:lineRule="exact"/>
        <w:ind w:firstLine="464" w:firstLineChars="200"/>
        <w:rPr>
          <w:rFonts w:eastAsia="方正仿宋_GBK"/>
          <w:color w:val="000000"/>
          <w:spacing w:val="-2"/>
          <w:sz w:val="24"/>
        </w:rPr>
      </w:pPr>
      <w:r>
        <w:rPr>
          <w:rFonts w:hint="eastAsia" w:eastAsia="方正仿宋_GBK"/>
          <w:color w:val="000000"/>
          <w:spacing w:val="-2"/>
          <w:sz w:val="24"/>
        </w:rPr>
        <w:t>开发区是各地经济建设和社会发展的重点区域，开发区建设过程中形成的各类建设档案是所在地城市建设档案的重要组成部分。为了进一步加强开发区的建设档案管理工作，特作如下通知：</w:t>
      </w:r>
    </w:p>
    <w:p>
      <w:pPr>
        <w:spacing w:line="420" w:lineRule="exact"/>
        <w:ind w:firstLine="464" w:firstLineChars="200"/>
        <w:rPr>
          <w:rFonts w:eastAsia="方正仿宋_GBK"/>
          <w:color w:val="000000"/>
          <w:spacing w:val="-6"/>
          <w:sz w:val="24"/>
        </w:rPr>
      </w:pPr>
      <w:r>
        <w:rPr>
          <w:rFonts w:hint="eastAsia" w:eastAsia="方正仿宋_GBK"/>
          <w:color w:val="000000"/>
          <w:spacing w:val="-2"/>
          <w:sz w:val="24"/>
        </w:rPr>
        <w:t>一、</w:t>
      </w:r>
      <w:r>
        <w:rPr>
          <w:rFonts w:hint="eastAsia" w:eastAsia="方正仿宋_GBK"/>
          <w:color w:val="000000"/>
          <w:spacing w:val="-6"/>
          <w:sz w:val="24"/>
        </w:rPr>
        <w:t>各级各类开发区是城市规划建设用地的组成部分，是城市的重点开发建设区域，它在规划、建设、管理过程中形成的档案资料是城市建设档案不可分割的组成部分，必须按照《江苏省城建档案管理办法》纳入所在城市城建档案主管部门的统一管理。</w:t>
      </w:r>
    </w:p>
    <w:p>
      <w:pPr>
        <w:spacing w:line="420" w:lineRule="exact"/>
        <w:ind w:firstLine="464" w:firstLineChars="200"/>
        <w:rPr>
          <w:rFonts w:eastAsia="方正仿宋_GBK"/>
          <w:color w:val="000000"/>
          <w:spacing w:val="-2"/>
          <w:sz w:val="24"/>
        </w:rPr>
      </w:pPr>
      <w:r>
        <w:rPr>
          <w:rFonts w:hint="eastAsia" w:eastAsia="方正仿宋_GBK"/>
          <w:color w:val="000000"/>
          <w:spacing w:val="-2"/>
          <w:sz w:val="24"/>
        </w:rPr>
        <w:t>二、各级建设（规划）行政主管部门要认真贯彻落实《中华人民共和国城乡规划法》、《中华人民共和国档案法》、《建设工程质量管理条例》等法律、法规，按照集中统一管理的原则，依法履行对各级各类开发区城建档案工作的管理职能，采取切实有效的措施，将开发区的城建档案管理纳入规划、建设管理程序，保证开发区城建档案得到妥善保管和合理利用。</w:t>
      </w:r>
    </w:p>
    <w:p>
      <w:pPr>
        <w:spacing w:line="420" w:lineRule="exact"/>
        <w:ind w:firstLine="464" w:firstLineChars="200"/>
        <w:rPr>
          <w:rFonts w:eastAsia="方正仿宋_GBK"/>
          <w:color w:val="000000"/>
          <w:spacing w:val="-2"/>
          <w:sz w:val="24"/>
        </w:rPr>
      </w:pPr>
      <w:r>
        <w:rPr>
          <w:rFonts w:hint="eastAsia" w:eastAsia="方正仿宋_GBK"/>
          <w:color w:val="000000"/>
          <w:spacing w:val="-2"/>
          <w:sz w:val="24"/>
        </w:rPr>
        <w:t>三、各市、县（市）城建档案管理机构作为开发区城建档案日常管理部门，要加强对开发区城建档案工作的检查、督促和指导，保证开发区的项目建档工作与工程建设</w:t>
      </w:r>
      <w:r>
        <w:rPr>
          <w:rFonts w:eastAsia="方正仿宋_GBK"/>
          <w:color w:val="000000"/>
          <w:spacing w:val="-2"/>
          <w:sz w:val="24"/>
        </w:rPr>
        <w:t>“</w:t>
      </w:r>
      <w:r>
        <w:rPr>
          <w:rFonts w:hint="eastAsia" w:eastAsia="方正仿宋_GBK"/>
          <w:color w:val="000000"/>
          <w:spacing w:val="-2"/>
          <w:sz w:val="24"/>
        </w:rPr>
        <w:t>三同步</w:t>
      </w:r>
      <w:r>
        <w:rPr>
          <w:rFonts w:eastAsia="方正仿宋_GBK"/>
          <w:color w:val="000000"/>
          <w:spacing w:val="-2"/>
          <w:sz w:val="24"/>
        </w:rPr>
        <w:t>”</w:t>
      </w:r>
      <w:r>
        <w:rPr>
          <w:rFonts w:hint="eastAsia" w:eastAsia="方正仿宋_GBK"/>
          <w:color w:val="000000"/>
          <w:spacing w:val="-2"/>
          <w:sz w:val="24"/>
        </w:rPr>
        <w:t>。要认真做好服务工作，积极采用现代化管理手段，实现开发区建设档案的远程查询和服务利用，满足开发区经济建设和社会发展各项工作的需要。</w:t>
      </w:r>
    </w:p>
    <w:p>
      <w:pPr>
        <w:spacing w:line="420" w:lineRule="exact"/>
        <w:ind w:firstLine="464" w:firstLineChars="200"/>
        <w:rPr>
          <w:rFonts w:eastAsia="方正仿宋_GBK"/>
          <w:color w:val="000000"/>
          <w:spacing w:val="-2"/>
          <w:sz w:val="24"/>
        </w:rPr>
      </w:pPr>
      <w:r>
        <w:rPr>
          <w:rFonts w:hint="eastAsia" w:eastAsia="方正仿宋_GBK"/>
          <w:color w:val="000000"/>
          <w:spacing w:val="-2"/>
          <w:sz w:val="24"/>
        </w:rPr>
        <w:t>四、各级各类开发区内的建设单位要认真学习和贯彻执行有关开发区城建档案管理工作的法律、法规和有关规定，主动接受城建档案业务管理部门的工作检查和指导，及时向所在地的城建档案馆报送需要永久和长期保存的城建档案。</w:t>
      </w:r>
    </w:p>
    <w:p>
      <w:pPr>
        <w:spacing w:line="420" w:lineRule="exact"/>
        <w:ind w:firstLine="464" w:firstLineChars="200"/>
        <w:rPr>
          <w:rFonts w:eastAsia="方正仿宋_GBK"/>
          <w:color w:val="000000"/>
          <w:spacing w:val="-2"/>
          <w:sz w:val="24"/>
        </w:rPr>
      </w:pPr>
      <w:r>
        <w:rPr>
          <w:rFonts w:hint="eastAsia" w:eastAsia="方正仿宋_GBK"/>
          <w:color w:val="000000"/>
          <w:spacing w:val="-2"/>
          <w:sz w:val="24"/>
        </w:rPr>
        <w:t>五、各级建设（规划）行政主管部门要加强城建档案执法检查工作，对违反《中华人民共和国档案法》、《中华人民共和国城乡规划法》、《建设工程质量管理条例》、《城市建设档案管理规定》、《城市地下管线工程档案管理办法》等法律、法规和规章，拒不向城建档案馆移交档案的单位和个人，依法给予处罚。</w:t>
      </w:r>
    </w:p>
    <w:p>
      <w:pPr>
        <w:spacing w:line="460" w:lineRule="exact"/>
        <w:ind w:right="409" w:rightChars="199" w:firstLine="464" w:firstLineChars="200"/>
        <w:jc w:val="right"/>
        <w:rPr>
          <w:rFonts w:eastAsia="方正仿宋_GBK"/>
          <w:color w:val="000000"/>
          <w:spacing w:val="-2"/>
          <w:sz w:val="24"/>
        </w:rPr>
      </w:pPr>
      <w:r>
        <w:rPr>
          <w:rFonts w:hint="eastAsia" w:eastAsia="方正仿宋_GBK"/>
          <w:color w:val="000000"/>
          <w:spacing w:val="-2"/>
          <w:sz w:val="24"/>
        </w:rPr>
        <w:t>江苏省住房和城乡建设厅</w:t>
      </w:r>
      <w:r>
        <w:rPr>
          <w:rFonts w:eastAsia="方正仿宋_GBK"/>
          <w:color w:val="000000"/>
          <w:spacing w:val="-2"/>
          <w:sz w:val="24"/>
        </w:rPr>
        <w:t xml:space="preserve">    </w:t>
      </w:r>
    </w:p>
    <w:p>
      <w:pPr>
        <w:ind w:right="472"/>
        <w:jc w:val="center"/>
      </w:pPr>
      <w:r>
        <w:rPr>
          <w:rFonts w:eastAsia="方正仿宋_GBK"/>
          <w:color w:val="000000"/>
          <w:spacing w:val="-2"/>
          <w:sz w:val="24"/>
        </w:rPr>
        <w:t xml:space="preserve">                                            </w:t>
      </w:r>
      <w:r>
        <w:rPr>
          <w:rFonts w:hint="eastAsia" w:eastAsia="方正仿宋_GBK"/>
          <w:color w:val="000000"/>
          <w:spacing w:val="-2"/>
          <w:sz w:val="24"/>
        </w:rPr>
        <w:t>二</w:t>
      </w:r>
      <w:r>
        <w:rPr>
          <w:rFonts w:hint="eastAsia" w:eastAsia="方正仿宋_GBK"/>
          <w:bCs/>
          <w:snapToGrid w:val="0"/>
          <w:color w:val="000000"/>
          <w:spacing w:val="-2"/>
          <w:kern w:val="0"/>
          <w:sz w:val="24"/>
        </w:rPr>
        <w:t>○○</w:t>
      </w:r>
      <w:r>
        <w:rPr>
          <w:rFonts w:hint="eastAsia" w:eastAsia="方正仿宋_GBK"/>
          <w:color w:val="000000"/>
          <w:spacing w:val="-2"/>
          <w:sz w:val="24"/>
        </w:rPr>
        <w:t>九年九月十六日</w:t>
      </w:r>
      <w:r>
        <w:rPr>
          <w:rFonts w:eastAsia="方正仿宋_GBK"/>
          <w:color w:val="000000"/>
          <w:spacing w:val="-2"/>
          <w:sz w:val="24"/>
        </w:rPr>
        <w:t xml:space="preserve">  </w:t>
      </w:r>
    </w:p>
    <w:p/>
    <w:p/>
    <w:p/>
    <w:p/>
    <w:p/>
    <w:p/>
    <w:p/>
    <w:p/>
    <w:p/>
    <w:p/>
    <w:p/>
    <w:p/>
    <w:p/>
    <w:p/>
    <w:p/>
    <w:p/>
    <w:p/>
    <w:p/>
    <w:p/>
    <w:p/>
    <w:p/>
    <w:p/>
    <w:p/>
    <w:p/>
    <w:p/>
    <w:p/>
    <w:p/>
    <w:p/>
    <w:p/>
    <w:p/>
    <w:p/>
    <w:p/>
    <w:p/>
    <w:p/>
    <w:p/>
    <w:p/>
    <w:p/>
    <w:p/>
    <w:p/>
    <w:p/>
    <w:p/>
    <w:p/>
    <w:p>
      <w:pPr>
        <w:pStyle w:val="2"/>
        <w:spacing w:before="590" w:beforeLines="100" w:after="590" w:afterLines="100" w:line="240" w:lineRule="auto"/>
        <w:jc w:val="center"/>
        <w:rPr>
          <w:rFonts w:ascii="Times New Roman" w:eastAsia="方正小标宋_GBK"/>
          <w:b w:val="0"/>
          <w:sz w:val="36"/>
          <w:szCs w:val="36"/>
        </w:rPr>
      </w:pPr>
      <w:bookmarkStart w:id="737" w:name="_Toc20726702"/>
      <w:bookmarkStart w:id="738" w:name="_Toc18315839"/>
      <w:r>
        <w:rPr>
          <w:rFonts w:hint="eastAsia" w:ascii="Times New Roman" w:eastAsia="方正小标宋_GBK"/>
          <w:b w:val="0"/>
          <w:sz w:val="36"/>
          <w:szCs w:val="36"/>
        </w:rPr>
        <w:t>省住房城乡建设厅关于印发《江苏省建设工程声像档案管理办法（暂行）》的通知</w:t>
      </w:r>
      <w:bookmarkEnd w:id="737"/>
      <w:bookmarkEnd w:id="738"/>
    </w:p>
    <w:p>
      <w:pPr>
        <w:pStyle w:val="3"/>
        <w:spacing w:before="590" w:beforeLines="100" w:after="590" w:afterLines="100" w:line="240" w:lineRule="auto"/>
        <w:jc w:val="center"/>
        <w:rPr>
          <w:rFonts w:hint="eastAsia" w:ascii="Times New Roman" w:hAnsi="Times New Roman" w:eastAsia="方正楷体_GBK"/>
          <w:b w:val="0"/>
          <w:sz w:val="24"/>
          <w:szCs w:val="24"/>
        </w:rPr>
      </w:pPr>
      <w:bookmarkStart w:id="739" w:name="_Toc20726703"/>
      <w:bookmarkStart w:id="740" w:name="_Toc18315840"/>
      <w:r>
        <w:rPr>
          <w:rFonts w:hint="eastAsia" w:ascii="Times New Roman" w:hAnsi="Times New Roman" w:eastAsia="方正楷体_GBK"/>
          <w:b w:val="0"/>
          <w:sz w:val="24"/>
          <w:szCs w:val="24"/>
        </w:rPr>
        <w:t>苏建规字〔</w:t>
      </w:r>
      <w:r>
        <w:rPr>
          <w:rFonts w:ascii="Times New Roman" w:hAnsi="Times New Roman" w:eastAsia="方正楷体_GBK"/>
          <w:b w:val="0"/>
          <w:sz w:val="24"/>
          <w:szCs w:val="24"/>
        </w:rPr>
        <w:t>2013</w:t>
      </w:r>
      <w:r>
        <w:rPr>
          <w:rFonts w:hint="eastAsia" w:ascii="Times New Roman" w:hAnsi="Times New Roman" w:eastAsia="方正楷体_GBK"/>
          <w:b w:val="0"/>
          <w:sz w:val="24"/>
          <w:szCs w:val="24"/>
        </w:rPr>
        <w:t>〕</w:t>
      </w:r>
      <w:r>
        <w:rPr>
          <w:rFonts w:ascii="Times New Roman" w:hAnsi="Times New Roman" w:eastAsia="方正楷体_GBK"/>
          <w:b w:val="0"/>
          <w:sz w:val="24"/>
          <w:szCs w:val="24"/>
        </w:rPr>
        <w:t>1</w:t>
      </w:r>
      <w:r>
        <w:rPr>
          <w:rFonts w:hint="eastAsia" w:ascii="Times New Roman" w:hAnsi="Times New Roman" w:eastAsia="方正楷体_GBK"/>
          <w:b w:val="0"/>
          <w:sz w:val="24"/>
          <w:szCs w:val="24"/>
        </w:rPr>
        <w:t>号</w:t>
      </w:r>
      <w:bookmarkEnd w:id="739"/>
      <w:bookmarkEnd w:id="740"/>
    </w:p>
    <w:p>
      <w:pPr>
        <w:snapToGrid w:val="0"/>
        <w:spacing w:line="460" w:lineRule="exact"/>
        <w:rPr>
          <w:rFonts w:eastAsia="方正仿宋_GBK"/>
          <w:color w:val="000000"/>
          <w:spacing w:val="-2"/>
          <w:sz w:val="24"/>
        </w:rPr>
      </w:pPr>
      <w:r>
        <w:rPr>
          <w:rFonts w:hint="eastAsia" w:eastAsia="方正仿宋_GBK"/>
          <w:color w:val="000000"/>
          <w:spacing w:val="-2"/>
          <w:sz w:val="24"/>
        </w:rPr>
        <w:t>各省辖市建设局（委）、规划局，昆山市、泰兴市、沭阳县建设局：</w:t>
      </w:r>
    </w:p>
    <w:p>
      <w:pPr>
        <w:snapToGrid w:val="0"/>
        <w:spacing w:line="460" w:lineRule="exact"/>
        <w:ind w:firstLine="464" w:firstLineChars="200"/>
        <w:rPr>
          <w:rFonts w:eastAsia="方正仿宋_GBK"/>
          <w:color w:val="000000"/>
          <w:spacing w:val="-2"/>
          <w:sz w:val="24"/>
        </w:rPr>
      </w:pPr>
      <w:r>
        <w:rPr>
          <w:rFonts w:hint="eastAsia" w:eastAsia="方正仿宋_GBK"/>
          <w:color w:val="000000"/>
          <w:spacing w:val="-2"/>
          <w:sz w:val="24"/>
        </w:rPr>
        <w:t>为加强和规范全省城市建设声像档案管理工作，进一步提升各级城建档案馆的声像档案管理水平和服务能力，特制定《江苏省建设工程声像档案管理办法（暂行）》，现予印发，请遵照执行。</w:t>
      </w:r>
    </w:p>
    <w:p>
      <w:pPr>
        <w:snapToGrid w:val="0"/>
        <w:spacing w:line="460" w:lineRule="exact"/>
        <w:ind w:firstLine="651"/>
        <w:rPr>
          <w:rFonts w:eastAsia="方正仿宋_GBK"/>
          <w:color w:val="000000"/>
          <w:spacing w:val="-2"/>
          <w:sz w:val="24"/>
        </w:rPr>
      </w:pPr>
    </w:p>
    <w:p>
      <w:pPr>
        <w:snapToGrid w:val="0"/>
        <w:spacing w:line="460" w:lineRule="exact"/>
        <w:ind w:firstLine="651"/>
        <w:rPr>
          <w:rFonts w:eastAsia="方正仿宋_GBK"/>
          <w:color w:val="000000"/>
          <w:spacing w:val="-2"/>
          <w:sz w:val="24"/>
        </w:rPr>
      </w:pPr>
      <w:r>
        <w:rPr>
          <w:rFonts w:hint="eastAsia" w:eastAsia="方正仿宋_GBK"/>
          <w:color w:val="000000"/>
          <w:spacing w:val="-2"/>
          <w:sz w:val="24"/>
        </w:rPr>
        <w:t>附件：《江苏省建设工程声像档案管理办法（暂行）》</w:t>
      </w:r>
    </w:p>
    <w:p>
      <w:pPr>
        <w:snapToGrid w:val="0"/>
        <w:spacing w:line="460" w:lineRule="exact"/>
        <w:rPr>
          <w:rFonts w:eastAsia="方正仿宋_GBK"/>
          <w:color w:val="000000"/>
          <w:spacing w:val="-2"/>
          <w:sz w:val="24"/>
        </w:rPr>
      </w:pPr>
    </w:p>
    <w:p>
      <w:pPr>
        <w:snapToGrid w:val="0"/>
        <w:spacing w:line="460" w:lineRule="exact"/>
        <w:ind w:right="428" w:rightChars="208" w:firstLine="3364" w:firstLineChars="1450"/>
        <w:jc w:val="right"/>
        <w:rPr>
          <w:rFonts w:eastAsia="方正仿宋_GBK"/>
          <w:color w:val="000000"/>
          <w:spacing w:val="-2"/>
          <w:sz w:val="24"/>
        </w:rPr>
      </w:pPr>
      <w:r>
        <w:rPr>
          <w:rFonts w:hint="eastAsia" w:eastAsia="方正仿宋_GBK"/>
          <w:color w:val="000000"/>
          <w:spacing w:val="-2"/>
          <w:sz w:val="24"/>
        </w:rPr>
        <w:t>江苏省住房和城乡建设厅</w:t>
      </w:r>
      <w:r>
        <w:rPr>
          <w:rFonts w:eastAsia="方正仿宋_GBK"/>
          <w:color w:val="000000"/>
          <w:spacing w:val="-2"/>
          <w:sz w:val="24"/>
        </w:rPr>
        <w:t xml:space="preserve">    </w:t>
      </w:r>
    </w:p>
    <w:p>
      <w:pPr>
        <w:snapToGrid w:val="0"/>
        <w:spacing w:line="460" w:lineRule="exact"/>
        <w:ind w:right="861" w:rightChars="418"/>
        <w:jc w:val="right"/>
        <w:rPr>
          <w:rFonts w:eastAsia="方正仿宋_GBK"/>
          <w:color w:val="000000"/>
          <w:spacing w:val="-2"/>
          <w:sz w:val="24"/>
        </w:rPr>
      </w:pPr>
      <w:r>
        <w:rPr>
          <w:rFonts w:eastAsia="方正仿宋_GBK"/>
          <w:color w:val="000000"/>
          <w:spacing w:val="-2"/>
          <w:sz w:val="24"/>
        </w:rPr>
        <w:t>2013</w:t>
      </w:r>
      <w:r>
        <w:rPr>
          <w:rFonts w:hint="eastAsia" w:eastAsia="方正仿宋_GBK"/>
          <w:color w:val="000000"/>
          <w:spacing w:val="-2"/>
          <w:sz w:val="24"/>
        </w:rPr>
        <w:t>年</w:t>
      </w:r>
      <w:r>
        <w:rPr>
          <w:rFonts w:eastAsia="方正仿宋_GBK"/>
          <w:color w:val="000000"/>
          <w:spacing w:val="-2"/>
          <w:sz w:val="24"/>
        </w:rPr>
        <w:t>4</w:t>
      </w:r>
      <w:r>
        <w:rPr>
          <w:rFonts w:hint="eastAsia" w:eastAsia="方正仿宋_GBK"/>
          <w:color w:val="000000"/>
          <w:spacing w:val="-2"/>
          <w:sz w:val="24"/>
        </w:rPr>
        <w:t>月</w:t>
      </w:r>
      <w:r>
        <w:rPr>
          <w:rFonts w:eastAsia="方正仿宋_GBK"/>
          <w:color w:val="000000"/>
          <w:spacing w:val="-2"/>
          <w:sz w:val="24"/>
        </w:rPr>
        <w:t>10</w:t>
      </w:r>
      <w:r>
        <w:rPr>
          <w:rFonts w:hint="eastAsia" w:eastAsia="方正仿宋_GBK"/>
          <w:color w:val="000000"/>
          <w:spacing w:val="-2"/>
          <w:sz w:val="24"/>
        </w:rPr>
        <w:t>日</w:t>
      </w:r>
      <w:r>
        <w:rPr>
          <w:rFonts w:eastAsia="方正仿宋_GBK"/>
          <w:color w:val="000000"/>
          <w:spacing w:val="-2"/>
          <w:sz w:val="24"/>
        </w:rPr>
        <w:t xml:space="preserve">        </w:t>
      </w:r>
    </w:p>
    <w:p>
      <w:pPr>
        <w:snapToGrid w:val="0"/>
        <w:spacing w:line="460" w:lineRule="exact"/>
        <w:rPr>
          <w:rFonts w:eastAsia="方正仿宋_GBK"/>
          <w:color w:val="000000"/>
          <w:spacing w:val="-2"/>
          <w:sz w:val="24"/>
        </w:rPr>
      </w:pPr>
    </w:p>
    <w:p>
      <w:pPr>
        <w:snapToGrid w:val="0"/>
        <w:spacing w:line="460" w:lineRule="exact"/>
        <w:rPr>
          <w:rFonts w:eastAsia="方正仿宋_GBK"/>
          <w:color w:val="000000"/>
          <w:spacing w:val="-2"/>
          <w:sz w:val="24"/>
        </w:rPr>
      </w:pPr>
    </w:p>
    <w:p>
      <w:pPr>
        <w:snapToGrid w:val="0"/>
        <w:spacing w:line="460" w:lineRule="exact"/>
        <w:jc w:val="center"/>
        <w:rPr>
          <w:rFonts w:ascii="Times New Roman" w:eastAsia="方正黑体_GBK"/>
          <w:color w:val="000000"/>
          <w:spacing w:val="-2"/>
          <w:sz w:val="36"/>
          <w:szCs w:val="36"/>
        </w:rPr>
      </w:pPr>
      <w:r>
        <w:rPr>
          <w:rFonts w:hint="eastAsia" w:ascii="Times New Roman" w:eastAsia="方正黑体_GBK"/>
          <w:color w:val="000000"/>
          <w:spacing w:val="-2"/>
          <w:sz w:val="36"/>
          <w:szCs w:val="36"/>
        </w:rPr>
        <w:t>江苏省建设工程声像档案管理办法（暂行）</w:t>
      </w:r>
    </w:p>
    <w:p>
      <w:pPr>
        <w:snapToGrid w:val="0"/>
        <w:spacing w:line="460" w:lineRule="exact"/>
        <w:jc w:val="center"/>
        <w:rPr>
          <w:rFonts w:hint="eastAsia" w:eastAsia="方正仿宋_GBK"/>
          <w:color w:val="000000"/>
          <w:spacing w:val="-2"/>
          <w:sz w:val="24"/>
        </w:rPr>
      </w:pPr>
    </w:p>
    <w:p>
      <w:pPr>
        <w:spacing w:line="460" w:lineRule="exact"/>
        <w:ind w:firstLine="464" w:firstLineChars="200"/>
        <w:rPr>
          <w:rFonts w:eastAsia="方正仿宋_GBK"/>
          <w:color w:val="000000"/>
          <w:spacing w:val="-2"/>
          <w:sz w:val="24"/>
        </w:rPr>
      </w:pPr>
      <w:r>
        <w:rPr>
          <w:rFonts w:hint="eastAsia" w:ascii="Times New Roman" w:eastAsia="方正黑体_GBK"/>
          <w:color w:val="000000"/>
          <w:spacing w:val="-2"/>
          <w:sz w:val="24"/>
        </w:rPr>
        <w:t>第一条　</w:t>
      </w:r>
      <w:r>
        <w:rPr>
          <w:rFonts w:hint="eastAsia" w:eastAsia="方正仿宋_GBK"/>
          <w:color w:val="000000"/>
          <w:spacing w:val="-2"/>
          <w:sz w:val="24"/>
        </w:rPr>
        <w:t>为加强和规范全省城市建设声像档案管理工作，进一步提升各级城建档案馆的声像档案管理水平和服务能力，依据国务院《建设工程质量管理条例》（国务院第</w:t>
      </w:r>
      <w:r>
        <w:rPr>
          <w:rFonts w:eastAsia="方正仿宋_GBK"/>
          <w:color w:val="000000"/>
          <w:spacing w:val="-2"/>
          <w:sz w:val="24"/>
        </w:rPr>
        <w:t>279</w:t>
      </w:r>
      <w:r>
        <w:rPr>
          <w:rFonts w:hint="eastAsia" w:eastAsia="方正仿宋_GBK"/>
          <w:color w:val="000000"/>
          <w:spacing w:val="-2"/>
          <w:sz w:val="24"/>
        </w:rPr>
        <w:t>号令），建设部《城市建设档案管理规定》（建设部令第</w:t>
      </w:r>
      <w:r>
        <w:rPr>
          <w:rFonts w:eastAsia="方正仿宋_GBK"/>
          <w:color w:val="000000"/>
          <w:spacing w:val="-2"/>
          <w:sz w:val="24"/>
        </w:rPr>
        <w:t>90</w:t>
      </w:r>
      <w:r>
        <w:rPr>
          <w:rFonts w:hint="eastAsia" w:eastAsia="方正仿宋_GBK"/>
          <w:color w:val="000000"/>
          <w:spacing w:val="-2"/>
          <w:sz w:val="24"/>
        </w:rPr>
        <w:t>号）、</w:t>
      </w:r>
      <w:r>
        <w:rPr>
          <w:rFonts w:hint="eastAsia" w:eastAsia="方正仿宋_GBK"/>
          <w:bCs/>
          <w:color w:val="000000"/>
          <w:spacing w:val="-2"/>
          <w:sz w:val="24"/>
        </w:rPr>
        <w:t>《城市地下管线工程档案管理办法》（建设部令第</w:t>
      </w:r>
      <w:r>
        <w:rPr>
          <w:rFonts w:eastAsia="方正仿宋_GBK"/>
          <w:bCs/>
          <w:color w:val="000000"/>
          <w:spacing w:val="-2"/>
          <w:sz w:val="24"/>
        </w:rPr>
        <w:t>136</w:t>
      </w:r>
      <w:r>
        <w:rPr>
          <w:rFonts w:hint="eastAsia" w:eastAsia="方正仿宋_GBK"/>
          <w:bCs/>
          <w:color w:val="000000"/>
          <w:spacing w:val="-2"/>
          <w:sz w:val="24"/>
        </w:rPr>
        <w:t>号）、《江苏省城建档案管理办法》（江苏省政府令第</w:t>
      </w:r>
      <w:r>
        <w:rPr>
          <w:rFonts w:eastAsia="方正仿宋_GBK"/>
          <w:bCs/>
          <w:color w:val="000000"/>
          <w:spacing w:val="-2"/>
          <w:sz w:val="24"/>
        </w:rPr>
        <w:t>196</w:t>
      </w:r>
      <w:r>
        <w:rPr>
          <w:rFonts w:hint="eastAsia" w:eastAsia="方正仿宋_GBK"/>
          <w:bCs/>
          <w:color w:val="000000"/>
          <w:spacing w:val="-2"/>
          <w:sz w:val="24"/>
        </w:rPr>
        <w:t>号）</w:t>
      </w:r>
      <w:r>
        <w:rPr>
          <w:rFonts w:hint="eastAsia" w:eastAsia="方正仿宋_GBK"/>
          <w:color w:val="000000"/>
          <w:spacing w:val="-2"/>
          <w:sz w:val="24"/>
        </w:rPr>
        <w:t>等相关规定，结合本省实际，制定本办法。</w:t>
      </w:r>
    </w:p>
    <w:p>
      <w:pPr>
        <w:spacing w:line="460" w:lineRule="exact"/>
        <w:ind w:firstLine="464" w:firstLineChars="200"/>
        <w:rPr>
          <w:rFonts w:eastAsia="方正仿宋_GBK"/>
          <w:color w:val="000000"/>
          <w:spacing w:val="-2"/>
          <w:sz w:val="24"/>
        </w:rPr>
      </w:pPr>
      <w:r>
        <w:rPr>
          <w:rFonts w:hint="eastAsia" w:ascii="Times New Roman" w:eastAsia="方正黑体_GBK"/>
          <w:color w:val="000000"/>
          <w:spacing w:val="-2"/>
          <w:sz w:val="24"/>
        </w:rPr>
        <w:t>第二条　</w:t>
      </w:r>
      <w:r>
        <w:rPr>
          <w:rFonts w:hint="eastAsia" w:eastAsia="方正仿宋_GBK"/>
          <w:color w:val="000000"/>
          <w:spacing w:val="-2"/>
          <w:sz w:val="24"/>
        </w:rPr>
        <w:t>本办法所称的建设工程声像档案，是指在城乡工程建设过程中直接形成的，具有保存价值的照片、录音、录像等各种载体形式的历史记录。</w:t>
      </w:r>
    </w:p>
    <w:p>
      <w:pPr>
        <w:spacing w:line="460" w:lineRule="exact"/>
        <w:ind w:firstLine="464" w:firstLineChars="200"/>
        <w:rPr>
          <w:rFonts w:eastAsia="方正仿宋_GBK"/>
          <w:color w:val="000000"/>
          <w:spacing w:val="-2"/>
          <w:sz w:val="24"/>
        </w:rPr>
      </w:pPr>
      <w:r>
        <w:rPr>
          <w:rFonts w:hint="eastAsia" w:ascii="Times New Roman" w:eastAsia="方正黑体_GBK"/>
          <w:color w:val="000000"/>
          <w:spacing w:val="-2"/>
          <w:sz w:val="24"/>
        </w:rPr>
        <w:t>第</w:t>
      </w:r>
      <w:r>
        <w:rPr>
          <w:rFonts w:hint="eastAsia" w:ascii="Times New Roman" w:eastAsia="方正黑体_GBK"/>
          <w:bCs/>
          <w:color w:val="000000"/>
          <w:spacing w:val="-2"/>
          <w:sz w:val="24"/>
        </w:rPr>
        <w:t>三</w:t>
      </w:r>
      <w:r>
        <w:rPr>
          <w:rFonts w:hint="eastAsia" w:ascii="Times New Roman" w:eastAsia="方正黑体_GBK"/>
          <w:color w:val="000000"/>
          <w:spacing w:val="-2"/>
          <w:sz w:val="24"/>
        </w:rPr>
        <w:t>条</w:t>
      </w:r>
      <w:r>
        <w:rPr>
          <w:rFonts w:eastAsia="方正仿宋_GBK"/>
          <w:b/>
          <w:color w:val="000000"/>
          <w:spacing w:val="-2"/>
          <w:sz w:val="24"/>
        </w:rPr>
        <w:t xml:space="preserve">  </w:t>
      </w:r>
      <w:r>
        <w:rPr>
          <w:rFonts w:hint="eastAsia" w:eastAsia="方正仿宋_GBK"/>
          <w:color w:val="000000"/>
          <w:spacing w:val="-2"/>
          <w:sz w:val="24"/>
        </w:rPr>
        <w:t>建设单位应当开展建设工程声像档案的拍摄、收集、整理、报送和管理工作。</w:t>
      </w:r>
    </w:p>
    <w:p>
      <w:pPr>
        <w:spacing w:line="460" w:lineRule="exact"/>
        <w:ind w:firstLine="464" w:firstLineChars="200"/>
        <w:rPr>
          <w:rFonts w:eastAsia="方正仿宋_GBK"/>
          <w:bCs/>
          <w:color w:val="000000"/>
          <w:spacing w:val="-2"/>
          <w:sz w:val="24"/>
        </w:rPr>
      </w:pPr>
      <w:r>
        <w:rPr>
          <w:rFonts w:hint="eastAsia" w:ascii="Times New Roman" w:eastAsia="方正黑体_GBK"/>
          <w:color w:val="000000"/>
          <w:spacing w:val="-2"/>
          <w:sz w:val="24"/>
        </w:rPr>
        <w:t>第四条</w:t>
      </w:r>
      <w:r>
        <w:rPr>
          <w:rFonts w:eastAsia="方正仿宋_GBK"/>
          <w:b/>
          <w:bCs/>
          <w:color w:val="000000"/>
          <w:spacing w:val="-2"/>
          <w:sz w:val="24"/>
        </w:rPr>
        <w:t xml:space="preserve">  </w:t>
      </w:r>
      <w:r>
        <w:rPr>
          <w:rFonts w:hint="eastAsia" w:eastAsia="方正仿宋_GBK"/>
          <w:bCs/>
          <w:color w:val="000000"/>
          <w:spacing w:val="-2"/>
          <w:sz w:val="24"/>
        </w:rPr>
        <w:t>在本省城市和乡镇进行各类工程建设，应当拍摄、保存声像档案。列为市级以上重点工程或者需要申报市级以上优质工程的，应当编辑录像专题片。</w:t>
      </w:r>
    </w:p>
    <w:p>
      <w:pPr>
        <w:spacing w:line="460" w:lineRule="exact"/>
        <w:ind w:firstLine="464" w:firstLineChars="200"/>
        <w:rPr>
          <w:rFonts w:eastAsia="方正仿宋_GBK"/>
          <w:color w:val="000000"/>
          <w:spacing w:val="-2"/>
          <w:sz w:val="24"/>
        </w:rPr>
      </w:pPr>
      <w:r>
        <w:rPr>
          <w:rFonts w:hint="eastAsia" w:ascii="Times New Roman" w:eastAsia="方正黑体_GBK"/>
          <w:color w:val="000000"/>
          <w:spacing w:val="-2"/>
          <w:sz w:val="24"/>
        </w:rPr>
        <w:t>第五条</w:t>
      </w:r>
      <w:r>
        <w:rPr>
          <w:rFonts w:eastAsia="方正仿宋_GBK"/>
          <w:b/>
          <w:color w:val="000000"/>
          <w:spacing w:val="-2"/>
          <w:sz w:val="24"/>
        </w:rPr>
        <w:t xml:space="preserve">  </w:t>
      </w:r>
      <w:r>
        <w:rPr>
          <w:rFonts w:hint="eastAsia" w:eastAsia="方正仿宋_GBK"/>
          <w:color w:val="000000"/>
          <w:spacing w:val="-2"/>
          <w:sz w:val="24"/>
        </w:rPr>
        <w:t>建设工程声像档案的具体收集范围和内容，以及归档整理和保管利用等按照《建设工程文件归档整理规范》（</w:t>
      </w:r>
      <w:r>
        <w:rPr>
          <w:rFonts w:eastAsia="方正仿宋_GBK"/>
          <w:color w:val="000000"/>
          <w:spacing w:val="-2"/>
          <w:sz w:val="24"/>
        </w:rPr>
        <w:t>GB/T 50328</w:t>
      </w:r>
      <w:r>
        <w:rPr>
          <w:rFonts w:hint="eastAsia" w:eastAsia="方正仿宋_GBK"/>
          <w:color w:val="000000"/>
          <w:spacing w:val="-2"/>
          <w:sz w:val="24"/>
        </w:rPr>
        <w:t>）、《城建档案业务管理规范》（</w:t>
      </w:r>
      <w:r>
        <w:rPr>
          <w:rFonts w:eastAsia="方正仿宋_GBK"/>
          <w:color w:val="000000"/>
          <w:spacing w:val="-2"/>
          <w:sz w:val="24"/>
        </w:rPr>
        <w:t>CJJ/T 158</w:t>
      </w:r>
      <w:r>
        <w:rPr>
          <w:rFonts w:hint="eastAsia" w:eastAsia="方正仿宋_GBK"/>
          <w:color w:val="000000"/>
          <w:spacing w:val="-2"/>
          <w:sz w:val="24"/>
        </w:rPr>
        <w:t>）和《建设电子文件与电子档案管理规范》（</w:t>
      </w:r>
      <w:r>
        <w:rPr>
          <w:rFonts w:eastAsia="方正仿宋_GBK"/>
          <w:color w:val="000000"/>
          <w:spacing w:val="-2"/>
          <w:sz w:val="24"/>
        </w:rPr>
        <w:t>CJJ/T 117</w:t>
      </w:r>
      <w:r>
        <w:rPr>
          <w:rFonts w:hint="eastAsia" w:eastAsia="方正仿宋_GBK"/>
          <w:color w:val="000000"/>
          <w:spacing w:val="-2"/>
          <w:sz w:val="24"/>
        </w:rPr>
        <w:t>）的规定执行。</w:t>
      </w:r>
    </w:p>
    <w:p>
      <w:pPr>
        <w:spacing w:line="460" w:lineRule="exact"/>
        <w:ind w:firstLine="464" w:firstLineChars="200"/>
        <w:rPr>
          <w:rFonts w:eastAsia="方正仿宋_GBK"/>
          <w:color w:val="000000"/>
          <w:spacing w:val="-2"/>
          <w:sz w:val="24"/>
        </w:rPr>
      </w:pPr>
      <w:r>
        <w:rPr>
          <w:rFonts w:hint="eastAsia" w:ascii="Times New Roman" w:eastAsia="方正黑体_GBK"/>
          <w:color w:val="000000"/>
          <w:spacing w:val="-2"/>
          <w:sz w:val="24"/>
        </w:rPr>
        <w:t>第六条</w:t>
      </w:r>
      <w:r>
        <w:rPr>
          <w:rFonts w:eastAsia="方正仿宋_GBK"/>
          <w:b/>
          <w:color w:val="000000"/>
          <w:spacing w:val="-2"/>
          <w:sz w:val="24"/>
        </w:rPr>
        <w:t xml:space="preserve">  </w:t>
      </w:r>
      <w:r>
        <w:rPr>
          <w:rFonts w:hint="eastAsia" w:eastAsia="方正仿宋_GBK"/>
          <w:color w:val="000000"/>
          <w:spacing w:val="-2"/>
          <w:sz w:val="24"/>
        </w:rPr>
        <w:t>建设工程声像档案的拍摄应当与工程建设同步，真实记录工程建设过程的实际状况，全面反映建筑物（构筑物）的整体面貌，包括开工前原貌、基础工程、隐蔽工程、主体工程、屋面、质量事故及处理情况、竣工面貌等，有特殊要求的工程应当据实增加拍摄内容。</w:t>
      </w:r>
    </w:p>
    <w:p>
      <w:pPr>
        <w:spacing w:line="460" w:lineRule="exact"/>
        <w:ind w:firstLine="464" w:firstLineChars="200"/>
        <w:rPr>
          <w:rFonts w:eastAsia="方正仿宋_GBK"/>
          <w:color w:val="000000"/>
          <w:spacing w:val="-2"/>
          <w:sz w:val="24"/>
        </w:rPr>
      </w:pPr>
      <w:r>
        <w:rPr>
          <w:rFonts w:hint="eastAsia" w:ascii="Times New Roman" w:eastAsia="方正黑体_GBK"/>
          <w:color w:val="000000"/>
          <w:spacing w:val="-2"/>
          <w:sz w:val="24"/>
        </w:rPr>
        <w:t>第七条</w:t>
      </w:r>
      <w:r>
        <w:rPr>
          <w:rFonts w:eastAsia="方正仿宋_GBK"/>
          <w:b/>
          <w:color w:val="000000"/>
          <w:spacing w:val="-2"/>
          <w:sz w:val="24"/>
        </w:rPr>
        <w:t xml:space="preserve">  </w:t>
      </w:r>
      <w:r>
        <w:rPr>
          <w:rFonts w:hint="eastAsia" w:eastAsia="方正仿宋_GBK"/>
          <w:color w:val="000000"/>
          <w:spacing w:val="-2"/>
          <w:sz w:val="24"/>
        </w:rPr>
        <w:t>建设工程声像档案必须图像清晰、稳定，色彩还原准确，被摄主体没有明显失真变形，避免有损原真性的技术处理。建设工程声像档案的数量，以能够系统记录工程项目建设过程和成果为准。</w:t>
      </w:r>
    </w:p>
    <w:p>
      <w:pPr>
        <w:spacing w:line="460" w:lineRule="exact"/>
        <w:ind w:firstLine="464" w:firstLineChars="200"/>
        <w:rPr>
          <w:rFonts w:eastAsia="方正仿宋_GBK"/>
          <w:color w:val="000000"/>
          <w:spacing w:val="-2"/>
          <w:sz w:val="24"/>
        </w:rPr>
      </w:pPr>
      <w:r>
        <w:rPr>
          <w:rFonts w:hint="eastAsia" w:ascii="Times New Roman" w:eastAsia="方正黑体_GBK"/>
          <w:color w:val="000000"/>
          <w:spacing w:val="-2"/>
          <w:sz w:val="24"/>
        </w:rPr>
        <w:t>第八条　</w:t>
      </w:r>
      <w:r>
        <w:rPr>
          <w:rFonts w:hint="eastAsia" w:eastAsia="方正仿宋_GBK"/>
          <w:color w:val="000000"/>
          <w:spacing w:val="-2"/>
          <w:sz w:val="24"/>
        </w:rPr>
        <w:t>凡列入城建档案管理机构接收范围内的建设工程，建设单位应将建设工程声像档案和其它载体形式的工程档案一并报送当地城建档案管理机构进行预验收，未报送声像档案的，城建档案管理机构不予预验收。</w:t>
      </w:r>
    </w:p>
    <w:p>
      <w:pPr>
        <w:spacing w:line="460" w:lineRule="exact"/>
        <w:ind w:firstLine="464" w:firstLineChars="200"/>
        <w:rPr>
          <w:rFonts w:eastAsia="方正仿宋_GBK"/>
          <w:color w:val="000000"/>
          <w:spacing w:val="-2"/>
          <w:sz w:val="24"/>
        </w:rPr>
      </w:pPr>
      <w:r>
        <w:rPr>
          <w:rFonts w:hint="eastAsia" w:ascii="Times New Roman" w:eastAsia="方正黑体_GBK"/>
          <w:color w:val="000000"/>
          <w:spacing w:val="-2"/>
          <w:sz w:val="24"/>
        </w:rPr>
        <w:t>第九条</w:t>
      </w:r>
      <w:r>
        <w:rPr>
          <w:rFonts w:eastAsia="方正仿宋_GBK"/>
          <w:b/>
          <w:bCs/>
          <w:color w:val="000000"/>
          <w:spacing w:val="-2"/>
          <w:sz w:val="24"/>
        </w:rPr>
        <w:t xml:space="preserve">  </w:t>
      </w:r>
      <w:r>
        <w:rPr>
          <w:rFonts w:hint="eastAsia" w:eastAsia="方正仿宋_GBK"/>
          <w:color w:val="000000"/>
          <w:spacing w:val="-2"/>
          <w:sz w:val="24"/>
        </w:rPr>
        <w:t>各级城建档案管理机构负责指导监督本地区建设工程声像档案工作，对建设单位声像档案工作进行不定期检查，对不按时报送或报送的声像档案不完整、不符合声像档案质量要求的，按照《建设工程质量管理条例》、《城市建设档案管理规定》和《江苏省城建档案管理办法》等有关规定处理。</w:t>
      </w:r>
    </w:p>
    <w:p>
      <w:pPr>
        <w:spacing w:line="460" w:lineRule="exact"/>
        <w:ind w:firstLine="464" w:firstLineChars="200"/>
        <w:rPr>
          <w:rFonts w:eastAsia="方正仿宋_GBK"/>
          <w:color w:val="000000"/>
          <w:spacing w:val="-2"/>
          <w:kern w:val="0"/>
          <w:sz w:val="24"/>
        </w:rPr>
      </w:pPr>
      <w:r>
        <w:rPr>
          <w:rFonts w:hint="eastAsia" w:ascii="Times New Roman" w:eastAsia="方正黑体_GBK"/>
          <w:color w:val="000000"/>
          <w:spacing w:val="-2"/>
          <w:sz w:val="24"/>
        </w:rPr>
        <w:t>第十条</w:t>
      </w:r>
      <w:r>
        <w:rPr>
          <w:rFonts w:eastAsia="方正仿宋_GBK"/>
          <w:b/>
          <w:color w:val="000000"/>
          <w:spacing w:val="-2"/>
          <w:sz w:val="24"/>
        </w:rPr>
        <w:t xml:space="preserve"> </w:t>
      </w:r>
      <w:r>
        <w:rPr>
          <w:rFonts w:eastAsia="方正仿宋_GBK"/>
          <w:color w:val="000000"/>
          <w:spacing w:val="-2"/>
          <w:sz w:val="24"/>
        </w:rPr>
        <w:t xml:space="preserve"> </w:t>
      </w:r>
      <w:r>
        <w:rPr>
          <w:rFonts w:hint="eastAsia" w:eastAsia="方正仿宋_GBK"/>
          <w:color w:val="000000"/>
          <w:spacing w:val="-2"/>
          <w:sz w:val="24"/>
        </w:rPr>
        <w:t>本办法自</w:t>
      </w:r>
      <w:r>
        <w:rPr>
          <w:rFonts w:eastAsia="方正仿宋_GBK"/>
          <w:color w:val="000000"/>
          <w:spacing w:val="-2"/>
          <w:sz w:val="24"/>
        </w:rPr>
        <w:t xml:space="preserve"> 2013</w:t>
      </w:r>
      <w:r>
        <w:rPr>
          <w:rFonts w:hint="eastAsia" w:eastAsia="方正仿宋_GBK"/>
          <w:color w:val="000000"/>
          <w:spacing w:val="-2"/>
          <w:sz w:val="24"/>
        </w:rPr>
        <w:t>年</w:t>
      </w:r>
      <w:r>
        <w:rPr>
          <w:rFonts w:eastAsia="方正仿宋_GBK"/>
          <w:color w:val="000000"/>
          <w:spacing w:val="-2"/>
          <w:sz w:val="24"/>
        </w:rPr>
        <w:t>6</w:t>
      </w:r>
      <w:r>
        <w:rPr>
          <w:rFonts w:hint="eastAsia" w:eastAsia="方正仿宋_GBK"/>
          <w:color w:val="000000"/>
          <w:spacing w:val="-2"/>
          <w:sz w:val="24"/>
        </w:rPr>
        <w:t>月</w:t>
      </w:r>
      <w:r>
        <w:rPr>
          <w:rFonts w:eastAsia="方正仿宋_GBK"/>
          <w:color w:val="000000"/>
          <w:spacing w:val="-2"/>
          <w:sz w:val="24"/>
        </w:rPr>
        <w:t>1</w:t>
      </w:r>
      <w:r>
        <w:rPr>
          <w:rFonts w:hint="eastAsia" w:eastAsia="方正仿宋_GBK"/>
          <w:color w:val="000000"/>
          <w:spacing w:val="-2"/>
          <w:sz w:val="24"/>
        </w:rPr>
        <w:t>日起执行。本办法应用中的具体问题，由江苏省住房和城乡建设厅负责解释。</w:t>
      </w:r>
    </w:p>
    <w:p>
      <w:pPr>
        <w:spacing w:line="460" w:lineRule="exact"/>
        <w:rPr>
          <w:rFonts w:eastAsia="方正仿宋_GBK"/>
          <w:color w:val="000000"/>
          <w:spacing w:val="-2"/>
          <w:kern w:val="0"/>
          <w:sz w:val="24"/>
        </w:rPr>
      </w:pPr>
    </w:p>
    <w:p>
      <w:pPr>
        <w:spacing w:line="460" w:lineRule="exact"/>
        <w:rPr>
          <w:rFonts w:eastAsia="方正仿宋_GBK"/>
          <w:color w:val="000000"/>
          <w:spacing w:val="-2"/>
          <w:sz w:val="24"/>
        </w:rPr>
      </w:pPr>
    </w:p>
    <w:p>
      <w:pPr>
        <w:spacing w:line="460" w:lineRule="exact"/>
        <w:ind w:firstLine="412" w:firstLineChars="200"/>
        <w:outlineLvl w:val="0"/>
      </w:pPr>
    </w:p>
    <w:p>
      <w:pPr>
        <w:spacing w:line="460" w:lineRule="exact"/>
        <w:ind w:firstLine="412" w:firstLineChars="200"/>
        <w:outlineLvl w:val="0"/>
      </w:pPr>
    </w:p>
    <w:p/>
    <w:p/>
    <w:p/>
    <w:p/>
    <w:p/>
    <w:p/>
    <w:p/>
    <w:p/>
    <w:p/>
    <w:p/>
    <w:p>
      <w:pPr>
        <w:pStyle w:val="2"/>
        <w:spacing w:before="590" w:beforeLines="100" w:after="590" w:afterLines="100" w:line="240" w:lineRule="auto"/>
        <w:jc w:val="center"/>
        <w:rPr>
          <w:rFonts w:ascii="Times New Roman" w:eastAsia="方正小标宋_GBK"/>
          <w:b w:val="0"/>
          <w:sz w:val="36"/>
          <w:szCs w:val="36"/>
        </w:rPr>
      </w:pPr>
      <w:bookmarkStart w:id="741" w:name="_Toc18315841"/>
      <w:bookmarkStart w:id="742" w:name="_Toc20726704"/>
      <w:r>
        <w:rPr>
          <w:rFonts w:hint="eastAsia" w:ascii="Times New Roman" w:eastAsia="方正小标宋_GBK"/>
          <w:b w:val="0"/>
          <w:sz w:val="36"/>
          <w:szCs w:val="36"/>
        </w:rPr>
        <w:t>省住房城乡建设厅关于做好全省建设工程电子档案编报工作的通知</w:t>
      </w:r>
      <w:bookmarkEnd w:id="741"/>
      <w:bookmarkEnd w:id="742"/>
    </w:p>
    <w:p>
      <w:pPr>
        <w:pStyle w:val="3"/>
        <w:spacing w:before="590" w:beforeLines="100" w:after="590" w:afterLines="100" w:line="240" w:lineRule="auto"/>
        <w:jc w:val="center"/>
        <w:rPr>
          <w:rFonts w:hint="eastAsia" w:ascii="Times New Roman" w:hAnsi="Times New Roman" w:eastAsia="方正楷体_GBK"/>
          <w:b w:val="0"/>
          <w:sz w:val="24"/>
          <w:szCs w:val="24"/>
        </w:rPr>
      </w:pPr>
      <w:bookmarkStart w:id="743" w:name="_Toc20726705"/>
      <w:bookmarkStart w:id="744" w:name="_Toc18315842"/>
      <w:r>
        <w:rPr>
          <w:rFonts w:hint="eastAsia" w:ascii="Times New Roman" w:hAnsi="Times New Roman" w:eastAsia="方正楷体_GBK"/>
          <w:b w:val="0"/>
          <w:sz w:val="24"/>
          <w:szCs w:val="24"/>
        </w:rPr>
        <w:t>苏建函档〔</w:t>
      </w:r>
      <w:r>
        <w:rPr>
          <w:rFonts w:ascii="Times New Roman" w:hAnsi="Times New Roman" w:eastAsia="方正楷体_GBK"/>
          <w:b w:val="0"/>
          <w:sz w:val="24"/>
          <w:szCs w:val="24"/>
        </w:rPr>
        <w:t>2013</w:t>
      </w:r>
      <w:r>
        <w:rPr>
          <w:rFonts w:hint="eastAsia" w:ascii="Times New Roman" w:hAnsi="Times New Roman" w:eastAsia="方正楷体_GBK"/>
          <w:b w:val="0"/>
          <w:sz w:val="24"/>
          <w:szCs w:val="24"/>
        </w:rPr>
        <w:t>〕</w:t>
      </w:r>
      <w:r>
        <w:rPr>
          <w:rFonts w:ascii="Times New Roman" w:hAnsi="Times New Roman" w:eastAsia="方正楷体_GBK"/>
          <w:b w:val="0"/>
          <w:sz w:val="24"/>
          <w:szCs w:val="24"/>
        </w:rPr>
        <w:t>81</w:t>
      </w:r>
      <w:r>
        <w:rPr>
          <w:rFonts w:hint="eastAsia" w:ascii="Times New Roman" w:hAnsi="Times New Roman" w:eastAsia="方正楷体_GBK"/>
          <w:b w:val="0"/>
          <w:sz w:val="24"/>
          <w:szCs w:val="24"/>
        </w:rPr>
        <w:t>号</w:t>
      </w:r>
      <w:bookmarkEnd w:id="743"/>
      <w:bookmarkEnd w:id="744"/>
    </w:p>
    <w:p>
      <w:pPr>
        <w:spacing w:line="360" w:lineRule="exact"/>
        <w:rPr>
          <w:rFonts w:eastAsia="方正仿宋_GBK"/>
          <w:color w:val="000000"/>
          <w:spacing w:val="-2"/>
          <w:sz w:val="24"/>
        </w:rPr>
      </w:pPr>
      <w:r>
        <w:rPr>
          <w:rFonts w:hint="eastAsia" w:eastAsia="方正仿宋_GBK"/>
          <w:color w:val="000000"/>
          <w:spacing w:val="-2"/>
          <w:sz w:val="24"/>
        </w:rPr>
        <w:t>各省辖市建设局（委）、规划局，昆山市、泰兴市、沭阳县建设局，各相关单位：</w:t>
      </w:r>
    </w:p>
    <w:p>
      <w:pPr>
        <w:spacing w:line="360" w:lineRule="exact"/>
        <w:ind w:firstLine="464" w:firstLineChars="200"/>
        <w:rPr>
          <w:rFonts w:eastAsia="方正仿宋_GBK"/>
          <w:color w:val="000000"/>
          <w:spacing w:val="-2"/>
          <w:sz w:val="24"/>
        </w:rPr>
      </w:pPr>
      <w:r>
        <w:rPr>
          <w:rFonts w:hint="eastAsia" w:eastAsia="方正仿宋_GBK"/>
          <w:color w:val="000000"/>
          <w:spacing w:val="-2"/>
          <w:sz w:val="24"/>
        </w:rPr>
        <w:t>为进一步贯彻落实《江苏省城建档案信息化建设纲要（</w:t>
      </w:r>
      <w:r>
        <w:rPr>
          <w:rFonts w:eastAsia="方正仿宋_GBK"/>
          <w:color w:val="000000"/>
          <w:spacing w:val="-2"/>
          <w:sz w:val="24"/>
        </w:rPr>
        <w:t>2008-2015</w:t>
      </w:r>
      <w:r>
        <w:rPr>
          <w:rFonts w:hint="eastAsia" w:eastAsia="方正仿宋_GBK"/>
          <w:color w:val="000000"/>
          <w:spacing w:val="-2"/>
          <w:sz w:val="24"/>
        </w:rPr>
        <w:t>）》，切实提高全省建设工程档案信息化建设与管理水平，经研究决定，在全省组织开展建设工程电子档案编报工作。现将有关事项通知如下：</w:t>
      </w:r>
    </w:p>
    <w:p>
      <w:pPr>
        <w:pStyle w:val="30"/>
        <w:spacing w:line="360" w:lineRule="exact"/>
        <w:ind w:left="28" w:leftChars="14" w:firstLine="462"/>
        <w:rPr>
          <w:rFonts w:eastAsia="方正仿宋_GBK"/>
          <w:color w:val="000000"/>
          <w:spacing w:val="-2"/>
          <w:sz w:val="24"/>
        </w:rPr>
      </w:pPr>
      <w:r>
        <w:rPr>
          <w:rFonts w:hint="eastAsia" w:eastAsia="方正仿宋_GBK"/>
          <w:color w:val="000000"/>
          <w:spacing w:val="-2"/>
          <w:sz w:val="24"/>
        </w:rPr>
        <w:t>一、凡</w:t>
      </w:r>
      <w:r>
        <w:rPr>
          <w:rFonts w:eastAsia="方正仿宋_GBK"/>
          <w:color w:val="000000"/>
          <w:spacing w:val="-2"/>
          <w:sz w:val="24"/>
        </w:rPr>
        <w:t>2013</w:t>
      </w:r>
      <w:r>
        <w:rPr>
          <w:rFonts w:hint="eastAsia" w:eastAsia="方正仿宋_GBK"/>
          <w:color w:val="000000"/>
          <w:spacing w:val="-2"/>
          <w:sz w:val="24"/>
        </w:rPr>
        <w:t>年</w:t>
      </w:r>
      <w:r>
        <w:rPr>
          <w:rFonts w:eastAsia="方正仿宋_GBK"/>
          <w:color w:val="000000"/>
          <w:spacing w:val="-2"/>
          <w:sz w:val="24"/>
        </w:rPr>
        <w:t>1</w:t>
      </w:r>
      <w:r>
        <w:rPr>
          <w:rFonts w:hint="eastAsia" w:eastAsia="方正仿宋_GBK"/>
          <w:color w:val="000000"/>
          <w:spacing w:val="-2"/>
          <w:sz w:val="24"/>
        </w:rPr>
        <w:t>月</w:t>
      </w:r>
      <w:r>
        <w:rPr>
          <w:rFonts w:eastAsia="方正仿宋_GBK"/>
          <w:color w:val="000000"/>
          <w:spacing w:val="-2"/>
          <w:sz w:val="24"/>
        </w:rPr>
        <w:t>1</w:t>
      </w:r>
      <w:r>
        <w:rPr>
          <w:rFonts w:hint="eastAsia" w:eastAsia="方正仿宋_GBK"/>
          <w:color w:val="000000"/>
          <w:spacing w:val="-2"/>
          <w:sz w:val="24"/>
        </w:rPr>
        <w:t>日以后开工建设的工程，均应建立建设工程电子档案。档案资料编报要按照《建设电子文件与电子档案管理规范》（</w:t>
      </w:r>
      <w:r>
        <w:rPr>
          <w:rFonts w:eastAsia="方正仿宋_GBK"/>
          <w:color w:val="000000"/>
          <w:spacing w:val="-2"/>
          <w:sz w:val="24"/>
        </w:rPr>
        <w:t>CJJ/T117-2007</w:t>
      </w:r>
      <w:r>
        <w:rPr>
          <w:rFonts w:hint="eastAsia" w:eastAsia="方正仿宋_GBK"/>
          <w:color w:val="000000"/>
          <w:spacing w:val="-2"/>
          <w:sz w:val="24"/>
        </w:rPr>
        <w:t>）和《房屋建筑和市政基础设施工程档案资料管理规范》（</w:t>
      </w:r>
      <w:r>
        <w:rPr>
          <w:rFonts w:eastAsia="方正仿宋_GBK"/>
          <w:color w:val="000000"/>
          <w:spacing w:val="-2"/>
          <w:sz w:val="24"/>
        </w:rPr>
        <w:t>DGJ/TJ143-2012</w:t>
      </w:r>
      <w:r>
        <w:rPr>
          <w:rFonts w:hint="eastAsia" w:eastAsia="方正仿宋_GBK"/>
          <w:color w:val="000000"/>
          <w:spacing w:val="-2"/>
          <w:sz w:val="24"/>
        </w:rPr>
        <w:t>）执行。</w:t>
      </w:r>
    </w:p>
    <w:p>
      <w:pPr>
        <w:spacing w:line="360" w:lineRule="exact"/>
        <w:ind w:firstLine="464" w:firstLineChars="200"/>
        <w:rPr>
          <w:rFonts w:eastAsia="方正仿宋_GBK"/>
          <w:color w:val="000000"/>
          <w:spacing w:val="-2"/>
          <w:sz w:val="24"/>
        </w:rPr>
      </w:pPr>
      <w:r>
        <w:rPr>
          <w:rFonts w:hint="eastAsia" w:eastAsia="方正仿宋_GBK"/>
          <w:color w:val="000000"/>
          <w:spacing w:val="-2"/>
          <w:sz w:val="24"/>
        </w:rPr>
        <w:t>二、建设工程参建各方为建设工程电子档案编报主体。各单位要积极组织本单位质量员、城建档案管理员、资料员和相关业务人员参加相关规范专题培训，确保电子档案的建立与编报符合相关要求。</w:t>
      </w:r>
    </w:p>
    <w:p>
      <w:pPr>
        <w:spacing w:line="360" w:lineRule="exact"/>
        <w:ind w:firstLine="464" w:firstLineChars="200"/>
        <w:rPr>
          <w:rFonts w:eastAsia="方正仿宋_GBK"/>
          <w:color w:val="000000"/>
          <w:spacing w:val="-2"/>
          <w:sz w:val="24"/>
        </w:rPr>
      </w:pPr>
      <w:r>
        <w:rPr>
          <w:rFonts w:hint="eastAsia" w:eastAsia="方正仿宋_GBK"/>
          <w:color w:val="000000"/>
          <w:spacing w:val="-2"/>
          <w:sz w:val="24"/>
        </w:rPr>
        <w:t>三、建设工程电子档案编报通过</w:t>
      </w:r>
      <w:r>
        <w:rPr>
          <w:rFonts w:eastAsia="方正仿宋_GBK"/>
          <w:color w:val="000000"/>
          <w:spacing w:val="-2"/>
          <w:sz w:val="24"/>
        </w:rPr>
        <w:t>“</w:t>
      </w:r>
      <w:r>
        <w:rPr>
          <w:rFonts w:hint="eastAsia" w:eastAsia="方正仿宋_GBK"/>
          <w:color w:val="000000"/>
          <w:spacing w:val="-2"/>
          <w:sz w:val="24"/>
        </w:rPr>
        <w:t>江苏省工程档案资料管理系统</w:t>
      </w:r>
      <w:r>
        <w:rPr>
          <w:rFonts w:eastAsia="方正仿宋_GBK"/>
          <w:color w:val="000000"/>
          <w:spacing w:val="-2"/>
          <w:sz w:val="24"/>
        </w:rPr>
        <w:t>”</w:t>
      </w:r>
      <w:r>
        <w:rPr>
          <w:rFonts w:hint="eastAsia" w:eastAsia="方正仿宋_GBK"/>
          <w:color w:val="000000"/>
          <w:spacing w:val="-2"/>
          <w:sz w:val="24"/>
        </w:rPr>
        <w:t>（</w:t>
      </w:r>
      <w:r>
        <w:rPr>
          <w:rFonts w:eastAsia="方正仿宋_GBK"/>
          <w:color w:val="000000"/>
          <w:spacing w:val="-2"/>
          <w:sz w:val="24"/>
        </w:rPr>
        <w:t>www.jsgcda.com</w:t>
      </w:r>
      <w:r>
        <w:rPr>
          <w:rFonts w:hint="eastAsia" w:eastAsia="方正仿宋_GBK"/>
          <w:color w:val="000000"/>
          <w:spacing w:val="-2"/>
          <w:sz w:val="24"/>
        </w:rPr>
        <w:t>）进行。建设工程参建各方要准确填写建设工程档案信息。建设单位通过</w:t>
      </w:r>
      <w:r>
        <w:rPr>
          <w:rFonts w:eastAsia="方正仿宋_GBK"/>
          <w:color w:val="000000"/>
          <w:spacing w:val="-2"/>
          <w:sz w:val="24"/>
        </w:rPr>
        <w:t>“</w:t>
      </w:r>
      <w:r>
        <w:rPr>
          <w:rFonts w:hint="eastAsia" w:eastAsia="方正仿宋_GBK"/>
          <w:color w:val="000000"/>
          <w:spacing w:val="-2"/>
          <w:sz w:val="24"/>
        </w:rPr>
        <w:t>江苏省工程档案资料管理系统</w:t>
      </w:r>
      <w:r>
        <w:rPr>
          <w:rFonts w:eastAsia="方正仿宋_GBK"/>
          <w:color w:val="000000"/>
          <w:spacing w:val="-2"/>
          <w:sz w:val="24"/>
        </w:rPr>
        <w:t>”</w:t>
      </w:r>
      <w:r>
        <w:rPr>
          <w:rFonts w:hint="eastAsia" w:eastAsia="方正仿宋_GBK"/>
          <w:color w:val="000000"/>
          <w:spacing w:val="-2"/>
          <w:sz w:val="24"/>
        </w:rPr>
        <w:t>申报电子档案验收。</w:t>
      </w:r>
    </w:p>
    <w:p>
      <w:pPr>
        <w:spacing w:line="360" w:lineRule="exact"/>
        <w:ind w:firstLine="464" w:firstLineChars="200"/>
        <w:rPr>
          <w:rFonts w:eastAsia="方正仿宋_GBK"/>
          <w:color w:val="000000"/>
          <w:spacing w:val="-2"/>
          <w:sz w:val="24"/>
        </w:rPr>
      </w:pPr>
      <w:r>
        <w:rPr>
          <w:rFonts w:hint="eastAsia" w:eastAsia="方正仿宋_GBK"/>
          <w:color w:val="000000"/>
          <w:spacing w:val="-2"/>
          <w:sz w:val="24"/>
        </w:rPr>
        <w:t>四、工程质量监督机构要加强对建设工程电子档案编报工作的监督。对档案建立过程中违反要求或弄虚作假的，予以督促整改；对未建立电子档案或未按要求整理工程档案资料的，不得出具建设工程质量监督报告。</w:t>
      </w:r>
    </w:p>
    <w:p>
      <w:pPr>
        <w:spacing w:line="360" w:lineRule="exact"/>
        <w:ind w:firstLine="464" w:firstLineChars="200"/>
        <w:rPr>
          <w:rFonts w:eastAsia="方正仿宋_GBK"/>
          <w:color w:val="000000"/>
          <w:spacing w:val="-2"/>
          <w:sz w:val="24"/>
        </w:rPr>
      </w:pPr>
      <w:r>
        <w:rPr>
          <w:rFonts w:hint="eastAsia" w:eastAsia="方正仿宋_GBK"/>
          <w:color w:val="000000"/>
          <w:spacing w:val="-2"/>
          <w:sz w:val="24"/>
        </w:rPr>
        <w:t>五、城建档案管理机构要做好建设工程电子档案编报宣贯、业务指导和预验收工作，并牵头组织</w:t>
      </w:r>
      <w:r>
        <w:rPr>
          <w:rFonts w:eastAsia="方正仿宋_GBK"/>
          <w:color w:val="000000"/>
          <w:spacing w:val="-2"/>
          <w:sz w:val="24"/>
        </w:rPr>
        <w:t>“</w:t>
      </w:r>
      <w:r>
        <w:rPr>
          <w:rFonts w:hint="eastAsia" w:eastAsia="方正仿宋_GBK"/>
          <w:color w:val="000000"/>
          <w:spacing w:val="-2"/>
          <w:sz w:val="24"/>
        </w:rPr>
        <w:t>江苏省工程档案资料管理系统</w:t>
      </w:r>
      <w:r>
        <w:rPr>
          <w:rFonts w:eastAsia="方正仿宋_GBK"/>
          <w:color w:val="000000"/>
          <w:spacing w:val="-2"/>
          <w:sz w:val="24"/>
        </w:rPr>
        <w:t>”</w:t>
      </w:r>
      <w:r>
        <w:rPr>
          <w:rFonts w:hint="eastAsia" w:eastAsia="方正仿宋_GBK"/>
          <w:color w:val="000000"/>
          <w:spacing w:val="-2"/>
          <w:sz w:val="24"/>
        </w:rPr>
        <w:t>维护工作。对未按规定建立电子档案资料或不符合规范要求的，应监督整改；对未建立电子档案或档案资料不符合要求的，不得出具建设工程档案验收意见，不予通过建设工程档案验收。</w:t>
      </w:r>
    </w:p>
    <w:p>
      <w:pPr>
        <w:spacing w:line="360" w:lineRule="exact"/>
        <w:ind w:firstLine="464" w:firstLineChars="200"/>
        <w:rPr>
          <w:rFonts w:eastAsia="方正仿宋_GBK"/>
          <w:color w:val="000000"/>
          <w:spacing w:val="-2"/>
          <w:sz w:val="24"/>
        </w:rPr>
      </w:pPr>
      <w:r>
        <w:rPr>
          <w:rFonts w:hint="eastAsia" w:eastAsia="方正仿宋_GBK"/>
          <w:color w:val="000000"/>
          <w:spacing w:val="-2"/>
          <w:sz w:val="24"/>
        </w:rPr>
        <w:t>六、原江苏省建设厅《关于统一使用</w:t>
      </w:r>
      <w:r>
        <w:rPr>
          <w:rFonts w:eastAsia="方正仿宋_GBK"/>
          <w:color w:val="000000"/>
          <w:spacing w:val="-2"/>
          <w:sz w:val="24"/>
        </w:rPr>
        <w:t>&lt;</w:t>
      </w:r>
      <w:r>
        <w:rPr>
          <w:rFonts w:hint="eastAsia" w:eastAsia="方正仿宋_GBK"/>
          <w:color w:val="000000"/>
          <w:spacing w:val="-2"/>
          <w:sz w:val="24"/>
        </w:rPr>
        <w:t>建筑工程施工质量验收资料</w:t>
      </w:r>
      <w:r>
        <w:rPr>
          <w:rFonts w:eastAsia="方正仿宋_GBK"/>
          <w:color w:val="000000"/>
          <w:spacing w:val="-2"/>
          <w:sz w:val="24"/>
        </w:rPr>
        <w:t>&gt;</w:t>
      </w:r>
      <w:r>
        <w:rPr>
          <w:rFonts w:hint="eastAsia" w:eastAsia="方正仿宋_GBK"/>
          <w:color w:val="000000"/>
          <w:spacing w:val="-2"/>
          <w:sz w:val="24"/>
        </w:rPr>
        <w:t>的通知》（苏建质〔</w:t>
      </w:r>
      <w:r>
        <w:rPr>
          <w:rFonts w:eastAsia="方正仿宋_GBK"/>
          <w:color w:val="000000"/>
          <w:spacing w:val="-2"/>
          <w:sz w:val="24"/>
        </w:rPr>
        <w:t>2002</w:t>
      </w:r>
      <w:r>
        <w:rPr>
          <w:rFonts w:hint="eastAsia" w:eastAsia="方正仿宋_GBK"/>
          <w:color w:val="000000"/>
          <w:spacing w:val="-2"/>
          <w:sz w:val="24"/>
        </w:rPr>
        <w:t>〕</w:t>
      </w:r>
      <w:r>
        <w:rPr>
          <w:rFonts w:eastAsia="方正仿宋_GBK"/>
          <w:color w:val="000000"/>
          <w:spacing w:val="-2"/>
          <w:sz w:val="24"/>
        </w:rPr>
        <w:t>332</w:t>
      </w:r>
      <w:r>
        <w:rPr>
          <w:rFonts w:hint="eastAsia" w:eastAsia="方正仿宋_GBK"/>
          <w:color w:val="000000"/>
          <w:spacing w:val="-2"/>
          <w:sz w:val="24"/>
        </w:rPr>
        <w:t>号）和原江苏省建设厅《关于统一使用</w:t>
      </w:r>
      <w:r>
        <w:rPr>
          <w:rFonts w:eastAsia="方正仿宋_GBK"/>
          <w:color w:val="000000"/>
          <w:spacing w:val="-2"/>
          <w:sz w:val="24"/>
        </w:rPr>
        <w:t>&lt;</w:t>
      </w:r>
      <w:r>
        <w:rPr>
          <w:rFonts w:hint="eastAsia" w:eastAsia="方正仿宋_GBK"/>
          <w:color w:val="000000"/>
          <w:spacing w:val="-2"/>
          <w:sz w:val="24"/>
        </w:rPr>
        <w:t>建筑节能工程质量验收资料</w:t>
      </w:r>
      <w:r>
        <w:rPr>
          <w:rFonts w:eastAsia="方正仿宋_GBK"/>
          <w:color w:val="000000"/>
          <w:spacing w:val="-2"/>
          <w:sz w:val="24"/>
        </w:rPr>
        <w:t>&gt;</w:t>
      </w:r>
      <w:r>
        <w:rPr>
          <w:rFonts w:hint="eastAsia" w:eastAsia="方正仿宋_GBK"/>
          <w:color w:val="000000"/>
          <w:spacing w:val="-2"/>
          <w:sz w:val="24"/>
        </w:rPr>
        <w:t>的通知》（苏建质〔</w:t>
      </w:r>
      <w:r>
        <w:rPr>
          <w:rFonts w:eastAsia="方正仿宋_GBK"/>
          <w:color w:val="000000"/>
          <w:spacing w:val="-2"/>
          <w:sz w:val="24"/>
        </w:rPr>
        <w:t>2007</w:t>
      </w:r>
      <w:r>
        <w:rPr>
          <w:rFonts w:hint="eastAsia" w:eastAsia="方正仿宋_GBK"/>
          <w:color w:val="000000"/>
          <w:spacing w:val="-2"/>
          <w:sz w:val="24"/>
        </w:rPr>
        <w:t>〕</w:t>
      </w:r>
      <w:r>
        <w:rPr>
          <w:rFonts w:eastAsia="方正仿宋_GBK"/>
          <w:color w:val="000000"/>
          <w:spacing w:val="-2"/>
          <w:sz w:val="24"/>
        </w:rPr>
        <w:t>371</w:t>
      </w:r>
      <w:r>
        <w:rPr>
          <w:rFonts w:hint="eastAsia" w:eastAsia="方正仿宋_GBK"/>
          <w:color w:val="000000"/>
          <w:spacing w:val="-2"/>
          <w:sz w:val="24"/>
        </w:rPr>
        <w:t>号）同时作废。</w:t>
      </w:r>
    </w:p>
    <w:p>
      <w:pPr>
        <w:spacing w:line="360" w:lineRule="exact"/>
        <w:ind w:right="409" w:rightChars="199"/>
        <w:jc w:val="right"/>
        <w:rPr>
          <w:rFonts w:eastAsia="方正仿宋_GBK"/>
          <w:color w:val="000000"/>
          <w:spacing w:val="-2"/>
          <w:sz w:val="24"/>
        </w:rPr>
      </w:pPr>
      <w:r>
        <w:rPr>
          <w:rFonts w:hint="eastAsia" w:eastAsia="方正仿宋_GBK"/>
          <w:color w:val="000000"/>
          <w:spacing w:val="-2"/>
          <w:sz w:val="24"/>
        </w:rPr>
        <w:t>江苏省住房和城乡建设厅</w:t>
      </w:r>
      <w:r>
        <w:rPr>
          <w:rFonts w:eastAsia="方正仿宋_GBK"/>
          <w:color w:val="000000"/>
          <w:spacing w:val="-2"/>
          <w:sz w:val="24"/>
        </w:rPr>
        <w:t xml:space="preserve">    </w:t>
      </w:r>
    </w:p>
    <w:p>
      <w:pPr>
        <w:spacing w:line="360" w:lineRule="exact"/>
        <w:ind w:firstLine="6032" w:firstLineChars="2600"/>
        <w:rPr>
          <w:rFonts w:eastAsia="方正仿宋_GBK"/>
          <w:color w:val="000000"/>
          <w:spacing w:val="-2"/>
          <w:sz w:val="24"/>
        </w:rPr>
      </w:pPr>
      <w:r>
        <w:rPr>
          <w:rFonts w:eastAsia="方正仿宋_GBK"/>
          <w:color w:val="000000"/>
          <w:spacing w:val="-2"/>
          <w:sz w:val="24"/>
        </w:rPr>
        <w:t>2013</w:t>
      </w:r>
      <w:r>
        <w:rPr>
          <w:rFonts w:hint="eastAsia" w:eastAsia="方正仿宋_GBK"/>
          <w:color w:val="000000"/>
          <w:spacing w:val="-2"/>
          <w:sz w:val="24"/>
        </w:rPr>
        <w:t>年</w:t>
      </w:r>
      <w:r>
        <w:rPr>
          <w:rFonts w:eastAsia="方正仿宋_GBK"/>
          <w:color w:val="000000"/>
          <w:spacing w:val="-2"/>
          <w:sz w:val="24"/>
        </w:rPr>
        <w:t>2</w:t>
      </w:r>
      <w:r>
        <w:rPr>
          <w:rFonts w:hint="eastAsia" w:eastAsia="方正仿宋_GBK"/>
          <w:color w:val="000000"/>
          <w:spacing w:val="-2"/>
          <w:sz w:val="24"/>
        </w:rPr>
        <w:t>月</w:t>
      </w:r>
      <w:r>
        <w:rPr>
          <w:rFonts w:eastAsia="方正仿宋_GBK"/>
          <w:color w:val="000000"/>
          <w:spacing w:val="-2"/>
          <w:sz w:val="24"/>
        </w:rPr>
        <w:t>4</w:t>
      </w:r>
      <w:r>
        <w:rPr>
          <w:rFonts w:hint="eastAsia" w:eastAsia="方正仿宋_GBK"/>
          <w:color w:val="000000"/>
          <w:spacing w:val="-2"/>
          <w:sz w:val="24"/>
        </w:rPr>
        <w:t>日</w:t>
      </w:r>
      <w:r>
        <w:rPr>
          <w:rFonts w:eastAsia="方正仿宋_GBK"/>
          <w:color w:val="000000"/>
          <w:spacing w:val="-2"/>
          <w:sz w:val="24"/>
        </w:rPr>
        <w:t xml:space="preserve">   </w:t>
      </w:r>
    </w:p>
    <w:p>
      <w:pPr>
        <w:rPr>
          <w:color w:val="000000"/>
          <w:spacing w:val="-2"/>
          <w:sz w:val="32"/>
          <w:szCs w:val="32"/>
        </w:rPr>
      </w:pPr>
    </w:p>
    <w:p/>
    <w:p/>
    <w:p/>
    <w:p/>
    <w:p/>
    <w:p/>
    <w:p>
      <w:pPr>
        <w:pStyle w:val="2"/>
        <w:spacing w:before="590" w:beforeLines="100" w:after="590" w:afterLines="100" w:line="240" w:lineRule="auto"/>
        <w:jc w:val="center"/>
        <w:rPr>
          <w:rFonts w:ascii="Times New Roman" w:eastAsia="方正小标宋_GBK"/>
          <w:b w:val="0"/>
          <w:sz w:val="36"/>
          <w:szCs w:val="36"/>
        </w:rPr>
      </w:pPr>
      <w:bookmarkStart w:id="745" w:name="_Toc18315756"/>
      <w:bookmarkStart w:id="746" w:name="_Toc20726615"/>
      <w:r>
        <w:rPr>
          <w:rFonts w:hint="eastAsia" w:ascii="Times New Roman" w:eastAsia="方正小标宋_GBK"/>
          <w:b w:val="0"/>
          <w:sz w:val="36"/>
          <w:szCs w:val="36"/>
        </w:rPr>
        <w:t>关于改变我省建设工程质量见证取样检测委托方有关事项的通知</w:t>
      </w:r>
      <w:bookmarkEnd w:id="745"/>
      <w:bookmarkEnd w:id="746"/>
    </w:p>
    <w:p>
      <w:pPr>
        <w:pStyle w:val="3"/>
        <w:spacing w:before="590" w:beforeLines="100" w:after="590" w:afterLines="100" w:line="240" w:lineRule="auto"/>
        <w:jc w:val="center"/>
        <w:rPr>
          <w:rFonts w:hint="eastAsia" w:ascii="Times New Roman" w:hAnsi="Times New Roman" w:eastAsia="方正楷体_GBK"/>
          <w:b w:val="0"/>
          <w:sz w:val="24"/>
          <w:szCs w:val="24"/>
        </w:rPr>
      </w:pPr>
      <w:bookmarkStart w:id="747" w:name="_Toc20726616"/>
      <w:bookmarkStart w:id="748" w:name="_Toc18315757"/>
      <w:r>
        <w:rPr>
          <w:rFonts w:hint="eastAsia" w:ascii="Times New Roman" w:hAnsi="Times New Roman" w:eastAsia="方正楷体_GBK"/>
          <w:b w:val="0"/>
          <w:sz w:val="24"/>
          <w:szCs w:val="24"/>
        </w:rPr>
        <w:t>苏建质〔</w:t>
      </w:r>
      <w:r>
        <w:rPr>
          <w:rFonts w:ascii="Times New Roman" w:hAnsi="Times New Roman" w:eastAsia="方正楷体_GBK"/>
          <w:b w:val="0"/>
          <w:sz w:val="24"/>
          <w:szCs w:val="24"/>
        </w:rPr>
        <w:t>2004</w:t>
      </w:r>
      <w:r>
        <w:rPr>
          <w:rFonts w:hint="eastAsia" w:ascii="Times New Roman" w:hAnsi="Times New Roman" w:eastAsia="方正楷体_GBK"/>
          <w:b w:val="0"/>
          <w:sz w:val="24"/>
          <w:szCs w:val="24"/>
        </w:rPr>
        <w:t>〕</w:t>
      </w:r>
      <w:r>
        <w:rPr>
          <w:rFonts w:ascii="Times New Roman" w:hAnsi="Times New Roman" w:eastAsia="方正楷体_GBK"/>
          <w:b w:val="0"/>
          <w:sz w:val="24"/>
          <w:szCs w:val="24"/>
        </w:rPr>
        <w:t>372</w:t>
      </w:r>
      <w:r>
        <w:rPr>
          <w:rFonts w:hint="eastAsia" w:ascii="Times New Roman" w:hAnsi="Times New Roman" w:eastAsia="方正楷体_GBK"/>
          <w:b w:val="0"/>
          <w:sz w:val="24"/>
          <w:szCs w:val="24"/>
        </w:rPr>
        <w:t>号</w:t>
      </w:r>
      <w:bookmarkEnd w:id="747"/>
      <w:bookmarkEnd w:id="748"/>
    </w:p>
    <w:p>
      <w:pPr>
        <w:spacing w:line="460" w:lineRule="exact"/>
        <w:rPr>
          <w:rFonts w:eastAsia="方正仿宋_GBK"/>
          <w:color w:val="000000"/>
          <w:spacing w:val="-2"/>
          <w:kern w:val="0"/>
          <w:sz w:val="24"/>
        </w:rPr>
      </w:pPr>
      <w:r>
        <w:rPr>
          <w:rFonts w:hint="eastAsia" w:eastAsia="方正仿宋_GBK"/>
          <w:color w:val="000000"/>
          <w:spacing w:val="-2"/>
          <w:kern w:val="0"/>
          <w:sz w:val="24"/>
        </w:rPr>
        <w:t>各省辖市建委（建工局）、建设局：</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根据我厅《关于进一步加强我省建设工程质量检测管理的若干意见》苏建质（</w:t>
      </w:r>
      <w:r>
        <w:rPr>
          <w:rFonts w:eastAsia="方正仿宋_GBK"/>
          <w:color w:val="000000"/>
          <w:spacing w:val="-2"/>
          <w:kern w:val="0"/>
          <w:sz w:val="24"/>
        </w:rPr>
        <w:t>2004</w:t>
      </w:r>
      <w:r>
        <w:rPr>
          <w:rFonts w:hint="eastAsia" w:eastAsia="方正仿宋_GBK"/>
          <w:color w:val="000000"/>
          <w:spacing w:val="-2"/>
          <w:kern w:val="0"/>
          <w:sz w:val="24"/>
        </w:rPr>
        <w:t>）</w:t>
      </w:r>
      <w:r>
        <w:rPr>
          <w:rFonts w:eastAsia="方正仿宋_GBK"/>
          <w:color w:val="000000"/>
          <w:spacing w:val="-2"/>
          <w:kern w:val="0"/>
          <w:sz w:val="24"/>
        </w:rPr>
        <w:t>318</w:t>
      </w:r>
      <w:r>
        <w:rPr>
          <w:rFonts w:hint="eastAsia" w:eastAsia="方正仿宋_GBK"/>
          <w:color w:val="000000"/>
          <w:spacing w:val="-2"/>
          <w:kern w:val="0"/>
          <w:sz w:val="24"/>
        </w:rPr>
        <w:t>号精神，经研究，特就改变我省建设工程质量见证取样检测委托方有关事项通知如下：</w:t>
      </w:r>
    </w:p>
    <w:p>
      <w:pPr>
        <w:spacing w:line="460" w:lineRule="exact"/>
        <w:ind w:firstLine="464" w:firstLineChars="200"/>
        <w:rPr>
          <w:rFonts w:eastAsia="方正黑体_GBK"/>
          <w:color w:val="000000"/>
          <w:spacing w:val="-2"/>
          <w:kern w:val="0"/>
          <w:sz w:val="24"/>
        </w:rPr>
      </w:pPr>
      <w:r>
        <w:rPr>
          <w:rFonts w:hint="eastAsia" w:eastAsia="方正黑体_GBK"/>
          <w:color w:val="000000"/>
          <w:spacing w:val="-2"/>
          <w:kern w:val="0"/>
          <w:sz w:val="24"/>
        </w:rPr>
        <w:t>一、工程质量见证取样检测的委托</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从</w:t>
      </w:r>
      <w:r>
        <w:rPr>
          <w:rFonts w:eastAsia="方正仿宋_GBK"/>
          <w:color w:val="000000"/>
          <w:spacing w:val="-2"/>
          <w:kern w:val="0"/>
          <w:sz w:val="24"/>
        </w:rPr>
        <w:t>2004</w:t>
      </w:r>
      <w:r>
        <w:rPr>
          <w:rFonts w:hint="eastAsia" w:eastAsia="方正仿宋_GBK"/>
          <w:color w:val="000000"/>
          <w:spacing w:val="-2"/>
          <w:kern w:val="0"/>
          <w:sz w:val="24"/>
        </w:rPr>
        <w:t>年</w:t>
      </w:r>
      <w:r>
        <w:rPr>
          <w:rFonts w:eastAsia="方正仿宋_GBK"/>
          <w:color w:val="000000"/>
          <w:spacing w:val="-2"/>
          <w:kern w:val="0"/>
          <w:sz w:val="24"/>
        </w:rPr>
        <w:t>12</w:t>
      </w:r>
      <w:r>
        <w:rPr>
          <w:rFonts w:hint="eastAsia" w:eastAsia="方正仿宋_GBK"/>
          <w:color w:val="000000"/>
          <w:spacing w:val="-2"/>
          <w:kern w:val="0"/>
          <w:sz w:val="24"/>
        </w:rPr>
        <w:t>月</w:t>
      </w:r>
      <w:r>
        <w:rPr>
          <w:rFonts w:eastAsia="方正仿宋_GBK"/>
          <w:color w:val="000000"/>
          <w:spacing w:val="-2"/>
          <w:kern w:val="0"/>
          <w:sz w:val="24"/>
        </w:rPr>
        <w:t>1</w:t>
      </w:r>
      <w:r>
        <w:rPr>
          <w:rFonts w:hint="eastAsia" w:eastAsia="方正仿宋_GBK"/>
          <w:color w:val="000000"/>
          <w:spacing w:val="-2"/>
          <w:kern w:val="0"/>
          <w:sz w:val="24"/>
        </w:rPr>
        <w:t>日起，我省新开工项目的建设工程质量见证取样检测，一律由建设单位直接委托工程质量检测机构进行。</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建设单位委托工程质量检测机构进行工程质量见证取样检测应依据以下原则：</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1</w:t>
      </w:r>
      <w:r>
        <w:rPr>
          <w:rFonts w:hint="eastAsia" w:eastAsia="方正仿宋_GBK"/>
          <w:color w:val="000000"/>
          <w:spacing w:val="-2"/>
          <w:kern w:val="0"/>
          <w:sz w:val="24"/>
        </w:rPr>
        <w:t>、所委托的检测机构应具有江苏省建设厅核准的检测机构资质并通过江苏省质量技术监督局计量认证。</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2</w:t>
      </w:r>
      <w:r>
        <w:rPr>
          <w:rFonts w:hint="eastAsia" w:eastAsia="方正仿宋_GBK"/>
          <w:color w:val="000000"/>
          <w:spacing w:val="-2"/>
          <w:kern w:val="0"/>
          <w:sz w:val="24"/>
        </w:rPr>
        <w:t>、检测机构不得转包检测业务。</w:t>
      </w:r>
      <w:r>
        <w:rPr>
          <w:rFonts w:eastAsia="方正仿宋_GBK"/>
          <w:color w:val="000000"/>
          <w:spacing w:val="-2"/>
          <w:kern w:val="0"/>
          <w:sz w:val="24"/>
        </w:rPr>
        <w:t>3</w:t>
      </w:r>
      <w:r>
        <w:rPr>
          <w:rFonts w:hint="eastAsia" w:eastAsia="方正仿宋_GBK"/>
          <w:color w:val="000000"/>
          <w:spacing w:val="-2"/>
          <w:kern w:val="0"/>
          <w:sz w:val="24"/>
        </w:rPr>
        <w:t>、签订书面的工程质量检测委托合同。</w:t>
      </w:r>
    </w:p>
    <w:p>
      <w:pPr>
        <w:spacing w:line="460" w:lineRule="exact"/>
        <w:ind w:firstLine="464" w:firstLineChars="200"/>
        <w:rPr>
          <w:rFonts w:eastAsia="方正黑体_GBK"/>
          <w:color w:val="000000"/>
          <w:spacing w:val="-2"/>
          <w:kern w:val="0"/>
          <w:sz w:val="24"/>
        </w:rPr>
      </w:pPr>
      <w:r>
        <w:rPr>
          <w:rFonts w:hint="eastAsia" w:eastAsia="方正黑体_GBK"/>
          <w:color w:val="000000"/>
          <w:spacing w:val="-2"/>
          <w:kern w:val="0"/>
          <w:sz w:val="24"/>
        </w:rPr>
        <w:t>二、工程质量检测取样、送检及检测报告</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1</w:t>
      </w:r>
      <w:r>
        <w:rPr>
          <w:rFonts w:hint="eastAsia" w:eastAsia="方正仿宋_GBK"/>
          <w:color w:val="000000"/>
          <w:spacing w:val="-2"/>
          <w:kern w:val="0"/>
          <w:sz w:val="24"/>
        </w:rPr>
        <w:t>、工程质量检测见证取样送检应严格执行相关规定。</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2</w:t>
      </w:r>
      <w:r>
        <w:rPr>
          <w:rFonts w:hint="eastAsia" w:eastAsia="方正仿宋_GBK"/>
          <w:color w:val="000000"/>
          <w:spacing w:val="-2"/>
          <w:kern w:val="0"/>
          <w:sz w:val="24"/>
        </w:rPr>
        <w:t>、工程质量检测取样由施工单位负责。施工单位应按规定配备取样员。</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3</w:t>
      </w:r>
      <w:r>
        <w:rPr>
          <w:rFonts w:hint="eastAsia" w:eastAsia="方正仿宋_GBK"/>
          <w:color w:val="000000"/>
          <w:spacing w:val="-2"/>
          <w:kern w:val="0"/>
          <w:sz w:val="24"/>
        </w:rPr>
        <w:t>、工程质量检测试样抽取的数量、部位等应按国家有关规范、标准实施。施工单位负责按工程进度和施工组织设计或施工方案提出取样方案，监理（建设）单位负责审核批准。</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4</w:t>
      </w:r>
      <w:r>
        <w:rPr>
          <w:rFonts w:hint="eastAsia" w:eastAsia="方正仿宋_GBK"/>
          <w:color w:val="000000"/>
          <w:spacing w:val="-2"/>
          <w:kern w:val="0"/>
          <w:sz w:val="24"/>
        </w:rPr>
        <w:t>、工程质量检测试样实行封样制度。要采取切实有效的措施确保试样的真实性。</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5</w:t>
      </w:r>
      <w:r>
        <w:rPr>
          <w:rFonts w:hint="eastAsia" w:eastAsia="方正仿宋_GBK"/>
          <w:color w:val="000000"/>
          <w:spacing w:val="-2"/>
          <w:kern w:val="0"/>
          <w:sz w:val="24"/>
        </w:rPr>
        <w:t>、监理（建设）单位负责取样、送检的现场见证工作。监理（建设）单位应按规定配备工程质量检测见证人员。</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6</w:t>
      </w:r>
      <w:r>
        <w:rPr>
          <w:rFonts w:hint="eastAsia" w:eastAsia="方正仿宋_GBK"/>
          <w:color w:val="000000"/>
          <w:spacing w:val="-2"/>
          <w:kern w:val="0"/>
          <w:sz w:val="24"/>
        </w:rPr>
        <w:t>、检测机构应按检测委托合同约定，向建设单位或由其授权的监理单位提交检测报告。建设单位或由其授权的监理单位应及时将检测报告原件提供给施工单位。</w:t>
      </w:r>
    </w:p>
    <w:p>
      <w:pPr>
        <w:spacing w:line="460" w:lineRule="exact"/>
        <w:ind w:firstLine="464" w:firstLineChars="200"/>
        <w:rPr>
          <w:rFonts w:eastAsia="方正黑体_GBK"/>
          <w:color w:val="000000"/>
          <w:spacing w:val="-2"/>
          <w:kern w:val="0"/>
          <w:sz w:val="24"/>
        </w:rPr>
      </w:pPr>
      <w:r>
        <w:rPr>
          <w:rFonts w:hint="eastAsia" w:eastAsia="方正黑体_GBK"/>
          <w:color w:val="000000"/>
          <w:spacing w:val="-2"/>
          <w:kern w:val="0"/>
          <w:sz w:val="24"/>
        </w:rPr>
        <w:t>三、工程质量检测的费用</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工程质量检测委托方改变后，原由施工单位承担的检测费将在测算的基础上，通过调整定额，费用由建设方直接支付给检测机构。施工单位按定额向建设单位收取试样制作、封样、送达等必要的费用。</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定额调整的具体规定我厅另行文。</w:t>
      </w:r>
    </w:p>
    <w:p>
      <w:pPr>
        <w:spacing w:line="460" w:lineRule="exact"/>
        <w:ind w:firstLine="464" w:firstLineChars="200"/>
        <w:rPr>
          <w:rFonts w:eastAsia="方正黑体_GBK"/>
          <w:color w:val="000000"/>
          <w:spacing w:val="-2"/>
          <w:kern w:val="0"/>
          <w:sz w:val="24"/>
        </w:rPr>
      </w:pPr>
      <w:r>
        <w:rPr>
          <w:rFonts w:hint="eastAsia" w:eastAsia="方正黑体_GBK"/>
          <w:color w:val="000000"/>
          <w:spacing w:val="-2"/>
          <w:kern w:val="0"/>
          <w:sz w:val="24"/>
        </w:rPr>
        <w:t>四、监督管理</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1</w:t>
      </w:r>
      <w:r>
        <w:rPr>
          <w:rFonts w:hint="eastAsia" w:eastAsia="方正仿宋_GBK"/>
          <w:color w:val="000000"/>
          <w:spacing w:val="-2"/>
          <w:kern w:val="0"/>
          <w:sz w:val="24"/>
        </w:rPr>
        <w:t>、将是否违反本规定作为工程质量监督巡查及工程质量检测飞行检查的重要内容之一。</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2</w:t>
      </w:r>
      <w:r>
        <w:rPr>
          <w:rFonts w:hint="eastAsia" w:eastAsia="方正仿宋_GBK"/>
          <w:color w:val="000000"/>
          <w:spacing w:val="-2"/>
          <w:kern w:val="0"/>
          <w:sz w:val="24"/>
        </w:rPr>
        <w:t>、要保证取样、见证人员的数量和质量，使取样员、见证员能够满足工程质量检测工作的需要。</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3</w:t>
      </w:r>
      <w:r>
        <w:rPr>
          <w:rFonts w:hint="eastAsia" w:eastAsia="方正仿宋_GBK"/>
          <w:color w:val="000000"/>
          <w:spacing w:val="-2"/>
          <w:kern w:val="0"/>
          <w:sz w:val="24"/>
        </w:rPr>
        <w:t>、各建设工程质量监督站，要结合日常质量监督工作，将现场取样、见证人员配置，取样见证工作的开展等作为行为监督的内容之一。对于不具备江苏省建设厅核准的检测机构资质证书和江苏省质量技术监督局核发的计量认证证书的检测机构出具的检测报告不予认可。</w:t>
      </w:r>
    </w:p>
    <w:p>
      <w:pPr>
        <w:spacing w:line="460" w:lineRule="exact"/>
        <w:jc w:val="right"/>
        <w:rPr>
          <w:rFonts w:eastAsia="方正仿宋_GBK"/>
          <w:color w:val="000000"/>
          <w:spacing w:val="-2"/>
          <w:kern w:val="0"/>
          <w:sz w:val="24"/>
        </w:rPr>
      </w:pPr>
    </w:p>
    <w:p>
      <w:pPr>
        <w:spacing w:line="460" w:lineRule="exact"/>
        <w:ind w:right="900" w:rightChars="437" w:firstLine="4640" w:firstLineChars="2000"/>
        <w:jc w:val="right"/>
        <w:rPr>
          <w:rFonts w:eastAsia="方正仿宋_GBK"/>
          <w:color w:val="000000"/>
          <w:spacing w:val="-2"/>
          <w:kern w:val="0"/>
          <w:sz w:val="24"/>
        </w:rPr>
      </w:pPr>
      <w:r>
        <w:rPr>
          <w:rFonts w:hint="eastAsia" w:eastAsia="方正仿宋_GBK"/>
          <w:color w:val="000000"/>
          <w:spacing w:val="-2"/>
          <w:kern w:val="0"/>
          <w:sz w:val="24"/>
        </w:rPr>
        <w:t>江苏省建设厅</w:t>
      </w:r>
      <w:r>
        <w:rPr>
          <w:rFonts w:eastAsia="方正仿宋_GBK"/>
          <w:color w:val="000000"/>
          <w:spacing w:val="-2"/>
          <w:kern w:val="0"/>
          <w:sz w:val="24"/>
        </w:rPr>
        <w:t xml:space="preserve">   </w:t>
      </w:r>
    </w:p>
    <w:p>
      <w:pPr>
        <w:spacing w:line="460" w:lineRule="exact"/>
        <w:ind w:right="428" w:rightChars="208"/>
        <w:jc w:val="right"/>
        <w:rPr>
          <w:rFonts w:eastAsia="方正仿宋_GBK"/>
          <w:color w:val="000000"/>
          <w:spacing w:val="-2"/>
          <w:kern w:val="0"/>
          <w:sz w:val="24"/>
        </w:rPr>
      </w:pPr>
      <w:r>
        <w:rPr>
          <w:rFonts w:hint="eastAsia" w:eastAsia="方正仿宋_GBK"/>
          <w:color w:val="000000"/>
          <w:spacing w:val="-2"/>
          <w:kern w:val="0"/>
          <w:sz w:val="24"/>
        </w:rPr>
        <w:t>二</w:t>
      </w:r>
      <w:r>
        <w:rPr>
          <w:rFonts w:hint="eastAsia" w:ascii="Times New Roman" w:hAnsi="Times New Roman"/>
          <w:bCs/>
          <w:snapToGrid w:val="0"/>
          <w:color w:val="000000"/>
          <w:spacing w:val="-2"/>
          <w:kern w:val="0"/>
          <w:sz w:val="24"/>
        </w:rPr>
        <w:t>○○</w:t>
      </w:r>
      <w:r>
        <w:rPr>
          <w:rFonts w:hint="eastAsia" w:eastAsia="方正仿宋_GBK"/>
          <w:color w:val="000000"/>
          <w:spacing w:val="-2"/>
          <w:kern w:val="0"/>
          <w:sz w:val="24"/>
        </w:rPr>
        <w:t>四年十月十四日</w:t>
      </w:r>
      <w:r>
        <w:rPr>
          <w:rFonts w:eastAsia="方正仿宋_GBK"/>
          <w:color w:val="000000"/>
          <w:spacing w:val="-2"/>
          <w:kern w:val="0"/>
          <w:sz w:val="24"/>
        </w:rPr>
        <w:t xml:space="preserve">    </w:t>
      </w:r>
    </w:p>
    <w:tbl>
      <w:tblPr>
        <w:tblStyle w:val="12"/>
        <w:tblW w:w="0" w:type="auto"/>
        <w:jc w:val="center"/>
        <w:tblLayout w:type="fixed"/>
        <w:tblCellMar>
          <w:top w:w="0" w:type="dxa"/>
          <w:left w:w="0" w:type="dxa"/>
          <w:bottom w:w="0" w:type="dxa"/>
          <w:right w:w="0" w:type="dxa"/>
        </w:tblCellMar>
      </w:tblPr>
      <w:tblGrid>
        <w:gridCol w:w="8730"/>
      </w:tblGrid>
      <w:tr>
        <w:tblPrEx>
          <w:tblCellMar>
            <w:top w:w="0" w:type="dxa"/>
            <w:left w:w="0" w:type="dxa"/>
            <w:bottom w:w="0" w:type="dxa"/>
            <w:right w:w="0" w:type="dxa"/>
          </w:tblCellMar>
        </w:tblPrEx>
        <w:trPr>
          <w:trHeight w:val="15" w:hRule="atLeast"/>
          <w:jc w:val="center"/>
          <w:hidden/>
        </w:trPr>
        <w:tc>
          <w:tcPr>
            <w:tcW w:w="8730" w:type="dxa"/>
            <w:noWrap w:val="0"/>
            <w:vAlign w:val="center"/>
          </w:tcPr>
          <w:p>
            <w:pPr>
              <w:spacing w:line="460" w:lineRule="exact"/>
              <w:jc w:val="left"/>
              <w:rPr>
                <w:rFonts w:eastAsia="方正仿宋_GBK"/>
                <w:vanish/>
                <w:color w:val="000000"/>
                <w:spacing w:val="-2"/>
                <w:kern w:val="0"/>
                <w:sz w:val="24"/>
              </w:rPr>
            </w:pPr>
          </w:p>
        </w:tc>
      </w:tr>
    </w:tbl>
    <w:p>
      <w:pPr>
        <w:spacing w:line="460" w:lineRule="exact"/>
        <w:rPr>
          <w:rFonts w:eastAsia="方正仿宋_GBK"/>
          <w:color w:val="000000"/>
          <w:spacing w:val="-2"/>
          <w:kern w:val="0"/>
          <w:sz w:val="24"/>
        </w:rPr>
      </w:pPr>
    </w:p>
    <w:p>
      <w:pPr>
        <w:spacing w:line="460" w:lineRule="exact"/>
        <w:rPr>
          <w:rFonts w:eastAsia="方正仿宋_GBK"/>
          <w:color w:val="000000"/>
          <w:spacing w:val="-2"/>
          <w:sz w:val="24"/>
        </w:rPr>
      </w:pPr>
    </w:p>
    <w:p/>
    <w:p/>
    <w:p/>
    <w:p/>
    <w:p/>
    <w:p/>
    <w:p/>
    <w:p/>
    <w:p/>
    <w:p/>
    <w:p>
      <w:pPr>
        <w:ind w:firstLine="412" w:firstLineChars="200"/>
      </w:pPr>
    </w:p>
    <w:p>
      <w:pPr>
        <w:ind w:firstLine="412" w:firstLineChars="200"/>
      </w:pPr>
    </w:p>
    <w:p>
      <w:pPr>
        <w:ind w:firstLine="412" w:firstLineChars="200"/>
      </w:pPr>
    </w:p>
    <w:p>
      <w:pPr>
        <w:ind w:firstLine="412" w:firstLineChars="200"/>
      </w:pPr>
    </w:p>
    <w:p>
      <w:pPr>
        <w:ind w:firstLine="412" w:firstLineChars="200"/>
      </w:pPr>
    </w:p>
    <w:p>
      <w:pPr>
        <w:ind w:firstLine="412" w:firstLineChars="200"/>
      </w:pPr>
    </w:p>
    <w:p>
      <w:pPr>
        <w:pStyle w:val="2"/>
        <w:spacing w:before="590" w:beforeLines="100" w:after="590" w:afterLines="100" w:line="240" w:lineRule="auto"/>
        <w:jc w:val="center"/>
        <w:rPr>
          <w:rFonts w:ascii="Times New Roman" w:eastAsia="方正小标宋_GBK"/>
          <w:b w:val="0"/>
          <w:sz w:val="36"/>
          <w:szCs w:val="36"/>
        </w:rPr>
      </w:pPr>
      <w:bookmarkStart w:id="749" w:name="_Toc20726619"/>
      <w:bookmarkStart w:id="750" w:name="_Toc18315760"/>
      <w:r>
        <w:rPr>
          <w:rFonts w:hint="eastAsia" w:ascii="Times New Roman" w:eastAsia="方正小标宋_GBK"/>
          <w:b w:val="0"/>
          <w:sz w:val="36"/>
          <w:szCs w:val="36"/>
        </w:rPr>
        <w:t>关于印发《江苏省建设工程质量检测管理实施细则</w:t>
      </w:r>
      <w:r>
        <w:rPr>
          <w:rFonts w:ascii="Times New Roman" w:eastAsia="方正小标宋_GBK"/>
          <w:b w:val="0"/>
          <w:sz w:val="36"/>
          <w:szCs w:val="36"/>
        </w:rPr>
        <w:t> </w:t>
      </w:r>
      <w:r>
        <w:rPr>
          <w:rFonts w:hint="eastAsia" w:ascii="Times New Roman" w:eastAsia="方正小标宋_GBK"/>
          <w:b w:val="0"/>
          <w:sz w:val="36"/>
          <w:szCs w:val="36"/>
        </w:rPr>
        <w:t>》的通知</w:t>
      </w:r>
      <w:bookmarkEnd w:id="749"/>
      <w:bookmarkEnd w:id="750"/>
    </w:p>
    <w:p>
      <w:pPr>
        <w:pStyle w:val="3"/>
        <w:spacing w:before="590" w:beforeLines="100" w:after="590" w:afterLines="100" w:line="240" w:lineRule="auto"/>
        <w:jc w:val="center"/>
        <w:rPr>
          <w:rFonts w:hint="eastAsia" w:ascii="Times New Roman" w:hAnsi="Times New Roman" w:eastAsia="方正楷体_GBK"/>
          <w:b w:val="0"/>
          <w:sz w:val="24"/>
          <w:szCs w:val="24"/>
        </w:rPr>
      </w:pPr>
      <w:bookmarkStart w:id="751" w:name="_Toc20726620"/>
      <w:bookmarkStart w:id="752" w:name="_Toc18315761"/>
      <w:r>
        <w:rPr>
          <w:rFonts w:hint="eastAsia" w:ascii="Times New Roman" w:hAnsi="Times New Roman" w:eastAsia="方正楷体_GBK"/>
          <w:b w:val="0"/>
          <w:sz w:val="24"/>
          <w:szCs w:val="24"/>
        </w:rPr>
        <w:t>苏建法〔</w:t>
      </w:r>
      <w:r>
        <w:rPr>
          <w:rFonts w:ascii="Times New Roman" w:hAnsi="Times New Roman" w:eastAsia="方正楷体_GBK"/>
          <w:b w:val="0"/>
          <w:sz w:val="24"/>
          <w:szCs w:val="24"/>
        </w:rPr>
        <w:t>2006</w:t>
      </w:r>
      <w:r>
        <w:rPr>
          <w:rFonts w:hint="eastAsia" w:ascii="Times New Roman" w:hAnsi="Times New Roman" w:eastAsia="方正楷体_GBK"/>
          <w:b w:val="0"/>
          <w:sz w:val="24"/>
          <w:szCs w:val="24"/>
        </w:rPr>
        <w:t>〕</w:t>
      </w:r>
      <w:r>
        <w:rPr>
          <w:rFonts w:ascii="Times New Roman" w:hAnsi="Times New Roman" w:eastAsia="方正楷体_GBK"/>
          <w:b w:val="0"/>
          <w:sz w:val="24"/>
          <w:szCs w:val="24"/>
        </w:rPr>
        <w:t>97</w:t>
      </w:r>
      <w:r>
        <w:rPr>
          <w:rFonts w:hint="eastAsia" w:ascii="Times New Roman" w:hAnsi="Times New Roman" w:eastAsia="方正楷体_GBK"/>
          <w:b w:val="0"/>
          <w:sz w:val="24"/>
          <w:szCs w:val="24"/>
        </w:rPr>
        <w:t>号</w:t>
      </w:r>
      <w:bookmarkEnd w:id="751"/>
      <w:bookmarkEnd w:id="752"/>
    </w:p>
    <w:p>
      <w:pPr>
        <w:spacing w:line="460" w:lineRule="exact"/>
        <w:rPr>
          <w:rFonts w:eastAsia="方正仿宋_GBK"/>
          <w:color w:val="000000"/>
          <w:spacing w:val="-2"/>
          <w:sz w:val="24"/>
        </w:rPr>
      </w:pPr>
      <w:r>
        <w:rPr>
          <w:rFonts w:hint="eastAsia" w:eastAsia="方正仿宋_GBK"/>
          <w:color w:val="000000"/>
          <w:spacing w:val="-2"/>
          <w:sz w:val="24"/>
        </w:rPr>
        <w:t>各省辖市建设局（建委）、建工局：</w:t>
      </w:r>
    </w:p>
    <w:p>
      <w:pPr>
        <w:spacing w:line="460" w:lineRule="exact"/>
        <w:ind w:firstLine="464" w:firstLineChars="200"/>
        <w:rPr>
          <w:rFonts w:eastAsia="方正仿宋_GBK"/>
          <w:color w:val="000000"/>
          <w:spacing w:val="-2"/>
          <w:sz w:val="24"/>
        </w:rPr>
      </w:pPr>
      <w:r>
        <w:rPr>
          <w:rFonts w:hint="eastAsia" w:eastAsia="方正仿宋_GBK"/>
          <w:color w:val="000000"/>
          <w:spacing w:val="-2"/>
          <w:sz w:val="24"/>
        </w:rPr>
        <w:t>为了加强对我省建设工程检测管理，根据《中华人民共和国建筑法》、《建设工程质量管理条例》、《建设工程质量检测管理办法》、及建设部建质（</w:t>
      </w:r>
      <w:r>
        <w:rPr>
          <w:rFonts w:eastAsia="方正仿宋_GBK"/>
          <w:color w:val="000000"/>
          <w:spacing w:val="-2"/>
          <w:sz w:val="24"/>
        </w:rPr>
        <w:t>2006</w:t>
      </w:r>
      <w:r>
        <w:rPr>
          <w:rFonts w:hint="eastAsia" w:eastAsia="方正仿宋_GBK"/>
          <w:color w:val="000000"/>
          <w:spacing w:val="-2"/>
          <w:sz w:val="24"/>
        </w:rPr>
        <w:t>）</w:t>
      </w:r>
      <w:r>
        <w:rPr>
          <w:rFonts w:eastAsia="方正仿宋_GBK"/>
          <w:color w:val="000000"/>
          <w:spacing w:val="-2"/>
          <w:sz w:val="24"/>
        </w:rPr>
        <w:t>25</w:t>
      </w:r>
      <w:r>
        <w:rPr>
          <w:rFonts w:hint="eastAsia" w:eastAsia="方正仿宋_GBK"/>
          <w:color w:val="000000"/>
          <w:spacing w:val="-2"/>
          <w:sz w:val="24"/>
        </w:rPr>
        <w:t>号《关于实施（建设工程质量检测管理办法）》有关问题的通知》，结合我省实际，特制定《江苏省建设工程质量检测管理实施细则</w:t>
      </w:r>
      <w:r>
        <w:rPr>
          <w:rFonts w:eastAsia="方正仿宋_GBK"/>
          <w:color w:val="000000"/>
          <w:spacing w:val="-2"/>
          <w:sz w:val="24"/>
        </w:rPr>
        <w:t> </w:t>
      </w:r>
      <w:r>
        <w:rPr>
          <w:rFonts w:hint="eastAsia" w:eastAsia="方正仿宋_GBK"/>
          <w:color w:val="000000"/>
          <w:spacing w:val="-2"/>
          <w:sz w:val="24"/>
        </w:rPr>
        <w:t>》，请认真贯彻执行。</w:t>
      </w:r>
    </w:p>
    <w:p>
      <w:pPr>
        <w:spacing w:line="460" w:lineRule="exact"/>
        <w:ind w:firstLine="464" w:firstLineChars="200"/>
        <w:rPr>
          <w:rFonts w:eastAsia="方正仿宋_GBK"/>
          <w:color w:val="000000"/>
          <w:spacing w:val="-2"/>
          <w:sz w:val="24"/>
        </w:rPr>
      </w:pPr>
    </w:p>
    <w:p>
      <w:pPr>
        <w:spacing w:line="460" w:lineRule="exact"/>
        <w:ind w:firstLine="464" w:firstLineChars="200"/>
        <w:rPr>
          <w:rFonts w:eastAsia="方正仿宋_GBK"/>
          <w:color w:val="000000"/>
          <w:spacing w:val="-2"/>
          <w:sz w:val="24"/>
        </w:rPr>
      </w:pPr>
      <w:r>
        <w:rPr>
          <w:rFonts w:hint="eastAsia" w:eastAsia="方正仿宋_GBK"/>
          <w:color w:val="000000"/>
          <w:spacing w:val="-2"/>
          <w:sz w:val="24"/>
        </w:rPr>
        <w:t>附件：《江苏省建设工程质量检测管理实施细则</w:t>
      </w:r>
      <w:r>
        <w:rPr>
          <w:rFonts w:eastAsia="方正仿宋_GBK"/>
          <w:color w:val="000000"/>
          <w:spacing w:val="-2"/>
          <w:sz w:val="24"/>
        </w:rPr>
        <w:t> </w:t>
      </w:r>
      <w:r>
        <w:rPr>
          <w:rFonts w:hint="eastAsia" w:eastAsia="方正仿宋_GBK"/>
          <w:color w:val="000000"/>
          <w:spacing w:val="-2"/>
          <w:sz w:val="24"/>
        </w:rPr>
        <w:t>》。</w:t>
      </w:r>
    </w:p>
    <w:p>
      <w:pPr>
        <w:spacing w:line="460" w:lineRule="exact"/>
        <w:ind w:firstLine="464" w:firstLineChars="200"/>
        <w:rPr>
          <w:rFonts w:eastAsia="方正仿宋_GBK"/>
          <w:color w:val="000000"/>
          <w:spacing w:val="-2"/>
          <w:sz w:val="24"/>
        </w:rPr>
      </w:pPr>
    </w:p>
    <w:p>
      <w:pPr>
        <w:spacing w:line="460" w:lineRule="exact"/>
        <w:ind w:right="605" w:rightChars="294" w:firstLine="6380" w:firstLineChars="2750"/>
        <w:rPr>
          <w:rFonts w:eastAsia="方正仿宋_GBK"/>
          <w:color w:val="000000"/>
          <w:spacing w:val="-2"/>
          <w:sz w:val="24"/>
        </w:rPr>
      </w:pPr>
      <w:r>
        <w:rPr>
          <w:rFonts w:hint="eastAsia" w:eastAsia="方正仿宋_GBK"/>
          <w:color w:val="000000"/>
          <w:spacing w:val="-2"/>
          <w:sz w:val="24"/>
        </w:rPr>
        <w:t>江苏省建设厅</w:t>
      </w:r>
    </w:p>
    <w:p>
      <w:pPr>
        <w:spacing w:line="460" w:lineRule="exact"/>
        <w:ind w:right="428" w:rightChars="208" w:firstLine="464" w:firstLineChars="200"/>
        <w:jc w:val="right"/>
        <w:rPr>
          <w:rFonts w:eastAsia="方正仿宋_GBK"/>
          <w:color w:val="000000"/>
          <w:spacing w:val="-2"/>
          <w:sz w:val="24"/>
        </w:rPr>
      </w:pPr>
      <w:r>
        <w:rPr>
          <w:rFonts w:hint="eastAsia" w:eastAsia="方正仿宋_GBK"/>
          <w:color w:val="000000"/>
          <w:spacing w:val="-2"/>
          <w:sz w:val="24"/>
        </w:rPr>
        <w:t>二○○六年三月十五日</w:t>
      </w:r>
    </w:p>
    <w:p>
      <w:pPr>
        <w:spacing w:line="460" w:lineRule="exact"/>
        <w:rPr>
          <w:rFonts w:eastAsia="方正仿宋_GBK"/>
          <w:color w:val="000000"/>
          <w:spacing w:val="-2"/>
          <w:sz w:val="24"/>
        </w:rPr>
      </w:pPr>
    </w:p>
    <w:p>
      <w:pPr>
        <w:spacing w:line="460" w:lineRule="exact"/>
        <w:rPr>
          <w:rFonts w:eastAsia="方正仿宋_GBK"/>
          <w:color w:val="000000"/>
          <w:spacing w:val="-2"/>
          <w:sz w:val="24"/>
        </w:rPr>
      </w:pPr>
    </w:p>
    <w:p>
      <w:pPr>
        <w:spacing w:line="460" w:lineRule="exact"/>
        <w:jc w:val="center"/>
        <w:rPr>
          <w:rFonts w:eastAsia="方正黑体_GBK"/>
          <w:color w:val="000000"/>
          <w:spacing w:val="-2"/>
          <w:sz w:val="36"/>
          <w:szCs w:val="36"/>
        </w:rPr>
      </w:pPr>
      <w:r>
        <w:rPr>
          <w:rFonts w:hint="eastAsia" w:eastAsia="方正黑体_GBK"/>
          <w:color w:val="000000"/>
          <w:spacing w:val="-2"/>
          <w:sz w:val="36"/>
          <w:szCs w:val="36"/>
        </w:rPr>
        <w:t>江苏省建设工程质量检测管理实施细则</w:t>
      </w:r>
    </w:p>
    <w:p>
      <w:pPr>
        <w:spacing w:line="460" w:lineRule="exact"/>
        <w:ind w:firstLine="464" w:firstLineChars="200"/>
        <w:rPr>
          <w:rFonts w:eastAsia="方正仿宋_GBK"/>
          <w:color w:val="000000"/>
          <w:spacing w:val="-2"/>
          <w:sz w:val="24"/>
        </w:rPr>
      </w:pPr>
    </w:p>
    <w:p>
      <w:pPr>
        <w:spacing w:line="460" w:lineRule="exact"/>
        <w:ind w:firstLine="464" w:firstLineChars="200"/>
        <w:rPr>
          <w:rFonts w:eastAsia="方正仿宋_GBK"/>
          <w:color w:val="000000"/>
          <w:spacing w:val="-2"/>
          <w:sz w:val="24"/>
        </w:rPr>
      </w:pPr>
      <w:r>
        <w:rPr>
          <w:rFonts w:hint="eastAsia" w:eastAsia="方正黑体_GBK"/>
          <w:color w:val="000000"/>
          <w:spacing w:val="-2"/>
          <w:sz w:val="24"/>
        </w:rPr>
        <w:t>第一条</w:t>
      </w:r>
      <w:r>
        <w:rPr>
          <w:rFonts w:eastAsia="方正黑体_GBK"/>
          <w:color w:val="000000"/>
          <w:spacing w:val="-2"/>
          <w:sz w:val="24"/>
        </w:rPr>
        <w:t xml:space="preserve"> </w:t>
      </w:r>
      <w:r>
        <w:rPr>
          <w:rFonts w:eastAsia="方正仿宋_GBK"/>
          <w:color w:val="000000"/>
          <w:spacing w:val="-2"/>
          <w:sz w:val="24"/>
        </w:rPr>
        <w:t>  </w:t>
      </w:r>
      <w:r>
        <w:rPr>
          <w:rFonts w:hint="eastAsia" w:eastAsia="方正仿宋_GBK"/>
          <w:color w:val="000000"/>
          <w:spacing w:val="-2"/>
          <w:sz w:val="24"/>
        </w:rPr>
        <w:t>为了加强对本省建设工程质量检测管理，根据《中华人民共和国建筑法》、《建设工程质量管理条例》、《建设工程质量检测管理办法》及建设部建质（</w:t>
      </w:r>
      <w:r>
        <w:rPr>
          <w:rFonts w:eastAsia="方正仿宋_GBK"/>
          <w:color w:val="000000"/>
          <w:spacing w:val="-2"/>
          <w:sz w:val="24"/>
        </w:rPr>
        <w:t>2006</w:t>
      </w:r>
      <w:r>
        <w:rPr>
          <w:rFonts w:hint="eastAsia" w:eastAsia="方正仿宋_GBK"/>
          <w:color w:val="000000"/>
          <w:spacing w:val="-2"/>
          <w:sz w:val="24"/>
        </w:rPr>
        <w:t>）</w:t>
      </w:r>
      <w:r>
        <w:rPr>
          <w:rFonts w:eastAsia="方正仿宋_GBK"/>
          <w:color w:val="000000"/>
          <w:spacing w:val="-2"/>
          <w:sz w:val="24"/>
        </w:rPr>
        <w:t>25</w:t>
      </w:r>
      <w:r>
        <w:rPr>
          <w:rFonts w:hint="eastAsia" w:eastAsia="方正仿宋_GBK"/>
          <w:color w:val="000000"/>
          <w:spacing w:val="-2"/>
          <w:sz w:val="24"/>
        </w:rPr>
        <w:t>号《关于实施〈建设工程质量检测管理办法〉有关问题的通知》，结合本省实际、制定本细则。</w:t>
      </w:r>
      <w:r>
        <w:rPr>
          <w:rFonts w:eastAsia="方正仿宋_GBK"/>
          <w:color w:val="000000"/>
          <w:spacing w:val="-2"/>
          <w:sz w:val="24"/>
        </w:rPr>
        <w:t> </w:t>
      </w:r>
    </w:p>
    <w:p>
      <w:pPr>
        <w:spacing w:line="460" w:lineRule="exact"/>
        <w:ind w:firstLine="464" w:firstLineChars="200"/>
        <w:rPr>
          <w:rFonts w:eastAsia="方正仿宋_GBK"/>
          <w:color w:val="000000"/>
          <w:spacing w:val="-2"/>
          <w:sz w:val="24"/>
        </w:rPr>
      </w:pPr>
      <w:r>
        <w:rPr>
          <w:rFonts w:hint="eastAsia" w:eastAsia="方正黑体_GBK"/>
          <w:color w:val="000000"/>
          <w:spacing w:val="-2"/>
          <w:sz w:val="24"/>
        </w:rPr>
        <w:t>第二条</w:t>
      </w:r>
      <w:r>
        <w:rPr>
          <w:rFonts w:eastAsia="方正仿宋_GBK"/>
          <w:color w:val="000000"/>
          <w:spacing w:val="-2"/>
          <w:sz w:val="24"/>
        </w:rPr>
        <w:t xml:space="preserve">   </w:t>
      </w:r>
      <w:r>
        <w:rPr>
          <w:rFonts w:hint="eastAsia" w:eastAsia="方正仿宋_GBK"/>
          <w:color w:val="000000"/>
          <w:spacing w:val="-2"/>
          <w:sz w:val="24"/>
        </w:rPr>
        <w:t>凡在本省行政区域内从事建设工程质量检测活动，以及实施对建设工程质量检测活动的监督管理应当遵守本细则。</w:t>
      </w:r>
      <w:r>
        <w:rPr>
          <w:rFonts w:eastAsia="方正仿宋_GBK"/>
          <w:color w:val="000000"/>
          <w:spacing w:val="-2"/>
          <w:sz w:val="24"/>
        </w:rPr>
        <w:t> </w:t>
      </w:r>
    </w:p>
    <w:p>
      <w:pPr>
        <w:spacing w:line="460" w:lineRule="exact"/>
        <w:ind w:firstLine="464" w:firstLineChars="200"/>
        <w:rPr>
          <w:rFonts w:eastAsia="方正仿宋_GBK"/>
          <w:color w:val="000000"/>
          <w:spacing w:val="-2"/>
          <w:sz w:val="24"/>
        </w:rPr>
      </w:pPr>
      <w:r>
        <w:rPr>
          <w:rFonts w:hint="eastAsia" w:eastAsia="方正仿宋_GBK"/>
          <w:color w:val="000000"/>
          <w:spacing w:val="-2"/>
          <w:sz w:val="24"/>
        </w:rPr>
        <w:t>本细则称建设工程质量检测（以下简称质量检测），是指工程质量检测机构（以下简称检测机构）接受委托，依据国家有关法律、法规和工程建设强制性标准，对涉及工程结构安全及功能项目的抽样检测和对进入施工现场的建筑材料、构配件的见证取样检测。</w:t>
      </w:r>
      <w:r>
        <w:rPr>
          <w:rFonts w:eastAsia="方正仿宋_GBK"/>
          <w:color w:val="000000"/>
          <w:spacing w:val="-2"/>
          <w:sz w:val="24"/>
        </w:rPr>
        <w:t> </w:t>
      </w:r>
    </w:p>
    <w:p>
      <w:pPr>
        <w:spacing w:line="460" w:lineRule="exact"/>
        <w:ind w:firstLine="464" w:firstLineChars="200"/>
        <w:rPr>
          <w:rFonts w:eastAsia="方正仿宋_GBK"/>
          <w:color w:val="000000"/>
          <w:spacing w:val="-2"/>
          <w:sz w:val="24"/>
        </w:rPr>
      </w:pPr>
      <w:r>
        <w:rPr>
          <w:rFonts w:hint="eastAsia" w:eastAsia="方正黑体_GBK"/>
          <w:color w:val="000000"/>
          <w:spacing w:val="-2"/>
          <w:sz w:val="24"/>
        </w:rPr>
        <w:t>第三条</w:t>
      </w:r>
      <w:r>
        <w:rPr>
          <w:rFonts w:eastAsia="方正仿宋_GBK"/>
          <w:color w:val="000000"/>
          <w:spacing w:val="-2"/>
          <w:sz w:val="24"/>
        </w:rPr>
        <w:t xml:space="preserve">  </w:t>
      </w:r>
      <w:r>
        <w:rPr>
          <w:rFonts w:hint="eastAsia" w:eastAsia="方正仿宋_GBK"/>
          <w:color w:val="000000"/>
          <w:spacing w:val="-2"/>
          <w:sz w:val="24"/>
        </w:rPr>
        <w:t>省建设厅负责对本省行政区域内质量检测活动实施监督管理，并负责检测机构的资质审批。</w:t>
      </w:r>
      <w:r>
        <w:rPr>
          <w:rFonts w:eastAsia="方正仿宋_GBK"/>
          <w:color w:val="000000"/>
          <w:spacing w:val="-2"/>
          <w:sz w:val="24"/>
        </w:rPr>
        <w:t> </w:t>
      </w:r>
    </w:p>
    <w:p>
      <w:pPr>
        <w:spacing w:line="460" w:lineRule="exact"/>
        <w:ind w:firstLine="464" w:firstLineChars="200"/>
        <w:rPr>
          <w:rFonts w:eastAsia="方正仿宋_GBK"/>
          <w:color w:val="000000"/>
          <w:spacing w:val="-2"/>
          <w:sz w:val="24"/>
        </w:rPr>
      </w:pPr>
      <w:r>
        <w:rPr>
          <w:rFonts w:hint="eastAsia" w:eastAsia="方正仿宋_GBK"/>
          <w:color w:val="000000"/>
          <w:spacing w:val="-2"/>
          <w:sz w:val="24"/>
        </w:rPr>
        <w:t>设区的市、县（市）建设行政主管部门对本行政区域内质量检测活动实施监督管理。</w:t>
      </w:r>
    </w:p>
    <w:p>
      <w:pPr>
        <w:spacing w:line="460" w:lineRule="exact"/>
        <w:ind w:firstLine="464" w:firstLineChars="200"/>
        <w:rPr>
          <w:rFonts w:eastAsia="方正仿宋_GBK"/>
          <w:color w:val="000000"/>
          <w:spacing w:val="-2"/>
          <w:sz w:val="24"/>
        </w:rPr>
      </w:pPr>
      <w:r>
        <w:rPr>
          <w:rFonts w:eastAsia="方正仿宋_GBK"/>
          <w:color w:val="000000"/>
          <w:spacing w:val="-2"/>
          <w:sz w:val="24"/>
        </w:rPr>
        <w:t> </w:t>
      </w:r>
      <w:r>
        <w:rPr>
          <w:rFonts w:hint="eastAsia" w:eastAsia="方正黑体_GBK"/>
          <w:color w:val="000000"/>
          <w:spacing w:val="-2"/>
          <w:sz w:val="24"/>
        </w:rPr>
        <w:t>第四条</w:t>
      </w:r>
      <w:r>
        <w:rPr>
          <w:rFonts w:eastAsia="方正仿宋_GBK"/>
          <w:color w:val="000000"/>
          <w:spacing w:val="-2"/>
          <w:sz w:val="24"/>
        </w:rPr>
        <w:t>   </w:t>
      </w:r>
      <w:r>
        <w:rPr>
          <w:rFonts w:hint="eastAsia" w:eastAsia="方正仿宋_GBK"/>
          <w:color w:val="000000"/>
          <w:spacing w:val="-2"/>
          <w:sz w:val="24"/>
        </w:rPr>
        <w:t>检测机构是具有独立法人资格的中介机构。检测机构从事本细则附件一规定的质量检测业务，应当依据本细则取得省建设厅核发的资质证书。检测机构资质按照其承担的检测业务内容分为专项检测机构资质和见证取样检测机构资质。检测机构资质标准由附件二规定。</w:t>
      </w:r>
      <w:r>
        <w:rPr>
          <w:rFonts w:eastAsia="方正仿宋_GBK"/>
          <w:color w:val="000000"/>
          <w:spacing w:val="-2"/>
          <w:sz w:val="24"/>
        </w:rPr>
        <w:t> </w:t>
      </w:r>
    </w:p>
    <w:p>
      <w:pPr>
        <w:spacing w:line="460" w:lineRule="exact"/>
        <w:ind w:firstLine="464" w:firstLineChars="200"/>
        <w:rPr>
          <w:rFonts w:eastAsia="方正仿宋_GBK"/>
          <w:color w:val="000000"/>
          <w:spacing w:val="-2"/>
          <w:sz w:val="24"/>
        </w:rPr>
      </w:pPr>
      <w:r>
        <w:rPr>
          <w:rFonts w:hint="eastAsia" w:eastAsia="方正黑体_GBK"/>
          <w:color w:val="000000"/>
          <w:spacing w:val="-2"/>
          <w:sz w:val="24"/>
        </w:rPr>
        <w:t>第五条</w:t>
      </w:r>
      <w:r>
        <w:rPr>
          <w:rFonts w:eastAsia="方正仿宋_GBK"/>
          <w:color w:val="000000"/>
          <w:spacing w:val="-2"/>
          <w:sz w:val="24"/>
        </w:rPr>
        <w:t xml:space="preserve">  </w:t>
      </w:r>
      <w:r>
        <w:rPr>
          <w:rFonts w:hint="eastAsia" w:eastAsia="方正仿宋_GBK"/>
          <w:color w:val="000000"/>
          <w:spacing w:val="-2"/>
          <w:sz w:val="24"/>
        </w:rPr>
        <w:t>检测机构的资质申请、受理、审查、许可、延期及变更等按有关规定执行。</w:t>
      </w:r>
      <w:r>
        <w:rPr>
          <w:rFonts w:hint="eastAsia" w:ascii="Times New Roman" w:hAnsi="Times New Roman" w:cs="宋体"/>
          <w:b/>
          <w:color w:val="000000"/>
          <w:spacing w:val="-6"/>
          <w:kern w:val="0"/>
          <w:sz w:val="18"/>
          <w:szCs w:val="18"/>
        </w:rPr>
        <w:t xml:space="preserve">          </w:t>
      </w:r>
    </w:p>
    <w:p>
      <w:pPr>
        <w:spacing w:line="460" w:lineRule="exact"/>
        <w:ind w:firstLine="464" w:firstLineChars="200"/>
        <w:rPr>
          <w:rFonts w:eastAsia="方正仿宋_GBK"/>
          <w:color w:val="000000"/>
          <w:spacing w:val="-2"/>
          <w:sz w:val="24"/>
        </w:rPr>
      </w:pPr>
      <w:r>
        <w:rPr>
          <w:rFonts w:hint="eastAsia" w:eastAsia="方正黑体_GBK"/>
          <w:color w:val="000000"/>
          <w:spacing w:val="-2"/>
          <w:sz w:val="24"/>
        </w:rPr>
        <w:t>第六条</w:t>
      </w:r>
      <w:r>
        <w:rPr>
          <w:rFonts w:eastAsia="方正仿宋_GBK"/>
          <w:color w:val="000000"/>
          <w:spacing w:val="-2"/>
          <w:sz w:val="24"/>
        </w:rPr>
        <w:t>    </w:t>
      </w:r>
      <w:r>
        <w:rPr>
          <w:rFonts w:hint="eastAsia" w:eastAsia="方正仿宋_GBK"/>
          <w:color w:val="000000"/>
          <w:spacing w:val="-2"/>
          <w:sz w:val="24"/>
        </w:rPr>
        <w:t>任何单位和个人不得涂改、倒卖、出租、出借或者以其他形式非法转让资质证书。</w:t>
      </w:r>
      <w:r>
        <w:rPr>
          <w:rFonts w:eastAsia="方正仿宋_GBK"/>
          <w:color w:val="000000"/>
          <w:spacing w:val="-2"/>
          <w:sz w:val="24"/>
        </w:rPr>
        <w:t> </w:t>
      </w:r>
    </w:p>
    <w:p>
      <w:pPr>
        <w:spacing w:line="460" w:lineRule="exact"/>
        <w:ind w:firstLine="464" w:firstLineChars="200"/>
        <w:rPr>
          <w:rFonts w:eastAsia="方正仿宋_GBK"/>
          <w:color w:val="000000"/>
          <w:spacing w:val="-2"/>
          <w:sz w:val="24"/>
        </w:rPr>
      </w:pPr>
      <w:r>
        <w:rPr>
          <w:rFonts w:eastAsia="方正黑体_GBK"/>
          <w:color w:val="000000"/>
          <w:spacing w:val="-2"/>
          <w:sz w:val="24"/>
        </w:rPr>
        <w:t> </w:t>
      </w:r>
      <w:r>
        <w:rPr>
          <w:rFonts w:hint="eastAsia" w:eastAsia="方正黑体_GBK"/>
          <w:color w:val="000000"/>
          <w:spacing w:val="-2"/>
          <w:sz w:val="24"/>
        </w:rPr>
        <w:t>第七条</w:t>
      </w:r>
      <w:r>
        <w:rPr>
          <w:rFonts w:eastAsia="方正仿宋_GBK"/>
          <w:color w:val="000000"/>
          <w:spacing w:val="-2"/>
          <w:sz w:val="24"/>
        </w:rPr>
        <w:t xml:space="preserve">   </w:t>
      </w:r>
      <w:r>
        <w:rPr>
          <w:rFonts w:hint="eastAsia" w:eastAsia="方正仿宋_GBK"/>
          <w:color w:val="000000"/>
          <w:spacing w:val="-2"/>
          <w:sz w:val="24"/>
        </w:rPr>
        <w:t>本细则规定的质量检测业务，由工程项目建设单位委托具有相应资质的检测机构进行检测。检测机构不得转包检测业务。委托方与被委托方应当签订书面合同。其内容包括委托检测的内容、执行标准、义务、责任以及争议仲裁等内容。行政机关和法律法规授权的具有管理公共事务职能的单位及个人不得明示或暗示建设单位将检测业务委托给指定检测机构。</w:t>
      </w:r>
    </w:p>
    <w:p>
      <w:pPr>
        <w:spacing w:line="460" w:lineRule="exact"/>
        <w:ind w:firstLine="464" w:firstLineChars="200"/>
        <w:rPr>
          <w:rFonts w:eastAsia="方正仿宋_GBK"/>
          <w:color w:val="000000"/>
          <w:spacing w:val="-2"/>
          <w:sz w:val="24"/>
        </w:rPr>
      </w:pPr>
      <w:r>
        <w:rPr>
          <w:rFonts w:hint="eastAsia" w:eastAsia="方正仿宋_GBK"/>
          <w:color w:val="000000"/>
          <w:spacing w:val="-2"/>
          <w:sz w:val="24"/>
        </w:rPr>
        <w:t>检测结果利害关系人对检测结果发生争议，由双方共同认可的检测机构进行复检，复检结果由提出复检方报当地建设主管部门备案。</w:t>
      </w:r>
    </w:p>
    <w:p>
      <w:pPr>
        <w:spacing w:line="460" w:lineRule="exact"/>
        <w:ind w:firstLine="464" w:firstLineChars="200"/>
        <w:rPr>
          <w:rFonts w:eastAsia="方正仿宋_GBK"/>
          <w:color w:val="000000"/>
          <w:spacing w:val="-2"/>
          <w:sz w:val="24"/>
        </w:rPr>
      </w:pPr>
      <w:r>
        <w:rPr>
          <w:rFonts w:hint="eastAsia" w:eastAsia="方正黑体_GBK"/>
          <w:color w:val="000000"/>
          <w:spacing w:val="-2"/>
          <w:sz w:val="24"/>
        </w:rPr>
        <w:t>第八条</w:t>
      </w:r>
      <w:r>
        <w:rPr>
          <w:rFonts w:eastAsia="方正黑体_GBK"/>
          <w:color w:val="000000"/>
          <w:spacing w:val="-2"/>
          <w:sz w:val="24"/>
        </w:rPr>
        <w:t>   </w:t>
      </w:r>
      <w:r>
        <w:rPr>
          <w:rFonts w:hint="eastAsia" w:eastAsia="方正仿宋_GBK"/>
          <w:color w:val="000000"/>
          <w:spacing w:val="-2"/>
          <w:sz w:val="24"/>
        </w:rPr>
        <w:t>工程质量检测应当严格执行国家和省有关规定、标准等，在建设单位或者工程监理单位监督下现场取样。提供质量检测试样的单位和个人，应当对试样的真实性负责。</w:t>
      </w:r>
      <w:r>
        <w:rPr>
          <w:rFonts w:eastAsia="方正仿宋_GBK"/>
          <w:color w:val="000000"/>
          <w:spacing w:val="-2"/>
          <w:sz w:val="24"/>
        </w:rPr>
        <w:t> </w:t>
      </w:r>
      <w:r>
        <w:rPr>
          <w:rFonts w:hint="eastAsia" w:eastAsia="方正仿宋_GBK"/>
          <w:color w:val="000000"/>
          <w:spacing w:val="-2"/>
          <w:sz w:val="24"/>
        </w:rPr>
        <w:t>程见证人由建设单位或工程监理单位具备建筑施工试验知识并经相关技术培训的专业技术人员担任。建设单位或者工程监理单位应在工程开工前，指定见证人，并将见证人单位、姓名等基本情况书面告知所委托的检测机构。</w:t>
      </w:r>
    </w:p>
    <w:p>
      <w:pPr>
        <w:spacing w:line="460" w:lineRule="exact"/>
        <w:ind w:firstLine="464" w:firstLineChars="200"/>
        <w:rPr>
          <w:rFonts w:eastAsia="方正仿宋_GBK"/>
          <w:color w:val="000000"/>
          <w:spacing w:val="-2"/>
          <w:sz w:val="24"/>
        </w:rPr>
      </w:pPr>
      <w:r>
        <w:rPr>
          <w:rFonts w:hint="eastAsia" w:eastAsia="方正黑体_GBK"/>
          <w:color w:val="000000"/>
          <w:spacing w:val="-2"/>
          <w:sz w:val="24"/>
        </w:rPr>
        <w:t>第九条</w:t>
      </w:r>
      <w:r>
        <w:rPr>
          <w:rFonts w:eastAsia="方正黑体_GBK"/>
          <w:color w:val="000000"/>
          <w:spacing w:val="-2"/>
          <w:sz w:val="24"/>
        </w:rPr>
        <w:t xml:space="preserve"> </w:t>
      </w:r>
      <w:r>
        <w:rPr>
          <w:rFonts w:eastAsia="方正仿宋_GBK"/>
          <w:color w:val="000000"/>
          <w:spacing w:val="-2"/>
          <w:sz w:val="24"/>
        </w:rPr>
        <w:t>   </w:t>
      </w:r>
      <w:r>
        <w:rPr>
          <w:rFonts w:hint="eastAsia" w:eastAsia="方正仿宋_GBK"/>
          <w:color w:val="000000"/>
          <w:spacing w:val="-2"/>
          <w:sz w:val="24"/>
        </w:rPr>
        <w:t>检测原始记录应当全面、真实、准确、并经主检人、审核人签字。检测机构完成检测后，应当依据检测数据及时出具检测报告。检测报告经检测人员签字、审核人员签字、检测机构法定代表人或者其授权的签字人签署，并加盖资质专用章和检测机构公章或者检测专用章后方可生效。</w:t>
      </w:r>
      <w:r>
        <w:rPr>
          <w:rFonts w:eastAsia="方正仿宋_GBK"/>
          <w:color w:val="000000"/>
          <w:spacing w:val="-2"/>
          <w:sz w:val="24"/>
        </w:rPr>
        <w:t> </w:t>
      </w:r>
    </w:p>
    <w:p>
      <w:pPr>
        <w:spacing w:line="460" w:lineRule="exact"/>
        <w:ind w:firstLine="464" w:firstLineChars="200"/>
        <w:rPr>
          <w:rFonts w:eastAsia="方正仿宋_GBK"/>
          <w:color w:val="000000"/>
          <w:spacing w:val="-2"/>
          <w:sz w:val="24"/>
        </w:rPr>
      </w:pPr>
      <w:r>
        <w:rPr>
          <w:rFonts w:hint="eastAsia" w:eastAsia="方正仿宋_GBK"/>
          <w:color w:val="000000"/>
          <w:spacing w:val="-2"/>
          <w:sz w:val="24"/>
        </w:rPr>
        <w:t>见证取样检测的检测报告中应当注明见证人单位及姓名，加盖见证取样章。</w:t>
      </w:r>
    </w:p>
    <w:p>
      <w:pPr>
        <w:spacing w:line="460" w:lineRule="exact"/>
        <w:ind w:firstLine="464" w:firstLineChars="200"/>
        <w:rPr>
          <w:rFonts w:eastAsia="方正仿宋_GBK"/>
          <w:color w:val="000000"/>
          <w:spacing w:val="-2"/>
          <w:sz w:val="24"/>
        </w:rPr>
      </w:pPr>
      <w:r>
        <w:rPr>
          <w:rFonts w:hint="eastAsia" w:eastAsia="方正黑体_GBK"/>
          <w:color w:val="000000"/>
          <w:spacing w:val="-2"/>
          <w:sz w:val="24"/>
        </w:rPr>
        <w:t>第十条</w:t>
      </w:r>
      <w:r>
        <w:rPr>
          <w:rFonts w:eastAsia="方正仿宋_GBK"/>
          <w:color w:val="000000"/>
          <w:spacing w:val="-2"/>
          <w:sz w:val="24"/>
        </w:rPr>
        <w:t>   </w:t>
      </w:r>
      <w:r>
        <w:rPr>
          <w:rFonts w:hint="eastAsia" w:eastAsia="方正仿宋_GBK"/>
          <w:color w:val="000000"/>
          <w:spacing w:val="-2"/>
          <w:sz w:val="24"/>
        </w:rPr>
        <w:t>任何单位和个人不得明示或者暗示检测机构出具虚假检测报告，不得篡改或者伪造检测报告。</w:t>
      </w:r>
      <w:r>
        <w:rPr>
          <w:rFonts w:eastAsia="方正仿宋_GBK"/>
          <w:color w:val="000000"/>
          <w:spacing w:val="-2"/>
          <w:sz w:val="24"/>
        </w:rPr>
        <w:t> </w:t>
      </w:r>
    </w:p>
    <w:p>
      <w:pPr>
        <w:spacing w:line="460" w:lineRule="exact"/>
        <w:ind w:firstLine="464" w:firstLineChars="200"/>
        <w:rPr>
          <w:rFonts w:eastAsia="方正仿宋_GBK"/>
          <w:color w:val="000000"/>
          <w:spacing w:val="-2"/>
          <w:sz w:val="24"/>
        </w:rPr>
      </w:pPr>
      <w:r>
        <w:rPr>
          <w:rFonts w:hint="eastAsia" w:eastAsia="方正黑体_GBK"/>
          <w:color w:val="000000"/>
          <w:spacing w:val="-2"/>
          <w:sz w:val="24"/>
        </w:rPr>
        <w:t>第十一条</w:t>
      </w:r>
      <w:r>
        <w:rPr>
          <w:rFonts w:eastAsia="方正黑体_GBK"/>
          <w:color w:val="000000"/>
          <w:spacing w:val="-2"/>
          <w:sz w:val="24"/>
        </w:rPr>
        <w:t xml:space="preserve">    </w:t>
      </w:r>
      <w:r>
        <w:rPr>
          <w:rFonts w:hint="eastAsia" w:eastAsia="方正仿宋_GBK"/>
          <w:color w:val="000000"/>
          <w:spacing w:val="-2"/>
          <w:sz w:val="24"/>
        </w:rPr>
        <w:t>检测人员应当严守职业道德和工作程序，保证试验检测数据科学、客观、公正，并对试验检测结果承担法律责任。</w:t>
      </w:r>
      <w:r>
        <w:rPr>
          <w:rFonts w:eastAsia="方正仿宋_GBK"/>
          <w:color w:val="000000"/>
          <w:spacing w:val="-2"/>
          <w:sz w:val="24"/>
        </w:rPr>
        <w:t> </w:t>
      </w:r>
      <w:r>
        <w:rPr>
          <w:rFonts w:hint="eastAsia" w:eastAsia="方正仿宋_GBK"/>
          <w:color w:val="000000"/>
          <w:spacing w:val="-2"/>
          <w:sz w:val="24"/>
        </w:rPr>
        <w:t>测检测人员应当经过相关检测技术培训。</w:t>
      </w:r>
    </w:p>
    <w:p>
      <w:pPr>
        <w:spacing w:line="460" w:lineRule="exact"/>
        <w:ind w:firstLine="464" w:firstLineChars="200"/>
        <w:rPr>
          <w:rFonts w:eastAsia="方正仿宋_GBK"/>
          <w:color w:val="000000"/>
          <w:spacing w:val="-2"/>
          <w:sz w:val="24"/>
        </w:rPr>
      </w:pPr>
      <w:r>
        <w:rPr>
          <w:rFonts w:hint="eastAsia" w:eastAsia="方正仿宋_GBK"/>
          <w:color w:val="000000"/>
          <w:spacing w:val="-2"/>
          <w:sz w:val="24"/>
        </w:rPr>
        <w:t>检测人员不得同时受聘于两个或者两个以上检测机构。检测人员单位变动的，应当办理变更手续。</w:t>
      </w:r>
      <w:r>
        <w:rPr>
          <w:rFonts w:eastAsia="方正仿宋_GBK"/>
          <w:color w:val="000000"/>
          <w:spacing w:val="-2"/>
          <w:sz w:val="24"/>
        </w:rPr>
        <w:t> </w:t>
      </w:r>
    </w:p>
    <w:p>
      <w:pPr>
        <w:spacing w:line="460" w:lineRule="exact"/>
        <w:ind w:firstLine="464" w:firstLineChars="200"/>
        <w:rPr>
          <w:rFonts w:eastAsia="方正仿宋_GBK"/>
          <w:color w:val="000000"/>
          <w:spacing w:val="-2"/>
          <w:sz w:val="24"/>
        </w:rPr>
      </w:pPr>
      <w:r>
        <w:rPr>
          <w:rFonts w:hint="eastAsia" w:eastAsia="方正仿宋_GBK"/>
          <w:color w:val="000000"/>
          <w:spacing w:val="-2"/>
          <w:sz w:val="24"/>
        </w:rPr>
        <w:t>检测机构和人员不得推荐或者监制建筑材料、构配件和设备等。</w:t>
      </w:r>
      <w:r>
        <w:rPr>
          <w:rFonts w:eastAsia="方正仿宋_GBK"/>
          <w:color w:val="000000"/>
          <w:spacing w:val="-2"/>
          <w:sz w:val="24"/>
        </w:rPr>
        <w:t> </w:t>
      </w:r>
    </w:p>
    <w:p>
      <w:pPr>
        <w:spacing w:line="460" w:lineRule="exact"/>
        <w:ind w:firstLine="464" w:firstLineChars="200"/>
        <w:rPr>
          <w:rFonts w:eastAsia="方正仿宋_GBK"/>
          <w:color w:val="000000"/>
          <w:spacing w:val="-2"/>
          <w:sz w:val="24"/>
        </w:rPr>
      </w:pPr>
      <w:r>
        <w:rPr>
          <w:rFonts w:hint="eastAsia" w:eastAsia="方正仿宋_GBK"/>
          <w:color w:val="000000"/>
          <w:spacing w:val="-2"/>
          <w:sz w:val="24"/>
        </w:rPr>
        <w:t>检测机构不得与行政机关、法律、法规授权的具有管理公共事务职能的组织以及所检测工程项目相关的设计单位、施工单位、监理单位有隶属关系或者其他利害关系。</w:t>
      </w:r>
    </w:p>
    <w:p>
      <w:pPr>
        <w:spacing w:line="460" w:lineRule="exact"/>
        <w:ind w:firstLine="464" w:firstLineChars="200"/>
        <w:rPr>
          <w:rFonts w:eastAsia="方正仿宋_GBK"/>
          <w:color w:val="000000"/>
          <w:spacing w:val="-2"/>
          <w:sz w:val="24"/>
        </w:rPr>
      </w:pPr>
      <w:r>
        <w:rPr>
          <w:rFonts w:hint="eastAsia" w:eastAsia="方正黑体_GBK"/>
          <w:color w:val="000000"/>
          <w:spacing w:val="-2"/>
          <w:sz w:val="24"/>
        </w:rPr>
        <w:t>第十二条</w:t>
      </w:r>
      <w:r>
        <w:rPr>
          <w:rFonts w:eastAsia="方正仿宋_GBK"/>
          <w:color w:val="000000"/>
          <w:spacing w:val="-2"/>
          <w:sz w:val="24"/>
        </w:rPr>
        <w:t xml:space="preserve">   </w:t>
      </w:r>
      <w:r>
        <w:rPr>
          <w:rFonts w:hint="eastAsia" w:eastAsia="方正仿宋_GBK"/>
          <w:color w:val="000000"/>
          <w:spacing w:val="-2"/>
          <w:sz w:val="24"/>
        </w:rPr>
        <w:t>检测机构不得转包检测业务。</w:t>
      </w:r>
      <w:r>
        <w:rPr>
          <w:rFonts w:eastAsia="方正仿宋_GBK"/>
          <w:color w:val="000000"/>
          <w:spacing w:val="-2"/>
          <w:sz w:val="24"/>
        </w:rPr>
        <w:t> </w:t>
      </w:r>
    </w:p>
    <w:p>
      <w:pPr>
        <w:spacing w:line="460" w:lineRule="exact"/>
        <w:ind w:firstLine="448" w:firstLineChars="200"/>
        <w:rPr>
          <w:rFonts w:eastAsia="方正仿宋_GBK"/>
          <w:color w:val="000000"/>
          <w:spacing w:val="-6"/>
          <w:sz w:val="24"/>
        </w:rPr>
      </w:pPr>
      <w:r>
        <w:rPr>
          <w:rFonts w:hint="eastAsia" w:eastAsia="方正仿宋_GBK"/>
          <w:color w:val="000000"/>
          <w:spacing w:val="-6"/>
          <w:sz w:val="24"/>
        </w:rPr>
        <w:t>省外检测机构在本省行政区域内从事工程质量检测业务的，应当向省建设厅备案。设区的市、县（市）建设行政主管部门应当以对其在当地的检测活动加强监督检查。</w:t>
      </w:r>
    </w:p>
    <w:p>
      <w:pPr>
        <w:spacing w:line="460" w:lineRule="exact"/>
        <w:ind w:firstLine="464" w:firstLineChars="200"/>
        <w:rPr>
          <w:rFonts w:eastAsia="方正仿宋_GBK"/>
          <w:color w:val="000000"/>
          <w:spacing w:val="-2"/>
          <w:sz w:val="24"/>
        </w:rPr>
      </w:pPr>
      <w:r>
        <w:rPr>
          <w:rFonts w:hint="eastAsia" w:eastAsia="方正黑体_GBK"/>
          <w:color w:val="000000"/>
          <w:spacing w:val="-2"/>
          <w:sz w:val="24"/>
        </w:rPr>
        <w:t>第十三条</w:t>
      </w:r>
      <w:r>
        <w:rPr>
          <w:rFonts w:eastAsia="方正仿宋_GBK"/>
          <w:color w:val="000000"/>
          <w:spacing w:val="-2"/>
          <w:sz w:val="24"/>
        </w:rPr>
        <w:t>    </w:t>
      </w:r>
      <w:r>
        <w:rPr>
          <w:rFonts w:hint="eastAsia" w:eastAsia="方正仿宋_GBK"/>
          <w:color w:val="000000"/>
          <w:spacing w:val="-2"/>
          <w:sz w:val="24"/>
        </w:rPr>
        <w:t>检测机构应当对其检测数据和检测报告的真实性和准确性负责。检测机构违反法律、法规和工程建设强制性标准，给他人造成损失的，应当依法承担相应的赔偿责任。</w:t>
      </w:r>
      <w:r>
        <w:rPr>
          <w:rFonts w:eastAsia="方正仿宋_GBK"/>
          <w:color w:val="000000"/>
          <w:spacing w:val="-2"/>
          <w:sz w:val="24"/>
        </w:rPr>
        <w:t> </w:t>
      </w:r>
    </w:p>
    <w:p>
      <w:pPr>
        <w:spacing w:line="460" w:lineRule="exact"/>
        <w:ind w:firstLine="464" w:firstLineChars="200"/>
        <w:rPr>
          <w:rFonts w:eastAsia="方正仿宋_GBK"/>
          <w:color w:val="000000"/>
          <w:spacing w:val="-2"/>
          <w:sz w:val="24"/>
        </w:rPr>
      </w:pPr>
      <w:r>
        <w:rPr>
          <w:rFonts w:hint="eastAsia" w:eastAsia="方正黑体_GBK"/>
          <w:color w:val="000000"/>
          <w:spacing w:val="-2"/>
          <w:sz w:val="24"/>
        </w:rPr>
        <w:t>第十四条</w:t>
      </w:r>
      <w:r>
        <w:rPr>
          <w:rFonts w:eastAsia="方正仿宋_GBK"/>
          <w:color w:val="000000"/>
          <w:spacing w:val="-2"/>
          <w:sz w:val="24"/>
        </w:rPr>
        <w:t xml:space="preserve">   </w:t>
      </w:r>
      <w:r>
        <w:rPr>
          <w:rFonts w:hint="eastAsia" w:eastAsia="方正仿宋_GBK"/>
          <w:color w:val="000000"/>
          <w:spacing w:val="-2"/>
          <w:sz w:val="24"/>
        </w:rPr>
        <w:t>检测机构应当将检测过程中发现的建设单位、监理单位、施工单位违反有关法律、法规和工程建设强制性标准的情况，及时报告工程所在地建设行政主管部门。</w:t>
      </w:r>
      <w:r>
        <w:rPr>
          <w:rFonts w:eastAsia="方正仿宋_GBK"/>
          <w:color w:val="000000"/>
          <w:spacing w:val="-2"/>
          <w:sz w:val="24"/>
        </w:rPr>
        <w:t> </w:t>
      </w:r>
    </w:p>
    <w:p>
      <w:pPr>
        <w:spacing w:line="460" w:lineRule="exact"/>
        <w:ind w:firstLine="464" w:firstLineChars="200"/>
        <w:rPr>
          <w:rFonts w:eastAsia="方正仿宋_GBK"/>
          <w:color w:val="000000"/>
          <w:spacing w:val="-2"/>
          <w:sz w:val="24"/>
        </w:rPr>
      </w:pPr>
      <w:r>
        <w:rPr>
          <w:rFonts w:hint="eastAsia" w:eastAsia="方正仿宋_GBK"/>
          <w:color w:val="000000"/>
          <w:spacing w:val="-2"/>
          <w:sz w:val="24"/>
        </w:rPr>
        <w:t>检测机构应当单独建立检测结果不合格项目台帐，并定期上报工程所在地质量监督机构。其中涉及结构安全检测结果为不合格时，应当在一个工作日内报至该工程项目的质量监督机构。</w:t>
      </w:r>
      <w:r>
        <w:rPr>
          <w:rFonts w:eastAsia="方正仿宋_GBK"/>
          <w:color w:val="000000"/>
          <w:spacing w:val="-2"/>
          <w:sz w:val="24"/>
        </w:rPr>
        <w:t> </w:t>
      </w:r>
    </w:p>
    <w:p>
      <w:pPr>
        <w:spacing w:line="460" w:lineRule="exact"/>
        <w:ind w:firstLine="464" w:firstLineChars="200"/>
        <w:rPr>
          <w:rFonts w:eastAsia="方正仿宋_GBK"/>
          <w:color w:val="000000"/>
          <w:spacing w:val="-2"/>
          <w:sz w:val="24"/>
        </w:rPr>
      </w:pPr>
      <w:r>
        <w:rPr>
          <w:rFonts w:hint="eastAsia" w:eastAsia="方正黑体_GBK"/>
          <w:color w:val="000000"/>
          <w:spacing w:val="-2"/>
          <w:sz w:val="24"/>
        </w:rPr>
        <w:t>第十五条</w:t>
      </w:r>
      <w:r>
        <w:rPr>
          <w:rFonts w:eastAsia="方正仿宋_GBK"/>
          <w:color w:val="000000"/>
          <w:spacing w:val="-2"/>
          <w:sz w:val="24"/>
        </w:rPr>
        <w:t>   </w:t>
      </w:r>
      <w:r>
        <w:rPr>
          <w:rFonts w:hint="eastAsia" w:eastAsia="方正仿宋_GBK"/>
          <w:color w:val="000000"/>
          <w:spacing w:val="-2"/>
          <w:sz w:val="24"/>
        </w:rPr>
        <w:t>检测机构应当建立档案管理制度。检测合同、委托单、原始记录、检测报告应当按年度统一编号，编号应当连续，不得抽撤、涂改。</w:t>
      </w:r>
      <w:r>
        <w:rPr>
          <w:rFonts w:eastAsia="方正仿宋_GBK"/>
          <w:color w:val="000000"/>
          <w:spacing w:val="-2"/>
          <w:sz w:val="24"/>
        </w:rPr>
        <w:t> </w:t>
      </w:r>
    </w:p>
    <w:p>
      <w:pPr>
        <w:spacing w:line="460" w:lineRule="exact"/>
        <w:ind w:firstLine="464" w:firstLineChars="200"/>
        <w:rPr>
          <w:rFonts w:eastAsia="方正仿宋_GBK"/>
          <w:color w:val="000000"/>
          <w:spacing w:val="-2"/>
          <w:sz w:val="24"/>
        </w:rPr>
      </w:pPr>
      <w:r>
        <w:rPr>
          <w:rFonts w:hint="eastAsia" w:eastAsia="方正黑体_GBK"/>
          <w:color w:val="000000"/>
          <w:spacing w:val="-2"/>
          <w:sz w:val="24"/>
        </w:rPr>
        <w:t>第十六条</w:t>
      </w:r>
      <w:r>
        <w:rPr>
          <w:rFonts w:eastAsia="方正黑体_GBK"/>
          <w:color w:val="000000"/>
          <w:spacing w:val="-2"/>
          <w:sz w:val="24"/>
        </w:rPr>
        <w:t xml:space="preserve"> </w:t>
      </w:r>
      <w:r>
        <w:rPr>
          <w:rFonts w:eastAsia="方正仿宋_GBK"/>
          <w:color w:val="000000"/>
          <w:spacing w:val="-2"/>
          <w:sz w:val="24"/>
        </w:rPr>
        <w:t>  </w:t>
      </w:r>
      <w:r>
        <w:rPr>
          <w:rFonts w:hint="eastAsia" w:eastAsia="方正仿宋_GBK"/>
          <w:color w:val="000000"/>
          <w:spacing w:val="-2"/>
          <w:sz w:val="24"/>
        </w:rPr>
        <w:t>各级建设行政主管部门应当加强对检测机构的监督检查，主要检查下列内容：</w:t>
      </w:r>
      <w:r>
        <w:rPr>
          <w:rFonts w:eastAsia="方正仿宋_GBK"/>
          <w:color w:val="000000"/>
          <w:spacing w:val="-2"/>
          <w:sz w:val="24"/>
        </w:rPr>
        <w:t> </w:t>
      </w:r>
    </w:p>
    <w:p>
      <w:pPr>
        <w:spacing w:line="460" w:lineRule="exact"/>
        <w:ind w:firstLine="464" w:firstLineChars="200"/>
        <w:rPr>
          <w:rFonts w:eastAsia="方正仿宋_GBK"/>
          <w:color w:val="000000"/>
          <w:spacing w:val="-2"/>
          <w:sz w:val="24"/>
        </w:rPr>
      </w:pPr>
      <w:r>
        <w:rPr>
          <w:rFonts w:hint="eastAsia" w:eastAsia="方正仿宋_GBK"/>
          <w:color w:val="000000"/>
          <w:spacing w:val="-2"/>
          <w:sz w:val="24"/>
        </w:rPr>
        <w:t>（一）是否符合本细则规定的资质标准；</w:t>
      </w:r>
    </w:p>
    <w:p>
      <w:pPr>
        <w:spacing w:line="460" w:lineRule="exact"/>
        <w:ind w:firstLine="464" w:firstLineChars="200"/>
        <w:rPr>
          <w:rFonts w:eastAsia="方正仿宋_GBK"/>
          <w:color w:val="000000"/>
          <w:spacing w:val="-2"/>
          <w:sz w:val="24"/>
        </w:rPr>
      </w:pPr>
      <w:r>
        <w:rPr>
          <w:rFonts w:hint="eastAsia" w:eastAsia="方正仿宋_GBK"/>
          <w:color w:val="000000"/>
          <w:spacing w:val="-2"/>
          <w:sz w:val="24"/>
        </w:rPr>
        <w:t>（二）是否超出资质范围从事质量检测活动；</w:t>
      </w:r>
      <w:r>
        <w:rPr>
          <w:rFonts w:eastAsia="方正仿宋_GBK"/>
          <w:color w:val="000000"/>
          <w:spacing w:val="-2"/>
          <w:sz w:val="24"/>
        </w:rPr>
        <w:t> </w:t>
      </w:r>
    </w:p>
    <w:p>
      <w:pPr>
        <w:spacing w:line="460" w:lineRule="exact"/>
        <w:ind w:firstLine="464" w:firstLineChars="200"/>
        <w:rPr>
          <w:rFonts w:eastAsia="方正仿宋_GBK"/>
          <w:color w:val="000000"/>
          <w:spacing w:val="-2"/>
          <w:sz w:val="24"/>
        </w:rPr>
      </w:pPr>
      <w:r>
        <w:rPr>
          <w:rFonts w:hint="eastAsia" w:eastAsia="方正仿宋_GBK"/>
          <w:color w:val="000000"/>
          <w:spacing w:val="-2"/>
          <w:sz w:val="24"/>
        </w:rPr>
        <w:t>（三）是否有涂改、倒卖、出租、出借或者以其他形式非法转让资质证书的行为；</w:t>
      </w:r>
    </w:p>
    <w:p>
      <w:pPr>
        <w:spacing w:line="460" w:lineRule="exact"/>
        <w:ind w:firstLine="464" w:firstLineChars="200"/>
        <w:rPr>
          <w:rFonts w:eastAsia="方正仿宋_GBK"/>
          <w:color w:val="000000"/>
          <w:spacing w:val="-2"/>
          <w:sz w:val="24"/>
        </w:rPr>
      </w:pPr>
      <w:r>
        <w:rPr>
          <w:rFonts w:hint="eastAsia" w:eastAsia="方正仿宋_GBK"/>
          <w:color w:val="000000"/>
          <w:spacing w:val="-2"/>
          <w:sz w:val="24"/>
        </w:rPr>
        <w:t>（四）是否按规定在检测报告上签字盖章，检测报告是否真实；</w:t>
      </w:r>
    </w:p>
    <w:p>
      <w:pPr>
        <w:spacing w:line="460" w:lineRule="exact"/>
        <w:ind w:firstLine="464" w:firstLineChars="200"/>
        <w:rPr>
          <w:rFonts w:eastAsia="方正仿宋_GBK"/>
          <w:color w:val="000000"/>
          <w:spacing w:val="-2"/>
          <w:sz w:val="24"/>
        </w:rPr>
      </w:pPr>
      <w:r>
        <w:rPr>
          <w:rFonts w:hint="eastAsia" w:eastAsia="方正仿宋_GBK"/>
          <w:color w:val="000000"/>
          <w:spacing w:val="-2"/>
          <w:sz w:val="24"/>
        </w:rPr>
        <w:t>（五）检测机构是否按有关技术标准和规定进行检测；</w:t>
      </w:r>
    </w:p>
    <w:p>
      <w:pPr>
        <w:spacing w:line="460" w:lineRule="exact"/>
        <w:ind w:firstLine="464" w:firstLineChars="200"/>
        <w:rPr>
          <w:rFonts w:eastAsia="方正仿宋_GBK"/>
          <w:color w:val="000000"/>
          <w:spacing w:val="-2"/>
          <w:sz w:val="24"/>
        </w:rPr>
      </w:pPr>
      <w:r>
        <w:rPr>
          <w:rFonts w:hint="eastAsia" w:eastAsia="方正仿宋_GBK"/>
          <w:color w:val="000000"/>
          <w:spacing w:val="-2"/>
          <w:sz w:val="24"/>
        </w:rPr>
        <w:t>（六）仪器设备及环境条件是否符合计量认证要求；</w:t>
      </w:r>
    </w:p>
    <w:p>
      <w:pPr>
        <w:spacing w:line="460" w:lineRule="exact"/>
        <w:ind w:firstLine="464" w:firstLineChars="200"/>
        <w:rPr>
          <w:rFonts w:eastAsia="方正仿宋_GBK"/>
          <w:color w:val="000000"/>
          <w:spacing w:val="-2"/>
          <w:sz w:val="24"/>
        </w:rPr>
      </w:pPr>
      <w:r>
        <w:rPr>
          <w:rFonts w:hint="eastAsia" w:eastAsia="方正仿宋_GBK"/>
          <w:color w:val="000000"/>
          <w:spacing w:val="-2"/>
          <w:sz w:val="24"/>
        </w:rPr>
        <w:t>（七）法律、法规规定的其他事项。</w:t>
      </w:r>
      <w:r>
        <w:rPr>
          <w:rFonts w:eastAsia="方正仿宋_GBK"/>
          <w:color w:val="000000"/>
          <w:spacing w:val="-2"/>
          <w:sz w:val="24"/>
        </w:rPr>
        <w:t> </w:t>
      </w:r>
    </w:p>
    <w:p>
      <w:pPr>
        <w:spacing w:line="460" w:lineRule="exact"/>
        <w:ind w:firstLine="464" w:firstLineChars="200"/>
        <w:rPr>
          <w:rFonts w:eastAsia="方正仿宋_GBK"/>
          <w:color w:val="000000"/>
          <w:spacing w:val="-2"/>
          <w:sz w:val="24"/>
        </w:rPr>
      </w:pPr>
      <w:r>
        <w:rPr>
          <w:rFonts w:hint="eastAsia" w:eastAsia="方正黑体_GBK"/>
          <w:color w:val="000000"/>
          <w:spacing w:val="-2"/>
          <w:sz w:val="24"/>
        </w:rPr>
        <w:t>第十七条</w:t>
      </w:r>
      <w:r>
        <w:rPr>
          <w:rFonts w:eastAsia="方正仿宋_GBK"/>
          <w:color w:val="000000"/>
          <w:spacing w:val="-2"/>
          <w:sz w:val="24"/>
        </w:rPr>
        <w:t>    </w:t>
      </w:r>
      <w:r>
        <w:rPr>
          <w:rFonts w:hint="eastAsia" w:eastAsia="方正仿宋_GBK"/>
          <w:color w:val="000000"/>
          <w:spacing w:val="-2"/>
          <w:sz w:val="24"/>
        </w:rPr>
        <w:t>各级建设行政主管部门实施监督检查时，有权采取下列措施：</w:t>
      </w:r>
    </w:p>
    <w:p>
      <w:pPr>
        <w:spacing w:line="460" w:lineRule="exact"/>
        <w:ind w:firstLine="464" w:firstLineChars="200"/>
        <w:rPr>
          <w:rFonts w:eastAsia="方正仿宋_GBK"/>
          <w:color w:val="000000"/>
          <w:spacing w:val="-2"/>
          <w:sz w:val="24"/>
        </w:rPr>
      </w:pPr>
      <w:r>
        <w:rPr>
          <w:rFonts w:hint="eastAsia" w:eastAsia="方正仿宋_GBK"/>
          <w:color w:val="000000"/>
          <w:spacing w:val="-2"/>
          <w:sz w:val="24"/>
        </w:rPr>
        <w:t>（一）要求检测机构或者委托方提供相关的文件和资料；</w:t>
      </w:r>
    </w:p>
    <w:p>
      <w:pPr>
        <w:spacing w:line="460" w:lineRule="exact"/>
        <w:ind w:firstLine="464" w:firstLineChars="200"/>
        <w:rPr>
          <w:rFonts w:eastAsia="方正仿宋_GBK"/>
          <w:color w:val="000000"/>
          <w:spacing w:val="-2"/>
          <w:sz w:val="24"/>
        </w:rPr>
      </w:pPr>
      <w:r>
        <w:rPr>
          <w:rFonts w:hint="eastAsia" w:eastAsia="方正仿宋_GBK"/>
          <w:color w:val="000000"/>
          <w:spacing w:val="-2"/>
          <w:sz w:val="24"/>
        </w:rPr>
        <w:t>（二）进入检测机构的工作场地（包括施工现场）进行抽查；</w:t>
      </w:r>
    </w:p>
    <w:p>
      <w:pPr>
        <w:spacing w:line="460" w:lineRule="exact"/>
        <w:ind w:firstLine="464" w:firstLineChars="200"/>
        <w:rPr>
          <w:rFonts w:eastAsia="方正仿宋_GBK"/>
          <w:color w:val="000000"/>
          <w:spacing w:val="-2"/>
          <w:sz w:val="24"/>
        </w:rPr>
      </w:pPr>
      <w:r>
        <w:rPr>
          <w:rFonts w:hint="eastAsia" w:eastAsia="方正仿宋_GBK"/>
          <w:color w:val="000000"/>
          <w:spacing w:val="-2"/>
          <w:sz w:val="24"/>
        </w:rPr>
        <w:t>（三）组织进行比对试验以验证检测机构的检测能力；</w:t>
      </w:r>
      <w:r>
        <w:rPr>
          <w:rFonts w:eastAsia="方正仿宋_GBK"/>
          <w:color w:val="000000"/>
          <w:spacing w:val="-2"/>
          <w:sz w:val="24"/>
        </w:rPr>
        <w:t> </w:t>
      </w:r>
    </w:p>
    <w:p>
      <w:pPr>
        <w:spacing w:line="460" w:lineRule="exact"/>
        <w:ind w:firstLine="464" w:firstLineChars="200"/>
        <w:rPr>
          <w:rFonts w:eastAsia="方正仿宋_GBK"/>
          <w:color w:val="000000"/>
          <w:spacing w:val="-2"/>
          <w:sz w:val="24"/>
        </w:rPr>
      </w:pPr>
      <w:r>
        <w:rPr>
          <w:rFonts w:hint="eastAsia" w:eastAsia="方正仿宋_GBK"/>
          <w:color w:val="000000"/>
          <w:spacing w:val="-2"/>
          <w:sz w:val="24"/>
        </w:rPr>
        <w:t>（四）发现有不符合国家有关法律、法规和工程建设标准要求的检测行为时，责令改正。</w:t>
      </w:r>
      <w:r>
        <w:rPr>
          <w:rFonts w:eastAsia="方正仿宋_GBK"/>
          <w:color w:val="000000"/>
          <w:spacing w:val="-2"/>
          <w:sz w:val="24"/>
        </w:rPr>
        <w:t> </w:t>
      </w:r>
    </w:p>
    <w:p>
      <w:pPr>
        <w:spacing w:line="460" w:lineRule="exact"/>
        <w:ind w:firstLine="464" w:firstLineChars="200"/>
        <w:rPr>
          <w:rFonts w:eastAsia="方正仿宋_GBK"/>
          <w:color w:val="000000"/>
          <w:spacing w:val="-2"/>
          <w:sz w:val="24"/>
        </w:rPr>
      </w:pPr>
      <w:r>
        <w:rPr>
          <w:rFonts w:hint="eastAsia" w:eastAsia="方正仿宋_GBK"/>
          <w:color w:val="000000"/>
          <w:spacing w:val="-2"/>
          <w:sz w:val="24"/>
        </w:rPr>
        <w:t>省建设厅对检测机构不定期组织监督检查和比对试验，对发现的违规行为进行处理，对检测能力验证不合格的检测机构进行二次验证，仍不合格的，暂停该比对项目的检测工作。</w:t>
      </w:r>
      <w:r>
        <w:rPr>
          <w:rFonts w:eastAsia="方正仿宋_GBK"/>
          <w:color w:val="000000"/>
          <w:spacing w:val="-2"/>
          <w:sz w:val="24"/>
        </w:rPr>
        <w:t> </w:t>
      </w:r>
    </w:p>
    <w:p>
      <w:pPr>
        <w:spacing w:line="460" w:lineRule="exact"/>
        <w:ind w:firstLine="464" w:firstLineChars="200"/>
        <w:rPr>
          <w:rFonts w:eastAsia="方正仿宋_GBK"/>
          <w:color w:val="000000"/>
          <w:spacing w:val="-6"/>
          <w:sz w:val="24"/>
        </w:rPr>
      </w:pPr>
      <w:r>
        <w:rPr>
          <w:rFonts w:hint="eastAsia" w:eastAsia="方正黑体_GBK"/>
          <w:color w:val="000000"/>
          <w:spacing w:val="-2"/>
          <w:sz w:val="24"/>
        </w:rPr>
        <w:t>第十八条</w:t>
      </w:r>
      <w:r>
        <w:rPr>
          <w:rFonts w:eastAsia="方正仿宋_GBK"/>
          <w:color w:val="000000"/>
          <w:spacing w:val="-2"/>
          <w:sz w:val="24"/>
        </w:rPr>
        <w:t xml:space="preserve">   </w:t>
      </w:r>
      <w:r>
        <w:rPr>
          <w:rFonts w:hint="eastAsia" w:eastAsia="方正仿宋_GBK"/>
          <w:color w:val="000000"/>
          <w:spacing w:val="-6"/>
          <w:sz w:val="24"/>
        </w:rPr>
        <w:t>各级建设行政主管部门在监督检查中为收集证据的需要，可以对有关试样和检测资料采取抽样取证的方法；在证据可能灭失或者以后难以取得的情况下，经部门负责人批准，可以先行登记保存有关试样和检测资料，并应当在</w:t>
      </w:r>
      <w:r>
        <w:rPr>
          <w:rFonts w:eastAsia="方正仿宋_GBK"/>
          <w:color w:val="000000"/>
          <w:spacing w:val="-6"/>
          <w:sz w:val="24"/>
        </w:rPr>
        <w:t>7</w:t>
      </w:r>
      <w:r>
        <w:rPr>
          <w:rFonts w:hint="eastAsia" w:eastAsia="方正仿宋_GBK"/>
          <w:color w:val="000000"/>
          <w:spacing w:val="-6"/>
          <w:sz w:val="24"/>
        </w:rPr>
        <w:t>日内及时作出处理决定，在此期间，当事人或者有关人员不得销毁或者转移有关试样和检测资料。</w:t>
      </w:r>
    </w:p>
    <w:p>
      <w:pPr>
        <w:spacing w:line="460" w:lineRule="exact"/>
        <w:ind w:firstLine="464" w:firstLineChars="200"/>
        <w:rPr>
          <w:rFonts w:eastAsia="方正仿宋_GBK"/>
          <w:color w:val="000000"/>
          <w:spacing w:val="-2"/>
          <w:sz w:val="24"/>
        </w:rPr>
      </w:pPr>
      <w:r>
        <w:rPr>
          <w:rFonts w:hint="eastAsia" w:eastAsia="方正黑体_GBK"/>
          <w:color w:val="000000"/>
          <w:spacing w:val="-2"/>
          <w:sz w:val="24"/>
        </w:rPr>
        <w:t>第十九条</w:t>
      </w:r>
      <w:r>
        <w:rPr>
          <w:rFonts w:eastAsia="方正仿宋_GBK"/>
          <w:color w:val="000000"/>
          <w:spacing w:val="-2"/>
          <w:sz w:val="24"/>
        </w:rPr>
        <w:t xml:space="preserve">   </w:t>
      </w:r>
      <w:r>
        <w:rPr>
          <w:rFonts w:hint="eastAsia" w:eastAsia="方正仿宋_GBK"/>
          <w:color w:val="000000"/>
          <w:spacing w:val="-2"/>
          <w:sz w:val="24"/>
        </w:rPr>
        <w:t>各级建设行政主管部门对监督检查中发现的问题应当按规定权限进行处理，并及时报告省建设厅。</w:t>
      </w:r>
      <w:r>
        <w:rPr>
          <w:rFonts w:eastAsia="方正仿宋_GBK"/>
          <w:color w:val="000000"/>
          <w:spacing w:val="-2"/>
          <w:sz w:val="24"/>
        </w:rPr>
        <w:t> </w:t>
      </w:r>
    </w:p>
    <w:p>
      <w:pPr>
        <w:spacing w:line="460" w:lineRule="exact"/>
        <w:ind w:firstLine="464" w:firstLineChars="200"/>
        <w:rPr>
          <w:rFonts w:eastAsia="方正仿宋_GBK"/>
          <w:color w:val="000000"/>
          <w:spacing w:val="-2"/>
          <w:sz w:val="24"/>
        </w:rPr>
      </w:pPr>
      <w:r>
        <w:rPr>
          <w:rFonts w:hint="eastAsia" w:eastAsia="方正黑体_GBK"/>
          <w:color w:val="000000"/>
          <w:spacing w:val="-2"/>
          <w:sz w:val="24"/>
        </w:rPr>
        <w:t>第二十条</w:t>
      </w:r>
      <w:r>
        <w:rPr>
          <w:rFonts w:eastAsia="方正仿宋_GBK"/>
          <w:color w:val="000000"/>
          <w:spacing w:val="-2"/>
          <w:sz w:val="24"/>
        </w:rPr>
        <w:t>   </w:t>
      </w:r>
      <w:r>
        <w:rPr>
          <w:rFonts w:hint="eastAsia" w:eastAsia="方正仿宋_GBK"/>
          <w:color w:val="000000"/>
          <w:spacing w:val="-2"/>
          <w:sz w:val="24"/>
        </w:rPr>
        <w:t>各级建设行政主管部门应当建立投诉受理和处理制度，公开投诉电话号码、通讯地址和电子邮件信箱。</w:t>
      </w:r>
      <w:r>
        <w:rPr>
          <w:rFonts w:eastAsia="方正仿宋_GBK"/>
          <w:color w:val="000000"/>
          <w:spacing w:val="-2"/>
          <w:sz w:val="24"/>
        </w:rPr>
        <w:t> </w:t>
      </w:r>
    </w:p>
    <w:p>
      <w:pPr>
        <w:spacing w:line="460" w:lineRule="exact"/>
        <w:ind w:firstLine="464" w:firstLineChars="200"/>
        <w:rPr>
          <w:rFonts w:eastAsia="方正仿宋_GBK"/>
          <w:color w:val="000000"/>
          <w:spacing w:val="-2"/>
          <w:sz w:val="24"/>
        </w:rPr>
      </w:pPr>
      <w:r>
        <w:rPr>
          <w:rFonts w:hint="eastAsia" w:eastAsia="方正仿宋_GBK"/>
          <w:color w:val="000000"/>
          <w:spacing w:val="-2"/>
          <w:sz w:val="24"/>
        </w:rPr>
        <w:t>检测机构违反国家有关法律、法规和工程建设标准规定进行检测的，任何单位和个人都有权向建设行政主管部门投诉或举报。各级建设行政主管部门收到投诉或举报后，应当及时核实并依据本办法对检测机构作出相应的处理决定，于</w:t>
      </w:r>
      <w:r>
        <w:rPr>
          <w:rFonts w:eastAsia="方正仿宋_GBK"/>
          <w:color w:val="000000"/>
          <w:spacing w:val="-2"/>
          <w:sz w:val="24"/>
        </w:rPr>
        <w:t>30</w:t>
      </w:r>
      <w:r>
        <w:rPr>
          <w:rFonts w:hint="eastAsia" w:eastAsia="方正仿宋_GBK"/>
          <w:color w:val="000000"/>
          <w:spacing w:val="-2"/>
          <w:sz w:val="24"/>
        </w:rPr>
        <w:t>日内将处理意见答复投诉人。</w:t>
      </w:r>
      <w:r>
        <w:rPr>
          <w:rFonts w:eastAsia="方正仿宋_GBK"/>
          <w:color w:val="000000"/>
          <w:spacing w:val="-2"/>
          <w:sz w:val="24"/>
        </w:rPr>
        <w:t> </w:t>
      </w:r>
    </w:p>
    <w:p>
      <w:pPr>
        <w:spacing w:line="460" w:lineRule="exact"/>
        <w:ind w:firstLine="464" w:firstLineChars="200"/>
        <w:rPr>
          <w:rFonts w:eastAsia="方正仿宋_GBK"/>
          <w:color w:val="000000"/>
          <w:spacing w:val="-2"/>
          <w:sz w:val="24"/>
        </w:rPr>
      </w:pPr>
      <w:r>
        <w:rPr>
          <w:rFonts w:hint="eastAsia" w:eastAsia="方正仿宋_GBK"/>
          <w:color w:val="000000"/>
          <w:spacing w:val="-2"/>
          <w:sz w:val="24"/>
        </w:rPr>
        <w:t>各级建设行政主管部门应建立检测机构和检测人员信用档案，记录检测机构及人员违法违规行为以及其他行为。信用档案是审批检测机构申请资质和资质延期及检测备案管理的重要依据。检测机构及人员的信用档案应公开。</w:t>
      </w:r>
      <w:r>
        <w:rPr>
          <w:rFonts w:eastAsia="方正仿宋_GBK"/>
          <w:color w:val="000000"/>
          <w:spacing w:val="-2"/>
          <w:sz w:val="24"/>
        </w:rPr>
        <w:t> </w:t>
      </w:r>
    </w:p>
    <w:p>
      <w:pPr>
        <w:spacing w:line="460" w:lineRule="exact"/>
        <w:ind w:firstLine="464" w:firstLineChars="200"/>
        <w:rPr>
          <w:rFonts w:eastAsia="方正仿宋_GBK"/>
          <w:color w:val="000000"/>
          <w:spacing w:val="-2"/>
          <w:sz w:val="24"/>
        </w:rPr>
      </w:pPr>
      <w:r>
        <w:rPr>
          <w:rFonts w:hint="eastAsia" w:eastAsia="方正黑体_GBK"/>
          <w:color w:val="000000"/>
          <w:spacing w:val="-2"/>
          <w:sz w:val="24"/>
        </w:rPr>
        <w:t>第二十一条</w:t>
      </w:r>
      <w:r>
        <w:rPr>
          <w:rFonts w:eastAsia="方正仿宋_GBK"/>
          <w:color w:val="000000"/>
          <w:spacing w:val="-2"/>
          <w:sz w:val="24"/>
        </w:rPr>
        <w:t>   </w:t>
      </w:r>
      <w:r>
        <w:rPr>
          <w:rFonts w:hint="eastAsia" w:eastAsia="方正仿宋_GBK"/>
          <w:color w:val="000000"/>
          <w:spacing w:val="-2"/>
          <w:sz w:val="24"/>
        </w:rPr>
        <w:t>违反本细则有关规定的，按有关规定依法实施处罚。</w:t>
      </w:r>
      <w:r>
        <w:rPr>
          <w:rFonts w:eastAsia="方正仿宋_GBK"/>
          <w:color w:val="000000"/>
          <w:spacing w:val="-2"/>
          <w:sz w:val="24"/>
        </w:rPr>
        <w:t> </w:t>
      </w:r>
    </w:p>
    <w:p>
      <w:pPr>
        <w:spacing w:line="460" w:lineRule="exact"/>
        <w:ind w:firstLine="464" w:firstLineChars="200"/>
        <w:rPr>
          <w:rFonts w:eastAsia="方正仿宋_GBK"/>
          <w:color w:val="000000"/>
          <w:spacing w:val="-2"/>
          <w:sz w:val="24"/>
        </w:rPr>
      </w:pPr>
      <w:r>
        <w:rPr>
          <w:rFonts w:hint="eastAsia" w:eastAsia="方正黑体_GBK"/>
          <w:color w:val="000000"/>
          <w:spacing w:val="-2"/>
          <w:sz w:val="24"/>
        </w:rPr>
        <w:t>第二十二条</w:t>
      </w:r>
      <w:r>
        <w:rPr>
          <w:rFonts w:eastAsia="方正仿宋_GBK"/>
          <w:color w:val="000000"/>
          <w:spacing w:val="-2"/>
          <w:sz w:val="24"/>
        </w:rPr>
        <w:t>   </w:t>
      </w:r>
      <w:r>
        <w:rPr>
          <w:rFonts w:hint="eastAsia" w:eastAsia="方正仿宋_GBK"/>
          <w:color w:val="000000"/>
          <w:spacing w:val="-2"/>
          <w:sz w:val="24"/>
        </w:rPr>
        <w:t>本细则由省建设厅负责解释。</w:t>
      </w:r>
      <w:r>
        <w:rPr>
          <w:rFonts w:eastAsia="方正仿宋_GBK"/>
          <w:color w:val="000000"/>
          <w:spacing w:val="-2"/>
          <w:sz w:val="24"/>
        </w:rPr>
        <w:t> </w:t>
      </w:r>
      <w:r>
        <w:rPr>
          <w:rFonts w:hint="eastAsia" w:eastAsia="方正仿宋_GBK"/>
          <w:color w:val="000000"/>
          <w:spacing w:val="-2"/>
          <w:sz w:val="24"/>
        </w:rPr>
        <w:t>第三十七条</w:t>
      </w:r>
      <w:r>
        <w:rPr>
          <w:rFonts w:eastAsia="方正仿宋_GBK"/>
          <w:color w:val="000000"/>
          <w:spacing w:val="-2"/>
          <w:sz w:val="24"/>
        </w:rPr>
        <w:t>   </w:t>
      </w:r>
      <w:r>
        <w:rPr>
          <w:rFonts w:hint="eastAsia" w:eastAsia="方正仿宋_GBK"/>
          <w:color w:val="000000"/>
          <w:spacing w:val="-2"/>
          <w:sz w:val="24"/>
        </w:rPr>
        <w:t>本细则自</w:t>
      </w:r>
      <w:r>
        <w:rPr>
          <w:rFonts w:eastAsia="方正仿宋_GBK"/>
          <w:color w:val="000000"/>
          <w:spacing w:val="-2"/>
          <w:sz w:val="24"/>
        </w:rPr>
        <w:t>2006</w:t>
      </w:r>
      <w:r>
        <w:rPr>
          <w:rFonts w:hint="eastAsia" w:eastAsia="方正仿宋_GBK"/>
          <w:color w:val="000000"/>
          <w:spacing w:val="-2"/>
          <w:sz w:val="24"/>
        </w:rPr>
        <w:t>年</w:t>
      </w:r>
      <w:r>
        <w:rPr>
          <w:rFonts w:eastAsia="方正仿宋_GBK"/>
          <w:color w:val="000000"/>
          <w:spacing w:val="-2"/>
          <w:sz w:val="24"/>
        </w:rPr>
        <w:t>7</w:t>
      </w:r>
      <w:r>
        <w:rPr>
          <w:rFonts w:hint="eastAsia" w:eastAsia="方正仿宋_GBK"/>
          <w:color w:val="000000"/>
          <w:spacing w:val="-2"/>
          <w:sz w:val="24"/>
        </w:rPr>
        <w:t>月</w:t>
      </w:r>
      <w:r>
        <w:rPr>
          <w:rFonts w:eastAsia="方正仿宋_GBK"/>
          <w:color w:val="000000"/>
          <w:spacing w:val="-2"/>
          <w:sz w:val="24"/>
        </w:rPr>
        <w:t>1</w:t>
      </w:r>
      <w:r>
        <w:rPr>
          <w:rFonts w:hint="eastAsia" w:eastAsia="方正仿宋_GBK"/>
          <w:color w:val="000000"/>
          <w:spacing w:val="-2"/>
          <w:sz w:val="24"/>
        </w:rPr>
        <w:t>日起施行。</w:t>
      </w:r>
      <w:r>
        <w:rPr>
          <w:rFonts w:eastAsia="方正仿宋_GBK"/>
          <w:color w:val="000000"/>
          <w:spacing w:val="-2"/>
          <w:sz w:val="24"/>
        </w:rPr>
        <w:t>   </w:t>
      </w:r>
    </w:p>
    <w:p>
      <w:pPr>
        <w:spacing w:line="460" w:lineRule="exact"/>
        <w:ind w:firstLine="464" w:firstLineChars="200"/>
        <w:rPr>
          <w:rFonts w:eastAsia="方正仿宋_GBK"/>
          <w:color w:val="000000"/>
          <w:spacing w:val="-2"/>
          <w:sz w:val="24"/>
        </w:rPr>
      </w:pPr>
    </w:p>
    <w:p>
      <w:pPr>
        <w:spacing w:line="460" w:lineRule="exact"/>
        <w:ind w:firstLine="464" w:firstLineChars="200"/>
        <w:rPr>
          <w:rFonts w:eastAsia="方正仿宋_GBK"/>
          <w:color w:val="000000"/>
          <w:spacing w:val="-2"/>
          <w:sz w:val="24"/>
        </w:rPr>
      </w:pPr>
    </w:p>
    <w:p>
      <w:pPr>
        <w:spacing w:line="460" w:lineRule="exact"/>
        <w:rPr>
          <w:rFonts w:eastAsia="方正黑体_GBK"/>
          <w:color w:val="000000"/>
          <w:spacing w:val="-2"/>
          <w:sz w:val="28"/>
          <w:szCs w:val="28"/>
        </w:rPr>
      </w:pPr>
      <w:r>
        <w:rPr>
          <w:rFonts w:eastAsia="方正仿宋_GBK"/>
          <w:color w:val="000000"/>
          <w:spacing w:val="-2"/>
          <w:sz w:val="24"/>
        </w:rPr>
        <w:br w:type="column"/>
      </w:r>
      <w:r>
        <w:rPr>
          <w:rFonts w:eastAsia="方正黑体_GBK"/>
          <w:color w:val="000000"/>
          <w:spacing w:val="-2"/>
          <w:sz w:val="28"/>
          <w:szCs w:val="28"/>
        </w:rPr>
        <w:t> </w:t>
      </w:r>
      <w:r>
        <w:rPr>
          <w:rFonts w:hint="eastAsia" w:eastAsia="方正黑体_GBK"/>
          <w:color w:val="000000"/>
          <w:spacing w:val="-2"/>
          <w:sz w:val="28"/>
          <w:szCs w:val="28"/>
        </w:rPr>
        <w:t>附件一：</w:t>
      </w:r>
      <w:r>
        <w:rPr>
          <w:rFonts w:eastAsia="方正黑体_GBK"/>
          <w:color w:val="000000"/>
          <w:spacing w:val="-2"/>
          <w:sz w:val="28"/>
          <w:szCs w:val="28"/>
        </w:rPr>
        <w:t> </w:t>
      </w:r>
    </w:p>
    <w:p>
      <w:pPr>
        <w:spacing w:line="460" w:lineRule="exact"/>
        <w:rPr>
          <w:rFonts w:eastAsia="方正仿宋_GBK"/>
          <w:color w:val="000000"/>
          <w:spacing w:val="-2"/>
          <w:sz w:val="24"/>
        </w:rPr>
      </w:pPr>
    </w:p>
    <w:p>
      <w:pPr>
        <w:spacing w:line="460" w:lineRule="exact"/>
        <w:jc w:val="center"/>
        <w:rPr>
          <w:rFonts w:eastAsia="方正小标宋简体"/>
          <w:color w:val="000000"/>
          <w:spacing w:val="-2"/>
          <w:sz w:val="36"/>
          <w:szCs w:val="36"/>
        </w:rPr>
      </w:pPr>
      <w:r>
        <w:rPr>
          <w:rFonts w:hint="eastAsia" w:eastAsia="方正小标宋简体"/>
          <w:color w:val="000000"/>
          <w:spacing w:val="-2"/>
          <w:sz w:val="36"/>
          <w:szCs w:val="36"/>
        </w:rPr>
        <w:t>质量检测的业务内容</w:t>
      </w:r>
    </w:p>
    <w:p>
      <w:pPr>
        <w:spacing w:line="400" w:lineRule="exact"/>
        <w:rPr>
          <w:rFonts w:eastAsia="方正仿宋_GBK"/>
          <w:color w:val="000000"/>
          <w:spacing w:val="-2"/>
          <w:sz w:val="24"/>
        </w:rPr>
      </w:pPr>
    </w:p>
    <w:p>
      <w:pPr>
        <w:spacing w:line="400" w:lineRule="exact"/>
        <w:ind w:firstLine="464" w:firstLineChars="200"/>
        <w:rPr>
          <w:rFonts w:eastAsia="方正黑体_GBK"/>
          <w:color w:val="000000"/>
          <w:spacing w:val="-2"/>
          <w:sz w:val="24"/>
        </w:rPr>
      </w:pPr>
      <w:r>
        <w:rPr>
          <w:rFonts w:hint="eastAsia" w:eastAsia="方正黑体_GBK"/>
          <w:color w:val="000000"/>
          <w:spacing w:val="-2"/>
          <w:sz w:val="24"/>
        </w:rPr>
        <w:t>一、专项检测</w:t>
      </w:r>
    </w:p>
    <w:p>
      <w:pPr>
        <w:spacing w:line="400" w:lineRule="exact"/>
        <w:ind w:firstLine="464" w:firstLineChars="200"/>
        <w:rPr>
          <w:rFonts w:eastAsia="方正楷体_GBK"/>
          <w:color w:val="000000"/>
          <w:spacing w:val="-2"/>
          <w:sz w:val="24"/>
        </w:rPr>
      </w:pPr>
      <w:r>
        <w:rPr>
          <w:rFonts w:hint="eastAsia" w:eastAsia="方正楷体_GBK"/>
          <w:color w:val="000000"/>
          <w:spacing w:val="-2"/>
          <w:sz w:val="24"/>
        </w:rPr>
        <w:t>（一）地基基础工程检测</w:t>
      </w:r>
      <w:r>
        <w:rPr>
          <w:rFonts w:eastAsia="方正楷体_GBK"/>
          <w:color w:val="000000"/>
          <w:spacing w:val="-2"/>
          <w:sz w:val="24"/>
        </w:rPr>
        <w:t> </w:t>
      </w:r>
    </w:p>
    <w:p>
      <w:pPr>
        <w:spacing w:line="400" w:lineRule="exact"/>
        <w:ind w:firstLine="464" w:firstLineChars="200"/>
        <w:rPr>
          <w:rFonts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、地基及复合地基承载力静载检测；</w:t>
      </w:r>
    </w:p>
    <w:p>
      <w:pPr>
        <w:spacing w:line="400" w:lineRule="exact"/>
        <w:ind w:firstLine="464" w:firstLineChars="200"/>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、桩的承载力检测；</w:t>
      </w:r>
    </w:p>
    <w:p>
      <w:pPr>
        <w:spacing w:line="400" w:lineRule="exact"/>
        <w:ind w:firstLine="464" w:firstLineChars="200"/>
        <w:rPr>
          <w:rFonts w:eastAsia="方正仿宋_GBK"/>
          <w:color w:val="000000"/>
          <w:spacing w:val="-2"/>
          <w:sz w:val="24"/>
        </w:rPr>
      </w:pPr>
      <w:r>
        <w:rPr>
          <w:rFonts w:eastAsia="方正仿宋_GBK"/>
          <w:color w:val="000000"/>
          <w:spacing w:val="-2"/>
          <w:sz w:val="24"/>
        </w:rPr>
        <w:t>3</w:t>
      </w:r>
      <w:r>
        <w:rPr>
          <w:rFonts w:hint="eastAsia" w:eastAsia="方正仿宋_GBK"/>
          <w:color w:val="000000"/>
          <w:spacing w:val="-2"/>
          <w:sz w:val="24"/>
        </w:rPr>
        <w:t>、桩身完整性检测；</w:t>
      </w:r>
    </w:p>
    <w:p>
      <w:pPr>
        <w:spacing w:line="400" w:lineRule="exact"/>
        <w:ind w:firstLine="464" w:firstLineChars="200"/>
        <w:rPr>
          <w:rFonts w:eastAsia="方正仿宋_GBK"/>
          <w:color w:val="000000"/>
          <w:spacing w:val="-2"/>
          <w:sz w:val="24"/>
        </w:rPr>
      </w:pPr>
      <w:r>
        <w:rPr>
          <w:rFonts w:eastAsia="方正仿宋_GBK"/>
          <w:color w:val="000000"/>
          <w:spacing w:val="-2"/>
          <w:sz w:val="24"/>
        </w:rPr>
        <w:t>4</w:t>
      </w:r>
      <w:r>
        <w:rPr>
          <w:rFonts w:hint="eastAsia" w:eastAsia="方正仿宋_GBK"/>
          <w:color w:val="000000"/>
          <w:spacing w:val="-2"/>
          <w:sz w:val="24"/>
        </w:rPr>
        <w:t>、锚杆锁定力检测。</w:t>
      </w:r>
      <w:r>
        <w:rPr>
          <w:rFonts w:eastAsia="方正仿宋_GBK"/>
          <w:color w:val="000000"/>
          <w:spacing w:val="-2"/>
          <w:sz w:val="24"/>
        </w:rPr>
        <w:t>      </w:t>
      </w:r>
    </w:p>
    <w:p>
      <w:pPr>
        <w:spacing w:line="400" w:lineRule="exact"/>
        <w:ind w:firstLine="464" w:firstLineChars="200"/>
        <w:rPr>
          <w:rFonts w:eastAsia="方正楷体_GBK"/>
          <w:color w:val="000000"/>
          <w:spacing w:val="-2"/>
          <w:sz w:val="24"/>
        </w:rPr>
      </w:pPr>
      <w:r>
        <w:rPr>
          <w:rFonts w:hint="eastAsia" w:eastAsia="方正楷体_GBK"/>
          <w:color w:val="000000"/>
          <w:spacing w:val="-2"/>
          <w:sz w:val="24"/>
        </w:rPr>
        <w:t>（二）主体结构工程现场检测</w:t>
      </w:r>
      <w:r>
        <w:rPr>
          <w:rFonts w:eastAsia="方正楷体_GBK"/>
          <w:color w:val="000000"/>
          <w:spacing w:val="-2"/>
          <w:sz w:val="24"/>
        </w:rPr>
        <w:t> </w:t>
      </w:r>
    </w:p>
    <w:p>
      <w:pPr>
        <w:spacing w:line="400" w:lineRule="exact"/>
        <w:ind w:firstLine="464" w:firstLineChars="200"/>
        <w:rPr>
          <w:rFonts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、混凝土、砂桨、砌体强度现场检测；</w:t>
      </w:r>
    </w:p>
    <w:p>
      <w:pPr>
        <w:spacing w:line="400" w:lineRule="exact"/>
        <w:ind w:firstLine="464" w:firstLineChars="200"/>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、钢筋保护层厚度检测；</w:t>
      </w:r>
    </w:p>
    <w:p>
      <w:pPr>
        <w:spacing w:line="400" w:lineRule="exact"/>
        <w:ind w:firstLine="464" w:firstLineChars="200"/>
        <w:rPr>
          <w:rFonts w:eastAsia="方正仿宋_GBK"/>
          <w:color w:val="000000"/>
          <w:spacing w:val="-2"/>
          <w:sz w:val="24"/>
        </w:rPr>
      </w:pPr>
      <w:r>
        <w:rPr>
          <w:rFonts w:eastAsia="方正仿宋_GBK"/>
          <w:color w:val="000000"/>
          <w:spacing w:val="-2"/>
          <w:sz w:val="24"/>
        </w:rPr>
        <w:t>3</w:t>
      </w:r>
      <w:r>
        <w:rPr>
          <w:rFonts w:hint="eastAsia" w:eastAsia="方正仿宋_GBK"/>
          <w:color w:val="000000"/>
          <w:spacing w:val="-2"/>
          <w:sz w:val="24"/>
        </w:rPr>
        <w:t>、混凝土预制构件结构性能检测；</w:t>
      </w:r>
    </w:p>
    <w:p>
      <w:pPr>
        <w:spacing w:line="400" w:lineRule="exact"/>
        <w:ind w:firstLine="464" w:firstLineChars="200"/>
        <w:rPr>
          <w:rFonts w:eastAsia="方正仿宋_GBK"/>
          <w:color w:val="000000"/>
          <w:spacing w:val="-2"/>
          <w:sz w:val="24"/>
        </w:rPr>
      </w:pPr>
      <w:r>
        <w:rPr>
          <w:rFonts w:eastAsia="方正仿宋_GBK"/>
          <w:color w:val="000000"/>
          <w:spacing w:val="-2"/>
          <w:sz w:val="24"/>
        </w:rPr>
        <w:t>4</w:t>
      </w:r>
      <w:r>
        <w:rPr>
          <w:rFonts w:hint="eastAsia" w:eastAsia="方正仿宋_GBK"/>
          <w:color w:val="000000"/>
          <w:spacing w:val="-2"/>
          <w:sz w:val="24"/>
        </w:rPr>
        <w:t>、后置埋件的力学性能检测。</w:t>
      </w:r>
    </w:p>
    <w:p>
      <w:pPr>
        <w:spacing w:line="400" w:lineRule="exact"/>
        <w:ind w:firstLine="464" w:firstLineChars="200"/>
        <w:rPr>
          <w:rFonts w:eastAsia="方正楷体_GBK"/>
          <w:color w:val="000000"/>
          <w:spacing w:val="-2"/>
          <w:sz w:val="24"/>
        </w:rPr>
      </w:pPr>
      <w:r>
        <w:rPr>
          <w:rFonts w:hint="eastAsia" w:eastAsia="方正楷体_GBK"/>
          <w:color w:val="000000"/>
          <w:spacing w:val="-2"/>
          <w:sz w:val="24"/>
        </w:rPr>
        <w:t>（三）建筑幕墙工程检测</w:t>
      </w:r>
      <w:r>
        <w:rPr>
          <w:rFonts w:eastAsia="方正楷体_GBK"/>
          <w:color w:val="000000"/>
          <w:spacing w:val="-2"/>
          <w:sz w:val="24"/>
        </w:rPr>
        <w:t> </w:t>
      </w:r>
    </w:p>
    <w:p>
      <w:pPr>
        <w:spacing w:line="400" w:lineRule="exact"/>
        <w:ind w:firstLine="464" w:firstLineChars="200"/>
        <w:rPr>
          <w:rFonts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、建筑幕墙的气密性、水密性、风压变形性能、层间变位性能检测；</w:t>
      </w:r>
      <w:r>
        <w:rPr>
          <w:rFonts w:eastAsia="方正仿宋_GBK"/>
          <w:color w:val="000000"/>
          <w:spacing w:val="-2"/>
          <w:sz w:val="24"/>
        </w:rPr>
        <w:t>2</w:t>
      </w:r>
      <w:r>
        <w:rPr>
          <w:rFonts w:hint="eastAsia" w:eastAsia="方正仿宋_GBK"/>
          <w:color w:val="000000"/>
          <w:spacing w:val="-2"/>
          <w:sz w:val="24"/>
        </w:rPr>
        <w:t>、硅酮结构胶相容性检测。</w:t>
      </w:r>
    </w:p>
    <w:p>
      <w:pPr>
        <w:spacing w:line="400" w:lineRule="exact"/>
        <w:ind w:firstLine="464" w:firstLineChars="200"/>
        <w:rPr>
          <w:rFonts w:eastAsia="方正楷体_GBK"/>
          <w:color w:val="000000"/>
          <w:spacing w:val="-2"/>
          <w:sz w:val="24"/>
        </w:rPr>
      </w:pPr>
      <w:r>
        <w:rPr>
          <w:rFonts w:hint="eastAsia" w:eastAsia="方正楷体_GBK"/>
          <w:color w:val="000000"/>
          <w:spacing w:val="-2"/>
          <w:sz w:val="24"/>
        </w:rPr>
        <w:t>（四）钢结构工程检测</w:t>
      </w:r>
      <w:r>
        <w:rPr>
          <w:rFonts w:eastAsia="方正楷体_GBK"/>
          <w:color w:val="000000"/>
          <w:spacing w:val="-2"/>
          <w:sz w:val="24"/>
        </w:rPr>
        <w:t> </w:t>
      </w:r>
    </w:p>
    <w:p>
      <w:pPr>
        <w:spacing w:line="400" w:lineRule="exact"/>
        <w:ind w:firstLine="464" w:firstLineChars="200"/>
        <w:rPr>
          <w:rFonts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、钢结构焊接质量无损检测；</w:t>
      </w:r>
      <w:r>
        <w:rPr>
          <w:rFonts w:eastAsia="方正仿宋_GBK"/>
          <w:color w:val="000000"/>
          <w:spacing w:val="-2"/>
          <w:sz w:val="24"/>
        </w:rPr>
        <w:t> </w:t>
      </w:r>
    </w:p>
    <w:p>
      <w:pPr>
        <w:spacing w:line="400" w:lineRule="exact"/>
        <w:ind w:firstLine="464" w:firstLineChars="200"/>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、钢结构防腐及防火涂装检测；</w:t>
      </w:r>
      <w:r>
        <w:rPr>
          <w:rFonts w:eastAsia="方正仿宋_GBK"/>
          <w:color w:val="000000"/>
          <w:spacing w:val="-2"/>
          <w:sz w:val="24"/>
        </w:rPr>
        <w:t> </w:t>
      </w:r>
    </w:p>
    <w:p>
      <w:pPr>
        <w:spacing w:line="400" w:lineRule="exact"/>
        <w:ind w:firstLine="464" w:firstLineChars="200"/>
        <w:rPr>
          <w:rFonts w:eastAsia="方正仿宋_GBK"/>
          <w:color w:val="000000"/>
          <w:spacing w:val="-2"/>
          <w:sz w:val="24"/>
        </w:rPr>
      </w:pPr>
      <w:r>
        <w:rPr>
          <w:rFonts w:eastAsia="方正仿宋_GBK"/>
          <w:color w:val="000000"/>
          <w:spacing w:val="-2"/>
          <w:sz w:val="24"/>
        </w:rPr>
        <w:t>3</w:t>
      </w:r>
      <w:r>
        <w:rPr>
          <w:rFonts w:hint="eastAsia" w:eastAsia="方正仿宋_GBK"/>
          <w:color w:val="000000"/>
          <w:spacing w:val="-2"/>
          <w:sz w:val="24"/>
        </w:rPr>
        <w:t>、钢结构节点、机械连接紧固标准件及高强度螺栓力学性能检测；</w:t>
      </w:r>
      <w:r>
        <w:rPr>
          <w:rFonts w:eastAsia="方正仿宋_GBK"/>
          <w:color w:val="000000"/>
          <w:spacing w:val="-2"/>
          <w:sz w:val="24"/>
        </w:rPr>
        <w:t> </w:t>
      </w:r>
    </w:p>
    <w:p>
      <w:pPr>
        <w:spacing w:line="400" w:lineRule="exact"/>
        <w:ind w:firstLine="464" w:firstLineChars="200"/>
        <w:rPr>
          <w:rFonts w:eastAsia="方正仿宋_GBK"/>
          <w:color w:val="000000"/>
          <w:spacing w:val="-2"/>
          <w:sz w:val="24"/>
        </w:rPr>
      </w:pPr>
      <w:r>
        <w:rPr>
          <w:rFonts w:eastAsia="方正仿宋_GBK"/>
          <w:color w:val="000000"/>
          <w:spacing w:val="-2"/>
          <w:sz w:val="24"/>
        </w:rPr>
        <w:t>4</w:t>
      </w:r>
      <w:r>
        <w:rPr>
          <w:rFonts w:hint="eastAsia" w:eastAsia="方正仿宋_GBK"/>
          <w:color w:val="000000"/>
          <w:spacing w:val="-2"/>
          <w:sz w:val="24"/>
        </w:rPr>
        <w:t>、钢网架结构的变形检测。</w:t>
      </w:r>
      <w:r>
        <w:rPr>
          <w:rFonts w:eastAsia="方正仿宋_GBK"/>
          <w:color w:val="000000"/>
          <w:spacing w:val="-2"/>
          <w:sz w:val="24"/>
        </w:rPr>
        <w:t> </w:t>
      </w:r>
    </w:p>
    <w:p>
      <w:pPr>
        <w:spacing w:line="400" w:lineRule="exact"/>
        <w:ind w:firstLine="464" w:firstLineChars="200"/>
        <w:rPr>
          <w:rFonts w:eastAsia="方正黑体_GBK"/>
          <w:color w:val="000000"/>
          <w:spacing w:val="-2"/>
          <w:sz w:val="24"/>
        </w:rPr>
      </w:pPr>
      <w:r>
        <w:rPr>
          <w:rFonts w:hint="eastAsia" w:eastAsia="方正黑体_GBK"/>
          <w:color w:val="000000"/>
          <w:spacing w:val="-2"/>
          <w:sz w:val="24"/>
        </w:rPr>
        <w:t>二、见证取样检测</w:t>
      </w:r>
      <w:r>
        <w:rPr>
          <w:rFonts w:eastAsia="方正黑体_GBK"/>
          <w:color w:val="000000"/>
          <w:spacing w:val="-2"/>
          <w:sz w:val="24"/>
        </w:rPr>
        <w:t> </w:t>
      </w:r>
    </w:p>
    <w:p>
      <w:pPr>
        <w:spacing w:line="400" w:lineRule="exact"/>
        <w:ind w:firstLine="464" w:firstLineChars="200"/>
        <w:rPr>
          <w:rFonts w:eastAsia="方正仿宋_GBK"/>
          <w:color w:val="000000"/>
          <w:spacing w:val="-2"/>
          <w:sz w:val="24"/>
        </w:rPr>
      </w:pPr>
      <w:r>
        <w:rPr>
          <w:rFonts w:eastAsia="方正仿宋_GBK"/>
          <w:color w:val="000000"/>
          <w:spacing w:val="-2"/>
          <w:sz w:val="24"/>
        </w:rPr>
        <w:t>1</w:t>
      </w:r>
      <w:r>
        <w:rPr>
          <w:rFonts w:hint="eastAsia" w:eastAsia="方正仿宋_GBK"/>
          <w:color w:val="000000"/>
          <w:spacing w:val="-2"/>
          <w:sz w:val="24"/>
        </w:rPr>
        <w:t>、水泥物理力学性能检验；</w:t>
      </w:r>
      <w:r>
        <w:rPr>
          <w:rFonts w:eastAsia="方正仿宋_GBK"/>
          <w:color w:val="000000"/>
          <w:spacing w:val="-2"/>
          <w:sz w:val="24"/>
        </w:rPr>
        <w:t> </w:t>
      </w:r>
    </w:p>
    <w:p>
      <w:pPr>
        <w:spacing w:line="400" w:lineRule="exact"/>
        <w:ind w:firstLine="464" w:firstLineChars="200"/>
        <w:rPr>
          <w:rFonts w:eastAsia="方正仿宋_GBK"/>
          <w:color w:val="000000"/>
          <w:spacing w:val="-2"/>
          <w:sz w:val="24"/>
        </w:rPr>
      </w:pPr>
      <w:r>
        <w:rPr>
          <w:rFonts w:eastAsia="方正仿宋_GBK"/>
          <w:color w:val="000000"/>
          <w:spacing w:val="-2"/>
          <w:sz w:val="24"/>
        </w:rPr>
        <w:t>2</w:t>
      </w:r>
      <w:r>
        <w:rPr>
          <w:rFonts w:hint="eastAsia" w:eastAsia="方正仿宋_GBK"/>
          <w:color w:val="000000"/>
          <w:spacing w:val="-2"/>
          <w:sz w:val="24"/>
        </w:rPr>
        <w:t>、钢筋（含焊接与机械连接）力学性能检验；</w:t>
      </w:r>
      <w:r>
        <w:rPr>
          <w:rFonts w:eastAsia="方正仿宋_GBK"/>
          <w:color w:val="000000"/>
          <w:spacing w:val="-2"/>
          <w:sz w:val="24"/>
        </w:rPr>
        <w:t> </w:t>
      </w:r>
    </w:p>
    <w:p>
      <w:pPr>
        <w:spacing w:line="400" w:lineRule="exact"/>
        <w:ind w:firstLine="464" w:firstLineChars="200"/>
        <w:rPr>
          <w:rFonts w:eastAsia="方正仿宋_GBK"/>
          <w:color w:val="000000"/>
          <w:spacing w:val="-2"/>
          <w:sz w:val="24"/>
        </w:rPr>
      </w:pPr>
      <w:r>
        <w:rPr>
          <w:rFonts w:eastAsia="方正仿宋_GBK"/>
          <w:color w:val="000000"/>
          <w:spacing w:val="-2"/>
          <w:sz w:val="24"/>
        </w:rPr>
        <w:t>3</w:t>
      </w:r>
      <w:r>
        <w:rPr>
          <w:rFonts w:hint="eastAsia" w:eastAsia="方正仿宋_GBK"/>
          <w:color w:val="000000"/>
          <w:spacing w:val="-2"/>
          <w:sz w:val="24"/>
        </w:rPr>
        <w:t>、砂、石常规检验；</w:t>
      </w:r>
      <w:r>
        <w:rPr>
          <w:rFonts w:eastAsia="方正仿宋_GBK"/>
          <w:color w:val="000000"/>
          <w:spacing w:val="-2"/>
          <w:sz w:val="24"/>
        </w:rPr>
        <w:t> </w:t>
      </w:r>
    </w:p>
    <w:p>
      <w:pPr>
        <w:spacing w:line="400" w:lineRule="exact"/>
        <w:ind w:firstLine="464" w:firstLineChars="200"/>
        <w:rPr>
          <w:rFonts w:eastAsia="方正仿宋_GBK"/>
          <w:color w:val="000000"/>
          <w:spacing w:val="-2"/>
          <w:sz w:val="24"/>
        </w:rPr>
      </w:pPr>
      <w:r>
        <w:rPr>
          <w:rFonts w:eastAsia="方正仿宋_GBK"/>
          <w:color w:val="000000"/>
          <w:spacing w:val="-2"/>
          <w:sz w:val="24"/>
        </w:rPr>
        <w:t>4</w:t>
      </w:r>
      <w:r>
        <w:rPr>
          <w:rFonts w:hint="eastAsia" w:eastAsia="方正仿宋_GBK"/>
          <w:color w:val="000000"/>
          <w:spacing w:val="-2"/>
          <w:sz w:val="24"/>
        </w:rPr>
        <w:t>、混凝土、砂浆强度检验；</w:t>
      </w:r>
      <w:r>
        <w:rPr>
          <w:rFonts w:eastAsia="方正仿宋_GBK"/>
          <w:color w:val="000000"/>
          <w:spacing w:val="-2"/>
          <w:sz w:val="24"/>
        </w:rPr>
        <w:t> </w:t>
      </w:r>
    </w:p>
    <w:p>
      <w:pPr>
        <w:spacing w:line="400" w:lineRule="exact"/>
        <w:ind w:firstLine="464" w:firstLineChars="200"/>
        <w:rPr>
          <w:rFonts w:eastAsia="方正仿宋_GBK"/>
          <w:color w:val="000000"/>
          <w:spacing w:val="-2"/>
          <w:sz w:val="24"/>
        </w:rPr>
      </w:pPr>
      <w:r>
        <w:rPr>
          <w:rFonts w:eastAsia="方正仿宋_GBK"/>
          <w:color w:val="000000"/>
          <w:spacing w:val="-2"/>
          <w:sz w:val="24"/>
        </w:rPr>
        <w:t>5</w:t>
      </w:r>
      <w:r>
        <w:rPr>
          <w:rFonts w:hint="eastAsia" w:eastAsia="方正仿宋_GBK"/>
          <w:color w:val="000000"/>
          <w:spacing w:val="-2"/>
          <w:sz w:val="24"/>
        </w:rPr>
        <w:t>、简易土工试验；</w:t>
      </w:r>
      <w:r>
        <w:rPr>
          <w:rFonts w:eastAsia="方正仿宋_GBK"/>
          <w:color w:val="000000"/>
          <w:spacing w:val="-2"/>
          <w:sz w:val="24"/>
        </w:rPr>
        <w:t> </w:t>
      </w:r>
    </w:p>
    <w:p>
      <w:pPr>
        <w:spacing w:line="400" w:lineRule="exact"/>
        <w:ind w:firstLine="464" w:firstLineChars="200"/>
        <w:rPr>
          <w:rFonts w:eastAsia="方正仿宋_GBK"/>
          <w:color w:val="000000"/>
          <w:spacing w:val="-2"/>
          <w:sz w:val="24"/>
        </w:rPr>
      </w:pPr>
      <w:r>
        <w:rPr>
          <w:rFonts w:eastAsia="方正仿宋_GBK"/>
          <w:color w:val="000000"/>
          <w:spacing w:val="-2"/>
          <w:sz w:val="24"/>
        </w:rPr>
        <w:t>6</w:t>
      </w:r>
      <w:r>
        <w:rPr>
          <w:rFonts w:hint="eastAsia" w:eastAsia="方正仿宋_GBK"/>
          <w:color w:val="000000"/>
          <w:spacing w:val="-2"/>
          <w:sz w:val="24"/>
        </w:rPr>
        <w:t>、混凝土掺加剂检验；</w:t>
      </w:r>
      <w:r>
        <w:rPr>
          <w:rFonts w:eastAsia="方正仿宋_GBK"/>
          <w:color w:val="000000"/>
          <w:spacing w:val="-2"/>
          <w:sz w:val="24"/>
        </w:rPr>
        <w:t> </w:t>
      </w:r>
    </w:p>
    <w:p>
      <w:pPr>
        <w:spacing w:line="400" w:lineRule="exact"/>
        <w:ind w:firstLine="464" w:firstLineChars="200"/>
        <w:rPr>
          <w:rFonts w:eastAsia="方正仿宋_GBK"/>
          <w:color w:val="000000"/>
          <w:spacing w:val="-2"/>
          <w:sz w:val="24"/>
        </w:rPr>
      </w:pPr>
      <w:r>
        <w:rPr>
          <w:rFonts w:eastAsia="方正仿宋_GBK"/>
          <w:color w:val="000000"/>
          <w:spacing w:val="-2"/>
          <w:sz w:val="24"/>
        </w:rPr>
        <w:t>7</w:t>
      </w:r>
      <w:r>
        <w:rPr>
          <w:rFonts w:hint="eastAsia" w:eastAsia="方正仿宋_GBK"/>
          <w:color w:val="000000"/>
          <w:spacing w:val="-2"/>
          <w:sz w:val="24"/>
        </w:rPr>
        <w:t>、预应力钢绞线、锚夹具检验；</w:t>
      </w:r>
      <w:r>
        <w:rPr>
          <w:rFonts w:eastAsia="方正仿宋_GBK"/>
          <w:color w:val="000000"/>
          <w:spacing w:val="-2"/>
          <w:sz w:val="24"/>
        </w:rPr>
        <w:t> </w:t>
      </w:r>
    </w:p>
    <w:p>
      <w:pPr>
        <w:spacing w:line="400" w:lineRule="exact"/>
        <w:ind w:firstLine="464" w:firstLineChars="200"/>
        <w:rPr>
          <w:rFonts w:eastAsia="方正仿宋_GBK"/>
          <w:color w:val="000000"/>
          <w:spacing w:val="-2"/>
          <w:sz w:val="24"/>
        </w:rPr>
      </w:pPr>
      <w:r>
        <w:rPr>
          <w:rFonts w:eastAsia="方正仿宋_GBK"/>
          <w:color w:val="000000"/>
          <w:spacing w:val="-2"/>
          <w:sz w:val="24"/>
        </w:rPr>
        <w:t>8</w:t>
      </w:r>
      <w:r>
        <w:rPr>
          <w:rFonts w:hint="eastAsia" w:eastAsia="方正仿宋_GBK"/>
          <w:color w:val="000000"/>
          <w:spacing w:val="-2"/>
          <w:sz w:val="24"/>
        </w:rPr>
        <w:t>、沥青、沥青混合料检验。</w:t>
      </w:r>
      <w:r>
        <w:rPr>
          <w:rFonts w:eastAsia="方正仿宋_GBK"/>
          <w:color w:val="000000"/>
          <w:spacing w:val="-2"/>
          <w:sz w:val="24"/>
        </w:rPr>
        <w:t>      </w:t>
      </w:r>
    </w:p>
    <w:p>
      <w:pPr>
        <w:spacing w:line="460" w:lineRule="exact"/>
        <w:rPr>
          <w:rFonts w:eastAsia="方正黑体_GBK"/>
          <w:color w:val="000000"/>
          <w:spacing w:val="-2"/>
          <w:sz w:val="28"/>
          <w:szCs w:val="28"/>
        </w:rPr>
      </w:pPr>
      <w:r>
        <w:rPr>
          <w:rFonts w:eastAsia="方正仿宋_GBK"/>
          <w:color w:val="000000"/>
          <w:spacing w:val="-2"/>
          <w:sz w:val="24"/>
        </w:rPr>
        <w:br w:type="column"/>
      </w:r>
      <w:r>
        <w:rPr>
          <w:rFonts w:hint="eastAsia" w:eastAsia="方正黑体_GBK"/>
          <w:color w:val="000000"/>
          <w:spacing w:val="-2"/>
          <w:sz w:val="28"/>
          <w:szCs w:val="28"/>
        </w:rPr>
        <w:t>附件二：</w:t>
      </w:r>
      <w:r>
        <w:rPr>
          <w:rFonts w:eastAsia="方正黑体_GBK"/>
          <w:color w:val="000000"/>
          <w:spacing w:val="-2"/>
          <w:sz w:val="28"/>
          <w:szCs w:val="28"/>
        </w:rPr>
        <w:t> </w:t>
      </w:r>
    </w:p>
    <w:p>
      <w:pPr>
        <w:spacing w:line="460" w:lineRule="exact"/>
        <w:rPr>
          <w:rFonts w:eastAsia="方正仿宋_GBK"/>
          <w:color w:val="000000"/>
          <w:spacing w:val="-2"/>
          <w:sz w:val="24"/>
        </w:rPr>
      </w:pPr>
    </w:p>
    <w:p>
      <w:pPr>
        <w:spacing w:line="460" w:lineRule="exact"/>
        <w:jc w:val="center"/>
        <w:rPr>
          <w:rFonts w:eastAsia="方正小标宋简体"/>
          <w:color w:val="000000"/>
          <w:spacing w:val="-2"/>
          <w:sz w:val="36"/>
          <w:szCs w:val="36"/>
        </w:rPr>
      </w:pPr>
      <w:r>
        <w:rPr>
          <w:rFonts w:hint="eastAsia" w:eastAsia="方正小标宋简体"/>
          <w:color w:val="000000"/>
          <w:spacing w:val="-2"/>
          <w:sz w:val="36"/>
          <w:szCs w:val="36"/>
        </w:rPr>
        <w:t>检测机构资质标准</w:t>
      </w:r>
    </w:p>
    <w:p>
      <w:pPr>
        <w:spacing w:line="460" w:lineRule="exact"/>
        <w:ind w:firstLine="464" w:firstLineChars="200"/>
        <w:rPr>
          <w:rFonts w:eastAsia="方正仿宋_GBK"/>
          <w:color w:val="000000"/>
          <w:spacing w:val="-2"/>
          <w:sz w:val="24"/>
        </w:rPr>
      </w:pPr>
    </w:p>
    <w:p>
      <w:pPr>
        <w:spacing w:line="460" w:lineRule="exact"/>
        <w:ind w:firstLine="464" w:firstLineChars="200"/>
        <w:rPr>
          <w:rFonts w:eastAsia="方正仿宋_GBK"/>
          <w:color w:val="000000"/>
          <w:spacing w:val="-2"/>
          <w:sz w:val="24"/>
        </w:rPr>
      </w:pPr>
      <w:r>
        <w:rPr>
          <w:rFonts w:hint="eastAsia" w:eastAsia="方正仿宋_GBK"/>
          <w:color w:val="000000"/>
          <w:spacing w:val="-2"/>
          <w:sz w:val="24"/>
        </w:rPr>
        <w:t>一、专项检测机构和见证取样检测机构应满足下列基本条件：</w:t>
      </w:r>
      <w:r>
        <w:rPr>
          <w:rFonts w:eastAsia="方正仿宋_GBK"/>
          <w:color w:val="000000"/>
          <w:spacing w:val="-2"/>
          <w:sz w:val="24"/>
        </w:rPr>
        <w:t> </w:t>
      </w:r>
    </w:p>
    <w:p>
      <w:pPr>
        <w:spacing w:line="460" w:lineRule="exact"/>
        <w:ind w:firstLine="464" w:firstLineChars="200"/>
        <w:rPr>
          <w:rFonts w:eastAsia="方正仿宋_GBK"/>
          <w:color w:val="000000"/>
          <w:spacing w:val="-2"/>
          <w:sz w:val="24"/>
        </w:rPr>
      </w:pPr>
      <w:r>
        <w:rPr>
          <w:rFonts w:hint="eastAsia" w:eastAsia="方正仿宋_GBK"/>
          <w:color w:val="000000"/>
          <w:spacing w:val="-2"/>
          <w:sz w:val="24"/>
        </w:rPr>
        <w:t>（一）所申请检测资质对应的项目应通过计量认证；</w:t>
      </w:r>
      <w:r>
        <w:rPr>
          <w:rFonts w:eastAsia="方正仿宋_GBK"/>
          <w:color w:val="000000"/>
          <w:spacing w:val="-2"/>
          <w:sz w:val="24"/>
        </w:rPr>
        <w:t> </w:t>
      </w:r>
    </w:p>
    <w:p>
      <w:pPr>
        <w:spacing w:line="460" w:lineRule="exact"/>
        <w:ind w:firstLine="464" w:firstLineChars="200"/>
        <w:rPr>
          <w:rFonts w:eastAsia="方正仿宋_GBK"/>
          <w:color w:val="000000"/>
          <w:spacing w:val="-2"/>
          <w:sz w:val="24"/>
        </w:rPr>
      </w:pPr>
      <w:r>
        <w:rPr>
          <w:rFonts w:hint="eastAsia" w:eastAsia="方正仿宋_GBK"/>
          <w:color w:val="000000"/>
          <w:spacing w:val="-2"/>
          <w:sz w:val="24"/>
        </w:rPr>
        <w:t>（二）有质量检测、施工、监理或设计经历，并接受了相关检测技术培训的专业技术人员不少于</w:t>
      </w:r>
      <w:r>
        <w:rPr>
          <w:rFonts w:eastAsia="方正仿宋_GBK"/>
          <w:color w:val="000000"/>
          <w:spacing w:val="-2"/>
          <w:sz w:val="24"/>
        </w:rPr>
        <w:t>10</w:t>
      </w:r>
      <w:r>
        <w:rPr>
          <w:rFonts w:hint="eastAsia" w:eastAsia="方正仿宋_GBK"/>
          <w:color w:val="000000"/>
          <w:spacing w:val="-2"/>
          <w:sz w:val="24"/>
        </w:rPr>
        <w:t>人；边远的县（区）的专业技术人员可不少于</w:t>
      </w:r>
      <w:r>
        <w:rPr>
          <w:rFonts w:eastAsia="方正仿宋_GBK"/>
          <w:color w:val="000000"/>
          <w:spacing w:val="-2"/>
          <w:sz w:val="24"/>
        </w:rPr>
        <w:t>6</w:t>
      </w:r>
      <w:r>
        <w:rPr>
          <w:rFonts w:hint="eastAsia" w:eastAsia="方正仿宋_GBK"/>
          <w:color w:val="000000"/>
          <w:spacing w:val="-2"/>
          <w:sz w:val="24"/>
        </w:rPr>
        <w:t>人；</w:t>
      </w:r>
    </w:p>
    <w:p>
      <w:pPr>
        <w:spacing w:line="460" w:lineRule="exact"/>
        <w:ind w:firstLine="464" w:firstLineChars="200"/>
        <w:rPr>
          <w:rFonts w:eastAsia="方正仿宋_GBK"/>
          <w:color w:val="000000"/>
          <w:spacing w:val="-2"/>
          <w:sz w:val="24"/>
        </w:rPr>
      </w:pPr>
      <w:r>
        <w:rPr>
          <w:rFonts w:hint="eastAsia" w:eastAsia="方正仿宋_GBK"/>
          <w:color w:val="000000"/>
          <w:spacing w:val="-2"/>
          <w:sz w:val="24"/>
        </w:rPr>
        <w:t>（三）有符合开展检测工作所需的仪器、设备和工作场所；其中，使用属于强制检定的计量器具，要经过计量检定合格后，方可使用；</w:t>
      </w:r>
    </w:p>
    <w:p>
      <w:pPr>
        <w:spacing w:line="460" w:lineRule="exact"/>
        <w:ind w:firstLine="464" w:firstLineChars="200"/>
        <w:rPr>
          <w:rFonts w:eastAsia="方正仿宋_GBK"/>
          <w:color w:val="000000"/>
          <w:spacing w:val="-2"/>
          <w:sz w:val="24"/>
        </w:rPr>
      </w:pPr>
      <w:r>
        <w:rPr>
          <w:rFonts w:hint="eastAsia" w:eastAsia="方正仿宋_GBK"/>
          <w:color w:val="000000"/>
          <w:spacing w:val="-2"/>
          <w:sz w:val="24"/>
        </w:rPr>
        <w:t>（四）有健全的技术管理和质量保证体系。</w:t>
      </w:r>
      <w:r>
        <w:rPr>
          <w:rFonts w:eastAsia="方正仿宋_GBK"/>
          <w:color w:val="000000"/>
          <w:spacing w:val="-2"/>
          <w:sz w:val="24"/>
        </w:rPr>
        <w:t> </w:t>
      </w:r>
    </w:p>
    <w:p>
      <w:pPr>
        <w:spacing w:line="460" w:lineRule="exact"/>
        <w:ind w:firstLine="464" w:firstLineChars="200"/>
        <w:rPr>
          <w:rFonts w:eastAsia="方正仿宋_GBK"/>
          <w:color w:val="000000"/>
          <w:spacing w:val="-2"/>
          <w:sz w:val="24"/>
        </w:rPr>
      </w:pPr>
      <w:r>
        <w:rPr>
          <w:rFonts w:hint="eastAsia" w:eastAsia="方正仿宋_GBK"/>
          <w:color w:val="000000"/>
          <w:spacing w:val="-2"/>
          <w:sz w:val="24"/>
        </w:rPr>
        <w:t>二、专项检测机构除应满足基本条件外，还需满足下列条件：</w:t>
      </w:r>
    </w:p>
    <w:p>
      <w:pPr>
        <w:spacing w:line="460" w:lineRule="exact"/>
        <w:ind w:firstLine="464" w:firstLineChars="200"/>
        <w:rPr>
          <w:rFonts w:eastAsia="方正仿宋_GBK"/>
          <w:color w:val="000000"/>
          <w:spacing w:val="-2"/>
          <w:sz w:val="24"/>
        </w:rPr>
      </w:pPr>
      <w:r>
        <w:rPr>
          <w:rFonts w:hint="eastAsia" w:eastAsia="方正仿宋_GBK"/>
          <w:color w:val="000000"/>
          <w:spacing w:val="-2"/>
          <w:sz w:val="24"/>
        </w:rPr>
        <w:t>（一）地基基础工程检测类</w:t>
      </w:r>
      <w:r>
        <w:rPr>
          <w:rFonts w:eastAsia="方正仿宋_GBK"/>
          <w:color w:val="000000"/>
          <w:spacing w:val="-2"/>
          <w:sz w:val="24"/>
        </w:rPr>
        <w:t> </w:t>
      </w:r>
    </w:p>
    <w:p>
      <w:pPr>
        <w:spacing w:line="460" w:lineRule="exact"/>
        <w:ind w:firstLine="464" w:firstLineChars="200"/>
        <w:rPr>
          <w:rFonts w:eastAsia="方正仿宋_GBK"/>
          <w:color w:val="000000"/>
          <w:spacing w:val="-2"/>
          <w:sz w:val="24"/>
        </w:rPr>
      </w:pPr>
      <w:r>
        <w:rPr>
          <w:rFonts w:hint="eastAsia" w:eastAsia="方正仿宋_GBK"/>
          <w:color w:val="000000"/>
          <w:spacing w:val="-2"/>
          <w:sz w:val="24"/>
        </w:rPr>
        <w:t>专业技术人员中从事工程桩检测工作</w:t>
      </w:r>
      <w:r>
        <w:rPr>
          <w:rFonts w:eastAsia="方正仿宋_GBK"/>
          <w:color w:val="000000"/>
          <w:spacing w:val="-2"/>
          <w:sz w:val="24"/>
        </w:rPr>
        <w:t> 3</w:t>
      </w:r>
      <w:r>
        <w:rPr>
          <w:rFonts w:hint="eastAsia" w:eastAsia="方正仿宋_GBK"/>
          <w:color w:val="000000"/>
          <w:spacing w:val="-2"/>
          <w:sz w:val="24"/>
        </w:rPr>
        <w:t>年以上并具有高级或者中级职称的不得少于</w:t>
      </w:r>
      <w:r>
        <w:rPr>
          <w:rFonts w:eastAsia="方正仿宋_GBK"/>
          <w:color w:val="000000"/>
          <w:spacing w:val="-2"/>
          <w:sz w:val="24"/>
        </w:rPr>
        <w:t>4</w:t>
      </w:r>
      <w:r>
        <w:rPr>
          <w:rFonts w:hint="eastAsia" w:eastAsia="方正仿宋_GBK"/>
          <w:color w:val="000000"/>
          <w:spacing w:val="-2"/>
          <w:sz w:val="24"/>
        </w:rPr>
        <w:t>名，其中</w:t>
      </w:r>
      <w:r>
        <w:rPr>
          <w:rFonts w:eastAsia="方正仿宋_GBK"/>
          <w:color w:val="000000"/>
          <w:spacing w:val="-2"/>
          <w:sz w:val="24"/>
        </w:rPr>
        <w:t>1</w:t>
      </w:r>
      <w:r>
        <w:rPr>
          <w:rFonts w:hint="eastAsia" w:eastAsia="方正仿宋_GBK"/>
          <w:color w:val="000000"/>
          <w:spacing w:val="-2"/>
          <w:sz w:val="24"/>
        </w:rPr>
        <w:t>人应当具备注册岩土工程师资格。</w:t>
      </w:r>
      <w:r>
        <w:rPr>
          <w:rFonts w:eastAsia="方正仿宋_GBK"/>
          <w:color w:val="000000"/>
          <w:spacing w:val="-2"/>
          <w:sz w:val="24"/>
        </w:rPr>
        <w:t>      </w:t>
      </w:r>
    </w:p>
    <w:p>
      <w:pPr>
        <w:spacing w:line="460" w:lineRule="exact"/>
        <w:ind w:firstLine="464" w:firstLineChars="200"/>
        <w:rPr>
          <w:rFonts w:eastAsia="方正仿宋_GBK"/>
          <w:color w:val="000000"/>
          <w:spacing w:val="-2"/>
          <w:sz w:val="24"/>
        </w:rPr>
      </w:pPr>
      <w:r>
        <w:rPr>
          <w:rFonts w:hint="eastAsia" w:eastAsia="方正仿宋_GBK"/>
          <w:color w:val="000000"/>
          <w:spacing w:val="-2"/>
          <w:sz w:val="24"/>
        </w:rPr>
        <w:t>（二）主体结构工程检测类</w:t>
      </w:r>
      <w:r>
        <w:rPr>
          <w:rFonts w:eastAsia="方正仿宋_GBK"/>
          <w:color w:val="000000"/>
          <w:spacing w:val="-2"/>
          <w:sz w:val="24"/>
        </w:rPr>
        <w:t> </w:t>
      </w:r>
      <w:r>
        <w:rPr>
          <w:rFonts w:hint="eastAsia" w:eastAsia="方正仿宋_GBK"/>
          <w:color w:val="000000"/>
          <w:spacing w:val="-2"/>
          <w:sz w:val="24"/>
        </w:rPr>
        <w:t>专业技术人员从事结构工程检测工作</w:t>
      </w:r>
      <w:r>
        <w:rPr>
          <w:rFonts w:eastAsia="方正仿宋_GBK"/>
          <w:color w:val="000000"/>
          <w:spacing w:val="-2"/>
          <w:sz w:val="24"/>
        </w:rPr>
        <w:t>3</w:t>
      </w:r>
      <w:r>
        <w:rPr>
          <w:rFonts w:hint="eastAsia" w:eastAsia="方正仿宋_GBK"/>
          <w:color w:val="000000"/>
          <w:spacing w:val="-2"/>
          <w:sz w:val="24"/>
        </w:rPr>
        <w:t>年以上并具有高级或者中级职称的不得少于</w:t>
      </w:r>
      <w:r>
        <w:rPr>
          <w:rFonts w:eastAsia="方正仿宋_GBK"/>
          <w:color w:val="000000"/>
          <w:spacing w:val="-2"/>
          <w:sz w:val="24"/>
        </w:rPr>
        <w:t>4</w:t>
      </w:r>
      <w:r>
        <w:rPr>
          <w:rFonts w:hint="eastAsia" w:eastAsia="方正仿宋_GBK"/>
          <w:color w:val="000000"/>
          <w:spacing w:val="-2"/>
          <w:sz w:val="24"/>
        </w:rPr>
        <w:t>名，其中</w:t>
      </w:r>
      <w:r>
        <w:rPr>
          <w:rFonts w:eastAsia="方正仿宋_GBK"/>
          <w:color w:val="000000"/>
          <w:spacing w:val="-2"/>
          <w:sz w:val="24"/>
        </w:rPr>
        <w:t>1</w:t>
      </w:r>
      <w:r>
        <w:rPr>
          <w:rFonts w:hint="eastAsia" w:eastAsia="方正仿宋_GBK"/>
          <w:color w:val="000000"/>
          <w:spacing w:val="-2"/>
          <w:sz w:val="24"/>
        </w:rPr>
        <w:t>人应当具备二级注册结构工程师资格。</w:t>
      </w:r>
    </w:p>
    <w:p>
      <w:pPr>
        <w:spacing w:line="460" w:lineRule="exact"/>
        <w:ind w:firstLine="464" w:firstLineChars="200"/>
        <w:rPr>
          <w:rFonts w:eastAsia="方正仿宋_GBK"/>
          <w:color w:val="000000"/>
          <w:spacing w:val="-2"/>
          <w:sz w:val="24"/>
        </w:rPr>
      </w:pPr>
      <w:r>
        <w:rPr>
          <w:rFonts w:hint="eastAsia" w:eastAsia="方正仿宋_GBK"/>
          <w:color w:val="000000"/>
          <w:spacing w:val="-2"/>
          <w:sz w:val="24"/>
        </w:rPr>
        <w:t>（三）建筑幕墙工程测类</w:t>
      </w:r>
      <w:r>
        <w:rPr>
          <w:rFonts w:eastAsia="方正仿宋_GBK"/>
          <w:color w:val="000000"/>
          <w:spacing w:val="-2"/>
          <w:sz w:val="24"/>
        </w:rPr>
        <w:t> </w:t>
      </w:r>
    </w:p>
    <w:p>
      <w:pPr>
        <w:spacing w:line="460" w:lineRule="exact"/>
        <w:ind w:firstLine="464" w:firstLineChars="200"/>
        <w:rPr>
          <w:rFonts w:eastAsia="方正仿宋_GBK"/>
          <w:color w:val="000000"/>
          <w:spacing w:val="-2"/>
          <w:sz w:val="24"/>
        </w:rPr>
      </w:pPr>
      <w:r>
        <w:rPr>
          <w:rFonts w:hint="eastAsia" w:eastAsia="方正仿宋_GBK"/>
          <w:color w:val="000000"/>
          <w:spacing w:val="-2"/>
          <w:sz w:val="24"/>
        </w:rPr>
        <w:t>专业技术人员中从事建筑幕墙检测工作</w:t>
      </w:r>
      <w:r>
        <w:rPr>
          <w:rFonts w:eastAsia="方正仿宋_GBK"/>
          <w:color w:val="000000"/>
          <w:spacing w:val="-2"/>
          <w:sz w:val="24"/>
        </w:rPr>
        <w:t>3</w:t>
      </w:r>
      <w:r>
        <w:rPr>
          <w:rFonts w:hint="eastAsia" w:eastAsia="方正仿宋_GBK"/>
          <w:color w:val="000000"/>
          <w:spacing w:val="-2"/>
          <w:sz w:val="24"/>
        </w:rPr>
        <w:t>年以上并具有高级或者中级职称的不得少于</w:t>
      </w:r>
      <w:r>
        <w:rPr>
          <w:rFonts w:eastAsia="方正仿宋_GBK"/>
          <w:color w:val="000000"/>
          <w:spacing w:val="-2"/>
          <w:sz w:val="24"/>
        </w:rPr>
        <w:t>4</w:t>
      </w:r>
      <w:r>
        <w:rPr>
          <w:rFonts w:hint="eastAsia" w:eastAsia="方正仿宋_GBK"/>
          <w:color w:val="000000"/>
          <w:spacing w:val="-2"/>
          <w:sz w:val="24"/>
        </w:rPr>
        <w:t>名。</w:t>
      </w:r>
      <w:r>
        <w:rPr>
          <w:rFonts w:eastAsia="方正仿宋_GBK"/>
          <w:color w:val="000000"/>
          <w:spacing w:val="-2"/>
          <w:sz w:val="24"/>
        </w:rPr>
        <w:t> </w:t>
      </w:r>
    </w:p>
    <w:p>
      <w:pPr>
        <w:spacing w:line="460" w:lineRule="exact"/>
        <w:ind w:firstLine="464" w:firstLineChars="200"/>
        <w:rPr>
          <w:rFonts w:eastAsia="方正仿宋_GBK"/>
          <w:color w:val="000000"/>
          <w:spacing w:val="-2"/>
          <w:sz w:val="24"/>
        </w:rPr>
      </w:pPr>
      <w:r>
        <w:rPr>
          <w:rFonts w:hint="eastAsia" w:eastAsia="方正仿宋_GBK"/>
          <w:color w:val="000000"/>
          <w:spacing w:val="-2"/>
          <w:sz w:val="24"/>
        </w:rPr>
        <w:t>（四）钢结构工程检测类</w:t>
      </w:r>
      <w:r>
        <w:rPr>
          <w:rFonts w:eastAsia="方正仿宋_GBK"/>
          <w:color w:val="000000"/>
          <w:spacing w:val="-2"/>
          <w:sz w:val="24"/>
        </w:rPr>
        <w:t> </w:t>
      </w:r>
    </w:p>
    <w:p>
      <w:pPr>
        <w:spacing w:line="460" w:lineRule="exact"/>
        <w:ind w:firstLine="464" w:firstLineChars="200"/>
        <w:rPr>
          <w:rFonts w:eastAsia="方正仿宋_GBK"/>
          <w:color w:val="000000"/>
          <w:spacing w:val="-2"/>
          <w:sz w:val="24"/>
        </w:rPr>
      </w:pPr>
      <w:r>
        <w:rPr>
          <w:rFonts w:hint="eastAsia" w:eastAsia="方正仿宋_GBK"/>
          <w:color w:val="000000"/>
          <w:spacing w:val="-2"/>
          <w:sz w:val="24"/>
        </w:rPr>
        <w:t>专业技术人员中从事</w:t>
      </w:r>
      <w:r>
        <w:rPr>
          <w:rFonts w:eastAsia="方正仿宋_GBK"/>
          <w:color w:val="000000"/>
          <w:spacing w:val="-2"/>
          <w:sz w:val="24"/>
        </w:rPr>
        <w:t> </w:t>
      </w:r>
      <w:r>
        <w:rPr>
          <w:rFonts w:hint="eastAsia" w:eastAsia="方正仿宋_GBK"/>
          <w:color w:val="000000"/>
          <w:spacing w:val="-2"/>
          <w:sz w:val="24"/>
        </w:rPr>
        <w:t>钢结构机械连接检测、钢网架结构变形检测工作工作</w:t>
      </w:r>
      <w:r>
        <w:rPr>
          <w:rFonts w:eastAsia="方正仿宋_GBK"/>
          <w:color w:val="000000"/>
          <w:spacing w:val="-2"/>
          <w:sz w:val="24"/>
        </w:rPr>
        <w:t>3</w:t>
      </w:r>
      <w:r>
        <w:rPr>
          <w:rFonts w:hint="eastAsia" w:eastAsia="方正仿宋_GBK"/>
          <w:color w:val="000000"/>
          <w:spacing w:val="-2"/>
          <w:sz w:val="24"/>
        </w:rPr>
        <w:t>年以上并具有高级或者中级职称的不得少于</w:t>
      </w:r>
      <w:r>
        <w:rPr>
          <w:rFonts w:eastAsia="方正仿宋_GBK"/>
          <w:color w:val="000000"/>
          <w:spacing w:val="-2"/>
          <w:sz w:val="24"/>
        </w:rPr>
        <w:t>4</w:t>
      </w:r>
      <w:r>
        <w:rPr>
          <w:rFonts w:hint="eastAsia" w:eastAsia="方正仿宋_GBK"/>
          <w:color w:val="000000"/>
          <w:spacing w:val="-2"/>
          <w:sz w:val="24"/>
        </w:rPr>
        <w:t>名，其中</w:t>
      </w:r>
      <w:r>
        <w:rPr>
          <w:rFonts w:eastAsia="方正仿宋_GBK"/>
          <w:color w:val="000000"/>
          <w:spacing w:val="-2"/>
          <w:sz w:val="24"/>
        </w:rPr>
        <w:t>1</w:t>
      </w:r>
      <w:r>
        <w:rPr>
          <w:rFonts w:hint="eastAsia" w:eastAsia="方正仿宋_GBK"/>
          <w:color w:val="000000"/>
          <w:spacing w:val="-2"/>
          <w:sz w:val="24"/>
        </w:rPr>
        <w:t>人应当具备二级注册结构工程师资格。</w:t>
      </w:r>
      <w:r>
        <w:rPr>
          <w:rFonts w:eastAsia="方正仿宋_GBK"/>
          <w:color w:val="000000"/>
          <w:spacing w:val="-2"/>
          <w:sz w:val="24"/>
        </w:rPr>
        <w:t> </w:t>
      </w:r>
    </w:p>
    <w:p>
      <w:pPr>
        <w:spacing w:line="460" w:lineRule="exact"/>
        <w:ind w:firstLine="464" w:firstLineChars="200"/>
        <w:rPr>
          <w:rFonts w:eastAsia="方正仿宋_GBK"/>
          <w:color w:val="000000"/>
          <w:spacing w:val="-2"/>
          <w:sz w:val="24"/>
        </w:rPr>
      </w:pPr>
      <w:r>
        <w:rPr>
          <w:rFonts w:hint="eastAsia" w:eastAsia="方正仿宋_GBK"/>
          <w:color w:val="000000"/>
          <w:spacing w:val="-2"/>
          <w:sz w:val="24"/>
        </w:rPr>
        <w:t>三、见证取样检测机构除应满足基本条件外，专业技术人员中从事检测工作</w:t>
      </w:r>
      <w:r>
        <w:rPr>
          <w:rFonts w:eastAsia="方正仿宋_GBK"/>
          <w:color w:val="000000"/>
          <w:spacing w:val="-2"/>
          <w:sz w:val="24"/>
        </w:rPr>
        <w:t>3</w:t>
      </w:r>
      <w:r>
        <w:rPr>
          <w:rFonts w:hint="eastAsia" w:eastAsia="方正仿宋_GBK"/>
          <w:color w:val="000000"/>
          <w:spacing w:val="-2"/>
          <w:sz w:val="24"/>
        </w:rPr>
        <w:t>以上并具有高级或者中级职称的不得少于</w:t>
      </w:r>
      <w:r>
        <w:rPr>
          <w:rFonts w:eastAsia="方正仿宋_GBK"/>
          <w:color w:val="000000"/>
          <w:spacing w:val="-2"/>
          <w:sz w:val="24"/>
        </w:rPr>
        <w:t>3</w:t>
      </w:r>
      <w:r>
        <w:rPr>
          <w:rFonts w:hint="eastAsia" w:eastAsia="方正仿宋_GBK"/>
          <w:color w:val="000000"/>
          <w:spacing w:val="-2"/>
          <w:sz w:val="24"/>
        </w:rPr>
        <w:t>名；边远的县（区）可不少于</w:t>
      </w:r>
      <w:r>
        <w:rPr>
          <w:rFonts w:eastAsia="方正仿宋_GBK"/>
          <w:color w:val="000000"/>
          <w:spacing w:val="-2"/>
          <w:sz w:val="24"/>
        </w:rPr>
        <w:t>2</w:t>
      </w:r>
      <w:r>
        <w:rPr>
          <w:rFonts w:hint="eastAsia" w:eastAsia="方正仿宋_GBK"/>
          <w:color w:val="000000"/>
          <w:spacing w:val="-2"/>
          <w:sz w:val="24"/>
        </w:rPr>
        <w:t>人。</w:t>
      </w:r>
    </w:p>
    <w:p>
      <w:pPr>
        <w:pStyle w:val="2"/>
        <w:spacing w:before="590" w:beforeLines="100" w:after="590" w:afterLines="100" w:line="240" w:lineRule="auto"/>
        <w:jc w:val="center"/>
        <w:rPr>
          <w:rFonts w:ascii="Times New Roman" w:eastAsia="方正小标宋_GBK"/>
          <w:b w:val="0"/>
          <w:sz w:val="36"/>
          <w:szCs w:val="36"/>
        </w:rPr>
      </w:pPr>
      <w:r>
        <w:rPr>
          <w:rFonts w:eastAsia="方正仿宋_GBK"/>
          <w:b w:val="0"/>
          <w:color w:val="000000"/>
          <w:spacing w:val="-2"/>
          <w:sz w:val="24"/>
        </w:rPr>
        <w:br w:type="column"/>
      </w:r>
      <w:bookmarkStart w:id="753" w:name="_Toc18315758"/>
      <w:bookmarkStart w:id="754" w:name="_Toc20726617"/>
      <w:r>
        <w:rPr>
          <w:rFonts w:hint="eastAsia" w:ascii="Times New Roman" w:eastAsia="方正小标宋_GBK"/>
          <w:b w:val="0"/>
          <w:sz w:val="36"/>
          <w:szCs w:val="36"/>
        </w:rPr>
        <w:t>关于印发《江苏省建设工程质量检测机构与人员信用管理规定》的通知</w:t>
      </w:r>
      <w:bookmarkEnd w:id="753"/>
      <w:bookmarkEnd w:id="754"/>
    </w:p>
    <w:p>
      <w:pPr>
        <w:pStyle w:val="3"/>
        <w:spacing w:before="590" w:beforeLines="100" w:after="590" w:afterLines="100" w:line="240" w:lineRule="auto"/>
        <w:jc w:val="center"/>
        <w:rPr>
          <w:rFonts w:hint="eastAsia" w:ascii="Times New Roman" w:hAnsi="Times New Roman" w:eastAsia="方正楷体_GBK"/>
          <w:b w:val="0"/>
          <w:sz w:val="24"/>
          <w:szCs w:val="24"/>
        </w:rPr>
      </w:pPr>
      <w:bookmarkStart w:id="755" w:name="_Toc20726618"/>
      <w:bookmarkStart w:id="756" w:name="_Toc18315759"/>
      <w:r>
        <w:rPr>
          <w:rFonts w:hint="eastAsia" w:ascii="Times New Roman" w:hAnsi="Times New Roman" w:eastAsia="方正楷体_GBK"/>
          <w:b w:val="0"/>
          <w:sz w:val="24"/>
          <w:szCs w:val="24"/>
        </w:rPr>
        <w:t>苏建质〔</w:t>
      </w:r>
      <w:r>
        <w:rPr>
          <w:rFonts w:ascii="Times New Roman" w:hAnsi="Times New Roman" w:eastAsia="方正楷体_GBK"/>
          <w:b w:val="0"/>
          <w:sz w:val="24"/>
          <w:szCs w:val="24"/>
        </w:rPr>
        <w:t>2006</w:t>
      </w:r>
      <w:r>
        <w:rPr>
          <w:rFonts w:hint="eastAsia" w:ascii="Times New Roman" w:hAnsi="Times New Roman" w:eastAsia="方正楷体_GBK"/>
          <w:b w:val="0"/>
          <w:sz w:val="24"/>
          <w:szCs w:val="24"/>
        </w:rPr>
        <w:t>〕</w:t>
      </w:r>
      <w:r>
        <w:rPr>
          <w:rFonts w:ascii="Times New Roman" w:hAnsi="Times New Roman" w:eastAsia="方正楷体_GBK"/>
          <w:b w:val="0"/>
          <w:sz w:val="24"/>
          <w:szCs w:val="24"/>
        </w:rPr>
        <w:t>487</w:t>
      </w:r>
      <w:r>
        <w:rPr>
          <w:rFonts w:hint="eastAsia" w:ascii="Times New Roman" w:hAnsi="Times New Roman" w:eastAsia="方正楷体_GBK"/>
          <w:b w:val="0"/>
          <w:sz w:val="24"/>
          <w:szCs w:val="24"/>
        </w:rPr>
        <w:t>号</w:t>
      </w:r>
      <w:bookmarkEnd w:id="755"/>
      <w:bookmarkEnd w:id="756"/>
    </w:p>
    <w:p>
      <w:pPr>
        <w:spacing w:line="440" w:lineRule="exact"/>
        <w:jc w:val="left"/>
        <w:rPr>
          <w:rFonts w:eastAsia="方正仿宋_GBK"/>
          <w:color w:val="000000"/>
          <w:spacing w:val="-2"/>
          <w:kern w:val="0"/>
          <w:sz w:val="24"/>
        </w:rPr>
      </w:pPr>
      <w:r>
        <w:rPr>
          <w:rFonts w:hint="eastAsia" w:eastAsia="方正仿宋_GBK"/>
          <w:color w:val="000000"/>
          <w:spacing w:val="-2"/>
          <w:kern w:val="0"/>
          <w:sz w:val="24"/>
        </w:rPr>
        <w:t>各省辖市建设局（建委）、建工局：</w:t>
      </w:r>
    </w:p>
    <w:p>
      <w:pPr>
        <w:spacing w:line="44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为全面贯彻落实《建设工程质量检测管理办法》（建设部</w:t>
      </w:r>
      <w:r>
        <w:rPr>
          <w:rFonts w:eastAsia="方正仿宋_GBK"/>
          <w:color w:val="000000"/>
          <w:spacing w:val="-2"/>
          <w:kern w:val="0"/>
          <w:sz w:val="24"/>
        </w:rPr>
        <w:t>141</w:t>
      </w:r>
      <w:r>
        <w:rPr>
          <w:rFonts w:hint="eastAsia" w:eastAsia="方正仿宋_GBK"/>
          <w:color w:val="000000"/>
          <w:spacing w:val="-2"/>
          <w:kern w:val="0"/>
          <w:sz w:val="24"/>
        </w:rPr>
        <w:t>号令）、《江苏省建设工程质量检测管理实施细则》（苏建法〔</w:t>
      </w:r>
      <w:r>
        <w:rPr>
          <w:rFonts w:eastAsia="方正仿宋_GBK"/>
          <w:color w:val="000000"/>
          <w:spacing w:val="-2"/>
          <w:kern w:val="0"/>
          <w:sz w:val="24"/>
        </w:rPr>
        <w:t>2006</w:t>
      </w:r>
      <w:r>
        <w:rPr>
          <w:rFonts w:hint="eastAsia" w:eastAsia="方正仿宋_GBK"/>
          <w:color w:val="000000"/>
          <w:spacing w:val="-2"/>
          <w:kern w:val="0"/>
          <w:sz w:val="24"/>
        </w:rPr>
        <w:t>〕</w:t>
      </w:r>
      <w:r>
        <w:rPr>
          <w:rFonts w:eastAsia="方正仿宋_GBK"/>
          <w:color w:val="000000"/>
          <w:spacing w:val="-2"/>
          <w:kern w:val="0"/>
          <w:sz w:val="24"/>
        </w:rPr>
        <w:t>97</w:t>
      </w:r>
      <w:r>
        <w:rPr>
          <w:rFonts w:hint="eastAsia" w:eastAsia="方正仿宋_GBK"/>
          <w:color w:val="000000"/>
          <w:spacing w:val="-2"/>
          <w:kern w:val="0"/>
          <w:sz w:val="24"/>
        </w:rPr>
        <w:t>号）和江苏省工程建设标准《建设工程质量检测规程》，进一步加强建设工程质量检测市场的监管，按照建设部《关于加快推进建筑市场信用体系建设工作的意见》和《建设工程质量责任主体和有关机构不良行为记录管理办法》等文件精神，结合我省实际，特制定《江苏省建设工程质量检测机构与人员信用管理规定》，望认真贯彻执行。</w:t>
      </w:r>
    </w:p>
    <w:p>
      <w:pPr>
        <w:spacing w:line="440" w:lineRule="exact"/>
        <w:ind w:firstLine="450"/>
        <w:jc w:val="left"/>
        <w:rPr>
          <w:rFonts w:eastAsia="方正仿宋_GBK"/>
          <w:color w:val="000000"/>
          <w:spacing w:val="-2"/>
          <w:kern w:val="0"/>
          <w:sz w:val="24"/>
        </w:rPr>
      </w:pPr>
    </w:p>
    <w:p>
      <w:pPr>
        <w:spacing w:line="440" w:lineRule="exact"/>
        <w:ind w:firstLine="450"/>
        <w:jc w:val="left"/>
        <w:rPr>
          <w:rFonts w:eastAsia="方正仿宋_GBK"/>
          <w:color w:val="000000"/>
          <w:spacing w:val="-2"/>
          <w:kern w:val="0"/>
          <w:sz w:val="24"/>
        </w:rPr>
      </w:pPr>
      <w:r>
        <w:rPr>
          <w:rFonts w:hint="eastAsia" w:eastAsia="方正仿宋_GBK"/>
          <w:color w:val="000000"/>
          <w:spacing w:val="-2"/>
          <w:kern w:val="0"/>
          <w:sz w:val="24"/>
        </w:rPr>
        <w:t>附件：《江苏省建设工程质量检测机构与人员信用管理规定》</w:t>
      </w:r>
    </w:p>
    <w:p>
      <w:pPr>
        <w:spacing w:line="440" w:lineRule="exact"/>
        <w:rPr>
          <w:rFonts w:eastAsia="方正仿宋_GBK"/>
          <w:color w:val="000000"/>
          <w:spacing w:val="-2"/>
          <w:kern w:val="0"/>
          <w:sz w:val="24"/>
        </w:rPr>
      </w:pPr>
    </w:p>
    <w:p>
      <w:pPr>
        <w:spacing w:line="440" w:lineRule="exact"/>
        <w:ind w:right="900" w:rightChars="437" w:firstLine="3712" w:firstLineChars="1600"/>
        <w:jc w:val="right"/>
        <w:rPr>
          <w:rFonts w:eastAsia="方正仿宋_GBK"/>
          <w:color w:val="000000"/>
          <w:spacing w:val="-2"/>
          <w:kern w:val="0"/>
          <w:sz w:val="24"/>
        </w:rPr>
      </w:pPr>
      <w:r>
        <w:rPr>
          <w:rFonts w:hint="eastAsia" w:eastAsia="方正仿宋_GBK"/>
          <w:color w:val="000000"/>
          <w:spacing w:val="-2"/>
          <w:kern w:val="0"/>
          <w:sz w:val="24"/>
        </w:rPr>
        <w:t>江苏省建设厅</w:t>
      </w:r>
      <w:r>
        <w:rPr>
          <w:rFonts w:eastAsia="方正仿宋_GBK"/>
          <w:color w:val="000000"/>
          <w:spacing w:val="-2"/>
          <w:kern w:val="0"/>
          <w:sz w:val="24"/>
        </w:rPr>
        <w:t xml:space="preserve">        </w:t>
      </w:r>
    </w:p>
    <w:p>
      <w:pPr>
        <w:spacing w:line="440" w:lineRule="exact"/>
        <w:ind w:right="428" w:rightChars="208"/>
        <w:jc w:val="right"/>
        <w:rPr>
          <w:rFonts w:eastAsia="方正仿宋_GBK"/>
          <w:color w:val="000000"/>
          <w:spacing w:val="-2"/>
          <w:kern w:val="0"/>
          <w:sz w:val="24"/>
        </w:rPr>
      </w:pPr>
      <w:r>
        <w:rPr>
          <w:rFonts w:hint="eastAsia" w:eastAsia="方正仿宋_GBK"/>
          <w:color w:val="000000"/>
          <w:spacing w:val="-2"/>
          <w:kern w:val="0"/>
          <w:sz w:val="24"/>
        </w:rPr>
        <w:t>二</w:t>
      </w:r>
      <w:r>
        <w:rPr>
          <w:rFonts w:hint="eastAsia" w:eastAsia="方正仿宋_GBK"/>
          <w:bCs/>
          <w:snapToGrid w:val="0"/>
          <w:color w:val="000000"/>
          <w:spacing w:val="-2"/>
          <w:kern w:val="0"/>
          <w:sz w:val="24"/>
        </w:rPr>
        <w:t>○○</w:t>
      </w:r>
      <w:r>
        <w:rPr>
          <w:rFonts w:hint="eastAsia" w:eastAsia="方正仿宋_GBK"/>
          <w:color w:val="000000"/>
          <w:spacing w:val="-2"/>
          <w:kern w:val="0"/>
          <w:sz w:val="24"/>
        </w:rPr>
        <w:t>六年十二月五日</w:t>
      </w:r>
      <w:r>
        <w:rPr>
          <w:rFonts w:eastAsia="方正仿宋_GBK"/>
          <w:color w:val="000000"/>
          <w:spacing w:val="-2"/>
          <w:kern w:val="0"/>
          <w:sz w:val="24"/>
        </w:rPr>
        <w:t xml:space="preserve">    </w:t>
      </w:r>
    </w:p>
    <w:p>
      <w:pPr>
        <w:spacing w:line="440" w:lineRule="exact"/>
        <w:jc w:val="left"/>
        <w:rPr>
          <w:rFonts w:eastAsia="方正仿宋_GBK"/>
          <w:color w:val="000000"/>
          <w:spacing w:val="-2"/>
          <w:kern w:val="0"/>
          <w:sz w:val="24"/>
        </w:rPr>
      </w:pPr>
    </w:p>
    <w:p>
      <w:pPr>
        <w:spacing w:line="440" w:lineRule="exact"/>
        <w:rPr>
          <w:rFonts w:eastAsia="方正仿宋_GBK"/>
          <w:color w:val="000000"/>
          <w:spacing w:val="-2"/>
          <w:kern w:val="0"/>
          <w:sz w:val="24"/>
        </w:rPr>
      </w:pPr>
    </w:p>
    <w:p>
      <w:pPr>
        <w:spacing w:line="440" w:lineRule="exact"/>
        <w:jc w:val="center"/>
        <w:rPr>
          <w:rFonts w:ascii="Times New Roman" w:eastAsia="方正黑体_GBK"/>
          <w:color w:val="000000"/>
          <w:spacing w:val="-2"/>
          <w:kern w:val="0"/>
          <w:sz w:val="36"/>
          <w:szCs w:val="36"/>
        </w:rPr>
      </w:pPr>
      <w:r>
        <w:rPr>
          <w:rFonts w:hint="eastAsia" w:ascii="Times New Roman" w:eastAsia="方正黑体_GBK"/>
          <w:bCs/>
          <w:color w:val="000000"/>
          <w:spacing w:val="-2"/>
          <w:kern w:val="0"/>
          <w:sz w:val="36"/>
          <w:szCs w:val="36"/>
        </w:rPr>
        <w:t>江苏省建设工程质量检测机构与人员信用管理规定</w:t>
      </w:r>
    </w:p>
    <w:p>
      <w:pPr>
        <w:spacing w:line="440" w:lineRule="exact"/>
        <w:rPr>
          <w:rFonts w:hint="eastAsia" w:eastAsia="方正仿宋_GBK"/>
          <w:color w:val="000000"/>
          <w:spacing w:val="-2"/>
          <w:kern w:val="0"/>
          <w:sz w:val="24"/>
        </w:rPr>
      </w:pPr>
      <w:r>
        <w:rPr>
          <w:rFonts w:eastAsia="方正仿宋_GBK"/>
          <w:color w:val="000000"/>
          <w:spacing w:val="-2"/>
          <w:kern w:val="0"/>
          <w:sz w:val="24"/>
        </w:rPr>
        <w:t> </w:t>
      </w:r>
    </w:p>
    <w:p>
      <w:pPr>
        <w:spacing w:line="440" w:lineRule="exact"/>
        <w:jc w:val="center"/>
        <w:rPr>
          <w:rFonts w:ascii="Times New Roman" w:eastAsia="方正黑体_GBK"/>
          <w:color w:val="000000"/>
          <w:spacing w:val="-2"/>
          <w:kern w:val="0"/>
          <w:sz w:val="24"/>
        </w:rPr>
      </w:pPr>
      <w:r>
        <w:rPr>
          <w:rFonts w:hint="eastAsia" w:ascii="Times New Roman" w:eastAsia="方正黑体_GBK"/>
          <w:color w:val="000000"/>
          <w:spacing w:val="-2"/>
          <w:kern w:val="0"/>
          <w:sz w:val="24"/>
        </w:rPr>
        <w:t>第一章  总</w:t>
      </w:r>
      <w:r>
        <w:rPr>
          <w:rFonts w:ascii="Times New Roman" w:eastAsia="方正黑体_GBK"/>
          <w:color w:val="000000"/>
          <w:spacing w:val="-2"/>
          <w:kern w:val="0"/>
          <w:sz w:val="24"/>
        </w:rPr>
        <w:t> </w:t>
      </w:r>
      <w:r>
        <w:rPr>
          <w:rFonts w:hint="eastAsia" w:ascii="Times New Roman" w:eastAsia="方正黑体_GBK"/>
          <w:color w:val="000000"/>
          <w:spacing w:val="-2"/>
          <w:kern w:val="0"/>
          <w:sz w:val="24"/>
        </w:rPr>
        <w:t xml:space="preserve"> 则</w:t>
      </w:r>
    </w:p>
    <w:p>
      <w:pPr>
        <w:spacing w:line="440" w:lineRule="exact"/>
        <w:rPr>
          <w:rFonts w:hint="eastAsia" w:eastAsia="方正仿宋_GBK"/>
          <w:color w:val="000000"/>
          <w:spacing w:val="-2"/>
          <w:kern w:val="0"/>
          <w:sz w:val="24"/>
        </w:rPr>
      </w:pPr>
    </w:p>
    <w:p>
      <w:pPr>
        <w:spacing w:line="440" w:lineRule="exact"/>
        <w:ind w:firstLine="464" w:firstLineChars="200"/>
        <w:rPr>
          <w:rFonts w:eastAsia="方正仿宋_GBK"/>
          <w:color w:val="000000"/>
          <w:spacing w:val="-2"/>
          <w:kern w:val="0"/>
          <w:sz w:val="24"/>
        </w:rPr>
      </w:pPr>
      <w:r>
        <w:rPr>
          <w:rFonts w:hint="eastAsia" w:ascii="Times New Roman" w:eastAsia="方正黑体_GBK"/>
          <w:color w:val="000000"/>
          <w:spacing w:val="-2"/>
          <w:kern w:val="0"/>
          <w:sz w:val="24"/>
        </w:rPr>
        <w:t>第一条</w:t>
      </w:r>
      <w:r>
        <w:rPr>
          <w:rFonts w:eastAsia="方正仿宋_GBK"/>
          <w:color w:val="000000"/>
          <w:spacing w:val="-2"/>
          <w:kern w:val="0"/>
          <w:sz w:val="24"/>
        </w:rPr>
        <w:t xml:space="preserve">  </w:t>
      </w:r>
      <w:r>
        <w:rPr>
          <w:rFonts w:hint="eastAsia" w:eastAsia="方正仿宋_GBK"/>
          <w:color w:val="000000"/>
          <w:spacing w:val="-2"/>
          <w:kern w:val="0"/>
          <w:sz w:val="24"/>
        </w:rPr>
        <w:t>为了加强对建设工程质量检测机构和从业人员的信用管理，按照建设部《关于加快推进建筑市场信用体系建设工作的意见》和《建设工程质量责任主体和有关机构不良行为记录管理办法》等文件精神，结合本省实际，制定本规定。</w:t>
      </w:r>
    </w:p>
    <w:p>
      <w:pPr>
        <w:spacing w:line="440" w:lineRule="exact"/>
        <w:ind w:firstLine="464" w:firstLineChars="200"/>
        <w:rPr>
          <w:rFonts w:eastAsia="方正仿宋_GBK"/>
          <w:color w:val="000000"/>
          <w:spacing w:val="-2"/>
          <w:kern w:val="0"/>
          <w:sz w:val="24"/>
        </w:rPr>
      </w:pPr>
      <w:r>
        <w:rPr>
          <w:rFonts w:hint="eastAsia" w:ascii="Times New Roman" w:eastAsia="方正黑体_GBK"/>
          <w:color w:val="000000"/>
          <w:spacing w:val="-2"/>
          <w:kern w:val="0"/>
          <w:sz w:val="24"/>
        </w:rPr>
        <w:t>第二条　</w:t>
      </w:r>
      <w:r>
        <w:rPr>
          <w:rFonts w:hint="eastAsia" w:eastAsia="方正仿宋_GBK"/>
          <w:color w:val="000000"/>
          <w:spacing w:val="-2"/>
          <w:kern w:val="0"/>
          <w:sz w:val="24"/>
        </w:rPr>
        <w:t>在本省行政区域内从事建设工程质量检测活动的建设工程质量检测机构与人员，应当遵守本办法。</w:t>
      </w:r>
    </w:p>
    <w:p>
      <w:pPr>
        <w:spacing w:line="440" w:lineRule="exact"/>
        <w:ind w:firstLine="464" w:firstLineChars="200"/>
        <w:rPr>
          <w:rFonts w:eastAsia="方正仿宋_GBK"/>
          <w:color w:val="000000"/>
          <w:spacing w:val="-2"/>
          <w:kern w:val="0"/>
          <w:sz w:val="24"/>
        </w:rPr>
      </w:pPr>
      <w:r>
        <w:rPr>
          <w:rFonts w:hint="eastAsia" w:ascii="Times New Roman" w:eastAsia="方正黑体_GBK"/>
          <w:color w:val="000000"/>
          <w:spacing w:val="-2"/>
          <w:kern w:val="0"/>
          <w:sz w:val="24"/>
        </w:rPr>
        <w:t>第三条</w:t>
      </w:r>
      <w:r>
        <w:rPr>
          <w:rFonts w:eastAsia="方正仿宋_GBK"/>
          <w:color w:val="000000"/>
          <w:spacing w:val="-2"/>
          <w:kern w:val="0"/>
          <w:sz w:val="24"/>
        </w:rPr>
        <w:t xml:space="preserve">  </w:t>
      </w:r>
      <w:r>
        <w:rPr>
          <w:rFonts w:hint="eastAsia" w:eastAsia="方正仿宋_GBK"/>
          <w:color w:val="000000"/>
          <w:spacing w:val="-2"/>
          <w:kern w:val="0"/>
          <w:sz w:val="24"/>
        </w:rPr>
        <w:t>省建设行政主管部门负责全省行政区域内建设工程质量检测机构与人员信用管理工作，具体工作委托省建设工程质量监督总站（以下简称省质监总站）负责。</w:t>
      </w:r>
    </w:p>
    <w:p>
      <w:pPr>
        <w:spacing w:line="440" w:lineRule="exact"/>
        <w:ind w:firstLine="464" w:firstLineChars="200"/>
        <w:rPr>
          <w:rFonts w:eastAsia="方正仿宋_GBK"/>
          <w:color w:val="000000"/>
          <w:spacing w:val="-2"/>
          <w:kern w:val="0"/>
          <w:sz w:val="24"/>
        </w:rPr>
      </w:pPr>
      <w:r>
        <w:rPr>
          <w:rFonts w:hint="eastAsia" w:ascii="Times New Roman" w:eastAsia="方正黑体_GBK"/>
          <w:color w:val="000000"/>
          <w:spacing w:val="-2"/>
          <w:kern w:val="0"/>
          <w:sz w:val="24"/>
        </w:rPr>
        <w:t>第四条　</w:t>
      </w:r>
      <w:r>
        <w:rPr>
          <w:rFonts w:hint="eastAsia" w:eastAsia="方正仿宋_GBK"/>
          <w:color w:val="000000"/>
          <w:spacing w:val="-2"/>
          <w:kern w:val="0"/>
          <w:sz w:val="24"/>
        </w:rPr>
        <w:t>信用管理工作主要包括信用档案的建立，信用行为的认定、记录和公布，信用考核、评定和应用。</w:t>
      </w:r>
    </w:p>
    <w:p>
      <w:pPr>
        <w:spacing w:line="440" w:lineRule="exact"/>
        <w:ind w:firstLine="464" w:firstLineChars="200"/>
        <w:rPr>
          <w:rFonts w:eastAsia="方正仿宋_GBK"/>
          <w:color w:val="000000"/>
          <w:spacing w:val="-2"/>
          <w:kern w:val="0"/>
          <w:sz w:val="24"/>
        </w:rPr>
      </w:pPr>
      <w:r>
        <w:rPr>
          <w:rFonts w:hint="eastAsia" w:ascii="Times New Roman" w:eastAsia="方正黑体_GBK"/>
          <w:color w:val="000000"/>
          <w:spacing w:val="-2"/>
          <w:kern w:val="0"/>
          <w:sz w:val="24"/>
        </w:rPr>
        <w:t>第五条　</w:t>
      </w:r>
      <w:r>
        <w:rPr>
          <w:rFonts w:hint="eastAsia" w:eastAsia="方正仿宋_GBK"/>
          <w:color w:val="000000"/>
          <w:spacing w:val="-2"/>
          <w:kern w:val="0"/>
          <w:sz w:val="24"/>
        </w:rPr>
        <w:t>检测机构和人员的信用行为分为良好行为和不良行为。</w:t>
      </w:r>
    </w:p>
    <w:p>
      <w:pPr>
        <w:spacing w:line="440" w:lineRule="exact"/>
        <w:ind w:firstLine="464" w:firstLineChars="200"/>
        <w:rPr>
          <w:rFonts w:eastAsia="方正仿宋_GBK"/>
          <w:color w:val="000000"/>
          <w:spacing w:val="-2"/>
          <w:kern w:val="0"/>
          <w:sz w:val="24"/>
        </w:rPr>
      </w:pPr>
      <w:r>
        <w:rPr>
          <w:rFonts w:hint="eastAsia" w:eastAsia="方正仿宋_GBK"/>
          <w:color w:val="000000"/>
          <w:spacing w:val="-2"/>
          <w:kern w:val="0"/>
          <w:sz w:val="24"/>
        </w:rPr>
        <w:t>良好行为包括检测机构与人员受到县级以上建设行政主管部门和相关专业部门的奖励和表彰及其他良好评价、认定、认证等。</w:t>
      </w:r>
    </w:p>
    <w:p>
      <w:pPr>
        <w:spacing w:line="44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不良行为包括：</w:t>
      </w:r>
    </w:p>
    <w:p>
      <w:pPr>
        <w:spacing w:line="44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（一）检测机构与人员因违反有关工程建设的法律、法规、规章、规范性文件或强制性标准受到县级以上建设行政主管部门行政处罚或其他行政处理（含通报批评、记入不良行为记录等）。</w:t>
      </w:r>
      <w:r>
        <w:rPr>
          <w:rFonts w:eastAsia="方正仿宋_GBK"/>
          <w:color w:val="000000"/>
          <w:spacing w:val="-2"/>
          <w:kern w:val="0"/>
          <w:sz w:val="24"/>
        </w:rPr>
        <w:t xml:space="preserve"> </w:t>
      </w:r>
    </w:p>
    <w:p>
      <w:pPr>
        <w:spacing w:line="44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（二）检测机构与人员因失信、违约、不正当竞争等情况受到有关部门或者行业协会不良评价、认定的。</w:t>
      </w:r>
    </w:p>
    <w:p>
      <w:pPr>
        <w:spacing w:line="440" w:lineRule="exact"/>
        <w:ind w:firstLine="464" w:firstLineChars="200"/>
        <w:rPr>
          <w:rFonts w:eastAsia="方正仿宋_GBK"/>
          <w:color w:val="000000"/>
          <w:spacing w:val="-2"/>
          <w:kern w:val="0"/>
          <w:sz w:val="24"/>
        </w:rPr>
      </w:pPr>
      <w:r>
        <w:rPr>
          <w:rFonts w:hint="eastAsia" w:ascii="Times New Roman" w:eastAsia="方正黑体_GBK"/>
          <w:color w:val="000000"/>
          <w:spacing w:val="-2"/>
          <w:kern w:val="0"/>
          <w:sz w:val="24"/>
        </w:rPr>
        <w:t>第六条　</w:t>
      </w:r>
      <w:r>
        <w:rPr>
          <w:rFonts w:hint="eastAsia" w:eastAsia="方正仿宋_GBK"/>
          <w:color w:val="000000"/>
          <w:spacing w:val="-2"/>
          <w:kern w:val="0"/>
          <w:sz w:val="24"/>
        </w:rPr>
        <w:t>建设工程质量检测机构与人员信用管理，应遵循公开、公正和统一的原则，建立检测机构与人员的信用档案，对检测机构信用等级进行评定，实行分等级监督管理，形成诚信激励和失信惩戒机制。</w:t>
      </w:r>
    </w:p>
    <w:p>
      <w:pPr>
        <w:spacing w:line="440" w:lineRule="exact"/>
        <w:rPr>
          <w:rFonts w:eastAsia="方正仿宋_GBK"/>
          <w:color w:val="000000"/>
          <w:spacing w:val="-2"/>
          <w:kern w:val="0"/>
          <w:sz w:val="24"/>
        </w:rPr>
      </w:pPr>
    </w:p>
    <w:p>
      <w:pPr>
        <w:spacing w:line="440" w:lineRule="exact"/>
        <w:jc w:val="center"/>
        <w:rPr>
          <w:rFonts w:ascii="Times New Roman" w:eastAsia="方正黑体_GBK"/>
          <w:color w:val="000000"/>
          <w:spacing w:val="-2"/>
          <w:kern w:val="0"/>
          <w:sz w:val="24"/>
        </w:rPr>
      </w:pPr>
      <w:r>
        <w:rPr>
          <w:rFonts w:hint="eastAsia" w:ascii="Times New Roman" w:eastAsia="方正黑体_GBK"/>
          <w:color w:val="000000"/>
          <w:spacing w:val="-2"/>
          <w:kern w:val="0"/>
          <w:sz w:val="24"/>
        </w:rPr>
        <w:t>第二章</w:t>
      </w:r>
      <w:r>
        <w:rPr>
          <w:rFonts w:ascii="Times New Roman" w:eastAsia="方正黑体_GBK"/>
          <w:color w:val="000000"/>
          <w:spacing w:val="-2"/>
          <w:kern w:val="0"/>
          <w:sz w:val="24"/>
        </w:rPr>
        <w:t>  </w:t>
      </w:r>
      <w:r>
        <w:rPr>
          <w:rFonts w:hint="eastAsia" w:ascii="Times New Roman" w:eastAsia="方正黑体_GBK"/>
          <w:color w:val="000000"/>
          <w:spacing w:val="-2"/>
          <w:kern w:val="0"/>
          <w:sz w:val="24"/>
        </w:rPr>
        <w:t xml:space="preserve"> 检测机构的信用</w:t>
      </w:r>
    </w:p>
    <w:p>
      <w:pPr>
        <w:spacing w:line="440" w:lineRule="exact"/>
        <w:rPr>
          <w:rFonts w:hint="eastAsia" w:eastAsia="方正仿宋_GBK"/>
          <w:color w:val="000000"/>
          <w:spacing w:val="-2"/>
          <w:kern w:val="0"/>
          <w:sz w:val="24"/>
        </w:rPr>
      </w:pPr>
    </w:p>
    <w:p>
      <w:pPr>
        <w:spacing w:line="440" w:lineRule="exact"/>
        <w:ind w:firstLine="464" w:firstLineChars="200"/>
        <w:rPr>
          <w:rFonts w:eastAsia="方正仿宋_GBK"/>
          <w:color w:val="000000"/>
          <w:spacing w:val="-2"/>
          <w:kern w:val="0"/>
          <w:sz w:val="24"/>
        </w:rPr>
      </w:pPr>
      <w:r>
        <w:rPr>
          <w:rFonts w:hint="eastAsia" w:ascii="Times New Roman" w:eastAsia="方正黑体_GBK"/>
          <w:color w:val="000000"/>
          <w:spacing w:val="-2"/>
          <w:kern w:val="0"/>
          <w:sz w:val="24"/>
        </w:rPr>
        <w:t>第七条</w:t>
      </w:r>
      <w:r>
        <w:rPr>
          <w:rFonts w:eastAsia="方正仿宋_GBK"/>
          <w:color w:val="000000"/>
          <w:spacing w:val="-2"/>
          <w:kern w:val="0"/>
          <w:sz w:val="24"/>
        </w:rPr>
        <w:t xml:space="preserve">  </w:t>
      </w:r>
      <w:r>
        <w:rPr>
          <w:rFonts w:hint="eastAsia" w:eastAsia="方正仿宋_GBK"/>
          <w:color w:val="000000"/>
          <w:spacing w:val="-2"/>
          <w:kern w:val="0"/>
          <w:sz w:val="24"/>
        </w:rPr>
        <w:t>建设工程质量检测机构信用档案应包括以下内容：</w:t>
      </w:r>
    </w:p>
    <w:p>
      <w:pPr>
        <w:spacing w:line="44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（一）基本情况：机构名称、地址、法定代表人姓名，工商营业执照复印件、资质证书（副本）复印件，检测机构人员名单，其它认证、认可或授权证书（副本）复印件等。</w:t>
      </w:r>
    </w:p>
    <w:p>
      <w:pPr>
        <w:spacing w:line="44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（二）变更情况：变更事项、变更内容、变更时间等情况。</w:t>
      </w:r>
    </w:p>
    <w:p>
      <w:pPr>
        <w:spacing w:line="44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（二）良好行为记录。</w:t>
      </w:r>
    </w:p>
    <w:p>
      <w:pPr>
        <w:spacing w:line="44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（三）不良行为记录。</w:t>
      </w:r>
    </w:p>
    <w:p>
      <w:pPr>
        <w:spacing w:line="44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（四）信用评定情况。</w:t>
      </w:r>
    </w:p>
    <w:p>
      <w:pPr>
        <w:spacing w:line="440" w:lineRule="exact"/>
        <w:ind w:firstLine="464" w:firstLineChars="200"/>
        <w:rPr>
          <w:rFonts w:eastAsia="方正仿宋_GBK"/>
          <w:color w:val="000000"/>
          <w:spacing w:val="-2"/>
          <w:kern w:val="0"/>
          <w:sz w:val="24"/>
        </w:rPr>
      </w:pPr>
      <w:r>
        <w:rPr>
          <w:rFonts w:hint="eastAsia" w:ascii="Times New Roman" w:eastAsia="方正黑体_GBK"/>
          <w:color w:val="000000"/>
          <w:spacing w:val="-2"/>
          <w:kern w:val="0"/>
          <w:sz w:val="24"/>
        </w:rPr>
        <w:t>第八条</w:t>
      </w:r>
      <w:r>
        <w:rPr>
          <w:rFonts w:eastAsia="方正仿宋_GBK"/>
          <w:color w:val="000000"/>
          <w:spacing w:val="-2"/>
          <w:kern w:val="0"/>
          <w:sz w:val="24"/>
        </w:rPr>
        <w:t xml:space="preserve"> </w:t>
      </w:r>
      <w:r>
        <w:rPr>
          <w:rFonts w:hint="eastAsia" w:eastAsia="方正仿宋_GBK"/>
          <w:color w:val="000000"/>
          <w:spacing w:val="-2"/>
          <w:kern w:val="0"/>
          <w:sz w:val="24"/>
        </w:rPr>
        <w:t>检测机构有下列情形之一的行为，认定为不良行为：</w:t>
      </w:r>
    </w:p>
    <w:p>
      <w:pPr>
        <w:spacing w:line="44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（一）违反《中华人民共和国建筑法》、《建设工程质量管理条例》、《建设工程质量检测管理办法》（建设部</w:t>
      </w:r>
      <w:r>
        <w:rPr>
          <w:rFonts w:eastAsia="方正仿宋_GBK"/>
          <w:color w:val="000000"/>
          <w:spacing w:val="-2"/>
          <w:kern w:val="0"/>
          <w:sz w:val="24"/>
        </w:rPr>
        <w:t>141</w:t>
      </w:r>
      <w:r>
        <w:rPr>
          <w:rFonts w:hint="eastAsia" w:eastAsia="方正仿宋_GBK"/>
          <w:color w:val="000000"/>
          <w:spacing w:val="-2"/>
          <w:kern w:val="0"/>
          <w:sz w:val="24"/>
        </w:rPr>
        <w:t>号令）、《江苏省建设工程管理条例》、《江苏省建筑市场管理条例》、《江苏省建设工程质量检测管理实施细则》（苏建法〔</w:t>
      </w:r>
      <w:r>
        <w:rPr>
          <w:rFonts w:eastAsia="方正仿宋_GBK"/>
          <w:color w:val="000000"/>
          <w:spacing w:val="-2"/>
          <w:kern w:val="0"/>
          <w:sz w:val="24"/>
        </w:rPr>
        <w:t>2006</w:t>
      </w:r>
      <w:r>
        <w:rPr>
          <w:rFonts w:hint="eastAsia" w:eastAsia="方正仿宋_GBK"/>
          <w:color w:val="000000"/>
          <w:spacing w:val="-2"/>
          <w:kern w:val="0"/>
          <w:sz w:val="24"/>
        </w:rPr>
        <w:t>〕</w:t>
      </w:r>
      <w:r>
        <w:rPr>
          <w:rFonts w:eastAsia="方正仿宋_GBK"/>
          <w:color w:val="000000"/>
          <w:spacing w:val="-2"/>
          <w:kern w:val="0"/>
          <w:sz w:val="24"/>
        </w:rPr>
        <w:t>97</w:t>
      </w:r>
      <w:r>
        <w:rPr>
          <w:rFonts w:hint="eastAsia" w:eastAsia="方正仿宋_GBK"/>
          <w:color w:val="000000"/>
          <w:spacing w:val="-2"/>
          <w:kern w:val="0"/>
          <w:sz w:val="24"/>
        </w:rPr>
        <w:t>号）以及江苏省工程建设标准《建设工程质量检测规程》（</w:t>
      </w:r>
      <w:r>
        <w:rPr>
          <w:rFonts w:eastAsia="方正仿宋_GBK"/>
          <w:color w:val="000000"/>
          <w:spacing w:val="-2"/>
          <w:kern w:val="0"/>
          <w:sz w:val="24"/>
        </w:rPr>
        <w:t>DGJ32/J21-2006</w:t>
      </w:r>
      <w:r>
        <w:rPr>
          <w:rFonts w:hint="eastAsia" w:eastAsia="方正仿宋_GBK"/>
          <w:color w:val="000000"/>
          <w:spacing w:val="-2"/>
          <w:kern w:val="0"/>
          <w:sz w:val="24"/>
        </w:rPr>
        <w:t>）等法律、法规、规章、规程和规范性文件的有关规定的；</w:t>
      </w:r>
    </w:p>
    <w:p>
      <w:pPr>
        <w:spacing w:line="44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（二）检测机构背离诚信，违约或者不正当竞争等扰乱检测市场秩序的。</w:t>
      </w:r>
    </w:p>
    <w:p>
      <w:pPr>
        <w:spacing w:line="440" w:lineRule="exact"/>
        <w:ind w:firstLine="464" w:firstLineChars="200"/>
        <w:rPr>
          <w:rFonts w:eastAsia="方正仿宋_GBK"/>
          <w:color w:val="000000"/>
          <w:spacing w:val="-2"/>
          <w:kern w:val="0"/>
          <w:sz w:val="24"/>
        </w:rPr>
      </w:pPr>
      <w:r>
        <w:rPr>
          <w:rFonts w:hint="eastAsia" w:ascii="Times New Roman" w:eastAsia="方正黑体_GBK"/>
          <w:color w:val="000000"/>
          <w:spacing w:val="-2"/>
          <w:kern w:val="0"/>
          <w:sz w:val="24"/>
        </w:rPr>
        <w:t>第九条</w:t>
      </w:r>
      <w:r>
        <w:rPr>
          <w:rFonts w:eastAsia="方正仿宋_GBK"/>
          <w:color w:val="000000"/>
          <w:spacing w:val="-2"/>
          <w:kern w:val="0"/>
          <w:sz w:val="24"/>
        </w:rPr>
        <w:t xml:space="preserve">  </w:t>
      </w:r>
      <w:r>
        <w:rPr>
          <w:rFonts w:hint="eastAsia" w:eastAsia="方正仿宋_GBK"/>
          <w:color w:val="000000"/>
          <w:spacing w:val="-2"/>
          <w:kern w:val="0"/>
          <w:sz w:val="24"/>
        </w:rPr>
        <w:t>检测机构信用档案应通过以下途径建立：</w:t>
      </w:r>
    </w:p>
    <w:p>
      <w:pPr>
        <w:spacing w:line="44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一）基本情况记录：检测机构根据建设工程质量检测机构的基本情况、变更情况等，填写《建设工程质量检测机构基本情况表》（附表一）和《建设工程质量检测人员基本信息表》（附表二），并在取得检测机构资质或许可变更后的</w:t>
      </w:r>
      <w:r>
        <w:rPr>
          <w:rFonts w:eastAsia="方正仿宋_GBK"/>
          <w:color w:val="000000"/>
          <w:spacing w:val="-2"/>
          <w:kern w:val="0"/>
          <w:sz w:val="24"/>
        </w:rPr>
        <w:t>15</w:t>
      </w:r>
      <w:r>
        <w:rPr>
          <w:rFonts w:hint="eastAsia" w:eastAsia="方正仿宋_GBK"/>
          <w:color w:val="000000"/>
          <w:spacing w:val="-2"/>
          <w:kern w:val="0"/>
          <w:sz w:val="24"/>
        </w:rPr>
        <w:t>个工作日内，以书面和电子文稿两种方式发送至省建设工程质量监督总站。如有变更应及时申报更新。</w:t>
      </w:r>
    </w:p>
    <w:p>
      <w:pPr>
        <w:spacing w:line="44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（二）市、县（区）级建设行政主管部门负责收集本地区所认定的建设工程质量检测机构良好行为和不良行为信息，并附上良好行为和不良行为相关证明文件，报省建设工程质量监督总站。</w:t>
      </w:r>
    </w:p>
    <w:p>
      <w:pPr>
        <w:spacing w:line="44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（三）省级建设行政主管部门开展的各类检查评比以及收到的投诉举报所反映的建设工程质量检测机构的信用信息，由省建设工程质量监督总站负责收集。</w:t>
      </w:r>
    </w:p>
    <w:p>
      <w:pPr>
        <w:spacing w:line="440" w:lineRule="exact"/>
        <w:rPr>
          <w:rFonts w:eastAsia="方正仿宋_GBK"/>
          <w:color w:val="000000"/>
          <w:spacing w:val="-2"/>
          <w:kern w:val="0"/>
          <w:sz w:val="24"/>
        </w:rPr>
      </w:pPr>
    </w:p>
    <w:p>
      <w:pPr>
        <w:spacing w:line="440" w:lineRule="exact"/>
        <w:jc w:val="center"/>
        <w:rPr>
          <w:rFonts w:ascii="Times New Roman" w:eastAsia="方正黑体_GBK"/>
          <w:color w:val="000000"/>
          <w:spacing w:val="-2"/>
          <w:kern w:val="0"/>
          <w:sz w:val="24"/>
        </w:rPr>
      </w:pPr>
      <w:r>
        <w:rPr>
          <w:rFonts w:hint="eastAsia" w:ascii="Times New Roman" w:eastAsia="方正黑体_GBK"/>
          <w:color w:val="000000"/>
          <w:spacing w:val="-2"/>
          <w:kern w:val="0"/>
          <w:sz w:val="24"/>
        </w:rPr>
        <w:t>第三章</w:t>
      </w:r>
      <w:r>
        <w:rPr>
          <w:rFonts w:ascii="Times New Roman" w:eastAsia="方正黑体_GBK"/>
          <w:color w:val="000000"/>
          <w:spacing w:val="-2"/>
          <w:kern w:val="0"/>
          <w:sz w:val="24"/>
        </w:rPr>
        <w:t> </w:t>
      </w:r>
      <w:r>
        <w:rPr>
          <w:rFonts w:hint="eastAsia" w:ascii="Times New Roman" w:eastAsia="方正黑体_GBK"/>
          <w:color w:val="000000"/>
          <w:spacing w:val="-2"/>
          <w:kern w:val="0"/>
          <w:sz w:val="24"/>
        </w:rPr>
        <w:t xml:space="preserve"> 检测人员的信用</w:t>
      </w:r>
    </w:p>
    <w:p>
      <w:pPr>
        <w:spacing w:line="440" w:lineRule="exact"/>
        <w:rPr>
          <w:rFonts w:hint="eastAsia" w:eastAsia="方正仿宋_GBK"/>
          <w:color w:val="000000"/>
          <w:spacing w:val="-2"/>
          <w:kern w:val="0"/>
          <w:sz w:val="24"/>
        </w:rPr>
      </w:pPr>
    </w:p>
    <w:p>
      <w:pPr>
        <w:spacing w:line="440" w:lineRule="exact"/>
        <w:ind w:firstLine="464" w:firstLineChars="200"/>
        <w:rPr>
          <w:rFonts w:eastAsia="方正仿宋_GBK"/>
          <w:color w:val="000000"/>
          <w:spacing w:val="-2"/>
          <w:kern w:val="0"/>
          <w:sz w:val="24"/>
        </w:rPr>
      </w:pPr>
      <w:r>
        <w:rPr>
          <w:rFonts w:hint="eastAsia" w:ascii="Times New Roman" w:eastAsia="方正黑体_GBK"/>
          <w:color w:val="000000"/>
          <w:spacing w:val="-2"/>
          <w:kern w:val="0"/>
          <w:sz w:val="24"/>
        </w:rPr>
        <w:t>第十条</w:t>
      </w:r>
      <w:r>
        <w:rPr>
          <w:rFonts w:eastAsia="方正仿宋_GBK"/>
          <w:color w:val="000000"/>
          <w:spacing w:val="-2"/>
          <w:kern w:val="0"/>
          <w:sz w:val="24"/>
        </w:rPr>
        <w:t xml:space="preserve">  </w:t>
      </w:r>
      <w:r>
        <w:rPr>
          <w:rFonts w:hint="eastAsia" w:eastAsia="方正仿宋_GBK"/>
          <w:color w:val="000000"/>
          <w:spacing w:val="-2"/>
          <w:kern w:val="0"/>
          <w:sz w:val="24"/>
        </w:rPr>
        <w:t>检测人员信用档案包含检测人员基本信息、检测人员良好行为记录、检测人员不良行为记录。</w:t>
      </w:r>
    </w:p>
    <w:p>
      <w:pPr>
        <w:spacing w:line="440" w:lineRule="exact"/>
        <w:ind w:firstLine="464" w:firstLineChars="200"/>
        <w:rPr>
          <w:rFonts w:eastAsia="方正仿宋_GBK"/>
          <w:color w:val="000000"/>
          <w:spacing w:val="-2"/>
          <w:kern w:val="0"/>
          <w:sz w:val="24"/>
        </w:rPr>
      </w:pPr>
      <w:r>
        <w:rPr>
          <w:rFonts w:hint="eastAsia" w:ascii="Times New Roman" w:eastAsia="方正黑体_GBK"/>
          <w:color w:val="000000"/>
          <w:spacing w:val="-2"/>
          <w:kern w:val="0"/>
          <w:sz w:val="24"/>
        </w:rPr>
        <w:t>第十一条</w:t>
      </w:r>
      <w:r>
        <w:rPr>
          <w:rFonts w:eastAsia="方正仿宋_GBK"/>
          <w:color w:val="000000"/>
          <w:spacing w:val="-2"/>
          <w:kern w:val="0"/>
          <w:sz w:val="24"/>
        </w:rPr>
        <w:t xml:space="preserve">  </w:t>
      </w:r>
      <w:r>
        <w:rPr>
          <w:rFonts w:hint="eastAsia" w:eastAsia="方正仿宋_GBK"/>
          <w:color w:val="000000"/>
          <w:spacing w:val="-2"/>
          <w:kern w:val="0"/>
          <w:sz w:val="24"/>
        </w:rPr>
        <w:t>检测人员基本信息包含：姓名、性别、出生年月、学历、职称、检测人员岗位合格证书编号及可从事检测项目、当前工作岗位、工作简历等。</w:t>
      </w:r>
    </w:p>
    <w:p>
      <w:pPr>
        <w:spacing w:line="440" w:lineRule="exact"/>
        <w:ind w:firstLine="464" w:firstLineChars="200"/>
        <w:rPr>
          <w:rFonts w:eastAsia="方正仿宋_GBK"/>
          <w:color w:val="000000"/>
          <w:spacing w:val="-2"/>
          <w:kern w:val="0"/>
          <w:sz w:val="24"/>
        </w:rPr>
      </w:pPr>
      <w:r>
        <w:rPr>
          <w:rFonts w:hint="eastAsia" w:ascii="Times New Roman" w:eastAsia="方正黑体_GBK"/>
          <w:color w:val="000000"/>
          <w:spacing w:val="-2"/>
          <w:kern w:val="0"/>
          <w:sz w:val="24"/>
        </w:rPr>
        <w:t>第十二条</w:t>
      </w:r>
      <w:r>
        <w:rPr>
          <w:rFonts w:eastAsia="方正仿宋_GBK"/>
          <w:color w:val="000000"/>
          <w:spacing w:val="-2"/>
          <w:kern w:val="0"/>
          <w:sz w:val="24"/>
        </w:rPr>
        <w:t xml:space="preserve">  </w:t>
      </w:r>
      <w:r>
        <w:rPr>
          <w:rFonts w:hint="eastAsia" w:eastAsia="方正仿宋_GBK"/>
          <w:color w:val="000000"/>
          <w:spacing w:val="-2"/>
          <w:kern w:val="0"/>
          <w:sz w:val="24"/>
        </w:rPr>
        <w:t>检测人员在日常检测工作、技术创新、教育培训等方面表现良好，受到各类个人表彰、荣誉称号、奖励的行为，应当认定为良好行为。</w:t>
      </w:r>
    </w:p>
    <w:p>
      <w:pPr>
        <w:spacing w:line="440" w:lineRule="exact"/>
        <w:ind w:firstLine="464" w:firstLineChars="200"/>
        <w:rPr>
          <w:rFonts w:eastAsia="方正仿宋_GBK"/>
          <w:color w:val="000000"/>
          <w:spacing w:val="-2"/>
          <w:kern w:val="0"/>
          <w:sz w:val="24"/>
        </w:rPr>
      </w:pPr>
      <w:r>
        <w:rPr>
          <w:rFonts w:hint="eastAsia" w:ascii="Times New Roman" w:eastAsia="方正黑体_GBK"/>
          <w:color w:val="000000"/>
          <w:spacing w:val="-2"/>
          <w:kern w:val="0"/>
          <w:sz w:val="24"/>
        </w:rPr>
        <w:t>第十三条</w:t>
      </w:r>
      <w:r>
        <w:rPr>
          <w:rFonts w:eastAsia="方正仿宋_GBK"/>
          <w:color w:val="000000"/>
          <w:spacing w:val="-2"/>
          <w:kern w:val="0"/>
          <w:sz w:val="24"/>
        </w:rPr>
        <w:t xml:space="preserve">  </w:t>
      </w:r>
      <w:r>
        <w:rPr>
          <w:rFonts w:hint="eastAsia" w:eastAsia="方正仿宋_GBK"/>
          <w:color w:val="000000"/>
          <w:spacing w:val="-2"/>
          <w:kern w:val="0"/>
          <w:sz w:val="24"/>
        </w:rPr>
        <w:t>检测人员的以下行为为不良行为：</w:t>
      </w:r>
    </w:p>
    <w:p>
      <w:pPr>
        <w:spacing w:line="44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（一）同时受聘于两个或两个以上检测机构的；</w:t>
      </w:r>
    </w:p>
    <w:p>
      <w:pPr>
        <w:spacing w:line="44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（二）推荐或者监制建筑材料、构配件和设备的；</w:t>
      </w:r>
    </w:p>
    <w:p>
      <w:pPr>
        <w:spacing w:line="44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（三）涂改、倒卖、出租、出借或者以其他形式非法转让资质证书和上岗证书的；</w:t>
      </w:r>
    </w:p>
    <w:p>
      <w:pPr>
        <w:spacing w:line="44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（四）出具虚假检测报告的；</w:t>
      </w:r>
    </w:p>
    <w:p>
      <w:pPr>
        <w:spacing w:line="44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（五）伪造或修改检测报告的；</w:t>
      </w:r>
    </w:p>
    <w:p>
      <w:pPr>
        <w:spacing w:line="44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（六）未按相关标准、规范、作业指导书规定的方法开展检测工作，造成检测数据失真的；</w:t>
      </w:r>
    </w:p>
    <w:p>
      <w:pPr>
        <w:spacing w:line="44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（七）因玩忽职守，在检测工作中出现失误，造成重大质量安全事故或致使事故损失扩大的；</w:t>
      </w:r>
    </w:p>
    <w:p>
      <w:pPr>
        <w:spacing w:line="44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（八）超出本人岗位合格证书中规定项目范围进行检测活动的；</w:t>
      </w:r>
    </w:p>
    <w:p>
      <w:pPr>
        <w:spacing w:line="44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（九）在各级建设行政主管部门组织的监督检查中，被发现不能胜任相关项目检测工作的；</w:t>
      </w:r>
    </w:p>
    <w:p>
      <w:pPr>
        <w:spacing w:line="44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（十）未及时参加上岗继续教育培训和检测能力考核的；</w:t>
      </w:r>
    </w:p>
    <w:p>
      <w:pPr>
        <w:spacing w:line="44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（十一）其他不良行为。</w:t>
      </w:r>
    </w:p>
    <w:p>
      <w:pPr>
        <w:spacing w:line="440" w:lineRule="exact"/>
        <w:ind w:firstLine="464" w:firstLineChars="200"/>
        <w:rPr>
          <w:rFonts w:eastAsia="方正仿宋_GBK"/>
          <w:color w:val="000000"/>
          <w:spacing w:val="-2"/>
          <w:kern w:val="0"/>
          <w:sz w:val="24"/>
        </w:rPr>
      </w:pPr>
      <w:r>
        <w:rPr>
          <w:rFonts w:hint="eastAsia" w:ascii="Times New Roman" w:eastAsia="方正黑体_GBK"/>
          <w:color w:val="000000"/>
          <w:spacing w:val="-2"/>
          <w:kern w:val="0"/>
          <w:sz w:val="24"/>
        </w:rPr>
        <w:t>第十四条</w:t>
      </w:r>
      <w:r>
        <w:rPr>
          <w:rFonts w:eastAsia="方正仿宋_GBK"/>
          <w:color w:val="000000"/>
          <w:spacing w:val="-2"/>
          <w:kern w:val="0"/>
          <w:sz w:val="24"/>
        </w:rPr>
        <w:t xml:space="preserve">  </w:t>
      </w:r>
      <w:r>
        <w:rPr>
          <w:rFonts w:hint="eastAsia" w:eastAsia="方正仿宋_GBK"/>
          <w:color w:val="000000"/>
          <w:spacing w:val="-2"/>
          <w:kern w:val="0"/>
          <w:sz w:val="24"/>
        </w:rPr>
        <w:t>检测人员信用档案建立与检测机构同步进行。途径与方式与检测机构信用档案建立一致。</w:t>
      </w:r>
    </w:p>
    <w:p>
      <w:pPr>
        <w:spacing w:line="440" w:lineRule="exact"/>
        <w:rPr>
          <w:rFonts w:eastAsia="方正仿宋_GBK"/>
          <w:color w:val="000000"/>
          <w:spacing w:val="-2"/>
          <w:kern w:val="0"/>
          <w:sz w:val="24"/>
        </w:rPr>
      </w:pPr>
    </w:p>
    <w:p>
      <w:pPr>
        <w:spacing w:line="440" w:lineRule="exact"/>
        <w:jc w:val="center"/>
        <w:rPr>
          <w:rFonts w:ascii="Times New Roman" w:eastAsia="方正黑体_GBK"/>
          <w:color w:val="000000"/>
          <w:spacing w:val="-2"/>
          <w:kern w:val="0"/>
          <w:sz w:val="24"/>
        </w:rPr>
      </w:pPr>
      <w:r>
        <w:rPr>
          <w:rFonts w:hint="eastAsia" w:ascii="Times New Roman" w:eastAsia="方正黑体_GBK"/>
          <w:color w:val="000000"/>
          <w:spacing w:val="-2"/>
          <w:kern w:val="0"/>
          <w:sz w:val="24"/>
        </w:rPr>
        <w:t>第四章</w:t>
      </w:r>
      <w:r>
        <w:rPr>
          <w:rFonts w:ascii="Times New Roman" w:eastAsia="方正黑体_GBK"/>
          <w:color w:val="000000"/>
          <w:spacing w:val="-2"/>
          <w:kern w:val="0"/>
          <w:sz w:val="24"/>
        </w:rPr>
        <w:t> </w:t>
      </w:r>
      <w:r>
        <w:rPr>
          <w:rFonts w:hint="eastAsia" w:ascii="Times New Roman" w:eastAsia="方正黑体_GBK"/>
          <w:color w:val="000000"/>
          <w:spacing w:val="-2"/>
          <w:kern w:val="0"/>
          <w:sz w:val="24"/>
        </w:rPr>
        <w:t xml:space="preserve"> 信用管理</w:t>
      </w:r>
    </w:p>
    <w:p>
      <w:pPr>
        <w:spacing w:line="440" w:lineRule="exact"/>
        <w:jc w:val="center"/>
        <w:rPr>
          <w:rFonts w:hint="eastAsia" w:eastAsia="方正仿宋_GBK"/>
          <w:color w:val="000000"/>
          <w:spacing w:val="-2"/>
          <w:kern w:val="0"/>
          <w:sz w:val="24"/>
        </w:rPr>
      </w:pPr>
    </w:p>
    <w:p>
      <w:pPr>
        <w:spacing w:line="440" w:lineRule="exact"/>
        <w:ind w:firstLine="464" w:firstLineChars="200"/>
        <w:rPr>
          <w:rFonts w:eastAsia="方正仿宋_GBK"/>
          <w:color w:val="000000"/>
          <w:spacing w:val="-2"/>
          <w:kern w:val="0"/>
          <w:sz w:val="24"/>
        </w:rPr>
      </w:pPr>
      <w:r>
        <w:rPr>
          <w:rFonts w:hint="eastAsia" w:ascii="Times New Roman" w:eastAsia="方正黑体_GBK"/>
          <w:color w:val="000000"/>
          <w:spacing w:val="-2"/>
          <w:kern w:val="0"/>
          <w:sz w:val="24"/>
        </w:rPr>
        <w:t>第十五条</w:t>
      </w:r>
      <w:r>
        <w:rPr>
          <w:rFonts w:eastAsia="方正仿宋_GBK"/>
          <w:color w:val="000000"/>
          <w:spacing w:val="-2"/>
          <w:kern w:val="0"/>
          <w:sz w:val="24"/>
        </w:rPr>
        <w:t xml:space="preserve">  </w:t>
      </w:r>
      <w:r>
        <w:rPr>
          <w:rFonts w:hint="eastAsia" w:eastAsia="方正仿宋_GBK"/>
          <w:color w:val="000000"/>
          <w:spacing w:val="-2"/>
          <w:kern w:val="0"/>
          <w:sz w:val="24"/>
        </w:rPr>
        <w:t>省质监总站建立全省建设工程质量检测机构与人员信用档案及信用管理信息平台，加强对检测机构与人员信用行为的监督管理。</w:t>
      </w:r>
    </w:p>
    <w:p>
      <w:pPr>
        <w:spacing w:line="440" w:lineRule="exact"/>
        <w:ind w:firstLine="464" w:firstLineChars="200"/>
        <w:rPr>
          <w:rFonts w:eastAsia="方正仿宋_GBK"/>
          <w:color w:val="000000"/>
          <w:spacing w:val="-2"/>
          <w:kern w:val="0"/>
          <w:sz w:val="24"/>
        </w:rPr>
      </w:pPr>
      <w:r>
        <w:rPr>
          <w:rFonts w:hint="eastAsia" w:ascii="Times New Roman" w:eastAsia="方正黑体_GBK"/>
          <w:color w:val="000000"/>
          <w:spacing w:val="-2"/>
          <w:kern w:val="0"/>
          <w:sz w:val="24"/>
        </w:rPr>
        <w:t>第十六条</w:t>
      </w:r>
      <w:r>
        <w:rPr>
          <w:rFonts w:eastAsia="方正仿宋_GBK"/>
          <w:color w:val="000000"/>
          <w:spacing w:val="-2"/>
          <w:kern w:val="0"/>
          <w:sz w:val="24"/>
        </w:rPr>
        <w:t xml:space="preserve">  </w:t>
      </w:r>
      <w:r>
        <w:rPr>
          <w:rFonts w:hint="eastAsia" w:eastAsia="方正仿宋_GBK"/>
          <w:color w:val="000000"/>
          <w:spacing w:val="-2"/>
          <w:kern w:val="0"/>
          <w:sz w:val="24"/>
        </w:rPr>
        <w:t>市、县建设行政主管部门负责对辖区内检测机构与人员的信用行为进行检查、记录，并将记录信息及时报送省质监总站。</w:t>
      </w:r>
    </w:p>
    <w:p>
      <w:pPr>
        <w:spacing w:line="440" w:lineRule="exact"/>
        <w:ind w:firstLine="464" w:firstLineChars="200"/>
        <w:rPr>
          <w:rFonts w:eastAsia="方正仿宋_GBK"/>
          <w:color w:val="000000"/>
          <w:spacing w:val="-2"/>
          <w:kern w:val="0"/>
          <w:sz w:val="24"/>
        </w:rPr>
      </w:pPr>
      <w:r>
        <w:rPr>
          <w:rFonts w:hint="eastAsia" w:ascii="Times New Roman" w:eastAsia="方正黑体_GBK"/>
          <w:color w:val="000000"/>
          <w:spacing w:val="-2"/>
          <w:kern w:val="0"/>
          <w:sz w:val="24"/>
        </w:rPr>
        <w:t>第十七条</w:t>
      </w:r>
      <w:r>
        <w:rPr>
          <w:rFonts w:eastAsia="方正仿宋_GBK"/>
          <w:color w:val="000000"/>
          <w:spacing w:val="-2"/>
          <w:kern w:val="0"/>
          <w:sz w:val="24"/>
        </w:rPr>
        <w:t xml:space="preserve">  </w:t>
      </w:r>
      <w:r>
        <w:rPr>
          <w:rFonts w:hint="eastAsia" w:eastAsia="方正仿宋_GBK"/>
          <w:color w:val="000000"/>
          <w:spacing w:val="-2"/>
          <w:kern w:val="0"/>
          <w:sz w:val="24"/>
        </w:rPr>
        <w:t>省质监总站每年对检测机构信用和能力进行综合评定和考核。根据检测机构和人员信用档案记录，以及检测能力、业绩情况、职业道德准则遵守情况等，将全省检测机构分为</w:t>
      </w:r>
      <w:r>
        <w:rPr>
          <w:rFonts w:eastAsia="方正仿宋_GBK"/>
          <w:color w:val="000000"/>
          <w:spacing w:val="-2"/>
          <w:kern w:val="0"/>
          <w:sz w:val="24"/>
        </w:rPr>
        <w:t>A</w:t>
      </w:r>
      <w:r>
        <w:rPr>
          <w:rFonts w:hint="eastAsia" w:eastAsia="方正仿宋_GBK"/>
          <w:color w:val="000000"/>
          <w:spacing w:val="-2"/>
          <w:kern w:val="0"/>
          <w:sz w:val="24"/>
        </w:rPr>
        <w:t>、</w:t>
      </w:r>
      <w:r>
        <w:rPr>
          <w:rFonts w:eastAsia="方正仿宋_GBK"/>
          <w:color w:val="000000"/>
          <w:spacing w:val="-2"/>
          <w:kern w:val="0"/>
          <w:sz w:val="24"/>
        </w:rPr>
        <w:t>B</w:t>
      </w:r>
      <w:r>
        <w:rPr>
          <w:rFonts w:hint="eastAsia" w:eastAsia="方正仿宋_GBK"/>
          <w:color w:val="000000"/>
          <w:spacing w:val="-2"/>
          <w:kern w:val="0"/>
          <w:sz w:val="24"/>
        </w:rPr>
        <w:t>、</w:t>
      </w:r>
      <w:r>
        <w:rPr>
          <w:rFonts w:eastAsia="方正仿宋_GBK"/>
          <w:color w:val="000000"/>
          <w:spacing w:val="-2"/>
          <w:kern w:val="0"/>
          <w:sz w:val="24"/>
        </w:rPr>
        <w:t>C</w:t>
      </w:r>
      <w:r>
        <w:rPr>
          <w:rFonts w:hint="eastAsia" w:eastAsia="方正仿宋_GBK"/>
          <w:color w:val="000000"/>
          <w:spacing w:val="-2"/>
          <w:kern w:val="0"/>
          <w:sz w:val="24"/>
        </w:rPr>
        <w:t>三个等级，具体评定等级要求由省质监总站另行通知。</w:t>
      </w:r>
    </w:p>
    <w:p>
      <w:pPr>
        <w:spacing w:line="440" w:lineRule="exact"/>
        <w:ind w:firstLine="464" w:firstLineChars="200"/>
        <w:rPr>
          <w:rFonts w:eastAsia="方正仿宋_GBK"/>
          <w:color w:val="000000"/>
          <w:spacing w:val="-2"/>
          <w:kern w:val="0"/>
          <w:sz w:val="24"/>
        </w:rPr>
      </w:pPr>
      <w:r>
        <w:rPr>
          <w:rFonts w:hint="eastAsia" w:eastAsia="方正仿宋_GBK"/>
          <w:color w:val="000000"/>
          <w:spacing w:val="-2"/>
          <w:kern w:val="0"/>
          <w:sz w:val="24"/>
        </w:rPr>
        <w:t>省质监总站每年公布</w:t>
      </w:r>
      <w:r>
        <w:rPr>
          <w:rFonts w:eastAsia="方正仿宋_GBK"/>
          <w:color w:val="000000"/>
          <w:spacing w:val="-2"/>
          <w:kern w:val="0"/>
          <w:sz w:val="24"/>
        </w:rPr>
        <w:t>“</w:t>
      </w:r>
      <w:r>
        <w:rPr>
          <w:rFonts w:hint="eastAsia" w:eastAsia="方正仿宋_GBK"/>
          <w:color w:val="000000"/>
          <w:spacing w:val="-2"/>
          <w:kern w:val="0"/>
          <w:sz w:val="24"/>
        </w:rPr>
        <w:t>江苏省建设工程质量检测机构等级评级名单</w:t>
      </w:r>
      <w:r>
        <w:rPr>
          <w:rFonts w:eastAsia="方正仿宋_GBK"/>
          <w:color w:val="000000"/>
          <w:spacing w:val="-2"/>
          <w:kern w:val="0"/>
          <w:sz w:val="24"/>
        </w:rPr>
        <w:t>”</w:t>
      </w:r>
      <w:r>
        <w:rPr>
          <w:rFonts w:hint="eastAsia" w:eastAsia="方正仿宋_GBK"/>
          <w:color w:val="000000"/>
          <w:spacing w:val="-2"/>
          <w:kern w:val="0"/>
          <w:sz w:val="24"/>
        </w:rPr>
        <w:t>，并将各检测机构的等级录入信用档案。</w:t>
      </w:r>
    </w:p>
    <w:p>
      <w:pPr>
        <w:spacing w:line="440" w:lineRule="exact"/>
        <w:ind w:firstLine="464" w:firstLineChars="200"/>
        <w:rPr>
          <w:rFonts w:eastAsia="方正仿宋_GBK"/>
          <w:color w:val="000000"/>
          <w:spacing w:val="-2"/>
          <w:kern w:val="0"/>
          <w:sz w:val="24"/>
        </w:rPr>
      </w:pPr>
      <w:r>
        <w:rPr>
          <w:rFonts w:hint="eastAsia" w:ascii="Times New Roman" w:eastAsia="方正黑体_GBK"/>
          <w:color w:val="000000"/>
          <w:spacing w:val="-2"/>
          <w:kern w:val="0"/>
          <w:sz w:val="24"/>
        </w:rPr>
        <w:t>第十八条</w:t>
      </w:r>
      <w:r>
        <w:rPr>
          <w:rFonts w:eastAsia="方正仿宋_GBK"/>
          <w:color w:val="000000"/>
          <w:spacing w:val="-2"/>
          <w:kern w:val="0"/>
          <w:sz w:val="24"/>
        </w:rPr>
        <w:t xml:space="preserve">  </w:t>
      </w:r>
      <w:r>
        <w:rPr>
          <w:rFonts w:hint="eastAsia" w:eastAsia="方正仿宋_GBK"/>
          <w:color w:val="000000"/>
          <w:spacing w:val="-2"/>
          <w:kern w:val="0"/>
          <w:sz w:val="24"/>
        </w:rPr>
        <w:t>建立《承担政府投资和重大、重要项目工程质量检测机构推荐目录》。在</w:t>
      </w:r>
      <w:r>
        <w:rPr>
          <w:rFonts w:eastAsia="方正仿宋_GBK"/>
          <w:color w:val="000000"/>
          <w:spacing w:val="-2"/>
          <w:kern w:val="0"/>
          <w:sz w:val="24"/>
        </w:rPr>
        <w:t>A</w:t>
      </w:r>
      <w:r>
        <w:rPr>
          <w:rFonts w:hint="eastAsia" w:eastAsia="方正仿宋_GBK"/>
          <w:color w:val="000000"/>
          <w:spacing w:val="-2"/>
          <w:kern w:val="0"/>
          <w:sz w:val="24"/>
        </w:rPr>
        <w:t>级检测机构中选择一批能力强、信誉好的纳入目录，推荐承担政府投资和重大、重要项目工程的检测工作。每半年对目录进行调整，实行动态管理。</w:t>
      </w:r>
    </w:p>
    <w:p>
      <w:pPr>
        <w:spacing w:line="44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对未列入目录的检测机构承接政府投资和重大、重要项目工程的，要加大工程监督检查和监督抽测力度，确保政府投资和重大、重要项目工程的质量。</w:t>
      </w:r>
    </w:p>
    <w:p>
      <w:pPr>
        <w:spacing w:line="440" w:lineRule="exact"/>
        <w:ind w:firstLine="464" w:firstLineChars="200"/>
        <w:rPr>
          <w:rFonts w:eastAsia="方正仿宋_GBK"/>
          <w:color w:val="000000"/>
          <w:spacing w:val="-2"/>
          <w:kern w:val="0"/>
          <w:sz w:val="24"/>
        </w:rPr>
      </w:pPr>
      <w:r>
        <w:rPr>
          <w:rFonts w:hint="eastAsia" w:ascii="Times New Roman" w:eastAsia="方正黑体_GBK"/>
          <w:color w:val="000000"/>
          <w:spacing w:val="-2"/>
          <w:kern w:val="0"/>
          <w:sz w:val="24"/>
        </w:rPr>
        <w:t>第十九条</w:t>
      </w:r>
      <w:r>
        <w:rPr>
          <w:rFonts w:eastAsia="方正仿宋_GBK"/>
          <w:color w:val="000000"/>
          <w:spacing w:val="-2"/>
          <w:kern w:val="0"/>
          <w:sz w:val="24"/>
        </w:rPr>
        <w:t xml:space="preserve">  </w:t>
      </w:r>
      <w:r>
        <w:rPr>
          <w:rFonts w:hint="eastAsia" w:eastAsia="方正仿宋_GBK"/>
          <w:color w:val="000000"/>
          <w:spacing w:val="-2"/>
          <w:kern w:val="0"/>
          <w:sz w:val="24"/>
        </w:rPr>
        <w:t>根据检测机构的年度信用等级，实行差别化监督管理。具体为：</w:t>
      </w:r>
    </w:p>
    <w:p>
      <w:pPr>
        <w:spacing w:line="44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（一）对</w:t>
      </w:r>
      <w:r>
        <w:rPr>
          <w:rFonts w:eastAsia="方正仿宋_GBK"/>
          <w:color w:val="000000"/>
          <w:spacing w:val="-2"/>
          <w:kern w:val="0"/>
          <w:sz w:val="24"/>
        </w:rPr>
        <w:t>A</w:t>
      </w:r>
      <w:r>
        <w:rPr>
          <w:rFonts w:hint="eastAsia" w:eastAsia="方正仿宋_GBK"/>
          <w:color w:val="000000"/>
          <w:spacing w:val="-2"/>
          <w:kern w:val="0"/>
          <w:sz w:val="24"/>
        </w:rPr>
        <w:t>级检测机构：实行信用激励机制，实施简化监督和较低频率的日常检查及抽检，减少省级飞行检查次数或不进行飞行检查。</w:t>
      </w:r>
    </w:p>
    <w:p>
      <w:pPr>
        <w:spacing w:line="44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（二）对</w:t>
      </w:r>
      <w:r>
        <w:rPr>
          <w:rFonts w:eastAsia="方正仿宋_GBK"/>
          <w:color w:val="000000"/>
          <w:spacing w:val="-2"/>
          <w:kern w:val="0"/>
          <w:sz w:val="24"/>
        </w:rPr>
        <w:t>B</w:t>
      </w:r>
      <w:r>
        <w:rPr>
          <w:rFonts w:hint="eastAsia" w:eastAsia="方正仿宋_GBK"/>
          <w:color w:val="000000"/>
          <w:spacing w:val="-2"/>
          <w:kern w:val="0"/>
          <w:sz w:val="24"/>
        </w:rPr>
        <w:t>级检测机构：实施常规监督和适度频率的日常检查及抽检。</w:t>
      </w:r>
    </w:p>
    <w:p>
      <w:pPr>
        <w:spacing w:line="44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（三）对</w:t>
      </w:r>
      <w:r>
        <w:rPr>
          <w:rFonts w:eastAsia="方正仿宋_GBK"/>
          <w:color w:val="000000"/>
          <w:spacing w:val="-2"/>
          <w:kern w:val="0"/>
          <w:sz w:val="24"/>
        </w:rPr>
        <w:t>C</w:t>
      </w:r>
      <w:r>
        <w:rPr>
          <w:rFonts w:hint="eastAsia" w:eastAsia="方正仿宋_GBK"/>
          <w:color w:val="000000"/>
          <w:spacing w:val="-2"/>
          <w:kern w:val="0"/>
          <w:sz w:val="24"/>
        </w:rPr>
        <w:t>级检测机构：实行信用预警机制和信用惩戒机制，实施较高频率或抽检率的日常检查，增加省级飞行检查次数。</w:t>
      </w:r>
    </w:p>
    <w:p>
      <w:pPr>
        <w:spacing w:line="44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对连续三次被评定为</w:t>
      </w:r>
      <w:r>
        <w:rPr>
          <w:rFonts w:eastAsia="方正仿宋_GBK"/>
          <w:color w:val="000000"/>
          <w:spacing w:val="-2"/>
          <w:kern w:val="0"/>
          <w:sz w:val="24"/>
        </w:rPr>
        <w:t>C</w:t>
      </w:r>
      <w:r>
        <w:rPr>
          <w:rFonts w:hint="eastAsia" w:eastAsia="方正仿宋_GBK"/>
          <w:color w:val="000000"/>
          <w:spacing w:val="-2"/>
          <w:kern w:val="0"/>
          <w:sz w:val="24"/>
        </w:rPr>
        <w:t>级的工程质量检测机构将被列入</w:t>
      </w:r>
      <w:r>
        <w:rPr>
          <w:rFonts w:eastAsia="方正仿宋_GBK"/>
          <w:color w:val="000000"/>
          <w:spacing w:val="-2"/>
          <w:kern w:val="0"/>
          <w:sz w:val="24"/>
        </w:rPr>
        <w:t>“</w:t>
      </w:r>
      <w:r>
        <w:rPr>
          <w:rFonts w:hint="eastAsia" w:eastAsia="方正仿宋_GBK"/>
          <w:color w:val="000000"/>
          <w:spacing w:val="-2"/>
          <w:kern w:val="0"/>
          <w:sz w:val="24"/>
        </w:rPr>
        <w:t>黑名单</w:t>
      </w:r>
      <w:r>
        <w:rPr>
          <w:rFonts w:eastAsia="方正仿宋_GBK"/>
          <w:color w:val="000000"/>
          <w:spacing w:val="-2"/>
          <w:kern w:val="0"/>
          <w:sz w:val="24"/>
        </w:rPr>
        <w:t>”</w:t>
      </w:r>
      <w:r>
        <w:rPr>
          <w:rFonts w:hint="eastAsia" w:eastAsia="方正仿宋_GBK"/>
          <w:color w:val="000000"/>
          <w:spacing w:val="-2"/>
          <w:kern w:val="0"/>
          <w:sz w:val="24"/>
        </w:rPr>
        <w:t>，重点监管。</w:t>
      </w:r>
    </w:p>
    <w:p>
      <w:pPr>
        <w:spacing w:line="440" w:lineRule="exact"/>
        <w:ind w:firstLine="464" w:firstLineChars="200"/>
        <w:rPr>
          <w:rFonts w:eastAsia="方正仿宋_GBK"/>
          <w:color w:val="000000"/>
          <w:spacing w:val="-2"/>
          <w:kern w:val="0"/>
          <w:sz w:val="24"/>
        </w:rPr>
      </w:pPr>
      <w:r>
        <w:rPr>
          <w:rFonts w:hint="eastAsia" w:ascii="Times New Roman" w:eastAsia="方正黑体_GBK"/>
          <w:color w:val="000000"/>
          <w:spacing w:val="-2"/>
          <w:kern w:val="0"/>
          <w:sz w:val="24"/>
        </w:rPr>
        <w:t>第二十条</w:t>
      </w:r>
      <w:r>
        <w:rPr>
          <w:rFonts w:eastAsia="方正仿宋_GBK"/>
          <w:color w:val="000000"/>
          <w:spacing w:val="-2"/>
          <w:kern w:val="0"/>
          <w:sz w:val="24"/>
        </w:rPr>
        <w:t xml:space="preserve">  </w:t>
      </w:r>
      <w:r>
        <w:rPr>
          <w:rFonts w:hint="eastAsia" w:eastAsia="方正仿宋_GBK"/>
          <w:color w:val="000000"/>
          <w:spacing w:val="-2"/>
          <w:kern w:val="0"/>
          <w:sz w:val="24"/>
        </w:rPr>
        <w:t>对新设立的检测机构，在持证一年内，不进行信用等级评定，按照</w:t>
      </w:r>
      <w:r>
        <w:rPr>
          <w:rFonts w:eastAsia="方正仿宋_GBK"/>
          <w:color w:val="000000"/>
          <w:spacing w:val="-2"/>
          <w:kern w:val="0"/>
          <w:sz w:val="24"/>
        </w:rPr>
        <w:t>C</w:t>
      </w:r>
      <w:r>
        <w:rPr>
          <w:rFonts w:hint="eastAsia" w:eastAsia="方正仿宋_GBK"/>
          <w:color w:val="000000"/>
          <w:spacing w:val="-2"/>
          <w:kern w:val="0"/>
          <w:sz w:val="24"/>
        </w:rPr>
        <w:t>级检测机构的标准进行监管。</w:t>
      </w:r>
    </w:p>
    <w:p>
      <w:pPr>
        <w:spacing w:line="440" w:lineRule="exact"/>
        <w:ind w:firstLine="464" w:firstLineChars="200"/>
        <w:rPr>
          <w:rFonts w:eastAsia="方正仿宋_GBK"/>
          <w:color w:val="000000"/>
          <w:spacing w:val="-2"/>
          <w:kern w:val="0"/>
          <w:sz w:val="24"/>
        </w:rPr>
      </w:pPr>
      <w:r>
        <w:rPr>
          <w:rFonts w:hint="eastAsia" w:ascii="Times New Roman" w:eastAsia="方正黑体_GBK"/>
          <w:color w:val="000000"/>
          <w:spacing w:val="-2"/>
          <w:kern w:val="0"/>
          <w:sz w:val="24"/>
        </w:rPr>
        <w:t>第二十一条</w:t>
      </w:r>
      <w:r>
        <w:rPr>
          <w:rFonts w:eastAsia="方正仿宋_GBK"/>
          <w:color w:val="000000"/>
          <w:spacing w:val="-2"/>
          <w:kern w:val="0"/>
          <w:sz w:val="24"/>
        </w:rPr>
        <w:t xml:space="preserve">  </w:t>
      </w:r>
      <w:r>
        <w:rPr>
          <w:rFonts w:hint="eastAsia" w:eastAsia="方正仿宋_GBK"/>
          <w:color w:val="000000"/>
          <w:spacing w:val="-2"/>
          <w:kern w:val="0"/>
          <w:sz w:val="24"/>
        </w:rPr>
        <w:t>信用档案实行公布制度。建设工程质量检测机构和人员信用档案中基本情况、变更情况、信用等级的记录期至终止从业时止，良好行为和不良行为的记录期为</w:t>
      </w:r>
      <w:r>
        <w:rPr>
          <w:rFonts w:eastAsia="方正仿宋_GBK"/>
          <w:color w:val="000000"/>
          <w:spacing w:val="-2"/>
          <w:kern w:val="0"/>
          <w:sz w:val="24"/>
        </w:rPr>
        <w:t>5</w:t>
      </w:r>
      <w:r>
        <w:rPr>
          <w:rFonts w:hint="eastAsia" w:eastAsia="方正仿宋_GBK"/>
          <w:color w:val="000000"/>
          <w:spacing w:val="-2"/>
          <w:kern w:val="0"/>
          <w:sz w:val="24"/>
        </w:rPr>
        <w:t>年。</w:t>
      </w:r>
    </w:p>
    <w:p>
      <w:pPr>
        <w:spacing w:line="44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信用档案在江苏省建设工程质量监督网上向社会公开后，任何单位或个人均可在网站上查询检测机构和检测人员的信用档案。</w:t>
      </w:r>
    </w:p>
    <w:p>
      <w:pPr>
        <w:spacing w:line="44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基本情况、变更情况、信用等级和良好行为记录在记录期内对外公布。不良行为记录公布时间原则上为一年，可视被公布检测机构的整改情况，对公布期限进行调整，但最短不得少于六个月。</w:t>
      </w:r>
    </w:p>
    <w:p>
      <w:pPr>
        <w:spacing w:line="440" w:lineRule="exact"/>
        <w:ind w:firstLine="464" w:firstLineChars="200"/>
        <w:rPr>
          <w:rFonts w:eastAsia="方正仿宋_GBK"/>
          <w:color w:val="000000"/>
          <w:spacing w:val="-2"/>
          <w:kern w:val="0"/>
          <w:sz w:val="24"/>
        </w:rPr>
      </w:pPr>
      <w:r>
        <w:rPr>
          <w:rFonts w:hint="eastAsia" w:ascii="Times New Roman" w:eastAsia="方正黑体_GBK"/>
          <w:color w:val="000000"/>
          <w:spacing w:val="-2"/>
          <w:kern w:val="0"/>
          <w:sz w:val="24"/>
        </w:rPr>
        <w:t>第二十二条</w:t>
      </w:r>
      <w:r>
        <w:rPr>
          <w:rFonts w:eastAsia="方正仿宋_GBK"/>
          <w:color w:val="000000"/>
          <w:spacing w:val="-2"/>
          <w:kern w:val="0"/>
          <w:sz w:val="24"/>
        </w:rPr>
        <w:t xml:space="preserve">  </w:t>
      </w:r>
      <w:r>
        <w:rPr>
          <w:rFonts w:hint="eastAsia" w:eastAsia="方正仿宋_GBK"/>
          <w:color w:val="000000"/>
          <w:spacing w:val="-2"/>
          <w:kern w:val="0"/>
          <w:sz w:val="24"/>
        </w:rPr>
        <w:t>有不良行为记录的检测机构与人员注册所在地在外省的，由省质监总站将不良行为记录通知其注册所在地的建设行政主管部门。</w:t>
      </w:r>
    </w:p>
    <w:p>
      <w:pPr>
        <w:spacing w:line="440" w:lineRule="exact"/>
        <w:ind w:firstLine="464" w:firstLineChars="200"/>
        <w:rPr>
          <w:rFonts w:eastAsia="方正仿宋_GBK"/>
          <w:color w:val="000000"/>
          <w:spacing w:val="-2"/>
          <w:kern w:val="0"/>
          <w:sz w:val="24"/>
        </w:rPr>
      </w:pPr>
      <w:r>
        <w:rPr>
          <w:rFonts w:hint="eastAsia" w:ascii="Times New Roman" w:eastAsia="方正黑体_GBK"/>
          <w:color w:val="000000"/>
          <w:spacing w:val="-2"/>
          <w:kern w:val="0"/>
          <w:sz w:val="24"/>
        </w:rPr>
        <w:t>第二十三条</w:t>
      </w:r>
      <w:r>
        <w:rPr>
          <w:rFonts w:eastAsia="方正仿宋_GBK"/>
          <w:color w:val="000000"/>
          <w:spacing w:val="-2"/>
          <w:kern w:val="0"/>
          <w:sz w:val="24"/>
        </w:rPr>
        <w:t xml:space="preserve">  </w:t>
      </w:r>
      <w:r>
        <w:rPr>
          <w:rFonts w:hint="eastAsia" w:eastAsia="方正仿宋_GBK"/>
          <w:color w:val="000000"/>
          <w:spacing w:val="-2"/>
          <w:kern w:val="0"/>
          <w:sz w:val="24"/>
        </w:rPr>
        <w:t>检测机构和检测人员认为其被公布的信用信息与事实不符的，可以向报送该信息的当地建设行政主管部门提出更正申请，并提交相关证明资料。报送该信用信息的建设行政主管部门应及时组织核实，并提出更正或不予更正的意见，报省质监总站，省质监总站审定后作出更正或不予更正的答复。</w:t>
      </w:r>
    </w:p>
    <w:p>
      <w:pPr>
        <w:spacing w:line="440" w:lineRule="exact"/>
        <w:ind w:firstLine="464" w:firstLineChars="200"/>
        <w:rPr>
          <w:rFonts w:eastAsia="方正仿宋_GBK"/>
          <w:color w:val="000000"/>
          <w:spacing w:val="-2"/>
          <w:kern w:val="0"/>
          <w:sz w:val="24"/>
        </w:rPr>
      </w:pPr>
      <w:r>
        <w:rPr>
          <w:rFonts w:hint="eastAsia" w:ascii="Times New Roman" w:eastAsia="方正黑体_GBK"/>
          <w:color w:val="000000"/>
          <w:spacing w:val="-2"/>
          <w:kern w:val="0"/>
          <w:sz w:val="24"/>
        </w:rPr>
        <w:t>第二十四条</w:t>
      </w:r>
      <w:r>
        <w:rPr>
          <w:rFonts w:eastAsia="方正仿宋_GBK"/>
          <w:color w:val="000000"/>
          <w:spacing w:val="-2"/>
          <w:kern w:val="0"/>
          <w:sz w:val="24"/>
        </w:rPr>
        <w:t xml:space="preserve">  </w:t>
      </w:r>
      <w:r>
        <w:rPr>
          <w:rFonts w:hint="eastAsia" w:eastAsia="方正仿宋_GBK"/>
          <w:color w:val="000000"/>
          <w:spacing w:val="-2"/>
          <w:kern w:val="0"/>
          <w:sz w:val="24"/>
        </w:rPr>
        <w:t>在信用管理工作中应当建立严格的责任奖罚机制，对在信用行为信息的收集、认定、记录、公布中，表现突出的相关人员和单位，以及敢于披露不良行为的有关检测人员，应当给予奖励；对玩忽职守、弄虚作假、隐瞒不报或徇私舞弊的责任单位和责任人，依法给予行政处分或追究相关责任。</w:t>
      </w:r>
    </w:p>
    <w:p>
      <w:pPr>
        <w:spacing w:line="440" w:lineRule="exact"/>
        <w:rPr>
          <w:rFonts w:eastAsia="方正仿宋_GBK"/>
          <w:color w:val="000000"/>
          <w:spacing w:val="-2"/>
          <w:kern w:val="0"/>
          <w:sz w:val="24"/>
        </w:rPr>
      </w:pPr>
    </w:p>
    <w:p>
      <w:pPr>
        <w:spacing w:line="440" w:lineRule="exact"/>
        <w:jc w:val="center"/>
        <w:rPr>
          <w:rFonts w:ascii="Times New Roman" w:eastAsia="方正黑体_GBK"/>
          <w:color w:val="000000"/>
          <w:spacing w:val="-2"/>
          <w:kern w:val="0"/>
          <w:sz w:val="24"/>
        </w:rPr>
      </w:pPr>
      <w:r>
        <w:rPr>
          <w:rFonts w:hint="eastAsia" w:ascii="Times New Roman" w:eastAsia="方正黑体_GBK"/>
          <w:color w:val="000000"/>
          <w:spacing w:val="-2"/>
          <w:kern w:val="0"/>
          <w:sz w:val="24"/>
        </w:rPr>
        <w:t>第五章　附　　则</w:t>
      </w:r>
    </w:p>
    <w:p>
      <w:pPr>
        <w:spacing w:line="440" w:lineRule="exact"/>
        <w:rPr>
          <w:rFonts w:hint="eastAsia" w:eastAsia="方正仿宋_GBK"/>
          <w:color w:val="000000"/>
          <w:spacing w:val="-2"/>
          <w:kern w:val="0"/>
          <w:sz w:val="24"/>
        </w:rPr>
      </w:pPr>
    </w:p>
    <w:p>
      <w:pPr>
        <w:spacing w:line="440" w:lineRule="exact"/>
        <w:ind w:firstLine="464" w:firstLineChars="200"/>
        <w:rPr>
          <w:rFonts w:eastAsia="方正仿宋_GBK"/>
          <w:color w:val="000000"/>
          <w:spacing w:val="-2"/>
          <w:kern w:val="0"/>
          <w:sz w:val="24"/>
        </w:rPr>
      </w:pPr>
      <w:r>
        <w:rPr>
          <w:rFonts w:hint="eastAsia" w:ascii="Times New Roman" w:eastAsia="方正黑体_GBK"/>
          <w:color w:val="000000"/>
          <w:spacing w:val="-2"/>
          <w:kern w:val="0"/>
          <w:sz w:val="24"/>
        </w:rPr>
        <w:t>第二十五条</w:t>
      </w:r>
      <w:r>
        <w:rPr>
          <w:rFonts w:eastAsia="方正仿宋_GBK"/>
          <w:color w:val="000000"/>
          <w:spacing w:val="-2"/>
          <w:kern w:val="0"/>
          <w:sz w:val="24"/>
        </w:rPr>
        <w:t xml:space="preserve">   </w:t>
      </w:r>
      <w:r>
        <w:rPr>
          <w:rFonts w:hint="eastAsia" w:eastAsia="方正仿宋_GBK"/>
          <w:color w:val="000000"/>
          <w:spacing w:val="-2"/>
          <w:kern w:val="0"/>
          <w:sz w:val="24"/>
        </w:rPr>
        <w:t>本规定由省建设厅负责解释。</w:t>
      </w:r>
    </w:p>
    <w:p>
      <w:pPr>
        <w:spacing w:line="440" w:lineRule="exact"/>
        <w:ind w:firstLine="464" w:firstLineChars="200"/>
        <w:rPr>
          <w:rFonts w:eastAsia="方正仿宋_GBK"/>
          <w:color w:val="000000"/>
          <w:spacing w:val="-2"/>
          <w:kern w:val="0"/>
          <w:sz w:val="24"/>
        </w:rPr>
      </w:pPr>
      <w:r>
        <w:rPr>
          <w:rFonts w:hint="eastAsia" w:ascii="Times New Roman" w:eastAsia="方正黑体_GBK"/>
          <w:color w:val="000000"/>
          <w:spacing w:val="-2"/>
          <w:kern w:val="0"/>
          <w:sz w:val="24"/>
        </w:rPr>
        <w:t>第二十六条</w:t>
      </w:r>
      <w:r>
        <w:rPr>
          <w:rFonts w:eastAsia="方正仿宋_GBK"/>
          <w:color w:val="000000"/>
          <w:spacing w:val="-2"/>
          <w:kern w:val="0"/>
          <w:sz w:val="24"/>
        </w:rPr>
        <w:t xml:space="preserve">   </w:t>
      </w:r>
      <w:r>
        <w:rPr>
          <w:rFonts w:hint="eastAsia" w:eastAsia="方正仿宋_GBK"/>
          <w:color w:val="000000"/>
          <w:spacing w:val="-2"/>
          <w:kern w:val="0"/>
          <w:sz w:val="24"/>
        </w:rPr>
        <w:t>本规定自</w:t>
      </w:r>
      <w:r>
        <w:rPr>
          <w:rFonts w:eastAsia="方正仿宋_GBK"/>
          <w:color w:val="000000"/>
          <w:spacing w:val="-2"/>
          <w:kern w:val="0"/>
          <w:sz w:val="24"/>
        </w:rPr>
        <w:t>2007</w:t>
      </w:r>
      <w:r>
        <w:rPr>
          <w:rFonts w:hint="eastAsia" w:eastAsia="方正仿宋_GBK"/>
          <w:color w:val="000000"/>
          <w:spacing w:val="-2"/>
          <w:kern w:val="0"/>
          <w:sz w:val="24"/>
        </w:rPr>
        <w:t>年</w:t>
      </w:r>
      <w:r>
        <w:rPr>
          <w:rFonts w:eastAsia="方正仿宋_GBK"/>
          <w:color w:val="000000"/>
          <w:spacing w:val="-2"/>
          <w:kern w:val="0"/>
          <w:sz w:val="24"/>
        </w:rPr>
        <w:t>1</w:t>
      </w:r>
      <w:r>
        <w:rPr>
          <w:rFonts w:hint="eastAsia" w:eastAsia="方正仿宋_GBK"/>
          <w:color w:val="000000"/>
          <w:spacing w:val="-2"/>
          <w:kern w:val="0"/>
          <w:sz w:val="24"/>
        </w:rPr>
        <w:t>月</w:t>
      </w:r>
      <w:r>
        <w:rPr>
          <w:rFonts w:eastAsia="方正仿宋_GBK"/>
          <w:color w:val="000000"/>
          <w:spacing w:val="-2"/>
          <w:kern w:val="0"/>
          <w:sz w:val="24"/>
        </w:rPr>
        <w:t>1</w:t>
      </w:r>
      <w:r>
        <w:rPr>
          <w:rFonts w:hint="eastAsia" w:eastAsia="方正仿宋_GBK"/>
          <w:color w:val="000000"/>
          <w:spacing w:val="-2"/>
          <w:kern w:val="0"/>
          <w:sz w:val="24"/>
        </w:rPr>
        <w:t>日起施行。</w:t>
      </w:r>
    </w:p>
    <w:p>
      <w:pPr>
        <w:spacing w:line="460" w:lineRule="exact"/>
        <w:rPr>
          <w:rFonts w:eastAsia="方正仿宋_GBK"/>
          <w:color w:val="000000"/>
          <w:spacing w:val="-2"/>
          <w:sz w:val="24"/>
        </w:rPr>
      </w:pPr>
    </w:p>
    <w:p>
      <w:pPr>
        <w:spacing w:line="460" w:lineRule="exact"/>
        <w:rPr>
          <w:rFonts w:ascii="Times New Roman" w:eastAsia="方正黑体_GBK"/>
          <w:color w:val="000000"/>
          <w:spacing w:val="-2"/>
          <w:kern w:val="0"/>
          <w:sz w:val="28"/>
          <w:szCs w:val="28"/>
        </w:rPr>
      </w:pPr>
      <w:r>
        <w:rPr>
          <w:rFonts w:eastAsia="方正仿宋_GBK"/>
          <w:color w:val="000000"/>
          <w:spacing w:val="-2"/>
          <w:sz w:val="24"/>
        </w:rPr>
        <w:br w:type="column"/>
      </w:r>
      <w:r>
        <w:rPr>
          <w:rFonts w:hint="eastAsia" w:ascii="Times New Roman" w:eastAsia="方正黑体_GBK"/>
          <w:color w:val="000000"/>
          <w:spacing w:val="-2"/>
          <w:kern w:val="0"/>
          <w:sz w:val="28"/>
          <w:szCs w:val="28"/>
        </w:rPr>
        <w:t>附表一</w:t>
      </w:r>
    </w:p>
    <w:p>
      <w:pPr>
        <w:spacing w:line="460" w:lineRule="exact"/>
        <w:rPr>
          <w:rFonts w:hint="eastAsia" w:eastAsia="方正仿宋_GBK"/>
          <w:color w:val="000000"/>
          <w:spacing w:val="-2"/>
          <w:kern w:val="0"/>
          <w:sz w:val="24"/>
        </w:rPr>
      </w:pPr>
    </w:p>
    <w:p>
      <w:pPr>
        <w:jc w:val="center"/>
        <w:rPr>
          <w:rFonts w:ascii="Times New Roman" w:eastAsia="方正黑体_GBK"/>
          <w:bCs/>
          <w:color w:val="000000"/>
          <w:spacing w:val="-2"/>
          <w:sz w:val="28"/>
          <w:szCs w:val="28"/>
        </w:rPr>
      </w:pPr>
      <w:r>
        <w:rPr>
          <w:rFonts w:hint="eastAsia" w:ascii="Times New Roman" w:eastAsia="方正黑体_GBK"/>
          <w:bCs/>
          <w:color w:val="000000"/>
          <w:spacing w:val="-2"/>
          <w:sz w:val="28"/>
          <w:szCs w:val="28"/>
        </w:rPr>
        <w:t>建设工程质量检测机构基本情况表</w:t>
      </w:r>
    </w:p>
    <w:p>
      <w:pPr>
        <w:jc w:val="center"/>
        <w:rPr>
          <w:rFonts w:hint="eastAsia" w:ascii="Times New Roman" w:eastAsia="方正黑体_GBK"/>
          <w:bCs/>
          <w:color w:val="000000"/>
          <w:spacing w:val="-2"/>
          <w:sz w:val="28"/>
          <w:szCs w:val="28"/>
        </w:rPr>
      </w:pPr>
    </w:p>
    <w:tbl>
      <w:tblPr>
        <w:tblStyle w:val="12"/>
        <w:tblW w:w="0" w:type="auto"/>
        <w:tblInd w:w="14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58"/>
        <w:gridCol w:w="1850"/>
        <w:gridCol w:w="1080"/>
        <w:gridCol w:w="1065"/>
        <w:gridCol w:w="1263"/>
        <w:gridCol w:w="15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1858" w:type="dxa"/>
            <w:tcBorders>
              <w:top w:val="single" w:color="auto" w:sz="8"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机构名称</w:t>
            </w:r>
          </w:p>
        </w:tc>
        <w:tc>
          <w:tcPr>
            <w:tcW w:w="3995" w:type="dxa"/>
            <w:gridSpan w:val="3"/>
            <w:tcBorders>
              <w:top w:val="single" w:color="auto" w:sz="8" w:space="0"/>
              <w:left w:val="single" w:color="auto" w:sz="4" w:space="0"/>
              <w:bottom w:val="single" w:color="auto" w:sz="4" w:space="0"/>
              <w:right w:val="single" w:color="auto" w:sz="4" w:space="0"/>
            </w:tcBorders>
            <w:noWrap w:val="0"/>
            <w:vAlign w:val="center"/>
          </w:tcPr>
          <w:p>
            <w:pPr>
              <w:rPr>
                <w:rFonts w:eastAsia="方正仿宋_GBK"/>
                <w:color w:val="000000"/>
                <w:spacing w:val="-2"/>
                <w:szCs w:val="21"/>
              </w:rPr>
            </w:pPr>
          </w:p>
        </w:tc>
        <w:tc>
          <w:tcPr>
            <w:tcW w:w="1263" w:type="dxa"/>
            <w:tcBorders>
              <w:top w:val="single" w:color="auto" w:sz="8"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设立时间</w:t>
            </w:r>
          </w:p>
        </w:tc>
        <w:tc>
          <w:tcPr>
            <w:tcW w:w="1584" w:type="dxa"/>
            <w:tcBorders>
              <w:top w:val="single" w:color="auto" w:sz="8" w:space="0"/>
              <w:left w:val="single" w:color="auto" w:sz="4" w:space="0"/>
              <w:bottom w:val="single" w:color="auto" w:sz="4" w:space="0"/>
              <w:right w:val="single" w:color="auto" w:sz="8" w:space="0"/>
            </w:tcBorders>
            <w:noWrap w:val="0"/>
            <w:vAlign w:val="center"/>
          </w:tcPr>
          <w:p>
            <w:pP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1858"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机构地址</w:t>
            </w:r>
          </w:p>
        </w:tc>
        <w:tc>
          <w:tcPr>
            <w:tcW w:w="6842" w:type="dxa"/>
            <w:gridSpan w:val="5"/>
            <w:tcBorders>
              <w:top w:val="single" w:color="auto" w:sz="4" w:space="0"/>
              <w:left w:val="single" w:color="auto" w:sz="4" w:space="0"/>
              <w:bottom w:val="single" w:color="auto" w:sz="4" w:space="0"/>
              <w:right w:val="single" w:color="auto" w:sz="8" w:space="0"/>
            </w:tcBorders>
            <w:noWrap w:val="0"/>
            <w:vAlign w:val="center"/>
          </w:tcPr>
          <w:p>
            <w:pP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1858"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联系电话</w:t>
            </w:r>
          </w:p>
        </w:tc>
        <w:tc>
          <w:tcPr>
            <w:tcW w:w="3995" w:type="dxa"/>
            <w:gridSpan w:val="3"/>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szCs w:val="21"/>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邮政编码</w:t>
            </w:r>
          </w:p>
        </w:tc>
        <w:tc>
          <w:tcPr>
            <w:tcW w:w="1584" w:type="dxa"/>
            <w:tcBorders>
              <w:top w:val="single" w:color="auto" w:sz="4" w:space="0"/>
              <w:left w:val="single" w:color="auto" w:sz="4" w:space="0"/>
              <w:bottom w:val="single" w:color="auto" w:sz="4" w:space="0"/>
              <w:right w:val="single" w:color="auto" w:sz="8" w:space="0"/>
            </w:tcBorders>
            <w:noWrap w:val="0"/>
            <w:vAlign w:val="center"/>
          </w:tcPr>
          <w:p>
            <w:pP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1858"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传</w:t>
            </w:r>
            <w:r>
              <w:rPr>
                <w:rFonts w:eastAsia="方正仿宋_GBK"/>
                <w:color w:val="000000"/>
                <w:spacing w:val="-2"/>
                <w:szCs w:val="21"/>
              </w:rPr>
              <w:t xml:space="preserve">   </w:t>
            </w:r>
            <w:r>
              <w:rPr>
                <w:rFonts w:hint="eastAsia" w:eastAsia="方正仿宋_GBK"/>
                <w:color w:val="000000"/>
                <w:spacing w:val="-2"/>
                <w:szCs w:val="21"/>
              </w:rPr>
              <w:t>真</w:t>
            </w:r>
          </w:p>
        </w:tc>
        <w:tc>
          <w:tcPr>
            <w:tcW w:w="3995" w:type="dxa"/>
            <w:gridSpan w:val="3"/>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szCs w:val="21"/>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电子邮箱</w:t>
            </w:r>
          </w:p>
        </w:tc>
        <w:tc>
          <w:tcPr>
            <w:tcW w:w="1584" w:type="dxa"/>
            <w:tcBorders>
              <w:top w:val="single" w:color="auto" w:sz="4" w:space="0"/>
              <w:left w:val="single" w:color="auto" w:sz="4" w:space="0"/>
              <w:bottom w:val="single" w:color="auto" w:sz="4" w:space="0"/>
              <w:right w:val="single" w:color="auto" w:sz="8" w:space="0"/>
            </w:tcBorders>
            <w:noWrap w:val="0"/>
            <w:vAlign w:val="center"/>
          </w:tcPr>
          <w:p>
            <w:pP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0" w:hRule="atLeast"/>
        </w:trPr>
        <w:tc>
          <w:tcPr>
            <w:tcW w:w="1858"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工商营业执照</w:t>
            </w:r>
          </w:p>
          <w:p>
            <w:pPr>
              <w:jc w:val="center"/>
              <w:rPr>
                <w:rFonts w:eastAsia="方正仿宋_GBK"/>
                <w:color w:val="000000"/>
                <w:spacing w:val="-2"/>
                <w:szCs w:val="21"/>
              </w:rPr>
            </w:pPr>
            <w:r>
              <w:rPr>
                <w:rFonts w:hint="eastAsia" w:eastAsia="方正仿宋_GBK"/>
                <w:color w:val="000000"/>
                <w:spacing w:val="-2"/>
                <w:szCs w:val="21"/>
              </w:rPr>
              <w:t>注册号</w:t>
            </w:r>
          </w:p>
        </w:tc>
        <w:tc>
          <w:tcPr>
            <w:tcW w:w="3995" w:type="dxa"/>
            <w:gridSpan w:val="3"/>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szCs w:val="21"/>
              </w:rPr>
            </w:pPr>
            <w:r>
              <w:rPr>
                <w:rFonts w:eastAsia="方正仿宋_GBK"/>
                <w:color w:val="000000"/>
                <w:spacing w:val="-2"/>
                <w:szCs w:val="21"/>
              </w:rPr>
              <w:t>---</w:t>
            </w:r>
          </w:p>
        </w:tc>
        <w:tc>
          <w:tcPr>
            <w:tcW w:w="126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发证机关</w:t>
            </w:r>
          </w:p>
        </w:tc>
        <w:tc>
          <w:tcPr>
            <w:tcW w:w="1584" w:type="dxa"/>
            <w:tcBorders>
              <w:top w:val="single" w:color="auto" w:sz="4" w:space="0"/>
              <w:left w:val="single" w:color="auto" w:sz="4" w:space="0"/>
              <w:bottom w:val="single" w:color="auto" w:sz="4" w:space="0"/>
              <w:right w:val="single" w:color="auto" w:sz="8" w:space="0"/>
            </w:tcBorders>
            <w:noWrap w:val="0"/>
            <w:vAlign w:val="center"/>
          </w:tcPr>
          <w:p>
            <w:pPr>
              <w:rPr>
                <w:rFonts w:eastAsia="方正仿宋_GBK"/>
                <w:color w:val="000000"/>
                <w:spacing w:val="-2"/>
                <w:szCs w:val="21"/>
              </w:rPr>
            </w:pPr>
            <w:r>
              <w:rPr>
                <w:rFonts w:eastAsia="方正仿宋_GBK"/>
                <w:color w:val="000000"/>
                <w:spacing w:val="-2"/>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0" w:hRule="atLeast"/>
        </w:trPr>
        <w:tc>
          <w:tcPr>
            <w:tcW w:w="1858"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注册资金</w:t>
            </w:r>
          </w:p>
        </w:tc>
        <w:tc>
          <w:tcPr>
            <w:tcW w:w="3995" w:type="dxa"/>
            <w:gridSpan w:val="3"/>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szCs w:val="21"/>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经济性质</w:t>
            </w:r>
          </w:p>
        </w:tc>
        <w:tc>
          <w:tcPr>
            <w:tcW w:w="1584" w:type="dxa"/>
            <w:tcBorders>
              <w:top w:val="single" w:color="auto" w:sz="4" w:space="0"/>
              <w:left w:val="single" w:color="auto" w:sz="4" w:space="0"/>
              <w:bottom w:val="single" w:color="auto" w:sz="4" w:space="0"/>
              <w:right w:val="single" w:color="auto" w:sz="8" w:space="0"/>
            </w:tcBorders>
            <w:noWrap w:val="0"/>
            <w:vAlign w:val="center"/>
          </w:tcPr>
          <w:p>
            <w:pP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0" w:hRule="atLeast"/>
        </w:trPr>
        <w:tc>
          <w:tcPr>
            <w:tcW w:w="1858"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计量认证</w:t>
            </w:r>
          </w:p>
          <w:p>
            <w:pPr>
              <w:jc w:val="center"/>
              <w:rPr>
                <w:rFonts w:eastAsia="方正仿宋_GBK"/>
                <w:color w:val="000000"/>
                <w:spacing w:val="-2"/>
                <w:szCs w:val="21"/>
              </w:rPr>
            </w:pPr>
            <w:r>
              <w:rPr>
                <w:rFonts w:hint="eastAsia" w:eastAsia="方正仿宋_GBK"/>
                <w:color w:val="000000"/>
                <w:spacing w:val="-2"/>
                <w:szCs w:val="21"/>
              </w:rPr>
              <w:t>证书号</w:t>
            </w:r>
          </w:p>
        </w:tc>
        <w:tc>
          <w:tcPr>
            <w:tcW w:w="3995" w:type="dxa"/>
            <w:gridSpan w:val="3"/>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szCs w:val="21"/>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发证机关</w:t>
            </w:r>
          </w:p>
        </w:tc>
        <w:tc>
          <w:tcPr>
            <w:tcW w:w="1584" w:type="dxa"/>
            <w:tcBorders>
              <w:top w:val="single" w:color="auto" w:sz="4" w:space="0"/>
              <w:left w:val="single" w:color="auto" w:sz="4" w:space="0"/>
              <w:bottom w:val="single" w:color="auto" w:sz="4" w:space="0"/>
              <w:right w:val="single" w:color="auto" w:sz="8" w:space="0"/>
            </w:tcBorders>
            <w:noWrap w:val="0"/>
            <w:vAlign w:val="center"/>
          </w:tcPr>
          <w:p>
            <w:pP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0" w:hRule="atLeast"/>
        </w:trPr>
        <w:tc>
          <w:tcPr>
            <w:tcW w:w="1858"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法定代表人</w:t>
            </w:r>
          </w:p>
        </w:tc>
        <w:tc>
          <w:tcPr>
            <w:tcW w:w="1850" w:type="dxa"/>
            <w:tcBorders>
              <w:top w:val="single" w:color="auto" w:sz="4" w:space="0"/>
              <w:left w:val="single" w:color="auto" w:sz="4" w:space="0"/>
              <w:bottom w:val="single" w:color="auto" w:sz="4" w:space="0"/>
              <w:right w:val="single" w:color="auto" w:sz="4" w:space="0"/>
            </w:tcBorders>
            <w:noWrap w:val="0"/>
            <w:vAlign w:val="center"/>
          </w:tcPr>
          <w:p>
            <w:pPr>
              <w:ind w:firstLine="404" w:firstLineChars="200"/>
              <w:rPr>
                <w:rFonts w:eastAsia="方正仿宋_GBK"/>
                <w:color w:val="000000"/>
                <w:spacing w:val="-2"/>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职务</w:t>
            </w: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职称</w:t>
            </w:r>
          </w:p>
        </w:tc>
        <w:tc>
          <w:tcPr>
            <w:tcW w:w="1584" w:type="dxa"/>
            <w:tcBorders>
              <w:top w:val="single" w:color="auto" w:sz="4" w:space="0"/>
              <w:left w:val="single" w:color="auto" w:sz="4" w:space="0"/>
              <w:bottom w:val="single" w:color="auto" w:sz="4" w:space="0"/>
              <w:right w:val="single" w:color="auto" w:sz="8" w:space="0"/>
            </w:tcBorders>
            <w:noWrap w:val="0"/>
            <w:vAlign w:val="center"/>
          </w:tcPr>
          <w:p>
            <w:pP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0" w:hRule="atLeast"/>
        </w:trPr>
        <w:tc>
          <w:tcPr>
            <w:tcW w:w="1858"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技术负责人</w:t>
            </w:r>
          </w:p>
        </w:tc>
        <w:tc>
          <w:tcPr>
            <w:tcW w:w="185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职务</w:t>
            </w: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职称</w:t>
            </w:r>
          </w:p>
        </w:tc>
        <w:tc>
          <w:tcPr>
            <w:tcW w:w="1584" w:type="dxa"/>
            <w:tcBorders>
              <w:top w:val="single" w:color="auto" w:sz="4" w:space="0"/>
              <w:left w:val="single" w:color="auto" w:sz="4" w:space="0"/>
              <w:bottom w:val="single" w:color="auto" w:sz="4" w:space="0"/>
              <w:right w:val="single" w:color="auto" w:sz="8" w:space="0"/>
            </w:tcBorders>
            <w:noWrap w:val="0"/>
            <w:vAlign w:val="center"/>
          </w:tcPr>
          <w:p>
            <w:pP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0" w:hRule="atLeast"/>
        </w:trPr>
        <w:tc>
          <w:tcPr>
            <w:tcW w:w="1858"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质量负责人</w:t>
            </w:r>
          </w:p>
        </w:tc>
        <w:tc>
          <w:tcPr>
            <w:tcW w:w="185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职务</w:t>
            </w: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职称</w:t>
            </w:r>
          </w:p>
        </w:tc>
        <w:tc>
          <w:tcPr>
            <w:tcW w:w="1584" w:type="dxa"/>
            <w:tcBorders>
              <w:top w:val="single" w:color="auto" w:sz="4" w:space="0"/>
              <w:left w:val="single" w:color="auto" w:sz="4" w:space="0"/>
              <w:bottom w:val="single" w:color="auto" w:sz="4" w:space="0"/>
              <w:right w:val="single" w:color="auto" w:sz="8" w:space="0"/>
            </w:tcBorders>
            <w:noWrap w:val="0"/>
            <w:vAlign w:val="center"/>
          </w:tcPr>
          <w:p>
            <w:pP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0" w:hRule="atLeast"/>
        </w:trPr>
        <w:tc>
          <w:tcPr>
            <w:tcW w:w="1858"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在编人员总数</w:t>
            </w:r>
          </w:p>
        </w:tc>
        <w:tc>
          <w:tcPr>
            <w:tcW w:w="185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2145" w:type="dxa"/>
            <w:gridSpan w:val="2"/>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jc w:val="center"/>
              <w:rPr>
                <w:rFonts w:eastAsia="方正仿宋_GBK"/>
                <w:color w:val="000000"/>
                <w:spacing w:val="-2"/>
                <w:szCs w:val="21"/>
              </w:rPr>
            </w:pPr>
            <w:r>
              <w:rPr>
                <w:rFonts w:hint="eastAsia" w:eastAsia="方正仿宋_GBK"/>
                <w:color w:val="000000"/>
                <w:spacing w:val="-2"/>
                <w:szCs w:val="21"/>
              </w:rPr>
              <w:t>专业技术人员数</w:t>
            </w:r>
          </w:p>
        </w:tc>
        <w:tc>
          <w:tcPr>
            <w:tcW w:w="2847" w:type="dxa"/>
            <w:gridSpan w:val="2"/>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0" w:hRule="atLeast"/>
        </w:trPr>
        <w:tc>
          <w:tcPr>
            <w:tcW w:w="1858"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中级职称人数</w:t>
            </w:r>
          </w:p>
        </w:tc>
        <w:tc>
          <w:tcPr>
            <w:tcW w:w="185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214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高级职称人数</w:t>
            </w:r>
          </w:p>
        </w:tc>
        <w:tc>
          <w:tcPr>
            <w:tcW w:w="2847" w:type="dxa"/>
            <w:gridSpan w:val="2"/>
            <w:tcBorders>
              <w:top w:val="single" w:color="auto" w:sz="4" w:space="0"/>
              <w:left w:val="single" w:color="auto" w:sz="4" w:space="0"/>
              <w:bottom w:val="single" w:color="auto" w:sz="4" w:space="0"/>
              <w:right w:val="single" w:color="auto" w:sz="8" w:space="0"/>
            </w:tcBorders>
            <w:noWrap w:val="0"/>
            <w:vAlign w:val="center"/>
          </w:tcPr>
          <w:p>
            <w:pPr>
              <w:ind w:firstLine="1212" w:firstLineChars="600"/>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0" w:hRule="atLeast"/>
        </w:trPr>
        <w:tc>
          <w:tcPr>
            <w:tcW w:w="1858"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仪器设备</w:t>
            </w:r>
          </w:p>
          <w:p>
            <w:pPr>
              <w:jc w:val="center"/>
              <w:rPr>
                <w:rFonts w:eastAsia="方正仿宋_GBK"/>
                <w:color w:val="000000"/>
                <w:spacing w:val="-2"/>
                <w:szCs w:val="21"/>
              </w:rPr>
            </w:pPr>
            <w:r>
              <w:rPr>
                <w:rFonts w:hint="eastAsia" w:eastAsia="方正仿宋_GBK"/>
                <w:color w:val="000000"/>
                <w:spacing w:val="-2"/>
                <w:szCs w:val="21"/>
              </w:rPr>
              <w:t>总台（套）数</w:t>
            </w:r>
          </w:p>
        </w:tc>
        <w:tc>
          <w:tcPr>
            <w:tcW w:w="185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p>
        </w:tc>
        <w:tc>
          <w:tcPr>
            <w:tcW w:w="214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仪器设备固定</w:t>
            </w:r>
          </w:p>
          <w:p>
            <w:pPr>
              <w:jc w:val="center"/>
              <w:rPr>
                <w:rFonts w:eastAsia="方正仿宋_GBK"/>
                <w:color w:val="000000"/>
                <w:spacing w:val="-2"/>
                <w:szCs w:val="21"/>
              </w:rPr>
            </w:pPr>
            <w:r>
              <w:rPr>
                <w:rFonts w:hint="eastAsia" w:eastAsia="方正仿宋_GBK"/>
                <w:color w:val="000000"/>
                <w:spacing w:val="-2"/>
                <w:szCs w:val="21"/>
              </w:rPr>
              <w:t>资产原值（万元）</w:t>
            </w:r>
          </w:p>
        </w:tc>
        <w:tc>
          <w:tcPr>
            <w:tcW w:w="2847" w:type="dxa"/>
            <w:gridSpan w:val="2"/>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0" w:hRule="atLeast"/>
        </w:trPr>
        <w:tc>
          <w:tcPr>
            <w:tcW w:w="1858" w:type="dxa"/>
            <w:tcBorders>
              <w:top w:val="single" w:color="auto" w:sz="4" w:space="0"/>
              <w:left w:val="single" w:color="auto" w:sz="8"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工作面积（</w:t>
            </w:r>
            <w:r>
              <w:rPr>
                <w:rFonts w:eastAsia="方正仿宋_GBK"/>
                <w:color w:val="000000"/>
                <w:spacing w:val="-2"/>
                <w:szCs w:val="21"/>
              </w:rPr>
              <w:t>m</w:t>
            </w:r>
            <w:r>
              <w:rPr>
                <w:rFonts w:eastAsia="方正仿宋_GBK"/>
                <w:color w:val="000000"/>
                <w:spacing w:val="-2"/>
                <w:szCs w:val="21"/>
                <w:vertAlign w:val="superscript"/>
              </w:rPr>
              <w:t>2</w:t>
            </w:r>
            <w:r>
              <w:rPr>
                <w:rFonts w:hint="eastAsia" w:eastAsia="方正仿宋_GBK"/>
                <w:color w:val="000000"/>
                <w:spacing w:val="-2"/>
                <w:szCs w:val="21"/>
              </w:rPr>
              <w:t>）</w:t>
            </w:r>
          </w:p>
        </w:tc>
        <w:tc>
          <w:tcPr>
            <w:tcW w:w="1850" w:type="dxa"/>
            <w:tcBorders>
              <w:top w:val="single" w:color="auto" w:sz="4" w:space="0"/>
              <w:left w:val="single" w:color="auto" w:sz="4" w:space="0"/>
              <w:bottom w:val="single" w:color="auto" w:sz="4" w:space="0"/>
              <w:right w:val="single" w:color="auto" w:sz="4" w:space="0"/>
            </w:tcBorders>
            <w:noWrap w:val="0"/>
            <w:vAlign w:val="center"/>
          </w:tcPr>
          <w:p>
            <w:pPr>
              <w:ind w:firstLine="404" w:firstLineChars="200"/>
              <w:rPr>
                <w:rFonts w:eastAsia="方正仿宋_GBK"/>
                <w:color w:val="000000"/>
                <w:spacing w:val="-2"/>
                <w:szCs w:val="21"/>
              </w:rPr>
            </w:pPr>
          </w:p>
        </w:tc>
        <w:tc>
          <w:tcPr>
            <w:tcW w:w="214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房屋建筑面积（</w:t>
            </w:r>
            <w:r>
              <w:rPr>
                <w:rFonts w:eastAsia="方正仿宋_GBK"/>
                <w:color w:val="000000"/>
                <w:spacing w:val="-2"/>
                <w:szCs w:val="21"/>
              </w:rPr>
              <w:t>m</w:t>
            </w:r>
            <w:r>
              <w:rPr>
                <w:rFonts w:eastAsia="方正仿宋_GBK"/>
                <w:color w:val="000000"/>
                <w:spacing w:val="-2"/>
                <w:szCs w:val="21"/>
                <w:vertAlign w:val="superscript"/>
              </w:rPr>
              <w:t>2</w:t>
            </w:r>
            <w:r>
              <w:rPr>
                <w:rFonts w:hint="eastAsia" w:eastAsia="方正仿宋_GBK"/>
                <w:color w:val="000000"/>
                <w:spacing w:val="-2"/>
                <w:szCs w:val="21"/>
              </w:rPr>
              <w:t>）</w:t>
            </w:r>
          </w:p>
        </w:tc>
        <w:tc>
          <w:tcPr>
            <w:tcW w:w="2847" w:type="dxa"/>
            <w:gridSpan w:val="2"/>
            <w:tcBorders>
              <w:top w:val="single" w:color="auto" w:sz="4" w:space="0"/>
              <w:left w:val="single" w:color="auto" w:sz="4" w:space="0"/>
              <w:bottom w:val="single" w:color="auto" w:sz="4" w:space="0"/>
              <w:right w:val="single" w:color="auto" w:sz="8" w:space="0"/>
            </w:tcBorders>
            <w:noWrap w:val="0"/>
            <w:vAlign w:val="center"/>
          </w:tcPr>
          <w:p>
            <w:pPr>
              <w:jc w:val="center"/>
              <w:rPr>
                <w:rFonts w:eastAsia="方正仿宋_GBK"/>
                <w:color w:val="000000"/>
                <w:spacing w:val="-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47" w:hRule="atLeast"/>
        </w:trPr>
        <w:tc>
          <w:tcPr>
            <w:tcW w:w="1858" w:type="dxa"/>
            <w:tcBorders>
              <w:top w:val="single" w:color="auto" w:sz="4" w:space="0"/>
              <w:left w:val="single" w:color="auto" w:sz="8" w:space="0"/>
              <w:bottom w:val="single" w:color="auto" w:sz="8" w:space="0"/>
              <w:right w:val="single" w:color="auto" w:sz="4" w:space="0"/>
            </w:tcBorders>
            <w:noWrap w:val="0"/>
            <w:vAlign w:val="center"/>
          </w:tcPr>
          <w:p>
            <w:pPr>
              <w:jc w:val="center"/>
              <w:rPr>
                <w:rFonts w:eastAsia="方正仿宋_GBK"/>
                <w:color w:val="000000"/>
                <w:spacing w:val="-2"/>
                <w:szCs w:val="21"/>
              </w:rPr>
            </w:pPr>
            <w:r>
              <w:rPr>
                <w:rFonts w:hint="eastAsia" w:eastAsia="方正仿宋_GBK"/>
                <w:color w:val="000000"/>
                <w:spacing w:val="-2"/>
                <w:szCs w:val="21"/>
              </w:rPr>
              <w:t>资质内容及</w:t>
            </w:r>
          </w:p>
          <w:p>
            <w:pPr>
              <w:jc w:val="center"/>
              <w:rPr>
                <w:rFonts w:eastAsia="方正仿宋_GBK"/>
                <w:color w:val="000000"/>
                <w:spacing w:val="-2"/>
                <w:szCs w:val="21"/>
              </w:rPr>
            </w:pPr>
            <w:r>
              <w:rPr>
                <w:rFonts w:hint="eastAsia" w:eastAsia="方正仿宋_GBK"/>
                <w:color w:val="000000"/>
                <w:spacing w:val="-2"/>
                <w:szCs w:val="21"/>
              </w:rPr>
              <w:t>有效期</w:t>
            </w:r>
          </w:p>
        </w:tc>
        <w:tc>
          <w:tcPr>
            <w:tcW w:w="6842" w:type="dxa"/>
            <w:gridSpan w:val="5"/>
            <w:tcBorders>
              <w:top w:val="single" w:color="auto" w:sz="4" w:space="0"/>
              <w:left w:val="single" w:color="auto" w:sz="4" w:space="0"/>
              <w:bottom w:val="single" w:color="auto" w:sz="8" w:space="0"/>
              <w:right w:val="single" w:color="auto" w:sz="8" w:space="0"/>
            </w:tcBorders>
            <w:noWrap w:val="0"/>
            <w:vAlign w:val="center"/>
          </w:tcPr>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p>
            <w:pPr>
              <w:rPr>
                <w:rFonts w:eastAsia="方正仿宋_GBK"/>
                <w:color w:val="000000"/>
                <w:spacing w:val="-2"/>
                <w:szCs w:val="21"/>
              </w:rPr>
            </w:pPr>
          </w:p>
        </w:tc>
      </w:tr>
    </w:tbl>
    <w:p>
      <w:pPr>
        <w:spacing w:line="460" w:lineRule="exact"/>
        <w:rPr>
          <w:rFonts w:hint="eastAsia" w:ascii="Times New Roman" w:eastAsia="方正黑体_GBK"/>
          <w:color w:val="000000"/>
          <w:spacing w:val="-2"/>
          <w:sz w:val="28"/>
          <w:szCs w:val="28"/>
        </w:rPr>
      </w:pPr>
      <w:r>
        <w:rPr>
          <w:rFonts w:eastAsia="仿宋_GB2312"/>
          <w:color w:val="000000"/>
          <w:spacing w:val="-2"/>
          <w:sz w:val="28"/>
          <w:szCs w:val="28"/>
        </w:rPr>
        <w:br w:type="column"/>
      </w:r>
      <w:r>
        <w:rPr>
          <w:rFonts w:hint="eastAsia" w:ascii="Times New Roman" w:eastAsia="方正黑体_GBK"/>
          <w:color w:val="000000"/>
          <w:spacing w:val="-2"/>
          <w:kern w:val="0"/>
          <w:sz w:val="28"/>
          <w:szCs w:val="28"/>
        </w:rPr>
        <w:t>附表二</w:t>
      </w:r>
      <w:r>
        <w:rPr>
          <w:rFonts w:hint="eastAsia" w:ascii="Times New Roman" w:eastAsia="方正黑体_GBK"/>
          <w:color w:val="000000"/>
          <w:spacing w:val="-2"/>
          <w:sz w:val="28"/>
          <w:szCs w:val="28"/>
        </w:rPr>
        <w:t xml:space="preserve">  </w:t>
      </w:r>
    </w:p>
    <w:p>
      <w:pPr>
        <w:jc w:val="center"/>
        <w:rPr>
          <w:rFonts w:hint="eastAsia" w:ascii="Times New Roman" w:eastAsia="方正黑体_GBK"/>
          <w:bCs/>
          <w:color w:val="000000"/>
          <w:spacing w:val="-2"/>
          <w:sz w:val="28"/>
          <w:szCs w:val="28"/>
        </w:rPr>
      </w:pPr>
      <w:r>
        <w:rPr>
          <w:rFonts w:hint="eastAsia" w:ascii="Times New Roman" w:eastAsia="方正黑体_GBK"/>
          <w:bCs/>
          <w:color w:val="000000"/>
          <w:spacing w:val="-2"/>
          <w:sz w:val="28"/>
          <w:szCs w:val="28"/>
        </w:rPr>
        <w:t>建设工程质量检测人员基本信息表</w:t>
      </w:r>
    </w:p>
    <w:tbl>
      <w:tblPr>
        <w:tblStyle w:val="12"/>
        <w:tblW w:w="0" w:type="auto"/>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2340"/>
        <w:gridCol w:w="1080"/>
        <w:gridCol w:w="1080"/>
        <w:gridCol w:w="360"/>
        <w:gridCol w:w="1080"/>
        <w:gridCol w:w="540"/>
        <w:gridCol w:w="1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18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姓名</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性别</w:t>
            </w:r>
          </w:p>
        </w:tc>
        <w:tc>
          <w:tcPr>
            <w:tcW w:w="144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出生年月</w:t>
            </w:r>
          </w:p>
        </w:tc>
        <w:tc>
          <w:tcPr>
            <w:tcW w:w="161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18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毕业院校</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专业</w:t>
            </w:r>
          </w:p>
        </w:tc>
        <w:tc>
          <w:tcPr>
            <w:tcW w:w="144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学历</w:t>
            </w:r>
          </w:p>
        </w:tc>
        <w:tc>
          <w:tcPr>
            <w:tcW w:w="161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18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职称</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上岗证号</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p>
        </w:tc>
        <w:tc>
          <w:tcPr>
            <w:tcW w:w="198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从事检测工作年限</w:t>
            </w:r>
          </w:p>
        </w:tc>
        <w:tc>
          <w:tcPr>
            <w:tcW w:w="107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18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工作单位</w:t>
            </w:r>
          </w:p>
        </w:tc>
        <w:tc>
          <w:tcPr>
            <w:tcW w:w="7552" w:type="dxa"/>
            <w:gridSpan w:val="7"/>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18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工作岗位</w:t>
            </w:r>
          </w:p>
        </w:tc>
        <w:tc>
          <w:tcPr>
            <w:tcW w:w="234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职务</w:t>
            </w:r>
          </w:p>
        </w:tc>
        <w:tc>
          <w:tcPr>
            <w:tcW w:w="4132" w:type="dxa"/>
            <w:gridSpan w:val="5"/>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3" w:hRule="atLeast"/>
        </w:trPr>
        <w:tc>
          <w:tcPr>
            <w:tcW w:w="1188" w:type="dxa"/>
            <w:tcBorders>
              <w:top w:val="single" w:color="auto" w:sz="4" w:space="0"/>
              <w:left w:val="single" w:color="auto" w:sz="4" w:space="0"/>
              <w:bottom w:val="single" w:color="auto" w:sz="4" w:space="0"/>
              <w:right w:val="single" w:color="auto" w:sz="4" w:space="0"/>
            </w:tcBorders>
            <w:noWrap w:val="0"/>
            <w:vAlign w:val="center"/>
          </w:tcPr>
          <w:p>
            <w:pPr>
              <w:rPr>
                <w:rFonts w:eastAsia="方正仿宋_GBK"/>
                <w:color w:val="000000"/>
                <w:spacing w:val="-2"/>
              </w:rPr>
            </w:pPr>
            <w:r>
              <w:rPr>
                <w:rFonts w:hint="eastAsia" w:eastAsia="方正仿宋_GBK"/>
                <w:color w:val="000000"/>
                <w:spacing w:val="-2"/>
              </w:rPr>
              <w:t>持证检测</w:t>
            </w:r>
          </w:p>
          <w:p>
            <w:pPr>
              <w:rPr>
                <w:rFonts w:eastAsia="方正仿宋_GBK"/>
                <w:color w:val="000000"/>
                <w:spacing w:val="-2"/>
              </w:rPr>
            </w:pPr>
            <w:r>
              <w:rPr>
                <w:rFonts w:hint="eastAsia" w:eastAsia="方正仿宋_GBK"/>
                <w:color w:val="000000"/>
                <w:spacing w:val="-2"/>
              </w:rPr>
              <w:t>项目</w:t>
            </w:r>
            <w:r>
              <w:rPr>
                <w:rFonts w:eastAsia="方正仿宋_GBK"/>
                <w:color w:val="000000"/>
                <w:spacing w:val="-2"/>
              </w:rPr>
              <w:t>(</w:t>
            </w:r>
            <w:r>
              <w:rPr>
                <w:rFonts w:hint="eastAsia" w:eastAsia="方正仿宋_GBK"/>
                <w:color w:val="000000"/>
                <w:spacing w:val="-2"/>
              </w:rPr>
              <w:t>项目</w:t>
            </w:r>
          </w:p>
          <w:p>
            <w:pPr>
              <w:rPr>
                <w:rFonts w:eastAsia="方正仿宋_GBK"/>
                <w:color w:val="000000"/>
                <w:spacing w:val="-2"/>
              </w:rPr>
            </w:pPr>
            <w:r>
              <w:rPr>
                <w:rFonts w:hint="eastAsia" w:eastAsia="方正仿宋_GBK"/>
                <w:color w:val="000000"/>
                <w:spacing w:val="-2"/>
              </w:rPr>
              <w:t>代号</w:t>
            </w:r>
            <w:r>
              <w:rPr>
                <w:rFonts w:eastAsia="方正仿宋_GBK"/>
                <w:color w:val="000000"/>
                <w:spacing w:val="-2"/>
              </w:rPr>
              <w:t>)</w:t>
            </w:r>
            <w:r>
              <w:rPr>
                <w:rFonts w:hint="eastAsia" w:eastAsia="方正仿宋_GBK"/>
                <w:color w:val="000000"/>
                <w:spacing w:val="-2"/>
              </w:rPr>
              <w:t>及获得时间</w:t>
            </w:r>
          </w:p>
        </w:tc>
        <w:tc>
          <w:tcPr>
            <w:tcW w:w="7552" w:type="dxa"/>
            <w:gridSpan w:val="7"/>
            <w:tcBorders>
              <w:top w:val="single" w:color="auto" w:sz="4" w:space="0"/>
              <w:left w:val="single" w:color="auto" w:sz="4" w:space="0"/>
              <w:bottom w:val="single" w:color="auto" w:sz="4" w:space="0"/>
              <w:right w:val="single" w:color="auto" w:sz="4" w:space="0"/>
            </w:tcBorders>
            <w:noWrap w:val="0"/>
            <w:vAlign w:val="top"/>
          </w:tcPr>
          <w:p>
            <w:pPr>
              <w:rPr>
                <w:rFonts w:eastAsia="方正仿宋_GBK"/>
                <w:color w:val="000000"/>
                <w:spacing w:val="-2"/>
              </w:rPr>
            </w:pPr>
          </w:p>
          <w:p>
            <w:pPr>
              <w:rPr>
                <w:rFonts w:eastAsia="方正仿宋_GBK"/>
                <w:color w:val="000000"/>
                <w:spacing w:val="-2"/>
              </w:rPr>
            </w:pPr>
          </w:p>
          <w:p>
            <w:pPr>
              <w:rPr>
                <w:rFonts w:eastAsia="方正仿宋_GBK"/>
                <w:color w:val="000000"/>
                <w:spacing w:val="-2"/>
              </w:rPr>
            </w:pPr>
          </w:p>
          <w:p>
            <w:pPr>
              <w:rPr>
                <w:rFonts w:eastAsia="方正仿宋_GBK"/>
                <w:color w:val="000000"/>
                <w:spacing w:val="-2"/>
              </w:rPr>
            </w:pPr>
          </w:p>
          <w:p>
            <w:pPr>
              <w:rPr>
                <w:rFonts w:eastAsia="方正仿宋_GBK"/>
                <w:color w:val="000000"/>
                <w:spacing w:val="-2"/>
              </w:rPr>
            </w:pPr>
          </w:p>
          <w:p>
            <w:pPr>
              <w:rPr>
                <w:rFonts w:eastAsia="方正仿宋_GBK"/>
                <w:color w:val="000000"/>
                <w:spacing w:val="-2"/>
              </w:rPr>
            </w:pPr>
          </w:p>
          <w:p>
            <w:pPr>
              <w:rPr>
                <w:rFonts w:eastAsia="方正仿宋_GBK"/>
                <w:color w:val="000000"/>
                <w:spacing w:val="-2"/>
              </w:rPr>
            </w:pPr>
          </w:p>
          <w:p>
            <w:pPr>
              <w:rPr>
                <w:rFonts w:eastAsia="方正仿宋_GBK"/>
                <w:color w:val="000000"/>
                <w:spacing w:val="-2"/>
              </w:rPr>
            </w:pPr>
          </w:p>
          <w:p>
            <w:pPr>
              <w:rPr>
                <w:rFonts w:eastAsia="方正仿宋_GBK"/>
                <w:color w:val="000000"/>
                <w:spacing w:val="-2"/>
              </w:rPr>
            </w:pPr>
          </w:p>
          <w:p>
            <w:pPr>
              <w:rPr>
                <w:rFonts w:eastAsia="方正仿宋_GBK"/>
                <w:color w:val="000000"/>
                <w:spacing w:val="-2"/>
              </w:rPr>
            </w:pPr>
          </w:p>
          <w:p>
            <w:pPr>
              <w:rPr>
                <w:rFonts w:eastAsia="方正仿宋_GBK"/>
                <w:color w:val="000000"/>
                <w:spacing w:val="-2"/>
              </w:rPr>
            </w:pPr>
          </w:p>
          <w:p>
            <w:pPr>
              <w:rPr>
                <w:rFonts w:eastAsia="方正仿宋_GBK"/>
                <w:color w:val="000000"/>
                <w:spacing w:val="-2"/>
              </w:rPr>
            </w:pPr>
          </w:p>
          <w:p>
            <w:pPr>
              <w:rPr>
                <w:rFonts w:eastAsia="方正仿宋_GBK"/>
                <w:color w:val="000000"/>
                <w:spacing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0" w:hRule="atLeast"/>
        </w:trPr>
        <w:tc>
          <w:tcPr>
            <w:tcW w:w="118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color w:val="000000"/>
                <w:spacing w:val="-2"/>
              </w:rPr>
            </w:pPr>
            <w:r>
              <w:rPr>
                <w:rFonts w:hint="eastAsia" w:eastAsia="方正仿宋_GBK"/>
                <w:color w:val="000000"/>
                <w:spacing w:val="-2"/>
              </w:rPr>
              <w:t>工</w:t>
            </w:r>
          </w:p>
          <w:p>
            <w:pPr>
              <w:jc w:val="center"/>
              <w:rPr>
                <w:rFonts w:eastAsia="方正仿宋_GBK"/>
                <w:color w:val="000000"/>
                <w:spacing w:val="-2"/>
              </w:rPr>
            </w:pPr>
            <w:r>
              <w:rPr>
                <w:rFonts w:hint="eastAsia" w:eastAsia="方正仿宋_GBK"/>
                <w:color w:val="000000"/>
                <w:spacing w:val="-2"/>
              </w:rPr>
              <w:t>作</w:t>
            </w:r>
          </w:p>
          <w:p>
            <w:pPr>
              <w:jc w:val="center"/>
              <w:rPr>
                <w:rFonts w:eastAsia="方正仿宋_GBK"/>
                <w:color w:val="000000"/>
                <w:spacing w:val="-2"/>
              </w:rPr>
            </w:pPr>
            <w:r>
              <w:rPr>
                <w:rFonts w:hint="eastAsia" w:eastAsia="方正仿宋_GBK"/>
                <w:color w:val="000000"/>
                <w:spacing w:val="-2"/>
              </w:rPr>
              <w:t>简</w:t>
            </w:r>
          </w:p>
          <w:p>
            <w:pPr>
              <w:jc w:val="center"/>
              <w:rPr>
                <w:rFonts w:eastAsia="方正仿宋_GBK"/>
                <w:color w:val="000000"/>
                <w:spacing w:val="-2"/>
              </w:rPr>
            </w:pPr>
            <w:r>
              <w:rPr>
                <w:rFonts w:hint="eastAsia" w:eastAsia="方正仿宋_GBK"/>
                <w:color w:val="000000"/>
                <w:spacing w:val="-2"/>
              </w:rPr>
              <w:t>历</w:t>
            </w:r>
          </w:p>
        </w:tc>
        <w:tc>
          <w:tcPr>
            <w:tcW w:w="7552" w:type="dxa"/>
            <w:gridSpan w:val="7"/>
            <w:tcBorders>
              <w:top w:val="single" w:color="auto" w:sz="4" w:space="0"/>
              <w:left w:val="single" w:color="auto" w:sz="4" w:space="0"/>
              <w:bottom w:val="single" w:color="auto" w:sz="4" w:space="0"/>
              <w:right w:val="single" w:color="auto" w:sz="4" w:space="0"/>
            </w:tcBorders>
            <w:noWrap w:val="0"/>
            <w:vAlign w:val="top"/>
          </w:tcPr>
          <w:p>
            <w:pPr>
              <w:rPr>
                <w:rFonts w:eastAsia="方正仿宋_GBK"/>
                <w:color w:val="000000"/>
                <w:spacing w:val="-2"/>
              </w:rPr>
            </w:pPr>
          </w:p>
          <w:p>
            <w:pPr>
              <w:rPr>
                <w:rFonts w:eastAsia="方正仿宋_GBK"/>
                <w:color w:val="000000"/>
                <w:spacing w:val="-2"/>
              </w:rPr>
            </w:pPr>
          </w:p>
          <w:p>
            <w:pPr>
              <w:rPr>
                <w:rFonts w:eastAsia="方正仿宋_GBK"/>
                <w:color w:val="000000"/>
                <w:spacing w:val="-2"/>
              </w:rPr>
            </w:pPr>
          </w:p>
          <w:p>
            <w:pPr>
              <w:rPr>
                <w:rFonts w:eastAsia="方正仿宋_GBK"/>
                <w:color w:val="000000"/>
                <w:spacing w:val="-2"/>
              </w:rPr>
            </w:pPr>
          </w:p>
          <w:p>
            <w:pPr>
              <w:rPr>
                <w:rFonts w:eastAsia="方正仿宋_GBK"/>
                <w:color w:val="000000"/>
                <w:spacing w:val="-2"/>
              </w:rPr>
            </w:pPr>
          </w:p>
          <w:p>
            <w:pPr>
              <w:rPr>
                <w:rFonts w:eastAsia="方正仿宋_GBK"/>
                <w:color w:val="000000"/>
                <w:spacing w:val="-2"/>
              </w:rPr>
            </w:pPr>
          </w:p>
          <w:p>
            <w:pPr>
              <w:rPr>
                <w:rFonts w:eastAsia="方正仿宋_GBK"/>
                <w:color w:val="000000"/>
                <w:spacing w:val="-2"/>
              </w:rPr>
            </w:pPr>
          </w:p>
          <w:p>
            <w:pPr>
              <w:rPr>
                <w:rFonts w:eastAsia="方正仿宋_GBK"/>
                <w:color w:val="000000"/>
                <w:spacing w:val="-2"/>
              </w:rPr>
            </w:pPr>
          </w:p>
          <w:p>
            <w:pPr>
              <w:rPr>
                <w:rFonts w:eastAsia="方正仿宋_GBK"/>
                <w:color w:val="000000"/>
                <w:spacing w:val="-2"/>
              </w:rPr>
            </w:pPr>
          </w:p>
          <w:p>
            <w:pPr>
              <w:rPr>
                <w:rFonts w:eastAsia="方正仿宋_GBK"/>
                <w:color w:val="000000"/>
                <w:spacing w:val="-2"/>
              </w:rPr>
            </w:pPr>
          </w:p>
          <w:p>
            <w:pPr>
              <w:rPr>
                <w:rFonts w:eastAsia="方正仿宋_GBK"/>
                <w:color w:val="000000"/>
                <w:spacing w:val="-2"/>
              </w:rPr>
            </w:pPr>
          </w:p>
          <w:p>
            <w:pPr>
              <w:rPr>
                <w:rFonts w:eastAsia="方正仿宋_GBK"/>
                <w:color w:val="000000"/>
                <w:spacing w:val="-2"/>
              </w:rPr>
            </w:pPr>
          </w:p>
          <w:p>
            <w:pPr>
              <w:rPr>
                <w:rFonts w:eastAsia="方正仿宋_GBK"/>
                <w:color w:val="000000"/>
                <w:spacing w:val="-2"/>
              </w:rPr>
            </w:pPr>
          </w:p>
          <w:p>
            <w:pPr>
              <w:rPr>
                <w:rFonts w:eastAsia="方正仿宋_GBK"/>
                <w:color w:val="000000"/>
                <w:spacing w:val="-2"/>
              </w:rPr>
            </w:pPr>
          </w:p>
          <w:p>
            <w:pPr>
              <w:rPr>
                <w:rFonts w:eastAsia="方正仿宋_GBK"/>
                <w:color w:val="000000"/>
                <w:spacing w:val="-2"/>
              </w:rPr>
            </w:pPr>
          </w:p>
          <w:p>
            <w:pPr>
              <w:rPr>
                <w:rFonts w:eastAsia="方正仿宋_GBK"/>
                <w:color w:val="000000"/>
                <w:spacing w:val="-2"/>
              </w:rPr>
            </w:pPr>
          </w:p>
        </w:tc>
      </w:tr>
    </w:tbl>
    <w:p>
      <w:pPr>
        <w:spacing w:before="295" w:beforeLines="50"/>
        <w:jc w:val="right"/>
        <w:rPr>
          <w:rFonts w:hint="eastAsia"/>
          <w:color w:val="000000"/>
          <w:spacing w:val="-2"/>
        </w:rPr>
      </w:pPr>
      <w:r>
        <w:rPr>
          <w:rFonts w:hint="eastAsia" w:eastAsia="仿宋_GB2312"/>
          <w:color w:val="000000"/>
          <w:spacing w:val="-2"/>
        </w:rPr>
        <w:t>填写日期</w:t>
      </w:r>
      <w:r>
        <w:rPr>
          <w:rFonts w:eastAsia="仿宋_GB2312"/>
          <w:color w:val="000000"/>
          <w:spacing w:val="-2"/>
        </w:rPr>
        <w:t xml:space="preserve">:  </w:t>
      </w:r>
      <w:r>
        <w:rPr>
          <w:rFonts w:hint="eastAsia" w:eastAsia="仿宋_GB2312"/>
          <w:color w:val="000000"/>
          <w:spacing w:val="-2"/>
        </w:rPr>
        <w:t>年</w:t>
      </w:r>
      <w:r>
        <w:rPr>
          <w:rFonts w:eastAsia="仿宋_GB2312"/>
          <w:color w:val="000000"/>
          <w:spacing w:val="-2"/>
        </w:rPr>
        <w:t xml:space="preserve">   </w:t>
      </w:r>
      <w:r>
        <w:rPr>
          <w:rFonts w:hint="eastAsia" w:eastAsia="仿宋_GB2312"/>
          <w:color w:val="000000"/>
          <w:spacing w:val="-2"/>
        </w:rPr>
        <w:t>月</w:t>
      </w:r>
      <w:r>
        <w:rPr>
          <w:rFonts w:eastAsia="仿宋_GB2312"/>
          <w:color w:val="000000"/>
          <w:spacing w:val="-2"/>
        </w:rPr>
        <w:t xml:space="preserve">   </w:t>
      </w:r>
      <w:r>
        <w:rPr>
          <w:rFonts w:hint="eastAsia" w:eastAsia="仿宋_GB2312"/>
          <w:color w:val="000000"/>
          <w:spacing w:val="-2"/>
        </w:rPr>
        <w:t>日</w:t>
      </w:r>
    </w:p>
    <w:p>
      <w:pPr>
        <w:pStyle w:val="2"/>
        <w:spacing w:before="590" w:beforeLines="100" w:after="590" w:afterLines="100" w:line="240" w:lineRule="auto"/>
        <w:jc w:val="center"/>
        <w:rPr>
          <w:rFonts w:ascii="Times New Roman" w:eastAsia="方正小标宋_GBK"/>
          <w:b w:val="0"/>
          <w:sz w:val="36"/>
          <w:szCs w:val="36"/>
        </w:rPr>
      </w:pPr>
      <w:r>
        <w:rPr>
          <w:b w:val="0"/>
          <w:color w:val="000000"/>
          <w:spacing w:val="-2"/>
        </w:rPr>
        <w:br w:type="column"/>
      </w:r>
      <w:bookmarkStart w:id="757" w:name="_Toc20726621"/>
      <w:bookmarkStart w:id="758" w:name="_Toc18315762"/>
      <w:r>
        <w:rPr>
          <w:rFonts w:hint="eastAsia" w:ascii="Times New Roman" w:eastAsia="方正小标宋_GBK"/>
          <w:b w:val="0"/>
          <w:sz w:val="36"/>
          <w:szCs w:val="36"/>
        </w:rPr>
        <w:t>关于进一步加强我省地基基础工程检测管理的若干意见</w:t>
      </w:r>
      <w:bookmarkEnd w:id="757"/>
      <w:bookmarkEnd w:id="758"/>
    </w:p>
    <w:p>
      <w:pPr>
        <w:pStyle w:val="3"/>
        <w:spacing w:before="590" w:beforeLines="100" w:after="590" w:afterLines="100" w:line="240" w:lineRule="auto"/>
        <w:jc w:val="center"/>
        <w:rPr>
          <w:rFonts w:hint="eastAsia" w:ascii="Times New Roman" w:hAnsi="Times New Roman" w:eastAsia="方正楷体_GBK"/>
          <w:b w:val="0"/>
          <w:sz w:val="24"/>
          <w:szCs w:val="24"/>
        </w:rPr>
      </w:pPr>
      <w:bookmarkStart w:id="759" w:name="_Toc20726622"/>
      <w:bookmarkStart w:id="760" w:name="_Toc18315763"/>
      <w:r>
        <w:rPr>
          <w:rFonts w:hint="eastAsia" w:ascii="Times New Roman" w:hAnsi="Times New Roman" w:eastAsia="方正楷体_GBK"/>
          <w:b w:val="0"/>
          <w:sz w:val="24"/>
          <w:szCs w:val="24"/>
        </w:rPr>
        <w:t>苏建工〔</w:t>
      </w:r>
      <w:r>
        <w:rPr>
          <w:rFonts w:ascii="Times New Roman" w:hAnsi="Times New Roman" w:eastAsia="方正楷体_GBK"/>
          <w:b w:val="0"/>
          <w:sz w:val="24"/>
          <w:szCs w:val="24"/>
        </w:rPr>
        <w:t>2008</w:t>
      </w:r>
      <w:r>
        <w:rPr>
          <w:rFonts w:hint="eastAsia" w:ascii="Times New Roman" w:hAnsi="Times New Roman" w:eastAsia="方正楷体_GBK"/>
          <w:b w:val="0"/>
          <w:sz w:val="24"/>
          <w:szCs w:val="24"/>
        </w:rPr>
        <w:t>〕</w:t>
      </w:r>
      <w:r>
        <w:rPr>
          <w:rFonts w:ascii="Times New Roman" w:hAnsi="Times New Roman" w:eastAsia="方正楷体_GBK"/>
          <w:b w:val="0"/>
          <w:sz w:val="24"/>
          <w:szCs w:val="24"/>
        </w:rPr>
        <w:t>343</w:t>
      </w:r>
      <w:r>
        <w:rPr>
          <w:rFonts w:hint="eastAsia" w:ascii="Times New Roman" w:hAnsi="Times New Roman" w:eastAsia="方正楷体_GBK"/>
          <w:b w:val="0"/>
          <w:sz w:val="24"/>
          <w:szCs w:val="24"/>
        </w:rPr>
        <w:t>号</w:t>
      </w:r>
      <w:bookmarkEnd w:id="759"/>
      <w:bookmarkEnd w:id="760"/>
    </w:p>
    <w:p>
      <w:pPr>
        <w:spacing w:line="460" w:lineRule="exact"/>
        <w:rPr>
          <w:rFonts w:eastAsia="方正仿宋_GBK"/>
          <w:color w:val="000000"/>
          <w:spacing w:val="-2"/>
          <w:kern w:val="0"/>
          <w:sz w:val="24"/>
        </w:rPr>
      </w:pPr>
      <w:r>
        <w:rPr>
          <w:rFonts w:hint="eastAsia" w:eastAsia="方正仿宋_GBK"/>
          <w:color w:val="000000"/>
          <w:spacing w:val="-2"/>
          <w:kern w:val="0"/>
          <w:sz w:val="24"/>
        </w:rPr>
        <w:t>各省辖市建设局（委）、苏州工业园区规划建设局：</w:t>
      </w:r>
    </w:p>
    <w:p>
      <w:pPr>
        <w:spacing w:line="460" w:lineRule="exact"/>
        <w:ind w:right="-150" w:rightChars="-73" w:firstLine="464" w:firstLineChars="200"/>
        <w:rPr>
          <w:rFonts w:eastAsia="方正仿宋_GBK"/>
          <w:color w:val="000000"/>
          <w:spacing w:val="-2"/>
          <w:kern w:val="0"/>
          <w:sz w:val="24"/>
        </w:rPr>
      </w:pPr>
      <w:r>
        <w:rPr>
          <w:rFonts w:hint="eastAsia" w:eastAsia="方正仿宋_GBK"/>
          <w:color w:val="000000"/>
          <w:spacing w:val="-2"/>
          <w:kern w:val="0"/>
          <w:sz w:val="24"/>
        </w:rPr>
        <w:t>为了进一步加强我省地基基础工程检测（以下简称检测）管理，规范检测市场行为，提高检测能力和水平，确保地基基础工程质量，根据建设部《建设工程质量检测管理办法》等有关规定，提出以下意见，请遵照执行。</w:t>
      </w:r>
    </w:p>
    <w:p>
      <w:pPr>
        <w:spacing w:line="460" w:lineRule="exact"/>
        <w:ind w:firstLine="464" w:firstLineChars="200"/>
        <w:rPr>
          <w:rFonts w:eastAsia="方正黑体_GBK"/>
          <w:color w:val="000000"/>
          <w:spacing w:val="-2"/>
          <w:kern w:val="0"/>
          <w:sz w:val="24"/>
        </w:rPr>
      </w:pPr>
      <w:r>
        <w:rPr>
          <w:rFonts w:hint="eastAsia" w:eastAsia="方正黑体_GBK"/>
          <w:color w:val="000000"/>
          <w:spacing w:val="-2"/>
          <w:kern w:val="0"/>
          <w:sz w:val="24"/>
        </w:rPr>
        <w:t>一、进一步规范建设单位市场行为</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一）在检测工作中，建设单位必须按照《建筑地基基础施工质量验收规范》、《江苏省规范基桩质量检测工作实施导则》等现行技术规范和规程，对地基及复合地基承载力、桩的承载力、桩身完整性、锚杆锁定力等进行委托检测。</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二）建设单位必须将检测工作委托给具有相应资质的地基基础工程检测机构（以下简称检测机构）承担。同一地基基础工程项目（或标段）的检测工作宜由同一检测机构承担完成，相同的检测项目不得分解给不同的检测机构检测。</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（三）建设单位不得明示或暗示检测机构减少检测内容和比例，不得降低检测标准，应与检测机构签定检测合同，按合同约定及时支付检测费用。</w:t>
      </w:r>
    </w:p>
    <w:p>
      <w:pPr>
        <w:spacing w:line="460" w:lineRule="exact"/>
        <w:ind w:firstLine="464" w:firstLineChars="200"/>
        <w:rPr>
          <w:rFonts w:eastAsia="方正黑体_GBK"/>
          <w:color w:val="000000"/>
          <w:spacing w:val="-2"/>
          <w:kern w:val="0"/>
          <w:sz w:val="24"/>
        </w:rPr>
      </w:pPr>
      <w:r>
        <w:rPr>
          <w:rFonts w:hint="eastAsia" w:eastAsia="方正黑体_GBK"/>
          <w:color w:val="000000"/>
          <w:spacing w:val="-2"/>
          <w:kern w:val="0"/>
          <w:sz w:val="24"/>
        </w:rPr>
        <w:t>二、进一步规范检测机构市场行为</w:t>
      </w:r>
    </w:p>
    <w:p>
      <w:pPr>
        <w:spacing w:line="460" w:lineRule="exact"/>
        <w:ind w:right="-150" w:rightChars="-73" w:firstLine="464" w:firstLineChars="200"/>
        <w:rPr>
          <w:rFonts w:eastAsia="方正仿宋_GBK"/>
          <w:color w:val="000000"/>
          <w:spacing w:val="-2"/>
          <w:kern w:val="0"/>
          <w:sz w:val="24"/>
        </w:rPr>
      </w:pPr>
      <w:r>
        <w:rPr>
          <w:rFonts w:hint="eastAsia" w:eastAsia="方正仿宋_GBK"/>
          <w:color w:val="000000"/>
          <w:spacing w:val="-2"/>
          <w:kern w:val="0"/>
          <w:sz w:val="24"/>
        </w:rPr>
        <w:t>（四）检测机构从事检测工作，必须取得省建设厅核发的资质证书或备案证书，并在核准的检测方法范围内，按照法律、法规、规章、规范、标准和合同约定等实施检测，承担相应的责任。</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（五）检测机构取得资质后实行后续监督管理。资质条件不达标的，应当责令其限期整改。</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（六）检测机构开展检测业务时，应与建设单位签定合同。检测合同必须由法定代表人或其委托代理人签定，合同中应当明确检测目的、检测方法、检测比例、检测标准、检测费用等内容。</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（七）检测机构不得有下列行为：</w:t>
      </w:r>
      <w:r>
        <w:rPr>
          <w:rFonts w:eastAsia="方正仿宋_GBK"/>
          <w:color w:val="000000"/>
          <w:spacing w:val="-2"/>
          <w:kern w:val="0"/>
          <w:sz w:val="24"/>
        </w:rPr>
        <w:t xml:space="preserve"> </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1</w:t>
      </w:r>
      <w:r>
        <w:rPr>
          <w:rFonts w:hint="eastAsia" w:eastAsia="方正仿宋_GBK"/>
          <w:color w:val="000000"/>
          <w:spacing w:val="-2"/>
          <w:kern w:val="0"/>
          <w:sz w:val="24"/>
        </w:rPr>
        <w:t>、超出资质范围从事检测活动的；</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2</w:t>
      </w:r>
      <w:r>
        <w:rPr>
          <w:rFonts w:hint="eastAsia" w:eastAsia="方正仿宋_GBK"/>
          <w:color w:val="000000"/>
          <w:spacing w:val="-2"/>
          <w:kern w:val="0"/>
          <w:sz w:val="24"/>
        </w:rPr>
        <w:t>、以商业贿赂、诋毁他人等不正当竞争手段承接业务的；</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3</w:t>
      </w:r>
      <w:r>
        <w:rPr>
          <w:rFonts w:hint="eastAsia" w:eastAsia="方正仿宋_GBK"/>
          <w:color w:val="000000"/>
          <w:spacing w:val="-2"/>
          <w:kern w:val="0"/>
          <w:sz w:val="24"/>
        </w:rPr>
        <w:t>、转包检测业务的；</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4</w:t>
      </w:r>
      <w:r>
        <w:rPr>
          <w:rFonts w:hint="eastAsia" w:eastAsia="方正仿宋_GBK"/>
          <w:color w:val="000000"/>
          <w:spacing w:val="-2"/>
          <w:kern w:val="0"/>
          <w:sz w:val="24"/>
        </w:rPr>
        <w:t>、伪造、倒卖、出租、出借或者以其他形式非法转让资质证书的；</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5</w:t>
      </w:r>
      <w:r>
        <w:rPr>
          <w:rFonts w:hint="eastAsia" w:eastAsia="方正仿宋_GBK"/>
          <w:color w:val="000000"/>
          <w:spacing w:val="-2"/>
          <w:kern w:val="0"/>
          <w:sz w:val="24"/>
        </w:rPr>
        <w:t>、与所检测工程相关的设计单位、施工单位、监理单位有隶属关系或者其他利害关系的；</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6</w:t>
      </w:r>
      <w:r>
        <w:rPr>
          <w:rFonts w:hint="eastAsia" w:eastAsia="方正仿宋_GBK"/>
          <w:color w:val="000000"/>
          <w:spacing w:val="-2"/>
          <w:kern w:val="0"/>
          <w:sz w:val="24"/>
        </w:rPr>
        <w:t>、未按照国家有关工程建设强制性标准进行检测，造成质量安全事故或致使事故损失扩大的；</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7</w:t>
      </w:r>
      <w:r>
        <w:rPr>
          <w:rFonts w:hint="eastAsia" w:eastAsia="方正仿宋_GBK"/>
          <w:color w:val="000000"/>
          <w:spacing w:val="-2"/>
          <w:kern w:val="0"/>
          <w:sz w:val="24"/>
        </w:rPr>
        <w:t>、伪造检测数据，出具虚假检测报告或者鉴定结论的；</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8</w:t>
      </w:r>
      <w:r>
        <w:rPr>
          <w:rFonts w:hint="eastAsia" w:eastAsia="方正仿宋_GBK"/>
          <w:color w:val="000000"/>
          <w:spacing w:val="-2"/>
          <w:kern w:val="0"/>
          <w:sz w:val="24"/>
        </w:rPr>
        <w:t>、使用其他检测机构检测人员的；</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9</w:t>
      </w:r>
      <w:r>
        <w:rPr>
          <w:rFonts w:hint="eastAsia" w:eastAsia="方正仿宋_GBK"/>
          <w:color w:val="000000"/>
          <w:spacing w:val="-2"/>
          <w:kern w:val="0"/>
          <w:sz w:val="24"/>
        </w:rPr>
        <w:t>、有其他违法违规行为的。</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（八）实行检测机构自律承诺书制度。检测机构应向项目所在地建设行政主管部门提供检测机构自律承诺书（见附件</w:t>
      </w:r>
      <w:r>
        <w:rPr>
          <w:rFonts w:eastAsia="方正仿宋_GBK"/>
          <w:color w:val="000000"/>
          <w:spacing w:val="-2"/>
          <w:kern w:val="0"/>
          <w:sz w:val="24"/>
        </w:rPr>
        <w:t>3</w:t>
      </w:r>
      <w:r>
        <w:rPr>
          <w:rFonts w:hint="eastAsia" w:eastAsia="方正仿宋_GBK"/>
          <w:color w:val="000000"/>
          <w:spacing w:val="-2"/>
          <w:kern w:val="0"/>
          <w:sz w:val="24"/>
        </w:rPr>
        <w:t>）。</w:t>
      </w:r>
    </w:p>
    <w:p>
      <w:pPr>
        <w:spacing w:line="460" w:lineRule="exact"/>
        <w:ind w:firstLine="464" w:firstLineChars="200"/>
        <w:rPr>
          <w:rFonts w:eastAsia="方正黑体_GBK"/>
          <w:color w:val="000000"/>
          <w:spacing w:val="-2"/>
          <w:kern w:val="0"/>
          <w:sz w:val="24"/>
        </w:rPr>
      </w:pPr>
      <w:r>
        <w:rPr>
          <w:rFonts w:hint="eastAsia" w:eastAsia="方正黑体_GBK"/>
          <w:color w:val="000000"/>
          <w:spacing w:val="-2"/>
          <w:kern w:val="0"/>
          <w:sz w:val="24"/>
        </w:rPr>
        <w:t>三、进一步加强检测人员管理</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（九）检测机构的检测人员分为技术负责人、检测工程师和检测员三类。所有检测人员应经相关检测技术培训。</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技术负责人应是具有建设工程类高级职称的检测工程师。主要负责检测方案的审核。</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检测工程师应是具有建设工程类中级以上职称的人员，主要负责检测方案的实施、检测过程的质量控制和检测数据的分析并编写、审核报告。</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检测员应是具有高中以上学历的人员，主要配合检测工程师完成现场检测工作。</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（十）</w:t>
      </w:r>
      <w:r>
        <w:rPr>
          <w:rFonts w:eastAsia="方正仿宋_GBK"/>
          <w:color w:val="000000"/>
          <w:spacing w:val="-2"/>
          <w:kern w:val="0"/>
          <w:sz w:val="24"/>
        </w:rPr>
        <w:t xml:space="preserve"> </w:t>
      </w:r>
      <w:r>
        <w:rPr>
          <w:rFonts w:hint="eastAsia" w:eastAsia="方正仿宋_GBK"/>
          <w:color w:val="000000"/>
          <w:spacing w:val="-2"/>
          <w:kern w:val="0"/>
          <w:sz w:val="24"/>
        </w:rPr>
        <w:t>检测人员应在其检测技术培训范围内的检测方法和职责范围内从事检测工作。</w:t>
      </w:r>
    </w:p>
    <w:p>
      <w:pPr>
        <w:spacing w:line="460" w:lineRule="exact"/>
        <w:ind w:right="-150" w:rightChars="-73" w:firstLine="464" w:firstLineChars="200"/>
        <w:rPr>
          <w:rFonts w:eastAsia="方正仿宋_GBK"/>
          <w:color w:val="000000"/>
          <w:spacing w:val="-2"/>
          <w:kern w:val="0"/>
          <w:sz w:val="24"/>
        </w:rPr>
      </w:pPr>
      <w:r>
        <w:rPr>
          <w:rFonts w:hint="eastAsia" w:eastAsia="方正仿宋_GBK"/>
          <w:color w:val="000000"/>
          <w:spacing w:val="-2"/>
          <w:kern w:val="0"/>
          <w:sz w:val="24"/>
        </w:rPr>
        <w:t>（十一）项目检测实行检测工程师负责制。检测人员应按照检测方案，完成合同约定的各项检测内容。在检测过程中检测机构不宜随意更改检测项目负责人。</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（十二）检测机构应加强检测人员的继续教育管理工作。</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十三）检测人员必须遵守职业道德，保证检测数据和检测报告的客观、公正，确保对地基基础工程质量检测的有效控制。不得伪造数据、出具虚假报告，不得与建设单位、施工单位串通，隐瞒地基基础工程质量的真实情况。</w:t>
      </w:r>
    </w:p>
    <w:p>
      <w:pPr>
        <w:spacing w:line="460" w:lineRule="exact"/>
        <w:ind w:firstLine="464" w:firstLineChars="200"/>
        <w:rPr>
          <w:rFonts w:eastAsia="方正黑体_GBK"/>
          <w:color w:val="000000"/>
          <w:spacing w:val="-2"/>
          <w:kern w:val="0"/>
          <w:sz w:val="24"/>
        </w:rPr>
      </w:pPr>
      <w:r>
        <w:rPr>
          <w:rFonts w:hint="eastAsia" w:eastAsia="方正黑体_GBK"/>
          <w:color w:val="000000"/>
          <w:spacing w:val="-2"/>
          <w:kern w:val="0"/>
          <w:sz w:val="24"/>
        </w:rPr>
        <w:t>四、进一步加强检测现场管理</w:t>
      </w:r>
    </w:p>
    <w:p>
      <w:pPr>
        <w:spacing w:line="460" w:lineRule="exact"/>
        <w:ind w:right="-150" w:rightChars="-73" w:firstLine="464" w:firstLineChars="200"/>
        <w:rPr>
          <w:rFonts w:eastAsia="方正仿宋_GBK"/>
          <w:color w:val="000000"/>
          <w:spacing w:val="-2"/>
          <w:kern w:val="0"/>
          <w:sz w:val="24"/>
        </w:rPr>
      </w:pPr>
      <w:r>
        <w:rPr>
          <w:rFonts w:hint="eastAsia" w:eastAsia="方正仿宋_GBK"/>
          <w:color w:val="000000"/>
          <w:spacing w:val="-2"/>
          <w:kern w:val="0"/>
          <w:sz w:val="24"/>
        </w:rPr>
        <w:t>（十四）检测机构必须向项目的建设单位或监理单位提交检测方案。建设单位或监理单位应对检测方案的实施进行监督。检测人员至少由一名检测工程师和若干名检测员组成。</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（十五）检测机构应当在实施检测前至少提前一天，将检测项目名称、项目地点、检测方法、联系人等信息告知项目所在地建设行政主管部门或其指定的机构。</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（十六）检测设备必须在检定校准的有效期内。现场检测设备安装必须满足《建筑基桩检测技术规范》（</w:t>
      </w:r>
      <w:r>
        <w:rPr>
          <w:rFonts w:eastAsia="方正仿宋_GBK"/>
          <w:color w:val="000000"/>
          <w:spacing w:val="-2"/>
          <w:kern w:val="0"/>
          <w:sz w:val="24"/>
        </w:rPr>
        <w:t>JGJ106</w:t>
      </w:r>
      <w:r>
        <w:rPr>
          <w:rFonts w:hint="eastAsia" w:eastAsia="方正仿宋_GBK"/>
          <w:color w:val="000000"/>
          <w:spacing w:val="-2"/>
          <w:kern w:val="0"/>
          <w:sz w:val="24"/>
        </w:rPr>
        <w:t>）规定要求。提倡使用检测数据现场自动采集系统。相关证明文件和质量、技术记录须符合相应技术标准和《实验室资质认定评审准则》的要求。</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（十七）检测中发现检测结果不能满足规范、设计要求时，检测机构应在</w:t>
      </w:r>
      <w:r>
        <w:rPr>
          <w:rFonts w:eastAsia="方正仿宋_GBK"/>
          <w:color w:val="000000"/>
          <w:spacing w:val="-2"/>
          <w:kern w:val="0"/>
          <w:sz w:val="24"/>
        </w:rPr>
        <w:t>24</w:t>
      </w:r>
      <w:r>
        <w:rPr>
          <w:rFonts w:hint="eastAsia" w:eastAsia="方正仿宋_GBK"/>
          <w:color w:val="000000"/>
          <w:spacing w:val="-2"/>
          <w:kern w:val="0"/>
          <w:sz w:val="24"/>
        </w:rPr>
        <w:t>小时内报告建设单位或监理单位，由建设单位及时组织有关各方采取措施予以解决。</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（十八）检测报告应当按年度统一编号，编号应当连续，不得随意抽撤、涂改。</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（十九）检测机构应当建立档案管理制度。检测合同、原始记录、检测报告等应当按档案管理要求统一建立卷宗，并妥善保管。</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（二十）检测机构必须加强现场检测安全管理工作，建立检测安全责任制，确保检测过程安全作业。</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（二十一）检测机构要加强对地基基础工程现场检测的质量管理，确保现场检测的各项工作处于受控状态。</w:t>
      </w:r>
    </w:p>
    <w:p>
      <w:pPr>
        <w:spacing w:line="460" w:lineRule="exact"/>
        <w:ind w:firstLine="464" w:firstLineChars="200"/>
        <w:rPr>
          <w:rFonts w:eastAsia="方正黑体_GBK"/>
          <w:color w:val="000000"/>
          <w:spacing w:val="-2"/>
          <w:kern w:val="0"/>
          <w:sz w:val="24"/>
        </w:rPr>
      </w:pPr>
      <w:r>
        <w:rPr>
          <w:rFonts w:hint="eastAsia" w:eastAsia="方正黑体_GBK"/>
          <w:color w:val="000000"/>
          <w:spacing w:val="-2"/>
          <w:kern w:val="0"/>
          <w:sz w:val="24"/>
        </w:rPr>
        <w:t>五、进一步加强信用体系建设</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（二十二）对在我省开展检测工作的所有检测机构和检测人员实行信用管理制度。</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建设工程质量检测机构与人员信用管理，应遵循公开、公正和统一的原则，建立检测机构与人员的信用档案，对检测机构信用等级进行评定，实行分等级监督管理，形成诚信激励和失信惩戒机制。</w:t>
      </w:r>
    </w:p>
    <w:p>
      <w:pPr>
        <w:spacing w:line="460" w:lineRule="exact"/>
        <w:ind w:firstLine="464" w:firstLineChars="200"/>
        <w:rPr>
          <w:rFonts w:eastAsia="方正黑体_GBK"/>
          <w:color w:val="000000"/>
          <w:spacing w:val="-2"/>
          <w:kern w:val="0"/>
          <w:sz w:val="24"/>
        </w:rPr>
      </w:pPr>
      <w:r>
        <w:rPr>
          <w:rFonts w:hint="eastAsia" w:eastAsia="方正黑体_GBK"/>
          <w:color w:val="000000"/>
          <w:spacing w:val="-2"/>
          <w:kern w:val="0"/>
          <w:sz w:val="24"/>
        </w:rPr>
        <w:t>六、进一步加大检查工作力度</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（二十三）各级建设行政主管部门应加强本地区检测机构监督检查力度，制定地区年度监督检查计划，确保地区监督检查覆盖率</w:t>
      </w:r>
      <w:r>
        <w:rPr>
          <w:rFonts w:eastAsia="方正仿宋_GBK"/>
          <w:color w:val="000000"/>
          <w:spacing w:val="-2"/>
          <w:kern w:val="0"/>
          <w:sz w:val="24"/>
        </w:rPr>
        <w:t>100%</w:t>
      </w:r>
      <w:r>
        <w:rPr>
          <w:rFonts w:hint="eastAsia" w:eastAsia="方正仿宋_GBK"/>
          <w:color w:val="000000"/>
          <w:spacing w:val="-2"/>
          <w:kern w:val="0"/>
          <w:sz w:val="24"/>
        </w:rPr>
        <w:t>。</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（二十四）各工程质量监督机构应依据《江苏省房屋和建筑市政设施工程质量监督管理方法》（江苏省人民政府令第</w:t>
      </w:r>
      <w:r>
        <w:rPr>
          <w:rFonts w:eastAsia="方正仿宋_GBK"/>
          <w:color w:val="000000"/>
          <w:spacing w:val="-2"/>
          <w:kern w:val="0"/>
          <w:sz w:val="24"/>
        </w:rPr>
        <w:t>89</w:t>
      </w:r>
      <w:r>
        <w:rPr>
          <w:rFonts w:hint="eastAsia" w:eastAsia="方正仿宋_GBK"/>
          <w:color w:val="000000"/>
          <w:spacing w:val="-2"/>
          <w:kern w:val="0"/>
          <w:sz w:val="24"/>
        </w:rPr>
        <w:t>号）建立工程质量信用档案，对检测机构工程质量行为检查中发现的问题应及时报建设行政主管部门，形成工程现场和检测现场监管联动。</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（二十五）完善投诉举报处理制度。各级建设行政主管部门要认真处理举报投诉，做到有诉必查，有查必果，及时印发查处结果通报，将检测机构和检测人员不良行为记入信用档案，录入管理信息系统。</w:t>
      </w:r>
    </w:p>
    <w:p>
      <w:pPr>
        <w:spacing w:line="460" w:lineRule="exact"/>
        <w:ind w:firstLine="464" w:firstLineChars="200"/>
        <w:rPr>
          <w:rFonts w:eastAsia="方正黑体_GBK"/>
          <w:color w:val="000000"/>
          <w:spacing w:val="-2"/>
          <w:kern w:val="0"/>
          <w:sz w:val="24"/>
        </w:rPr>
      </w:pPr>
      <w:r>
        <w:rPr>
          <w:rFonts w:hint="eastAsia" w:eastAsia="方正黑体_GBK"/>
          <w:color w:val="000000"/>
          <w:spacing w:val="-2"/>
          <w:kern w:val="0"/>
          <w:sz w:val="24"/>
        </w:rPr>
        <w:t>七、进一步加大联动工作力度</w:t>
      </w:r>
    </w:p>
    <w:p>
      <w:pPr>
        <w:spacing w:line="460" w:lineRule="exact"/>
        <w:ind w:right="-150" w:rightChars="-73" w:firstLine="464" w:firstLineChars="200"/>
        <w:rPr>
          <w:rFonts w:eastAsia="方正仿宋_GBK"/>
          <w:color w:val="000000"/>
          <w:spacing w:val="-2"/>
          <w:kern w:val="0"/>
          <w:sz w:val="24"/>
        </w:rPr>
      </w:pPr>
      <w:r>
        <w:rPr>
          <w:rFonts w:hint="eastAsia" w:eastAsia="方正仿宋_GBK"/>
          <w:color w:val="000000"/>
          <w:spacing w:val="-2"/>
          <w:kern w:val="0"/>
          <w:sz w:val="24"/>
        </w:rPr>
        <w:t>（二十六）建设行政主管部门系统内加强工作联动。质量监督、安全监督等部门应当及时将涉及检测机构和检测人员的不良行为报送建设行政主管部门。</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（二十七）检测机构之间加强相互监督。积极举报扰乱检测市场秩序，特别是有压低收费标准恶性竞争行为的检测机构，并积极配合建设行政主管部门调查和核查。</w:t>
      </w:r>
    </w:p>
    <w:p>
      <w:pPr>
        <w:spacing w:line="460" w:lineRule="exact"/>
        <w:ind w:firstLine="464" w:firstLineChars="200"/>
        <w:rPr>
          <w:rFonts w:eastAsia="方正黑体_GBK"/>
          <w:color w:val="000000"/>
          <w:spacing w:val="-2"/>
          <w:kern w:val="0"/>
          <w:sz w:val="24"/>
        </w:rPr>
      </w:pPr>
      <w:r>
        <w:rPr>
          <w:rFonts w:hint="eastAsia" w:eastAsia="方正黑体_GBK"/>
          <w:color w:val="000000"/>
          <w:spacing w:val="-2"/>
          <w:kern w:val="0"/>
          <w:sz w:val="24"/>
        </w:rPr>
        <w:t>八、进一步营造检测市场的良好环境</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二十八）各级建设行政主管部门要树立服务意识，提供优质服务，不得设置外地检测机构到本地承接检测业务的歧视性规定。加强不同部门之间的沟通协调，提高工作效率。积极研究新情况，发现新问题，提出新措施，提高行政和技术管理的可操作性。采用走出去、请进来的办法，为检测机构创造交流学习的机会。</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（二十九）鼓励检测机构树立以服务对象为中心的理念，加强检测新技术、新方法的研究和应用，更好地保证检测工作、成果质量，为建设工程的设计、验收提供公正、科学、准确的数据。</w:t>
      </w:r>
      <w:r>
        <w:rPr>
          <w:rFonts w:eastAsia="方正仿宋_GBK"/>
          <w:color w:val="000000"/>
          <w:spacing w:val="-2"/>
          <w:kern w:val="0"/>
          <w:sz w:val="24"/>
        </w:rPr>
        <w:t xml:space="preserve"> </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（三十）加强对行业协会的指导，充分发挥行业协会桥梁和纽带的作用，鼓励和支持行业协会做好检测机构自律工作。</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本意见自</w:t>
      </w:r>
      <w:r>
        <w:rPr>
          <w:rFonts w:eastAsia="方正仿宋_GBK"/>
          <w:color w:val="000000"/>
          <w:spacing w:val="-2"/>
          <w:kern w:val="0"/>
          <w:sz w:val="24"/>
        </w:rPr>
        <w:t>2009</w:t>
      </w:r>
      <w:r>
        <w:rPr>
          <w:rFonts w:hint="eastAsia" w:eastAsia="方正仿宋_GBK"/>
          <w:color w:val="000000"/>
          <w:spacing w:val="-2"/>
          <w:kern w:val="0"/>
          <w:sz w:val="24"/>
        </w:rPr>
        <w:t>年</w:t>
      </w:r>
      <w:r>
        <w:rPr>
          <w:rFonts w:eastAsia="方正仿宋_GBK"/>
          <w:color w:val="000000"/>
          <w:spacing w:val="-2"/>
          <w:kern w:val="0"/>
          <w:sz w:val="24"/>
        </w:rPr>
        <w:t>3</w:t>
      </w:r>
      <w:r>
        <w:rPr>
          <w:rFonts w:hint="eastAsia" w:eastAsia="方正仿宋_GBK"/>
          <w:color w:val="000000"/>
          <w:spacing w:val="-2"/>
          <w:kern w:val="0"/>
          <w:sz w:val="24"/>
        </w:rPr>
        <w:t>月</w:t>
      </w:r>
      <w:r>
        <w:rPr>
          <w:rFonts w:eastAsia="方正仿宋_GBK"/>
          <w:color w:val="000000"/>
          <w:spacing w:val="-2"/>
          <w:kern w:val="0"/>
          <w:sz w:val="24"/>
        </w:rPr>
        <w:t>1</w:t>
      </w:r>
      <w:r>
        <w:rPr>
          <w:rFonts w:hint="eastAsia" w:eastAsia="方正仿宋_GBK"/>
          <w:color w:val="000000"/>
          <w:spacing w:val="-2"/>
          <w:kern w:val="0"/>
          <w:sz w:val="24"/>
        </w:rPr>
        <w:t>日起执行。</w:t>
      </w:r>
    </w:p>
    <w:p>
      <w:pPr>
        <w:spacing w:line="460" w:lineRule="exact"/>
        <w:ind w:firstLine="464" w:firstLineChars="200"/>
        <w:rPr>
          <w:rFonts w:eastAsia="方正仿宋_GBK"/>
          <w:color w:val="000000"/>
          <w:spacing w:val="-2"/>
          <w:kern w:val="0"/>
          <w:sz w:val="24"/>
        </w:rPr>
      </w:pPr>
    </w:p>
    <w:p>
      <w:pPr>
        <w:spacing w:line="460" w:lineRule="exact"/>
        <w:ind w:right="428" w:rightChars="208" w:firstLine="464" w:firstLineChars="200"/>
        <w:jc w:val="right"/>
        <w:rPr>
          <w:rFonts w:eastAsia="方正仿宋_GBK"/>
          <w:color w:val="000000"/>
          <w:spacing w:val="-2"/>
          <w:kern w:val="0"/>
          <w:sz w:val="24"/>
        </w:rPr>
      </w:pPr>
      <w:r>
        <w:rPr>
          <w:rFonts w:hint="eastAsia" w:eastAsia="方正仿宋_GBK"/>
          <w:color w:val="000000"/>
          <w:spacing w:val="-2"/>
          <w:sz w:val="24"/>
        </w:rPr>
        <w:t>江苏省住房和城乡建设厅</w:t>
      </w:r>
      <w:r>
        <w:rPr>
          <w:rFonts w:eastAsia="方正仿宋_GBK"/>
          <w:color w:val="000000"/>
          <w:spacing w:val="-2"/>
          <w:sz w:val="24"/>
        </w:rPr>
        <w:t xml:space="preserve">    </w:t>
      </w:r>
    </w:p>
    <w:p>
      <w:pPr>
        <w:spacing w:line="460" w:lineRule="exact"/>
        <w:ind w:right="438" w:firstLine="464" w:firstLineChars="200"/>
        <w:jc w:val="right"/>
        <w:rPr>
          <w:rFonts w:eastAsia="方正仿宋_GBK"/>
          <w:color w:val="000000"/>
          <w:spacing w:val="-2"/>
          <w:kern w:val="0"/>
          <w:sz w:val="24"/>
        </w:rPr>
      </w:pPr>
      <w:r>
        <w:rPr>
          <w:rFonts w:hint="eastAsia" w:eastAsia="方正仿宋_GBK"/>
          <w:color w:val="000000"/>
          <w:spacing w:val="-2"/>
          <w:kern w:val="0"/>
          <w:sz w:val="24"/>
        </w:rPr>
        <w:t>二</w:t>
      </w:r>
      <w:r>
        <w:rPr>
          <w:rFonts w:hint="eastAsia" w:ascii="Times New Roman" w:hAnsi="Times New Roman"/>
          <w:bCs/>
          <w:snapToGrid w:val="0"/>
          <w:color w:val="000000"/>
          <w:spacing w:val="-2"/>
          <w:kern w:val="0"/>
          <w:sz w:val="24"/>
        </w:rPr>
        <w:t>○○</w:t>
      </w:r>
      <w:r>
        <w:rPr>
          <w:rFonts w:hint="eastAsia" w:eastAsia="方正仿宋_GBK"/>
          <w:color w:val="000000"/>
          <w:spacing w:val="-2"/>
          <w:kern w:val="0"/>
          <w:sz w:val="24"/>
        </w:rPr>
        <w:t>八年十二月十一日</w:t>
      </w:r>
      <w:r>
        <w:rPr>
          <w:rFonts w:eastAsia="方正仿宋_GBK"/>
          <w:color w:val="000000"/>
          <w:spacing w:val="-2"/>
          <w:kern w:val="0"/>
          <w:sz w:val="24"/>
        </w:rPr>
        <w:t> </w:t>
      </w:r>
    </w:p>
    <w:p>
      <w:pPr>
        <w:pStyle w:val="2"/>
        <w:spacing w:before="590" w:beforeLines="100" w:after="590" w:afterLines="100" w:line="240" w:lineRule="auto"/>
        <w:jc w:val="center"/>
        <w:rPr>
          <w:rFonts w:ascii="Times New Roman" w:eastAsia="方正小标宋_GBK"/>
          <w:b w:val="0"/>
          <w:sz w:val="36"/>
          <w:szCs w:val="36"/>
        </w:rPr>
      </w:pPr>
      <w:r>
        <w:rPr>
          <w:rFonts w:eastAsia="方正仿宋_GBK"/>
          <w:b w:val="0"/>
          <w:color w:val="000000"/>
          <w:spacing w:val="-2"/>
          <w:kern w:val="0"/>
          <w:sz w:val="24"/>
        </w:rPr>
        <w:br w:type="column"/>
      </w:r>
      <w:bookmarkStart w:id="761" w:name="_Toc18315708"/>
      <w:bookmarkStart w:id="762" w:name="_Toc20726567"/>
      <w:r>
        <w:rPr>
          <w:rFonts w:hint="eastAsia" w:ascii="Times New Roman" w:eastAsia="方正小标宋_GBK"/>
          <w:b w:val="0"/>
          <w:sz w:val="36"/>
          <w:szCs w:val="36"/>
        </w:rPr>
        <w:t>关于印发《江苏省房屋建筑和市政基础设施工程质量  监督工作实施细则》的通知</w:t>
      </w:r>
      <w:bookmarkEnd w:id="761"/>
      <w:bookmarkEnd w:id="762"/>
    </w:p>
    <w:p>
      <w:pPr>
        <w:pStyle w:val="3"/>
        <w:spacing w:before="590" w:beforeLines="100" w:after="590" w:afterLines="100" w:line="240" w:lineRule="auto"/>
        <w:jc w:val="center"/>
        <w:rPr>
          <w:rFonts w:hint="eastAsia" w:ascii="Times New Roman" w:hAnsi="Times New Roman" w:eastAsia="方正楷体_GBK"/>
          <w:b w:val="0"/>
          <w:sz w:val="24"/>
          <w:szCs w:val="24"/>
        </w:rPr>
      </w:pPr>
      <w:bookmarkStart w:id="763" w:name="_Toc20726568"/>
      <w:bookmarkStart w:id="764" w:name="_Toc18315709"/>
      <w:r>
        <w:rPr>
          <w:rFonts w:hint="eastAsia" w:ascii="Times New Roman" w:hAnsi="Times New Roman" w:eastAsia="方正楷体_GBK"/>
          <w:b w:val="0"/>
          <w:sz w:val="24"/>
          <w:szCs w:val="24"/>
        </w:rPr>
        <w:t>苏建规字〔</w:t>
      </w:r>
      <w:r>
        <w:rPr>
          <w:rFonts w:ascii="Times New Roman" w:hAnsi="Times New Roman" w:eastAsia="方正楷体_GBK"/>
          <w:b w:val="0"/>
          <w:sz w:val="24"/>
          <w:szCs w:val="24"/>
        </w:rPr>
        <w:t>2011</w:t>
      </w:r>
      <w:r>
        <w:rPr>
          <w:rFonts w:hint="eastAsia" w:ascii="Times New Roman" w:hAnsi="Times New Roman" w:eastAsia="方正楷体_GBK"/>
          <w:b w:val="0"/>
          <w:sz w:val="24"/>
          <w:szCs w:val="24"/>
        </w:rPr>
        <w:t>〕</w:t>
      </w:r>
      <w:r>
        <w:rPr>
          <w:rFonts w:ascii="Times New Roman" w:hAnsi="Times New Roman" w:eastAsia="方正楷体_GBK"/>
          <w:b w:val="0"/>
          <w:sz w:val="24"/>
          <w:szCs w:val="24"/>
        </w:rPr>
        <w:t>2</w:t>
      </w:r>
      <w:r>
        <w:rPr>
          <w:rFonts w:hint="eastAsia" w:ascii="Times New Roman" w:hAnsi="Times New Roman" w:eastAsia="方正楷体_GBK"/>
          <w:b w:val="0"/>
          <w:sz w:val="24"/>
          <w:szCs w:val="24"/>
        </w:rPr>
        <w:t>号</w:t>
      </w:r>
      <w:bookmarkEnd w:id="763"/>
      <w:bookmarkEnd w:id="764"/>
    </w:p>
    <w:p>
      <w:pPr>
        <w:spacing w:line="460" w:lineRule="exact"/>
        <w:rPr>
          <w:rFonts w:eastAsia="方正仿宋_GBK"/>
          <w:color w:val="000000"/>
          <w:spacing w:val="-2"/>
          <w:sz w:val="24"/>
        </w:rPr>
      </w:pPr>
      <w:r>
        <w:rPr>
          <w:rFonts w:hint="eastAsia" w:eastAsia="方正仿宋_GBK"/>
          <w:color w:val="000000"/>
          <w:spacing w:val="-2"/>
          <w:sz w:val="24"/>
        </w:rPr>
        <w:t>各市建设局（委），各有关单位：</w:t>
      </w:r>
    </w:p>
    <w:p>
      <w:pPr>
        <w:spacing w:line="460" w:lineRule="exact"/>
        <w:ind w:firstLine="464" w:firstLineChars="200"/>
        <w:rPr>
          <w:rFonts w:eastAsia="方正仿宋_GBK"/>
          <w:color w:val="000000"/>
          <w:spacing w:val="-2"/>
          <w:sz w:val="24"/>
        </w:rPr>
      </w:pPr>
      <w:r>
        <w:rPr>
          <w:rFonts w:hint="eastAsia" w:eastAsia="方正仿宋_GBK"/>
          <w:color w:val="000000"/>
          <w:spacing w:val="-2"/>
          <w:sz w:val="24"/>
        </w:rPr>
        <w:t>依据住房城乡建设部第</w:t>
      </w:r>
      <w:r>
        <w:rPr>
          <w:rFonts w:eastAsia="方正仿宋_GBK"/>
          <w:color w:val="000000"/>
          <w:spacing w:val="-2"/>
          <w:sz w:val="24"/>
        </w:rPr>
        <w:t>5</w:t>
      </w:r>
      <w:r>
        <w:rPr>
          <w:rFonts w:hint="eastAsia" w:eastAsia="方正仿宋_GBK"/>
          <w:color w:val="000000"/>
          <w:spacing w:val="-2"/>
          <w:sz w:val="24"/>
        </w:rPr>
        <w:t>号令《房屋建筑和市政基础设施工程质量监督管理规定》，我厅制定了《江苏省房屋建筑和市政基础设施工程质量监督工作实施细则》，现印发你们，请遵照执行。</w:t>
      </w:r>
    </w:p>
    <w:p>
      <w:pPr>
        <w:spacing w:line="460" w:lineRule="exact"/>
        <w:ind w:firstLine="464" w:firstLineChars="200"/>
        <w:rPr>
          <w:rFonts w:eastAsia="方正仿宋_GBK"/>
          <w:color w:val="000000"/>
          <w:spacing w:val="-2"/>
          <w:sz w:val="24"/>
        </w:rPr>
      </w:pPr>
      <w:r>
        <w:rPr>
          <w:rFonts w:hint="eastAsia" w:eastAsia="方正仿宋_GBK"/>
          <w:color w:val="000000"/>
          <w:spacing w:val="-2"/>
          <w:sz w:val="24"/>
        </w:rPr>
        <w:t>在执行过程中如有问题，请与省</w:t>
      </w:r>
      <w:r>
        <w:rPr>
          <w:rFonts w:hint="eastAsia" w:eastAsia="方正仿宋_GBK"/>
          <w:color w:val="000000"/>
          <w:spacing w:val="-2"/>
          <w:kern w:val="0"/>
          <w:sz w:val="24"/>
        </w:rPr>
        <w:t>建设工程质量监督总站联系。</w:t>
      </w:r>
    </w:p>
    <w:p>
      <w:pPr>
        <w:spacing w:line="460" w:lineRule="exact"/>
        <w:ind w:firstLine="630"/>
        <w:rPr>
          <w:rFonts w:eastAsia="方正仿宋_GBK"/>
          <w:color w:val="000000"/>
          <w:spacing w:val="-2"/>
          <w:kern w:val="0"/>
          <w:sz w:val="24"/>
        </w:rPr>
      </w:pPr>
    </w:p>
    <w:p>
      <w:pPr>
        <w:spacing w:line="460" w:lineRule="exact"/>
        <w:ind w:firstLine="464" w:firstLineChars="200"/>
        <w:rPr>
          <w:rFonts w:eastAsia="方正仿宋_GBK"/>
          <w:color w:val="000000"/>
          <w:spacing w:val="-2"/>
          <w:sz w:val="24"/>
        </w:rPr>
      </w:pPr>
      <w:r>
        <w:rPr>
          <w:rFonts w:hint="eastAsia" w:eastAsia="方正仿宋_GBK"/>
          <w:color w:val="000000"/>
          <w:spacing w:val="-2"/>
          <w:sz w:val="24"/>
        </w:rPr>
        <w:t>附件：《江苏省房屋建筑和市政基础设施工程质量监督工作实施细则》</w:t>
      </w:r>
    </w:p>
    <w:p>
      <w:pPr>
        <w:spacing w:line="460" w:lineRule="exact"/>
        <w:ind w:firstLine="464" w:firstLineChars="200"/>
        <w:rPr>
          <w:rFonts w:eastAsia="方正仿宋_GBK"/>
          <w:color w:val="000000"/>
          <w:spacing w:val="-2"/>
          <w:sz w:val="24"/>
        </w:rPr>
      </w:pPr>
    </w:p>
    <w:p>
      <w:pPr>
        <w:spacing w:line="460" w:lineRule="exact"/>
        <w:ind w:right="428" w:rightChars="208"/>
        <w:jc w:val="right"/>
        <w:rPr>
          <w:rFonts w:eastAsia="方正仿宋_GBK"/>
          <w:color w:val="000000"/>
          <w:spacing w:val="-2"/>
          <w:sz w:val="24"/>
        </w:rPr>
      </w:pPr>
      <w:r>
        <w:rPr>
          <w:rFonts w:eastAsia="方正仿宋_GBK"/>
          <w:color w:val="000000"/>
          <w:spacing w:val="-2"/>
          <w:sz w:val="24"/>
        </w:rPr>
        <w:t xml:space="preserve">                            </w:t>
      </w:r>
      <w:r>
        <w:rPr>
          <w:rFonts w:hint="eastAsia" w:eastAsia="方正仿宋_GBK"/>
          <w:color w:val="000000"/>
          <w:spacing w:val="-2"/>
          <w:sz w:val="24"/>
        </w:rPr>
        <w:t>江苏省住房和城乡建设厅</w:t>
      </w:r>
    </w:p>
    <w:p>
      <w:pPr>
        <w:spacing w:line="460" w:lineRule="exact"/>
        <w:ind w:right="506" w:rightChars="246" w:firstLine="5684" w:firstLineChars="2450"/>
        <w:rPr>
          <w:rFonts w:eastAsia="方正仿宋_GBK"/>
          <w:color w:val="000000"/>
          <w:spacing w:val="-2"/>
          <w:sz w:val="24"/>
        </w:rPr>
      </w:pPr>
      <w:r>
        <w:rPr>
          <w:rFonts w:hint="eastAsia" w:eastAsia="方正仿宋_GBK"/>
          <w:color w:val="000000"/>
          <w:spacing w:val="-2"/>
          <w:sz w:val="24"/>
        </w:rPr>
        <w:t>二〇一一年十一月八日</w:t>
      </w:r>
    </w:p>
    <w:p>
      <w:pPr>
        <w:spacing w:line="460" w:lineRule="exact"/>
        <w:rPr>
          <w:rFonts w:eastAsia="方正仿宋_GBK"/>
          <w:bCs/>
          <w:color w:val="000000"/>
          <w:spacing w:val="-2"/>
          <w:kern w:val="0"/>
          <w:sz w:val="24"/>
        </w:rPr>
      </w:pPr>
    </w:p>
    <w:p>
      <w:pPr>
        <w:spacing w:line="460" w:lineRule="exact"/>
        <w:rPr>
          <w:rFonts w:eastAsia="方正仿宋_GBK"/>
          <w:bCs/>
          <w:color w:val="000000"/>
          <w:spacing w:val="-2"/>
          <w:kern w:val="0"/>
          <w:sz w:val="24"/>
        </w:rPr>
      </w:pPr>
    </w:p>
    <w:p>
      <w:pPr>
        <w:spacing w:line="460" w:lineRule="exact"/>
        <w:jc w:val="center"/>
        <w:rPr>
          <w:rFonts w:eastAsia="方正黑体_GBK"/>
          <w:bCs/>
          <w:color w:val="000000"/>
          <w:spacing w:val="-2"/>
          <w:kern w:val="0"/>
          <w:sz w:val="36"/>
          <w:szCs w:val="36"/>
        </w:rPr>
      </w:pPr>
      <w:r>
        <w:rPr>
          <w:rFonts w:hint="eastAsia" w:eastAsia="方正黑体_GBK"/>
          <w:bCs/>
          <w:color w:val="000000"/>
          <w:spacing w:val="-2"/>
          <w:kern w:val="0"/>
          <w:sz w:val="36"/>
          <w:szCs w:val="36"/>
        </w:rPr>
        <w:t>江苏省房屋建筑和市政基础设施工程</w:t>
      </w:r>
    </w:p>
    <w:p>
      <w:pPr>
        <w:spacing w:line="460" w:lineRule="exact"/>
        <w:jc w:val="center"/>
        <w:rPr>
          <w:rFonts w:eastAsia="方正黑体_GBK"/>
          <w:bCs/>
          <w:color w:val="000000"/>
          <w:spacing w:val="-2"/>
          <w:kern w:val="0"/>
          <w:sz w:val="36"/>
          <w:szCs w:val="36"/>
        </w:rPr>
      </w:pPr>
      <w:r>
        <w:rPr>
          <w:rFonts w:hint="eastAsia" w:eastAsia="方正黑体_GBK"/>
          <w:bCs/>
          <w:color w:val="000000"/>
          <w:spacing w:val="-2"/>
          <w:kern w:val="0"/>
          <w:sz w:val="36"/>
          <w:szCs w:val="36"/>
        </w:rPr>
        <w:t>质量监督工作实施细则</w:t>
      </w:r>
    </w:p>
    <w:p>
      <w:pPr>
        <w:spacing w:line="460" w:lineRule="exact"/>
        <w:rPr>
          <w:rFonts w:eastAsia="方正仿宋_GBK"/>
          <w:b/>
          <w:bCs/>
          <w:color w:val="000000"/>
          <w:spacing w:val="-2"/>
          <w:kern w:val="0"/>
          <w:sz w:val="24"/>
        </w:rPr>
      </w:pPr>
    </w:p>
    <w:p>
      <w:pPr>
        <w:spacing w:line="460" w:lineRule="exact"/>
        <w:jc w:val="center"/>
        <w:rPr>
          <w:rFonts w:eastAsia="方正黑体_GBK"/>
          <w:color w:val="000000"/>
          <w:spacing w:val="-2"/>
          <w:kern w:val="0"/>
          <w:sz w:val="24"/>
        </w:rPr>
      </w:pPr>
      <w:r>
        <w:rPr>
          <w:rFonts w:eastAsia="方正黑体_GBK"/>
          <w:color w:val="000000"/>
          <w:spacing w:val="-2"/>
          <w:kern w:val="0"/>
          <w:sz w:val="24"/>
        </w:rPr>
        <w:t xml:space="preserve">1  </w:t>
      </w:r>
      <w:r>
        <w:rPr>
          <w:rFonts w:hint="eastAsia" w:eastAsia="方正黑体_GBK"/>
          <w:color w:val="000000"/>
          <w:spacing w:val="-2"/>
          <w:kern w:val="0"/>
          <w:sz w:val="24"/>
        </w:rPr>
        <w:t>总</w:t>
      </w:r>
      <w:r>
        <w:rPr>
          <w:rFonts w:eastAsia="方正黑体_GBK"/>
          <w:color w:val="000000"/>
          <w:spacing w:val="-2"/>
          <w:kern w:val="0"/>
          <w:sz w:val="24"/>
        </w:rPr>
        <w:t xml:space="preserve">   </w:t>
      </w:r>
      <w:r>
        <w:rPr>
          <w:rFonts w:hint="eastAsia" w:eastAsia="方正黑体_GBK"/>
          <w:color w:val="000000"/>
          <w:spacing w:val="-2"/>
          <w:kern w:val="0"/>
          <w:sz w:val="24"/>
        </w:rPr>
        <w:t>则</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1.1</w:t>
      </w:r>
      <w:r>
        <w:rPr>
          <w:rFonts w:hint="eastAsia" w:eastAsia="方正仿宋_GBK"/>
          <w:color w:val="000000"/>
          <w:spacing w:val="-2"/>
          <w:kern w:val="0"/>
          <w:sz w:val="24"/>
        </w:rPr>
        <w:t>为了加强房屋建筑和市政基础设施工程质量（以下简称工程质量）的监督管理，规范工程质量监督工作，根据《房屋建筑和市政基础设施工程质量监督管理规定》（住房和城乡建设部令第</w:t>
      </w:r>
      <w:r>
        <w:rPr>
          <w:rFonts w:eastAsia="方正仿宋_GBK"/>
          <w:color w:val="000000"/>
          <w:spacing w:val="-2"/>
          <w:kern w:val="0"/>
          <w:sz w:val="24"/>
        </w:rPr>
        <w:t>5</w:t>
      </w:r>
      <w:r>
        <w:rPr>
          <w:rFonts w:hint="eastAsia" w:eastAsia="方正仿宋_GBK"/>
          <w:color w:val="000000"/>
          <w:spacing w:val="-2"/>
          <w:kern w:val="0"/>
          <w:sz w:val="24"/>
        </w:rPr>
        <w:t>号），制定本细则。</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1.2</w:t>
      </w:r>
      <w:r>
        <w:rPr>
          <w:rFonts w:hint="eastAsia" w:eastAsia="方正仿宋_GBK"/>
          <w:color w:val="000000"/>
          <w:spacing w:val="-2"/>
          <w:kern w:val="0"/>
          <w:sz w:val="24"/>
        </w:rPr>
        <w:t>在江苏省行政区域内从事工程质量监督工作，适用本细则。</w:t>
      </w:r>
    </w:p>
    <w:p>
      <w:pPr>
        <w:spacing w:line="460" w:lineRule="exact"/>
        <w:rPr>
          <w:rFonts w:eastAsia="方正仿宋_GBK"/>
          <w:color w:val="000000"/>
          <w:spacing w:val="-2"/>
          <w:kern w:val="0"/>
          <w:sz w:val="24"/>
        </w:rPr>
      </w:pPr>
      <w:r>
        <w:rPr>
          <w:rFonts w:eastAsia="方正仿宋_GBK"/>
          <w:color w:val="000000"/>
          <w:spacing w:val="-2"/>
          <w:kern w:val="0"/>
          <w:sz w:val="24"/>
        </w:rPr>
        <w:t xml:space="preserve">    1.3</w:t>
      </w:r>
      <w:r>
        <w:rPr>
          <w:rFonts w:hint="eastAsia" w:eastAsia="方正仿宋_GBK"/>
          <w:color w:val="000000"/>
          <w:spacing w:val="-2"/>
          <w:kern w:val="0"/>
          <w:sz w:val="24"/>
        </w:rPr>
        <w:t>工程质量监督，是指住房和城乡建设主管部门委托所属的工程质量监督机构（以下简称监督机构）依据有关法律法规和工程建设强制性标准，对工程实体质量和建设、勘察、设计、施工、监理单位（以下简称工程质量责任主体）及质量检测等单位的工程质量行为实施监督抽查的行政执法行为。</w:t>
      </w:r>
    </w:p>
    <w:p>
      <w:pPr>
        <w:spacing w:line="460" w:lineRule="exact"/>
        <w:rPr>
          <w:rFonts w:eastAsia="方正仿宋_GBK"/>
          <w:color w:val="000000"/>
          <w:spacing w:val="-2"/>
          <w:kern w:val="0"/>
          <w:sz w:val="24"/>
        </w:rPr>
      </w:pPr>
      <w:r>
        <w:rPr>
          <w:rFonts w:eastAsia="方正仿宋_GBK"/>
          <w:color w:val="000000"/>
          <w:spacing w:val="-2"/>
          <w:kern w:val="0"/>
          <w:sz w:val="24"/>
        </w:rPr>
        <w:t xml:space="preserve">    1.4</w:t>
      </w:r>
      <w:r>
        <w:rPr>
          <w:rFonts w:hint="eastAsia" w:eastAsia="方正仿宋_GBK"/>
          <w:color w:val="000000"/>
          <w:spacing w:val="-2"/>
          <w:kern w:val="0"/>
          <w:sz w:val="24"/>
        </w:rPr>
        <w:t>工程质量监督采取抽查方式。抽查是指监督机构对工程质量责任主体及质量检测单位的质量行为、工程实体质量随机进行的抽样检查活动。</w:t>
      </w:r>
    </w:p>
    <w:p>
      <w:pPr>
        <w:spacing w:line="460" w:lineRule="exact"/>
        <w:rPr>
          <w:rFonts w:eastAsia="方正仿宋_GBK"/>
          <w:color w:val="000000"/>
          <w:spacing w:val="-2"/>
          <w:kern w:val="0"/>
          <w:sz w:val="24"/>
        </w:rPr>
      </w:pPr>
      <w:r>
        <w:rPr>
          <w:rFonts w:eastAsia="方正仿宋_GBK"/>
          <w:color w:val="000000"/>
          <w:spacing w:val="-2"/>
          <w:kern w:val="0"/>
          <w:sz w:val="24"/>
        </w:rPr>
        <w:t xml:space="preserve">    1.5</w:t>
      </w:r>
      <w:r>
        <w:rPr>
          <w:rFonts w:hint="eastAsia" w:eastAsia="方正仿宋_GBK"/>
          <w:color w:val="000000"/>
          <w:spacing w:val="-2"/>
          <w:kern w:val="0"/>
          <w:sz w:val="24"/>
        </w:rPr>
        <w:t>工程质量监督除执行本细则外，还应执行国家有关法律、法规和工程建设强制性标准的规定。</w:t>
      </w:r>
    </w:p>
    <w:p>
      <w:pPr>
        <w:spacing w:line="460" w:lineRule="exact"/>
        <w:jc w:val="center"/>
        <w:rPr>
          <w:rFonts w:eastAsia="方正黑体_GBK"/>
          <w:color w:val="000000"/>
          <w:spacing w:val="-2"/>
          <w:kern w:val="0"/>
          <w:sz w:val="24"/>
        </w:rPr>
      </w:pPr>
      <w:r>
        <w:rPr>
          <w:rFonts w:eastAsia="方正黑体_GBK"/>
          <w:color w:val="000000"/>
          <w:spacing w:val="-2"/>
          <w:kern w:val="0"/>
          <w:sz w:val="24"/>
        </w:rPr>
        <w:t xml:space="preserve">2  </w:t>
      </w:r>
      <w:r>
        <w:rPr>
          <w:rFonts w:hint="eastAsia" w:eastAsia="方正黑体_GBK"/>
          <w:color w:val="000000"/>
          <w:spacing w:val="-2"/>
          <w:kern w:val="0"/>
          <w:sz w:val="24"/>
        </w:rPr>
        <w:t>工程质量监督工作计划</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2.1</w:t>
      </w:r>
      <w:r>
        <w:rPr>
          <w:rFonts w:hint="eastAsia" w:eastAsia="方正仿宋_GBK"/>
          <w:color w:val="000000"/>
          <w:spacing w:val="-2"/>
          <w:kern w:val="0"/>
          <w:sz w:val="24"/>
        </w:rPr>
        <w:t>工程质量监督工作计划，是指工程项目实施监督前，监督机构根据受监工程的规模和类别，依据工程勘察报告、设计文件、工程建设法律法规和强制性标准，制定《工程质量监督工作计划》（以下简称《计划》），并告知建设、监理、施工等单位的活动。</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2.2</w:t>
      </w:r>
      <w:r>
        <w:rPr>
          <w:rFonts w:hint="eastAsia" w:eastAsia="方正仿宋_GBK"/>
          <w:color w:val="000000"/>
          <w:spacing w:val="-2"/>
          <w:kern w:val="0"/>
          <w:sz w:val="24"/>
        </w:rPr>
        <w:t>《计划》应明确工程项目的监督依据、监督方式、随机抽查重点、监督联系人等内容。</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2.3</w:t>
      </w:r>
      <w:r>
        <w:rPr>
          <w:rFonts w:hint="eastAsia" w:eastAsia="方正仿宋_GBK"/>
          <w:color w:val="000000"/>
          <w:spacing w:val="-2"/>
          <w:kern w:val="0"/>
          <w:sz w:val="24"/>
        </w:rPr>
        <w:t>《计划》由工程项目监督人员负责编写，监督机构有关负责人批准</w:t>
      </w:r>
      <w:r>
        <w:rPr>
          <w:rFonts w:eastAsia="方正仿宋_GBK"/>
          <w:color w:val="000000"/>
          <w:spacing w:val="-2"/>
          <w:kern w:val="0"/>
          <w:sz w:val="24"/>
        </w:rPr>
        <w:t>,</w:t>
      </w:r>
      <w:r>
        <w:rPr>
          <w:rFonts w:hint="eastAsia" w:eastAsia="方正仿宋_GBK"/>
          <w:color w:val="000000"/>
          <w:spacing w:val="-2"/>
          <w:kern w:val="0"/>
          <w:sz w:val="24"/>
        </w:rPr>
        <w:t>告知建设、施工、监理等单位。</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2.4</w:t>
      </w:r>
      <w:r>
        <w:rPr>
          <w:rFonts w:hint="eastAsia" w:eastAsia="方正仿宋_GBK"/>
          <w:color w:val="000000"/>
          <w:spacing w:val="-2"/>
          <w:kern w:val="0"/>
          <w:sz w:val="24"/>
        </w:rPr>
        <w:t>监督机构有关负责人应对《计划》实施情况进行督促检查，确保《计划》的有效实施。</w:t>
      </w:r>
    </w:p>
    <w:p>
      <w:pPr>
        <w:spacing w:line="460" w:lineRule="exact"/>
        <w:jc w:val="center"/>
        <w:rPr>
          <w:rFonts w:eastAsia="方正黑体_GBK"/>
          <w:color w:val="000000"/>
          <w:spacing w:val="-2"/>
          <w:kern w:val="0"/>
          <w:sz w:val="24"/>
        </w:rPr>
      </w:pPr>
    </w:p>
    <w:p>
      <w:pPr>
        <w:spacing w:line="460" w:lineRule="exact"/>
        <w:jc w:val="center"/>
        <w:rPr>
          <w:rFonts w:eastAsia="方正黑体_GBK"/>
          <w:color w:val="000000"/>
          <w:spacing w:val="-2"/>
          <w:kern w:val="0"/>
          <w:sz w:val="24"/>
        </w:rPr>
      </w:pPr>
      <w:r>
        <w:rPr>
          <w:rFonts w:eastAsia="方正黑体_GBK"/>
          <w:color w:val="000000"/>
          <w:spacing w:val="-2"/>
          <w:kern w:val="0"/>
          <w:sz w:val="24"/>
        </w:rPr>
        <w:t xml:space="preserve">3  </w:t>
      </w:r>
      <w:r>
        <w:rPr>
          <w:rFonts w:hint="eastAsia" w:eastAsia="方正黑体_GBK"/>
          <w:color w:val="000000"/>
          <w:spacing w:val="-2"/>
          <w:kern w:val="0"/>
          <w:sz w:val="24"/>
        </w:rPr>
        <w:t>工程质量行为抽查</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3.1</w:t>
      </w:r>
      <w:r>
        <w:rPr>
          <w:rFonts w:hint="eastAsia" w:eastAsia="方正仿宋_GBK"/>
          <w:color w:val="000000"/>
          <w:spacing w:val="-2"/>
          <w:kern w:val="0"/>
          <w:sz w:val="24"/>
        </w:rPr>
        <w:t>工程质量行为抽查，是指监督机构对工程质量责任主体和质量检测等单位履行法定质量责任和义务进行监督抽查的活动。</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3.2</w:t>
      </w:r>
      <w:r>
        <w:rPr>
          <w:rFonts w:hint="eastAsia" w:eastAsia="方正仿宋_GBK"/>
          <w:color w:val="000000"/>
          <w:spacing w:val="-2"/>
          <w:kern w:val="0"/>
          <w:sz w:val="24"/>
        </w:rPr>
        <w:t>工程质量行为抽查应遵守以下规定：</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(1)</w:t>
      </w:r>
      <w:r>
        <w:rPr>
          <w:rFonts w:hint="eastAsia" w:eastAsia="方正仿宋_GBK"/>
          <w:color w:val="000000"/>
          <w:spacing w:val="-2"/>
          <w:kern w:val="0"/>
          <w:sz w:val="24"/>
        </w:rPr>
        <w:t>工程质量行为抽查应突出重点，采取随机抽查方式。</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(2)</w:t>
      </w:r>
      <w:r>
        <w:rPr>
          <w:rFonts w:hint="eastAsia" w:eastAsia="方正仿宋_GBK"/>
          <w:color w:val="000000"/>
          <w:spacing w:val="-2"/>
          <w:kern w:val="0"/>
          <w:sz w:val="24"/>
        </w:rPr>
        <w:t>监督人员对工程质量责任主体提供的相关文件和资料进行抽查，首次抽查应填写《工程质量行为资料抽查记录》。</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(3)</w:t>
      </w:r>
      <w:r>
        <w:rPr>
          <w:rFonts w:hint="eastAsia" w:eastAsia="方正仿宋_GBK"/>
          <w:color w:val="000000"/>
          <w:spacing w:val="-2"/>
          <w:kern w:val="0"/>
          <w:sz w:val="24"/>
        </w:rPr>
        <w:t>抽查中发现有违规行为的，应签发《工程质量监督整改通知书》或《工程局部停工（暂停）通知书》，责令改正；对违反法律、法规、规章依法应当实施行政处罚的，监督机构应提出行政处罚建议，由有管辖权的主管部门实施行政处罚。</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(4)</w:t>
      </w:r>
      <w:r>
        <w:rPr>
          <w:rFonts w:hint="eastAsia" w:eastAsia="方正仿宋_GBK"/>
          <w:color w:val="000000"/>
          <w:spacing w:val="-2"/>
          <w:kern w:val="0"/>
          <w:sz w:val="24"/>
        </w:rPr>
        <w:t>对抽查中发现的问题，按有关规定向社会公布。</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3.3</w:t>
      </w:r>
      <w:r>
        <w:rPr>
          <w:rFonts w:hint="eastAsia" w:eastAsia="方正仿宋_GBK"/>
          <w:color w:val="000000"/>
          <w:spacing w:val="-2"/>
          <w:kern w:val="0"/>
          <w:sz w:val="24"/>
        </w:rPr>
        <w:t>工程质量行为抽查的重点，由监督机构根据工程项目和质量责任主体实际情况确定。</w:t>
      </w:r>
    </w:p>
    <w:p>
      <w:pPr>
        <w:spacing w:line="460" w:lineRule="exact"/>
        <w:jc w:val="center"/>
        <w:rPr>
          <w:rFonts w:eastAsia="方正黑体_GBK"/>
          <w:color w:val="000000"/>
          <w:spacing w:val="-2"/>
          <w:kern w:val="0"/>
          <w:sz w:val="24"/>
        </w:rPr>
      </w:pPr>
      <w:r>
        <w:rPr>
          <w:rFonts w:eastAsia="方正黑体_GBK"/>
          <w:color w:val="000000"/>
          <w:spacing w:val="-2"/>
          <w:kern w:val="0"/>
          <w:sz w:val="24"/>
        </w:rPr>
        <w:t xml:space="preserve">4  </w:t>
      </w:r>
      <w:r>
        <w:rPr>
          <w:rFonts w:hint="eastAsia" w:eastAsia="方正黑体_GBK"/>
          <w:color w:val="000000"/>
          <w:spacing w:val="-2"/>
          <w:kern w:val="0"/>
          <w:sz w:val="24"/>
        </w:rPr>
        <w:t>工程实体质量抽查</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4.1</w:t>
      </w:r>
      <w:r>
        <w:rPr>
          <w:rFonts w:hint="eastAsia" w:eastAsia="方正仿宋_GBK"/>
          <w:color w:val="000000"/>
          <w:spacing w:val="-2"/>
          <w:kern w:val="0"/>
          <w:sz w:val="24"/>
        </w:rPr>
        <w:t>工程实体质量抽查，是指监督机构对涉及工程主体结构安全和主要使用功能的工程实体质量进行监督抽查的活动。</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4.2</w:t>
      </w:r>
      <w:r>
        <w:rPr>
          <w:rFonts w:hint="eastAsia" w:eastAsia="方正仿宋_GBK"/>
          <w:color w:val="000000"/>
          <w:spacing w:val="-2"/>
          <w:kern w:val="0"/>
          <w:sz w:val="24"/>
        </w:rPr>
        <w:t>工程实体质量抽查应遵守以下规定：</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(1)</w:t>
      </w:r>
      <w:r>
        <w:rPr>
          <w:rFonts w:hint="eastAsia" w:eastAsia="方正仿宋_GBK"/>
          <w:color w:val="000000"/>
          <w:spacing w:val="-2"/>
          <w:kern w:val="0"/>
          <w:sz w:val="24"/>
        </w:rPr>
        <w:t>突出抽查施工质量验收规范中强制性条文的实施情况；</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(2)</w:t>
      </w:r>
      <w:r>
        <w:rPr>
          <w:rFonts w:hint="eastAsia" w:eastAsia="方正仿宋_GBK"/>
          <w:color w:val="000000"/>
          <w:spacing w:val="-2"/>
          <w:kern w:val="0"/>
          <w:sz w:val="24"/>
        </w:rPr>
        <w:t>随机抽查关键工序和部位的施工作业面施工质量；</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(3)</w:t>
      </w:r>
      <w:r>
        <w:rPr>
          <w:rFonts w:hint="eastAsia" w:eastAsia="方正仿宋_GBK"/>
          <w:color w:val="000000"/>
          <w:spacing w:val="-2"/>
          <w:kern w:val="0"/>
          <w:sz w:val="24"/>
        </w:rPr>
        <w:t>抽查涉及结构安全与使用功能的主要原材料、建筑构配件和设备的出厂合格证、试验报告及见证取样送检资料；</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(4)</w:t>
      </w:r>
      <w:r>
        <w:rPr>
          <w:rFonts w:hint="eastAsia" w:eastAsia="方正仿宋_GBK"/>
          <w:color w:val="000000"/>
          <w:spacing w:val="-2"/>
          <w:kern w:val="0"/>
          <w:sz w:val="24"/>
        </w:rPr>
        <w:t>监督人员应根据抽查结果，填写《工程实体质量抽查记录》，提出明确的抽查意见；对违反相关法规、影响结构安全及使用功能的质量问题，应签发整改通知书或局部停工（暂停）通知书或行政处罚建议书。</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4.3</w:t>
      </w:r>
      <w:r>
        <w:rPr>
          <w:rFonts w:hint="eastAsia" w:eastAsia="方正仿宋_GBK"/>
          <w:color w:val="000000"/>
          <w:spacing w:val="-2"/>
          <w:kern w:val="0"/>
          <w:sz w:val="24"/>
        </w:rPr>
        <w:t>工程实体质量抽查的重点内容，由监督机构根据工程特点、施工进度、质量状况确定。</w:t>
      </w:r>
    </w:p>
    <w:p>
      <w:pPr>
        <w:spacing w:line="460" w:lineRule="exact"/>
        <w:jc w:val="center"/>
        <w:rPr>
          <w:rFonts w:eastAsia="方正黑体_GBK"/>
          <w:color w:val="000000"/>
          <w:spacing w:val="-2"/>
          <w:kern w:val="0"/>
          <w:sz w:val="24"/>
        </w:rPr>
      </w:pPr>
      <w:r>
        <w:rPr>
          <w:rFonts w:eastAsia="方正黑体_GBK"/>
          <w:color w:val="000000"/>
          <w:spacing w:val="-2"/>
          <w:kern w:val="0"/>
          <w:sz w:val="24"/>
        </w:rPr>
        <w:t xml:space="preserve">5  </w:t>
      </w:r>
      <w:r>
        <w:rPr>
          <w:rFonts w:hint="eastAsia" w:eastAsia="方正黑体_GBK"/>
          <w:color w:val="000000"/>
          <w:spacing w:val="-2"/>
          <w:kern w:val="0"/>
          <w:sz w:val="24"/>
        </w:rPr>
        <w:t>工程质量监督抽测</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5.1</w:t>
      </w:r>
      <w:r>
        <w:rPr>
          <w:rFonts w:hint="eastAsia" w:eastAsia="方正仿宋_GBK"/>
          <w:color w:val="000000"/>
          <w:spacing w:val="-2"/>
          <w:kern w:val="0"/>
          <w:sz w:val="24"/>
        </w:rPr>
        <w:t>工程质量监督抽测，是指监督机构运用便携式检测仪器设备对工程实体质量进行监督检查的一种手段。</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 xml:space="preserve">5.2 </w:t>
      </w:r>
      <w:r>
        <w:rPr>
          <w:rFonts w:hint="eastAsia" w:eastAsia="方正仿宋_GBK"/>
          <w:color w:val="000000"/>
          <w:spacing w:val="-2"/>
          <w:kern w:val="0"/>
          <w:sz w:val="24"/>
        </w:rPr>
        <w:t>工程质量监督抽测应遵守以下规定：</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(1)</w:t>
      </w:r>
      <w:r>
        <w:rPr>
          <w:rFonts w:hint="eastAsia" w:eastAsia="方正仿宋_GBK"/>
          <w:color w:val="000000"/>
          <w:spacing w:val="-2"/>
          <w:kern w:val="0"/>
          <w:sz w:val="24"/>
        </w:rPr>
        <w:t>抽测重点是涉及工程结构安全的关键部位和主要使用功能；</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(2)</w:t>
      </w:r>
      <w:r>
        <w:rPr>
          <w:rFonts w:hint="eastAsia" w:eastAsia="方正仿宋_GBK"/>
          <w:color w:val="000000"/>
          <w:spacing w:val="-2"/>
          <w:kern w:val="0"/>
          <w:sz w:val="24"/>
        </w:rPr>
        <w:t>抽测项目和部位，应根据工程的性质、特点、规模、结构形式、施工进度和质量状况等因素确定；</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(3)</w:t>
      </w:r>
      <w:r>
        <w:rPr>
          <w:rFonts w:hint="eastAsia" w:eastAsia="方正仿宋_GBK"/>
          <w:color w:val="000000"/>
          <w:spacing w:val="-2"/>
          <w:kern w:val="0"/>
          <w:sz w:val="24"/>
        </w:rPr>
        <w:t>经抽测对工程质量确有怀疑的，监督机构应责令建设单位委托有资质的检测单位按有关规定进行检测，并出具检测报告；</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(4)</w:t>
      </w:r>
      <w:r>
        <w:rPr>
          <w:rFonts w:hint="eastAsia" w:eastAsia="方正仿宋_GBK"/>
          <w:color w:val="000000"/>
          <w:spacing w:val="-2"/>
          <w:kern w:val="0"/>
          <w:sz w:val="24"/>
        </w:rPr>
        <w:t>检测结果不符合设计要求、规范标准的，应按有关规定和要求进行处理；</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(5)</w:t>
      </w:r>
      <w:r>
        <w:rPr>
          <w:rFonts w:hint="eastAsia" w:eastAsia="方正仿宋_GBK"/>
          <w:color w:val="000000"/>
          <w:spacing w:val="-2"/>
          <w:kern w:val="0"/>
          <w:sz w:val="24"/>
        </w:rPr>
        <w:t>每次监督抽测后，应填写《工程质量监督抽测记录》。</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5.3</w:t>
      </w:r>
      <w:r>
        <w:rPr>
          <w:rFonts w:hint="eastAsia" w:eastAsia="方正仿宋_GBK"/>
          <w:color w:val="000000"/>
          <w:spacing w:val="-2"/>
          <w:kern w:val="0"/>
          <w:sz w:val="24"/>
        </w:rPr>
        <w:t>工程质量监督抽测的主要项目，由监督机构参照下述项目范围确定：</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(1)</w:t>
      </w:r>
      <w:r>
        <w:rPr>
          <w:rFonts w:hint="eastAsia" w:eastAsia="方正仿宋_GBK"/>
          <w:color w:val="000000"/>
          <w:spacing w:val="-2"/>
          <w:kern w:val="0"/>
          <w:sz w:val="24"/>
        </w:rPr>
        <w:t>承重结构混凝土强度；</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(2)</w:t>
      </w:r>
      <w:r>
        <w:rPr>
          <w:rFonts w:hint="eastAsia" w:eastAsia="方正仿宋_GBK"/>
          <w:color w:val="000000"/>
          <w:spacing w:val="-2"/>
          <w:kern w:val="0"/>
          <w:sz w:val="24"/>
        </w:rPr>
        <w:t>主要受力钢筋保护层厚度；</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(3)</w:t>
      </w:r>
      <w:r>
        <w:rPr>
          <w:rFonts w:hint="eastAsia" w:eastAsia="方正仿宋_GBK"/>
          <w:color w:val="000000"/>
          <w:spacing w:val="-2"/>
          <w:kern w:val="0"/>
          <w:sz w:val="24"/>
        </w:rPr>
        <w:t>现浇楼板结构厚度；</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(4)</w:t>
      </w:r>
      <w:r>
        <w:rPr>
          <w:rFonts w:hint="eastAsia" w:eastAsia="方正仿宋_GBK"/>
          <w:color w:val="000000"/>
          <w:spacing w:val="-2"/>
          <w:kern w:val="0"/>
          <w:sz w:val="24"/>
        </w:rPr>
        <w:t>安装工程中涉及安全及重要使用功能的项目；</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(5)</w:t>
      </w:r>
      <w:r>
        <w:rPr>
          <w:rFonts w:hint="eastAsia" w:eastAsia="方正仿宋_GBK"/>
          <w:color w:val="000000"/>
          <w:spacing w:val="-2"/>
          <w:kern w:val="0"/>
          <w:sz w:val="24"/>
        </w:rPr>
        <w:t>桥梁工程、隧道工程主体结构混凝土强度，断面尺寸，钢筋保护层厚度、位置；</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(6)</w:t>
      </w:r>
      <w:r>
        <w:rPr>
          <w:rFonts w:hint="eastAsia" w:eastAsia="方正仿宋_GBK"/>
          <w:color w:val="000000"/>
          <w:spacing w:val="-2"/>
          <w:kern w:val="0"/>
          <w:sz w:val="24"/>
        </w:rPr>
        <w:t>需要抽测的其它项目。</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5.4</w:t>
      </w:r>
      <w:r>
        <w:rPr>
          <w:rFonts w:hint="eastAsia" w:eastAsia="方正仿宋_GBK"/>
          <w:color w:val="000000"/>
          <w:spacing w:val="-2"/>
          <w:kern w:val="0"/>
          <w:sz w:val="24"/>
        </w:rPr>
        <w:t>监督机构应对工程质量监督抽测的数据及时归档。</w:t>
      </w:r>
    </w:p>
    <w:p>
      <w:pPr>
        <w:spacing w:line="460" w:lineRule="exact"/>
        <w:jc w:val="center"/>
        <w:rPr>
          <w:rFonts w:eastAsia="方正黑体_GBK"/>
          <w:color w:val="000000"/>
          <w:spacing w:val="-2"/>
          <w:kern w:val="0"/>
          <w:sz w:val="24"/>
        </w:rPr>
      </w:pPr>
      <w:r>
        <w:rPr>
          <w:rFonts w:eastAsia="方正黑体_GBK"/>
          <w:color w:val="000000"/>
          <w:spacing w:val="-2"/>
          <w:kern w:val="0"/>
          <w:sz w:val="24"/>
        </w:rPr>
        <w:t xml:space="preserve">6  </w:t>
      </w:r>
      <w:r>
        <w:rPr>
          <w:rFonts w:hint="eastAsia" w:eastAsia="方正黑体_GBK"/>
          <w:color w:val="000000"/>
          <w:spacing w:val="-2"/>
          <w:kern w:val="0"/>
          <w:sz w:val="24"/>
        </w:rPr>
        <w:t>工程质量事故（问题）处理监督</w:t>
      </w:r>
    </w:p>
    <w:p>
      <w:pPr>
        <w:spacing w:line="460" w:lineRule="exact"/>
        <w:ind w:firstLine="522" w:firstLineChars="225"/>
        <w:rPr>
          <w:rFonts w:eastAsia="方正仿宋_GBK"/>
          <w:color w:val="000000"/>
          <w:spacing w:val="-2"/>
          <w:kern w:val="0"/>
          <w:sz w:val="24"/>
        </w:rPr>
      </w:pPr>
      <w:r>
        <w:rPr>
          <w:rFonts w:eastAsia="方正仿宋_GBK"/>
          <w:color w:val="000000"/>
          <w:spacing w:val="-2"/>
          <w:kern w:val="0"/>
          <w:sz w:val="24"/>
        </w:rPr>
        <w:t>6.1</w:t>
      </w:r>
      <w:r>
        <w:rPr>
          <w:rFonts w:hint="eastAsia" w:eastAsia="方正仿宋_GBK"/>
          <w:color w:val="000000"/>
          <w:spacing w:val="-2"/>
          <w:kern w:val="0"/>
          <w:sz w:val="24"/>
        </w:rPr>
        <w:t>工程质量事故（问题）处理监督，是指监督机构依据有关工程建设法律、法规和强制性标准，对工程质量事故（问题）处理过程进行监督的活动。</w:t>
      </w:r>
    </w:p>
    <w:p>
      <w:pPr>
        <w:spacing w:line="460" w:lineRule="exact"/>
        <w:ind w:firstLine="522" w:firstLineChars="225"/>
        <w:rPr>
          <w:rFonts w:eastAsia="方正仿宋_GBK"/>
          <w:color w:val="000000"/>
          <w:spacing w:val="-2"/>
          <w:kern w:val="0"/>
          <w:sz w:val="24"/>
        </w:rPr>
      </w:pPr>
      <w:r>
        <w:rPr>
          <w:rFonts w:eastAsia="方正仿宋_GBK"/>
          <w:color w:val="000000"/>
          <w:spacing w:val="-2"/>
          <w:kern w:val="0"/>
          <w:sz w:val="24"/>
        </w:rPr>
        <w:t>6.2</w:t>
      </w:r>
      <w:r>
        <w:rPr>
          <w:rFonts w:hint="eastAsia" w:eastAsia="方正仿宋_GBK"/>
          <w:color w:val="000000"/>
          <w:spacing w:val="-2"/>
          <w:kern w:val="0"/>
          <w:sz w:val="24"/>
        </w:rPr>
        <w:t>工程质量事故处理的监督内容及要求</w:t>
      </w:r>
    </w:p>
    <w:p>
      <w:pPr>
        <w:spacing w:line="460" w:lineRule="exact"/>
        <w:ind w:firstLine="522" w:firstLineChars="225"/>
        <w:rPr>
          <w:rFonts w:eastAsia="方正仿宋_GBK"/>
          <w:color w:val="000000"/>
          <w:spacing w:val="-2"/>
          <w:kern w:val="0"/>
          <w:sz w:val="24"/>
        </w:rPr>
      </w:pPr>
      <w:r>
        <w:rPr>
          <w:rFonts w:eastAsia="方正仿宋_GBK"/>
          <w:color w:val="000000"/>
          <w:spacing w:val="-2"/>
          <w:kern w:val="0"/>
          <w:sz w:val="24"/>
        </w:rPr>
        <w:t>6.2.1</w:t>
      </w:r>
      <w:r>
        <w:rPr>
          <w:rFonts w:hint="eastAsia" w:eastAsia="方正仿宋_GBK"/>
          <w:color w:val="000000"/>
          <w:spacing w:val="-2"/>
          <w:kern w:val="0"/>
          <w:sz w:val="24"/>
        </w:rPr>
        <w:t>监督机构接到工程质量事故报告后，应及时向上级主管部门报告。</w:t>
      </w:r>
    </w:p>
    <w:p>
      <w:pPr>
        <w:spacing w:line="460" w:lineRule="exact"/>
        <w:ind w:firstLine="522" w:firstLineChars="225"/>
        <w:rPr>
          <w:rFonts w:eastAsia="方正仿宋_GBK"/>
          <w:color w:val="000000"/>
          <w:spacing w:val="-2"/>
          <w:kern w:val="0"/>
          <w:sz w:val="24"/>
        </w:rPr>
      </w:pPr>
      <w:r>
        <w:rPr>
          <w:rFonts w:eastAsia="方正仿宋_GBK"/>
          <w:color w:val="000000"/>
          <w:spacing w:val="-2"/>
          <w:kern w:val="0"/>
          <w:sz w:val="24"/>
        </w:rPr>
        <w:t xml:space="preserve">6.2.2 </w:t>
      </w:r>
      <w:r>
        <w:rPr>
          <w:rFonts w:hint="eastAsia" w:eastAsia="方正仿宋_GBK"/>
          <w:color w:val="000000"/>
          <w:spacing w:val="-2"/>
          <w:kern w:val="0"/>
          <w:sz w:val="24"/>
        </w:rPr>
        <w:t>监督机构对发生工程质量事故的工程，应及时发出《工程局部停工</w:t>
      </w:r>
      <w:r>
        <w:rPr>
          <w:rFonts w:eastAsia="方正仿宋_GBK"/>
          <w:color w:val="000000"/>
          <w:spacing w:val="-2"/>
          <w:kern w:val="0"/>
          <w:sz w:val="24"/>
        </w:rPr>
        <w:t>(</w:t>
      </w:r>
      <w:r>
        <w:rPr>
          <w:rFonts w:hint="eastAsia" w:eastAsia="方正仿宋_GBK"/>
          <w:color w:val="000000"/>
          <w:spacing w:val="-2"/>
          <w:kern w:val="0"/>
          <w:sz w:val="24"/>
        </w:rPr>
        <w:t>暂停</w:t>
      </w:r>
      <w:r>
        <w:rPr>
          <w:rFonts w:eastAsia="方正仿宋_GBK"/>
          <w:color w:val="000000"/>
          <w:spacing w:val="-2"/>
          <w:kern w:val="0"/>
          <w:sz w:val="24"/>
        </w:rPr>
        <w:t>)</w:t>
      </w:r>
      <w:r>
        <w:rPr>
          <w:rFonts w:hint="eastAsia" w:eastAsia="方正仿宋_GBK"/>
          <w:color w:val="000000"/>
          <w:spacing w:val="-2"/>
          <w:kern w:val="0"/>
          <w:sz w:val="24"/>
        </w:rPr>
        <w:t>通知书》。</w:t>
      </w:r>
    </w:p>
    <w:p>
      <w:pPr>
        <w:spacing w:line="460" w:lineRule="exact"/>
        <w:ind w:firstLine="522" w:firstLineChars="225"/>
        <w:rPr>
          <w:rFonts w:eastAsia="方正仿宋_GBK"/>
          <w:color w:val="000000"/>
          <w:spacing w:val="-2"/>
          <w:kern w:val="0"/>
          <w:sz w:val="24"/>
        </w:rPr>
      </w:pPr>
      <w:r>
        <w:rPr>
          <w:rFonts w:eastAsia="方正仿宋_GBK"/>
          <w:color w:val="000000"/>
          <w:spacing w:val="-2"/>
          <w:kern w:val="0"/>
          <w:sz w:val="24"/>
        </w:rPr>
        <w:t>6.2.3</w:t>
      </w:r>
      <w:r>
        <w:rPr>
          <w:rFonts w:hint="eastAsia" w:eastAsia="方正仿宋_GBK"/>
          <w:color w:val="000000"/>
          <w:spacing w:val="-2"/>
          <w:kern w:val="0"/>
          <w:sz w:val="24"/>
        </w:rPr>
        <w:t>工程质量事故处理符合有关规定后，监督机构应及时签发《工程复工通知书》。</w:t>
      </w:r>
    </w:p>
    <w:p>
      <w:pPr>
        <w:spacing w:line="460" w:lineRule="exact"/>
        <w:ind w:firstLine="522" w:firstLineChars="225"/>
        <w:rPr>
          <w:rFonts w:eastAsia="方正仿宋_GBK"/>
          <w:color w:val="000000"/>
          <w:spacing w:val="-2"/>
          <w:kern w:val="0"/>
          <w:sz w:val="24"/>
        </w:rPr>
      </w:pPr>
      <w:r>
        <w:rPr>
          <w:rFonts w:eastAsia="方正仿宋_GBK"/>
          <w:color w:val="000000"/>
          <w:spacing w:val="-2"/>
          <w:kern w:val="0"/>
          <w:sz w:val="24"/>
        </w:rPr>
        <w:t>6.2.4</w:t>
      </w:r>
      <w:r>
        <w:rPr>
          <w:rFonts w:hint="eastAsia" w:eastAsia="方正仿宋_GBK"/>
          <w:color w:val="000000"/>
          <w:spacing w:val="-2"/>
          <w:kern w:val="0"/>
          <w:sz w:val="24"/>
        </w:rPr>
        <w:t>监督机构应对事故的处理过程进行监督检查。</w:t>
      </w:r>
    </w:p>
    <w:p>
      <w:pPr>
        <w:spacing w:line="460" w:lineRule="exact"/>
        <w:ind w:firstLine="580" w:firstLineChars="250"/>
        <w:rPr>
          <w:rFonts w:eastAsia="方正仿宋_GBK"/>
          <w:color w:val="000000"/>
          <w:spacing w:val="-2"/>
          <w:kern w:val="0"/>
          <w:sz w:val="24"/>
        </w:rPr>
      </w:pPr>
      <w:r>
        <w:rPr>
          <w:rFonts w:eastAsia="方正仿宋_GBK"/>
          <w:color w:val="000000"/>
          <w:spacing w:val="-2"/>
          <w:kern w:val="0"/>
          <w:sz w:val="24"/>
        </w:rPr>
        <w:t>6.3</w:t>
      </w:r>
      <w:r>
        <w:rPr>
          <w:rFonts w:hint="eastAsia" w:eastAsia="方正仿宋_GBK"/>
          <w:color w:val="000000"/>
          <w:spacing w:val="-2"/>
          <w:kern w:val="0"/>
          <w:sz w:val="24"/>
        </w:rPr>
        <w:t>工程质量问题处理监督，按有关规定执行。</w:t>
      </w:r>
    </w:p>
    <w:p>
      <w:pPr>
        <w:spacing w:line="460" w:lineRule="exact"/>
        <w:ind w:firstLine="559" w:firstLineChars="241"/>
        <w:rPr>
          <w:rFonts w:eastAsia="方正仿宋_GBK"/>
          <w:color w:val="000000"/>
          <w:spacing w:val="-2"/>
          <w:kern w:val="0"/>
          <w:sz w:val="24"/>
        </w:rPr>
      </w:pPr>
      <w:r>
        <w:rPr>
          <w:rFonts w:eastAsia="方正仿宋_GBK"/>
          <w:color w:val="000000"/>
          <w:spacing w:val="-2"/>
          <w:kern w:val="0"/>
          <w:sz w:val="24"/>
        </w:rPr>
        <w:t>6.4</w:t>
      </w:r>
      <w:r>
        <w:rPr>
          <w:rFonts w:hint="eastAsia" w:eastAsia="方正仿宋_GBK"/>
          <w:color w:val="000000"/>
          <w:spacing w:val="-2"/>
          <w:kern w:val="0"/>
          <w:sz w:val="24"/>
        </w:rPr>
        <w:t>监督机构应及时将事故处理的相关资料收集整理并归入监督档案。</w:t>
      </w:r>
    </w:p>
    <w:p>
      <w:pPr>
        <w:spacing w:line="460" w:lineRule="exact"/>
        <w:jc w:val="center"/>
        <w:rPr>
          <w:rFonts w:eastAsia="方正黑体_GBK"/>
          <w:color w:val="000000"/>
          <w:spacing w:val="-2"/>
          <w:kern w:val="0"/>
          <w:sz w:val="24"/>
        </w:rPr>
      </w:pPr>
      <w:r>
        <w:rPr>
          <w:rFonts w:eastAsia="方正黑体_GBK"/>
          <w:color w:val="000000"/>
          <w:spacing w:val="-2"/>
          <w:kern w:val="0"/>
          <w:sz w:val="24"/>
        </w:rPr>
        <w:t xml:space="preserve">7  </w:t>
      </w:r>
      <w:r>
        <w:rPr>
          <w:rFonts w:hint="eastAsia" w:eastAsia="方正黑体_GBK"/>
          <w:color w:val="000000"/>
          <w:spacing w:val="-2"/>
          <w:kern w:val="0"/>
          <w:sz w:val="24"/>
        </w:rPr>
        <w:t>工程竣工验收监督</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7.1</w:t>
      </w:r>
      <w:r>
        <w:rPr>
          <w:rFonts w:hint="eastAsia" w:eastAsia="方正仿宋_GBK"/>
          <w:color w:val="000000"/>
          <w:spacing w:val="-2"/>
          <w:kern w:val="0"/>
          <w:sz w:val="24"/>
        </w:rPr>
        <w:t>工程竣工验收监督，是指监督机构依据工程建设有关法律、法规和技术标准等，对工程质量竣工验收活动进行的监督检查。</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7.2</w:t>
      </w:r>
      <w:r>
        <w:rPr>
          <w:rFonts w:hint="eastAsia" w:eastAsia="方正仿宋_GBK"/>
          <w:color w:val="000000"/>
          <w:spacing w:val="-2"/>
          <w:kern w:val="0"/>
          <w:sz w:val="24"/>
        </w:rPr>
        <w:t>工程竣工验收应符合下列条件：</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(1)</w:t>
      </w:r>
      <w:r>
        <w:rPr>
          <w:rFonts w:hint="eastAsia" w:eastAsia="方正仿宋_GBK"/>
          <w:color w:val="000000"/>
          <w:spacing w:val="-2"/>
          <w:kern w:val="0"/>
          <w:sz w:val="24"/>
        </w:rPr>
        <w:t>建设单位确认已完成工程设计和合同约定的各项内容（住宅工程已通过分户验收），法定建设程序符合要求，项目负责人审核签字完备。</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(2)</w:t>
      </w:r>
      <w:r>
        <w:rPr>
          <w:rFonts w:hint="eastAsia" w:eastAsia="方正仿宋_GBK"/>
          <w:color w:val="000000"/>
          <w:spacing w:val="-2"/>
          <w:kern w:val="0"/>
          <w:sz w:val="24"/>
        </w:rPr>
        <w:t>施工单位在工程完工后对工程质量进行了检查，确认工程质量符合有关法律、法规和工程建设强制性标准，符合设计文件及合同要求，并提出工程竣工报告。工程竣工报告应经项目经理和施工单位有关负责人审核签字。</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(3)</w:t>
      </w:r>
      <w:r>
        <w:rPr>
          <w:rFonts w:hint="eastAsia" w:eastAsia="方正仿宋_GBK"/>
          <w:color w:val="000000"/>
          <w:spacing w:val="-2"/>
          <w:kern w:val="0"/>
          <w:sz w:val="24"/>
        </w:rPr>
        <w:t>对于委托监理的工程项目，监理单位对工程进行了质量评估，具有完整的监理资料，并提出工程质量评估报告。工程质量评估报告应经总监理工程师和监理单位有关负责人审核签字。</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(4)</w:t>
      </w:r>
      <w:r>
        <w:rPr>
          <w:rFonts w:hint="eastAsia" w:eastAsia="方正仿宋_GBK"/>
          <w:color w:val="000000"/>
          <w:spacing w:val="-2"/>
          <w:kern w:val="0"/>
          <w:sz w:val="24"/>
        </w:rPr>
        <w:t>勘察、设计单位对勘察、设计文件及施工过程中由设计单位签署的设计变更通知书进行了检查，并提出质量检查报告。质量检查报告应经该项目勘察、设计负责人和勘察、设计单位有关负责人审核签字。</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(5)</w:t>
      </w:r>
      <w:r>
        <w:rPr>
          <w:rFonts w:hint="eastAsia" w:eastAsia="方正仿宋_GBK"/>
          <w:color w:val="000000"/>
          <w:spacing w:val="-2"/>
          <w:kern w:val="0"/>
          <w:sz w:val="24"/>
        </w:rPr>
        <w:t>建筑节能分部验收已符合要求。</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(6)</w:t>
      </w:r>
      <w:r>
        <w:rPr>
          <w:rFonts w:hint="eastAsia" w:eastAsia="方正仿宋_GBK"/>
          <w:color w:val="000000"/>
          <w:spacing w:val="-2"/>
          <w:kern w:val="0"/>
          <w:sz w:val="24"/>
        </w:rPr>
        <w:t>有完整的技术档案和施工管理资料。</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(7)</w:t>
      </w:r>
      <w:r>
        <w:rPr>
          <w:rFonts w:hint="eastAsia" w:eastAsia="方正仿宋_GBK"/>
          <w:color w:val="000000"/>
          <w:spacing w:val="-2"/>
          <w:kern w:val="0"/>
          <w:sz w:val="24"/>
        </w:rPr>
        <w:t>有施工单位签署的工程质量保修书。</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(8)</w:t>
      </w:r>
      <w:r>
        <w:rPr>
          <w:rFonts w:hint="eastAsia" w:eastAsia="方正仿宋_GBK"/>
          <w:color w:val="000000"/>
          <w:spacing w:val="-2"/>
          <w:kern w:val="0"/>
          <w:sz w:val="24"/>
        </w:rPr>
        <w:t>监督机构责令整改的问题全部整改完毕。</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(9)</w:t>
      </w:r>
      <w:r>
        <w:rPr>
          <w:rFonts w:hint="eastAsia" w:eastAsia="方正仿宋_GBK"/>
          <w:color w:val="000000"/>
          <w:spacing w:val="-2"/>
          <w:kern w:val="0"/>
          <w:sz w:val="24"/>
        </w:rPr>
        <w:t>有相关法规规定的认可文件或者准许使用文件。</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7.3</w:t>
      </w:r>
      <w:r>
        <w:rPr>
          <w:rFonts w:hint="eastAsia" w:eastAsia="方正仿宋_GBK"/>
          <w:color w:val="000000"/>
          <w:spacing w:val="-2"/>
          <w:kern w:val="0"/>
          <w:sz w:val="24"/>
        </w:rPr>
        <w:t>建设单位在组织工程竣工验收时，监督机构应对其验收活动实施监督，监督的重点是验收的组织形式、程序等，并对实体质量、相关资料和建筑物明显部位设置永久性标牌进行抽查。</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7.4</w:t>
      </w:r>
      <w:r>
        <w:rPr>
          <w:rFonts w:hint="eastAsia" w:eastAsia="方正仿宋_GBK"/>
          <w:color w:val="000000"/>
          <w:spacing w:val="-2"/>
          <w:kern w:val="0"/>
          <w:sz w:val="24"/>
        </w:rPr>
        <w:t>当参加验收各方对工程竣工验收意见一致时，监督机构应提出明确的验收监督意见，并做好验收监督记录；当参加验收各方对工程质量验收意见不一致时，应当协商提出解决的办法，待意见一致后，重新组织验收。</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7.5</w:t>
      </w:r>
      <w:r>
        <w:rPr>
          <w:rFonts w:hint="eastAsia" w:eastAsia="方正仿宋_GBK"/>
          <w:color w:val="000000"/>
          <w:spacing w:val="-2"/>
          <w:kern w:val="0"/>
          <w:sz w:val="24"/>
        </w:rPr>
        <w:t>监督机构如发现有违反工程质量管理规定行为、强制性标准的，应责令改正或要求整改后重新验收。</w:t>
      </w:r>
    </w:p>
    <w:p>
      <w:pPr>
        <w:spacing w:line="460" w:lineRule="exact"/>
        <w:ind w:firstLine="464" w:firstLineChars="200"/>
        <w:rPr>
          <w:rFonts w:eastAsia="方正仿宋_GBK"/>
          <w:color w:val="000000"/>
          <w:spacing w:val="-2"/>
          <w:kern w:val="0"/>
          <w:sz w:val="24"/>
        </w:rPr>
      </w:pPr>
    </w:p>
    <w:p>
      <w:pPr>
        <w:spacing w:line="460" w:lineRule="exact"/>
        <w:jc w:val="center"/>
        <w:rPr>
          <w:rFonts w:eastAsia="方正黑体_GBK"/>
          <w:color w:val="000000"/>
          <w:spacing w:val="-2"/>
          <w:kern w:val="0"/>
          <w:sz w:val="24"/>
        </w:rPr>
      </w:pPr>
      <w:r>
        <w:rPr>
          <w:rFonts w:eastAsia="方正黑体_GBK"/>
          <w:color w:val="000000"/>
          <w:spacing w:val="-2"/>
          <w:kern w:val="0"/>
          <w:sz w:val="24"/>
        </w:rPr>
        <w:t xml:space="preserve">8  </w:t>
      </w:r>
      <w:r>
        <w:rPr>
          <w:rFonts w:hint="eastAsia" w:eastAsia="方正黑体_GBK"/>
          <w:color w:val="000000"/>
          <w:spacing w:val="-2"/>
          <w:kern w:val="0"/>
          <w:sz w:val="24"/>
        </w:rPr>
        <w:t>工程质量监督报告</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8.1</w:t>
      </w:r>
      <w:r>
        <w:rPr>
          <w:rFonts w:hint="eastAsia" w:eastAsia="方正仿宋_GBK"/>
          <w:color w:val="000000"/>
          <w:spacing w:val="-2"/>
          <w:kern w:val="0"/>
          <w:sz w:val="24"/>
        </w:rPr>
        <w:t>工程质量监督报告（以下简称《监督报告》），是指工程质量竣工验收合格后，监督机构按规定要求向备案机关报送的工程项目监督抽查的综合性文件。</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8.2</w:t>
      </w:r>
      <w:r>
        <w:rPr>
          <w:rFonts w:hint="eastAsia" w:eastAsia="方正仿宋_GBK"/>
          <w:color w:val="000000"/>
          <w:spacing w:val="-2"/>
          <w:kern w:val="0"/>
          <w:sz w:val="24"/>
        </w:rPr>
        <w:t>监督机构应当在工程质量竣工验收合格之日起，</w:t>
      </w:r>
      <w:r>
        <w:rPr>
          <w:rFonts w:eastAsia="方正仿宋_GBK"/>
          <w:color w:val="000000"/>
          <w:spacing w:val="-2"/>
          <w:kern w:val="0"/>
          <w:sz w:val="24"/>
        </w:rPr>
        <w:t>5</w:t>
      </w:r>
      <w:r>
        <w:rPr>
          <w:rFonts w:hint="eastAsia" w:eastAsia="方正仿宋_GBK"/>
          <w:color w:val="000000"/>
          <w:spacing w:val="-2"/>
          <w:kern w:val="0"/>
          <w:sz w:val="24"/>
        </w:rPr>
        <w:t>日内向备案机关提交《监督报告》。</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8.3</w:t>
      </w:r>
      <w:r>
        <w:rPr>
          <w:rFonts w:hint="eastAsia" w:eastAsia="方正仿宋_GBK"/>
          <w:color w:val="000000"/>
          <w:spacing w:val="-2"/>
          <w:kern w:val="0"/>
          <w:sz w:val="24"/>
        </w:rPr>
        <w:t>《监督报告》应由该项目的监督人员组织编写，经有关负责人审查、站长签发，一式两份，加盖公章后，一份提交备案机关，另一份存档。</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8.4</w:t>
      </w:r>
      <w:r>
        <w:rPr>
          <w:rFonts w:hint="eastAsia" w:eastAsia="方正仿宋_GBK"/>
          <w:color w:val="000000"/>
          <w:spacing w:val="-2"/>
          <w:kern w:val="0"/>
          <w:sz w:val="24"/>
        </w:rPr>
        <w:t>《监督报告》应反映监督机构对工程质量的监督抽查情况、参建各方责任主体的质量行为及工程实体的质量状况，其主要内容：</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(1)</w:t>
      </w:r>
      <w:r>
        <w:rPr>
          <w:rFonts w:hint="eastAsia" w:eastAsia="方正仿宋_GBK"/>
          <w:color w:val="000000"/>
          <w:spacing w:val="-2"/>
          <w:kern w:val="0"/>
          <w:sz w:val="24"/>
        </w:rPr>
        <w:t>工程基本情况；</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(2)</w:t>
      </w:r>
      <w:r>
        <w:rPr>
          <w:rFonts w:hint="eastAsia" w:eastAsia="方正仿宋_GBK"/>
          <w:color w:val="000000"/>
          <w:spacing w:val="-2"/>
          <w:kern w:val="0"/>
          <w:sz w:val="24"/>
        </w:rPr>
        <w:t>参建各方责任主体质量行为监督抽查情况；</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(3)</w:t>
      </w:r>
      <w:r>
        <w:rPr>
          <w:rFonts w:hint="eastAsia" w:eastAsia="方正仿宋_GBK"/>
          <w:color w:val="000000"/>
          <w:spacing w:val="-2"/>
          <w:kern w:val="0"/>
          <w:sz w:val="24"/>
        </w:rPr>
        <w:t>工程实体质量抽查及监督抽测情况；</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(4)</w:t>
      </w:r>
      <w:r>
        <w:rPr>
          <w:rFonts w:hint="eastAsia" w:eastAsia="方正仿宋_GBK"/>
          <w:color w:val="000000"/>
          <w:spacing w:val="-2"/>
          <w:kern w:val="0"/>
          <w:sz w:val="24"/>
        </w:rPr>
        <w:t>工程质量控制资料及安全和功能检验资料抽查情况；</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(5)</w:t>
      </w:r>
      <w:r>
        <w:rPr>
          <w:rFonts w:hint="eastAsia" w:eastAsia="方正仿宋_GBK"/>
          <w:color w:val="000000"/>
          <w:spacing w:val="-2"/>
          <w:kern w:val="0"/>
          <w:sz w:val="24"/>
        </w:rPr>
        <w:t>工程质量事故（问题）整改处理监督情况；</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(6)</w:t>
      </w:r>
      <w:r>
        <w:rPr>
          <w:rFonts w:hint="eastAsia" w:eastAsia="方正仿宋_GBK"/>
          <w:color w:val="000000"/>
          <w:spacing w:val="-2"/>
          <w:kern w:val="0"/>
          <w:sz w:val="24"/>
        </w:rPr>
        <w:t>工程质量竣工验收监督意见；</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(7)</w:t>
      </w:r>
      <w:r>
        <w:rPr>
          <w:rFonts w:hint="eastAsia" w:eastAsia="方正仿宋_GBK"/>
          <w:color w:val="000000"/>
          <w:spacing w:val="-2"/>
          <w:kern w:val="0"/>
          <w:sz w:val="24"/>
        </w:rPr>
        <w:t>对工程遗留质量缺陷的监督意见。</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8.5</w:t>
      </w:r>
      <w:r>
        <w:rPr>
          <w:rFonts w:hint="eastAsia" w:eastAsia="方正仿宋_GBK"/>
          <w:color w:val="000000"/>
          <w:spacing w:val="-2"/>
          <w:kern w:val="0"/>
          <w:sz w:val="24"/>
        </w:rPr>
        <w:t>《监督报告》须采用全省统一文本格式。</w:t>
      </w:r>
    </w:p>
    <w:p>
      <w:pPr>
        <w:spacing w:line="460" w:lineRule="exact"/>
        <w:jc w:val="center"/>
        <w:rPr>
          <w:rFonts w:eastAsia="方正黑体_GBK"/>
          <w:color w:val="000000"/>
          <w:spacing w:val="-2"/>
          <w:kern w:val="0"/>
          <w:sz w:val="24"/>
        </w:rPr>
      </w:pPr>
      <w:r>
        <w:rPr>
          <w:rFonts w:eastAsia="方正黑体_GBK"/>
          <w:color w:val="000000"/>
          <w:spacing w:val="-2"/>
          <w:kern w:val="0"/>
          <w:sz w:val="24"/>
        </w:rPr>
        <w:t xml:space="preserve">9  </w:t>
      </w:r>
      <w:r>
        <w:rPr>
          <w:rFonts w:hint="eastAsia" w:eastAsia="方正黑体_GBK"/>
          <w:color w:val="000000"/>
          <w:spacing w:val="-2"/>
          <w:kern w:val="0"/>
          <w:sz w:val="24"/>
        </w:rPr>
        <w:t>工程质量监督档案管理</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9.1</w:t>
      </w:r>
      <w:r>
        <w:rPr>
          <w:rFonts w:hint="eastAsia" w:eastAsia="方正仿宋_GBK"/>
          <w:color w:val="000000"/>
          <w:spacing w:val="-2"/>
          <w:kern w:val="0"/>
          <w:sz w:val="24"/>
        </w:rPr>
        <w:t>工程质量监督档案，是指在工程建设活动中监督机构按照省质监总站统一制订的表式，所形成的能反映工程质量监督过程及结果的记录，包括文本档案与电子档案。</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9.2</w:t>
      </w:r>
      <w:r>
        <w:rPr>
          <w:rFonts w:hint="eastAsia" w:eastAsia="方正仿宋_GBK"/>
          <w:color w:val="000000"/>
          <w:spacing w:val="-2"/>
          <w:kern w:val="0"/>
          <w:sz w:val="24"/>
        </w:rPr>
        <w:t>工程质量监督档案主要内容如下：</w:t>
      </w:r>
    </w:p>
    <w:p>
      <w:pPr>
        <w:spacing w:line="460" w:lineRule="exact"/>
        <w:ind w:firstLine="464" w:firstLineChars="200"/>
        <w:rPr>
          <w:rFonts w:eastAsia="方正仿宋_GBK"/>
          <w:color w:val="000000"/>
          <w:spacing w:val="-2"/>
          <w:kern w:val="0"/>
          <w:sz w:val="24"/>
        </w:rPr>
      </w:pPr>
      <w:r>
        <w:rPr>
          <w:rFonts w:hint="eastAsia" w:eastAsia="方正仿宋_GBK"/>
          <w:color w:val="000000"/>
          <w:spacing w:val="-2"/>
          <w:kern w:val="0"/>
          <w:sz w:val="24"/>
        </w:rPr>
        <w:t>工程质量监督申报表，工程质量监督通知书，工程质量监督工作计划，工程质量行为资料抽查记录，工程质量行为抽查记录，工程实体质量抽查记录，工程实体质量抽测记录，建筑节能分部验收抽查记录，住宅工程质量分户验收抽查记录，工程质量监督抽查整改通知书，工程局部停工（暂停）通知书，工程复工通知书，工程质量事故（问题）处理的有关资料，工程质量申请行政处罚报告，工程竣工验收记录，工程竣工验收监督记录，工程质量监督报告，需要保存的其它文件、资料、图片汇总表。</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9.3</w:t>
      </w:r>
      <w:r>
        <w:rPr>
          <w:rFonts w:hint="eastAsia" w:eastAsia="方正仿宋_GBK"/>
          <w:color w:val="000000"/>
          <w:spacing w:val="-2"/>
          <w:kern w:val="0"/>
          <w:sz w:val="24"/>
        </w:rPr>
        <w:t>监督机构每年定期将工程质量监督信息数据备份，并刻录到光盘或其它存储介质上，形成工程质量监督电子档案。</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9.4</w:t>
      </w:r>
      <w:r>
        <w:rPr>
          <w:rFonts w:hint="eastAsia" w:eastAsia="方正仿宋_GBK"/>
          <w:color w:val="000000"/>
          <w:spacing w:val="-2"/>
          <w:kern w:val="0"/>
          <w:sz w:val="24"/>
        </w:rPr>
        <w:t>工程质量监督档案应随工程进度及时整理、归档。</w:t>
      </w:r>
    </w:p>
    <w:p>
      <w:pPr>
        <w:spacing w:line="460" w:lineRule="exact"/>
        <w:ind w:firstLine="464" w:firstLineChars="200"/>
        <w:outlineLvl w:val="0"/>
        <w:rPr>
          <w:rFonts w:eastAsia="方正仿宋_GBK"/>
          <w:color w:val="000000"/>
          <w:spacing w:val="-2"/>
          <w:kern w:val="0"/>
          <w:sz w:val="24"/>
        </w:rPr>
      </w:pPr>
      <w:bookmarkStart w:id="765" w:name="_Toc20726569"/>
      <w:bookmarkStart w:id="766" w:name="_Toc20668040"/>
      <w:bookmarkStart w:id="767" w:name="_Toc18315710"/>
      <w:r>
        <w:rPr>
          <w:rFonts w:eastAsia="方正仿宋_GBK"/>
          <w:color w:val="000000"/>
          <w:spacing w:val="-2"/>
          <w:kern w:val="0"/>
          <w:sz w:val="24"/>
        </w:rPr>
        <w:t xml:space="preserve">9.4.1 </w:t>
      </w:r>
      <w:r>
        <w:rPr>
          <w:rFonts w:hint="eastAsia" w:eastAsia="方正仿宋_GBK"/>
          <w:color w:val="000000"/>
          <w:spacing w:val="-2"/>
          <w:kern w:val="0"/>
          <w:sz w:val="24"/>
        </w:rPr>
        <w:t>工程质量监督档案文件的归档要求：</w:t>
      </w:r>
      <w:bookmarkEnd w:id="765"/>
      <w:bookmarkEnd w:id="766"/>
      <w:bookmarkEnd w:id="767"/>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(1)</w:t>
      </w:r>
      <w:r>
        <w:rPr>
          <w:rFonts w:hint="eastAsia" w:eastAsia="方正仿宋_GBK"/>
          <w:color w:val="000000"/>
          <w:spacing w:val="-2"/>
          <w:kern w:val="0"/>
          <w:sz w:val="24"/>
        </w:rPr>
        <w:t>归档文件应为原件，必须真实、准确；</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(2)</w:t>
      </w:r>
      <w:r>
        <w:rPr>
          <w:rFonts w:hint="eastAsia" w:eastAsia="方正仿宋_GBK"/>
          <w:color w:val="000000"/>
          <w:spacing w:val="-2"/>
          <w:kern w:val="0"/>
          <w:sz w:val="24"/>
        </w:rPr>
        <w:t>归档文件应采用耐久性强的书写材料，不得使用易褪色的书写材料；</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(3)</w:t>
      </w:r>
      <w:r>
        <w:rPr>
          <w:rFonts w:hint="eastAsia" w:eastAsia="方正仿宋_GBK"/>
          <w:color w:val="000000"/>
          <w:spacing w:val="-2"/>
          <w:kern w:val="0"/>
          <w:sz w:val="24"/>
        </w:rPr>
        <w:t>归档文件字迹清楚、签字盖章手续完备；</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(4)</w:t>
      </w:r>
      <w:r>
        <w:rPr>
          <w:rFonts w:hint="eastAsia" w:eastAsia="方正仿宋_GBK"/>
          <w:color w:val="000000"/>
          <w:spacing w:val="-2"/>
          <w:kern w:val="0"/>
          <w:sz w:val="24"/>
        </w:rPr>
        <w:t>归档文件中文字材料幅面尺寸规格宜为</w:t>
      </w:r>
      <w:r>
        <w:rPr>
          <w:rFonts w:eastAsia="方正仿宋_GBK"/>
          <w:color w:val="000000"/>
          <w:spacing w:val="-2"/>
          <w:kern w:val="0"/>
          <w:sz w:val="24"/>
        </w:rPr>
        <w:t>A4</w:t>
      </w:r>
      <w:r>
        <w:rPr>
          <w:rFonts w:hint="eastAsia" w:eastAsia="方正仿宋_GBK"/>
          <w:color w:val="000000"/>
          <w:spacing w:val="-2"/>
          <w:kern w:val="0"/>
          <w:sz w:val="24"/>
        </w:rPr>
        <w:t>幅面（</w:t>
      </w:r>
      <w:r>
        <w:rPr>
          <w:rFonts w:eastAsia="方正仿宋_GBK"/>
          <w:color w:val="000000"/>
          <w:spacing w:val="-2"/>
          <w:kern w:val="0"/>
          <w:sz w:val="24"/>
        </w:rPr>
        <w:t>297mm×210mm</w:t>
      </w:r>
      <w:r>
        <w:rPr>
          <w:rFonts w:hint="eastAsia" w:eastAsia="方正仿宋_GBK"/>
          <w:color w:val="000000"/>
          <w:spacing w:val="-2"/>
          <w:kern w:val="0"/>
          <w:sz w:val="24"/>
        </w:rPr>
        <w:t>），图纸宜采用国家标准图幅。卷内文件页号应符合下列规定：</w:t>
      </w:r>
    </w:p>
    <w:p>
      <w:pPr>
        <w:spacing w:line="460" w:lineRule="exact"/>
        <w:ind w:firstLine="464" w:firstLineChars="200"/>
        <w:rPr>
          <w:rFonts w:eastAsia="方正仿宋_GBK"/>
          <w:color w:val="000000"/>
          <w:spacing w:val="-2"/>
          <w:kern w:val="0"/>
          <w:sz w:val="24"/>
        </w:rPr>
      </w:pPr>
      <w:r>
        <w:rPr>
          <w:rFonts w:hint="eastAsia" w:ascii="Times New Roman" w:hAnsi="Times New Roman" w:cs="宋体"/>
          <w:color w:val="000000"/>
          <w:spacing w:val="-2"/>
          <w:kern w:val="0"/>
          <w:sz w:val="24"/>
        </w:rPr>
        <w:t>①</w:t>
      </w:r>
      <w:r>
        <w:rPr>
          <w:rFonts w:hint="eastAsia" w:eastAsia="方正仿宋_GBK"/>
          <w:color w:val="000000"/>
          <w:spacing w:val="-2"/>
          <w:kern w:val="0"/>
          <w:sz w:val="24"/>
        </w:rPr>
        <w:t>卷内文件按有书写内容的页面编号，每卷单独编号，页号从</w:t>
      </w:r>
      <w:r>
        <w:rPr>
          <w:rFonts w:eastAsia="方正仿宋_GBK"/>
          <w:color w:val="000000"/>
          <w:spacing w:val="-2"/>
          <w:kern w:val="0"/>
          <w:sz w:val="24"/>
        </w:rPr>
        <w:t>“1”</w:t>
      </w:r>
      <w:r>
        <w:rPr>
          <w:rFonts w:hint="eastAsia" w:eastAsia="方正仿宋_GBK"/>
          <w:color w:val="000000"/>
          <w:spacing w:val="-2"/>
          <w:kern w:val="0"/>
          <w:sz w:val="24"/>
        </w:rPr>
        <w:t>开始；</w:t>
      </w:r>
    </w:p>
    <w:p>
      <w:pPr>
        <w:spacing w:line="460" w:lineRule="exact"/>
        <w:ind w:firstLine="464" w:firstLineChars="200"/>
        <w:rPr>
          <w:rFonts w:eastAsia="方正仿宋_GBK"/>
          <w:color w:val="000000"/>
          <w:spacing w:val="-2"/>
          <w:kern w:val="0"/>
          <w:sz w:val="24"/>
        </w:rPr>
      </w:pPr>
      <w:r>
        <w:rPr>
          <w:rFonts w:hint="eastAsia" w:ascii="Times New Roman" w:hAnsi="Times New Roman" w:cs="宋体"/>
          <w:color w:val="000000"/>
          <w:spacing w:val="-2"/>
          <w:kern w:val="0"/>
          <w:sz w:val="24"/>
        </w:rPr>
        <w:t>②</w:t>
      </w:r>
      <w:r>
        <w:rPr>
          <w:rFonts w:hint="eastAsia" w:eastAsia="方正仿宋_GBK"/>
          <w:color w:val="000000"/>
          <w:spacing w:val="-2"/>
          <w:kern w:val="0"/>
          <w:sz w:val="24"/>
        </w:rPr>
        <w:t>页号编写的位置：单面书写的文件在右下角，双面书写的文件，正面在右下角，背面左下角，折叠的图纸一律在右下角。</w:t>
      </w:r>
    </w:p>
    <w:p>
      <w:pPr>
        <w:spacing w:line="460" w:lineRule="exact"/>
        <w:ind w:firstLine="464" w:firstLineChars="200"/>
        <w:rPr>
          <w:rFonts w:eastAsia="方正仿宋_GBK"/>
          <w:color w:val="000000"/>
          <w:spacing w:val="-2"/>
          <w:kern w:val="0"/>
          <w:sz w:val="24"/>
        </w:rPr>
      </w:pPr>
      <w:r>
        <w:rPr>
          <w:rFonts w:hint="eastAsia" w:ascii="Times New Roman" w:hAnsi="Times New Roman" w:cs="宋体"/>
          <w:color w:val="000000"/>
          <w:spacing w:val="-2"/>
          <w:kern w:val="0"/>
          <w:sz w:val="24"/>
        </w:rPr>
        <w:t>③</w:t>
      </w:r>
      <w:r>
        <w:rPr>
          <w:rFonts w:hint="eastAsia" w:eastAsia="方正仿宋_GBK"/>
          <w:color w:val="000000"/>
          <w:spacing w:val="-2"/>
          <w:kern w:val="0"/>
          <w:sz w:val="24"/>
        </w:rPr>
        <w:t>案卷封面、卷内目录、卷内备考表不编写页号。</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 xml:space="preserve">9.4.2 </w:t>
      </w:r>
      <w:r>
        <w:rPr>
          <w:rFonts w:hint="eastAsia" w:eastAsia="方正仿宋_GBK"/>
          <w:color w:val="000000"/>
          <w:spacing w:val="-2"/>
          <w:kern w:val="0"/>
          <w:sz w:val="24"/>
        </w:rPr>
        <w:t>案卷文字材料必须装订，既有文字材料又有图纸的案卷应装订，装订应采用线绳三孔左侧装订法，要整齐牢固，便于保管和利用。</w:t>
      </w:r>
    </w:p>
    <w:p>
      <w:pPr>
        <w:spacing w:line="460" w:lineRule="exact"/>
        <w:ind w:firstLine="464" w:firstLineChars="200"/>
        <w:outlineLvl w:val="0"/>
        <w:rPr>
          <w:rFonts w:eastAsia="方正仿宋_GBK"/>
          <w:color w:val="000000"/>
          <w:spacing w:val="-2"/>
          <w:kern w:val="0"/>
          <w:sz w:val="24"/>
        </w:rPr>
      </w:pPr>
      <w:bookmarkStart w:id="768" w:name="_Toc20726570"/>
      <w:bookmarkStart w:id="769" w:name="_Toc20668041"/>
      <w:bookmarkStart w:id="770" w:name="_Toc18315711"/>
      <w:r>
        <w:rPr>
          <w:rFonts w:eastAsia="方正仿宋_GBK"/>
          <w:color w:val="000000"/>
          <w:spacing w:val="-2"/>
          <w:kern w:val="0"/>
          <w:sz w:val="24"/>
        </w:rPr>
        <w:t xml:space="preserve">9.4.3 </w:t>
      </w:r>
      <w:r>
        <w:rPr>
          <w:rFonts w:hint="eastAsia" w:eastAsia="方正仿宋_GBK"/>
          <w:color w:val="000000"/>
          <w:spacing w:val="-2"/>
          <w:kern w:val="0"/>
          <w:sz w:val="24"/>
        </w:rPr>
        <w:t>案卷装具一般采用卷盒、卷夹两种形式：</w:t>
      </w:r>
      <w:bookmarkEnd w:id="768"/>
      <w:bookmarkEnd w:id="769"/>
      <w:bookmarkEnd w:id="770"/>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(1)</w:t>
      </w:r>
      <w:r>
        <w:rPr>
          <w:rFonts w:hint="eastAsia" w:eastAsia="方正仿宋_GBK"/>
          <w:color w:val="000000"/>
          <w:spacing w:val="-2"/>
          <w:kern w:val="0"/>
          <w:sz w:val="24"/>
        </w:rPr>
        <w:t>卷盒的外表尺寸为</w:t>
      </w:r>
      <w:r>
        <w:rPr>
          <w:rFonts w:eastAsia="方正仿宋_GBK"/>
          <w:color w:val="000000"/>
          <w:spacing w:val="-2"/>
          <w:kern w:val="0"/>
          <w:sz w:val="24"/>
        </w:rPr>
        <w:t>310mm×220mm</w:t>
      </w:r>
      <w:r>
        <w:rPr>
          <w:rFonts w:hint="eastAsia" w:eastAsia="方正仿宋_GBK"/>
          <w:color w:val="000000"/>
          <w:spacing w:val="-2"/>
          <w:kern w:val="0"/>
          <w:sz w:val="24"/>
        </w:rPr>
        <w:t>，</w:t>
      </w:r>
      <w:r>
        <w:rPr>
          <w:rFonts w:eastAsia="方正仿宋_GBK"/>
          <w:color w:val="000000"/>
          <w:spacing w:val="-2"/>
          <w:kern w:val="0"/>
          <w:sz w:val="24"/>
        </w:rPr>
        <w:t xml:space="preserve"> </w:t>
      </w:r>
      <w:r>
        <w:rPr>
          <w:rFonts w:hint="eastAsia" w:eastAsia="方正仿宋_GBK"/>
          <w:color w:val="000000"/>
          <w:spacing w:val="-2"/>
          <w:kern w:val="0"/>
          <w:sz w:val="24"/>
        </w:rPr>
        <w:t>厚度分别为</w:t>
      </w:r>
      <w:r>
        <w:rPr>
          <w:rFonts w:eastAsia="方正仿宋_GBK"/>
          <w:color w:val="000000"/>
          <w:spacing w:val="-2"/>
          <w:kern w:val="0"/>
          <w:sz w:val="24"/>
        </w:rPr>
        <w:t>20</w:t>
      </w:r>
      <w:r>
        <w:rPr>
          <w:rFonts w:hint="eastAsia" w:eastAsia="方正仿宋_GBK"/>
          <w:color w:val="000000"/>
          <w:spacing w:val="-2"/>
          <w:kern w:val="0"/>
          <w:sz w:val="24"/>
        </w:rPr>
        <w:t>、</w:t>
      </w:r>
      <w:r>
        <w:rPr>
          <w:rFonts w:eastAsia="方正仿宋_GBK"/>
          <w:color w:val="000000"/>
          <w:spacing w:val="-2"/>
          <w:kern w:val="0"/>
          <w:sz w:val="24"/>
        </w:rPr>
        <w:t>30</w:t>
      </w:r>
      <w:r>
        <w:rPr>
          <w:rFonts w:hint="eastAsia" w:eastAsia="方正仿宋_GBK"/>
          <w:color w:val="000000"/>
          <w:spacing w:val="-2"/>
          <w:kern w:val="0"/>
          <w:sz w:val="24"/>
        </w:rPr>
        <w:t>、</w:t>
      </w:r>
      <w:r>
        <w:rPr>
          <w:rFonts w:eastAsia="方正仿宋_GBK"/>
          <w:color w:val="000000"/>
          <w:spacing w:val="-2"/>
          <w:kern w:val="0"/>
          <w:sz w:val="24"/>
        </w:rPr>
        <w:t>40</w:t>
      </w:r>
      <w:r>
        <w:rPr>
          <w:rFonts w:hint="eastAsia" w:eastAsia="方正仿宋_GBK"/>
          <w:color w:val="000000"/>
          <w:spacing w:val="-2"/>
          <w:kern w:val="0"/>
          <w:sz w:val="24"/>
        </w:rPr>
        <w:t>、</w:t>
      </w:r>
      <w:r>
        <w:rPr>
          <w:rFonts w:eastAsia="方正仿宋_GBK"/>
          <w:color w:val="000000"/>
          <w:spacing w:val="-2"/>
          <w:kern w:val="0"/>
          <w:sz w:val="24"/>
        </w:rPr>
        <w:t>50mm</w:t>
      </w:r>
      <w:r>
        <w:rPr>
          <w:rFonts w:hint="eastAsia" w:eastAsia="方正仿宋_GBK"/>
          <w:color w:val="000000"/>
          <w:spacing w:val="-2"/>
          <w:kern w:val="0"/>
          <w:sz w:val="24"/>
        </w:rPr>
        <w:t>。</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(2)</w:t>
      </w:r>
      <w:r>
        <w:rPr>
          <w:rFonts w:hint="eastAsia" w:eastAsia="方正仿宋_GBK"/>
          <w:color w:val="000000"/>
          <w:spacing w:val="-2"/>
          <w:kern w:val="0"/>
          <w:sz w:val="24"/>
        </w:rPr>
        <w:t>卷夹的外表尺寸为</w:t>
      </w:r>
      <w:r>
        <w:rPr>
          <w:rFonts w:eastAsia="方正仿宋_GBK"/>
          <w:color w:val="000000"/>
          <w:spacing w:val="-2"/>
          <w:kern w:val="0"/>
          <w:sz w:val="24"/>
        </w:rPr>
        <w:t>310mm×220mm</w:t>
      </w:r>
      <w:r>
        <w:rPr>
          <w:rFonts w:hint="eastAsia" w:eastAsia="方正仿宋_GBK"/>
          <w:color w:val="000000"/>
          <w:spacing w:val="-2"/>
          <w:kern w:val="0"/>
          <w:sz w:val="24"/>
        </w:rPr>
        <w:t>。</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9.5</w:t>
      </w:r>
      <w:r>
        <w:rPr>
          <w:rFonts w:hint="eastAsia" w:eastAsia="方正仿宋_GBK"/>
          <w:color w:val="000000"/>
          <w:spacing w:val="-2"/>
          <w:kern w:val="0"/>
          <w:sz w:val="24"/>
        </w:rPr>
        <w:t>工程质量监督档案的验收与移交</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9.5.1</w:t>
      </w:r>
      <w:r>
        <w:rPr>
          <w:rFonts w:hint="eastAsia" w:eastAsia="方正仿宋_GBK"/>
          <w:color w:val="000000"/>
          <w:spacing w:val="-2"/>
          <w:kern w:val="0"/>
          <w:sz w:val="24"/>
        </w:rPr>
        <w:t>工程质量监督档案由监督人员负责整理，监督机构有关负责人审核、检查，符合要求后向档案管理人员移交。</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9.5.2</w:t>
      </w:r>
      <w:r>
        <w:rPr>
          <w:rFonts w:hint="eastAsia" w:eastAsia="方正仿宋_GBK"/>
          <w:color w:val="000000"/>
          <w:spacing w:val="-2"/>
          <w:kern w:val="0"/>
          <w:sz w:val="24"/>
        </w:rPr>
        <w:t>监督机构应建立工程质量监督归档台账和档案室，档案室应符合档案存放、保管的要求，确保档案保存的质量。</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9.6</w:t>
      </w:r>
      <w:r>
        <w:rPr>
          <w:rFonts w:hint="eastAsia" w:eastAsia="方正仿宋_GBK"/>
          <w:color w:val="000000"/>
          <w:spacing w:val="-2"/>
          <w:kern w:val="0"/>
          <w:sz w:val="24"/>
        </w:rPr>
        <w:t>工程质量监督档案保存的期限：文本档案和电子档案保存的期限均为长期。</w:t>
      </w:r>
    </w:p>
    <w:p>
      <w:pPr>
        <w:spacing w:line="460" w:lineRule="exact"/>
        <w:jc w:val="center"/>
        <w:rPr>
          <w:rFonts w:eastAsia="方正黑体_GBK"/>
          <w:color w:val="000000"/>
          <w:spacing w:val="-2"/>
          <w:kern w:val="0"/>
          <w:sz w:val="24"/>
        </w:rPr>
      </w:pPr>
      <w:r>
        <w:rPr>
          <w:rFonts w:eastAsia="方正黑体_GBK"/>
          <w:color w:val="000000"/>
          <w:spacing w:val="-2"/>
          <w:kern w:val="0"/>
          <w:sz w:val="24"/>
        </w:rPr>
        <w:t xml:space="preserve">10  </w:t>
      </w:r>
      <w:r>
        <w:rPr>
          <w:rFonts w:hint="eastAsia" w:eastAsia="方正黑体_GBK"/>
          <w:color w:val="000000"/>
          <w:spacing w:val="-2"/>
          <w:kern w:val="0"/>
          <w:sz w:val="24"/>
        </w:rPr>
        <w:t>工程质量监督信息管理</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10.1</w:t>
      </w:r>
      <w:r>
        <w:rPr>
          <w:rFonts w:hint="eastAsia" w:eastAsia="方正仿宋_GBK"/>
          <w:color w:val="000000"/>
          <w:spacing w:val="-2"/>
          <w:kern w:val="0"/>
          <w:sz w:val="24"/>
        </w:rPr>
        <w:t>工程质量监督信息管理，是指监督机构利用计算机和网络技术，对所辖区域内的工程质量监督信息实行科学管理的活动。</w:t>
      </w:r>
    </w:p>
    <w:p>
      <w:pPr>
        <w:spacing w:line="460" w:lineRule="exact"/>
        <w:ind w:firstLine="464" w:firstLineChars="200"/>
        <w:rPr>
          <w:rFonts w:eastAsia="方正仿宋_GBK"/>
          <w:color w:val="000000"/>
          <w:spacing w:val="-2"/>
          <w:kern w:val="0"/>
          <w:sz w:val="24"/>
        </w:rPr>
      </w:pPr>
      <w:r>
        <w:rPr>
          <w:rFonts w:eastAsia="方正仿宋_GBK"/>
          <w:color w:val="000000"/>
          <w:spacing w:val="-2"/>
          <w:kern w:val="0"/>
          <w:sz w:val="24"/>
        </w:rPr>
        <w:t>10.2</w:t>
      </w:r>
      <w:r>
        <w:rPr>
          <w:rFonts w:hint="eastAsia" w:eastAsia="方正仿宋_GBK"/>
          <w:color w:val="000000"/>
          <w:spacing w:val="-2"/>
          <w:kern w:val="0"/>
          <w:sz w:val="24"/>
        </w:rPr>
        <w:t>工程质量监督信息管理的一般规定：</w:t>
      </w:r>
    </w:p>
    <w:p>
      <w:pPr>
        <w:spacing w:line="460" w:lineRule="exact"/>
        <w:ind w:firstLine="464" w:firstLineChars="200"/>
        <w:outlineLvl w:val="0"/>
        <w:rPr>
          <w:rFonts w:eastAsia="方正仿宋_GBK"/>
          <w:color w:val="000000"/>
          <w:spacing w:val="-2"/>
          <w:kern w:val="0"/>
          <w:sz w:val="24"/>
        </w:rPr>
      </w:pPr>
      <w:bookmarkStart w:id="771" w:name="_Toc18315712"/>
      <w:bookmarkStart w:id="772" w:name="_Toc20726571"/>
      <w:bookmarkStart w:id="773" w:name="_Toc20668042"/>
      <w:r>
        <w:rPr>
          <w:rFonts w:eastAsia="方正仿宋_GBK"/>
          <w:color w:val="000000"/>
          <w:spacing w:val="-2"/>
          <w:kern w:val="0"/>
          <w:sz w:val="24"/>
        </w:rPr>
        <w:t>10.2.1</w:t>
      </w:r>
      <w:r>
        <w:rPr>
          <w:rFonts w:hint="eastAsia" w:eastAsia="方正仿宋_GBK"/>
          <w:color w:val="000000"/>
          <w:spacing w:val="-2"/>
          <w:kern w:val="0"/>
          <w:sz w:val="24"/>
        </w:rPr>
        <w:t>监督机构应建立完整的信息化管理制度，保障信息系统的正常运行与安全。</w:t>
      </w:r>
      <w:bookmarkEnd w:id="771"/>
      <w:bookmarkEnd w:id="772"/>
      <w:bookmarkEnd w:id="773"/>
    </w:p>
    <w:p>
      <w:pPr>
        <w:spacing w:line="460" w:lineRule="exact"/>
        <w:ind w:firstLine="522" w:firstLineChars="225"/>
        <w:rPr>
          <w:rFonts w:eastAsia="方正仿宋_GBK"/>
          <w:color w:val="000000"/>
          <w:spacing w:val="-2"/>
          <w:kern w:val="0"/>
          <w:sz w:val="24"/>
        </w:rPr>
      </w:pPr>
      <w:r>
        <w:rPr>
          <w:rFonts w:eastAsia="方正仿宋_GBK"/>
          <w:color w:val="000000"/>
          <w:spacing w:val="-2"/>
          <w:kern w:val="0"/>
          <w:sz w:val="24"/>
        </w:rPr>
        <w:t>10.2.2</w:t>
      </w:r>
      <w:r>
        <w:rPr>
          <w:rFonts w:hint="eastAsia" w:eastAsia="方正仿宋_GBK"/>
          <w:color w:val="000000"/>
          <w:spacing w:val="-2"/>
          <w:kern w:val="0"/>
          <w:sz w:val="24"/>
        </w:rPr>
        <w:t>工程质量监督信息的收集，应真实、准确、及时，便于分析统计查阅。</w:t>
      </w:r>
    </w:p>
    <w:p>
      <w:pPr>
        <w:spacing w:line="460" w:lineRule="exact"/>
        <w:ind w:firstLine="522" w:firstLineChars="225"/>
        <w:outlineLvl w:val="0"/>
        <w:rPr>
          <w:rFonts w:eastAsia="方正仿宋_GBK"/>
          <w:color w:val="000000"/>
          <w:spacing w:val="-2"/>
          <w:kern w:val="0"/>
          <w:sz w:val="24"/>
        </w:rPr>
      </w:pPr>
      <w:bookmarkStart w:id="774" w:name="_Toc20668043"/>
      <w:bookmarkStart w:id="775" w:name="_Toc20726572"/>
      <w:bookmarkStart w:id="776" w:name="_Toc18315713"/>
      <w:r>
        <w:rPr>
          <w:rFonts w:eastAsia="方正仿宋_GBK"/>
          <w:color w:val="000000"/>
          <w:spacing w:val="-2"/>
          <w:kern w:val="0"/>
          <w:sz w:val="24"/>
        </w:rPr>
        <w:t>10.2.3</w:t>
      </w:r>
      <w:r>
        <w:rPr>
          <w:rFonts w:hint="eastAsia" w:eastAsia="方正仿宋_GBK"/>
          <w:color w:val="000000"/>
          <w:spacing w:val="-2"/>
          <w:kern w:val="0"/>
          <w:sz w:val="24"/>
        </w:rPr>
        <w:t>工程质量监督信息系统的硬件环境要求：</w:t>
      </w:r>
      <w:bookmarkEnd w:id="774"/>
      <w:bookmarkEnd w:id="775"/>
      <w:bookmarkEnd w:id="776"/>
    </w:p>
    <w:p>
      <w:pPr>
        <w:spacing w:line="460" w:lineRule="exact"/>
        <w:ind w:firstLine="522" w:firstLineChars="225"/>
        <w:rPr>
          <w:rFonts w:eastAsia="方正仿宋_GBK"/>
          <w:color w:val="000000"/>
          <w:spacing w:val="-2"/>
          <w:kern w:val="0"/>
          <w:sz w:val="24"/>
        </w:rPr>
      </w:pPr>
      <w:r>
        <w:rPr>
          <w:rFonts w:hint="eastAsia" w:eastAsia="方正仿宋_GBK"/>
          <w:color w:val="000000"/>
          <w:spacing w:val="-2"/>
          <w:kern w:val="0"/>
          <w:sz w:val="24"/>
        </w:rPr>
        <w:t>监督机构应设立相应网站，并配置相应的服务器等网络及通讯设备。</w:t>
      </w:r>
    </w:p>
    <w:p>
      <w:pPr>
        <w:spacing w:line="460" w:lineRule="exact"/>
        <w:ind w:firstLine="522" w:firstLineChars="225"/>
        <w:rPr>
          <w:rFonts w:eastAsia="方正仿宋_GBK"/>
          <w:color w:val="000000"/>
          <w:spacing w:val="-2"/>
          <w:kern w:val="0"/>
          <w:sz w:val="24"/>
        </w:rPr>
      </w:pPr>
      <w:r>
        <w:rPr>
          <w:rFonts w:eastAsia="方正仿宋_GBK"/>
          <w:color w:val="000000"/>
          <w:spacing w:val="-2"/>
          <w:kern w:val="0"/>
          <w:sz w:val="24"/>
        </w:rPr>
        <w:t>10.2.4</w:t>
      </w:r>
      <w:r>
        <w:rPr>
          <w:rFonts w:hint="eastAsia" w:eastAsia="方正仿宋_GBK"/>
          <w:color w:val="000000"/>
          <w:spacing w:val="-2"/>
          <w:kern w:val="0"/>
          <w:sz w:val="24"/>
        </w:rPr>
        <w:t>工程质量监督信息系统的软件环境要求：</w:t>
      </w:r>
    </w:p>
    <w:p>
      <w:pPr>
        <w:spacing w:line="460" w:lineRule="exact"/>
        <w:ind w:firstLine="522" w:firstLineChars="225"/>
        <w:rPr>
          <w:rFonts w:eastAsia="方正仿宋_GBK"/>
          <w:color w:val="000000"/>
          <w:spacing w:val="-2"/>
          <w:kern w:val="0"/>
          <w:sz w:val="24"/>
        </w:rPr>
      </w:pPr>
      <w:r>
        <w:rPr>
          <w:rFonts w:hint="eastAsia" w:eastAsia="方正仿宋_GBK"/>
          <w:color w:val="000000"/>
          <w:spacing w:val="-2"/>
          <w:kern w:val="0"/>
          <w:sz w:val="24"/>
        </w:rPr>
        <w:t>监督机构应建立工程质量监督业务信息系统，该系统须满足质量监督管理模式、监督档案、监督流程及监督机构内部管理的需要。</w:t>
      </w:r>
    </w:p>
    <w:p>
      <w:pPr>
        <w:spacing w:line="460" w:lineRule="exact"/>
        <w:ind w:firstLine="522" w:firstLineChars="225"/>
        <w:outlineLvl w:val="0"/>
        <w:rPr>
          <w:rFonts w:eastAsia="方正仿宋_GBK"/>
          <w:color w:val="000000"/>
          <w:spacing w:val="-2"/>
          <w:kern w:val="0"/>
          <w:sz w:val="24"/>
        </w:rPr>
      </w:pPr>
      <w:bookmarkStart w:id="777" w:name="_Toc20668044"/>
      <w:bookmarkStart w:id="778" w:name="_Toc20726573"/>
      <w:bookmarkStart w:id="779" w:name="_Toc18315714"/>
      <w:r>
        <w:rPr>
          <w:rFonts w:eastAsia="方正仿宋_GBK"/>
          <w:color w:val="000000"/>
          <w:spacing w:val="-2"/>
          <w:kern w:val="0"/>
          <w:sz w:val="24"/>
        </w:rPr>
        <w:t>10.2.5</w:t>
      </w:r>
      <w:r>
        <w:rPr>
          <w:rFonts w:hint="eastAsia" w:eastAsia="方正仿宋_GBK"/>
          <w:color w:val="000000"/>
          <w:spacing w:val="-2"/>
          <w:kern w:val="0"/>
          <w:sz w:val="24"/>
        </w:rPr>
        <w:t>工程质量监督信息系统管理人员的要求：</w:t>
      </w:r>
      <w:bookmarkEnd w:id="777"/>
      <w:bookmarkEnd w:id="778"/>
      <w:bookmarkEnd w:id="779"/>
    </w:p>
    <w:p>
      <w:pPr>
        <w:spacing w:line="460" w:lineRule="exact"/>
        <w:ind w:firstLine="522" w:firstLineChars="225"/>
        <w:rPr>
          <w:rFonts w:eastAsia="方正仿宋_GBK"/>
          <w:color w:val="000000"/>
          <w:spacing w:val="-2"/>
          <w:kern w:val="0"/>
          <w:sz w:val="24"/>
        </w:rPr>
      </w:pPr>
      <w:r>
        <w:rPr>
          <w:rFonts w:eastAsia="方正仿宋_GBK"/>
          <w:color w:val="000000"/>
          <w:spacing w:val="-2"/>
          <w:kern w:val="0"/>
          <w:sz w:val="24"/>
        </w:rPr>
        <w:t>(1)</w:t>
      </w:r>
      <w:r>
        <w:rPr>
          <w:rFonts w:hint="eastAsia" w:eastAsia="方正仿宋_GBK"/>
          <w:color w:val="000000"/>
          <w:spacing w:val="-2"/>
          <w:kern w:val="0"/>
          <w:sz w:val="24"/>
        </w:rPr>
        <w:t>省辖市的监督机构应设立专业的网络管理员；县</w:t>
      </w:r>
      <w:r>
        <w:rPr>
          <w:rFonts w:eastAsia="方正仿宋_GBK"/>
          <w:color w:val="000000"/>
          <w:spacing w:val="-2"/>
          <w:kern w:val="0"/>
          <w:sz w:val="24"/>
        </w:rPr>
        <w:t>(</w:t>
      </w:r>
      <w:r>
        <w:rPr>
          <w:rFonts w:hint="eastAsia" w:eastAsia="方正仿宋_GBK"/>
          <w:color w:val="000000"/>
          <w:spacing w:val="-2"/>
          <w:kern w:val="0"/>
          <w:sz w:val="24"/>
        </w:rPr>
        <w:t>市、区</w:t>
      </w:r>
      <w:r>
        <w:rPr>
          <w:rFonts w:eastAsia="方正仿宋_GBK"/>
          <w:color w:val="000000"/>
          <w:spacing w:val="-2"/>
          <w:kern w:val="0"/>
          <w:sz w:val="24"/>
        </w:rPr>
        <w:t>)</w:t>
      </w:r>
      <w:r>
        <w:rPr>
          <w:rFonts w:hint="eastAsia" w:eastAsia="方正仿宋_GBK"/>
          <w:color w:val="000000"/>
          <w:spacing w:val="-2"/>
          <w:kern w:val="0"/>
          <w:sz w:val="24"/>
        </w:rPr>
        <w:t>级的机构应设立专门的计算机管理员，并经过专门培训。</w:t>
      </w:r>
    </w:p>
    <w:p>
      <w:pPr>
        <w:spacing w:line="460" w:lineRule="exact"/>
        <w:ind w:firstLine="522" w:firstLineChars="225"/>
        <w:rPr>
          <w:rFonts w:eastAsia="方正仿宋_GBK"/>
          <w:color w:val="000000"/>
          <w:spacing w:val="-2"/>
          <w:kern w:val="0"/>
          <w:sz w:val="24"/>
        </w:rPr>
      </w:pPr>
      <w:r>
        <w:rPr>
          <w:rFonts w:eastAsia="方正仿宋_GBK"/>
          <w:color w:val="000000"/>
          <w:spacing w:val="-2"/>
          <w:kern w:val="0"/>
          <w:sz w:val="24"/>
        </w:rPr>
        <w:t>(2)</w:t>
      </w:r>
      <w:r>
        <w:rPr>
          <w:rFonts w:hint="eastAsia" w:eastAsia="方正仿宋_GBK"/>
          <w:color w:val="000000"/>
          <w:spacing w:val="-2"/>
          <w:kern w:val="0"/>
          <w:sz w:val="24"/>
        </w:rPr>
        <w:t>对监督软件的所有使用者应进行培训，达到计算机应用的相应水平。</w:t>
      </w:r>
    </w:p>
    <w:p>
      <w:pPr>
        <w:spacing w:line="460" w:lineRule="exact"/>
        <w:ind w:firstLine="522" w:firstLineChars="225"/>
        <w:rPr>
          <w:rFonts w:eastAsia="方正仿宋_GBK"/>
          <w:color w:val="000000"/>
          <w:spacing w:val="-2"/>
          <w:kern w:val="0"/>
          <w:sz w:val="24"/>
        </w:rPr>
      </w:pPr>
      <w:r>
        <w:rPr>
          <w:rFonts w:eastAsia="方正仿宋_GBK"/>
          <w:color w:val="000000"/>
          <w:spacing w:val="-2"/>
          <w:kern w:val="0"/>
          <w:sz w:val="24"/>
        </w:rPr>
        <w:t>10.2.6</w:t>
      </w:r>
      <w:r>
        <w:rPr>
          <w:rFonts w:hint="eastAsia" w:eastAsia="方正仿宋_GBK"/>
          <w:color w:val="000000"/>
          <w:spacing w:val="-2"/>
          <w:kern w:val="0"/>
          <w:sz w:val="24"/>
        </w:rPr>
        <w:t>工程质量监督信息系统的通讯要求：</w:t>
      </w:r>
    </w:p>
    <w:p>
      <w:pPr>
        <w:spacing w:line="460" w:lineRule="exact"/>
        <w:ind w:firstLine="522" w:firstLineChars="225"/>
        <w:rPr>
          <w:rFonts w:eastAsia="方正仿宋_GBK"/>
          <w:color w:val="000000"/>
          <w:spacing w:val="-2"/>
          <w:kern w:val="0"/>
          <w:sz w:val="24"/>
        </w:rPr>
      </w:pPr>
      <w:r>
        <w:rPr>
          <w:rFonts w:hint="eastAsia" w:eastAsia="方正仿宋_GBK"/>
          <w:color w:val="000000"/>
          <w:spacing w:val="-2"/>
          <w:kern w:val="0"/>
          <w:sz w:val="24"/>
        </w:rPr>
        <w:t>监督机构应根据主管部门及上级监督机构对信息工作的要求，确定信息传递周期，按规定时限向省质监总站报送电子报表。</w:t>
      </w:r>
    </w:p>
    <w:p>
      <w:pPr>
        <w:spacing w:line="460" w:lineRule="exact"/>
        <w:ind w:firstLine="522" w:firstLineChars="225"/>
        <w:outlineLvl w:val="0"/>
        <w:rPr>
          <w:rFonts w:eastAsia="方正仿宋_GBK"/>
          <w:color w:val="000000"/>
          <w:spacing w:val="-2"/>
          <w:kern w:val="0"/>
          <w:sz w:val="24"/>
        </w:rPr>
      </w:pPr>
      <w:bookmarkStart w:id="780" w:name="_Toc20726574"/>
      <w:bookmarkStart w:id="781" w:name="_Toc20668045"/>
      <w:bookmarkStart w:id="782" w:name="_Toc18315715"/>
      <w:r>
        <w:rPr>
          <w:rFonts w:eastAsia="方正仿宋_GBK"/>
          <w:color w:val="000000"/>
          <w:spacing w:val="-2"/>
          <w:kern w:val="0"/>
          <w:sz w:val="24"/>
        </w:rPr>
        <w:t>10.2.7</w:t>
      </w:r>
      <w:r>
        <w:rPr>
          <w:rFonts w:hint="eastAsia" w:eastAsia="方正仿宋_GBK"/>
          <w:color w:val="000000"/>
          <w:spacing w:val="-2"/>
          <w:kern w:val="0"/>
          <w:sz w:val="24"/>
        </w:rPr>
        <w:t>监督机构应及时将下列信息向社会公布：</w:t>
      </w:r>
      <w:bookmarkEnd w:id="780"/>
      <w:bookmarkEnd w:id="781"/>
      <w:bookmarkEnd w:id="782"/>
    </w:p>
    <w:p>
      <w:pPr>
        <w:spacing w:line="460" w:lineRule="exact"/>
        <w:ind w:firstLine="522" w:firstLineChars="225"/>
        <w:rPr>
          <w:rFonts w:eastAsia="方正仿宋_GBK"/>
          <w:color w:val="000000"/>
          <w:spacing w:val="-2"/>
          <w:kern w:val="0"/>
          <w:sz w:val="24"/>
        </w:rPr>
      </w:pPr>
      <w:r>
        <w:rPr>
          <w:rFonts w:eastAsia="方正仿宋_GBK"/>
          <w:color w:val="000000"/>
          <w:spacing w:val="-2"/>
          <w:kern w:val="0"/>
          <w:sz w:val="24"/>
        </w:rPr>
        <w:t>(1)</w:t>
      </w:r>
      <w:r>
        <w:rPr>
          <w:rFonts w:hint="eastAsia" w:eastAsia="方正仿宋_GBK"/>
          <w:color w:val="000000"/>
          <w:spacing w:val="-2"/>
          <w:kern w:val="0"/>
          <w:sz w:val="24"/>
        </w:rPr>
        <w:t>工作流程、办事程序、监督动态、工程质量相关法律法规等；</w:t>
      </w:r>
    </w:p>
    <w:p>
      <w:pPr>
        <w:spacing w:line="460" w:lineRule="exact"/>
        <w:ind w:firstLine="522" w:firstLineChars="225"/>
        <w:rPr>
          <w:rFonts w:eastAsia="方正仿宋_GBK"/>
          <w:color w:val="000000"/>
          <w:spacing w:val="-2"/>
          <w:kern w:val="0"/>
          <w:sz w:val="24"/>
        </w:rPr>
      </w:pPr>
      <w:r>
        <w:rPr>
          <w:rFonts w:eastAsia="方正仿宋_GBK"/>
          <w:color w:val="000000"/>
          <w:spacing w:val="-2"/>
          <w:kern w:val="0"/>
          <w:sz w:val="24"/>
        </w:rPr>
        <w:t>(2)</w:t>
      </w:r>
      <w:r>
        <w:rPr>
          <w:rFonts w:hint="eastAsia" w:eastAsia="方正仿宋_GBK"/>
          <w:color w:val="000000"/>
          <w:spacing w:val="-2"/>
          <w:kern w:val="0"/>
          <w:sz w:val="24"/>
        </w:rPr>
        <w:t>对在监督工作中所发现的参建各方责任主体的问题，按照规定的程序和权限，通过网站向社会公布。</w:t>
      </w:r>
    </w:p>
    <w:p>
      <w:pPr>
        <w:spacing w:line="460" w:lineRule="exact"/>
        <w:jc w:val="center"/>
        <w:rPr>
          <w:rFonts w:eastAsia="方正黑体_GBK"/>
          <w:color w:val="000000"/>
          <w:spacing w:val="-2"/>
          <w:kern w:val="0"/>
          <w:sz w:val="24"/>
        </w:rPr>
      </w:pPr>
      <w:r>
        <w:rPr>
          <w:rFonts w:eastAsia="方正黑体_GBK"/>
          <w:color w:val="000000"/>
          <w:spacing w:val="-2"/>
          <w:kern w:val="0"/>
          <w:sz w:val="24"/>
        </w:rPr>
        <w:t xml:space="preserve">11  </w:t>
      </w:r>
      <w:r>
        <w:rPr>
          <w:rFonts w:hint="eastAsia" w:eastAsia="方正黑体_GBK"/>
          <w:color w:val="000000"/>
          <w:spacing w:val="-2"/>
          <w:kern w:val="0"/>
          <w:sz w:val="24"/>
        </w:rPr>
        <w:t>附</w:t>
      </w:r>
      <w:r>
        <w:rPr>
          <w:rFonts w:eastAsia="方正黑体_GBK"/>
          <w:color w:val="000000"/>
          <w:spacing w:val="-2"/>
          <w:kern w:val="0"/>
          <w:sz w:val="24"/>
        </w:rPr>
        <w:t xml:space="preserve">    </w:t>
      </w:r>
      <w:r>
        <w:rPr>
          <w:rFonts w:hint="eastAsia" w:eastAsia="方正黑体_GBK"/>
          <w:color w:val="000000"/>
          <w:spacing w:val="-2"/>
          <w:kern w:val="0"/>
          <w:sz w:val="24"/>
        </w:rPr>
        <w:t>则</w:t>
      </w:r>
    </w:p>
    <w:p>
      <w:pPr>
        <w:spacing w:line="460" w:lineRule="exact"/>
        <w:ind w:firstLine="522" w:firstLineChars="225"/>
        <w:rPr>
          <w:rFonts w:eastAsia="方正仿宋_GBK"/>
          <w:color w:val="000000"/>
          <w:spacing w:val="-2"/>
          <w:kern w:val="0"/>
          <w:sz w:val="24"/>
        </w:rPr>
      </w:pPr>
      <w:r>
        <w:rPr>
          <w:rFonts w:eastAsia="方正仿宋_GBK"/>
          <w:color w:val="000000"/>
          <w:spacing w:val="-2"/>
          <w:kern w:val="0"/>
          <w:sz w:val="24"/>
        </w:rPr>
        <w:t>11.1</w:t>
      </w:r>
      <w:r>
        <w:rPr>
          <w:rFonts w:hint="eastAsia" w:eastAsia="方正仿宋_GBK"/>
          <w:color w:val="000000"/>
          <w:spacing w:val="-2"/>
          <w:kern w:val="0"/>
          <w:sz w:val="24"/>
        </w:rPr>
        <w:t>本细则由省住房和城乡建设厅负责解释。</w:t>
      </w:r>
    </w:p>
    <w:p>
      <w:pPr>
        <w:spacing w:line="460" w:lineRule="exact"/>
        <w:ind w:firstLine="513" w:firstLineChars="221"/>
        <w:rPr>
          <w:rFonts w:eastAsia="方正仿宋_GBK"/>
          <w:color w:val="000000"/>
          <w:spacing w:val="-2"/>
          <w:kern w:val="0"/>
          <w:sz w:val="24"/>
        </w:rPr>
      </w:pPr>
      <w:r>
        <w:rPr>
          <w:rFonts w:eastAsia="方正仿宋_GBK"/>
          <w:color w:val="000000"/>
          <w:spacing w:val="-2"/>
          <w:kern w:val="0"/>
          <w:sz w:val="24"/>
        </w:rPr>
        <w:t>11.2</w:t>
      </w:r>
      <w:r>
        <w:rPr>
          <w:rFonts w:hint="eastAsia" w:eastAsia="方正仿宋_GBK"/>
          <w:color w:val="000000"/>
          <w:spacing w:val="-2"/>
          <w:kern w:val="0"/>
          <w:sz w:val="24"/>
        </w:rPr>
        <w:t>本细则自二〇一二年一月一日起施行，原《江苏省建设工程质量监督工作实施细则》（苏建质〔</w:t>
      </w:r>
      <w:r>
        <w:rPr>
          <w:rFonts w:eastAsia="方正仿宋_GBK"/>
          <w:color w:val="000000"/>
          <w:spacing w:val="-2"/>
          <w:kern w:val="0"/>
          <w:sz w:val="24"/>
        </w:rPr>
        <w:t>2004</w:t>
      </w:r>
      <w:r>
        <w:rPr>
          <w:rFonts w:hint="eastAsia" w:eastAsia="方正仿宋_GBK"/>
          <w:color w:val="000000"/>
          <w:spacing w:val="-2"/>
          <w:kern w:val="0"/>
          <w:sz w:val="24"/>
        </w:rPr>
        <w:t>〕</w:t>
      </w:r>
      <w:r>
        <w:rPr>
          <w:rFonts w:eastAsia="方正仿宋_GBK"/>
          <w:color w:val="000000"/>
          <w:spacing w:val="-2"/>
          <w:kern w:val="0"/>
          <w:sz w:val="24"/>
        </w:rPr>
        <w:t>328</w:t>
      </w:r>
      <w:r>
        <w:rPr>
          <w:rFonts w:hint="eastAsia" w:eastAsia="方正仿宋_GBK"/>
          <w:color w:val="000000"/>
          <w:spacing w:val="-2"/>
          <w:kern w:val="0"/>
          <w:sz w:val="24"/>
        </w:rPr>
        <w:t>号）、《江苏省市政基础设施工程实体质量监督工作实施细则》（苏建质〔</w:t>
      </w:r>
      <w:r>
        <w:rPr>
          <w:rFonts w:eastAsia="方正仿宋_GBK"/>
          <w:color w:val="000000"/>
          <w:spacing w:val="-2"/>
          <w:kern w:val="0"/>
          <w:sz w:val="24"/>
        </w:rPr>
        <w:t>2006</w:t>
      </w:r>
      <w:r>
        <w:rPr>
          <w:rFonts w:hint="eastAsia" w:eastAsia="方正仿宋_GBK"/>
          <w:color w:val="000000"/>
          <w:spacing w:val="-2"/>
          <w:kern w:val="0"/>
          <w:sz w:val="24"/>
        </w:rPr>
        <w:t>〕</w:t>
      </w:r>
      <w:r>
        <w:rPr>
          <w:rFonts w:eastAsia="方正仿宋_GBK"/>
          <w:color w:val="000000"/>
          <w:spacing w:val="-2"/>
          <w:kern w:val="0"/>
          <w:sz w:val="24"/>
        </w:rPr>
        <w:t>167</w:t>
      </w:r>
      <w:r>
        <w:rPr>
          <w:rFonts w:hint="eastAsia" w:eastAsia="方正仿宋_GBK"/>
          <w:color w:val="000000"/>
          <w:spacing w:val="-2"/>
          <w:kern w:val="0"/>
          <w:sz w:val="24"/>
        </w:rPr>
        <w:t>号）、《江苏省民用建筑节能工程质量监督工作实施细则（暂行）》（苏建质〔</w:t>
      </w:r>
      <w:r>
        <w:rPr>
          <w:rFonts w:eastAsia="方正仿宋_GBK"/>
          <w:color w:val="000000"/>
          <w:spacing w:val="-2"/>
          <w:kern w:val="0"/>
          <w:sz w:val="24"/>
        </w:rPr>
        <w:t>2007</w:t>
      </w:r>
      <w:r>
        <w:rPr>
          <w:rFonts w:hint="eastAsia" w:eastAsia="方正仿宋_GBK"/>
          <w:color w:val="000000"/>
          <w:spacing w:val="-2"/>
          <w:kern w:val="0"/>
          <w:sz w:val="24"/>
        </w:rPr>
        <w:t>〕</w:t>
      </w:r>
      <w:r>
        <w:rPr>
          <w:rFonts w:eastAsia="方正仿宋_GBK"/>
          <w:color w:val="000000"/>
          <w:spacing w:val="-2"/>
          <w:kern w:val="0"/>
          <w:sz w:val="24"/>
        </w:rPr>
        <w:t>313</w:t>
      </w:r>
      <w:r>
        <w:rPr>
          <w:rFonts w:hint="eastAsia" w:eastAsia="方正仿宋_GBK"/>
          <w:color w:val="000000"/>
          <w:spacing w:val="-2"/>
          <w:kern w:val="0"/>
          <w:sz w:val="24"/>
        </w:rPr>
        <w:t>号）同时废止。</w:t>
      </w:r>
    </w:p>
    <w:p>
      <w:pPr>
        <w:spacing w:line="460" w:lineRule="exact"/>
        <w:rPr>
          <w:rFonts w:eastAsia="方正仿宋_GBK"/>
          <w:color w:val="000000"/>
          <w:spacing w:val="-2"/>
          <w:sz w:val="24"/>
        </w:rPr>
      </w:pPr>
    </w:p>
    <w:p>
      <w:pPr>
        <w:pStyle w:val="2"/>
        <w:spacing w:before="590" w:beforeLines="100" w:after="590" w:afterLines="100" w:line="240" w:lineRule="auto"/>
        <w:jc w:val="center"/>
        <w:rPr>
          <w:rFonts w:ascii="Times New Roman" w:eastAsia="方正小标宋_GBK"/>
          <w:b w:val="0"/>
          <w:sz w:val="36"/>
          <w:szCs w:val="36"/>
        </w:rPr>
      </w:pPr>
      <w:r>
        <w:rPr>
          <w:rFonts w:eastAsia="方正仿宋_GBK"/>
          <w:b w:val="0"/>
          <w:color w:val="000000"/>
          <w:spacing w:val="-2"/>
        </w:rPr>
        <w:br w:type="column"/>
      </w:r>
      <w:r>
        <w:rPr>
          <w:rFonts w:hint="eastAsia" w:ascii="Times New Roman" w:eastAsia="方正小标宋_GBK"/>
          <w:b w:val="0"/>
          <w:sz w:val="36"/>
          <w:szCs w:val="36"/>
        </w:rPr>
        <w:t>关于一级建造师执业资格注册有关事项通知</w:t>
      </w:r>
    </w:p>
    <w:p>
      <w:pPr>
        <w:spacing w:line="460" w:lineRule="exact"/>
        <w:ind w:firstLine="522" w:firstLineChars="225"/>
        <w:jc w:val="center"/>
        <w:rPr>
          <w:rFonts w:hint="eastAsia" w:eastAsia="方正仿宋_GBK"/>
          <w:color w:val="000000"/>
          <w:spacing w:val="-2"/>
          <w:kern w:val="0"/>
          <w:sz w:val="24"/>
        </w:rPr>
      </w:pPr>
      <w:r>
        <w:rPr>
          <w:rFonts w:hint="eastAsia" w:eastAsia="方正仿宋_GBK"/>
          <w:color w:val="000000"/>
          <w:spacing w:val="-2"/>
          <w:kern w:val="0"/>
          <w:sz w:val="24"/>
        </w:rPr>
        <w:t>苏建函注册〔</w:t>
      </w:r>
      <w:r>
        <w:rPr>
          <w:rFonts w:eastAsia="方正仿宋_GBK"/>
          <w:color w:val="000000"/>
          <w:spacing w:val="-2"/>
          <w:kern w:val="0"/>
          <w:sz w:val="24"/>
        </w:rPr>
        <w:t>2018</w:t>
      </w:r>
      <w:r>
        <w:rPr>
          <w:rFonts w:hint="eastAsia" w:eastAsia="方正仿宋_GBK"/>
          <w:color w:val="000000"/>
          <w:spacing w:val="-2"/>
          <w:kern w:val="0"/>
          <w:sz w:val="24"/>
        </w:rPr>
        <w:t>〕</w:t>
      </w:r>
      <w:r>
        <w:rPr>
          <w:rFonts w:eastAsia="方正仿宋_GBK"/>
          <w:color w:val="000000"/>
          <w:spacing w:val="-2"/>
          <w:kern w:val="0"/>
          <w:sz w:val="24"/>
        </w:rPr>
        <w:t>914</w:t>
      </w:r>
      <w:r>
        <w:rPr>
          <w:rFonts w:hint="eastAsia" w:eastAsia="方正仿宋_GBK"/>
          <w:color w:val="000000"/>
          <w:spacing w:val="-2"/>
          <w:kern w:val="0"/>
          <w:sz w:val="24"/>
        </w:rPr>
        <w:t>号</w:t>
      </w:r>
    </w:p>
    <w:p>
      <w:pPr>
        <w:spacing w:line="460" w:lineRule="exact"/>
        <w:rPr>
          <w:rFonts w:eastAsia="方正仿宋_GBK"/>
          <w:color w:val="000000"/>
          <w:spacing w:val="-2"/>
          <w:kern w:val="0"/>
          <w:sz w:val="24"/>
        </w:rPr>
      </w:pPr>
    </w:p>
    <w:p>
      <w:pPr>
        <w:spacing w:line="460" w:lineRule="exact"/>
        <w:rPr>
          <w:rFonts w:eastAsia="方正仿宋_GBK"/>
          <w:color w:val="000000"/>
          <w:spacing w:val="-2"/>
          <w:kern w:val="0"/>
          <w:sz w:val="24"/>
        </w:rPr>
      </w:pPr>
      <w:r>
        <w:rPr>
          <w:rFonts w:hint="eastAsia" w:eastAsia="方正仿宋_GBK"/>
          <w:color w:val="000000"/>
          <w:spacing w:val="-2"/>
          <w:kern w:val="0"/>
          <w:sz w:val="24"/>
        </w:rPr>
        <w:t>各有关单位：</w:t>
      </w:r>
    </w:p>
    <w:p>
      <w:pPr>
        <w:spacing w:line="460" w:lineRule="exact"/>
        <w:ind w:firstLine="522" w:firstLineChars="225"/>
        <w:rPr>
          <w:rFonts w:eastAsia="方正仿宋_GBK"/>
          <w:color w:val="000000"/>
          <w:spacing w:val="-2"/>
          <w:kern w:val="0"/>
          <w:sz w:val="24"/>
        </w:rPr>
      </w:pPr>
      <w:r>
        <w:rPr>
          <w:rFonts w:hint="eastAsia" w:eastAsia="方正仿宋_GBK"/>
          <w:color w:val="000000"/>
          <w:spacing w:val="-2"/>
          <w:kern w:val="0"/>
          <w:sz w:val="24"/>
        </w:rPr>
        <w:t>为进一步做好一级建造师执业资格注册管理工作，根据住房城乡建设部办公厅《关于一级建造师执业资格实行电子化申报和审批的通知》（建办市〔</w:t>
      </w:r>
      <w:r>
        <w:rPr>
          <w:rFonts w:eastAsia="方正仿宋_GBK"/>
          <w:color w:val="000000"/>
          <w:spacing w:val="-2"/>
          <w:kern w:val="0"/>
          <w:sz w:val="24"/>
        </w:rPr>
        <w:t>2018</w:t>
      </w:r>
      <w:r>
        <w:rPr>
          <w:rFonts w:hint="eastAsia" w:eastAsia="方正仿宋_GBK"/>
          <w:color w:val="000000"/>
          <w:spacing w:val="-2"/>
          <w:kern w:val="0"/>
          <w:sz w:val="24"/>
        </w:rPr>
        <w:t>〕</w:t>
      </w:r>
      <w:r>
        <w:rPr>
          <w:rFonts w:eastAsia="方正仿宋_GBK"/>
          <w:color w:val="000000"/>
          <w:spacing w:val="-2"/>
          <w:kern w:val="0"/>
          <w:sz w:val="24"/>
        </w:rPr>
        <w:t>48</w:t>
      </w:r>
      <w:r>
        <w:rPr>
          <w:rFonts w:hint="eastAsia" w:eastAsia="方正仿宋_GBK"/>
          <w:color w:val="000000"/>
          <w:spacing w:val="-2"/>
          <w:kern w:val="0"/>
          <w:sz w:val="24"/>
        </w:rPr>
        <w:t>号）文件精神，现将有关我省一级建造师注册工作具体事项通知如下：</w:t>
      </w:r>
    </w:p>
    <w:p>
      <w:pPr>
        <w:spacing w:line="460" w:lineRule="exact"/>
        <w:ind w:firstLine="522" w:firstLineChars="225"/>
        <w:rPr>
          <w:rFonts w:ascii="Times New Roman" w:eastAsia="方正黑体_GBK"/>
          <w:color w:val="000000"/>
          <w:spacing w:val="-2"/>
          <w:kern w:val="0"/>
          <w:sz w:val="24"/>
        </w:rPr>
      </w:pPr>
      <w:r>
        <w:rPr>
          <w:rFonts w:hint="eastAsia" w:ascii="Times New Roman" w:eastAsia="方正黑体_GBK"/>
          <w:color w:val="000000"/>
          <w:spacing w:val="-2"/>
          <w:kern w:val="0"/>
          <w:sz w:val="24"/>
        </w:rPr>
        <w:t>一、申报系统</w:t>
      </w:r>
    </w:p>
    <w:p>
      <w:pPr>
        <w:spacing w:line="460" w:lineRule="exact"/>
        <w:ind w:firstLine="522" w:firstLineChars="225"/>
        <w:rPr>
          <w:rFonts w:hint="eastAsia" w:eastAsia="方正仿宋_GBK"/>
          <w:color w:val="000000"/>
          <w:spacing w:val="-2"/>
          <w:kern w:val="0"/>
          <w:sz w:val="24"/>
        </w:rPr>
      </w:pPr>
      <w:r>
        <w:rPr>
          <w:rFonts w:hint="eastAsia" w:eastAsia="方正仿宋_GBK"/>
          <w:color w:val="000000"/>
          <w:spacing w:val="-2"/>
          <w:kern w:val="0"/>
          <w:sz w:val="24"/>
        </w:rPr>
        <w:t>自</w:t>
      </w:r>
      <w:r>
        <w:rPr>
          <w:rFonts w:eastAsia="方正仿宋_GBK"/>
          <w:color w:val="000000"/>
          <w:spacing w:val="-2"/>
          <w:kern w:val="0"/>
          <w:sz w:val="24"/>
        </w:rPr>
        <w:t>2018</w:t>
      </w:r>
      <w:r>
        <w:rPr>
          <w:rFonts w:hint="eastAsia" w:eastAsia="方正仿宋_GBK"/>
          <w:color w:val="000000"/>
          <w:spacing w:val="-2"/>
          <w:kern w:val="0"/>
          <w:sz w:val="24"/>
        </w:rPr>
        <w:t>年</w:t>
      </w:r>
      <w:r>
        <w:rPr>
          <w:rFonts w:eastAsia="方正仿宋_GBK"/>
          <w:color w:val="000000"/>
          <w:spacing w:val="-2"/>
          <w:kern w:val="0"/>
          <w:sz w:val="24"/>
        </w:rPr>
        <w:t>10</w:t>
      </w:r>
      <w:r>
        <w:rPr>
          <w:rFonts w:hint="eastAsia" w:eastAsia="方正仿宋_GBK"/>
          <w:color w:val="000000"/>
          <w:spacing w:val="-2"/>
          <w:kern w:val="0"/>
          <w:sz w:val="24"/>
        </w:rPr>
        <w:t>月</w:t>
      </w:r>
      <w:r>
        <w:rPr>
          <w:rFonts w:eastAsia="方正仿宋_GBK"/>
          <w:color w:val="000000"/>
          <w:spacing w:val="-2"/>
          <w:kern w:val="0"/>
          <w:sz w:val="24"/>
        </w:rPr>
        <w:t>22</w:t>
      </w:r>
      <w:r>
        <w:rPr>
          <w:rFonts w:hint="eastAsia" w:eastAsia="方正仿宋_GBK"/>
          <w:color w:val="000000"/>
          <w:spacing w:val="-2"/>
          <w:kern w:val="0"/>
          <w:sz w:val="24"/>
        </w:rPr>
        <w:t>日起，一级建造师执业资格注册实行电子化申报和审批。初始注册、增项注册、重新注册、注销等申请事项通过住房城乡建设部新版“一级建造师注册管理信息系统”（以下简称新系统）实行网上申报、网上审批，“江苏省建筑业监管信息平台</w:t>
      </w:r>
      <w:r>
        <w:rPr>
          <w:rFonts w:eastAsia="方正仿宋_GBK"/>
          <w:color w:val="000000"/>
          <w:spacing w:val="-2"/>
          <w:kern w:val="0"/>
          <w:sz w:val="24"/>
        </w:rPr>
        <w:t>2.0</w:t>
      </w:r>
      <w:r>
        <w:rPr>
          <w:rFonts w:hint="eastAsia" w:eastAsia="方正仿宋_GBK"/>
          <w:color w:val="000000"/>
          <w:spacing w:val="-2"/>
          <w:kern w:val="0"/>
          <w:sz w:val="24"/>
        </w:rPr>
        <w:t>”系统停止受理申报事项。</w:t>
      </w:r>
    </w:p>
    <w:p>
      <w:pPr>
        <w:spacing w:line="460" w:lineRule="exact"/>
        <w:ind w:firstLine="522" w:firstLineChars="225"/>
        <w:rPr>
          <w:rFonts w:ascii="Times New Roman" w:eastAsia="方正黑体_GBK"/>
          <w:color w:val="000000"/>
          <w:spacing w:val="-2"/>
          <w:kern w:val="0"/>
          <w:sz w:val="24"/>
        </w:rPr>
      </w:pPr>
      <w:r>
        <w:rPr>
          <w:rFonts w:hint="eastAsia" w:ascii="Times New Roman" w:eastAsia="方正黑体_GBK"/>
          <w:color w:val="000000"/>
          <w:spacing w:val="-2"/>
          <w:kern w:val="0"/>
          <w:sz w:val="24"/>
        </w:rPr>
        <w:t>二、业务类别</w:t>
      </w:r>
    </w:p>
    <w:p>
      <w:pPr>
        <w:spacing w:line="460" w:lineRule="exact"/>
        <w:ind w:firstLine="522" w:firstLineChars="225"/>
        <w:rPr>
          <w:rFonts w:hint="eastAsia" w:eastAsia="方正仿宋_GBK"/>
          <w:color w:val="000000"/>
          <w:spacing w:val="-2"/>
          <w:kern w:val="0"/>
          <w:sz w:val="24"/>
        </w:rPr>
      </w:pPr>
      <w:r>
        <w:rPr>
          <w:rFonts w:eastAsia="方正仿宋_GBK"/>
          <w:color w:val="000000"/>
          <w:spacing w:val="-2"/>
          <w:kern w:val="0"/>
          <w:sz w:val="24"/>
        </w:rPr>
        <w:t>1.</w:t>
      </w:r>
      <w:r>
        <w:rPr>
          <w:rFonts w:hint="eastAsia" w:eastAsia="方正仿宋_GBK"/>
          <w:color w:val="000000"/>
          <w:spacing w:val="-2"/>
          <w:kern w:val="0"/>
          <w:sz w:val="24"/>
        </w:rPr>
        <w:t>初始注册、增项注册、重新注册</w:t>
      </w:r>
    </w:p>
    <w:p>
      <w:pPr>
        <w:spacing w:line="460" w:lineRule="exact"/>
        <w:ind w:firstLine="522" w:firstLineChars="225"/>
        <w:rPr>
          <w:rFonts w:eastAsia="方正仿宋_GBK"/>
          <w:color w:val="000000"/>
          <w:spacing w:val="-2"/>
          <w:kern w:val="0"/>
          <w:sz w:val="24"/>
        </w:rPr>
      </w:pPr>
      <w:r>
        <w:rPr>
          <w:rFonts w:hint="eastAsia" w:eastAsia="方正仿宋_GBK"/>
          <w:color w:val="000000"/>
          <w:spacing w:val="-2"/>
          <w:kern w:val="0"/>
          <w:sz w:val="24"/>
        </w:rPr>
        <w:t>该类事项由个人在新系统中发起申请，企业确认后直接上报至住房城乡建设部注册中心，取消省级审批环节。</w:t>
      </w:r>
    </w:p>
    <w:p>
      <w:pPr>
        <w:spacing w:line="460" w:lineRule="exact"/>
        <w:ind w:firstLine="522" w:firstLineChars="225"/>
        <w:rPr>
          <w:rFonts w:eastAsia="方正仿宋_GBK"/>
          <w:color w:val="000000"/>
          <w:spacing w:val="-2"/>
          <w:kern w:val="0"/>
          <w:sz w:val="24"/>
        </w:rPr>
      </w:pPr>
      <w:r>
        <w:rPr>
          <w:rFonts w:eastAsia="方正仿宋_GBK"/>
          <w:color w:val="000000"/>
          <w:spacing w:val="-2"/>
          <w:kern w:val="0"/>
          <w:sz w:val="24"/>
        </w:rPr>
        <w:t>2.</w:t>
      </w:r>
      <w:r>
        <w:rPr>
          <w:rFonts w:hint="eastAsia" w:eastAsia="方正仿宋_GBK"/>
          <w:color w:val="000000"/>
          <w:spacing w:val="-2"/>
          <w:kern w:val="0"/>
          <w:sz w:val="24"/>
        </w:rPr>
        <w:t>注销</w:t>
      </w:r>
    </w:p>
    <w:p>
      <w:pPr>
        <w:spacing w:line="460" w:lineRule="exact"/>
        <w:ind w:firstLine="522" w:firstLineChars="225"/>
        <w:rPr>
          <w:rFonts w:eastAsia="方正仿宋_GBK"/>
          <w:color w:val="000000"/>
          <w:spacing w:val="-2"/>
          <w:kern w:val="0"/>
          <w:sz w:val="24"/>
        </w:rPr>
      </w:pPr>
      <w:r>
        <w:rPr>
          <w:rFonts w:hint="eastAsia" w:eastAsia="方正仿宋_GBK"/>
          <w:color w:val="000000"/>
          <w:spacing w:val="-2"/>
          <w:kern w:val="0"/>
          <w:sz w:val="24"/>
        </w:rPr>
        <w:t>该事项由个人在新系统中发起申请，企业确认后即注销成功，取消省级审批环节。</w:t>
      </w:r>
    </w:p>
    <w:p>
      <w:pPr>
        <w:spacing w:line="460" w:lineRule="exact"/>
        <w:ind w:firstLine="522" w:firstLineChars="225"/>
        <w:rPr>
          <w:rFonts w:eastAsia="方正仿宋_GBK"/>
          <w:color w:val="000000"/>
          <w:spacing w:val="-2"/>
          <w:kern w:val="0"/>
          <w:sz w:val="24"/>
        </w:rPr>
      </w:pPr>
      <w:r>
        <w:rPr>
          <w:rFonts w:eastAsia="方正仿宋_GBK"/>
          <w:color w:val="000000"/>
          <w:spacing w:val="-2"/>
          <w:kern w:val="0"/>
          <w:sz w:val="24"/>
        </w:rPr>
        <w:t>3.</w:t>
      </w:r>
      <w:r>
        <w:rPr>
          <w:rFonts w:hint="eastAsia" w:eastAsia="方正仿宋_GBK"/>
          <w:color w:val="000000"/>
          <w:spacing w:val="-2"/>
          <w:kern w:val="0"/>
          <w:sz w:val="24"/>
        </w:rPr>
        <w:t>变更注册</w:t>
      </w:r>
    </w:p>
    <w:p>
      <w:pPr>
        <w:spacing w:line="460" w:lineRule="exact"/>
        <w:ind w:firstLine="522" w:firstLineChars="225"/>
        <w:rPr>
          <w:rFonts w:eastAsia="方正仿宋_GBK"/>
          <w:color w:val="000000"/>
          <w:spacing w:val="-2"/>
          <w:kern w:val="0"/>
          <w:sz w:val="24"/>
        </w:rPr>
      </w:pPr>
      <w:r>
        <w:rPr>
          <w:rFonts w:hint="eastAsia" w:eastAsia="方正仿宋_GBK"/>
          <w:color w:val="000000"/>
          <w:spacing w:val="-2"/>
          <w:kern w:val="0"/>
          <w:sz w:val="24"/>
        </w:rPr>
        <w:t>新系统运行后，取消变更注册事项，发生执业单位更换的人员，需先在原单位办理注销，再到新单位办理重新注册。</w:t>
      </w:r>
    </w:p>
    <w:p>
      <w:pPr>
        <w:spacing w:line="460" w:lineRule="exact"/>
        <w:ind w:firstLine="522" w:firstLineChars="225"/>
        <w:rPr>
          <w:rFonts w:eastAsia="方正仿宋_GBK"/>
          <w:color w:val="000000"/>
          <w:spacing w:val="-2"/>
          <w:kern w:val="0"/>
          <w:sz w:val="24"/>
        </w:rPr>
      </w:pPr>
      <w:r>
        <w:rPr>
          <w:rFonts w:eastAsia="方正仿宋_GBK"/>
          <w:color w:val="000000"/>
          <w:spacing w:val="-2"/>
          <w:kern w:val="0"/>
          <w:sz w:val="24"/>
        </w:rPr>
        <w:t>4.</w:t>
      </w:r>
      <w:r>
        <w:rPr>
          <w:rFonts w:hint="eastAsia" w:eastAsia="方正仿宋_GBK"/>
          <w:color w:val="000000"/>
          <w:spacing w:val="-2"/>
          <w:kern w:val="0"/>
          <w:sz w:val="24"/>
        </w:rPr>
        <w:t>遗失补办（污损更换）</w:t>
      </w:r>
    </w:p>
    <w:p>
      <w:pPr>
        <w:spacing w:line="460" w:lineRule="exact"/>
        <w:ind w:firstLine="522" w:firstLineChars="225"/>
        <w:rPr>
          <w:rFonts w:eastAsia="方正仿宋_GBK"/>
          <w:color w:val="000000"/>
          <w:spacing w:val="-2"/>
          <w:kern w:val="0"/>
          <w:sz w:val="24"/>
        </w:rPr>
      </w:pPr>
      <w:r>
        <w:rPr>
          <w:rFonts w:hint="eastAsia" w:eastAsia="方正仿宋_GBK"/>
          <w:color w:val="000000"/>
          <w:spacing w:val="-2"/>
          <w:kern w:val="0"/>
          <w:sz w:val="24"/>
        </w:rPr>
        <w:t>该事项由个人在新系统中发起申请，企业确认后上报至省级主管部门，省级接受数据后直接上报至住房城乡建设部注册中心，取消纸质申报材料。</w:t>
      </w:r>
    </w:p>
    <w:p>
      <w:pPr>
        <w:spacing w:line="460" w:lineRule="exact"/>
        <w:ind w:firstLine="522" w:firstLineChars="225"/>
        <w:rPr>
          <w:rFonts w:ascii="Times New Roman" w:eastAsia="方正黑体_GBK"/>
          <w:color w:val="000000"/>
          <w:spacing w:val="-2"/>
          <w:kern w:val="0"/>
          <w:sz w:val="24"/>
        </w:rPr>
      </w:pPr>
      <w:r>
        <w:rPr>
          <w:rFonts w:hint="eastAsia" w:ascii="Times New Roman" w:eastAsia="方正黑体_GBK"/>
          <w:color w:val="000000"/>
          <w:spacing w:val="-2"/>
          <w:kern w:val="0"/>
          <w:sz w:val="24"/>
        </w:rPr>
        <w:t>三、实名认证</w:t>
      </w:r>
    </w:p>
    <w:p>
      <w:pPr>
        <w:spacing w:line="460" w:lineRule="exact"/>
        <w:ind w:firstLine="522" w:firstLineChars="225"/>
        <w:rPr>
          <w:rFonts w:hint="eastAsia" w:eastAsia="方正仿宋_GBK"/>
          <w:color w:val="000000"/>
          <w:spacing w:val="-2"/>
          <w:kern w:val="0"/>
          <w:sz w:val="24"/>
        </w:rPr>
      </w:pPr>
      <w:r>
        <w:rPr>
          <w:rFonts w:hint="eastAsia" w:eastAsia="方正仿宋_GBK"/>
          <w:color w:val="000000"/>
          <w:spacing w:val="-2"/>
          <w:kern w:val="0"/>
          <w:sz w:val="24"/>
        </w:rPr>
        <w:t>一级建造师注册实行承诺制。申请人和其聘用企业对申报信息真实性和有效性进行承诺，并承担相应法律责任。取得一级建造师执业资格证书或取得一级建造师注册证书的人员及其聘用企业在办理注册业务前，须在新系统中完成实名认证。实名认证可以选择新系统网上认证（推荐），也可以选择现场实名认证。具体认证工作如下：</w:t>
      </w:r>
    </w:p>
    <w:p>
      <w:pPr>
        <w:spacing w:line="460" w:lineRule="exact"/>
        <w:ind w:firstLine="522" w:firstLineChars="225"/>
        <w:rPr>
          <w:rFonts w:eastAsia="方正仿宋_GBK"/>
          <w:color w:val="000000"/>
          <w:spacing w:val="-2"/>
          <w:kern w:val="0"/>
          <w:sz w:val="24"/>
        </w:rPr>
      </w:pPr>
      <w:r>
        <w:rPr>
          <w:rFonts w:eastAsia="方正仿宋_GBK"/>
          <w:color w:val="000000"/>
          <w:spacing w:val="-2"/>
          <w:kern w:val="0"/>
          <w:sz w:val="24"/>
        </w:rPr>
        <w:t>1.</w:t>
      </w:r>
      <w:r>
        <w:rPr>
          <w:rFonts w:hint="eastAsia" w:eastAsia="方正仿宋_GBK"/>
          <w:color w:val="000000"/>
          <w:spacing w:val="-2"/>
          <w:kern w:val="0"/>
          <w:sz w:val="24"/>
        </w:rPr>
        <w:t>个人实名认证</w:t>
      </w:r>
    </w:p>
    <w:p>
      <w:pPr>
        <w:spacing w:line="460" w:lineRule="exact"/>
        <w:ind w:firstLine="522" w:firstLineChars="225"/>
        <w:rPr>
          <w:rFonts w:eastAsia="方正仿宋_GBK"/>
          <w:color w:val="000000"/>
          <w:spacing w:val="-2"/>
          <w:kern w:val="0"/>
          <w:sz w:val="24"/>
        </w:rPr>
      </w:pPr>
      <w:r>
        <w:rPr>
          <w:rFonts w:hint="eastAsia" w:eastAsia="方正仿宋_GBK"/>
          <w:color w:val="000000"/>
          <w:spacing w:val="-2"/>
          <w:kern w:val="0"/>
          <w:sz w:val="24"/>
        </w:rPr>
        <w:t>（</w:t>
      </w:r>
      <w:r>
        <w:rPr>
          <w:rFonts w:eastAsia="方正仿宋_GBK"/>
          <w:color w:val="000000"/>
          <w:spacing w:val="-2"/>
          <w:kern w:val="0"/>
          <w:sz w:val="24"/>
        </w:rPr>
        <w:t>1</w:t>
      </w:r>
      <w:r>
        <w:rPr>
          <w:rFonts w:hint="eastAsia" w:eastAsia="方正仿宋_GBK"/>
          <w:color w:val="000000"/>
          <w:spacing w:val="-2"/>
          <w:kern w:val="0"/>
          <w:sz w:val="24"/>
        </w:rPr>
        <w:t>）网上认证（推荐）</w:t>
      </w:r>
    </w:p>
    <w:p>
      <w:pPr>
        <w:spacing w:line="460" w:lineRule="exact"/>
        <w:ind w:firstLine="522" w:firstLineChars="225"/>
        <w:rPr>
          <w:rFonts w:eastAsia="方正仿宋_GBK"/>
          <w:color w:val="000000"/>
          <w:spacing w:val="-2"/>
          <w:kern w:val="0"/>
          <w:sz w:val="24"/>
        </w:rPr>
      </w:pPr>
      <w:r>
        <w:rPr>
          <w:rFonts w:hint="eastAsia" w:eastAsia="方正仿宋_GBK"/>
          <w:color w:val="000000"/>
          <w:spacing w:val="-2"/>
          <w:kern w:val="0"/>
          <w:sz w:val="24"/>
        </w:rPr>
        <w:t>选择新系统网上认证的，在填写完成相关个人信息后，根据系统要求上传一寸白底彩色证件照、身份证正反面照、本人签名照、手持身份证照等要件，上传完成后，选择支付宝认证，打开个人支付宝扫描二维码，完成实名认证。</w:t>
      </w:r>
    </w:p>
    <w:p>
      <w:pPr>
        <w:spacing w:line="460" w:lineRule="exact"/>
        <w:ind w:firstLine="522" w:firstLineChars="225"/>
        <w:rPr>
          <w:rFonts w:eastAsia="方正仿宋_GBK"/>
          <w:color w:val="000000"/>
          <w:spacing w:val="-2"/>
          <w:kern w:val="0"/>
          <w:sz w:val="24"/>
        </w:rPr>
      </w:pPr>
      <w:r>
        <w:rPr>
          <w:rFonts w:hint="eastAsia" w:eastAsia="方正仿宋_GBK"/>
          <w:color w:val="000000"/>
          <w:spacing w:val="-2"/>
          <w:kern w:val="0"/>
          <w:sz w:val="24"/>
        </w:rPr>
        <w:t>（</w:t>
      </w:r>
      <w:r>
        <w:rPr>
          <w:rFonts w:eastAsia="方正仿宋_GBK"/>
          <w:color w:val="000000"/>
          <w:spacing w:val="-2"/>
          <w:kern w:val="0"/>
          <w:sz w:val="24"/>
        </w:rPr>
        <w:t>2</w:t>
      </w:r>
      <w:r>
        <w:rPr>
          <w:rFonts w:hint="eastAsia" w:eastAsia="方正仿宋_GBK"/>
          <w:color w:val="000000"/>
          <w:spacing w:val="-2"/>
          <w:kern w:val="0"/>
          <w:sz w:val="24"/>
        </w:rPr>
        <w:t>）现场认证</w:t>
      </w:r>
    </w:p>
    <w:p>
      <w:pPr>
        <w:spacing w:line="460" w:lineRule="exact"/>
        <w:ind w:firstLine="522" w:firstLineChars="225"/>
        <w:rPr>
          <w:rFonts w:eastAsia="方正仿宋_GBK"/>
          <w:color w:val="000000"/>
          <w:spacing w:val="-2"/>
          <w:kern w:val="0"/>
          <w:sz w:val="24"/>
        </w:rPr>
      </w:pPr>
      <w:r>
        <w:rPr>
          <w:rFonts w:hint="eastAsia" w:eastAsia="方正仿宋_GBK"/>
          <w:color w:val="000000"/>
          <w:spacing w:val="-2"/>
          <w:kern w:val="0"/>
          <w:sz w:val="24"/>
        </w:rPr>
        <w:t>选择现场认证的，在填写完成相关个人信息后，根据系统要求上传一寸白底彩色证件照、身份证正反面照、本人签名照、手持身份证照等要件，上传完成后，由建造师本人携带身份证原件至省厅注册中心办理。</w:t>
      </w:r>
    </w:p>
    <w:p>
      <w:pPr>
        <w:spacing w:line="460" w:lineRule="exact"/>
        <w:ind w:firstLine="522" w:firstLineChars="225"/>
        <w:rPr>
          <w:rFonts w:eastAsia="方正仿宋_GBK"/>
          <w:color w:val="000000"/>
          <w:spacing w:val="-2"/>
          <w:kern w:val="0"/>
          <w:sz w:val="24"/>
        </w:rPr>
      </w:pPr>
      <w:r>
        <w:rPr>
          <w:rFonts w:eastAsia="方正仿宋_GBK"/>
          <w:color w:val="000000"/>
          <w:spacing w:val="-2"/>
          <w:kern w:val="0"/>
          <w:sz w:val="24"/>
        </w:rPr>
        <w:t>2.</w:t>
      </w:r>
      <w:r>
        <w:rPr>
          <w:rFonts w:hint="eastAsia" w:eastAsia="方正仿宋_GBK"/>
          <w:color w:val="000000"/>
          <w:spacing w:val="-2"/>
          <w:kern w:val="0"/>
          <w:sz w:val="24"/>
        </w:rPr>
        <w:t>企业实名认证</w:t>
      </w:r>
    </w:p>
    <w:p>
      <w:pPr>
        <w:spacing w:line="460" w:lineRule="exact"/>
        <w:ind w:firstLine="522" w:firstLineChars="225"/>
        <w:rPr>
          <w:rFonts w:eastAsia="方正仿宋_GBK"/>
          <w:color w:val="000000"/>
          <w:spacing w:val="-2"/>
          <w:kern w:val="0"/>
          <w:sz w:val="24"/>
        </w:rPr>
      </w:pPr>
      <w:r>
        <w:rPr>
          <w:rFonts w:hint="eastAsia" w:eastAsia="方正仿宋_GBK"/>
          <w:color w:val="000000"/>
          <w:spacing w:val="-2"/>
          <w:kern w:val="0"/>
          <w:sz w:val="24"/>
        </w:rPr>
        <w:t>（</w:t>
      </w:r>
      <w:r>
        <w:rPr>
          <w:rFonts w:eastAsia="方正仿宋_GBK"/>
          <w:color w:val="000000"/>
          <w:spacing w:val="-2"/>
          <w:kern w:val="0"/>
          <w:sz w:val="24"/>
        </w:rPr>
        <w:t>1</w:t>
      </w:r>
      <w:r>
        <w:rPr>
          <w:rFonts w:hint="eastAsia" w:eastAsia="方正仿宋_GBK"/>
          <w:color w:val="000000"/>
          <w:spacing w:val="-2"/>
          <w:kern w:val="0"/>
          <w:sz w:val="24"/>
        </w:rPr>
        <w:t>）身份锁认证</w:t>
      </w:r>
    </w:p>
    <w:p>
      <w:pPr>
        <w:spacing w:line="460" w:lineRule="exact"/>
        <w:ind w:firstLine="522" w:firstLineChars="225"/>
        <w:rPr>
          <w:rFonts w:eastAsia="方正仿宋_GBK"/>
          <w:color w:val="000000"/>
          <w:spacing w:val="-2"/>
          <w:kern w:val="0"/>
          <w:sz w:val="24"/>
        </w:rPr>
      </w:pPr>
      <w:r>
        <w:rPr>
          <w:rFonts w:hint="eastAsia" w:eastAsia="方正仿宋_GBK"/>
          <w:color w:val="000000"/>
          <w:spacing w:val="-2"/>
          <w:kern w:val="0"/>
          <w:sz w:val="24"/>
        </w:rPr>
        <w:t>该功能用于已取得原一级建造师注册管理系统身份锁的企业用户。企业用户填写相关信息，根据系统提示，上传企业营业执照、资质证书等扫描件，用原身份锁直接进行实名认证。原身份认证锁在完成企业认证后，将自动失效。身份锁在新系统认证时，如果企业名称与组织机构代码（社会统一信用代码）同时发生变化，或原身份认证锁遗失、不可用的企业，须进行现场认证。</w:t>
      </w:r>
    </w:p>
    <w:p>
      <w:pPr>
        <w:spacing w:line="460" w:lineRule="exact"/>
        <w:ind w:firstLine="522" w:firstLineChars="225"/>
        <w:rPr>
          <w:rFonts w:eastAsia="方正仿宋_GBK"/>
          <w:color w:val="000000"/>
          <w:spacing w:val="-2"/>
          <w:kern w:val="0"/>
          <w:sz w:val="24"/>
        </w:rPr>
      </w:pPr>
      <w:r>
        <w:rPr>
          <w:rFonts w:hint="eastAsia" w:eastAsia="方正仿宋_GBK"/>
          <w:color w:val="000000"/>
          <w:spacing w:val="-2"/>
          <w:kern w:val="0"/>
          <w:sz w:val="24"/>
        </w:rPr>
        <w:t>（</w:t>
      </w:r>
      <w:r>
        <w:rPr>
          <w:rFonts w:eastAsia="方正仿宋_GBK"/>
          <w:color w:val="000000"/>
          <w:spacing w:val="-2"/>
          <w:kern w:val="0"/>
          <w:sz w:val="24"/>
        </w:rPr>
        <w:t>2</w:t>
      </w:r>
      <w:r>
        <w:rPr>
          <w:rFonts w:hint="eastAsia" w:eastAsia="方正仿宋_GBK"/>
          <w:color w:val="000000"/>
          <w:spacing w:val="-2"/>
          <w:kern w:val="0"/>
          <w:sz w:val="24"/>
        </w:rPr>
        <w:t>）现场认证</w:t>
      </w:r>
    </w:p>
    <w:p>
      <w:pPr>
        <w:spacing w:line="460" w:lineRule="exact"/>
        <w:ind w:firstLine="522" w:firstLineChars="225"/>
        <w:rPr>
          <w:rFonts w:eastAsia="方正仿宋_GBK"/>
          <w:color w:val="000000"/>
          <w:spacing w:val="-2"/>
          <w:kern w:val="0"/>
          <w:sz w:val="24"/>
        </w:rPr>
      </w:pPr>
      <w:r>
        <w:rPr>
          <w:rFonts w:hint="eastAsia" w:eastAsia="方正仿宋_GBK"/>
          <w:color w:val="000000"/>
          <w:spacing w:val="-2"/>
          <w:kern w:val="0"/>
          <w:sz w:val="24"/>
        </w:rPr>
        <w:t>该功能用于从未取得过身份锁的企业用户。企业用户填写相关信息，根据系统提示，上传企业营业执照、资质证书等扫描件。上传完成后需由企业法人携带营业执照、资质证书（代办的须携带法人授权书）至省厅注册中心办理。</w:t>
      </w:r>
    </w:p>
    <w:p>
      <w:pPr>
        <w:spacing w:line="460" w:lineRule="exact"/>
        <w:ind w:firstLine="522" w:firstLineChars="225"/>
        <w:rPr>
          <w:rFonts w:eastAsia="方正仿宋_GBK"/>
          <w:color w:val="000000"/>
          <w:spacing w:val="-2"/>
          <w:kern w:val="0"/>
          <w:sz w:val="24"/>
        </w:rPr>
      </w:pPr>
      <w:r>
        <w:rPr>
          <w:rFonts w:eastAsia="方正仿宋_GBK"/>
          <w:color w:val="000000"/>
          <w:spacing w:val="-2"/>
          <w:kern w:val="0"/>
          <w:sz w:val="24"/>
        </w:rPr>
        <w:t>3.</w:t>
      </w:r>
      <w:r>
        <w:rPr>
          <w:rFonts w:hint="eastAsia" w:eastAsia="方正仿宋_GBK"/>
          <w:color w:val="000000"/>
          <w:spacing w:val="-2"/>
          <w:kern w:val="0"/>
          <w:sz w:val="24"/>
        </w:rPr>
        <w:t>现场认证地址</w:t>
      </w:r>
    </w:p>
    <w:p>
      <w:pPr>
        <w:spacing w:line="460" w:lineRule="exact"/>
        <w:ind w:firstLine="522" w:firstLineChars="225"/>
        <w:rPr>
          <w:rFonts w:eastAsia="方正仿宋_GBK"/>
          <w:color w:val="000000"/>
          <w:spacing w:val="-2"/>
          <w:kern w:val="0"/>
          <w:sz w:val="24"/>
        </w:rPr>
      </w:pPr>
      <w:r>
        <w:rPr>
          <w:rFonts w:hint="eastAsia" w:eastAsia="方正仿宋_GBK"/>
          <w:color w:val="000000"/>
          <w:spacing w:val="-2"/>
          <w:kern w:val="0"/>
          <w:sz w:val="24"/>
        </w:rPr>
        <w:t>审核点：江苏省政务中心</w:t>
      </w:r>
      <w:r>
        <w:rPr>
          <w:rFonts w:eastAsia="方正仿宋_GBK"/>
          <w:color w:val="000000"/>
          <w:spacing w:val="-2"/>
          <w:kern w:val="0"/>
          <w:sz w:val="24"/>
        </w:rPr>
        <w:t>B20</w:t>
      </w:r>
      <w:r>
        <w:rPr>
          <w:rFonts w:hint="eastAsia" w:eastAsia="方正仿宋_GBK"/>
          <w:color w:val="000000"/>
          <w:spacing w:val="-2"/>
          <w:kern w:val="0"/>
          <w:sz w:val="24"/>
        </w:rPr>
        <w:t>窗口</w:t>
      </w:r>
    </w:p>
    <w:p>
      <w:pPr>
        <w:spacing w:line="460" w:lineRule="exact"/>
        <w:ind w:firstLine="522" w:firstLineChars="225"/>
        <w:rPr>
          <w:rFonts w:eastAsia="方正仿宋_GBK"/>
          <w:color w:val="000000"/>
          <w:spacing w:val="-2"/>
          <w:kern w:val="0"/>
          <w:sz w:val="24"/>
        </w:rPr>
      </w:pPr>
      <w:r>
        <w:rPr>
          <w:rFonts w:hint="eastAsia" w:eastAsia="方正仿宋_GBK"/>
          <w:color w:val="000000"/>
          <w:spacing w:val="-2"/>
          <w:kern w:val="0"/>
          <w:sz w:val="24"/>
        </w:rPr>
        <w:t>审核地址：江苏省南京市建邺区汉中门大街</w:t>
      </w:r>
      <w:r>
        <w:rPr>
          <w:rFonts w:eastAsia="方正仿宋_GBK"/>
          <w:color w:val="000000"/>
          <w:spacing w:val="-2"/>
          <w:kern w:val="0"/>
          <w:sz w:val="24"/>
        </w:rPr>
        <w:t>145</w:t>
      </w:r>
      <w:r>
        <w:rPr>
          <w:rFonts w:hint="eastAsia" w:eastAsia="方正仿宋_GBK"/>
          <w:color w:val="000000"/>
          <w:spacing w:val="-2"/>
          <w:kern w:val="0"/>
          <w:sz w:val="24"/>
        </w:rPr>
        <w:t>号</w:t>
      </w:r>
    </w:p>
    <w:p>
      <w:pPr>
        <w:spacing w:line="460" w:lineRule="exact"/>
        <w:ind w:firstLine="522" w:firstLineChars="225"/>
        <w:rPr>
          <w:rFonts w:eastAsia="方正仿宋_GBK"/>
          <w:color w:val="000000"/>
          <w:spacing w:val="-2"/>
          <w:kern w:val="0"/>
          <w:sz w:val="24"/>
        </w:rPr>
      </w:pPr>
      <w:r>
        <w:rPr>
          <w:rFonts w:hint="eastAsia" w:eastAsia="方正仿宋_GBK"/>
          <w:color w:val="000000"/>
          <w:spacing w:val="-2"/>
          <w:kern w:val="0"/>
          <w:sz w:val="24"/>
        </w:rPr>
        <w:t>联系电话：</w:t>
      </w:r>
      <w:r>
        <w:rPr>
          <w:rFonts w:eastAsia="方正仿宋_GBK"/>
          <w:color w:val="000000"/>
          <w:spacing w:val="-2"/>
          <w:kern w:val="0"/>
          <w:sz w:val="24"/>
        </w:rPr>
        <w:t xml:space="preserve">025-83666203,83666746       </w:t>
      </w:r>
    </w:p>
    <w:p>
      <w:pPr>
        <w:spacing w:line="460" w:lineRule="exact"/>
        <w:ind w:firstLine="522" w:firstLineChars="225"/>
        <w:rPr>
          <w:rFonts w:ascii="Times New Roman" w:eastAsia="方正黑体_GBK"/>
          <w:color w:val="000000"/>
          <w:spacing w:val="-2"/>
          <w:kern w:val="0"/>
          <w:sz w:val="24"/>
        </w:rPr>
      </w:pPr>
      <w:r>
        <w:rPr>
          <w:rFonts w:hint="eastAsia" w:ascii="Times New Roman" w:eastAsia="方正黑体_GBK"/>
          <w:color w:val="000000"/>
          <w:spacing w:val="-2"/>
          <w:kern w:val="0"/>
          <w:sz w:val="24"/>
        </w:rPr>
        <w:t>四、证书管理</w:t>
      </w:r>
    </w:p>
    <w:p>
      <w:pPr>
        <w:spacing w:line="460" w:lineRule="exact"/>
        <w:ind w:firstLine="522" w:firstLineChars="225"/>
        <w:rPr>
          <w:rFonts w:hint="eastAsia" w:eastAsia="方正仿宋_GBK"/>
          <w:color w:val="000000"/>
          <w:spacing w:val="-2"/>
          <w:kern w:val="0"/>
          <w:sz w:val="24"/>
        </w:rPr>
      </w:pPr>
      <w:r>
        <w:rPr>
          <w:rFonts w:hint="eastAsia" w:eastAsia="方正仿宋_GBK"/>
          <w:color w:val="000000"/>
          <w:spacing w:val="-2"/>
          <w:kern w:val="0"/>
          <w:sz w:val="24"/>
        </w:rPr>
        <w:t>初始注册、重新注册自公告（含第</w:t>
      </w:r>
      <w:r>
        <w:rPr>
          <w:rFonts w:eastAsia="方正仿宋_GBK"/>
          <w:color w:val="000000"/>
          <w:spacing w:val="-2"/>
          <w:kern w:val="0"/>
          <w:sz w:val="24"/>
        </w:rPr>
        <w:t>30</w:t>
      </w:r>
      <w:r>
        <w:rPr>
          <w:rFonts w:hint="eastAsia" w:eastAsia="方正仿宋_GBK"/>
          <w:color w:val="000000"/>
          <w:spacing w:val="-2"/>
          <w:kern w:val="0"/>
          <w:sz w:val="24"/>
        </w:rPr>
        <w:t>批）后、遗失补办（污损更换）新系统申报的，由住房城乡建部注册中心统一将空白证书发放至省级主管部门，省级主管部门打印完成后将分发至各市级主管部门。具体证书发放详见江苏建设人才网（</w:t>
      </w:r>
      <w:r>
        <w:rPr>
          <w:rFonts w:eastAsia="方正仿宋_GBK"/>
          <w:color w:val="000000"/>
          <w:spacing w:val="-2"/>
          <w:kern w:val="0"/>
          <w:sz w:val="24"/>
        </w:rPr>
        <w:t>http://hr.jscin.gov.cn/swhyFront/default.aspx</w:t>
      </w:r>
      <w:r>
        <w:rPr>
          <w:rFonts w:hint="eastAsia" w:eastAsia="方正仿宋_GBK"/>
          <w:color w:val="000000"/>
          <w:spacing w:val="-2"/>
          <w:kern w:val="0"/>
          <w:sz w:val="24"/>
        </w:rPr>
        <w:t>）通知。重新注册公告（含第</w:t>
      </w:r>
      <w:r>
        <w:rPr>
          <w:rFonts w:eastAsia="方正仿宋_GBK"/>
          <w:color w:val="000000"/>
          <w:spacing w:val="-2"/>
          <w:kern w:val="0"/>
          <w:sz w:val="24"/>
        </w:rPr>
        <w:t>29</w:t>
      </w:r>
      <w:r>
        <w:rPr>
          <w:rFonts w:hint="eastAsia" w:eastAsia="方正仿宋_GBK"/>
          <w:color w:val="000000"/>
          <w:spacing w:val="-2"/>
          <w:kern w:val="0"/>
          <w:sz w:val="24"/>
        </w:rPr>
        <w:t>批）、遗失补办（污损更换）新系统上线之前的证书按以往方式发放。</w:t>
      </w:r>
    </w:p>
    <w:p>
      <w:pPr>
        <w:spacing w:line="460" w:lineRule="exact"/>
        <w:ind w:firstLine="522" w:firstLineChars="225"/>
        <w:rPr>
          <w:rFonts w:eastAsia="方正仿宋_GBK"/>
          <w:color w:val="000000"/>
          <w:spacing w:val="-2"/>
          <w:kern w:val="0"/>
          <w:sz w:val="24"/>
        </w:rPr>
      </w:pPr>
      <w:r>
        <w:rPr>
          <w:rFonts w:hint="eastAsia" w:eastAsia="方正仿宋_GBK"/>
          <w:color w:val="000000"/>
          <w:spacing w:val="-2"/>
          <w:kern w:val="0"/>
          <w:sz w:val="24"/>
        </w:rPr>
        <w:t>增项注册自公告后携带注册证书至省厅窗口领取增项贴花。</w:t>
      </w:r>
    </w:p>
    <w:p>
      <w:pPr>
        <w:spacing w:line="460" w:lineRule="exact"/>
        <w:ind w:firstLine="522" w:firstLineChars="225"/>
        <w:rPr>
          <w:rFonts w:eastAsia="方正仿宋_GBK"/>
          <w:color w:val="000000"/>
          <w:spacing w:val="-2"/>
          <w:kern w:val="0"/>
          <w:sz w:val="24"/>
        </w:rPr>
      </w:pPr>
    </w:p>
    <w:p>
      <w:pPr>
        <w:spacing w:line="460" w:lineRule="exact"/>
        <w:ind w:firstLine="522" w:firstLineChars="225"/>
        <w:rPr>
          <w:rFonts w:eastAsia="方正仿宋_GBK"/>
          <w:color w:val="000000"/>
          <w:spacing w:val="-2"/>
          <w:kern w:val="0"/>
          <w:sz w:val="24"/>
        </w:rPr>
      </w:pPr>
    </w:p>
    <w:p>
      <w:pPr>
        <w:spacing w:line="460" w:lineRule="exact"/>
        <w:ind w:firstLine="522" w:firstLineChars="225"/>
        <w:jc w:val="right"/>
        <w:rPr>
          <w:rFonts w:eastAsia="方正仿宋_GBK"/>
          <w:color w:val="000000"/>
          <w:spacing w:val="-2"/>
          <w:kern w:val="0"/>
          <w:sz w:val="24"/>
        </w:rPr>
      </w:pPr>
      <w:r>
        <w:rPr>
          <w:rFonts w:hint="eastAsia" w:eastAsia="方正仿宋_GBK"/>
          <w:color w:val="000000"/>
          <w:spacing w:val="-2"/>
          <w:kern w:val="0"/>
          <w:sz w:val="24"/>
        </w:rPr>
        <w:t>江苏省住房和城乡建设厅</w:t>
      </w:r>
    </w:p>
    <w:p>
      <w:pPr>
        <w:spacing w:line="460" w:lineRule="exact"/>
        <w:ind w:right="230" w:firstLine="522" w:firstLineChars="225"/>
        <w:jc w:val="right"/>
        <w:rPr>
          <w:rFonts w:eastAsia="方正仿宋_GBK"/>
          <w:color w:val="000000"/>
          <w:spacing w:val="-2"/>
          <w:kern w:val="0"/>
          <w:sz w:val="24"/>
        </w:rPr>
      </w:pPr>
      <w:r>
        <w:rPr>
          <w:rFonts w:eastAsia="方正仿宋_GBK"/>
          <w:color w:val="000000"/>
          <w:spacing w:val="-2"/>
          <w:kern w:val="0"/>
          <w:sz w:val="24"/>
        </w:rPr>
        <w:t>2018</w:t>
      </w:r>
      <w:r>
        <w:rPr>
          <w:rFonts w:hint="eastAsia" w:eastAsia="方正仿宋_GBK"/>
          <w:color w:val="000000"/>
          <w:spacing w:val="-2"/>
          <w:kern w:val="0"/>
          <w:sz w:val="24"/>
        </w:rPr>
        <w:t>年</w:t>
      </w:r>
      <w:r>
        <w:rPr>
          <w:rFonts w:eastAsia="方正仿宋_GBK"/>
          <w:color w:val="000000"/>
          <w:spacing w:val="-2"/>
          <w:kern w:val="0"/>
          <w:sz w:val="24"/>
        </w:rPr>
        <w:t>10</w:t>
      </w:r>
      <w:r>
        <w:rPr>
          <w:rFonts w:hint="eastAsia" w:eastAsia="方正仿宋_GBK"/>
          <w:color w:val="000000"/>
          <w:spacing w:val="-2"/>
          <w:kern w:val="0"/>
          <w:sz w:val="24"/>
        </w:rPr>
        <w:t>月</w:t>
      </w:r>
      <w:r>
        <w:rPr>
          <w:rFonts w:eastAsia="方正仿宋_GBK"/>
          <w:color w:val="000000"/>
          <w:spacing w:val="-2"/>
          <w:kern w:val="0"/>
          <w:sz w:val="24"/>
        </w:rPr>
        <w:t>22</w:t>
      </w:r>
      <w:r>
        <w:rPr>
          <w:rFonts w:hint="eastAsia" w:eastAsia="方正仿宋_GBK"/>
          <w:color w:val="000000"/>
          <w:spacing w:val="-2"/>
          <w:kern w:val="0"/>
          <w:sz w:val="24"/>
        </w:rPr>
        <w:t>日</w:t>
      </w:r>
    </w:p>
    <w:p>
      <w:pPr>
        <w:rPr>
          <w:rFonts w:ascii="Times New Roman" w:eastAsia="方正仿宋_GBK"/>
          <w:sz w:val="24"/>
        </w:rPr>
      </w:pPr>
    </w:p>
    <w:p>
      <w:pPr>
        <w:ind w:firstLine="472" w:firstLineChars="200"/>
        <w:rPr>
          <w:rFonts w:hint="eastAsia" w:ascii="Times New Roman" w:eastAsia="方正仿宋_GBK"/>
          <w:sz w:val="24"/>
        </w:rPr>
      </w:pPr>
    </w:p>
    <w:p>
      <w:pPr>
        <w:spacing w:line="570" w:lineRule="exact"/>
        <w:rPr>
          <w:rFonts w:hint="eastAsia" w:eastAsia="方正仿宋_GBK"/>
          <w:snapToGrid w:val="0"/>
          <w:kern w:val="0"/>
          <w:sz w:val="32"/>
          <w:szCs w:val="20"/>
          <w:highlight w:val="yellow"/>
        </w:rPr>
      </w:pPr>
    </w:p>
    <w:p>
      <w:pPr>
        <w:spacing w:line="570" w:lineRule="exact"/>
        <w:rPr>
          <w:rFonts w:hint="eastAsia" w:eastAsia="方正仿宋_GBK"/>
          <w:snapToGrid w:val="0"/>
          <w:kern w:val="0"/>
          <w:sz w:val="32"/>
          <w:szCs w:val="20"/>
          <w:highlight w:val="yellow"/>
        </w:rPr>
      </w:pPr>
    </w:p>
    <w:tbl>
      <w:tblPr>
        <w:tblStyle w:val="12"/>
        <w:tblpPr w:leftFromText="454" w:rightFromText="454" w:horzAnchor="margin" w:tblpXSpec="center" w:tblpYSpec="bottom"/>
        <w:tblOverlap w:val="never"/>
        <w:tblW w:w="0" w:type="auto"/>
        <w:tblInd w:w="0" w:type="dxa"/>
        <w:tblBorders>
          <w:top w:val="single" w:color="auto" w:sz="8" w:space="0"/>
          <w:left w:val="none" w:color="auto" w:sz="0" w:space="0"/>
          <w:bottom w:val="single" w:color="auto" w:sz="8"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340"/>
        <w:gridCol w:w="8165"/>
        <w:gridCol w:w="340"/>
      </w:tblGrid>
      <w:tr>
        <w:tblPrEx>
          <w:tblBorders>
            <w:top w:val="single" w:color="auto" w:sz="8" w:space="0"/>
            <w:left w:val="none" w:color="auto" w:sz="0" w:space="0"/>
            <w:bottom w:val="single" w:color="auto" w:sz="8"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40" w:type="dxa"/>
            <w:noWrap w:val="0"/>
            <w:vAlign w:val="top"/>
          </w:tcPr>
          <w:p>
            <w:pPr>
              <w:autoSpaceDE w:val="0"/>
              <w:autoSpaceDN w:val="0"/>
              <w:adjustRightInd w:val="0"/>
              <w:snapToGrid w:val="0"/>
              <w:spacing w:before="59" w:beforeLines="10" w:after="59" w:afterLines="10" w:line="288" w:lineRule="auto"/>
              <w:rPr>
                <w:rFonts w:hint="eastAsia" w:eastAsia="方正仿宋_GBK"/>
                <w:snapToGrid w:val="0"/>
                <w:kern w:val="0"/>
                <w:sz w:val="28"/>
                <w:szCs w:val="28"/>
              </w:rPr>
            </w:pPr>
          </w:p>
        </w:tc>
        <w:tc>
          <w:tcPr>
            <w:tcW w:w="8165" w:type="dxa"/>
            <w:noWrap w:val="0"/>
            <w:vAlign w:val="top"/>
          </w:tcPr>
          <w:p>
            <w:pPr>
              <w:tabs>
                <w:tab w:val="right" w:pos="8033"/>
              </w:tabs>
              <w:autoSpaceDE w:val="0"/>
              <w:autoSpaceDN w:val="0"/>
              <w:adjustRightInd w:val="0"/>
              <w:snapToGrid w:val="0"/>
              <w:spacing w:before="59" w:beforeLines="10" w:after="59" w:afterLines="10"/>
              <w:ind w:left="-41" w:leftChars="-20" w:right="-41" w:rightChars="-20"/>
              <w:rPr>
                <w:rFonts w:hint="eastAsia" w:eastAsia="方正仿宋_GBK"/>
                <w:snapToGrid w:val="0"/>
                <w:kern w:val="0"/>
                <w:sz w:val="28"/>
                <w:szCs w:val="28"/>
              </w:rPr>
            </w:pPr>
            <w:r>
              <w:rPr>
                <w:rFonts w:hint="eastAsia" w:eastAsia="方正仿宋_GBK"/>
                <w:snapToGrid w:val="0"/>
                <w:kern w:val="0"/>
                <w:sz w:val="28"/>
                <w:szCs w:val="28"/>
              </w:rPr>
              <w:t>江苏省住房和城乡建设厅办公室</w:t>
            </w:r>
            <w:r>
              <w:rPr>
                <w:rFonts w:eastAsia="方正仿宋_GBK"/>
                <w:snapToGrid w:val="0"/>
                <w:kern w:val="0"/>
                <w:sz w:val="28"/>
                <w:szCs w:val="28"/>
              </w:rPr>
              <w:tab/>
            </w:r>
            <w:r>
              <w:rPr>
                <w:rFonts w:eastAsia="方正仿宋_GBK"/>
                <w:snapToGrid w:val="0"/>
                <w:kern w:val="0"/>
                <w:sz w:val="28"/>
                <w:szCs w:val="28"/>
              </w:rPr>
              <w:t>20</w:t>
            </w:r>
            <w:r>
              <w:rPr>
                <w:rFonts w:hint="eastAsia" w:eastAsia="方正仿宋_GBK"/>
                <w:snapToGrid w:val="0"/>
                <w:kern w:val="0"/>
                <w:sz w:val="28"/>
                <w:szCs w:val="28"/>
              </w:rPr>
              <w:t>19年12月31日印发</w:t>
            </w:r>
          </w:p>
        </w:tc>
        <w:tc>
          <w:tcPr>
            <w:tcW w:w="340" w:type="dxa"/>
            <w:noWrap w:val="0"/>
            <w:vAlign w:val="top"/>
          </w:tcPr>
          <w:p>
            <w:pPr>
              <w:autoSpaceDE w:val="0"/>
              <w:autoSpaceDN w:val="0"/>
              <w:adjustRightInd w:val="0"/>
              <w:snapToGrid w:val="0"/>
              <w:spacing w:before="59" w:beforeLines="10" w:after="59" w:afterLines="10" w:line="288" w:lineRule="auto"/>
              <w:rPr>
                <w:rFonts w:hint="eastAsia" w:eastAsia="方正仿宋_GBK"/>
                <w:snapToGrid w:val="0"/>
                <w:kern w:val="0"/>
                <w:sz w:val="28"/>
                <w:szCs w:val="28"/>
              </w:rPr>
            </w:pPr>
          </w:p>
        </w:tc>
      </w:tr>
    </w:tbl>
    <w:p>
      <w:pPr>
        <w:spacing w:line="570" w:lineRule="atLeast"/>
        <w:rPr>
          <w:rFonts w:hint="eastAsia" w:ascii="Times New Roman" w:eastAsia="方正仿宋_GBK"/>
          <w:sz w:val="32"/>
          <w:szCs w:val="32"/>
        </w:rPr>
      </w:pPr>
    </w:p>
    <w:p>
      <w:pPr>
        <w:tabs>
          <w:tab w:val="left" w:pos="1442"/>
        </w:tabs>
        <w:autoSpaceDE w:val="0"/>
        <w:autoSpaceDN w:val="0"/>
        <w:adjustRightInd w:val="0"/>
        <w:snapToGrid w:val="0"/>
        <w:spacing w:line="570" w:lineRule="atLeast"/>
        <w:ind w:left="2987" w:leftChars="1450" w:right="103" w:rightChars="50"/>
        <w:jc w:val="center"/>
        <w:rPr>
          <w:rFonts w:hint="eastAsia"/>
        </w:rPr>
      </w:pPr>
    </w:p>
    <w:p>
      <w:pPr>
        <w:tabs>
          <w:tab w:val="left" w:pos="1442"/>
        </w:tabs>
        <w:autoSpaceDE w:val="0"/>
        <w:autoSpaceDN w:val="0"/>
        <w:adjustRightInd w:val="0"/>
        <w:snapToGrid w:val="0"/>
        <w:spacing w:line="570" w:lineRule="atLeast"/>
        <w:ind w:left="2987" w:leftChars="1450" w:right="103" w:rightChars="50"/>
        <w:jc w:val="center"/>
      </w:pPr>
    </w:p>
    <w:p/>
    <w:sectPr>
      <w:headerReference r:id="rId3" w:type="default"/>
      <w:footerReference r:id="rId4" w:type="default"/>
      <w:footerReference r:id="rId5" w:type="even"/>
      <w:pgSz w:w="11906" w:h="16838"/>
      <w:pgMar w:top="1814" w:right="1531" w:bottom="1985" w:left="1531" w:header="720" w:footer="1474" w:gutter="0"/>
      <w:paperSrc w:first="15" w:other="15"/>
      <w:cols w:space="720" w:num="1"/>
      <w:docGrid w:type="linesAndChars" w:linePitch="590" w:charSpace="-102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小标宋简体">
    <w:altName w:val="黑体"/>
    <w:panose1 w:val="00000000000000000000"/>
    <w:charset w:val="86"/>
    <w:family w:val="script"/>
    <w:pitch w:val="default"/>
    <w:sig w:usb0="00000000" w:usb1="00000000" w:usb2="00000010" w:usb3="00000000" w:csb0="00040000" w:csb1="00000000"/>
  </w:font>
  <w:font w:name="MingLiU_HKSCS">
    <w:altName w:val="PMingLiU-ExtB"/>
    <w:panose1 w:val="02020500000000000000"/>
    <w:charset w:val="88"/>
    <w:family w:val="roman"/>
    <w:pitch w:val="default"/>
    <w:sig w:usb0="00000000" w:usb1="00000000" w:usb2="00000016" w:usb3="00000000" w:csb0="00100001"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宋体 ，Arial">
    <w:altName w:val="宋体"/>
    <w:panose1 w:val="00000000000000000000"/>
    <w:charset w:val="86"/>
    <w:family w:val="roman"/>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微软简标宋">
    <w:altName w:val="黑体"/>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华文中宋">
    <w:altName w:val="宋体"/>
    <w:panose1 w:val="02010600040101010101"/>
    <w:charset w:val="86"/>
    <w:family w:val="auto"/>
    <w:pitch w:val="default"/>
    <w:sig w:usb0="00000000" w:usb1="00000000" w:usb2="00000010" w:usb3="00000000" w:csb0="0004009F" w:csb1="00000000"/>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210" w:leftChars="100" w:right="210" w:rightChars="100"/>
      <w:jc w:val="right"/>
      <w:rPr>
        <w:rFonts w:hint="eastAsia"/>
      </w:rPr>
    </w:pPr>
    <w:r>
      <w:rPr>
        <w:rFonts w:hint="eastAsia"/>
      </w:rPr>
      <w:t xml:space="preserve">— </w:t>
    </w:r>
    <w:r>
      <w:fldChar w:fldCharType="begin"/>
    </w:r>
    <w:r>
      <w:rPr>
        <w:rStyle w:val="15"/>
      </w:rPr>
      <w:instrText xml:space="preserve"> PAGE </w:instrText>
    </w:r>
    <w:r>
      <w:fldChar w:fldCharType="separate"/>
    </w:r>
    <w:r>
      <w:rPr>
        <w:rStyle w:val="15"/>
      </w:rPr>
      <w:t>535</w:t>
    </w:r>
    <w:r>
      <w:fldChar w:fldCharType="end"/>
    </w:r>
    <w:r>
      <w:rPr>
        <w:rStyle w:val="15"/>
        <w:rFonts w:hint="eastAsia"/>
      </w:rPr>
      <w:t xml:space="preserve"> </w:t>
    </w:r>
    <w:r>
      <w:rPr>
        <w:rFonts w:hint="eastAsia"/>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210" w:leftChars="100" w:right="210" w:rightChars="100"/>
      <w:jc w:val="both"/>
      <w:rPr>
        <w:rFonts w:hint="eastAsia"/>
      </w:rPr>
    </w:pPr>
    <w:r>
      <w:rPr>
        <w:rFonts w:hint="eastAsia"/>
      </w:rPr>
      <w:t xml:space="preserve">— </w:t>
    </w:r>
    <w:r>
      <w:fldChar w:fldCharType="begin"/>
    </w:r>
    <w:r>
      <w:rPr>
        <w:rStyle w:val="15"/>
      </w:rPr>
      <w:instrText xml:space="preserve"> PAGE </w:instrText>
    </w:r>
    <w:r>
      <w:fldChar w:fldCharType="separate"/>
    </w:r>
    <w:r>
      <w:rPr>
        <w:rStyle w:val="15"/>
      </w:rPr>
      <w:t>534</w:t>
    </w:r>
    <w:r>
      <w:fldChar w:fldCharType="end"/>
    </w:r>
    <w:r>
      <w:rPr>
        <w:rStyle w:val="15"/>
        <w:rFonts w:hint="eastAsia"/>
      </w:rPr>
      <w:t xml:space="preserve"> </w:t>
    </w:r>
    <w:r>
      <w:rPr>
        <w:rFonts w:hint="eastAsia"/>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D0C4269"/>
    <w:multiLevelType w:val="singleLevel"/>
    <w:tmpl w:val="CD0C4269"/>
    <w:lvl w:ilvl="0" w:tentative="0">
      <w:start w:val="2"/>
      <w:numFmt w:val="decimal"/>
      <w:suff w:val="nothing"/>
      <w:lvlText w:val="%1、"/>
      <w:lvlJc w:val="left"/>
      <w:pPr>
        <w:ind w:left="0" w:firstLine="0"/>
      </w:pPr>
    </w:lvl>
  </w:abstractNum>
  <w:abstractNum w:abstractNumId="1">
    <w:nsid w:val="03854613"/>
    <w:multiLevelType w:val="multilevel"/>
    <w:tmpl w:val="03854613"/>
    <w:lvl w:ilvl="0" w:tentative="0">
      <w:start w:val="1"/>
      <w:numFmt w:val="decimal"/>
      <w:lvlText w:val="%1、"/>
      <w:lvlJc w:val="left"/>
      <w:pPr>
        <w:tabs>
          <w:tab w:val="left" w:pos="540"/>
        </w:tabs>
        <w:ind w:left="540" w:hanging="360"/>
      </w:pPr>
      <w:rPr>
        <w:rFonts w:cs="Times New Roman"/>
      </w:rPr>
    </w:lvl>
    <w:lvl w:ilvl="1" w:tentative="0">
      <w:start w:val="1"/>
      <w:numFmt w:val="lowerLetter"/>
      <w:lvlText w:val="%2)"/>
      <w:lvlJc w:val="left"/>
      <w:pPr>
        <w:tabs>
          <w:tab w:val="left" w:pos="1020"/>
        </w:tabs>
        <w:ind w:left="1020" w:hanging="420"/>
      </w:pPr>
      <w:rPr>
        <w:rFonts w:cs="Times New Roman"/>
      </w:rPr>
    </w:lvl>
    <w:lvl w:ilvl="2" w:tentative="0">
      <w:start w:val="1"/>
      <w:numFmt w:val="lowerRoman"/>
      <w:lvlText w:val="%3."/>
      <w:lvlJc w:val="right"/>
      <w:pPr>
        <w:tabs>
          <w:tab w:val="left" w:pos="1440"/>
        </w:tabs>
        <w:ind w:left="1440" w:hanging="420"/>
      </w:pPr>
      <w:rPr>
        <w:rFonts w:cs="Times New Roman"/>
      </w:rPr>
    </w:lvl>
    <w:lvl w:ilvl="3" w:tentative="0">
      <w:start w:val="1"/>
      <w:numFmt w:val="decimal"/>
      <w:lvlText w:val="%4."/>
      <w:lvlJc w:val="left"/>
      <w:pPr>
        <w:tabs>
          <w:tab w:val="left" w:pos="1860"/>
        </w:tabs>
        <w:ind w:left="1860" w:hanging="420"/>
      </w:pPr>
      <w:rPr>
        <w:rFonts w:cs="Times New Roman"/>
      </w:rPr>
    </w:lvl>
    <w:lvl w:ilvl="4" w:tentative="0">
      <w:start w:val="1"/>
      <w:numFmt w:val="lowerLetter"/>
      <w:lvlText w:val="%5)"/>
      <w:lvlJc w:val="left"/>
      <w:pPr>
        <w:tabs>
          <w:tab w:val="left" w:pos="2280"/>
        </w:tabs>
        <w:ind w:left="2280" w:hanging="420"/>
      </w:pPr>
      <w:rPr>
        <w:rFonts w:cs="Times New Roman"/>
      </w:rPr>
    </w:lvl>
    <w:lvl w:ilvl="5" w:tentative="0">
      <w:start w:val="1"/>
      <w:numFmt w:val="lowerRoman"/>
      <w:lvlText w:val="%6."/>
      <w:lvlJc w:val="right"/>
      <w:pPr>
        <w:tabs>
          <w:tab w:val="left" w:pos="2700"/>
        </w:tabs>
        <w:ind w:left="2700" w:hanging="420"/>
      </w:pPr>
      <w:rPr>
        <w:rFonts w:cs="Times New Roman"/>
      </w:rPr>
    </w:lvl>
    <w:lvl w:ilvl="6" w:tentative="0">
      <w:start w:val="1"/>
      <w:numFmt w:val="decimal"/>
      <w:lvlText w:val="%7."/>
      <w:lvlJc w:val="left"/>
      <w:pPr>
        <w:tabs>
          <w:tab w:val="left" w:pos="3120"/>
        </w:tabs>
        <w:ind w:left="3120" w:hanging="420"/>
      </w:pPr>
      <w:rPr>
        <w:rFonts w:cs="Times New Roman"/>
      </w:rPr>
    </w:lvl>
    <w:lvl w:ilvl="7" w:tentative="0">
      <w:start w:val="1"/>
      <w:numFmt w:val="lowerLetter"/>
      <w:lvlText w:val="%8)"/>
      <w:lvlJc w:val="left"/>
      <w:pPr>
        <w:tabs>
          <w:tab w:val="left" w:pos="3540"/>
        </w:tabs>
        <w:ind w:left="3540" w:hanging="420"/>
      </w:pPr>
      <w:rPr>
        <w:rFonts w:cs="Times New Roman"/>
      </w:rPr>
    </w:lvl>
    <w:lvl w:ilvl="8" w:tentative="0">
      <w:start w:val="1"/>
      <w:numFmt w:val="lowerRoman"/>
      <w:lvlText w:val="%9."/>
      <w:lvlJc w:val="right"/>
      <w:pPr>
        <w:tabs>
          <w:tab w:val="left" w:pos="3960"/>
        </w:tabs>
        <w:ind w:left="3960" w:hanging="420"/>
      </w:pPr>
      <w:rPr>
        <w:rFonts w:cs="Times New Roman"/>
      </w:rPr>
    </w:lvl>
  </w:abstractNum>
  <w:abstractNum w:abstractNumId="2">
    <w:nsid w:val="095202CF"/>
    <w:multiLevelType w:val="singleLevel"/>
    <w:tmpl w:val="095202CF"/>
    <w:lvl w:ilvl="0" w:tentative="0">
      <w:start w:val="2"/>
      <w:numFmt w:val="decimal"/>
      <w:suff w:val="nothing"/>
      <w:lvlText w:val="%1、"/>
      <w:lvlJc w:val="left"/>
      <w:pPr>
        <w:ind w:left="0" w:firstLine="0"/>
      </w:pPr>
    </w:lvl>
  </w:abstractNum>
  <w:abstractNum w:abstractNumId="3">
    <w:nsid w:val="1C9702B1"/>
    <w:multiLevelType w:val="multilevel"/>
    <w:tmpl w:val="1C9702B1"/>
    <w:lvl w:ilvl="0" w:tentative="0">
      <w:start w:val="1"/>
      <w:numFmt w:val="upperLetter"/>
      <w:lvlText w:val="%1、"/>
      <w:lvlJc w:val="left"/>
      <w:pPr>
        <w:tabs>
          <w:tab w:val="left" w:pos="900"/>
        </w:tabs>
        <w:ind w:left="900" w:hanging="360"/>
      </w:pPr>
      <w:rPr>
        <w:rFonts w:cs="Times New Roman"/>
      </w:rPr>
    </w:lvl>
    <w:lvl w:ilvl="1" w:tentative="0">
      <w:start w:val="1"/>
      <w:numFmt w:val="lowerLetter"/>
      <w:lvlText w:val="%2)"/>
      <w:lvlJc w:val="left"/>
      <w:pPr>
        <w:tabs>
          <w:tab w:val="left" w:pos="1200"/>
        </w:tabs>
        <w:ind w:left="1200" w:hanging="420"/>
      </w:pPr>
      <w:rPr>
        <w:rFonts w:cs="Times New Roman"/>
      </w:rPr>
    </w:lvl>
    <w:lvl w:ilvl="2" w:tentative="0">
      <w:start w:val="1"/>
      <w:numFmt w:val="lowerRoman"/>
      <w:lvlText w:val="%3."/>
      <w:lvlJc w:val="right"/>
      <w:pPr>
        <w:tabs>
          <w:tab w:val="left" w:pos="1620"/>
        </w:tabs>
        <w:ind w:left="1620" w:hanging="420"/>
      </w:pPr>
      <w:rPr>
        <w:rFonts w:cs="Times New Roman"/>
      </w:rPr>
    </w:lvl>
    <w:lvl w:ilvl="3" w:tentative="0">
      <w:start w:val="1"/>
      <w:numFmt w:val="decimal"/>
      <w:lvlText w:val="%4."/>
      <w:lvlJc w:val="left"/>
      <w:pPr>
        <w:tabs>
          <w:tab w:val="left" w:pos="2040"/>
        </w:tabs>
        <w:ind w:left="2040" w:hanging="420"/>
      </w:pPr>
      <w:rPr>
        <w:rFonts w:cs="Times New Roman"/>
      </w:rPr>
    </w:lvl>
    <w:lvl w:ilvl="4" w:tentative="0">
      <w:start w:val="1"/>
      <w:numFmt w:val="lowerLetter"/>
      <w:lvlText w:val="%5)"/>
      <w:lvlJc w:val="left"/>
      <w:pPr>
        <w:tabs>
          <w:tab w:val="left" w:pos="2460"/>
        </w:tabs>
        <w:ind w:left="2460" w:hanging="420"/>
      </w:pPr>
      <w:rPr>
        <w:rFonts w:cs="Times New Roman"/>
      </w:rPr>
    </w:lvl>
    <w:lvl w:ilvl="5" w:tentative="0">
      <w:start w:val="1"/>
      <w:numFmt w:val="lowerRoman"/>
      <w:lvlText w:val="%6."/>
      <w:lvlJc w:val="right"/>
      <w:pPr>
        <w:tabs>
          <w:tab w:val="left" w:pos="2880"/>
        </w:tabs>
        <w:ind w:left="2880" w:hanging="420"/>
      </w:pPr>
      <w:rPr>
        <w:rFonts w:cs="Times New Roman"/>
      </w:rPr>
    </w:lvl>
    <w:lvl w:ilvl="6" w:tentative="0">
      <w:start w:val="1"/>
      <w:numFmt w:val="decimal"/>
      <w:lvlText w:val="%7."/>
      <w:lvlJc w:val="left"/>
      <w:pPr>
        <w:tabs>
          <w:tab w:val="left" w:pos="3300"/>
        </w:tabs>
        <w:ind w:left="3300" w:hanging="420"/>
      </w:pPr>
      <w:rPr>
        <w:rFonts w:cs="Times New Roman"/>
      </w:rPr>
    </w:lvl>
    <w:lvl w:ilvl="7" w:tentative="0">
      <w:start w:val="1"/>
      <w:numFmt w:val="lowerLetter"/>
      <w:lvlText w:val="%8)"/>
      <w:lvlJc w:val="left"/>
      <w:pPr>
        <w:tabs>
          <w:tab w:val="left" w:pos="3720"/>
        </w:tabs>
        <w:ind w:left="3720" w:hanging="420"/>
      </w:pPr>
      <w:rPr>
        <w:rFonts w:cs="Times New Roman"/>
      </w:rPr>
    </w:lvl>
    <w:lvl w:ilvl="8" w:tentative="0">
      <w:start w:val="1"/>
      <w:numFmt w:val="lowerRoman"/>
      <w:lvlText w:val="%9."/>
      <w:lvlJc w:val="right"/>
      <w:pPr>
        <w:tabs>
          <w:tab w:val="left" w:pos="4140"/>
        </w:tabs>
        <w:ind w:left="4140" w:hanging="420"/>
      </w:pPr>
      <w:rPr>
        <w:rFonts w:cs="Times New Roman"/>
      </w:rPr>
    </w:lvl>
  </w:abstractNum>
  <w:abstractNum w:abstractNumId="4">
    <w:nsid w:val="22B53AAC"/>
    <w:multiLevelType w:val="multilevel"/>
    <w:tmpl w:val="22B53AAC"/>
    <w:lvl w:ilvl="0" w:tentative="0">
      <w:start w:val="0"/>
      <w:numFmt w:val="bullet"/>
      <w:lvlText w:val="□"/>
      <w:lvlJc w:val="left"/>
      <w:pPr>
        <w:ind w:left="840" w:hanging="360"/>
      </w:pPr>
      <w:rPr>
        <w:rFonts w:hint="eastAsia" w:ascii="宋体" w:hAnsi="宋体" w:eastAsia="宋体"/>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24C979F1"/>
    <w:multiLevelType w:val="multilevel"/>
    <w:tmpl w:val="24C979F1"/>
    <w:lvl w:ilvl="0" w:tentative="0">
      <w:start w:val="0"/>
      <w:numFmt w:val="bullet"/>
      <w:lvlText w:val="□"/>
      <w:lvlJc w:val="left"/>
      <w:pPr>
        <w:ind w:left="927" w:hanging="360"/>
      </w:pPr>
      <w:rPr>
        <w:rFonts w:hint="eastAsia" w:ascii="宋体" w:hAnsi="宋体" w:eastAsia="宋体"/>
      </w:rPr>
    </w:lvl>
    <w:lvl w:ilvl="1" w:tentative="0">
      <w:start w:val="1"/>
      <w:numFmt w:val="bullet"/>
      <w:lvlText w:val=""/>
      <w:lvlJc w:val="left"/>
      <w:pPr>
        <w:ind w:left="1407" w:hanging="420"/>
      </w:pPr>
      <w:rPr>
        <w:rFonts w:hint="default" w:ascii="Wingdings" w:hAnsi="Wingdings"/>
      </w:rPr>
    </w:lvl>
    <w:lvl w:ilvl="2" w:tentative="0">
      <w:start w:val="1"/>
      <w:numFmt w:val="bullet"/>
      <w:lvlText w:val=""/>
      <w:lvlJc w:val="left"/>
      <w:pPr>
        <w:ind w:left="1827" w:hanging="420"/>
      </w:pPr>
      <w:rPr>
        <w:rFonts w:hint="default" w:ascii="Wingdings" w:hAnsi="Wingdings"/>
      </w:rPr>
    </w:lvl>
    <w:lvl w:ilvl="3" w:tentative="0">
      <w:start w:val="1"/>
      <w:numFmt w:val="bullet"/>
      <w:lvlText w:val=""/>
      <w:lvlJc w:val="left"/>
      <w:pPr>
        <w:ind w:left="2247" w:hanging="420"/>
      </w:pPr>
      <w:rPr>
        <w:rFonts w:hint="default" w:ascii="Wingdings" w:hAnsi="Wingdings"/>
      </w:rPr>
    </w:lvl>
    <w:lvl w:ilvl="4" w:tentative="0">
      <w:start w:val="1"/>
      <w:numFmt w:val="bullet"/>
      <w:lvlText w:val=""/>
      <w:lvlJc w:val="left"/>
      <w:pPr>
        <w:ind w:left="2667" w:hanging="420"/>
      </w:pPr>
      <w:rPr>
        <w:rFonts w:hint="default" w:ascii="Wingdings" w:hAnsi="Wingdings"/>
      </w:rPr>
    </w:lvl>
    <w:lvl w:ilvl="5" w:tentative="0">
      <w:start w:val="1"/>
      <w:numFmt w:val="bullet"/>
      <w:lvlText w:val=""/>
      <w:lvlJc w:val="left"/>
      <w:pPr>
        <w:ind w:left="3087" w:hanging="420"/>
      </w:pPr>
      <w:rPr>
        <w:rFonts w:hint="default" w:ascii="Wingdings" w:hAnsi="Wingdings"/>
      </w:rPr>
    </w:lvl>
    <w:lvl w:ilvl="6" w:tentative="0">
      <w:start w:val="1"/>
      <w:numFmt w:val="bullet"/>
      <w:lvlText w:val=""/>
      <w:lvlJc w:val="left"/>
      <w:pPr>
        <w:ind w:left="3507" w:hanging="420"/>
      </w:pPr>
      <w:rPr>
        <w:rFonts w:hint="default" w:ascii="Wingdings" w:hAnsi="Wingdings"/>
      </w:rPr>
    </w:lvl>
    <w:lvl w:ilvl="7" w:tentative="0">
      <w:start w:val="1"/>
      <w:numFmt w:val="bullet"/>
      <w:lvlText w:val=""/>
      <w:lvlJc w:val="left"/>
      <w:pPr>
        <w:ind w:left="3927" w:hanging="420"/>
      </w:pPr>
      <w:rPr>
        <w:rFonts w:hint="default" w:ascii="Wingdings" w:hAnsi="Wingdings"/>
      </w:rPr>
    </w:lvl>
    <w:lvl w:ilvl="8" w:tentative="0">
      <w:start w:val="1"/>
      <w:numFmt w:val="bullet"/>
      <w:lvlText w:val=""/>
      <w:lvlJc w:val="left"/>
      <w:pPr>
        <w:ind w:left="4347" w:hanging="420"/>
      </w:pPr>
      <w:rPr>
        <w:rFonts w:hint="default" w:ascii="Wingdings" w:hAnsi="Wingdings"/>
      </w:rPr>
    </w:lvl>
  </w:abstractNum>
  <w:abstractNum w:abstractNumId="6">
    <w:nsid w:val="27384003"/>
    <w:multiLevelType w:val="multilevel"/>
    <w:tmpl w:val="27384003"/>
    <w:lvl w:ilvl="0" w:tentative="0">
      <w:start w:val="0"/>
      <w:numFmt w:val="bullet"/>
      <w:lvlText w:val="□"/>
      <w:lvlJc w:val="left"/>
      <w:pPr>
        <w:ind w:left="840" w:hanging="360"/>
      </w:pPr>
      <w:rPr>
        <w:rFonts w:hint="eastAsia" w:ascii="宋体" w:hAnsi="宋体" w:eastAsia="宋体"/>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7">
    <w:nsid w:val="30A72526"/>
    <w:multiLevelType w:val="multilevel"/>
    <w:tmpl w:val="30A72526"/>
    <w:lvl w:ilvl="0" w:tentative="0">
      <w:start w:val="4"/>
      <w:numFmt w:val="japaneseCounting"/>
      <w:lvlText w:val="第%1章"/>
      <w:lvlJc w:val="left"/>
      <w:pPr>
        <w:tabs>
          <w:tab w:val="left" w:pos="1290"/>
        </w:tabs>
        <w:ind w:left="1290" w:hanging="129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36CF696C"/>
    <w:multiLevelType w:val="multilevel"/>
    <w:tmpl w:val="36CF696C"/>
    <w:lvl w:ilvl="0" w:tentative="0">
      <w:start w:val="1"/>
      <w:numFmt w:val="decimal"/>
      <w:lvlText w:val="%1）"/>
      <w:lvlJc w:val="left"/>
      <w:pPr>
        <w:ind w:left="990" w:hanging="360"/>
      </w:pPr>
      <w:rPr>
        <w:rFonts w:cs="Times New Roman"/>
      </w:rPr>
    </w:lvl>
    <w:lvl w:ilvl="1" w:tentative="0">
      <w:start w:val="1"/>
      <w:numFmt w:val="lowerLetter"/>
      <w:lvlText w:val="%2)"/>
      <w:lvlJc w:val="left"/>
      <w:pPr>
        <w:ind w:left="1470" w:hanging="420"/>
      </w:pPr>
      <w:rPr>
        <w:rFonts w:cs="Times New Roman"/>
      </w:rPr>
    </w:lvl>
    <w:lvl w:ilvl="2" w:tentative="0">
      <w:start w:val="1"/>
      <w:numFmt w:val="lowerRoman"/>
      <w:lvlText w:val="%3."/>
      <w:lvlJc w:val="right"/>
      <w:pPr>
        <w:ind w:left="1890" w:hanging="420"/>
      </w:pPr>
      <w:rPr>
        <w:rFonts w:cs="Times New Roman"/>
      </w:rPr>
    </w:lvl>
    <w:lvl w:ilvl="3" w:tentative="0">
      <w:start w:val="1"/>
      <w:numFmt w:val="decimal"/>
      <w:lvlText w:val="%4."/>
      <w:lvlJc w:val="left"/>
      <w:pPr>
        <w:ind w:left="2310" w:hanging="420"/>
      </w:pPr>
      <w:rPr>
        <w:rFonts w:cs="Times New Roman"/>
      </w:rPr>
    </w:lvl>
    <w:lvl w:ilvl="4" w:tentative="0">
      <w:start w:val="1"/>
      <w:numFmt w:val="lowerLetter"/>
      <w:lvlText w:val="%5)"/>
      <w:lvlJc w:val="left"/>
      <w:pPr>
        <w:ind w:left="2730" w:hanging="420"/>
      </w:pPr>
      <w:rPr>
        <w:rFonts w:cs="Times New Roman"/>
      </w:rPr>
    </w:lvl>
    <w:lvl w:ilvl="5" w:tentative="0">
      <w:start w:val="1"/>
      <w:numFmt w:val="lowerRoman"/>
      <w:lvlText w:val="%6."/>
      <w:lvlJc w:val="right"/>
      <w:pPr>
        <w:ind w:left="3150" w:hanging="420"/>
      </w:pPr>
      <w:rPr>
        <w:rFonts w:cs="Times New Roman"/>
      </w:rPr>
    </w:lvl>
    <w:lvl w:ilvl="6" w:tentative="0">
      <w:start w:val="1"/>
      <w:numFmt w:val="decimal"/>
      <w:lvlText w:val="%7."/>
      <w:lvlJc w:val="left"/>
      <w:pPr>
        <w:ind w:left="3570" w:hanging="420"/>
      </w:pPr>
      <w:rPr>
        <w:rFonts w:cs="Times New Roman"/>
      </w:rPr>
    </w:lvl>
    <w:lvl w:ilvl="7" w:tentative="0">
      <w:start w:val="1"/>
      <w:numFmt w:val="lowerLetter"/>
      <w:lvlText w:val="%8)"/>
      <w:lvlJc w:val="left"/>
      <w:pPr>
        <w:ind w:left="3990" w:hanging="420"/>
      </w:pPr>
      <w:rPr>
        <w:rFonts w:cs="Times New Roman"/>
      </w:rPr>
    </w:lvl>
    <w:lvl w:ilvl="8" w:tentative="0">
      <w:start w:val="1"/>
      <w:numFmt w:val="lowerRoman"/>
      <w:lvlText w:val="%9."/>
      <w:lvlJc w:val="right"/>
      <w:pPr>
        <w:ind w:left="4410" w:hanging="420"/>
      </w:pPr>
      <w:rPr>
        <w:rFonts w:cs="Times New Roman"/>
      </w:rPr>
    </w:lvl>
  </w:abstractNum>
  <w:abstractNum w:abstractNumId="9">
    <w:nsid w:val="3DAE5B10"/>
    <w:multiLevelType w:val="singleLevel"/>
    <w:tmpl w:val="3DAE5B10"/>
    <w:lvl w:ilvl="0" w:tentative="0">
      <w:start w:val="2"/>
      <w:numFmt w:val="decimal"/>
      <w:suff w:val="nothing"/>
      <w:lvlText w:val="%1、"/>
      <w:lvlJc w:val="left"/>
      <w:pPr>
        <w:ind w:left="0" w:firstLine="0"/>
      </w:pPr>
    </w:lvl>
  </w:abstractNum>
  <w:abstractNum w:abstractNumId="10">
    <w:nsid w:val="52D4957D"/>
    <w:multiLevelType w:val="singleLevel"/>
    <w:tmpl w:val="52D4957D"/>
    <w:lvl w:ilvl="0" w:tentative="0">
      <w:start w:val="1"/>
      <w:numFmt w:val="decimal"/>
      <w:suff w:val="nothing"/>
      <w:lvlText w:val="%1、"/>
      <w:lvlJc w:val="left"/>
      <w:pPr>
        <w:ind w:left="0" w:firstLine="0"/>
      </w:pPr>
      <w:rPr>
        <w:rFonts w:cs="Times New Roman"/>
      </w:rPr>
    </w:lvl>
  </w:abstractNum>
  <w:abstractNum w:abstractNumId="11">
    <w:nsid w:val="52D4984E"/>
    <w:multiLevelType w:val="singleLevel"/>
    <w:tmpl w:val="52D4984E"/>
    <w:lvl w:ilvl="0" w:tentative="0">
      <w:start w:val="1"/>
      <w:numFmt w:val="decimal"/>
      <w:suff w:val="nothing"/>
      <w:lvlText w:val="%1、"/>
      <w:lvlJc w:val="left"/>
      <w:pPr>
        <w:ind w:left="0" w:firstLine="0"/>
      </w:pPr>
      <w:rPr>
        <w:rFonts w:cs="Times New Roman"/>
      </w:rPr>
    </w:lvl>
  </w:abstractNum>
  <w:abstractNum w:abstractNumId="12">
    <w:nsid w:val="52D49E25"/>
    <w:multiLevelType w:val="singleLevel"/>
    <w:tmpl w:val="52D49E25"/>
    <w:lvl w:ilvl="0" w:tentative="0">
      <w:start w:val="1"/>
      <w:numFmt w:val="decimal"/>
      <w:suff w:val="nothing"/>
      <w:lvlText w:val="%1、"/>
      <w:lvlJc w:val="left"/>
      <w:pPr>
        <w:ind w:left="0" w:firstLine="0"/>
      </w:pPr>
      <w:rPr>
        <w:rFonts w:cs="Times New Roman"/>
      </w:rPr>
    </w:lvl>
  </w:abstractNum>
  <w:abstractNum w:abstractNumId="13">
    <w:nsid w:val="52D4A120"/>
    <w:multiLevelType w:val="singleLevel"/>
    <w:tmpl w:val="52D4A120"/>
    <w:lvl w:ilvl="0" w:tentative="0">
      <w:start w:val="1"/>
      <w:numFmt w:val="decimal"/>
      <w:suff w:val="nothing"/>
      <w:lvlText w:val="%1、"/>
      <w:lvlJc w:val="left"/>
      <w:pPr>
        <w:ind w:left="0" w:firstLine="0"/>
      </w:pPr>
      <w:rPr>
        <w:rFonts w:cs="Times New Roman"/>
      </w:rPr>
    </w:lvl>
  </w:abstractNum>
  <w:abstractNum w:abstractNumId="14">
    <w:nsid w:val="55C64B56"/>
    <w:multiLevelType w:val="multilevel"/>
    <w:tmpl w:val="55C64B56"/>
    <w:lvl w:ilvl="0" w:tentative="0">
      <w:start w:val="1"/>
      <w:numFmt w:val="japaneseCounting"/>
      <w:lvlText w:val="（%1）"/>
      <w:lvlJc w:val="left"/>
      <w:pPr>
        <w:ind w:left="1720" w:hanging="10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6AAD35A9"/>
    <w:multiLevelType w:val="multilevel"/>
    <w:tmpl w:val="6AAD35A9"/>
    <w:lvl w:ilvl="0" w:tentative="0">
      <w:start w:val="0"/>
      <w:numFmt w:val="bullet"/>
      <w:lvlText w:val="□"/>
      <w:lvlJc w:val="left"/>
      <w:pPr>
        <w:ind w:left="840" w:hanging="360"/>
      </w:pPr>
      <w:rPr>
        <w:rFonts w:hint="eastAsia" w:ascii="宋体" w:hAnsi="宋体" w:eastAsia="宋体"/>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num>
  <w:num w:numId="7">
    <w:abstractNumId w:val="11"/>
    <w:lvlOverride w:ilvl="0">
      <w:startOverride w:val="1"/>
    </w:lvlOverride>
  </w:num>
  <w:num w:numId="8">
    <w:abstractNumId w:val="12"/>
    <w:lvlOverride w:ilvl="0">
      <w:startOverride w:val="1"/>
    </w:lvlOverride>
  </w:num>
  <w:num w:numId="9">
    <w:abstractNumId w:val="13"/>
    <w:lvlOverride w:ilvl="0">
      <w:startOverride w:val="1"/>
    </w:lvlOverride>
  </w:num>
  <w:num w:numId="10">
    <w:abstractNumId w:val="9"/>
    <w:lvlOverride w:ilvl="0">
      <w:startOverride w:val="2"/>
    </w:lvlOverride>
  </w:num>
  <w:num w:numId="11">
    <w:abstractNumId w:val="4"/>
  </w:num>
  <w:num w:numId="12">
    <w:abstractNumId w:val="5"/>
  </w:num>
  <w:num w:numId="13">
    <w:abstractNumId w:val="2"/>
    <w:lvlOverride w:ilvl="0">
      <w:startOverride w:val="2"/>
    </w:lvlOverride>
  </w:num>
  <w:num w:numId="14">
    <w:abstractNumId w:val="15"/>
  </w:num>
  <w:num w:numId="15">
    <w:abstractNumId w:val="6"/>
  </w:num>
  <w:num w:numId="16">
    <w:abstractNumId w:val="0"/>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20484C"/>
    <w:rsid w:val="122048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iPriority="99" w:semiHidden="0" w:name="annotation text"/>
    <w:lsdException w:unhideWhenUsed="0" w:uiPriority="99"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iPriority="99" w:semiHidden="0" w:name="Body Text Indent 2"/>
    <w:lsdException w:unhideWhenUsed="0" w:uiPriority="0" w:semiHidden="0" w:name="Body Text Indent 3"/>
    <w:lsdException w:unhideWhenUsed="0" w:uiPriority="0" w:semiHidden="0" w:name="Block Text"/>
    <w:lsdException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
    <w:qFormat/>
    <w:uiPriority w:val="0"/>
    <w:pPr>
      <w:keepNext/>
      <w:keepLines/>
      <w:spacing w:before="340" w:after="330" w:line="578" w:lineRule="atLeast"/>
      <w:outlineLvl w:val="0"/>
    </w:pPr>
    <w:rPr>
      <w:b/>
      <w:kern w:val="44"/>
      <w:sz w:val="44"/>
    </w:rPr>
  </w:style>
  <w:style w:type="paragraph" w:styleId="3">
    <w:name w:val="heading 2"/>
    <w:basedOn w:val="1"/>
    <w:next w:val="1"/>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qFormat/>
    <w:uiPriority w:val="0"/>
    <w:pPr>
      <w:keepNext/>
      <w:keepLines/>
      <w:spacing w:before="260" w:after="260" w:line="415" w:lineRule="auto"/>
      <w:outlineLvl w:val="2"/>
    </w:pPr>
    <w:rPr>
      <w:b/>
      <w:bCs/>
      <w:sz w:val="32"/>
      <w:szCs w:val="32"/>
    </w:rPr>
  </w:style>
  <w:style w:type="character" w:default="1" w:styleId="13">
    <w:name w:val="Default Paragraph Font"/>
    <w:semiHidden/>
    <w:uiPriority w:val="0"/>
  </w:style>
  <w:style w:type="table" w:default="1" w:styleId="12">
    <w:name w:val="Normal Table"/>
    <w:semiHidden/>
    <w:uiPriority w:val="0"/>
    <w:tblPr>
      <w:tblCellMar>
        <w:top w:w="0" w:type="dxa"/>
        <w:left w:w="108" w:type="dxa"/>
        <w:bottom w:w="0" w:type="dxa"/>
        <w:right w:w="108" w:type="dxa"/>
      </w:tblCellMar>
    </w:tblPr>
  </w:style>
  <w:style w:type="paragraph" w:styleId="5">
    <w:name w:val="annotation text"/>
    <w:basedOn w:val="1"/>
    <w:unhideWhenUsed/>
    <w:uiPriority w:val="99"/>
    <w:pPr>
      <w:jc w:val="left"/>
    </w:pPr>
  </w:style>
  <w:style w:type="paragraph" w:styleId="6">
    <w:name w:val="Body Text Indent"/>
    <w:basedOn w:val="1"/>
    <w:unhideWhenUsed/>
    <w:uiPriority w:val="0"/>
    <w:pPr>
      <w:spacing w:after="120"/>
      <w:ind w:left="420" w:leftChars="200"/>
    </w:pPr>
  </w:style>
  <w:style w:type="paragraph" w:styleId="7">
    <w:name w:val="Body Text Indent 2"/>
    <w:basedOn w:val="1"/>
    <w:unhideWhenUsed/>
    <w:uiPriority w:val="99"/>
    <w:pPr>
      <w:spacing w:after="120" w:line="480" w:lineRule="auto"/>
      <w:ind w:left="420" w:leftChars="200"/>
    </w:pPr>
    <w:rPr>
      <w:kern w:val="0"/>
      <w:sz w:val="20"/>
    </w:rPr>
  </w:style>
  <w:style w:type="paragraph" w:styleId="8">
    <w:name w:val="footer"/>
    <w:basedOn w:val="1"/>
    <w:uiPriority w:val="99"/>
    <w:pPr>
      <w:tabs>
        <w:tab w:val="center" w:pos="4153"/>
        <w:tab w:val="right" w:pos="8306"/>
      </w:tabs>
      <w:spacing w:line="400" w:lineRule="atLeast"/>
      <w:ind w:firstLine="0"/>
      <w:jc w:val="center"/>
    </w:pPr>
    <w:rPr>
      <w:sz w:val="28"/>
    </w:rPr>
  </w:style>
  <w:style w:type="paragraph" w:styleId="9">
    <w:name w:val="header"/>
    <w:basedOn w:val="1"/>
    <w:uiPriority w:val="99"/>
    <w:pPr>
      <w:tabs>
        <w:tab w:val="center" w:pos="4153"/>
        <w:tab w:val="right" w:pos="8306"/>
      </w:tabs>
      <w:spacing w:line="240" w:lineRule="atLeast"/>
      <w:jc w:val="center"/>
    </w:pPr>
    <w:rPr>
      <w:sz w:val="18"/>
    </w:rPr>
  </w:style>
  <w:style w:type="paragraph" w:styleId="10">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1">
    <w:name w:val="Title"/>
    <w:basedOn w:val="1"/>
    <w:next w:val="1"/>
    <w:qFormat/>
    <w:uiPriority w:val="99"/>
    <w:pPr>
      <w:spacing w:before="240" w:after="60"/>
      <w:jc w:val="center"/>
      <w:outlineLvl w:val="0"/>
    </w:pPr>
    <w:rPr>
      <w:rFonts w:ascii="Cambria" w:hAnsi="Cambria"/>
      <w:b/>
      <w:kern w:val="0"/>
      <w:sz w:val="32"/>
      <w:szCs w:val="20"/>
    </w:rPr>
  </w:style>
  <w:style w:type="character" w:styleId="14">
    <w:name w:val="Strong"/>
    <w:qFormat/>
    <w:uiPriority w:val="0"/>
    <w:rPr>
      <w:b/>
      <w:bCs/>
    </w:rPr>
  </w:style>
  <w:style w:type="character" w:styleId="15">
    <w:name w:val="page number"/>
    <w:basedOn w:val="13"/>
    <w:uiPriority w:val="0"/>
  </w:style>
  <w:style w:type="character" w:styleId="16">
    <w:name w:val="Hyperlink"/>
    <w:unhideWhenUsed/>
    <w:uiPriority w:val="0"/>
    <w:rPr>
      <w:color w:val="000000"/>
      <w:u w:val="none"/>
    </w:rPr>
  </w:style>
  <w:style w:type="paragraph" w:customStyle="1" w:styleId="17">
    <w:name w:val="普通 (Web)"/>
    <w:basedOn w:val="1"/>
    <w:next w:val="1"/>
    <w:qFormat/>
    <w:uiPriority w:val="99"/>
    <w:pPr>
      <w:widowControl/>
      <w:spacing w:before="100" w:after="100"/>
      <w:jc w:val="left"/>
    </w:pPr>
    <w:rPr>
      <w:rFonts w:ascii="宋体" w:cs="宋体"/>
      <w:color w:val="000000"/>
      <w:sz w:val="24"/>
    </w:rPr>
  </w:style>
  <w:style w:type="paragraph" w:customStyle="1" w:styleId="18">
    <w:name w:val="列出段落1"/>
    <w:basedOn w:val="1"/>
    <w:uiPriority w:val="99"/>
    <w:pPr>
      <w:ind w:firstLine="420" w:firstLineChars="200"/>
    </w:pPr>
  </w:style>
  <w:style w:type="paragraph" w:customStyle="1" w:styleId="19">
    <w:name w:val="纯文本1"/>
    <w:basedOn w:val="1"/>
    <w:next w:val="1"/>
    <w:qFormat/>
    <w:uiPriority w:val="99"/>
    <w:pPr>
      <w:widowControl/>
    </w:pPr>
    <w:rPr>
      <w:rFonts w:ascii="宋体"/>
      <w:color w:val="000000"/>
      <w:szCs w:val="20"/>
    </w:rPr>
  </w:style>
  <w:style w:type="paragraph" w:customStyle="1" w:styleId="20">
    <w:name w:val="正文文本缩进1"/>
    <w:basedOn w:val="1"/>
    <w:next w:val="1"/>
    <w:qFormat/>
    <w:uiPriority w:val="99"/>
    <w:pPr>
      <w:widowControl/>
      <w:ind w:left="638"/>
    </w:pPr>
    <w:rPr>
      <w:rFonts w:eastAsia="仿宋_GB2312"/>
      <w:color w:val="000000"/>
      <w:sz w:val="32"/>
      <w:szCs w:val="20"/>
    </w:rPr>
  </w:style>
  <w:style w:type="paragraph" w:customStyle="1" w:styleId="21">
    <w:name w:val="正文文字缩进"/>
    <w:basedOn w:val="1"/>
    <w:next w:val="1"/>
    <w:uiPriority w:val="99"/>
    <w:pPr>
      <w:widowControl/>
      <w:ind w:firstLine="435"/>
    </w:pPr>
    <w:rPr>
      <w:rFonts w:ascii="仿宋_GB2312" w:eastAsia="仿宋_GB2312"/>
      <w:color w:val="000000"/>
      <w:sz w:val="32"/>
      <w:szCs w:val="20"/>
    </w:rPr>
  </w:style>
  <w:style w:type="paragraph" w:customStyle="1" w:styleId="22">
    <w:name w:val="附件栏"/>
    <w:basedOn w:val="1"/>
    <w:uiPriority w:val="99"/>
  </w:style>
  <w:style w:type="paragraph" w:customStyle="1" w:styleId="23">
    <w:name w:val="标题1"/>
    <w:basedOn w:val="1"/>
    <w:next w:val="1"/>
    <w:uiPriority w:val="99"/>
    <w:pPr>
      <w:tabs>
        <w:tab w:val="left" w:pos="9193"/>
        <w:tab w:val="left" w:pos="9827"/>
      </w:tabs>
      <w:spacing w:line="640" w:lineRule="atLeast"/>
      <w:ind w:firstLine="0"/>
      <w:jc w:val="center"/>
    </w:pPr>
    <w:rPr>
      <w:rFonts w:eastAsia="方正小标宋_GBK"/>
      <w:sz w:val="44"/>
    </w:rPr>
  </w:style>
  <w:style w:type="paragraph" w:customStyle="1" w:styleId="24">
    <w:name w:val="正文文字缩进 3"/>
    <w:basedOn w:val="1"/>
    <w:next w:val="1"/>
    <w:uiPriority w:val="99"/>
    <w:pPr>
      <w:widowControl/>
      <w:overflowPunct w:val="0"/>
      <w:autoSpaceDE w:val="0"/>
      <w:autoSpaceDN w:val="0"/>
      <w:spacing w:line="500" w:lineRule="exact"/>
      <w:ind w:firstLine="680"/>
    </w:pPr>
    <w:rPr>
      <w:rFonts w:ascii="宋体" w:hAnsi="宋体" w:eastAsia="仿宋_GB2312"/>
      <w:color w:val="000000"/>
      <w:spacing w:val="20"/>
      <w:sz w:val="30"/>
      <w:szCs w:val="20"/>
    </w:rPr>
  </w:style>
  <w:style w:type="paragraph" w:customStyle="1" w:styleId="25">
    <w:name w:val="正文文字缩进 2"/>
    <w:basedOn w:val="1"/>
    <w:next w:val="1"/>
    <w:qFormat/>
    <w:uiPriority w:val="99"/>
    <w:pPr>
      <w:widowControl/>
      <w:ind w:firstLine="640"/>
    </w:pPr>
    <w:rPr>
      <w:rFonts w:ascii="仿宋_GB2312" w:eastAsia="仿宋_GB2312"/>
      <w:color w:val="000000"/>
      <w:sz w:val="32"/>
      <w:szCs w:val="20"/>
    </w:rPr>
  </w:style>
  <w:style w:type="paragraph" w:customStyle="1" w:styleId="26">
    <w:name w:val="正文 New"/>
    <w:uiPriority w:val="99"/>
    <w:pPr>
      <w:widowControl w:val="0"/>
      <w:jc w:val="both"/>
    </w:pPr>
    <w:rPr>
      <w:rFonts w:ascii="Times New Roman" w:hAnsi="Times New Roman" w:eastAsia="宋体" w:cs="Times New Roman"/>
      <w:kern w:val="2"/>
      <w:sz w:val="21"/>
      <w:lang w:val="en-US" w:eastAsia="zh-CN" w:bidi="ar-SA"/>
    </w:rPr>
  </w:style>
  <w:style w:type="paragraph" w:customStyle="1" w:styleId="27">
    <w:name w:val="Default"/>
    <w:qFormat/>
    <w:uiPriority w:val="99"/>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8">
    <w:name w:val="标题 1 Char"/>
    <w:link w:val="2"/>
    <w:uiPriority w:val="0"/>
    <w:rPr>
      <w:b/>
      <w:kern w:val="44"/>
      <w:sz w:val="44"/>
    </w:rPr>
  </w:style>
  <w:style w:type="paragraph" w:customStyle="1" w:styleId="29">
    <w:name w:val="reader-word-layer"/>
    <w:basedOn w:val="1"/>
    <w:uiPriority w:val="99"/>
    <w:pPr>
      <w:widowControl/>
      <w:spacing w:before="100" w:beforeAutospacing="1" w:after="100" w:afterAutospacing="1"/>
      <w:jc w:val="left"/>
    </w:pPr>
    <w:rPr>
      <w:rFonts w:ascii="宋体" w:hAnsi="宋体" w:cs="宋体"/>
      <w:kern w:val="0"/>
      <w:sz w:val="24"/>
    </w:rPr>
  </w:style>
  <w:style w:type="paragraph" w:styleId="3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2019-12-31T09:25:00Z</dcterms:created>
  <dc:creator>Bazinga 。</dc:creator>
  <cp:lastModifiedBy>Bazinga 。</cp:lastModifiedBy>
  <dcterms:modified xsi:type="dcterms:W3CDTF">2019-12-31T09:31:37Z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